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4.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word/people.xml" ContentType="application/vnd.openxmlformats-officedocument.wordprocessingml.people+xml"/>
  <Override PartName="/docProps/core.xml" ContentType="application/vnd.openxmlformats-package.core-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4DACCC9" w:rsidR="004F7DB3" w:rsidRDefault="004F7DB3" w:rsidP="00105D3F">
      <w:pPr>
        <w:tabs>
          <w:tab w:val="left" w:pos="3780"/>
        </w:tabs>
        <w:spacing w:after="60" w:line="240" w:lineRule="auto"/>
        <w:jc w:val="both"/>
        <w:rPr>
          <w:b/>
          <w:bCs/>
          <w:sz w:val="24"/>
          <w:szCs w:val="24"/>
        </w:rPr>
      </w:pPr>
    </w:p>
    <w:p w14:paraId="00000002" w14:textId="77777777" w:rsidR="004F7DB3" w:rsidRDefault="004F7DB3">
      <w:pPr>
        <w:spacing w:after="60" w:line="240" w:lineRule="auto"/>
        <w:jc w:val="both"/>
        <w:rPr>
          <w:b/>
          <w:sz w:val="24"/>
          <w:szCs w:val="24"/>
        </w:rPr>
      </w:pPr>
    </w:p>
    <w:p w14:paraId="00000003" w14:textId="77777777" w:rsidR="004F7DB3" w:rsidRDefault="00C00123">
      <w:pPr>
        <w:spacing w:after="60" w:line="240" w:lineRule="auto"/>
        <w:jc w:val="both"/>
        <w:rPr>
          <w:b/>
          <w:sz w:val="24"/>
          <w:szCs w:val="24"/>
        </w:rPr>
      </w:pPr>
      <w:r>
        <w:rPr>
          <w:noProof/>
        </w:rPr>
        <w:drawing>
          <wp:anchor distT="0" distB="0" distL="114300" distR="114300" simplePos="0" relativeHeight="251658241" behindDoc="0" locked="0" layoutInCell="1" hidden="0" allowOverlap="1" wp14:anchorId="7B1F37A5" wp14:editId="1B85D1B0">
            <wp:simplePos x="0" y="0"/>
            <wp:positionH relativeFrom="column">
              <wp:posOffset>5400675</wp:posOffset>
            </wp:positionH>
            <wp:positionV relativeFrom="paragraph">
              <wp:posOffset>18455</wp:posOffset>
            </wp:positionV>
            <wp:extent cx="958215" cy="1459865"/>
            <wp:effectExtent l="0" t="0" r="0" b="0"/>
            <wp:wrapNone/>
            <wp:docPr id="1965395249" name="image5.png" descr="A picture containing screenshot, graphics, design, fon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picture containing screenshot, graphics, design, font&#10;&#10;Description automatically generated"/>
                    <pic:cNvPicPr preferRelativeResize="0"/>
                  </pic:nvPicPr>
                  <pic:blipFill>
                    <a:blip r:embed="rId9"/>
                    <a:srcRect/>
                    <a:stretch>
                      <a:fillRect/>
                    </a:stretch>
                  </pic:blipFill>
                  <pic:spPr>
                    <a:xfrm>
                      <a:off x="0" y="0"/>
                      <a:ext cx="958215" cy="1459865"/>
                    </a:xfrm>
                    <a:prstGeom prst="rect">
                      <a:avLst/>
                    </a:prstGeom>
                    <a:ln/>
                  </pic:spPr>
                </pic:pic>
              </a:graphicData>
            </a:graphic>
          </wp:anchor>
        </w:drawing>
      </w:r>
    </w:p>
    <w:p w14:paraId="00000004" w14:textId="689A5383" w:rsidR="004F7DB3" w:rsidRDefault="002D6F51">
      <w:pPr>
        <w:spacing w:after="60" w:line="240" w:lineRule="auto"/>
        <w:jc w:val="both"/>
        <w:rPr>
          <w:b/>
          <w:sz w:val="24"/>
          <w:szCs w:val="24"/>
        </w:rPr>
      </w:pPr>
      <w:r>
        <w:rPr>
          <w:noProof/>
        </w:rPr>
        <w:drawing>
          <wp:anchor distT="0" distB="0" distL="114300" distR="114300" simplePos="0" relativeHeight="251658242" behindDoc="0" locked="0" layoutInCell="1" hidden="0" allowOverlap="1" wp14:anchorId="76ED160E" wp14:editId="77CA2054">
            <wp:simplePos x="0" y="0"/>
            <wp:positionH relativeFrom="column">
              <wp:posOffset>4755787</wp:posOffset>
            </wp:positionH>
            <wp:positionV relativeFrom="paragraph">
              <wp:posOffset>66494</wp:posOffset>
            </wp:positionV>
            <wp:extent cx="834027" cy="894805"/>
            <wp:effectExtent l="0" t="0" r="4445" b="0"/>
            <wp:wrapNone/>
            <wp:docPr id="1965395246" name="image3.jpg" descr="GEF-notag-lowres_0"/>
            <wp:cNvGraphicFramePr/>
            <a:graphic xmlns:a="http://schemas.openxmlformats.org/drawingml/2006/main">
              <a:graphicData uri="http://schemas.openxmlformats.org/drawingml/2006/picture">
                <pic:pic xmlns:pic="http://schemas.openxmlformats.org/drawingml/2006/picture">
                  <pic:nvPicPr>
                    <pic:cNvPr id="0" name="image3.jpg" descr="GEF-notag-lowres_0"/>
                    <pic:cNvPicPr preferRelativeResize="0"/>
                  </pic:nvPicPr>
                  <pic:blipFill>
                    <a:blip r:embed="rId10"/>
                    <a:srcRect/>
                    <a:stretch>
                      <a:fillRect/>
                    </a:stretch>
                  </pic:blipFill>
                  <pic:spPr>
                    <a:xfrm>
                      <a:off x="0" y="0"/>
                      <a:ext cx="839409" cy="900579"/>
                    </a:xfrm>
                    <a:prstGeom prst="rect">
                      <a:avLst/>
                    </a:prstGeom>
                    <a:ln/>
                  </pic:spPr>
                </pic:pic>
              </a:graphicData>
            </a:graphic>
            <wp14:sizeRelH relativeFrom="margin">
              <wp14:pctWidth>0</wp14:pctWidth>
            </wp14:sizeRelH>
            <wp14:sizeRelV relativeFrom="margin">
              <wp14:pctHeight>0</wp14:pctHeight>
            </wp14:sizeRelV>
          </wp:anchor>
        </w:drawing>
      </w:r>
      <w:r w:rsidR="00C00123">
        <w:rPr>
          <w:b/>
          <w:noProof/>
          <w:sz w:val="24"/>
          <w:szCs w:val="24"/>
        </w:rPr>
        <w:drawing>
          <wp:inline distT="19050" distB="19050" distL="19050" distR="19050" wp14:anchorId="4F555713" wp14:editId="6C9F1CB4">
            <wp:extent cx="1178413" cy="1060859"/>
            <wp:effectExtent l="0" t="0" r="0" b="0"/>
            <wp:docPr id="1965395252" name="image14.png" descr="An image containing logo, emblem, symbol, bir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4.png" descr="Une image contenant logo, Emblème, symbole, oiseau&#10;&#10;Le contenu généré par l’IA peut être incorrect."/>
                    <pic:cNvPicPr preferRelativeResize="0"/>
                  </pic:nvPicPr>
                  <pic:blipFill>
                    <a:blip r:embed="rId11"/>
                    <a:srcRect/>
                    <a:stretch>
                      <a:fillRect/>
                    </a:stretch>
                  </pic:blipFill>
                  <pic:spPr>
                    <a:xfrm>
                      <a:off x="0" y="0"/>
                      <a:ext cx="1178413" cy="1060859"/>
                    </a:xfrm>
                    <a:prstGeom prst="rect">
                      <a:avLst/>
                    </a:prstGeom>
                    <a:ln/>
                  </pic:spPr>
                </pic:pic>
              </a:graphicData>
            </a:graphic>
          </wp:inline>
        </w:drawing>
      </w:r>
    </w:p>
    <w:p w14:paraId="00000005" w14:textId="77777777" w:rsidR="004F7DB3" w:rsidRDefault="004F7DB3">
      <w:pPr>
        <w:spacing w:after="60" w:line="240" w:lineRule="auto"/>
        <w:jc w:val="both"/>
        <w:rPr>
          <w:b/>
          <w:sz w:val="24"/>
          <w:szCs w:val="24"/>
        </w:rPr>
      </w:pPr>
    </w:p>
    <w:p w14:paraId="00000006" w14:textId="77777777" w:rsidR="004F7DB3" w:rsidRPr="00263D2C" w:rsidRDefault="00C00123">
      <w:pPr>
        <w:spacing w:after="0" w:line="240" w:lineRule="auto"/>
        <w:jc w:val="both"/>
        <w:rPr>
          <w:b/>
          <w:sz w:val="24"/>
          <w:szCs w:val="24"/>
          <w:lang w:val="en-US"/>
        </w:rPr>
      </w:pPr>
      <w:r w:rsidRPr="00263D2C">
        <w:rPr>
          <w:sz w:val="20"/>
          <w:szCs w:val="20"/>
          <w:lang w:val="en-US"/>
        </w:rPr>
        <w:t xml:space="preserve"> </w:t>
      </w:r>
    </w:p>
    <w:p w14:paraId="00000007" w14:textId="77777777" w:rsidR="004F7DB3" w:rsidRPr="00263D2C" w:rsidRDefault="004F7DB3">
      <w:pPr>
        <w:spacing w:after="120" w:line="240" w:lineRule="auto"/>
        <w:jc w:val="both"/>
        <w:rPr>
          <w:b/>
          <w:i/>
          <w:sz w:val="20"/>
          <w:szCs w:val="20"/>
          <w:lang w:val="en-US"/>
        </w:rPr>
      </w:pPr>
    </w:p>
    <w:p w14:paraId="00000008" w14:textId="77777777" w:rsidR="004F7DB3" w:rsidRPr="00C00123" w:rsidRDefault="00C00123">
      <w:pPr>
        <w:spacing w:after="240" w:line="240" w:lineRule="auto"/>
        <w:jc w:val="both"/>
        <w:rPr>
          <w:b/>
          <w:sz w:val="20"/>
          <w:szCs w:val="20"/>
          <w:lang w:val="en-US"/>
        </w:rPr>
      </w:pPr>
      <w:r w:rsidRPr="00263D2C">
        <w:rPr>
          <w:b/>
          <w:sz w:val="20"/>
          <w:szCs w:val="20"/>
          <w:lang w:val="en-US"/>
        </w:rPr>
        <w:t xml:space="preserve">United Nations Development </w:t>
      </w:r>
      <w:proofErr w:type="spellStart"/>
      <w:r w:rsidRPr="00263D2C">
        <w:rPr>
          <w:b/>
          <w:sz w:val="20"/>
          <w:szCs w:val="20"/>
          <w:lang w:val="en-US"/>
        </w:rPr>
        <w:t>Programme</w:t>
      </w:r>
      <w:proofErr w:type="spellEnd"/>
    </w:p>
    <w:p w14:paraId="00000009" w14:textId="77777777" w:rsidR="004F7DB3" w:rsidRPr="00C00123" w:rsidRDefault="00C00123">
      <w:pPr>
        <w:spacing w:after="0" w:line="240" w:lineRule="auto"/>
        <w:jc w:val="both"/>
        <w:rPr>
          <w:b/>
          <w:sz w:val="20"/>
          <w:szCs w:val="20"/>
          <w:lang w:val="en-US"/>
        </w:rPr>
      </w:pPr>
      <w:r w:rsidRPr="00263D2C">
        <w:rPr>
          <w:b/>
          <w:sz w:val="20"/>
          <w:szCs w:val="20"/>
          <w:lang w:val="en-US"/>
        </w:rPr>
        <w:t>Project Document for projects financed by the various GEF Trust Funds</w:t>
      </w:r>
    </w:p>
    <w:p w14:paraId="0000000A" w14:textId="77777777" w:rsidR="004F7DB3" w:rsidRPr="00C00123" w:rsidRDefault="004F7DB3">
      <w:pPr>
        <w:spacing w:after="0" w:line="240" w:lineRule="auto"/>
        <w:jc w:val="both"/>
        <w:rPr>
          <w:b/>
          <w:i/>
          <w:sz w:val="20"/>
          <w:szCs w:val="20"/>
          <w:lang w:val="en-US"/>
        </w:rPr>
      </w:pPr>
    </w:p>
    <w:tbl>
      <w:tblPr>
        <w:tblW w:w="9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988"/>
        <w:gridCol w:w="1820"/>
        <w:gridCol w:w="419"/>
        <w:gridCol w:w="1081"/>
        <w:gridCol w:w="4047"/>
      </w:tblGrid>
      <w:tr w:rsidR="004F7DB3" w:rsidRPr="00F50786" w14:paraId="1358182C" w14:textId="77777777" w:rsidTr="2DC80E69">
        <w:trPr>
          <w:trHeight w:val="548"/>
        </w:trPr>
        <w:tc>
          <w:tcPr>
            <w:tcW w:w="9355" w:type="dxa"/>
            <w:gridSpan w:val="5"/>
          </w:tcPr>
          <w:p w14:paraId="0000000B" w14:textId="77777777" w:rsidR="004F7DB3" w:rsidRPr="00263D2C" w:rsidRDefault="00C00123">
            <w:pPr>
              <w:spacing w:after="240" w:line="240" w:lineRule="auto"/>
              <w:jc w:val="both"/>
              <w:rPr>
                <w:b/>
                <w:sz w:val="20"/>
                <w:szCs w:val="20"/>
                <w:highlight w:val="green"/>
                <w:lang w:val="en-US"/>
              </w:rPr>
            </w:pPr>
            <w:r w:rsidRPr="00263D2C">
              <w:rPr>
                <w:b/>
                <w:sz w:val="20"/>
                <w:szCs w:val="20"/>
                <w:lang w:val="en-US"/>
              </w:rPr>
              <w:t xml:space="preserve">Project title: </w:t>
            </w:r>
            <w:r w:rsidRPr="00263D2C">
              <w:rPr>
                <w:i/>
                <w:sz w:val="20"/>
                <w:szCs w:val="20"/>
                <w:lang w:val="en-US"/>
              </w:rPr>
              <w:t xml:space="preserve">Integrated Urban Development in the District of Bamako </w:t>
            </w:r>
          </w:p>
        </w:tc>
      </w:tr>
      <w:tr w:rsidR="004F7DB3" w14:paraId="35A40B67" w14:textId="77777777" w:rsidTr="2DC80E69">
        <w:trPr>
          <w:trHeight w:val="1007"/>
        </w:trPr>
        <w:tc>
          <w:tcPr>
            <w:tcW w:w="1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10" w14:textId="77777777" w:rsidR="004F7DB3" w:rsidRDefault="552CE4D7" w:rsidP="5D8904BE">
            <w:pPr>
              <w:spacing w:after="240" w:line="240" w:lineRule="auto"/>
              <w:jc w:val="both"/>
              <w:rPr>
                <w:b/>
                <w:bCs/>
                <w:sz w:val="20"/>
                <w:szCs w:val="20"/>
              </w:rPr>
            </w:pPr>
            <w:r w:rsidRPr="5D8904BE">
              <w:rPr>
                <w:b/>
                <w:bCs/>
                <w:sz w:val="20"/>
                <w:szCs w:val="20"/>
              </w:rPr>
              <w:t>Country(</w:t>
            </w:r>
            <w:proofErr w:type="spellStart"/>
            <w:r w:rsidRPr="5D8904BE">
              <w:rPr>
                <w:b/>
                <w:bCs/>
                <w:sz w:val="20"/>
                <w:szCs w:val="20"/>
              </w:rPr>
              <w:t>ies</w:t>
            </w:r>
            <w:proofErr w:type="spellEnd"/>
            <w:proofErr w:type="gramStart"/>
            <w:r w:rsidRPr="5D8904BE">
              <w:rPr>
                <w:b/>
                <w:bCs/>
                <w:sz w:val="20"/>
                <w:szCs w:val="20"/>
              </w:rPr>
              <w:t>):</w:t>
            </w:r>
            <w:proofErr w:type="gramEnd"/>
            <w:r w:rsidRPr="5D8904BE">
              <w:rPr>
                <w:b/>
                <w:bCs/>
                <w:sz w:val="20"/>
                <w:szCs w:val="20"/>
              </w:rPr>
              <w:t xml:space="preserve"> </w:t>
            </w:r>
          </w:p>
          <w:p w14:paraId="00000011" w14:textId="77777777" w:rsidR="004F7DB3" w:rsidRDefault="00C00123">
            <w:pPr>
              <w:spacing w:after="240" w:line="240" w:lineRule="auto"/>
              <w:jc w:val="both"/>
              <w:rPr>
                <w:b/>
                <w:sz w:val="20"/>
                <w:szCs w:val="20"/>
              </w:rPr>
            </w:pPr>
            <w:r>
              <w:rPr>
                <w:b/>
                <w:sz w:val="20"/>
                <w:szCs w:val="20"/>
              </w:rPr>
              <w:t>Mali</w:t>
            </w:r>
          </w:p>
        </w:tc>
        <w:tc>
          <w:tcPr>
            <w:tcW w:w="33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12" w14:textId="6B3C00AD" w:rsidR="004F7DB3" w:rsidRPr="00263D2C" w:rsidRDefault="7E03C094" w:rsidP="537FA187">
            <w:pPr>
              <w:spacing w:after="0" w:line="240" w:lineRule="auto"/>
              <w:rPr>
                <w:i/>
                <w:iCs/>
                <w:sz w:val="20"/>
                <w:szCs w:val="20"/>
                <w:highlight w:val="yellow"/>
                <w:lang w:val="en-US"/>
              </w:rPr>
            </w:pPr>
            <w:r w:rsidRPr="537FA187">
              <w:rPr>
                <w:b/>
                <w:bCs/>
                <w:sz w:val="20"/>
                <w:szCs w:val="20"/>
                <w:lang w:val="en-US"/>
              </w:rPr>
              <w:t xml:space="preserve">Implementing Partner (GEF Executing Entity): </w:t>
            </w:r>
            <w:r w:rsidRPr="537FA187">
              <w:rPr>
                <w:sz w:val="20"/>
                <w:szCs w:val="20"/>
                <w:lang w:val="en-US"/>
              </w:rPr>
              <w:t>National Directorate of Urban Planning and Housing (</w:t>
            </w:r>
            <w:r w:rsidR="69663027" w:rsidRPr="537FA187">
              <w:rPr>
                <w:sz w:val="20"/>
                <w:szCs w:val="20"/>
                <w:lang w:val="en-US"/>
              </w:rPr>
              <w:t>NDUPH</w:t>
            </w:r>
            <w:r w:rsidRPr="537FA187">
              <w:rPr>
                <w:sz w:val="20"/>
                <w:szCs w:val="20"/>
                <w:lang w:val="en-US"/>
              </w:rPr>
              <w:t xml:space="preserve">) </w:t>
            </w:r>
          </w:p>
        </w:tc>
        <w:tc>
          <w:tcPr>
            <w:tcW w:w="40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15" w14:textId="78F6C358" w:rsidR="004F7DB3" w:rsidRDefault="5C6EF691">
            <w:pPr>
              <w:spacing w:after="0" w:line="240" w:lineRule="auto"/>
              <w:jc w:val="both"/>
              <w:rPr>
                <w:sz w:val="20"/>
                <w:szCs w:val="20"/>
                <w:highlight w:val="yellow"/>
              </w:rPr>
            </w:pPr>
            <w:proofErr w:type="spellStart"/>
            <w:r w:rsidRPr="5D8904BE">
              <w:rPr>
                <w:b/>
                <w:bCs/>
                <w:sz w:val="20"/>
                <w:szCs w:val="20"/>
              </w:rPr>
              <w:t>Execution</w:t>
            </w:r>
            <w:proofErr w:type="spellEnd"/>
            <w:r w:rsidRPr="5D8904BE">
              <w:rPr>
                <w:b/>
                <w:bCs/>
                <w:sz w:val="20"/>
                <w:szCs w:val="20"/>
              </w:rPr>
              <w:t xml:space="preserve"> </w:t>
            </w:r>
            <w:proofErr w:type="spellStart"/>
            <w:proofErr w:type="gramStart"/>
            <w:r w:rsidRPr="5D8904BE">
              <w:rPr>
                <w:b/>
                <w:bCs/>
                <w:sz w:val="20"/>
                <w:szCs w:val="20"/>
              </w:rPr>
              <w:t>Modality</w:t>
            </w:r>
            <w:proofErr w:type="spellEnd"/>
            <w:r w:rsidRPr="5D8904BE">
              <w:rPr>
                <w:i/>
                <w:iCs/>
                <w:sz w:val="20"/>
                <w:szCs w:val="20"/>
              </w:rPr>
              <w:t>:</w:t>
            </w:r>
            <w:proofErr w:type="gramEnd"/>
            <w:r w:rsidRPr="5D8904BE">
              <w:rPr>
                <w:i/>
                <w:iCs/>
                <w:sz w:val="20"/>
                <w:szCs w:val="20"/>
              </w:rPr>
              <w:t xml:space="preserve"> National </w:t>
            </w:r>
            <w:proofErr w:type="spellStart"/>
            <w:r w:rsidRPr="5D8904BE">
              <w:rPr>
                <w:i/>
                <w:iCs/>
                <w:sz w:val="20"/>
                <w:szCs w:val="20"/>
              </w:rPr>
              <w:t>Impl</w:t>
            </w:r>
            <w:r w:rsidR="3483D047" w:rsidRPr="5D8904BE">
              <w:rPr>
                <w:i/>
                <w:iCs/>
                <w:sz w:val="20"/>
                <w:szCs w:val="20"/>
              </w:rPr>
              <w:t>i</w:t>
            </w:r>
            <w:r w:rsidRPr="5D8904BE">
              <w:rPr>
                <w:i/>
                <w:iCs/>
                <w:sz w:val="20"/>
                <w:szCs w:val="20"/>
              </w:rPr>
              <w:t>mentation</w:t>
            </w:r>
            <w:proofErr w:type="spellEnd"/>
            <w:r w:rsidRPr="5D8904BE">
              <w:rPr>
                <w:i/>
                <w:iCs/>
                <w:sz w:val="20"/>
                <w:szCs w:val="20"/>
              </w:rPr>
              <w:t xml:space="preserve"> (NIM) </w:t>
            </w:r>
          </w:p>
        </w:tc>
      </w:tr>
      <w:tr w:rsidR="004F7DB3" w:rsidRPr="00F50786" w14:paraId="715649D4" w14:textId="77777777" w:rsidTr="2DC80E69">
        <w:tc>
          <w:tcPr>
            <w:tcW w:w="9355" w:type="dxa"/>
            <w:gridSpan w:val="5"/>
          </w:tcPr>
          <w:p w14:paraId="00000016" w14:textId="77777777" w:rsidR="004F7DB3" w:rsidRPr="002D6F51" w:rsidRDefault="00C00123" w:rsidP="53AE587F">
            <w:pPr>
              <w:spacing w:after="240" w:line="240" w:lineRule="auto"/>
              <w:jc w:val="both"/>
              <w:rPr>
                <w:i/>
                <w:iCs/>
                <w:sz w:val="20"/>
                <w:szCs w:val="20"/>
                <w:lang w:val="en-US"/>
              </w:rPr>
            </w:pPr>
            <w:r w:rsidRPr="53AE587F">
              <w:rPr>
                <w:b/>
                <w:bCs/>
                <w:sz w:val="20"/>
                <w:szCs w:val="20"/>
                <w:lang w:val="en-US"/>
              </w:rPr>
              <w:t>Contributing Outcome (UNSDCF/CPD, RPD, GPD):</w:t>
            </w:r>
          </w:p>
          <w:p w14:paraId="00000017" w14:textId="77777777" w:rsidR="004F7DB3" w:rsidRPr="00263D2C" w:rsidRDefault="552CE4D7" w:rsidP="5D8904BE">
            <w:pPr>
              <w:spacing w:after="240" w:line="240" w:lineRule="auto"/>
              <w:jc w:val="both"/>
              <w:rPr>
                <w:i/>
                <w:iCs/>
                <w:sz w:val="20"/>
                <w:szCs w:val="20"/>
                <w:lang w:val="en-US"/>
              </w:rPr>
            </w:pPr>
            <w:r w:rsidRPr="5D8904BE">
              <w:rPr>
                <w:i/>
                <w:iCs/>
                <w:sz w:val="20"/>
                <w:szCs w:val="20"/>
                <w:lang w:val="en-US"/>
              </w:rPr>
              <w:t>UNSDCF 2020-24: Outcome 2: By 2024, Malians, especially women and youth, reap the benefits of inclusive and sustainable growth in a diversified, job-creating and resilient economy</w:t>
            </w:r>
          </w:p>
          <w:p w14:paraId="00000018" w14:textId="77777777" w:rsidR="004F7DB3" w:rsidRPr="00263D2C" w:rsidRDefault="552CE4D7" w:rsidP="5D8904BE">
            <w:pPr>
              <w:spacing w:after="240" w:line="240" w:lineRule="auto"/>
              <w:jc w:val="both"/>
              <w:rPr>
                <w:i/>
                <w:iCs/>
                <w:sz w:val="20"/>
                <w:szCs w:val="20"/>
                <w:lang w:val="en-US"/>
              </w:rPr>
            </w:pPr>
            <w:r w:rsidRPr="5D8904BE">
              <w:rPr>
                <w:i/>
                <w:iCs/>
                <w:sz w:val="20"/>
                <w:szCs w:val="20"/>
                <w:lang w:val="en-US"/>
              </w:rPr>
              <w:t>SCP 2020-24: Output 2.2: National and local institutions strengthened their capacity to plan, budget, implement, monitor and evaluate policies and strategies for the achievement of the Sustainable Development Goals</w:t>
            </w:r>
          </w:p>
          <w:p w14:paraId="00000019" w14:textId="77777777" w:rsidR="004F7DB3" w:rsidRPr="00263D2C" w:rsidRDefault="552CE4D7" w:rsidP="5D8904BE">
            <w:pPr>
              <w:spacing w:after="240" w:line="240" w:lineRule="auto"/>
              <w:jc w:val="both"/>
              <w:rPr>
                <w:i/>
                <w:iCs/>
                <w:sz w:val="20"/>
                <w:szCs w:val="20"/>
                <w:lang w:val="en-US"/>
              </w:rPr>
            </w:pPr>
            <w:r w:rsidRPr="5D8904BE">
              <w:rPr>
                <w:i/>
                <w:iCs/>
                <w:sz w:val="20"/>
                <w:szCs w:val="20"/>
                <w:lang w:val="en-US"/>
              </w:rPr>
              <w:t>UNSDCF 2020-24: Outcome 3: By 2024, communities manage natural resources and the environment in a sustainable and equitable manner, and are more resilient to the adverse impacts of climate change</w:t>
            </w:r>
          </w:p>
          <w:p w14:paraId="0000001A" w14:textId="77777777" w:rsidR="004F7DB3" w:rsidRPr="00263D2C" w:rsidRDefault="552CE4D7" w:rsidP="5D8904BE">
            <w:pPr>
              <w:spacing w:after="240" w:line="240" w:lineRule="auto"/>
              <w:jc w:val="both"/>
              <w:rPr>
                <w:i/>
                <w:iCs/>
                <w:sz w:val="20"/>
                <w:szCs w:val="20"/>
                <w:lang w:val="en-US"/>
              </w:rPr>
            </w:pPr>
            <w:r w:rsidRPr="5D8904BE">
              <w:rPr>
                <w:i/>
                <w:iCs/>
                <w:sz w:val="20"/>
                <w:szCs w:val="20"/>
                <w:lang w:val="en-US"/>
              </w:rPr>
              <w:t>Output 3.3: Solutions are adopted to achieve universal access to clean, affordable and sustainable energy, and generate income for women and youth through innovative technologies and financing</w:t>
            </w:r>
          </w:p>
        </w:tc>
      </w:tr>
      <w:tr w:rsidR="004F7DB3" w14:paraId="165B3AEF" w14:textId="77777777" w:rsidTr="2DC80E69">
        <w:trPr>
          <w:trHeight w:val="1610"/>
        </w:trPr>
        <w:tc>
          <w:tcPr>
            <w:tcW w:w="4227" w:type="dxa"/>
            <w:gridSpan w:val="3"/>
          </w:tcPr>
          <w:p w14:paraId="0000001F" w14:textId="77777777" w:rsidR="004F7DB3" w:rsidRPr="00C00123" w:rsidRDefault="6E52724E" w:rsidP="53AE587F">
            <w:pPr>
              <w:spacing w:after="240" w:line="240" w:lineRule="auto"/>
              <w:jc w:val="both"/>
              <w:rPr>
                <w:b/>
                <w:bCs/>
                <w:sz w:val="20"/>
                <w:szCs w:val="20"/>
                <w:lang w:val="en-US"/>
              </w:rPr>
            </w:pPr>
            <w:r w:rsidRPr="51745E8D">
              <w:rPr>
                <w:b/>
                <w:bCs/>
                <w:sz w:val="20"/>
                <w:szCs w:val="20"/>
                <w:lang w:val="en-US"/>
              </w:rPr>
              <w:t>UNDP Social and Environmental Screening Category:</w:t>
            </w:r>
          </w:p>
          <w:p w14:paraId="44479FE4" w14:textId="4062AD04" w:rsidR="3904C49B" w:rsidRDefault="20E52154" w:rsidP="3C8408A9">
            <w:pPr>
              <w:spacing w:after="240" w:line="240" w:lineRule="auto"/>
              <w:jc w:val="both"/>
              <w:rPr>
                <w:b/>
                <w:bCs/>
                <w:sz w:val="20"/>
                <w:szCs w:val="20"/>
                <w:lang w:val="en-US"/>
              </w:rPr>
            </w:pPr>
            <w:r w:rsidRPr="51745E8D">
              <w:rPr>
                <w:b/>
                <w:bCs/>
                <w:sz w:val="20"/>
                <w:szCs w:val="20"/>
                <w:lang w:val="en-US"/>
              </w:rPr>
              <w:t>Moderate</w:t>
            </w:r>
          </w:p>
          <w:p w14:paraId="00000020" w14:textId="77777777" w:rsidR="004F7DB3" w:rsidRPr="00C00123" w:rsidRDefault="004F7DB3" w:rsidP="53AE587F">
            <w:pPr>
              <w:spacing w:after="240" w:line="240" w:lineRule="auto"/>
              <w:rPr>
                <w:i/>
                <w:iCs/>
                <w:sz w:val="20"/>
                <w:szCs w:val="20"/>
                <w:lang w:val="en-US"/>
              </w:rPr>
            </w:pPr>
          </w:p>
        </w:tc>
        <w:tc>
          <w:tcPr>
            <w:tcW w:w="5128" w:type="dxa"/>
            <w:gridSpan w:val="2"/>
          </w:tcPr>
          <w:p w14:paraId="00000023" w14:textId="77777777" w:rsidR="004F7DB3" w:rsidRDefault="552CE4D7" w:rsidP="53AE587F">
            <w:pPr>
              <w:spacing w:after="240" w:line="240" w:lineRule="auto"/>
              <w:jc w:val="both"/>
              <w:rPr>
                <w:b/>
                <w:bCs/>
                <w:sz w:val="20"/>
                <w:szCs w:val="20"/>
              </w:rPr>
            </w:pPr>
            <w:r w:rsidRPr="5D8904BE">
              <w:rPr>
                <w:b/>
                <w:bCs/>
                <w:sz w:val="20"/>
                <w:szCs w:val="20"/>
              </w:rPr>
              <w:t xml:space="preserve">UNDP </w:t>
            </w:r>
            <w:proofErr w:type="spellStart"/>
            <w:r w:rsidRPr="5D8904BE">
              <w:rPr>
                <w:b/>
                <w:bCs/>
                <w:sz w:val="20"/>
                <w:szCs w:val="20"/>
              </w:rPr>
              <w:t>Gender</w:t>
            </w:r>
            <w:proofErr w:type="spellEnd"/>
            <w:r w:rsidRPr="5D8904BE">
              <w:rPr>
                <w:b/>
                <w:bCs/>
                <w:sz w:val="20"/>
                <w:szCs w:val="20"/>
              </w:rPr>
              <w:t xml:space="preserve"> </w:t>
            </w:r>
            <w:proofErr w:type="gramStart"/>
            <w:r w:rsidRPr="5D8904BE">
              <w:rPr>
                <w:b/>
                <w:bCs/>
                <w:sz w:val="20"/>
                <w:szCs w:val="20"/>
              </w:rPr>
              <w:t>Marker:</w:t>
            </w:r>
            <w:proofErr w:type="gramEnd"/>
            <w:r w:rsidRPr="5D8904BE">
              <w:rPr>
                <w:b/>
                <w:bCs/>
                <w:sz w:val="20"/>
                <w:szCs w:val="20"/>
              </w:rPr>
              <w:t xml:space="preserve"> </w:t>
            </w:r>
          </w:p>
          <w:p w14:paraId="00000024" w14:textId="77777777" w:rsidR="004F7DB3" w:rsidRDefault="496F1838" w:rsidP="53AE587F">
            <w:pPr>
              <w:spacing w:after="240" w:line="240" w:lineRule="auto"/>
              <w:rPr>
                <w:i/>
                <w:iCs/>
                <w:sz w:val="20"/>
                <w:szCs w:val="20"/>
              </w:rPr>
            </w:pPr>
            <w:r w:rsidRPr="3C8408A9">
              <w:rPr>
                <w:i/>
                <w:iCs/>
                <w:sz w:val="20"/>
                <w:szCs w:val="20"/>
              </w:rPr>
              <w:t xml:space="preserve">GEN 2 </w:t>
            </w:r>
          </w:p>
          <w:p w14:paraId="00000025" w14:textId="77777777" w:rsidR="004F7DB3" w:rsidRDefault="004F7DB3" w:rsidP="53AE587F">
            <w:pPr>
              <w:spacing w:after="240" w:line="240" w:lineRule="auto"/>
              <w:rPr>
                <w:i/>
                <w:iCs/>
                <w:sz w:val="20"/>
                <w:szCs w:val="20"/>
              </w:rPr>
            </w:pPr>
          </w:p>
        </w:tc>
      </w:tr>
      <w:tr w:rsidR="004F7DB3" w14:paraId="44F0B279" w14:textId="77777777" w:rsidTr="2DC80E69">
        <w:tc>
          <w:tcPr>
            <w:tcW w:w="4227" w:type="dxa"/>
            <w:gridSpan w:val="3"/>
          </w:tcPr>
          <w:p w14:paraId="00000027" w14:textId="0B3509FA" w:rsidR="004F7DB3" w:rsidRPr="00C00123" w:rsidRDefault="764E399E">
            <w:pPr>
              <w:spacing w:after="240" w:line="240" w:lineRule="auto"/>
              <w:jc w:val="both"/>
              <w:rPr>
                <w:sz w:val="20"/>
                <w:szCs w:val="20"/>
                <w:lang w:val="en-US"/>
              </w:rPr>
            </w:pPr>
            <w:r w:rsidRPr="5D8904BE">
              <w:rPr>
                <w:b/>
                <w:bCs/>
                <w:sz w:val="20"/>
                <w:szCs w:val="20"/>
                <w:lang w:val="en-US"/>
              </w:rPr>
              <w:t xml:space="preserve">Quantum Award ID: </w:t>
            </w:r>
            <w:r w:rsidR="00C6418F">
              <w:rPr>
                <w:i/>
                <w:iCs/>
                <w:sz w:val="20"/>
                <w:szCs w:val="20"/>
                <w:lang w:val="en-US"/>
              </w:rPr>
              <w:t>TBC</w:t>
            </w:r>
          </w:p>
        </w:tc>
        <w:tc>
          <w:tcPr>
            <w:tcW w:w="5128" w:type="dxa"/>
            <w:gridSpan w:val="2"/>
          </w:tcPr>
          <w:p w14:paraId="0000002A" w14:textId="1A35000C" w:rsidR="004F7DB3" w:rsidRDefault="3A470758" w:rsidP="5D8904BE">
            <w:pPr>
              <w:spacing w:after="0" w:line="240" w:lineRule="auto"/>
              <w:jc w:val="both"/>
              <w:rPr>
                <w:i/>
                <w:iCs/>
                <w:sz w:val="20"/>
                <w:szCs w:val="20"/>
              </w:rPr>
            </w:pPr>
            <w:r w:rsidRPr="5D8904BE">
              <w:rPr>
                <w:b/>
                <w:bCs/>
                <w:sz w:val="20"/>
                <w:szCs w:val="20"/>
                <w:lang w:val="en-US"/>
              </w:rPr>
              <w:t xml:space="preserve">Quantum Project ID: </w:t>
            </w:r>
          </w:p>
        </w:tc>
      </w:tr>
      <w:tr w:rsidR="004F7DB3" w:rsidRPr="003A21B0" w14:paraId="60FBA904" w14:textId="77777777" w:rsidTr="2DC80E69">
        <w:tc>
          <w:tcPr>
            <w:tcW w:w="4227" w:type="dxa"/>
            <w:gridSpan w:val="3"/>
          </w:tcPr>
          <w:p w14:paraId="0000002C" w14:textId="7E110007" w:rsidR="004F7DB3" w:rsidRPr="00C00123" w:rsidRDefault="03917813" w:rsidP="203CF2FF">
            <w:pPr>
              <w:spacing w:after="240" w:line="240" w:lineRule="auto"/>
              <w:jc w:val="both"/>
              <w:rPr>
                <w:b/>
                <w:bCs/>
                <w:sz w:val="20"/>
                <w:szCs w:val="20"/>
                <w:lang w:val="en-US"/>
              </w:rPr>
            </w:pPr>
            <w:r w:rsidRPr="24AA8F7E">
              <w:rPr>
                <w:b/>
                <w:bCs/>
                <w:sz w:val="20"/>
                <w:szCs w:val="20"/>
                <w:lang w:val="en-US"/>
              </w:rPr>
              <w:t xml:space="preserve">UNDP PIMS ID number: </w:t>
            </w:r>
            <w:r w:rsidR="11068CEC" w:rsidRPr="24AA8F7E">
              <w:rPr>
                <w:i/>
                <w:iCs/>
                <w:sz w:val="20"/>
                <w:szCs w:val="20"/>
                <w:lang w:val="en-US"/>
              </w:rPr>
              <w:t>9790</w:t>
            </w:r>
          </w:p>
        </w:tc>
        <w:tc>
          <w:tcPr>
            <w:tcW w:w="5128" w:type="dxa"/>
            <w:gridSpan w:val="2"/>
          </w:tcPr>
          <w:p w14:paraId="0000002F" w14:textId="3D7F21C9" w:rsidR="004F7DB3" w:rsidRPr="00C00123" w:rsidRDefault="03917813" w:rsidP="203CF2FF">
            <w:pPr>
              <w:spacing w:after="240" w:line="240" w:lineRule="auto"/>
              <w:jc w:val="both"/>
              <w:rPr>
                <w:b/>
                <w:bCs/>
                <w:sz w:val="20"/>
                <w:szCs w:val="20"/>
                <w:lang w:val="en-US"/>
              </w:rPr>
            </w:pPr>
            <w:r w:rsidRPr="24AA8F7E">
              <w:rPr>
                <w:b/>
                <w:bCs/>
                <w:sz w:val="20"/>
                <w:szCs w:val="20"/>
                <w:lang w:val="en-US"/>
              </w:rPr>
              <w:t xml:space="preserve">GEF Project ID number: </w:t>
            </w:r>
            <w:r w:rsidR="001D7063">
              <w:rPr>
                <w:i/>
                <w:iCs/>
                <w:sz w:val="20"/>
                <w:szCs w:val="20"/>
                <w:lang w:val="en-US"/>
              </w:rPr>
              <w:t>01004564</w:t>
            </w:r>
          </w:p>
        </w:tc>
      </w:tr>
      <w:tr w:rsidR="004F7DB3" w:rsidRPr="003A21B0" w14:paraId="318FEF39" w14:textId="77777777" w:rsidTr="2DC80E69">
        <w:trPr>
          <w:trHeight w:val="350"/>
        </w:trPr>
        <w:tc>
          <w:tcPr>
            <w:tcW w:w="9355" w:type="dxa"/>
            <w:gridSpan w:val="5"/>
          </w:tcPr>
          <w:p w14:paraId="00000031" w14:textId="04C54840" w:rsidR="004F7DB3" w:rsidRPr="00C00123" w:rsidRDefault="03917813" w:rsidP="24AA8F7E">
            <w:pPr>
              <w:spacing w:after="240" w:line="240" w:lineRule="auto"/>
              <w:jc w:val="both"/>
              <w:rPr>
                <w:i/>
                <w:iCs/>
                <w:sz w:val="20"/>
                <w:szCs w:val="20"/>
                <w:lang w:val="en-US"/>
              </w:rPr>
            </w:pPr>
            <w:r w:rsidRPr="24AA8F7E">
              <w:rPr>
                <w:b/>
                <w:bCs/>
                <w:sz w:val="20"/>
                <w:szCs w:val="20"/>
                <w:lang w:val="en-US"/>
              </w:rPr>
              <w:t>LPAC meeting date:</w:t>
            </w:r>
            <w:r w:rsidR="74C83166" w:rsidRPr="24AA8F7E">
              <w:rPr>
                <w:b/>
                <w:bCs/>
                <w:sz w:val="20"/>
                <w:szCs w:val="20"/>
                <w:lang w:val="en-US"/>
              </w:rPr>
              <w:t xml:space="preserve"> </w:t>
            </w:r>
            <w:r w:rsidR="74C83166" w:rsidRPr="24AA8F7E">
              <w:rPr>
                <w:sz w:val="20"/>
                <w:szCs w:val="20"/>
                <w:lang w:val="en-US"/>
              </w:rPr>
              <w:t>December 20,2025</w:t>
            </w:r>
          </w:p>
        </w:tc>
      </w:tr>
      <w:tr w:rsidR="004F7DB3" w:rsidRPr="00F50786" w14:paraId="79D91F57" w14:textId="77777777" w:rsidTr="2DC80E69">
        <w:trPr>
          <w:trHeight w:val="350"/>
        </w:trPr>
        <w:tc>
          <w:tcPr>
            <w:tcW w:w="9355" w:type="dxa"/>
            <w:gridSpan w:val="5"/>
          </w:tcPr>
          <w:p w14:paraId="00000036" w14:textId="77777777" w:rsidR="004F7DB3" w:rsidRPr="00C00123" w:rsidRDefault="552CE4D7" w:rsidP="5D8904BE">
            <w:pPr>
              <w:spacing w:after="240" w:line="240" w:lineRule="auto"/>
              <w:jc w:val="both"/>
              <w:rPr>
                <w:b/>
                <w:bCs/>
                <w:sz w:val="20"/>
                <w:szCs w:val="20"/>
                <w:lang w:val="en-US"/>
              </w:rPr>
            </w:pPr>
            <w:r w:rsidRPr="5D8904BE">
              <w:rPr>
                <w:b/>
                <w:bCs/>
                <w:sz w:val="20"/>
                <w:szCs w:val="20"/>
                <w:lang w:val="en-US"/>
              </w:rPr>
              <w:t xml:space="preserve">Last possible date to submit to GEF: </w:t>
            </w:r>
            <w:r w:rsidRPr="5D8904BE">
              <w:rPr>
                <w:sz w:val="20"/>
                <w:szCs w:val="20"/>
                <w:lang w:val="en-US"/>
              </w:rPr>
              <w:t xml:space="preserve">June 2025 </w:t>
            </w:r>
          </w:p>
        </w:tc>
      </w:tr>
      <w:tr w:rsidR="004F7DB3" w:rsidRPr="00F50786" w14:paraId="1994514E" w14:textId="77777777" w:rsidTr="2DC80E69">
        <w:trPr>
          <w:trHeight w:val="350"/>
        </w:trPr>
        <w:tc>
          <w:tcPr>
            <w:tcW w:w="9355" w:type="dxa"/>
            <w:gridSpan w:val="5"/>
          </w:tcPr>
          <w:p w14:paraId="0000003B" w14:textId="77777777" w:rsidR="004F7DB3" w:rsidRPr="00C00123" w:rsidRDefault="10B7FF59" w:rsidP="203CF2FF">
            <w:pPr>
              <w:spacing w:after="240" w:line="240" w:lineRule="auto"/>
              <w:jc w:val="both"/>
              <w:rPr>
                <w:b/>
                <w:bCs/>
                <w:sz w:val="20"/>
                <w:szCs w:val="20"/>
                <w:lang w:val="en-US"/>
              </w:rPr>
            </w:pPr>
            <w:r w:rsidRPr="5D8904BE">
              <w:rPr>
                <w:b/>
                <w:bCs/>
                <w:sz w:val="20"/>
                <w:szCs w:val="20"/>
                <w:lang w:val="en-US"/>
              </w:rPr>
              <w:lastRenderedPageBreak/>
              <w:t xml:space="preserve">Latest possible CEO endorsement date: </w:t>
            </w:r>
            <w:r w:rsidRPr="5D8904BE">
              <w:rPr>
                <w:i/>
                <w:iCs/>
                <w:sz w:val="20"/>
                <w:szCs w:val="20"/>
                <w:lang w:val="en-US"/>
              </w:rPr>
              <w:t xml:space="preserve">this date must be 18 months after PIF approval for FSPs and 12 months of PIF approval for MSPs or the project is automatically cancelled by the GEF </w:t>
            </w:r>
          </w:p>
        </w:tc>
      </w:tr>
      <w:tr w:rsidR="004F7DB3" w:rsidRPr="00F50786" w14:paraId="69FFEB2F" w14:textId="77777777" w:rsidTr="2DC80E69">
        <w:trPr>
          <w:trHeight w:val="350"/>
        </w:trPr>
        <w:tc>
          <w:tcPr>
            <w:tcW w:w="9355" w:type="dxa"/>
            <w:gridSpan w:val="5"/>
          </w:tcPr>
          <w:p w14:paraId="00000040" w14:textId="77777777" w:rsidR="004F7DB3" w:rsidRPr="00263D2C" w:rsidRDefault="552CE4D7" w:rsidP="5D8904BE">
            <w:pPr>
              <w:spacing w:after="240" w:line="240" w:lineRule="auto"/>
              <w:jc w:val="both"/>
              <w:rPr>
                <w:b/>
                <w:bCs/>
                <w:sz w:val="20"/>
                <w:szCs w:val="20"/>
                <w:lang w:val="en-US"/>
              </w:rPr>
            </w:pPr>
            <w:r w:rsidRPr="5D8904BE">
              <w:rPr>
                <w:b/>
                <w:bCs/>
                <w:sz w:val="20"/>
                <w:szCs w:val="20"/>
                <w:lang w:val="en-US"/>
              </w:rPr>
              <w:t>Project duration in months:</w:t>
            </w:r>
            <w:r w:rsidRPr="5D8904BE">
              <w:rPr>
                <w:sz w:val="20"/>
                <w:szCs w:val="20"/>
                <w:lang w:val="en-US"/>
              </w:rPr>
              <w:t xml:space="preserve"> 60 months  </w:t>
            </w:r>
          </w:p>
        </w:tc>
      </w:tr>
      <w:tr w:rsidR="004F7DB3" w14:paraId="19EE5FB7" w14:textId="77777777" w:rsidTr="2DC80E69">
        <w:trPr>
          <w:trHeight w:val="710"/>
        </w:trPr>
        <w:tc>
          <w:tcPr>
            <w:tcW w:w="4227" w:type="dxa"/>
            <w:gridSpan w:val="3"/>
          </w:tcPr>
          <w:p w14:paraId="00000045" w14:textId="77777777" w:rsidR="004F7DB3" w:rsidRDefault="552CE4D7" w:rsidP="5D8904BE">
            <w:pPr>
              <w:spacing w:after="240" w:line="240" w:lineRule="auto"/>
              <w:jc w:val="both"/>
              <w:rPr>
                <w:b/>
                <w:bCs/>
                <w:sz w:val="20"/>
                <w:szCs w:val="20"/>
              </w:rPr>
            </w:pPr>
            <w:proofErr w:type="spellStart"/>
            <w:r w:rsidRPr="5D8904BE">
              <w:rPr>
                <w:b/>
                <w:bCs/>
                <w:sz w:val="20"/>
                <w:szCs w:val="20"/>
              </w:rPr>
              <w:t>Planned</w:t>
            </w:r>
            <w:proofErr w:type="spellEnd"/>
            <w:r w:rsidRPr="5D8904BE">
              <w:rPr>
                <w:b/>
                <w:bCs/>
                <w:sz w:val="20"/>
                <w:szCs w:val="20"/>
              </w:rPr>
              <w:t xml:space="preserve"> start </w:t>
            </w:r>
            <w:proofErr w:type="gramStart"/>
            <w:r w:rsidRPr="5D8904BE">
              <w:rPr>
                <w:b/>
                <w:bCs/>
                <w:sz w:val="20"/>
                <w:szCs w:val="20"/>
              </w:rPr>
              <w:t>date:</w:t>
            </w:r>
            <w:proofErr w:type="gramEnd"/>
            <w:r w:rsidRPr="5D8904BE">
              <w:rPr>
                <w:b/>
                <w:bCs/>
                <w:sz w:val="20"/>
                <w:szCs w:val="20"/>
              </w:rPr>
              <w:t xml:space="preserve"> </w:t>
            </w:r>
            <w:r w:rsidRPr="5D8904BE">
              <w:rPr>
                <w:sz w:val="20"/>
                <w:szCs w:val="20"/>
              </w:rPr>
              <w:t xml:space="preserve">01 March 2026 </w:t>
            </w:r>
          </w:p>
          <w:p w14:paraId="00000046" w14:textId="77777777" w:rsidR="004F7DB3" w:rsidRDefault="004F7DB3">
            <w:pPr>
              <w:spacing w:after="240" w:line="240" w:lineRule="auto"/>
              <w:jc w:val="both"/>
              <w:rPr>
                <w:b/>
                <w:sz w:val="20"/>
                <w:szCs w:val="20"/>
              </w:rPr>
            </w:pPr>
          </w:p>
        </w:tc>
        <w:tc>
          <w:tcPr>
            <w:tcW w:w="5128" w:type="dxa"/>
            <w:gridSpan w:val="2"/>
          </w:tcPr>
          <w:p w14:paraId="00000049" w14:textId="1A35A6B5" w:rsidR="004F7DB3" w:rsidRDefault="352EB93F" w:rsidP="5D8904BE">
            <w:pPr>
              <w:spacing w:after="240" w:line="240" w:lineRule="auto"/>
              <w:jc w:val="both"/>
              <w:rPr>
                <w:i/>
                <w:iCs/>
                <w:sz w:val="20"/>
                <w:szCs w:val="20"/>
              </w:rPr>
            </w:pPr>
            <w:proofErr w:type="spellStart"/>
            <w:r w:rsidRPr="5D8904BE">
              <w:rPr>
                <w:b/>
                <w:bCs/>
                <w:sz w:val="20"/>
                <w:szCs w:val="20"/>
              </w:rPr>
              <w:t>Planned</w:t>
            </w:r>
            <w:proofErr w:type="spellEnd"/>
            <w:r w:rsidRPr="5D8904BE">
              <w:rPr>
                <w:b/>
                <w:bCs/>
                <w:sz w:val="20"/>
                <w:szCs w:val="20"/>
              </w:rPr>
              <w:t xml:space="preserve"> </w:t>
            </w:r>
            <w:proofErr w:type="spellStart"/>
            <w:r w:rsidRPr="5D8904BE">
              <w:rPr>
                <w:b/>
                <w:bCs/>
                <w:sz w:val="20"/>
                <w:szCs w:val="20"/>
              </w:rPr>
              <w:t>completion</w:t>
            </w:r>
            <w:proofErr w:type="spellEnd"/>
            <w:r w:rsidRPr="5D8904BE">
              <w:rPr>
                <w:b/>
                <w:bCs/>
                <w:sz w:val="20"/>
                <w:szCs w:val="20"/>
              </w:rPr>
              <w:t xml:space="preserve"> </w:t>
            </w:r>
            <w:proofErr w:type="gramStart"/>
            <w:r w:rsidRPr="5D8904BE">
              <w:rPr>
                <w:b/>
                <w:bCs/>
                <w:sz w:val="20"/>
                <w:szCs w:val="20"/>
              </w:rPr>
              <w:t>date:</w:t>
            </w:r>
            <w:proofErr w:type="gramEnd"/>
            <w:r w:rsidRPr="5D8904BE">
              <w:rPr>
                <w:b/>
                <w:bCs/>
                <w:sz w:val="20"/>
                <w:szCs w:val="20"/>
              </w:rPr>
              <w:t xml:space="preserve"> </w:t>
            </w:r>
            <w:r w:rsidR="383645C0" w:rsidRPr="5D8904BE">
              <w:rPr>
                <w:sz w:val="20"/>
                <w:szCs w:val="20"/>
              </w:rPr>
              <w:t xml:space="preserve">28 </w:t>
            </w:r>
            <w:proofErr w:type="spellStart"/>
            <w:r w:rsidR="383645C0" w:rsidRPr="5D8904BE">
              <w:rPr>
                <w:sz w:val="20"/>
                <w:szCs w:val="20"/>
              </w:rPr>
              <w:t>February</w:t>
            </w:r>
            <w:proofErr w:type="spellEnd"/>
            <w:r w:rsidRPr="5D8904BE">
              <w:rPr>
                <w:sz w:val="20"/>
                <w:szCs w:val="20"/>
              </w:rPr>
              <w:t xml:space="preserve"> 2031</w:t>
            </w:r>
          </w:p>
          <w:p w14:paraId="0000004A" w14:textId="77777777" w:rsidR="004F7DB3" w:rsidRDefault="004F7DB3">
            <w:pPr>
              <w:spacing w:after="240" w:line="240" w:lineRule="auto"/>
              <w:jc w:val="both"/>
              <w:rPr>
                <w:i/>
                <w:sz w:val="20"/>
                <w:szCs w:val="20"/>
              </w:rPr>
            </w:pPr>
          </w:p>
        </w:tc>
      </w:tr>
      <w:tr w:rsidR="004F7DB3" w:rsidRPr="00F50786" w14:paraId="68DAA9B3" w14:textId="77777777" w:rsidTr="2DC80E69">
        <w:tc>
          <w:tcPr>
            <w:tcW w:w="4227" w:type="dxa"/>
            <w:gridSpan w:val="3"/>
          </w:tcPr>
          <w:p w14:paraId="0000004C" w14:textId="2C5287E0" w:rsidR="004F7DB3" w:rsidRPr="00263D2C" w:rsidRDefault="0FE82474" w:rsidP="3D58A386">
            <w:pPr>
              <w:spacing w:after="240" w:line="240" w:lineRule="auto"/>
              <w:jc w:val="both"/>
              <w:rPr>
                <w:i/>
                <w:iCs/>
                <w:sz w:val="20"/>
                <w:szCs w:val="20"/>
                <w:lang w:val="en-US"/>
              </w:rPr>
            </w:pPr>
            <w:r w:rsidRPr="3D58A386">
              <w:rPr>
                <w:b/>
                <w:bCs/>
                <w:sz w:val="20"/>
                <w:szCs w:val="20"/>
                <w:lang w:val="en-US"/>
              </w:rPr>
              <w:t xml:space="preserve">Expected date of Mid-Term Review (MTR) submission to the GEF: </w:t>
            </w:r>
            <w:r w:rsidR="05D698F1" w:rsidRPr="3D58A386">
              <w:rPr>
                <w:b/>
                <w:bCs/>
                <w:sz w:val="20"/>
                <w:szCs w:val="20"/>
                <w:lang w:val="en-US"/>
              </w:rPr>
              <w:t xml:space="preserve">01 March </w:t>
            </w:r>
            <w:r w:rsidRPr="3D58A386">
              <w:rPr>
                <w:sz w:val="20"/>
                <w:szCs w:val="20"/>
                <w:lang w:val="en-US"/>
              </w:rPr>
              <w:t>2028</w:t>
            </w:r>
          </w:p>
          <w:p w14:paraId="0000004D" w14:textId="77777777" w:rsidR="004F7DB3" w:rsidRPr="00263D2C" w:rsidRDefault="004F7DB3">
            <w:pPr>
              <w:spacing w:after="240" w:line="240" w:lineRule="auto"/>
              <w:jc w:val="both"/>
              <w:rPr>
                <w:i/>
                <w:sz w:val="20"/>
                <w:szCs w:val="20"/>
                <w:lang w:val="en-US"/>
              </w:rPr>
            </w:pPr>
          </w:p>
        </w:tc>
        <w:tc>
          <w:tcPr>
            <w:tcW w:w="5128" w:type="dxa"/>
            <w:gridSpan w:val="2"/>
          </w:tcPr>
          <w:p w14:paraId="00000052" w14:textId="10F5DA7E" w:rsidR="004F7DB3" w:rsidRPr="00263D2C" w:rsidRDefault="352EB93F" w:rsidP="5D8904BE">
            <w:pPr>
              <w:spacing w:after="240" w:line="240" w:lineRule="auto"/>
              <w:jc w:val="both"/>
              <w:rPr>
                <w:sz w:val="20"/>
                <w:szCs w:val="20"/>
                <w:lang w:val="en-US"/>
              </w:rPr>
            </w:pPr>
            <w:r w:rsidRPr="5D8904BE">
              <w:rPr>
                <w:b/>
                <w:bCs/>
                <w:sz w:val="20"/>
                <w:szCs w:val="20"/>
                <w:lang w:val="en-US"/>
              </w:rPr>
              <w:t xml:space="preserve">Expected date of Terminal evaluation (TE) submission to the GEF: </w:t>
            </w:r>
            <w:r w:rsidR="570DE094" w:rsidRPr="5D8904BE">
              <w:rPr>
                <w:b/>
                <w:bCs/>
                <w:sz w:val="20"/>
                <w:szCs w:val="20"/>
                <w:lang w:val="en-US"/>
              </w:rPr>
              <w:t xml:space="preserve"> </w:t>
            </w:r>
            <w:r w:rsidR="570DE094" w:rsidRPr="5D8904BE">
              <w:rPr>
                <w:sz w:val="20"/>
                <w:szCs w:val="20"/>
                <w:lang w:val="en-US"/>
              </w:rPr>
              <w:t xml:space="preserve">31 </w:t>
            </w:r>
            <w:r w:rsidR="4F8786D1" w:rsidRPr="5D8904BE">
              <w:rPr>
                <w:sz w:val="20"/>
                <w:szCs w:val="20"/>
                <w:lang w:val="en-US"/>
              </w:rPr>
              <w:t xml:space="preserve">August </w:t>
            </w:r>
            <w:r w:rsidR="570DE094" w:rsidRPr="5D8904BE">
              <w:rPr>
                <w:sz w:val="20"/>
                <w:szCs w:val="20"/>
                <w:lang w:val="en-US"/>
              </w:rPr>
              <w:t>2031</w:t>
            </w:r>
          </w:p>
        </w:tc>
      </w:tr>
      <w:tr w:rsidR="004F7DB3" w:rsidRPr="00F50786" w14:paraId="27AD170A" w14:textId="77777777" w:rsidTr="2DC80E69">
        <w:trPr>
          <w:trHeight w:val="300"/>
        </w:trPr>
        <w:tc>
          <w:tcPr>
            <w:tcW w:w="4227" w:type="dxa"/>
            <w:gridSpan w:val="3"/>
          </w:tcPr>
          <w:p w14:paraId="00000054" w14:textId="27AA126B" w:rsidR="004F7DB3" w:rsidRPr="00C00123" w:rsidRDefault="352EB93F" w:rsidP="5D8904BE">
            <w:pPr>
              <w:spacing w:after="240" w:line="240" w:lineRule="auto"/>
              <w:jc w:val="both"/>
              <w:rPr>
                <w:i/>
                <w:iCs/>
                <w:sz w:val="20"/>
                <w:szCs w:val="20"/>
                <w:lang w:val="en-US"/>
              </w:rPr>
            </w:pPr>
            <w:r w:rsidRPr="5D8904BE">
              <w:rPr>
                <w:b/>
                <w:bCs/>
                <w:sz w:val="20"/>
                <w:szCs w:val="20"/>
                <w:lang w:val="en-US"/>
              </w:rPr>
              <w:t>Expected Operational Closure Date:</w:t>
            </w:r>
            <w:r w:rsidRPr="5D8904BE">
              <w:rPr>
                <w:i/>
                <w:iCs/>
                <w:sz w:val="20"/>
                <w:szCs w:val="20"/>
                <w:lang w:val="en-US"/>
              </w:rPr>
              <w:t xml:space="preserve"> </w:t>
            </w:r>
            <w:r w:rsidR="1F3444C8" w:rsidRPr="5D8904BE">
              <w:rPr>
                <w:sz w:val="20"/>
                <w:szCs w:val="20"/>
                <w:lang w:val="en-US"/>
              </w:rPr>
              <w:t>30 November 2031</w:t>
            </w:r>
          </w:p>
        </w:tc>
        <w:tc>
          <w:tcPr>
            <w:tcW w:w="5128" w:type="dxa"/>
            <w:gridSpan w:val="2"/>
          </w:tcPr>
          <w:p w14:paraId="00000057" w14:textId="7C12979F" w:rsidR="004F7DB3" w:rsidRPr="00263D2C" w:rsidRDefault="352EB93F" w:rsidP="24AA8F7E">
            <w:pPr>
              <w:spacing w:after="240" w:line="240" w:lineRule="auto"/>
              <w:jc w:val="both"/>
              <w:rPr>
                <w:b/>
                <w:bCs/>
                <w:sz w:val="20"/>
                <w:szCs w:val="20"/>
                <w:lang w:val="en-US"/>
              </w:rPr>
            </w:pPr>
            <w:r w:rsidRPr="5D8904BE">
              <w:rPr>
                <w:b/>
                <w:bCs/>
                <w:sz w:val="20"/>
                <w:szCs w:val="20"/>
                <w:lang w:val="en-US"/>
              </w:rPr>
              <w:t>Expected Financial Closure Date:</w:t>
            </w:r>
            <w:r w:rsidR="29FF47F4" w:rsidRPr="5D8904BE">
              <w:rPr>
                <w:sz w:val="20"/>
                <w:szCs w:val="20"/>
                <w:lang w:val="en-US"/>
              </w:rPr>
              <w:t>31 May 2032</w:t>
            </w:r>
          </w:p>
        </w:tc>
      </w:tr>
      <w:tr w:rsidR="004F7DB3" w:rsidRPr="00F50786" w14:paraId="36599A66" w14:textId="77777777" w:rsidTr="2DC80E69">
        <w:trPr>
          <w:trHeight w:val="530"/>
        </w:trPr>
        <w:tc>
          <w:tcPr>
            <w:tcW w:w="93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80B854" w14:textId="315A8FA5" w:rsidR="004F7DB3" w:rsidRPr="00857B81" w:rsidRDefault="3A6B4389" w:rsidP="00722DB0">
            <w:pPr>
              <w:spacing w:after="0" w:line="240" w:lineRule="auto"/>
              <w:jc w:val="both"/>
              <w:rPr>
                <w:sz w:val="20"/>
                <w:szCs w:val="20"/>
                <w:highlight w:val="yellow"/>
                <w:lang w:val="en-US"/>
              </w:rPr>
            </w:pPr>
            <w:r w:rsidRPr="00857B81">
              <w:rPr>
                <w:b/>
                <w:bCs/>
                <w:sz w:val="20"/>
                <w:szCs w:val="20"/>
                <w:highlight w:val="yellow"/>
                <w:lang w:val="en-US"/>
              </w:rPr>
              <w:t>Brief project description</w:t>
            </w:r>
            <w:proofErr w:type="gramStart"/>
            <w:r w:rsidRPr="00857B81">
              <w:rPr>
                <w:b/>
                <w:bCs/>
                <w:sz w:val="20"/>
                <w:szCs w:val="20"/>
                <w:highlight w:val="yellow"/>
                <w:lang w:val="en-US"/>
              </w:rPr>
              <w:t xml:space="preserve">: </w:t>
            </w:r>
            <w:r w:rsidRPr="00857B81">
              <w:rPr>
                <w:i/>
                <w:iCs/>
                <w:sz w:val="20"/>
                <w:szCs w:val="20"/>
                <w:highlight w:val="yellow"/>
                <w:lang w:val="en-US"/>
              </w:rPr>
              <w:t>.</w:t>
            </w:r>
            <w:proofErr w:type="gramEnd"/>
            <w:r w:rsidR="0E5DD796" w:rsidRPr="00857B81">
              <w:rPr>
                <w:sz w:val="20"/>
                <w:szCs w:val="20"/>
                <w:highlight w:val="yellow"/>
                <w:lang w:val="en-US"/>
              </w:rPr>
              <w:t xml:space="preserve"> </w:t>
            </w:r>
          </w:p>
          <w:p w14:paraId="2496D375" w14:textId="77777777" w:rsidR="00EE6A5F" w:rsidRPr="003C5C1B" w:rsidRDefault="00EE6A5F" w:rsidP="00722DB0">
            <w:pPr>
              <w:shd w:val="clear" w:color="auto" w:fill="FFFFFF" w:themeFill="background1"/>
              <w:jc w:val="both"/>
              <w:rPr>
                <w:color w:val="000000" w:themeColor="text1"/>
                <w:sz w:val="20"/>
                <w:szCs w:val="20"/>
                <w:highlight w:val="yellow"/>
                <w:lang w:val="en-US"/>
              </w:rPr>
            </w:pPr>
            <w:r w:rsidRPr="003C5C1B">
              <w:rPr>
                <w:color w:val="000000" w:themeColor="text1"/>
                <w:sz w:val="20"/>
                <w:szCs w:val="20"/>
                <w:highlight w:val="yellow"/>
                <w:lang w:val="en-US"/>
              </w:rPr>
              <w:t>The Integrated Urban Development Project (IUDP) in Bamako is one of the child projects of the global GEF-8 Sustainable Cities Integrated Program (SCIP). It contributes to the SCIP’s goal of enabling cities to pursue integrated, climate-resilient, low-carbon, and nature-positive development. Responding to environmental and climate threats linked to rapid and unplanned urban growth, the project advances systemic change through three interlinked pillars: low-emission and inclusive mobility, nature-based solutions for climate adaptation, and strengthened governance for sustainable urban planning.</w:t>
            </w:r>
          </w:p>
          <w:p w14:paraId="493AF975" w14:textId="14896F23" w:rsidR="00EE6A5F" w:rsidRPr="003C5C1B" w:rsidRDefault="00EE6A5F" w:rsidP="00722DB0">
            <w:pPr>
              <w:shd w:val="clear" w:color="auto" w:fill="FFFFFF" w:themeFill="background1"/>
              <w:jc w:val="both"/>
              <w:rPr>
                <w:color w:val="000000" w:themeColor="text1"/>
                <w:sz w:val="20"/>
                <w:szCs w:val="20"/>
                <w:highlight w:val="yellow"/>
                <w:lang w:val="en-US"/>
              </w:rPr>
            </w:pPr>
            <w:r w:rsidRPr="2DC80E69">
              <w:rPr>
                <w:color w:val="000000" w:themeColor="text1"/>
                <w:sz w:val="20"/>
                <w:szCs w:val="20"/>
                <w:highlight w:val="yellow"/>
                <w:lang w:val="en-US"/>
              </w:rPr>
              <w:t>The project tackles rising emissions and air pollution through low-carbon transport options, including e-mobility and pedestrian infrastructure, mitigating an estimated</w:t>
            </w:r>
            <w:r w:rsidR="172DFABD" w:rsidRPr="2DC80E69">
              <w:rPr>
                <w:color w:val="000000" w:themeColor="text1"/>
                <w:sz w:val="20"/>
                <w:szCs w:val="20"/>
                <w:highlight w:val="yellow"/>
                <w:lang w:val="en-US"/>
              </w:rPr>
              <w:t xml:space="preserve"> </w:t>
            </w:r>
            <w:r w:rsidRPr="2DC80E69">
              <w:rPr>
                <w:color w:val="000000" w:themeColor="text1"/>
                <w:sz w:val="20"/>
                <w:szCs w:val="20"/>
                <w:highlight w:val="yellow"/>
                <w:lang w:val="en-US"/>
              </w:rPr>
              <w:t xml:space="preserve">387,617 </w:t>
            </w:r>
            <w:proofErr w:type="spellStart"/>
            <w:r w:rsidRPr="2DC80E69">
              <w:rPr>
                <w:color w:val="000000" w:themeColor="text1"/>
                <w:sz w:val="20"/>
                <w:szCs w:val="20"/>
                <w:highlight w:val="yellow"/>
                <w:lang w:val="en-US"/>
              </w:rPr>
              <w:t>tCO₂e</w:t>
            </w:r>
            <w:proofErr w:type="spellEnd"/>
            <w:r w:rsidRPr="2DC80E69">
              <w:rPr>
                <w:color w:val="000000" w:themeColor="text1"/>
                <w:sz w:val="20"/>
                <w:szCs w:val="20"/>
                <w:highlight w:val="yellow"/>
                <w:lang w:val="en-US"/>
              </w:rPr>
              <w:t xml:space="preserve"> (Core Indicator #6). It also enhances resilience to climate shocks by establishing a multifunctional green belt that conserves biodiversity, restores degraded land, and provides buffers against floods and heatwaves. These efforts restore 1,200 ha of forest/green areas (Core Indicator #3) and improve land management across 173,931 ha using digital tools (Core Indicator #4). In addition, the project would contribute to improving waste management at national level </w:t>
            </w:r>
            <w:r w:rsidR="7DCB7C51" w:rsidRPr="2DC80E69">
              <w:rPr>
                <w:color w:val="000000" w:themeColor="text1"/>
                <w:sz w:val="20"/>
                <w:szCs w:val="20"/>
                <w:highlight w:val="yellow"/>
                <w:lang w:val="en-US"/>
              </w:rPr>
              <w:t>while</w:t>
            </w:r>
            <w:r w:rsidRPr="2DC80E69">
              <w:rPr>
                <w:color w:val="000000" w:themeColor="text1"/>
                <w:sz w:val="20"/>
                <w:szCs w:val="20"/>
                <w:highlight w:val="yellow"/>
                <w:lang w:val="en-US"/>
              </w:rPr>
              <w:t xml:space="preserve"> using Bamako as sound local </w:t>
            </w:r>
            <w:r w:rsidR="6A7C5946" w:rsidRPr="2DC80E69">
              <w:rPr>
                <w:color w:val="000000" w:themeColor="text1"/>
                <w:sz w:val="20"/>
                <w:szCs w:val="20"/>
                <w:highlight w:val="yellow"/>
                <w:lang w:val="en-US"/>
              </w:rPr>
              <w:t>example</w:t>
            </w:r>
            <w:r w:rsidRPr="2DC80E69">
              <w:rPr>
                <w:color w:val="000000" w:themeColor="text1"/>
                <w:sz w:val="20"/>
                <w:szCs w:val="20"/>
                <w:highlight w:val="yellow"/>
                <w:lang w:val="en-US"/>
              </w:rPr>
              <w:t xml:space="preserve"> (Core Indicator #9) through supporting the development of solid waste management strategy and </w:t>
            </w:r>
            <w:r w:rsidR="3218151A" w:rsidRPr="2DC80E69">
              <w:rPr>
                <w:color w:val="000000" w:themeColor="text1"/>
                <w:sz w:val="20"/>
                <w:szCs w:val="20"/>
                <w:highlight w:val="yellow"/>
                <w:lang w:val="en-US"/>
              </w:rPr>
              <w:t>its</w:t>
            </w:r>
            <w:r w:rsidRPr="2DC80E69">
              <w:rPr>
                <w:color w:val="000000" w:themeColor="text1"/>
                <w:sz w:val="20"/>
                <w:szCs w:val="20"/>
                <w:highlight w:val="yellow"/>
                <w:lang w:val="en-US"/>
              </w:rPr>
              <w:t xml:space="preserve"> action plan. Aligned with GEF’s mandate, the IUDP generates Global Environmental Benefits while promoting inclusive governance and multi-stakeholder engagement. Institutional capacity-building, private sector engagement, and innovative financing mechanisms—including blended finance and PPPs—enable transformative change at scale. Gender-responsive design ensures equitable access to project benefits, reaching over 22,000</w:t>
            </w:r>
            <w:r w:rsidR="219ED9D2" w:rsidRPr="2DC80E69">
              <w:rPr>
                <w:color w:val="000000" w:themeColor="text1"/>
                <w:sz w:val="20"/>
                <w:szCs w:val="20"/>
                <w:highlight w:val="yellow"/>
                <w:lang w:val="en-US"/>
              </w:rPr>
              <w:t xml:space="preserve"> (</w:t>
            </w:r>
            <w:proofErr w:type="spellStart"/>
            <w:r w:rsidR="219ED9D2" w:rsidRPr="2DC80E69">
              <w:rPr>
                <w:color w:val="000000" w:themeColor="text1"/>
                <w:sz w:val="20"/>
                <w:szCs w:val="20"/>
                <w:highlight w:val="yellow"/>
                <w:lang w:val="en-US"/>
              </w:rPr>
              <w:t>maong</w:t>
            </w:r>
            <w:proofErr w:type="spellEnd"/>
            <w:r w:rsidR="219ED9D2" w:rsidRPr="2DC80E69">
              <w:rPr>
                <w:color w:val="000000" w:themeColor="text1"/>
                <w:sz w:val="20"/>
                <w:szCs w:val="20"/>
                <w:highlight w:val="yellow"/>
                <w:lang w:val="en-US"/>
              </w:rPr>
              <w:t xml:space="preserve"> them 7,828 women)</w:t>
            </w:r>
            <w:r w:rsidRPr="2DC80E69">
              <w:rPr>
                <w:color w:val="000000" w:themeColor="text1"/>
                <w:sz w:val="20"/>
                <w:szCs w:val="20"/>
                <w:highlight w:val="yellow"/>
                <w:lang w:val="en-US"/>
              </w:rPr>
              <w:t xml:space="preserve"> direct and 2,5 million indirect beneficiaries. Through integrated urban planning and nature-based solutions, the IUDP offers a scalable model for secondary cities in Mali and beyond—contributing to the SCIP’s vision of sustainable urban transformation at local, national, and global levels.</w:t>
            </w:r>
          </w:p>
          <w:p w14:paraId="00000059" w14:textId="1294DCBA" w:rsidR="004F7DB3" w:rsidRPr="00263D2C" w:rsidRDefault="004F7DB3" w:rsidP="00857B81">
            <w:pPr>
              <w:keepNext/>
              <w:rPr>
                <w:color w:val="0078D4"/>
                <w:sz w:val="20"/>
                <w:szCs w:val="20"/>
                <w:u w:val="single"/>
                <w:lang w:val="en-US"/>
              </w:rPr>
            </w:pPr>
          </w:p>
        </w:tc>
      </w:tr>
      <w:tr w:rsidR="004F7DB3" w14:paraId="268504A3" w14:textId="77777777" w:rsidTr="2DC80E69">
        <w:trPr>
          <w:trHeight w:val="377"/>
        </w:trPr>
        <w:tc>
          <w:tcPr>
            <w:tcW w:w="9355" w:type="dxa"/>
            <w:gridSpan w:val="5"/>
            <w:shd w:val="clear" w:color="auto" w:fill="D9D9D9" w:themeFill="background1" w:themeFillShade="D9"/>
          </w:tcPr>
          <w:p w14:paraId="0000005E" w14:textId="77777777" w:rsidR="004F7DB3" w:rsidRDefault="552CE4D7" w:rsidP="5D8904BE">
            <w:pPr>
              <w:spacing w:after="60" w:line="240" w:lineRule="auto"/>
              <w:jc w:val="both"/>
              <w:rPr>
                <w:b/>
                <w:bCs/>
                <w:smallCaps/>
                <w:sz w:val="20"/>
                <w:szCs w:val="20"/>
              </w:rPr>
            </w:pPr>
            <w:proofErr w:type="spellStart"/>
            <w:r w:rsidRPr="5D8904BE">
              <w:rPr>
                <w:b/>
                <w:bCs/>
                <w:smallCaps/>
                <w:sz w:val="20"/>
                <w:szCs w:val="20"/>
              </w:rPr>
              <w:t>Financing</w:t>
            </w:r>
            <w:proofErr w:type="spellEnd"/>
            <w:r w:rsidRPr="5D8904BE">
              <w:rPr>
                <w:b/>
                <w:bCs/>
                <w:smallCaps/>
                <w:sz w:val="20"/>
                <w:szCs w:val="20"/>
              </w:rPr>
              <w:t xml:space="preserve"> Plan</w:t>
            </w:r>
          </w:p>
        </w:tc>
      </w:tr>
      <w:tr w:rsidR="004F7DB3" w14:paraId="580FA2ED" w14:textId="77777777" w:rsidTr="2DC80E69">
        <w:tc>
          <w:tcPr>
            <w:tcW w:w="4227" w:type="dxa"/>
            <w:gridSpan w:val="3"/>
          </w:tcPr>
          <w:p w14:paraId="00000063" w14:textId="77777777" w:rsidR="004F7DB3" w:rsidRDefault="00C00123">
            <w:pPr>
              <w:spacing w:after="240" w:line="240" w:lineRule="auto"/>
              <w:jc w:val="both"/>
              <w:rPr>
                <w:sz w:val="20"/>
                <w:szCs w:val="20"/>
              </w:rPr>
            </w:pPr>
            <w:r>
              <w:rPr>
                <w:sz w:val="20"/>
                <w:szCs w:val="20"/>
              </w:rPr>
              <w:t xml:space="preserve">GEF Trust </w:t>
            </w:r>
            <w:proofErr w:type="spellStart"/>
            <w:r>
              <w:rPr>
                <w:sz w:val="20"/>
                <w:szCs w:val="20"/>
              </w:rPr>
              <w:t>Fund</w:t>
            </w:r>
            <w:proofErr w:type="spellEnd"/>
            <w:r>
              <w:rPr>
                <w:sz w:val="20"/>
                <w:szCs w:val="20"/>
              </w:rPr>
              <w:t xml:space="preserve"> </w:t>
            </w:r>
            <w:proofErr w:type="spellStart"/>
            <w:r>
              <w:rPr>
                <w:sz w:val="20"/>
                <w:szCs w:val="20"/>
              </w:rPr>
              <w:t>grant</w:t>
            </w:r>
            <w:proofErr w:type="spellEnd"/>
            <w:r>
              <w:rPr>
                <w:sz w:val="20"/>
                <w:szCs w:val="20"/>
              </w:rPr>
              <w:t xml:space="preserve"> </w:t>
            </w:r>
          </w:p>
        </w:tc>
        <w:tc>
          <w:tcPr>
            <w:tcW w:w="5128" w:type="dxa"/>
            <w:gridSpan w:val="2"/>
          </w:tcPr>
          <w:p w14:paraId="00000066" w14:textId="4BB7179C" w:rsidR="004F7DB3" w:rsidRDefault="00C00123">
            <w:pPr>
              <w:spacing w:after="240" w:line="240" w:lineRule="auto"/>
              <w:jc w:val="both"/>
              <w:rPr>
                <w:sz w:val="20"/>
                <w:szCs w:val="20"/>
              </w:rPr>
            </w:pPr>
            <w:r w:rsidRPr="0C95EC3E">
              <w:rPr>
                <w:sz w:val="20"/>
                <w:szCs w:val="20"/>
              </w:rPr>
              <w:t>4,742,96</w:t>
            </w:r>
            <w:r w:rsidR="00B86F24">
              <w:rPr>
                <w:sz w:val="20"/>
                <w:szCs w:val="20"/>
              </w:rPr>
              <w:t>5</w:t>
            </w:r>
            <w:r w:rsidRPr="0C95EC3E">
              <w:rPr>
                <w:sz w:val="20"/>
                <w:szCs w:val="20"/>
              </w:rPr>
              <w:t xml:space="preserve"> USD</w:t>
            </w:r>
          </w:p>
        </w:tc>
      </w:tr>
      <w:tr w:rsidR="004F7DB3" w14:paraId="072BF1A9" w14:textId="77777777" w:rsidTr="2DC80E69">
        <w:tc>
          <w:tcPr>
            <w:tcW w:w="4227" w:type="dxa"/>
            <w:gridSpan w:val="3"/>
          </w:tcPr>
          <w:p w14:paraId="00000068" w14:textId="6FC9A809" w:rsidR="004F7DB3" w:rsidRDefault="552CE4D7">
            <w:pPr>
              <w:spacing w:after="240" w:line="240" w:lineRule="auto"/>
              <w:jc w:val="both"/>
              <w:rPr>
                <w:sz w:val="20"/>
                <w:szCs w:val="20"/>
              </w:rPr>
            </w:pPr>
            <w:r w:rsidRPr="5D8904BE">
              <w:rPr>
                <w:sz w:val="20"/>
                <w:szCs w:val="20"/>
              </w:rPr>
              <w:t xml:space="preserve">UNDP TRAC </w:t>
            </w:r>
            <w:proofErr w:type="spellStart"/>
            <w:r w:rsidRPr="5D8904BE">
              <w:rPr>
                <w:sz w:val="20"/>
                <w:szCs w:val="20"/>
              </w:rPr>
              <w:t>resources</w:t>
            </w:r>
            <w:proofErr w:type="spellEnd"/>
            <w:r w:rsidRPr="5D8904BE">
              <w:rPr>
                <w:sz w:val="20"/>
                <w:szCs w:val="20"/>
              </w:rPr>
              <w:t xml:space="preserve"> </w:t>
            </w:r>
          </w:p>
        </w:tc>
        <w:tc>
          <w:tcPr>
            <w:tcW w:w="5128" w:type="dxa"/>
            <w:gridSpan w:val="2"/>
          </w:tcPr>
          <w:p w14:paraId="0000006B" w14:textId="5CCF1521" w:rsidR="004F7DB3" w:rsidRDefault="564CC737">
            <w:pPr>
              <w:spacing w:after="240" w:line="240" w:lineRule="auto"/>
              <w:jc w:val="both"/>
              <w:rPr>
                <w:sz w:val="20"/>
                <w:szCs w:val="20"/>
              </w:rPr>
            </w:pPr>
            <w:r w:rsidRPr="203CF2FF">
              <w:rPr>
                <w:sz w:val="20"/>
                <w:szCs w:val="20"/>
              </w:rPr>
              <w:t>3</w:t>
            </w:r>
            <w:r w:rsidR="37AF31CB" w:rsidRPr="203CF2FF">
              <w:rPr>
                <w:sz w:val="20"/>
                <w:szCs w:val="20"/>
              </w:rPr>
              <w:t>00</w:t>
            </w:r>
            <w:r w:rsidR="074D565D" w:rsidRPr="203CF2FF">
              <w:rPr>
                <w:sz w:val="20"/>
                <w:szCs w:val="20"/>
              </w:rPr>
              <w:t>,000</w:t>
            </w:r>
            <w:r w:rsidR="37AF31CB" w:rsidRPr="203CF2FF">
              <w:rPr>
                <w:sz w:val="20"/>
                <w:szCs w:val="20"/>
              </w:rPr>
              <w:t xml:space="preserve"> USD </w:t>
            </w:r>
          </w:p>
        </w:tc>
      </w:tr>
      <w:tr w:rsidR="004F7DB3" w14:paraId="3BE2A22F" w14:textId="77777777" w:rsidTr="2DC80E69">
        <w:trPr>
          <w:trHeight w:val="780"/>
        </w:trPr>
        <w:tc>
          <w:tcPr>
            <w:tcW w:w="4227" w:type="dxa"/>
            <w:gridSpan w:val="3"/>
          </w:tcPr>
          <w:p w14:paraId="0000006D" w14:textId="77777777" w:rsidR="004F7DB3" w:rsidRPr="00C00123" w:rsidRDefault="00C00123">
            <w:pPr>
              <w:spacing w:after="240" w:line="240" w:lineRule="auto"/>
              <w:jc w:val="both"/>
              <w:rPr>
                <w:sz w:val="20"/>
                <w:szCs w:val="20"/>
                <w:lang w:val="en-US"/>
              </w:rPr>
            </w:pPr>
            <w:r w:rsidRPr="00263D2C">
              <w:rPr>
                <w:sz w:val="20"/>
                <w:szCs w:val="20"/>
                <w:lang w:val="en-US"/>
              </w:rPr>
              <w:t xml:space="preserve">Confirmed cash co-financing to be administered by UNDP </w:t>
            </w:r>
          </w:p>
          <w:p w14:paraId="0000006E" w14:textId="77777777" w:rsidR="004F7DB3" w:rsidRPr="00C00123" w:rsidRDefault="004F7DB3">
            <w:pPr>
              <w:spacing w:after="240" w:line="240" w:lineRule="auto"/>
              <w:jc w:val="both"/>
              <w:rPr>
                <w:sz w:val="20"/>
                <w:szCs w:val="20"/>
                <w:lang w:val="en-US"/>
              </w:rPr>
            </w:pPr>
          </w:p>
        </w:tc>
        <w:tc>
          <w:tcPr>
            <w:tcW w:w="5128" w:type="dxa"/>
            <w:gridSpan w:val="2"/>
          </w:tcPr>
          <w:p w14:paraId="00000071" w14:textId="13664495" w:rsidR="004F7DB3" w:rsidRPr="00C00123" w:rsidRDefault="4477F05F">
            <w:pPr>
              <w:spacing w:after="240" w:line="240" w:lineRule="auto"/>
              <w:jc w:val="both"/>
              <w:rPr>
                <w:sz w:val="20"/>
                <w:szCs w:val="20"/>
                <w:lang w:val="en-US"/>
              </w:rPr>
            </w:pPr>
            <w:r w:rsidRPr="09038978">
              <w:rPr>
                <w:sz w:val="20"/>
                <w:szCs w:val="20"/>
                <w:lang w:val="en-US"/>
              </w:rPr>
              <w:t>0</w:t>
            </w:r>
          </w:p>
          <w:p w14:paraId="00000072" w14:textId="77777777" w:rsidR="004F7DB3" w:rsidRDefault="00C00123">
            <w:pPr>
              <w:spacing w:after="240" w:line="240" w:lineRule="auto"/>
              <w:jc w:val="both"/>
              <w:rPr>
                <w:sz w:val="20"/>
                <w:szCs w:val="20"/>
              </w:rPr>
            </w:pPr>
            <w:r>
              <w:rPr>
                <w:sz w:val="20"/>
                <w:szCs w:val="20"/>
              </w:rPr>
              <w:t>USD</w:t>
            </w:r>
          </w:p>
        </w:tc>
      </w:tr>
      <w:tr w:rsidR="004F7DB3" w14:paraId="0074AAFD" w14:textId="77777777" w:rsidTr="2DC80E69">
        <w:tc>
          <w:tcPr>
            <w:tcW w:w="4227" w:type="dxa"/>
            <w:gridSpan w:val="3"/>
          </w:tcPr>
          <w:p w14:paraId="00000074" w14:textId="77777777" w:rsidR="004F7DB3" w:rsidRPr="006F5E1D" w:rsidRDefault="352EB93F" w:rsidP="001360BB">
            <w:pPr>
              <w:numPr>
                <w:ilvl w:val="0"/>
                <w:numId w:val="214"/>
              </w:numPr>
              <w:spacing w:after="240" w:line="240" w:lineRule="auto"/>
              <w:jc w:val="both"/>
              <w:rPr>
                <w:b/>
                <w:bCs/>
                <w:sz w:val="20"/>
                <w:szCs w:val="20"/>
                <w:lang w:val="en-US"/>
              </w:rPr>
            </w:pPr>
            <w:r w:rsidRPr="006F5E1D">
              <w:rPr>
                <w:b/>
                <w:bCs/>
                <w:sz w:val="20"/>
                <w:szCs w:val="20"/>
                <w:lang w:val="en-US"/>
              </w:rPr>
              <w:t xml:space="preserve">Total Budget administered by </w:t>
            </w:r>
            <w:proofErr w:type="gramStart"/>
            <w:r w:rsidRPr="006F5E1D">
              <w:rPr>
                <w:b/>
                <w:bCs/>
                <w:sz w:val="20"/>
                <w:szCs w:val="20"/>
                <w:lang w:val="en-US"/>
              </w:rPr>
              <w:t>UNDP ,</w:t>
            </w:r>
            <w:proofErr w:type="gramEnd"/>
          </w:p>
        </w:tc>
        <w:tc>
          <w:tcPr>
            <w:tcW w:w="5128" w:type="dxa"/>
            <w:gridSpan w:val="2"/>
          </w:tcPr>
          <w:p w14:paraId="00000077" w14:textId="2B06CDBF" w:rsidR="004F7DB3" w:rsidRPr="006F5E1D" w:rsidRDefault="47B0C5D8" w:rsidP="0C95EC3E">
            <w:pPr>
              <w:spacing w:after="240" w:line="240" w:lineRule="auto"/>
              <w:jc w:val="both"/>
              <w:rPr>
                <w:b/>
                <w:bCs/>
                <w:sz w:val="20"/>
                <w:szCs w:val="20"/>
              </w:rPr>
            </w:pPr>
            <w:r w:rsidRPr="006F5E1D">
              <w:rPr>
                <w:b/>
                <w:bCs/>
                <w:sz w:val="20"/>
                <w:szCs w:val="20"/>
                <w:lang w:val="en-US"/>
              </w:rPr>
              <w:t xml:space="preserve">  </w:t>
            </w:r>
            <w:r w:rsidRPr="006F5E1D">
              <w:rPr>
                <w:b/>
                <w:bCs/>
                <w:sz w:val="20"/>
                <w:szCs w:val="20"/>
              </w:rPr>
              <w:t>5,0</w:t>
            </w:r>
            <w:r w:rsidR="00C00123" w:rsidRPr="006F5E1D">
              <w:rPr>
                <w:b/>
                <w:bCs/>
                <w:sz w:val="20"/>
                <w:szCs w:val="20"/>
              </w:rPr>
              <w:t>4</w:t>
            </w:r>
            <w:r w:rsidRPr="006F5E1D">
              <w:rPr>
                <w:b/>
                <w:bCs/>
                <w:sz w:val="20"/>
                <w:szCs w:val="20"/>
              </w:rPr>
              <w:t>2,96</w:t>
            </w:r>
            <w:r w:rsidR="009940FC">
              <w:rPr>
                <w:b/>
                <w:bCs/>
                <w:sz w:val="20"/>
                <w:szCs w:val="20"/>
              </w:rPr>
              <w:t>5</w:t>
            </w:r>
            <w:r w:rsidRPr="006F5E1D">
              <w:rPr>
                <w:b/>
                <w:bCs/>
                <w:sz w:val="20"/>
                <w:szCs w:val="20"/>
              </w:rPr>
              <w:t xml:space="preserve"> USD</w:t>
            </w:r>
          </w:p>
        </w:tc>
      </w:tr>
      <w:tr w:rsidR="004F7DB3" w14:paraId="16D04B15" w14:textId="77777777" w:rsidTr="2DC80E69">
        <w:tc>
          <w:tcPr>
            <w:tcW w:w="9355" w:type="dxa"/>
            <w:gridSpan w:val="5"/>
            <w:shd w:val="clear" w:color="auto" w:fill="D9D9D9" w:themeFill="background1" w:themeFillShade="D9"/>
          </w:tcPr>
          <w:p w14:paraId="00000079" w14:textId="77777777" w:rsidR="004F7DB3" w:rsidRPr="00517244" w:rsidRDefault="004F7DB3">
            <w:pPr>
              <w:spacing w:after="60" w:line="240" w:lineRule="auto"/>
              <w:jc w:val="both"/>
              <w:rPr>
                <w:b/>
                <w:sz w:val="20"/>
                <w:szCs w:val="20"/>
              </w:rPr>
            </w:pPr>
          </w:p>
        </w:tc>
      </w:tr>
      <w:tr w:rsidR="004F7DB3" w14:paraId="4FDD2DAF" w14:textId="77777777" w:rsidTr="2DC80E69">
        <w:tc>
          <w:tcPr>
            <w:tcW w:w="4227" w:type="dxa"/>
            <w:gridSpan w:val="3"/>
          </w:tcPr>
          <w:p w14:paraId="0000007E" w14:textId="77777777" w:rsidR="004F7DB3" w:rsidRPr="00C00123" w:rsidRDefault="00C00123" w:rsidP="001360BB">
            <w:pPr>
              <w:numPr>
                <w:ilvl w:val="0"/>
                <w:numId w:val="214"/>
              </w:numPr>
              <w:spacing w:after="240" w:line="240" w:lineRule="auto"/>
              <w:jc w:val="both"/>
              <w:rPr>
                <w:b/>
                <w:sz w:val="20"/>
                <w:szCs w:val="20"/>
                <w:lang w:val="en-US"/>
              </w:rPr>
            </w:pPr>
            <w:r w:rsidRPr="00263D2C">
              <w:rPr>
                <w:b/>
                <w:sz w:val="20"/>
                <w:szCs w:val="20"/>
                <w:lang w:val="en-US"/>
              </w:rPr>
              <w:t xml:space="preserve">Total confirmed co-financing to this project not administered by UNDP </w:t>
            </w:r>
          </w:p>
        </w:tc>
        <w:tc>
          <w:tcPr>
            <w:tcW w:w="5128" w:type="dxa"/>
            <w:gridSpan w:val="2"/>
          </w:tcPr>
          <w:p w14:paraId="00000081" w14:textId="24A58727" w:rsidR="004F7DB3" w:rsidRDefault="352EB93F" w:rsidP="203CF2FF">
            <w:pPr>
              <w:spacing w:after="240" w:line="240" w:lineRule="auto"/>
              <w:jc w:val="both"/>
              <w:rPr>
                <w:b/>
                <w:bCs/>
                <w:sz w:val="20"/>
                <w:szCs w:val="20"/>
              </w:rPr>
            </w:pPr>
            <w:r w:rsidRPr="5D8904BE">
              <w:rPr>
                <w:b/>
                <w:bCs/>
                <w:sz w:val="20"/>
                <w:szCs w:val="20"/>
              </w:rPr>
              <w:t>$</w:t>
            </w:r>
            <w:r w:rsidR="300CAE25" w:rsidRPr="5D8904BE">
              <w:rPr>
                <w:b/>
                <w:bCs/>
                <w:sz w:val="20"/>
                <w:szCs w:val="20"/>
              </w:rPr>
              <w:t>2</w:t>
            </w:r>
            <w:r w:rsidR="2F3E45C4" w:rsidRPr="5D8904BE">
              <w:rPr>
                <w:b/>
                <w:bCs/>
                <w:sz w:val="20"/>
                <w:szCs w:val="20"/>
              </w:rPr>
              <w:t>90</w:t>
            </w:r>
            <w:r w:rsidR="300CAE25" w:rsidRPr="5D8904BE">
              <w:rPr>
                <w:b/>
                <w:bCs/>
                <w:sz w:val="20"/>
                <w:szCs w:val="20"/>
              </w:rPr>
              <w:t>,</w:t>
            </w:r>
            <w:r w:rsidR="11F35E49" w:rsidRPr="5D8904BE">
              <w:rPr>
                <w:b/>
                <w:bCs/>
                <w:sz w:val="20"/>
                <w:szCs w:val="20"/>
              </w:rPr>
              <w:t>957</w:t>
            </w:r>
            <w:r w:rsidR="300CAE25" w:rsidRPr="5D8904BE">
              <w:rPr>
                <w:b/>
                <w:bCs/>
                <w:sz w:val="20"/>
                <w:szCs w:val="20"/>
              </w:rPr>
              <w:t>,</w:t>
            </w:r>
            <w:r w:rsidR="34D73F49" w:rsidRPr="5D8904BE">
              <w:rPr>
                <w:b/>
                <w:bCs/>
                <w:sz w:val="20"/>
                <w:szCs w:val="20"/>
              </w:rPr>
              <w:t>600</w:t>
            </w:r>
            <w:r w:rsidRPr="5D8904BE">
              <w:rPr>
                <w:b/>
                <w:bCs/>
                <w:sz w:val="20"/>
                <w:szCs w:val="20"/>
              </w:rPr>
              <w:t xml:space="preserve"> USD</w:t>
            </w:r>
          </w:p>
        </w:tc>
      </w:tr>
      <w:tr w:rsidR="004F7DB3" w14:paraId="732E7BBC" w14:textId="77777777" w:rsidTr="2DC80E69">
        <w:tc>
          <w:tcPr>
            <w:tcW w:w="4227" w:type="dxa"/>
            <w:gridSpan w:val="3"/>
          </w:tcPr>
          <w:p w14:paraId="00000083" w14:textId="77777777" w:rsidR="004F7DB3" w:rsidRDefault="552CE4D7" w:rsidP="001360BB">
            <w:pPr>
              <w:numPr>
                <w:ilvl w:val="0"/>
                <w:numId w:val="214"/>
              </w:numPr>
              <w:spacing w:after="240" w:line="240" w:lineRule="auto"/>
              <w:jc w:val="both"/>
              <w:rPr>
                <w:b/>
                <w:bCs/>
                <w:sz w:val="20"/>
                <w:szCs w:val="20"/>
              </w:rPr>
            </w:pPr>
            <w:r w:rsidRPr="5D8904BE">
              <w:rPr>
                <w:b/>
                <w:bCs/>
                <w:sz w:val="20"/>
                <w:szCs w:val="20"/>
              </w:rPr>
              <w:t xml:space="preserve">Grand-Total Project </w:t>
            </w:r>
            <w:proofErr w:type="spellStart"/>
            <w:r w:rsidRPr="5D8904BE">
              <w:rPr>
                <w:b/>
                <w:bCs/>
                <w:sz w:val="20"/>
                <w:szCs w:val="20"/>
              </w:rPr>
              <w:t>Financing</w:t>
            </w:r>
            <w:proofErr w:type="spellEnd"/>
            <w:r w:rsidRPr="5D8904BE">
              <w:rPr>
                <w:b/>
                <w:bCs/>
                <w:sz w:val="20"/>
                <w:szCs w:val="20"/>
              </w:rPr>
              <w:t xml:space="preserve"> (</w:t>
            </w:r>
            <w:proofErr w:type="gramStart"/>
            <w:r w:rsidRPr="5D8904BE">
              <w:rPr>
                <w:b/>
                <w:bCs/>
                <w:sz w:val="20"/>
                <w:szCs w:val="20"/>
              </w:rPr>
              <w:t>1)+(</w:t>
            </w:r>
            <w:proofErr w:type="gramEnd"/>
            <w:r w:rsidRPr="5D8904BE">
              <w:rPr>
                <w:b/>
                <w:bCs/>
                <w:sz w:val="20"/>
                <w:szCs w:val="20"/>
              </w:rPr>
              <w:t>2)</w:t>
            </w:r>
          </w:p>
        </w:tc>
        <w:tc>
          <w:tcPr>
            <w:tcW w:w="5128" w:type="dxa"/>
            <w:gridSpan w:val="2"/>
          </w:tcPr>
          <w:p w14:paraId="00000086" w14:textId="41384109" w:rsidR="004F7DB3" w:rsidRDefault="00681782" w:rsidP="203CF2FF">
            <w:pPr>
              <w:spacing w:after="240" w:line="240" w:lineRule="auto"/>
              <w:jc w:val="both"/>
              <w:rPr>
                <w:b/>
                <w:bCs/>
                <w:sz w:val="20"/>
                <w:szCs w:val="20"/>
              </w:rPr>
            </w:pPr>
            <w:r w:rsidRPr="00681782">
              <w:rPr>
                <w:b/>
                <w:bCs/>
                <w:sz w:val="20"/>
                <w:szCs w:val="20"/>
              </w:rPr>
              <w:t>296,000,565</w:t>
            </w:r>
            <w:r>
              <w:rPr>
                <w:b/>
                <w:bCs/>
                <w:sz w:val="20"/>
                <w:szCs w:val="20"/>
              </w:rPr>
              <w:t xml:space="preserve"> </w:t>
            </w:r>
            <w:r w:rsidR="352EB93F" w:rsidRPr="0C95EC3E">
              <w:rPr>
                <w:b/>
                <w:bCs/>
                <w:sz w:val="20"/>
                <w:szCs w:val="20"/>
              </w:rPr>
              <w:t>USD</w:t>
            </w:r>
          </w:p>
        </w:tc>
      </w:tr>
      <w:tr w:rsidR="004F7DB3" w14:paraId="594DC5C5" w14:textId="77777777" w:rsidTr="2DC80E69">
        <w:trPr>
          <w:trHeight w:val="692"/>
        </w:trPr>
        <w:tc>
          <w:tcPr>
            <w:tcW w:w="93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00000088" w14:textId="77777777" w:rsidR="004F7DB3" w:rsidRDefault="00C00123">
            <w:pPr>
              <w:spacing w:after="240" w:line="240" w:lineRule="auto"/>
              <w:jc w:val="both"/>
              <w:rPr>
                <w:b/>
                <w:i/>
                <w:smallCaps/>
                <w:sz w:val="20"/>
                <w:szCs w:val="20"/>
              </w:rPr>
            </w:pPr>
            <w:proofErr w:type="gramStart"/>
            <w:r>
              <w:rPr>
                <w:b/>
                <w:smallCaps/>
                <w:sz w:val="20"/>
                <w:szCs w:val="20"/>
              </w:rPr>
              <w:t>Signatures:</w:t>
            </w:r>
            <w:proofErr w:type="gramEnd"/>
          </w:p>
        </w:tc>
      </w:tr>
      <w:tr w:rsidR="004F7DB3" w:rsidRPr="00F50786" w14:paraId="17A8F4C1" w14:textId="77777777" w:rsidTr="2DC80E69">
        <w:trPr>
          <w:trHeight w:val="1187"/>
        </w:trPr>
        <w:tc>
          <w:tcPr>
            <w:tcW w:w="38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8D" w14:textId="77777777" w:rsidR="004F7DB3" w:rsidRPr="00263D2C" w:rsidRDefault="00C00123">
            <w:pPr>
              <w:spacing w:after="240" w:line="240" w:lineRule="auto"/>
              <w:jc w:val="both"/>
              <w:rPr>
                <w:sz w:val="20"/>
                <w:szCs w:val="20"/>
                <w:lang w:val="en-US"/>
              </w:rPr>
            </w:pPr>
            <w:r w:rsidRPr="00263D2C">
              <w:rPr>
                <w:b/>
                <w:sz w:val="20"/>
                <w:szCs w:val="20"/>
                <w:lang w:val="en-US"/>
              </w:rPr>
              <w:t xml:space="preserve">Signature: </w:t>
            </w:r>
            <w:r w:rsidRPr="00263D2C">
              <w:rPr>
                <w:i/>
                <w:sz w:val="20"/>
                <w:szCs w:val="20"/>
                <w:lang w:val="en-US"/>
              </w:rPr>
              <w:t>Ministry of Urban Planning, Housing, Spatial Planning and Population</w:t>
            </w:r>
          </w:p>
          <w:p w14:paraId="0000008E" w14:textId="77777777" w:rsidR="004F7DB3" w:rsidRPr="00263D2C" w:rsidRDefault="004F7DB3">
            <w:pPr>
              <w:spacing w:after="240" w:line="240" w:lineRule="auto"/>
              <w:jc w:val="both"/>
              <w:rPr>
                <w:b/>
                <w:sz w:val="20"/>
                <w:szCs w:val="20"/>
                <w:lang w:val="en-US"/>
              </w:rPr>
            </w:pPr>
          </w:p>
        </w:tc>
        <w:tc>
          <w:tcPr>
            <w:tcW w:w="15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90" w14:textId="77777777" w:rsidR="004F7DB3" w:rsidRPr="00C00123" w:rsidRDefault="00C00123">
            <w:pPr>
              <w:spacing w:after="240" w:line="240" w:lineRule="auto"/>
              <w:rPr>
                <w:b/>
                <w:sz w:val="20"/>
                <w:szCs w:val="20"/>
                <w:lang w:val="en-US"/>
              </w:rPr>
            </w:pPr>
            <w:bookmarkStart w:id="0" w:name="_heading=h.zh8tqebs39mz" w:colFirst="0" w:colLast="0"/>
            <w:bookmarkEnd w:id="0"/>
            <w:r w:rsidRPr="00263D2C">
              <w:rPr>
                <w:b/>
                <w:sz w:val="20"/>
                <w:szCs w:val="20"/>
                <w:lang w:val="en-US"/>
              </w:rPr>
              <w:t>Agreed by Government Development Coordination Authority</w:t>
            </w:r>
          </w:p>
        </w:tc>
        <w:tc>
          <w:tcPr>
            <w:tcW w:w="40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92" w14:textId="77777777" w:rsidR="004F7DB3" w:rsidRPr="00C00123" w:rsidRDefault="00C00123" w:rsidP="203CF2FF">
            <w:pPr>
              <w:spacing w:after="240" w:line="240" w:lineRule="auto"/>
              <w:jc w:val="both"/>
              <w:rPr>
                <w:b/>
                <w:bCs/>
                <w:i/>
                <w:iCs/>
                <w:sz w:val="20"/>
                <w:szCs w:val="20"/>
                <w:lang w:val="en-US"/>
              </w:rPr>
            </w:pPr>
            <w:r w:rsidRPr="203CF2FF">
              <w:rPr>
                <w:b/>
                <w:bCs/>
                <w:sz w:val="20"/>
                <w:szCs w:val="20"/>
                <w:lang w:val="en-US"/>
              </w:rPr>
              <w:t xml:space="preserve">Date/Month/Year: </w:t>
            </w:r>
            <w:r w:rsidRPr="203CF2FF">
              <w:rPr>
                <w:i/>
                <w:iCs/>
                <w:sz w:val="20"/>
                <w:szCs w:val="20"/>
                <w:lang w:val="en-US"/>
              </w:rPr>
              <w:t>within 6 months of GEF CEO endorsement</w:t>
            </w:r>
          </w:p>
          <w:p w14:paraId="00000093" w14:textId="77777777" w:rsidR="004F7DB3" w:rsidRPr="00C00123" w:rsidRDefault="004F7DB3">
            <w:pPr>
              <w:spacing w:after="240" w:line="240" w:lineRule="auto"/>
              <w:jc w:val="both"/>
              <w:rPr>
                <w:sz w:val="20"/>
                <w:szCs w:val="20"/>
                <w:lang w:val="en-US"/>
              </w:rPr>
            </w:pPr>
          </w:p>
        </w:tc>
      </w:tr>
      <w:tr w:rsidR="004F7DB3" w:rsidRPr="00F50786" w14:paraId="47C24FF4" w14:textId="77777777" w:rsidTr="2DC80E69">
        <w:tc>
          <w:tcPr>
            <w:tcW w:w="3808" w:type="dxa"/>
            <w:gridSpan w:val="2"/>
          </w:tcPr>
          <w:p w14:paraId="00000094" w14:textId="7E65D474" w:rsidR="004F7DB3" w:rsidRPr="00263D2C" w:rsidRDefault="00C00123">
            <w:pPr>
              <w:spacing w:after="240" w:line="240" w:lineRule="auto"/>
              <w:jc w:val="both"/>
              <w:rPr>
                <w:sz w:val="20"/>
                <w:szCs w:val="20"/>
                <w:lang w:val="en-US"/>
              </w:rPr>
            </w:pPr>
            <w:r w:rsidRPr="00263D2C">
              <w:rPr>
                <w:b/>
                <w:sz w:val="20"/>
                <w:szCs w:val="20"/>
                <w:lang w:val="en-US"/>
              </w:rPr>
              <w:t xml:space="preserve">Signature: </w:t>
            </w:r>
            <w:r w:rsidR="00917498" w:rsidRPr="00917498">
              <w:rPr>
                <w:i/>
                <w:sz w:val="20"/>
                <w:szCs w:val="20"/>
                <w:lang w:val="en-US"/>
              </w:rPr>
              <w:t>National Directorate of Urban Planning and Housing (NDUPH)</w:t>
            </w:r>
          </w:p>
          <w:p w14:paraId="00000095" w14:textId="77777777" w:rsidR="004F7DB3" w:rsidRPr="00263D2C" w:rsidRDefault="004F7DB3">
            <w:pPr>
              <w:spacing w:after="240" w:line="240" w:lineRule="auto"/>
              <w:jc w:val="both"/>
              <w:rPr>
                <w:b/>
                <w:sz w:val="20"/>
                <w:szCs w:val="20"/>
                <w:lang w:val="en-US"/>
              </w:rPr>
            </w:pPr>
          </w:p>
        </w:tc>
        <w:tc>
          <w:tcPr>
            <w:tcW w:w="1500" w:type="dxa"/>
            <w:gridSpan w:val="2"/>
          </w:tcPr>
          <w:p w14:paraId="00000097" w14:textId="77777777" w:rsidR="004F7DB3" w:rsidRDefault="552CE4D7" w:rsidP="5D8904BE">
            <w:pPr>
              <w:spacing w:after="240" w:line="240" w:lineRule="auto"/>
              <w:rPr>
                <w:b/>
                <w:bCs/>
                <w:sz w:val="20"/>
                <w:szCs w:val="20"/>
              </w:rPr>
            </w:pPr>
            <w:proofErr w:type="spellStart"/>
            <w:r w:rsidRPr="5D8904BE">
              <w:rPr>
                <w:b/>
                <w:bCs/>
                <w:sz w:val="20"/>
                <w:szCs w:val="20"/>
              </w:rPr>
              <w:t>Agreed</w:t>
            </w:r>
            <w:proofErr w:type="spellEnd"/>
            <w:r w:rsidRPr="5D8904BE">
              <w:rPr>
                <w:b/>
                <w:bCs/>
                <w:sz w:val="20"/>
                <w:szCs w:val="20"/>
              </w:rPr>
              <w:t xml:space="preserve"> by </w:t>
            </w:r>
            <w:proofErr w:type="spellStart"/>
            <w:r w:rsidRPr="5D8904BE">
              <w:rPr>
                <w:b/>
                <w:bCs/>
                <w:sz w:val="20"/>
                <w:szCs w:val="20"/>
              </w:rPr>
              <w:t>Implementing</w:t>
            </w:r>
            <w:proofErr w:type="spellEnd"/>
            <w:r w:rsidRPr="5D8904BE">
              <w:rPr>
                <w:b/>
                <w:bCs/>
                <w:sz w:val="20"/>
                <w:szCs w:val="20"/>
              </w:rPr>
              <w:t xml:space="preserve"> Partner</w:t>
            </w:r>
          </w:p>
        </w:tc>
        <w:tc>
          <w:tcPr>
            <w:tcW w:w="4047" w:type="dxa"/>
          </w:tcPr>
          <w:p w14:paraId="00000099" w14:textId="77777777" w:rsidR="004F7DB3" w:rsidRPr="00C00123" w:rsidRDefault="00C00123" w:rsidP="203CF2FF">
            <w:pPr>
              <w:spacing w:after="240" w:line="240" w:lineRule="auto"/>
              <w:jc w:val="both"/>
              <w:rPr>
                <w:b/>
                <w:bCs/>
                <w:i/>
                <w:iCs/>
                <w:sz w:val="20"/>
                <w:szCs w:val="20"/>
                <w:lang w:val="en-US"/>
              </w:rPr>
            </w:pPr>
            <w:r w:rsidRPr="203CF2FF">
              <w:rPr>
                <w:b/>
                <w:bCs/>
                <w:sz w:val="20"/>
                <w:szCs w:val="20"/>
                <w:lang w:val="en-US"/>
              </w:rPr>
              <w:t xml:space="preserve">Date/Month/Year: </w:t>
            </w:r>
            <w:r w:rsidRPr="203CF2FF">
              <w:rPr>
                <w:i/>
                <w:iCs/>
                <w:sz w:val="20"/>
                <w:szCs w:val="20"/>
                <w:lang w:val="en-US"/>
              </w:rPr>
              <w:t>within 6 months of GEF CEO endorsement</w:t>
            </w:r>
          </w:p>
          <w:p w14:paraId="0000009A" w14:textId="77777777" w:rsidR="004F7DB3" w:rsidRPr="00C00123" w:rsidRDefault="004F7DB3" w:rsidP="203CF2FF">
            <w:pPr>
              <w:spacing w:after="240" w:line="240" w:lineRule="auto"/>
              <w:jc w:val="both"/>
              <w:rPr>
                <w:b/>
                <w:bCs/>
                <w:sz w:val="20"/>
                <w:szCs w:val="20"/>
                <w:lang w:val="en-US"/>
              </w:rPr>
            </w:pPr>
          </w:p>
        </w:tc>
      </w:tr>
      <w:tr w:rsidR="004F7DB3" w:rsidRPr="00F50786" w14:paraId="04821431" w14:textId="77777777" w:rsidTr="2DC80E69">
        <w:tc>
          <w:tcPr>
            <w:tcW w:w="3808" w:type="dxa"/>
            <w:gridSpan w:val="2"/>
          </w:tcPr>
          <w:p w14:paraId="0000009B" w14:textId="0B175072" w:rsidR="004F7DB3" w:rsidRDefault="6F3012C1">
            <w:pPr>
              <w:spacing w:after="240" w:line="240" w:lineRule="auto"/>
              <w:jc w:val="both"/>
              <w:rPr>
                <w:sz w:val="20"/>
                <w:szCs w:val="20"/>
              </w:rPr>
            </w:pPr>
            <w:proofErr w:type="gramStart"/>
            <w:r w:rsidRPr="5D8904BE">
              <w:rPr>
                <w:b/>
                <w:bCs/>
                <w:sz w:val="20"/>
                <w:szCs w:val="20"/>
              </w:rPr>
              <w:t>Signature:</w:t>
            </w:r>
            <w:proofErr w:type="gramEnd"/>
            <w:r w:rsidR="00B85E9B">
              <w:rPr>
                <w:b/>
                <w:bCs/>
                <w:sz w:val="20"/>
                <w:szCs w:val="20"/>
              </w:rPr>
              <w:t xml:space="preserve"> </w:t>
            </w:r>
            <w:r w:rsidRPr="5D8904BE">
              <w:rPr>
                <w:b/>
                <w:bCs/>
                <w:sz w:val="20"/>
                <w:szCs w:val="20"/>
              </w:rPr>
              <w:t xml:space="preserve"> </w:t>
            </w:r>
            <w:proofErr w:type="spellStart"/>
            <w:r w:rsidRPr="5D8904BE">
              <w:rPr>
                <w:i/>
                <w:iCs/>
                <w:sz w:val="20"/>
                <w:szCs w:val="20"/>
              </w:rPr>
              <w:t>Resident</w:t>
            </w:r>
            <w:proofErr w:type="spellEnd"/>
            <w:r w:rsidRPr="5D8904BE">
              <w:rPr>
                <w:i/>
                <w:iCs/>
                <w:sz w:val="20"/>
                <w:szCs w:val="20"/>
              </w:rPr>
              <w:t xml:space="preserve"> </w:t>
            </w:r>
            <w:proofErr w:type="spellStart"/>
            <w:r w:rsidRPr="5D8904BE">
              <w:rPr>
                <w:i/>
                <w:iCs/>
                <w:sz w:val="20"/>
                <w:szCs w:val="20"/>
              </w:rPr>
              <w:t>Representative</w:t>
            </w:r>
            <w:proofErr w:type="spellEnd"/>
          </w:p>
        </w:tc>
        <w:tc>
          <w:tcPr>
            <w:tcW w:w="1500" w:type="dxa"/>
            <w:gridSpan w:val="2"/>
          </w:tcPr>
          <w:p w14:paraId="0000009D" w14:textId="77777777" w:rsidR="004F7DB3" w:rsidRDefault="552CE4D7" w:rsidP="5D8904BE">
            <w:pPr>
              <w:spacing w:after="240" w:line="240" w:lineRule="auto"/>
              <w:rPr>
                <w:b/>
                <w:bCs/>
                <w:sz w:val="20"/>
                <w:szCs w:val="20"/>
              </w:rPr>
            </w:pPr>
            <w:proofErr w:type="spellStart"/>
            <w:r w:rsidRPr="5D8904BE">
              <w:rPr>
                <w:b/>
                <w:bCs/>
                <w:sz w:val="20"/>
                <w:szCs w:val="20"/>
              </w:rPr>
              <w:t>Agreed</w:t>
            </w:r>
            <w:proofErr w:type="spellEnd"/>
            <w:r w:rsidRPr="5D8904BE">
              <w:rPr>
                <w:b/>
                <w:bCs/>
                <w:sz w:val="20"/>
                <w:szCs w:val="20"/>
              </w:rPr>
              <w:t xml:space="preserve"> by UNDP</w:t>
            </w:r>
          </w:p>
        </w:tc>
        <w:tc>
          <w:tcPr>
            <w:tcW w:w="4047" w:type="dxa"/>
          </w:tcPr>
          <w:p w14:paraId="0000009F" w14:textId="77777777" w:rsidR="004F7DB3" w:rsidRPr="00C00123" w:rsidRDefault="00C00123" w:rsidP="203CF2FF">
            <w:pPr>
              <w:spacing w:after="240" w:line="240" w:lineRule="auto"/>
              <w:jc w:val="both"/>
              <w:rPr>
                <w:b/>
                <w:bCs/>
                <w:sz w:val="20"/>
                <w:szCs w:val="20"/>
                <w:lang w:val="en-US"/>
              </w:rPr>
            </w:pPr>
            <w:r w:rsidRPr="203CF2FF">
              <w:rPr>
                <w:b/>
                <w:bCs/>
                <w:sz w:val="20"/>
                <w:szCs w:val="20"/>
                <w:lang w:val="en-US"/>
              </w:rPr>
              <w:t xml:space="preserve">Date/Month/Year: </w:t>
            </w:r>
            <w:r w:rsidRPr="203CF2FF">
              <w:rPr>
                <w:i/>
                <w:iCs/>
                <w:sz w:val="20"/>
                <w:szCs w:val="20"/>
                <w:lang w:val="en-US"/>
              </w:rPr>
              <w:t>within 6 months of GEF CEO endorsement</w:t>
            </w:r>
          </w:p>
        </w:tc>
      </w:tr>
    </w:tbl>
    <w:p w14:paraId="000000C2" w14:textId="0BE72A86" w:rsidR="004F7DB3" w:rsidRPr="0077208A" w:rsidDel="0077208A" w:rsidRDefault="004F7DB3" w:rsidP="51745E8D">
      <w:pPr>
        <w:spacing w:after="240" w:line="240" w:lineRule="auto"/>
        <w:rPr>
          <w:b/>
          <w:bCs/>
          <w:smallCaps/>
          <w:sz w:val="28"/>
          <w:szCs w:val="28"/>
          <w:lang w:val="en-US"/>
        </w:rPr>
        <w:sectPr w:rsidR="004F7DB3" w:rsidRPr="0077208A" w:rsidDel="0077208A">
          <w:headerReference w:type="default" r:id="rId12"/>
          <w:footerReference w:type="default" r:id="rId13"/>
          <w:footerReference w:type="first" r:id="rId14"/>
          <w:pgSz w:w="11906" w:h="16838"/>
          <w:pgMar w:top="1418" w:right="1418" w:bottom="1418" w:left="1418" w:header="720" w:footer="432" w:gutter="0"/>
          <w:pgNumType w:start="1"/>
          <w:cols w:space="720"/>
          <w:titlePg/>
        </w:sectPr>
      </w:pPr>
      <w:r w:rsidRPr="51745E8D">
        <w:rPr>
          <w:lang w:val="en-US"/>
        </w:rPr>
        <w:br w:type="page"/>
      </w:r>
    </w:p>
    <w:sdt>
      <w:sdtPr>
        <w:rPr>
          <w:rFonts w:asciiTheme="minorHAnsi" w:eastAsia="Calibri" w:hAnsiTheme="minorHAnsi" w:cs="Calibri"/>
          <w:b w:val="0"/>
          <w:bCs w:val="0"/>
          <w:color w:val="auto"/>
          <w:sz w:val="20"/>
          <w:szCs w:val="20"/>
        </w:rPr>
        <w:id w:val="560469572"/>
        <w:docPartObj>
          <w:docPartGallery w:val="Table of Contents"/>
          <w:docPartUnique/>
        </w:docPartObj>
      </w:sdtPr>
      <w:sdtEndPr>
        <w:rPr>
          <w:smallCaps/>
        </w:rPr>
      </w:sdtEndPr>
      <w:sdtContent>
        <w:p w14:paraId="3DB36C17" w14:textId="4FEC68F0" w:rsidR="00E50BCC" w:rsidRPr="006F5E1D" w:rsidRDefault="00B644EE">
          <w:pPr>
            <w:pStyle w:val="En-ttedetabledesmatires"/>
            <w:rPr>
              <w:rStyle w:val="Accentuation"/>
              <w:b w:val="0"/>
              <w:bCs w:val="0"/>
              <w:color w:val="auto"/>
              <w:sz w:val="24"/>
              <w:szCs w:val="24"/>
              <w:lang w:val="en-US"/>
            </w:rPr>
          </w:pPr>
          <w:r w:rsidRPr="006F5E1D">
            <w:rPr>
              <w:rStyle w:val="Accentuation"/>
              <w:rFonts w:ascii="Calibri" w:hAnsi="Calibri" w:cs="Calibri"/>
              <w:i w:val="0"/>
              <w:iCs w:val="0"/>
              <w:smallCaps/>
              <w:color w:val="auto"/>
              <w:sz w:val="22"/>
              <w:szCs w:val="22"/>
              <w:lang w:val="en-US"/>
            </w:rPr>
            <w:t>Table of C</w:t>
          </w:r>
          <w:r w:rsidR="00D54AF4" w:rsidRPr="006F5E1D">
            <w:rPr>
              <w:rStyle w:val="Accentuation"/>
              <w:rFonts w:ascii="Calibri" w:hAnsi="Calibri" w:cs="Calibri"/>
              <w:i w:val="0"/>
              <w:iCs w:val="0"/>
              <w:smallCaps/>
              <w:color w:val="auto"/>
              <w:sz w:val="22"/>
              <w:szCs w:val="22"/>
              <w:lang w:val="en-US"/>
            </w:rPr>
            <w:t>o</w:t>
          </w:r>
          <w:r w:rsidRPr="006F5E1D">
            <w:rPr>
              <w:rStyle w:val="Accentuation"/>
              <w:rFonts w:ascii="Calibri" w:hAnsi="Calibri" w:cs="Calibri"/>
              <w:i w:val="0"/>
              <w:iCs w:val="0"/>
              <w:smallCaps/>
              <w:color w:val="auto"/>
              <w:sz w:val="22"/>
              <w:szCs w:val="22"/>
              <w:lang w:val="en-US"/>
            </w:rPr>
            <w:t>ntent</w:t>
          </w:r>
        </w:p>
        <w:p w14:paraId="01BD4C3C" w14:textId="18E7B160" w:rsidR="00CE1D3A" w:rsidRDefault="26E43118">
          <w:pPr>
            <w:pStyle w:val="TM3"/>
            <w:tabs>
              <w:tab w:val="right" w:leader="dot" w:pos="9060"/>
            </w:tabs>
            <w:rPr>
              <w:rFonts w:eastAsiaTheme="minorEastAsia" w:cstheme="minorBidi"/>
              <w:noProof/>
              <w:kern w:val="2"/>
              <w:sz w:val="24"/>
              <w:szCs w:val="24"/>
              <w14:ligatures w14:val="standardContextual"/>
            </w:rPr>
          </w:pPr>
          <w:r w:rsidRPr="006F5E1D">
            <w:rPr>
              <w:rFonts w:ascii="Calibri" w:hAnsi="Calibri"/>
              <w:b/>
              <w:bCs/>
              <w:smallCaps/>
            </w:rPr>
            <w:fldChar w:fldCharType="begin"/>
          </w:r>
          <w:r w:rsidRPr="006F5E1D">
            <w:rPr>
              <w:rFonts w:ascii="Calibri" w:hAnsi="Calibri"/>
              <w:smallCaps/>
            </w:rPr>
            <w:instrText>TOC \o "1-3" \z \u \h</w:instrText>
          </w:r>
          <w:r w:rsidRPr="006F5E1D">
            <w:rPr>
              <w:rFonts w:ascii="Calibri" w:hAnsi="Calibri"/>
              <w:b/>
              <w:bCs/>
              <w:smallCaps/>
            </w:rPr>
            <w:fldChar w:fldCharType="separate"/>
          </w:r>
          <w:hyperlink w:anchor="_Toc200477832" w:history="1">
            <w:r w:rsidR="00CE1D3A" w:rsidRPr="007A058F">
              <w:rPr>
                <w:rStyle w:val="Lienhypertexte"/>
                <w:b/>
                <w:bCs/>
                <w:smallCaps/>
                <w:noProof/>
                <w:lang w:val="en-US"/>
              </w:rPr>
              <w:t>List of Acronyms</w:t>
            </w:r>
            <w:r w:rsidR="00CE1D3A">
              <w:rPr>
                <w:noProof/>
                <w:webHidden/>
              </w:rPr>
              <w:tab/>
            </w:r>
            <w:r w:rsidR="00CE1D3A">
              <w:rPr>
                <w:noProof/>
                <w:webHidden/>
              </w:rPr>
              <w:fldChar w:fldCharType="begin"/>
            </w:r>
            <w:r w:rsidR="00CE1D3A">
              <w:rPr>
                <w:noProof/>
                <w:webHidden/>
              </w:rPr>
              <w:instrText xml:space="preserve"> PAGEREF _Toc200477832 \h </w:instrText>
            </w:r>
            <w:r w:rsidR="00CE1D3A">
              <w:rPr>
                <w:noProof/>
                <w:webHidden/>
              </w:rPr>
            </w:r>
            <w:r w:rsidR="00CE1D3A">
              <w:rPr>
                <w:noProof/>
                <w:webHidden/>
              </w:rPr>
              <w:fldChar w:fldCharType="separate"/>
            </w:r>
            <w:r w:rsidR="00CE1D3A">
              <w:rPr>
                <w:noProof/>
                <w:webHidden/>
              </w:rPr>
              <w:t>5</w:t>
            </w:r>
            <w:r w:rsidR="00CE1D3A">
              <w:rPr>
                <w:noProof/>
                <w:webHidden/>
              </w:rPr>
              <w:fldChar w:fldCharType="end"/>
            </w:r>
          </w:hyperlink>
        </w:p>
        <w:p w14:paraId="56225B82" w14:textId="26A0A4C7" w:rsidR="00CE1D3A" w:rsidRDefault="00CE1D3A">
          <w:pPr>
            <w:pStyle w:val="TM1"/>
            <w:tabs>
              <w:tab w:val="left" w:pos="440"/>
              <w:tab w:val="right" w:leader="dot" w:pos="9060"/>
            </w:tabs>
            <w:rPr>
              <w:rFonts w:eastAsiaTheme="minorEastAsia" w:cstheme="minorBidi"/>
              <w:b w:val="0"/>
              <w:bCs w:val="0"/>
              <w:noProof/>
              <w:kern w:val="2"/>
              <w:sz w:val="24"/>
              <w:szCs w:val="24"/>
              <w14:ligatures w14:val="standardContextual"/>
            </w:rPr>
          </w:pPr>
          <w:hyperlink w:anchor="_Toc200477833" w:history="1">
            <w:r w:rsidRPr="007A058F">
              <w:rPr>
                <w:rStyle w:val="Lienhypertexte"/>
                <w:rFonts w:cs="Times New Roman"/>
                <w:noProof/>
                <w:lang w:val="en-US"/>
              </w:rPr>
              <w:t>1.</w:t>
            </w:r>
            <w:r>
              <w:rPr>
                <w:rFonts w:eastAsiaTheme="minorEastAsia" w:cstheme="minorBidi"/>
                <w:b w:val="0"/>
                <w:bCs w:val="0"/>
                <w:noProof/>
                <w:kern w:val="2"/>
                <w:sz w:val="24"/>
                <w:szCs w:val="24"/>
                <w14:ligatures w14:val="standardContextual"/>
              </w:rPr>
              <w:tab/>
            </w:r>
            <w:r w:rsidRPr="007A058F">
              <w:rPr>
                <w:rStyle w:val="Lienhypertexte"/>
                <w:rFonts w:cs="Times New Roman"/>
                <w:noProof/>
                <w:lang w:val="en-US"/>
              </w:rPr>
              <w:t>Development challenges</w:t>
            </w:r>
            <w:r>
              <w:rPr>
                <w:noProof/>
                <w:webHidden/>
              </w:rPr>
              <w:tab/>
            </w:r>
            <w:r>
              <w:rPr>
                <w:noProof/>
                <w:webHidden/>
              </w:rPr>
              <w:fldChar w:fldCharType="begin"/>
            </w:r>
            <w:r>
              <w:rPr>
                <w:noProof/>
                <w:webHidden/>
              </w:rPr>
              <w:instrText xml:space="preserve"> PAGEREF _Toc200477833 \h </w:instrText>
            </w:r>
            <w:r>
              <w:rPr>
                <w:noProof/>
                <w:webHidden/>
              </w:rPr>
            </w:r>
            <w:r>
              <w:rPr>
                <w:noProof/>
                <w:webHidden/>
              </w:rPr>
              <w:fldChar w:fldCharType="separate"/>
            </w:r>
            <w:r>
              <w:rPr>
                <w:noProof/>
                <w:webHidden/>
              </w:rPr>
              <w:t>7</w:t>
            </w:r>
            <w:r>
              <w:rPr>
                <w:noProof/>
                <w:webHidden/>
              </w:rPr>
              <w:fldChar w:fldCharType="end"/>
            </w:r>
          </w:hyperlink>
        </w:p>
        <w:p w14:paraId="7F1D6F87" w14:textId="17D66F75" w:rsidR="00CE1D3A" w:rsidRDefault="00CE1D3A">
          <w:pPr>
            <w:pStyle w:val="TM1"/>
            <w:tabs>
              <w:tab w:val="left" w:pos="440"/>
              <w:tab w:val="right" w:leader="dot" w:pos="9060"/>
            </w:tabs>
            <w:rPr>
              <w:rFonts w:eastAsiaTheme="minorEastAsia" w:cstheme="minorBidi"/>
              <w:b w:val="0"/>
              <w:bCs w:val="0"/>
              <w:noProof/>
              <w:kern w:val="2"/>
              <w:sz w:val="24"/>
              <w:szCs w:val="24"/>
              <w14:ligatures w14:val="standardContextual"/>
            </w:rPr>
          </w:pPr>
          <w:hyperlink w:anchor="_Toc200477834" w:history="1">
            <w:r w:rsidRPr="007A058F">
              <w:rPr>
                <w:rStyle w:val="Lienhypertexte"/>
                <w:i/>
                <w:iCs/>
                <w:noProof/>
                <w:lang w:val="en-US"/>
              </w:rPr>
              <w:t>2.</w:t>
            </w:r>
            <w:r>
              <w:rPr>
                <w:rFonts w:eastAsiaTheme="minorEastAsia" w:cstheme="minorBidi"/>
                <w:b w:val="0"/>
                <w:bCs w:val="0"/>
                <w:noProof/>
                <w:kern w:val="2"/>
                <w:sz w:val="24"/>
                <w:szCs w:val="24"/>
                <w14:ligatures w14:val="standardContextual"/>
              </w:rPr>
              <w:tab/>
            </w:r>
            <w:r w:rsidRPr="007A058F">
              <w:rPr>
                <w:rStyle w:val="Lienhypertexte"/>
                <w:noProof/>
                <w:lang w:val="en-US"/>
              </w:rPr>
              <w:t>Strategy</w:t>
            </w:r>
            <w:r>
              <w:rPr>
                <w:noProof/>
                <w:webHidden/>
              </w:rPr>
              <w:tab/>
            </w:r>
            <w:r>
              <w:rPr>
                <w:noProof/>
                <w:webHidden/>
              </w:rPr>
              <w:fldChar w:fldCharType="begin"/>
            </w:r>
            <w:r>
              <w:rPr>
                <w:noProof/>
                <w:webHidden/>
              </w:rPr>
              <w:instrText xml:space="preserve"> PAGEREF _Toc200477834 \h </w:instrText>
            </w:r>
            <w:r>
              <w:rPr>
                <w:noProof/>
                <w:webHidden/>
              </w:rPr>
            </w:r>
            <w:r>
              <w:rPr>
                <w:noProof/>
                <w:webHidden/>
              </w:rPr>
              <w:fldChar w:fldCharType="separate"/>
            </w:r>
            <w:r>
              <w:rPr>
                <w:noProof/>
                <w:webHidden/>
              </w:rPr>
              <w:t>37</w:t>
            </w:r>
            <w:r>
              <w:rPr>
                <w:noProof/>
                <w:webHidden/>
              </w:rPr>
              <w:fldChar w:fldCharType="end"/>
            </w:r>
          </w:hyperlink>
        </w:p>
        <w:p w14:paraId="274C9511" w14:textId="4D1FE3BF" w:rsidR="00CE1D3A" w:rsidRDefault="00CE1D3A">
          <w:pPr>
            <w:pStyle w:val="TM1"/>
            <w:tabs>
              <w:tab w:val="left" w:pos="440"/>
              <w:tab w:val="right" w:leader="dot" w:pos="9060"/>
            </w:tabs>
            <w:rPr>
              <w:rFonts w:eastAsiaTheme="minorEastAsia" w:cstheme="minorBidi"/>
              <w:b w:val="0"/>
              <w:bCs w:val="0"/>
              <w:noProof/>
              <w:kern w:val="2"/>
              <w:sz w:val="24"/>
              <w:szCs w:val="24"/>
              <w14:ligatures w14:val="standardContextual"/>
            </w:rPr>
          </w:pPr>
          <w:hyperlink w:anchor="_Toc200477835" w:history="1">
            <w:r w:rsidRPr="007A058F">
              <w:rPr>
                <w:rStyle w:val="Lienhypertexte"/>
                <w:noProof/>
                <w:lang w:val="en-US"/>
              </w:rPr>
              <w:t>3.</w:t>
            </w:r>
            <w:r>
              <w:rPr>
                <w:rFonts w:eastAsiaTheme="minorEastAsia" w:cstheme="minorBidi"/>
                <w:b w:val="0"/>
                <w:bCs w:val="0"/>
                <w:noProof/>
                <w:kern w:val="2"/>
                <w:sz w:val="24"/>
                <w:szCs w:val="24"/>
                <w14:ligatures w14:val="standardContextual"/>
              </w:rPr>
              <w:tab/>
            </w:r>
            <w:r w:rsidRPr="007A058F">
              <w:rPr>
                <w:rStyle w:val="Lienhypertexte"/>
                <w:noProof/>
                <w:lang w:val="en-US"/>
              </w:rPr>
              <w:t>Results and Partnerships</w:t>
            </w:r>
            <w:r>
              <w:rPr>
                <w:noProof/>
                <w:webHidden/>
              </w:rPr>
              <w:tab/>
            </w:r>
            <w:r>
              <w:rPr>
                <w:noProof/>
                <w:webHidden/>
              </w:rPr>
              <w:fldChar w:fldCharType="begin"/>
            </w:r>
            <w:r>
              <w:rPr>
                <w:noProof/>
                <w:webHidden/>
              </w:rPr>
              <w:instrText xml:space="preserve"> PAGEREF _Toc200477835 \h </w:instrText>
            </w:r>
            <w:r>
              <w:rPr>
                <w:noProof/>
                <w:webHidden/>
              </w:rPr>
            </w:r>
            <w:r>
              <w:rPr>
                <w:noProof/>
                <w:webHidden/>
              </w:rPr>
              <w:fldChar w:fldCharType="separate"/>
            </w:r>
            <w:r>
              <w:rPr>
                <w:noProof/>
                <w:webHidden/>
              </w:rPr>
              <w:t>47</w:t>
            </w:r>
            <w:r>
              <w:rPr>
                <w:noProof/>
                <w:webHidden/>
              </w:rPr>
              <w:fldChar w:fldCharType="end"/>
            </w:r>
          </w:hyperlink>
        </w:p>
        <w:p w14:paraId="3FFF6CF1" w14:textId="198B526A" w:rsidR="00CE1D3A" w:rsidRDefault="00CE1D3A">
          <w:pPr>
            <w:pStyle w:val="TM1"/>
            <w:tabs>
              <w:tab w:val="left" w:pos="440"/>
              <w:tab w:val="right" w:leader="dot" w:pos="9060"/>
            </w:tabs>
            <w:rPr>
              <w:rFonts w:eastAsiaTheme="minorEastAsia" w:cstheme="minorBidi"/>
              <w:b w:val="0"/>
              <w:bCs w:val="0"/>
              <w:noProof/>
              <w:kern w:val="2"/>
              <w:sz w:val="24"/>
              <w:szCs w:val="24"/>
              <w14:ligatures w14:val="standardContextual"/>
            </w:rPr>
          </w:pPr>
          <w:hyperlink w:anchor="_Toc200477836" w:history="1">
            <w:r w:rsidRPr="007A058F">
              <w:rPr>
                <w:rStyle w:val="Lienhypertexte"/>
                <w:noProof/>
                <w:lang w:val="en-US"/>
              </w:rPr>
              <w:t>4.</w:t>
            </w:r>
            <w:r>
              <w:rPr>
                <w:rFonts w:eastAsiaTheme="minorEastAsia" w:cstheme="minorBidi"/>
                <w:b w:val="0"/>
                <w:bCs w:val="0"/>
                <w:noProof/>
                <w:kern w:val="2"/>
                <w:sz w:val="24"/>
                <w:szCs w:val="24"/>
                <w14:ligatures w14:val="standardContextual"/>
              </w:rPr>
              <w:tab/>
            </w:r>
            <w:r w:rsidRPr="007A058F">
              <w:rPr>
                <w:rStyle w:val="Lienhypertexte"/>
                <w:noProof/>
                <w:lang w:val="en-US"/>
              </w:rPr>
              <w:t>Project Management</w:t>
            </w:r>
            <w:r>
              <w:rPr>
                <w:noProof/>
                <w:webHidden/>
              </w:rPr>
              <w:tab/>
            </w:r>
            <w:r>
              <w:rPr>
                <w:noProof/>
                <w:webHidden/>
              </w:rPr>
              <w:fldChar w:fldCharType="begin"/>
            </w:r>
            <w:r>
              <w:rPr>
                <w:noProof/>
                <w:webHidden/>
              </w:rPr>
              <w:instrText xml:space="preserve"> PAGEREF _Toc200477836 \h </w:instrText>
            </w:r>
            <w:r>
              <w:rPr>
                <w:noProof/>
                <w:webHidden/>
              </w:rPr>
            </w:r>
            <w:r>
              <w:rPr>
                <w:noProof/>
                <w:webHidden/>
              </w:rPr>
              <w:fldChar w:fldCharType="separate"/>
            </w:r>
            <w:r>
              <w:rPr>
                <w:noProof/>
                <w:webHidden/>
              </w:rPr>
              <w:t>98</w:t>
            </w:r>
            <w:r>
              <w:rPr>
                <w:noProof/>
                <w:webHidden/>
              </w:rPr>
              <w:fldChar w:fldCharType="end"/>
            </w:r>
          </w:hyperlink>
        </w:p>
        <w:p w14:paraId="45032321" w14:textId="4B638F6D" w:rsidR="00CE1D3A" w:rsidRDefault="00CE1D3A">
          <w:pPr>
            <w:pStyle w:val="TM1"/>
            <w:tabs>
              <w:tab w:val="left" w:pos="440"/>
              <w:tab w:val="right" w:leader="dot" w:pos="9060"/>
            </w:tabs>
            <w:rPr>
              <w:rFonts w:eastAsiaTheme="minorEastAsia" w:cstheme="minorBidi"/>
              <w:b w:val="0"/>
              <w:bCs w:val="0"/>
              <w:noProof/>
              <w:kern w:val="2"/>
              <w:sz w:val="24"/>
              <w:szCs w:val="24"/>
              <w14:ligatures w14:val="standardContextual"/>
            </w:rPr>
          </w:pPr>
          <w:hyperlink w:anchor="_Toc200477837" w:history="1">
            <w:r w:rsidRPr="007A058F">
              <w:rPr>
                <w:rStyle w:val="Lienhypertexte"/>
                <w:noProof/>
                <w:lang w:val="en-US"/>
              </w:rPr>
              <w:t>5.</w:t>
            </w:r>
            <w:r>
              <w:rPr>
                <w:rFonts w:eastAsiaTheme="minorEastAsia" w:cstheme="minorBidi"/>
                <w:b w:val="0"/>
                <w:bCs w:val="0"/>
                <w:noProof/>
                <w:kern w:val="2"/>
                <w:sz w:val="24"/>
                <w:szCs w:val="24"/>
                <w14:ligatures w14:val="standardContextual"/>
              </w:rPr>
              <w:tab/>
            </w:r>
            <w:r w:rsidRPr="007A058F">
              <w:rPr>
                <w:rStyle w:val="Lienhypertexte"/>
                <w:noProof/>
                <w:lang w:val="en-US"/>
              </w:rPr>
              <w:t xml:space="preserve">Project Results Framework     </w:t>
            </w:r>
            <w:r>
              <w:rPr>
                <w:noProof/>
                <w:webHidden/>
              </w:rPr>
              <w:tab/>
            </w:r>
            <w:r>
              <w:rPr>
                <w:noProof/>
                <w:webHidden/>
              </w:rPr>
              <w:fldChar w:fldCharType="begin"/>
            </w:r>
            <w:r>
              <w:rPr>
                <w:noProof/>
                <w:webHidden/>
              </w:rPr>
              <w:instrText xml:space="preserve"> PAGEREF _Toc200477837 \h </w:instrText>
            </w:r>
            <w:r>
              <w:rPr>
                <w:noProof/>
                <w:webHidden/>
              </w:rPr>
            </w:r>
            <w:r>
              <w:rPr>
                <w:noProof/>
                <w:webHidden/>
              </w:rPr>
              <w:fldChar w:fldCharType="separate"/>
            </w:r>
            <w:r>
              <w:rPr>
                <w:noProof/>
                <w:webHidden/>
              </w:rPr>
              <w:t>100</w:t>
            </w:r>
            <w:r>
              <w:rPr>
                <w:noProof/>
                <w:webHidden/>
              </w:rPr>
              <w:fldChar w:fldCharType="end"/>
            </w:r>
          </w:hyperlink>
        </w:p>
        <w:p w14:paraId="24679111" w14:textId="2A9E4950" w:rsidR="00CE1D3A" w:rsidRDefault="00CE1D3A">
          <w:pPr>
            <w:pStyle w:val="TM1"/>
            <w:tabs>
              <w:tab w:val="left" w:pos="440"/>
              <w:tab w:val="right" w:leader="dot" w:pos="9060"/>
            </w:tabs>
            <w:rPr>
              <w:rFonts w:eastAsiaTheme="minorEastAsia" w:cstheme="minorBidi"/>
              <w:b w:val="0"/>
              <w:bCs w:val="0"/>
              <w:noProof/>
              <w:kern w:val="2"/>
              <w:sz w:val="24"/>
              <w:szCs w:val="24"/>
              <w14:ligatures w14:val="standardContextual"/>
            </w:rPr>
          </w:pPr>
          <w:hyperlink w:anchor="_Toc200477838" w:history="1">
            <w:r w:rsidRPr="007A058F">
              <w:rPr>
                <w:rStyle w:val="Lienhypertexte"/>
                <w:noProof/>
                <w:lang w:val="en-US"/>
              </w:rPr>
              <w:t>6.</w:t>
            </w:r>
            <w:r>
              <w:rPr>
                <w:rFonts w:eastAsiaTheme="minorEastAsia" w:cstheme="minorBidi"/>
                <w:b w:val="0"/>
                <w:bCs w:val="0"/>
                <w:noProof/>
                <w:kern w:val="2"/>
                <w:sz w:val="24"/>
                <w:szCs w:val="24"/>
                <w14:ligatures w14:val="standardContextual"/>
              </w:rPr>
              <w:tab/>
            </w:r>
            <w:r w:rsidRPr="007A058F">
              <w:rPr>
                <w:rStyle w:val="Lienhypertexte"/>
                <w:noProof/>
                <w:lang w:val="en-US"/>
              </w:rPr>
              <w:t>Monitoring and Evaluation (M&amp;E) Plan</w:t>
            </w:r>
            <w:r>
              <w:rPr>
                <w:noProof/>
                <w:webHidden/>
              </w:rPr>
              <w:tab/>
            </w:r>
            <w:r>
              <w:rPr>
                <w:noProof/>
                <w:webHidden/>
              </w:rPr>
              <w:fldChar w:fldCharType="begin"/>
            </w:r>
            <w:r>
              <w:rPr>
                <w:noProof/>
                <w:webHidden/>
              </w:rPr>
              <w:instrText xml:space="preserve"> PAGEREF _Toc200477838 \h </w:instrText>
            </w:r>
            <w:r>
              <w:rPr>
                <w:noProof/>
                <w:webHidden/>
              </w:rPr>
            </w:r>
            <w:r>
              <w:rPr>
                <w:noProof/>
                <w:webHidden/>
              </w:rPr>
              <w:fldChar w:fldCharType="separate"/>
            </w:r>
            <w:r>
              <w:rPr>
                <w:noProof/>
                <w:webHidden/>
              </w:rPr>
              <w:t>122</w:t>
            </w:r>
            <w:r>
              <w:rPr>
                <w:noProof/>
                <w:webHidden/>
              </w:rPr>
              <w:fldChar w:fldCharType="end"/>
            </w:r>
          </w:hyperlink>
        </w:p>
        <w:p w14:paraId="3434F81E" w14:textId="68A4A6F0" w:rsidR="00CE1D3A" w:rsidRDefault="00CE1D3A">
          <w:pPr>
            <w:pStyle w:val="TM1"/>
            <w:tabs>
              <w:tab w:val="left" w:pos="440"/>
              <w:tab w:val="right" w:leader="dot" w:pos="9060"/>
            </w:tabs>
            <w:rPr>
              <w:rFonts w:eastAsiaTheme="minorEastAsia" w:cstheme="minorBidi"/>
              <w:b w:val="0"/>
              <w:bCs w:val="0"/>
              <w:noProof/>
              <w:kern w:val="2"/>
              <w:sz w:val="24"/>
              <w:szCs w:val="24"/>
              <w14:ligatures w14:val="standardContextual"/>
            </w:rPr>
          </w:pPr>
          <w:hyperlink w:anchor="_Toc200477839" w:history="1">
            <w:r w:rsidRPr="007A058F">
              <w:rPr>
                <w:rStyle w:val="Lienhypertexte"/>
                <w:noProof/>
              </w:rPr>
              <w:t>7.</w:t>
            </w:r>
            <w:r>
              <w:rPr>
                <w:rFonts w:eastAsiaTheme="minorEastAsia" w:cstheme="minorBidi"/>
                <w:b w:val="0"/>
                <w:bCs w:val="0"/>
                <w:noProof/>
                <w:kern w:val="2"/>
                <w:sz w:val="24"/>
                <w:szCs w:val="24"/>
                <w14:ligatures w14:val="standardContextual"/>
              </w:rPr>
              <w:tab/>
            </w:r>
            <w:r w:rsidRPr="007A058F">
              <w:rPr>
                <w:rStyle w:val="Lienhypertexte"/>
                <w:noProof/>
                <w:lang w:val="en-US"/>
              </w:rPr>
              <w:t>Governance and Management Arrangements</w:t>
            </w:r>
            <w:r>
              <w:rPr>
                <w:noProof/>
                <w:webHidden/>
              </w:rPr>
              <w:tab/>
            </w:r>
            <w:r>
              <w:rPr>
                <w:noProof/>
                <w:webHidden/>
              </w:rPr>
              <w:fldChar w:fldCharType="begin"/>
            </w:r>
            <w:r>
              <w:rPr>
                <w:noProof/>
                <w:webHidden/>
              </w:rPr>
              <w:instrText xml:space="preserve"> PAGEREF _Toc200477839 \h </w:instrText>
            </w:r>
            <w:r>
              <w:rPr>
                <w:noProof/>
                <w:webHidden/>
              </w:rPr>
            </w:r>
            <w:r>
              <w:rPr>
                <w:noProof/>
                <w:webHidden/>
              </w:rPr>
              <w:fldChar w:fldCharType="separate"/>
            </w:r>
            <w:r>
              <w:rPr>
                <w:noProof/>
                <w:webHidden/>
              </w:rPr>
              <w:t>148</w:t>
            </w:r>
            <w:r>
              <w:rPr>
                <w:noProof/>
                <w:webHidden/>
              </w:rPr>
              <w:fldChar w:fldCharType="end"/>
            </w:r>
          </w:hyperlink>
        </w:p>
        <w:p w14:paraId="6F1F608D" w14:textId="4F89BFD9" w:rsidR="00CE1D3A" w:rsidRDefault="00CE1D3A">
          <w:pPr>
            <w:pStyle w:val="TM1"/>
            <w:tabs>
              <w:tab w:val="left" w:pos="440"/>
              <w:tab w:val="right" w:leader="dot" w:pos="9060"/>
            </w:tabs>
            <w:rPr>
              <w:rFonts w:eastAsiaTheme="minorEastAsia" w:cstheme="minorBidi"/>
              <w:b w:val="0"/>
              <w:bCs w:val="0"/>
              <w:noProof/>
              <w:kern w:val="2"/>
              <w:sz w:val="24"/>
              <w:szCs w:val="24"/>
              <w14:ligatures w14:val="standardContextual"/>
            </w:rPr>
          </w:pPr>
          <w:hyperlink w:anchor="_Toc200477840" w:history="1">
            <w:r w:rsidRPr="007A058F">
              <w:rPr>
                <w:rStyle w:val="Lienhypertexte"/>
                <w:noProof/>
                <w:lang w:val="en-US"/>
              </w:rPr>
              <w:t>8.</w:t>
            </w:r>
            <w:r>
              <w:rPr>
                <w:rFonts w:eastAsiaTheme="minorEastAsia" w:cstheme="minorBidi"/>
                <w:b w:val="0"/>
                <w:bCs w:val="0"/>
                <w:noProof/>
                <w:kern w:val="2"/>
                <w:sz w:val="24"/>
                <w:szCs w:val="24"/>
                <w14:ligatures w14:val="standardContextual"/>
              </w:rPr>
              <w:tab/>
            </w:r>
            <w:r w:rsidRPr="007A058F">
              <w:rPr>
                <w:rStyle w:val="Lienhypertexte"/>
                <w:noProof/>
                <w:lang w:val="en-US"/>
              </w:rPr>
              <w:t>Planning and Financial Management</w:t>
            </w:r>
            <w:r>
              <w:rPr>
                <w:noProof/>
                <w:webHidden/>
              </w:rPr>
              <w:tab/>
            </w:r>
            <w:r>
              <w:rPr>
                <w:noProof/>
                <w:webHidden/>
              </w:rPr>
              <w:fldChar w:fldCharType="begin"/>
            </w:r>
            <w:r>
              <w:rPr>
                <w:noProof/>
                <w:webHidden/>
              </w:rPr>
              <w:instrText xml:space="preserve"> PAGEREF _Toc200477840 \h </w:instrText>
            </w:r>
            <w:r>
              <w:rPr>
                <w:noProof/>
                <w:webHidden/>
              </w:rPr>
            </w:r>
            <w:r>
              <w:rPr>
                <w:noProof/>
                <w:webHidden/>
              </w:rPr>
              <w:fldChar w:fldCharType="separate"/>
            </w:r>
            <w:r>
              <w:rPr>
                <w:noProof/>
                <w:webHidden/>
              </w:rPr>
              <w:t>154</w:t>
            </w:r>
            <w:r>
              <w:rPr>
                <w:noProof/>
                <w:webHidden/>
              </w:rPr>
              <w:fldChar w:fldCharType="end"/>
            </w:r>
          </w:hyperlink>
        </w:p>
        <w:p w14:paraId="21C7F045" w14:textId="5E52230D" w:rsidR="00CE1D3A" w:rsidRDefault="00CE1D3A">
          <w:pPr>
            <w:pStyle w:val="TM1"/>
            <w:tabs>
              <w:tab w:val="left" w:pos="440"/>
              <w:tab w:val="right" w:leader="dot" w:pos="9060"/>
            </w:tabs>
            <w:rPr>
              <w:rFonts w:eastAsiaTheme="minorEastAsia" w:cstheme="minorBidi"/>
              <w:b w:val="0"/>
              <w:bCs w:val="0"/>
              <w:noProof/>
              <w:kern w:val="2"/>
              <w:sz w:val="24"/>
              <w:szCs w:val="24"/>
              <w14:ligatures w14:val="standardContextual"/>
            </w:rPr>
          </w:pPr>
          <w:hyperlink w:anchor="_Toc200477841" w:history="1">
            <w:r w:rsidRPr="007A058F">
              <w:rPr>
                <w:rStyle w:val="Lienhypertexte"/>
                <w:noProof/>
                <w:lang w:val="en-US"/>
              </w:rPr>
              <w:t>9.</w:t>
            </w:r>
            <w:r>
              <w:rPr>
                <w:rFonts w:eastAsiaTheme="minorEastAsia" w:cstheme="minorBidi"/>
                <w:b w:val="0"/>
                <w:bCs w:val="0"/>
                <w:noProof/>
                <w:kern w:val="2"/>
                <w:sz w:val="24"/>
                <w:szCs w:val="24"/>
                <w14:ligatures w14:val="standardContextual"/>
              </w:rPr>
              <w:tab/>
            </w:r>
            <w:r w:rsidRPr="007A058F">
              <w:rPr>
                <w:rStyle w:val="Lienhypertexte"/>
                <w:noProof/>
                <w:lang w:val="en-US"/>
              </w:rPr>
              <w:t>Total Budget and Work Plan</w:t>
            </w:r>
            <w:r>
              <w:rPr>
                <w:noProof/>
                <w:webHidden/>
              </w:rPr>
              <w:tab/>
            </w:r>
            <w:r>
              <w:rPr>
                <w:noProof/>
                <w:webHidden/>
              </w:rPr>
              <w:fldChar w:fldCharType="begin"/>
            </w:r>
            <w:r>
              <w:rPr>
                <w:noProof/>
                <w:webHidden/>
              </w:rPr>
              <w:instrText xml:space="preserve"> PAGEREF _Toc200477841 \h </w:instrText>
            </w:r>
            <w:r>
              <w:rPr>
                <w:noProof/>
                <w:webHidden/>
              </w:rPr>
            </w:r>
            <w:r>
              <w:rPr>
                <w:noProof/>
                <w:webHidden/>
              </w:rPr>
              <w:fldChar w:fldCharType="separate"/>
            </w:r>
            <w:r>
              <w:rPr>
                <w:noProof/>
                <w:webHidden/>
              </w:rPr>
              <w:t>157</w:t>
            </w:r>
            <w:r>
              <w:rPr>
                <w:noProof/>
                <w:webHidden/>
              </w:rPr>
              <w:fldChar w:fldCharType="end"/>
            </w:r>
          </w:hyperlink>
        </w:p>
        <w:p w14:paraId="0E59420A" w14:textId="70DA0016" w:rsidR="00CE1D3A" w:rsidRDefault="00CE1D3A">
          <w:pPr>
            <w:pStyle w:val="TM1"/>
            <w:tabs>
              <w:tab w:val="left" w:pos="660"/>
              <w:tab w:val="right" w:leader="dot" w:pos="9060"/>
            </w:tabs>
            <w:rPr>
              <w:rFonts w:eastAsiaTheme="minorEastAsia" w:cstheme="minorBidi"/>
              <w:b w:val="0"/>
              <w:bCs w:val="0"/>
              <w:noProof/>
              <w:kern w:val="2"/>
              <w:sz w:val="24"/>
              <w:szCs w:val="24"/>
              <w14:ligatures w14:val="standardContextual"/>
            </w:rPr>
          </w:pPr>
          <w:hyperlink w:anchor="_Toc200477842" w:history="1">
            <w:r w:rsidRPr="007A058F">
              <w:rPr>
                <w:rStyle w:val="Lienhypertexte"/>
                <w:noProof/>
                <w:lang w:val="en-US"/>
              </w:rPr>
              <w:t>10.</w:t>
            </w:r>
            <w:r>
              <w:rPr>
                <w:rFonts w:eastAsiaTheme="minorEastAsia" w:cstheme="minorBidi"/>
                <w:b w:val="0"/>
                <w:bCs w:val="0"/>
                <w:noProof/>
                <w:kern w:val="2"/>
                <w:sz w:val="24"/>
                <w:szCs w:val="24"/>
                <w14:ligatures w14:val="standardContextual"/>
              </w:rPr>
              <w:tab/>
            </w:r>
            <w:r w:rsidRPr="007A058F">
              <w:rPr>
                <w:rStyle w:val="Lienhypertexte"/>
                <w:noProof/>
                <w:lang w:val="en-US"/>
              </w:rPr>
              <w:t>LEGAL CONTEXT</w:t>
            </w:r>
            <w:r>
              <w:rPr>
                <w:noProof/>
                <w:webHidden/>
              </w:rPr>
              <w:tab/>
            </w:r>
            <w:r>
              <w:rPr>
                <w:noProof/>
                <w:webHidden/>
              </w:rPr>
              <w:fldChar w:fldCharType="begin"/>
            </w:r>
            <w:r>
              <w:rPr>
                <w:noProof/>
                <w:webHidden/>
              </w:rPr>
              <w:instrText xml:space="preserve"> PAGEREF _Toc200477842 \h </w:instrText>
            </w:r>
            <w:r>
              <w:rPr>
                <w:noProof/>
                <w:webHidden/>
              </w:rPr>
            </w:r>
            <w:r>
              <w:rPr>
                <w:noProof/>
                <w:webHidden/>
              </w:rPr>
              <w:fldChar w:fldCharType="separate"/>
            </w:r>
            <w:r>
              <w:rPr>
                <w:noProof/>
                <w:webHidden/>
              </w:rPr>
              <w:t>171</w:t>
            </w:r>
            <w:r>
              <w:rPr>
                <w:noProof/>
                <w:webHidden/>
              </w:rPr>
              <w:fldChar w:fldCharType="end"/>
            </w:r>
          </w:hyperlink>
        </w:p>
        <w:p w14:paraId="11472B3D" w14:textId="65F3C89F" w:rsidR="00CE1D3A" w:rsidRDefault="00CE1D3A">
          <w:pPr>
            <w:pStyle w:val="TM1"/>
            <w:tabs>
              <w:tab w:val="left" w:pos="660"/>
              <w:tab w:val="right" w:leader="dot" w:pos="9060"/>
            </w:tabs>
            <w:rPr>
              <w:rFonts w:eastAsiaTheme="minorEastAsia" w:cstheme="minorBidi"/>
              <w:b w:val="0"/>
              <w:bCs w:val="0"/>
              <w:noProof/>
              <w:kern w:val="2"/>
              <w:sz w:val="24"/>
              <w:szCs w:val="24"/>
              <w14:ligatures w14:val="standardContextual"/>
            </w:rPr>
          </w:pPr>
          <w:hyperlink w:anchor="_Toc200477843" w:history="1">
            <w:r w:rsidRPr="007A058F">
              <w:rPr>
                <w:rStyle w:val="Lienhypertexte"/>
                <w:rFonts w:eastAsia="SimSun" w:cs="Times New Roman"/>
                <w:noProof/>
              </w:rPr>
              <w:t>11.</w:t>
            </w:r>
            <w:r>
              <w:rPr>
                <w:rFonts w:eastAsiaTheme="minorEastAsia" w:cstheme="minorBidi"/>
                <w:b w:val="0"/>
                <w:bCs w:val="0"/>
                <w:noProof/>
                <w:kern w:val="2"/>
                <w:sz w:val="24"/>
                <w:szCs w:val="24"/>
                <w14:ligatures w14:val="standardContextual"/>
              </w:rPr>
              <w:tab/>
            </w:r>
            <w:r w:rsidRPr="007A058F">
              <w:rPr>
                <w:rStyle w:val="Lienhypertexte"/>
                <w:noProof/>
                <w:lang w:val="en-US"/>
              </w:rPr>
              <w:t>Risk</w:t>
            </w:r>
            <w:r w:rsidRPr="007A058F">
              <w:rPr>
                <w:rStyle w:val="Lienhypertexte"/>
                <w:rFonts w:eastAsia="SimSun" w:cs="Times New Roman"/>
                <w:noProof/>
              </w:rPr>
              <w:t xml:space="preserve"> Management</w:t>
            </w:r>
            <w:r>
              <w:rPr>
                <w:noProof/>
                <w:webHidden/>
              </w:rPr>
              <w:tab/>
            </w:r>
            <w:r>
              <w:rPr>
                <w:noProof/>
                <w:webHidden/>
              </w:rPr>
              <w:fldChar w:fldCharType="begin"/>
            </w:r>
            <w:r>
              <w:rPr>
                <w:noProof/>
                <w:webHidden/>
              </w:rPr>
              <w:instrText xml:space="preserve"> PAGEREF _Toc200477843 \h </w:instrText>
            </w:r>
            <w:r>
              <w:rPr>
                <w:noProof/>
                <w:webHidden/>
              </w:rPr>
            </w:r>
            <w:r>
              <w:rPr>
                <w:noProof/>
                <w:webHidden/>
              </w:rPr>
              <w:fldChar w:fldCharType="separate"/>
            </w:r>
            <w:r>
              <w:rPr>
                <w:noProof/>
                <w:webHidden/>
              </w:rPr>
              <w:t>171</w:t>
            </w:r>
            <w:r>
              <w:rPr>
                <w:noProof/>
                <w:webHidden/>
              </w:rPr>
              <w:fldChar w:fldCharType="end"/>
            </w:r>
          </w:hyperlink>
        </w:p>
        <w:p w14:paraId="72528013" w14:textId="28518553" w:rsidR="00CE1D3A" w:rsidRDefault="00CE1D3A">
          <w:pPr>
            <w:pStyle w:val="TM1"/>
            <w:tabs>
              <w:tab w:val="left" w:pos="660"/>
              <w:tab w:val="right" w:leader="dot" w:pos="9060"/>
            </w:tabs>
            <w:rPr>
              <w:rFonts w:eastAsiaTheme="minorEastAsia" w:cstheme="minorBidi"/>
              <w:b w:val="0"/>
              <w:bCs w:val="0"/>
              <w:noProof/>
              <w:kern w:val="2"/>
              <w:sz w:val="24"/>
              <w:szCs w:val="24"/>
              <w14:ligatures w14:val="standardContextual"/>
            </w:rPr>
          </w:pPr>
          <w:hyperlink w:anchor="_Toc200477846" w:history="1">
            <w:r w:rsidRPr="007A058F">
              <w:rPr>
                <w:rStyle w:val="Lienhypertexte"/>
                <w:noProof/>
                <w:lang w:val="en-US"/>
              </w:rPr>
              <w:t>12.</w:t>
            </w:r>
            <w:r>
              <w:rPr>
                <w:rFonts w:eastAsiaTheme="minorEastAsia" w:cstheme="minorBidi"/>
                <w:b w:val="0"/>
                <w:bCs w:val="0"/>
                <w:noProof/>
                <w:kern w:val="2"/>
                <w:sz w:val="24"/>
                <w:szCs w:val="24"/>
                <w14:ligatures w14:val="standardContextual"/>
              </w:rPr>
              <w:tab/>
            </w:r>
            <w:r w:rsidRPr="007A058F">
              <w:rPr>
                <w:rStyle w:val="Lienhypertexte"/>
                <w:noProof/>
                <w:lang w:val="en-US"/>
              </w:rPr>
              <w:t>Mandatory Annexes</w:t>
            </w:r>
            <w:r>
              <w:rPr>
                <w:noProof/>
                <w:webHidden/>
              </w:rPr>
              <w:tab/>
            </w:r>
            <w:r>
              <w:rPr>
                <w:noProof/>
                <w:webHidden/>
              </w:rPr>
              <w:fldChar w:fldCharType="begin"/>
            </w:r>
            <w:r>
              <w:rPr>
                <w:noProof/>
                <w:webHidden/>
              </w:rPr>
              <w:instrText xml:space="preserve"> PAGEREF _Toc200477846 \h </w:instrText>
            </w:r>
            <w:r>
              <w:rPr>
                <w:noProof/>
                <w:webHidden/>
              </w:rPr>
            </w:r>
            <w:r>
              <w:rPr>
                <w:noProof/>
                <w:webHidden/>
              </w:rPr>
              <w:fldChar w:fldCharType="separate"/>
            </w:r>
            <w:r>
              <w:rPr>
                <w:noProof/>
                <w:webHidden/>
              </w:rPr>
              <w:t>175</w:t>
            </w:r>
            <w:r>
              <w:rPr>
                <w:noProof/>
                <w:webHidden/>
              </w:rPr>
              <w:fldChar w:fldCharType="end"/>
            </w:r>
          </w:hyperlink>
        </w:p>
        <w:p w14:paraId="62084C97" w14:textId="45EC59A3" w:rsidR="00CE1D3A" w:rsidRDefault="00CE1D3A">
          <w:pPr>
            <w:pStyle w:val="TM3"/>
            <w:tabs>
              <w:tab w:val="right" w:leader="dot" w:pos="9060"/>
            </w:tabs>
            <w:rPr>
              <w:rFonts w:eastAsiaTheme="minorEastAsia" w:cstheme="minorBidi"/>
              <w:noProof/>
              <w:kern w:val="2"/>
              <w:sz w:val="24"/>
              <w:szCs w:val="24"/>
              <w14:ligatures w14:val="standardContextual"/>
            </w:rPr>
          </w:pPr>
          <w:hyperlink w:anchor="_Toc200477847" w:history="1">
            <w:r w:rsidRPr="007A058F">
              <w:rPr>
                <w:rStyle w:val="Lienhypertexte"/>
                <w:noProof/>
                <w:lang w:val="en-US"/>
              </w:rPr>
              <w:t>Annex 1: GEF Budget Template</w:t>
            </w:r>
            <w:r>
              <w:rPr>
                <w:noProof/>
                <w:webHidden/>
              </w:rPr>
              <w:tab/>
            </w:r>
            <w:r>
              <w:rPr>
                <w:noProof/>
                <w:webHidden/>
              </w:rPr>
              <w:fldChar w:fldCharType="begin"/>
            </w:r>
            <w:r>
              <w:rPr>
                <w:noProof/>
                <w:webHidden/>
              </w:rPr>
              <w:instrText xml:space="preserve"> PAGEREF _Toc200477847 \h </w:instrText>
            </w:r>
            <w:r>
              <w:rPr>
                <w:noProof/>
                <w:webHidden/>
              </w:rPr>
            </w:r>
            <w:r>
              <w:rPr>
                <w:noProof/>
                <w:webHidden/>
              </w:rPr>
              <w:fldChar w:fldCharType="separate"/>
            </w:r>
            <w:r>
              <w:rPr>
                <w:noProof/>
                <w:webHidden/>
              </w:rPr>
              <w:t>176</w:t>
            </w:r>
            <w:r>
              <w:rPr>
                <w:noProof/>
                <w:webHidden/>
              </w:rPr>
              <w:fldChar w:fldCharType="end"/>
            </w:r>
          </w:hyperlink>
        </w:p>
        <w:p w14:paraId="736F2813" w14:textId="49C6E9A4" w:rsidR="00CE1D3A" w:rsidRDefault="00CE1D3A">
          <w:pPr>
            <w:pStyle w:val="TM3"/>
            <w:tabs>
              <w:tab w:val="right" w:leader="dot" w:pos="9060"/>
            </w:tabs>
            <w:rPr>
              <w:rFonts w:eastAsiaTheme="minorEastAsia" w:cstheme="minorBidi"/>
              <w:noProof/>
              <w:kern w:val="2"/>
              <w:sz w:val="24"/>
              <w:szCs w:val="24"/>
              <w14:ligatures w14:val="standardContextual"/>
            </w:rPr>
          </w:pPr>
          <w:hyperlink w:anchor="_Toc200477848" w:history="1">
            <w:r w:rsidRPr="007A058F">
              <w:rPr>
                <w:rStyle w:val="Lienhypertexte"/>
                <w:noProof/>
                <w:lang w:val="en-US"/>
              </w:rPr>
              <w:t>Annex 3: Project map and Geospatial Coordinates of project sites</w:t>
            </w:r>
            <w:r>
              <w:rPr>
                <w:noProof/>
                <w:webHidden/>
              </w:rPr>
              <w:tab/>
            </w:r>
            <w:r>
              <w:rPr>
                <w:noProof/>
                <w:webHidden/>
              </w:rPr>
              <w:fldChar w:fldCharType="begin"/>
            </w:r>
            <w:r>
              <w:rPr>
                <w:noProof/>
                <w:webHidden/>
              </w:rPr>
              <w:instrText xml:space="preserve"> PAGEREF _Toc200477848 \h </w:instrText>
            </w:r>
            <w:r>
              <w:rPr>
                <w:noProof/>
                <w:webHidden/>
              </w:rPr>
            </w:r>
            <w:r>
              <w:rPr>
                <w:noProof/>
                <w:webHidden/>
              </w:rPr>
              <w:fldChar w:fldCharType="separate"/>
            </w:r>
            <w:r>
              <w:rPr>
                <w:noProof/>
                <w:webHidden/>
              </w:rPr>
              <w:t>177</w:t>
            </w:r>
            <w:r>
              <w:rPr>
                <w:noProof/>
                <w:webHidden/>
              </w:rPr>
              <w:fldChar w:fldCharType="end"/>
            </w:r>
          </w:hyperlink>
        </w:p>
        <w:p w14:paraId="0A615E56" w14:textId="22327A46" w:rsidR="00CE1D3A" w:rsidRDefault="00CE1D3A">
          <w:pPr>
            <w:pStyle w:val="TM3"/>
            <w:tabs>
              <w:tab w:val="right" w:leader="dot" w:pos="9060"/>
            </w:tabs>
            <w:rPr>
              <w:rFonts w:eastAsiaTheme="minorEastAsia" w:cstheme="minorBidi"/>
              <w:noProof/>
              <w:kern w:val="2"/>
              <w:sz w:val="24"/>
              <w:szCs w:val="24"/>
              <w14:ligatures w14:val="standardContextual"/>
            </w:rPr>
          </w:pPr>
          <w:hyperlink w:anchor="_Toc200477849" w:history="1">
            <w:r w:rsidRPr="007A058F">
              <w:rPr>
                <w:rStyle w:val="Lienhypertexte"/>
                <w:noProof/>
                <w:lang w:val="en-US"/>
              </w:rPr>
              <w:t>Annex 4: Multiyear Work Plan</w:t>
            </w:r>
            <w:r>
              <w:rPr>
                <w:noProof/>
                <w:webHidden/>
              </w:rPr>
              <w:tab/>
            </w:r>
            <w:r>
              <w:rPr>
                <w:noProof/>
                <w:webHidden/>
              </w:rPr>
              <w:fldChar w:fldCharType="begin"/>
            </w:r>
            <w:r>
              <w:rPr>
                <w:noProof/>
                <w:webHidden/>
              </w:rPr>
              <w:instrText xml:space="preserve"> PAGEREF _Toc200477849 \h </w:instrText>
            </w:r>
            <w:r>
              <w:rPr>
                <w:noProof/>
                <w:webHidden/>
              </w:rPr>
            </w:r>
            <w:r>
              <w:rPr>
                <w:noProof/>
                <w:webHidden/>
              </w:rPr>
              <w:fldChar w:fldCharType="separate"/>
            </w:r>
            <w:r>
              <w:rPr>
                <w:noProof/>
                <w:webHidden/>
              </w:rPr>
              <w:t>178</w:t>
            </w:r>
            <w:r>
              <w:rPr>
                <w:noProof/>
                <w:webHidden/>
              </w:rPr>
              <w:fldChar w:fldCharType="end"/>
            </w:r>
          </w:hyperlink>
        </w:p>
        <w:p w14:paraId="546CBF6A" w14:textId="07A94D5F" w:rsidR="00CE1D3A" w:rsidRDefault="00CE1D3A">
          <w:pPr>
            <w:pStyle w:val="TM3"/>
            <w:tabs>
              <w:tab w:val="right" w:leader="dot" w:pos="9060"/>
            </w:tabs>
            <w:rPr>
              <w:rFonts w:eastAsiaTheme="minorEastAsia" w:cstheme="minorBidi"/>
              <w:noProof/>
              <w:kern w:val="2"/>
              <w:sz w:val="24"/>
              <w:szCs w:val="24"/>
              <w14:ligatures w14:val="standardContextual"/>
            </w:rPr>
          </w:pPr>
          <w:hyperlink w:anchor="_Toc200477850" w:history="1">
            <w:r w:rsidRPr="007A058F">
              <w:rPr>
                <w:rStyle w:val="Lienhypertexte"/>
                <w:noProof/>
                <w:lang w:val="en-US"/>
              </w:rPr>
              <w:t>Annex 5: UNDP Social and Environmental Screening Procedure (SESP)</w:t>
            </w:r>
            <w:r>
              <w:rPr>
                <w:noProof/>
                <w:webHidden/>
              </w:rPr>
              <w:tab/>
            </w:r>
            <w:r>
              <w:rPr>
                <w:noProof/>
                <w:webHidden/>
              </w:rPr>
              <w:fldChar w:fldCharType="begin"/>
            </w:r>
            <w:r>
              <w:rPr>
                <w:noProof/>
                <w:webHidden/>
              </w:rPr>
              <w:instrText xml:space="preserve"> PAGEREF _Toc200477850 \h </w:instrText>
            </w:r>
            <w:r>
              <w:rPr>
                <w:noProof/>
                <w:webHidden/>
              </w:rPr>
            </w:r>
            <w:r>
              <w:rPr>
                <w:noProof/>
                <w:webHidden/>
              </w:rPr>
              <w:fldChar w:fldCharType="separate"/>
            </w:r>
            <w:r>
              <w:rPr>
                <w:noProof/>
                <w:webHidden/>
              </w:rPr>
              <w:t>185</w:t>
            </w:r>
            <w:r>
              <w:rPr>
                <w:noProof/>
                <w:webHidden/>
              </w:rPr>
              <w:fldChar w:fldCharType="end"/>
            </w:r>
          </w:hyperlink>
        </w:p>
        <w:p w14:paraId="6AF82BDC" w14:textId="67504E2F" w:rsidR="00CE1D3A" w:rsidRDefault="00CE1D3A">
          <w:pPr>
            <w:pStyle w:val="TM3"/>
            <w:tabs>
              <w:tab w:val="right" w:leader="dot" w:pos="9060"/>
            </w:tabs>
            <w:rPr>
              <w:rFonts w:eastAsiaTheme="minorEastAsia" w:cstheme="minorBidi"/>
              <w:noProof/>
              <w:kern w:val="2"/>
              <w:sz w:val="24"/>
              <w:szCs w:val="24"/>
              <w14:ligatures w14:val="standardContextual"/>
            </w:rPr>
          </w:pPr>
          <w:hyperlink w:anchor="_Toc200477851" w:history="1">
            <w:r w:rsidRPr="007A058F">
              <w:rPr>
                <w:rStyle w:val="Lienhypertexte"/>
                <w:noProof/>
                <w:lang w:val="en-US"/>
              </w:rPr>
              <w:t>Annex 6: UNDP Risk Register</w:t>
            </w:r>
            <w:r>
              <w:rPr>
                <w:noProof/>
                <w:webHidden/>
              </w:rPr>
              <w:tab/>
            </w:r>
            <w:r>
              <w:rPr>
                <w:noProof/>
                <w:webHidden/>
              </w:rPr>
              <w:fldChar w:fldCharType="begin"/>
            </w:r>
            <w:r>
              <w:rPr>
                <w:noProof/>
                <w:webHidden/>
              </w:rPr>
              <w:instrText xml:space="preserve"> PAGEREF _Toc200477851 \h </w:instrText>
            </w:r>
            <w:r>
              <w:rPr>
                <w:noProof/>
                <w:webHidden/>
              </w:rPr>
            </w:r>
            <w:r>
              <w:rPr>
                <w:noProof/>
                <w:webHidden/>
              </w:rPr>
              <w:fldChar w:fldCharType="separate"/>
            </w:r>
            <w:r>
              <w:rPr>
                <w:noProof/>
                <w:webHidden/>
              </w:rPr>
              <w:t>186</w:t>
            </w:r>
            <w:r>
              <w:rPr>
                <w:noProof/>
                <w:webHidden/>
              </w:rPr>
              <w:fldChar w:fldCharType="end"/>
            </w:r>
          </w:hyperlink>
        </w:p>
        <w:p w14:paraId="4DB77568" w14:textId="0379BFEB" w:rsidR="00CE1D3A" w:rsidRDefault="00CE1D3A">
          <w:pPr>
            <w:pStyle w:val="TM3"/>
            <w:tabs>
              <w:tab w:val="right" w:leader="dot" w:pos="9060"/>
            </w:tabs>
            <w:rPr>
              <w:rFonts w:eastAsiaTheme="minorEastAsia" w:cstheme="minorBidi"/>
              <w:noProof/>
              <w:kern w:val="2"/>
              <w:sz w:val="24"/>
              <w:szCs w:val="24"/>
              <w14:ligatures w14:val="standardContextual"/>
            </w:rPr>
          </w:pPr>
          <w:hyperlink w:anchor="_Toc200477852" w:history="1">
            <w:r w:rsidRPr="007A058F">
              <w:rPr>
                <w:rStyle w:val="Lienhypertexte"/>
                <w:noProof/>
                <w:lang w:val="en-US"/>
              </w:rPr>
              <w:t>Annex 7: Overview of Technical Consultancies/Subcontracts</w:t>
            </w:r>
            <w:r>
              <w:rPr>
                <w:noProof/>
                <w:webHidden/>
              </w:rPr>
              <w:tab/>
            </w:r>
            <w:r>
              <w:rPr>
                <w:noProof/>
                <w:webHidden/>
              </w:rPr>
              <w:fldChar w:fldCharType="begin"/>
            </w:r>
            <w:r>
              <w:rPr>
                <w:noProof/>
                <w:webHidden/>
              </w:rPr>
              <w:instrText xml:space="preserve"> PAGEREF _Toc200477852 \h </w:instrText>
            </w:r>
            <w:r>
              <w:rPr>
                <w:noProof/>
                <w:webHidden/>
              </w:rPr>
            </w:r>
            <w:r>
              <w:rPr>
                <w:noProof/>
                <w:webHidden/>
              </w:rPr>
              <w:fldChar w:fldCharType="separate"/>
            </w:r>
            <w:r>
              <w:rPr>
                <w:noProof/>
                <w:webHidden/>
              </w:rPr>
              <w:t>197</w:t>
            </w:r>
            <w:r>
              <w:rPr>
                <w:noProof/>
                <w:webHidden/>
              </w:rPr>
              <w:fldChar w:fldCharType="end"/>
            </w:r>
          </w:hyperlink>
        </w:p>
        <w:p w14:paraId="121FF292" w14:textId="36D704E6" w:rsidR="00CE1D3A" w:rsidRDefault="00CE1D3A">
          <w:pPr>
            <w:pStyle w:val="TM3"/>
            <w:tabs>
              <w:tab w:val="right" w:leader="dot" w:pos="9060"/>
            </w:tabs>
            <w:rPr>
              <w:rFonts w:eastAsiaTheme="minorEastAsia" w:cstheme="minorBidi"/>
              <w:noProof/>
              <w:kern w:val="2"/>
              <w:sz w:val="24"/>
              <w:szCs w:val="24"/>
              <w14:ligatures w14:val="standardContextual"/>
            </w:rPr>
          </w:pPr>
          <w:hyperlink w:anchor="_Toc200477853" w:history="1">
            <w:r w:rsidRPr="007A058F">
              <w:rPr>
                <w:rStyle w:val="Lienhypertexte"/>
                <w:noProof/>
                <w:lang w:val="en-US"/>
              </w:rPr>
              <w:t>Annex 8: Stakeholder Engagement Plan</w:t>
            </w:r>
            <w:r>
              <w:rPr>
                <w:noProof/>
                <w:webHidden/>
              </w:rPr>
              <w:tab/>
            </w:r>
            <w:r>
              <w:rPr>
                <w:noProof/>
                <w:webHidden/>
              </w:rPr>
              <w:fldChar w:fldCharType="begin"/>
            </w:r>
            <w:r>
              <w:rPr>
                <w:noProof/>
                <w:webHidden/>
              </w:rPr>
              <w:instrText xml:space="preserve"> PAGEREF _Toc200477853 \h </w:instrText>
            </w:r>
            <w:r>
              <w:rPr>
                <w:noProof/>
                <w:webHidden/>
              </w:rPr>
            </w:r>
            <w:r>
              <w:rPr>
                <w:noProof/>
                <w:webHidden/>
              </w:rPr>
              <w:fldChar w:fldCharType="separate"/>
            </w:r>
            <w:r>
              <w:rPr>
                <w:noProof/>
                <w:webHidden/>
              </w:rPr>
              <w:t>204</w:t>
            </w:r>
            <w:r>
              <w:rPr>
                <w:noProof/>
                <w:webHidden/>
              </w:rPr>
              <w:fldChar w:fldCharType="end"/>
            </w:r>
          </w:hyperlink>
        </w:p>
        <w:p w14:paraId="6EA99212" w14:textId="4B20F977" w:rsidR="00CE1D3A" w:rsidRDefault="00CE1D3A">
          <w:pPr>
            <w:pStyle w:val="TM3"/>
            <w:tabs>
              <w:tab w:val="right" w:leader="dot" w:pos="9060"/>
            </w:tabs>
            <w:rPr>
              <w:rFonts w:eastAsiaTheme="minorEastAsia" w:cstheme="minorBidi"/>
              <w:noProof/>
              <w:kern w:val="2"/>
              <w:sz w:val="24"/>
              <w:szCs w:val="24"/>
              <w14:ligatures w14:val="standardContextual"/>
            </w:rPr>
          </w:pPr>
          <w:hyperlink w:anchor="_Toc200477854" w:history="1">
            <w:r w:rsidRPr="007A058F">
              <w:rPr>
                <w:rStyle w:val="Lienhypertexte"/>
                <w:noProof/>
                <w:lang w:val="en-US"/>
              </w:rPr>
              <w:t>Annex 10: Gender Analysis and Gender Action Plan</w:t>
            </w:r>
            <w:r>
              <w:rPr>
                <w:noProof/>
                <w:webHidden/>
              </w:rPr>
              <w:tab/>
            </w:r>
            <w:r>
              <w:rPr>
                <w:noProof/>
                <w:webHidden/>
              </w:rPr>
              <w:fldChar w:fldCharType="begin"/>
            </w:r>
            <w:r>
              <w:rPr>
                <w:noProof/>
                <w:webHidden/>
              </w:rPr>
              <w:instrText xml:space="preserve"> PAGEREF _Toc200477854 \h </w:instrText>
            </w:r>
            <w:r>
              <w:rPr>
                <w:noProof/>
                <w:webHidden/>
              </w:rPr>
            </w:r>
            <w:r>
              <w:rPr>
                <w:noProof/>
                <w:webHidden/>
              </w:rPr>
              <w:fldChar w:fldCharType="separate"/>
            </w:r>
            <w:r>
              <w:rPr>
                <w:noProof/>
                <w:webHidden/>
              </w:rPr>
              <w:t>205</w:t>
            </w:r>
            <w:r>
              <w:rPr>
                <w:noProof/>
                <w:webHidden/>
              </w:rPr>
              <w:fldChar w:fldCharType="end"/>
            </w:r>
          </w:hyperlink>
        </w:p>
        <w:p w14:paraId="7A559DDE" w14:textId="1F8890F9" w:rsidR="00CE1D3A" w:rsidRDefault="00CE1D3A">
          <w:pPr>
            <w:pStyle w:val="TM3"/>
            <w:tabs>
              <w:tab w:val="right" w:leader="dot" w:pos="9060"/>
            </w:tabs>
            <w:rPr>
              <w:rFonts w:eastAsiaTheme="minorEastAsia" w:cstheme="minorBidi"/>
              <w:noProof/>
              <w:kern w:val="2"/>
              <w:sz w:val="24"/>
              <w:szCs w:val="24"/>
              <w14:ligatures w14:val="standardContextual"/>
            </w:rPr>
          </w:pPr>
          <w:hyperlink w:anchor="_Toc200477855" w:history="1">
            <w:r w:rsidRPr="007A058F">
              <w:rPr>
                <w:rStyle w:val="Lienhypertexte"/>
                <w:noProof/>
                <w:lang w:val="en-US"/>
              </w:rPr>
              <w:t>Annex 11: Procurement Plan</w:t>
            </w:r>
            <w:r>
              <w:rPr>
                <w:noProof/>
                <w:webHidden/>
              </w:rPr>
              <w:tab/>
            </w:r>
            <w:r>
              <w:rPr>
                <w:noProof/>
                <w:webHidden/>
              </w:rPr>
              <w:fldChar w:fldCharType="begin"/>
            </w:r>
            <w:r>
              <w:rPr>
                <w:noProof/>
                <w:webHidden/>
              </w:rPr>
              <w:instrText xml:space="preserve"> PAGEREF _Toc200477855 \h </w:instrText>
            </w:r>
            <w:r>
              <w:rPr>
                <w:noProof/>
                <w:webHidden/>
              </w:rPr>
            </w:r>
            <w:r>
              <w:rPr>
                <w:noProof/>
                <w:webHidden/>
              </w:rPr>
              <w:fldChar w:fldCharType="separate"/>
            </w:r>
            <w:r>
              <w:rPr>
                <w:noProof/>
                <w:webHidden/>
              </w:rPr>
              <w:t>206</w:t>
            </w:r>
            <w:r>
              <w:rPr>
                <w:noProof/>
                <w:webHidden/>
              </w:rPr>
              <w:fldChar w:fldCharType="end"/>
            </w:r>
          </w:hyperlink>
        </w:p>
        <w:p w14:paraId="41964C0D" w14:textId="6D2E8B4E" w:rsidR="00CE1D3A" w:rsidRDefault="00CE1D3A">
          <w:pPr>
            <w:pStyle w:val="TM3"/>
            <w:tabs>
              <w:tab w:val="right" w:leader="dot" w:pos="9060"/>
            </w:tabs>
            <w:rPr>
              <w:rFonts w:eastAsiaTheme="minorEastAsia" w:cstheme="minorBidi"/>
              <w:noProof/>
              <w:kern w:val="2"/>
              <w:sz w:val="24"/>
              <w:szCs w:val="24"/>
              <w14:ligatures w14:val="standardContextual"/>
            </w:rPr>
          </w:pPr>
          <w:hyperlink w:anchor="_Toc200477856" w:history="1">
            <w:r w:rsidRPr="007A058F">
              <w:rPr>
                <w:rStyle w:val="Lienhypertexte"/>
                <w:noProof/>
                <w:lang w:val="en-US"/>
              </w:rPr>
              <w:t>Annex 14: GEF CEO Endorsement/Approval</w:t>
            </w:r>
            <w:r>
              <w:rPr>
                <w:noProof/>
                <w:webHidden/>
              </w:rPr>
              <w:tab/>
            </w:r>
            <w:r>
              <w:rPr>
                <w:noProof/>
                <w:webHidden/>
              </w:rPr>
              <w:fldChar w:fldCharType="begin"/>
            </w:r>
            <w:r>
              <w:rPr>
                <w:noProof/>
                <w:webHidden/>
              </w:rPr>
              <w:instrText xml:space="preserve"> PAGEREF _Toc200477856 \h </w:instrText>
            </w:r>
            <w:r>
              <w:rPr>
                <w:noProof/>
                <w:webHidden/>
              </w:rPr>
            </w:r>
            <w:r>
              <w:rPr>
                <w:noProof/>
                <w:webHidden/>
              </w:rPr>
              <w:fldChar w:fldCharType="separate"/>
            </w:r>
            <w:r>
              <w:rPr>
                <w:noProof/>
                <w:webHidden/>
              </w:rPr>
              <w:t>209</w:t>
            </w:r>
            <w:r>
              <w:rPr>
                <w:noProof/>
                <w:webHidden/>
              </w:rPr>
              <w:fldChar w:fldCharType="end"/>
            </w:r>
          </w:hyperlink>
        </w:p>
        <w:p w14:paraId="3DF0790C" w14:textId="65783481" w:rsidR="00CE1D3A" w:rsidRDefault="00CE1D3A">
          <w:pPr>
            <w:pStyle w:val="TM3"/>
            <w:tabs>
              <w:tab w:val="right" w:leader="dot" w:pos="9060"/>
            </w:tabs>
            <w:rPr>
              <w:rFonts w:eastAsiaTheme="minorEastAsia" w:cstheme="minorBidi"/>
              <w:noProof/>
              <w:kern w:val="2"/>
              <w:sz w:val="24"/>
              <w:szCs w:val="24"/>
              <w14:ligatures w14:val="standardContextual"/>
            </w:rPr>
          </w:pPr>
          <w:hyperlink w:anchor="_Toc200477857" w:history="1">
            <w:r w:rsidRPr="007A058F">
              <w:rPr>
                <w:rStyle w:val="Lienhypertexte"/>
                <w:noProof/>
                <w:lang w:val="en-US"/>
              </w:rPr>
              <w:t>Annex 16: Terms of Reference for Project Board and Project Team</w:t>
            </w:r>
            <w:r>
              <w:rPr>
                <w:noProof/>
                <w:webHidden/>
              </w:rPr>
              <w:tab/>
            </w:r>
            <w:r>
              <w:rPr>
                <w:noProof/>
                <w:webHidden/>
              </w:rPr>
              <w:fldChar w:fldCharType="begin"/>
            </w:r>
            <w:r>
              <w:rPr>
                <w:noProof/>
                <w:webHidden/>
              </w:rPr>
              <w:instrText xml:space="preserve"> PAGEREF _Toc200477857 \h </w:instrText>
            </w:r>
            <w:r>
              <w:rPr>
                <w:noProof/>
                <w:webHidden/>
              </w:rPr>
            </w:r>
            <w:r>
              <w:rPr>
                <w:noProof/>
                <w:webHidden/>
              </w:rPr>
              <w:fldChar w:fldCharType="separate"/>
            </w:r>
            <w:r>
              <w:rPr>
                <w:noProof/>
                <w:webHidden/>
              </w:rPr>
              <w:t>210</w:t>
            </w:r>
            <w:r>
              <w:rPr>
                <w:noProof/>
                <w:webHidden/>
              </w:rPr>
              <w:fldChar w:fldCharType="end"/>
            </w:r>
          </w:hyperlink>
        </w:p>
        <w:p w14:paraId="4D609188" w14:textId="7303EE77" w:rsidR="00CE1D3A" w:rsidRDefault="00CE1D3A">
          <w:pPr>
            <w:pStyle w:val="TM3"/>
            <w:tabs>
              <w:tab w:val="right" w:leader="dot" w:pos="9060"/>
            </w:tabs>
            <w:rPr>
              <w:rFonts w:eastAsiaTheme="minorEastAsia" w:cstheme="minorBidi"/>
              <w:noProof/>
              <w:kern w:val="2"/>
              <w:sz w:val="24"/>
              <w:szCs w:val="24"/>
              <w14:ligatures w14:val="standardContextual"/>
            </w:rPr>
          </w:pPr>
          <w:hyperlink w:anchor="_Toc200477858" w:history="1">
            <w:r w:rsidRPr="007A058F">
              <w:rPr>
                <w:rStyle w:val="Lienhypertexte"/>
                <w:noProof/>
                <w:lang w:val="en-US"/>
              </w:rPr>
              <w:t>Annex 18: GEF Taxonomy</w:t>
            </w:r>
            <w:r>
              <w:rPr>
                <w:noProof/>
                <w:webHidden/>
              </w:rPr>
              <w:tab/>
            </w:r>
            <w:r>
              <w:rPr>
                <w:noProof/>
                <w:webHidden/>
              </w:rPr>
              <w:fldChar w:fldCharType="begin"/>
            </w:r>
            <w:r>
              <w:rPr>
                <w:noProof/>
                <w:webHidden/>
              </w:rPr>
              <w:instrText xml:space="preserve"> PAGEREF _Toc200477858 \h </w:instrText>
            </w:r>
            <w:r>
              <w:rPr>
                <w:noProof/>
                <w:webHidden/>
              </w:rPr>
            </w:r>
            <w:r>
              <w:rPr>
                <w:noProof/>
                <w:webHidden/>
              </w:rPr>
              <w:fldChar w:fldCharType="separate"/>
            </w:r>
            <w:r>
              <w:rPr>
                <w:noProof/>
                <w:webHidden/>
              </w:rPr>
              <w:t>212</w:t>
            </w:r>
            <w:r>
              <w:rPr>
                <w:noProof/>
                <w:webHidden/>
              </w:rPr>
              <w:fldChar w:fldCharType="end"/>
            </w:r>
          </w:hyperlink>
        </w:p>
        <w:p w14:paraId="0CBBF5E3" w14:textId="4CE93375" w:rsidR="00CE1D3A" w:rsidRDefault="00CE1D3A">
          <w:pPr>
            <w:pStyle w:val="TM3"/>
            <w:tabs>
              <w:tab w:val="right" w:leader="dot" w:pos="9060"/>
            </w:tabs>
            <w:rPr>
              <w:rFonts w:eastAsiaTheme="minorEastAsia" w:cstheme="minorBidi"/>
              <w:noProof/>
              <w:kern w:val="2"/>
              <w:sz w:val="24"/>
              <w:szCs w:val="24"/>
              <w14:ligatures w14:val="standardContextual"/>
            </w:rPr>
          </w:pPr>
          <w:hyperlink w:anchor="_Toc200477859" w:history="1">
            <w:r w:rsidRPr="00857B81">
              <w:rPr>
                <w:rStyle w:val="Lienhypertexte"/>
                <w:noProof/>
                <w:highlight w:val="yellow"/>
                <w:shd w:val="clear" w:color="auto" w:fill="E6E6E6"/>
                <w:lang w:val="en-US"/>
              </w:rPr>
              <w:t>Annex 1</w:t>
            </w:r>
            <w:r w:rsidRPr="00857B81">
              <w:rPr>
                <w:rStyle w:val="Lienhypertexte"/>
                <w:noProof/>
                <w:highlight w:val="yellow"/>
                <w:lang w:val="en-US"/>
              </w:rPr>
              <w:t>9</w:t>
            </w:r>
            <w:r w:rsidRPr="00857B81">
              <w:rPr>
                <w:rStyle w:val="Lienhypertexte"/>
                <w:noProof/>
                <w:highlight w:val="yellow"/>
                <w:shd w:val="clear" w:color="auto" w:fill="E6E6E6"/>
                <w:lang w:val="en-US"/>
              </w:rPr>
              <w:t>: Results of the Partners Capacity Assessment Tool (PACT) and HACT Micro Assessment</w:t>
            </w:r>
            <w:r w:rsidRPr="00857B81">
              <w:rPr>
                <w:noProof/>
                <w:webHidden/>
                <w:highlight w:val="yellow"/>
              </w:rPr>
              <w:tab/>
            </w:r>
            <w:r w:rsidRPr="00857B81">
              <w:rPr>
                <w:noProof/>
                <w:webHidden/>
                <w:highlight w:val="yellow"/>
              </w:rPr>
              <w:fldChar w:fldCharType="begin"/>
            </w:r>
            <w:r w:rsidRPr="00857B81">
              <w:rPr>
                <w:noProof/>
                <w:webHidden/>
                <w:highlight w:val="yellow"/>
              </w:rPr>
              <w:instrText xml:space="preserve"> PAGEREF _Toc200477859 \h </w:instrText>
            </w:r>
            <w:r w:rsidRPr="00857B81">
              <w:rPr>
                <w:noProof/>
                <w:webHidden/>
                <w:highlight w:val="yellow"/>
              </w:rPr>
            </w:r>
            <w:r w:rsidRPr="00857B81">
              <w:rPr>
                <w:noProof/>
                <w:webHidden/>
                <w:highlight w:val="yellow"/>
              </w:rPr>
              <w:fldChar w:fldCharType="separate"/>
            </w:r>
            <w:r w:rsidRPr="00857B81">
              <w:rPr>
                <w:noProof/>
                <w:webHidden/>
                <w:highlight w:val="yellow"/>
              </w:rPr>
              <w:t>219</w:t>
            </w:r>
            <w:r w:rsidRPr="00857B81">
              <w:rPr>
                <w:noProof/>
                <w:webHidden/>
                <w:highlight w:val="yellow"/>
              </w:rPr>
              <w:fldChar w:fldCharType="end"/>
            </w:r>
          </w:hyperlink>
        </w:p>
        <w:p w14:paraId="100233FF" w14:textId="05DAAE21" w:rsidR="26E43118" w:rsidRPr="006F5E1D" w:rsidRDefault="26E43118" w:rsidP="5D8904BE">
          <w:pPr>
            <w:pStyle w:val="TM3"/>
            <w:tabs>
              <w:tab w:val="right" w:leader="dot" w:pos="9060"/>
            </w:tabs>
            <w:rPr>
              <w:rStyle w:val="Lienhypertexte"/>
              <w:rFonts w:ascii="Calibri" w:hAnsi="Calibri"/>
              <w:smallCaps/>
            </w:rPr>
          </w:pPr>
          <w:r w:rsidRPr="006F5E1D">
            <w:rPr>
              <w:rFonts w:ascii="Calibri" w:hAnsi="Calibri"/>
              <w:smallCaps/>
            </w:rPr>
            <w:fldChar w:fldCharType="end"/>
          </w:r>
        </w:p>
      </w:sdtContent>
    </w:sdt>
    <w:p w14:paraId="27467D68" w14:textId="78F2A28C" w:rsidR="00E50BCC" w:rsidRDefault="00E50BCC"/>
    <w:p w14:paraId="7E7541DC" w14:textId="7797EA2B" w:rsidR="00F033F0" w:rsidRPr="006F5E1D" w:rsidRDefault="00F549A3" w:rsidP="5D8904BE">
      <w:pPr>
        <w:pStyle w:val="Tabledesillustrations"/>
        <w:tabs>
          <w:tab w:val="right" w:pos="9060"/>
        </w:tabs>
        <w:rPr>
          <w:rFonts w:ascii="Calibri" w:eastAsiaTheme="minorEastAsia" w:hAnsi="Calibri" w:cs="Calibri"/>
          <w:i w:val="0"/>
          <w:iCs w:val="0"/>
          <w:noProof/>
          <w:kern w:val="2"/>
          <w:sz w:val="22"/>
          <w:szCs w:val="22"/>
          <w:lang w:eastAsia="ja-JP"/>
          <w14:ligatures w14:val="standardContextual"/>
        </w:rPr>
      </w:pPr>
      <w:r>
        <w:fldChar w:fldCharType="begin"/>
      </w:r>
      <w:r>
        <w:instrText xml:space="preserve"> TOC \h \z \c "Tableau" </w:instrText>
      </w:r>
      <w:r>
        <w:fldChar w:fldCharType="separate"/>
      </w:r>
      <w:hyperlink w:anchor="_Toc199489219" w:history="1">
        <w:r w:rsidR="0B46455C" w:rsidRPr="006F5E1D">
          <w:rPr>
            <w:rStyle w:val="Lienhypertexte"/>
            <w:rFonts w:ascii="Calibri" w:hAnsi="Calibri" w:cs="Calibri"/>
            <w:noProof/>
            <w:sz w:val="18"/>
            <w:szCs w:val="22"/>
            <w:lang w:val="en-US"/>
          </w:rPr>
          <w:t xml:space="preserve">Table 1 : Stakeholders involved in the implementation of National Transport Policy </w:t>
        </w:r>
        <w:r w:rsidRPr="006F5E1D">
          <w:rPr>
            <w:rFonts w:ascii="Calibri" w:hAnsi="Calibri" w:cs="Calibri"/>
            <w:sz w:val="18"/>
            <w:szCs w:val="22"/>
          </w:rPr>
          <w:tab/>
        </w:r>
        <w:r w:rsidRPr="006F5E1D">
          <w:rPr>
            <w:rFonts w:ascii="Calibri" w:hAnsi="Calibri" w:cs="Calibri"/>
            <w:noProof/>
            <w:sz w:val="18"/>
            <w:szCs w:val="22"/>
          </w:rPr>
          <w:fldChar w:fldCharType="begin"/>
        </w:r>
        <w:r w:rsidRPr="006F5E1D">
          <w:rPr>
            <w:rFonts w:ascii="Calibri" w:hAnsi="Calibri" w:cs="Calibri"/>
            <w:noProof/>
            <w:sz w:val="18"/>
            <w:szCs w:val="22"/>
          </w:rPr>
          <w:instrText xml:space="preserve"> PAGEREF _Toc199489219 \h </w:instrText>
        </w:r>
        <w:r w:rsidRPr="006F5E1D">
          <w:rPr>
            <w:rFonts w:ascii="Calibri" w:hAnsi="Calibri" w:cs="Calibri"/>
            <w:noProof/>
            <w:sz w:val="18"/>
            <w:szCs w:val="22"/>
          </w:rPr>
        </w:r>
        <w:r w:rsidRPr="006F5E1D">
          <w:rPr>
            <w:rFonts w:ascii="Calibri" w:hAnsi="Calibri" w:cs="Calibri"/>
            <w:noProof/>
            <w:sz w:val="18"/>
            <w:szCs w:val="22"/>
          </w:rPr>
          <w:fldChar w:fldCharType="separate"/>
        </w:r>
        <w:r w:rsidR="0B46455C" w:rsidRPr="006F5E1D">
          <w:rPr>
            <w:rFonts w:ascii="Calibri" w:hAnsi="Calibri" w:cs="Calibri"/>
            <w:noProof/>
            <w:webHidden/>
            <w:sz w:val="18"/>
            <w:szCs w:val="22"/>
          </w:rPr>
          <w:t>9</w:t>
        </w:r>
        <w:r w:rsidRPr="006F5E1D">
          <w:rPr>
            <w:rFonts w:ascii="Calibri" w:hAnsi="Calibri" w:cs="Calibri"/>
            <w:noProof/>
            <w:sz w:val="18"/>
            <w:szCs w:val="22"/>
          </w:rPr>
          <w:fldChar w:fldCharType="end"/>
        </w:r>
      </w:hyperlink>
    </w:p>
    <w:p w14:paraId="736CA275" w14:textId="773C40B5" w:rsidR="00F033F0" w:rsidRPr="006F5E1D" w:rsidRDefault="0B46455C" w:rsidP="5D8904BE">
      <w:pPr>
        <w:pStyle w:val="Tabledesillustrations"/>
        <w:tabs>
          <w:tab w:val="right" w:pos="9060"/>
        </w:tabs>
        <w:rPr>
          <w:rFonts w:ascii="Calibri" w:eastAsiaTheme="minorEastAsia" w:hAnsi="Calibri" w:cs="Calibri"/>
          <w:i w:val="0"/>
          <w:iCs w:val="0"/>
          <w:noProof/>
          <w:kern w:val="2"/>
          <w:sz w:val="22"/>
          <w:szCs w:val="22"/>
          <w:lang w:eastAsia="ja-JP"/>
          <w14:ligatures w14:val="standardContextual"/>
        </w:rPr>
      </w:pPr>
      <w:hyperlink w:anchor="_Toc199489220" w:history="1">
        <w:r w:rsidRPr="006F5E1D">
          <w:rPr>
            <w:rStyle w:val="Lienhypertexte"/>
            <w:rFonts w:ascii="Calibri" w:hAnsi="Calibri" w:cs="Calibri"/>
            <w:noProof/>
            <w:sz w:val="18"/>
            <w:szCs w:val="22"/>
            <w:lang w:val="en-US"/>
          </w:rPr>
          <w:t>Table 2 Laws and decrees relating to Bamako's integrated urban development project</w:t>
        </w:r>
        <w:r w:rsidR="00F033F0" w:rsidRPr="006F5E1D">
          <w:rPr>
            <w:rFonts w:ascii="Calibri" w:hAnsi="Calibri" w:cs="Calibri"/>
            <w:sz w:val="18"/>
            <w:szCs w:val="22"/>
          </w:rPr>
          <w:tab/>
        </w:r>
        <w:r w:rsidR="00F033F0" w:rsidRPr="006F5E1D">
          <w:rPr>
            <w:rFonts w:ascii="Calibri" w:hAnsi="Calibri" w:cs="Calibri"/>
            <w:noProof/>
            <w:sz w:val="18"/>
            <w:szCs w:val="22"/>
          </w:rPr>
          <w:fldChar w:fldCharType="begin"/>
        </w:r>
        <w:r w:rsidR="00F033F0" w:rsidRPr="006F5E1D">
          <w:rPr>
            <w:rFonts w:ascii="Calibri" w:hAnsi="Calibri" w:cs="Calibri"/>
            <w:noProof/>
            <w:sz w:val="18"/>
            <w:szCs w:val="22"/>
          </w:rPr>
          <w:instrText xml:space="preserve"> PAGEREF _Toc199489220 \h </w:instrText>
        </w:r>
        <w:r w:rsidR="00F033F0" w:rsidRPr="006F5E1D">
          <w:rPr>
            <w:rFonts w:ascii="Calibri" w:hAnsi="Calibri" w:cs="Calibri"/>
            <w:noProof/>
            <w:sz w:val="18"/>
            <w:szCs w:val="22"/>
          </w:rPr>
        </w:r>
        <w:r w:rsidR="00F033F0" w:rsidRPr="006F5E1D">
          <w:rPr>
            <w:rFonts w:ascii="Calibri" w:hAnsi="Calibri" w:cs="Calibri"/>
            <w:noProof/>
            <w:sz w:val="18"/>
            <w:szCs w:val="22"/>
          </w:rPr>
          <w:fldChar w:fldCharType="separate"/>
        </w:r>
        <w:r w:rsidRPr="006F5E1D">
          <w:rPr>
            <w:rFonts w:ascii="Calibri" w:hAnsi="Calibri" w:cs="Calibri"/>
            <w:noProof/>
            <w:webHidden/>
            <w:sz w:val="18"/>
            <w:szCs w:val="22"/>
          </w:rPr>
          <w:t>14</w:t>
        </w:r>
        <w:r w:rsidR="00F033F0" w:rsidRPr="006F5E1D">
          <w:rPr>
            <w:rFonts w:ascii="Calibri" w:hAnsi="Calibri" w:cs="Calibri"/>
            <w:noProof/>
            <w:sz w:val="18"/>
            <w:szCs w:val="22"/>
          </w:rPr>
          <w:fldChar w:fldCharType="end"/>
        </w:r>
      </w:hyperlink>
    </w:p>
    <w:p w14:paraId="29A1675A" w14:textId="4660322A" w:rsidR="00F033F0" w:rsidRPr="006F5E1D" w:rsidRDefault="0B46455C" w:rsidP="5D8904BE">
      <w:pPr>
        <w:pStyle w:val="Tabledesillustrations"/>
        <w:tabs>
          <w:tab w:val="right" w:pos="9060"/>
        </w:tabs>
        <w:rPr>
          <w:rFonts w:ascii="Calibri" w:eastAsiaTheme="minorEastAsia" w:hAnsi="Calibri" w:cs="Calibri"/>
          <w:i w:val="0"/>
          <w:iCs w:val="0"/>
          <w:noProof/>
          <w:kern w:val="2"/>
          <w:sz w:val="22"/>
          <w:szCs w:val="22"/>
          <w:lang w:eastAsia="ja-JP"/>
          <w14:ligatures w14:val="standardContextual"/>
        </w:rPr>
      </w:pPr>
      <w:hyperlink w:anchor="_Toc199489221" w:history="1">
        <w:r w:rsidRPr="006F5E1D">
          <w:rPr>
            <w:rStyle w:val="Lienhypertexte"/>
            <w:rFonts w:ascii="Calibri" w:hAnsi="Calibri" w:cs="Calibri"/>
            <w:noProof/>
            <w:sz w:val="18"/>
            <w:szCs w:val="22"/>
            <w:lang w:val="en-US"/>
          </w:rPr>
          <w:t>Table 3 State of Classified Forests in the District of Bamako</w:t>
        </w:r>
        <w:r w:rsidR="00F033F0" w:rsidRPr="006F5E1D">
          <w:rPr>
            <w:rFonts w:ascii="Calibri" w:hAnsi="Calibri" w:cs="Calibri"/>
            <w:sz w:val="18"/>
            <w:szCs w:val="22"/>
          </w:rPr>
          <w:tab/>
        </w:r>
        <w:r w:rsidR="00F033F0" w:rsidRPr="006F5E1D">
          <w:rPr>
            <w:rFonts w:ascii="Calibri" w:hAnsi="Calibri" w:cs="Calibri"/>
            <w:noProof/>
            <w:sz w:val="18"/>
            <w:szCs w:val="22"/>
          </w:rPr>
          <w:fldChar w:fldCharType="begin"/>
        </w:r>
        <w:r w:rsidR="00F033F0" w:rsidRPr="006F5E1D">
          <w:rPr>
            <w:rFonts w:ascii="Calibri" w:hAnsi="Calibri" w:cs="Calibri"/>
            <w:noProof/>
            <w:sz w:val="18"/>
            <w:szCs w:val="22"/>
          </w:rPr>
          <w:instrText xml:space="preserve"> PAGEREF _Toc199489221 \h </w:instrText>
        </w:r>
        <w:r w:rsidR="00F033F0" w:rsidRPr="006F5E1D">
          <w:rPr>
            <w:rFonts w:ascii="Calibri" w:hAnsi="Calibri" w:cs="Calibri"/>
            <w:noProof/>
            <w:sz w:val="18"/>
            <w:szCs w:val="22"/>
          </w:rPr>
        </w:r>
        <w:r w:rsidR="00F033F0" w:rsidRPr="006F5E1D">
          <w:rPr>
            <w:rFonts w:ascii="Calibri" w:hAnsi="Calibri" w:cs="Calibri"/>
            <w:noProof/>
            <w:sz w:val="18"/>
            <w:szCs w:val="22"/>
          </w:rPr>
          <w:fldChar w:fldCharType="separate"/>
        </w:r>
        <w:r w:rsidRPr="006F5E1D">
          <w:rPr>
            <w:rFonts w:ascii="Calibri" w:hAnsi="Calibri" w:cs="Calibri"/>
            <w:noProof/>
            <w:webHidden/>
            <w:sz w:val="18"/>
            <w:szCs w:val="22"/>
          </w:rPr>
          <w:t>16</w:t>
        </w:r>
        <w:r w:rsidR="00F033F0" w:rsidRPr="006F5E1D">
          <w:rPr>
            <w:rFonts w:ascii="Calibri" w:hAnsi="Calibri" w:cs="Calibri"/>
            <w:noProof/>
            <w:sz w:val="18"/>
            <w:szCs w:val="22"/>
          </w:rPr>
          <w:fldChar w:fldCharType="end"/>
        </w:r>
      </w:hyperlink>
    </w:p>
    <w:p w14:paraId="3006C37C" w14:textId="5ABDFD3B" w:rsidR="00F033F0" w:rsidRPr="006F5E1D" w:rsidRDefault="0B46455C" w:rsidP="5D8904BE">
      <w:pPr>
        <w:pStyle w:val="Tabledesillustrations"/>
        <w:tabs>
          <w:tab w:val="right" w:pos="9060"/>
        </w:tabs>
        <w:rPr>
          <w:rFonts w:ascii="Calibri" w:eastAsiaTheme="minorEastAsia" w:hAnsi="Calibri" w:cs="Calibri"/>
          <w:i w:val="0"/>
          <w:iCs w:val="0"/>
          <w:noProof/>
          <w:kern w:val="2"/>
          <w:sz w:val="22"/>
          <w:szCs w:val="22"/>
          <w:lang w:eastAsia="ja-JP"/>
          <w14:ligatures w14:val="standardContextual"/>
        </w:rPr>
      </w:pPr>
      <w:hyperlink w:anchor="_Toc199489222" w:history="1">
        <w:r w:rsidRPr="006F5E1D">
          <w:rPr>
            <w:rStyle w:val="Lienhypertexte"/>
            <w:rFonts w:ascii="Calibri" w:hAnsi="Calibri" w:cs="Calibri"/>
            <w:noProof/>
            <w:sz w:val="18"/>
            <w:szCs w:val="22"/>
            <w:lang w:val="en-US"/>
          </w:rPr>
          <w:t>Table 4 Plans and spaces inventoried in the District of Bamako</w:t>
        </w:r>
        <w:r w:rsidR="00F033F0" w:rsidRPr="006F5E1D">
          <w:rPr>
            <w:rFonts w:ascii="Calibri" w:hAnsi="Calibri" w:cs="Calibri"/>
            <w:sz w:val="18"/>
            <w:szCs w:val="22"/>
          </w:rPr>
          <w:tab/>
        </w:r>
        <w:r w:rsidR="00F033F0" w:rsidRPr="006F5E1D">
          <w:rPr>
            <w:rFonts w:ascii="Calibri" w:hAnsi="Calibri" w:cs="Calibri"/>
            <w:noProof/>
            <w:sz w:val="18"/>
            <w:szCs w:val="22"/>
          </w:rPr>
          <w:fldChar w:fldCharType="begin"/>
        </w:r>
        <w:r w:rsidR="00F033F0" w:rsidRPr="006F5E1D">
          <w:rPr>
            <w:rFonts w:ascii="Calibri" w:hAnsi="Calibri" w:cs="Calibri"/>
            <w:noProof/>
            <w:sz w:val="18"/>
            <w:szCs w:val="22"/>
          </w:rPr>
          <w:instrText xml:space="preserve"> PAGEREF _Toc199489222 \h </w:instrText>
        </w:r>
        <w:r w:rsidR="00F033F0" w:rsidRPr="006F5E1D">
          <w:rPr>
            <w:rFonts w:ascii="Calibri" w:hAnsi="Calibri" w:cs="Calibri"/>
            <w:noProof/>
            <w:sz w:val="18"/>
            <w:szCs w:val="22"/>
          </w:rPr>
        </w:r>
        <w:r w:rsidR="00F033F0" w:rsidRPr="006F5E1D">
          <w:rPr>
            <w:rFonts w:ascii="Calibri" w:hAnsi="Calibri" w:cs="Calibri"/>
            <w:noProof/>
            <w:sz w:val="18"/>
            <w:szCs w:val="22"/>
          </w:rPr>
          <w:fldChar w:fldCharType="separate"/>
        </w:r>
        <w:r w:rsidRPr="006F5E1D">
          <w:rPr>
            <w:rFonts w:ascii="Calibri" w:hAnsi="Calibri" w:cs="Calibri"/>
            <w:noProof/>
            <w:webHidden/>
            <w:sz w:val="18"/>
            <w:szCs w:val="22"/>
          </w:rPr>
          <w:t>18</w:t>
        </w:r>
        <w:r w:rsidR="00F033F0" w:rsidRPr="006F5E1D">
          <w:rPr>
            <w:rFonts w:ascii="Calibri" w:hAnsi="Calibri" w:cs="Calibri"/>
            <w:noProof/>
            <w:sz w:val="18"/>
            <w:szCs w:val="22"/>
          </w:rPr>
          <w:fldChar w:fldCharType="end"/>
        </w:r>
      </w:hyperlink>
    </w:p>
    <w:p w14:paraId="0E863315" w14:textId="71137703" w:rsidR="00F033F0" w:rsidRPr="006F5E1D" w:rsidRDefault="0B46455C" w:rsidP="5D8904BE">
      <w:pPr>
        <w:pStyle w:val="Tabledesillustrations"/>
        <w:tabs>
          <w:tab w:val="right" w:pos="9060"/>
        </w:tabs>
        <w:rPr>
          <w:rFonts w:ascii="Calibri" w:eastAsiaTheme="minorEastAsia" w:hAnsi="Calibri" w:cs="Calibri"/>
          <w:i w:val="0"/>
          <w:iCs w:val="0"/>
          <w:noProof/>
          <w:kern w:val="2"/>
          <w:sz w:val="22"/>
          <w:szCs w:val="22"/>
          <w:lang w:eastAsia="ja-JP"/>
          <w14:ligatures w14:val="standardContextual"/>
        </w:rPr>
      </w:pPr>
      <w:hyperlink w:anchor="_Toc199489223" w:history="1">
        <w:r w:rsidRPr="006F5E1D">
          <w:rPr>
            <w:rStyle w:val="Lienhypertexte"/>
            <w:rFonts w:ascii="Calibri" w:hAnsi="Calibri" w:cs="Calibri"/>
            <w:noProof/>
            <w:sz w:val="18"/>
            <w:szCs w:val="22"/>
            <w:lang w:val="en-US"/>
          </w:rPr>
          <w:t>Table 5 Eleven natural water channel from the watersheds around the Niger River in Bamako</w:t>
        </w:r>
        <w:r w:rsidR="00F033F0" w:rsidRPr="006F5E1D">
          <w:rPr>
            <w:rFonts w:ascii="Calibri" w:hAnsi="Calibri" w:cs="Calibri"/>
            <w:sz w:val="18"/>
            <w:szCs w:val="22"/>
          </w:rPr>
          <w:tab/>
        </w:r>
        <w:r w:rsidR="00F033F0" w:rsidRPr="006F5E1D">
          <w:rPr>
            <w:rFonts w:ascii="Calibri" w:hAnsi="Calibri" w:cs="Calibri"/>
            <w:noProof/>
            <w:sz w:val="18"/>
            <w:szCs w:val="22"/>
          </w:rPr>
          <w:fldChar w:fldCharType="begin"/>
        </w:r>
        <w:r w:rsidR="00F033F0" w:rsidRPr="006F5E1D">
          <w:rPr>
            <w:rFonts w:ascii="Calibri" w:hAnsi="Calibri" w:cs="Calibri"/>
            <w:noProof/>
            <w:sz w:val="18"/>
            <w:szCs w:val="22"/>
          </w:rPr>
          <w:instrText xml:space="preserve"> PAGEREF _Toc199489223 \h </w:instrText>
        </w:r>
        <w:r w:rsidR="00F033F0" w:rsidRPr="006F5E1D">
          <w:rPr>
            <w:rFonts w:ascii="Calibri" w:hAnsi="Calibri" w:cs="Calibri"/>
            <w:noProof/>
            <w:sz w:val="18"/>
            <w:szCs w:val="22"/>
          </w:rPr>
        </w:r>
        <w:r w:rsidR="00F033F0" w:rsidRPr="006F5E1D">
          <w:rPr>
            <w:rFonts w:ascii="Calibri" w:hAnsi="Calibri" w:cs="Calibri"/>
            <w:noProof/>
            <w:sz w:val="18"/>
            <w:szCs w:val="22"/>
          </w:rPr>
          <w:fldChar w:fldCharType="separate"/>
        </w:r>
        <w:r w:rsidRPr="006F5E1D">
          <w:rPr>
            <w:rFonts w:ascii="Calibri" w:hAnsi="Calibri" w:cs="Calibri"/>
            <w:noProof/>
            <w:webHidden/>
            <w:sz w:val="18"/>
            <w:szCs w:val="22"/>
          </w:rPr>
          <w:t>18</w:t>
        </w:r>
        <w:r w:rsidR="00F033F0" w:rsidRPr="006F5E1D">
          <w:rPr>
            <w:rFonts w:ascii="Calibri" w:hAnsi="Calibri" w:cs="Calibri"/>
            <w:noProof/>
            <w:sz w:val="18"/>
            <w:szCs w:val="22"/>
          </w:rPr>
          <w:fldChar w:fldCharType="end"/>
        </w:r>
      </w:hyperlink>
    </w:p>
    <w:p w14:paraId="4D626799" w14:textId="5BF15EDB" w:rsidR="00F033F0" w:rsidRPr="006F5E1D" w:rsidRDefault="0B46455C" w:rsidP="5D8904BE">
      <w:pPr>
        <w:pStyle w:val="Tabledesillustrations"/>
        <w:tabs>
          <w:tab w:val="right" w:pos="9060"/>
        </w:tabs>
        <w:rPr>
          <w:rFonts w:ascii="Calibri" w:eastAsiaTheme="minorEastAsia" w:hAnsi="Calibri" w:cs="Calibri"/>
          <w:i w:val="0"/>
          <w:iCs w:val="0"/>
          <w:noProof/>
          <w:kern w:val="2"/>
          <w:sz w:val="22"/>
          <w:szCs w:val="22"/>
          <w:lang w:eastAsia="ja-JP"/>
          <w14:ligatures w14:val="standardContextual"/>
        </w:rPr>
      </w:pPr>
      <w:hyperlink w:anchor="_Toc199489224" w:history="1">
        <w:r w:rsidRPr="006F5E1D">
          <w:rPr>
            <w:rStyle w:val="Lienhypertexte"/>
            <w:rFonts w:ascii="Calibri" w:hAnsi="Calibri" w:cs="Calibri"/>
            <w:noProof/>
            <w:sz w:val="18"/>
            <w:szCs w:val="22"/>
            <w:lang w:val="en-US"/>
          </w:rPr>
          <w:t>Table 6 Political context of national urban planning in Bamako</w:t>
        </w:r>
        <w:r w:rsidR="00F033F0" w:rsidRPr="006F5E1D">
          <w:rPr>
            <w:rFonts w:ascii="Calibri" w:hAnsi="Calibri" w:cs="Calibri"/>
            <w:sz w:val="18"/>
            <w:szCs w:val="22"/>
          </w:rPr>
          <w:tab/>
        </w:r>
        <w:r w:rsidR="00F033F0" w:rsidRPr="006F5E1D">
          <w:rPr>
            <w:rFonts w:ascii="Calibri" w:hAnsi="Calibri" w:cs="Calibri"/>
            <w:noProof/>
            <w:sz w:val="18"/>
            <w:szCs w:val="22"/>
          </w:rPr>
          <w:fldChar w:fldCharType="begin"/>
        </w:r>
        <w:r w:rsidR="00F033F0" w:rsidRPr="006F5E1D">
          <w:rPr>
            <w:rFonts w:ascii="Calibri" w:hAnsi="Calibri" w:cs="Calibri"/>
            <w:noProof/>
            <w:sz w:val="18"/>
            <w:szCs w:val="22"/>
          </w:rPr>
          <w:instrText xml:space="preserve"> PAGEREF _Toc199489224 \h </w:instrText>
        </w:r>
        <w:r w:rsidR="00F033F0" w:rsidRPr="006F5E1D">
          <w:rPr>
            <w:rFonts w:ascii="Calibri" w:hAnsi="Calibri" w:cs="Calibri"/>
            <w:noProof/>
            <w:sz w:val="18"/>
            <w:szCs w:val="22"/>
          </w:rPr>
        </w:r>
        <w:r w:rsidR="00F033F0" w:rsidRPr="006F5E1D">
          <w:rPr>
            <w:rFonts w:ascii="Calibri" w:hAnsi="Calibri" w:cs="Calibri"/>
            <w:noProof/>
            <w:sz w:val="18"/>
            <w:szCs w:val="22"/>
          </w:rPr>
          <w:fldChar w:fldCharType="separate"/>
        </w:r>
        <w:r w:rsidRPr="006F5E1D">
          <w:rPr>
            <w:rFonts w:ascii="Calibri" w:hAnsi="Calibri" w:cs="Calibri"/>
            <w:noProof/>
            <w:webHidden/>
            <w:sz w:val="18"/>
            <w:szCs w:val="22"/>
          </w:rPr>
          <w:t>20</w:t>
        </w:r>
        <w:r w:rsidR="00F033F0" w:rsidRPr="006F5E1D">
          <w:rPr>
            <w:rFonts w:ascii="Calibri" w:hAnsi="Calibri" w:cs="Calibri"/>
            <w:noProof/>
            <w:sz w:val="18"/>
            <w:szCs w:val="22"/>
          </w:rPr>
          <w:fldChar w:fldCharType="end"/>
        </w:r>
      </w:hyperlink>
    </w:p>
    <w:p w14:paraId="532D308C" w14:textId="4AC0FC67" w:rsidR="00F033F0" w:rsidRPr="006F5E1D" w:rsidRDefault="0B46455C" w:rsidP="5D8904BE">
      <w:pPr>
        <w:pStyle w:val="Tabledesillustrations"/>
        <w:tabs>
          <w:tab w:val="right" w:pos="9060"/>
        </w:tabs>
        <w:rPr>
          <w:rFonts w:ascii="Calibri" w:eastAsiaTheme="minorEastAsia" w:hAnsi="Calibri" w:cs="Calibri"/>
          <w:i w:val="0"/>
          <w:iCs w:val="0"/>
          <w:noProof/>
          <w:kern w:val="2"/>
          <w:sz w:val="22"/>
          <w:szCs w:val="22"/>
          <w:lang w:eastAsia="ja-JP"/>
          <w14:ligatures w14:val="standardContextual"/>
        </w:rPr>
      </w:pPr>
      <w:hyperlink w:anchor="_Toc199489225" w:history="1">
        <w:r w:rsidRPr="006F5E1D">
          <w:rPr>
            <w:rStyle w:val="Lienhypertexte"/>
            <w:rFonts w:ascii="Calibri" w:hAnsi="Calibri" w:cs="Calibri"/>
            <w:noProof/>
            <w:sz w:val="18"/>
            <w:szCs w:val="22"/>
            <w:lang w:val="en-US"/>
          </w:rPr>
          <w:t>Table 7 Main stakeholders the IUDP will collaborate with</w:t>
        </w:r>
        <w:r w:rsidR="00F033F0" w:rsidRPr="006F5E1D">
          <w:rPr>
            <w:rFonts w:ascii="Calibri" w:hAnsi="Calibri" w:cs="Calibri"/>
            <w:sz w:val="18"/>
            <w:szCs w:val="22"/>
          </w:rPr>
          <w:tab/>
        </w:r>
        <w:r w:rsidR="00F033F0" w:rsidRPr="006F5E1D">
          <w:rPr>
            <w:rFonts w:ascii="Calibri" w:hAnsi="Calibri" w:cs="Calibri"/>
            <w:noProof/>
            <w:sz w:val="18"/>
            <w:szCs w:val="22"/>
          </w:rPr>
          <w:fldChar w:fldCharType="begin"/>
        </w:r>
        <w:r w:rsidR="00F033F0" w:rsidRPr="006F5E1D">
          <w:rPr>
            <w:rFonts w:ascii="Calibri" w:hAnsi="Calibri" w:cs="Calibri"/>
            <w:noProof/>
            <w:sz w:val="18"/>
            <w:szCs w:val="22"/>
          </w:rPr>
          <w:instrText xml:space="preserve"> PAGEREF _Toc199489225 \h </w:instrText>
        </w:r>
        <w:r w:rsidR="00F033F0" w:rsidRPr="006F5E1D">
          <w:rPr>
            <w:rFonts w:ascii="Calibri" w:hAnsi="Calibri" w:cs="Calibri"/>
            <w:noProof/>
            <w:sz w:val="18"/>
            <w:szCs w:val="22"/>
          </w:rPr>
        </w:r>
        <w:r w:rsidR="00F033F0" w:rsidRPr="006F5E1D">
          <w:rPr>
            <w:rFonts w:ascii="Calibri" w:hAnsi="Calibri" w:cs="Calibri"/>
            <w:noProof/>
            <w:sz w:val="18"/>
            <w:szCs w:val="22"/>
          </w:rPr>
          <w:fldChar w:fldCharType="separate"/>
        </w:r>
        <w:r w:rsidRPr="006F5E1D">
          <w:rPr>
            <w:rFonts w:ascii="Calibri" w:hAnsi="Calibri" w:cs="Calibri"/>
            <w:noProof/>
            <w:webHidden/>
            <w:sz w:val="18"/>
            <w:szCs w:val="22"/>
          </w:rPr>
          <w:t>75</w:t>
        </w:r>
        <w:r w:rsidR="00F033F0" w:rsidRPr="006F5E1D">
          <w:rPr>
            <w:rFonts w:ascii="Calibri" w:hAnsi="Calibri" w:cs="Calibri"/>
            <w:noProof/>
            <w:sz w:val="18"/>
            <w:szCs w:val="22"/>
          </w:rPr>
          <w:fldChar w:fldCharType="end"/>
        </w:r>
      </w:hyperlink>
    </w:p>
    <w:p w14:paraId="71AA0285" w14:textId="588A9E48" w:rsidR="00F549A3" w:rsidDel="00F91623" w:rsidRDefault="00E50BCC" w:rsidP="1E6D4855">
      <w:pPr>
        <w:pStyle w:val="Tabledesillustrations"/>
        <w:tabs>
          <w:tab w:val="right" w:pos="9060"/>
        </w:tabs>
        <w:rPr>
          <w:noProof/>
          <w:kern w:val="2"/>
          <w14:ligatures w14:val="standardContextual"/>
        </w:rPr>
      </w:pPr>
      <w:r w:rsidRPr="26E43118">
        <w:rPr>
          <w:noProof/>
          <w:lang w:val="en-US"/>
        </w:rPr>
        <w:br w:type="page"/>
      </w:r>
    </w:p>
    <w:p w14:paraId="3DCFA8D4" w14:textId="3617C38A" w:rsidR="0046090B" w:rsidRPr="006F5E1D" w:rsidRDefault="00F549A3">
      <w:pPr>
        <w:pStyle w:val="Tabledesillustrations"/>
        <w:tabs>
          <w:tab w:val="right" w:leader="underscore" w:pos="9060"/>
        </w:tabs>
        <w:rPr>
          <w:rFonts w:ascii="Calibri" w:eastAsiaTheme="minorEastAsia" w:hAnsi="Calibri" w:cs="Calibri"/>
          <w:i w:val="0"/>
          <w:iCs w:val="0"/>
          <w:noProof/>
          <w:kern w:val="2"/>
          <w:sz w:val="18"/>
          <w:szCs w:val="18"/>
          <w14:ligatures w14:val="standardContextual"/>
        </w:rPr>
      </w:pPr>
      <w:r>
        <w:lastRenderedPageBreak/>
        <w:fldChar w:fldCharType="end"/>
      </w:r>
      <w:r w:rsidR="0046090B">
        <w:fldChar w:fldCharType="begin"/>
      </w:r>
      <w:r w:rsidR="0046090B">
        <w:instrText xml:space="preserve"> TOC \h \z \c "Figure" </w:instrText>
      </w:r>
      <w:r w:rsidR="0046090B">
        <w:fldChar w:fldCharType="separate"/>
      </w:r>
      <w:hyperlink w:anchor="_Toc199131202" w:history="1">
        <w:r w:rsidR="0046090B" w:rsidRPr="006F5E1D">
          <w:rPr>
            <w:rStyle w:val="Lienhypertexte"/>
            <w:rFonts w:ascii="Calibri" w:hAnsi="Calibri" w:cs="Calibri"/>
            <w:i w:val="0"/>
            <w:iCs w:val="0"/>
            <w:noProof/>
            <w:sz w:val="18"/>
            <w:szCs w:val="18"/>
            <w:lang w:val="en-US"/>
          </w:rPr>
          <w:t>Figure 1 SEVERE LOSS OF VEGETATION COVERS OVER 40 YEARS (1984 AND 2024)</w:t>
        </w:r>
        <w:r w:rsidR="0046090B" w:rsidRPr="006F5E1D">
          <w:rPr>
            <w:rFonts w:ascii="Calibri" w:hAnsi="Calibri" w:cs="Calibri"/>
            <w:i w:val="0"/>
            <w:iCs w:val="0"/>
            <w:noProof/>
            <w:webHidden/>
            <w:sz w:val="18"/>
            <w:szCs w:val="18"/>
          </w:rPr>
          <w:tab/>
        </w:r>
        <w:r w:rsidR="0046090B" w:rsidRPr="006F5E1D">
          <w:rPr>
            <w:rFonts w:ascii="Calibri" w:hAnsi="Calibri" w:cs="Calibri"/>
            <w:i w:val="0"/>
            <w:iCs w:val="0"/>
            <w:noProof/>
            <w:webHidden/>
            <w:sz w:val="18"/>
            <w:szCs w:val="18"/>
          </w:rPr>
          <w:fldChar w:fldCharType="begin"/>
        </w:r>
        <w:r w:rsidR="0046090B" w:rsidRPr="006F5E1D">
          <w:rPr>
            <w:rFonts w:ascii="Calibri" w:hAnsi="Calibri" w:cs="Calibri"/>
            <w:i w:val="0"/>
            <w:iCs w:val="0"/>
            <w:noProof/>
            <w:webHidden/>
            <w:sz w:val="18"/>
            <w:szCs w:val="18"/>
          </w:rPr>
          <w:instrText xml:space="preserve"> PAGEREF _Toc199131202 \h </w:instrText>
        </w:r>
        <w:r w:rsidR="0046090B" w:rsidRPr="006F5E1D">
          <w:rPr>
            <w:rFonts w:ascii="Calibri" w:hAnsi="Calibri" w:cs="Calibri"/>
            <w:i w:val="0"/>
            <w:iCs w:val="0"/>
            <w:noProof/>
            <w:webHidden/>
            <w:sz w:val="18"/>
            <w:szCs w:val="18"/>
          </w:rPr>
        </w:r>
        <w:r w:rsidR="0046090B" w:rsidRPr="006F5E1D">
          <w:rPr>
            <w:rFonts w:ascii="Calibri" w:hAnsi="Calibri" w:cs="Calibri"/>
            <w:i w:val="0"/>
            <w:iCs w:val="0"/>
            <w:noProof/>
            <w:webHidden/>
            <w:sz w:val="18"/>
            <w:szCs w:val="18"/>
          </w:rPr>
          <w:fldChar w:fldCharType="separate"/>
        </w:r>
        <w:r w:rsidR="0046090B" w:rsidRPr="006F5E1D">
          <w:rPr>
            <w:rFonts w:ascii="Calibri" w:hAnsi="Calibri" w:cs="Calibri"/>
            <w:i w:val="0"/>
            <w:iCs w:val="0"/>
            <w:noProof/>
            <w:webHidden/>
            <w:sz w:val="18"/>
            <w:szCs w:val="18"/>
          </w:rPr>
          <w:t>15</w:t>
        </w:r>
        <w:r w:rsidR="0046090B" w:rsidRPr="006F5E1D">
          <w:rPr>
            <w:rFonts w:ascii="Calibri" w:hAnsi="Calibri" w:cs="Calibri"/>
            <w:i w:val="0"/>
            <w:iCs w:val="0"/>
            <w:noProof/>
            <w:webHidden/>
            <w:sz w:val="18"/>
            <w:szCs w:val="18"/>
          </w:rPr>
          <w:fldChar w:fldCharType="end"/>
        </w:r>
      </w:hyperlink>
    </w:p>
    <w:p w14:paraId="628CA9B3" w14:textId="4B3BEC43" w:rsidR="0046090B" w:rsidRPr="006F5E1D" w:rsidRDefault="0046090B">
      <w:pPr>
        <w:pStyle w:val="Tabledesillustrations"/>
        <w:tabs>
          <w:tab w:val="right" w:leader="underscore" w:pos="9060"/>
        </w:tabs>
        <w:rPr>
          <w:rFonts w:ascii="Calibri" w:eastAsiaTheme="minorEastAsia" w:hAnsi="Calibri" w:cs="Calibri"/>
          <w:i w:val="0"/>
          <w:iCs w:val="0"/>
          <w:noProof/>
          <w:kern w:val="2"/>
          <w:sz w:val="18"/>
          <w:szCs w:val="18"/>
          <w14:ligatures w14:val="standardContextual"/>
        </w:rPr>
      </w:pPr>
      <w:hyperlink w:anchor="_Toc199131203" w:history="1">
        <w:r w:rsidRPr="006F5E1D">
          <w:rPr>
            <w:rStyle w:val="Lienhypertexte"/>
            <w:rFonts w:ascii="Calibri" w:hAnsi="Calibri" w:cs="Calibri"/>
            <w:i w:val="0"/>
            <w:iCs w:val="0"/>
            <w:noProof/>
            <w:sz w:val="18"/>
            <w:szCs w:val="18"/>
            <w:lang w:val="en-US"/>
          </w:rPr>
          <w:t>Figure 2 Mapping of spaces identified in the field in 2018</w:t>
        </w:r>
        <w:r w:rsidRPr="006F5E1D">
          <w:rPr>
            <w:rFonts w:ascii="Calibri" w:hAnsi="Calibri" w:cs="Calibri"/>
            <w:i w:val="0"/>
            <w:iCs w:val="0"/>
            <w:noProof/>
            <w:webHidden/>
            <w:sz w:val="18"/>
            <w:szCs w:val="18"/>
          </w:rPr>
          <w:tab/>
        </w:r>
        <w:r w:rsidRPr="006F5E1D">
          <w:rPr>
            <w:rFonts w:ascii="Calibri" w:hAnsi="Calibri" w:cs="Calibri"/>
            <w:i w:val="0"/>
            <w:iCs w:val="0"/>
            <w:noProof/>
            <w:webHidden/>
            <w:sz w:val="18"/>
            <w:szCs w:val="18"/>
          </w:rPr>
          <w:fldChar w:fldCharType="begin"/>
        </w:r>
        <w:r w:rsidRPr="006F5E1D">
          <w:rPr>
            <w:rFonts w:ascii="Calibri" w:hAnsi="Calibri" w:cs="Calibri"/>
            <w:i w:val="0"/>
            <w:iCs w:val="0"/>
            <w:noProof/>
            <w:webHidden/>
            <w:sz w:val="18"/>
            <w:szCs w:val="18"/>
          </w:rPr>
          <w:instrText xml:space="preserve"> PAGEREF _Toc199131203 \h </w:instrText>
        </w:r>
        <w:r w:rsidRPr="006F5E1D">
          <w:rPr>
            <w:rFonts w:ascii="Calibri" w:hAnsi="Calibri" w:cs="Calibri"/>
            <w:i w:val="0"/>
            <w:iCs w:val="0"/>
            <w:noProof/>
            <w:webHidden/>
            <w:sz w:val="18"/>
            <w:szCs w:val="18"/>
          </w:rPr>
        </w:r>
        <w:r w:rsidRPr="006F5E1D">
          <w:rPr>
            <w:rFonts w:ascii="Calibri" w:hAnsi="Calibri" w:cs="Calibri"/>
            <w:i w:val="0"/>
            <w:iCs w:val="0"/>
            <w:noProof/>
            <w:webHidden/>
            <w:sz w:val="18"/>
            <w:szCs w:val="18"/>
          </w:rPr>
          <w:fldChar w:fldCharType="separate"/>
        </w:r>
        <w:r w:rsidRPr="006F5E1D">
          <w:rPr>
            <w:rFonts w:ascii="Calibri" w:hAnsi="Calibri" w:cs="Calibri"/>
            <w:i w:val="0"/>
            <w:iCs w:val="0"/>
            <w:noProof/>
            <w:webHidden/>
            <w:sz w:val="18"/>
            <w:szCs w:val="18"/>
          </w:rPr>
          <w:t>17</w:t>
        </w:r>
        <w:r w:rsidRPr="006F5E1D">
          <w:rPr>
            <w:rFonts w:ascii="Calibri" w:hAnsi="Calibri" w:cs="Calibri"/>
            <w:i w:val="0"/>
            <w:iCs w:val="0"/>
            <w:noProof/>
            <w:webHidden/>
            <w:sz w:val="18"/>
            <w:szCs w:val="18"/>
          </w:rPr>
          <w:fldChar w:fldCharType="end"/>
        </w:r>
      </w:hyperlink>
    </w:p>
    <w:p w14:paraId="49572C51" w14:textId="15F1CA89" w:rsidR="0046090B" w:rsidRPr="006F5E1D" w:rsidRDefault="0046090B">
      <w:pPr>
        <w:pStyle w:val="Tabledesillustrations"/>
        <w:tabs>
          <w:tab w:val="right" w:leader="underscore" w:pos="9060"/>
        </w:tabs>
        <w:rPr>
          <w:rFonts w:ascii="Calibri" w:eastAsiaTheme="minorEastAsia" w:hAnsi="Calibri" w:cs="Calibri"/>
          <w:i w:val="0"/>
          <w:iCs w:val="0"/>
          <w:noProof/>
          <w:kern w:val="2"/>
          <w:sz w:val="18"/>
          <w:szCs w:val="18"/>
          <w14:ligatures w14:val="standardContextual"/>
        </w:rPr>
      </w:pPr>
      <w:hyperlink w:anchor="_Toc199131204" w:history="1">
        <w:r w:rsidRPr="006F5E1D">
          <w:rPr>
            <w:rStyle w:val="Lienhypertexte"/>
            <w:rFonts w:ascii="Calibri" w:hAnsi="Calibri" w:cs="Calibri"/>
            <w:i w:val="0"/>
            <w:iCs w:val="0"/>
            <w:noProof/>
            <w:sz w:val="18"/>
            <w:szCs w:val="18"/>
            <w:lang w:val="en-US"/>
          </w:rPr>
          <w:t>Figure 3 Coverage of the District in terms of space for equipment</w:t>
        </w:r>
        <w:r w:rsidRPr="006F5E1D">
          <w:rPr>
            <w:rFonts w:ascii="Calibri" w:hAnsi="Calibri" w:cs="Calibri"/>
            <w:i w:val="0"/>
            <w:iCs w:val="0"/>
            <w:noProof/>
            <w:webHidden/>
            <w:sz w:val="18"/>
            <w:szCs w:val="18"/>
          </w:rPr>
          <w:tab/>
        </w:r>
        <w:r w:rsidRPr="006F5E1D">
          <w:rPr>
            <w:rFonts w:ascii="Calibri" w:hAnsi="Calibri" w:cs="Calibri"/>
            <w:i w:val="0"/>
            <w:iCs w:val="0"/>
            <w:noProof/>
            <w:webHidden/>
            <w:sz w:val="18"/>
            <w:szCs w:val="18"/>
          </w:rPr>
          <w:fldChar w:fldCharType="begin"/>
        </w:r>
        <w:r w:rsidRPr="006F5E1D">
          <w:rPr>
            <w:rFonts w:ascii="Calibri" w:hAnsi="Calibri" w:cs="Calibri"/>
            <w:i w:val="0"/>
            <w:iCs w:val="0"/>
            <w:noProof/>
            <w:webHidden/>
            <w:sz w:val="18"/>
            <w:szCs w:val="18"/>
          </w:rPr>
          <w:instrText xml:space="preserve"> PAGEREF _Toc199131204 \h </w:instrText>
        </w:r>
        <w:r w:rsidRPr="006F5E1D">
          <w:rPr>
            <w:rFonts w:ascii="Calibri" w:hAnsi="Calibri" w:cs="Calibri"/>
            <w:i w:val="0"/>
            <w:iCs w:val="0"/>
            <w:noProof/>
            <w:webHidden/>
            <w:sz w:val="18"/>
            <w:szCs w:val="18"/>
          </w:rPr>
        </w:r>
        <w:r w:rsidRPr="006F5E1D">
          <w:rPr>
            <w:rFonts w:ascii="Calibri" w:hAnsi="Calibri" w:cs="Calibri"/>
            <w:i w:val="0"/>
            <w:iCs w:val="0"/>
            <w:noProof/>
            <w:webHidden/>
            <w:sz w:val="18"/>
            <w:szCs w:val="18"/>
          </w:rPr>
          <w:fldChar w:fldCharType="separate"/>
        </w:r>
        <w:r w:rsidRPr="006F5E1D">
          <w:rPr>
            <w:rFonts w:ascii="Calibri" w:hAnsi="Calibri" w:cs="Calibri"/>
            <w:i w:val="0"/>
            <w:iCs w:val="0"/>
            <w:noProof/>
            <w:webHidden/>
            <w:sz w:val="18"/>
            <w:szCs w:val="18"/>
          </w:rPr>
          <w:t>17</w:t>
        </w:r>
        <w:r w:rsidRPr="006F5E1D">
          <w:rPr>
            <w:rFonts w:ascii="Calibri" w:hAnsi="Calibri" w:cs="Calibri"/>
            <w:i w:val="0"/>
            <w:iCs w:val="0"/>
            <w:noProof/>
            <w:webHidden/>
            <w:sz w:val="18"/>
            <w:szCs w:val="18"/>
          </w:rPr>
          <w:fldChar w:fldCharType="end"/>
        </w:r>
      </w:hyperlink>
    </w:p>
    <w:p w14:paraId="304BF5AB" w14:textId="744B8B2B" w:rsidR="0046090B" w:rsidRPr="006F5E1D" w:rsidRDefault="0046090B">
      <w:pPr>
        <w:pStyle w:val="Tabledesillustrations"/>
        <w:tabs>
          <w:tab w:val="right" w:leader="underscore" w:pos="9060"/>
        </w:tabs>
        <w:rPr>
          <w:rFonts w:ascii="Calibri" w:eastAsiaTheme="minorEastAsia" w:hAnsi="Calibri" w:cs="Calibri"/>
          <w:i w:val="0"/>
          <w:iCs w:val="0"/>
          <w:noProof/>
          <w:kern w:val="2"/>
          <w:sz w:val="18"/>
          <w:szCs w:val="18"/>
          <w14:ligatures w14:val="standardContextual"/>
        </w:rPr>
      </w:pPr>
      <w:hyperlink w:anchor="_Toc199131205" w:history="1">
        <w:r w:rsidRPr="006F5E1D">
          <w:rPr>
            <w:rStyle w:val="Lienhypertexte"/>
            <w:rFonts w:ascii="Calibri" w:hAnsi="Calibri" w:cs="Calibri"/>
            <w:i w:val="0"/>
            <w:iCs w:val="0"/>
            <w:noProof/>
            <w:sz w:val="18"/>
            <w:szCs w:val="18"/>
            <w:lang w:val="en-US"/>
          </w:rPr>
          <w:t>Figure 4 Theory of change of Global SCIP</w:t>
        </w:r>
        <w:r w:rsidRPr="006F5E1D">
          <w:rPr>
            <w:rFonts w:ascii="Calibri" w:hAnsi="Calibri" w:cs="Calibri"/>
            <w:i w:val="0"/>
            <w:iCs w:val="0"/>
            <w:noProof/>
            <w:webHidden/>
            <w:sz w:val="18"/>
            <w:szCs w:val="18"/>
          </w:rPr>
          <w:tab/>
        </w:r>
        <w:r w:rsidRPr="006F5E1D">
          <w:rPr>
            <w:rFonts w:ascii="Calibri" w:hAnsi="Calibri" w:cs="Calibri"/>
            <w:i w:val="0"/>
            <w:iCs w:val="0"/>
            <w:noProof/>
            <w:webHidden/>
            <w:sz w:val="18"/>
            <w:szCs w:val="18"/>
          </w:rPr>
          <w:fldChar w:fldCharType="begin"/>
        </w:r>
        <w:r w:rsidRPr="006F5E1D">
          <w:rPr>
            <w:rFonts w:ascii="Calibri" w:hAnsi="Calibri" w:cs="Calibri"/>
            <w:i w:val="0"/>
            <w:iCs w:val="0"/>
            <w:noProof/>
            <w:webHidden/>
            <w:sz w:val="18"/>
            <w:szCs w:val="18"/>
          </w:rPr>
          <w:instrText xml:space="preserve"> PAGEREF _Toc199131205 \h </w:instrText>
        </w:r>
        <w:r w:rsidRPr="006F5E1D">
          <w:rPr>
            <w:rFonts w:ascii="Calibri" w:hAnsi="Calibri" w:cs="Calibri"/>
            <w:i w:val="0"/>
            <w:iCs w:val="0"/>
            <w:noProof/>
            <w:webHidden/>
            <w:sz w:val="18"/>
            <w:szCs w:val="18"/>
          </w:rPr>
        </w:r>
        <w:r w:rsidRPr="006F5E1D">
          <w:rPr>
            <w:rFonts w:ascii="Calibri" w:hAnsi="Calibri" w:cs="Calibri"/>
            <w:i w:val="0"/>
            <w:iCs w:val="0"/>
            <w:noProof/>
            <w:webHidden/>
            <w:sz w:val="18"/>
            <w:szCs w:val="18"/>
          </w:rPr>
          <w:fldChar w:fldCharType="separate"/>
        </w:r>
        <w:r w:rsidRPr="006F5E1D">
          <w:rPr>
            <w:rFonts w:ascii="Calibri" w:hAnsi="Calibri" w:cs="Calibri"/>
            <w:i w:val="0"/>
            <w:iCs w:val="0"/>
            <w:noProof/>
            <w:webHidden/>
            <w:sz w:val="18"/>
            <w:szCs w:val="18"/>
          </w:rPr>
          <w:t>43</w:t>
        </w:r>
        <w:r w:rsidRPr="006F5E1D">
          <w:rPr>
            <w:rFonts w:ascii="Calibri" w:hAnsi="Calibri" w:cs="Calibri"/>
            <w:i w:val="0"/>
            <w:iCs w:val="0"/>
            <w:noProof/>
            <w:webHidden/>
            <w:sz w:val="18"/>
            <w:szCs w:val="18"/>
          </w:rPr>
          <w:fldChar w:fldCharType="end"/>
        </w:r>
      </w:hyperlink>
    </w:p>
    <w:p w14:paraId="6D1C7D95" w14:textId="6978DB54" w:rsidR="0046090B" w:rsidRPr="006F5E1D" w:rsidRDefault="0046090B">
      <w:pPr>
        <w:pStyle w:val="Tabledesillustrations"/>
        <w:tabs>
          <w:tab w:val="right" w:leader="underscore" w:pos="9060"/>
        </w:tabs>
        <w:rPr>
          <w:rFonts w:ascii="Calibri" w:eastAsiaTheme="minorEastAsia" w:hAnsi="Calibri" w:cs="Calibri"/>
          <w:i w:val="0"/>
          <w:iCs w:val="0"/>
          <w:noProof/>
          <w:kern w:val="2"/>
          <w:sz w:val="18"/>
          <w:szCs w:val="18"/>
          <w14:ligatures w14:val="standardContextual"/>
        </w:rPr>
      </w:pPr>
      <w:hyperlink w:anchor="_Toc199131206" w:history="1">
        <w:r w:rsidRPr="006F5E1D">
          <w:rPr>
            <w:rStyle w:val="Lienhypertexte"/>
            <w:rFonts w:ascii="Calibri" w:hAnsi="Calibri" w:cs="Calibri"/>
            <w:i w:val="0"/>
            <w:iCs w:val="0"/>
            <w:noProof/>
            <w:sz w:val="18"/>
            <w:szCs w:val="18"/>
            <w:lang w:val="en-US"/>
          </w:rPr>
          <w:t>Figure 5 The project's theory of change</w:t>
        </w:r>
        <w:r w:rsidRPr="006F5E1D">
          <w:rPr>
            <w:rFonts w:ascii="Calibri" w:hAnsi="Calibri" w:cs="Calibri"/>
            <w:i w:val="0"/>
            <w:iCs w:val="0"/>
            <w:noProof/>
            <w:webHidden/>
            <w:sz w:val="18"/>
            <w:szCs w:val="18"/>
          </w:rPr>
          <w:tab/>
        </w:r>
        <w:r w:rsidRPr="006F5E1D">
          <w:rPr>
            <w:rFonts w:ascii="Calibri" w:hAnsi="Calibri" w:cs="Calibri"/>
            <w:i w:val="0"/>
            <w:iCs w:val="0"/>
            <w:noProof/>
            <w:webHidden/>
            <w:sz w:val="18"/>
            <w:szCs w:val="18"/>
          </w:rPr>
          <w:fldChar w:fldCharType="begin"/>
        </w:r>
        <w:r w:rsidRPr="006F5E1D">
          <w:rPr>
            <w:rFonts w:ascii="Calibri" w:hAnsi="Calibri" w:cs="Calibri"/>
            <w:i w:val="0"/>
            <w:iCs w:val="0"/>
            <w:noProof/>
            <w:webHidden/>
            <w:sz w:val="18"/>
            <w:szCs w:val="18"/>
          </w:rPr>
          <w:instrText xml:space="preserve"> PAGEREF _Toc199131206 \h </w:instrText>
        </w:r>
        <w:r w:rsidRPr="006F5E1D">
          <w:rPr>
            <w:rFonts w:ascii="Calibri" w:hAnsi="Calibri" w:cs="Calibri"/>
            <w:i w:val="0"/>
            <w:iCs w:val="0"/>
            <w:noProof/>
            <w:webHidden/>
            <w:sz w:val="18"/>
            <w:szCs w:val="18"/>
          </w:rPr>
        </w:r>
        <w:r w:rsidRPr="006F5E1D">
          <w:rPr>
            <w:rFonts w:ascii="Calibri" w:hAnsi="Calibri" w:cs="Calibri"/>
            <w:i w:val="0"/>
            <w:iCs w:val="0"/>
            <w:noProof/>
            <w:webHidden/>
            <w:sz w:val="18"/>
            <w:szCs w:val="18"/>
          </w:rPr>
          <w:fldChar w:fldCharType="separate"/>
        </w:r>
        <w:r w:rsidRPr="006F5E1D">
          <w:rPr>
            <w:rFonts w:ascii="Calibri" w:hAnsi="Calibri" w:cs="Calibri"/>
            <w:i w:val="0"/>
            <w:iCs w:val="0"/>
            <w:noProof/>
            <w:webHidden/>
            <w:sz w:val="18"/>
            <w:szCs w:val="18"/>
          </w:rPr>
          <w:t>47</w:t>
        </w:r>
        <w:r w:rsidRPr="006F5E1D">
          <w:rPr>
            <w:rFonts w:ascii="Calibri" w:hAnsi="Calibri" w:cs="Calibri"/>
            <w:i w:val="0"/>
            <w:iCs w:val="0"/>
            <w:noProof/>
            <w:webHidden/>
            <w:sz w:val="18"/>
            <w:szCs w:val="18"/>
          </w:rPr>
          <w:fldChar w:fldCharType="end"/>
        </w:r>
      </w:hyperlink>
    </w:p>
    <w:p w14:paraId="790A9C82" w14:textId="3027DF8C" w:rsidR="0046090B" w:rsidRPr="006F5E1D" w:rsidRDefault="0046090B">
      <w:pPr>
        <w:pStyle w:val="Tabledesillustrations"/>
        <w:tabs>
          <w:tab w:val="right" w:leader="underscore" w:pos="9060"/>
        </w:tabs>
        <w:rPr>
          <w:rFonts w:ascii="Calibri" w:eastAsiaTheme="minorEastAsia" w:hAnsi="Calibri" w:cs="Calibri"/>
          <w:i w:val="0"/>
          <w:iCs w:val="0"/>
          <w:noProof/>
          <w:kern w:val="2"/>
          <w:sz w:val="18"/>
          <w:szCs w:val="18"/>
          <w14:ligatures w14:val="standardContextual"/>
        </w:rPr>
      </w:pPr>
      <w:hyperlink w:anchor="_Toc199131207" w:history="1">
        <w:r w:rsidRPr="006F5E1D">
          <w:rPr>
            <w:rStyle w:val="Lienhypertexte"/>
            <w:rFonts w:ascii="Calibri" w:hAnsi="Calibri" w:cs="Calibri"/>
            <w:i w:val="0"/>
            <w:iCs w:val="0"/>
            <w:noProof/>
            <w:sz w:val="18"/>
            <w:szCs w:val="18"/>
            <w:lang w:val="en-US"/>
          </w:rPr>
          <w:t>Figure 6 The six strategic road corridors of Bamako</w:t>
        </w:r>
        <w:r w:rsidRPr="006F5E1D">
          <w:rPr>
            <w:rFonts w:ascii="Calibri" w:hAnsi="Calibri" w:cs="Calibri"/>
            <w:i w:val="0"/>
            <w:iCs w:val="0"/>
            <w:noProof/>
            <w:webHidden/>
            <w:sz w:val="18"/>
            <w:szCs w:val="18"/>
          </w:rPr>
          <w:tab/>
        </w:r>
        <w:r w:rsidRPr="006F5E1D">
          <w:rPr>
            <w:rFonts w:ascii="Calibri" w:hAnsi="Calibri" w:cs="Calibri"/>
            <w:i w:val="0"/>
            <w:iCs w:val="0"/>
            <w:noProof/>
            <w:webHidden/>
            <w:sz w:val="18"/>
            <w:szCs w:val="18"/>
          </w:rPr>
          <w:fldChar w:fldCharType="begin"/>
        </w:r>
        <w:r w:rsidRPr="006F5E1D">
          <w:rPr>
            <w:rFonts w:ascii="Calibri" w:hAnsi="Calibri" w:cs="Calibri"/>
            <w:i w:val="0"/>
            <w:iCs w:val="0"/>
            <w:noProof/>
            <w:webHidden/>
            <w:sz w:val="18"/>
            <w:szCs w:val="18"/>
          </w:rPr>
          <w:instrText xml:space="preserve"> PAGEREF _Toc199131207 \h </w:instrText>
        </w:r>
        <w:r w:rsidRPr="006F5E1D">
          <w:rPr>
            <w:rFonts w:ascii="Calibri" w:hAnsi="Calibri" w:cs="Calibri"/>
            <w:i w:val="0"/>
            <w:iCs w:val="0"/>
            <w:noProof/>
            <w:webHidden/>
            <w:sz w:val="18"/>
            <w:szCs w:val="18"/>
          </w:rPr>
        </w:r>
        <w:r w:rsidRPr="006F5E1D">
          <w:rPr>
            <w:rFonts w:ascii="Calibri" w:hAnsi="Calibri" w:cs="Calibri"/>
            <w:i w:val="0"/>
            <w:iCs w:val="0"/>
            <w:noProof/>
            <w:webHidden/>
            <w:sz w:val="18"/>
            <w:szCs w:val="18"/>
          </w:rPr>
          <w:fldChar w:fldCharType="separate"/>
        </w:r>
        <w:r w:rsidRPr="006F5E1D">
          <w:rPr>
            <w:rFonts w:ascii="Calibri" w:hAnsi="Calibri" w:cs="Calibri"/>
            <w:i w:val="0"/>
            <w:iCs w:val="0"/>
            <w:noProof/>
            <w:webHidden/>
            <w:sz w:val="18"/>
            <w:szCs w:val="18"/>
          </w:rPr>
          <w:t>182</w:t>
        </w:r>
        <w:r w:rsidRPr="006F5E1D">
          <w:rPr>
            <w:rFonts w:ascii="Calibri" w:hAnsi="Calibri" w:cs="Calibri"/>
            <w:i w:val="0"/>
            <w:iCs w:val="0"/>
            <w:noProof/>
            <w:webHidden/>
            <w:sz w:val="18"/>
            <w:szCs w:val="18"/>
          </w:rPr>
          <w:fldChar w:fldCharType="end"/>
        </w:r>
      </w:hyperlink>
    </w:p>
    <w:p w14:paraId="27233046" w14:textId="69C76473" w:rsidR="0046090B" w:rsidRPr="006F5E1D" w:rsidRDefault="0046090B">
      <w:pPr>
        <w:pStyle w:val="Tabledesillustrations"/>
        <w:tabs>
          <w:tab w:val="right" w:leader="underscore" w:pos="9060"/>
        </w:tabs>
        <w:rPr>
          <w:rFonts w:ascii="Calibri" w:eastAsiaTheme="minorEastAsia" w:hAnsi="Calibri" w:cs="Calibri"/>
          <w:i w:val="0"/>
          <w:iCs w:val="0"/>
          <w:noProof/>
          <w:kern w:val="2"/>
          <w:sz w:val="18"/>
          <w:szCs w:val="18"/>
          <w14:ligatures w14:val="standardContextual"/>
        </w:rPr>
      </w:pPr>
      <w:hyperlink w:anchor="_Toc199131208" w:history="1">
        <w:r w:rsidRPr="006F5E1D">
          <w:rPr>
            <w:rStyle w:val="Lienhypertexte"/>
            <w:rFonts w:ascii="Calibri" w:hAnsi="Calibri" w:cs="Calibri"/>
            <w:i w:val="0"/>
            <w:iCs w:val="0"/>
            <w:noProof/>
            <w:sz w:val="18"/>
            <w:szCs w:val="18"/>
            <w:lang w:val="en-US"/>
          </w:rPr>
          <w:t>Figure 7 The identified Green Belt</w:t>
        </w:r>
        <w:r w:rsidRPr="006F5E1D">
          <w:rPr>
            <w:rFonts w:ascii="Calibri" w:hAnsi="Calibri" w:cs="Calibri"/>
            <w:i w:val="0"/>
            <w:iCs w:val="0"/>
            <w:noProof/>
            <w:webHidden/>
            <w:sz w:val="18"/>
            <w:szCs w:val="18"/>
          </w:rPr>
          <w:tab/>
        </w:r>
        <w:r w:rsidRPr="006F5E1D">
          <w:rPr>
            <w:rFonts w:ascii="Calibri" w:hAnsi="Calibri" w:cs="Calibri"/>
            <w:i w:val="0"/>
            <w:iCs w:val="0"/>
            <w:noProof/>
            <w:webHidden/>
            <w:sz w:val="18"/>
            <w:szCs w:val="18"/>
          </w:rPr>
          <w:fldChar w:fldCharType="begin"/>
        </w:r>
        <w:r w:rsidRPr="006F5E1D">
          <w:rPr>
            <w:rFonts w:ascii="Calibri" w:hAnsi="Calibri" w:cs="Calibri"/>
            <w:i w:val="0"/>
            <w:iCs w:val="0"/>
            <w:noProof/>
            <w:webHidden/>
            <w:sz w:val="18"/>
            <w:szCs w:val="18"/>
          </w:rPr>
          <w:instrText xml:space="preserve"> PAGEREF _Toc199131208 \h </w:instrText>
        </w:r>
        <w:r w:rsidRPr="006F5E1D">
          <w:rPr>
            <w:rFonts w:ascii="Calibri" w:hAnsi="Calibri" w:cs="Calibri"/>
            <w:i w:val="0"/>
            <w:iCs w:val="0"/>
            <w:noProof/>
            <w:webHidden/>
            <w:sz w:val="18"/>
            <w:szCs w:val="18"/>
          </w:rPr>
        </w:r>
        <w:r w:rsidRPr="006F5E1D">
          <w:rPr>
            <w:rFonts w:ascii="Calibri" w:hAnsi="Calibri" w:cs="Calibri"/>
            <w:i w:val="0"/>
            <w:iCs w:val="0"/>
            <w:noProof/>
            <w:webHidden/>
            <w:sz w:val="18"/>
            <w:szCs w:val="18"/>
          </w:rPr>
          <w:fldChar w:fldCharType="separate"/>
        </w:r>
        <w:r w:rsidRPr="006F5E1D">
          <w:rPr>
            <w:rFonts w:ascii="Calibri" w:hAnsi="Calibri" w:cs="Calibri"/>
            <w:i w:val="0"/>
            <w:iCs w:val="0"/>
            <w:noProof/>
            <w:webHidden/>
            <w:sz w:val="18"/>
            <w:szCs w:val="18"/>
          </w:rPr>
          <w:t>182</w:t>
        </w:r>
        <w:r w:rsidRPr="006F5E1D">
          <w:rPr>
            <w:rFonts w:ascii="Calibri" w:hAnsi="Calibri" w:cs="Calibri"/>
            <w:i w:val="0"/>
            <w:iCs w:val="0"/>
            <w:noProof/>
            <w:webHidden/>
            <w:sz w:val="18"/>
            <w:szCs w:val="18"/>
          </w:rPr>
          <w:fldChar w:fldCharType="end"/>
        </w:r>
      </w:hyperlink>
    </w:p>
    <w:p w14:paraId="5DC1431D" w14:textId="0BFFA973" w:rsidR="0046090B" w:rsidRPr="00493311" w:rsidRDefault="0046090B" w:rsidP="09038978">
      <w:pPr>
        <w:spacing w:after="240" w:line="240" w:lineRule="auto"/>
        <w:jc w:val="both"/>
      </w:pPr>
      <w:r>
        <w:fldChar w:fldCharType="end"/>
      </w:r>
    </w:p>
    <w:p w14:paraId="0D5A30A5" w14:textId="4501E4AE" w:rsidR="00075787" w:rsidRDefault="00075787">
      <w:r>
        <w:br w:type="page"/>
      </w:r>
    </w:p>
    <w:p w14:paraId="000000C3" w14:textId="4D6F546F" w:rsidR="004F7DB3" w:rsidRPr="006F5E1D" w:rsidRDefault="31B8ACA5" w:rsidP="006F5E1D">
      <w:pPr>
        <w:pStyle w:val="Titre3"/>
        <w:rPr>
          <w:b/>
          <w:bCs/>
          <w:smallCaps/>
          <w:sz w:val="20"/>
          <w:szCs w:val="20"/>
          <w:lang w:val="en-US"/>
        </w:rPr>
      </w:pPr>
      <w:bookmarkStart w:id="1" w:name="_Toc200477832"/>
      <w:r w:rsidRPr="006F5E1D">
        <w:rPr>
          <w:b/>
          <w:bCs/>
          <w:smallCaps/>
          <w:sz w:val="20"/>
          <w:szCs w:val="20"/>
          <w:lang w:val="en-US"/>
        </w:rPr>
        <w:lastRenderedPageBreak/>
        <w:t>List of Acronyms</w:t>
      </w:r>
      <w:bookmarkEnd w:id="1"/>
      <w:r w:rsidR="77B6789E" w:rsidRPr="006F5E1D">
        <w:rPr>
          <w:b/>
          <w:bCs/>
          <w:smallCaps/>
          <w:sz w:val="20"/>
          <w:szCs w:val="20"/>
          <w:lang w:val="en-US"/>
        </w:rPr>
        <w:t xml:space="preserve"> </w:t>
      </w:r>
    </w:p>
    <w:tbl>
      <w:tblPr>
        <w:tblW w:w="936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00" w:firstRow="0" w:lastRow="0" w:firstColumn="0" w:lastColumn="0" w:noHBand="0" w:noVBand="1"/>
      </w:tblPr>
      <w:tblGrid>
        <w:gridCol w:w="1320"/>
        <w:gridCol w:w="8040"/>
      </w:tblGrid>
      <w:tr w:rsidR="537FA187" w:rsidRPr="00CD329F" w14:paraId="1E6015A1" w14:textId="77777777" w:rsidTr="3585F9A1">
        <w:trPr>
          <w:trHeight w:val="300"/>
        </w:trPr>
        <w:tc>
          <w:tcPr>
            <w:tcW w:w="1320" w:type="dxa"/>
            <w:shd w:val="clear" w:color="auto" w:fill="E1F2FA"/>
          </w:tcPr>
          <w:p w14:paraId="3E97204A" w14:textId="351186FA" w:rsidR="24078464" w:rsidRPr="00E86501" w:rsidRDefault="24078464" w:rsidP="00C6418F">
            <w:pPr>
              <w:spacing w:line="240" w:lineRule="auto"/>
              <w:jc w:val="both"/>
              <w:rPr>
                <w:color w:val="000000" w:themeColor="text1"/>
                <w:sz w:val="16"/>
                <w:szCs w:val="16"/>
                <w:lang w:val="en-US"/>
              </w:rPr>
            </w:pPr>
            <w:r w:rsidRPr="00E86501">
              <w:rPr>
                <w:color w:val="000000" w:themeColor="text1"/>
                <w:sz w:val="16"/>
                <w:szCs w:val="16"/>
                <w:lang w:val="en-US"/>
              </w:rPr>
              <w:t>AfDB</w:t>
            </w:r>
          </w:p>
        </w:tc>
        <w:tc>
          <w:tcPr>
            <w:tcW w:w="8040" w:type="dxa"/>
            <w:shd w:val="clear" w:color="auto" w:fill="E1F2FA"/>
          </w:tcPr>
          <w:p w14:paraId="50BD5602" w14:textId="5A3ABEFF" w:rsidR="24078464" w:rsidRPr="00E86501" w:rsidRDefault="24078464" w:rsidP="537FA187">
            <w:pPr>
              <w:spacing w:line="271" w:lineRule="auto"/>
              <w:jc w:val="both"/>
              <w:rPr>
                <w:color w:val="000000" w:themeColor="text1"/>
                <w:sz w:val="16"/>
                <w:szCs w:val="16"/>
                <w:lang w:val="en-US"/>
              </w:rPr>
            </w:pPr>
            <w:r w:rsidRPr="00E86501">
              <w:rPr>
                <w:color w:val="000000" w:themeColor="text1"/>
                <w:sz w:val="16"/>
                <w:szCs w:val="16"/>
                <w:lang w:val="en-US"/>
              </w:rPr>
              <w:t>African Development Bank</w:t>
            </w:r>
          </w:p>
        </w:tc>
      </w:tr>
      <w:tr w:rsidR="537FA187" w:rsidRPr="00CD329F" w14:paraId="354E10D4" w14:textId="77777777" w:rsidTr="3585F9A1">
        <w:trPr>
          <w:trHeight w:val="300"/>
        </w:trPr>
        <w:tc>
          <w:tcPr>
            <w:tcW w:w="1320" w:type="dxa"/>
            <w:shd w:val="clear" w:color="auto" w:fill="E1F2FA"/>
          </w:tcPr>
          <w:p w14:paraId="4DE78589" w14:textId="473E2DA6" w:rsidR="34437131" w:rsidRPr="00E86501" w:rsidRDefault="34437131" w:rsidP="537FA187">
            <w:pPr>
              <w:spacing w:line="240" w:lineRule="auto"/>
              <w:jc w:val="both"/>
              <w:rPr>
                <w:color w:val="000000" w:themeColor="text1"/>
                <w:sz w:val="16"/>
                <w:szCs w:val="16"/>
                <w:lang w:val="en-US"/>
              </w:rPr>
            </w:pPr>
            <w:r w:rsidRPr="00E86501">
              <w:rPr>
                <w:color w:val="000000" w:themeColor="text1"/>
                <w:sz w:val="16"/>
                <w:szCs w:val="16"/>
                <w:lang w:val="en-US"/>
              </w:rPr>
              <w:t>AMP</w:t>
            </w:r>
          </w:p>
        </w:tc>
        <w:tc>
          <w:tcPr>
            <w:tcW w:w="8040" w:type="dxa"/>
            <w:shd w:val="clear" w:color="auto" w:fill="E1F2FA"/>
          </w:tcPr>
          <w:p w14:paraId="3BE2D70B" w14:textId="4843A099" w:rsidR="34437131" w:rsidRPr="00E86501" w:rsidRDefault="34437131" w:rsidP="00C6418F">
            <w:pPr>
              <w:spacing w:line="271" w:lineRule="auto"/>
              <w:jc w:val="both"/>
              <w:rPr>
                <w:color w:val="000000" w:themeColor="text1"/>
                <w:sz w:val="16"/>
                <w:szCs w:val="16"/>
                <w:lang w:val="en-US"/>
              </w:rPr>
            </w:pPr>
            <w:r w:rsidRPr="00E86501">
              <w:rPr>
                <w:color w:val="000000" w:themeColor="text1"/>
                <w:sz w:val="16"/>
                <w:szCs w:val="16"/>
                <w:lang w:val="en-US"/>
              </w:rPr>
              <w:t xml:space="preserve">Africa </w:t>
            </w:r>
            <w:proofErr w:type="spellStart"/>
            <w:r w:rsidRPr="00E86501">
              <w:rPr>
                <w:color w:val="000000" w:themeColor="text1"/>
                <w:sz w:val="16"/>
                <w:szCs w:val="16"/>
                <w:lang w:val="en-US"/>
              </w:rPr>
              <w:t>Minigrids</w:t>
            </w:r>
            <w:proofErr w:type="spellEnd"/>
            <w:r w:rsidRPr="00E86501">
              <w:rPr>
                <w:color w:val="000000" w:themeColor="text1"/>
                <w:sz w:val="16"/>
                <w:szCs w:val="16"/>
                <w:lang w:val="en-US"/>
              </w:rPr>
              <w:t xml:space="preserve"> </w:t>
            </w:r>
            <w:proofErr w:type="spellStart"/>
            <w:r w:rsidRPr="00E86501">
              <w:rPr>
                <w:color w:val="000000" w:themeColor="text1"/>
                <w:sz w:val="16"/>
                <w:szCs w:val="16"/>
                <w:lang w:val="en-US"/>
              </w:rPr>
              <w:t>Programme</w:t>
            </w:r>
            <w:proofErr w:type="spellEnd"/>
          </w:p>
        </w:tc>
      </w:tr>
      <w:tr w:rsidR="00A23B67" w:rsidRPr="00CD329F" w14:paraId="4AF247B7" w14:textId="77777777" w:rsidTr="3585F9A1">
        <w:trPr>
          <w:trHeight w:val="300"/>
        </w:trPr>
        <w:tc>
          <w:tcPr>
            <w:tcW w:w="1320" w:type="dxa"/>
            <w:shd w:val="clear" w:color="auto" w:fill="E1F2FA"/>
          </w:tcPr>
          <w:p w14:paraId="354DA0A8" w14:textId="616ED222" w:rsidR="00517244" w:rsidRPr="00E86501" w:rsidRDefault="1B54B1E0" w:rsidP="00857B81">
            <w:pPr>
              <w:spacing w:line="240" w:lineRule="auto"/>
              <w:jc w:val="both"/>
              <w:rPr>
                <w:color w:val="000000" w:themeColor="text1"/>
                <w:sz w:val="16"/>
                <w:szCs w:val="16"/>
                <w:lang w:val="en-US"/>
              </w:rPr>
            </w:pPr>
            <w:r w:rsidRPr="00E86501">
              <w:rPr>
                <w:color w:val="000000" w:themeColor="text1"/>
                <w:sz w:val="16"/>
                <w:szCs w:val="16"/>
                <w:lang w:val="en-US"/>
              </w:rPr>
              <w:t>AOL</w:t>
            </w:r>
          </w:p>
        </w:tc>
        <w:tc>
          <w:tcPr>
            <w:tcW w:w="8040" w:type="dxa"/>
            <w:shd w:val="clear" w:color="auto" w:fill="E1F2FA"/>
          </w:tcPr>
          <w:p w14:paraId="21CA9AAA" w14:textId="111E9BD5" w:rsidR="00517244" w:rsidRPr="00E86501" w:rsidRDefault="11D8EFA6" w:rsidP="3585F9A1">
            <w:pPr>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A</w:t>
            </w:r>
            <w:hyperlink r:id="rId15">
              <w:r w:rsidRPr="00E86501">
                <w:rPr>
                  <w:color w:val="000000" w:themeColor="text1"/>
                  <w:sz w:val="16"/>
                  <w:szCs w:val="16"/>
                  <w:lang w:val="en-US"/>
                </w:rPr>
                <w:t>gricultural Orientation Law</w:t>
              </w:r>
            </w:hyperlink>
          </w:p>
        </w:tc>
      </w:tr>
      <w:tr w:rsidR="00A23B67" w:rsidRPr="00F50786" w14:paraId="242854B8" w14:textId="77777777" w:rsidTr="3585F9A1">
        <w:trPr>
          <w:trHeight w:val="300"/>
        </w:trPr>
        <w:tc>
          <w:tcPr>
            <w:tcW w:w="1320" w:type="dxa"/>
            <w:shd w:val="clear" w:color="auto" w:fill="E1F2FA"/>
          </w:tcPr>
          <w:p w14:paraId="5445E61D" w14:textId="5818B985"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APYE </w:t>
            </w:r>
          </w:p>
        </w:tc>
        <w:tc>
          <w:tcPr>
            <w:tcW w:w="8040" w:type="dxa"/>
            <w:shd w:val="clear" w:color="auto" w:fill="E1F2FA"/>
          </w:tcPr>
          <w:p w14:paraId="2B0BDEAF" w14:textId="768AEB5A" w:rsidR="537FA187" w:rsidRPr="00E86501" w:rsidRDefault="537FA187" w:rsidP="00D62EE0">
            <w:pPr>
              <w:spacing w:line="271" w:lineRule="auto"/>
              <w:jc w:val="both"/>
              <w:rPr>
                <w:color w:val="000000" w:themeColor="text1"/>
                <w:sz w:val="16"/>
                <w:szCs w:val="16"/>
                <w:lang w:val="en-US"/>
              </w:rPr>
            </w:pPr>
            <w:r w:rsidRPr="00E86501">
              <w:rPr>
                <w:color w:val="000000" w:themeColor="text1"/>
                <w:sz w:val="16"/>
                <w:szCs w:val="16"/>
                <w:lang w:val="en-US"/>
              </w:rPr>
              <w:t>Agency for the Promotion of Youth Employment</w:t>
            </w:r>
          </w:p>
        </w:tc>
      </w:tr>
      <w:tr w:rsidR="537FA187" w:rsidRPr="00F50786" w14:paraId="0D04092B" w14:textId="77777777" w:rsidTr="3585F9A1">
        <w:trPr>
          <w:trHeight w:val="442"/>
        </w:trPr>
        <w:tc>
          <w:tcPr>
            <w:tcW w:w="1320" w:type="dxa"/>
            <w:shd w:val="clear" w:color="auto" w:fill="E1F2FA"/>
          </w:tcPr>
          <w:p w14:paraId="69DC765F" w14:textId="4C1ED9F1" w:rsidR="537FA187" w:rsidRPr="00E86501" w:rsidRDefault="537FA187" w:rsidP="537FA187">
            <w:pPr>
              <w:spacing w:line="240" w:lineRule="auto"/>
              <w:jc w:val="both"/>
              <w:rPr>
                <w:color w:val="000000" w:themeColor="text1"/>
                <w:sz w:val="16"/>
                <w:szCs w:val="16"/>
                <w:lang w:val="en-US"/>
              </w:rPr>
            </w:pPr>
            <w:r w:rsidRPr="00E86501">
              <w:rPr>
                <w:color w:val="000000" w:themeColor="text1"/>
                <w:sz w:val="16"/>
                <w:szCs w:val="16"/>
                <w:lang w:val="en-US"/>
              </w:rPr>
              <w:t>APIM</w:t>
            </w:r>
          </w:p>
        </w:tc>
        <w:tc>
          <w:tcPr>
            <w:tcW w:w="8040" w:type="dxa"/>
            <w:shd w:val="clear" w:color="auto" w:fill="E1F2FA"/>
          </w:tcPr>
          <w:p w14:paraId="61E68CD8" w14:textId="1194AADD" w:rsidR="537FA187" w:rsidRPr="00E86501" w:rsidRDefault="537FA187" w:rsidP="537FA187">
            <w:pPr>
              <w:spacing w:line="271" w:lineRule="auto"/>
              <w:jc w:val="both"/>
              <w:rPr>
                <w:color w:val="000000" w:themeColor="text1"/>
                <w:sz w:val="16"/>
                <w:szCs w:val="16"/>
                <w:lang w:val="en-US"/>
              </w:rPr>
            </w:pPr>
            <w:r w:rsidRPr="00E86501">
              <w:rPr>
                <w:color w:val="000000" w:themeColor="text1"/>
                <w:sz w:val="16"/>
                <w:szCs w:val="16"/>
                <w:lang w:val="en-US"/>
              </w:rPr>
              <w:t>Agency for the Promotion of Investments in Mali</w:t>
            </w:r>
          </w:p>
        </w:tc>
      </w:tr>
      <w:tr w:rsidR="537FA187" w:rsidRPr="00CD329F" w14:paraId="6CDD3519" w14:textId="77777777" w:rsidTr="3585F9A1">
        <w:trPr>
          <w:trHeight w:val="300"/>
        </w:trPr>
        <w:tc>
          <w:tcPr>
            <w:tcW w:w="1320" w:type="dxa"/>
            <w:shd w:val="clear" w:color="auto" w:fill="E1F2FA"/>
          </w:tcPr>
          <w:p w14:paraId="2C2DC193" w14:textId="55A19DDD" w:rsidR="7F46DE9A" w:rsidRPr="00E86501" w:rsidRDefault="7F46DE9A" w:rsidP="537FA187">
            <w:pPr>
              <w:spacing w:line="240" w:lineRule="auto"/>
              <w:jc w:val="both"/>
              <w:rPr>
                <w:color w:val="000000" w:themeColor="text1"/>
                <w:sz w:val="16"/>
                <w:szCs w:val="16"/>
                <w:lang w:val="en-US"/>
              </w:rPr>
            </w:pPr>
            <w:r w:rsidRPr="00E86501">
              <w:rPr>
                <w:color w:val="000000" w:themeColor="text1"/>
                <w:sz w:val="16"/>
                <w:szCs w:val="16"/>
                <w:lang w:val="en-US"/>
              </w:rPr>
              <w:t>BIOFIN</w:t>
            </w:r>
          </w:p>
        </w:tc>
        <w:tc>
          <w:tcPr>
            <w:tcW w:w="8040" w:type="dxa"/>
            <w:shd w:val="clear" w:color="auto" w:fill="E1F2FA"/>
          </w:tcPr>
          <w:p w14:paraId="6B7A20DE" w14:textId="71264FB4" w:rsidR="7F46DE9A" w:rsidRPr="00E86501" w:rsidRDefault="7F46DE9A" w:rsidP="00C6418F">
            <w:pPr>
              <w:spacing w:line="271" w:lineRule="auto"/>
              <w:jc w:val="both"/>
              <w:rPr>
                <w:color w:val="000000" w:themeColor="text1"/>
                <w:sz w:val="16"/>
                <w:szCs w:val="16"/>
                <w:lang w:val="en-US"/>
              </w:rPr>
            </w:pPr>
            <w:r w:rsidRPr="00E86501">
              <w:rPr>
                <w:color w:val="000000" w:themeColor="text1"/>
                <w:sz w:val="16"/>
                <w:szCs w:val="16"/>
                <w:lang w:val="en-US"/>
              </w:rPr>
              <w:t xml:space="preserve">Biodiversity Finance Initiative </w:t>
            </w:r>
          </w:p>
        </w:tc>
      </w:tr>
      <w:tr w:rsidR="537FA187" w:rsidRPr="00F50786" w14:paraId="27289EBA" w14:textId="77777777" w:rsidTr="3585F9A1">
        <w:trPr>
          <w:trHeight w:val="300"/>
        </w:trPr>
        <w:tc>
          <w:tcPr>
            <w:tcW w:w="1320" w:type="dxa"/>
            <w:shd w:val="clear" w:color="auto" w:fill="E1F2FA"/>
          </w:tcPr>
          <w:p w14:paraId="07B5185E" w14:textId="77777777"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BPPS NCE </w:t>
            </w:r>
          </w:p>
        </w:tc>
        <w:tc>
          <w:tcPr>
            <w:tcW w:w="8040" w:type="dxa"/>
            <w:shd w:val="clear" w:color="auto" w:fill="E1F2FA"/>
          </w:tcPr>
          <w:p w14:paraId="6ABCCD27" w14:textId="796E2EF0"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 xml:space="preserve">Bureau for Policy and </w:t>
            </w:r>
            <w:proofErr w:type="spellStart"/>
            <w:r w:rsidRPr="00E86501">
              <w:rPr>
                <w:color w:val="000000" w:themeColor="text1"/>
                <w:sz w:val="16"/>
                <w:szCs w:val="16"/>
                <w:lang w:val="en-US"/>
              </w:rPr>
              <w:t>Programme</w:t>
            </w:r>
            <w:proofErr w:type="spellEnd"/>
            <w:r w:rsidRPr="00E86501">
              <w:rPr>
                <w:color w:val="000000" w:themeColor="text1"/>
                <w:sz w:val="16"/>
                <w:szCs w:val="16"/>
                <w:lang w:val="en-US"/>
              </w:rPr>
              <w:t xml:space="preserve"> Support, Nature, Climate and Energy </w:t>
            </w:r>
          </w:p>
        </w:tc>
      </w:tr>
      <w:tr w:rsidR="537FA187" w:rsidRPr="00CD329F" w14:paraId="3B53DF03" w14:textId="77777777" w:rsidTr="3585F9A1">
        <w:trPr>
          <w:trHeight w:val="300"/>
        </w:trPr>
        <w:tc>
          <w:tcPr>
            <w:tcW w:w="1320" w:type="dxa"/>
            <w:shd w:val="clear" w:color="auto" w:fill="E1F2FA"/>
          </w:tcPr>
          <w:p w14:paraId="36B38FC1" w14:textId="7DF044E2" w:rsidR="6F7F7995" w:rsidRPr="00E86501" w:rsidRDefault="6F7F7995" w:rsidP="537FA187">
            <w:pPr>
              <w:spacing w:line="240" w:lineRule="auto"/>
              <w:jc w:val="both"/>
              <w:rPr>
                <w:color w:val="000000" w:themeColor="text1"/>
                <w:sz w:val="16"/>
                <w:szCs w:val="16"/>
                <w:lang w:val="en-US"/>
              </w:rPr>
            </w:pPr>
            <w:r w:rsidRPr="00E86501">
              <w:rPr>
                <w:color w:val="000000" w:themeColor="text1"/>
                <w:sz w:val="16"/>
                <w:szCs w:val="16"/>
                <w:lang w:val="en-US"/>
              </w:rPr>
              <w:t>CBD</w:t>
            </w:r>
          </w:p>
        </w:tc>
        <w:tc>
          <w:tcPr>
            <w:tcW w:w="8040" w:type="dxa"/>
            <w:shd w:val="clear" w:color="auto" w:fill="E1F2FA"/>
          </w:tcPr>
          <w:p w14:paraId="312F156A" w14:textId="53F75D9B" w:rsidR="6F7F7995" w:rsidRPr="00E86501" w:rsidRDefault="6F7F7995" w:rsidP="00C6418F">
            <w:pPr>
              <w:spacing w:line="271" w:lineRule="auto"/>
              <w:jc w:val="both"/>
              <w:rPr>
                <w:color w:val="000000" w:themeColor="text1"/>
                <w:sz w:val="16"/>
                <w:szCs w:val="16"/>
                <w:lang w:val="en-US"/>
              </w:rPr>
            </w:pPr>
            <w:r w:rsidRPr="00E86501">
              <w:rPr>
                <w:color w:val="000000" w:themeColor="text1"/>
                <w:sz w:val="16"/>
                <w:szCs w:val="16"/>
                <w:lang w:val="en-US"/>
              </w:rPr>
              <w:t xml:space="preserve">Convention on Biological Diversity </w:t>
            </w:r>
          </w:p>
        </w:tc>
      </w:tr>
      <w:tr w:rsidR="00A23B67" w:rsidRPr="00F50786" w14:paraId="5B5575CE" w14:textId="77777777" w:rsidTr="3585F9A1">
        <w:trPr>
          <w:trHeight w:val="300"/>
        </w:trPr>
        <w:tc>
          <w:tcPr>
            <w:tcW w:w="1320" w:type="dxa"/>
            <w:shd w:val="clear" w:color="auto" w:fill="E1F2FA"/>
          </w:tcPr>
          <w:p w14:paraId="140CB16E" w14:textId="77777777"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CCIM </w:t>
            </w:r>
          </w:p>
        </w:tc>
        <w:tc>
          <w:tcPr>
            <w:tcW w:w="8040" w:type="dxa"/>
            <w:shd w:val="clear" w:color="auto" w:fill="E1F2FA"/>
          </w:tcPr>
          <w:p w14:paraId="363E6169" w14:textId="77777777"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Chamber of Commerce and Industry of Mali </w:t>
            </w:r>
          </w:p>
        </w:tc>
      </w:tr>
      <w:tr w:rsidR="537FA187" w:rsidRPr="00F50786" w14:paraId="27E3C3E5" w14:textId="77777777" w:rsidTr="3585F9A1">
        <w:trPr>
          <w:trHeight w:val="300"/>
        </w:trPr>
        <w:tc>
          <w:tcPr>
            <w:tcW w:w="1320" w:type="dxa"/>
            <w:shd w:val="clear" w:color="auto" w:fill="E1F2FA"/>
          </w:tcPr>
          <w:p w14:paraId="3F4725C5" w14:textId="550A800E"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COGISM </w:t>
            </w:r>
          </w:p>
        </w:tc>
        <w:tc>
          <w:tcPr>
            <w:tcW w:w="8040" w:type="dxa"/>
            <w:shd w:val="clear" w:color="auto" w:fill="E1F2FA"/>
          </w:tcPr>
          <w:p w14:paraId="7BC874CF" w14:textId="77777777"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Collective of Groups Involved in Sanitation in Mali </w:t>
            </w:r>
          </w:p>
        </w:tc>
      </w:tr>
      <w:tr w:rsidR="00A23B67" w:rsidRPr="00F50786" w14:paraId="6092E863" w14:textId="77777777" w:rsidTr="3585F9A1">
        <w:trPr>
          <w:trHeight w:val="300"/>
        </w:trPr>
        <w:tc>
          <w:tcPr>
            <w:tcW w:w="1320" w:type="dxa"/>
            <w:shd w:val="clear" w:color="auto" w:fill="E1F2FA"/>
          </w:tcPr>
          <w:p w14:paraId="565FAEFC" w14:textId="77777777"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CTM </w:t>
            </w:r>
          </w:p>
        </w:tc>
        <w:tc>
          <w:tcPr>
            <w:tcW w:w="8040" w:type="dxa"/>
            <w:shd w:val="clear" w:color="auto" w:fill="E1F2FA"/>
          </w:tcPr>
          <w:p w14:paraId="03EE7668" w14:textId="77777777"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Chambers of Trades of Mali </w:t>
            </w:r>
          </w:p>
        </w:tc>
      </w:tr>
      <w:tr w:rsidR="537FA187" w:rsidRPr="00F50786" w14:paraId="74D434B5" w14:textId="77777777" w:rsidTr="3585F9A1">
        <w:trPr>
          <w:trHeight w:val="300"/>
        </w:trPr>
        <w:tc>
          <w:tcPr>
            <w:tcW w:w="1320" w:type="dxa"/>
            <w:shd w:val="clear" w:color="auto" w:fill="E1F2FA"/>
          </w:tcPr>
          <w:p w14:paraId="46E89E4C" w14:textId="5790BBAA"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CWAM</w:t>
            </w:r>
          </w:p>
        </w:tc>
        <w:tc>
          <w:tcPr>
            <w:tcW w:w="8040" w:type="dxa"/>
            <w:shd w:val="clear" w:color="auto" w:fill="E1F2FA"/>
          </w:tcPr>
          <w:p w14:paraId="470C350D" w14:textId="26CCE028"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 xml:space="preserve">Coordination of Women's </w:t>
            </w:r>
            <w:r w:rsidR="1FE6C82A" w:rsidRPr="00E86501">
              <w:rPr>
                <w:color w:val="000000" w:themeColor="text1"/>
                <w:sz w:val="16"/>
                <w:szCs w:val="16"/>
                <w:lang w:val="en-US"/>
              </w:rPr>
              <w:t>Associations of</w:t>
            </w:r>
            <w:r w:rsidRPr="00E86501">
              <w:rPr>
                <w:color w:val="000000" w:themeColor="text1"/>
                <w:sz w:val="16"/>
                <w:szCs w:val="16"/>
                <w:lang w:val="en-US"/>
              </w:rPr>
              <w:t xml:space="preserve"> Mali </w:t>
            </w:r>
          </w:p>
        </w:tc>
      </w:tr>
      <w:tr w:rsidR="537FA187" w:rsidRPr="00F50786" w14:paraId="7B1E8258" w14:textId="77777777" w:rsidTr="3585F9A1">
        <w:trPr>
          <w:trHeight w:val="300"/>
        </w:trPr>
        <w:tc>
          <w:tcPr>
            <w:tcW w:w="1320" w:type="dxa"/>
            <w:shd w:val="clear" w:color="auto" w:fill="E1F2FA"/>
          </w:tcPr>
          <w:p w14:paraId="7D9B91C4" w14:textId="327C6275" w:rsidR="30BDCCCD" w:rsidRPr="00E86501" w:rsidRDefault="30BDCCCD" w:rsidP="537FA187">
            <w:pPr>
              <w:spacing w:line="240" w:lineRule="auto"/>
              <w:jc w:val="both"/>
              <w:rPr>
                <w:color w:val="000000" w:themeColor="text1"/>
                <w:sz w:val="16"/>
                <w:szCs w:val="16"/>
                <w:lang w:val="en-US"/>
              </w:rPr>
            </w:pPr>
            <w:r w:rsidRPr="00E86501">
              <w:rPr>
                <w:color w:val="000000" w:themeColor="text1"/>
                <w:sz w:val="16"/>
                <w:szCs w:val="16"/>
                <w:lang w:val="en-US"/>
              </w:rPr>
              <w:t>DTUR</w:t>
            </w:r>
          </w:p>
        </w:tc>
        <w:tc>
          <w:tcPr>
            <w:tcW w:w="8040" w:type="dxa"/>
            <w:shd w:val="clear" w:color="auto" w:fill="E1F2FA"/>
          </w:tcPr>
          <w:p w14:paraId="03886276" w14:textId="22EE0C50" w:rsidR="30BDCCCD" w:rsidRPr="00E86501" w:rsidRDefault="30BDCCCD" w:rsidP="537FA187">
            <w:pPr>
              <w:keepNext/>
              <w:pBdr>
                <w:top w:val="single" w:sz="4" w:space="1" w:color="000000"/>
              </w:pBdr>
              <w:spacing w:after="0" w:line="271" w:lineRule="auto"/>
              <w:jc w:val="both"/>
              <w:rPr>
                <w:color w:val="000000" w:themeColor="text1"/>
                <w:sz w:val="16"/>
                <w:szCs w:val="16"/>
                <w:lang w:val="en-US"/>
              </w:rPr>
            </w:pPr>
            <w:r w:rsidRPr="00E86501">
              <w:rPr>
                <w:color w:val="000000" w:themeColor="text1"/>
                <w:sz w:val="16"/>
                <w:szCs w:val="16"/>
                <w:lang w:val="en-US"/>
              </w:rPr>
              <w:t>Directorate of Traffic and Urban Transport Regulation </w:t>
            </w:r>
          </w:p>
        </w:tc>
      </w:tr>
      <w:tr w:rsidR="537FA187" w:rsidRPr="00CD329F" w14:paraId="23A02553" w14:textId="77777777" w:rsidTr="3585F9A1">
        <w:trPr>
          <w:trHeight w:val="300"/>
        </w:trPr>
        <w:tc>
          <w:tcPr>
            <w:tcW w:w="1320" w:type="dxa"/>
            <w:shd w:val="clear" w:color="auto" w:fill="E1F2FA"/>
          </w:tcPr>
          <w:p w14:paraId="7C4CBC45" w14:textId="176639BC"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EIG</w:t>
            </w:r>
          </w:p>
        </w:tc>
        <w:tc>
          <w:tcPr>
            <w:tcW w:w="8040" w:type="dxa"/>
            <w:shd w:val="clear" w:color="auto" w:fill="E1F2FA"/>
          </w:tcPr>
          <w:p w14:paraId="2996F68E" w14:textId="77777777"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Economic Interest Groups </w:t>
            </w:r>
          </w:p>
        </w:tc>
      </w:tr>
      <w:tr w:rsidR="537FA187" w:rsidRPr="00F50786" w14:paraId="14D42298" w14:textId="77777777" w:rsidTr="3585F9A1">
        <w:trPr>
          <w:trHeight w:val="300"/>
        </w:trPr>
        <w:tc>
          <w:tcPr>
            <w:tcW w:w="1320" w:type="dxa"/>
            <w:shd w:val="clear" w:color="auto" w:fill="E1F2FA"/>
          </w:tcPr>
          <w:p w14:paraId="0F3DE9E6" w14:textId="444D056C" w:rsidR="30BDCCCD" w:rsidRPr="00E86501" w:rsidRDefault="30BDCCCD" w:rsidP="00857B81">
            <w:pPr>
              <w:spacing w:line="240" w:lineRule="auto"/>
              <w:jc w:val="both"/>
              <w:rPr>
                <w:color w:val="000000" w:themeColor="text1"/>
                <w:sz w:val="16"/>
                <w:szCs w:val="16"/>
                <w:lang w:val="en-US"/>
              </w:rPr>
            </w:pPr>
            <w:r w:rsidRPr="00E86501">
              <w:rPr>
                <w:color w:val="000000" w:themeColor="text1"/>
                <w:sz w:val="16"/>
                <w:szCs w:val="16"/>
                <w:lang w:val="en-US"/>
              </w:rPr>
              <w:t>ENI-ABT</w:t>
            </w:r>
          </w:p>
        </w:tc>
        <w:tc>
          <w:tcPr>
            <w:tcW w:w="8040" w:type="dxa"/>
            <w:shd w:val="clear" w:color="auto" w:fill="E1F2FA"/>
          </w:tcPr>
          <w:p w14:paraId="302546D1" w14:textId="7A3C73FE" w:rsidR="1F998C6D" w:rsidRPr="00E86501" w:rsidRDefault="1F998C6D" w:rsidP="00857B81">
            <w:pPr>
              <w:keepNext/>
              <w:pBdr>
                <w:top w:val="single" w:sz="4" w:space="1" w:color="000000"/>
              </w:pBdr>
              <w:spacing w:after="0" w:line="240" w:lineRule="auto"/>
              <w:jc w:val="both"/>
              <w:rPr>
                <w:color w:val="000000" w:themeColor="text1"/>
                <w:sz w:val="16"/>
                <w:szCs w:val="16"/>
                <w:lang w:val="en-US"/>
              </w:rPr>
            </w:pPr>
            <w:r w:rsidRPr="00E86501">
              <w:rPr>
                <w:color w:val="000000" w:themeColor="text1"/>
                <w:sz w:val="16"/>
                <w:szCs w:val="16"/>
                <w:lang w:val="en-US"/>
              </w:rPr>
              <w:t xml:space="preserve">National School of Engineers </w:t>
            </w:r>
            <w:proofErr w:type="spellStart"/>
            <w:r w:rsidRPr="00E86501">
              <w:rPr>
                <w:color w:val="000000" w:themeColor="text1"/>
                <w:sz w:val="16"/>
                <w:szCs w:val="16"/>
                <w:lang w:val="en-US"/>
              </w:rPr>
              <w:t>Abderhamane</w:t>
            </w:r>
            <w:proofErr w:type="spellEnd"/>
            <w:r w:rsidRPr="00E86501">
              <w:rPr>
                <w:color w:val="000000" w:themeColor="text1"/>
                <w:sz w:val="16"/>
                <w:szCs w:val="16"/>
                <w:lang w:val="en-US"/>
              </w:rPr>
              <w:t xml:space="preserve"> Baba Touré </w:t>
            </w:r>
          </w:p>
        </w:tc>
      </w:tr>
      <w:tr w:rsidR="537FA187" w:rsidRPr="00F50786" w14:paraId="501FD8FC" w14:textId="77777777" w:rsidTr="3585F9A1">
        <w:trPr>
          <w:trHeight w:val="300"/>
        </w:trPr>
        <w:tc>
          <w:tcPr>
            <w:tcW w:w="1320" w:type="dxa"/>
            <w:shd w:val="clear" w:color="auto" w:fill="E1F2FA"/>
          </w:tcPr>
          <w:p w14:paraId="78A75C5F" w14:textId="5D19FA2B"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ESDA  </w:t>
            </w:r>
          </w:p>
        </w:tc>
        <w:tc>
          <w:tcPr>
            <w:tcW w:w="8040" w:type="dxa"/>
            <w:shd w:val="clear" w:color="auto" w:fill="E1F2FA"/>
          </w:tcPr>
          <w:p w14:paraId="357FA08A" w14:textId="77777777"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Environment and Sustainable Development Agency </w:t>
            </w:r>
          </w:p>
        </w:tc>
      </w:tr>
      <w:tr w:rsidR="537FA187" w:rsidRPr="00CD329F" w14:paraId="79358A48" w14:textId="77777777" w:rsidTr="3585F9A1">
        <w:trPr>
          <w:trHeight w:val="300"/>
        </w:trPr>
        <w:tc>
          <w:tcPr>
            <w:tcW w:w="1320" w:type="dxa"/>
            <w:shd w:val="clear" w:color="auto" w:fill="E1F2FA"/>
          </w:tcPr>
          <w:p w14:paraId="5FDDA9EB" w14:textId="75AA79F9" w:rsidR="40ADE776" w:rsidRPr="00E86501" w:rsidRDefault="40ADE776" w:rsidP="00C6418F">
            <w:pPr>
              <w:spacing w:line="240" w:lineRule="auto"/>
              <w:jc w:val="both"/>
              <w:rPr>
                <w:color w:val="000000" w:themeColor="text1"/>
                <w:sz w:val="16"/>
                <w:szCs w:val="16"/>
                <w:lang w:val="en-US"/>
              </w:rPr>
            </w:pPr>
            <w:r w:rsidRPr="00E86501">
              <w:rPr>
                <w:color w:val="000000" w:themeColor="text1"/>
                <w:sz w:val="16"/>
                <w:szCs w:val="16"/>
                <w:lang w:val="en-US"/>
              </w:rPr>
              <w:t>ESS</w:t>
            </w:r>
          </w:p>
        </w:tc>
        <w:tc>
          <w:tcPr>
            <w:tcW w:w="8040" w:type="dxa"/>
            <w:shd w:val="clear" w:color="auto" w:fill="E1F2FA"/>
          </w:tcPr>
          <w:p w14:paraId="4546B150" w14:textId="007472A9" w:rsidR="40ADE776" w:rsidRPr="00E86501" w:rsidRDefault="40ADE776" w:rsidP="537FA187">
            <w:pPr>
              <w:spacing w:line="271" w:lineRule="auto"/>
              <w:jc w:val="both"/>
              <w:rPr>
                <w:color w:val="000000" w:themeColor="text1"/>
                <w:sz w:val="16"/>
                <w:szCs w:val="16"/>
                <w:lang w:val="en-US"/>
              </w:rPr>
            </w:pPr>
            <w:r w:rsidRPr="00E86501">
              <w:rPr>
                <w:color w:val="000000" w:themeColor="text1"/>
                <w:sz w:val="16"/>
                <w:szCs w:val="16"/>
                <w:lang w:val="en-US"/>
              </w:rPr>
              <w:t>Environmental and Social Safeguard</w:t>
            </w:r>
          </w:p>
        </w:tc>
      </w:tr>
      <w:tr w:rsidR="537FA187" w:rsidRPr="00CD329F" w14:paraId="2A9DCBD5" w14:textId="77777777" w:rsidTr="3585F9A1">
        <w:trPr>
          <w:trHeight w:val="300"/>
        </w:trPr>
        <w:tc>
          <w:tcPr>
            <w:tcW w:w="1320" w:type="dxa"/>
            <w:shd w:val="clear" w:color="auto" w:fill="E1F2FA"/>
          </w:tcPr>
          <w:p w14:paraId="00C5E4B4" w14:textId="1D9DAF29" w:rsidR="53E4A401" w:rsidRPr="00E86501" w:rsidRDefault="53E4A401" w:rsidP="537FA187">
            <w:pPr>
              <w:spacing w:line="240" w:lineRule="auto"/>
              <w:jc w:val="both"/>
              <w:rPr>
                <w:color w:val="000000" w:themeColor="text1"/>
                <w:sz w:val="16"/>
                <w:szCs w:val="16"/>
                <w:lang w:val="en-US"/>
              </w:rPr>
            </w:pPr>
            <w:r w:rsidRPr="00E86501">
              <w:rPr>
                <w:color w:val="000000" w:themeColor="text1"/>
                <w:sz w:val="16"/>
                <w:szCs w:val="16"/>
                <w:lang w:val="en-US"/>
              </w:rPr>
              <w:t>EV</w:t>
            </w:r>
          </w:p>
        </w:tc>
        <w:tc>
          <w:tcPr>
            <w:tcW w:w="8040" w:type="dxa"/>
            <w:shd w:val="clear" w:color="auto" w:fill="E1F2FA"/>
          </w:tcPr>
          <w:p w14:paraId="68C68EAE" w14:textId="3A6B3061" w:rsidR="53E4A401" w:rsidRPr="00E86501" w:rsidRDefault="53E4A401" w:rsidP="537FA187">
            <w:pPr>
              <w:spacing w:line="271" w:lineRule="auto"/>
              <w:jc w:val="both"/>
              <w:rPr>
                <w:color w:val="000000" w:themeColor="text1"/>
                <w:sz w:val="16"/>
                <w:szCs w:val="16"/>
                <w:lang w:val="en-US"/>
              </w:rPr>
            </w:pPr>
            <w:r w:rsidRPr="00E86501">
              <w:rPr>
                <w:color w:val="000000" w:themeColor="text1"/>
                <w:sz w:val="16"/>
                <w:szCs w:val="16"/>
                <w:lang w:val="en-US"/>
              </w:rPr>
              <w:t>Electrical Vehicle</w:t>
            </w:r>
          </w:p>
        </w:tc>
      </w:tr>
      <w:tr w:rsidR="537FA187" w:rsidRPr="00CD329F" w14:paraId="706F97D8" w14:textId="77777777" w:rsidTr="3585F9A1">
        <w:trPr>
          <w:trHeight w:val="300"/>
        </w:trPr>
        <w:tc>
          <w:tcPr>
            <w:tcW w:w="1320" w:type="dxa"/>
            <w:shd w:val="clear" w:color="auto" w:fill="E1F2FA"/>
          </w:tcPr>
          <w:p w14:paraId="6E766CE4" w14:textId="77777777"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FAO </w:t>
            </w:r>
          </w:p>
        </w:tc>
        <w:tc>
          <w:tcPr>
            <w:tcW w:w="8040" w:type="dxa"/>
            <w:shd w:val="clear" w:color="auto" w:fill="E1F2FA"/>
          </w:tcPr>
          <w:p w14:paraId="75C99798" w14:textId="77777777"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 xml:space="preserve">Food and </w:t>
            </w:r>
            <w:proofErr w:type="spellStart"/>
            <w:r w:rsidRPr="00E86501">
              <w:rPr>
                <w:color w:val="000000" w:themeColor="text1"/>
                <w:sz w:val="16"/>
                <w:szCs w:val="16"/>
                <w:lang w:val="en-US"/>
              </w:rPr>
              <w:t>Agricultue</w:t>
            </w:r>
            <w:proofErr w:type="spellEnd"/>
            <w:r w:rsidRPr="00E86501">
              <w:rPr>
                <w:color w:val="000000" w:themeColor="text1"/>
                <w:sz w:val="16"/>
                <w:szCs w:val="16"/>
                <w:lang w:val="en-US"/>
              </w:rPr>
              <w:t xml:space="preserve"> Organization </w:t>
            </w:r>
          </w:p>
        </w:tc>
      </w:tr>
      <w:tr w:rsidR="537FA187" w:rsidRPr="00CD329F" w14:paraId="61F11DCF" w14:textId="77777777" w:rsidTr="3585F9A1">
        <w:trPr>
          <w:trHeight w:val="300"/>
        </w:trPr>
        <w:tc>
          <w:tcPr>
            <w:tcW w:w="1320" w:type="dxa"/>
            <w:shd w:val="clear" w:color="auto" w:fill="E1F2FA"/>
          </w:tcPr>
          <w:p w14:paraId="4FDA142A" w14:textId="3474BB44" w:rsidR="189C900E" w:rsidRPr="00E86501" w:rsidRDefault="189C900E" w:rsidP="537FA187">
            <w:pPr>
              <w:spacing w:line="240" w:lineRule="auto"/>
              <w:jc w:val="both"/>
              <w:rPr>
                <w:color w:val="000000" w:themeColor="text1"/>
                <w:sz w:val="16"/>
                <w:szCs w:val="16"/>
                <w:lang w:val="en-US"/>
              </w:rPr>
            </w:pPr>
            <w:r w:rsidRPr="00E86501">
              <w:rPr>
                <w:color w:val="000000" w:themeColor="text1"/>
                <w:sz w:val="16"/>
                <w:szCs w:val="16"/>
                <w:lang w:val="en-US"/>
              </w:rPr>
              <w:t>GCF</w:t>
            </w:r>
          </w:p>
        </w:tc>
        <w:tc>
          <w:tcPr>
            <w:tcW w:w="8040" w:type="dxa"/>
            <w:shd w:val="clear" w:color="auto" w:fill="E1F2FA"/>
          </w:tcPr>
          <w:p w14:paraId="0A36FC27" w14:textId="03F09992" w:rsidR="189C900E" w:rsidRPr="00E86501" w:rsidRDefault="189C900E" w:rsidP="537FA187">
            <w:pPr>
              <w:spacing w:line="271" w:lineRule="auto"/>
              <w:jc w:val="both"/>
              <w:rPr>
                <w:color w:val="000000" w:themeColor="text1"/>
                <w:sz w:val="16"/>
                <w:szCs w:val="16"/>
                <w:lang w:val="en-US"/>
              </w:rPr>
            </w:pPr>
            <w:r w:rsidRPr="00E86501">
              <w:rPr>
                <w:color w:val="000000" w:themeColor="text1"/>
                <w:sz w:val="16"/>
                <w:szCs w:val="16"/>
                <w:lang w:val="en-US"/>
              </w:rPr>
              <w:t>Green Climate Fund</w:t>
            </w:r>
          </w:p>
        </w:tc>
      </w:tr>
      <w:tr w:rsidR="537FA187" w:rsidRPr="00CD329F" w14:paraId="6A93EC39" w14:textId="77777777" w:rsidTr="3585F9A1">
        <w:trPr>
          <w:trHeight w:val="300"/>
        </w:trPr>
        <w:tc>
          <w:tcPr>
            <w:tcW w:w="1320" w:type="dxa"/>
            <w:shd w:val="clear" w:color="auto" w:fill="E1F2FA"/>
          </w:tcPr>
          <w:p w14:paraId="36056882" w14:textId="35AB1C08"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GDC</w:t>
            </w:r>
          </w:p>
        </w:tc>
        <w:tc>
          <w:tcPr>
            <w:tcW w:w="8040" w:type="dxa"/>
            <w:shd w:val="clear" w:color="auto" w:fill="E1F2FA"/>
          </w:tcPr>
          <w:p w14:paraId="64EFB14E" w14:textId="220D6D00"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General Directorate of Customs</w:t>
            </w:r>
          </w:p>
        </w:tc>
      </w:tr>
      <w:tr w:rsidR="537FA187" w:rsidRPr="00CD329F" w14:paraId="395D6865" w14:textId="77777777" w:rsidTr="3585F9A1">
        <w:trPr>
          <w:trHeight w:val="300"/>
        </w:trPr>
        <w:tc>
          <w:tcPr>
            <w:tcW w:w="1320" w:type="dxa"/>
            <w:shd w:val="clear" w:color="auto" w:fill="E1F2FA"/>
          </w:tcPr>
          <w:p w14:paraId="3FB70FB7" w14:textId="125F4AA8"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GDT</w:t>
            </w:r>
          </w:p>
        </w:tc>
        <w:tc>
          <w:tcPr>
            <w:tcW w:w="8040" w:type="dxa"/>
            <w:shd w:val="clear" w:color="auto" w:fill="E1F2FA"/>
          </w:tcPr>
          <w:p w14:paraId="7C1AAE79" w14:textId="48480206"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General Directorate of Taxes </w:t>
            </w:r>
          </w:p>
        </w:tc>
      </w:tr>
      <w:tr w:rsidR="537FA187" w:rsidRPr="00CD329F" w14:paraId="4F6798AE" w14:textId="77777777" w:rsidTr="3585F9A1">
        <w:trPr>
          <w:trHeight w:val="300"/>
        </w:trPr>
        <w:tc>
          <w:tcPr>
            <w:tcW w:w="1320" w:type="dxa"/>
            <w:shd w:val="clear" w:color="auto" w:fill="E1F2FA"/>
          </w:tcPr>
          <w:p w14:paraId="184BA21A" w14:textId="2B87ED94"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GDT</w:t>
            </w:r>
          </w:p>
        </w:tc>
        <w:tc>
          <w:tcPr>
            <w:tcW w:w="8040" w:type="dxa"/>
            <w:shd w:val="clear" w:color="auto" w:fill="E1F2FA"/>
          </w:tcPr>
          <w:p w14:paraId="3EB659F7" w14:textId="0A1BF215"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 xml:space="preserve"> General Directorate of Transport</w:t>
            </w:r>
          </w:p>
        </w:tc>
      </w:tr>
      <w:tr w:rsidR="537FA187" w:rsidRPr="00F50786" w14:paraId="447D0672" w14:textId="77777777" w:rsidTr="3585F9A1">
        <w:trPr>
          <w:trHeight w:val="300"/>
        </w:trPr>
        <w:tc>
          <w:tcPr>
            <w:tcW w:w="1320" w:type="dxa"/>
            <w:shd w:val="clear" w:color="auto" w:fill="E1F2FA"/>
          </w:tcPr>
          <w:p w14:paraId="468436AB" w14:textId="62B5B1F4"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GDTC</w:t>
            </w:r>
          </w:p>
        </w:tc>
        <w:tc>
          <w:tcPr>
            <w:tcW w:w="8040" w:type="dxa"/>
            <w:shd w:val="clear" w:color="auto" w:fill="E1F2FA"/>
          </w:tcPr>
          <w:p w14:paraId="1041CF4D" w14:textId="0E01333E"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 General Directorate of Territorial Collectivities</w:t>
            </w:r>
          </w:p>
        </w:tc>
      </w:tr>
      <w:tr w:rsidR="00A23B67" w:rsidRPr="00F50786" w14:paraId="64911687" w14:textId="77777777" w:rsidTr="3585F9A1">
        <w:trPr>
          <w:trHeight w:val="300"/>
        </w:trPr>
        <w:tc>
          <w:tcPr>
            <w:tcW w:w="1320" w:type="dxa"/>
            <w:shd w:val="clear" w:color="auto" w:fill="E1F2FA"/>
          </w:tcPr>
          <w:p w14:paraId="4F1569C1" w14:textId="5D2D5873"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GDWF</w:t>
            </w:r>
          </w:p>
        </w:tc>
        <w:tc>
          <w:tcPr>
            <w:tcW w:w="8040" w:type="dxa"/>
            <w:shd w:val="clear" w:color="auto" w:fill="E1F2FA"/>
          </w:tcPr>
          <w:p w14:paraId="042A7DAB" w14:textId="77777777" w:rsidR="537FA187" w:rsidRPr="00E86501" w:rsidRDefault="537FA187" w:rsidP="00857B81">
            <w:pPr>
              <w:keepNext/>
              <w:spacing w:line="271" w:lineRule="auto"/>
              <w:jc w:val="both"/>
              <w:rPr>
                <w:color w:val="000000" w:themeColor="text1"/>
                <w:sz w:val="16"/>
                <w:szCs w:val="16"/>
                <w:lang w:val="en-US"/>
              </w:rPr>
            </w:pPr>
            <w:r w:rsidRPr="00E86501">
              <w:rPr>
                <w:color w:val="000000" w:themeColor="text1"/>
                <w:sz w:val="16"/>
                <w:szCs w:val="16"/>
                <w:lang w:val="en-US"/>
              </w:rPr>
              <w:t>General Directorate of Water and Forests </w:t>
            </w:r>
          </w:p>
        </w:tc>
      </w:tr>
      <w:tr w:rsidR="537FA187" w:rsidRPr="00CD329F" w14:paraId="5DF84888" w14:textId="77777777" w:rsidTr="3585F9A1">
        <w:trPr>
          <w:trHeight w:val="300"/>
        </w:trPr>
        <w:tc>
          <w:tcPr>
            <w:tcW w:w="1320" w:type="dxa"/>
            <w:shd w:val="clear" w:color="auto" w:fill="E1F2FA"/>
          </w:tcPr>
          <w:p w14:paraId="38F9E342" w14:textId="77777777"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GEF </w:t>
            </w:r>
          </w:p>
        </w:tc>
        <w:tc>
          <w:tcPr>
            <w:tcW w:w="8040" w:type="dxa"/>
            <w:shd w:val="clear" w:color="auto" w:fill="E1F2FA"/>
          </w:tcPr>
          <w:p w14:paraId="4AC92E4B" w14:textId="77777777"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Global Environment Facility </w:t>
            </w:r>
          </w:p>
        </w:tc>
      </w:tr>
      <w:tr w:rsidR="537FA187" w:rsidRPr="00CD329F" w14:paraId="58D90A77" w14:textId="77777777" w:rsidTr="3585F9A1">
        <w:trPr>
          <w:trHeight w:val="300"/>
        </w:trPr>
        <w:tc>
          <w:tcPr>
            <w:tcW w:w="1320" w:type="dxa"/>
            <w:shd w:val="clear" w:color="auto" w:fill="E1F2FA"/>
          </w:tcPr>
          <w:p w14:paraId="206F34E2" w14:textId="77777777"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GEFSEC </w:t>
            </w:r>
          </w:p>
        </w:tc>
        <w:tc>
          <w:tcPr>
            <w:tcW w:w="8040" w:type="dxa"/>
            <w:shd w:val="clear" w:color="auto" w:fill="E1F2FA"/>
          </w:tcPr>
          <w:p w14:paraId="35EC5D97" w14:textId="77777777" w:rsidR="537FA187" w:rsidRPr="00E86501" w:rsidRDefault="537FA187" w:rsidP="00857B81">
            <w:pPr>
              <w:keepNext/>
              <w:spacing w:line="271" w:lineRule="auto"/>
              <w:jc w:val="both"/>
              <w:rPr>
                <w:color w:val="000000" w:themeColor="text1"/>
                <w:sz w:val="16"/>
                <w:szCs w:val="16"/>
                <w:lang w:val="en-US"/>
              </w:rPr>
            </w:pPr>
            <w:r w:rsidRPr="00E86501">
              <w:rPr>
                <w:color w:val="000000" w:themeColor="text1"/>
                <w:sz w:val="16"/>
                <w:szCs w:val="16"/>
                <w:lang w:val="en-US"/>
              </w:rPr>
              <w:t>Global Environment Facility Secretariat </w:t>
            </w:r>
          </w:p>
        </w:tc>
      </w:tr>
      <w:tr w:rsidR="537FA187" w:rsidRPr="00CD329F" w14:paraId="439507F6" w14:textId="77777777" w:rsidTr="3585F9A1">
        <w:trPr>
          <w:trHeight w:val="300"/>
        </w:trPr>
        <w:tc>
          <w:tcPr>
            <w:tcW w:w="1320" w:type="dxa"/>
            <w:shd w:val="clear" w:color="auto" w:fill="E1F2FA"/>
          </w:tcPr>
          <w:p w14:paraId="4D053A67" w14:textId="731B4678" w:rsidR="65F56EB8" w:rsidRPr="00E86501" w:rsidRDefault="65F56EB8" w:rsidP="537FA187">
            <w:pPr>
              <w:spacing w:line="240" w:lineRule="auto"/>
              <w:jc w:val="both"/>
              <w:rPr>
                <w:color w:val="000000" w:themeColor="text1"/>
                <w:sz w:val="16"/>
                <w:szCs w:val="16"/>
                <w:lang w:val="en-US"/>
              </w:rPr>
            </w:pPr>
            <w:r w:rsidRPr="00E86501">
              <w:rPr>
                <w:color w:val="000000" w:themeColor="text1"/>
                <w:sz w:val="16"/>
                <w:szCs w:val="16"/>
                <w:lang w:val="en-US"/>
              </w:rPr>
              <w:t>GIS</w:t>
            </w:r>
          </w:p>
        </w:tc>
        <w:tc>
          <w:tcPr>
            <w:tcW w:w="8040" w:type="dxa"/>
            <w:shd w:val="clear" w:color="auto" w:fill="E1F2FA"/>
          </w:tcPr>
          <w:p w14:paraId="3133FC11" w14:textId="69B77FF1" w:rsidR="65F56EB8" w:rsidRPr="00E86501" w:rsidRDefault="65F56EB8" w:rsidP="537FA187">
            <w:pPr>
              <w:spacing w:line="271" w:lineRule="auto"/>
              <w:jc w:val="both"/>
              <w:rPr>
                <w:color w:val="000000" w:themeColor="text1"/>
                <w:sz w:val="16"/>
                <w:szCs w:val="16"/>
                <w:lang w:val="en-US"/>
              </w:rPr>
            </w:pPr>
            <w:r w:rsidRPr="00E86501">
              <w:rPr>
                <w:color w:val="000000" w:themeColor="text1"/>
                <w:sz w:val="16"/>
                <w:szCs w:val="16"/>
                <w:lang w:val="en-US"/>
              </w:rPr>
              <w:t>Geographic Information System</w:t>
            </w:r>
          </w:p>
        </w:tc>
      </w:tr>
      <w:tr w:rsidR="537FA187" w:rsidRPr="00F50786" w14:paraId="548F65C6" w14:textId="77777777" w:rsidTr="3585F9A1">
        <w:trPr>
          <w:trHeight w:val="300"/>
        </w:trPr>
        <w:tc>
          <w:tcPr>
            <w:tcW w:w="1320" w:type="dxa"/>
            <w:shd w:val="clear" w:color="auto" w:fill="E1F2FA"/>
          </w:tcPr>
          <w:p w14:paraId="47B8F221" w14:textId="67EE9E25" w:rsidR="6133944F" w:rsidRPr="00E86501" w:rsidRDefault="6133944F" w:rsidP="537FA187">
            <w:pPr>
              <w:spacing w:line="240" w:lineRule="auto"/>
              <w:jc w:val="both"/>
              <w:rPr>
                <w:color w:val="000000" w:themeColor="text1"/>
                <w:sz w:val="16"/>
                <w:szCs w:val="16"/>
                <w:lang w:val="en-US"/>
              </w:rPr>
            </w:pPr>
            <w:r w:rsidRPr="00E86501">
              <w:rPr>
                <w:color w:val="000000" w:themeColor="text1"/>
                <w:sz w:val="16"/>
                <w:szCs w:val="16"/>
                <w:lang w:val="en-US"/>
              </w:rPr>
              <w:t>GPSC</w:t>
            </w:r>
          </w:p>
        </w:tc>
        <w:tc>
          <w:tcPr>
            <w:tcW w:w="8040" w:type="dxa"/>
            <w:shd w:val="clear" w:color="auto" w:fill="E1F2FA"/>
          </w:tcPr>
          <w:p w14:paraId="19EEDA6F" w14:textId="4E99ECEC" w:rsidR="6133944F" w:rsidRPr="00E86501" w:rsidRDefault="6133944F" w:rsidP="537FA187">
            <w:pPr>
              <w:spacing w:line="271" w:lineRule="auto"/>
              <w:jc w:val="both"/>
              <w:rPr>
                <w:color w:val="000000" w:themeColor="text1"/>
                <w:sz w:val="16"/>
                <w:szCs w:val="16"/>
                <w:lang w:val="en-US"/>
              </w:rPr>
            </w:pPr>
            <w:r w:rsidRPr="00E86501">
              <w:rPr>
                <w:color w:val="000000" w:themeColor="text1"/>
                <w:sz w:val="16"/>
                <w:szCs w:val="16"/>
                <w:lang w:val="en-US"/>
              </w:rPr>
              <w:t>Global Platform for Sustainable Cities</w:t>
            </w:r>
          </w:p>
        </w:tc>
      </w:tr>
      <w:tr w:rsidR="537FA187" w:rsidRPr="00CD329F" w14:paraId="469FD9E4" w14:textId="77777777" w:rsidTr="3585F9A1">
        <w:trPr>
          <w:trHeight w:val="300"/>
        </w:trPr>
        <w:tc>
          <w:tcPr>
            <w:tcW w:w="1320" w:type="dxa"/>
            <w:shd w:val="clear" w:color="auto" w:fill="E1F2FA"/>
          </w:tcPr>
          <w:p w14:paraId="4C7ADBAA" w14:textId="37C020CA" w:rsidR="4355CA2F" w:rsidRPr="00E86501" w:rsidRDefault="4355CA2F" w:rsidP="537FA187">
            <w:pPr>
              <w:spacing w:line="240" w:lineRule="auto"/>
              <w:jc w:val="both"/>
              <w:rPr>
                <w:color w:val="000000" w:themeColor="text1"/>
                <w:sz w:val="16"/>
                <w:szCs w:val="16"/>
                <w:lang w:val="en-US"/>
              </w:rPr>
            </w:pPr>
            <w:r w:rsidRPr="00E86501">
              <w:rPr>
                <w:color w:val="000000" w:themeColor="text1"/>
                <w:sz w:val="16"/>
                <w:szCs w:val="16"/>
                <w:lang w:val="en-US"/>
              </w:rPr>
              <w:t>IUDP</w:t>
            </w:r>
          </w:p>
        </w:tc>
        <w:tc>
          <w:tcPr>
            <w:tcW w:w="8040" w:type="dxa"/>
            <w:shd w:val="clear" w:color="auto" w:fill="E1F2FA"/>
          </w:tcPr>
          <w:p w14:paraId="3D993C64" w14:textId="64B76287" w:rsidR="4355CA2F" w:rsidRPr="00E86501" w:rsidRDefault="4355CA2F" w:rsidP="537FA187">
            <w:pPr>
              <w:spacing w:line="271" w:lineRule="auto"/>
              <w:jc w:val="both"/>
              <w:rPr>
                <w:color w:val="000000" w:themeColor="text1"/>
                <w:sz w:val="16"/>
                <w:szCs w:val="16"/>
                <w:lang w:val="en-US"/>
              </w:rPr>
            </w:pPr>
            <w:r w:rsidRPr="00E86501">
              <w:rPr>
                <w:color w:val="000000" w:themeColor="text1"/>
                <w:sz w:val="16"/>
                <w:szCs w:val="16"/>
                <w:lang w:val="en-US"/>
              </w:rPr>
              <w:t xml:space="preserve">Integrated Urban Development Project </w:t>
            </w:r>
          </w:p>
        </w:tc>
      </w:tr>
      <w:tr w:rsidR="537FA187" w:rsidRPr="00CD329F" w14:paraId="5B47E932" w14:textId="77777777" w:rsidTr="3585F9A1">
        <w:trPr>
          <w:trHeight w:val="300"/>
        </w:trPr>
        <w:tc>
          <w:tcPr>
            <w:tcW w:w="1320" w:type="dxa"/>
            <w:shd w:val="clear" w:color="auto" w:fill="E1F2FA"/>
          </w:tcPr>
          <w:p w14:paraId="5BC1F862" w14:textId="50C47A22" w:rsidR="7924C3DE" w:rsidRPr="00E86501" w:rsidRDefault="7924C3DE" w:rsidP="537FA187">
            <w:pPr>
              <w:spacing w:line="240" w:lineRule="auto"/>
              <w:jc w:val="both"/>
              <w:rPr>
                <w:color w:val="000000" w:themeColor="text1"/>
                <w:sz w:val="16"/>
                <w:szCs w:val="16"/>
                <w:lang w:val="en-US"/>
              </w:rPr>
            </w:pPr>
            <w:r w:rsidRPr="00E86501">
              <w:rPr>
                <w:color w:val="000000" w:themeColor="text1"/>
                <w:sz w:val="16"/>
                <w:szCs w:val="16"/>
                <w:lang w:val="en-US"/>
              </w:rPr>
              <w:t>KM</w:t>
            </w:r>
          </w:p>
        </w:tc>
        <w:tc>
          <w:tcPr>
            <w:tcW w:w="8040" w:type="dxa"/>
            <w:shd w:val="clear" w:color="auto" w:fill="E1F2FA"/>
          </w:tcPr>
          <w:p w14:paraId="5C5CB06E" w14:textId="002D4841" w:rsidR="7924C3DE" w:rsidRPr="00E86501" w:rsidRDefault="7924C3DE" w:rsidP="537FA187">
            <w:pPr>
              <w:spacing w:line="271" w:lineRule="auto"/>
              <w:jc w:val="both"/>
              <w:rPr>
                <w:color w:val="000000" w:themeColor="text1"/>
                <w:sz w:val="16"/>
                <w:szCs w:val="16"/>
                <w:lang w:val="en-US"/>
              </w:rPr>
            </w:pPr>
            <w:r w:rsidRPr="00E86501">
              <w:rPr>
                <w:color w:val="000000" w:themeColor="text1"/>
                <w:sz w:val="16"/>
                <w:szCs w:val="16"/>
                <w:lang w:val="en-US"/>
              </w:rPr>
              <w:t xml:space="preserve">Knowledge </w:t>
            </w:r>
            <w:proofErr w:type="spellStart"/>
            <w:r w:rsidRPr="00E86501">
              <w:rPr>
                <w:color w:val="000000" w:themeColor="text1"/>
                <w:sz w:val="16"/>
                <w:szCs w:val="16"/>
                <w:lang w:val="en-US"/>
              </w:rPr>
              <w:t>Managment</w:t>
            </w:r>
            <w:proofErr w:type="spellEnd"/>
            <w:r w:rsidRPr="00E86501">
              <w:rPr>
                <w:color w:val="000000" w:themeColor="text1"/>
                <w:sz w:val="16"/>
                <w:szCs w:val="16"/>
                <w:lang w:val="en-US"/>
              </w:rPr>
              <w:t xml:space="preserve"> </w:t>
            </w:r>
          </w:p>
        </w:tc>
      </w:tr>
      <w:tr w:rsidR="537FA187" w:rsidRPr="00CD329F" w14:paraId="47D6DB49" w14:textId="77777777" w:rsidTr="3585F9A1">
        <w:trPr>
          <w:trHeight w:val="300"/>
        </w:trPr>
        <w:tc>
          <w:tcPr>
            <w:tcW w:w="1320" w:type="dxa"/>
            <w:shd w:val="clear" w:color="auto" w:fill="E1F2FA"/>
          </w:tcPr>
          <w:p w14:paraId="3789992E" w14:textId="5B01FADD" w:rsidR="53D2D200" w:rsidRPr="00E86501" w:rsidRDefault="53D2D200" w:rsidP="537FA187">
            <w:pPr>
              <w:spacing w:line="240" w:lineRule="auto"/>
              <w:jc w:val="both"/>
              <w:rPr>
                <w:color w:val="000000" w:themeColor="text1"/>
                <w:sz w:val="16"/>
                <w:szCs w:val="16"/>
                <w:lang w:val="en-US"/>
              </w:rPr>
            </w:pPr>
            <w:r w:rsidRPr="00E86501">
              <w:rPr>
                <w:color w:val="000000" w:themeColor="text1"/>
                <w:sz w:val="16"/>
                <w:szCs w:val="16"/>
                <w:lang w:val="en-US"/>
              </w:rPr>
              <w:lastRenderedPageBreak/>
              <w:t>LDN</w:t>
            </w:r>
          </w:p>
        </w:tc>
        <w:tc>
          <w:tcPr>
            <w:tcW w:w="8040" w:type="dxa"/>
            <w:shd w:val="clear" w:color="auto" w:fill="E1F2FA"/>
          </w:tcPr>
          <w:p w14:paraId="1496D51A" w14:textId="05D7987F" w:rsidR="53D2D200" w:rsidRPr="00E86501" w:rsidRDefault="53D2D200" w:rsidP="537FA187">
            <w:pPr>
              <w:spacing w:line="271" w:lineRule="auto"/>
              <w:jc w:val="both"/>
              <w:rPr>
                <w:color w:val="000000" w:themeColor="text1"/>
                <w:sz w:val="16"/>
                <w:szCs w:val="16"/>
                <w:lang w:val="en-US"/>
              </w:rPr>
            </w:pPr>
            <w:proofErr w:type="gramStart"/>
            <w:r w:rsidRPr="00E86501">
              <w:rPr>
                <w:color w:val="000000" w:themeColor="text1"/>
                <w:sz w:val="16"/>
                <w:szCs w:val="16"/>
                <w:lang w:val="en-US"/>
              </w:rPr>
              <w:t>Land  Degradation</w:t>
            </w:r>
            <w:proofErr w:type="gramEnd"/>
            <w:r w:rsidRPr="00E86501">
              <w:rPr>
                <w:color w:val="000000" w:themeColor="text1"/>
                <w:sz w:val="16"/>
                <w:szCs w:val="16"/>
                <w:lang w:val="en-US"/>
              </w:rPr>
              <w:t xml:space="preserve"> Neutrality</w:t>
            </w:r>
          </w:p>
        </w:tc>
      </w:tr>
      <w:tr w:rsidR="00A23B67" w:rsidRPr="00F50786" w14:paraId="155287D2" w14:textId="77777777" w:rsidTr="3585F9A1">
        <w:trPr>
          <w:trHeight w:val="300"/>
        </w:trPr>
        <w:tc>
          <w:tcPr>
            <w:tcW w:w="1320" w:type="dxa"/>
            <w:shd w:val="clear" w:color="auto" w:fill="E1F2FA"/>
          </w:tcPr>
          <w:p w14:paraId="51A77763" w14:textId="4C484F82"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MESSD </w:t>
            </w:r>
          </w:p>
        </w:tc>
        <w:tc>
          <w:tcPr>
            <w:tcW w:w="8040" w:type="dxa"/>
            <w:shd w:val="clear" w:color="auto" w:fill="E1F2FA"/>
          </w:tcPr>
          <w:p w14:paraId="7E059556" w14:textId="77777777"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Ministry of Environment, Sanitation and Sustainable Development </w:t>
            </w:r>
          </w:p>
        </w:tc>
      </w:tr>
      <w:tr w:rsidR="537FA187" w:rsidRPr="00F50786" w14:paraId="3E6C9876" w14:textId="77777777" w:rsidTr="3585F9A1">
        <w:trPr>
          <w:trHeight w:val="300"/>
        </w:trPr>
        <w:tc>
          <w:tcPr>
            <w:tcW w:w="1320" w:type="dxa"/>
            <w:shd w:val="clear" w:color="auto" w:fill="E1F2FA"/>
          </w:tcPr>
          <w:p w14:paraId="38304935" w14:textId="0EC429E2"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MEW</w:t>
            </w:r>
          </w:p>
        </w:tc>
        <w:tc>
          <w:tcPr>
            <w:tcW w:w="8040" w:type="dxa"/>
            <w:shd w:val="clear" w:color="auto" w:fill="E1F2FA"/>
          </w:tcPr>
          <w:p w14:paraId="221898B5" w14:textId="77777777"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Ministry of Energy and Water </w:t>
            </w:r>
          </w:p>
        </w:tc>
      </w:tr>
      <w:tr w:rsidR="537FA187" w:rsidRPr="00F50786" w14:paraId="01279967" w14:textId="77777777" w:rsidTr="3585F9A1">
        <w:trPr>
          <w:trHeight w:val="300"/>
        </w:trPr>
        <w:tc>
          <w:tcPr>
            <w:tcW w:w="1320" w:type="dxa"/>
            <w:shd w:val="clear" w:color="auto" w:fill="E1F2FA"/>
          </w:tcPr>
          <w:p w14:paraId="2A4F58F5" w14:textId="77777777"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MEF </w:t>
            </w:r>
          </w:p>
        </w:tc>
        <w:tc>
          <w:tcPr>
            <w:tcW w:w="8040" w:type="dxa"/>
            <w:shd w:val="clear" w:color="auto" w:fill="E1F2FA"/>
          </w:tcPr>
          <w:p w14:paraId="79541BEF" w14:textId="77777777"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Ministry of Economy and Finance </w:t>
            </w:r>
          </w:p>
        </w:tc>
      </w:tr>
      <w:tr w:rsidR="537FA187" w:rsidRPr="00F50786" w14:paraId="5956C419" w14:textId="77777777" w:rsidTr="3585F9A1">
        <w:trPr>
          <w:trHeight w:val="300"/>
        </w:trPr>
        <w:tc>
          <w:tcPr>
            <w:tcW w:w="1320" w:type="dxa"/>
            <w:shd w:val="clear" w:color="auto" w:fill="E1F2FA"/>
          </w:tcPr>
          <w:p w14:paraId="0259B5DD" w14:textId="7D4C4FD5"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MNC</w:t>
            </w:r>
          </w:p>
        </w:tc>
        <w:tc>
          <w:tcPr>
            <w:tcW w:w="8040" w:type="dxa"/>
            <w:shd w:val="clear" w:color="auto" w:fill="E1F2FA"/>
          </w:tcPr>
          <w:p w14:paraId="26816608" w14:textId="76095829"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Malian Navigation Company (in French COMANAV </w:t>
            </w:r>
          </w:p>
        </w:tc>
      </w:tr>
      <w:tr w:rsidR="00A23B67" w:rsidRPr="00F50786" w14:paraId="2C75A469" w14:textId="77777777" w:rsidTr="3585F9A1">
        <w:trPr>
          <w:trHeight w:val="300"/>
        </w:trPr>
        <w:tc>
          <w:tcPr>
            <w:tcW w:w="1320" w:type="dxa"/>
            <w:shd w:val="clear" w:color="auto" w:fill="E1F2FA"/>
          </w:tcPr>
          <w:p w14:paraId="5F8BE3F4" w14:textId="77777777"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MTI </w:t>
            </w:r>
          </w:p>
        </w:tc>
        <w:tc>
          <w:tcPr>
            <w:tcW w:w="8040" w:type="dxa"/>
            <w:shd w:val="clear" w:color="auto" w:fill="E1F2FA"/>
          </w:tcPr>
          <w:p w14:paraId="5D96C90A" w14:textId="77777777" w:rsidR="537FA187" w:rsidRPr="00E86501" w:rsidRDefault="537FA187" w:rsidP="537FA187">
            <w:pPr>
              <w:keepNext/>
              <w:spacing w:after="0" w:line="271" w:lineRule="auto"/>
              <w:jc w:val="both"/>
              <w:rPr>
                <w:color w:val="000000" w:themeColor="text1"/>
                <w:sz w:val="16"/>
                <w:szCs w:val="16"/>
                <w:lang w:val="en-US"/>
              </w:rPr>
            </w:pPr>
            <w:r w:rsidRPr="00E86501">
              <w:rPr>
                <w:color w:val="000000" w:themeColor="text1"/>
                <w:sz w:val="16"/>
                <w:szCs w:val="16"/>
                <w:lang w:val="en-US"/>
              </w:rPr>
              <w:t>Ministry of Transport and Infrastructure </w:t>
            </w:r>
          </w:p>
        </w:tc>
      </w:tr>
      <w:tr w:rsidR="00A23B67" w:rsidRPr="00F50786" w14:paraId="6FDD17E6" w14:textId="77777777" w:rsidTr="3585F9A1">
        <w:trPr>
          <w:trHeight w:val="300"/>
        </w:trPr>
        <w:tc>
          <w:tcPr>
            <w:tcW w:w="1320" w:type="dxa"/>
            <w:shd w:val="clear" w:color="auto" w:fill="E1F2FA"/>
          </w:tcPr>
          <w:p w14:paraId="5848AC2C" w14:textId="4751213E"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MUHLUP </w:t>
            </w:r>
          </w:p>
        </w:tc>
        <w:tc>
          <w:tcPr>
            <w:tcW w:w="8040" w:type="dxa"/>
            <w:shd w:val="clear" w:color="auto" w:fill="E1F2FA"/>
          </w:tcPr>
          <w:p w14:paraId="438C95E9" w14:textId="71E94916" w:rsidR="537FA187" w:rsidRPr="00E86501" w:rsidRDefault="537FA187" w:rsidP="537FA187">
            <w:pPr>
              <w:keepNext/>
              <w:pBdr>
                <w:top w:val="single" w:sz="4" w:space="1" w:color="000000"/>
              </w:pBdr>
              <w:spacing w:after="0" w:line="271" w:lineRule="auto"/>
              <w:jc w:val="both"/>
              <w:rPr>
                <w:color w:val="000000" w:themeColor="text1"/>
                <w:sz w:val="16"/>
                <w:szCs w:val="16"/>
                <w:lang w:val="en-US"/>
              </w:rPr>
            </w:pPr>
            <w:r w:rsidRPr="00E86501">
              <w:rPr>
                <w:color w:val="000000" w:themeColor="text1"/>
                <w:sz w:val="16"/>
                <w:szCs w:val="16"/>
                <w:lang w:val="en-US"/>
              </w:rPr>
              <w:t>Ministry of Urban Planning, Housing, Land use and Population  </w:t>
            </w:r>
          </w:p>
        </w:tc>
      </w:tr>
      <w:tr w:rsidR="00A23B67" w:rsidRPr="00CD329F" w14:paraId="35D974E0" w14:textId="77777777" w:rsidTr="3585F9A1">
        <w:trPr>
          <w:trHeight w:val="300"/>
        </w:trPr>
        <w:tc>
          <w:tcPr>
            <w:tcW w:w="1320" w:type="dxa"/>
            <w:shd w:val="clear" w:color="auto" w:fill="E1F2FA"/>
          </w:tcPr>
          <w:p w14:paraId="66DC4F8A" w14:textId="77777777"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MSP </w:t>
            </w:r>
          </w:p>
        </w:tc>
        <w:tc>
          <w:tcPr>
            <w:tcW w:w="8040" w:type="dxa"/>
            <w:shd w:val="clear" w:color="auto" w:fill="E1F2FA"/>
          </w:tcPr>
          <w:p w14:paraId="3939F206" w14:textId="77777777" w:rsidR="537FA187" w:rsidRPr="00E86501" w:rsidRDefault="537FA187" w:rsidP="537FA187">
            <w:pPr>
              <w:keepNext/>
              <w:spacing w:after="0" w:line="271" w:lineRule="auto"/>
              <w:jc w:val="both"/>
              <w:rPr>
                <w:color w:val="000000" w:themeColor="text1"/>
                <w:sz w:val="16"/>
                <w:szCs w:val="16"/>
                <w:lang w:val="en-US"/>
              </w:rPr>
            </w:pPr>
            <w:r w:rsidRPr="00E86501">
              <w:rPr>
                <w:color w:val="000000" w:themeColor="text1"/>
                <w:sz w:val="16"/>
                <w:szCs w:val="16"/>
                <w:lang w:val="en-US"/>
              </w:rPr>
              <w:t>Medium Sized Project </w:t>
            </w:r>
          </w:p>
        </w:tc>
      </w:tr>
      <w:tr w:rsidR="00A23B67" w:rsidRPr="00F50786" w14:paraId="09E02815" w14:textId="77777777" w:rsidTr="3585F9A1">
        <w:trPr>
          <w:trHeight w:val="300"/>
        </w:trPr>
        <w:tc>
          <w:tcPr>
            <w:tcW w:w="1320" w:type="dxa"/>
            <w:shd w:val="clear" w:color="auto" w:fill="E1F2FA"/>
          </w:tcPr>
          <w:p w14:paraId="2C2C835E" w14:textId="1653541C"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MTAD </w:t>
            </w:r>
          </w:p>
        </w:tc>
        <w:tc>
          <w:tcPr>
            <w:tcW w:w="8040" w:type="dxa"/>
            <w:shd w:val="clear" w:color="auto" w:fill="E1F2FA"/>
          </w:tcPr>
          <w:p w14:paraId="57B3FB97" w14:textId="77777777" w:rsidR="537FA187" w:rsidRPr="00E86501" w:rsidRDefault="537FA187" w:rsidP="537FA187">
            <w:pPr>
              <w:keepNext/>
              <w:pBdr>
                <w:top w:val="single" w:sz="4" w:space="1" w:color="000000"/>
              </w:pBdr>
              <w:spacing w:after="0" w:line="271" w:lineRule="auto"/>
              <w:jc w:val="both"/>
              <w:rPr>
                <w:color w:val="000000" w:themeColor="text1"/>
                <w:sz w:val="16"/>
                <w:szCs w:val="16"/>
                <w:lang w:val="en-US"/>
              </w:rPr>
            </w:pPr>
            <w:r w:rsidRPr="00E86501">
              <w:rPr>
                <w:color w:val="000000" w:themeColor="text1"/>
                <w:sz w:val="16"/>
                <w:szCs w:val="16"/>
                <w:lang w:val="en-US"/>
              </w:rPr>
              <w:t>Ministry of Territorial Administration and Decentralization </w:t>
            </w:r>
          </w:p>
        </w:tc>
      </w:tr>
      <w:tr w:rsidR="00A23B67" w:rsidRPr="00F50786" w14:paraId="59DDBB43" w14:textId="77777777" w:rsidTr="3585F9A1">
        <w:trPr>
          <w:trHeight w:val="300"/>
        </w:trPr>
        <w:tc>
          <w:tcPr>
            <w:tcW w:w="1320" w:type="dxa"/>
            <w:shd w:val="clear" w:color="auto" w:fill="E1F2FA"/>
          </w:tcPr>
          <w:p w14:paraId="6CD48210" w14:textId="7934EFB5"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NAITC</w:t>
            </w:r>
          </w:p>
        </w:tc>
        <w:tc>
          <w:tcPr>
            <w:tcW w:w="8040" w:type="dxa"/>
            <w:shd w:val="clear" w:color="auto" w:fill="E1F2FA"/>
          </w:tcPr>
          <w:p w14:paraId="03C2D522" w14:textId="77777777" w:rsidR="537FA187" w:rsidRPr="00E86501" w:rsidRDefault="537FA187" w:rsidP="537FA187">
            <w:pPr>
              <w:keepNext/>
              <w:pBdr>
                <w:top w:val="single" w:sz="4" w:space="1" w:color="000000"/>
              </w:pBdr>
              <w:spacing w:after="0" w:line="271" w:lineRule="auto"/>
              <w:jc w:val="both"/>
              <w:rPr>
                <w:color w:val="000000" w:themeColor="text1"/>
                <w:sz w:val="16"/>
                <w:szCs w:val="16"/>
                <w:lang w:val="en-US"/>
              </w:rPr>
            </w:pPr>
            <w:r w:rsidRPr="00E86501">
              <w:rPr>
                <w:color w:val="000000" w:themeColor="text1"/>
                <w:sz w:val="16"/>
                <w:szCs w:val="16"/>
                <w:lang w:val="en-US"/>
              </w:rPr>
              <w:t>National Agency for Investment in Territorial Collectivities  </w:t>
            </w:r>
          </w:p>
        </w:tc>
      </w:tr>
      <w:tr w:rsidR="00A23B67" w:rsidRPr="00F50786" w14:paraId="60CDEA55" w14:textId="77777777" w:rsidTr="3585F9A1">
        <w:trPr>
          <w:trHeight w:val="300"/>
        </w:trPr>
        <w:tc>
          <w:tcPr>
            <w:tcW w:w="1320" w:type="dxa"/>
            <w:shd w:val="clear" w:color="auto" w:fill="E1F2FA"/>
          </w:tcPr>
          <w:p w14:paraId="36CFDDC6" w14:textId="74DFD882" w:rsidR="00517244" w:rsidRPr="00E86501" w:rsidRDefault="3CFC0A4C" w:rsidP="00857B81">
            <w:pPr>
              <w:spacing w:line="240" w:lineRule="auto"/>
              <w:jc w:val="both"/>
              <w:rPr>
                <w:color w:val="000000" w:themeColor="text1"/>
                <w:sz w:val="16"/>
                <w:szCs w:val="16"/>
                <w:lang w:val="en-US"/>
              </w:rPr>
            </w:pPr>
            <w:r w:rsidRPr="00E86501">
              <w:rPr>
                <w:color w:val="000000" w:themeColor="text1"/>
                <w:sz w:val="16"/>
                <w:szCs w:val="16"/>
                <w:lang w:val="en-US"/>
              </w:rPr>
              <w:t>NAPE</w:t>
            </w:r>
          </w:p>
        </w:tc>
        <w:tc>
          <w:tcPr>
            <w:tcW w:w="8040" w:type="dxa"/>
            <w:shd w:val="clear" w:color="auto" w:fill="E1F2FA"/>
          </w:tcPr>
          <w:p w14:paraId="5F7BC181" w14:textId="1692DC61" w:rsidR="00517244" w:rsidRPr="00E86501" w:rsidRDefault="3CFC0A4C" w:rsidP="00C6418F">
            <w:pPr>
              <w:keepNext/>
              <w:spacing w:after="0" w:line="240" w:lineRule="auto"/>
              <w:jc w:val="both"/>
              <w:rPr>
                <w:color w:val="000000" w:themeColor="text1"/>
                <w:sz w:val="16"/>
                <w:szCs w:val="16"/>
                <w:lang w:val="en-US"/>
              </w:rPr>
            </w:pPr>
            <w:r w:rsidRPr="00E86501">
              <w:rPr>
                <w:color w:val="000000" w:themeColor="text1"/>
                <w:sz w:val="16"/>
                <w:szCs w:val="16"/>
                <w:lang w:val="en-US"/>
              </w:rPr>
              <w:t>National Action Plan for the Environment (P</w:t>
            </w:r>
          </w:p>
        </w:tc>
      </w:tr>
      <w:tr w:rsidR="537FA187" w:rsidRPr="00CD329F" w14:paraId="4521F237" w14:textId="77777777" w:rsidTr="3585F9A1">
        <w:trPr>
          <w:trHeight w:val="300"/>
        </w:trPr>
        <w:tc>
          <w:tcPr>
            <w:tcW w:w="1320" w:type="dxa"/>
            <w:shd w:val="clear" w:color="auto" w:fill="E1F2FA"/>
          </w:tcPr>
          <w:p w14:paraId="3BD71844" w14:textId="0BDEC976" w:rsidR="3CFC0A4C" w:rsidRPr="00E86501" w:rsidRDefault="3CFC0A4C" w:rsidP="537FA187">
            <w:pPr>
              <w:spacing w:line="240" w:lineRule="auto"/>
              <w:jc w:val="both"/>
              <w:rPr>
                <w:color w:val="000000" w:themeColor="text1"/>
                <w:sz w:val="16"/>
                <w:szCs w:val="16"/>
                <w:lang w:val="en-US"/>
              </w:rPr>
            </w:pPr>
            <w:r w:rsidRPr="00E86501">
              <w:rPr>
                <w:color w:val="000000" w:themeColor="text1"/>
                <w:sz w:val="16"/>
                <w:szCs w:val="16"/>
                <w:lang w:val="en-US"/>
              </w:rPr>
              <w:t>NCCP</w:t>
            </w:r>
          </w:p>
        </w:tc>
        <w:tc>
          <w:tcPr>
            <w:tcW w:w="8040" w:type="dxa"/>
            <w:shd w:val="clear" w:color="auto" w:fill="E1F2FA"/>
          </w:tcPr>
          <w:p w14:paraId="328E3F15" w14:textId="54831414" w:rsidR="3CFC0A4C" w:rsidRPr="00E86501" w:rsidRDefault="00AD6603" w:rsidP="00857B81">
            <w:pPr>
              <w:keepNext/>
              <w:spacing w:after="0" w:line="240" w:lineRule="auto"/>
              <w:jc w:val="both"/>
              <w:rPr>
                <w:color w:val="000000" w:themeColor="text1"/>
                <w:sz w:val="16"/>
                <w:szCs w:val="16"/>
                <w:lang w:val="en-US"/>
              </w:rPr>
            </w:pPr>
            <w:r w:rsidRPr="00E86501">
              <w:rPr>
                <w:color w:val="000000" w:themeColor="text1"/>
                <w:sz w:val="16"/>
                <w:szCs w:val="16"/>
                <w:lang w:val="en-US"/>
              </w:rPr>
              <w:t>National Climate Change Policy</w:t>
            </w:r>
          </w:p>
        </w:tc>
      </w:tr>
      <w:tr w:rsidR="537FA187" w:rsidRPr="00CD329F" w14:paraId="714A7556" w14:textId="77777777" w:rsidTr="3585F9A1">
        <w:trPr>
          <w:trHeight w:val="300"/>
        </w:trPr>
        <w:tc>
          <w:tcPr>
            <w:tcW w:w="1320" w:type="dxa"/>
            <w:shd w:val="clear" w:color="auto" w:fill="E1F2FA"/>
          </w:tcPr>
          <w:p w14:paraId="64E753F1" w14:textId="64F2C7E2" w:rsidR="0D2E670E" w:rsidRPr="00E86501" w:rsidRDefault="0D2E670E" w:rsidP="537FA187">
            <w:pPr>
              <w:spacing w:line="240" w:lineRule="auto"/>
              <w:jc w:val="both"/>
              <w:rPr>
                <w:color w:val="000000" w:themeColor="text1"/>
                <w:sz w:val="16"/>
                <w:szCs w:val="16"/>
                <w:lang w:val="en-US"/>
              </w:rPr>
            </w:pPr>
            <w:r w:rsidRPr="00E86501">
              <w:rPr>
                <w:color w:val="000000" w:themeColor="text1"/>
                <w:sz w:val="16"/>
                <w:szCs w:val="16"/>
                <w:lang w:val="en-US"/>
              </w:rPr>
              <w:t>NCS</w:t>
            </w:r>
          </w:p>
        </w:tc>
        <w:tc>
          <w:tcPr>
            <w:tcW w:w="8040" w:type="dxa"/>
            <w:shd w:val="clear" w:color="auto" w:fill="E1F2FA"/>
          </w:tcPr>
          <w:p w14:paraId="26C71D39" w14:textId="6243B5F9" w:rsidR="0D2E670E" w:rsidRPr="00E86501" w:rsidRDefault="0D2E670E" w:rsidP="537FA187">
            <w:pPr>
              <w:spacing w:line="271" w:lineRule="auto"/>
              <w:jc w:val="both"/>
              <w:rPr>
                <w:color w:val="000000" w:themeColor="text1"/>
                <w:sz w:val="16"/>
                <w:szCs w:val="16"/>
                <w:lang w:val="en-US"/>
              </w:rPr>
            </w:pPr>
            <w:r w:rsidRPr="00E86501">
              <w:rPr>
                <w:color w:val="000000" w:themeColor="text1"/>
                <w:sz w:val="16"/>
                <w:szCs w:val="16"/>
                <w:lang w:val="en-US"/>
              </w:rPr>
              <w:t>National Climate Strategy</w:t>
            </w:r>
          </w:p>
        </w:tc>
      </w:tr>
      <w:tr w:rsidR="00A23B67" w:rsidRPr="00F50786" w14:paraId="5C2BD1F1" w14:textId="77777777" w:rsidTr="3585F9A1">
        <w:trPr>
          <w:trHeight w:val="300"/>
        </w:trPr>
        <w:tc>
          <w:tcPr>
            <w:tcW w:w="1320" w:type="dxa"/>
            <w:shd w:val="clear" w:color="auto" w:fill="E1F2FA"/>
          </w:tcPr>
          <w:p w14:paraId="1F1A2C19" w14:textId="086FBCC0"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NCME</w:t>
            </w:r>
          </w:p>
        </w:tc>
        <w:tc>
          <w:tcPr>
            <w:tcW w:w="8040" w:type="dxa"/>
            <w:shd w:val="clear" w:color="auto" w:fill="E1F2FA"/>
          </w:tcPr>
          <w:p w14:paraId="2AD9B7AE" w14:textId="77777777" w:rsidR="537FA187" w:rsidRPr="00E86501" w:rsidRDefault="537FA187" w:rsidP="537FA187">
            <w:pPr>
              <w:keepNext/>
              <w:pBdr>
                <w:top w:val="single" w:sz="4" w:space="1" w:color="000000"/>
              </w:pBdr>
              <w:spacing w:after="0" w:line="271" w:lineRule="auto"/>
              <w:jc w:val="both"/>
              <w:rPr>
                <w:color w:val="000000" w:themeColor="text1"/>
                <w:sz w:val="16"/>
                <w:szCs w:val="16"/>
                <w:lang w:val="en-US"/>
              </w:rPr>
            </w:pPr>
            <w:r w:rsidRPr="00E86501">
              <w:rPr>
                <w:color w:val="000000" w:themeColor="text1"/>
                <w:sz w:val="16"/>
                <w:szCs w:val="16"/>
                <w:lang w:val="en-US"/>
              </w:rPr>
              <w:t>National Council of Malian Employers </w:t>
            </w:r>
          </w:p>
        </w:tc>
      </w:tr>
      <w:tr w:rsidR="537FA187" w:rsidRPr="00CD329F" w14:paraId="4F7B1C98" w14:textId="77777777" w:rsidTr="3585F9A1">
        <w:trPr>
          <w:trHeight w:val="300"/>
        </w:trPr>
        <w:tc>
          <w:tcPr>
            <w:tcW w:w="1320" w:type="dxa"/>
            <w:shd w:val="clear" w:color="auto" w:fill="E1F2FA"/>
          </w:tcPr>
          <w:p w14:paraId="2DEC36BE" w14:textId="5B46973D" w:rsidR="61CEA512" w:rsidRPr="00E86501" w:rsidRDefault="61CEA512" w:rsidP="537FA187">
            <w:pPr>
              <w:spacing w:line="240" w:lineRule="auto"/>
              <w:jc w:val="both"/>
              <w:rPr>
                <w:color w:val="000000" w:themeColor="text1"/>
                <w:sz w:val="16"/>
                <w:szCs w:val="16"/>
                <w:lang w:val="en-US"/>
              </w:rPr>
            </w:pPr>
            <w:r w:rsidRPr="00E86501">
              <w:rPr>
                <w:color w:val="000000" w:themeColor="text1"/>
                <w:sz w:val="16"/>
                <w:szCs w:val="16"/>
                <w:lang w:val="en-US"/>
              </w:rPr>
              <w:t>NDC</w:t>
            </w:r>
          </w:p>
        </w:tc>
        <w:tc>
          <w:tcPr>
            <w:tcW w:w="8040" w:type="dxa"/>
            <w:shd w:val="clear" w:color="auto" w:fill="E1F2FA"/>
          </w:tcPr>
          <w:p w14:paraId="1929E061" w14:textId="668E50D3" w:rsidR="61CEA512" w:rsidRPr="00E86501" w:rsidRDefault="61CEA512" w:rsidP="00C6418F">
            <w:pPr>
              <w:spacing w:line="271" w:lineRule="auto"/>
              <w:jc w:val="both"/>
              <w:rPr>
                <w:color w:val="000000" w:themeColor="text1"/>
                <w:sz w:val="16"/>
                <w:szCs w:val="16"/>
                <w:lang w:val="en-US"/>
              </w:rPr>
            </w:pPr>
            <w:r w:rsidRPr="00E86501">
              <w:rPr>
                <w:color w:val="000000" w:themeColor="text1"/>
                <w:sz w:val="16"/>
                <w:szCs w:val="16"/>
                <w:lang w:val="en-US"/>
              </w:rPr>
              <w:t>National Determined Contribution</w:t>
            </w:r>
          </w:p>
        </w:tc>
      </w:tr>
      <w:tr w:rsidR="537FA187" w:rsidRPr="00CD329F" w14:paraId="0F2AA023" w14:textId="77777777" w:rsidTr="3585F9A1">
        <w:trPr>
          <w:trHeight w:val="300"/>
        </w:trPr>
        <w:tc>
          <w:tcPr>
            <w:tcW w:w="1320" w:type="dxa"/>
            <w:shd w:val="clear" w:color="auto" w:fill="E1F2FA"/>
          </w:tcPr>
          <w:p w14:paraId="5FDA3FD3" w14:textId="5CCCA1B3" w:rsidR="3989EFBC" w:rsidRPr="00E86501" w:rsidRDefault="3989EFBC" w:rsidP="537FA187">
            <w:pPr>
              <w:spacing w:line="240" w:lineRule="auto"/>
              <w:jc w:val="both"/>
              <w:rPr>
                <w:color w:val="000000" w:themeColor="text1"/>
                <w:sz w:val="16"/>
                <w:szCs w:val="16"/>
                <w:lang w:val="en-US"/>
              </w:rPr>
            </w:pPr>
            <w:r w:rsidRPr="00E86501">
              <w:rPr>
                <w:color w:val="000000" w:themeColor="text1"/>
                <w:sz w:val="16"/>
                <w:szCs w:val="16"/>
                <w:lang w:val="en-US"/>
              </w:rPr>
              <w:t>NDE</w:t>
            </w:r>
          </w:p>
        </w:tc>
        <w:tc>
          <w:tcPr>
            <w:tcW w:w="8040" w:type="dxa"/>
            <w:shd w:val="clear" w:color="auto" w:fill="E1F2FA"/>
          </w:tcPr>
          <w:p w14:paraId="3DAC16D3" w14:textId="0DAEF813" w:rsidR="3989EFBC" w:rsidRPr="00E86501" w:rsidRDefault="3989EFBC" w:rsidP="00C6418F">
            <w:pPr>
              <w:spacing w:line="271" w:lineRule="auto"/>
              <w:jc w:val="both"/>
              <w:rPr>
                <w:color w:val="000000" w:themeColor="text1"/>
                <w:sz w:val="16"/>
                <w:szCs w:val="16"/>
                <w:lang w:val="en-US"/>
              </w:rPr>
            </w:pPr>
            <w:r w:rsidRPr="00E86501">
              <w:rPr>
                <w:color w:val="000000" w:themeColor="text1"/>
                <w:sz w:val="16"/>
                <w:szCs w:val="16"/>
                <w:lang w:val="en-US"/>
              </w:rPr>
              <w:t xml:space="preserve">National Directorate of Energy </w:t>
            </w:r>
          </w:p>
        </w:tc>
      </w:tr>
      <w:tr w:rsidR="00235D3B" w:rsidRPr="00F50786" w14:paraId="2072B24B" w14:textId="77777777" w:rsidTr="3585F9A1">
        <w:trPr>
          <w:trHeight w:val="300"/>
        </w:trPr>
        <w:tc>
          <w:tcPr>
            <w:tcW w:w="1320" w:type="dxa"/>
            <w:shd w:val="clear" w:color="auto" w:fill="E1F2FA"/>
          </w:tcPr>
          <w:p w14:paraId="49B9AEC8" w14:textId="5BBA6537" w:rsidR="00235D3B" w:rsidRPr="00E86501" w:rsidRDefault="00235D3B" w:rsidP="00235D3B">
            <w:pPr>
              <w:spacing w:line="240" w:lineRule="auto"/>
              <w:jc w:val="both"/>
              <w:rPr>
                <w:color w:val="000000" w:themeColor="text1"/>
                <w:sz w:val="16"/>
                <w:szCs w:val="16"/>
                <w:lang w:val="en-US"/>
              </w:rPr>
            </w:pPr>
            <w:r w:rsidRPr="00E86501">
              <w:rPr>
                <w:color w:val="000000" w:themeColor="text1"/>
                <w:sz w:val="16"/>
                <w:szCs w:val="16"/>
                <w:lang w:val="en-US"/>
              </w:rPr>
              <w:t>NDLA</w:t>
            </w:r>
          </w:p>
        </w:tc>
        <w:tc>
          <w:tcPr>
            <w:tcW w:w="8040" w:type="dxa"/>
            <w:shd w:val="clear" w:color="auto" w:fill="E1F2FA"/>
          </w:tcPr>
          <w:p w14:paraId="7373117C" w14:textId="60FE10F1" w:rsidR="00235D3B" w:rsidRPr="00E86501" w:rsidRDefault="00235D3B" w:rsidP="00235D3B">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Natio</w:t>
            </w:r>
            <w:r w:rsidR="00065742" w:rsidRPr="00E86501">
              <w:rPr>
                <w:color w:val="000000" w:themeColor="text1"/>
                <w:sz w:val="16"/>
                <w:szCs w:val="16"/>
                <w:lang w:val="en-US"/>
              </w:rPr>
              <w:t xml:space="preserve">nal Directorate for </w:t>
            </w:r>
            <w:proofErr w:type="gramStart"/>
            <w:r w:rsidR="00065742" w:rsidRPr="00E86501">
              <w:rPr>
                <w:color w:val="000000" w:themeColor="text1"/>
                <w:sz w:val="16"/>
                <w:szCs w:val="16"/>
                <w:lang w:val="en-US"/>
              </w:rPr>
              <w:t>local  Authorities</w:t>
            </w:r>
            <w:proofErr w:type="gramEnd"/>
          </w:p>
        </w:tc>
      </w:tr>
      <w:tr w:rsidR="00A23B67" w:rsidRPr="00F50786" w14:paraId="41836554" w14:textId="77777777" w:rsidTr="3585F9A1">
        <w:trPr>
          <w:trHeight w:val="300"/>
        </w:trPr>
        <w:tc>
          <w:tcPr>
            <w:tcW w:w="1320" w:type="dxa"/>
            <w:shd w:val="clear" w:color="auto" w:fill="E1F2FA"/>
          </w:tcPr>
          <w:p w14:paraId="7E737B25" w14:textId="75775A0B" w:rsidR="537FA187" w:rsidRPr="00E86501" w:rsidRDefault="537FA187" w:rsidP="00235D3B">
            <w:pPr>
              <w:spacing w:line="240" w:lineRule="auto"/>
              <w:jc w:val="both"/>
              <w:rPr>
                <w:color w:val="000000" w:themeColor="text1"/>
                <w:sz w:val="16"/>
                <w:szCs w:val="16"/>
                <w:lang w:val="en-US"/>
              </w:rPr>
            </w:pPr>
            <w:r w:rsidRPr="00E86501">
              <w:rPr>
                <w:color w:val="000000" w:themeColor="text1"/>
                <w:sz w:val="16"/>
                <w:szCs w:val="16"/>
                <w:lang w:val="en-US"/>
              </w:rPr>
              <w:t>NDLC</w:t>
            </w:r>
          </w:p>
        </w:tc>
        <w:tc>
          <w:tcPr>
            <w:tcW w:w="8040" w:type="dxa"/>
            <w:shd w:val="clear" w:color="auto" w:fill="E1F2FA"/>
          </w:tcPr>
          <w:p w14:paraId="08412E4E" w14:textId="77777777" w:rsidR="537FA187" w:rsidRPr="00E86501" w:rsidRDefault="537FA187" w:rsidP="00235D3B">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 xml:space="preserve">National Directorate of Lands and </w:t>
            </w:r>
            <w:proofErr w:type="spellStart"/>
            <w:r w:rsidRPr="00E86501">
              <w:rPr>
                <w:color w:val="000000" w:themeColor="text1"/>
                <w:sz w:val="16"/>
                <w:szCs w:val="16"/>
                <w:lang w:val="en-US"/>
              </w:rPr>
              <w:t>Cadastre</w:t>
            </w:r>
            <w:proofErr w:type="spellEnd"/>
            <w:r w:rsidRPr="00E86501">
              <w:rPr>
                <w:color w:val="000000" w:themeColor="text1"/>
                <w:sz w:val="16"/>
                <w:szCs w:val="16"/>
                <w:lang w:val="en-US"/>
              </w:rPr>
              <w:t xml:space="preserve"> of Mali </w:t>
            </w:r>
          </w:p>
        </w:tc>
      </w:tr>
      <w:tr w:rsidR="00A23B67" w:rsidRPr="00F50786" w14:paraId="316928E1" w14:textId="77777777" w:rsidTr="3585F9A1">
        <w:trPr>
          <w:trHeight w:val="300"/>
        </w:trPr>
        <w:tc>
          <w:tcPr>
            <w:tcW w:w="1320" w:type="dxa"/>
            <w:shd w:val="clear" w:color="auto" w:fill="E1F2FA"/>
          </w:tcPr>
          <w:p w14:paraId="4D1F6433" w14:textId="734B1EE8"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 xml:space="preserve">NDLP </w:t>
            </w:r>
          </w:p>
        </w:tc>
        <w:tc>
          <w:tcPr>
            <w:tcW w:w="8040" w:type="dxa"/>
            <w:shd w:val="clear" w:color="auto" w:fill="E1F2FA"/>
          </w:tcPr>
          <w:p w14:paraId="5A33E9DD" w14:textId="77777777"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National Directorate of Land Use Planning </w:t>
            </w:r>
          </w:p>
        </w:tc>
      </w:tr>
      <w:tr w:rsidR="537FA187" w:rsidRPr="00F50786" w14:paraId="142BC7C1" w14:textId="77777777" w:rsidTr="3585F9A1">
        <w:trPr>
          <w:trHeight w:val="300"/>
        </w:trPr>
        <w:tc>
          <w:tcPr>
            <w:tcW w:w="1320" w:type="dxa"/>
            <w:shd w:val="clear" w:color="auto" w:fill="E1F2FA"/>
          </w:tcPr>
          <w:p w14:paraId="68C67157" w14:textId="47DDC877"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NDUPH</w:t>
            </w:r>
          </w:p>
        </w:tc>
        <w:tc>
          <w:tcPr>
            <w:tcW w:w="8040" w:type="dxa"/>
            <w:shd w:val="clear" w:color="auto" w:fill="E1F2FA"/>
          </w:tcPr>
          <w:p w14:paraId="196CF92E" w14:textId="0081328D"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National Directorate of Urban Planning and Housing </w:t>
            </w:r>
          </w:p>
        </w:tc>
      </w:tr>
      <w:tr w:rsidR="537FA187" w:rsidRPr="00CD329F" w14:paraId="4E2D3D37" w14:textId="77777777" w:rsidTr="3585F9A1">
        <w:trPr>
          <w:trHeight w:val="300"/>
        </w:trPr>
        <w:tc>
          <w:tcPr>
            <w:tcW w:w="1320" w:type="dxa"/>
            <w:shd w:val="clear" w:color="auto" w:fill="E1F2FA"/>
          </w:tcPr>
          <w:p w14:paraId="2E0F8D94" w14:textId="39CD2C64"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NDSPNC</w:t>
            </w:r>
          </w:p>
        </w:tc>
        <w:tc>
          <w:tcPr>
            <w:tcW w:w="8040" w:type="dxa"/>
            <w:shd w:val="clear" w:color="auto" w:fill="E1F2FA"/>
          </w:tcPr>
          <w:p w14:paraId="29A20996" w14:textId="3B4A4A49"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National Directorate of Sanitation, Pollution and Nuisances Control  </w:t>
            </w:r>
          </w:p>
        </w:tc>
      </w:tr>
      <w:tr w:rsidR="00A23B67" w:rsidRPr="00CD329F" w14:paraId="111187D8" w14:textId="77777777" w:rsidTr="3585F9A1">
        <w:trPr>
          <w:trHeight w:val="300"/>
        </w:trPr>
        <w:tc>
          <w:tcPr>
            <w:tcW w:w="1320" w:type="dxa"/>
            <w:shd w:val="clear" w:color="auto" w:fill="E1F2FA"/>
          </w:tcPr>
          <w:p w14:paraId="3A53FF9C" w14:textId="1EE7F494"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NEA</w:t>
            </w:r>
          </w:p>
        </w:tc>
        <w:tc>
          <w:tcPr>
            <w:tcW w:w="8040" w:type="dxa"/>
            <w:shd w:val="clear" w:color="auto" w:fill="E1F2FA"/>
          </w:tcPr>
          <w:p w14:paraId="674EC103" w14:textId="70109B50"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National Employment Agency</w:t>
            </w:r>
          </w:p>
        </w:tc>
      </w:tr>
      <w:tr w:rsidR="537FA187" w:rsidRPr="00CD329F" w14:paraId="6F7226B5" w14:textId="77777777" w:rsidTr="3585F9A1">
        <w:trPr>
          <w:trHeight w:val="300"/>
        </w:trPr>
        <w:tc>
          <w:tcPr>
            <w:tcW w:w="1320" w:type="dxa"/>
            <w:shd w:val="clear" w:color="auto" w:fill="E1F2FA"/>
          </w:tcPr>
          <w:p w14:paraId="3531D720" w14:textId="2511A9B0" w:rsidR="5B6CB98B" w:rsidRPr="00E86501" w:rsidRDefault="5B6CB98B" w:rsidP="537FA187">
            <w:pPr>
              <w:spacing w:line="240" w:lineRule="auto"/>
              <w:jc w:val="both"/>
              <w:rPr>
                <w:color w:val="000000" w:themeColor="text1"/>
                <w:sz w:val="16"/>
                <w:szCs w:val="16"/>
                <w:lang w:val="en-US"/>
              </w:rPr>
            </w:pPr>
            <w:r w:rsidRPr="00E86501">
              <w:rPr>
                <w:color w:val="000000" w:themeColor="text1"/>
                <w:sz w:val="16"/>
                <w:szCs w:val="16"/>
                <w:lang w:val="en-US"/>
              </w:rPr>
              <w:t>NEP</w:t>
            </w:r>
          </w:p>
        </w:tc>
        <w:tc>
          <w:tcPr>
            <w:tcW w:w="8040" w:type="dxa"/>
            <w:shd w:val="clear" w:color="auto" w:fill="E1F2FA"/>
          </w:tcPr>
          <w:p w14:paraId="313D119E" w14:textId="50E1C31C" w:rsidR="5B6CB98B" w:rsidRPr="00E86501" w:rsidRDefault="5B6CB98B" w:rsidP="537FA187">
            <w:pPr>
              <w:spacing w:line="271" w:lineRule="auto"/>
              <w:jc w:val="both"/>
              <w:rPr>
                <w:color w:val="000000" w:themeColor="text1"/>
                <w:sz w:val="16"/>
                <w:szCs w:val="16"/>
                <w:lang w:val="en-US"/>
              </w:rPr>
            </w:pPr>
            <w:r w:rsidRPr="00E86501">
              <w:rPr>
                <w:color w:val="000000" w:themeColor="text1"/>
                <w:sz w:val="16"/>
                <w:szCs w:val="16"/>
                <w:lang w:val="en-US"/>
              </w:rPr>
              <w:t>National Energy Policy</w:t>
            </w:r>
          </w:p>
        </w:tc>
      </w:tr>
      <w:tr w:rsidR="537FA187" w:rsidRPr="00F50786" w14:paraId="79BE1AE3" w14:textId="77777777" w:rsidTr="3585F9A1">
        <w:trPr>
          <w:trHeight w:val="300"/>
        </w:trPr>
        <w:tc>
          <w:tcPr>
            <w:tcW w:w="1320" w:type="dxa"/>
            <w:shd w:val="clear" w:color="auto" w:fill="E1F2FA"/>
          </w:tcPr>
          <w:p w14:paraId="739F3A83" w14:textId="5E4732DA" w:rsidR="5507A557" w:rsidRPr="00E86501" w:rsidRDefault="5507A557" w:rsidP="537FA187">
            <w:pPr>
              <w:spacing w:line="240" w:lineRule="auto"/>
              <w:jc w:val="both"/>
              <w:rPr>
                <w:color w:val="000000" w:themeColor="text1"/>
                <w:sz w:val="16"/>
                <w:szCs w:val="16"/>
                <w:lang w:val="en-US"/>
              </w:rPr>
            </w:pPr>
            <w:r w:rsidRPr="00E86501">
              <w:rPr>
                <w:color w:val="000000" w:themeColor="text1"/>
                <w:sz w:val="16"/>
                <w:szCs w:val="16"/>
                <w:lang w:val="en-US"/>
              </w:rPr>
              <w:t>NEPAD</w:t>
            </w:r>
          </w:p>
        </w:tc>
        <w:tc>
          <w:tcPr>
            <w:tcW w:w="8040" w:type="dxa"/>
            <w:shd w:val="clear" w:color="auto" w:fill="E1F2FA"/>
          </w:tcPr>
          <w:p w14:paraId="5CD556CC" w14:textId="67EF0591" w:rsidR="5507A557" w:rsidRPr="00E86501" w:rsidRDefault="5507A557" w:rsidP="00C6418F">
            <w:pPr>
              <w:spacing w:line="271" w:lineRule="auto"/>
              <w:jc w:val="both"/>
              <w:rPr>
                <w:color w:val="000000" w:themeColor="text1"/>
                <w:sz w:val="16"/>
                <w:szCs w:val="16"/>
                <w:lang w:val="en-US"/>
              </w:rPr>
            </w:pPr>
            <w:r w:rsidRPr="00E86501">
              <w:rPr>
                <w:color w:val="000000" w:themeColor="text1"/>
                <w:sz w:val="16"/>
                <w:szCs w:val="16"/>
                <w:lang w:val="en-US"/>
              </w:rPr>
              <w:t xml:space="preserve">New Partnership for Africa's Development </w:t>
            </w:r>
          </w:p>
        </w:tc>
      </w:tr>
      <w:tr w:rsidR="537FA187" w:rsidRPr="00CD329F" w14:paraId="3A8719C2" w14:textId="77777777" w:rsidTr="3585F9A1">
        <w:trPr>
          <w:trHeight w:val="300"/>
        </w:trPr>
        <w:tc>
          <w:tcPr>
            <w:tcW w:w="1320" w:type="dxa"/>
            <w:shd w:val="clear" w:color="auto" w:fill="E1F2FA"/>
          </w:tcPr>
          <w:p w14:paraId="25D5393A" w14:textId="5A9CEA40" w:rsidR="577EAFDA" w:rsidRPr="00E86501" w:rsidRDefault="577EAFDA" w:rsidP="537FA187">
            <w:pPr>
              <w:spacing w:line="240" w:lineRule="auto"/>
              <w:jc w:val="both"/>
              <w:rPr>
                <w:color w:val="000000" w:themeColor="text1"/>
                <w:sz w:val="16"/>
                <w:szCs w:val="16"/>
                <w:lang w:val="en-US"/>
              </w:rPr>
            </w:pPr>
            <w:r w:rsidRPr="00E86501">
              <w:rPr>
                <w:color w:val="000000" w:themeColor="text1"/>
                <w:sz w:val="16"/>
                <w:szCs w:val="16"/>
                <w:lang w:val="en-US"/>
              </w:rPr>
              <w:t>NFP</w:t>
            </w:r>
          </w:p>
        </w:tc>
        <w:tc>
          <w:tcPr>
            <w:tcW w:w="8040" w:type="dxa"/>
            <w:shd w:val="clear" w:color="auto" w:fill="E1F2FA"/>
          </w:tcPr>
          <w:p w14:paraId="4B4037FA" w14:textId="74A960D9" w:rsidR="577EAFDA" w:rsidRPr="00E86501" w:rsidRDefault="577EAFDA" w:rsidP="00C6418F">
            <w:pPr>
              <w:spacing w:line="271" w:lineRule="auto"/>
              <w:jc w:val="both"/>
              <w:rPr>
                <w:color w:val="000000" w:themeColor="text1"/>
                <w:sz w:val="16"/>
                <w:szCs w:val="16"/>
                <w:lang w:val="en-US"/>
              </w:rPr>
            </w:pPr>
            <w:r w:rsidRPr="00E86501">
              <w:rPr>
                <w:color w:val="000000" w:themeColor="text1"/>
                <w:sz w:val="16"/>
                <w:szCs w:val="16"/>
                <w:lang w:val="en-US"/>
              </w:rPr>
              <w:t>National Forest Policy</w:t>
            </w:r>
          </w:p>
        </w:tc>
      </w:tr>
      <w:tr w:rsidR="537FA187" w:rsidRPr="00CD329F" w14:paraId="394A9B69" w14:textId="77777777" w:rsidTr="3585F9A1">
        <w:trPr>
          <w:trHeight w:val="300"/>
        </w:trPr>
        <w:tc>
          <w:tcPr>
            <w:tcW w:w="1320" w:type="dxa"/>
            <w:shd w:val="clear" w:color="auto" w:fill="E1F2FA"/>
          </w:tcPr>
          <w:p w14:paraId="36D57BE0" w14:textId="78E8A2D1" w:rsidR="5B355644" w:rsidRPr="00E86501" w:rsidRDefault="5B355644" w:rsidP="537FA187">
            <w:pPr>
              <w:spacing w:line="240" w:lineRule="auto"/>
              <w:jc w:val="both"/>
              <w:rPr>
                <w:color w:val="000000" w:themeColor="text1"/>
                <w:sz w:val="16"/>
                <w:szCs w:val="16"/>
                <w:lang w:val="en-US"/>
              </w:rPr>
            </w:pPr>
            <w:r w:rsidRPr="00E86501">
              <w:rPr>
                <w:color w:val="000000" w:themeColor="text1"/>
                <w:sz w:val="16"/>
                <w:szCs w:val="16"/>
                <w:lang w:val="en-US"/>
              </w:rPr>
              <w:t>NGP</w:t>
            </w:r>
          </w:p>
        </w:tc>
        <w:tc>
          <w:tcPr>
            <w:tcW w:w="8040" w:type="dxa"/>
            <w:shd w:val="clear" w:color="auto" w:fill="E1F2FA"/>
          </w:tcPr>
          <w:p w14:paraId="137496BA" w14:textId="008DB1E6" w:rsidR="5B355644" w:rsidRPr="00E86501" w:rsidRDefault="5B355644" w:rsidP="537FA187">
            <w:pPr>
              <w:spacing w:line="271" w:lineRule="auto"/>
              <w:jc w:val="both"/>
              <w:rPr>
                <w:color w:val="000000" w:themeColor="text1"/>
                <w:sz w:val="16"/>
                <w:szCs w:val="16"/>
                <w:lang w:val="en-US"/>
              </w:rPr>
            </w:pPr>
            <w:r w:rsidRPr="00E86501">
              <w:rPr>
                <w:color w:val="000000" w:themeColor="text1"/>
                <w:sz w:val="16"/>
                <w:szCs w:val="16"/>
                <w:lang w:val="en-US"/>
              </w:rPr>
              <w:t>National Gender Policy</w:t>
            </w:r>
          </w:p>
        </w:tc>
      </w:tr>
      <w:tr w:rsidR="537FA187" w:rsidRPr="00CD329F" w14:paraId="515E478A" w14:textId="77777777" w:rsidTr="3585F9A1">
        <w:trPr>
          <w:trHeight w:val="300"/>
        </w:trPr>
        <w:tc>
          <w:tcPr>
            <w:tcW w:w="1320" w:type="dxa"/>
            <w:shd w:val="clear" w:color="auto" w:fill="E1F2FA"/>
          </w:tcPr>
          <w:p w14:paraId="4421ED6E" w14:textId="4DF016C6" w:rsidR="3F994A16" w:rsidRPr="00E86501" w:rsidRDefault="3F994A16" w:rsidP="537FA187">
            <w:pPr>
              <w:spacing w:line="240" w:lineRule="auto"/>
              <w:jc w:val="both"/>
              <w:rPr>
                <w:color w:val="000000" w:themeColor="text1"/>
                <w:sz w:val="16"/>
                <w:szCs w:val="16"/>
                <w:lang w:val="en-US"/>
              </w:rPr>
            </w:pPr>
            <w:r w:rsidRPr="00E86501">
              <w:rPr>
                <w:color w:val="000000" w:themeColor="text1"/>
                <w:sz w:val="16"/>
                <w:szCs w:val="16"/>
                <w:lang w:val="en-US"/>
              </w:rPr>
              <w:t>NIM</w:t>
            </w:r>
          </w:p>
        </w:tc>
        <w:tc>
          <w:tcPr>
            <w:tcW w:w="8040" w:type="dxa"/>
            <w:shd w:val="clear" w:color="auto" w:fill="E1F2FA"/>
          </w:tcPr>
          <w:p w14:paraId="09A8502B" w14:textId="28725D62" w:rsidR="3F994A16" w:rsidRPr="00E86501" w:rsidRDefault="3F994A16" w:rsidP="00C6418F">
            <w:pPr>
              <w:spacing w:line="271" w:lineRule="auto"/>
              <w:jc w:val="both"/>
              <w:rPr>
                <w:color w:val="000000" w:themeColor="text1"/>
                <w:sz w:val="16"/>
                <w:szCs w:val="16"/>
                <w:lang w:val="en-US"/>
              </w:rPr>
            </w:pPr>
            <w:r w:rsidRPr="00E86501">
              <w:rPr>
                <w:color w:val="000000" w:themeColor="text1"/>
                <w:sz w:val="16"/>
                <w:szCs w:val="16"/>
                <w:lang w:val="en-US"/>
              </w:rPr>
              <w:t xml:space="preserve">National Implementation Modality </w:t>
            </w:r>
          </w:p>
        </w:tc>
      </w:tr>
      <w:tr w:rsidR="537FA187" w:rsidRPr="00F50786" w14:paraId="3509706B" w14:textId="77777777" w:rsidTr="3585F9A1">
        <w:trPr>
          <w:trHeight w:val="300"/>
        </w:trPr>
        <w:tc>
          <w:tcPr>
            <w:tcW w:w="1320" w:type="dxa"/>
            <w:shd w:val="clear" w:color="auto" w:fill="E1F2FA"/>
          </w:tcPr>
          <w:p w14:paraId="45B2D36C" w14:textId="490E5F4F"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NOC</w:t>
            </w:r>
          </w:p>
        </w:tc>
        <w:tc>
          <w:tcPr>
            <w:tcW w:w="8040" w:type="dxa"/>
            <w:shd w:val="clear" w:color="auto" w:fill="E1F2FA"/>
          </w:tcPr>
          <w:p w14:paraId="61D0E0C4" w14:textId="77777777"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National Observatory of Cities of Mali  </w:t>
            </w:r>
          </w:p>
        </w:tc>
      </w:tr>
      <w:tr w:rsidR="537FA187" w:rsidRPr="00F50786" w14:paraId="34995D38" w14:textId="77777777" w:rsidTr="3585F9A1">
        <w:trPr>
          <w:trHeight w:val="300"/>
        </w:trPr>
        <w:tc>
          <w:tcPr>
            <w:tcW w:w="1320" w:type="dxa"/>
            <w:shd w:val="clear" w:color="auto" w:fill="E1F2FA"/>
          </w:tcPr>
          <w:p w14:paraId="1B702E51" w14:textId="5652C7C9" w:rsidR="61D3560C" w:rsidRPr="00E86501" w:rsidRDefault="61D3560C" w:rsidP="537FA187">
            <w:pPr>
              <w:spacing w:line="240" w:lineRule="auto"/>
              <w:jc w:val="both"/>
              <w:rPr>
                <w:color w:val="000000" w:themeColor="text1"/>
                <w:sz w:val="16"/>
                <w:szCs w:val="16"/>
                <w:lang w:val="en-US"/>
              </w:rPr>
            </w:pPr>
            <w:r w:rsidRPr="00E86501">
              <w:rPr>
                <w:color w:val="000000" w:themeColor="text1"/>
                <w:sz w:val="16"/>
                <w:szCs w:val="16"/>
                <w:lang w:val="en-US"/>
              </w:rPr>
              <w:t>NPSA</w:t>
            </w:r>
          </w:p>
        </w:tc>
        <w:tc>
          <w:tcPr>
            <w:tcW w:w="8040" w:type="dxa"/>
            <w:shd w:val="clear" w:color="auto" w:fill="E1F2FA"/>
          </w:tcPr>
          <w:p w14:paraId="0253949E" w14:textId="72B34580" w:rsidR="61D3560C" w:rsidRPr="00E86501" w:rsidRDefault="61D3560C" w:rsidP="00C6418F">
            <w:pPr>
              <w:pBdr>
                <w:top w:val="nil"/>
                <w:left w:val="nil"/>
                <w:bottom w:val="nil"/>
                <w:right w:val="nil"/>
                <w:between w:val="nil"/>
              </w:pBdr>
              <w:spacing w:after="0" w:line="240" w:lineRule="auto"/>
              <w:rPr>
                <w:color w:val="000000" w:themeColor="text1"/>
                <w:sz w:val="16"/>
                <w:szCs w:val="16"/>
                <w:lang w:val="en-US"/>
              </w:rPr>
            </w:pPr>
            <w:r w:rsidRPr="00E86501">
              <w:rPr>
                <w:color w:val="000000" w:themeColor="text1"/>
                <w:sz w:val="16"/>
                <w:szCs w:val="16"/>
                <w:lang w:val="en-US"/>
              </w:rPr>
              <w:t xml:space="preserve">National Policy on Spatial Planning </w:t>
            </w:r>
          </w:p>
        </w:tc>
      </w:tr>
      <w:tr w:rsidR="00A23B67" w:rsidRPr="00CD329F" w14:paraId="3861C4AA" w14:textId="77777777" w:rsidTr="00857B81">
        <w:trPr>
          <w:trHeight w:val="187"/>
        </w:trPr>
        <w:tc>
          <w:tcPr>
            <w:tcW w:w="13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1F2FA"/>
          </w:tcPr>
          <w:p w14:paraId="0BEDE38F" w14:textId="36E69BD5"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NRBA</w:t>
            </w:r>
          </w:p>
        </w:tc>
        <w:tc>
          <w:tcPr>
            <w:tcW w:w="80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1F2FA"/>
          </w:tcPr>
          <w:p w14:paraId="7169CDD9" w14:textId="5F50D521" w:rsidR="537FA187" w:rsidRPr="00E86501" w:rsidRDefault="537FA187" w:rsidP="00857B81">
            <w:pPr>
              <w:keepNext/>
              <w:spacing w:line="271" w:lineRule="auto"/>
              <w:jc w:val="both"/>
              <w:rPr>
                <w:color w:val="000000" w:themeColor="text1"/>
                <w:sz w:val="16"/>
                <w:szCs w:val="16"/>
                <w:lang w:val="en-US"/>
              </w:rPr>
            </w:pPr>
            <w:r w:rsidRPr="00E86501">
              <w:rPr>
                <w:color w:val="000000" w:themeColor="text1"/>
                <w:sz w:val="16"/>
                <w:szCs w:val="16"/>
                <w:lang w:val="en-US"/>
              </w:rPr>
              <w:t>Niger River Basin Agency</w:t>
            </w:r>
          </w:p>
        </w:tc>
      </w:tr>
      <w:tr w:rsidR="537FA187" w:rsidRPr="00F50786" w14:paraId="170662DD" w14:textId="77777777" w:rsidTr="3585F9A1">
        <w:trPr>
          <w:trHeight w:val="300"/>
        </w:trPr>
        <w:tc>
          <w:tcPr>
            <w:tcW w:w="1320" w:type="dxa"/>
            <w:shd w:val="clear" w:color="auto" w:fill="E1F2FA"/>
          </w:tcPr>
          <w:p w14:paraId="5608AB74" w14:textId="503669CB" w:rsidR="5D1C29BE" w:rsidRPr="00E86501" w:rsidRDefault="5D1C29BE" w:rsidP="537FA187">
            <w:pPr>
              <w:spacing w:line="240" w:lineRule="auto"/>
              <w:jc w:val="both"/>
              <w:rPr>
                <w:color w:val="000000" w:themeColor="text1"/>
                <w:sz w:val="16"/>
                <w:szCs w:val="16"/>
                <w:lang w:val="en-US"/>
              </w:rPr>
            </w:pPr>
            <w:r w:rsidRPr="00E86501">
              <w:rPr>
                <w:color w:val="000000" w:themeColor="text1"/>
                <w:sz w:val="16"/>
                <w:szCs w:val="16"/>
                <w:lang w:val="en-US"/>
              </w:rPr>
              <w:t>NSAPBD</w:t>
            </w:r>
          </w:p>
        </w:tc>
        <w:tc>
          <w:tcPr>
            <w:tcW w:w="8040" w:type="dxa"/>
            <w:shd w:val="clear" w:color="auto" w:fill="E1F2FA"/>
          </w:tcPr>
          <w:p w14:paraId="32C8D40E" w14:textId="3BC3189E" w:rsidR="5D1C29BE" w:rsidRPr="00E86501" w:rsidRDefault="5D1C29BE" w:rsidP="00C6418F">
            <w:pPr>
              <w:spacing w:line="240" w:lineRule="auto"/>
              <w:jc w:val="both"/>
              <w:rPr>
                <w:color w:val="000000" w:themeColor="text1"/>
                <w:sz w:val="16"/>
                <w:szCs w:val="16"/>
                <w:lang w:val="en-US"/>
              </w:rPr>
            </w:pPr>
            <w:r w:rsidRPr="00E86501">
              <w:rPr>
                <w:color w:val="000000" w:themeColor="text1"/>
                <w:sz w:val="16"/>
                <w:szCs w:val="16"/>
                <w:lang w:val="en-US"/>
              </w:rPr>
              <w:t>National Strategy and Action Plan for Biological Diversity</w:t>
            </w:r>
          </w:p>
        </w:tc>
      </w:tr>
      <w:tr w:rsidR="537FA187" w:rsidRPr="00F50786" w14:paraId="0E807B98" w14:textId="77777777" w:rsidTr="00857B81">
        <w:trPr>
          <w:trHeight w:val="241"/>
        </w:trPr>
        <w:tc>
          <w:tcPr>
            <w:tcW w:w="13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1F2FA"/>
          </w:tcPr>
          <w:p w14:paraId="15648AF0" w14:textId="504656C0" w:rsidR="49A0844A" w:rsidRPr="00E86501" w:rsidRDefault="49A0844A" w:rsidP="537FA187">
            <w:pPr>
              <w:spacing w:line="240" w:lineRule="auto"/>
              <w:jc w:val="both"/>
              <w:rPr>
                <w:color w:val="000000" w:themeColor="text1"/>
                <w:sz w:val="16"/>
                <w:szCs w:val="16"/>
                <w:lang w:val="en-US"/>
              </w:rPr>
            </w:pPr>
            <w:r w:rsidRPr="00E86501">
              <w:rPr>
                <w:color w:val="000000" w:themeColor="text1"/>
                <w:sz w:val="16"/>
                <w:szCs w:val="16"/>
                <w:lang w:val="en-US"/>
              </w:rPr>
              <w:t>NSDWS</w:t>
            </w:r>
          </w:p>
        </w:tc>
        <w:tc>
          <w:tcPr>
            <w:tcW w:w="80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1F2FA"/>
          </w:tcPr>
          <w:p w14:paraId="6C2A1687" w14:textId="7EBD748B" w:rsidR="537FA187" w:rsidRPr="00E86501" w:rsidRDefault="49A0844A" w:rsidP="00857B81">
            <w:pPr>
              <w:spacing w:after="0" w:line="240" w:lineRule="auto"/>
              <w:jc w:val="both"/>
              <w:rPr>
                <w:color w:val="000000" w:themeColor="text1"/>
                <w:sz w:val="16"/>
                <w:szCs w:val="16"/>
                <w:lang w:val="en-US"/>
              </w:rPr>
            </w:pPr>
            <w:r w:rsidRPr="00E86501">
              <w:rPr>
                <w:color w:val="000000" w:themeColor="text1"/>
                <w:sz w:val="16"/>
                <w:szCs w:val="16"/>
                <w:lang w:val="en-US"/>
              </w:rPr>
              <w:t>National Strategy for the development of Drinking Water Supply</w:t>
            </w:r>
          </w:p>
        </w:tc>
      </w:tr>
      <w:tr w:rsidR="537FA187" w:rsidRPr="00CD329F" w14:paraId="4ED5AA9F" w14:textId="77777777" w:rsidTr="3585F9A1">
        <w:trPr>
          <w:trHeight w:val="300"/>
        </w:trPr>
        <w:tc>
          <w:tcPr>
            <w:tcW w:w="1320" w:type="dxa"/>
            <w:shd w:val="clear" w:color="auto" w:fill="E1F2FA"/>
          </w:tcPr>
          <w:p w14:paraId="2FF06326" w14:textId="0057ECF8" w:rsidR="2E689E63" w:rsidRPr="00E86501" w:rsidRDefault="2E689E63" w:rsidP="537FA187">
            <w:pPr>
              <w:spacing w:line="240" w:lineRule="auto"/>
              <w:jc w:val="both"/>
              <w:rPr>
                <w:color w:val="000000" w:themeColor="text1"/>
                <w:sz w:val="16"/>
                <w:szCs w:val="16"/>
                <w:lang w:val="en-US"/>
              </w:rPr>
            </w:pPr>
            <w:r w:rsidRPr="00E86501">
              <w:rPr>
                <w:color w:val="000000" w:themeColor="text1"/>
                <w:sz w:val="16"/>
                <w:szCs w:val="16"/>
                <w:lang w:val="en-US"/>
              </w:rPr>
              <w:t>NUP</w:t>
            </w:r>
          </w:p>
        </w:tc>
        <w:tc>
          <w:tcPr>
            <w:tcW w:w="8040" w:type="dxa"/>
            <w:shd w:val="clear" w:color="auto" w:fill="E1F2FA"/>
          </w:tcPr>
          <w:p w14:paraId="0CDAECB7" w14:textId="525D18E5" w:rsidR="2E689E63" w:rsidRPr="00E86501" w:rsidRDefault="2E689E63" w:rsidP="00C6418F">
            <w:pPr>
              <w:spacing w:line="271" w:lineRule="auto"/>
              <w:jc w:val="both"/>
              <w:rPr>
                <w:color w:val="000000" w:themeColor="text1"/>
                <w:sz w:val="16"/>
                <w:szCs w:val="16"/>
                <w:lang w:val="en-US"/>
              </w:rPr>
            </w:pPr>
            <w:r w:rsidRPr="00E86501">
              <w:rPr>
                <w:color w:val="000000" w:themeColor="text1"/>
                <w:sz w:val="16"/>
                <w:szCs w:val="16"/>
                <w:lang w:val="en-US"/>
              </w:rPr>
              <w:t>National Urban Policy</w:t>
            </w:r>
          </w:p>
        </w:tc>
      </w:tr>
      <w:tr w:rsidR="537FA187" w:rsidRPr="00CD329F" w14:paraId="589E8715" w14:textId="77777777" w:rsidTr="3585F9A1">
        <w:trPr>
          <w:trHeight w:val="313"/>
        </w:trPr>
        <w:tc>
          <w:tcPr>
            <w:tcW w:w="1320" w:type="dxa"/>
            <w:shd w:val="clear" w:color="auto" w:fill="E1F2FA"/>
          </w:tcPr>
          <w:p w14:paraId="5BF759D0" w14:textId="1A9A0C71" w:rsidR="6166B7A2" w:rsidRPr="00E86501" w:rsidRDefault="6166B7A2" w:rsidP="537FA187">
            <w:pPr>
              <w:spacing w:line="240" w:lineRule="auto"/>
              <w:jc w:val="both"/>
              <w:rPr>
                <w:color w:val="000000" w:themeColor="text1"/>
                <w:sz w:val="16"/>
                <w:szCs w:val="16"/>
                <w:lang w:val="en-US"/>
              </w:rPr>
            </w:pPr>
            <w:r w:rsidRPr="00E86501">
              <w:rPr>
                <w:color w:val="000000" w:themeColor="text1"/>
                <w:sz w:val="16"/>
                <w:szCs w:val="16"/>
                <w:lang w:val="en-US"/>
              </w:rPr>
              <w:lastRenderedPageBreak/>
              <w:t>NWP</w:t>
            </w:r>
          </w:p>
        </w:tc>
        <w:tc>
          <w:tcPr>
            <w:tcW w:w="8040" w:type="dxa"/>
            <w:shd w:val="clear" w:color="auto" w:fill="E1F2FA"/>
          </w:tcPr>
          <w:p w14:paraId="7EFB76F9" w14:textId="367A03F4" w:rsidR="537FA187" w:rsidRPr="00E86501" w:rsidRDefault="6166B7A2" w:rsidP="537FA187">
            <w:pPr>
              <w:spacing w:line="271" w:lineRule="auto"/>
              <w:jc w:val="both"/>
              <w:rPr>
                <w:color w:val="000000" w:themeColor="text1"/>
                <w:sz w:val="16"/>
                <w:szCs w:val="16"/>
                <w:lang w:val="en-US"/>
              </w:rPr>
            </w:pPr>
            <w:r w:rsidRPr="00E86501">
              <w:rPr>
                <w:color w:val="000000" w:themeColor="text1"/>
                <w:sz w:val="16"/>
                <w:szCs w:val="16"/>
                <w:lang w:val="en-US"/>
              </w:rPr>
              <w:t>National Water Policy</w:t>
            </w:r>
          </w:p>
        </w:tc>
      </w:tr>
      <w:tr w:rsidR="537FA187" w:rsidRPr="00CD329F" w14:paraId="40773F95" w14:textId="77777777" w:rsidTr="3585F9A1">
        <w:trPr>
          <w:trHeight w:val="300"/>
        </w:trPr>
        <w:tc>
          <w:tcPr>
            <w:tcW w:w="1320" w:type="dxa"/>
            <w:shd w:val="clear" w:color="auto" w:fill="E1F2FA"/>
          </w:tcPr>
          <w:p w14:paraId="70527224" w14:textId="221B40A9" w:rsidR="2E689E63" w:rsidRPr="00E86501" w:rsidRDefault="2E689E63" w:rsidP="537FA187">
            <w:pPr>
              <w:spacing w:line="240" w:lineRule="auto"/>
              <w:jc w:val="both"/>
              <w:rPr>
                <w:color w:val="000000" w:themeColor="text1"/>
                <w:sz w:val="16"/>
                <w:szCs w:val="16"/>
                <w:lang w:val="en-US"/>
              </w:rPr>
            </w:pPr>
            <w:r w:rsidRPr="00E86501">
              <w:rPr>
                <w:color w:val="000000" w:themeColor="text1"/>
                <w:sz w:val="16"/>
                <w:szCs w:val="16"/>
                <w:lang w:val="en-US"/>
              </w:rPr>
              <w:t>NTP</w:t>
            </w:r>
          </w:p>
        </w:tc>
        <w:tc>
          <w:tcPr>
            <w:tcW w:w="8040" w:type="dxa"/>
            <w:shd w:val="clear" w:color="auto" w:fill="E1F2FA"/>
          </w:tcPr>
          <w:p w14:paraId="74FBA747" w14:textId="34C2B30E" w:rsidR="2E689E63" w:rsidRPr="00E86501" w:rsidRDefault="2E689E63" w:rsidP="00C6418F">
            <w:pPr>
              <w:spacing w:line="271" w:lineRule="auto"/>
              <w:jc w:val="both"/>
              <w:rPr>
                <w:color w:val="000000" w:themeColor="text1"/>
                <w:sz w:val="16"/>
                <w:szCs w:val="16"/>
                <w:lang w:val="en-US"/>
              </w:rPr>
            </w:pPr>
            <w:r w:rsidRPr="00E86501">
              <w:rPr>
                <w:color w:val="000000" w:themeColor="text1"/>
                <w:sz w:val="16"/>
                <w:szCs w:val="16"/>
                <w:lang w:val="en-US"/>
              </w:rPr>
              <w:t>National Transportation Policy</w:t>
            </w:r>
          </w:p>
        </w:tc>
      </w:tr>
      <w:tr w:rsidR="537FA187" w:rsidRPr="00CD329F" w14:paraId="14849D55" w14:textId="77777777" w:rsidTr="00857B81">
        <w:trPr>
          <w:trHeight w:val="300"/>
        </w:trPr>
        <w:tc>
          <w:tcPr>
            <w:tcW w:w="13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1F2FA"/>
          </w:tcPr>
          <w:p w14:paraId="56671261" w14:textId="5D24A643" w:rsidR="4678CB90" w:rsidRPr="00E86501" w:rsidRDefault="4678CB90" w:rsidP="537FA187">
            <w:pPr>
              <w:spacing w:line="240" w:lineRule="auto"/>
              <w:jc w:val="both"/>
              <w:rPr>
                <w:color w:val="000000" w:themeColor="text1"/>
                <w:sz w:val="16"/>
                <w:szCs w:val="16"/>
                <w:lang w:val="en-US"/>
              </w:rPr>
            </w:pPr>
            <w:r w:rsidRPr="00E86501">
              <w:rPr>
                <w:color w:val="000000" w:themeColor="text1"/>
                <w:sz w:val="16"/>
                <w:szCs w:val="16"/>
                <w:lang w:val="en-US"/>
              </w:rPr>
              <w:t>NQP</w:t>
            </w:r>
          </w:p>
        </w:tc>
        <w:tc>
          <w:tcPr>
            <w:tcW w:w="80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1F2FA"/>
          </w:tcPr>
          <w:p w14:paraId="3E275003" w14:textId="7B41AED8" w:rsidR="537FA187" w:rsidRPr="00E86501" w:rsidRDefault="4678CB90" w:rsidP="00857B81">
            <w:pPr>
              <w:pBdr>
                <w:top w:val="nil"/>
                <w:left w:val="nil"/>
                <w:bottom w:val="nil"/>
                <w:right w:val="nil"/>
                <w:between w:val="nil"/>
              </w:pBdr>
              <w:spacing w:before="240" w:after="240" w:line="240" w:lineRule="auto"/>
              <w:rPr>
                <w:color w:val="000000" w:themeColor="text1"/>
                <w:sz w:val="16"/>
                <w:szCs w:val="16"/>
                <w:lang w:val="en-US"/>
              </w:rPr>
            </w:pPr>
            <w:r w:rsidRPr="00E86501">
              <w:rPr>
                <w:color w:val="000000" w:themeColor="text1"/>
                <w:sz w:val="16"/>
                <w:szCs w:val="16"/>
                <w:lang w:val="en-US"/>
              </w:rPr>
              <w:t>National Quality Policy</w:t>
            </w:r>
          </w:p>
        </w:tc>
      </w:tr>
      <w:tr w:rsidR="003756B5" w:rsidRPr="00F50786" w14:paraId="480362C5" w14:textId="77777777" w:rsidTr="3585F9A1">
        <w:trPr>
          <w:trHeight w:val="300"/>
        </w:trPr>
        <w:tc>
          <w:tcPr>
            <w:tcW w:w="1320" w:type="dxa"/>
            <w:shd w:val="clear" w:color="auto" w:fill="E1F2FA"/>
          </w:tcPr>
          <w:p w14:paraId="2D3DEE1C" w14:textId="545B5708" w:rsidR="003756B5" w:rsidRPr="00E86501" w:rsidRDefault="132B7B4D" w:rsidP="00857B81">
            <w:pPr>
              <w:spacing w:line="240" w:lineRule="auto"/>
              <w:jc w:val="both"/>
              <w:rPr>
                <w:color w:val="000000" w:themeColor="text1"/>
                <w:sz w:val="16"/>
                <w:szCs w:val="16"/>
                <w:lang w:val="en-US"/>
              </w:rPr>
            </w:pPr>
            <w:r w:rsidRPr="00E86501">
              <w:rPr>
                <w:color w:val="000000" w:themeColor="text1"/>
                <w:sz w:val="16"/>
                <w:szCs w:val="16"/>
                <w:lang w:val="en-US"/>
              </w:rPr>
              <w:t>O</w:t>
            </w:r>
            <w:r w:rsidR="1AD9A756" w:rsidRPr="00E86501">
              <w:rPr>
                <w:color w:val="000000" w:themeColor="text1"/>
                <w:sz w:val="16"/>
                <w:szCs w:val="16"/>
                <w:lang w:val="en-US"/>
              </w:rPr>
              <w:t>ES</w:t>
            </w:r>
            <w:r w:rsidRPr="00E86501">
              <w:rPr>
                <w:color w:val="000000" w:themeColor="text1"/>
                <w:sz w:val="16"/>
                <w:szCs w:val="16"/>
                <w:lang w:val="en-US"/>
              </w:rPr>
              <w:t>M </w:t>
            </w:r>
          </w:p>
        </w:tc>
        <w:tc>
          <w:tcPr>
            <w:tcW w:w="8040" w:type="dxa"/>
            <w:shd w:val="clear" w:color="auto" w:fill="E1F2FA"/>
          </w:tcPr>
          <w:p w14:paraId="3BE47FB0" w14:textId="16E47E80" w:rsidR="003756B5" w:rsidRPr="00E86501" w:rsidRDefault="132B7B4D"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Order of Expert Surveyors of Mali  </w:t>
            </w:r>
          </w:p>
        </w:tc>
      </w:tr>
      <w:tr w:rsidR="537FA187" w:rsidRPr="00CD329F" w14:paraId="0BFD8702" w14:textId="77777777" w:rsidTr="3585F9A1">
        <w:trPr>
          <w:trHeight w:val="300"/>
        </w:trPr>
        <w:tc>
          <w:tcPr>
            <w:tcW w:w="1320" w:type="dxa"/>
            <w:shd w:val="clear" w:color="auto" w:fill="E1F2FA"/>
          </w:tcPr>
          <w:p w14:paraId="7D115FC1" w14:textId="4E96536E" w:rsidR="7DA06EAE" w:rsidRPr="00E86501" w:rsidRDefault="7DA06EAE" w:rsidP="00857B81">
            <w:pPr>
              <w:spacing w:line="240" w:lineRule="auto"/>
              <w:jc w:val="both"/>
              <w:rPr>
                <w:color w:val="000000" w:themeColor="text1"/>
                <w:sz w:val="16"/>
                <w:szCs w:val="16"/>
                <w:lang w:val="en-US"/>
              </w:rPr>
            </w:pPr>
            <w:r w:rsidRPr="00E86501">
              <w:rPr>
                <w:color w:val="000000" w:themeColor="text1"/>
                <w:sz w:val="16"/>
                <w:szCs w:val="16"/>
                <w:lang w:val="en-US"/>
              </w:rPr>
              <w:t>PES</w:t>
            </w:r>
          </w:p>
        </w:tc>
        <w:tc>
          <w:tcPr>
            <w:tcW w:w="8040" w:type="dxa"/>
            <w:shd w:val="clear" w:color="auto" w:fill="E1F2FA"/>
          </w:tcPr>
          <w:p w14:paraId="63E5030B" w14:textId="1098DF27" w:rsidR="7DA06EAE" w:rsidRPr="00E86501" w:rsidRDefault="7DA06EAE"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payments for ecosystem services</w:t>
            </w:r>
          </w:p>
        </w:tc>
      </w:tr>
      <w:tr w:rsidR="003756B5" w:rsidRPr="00CD329F" w14:paraId="329793B6" w14:textId="77777777" w:rsidTr="3585F9A1">
        <w:trPr>
          <w:trHeight w:val="300"/>
        </w:trPr>
        <w:tc>
          <w:tcPr>
            <w:tcW w:w="1320" w:type="dxa"/>
            <w:shd w:val="clear" w:color="auto" w:fill="E1F2FA"/>
          </w:tcPr>
          <w:p w14:paraId="357BF10E" w14:textId="1F12DAC5"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 xml:space="preserve">PIF </w:t>
            </w:r>
          </w:p>
        </w:tc>
        <w:tc>
          <w:tcPr>
            <w:tcW w:w="8040" w:type="dxa"/>
            <w:shd w:val="clear" w:color="auto" w:fill="E1F2FA"/>
          </w:tcPr>
          <w:p w14:paraId="36A28ADC" w14:textId="77777777"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Project Identification Form </w:t>
            </w:r>
          </w:p>
        </w:tc>
      </w:tr>
      <w:tr w:rsidR="003756B5" w:rsidRPr="00CD329F" w14:paraId="793EDA94" w14:textId="77777777" w:rsidTr="3585F9A1">
        <w:trPr>
          <w:trHeight w:val="300"/>
        </w:trPr>
        <w:tc>
          <w:tcPr>
            <w:tcW w:w="1320" w:type="dxa"/>
            <w:shd w:val="clear" w:color="auto" w:fill="E1F2FA"/>
          </w:tcPr>
          <w:p w14:paraId="3B8AD3B1" w14:textId="77777777" w:rsidR="003756B5" w:rsidRPr="00E86501" w:rsidRDefault="132B7B4D" w:rsidP="00857B81">
            <w:pPr>
              <w:spacing w:line="240" w:lineRule="auto"/>
              <w:jc w:val="both"/>
              <w:rPr>
                <w:color w:val="000000" w:themeColor="text1"/>
                <w:sz w:val="16"/>
                <w:szCs w:val="16"/>
                <w:lang w:val="en-US"/>
              </w:rPr>
            </w:pPr>
            <w:r w:rsidRPr="00E86501">
              <w:rPr>
                <w:color w:val="000000" w:themeColor="text1"/>
                <w:sz w:val="16"/>
                <w:szCs w:val="16"/>
                <w:lang w:val="en-US"/>
              </w:rPr>
              <w:t>PIR </w:t>
            </w:r>
          </w:p>
        </w:tc>
        <w:tc>
          <w:tcPr>
            <w:tcW w:w="8040" w:type="dxa"/>
            <w:shd w:val="clear" w:color="auto" w:fill="E1F2FA"/>
          </w:tcPr>
          <w:p w14:paraId="57E7F8C1" w14:textId="77777777" w:rsidR="003756B5" w:rsidRPr="00E86501" w:rsidRDefault="132B7B4D"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Project Implementation Report </w:t>
            </w:r>
          </w:p>
        </w:tc>
      </w:tr>
      <w:tr w:rsidR="537FA187" w:rsidRPr="00CD329F" w14:paraId="143F0AD2" w14:textId="77777777" w:rsidTr="3585F9A1">
        <w:trPr>
          <w:trHeight w:val="300"/>
        </w:trPr>
        <w:tc>
          <w:tcPr>
            <w:tcW w:w="1320" w:type="dxa"/>
            <w:shd w:val="clear" w:color="auto" w:fill="E1F2FA"/>
          </w:tcPr>
          <w:p w14:paraId="79A2CDD6" w14:textId="443410ED" w:rsidR="685B1DF4" w:rsidRPr="00E86501" w:rsidRDefault="685B1DF4" w:rsidP="537FA187">
            <w:pPr>
              <w:spacing w:line="240" w:lineRule="auto"/>
              <w:jc w:val="both"/>
              <w:rPr>
                <w:color w:val="000000" w:themeColor="text1"/>
                <w:sz w:val="16"/>
                <w:szCs w:val="16"/>
                <w:lang w:val="en-US"/>
              </w:rPr>
            </w:pPr>
            <w:r w:rsidRPr="00E86501">
              <w:rPr>
                <w:color w:val="000000" w:themeColor="text1"/>
                <w:sz w:val="16"/>
                <w:szCs w:val="16"/>
                <w:lang w:val="en-US"/>
              </w:rPr>
              <w:t>PMU</w:t>
            </w:r>
          </w:p>
        </w:tc>
        <w:tc>
          <w:tcPr>
            <w:tcW w:w="8040" w:type="dxa"/>
            <w:shd w:val="clear" w:color="auto" w:fill="E1F2FA"/>
          </w:tcPr>
          <w:p w14:paraId="3F21D9C6" w14:textId="0AC65921" w:rsidR="685B1DF4" w:rsidRPr="00E86501" w:rsidRDefault="685B1DF4" w:rsidP="00C6418F">
            <w:pPr>
              <w:spacing w:line="271" w:lineRule="auto"/>
              <w:jc w:val="both"/>
              <w:rPr>
                <w:color w:val="000000" w:themeColor="text1"/>
                <w:sz w:val="16"/>
                <w:szCs w:val="16"/>
                <w:lang w:val="en-US"/>
              </w:rPr>
            </w:pPr>
            <w:r w:rsidRPr="00E86501">
              <w:rPr>
                <w:color w:val="000000" w:themeColor="text1"/>
                <w:sz w:val="16"/>
                <w:szCs w:val="16"/>
                <w:lang w:val="en-US"/>
              </w:rPr>
              <w:t>Project Management Unit</w:t>
            </w:r>
          </w:p>
        </w:tc>
      </w:tr>
      <w:tr w:rsidR="003756B5" w:rsidRPr="00F50786" w14:paraId="1D82F830" w14:textId="77777777" w:rsidTr="3585F9A1">
        <w:trPr>
          <w:trHeight w:val="300"/>
        </w:trPr>
        <w:tc>
          <w:tcPr>
            <w:tcW w:w="1320" w:type="dxa"/>
            <w:shd w:val="clear" w:color="auto" w:fill="E1F2FA"/>
          </w:tcPr>
          <w:p w14:paraId="7B545121" w14:textId="77777777" w:rsidR="003756B5" w:rsidRPr="00E86501" w:rsidRDefault="132B7B4D" w:rsidP="00857B81">
            <w:pPr>
              <w:spacing w:line="240" w:lineRule="auto"/>
              <w:jc w:val="both"/>
              <w:rPr>
                <w:color w:val="000000" w:themeColor="text1"/>
                <w:sz w:val="16"/>
                <w:szCs w:val="16"/>
                <w:lang w:val="en-US"/>
              </w:rPr>
            </w:pPr>
            <w:r w:rsidRPr="00E86501">
              <w:rPr>
                <w:color w:val="000000" w:themeColor="text1"/>
                <w:sz w:val="16"/>
                <w:szCs w:val="16"/>
                <w:lang w:val="en-US"/>
              </w:rPr>
              <w:t>POPP </w:t>
            </w:r>
          </w:p>
        </w:tc>
        <w:tc>
          <w:tcPr>
            <w:tcW w:w="8040" w:type="dxa"/>
            <w:shd w:val="clear" w:color="auto" w:fill="E1F2FA"/>
          </w:tcPr>
          <w:p w14:paraId="6CB95872" w14:textId="77777777" w:rsidR="003756B5" w:rsidRPr="00E86501" w:rsidRDefault="132B7B4D" w:rsidP="00857B81">
            <w:pPr>
              <w:keepNext/>
              <w:pBdr>
                <w:top w:val="single" w:sz="4" w:space="1" w:color="000000"/>
              </w:pBdr>
              <w:spacing w:line="271" w:lineRule="auto"/>
              <w:jc w:val="both"/>
              <w:rPr>
                <w:color w:val="000000" w:themeColor="text1"/>
                <w:sz w:val="16"/>
                <w:szCs w:val="16"/>
                <w:lang w:val="en-US"/>
              </w:rPr>
            </w:pPr>
            <w:proofErr w:type="spellStart"/>
            <w:r w:rsidRPr="00E86501">
              <w:rPr>
                <w:color w:val="000000" w:themeColor="text1"/>
                <w:sz w:val="16"/>
                <w:szCs w:val="16"/>
                <w:lang w:val="en-US"/>
              </w:rPr>
              <w:t>Programme</w:t>
            </w:r>
            <w:proofErr w:type="spellEnd"/>
            <w:r w:rsidRPr="00E86501">
              <w:rPr>
                <w:color w:val="000000" w:themeColor="text1"/>
                <w:sz w:val="16"/>
                <w:szCs w:val="16"/>
                <w:lang w:val="en-US"/>
              </w:rPr>
              <w:t xml:space="preserve"> and Operations Policies and Procedures </w:t>
            </w:r>
          </w:p>
        </w:tc>
      </w:tr>
      <w:tr w:rsidR="537FA187" w:rsidRPr="00CD329F" w14:paraId="732DCBB3" w14:textId="77777777" w:rsidTr="3585F9A1">
        <w:trPr>
          <w:trHeight w:val="300"/>
        </w:trPr>
        <w:tc>
          <w:tcPr>
            <w:tcW w:w="1320" w:type="dxa"/>
            <w:shd w:val="clear" w:color="auto" w:fill="E1F2FA"/>
          </w:tcPr>
          <w:p w14:paraId="1D6F68A2" w14:textId="63D8CBA4" w:rsidR="4071F653" w:rsidRPr="00E86501" w:rsidRDefault="4071F653" w:rsidP="537FA187">
            <w:pPr>
              <w:spacing w:line="240" w:lineRule="auto"/>
              <w:jc w:val="both"/>
              <w:rPr>
                <w:color w:val="000000" w:themeColor="text1"/>
                <w:sz w:val="16"/>
                <w:szCs w:val="16"/>
                <w:lang w:val="en-US"/>
              </w:rPr>
            </w:pPr>
            <w:r w:rsidRPr="00E86501">
              <w:rPr>
                <w:color w:val="000000" w:themeColor="text1"/>
                <w:sz w:val="16"/>
                <w:szCs w:val="16"/>
                <w:lang w:val="en-US"/>
              </w:rPr>
              <w:t>PPP</w:t>
            </w:r>
          </w:p>
        </w:tc>
        <w:tc>
          <w:tcPr>
            <w:tcW w:w="8040" w:type="dxa"/>
            <w:shd w:val="clear" w:color="auto" w:fill="E1F2FA"/>
          </w:tcPr>
          <w:p w14:paraId="04FA19C7" w14:textId="60A6E0F5" w:rsidR="4071F653" w:rsidRPr="00E86501" w:rsidRDefault="4071F653" w:rsidP="00C6418F">
            <w:pPr>
              <w:spacing w:line="271" w:lineRule="auto"/>
              <w:jc w:val="both"/>
              <w:rPr>
                <w:color w:val="000000" w:themeColor="text1"/>
                <w:sz w:val="16"/>
                <w:szCs w:val="16"/>
                <w:lang w:val="en-US"/>
              </w:rPr>
            </w:pPr>
            <w:r w:rsidRPr="00E86501">
              <w:rPr>
                <w:color w:val="000000" w:themeColor="text1"/>
                <w:sz w:val="16"/>
                <w:szCs w:val="16"/>
                <w:lang w:val="en-US"/>
              </w:rPr>
              <w:t xml:space="preserve">Public-Private Partnerships </w:t>
            </w:r>
          </w:p>
        </w:tc>
      </w:tr>
      <w:tr w:rsidR="003756B5" w:rsidRPr="00CD329F" w14:paraId="2C9EBF96" w14:textId="77777777" w:rsidTr="3585F9A1">
        <w:trPr>
          <w:trHeight w:val="300"/>
        </w:trPr>
        <w:tc>
          <w:tcPr>
            <w:tcW w:w="1320" w:type="dxa"/>
            <w:shd w:val="clear" w:color="auto" w:fill="E1F2FA"/>
          </w:tcPr>
          <w:p w14:paraId="44781D22" w14:textId="77777777" w:rsidR="003756B5" w:rsidRPr="00E86501" w:rsidRDefault="132B7B4D" w:rsidP="00857B81">
            <w:pPr>
              <w:spacing w:line="240" w:lineRule="auto"/>
              <w:jc w:val="both"/>
              <w:rPr>
                <w:color w:val="000000" w:themeColor="text1"/>
                <w:sz w:val="16"/>
                <w:szCs w:val="16"/>
                <w:lang w:val="en-US"/>
              </w:rPr>
            </w:pPr>
            <w:r w:rsidRPr="00E86501">
              <w:rPr>
                <w:color w:val="000000" w:themeColor="text1"/>
                <w:sz w:val="16"/>
                <w:szCs w:val="16"/>
                <w:lang w:val="en-US"/>
              </w:rPr>
              <w:t>PRTD </w:t>
            </w:r>
          </w:p>
        </w:tc>
        <w:tc>
          <w:tcPr>
            <w:tcW w:w="8040" w:type="dxa"/>
            <w:shd w:val="clear" w:color="auto" w:fill="E1F2FA"/>
          </w:tcPr>
          <w:p w14:paraId="4F027712" w14:textId="77E24C60" w:rsidR="003756B5" w:rsidRPr="00E86501" w:rsidRDefault="132B7B4D"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 xml:space="preserve">Degraded Land Restoration Project in </w:t>
            </w:r>
            <w:r w:rsidR="5441398E" w:rsidRPr="00E86501">
              <w:rPr>
                <w:color w:val="000000" w:themeColor="text1"/>
                <w:sz w:val="16"/>
                <w:szCs w:val="16"/>
                <w:lang w:val="en-US"/>
              </w:rPr>
              <w:t>Mali (</w:t>
            </w:r>
            <w:proofErr w:type="spellStart"/>
            <w:r w:rsidR="7A483615" w:rsidRPr="00E86501">
              <w:rPr>
                <w:color w:val="000000" w:themeColor="text1"/>
                <w:sz w:val="16"/>
                <w:szCs w:val="16"/>
                <w:lang w:val="en-US"/>
              </w:rPr>
              <w:t>Projet</w:t>
            </w:r>
            <w:proofErr w:type="spellEnd"/>
            <w:r w:rsidR="7A483615" w:rsidRPr="00E86501">
              <w:rPr>
                <w:color w:val="000000" w:themeColor="text1"/>
                <w:sz w:val="16"/>
                <w:szCs w:val="16"/>
                <w:lang w:val="en-US"/>
              </w:rPr>
              <w:t xml:space="preserve"> de Restauration des </w:t>
            </w:r>
            <w:proofErr w:type="spellStart"/>
            <w:r w:rsidR="7A483615" w:rsidRPr="00E86501">
              <w:rPr>
                <w:color w:val="000000" w:themeColor="text1"/>
                <w:sz w:val="16"/>
                <w:szCs w:val="16"/>
                <w:lang w:val="en-US"/>
              </w:rPr>
              <w:t>terres</w:t>
            </w:r>
            <w:proofErr w:type="spellEnd"/>
            <w:r w:rsidR="7A483615" w:rsidRPr="00E86501">
              <w:rPr>
                <w:color w:val="000000" w:themeColor="text1"/>
                <w:sz w:val="16"/>
                <w:szCs w:val="16"/>
                <w:lang w:val="en-US"/>
              </w:rPr>
              <w:t xml:space="preserve"> </w:t>
            </w:r>
            <w:r w:rsidR="00667B5E" w:rsidRPr="00E86501">
              <w:rPr>
                <w:color w:val="000000" w:themeColor="text1"/>
                <w:sz w:val="16"/>
                <w:szCs w:val="16"/>
                <w:lang w:val="en-US"/>
              </w:rPr>
              <w:t>degradable</w:t>
            </w:r>
            <w:r w:rsidR="7A483615" w:rsidRPr="00E86501">
              <w:rPr>
                <w:color w:val="000000" w:themeColor="text1"/>
                <w:sz w:val="16"/>
                <w:szCs w:val="16"/>
                <w:lang w:val="en-US"/>
              </w:rPr>
              <w:t>)</w:t>
            </w:r>
          </w:p>
        </w:tc>
      </w:tr>
      <w:tr w:rsidR="003756B5" w:rsidRPr="00CD329F" w14:paraId="4AFD5368" w14:textId="77777777" w:rsidTr="3585F9A1">
        <w:trPr>
          <w:trHeight w:val="300"/>
        </w:trPr>
        <w:tc>
          <w:tcPr>
            <w:tcW w:w="1320" w:type="dxa"/>
            <w:shd w:val="clear" w:color="auto" w:fill="E1F2FA"/>
          </w:tcPr>
          <w:p w14:paraId="6128B35C" w14:textId="77777777" w:rsidR="003756B5" w:rsidRPr="00E86501" w:rsidRDefault="132B7B4D" w:rsidP="00857B81">
            <w:pPr>
              <w:spacing w:line="240" w:lineRule="auto"/>
              <w:jc w:val="both"/>
              <w:rPr>
                <w:color w:val="000000" w:themeColor="text1"/>
                <w:sz w:val="16"/>
                <w:szCs w:val="16"/>
                <w:lang w:val="en-US"/>
              </w:rPr>
            </w:pPr>
            <w:r w:rsidRPr="00E86501">
              <w:rPr>
                <w:color w:val="000000" w:themeColor="text1"/>
                <w:sz w:val="16"/>
                <w:szCs w:val="16"/>
                <w:lang w:val="en-US"/>
              </w:rPr>
              <w:t>PRUBA </w:t>
            </w:r>
          </w:p>
        </w:tc>
        <w:tc>
          <w:tcPr>
            <w:tcW w:w="8040" w:type="dxa"/>
            <w:shd w:val="clear" w:color="auto" w:fill="E1F2FA"/>
          </w:tcPr>
          <w:p w14:paraId="7175B067" w14:textId="77777777" w:rsidR="003756B5" w:rsidRPr="00E86501" w:rsidRDefault="132B7B4D"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Bamako Urban Resilience Project </w:t>
            </w:r>
          </w:p>
        </w:tc>
      </w:tr>
      <w:tr w:rsidR="003756B5" w:rsidRPr="00F50786" w14:paraId="6A4A40CD" w14:textId="77777777" w:rsidTr="3585F9A1">
        <w:trPr>
          <w:trHeight w:val="300"/>
        </w:trPr>
        <w:tc>
          <w:tcPr>
            <w:tcW w:w="1320" w:type="dxa"/>
            <w:shd w:val="clear" w:color="auto" w:fill="E1F2FA"/>
          </w:tcPr>
          <w:p w14:paraId="73759D83" w14:textId="77777777" w:rsidR="003756B5" w:rsidRPr="00E86501" w:rsidRDefault="132B7B4D" w:rsidP="00857B81">
            <w:pPr>
              <w:spacing w:line="240" w:lineRule="auto"/>
              <w:jc w:val="both"/>
              <w:rPr>
                <w:color w:val="000000" w:themeColor="text1"/>
                <w:sz w:val="16"/>
                <w:szCs w:val="16"/>
                <w:lang w:val="en-US"/>
              </w:rPr>
            </w:pPr>
            <w:r w:rsidRPr="00E86501">
              <w:rPr>
                <w:color w:val="000000" w:themeColor="text1"/>
                <w:sz w:val="16"/>
                <w:szCs w:val="16"/>
                <w:lang w:val="en-US"/>
              </w:rPr>
              <w:t>PSLPR </w:t>
            </w:r>
          </w:p>
        </w:tc>
        <w:tc>
          <w:tcPr>
            <w:tcW w:w="8040" w:type="dxa"/>
            <w:shd w:val="clear" w:color="auto" w:fill="E1F2FA"/>
          </w:tcPr>
          <w:p w14:paraId="0228978A" w14:textId="77777777" w:rsidR="003756B5" w:rsidRPr="00E86501" w:rsidRDefault="132B7B4D"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Permanent Secretariat for Land and Property Reform  </w:t>
            </w:r>
          </w:p>
        </w:tc>
      </w:tr>
      <w:tr w:rsidR="003756B5" w:rsidRPr="00CD329F" w14:paraId="69B24E4C" w14:textId="77777777" w:rsidTr="3585F9A1">
        <w:trPr>
          <w:trHeight w:val="300"/>
        </w:trPr>
        <w:tc>
          <w:tcPr>
            <w:tcW w:w="1320" w:type="dxa"/>
            <w:shd w:val="clear" w:color="auto" w:fill="E1F2FA"/>
          </w:tcPr>
          <w:p w14:paraId="3DA4F71B" w14:textId="77777777" w:rsidR="003756B5" w:rsidRPr="00E86501" w:rsidRDefault="132B7B4D" w:rsidP="00857B81">
            <w:pPr>
              <w:spacing w:line="240" w:lineRule="auto"/>
              <w:jc w:val="both"/>
              <w:rPr>
                <w:color w:val="000000" w:themeColor="text1"/>
                <w:sz w:val="16"/>
                <w:szCs w:val="16"/>
                <w:lang w:val="en-US"/>
              </w:rPr>
            </w:pPr>
            <w:r w:rsidRPr="00E86501">
              <w:rPr>
                <w:color w:val="000000" w:themeColor="text1"/>
                <w:sz w:val="16"/>
                <w:szCs w:val="16"/>
                <w:lang w:val="en-US"/>
              </w:rPr>
              <w:t>PPG </w:t>
            </w:r>
          </w:p>
        </w:tc>
        <w:tc>
          <w:tcPr>
            <w:tcW w:w="8040" w:type="dxa"/>
            <w:shd w:val="clear" w:color="auto" w:fill="E1F2FA"/>
          </w:tcPr>
          <w:p w14:paraId="7CA8903C" w14:textId="77777777" w:rsidR="003756B5" w:rsidRPr="00E86501" w:rsidRDefault="132B7B4D"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Project Preparation Grant </w:t>
            </w:r>
          </w:p>
        </w:tc>
      </w:tr>
      <w:tr w:rsidR="537FA187" w:rsidRPr="00F50786" w14:paraId="1020ABD3" w14:textId="77777777" w:rsidTr="3585F9A1">
        <w:trPr>
          <w:trHeight w:val="300"/>
        </w:trPr>
        <w:tc>
          <w:tcPr>
            <w:tcW w:w="1320" w:type="dxa"/>
            <w:shd w:val="clear" w:color="auto" w:fill="E1F2FA"/>
          </w:tcPr>
          <w:p w14:paraId="3DCA7B83" w14:textId="1AE0A60F"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RDA-BKO </w:t>
            </w:r>
          </w:p>
        </w:tc>
        <w:tc>
          <w:tcPr>
            <w:tcW w:w="8040" w:type="dxa"/>
            <w:shd w:val="clear" w:color="auto" w:fill="E1F2FA"/>
          </w:tcPr>
          <w:p w14:paraId="557AABD1" w14:textId="6700724E"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Regional Development Agency  </w:t>
            </w:r>
            <w:r w:rsidR="0B5CCBF2" w:rsidRPr="00E86501">
              <w:rPr>
                <w:color w:val="000000" w:themeColor="text1"/>
                <w:sz w:val="16"/>
                <w:szCs w:val="16"/>
                <w:lang w:val="en-US"/>
              </w:rPr>
              <w:t xml:space="preserve"> in Bamako</w:t>
            </w:r>
            <w:r w:rsidR="1BC66077" w:rsidRPr="00E86501">
              <w:rPr>
                <w:color w:val="000000" w:themeColor="text1"/>
                <w:sz w:val="16"/>
                <w:szCs w:val="16"/>
                <w:lang w:val="en-US"/>
              </w:rPr>
              <w:t xml:space="preserve">  </w:t>
            </w:r>
          </w:p>
        </w:tc>
      </w:tr>
      <w:tr w:rsidR="537FA187" w:rsidRPr="00CD329F" w14:paraId="7B55C948" w14:textId="77777777" w:rsidTr="3585F9A1">
        <w:trPr>
          <w:trHeight w:val="300"/>
        </w:trPr>
        <w:tc>
          <w:tcPr>
            <w:tcW w:w="1320" w:type="dxa"/>
            <w:shd w:val="clear" w:color="auto" w:fill="E1F2FA"/>
          </w:tcPr>
          <w:p w14:paraId="379ADFF3" w14:textId="7A3D559E" w:rsidR="16A2E3DB" w:rsidRPr="00E86501" w:rsidRDefault="16A2E3DB" w:rsidP="537FA187">
            <w:pPr>
              <w:spacing w:line="240" w:lineRule="auto"/>
              <w:jc w:val="both"/>
              <w:rPr>
                <w:color w:val="000000" w:themeColor="text1"/>
                <w:sz w:val="16"/>
                <w:szCs w:val="16"/>
                <w:lang w:val="en-US"/>
              </w:rPr>
            </w:pPr>
            <w:r w:rsidRPr="00E86501">
              <w:rPr>
                <w:color w:val="000000" w:themeColor="text1"/>
                <w:sz w:val="16"/>
                <w:szCs w:val="16"/>
                <w:lang w:val="en-US"/>
              </w:rPr>
              <w:t>REDS</w:t>
            </w:r>
          </w:p>
        </w:tc>
        <w:tc>
          <w:tcPr>
            <w:tcW w:w="8040" w:type="dxa"/>
            <w:shd w:val="clear" w:color="auto" w:fill="E1F2FA"/>
          </w:tcPr>
          <w:p w14:paraId="0A4E499B" w14:textId="24576023" w:rsidR="16A2E3DB" w:rsidRPr="00E86501" w:rsidRDefault="16A2E3DB" w:rsidP="00C6418F">
            <w:pPr>
              <w:spacing w:line="271" w:lineRule="auto"/>
              <w:jc w:val="both"/>
              <w:rPr>
                <w:color w:val="000000" w:themeColor="text1"/>
                <w:sz w:val="16"/>
                <w:szCs w:val="16"/>
                <w:lang w:val="en-US"/>
              </w:rPr>
            </w:pPr>
            <w:r w:rsidRPr="00E86501">
              <w:rPr>
                <w:color w:val="000000" w:themeColor="text1"/>
                <w:sz w:val="16"/>
                <w:szCs w:val="16"/>
                <w:lang w:val="en-US"/>
              </w:rPr>
              <w:t>Renewable Energy Development Strategy</w:t>
            </w:r>
          </w:p>
        </w:tc>
      </w:tr>
      <w:tr w:rsidR="537FA187" w:rsidRPr="00CD329F" w14:paraId="7136199D" w14:textId="77777777" w:rsidTr="3585F9A1">
        <w:trPr>
          <w:trHeight w:val="300"/>
        </w:trPr>
        <w:tc>
          <w:tcPr>
            <w:tcW w:w="1320" w:type="dxa"/>
            <w:shd w:val="clear" w:color="auto" w:fill="E1F2FA"/>
          </w:tcPr>
          <w:p w14:paraId="12070E66" w14:textId="509A9155"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RTC</w:t>
            </w:r>
          </w:p>
        </w:tc>
        <w:tc>
          <w:tcPr>
            <w:tcW w:w="8040" w:type="dxa"/>
            <w:shd w:val="clear" w:color="auto" w:fill="E1F2FA"/>
          </w:tcPr>
          <w:p w14:paraId="6447F744" w14:textId="77777777"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Road Traffic Company </w:t>
            </w:r>
          </w:p>
        </w:tc>
      </w:tr>
      <w:tr w:rsidR="537FA187" w:rsidRPr="00CD329F" w14:paraId="6A36FA0F" w14:textId="77777777" w:rsidTr="00857B81">
        <w:trPr>
          <w:trHeight w:val="165"/>
        </w:trPr>
        <w:tc>
          <w:tcPr>
            <w:tcW w:w="13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1F2FA"/>
          </w:tcPr>
          <w:p w14:paraId="47341066" w14:textId="172E032A" w:rsidR="6B08A9CE" w:rsidRPr="00E86501" w:rsidRDefault="6B08A9CE" w:rsidP="537FA187">
            <w:pPr>
              <w:spacing w:line="240" w:lineRule="auto"/>
              <w:jc w:val="both"/>
              <w:rPr>
                <w:color w:val="000000" w:themeColor="text1"/>
                <w:sz w:val="16"/>
                <w:szCs w:val="16"/>
                <w:lang w:val="en-US"/>
              </w:rPr>
            </w:pPr>
            <w:r w:rsidRPr="00E86501">
              <w:rPr>
                <w:color w:val="000000" w:themeColor="text1"/>
                <w:sz w:val="16"/>
                <w:szCs w:val="16"/>
                <w:lang w:val="en-US"/>
              </w:rPr>
              <w:t xml:space="preserve"> SCIP</w:t>
            </w:r>
          </w:p>
        </w:tc>
        <w:tc>
          <w:tcPr>
            <w:tcW w:w="80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1F2FA"/>
          </w:tcPr>
          <w:p w14:paraId="11F6FE1B" w14:textId="3E1EC4E0" w:rsidR="6B08A9CE" w:rsidRPr="00E86501" w:rsidRDefault="6B08A9CE" w:rsidP="537FA187">
            <w:pPr>
              <w:spacing w:line="240" w:lineRule="auto"/>
              <w:rPr>
                <w:color w:val="000000" w:themeColor="text1"/>
                <w:sz w:val="16"/>
                <w:szCs w:val="16"/>
                <w:lang w:val="en-US"/>
              </w:rPr>
            </w:pPr>
            <w:r w:rsidRPr="00E86501">
              <w:rPr>
                <w:color w:val="000000" w:themeColor="text1"/>
                <w:sz w:val="16"/>
                <w:szCs w:val="16"/>
                <w:lang w:val="en-US"/>
              </w:rPr>
              <w:t xml:space="preserve">Sustainable Cities Integrated </w:t>
            </w:r>
            <w:proofErr w:type="spellStart"/>
            <w:r w:rsidRPr="00E86501">
              <w:rPr>
                <w:color w:val="000000" w:themeColor="text1"/>
                <w:sz w:val="16"/>
                <w:szCs w:val="16"/>
                <w:lang w:val="en-US"/>
              </w:rPr>
              <w:t>Programme</w:t>
            </w:r>
            <w:proofErr w:type="spellEnd"/>
          </w:p>
        </w:tc>
      </w:tr>
      <w:tr w:rsidR="537FA187" w:rsidRPr="00F50786" w14:paraId="3CCCA5FF" w14:textId="77777777" w:rsidTr="00857B81">
        <w:trPr>
          <w:trHeight w:val="319"/>
        </w:trPr>
        <w:tc>
          <w:tcPr>
            <w:tcW w:w="13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1F2FA"/>
          </w:tcPr>
          <w:p w14:paraId="132CB5DC" w14:textId="28315996" w:rsidR="774EFA66" w:rsidRPr="00E86501" w:rsidRDefault="774EFA66" w:rsidP="537FA187">
            <w:pPr>
              <w:spacing w:line="240" w:lineRule="auto"/>
              <w:jc w:val="both"/>
              <w:rPr>
                <w:color w:val="000000" w:themeColor="text1"/>
                <w:sz w:val="16"/>
                <w:szCs w:val="16"/>
                <w:lang w:val="en-US"/>
              </w:rPr>
            </w:pPr>
            <w:r w:rsidRPr="00E86501">
              <w:rPr>
                <w:color w:val="000000" w:themeColor="text1"/>
                <w:sz w:val="16"/>
                <w:szCs w:val="16"/>
                <w:lang w:val="en-US"/>
              </w:rPr>
              <w:t>SECAAP</w:t>
            </w:r>
          </w:p>
        </w:tc>
        <w:tc>
          <w:tcPr>
            <w:tcW w:w="80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1F2FA"/>
          </w:tcPr>
          <w:p w14:paraId="7860F037" w14:textId="72A4C758" w:rsidR="774EFA66" w:rsidRPr="00E86501" w:rsidRDefault="774EFA66" w:rsidP="537FA187">
            <w:pPr>
              <w:spacing w:line="240" w:lineRule="auto"/>
              <w:rPr>
                <w:color w:val="000000" w:themeColor="text1"/>
                <w:sz w:val="16"/>
                <w:szCs w:val="16"/>
                <w:lang w:val="en-US"/>
              </w:rPr>
            </w:pPr>
            <w:r w:rsidRPr="00E86501">
              <w:rPr>
                <w:color w:val="000000" w:themeColor="text1"/>
                <w:sz w:val="16"/>
                <w:szCs w:val="16"/>
                <w:lang w:val="en-US"/>
              </w:rPr>
              <w:t>Sustainable Energy and Climate Access Action Plan in Bamako District</w:t>
            </w:r>
          </w:p>
        </w:tc>
      </w:tr>
      <w:tr w:rsidR="537FA187" w:rsidRPr="00F50786" w14:paraId="09F2ED66" w14:textId="77777777" w:rsidTr="00857B81">
        <w:trPr>
          <w:trHeight w:val="331"/>
        </w:trPr>
        <w:tc>
          <w:tcPr>
            <w:tcW w:w="13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1F2FA"/>
          </w:tcPr>
          <w:p w14:paraId="14D7E827" w14:textId="4FEB0CB0" w:rsidR="2E1F73B9" w:rsidRPr="00E86501" w:rsidRDefault="2E1F73B9" w:rsidP="537FA187">
            <w:pPr>
              <w:spacing w:line="240" w:lineRule="auto"/>
              <w:jc w:val="both"/>
              <w:rPr>
                <w:color w:val="000000" w:themeColor="text1"/>
                <w:sz w:val="16"/>
                <w:szCs w:val="16"/>
                <w:lang w:val="en-US"/>
              </w:rPr>
            </w:pPr>
            <w:r w:rsidRPr="00E86501">
              <w:rPr>
                <w:color w:val="000000" w:themeColor="text1"/>
                <w:sz w:val="16"/>
                <w:szCs w:val="16"/>
                <w:lang w:val="en-US"/>
              </w:rPr>
              <w:t>SEM</w:t>
            </w:r>
          </w:p>
        </w:tc>
        <w:tc>
          <w:tcPr>
            <w:tcW w:w="80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1F2FA"/>
          </w:tcPr>
          <w:p w14:paraId="5F5A8FA6" w14:textId="172967B4" w:rsidR="2E1F73B9" w:rsidRPr="00E86501" w:rsidRDefault="2E1F73B9" w:rsidP="537FA187">
            <w:pPr>
              <w:spacing w:after="0" w:line="240" w:lineRule="auto"/>
              <w:rPr>
                <w:color w:val="000000" w:themeColor="text1"/>
                <w:sz w:val="16"/>
                <w:szCs w:val="16"/>
                <w:lang w:val="en-US"/>
              </w:rPr>
            </w:pPr>
            <w:r w:rsidRPr="00E86501">
              <w:rPr>
                <w:color w:val="000000" w:themeColor="text1"/>
                <w:sz w:val="16"/>
                <w:szCs w:val="16"/>
                <w:lang w:val="en-US"/>
              </w:rPr>
              <w:t>Strategy for the development of Energy Management</w:t>
            </w:r>
          </w:p>
        </w:tc>
      </w:tr>
      <w:tr w:rsidR="537FA187" w:rsidRPr="00F50786" w14:paraId="660F0844" w14:textId="77777777" w:rsidTr="00857B81">
        <w:trPr>
          <w:trHeight w:val="343"/>
        </w:trPr>
        <w:tc>
          <w:tcPr>
            <w:tcW w:w="13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1F2FA"/>
          </w:tcPr>
          <w:p w14:paraId="571CBFF8" w14:textId="7B3C2A6E" w:rsidR="52BDD45E" w:rsidRPr="00E86501" w:rsidRDefault="52BDD45E" w:rsidP="537FA187">
            <w:pPr>
              <w:spacing w:line="240" w:lineRule="auto"/>
              <w:jc w:val="both"/>
              <w:rPr>
                <w:color w:val="000000" w:themeColor="text1"/>
                <w:sz w:val="16"/>
                <w:szCs w:val="16"/>
                <w:lang w:val="en-US"/>
              </w:rPr>
            </w:pPr>
            <w:r w:rsidRPr="00E86501">
              <w:rPr>
                <w:color w:val="000000" w:themeColor="text1"/>
                <w:sz w:val="16"/>
                <w:szCs w:val="16"/>
                <w:lang w:val="en-US"/>
              </w:rPr>
              <w:t>SFERSD</w:t>
            </w:r>
          </w:p>
        </w:tc>
        <w:tc>
          <w:tcPr>
            <w:tcW w:w="80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1F2FA"/>
          </w:tcPr>
          <w:p w14:paraId="03588782" w14:textId="0EA63CA8" w:rsidR="537FA187" w:rsidRPr="00E86501" w:rsidRDefault="52BDD45E" w:rsidP="00857B81">
            <w:pPr>
              <w:pBdr>
                <w:top w:val="nil"/>
                <w:left w:val="nil"/>
                <w:bottom w:val="nil"/>
                <w:right w:val="nil"/>
                <w:between w:val="nil"/>
              </w:pBdr>
              <w:spacing w:after="0" w:line="240" w:lineRule="auto"/>
              <w:rPr>
                <w:color w:val="000000" w:themeColor="text1"/>
                <w:sz w:val="16"/>
                <w:szCs w:val="16"/>
                <w:lang w:val="en-US"/>
              </w:rPr>
            </w:pPr>
            <w:r w:rsidRPr="00E86501">
              <w:rPr>
                <w:color w:val="000000" w:themeColor="text1"/>
                <w:sz w:val="16"/>
                <w:szCs w:val="16"/>
                <w:lang w:val="en-US"/>
              </w:rPr>
              <w:t>The Strategic Framework for Economic Recovery and Sustainable Development</w:t>
            </w:r>
          </w:p>
        </w:tc>
      </w:tr>
      <w:tr w:rsidR="537FA187" w:rsidRPr="00CD329F" w14:paraId="1340C636" w14:textId="77777777" w:rsidTr="3585F9A1">
        <w:trPr>
          <w:trHeight w:val="300"/>
        </w:trPr>
        <w:tc>
          <w:tcPr>
            <w:tcW w:w="1320" w:type="dxa"/>
            <w:shd w:val="clear" w:color="auto" w:fill="E1F2FA"/>
          </w:tcPr>
          <w:p w14:paraId="02CD6948" w14:textId="6D4ADCC3" w:rsidR="20A31FAD" w:rsidRPr="00E86501" w:rsidRDefault="20A31FAD" w:rsidP="00C6418F">
            <w:pPr>
              <w:spacing w:line="240" w:lineRule="auto"/>
              <w:jc w:val="both"/>
              <w:rPr>
                <w:color w:val="000000" w:themeColor="text1"/>
                <w:sz w:val="16"/>
                <w:szCs w:val="16"/>
                <w:lang w:val="en-US"/>
              </w:rPr>
            </w:pPr>
            <w:r w:rsidRPr="00E86501">
              <w:rPr>
                <w:color w:val="000000" w:themeColor="text1"/>
                <w:sz w:val="16"/>
                <w:szCs w:val="16"/>
                <w:lang w:val="en-US"/>
              </w:rPr>
              <w:t>SLM</w:t>
            </w:r>
          </w:p>
        </w:tc>
        <w:tc>
          <w:tcPr>
            <w:tcW w:w="8040" w:type="dxa"/>
            <w:shd w:val="clear" w:color="auto" w:fill="E1F2FA"/>
          </w:tcPr>
          <w:p w14:paraId="66EAD4AC" w14:textId="0D1C52A7" w:rsidR="20A31FAD" w:rsidRPr="00E86501" w:rsidRDefault="20A31FAD" w:rsidP="537FA187">
            <w:pPr>
              <w:spacing w:line="271" w:lineRule="auto"/>
              <w:jc w:val="both"/>
              <w:rPr>
                <w:color w:val="000000" w:themeColor="text1"/>
                <w:sz w:val="16"/>
                <w:szCs w:val="16"/>
                <w:lang w:val="en-US"/>
              </w:rPr>
            </w:pPr>
            <w:r w:rsidRPr="00E86501">
              <w:rPr>
                <w:color w:val="000000" w:themeColor="text1"/>
                <w:sz w:val="16"/>
                <w:szCs w:val="16"/>
                <w:lang w:val="en-US"/>
              </w:rPr>
              <w:t xml:space="preserve">Sustainable Land Management </w:t>
            </w:r>
          </w:p>
        </w:tc>
      </w:tr>
      <w:tr w:rsidR="537FA187" w:rsidRPr="00CD329F" w14:paraId="0BB48EB4" w14:textId="77777777" w:rsidTr="3585F9A1">
        <w:trPr>
          <w:trHeight w:val="300"/>
        </w:trPr>
        <w:tc>
          <w:tcPr>
            <w:tcW w:w="1320" w:type="dxa"/>
            <w:shd w:val="clear" w:color="auto" w:fill="E1F2FA"/>
          </w:tcPr>
          <w:p w14:paraId="4EBEBF37" w14:textId="09F1DFD9" w:rsidR="1FBA77C8" w:rsidRPr="00E86501" w:rsidRDefault="1FBA77C8" w:rsidP="537FA187">
            <w:pPr>
              <w:spacing w:line="240" w:lineRule="auto"/>
              <w:jc w:val="both"/>
              <w:rPr>
                <w:color w:val="000000" w:themeColor="text1"/>
                <w:sz w:val="16"/>
                <w:szCs w:val="16"/>
                <w:lang w:val="en-US"/>
              </w:rPr>
            </w:pPr>
            <w:r w:rsidRPr="00E86501">
              <w:rPr>
                <w:color w:val="000000" w:themeColor="text1"/>
                <w:sz w:val="16"/>
                <w:szCs w:val="16"/>
                <w:lang w:val="en-US"/>
              </w:rPr>
              <w:t>SME</w:t>
            </w:r>
          </w:p>
        </w:tc>
        <w:tc>
          <w:tcPr>
            <w:tcW w:w="8040" w:type="dxa"/>
            <w:shd w:val="clear" w:color="auto" w:fill="E1F2FA"/>
          </w:tcPr>
          <w:p w14:paraId="15BDC29E" w14:textId="0DD72F94" w:rsidR="1FBA77C8" w:rsidRPr="00E86501" w:rsidRDefault="1FBA77C8" w:rsidP="537FA187">
            <w:pPr>
              <w:spacing w:line="271" w:lineRule="auto"/>
              <w:jc w:val="both"/>
              <w:rPr>
                <w:color w:val="000000" w:themeColor="text1"/>
                <w:sz w:val="16"/>
                <w:szCs w:val="16"/>
                <w:lang w:val="en-US"/>
              </w:rPr>
            </w:pPr>
            <w:r w:rsidRPr="00E86501">
              <w:rPr>
                <w:color w:val="000000" w:themeColor="text1"/>
                <w:sz w:val="16"/>
                <w:szCs w:val="16"/>
                <w:lang w:val="en-US"/>
              </w:rPr>
              <w:t>Small and Medium Entreprises</w:t>
            </w:r>
          </w:p>
        </w:tc>
      </w:tr>
      <w:tr w:rsidR="003756B5" w:rsidRPr="00F50786" w14:paraId="79106C73" w14:textId="77777777" w:rsidTr="3585F9A1">
        <w:trPr>
          <w:trHeight w:val="300"/>
        </w:trPr>
        <w:tc>
          <w:tcPr>
            <w:tcW w:w="1320" w:type="dxa"/>
            <w:shd w:val="clear" w:color="auto" w:fill="E1F2FA"/>
          </w:tcPr>
          <w:p w14:paraId="7872A73A" w14:textId="77777777" w:rsidR="003756B5" w:rsidRPr="00E86501" w:rsidRDefault="132B7B4D" w:rsidP="00857B81">
            <w:pPr>
              <w:spacing w:line="240" w:lineRule="auto"/>
              <w:jc w:val="both"/>
              <w:rPr>
                <w:color w:val="000000" w:themeColor="text1"/>
                <w:sz w:val="16"/>
                <w:szCs w:val="16"/>
                <w:lang w:val="en-US"/>
              </w:rPr>
            </w:pPr>
            <w:r w:rsidRPr="00E86501">
              <w:rPr>
                <w:color w:val="000000" w:themeColor="text1"/>
                <w:sz w:val="16"/>
                <w:szCs w:val="16"/>
                <w:lang w:val="en-US"/>
              </w:rPr>
              <w:t>STAP </w:t>
            </w:r>
          </w:p>
        </w:tc>
        <w:tc>
          <w:tcPr>
            <w:tcW w:w="8040" w:type="dxa"/>
            <w:shd w:val="clear" w:color="auto" w:fill="E1F2FA"/>
          </w:tcPr>
          <w:p w14:paraId="6186524E" w14:textId="77777777" w:rsidR="003756B5" w:rsidRPr="00E86501" w:rsidRDefault="132B7B4D"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GEF Scientific Technical Advisory Panel </w:t>
            </w:r>
          </w:p>
        </w:tc>
      </w:tr>
      <w:tr w:rsidR="537FA187" w:rsidRPr="00CD329F" w14:paraId="2562241D" w14:textId="77777777" w:rsidTr="3585F9A1">
        <w:trPr>
          <w:trHeight w:val="300"/>
        </w:trPr>
        <w:tc>
          <w:tcPr>
            <w:tcW w:w="1320" w:type="dxa"/>
            <w:shd w:val="clear" w:color="auto" w:fill="E1F2FA"/>
          </w:tcPr>
          <w:p w14:paraId="408BE796" w14:textId="5E998D54" w:rsidR="5DE9255D" w:rsidRPr="00E86501" w:rsidRDefault="5DE9255D" w:rsidP="537FA187">
            <w:pPr>
              <w:spacing w:line="240" w:lineRule="auto"/>
              <w:jc w:val="both"/>
              <w:rPr>
                <w:color w:val="000000" w:themeColor="text1"/>
                <w:sz w:val="16"/>
                <w:szCs w:val="16"/>
                <w:lang w:val="en-US"/>
              </w:rPr>
            </w:pPr>
            <w:r w:rsidRPr="00E86501">
              <w:rPr>
                <w:color w:val="000000" w:themeColor="text1"/>
                <w:sz w:val="16"/>
                <w:szCs w:val="16"/>
                <w:lang w:val="en-US"/>
              </w:rPr>
              <w:t>SUP</w:t>
            </w:r>
          </w:p>
        </w:tc>
        <w:tc>
          <w:tcPr>
            <w:tcW w:w="8040" w:type="dxa"/>
            <w:shd w:val="clear" w:color="auto" w:fill="E1F2FA"/>
          </w:tcPr>
          <w:p w14:paraId="6D6EFC0D" w14:textId="73C9B8AF" w:rsidR="5DE9255D" w:rsidRPr="00E86501" w:rsidRDefault="5DE9255D" w:rsidP="00C6418F">
            <w:pPr>
              <w:spacing w:line="271" w:lineRule="auto"/>
              <w:jc w:val="both"/>
              <w:rPr>
                <w:color w:val="000000" w:themeColor="text1"/>
                <w:sz w:val="16"/>
                <w:szCs w:val="16"/>
                <w:lang w:val="en-US"/>
              </w:rPr>
            </w:pPr>
            <w:r w:rsidRPr="00E86501">
              <w:rPr>
                <w:color w:val="000000" w:themeColor="text1"/>
                <w:sz w:val="16"/>
                <w:szCs w:val="16"/>
                <w:lang w:val="en-US"/>
              </w:rPr>
              <w:t>Sectoral Urban Plans</w:t>
            </w:r>
          </w:p>
        </w:tc>
      </w:tr>
      <w:tr w:rsidR="537FA187" w:rsidRPr="00CD329F" w14:paraId="1E15A724" w14:textId="77777777" w:rsidTr="3585F9A1">
        <w:trPr>
          <w:trHeight w:val="300"/>
        </w:trPr>
        <w:tc>
          <w:tcPr>
            <w:tcW w:w="1320" w:type="dxa"/>
            <w:shd w:val="clear" w:color="auto" w:fill="E1F2FA"/>
          </w:tcPr>
          <w:p w14:paraId="0272285A" w14:textId="7EB06FA6" w:rsidR="2691AA35" w:rsidRPr="00E86501" w:rsidRDefault="2691AA35" w:rsidP="537FA187">
            <w:pPr>
              <w:spacing w:line="240" w:lineRule="auto"/>
              <w:jc w:val="both"/>
              <w:rPr>
                <w:color w:val="000000" w:themeColor="text1"/>
                <w:sz w:val="16"/>
                <w:szCs w:val="16"/>
                <w:lang w:val="en-US"/>
              </w:rPr>
            </w:pPr>
            <w:r w:rsidRPr="00E86501">
              <w:rPr>
                <w:color w:val="000000" w:themeColor="text1"/>
                <w:sz w:val="16"/>
                <w:szCs w:val="16"/>
                <w:lang w:val="en-US"/>
              </w:rPr>
              <w:t>TOC</w:t>
            </w:r>
          </w:p>
        </w:tc>
        <w:tc>
          <w:tcPr>
            <w:tcW w:w="8040" w:type="dxa"/>
            <w:shd w:val="clear" w:color="auto" w:fill="E1F2FA"/>
          </w:tcPr>
          <w:p w14:paraId="154C0E36" w14:textId="30A1306A" w:rsidR="2691AA35" w:rsidRPr="00E86501" w:rsidRDefault="2691AA35" w:rsidP="537FA187">
            <w:pPr>
              <w:spacing w:line="271" w:lineRule="auto"/>
              <w:jc w:val="both"/>
              <w:rPr>
                <w:color w:val="000000" w:themeColor="text1"/>
                <w:sz w:val="16"/>
                <w:szCs w:val="16"/>
                <w:lang w:val="en-US"/>
              </w:rPr>
            </w:pPr>
            <w:r w:rsidRPr="00E86501">
              <w:rPr>
                <w:color w:val="000000" w:themeColor="text1"/>
                <w:sz w:val="16"/>
                <w:szCs w:val="16"/>
                <w:lang w:val="en-US"/>
              </w:rPr>
              <w:t>Theory of Change</w:t>
            </w:r>
          </w:p>
        </w:tc>
      </w:tr>
      <w:tr w:rsidR="537FA187" w:rsidRPr="00F50786" w14:paraId="6783428D" w14:textId="77777777" w:rsidTr="3585F9A1">
        <w:trPr>
          <w:trHeight w:val="300"/>
        </w:trPr>
        <w:tc>
          <w:tcPr>
            <w:tcW w:w="1320" w:type="dxa"/>
            <w:shd w:val="clear" w:color="auto" w:fill="E1F2FA"/>
          </w:tcPr>
          <w:p w14:paraId="0F940734" w14:textId="2A1DCDB1" w:rsidR="5E35AC5E" w:rsidRPr="00E86501" w:rsidRDefault="5E35AC5E" w:rsidP="00C6418F">
            <w:pPr>
              <w:spacing w:line="240" w:lineRule="auto"/>
              <w:jc w:val="both"/>
              <w:rPr>
                <w:color w:val="000000" w:themeColor="text1"/>
                <w:sz w:val="16"/>
                <w:szCs w:val="16"/>
                <w:lang w:val="en-US"/>
              </w:rPr>
            </w:pPr>
            <w:r w:rsidRPr="00E86501">
              <w:rPr>
                <w:color w:val="000000" w:themeColor="text1"/>
                <w:sz w:val="16"/>
                <w:szCs w:val="16"/>
                <w:lang w:val="en-US"/>
              </w:rPr>
              <w:t>UCLG</w:t>
            </w:r>
          </w:p>
        </w:tc>
        <w:tc>
          <w:tcPr>
            <w:tcW w:w="8040" w:type="dxa"/>
            <w:shd w:val="clear" w:color="auto" w:fill="E1F2FA"/>
          </w:tcPr>
          <w:p w14:paraId="79F296E5" w14:textId="4CB8C17C" w:rsidR="3A9F39B7" w:rsidRPr="00E86501" w:rsidRDefault="3A9F39B7" w:rsidP="00C6418F">
            <w:pPr>
              <w:spacing w:line="271" w:lineRule="auto"/>
              <w:jc w:val="both"/>
              <w:rPr>
                <w:color w:val="000000" w:themeColor="text1"/>
                <w:sz w:val="16"/>
                <w:szCs w:val="16"/>
                <w:lang w:val="en-US"/>
              </w:rPr>
            </w:pPr>
            <w:r w:rsidRPr="00E86501">
              <w:rPr>
                <w:color w:val="000000" w:themeColor="text1"/>
                <w:sz w:val="16"/>
                <w:szCs w:val="16"/>
                <w:lang w:val="en-US"/>
              </w:rPr>
              <w:t>United Cities and Local Governments.</w:t>
            </w:r>
          </w:p>
        </w:tc>
      </w:tr>
      <w:tr w:rsidR="537FA187" w:rsidRPr="00CD329F" w14:paraId="68256F45" w14:textId="77777777" w:rsidTr="3585F9A1">
        <w:trPr>
          <w:trHeight w:val="300"/>
        </w:trPr>
        <w:tc>
          <w:tcPr>
            <w:tcW w:w="1320" w:type="dxa"/>
            <w:shd w:val="clear" w:color="auto" w:fill="E1F2FA"/>
          </w:tcPr>
          <w:p w14:paraId="6A3DEDDA" w14:textId="62EC6D3B" w:rsidR="53925198" w:rsidRPr="00E86501" w:rsidRDefault="53925198" w:rsidP="537FA187">
            <w:pPr>
              <w:spacing w:line="240" w:lineRule="auto"/>
              <w:jc w:val="both"/>
              <w:rPr>
                <w:color w:val="000000" w:themeColor="text1"/>
                <w:sz w:val="16"/>
                <w:szCs w:val="16"/>
                <w:lang w:val="en-US"/>
              </w:rPr>
            </w:pPr>
            <w:r w:rsidRPr="00E86501">
              <w:rPr>
                <w:color w:val="000000" w:themeColor="text1"/>
                <w:sz w:val="16"/>
                <w:szCs w:val="16"/>
                <w:lang w:val="en-US"/>
              </w:rPr>
              <w:t>UMP</w:t>
            </w:r>
          </w:p>
        </w:tc>
        <w:tc>
          <w:tcPr>
            <w:tcW w:w="8040" w:type="dxa"/>
            <w:shd w:val="clear" w:color="auto" w:fill="E1F2FA"/>
          </w:tcPr>
          <w:p w14:paraId="58B7A09C" w14:textId="2FB1C5F9" w:rsidR="53925198" w:rsidRPr="00E86501" w:rsidRDefault="53925198" w:rsidP="00C6418F">
            <w:pPr>
              <w:spacing w:line="271" w:lineRule="auto"/>
              <w:jc w:val="both"/>
              <w:rPr>
                <w:color w:val="000000" w:themeColor="text1"/>
                <w:sz w:val="16"/>
                <w:szCs w:val="16"/>
                <w:lang w:val="en-US"/>
              </w:rPr>
            </w:pPr>
            <w:r w:rsidRPr="00E86501">
              <w:rPr>
                <w:color w:val="000000" w:themeColor="text1"/>
                <w:sz w:val="16"/>
                <w:szCs w:val="16"/>
                <w:lang w:val="en-US"/>
              </w:rPr>
              <w:t>Urban Master Plan</w:t>
            </w:r>
          </w:p>
        </w:tc>
      </w:tr>
      <w:tr w:rsidR="003756B5" w:rsidRPr="00CD329F" w14:paraId="1EF449EB" w14:textId="77777777" w:rsidTr="3585F9A1">
        <w:trPr>
          <w:trHeight w:val="300"/>
        </w:trPr>
        <w:tc>
          <w:tcPr>
            <w:tcW w:w="1320" w:type="dxa"/>
            <w:shd w:val="clear" w:color="auto" w:fill="E1F2FA"/>
          </w:tcPr>
          <w:p w14:paraId="061D6A1F" w14:textId="7A19B4C4" w:rsidR="003756B5" w:rsidRPr="00E86501" w:rsidRDefault="132B7B4D" w:rsidP="00857B81">
            <w:pPr>
              <w:spacing w:line="240" w:lineRule="auto"/>
              <w:jc w:val="both"/>
              <w:rPr>
                <w:color w:val="000000" w:themeColor="text1"/>
                <w:sz w:val="16"/>
                <w:szCs w:val="16"/>
                <w:lang w:val="en-US"/>
              </w:rPr>
            </w:pPr>
            <w:r w:rsidRPr="00E86501">
              <w:rPr>
                <w:color w:val="000000" w:themeColor="text1"/>
                <w:sz w:val="16"/>
                <w:szCs w:val="16"/>
                <w:lang w:val="en-US"/>
              </w:rPr>
              <w:t>UNDP</w:t>
            </w:r>
          </w:p>
        </w:tc>
        <w:tc>
          <w:tcPr>
            <w:tcW w:w="8040" w:type="dxa"/>
            <w:shd w:val="clear" w:color="auto" w:fill="E1F2FA"/>
          </w:tcPr>
          <w:p w14:paraId="317CE1EF" w14:textId="52CE824D" w:rsidR="003756B5" w:rsidRPr="00E86501" w:rsidRDefault="132B7B4D"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 xml:space="preserve">United </w:t>
            </w:r>
            <w:r w:rsidR="1EAA4D02" w:rsidRPr="00E86501">
              <w:rPr>
                <w:color w:val="000000" w:themeColor="text1"/>
                <w:sz w:val="16"/>
                <w:szCs w:val="16"/>
                <w:lang w:val="en-US"/>
              </w:rPr>
              <w:t xml:space="preserve">Nations Development </w:t>
            </w:r>
            <w:proofErr w:type="spellStart"/>
            <w:r w:rsidR="1EAA4D02" w:rsidRPr="00E86501">
              <w:rPr>
                <w:color w:val="000000" w:themeColor="text1"/>
                <w:sz w:val="16"/>
                <w:szCs w:val="16"/>
                <w:lang w:val="en-US"/>
              </w:rPr>
              <w:t>Programme</w:t>
            </w:r>
            <w:proofErr w:type="spellEnd"/>
          </w:p>
        </w:tc>
      </w:tr>
      <w:tr w:rsidR="537FA187" w:rsidRPr="00F50786" w14:paraId="0E93D846" w14:textId="77777777" w:rsidTr="3585F9A1">
        <w:trPr>
          <w:trHeight w:val="300"/>
        </w:trPr>
        <w:tc>
          <w:tcPr>
            <w:tcW w:w="1320" w:type="dxa"/>
            <w:shd w:val="clear" w:color="auto" w:fill="E1F2FA"/>
          </w:tcPr>
          <w:p w14:paraId="03D4530B" w14:textId="199975EC" w:rsidR="29EA648C" w:rsidRPr="00E86501" w:rsidRDefault="29EA648C" w:rsidP="537FA187">
            <w:pPr>
              <w:spacing w:line="240" w:lineRule="auto"/>
              <w:jc w:val="both"/>
              <w:rPr>
                <w:color w:val="000000" w:themeColor="text1"/>
                <w:sz w:val="16"/>
                <w:szCs w:val="16"/>
                <w:lang w:val="en-US"/>
              </w:rPr>
            </w:pPr>
            <w:r w:rsidRPr="00E86501">
              <w:rPr>
                <w:color w:val="000000" w:themeColor="text1"/>
                <w:sz w:val="16"/>
                <w:szCs w:val="16"/>
                <w:lang w:val="en-US"/>
              </w:rPr>
              <w:t>UNFCCC</w:t>
            </w:r>
          </w:p>
        </w:tc>
        <w:tc>
          <w:tcPr>
            <w:tcW w:w="8040" w:type="dxa"/>
            <w:shd w:val="clear" w:color="auto" w:fill="E1F2FA"/>
          </w:tcPr>
          <w:p w14:paraId="4E9B787F" w14:textId="7D6832CD" w:rsidR="29EA648C" w:rsidRPr="00E86501" w:rsidRDefault="29EA648C" w:rsidP="00C6418F">
            <w:pPr>
              <w:spacing w:line="271" w:lineRule="auto"/>
              <w:jc w:val="both"/>
              <w:rPr>
                <w:color w:val="000000" w:themeColor="text1"/>
                <w:sz w:val="16"/>
                <w:szCs w:val="16"/>
                <w:lang w:val="en-US"/>
              </w:rPr>
            </w:pPr>
            <w:r w:rsidRPr="00E86501">
              <w:rPr>
                <w:color w:val="000000" w:themeColor="text1"/>
                <w:sz w:val="16"/>
                <w:szCs w:val="16"/>
                <w:lang w:val="en-US"/>
              </w:rPr>
              <w:t xml:space="preserve">United Nations Framework Convention on Climate Change </w:t>
            </w:r>
          </w:p>
        </w:tc>
      </w:tr>
      <w:tr w:rsidR="537FA187" w:rsidRPr="00F50786" w14:paraId="5ABBE612" w14:textId="77777777" w:rsidTr="3585F9A1">
        <w:trPr>
          <w:trHeight w:val="300"/>
        </w:trPr>
        <w:tc>
          <w:tcPr>
            <w:tcW w:w="1320" w:type="dxa"/>
            <w:shd w:val="clear" w:color="auto" w:fill="E1F2FA"/>
          </w:tcPr>
          <w:p w14:paraId="0F7223D4" w14:textId="6FA9CB85" w:rsidR="537FA187" w:rsidRPr="00E86501" w:rsidRDefault="537FA187" w:rsidP="00857B81">
            <w:pPr>
              <w:spacing w:line="240" w:lineRule="auto"/>
              <w:jc w:val="both"/>
              <w:rPr>
                <w:color w:val="000000" w:themeColor="text1"/>
                <w:sz w:val="16"/>
                <w:szCs w:val="16"/>
                <w:lang w:val="en-US"/>
              </w:rPr>
            </w:pPr>
            <w:r w:rsidRPr="00E86501">
              <w:rPr>
                <w:color w:val="000000" w:themeColor="text1"/>
                <w:sz w:val="16"/>
                <w:szCs w:val="16"/>
                <w:lang w:val="en-US"/>
              </w:rPr>
              <w:t>UN-HABITAT </w:t>
            </w:r>
          </w:p>
        </w:tc>
        <w:tc>
          <w:tcPr>
            <w:tcW w:w="8040" w:type="dxa"/>
            <w:shd w:val="clear" w:color="auto" w:fill="E1F2FA"/>
          </w:tcPr>
          <w:p w14:paraId="35CB909A" w14:textId="55B477D3" w:rsidR="537FA187" w:rsidRPr="00E86501" w:rsidRDefault="537FA18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 xml:space="preserve">United Nations Human </w:t>
            </w:r>
            <w:proofErr w:type="spellStart"/>
            <w:r w:rsidRPr="00E86501">
              <w:rPr>
                <w:color w:val="000000" w:themeColor="text1"/>
                <w:sz w:val="16"/>
                <w:szCs w:val="16"/>
                <w:lang w:val="en-US"/>
              </w:rPr>
              <w:t>Settlment</w:t>
            </w:r>
            <w:proofErr w:type="spellEnd"/>
            <w:r w:rsidRPr="00E86501">
              <w:rPr>
                <w:color w:val="000000" w:themeColor="text1"/>
                <w:sz w:val="16"/>
                <w:szCs w:val="16"/>
                <w:lang w:val="en-US"/>
              </w:rPr>
              <w:t xml:space="preserve"> </w:t>
            </w:r>
            <w:proofErr w:type="spellStart"/>
            <w:r w:rsidRPr="00E86501">
              <w:rPr>
                <w:color w:val="000000" w:themeColor="text1"/>
                <w:sz w:val="16"/>
                <w:szCs w:val="16"/>
                <w:lang w:val="en-US"/>
              </w:rPr>
              <w:t>Programme</w:t>
            </w:r>
            <w:proofErr w:type="spellEnd"/>
            <w:r w:rsidRPr="00E86501">
              <w:rPr>
                <w:color w:val="000000" w:themeColor="text1"/>
                <w:sz w:val="16"/>
                <w:szCs w:val="16"/>
                <w:lang w:val="en-US"/>
              </w:rPr>
              <w:t>  </w:t>
            </w:r>
          </w:p>
        </w:tc>
      </w:tr>
      <w:tr w:rsidR="003756B5" w:rsidRPr="00F50786" w14:paraId="2DB5B16C" w14:textId="77777777" w:rsidTr="3585F9A1">
        <w:trPr>
          <w:trHeight w:val="300"/>
        </w:trPr>
        <w:tc>
          <w:tcPr>
            <w:tcW w:w="1320" w:type="dxa"/>
            <w:shd w:val="clear" w:color="auto" w:fill="E1F2FA"/>
          </w:tcPr>
          <w:p w14:paraId="1CC489C6" w14:textId="2722AD67" w:rsidR="003756B5" w:rsidRPr="00E86501" w:rsidRDefault="132B7B4D" w:rsidP="00857B81">
            <w:pPr>
              <w:spacing w:line="240" w:lineRule="auto"/>
              <w:jc w:val="both"/>
              <w:rPr>
                <w:color w:val="000000" w:themeColor="text1"/>
                <w:sz w:val="16"/>
                <w:szCs w:val="16"/>
                <w:lang w:val="en-US"/>
              </w:rPr>
            </w:pPr>
            <w:r w:rsidRPr="00E86501">
              <w:rPr>
                <w:color w:val="000000" w:themeColor="text1"/>
                <w:sz w:val="16"/>
                <w:szCs w:val="16"/>
                <w:lang w:val="en-US"/>
              </w:rPr>
              <w:t>UN Women</w:t>
            </w:r>
          </w:p>
        </w:tc>
        <w:tc>
          <w:tcPr>
            <w:tcW w:w="8040" w:type="dxa"/>
            <w:shd w:val="clear" w:color="auto" w:fill="E1F2FA"/>
          </w:tcPr>
          <w:p w14:paraId="3AE63CC2" w14:textId="0A1B3E36" w:rsidR="003756B5" w:rsidRPr="00E86501" w:rsidRDefault="132B7B4D"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United Nations entity for Gender equality and empowerment of women</w:t>
            </w:r>
          </w:p>
        </w:tc>
      </w:tr>
      <w:tr w:rsidR="003756B5" w:rsidRPr="00CD329F" w14:paraId="5AF3CA18" w14:textId="77777777" w:rsidTr="3585F9A1">
        <w:trPr>
          <w:trHeight w:val="300"/>
        </w:trPr>
        <w:tc>
          <w:tcPr>
            <w:tcW w:w="1320" w:type="dxa"/>
            <w:shd w:val="clear" w:color="auto" w:fill="E1F2FA"/>
          </w:tcPr>
          <w:p w14:paraId="77AAF9E0" w14:textId="28656EF3" w:rsidR="003756B5" w:rsidRPr="00E86501" w:rsidRDefault="132B7B4D" w:rsidP="00857B81">
            <w:pPr>
              <w:spacing w:line="240" w:lineRule="auto"/>
              <w:jc w:val="both"/>
              <w:rPr>
                <w:color w:val="000000" w:themeColor="text1"/>
                <w:sz w:val="16"/>
                <w:szCs w:val="16"/>
                <w:lang w:val="en-US"/>
              </w:rPr>
            </w:pPr>
            <w:r w:rsidRPr="00E86501">
              <w:rPr>
                <w:color w:val="000000" w:themeColor="text1"/>
                <w:sz w:val="16"/>
                <w:szCs w:val="16"/>
                <w:lang w:val="en-US"/>
              </w:rPr>
              <w:lastRenderedPageBreak/>
              <w:t>VSE  </w:t>
            </w:r>
          </w:p>
        </w:tc>
        <w:tc>
          <w:tcPr>
            <w:tcW w:w="8040" w:type="dxa"/>
            <w:shd w:val="clear" w:color="auto" w:fill="E1F2FA"/>
          </w:tcPr>
          <w:p w14:paraId="75410899" w14:textId="46473207" w:rsidR="003756B5" w:rsidRPr="00E86501" w:rsidRDefault="132B7B4D"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Very Small Entreprises</w:t>
            </w:r>
          </w:p>
        </w:tc>
      </w:tr>
      <w:tr w:rsidR="537FA187" w:rsidRPr="00CD329F" w14:paraId="6471804A" w14:textId="77777777" w:rsidTr="3585F9A1">
        <w:trPr>
          <w:trHeight w:val="300"/>
        </w:trPr>
        <w:tc>
          <w:tcPr>
            <w:tcW w:w="1320" w:type="dxa"/>
            <w:shd w:val="clear" w:color="auto" w:fill="E1F2FA"/>
          </w:tcPr>
          <w:p w14:paraId="02A7EBBB" w14:textId="24C7727F" w:rsidR="265CEA45" w:rsidRPr="00E86501" w:rsidRDefault="265CEA45" w:rsidP="537FA187">
            <w:pPr>
              <w:spacing w:line="240" w:lineRule="auto"/>
              <w:jc w:val="both"/>
              <w:rPr>
                <w:color w:val="000000" w:themeColor="text1"/>
                <w:sz w:val="16"/>
                <w:szCs w:val="16"/>
                <w:lang w:val="en-US"/>
              </w:rPr>
            </w:pPr>
            <w:r w:rsidRPr="00E86501">
              <w:rPr>
                <w:color w:val="000000" w:themeColor="text1"/>
                <w:sz w:val="16"/>
                <w:szCs w:val="16"/>
                <w:lang w:val="en-US"/>
              </w:rPr>
              <w:t>WB</w:t>
            </w:r>
          </w:p>
        </w:tc>
        <w:tc>
          <w:tcPr>
            <w:tcW w:w="8040" w:type="dxa"/>
            <w:shd w:val="clear" w:color="auto" w:fill="E1F2FA"/>
          </w:tcPr>
          <w:p w14:paraId="2B4523B3" w14:textId="6E136C6F" w:rsidR="265CEA45" w:rsidRPr="00E86501" w:rsidRDefault="265CEA45" w:rsidP="537FA187">
            <w:pPr>
              <w:spacing w:line="271" w:lineRule="auto"/>
              <w:jc w:val="both"/>
              <w:rPr>
                <w:color w:val="000000" w:themeColor="text1"/>
                <w:sz w:val="16"/>
                <w:szCs w:val="16"/>
                <w:lang w:val="en-US"/>
              </w:rPr>
            </w:pPr>
            <w:r w:rsidRPr="00E86501">
              <w:rPr>
                <w:color w:val="000000" w:themeColor="text1"/>
                <w:sz w:val="16"/>
                <w:szCs w:val="16"/>
                <w:lang w:val="en-US"/>
              </w:rPr>
              <w:t>World Bank</w:t>
            </w:r>
          </w:p>
        </w:tc>
      </w:tr>
      <w:tr w:rsidR="003756B5" w:rsidRPr="00CD329F" w14:paraId="29A9C9A9" w14:textId="77777777" w:rsidTr="3585F9A1">
        <w:trPr>
          <w:trHeight w:val="300"/>
        </w:trPr>
        <w:tc>
          <w:tcPr>
            <w:tcW w:w="1320" w:type="dxa"/>
            <w:shd w:val="clear" w:color="auto" w:fill="E1F2FA"/>
          </w:tcPr>
          <w:p w14:paraId="77B024AF" w14:textId="065BDD96" w:rsidR="003756B5" w:rsidRPr="00E86501" w:rsidRDefault="2FC180B7" w:rsidP="00857B81">
            <w:pPr>
              <w:spacing w:line="240" w:lineRule="auto"/>
              <w:jc w:val="both"/>
              <w:rPr>
                <w:color w:val="000000" w:themeColor="text1"/>
                <w:sz w:val="16"/>
                <w:szCs w:val="16"/>
                <w:lang w:val="en-US"/>
              </w:rPr>
            </w:pPr>
            <w:r w:rsidRPr="00E86501">
              <w:rPr>
                <w:color w:val="000000" w:themeColor="text1"/>
                <w:sz w:val="16"/>
                <w:szCs w:val="16"/>
                <w:lang w:val="en-US"/>
              </w:rPr>
              <w:t>WBC</w:t>
            </w:r>
          </w:p>
        </w:tc>
        <w:tc>
          <w:tcPr>
            <w:tcW w:w="8040" w:type="dxa"/>
            <w:shd w:val="clear" w:color="auto" w:fill="E1F2FA"/>
          </w:tcPr>
          <w:p w14:paraId="3B7C4682" w14:textId="6A8811AD" w:rsidR="003756B5" w:rsidRPr="00E86501" w:rsidRDefault="2FC180B7" w:rsidP="00857B81">
            <w:pPr>
              <w:keepNext/>
              <w:pBdr>
                <w:top w:val="single" w:sz="4" w:space="1" w:color="000000"/>
              </w:pBdr>
              <w:spacing w:line="271" w:lineRule="auto"/>
              <w:jc w:val="both"/>
              <w:rPr>
                <w:color w:val="000000" w:themeColor="text1"/>
                <w:sz w:val="16"/>
                <w:szCs w:val="16"/>
                <w:lang w:val="en-US"/>
              </w:rPr>
            </w:pPr>
            <w:r w:rsidRPr="00E86501">
              <w:rPr>
                <w:color w:val="000000" w:themeColor="text1"/>
                <w:sz w:val="16"/>
                <w:szCs w:val="16"/>
                <w:lang w:val="en-US"/>
              </w:rPr>
              <w:t>Women Business Center</w:t>
            </w:r>
          </w:p>
        </w:tc>
      </w:tr>
      <w:tr w:rsidR="003756B5" w:rsidRPr="00F50786" w14:paraId="7C21E4D9" w14:textId="77777777" w:rsidTr="00857B81">
        <w:trPr>
          <w:trHeight w:val="300"/>
        </w:trPr>
        <w:tc>
          <w:tcPr>
            <w:tcW w:w="132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1F2FA"/>
          </w:tcPr>
          <w:p w14:paraId="71AA2977" w14:textId="5E5FB0D8" w:rsidR="003756B5" w:rsidRPr="00E86501" w:rsidRDefault="57E82639" w:rsidP="00857B81">
            <w:pPr>
              <w:spacing w:line="240" w:lineRule="auto"/>
              <w:rPr>
                <w:color w:val="000000" w:themeColor="text1"/>
                <w:sz w:val="16"/>
                <w:szCs w:val="16"/>
                <w:lang w:val="en-US"/>
              </w:rPr>
            </w:pPr>
            <w:r w:rsidRPr="00E86501">
              <w:rPr>
                <w:color w:val="000000" w:themeColor="text1"/>
                <w:sz w:val="16"/>
                <w:szCs w:val="16"/>
                <w:lang w:val="en-US"/>
              </w:rPr>
              <w:t>WEEE</w:t>
            </w:r>
          </w:p>
        </w:tc>
        <w:tc>
          <w:tcPr>
            <w:tcW w:w="80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E1F2FA"/>
          </w:tcPr>
          <w:p w14:paraId="2805A89A" w14:textId="3E7155AD" w:rsidR="003756B5" w:rsidRPr="00857B81" w:rsidRDefault="21A34AFC" w:rsidP="00857B81">
            <w:pPr>
              <w:keepNext/>
              <w:pBdr>
                <w:top w:val="single" w:sz="4" w:space="1" w:color="000000"/>
              </w:pBdr>
              <w:spacing w:line="271" w:lineRule="auto"/>
              <w:rPr>
                <w:color w:val="000000" w:themeColor="text1"/>
                <w:sz w:val="16"/>
                <w:szCs w:val="16"/>
                <w:lang w:val="en-US"/>
              </w:rPr>
            </w:pPr>
            <w:r w:rsidRPr="00E86501">
              <w:rPr>
                <w:color w:val="000000" w:themeColor="text1"/>
                <w:sz w:val="16"/>
                <w:szCs w:val="16"/>
                <w:lang w:val="en-US"/>
              </w:rPr>
              <w:t>Waste Electrical and Electronic Equipment.</w:t>
            </w:r>
          </w:p>
        </w:tc>
      </w:tr>
    </w:tbl>
    <w:p w14:paraId="4E5E2124" w14:textId="3260DAC3" w:rsidR="537FA187" w:rsidRPr="00C6418F" w:rsidRDefault="537FA187">
      <w:pPr>
        <w:rPr>
          <w:lang w:val="en-US"/>
        </w:rPr>
      </w:pPr>
    </w:p>
    <w:p w14:paraId="014B8567" w14:textId="1C7B8E05" w:rsidR="537FA187" w:rsidRPr="00C6418F" w:rsidRDefault="537FA187">
      <w:pPr>
        <w:rPr>
          <w:lang w:val="en-US"/>
        </w:rPr>
      </w:pPr>
    </w:p>
    <w:p w14:paraId="2C88B034" w14:textId="0A725242" w:rsidR="537FA187" w:rsidRPr="00C6418F" w:rsidRDefault="537FA187">
      <w:pPr>
        <w:rPr>
          <w:lang w:val="en-US"/>
        </w:rPr>
      </w:pPr>
    </w:p>
    <w:p w14:paraId="5E9239A1" w14:textId="77C68D2A" w:rsidR="537FA187" w:rsidRPr="00C6418F" w:rsidRDefault="537FA187">
      <w:pPr>
        <w:rPr>
          <w:lang w:val="en-US"/>
        </w:rPr>
      </w:pPr>
    </w:p>
    <w:p w14:paraId="1271D726" w14:textId="26D63550" w:rsidR="537FA187" w:rsidRPr="00C6418F" w:rsidRDefault="537FA187">
      <w:pPr>
        <w:rPr>
          <w:lang w:val="en-US"/>
        </w:rPr>
      </w:pPr>
    </w:p>
    <w:p w14:paraId="0CE166A5" w14:textId="28EAFA76" w:rsidR="537FA187" w:rsidRPr="00C6418F" w:rsidRDefault="537FA187">
      <w:pPr>
        <w:rPr>
          <w:lang w:val="en-US"/>
        </w:rPr>
      </w:pPr>
    </w:p>
    <w:p w14:paraId="39A57232" w14:textId="34AF8893" w:rsidR="537FA187" w:rsidRPr="00C6418F" w:rsidRDefault="537FA187">
      <w:pPr>
        <w:rPr>
          <w:lang w:val="en-US"/>
        </w:rPr>
      </w:pPr>
    </w:p>
    <w:p w14:paraId="2FCD78B0" w14:textId="4FA9BA90" w:rsidR="537FA187" w:rsidRPr="00C6418F" w:rsidRDefault="537FA187">
      <w:pPr>
        <w:rPr>
          <w:lang w:val="en-US"/>
        </w:rPr>
      </w:pPr>
    </w:p>
    <w:p w14:paraId="000000D9" w14:textId="77777777" w:rsidR="004F7DB3" w:rsidRPr="00C00123" w:rsidRDefault="004F7DB3">
      <w:pPr>
        <w:keepNext/>
        <w:pBdr>
          <w:top w:val="single" w:sz="4" w:space="1" w:color="000000"/>
        </w:pBdr>
        <w:spacing w:after="0" w:line="271" w:lineRule="auto"/>
        <w:jc w:val="both"/>
        <w:rPr>
          <w:b/>
          <w:smallCaps/>
          <w:sz w:val="28"/>
          <w:szCs w:val="28"/>
          <w:lang w:val="en-US"/>
        </w:rPr>
        <w:sectPr w:rsidR="004F7DB3" w:rsidRPr="00C00123">
          <w:headerReference w:type="first" r:id="rId16"/>
          <w:pgSz w:w="11906" w:h="16838"/>
          <w:pgMar w:top="1418" w:right="1418" w:bottom="1418" w:left="1418" w:header="720" w:footer="432" w:gutter="0"/>
          <w:cols w:space="720"/>
          <w:titlePg/>
        </w:sectPr>
      </w:pPr>
      <w:bookmarkStart w:id="2" w:name="_heading=h.wzlk1mxea06t" w:colFirst="0" w:colLast="0"/>
      <w:bookmarkEnd w:id="2"/>
    </w:p>
    <w:p w14:paraId="000000DA" w14:textId="77777777" w:rsidR="004F7DB3" w:rsidRPr="009804E6" w:rsidRDefault="6DEC1BA7" w:rsidP="5D8904BE">
      <w:pPr>
        <w:pStyle w:val="Heading11"/>
        <w:rPr>
          <w:rStyle w:val="Accentuation"/>
          <w:b w:val="0"/>
          <w:i w:val="0"/>
          <w:iCs w:val="0"/>
          <w:sz w:val="24"/>
          <w:szCs w:val="24"/>
          <w:lang w:val="en-US"/>
        </w:rPr>
      </w:pPr>
      <w:bookmarkStart w:id="3" w:name="_Toc1069802513"/>
      <w:bookmarkStart w:id="4" w:name="_Toc200477833"/>
      <w:r w:rsidRPr="5D8904BE">
        <w:rPr>
          <w:rStyle w:val="Accentuation"/>
          <w:i w:val="0"/>
          <w:iCs w:val="0"/>
          <w:sz w:val="24"/>
          <w:szCs w:val="24"/>
          <w:lang w:val="en-US"/>
        </w:rPr>
        <w:lastRenderedPageBreak/>
        <w:t>Development challenges</w:t>
      </w:r>
      <w:bookmarkEnd w:id="3"/>
      <w:bookmarkEnd w:id="4"/>
      <w:r w:rsidRPr="5D8904BE">
        <w:rPr>
          <w:rStyle w:val="Accentuation"/>
          <w:i w:val="0"/>
          <w:iCs w:val="0"/>
          <w:sz w:val="24"/>
          <w:szCs w:val="24"/>
          <w:lang w:val="en-US"/>
        </w:rPr>
        <w:t xml:space="preserve"> </w:t>
      </w:r>
    </w:p>
    <w:p w14:paraId="000000DB" w14:textId="77777777" w:rsidR="004F7DB3" w:rsidRPr="004927EA" w:rsidRDefault="496F1838" w:rsidP="00E26E28">
      <w:pPr>
        <w:rPr>
          <w:rFonts w:eastAsiaTheme="majorEastAsia"/>
          <w:b/>
          <w:bCs/>
          <w:color w:val="0F4761" w:themeColor="accent1" w:themeShade="BF"/>
          <w:sz w:val="20"/>
          <w:szCs w:val="20"/>
          <w:lang w:val="en-US"/>
        </w:rPr>
      </w:pPr>
      <w:r w:rsidRPr="004927EA">
        <w:rPr>
          <w:b/>
          <w:bCs/>
          <w:sz w:val="20"/>
          <w:szCs w:val="20"/>
          <w:lang w:val="en-US"/>
        </w:rPr>
        <w:t>General context:</w:t>
      </w:r>
    </w:p>
    <w:p w14:paraId="000910AA" w14:textId="419286D5" w:rsidR="004F7DB3" w:rsidRPr="004927EA" w:rsidRDefault="679564B6" w:rsidP="4293D418">
      <w:pPr>
        <w:spacing w:after="0" w:line="240" w:lineRule="auto"/>
        <w:jc w:val="both"/>
        <w:rPr>
          <w:sz w:val="20"/>
          <w:szCs w:val="20"/>
          <w:lang w:val="en-US"/>
        </w:rPr>
      </w:pPr>
      <w:r w:rsidRPr="004927EA">
        <w:rPr>
          <w:sz w:val="20"/>
          <w:szCs w:val="20"/>
          <w:lang w:val="en-US"/>
        </w:rPr>
        <w:t>The District of Bamako is Mali's main economic engine, with a contribution of 36% to the national GDP</w:t>
      </w:r>
      <w:r w:rsidR="00C00123" w:rsidRPr="004927EA">
        <w:rPr>
          <w:sz w:val="20"/>
          <w:szCs w:val="20"/>
          <w:vertAlign w:val="superscript"/>
        </w:rPr>
        <w:footnoteReference w:id="1"/>
      </w:r>
      <w:r w:rsidRPr="004927EA">
        <w:rPr>
          <w:sz w:val="20"/>
          <w:szCs w:val="20"/>
          <w:lang w:val="en-US"/>
        </w:rPr>
        <w:t xml:space="preserve">, and </w:t>
      </w:r>
      <w:r w:rsidR="026D7F36" w:rsidRPr="004927EA">
        <w:rPr>
          <w:sz w:val="20"/>
          <w:szCs w:val="20"/>
          <w:lang w:val="en-US"/>
        </w:rPr>
        <w:t>serving as the country's</w:t>
      </w:r>
      <w:r w:rsidRPr="004927EA">
        <w:rPr>
          <w:sz w:val="20"/>
          <w:szCs w:val="20"/>
          <w:lang w:val="en-US"/>
        </w:rPr>
        <w:t xml:space="preserve"> leading economic and administrative c</w:t>
      </w:r>
      <w:r w:rsidR="10DAC518" w:rsidRPr="004927EA">
        <w:rPr>
          <w:sz w:val="20"/>
          <w:szCs w:val="20"/>
          <w:lang w:val="en-US"/>
        </w:rPr>
        <w:t>enter</w:t>
      </w:r>
      <w:r w:rsidRPr="004927EA">
        <w:rPr>
          <w:sz w:val="20"/>
          <w:szCs w:val="20"/>
          <w:lang w:val="en-US"/>
        </w:rPr>
        <w:t>. However, it is facing rapid and poorly controlled urbanization. With an urbanization rate of 99.7</w:t>
      </w:r>
      <w:r w:rsidR="1FC356EC" w:rsidRPr="004927EA">
        <w:rPr>
          <w:sz w:val="20"/>
          <w:szCs w:val="20"/>
          <w:lang w:val="en-US"/>
        </w:rPr>
        <w:t>% in</w:t>
      </w:r>
      <w:r w:rsidR="53D13149" w:rsidRPr="004927EA">
        <w:rPr>
          <w:sz w:val="20"/>
          <w:szCs w:val="20"/>
          <w:lang w:val="en-US"/>
        </w:rPr>
        <w:t xml:space="preserve"> 2022 </w:t>
      </w:r>
      <w:r w:rsidRPr="004927EA">
        <w:rPr>
          <w:sz w:val="20"/>
          <w:szCs w:val="20"/>
          <w:lang w:val="en-US"/>
        </w:rPr>
        <w:t>and an urban growth of 6.2% per year</w:t>
      </w:r>
      <w:r w:rsidR="00C00123" w:rsidRPr="004927EA">
        <w:rPr>
          <w:sz w:val="20"/>
          <w:szCs w:val="20"/>
          <w:vertAlign w:val="superscript"/>
        </w:rPr>
        <w:footnoteReference w:id="2"/>
      </w:r>
      <w:r w:rsidRPr="004927EA">
        <w:rPr>
          <w:sz w:val="20"/>
          <w:szCs w:val="20"/>
          <w:lang w:val="en-US"/>
        </w:rPr>
        <w:t xml:space="preserve">, the capital </w:t>
      </w:r>
      <w:r w:rsidR="4FFC8684" w:rsidRPr="004927EA">
        <w:rPr>
          <w:sz w:val="20"/>
          <w:szCs w:val="20"/>
          <w:lang w:val="en-US"/>
        </w:rPr>
        <w:t xml:space="preserve">is home to </w:t>
      </w:r>
      <w:r w:rsidRPr="004927EA">
        <w:rPr>
          <w:sz w:val="20"/>
          <w:szCs w:val="20"/>
          <w:lang w:val="en-US"/>
        </w:rPr>
        <w:t>62% of the country's urban population</w:t>
      </w:r>
      <w:r w:rsidR="00C00123" w:rsidRPr="004927EA">
        <w:rPr>
          <w:sz w:val="20"/>
          <w:szCs w:val="20"/>
          <w:vertAlign w:val="superscript"/>
        </w:rPr>
        <w:footnoteReference w:id="3"/>
      </w:r>
      <w:r w:rsidRPr="004927EA">
        <w:rPr>
          <w:sz w:val="20"/>
          <w:szCs w:val="20"/>
          <w:lang w:val="en-US"/>
        </w:rPr>
        <w:t xml:space="preserve"> estimated at 6.8 million people, or 18.9% of the country's total population for a total number of households of 537,932 households with an average size of 7.8 people. This demographic pressure on the city is </w:t>
      </w:r>
      <w:r w:rsidR="582FB7EC" w:rsidRPr="004927EA">
        <w:rPr>
          <w:sz w:val="20"/>
          <w:szCs w:val="20"/>
          <w:lang w:val="en-US"/>
        </w:rPr>
        <w:t>fueled</w:t>
      </w:r>
      <w:r w:rsidRPr="004927EA">
        <w:rPr>
          <w:sz w:val="20"/>
          <w:szCs w:val="20"/>
          <w:lang w:val="en-US"/>
        </w:rPr>
        <w:t xml:space="preserve"> by a strong rural exodus characterized mainly by economic precariousness in rural areas where the resilience of populations is weak in the face of the persistent severe impacts of climate change and insufficient access to electricity (less than 30%), </w:t>
      </w:r>
      <w:r w:rsidR="235A7A72" w:rsidRPr="004927EA">
        <w:rPr>
          <w:sz w:val="20"/>
          <w:szCs w:val="20"/>
          <w:lang w:val="en-US"/>
        </w:rPr>
        <w:t xml:space="preserve">relevant lack of economic opportunity </w:t>
      </w:r>
      <w:r w:rsidRPr="004927EA">
        <w:rPr>
          <w:sz w:val="20"/>
          <w:szCs w:val="20"/>
          <w:lang w:val="en-US"/>
        </w:rPr>
        <w:t>and by the large number of internally displaced persons (IDPs) which reached 3,783,673 people in the country in 2024</w:t>
      </w:r>
      <w:r w:rsidR="00C00123" w:rsidRPr="004927EA">
        <w:rPr>
          <w:sz w:val="20"/>
          <w:szCs w:val="20"/>
          <w:vertAlign w:val="superscript"/>
        </w:rPr>
        <w:footnoteReference w:id="4"/>
      </w:r>
      <w:r w:rsidRPr="004927EA">
        <w:rPr>
          <w:sz w:val="20"/>
          <w:szCs w:val="20"/>
          <w:lang w:val="en-US"/>
        </w:rPr>
        <w:t xml:space="preserve">. </w:t>
      </w:r>
    </w:p>
    <w:p w14:paraId="5C6504AB" w14:textId="6CE2DBC0" w:rsidR="004F7DB3" w:rsidRPr="004927EA" w:rsidRDefault="004F7DB3" w:rsidP="24AA8F7E">
      <w:pPr>
        <w:spacing w:after="0" w:line="257" w:lineRule="auto"/>
        <w:jc w:val="both"/>
        <w:rPr>
          <w:sz w:val="20"/>
          <w:szCs w:val="20"/>
          <w:lang w:val="en-US"/>
        </w:rPr>
      </w:pPr>
    </w:p>
    <w:p w14:paraId="000000DC" w14:textId="10835375" w:rsidR="004F7DB3" w:rsidRPr="004927EA" w:rsidRDefault="7791D8DC" w:rsidP="1BB5F5E3">
      <w:pPr>
        <w:spacing w:after="0" w:line="257" w:lineRule="auto"/>
        <w:jc w:val="both"/>
        <w:rPr>
          <w:sz w:val="20"/>
          <w:szCs w:val="20"/>
          <w:lang w:val="en-US"/>
        </w:rPr>
      </w:pPr>
      <w:r w:rsidRPr="5D8904BE">
        <w:rPr>
          <w:sz w:val="20"/>
          <w:szCs w:val="20"/>
          <w:lang w:val="en-US"/>
        </w:rPr>
        <w:t xml:space="preserve">The result is an accelerated development of informal settlements that are often anarchic. All this takes place in a general context of the country marked by a multidimensional crisis including the chronic security crisis since 2012, the health crisis related to COVID 19, the ongoing socio-political crisis from 2020 including ECOWAS sanctions and the regional and international geopolitical crisis which have supported a deep generalized economic precariousness resulting in a particular energy crisis that increases social vulnerability. As a result, climate risk is significant, as are socio-economic issues. Indeed, this situation weighs heavily on infrastructure, basic services (water, sanitation, health) and social cohesion. </w:t>
      </w:r>
    </w:p>
    <w:p w14:paraId="254194A3" w14:textId="62C9F465" w:rsidR="24AA8F7E" w:rsidRDefault="24AA8F7E" w:rsidP="24AA8F7E">
      <w:pPr>
        <w:spacing w:after="0" w:line="257" w:lineRule="auto"/>
        <w:jc w:val="both"/>
        <w:rPr>
          <w:sz w:val="20"/>
          <w:szCs w:val="20"/>
          <w:lang w:val="en-US"/>
        </w:rPr>
      </w:pPr>
    </w:p>
    <w:p w14:paraId="000000E2" w14:textId="2FE75426" w:rsidR="004F7DB3" w:rsidRPr="004927EA" w:rsidRDefault="7791D8DC" w:rsidP="00616C46">
      <w:pPr>
        <w:spacing w:after="0" w:line="240" w:lineRule="auto"/>
        <w:jc w:val="both"/>
        <w:rPr>
          <w:sz w:val="20"/>
          <w:szCs w:val="20"/>
          <w:lang w:val="en-US"/>
        </w:rPr>
      </w:pPr>
      <w:r w:rsidRPr="5D8904BE">
        <w:rPr>
          <w:sz w:val="20"/>
          <w:szCs w:val="20"/>
          <w:lang w:val="en-US"/>
        </w:rPr>
        <w:t xml:space="preserve">Bamako's Integrated Urban Development Project </w:t>
      </w:r>
      <w:r w:rsidR="15FA2C6B" w:rsidRPr="5D8904BE">
        <w:rPr>
          <w:sz w:val="20"/>
          <w:szCs w:val="20"/>
          <w:lang w:val="en-US"/>
        </w:rPr>
        <w:t xml:space="preserve">(IUDP) </w:t>
      </w:r>
      <w:r w:rsidRPr="5D8904BE">
        <w:rPr>
          <w:sz w:val="20"/>
          <w:szCs w:val="20"/>
          <w:lang w:val="en-US"/>
        </w:rPr>
        <w:t xml:space="preserve">tackles a series of complex structural challenges, rooted in rapid, disorganized, and unsustainable urbanization, which threatens social cohesion, the urban environment, and the country's ability to achieve its Sustainable Development Goals (SDGs). </w:t>
      </w:r>
      <w:r w:rsidR="41219E8E" w:rsidRPr="5D8904BE">
        <w:rPr>
          <w:sz w:val="20"/>
          <w:szCs w:val="20"/>
          <w:lang w:val="en-US"/>
        </w:rPr>
        <w:t>It aims to respond to these challenges by articulati</w:t>
      </w:r>
      <w:r w:rsidR="025F51D5" w:rsidRPr="5D8904BE">
        <w:rPr>
          <w:sz w:val="20"/>
          <w:szCs w:val="20"/>
          <w:lang w:val="en-US"/>
        </w:rPr>
        <w:t>on</w:t>
      </w:r>
      <w:r w:rsidR="23252761" w:rsidRPr="5D8904BE">
        <w:rPr>
          <w:sz w:val="20"/>
          <w:szCs w:val="20"/>
          <w:lang w:val="en-US"/>
        </w:rPr>
        <w:t xml:space="preserve"> of</w:t>
      </w:r>
      <w:r w:rsidR="41219E8E" w:rsidRPr="5D8904BE">
        <w:rPr>
          <w:sz w:val="20"/>
          <w:szCs w:val="20"/>
          <w:lang w:val="en-US"/>
        </w:rPr>
        <w:t xml:space="preserve"> an integrated strategic vision, institutional strengthening, mobilization of public, private and civil society actors and operationalization of a co-constructed urban planning master plan based on a portfolio of mature priority activities and projects.    </w:t>
      </w:r>
    </w:p>
    <w:p w14:paraId="000000E4" w14:textId="7C0249D5" w:rsidR="004F7DB3" w:rsidRPr="004927EA" w:rsidRDefault="2322D78F" w:rsidP="00C6418F">
      <w:pPr>
        <w:spacing w:after="0" w:line="240" w:lineRule="auto"/>
        <w:jc w:val="both"/>
        <w:rPr>
          <w:sz w:val="20"/>
          <w:szCs w:val="20"/>
          <w:lang w:val="en-US"/>
        </w:rPr>
      </w:pPr>
      <w:bookmarkStart w:id="5" w:name="_heading=h.pmgkqfaaws2g"/>
      <w:bookmarkEnd w:id="5"/>
      <w:r w:rsidRPr="004927EA">
        <w:rPr>
          <w:sz w:val="20"/>
          <w:szCs w:val="20"/>
          <w:lang w:val="en-US"/>
        </w:rPr>
        <w:t xml:space="preserve">Socio-economic data </w:t>
      </w:r>
      <w:r w:rsidR="67AC2AAC" w:rsidRPr="004927EA">
        <w:rPr>
          <w:sz w:val="20"/>
          <w:szCs w:val="20"/>
          <w:lang w:val="en-US"/>
        </w:rPr>
        <w:t>reveals</w:t>
      </w:r>
      <w:r w:rsidRPr="004927EA">
        <w:rPr>
          <w:sz w:val="20"/>
          <w:szCs w:val="20"/>
          <w:lang w:val="en-US"/>
        </w:rPr>
        <w:t xml:space="preserve"> a significant deterioration of the situation in Bamako. The incidence of poverty has increased alarmingly, from 3.5% (2020) to 15.9% (2021), although it remains lower than other urban </w:t>
      </w:r>
      <w:r w:rsidR="7FE08412" w:rsidRPr="004927EA">
        <w:rPr>
          <w:sz w:val="20"/>
          <w:szCs w:val="20"/>
          <w:lang w:val="en-US"/>
        </w:rPr>
        <w:t>centers</w:t>
      </w:r>
      <w:r w:rsidRPr="004927EA">
        <w:rPr>
          <w:sz w:val="20"/>
          <w:szCs w:val="20"/>
          <w:lang w:val="en-US"/>
        </w:rPr>
        <w:t xml:space="preserve"> (21.2%) and rural areas (51.0%). This increase is mainly due to the contraction of the </w:t>
      </w:r>
      <w:proofErr w:type="spellStart"/>
      <w:r w:rsidRPr="004927EA">
        <w:rPr>
          <w:sz w:val="20"/>
          <w:szCs w:val="20"/>
          <w:lang w:val="en-US"/>
        </w:rPr>
        <w:t>labour</w:t>
      </w:r>
      <w:proofErr w:type="spellEnd"/>
      <w:r w:rsidRPr="004927EA">
        <w:rPr>
          <w:sz w:val="20"/>
          <w:szCs w:val="20"/>
          <w:lang w:val="en-US"/>
        </w:rPr>
        <w:t xml:space="preserve"> market and the inflation of the prices of essential goods</w:t>
      </w:r>
      <w:r w:rsidR="00C00123" w:rsidRPr="004927EA">
        <w:rPr>
          <w:sz w:val="20"/>
          <w:szCs w:val="20"/>
          <w:vertAlign w:val="superscript"/>
        </w:rPr>
        <w:footnoteReference w:id="5"/>
      </w:r>
      <w:r w:rsidRPr="004927EA">
        <w:rPr>
          <w:sz w:val="20"/>
          <w:szCs w:val="20"/>
          <w:lang w:val="en-US"/>
        </w:rPr>
        <w:t>.</w:t>
      </w:r>
    </w:p>
    <w:p w14:paraId="000000E5" w14:textId="59532277" w:rsidR="004F7DB3" w:rsidRPr="004927EA" w:rsidRDefault="598651F0" w:rsidP="00C6418F">
      <w:pPr>
        <w:spacing w:after="0"/>
        <w:rPr>
          <w:sz w:val="20"/>
          <w:szCs w:val="20"/>
        </w:rPr>
      </w:pPr>
      <w:r w:rsidRPr="004927EA">
        <w:rPr>
          <w:sz w:val="20"/>
          <w:szCs w:val="20"/>
          <w:lang w:val="en-US"/>
        </w:rPr>
        <w:t xml:space="preserve">The Bamako </w:t>
      </w:r>
      <w:proofErr w:type="spellStart"/>
      <w:r w:rsidRPr="004927EA">
        <w:rPr>
          <w:sz w:val="20"/>
          <w:szCs w:val="20"/>
          <w:lang w:val="en-US"/>
        </w:rPr>
        <w:t>labour</w:t>
      </w:r>
      <w:proofErr w:type="spellEnd"/>
      <w:r w:rsidRPr="004927EA">
        <w:rPr>
          <w:sz w:val="20"/>
          <w:szCs w:val="20"/>
          <w:lang w:val="en-US"/>
        </w:rPr>
        <w:t xml:space="preserve"> market has major structural dysfunctions, with an unemployment rate of 6.6% in 2022, higher than the national average (5.4%)</w:t>
      </w:r>
      <w:r w:rsidR="00C00123" w:rsidRPr="004927EA">
        <w:rPr>
          <w:sz w:val="20"/>
          <w:szCs w:val="20"/>
          <w:vertAlign w:val="superscript"/>
        </w:rPr>
        <w:footnoteReference w:id="6"/>
      </w:r>
      <w:r w:rsidRPr="004927EA">
        <w:rPr>
          <w:sz w:val="20"/>
          <w:szCs w:val="20"/>
          <w:lang w:val="en-US"/>
        </w:rPr>
        <w:t xml:space="preserve"> </w:t>
      </w:r>
      <w:r w:rsidR="74592E52" w:rsidRPr="004927EA">
        <w:rPr>
          <w:sz w:val="20"/>
          <w:szCs w:val="20"/>
          <w:lang w:val="en-US"/>
        </w:rPr>
        <w:t xml:space="preserve">. </w:t>
      </w:r>
      <w:r w:rsidRPr="004927EA">
        <w:rPr>
          <w:sz w:val="20"/>
          <w:szCs w:val="20"/>
        </w:rPr>
        <w:t xml:space="preserve">This </w:t>
      </w:r>
      <w:proofErr w:type="spellStart"/>
      <w:r w:rsidRPr="004927EA">
        <w:rPr>
          <w:sz w:val="20"/>
          <w:szCs w:val="20"/>
        </w:rPr>
        <w:t>reflects</w:t>
      </w:r>
      <w:proofErr w:type="spellEnd"/>
      <w:r w:rsidRPr="004927EA">
        <w:rPr>
          <w:sz w:val="20"/>
          <w:szCs w:val="20"/>
        </w:rPr>
        <w:t xml:space="preserve"> </w:t>
      </w:r>
      <w:proofErr w:type="spellStart"/>
      <w:r w:rsidRPr="004927EA">
        <w:rPr>
          <w:sz w:val="20"/>
          <w:szCs w:val="20"/>
        </w:rPr>
        <w:t>pronounced</w:t>
      </w:r>
      <w:proofErr w:type="spellEnd"/>
      <w:r w:rsidRPr="004927EA">
        <w:rPr>
          <w:sz w:val="20"/>
          <w:szCs w:val="20"/>
        </w:rPr>
        <w:t xml:space="preserve"> social </w:t>
      </w:r>
      <w:proofErr w:type="spellStart"/>
      <w:proofErr w:type="gramStart"/>
      <w:r w:rsidRPr="004927EA">
        <w:rPr>
          <w:sz w:val="20"/>
          <w:szCs w:val="20"/>
        </w:rPr>
        <w:t>disparities</w:t>
      </w:r>
      <w:proofErr w:type="spellEnd"/>
      <w:r w:rsidRPr="004927EA">
        <w:rPr>
          <w:sz w:val="20"/>
          <w:szCs w:val="20"/>
        </w:rPr>
        <w:t>:</w:t>
      </w:r>
      <w:proofErr w:type="gramEnd"/>
    </w:p>
    <w:p w14:paraId="000000E6" w14:textId="77777777" w:rsidR="004F7DB3" w:rsidRPr="004927EA" w:rsidRDefault="7E03C094" w:rsidP="001360BB">
      <w:pPr>
        <w:pStyle w:val="Paragraphedeliste"/>
        <w:numPr>
          <w:ilvl w:val="0"/>
          <w:numId w:val="228"/>
        </w:numPr>
        <w:spacing w:after="0"/>
        <w:rPr>
          <w:sz w:val="20"/>
          <w:szCs w:val="20"/>
          <w:lang w:val="en-US"/>
        </w:rPr>
      </w:pPr>
      <w:r w:rsidRPr="537FA187">
        <w:rPr>
          <w:sz w:val="20"/>
          <w:szCs w:val="20"/>
          <w:lang w:val="en-US"/>
        </w:rPr>
        <w:t xml:space="preserve">Gendered unemployment: The combined rate of unemployment and potential </w:t>
      </w:r>
      <w:proofErr w:type="spellStart"/>
      <w:r w:rsidRPr="537FA187">
        <w:rPr>
          <w:sz w:val="20"/>
          <w:szCs w:val="20"/>
          <w:lang w:val="en-US"/>
        </w:rPr>
        <w:t>labour</w:t>
      </w:r>
      <w:proofErr w:type="spellEnd"/>
      <w:r w:rsidRPr="537FA187">
        <w:rPr>
          <w:sz w:val="20"/>
          <w:szCs w:val="20"/>
          <w:lang w:val="en-US"/>
        </w:rPr>
        <w:t xml:space="preserve"> force is 39% among women, a consequence of systemic discrimination and overrepresentation in unpaid domestic work</w:t>
      </w:r>
    </w:p>
    <w:p w14:paraId="000000E7" w14:textId="77777777" w:rsidR="004F7DB3" w:rsidRPr="004927EA" w:rsidRDefault="7E03C094" w:rsidP="001360BB">
      <w:pPr>
        <w:pStyle w:val="Paragraphedeliste"/>
        <w:numPr>
          <w:ilvl w:val="0"/>
          <w:numId w:val="228"/>
        </w:numPr>
        <w:spacing w:after="0"/>
        <w:rPr>
          <w:sz w:val="20"/>
          <w:szCs w:val="20"/>
          <w:lang w:val="en-US"/>
        </w:rPr>
      </w:pPr>
      <w:r w:rsidRPr="537FA187">
        <w:rPr>
          <w:sz w:val="20"/>
          <w:szCs w:val="20"/>
          <w:lang w:val="en-US"/>
        </w:rPr>
        <w:t>Youth unemployment: The working population aged 15-35 has an unemployment rate of 18.5% (2017</w:t>
      </w:r>
      <w:r w:rsidR="00C00123" w:rsidRPr="537FA187">
        <w:rPr>
          <w:sz w:val="20"/>
          <w:szCs w:val="20"/>
          <w:vertAlign w:val="superscript"/>
        </w:rPr>
        <w:footnoteReference w:id="7"/>
      </w:r>
      <w:r w:rsidRPr="537FA187">
        <w:rPr>
          <w:sz w:val="20"/>
          <w:szCs w:val="20"/>
          <w:lang w:val="en-US"/>
        </w:rPr>
        <w:t>)</w:t>
      </w:r>
    </w:p>
    <w:p w14:paraId="000000E8" w14:textId="77777777" w:rsidR="004F7DB3" w:rsidRPr="004927EA" w:rsidRDefault="7E03C094" w:rsidP="001360BB">
      <w:pPr>
        <w:pStyle w:val="Paragraphedeliste"/>
        <w:numPr>
          <w:ilvl w:val="0"/>
          <w:numId w:val="228"/>
        </w:numPr>
        <w:spacing w:after="0"/>
        <w:rPr>
          <w:sz w:val="20"/>
          <w:szCs w:val="20"/>
          <w:lang w:val="en-US"/>
        </w:rPr>
      </w:pPr>
      <w:r w:rsidRPr="537FA187">
        <w:rPr>
          <w:sz w:val="20"/>
          <w:szCs w:val="20"/>
          <w:lang w:val="en-US"/>
        </w:rPr>
        <w:t>Job insecurity: 68%</w:t>
      </w:r>
      <w:r w:rsidR="00C00123" w:rsidRPr="537FA187">
        <w:rPr>
          <w:sz w:val="20"/>
          <w:szCs w:val="20"/>
          <w:vertAlign w:val="superscript"/>
        </w:rPr>
        <w:footnoteReference w:id="8"/>
      </w:r>
      <w:r w:rsidRPr="537FA187">
        <w:rPr>
          <w:sz w:val="20"/>
          <w:szCs w:val="20"/>
          <w:lang w:val="en-US"/>
        </w:rPr>
        <w:t xml:space="preserve"> of workers work in the informal sector, while only 16% work in the industrial and construction sectors</w:t>
      </w:r>
    </w:p>
    <w:p w14:paraId="000000E9" w14:textId="27E3EC16" w:rsidR="004F7DB3" w:rsidRPr="004927EA" w:rsidRDefault="51AE91B7" w:rsidP="00C6418F">
      <w:pPr>
        <w:spacing w:after="0"/>
        <w:rPr>
          <w:b/>
          <w:bCs/>
          <w:sz w:val="20"/>
          <w:szCs w:val="20"/>
          <w:u w:val="single"/>
          <w:lang w:val="en-US"/>
        </w:rPr>
      </w:pPr>
      <w:bookmarkStart w:id="6" w:name="_heading=h.fzkaqr7au8cv"/>
      <w:bookmarkEnd w:id="6"/>
      <w:r w:rsidRPr="537FA187">
        <w:rPr>
          <w:sz w:val="20"/>
          <w:szCs w:val="20"/>
          <w:u w:val="single"/>
          <w:lang w:val="en-US"/>
        </w:rPr>
        <w:t>Infrastructure deficit and urban service</w:t>
      </w:r>
    </w:p>
    <w:p w14:paraId="000000EA" w14:textId="74FC5603" w:rsidR="004F7DB3" w:rsidRPr="004927EA" w:rsidRDefault="2809ADD6" w:rsidP="00D451AB">
      <w:pPr>
        <w:rPr>
          <w:sz w:val="20"/>
          <w:szCs w:val="20"/>
          <w:lang w:val="en-US"/>
        </w:rPr>
      </w:pPr>
      <w:r w:rsidRPr="004927EA">
        <w:rPr>
          <w:sz w:val="20"/>
          <w:szCs w:val="20"/>
          <w:lang w:val="en-US"/>
        </w:rPr>
        <w:t>The accelerated and unplanned urbanization of Bamako is causing critical deficiencies in terms of essential infrastructure</w:t>
      </w:r>
      <w:r w:rsidR="4D4FC40B" w:rsidRPr="004927EA">
        <w:rPr>
          <w:sz w:val="20"/>
          <w:szCs w:val="20"/>
          <w:lang w:val="en-US"/>
        </w:rPr>
        <w:t xml:space="preserve"> and provision of basic services, including</w:t>
      </w:r>
      <w:r w:rsidRPr="004927EA">
        <w:rPr>
          <w:sz w:val="20"/>
          <w:szCs w:val="20"/>
          <w:lang w:val="en-US"/>
        </w:rPr>
        <w:t>:</w:t>
      </w:r>
    </w:p>
    <w:p w14:paraId="000000EB" w14:textId="77777777" w:rsidR="004F7DB3" w:rsidRPr="004927EA" w:rsidRDefault="6D0B6F6D" w:rsidP="001360BB">
      <w:pPr>
        <w:numPr>
          <w:ilvl w:val="0"/>
          <w:numId w:val="209"/>
        </w:numPr>
        <w:spacing w:before="240" w:after="0" w:line="240" w:lineRule="auto"/>
        <w:rPr>
          <w:sz w:val="20"/>
          <w:szCs w:val="20"/>
          <w:lang w:val="en-US"/>
        </w:rPr>
      </w:pPr>
      <w:r w:rsidRPr="004927EA">
        <w:rPr>
          <w:sz w:val="20"/>
          <w:szCs w:val="20"/>
          <w:lang w:val="en-US"/>
        </w:rPr>
        <w:lastRenderedPageBreak/>
        <w:t>Access to electricity: 75% of households</w:t>
      </w:r>
      <w:r w:rsidR="00C00123" w:rsidRPr="004927EA">
        <w:rPr>
          <w:sz w:val="20"/>
          <w:szCs w:val="20"/>
          <w:vertAlign w:val="superscript"/>
        </w:rPr>
        <w:footnoteReference w:id="9"/>
      </w:r>
    </w:p>
    <w:p w14:paraId="000000EC" w14:textId="77777777" w:rsidR="004F7DB3" w:rsidRPr="004927EA" w:rsidRDefault="00C00123" w:rsidP="001360BB">
      <w:pPr>
        <w:numPr>
          <w:ilvl w:val="0"/>
          <w:numId w:val="209"/>
        </w:numPr>
        <w:spacing w:after="0" w:line="240" w:lineRule="auto"/>
        <w:rPr>
          <w:sz w:val="20"/>
          <w:szCs w:val="20"/>
          <w:lang w:val="en-US"/>
        </w:rPr>
      </w:pPr>
      <w:r w:rsidRPr="004927EA">
        <w:rPr>
          <w:sz w:val="20"/>
          <w:szCs w:val="20"/>
          <w:lang w:val="en-US"/>
        </w:rPr>
        <w:t>Access to drinking water: 45% of households</w:t>
      </w:r>
      <w:r w:rsidRPr="004927EA">
        <w:rPr>
          <w:sz w:val="20"/>
          <w:szCs w:val="20"/>
          <w:vertAlign w:val="superscript"/>
        </w:rPr>
        <w:footnoteReference w:id="10"/>
      </w:r>
    </w:p>
    <w:p w14:paraId="000000ED" w14:textId="77777777" w:rsidR="004F7DB3" w:rsidRPr="004927EA" w:rsidRDefault="00C00123" w:rsidP="001360BB">
      <w:pPr>
        <w:numPr>
          <w:ilvl w:val="0"/>
          <w:numId w:val="209"/>
        </w:numPr>
        <w:spacing w:after="240" w:line="240" w:lineRule="auto"/>
        <w:rPr>
          <w:sz w:val="20"/>
          <w:szCs w:val="20"/>
          <w:lang w:val="en-US"/>
        </w:rPr>
      </w:pPr>
      <w:r w:rsidRPr="004927EA">
        <w:rPr>
          <w:sz w:val="20"/>
          <w:szCs w:val="20"/>
          <w:lang w:val="en-US"/>
        </w:rPr>
        <w:t>Waste management: 70%</w:t>
      </w:r>
      <w:r w:rsidRPr="004927EA">
        <w:rPr>
          <w:sz w:val="20"/>
          <w:szCs w:val="20"/>
          <w:vertAlign w:val="superscript"/>
        </w:rPr>
        <w:footnoteReference w:id="11"/>
      </w:r>
      <w:r w:rsidRPr="004927EA">
        <w:rPr>
          <w:sz w:val="20"/>
          <w:szCs w:val="20"/>
          <w:lang w:val="en-US"/>
        </w:rPr>
        <w:t xml:space="preserve"> territorial coverage of Bamako</w:t>
      </w:r>
    </w:p>
    <w:p w14:paraId="000000EE" w14:textId="5A3F67E6" w:rsidR="004F7DB3" w:rsidRPr="004927EA" w:rsidRDefault="352EB93F" w:rsidP="24AA8F7E">
      <w:pPr>
        <w:spacing w:before="240" w:after="240" w:line="240" w:lineRule="auto"/>
        <w:jc w:val="both"/>
        <w:rPr>
          <w:sz w:val="20"/>
          <w:szCs w:val="20"/>
          <w:lang w:val="en-US"/>
        </w:rPr>
      </w:pPr>
      <w:r w:rsidRPr="004927EA">
        <w:rPr>
          <w:sz w:val="20"/>
          <w:szCs w:val="20"/>
          <w:lang w:val="en-US"/>
        </w:rPr>
        <w:t>The development of informal settlements, home to 63%</w:t>
      </w:r>
      <w:r w:rsidR="00C00123" w:rsidRPr="004927EA">
        <w:rPr>
          <w:sz w:val="20"/>
          <w:szCs w:val="20"/>
          <w:vertAlign w:val="superscript"/>
        </w:rPr>
        <w:footnoteReference w:id="12"/>
      </w:r>
      <w:r w:rsidRPr="004927EA">
        <w:rPr>
          <w:sz w:val="20"/>
          <w:szCs w:val="20"/>
          <w:lang w:val="en-US"/>
        </w:rPr>
        <w:t xml:space="preserve"> of the urban population, exacerbates </w:t>
      </w:r>
      <w:r w:rsidRPr="5D8904BE">
        <w:rPr>
          <w:sz w:val="20"/>
          <w:szCs w:val="20"/>
          <w:lang w:val="en-US"/>
        </w:rPr>
        <w:t>shortcomings and perpetuates a cycle of socio-spatial marginalization. These areas, characterized by a concentration of vulnerable populations, suffer from particularly limited access to basic urban services. This multidimensional precariousness is a major obstacle to the inclusive development of the Malian capital and requires an integrated urban development approach, which combines participatory governance, targeted economic intervention, infrastructural prioritization and territorial capacity building. Without structural corrective measures, urbanization risks amplifying existing socio-economic and spatial inequalities, thus undermining Bamako's social cohesion and sustainable development.</w:t>
      </w:r>
    </w:p>
    <w:p w14:paraId="000000EF" w14:textId="23450EA5" w:rsidR="004F7DB3" w:rsidRPr="004927EA" w:rsidRDefault="00F72106" w:rsidP="00F72106">
      <w:pPr>
        <w:rPr>
          <w:sz w:val="20"/>
          <w:szCs w:val="20"/>
          <w:u w:val="single"/>
          <w:lang w:val="en-US"/>
        </w:rPr>
      </w:pPr>
      <w:bookmarkStart w:id="7" w:name="_heading=h.nl8zwibmlhph"/>
      <w:bookmarkEnd w:id="7"/>
      <w:r w:rsidRPr="004927EA">
        <w:rPr>
          <w:sz w:val="20"/>
          <w:szCs w:val="20"/>
          <w:u w:val="single"/>
          <w:lang w:val="en-US"/>
        </w:rPr>
        <w:t>Institutional</w:t>
      </w:r>
      <w:r w:rsidR="00EB72C4" w:rsidRPr="004927EA">
        <w:rPr>
          <w:sz w:val="20"/>
          <w:szCs w:val="20"/>
          <w:u w:val="single"/>
          <w:lang w:val="en-US"/>
        </w:rPr>
        <w:t xml:space="preserve"> fragmentati</w:t>
      </w:r>
      <w:r w:rsidRPr="004927EA">
        <w:rPr>
          <w:sz w:val="20"/>
          <w:szCs w:val="20"/>
          <w:u w:val="single"/>
          <w:lang w:val="en-US"/>
        </w:rPr>
        <w:t xml:space="preserve">on and weak coordination </w:t>
      </w:r>
      <w:r w:rsidR="00801507" w:rsidRPr="004927EA">
        <w:rPr>
          <w:sz w:val="20"/>
          <w:szCs w:val="20"/>
          <w:u w:val="single"/>
          <w:lang w:val="en-US"/>
        </w:rPr>
        <w:t>between institutions</w:t>
      </w:r>
      <w:r w:rsidRPr="004927EA">
        <w:rPr>
          <w:sz w:val="20"/>
          <w:szCs w:val="20"/>
          <w:u w:val="single"/>
          <w:lang w:val="en-US"/>
        </w:rPr>
        <w:t xml:space="preserve"> </w:t>
      </w:r>
    </w:p>
    <w:p w14:paraId="000000F0" w14:textId="10102D21" w:rsidR="004F7DB3" w:rsidRPr="004927EA" w:rsidRDefault="41219E8E">
      <w:pPr>
        <w:spacing w:before="240" w:after="0" w:line="276" w:lineRule="auto"/>
        <w:jc w:val="both"/>
        <w:rPr>
          <w:sz w:val="20"/>
          <w:szCs w:val="20"/>
          <w:lang w:val="en-US"/>
        </w:rPr>
      </w:pPr>
      <w:r w:rsidRPr="5D8904BE">
        <w:rPr>
          <w:sz w:val="20"/>
          <w:szCs w:val="20"/>
          <w:lang w:val="en-US"/>
        </w:rPr>
        <w:t xml:space="preserve">With the application of Law No. 2023-005/CNT-2023, the city of Bamako will now be constituted as a single territory, like the other urban municipalities of the Greater Bamako metropolis, each of which has its own territory. In addition, some municipalities initially with autonomous territories – notably </w:t>
      </w:r>
      <w:proofErr w:type="spellStart"/>
      <w:r w:rsidRPr="5D8904BE">
        <w:rPr>
          <w:sz w:val="20"/>
          <w:szCs w:val="20"/>
          <w:lang w:val="en-US"/>
        </w:rPr>
        <w:t>Dialakorodji</w:t>
      </w:r>
      <w:proofErr w:type="spellEnd"/>
      <w:r w:rsidRPr="5D8904BE">
        <w:rPr>
          <w:sz w:val="20"/>
          <w:szCs w:val="20"/>
          <w:lang w:val="en-US"/>
        </w:rPr>
        <w:t xml:space="preserve">, </w:t>
      </w:r>
      <w:proofErr w:type="spellStart"/>
      <w:r w:rsidRPr="5D8904BE">
        <w:rPr>
          <w:sz w:val="20"/>
          <w:szCs w:val="20"/>
          <w:lang w:val="en-US"/>
        </w:rPr>
        <w:t>Dogodouma</w:t>
      </w:r>
      <w:proofErr w:type="spellEnd"/>
      <w:r w:rsidRPr="5D8904BE">
        <w:rPr>
          <w:sz w:val="20"/>
          <w:szCs w:val="20"/>
          <w:lang w:val="en-US"/>
        </w:rPr>
        <w:t xml:space="preserve">, </w:t>
      </w:r>
      <w:proofErr w:type="spellStart"/>
      <w:r w:rsidRPr="5D8904BE">
        <w:rPr>
          <w:sz w:val="20"/>
          <w:szCs w:val="20"/>
          <w:lang w:val="en-US"/>
        </w:rPr>
        <w:t>Moribabougou</w:t>
      </w:r>
      <w:proofErr w:type="spellEnd"/>
      <w:r w:rsidRPr="5D8904BE">
        <w:rPr>
          <w:sz w:val="20"/>
          <w:szCs w:val="20"/>
          <w:lang w:val="en-US"/>
        </w:rPr>
        <w:t xml:space="preserve">, N'Gabacoro Droit and </w:t>
      </w:r>
      <w:proofErr w:type="spellStart"/>
      <w:r w:rsidRPr="5D8904BE">
        <w:rPr>
          <w:sz w:val="20"/>
          <w:szCs w:val="20"/>
          <w:lang w:val="en-US"/>
        </w:rPr>
        <w:t>Sangarébougou</w:t>
      </w:r>
      <w:proofErr w:type="spellEnd"/>
      <w:r w:rsidRPr="5D8904BE">
        <w:rPr>
          <w:sz w:val="20"/>
          <w:szCs w:val="20"/>
          <w:lang w:val="en-US"/>
        </w:rPr>
        <w:t xml:space="preserve"> – will be integrated, in whole or in part, into this unified territory of the city of Bamako. </w:t>
      </w:r>
      <w:r w:rsidR="788C1409" w:rsidRPr="5D8904BE">
        <w:rPr>
          <w:sz w:val="20"/>
          <w:szCs w:val="20"/>
          <w:lang w:val="en-US"/>
        </w:rPr>
        <w:t>T</w:t>
      </w:r>
      <w:r w:rsidRPr="5D8904BE">
        <w:rPr>
          <w:sz w:val="20"/>
          <w:szCs w:val="20"/>
          <w:lang w:val="en-US"/>
        </w:rPr>
        <w:t xml:space="preserve">his represents an opportunity </w:t>
      </w:r>
      <w:r w:rsidR="757FCABD" w:rsidRPr="5D8904BE">
        <w:rPr>
          <w:sz w:val="20"/>
          <w:szCs w:val="20"/>
          <w:lang w:val="en-US"/>
        </w:rPr>
        <w:t>for</w:t>
      </w:r>
      <w:r w:rsidRPr="5D8904BE">
        <w:rPr>
          <w:sz w:val="20"/>
          <w:szCs w:val="20"/>
          <w:lang w:val="en-US"/>
        </w:rPr>
        <w:t xml:space="preserve"> the integration of new </w:t>
      </w:r>
      <w:r w:rsidR="015DAB06" w:rsidRPr="5D8904BE">
        <w:rPr>
          <w:sz w:val="20"/>
          <w:szCs w:val="20"/>
          <w:lang w:val="en-US"/>
        </w:rPr>
        <w:t>municipalities and</w:t>
      </w:r>
      <w:r w:rsidRPr="5D8904BE">
        <w:rPr>
          <w:sz w:val="20"/>
          <w:szCs w:val="20"/>
          <w:lang w:val="en-US"/>
        </w:rPr>
        <w:t xml:space="preserve"> the uniqueness of this entire territory under the same "capital", which is the District of Bamako. However, this also presents great challenges. The main challenge lies in the implementation of integrated urban planning, the cornerstone of effective city governance. In addition, it is essential to clarify and strengthen the current framework for collaboration in governance and development between the six municipalities of the District of Bamako and the other urban municipalities of the Greater Bamako Metropolis, </w:t>
      </w:r>
      <w:proofErr w:type="gramStart"/>
      <w:r w:rsidRPr="5D8904BE">
        <w:rPr>
          <w:sz w:val="20"/>
          <w:szCs w:val="20"/>
          <w:lang w:val="en-US"/>
        </w:rPr>
        <w:t>taking into account</w:t>
      </w:r>
      <w:proofErr w:type="gramEnd"/>
      <w:r w:rsidRPr="5D8904BE">
        <w:rPr>
          <w:sz w:val="20"/>
          <w:szCs w:val="20"/>
          <w:lang w:val="en-US"/>
        </w:rPr>
        <w:t xml:space="preserve"> the changes provided for in the new District Law.</w:t>
      </w:r>
    </w:p>
    <w:p w14:paraId="000000F1" w14:textId="77777777" w:rsidR="004F7DB3" w:rsidRPr="004927EA" w:rsidRDefault="004F7DB3">
      <w:pPr>
        <w:spacing w:after="0" w:line="240" w:lineRule="auto"/>
        <w:jc w:val="both"/>
        <w:rPr>
          <w:color w:val="444746"/>
          <w:sz w:val="20"/>
          <w:szCs w:val="20"/>
          <w:highlight w:val="white"/>
          <w:lang w:val="en-US"/>
        </w:rPr>
      </w:pPr>
    </w:p>
    <w:p w14:paraId="000000F2" w14:textId="77098FC9" w:rsidR="004F7DB3" w:rsidRPr="004927EA" w:rsidRDefault="3BB408A0">
      <w:pPr>
        <w:spacing w:after="0" w:line="240" w:lineRule="auto"/>
        <w:jc w:val="both"/>
        <w:rPr>
          <w:sz w:val="20"/>
          <w:szCs w:val="20"/>
          <w:lang w:val="en-US"/>
        </w:rPr>
      </w:pPr>
      <w:r w:rsidRPr="5D8904BE">
        <w:rPr>
          <w:sz w:val="20"/>
          <w:szCs w:val="20"/>
          <w:highlight w:val="white"/>
          <w:lang w:val="en-US"/>
        </w:rPr>
        <w:t>Currently, public policies in urban planning are marked by ineffective implementation of the integrated vision of urban development that is resilient and inclusive</w:t>
      </w:r>
      <w:r w:rsidR="7DF9CF2E" w:rsidRPr="5D8904BE">
        <w:rPr>
          <w:sz w:val="20"/>
          <w:szCs w:val="20"/>
          <w:highlight w:val="white"/>
          <w:lang w:val="en-US"/>
        </w:rPr>
        <w:t>,</w:t>
      </w:r>
      <w:r w:rsidRPr="5D8904BE">
        <w:rPr>
          <w:sz w:val="20"/>
          <w:szCs w:val="20"/>
          <w:highlight w:val="white"/>
          <w:lang w:val="en-US"/>
        </w:rPr>
        <w:t xml:space="preserve"> and weak institutional coordination. Existing urban planning tools (</w:t>
      </w:r>
      <w:r w:rsidR="74F488F3" w:rsidRPr="5D8904BE">
        <w:rPr>
          <w:sz w:val="20"/>
          <w:szCs w:val="20"/>
          <w:highlight w:val="white"/>
          <w:lang w:val="en-US"/>
        </w:rPr>
        <w:t>land use plans, Urban master plan</w:t>
      </w:r>
      <w:r w:rsidRPr="5D8904BE">
        <w:rPr>
          <w:sz w:val="20"/>
          <w:szCs w:val="20"/>
          <w:highlight w:val="white"/>
          <w:lang w:val="en-US"/>
        </w:rPr>
        <w:t xml:space="preserve">, etc.) lack coherence and suffer from insufficient sectoral coordination between ministries, local authorities and specialized agencies </w:t>
      </w:r>
    </w:p>
    <w:p w14:paraId="000000F3" w14:textId="6C4EC7EC" w:rsidR="004F7DB3" w:rsidRPr="004927EA" w:rsidRDefault="12A9DD81">
      <w:pPr>
        <w:spacing w:before="240" w:after="240" w:line="240" w:lineRule="auto"/>
        <w:jc w:val="both"/>
        <w:rPr>
          <w:sz w:val="20"/>
          <w:szCs w:val="20"/>
          <w:lang w:val="en-US"/>
        </w:rPr>
      </w:pPr>
      <w:r w:rsidRPr="5D8904BE">
        <w:rPr>
          <w:sz w:val="20"/>
          <w:szCs w:val="20"/>
          <w:lang w:val="en-US"/>
        </w:rPr>
        <w:t xml:space="preserve">The fragmentation of institutional responsibilities hampers the effectiveness of public action, particularly in the transport and environmental management sectors. In the absence of an updated urban master plan and a new development plan that are aligned with current challenges, integrated projects struggle to emerge in a coherent manner. This planning framework must be based on solid institutional governance, with clear mechanisms for consultation and incentives, both regulatory and financial. Otherwise, initiatives are often delayed, poorly </w:t>
      </w:r>
      <w:r w:rsidR="4A4A85F9" w:rsidRPr="5D8904BE">
        <w:rPr>
          <w:sz w:val="20"/>
          <w:szCs w:val="20"/>
          <w:lang w:val="en-US"/>
        </w:rPr>
        <w:t>coordinated,</w:t>
      </w:r>
      <w:r w:rsidRPr="5D8904BE">
        <w:rPr>
          <w:sz w:val="20"/>
          <w:szCs w:val="20"/>
          <w:lang w:val="en-US"/>
        </w:rPr>
        <w:t xml:space="preserve"> and more costly.</w:t>
      </w:r>
    </w:p>
    <w:p w14:paraId="000000F4" w14:textId="4579B97B" w:rsidR="004F7DB3" w:rsidRPr="004927EA" w:rsidRDefault="4DD61CB3">
      <w:pPr>
        <w:spacing w:before="240" w:after="240" w:line="240" w:lineRule="auto"/>
        <w:jc w:val="both"/>
        <w:rPr>
          <w:sz w:val="20"/>
          <w:szCs w:val="20"/>
          <w:lang w:val="en-US"/>
        </w:rPr>
      </w:pPr>
      <w:r w:rsidRPr="1A8B662A">
        <w:rPr>
          <w:sz w:val="20"/>
          <w:szCs w:val="20"/>
          <w:lang w:val="en-US"/>
        </w:rPr>
        <w:t>In addition, the participation of the private sector and civil society organization</w:t>
      </w:r>
      <w:r w:rsidR="752272C9" w:rsidRPr="1A8B662A">
        <w:rPr>
          <w:sz w:val="20"/>
          <w:szCs w:val="20"/>
          <w:lang w:val="en-US"/>
        </w:rPr>
        <w:t xml:space="preserve">, including women, youth, indigenous, elderly or marginalized populations in </w:t>
      </w:r>
      <w:r w:rsidR="6633D562" w:rsidRPr="1A8B662A">
        <w:rPr>
          <w:sz w:val="20"/>
          <w:szCs w:val="20"/>
          <w:lang w:val="en-US"/>
        </w:rPr>
        <w:t>general,</w:t>
      </w:r>
      <w:r w:rsidR="20AEA0F6" w:rsidRPr="1A8B662A">
        <w:rPr>
          <w:sz w:val="20"/>
          <w:szCs w:val="20"/>
          <w:lang w:val="en-US"/>
        </w:rPr>
        <w:t xml:space="preserve"> </w:t>
      </w:r>
      <w:r w:rsidRPr="1A8B662A">
        <w:rPr>
          <w:sz w:val="20"/>
          <w:szCs w:val="20"/>
          <w:lang w:val="en-US"/>
        </w:rPr>
        <w:t>remains too limited, even though they could be catalysts for innovation and financing for sustainable solutions. The weak integration of climate and environmental issues into sectoral policies, combined with a lack of inclusiveness in their implementation, undermines social support and slows down the implementation of national strategies.</w:t>
      </w:r>
    </w:p>
    <w:p w14:paraId="31F522A0" w14:textId="64E2BFBE" w:rsidR="55D31EA4" w:rsidRPr="00857B81" w:rsidRDefault="55D31EA4" w:rsidP="1A8B662A">
      <w:pPr>
        <w:spacing w:after="0"/>
        <w:jc w:val="both"/>
        <w:rPr>
          <w:sz w:val="20"/>
          <w:szCs w:val="20"/>
          <w:highlight w:val="yellow"/>
          <w:lang w:val="en-US"/>
        </w:rPr>
      </w:pPr>
      <w:r w:rsidRPr="00857B81">
        <w:rPr>
          <w:sz w:val="20"/>
          <w:szCs w:val="20"/>
          <w:highlight w:val="yellow"/>
          <w:lang w:val="en-US"/>
        </w:rPr>
        <w:t>Renewable Energy challenges and opportunities:</w:t>
      </w:r>
    </w:p>
    <w:p w14:paraId="0767EA8E" w14:textId="49C92AB7" w:rsidR="55D31EA4" w:rsidRPr="00857B81" w:rsidRDefault="55D31EA4" w:rsidP="2DC80E69">
      <w:pPr>
        <w:spacing w:before="240" w:after="240"/>
        <w:jc w:val="both"/>
        <w:rPr>
          <w:sz w:val="20"/>
          <w:szCs w:val="20"/>
          <w:highlight w:val="yellow"/>
          <w:lang w:val="en-US"/>
        </w:rPr>
      </w:pPr>
      <w:r w:rsidRPr="2DC80E69">
        <w:rPr>
          <w:sz w:val="20"/>
          <w:szCs w:val="20"/>
          <w:highlight w:val="yellow"/>
          <w:lang w:val="en-US"/>
        </w:rPr>
        <w:t xml:space="preserve">Bamako is the first economic hub in Mali. However, </w:t>
      </w:r>
      <w:proofErr w:type="spellStart"/>
      <w:r w:rsidR="77C570F1" w:rsidRPr="2DC80E69">
        <w:rPr>
          <w:sz w:val="20"/>
          <w:szCs w:val="20"/>
          <w:highlight w:val="yellow"/>
          <w:lang w:val="en-US"/>
        </w:rPr>
        <w:t>i</w:t>
      </w:r>
      <w:r w:rsidRPr="2DC80E69">
        <w:rPr>
          <w:sz w:val="20"/>
          <w:szCs w:val="20"/>
          <w:highlight w:val="yellow"/>
          <w:lang w:val="en-US"/>
        </w:rPr>
        <w:t>is</w:t>
      </w:r>
      <w:proofErr w:type="spellEnd"/>
      <w:r w:rsidRPr="2DC80E69">
        <w:rPr>
          <w:sz w:val="20"/>
          <w:szCs w:val="20"/>
          <w:highlight w:val="yellow"/>
          <w:lang w:val="en-US"/>
        </w:rPr>
        <w:t xml:space="preserve"> transition to renewable energy faces several structural and financial barriers, including high acquisition costs for clean technologies such as electric vehicles, limited access to concessional financing, insufficient fiscal and regulatory incentives, and weak private sector </w:t>
      </w:r>
      <w:r w:rsidRPr="2DC80E69">
        <w:rPr>
          <w:sz w:val="20"/>
          <w:szCs w:val="20"/>
          <w:highlight w:val="yellow"/>
          <w:lang w:val="en-US"/>
        </w:rPr>
        <w:lastRenderedPageBreak/>
        <w:t xml:space="preserve">participation—hampered by legal opacity and a lack of market visibility. The city’s outdated and unstable electricity grid further constrains the integration of renewable energy, while inadequate infrastructure for distribution and storage, combined with a shortage of technical capacity and public awareness, impedes broader deployment. Without urgent investment in grid modernization, institutional reform, and coordinated support mechanisms, the </w:t>
      </w:r>
      <w:r w:rsidR="47DC801E" w:rsidRPr="2DC80E69">
        <w:rPr>
          <w:sz w:val="20"/>
          <w:szCs w:val="20"/>
          <w:highlight w:val="yellow"/>
          <w:lang w:val="en-US"/>
        </w:rPr>
        <w:t xml:space="preserve">energy </w:t>
      </w:r>
      <w:r w:rsidRPr="2DC80E69">
        <w:rPr>
          <w:sz w:val="20"/>
          <w:szCs w:val="20"/>
          <w:highlight w:val="yellow"/>
          <w:lang w:val="en-US"/>
        </w:rPr>
        <w:t xml:space="preserve">sector will remain a significant obstacle to low-carbon and inclusive urban development. Programs such as the regional ROGEAP initiative or Africa </w:t>
      </w:r>
      <w:proofErr w:type="spellStart"/>
      <w:r w:rsidRPr="2DC80E69">
        <w:rPr>
          <w:sz w:val="20"/>
          <w:szCs w:val="20"/>
          <w:highlight w:val="yellow"/>
          <w:lang w:val="en-US"/>
        </w:rPr>
        <w:t>Minigrid</w:t>
      </w:r>
      <w:proofErr w:type="spellEnd"/>
      <w:r w:rsidRPr="2DC80E69">
        <w:rPr>
          <w:sz w:val="20"/>
          <w:szCs w:val="20"/>
          <w:highlight w:val="yellow"/>
          <w:lang w:val="en-US"/>
        </w:rPr>
        <w:t xml:space="preserve"> </w:t>
      </w:r>
      <w:proofErr w:type="spellStart"/>
      <w:r w:rsidRPr="2DC80E69">
        <w:rPr>
          <w:sz w:val="20"/>
          <w:szCs w:val="20"/>
          <w:highlight w:val="yellow"/>
          <w:lang w:val="en-US"/>
        </w:rPr>
        <w:t>Programme</w:t>
      </w:r>
      <w:proofErr w:type="spellEnd"/>
      <w:r>
        <w:fldChar w:fldCharType="begin"/>
      </w:r>
      <w:r w:rsidRPr="00F50786">
        <w:rPr>
          <w:lang w:val="en-US"/>
          <w:rPrChange w:id="8" w:author="Ali Sambou" w:date="2026-01-06T13:23:00Z" w16du:dateUtc="2026-01-06T13:23:00Z">
            <w:rPr/>
          </w:rPrChange>
        </w:rPr>
        <w:instrText>HYPERLINK "https://euc-word-edit.officeapps.live.com/we/wordeditorframe.aspx?ui=fr&amp;rs=en-US&amp;wopisrc=https%3A%2F%2Fundp-my.sharepoint.com%2Fpersonal%2Fidris_bexi_undp_org%2F_vti_bin%2Fwopi.ashx%2Ffiles%2F8558af3f49434156b05d86e378c85983&amp;wdenableroaming=1&amp;mscc=0&amp;wdodb=1&amp;hid=EBEDBDA1-5005-0000-76DF-33663E72FFB6.0&amp;uih=sharepointcom&amp;wdlcid=fr&amp;jsapi=1&amp;jsapiver=v2&amp;corrid=25b28d4f-60b3-8f9a-c6ae-aae30a8b34f9&amp;usid=25b28d4f-60b3-8f9a-c6ae-aae30a8b34f9&amp;newsession=1&amp;sftc=1&amp;uihit=docaspx&amp;muv=1&amp;ats=PairwiseBroker&amp;cac=1&amp;sams=1&amp;mtf=1&amp;sfp=1&amp;sdp=1&amp;hch=1&amp;hwfh=1&amp;dchat=1&amp;sc=%7B%22pmo%22%3A%22https%3A%2F%2Fundp-my.sharepoint.com%22%2C%22pmshare%22%3Atrue%7D&amp;ctp=LeastProtected&amp;rct=Normal&amp;wdorigin=BrowserReload&amp;afdflight=49&amp;csiro=1&amp;instantedit=1&amp;wopicomplete=1&amp;wdredirectionreason=Unified_SingleFlush" \h</w:instrText>
      </w:r>
      <w:r>
        <w:fldChar w:fldCharType="separate"/>
      </w:r>
      <w:r w:rsidRPr="2DC80E69">
        <w:rPr>
          <w:rStyle w:val="Lienhypertexte"/>
          <w:sz w:val="18"/>
          <w:szCs w:val="18"/>
          <w:highlight w:val="yellow"/>
          <w:vertAlign w:val="superscript"/>
          <w:lang w:val="en-US"/>
        </w:rPr>
        <w:t>[1]</w:t>
      </w:r>
      <w:r>
        <w:fldChar w:fldCharType="end"/>
      </w:r>
      <w:r w:rsidRPr="2DC80E69">
        <w:rPr>
          <w:sz w:val="20"/>
          <w:szCs w:val="20"/>
          <w:highlight w:val="yellow"/>
          <w:lang w:val="en-US"/>
        </w:rPr>
        <w:t xml:space="preserve"> are helping Malian companies expand off-grid solutions, indirectly benefiting Bamako’s ecosystem.  Bamako has considerable potential for renewable energy, particularly solar power. An estimated 250 MW of solar capacity had been cumulatively installed by 2025, largely by a dynamic network of 200 to 300 private companies operating in solar, wind, and bioenergy—mainly in off-grid systems deployed both in Bamako and across the country</w:t>
      </w:r>
      <w:r w:rsidR="03995D00" w:rsidRPr="2DC80E69">
        <w:rPr>
          <w:sz w:val="20"/>
          <w:szCs w:val="20"/>
          <w:highlight w:val="yellow"/>
          <w:lang w:val="en-US"/>
        </w:rPr>
        <w:t xml:space="preserve"> </w:t>
      </w:r>
      <w:r w:rsidR="03995D00" w:rsidRPr="2DC80E69">
        <w:rPr>
          <w:color w:val="498205"/>
          <w:sz w:val="20"/>
          <w:szCs w:val="20"/>
          <w:highlight w:val="yellow"/>
          <w:u w:val="single"/>
          <w:lang w:val="en-US"/>
        </w:rPr>
        <w:t xml:space="preserve">without any </w:t>
      </w:r>
      <w:proofErr w:type="spellStart"/>
      <w:r w:rsidR="03995D00" w:rsidRPr="2DC80E69">
        <w:rPr>
          <w:color w:val="498205"/>
          <w:sz w:val="20"/>
          <w:szCs w:val="20"/>
          <w:highlight w:val="yellow"/>
          <w:u w:val="single"/>
          <w:lang w:val="en-US"/>
        </w:rPr>
        <w:t>possibilty</w:t>
      </w:r>
      <w:proofErr w:type="spellEnd"/>
      <w:r w:rsidR="03995D00" w:rsidRPr="2DC80E69">
        <w:rPr>
          <w:color w:val="498205"/>
          <w:sz w:val="20"/>
          <w:szCs w:val="20"/>
          <w:highlight w:val="yellow"/>
          <w:u w:val="single"/>
          <w:lang w:val="en-US"/>
        </w:rPr>
        <w:t xml:space="preserve"> of injection in the electrical grid for instability reason</w:t>
      </w:r>
      <w:r w:rsidRPr="2DC80E69">
        <w:rPr>
          <w:sz w:val="20"/>
          <w:szCs w:val="20"/>
          <w:highlight w:val="yellow"/>
          <w:lang w:val="en-US"/>
        </w:rPr>
        <w:t>. However, reliable data remains a challenge, as this figure is based on estimates from a private-sector energy organization, and no official statistics currently exist on the penetration of off-grid renewable solutions</w:t>
      </w:r>
      <w:r w:rsidR="6E52EB10" w:rsidRPr="2DC80E69">
        <w:rPr>
          <w:sz w:val="20"/>
          <w:szCs w:val="20"/>
          <w:highlight w:val="yellow"/>
          <w:lang w:val="en-US"/>
        </w:rPr>
        <w:t xml:space="preserve"> in the last years</w:t>
      </w:r>
      <w:r w:rsidRPr="2DC80E69">
        <w:rPr>
          <w:sz w:val="20"/>
          <w:szCs w:val="20"/>
          <w:highlight w:val="yellow"/>
          <w:lang w:val="en-US"/>
        </w:rPr>
        <w:t>. Efforts are underway to improve data collection and monitoring to better capture the scope and impact of these initiatives.</w:t>
      </w:r>
    </w:p>
    <w:p w14:paraId="248336FB" w14:textId="3174962A" w:rsidR="55D31EA4" w:rsidRDefault="55D31EA4" w:rsidP="1A8B662A">
      <w:pPr>
        <w:spacing w:before="240" w:after="240"/>
        <w:jc w:val="both"/>
        <w:rPr>
          <w:sz w:val="20"/>
          <w:szCs w:val="20"/>
          <w:lang w:val="en-US"/>
        </w:rPr>
      </w:pPr>
      <w:r w:rsidRPr="00857B81">
        <w:rPr>
          <w:sz w:val="20"/>
          <w:szCs w:val="20"/>
          <w:highlight w:val="yellow"/>
          <w:lang w:val="en-US"/>
        </w:rPr>
        <w:t>While national policies in support of renewable energy exist, their operationalization remains limited, and tax incentives are largely absent. Harnessing this potential will require stronger coordination between government, private sector, NGOs, and financial institutions to establish a more enabling environment for renewable energy investments and sustainable mobility—critical levers for improving access, reducing emissions, and enhancing Bamako’s climate resilience.</w:t>
      </w:r>
    </w:p>
    <w:p w14:paraId="000000F5" w14:textId="6A5FF547" w:rsidR="004F7DB3" w:rsidRPr="004927EA" w:rsidRDefault="2D1AE634" w:rsidP="00BE2206">
      <w:pPr>
        <w:rPr>
          <w:sz w:val="20"/>
          <w:szCs w:val="20"/>
          <w:u w:val="single"/>
          <w:lang w:val="en-US"/>
        </w:rPr>
      </w:pPr>
      <w:bookmarkStart w:id="9" w:name="_heading=h.9mfz70mtl867"/>
      <w:bookmarkEnd w:id="9"/>
      <w:r w:rsidRPr="004927EA">
        <w:rPr>
          <w:sz w:val="20"/>
          <w:szCs w:val="20"/>
          <w:u w:val="single"/>
          <w:lang w:val="en-US"/>
        </w:rPr>
        <w:t>I</w:t>
      </w:r>
      <w:r w:rsidR="00BE2206" w:rsidRPr="004927EA">
        <w:rPr>
          <w:sz w:val="20"/>
          <w:szCs w:val="20"/>
          <w:u w:val="single"/>
          <w:lang w:val="en-US"/>
        </w:rPr>
        <w:t>nadequate urban transport system</w:t>
      </w:r>
    </w:p>
    <w:p w14:paraId="3ED3FA54" w14:textId="647A7B79" w:rsidR="143FACC8" w:rsidRPr="004927EA" w:rsidRDefault="40527012" w:rsidP="09038978">
      <w:pPr>
        <w:spacing w:line="257" w:lineRule="auto"/>
        <w:jc w:val="both"/>
        <w:rPr>
          <w:sz w:val="20"/>
          <w:szCs w:val="20"/>
          <w:lang w:val="en-US"/>
        </w:rPr>
      </w:pPr>
      <w:r w:rsidRPr="5D8904BE">
        <w:rPr>
          <w:sz w:val="20"/>
          <w:szCs w:val="20"/>
          <w:lang w:val="en-US"/>
        </w:rPr>
        <w:t xml:space="preserve">Bamako has seen numerous unsuccessful public and private attempts to structure urban transport, the most recent of which date back to the 1990s, with the TABABUS and BAMABUS companies, which were wiped out by the 1994 devaluation of the CFA franc. Today, the system relies almost exclusively on artisanal solutions such as SOTRAMA, motorcycle </w:t>
      </w:r>
      <w:r w:rsidR="5EC734C7" w:rsidRPr="5D8904BE">
        <w:rPr>
          <w:sz w:val="20"/>
          <w:szCs w:val="20"/>
          <w:lang w:val="en-US"/>
        </w:rPr>
        <w:t>taxis,</w:t>
      </w:r>
      <w:r w:rsidRPr="5D8904BE">
        <w:rPr>
          <w:sz w:val="20"/>
          <w:szCs w:val="20"/>
          <w:lang w:val="en-US"/>
        </w:rPr>
        <w:t xml:space="preserve"> and </w:t>
      </w:r>
      <w:proofErr w:type="spellStart"/>
      <w:r w:rsidR="0DA90A32" w:rsidRPr="5D8904BE">
        <w:rPr>
          <w:sz w:val="20"/>
          <w:szCs w:val="20"/>
          <w:lang w:val="en-US"/>
        </w:rPr>
        <w:t>D</w:t>
      </w:r>
      <w:r w:rsidRPr="5D8904BE">
        <w:rPr>
          <w:sz w:val="20"/>
          <w:szCs w:val="20"/>
          <w:lang w:val="en-US"/>
        </w:rPr>
        <w:t>ourouni</w:t>
      </w:r>
      <w:proofErr w:type="spellEnd"/>
      <w:r w:rsidRPr="5D8904BE">
        <w:rPr>
          <w:sz w:val="20"/>
          <w:szCs w:val="20"/>
          <w:lang w:val="en-US"/>
        </w:rPr>
        <w:t xml:space="preserve">. These modes, although essential for urban mobility (with more than 600,000 daily users for SOTRAMA in 2021), operate outside of any structured framework (no timetables, clear fares or formal network). SOTRAMA are owned by three types of actors: owner-operators (who drive their own vehicles), lessors (who rent them to drivers), and cooperatives or groups </w:t>
      </w:r>
      <w:r w:rsidR="1C2268AA" w:rsidRPr="5D8904BE">
        <w:rPr>
          <w:sz w:val="20"/>
          <w:szCs w:val="20"/>
          <w:lang w:val="en-US"/>
        </w:rPr>
        <w:t xml:space="preserve">that </w:t>
      </w:r>
      <w:r w:rsidRPr="5D8904BE">
        <w:rPr>
          <w:sz w:val="20"/>
          <w:szCs w:val="20"/>
          <w:lang w:val="en-US"/>
        </w:rPr>
        <w:t xml:space="preserve">pool resources and </w:t>
      </w:r>
      <w:r w:rsidR="2773AC12" w:rsidRPr="5D8904BE">
        <w:rPr>
          <w:sz w:val="20"/>
          <w:szCs w:val="20"/>
          <w:lang w:val="en-US"/>
        </w:rPr>
        <w:t xml:space="preserve">benefit from </w:t>
      </w:r>
      <w:r w:rsidRPr="5D8904BE">
        <w:rPr>
          <w:sz w:val="20"/>
          <w:szCs w:val="20"/>
          <w:lang w:val="en-US"/>
        </w:rPr>
        <w:t xml:space="preserve">collective bargaining. In view of the above, professionalization of the sector was </w:t>
      </w:r>
      <w:r w:rsidR="6354E58E" w:rsidRPr="5D8904BE">
        <w:rPr>
          <w:sz w:val="20"/>
          <w:szCs w:val="20"/>
          <w:lang w:val="en-US"/>
        </w:rPr>
        <w:t>necessary,</w:t>
      </w:r>
      <w:r w:rsidRPr="5D8904BE">
        <w:rPr>
          <w:sz w:val="20"/>
          <w:szCs w:val="20"/>
          <w:lang w:val="en-US"/>
        </w:rPr>
        <w:t xml:space="preserve"> and it occupied a large place in the formulation of </w:t>
      </w:r>
      <w:r w:rsidR="15735337" w:rsidRPr="5D8904BE">
        <w:rPr>
          <w:sz w:val="20"/>
          <w:szCs w:val="20"/>
          <w:lang w:val="en-US"/>
        </w:rPr>
        <w:t>national</w:t>
      </w:r>
      <w:r w:rsidRPr="5D8904BE">
        <w:rPr>
          <w:sz w:val="20"/>
          <w:szCs w:val="20"/>
          <w:lang w:val="en-US"/>
        </w:rPr>
        <w:t xml:space="preserve"> policy.</w:t>
      </w:r>
    </w:p>
    <w:p w14:paraId="6A75251E" w14:textId="499E88F3" w:rsidR="143FACC8" w:rsidRPr="004927EA" w:rsidRDefault="0EBB614F" w:rsidP="09038978">
      <w:pPr>
        <w:spacing w:line="257" w:lineRule="auto"/>
        <w:jc w:val="both"/>
        <w:rPr>
          <w:sz w:val="20"/>
          <w:szCs w:val="20"/>
          <w:lang w:val="en-US"/>
        </w:rPr>
      </w:pPr>
      <w:r w:rsidRPr="004927EA">
        <w:rPr>
          <w:sz w:val="20"/>
          <w:szCs w:val="20"/>
          <w:lang w:val="en-US"/>
        </w:rPr>
        <w:t>Developed in September 2015 and approved in February 2016, the National Policy on Transport, Information and Communication Technologies for Development (PNTITD) and its 2015-2019 action plan</w:t>
      </w:r>
      <w:r w:rsidR="00677347">
        <w:rPr>
          <w:sz w:val="20"/>
          <w:szCs w:val="20"/>
          <w:lang w:val="en-US"/>
        </w:rPr>
        <w:t xml:space="preserve"> </w:t>
      </w:r>
      <w:r w:rsidRPr="004927EA">
        <w:rPr>
          <w:sz w:val="20"/>
          <w:szCs w:val="20"/>
          <w:lang w:val="en-US"/>
        </w:rPr>
        <w:t>sets out an ambitious vision: modernizing infrastructure, professionalizing the sector, and reducing environmental impact. It clearly identifies the strategic importance of urban transport, particularly in Bamako, which is undergoing rapid urbanization and facing increasing motorization. The overall funding for its first action plan (2015-2019) was estimated at approximately 3,856,435,000,000 CFA francs</w:t>
      </w:r>
      <w:r w:rsidR="00CB7C54" w:rsidRPr="004927EA">
        <w:rPr>
          <w:rStyle w:val="Appelnotedebasdep"/>
          <w:rFonts w:ascii="Calibri" w:hAnsi="Calibri"/>
          <w:sz w:val="20"/>
          <w:szCs w:val="20"/>
          <w:lang w:val="en-US"/>
        </w:rPr>
        <w:footnoteReference w:id="13"/>
      </w:r>
      <w:r w:rsidRPr="004927EA">
        <w:rPr>
          <w:sz w:val="20"/>
          <w:szCs w:val="20"/>
          <w:lang w:val="en-US"/>
        </w:rPr>
        <w:t xml:space="preserve">. </w:t>
      </w:r>
    </w:p>
    <w:p w14:paraId="13726E78" w14:textId="37EED7D2" w:rsidR="143FACC8" w:rsidRPr="006F5E1D" w:rsidRDefault="1C7CD37A" w:rsidP="4BF8F921">
      <w:pPr>
        <w:spacing w:line="257" w:lineRule="auto"/>
        <w:jc w:val="both"/>
        <w:rPr>
          <w:sz w:val="20"/>
          <w:szCs w:val="20"/>
          <w:lang w:val="en-US"/>
        </w:rPr>
      </w:pPr>
      <w:r w:rsidRPr="006A55BC">
        <w:rPr>
          <w:sz w:val="20"/>
          <w:szCs w:val="20"/>
          <w:lang w:val="en-US"/>
        </w:rPr>
        <w:t>While the development of national transport policy is the responsibility of the State (through the ministry responsible for transport), its implementation, including in Bamako, is ensured by a variety of actors listed in the table below</w:t>
      </w:r>
      <w:r w:rsidR="00CB7C54" w:rsidRPr="4BF8F921">
        <w:rPr>
          <w:rStyle w:val="Appelnotedebasdep"/>
          <w:rFonts w:ascii="Calibri" w:hAnsi="Calibri"/>
          <w:sz w:val="20"/>
          <w:szCs w:val="20"/>
        </w:rPr>
        <w:footnoteReference w:id="14"/>
      </w:r>
      <w:r w:rsidRPr="006A55BC">
        <w:rPr>
          <w:sz w:val="20"/>
          <w:szCs w:val="20"/>
          <w:lang w:val="en-US"/>
        </w:rPr>
        <w:t xml:space="preserve">: </w:t>
      </w:r>
    </w:p>
    <w:p w14:paraId="2AE3BDD4" w14:textId="0434B195" w:rsidR="00822F43" w:rsidRPr="00904041" w:rsidRDefault="6268ABE6" w:rsidP="00822F43">
      <w:pPr>
        <w:pStyle w:val="Lgende"/>
        <w:keepNext/>
        <w:rPr>
          <w:rFonts w:ascii="Calibri" w:hAnsi="Calibri" w:cs="Calibri"/>
          <w:sz w:val="20"/>
          <w:szCs w:val="20"/>
          <w:lang w:val="en-US"/>
        </w:rPr>
      </w:pPr>
      <w:bookmarkStart w:id="10" w:name="_Ref199131055"/>
      <w:bookmarkStart w:id="11" w:name="_Toc199489219"/>
      <w:r w:rsidRPr="5D8904BE">
        <w:rPr>
          <w:rFonts w:ascii="Calibri" w:hAnsi="Calibri" w:cs="Calibri"/>
          <w:sz w:val="20"/>
          <w:szCs w:val="20"/>
          <w:lang w:val="en-US"/>
        </w:rPr>
        <w:t xml:space="preserve">Table </w:t>
      </w:r>
      <w:r w:rsidR="499B1728" w:rsidRPr="5D8904BE">
        <w:rPr>
          <w:rFonts w:ascii="Calibri" w:hAnsi="Calibri" w:cs="Calibri"/>
          <w:sz w:val="20"/>
          <w:szCs w:val="20"/>
        </w:rPr>
        <w:fldChar w:fldCharType="begin"/>
      </w:r>
      <w:r w:rsidR="499B1728" w:rsidRPr="5D8904BE">
        <w:rPr>
          <w:rFonts w:ascii="Calibri" w:hAnsi="Calibri" w:cs="Calibri"/>
          <w:sz w:val="20"/>
          <w:szCs w:val="20"/>
          <w:lang w:val="en-US"/>
        </w:rPr>
        <w:instrText xml:space="preserve"> SEQ Tableau \* ARABIC </w:instrText>
      </w:r>
      <w:r w:rsidR="499B1728" w:rsidRPr="5D8904BE">
        <w:rPr>
          <w:rFonts w:ascii="Calibri" w:hAnsi="Calibri" w:cs="Calibri"/>
          <w:sz w:val="20"/>
          <w:szCs w:val="20"/>
        </w:rPr>
        <w:fldChar w:fldCharType="separate"/>
      </w:r>
      <w:r w:rsidR="288B6DF6" w:rsidRPr="5D8904BE">
        <w:rPr>
          <w:rFonts w:ascii="Calibri" w:hAnsi="Calibri" w:cs="Calibri"/>
          <w:noProof/>
          <w:sz w:val="20"/>
          <w:szCs w:val="20"/>
          <w:lang w:val="en-US"/>
        </w:rPr>
        <w:t>1</w:t>
      </w:r>
      <w:r w:rsidR="499B1728" w:rsidRPr="5D8904BE">
        <w:rPr>
          <w:rFonts w:ascii="Calibri" w:hAnsi="Calibri" w:cs="Calibri"/>
          <w:sz w:val="20"/>
          <w:szCs w:val="20"/>
        </w:rPr>
        <w:fldChar w:fldCharType="end"/>
      </w:r>
      <w:r w:rsidRPr="5D8904BE">
        <w:rPr>
          <w:rFonts w:ascii="Calibri" w:hAnsi="Calibri" w:cs="Calibri"/>
          <w:sz w:val="20"/>
          <w:szCs w:val="20"/>
          <w:lang w:val="en-US"/>
        </w:rPr>
        <w:t xml:space="preserve"> : Stakeholders involved in the implementation of </w:t>
      </w:r>
      <w:r w:rsidR="2692A1EE" w:rsidRPr="5D8904BE">
        <w:rPr>
          <w:rFonts w:ascii="Calibri" w:hAnsi="Calibri" w:cs="Calibri"/>
          <w:sz w:val="20"/>
          <w:szCs w:val="20"/>
          <w:lang w:val="en-US"/>
        </w:rPr>
        <w:t xml:space="preserve">National Transport Policy </w:t>
      </w:r>
      <w:bookmarkEnd w:id="10"/>
      <w:bookmarkEnd w:id="11"/>
    </w:p>
    <w:tbl>
      <w:tblPr>
        <w:tblStyle w:val="Grilledetableauclaire"/>
        <w:tblW w:w="8998" w:type="dxa"/>
        <w:tblLayout w:type="fixed"/>
        <w:tblLook w:val="04A0" w:firstRow="1" w:lastRow="0" w:firstColumn="1" w:lastColumn="0" w:noHBand="0" w:noVBand="1"/>
      </w:tblPr>
      <w:tblGrid>
        <w:gridCol w:w="627"/>
        <w:gridCol w:w="3028"/>
        <w:gridCol w:w="5343"/>
      </w:tblGrid>
      <w:tr w:rsidR="29C31CBA" w:rsidRPr="004B3625" w14:paraId="1DAF2B7A" w14:textId="77777777" w:rsidTr="537FA187">
        <w:trPr>
          <w:trHeight w:val="300"/>
        </w:trPr>
        <w:tc>
          <w:tcPr>
            <w:tcW w:w="627" w:type="dxa"/>
          </w:tcPr>
          <w:p w14:paraId="4DE05A43" w14:textId="6E47073F" w:rsidR="29C31CBA" w:rsidRPr="006F5E1D" w:rsidRDefault="08BB2E0A" w:rsidP="3D58A386">
            <w:pPr>
              <w:spacing w:after="160" w:line="257" w:lineRule="auto"/>
              <w:rPr>
                <w:sz w:val="18"/>
                <w:szCs w:val="18"/>
              </w:rPr>
            </w:pPr>
            <w:r w:rsidRPr="006F5E1D">
              <w:rPr>
                <w:sz w:val="18"/>
                <w:szCs w:val="18"/>
              </w:rPr>
              <w:t>N°</w:t>
            </w:r>
          </w:p>
        </w:tc>
        <w:tc>
          <w:tcPr>
            <w:tcW w:w="3028" w:type="dxa"/>
          </w:tcPr>
          <w:p w14:paraId="22E931F8" w14:textId="1FDD2FCA" w:rsidR="29C31CBA" w:rsidRPr="006F5E1D" w:rsidRDefault="08BB2E0A" w:rsidP="3D58A386">
            <w:pPr>
              <w:spacing w:after="160" w:line="257" w:lineRule="auto"/>
              <w:rPr>
                <w:sz w:val="18"/>
                <w:szCs w:val="18"/>
              </w:rPr>
            </w:pPr>
            <w:r w:rsidRPr="006F5E1D">
              <w:rPr>
                <w:sz w:val="18"/>
                <w:szCs w:val="18"/>
              </w:rPr>
              <w:t>Name of the institution</w:t>
            </w:r>
          </w:p>
        </w:tc>
        <w:tc>
          <w:tcPr>
            <w:tcW w:w="5343" w:type="dxa"/>
          </w:tcPr>
          <w:p w14:paraId="1F58400C" w14:textId="288F9E1E" w:rsidR="29C31CBA" w:rsidRPr="006F5E1D" w:rsidRDefault="7272CE76" w:rsidP="3D58A386">
            <w:pPr>
              <w:spacing w:after="160" w:line="257" w:lineRule="auto"/>
              <w:rPr>
                <w:sz w:val="18"/>
                <w:szCs w:val="18"/>
              </w:rPr>
            </w:pPr>
            <w:proofErr w:type="spellStart"/>
            <w:r w:rsidRPr="006F5E1D">
              <w:rPr>
                <w:sz w:val="18"/>
                <w:szCs w:val="18"/>
              </w:rPr>
              <w:t>Role</w:t>
            </w:r>
            <w:proofErr w:type="spellEnd"/>
            <w:r w:rsidRPr="006F5E1D">
              <w:rPr>
                <w:sz w:val="18"/>
                <w:szCs w:val="18"/>
              </w:rPr>
              <w:t xml:space="preserve"> of the institution</w:t>
            </w:r>
          </w:p>
        </w:tc>
      </w:tr>
      <w:tr w:rsidR="29C31CBA" w:rsidRPr="00F50786" w14:paraId="0C7A7E96" w14:textId="77777777" w:rsidTr="537FA187">
        <w:trPr>
          <w:trHeight w:val="300"/>
        </w:trPr>
        <w:tc>
          <w:tcPr>
            <w:tcW w:w="627" w:type="dxa"/>
          </w:tcPr>
          <w:p w14:paraId="2AE4FDBD" w14:textId="1DB284EB" w:rsidR="29C31CBA" w:rsidRPr="006F5E1D" w:rsidRDefault="08BB2E0A" w:rsidP="3D58A386">
            <w:pPr>
              <w:spacing w:after="160" w:line="257" w:lineRule="auto"/>
              <w:rPr>
                <w:sz w:val="18"/>
                <w:szCs w:val="18"/>
              </w:rPr>
            </w:pPr>
            <w:r w:rsidRPr="006F5E1D">
              <w:rPr>
                <w:sz w:val="18"/>
                <w:szCs w:val="18"/>
              </w:rPr>
              <w:t>1</w:t>
            </w:r>
          </w:p>
        </w:tc>
        <w:tc>
          <w:tcPr>
            <w:tcW w:w="3028" w:type="dxa"/>
          </w:tcPr>
          <w:p w14:paraId="2AD716D2" w14:textId="6A09F71E" w:rsidR="29C31CBA" w:rsidRPr="006F5E1D" w:rsidRDefault="505FB342" w:rsidP="3D58A386">
            <w:pPr>
              <w:spacing w:after="160" w:line="257" w:lineRule="auto"/>
              <w:rPr>
                <w:b/>
                <w:bCs/>
                <w:sz w:val="18"/>
                <w:szCs w:val="18"/>
              </w:rPr>
            </w:pPr>
            <w:r w:rsidRPr="006F5E1D">
              <w:rPr>
                <w:b/>
                <w:bCs/>
                <w:sz w:val="18"/>
                <w:szCs w:val="18"/>
              </w:rPr>
              <w:t>The State</w:t>
            </w:r>
          </w:p>
        </w:tc>
        <w:tc>
          <w:tcPr>
            <w:tcW w:w="5343" w:type="dxa"/>
          </w:tcPr>
          <w:p w14:paraId="0BC5D93C" w14:textId="283894D3" w:rsidR="29C31CBA" w:rsidRPr="006F5E1D" w:rsidRDefault="08BB2E0A" w:rsidP="3D58A386">
            <w:pPr>
              <w:spacing w:after="160" w:line="257" w:lineRule="auto"/>
              <w:rPr>
                <w:sz w:val="18"/>
                <w:szCs w:val="18"/>
                <w:lang w:val="en-US"/>
              </w:rPr>
            </w:pPr>
            <w:r w:rsidRPr="006F5E1D">
              <w:rPr>
                <w:sz w:val="18"/>
                <w:szCs w:val="18"/>
                <w:lang w:val="en-US"/>
              </w:rPr>
              <w:t>Through the services and organizations below, it ensures the construction, rehabilitation and maintenance of infrastructure and works of art.</w:t>
            </w:r>
          </w:p>
        </w:tc>
      </w:tr>
      <w:tr w:rsidR="29C31CBA" w:rsidRPr="00F50786" w14:paraId="2F65B17E" w14:textId="77777777" w:rsidTr="537FA187">
        <w:trPr>
          <w:trHeight w:val="300"/>
        </w:trPr>
        <w:tc>
          <w:tcPr>
            <w:tcW w:w="627" w:type="dxa"/>
          </w:tcPr>
          <w:p w14:paraId="68AC719C" w14:textId="38D9EBCB" w:rsidR="29C31CBA" w:rsidRPr="006F5E1D" w:rsidRDefault="08BB2E0A" w:rsidP="3D58A386">
            <w:pPr>
              <w:spacing w:after="160" w:line="257" w:lineRule="auto"/>
              <w:rPr>
                <w:sz w:val="18"/>
                <w:szCs w:val="18"/>
              </w:rPr>
            </w:pPr>
            <w:r w:rsidRPr="006F5E1D">
              <w:rPr>
                <w:sz w:val="18"/>
                <w:szCs w:val="18"/>
              </w:rPr>
              <w:lastRenderedPageBreak/>
              <w:t>1.1</w:t>
            </w:r>
          </w:p>
        </w:tc>
        <w:tc>
          <w:tcPr>
            <w:tcW w:w="3028" w:type="dxa"/>
          </w:tcPr>
          <w:p w14:paraId="323FC494" w14:textId="63698B7D" w:rsidR="29C31CBA" w:rsidRPr="006F5E1D" w:rsidRDefault="22AF7DE4" w:rsidP="3D58A386">
            <w:pPr>
              <w:spacing w:after="160" w:line="257" w:lineRule="auto"/>
              <w:rPr>
                <w:sz w:val="18"/>
                <w:szCs w:val="18"/>
                <w:lang w:val="en-US"/>
              </w:rPr>
            </w:pPr>
            <w:r w:rsidRPr="006F5E1D">
              <w:rPr>
                <w:sz w:val="18"/>
                <w:szCs w:val="18"/>
                <w:lang w:val="en-US"/>
              </w:rPr>
              <w:t>T</w:t>
            </w:r>
            <w:r w:rsidR="08BB2E0A" w:rsidRPr="006F5E1D">
              <w:rPr>
                <w:sz w:val="18"/>
                <w:szCs w:val="18"/>
                <w:lang w:val="en-US"/>
              </w:rPr>
              <w:t>he Planning and Statistics Unit (CPS)</w:t>
            </w:r>
          </w:p>
        </w:tc>
        <w:tc>
          <w:tcPr>
            <w:tcW w:w="5343" w:type="dxa"/>
          </w:tcPr>
          <w:p w14:paraId="44435C98" w14:textId="2402FFC5" w:rsidR="29C31CBA" w:rsidRPr="006F5E1D" w:rsidRDefault="6F0F1F1C" w:rsidP="3D58A386">
            <w:pPr>
              <w:spacing w:after="160" w:line="257" w:lineRule="auto"/>
              <w:rPr>
                <w:sz w:val="18"/>
                <w:szCs w:val="18"/>
                <w:lang w:val="en-US"/>
              </w:rPr>
            </w:pPr>
            <w:r w:rsidRPr="006F5E1D">
              <w:rPr>
                <w:sz w:val="18"/>
                <w:szCs w:val="18"/>
                <w:lang w:val="en-US"/>
              </w:rPr>
              <w:t>Responsible for evaluating and monitoring plans, programs and projects.</w:t>
            </w:r>
          </w:p>
        </w:tc>
      </w:tr>
      <w:tr w:rsidR="29C31CBA" w:rsidRPr="00F50786" w14:paraId="488704D7" w14:textId="77777777" w:rsidTr="537FA187">
        <w:trPr>
          <w:trHeight w:val="300"/>
        </w:trPr>
        <w:tc>
          <w:tcPr>
            <w:tcW w:w="627" w:type="dxa"/>
          </w:tcPr>
          <w:p w14:paraId="453F3155" w14:textId="39B33C94" w:rsidR="29C31CBA" w:rsidRPr="006F5E1D" w:rsidRDefault="08BB2E0A" w:rsidP="3D58A386">
            <w:pPr>
              <w:spacing w:after="160" w:line="257" w:lineRule="auto"/>
              <w:rPr>
                <w:sz w:val="18"/>
                <w:szCs w:val="18"/>
              </w:rPr>
            </w:pPr>
            <w:r w:rsidRPr="006F5E1D">
              <w:rPr>
                <w:sz w:val="18"/>
                <w:szCs w:val="18"/>
              </w:rPr>
              <w:t>1.2</w:t>
            </w:r>
          </w:p>
        </w:tc>
        <w:tc>
          <w:tcPr>
            <w:tcW w:w="3028" w:type="dxa"/>
          </w:tcPr>
          <w:p w14:paraId="2D29C00E" w14:textId="52AE0386" w:rsidR="29C31CBA" w:rsidRPr="006F5E1D" w:rsidRDefault="08BB2E0A" w:rsidP="3D58A386">
            <w:pPr>
              <w:spacing w:after="160" w:line="257" w:lineRule="auto"/>
              <w:jc w:val="both"/>
              <w:rPr>
                <w:sz w:val="18"/>
                <w:szCs w:val="18"/>
                <w:lang w:val="en-US"/>
              </w:rPr>
            </w:pPr>
            <w:r w:rsidRPr="006F5E1D">
              <w:rPr>
                <w:sz w:val="18"/>
                <w:szCs w:val="18"/>
                <w:lang w:val="en-US"/>
              </w:rPr>
              <w:t>The General Directorate of Roads (DGR)</w:t>
            </w:r>
          </w:p>
        </w:tc>
        <w:tc>
          <w:tcPr>
            <w:tcW w:w="5343" w:type="dxa"/>
          </w:tcPr>
          <w:p w14:paraId="40725B49" w14:textId="02AF8D06" w:rsidR="29C31CBA" w:rsidRPr="006F5E1D" w:rsidRDefault="08BB2E0A" w:rsidP="3D58A386">
            <w:pPr>
              <w:spacing w:after="160" w:line="257" w:lineRule="auto"/>
              <w:rPr>
                <w:sz w:val="18"/>
                <w:szCs w:val="18"/>
                <w:lang w:val="en-US"/>
              </w:rPr>
            </w:pPr>
            <w:r w:rsidRPr="006F5E1D">
              <w:rPr>
                <w:sz w:val="18"/>
                <w:szCs w:val="18"/>
                <w:lang w:val="en-US"/>
              </w:rPr>
              <w:t xml:space="preserve">Responsible for developing elements of policy </w:t>
            </w:r>
            <w:proofErr w:type="gramStart"/>
            <w:r w:rsidRPr="006F5E1D">
              <w:rPr>
                <w:sz w:val="18"/>
                <w:szCs w:val="18"/>
                <w:lang w:val="en-US"/>
              </w:rPr>
              <w:t>in the area of</w:t>
            </w:r>
            <w:proofErr w:type="gramEnd"/>
            <w:r w:rsidRPr="006F5E1D">
              <w:rPr>
                <w:sz w:val="18"/>
                <w:szCs w:val="18"/>
                <w:lang w:val="en-US"/>
              </w:rPr>
              <w:t xml:space="preserve"> roads and civil engineering structures and ensuring the coordination and control of activities.</w:t>
            </w:r>
          </w:p>
        </w:tc>
      </w:tr>
      <w:tr w:rsidR="29C31CBA" w:rsidRPr="00F50786" w14:paraId="48110260" w14:textId="77777777" w:rsidTr="537FA187">
        <w:trPr>
          <w:trHeight w:val="300"/>
        </w:trPr>
        <w:tc>
          <w:tcPr>
            <w:tcW w:w="627" w:type="dxa"/>
          </w:tcPr>
          <w:p w14:paraId="55640A87" w14:textId="47C23A67" w:rsidR="29C31CBA" w:rsidRPr="006F5E1D" w:rsidRDefault="08BB2E0A" w:rsidP="3D58A386">
            <w:pPr>
              <w:spacing w:after="160" w:line="257" w:lineRule="auto"/>
              <w:rPr>
                <w:sz w:val="18"/>
                <w:szCs w:val="18"/>
              </w:rPr>
            </w:pPr>
            <w:r w:rsidRPr="006F5E1D">
              <w:rPr>
                <w:sz w:val="18"/>
                <w:szCs w:val="18"/>
              </w:rPr>
              <w:t>1.3</w:t>
            </w:r>
          </w:p>
        </w:tc>
        <w:tc>
          <w:tcPr>
            <w:tcW w:w="3028" w:type="dxa"/>
          </w:tcPr>
          <w:p w14:paraId="0D7C8FBA" w14:textId="5B0AA060" w:rsidR="29C31CBA" w:rsidRPr="006F5E1D" w:rsidRDefault="52833550" w:rsidP="3D58A386">
            <w:pPr>
              <w:spacing w:after="160" w:line="257" w:lineRule="auto"/>
              <w:rPr>
                <w:sz w:val="18"/>
                <w:szCs w:val="18"/>
                <w:lang w:val="en-US"/>
              </w:rPr>
            </w:pPr>
            <w:r w:rsidRPr="537FA187">
              <w:rPr>
                <w:sz w:val="18"/>
                <w:szCs w:val="18"/>
                <w:lang w:val="en-US"/>
              </w:rPr>
              <w:t>The General Directorate of Transport (</w:t>
            </w:r>
            <w:r w:rsidR="58315770" w:rsidRPr="537FA187">
              <w:rPr>
                <w:sz w:val="18"/>
                <w:szCs w:val="18"/>
                <w:lang w:val="en-US"/>
              </w:rPr>
              <w:t>GDT</w:t>
            </w:r>
            <w:r w:rsidRPr="537FA187">
              <w:rPr>
                <w:sz w:val="18"/>
                <w:szCs w:val="18"/>
                <w:lang w:val="en-US"/>
              </w:rPr>
              <w:t>)</w:t>
            </w:r>
          </w:p>
        </w:tc>
        <w:tc>
          <w:tcPr>
            <w:tcW w:w="5343" w:type="dxa"/>
          </w:tcPr>
          <w:p w14:paraId="0D2427CA" w14:textId="1AE4119F" w:rsidR="29C31CBA" w:rsidRPr="006F5E1D" w:rsidRDefault="08BB2E0A" w:rsidP="3D58A386">
            <w:pPr>
              <w:spacing w:after="160" w:line="257" w:lineRule="auto"/>
              <w:rPr>
                <w:sz w:val="18"/>
                <w:szCs w:val="18"/>
                <w:lang w:val="en-US"/>
              </w:rPr>
            </w:pPr>
            <w:r w:rsidRPr="006F5E1D">
              <w:rPr>
                <w:sz w:val="18"/>
                <w:szCs w:val="18"/>
                <w:lang w:val="en-US"/>
              </w:rPr>
              <w:t>Responsible for developing elements of policy in the field of transport and ensuring its execution and ensuring the coordination and control of external technical services.</w:t>
            </w:r>
          </w:p>
        </w:tc>
      </w:tr>
      <w:tr w:rsidR="29C31CBA" w:rsidRPr="00F50786" w14:paraId="21750C44" w14:textId="77777777" w:rsidTr="537FA187">
        <w:trPr>
          <w:trHeight w:val="300"/>
        </w:trPr>
        <w:tc>
          <w:tcPr>
            <w:tcW w:w="627" w:type="dxa"/>
          </w:tcPr>
          <w:p w14:paraId="4ACC0E9E" w14:textId="38AE3C06" w:rsidR="29C31CBA" w:rsidRPr="006F5E1D" w:rsidRDefault="08BB2E0A" w:rsidP="3D58A386">
            <w:pPr>
              <w:spacing w:after="160" w:line="257" w:lineRule="auto"/>
              <w:rPr>
                <w:sz w:val="18"/>
                <w:szCs w:val="18"/>
              </w:rPr>
            </w:pPr>
            <w:r w:rsidRPr="006F5E1D">
              <w:rPr>
                <w:sz w:val="18"/>
                <w:szCs w:val="18"/>
              </w:rPr>
              <w:t>1.4</w:t>
            </w:r>
          </w:p>
        </w:tc>
        <w:tc>
          <w:tcPr>
            <w:tcW w:w="3028" w:type="dxa"/>
          </w:tcPr>
          <w:p w14:paraId="0042DA46" w14:textId="5E623C87" w:rsidR="29C31CBA" w:rsidRPr="006F5E1D" w:rsidRDefault="08BB2E0A" w:rsidP="3D58A386">
            <w:pPr>
              <w:spacing w:after="160" w:line="257" w:lineRule="auto"/>
              <w:jc w:val="both"/>
              <w:rPr>
                <w:sz w:val="18"/>
                <w:szCs w:val="18"/>
                <w:lang w:val="en-US"/>
              </w:rPr>
            </w:pPr>
            <w:r w:rsidRPr="006F5E1D">
              <w:rPr>
                <w:sz w:val="18"/>
                <w:szCs w:val="18"/>
                <w:lang w:val="en-US"/>
              </w:rPr>
              <w:t>The National Road Safety Agency (ANASER)</w:t>
            </w:r>
          </w:p>
        </w:tc>
        <w:tc>
          <w:tcPr>
            <w:tcW w:w="5343" w:type="dxa"/>
          </w:tcPr>
          <w:p w14:paraId="0DD511D2" w14:textId="3B9A5985" w:rsidR="29C31CBA" w:rsidRPr="006F5E1D" w:rsidRDefault="08BB2E0A" w:rsidP="3D58A386">
            <w:pPr>
              <w:spacing w:after="160" w:line="257" w:lineRule="auto"/>
              <w:rPr>
                <w:sz w:val="18"/>
                <w:szCs w:val="18"/>
                <w:lang w:val="en-US"/>
              </w:rPr>
            </w:pPr>
            <w:r w:rsidRPr="006F5E1D">
              <w:rPr>
                <w:sz w:val="18"/>
                <w:szCs w:val="18"/>
                <w:lang w:val="en-US"/>
              </w:rPr>
              <w:t>Responsible among other things for promoting and strengthening road safety.</w:t>
            </w:r>
          </w:p>
        </w:tc>
      </w:tr>
      <w:tr w:rsidR="29C31CBA" w:rsidRPr="00F50786" w14:paraId="70287C32" w14:textId="77777777" w:rsidTr="537FA187">
        <w:trPr>
          <w:trHeight w:val="300"/>
        </w:trPr>
        <w:tc>
          <w:tcPr>
            <w:tcW w:w="627" w:type="dxa"/>
          </w:tcPr>
          <w:p w14:paraId="68C265CA" w14:textId="0CA40974" w:rsidR="29C31CBA" w:rsidRPr="006F5E1D" w:rsidRDefault="08BB2E0A" w:rsidP="3D58A386">
            <w:pPr>
              <w:spacing w:after="160" w:line="257" w:lineRule="auto"/>
              <w:rPr>
                <w:sz w:val="18"/>
                <w:szCs w:val="18"/>
              </w:rPr>
            </w:pPr>
            <w:r w:rsidRPr="006F5E1D">
              <w:rPr>
                <w:sz w:val="18"/>
                <w:szCs w:val="18"/>
              </w:rPr>
              <w:t>1.5</w:t>
            </w:r>
          </w:p>
        </w:tc>
        <w:tc>
          <w:tcPr>
            <w:tcW w:w="3028" w:type="dxa"/>
          </w:tcPr>
          <w:p w14:paraId="0A2B7BEE" w14:textId="36553A42" w:rsidR="29C31CBA" w:rsidRPr="006F5E1D" w:rsidRDefault="51D6A7E2" w:rsidP="3D58A386">
            <w:pPr>
              <w:spacing w:after="160" w:line="257" w:lineRule="auto"/>
              <w:rPr>
                <w:sz w:val="18"/>
                <w:szCs w:val="18"/>
                <w:lang w:val="en-US"/>
              </w:rPr>
            </w:pPr>
            <w:r w:rsidRPr="006F5E1D">
              <w:rPr>
                <w:sz w:val="18"/>
                <w:szCs w:val="18"/>
                <w:lang w:val="en-US"/>
              </w:rPr>
              <w:t>T</w:t>
            </w:r>
            <w:r w:rsidR="08BB2E0A" w:rsidRPr="006F5E1D">
              <w:rPr>
                <w:sz w:val="18"/>
                <w:szCs w:val="18"/>
                <w:lang w:val="en-US"/>
              </w:rPr>
              <w:t>he Road Maintenance Works Execution Agency (AGEROUTE);</w:t>
            </w:r>
          </w:p>
        </w:tc>
        <w:tc>
          <w:tcPr>
            <w:tcW w:w="5343" w:type="dxa"/>
          </w:tcPr>
          <w:p w14:paraId="1FF6BD56" w14:textId="1904810E" w:rsidR="29C31CBA" w:rsidRPr="006F5E1D" w:rsidRDefault="08BB2E0A" w:rsidP="3D58A386">
            <w:pPr>
              <w:spacing w:after="160" w:line="257" w:lineRule="auto"/>
              <w:rPr>
                <w:sz w:val="18"/>
                <w:szCs w:val="18"/>
                <w:lang w:val="en-US"/>
              </w:rPr>
            </w:pPr>
            <w:r w:rsidRPr="006F5E1D">
              <w:rPr>
                <w:sz w:val="18"/>
                <w:szCs w:val="18"/>
                <w:lang w:val="en-US"/>
              </w:rPr>
              <w:t>Responsible for managing road maintenance work carried out in the company.</w:t>
            </w:r>
          </w:p>
        </w:tc>
      </w:tr>
      <w:tr w:rsidR="29C31CBA" w:rsidRPr="00F50786" w14:paraId="0FE36BBE" w14:textId="77777777" w:rsidTr="537FA187">
        <w:trPr>
          <w:trHeight w:val="300"/>
        </w:trPr>
        <w:tc>
          <w:tcPr>
            <w:tcW w:w="627" w:type="dxa"/>
          </w:tcPr>
          <w:p w14:paraId="3177EEAE" w14:textId="546EAEDB" w:rsidR="29C31CBA" w:rsidRPr="006F5E1D" w:rsidRDefault="08BB2E0A" w:rsidP="3D58A386">
            <w:pPr>
              <w:spacing w:after="160" w:line="257" w:lineRule="auto"/>
              <w:rPr>
                <w:sz w:val="18"/>
                <w:szCs w:val="18"/>
              </w:rPr>
            </w:pPr>
            <w:r w:rsidRPr="006F5E1D">
              <w:rPr>
                <w:sz w:val="18"/>
                <w:szCs w:val="18"/>
              </w:rPr>
              <w:t>1.6</w:t>
            </w:r>
          </w:p>
        </w:tc>
        <w:tc>
          <w:tcPr>
            <w:tcW w:w="3028" w:type="dxa"/>
          </w:tcPr>
          <w:p w14:paraId="047F7323" w14:textId="37952FDE" w:rsidR="29C31CBA" w:rsidRPr="006F5E1D" w:rsidRDefault="08BB2E0A" w:rsidP="3D58A386">
            <w:pPr>
              <w:spacing w:after="160" w:line="257" w:lineRule="auto"/>
              <w:jc w:val="both"/>
              <w:rPr>
                <w:sz w:val="18"/>
                <w:szCs w:val="18"/>
                <w:lang w:val="en-US"/>
              </w:rPr>
            </w:pPr>
            <w:r w:rsidRPr="006F5E1D">
              <w:rPr>
                <w:sz w:val="18"/>
                <w:szCs w:val="18"/>
                <w:lang w:val="en-US"/>
              </w:rPr>
              <w:t>The Road Maintenance Fund (FER)</w:t>
            </w:r>
          </w:p>
        </w:tc>
        <w:tc>
          <w:tcPr>
            <w:tcW w:w="5343" w:type="dxa"/>
          </w:tcPr>
          <w:p w14:paraId="3822D76D" w14:textId="488FE4FD" w:rsidR="29C31CBA" w:rsidRPr="006F5E1D" w:rsidRDefault="08BB2E0A" w:rsidP="3D58A386">
            <w:pPr>
              <w:spacing w:after="160" w:line="257" w:lineRule="auto"/>
              <w:rPr>
                <w:sz w:val="18"/>
                <w:szCs w:val="18"/>
                <w:lang w:val="en-US"/>
              </w:rPr>
            </w:pPr>
            <w:r w:rsidRPr="006F5E1D">
              <w:rPr>
                <w:sz w:val="18"/>
                <w:szCs w:val="18"/>
                <w:lang w:val="en-US"/>
              </w:rPr>
              <w:t>Responsible for ensuring the financing of road maintenance.</w:t>
            </w:r>
          </w:p>
        </w:tc>
      </w:tr>
      <w:tr w:rsidR="29C31CBA" w:rsidRPr="00F50786" w14:paraId="34E6CA96" w14:textId="77777777" w:rsidTr="537FA187">
        <w:trPr>
          <w:trHeight w:val="300"/>
        </w:trPr>
        <w:tc>
          <w:tcPr>
            <w:tcW w:w="627" w:type="dxa"/>
          </w:tcPr>
          <w:p w14:paraId="598E7272" w14:textId="4FF07AEF" w:rsidR="29C31CBA" w:rsidRPr="006F5E1D" w:rsidRDefault="08BB2E0A" w:rsidP="3D58A386">
            <w:pPr>
              <w:spacing w:after="160" w:line="257" w:lineRule="auto"/>
              <w:rPr>
                <w:sz w:val="18"/>
                <w:szCs w:val="18"/>
              </w:rPr>
            </w:pPr>
            <w:r w:rsidRPr="006F5E1D">
              <w:rPr>
                <w:sz w:val="18"/>
                <w:szCs w:val="18"/>
              </w:rPr>
              <w:t>1.7</w:t>
            </w:r>
          </w:p>
        </w:tc>
        <w:tc>
          <w:tcPr>
            <w:tcW w:w="3028" w:type="dxa"/>
          </w:tcPr>
          <w:p w14:paraId="1C971BC3" w14:textId="252C549D" w:rsidR="29C31CBA" w:rsidRPr="006F5E1D" w:rsidRDefault="08BB2E0A" w:rsidP="3D58A386">
            <w:pPr>
              <w:spacing w:after="160" w:line="257" w:lineRule="auto"/>
              <w:jc w:val="both"/>
              <w:rPr>
                <w:sz w:val="18"/>
                <w:szCs w:val="18"/>
                <w:lang w:val="en-US"/>
              </w:rPr>
            </w:pPr>
            <w:r w:rsidRPr="006F5E1D">
              <w:rPr>
                <w:sz w:val="18"/>
                <w:szCs w:val="18"/>
                <w:lang w:val="en-US"/>
              </w:rPr>
              <w:t>The Emergency Road Works Unit (CETRU)</w:t>
            </w:r>
          </w:p>
        </w:tc>
        <w:tc>
          <w:tcPr>
            <w:tcW w:w="5343" w:type="dxa"/>
          </w:tcPr>
          <w:p w14:paraId="5486650B" w14:textId="0B876937" w:rsidR="29C31CBA" w:rsidRPr="006F5E1D" w:rsidRDefault="7272CE76" w:rsidP="3D58A386">
            <w:pPr>
              <w:spacing w:after="160" w:line="257" w:lineRule="auto"/>
              <w:jc w:val="both"/>
              <w:rPr>
                <w:sz w:val="18"/>
                <w:szCs w:val="18"/>
                <w:lang w:val="en-US"/>
              </w:rPr>
            </w:pPr>
            <w:r w:rsidRPr="006F5E1D">
              <w:rPr>
                <w:sz w:val="18"/>
                <w:szCs w:val="18"/>
                <w:lang w:val="en-US"/>
              </w:rPr>
              <w:t>Responsible for ensuring the execution of road works required by emergencies: repair of damage caused to roads and crossing structures by bad weather and calamities. It is called upon to carry out work where private companies would be absent.</w:t>
            </w:r>
          </w:p>
        </w:tc>
      </w:tr>
      <w:tr w:rsidR="29C31CBA" w:rsidRPr="00F50786" w14:paraId="18A3FD48" w14:textId="77777777" w:rsidTr="537FA187">
        <w:trPr>
          <w:trHeight w:val="300"/>
        </w:trPr>
        <w:tc>
          <w:tcPr>
            <w:tcW w:w="627" w:type="dxa"/>
          </w:tcPr>
          <w:p w14:paraId="1165F65B" w14:textId="3B633D51" w:rsidR="29C31CBA" w:rsidRPr="006F5E1D" w:rsidRDefault="08BB2E0A" w:rsidP="3D58A386">
            <w:pPr>
              <w:spacing w:after="160" w:line="257" w:lineRule="auto"/>
              <w:rPr>
                <w:sz w:val="18"/>
                <w:szCs w:val="18"/>
              </w:rPr>
            </w:pPr>
            <w:r w:rsidRPr="006F5E1D">
              <w:rPr>
                <w:sz w:val="18"/>
                <w:szCs w:val="18"/>
              </w:rPr>
              <w:t>1.8</w:t>
            </w:r>
          </w:p>
        </w:tc>
        <w:tc>
          <w:tcPr>
            <w:tcW w:w="3028" w:type="dxa"/>
          </w:tcPr>
          <w:p w14:paraId="4C1399E3" w14:textId="6E10559A" w:rsidR="29C31CBA" w:rsidRPr="006F5E1D" w:rsidRDefault="08BB2E0A" w:rsidP="3D58A386">
            <w:pPr>
              <w:spacing w:after="160" w:line="257" w:lineRule="auto"/>
              <w:rPr>
                <w:sz w:val="18"/>
                <w:szCs w:val="18"/>
                <w:lang w:val="en-US"/>
              </w:rPr>
            </w:pPr>
            <w:r w:rsidRPr="006F5E1D">
              <w:rPr>
                <w:sz w:val="18"/>
                <w:szCs w:val="18"/>
                <w:lang w:val="en-US"/>
              </w:rPr>
              <w:t>The Railway Heritage Company (SPF)</w:t>
            </w:r>
          </w:p>
        </w:tc>
        <w:tc>
          <w:tcPr>
            <w:tcW w:w="5343" w:type="dxa"/>
          </w:tcPr>
          <w:p w14:paraId="77149F25" w14:textId="6F6FBAA2" w:rsidR="29C31CBA" w:rsidRPr="006F5E1D" w:rsidRDefault="7272CE76" w:rsidP="3D58A386">
            <w:pPr>
              <w:spacing w:after="160" w:line="257" w:lineRule="auto"/>
              <w:rPr>
                <w:sz w:val="18"/>
                <w:szCs w:val="18"/>
                <w:lang w:val="en-US"/>
              </w:rPr>
            </w:pPr>
            <w:r w:rsidRPr="006F5E1D">
              <w:rPr>
                <w:sz w:val="18"/>
                <w:szCs w:val="18"/>
                <w:lang w:val="en-US"/>
              </w:rPr>
              <w:t>Responsible for the construction, rehabilitation, renewal, extension and accounting and financial management of the State's railway infrastructure.</w:t>
            </w:r>
          </w:p>
        </w:tc>
      </w:tr>
      <w:tr w:rsidR="29C31CBA" w:rsidRPr="00F50786" w14:paraId="3921A02B" w14:textId="77777777" w:rsidTr="537FA187">
        <w:trPr>
          <w:trHeight w:val="300"/>
        </w:trPr>
        <w:tc>
          <w:tcPr>
            <w:tcW w:w="627" w:type="dxa"/>
          </w:tcPr>
          <w:p w14:paraId="036B60BB" w14:textId="3D77612B" w:rsidR="29C31CBA" w:rsidRPr="006F5E1D" w:rsidRDefault="08BB2E0A" w:rsidP="3D58A386">
            <w:pPr>
              <w:spacing w:after="160" w:line="257" w:lineRule="auto"/>
              <w:rPr>
                <w:sz w:val="18"/>
                <w:szCs w:val="18"/>
              </w:rPr>
            </w:pPr>
            <w:r w:rsidRPr="006F5E1D">
              <w:rPr>
                <w:sz w:val="18"/>
                <w:szCs w:val="18"/>
              </w:rPr>
              <w:t>1.9</w:t>
            </w:r>
          </w:p>
        </w:tc>
        <w:tc>
          <w:tcPr>
            <w:tcW w:w="3028" w:type="dxa"/>
          </w:tcPr>
          <w:p w14:paraId="59984265" w14:textId="184E3653" w:rsidR="29C31CBA" w:rsidRPr="006F5E1D" w:rsidRDefault="08BB2E0A" w:rsidP="3D58A386">
            <w:pPr>
              <w:spacing w:after="160" w:line="257" w:lineRule="auto"/>
              <w:rPr>
                <w:sz w:val="18"/>
                <w:szCs w:val="18"/>
                <w:lang w:val="en-US"/>
              </w:rPr>
            </w:pPr>
            <w:r w:rsidRPr="006F5E1D">
              <w:rPr>
                <w:sz w:val="18"/>
                <w:szCs w:val="18"/>
                <w:lang w:val="en-US"/>
              </w:rPr>
              <w:t>The Malian Navigation Company (COMANAV)</w:t>
            </w:r>
          </w:p>
        </w:tc>
        <w:tc>
          <w:tcPr>
            <w:tcW w:w="5343" w:type="dxa"/>
          </w:tcPr>
          <w:p w14:paraId="05807BA6" w14:textId="529AB261" w:rsidR="29C31CBA" w:rsidRPr="006F5E1D" w:rsidRDefault="08BB2E0A" w:rsidP="3D58A386">
            <w:pPr>
              <w:spacing w:after="160" w:line="257" w:lineRule="auto"/>
              <w:rPr>
                <w:sz w:val="18"/>
                <w:szCs w:val="18"/>
                <w:lang w:val="en-US"/>
              </w:rPr>
            </w:pPr>
            <w:r w:rsidRPr="006F5E1D">
              <w:rPr>
                <w:sz w:val="18"/>
                <w:szCs w:val="18"/>
                <w:lang w:val="en-US"/>
              </w:rPr>
              <w:t>Responsible for ensuring internal and external access by waterway. Its purpose is the operation of river transport and the management of related activities.</w:t>
            </w:r>
          </w:p>
        </w:tc>
      </w:tr>
      <w:tr w:rsidR="29C31CBA" w:rsidRPr="00F50786" w14:paraId="31493122" w14:textId="77777777" w:rsidTr="537FA187">
        <w:trPr>
          <w:trHeight w:val="300"/>
        </w:trPr>
        <w:tc>
          <w:tcPr>
            <w:tcW w:w="627" w:type="dxa"/>
          </w:tcPr>
          <w:p w14:paraId="71290B2E" w14:textId="6E8CD385" w:rsidR="29C31CBA" w:rsidRPr="006F5E1D" w:rsidRDefault="08BB2E0A" w:rsidP="3D58A386">
            <w:pPr>
              <w:spacing w:after="160" w:line="257" w:lineRule="auto"/>
              <w:rPr>
                <w:sz w:val="18"/>
                <w:szCs w:val="18"/>
              </w:rPr>
            </w:pPr>
            <w:r w:rsidRPr="006F5E1D">
              <w:rPr>
                <w:sz w:val="18"/>
                <w:szCs w:val="18"/>
              </w:rPr>
              <w:t>1.10</w:t>
            </w:r>
          </w:p>
        </w:tc>
        <w:tc>
          <w:tcPr>
            <w:tcW w:w="3028" w:type="dxa"/>
          </w:tcPr>
          <w:p w14:paraId="5B0FCCA4" w14:textId="2474C112" w:rsidR="29C31CBA" w:rsidRPr="006F5E1D" w:rsidRDefault="08BB2E0A" w:rsidP="3D58A386">
            <w:pPr>
              <w:spacing w:after="160" w:line="257" w:lineRule="auto"/>
              <w:rPr>
                <w:sz w:val="18"/>
                <w:szCs w:val="18"/>
                <w:lang w:val="en-US"/>
              </w:rPr>
            </w:pPr>
            <w:r w:rsidRPr="006F5E1D">
              <w:rPr>
                <w:sz w:val="18"/>
                <w:szCs w:val="18"/>
                <w:lang w:val="en-US"/>
              </w:rPr>
              <w:t>The Malian Council of Shippers</w:t>
            </w:r>
          </w:p>
        </w:tc>
        <w:tc>
          <w:tcPr>
            <w:tcW w:w="5343" w:type="dxa"/>
          </w:tcPr>
          <w:p w14:paraId="78260AD5" w14:textId="3DD18C0A" w:rsidR="29C31CBA" w:rsidRPr="006F5E1D" w:rsidRDefault="08BB2E0A" w:rsidP="3D58A386">
            <w:pPr>
              <w:spacing w:after="160" w:line="257" w:lineRule="auto"/>
              <w:rPr>
                <w:sz w:val="18"/>
                <w:szCs w:val="18"/>
                <w:lang w:val="en-US"/>
              </w:rPr>
            </w:pPr>
            <w:r w:rsidRPr="006F5E1D">
              <w:rPr>
                <w:sz w:val="18"/>
                <w:szCs w:val="18"/>
                <w:lang w:val="en-US"/>
              </w:rPr>
              <w:t>Responsible for the organization and professional representation of Malian shippers (he defends the interests of shippers).</w:t>
            </w:r>
          </w:p>
        </w:tc>
      </w:tr>
      <w:tr w:rsidR="29C31CBA" w:rsidRPr="00F50786" w14:paraId="453A429B" w14:textId="77777777" w:rsidTr="537FA187">
        <w:trPr>
          <w:trHeight w:val="300"/>
        </w:trPr>
        <w:tc>
          <w:tcPr>
            <w:tcW w:w="627" w:type="dxa"/>
          </w:tcPr>
          <w:p w14:paraId="3F00D09F" w14:textId="231A1419" w:rsidR="29C31CBA" w:rsidRPr="006F5E1D" w:rsidRDefault="08BB2E0A" w:rsidP="3D58A386">
            <w:pPr>
              <w:spacing w:after="160" w:line="257" w:lineRule="auto"/>
              <w:rPr>
                <w:sz w:val="18"/>
                <w:szCs w:val="18"/>
              </w:rPr>
            </w:pPr>
            <w:r w:rsidRPr="006F5E1D">
              <w:rPr>
                <w:sz w:val="18"/>
                <w:szCs w:val="18"/>
              </w:rPr>
              <w:t>1.11</w:t>
            </w:r>
          </w:p>
        </w:tc>
        <w:tc>
          <w:tcPr>
            <w:tcW w:w="3028" w:type="dxa"/>
          </w:tcPr>
          <w:p w14:paraId="1F1033A1" w14:textId="30CE6583" w:rsidR="29C31CBA" w:rsidRPr="006F5E1D" w:rsidRDefault="08BB2E0A" w:rsidP="3D58A386">
            <w:pPr>
              <w:spacing w:after="160" w:line="257" w:lineRule="auto"/>
              <w:rPr>
                <w:sz w:val="18"/>
                <w:szCs w:val="18"/>
                <w:lang w:val="en-US"/>
              </w:rPr>
            </w:pPr>
            <w:r w:rsidRPr="006F5E1D">
              <w:rPr>
                <w:sz w:val="18"/>
                <w:szCs w:val="18"/>
                <w:lang w:val="en-US"/>
              </w:rPr>
              <w:t>The Malian Council of Road Transporters</w:t>
            </w:r>
          </w:p>
        </w:tc>
        <w:tc>
          <w:tcPr>
            <w:tcW w:w="5343" w:type="dxa"/>
          </w:tcPr>
          <w:p w14:paraId="4E6BBC2B" w14:textId="31872B6F" w:rsidR="29C31CBA" w:rsidRPr="006F5E1D" w:rsidRDefault="7272CE76" w:rsidP="3D58A386">
            <w:pPr>
              <w:spacing w:after="160" w:line="257" w:lineRule="auto"/>
              <w:rPr>
                <w:sz w:val="18"/>
                <w:szCs w:val="18"/>
                <w:lang w:val="en-US"/>
              </w:rPr>
            </w:pPr>
            <w:r w:rsidRPr="006F5E1D">
              <w:rPr>
                <w:sz w:val="18"/>
                <w:szCs w:val="18"/>
                <w:lang w:val="en-US"/>
              </w:rPr>
              <w:t xml:space="preserve">Responsible for supporting and supervising road </w:t>
            </w:r>
            <w:proofErr w:type="spellStart"/>
            <w:r w:rsidRPr="006F5E1D">
              <w:rPr>
                <w:sz w:val="18"/>
                <w:szCs w:val="18"/>
                <w:lang w:val="en-US"/>
              </w:rPr>
              <w:t>hauliers</w:t>
            </w:r>
            <w:proofErr w:type="spellEnd"/>
            <w:r w:rsidRPr="006F5E1D">
              <w:rPr>
                <w:sz w:val="18"/>
                <w:szCs w:val="18"/>
                <w:lang w:val="en-US"/>
              </w:rPr>
              <w:t>, defending their interests throughout the transport chain and participating in the execution of construction work on road transport facilities, in particular bus stations, parking and rest areas.</w:t>
            </w:r>
          </w:p>
        </w:tc>
      </w:tr>
      <w:tr w:rsidR="29C31CBA" w:rsidRPr="00F50786" w14:paraId="7A5BCE1C" w14:textId="77777777" w:rsidTr="537FA187">
        <w:trPr>
          <w:trHeight w:val="300"/>
        </w:trPr>
        <w:tc>
          <w:tcPr>
            <w:tcW w:w="627" w:type="dxa"/>
          </w:tcPr>
          <w:p w14:paraId="51A2CA25" w14:textId="17C2F42C" w:rsidR="29C31CBA" w:rsidRPr="006F5E1D" w:rsidRDefault="08BB2E0A" w:rsidP="3D58A386">
            <w:pPr>
              <w:spacing w:after="160" w:line="257" w:lineRule="auto"/>
              <w:rPr>
                <w:sz w:val="18"/>
                <w:szCs w:val="18"/>
              </w:rPr>
            </w:pPr>
            <w:r w:rsidRPr="006F5E1D">
              <w:rPr>
                <w:sz w:val="18"/>
                <w:szCs w:val="18"/>
              </w:rPr>
              <w:t>2</w:t>
            </w:r>
          </w:p>
        </w:tc>
        <w:tc>
          <w:tcPr>
            <w:tcW w:w="3028" w:type="dxa"/>
          </w:tcPr>
          <w:p w14:paraId="3345FA17" w14:textId="457885FF" w:rsidR="29C31CBA" w:rsidRPr="006F5E1D" w:rsidRDefault="7272CE76" w:rsidP="3D58A386">
            <w:pPr>
              <w:spacing w:after="160" w:line="257" w:lineRule="auto"/>
              <w:jc w:val="both"/>
              <w:rPr>
                <w:b/>
                <w:bCs/>
                <w:sz w:val="18"/>
                <w:szCs w:val="18"/>
              </w:rPr>
            </w:pPr>
            <w:r w:rsidRPr="006F5E1D">
              <w:rPr>
                <w:b/>
                <w:bCs/>
                <w:sz w:val="18"/>
                <w:szCs w:val="18"/>
              </w:rPr>
              <w:t xml:space="preserve">Local </w:t>
            </w:r>
            <w:proofErr w:type="spellStart"/>
            <w:r w:rsidR="00677347">
              <w:rPr>
                <w:b/>
                <w:bCs/>
                <w:sz w:val="18"/>
                <w:szCs w:val="18"/>
              </w:rPr>
              <w:t>A</w:t>
            </w:r>
            <w:r w:rsidRPr="006F5E1D">
              <w:rPr>
                <w:b/>
                <w:bCs/>
                <w:sz w:val="18"/>
                <w:szCs w:val="18"/>
              </w:rPr>
              <w:t>uthorities</w:t>
            </w:r>
            <w:proofErr w:type="spellEnd"/>
          </w:p>
        </w:tc>
        <w:tc>
          <w:tcPr>
            <w:tcW w:w="5343" w:type="dxa"/>
          </w:tcPr>
          <w:p w14:paraId="3F420FF6" w14:textId="41E03B63" w:rsidR="29C31CBA" w:rsidRPr="006F5E1D" w:rsidRDefault="7272CE76" w:rsidP="3D58A386">
            <w:pPr>
              <w:spacing w:after="160" w:line="257" w:lineRule="auto"/>
              <w:jc w:val="both"/>
              <w:rPr>
                <w:sz w:val="18"/>
                <w:szCs w:val="18"/>
                <w:lang w:val="en-US"/>
              </w:rPr>
            </w:pPr>
            <w:r w:rsidRPr="006F5E1D">
              <w:rPr>
                <w:sz w:val="18"/>
                <w:szCs w:val="18"/>
                <w:lang w:val="en-US"/>
              </w:rPr>
              <w:t>Responsible for building and maintaining roads of communal, local and regional interest.</w:t>
            </w:r>
          </w:p>
        </w:tc>
      </w:tr>
      <w:tr w:rsidR="29C31CBA" w:rsidRPr="00F50786" w14:paraId="4CBCD0E8" w14:textId="77777777" w:rsidTr="537FA187">
        <w:trPr>
          <w:trHeight w:val="300"/>
        </w:trPr>
        <w:tc>
          <w:tcPr>
            <w:tcW w:w="627" w:type="dxa"/>
          </w:tcPr>
          <w:p w14:paraId="10EB5D27" w14:textId="2FBBEEA3" w:rsidR="29C31CBA" w:rsidRPr="006F5E1D" w:rsidRDefault="08BB2E0A" w:rsidP="3D58A386">
            <w:pPr>
              <w:spacing w:after="160" w:line="257" w:lineRule="auto"/>
              <w:rPr>
                <w:sz w:val="18"/>
                <w:szCs w:val="18"/>
              </w:rPr>
            </w:pPr>
            <w:r w:rsidRPr="006F5E1D">
              <w:rPr>
                <w:sz w:val="18"/>
                <w:szCs w:val="18"/>
              </w:rPr>
              <w:t>3</w:t>
            </w:r>
          </w:p>
        </w:tc>
        <w:tc>
          <w:tcPr>
            <w:tcW w:w="3028" w:type="dxa"/>
          </w:tcPr>
          <w:p w14:paraId="2F650A06" w14:textId="3BB96778" w:rsidR="29C31CBA" w:rsidRPr="006F5E1D" w:rsidRDefault="08BB2E0A" w:rsidP="3D58A386">
            <w:pPr>
              <w:spacing w:after="160" w:line="257" w:lineRule="auto"/>
              <w:rPr>
                <w:b/>
                <w:bCs/>
                <w:sz w:val="18"/>
                <w:szCs w:val="18"/>
              </w:rPr>
            </w:pPr>
            <w:r w:rsidRPr="006F5E1D">
              <w:rPr>
                <w:b/>
                <w:bCs/>
                <w:sz w:val="18"/>
                <w:szCs w:val="18"/>
              </w:rPr>
              <w:t xml:space="preserve">Civil </w:t>
            </w:r>
            <w:r w:rsidR="00677347">
              <w:rPr>
                <w:b/>
                <w:bCs/>
                <w:sz w:val="18"/>
                <w:szCs w:val="18"/>
              </w:rPr>
              <w:t>S</w:t>
            </w:r>
            <w:r w:rsidRPr="006F5E1D">
              <w:rPr>
                <w:b/>
                <w:bCs/>
                <w:sz w:val="18"/>
                <w:szCs w:val="18"/>
              </w:rPr>
              <w:t>ociety</w:t>
            </w:r>
          </w:p>
        </w:tc>
        <w:tc>
          <w:tcPr>
            <w:tcW w:w="5343" w:type="dxa"/>
          </w:tcPr>
          <w:p w14:paraId="37F45857" w14:textId="63E84448" w:rsidR="29C31CBA" w:rsidRPr="006F5E1D" w:rsidRDefault="7272CE76" w:rsidP="3D58A386">
            <w:pPr>
              <w:spacing w:after="160" w:line="257" w:lineRule="auto"/>
              <w:rPr>
                <w:sz w:val="18"/>
                <w:szCs w:val="18"/>
                <w:lang w:val="en-US"/>
              </w:rPr>
            </w:pPr>
            <w:r w:rsidRPr="006F5E1D">
              <w:rPr>
                <w:sz w:val="18"/>
                <w:szCs w:val="18"/>
                <w:lang w:val="en-US"/>
              </w:rPr>
              <w:t>It participates in the implementation of the PNTITD as actors and beneficiaries.</w:t>
            </w:r>
          </w:p>
        </w:tc>
      </w:tr>
      <w:tr w:rsidR="29C31CBA" w:rsidRPr="00F50786" w14:paraId="3DBD1D17" w14:textId="77777777" w:rsidTr="537FA187">
        <w:trPr>
          <w:trHeight w:val="300"/>
        </w:trPr>
        <w:tc>
          <w:tcPr>
            <w:tcW w:w="627" w:type="dxa"/>
          </w:tcPr>
          <w:p w14:paraId="748A0CC2" w14:textId="7E75389A" w:rsidR="29C31CBA" w:rsidRPr="006F5E1D" w:rsidRDefault="08BB2E0A" w:rsidP="3D58A386">
            <w:pPr>
              <w:spacing w:after="160" w:line="257" w:lineRule="auto"/>
              <w:rPr>
                <w:sz w:val="18"/>
                <w:szCs w:val="18"/>
              </w:rPr>
            </w:pPr>
            <w:r w:rsidRPr="006F5E1D">
              <w:rPr>
                <w:sz w:val="18"/>
                <w:szCs w:val="18"/>
              </w:rPr>
              <w:t>4</w:t>
            </w:r>
          </w:p>
        </w:tc>
        <w:tc>
          <w:tcPr>
            <w:tcW w:w="3028" w:type="dxa"/>
          </w:tcPr>
          <w:p w14:paraId="18651B44" w14:textId="03068C1F" w:rsidR="29C31CBA" w:rsidRPr="006F5E1D" w:rsidRDefault="7272CE76" w:rsidP="3D58A386">
            <w:pPr>
              <w:spacing w:after="160" w:line="257" w:lineRule="auto"/>
              <w:rPr>
                <w:b/>
                <w:bCs/>
                <w:sz w:val="18"/>
                <w:szCs w:val="18"/>
              </w:rPr>
            </w:pPr>
            <w:proofErr w:type="spellStart"/>
            <w:r w:rsidRPr="006F5E1D">
              <w:rPr>
                <w:b/>
                <w:bCs/>
                <w:sz w:val="18"/>
                <w:szCs w:val="18"/>
              </w:rPr>
              <w:t>Technical</w:t>
            </w:r>
            <w:proofErr w:type="spellEnd"/>
            <w:r w:rsidRPr="006F5E1D">
              <w:rPr>
                <w:b/>
                <w:bCs/>
                <w:sz w:val="18"/>
                <w:szCs w:val="18"/>
              </w:rPr>
              <w:t xml:space="preserve"> and Financial </w:t>
            </w:r>
            <w:proofErr w:type="spellStart"/>
            <w:r w:rsidRPr="006F5E1D">
              <w:rPr>
                <w:b/>
                <w:bCs/>
                <w:sz w:val="18"/>
                <w:szCs w:val="18"/>
              </w:rPr>
              <w:t>Partners</w:t>
            </w:r>
            <w:proofErr w:type="spellEnd"/>
          </w:p>
        </w:tc>
        <w:tc>
          <w:tcPr>
            <w:tcW w:w="5343" w:type="dxa"/>
          </w:tcPr>
          <w:p w14:paraId="1F42F555" w14:textId="725F648F" w:rsidR="29C31CBA" w:rsidRPr="006F5E1D" w:rsidRDefault="08BB2E0A" w:rsidP="3D58A386">
            <w:pPr>
              <w:spacing w:after="160" w:line="257" w:lineRule="auto"/>
              <w:rPr>
                <w:sz w:val="18"/>
                <w:szCs w:val="18"/>
                <w:lang w:val="en-US"/>
              </w:rPr>
            </w:pPr>
            <w:r w:rsidRPr="006F5E1D">
              <w:rPr>
                <w:sz w:val="18"/>
                <w:szCs w:val="18"/>
                <w:lang w:val="en-US"/>
              </w:rPr>
              <w:t>They contribute 88% to the financing of the intervention.</w:t>
            </w:r>
          </w:p>
        </w:tc>
      </w:tr>
    </w:tbl>
    <w:p w14:paraId="3C4AE285" w14:textId="77777777" w:rsidR="004E46EF" w:rsidRPr="004E46EF" w:rsidRDefault="770C5729" w:rsidP="004E46EF">
      <w:pPr>
        <w:spacing w:before="240" w:after="240"/>
        <w:jc w:val="both"/>
        <w:rPr>
          <w:sz w:val="20"/>
          <w:szCs w:val="20"/>
          <w:lang w:val="en-US"/>
        </w:rPr>
      </w:pPr>
      <w:r w:rsidRPr="5D8904BE">
        <w:rPr>
          <w:sz w:val="20"/>
          <w:szCs w:val="20"/>
          <w:lang w:val="en-US"/>
        </w:rPr>
        <w:t>The evaluation of the first Action Plan (2015–2019) under the National Transport Infrastructure and Territorial Development Policy (PNTITD), conducted in September 2023, paints a sobering picture of underperformance. Despite the existence of a coherent strategic framework, implementation was significantly hampered by weak governance, persistent underfunding, and minimal impact on the ground. The governance arrangements envisioned were not put in place, leading to fragmented coordination—especially at regional and local levels—undermining the plan’s effectiveness.</w:t>
      </w:r>
    </w:p>
    <w:p w14:paraId="1FE0D485" w14:textId="09209430" w:rsidR="004E46EF" w:rsidRPr="004E46EF" w:rsidRDefault="770C5729" w:rsidP="004E46EF">
      <w:pPr>
        <w:spacing w:before="240" w:after="240"/>
        <w:jc w:val="both"/>
        <w:rPr>
          <w:sz w:val="20"/>
          <w:szCs w:val="20"/>
          <w:lang w:val="en-US"/>
        </w:rPr>
      </w:pPr>
      <w:r w:rsidRPr="004E46EF">
        <w:rPr>
          <w:sz w:val="20"/>
          <w:szCs w:val="20"/>
          <w:lang w:val="en-US"/>
        </w:rPr>
        <w:t>Operational results fell far short of expectations. None of the five performance indicators</w:t>
      </w:r>
      <w:r w:rsidR="00EC4E8A" w:rsidRPr="5D8904BE">
        <w:rPr>
          <w:rStyle w:val="Appelnotedebasdep"/>
          <w:lang w:val="en-US"/>
        </w:rPr>
        <w:footnoteReference w:id="15"/>
      </w:r>
      <w:r w:rsidRPr="004E46EF">
        <w:rPr>
          <w:sz w:val="20"/>
          <w:szCs w:val="20"/>
          <w:lang w:val="en-US"/>
        </w:rPr>
        <w:t xml:space="preserve"> were met, and only </w:t>
      </w:r>
      <w:r w:rsidRPr="004E46EF">
        <w:rPr>
          <w:b/>
          <w:bCs/>
          <w:sz w:val="20"/>
          <w:szCs w:val="20"/>
          <w:lang w:val="en-US"/>
        </w:rPr>
        <w:t>34.85%</w:t>
      </w:r>
      <w:r w:rsidRPr="004E46EF">
        <w:rPr>
          <w:sz w:val="20"/>
          <w:szCs w:val="20"/>
          <w:lang w:val="en-US"/>
        </w:rPr>
        <w:t xml:space="preserve"> of required financing was mobilized. The implementation was further delayed by complex administrative procedures and sluggish resource mobilization, with an overwhelming </w:t>
      </w:r>
      <w:r w:rsidRPr="004E46EF">
        <w:rPr>
          <w:b/>
          <w:bCs/>
          <w:sz w:val="20"/>
          <w:szCs w:val="20"/>
          <w:lang w:val="en-US"/>
        </w:rPr>
        <w:t xml:space="preserve">88% of financing expected from technical </w:t>
      </w:r>
      <w:r w:rsidRPr="004E46EF">
        <w:rPr>
          <w:b/>
          <w:bCs/>
          <w:sz w:val="20"/>
          <w:szCs w:val="20"/>
          <w:lang w:val="en-US"/>
        </w:rPr>
        <w:lastRenderedPageBreak/>
        <w:t>and financial partners (TFPs)</w:t>
      </w:r>
      <w:r w:rsidRPr="004E46EF">
        <w:rPr>
          <w:sz w:val="20"/>
          <w:szCs w:val="20"/>
          <w:lang w:val="en-US"/>
        </w:rPr>
        <w:t xml:space="preserve">. On the infrastructure front, only </w:t>
      </w:r>
      <w:r w:rsidRPr="004E46EF">
        <w:rPr>
          <w:b/>
          <w:bCs/>
          <w:sz w:val="20"/>
          <w:szCs w:val="20"/>
          <w:lang w:val="en-US"/>
        </w:rPr>
        <w:t>2,157 km</w:t>
      </w:r>
      <w:r w:rsidRPr="004E46EF">
        <w:rPr>
          <w:sz w:val="20"/>
          <w:szCs w:val="20"/>
          <w:lang w:val="en-US"/>
        </w:rPr>
        <w:t xml:space="preserve"> of the planned </w:t>
      </w:r>
      <w:r w:rsidRPr="004E46EF">
        <w:rPr>
          <w:b/>
          <w:bCs/>
          <w:sz w:val="20"/>
          <w:szCs w:val="20"/>
          <w:lang w:val="en-US"/>
        </w:rPr>
        <w:t>7,082 km</w:t>
      </w:r>
      <w:r w:rsidRPr="004E46EF">
        <w:rPr>
          <w:sz w:val="20"/>
          <w:szCs w:val="20"/>
          <w:lang w:val="en-US"/>
        </w:rPr>
        <w:t xml:space="preserve"> of paved and rural roads were constructed, representing roughly </w:t>
      </w:r>
      <w:r w:rsidRPr="004E46EF">
        <w:rPr>
          <w:b/>
          <w:bCs/>
          <w:sz w:val="20"/>
          <w:szCs w:val="20"/>
          <w:lang w:val="en-US"/>
        </w:rPr>
        <w:t>30% achievement</w:t>
      </w:r>
      <w:r w:rsidRPr="004E46EF">
        <w:rPr>
          <w:sz w:val="20"/>
          <w:szCs w:val="20"/>
          <w:lang w:val="en-US"/>
        </w:rPr>
        <w:t>—a clear indicator of both planning and execution deficiencies. Contributing factors included security concerns, land tenure issues, and weak institutional capacity.</w:t>
      </w:r>
    </w:p>
    <w:p w14:paraId="0F45C1BE" w14:textId="77777777" w:rsidR="004E46EF" w:rsidRPr="004E46EF" w:rsidRDefault="770C5729" w:rsidP="004E46EF">
      <w:pPr>
        <w:spacing w:before="240" w:after="240"/>
        <w:jc w:val="both"/>
        <w:rPr>
          <w:sz w:val="20"/>
          <w:szCs w:val="20"/>
          <w:lang w:val="en-US"/>
        </w:rPr>
      </w:pPr>
      <w:r w:rsidRPr="5D8904BE">
        <w:rPr>
          <w:sz w:val="20"/>
          <w:szCs w:val="20"/>
          <w:lang w:val="en-US"/>
        </w:rPr>
        <w:t>The evaluation also highlighted worsening road safety conditions, stagnation in urban mobility, and only marginal improvements in rural accessibility. Infrastructure sustainability remains precarious due to erratic maintenance, lack of durable funding mechanisms, and failure to enforce penalties for overloading—undermining efforts to preserve road investments.</w:t>
      </w:r>
    </w:p>
    <w:p w14:paraId="02265E2F" w14:textId="052C8EEE" w:rsidR="004E46EF" w:rsidRPr="004E46EF" w:rsidRDefault="12C0C29C" w:rsidP="004E46EF">
      <w:pPr>
        <w:spacing w:before="240" w:after="240"/>
        <w:jc w:val="both"/>
        <w:rPr>
          <w:sz w:val="20"/>
          <w:szCs w:val="20"/>
          <w:lang w:val="en-US"/>
        </w:rPr>
      </w:pPr>
      <w:r w:rsidRPr="5D8904BE">
        <w:rPr>
          <w:sz w:val="20"/>
          <w:szCs w:val="20"/>
          <w:lang w:val="en-US"/>
        </w:rPr>
        <w:t>To address these structural weaknesses, the evaluation recommends a reorientation of strategic priorities for the next action plan</w:t>
      </w:r>
      <w:r w:rsidR="79E0659B" w:rsidRPr="5D8904BE">
        <w:rPr>
          <w:sz w:val="20"/>
          <w:szCs w:val="20"/>
          <w:lang w:val="en-US"/>
        </w:rPr>
        <w:t xml:space="preserve"> as follows</w:t>
      </w:r>
      <w:r w:rsidRPr="5D8904BE">
        <w:rPr>
          <w:sz w:val="20"/>
          <w:szCs w:val="20"/>
          <w:lang w:val="en-US"/>
        </w:rPr>
        <w:t>:</w:t>
      </w:r>
    </w:p>
    <w:p w14:paraId="1F87BF39" w14:textId="77777777" w:rsidR="00C817CB" w:rsidRPr="00B44144" w:rsidRDefault="004E46EF" w:rsidP="001360BB">
      <w:pPr>
        <w:numPr>
          <w:ilvl w:val="0"/>
          <w:numId w:val="229"/>
        </w:numPr>
        <w:spacing w:after="0"/>
        <w:jc w:val="both"/>
        <w:rPr>
          <w:sz w:val="20"/>
          <w:szCs w:val="20"/>
          <w:lang w:val="en-US"/>
        </w:rPr>
      </w:pPr>
      <w:r w:rsidRPr="004E46EF">
        <w:rPr>
          <w:sz w:val="20"/>
          <w:szCs w:val="20"/>
          <w:lang w:val="en-US"/>
        </w:rPr>
        <w:t>Strengthen governance through inclusive and gender-sensitive mechanisms that enhance institutional coordination and representation of women, youth, and vulnerable groups.</w:t>
      </w:r>
    </w:p>
    <w:p w14:paraId="0491EC34" w14:textId="0395A92C" w:rsidR="004E46EF" w:rsidRPr="004E46EF" w:rsidRDefault="770C5729" w:rsidP="001360BB">
      <w:pPr>
        <w:numPr>
          <w:ilvl w:val="0"/>
          <w:numId w:val="229"/>
        </w:numPr>
        <w:spacing w:after="0"/>
        <w:jc w:val="both"/>
        <w:rPr>
          <w:sz w:val="20"/>
          <w:szCs w:val="20"/>
          <w:lang w:val="en-US"/>
        </w:rPr>
      </w:pPr>
      <w:r w:rsidRPr="5D8904BE">
        <w:rPr>
          <w:sz w:val="20"/>
          <w:szCs w:val="20"/>
          <w:lang w:val="en-US"/>
        </w:rPr>
        <w:t>Optimize financing by digitizing toll systems, securing multi-year maintenance budgets, and enforcing road revenue regulations.</w:t>
      </w:r>
    </w:p>
    <w:p w14:paraId="6D1F3A10" w14:textId="77777777" w:rsidR="004E46EF" w:rsidRPr="004E46EF" w:rsidRDefault="004E46EF" w:rsidP="001360BB">
      <w:pPr>
        <w:numPr>
          <w:ilvl w:val="0"/>
          <w:numId w:val="229"/>
        </w:numPr>
        <w:spacing w:after="0"/>
        <w:jc w:val="both"/>
        <w:rPr>
          <w:sz w:val="20"/>
          <w:szCs w:val="20"/>
          <w:lang w:val="en-US"/>
        </w:rPr>
      </w:pPr>
      <w:r w:rsidRPr="004E46EF">
        <w:rPr>
          <w:sz w:val="20"/>
          <w:szCs w:val="20"/>
          <w:lang w:val="en-US"/>
        </w:rPr>
        <w:t>Enhance sector performance by promoting public-private partnerships, regulating the import of vehicles and tires, and improving technical inspection systems.</w:t>
      </w:r>
    </w:p>
    <w:p w14:paraId="62037A56" w14:textId="77777777" w:rsidR="004E46EF" w:rsidRPr="004E46EF" w:rsidRDefault="004E46EF" w:rsidP="001360BB">
      <w:pPr>
        <w:numPr>
          <w:ilvl w:val="0"/>
          <w:numId w:val="229"/>
        </w:numPr>
        <w:spacing w:after="0"/>
        <w:jc w:val="both"/>
        <w:rPr>
          <w:sz w:val="20"/>
          <w:szCs w:val="20"/>
          <w:lang w:val="en-US"/>
        </w:rPr>
      </w:pPr>
      <w:r w:rsidRPr="004E46EF">
        <w:rPr>
          <w:sz w:val="20"/>
          <w:szCs w:val="20"/>
          <w:lang w:val="en-US"/>
        </w:rPr>
        <w:t>Guarantee sustainability via community-based maintenance mechanisms and strict enforcement of overloading regulations.</w:t>
      </w:r>
    </w:p>
    <w:p w14:paraId="0F10C98C" w14:textId="02D8B98D" w:rsidR="004E46EF" w:rsidRPr="004E46EF" w:rsidRDefault="770C5729" w:rsidP="003D1853">
      <w:pPr>
        <w:spacing w:before="240" w:after="240"/>
        <w:jc w:val="both"/>
        <w:rPr>
          <w:sz w:val="20"/>
          <w:szCs w:val="20"/>
          <w:lang w:val="en-US"/>
        </w:rPr>
      </w:pPr>
      <w:r w:rsidRPr="004E46EF">
        <w:rPr>
          <w:sz w:val="20"/>
          <w:szCs w:val="20"/>
          <w:lang w:val="en-US"/>
        </w:rPr>
        <w:t xml:space="preserve">In recognition of the strategic role of urban transport—and its outsized environmental footprint—the Malian government initiated a </w:t>
      </w:r>
      <w:r w:rsidRPr="004E46EF">
        <w:rPr>
          <w:b/>
          <w:bCs/>
          <w:sz w:val="20"/>
          <w:szCs w:val="20"/>
          <w:lang w:val="en-US"/>
        </w:rPr>
        <w:t>Strategic Plan for the Renewal of the Commercial Transport Fleet (2021–2023)</w:t>
      </w:r>
      <w:r w:rsidRPr="004E46EF">
        <w:rPr>
          <w:sz w:val="20"/>
          <w:szCs w:val="20"/>
          <w:lang w:val="en-US"/>
        </w:rPr>
        <w:t>. This marked a welcome shift toward modernizing a sector that is essential to national connectivity and economic competitiveness.</w:t>
      </w:r>
      <w:r w:rsidR="387A8D57" w:rsidRPr="00015DEA">
        <w:rPr>
          <w:sz w:val="20"/>
          <w:szCs w:val="20"/>
          <w:lang w:val="en-US"/>
        </w:rPr>
        <w:t xml:space="preserve"> </w:t>
      </w:r>
      <w:r w:rsidRPr="004E46EF">
        <w:rPr>
          <w:sz w:val="20"/>
          <w:szCs w:val="20"/>
          <w:lang w:val="en-US"/>
        </w:rPr>
        <w:t>The plan embraced a multisectoral and incentive-based approach, integrating mechanisms such as scrappage premiums, stricter regulation of access to the transport profession, and operating lifespan limits. A new</w:t>
      </w:r>
      <w:r w:rsidR="387A8D57" w:rsidRPr="00015DEA">
        <w:rPr>
          <w:sz w:val="20"/>
          <w:szCs w:val="20"/>
          <w:lang w:val="en-US"/>
        </w:rPr>
        <w:t xml:space="preserve"> financial and</w:t>
      </w:r>
      <w:r w:rsidRPr="004E46EF">
        <w:rPr>
          <w:sz w:val="20"/>
          <w:szCs w:val="20"/>
          <w:lang w:val="en-US"/>
        </w:rPr>
        <w:t xml:space="preserve"> institutional body—the </w:t>
      </w:r>
      <w:r w:rsidR="5B4D74C9" w:rsidRPr="37FF86E9">
        <w:rPr>
          <w:b/>
          <w:bCs/>
          <w:sz w:val="20"/>
          <w:szCs w:val="20"/>
          <w:lang w:val="en-US"/>
        </w:rPr>
        <w:t>Fund for Equipment and Road Transporters (FERT)</w:t>
      </w:r>
      <w:r w:rsidR="5B4D74C9" w:rsidRPr="37FF86E9">
        <w:rPr>
          <w:sz w:val="20"/>
          <w:szCs w:val="20"/>
          <w:lang w:val="en-US"/>
        </w:rPr>
        <w:t xml:space="preserve"> </w:t>
      </w:r>
      <w:r w:rsidRPr="004E46EF">
        <w:rPr>
          <w:sz w:val="20"/>
          <w:szCs w:val="20"/>
          <w:lang w:val="en-US"/>
        </w:rPr>
        <w:t>—was to replace outdated mechanisms and ensure structured financing of fleet renewal.</w:t>
      </w:r>
      <w:r w:rsidR="387A8D57" w:rsidRPr="00015DEA">
        <w:rPr>
          <w:sz w:val="20"/>
          <w:szCs w:val="20"/>
          <w:lang w:val="en-US"/>
        </w:rPr>
        <w:t xml:space="preserve">  </w:t>
      </w:r>
      <w:r w:rsidRPr="004E46EF">
        <w:rPr>
          <w:sz w:val="20"/>
          <w:szCs w:val="20"/>
          <w:lang w:val="en-US"/>
        </w:rPr>
        <w:t>The ambition was bold: renew 2,200 vehicles over three years, starting with 800 units in the first year (250 trucks, 150 buses, 400 minibuses), followed by 700 units per year thereafter</w:t>
      </w:r>
      <w:r w:rsidR="00B44144" w:rsidRPr="00015DEA">
        <w:rPr>
          <w:rStyle w:val="Appelnotedebasdep"/>
          <w:rFonts w:ascii="Calibri" w:hAnsi="Calibri"/>
          <w:sz w:val="20"/>
          <w:szCs w:val="20"/>
          <w:lang w:val="en-US"/>
        </w:rPr>
        <w:footnoteReference w:id="16"/>
      </w:r>
      <w:r w:rsidRPr="004E46EF">
        <w:rPr>
          <w:sz w:val="20"/>
          <w:szCs w:val="20"/>
          <w:lang w:val="en-US"/>
        </w:rPr>
        <w:t xml:space="preserve">. However, the plan failed to take off due to the very issues that had previously hindered sectoral reform: </w:t>
      </w:r>
      <w:r w:rsidRPr="004E46EF">
        <w:rPr>
          <w:b/>
          <w:bCs/>
          <w:sz w:val="20"/>
          <w:szCs w:val="20"/>
          <w:lang w:val="en-US"/>
        </w:rPr>
        <w:t>weak governance</w:t>
      </w:r>
      <w:r w:rsidRPr="004E46EF">
        <w:rPr>
          <w:sz w:val="20"/>
          <w:szCs w:val="20"/>
          <w:lang w:val="en-US"/>
        </w:rPr>
        <w:t xml:space="preserve"> and </w:t>
      </w:r>
      <w:r w:rsidRPr="004E46EF">
        <w:rPr>
          <w:b/>
          <w:bCs/>
          <w:sz w:val="20"/>
          <w:szCs w:val="20"/>
          <w:lang w:val="en-US"/>
        </w:rPr>
        <w:t>inadequate financing</w:t>
      </w:r>
      <w:r w:rsidRPr="004E46EF">
        <w:rPr>
          <w:sz w:val="20"/>
          <w:szCs w:val="20"/>
          <w:lang w:val="en-US"/>
        </w:rPr>
        <w:t>.</w:t>
      </w:r>
    </w:p>
    <w:p w14:paraId="29A62C7C" w14:textId="25296C70" w:rsidR="004E46EF" w:rsidRPr="003A21B0" w:rsidRDefault="65850E49" w:rsidP="00786768">
      <w:pPr>
        <w:spacing w:after="240"/>
        <w:jc w:val="both"/>
        <w:rPr>
          <w:sz w:val="20"/>
          <w:szCs w:val="20"/>
          <w:lang w:val="en-US"/>
        </w:rPr>
      </w:pPr>
      <w:r w:rsidRPr="004E46EF">
        <w:rPr>
          <w:sz w:val="20"/>
          <w:szCs w:val="20"/>
          <w:lang w:val="en-US"/>
        </w:rPr>
        <w:t>Bamako’s urban mobility landscape is defined by structural inefficiencies and regulatory fragmentation. As of 2018, the city’s transport fleet included 2,589 SOTRAMA minibuses, 9,154 taxis, and a modest 53 tarpaulin-covered vehicles, operating on a network of 1,600 km, with only 400 km paved</w:t>
      </w:r>
      <w:r w:rsidR="00B44144" w:rsidRPr="00015DEA">
        <w:rPr>
          <w:rStyle w:val="Appelnotedebasdep"/>
          <w:rFonts w:ascii="Calibri" w:hAnsi="Calibri"/>
          <w:sz w:val="20"/>
          <w:szCs w:val="20"/>
          <w:lang w:val="en-US"/>
        </w:rPr>
        <w:footnoteReference w:id="17"/>
      </w:r>
      <w:r w:rsidRPr="004E46EF">
        <w:rPr>
          <w:sz w:val="20"/>
          <w:szCs w:val="20"/>
          <w:lang w:val="en-US"/>
        </w:rPr>
        <w:t>. The dominance of informal modes—motorcycle taxis and tricycles—has worsened congestion, air pollution, and greenhouse gas (GHG) emissions. Notably, transport accounts for 56% of GHG emissions in Bamako</w:t>
      </w:r>
      <w:r w:rsidR="00C01B32" w:rsidRPr="24AA8F7E">
        <w:rPr>
          <w:rStyle w:val="Appelnotedebasdep"/>
          <w:lang w:val="en-US"/>
        </w:rPr>
        <w:footnoteReference w:id="18"/>
      </w:r>
      <w:r w:rsidRPr="004E46EF">
        <w:rPr>
          <w:sz w:val="20"/>
          <w:szCs w:val="20"/>
          <w:lang w:val="en-US"/>
        </w:rPr>
        <w:t>, underscoring its critical role in the city’s climate footprint.</w:t>
      </w:r>
      <w:r w:rsidR="2A249732" w:rsidRPr="00015DEA">
        <w:rPr>
          <w:sz w:val="20"/>
          <w:szCs w:val="20"/>
          <w:lang w:val="en-US"/>
        </w:rPr>
        <w:t xml:space="preserve"> </w:t>
      </w:r>
      <w:r w:rsidRPr="004E46EF">
        <w:rPr>
          <w:sz w:val="20"/>
          <w:szCs w:val="20"/>
          <w:lang w:val="en-US"/>
        </w:rPr>
        <w:t xml:space="preserve">The emergence of pilot projects such as electric taxis, motorcycles, and solar-powered municipal vehicles signals growing interest in </w:t>
      </w:r>
      <w:r w:rsidRPr="004E46EF">
        <w:rPr>
          <w:b/>
          <w:bCs/>
          <w:sz w:val="20"/>
          <w:szCs w:val="20"/>
          <w:lang w:val="en-US"/>
        </w:rPr>
        <w:t>electric mobility (e-mobility)</w:t>
      </w:r>
      <w:r w:rsidRPr="004E46EF">
        <w:rPr>
          <w:sz w:val="20"/>
          <w:szCs w:val="20"/>
          <w:lang w:val="en-US"/>
        </w:rPr>
        <w:t>. However, these initiatives remain isolated and underfunded. Major obstacles include</w:t>
      </w:r>
      <w:r w:rsidR="74D6736F" w:rsidRPr="001B4741">
        <w:rPr>
          <w:sz w:val="20"/>
          <w:szCs w:val="20"/>
          <w:lang w:val="en-US"/>
        </w:rPr>
        <w:t xml:space="preserve"> a </w:t>
      </w:r>
      <w:r w:rsidR="74D6736F" w:rsidRPr="004E46EF">
        <w:rPr>
          <w:sz w:val="20"/>
          <w:szCs w:val="20"/>
          <w:lang w:val="en-US"/>
        </w:rPr>
        <w:t>fossil fuel-dominated energy mix</w:t>
      </w:r>
      <w:r w:rsidR="55AF2043" w:rsidRPr="001B4741">
        <w:rPr>
          <w:sz w:val="20"/>
          <w:szCs w:val="20"/>
          <w:lang w:val="en-US"/>
        </w:rPr>
        <w:t xml:space="preserve">, which </w:t>
      </w:r>
      <w:r w:rsidR="374FA178" w:rsidRPr="001B4741">
        <w:rPr>
          <w:sz w:val="20"/>
          <w:szCs w:val="20"/>
          <w:lang w:val="en-US"/>
        </w:rPr>
        <w:t xml:space="preserve">is </w:t>
      </w:r>
      <w:r w:rsidR="74D6736F" w:rsidRPr="001B4741">
        <w:rPr>
          <w:sz w:val="20"/>
          <w:szCs w:val="20"/>
          <w:lang w:val="en-US"/>
        </w:rPr>
        <w:t xml:space="preserve">still dominated by thermal sources, frequent power outages, high costs, and chronic underinvestment in electrical infrastructure. </w:t>
      </w:r>
      <w:r w:rsidR="5558A98F" w:rsidRPr="001B4741">
        <w:rPr>
          <w:sz w:val="20"/>
          <w:szCs w:val="20"/>
          <w:lang w:val="en-US"/>
        </w:rPr>
        <w:t xml:space="preserve">Besides, </w:t>
      </w:r>
      <w:r w:rsidR="4CBBA8F5" w:rsidRPr="001B4741">
        <w:rPr>
          <w:sz w:val="20"/>
          <w:szCs w:val="20"/>
          <w:lang w:val="en-US"/>
        </w:rPr>
        <w:t>i</w:t>
      </w:r>
      <w:r w:rsidR="4CBBA8F5" w:rsidRPr="004E46EF">
        <w:rPr>
          <w:sz w:val="20"/>
          <w:szCs w:val="20"/>
          <w:lang w:val="en-US"/>
        </w:rPr>
        <w:t>nsufficient investment in electrical infrastructure</w:t>
      </w:r>
      <w:r w:rsidR="4CBBA8F5" w:rsidRPr="001B4741">
        <w:rPr>
          <w:sz w:val="20"/>
          <w:szCs w:val="20"/>
          <w:lang w:val="en-US"/>
        </w:rPr>
        <w:t xml:space="preserve"> and h</w:t>
      </w:r>
      <w:r w:rsidR="4CBBA8F5" w:rsidRPr="004E46EF">
        <w:rPr>
          <w:sz w:val="20"/>
          <w:szCs w:val="20"/>
          <w:lang w:val="en-US"/>
        </w:rPr>
        <w:t>igh capital and operational</w:t>
      </w:r>
      <w:r w:rsidR="49980514" w:rsidRPr="004E46EF">
        <w:rPr>
          <w:sz w:val="20"/>
          <w:szCs w:val="20"/>
          <w:lang w:val="en-US"/>
        </w:rPr>
        <w:t xml:space="preserve"> costs</w:t>
      </w:r>
      <w:r w:rsidR="4CBBA8F5" w:rsidRPr="001B4741">
        <w:rPr>
          <w:sz w:val="20"/>
          <w:szCs w:val="20"/>
          <w:lang w:val="en-US"/>
        </w:rPr>
        <w:t xml:space="preserve"> together </w:t>
      </w:r>
      <w:r w:rsidR="54CFBECF" w:rsidRPr="001B4741">
        <w:rPr>
          <w:sz w:val="20"/>
          <w:szCs w:val="20"/>
          <w:lang w:val="en-US"/>
        </w:rPr>
        <w:t xml:space="preserve">hinder the </w:t>
      </w:r>
      <w:r w:rsidR="34634CDD" w:rsidRPr="001B4741">
        <w:rPr>
          <w:sz w:val="20"/>
          <w:szCs w:val="20"/>
          <w:lang w:val="en-US"/>
        </w:rPr>
        <w:t>take-off</w:t>
      </w:r>
      <w:r w:rsidR="54CFBECF" w:rsidRPr="001B4741">
        <w:rPr>
          <w:sz w:val="20"/>
          <w:szCs w:val="20"/>
          <w:lang w:val="en-US"/>
        </w:rPr>
        <w:t xml:space="preserve"> of </w:t>
      </w:r>
      <w:r w:rsidR="5558A98F" w:rsidRPr="001B4741">
        <w:rPr>
          <w:sz w:val="20"/>
          <w:szCs w:val="20"/>
          <w:lang w:val="en-US"/>
        </w:rPr>
        <w:t>large-scale electric mobility</w:t>
      </w:r>
      <w:r w:rsidR="54CFBECF" w:rsidRPr="001B4741">
        <w:rPr>
          <w:sz w:val="20"/>
          <w:szCs w:val="20"/>
          <w:lang w:val="en-US"/>
        </w:rPr>
        <w:t xml:space="preserve">. </w:t>
      </w:r>
      <w:r w:rsidR="74D6736F" w:rsidRPr="001B4741">
        <w:rPr>
          <w:sz w:val="20"/>
          <w:szCs w:val="20"/>
          <w:lang w:val="en-US"/>
        </w:rPr>
        <w:t>Despite this, pilot initiatives are emerging—electric taxis and motorcycles, municipal solar projects—but they remain marginal and under supporte</w:t>
      </w:r>
      <w:r w:rsidR="121A772B" w:rsidRPr="001B4741">
        <w:rPr>
          <w:sz w:val="20"/>
          <w:szCs w:val="20"/>
          <w:lang w:val="en-US"/>
        </w:rPr>
        <w:t>d.</w:t>
      </w:r>
      <w:r w:rsidR="58CC3325" w:rsidRPr="001B4741">
        <w:rPr>
          <w:sz w:val="20"/>
          <w:szCs w:val="20"/>
          <w:lang w:val="en-US"/>
        </w:rPr>
        <w:t xml:space="preserve"> </w:t>
      </w:r>
      <w:r w:rsidRPr="004E46EF">
        <w:rPr>
          <w:sz w:val="20"/>
          <w:szCs w:val="20"/>
          <w:lang w:val="en-US"/>
        </w:rPr>
        <w:t>The Bamako Sustainable Energy Access and Climate Action Plan (PAAEDC-DB), adopted in 2023, offers a pathway forward by integrating climate and energy goals. Yet, the absence of dedicated local financing severely limits its implementation.</w:t>
      </w:r>
    </w:p>
    <w:p w14:paraId="783379AA" w14:textId="55766D07" w:rsidR="00A14C68" w:rsidRPr="001D4C80" w:rsidRDefault="052D1D00" w:rsidP="24AA8F7E">
      <w:pPr>
        <w:spacing w:before="240" w:after="240"/>
        <w:jc w:val="both"/>
        <w:rPr>
          <w:sz w:val="20"/>
          <w:szCs w:val="20"/>
          <w:lang w:val="en-US"/>
        </w:rPr>
      </w:pPr>
      <w:r w:rsidRPr="5D8904BE">
        <w:rPr>
          <w:sz w:val="20"/>
          <w:szCs w:val="20"/>
          <w:lang w:val="en-US"/>
        </w:rPr>
        <w:lastRenderedPageBreak/>
        <w:t xml:space="preserve">Governance </w:t>
      </w:r>
      <w:proofErr w:type="gramStart"/>
      <w:r w:rsidRPr="5D8904BE">
        <w:rPr>
          <w:sz w:val="20"/>
          <w:szCs w:val="20"/>
          <w:lang w:val="en-US"/>
        </w:rPr>
        <w:t xml:space="preserve">is considered </w:t>
      </w:r>
      <w:r w:rsidR="28C2822F" w:rsidRPr="5D8904BE">
        <w:rPr>
          <w:sz w:val="20"/>
          <w:szCs w:val="20"/>
          <w:lang w:val="en-US"/>
        </w:rPr>
        <w:t>to be</w:t>
      </w:r>
      <w:proofErr w:type="gramEnd"/>
      <w:r w:rsidR="28C2822F" w:rsidRPr="5D8904BE">
        <w:rPr>
          <w:sz w:val="20"/>
          <w:szCs w:val="20"/>
          <w:lang w:val="en-US"/>
        </w:rPr>
        <w:t xml:space="preserve"> </w:t>
      </w:r>
      <w:r w:rsidRPr="5D8904BE">
        <w:rPr>
          <w:sz w:val="20"/>
          <w:szCs w:val="20"/>
          <w:lang w:val="en-US"/>
        </w:rPr>
        <w:t xml:space="preserve">a missing </w:t>
      </w:r>
      <w:r w:rsidR="083D7EA7" w:rsidRPr="5D8904BE">
        <w:rPr>
          <w:sz w:val="20"/>
          <w:szCs w:val="20"/>
          <w:lang w:val="en-US"/>
        </w:rPr>
        <w:t>link,</w:t>
      </w:r>
      <w:r w:rsidRPr="5D8904BE">
        <w:rPr>
          <w:sz w:val="20"/>
          <w:szCs w:val="20"/>
          <w:lang w:val="en-US"/>
        </w:rPr>
        <w:t xml:space="preserve"> and </w:t>
      </w:r>
      <w:r w:rsidR="12C0C29C" w:rsidRPr="5D8904BE">
        <w:rPr>
          <w:sz w:val="20"/>
          <w:szCs w:val="20"/>
          <w:lang w:val="en-US"/>
        </w:rPr>
        <w:t>Institutional fragmentation is a recurring challenge. The Urban Transport Regulation and Control Directorate (DRCTU), under the Bamako District Municipality, is tasked with regulation and monitoring but lacks the authority and resources to coordinate policy across stakeholders. Collaboration with the Police Traffic Company adds another layer without resolving the overarching governance vacuum.</w:t>
      </w:r>
      <w:r w:rsidR="0F08223B" w:rsidRPr="5D8904BE">
        <w:rPr>
          <w:sz w:val="20"/>
          <w:szCs w:val="20"/>
          <w:lang w:val="en-US"/>
        </w:rPr>
        <w:t xml:space="preserve"> </w:t>
      </w:r>
      <w:r w:rsidR="12C0C29C" w:rsidRPr="5D8904BE">
        <w:rPr>
          <w:sz w:val="20"/>
          <w:szCs w:val="20"/>
          <w:lang w:val="en-US"/>
        </w:rPr>
        <w:t>The absence of a transport</w:t>
      </w:r>
      <w:r w:rsidR="5564F986" w:rsidRPr="5D8904BE">
        <w:rPr>
          <w:sz w:val="20"/>
          <w:szCs w:val="20"/>
          <w:lang w:val="en-US"/>
        </w:rPr>
        <w:t xml:space="preserve"> regulatory</w:t>
      </w:r>
      <w:r w:rsidR="12C0C29C" w:rsidRPr="5D8904BE">
        <w:rPr>
          <w:sz w:val="20"/>
          <w:szCs w:val="20"/>
          <w:lang w:val="en-US"/>
        </w:rPr>
        <w:t xml:space="preserve"> authority</w:t>
      </w:r>
      <w:r w:rsidR="708E74C0" w:rsidRPr="5D8904BE">
        <w:rPr>
          <w:sz w:val="20"/>
          <w:szCs w:val="20"/>
          <w:lang w:val="en-US"/>
        </w:rPr>
        <w:t xml:space="preserve">/body </w:t>
      </w:r>
      <w:r w:rsidR="12C0C29C" w:rsidRPr="5D8904BE">
        <w:rPr>
          <w:sz w:val="20"/>
          <w:szCs w:val="20"/>
          <w:lang w:val="en-US"/>
        </w:rPr>
        <w:t>results in overlapping mandates, inconsistent enforcement, and diluted accountability—making it nearly impossible to deliver integrated mobility solutions. Urban mobility governance must evolve to reflect the urgency of Bamako’s challenges and provide a coherent framework for planning, investment, and innovation.</w:t>
      </w:r>
    </w:p>
    <w:p w14:paraId="20ACC494" w14:textId="4B3981C0" w:rsidR="004E46EF" w:rsidRPr="004E46EF" w:rsidRDefault="004E46EF" w:rsidP="00A14C68">
      <w:pPr>
        <w:spacing w:before="240" w:after="240"/>
        <w:jc w:val="both"/>
        <w:rPr>
          <w:sz w:val="20"/>
          <w:szCs w:val="20"/>
          <w:lang w:val="en-US"/>
        </w:rPr>
      </w:pPr>
      <w:r w:rsidRPr="004E46EF">
        <w:rPr>
          <w:sz w:val="20"/>
          <w:szCs w:val="20"/>
          <w:lang w:val="en-US"/>
        </w:rPr>
        <w:t>Mali’s transport sector sits at a critical juncture. The diagnosis is clear: weak governance, fragmented institutions, chronic underinvestment, and fragile maintenance systems have undermined both performance and sustainability. Yet, a series of strategic initiatives—the PNTITD evaluation, the (unimplemented) fleet renewal plan, and the PAAEDC-DB—offer building blocks for reform.</w:t>
      </w:r>
    </w:p>
    <w:p w14:paraId="1EFE226E" w14:textId="0B158FF9" w:rsidR="004E46EF" w:rsidRPr="004E46EF" w:rsidRDefault="4749A9CA" w:rsidP="004E46EF">
      <w:pPr>
        <w:spacing w:before="240" w:after="240"/>
        <w:jc w:val="both"/>
        <w:rPr>
          <w:sz w:val="20"/>
          <w:szCs w:val="20"/>
          <w:lang w:val="en-US"/>
        </w:rPr>
      </w:pPr>
      <w:r w:rsidRPr="1A8B662A">
        <w:rPr>
          <w:sz w:val="20"/>
          <w:szCs w:val="20"/>
          <w:lang w:val="en-US"/>
        </w:rPr>
        <w:t>What is urgently needed is strong political will, effective coordination, targeted financing, and stakeholder alignment, especially at the local level. If managed strategically, urban mobility and e-mobility can become catalysts for climate action, inclusive growth, and regional integration.</w:t>
      </w:r>
    </w:p>
    <w:p w14:paraId="1F5037B9" w14:textId="1722D6D1" w:rsidR="0825A2FC" w:rsidRPr="00857B81" w:rsidRDefault="0825A2FC" w:rsidP="00857B81">
      <w:pPr>
        <w:spacing w:after="0"/>
        <w:jc w:val="both"/>
        <w:rPr>
          <w:highlight w:val="yellow"/>
          <w:lang w:val="en-US"/>
        </w:rPr>
      </w:pPr>
      <w:r w:rsidRPr="00857B81">
        <w:rPr>
          <w:sz w:val="20"/>
          <w:szCs w:val="20"/>
          <w:highlight w:val="yellow"/>
          <w:lang w:val="en-US"/>
        </w:rPr>
        <w:t>Waste Management and Circular Economy Challenges</w:t>
      </w:r>
    </w:p>
    <w:p w14:paraId="72738308" w14:textId="52C34CA5" w:rsidR="0825A2FC" w:rsidRPr="00857B81" w:rsidRDefault="0825A2FC" w:rsidP="00857B81">
      <w:pPr>
        <w:spacing w:after="0"/>
        <w:jc w:val="both"/>
        <w:rPr>
          <w:sz w:val="20"/>
          <w:szCs w:val="20"/>
          <w:highlight w:val="yellow"/>
          <w:lang w:val="en-US"/>
        </w:rPr>
      </w:pPr>
      <w:r w:rsidRPr="2DC80E69">
        <w:rPr>
          <w:sz w:val="20"/>
          <w:szCs w:val="20"/>
          <w:highlight w:val="yellow"/>
          <w:lang w:val="en-US"/>
        </w:rPr>
        <w:t xml:space="preserve">The city of Bamako generates an estimated </w:t>
      </w:r>
      <w:r w:rsidRPr="2DC80E69">
        <w:rPr>
          <w:b/>
          <w:bCs/>
          <w:sz w:val="20"/>
          <w:szCs w:val="20"/>
          <w:highlight w:val="yellow"/>
          <w:lang w:val="en-US"/>
        </w:rPr>
        <w:t>1,800 tons of solid waste per day</w:t>
      </w:r>
      <w:r w:rsidRPr="2DC80E69">
        <w:rPr>
          <w:sz w:val="20"/>
          <w:szCs w:val="20"/>
          <w:highlight w:val="yellow"/>
          <w:lang w:val="en-US"/>
        </w:rPr>
        <w:t xml:space="preserve">, of which only </w:t>
      </w:r>
      <w:r w:rsidRPr="2DC80E69">
        <w:rPr>
          <w:b/>
          <w:bCs/>
          <w:sz w:val="20"/>
          <w:szCs w:val="20"/>
          <w:highlight w:val="yellow"/>
          <w:lang w:val="en-US"/>
        </w:rPr>
        <w:t>70% is collected</w:t>
      </w:r>
      <w:r w:rsidRPr="2DC80E69">
        <w:rPr>
          <w:sz w:val="20"/>
          <w:szCs w:val="20"/>
          <w:highlight w:val="yellow"/>
          <w:lang w:val="en-US"/>
        </w:rPr>
        <w:t xml:space="preserve">, with significant disparities in service coverage between communes. The absence of formal waste sorting, recycling systems, and adequate disposal infrastructure leads to open dumping, water contamination, and increased vector-borne diseases. </w:t>
      </w:r>
      <w:r w:rsidR="64CEAD66" w:rsidRPr="2DC80E69">
        <w:rPr>
          <w:sz w:val="20"/>
          <w:szCs w:val="20"/>
          <w:highlight w:val="yellow"/>
          <w:lang w:val="en-US"/>
        </w:rPr>
        <w:t xml:space="preserve">Electric and </w:t>
      </w:r>
      <w:r w:rsidRPr="2DC80E69">
        <w:rPr>
          <w:sz w:val="20"/>
          <w:szCs w:val="20"/>
          <w:highlight w:val="yellow"/>
          <w:lang w:val="en-US"/>
        </w:rPr>
        <w:t>Electronic waste (WEEE)—such as batteries and solar panels—are growing rapidly due to increased energy access but remain unmanaged.</w:t>
      </w:r>
    </w:p>
    <w:p w14:paraId="69EBF5A3" w14:textId="29603EEB" w:rsidR="0825A2FC" w:rsidRPr="00857B81" w:rsidRDefault="0825A2FC" w:rsidP="00857B81">
      <w:pPr>
        <w:spacing w:before="240" w:after="240"/>
        <w:jc w:val="both"/>
        <w:rPr>
          <w:sz w:val="20"/>
          <w:szCs w:val="20"/>
          <w:highlight w:val="yellow"/>
          <w:lang w:val="en-US"/>
        </w:rPr>
      </w:pPr>
      <w:r w:rsidRPr="2DC80E69">
        <w:rPr>
          <w:sz w:val="20"/>
          <w:szCs w:val="20"/>
          <w:highlight w:val="yellow"/>
          <w:lang w:val="en-US"/>
        </w:rPr>
        <w:t xml:space="preserve">Currently, waste-related responsibilities are spread across several entities with </w:t>
      </w:r>
      <w:r w:rsidRPr="2DC80E69">
        <w:rPr>
          <w:b/>
          <w:bCs/>
          <w:sz w:val="20"/>
          <w:szCs w:val="20"/>
          <w:highlight w:val="yellow"/>
          <w:lang w:val="en-US"/>
        </w:rPr>
        <w:t>no consolidated institutional framework</w:t>
      </w:r>
      <w:r w:rsidRPr="2DC80E69">
        <w:rPr>
          <w:sz w:val="20"/>
          <w:szCs w:val="20"/>
          <w:highlight w:val="yellow"/>
          <w:lang w:val="en-US"/>
        </w:rPr>
        <w:t xml:space="preserve">, leading to fragmented interventions and policy inefficiencies. </w:t>
      </w:r>
      <w:proofErr w:type="gramStart"/>
      <w:r w:rsidR="4592B8C0" w:rsidRPr="2DC80E69">
        <w:rPr>
          <w:sz w:val="20"/>
          <w:szCs w:val="20"/>
          <w:highlight w:val="yellow"/>
          <w:lang w:val="en-US"/>
        </w:rPr>
        <w:t xml:space="preserve">Since </w:t>
      </w:r>
      <w:r w:rsidRPr="2DC80E69">
        <w:rPr>
          <w:sz w:val="20"/>
          <w:szCs w:val="20"/>
          <w:highlight w:val="yellow"/>
          <w:lang w:val="en-US"/>
        </w:rPr>
        <w:t xml:space="preserve"> 2023</w:t>
      </w:r>
      <w:proofErr w:type="gramEnd"/>
      <w:r w:rsidRPr="2DC80E69">
        <w:rPr>
          <w:sz w:val="20"/>
          <w:szCs w:val="20"/>
          <w:highlight w:val="yellow"/>
          <w:lang w:val="en-US"/>
        </w:rPr>
        <w:t xml:space="preserve"> Waste Management Master Plan exists, but implementation is limited due to weak enforcement, lack of financing, and insufficient data. Circular economy initiatives—such as composting, reuse, and informal recycling—are emerging but lack structured support and scalable models. Women and youth engaged in these sectors operate informally, without legal or financial incentives.</w:t>
      </w:r>
    </w:p>
    <w:p w14:paraId="7742E1E3" w14:textId="7E55A9F9" w:rsidR="0825A2FC" w:rsidRPr="00857B81" w:rsidRDefault="0825A2FC" w:rsidP="00857B81">
      <w:pPr>
        <w:spacing w:after="0"/>
        <w:jc w:val="both"/>
        <w:rPr>
          <w:sz w:val="20"/>
          <w:szCs w:val="20"/>
          <w:highlight w:val="yellow"/>
          <w:lang w:val="en-US"/>
        </w:rPr>
      </w:pPr>
      <w:r w:rsidRPr="2DC80E69">
        <w:rPr>
          <w:sz w:val="20"/>
          <w:szCs w:val="20"/>
          <w:highlight w:val="yellow"/>
          <w:lang w:val="en-US"/>
        </w:rPr>
        <w:t xml:space="preserve">Mali is facing a growing and complex waste management crisis, exacerbated by the </w:t>
      </w:r>
      <w:r w:rsidRPr="2DC80E69">
        <w:rPr>
          <w:b/>
          <w:bCs/>
          <w:sz w:val="20"/>
          <w:szCs w:val="20"/>
          <w:highlight w:val="yellow"/>
          <w:lang w:val="en-US"/>
        </w:rPr>
        <w:t>rapid urbanization of cities like Bamako</w:t>
      </w:r>
      <w:r w:rsidRPr="2DC80E69">
        <w:rPr>
          <w:sz w:val="20"/>
          <w:szCs w:val="20"/>
          <w:highlight w:val="yellow"/>
          <w:lang w:val="en-US"/>
        </w:rPr>
        <w:t xml:space="preserve">, increasing consumption of imported second-hand electronics and solar equipment, and </w:t>
      </w:r>
      <w:r w:rsidRPr="2DC80E69">
        <w:rPr>
          <w:b/>
          <w:bCs/>
          <w:sz w:val="20"/>
          <w:szCs w:val="20"/>
          <w:highlight w:val="yellow"/>
          <w:lang w:val="en-US"/>
        </w:rPr>
        <w:t xml:space="preserve">weak institutional frameworks for hazardous waste regulation. </w:t>
      </w:r>
      <w:r w:rsidRPr="2DC80E69">
        <w:rPr>
          <w:sz w:val="20"/>
          <w:szCs w:val="20"/>
          <w:highlight w:val="yellow"/>
          <w:lang w:val="en-US"/>
        </w:rPr>
        <w:t>The exponential growth of electronic and electrical waste (WEEE), including second-hand solar equipment, presents an urgent and multidimensional challenge for Mali’s urban centers—especially Bamako. One of the key contributing factors to this imbalance is the widespread importation of used electrical, electronic, and solar devices—often nearing or exceeding their end-of-life. These products, typically originating from developed countries, are classified as special waste under Law No. 2021-032 due to their content of hazardous substances such as mercury, refrigerants, and lubricants, which pose significant risks to both human health and the environment when improperly handled.</w:t>
      </w:r>
    </w:p>
    <w:p w14:paraId="348D932A" w14:textId="217D6F6F" w:rsidR="0825A2FC" w:rsidRPr="00857B81" w:rsidRDefault="0825A2FC" w:rsidP="00857B81">
      <w:pPr>
        <w:spacing w:after="0"/>
        <w:jc w:val="both"/>
        <w:rPr>
          <w:sz w:val="20"/>
          <w:szCs w:val="20"/>
          <w:highlight w:val="yellow"/>
          <w:lang w:val="en-US"/>
        </w:rPr>
      </w:pPr>
      <w:r w:rsidRPr="00857B81">
        <w:rPr>
          <w:sz w:val="20"/>
          <w:szCs w:val="20"/>
          <w:highlight w:val="yellow"/>
          <w:lang w:val="en-US"/>
        </w:rPr>
        <w:t>Beyond the environmental and public health threats, the accumulation of obsolete equipment aggravates urban service delivery and energy instability, leading to frequent load shedding, especially in Bamako—home to nearly 80% of the national grid’s consumer base. These blackouts disproportionately affect the city’s economic engine, disrupting schools, health centers, businesses, and social services.</w:t>
      </w:r>
    </w:p>
    <w:p w14:paraId="46A0224F" w14:textId="61FA8E43" w:rsidR="0825A2FC" w:rsidRPr="00857B81" w:rsidRDefault="0825A2FC" w:rsidP="00857B81">
      <w:pPr>
        <w:spacing w:after="0"/>
        <w:jc w:val="both"/>
        <w:rPr>
          <w:sz w:val="20"/>
          <w:szCs w:val="20"/>
          <w:lang w:val="en-US"/>
        </w:rPr>
      </w:pPr>
      <w:r w:rsidRPr="00857B81">
        <w:rPr>
          <w:sz w:val="20"/>
          <w:szCs w:val="20"/>
          <w:highlight w:val="yellow"/>
          <w:lang w:val="en-US"/>
        </w:rPr>
        <w:t xml:space="preserve">At the same time, the </w:t>
      </w:r>
      <w:r w:rsidRPr="00857B81">
        <w:rPr>
          <w:b/>
          <w:bCs/>
          <w:sz w:val="20"/>
          <w:szCs w:val="20"/>
          <w:highlight w:val="yellow"/>
          <w:lang w:val="en-US"/>
        </w:rPr>
        <w:t>national electricity grid</w:t>
      </w:r>
      <w:r w:rsidRPr="00857B81">
        <w:rPr>
          <w:sz w:val="20"/>
          <w:szCs w:val="20"/>
          <w:highlight w:val="yellow"/>
          <w:lang w:val="en-US"/>
        </w:rPr>
        <w:t xml:space="preserve">—serving Bamako and 31 other cities—is increasingly strained, with </w:t>
      </w:r>
      <w:r w:rsidRPr="00857B81">
        <w:rPr>
          <w:b/>
          <w:bCs/>
          <w:sz w:val="20"/>
          <w:szCs w:val="20"/>
          <w:highlight w:val="yellow"/>
          <w:lang w:val="en-US"/>
        </w:rPr>
        <w:t>peak demand rising by 30 MW per year</w:t>
      </w:r>
      <w:r w:rsidRPr="00857B81">
        <w:rPr>
          <w:sz w:val="20"/>
          <w:szCs w:val="20"/>
          <w:highlight w:val="yellow"/>
          <w:lang w:val="en-US"/>
        </w:rPr>
        <w:t xml:space="preserve">. This surge is not matched by economic growth and is partly fueled by inefficient or failing electrical appliances and solar kits. Bamako, accounting for nearly </w:t>
      </w:r>
      <w:r w:rsidRPr="00857B81">
        <w:rPr>
          <w:b/>
          <w:bCs/>
          <w:sz w:val="20"/>
          <w:szCs w:val="20"/>
          <w:highlight w:val="yellow"/>
          <w:lang w:val="en-US"/>
        </w:rPr>
        <w:t>80% of energy demand</w:t>
      </w:r>
      <w:r w:rsidRPr="00857B81">
        <w:rPr>
          <w:sz w:val="20"/>
          <w:szCs w:val="20"/>
          <w:highlight w:val="yellow"/>
          <w:lang w:val="en-US"/>
        </w:rPr>
        <w:t>, is the most affected by frequent load shedding, which disrupts economic activities and essential services.</w:t>
      </w:r>
    </w:p>
    <w:p w14:paraId="00000117" w14:textId="61789704" w:rsidR="004F7DB3" w:rsidRPr="0094732D" w:rsidRDefault="3A470758" w:rsidP="0094732D">
      <w:pPr>
        <w:rPr>
          <w:sz w:val="20"/>
          <w:szCs w:val="20"/>
          <w:u w:val="single"/>
          <w:lang w:val="en-US"/>
        </w:rPr>
      </w:pPr>
      <w:bookmarkStart w:id="12" w:name="_heading=h.yoigrphasu8p"/>
      <w:bookmarkEnd w:id="12"/>
      <w:r w:rsidRPr="00A32191">
        <w:rPr>
          <w:sz w:val="20"/>
          <w:szCs w:val="20"/>
          <w:u w:val="single"/>
          <w:lang w:val="en-US"/>
        </w:rPr>
        <w:t>Accelerated degradation of biodiversity and the urban environment</w:t>
      </w:r>
    </w:p>
    <w:p w14:paraId="00000118" w14:textId="225EAF7B" w:rsidR="004F7DB3" w:rsidRPr="00A86393" w:rsidRDefault="472B868E">
      <w:pPr>
        <w:spacing w:before="240" w:after="240" w:line="240" w:lineRule="auto"/>
        <w:jc w:val="both"/>
        <w:rPr>
          <w:sz w:val="20"/>
          <w:szCs w:val="20"/>
          <w:lang w:val="en-US"/>
        </w:rPr>
      </w:pPr>
      <w:r w:rsidRPr="5D8904BE">
        <w:rPr>
          <w:sz w:val="20"/>
          <w:szCs w:val="20"/>
          <w:lang w:val="en-US"/>
        </w:rPr>
        <w:t xml:space="preserve">The sustainable integrated urban development of the city of Bamako </w:t>
      </w:r>
      <w:r w:rsidR="562D5B6A" w:rsidRPr="5D8904BE">
        <w:rPr>
          <w:sz w:val="20"/>
          <w:szCs w:val="20"/>
          <w:lang w:val="en-US"/>
        </w:rPr>
        <w:t>addresse</w:t>
      </w:r>
      <w:r w:rsidRPr="5D8904BE">
        <w:rPr>
          <w:sz w:val="20"/>
          <w:szCs w:val="20"/>
          <w:lang w:val="en-US"/>
        </w:rPr>
        <w:t xml:space="preserve">s </w:t>
      </w:r>
      <w:proofErr w:type="gramStart"/>
      <w:r w:rsidRPr="5D8904BE">
        <w:rPr>
          <w:sz w:val="20"/>
          <w:szCs w:val="20"/>
          <w:lang w:val="en-US"/>
        </w:rPr>
        <w:t>a number of</w:t>
      </w:r>
      <w:proofErr w:type="gramEnd"/>
      <w:r w:rsidRPr="5D8904BE">
        <w:rPr>
          <w:sz w:val="20"/>
          <w:szCs w:val="20"/>
          <w:lang w:val="en-US"/>
        </w:rPr>
        <w:t xml:space="preserve"> important environmental challenges, which are: </w:t>
      </w:r>
    </w:p>
    <w:p w14:paraId="00000119" w14:textId="72BA4DC8" w:rsidR="004F7DB3" w:rsidRPr="00A86393" w:rsidRDefault="475526FC" w:rsidP="001360BB">
      <w:pPr>
        <w:numPr>
          <w:ilvl w:val="0"/>
          <w:numId w:val="162"/>
        </w:numPr>
        <w:spacing w:before="240" w:after="0" w:line="240" w:lineRule="auto"/>
        <w:jc w:val="both"/>
        <w:rPr>
          <w:sz w:val="20"/>
          <w:szCs w:val="20"/>
          <w:lang w:val="en-US"/>
        </w:rPr>
      </w:pPr>
      <w:r w:rsidRPr="00A86393">
        <w:rPr>
          <w:b/>
          <w:bCs/>
          <w:sz w:val="20"/>
          <w:szCs w:val="20"/>
          <w:lang w:val="en-US"/>
        </w:rPr>
        <w:lastRenderedPageBreak/>
        <w:t xml:space="preserve">Air pollution is particularly linked to the main sources of emissions identified, which are: </w:t>
      </w:r>
      <w:r w:rsidRPr="00A86393">
        <w:rPr>
          <w:sz w:val="20"/>
          <w:szCs w:val="20"/>
          <w:lang w:val="en-US"/>
        </w:rPr>
        <w:t xml:space="preserve">road transport, baking including bakeries using wood energy, municipal waste (by </w:t>
      </w:r>
      <w:proofErr w:type="spellStart"/>
      <w:r w:rsidRPr="00A86393">
        <w:rPr>
          <w:sz w:val="20"/>
          <w:szCs w:val="20"/>
          <w:lang w:val="en-US"/>
        </w:rPr>
        <w:t>methanisation</w:t>
      </w:r>
      <w:proofErr w:type="spellEnd"/>
      <w:r w:rsidRPr="00A86393">
        <w:rPr>
          <w:sz w:val="20"/>
          <w:szCs w:val="20"/>
          <w:lang w:val="en-US"/>
        </w:rPr>
        <w:t xml:space="preserve"> or open-air incineration), industries and refrigerant emissions used in cooling contributing to stratospheric gaseous ozone and urban smog. Indeed, with a fleet of private cars on average 16 years old and two- to three-wheeled motorcycles, all imported, consuming fuel whose quality is not adequately controlled regularly, notwithstanding the existence of national legal provisions, road transport is the main pollution sector and has regularly recorded concentrations of polluting particles higher than the standards required by the World Food </w:t>
      </w:r>
      <w:r w:rsidR="2BA37B10" w:rsidRPr="00A86393">
        <w:rPr>
          <w:sz w:val="20"/>
          <w:szCs w:val="20"/>
          <w:lang w:val="en-US"/>
        </w:rPr>
        <w:t>Organization</w:t>
      </w:r>
      <w:r w:rsidR="03C64142" w:rsidRPr="00A86393">
        <w:rPr>
          <w:sz w:val="20"/>
          <w:szCs w:val="20"/>
          <w:lang w:val="en-US"/>
        </w:rPr>
        <w:t>,</w:t>
      </w:r>
      <w:r w:rsidR="158AE4F8" w:rsidRPr="00A86393">
        <w:rPr>
          <w:sz w:val="20"/>
          <w:szCs w:val="20"/>
          <w:lang w:val="en-US"/>
        </w:rPr>
        <w:t xml:space="preserve"> </w:t>
      </w:r>
      <w:r w:rsidR="7504AA94" w:rsidRPr="00A86393">
        <w:rPr>
          <w:sz w:val="20"/>
          <w:szCs w:val="20"/>
          <w:lang w:val="en-US"/>
        </w:rPr>
        <w:t>f</w:t>
      </w:r>
      <w:r w:rsidR="52635169" w:rsidRPr="5D8904BE">
        <w:rPr>
          <w:sz w:val="20"/>
          <w:szCs w:val="20"/>
          <w:lang w:val="en-US"/>
        </w:rPr>
        <w:t xml:space="preserve">or instance, PM10 levels of 45 </w:t>
      </w:r>
      <w:proofErr w:type="spellStart"/>
      <w:r w:rsidR="52635169" w:rsidRPr="5D8904BE">
        <w:rPr>
          <w:sz w:val="20"/>
          <w:szCs w:val="20"/>
          <w:lang w:val="en-US"/>
        </w:rPr>
        <w:t>μg</w:t>
      </w:r>
      <w:proofErr w:type="spellEnd"/>
      <w:r w:rsidR="52635169" w:rsidRPr="5D8904BE">
        <w:rPr>
          <w:sz w:val="20"/>
          <w:szCs w:val="20"/>
          <w:lang w:val="en-US"/>
        </w:rPr>
        <w:t xml:space="preserve">/m³ over 24 hours, and SO₂ levels of 40 </w:t>
      </w:r>
      <w:proofErr w:type="spellStart"/>
      <w:r w:rsidR="52635169" w:rsidRPr="5D8904BE">
        <w:rPr>
          <w:sz w:val="20"/>
          <w:szCs w:val="20"/>
          <w:lang w:val="en-US"/>
        </w:rPr>
        <w:t>μg</w:t>
      </w:r>
      <w:proofErr w:type="spellEnd"/>
      <w:r w:rsidR="52635169" w:rsidRPr="24AA8F7E">
        <w:rPr>
          <w:sz w:val="20"/>
          <w:szCs w:val="20"/>
          <w:lang w:val="en-US"/>
        </w:rPr>
        <w:t>/m³ over 24 hours.</w:t>
      </w:r>
      <w:r w:rsidR="00C00123" w:rsidRPr="00A86393">
        <w:rPr>
          <w:sz w:val="20"/>
          <w:szCs w:val="20"/>
          <w:vertAlign w:val="superscript"/>
        </w:rPr>
        <w:footnoteReference w:id="19"/>
      </w:r>
      <w:r w:rsidR="29541A09" w:rsidRPr="24AA8F7E">
        <w:rPr>
          <w:sz w:val="20"/>
          <w:szCs w:val="20"/>
          <w:vertAlign w:val="superscript"/>
          <w:lang w:val="en-US"/>
        </w:rPr>
        <w:t>.</w:t>
      </w:r>
      <w:r w:rsidRPr="00A86393">
        <w:rPr>
          <w:sz w:val="20"/>
          <w:szCs w:val="20"/>
          <w:lang w:val="en-US"/>
        </w:rPr>
        <w:t xml:space="preserve"> The poor quality of roads in general and their limited number, as well as the low compliance with road traffic rules by some drivers, are likely to increase traffic jams which are exacerbated by the occupation of public road rights of way by the population, ultimately encouraging a constant situation of air pollution in the city. Pollution in the residential sector, particularly linked to the use of wood energy for cooking, is a real public health problem in the city for women and children, for which little statistical, scientific and reliable information is </w:t>
      </w:r>
      <w:r w:rsidR="027AC448" w:rsidRPr="00A86393">
        <w:rPr>
          <w:sz w:val="20"/>
          <w:szCs w:val="20"/>
          <w:lang w:val="en-US"/>
        </w:rPr>
        <w:t>available</w:t>
      </w:r>
      <w:r w:rsidRPr="00A86393">
        <w:rPr>
          <w:sz w:val="20"/>
          <w:szCs w:val="20"/>
          <w:lang w:val="en-US"/>
        </w:rPr>
        <w:t xml:space="preserve">. In addition, deforestation, land degradation and the drying up of groundwater and surface resources in areas of wood energy production, which are also agricultural and animal production areas, are the chronic catalysts of low agricultural productivity with all the multiple socio-economic and environmental harmful </w:t>
      </w:r>
      <w:proofErr w:type="gramStart"/>
      <w:r w:rsidRPr="00A86393">
        <w:rPr>
          <w:sz w:val="20"/>
          <w:szCs w:val="20"/>
          <w:lang w:val="en-US"/>
        </w:rPr>
        <w:t>consequences;</w:t>
      </w:r>
      <w:proofErr w:type="gramEnd"/>
      <w:r w:rsidRPr="24AA8F7E">
        <w:rPr>
          <w:sz w:val="20"/>
          <w:szCs w:val="20"/>
          <w:lang w:val="en-US"/>
        </w:rPr>
        <w:t xml:space="preserve"> </w:t>
      </w:r>
    </w:p>
    <w:p w14:paraId="0000011A" w14:textId="006AC854" w:rsidR="004F7DB3" w:rsidRPr="00A86393" w:rsidRDefault="472B868E" w:rsidP="001360BB">
      <w:pPr>
        <w:numPr>
          <w:ilvl w:val="0"/>
          <w:numId w:val="162"/>
        </w:numPr>
        <w:spacing w:after="0" w:line="240" w:lineRule="auto"/>
        <w:jc w:val="both"/>
        <w:rPr>
          <w:sz w:val="20"/>
          <w:szCs w:val="20"/>
          <w:lang w:val="en-US"/>
        </w:rPr>
      </w:pPr>
      <w:r w:rsidRPr="00A86393">
        <w:rPr>
          <w:b/>
          <w:bCs/>
          <w:sz w:val="20"/>
          <w:szCs w:val="20"/>
          <w:lang w:val="en-US"/>
        </w:rPr>
        <w:t xml:space="preserve">Universal access to drinking water and protection of water </w:t>
      </w:r>
      <w:r w:rsidR="5C5903DA" w:rsidRPr="00A86393">
        <w:rPr>
          <w:b/>
          <w:bCs/>
          <w:sz w:val="20"/>
          <w:szCs w:val="20"/>
          <w:lang w:val="en-US"/>
        </w:rPr>
        <w:t>resources</w:t>
      </w:r>
      <w:r w:rsidRPr="00A86393">
        <w:rPr>
          <w:b/>
          <w:bCs/>
          <w:sz w:val="20"/>
          <w:szCs w:val="20"/>
          <w:lang w:val="en-US"/>
        </w:rPr>
        <w:t xml:space="preserve"> </w:t>
      </w:r>
      <w:r w:rsidRPr="00A86393">
        <w:rPr>
          <w:sz w:val="20"/>
          <w:szCs w:val="20"/>
          <w:lang w:val="en-US"/>
        </w:rPr>
        <w:t>is characterized by universal household access to drinking water almost half achieved (illustrated by the number of subscribers served in 2023 = 270,793 and the number of potential subscribers = 203,000 in 2023 for a total number of households in Bamako = 538,000). Also, the duration of the total interruptions of drinking water production services of SOMAGEP (Malian Drinking Water Management Company) = 210,000 minutes</w:t>
      </w:r>
      <w:r w:rsidR="00C00123" w:rsidRPr="00A86393">
        <w:rPr>
          <w:sz w:val="20"/>
          <w:szCs w:val="20"/>
          <w:vertAlign w:val="superscript"/>
        </w:rPr>
        <w:footnoteReference w:id="20"/>
      </w:r>
      <w:r w:rsidRPr="00A86393">
        <w:rPr>
          <w:sz w:val="20"/>
          <w:szCs w:val="20"/>
          <w:lang w:val="en-US"/>
        </w:rPr>
        <w:t xml:space="preserve">. In addition, access to drinking water by the city's population, especially on its outskirts, is generally provided by private water distribution companies, thanks to drilling infrastructures for which water production is subject to quality control, in accordance with the standards in force, at the national water laboratory. This control is not regular because the monitoring and evaluation and performance verification mechanisms appear to be ineffective. Finally, the rapid growth of domestic or industrial boreholes in the city does not benefit from a specific quality control mechanism required and does not conform to a specific reference framework, encouraging various </w:t>
      </w:r>
      <w:r w:rsidR="6FCE17EC" w:rsidRPr="00A86393">
        <w:rPr>
          <w:sz w:val="20"/>
          <w:szCs w:val="20"/>
          <w:lang w:val="en-US"/>
        </w:rPr>
        <w:t xml:space="preserve">site-specific </w:t>
      </w:r>
      <w:r w:rsidRPr="00A86393">
        <w:rPr>
          <w:sz w:val="20"/>
          <w:szCs w:val="20"/>
          <w:lang w:val="en-US"/>
        </w:rPr>
        <w:t xml:space="preserve">situations without available statistics. Regarding surface water, the Niger River and the watersheds are full of essential resources supporting both access to drinking water for SOMAGEP and urban and peri-urban agriculture and fishing activities. However, despite numerous initiatives to protect their banks and other specific development initiatives in the beds of watercourses (dredging, over-digging, widening), they do not benefit from adequate achievements to protect against pollution in this </w:t>
      </w:r>
      <w:proofErr w:type="gramStart"/>
      <w:r w:rsidRPr="00A86393">
        <w:rPr>
          <w:sz w:val="20"/>
          <w:szCs w:val="20"/>
          <w:lang w:val="en-US"/>
        </w:rPr>
        <w:t>case;</w:t>
      </w:r>
      <w:proofErr w:type="gramEnd"/>
    </w:p>
    <w:p w14:paraId="0000011B" w14:textId="17491AA0" w:rsidR="004F7DB3" w:rsidRPr="00A86393" w:rsidRDefault="472B868E" w:rsidP="001360BB">
      <w:pPr>
        <w:numPr>
          <w:ilvl w:val="0"/>
          <w:numId w:val="162"/>
        </w:numPr>
        <w:spacing w:after="0" w:line="240" w:lineRule="auto"/>
        <w:jc w:val="both"/>
        <w:rPr>
          <w:rFonts w:eastAsia="Times New Roman"/>
          <w:sz w:val="20"/>
          <w:szCs w:val="20"/>
          <w:lang w:val="en-US"/>
        </w:rPr>
      </w:pPr>
      <w:r w:rsidRPr="0C95EC3E">
        <w:rPr>
          <w:b/>
          <w:bCs/>
          <w:sz w:val="20"/>
          <w:szCs w:val="20"/>
          <w:lang w:val="en-US"/>
        </w:rPr>
        <w:t xml:space="preserve">Inappropriate land use </w:t>
      </w:r>
      <w:r w:rsidRPr="0C95EC3E">
        <w:rPr>
          <w:sz w:val="20"/>
          <w:szCs w:val="20"/>
          <w:lang w:val="en-US"/>
        </w:rPr>
        <w:t xml:space="preserve">is characterized by increased destruction of vegetation cover and direct impacts of waste, especially special waste, on human health, </w:t>
      </w:r>
      <w:r w:rsidR="5F7307B7" w:rsidRPr="0C95EC3E">
        <w:rPr>
          <w:sz w:val="20"/>
          <w:szCs w:val="20"/>
          <w:lang w:val="en-US"/>
        </w:rPr>
        <w:t>nature,</w:t>
      </w:r>
      <w:r w:rsidRPr="0C95EC3E">
        <w:rPr>
          <w:sz w:val="20"/>
          <w:szCs w:val="20"/>
          <w:lang w:val="en-US"/>
        </w:rPr>
        <w:t xml:space="preserve"> and socio-economic infrastructure in the city. The main cause identified is a lack of governance, </w:t>
      </w:r>
      <w:proofErr w:type="gramStart"/>
      <w:r w:rsidRPr="0C95EC3E">
        <w:rPr>
          <w:sz w:val="20"/>
          <w:szCs w:val="20"/>
          <w:lang w:val="en-US"/>
        </w:rPr>
        <w:t xml:space="preserve">in particular </w:t>
      </w:r>
      <w:r w:rsidR="242AF81B" w:rsidRPr="0C95EC3E">
        <w:rPr>
          <w:sz w:val="20"/>
          <w:szCs w:val="20"/>
          <w:lang w:val="en-US"/>
        </w:rPr>
        <w:t>through</w:t>
      </w:r>
      <w:proofErr w:type="gramEnd"/>
      <w:r w:rsidR="242AF81B" w:rsidRPr="0C95EC3E">
        <w:rPr>
          <w:sz w:val="20"/>
          <w:szCs w:val="20"/>
          <w:lang w:val="en-US"/>
        </w:rPr>
        <w:t xml:space="preserve"> </w:t>
      </w:r>
      <w:r w:rsidRPr="0C95EC3E">
        <w:rPr>
          <w:sz w:val="20"/>
          <w:szCs w:val="20"/>
          <w:lang w:val="en-US"/>
        </w:rPr>
        <w:t xml:space="preserve">the implementation of subdivision policy guidelines guaranteeing the systematic protection of trees, particularly fruit trees, or sustainable solutions for the recovery of waste, particularly special waste. Also, electronic, electrical and household waste, including solar waste, which constitutes a significant part of special waste, contributes to the accelerated increase in demand for electricity without creating at least proportional added value for the economy and the environment. That is to say that this electronic, electrical and household waste, including solar waste, is generally energy-intensive and contributes to the recurrent load shedding of the electricity supply with all the socio-economic and environmental consequences induced in the </w:t>
      </w:r>
      <w:proofErr w:type="gramStart"/>
      <w:r w:rsidRPr="0C95EC3E">
        <w:rPr>
          <w:sz w:val="20"/>
          <w:szCs w:val="20"/>
          <w:lang w:val="en-US"/>
        </w:rPr>
        <w:t>city;</w:t>
      </w:r>
      <w:proofErr w:type="gramEnd"/>
    </w:p>
    <w:p w14:paraId="0000011C" w14:textId="40FFA606" w:rsidR="004F7DB3" w:rsidRPr="00A86393" w:rsidRDefault="472B868E" w:rsidP="001360BB">
      <w:pPr>
        <w:numPr>
          <w:ilvl w:val="0"/>
          <w:numId w:val="162"/>
        </w:numPr>
        <w:spacing w:after="240" w:line="240" w:lineRule="auto"/>
        <w:jc w:val="both"/>
        <w:rPr>
          <w:rFonts w:eastAsia="Times New Roman"/>
          <w:sz w:val="20"/>
          <w:szCs w:val="20"/>
          <w:lang w:val="en-US"/>
        </w:rPr>
      </w:pPr>
      <w:r w:rsidRPr="5D8904BE">
        <w:rPr>
          <w:b/>
          <w:bCs/>
          <w:sz w:val="20"/>
          <w:szCs w:val="20"/>
          <w:lang w:val="en-US"/>
        </w:rPr>
        <w:t xml:space="preserve">The heat waves identified in the city are characterized by temperature peaks reaching 50.8°C: </w:t>
      </w:r>
      <w:r w:rsidRPr="5D8904BE">
        <w:rPr>
          <w:sz w:val="20"/>
          <w:szCs w:val="20"/>
          <w:lang w:val="en-US"/>
        </w:rPr>
        <w:t xml:space="preserve">which </w:t>
      </w:r>
      <w:r w:rsidR="04F0DFF6" w:rsidRPr="5D8904BE">
        <w:rPr>
          <w:sz w:val="20"/>
          <w:szCs w:val="20"/>
          <w:lang w:val="en-US"/>
        </w:rPr>
        <w:t>contribute to</w:t>
      </w:r>
      <w:r w:rsidRPr="5D8904BE">
        <w:rPr>
          <w:sz w:val="20"/>
          <w:szCs w:val="20"/>
          <w:lang w:val="en-US"/>
        </w:rPr>
        <w:t xml:space="preserve"> drought and exert strong pressure on all socio-economic development infrastructure.  This results in an increased need to strengthen climate resilience</w:t>
      </w:r>
      <w:r w:rsidR="753ED7CB" w:rsidRPr="5D8904BE">
        <w:rPr>
          <w:sz w:val="20"/>
          <w:szCs w:val="20"/>
          <w:lang w:val="en-US"/>
        </w:rPr>
        <w:t>, mitigate urban heat effects</w:t>
      </w:r>
      <w:r w:rsidRPr="5D8904BE">
        <w:rPr>
          <w:sz w:val="20"/>
          <w:szCs w:val="20"/>
          <w:lang w:val="en-US"/>
        </w:rPr>
        <w:t xml:space="preserve"> and control energy consumption for increased well-being that respects the climate and nature.</w:t>
      </w:r>
    </w:p>
    <w:p w14:paraId="7FE9F7A5" w14:textId="77784DDD" w:rsidR="12674917" w:rsidRPr="00A86393" w:rsidRDefault="2954AAB9" w:rsidP="3C8408A9">
      <w:pPr>
        <w:spacing w:before="240" w:after="240"/>
        <w:jc w:val="both"/>
        <w:rPr>
          <w:sz w:val="20"/>
          <w:szCs w:val="20"/>
          <w:lang w:val="en-US"/>
        </w:rPr>
      </w:pPr>
      <w:r w:rsidRPr="5D8904BE">
        <w:rPr>
          <w:sz w:val="20"/>
          <w:szCs w:val="20"/>
          <w:lang w:val="en-US"/>
        </w:rPr>
        <w:t xml:space="preserve">The Convention on Biological Diversity (CBD) projected a global outlook through its Strategic Plan 2006 - 2010, the aim of which was to help reduce the loss of biological diversity. Evaluation has shown that the objectives of </w:t>
      </w:r>
      <w:r w:rsidRPr="5D8904BE">
        <w:rPr>
          <w:sz w:val="20"/>
          <w:szCs w:val="20"/>
          <w:lang w:val="en-US"/>
        </w:rPr>
        <w:lastRenderedPageBreak/>
        <w:t>this Strategic Plan have not been achieved. As such, the convention has recommitted itself to meeting the challenges.</w:t>
      </w:r>
    </w:p>
    <w:p w14:paraId="64526F90" w14:textId="7534AB04" w:rsidR="12674917" w:rsidRPr="00A86393" w:rsidRDefault="2954AAB9" w:rsidP="3C8408A9">
      <w:pPr>
        <w:spacing w:before="240" w:after="240"/>
        <w:jc w:val="both"/>
        <w:rPr>
          <w:sz w:val="20"/>
          <w:szCs w:val="20"/>
          <w:lang w:val="en-US"/>
        </w:rPr>
      </w:pPr>
      <w:r w:rsidRPr="5D8904BE">
        <w:rPr>
          <w:sz w:val="20"/>
          <w:szCs w:val="20"/>
          <w:lang w:val="en-US"/>
        </w:rPr>
        <w:t>It is in this context that the Parties to the Convention, in 2010 in Nagoya, Japan, adopted the Strategic Plan for Biological Diversity 2011-2020, with the aim of inspiring far-reaching action by all countries and stakeholders in support of biological diversity over the next decade. It includes a shared vision, mission, strategic goals and 20 ambitious but achievable targets, known as the “Aichi Targets”, and serves as a flexible framework for setting national and regional targets and promoting the coherent and effective implementation of the three objectives of the Convention on Biological Diversity.</w:t>
      </w:r>
    </w:p>
    <w:p w14:paraId="18528433" w14:textId="139720E6" w:rsidR="12674917" w:rsidRPr="00A86393" w:rsidRDefault="1E62420A" w:rsidP="3C8408A9">
      <w:pPr>
        <w:spacing w:before="240" w:after="240"/>
        <w:jc w:val="both"/>
        <w:rPr>
          <w:sz w:val="20"/>
          <w:szCs w:val="20"/>
          <w:lang w:val="en-US"/>
        </w:rPr>
      </w:pPr>
      <w:r w:rsidRPr="5D8904BE">
        <w:rPr>
          <w:sz w:val="20"/>
          <w:szCs w:val="20"/>
          <w:lang w:val="en-US"/>
        </w:rPr>
        <w:t xml:space="preserve">Mali has revised its National Strategy and Action Plan for Biological Diversity </w:t>
      </w:r>
      <w:r w:rsidR="791B9B5A" w:rsidRPr="5D8904BE">
        <w:rPr>
          <w:sz w:val="20"/>
          <w:szCs w:val="20"/>
          <w:lang w:val="en-US"/>
        </w:rPr>
        <w:t>NSAP-BD</w:t>
      </w:r>
      <w:r w:rsidRPr="5D8904BE">
        <w:rPr>
          <w:sz w:val="20"/>
          <w:szCs w:val="20"/>
          <w:lang w:val="en-US"/>
        </w:rPr>
        <w:t>) in line with the new Strategic Plan 2011 - 2020. The aim is to provide the country with a new Strategy and Action Plan for Biological Diversity by revising the existing Strategy and Action Plan.</w:t>
      </w:r>
    </w:p>
    <w:p w14:paraId="0000011D" w14:textId="465226C5" w:rsidR="004F7DB3" w:rsidRPr="00A86393" w:rsidRDefault="475526FC" w:rsidP="3C8408A9">
      <w:pPr>
        <w:spacing w:before="240" w:after="240" w:line="240" w:lineRule="auto"/>
        <w:jc w:val="both"/>
        <w:rPr>
          <w:sz w:val="20"/>
          <w:szCs w:val="20"/>
          <w:lang w:val="en-US"/>
        </w:rPr>
      </w:pPr>
      <w:r w:rsidRPr="5D8904BE">
        <w:rPr>
          <w:sz w:val="20"/>
          <w:szCs w:val="20"/>
          <w:lang w:val="en-US"/>
        </w:rPr>
        <w:t>The revised version of the National Strategy and Action Plan for Biodiversity in Mali (</w:t>
      </w:r>
      <w:r w:rsidR="16D9D15A" w:rsidRPr="5D8904BE">
        <w:rPr>
          <w:sz w:val="20"/>
          <w:szCs w:val="20"/>
          <w:lang w:val="en-US"/>
        </w:rPr>
        <w:t>NSAP-</w:t>
      </w:r>
      <w:proofErr w:type="spellStart"/>
      <w:r w:rsidR="16D9D15A" w:rsidRPr="5D8904BE">
        <w:rPr>
          <w:sz w:val="20"/>
          <w:szCs w:val="20"/>
          <w:lang w:val="en-US"/>
        </w:rPr>
        <w:t>BD</w:t>
      </w:r>
      <w:r w:rsidRPr="5D8904BE">
        <w:rPr>
          <w:sz w:val="20"/>
          <w:szCs w:val="20"/>
          <w:lang w:val="en-US"/>
        </w:rPr>
        <w:t>is</w:t>
      </w:r>
      <w:proofErr w:type="spellEnd"/>
      <w:r w:rsidRPr="5D8904BE">
        <w:rPr>
          <w:sz w:val="20"/>
          <w:szCs w:val="20"/>
          <w:lang w:val="en-US"/>
        </w:rPr>
        <w:t xml:space="preserve"> a structur</w:t>
      </w:r>
      <w:r w:rsidR="02B1D159" w:rsidRPr="5D8904BE">
        <w:rPr>
          <w:sz w:val="20"/>
          <w:szCs w:val="20"/>
          <w:lang w:val="en-US"/>
        </w:rPr>
        <w:t>ed</w:t>
      </w:r>
      <w:r w:rsidRPr="5D8904BE">
        <w:rPr>
          <w:sz w:val="20"/>
          <w:szCs w:val="20"/>
          <w:lang w:val="en-US"/>
        </w:rPr>
        <w:t xml:space="preserve"> response to the shortcomings identified in the first generation of the document. It integrates in a transversal way major themes that have been insufficiently addressed until now, </w:t>
      </w:r>
      <w:r w:rsidR="14D25CBB" w:rsidRPr="5D8904BE">
        <w:rPr>
          <w:sz w:val="20"/>
          <w:szCs w:val="20"/>
          <w:lang w:val="en-US"/>
        </w:rPr>
        <w:t>such as</w:t>
      </w:r>
      <w:r w:rsidRPr="5D8904BE">
        <w:rPr>
          <w:sz w:val="20"/>
          <w:szCs w:val="20"/>
          <w:lang w:val="en-US"/>
        </w:rPr>
        <w:t xml:space="preserve"> gender equality, poverty reduction, recognition of the rights of local and indigenous communities, management of invasive species, sustainable trade and tourism, cross-border issues, climate change and biodiversity financing mechanisms. The results of the studies carried out in the context of the biodiversity inventory and the analysis of its integration into national policies have highlighted the persistence of threats and degradation of biodiversity. The main causes identified are insufficient environmental governance and the increasing impacts of climate change.</w:t>
      </w:r>
    </w:p>
    <w:p w14:paraId="0000011E" w14:textId="4CDCC41E" w:rsidR="004F7DB3" w:rsidRPr="00A86393" w:rsidRDefault="2809ADD6">
      <w:pPr>
        <w:spacing w:before="240" w:after="240" w:line="240" w:lineRule="auto"/>
        <w:jc w:val="both"/>
        <w:rPr>
          <w:sz w:val="20"/>
          <w:szCs w:val="20"/>
          <w:lang w:val="en-US"/>
        </w:rPr>
      </w:pPr>
      <w:r w:rsidRPr="00A86393">
        <w:rPr>
          <w:sz w:val="20"/>
          <w:szCs w:val="20"/>
          <w:lang w:val="en-US"/>
        </w:rPr>
        <w:t xml:space="preserve">The revised strategy aims to integrate these issues operationally </w:t>
      </w:r>
      <w:r w:rsidR="63CEE546" w:rsidRPr="00A86393">
        <w:rPr>
          <w:sz w:val="20"/>
          <w:szCs w:val="20"/>
          <w:lang w:val="en-US"/>
        </w:rPr>
        <w:t>to</w:t>
      </w:r>
      <w:r w:rsidRPr="00A86393">
        <w:rPr>
          <w:sz w:val="20"/>
          <w:szCs w:val="20"/>
          <w:lang w:val="en-US"/>
        </w:rPr>
        <w:t xml:space="preserve"> make progress towards the overall goal of reducing biodiversity loss. It also </w:t>
      </w:r>
      <w:proofErr w:type="gramStart"/>
      <w:r w:rsidRPr="00A86393">
        <w:rPr>
          <w:sz w:val="20"/>
          <w:szCs w:val="20"/>
          <w:lang w:val="en-US"/>
        </w:rPr>
        <w:t>takes into account</w:t>
      </w:r>
      <w:proofErr w:type="gramEnd"/>
      <w:r w:rsidRPr="00A86393">
        <w:rPr>
          <w:sz w:val="20"/>
          <w:szCs w:val="20"/>
          <w:lang w:val="en-US"/>
        </w:rPr>
        <w:t xml:space="preserve"> the limitations observed during the implementation of the previous strategy, in particular the low public awareness of the importance and functions of biodiversity.</w:t>
      </w:r>
    </w:p>
    <w:p w14:paraId="0000011F" w14:textId="77777777" w:rsidR="004F7DB3" w:rsidRPr="00A86393" w:rsidRDefault="2809ADD6">
      <w:pPr>
        <w:spacing w:before="240" w:after="240" w:line="240" w:lineRule="auto"/>
        <w:jc w:val="both"/>
        <w:rPr>
          <w:sz w:val="20"/>
          <w:szCs w:val="20"/>
          <w:lang w:val="en-US"/>
        </w:rPr>
      </w:pPr>
      <w:r w:rsidRPr="00A86393">
        <w:rPr>
          <w:sz w:val="20"/>
          <w:szCs w:val="20"/>
          <w:lang w:val="en-US"/>
        </w:rPr>
        <w:t xml:space="preserve">In addition, this new version is in line with emerging priorities at the international level, </w:t>
      </w:r>
      <w:proofErr w:type="gramStart"/>
      <w:r w:rsidRPr="00A86393">
        <w:rPr>
          <w:sz w:val="20"/>
          <w:szCs w:val="20"/>
          <w:lang w:val="en-US"/>
        </w:rPr>
        <w:t>in particular through</w:t>
      </w:r>
      <w:proofErr w:type="gramEnd"/>
      <w:r w:rsidRPr="00A86393">
        <w:rPr>
          <w:sz w:val="20"/>
          <w:szCs w:val="20"/>
          <w:lang w:val="en-US"/>
        </w:rPr>
        <w:t xml:space="preserve"> the introduction of economic and social instruments that encourage conservation, and the promotion of integrated national biodiversity planning.</w:t>
      </w:r>
    </w:p>
    <w:p w14:paraId="6ADFB017" w14:textId="09219C48" w:rsidR="6A616A55" w:rsidRPr="00A86393" w:rsidRDefault="2D26091D" w:rsidP="5D8904BE">
      <w:pPr>
        <w:spacing w:before="240" w:after="240" w:line="240" w:lineRule="auto"/>
        <w:jc w:val="both"/>
        <w:rPr>
          <w:sz w:val="20"/>
          <w:szCs w:val="20"/>
          <w:lang w:val="en-US"/>
        </w:rPr>
      </w:pPr>
      <w:r w:rsidRPr="5D8904BE">
        <w:rPr>
          <w:sz w:val="20"/>
          <w:szCs w:val="20"/>
          <w:lang w:val="en-US"/>
        </w:rPr>
        <w:t>The institutional and legal framework for biodiversity management in Mali is based on a coherent set of national texts that reflect the country's commitments under the Multilateral Environmental Agreements (MEAs). This normative base testifies to the political will to consolidate the foundations of sustainable biodiversity management, in accordance with international standards.  However, this normative framework now has notable limitations, no longer adequately responding to the current demographic dynamics of the country. Indeed, the main legislative and regulatory texts governing the management of biological diversity in Mali remain for the most part obsolete in the face of new climatic, environmental and socio-economic challenges. These include the following laws and decrees</w:t>
      </w:r>
      <w:r w:rsidR="1502DADF" w:rsidRPr="5D8904BE">
        <w:rPr>
          <w:sz w:val="20"/>
          <w:szCs w:val="20"/>
          <w:lang w:val="en-US"/>
        </w:rPr>
        <w:t xml:space="preserve"> (Table </w:t>
      </w:r>
      <w:r w:rsidR="60CB39A0" w:rsidRPr="5D8904BE">
        <w:rPr>
          <w:sz w:val="20"/>
          <w:szCs w:val="20"/>
          <w:lang w:val="en-US"/>
        </w:rPr>
        <w:t>2</w:t>
      </w:r>
      <w:r w:rsidR="1502DADF" w:rsidRPr="5D8904BE">
        <w:rPr>
          <w:sz w:val="20"/>
          <w:szCs w:val="20"/>
          <w:lang w:val="en-US"/>
        </w:rPr>
        <w:t>)</w:t>
      </w:r>
      <w:r w:rsidR="4FABDF1B" w:rsidRPr="5D8904BE">
        <w:rPr>
          <w:sz w:val="20"/>
          <w:szCs w:val="20"/>
          <w:lang w:val="en-US"/>
        </w:rPr>
        <w:t>.</w:t>
      </w:r>
    </w:p>
    <w:p w14:paraId="27069841" w14:textId="4EDAE308" w:rsidR="00E25D2E" w:rsidRPr="00E25D2E" w:rsidRDefault="2F67A461" w:rsidP="00E25D2E">
      <w:pPr>
        <w:pStyle w:val="Lgende"/>
        <w:keepNext/>
        <w:rPr>
          <w:rFonts w:ascii="Calibri" w:hAnsi="Calibri" w:cs="Calibri"/>
          <w:sz w:val="20"/>
          <w:szCs w:val="20"/>
          <w:lang w:val="en-US"/>
        </w:rPr>
      </w:pPr>
      <w:bookmarkStart w:id="13" w:name="_Ref199131060"/>
      <w:bookmarkStart w:id="14" w:name="_Toc199489220"/>
      <w:r w:rsidRPr="5D8904BE">
        <w:rPr>
          <w:rFonts w:ascii="Calibri" w:hAnsi="Calibri" w:cs="Calibri"/>
          <w:sz w:val="20"/>
          <w:szCs w:val="20"/>
          <w:lang w:val="en-US"/>
        </w:rPr>
        <w:t xml:space="preserve">Table </w:t>
      </w:r>
      <w:r w:rsidR="59C68356" w:rsidRPr="5D8904BE">
        <w:rPr>
          <w:rFonts w:ascii="Calibri" w:hAnsi="Calibri" w:cs="Calibri"/>
          <w:sz w:val="20"/>
          <w:szCs w:val="20"/>
        </w:rPr>
        <w:fldChar w:fldCharType="begin"/>
      </w:r>
      <w:r w:rsidR="59C68356" w:rsidRPr="5D8904BE">
        <w:rPr>
          <w:rFonts w:ascii="Calibri" w:hAnsi="Calibri" w:cs="Calibri"/>
          <w:sz w:val="20"/>
          <w:szCs w:val="20"/>
          <w:lang w:val="en-US"/>
        </w:rPr>
        <w:instrText xml:space="preserve"> SEQ Tableau \* ARABIC </w:instrText>
      </w:r>
      <w:r w:rsidR="59C68356" w:rsidRPr="5D8904BE">
        <w:rPr>
          <w:rFonts w:ascii="Calibri" w:hAnsi="Calibri" w:cs="Calibri"/>
          <w:sz w:val="20"/>
          <w:szCs w:val="20"/>
        </w:rPr>
        <w:fldChar w:fldCharType="separate"/>
      </w:r>
      <w:r w:rsidR="288B6DF6" w:rsidRPr="5D8904BE">
        <w:rPr>
          <w:rFonts w:ascii="Calibri" w:hAnsi="Calibri" w:cs="Calibri"/>
          <w:noProof/>
          <w:sz w:val="20"/>
          <w:szCs w:val="20"/>
          <w:lang w:val="en-US"/>
        </w:rPr>
        <w:t>2</w:t>
      </w:r>
      <w:r w:rsidR="59C68356" w:rsidRPr="5D8904BE">
        <w:rPr>
          <w:rFonts w:ascii="Calibri" w:hAnsi="Calibri" w:cs="Calibri"/>
          <w:sz w:val="20"/>
          <w:szCs w:val="20"/>
        </w:rPr>
        <w:fldChar w:fldCharType="end"/>
      </w:r>
      <w:r w:rsidRPr="5D8904BE">
        <w:rPr>
          <w:rFonts w:ascii="Calibri" w:hAnsi="Calibri" w:cs="Calibri"/>
          <w:sz w:val="20"/>
          <w:szCs w:val="20"/>
          <w:lang w:val="en-US"/>
        </w:rPr>
        <w:t xml:space="preserve"> Laws and decrees relating to Bamako's integrated urban development project</w:t>
      </w:r>
      <w:bookmarkEnd w:id="13"/>
      <w:bookmarkEnd w:id="14"/>
    </w:p>
    <w:tbl>
      <w:tblPr>
        <w:tblStyle w:val="TableGrid1"/>
        <w:tblW w:w="9207" w:type="dxa"/>
        <w:tblLayout w:type="fixed"/>
        <w:tblLook w:val="06A0" w:firstRow="1" w:lastRow="0" w:firstColumn="1" w:lastColumn="0" w:noHBand="1" w:noVBand="1"/>
      </w:tblPr>
      <w:tblGrid>
        <w:gridCol w:w="4045"/>
        <w:gridCol w:w="705"/>
        <w:gridCol w:w="4457"/>
      </w:tblGrid>
      <w:tr w:rsidR="1BB5F5E3" w:rsidRPr="00F50786" w14:paraId="7DE85A41" w14:textId="77777777" w:rsidTr="537FA187">
        <w:trPr>
          <w:trHeight w:val="300"/>
        </w:trPr>
        <w:tc>
          <w:tcPr>
            <w:tcW w:w="4750" w:type="dxa"/>
            <w:gridSpan w:val="2"/>
          </w:tcPr>
          <w:p w14:paraId="0D4EEBEA" w14:textId="26AE87CC" w:rsidR="2630E10D" w:rsidRPr="006F5E1D" w:rsidRDefault="0823308E" w:rsidP="389869E3">
            <w:pPr>
              <w:rPr>
                <w:b/>
                <w:bCs/>
                <w:color w:val="000000" w:themeColor="text1"/>
                <w:sz w:val="18"/>
                <w:szCs w:val="18"/>
              </w:rPr>
            </w:pPr>
            <w:proofErr w:type="spellStart"/>
            <w:r w:rsidRPr="006F5E1D">
              <w:rPr>
                <w:b/>
                <w:bCs/>
                <w:sz w:val="18"/>
                <w:szCs w:val="18"/>
              </w:rPr>
              <w:t>References</w:t>
            </w:r>
            <w:proofErr w:type="spellEnd"/>
          </w:p>
        </w:tc>
        <w:tc>
          <w:tcPr>
            <w:tcW w:w="4457" w:type="dxa"/>
          </w:tcPr>
          <w:p w14:paraId="3C9B61C5" w14:textId="413D2BBC" w:rsidR="2630E10D" w:rsidRPr="006F5E1D" w:rsidRDefault="0823308E" w:rsidP="389869E3">
            <w:pPr>
              <w:rPr>
                <w:b/>
                <w:bCs/>
                <w:color w:val="000000" w:themeColor="text1"/>
                <w:sz w:val="18"/>
                <w:szCs w:val="18"/>
                <w:lang w:val="en-US"/>
              </w:rPr>
            </w:pPr>
            <w:r w:rsidRPr="006F5E1D">
              <w:rPr>
                <w:b/>
                <w:bCs/>
                <w:sz w:val="18"/>
                <w:szCs w:val="18"/>
                <w:lang w:val="en-US"/>
              </w:rPr>
              <w:t>Link to integrated urban development project</w:t>
            </w:r>
          </w:p>
        </w:tc>
      </w:tr>
      <w:tr w:rsidR="1BB5F5E3" w:rsidRPr="00A86393" w14:paraId="075B65F6" w14:textId="77777777" w:rsidTr="537FA187">
        <w:trPr>
          <w:trHeight w:val="300"/>
        </w:trPr>
        <w:tc>
          <w:tcPr>
            <w:tcW w:w="9207" w:type="dxa"/>
            <w:gridSpan w:val="3"/>
          </w:tcPr>
          <w:p w14:paraId="6D268BB7" w14:textId="2733C04F" w:rsidR="1BB5F5E3" w:rsidRPr="006F5E1D" w:rsidRDefault="58009E8A" w:rsidP="389869E3">
            <w:pPr>
              <w:rPr>
                <w:b/>
                <w:bCs/>
                <w:color w:val="000000" w:themeColor="text1"/>
                <w:sz w:val="18"/>
                <w:szCs w:val="18"/>
              </w:rPr>
            </w:pPr>
            <w:r w:rsidRPr="006F5E1D">
              <w:rPr>
                <w:b/>
                <w:bCs/>
                <w:sz w:val="18"/>
                <w:szCs w:val="18"/>
              </w:rPr>
              <w:t>L</w:t>
            </w:r>
            <w:r w:rsidR="7F8D37F6" w:rsidRPr="006F5E1D">
              <w:rPr>
                <w:b/>
                <w:bCs/>
                <w:sz w:val="18"/>
                <w:szCs w:val="18"/>
              </w:rPr>
              <w:t>aws</w:t>
            </w:r>
          </w:p>
        </w:tc>
      </w:tr>
      <w:tr w:rsidR="1BB5F5E3" w:rsidRPr="00F50786" w14:paraId="29EB1050" w14:textId="77777777" w:rsidTr="537FA187">
        <w:trPr>
          <w:trHeight w:val="300"/>
        </w:trPr>
        <w:tc>
          <w:tcPr>
            <w:tcW w:w="4045" w:type="dxa"/>
          </w:tcPr>
          <w:p w14:paraId="64F61E24" w14:textId="330B219C" w:rsidR="1C22E6A9" w:rsidRPr="006F5E1D" w:rsidRDefault="078A3A38" w:rsidP="389869E3">
            <w:pPr>
              <w:spacing w:after="240"/>
              <w:rPr>
                <w:sz w:val="18"/>
                <w:szCs w:val="18"/>
                <w:lang w:val="en-US"/>
              </w:rPr>
            </w:pPr>
            <w:r w:rsidRPr="006F5E1D">
              <w:rPr>
                <w:sz w:val="18"/>
                <w:szCs w:val="18"/>
                <w:lang w:val="en-US"/>
              </w:rPr>
              <w:t xml:space="preserve">Law n°10-028 of July 12, </w:t>
            </w:r>
            <w:proofErr w:type="gramStart"/>
            <w:r w:rsidRPr="006F5E1D">
              <w:rPr>
                <w:sz w:val="18"/>
                <w:szCs w:val="18"/>
                <w:lang w:val="en-US"/>
              </w:rPr>
              <w:t>2010</w:t>
            </w:r>
            <w:proofErr w:type="gramEnd"/>
            <w:r w:rsidRPr="006F5E1D">
              <w:rPr>
                <w:sz w:val="18"/>
                <w:szCs w:val="18"/>
                <w:lang w:val="en-US"/>
              </w:rPr>
              <w:t xml:space="preserve"> determining the principles of management of the resources of the national forest estate</w:t>
            </w:r>
          </w:p>
          <w:p w14:paraId="3BD30631" w14:textId="54C86DEB" w:rsidR="1BB5F5E3" w:rsidRPr="006F5E1D" w:rsidRDefault="58009E8A" w:rsidP="389869E3">
            <w:pPr>
              <w:spacing w:after="240"/>
              <w:rPr>
                <w:sz w:val="18"/>
                <w:szCs w:val="18"/>
              </w:rPr>
            </w:pPr>
            <w:r w:rsidRPr="006F5E1D">
              <w:rPr>
                <w:sz w:val="18"/>
                <w:szCs w:val="18"/>
              </w:rPr>
              <w:t>(</w:t>
            </w:r>
            <w:hyperlink r:id="rId17" w:history="1">
              <w:hyperlink r:id="rId18" w:history="1">
                <w:r w:rsidRPr="006F5E1D">
                  <w:rPr>
                    <w:rStyle w:val="Lienhypertexte"/>
                    <w:sz w:val="18"/>
                    <w:szCs w:val="18"/>
                  </w:rPr>
                  <w:t>https://www.fao.org/faolex/results/details/fr/c/LEX-FAOC180434/</w:t>
                </w:r>
              </w:hyperlink>
            </w:hyperlink>
            <w:r w:rsidRPr="006F5E1D">
              <w:rPr>
                <w:sz w:val="18"/>
                <w:szCs w:val="18"/>
              </w:rPr>
              <w:t>)</w:t>
            </w:r>
          </w:p>
        </w:tc>
        <w:tc>
          <w:tcPr>
            <w:tcW w:w="705" w:type="dxa"/>
          </w:tcPr>
          <w:p w14:paraId="29A3E967" w14:textId="369F0596" w:rsidR="1BB5F5E3" w:rsidRPr="006F5E1D" w:rsidRDefault="58009E8A" w:rsidP="389869E3">
            <w:pPr>
              <w:rPr>
                <w:color w:val="000000" w:themeColor="text1"/>
                <w:sz w:val="18"/>
                <w:szCs w:val="18"/>
              </w:rPr>
            </w:pPr>
            <w:r w:rsidRPr="006F5E1D">
              <w:rPr>
                <w:sz w:val="18"/>
                <w:szCs w:val="18"/>
              </w:rPr>
              <w:t>Art 21</w:t>
            </w:r>
          </w:p>
          <w:p w14:paraId="16D68430" w14:textId="339F09E5" w:rsidR="1BB5F5E3" w:rsidRPr="006F5E1D" w:rsidRDefault="1BB5F5E3" w:rsidP="389869E3">
            <w:pPr>
              <w:rPr>
                <w:sz w:val="18"/>
                <w:szCs w:val="18"/>
              </w:rPr>
            </w:pPr>
          </w:p>
        </w:tc>
        <w:tc>
          <w:tcPr>
            <w:tcW w:w="4457" w:type="dxa"/>
          </w:tcPr>
          <w:p w14:paraId="22CCB494" w14:textId="20AC2238" w:rsidR="7082E719" w:rsidRPr="006F5E1D" w:rsidRDefault="35E69655" w:rsidP="389869E3">
            <w:pPr>
              <w:rPr>
                <w:color w:val="000000" w:themeColor="text1"/>
                <w:sz w:val="18"/>
                <w:szCs w:val="18"/>
                <w:lang w:val="en-US"/>
              </w:rPr>
            </w:pPr>
            <w:r w:rsidRPr="006F5E1D">
              <w:rPr>
                <w:sz w:val="18"/>
                <w:szCs w:val="18"/>
                <w:lang w:val="en-US"/>
              </w:rPr>
              <w:t>The cutting, uprooting, mutilation or any other act likely to damage in any way planted trees or natural seedlings of species listed in the category of fully protected species is prohibited, except in the case of written dispensation granted by the forestry department for scientific, medicinal or public interest reasons, or under the following conditions: authorized clearing; regular or improvement cutting carried out as part of the implementation of a forest estate management plan.</w:t>
            </w:r>
          </w:p>
        </w:tc>
      </w:tr>
      <w:tr w:rsidR="1BB5F5E3" w:rsidRPr="00F50786" w14:paraId="1D33DC77" w14:textId="77777777" w:rsidTr="537FA187">
        <w:trPr>
          <w:trHeight w:val="300"/>
        </w:trPr>
        <w:tc>
          <w:tcPr>
            <w:tcW w:w="4045" w:type="dxa"/>
          </w:tcPr>
          <w:p w14:paraId="446CC94D" w14:textId="1C74113D" w:rsidR="7082E719" w:rsidRPr="006F5E1D" w:rsidRDefault="50E1BDB9" w:rsidP="389869E3">
            <w:pPr>
              <w:rPr>
                <w:color w:val="000000" w:themeColor="text1"/>
                <w:sz w:val="18"/>
                <w:szCs w:val="18"/>
                <w:lang w:val="en-US"/>
              </w:rPr>
            </w:pPr>
            <w:r w:rsidRPr="006F5E1D">
              <w:rPr>
                <w:sz w:val="18"/>
                <w:szCs w:val="18"/>
                <w:lang w:val="en-US"/>
              </w:rPr>
              <w:t xml:space="preserve">Law No. 2018-036 of June 27, </w:t>
            </w:r>
            <w:proofErr w:type="gramStart"/>
            <w:r w:rsidRPr="006F5E1D">
              <w:rPr>
                <w:sz w:val="18"/>
                <w:szCs w:val="18"/>
                <w:lang w:val="en-US"/>
              </w:rPr>
              <w:t>2018</w:t>
            </w:r>
            <w:proofErr w:type="gramEnd"/>
            <w:r w:rsidRPr="006F5E1D">
              <w:rPr>
                <w:sz w:val="18"/>
                <w:szCs w:val="18"/>
                <w:lang w:val="en-US"/>
              </w:rPr>
              <w:t xml:space="preserve"> establishing the principles of wildlife and habitat management.</w:t>
            </w:r>
          </w:p>
        </w:tc>
        <w:tc>
          <w:tcPr>
            <w:tcW w:w="705" w:type="dxa"/>
          </w:tcPr>
          <w:p w14:paraId="57A14217" w14:textId="11AE6E04" w:rsidR="1BB5F5E3" w:rsidRPr="006F5E1D" w:rsidRDefault="58009E8A" w:rsidP="389869E3">
            <w:pPr>
              <w:rPr>
                <w:color w:val="000000" w:themeColor="text1"/>
                <w:sz w:val="18"/>
                <w:szCs w:val="18"/>
              </w:rPr>
            </w:pPr>
            <w:r w:rsidRPr="006F5E1D">
              <w:rPr>
                <w:sz w:val="18"/>
                <w:szCs w:val="18"/>
              </w:rPr>
              <w:t>Art 1</w:t>
            </w:r>
          </w:p>
        </w:tc>
        <w:tc>
          <w:tcPr>
            <w:tcW w:w="4457" w:type="dxa"/>
          </w:tcPr>
          <w:p w14:paraId="6D4F6B50" w14:textId="46A5AB98" w:rsidR="0A99C4E4" w:rsidRPr="006F5E1D" w:rsidRDefault="69F7154D" w:rsidP="389869E3">
            <w:pPr>
              <w:rPr>
                <w:color w:val="000000" w:themeColor="text1"/>
                <w:sz w:val="18"/>
                <w:szCs w:val="18"/>
                <w:lang w:val="en-US"/>
              </w:rPr>
            </w:pPr>
            <w:r w:rsidRPr="006F5E1D">
              <w:rPr>
                <w:sz w:val="18"/>
                <w:szCs w:val="18"/>
                <w:lang w:val="en-US"/>
              </w:rPr>
              <w:t xml:space="preserve">The provisions of the present law and its subsequent texts apply to all wild animals, whether free-living in their natural environment or kept in captivity, </w:t>
            </w:r>
            <w:proofErr w:type="gramStart"/>
            <w:r w:rsidRPr="006F5E1D">
              <w:rPr>
                <w:sz w:val="18"/>
                <w:szCs w:val="18"/>
                <w:lang w:val="en-US"/>
              </w:rPr>
              <w:t>with the exception of</w:t>
            </w:r>
            <w:proofErr w:type="gramEnd"/>
            <w:r w:rsidRPr="006F5E1D">
              <w:rPr>
                <w:sz w:val="18"/>
                <w:szCs w:val="18"/>
                <w:lang w:val="en-US"/>
              </w:rPr>
              <w:t xml:space="preserve"> fish, </w:t>
            </w:r>
            <w:proofErr w:type="spellStart"/>
            <w:r w:rsidRPr="006F5E1D">
              <w:rPr>
                <w:sz w:val="18"/>
                <w:szCs w:val="18"/>
                <w:lang w:val="en-US"/>
              </w:rPr>
              <w:t>molluscs</w:t>
            </w:r>
            <w:proofErr w:type="spellEnd"/>
            <w:r w:rsidRPr="006F5E1D">
              <w:rPr>
                <w:sz w:val="18"/>
                <w:szCs w:val="18"/>
                <w:lang w:val="en-US"/>
              </w:rPr>
              <w:t xml:space="preserve"> and crustaceans.</w:t>
            </w:r>
          </w:p>
        </w:tc>
      </w:tr>
      <w:tr w:rsidR="1BB5F5E3" w:rsidRPr="00F50786" w14:paraId="1521A660" w14:textId="77777777" w:rsidTr="537FA187">
        <w:trPr>
          <w:trHeight w:val="300"/>
        </w:trPr>
        <w:tc>
          <w:tcPr>
            <w:tcW w:w="4045" w:type="dxa"/>
          </w:tcPr>
          <w:p w14:paraId="4167B267" w14:textId="7D97CBBD" w:rsidR="0A99C4E4" w:rsidRPr="006F5E1D" w:rsidRDefault="69F7154D" w:rsidP="389869E3">
            <w:pPr>
              <w:rPr>
                <w:color w:val="000000" w:themeColor="text1"/>
                <w:sz w:val="18"/>
                <w:szCs w:val="18"/>
                <w:lang w:val="en-US"/>
              </w:rPr>
            </w:pPr>
            <w:r w:rsidRPr="006F5E1D">
              <w:rPr>
                <w:sz w:val="18"/>
                <w:szCs w:val="18"/>
                <w:lang w:val="en-US"/>
              </w:rPr>
              <w:lastRenderedPageBreak/>
              <w:t>Law no. 95-031/AN-RM of 20/03/1995 laying down the conditions for managing wildlife and its habitat, which sets out the general conditions for conserving, protecting, developing and exploiting wildlife and its habitat in the national wildlife domain.</w:t>
            </w:r>
          </w:p>
        </w:tc>
        <w:tc>
          <w:tcPr>
            <w:tcW w:w="705" w:type="dxa"/>
          </w:tcPr>
          <w:p w14:paraId="5E88ADA7" w14:textId="12671097" w:rsidR="1BB5F5E3" w:rsidRPr="006F5E1D" w:rsidRDefault="58009E8A" w:rsidP="389869E3">
            <w:pPr>
              <w:rPr>
                <w:color w:val="000000" w:themeColor="text1"/>
                <w:sz w:val="18"/>
                <w:szCs w:val="18"/>
              </w:rPr>
            </w:pPr>
            <w:r w:rsidRPr="006F5E1D">
              <w:rPr>
                <w:sz w:val="18"/>
                <w:szCs w:val="18"/>
              </w:rPr>
              <w:t>Art. 1</w:t>
            </w:r>
          </w:p>
        </w:tc>
        <w:tc>
          <w:tcPr>
            <w:tcW w:w="4457" w:type="dxa"/>
            <w:vMerge w:val="restart"/>
          </w:tcPr>
          <w:p w14:paraId="0FC8A553" w14:textId="41B7573F" w:rsidR="6C7CA953" w:rsidRPr="006F5E1D" w:rsidRDefault="06A5F0D2" w:rsidP="389869E3">
            <w:pPr>
              <w:spacing w:after="240"/>
              <w:rPr>
                <w:color w:val="000000" w:themeColor="text1"/>
                <w:sz w:val="18"/>
                <w:szCs w:val="18"/>
                <w:lang w:val="en-US"/>
              </w:rPr>
            </w:pPr>
            <w:r w:rsidRPr="537FA187">
              <w:rPr>
                <w:sz w:val="18"/>
                <w:szCs w:val="18"/>
                <w:lang w:val="en-US"/>
              </w:rPr>
              <w:t xml:space="preserve">The list of protected forest species and forest species of economic value will guide us in the choice of species to be exploited in the green </w:t>
            </w:r>
            <w:r w:rsidR="06A8D8CD" w:rsidRPr="537FA187">
              <w:rPr>
                <w:sz w:val="18"/>
                <w:szCs w:val="18"/>
                <w:lang w:val="en-US"/>
              </w:rPr>
              <w:t>belt and</w:t>
            </w:r>
            <w:r w:rsidRPr="537FA187">
              <w:rPr>
                <w:sz w:val="18"/>
                <w:szCs w:val="18"/>
                <w:lang w:val="en-US"/>
              </w:rPr>
              <w:t xml:space="preserve"> will be regulatory vis-à-vis the State. To this must be added the resistant species that adapt to the different ecologies of the Bamako district.</w:t>
            </w:r>
          </w:p>
        </w:tc>
      </w:tr>
      <w:tr w:rsidR="1BB5F5E3" w:rsidRPr="00A86393" w14:paraId="1E4A5670" w14:textId="77777777" w:rsidTr="537FA187">
        <w:trPr>
          <w:trHeight w:val="300"/>
        </w:trPr>
        <w:tc>
          <w:tcPr>
            <w:tcW w:w="4045" w:type="dxa"/>
          </w:tcPr>
          <w:p w14:paraId="2CAB2A15" w14:textId="255C3062" w:rsidR="6C7CA953" w:rsidRPr="006F5E1D" w:rsidRDefault="0B621897" w:rsidP="389869E3">
            <w:pPr>
              <w:rPr>
                <w:color w:val="000000" w:themeColor="text1"/>
                <w:sz w:val="18"/>
                <w:szCs w:val="18"/>
                <w:lang w:val="en-US"/>
              </w:rPr>
            </w:pPr>
            <w:r w:rsidRPr="006F5E1D">
              <w:rPr>
                <w:sz w:val="18"/>
                <w:szCs w:val="18"/>
                <w:lang w:val="en-US"/>
              </w:rPr>
              <w:t>The national wildlife domain includes areas set aside for the conservation of wild animal life: integral nature reserves, national parks, wildlife reserves, special reserves or sanctuaries, biosphere reserves, areas of hunting interest and any perimeter dedicated to special wildlife protection or enhancement purposes.</w:t>
            </w:r>
          </w:p>
        </w:tc>
        <w:tc>
          <w:tcPr>
            <w:tcW w:w="705" w:type="dxa"/>
          </w:tcPr>
          <w:p w14:paraId="4D15202A" w14:textId="1039DB12" w:rsidR="1BB5F5E3" w:rsidRPr="006F5E1D" w:rsidRDefault="58009E8A" w:rsidP="389869E3">
            <w:pPr>
              <w:rPr>
                <w:color w:val="000000" w:themeColor="text1"/>
                <w:sz w:val="18"/>
                <w:szCs w:val="18"/>
              </w:rPr>
            </w:pPr>
            <w:r w:rsidRPr="006F5E1D">
              <w:rPr>
                <w:sz w:val="18"/>
                <w:szCs w:val="18"/>
              </w:rPr>
              <w:t>Art. 2</w:t>
            </w:r>
          </w:p>
        </w:tc>
        <w:tc>
          <w:tcPr>
            <w:tcW w:w="4457" w:type="dxa"/>
            <w:vMerge/>
          </w:tcPr>
          <w:p w14:paraId="581171D5" w14:textId="77777777" w:rsidR="008A4C95" w:rsidRPr="006F5E1D" w:rsidRDefault="008A4C95">
            <w:pPr>
              <w:rPr>
                <w:sz w:val="18"/>
                <w:szCs w:val="18"/>
              </w:rPr>
            </w:pPr>
          </w:p>
        </w:tc>
      </w:tr>
      <w:tr w:rsidR="1BB5F5E3" w:rsidRPr="00F50786" w14:paraId="5A804876" w14:textId="77777777" w:rsidTr="537FA187">
        <w:trPr>
          <w:trHeight w:val="300"/>
        </w:trPr>
        <w:tc>
          <w:tcPr>
            <w:tcW w:w="4045" w:type="dxa"/>
          </w:tcPr>
          <w:p w14:paraId="0900A56E" w14:textId="7ECE8C11" w:rsidR="4025E696" w:rsidRPr="006F5E1D" w:rsidRDefault="40718C50" w:rsidP="389869E3">
            <w:pPr>
              <w:spacing w:after="240"/>
              <w:rPr>
                <w:color w:val="000000" w:themeColor="text1"/>
                <w:sz w:val="18"/>
                <w:szCs w:val="18"/>
                <w:lang w:val="en-US"/>
              </w:rPr>
            </w:pPr>
            <w:r w:rsidRPr="006F5E1D">
              <w:rPr>
                <w:sz w:val="18"/>
                <w:szCs w:val="18"/>
                <w:lang w:val="en-US"/>
              </w:rPr>
              <w:t>Agricultural Orientation Law - (LOA) 2005</w:t>
            </w:r>
          </w:p>
          <w:p w14:paraId="622F0035" w14:textId="24FC6C7E" w:rsidR="1BB5F5E3" w:rsidRPr="006F5E1D" w:rsidRDefault="58009E8A" w:rsidP="389869E3">
            <w:pPr>
              <w:spacing w:after="240"/>
              <w:rPr>
                <w:color w:val="000000" w:themeColor="text1"/>
                <w:sz w:val="18"/>
                <w:szCs w:val="18"/>
                <w:lang w:val="en-US"/>
              </w:rPr>
            </w:pPr>
            <w:r w:rsidRPr="006F5E1D">
              <w:rPr>
                <w:sz w:val="18"/>
                <w:szCs w:val="18"/>
                <w:lang w:val="en-US"/>
              </w:rPr>
              <w:t>(</w:t>
            </w:r>
            <w:r>
              <w:fldChar w:fldCharType="begin"/>
            </w:r>
            <w:r w:rsidRPr="00F50786">
              <w:rPr>
                <w:lang w:val="en-US"/>
                <w:rPrChange w:id="15" w:author="Ali Sambou" w:date="2026-01-06T13:23:00Z" w16du:dateUtc="2026-01-06T13:23:00Z">
                  <w:rPr/>
                </w:rPrChange>
              </w:rPr>
              <w:instrText>HYPERLINK "https://www.fao.org/faolex/results/details/fr/c/LEX-FAOC067609/"</w:instrText>
            </w:r>
            <w:r>
              <w:fldChar w:fldCharType="separate"/>
            </w:r>
            <w:r w:rsidRPr="006F5E1D">
              <w:rPr>
                <w:rStyle w:val="Lienhypertexte"/>
                <w:color w:val="467886"/>
                <w:sz w:val="18"/>
                <w:szCs w:val="18"/>
                <w:u w:val="none"/>
                <w:lang w:val="en-US"/>
              </w:rPr>
              <w:t>https://www.fao.org/faolex/results/details/fr/c/LEX-FAOC067609/</w:t>
            </w:r>
            <w:r>
              <w:fldChar w:fldCharType="end"/>
            </w:r>
            <w:r w:rsidRPr="006F5E1D">
              <w:rPr>
                <w:sz w:val="18"/>
                <w:szCs w:val="18"/>
                <w:lang w:val="en-US"/>
              </w:rPr>
              <w:t>)</w:t>
            </w:r>
          </w:p>
          <w:p w14:paraId="5CE788E3" w14:textId="7D348166" w:rsidR="1BB5F5E3" w:rsidRPr="006F5E1D" w:rsidRDefault="58009E8A" w:rsidP="389869E3">
            <w:pPr>
              <w:rPr>
                <w:rStyle w:val="Lienhypertexte"/>
                <w:color w:val="auto"/>
                <w:sz w:val="18"/>
                <w:szCs w:val="18"/>
              </w:rPr>
            </w:pPr>
            <w:hyperlink r:id="rId19" w:history="1">
              <w:hyperlink r:id="rId20" w:history="1">
                <w:r w:rsidRPr="006F5E1D">
                  <w:rPr>
                    <w:rStyle w:val="Lienhypertexte"/>
                    <w:sz w:val="18"/>
                    <w:szCs w:val="18"/>
                  </w:rPr>
                  <w:t>https://faolex.fao.org/docs/pdf/mli67609.pdf</w:t>
                </w:r>
              </w:hyperlink>
            </w:hyperlink>
          </w:p>
        </w:tc>
        <w:tc>
          <w:tcPr>
            <w:tcW w:w="705" w:type="dxa"/>
          </w:tcPr>
          <w:p w14:paraId="3909C9F1" w14:textId="5155381E" w:rsidR="1BB5F5E3" w:rsidRPr="006F5E1D" w:rsidRDefault="58009E8A" w:rsidP="389869E3">
            <w:pPr>
              <w:rPr>
                <w:color w:val="000000" w:themeColor="text1"/>
                <w:sz w:val="18"/>
                <w:szCs w:val="18"/>
              </w:rPr>
            </w:pPr>
            <w:r w:rsidRPr="006F5E1D">
              <w:rPr>
                <w:sz w:val="18"/>
                <w:szCs w:val="18"/>
              </w:rPr>
              <w:t>Art.3</w:t>
            </w:r>
          </w:p>
        </w:tc>
        <w:tc>
          <w:tcPr>
            <w:tcW w:w="4457" w:type="dxa"/>
          </w:tcPr>
          <w:p w14:paraId="7ECCEC64" w14:textId="1824EF27" w:rsidR="606DBB03" w:rsidRPr="006F5E1D" w:rsidRDefault="31931E9C" w:rsidP="389869E3">
            <w:pPr>
              <w:rPr>
                <w:color w:val="000000" w:themeColor="text1"/>
                <w:sz w:val="18"/>
                <w:szCs w:val="18"/>
                <w:lang w:val="en-US"/>
              </w:rPr>
            </w:pPr>
            <w:r w:rsidRPr="006F5E1D">
              <w:rPr>
                <w:sz w:val="18"/>
                <w:szCs w:val="18"/>
                <w:lang w:val="en-US"/>
              </w:rPr>
              <w:t xml:space="preserve">The aim of this law is to promote sustainable, modern and competitive agriculture. It also aims to guarantee food sovereignty and make the agricultural sector the driving force behind the national economy, </w:t>
            </w:r>
            <w:proofErr w:type="gramStart"/>
            <w:r w:rsidRPr="006F5E1D">
              <w:rPr>
                <w:sz w:val="18"/>
                <w:szCs w:val="18"/>
                <w:lang w:val="en-US"/>
              </w:rPr>
              <w:t>in order to</w:t>
            </w:r>
            <w:proofErr w:type="gramEnd"/>
            <w:r w:rsidRPr="006F5E1D">
              <w:rPr>
                <w:sz w:val="18"/>
                <w:szCs w:val="18"/>
                <w:lang w:val="en-US"/>
              </w:rPr>
              <w:t xml:space="preserve"> ensure the well-being of the population. It will be </w:t>
            </w:r>
            <w:proofErr w:type="gramStart"/>
            <w:r w:rsidRPr="006F5E1D">
              <w:rPr>
                <w:sz w:val="18"/>
                <w:szCs w:val="18"/>
                <w:lang w:val="en-US"/>
              </w:rPr>
              <w:t>taken into account</w:t>
            </w:r>
            <w:proofErr w:type="gramEnd"/>
            <w:r w:rsidRPr="006F5E1D">
              <w:rPr>
                <w:sz w:val="18"/>
                <w:szCs w:val="18"/>
                <w:lang w:val="en-US"/>
              </w:rPr>
              <w:t xml:space="preserve"> in this project through the development of a sustainable urban market gardening zone close to the water collectors.</w:t>
            </w:r>
          </w:p>
        </w:tc>
      </w:tr>
      <w:tr w:rsidR="1BB5F5E3" w:rsidRPr="00A86393" w14:paraId="04488089" w14:textId="77777777" w:rsidTr="537FA187">
        <w:trPr>
          <w:trHeight w:val="300"/>
        </w:trPr>
        <w:tc>
          <w:tcPr>
            <w:tcW w:w="9207" w:type="dxa"/>
            <w:gridSpan w:val="3"/>
          </w:tcPr>
          <w:p w14:paraId="2DDCF3FE" w14:textId="39C2A719" w:rsidR="1BB5F5E3" w:rsidRPr="006F5E1D" w:rsidRDefault="58009E8A" w:rsidP="389869E3">
            <w:pPr>
              <w:spacing w:after="240"/>
              <w:rPr>
                <w:b/>
                <w:bCs/>
                <w:color w:val="000000" w:themeColor="text1"/>
                <w:sz w:val="18"/>
                <w:szCs w:val="18"/>
              </w:rPr>
            </w:pPr>
            <w:proofErr w:type="spellStart"/>
            <w:r w:rsidRPr="006F5E1D">
              <w:rPr>
                <w:b/>
                <w:bCs/>
                <w:sz w:val="18"/>
                <w:szCs w:val="18"/>
              </w:rPr>
              <w:t>D</w:t>
            </w:r>
            <w:r w:rsidR="5617B06C" w:rsidRPr="006F5E1D">
              <w:rPr>
                <w:b/>
                <w:bCs/>
                <w:sz w:val="18"/>
                <w:szCs w:val="18"/>
              </w:rPr>
              <w:t>e</w:t>
            </w:r>
            <w:r w:rsidRPr="006F5E1D">
              <w:rPr>
                <w:b/>
                <w:bCs/>
                <w:sz w:val="18"/>
                <w:szCs w:val="18"/>
              </w:rPr>
              <w:t>cre</w:t>
            </w:r>
            <w:r w:rsidR="51B28D19" w:rsidRPr="006F5E1D">
              <w:rPr>
                <w:b/>
                <w:bCs/>
                <w:sz w:val="18"/>
                <w:szCs w:val="18"/>
              </w:rPr>
              <w:t>e</w:t>
            </w:r>
            <w:r w:rsidRPr="006F5E1D">
              <w:rPr>
                <w:b/>
                <w:bCs/>
                <w:sz w:val="18"/>
                <w:szCs w:val="18"/>
              </w:rPr>
              <w:t>s</w:t>
            </w:r>
            <w:proofErr w:type="spellEnd"/>
          </w:p>
        </w:tc>
      </w:tr>
      <w:tr w:rsidR="1BB5F5E3" w:rsidRPr="00F50786" w14:paraId="5FC68112" w14:textId="77777777" w:rsidTr="537FA187">
        <w:trPr>
          <w:trHeight w:val="300"/>
        </w:trPr>
        <w:tc>
          <w:tcPr>
            <w:tcW w:w="4045" w:type="dxa"/>
            <w:vMerge w:val="restart"/>
          </w:tcPr>
          <w:p w14:paraId="221E2778" w14:textId="24CE323D" w:rsidR="663E2C5E" w:rsidRPr="006F5E1D" w:rsidRDefault="3891ABF3" w:rsidP="389869E3">
            <w:pPr>
              <w:spacing w:after="240"/>
              <w:rPr>
                <w:color w:val="000000" w:themeColor="text1"/>
                <w:sz w:val="18"/>
                <w:szCs w:val="18"/>
                <w:lang w:val="en-US"/>
              </w:rPr>
            </w:pPr>
            <w:r w:rsidRPr="006F5E1D">
              <w:rPr>
                <w:sz w:val="18"/>
                <w:szCs w:val="18"/>
                <w:lang w:val="en-US"/>
              </w:rPr>
              <w:t xml:space="preserve">Decree n°99-320/P-RM of October 04, </w:t>
            </w:r>
            <w:proofErr w:type="gramStart"/>
            <w:r w:rsidRPr="006F5E1D">
              <w:rPr>
                <w:sz w:val="18"/>
                <w:szCs w:val="18"/>
                <w:lang w:val="en-US"/>
              </w:rPr>
              <w:t>1999</w:t>
            </w:r>
            <w:proofErr w:type="gramEnd"/>
            <w:r w:rsidRPr="006F5E1D">
              <w:rPr>
                <w:sz w:val="18"/>
                <w:szCs w:val="18"/>
                <w:lang w:val="en-US"/>
              </w:rPr>
              <w:t xml:space="preserve"> establishing the clearing procedure in the State forest estate: Management and protection of forest resources and biodiversity.</w:t>
            </w:r>
          </w:p>
        </w:tc>
        <w:tc>
          <w:tcPr>
            <w:tcW w:w="705" w:type="dxa"/>
          </w:tcPr>
          <w:p w14:paraId="1AC4DDB6" w14:textId="5BCAD96C" w:rsidR="1BB5F5E3" w:rsidRPr="006F5E1D" w:rsidRDefault="58009E8A" w:rsidP="389869E3">
            <w:pPr>
              <w:rPr>
                <w:color w:val="000000" w:themeColor="text1"/>
                <w:sz w:val="18"/>
                <w:szCs w:val="18"/>
              </w:rPr>
            </w:pPr>
            <w:r w:rsidRPr="006F5E1D">
              <w:rPr>
                <w:sz w:val="18"/>
                <w:szCs w:val="18"/>
              </w:rPr>
              <w:t>Art. 9</w:t>
            </w:r>
          </w:p>
        </w:tc>
        <w:tc>
          <w:tcPr>
            <w:tcW w:w="4457" w:type="dxa"/>
          </w:tcPr>
          <w:p w14:paraId="5E87A593" w14:textId="4A1134E6" w:rsidR="5B7A83E6" w:rsidRPr="006F5E1D" w:rsidRDefault="69F0109F" w:rsidP="389869E3">
            <w:pPr>
              <w:rPr>
                <w:color w:val="000000" w:themeColor="text1"/>
                <w:sz w:val="18"/>
                <w:szCs w:val="18"/>
                <w:lang w:val="en-US"/>
              </w:rPr>
            </w:pPr>
            <w:r w:rsidRPr="006F5E1D">
              <w:rPr>
                <w:sz w:val="18"/>
                <w:szCs w:val="18"/>
                <w:lang w:val="en-US"/>
              </w:rPr>
              <w:t>All land clearing in State-owned forests is subject to the payment of clearing fees.</w:t>
            </w:r>
          </w:p>
        </w:tc>
      </w:tr>
      <w:tr w:rsidR="1BB5F5E3" w:rsidRPr="00F50786" w14:paraId="18133DCE" w14:textId="77777777" w:rsidTr="537FA187">
        <w:trPr>
          <w:trHeight w:val="300"/>
        </w:trPr>
        <w:tc>
          <w:tcPr>
            <w:tcW w:w="4045" w:type="dxa"/>
            <w:vMerge/>
          </w:tcPr>
          <w:p w14:paraId="5DB2DDBE" w14:textId="77777777" w:rsidR="008A4C95" w:rsidRPr="006F5E1D" w:rsidRDefault="008A4C95">
            <w:pPr>
              <w:rPr>
                <w:sz w:val="18"/>
                <w:szCs w:val="18"/>
                <w:lang w:val="en-US"/>
              </w:rPr>
            </w:pPr>
          </w:p>
        </w:tc>
        <w:tc>
          <w:tcPr>
            <w:tcW w:w="705" w:type="dxa"/>
          </w:tcPr>
          <w:p w14:paraId="7827B54C" w14:textId="40C6945A" w:rsidR="1BB5F5E3" w:rsidRPr="006F5E1D" w:rsidRDefault="58009E8A" w:rsidP="389869E3">
            <w:pPr>
              <w:rPr>
                <w:color w:val="000000" w:themeColor="text1"/>
                <w:sz w:val="18"/>
                <w:szCs w:val="18"/>
              </w:rPr>
            </w:pPr>
            <w:r w:rsidRPr="006F5E1D">
              <w:rPr>
                <w:sz w:val="18"/>
                <w:szCs w:val="18"/>
              </w:rPr>
              <w:t>Art. 10</w:t>
            </w:r>
          </w:p>
        </w:tc>
        <w:tc>
          <w:tcPr>
            <w:tcW w:w="4457" w:type="dxa"/>
          </w:tcPr>
          <w:p w14:paraId="086DEE22" w14:textId="19FB44F6" w:rsidR="73D9B460" w:rsidRPr="006F5E1D" w:rsidRDefault="6BD2B0F6" w:rsidP="389869E3">
            <w:pPr>
              <w:rPr>
                <w:color w:val="000000" w:themeColor="text1"/>
                <w:sz w:val="18"/>
                <w:szCs w:val="18"/>
                <w:lang w:val="en-US"/>
              </w:rPr>
            </w:pPr>
            <w:r w:rsidRPr="006F5E1D">
              <w:rPr>
                <w:sz w:val="18"/>
                <w:szCs w:val="18"/>
                <w:lang w:val="en-US"/>
              </w:rPr>
              <w:t xml:space="preserve">The royalty rates levied for the issuance of clearing permits in the </w:t>
            </w:r>
            <w:proofErr w:type="gramStart"/>
            <w:r w:rsidRPr="006F5E1D">
              <w:rPr>
                <w:sz w:val="18"/>
                <w:szCs w:val="18"/>
                <w:lang w:val="en-US"/>
              </w:rPr>
              <w:t>State forest</w:t>
            </w:r>
            <w:proofErr w:type="gramEnd"/>
            <w:r w:rsidRPr="006F5E1D">
              <w:rPr>
                <w:sz w:val="18"/>
                <w:szCs w:val="18"/>
                <w:lang w:val="en-US"/>
              </w:rPr>
              <w:t xml:space="preserve"> estate are set by decree issued by the Council of Ministers.</w:t>
            </w:r>
          </w:p>
        </w:tc>
      </w:tr>
      <w:tr w:rsidR="1BB5F5E3" w:rsidRPr="00F50786" w14:paraId="3D820823" w14:textId="77777777" w:rsidTr="537FA187">
        <w:trPr>
          <w:trHeight w:val="300"/>
        </w:trPr>
        <w:tc>
          <w:tcPr>
            <w:tcW w:w="4045" w:type="dxa"/>
          </w:tcPr>
          <w:p w14:paraId="727CF8AD" w14:textId="189DBA1D" w:rsidR="73D9B460" w:rsidRPr="006F5E1D" w:rsidRDefault="334F7B7F" w:rsidP="389869E3">
            <w:pPr>
              <w:rPr>
                <w:color w:val="000000" w:themeColor="text1"/>
                <w:sz w:val="18"/>
                <w:szCs w:val="18"/>
                <w:lang w:val="en-US"/>
              </w:rPr>
            </w:pPr>
            <w:r w:rsidRPr="006F5E1D">
              <w:rPr>
                <w:sz w:val="18"/>
                <w:szCs w:val="18"/>
                <w:lang w:val="en-US"/>
              </w:rPr>
              <w:t>Decree n°10-387/P-RM of July 26, 2010</w:t>
            </w:r>
          </w:p>
        </w:tc>
        <w:tc>
          <w:tcPr>
            <w:tcW w:w="705" w:type="dxa"/>
          </w:tcPr>
          <w:p w14:paraId="435AADB4" w14:textId="7AD8B0A9" w:rsidR="1BB5F5E3" w:rsidRPr="006F5E1D" w:rsidRDefault="58009E8A" w:rsidP="389869E3">
            <w:pPr>
              <w:rPr>
                <w:color w:val="000000" w:themeColor="text1"/>
                <w:sz w:val="18"/>
                <w:szCs w:val="18"/>
              </w:rPr>
            </w:pPr>
            <w:r w:rsidRPr="006F5E1D">
              <w:rPr>
                <w:sz w:val="18"/>
                <w:szCs w:val="18"/>
              </w:rPr>
              <w:t>Art 2, 3, 4</w:t>
            </w:r>
          </w:p>
        </w:tc>
        <w:tc>
          <w:tcPr>
            <w:tcW w:w="4457" w:type="dxa"/>
          </w:tcPr>
          <w:p w14:paraId="485F0A90" w14:textId="7BF5DEFC" w:rsidR="2E7CC72A" w:rsidRPr="006F5E1D" w:rsidRDefault="46B123A3" w:rsidP="389869E3">
            <w:pPr>
              <w:rPr>
                <w:color w:val="000000" w:themeColor="text1"/>
                <w:sz w:val="18"/>
                <w:szCs w:val="18"/>
                <w:lang w:val="en-US"/>
              </w:rPr>
            </w:pPr>
            <w:r w:rsidRPr="006F5E1D">
              <w:rPr>
                <w:sz w:val="18"/>
                <w:szCs w:val="18"/>
                <w:lang w:val="en-US"/>
              </w:rPr>
              <w:t xml:space="preserve">Lists of partially and fully protected species to be </w:t>
            </w:r>
            <w:proofErr w:type="gramStart"/>
            <w:r w:rsidRPr="006F5E1D">
              <w:rPr>
                <w:sz w:val="18"/>
                <w:szCs w:val="18"/>
                <w:lang w:val="en-US"/>
              </w:rPr>
              <w:t>taken into account</w:t>
            </w:r>
            <w:proofErr w:type="gramEnd"/>
            <w:r w:rsidRPr="006F5E1D">
              <w:rPr>
                <w:sz w:val="18"/>
                <w:szCs w:val="18"/>
                <w:lang w:val="en-US"/>
              </w:rPr>
              <w:t xml:space="preserve"> in the project.</w:t>
            </w:r>
          </w:p>
        </w:tc>
      </w:tr>
      <w:tr w:rsidR="1BB5F5E3" w:rsidRPr="00F50786" w14:paraId="3EB970ED" w14:textId="77777777" w:rsidTr="537FA187">
        <w:trPr>
          <w:trHeight w:val="300"/>
        </w:trPr>
        <w:tc>
          <w:tcPr>
            <w:tcW w:w="4045" w:type="dxa"/>
          </w:tcPr>
          <w:p w14:paraId="4C8F22EC" w14:textId="5D76A437" w:rsidR="2E7CC72A" w:rsidRPr="006F5E1D" w:rsidRDefault="46B123A3" w:rsidP="389869E3">
            <w:pPr>
              <w:rPr>
                <w:color w:val="000000" w:themeColor="text1"/>
                <w:sz w:val="18"/>
                <w:szCs w:val="18"/>
                <w:lang w:val="en-US"/>
              </w:rPr>
            </w:pPr>
            <w:r w:rsidRPr="006F5E1D">
              <w:rPr>
                <w:sz w:val="18"/>
                <w:szCs w:val="18"/>
                <w:lang w:val="en-US"/>
              </w:rPr>
              <w:t>Decree n°10-388/P-RM dated July 26, 2010</w:t>
            </w:r>
          </w:p>
        </w:tc>
        <w:tc>
          <w:tcPr>
            <w:tcW w:w="705" w:type="dxa"/>
          </w:tcPr>
          <w:p w14:paraId="14E9358A" w14:textId="753332B6" w:rsidR="1BB5F5E3" w:rsidRPr="006F5E1D" w:rsidRDefault="58009E8A" w:rsidP="389869E3">
            <w:pPr>
              <w:rPr>
                <w:color w:val="000000" w:themeColor="text1"/>
                <w:sz w:val="18"/>
                <w:szCs w:val="18"/>
              </w:rPr>
            </w:pPr>
            <w:r w:rsidRPr="006F5E1D">
              <w:rPr>
                <w:sz w:val="18"/>
                <w:szCs w:val="18"/>
              </w:rPr>
              <w:t>Section 3</w:t>
            </w:r>
          </w:p>
        </w:tc>
        <w:tc>
          <w:tcPr>
            <w:tcW w:w="4457" w:type="dxa"/>
          </w:tcPr>
          <w:p w14:paraId="3250BD30" w14:textId="5887176C" w:rsidR="524B54F6" w:rsidRPr="006F5E1D" w:rsidRDefault="2663A5F0" w:rsidP="389869E3">
            <w:pPr>
              <w:rPr>
                <w:color w:val="000000" w:themeColor="text1"/>
                <w:sz w:val="18"/>
                <w:szCs w:val="18"/>
                <w:lang w:val="en-US"/>
              </w:rPr>
            </w:pPr>
            <w:r w:rsidRPr="006F5E1D">
              <w:rPr>
                <w:sz w:val="18"/>
                <w:szCs w:val="18"/>
                <w:lang w:val="en-US"/>
              </w:rPr>
              <w:t>Cutting permits will be applied in this project</w:t>
            </w:r>
          </w:p>
        </w:tc>
      </w:tr>
      <w:tr w:rsidR="1BB5F5E3" w:rsidRPr="00F50786" w14:paraId="737989C4" w14:textId="77777777" w:rsidTr="537FA187">
        <w:trPr>
          <w:trHeight w:val="300"/>
        </w:trPr>
        <w:tc>
          <w:tcPr>
            <w:tcW w:w="4045" w:type="dxa"/>
          </w:tcPr>
          <w:p w14:paraId="4E4F7B04" w14:textId="0E30E77D" w:rsidR="524B54F6" w:rsidRPr="006F5E1D" w:rsidRDefault="497D7BC6" w:rsidP="389869E3">
            <w:pPr>
              <w:rPr>
                <w:color w:val="000000" w:themeColor="text1"/>
                <w:sz w:val="18"/>
                <w:szCs w:val="18"/>
                <w:lang w:val="en-US"/>
              </w:rPr>
            </w:pPr>
            <w:r w:rsidRPr="006F5E1D">
              <w:rPr>
                <w:sz w:val="18"/>
                <w:szCs w:val="18"/>
                <w:lang w:val="en-US"/>
              </w:rPr>
              <w:t xml:space="preserve">Decree no. 10-387/P-RM of July 26, </w:t>
            </w:r>
            <w:proofErr w:type="gramStart"/>
            <w:r w:rsidRPr="006F5E1D">
              <w:rPr>
                <w:sz w:val="18"/>
                <w:szCs w:val="18"/>
                <w:lang w:val="en-US"/>
              </w:rPr>
              <w:t>2010</w:t>
            </w:r>
            <w:proofErr w:type="gramEnd"/>
            <w:r w:rsidRPr="006F5E1D">
              <w:rPr>
                <w:sz w:val="18"/>
                <w:szCs w:val="18"/>
                <w:lang w:val="en-US"/>
              </w:rPr>
              <w:t xml:space="preserve"> establishing the list of protected forest species and forest species of economic value</w:t>
            </w:r>
          </w:p>
        </w:tc>
        <w:tc>
          <w:tcPr>
            <w:tcW w:w="705" w:type="dxa"/>
          </w:tcPr>
          <w:p w14:paraId="0F9988FA" w14:textId="48ED00AC" w:rsidR="1BB5F5E3" w:rsidRPr="006F5E1D" w:rsidRDefault="58009E8A" w:rsidP="389869E3">
            <w:pPr>
              <w:rPr>
                <w:color w:val="000000" w:themeColor="text1"/>
                <w:sz w:val="18"/>
                <w:szCs w:val="18"/>
              </w:rPr>
            </w:pPr>
            <w:r w:rsidRPr="006F5E1D">
              <w:rPr>
                <w:sz w:val="18"/>
                <w:szCs w:val="18"/>
              </w:rPr>
              <w:t>-</w:t>
            </w:r>
          </w:p>
        </w:tc>
        <w:tc>
          <w:tcPr>
            <w:tcW w:w="4457" w:type="dxa"/>
          </w:tcPr>
          <w:p w14:paraId="6D46B063" w14:textId="702FC522" w:rsidR="1C91E611" w:rsidRPr="006F5E1D" w:rsidRDefault="3DD0322F" w:rsidP="389869E3">
            <w:pPr>
              <w:rPr>
                <w:color w:val="000000" w:themeColor="text1"/>
                <w:sz w:val="18"/>
                <w:szCs w:val="18"/>
                <w:lang w:val="en-US"/>
              </w:rPr>
            </w:pPr>
            <w:r w:rsidRPr="006F5E1D">
              <w:rPr>
                <w:sz w:val="18"/>
                <w:szCs w:val="18"/>
                <w:lang w:val="en-US"/>
              </w:rPr>
              <w:t xml:space="preserve">The list of protected forest species and forest species of economic value will guide us in the choice of species to be exploited in Bamako's green </w:t>
            </w:r>
            <w:proofErr w:type="gramStart"/>
            <w:r w:rsidRPr="006F5E1D">
              <w:rPr>
                <w:sz w:val="18"/>
                <w:szCs w:val="18"/>
                <w:lang w:val="en-US"/>
              </w:rPr>
              <w:t>belt, and</w:t>
            </w:r>
            <w:proofErr w:type="gramEnd"/>
            <w:r w:rsidRPr="006F5E1D">
              <w:rPr>
                <w:sz w:val="18"/>
                <w:szCs w:val="18"/>
                <w:lang w:val="en-US"/>
              </w:rPr>
              <w:t xml:space="preserve"> will help us to comply with government regulations.</w:t>
            </w:r>
          </w:p>
        </w:tc>
      </w:tr>
      <w:tr w:rsidR="1BB5F5E3" w:rsidRPr="00F50786" w14:paraId="631853FE" w14:textId="77777777" w:rsidTr="537FA187">
        <w:trPr>
          <w:trHeight w:val="300"/>
        </w:trPr>
        <w:tc>
          <w:tcPr>
            <w:tcW w:w="4045" w:type="dxa"/>
          </w:tcPr>
          <w:p w14:paraId="0ABBA46A" w14:textId="5BC6D112" w:rsidR="5821EEBA" w:rsidRPr="006F5E1D" w:rsidRDefault="1877AD17" w:rsidP="389869E3">
            <w:pPr>
              <w:rPr>
                <w:color w:val="000000" w:themeColor="text1"/>
                <w:sz w:val="18"/>
                <w:szCs w:val="18"/>
                <w:lang w:val="en-US"/>
              </w:rPr>
            </w:pPr>
            <w:r w:rsidRPr="006F5E1D">
              <w:rPr>
                <w:sz w:val="18"/>
                <w:szCs w:val="18"/>
                <w:lang w:val="en-US"/>
              </w:rPr>
              <w:t xml:space="preserve">Decree No. 00-022/P-RM of January 19, 2000, setting the terms and conditions for classifying and declassifying forests, reforestation areas and protection areas in the </w:t>
            </w:r>
            <w:proofErr w:type="gramStart"/>
            <w:r w:rsidRPr="006F5E1D">
              <w:rPr>
                <w:sz w:val="18"/>
                <w:szCs w:val="18"/>
                <w:lang w:val="en-US"/>
              </w:rPr>
              <w:t>State forest</w:t>
            </w:r>
            <w:proofErr w:type="gramEnd"/>
            <w:r w:rsidRPr="006F5E1D">
              <w:rPr>
                <w:sz w:val="18"/>
                <w:szCs w:val="18"/>
                <w:lang w:val="en-US"/>
              </w:rPr>
              <w:t xml:space="preserve"> estate.</w:t>
            </w:r>
          </w:p>
        </w:tc>
        <w:tc>
          <w:tcPr>
            <w:tcW w:w="705" w:type="dxa"/>
          </w:tcPr>
          <w:p w14:paraId="13CA86AB" w14:textId="1E0F8A6B" w:rsidR="1BB5F5E3" w:rsidRPr="006F5E1D" w:rsidRDefault="58009E8A" w:rsidP="389869E3">
            <w:pPr>
              <w:rPr>
                <w:color w:val="000000" w:themeColor="text1"/>
                <w:sz w:val="18"/>
                <w:szCs w:val="18"/>
              </w:rPr>
            </w:pPr>
            <w:r w:rsidRPr="006F5E1D">
              <w:rPr>
                <w:sz w:val="18"/>
                <w:szCs w:val="18"/>
              </w:rPr>
              <w:t>-</w:t>
            </w:r>
          </w:p>
        </w:tc>
        <w:tc>
          <w:tcPr>
            <w:tcW w:w="4457" w:type="dxa"/>
          </w:tcPr>
          <w:p w14:paraId="12138E1E" w14:textId="0AFAB89D" w:rsidR="65BF8BC7" w:rsidRPr="006F5E1D" w:rsidRDefault="76DC6C45" w:rsidP="389869E3">
            <w:pPr>
              <w:rPr>
                <w:color w:val="000000" w:themeColor="text1"/>
                <w:sz w:val="18"/>
                <w:szCs w:val="18"/>
                <w:lang w:val="en-US"/>
              </w:rPr>
            </w:pPr>
            <w:r w:rsidRPr="006F5E1D">
              <w:rPr>
                <w:sz w:val="18"/>
                <w:szCs w:val="18"/>
                <w:lang w:val="en-US"/>
              </w:rPr>
              <w:t>This decree will serve as a guide on how to classify and declassify classified forests when implementing management plans in the green belt. It will also help us investigate the legal status of forest estates such as classified forests (registration required by local authorities).</w:t>
            </w:r>
          </w:p>
        </w:tc>
      </w:tr>
      <w:tr w:rsidR="1BB5F5E3" w:rsidRPr="00F50786" w14:paraId="52BDD33C" w14:textId="77777777" w:rsidTr="537FA187">
        <w:trPr>
          <w:trHeight w:val="300"/>
        </w:trPr>
        <w:tc>
          <w:tcPr>
            <w:tcW w:w="4045" w:type="dxa"/>
          </w:tcPr>
          <w:p w14:paraId="718A413A" w14:textId="14E42BD5" w:rsidR="148C44D9" w:rsidRPr="006F5E1D" w:rsidRDefault="14E72430" w:rsidP="389869E3">
            <w:pPr>
              <w:rPr>
                <w:color w:val="000000" w:themeColor="text1"/>
                <w:sz w:val="18"/>
                <w:szCs w:val="18"/>
                <w:lang w:val="en-US"/>
              </w:rPr>
            </w:pPr>
            <w:r w:rsidRPr="006F5E1D">
              <w:rPr>
                <w:sz w:val="18"/>
                <w:szCs w:val="18"/>
                <w:lang w:val="en-US"/>
              </w:rPr>
              <w:t xml:space="preserve">Decree no. 08-346/P-RM of June 26, </w:t>
            </w:r>
            <w:proofErr w:type="gramStart"/>
            <w:r w:rsidRPr="006F5E1D">
              <w:rPr>
                <w:sz w:val="18"/>
                <w:szCs w:val="18"/>
                <w:lang w:val="en-US"/>
              </w:rPr>
              <w:t>2008</w:t>
            </w:r>
            <w:proofErr w:type="gramEnd"/>
            <w:r w:rsidRPr="006F5E1D">
              <w:rPr>
                <w:sz w:val="18"/>
                <w:szCs w:val="18"/>
                <w:lang w:val="en-US"/>
              </w:rPr>
              <w:t xml:space="preserve"> on environmental and social impact assessment, amended by decree no. 09-318/P-RM of June 26, 2009.</w:t>
            </w:r>
          </w:p>
        </w:tc>
        <w:tc>
          <w:tcPr>
            <w:tcW w:w="705" w:type="dxa"/>
          </w:tcPr>
          <w:p w14:paraId="6CD37827" w14:textId="300287FC" w:rsidR="1BB5F5E3" w:rsidRPr="006F5E1D" w:rsidRDefault="58009E8A" w:rsidP="389869E3">
            <w:pPr>
              <w:rPr>
                <w:color w:val="000000" w:themeColor="text1"/>
                <w:sz w:val="18"/>
                <w:szCs w:val="18"/>
              </w:rPr>
            </w:pPr>
            <w:r w:rsidRPr="006F5E1D">
              <w:rPr>
                <w:sz w:val="18"/>
                <w:szCs w:val="18"/>
              </w:rPr>
              <w:t>-</w:t>
            </w:r>
          </w:p>
        </w:tc>
        <w:tc>
          <w:tcPr>
            <w:tcW w:w="4457" w:type="dxa"/>
          </w:tcPr>
          <w:p w14:paraId="2EB01818" w14:textId="149946E9" w:rsidR="155E715E" w:rsidRPr="006F5E1D" w:rsidRDefault="5C2F9B1D" w:rsidP="389869E3">
            <w:pPr>
              <w:rPr>
                <w:color w:val="000000" w:themeColor="text1"/>
                <w:sz w:val="18"/>
                <w:szCs w:val="18"/>
                <w:lang w:val="en-US"/>
              </w:rPr>
            </w:pPr>
            <w:r w:rsidRPr="006F5E1D">
              <w:rPr>
                <w:sz w:val="18"/>
                <w:szCs w:val="18"/>
                <w:lang w:val="en-US"/>
              </w:rPr>
              <w:t>It will serve as a springboard for the environmental screening of this study and specifically of the green belt component.</w:t>
            </w:r>
          </w:p>
        </w:tc>
      </w:tr>
    </w:tbl>
    <w:p w14:paraId="0000012E" w14:textId="471B1ACB" w:rsidR="004F7DB3" w:rsidRPr="00A86393" w:rsidRDefault="5EEA7E72" w:rsidP="389869E3">
      <w:pPr>
        <w:spacing w:before="240" w:after="240" w:line="240" w:lineRule="auto"/>
        <w:jc w:val="both"/>
        <w:rPr>
          <w:sz w:val="20"/>
          <w:szCs w:val="20"/>
          <w:lang w:val="en-US"/>
        </w:rPr>
      </w:pPr>
      <w:r w:rsidRPr="5D8904BE">
        <w:rPr>
          <w:sz w:val="20"/>
          <w:szCs w:val="20"/>
          <w:lang w:val="en-US"/>
        </w:rPr>
        <w:t xml:space="preserve">In addition, the National Forest Policy's implementation instruments—including the 2017 Strategy, its 2018-2022 Action Plan, and other related programmatic frameworks—aim to promote integrated and sustainable management of forest and wildlife resources, with a view to poverty reduction, sustainable land management, and resilience to climate change. However, in the absence of real operationalization, these instruments have remained ineffective and now need to be updated </w:t>
      </w:r>
      <w:proofErr w:type="gramStart"/>
      <w:r w:rsidRPr="5D8904BE">
        <w:rPr>
          <w:sz w:val="20"/>
          <w:szCs w:val="20"/>
          <w:lang w:val="en-US"/>
        </w:rPr>
        <w:t>in order to</w:t>
      </w:r>
      <w:proofErr w:type="gramEnd"/>
      <w:r w:rsidRPr="5D8904BE">
        <w:rPr>
          <w:sz w:val="20"/>
          <w:szCs w:val="20"/>
          <w:lang w:val="en-US"/>
        </w:rPr>
        <w:t xml:space="preserve"> respond to new environmental and socio-economic challenges.</w:t>
      </w:r>
    </w:p>
    <w:p w14:paraId="0000012F" w14:textId="77777777" w:rsidR="004F7DB3" w:rsidRPr="00A86393" w:rsidRDefault="552CE4D7">
      <w:pPr>
        <w:spacing w:before="240" w:after="240" w:line="240" w:lineRule="auto"/>
        <w:jc w:val="both"/>
        <w:rPr>
          <w:sz w:val="20"/>
          <w:szCs w:val="20"/>
          <w:lang w:val="en-US"/>
        </w:rPr>
      </w:pPr>
      <w:proofErr w:type="gramStart"/>
      <w:r w:rsidRPr="5D8904BE">
        <w:rPr>
          <w:sz w:val="20"/>
          <w:szCs w:val="20"/>
          <w:lang w:val="en-US"/>
        </w:rPr>
        <w:t>With regard to</w:t>
      </w:r>
      <w:proofErr w:type="gramEnd"/>
      <w:r w:rsidRPr="5D8904BE">
        <w:rPr>
          <w:sz w:val="20"/>
          <w:szCs w:val="20"/>
          <w:lang w:val="en-US"/>
        </w:rPr>
        <w:t xml:space="preserve"> the availability of data on forest resources, Mali has a significant lack of up-to-date and comprehensive information. The few quantitative data available come only from inventories carried out in the Boucle du Baoulé Biosphere Reserve (1995, 1996) and in the </w:t>
      </w:r>
      <w:proofErr w:type="spellStart"/>
      <w:r w:rsidRPr="5D8904BE">
        <w:rPr>
          <w:sz w:val="20"/>
          <w:szCs w:val="20"/>
          <w:lang w:val="en-US"/>
        </w:rPr>
        <w:t>Bafing</w:t>
      </w:r>
      <w:proofErr w:type="spellEnd"/>
      <w:r w:rsidRPr="5D8904BE">
        <w:rPr>
          <w:sz w:val="20"/>
          <w:szCs w:val="20"/>
          <w:lang w:val="en-US"/>
        </w:rPr>
        <w:t xml:space="preserve"> Makana Wildlife Reserve (1997-1998, 2002, 2004). This limitation is a major obstacle to the development and implementation of forest policies based on sound science.</w:t>
      </w:r>
    </w:p>
    <w:p w14:paraId="00000131" w14:textId="6D43245F" w:rsidR="004F7DB3" w:rsidRPr="00A86393" w:rsidRDefault="37C4D076" w:rsidP="537FA187">
      <w:pPr>
        <w:pBdr>
          <w:top w:val="nil"/>
          <w:left w:val="nil"/>
          <w:bottom w:val="nil"/>
          <w:right w:val="nil"/>
          <w:between w:val="nil"/>
        </w:pBdr>
        <w:spacing w:before="240" w:after="240" w:line="240" w:lineRule="auto"/>
        <w:jc w:val="both"/>
        <w:rPr>
          <w:sz w:val="20"/>
          <w:szCs w:val="20"/>
          <w:lang w:val="en-US"/>
        </w:rPr>
      </w:pPr>
      <w:r w:rsidRPr="00A86393">
        <w:rPr>
          <w:sz w:val="20"/>
          <w:szCs w:val="20"/>
          <w:lang w:val="en-US"/>
        </w:rPr>
        <w:lastRenderedPageBreak/>
        <w:t>The District of Bamako is home to a 30-hectare biological park (17 ha of botanical park and 13 ha of zoological park</w:t>
      </w:r>
      <w:r w:rsidR="00C00123" w:rsidRPr="00A86393">
        <w:rPr>
          <w:sz w:val="20"/>
          <w:szCs w:val="20"/>
          <w:vertAlign w:val="superscript"/>
        </w:rPr>
        <w:footnoteReference w:id="21"/>
      </w:r>
      <w:r w:rsidRPr="00A86393">
        <w:rPr>
          <w:sz w:val="20"/>
          <w:szCs w:val="20"/>
          <w:lang w:val="en-US"/>
        </w:rPr>
        <w:t xml:space="preserve">) </w:t>
      </w:r>
      <w:r w:rsidR="36FBFDB3" w:rsidRPr="00A86393">
        <w:rPr>
          <w:sz w:val="20"/>
          <w:szCs w:val="20"/>
          <w:lang w:val="en-US"/>
        </w:rPr>
        <w:t>a</w:t>
      </w:r>
      <w:r w:rsidRPr="00A86393">
        <w:rPr>
          <w:sz w:val="20"/>
          <w:szCs w:val="20"/>
          <w:lang w:val="en-US"/>
        </w:rPr>
        <w:t xml:space="preserve">s well as six classified forests covering a total area of </w:t>
      </w:r>
      <w:r w:rsidRPr="00A86393">
        <w:rPr>
          <w:b/>
          <w:bCs/>
          <w:sz w:val="20"/>
          <w:szCs w:val="20"/>
          <w:lang w:val="en-US"/>
        </w:rPr>
        <w:t>175,940 ha.</w:t>
      </w:r>
      <w:r w:rsidRPr="00A86393">
        <w:rPr>
          <w:sz w:val="20"/>
          <w:szCs w:val="20"/>
          <w:lang w:val="en-US"/>
        </w:rPr>
        <w:t xml:space="preserve"> </w:t>
      </w:r>
      <w:r w:rsidR="253F28DD" w:rsidRPr="00A86393">
        <w:rPr>
          <w:sz w:val="20"/>
          <w:szCs w:val="20"/>
          <w:lang w:val="en-US"/>
        </w:rPr>
        <w:t>The Faya Forest</w:t>
      </w:r>
      <w:r w:rsidRPr="00A86393">
        <w:rPr>
          <w:sz w:val="20"/>
          <w:szCs w:val="20"/>
          <w:lang w:val="en-US"/>
        </w:rPr>
        <w:t xml:space="preserve"> extends over three </w:t>
      </w:r>
      <w:r w:rsidR="228C5B1E" w:rsidRPr="00A86393">
        <w:rPr>
          <w:sz w:val="20"/>
          <w:szCs w:val="20"/>
          <w:lang w:val="en-US"/>
        </w:rPr>
        <w:t xml:space="preserve">circular areas </w:t>
      </w:r>
      <w:r w:rsidRPr="00A86393">
        <w:rPr>
          <w:sz w:val="20"/>
          <w:szCs w:val="20"/>
          <w:lang w:val="en-US"/>
        </w:rPr>
        <w:t xml:space="preserve">and is home to the </w:t>
      </w:r>
      <w:proofErr w:type="spellStart"/>
      <w:r w:rsidRPr="00A86393">
        <w:rPr>
          <w:sz w:val="20"/>
          <w:szCs w:val="20"/>
          <w:lang w:val="en-US"/>
        </w:rPr>
        <w:t>Kledu</w:t>
      </w:r>
      <w:proofErr w:type="spellEnd"/>
      <w:r w:rsidRPr="00A86393">
        <w:rPr>
          <w:sz w:val="20"/>
          <w:szCs w:val="20"/>
          <w:lang w:val="en-US"/>
        </w:rPr>
        <w:t xml:space="preserve"> </w:t>
      </w:r>
      <w:proofErr w:type="spellStart"/>
      <w:r w:rsidRPr="00A86393">
        <w:rPr>
          <w:sz w:val="20"/>
          <w:szCs w:val="20"/>
          <w:lang w:val="en-US"/>
        </w:rPr>
        <w:t>agro</w:t>
      </w:r>
      <w:proofErr w:type="spellEnd"/>
      <w:r w:rsidRPr="00A86393">
        <w:rPr>
          <w:sz w:val="20"/>
          <w:szCs w:val="20"/>
          <w:lang w:val="en-US"/>
        </w:rPr>
        <w:t xml:space="preserve">-pastoral farm (300 ha). </w:t>
      </w:r>
      <w:r w:rsidRPr="24AA8F7E">
        <w:rPr>
          <w:sz w:val="20"/>
          <w:szCs w:val="20"/>
          <w:lang w:val="en-US"/>
        </w:rPr>
        <w:t xml:space="preserve">The </w:t>
      </w:r>
      <w:proofErr w:type="spellStart"/>
      <w:proofErr w:type="gramStart"/>
      <w:r w:rsidRPr="00A86393">
        <w:rPr>
          <w:b/>
          <w:bCs/>
          <w:sz w:val="20"/>
          <w:szCs w:val="20"/>
          <w:lang w:val="en-US"/>
        </w:rPr>
        <w:t>Tienfala</w:t>
      </w:r>
      <w:proofErr w:type="spellEnd"/>
      <w:r w:rsidRPr="00A86393">
        <w:rPr>
          <w:b/>
          <w:bCs/>
          <w:sz w:val="20"/>
          <w:szCs w:val="20"/>
          <w:lang w:val="en-US"/>
        </w:rPr>
        <w:t xml:space="preserve"> </w:t>
      </w:r>
      <w:r w:rsidRPr="00A86393">
        <w:rPr>
          <w:sz w:val="20"/>
          <w:szCs w:val="20"/>
          <w:lang w:val="en-US"/>
        </w:rPr>
        <w:t xml:space="preserve"> concession</w:t>
      </w:r>
      <w:proofErr w:type="gramEnd"/>
      <w:r w:rsidRPr="00A86393">
        <w:rPr>
          <w:sz w:val="20"/>
          <w:szCs w:val="20"/>
          <w:lang w:val="en-US"/>
        </w:rPr>
        <w:t xml:space="preserve"> on the left bank of the Niger includes a 1,463 ha concession to SEFAM Sarl for ecotourism, despite illegal land pressures. The </w:t>
      </w:r>
      <w:r w:rsidRPr="00A86393">
        <w:rPr>
          <w:b/>
          <w:bCs/>
          <w:sz w:val="20"/>
          <w:szCs w:val="20"/>
          <w:lang w:val="en-US"/>
        </w:rPr>
        <w:t>Mandinka Mountains</w:t>
      </w:r>
      <w:r w:rsidRPr="00A86393">
        <w:rPr>
          <w:sz w:val="20"/>
          <w:szCs w:val="20"/>
          <w:lang w:val="en-US"/>
        </w:rPr>
        <w:t xml:space="preserve"> benefit from past support from the World Bank. The </w:t>
      </w:r>
      <w:proofErr w:type="spellStart"/>
      <w:r w:rsidRPr="00A86393">
        <w:rPr>
          <w:b/>
          <w:bCs/>
          <w:sz w:val="20"/>
          <w:szCs w:val="20"/>
          <w:lang w:val="en-US"/>
        </w:rPr>
        <w:t>Koulouba</w:t>
      </w:r>
      <w:proofErr w:type="spellEnd"/>
      <w:r w:rsidRPr="00A86393">
        <w:rPr>
          <w:b/>
          <w:bCs/>
          <w:sz w:val="20"/>
          <w:szCs w:val="20"/>
          <w:lang w:val="en-US"/>
        </w:rPr>
        <w:t xml:space="preserve"> </w:t>
      </w:r>
      <w:r w:rsidRPr="00A86393">
        <w:rPr>
          <w:sz w:val="20"/>
          <w:szCs w:val="20"/>
          <w:lang w:val="en-US"/>
        </w:rPr>
        <w:t xml:space="preserve">forest was initially intended to protect the city of Bamako against natural risks such as erosion and flooding. However, it is now under intense anthropogenic pressure, compromising its essential ecological functions. This degradation has increased Bamako's vulnerability to climatic hazards, as evidenced by the extreme episodes that occurred in July 2021 and August 2024, which caused significant material damage and loss of life. The forest of </w:t>
      </w:r>
      <w:r w:rsidRPr="00A86393">
        <w:rPr>
          <w:b/>
          <w:bCs/>
          <w:sz w:val="20"/>
          <w:szCs w:val="20"/>
          <w:lang w:val="en-US"/>
        </w:rPr>
        <w:t>Djinina</w:t>
      </w:r>
      <w:r w:rsidRPr="00A86393">
        <w:rPr>
          <w:sz w:val="20"/>
          <w:szCs w:val="20"/>
          <w:lang w:val="en-US"/>
        </w:rPr>
        <w:t xml:space="preserve"> </w:t>
      </w:r>
      <w:proofErr w:type="gramStart"/>
      <w:r w:rsidRPr="00A86393">
        <w:rPr>
          <w:sz w:val="20"/>
          <w:szCs w:val="20"/>
          <w:lang w:val="en-US"/>
        </w:rPr>
        <w:t>is located in</w:t>
      </w:r>
      <w:proofErr w:type="gramEnd"/>
      <w:r w:rsidRPr="00A86393">
        <w:rPr>
          <w:sz w:val="20"/>
          <w:szCs w:val="20"/>
          <w:lang w:val="en-US"/>
        </w:rPr>
        <w:t xml:space="preserve"> the circle of Kati. Finally, </w:t>
      </w:r>
      <w:proofErr w:type="spellStart"/>
      <w:r w:rsidRPr="00A86393">
        <w:rPr>
          <w:b/>
          <w:bCs/>
          <w:sz w:val="20"/>
          <w:szCs w:val="20"/>
          <w:lang w:val="en-US"/>
        </w:rPr>
        <w:t>Kenié</w:t>
      </w:r>
      <w:proofErr w:type="spellEnd"/>
      <w:r w:rsidRPr="00A86393">
        <w:rPr>
          <w:b/>
          <w:bCs/>
          <w:sz w:val="20"/>
          <w:szCs w:val="20"/>
          <w:lang w:val="en-US"/>
        </w:rPr>
        <w:t xml:space="preserve"> Baoulé </w:t>
      </w:r>
      <w:r w:rsidRPr="00A86393">
        <w:rPr>
          <w:sz w:val="20"/>
          <w:szCs w:val="20"/>
          <w:lang w:val="en-US"/>
        </w:rPr>
        <w:t>represents one of the largest reserves classified in 1954. It is home to endangered wildlife species (</w:t>
      </w:r>
      <w:proofErr w:type="spellStart"/>
      <w:r w:rsidRPr="00A86393">
        <w:rPr>
          <w:sz w:val="20"/>
          <w:szCs w:val="20"/>
          <w:lang w:val="en-US"/>
        </w:rPr>
        <w:t>hippotragus</w:t>
      </w:r>
      <w:proofErr w:type="spellEnd"/>
      <w:r w:rsidRPr="00A86393">
        <w:rPr>
          <w:sz w:val="20"/>
          <w:szCs w:val="20"/>
          <w:lang w:val="en-US"/>
        </w:rPr>
        <w:t xml:space="preserve">, bushbuck, cob </w:t>
      </w:r>
      <w:proofErr w:type="spellStart"/>
      <w:r w:rsidRPr="00A86393">
        <w:rPr>
          <w:sz w:val="20"/>
          <w:szCs w:val="20"/>
          <w:lang w:val="en-US"/>
        </w:rPr>
        <w:t>defassa</w:t>
      </w:r>
      <w:proofErr w:type="spellEnd"/>
      <w:r w:rsidRPr="00A86393">
        <w:rPr>
          <w:sz w:val="20"/>
          <w:szCs w:val="20"/>
          <w:lang w:val="en-US"/>
        </w:rPr>
        <w:t>, buffalo), but is severely degraded due to transhumance, land clearing, hunting and bush fires.</w:t>
      </w:r>
    </w:p>
    <w:p w14:paraId="1E8E7280" w14:textId="5EDFCF44" w:rsidR="00D061E2" w:rsidRPr="00D061E2" w:rsidRDefault="6E9EFA4D" w:rsidP="00D061E2">
      <w:pPr>
        <w:pStyle w:val="Lgende"/>
        <w:keepNext/>
        <w:rPr>
          <w:rFonts w:ascii="Calibri" w:hAnsi="Calibri" w:cs="Calibri"/>
          <w:sz w:val="20"/>
          <w:szCs w:val="20"/>
          <w:lang w:val="en-US"/>
        </w:rPr>
      </w:pPr>
      <w:bookmarkStart w:id="16" w:name="_Ref199131068"/>
      <w:bookmarkStart w:id="17" w:name="_Toc199489221"/>
      <w:r w:rsidRPr="5D8904BE">
        <w:rPr>
          <w:rFonts w:ascii="Calibri" w:hAnsi="Calibri" w:cs="Calibri"/>
          <w:sz w:val="20"/>
          <w:szCs w:val="20"/>
          <w:lang w:val="en-US"/>
        </w:rPr>
        <w:t xml:space="preserve">Table </w:t>
      </w:r>
      <w:r w:rsidR="2737F924" w:rsidRPr="5D8904BE">
        <w:rPr>
          <w:rFonts w:ascii="Calibri" w:hAnsi="Calibri" w:cs="Calibri"/>
          <w:sz w:val="20"/>
          <w:szCs w:val="20"/>
        </w:rPr>
        <w:fldChar w:fldCharType="begin"/>
      </w:r>
      <w:r w:rsidR="2737F924" w:rsidRPr="5D8904BE">
        <w:rPr>
          <w:rFonts w:ascii="Calibri" w:hAnsi="Calibri" w:cs="Calibri"/>
          <w:sz w:val="20"/>
          <w:szCs w:val="20"/>
          <w:lang w:val="en-US"/>
        </w:rPr>
        <w:instrText xml:space="preserve"> SEQ Tableau \* ARABIC </w:instrText>
      </w:r>
      <w:r w:rsidR="2737F924" w:rsidRPr="5D8904BE">
        <w:rPr>
          <w:rFonts w:ascii="Calibri" w:hAnsi="Calibri" w:cs="Calibri"/>
          <w:sz w:val="20"/>
          <w:szCs w:val="20"/>
        </w:rPr>
        <w:fldChar w:fldCharType="separate"/>
      </w:r>
      <w:r w:rsidR="288B6DF6" w:rsidRPr="5D8904BE">
        <w:rPr>
          <w:rFonts w:ascii="Calibri" w:hAnsi="Calibri" w:cs="Calibri"/>
          <w:noProof/>
          <w:sz w:val="20"/>
          <w:szCs w:val="20"/>
          <w:lang w:val="en-US"/>
        </w:rPr>
        <w:t>3</w:t>
      </w:r>
      <w:r w:rsidR="2737F924" w:rsidRPr="5D8904BE">
        <w:rPr>
          <w:rFonts w:ascii="Calibri" w:hAnsi="Calibri" w:cs="Calibri"/>
          <w:sz w:val="20"/>
          <w:szCs w:val="20"/>
        </w:rPr>
        <w:fldChar w:fldCharType="end"/>
      </w:r>
      <w:r w:rsidRPr="5D8904BE">
        <w:rPr>
          <w:rFonts w:ascii="Calibri" w:hAnsi="Calibri" w:cs="Calibri"/>
          <w:sz w:val="20"/>
          <w:szCs w:val="20"/>
          <w:lang w:val="en-US"/>
        </w:rPr>
        <w:t xml:space="preserve"> State of Classified Forests in the District of Bamako</w:t>
      </w:r>
      <w:bookmarkEnd w:id="16"/>
      <w:bookmarkEnd w:id="17"/>
    </w:p>
    <w:tbl>
      <w:tblPr>
        <w:tblStyle w:val="17"/>
        <w:tblW w:w="8931" w:type="dxa"/>
        <w:tblInd w:w="0" w:type="dxa"/>
        <w:tblLayout w:type="fixed"/>
        <w:tblLook w:val="0400" w:firstRow="0" w:lastRow="0" w:firstColumn="0" w:lastColumn="0" w:noHBand="0" w:noVBand="1"/>
      </w:tblPr>
      <w:tblGrid>
        <w:gridCol w:w="615"/>
        <w:gridCol w:w="2640"/>
        <w:gridCol w:w="1275"/>
        <w:gridCol w:w="1275"/>
        <w:gridCol w:w="3126"/>
      </w:tblGrid>
      <w:tr w:rsidR="004F7DB3" w:rsidRPr="0051183A" w14:paraId="3EF85133" w14:textId="77777777" w:rsidTr="5D8904BE">
        <w:tc>
          <w:tcPr>
            <w:tcW w:w="615" w:type="dxa"/>
            <w:tcBorders>
              <w:top w:val="single" w:sz="4" w:space="0" w:color="A2C4C9"/>
              <w:bottom w:val="single" w:sz="4" w:space="0" w:color="A2C4C9"/>
            </w:tcBorders>
            <w:shd w:val="clear" w:color="auto" w:fill="A2C4C9"/>
          </w:tcPr>
          <w:p w14:paraId="00000133" w14:textId="77777777" w:rsidR="004F7DB3" w:rsidRPr="006F5E1D" w:rsidRDefault="00C00123">
            <w:pPr>
              <w:tabs>
                <w:tab w:val="left" w:pos="915"/>
              </w:tabs>
              <w:spacing w:after="0"/>
              <w:jc w:val="both"/>
              <w:rPr>
                <w:b/>
                <w:sz w:val="18"/>
                <w:szCs w:val="18"/>
              </w:rPr>
            </w:pPr>
            <w:r w:rsidRPr="006F5E1D">
              <w:rPr>
                <w:b/>
                <w:sz w:val="18"/>
                <w:szCs w:val="18"/>
              </w:rPr>
              <w:t>No.</w:t>
            </w:r>
          </w:p>
        </w:tc>
        <w:tc>
          <w:tcPr>
            <w:tcW w:w="2640" w:type="dxa"/>
            <w:tcBorders>
              <w:top w:val="single" w:sz="4" w:space="0" w:color="A2C4C9"/>
              <w:bottom w:val="single" w:sz="4" w:space="0" w:color="A2C4C9"/>
            </w:tcBorders>
            <w:shd w:val="clear" w:color="auto" w:fill="A2C4C9"/>
          </w:tcPr>
          <w:p w14:paraId="00000134" w14:textId="77777777" w:rsidR="004F7DB3" w:rsidRPr="006F5E1D" w:rsidRDefault="00C00123">
            <w:pPr>
              <w:tabs>
                <w:tab w:val="left" w:pos="915"/>
              </w:tabs>
              <w:spacing w:after="0"/>
              <w:jc w:val="both"/>
              <w:rPr>
                <w:b/>
                <w:sz w:val="18"/>
                <w:szCs w:val="18"/>
              </w:rPr>
            </w:pPr>
            <w:proofErr w:type="spellStart"/>
            <w:r w:rsidRPr="006F5E1D">
              <w:rPr>
                <w:b/>
                <w:sz w:val="18"/>
                <w:szCs w:val="18"/>
              </w:rPr>
              <w:t>Designation</w:t>
            </w:r>
            <w:proofErr w:type="spellEnd"/>
          </w:p>
        </w:tc>
        <w:tc>
          <w:tcPr>
            <w:tcW w:w="1275" w:type="dxa"/>
            <w:tcBorders>
              <w:top w:val="single" w:sz="4" w:space="0" w:color="A2C4C9"/>
              <w:bottom w:val="single" w:sz="4" w:space="0" w:color="A2C4C9"/>
            </w:tcBorders>
            <w:shd w:val="clear" w:color="auto" w:fill="A2C4C9"/>
            <w:vAlign w:val="center"/>
          </w:tcPr>
          <w:p w14:paraId="00000135" w14:textId="77777777" w:rsidR="004F7DB3" w:rsidRPr="006F5E1D" w:rsidRDefault="00C00123">
            <w:pPr>
              <w:tabs>
                <w:tab w:val="left" w:pos="915"/>
              </w:tabs>
              <w:spacing w:after="0"/>
              <w:jc w:val="center"/>
              <w:rPr>
                <w:b/>
                <w:sz w:val="18"/>
                <w:szCs w:val="18"/>
              </w:rPr>
            </w:pPr>
            <w:proofErr w:type="spellStart"/>
            <w:r w:rsidRPr="006F5E1D">
              <w:rPr>
                <w:b/>
                <w:sz w:val="18"/>
                <w:szCs w:val="18"/>
              </w:rPr>
              <w:t>Locality</w:t>
            </w:r>
            <w:proofErr w:type="spellEnd"/>
          </w:p>
        </w:tc>
        <w:tc>
          <w:tcPr>
            <w:tcW w:w="1275" w:type="dxa"/>
            <w:tcBorders>
              <w:top w:val="single" w:sz="4" w:space="0" w:color="A2C4C9"/>
              <w:bottom w:val="single" w:sz="4" w:space="0" w:color="A2C4C9"/>
            </w:tcBorders>
            <w:shd w:val="clear" w:color="auto" w:fill="A2C4C9"/>
            <w:vAlign w:val="center"/>
          </w:tcPr>
          <w:p w14:paraId="00000136" w14:textId="77777777" w:rsidR="004F7DB3" w:rsidRPr="006F5E1D" w:rsidRDefault="00C00123">
            <w:pPr>
              <w:tabs>
                <w:tab w:val="left" w:pos="915"/>
              </w:tabs>
              <w:spacing w:after="0"/>
              <w:jc w:val="center"/>
              <w:rPr>
                <w:b/>
                <w:sz w:val="18"/>
                <w:szCs w:val="18"/>
              </w:rPr>
            </w:pPr>
            <w:r w:rsidRPr="006F5E1D">
              <w:rPr>
                <w:b/>
                <w:sz w:val="18"/>
                <w:szCs w:val="18"/>
              </w:rPr>
              <w:t>Area (ha)</w:t>
            </w:r>
          </w:p>
        </w:tc>
        <w:tc>
          <w:tcPr>
            <w:tcW w:w="3126" w:type="dxa"/>
            <w:tcBorders>
              <w:top w:val="single" w:sz="4" w:space="0" w:color="A2C4C9"/>
              <w:bottom w:val="single" w:sz="4" w:space="0" w:color="A2C4C9"/>
            </w:tcBorders>
            <w:shd w:val="clear" w:color="auto" w:fill="A2C4C9"/>
            <w:vAlign w:val="center"/>
          </w:tcPr>
          <w:p w14:paraId="00000137" w14:textId="521E5EDA" w:rsidR="004F7DB3" w:rsidRPr="006F5E1D" w:rsidRDefault="2809ADD6" w:rsidP="1BB5F5E3">
            <w:pPr>
              <w:tabs>
                <w:tab w:val="left" w:pos="915"/>
              </w:tabs>
              <w:spacing w:after="0"/>
              <w:jc w:val="center"/>
              <w:rPr>
                <w:b/>
                <w:bCs/>
                <w:sz w:val="18"/>
                <w:szCs w:val="18"/>
              </w:rPr>
            </w:pPr>
            <w:r w:rsidRPr="006F5E1D">
              <w:rPr>
                <w:b/>
                <w:bCs/>
                <w:sz w:val="18"/>
                <w:szCs w:val="18"/>
              </w:rPr>
              <w:t>Reference</w:t>
            </w:r>
            <w:r w:rsidR="112083B7" w:rsidRPr="006F5E1D">
              <w:rPr>
                <w:b/>
                <w:bCs/>
                <w:sz w:val="18"/>
                <w:szCs w:val="18"/>
              </w:rPr>
              <w:t xml:space="preserve"> of classification</w:t>
            </w:r>
          </w:p>
        </w:tc>
      </w:tr>
      <w:tr w:rsidR="004F7DB3" w:rsidRPr="00F50786" w14:paraId="574FDC88" w14:textId="77777777" w:rsidTr="5D8904BE">
        <w:tc>
          <w:tcPr>
            <w:tcW w:w="615" w:type="dxa"/>
            <w:tcBorders>
              <w:top w:val="single" w:sz="4" w:space="0" w:color="A2C4C9"/>
            </w:tcBorders>
            <w:vAlign w:val="center"/>
          </w:tcPr>
          <w:p w14:paraId="00000138" w14:textId="77777777" w:rsidR="004F7DB3" w:rsidRPr="006F5E1D" w:rsidRDefault="00C00123">
            <w:pPr>
              <w:tabs>
                <w:tab w:val="left" w:pos="915"/>
              </w:tabs>
              <w:spacing w:after="0"/>
              <w:rPr>
                <w:sz w:val="18"/>
                <w:szCs w:val="18"/>
              </w:rPr>
            </w:pPr>
            <w:r w:rsidRPr="006F5E1D">
              <w:rPr>
                <w:sz w:val="18"/>
                <w:szCs w:val="18"/>
              </w:rPr>
              <w:t>01</w:t>
            </w:r>
          </w:p>
        </w:tc>
        <w:tc>
          <w:tcPr>
            <w:tcW w:w="2640" w:type="dxa"/>
            <w:tcBorders>
              <w:top w:val="single" w:sz="4" w:space="0" w:color="A2C4C9"/>
            </w:tcBorders>
            <w:vAlign w:val="center"/>
          </w:tcPr>
          <w:p w14:paraId="00000139" w14:textId="77777777" w:rsidR="004F7DB3" w:rsidRPr="006F5E1D" w:rsidRDefault="00C00123">
            <w:pPr>
              <w:tabs>
                <w:tab w:val="left" w:pos="915"/>
              </w:tabs>
              <w:spacing w:after="0"/>
              <w:rPr>
                <w:sz w:val="18"/>
                <w:szCs w:val="18"/>
                <w:lang w:val="en-US"/>
              </w:rPr>
            </w:pPr>
            <w:r w:rsidRPr="006F5E1D">
              <w:rPr>
                <w:sz w:val="18"/>
                <w:szCs w:val="18"/>
                <w:lang w:val="en-US"/>
              </w:rPr>
              <w:t>Classified forest of the Mandinka Mountains</w:t>
            </w:r>
          </w:p>
        </w:tc>
        <w:tc>
          <w:tcPr>
            <w:tcW w:w="1275" w:type="dxa"/>
            <w:tcBorders>
              <w:top w:val="single" w:sz="4" w:space="0" w:color="A2C4C9"/>
            </w:tcBorders>
            <w:vAlign w:val="center"/>
          </w:tcPr>
          <w:p w14:paraId="0000013A" w14:textId="77777777" w:rsidR="004F7DB3" w:rsidRPr="006F5E1D" w:rsidRDefault="00C00123">
            <w:pPr>
              <w:tabs>
                <w:tab w:val="left" w:pos="915"/>
              </w:tabs>
              <w:spacing w:after="0"/>
              <w:jc w:val="center"/>
              <w:rPr>
                <w:sz w:val="18"/>
                <w:szCs w:val="18"/>
              </w:rPr>
            </w:pPr>
            <w:r w:rsidRPr="006F5E1D">
              <w:rPr>
                <w:sz w:val="18"/>
                <w:szCs w:val="18"/>
              </w:rPr>
              <w:t>Kati</w:t>
            </w:r>
          </w:p>
        </w:tc>
        <w:tc>
          <w:tcPr>
            <w:tcW w:w="1275" w:type="dxa"/>
            <w:tcBorders>
              <w:top w:val="single" w:sz="4" w:space="0" w:color="A2C4C9"/>
            </w:tcBorders>
            <w:vAlign w:val="center"/>
          </w:tcPr>
          <w:p w14:paraId="0000013B" w14:textId="77777777" w:rsidR="004F7DB3" w:rsidRPr="006F5E1D" w:rsidRDefault="00C00123">
            <w:pPr>
              <w:tabs>
                <w:tab w:val="left" w:pos="915"/>
              </w:tabs>
              <w:spacing w:after="0"/>
              <w:jc w:val="center"/>
              <w:rPr>
                <w:sz w:val="18"/>
                <w:szCs w:val="18"/>
              </w:rPr>
            </w:pPr>
            <w:r w:rsidRPr="006F5E1D">
              <w:rPr>
                <w:sz w:val="18"/>
                <w:szCs w:val="18"/>
              </w:rPr>
              <w:t>14 579</w:t>
            </w:r>
          </w:p>
        </w:tc>
        <w:tc>
          <w:tcPr>
            <w:tcW w:w="3126" w:type="dxa"/>
            <w:tcBorders>
              <w:top w:val="single" w:sz="4" w:space="0" w:color="A2C4C9"/>
            </w:tcBorders>
            <w:vAlign w:val="center"/>
          </w:tcPr>
          <w:p w14:paraId="0000013C" w14:textId="77777777" w:rsidR="004F7DB3" w:rsidRPr="006F5E1D" w:rsidRDefault="00C00123">
            <w:pPr>
              <w:tabs>
                <w:tab w:val="left" w:pos="915"/>
              </w:tabs>
              <w:spacing w:after="0"/>
              <w:rPr>
                <w:sz w:val="18"/>
                <w:szCs w:val="18"/>
                <w:lang w:val="en-US"/>
              </w:rPr>
            </w:pPr>
            <w:r w:rsidRPr="006F5E1D">
              <w:rPr>
                <w:sz w:val="18"/>
                <w:szCs w:val="18"/>
                <w:lang w:val="en-US"/>
              </w:rPr>
              <w:t>Order No. 5197 SE/F of 07/12/1946</w:t>
            </w:r>
          </w:p>
        </w:tc>
      </w:tr>
      <w:tr w:rsidR="004F7DB3" w:rsidRPr="0051183A" w14:paraId="2DCC206E" w14:textId="77777777" w:rsidTr="5D8904BE">
        <w:tc>
          <w:tcPr>
            <w:tcW w:w="615" w:type="dxa"/>
            <w:vAlign w:val="center"/>
          </w:tcPr>
          <w:p w14:paraId="0000013D" w14:textId="77777777" w:rsidR="004F7DB3" w:rsidRPr="006F5E1D" w:rsidRDefault="00C00123">
            <w:pPr>
              <w:tabs>
                <w:tab w:val="left" w:pos="915"/>
              </w:tabs>
              <w:spacing w:after="0"/>
              <w:rPr>
                <w:sz w:val="18"/>
                <w:szCs w:val="18"/>
              </w:rPr>
            </w:pPr>
            <w:r w:rsidRPr="006F5E1D">
              <w:rPr>
                <w:sz w:val="18"/>
                <w:szCs w:val="18"/>
              </w:rPr>
              <w:t xml:space="preserve">02 </w:t>
            </w:r>
          </w:p>
        </w:tc>
        <w:tc>
          <w:tcPr>
            <w:tcW w:w="2640" w:type="dxa"/>
            <w:vAlign w:val="center"/>
          </w:tcPr>
          <w:p w14:paraId="0000013E" w14:textId="77777777" w:rsidR="004F7DB3" w:rsidRPr="006F5E1D" w:rsidRDefault="552CE4D7">
            <w:pPr>
              <w:tabs>
                <w:tab w:val="left" w:pos="915"/>
              </w:tabs>
              <w:spacing w:after="0"/>
              <w:rPr>
                <w:sz w:val="18"/>
                <w:szCs w:val="18"/>
              </w:rPr>
            </w:pPr>
            <w:proofErr w:type="spellStart"/>
            <w:r w:rsidRPr="006F5E1D">
              <w:rPr>
                <w:sz w:val="18"/>
                <w:szCs w:val="18"/>
              </w:rPr>
              <w:t>Faya</w:t>
            </w:r>
            <w:proofErr w:type="spellEnd"/>
            <w:r w:rsidRPr="006F5E1D">
              <w:rPr>
                <w:sz w:val="18"/>
                <w:szCs w:val="18"/>
              </w:rPr>
              <w:t xml:space="preserve"> </w:t>
            </w:r>
            <w:proofErr w:type="spellStart"/>
            <w:r w:rsidRPr="006F5E1D">
              <w:rPr>
                <w:sz w:val="18"/>
                <w:szCs w:val="18"/>
              </w:rPr>
              <w:t>classified</w:t>
            </w:r>
            <w:proofErr w:type="spellEnd"/>
            <w:r w:rsidRPr="006F5E1D">
              <w:rPr>
                <w:sz w:val="18"/>
                <w:szCs w:val="18"/>
              </w:rPr>
              <w:t xml:space="preserve"> </w:t>
            </w:r>
            <w:proofErr w:type="spellStart"/>
            <w:r w:rsidRPr="006F5E1D">
              <w:rPr>
                <w:sz w:val="18"/>
                <w:szCs w:val="18"/>
              </w:rPr>
              <w:t>forest</w:t>
            </w:r>
            <w:proofErr w:type="spellEnd"/>
          </w:p>
        </w:tc>
        <w:tc>
          <w:tcPr>
            <w:tcW w:w="1275" w:type="dxa"/>
            <w:vAlign w:val="center"/>
          </w:tcPr>
          <w:p w14:paraId="0000013F" w14:textId="77777777" w:rsidR="004F7DB3" w:rsidRPr="006F5E1D" w:rsidRDefault="552CE4D7">
            <w:pPr>
              <w:tabs>
                <w:tab w:val="left" w:pos="915"/>
              </w:tabs>
              <w:spacing w:after="0"/>
              <w:jc w:val="center"/>
              <w:rPr>
                <w:sz w:val="18"/>
                <w:szCs w:val="18"/>
              </w:rPr>
            </w:pPr>
            <w:r w:rsidRPr="006F5E1D">
              <w:rPr>
                <w:sz w:val="18"/>
                <w:szCs w:val="18"/>
              </w:rPr>
              <w:t xml:space="preserve">Kati/ </w:t>
            </w:r>
            <w:proofErr w:type="spellStart"/>
            <w:r w:rsidRPr="006F5E1D">
              <w:rPr>
                <w:sz w:val="18"/>
                <w:szCs w:val="18"/>
              </w:rPr>
              <w:t>Dioila</w:t>
            </w:r>
            <w:proofErr w:type="spellEnd"/>
          </w:p>
        </w:tc>
        <w:tc>
          <w:tcPr>
            <w:tcW w:w="1275" w:type="dxa"/>
            <w:vAlign w:val="center"/>
          </w:tcPr>
          <w:p w14:paraId="00000140" w14:textId="77777777" w:rsidR="004F7DB3" w:rsidRPr="006F5E1D" w:rsidRDefault="00C00123">
            <w:pPr>
              <w:tabs>
                <w:tab w:val="left" w:pos="915"/>
              </w:tabs>
              <w:spacing w:after="0"/>
              <w:jc w:val="center"/>
              <w:rPr>
                <w:sz w:val="18"/>
                <w:szCs w:val="18"/>
              </w:rPr>
            </w:pPr>
            <w:r w:rsidRPr="006F5E1D">
              <w:rPr>
                <w:sz w:val="18"/>
                <w:szCs w:val="18"/>
              </w:rPr>
              <w:t>79 822</w:t>
            </w:r>
          </w:p>
        </w:tc>
        <w:tc>
          <w:tcPr>
            <w:tcW w:w="3126" w:type="dxa"/>
            <w:vAlign w:val="center"/>
          </w:tcPr>
          <w:p w14:paraId="00000141" w14:textId="77777777" w:rsidR="004F7DB3" w:rsidRPr="006F5E1D" w:rsidRDefault="552CE4D7">
            <w:pPr>
              <w:tabs>
                <w:tab w:val="left" w:pos="915"/>
              </w:tabs>
              <w:spacing w:after="0"/>
              <w:rPr>
                <w:sz w:val="18"/>
                <w:szCs w:val="18"/>
              </w:rPr>
            </w:pPr>
            <w:proofErr w:type="spellStart"/>
            <w:r w:rsidRPr="006F5E1D">
              <w:rPr>
                <w:sz w:val="18"/>
                <w:szCs w:val="18"/>
              </w:rPr>
              <w:t>Order</w:t>
            </w:r>
            <w:proofErr w:type="spellEnd"/>
            <w:r w:rsidRPr="006F5E1D">
              <w:rPr>
                <w:sz w:val="18"/>
                <w:szCs w:val="18"/>
              </w:rPr>
              <w:t xml:space="preserve"> No. 4054/SE of 27/11/1945</w:t>
            </w:r>
          </w:p>
        </w:tc>
      </w:tr>
      <w:tr w:rsidR="004F7DB3" w:rsidRPr="0051183A" w14:paraId="0B04D955" w14:textId="77777777" w:rsidTr="5D8904BE">
        <w:tc>
          <w:tcPr>
            <w:tcW w:w="615" w:type="dxa"/>
            <w:vAlign w:val="center"/>
          </w:tcPr>
          <w:p w14:paraId="00000142" w14:textId="77777777" w:rsidR="004F7DB3" w:rsidRPr="006F5E1D" w:rsidRDefault="00C00123">
            <w:pPr>
              <w:tabs>
                <w:tab w:val="left" w:pos="915"/>
              </w:tabs>
              <w:spacing w:after="0"/>
              <w:rPr>
                <w:sz w:val="18"/>
                <w:szCs w:val="18"/>
              </w:rPr>
            </w:pPr>
            <w:r w:rsidRPr="006F5E1D">
              <w:rPr>
                <w:sz w:val="18"/>
                <w:szCs w:val="18"/>
              </w:rPr>
              <w:t>03</w:t>
            </w:r>
          </w:p>
        </w:tc>
        <w:tc>
          <w:tcPr>
            <w:tcW w:w="2640" w:type="dxa"/>
            <w:vAlign w:val="center"/>
          </w:tcPr>
          <w:p w14:paraId="00000143" w14:textId="77777777" w:rsidR="004F7DB3" w:rsidRPr="006F5E1D" w:rsidRDefault="552CE4D7">
            <w:pPr>
              <w:tabs>
                <w:tab w:val="left" w:pos="915"/>
              </w:tabs>
              <w:spacing w:after="0"/>
              <w:rPr>
                <w:sz w:val="18"/>
                <w:szCs w:val="18"/>
              </w:rPr>
            </w:pPr>
            <w:proofErr w:type="spellStart"/>
            <w:r w:rsidRPr="006F5E1D">
              <w:rPr>
                <w:sz w:val="18"/>
                <w:szCs w:val="18"/>
              </w:rPr>
              <w:t>Tienfala</w:t>
            </w:r>
            <w:proofErr w:type="spellEnd"/>
            <w:r w:rsidRPr="006F5E1D">
              <w:rPr>
                <w:sz w:val="18"/>
                <w:szCs w:val="18"/>
              </w:rPr>
              <w:t xml:space="preserve"> </w:t>
            </w:r>
            <w:proofErr w:type="spellStart"/>
            <w:r w:rsidRPr="006F5E1D">
              <w:rPr>
                <w:sz w:val="18"/>
                <w:szCs w:val="18"/>
              </w:rPr>
              <w:t>Classified</w:t>
            </w:r>
            <w:proofErr w:type="spellEnd"/>
            <w:r w:rsidRPr="006F5E1D">
              <w:rPr>
                <w:sz w:val="18"/>
                <w:szCs w:val="18"/>
              </w:rPr>
              <w:t xml:space="preserve"> Forest</w:t>
            </w:r>
          </w:p>
        </w:tc>
        <w:tc>
          <w:tcPr>
            <w:tcW w:w="1275" w:type="dxa"/>
            <w:vAlign w:val="center"/>
          </w:tcPr>
          <w:p w14:paraId="00000144" w14:textId="77777777" w:rsidR="004F7DB3" w:rsidRPr="006F5E1D" w:rsidRDefault="00C00123">
            <w:pPr>
              <w:tabs>
                <w:tab w:val="left" w:pos="915"/>
              </w:tabs>
              <w:spacing w:after="0"/>
              <w:jc w:val="center"/>
              <w:rPr>
                <w:sz w:val="18"/>
                <w:szCs w:val="18"/>
              </w:rPr>
            </w:pPr>
            <w:r w:rsidRPr="006F5E1D">
              <w:rPr>
                <w:sz w:val="18"/>
                <w:szCs w:val="18"/>
              </w:rPr>
              <w:t>Kati</w:t>
            </w:r>
          </w:p>
        </w:tc>
        <w:tc>
          <w:tcPr>
            <w:tcW w:w="1275" w:type="dxa"/>
            <w:vAlign w:val="center"/>
          </w:tcPr>
          <w:p w14:paraId="00000145" w14:textId="77777777" w:rsidR="004F7DB3" w:rsidRPr="006F5E1D" w:rsidRDefault="00C00123">
            <w:pPr>
              <w:tabs>
                <w:tab w:val="left" w:pos="915"/>
              </w:tabs>
              <w:spacing w:after="0"/>
              <w:jc w:val="center"/>
              <w:rPr>
                <w:sz w:val="18"/>
                <w:szCs w:val="18"/>
              </w:rPr>
            </w:pPr>
            <w:r w:rsidRPr="006F5E1D">
              <w:rPr>
                <w:sz w:val="18"/>
                <w:szCs w:val="18"/>
              </w:rPr>
              <w:t>3 000</w:t>
            </w:r>
          </w:p>
        </w:tc>
        <w:tc>
          <w:tcPr>
            <w:tcW w:w="3126" w:type="dxa"/>
            <w:vAlign w:val="center"/>
          </w:tcPr>
          <w:p w14:paraId="00000146" w14:textId="77777777" w:rsidR="004F7DB3" w:rsidRPr="006F5E1D" w:rsidRDefault="552CE4D7">
            <w:pPr>
              <w:tabs>
                <w:tab w:val="left" w:pos="915"/>
              </w:tabs>
              <w:spacing w:after="0"/>
              <w:rPr>
                <w:sz w:val="18"/>
                <w:szCs w:val="18"/>
              </w:rPr>
            </w:pPr>
            <w:proofErr w:type="spellStart"/>
            <w:r w:rsidRPr="006F5E1D">
              <w:rPr>
                <w:sz w:val="18"/>
                <w:szCs w:val="18"/>
              </w:rPr>
              <w:t>Order</w:t>
            </w:r>
            <w:proofErr w:type="spellEnd"/>
            <w:r w:rsidRPr="006F5E1D">
              <w:rPr>
                <w:sz w:val="18"/>
                <w:szCs w:val="18"/>
              </w:rPr>
              <w:t xml:space="preserve"> No. 0223 of 21/01/1939</w:t>
            </w:r>
          </w:p>
        </w:tc>
      </w:tr>
      <w:tr w:rsidR="004F7DB3" w:rsidRPr="0051183A" w14:paraId="54123C4A" w14:textId="77777777" w:rsidTr="5D8904BE">
        <w:tc>
          <w:tcPr>
            <w:tcW w:w="615" w:type="dxa"/>
            <w:vAlign w:val="center"/>
          </w:tcPr>
          <w:p w14:paraId="00000147" w14:textId="77777777" w:rsidR="004F7DB3" w:rsidRPr="006F5E1D" w:rsidRDefault="00C00123">
            <w:pPr>
              <w:tabs>
                <w:tab w:val="left" w:pos="915"/>
              </w:tabs>
              <w:spacing w:after="0"/>
              <w:rPr>
                <w:sz w:val="18"/>
                <w:szCs w:val="18"/>
              </w:rPr>
            </w:pPr>
            <w:r w:rsidRPr="006F5E1D">
              <w:rPr>
                <w:sz w:val="18"/>
                <w:szCs w:val="18"/>
              </w:rPr>
              <w:t>04</w:t>
            </w:r>
          </w:p>
        </w:tc>
        <w:tc>
          <w:tcPr>
            <w:tcW w:w="2640" w:type="dxa"/>
            <w:vAlign w:val="center"/>
          </w:tcPr>
          <w:p w14:paraId="00000148" w14:textId="77777777" w:rsidR="004F7DB3" w:rsidRPr="006F5E1D" w:rsidRDefault="552CE4D7">
            <w:pPr>
              <w:tabs>
                <w:tab w:val="left" w:pos="915"/>
              </w:tabs>
              <w:spacing w:after="0"/>
              <w:rPr>
                <w:sz w:val="18"/>
                <w:szCs w:val="18"/>
              </w:rPr>
            </w:pPr>
            <w:r w:rsidRPr="006F5E1D">
              <w:rPr>
                <w:sz w:val="18"/>
                <w:szCs w:val="18"/>
              </w:rPr>
              <w:t xml:space="preserve">Koulouba </w:t>
            </w:r>
            <w:proofErr w:type="spellStart"/>
            <w:r w:rsidRPr="006F5E1D">
              <w:rPr>
                <w:sz w:val="18"/>
                <w:szCs w:val="18"/>
              </w:rPr>
              <w:t>classified</w:t>
            </w:r>
            <w:proofErr w:type="spellEnd"/>
            <w:r w:rsidRPr="006F5E1D">
              <w:rPr>
                <w:sz w:val="18"/>
                <w:szCs w:val="18"/>
              </w:rPr>
              <w:t xml:space="preserve"> </w:t>
            </w:r>
            <w:proofErr w:type="spellStart"/>
            <w:r w:rsidRPr="006F5E1D">
              <w:rPr>
                <w:sz w:val="18"/>
                <w:szCs w:val="18"/>
              </w:rPr>
              <w:t>forest</w:t>
            </w:r>
            <w:proofErr w:type="spellEnd"/>
          </w:p>
        </w:tc>
        <w:tc>
          <w:tcPr>
            <w:tcW w:w="1275" w:type="dxa"/>
            <w:vAlign w:val="center"/>
          </w:tcPr>
          <w:p w14:paraId="00000149" w14:textId="77777777" w:rsidR="004F7DB3" w:rsidRPr="006F5E1D" w:rsidRDefault="00C00123">
            <w:pPr>
              <w:tabs>
                <w:tab w:val="left" w:pos="915"/>
              </w:tabs>
              <w:spacing w:after="0"/>
              <w:jc w:val="center"/>
              <w:rPr>
                <w:sz w:val="18"/>
                <w:szCs w:val="18"/>
              </w:rPr>
            </w:pPr>
            <w:r w:rsidRPr="006F5E1D">
              <w:rPr>
                <w:sz w:val="18"/>
                <w:szCs w:val="18"/>
              </w:rPr>
              <w:t>District of Bamako</w:t>
            </w:r>
          </w:p>
        </w:tc>
        <w:tc>
          <w:tcPr>
            <w:tcW w:w="1275" w:type="dxa"/>
            <w:vAlign w:val="center"/>
          </w:tcPr>
          <w:p w14:paraId="0000014A" w14:textId="77777777" w:rsidR="004F7DB3" w:rsidRPr="006F5E1D" w:rsidRDefault="00C00123">
            <w:pPr>
              <w:tabs>
                <w:tab w:val="left" w:pos="915"/>
              </w:tabs>
              <w:spacing w:after="0"/>
              <w:jc w:val="center"/>
              <w:rPr>
                <w:sz w:val="18"/>
                <w:szCs w:val="18"/>
              </w:rPr>
            </w:pPr>
            <w:r w:rsidRPr="006F5E1D">
              <w:rPr>
                <w:sz w:val="18"/>
                <w:szCs w:val="18"/>
              </w:rPr>
              <w:t>2010</w:t>
            </w:r>
          </w:p>
        </w:tc>
        <w:tc>
          <w:tcPr>
            <w:tcW w:w="3126" w:type="dxa"/>
            <w:vAlign w:val="center"/>
          </w:tcPr>
          <w:p w14:paraId="0000014B" w14:textId="77777777" w:rsidR="004F7DB3" w:rsidRPr="006F5E1D" w:rsidRDefault="552CE4D7">
            <w:pPr>
              <w:tabs>
                <w:tab w:val="left" w:pos="915"/>
              </w:tabs>
              <w:spacing w:after="0"/>
              <w:rPr>
                <w:sz w:val="18"/>
                <w:szCs w:val="18"/>
              </w:rPr>
            </w:pPr>
            <w:proofErr w:type="spellStart"/>
            <w:r w:rsidRPr="006F5E1D">
              <w:rPr>
                <w:sz w:val="18"/>
                <w:szCs w:val="18"/>
              </w:rPr>
              <w:t>Order</w:t>
            </w:r>
            <w:proofErr w:type="spellEnd"/>
            <w:r w:rsidRPr="006F5E1D">
              <w:rPr>
                <w:sz w:val="18"/>
                <w:szCs w:val="18"/>
              </w:rPr>
              <w:t xml:space="preserve"> N°1438 / SEF of 28 / 06 / 1935</w:t>
            </w:r>
          </w:p>
        </w:tc>
      </w:tr>
      <w:tr w:rsidR="004F7DB3" w:rsidRPr="0051183A" w14:paraId="5A9FB561" w14:textId="77777777" w:rsidTr="5D8904BE">
        <w:tc>
          <w:tcPr>
            <w:tcW w:w="615" w:type="dxa"/>
            <w:vAlign w:val="center"/>
          </w:tcPr>
          <w:p w14:paraId="0000014C" w14:textId="77777777" w:rsidR="004F7DB3" w:rsidRPr="006F5E1D" w:rsidRDefault="00C00123">
            <w:pPr>
              <w:tabs>
                <w:tab w:val="left" w:pos="915"/>
              </w:tabs>
              <w:spacing w:after="0"/>
              <w:rPr>
                <w:sz w:val="18"/>
                <w:szCs w:val="18"/>
              </w:rPr>
            </w:pPr>
            <w:r w:rsidRPr="006F5E1D">
              <w:rPr>
                <w:sz w:val="18"/>
                <w:szCs w:val="18"/>
              </w:rPr>
              <w:t>05</w:t>
            </w:r>
          </w:p>
        </w:tc>
        <w:tc>
          <w:tcPr>
            <w:tcW w:w="2640" w:type="dxa"/>
            <w:vAlign w:val="center"/>
          </w:tcPr>
          <w:p w14:paraId="0000014D" w14:textId="77777777" w:rsidR="004F7DB3" w:rsidRPr="006F5E1D" w:rsidRDefault="552CE4D7">
            <w:pPr>
              <w:tabs>
                <w:tab w:val="left" w:pos="915"/>
              </w:tabs>
              <w:spacing w:after="0"/>
              <w:rPr>
                <w:sz w:val="18"/>
                <w:szCs w:val="18"/>
              </w:rPr>
            </w:pPr>
            <w:proofErr w:type="spellStart"/>
            <w:r w:rsidRPr="006F5E1D">
              <w:rPr>
                <w:sz w:val="18"/>
                <w:szCs w:val="18"/>
              </w:rPr>
              <w:t>Classified</w:t>
            </w:r>
            <w:proofErr w:type="spellEnd"/>
            <w:r w:rsidRPr="006F5E1D">
              <w:rPr>
                <w:sz w:val="18"/>
                <w:szCs w:val="18"/>
              </w:rPr>
              <w:t xml:space="preserve"> </w:t>
            </w:r>
            <w:proofErr w:type="spellStart"/>
            <w:r w:rsidRPr="006F5E1D">
              <w:rPr>
                <w:sz w:val="18"/>
                <w:szCs w:val="18"/>
              </w:rPr>
              <w:t>forest</w:t>
            </w:r>
            <w:proofErr w:type="spellEnd"/>
            <w:r w:rsidRPr="006F5E1D">
              <w:rPr>
                <w:sz w:val="18"/>
                <w:szCs w:val="18"/>
              </w:rPr>
              <w:t xml:space="preserve"> of </w:t>
            </w:r>
            <w:proofErr w:type="spellStart"/>
            <w:r w:rsidRPr="006F5E1D">
              <w:rPr>
                <w:sz w:val="18"/>
                <w:szCs w:val="18"/>
              </w:rPr>
              <w:t>Djinina</w:t>
            </w:r>
            <w:proofErr w:type="spellEnd"/>
          </w:p>
        </w:tc>
        <w:tc>
          <w:tcPr>
            <w:tcW w:w="1275" w:type="dxa"/>
            <w:vAlign w:val="center"/>
          </w:tcPr>
          <w:p w14:paraId="0000014E" w14:textId="77777777" w:rsidR="004F7DB3" w:rsidRPr="006F5E1D" w:rsidRDefault="00C00123">
            <w:pPr>
              <w:tabs>
                <w:tab w:val="left" w:pos="915"/>
              </w:tabs>
              <w:spacing w:after="0"/>
              <w:jc w:val="center"/>
              <w:rPr>
                <w:sz w:val="18"/>
                <w:szCs w:val="18"/>
              </w:rPr>
            </w:pPr>
            <w:r w:rsidRPr="006F5E1D">
              <w:rPr>
                <w:sz w:val="18"/>
                <w:szCs w:val="18"/>
              </w:rPr>
              <w:t>Kati</w:t>
            </w:r>
          </w:p>
        </w:tc>
        <w:tc>
          <w:tcPr>
            <w:tcW w:w="1275" w:type="dxa"/>
            <w:vAlign w:val="center"/>
          </w:tcPr>
          <w:p w14:paraId="0000014F" w14:textId="77777777" w:rsidR="004F7DB3" w:rsidRPr="006F5E1D" w:rsidRDefault="00C00123">
            <w:pPr>
              <w:tabs>
                <w:tab w:val="left" w:pos="915"/>
              </w:tabs>
              <w:spacing w:after="0"/>
              <w:jc w:val="center"/>
              <w:rPr>
                <w:sz w:val="18"/>
                <w:szCs w:val="18"/>
              </w:rPr>
            </w:pPr>
            <w:r w:rsidRPr="006F5E1D">
              <w:rPr>
                <w:sz w:val="18"/>
                <w:szCs w:val="18"/>
              </w:rPr>
              <w:t>9029</w:t>
            </w:r>
          </w:p>
        </w:tc>
        <w:tc>
          <w:tcPr>
            <w:tcW w:w="3126" w:type="dxa"/>
            <w:vAlign w:val="center"/>
          </w:tcPr>
          <w:p w14:paraId="00000150" w14:textId="77777777" w:rsidR="004F7DB3" w:rsidRPr="006F5E1D" w:rsidRDefault="552CE4D7">
            <w:pPr>
              <w:tabs>
                <w:tab w:val="left" w:pos="915"/>
              </w:tabs>
              <w:spacing w:after="0"/>
              <w:jc w:val="both"/>
              <w:rPr>
                <w:sz w:val="18"/>
                <w:szCs w:val="18"/>
              </w:rPr>
            </w:pPr>
            <w:proofErr w:type="spellStart"/>
            <w:r w:rsidRPr="006F5E1D">
              <w:rPr>
                <w:sz w:val="18"/>
                <w:szCs w:val="18"/>
              </w:rPr>
              <w:t>Order</w:t>
            </w:r>
            <w:proofErr w:type="spellEnd"/>
            <w:r w:rsidRPr="006F5E1D">
              <w:rPr>
                <w:sz w:val="18"/>
                <w:szCs w:val="18"/>
              </w:rPr>
              <w:t xml:space="preserve"> No. 5893 of 25/01/1944</w:t>
            </w:r>
          </w:p>
        </w:tc>
      </w:tr>
      <w:tr w:rsidR="004F7DB3" w:rsidRPr="00F50786" w14:paraId="3BFE238E" w14:textId="77777777" w:rsidTr="5D8904BE">
        <w:tc>
          <w:tcPr>
            <w:tcW w:w="615" w:type="dxa"/>
            <w:vAlign w:val="center"/>
          </w:tcPr>
          <w:p w14:paraId="00000151" w14:textId="77777777" w:rsidR="004F7DB3" w:rsidRPr="006F5E1D" w:rsidRDefault="00C00123">
            <w:pPr>
              <w:tabs>
                <w:tab w:val="left" w:pos="915"/>
              </w:tabs>
              <w:spacing w:after="0"/>
              <w:rPr>
                <w:sz w:val="18"/>
                <w:szCs w:val="18"/>
              </w:rPr>
            </w:pPr>
            <w:r w:rsidRPr="006F5E1D">
              <w:rPr>
                <w:sz w:val="18"/>
                <w:szCs w:val="18"/>
              </w:rPr>
              <w:t>06</w:t>
            </w:r>
          </w:p>
        </w:tc>
        <w:tc>
          <w:tcPr>
            <w:tcW w:w="2640" w:type="dxa"/>
            <w:vAlign w:val="center"/>
          </w:tcPr>
          <w:p w14:paraId="00000152" w14:textId="77777777" w:rsidR="004F7DB3" w:rsidRPr="006F5E1D" w:rsidRDefault="552CE4D7">
            <w:pPr>
              <w:tabs>
                <w:tab w:val="left" w:pos="915"/>
              </w:tabs>
              <w:spacing w:after="0"/>
              <w:rPr>
                <w:sz w:val="18"/>
                <w:szCs w:val="18"/>
              </w:rPr>
            </w:pPr>
            <w:proofErr w:type="spellStart"/>
            <w:r w:rsidRPr="006F5E1D">
              <w:rPr>
                <w:sz w:val="18"/>
                <w:szCs w:val="18"/>
              </w:rPr>
              <w:t>Keniébaoulé</w:t>
            </w:r>
            <w:proofErr w:type="spellEnd"/>
            <w:r w:rsidRPr="006F5E1D">
              <w:rPr>
                <w:sz w:val="18"/>
                <w:szCs w:val="18"/>
              </w:rPr>
              <w:t xml:space="preserve"> </w:t>
            </w:r>
            <w:proofErr w:type="spellStart"/>
            <w:r w:rsidRPr="006F5E1D">
              <w:rPr>
                <w:sz w:val="18"/>
                <w:szCs w:val="18"/>
              </w:rPr>
              <w:t>classified</w:t>
            </w:r>
            <w:proofErr w:type="spellEnd"/>
            <w:r w:rsidRPr="006F5E1D">
              <w:rPr>
                <w:sz w:val="18"/>
                <w:szCs w:val="18"/>
              </w:rPr>
              <w:t xml:space="preserve"> </w:t>
            </w:r>
            <w:proofErr w:type="spellStart"/>
            <w:r w:rsidRPr="006F5E1D">
              <w:rPr>
                <w:sz w:val="18"/>
                <w:szCs w:val="18"/>
              </w:rPr>
              <w:t>forest</w:t>
            </w:r>
            <w:proofErr w:type="spellEnd"/>
          </w:p>
        </w:tc>
        <w:tc>
          <w:tcPr>
            <w:tcW w:w="1275" w:type="dxa"/>
            <w:vAlign w:val="center"/>
          </w:tcPr>
          <w:p w14:paraId="00000153" w14:textId="77777777" w:rsidR="004F7DB3" w:rsidRPr="006F5E1D" w:rsidRDefault="00C00123">
            <w:pPr>
              <w:tabs>
                <w:tab w:val="left" w:pos="915"/>
              </w:tabs>
              <w:spacing w:after="0"/>
              <w:jc w:val="center"/>
              <w:rPr>
                <w:sz w:val="18"/>
                <w:szCs w:val="18"/>
              </w:rPr>
            </w:pPr>
            <w:r w:rsidRPr="006F5E1D">
              <w:rPr>
                <w:sz w:val="18"/>
                <w:szCs w:val="18"/>
              </w:rPr>
              <w:t>Kati</w:t>
            </w:r>
          </w:p>
        </w:tc>
        <w:tc>
          <w:tcPr>
            <w:tcW w:w="1275" w:type="dxa"/>
            <w:vAlign w:val="center"/>
          </w:tcPr>
          <w:p w14:paraId="00000154" w14:textId="77777777" w:rsidR="004F7DB3" w:rsidRPr="006F5E1D" w:rsidRDefault="00C00123">
            <w:pPr>
              <w:tabs>
                <w:tab w:val="left" w:pos="915"/>
              </w:tabs>
              <w:spacing w:after="0"/>
              <w:jc w:val="center"/>
              <w:rPr>
                <w:sz w:val="18"/>
                <w:szCs w:val="18"/>
              </w:rPr>
            </w:pPr>
            <w:r w:rsidRPr="006F5E1D">
              <w:rPr>
                <w:sz w:val="18"/>
                <w:szCs w:val="18"/>
              </w:rPr>
              <w:t xml:space="preserve">67500 </w:t>
            </w:r>
          </w:p>
        </w:tc>
        <w:tc>
          <w:tcPr>
            <w:tcW w:w="3126" w:type="dxa"/>
            <w:vAlign w:val="center"/>
          </w:tcPr>
          <w:p w14:paraId="00000155" w14:textId="77777777" w:rsidR="004F7DB3" w:rsidRPr="006F5E1D" w:rsidRDefault="00C00123">
            <w:pPr>
              <w:tabs>
                <w:tab w:val="left" w:pos="915"/>
              </w:tabs>
              <w:spacing w:after="0"/>
              <w:rPr>
                <w:sz w:val="18"/>
                <w:szCs w:val="18"/>
                <w:lang w:val="en-US"/>
              </w:rPr>
            </w:pPr>
            <w:r w:rsidRPr="006F5E1D">
              <w:rPr>
                <w:sz w:val="18"/>
                <w:szCs w:val="18"/>
                <w:lang w:val="en-US"/>
              </w:rPr>
              <w:t>Order No. 2.948/SE-EF of 15/04 /1954</w:t>
            </w:r>
          </w:p>
        </w:tc>
      </w:tr>
    </w:tbl>
    <w:p w14:paraId="00000156" w14:textId="0CC86A6C" w:rsidR="004F7DB3" w:rsidRPr="00A86393" w:rsidRDefault="475526FC" w:rsidP="5D8904BE">
      <w:pPr>
        <w:pBdr>
          <w:top w:val="nil"/>
          <w:left w:val="nil"/>
          <w:bottom w:val="nil"/>
          <w:right w:val="nil"/>
          <w:between w:val="nil"/>
        </w:pBdr>
        <w:spacing w:before="240" w:after="240" w:line="240" w:lineRule="auto"/>
        <w:jc w:val="both"/>
        <w:rPr>
          <w:sz w:val="20"/>
          <w:szCs w:val="20"/>
          <w:lang w:val="en-US"/>
        </w:rPr>
      </w:pPr>
      <w:r w:rsidRPr="00A86393">
        <w:rPr>
          <w:sz w:val="20"/>
          <w:szCs w:val="20"/>
          <w:lang w:val="en-US"/>
        </w:rPr>
        <w:t xml:space="preserve">Anthropogenic pressure, accelerated urbanization and ineffective regulatory mechanisms are leading to a rapid loss of </w:t>
      </w:r>
      <w:r w:rsidR="00E73FB7" w:rsidRPr="00A86393">
        <w:rPr>
          <w:sz w:val="20"/>
          <w:szCs w:val="20"/>
          <w:lang w:val="en-US"/>
        </w:rPr>
        <w:t>vegetation</w:t>
      </w:r>
      <w:r w:rsidRPr="00A86393">
        <w:rPr>
          <w:sz w:val="20"/>
          <w:szCs w:val="20"/>
          <w:lang w:val="en-US"/>
        </w:rPr>
        <w:t xml:space="preserve"> cover, estimated at </w:t>
      </w:r>
      <w:r w:rsidRPr="00A86393">
        <w:rPr>
          <w:b/>
          <w:bCs/>
          <w:sz w:val="20"/>
          <w:szCs w:val="20"/>
          <w:lang w:val="en-US"/>
        </w:rPr>
        <w:t>18.75% between 1972 and 2018</w:t>
      </w:r>
      <w:r w:rsidRPr="00A86393">
        <w:rPr>
          <w:sz w:val="20"/>
          <w:szCs w:val="20"/>
          <w:lang w:val="en-US"/>
        </w:rPr>
        <w:t xml:space="preserve"> (from 33.41% to 14.66%)</w:t>
      </w:r>
      <w:r w:rsidR="00C00123" w:rsidRPr="00A86393">
        <w:rPr>
          <w:sz w:val="20"/>
          <w:szCs w:val="20"/>
          <w:vertAlign w:val="superscript"/>
        </w:rPr>
        <w:footnoteReference w:id="22"/>
      </w:r>
      <w:r w:rsidR="00BD17A8">
        <w:rPr>
          <w:sz w:val="20"/>
          <w:szCs w:val="20"/>
          <w:lang w:val="en-US"/>
        </w:rPr>
        <w:t xml:space="preserve">, </w:t>
      </w:r>
      <w:r w:rsidR="543287CF" w:rsidRPr="00A86393">
        <w:rPr>
          <w:sz w:val="20"/>
          <w:szCs w:val="20"/>
          <w:vertAlign w:val="superscript"/>
          <w:lang w:val="en-US"/>
        </w:rPr>
        <w:t xml:space="preserve"> </w:t>
      </w:r>
      <w:r w:rsidRPr="00A86393">
        <w:rPr>
          <w:sz w:val="20"/>
          <w:szCs w:val="20"/>
          <w:lang w:val="en-US"/>
        </w:rPr>
        <w:t>threatening biodiversity, ecosystems and urban quality of life.</w:t>
      </w:r>
    </w:p>
    <w:p w14:paraId="00000158" w14:textId="63093BEB" w:rsidR="004F7DB3" w:rsidRPr="00A86393" w:rsidRDefault="001C669F" w:rsidP="389869E3">
      <w:pPr>
        <w:pBdr>
          <w:top w:val="nil"/>
          <w:left w:val="nil"/>
          <w:bottom w:val="nil"/>
          <w:right w:val="nil"/>
          <w:between w:val="nil"/>
        </w:pBdr>
        <w:spacing w:after="0" w:line="240" w:lineRule="auto"/>
        <w:jc w:val="both"/>
        <w:rPr>
          <w:sz w:val="20"/>
          <w:szCs w:val="20"/>
          <w:lang w:val="en-US"/>
        </w:rPr>
      </w:pPr>
      <w:r w:rsidRPr="00A86393">
        <w:rPr>
          <w:noProof/>
          <w:sz w:val="20"/>
          <w:szCs w:val="20"/>
        </w:rPr>
        <mc:AlternateContent>
          <mc:Choice Requires="wps">
            <w:drawing>
              <wp:anchor distT="0" distB="0" distL="114300" distR="114300" simplePos="0" relativeHeight="251658244" behindDoc="0" locked="0" layoutInCell="1" allowOverlap="1" wp14:anchorId="744C9470" wp14:editId="09C1DA6B">
                <wp:simplePos x="0" y="0"/>
                <wp:positionH relativeFrom="column">
                  <wp:posOffset>-33655</wp:posOffset>
                </wp:positionH>
                <wp:positionV relativeFrom="paragraph">
                  <wp:posOffset>2359660</wp:posOffset>
                </wp:positionV>
                <wp:extent cx="5295265" cy="635"/>
                <wp:effectExtent l="0" t="0" r="0" b="0"/>
                <wp:wrapSquare wrapText="bothSides"/>
                <wp:docPr id="814544967" name="Zone de texte 1"/>
                <wp:cNvGraphicFramePr/>
                <a:graphic xmlns:a="http://schemas.openxmlformats.org/drawingml/2006/main">
                  <a:graphicData uri="http://schemas.microsoft.com/office/word/2010/wordprocessingShape">
                    <wps:wsp>
                      <wps:cNvSpPr txBox="1"/>
                      <wps:spPr>
                        <a:xfrm>
                          <a:off x="0" y="0"/>
                          <a:ext cx="5295265" cy="635"/>
                        </a:xfrm>
                        <a:prstGeom prst="rect">
                          <a:avLst/>
                        </a:prstGeom>
                        <a:solidFill>
                          <a:prstClr val="white"/>
                        </a:solidFill>
                        <a:ln>
                          <a:noFill/>
                        </a:ln>
                      </wps:spPr>
                      <wps:txbx>
                        <w:txbxContent>
                          <w:p w14:paraId="20A8B97E" w14:textId="4C7F713E" w:rsidR="001C669F" w:rsidRPr="001C669F" w:rsidRDefault="001C669F" w:rsidP="001C669F">
                            <w:pPr>
                              <w:pStyle w:val="Lgende"/>
                              <w:rPr>
                                <w:rFonts w:ascii="Calibri" w:eastAsia="Calibri" w:hAnsi="Calibri" w:cs="Calibri"/>
                                <w:noProof/>
                                <w:sz w:val="14"/>
                                <w:szCs w:val="14"/>
                                <w:lang w:val="en-US"/>
                              </w:rPr>
                            </w:pPr>
                            <w:bookmarkStart w:id="18" w:name="_Toc199131202"/>
                            <w:r w:rsidRPr="001C669F">
                              <w:rPr>
                                <w:rFonts w:ascii="Calibri" w:hAnsi="Calibri" w:cs="Calibri"/>
                                <w:sz w:val="18"/>
                                <w:szCs w:val="16"/>
                                <w:lang w:val="en-US"/>
                              </w:rPr>
                              <w:t xml:space="preserve">Figure </w:t>
                            </w:r>
                            <w:r w:rsidRPr="001C669F">
                              <w:rPr>
                                <w:rFonts w:ascii="Calibri" w:hAnsi="Calibri" w:cs="Calibri"/>
                                <w:sz w:val="18"/>
                                <w:szCs w:val="16"/>
                              </w:rPr>
                              <w:fldChar w:fldCharType="begin"/>
                            </w:r>
                            <w:r w:rsidRPr="001C669F">
                              <w:rPr>
                                <w:rFonts w:ascii="Calibri" w:hAnsi="Calibri" w:cs="Calibri"/>
                                <w:sz w:val="18"/>
                                <w:szCs w:val="16"/>
                                <w:lang w:val="en-US"/>
                              </w:rPr>
                              <w:instrText xml:space="preserve"> SEQ Figure \* ARABIC </w:instrText>
                            </w:r>
                            <w:r w:rsidRPr="001C669F">
                              <w:rPr>
                                <w:rFonts w:ascii="Calibri" w:hAnsi="Calibri" w:cs="Calibri"/>
                                <w:sz w:val="18"/>
                                <w:szCs w:val="16"/>
                              </w:rPr>
                              <w:fldChar w:fldCharType="separate"/>
                            </w:r>
                            <w:r w:rsidR="00A350E0">
                              <w:rPr>
                                <w:rFonts w:ascii="Calibri" w:hAnsi="Calibri" w:cs="Calibri"/>
                                <w:noProof/>
                                <w:sz w:val="18"/>
                                <w:szCs w:val="16"/>
                                <w:lang w:val="en-US"/>
                              </w:rPr>
                              <w:t>1</w:t>
                            </w:r>
                            <w:r w:rsidRPr="001C669F">
                              <w:rPr>
                                <w:rFonts w:ascii="Calibri" w:hAnsi="Calibri" w:cs="Calibri"/>
                                <w:sz w:val="18"/>
                                <w:szCs w:val="16"/>
                              </w:rPr>
                              <w:fldChar w:fldCharType="end"/>
                            </w:r>
                            <w:r w:rsidRPr="001C669F">
                              <w:rPr>
                                <w:rFonts w:ascii="Calibri" w:hAnsi="Calibri" w:cs="Calibri"/>
                                <w:sz w:val="18"/>
                                <w:szCs w:val="16"/>
                                <w:lang w:val="en-US"/>
                              </w:rPr>
                              <w:t xml:space="preserve"> SEVERE LOSS OF VEGETATION COVERS OVER 40 YEARS (1984 AND 2024)</w:t>
                            </w:r>
                            <w:bookmarkEnd w:id="1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44C9470" id="_x0000_t202" coordsize="21600,21600" o:spt="202" path="m,l,21600r21600,l21600,xe">
                <v:stroke joinstyle="miter"/>
                <v:path gradientshapeok="t" o:connecttype="rect"/>
              </v:shapetype>
              <v:shape id="Zone de texte 1" o:spid="_x0000_s1026" type="#_x0000_t202" style="position:absolute;left:0;text-align:left;margin-left:-2.65pt;margin-top:185.8pt;width:416.95pt;height:.0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" stroked="f">
                <v:textbox style="mso-fit-shape-to-text:t" inset="0,0,0,0">
                  <w:txbxContent>
                    <w:p w14:paraId="20A8B97E" w14:textId="4C7F713E" w:rsidR="001C669F" w:rsidRPr="001C669F" w:rsidRDefault="001C669F" w:rsidP="001C669F">
                      <w:pPr>
                        <w:pStyle w:val="Caption"/>
                        <w:rPr>
                          <w:rFonts w:ascii="Calibri" w:eastAsia="Calibri" w:hAnsi="Calibri" w:cs="Calibri"/>
                          <w:noProof/>
                          <w:sz w:val="14"/>
                          <w:szCs w:val="14"/>
                          <w:lang w:val="en-US"/>
                        </w:rPr>
                      </w:pPr>
                      <w:bookmarkStart w:id="17" w:name="_Toc199131202"/>
                      <w:r w:rsidRPr="001C669F">
                        <w:rPr>
                          <w:rFonts w:ascii="Calibri" w:hAnsi="Calibri" w:cs="Calibri"/>
                          <w:sz w:val="18"/>
                          <w:szCs w:val="16"/>
                          <w:lang w:val="en-US"/>
                        </w:rPr>
                        <w:t xml:space="preserve">Figure </w:t>
                      </w:r>
                      <w:r w:rsidRPr="001C669F">
                        <w:rPr>
                          <w:rFonts w:ascii="Calibri" w:hAnsi="Calibri" w:cs="Calibri"/>
                          <w:sz w:val="18"/>
                          <w:szCs w:val="16"/>
                        </w:rPr>
                        <w:fldChar w:fldCharType="begin"/>
                      </w:r>
                      <w:r w:rsidRPr="001C669F">
                        <w:rPr>
                          <w:rFonts w:ascii="Calibri" w:hAnsi="Calibri" w:cs="Calibri"/>
                          <w:sz w:val="18"/>
                          <w:szCs w:val="16"/>
                          <w:lang w:val="en-US"/>
                        </w:rPr>
                        <w:instrText xml:space="preserve"> SEQ Figure \* ARABIC </w:instrText>
                      </w:r>
                      <w:r w:rsidRPr="001C669F">
                        <w:rPr>
                          <w:rFonts w:ascii="Calibri" w:hAnsi="Calibri" w:cs="Calibri"/>
                          <w:sz w:val="18"/>
                          <w:szCs w:val="16"/>
                        </w:rPr>
                        <w:fldChar w:fldCharType="separate"/>
                      </w:r>
                      <w:r w:rsidR="00A350E0">
                        <w:rPr>
                          <w:rFonts w:ascii="Calibri" w:hAnsi="Calibri" w:cs="Calibri"/>
                          <w:noProof/>
                          <w:sz w:val="18"/>
                          <w:szCs w:val="16"/>
                          <w:lang w:val="en-US"/>
                        </w:rPr>
                        <w:t>1</w:t>
                      </w:r>
                      <w:r w:rsidRPr="001C669F">
                        <w:rPr>
                          <w:rFonts w:ascii="Calibri" w:hAnsi="Calibri" w:cs="Calibri"/>
                          <w:sz w:val="18"/>
                          <w:szCs w:val="16"/>
                        </w:rPr>
                        <w:fldChar w:fldCharType="end"/>
                      </w:r>
                      <w:r w:rsidRPr="001C669F">
                        <w:rPr>
                          <w:rFonts w:ascii="Calibri" w:hAnsi="Calibri" w:cs="Calibri"/>
                          <w:sz w:val="18"/>
                          <w:szCs w:val="16"/>
                          <w:lang w:val="en-US"/>
                        </w:rPr>
                        <w:t xml:space="preserve"> SEVERE LOSS OF VEGETATION COVERS OVER 40 YEARS (1984 AND 2024)</w:t>
                      </w:r>
                      <w:bookmarkEnd w:id="17"/>
                    </w:p>
                  </w:txbxContent>
                </v:textbox>
                <w10:wrap type="square"/>
              </v:shape>
            </w:pict>
          </mc:Fallback>
        </mc:AlternateContent>
      </w:r>
      <w:r w:rsidR="002D1902" w:rsidRPr="00A86393">
        <w:rPr>
          <w:noProof/>
          <w:sz w:val="20"/>
          <w:szCs w:val="20"/>
          <w:lang w:val="en-US"/>
        </w:rPr>
        <mc:AlternateContent>
          <mc:Choice Requires="wpg">
            <w:drawing>
              <wp:anchor distT="0" distB="0" distL="114300" distR="114300" simplePos="0" relativeHeight="251658243" behindDoc="0" locked="0" layoutInCell="1" allowOverlap="1" wp14:anchorId="3BE49CFE" wp14:editId="59D104B6">
                <wp:simplePos x="0" y="0"/>
                <wp:positionH relativeFrom="column">
                  <wp:posOffset>-33655</wp:posOffset>
                </wp:positionH>
                <wp:positionV relativeFrom="paragraph">
                  <wp:posOffset>318</wp:posOffset>
                </wp:positionV>
                <wp:extent cx="5295583" cy="2302510"/>
                <wp:effectExtent l="0" t="0" r="635" b="2540"/>
                <wp:wrapSquare wrapText="bothSides"/>
                <wp:docPr id="1161706403" name="Groupe 2"/>
                <wp:cNvGraphicFramePr/>
                <a:graphic xmlns:a="http://schemas.openxmlformats.org/drawingml/2006/main">
                  <a:graphicData uri="http://schemas.microsoft.com/office/word/2010/wordprocessingGroup">
                    <wpg:wgp>
                      <wpg:cNvGrpSpPr/>
                      <wpg:grpSpPr>
                        <a:xfrm>
                          <a:off x="0" y="0"/>
                          <a:ext cx="5295583" cy="2302510"/>
                          <a:chOff x="0" y="0"/>
                          <a:chExt cx="5295583" cy="2302510"/>
                        </a:xfrm>
                      </wpg:grpSpPr>
                      <pic:pic xmlns:pic="http://schemas.openxmlformats.org/drawingml/2006/picture">
                        <pic:nvPicPr>
                          <pic:cNvPr id="107713375" name="image8.jpg" descr="C:\Users\pc\Desktop\Bamako\1984\Carte_2024.jpg"/>
                          <pic:cNvPicPr/>
                        </pic:nvPicPr>
                        <pic:blipFill>
                          <a:blip r:embed="rId21"/>
                          <a:srcRect/>
                          <a:stretch>
                            <a:fillRect/>
                          </a:stretch>
                        </pic:blipFill>
                        <pic:spPr>
                          <a:xfrm>
                            <a:off x="2833688" y="0"/>
                            <a:ext cx="2461895" cy="2302510"/>
                          </a:xfrm>
                          <a:prstGeom prst="rect">
                            <a:avLst/>
                          </a:prstGeom>
                          <a:ln/>
                        </pic:spPr>
                      </pic:pic>
                      <pic:pic xmlns:pic="http://schemas.openxmlformats.org/drawingml/2006/picture">
                        <pic:nvPicPr>
                          <pic:cNvPr id="483590081" name="image6.jpg" descr="C:\Users\pc\Desktop\Bamako\1984\Carte_1984.jpg"/>
                          <pic:cNvPicPr/>
                        </pic:nvPicPr>
                        <pic:blipFill>
                          <a:blip r:embed="rId22">
                            <a:extLst>
                              <a:ext uri="{28A0092B-C50C-407E-A947-70E740481C1C}">
                                <a14:useLocalDpi xmlns:a14="http://schemas.microsoft.com/office/drawing/2010/main" val="0"/>
                              </a:ext>
                            </a:extLst>
                          </a:blip>
                          <a:srcRect/>
                          <a:stretch>
                            <a:fillRect/>
                          </a:stretch>
                        </pic:blipFill>
                        <pic:spPr>
                          <a:xfrm>
                            <a:off x="0" y="57150"/>
                            <a:ext cx="2738120" cy="2241550"/>
                          </a:xfrm>
                          <a:prstGeom prst="rect">
                            <a:avLst/>
                          </a:prstGeom>
                          <a:ln/>
                        </pic:spPr>
                      </pic:pic>
                    </wpg:wgp>
                  </a:graphicData>
                </a:graphic>
              </wp:anchor>
            </w:drawing>
          </mc:Choice>
          <mc:Fallback>
            <w:pict>
              <v:group w14:anchorId="3140AAD3" id="Groupe 2" o:spid="_x0000_s1026" style="position:absolute;margin-left:-2.65pt;margin-top:.05pt;width:417pt;height:181.3pt;z-index:251658243" coordsize="52955,2302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ZUEsDBAoAAAAA&#10;AAAAIQBgiFGdCDcCAAg3AgAUAAAAZHJzL21lZGlhL2ltYWdlMi5qcGf/2P/gABBKRklGAAECAAAB&#10;AAEAAP/bAEMACAYGBwYFCAcHBwkJCAoMFA0MCwsMGRITDxQdGh8eHRocHCAkLicgIiwjHBwoNyks&#10;MDE0NDQfJzk9ODI8LjM0Mv/bAEMBCQkJDAsMGA0NGDIhHCEyMjIyMjIyMjIyMjIyMjIyMjIyMjIy&#10;MjIyMjIyMjIyMjIyMjIyMjIyMjIyMjIyMjIyMv/AABEIBJIDO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8.jpg" o:spid="_x0000_s1027" type="#_x0000_t75" style="position:absolute;left:28336;width:24619;height:23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">
                  <v:imagedata r:id="rId26" o:title="Carte_2024"/>
                </v:shape>
                <v:shape id="image6.jpg" o:spid="_x0000_s1028" type="#_x0000_t75" style="position:absolute;top:571;width:27381;height:22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">
                  <v:imagedata r:id="rId27" o:title="Carte_1984"/>
                </v:shape>
                <w10:wrap type="square"/>
              </v:group>
            </w:pict>
          </mc:Fallback>
        </mc:AlternateContent>
      </w:r>
    </w:p>
    <w:p w14:paraId="3E2CD2A7" w14:textId="77777777" w:rsidR="002D1902" w:rsidRPr="00A86393" w:rsidRDefault="002D1902" w:rsidP="51745E8D">
      <w:pPr>
        <w:spacing w:after="0" w:line="240" w:lineRule="auto"/>
        <w:ind w:left="187"/>
        <w:jc w:val="both"/>
        <w:rPr>
          <w:sz w:val="20"/>
          <w:szCs w:val="20"/>
          <w:lang w:val="en-US"/>
        </w:rPr>
      </w:pPr>
    </w:p>
    <w:p w14:paraId="2A4152B9" w14:textId="77777777" w:rsidR="002D1902" w:rsidRPr="00A86393" w:rsidRDefault="002D1902" w:rsidP="51745E8D">
      <w:pPr>
        <w:spacing w:after="0" w:line="240" w:lineRule="auto"/>
        <w:ind w:left="187"/>
        <w:jc w:val="both"/>
        <w:rPr>
          <w:sz w:val="20"/>
          <w:szCs w:val="20"/>
          <w:lang w:val="en-US"/>
        </w:rPr>
      </w:pPr>
    </w:p>
    <w:p w14:paraId="3025687F" w14:textId="77777777" w:rsidR="00D15BA0" w:rsidRDefault="00D15BA0" w:rsidP="5D8904BE">
      <w:pPr>
        <w:spacing w:before="240" w:after="0" w:line="240" w:lineRule="auto"/>
        <w:jc w:val="both"/>
        <w:rPr>
          <w:sz w:val="20"/>
          <w:szCs w:val="20"/>
          <w:lang w:val="en-US"/>
        </w:rPr>
      </w:pPr>
    </w:p>
    <w:p w14:paraId="21B13EE0" w14:textId="77777777" w:rsidR="00D15BA0" w:rsidRDefault="00D15BA0" w:rsidP="5D8904BE">
      <w:pPr>
        <w:spacing w:before="240" w:after="0" w:line="240" w:lineRule="auto"/>
        <w:jc w:val="both"/>
        <w:rPr>
          <w:sz w:val="20"/>
          <w:szCs w:val="20"/>
          <w:lang w:val="en-US"/>
        </w:rPr>
      </w:pPr>
    </w:p>
    <w:p w14:paraId="2AF79A84" w14:textId="77777777" w:rsidR="00D15BA0" w:rsidRDefault="00D15BA0" w:rsidP="5D8904BE">
      <w:pPr>
        <w:spacing w:before="240" w:after="0" w:line="240" w:lineRule="auto"/>
        <w:jc w:val="both"/>
        <w:rPr>
          <w:sz w:val="20"/>
          <w:szCs w:val="20"/>
          <w:lang w:val="en-US"/>
        </w:rPr>
      </w:pPr>
    </w:p>
    <w:p w14:paraId="3F15E77D" w14:textId="77777777" w:rsidR="00D15BA0" w:rsidRDefault="00D15BA0" w:rsidP="5D8904BE">
      <w:pPr>
        <w:spacing w:before="240" w:after="0" w:line="240" w:lineRule="auto"/>
        <w:jc w:val="both"/>
        <w:rPr>
          <w:sz w:val="20"/>
          <w:szCs w:val="20"/>
          <w:lang w:val="en-US"/>
        </w:rPr>
      </w:pPr>
    </w:p>
    <w:p w14:paraId="3DE31BF8" w14:textId="77777777" w:rsidR="00D15BA0" w:rsidRDefault="00D15BA0" w:rsidP="5D8904BE">
      <w:pPr>
        <w:spacing w:before="240" w:after="0" w:line="240" w:lineRule="auto"/>
        <w:jc w:val="both"/>
        <w:rPr>
          <w:sz w:val="20"/>
          <w:szCs w:val="20"/>
          <w:lang w:val="en-US"/>
        </w:rPr>
      </w:pPr>
    </w:p>
    <w:p w14:paraId="4CF5A246" w14:textId="77777777" w:rsidR="00D15BA0" w:rsidRDefault="00D15BA0" w:rsidP="5D8904BE">
      <w:pPr>
        <w:spacing w:before="240" w:after="0" w:line="240" w:lineRule="auto"/>
        <w:jc w:val="both"/>
        <w:rPr>
          <w:sz w:val="20"/>
          <w:szCs w:val="20"/>
          <w:lang w:val="en-US"/>
        </w:rPr>
      </w:pPr>
    </w:p>
    <w:p w14:paraId="6A40BB89" w14:textId="77777777" w:rsidR="00D15BA0" w:rsidRDefault="00D15BA0" w:rsidP="5D8904BE">
      <w:pPr>
        <w:spacing w:before="240" w:after="0" w:line="240" w:lineRule="auto"/>
        <w:jc w:val="both"/>
        <w:rPr>
          <w:sz w:val="20"/>
          <w:szCs w:val="20"/>
          <w:lang w:val="en-US"/>
        </w:rPr>
      </w:pPr>
    </w:p>
    <w:p w14:paraId="0000015A" w14:textId="78FDD574" w:rsidR="004F7DB3" w:rsidRPr="00A86393" w:rsidRDefault="2EF3B79D" w:rsidP="00D15BA0">
      <w:pPr>
        <w:spacing w:before="240" w:after="0" w:line="240" w:lineRule="auto"/>
        <w:jc w:val="both"/>
        <w:rPr>
          <w:sz w:val="20"/>
          <w:szCs w:val="20"/>
          <w:lang w:val="en-US"/>
        </w:rPr>
      </w:pPr>
      <w:r w:rsidRPr="2DC80E69">
        <w:rPr>
          <w:sz w:val="20"/>
          <w:szCs w:val="20"/>
          <w:lang w:val="en-US"/>
        </w:rPr>
        <w:t xml:space="preserve">As for urban forestry within this green belt, there are green spaces and natural </w:t>
      </w:r>
      <w:r w:rsidR="78176891" w:rsidRPr="2DC80E69">
        <w:rPr>
          <w:sz w:val="20"/>
          <w:szCs w:val="20"/>
          <w:lang w:val="en-US"/>
        </w:rPr>
        <w:t xml:space="preserve">Water channel </w:t>
      </w:r>
      <w:r w:rsidRPr="2DC80E69">
        <w:rPr>
          <w:sz w:val="20"/>
          <w:szCs w:val="20"/>
          <w:lang w:val="en-US"/>
        </w:rPr>
        <w:t xml:space="preserve">in the Bamako district. The list of these areas is shown in Table </w:t>
      </w:r>
      <w:r w:rsidR="581FC308" w:rsidRPr="2DC80E69">
        <w:rPr>
          <w:sz w:val="20"/>
          <w:szCs w:val="20"/>
          <w:lang w:val="en-US"/>
        </w:rPr>
        <w:t>4</w:t>
      </w:r>
      <w:r w:rsidRPr="2DC80E69">
        <w:rPr>
          <w:sz w:val="20"/>
          <w:szCs w:val="20"/>
          <w:lang w:val="en-US"/>
        </w:rPr>
        <w:t xml:space="preserve">. </w:t>
      </w:r>
      <w:r w:rsidR="2634ACA3" w:rsidRPr="2DC80E69">
        <w:rPr>
          <w:sz w:val="20"/>
          <w:szCs w:val="20"/>
          <w:lang w:val="en-US"/>
        </w:rPr>
        <w:t xml:space="preserve">The management of urban green spaces and </w:t>
      </w:r>
      <w:r w:rsidR="28059722" w:rsidRPr="2DC80E69">
        <w:rPr>
          <w:sz w:val="20"/>
          <w:szCs w:val="20"/>
          <w:lang w:val="en-US"/>
        </w:rPr>
        <w:t xml:space="preserve">natural </w:t>
      </w:r>
      <w:r w:rsidR="6EF6358B" w:rsidRPr="2DC80E69">
        <w:rPr>
          <w:sz w:val="20"/>
          <w:szCs w:val="20"/>
          <w:lang w:val="en-US"/>
        </w:rPr>
        <w:t xml:space="preserve">water channel </w:t>
      </w:r>
      <w:r w:rsidR="2BAB04CF" w:rsidRPr="2DC80E69">
        <w:rPr>
          <w:sz w:val="20"/>
          <w:szCs w:val="20"/>
          <w:lang w:val="en-US"/>
        </w:rPr>
        <w:t xml:space="preserve">from the </w:t>
      </w:r>
      <w:proofErr w:type="gramStart"/>
      <w:r w:rsidR="2BAB04CF" w:rsidRPr="2DC80E69">
        <w:rPr>
          <w:sz w:val="20"/>
          <w:szCs w:val="20"/>
          <w:lang w:val="en-US"/>
        </w:rPr>
        <w:t xml:space="preserve">watersheds </w:t>
      </w:r>
      <w:r w:rsidR="2634ACA3" w:rsidRPr="2DC80E69">
        <w:rPr>
          <w:sz w:val="20"/>
          <w:szCs w:val="20"/>
          <w:lang w:val="en-US"/>
        </w:rPr>
        <w:t xml:space="preserve"> is</w:t>
      </w:r>
      <w:proofErr w:type="gramEnd"/>
      <w:r w:rsidR="2634ACA3" w:rsidRPr="2DC80E69">
        <w:rPr>
          <w:sz w:val="20"/>
          <w:szCs w:val="20"/>
          <w:lang w:val="en-US"/>
        </w:rPr>
        <w:t xml:space="preserve"> a major challenge for the planning and harmonious development of the city of Bamako. Beyond the crucial issue of solid waste management, which remains an </w:t>
      </w:r>
      <w:proofErr w:type="gramStart"/>
      <w:r w:rsidR="2634ACA3" w:rsidRPr="2DC80E69">
        <w:rPr>
          <w:sz w:val="20"/>
          <w:szCs w:val="20"/>
          <w:lang w:val="en-US"/>
        </w:rPr>
        <w:t>issue in its own right, there</w:t>
      </w:r>
      <w:proofErr w:type="gramEnd"/>
      <w:r w:rsidR="2634ACA3" w:rsidRPr="2DC80E69">
        <w:rPr>
          <w:sz w:val="20"/>
          <w:szCs w:val="20"/>
          <w:lang w:val="en-US"/>
        </w:rPr>
        <w:t xml:space="preserve"> is also the question of the legal uncertainty surrounding these spaces. Indeed, the lack of official registration and the weakness of the regulatory framework create a vacuum in terms of land regulation. This situation promotes increased pressure on urban land and leads to the emergence of informal practices, including illegal occupation </w:t>
      </w:r>
      <w:r w:rsidR="2634ACA3" w:rsidRPr="2DC80E69">
        <w:rPr>
          <w:sz w:val="20"/>
          <w:szCs w:val="20"/>
          <w:lang w:val="en-US"/>
        </w:rPr>
        <w:lastRenderedPageBreak/>
        <w:t>by citizens. This disorder contributes to the anarchic management of these spaces, compromising their preservation and integration into sustainable urban policies.</w:t>
      </w:r>
    </w:p>
    <w:p w14:paraId="173FB6CB" w14:textId="5ABF08E6" w:rsidR="24AA8F7E" w:rsidRDefault="24AA8F7E" w:rsidP="24AA8F7E">
      <w:pPr>
        <w:spacing w:after="0" w:line="240" w:lineRule="auto"/>
        <w:jc w:val="both"/>
        <w:rPr>
          <w:sz w:val="20"/>
          <w:szCs w:val="20"/>
          <w:lang w:val="en-US"/>
        </w:rPr>
      </w:pPr>
    </w:p>
    <w:p w14:paraId="204C515C" w14:textId="50F7853B" w:rsidR="040DAD74" w:rsidRDefault="25AF0F82" w:rsidP="37FF86E9">
      <w:pPr>
        <w:spacing w:before="240" w:after="240"/>
        <w:jc w:val="both"/>
        <w:rPr>
          <w:sz w:val="20"/>
          <w:szCs w:val="20"/>
          <w:lang w:val="en-US"/>
        </w:rPr>
      </w:pPr>
      <w:r w:rsidRPr="37FF86E9">
        <w:rPr>
          <w:sz w:val="20"/>
          <w:szCs w:val="20"/>
          <w:lang w:val="en-US"/>
        </w:rPr>
        <w:t xml:space="preserve">The spatial distribution of land use is governed by 362 urban development plans, either at the communal or inter-communal level, which define the regulatory framework for land use, including provisions for green spaces. In parallel, </w:t>
      </w:r>
      <w:r w:rsidR="6C396DD8" w:rsidRPr="37FF86E9">
        <w:rPr>
          <w:sz w:val="20"/>
          <w:szCs w:val="20"/>
          <w:lang w:val="en-US"/>
        </w:rPr>
        <w:t xml:space="preserve">a field </w:t>
      </w:r>
      <w:r w:rsidRPr="37FF86E9">
        <w:rPr>
          <w:sz w:val="20"/>
          <w:szCs w:val="20"/>
          <w:lang w:val="en-US"/>
        </w:rPr>
        <w:t>inventory identified</w:t>
      </w:r>
      <w:r w:rsidR="744887A2" w:rsidRPr="37FF86E9">
        <w:rPr>
          <w:sz w:val="20"/>
          <w:szCs w:val="20"/>
          <w:lang w:val="en-US"/>
        </w:rPr>
        <w:t xml:space="preserve"> </w:t>
      </w:r>
      <w:r w:rsidRPr="37FF86E9">
        <w:rPr>
          <w:sz w:val="20"/>
          <w:szCs w:val="20"/>
          <w:lang w:val="en-US"/>
        </w:rPr>
        <w:t>312 green spaces</w:t>
      </w:r>
      <w:r w:rsidR="040DAD74" w:rsidRPr="37FF86E9">
        <w:rPr>
          <w:sz w:val="20"/>
          <w:szCs w:val="20"/>
          <w:vertAlign w:val="superscript"/>
          <w:lang w:val="en-US"/>
        </w:rPr>
        <w:footnoteReference w:id="23"/>
      </w:r>
      <w:r w:rsidRPr="37FF86E9">
        <w:rPr>
          <w:sz w:val="20"/>
          <w:szCs w:val="20"/>
          <w:lang w:val="en-US"/>
        </w:rPr>
        <w:t>, the majority of which originate from land subdivisions undertaken by the private sector, particularly real estate developers.</w:t>
      </w:r>
      <w:r w:rsidR="5FBA37DF" w:rsidRPr="37FF86E9">
        <w:rPr>
          <w:sz w:val="20"/>
          <w:szCs w:val="20"/>
          <w:lang w:val="en-US"/>
        </w:rPr>
        <w:t xml:space="preserve"> </w:t>
      </w:r>
      <w:r w:rsidR="1E9ABB8F" w:rsidRPr="37FF86E9">
        <w:rPr>
          <w:sz w:val="20"/>
          <w:szCs w:val="20"/>
          <w:lang w:val="en-US"/>
        </w:rPr>
        <w:t>This discrepancy in available data underscores that many public spaces—including green areas—remain largely undocumented by national and local authorities and lack formal land registration, thereby limiting their effective regulation, protection, and valorization.</w:t>
      </w:r>
    </w:p>
    <w:p w14:paraId="0B6D8CF6" w14:textId="5A18EDEE" w:rsidR="7DF2D92C" w:rsidRPr="00A86393" w:rsidRDefault="09CC04F7" w:rsidP="389869E3">
      <w:pPr>
        <w:spacing w:after="0"/>
        <w:jc w:val="both"/>
        <w:rPr>
          <w:sz w:val="20"/>
          <w:szCs w:val="20"/>
          <w:lang w:val="en-US"/>
        </w:rPr>
      </w:pPr>
      <w:r w:rsidRPr="5D8904BE">
        <w:rPr>
          <w:sz w:val="20"/>
          <w:szCs w:val="20"/>
          <w:lang w:val="en-US"/>
        </w:rPr>
        <w:t xml:space="preserve">Geographically, all areas are well covered, </w:t>
      </w:r>
      <w:r w:rsidR="341F410D" w:rsidRPr="5D8904BE">
        <w:rPr>
          <w:sz w:val="20"/>
          <w:szCs w:val="20"/>
          <w:lang w:val="en-US"/>
        </w:rPr>
        <w:t>except for</w:t>
      </w:r>
      <w:r w:rsidRPr="5D8904BE">
        <w:rPr>
          <w:sz w:val="20"/>
          <w:szCs w:val="20"/>
          <w:lang w:val="en-US"/>
        </w:rPr>
        <w:t xml:space="preserve"> </w:t>
      </w:r>
      <w:proofErr w:type="spellStart"/>
      <w:r w:rsidRPr="5D8904BE">
        <w:rPr>
          <w:sz w:val="20"/>
          <w:szCs w:val="20"/>
          <w:lang w:val="en-US"/>
        </w:rPr>
        <w:t>Magnambougou</w:t>
      </w:r>
      <w:proofErr w:type="spellEnd"/>
      <w:r w:rsidRPr="5D8904BE">
        <w:rPr>
          <w:sz w:val="20"/>
          <w:szCs w:val="20"/>
          <w:lang w:val="en-US"/>
        </w:rPr>
        <w:t xml:space="preserve"> Concession </w:t>
      </w:r>
      <w:proofErr w:type="spellStart"/>
      <w:r w:rsidRPr="5D8904BE">
        <w:rPr>
          <w:sz w:val="20"/>
          <w:szCs w:val="20"/>
          <w:lang w:val="en-US"/>
        </w:rPr>
        <w:t>Rurale</w:t>
      </w:r>
      <w:proofErr w:type="spellEnd"/>
      <w:r w:rsidRPr="5D8904BE">
        <w:rPr>
          <w:sz w:val="20"/>
          <w:szCs w:val="20"/>
          <w:lang w:val="en-US"/>
        </w:rPr>
        <w:t>, where no facilities have been identified. However, this coverage in</w:t>
      </w:r>
      <w:r w:rsidR="5F203168" w:rsidRPr="5D8904BE">
        <w:rPr>
          <w:sz w:val="20"/>
          <w:szCs w:val="20"/>
          <w:lang w:val="en-US"/>
        </w:rPr>
        <w:t xml:space="preserve"> </w:t>
      </w:r>
      <w:r w:rsidRPr="5D8904BE">
        <w:rPr>
          <w:sz w:val="20"/>
          <w:szCs w:val="20"/>
          <w:lang w:val="en-US"/>
        </w:rPr>
        <w:t xml:space="preserve">terms of potential access to basic urban services can be qualified by cross-analysis with the number of people, the type of </w:t>
      </w:r>
      <w:r w:rsidR="0D35FB7F" w:rsidRPr="5D8904BE">
        <w:rPr>
          <w:sz w:val="20"/>
          <w:szCs w:val="20"/>
          <w:lang w:val="en-US"/>
        </w:rPr>
        <w:t>vocation,</w:t>
      </w:r>
      <w:r w:rsidRPr="5D8904BE">
        <w:rPr>
          <w:sz w:val="20"/>
          <w:szCs w:val="20"/>
          <w:lang w:val="en-US"/>
        </w:rPr>
        <w:t xml:space="preserve"> and the capacity of facilities (Figure 5). It should also be noted that in the border districts, several areas extend beyond the boundaries of the district (Figure 4): </w:t>
      </w:r>
      <w:proofErr w:type="spellStart"/>
      <w:r w:rsidRPr="5D8904BE">
        <w:rPr>
          <w:sz w:val="20"/>
          <w:szCs w:val="20"/>
          <w:lang w:val="en-US"/>
        </w:rPr>
        <w:t>Kalabanbougou</w:t>
      </w:r>
      <w:proofErr w:type="spellEnd"/>
      <w:r w:rsidRPr="5D8904BE">
        <w:rPr>
          <w:sz w:val="20"/>
          <w:szCs w:val="20"/>
          <w:lang w:val="en-US"/>
        </w:rPr>
        <w:t xml:space="preserve">, </w:t>
      </w:r>
      <w:proofErr w:type="spellStart"/>
      <w:r w:rsidRPr="5D8904BE">
        <w:rPr>
          <w:sz w:val="20"/>
          <w:szCs w:val="20"/>
          <w:lang w:val="en-US"/>
        </w:rPr>
        <w:t>Sénou</w:t>
      </w:r>
      <w:proofErr w:type="spellEnd"/>
      <w:r w:rsidRPr="5D8904BE">
        <w:rPr>
          <w:sz w:val="20"/>
          <w:szCs w:val="20"/>
          <w:lang w:val="en-US"/>
        </w:rPr>
        <w:t xml:space="preserve"> and </w:t>
      </w:r>
      <w:proofErr w:type="spellStart"/>
      <w:r w:rsidRPr="5D8904BE">
        <w:rPr>
          <w:sz w:val="20"/>
          <w:szCs w:val="20"/>
          <w:lang w:val="en-US"/>
        </w:rPr>
        <w:t>Missabougou-Yirimadjo</w:t>
      </w:r>
      <w:proofErr w:type="spellEnd"/>
      <w:r w:rsidRPr="5D8904BE">
        <w:rPr>
          <w:sz w:val="20"/>
          <w:szCs w:val="20"/>
          <w:lang w:val="en-US"/>
        </w:rPr>
        <w:t>.</w:t>
      </w:r>
    </w:p>
    <w:p w14:paraId="0000015B" w14:textId="347F08B3" w:rsidR="004F7DB3" w:rsidRPr="00A86393" w:rsidRDefault="130D72FF" w:rsidP="389869E3">
      <w:pPr>
        <w:spacing w:before="240" w:after="240" w:line="240" w:lineRule="auto"/>
        <w:jc w:val="both"/>
        <w:rPr>
          <w:sz w:val="20"/>
          <w:szCs w:val="20"/>
          <w:lang w:val="en-US"/>
        </w:rPr>
      </w:pPr>
      <w:r w:rsidRPr="5D8904BE">
        <w:rPr>
          <w:sz w:val="20"/>
          <w:szCs w:val="20"/>
          <w:lang w:val="en-US"/>
        </w:rPr>
        <w:t xml:space="preserve">Indeed, it is common for local authorities or private operators to proceed with subdivisions without prior approval or coordination with the Regional Directorate of Urban Planning and Housing (DRUH-BD). This situation prevents the centralization of the registration of green </w:t>
      </w:r>
      <w:r w:rsidR="5C6D489D" w:rsidRPr="5D8904BE">
        <w:rPr>
          <w:sz w:val="20"/>
          <w:szCs w:val="20"/>
          <w:lang w:val="en-US"/>
        </w:rPr>
        <w:t>spaces and</w:t>
      </w:r>
      <w:r w:rsidRPr="5D8904BE">
        <w:rPr>
          <w:sz w:val="20"/>
          <w:szCs w:val="20"/>
          <w:lang w:val="en-US"/>
        </w:rPr>
        <w:t xml:space="preserve"> thus makes it difficult to establish an effective institutional structure to ensure their management and preservation.</w:t>
      </w:r>
    </w:p>
    <w:p w14:paraId="0000015C" w14:textId="30F6E60A" w:rsidR="004F7DB3" w:rsidRPr="00A86393" w:rsidRDefault="48B98AEB">
      <w:pPr>
        <w:spacing w:before="240" w:after="240" w:line="240" w:lineRule="auto"/>
        <w:jc w:val="both"/>
        <w:rPr>
          <w:sz w:val="20"/>
          <w:szCs w:val="20"/>
          <w:lang w:val="en-US"/>
        </w:rPr>
      </w:pPr>
      <w:r w:rsidRPr="5D8904BE">
        <w:rPr>
          <w:sz w:val="20"/>
          <w:szCs w:val="20"/>
          <w:lang w:val="en-US"/>
        </w:rPr>
        <w:t xml:space="preserve">To </w:t>
      </w:r>
      <w:r w:rsidR="567A5F16" w:rsidRPr="5D8904BE">
        <w:rPr>
          <w:sz w:val="20"/>
          <w:szCs w:val="20"/>
          <w:lang w:val="en-US"/>
        </w:rPr>
        <w:t>address</w:t>
      </w:r>
      <w:r w:rsidRPr="5D8904BE">
        <w:rPr>
          <w:sz w:val="20"/>
          <w:szCs w:val="20"/>
          <w:lang w:val="en-US"/>
        </w:rPr>
        <w:t xml:space="preserve"> this problem, it is essential to strengthen land regulation, to ensure the formal registration of green spaces and to set up centralized and coordinated governance.</w:t>
      </w:r>
    </w:p>
    <w:p w14:paraId="50A435D8" w14:textId="0F6F91B9" w:rsidR="004B48CB" w:rsidRPr="004B48CB" w:rsidRDefault="3B21DDA4" w:rsidP="004B48CB">
      <w:pPr>
        <w:pStyle w:val="Lgende"/>
        <w:keepNext/>
        <w:rPr>
          <w:lang w:val="en-US"/>
        </w:rPr>
      </w:pPr>
      <w:bookmarkStart w:id="19" w:name="_Ref199131071"/>
      <w:bookmarkStart w:id="20" w:name="_Toc199489222"/>
      <w:r w:rsidRPr="00AE190F">
        <w:rPr>
          <w:rFonts w:ascii="Calibri" w:hAnsi="Calibri" w:cs="Calibri"/>
          <w:sz w:val="20"/>
          <w:szCs w:val="20"/>
          <w:lang w:val="en-US"/>
        </w:rPr>
        <w:t xml:space="preserve">Table </w:t>
      </w:r>
      <w:r w:rsidR="004B48CB" w:rsidRPr="00AE190F">
        <w:rPr>
          <w:rFonts w:ascii="Calibri" w:hAnsi="Calibri" w:cs="Calibri"/>
          <w:sz w:val="20"/>
          <w:szCs w:val="20"/>
        </w:rPr>
        <w:fldChar w:fldCharType="begin"/>
      </w:r>
      <w:r w:rsidR="004B48CB" w:rsidRPr="00AE190F">
        <w:rPr>
          <w:rFonts w:ascii="Calibri" w:hAnsi="Calibri" w:cs="Calibri"/>
          <w:sz w:val="20"/>
          <w:szCs w:val="20"/>
          <w:lang w:val="en-US"/>
        </w:rPr>
        <w:instrText xml:space="preserve"> SEQ Tableau \* ARABIC </w:instrText>
      </w:r>
      <w:r w:rsidR="004B48CB" w:rsidRPr="00AE190F">
        <w:rPr>
          <w:rFonts w:ascii="Calibri" w:hAnsi="Calibri" w:cs="Calibri"/>
          <w:sz w:val="20"/>
          <w:szCs w:val="20"/>
        </w:rPr>
        <w:fldChar w:fldCharType="separate"/>
      </w:r>
      <w:r w:rsidR="288B6DF6">
        <w:rPr>
          <w:rFonts w:ascii="Calibri" w:hAnsi="Calibri" w:cs="Calibri"/>
          <w:noProof/>
          <w:sz w:val="20"/>
          <w:szCs w:val="20"/>
          <w:lang w:val="en-US"/>
        </w:rPr>
        <w:t>4</w:t>
      </w:r>
      <w:r w:rsidR="004B48CB" w:rsidRPr="00AE190F">
        <w:rPr>
          <w:rFonts w:ascii="Calibri" w:hAnsi="Calibri" w:cs="Calibri"/>
          <w:sz w:val="20"/>
          <w:szCs w:val="20"/>
        </w:rPr>
        <w:fldChar w:fldCharType="end"/>
      </w:r>
      <w:r w:rsidRPr="00AE190F">
        <w:rPr>
          <w:rFonts w:ascii="Calibri" w:hAnsi="Calibri" w:cs="Calibri"/>
          <w:sz w:val="20"/>
          <w:szCs w:val="20"/>
          <w:lang w:val="en-US"/>
        </w:rPr>
        <w:t xml:space="preserve"> Plan</w:t>
      </w:r>
      <w:r w:rsidR="66FC1175" w:rsidRPr="37FF86E9">
        <w:rPr>
          <w:rFonts w:ascii="Calibri" w:hAnsi="Calibri" w:cs="Calibri"/>
          <w:sz w:val="20"/>
          <w:szCs w:val="20"/>
          <w:lang w:val="en-US"/>
        </w:rPr>
        <w:t>s</w:t>
      </w:r>
      <w:r w:rsidRPr="00AE190F">
        <w:rPr>
          <w:rFonts w:ascii="Calibri" w:hAnsi="Calibri" w:cs="Calibri"/>
          <w:sz w:val="20"/>
          <w:szCs w:val="20"/>
          <w:lang w:val="en-US"/>
        </w:rPr>
        <w:t xml:space="preserve"> and spaces inventoried </w:t>
      </w:r>
      <w:r w:rsidRPr="00AE190F">
        <w:rPr>
          <w:rFonts w:ascii="Calibri" w:hAnsi="Calibri" w:cs="Calibri"/>
          <w:noProof/>
          <w:sz w:val="20"/>
          <w:szCs w:val="20"/>
          <w:lang w:val="en-US"/>
        </w:rPr>
        <w:t xml:space="preserve">in the </w:t>
      </w:r>
      <w:r w:rsidR="04569F47" w:rsidRPr="00AE190F">
        <w:rPr>
          <w:rFonts w:ascii="Calibri" w:hAnsi="Calibri" w:cs="Calibri"/>
          <w:noProof/>
          <w:sz w:val="20"/>
          <w:szCs w:val="20"/>
          <w:lang w:val="en-US"/>
        </w:rPr>
        <w:t xml:space="preserve">District </w:t>
      </w:r>
      <w:r w:rsidRPr="00AE190F">
        <w:rPr>
          <w:rFonts w:ascii="Calibri" w:hAnsi="Calibri" w:cs="Calibri"/>
          <w:noProof/>
          <w:sz w:val="20"/>
          <w:szCs w:val="20"/>
          <w:lang w:val="en-US"/>
        </w:rPr>
        <w:t>of Bamako</w:t>
      </w:r>
      <w:r w:rsidR="004B48CB">
        <w:rPr>
          <w:rStyle w:val="Appelnotedebasdep"/>
          <w:noProof/>
          <w:lang w:val="en-US"/>
        </w:rPr>
        <w:footnoteReference w:id="24"/>
      </w:r>
      <w:bookmarkEnd w:id="19"/>
      <w:bookmarkEnd w:id="20"/>
    </w:p>
    <w:tbl>
      <w:tblPr>
        <w:tblpPr w:leftFromText="180" w:rightFromText="180" w:topFromText="180" w:bottomFromText="180" w:vertAnchor="text"/>
        <w:tblW w:w="9060" w:type="dxa"/>
        <w:tblBorders>
          <w:top w:val="single" w:sz="4" w:space="0" w:color="000000" w:themeColor="text1"/>
          <w:left w:val="nil"/>
          <w:bottom w:val="single" w:sz="4" w:space="0" w:color="000000" w:themeColor="text1"/>
          <w:right w:val="nil"/>
          <w:insideH w:val="nil"/>
          <w:insideV w:val="nil"/>
        </w:tblBorders>
        <w:tblLayout w:type="fixed"/>
        <w:tblLook w:val="0400" w:firstRow="0" w:lastRow="0" w:firstColumn="0" w:lastColumn="0" w:noHBand="0" w:noVBand="1"/>
      </w:tblPr>
      <w:tblGrid>
        <w:gridCol w:w="1812"/>
        <w:gridCol w:w="1812"/>
        <w:gridCol w:w="1812"/>
        <w:gridCol w:w="1812"/>
        <w:gridCol w:w="1812"/>
      </w:tblGrid>
      <w:tr w:rsidR="004F7DB3" w:rsidRPr="00F50786" w14:paraId="23B95E93" w14:textId="77777777" w:rsidTr="5D8904BE">
        <w:trPr>
          <w:trHeight w:val="300"/>
        </w:trPr>
        <w:tc>
          <w:tcPr>
            <w:tcW w:w="1812" w:type="dxa"/>
            <w:tcBorders>
              <w:bottom w:val="single" w:sz="4" w:space="0" w:color="000000" w:themeColor="text1"/>
            </w:tcBorders>
          </w:tcPr>
          <w:p w14:paraId="0000015F" w14:textId="77777777" w:rsidR="004F7DB3" w:rsidRPr="00A86393" w:rsidRDefault="00C00123">
            <w:pPr>
              <w:spacing w:after="0"/>
              <w:jc w:val="both"/>
              <w:rPr>
                <w:b/>
                <w:sz w:val="20"/>
                <w:szCs w:val="20"/>
              </w:rPr>
            </w:pPr>
            <w:r w:rsidRPr="00A86393">
              <w:rPr>
                <w:b/>
                <w:sz w:val="20"/>
                <w:szCs w:val="20"/>
              </w:rPr>
              <w:t>Commune</w:t>
            </w:r>
          </w:p>
        </w:tc>
        <w:tc>
          <w:tcPr>
            <w:tcW w:w="1812" w:type="dxa"/>
            <w:tcBorders>
              <w:bottom w:val="single" w:sz="4" w:space="0" w:color="000000" w:themeColor="text1"/>
            </w:tcBorders>
            <w:vAlign w:val="center"/>
          </w:tcPr>
          <w:p w14:paraId="00000160" w14:textId="0B560D1A" w:rsidR="004F7DB3" w:rsidRPr="006F5E1D" w:rsidRDefault="3F209AC4" w:rsidP="37FF86E9">
            <w:pPr>
              <w:spacing w:after="0"/>
              <w:jc w:val="center"/>
              <w:rPr>
                <w:lang w:val="en-US"/>
              </w:rPr>
            </w:pPr>
            <w:r w:rsidRPr="5D8904BE">
              <w:rPr>
                <w:b/>
                <w:bCs/>
                <w:sz w:val="20"/>
                <w:szCs w:val="20"/>
                <w:lang w:val="en-US"/>
              </w:rPr>
              <w:t xml:space="preserve">Nombre of urban plan used </w:t>
            </w:r>
          </w:p>
        </w:tc>
        <w:tc>
          <w:tcPr>
            <w:tcW w:w="1812" w:type="dxa"/>
            <w:tcBorders>
              <w:bottom w:val="single" w:sz="4" w:space="0" w:color="000000" w:themeColor="text1"/>
            </w:tcBorders>
            <w:vAlign w:val="center"/>
          </w:tcPr>
          <w:p w14:paraId="00000161" w14:textId="3466A6A6" w:rsidR="004F7DB3" w:rsidRPr="00A86393" w:rsidRDefault="5C51C817" w:rsidP="37FF86E9">
            <w:pPr>
              <w:spacing w:after="0"/>
              <w:jc w:val="center"/>
              <w:rPr>
                <w:b/>
                <w:bCs/>
                <w:sz w:val="20"/>
                <w:szCs w:val="20"/>
                <w:lang w:val="en-US"/>
              </w:rPr>
            </w:pPr>
            <w:r w:rsidRPr="37FF86E9">
              <w:rPr>
                <w:b/>
                <w:bCs/>
                <w:sz w:val="20"/>
                <w:szCs w:val="20"/>
                <w:lang w:val="en-US"/>
              </w:rPr>
              <w:t>Public spaces listed on plan</w:t>
            </w:r>
          </w:p>
        </w:tc>
        <w:tc>
          <w:tcPr>
            <w:tcW w:w="1812" w:type="dxa"/>
            <w:tcBorders>
              <w:bottom w:val="single" w:sz="4" w:space="0" w:color="000000" w:themeColor="text1"/>
            </w:tcBorders>
            <w:vAlign w:val="center"/>
          </w:tcPr>
          <w:p w14:paraId="2796B0FF" w14:textId="3F02EE2A" w:rsidR="004F7DB3" w:rsidRPr="00A86393" w:rsidRDefault="23988C03" w:rsidP="37FF86E9">
            <w:pPr>
              <w:spacing w:after="0"/>
              <w:jc w:val="center"/>
              <w:rPr>
                <w:b/>
                <w:bCs/>
                <w:sz w:val="20"/>
                <w:szCs w:val="20"/>
                <w:lang w:val="en-US"/>
              </w:rPr>
            </w:pPr>
            <w:r w:rsidRPr="5D8904BE">
              <w:rPr>
                <w:b/>
                <w:bCs/>
                <w:sz w:val="20"/>
                <w:szCs w:val="20"/>
                <w:lang w:val="en-US"/>
              </w:rPr>
              <w:t>Public spaces identified in the field mapping</w:t>
            </w:r>
          </w:p>
          <w:p w14:paraId="00000162" w14:textId="4C90AF46" w:rsidR="004F7DB3" w:rsidRPr="00A86393" w:rsidRDefault="004F7DB3" w:rsidP="24AA8F7E">
            <w:pPr>
              <w:spacing w:after="0"/>
              <w:jc w:val="center"/>
              <w:rPr>
                <w:b/>
                <w:bCs/>
                <w:sz w:val="20"/>
                <w:szCs w:val="20"/>
                <w:lang w:val="en-US"/>
              </w:rPr>
            </w:pPr>
          </w:p>
        </w:tc>
        <w:tc>
          <w:tcPr>
            <w:tcW w:w="1812" w:type="dxa"/>
            <w:tcBorders>
              <w:bottom w:val="single" w:sz="4" w:space="0" w:color="000000" w:themeColor="text1"/>
            </w:tcBorders>
            <w:vAlign w:val="center"/>
          </w:tcPr>
          <w:p w14:paraId="00000163" w14:textId="2CF749CA" w:rsidR="004F7DB3" w:rsidRPr="006F5E1D" w:rsidRDefault="248577D4" w:rsidP="37FF86E9">
            <w:pPr>
              <w:spacing w:after="0"/>
              <w:jc w:val="center"/>
              <w:rPr>
                <w:lang w:val="en-US"/>
              </w:rPr>
            </w:pPr>
            <w:r w:rsidRPr="5D8904BE">
              <w:rPr>
                <w:b/>
                <w:bCs/>
                <w:sz w:val="20"/>
                <w:szCs w:val="20"/>
                <w:lang w:val="en-US"/>
              </w:rPr>
              <w:t xml:space="preserve">Non identified spaces in the field </w:t>
            </w:r>
          </w:p>
        </w:tc>
      </w:tr>
      <w:tr w:rsidR="004F7DB3" w:rsidRPr="00A86393" w14:paraId="196DEB72" w14:textId="77777777" w:rsidTr="5D8904BE">
        <w:tc>
          <w:tcPr>
            <w:tcW w:w="1812" w:type="dxa"/>
            <w:tcBorders>
              <w:top w:val="single" w:sz="4" w:space="0" w:color="000000" w:themeColor="text1"/>
            </w:tcBorders>
          </w:tcPr>
          <w:p w14:paraId="00000164" w14:textId="77777777" w:rsidR="004F7DB3" w:rsidRPr="00A86393" w:rsidRDefault="00C00123">
            <w:pPr>
              <w:spacing w:after="0"/>
              <w:jc w:val="both"/>
              <w:rPr>
                <w:sz w:val="20"/>
                <w:szCs w:val="20"/>
              </w:rPr>
            </w:pPr>
            <w:r w:rsidRPr="00A86393">
              <w:rPr>
                <w:sz w:val="20"/>
                <w:szCs w:val="20"/>
              </w:rPr>
              <w:t>Commune I</w:t>
            </w:r>
          </w:p>
        </w:tc>
        <w:tc>
          <w:tcPr>
            <w:tcW w:w="1812" w:type="dxa"/>
            <w:tcBorders>
              <w:top w:val="single" w:sz="4" w:space="0" w:color="000000" w:themeColor="text1"/>
            </w:tcBorders>
            <w:vAlign w:val="center"/>
          </w:tcPr>
          <w:p w14:paraId="00000165" w14:textId="77777777" w:rsidR="004F7DB3" w:rsidRPr="00A86393" w:rsidRDefault="00C00123">
            <w:pPr>
              <w:spacing w:after="0"/>
              <w:jc w:val="center"/>
              <w:rPr>
                <w:sz w:val="20"/>
                <w:szCs w:val="20"/>
              </w:rPr>
            </w:pPr>
            <w:r w:rsidRPr="00A86393">
              <w:rPr>
                <w:sz w:val="20"/>
                <w:szCs w:val="20"/>
              </w:rPr>
              <w:t>89</w:t>
            </w:r>
          </w:p>
        </w:tc>
        <w:tc>
          <w:tcPr>
            <w:tcW w:w="1812" w:type="dxa"/>
            <w:tcBorders>
              <w:top w:val="single" w:sz="4" w:space="0" w:color="000000" w:themeColor="text1"/>
            </w:tcBorders>
            <w:vAlign w:val="center"/>
          </w:tcPr>
          <w:p w14:paraId="00000166" w14:textId="77777777" w:rsidR="004F7DB3" w:rsidRPr="00A86393" w:rsidRDefault="00C00123">
            <w:pPr>
              <w:spacing w:after="0"/>
              <w:jc w:val="center"/>
              <w:rPr>
                <w:sz w:val="20"/>
                <w:szCs w:val="20"/>
              </w:rPr>
            </w:pPr>
            <w:r w:rsidRPr="00A86393">
              <w:rPr>
                <w:sz w:val="20"/>
                <w:szCs w:val="20"/>
              </w:rPr>
              <w:t>436</w:t>
            </w:r>
          </w:p>
        </w:tc>
        <w:tc>
          <w:tcPr>
            <w:tcW w:w="1812" w:type="dxa"/>
            <w:tcBorders>
              <w:top w:val="single" w:sz="4" w:space="0" w:color="000000" w:themeColor="text1"/>
            </w:tcBorders>
            <w:vAlign w:val="center"/>
          </w:tcPr>
          <w:p w14:paraId="00000167" w14:textId="77777777" w:rsidR="004F7DB3" w:rsidRPr="00A86393" w:rsidRDefault="00C00123">
            <w:pPr>
              <w:spacing w:after="0"/>
              <w:jc w:val="center"/>
              <w:rPr>
                <w:sz w:val="20"/>
                <w:szCs w:val="20"/>
              </w:rPr>
            </w:pPr>
            <w:r w:rsidRPr="00A86393">
              <w:rPr>
                <w:sz w:val="20"/>
                <w:szCs w:val="20"/>
              </w:rPr>
              <w:t>403</w:t>
            </w:r>
          </w:p>
        </w:tc>
        <w:tc>
          <w:tcPr>
            <w:tcW w:w="1812" w:type="dxa"/>
            <w:tcBorders>
              <w:top w:val="single" w:sz="4" w:space="0" w:color="000000" w:themeColor="text1"/>
            </w:tcBorders>
            <w:vAlign w:val="center"/>
          </w:tcPr>
          <w:p w14:paraId="00000168" w14:textId="77777777" w:rsidR="004F7DB3" w:rsidRPr="00A86393" w:rsidRDefault="00C00123">
            <w:pPr>
              <w:spacing w:after="0"/>
              <w:jc w:val="center"/>
              <w:rPr>
                <w:sz w:val="20"/>
                <w:szCs w:val="20"/>
              </w:rPr>
            </w:pPr>
            <w:r w:rsidRPr="00A86393">
              <w:rPr>
                <w:sz w:val="20"/>
                <w:szCs w:val="20"/>
              </w:rPr>
              <w:t>33</w:t>
            </w:r>
          </w:p>
        </w:tc>
      </w:tr>
      <w:tr w:rsidR="004F7DB3" w:rsidRPr="00A86393" w14:paraId="28EE372D" w14:textId="77777777" w:rsidTr="5D8904BE">
        <w:tc>
          <w:tcPr>
            <w:tcW w:w="1812" w:type="dxa"/>
          </w:tcPr>
          <w:p w14:paraId="00000169" w14:textId="77777777" w:rsidR="004F7DB3" w:rsidRPr="00A86393" w:rsidRDefault="00C00123">
            <w:pPr>
              <w:spacing w:after="0"/>
              <w:jc w:val="both"/>
              <w:rPr>
                <w:sz w:val="20"/>
                <w:szCs w:val="20"/>
              </w:rPr>
            </w:pPr>
            <w:r w:rsidRPr="00A86393">
              <w:rPr>
                <w:sz w:val="20"/>
                <w:szCs w:val="20"/>
              </w:rPr>
              <w:t>Commune II</w:t>
            </w:r>
          </w:p>
        </w:tc>
        <w:tc>
          <w:tcPr>
            <w:tcW w:w="1812" w:type="dxa"/>
            <w:vAlign w:val="center"/>
          </w:tcPr>
          <w:p w14:paraId="0000016A" w14:textId="77777777" w:rsidR="004F7DB3" w:rsidRPr="00A86393" w:rsidRDefault="00C00123">
            <w:pPr>
              <w:spacing w:after="0"/>
              <w:jc w:val="center"/>
              <w:rPr>
                <w:sz w:val="20"/>
                <w:szCs w:val="20"/>
              </w:rPr>
            </w:pPr>
            <w:r w:rsidRPr="00A86393">
              <w:rPr>
                <w:sz w:val="20"/>
                <w:szCs w:val="20"/>
              </w:rPr>
              <w:t>30</w:t>
            </w:r>
          </w:p>
        </w:tc>
        <w:tc>
          <w:tcPr>
            <w:tcW w:w="1812" w:type="dxa"/>
            <w:vAlign w:val="center"/>
          </w:tcPr>
          <w:p w14:paraId="0000016B" w14:textId="77777777" w:rsidR="004F7DB3" w:rsidRPr="00A86393" w:rsidRDefault="00C00123">
            <w:pPr>
              <w:spacing w:after="0"/>
              <w:jc w:val="center"/>
              <w:rPr>
                <w:sz w:val="20"/>
                <w:szCs w:val="20"/>
              </w:rPr>
            </w:pPr>
            <w:r w:rsidRPr="00A86393">
              <w:rPr>
                <w:sz w:val="20"/>
                <w:szCs w:val="20"/>
              </w:rPr>
              <w:t>220</w:t>
            </w:r>
          </w:p>
        </w:tc>
        <w:tc>
          <w:tcPr>
            <w:tcW w:w="1812" w:type="dxa"/>
            <w:vAlign w:val="center"/>
          </w:tcPr>
          <w:p w14:paraId="0000016C" w14:textId="77777777" w:rsidR="004F7DB3" w:rsidRPr="00A86393" w:rsidRDefault="00C00123">
            <w:pPr>
              <w:spacing w:after="0"/>
              <w:jc w:val="center"/>
              <w:rPr>
                <w:sz w:val="20"/>
                <w:szCs w:val="20"/>
              </w:rPr>
            </w:pPr>
            <w:r w:rsidRPr="00A86393">
              <w:rPr>
                <w:sz w:val="20"/>
                <w:szCs w:val="20"/>
              </w:rPr>
              <w:t>217</w:t>
            </w:r>
          </w:p>
        </w:tc>
        <w:tc>
          <w:tcPr>
            <w:tcW w:w="1812" w:type="dxa"/>
            <w:vAlign w:val="center"/>
          </w:tcPr>
          <w:p w14:paraId="0000016D" w14:textId="77777777" w:rsidR="004F7DB3" w:rsidRPr="00A86393" w:rsidRDefault="00C00123">
            <w:pPr>
              <w:spacing w:after="0"/>
              <w:jc w:val="center"/>
              <w:rPr>
                <w:sz w:val="20"/>
                <w:szCs w:val="20"/>
              </w:rPr>
            </w:pPr>
            <w:r w:rsidRPr="00A86393">
              <w:rPr>
                <w:sz w:val="20"/>
                <w:szCs w:val="20"/>
              </w:rPr>
              <w:t>3</w:t>
            </w:r>
          </w:p>
        </w:tc>
      </w:tr>
      <w:tr w:rsidR="004F7DB3" w:rsidRPr="00A86393" w14:paraId="55C78D1E" w14:textId="77777777" w:rsidTr="5D8904BE">
        <w:tc>
          <w:tcPr>
            <w:tcW w:w="1812" w:type="dxa"/>
          </w:tcPr>
          <w:p w14:paraId="0000016E" w14:textId="77777777" w:rsidR="004F7DB3" w:rsidRPr="00A86393" w:rsidRDefault="00C00123">
            <w:pPr>
              <w:spacing w:after="0"/>
              <w:jc w:val="both"/>
              <w:rPr>
                <w:sz w:val="20"/>
                <w:szCs w:val="20"/>
              </w:rPr>
            </w:pPr>
            <w:r w:rsidRPr="00A86393">
              <w:rPr>
                <w:sz w:val="20"/>
                <w:szCs w:val="20"/>
              </w:rPr>
              <w:t>Commune III</w:t>
            </w:r>
          </w:p>
        </w:tc>
        <w:tc>
          <w:tcPr>
            <w:tcW w:w="1812" w:type="dxa"/>
            <w:vAlign w:val="center"/>
          </w:tcPr>
          <w:p w14:paraId="0000016F" w14:textId="77777777" w:rsidR="004F7DB3" w:rsidRPr="00A86393" w:rsidRDefault="00C00123">
            <w:pPr>
              <w:spacing w:after="0"/>
              <w:jc w:val="center"/>
              <w:rPr>
                <w:sz w:val="20"/>
                <w:szCs w:val="20"/>
              </w:rPr>
            </w:pPr>
            <w:r w:rsidRPr="00A86393">
              <w:rPr>
                <w:sz w:val="20"/>
                <w:szCs w:val="20"/>
              </w:rPr>
              <w:t>08</w:t>
            </w:r>
          </w:p>
        </w:tc>
        <w:tc>
          <w:tcPr>
            <w:tcW w:w="1812" w:type="dxa"/>
            <w:vAlign w:val="center"/>
          </w:tcPr>
          <w:p w14:paraId="00000170" w14:textId="77777777" w:rsidR="004F7DB3" w:rsidRPr="00A86393" w:rsidRDefault="00C00123">
            <w:pPr>
              <w:spacing w:after="0"/>
              <w:jc w:val="center"/>
              <w:rPr>
                <w:sz w:val="20"/>
                <w:szCs w:val="20"/>
              </w:rPr>
            </w:pPr>
            <w:r w:rsidRPr="00A86393">
              <w:rPr>
                <w:sz w:val="20"/>
                <w:szCs w:val="20"/>
              </w:rPr>
              <w:t>118</w:t>
            </w:r>
          </w:p>
        </w:tc>
        <w:tc>
          <w:tcPr>
            <w:tcW w:w="1812" w:type="dxa"/>
            <w:vAlign w:val="center"/>
          </w:tcPr>
          <w:p w14:paraId="00000171" w14:textId="77777777" w:rsidR="004F7DB3" w:rsidRPr="00A86393" w:rsidRDefault="00C00123">
            <w:pPr>
              <w:spacing w:after="0"/>
              <w:jc w:val="center"/>
              <w:rPr>
                <w:sz w:val="20"/>
                <w:szCs w:val="20"/>
              </w:rPr>
            </w:pPr>
            <w:r w:rsidRPr="00A86393">
              <w:rPr>
                <w:sz w:val="20"/>
                <w:szCs w:val="20"/>
              </w:rPr>
              <w:t>118</w:t>
            </w:r>
          </w:p>
        </w:tc>
        <w:tc>
          <w:tcPr>
            <w:tcW w:w="1812" w:type="dxa"/>
            <w:vAlign w:val="center"/>
          </w:tcPr>
          <w:p w14:paraId="00000172" w14:textId="77777777" w:rsidR="004F7DB3" w:rsidRPr="00A86393" w:rsidRDefault="00C00123">
            <w:pPr>
              <w:spacing w:after="0"/>
              <w:jc w:val="center"/>
              <w:rPr>
                <w:sz w:val="20"/>
                <w:szCs w:val="20"/>
              </w:rPr>
            </w:pPr>
            <w:r w:rsidRPr="00A86393">
              <w:rPr>
                <w:sz w:val="20"/>
                <w:szCs w:val="20"/>
              </w:rPr>
              <w:t>0</w:t>
            </w:r>
          </w:p>
        </w:tc>
      </w:tr>
      <w:tr w:rsidR="004F7DB3" w:rsidRPr="00A86393" w14:paraId="637D9495" w14:textId="77777777" w:rsidTr="5D8904BE">
        <w:tc>
          <w:tcPr>
            <w:tcW w:w="1812" w:type="dxa"/>
          </w:tcPr>
          <w:p w14:paraId="00000173" w14:textId="77777777" w:rsidR="004F7DB3" w:rsidRPr="00A86393" w:rsidRDefault="00C00123">
            <w:pPr>
              <w:spacing w:after="0"/>
              <w:jc w:val="both"/>
              <w:rPr>
                <w:sz w:val="20"/>
                <w:szCs w:val="20"/>
              </w:rPr>
            </w:pPr>
            <w:r w:rsidRPr="00A86393">
              <w:rPr>
                <w:sz w:val="20"/>
                <w:szCs w:val="20"/>
              </w:rPr>
              <w:t>Commune IV</w:t>
            </w:r>
          </w:p>
        </w:tc>
        <w:tc>
          <w:tcPr>
            <w:tcW w:w="1812" w:type="dxa"/>
            <w:vAlign w:val="center"/>
          </w:tcPr>
          <w:p w14:paraId="00000174" w14:textId="77777777" w:rsidR="004F7DB3" w:rsidRPr="00A86393" w:rsidRDefault="00C00123">
            <w:pPr>
              <w:spacing w:after="0"/>
              <w:jc w:val="center"/>
              <w:rPr>
                <w:sz w:val="20"/>
                <w:szCs w:val="20"/>
              </w:rPr>
            </w:pPr>
            <w:r w:rsidRPr="00A86393">
              <w:rPr>
                <w:sz w:val="20"/>
                <w:szCs w:val="20"/>
              </w:rPr>
              <w:t>64</w:t>
            </w:r>
          </w:p>
        </w:tc>
        <w:tc>
          <w:tcPr>
            <w:tcW w:w="1812" w:type="dxa"/>
            <w:vAlign w:val="center"/>
          </w:tcPr>
          <w:p w14:paraId="00000175" w14:textId="77777777" w:rsidR="004F7DB3" w:rsidRPr="00A86393" w:rsidRDefault="00C00123">
            <w:pPr>
              <w:spacing w:after="0"/>
              <w:jc w:val="center"/>
              <w:rPr>
                <w:sz w:val="20"/>
                <w:szCs w:val="20"/>
              </w:rPr>
            </w:pPr>
            <w:r w:rsidRPr="00A86393">
              <w:rPr>
                <w:sz w:val="20"/>
                <w:szCs w:val="20"/>
              </w:rPr>
              <w:t>460</w:t>
            </w:r>
          </w:p>
        </w:tc>
        <w:tc>
          <w:tcPr>
            <w:tcW w:w="1812" w:type="dxa"/>
            <w:vAlign w:val="center"/>
          </w:tcPr>
          <w:p w14:paraId="00000176" w14:textId="77777777" w:rsidR="004F7DB3" w:rsidRPr="00A86393" w:rsidRDefault="00C00123">
            <w:pPr>
              <w:spacing w:after="0"/>
              <w:jc w:val="center"/>
              <w:rPr>
                <w:sz w:val="20"/>
                <w:szCs w:val="20"/>
              </w:rPr>
            </w:pPr>
            <w:r w:rsidRPr="00A86393">
              <w:rPr>
                <w:sz w:val="20"/>
                <w:szCs w:val="20"/>
              </w:rPr>
              <w:t>356</w:t>
            </w:r>
          </w:p>
        </w:tc>
        <w:tc>
          <w:tcPr>
            <w:tcW w:w="1812" w:type="dxa"/>
            <w:vAlign w:val="center"/>
          </w:tcPr>
          <w:p w14:paraId="00000177" w14:textId="77777777" w:rsidR="004F7DB3" w:rsidRPr="00A86393" w:rsidRDefault="00C00123">
            <w:pPr>
              <w:spacing w:after="0"/>
              <w:jc w:val="center"/>
              <w:rPr>
                <w:sz w:val="20"/>
                <w:szCs w:val="20"/>
              </w:rPr>
            </w:pPr>
            <w:r w:rsidRPr="00A86393">
              <w:rPr>
                <w:sz w:val="20"/>
                <w:szCs w:val="20"/>
              </w:rPr>
              <w:t>104</w:t>
            </w:r>
          </w:p>
        </w:tc>
      </w:tr>
      <w:tr w:rsidR="004F7DB3" w:rsidRPr="00A86393" w14:paraId="63BA0C6A" w14:textId="77777777" w:rsidTr="5D8904BE">
        <w:tc>
          <w:tcPr>
            <w:tcW w:w="1812" w:type="dxa"/>
          </w:tcPr>
          <w:p w14:paraId="00000178" w14:textId="77777777" w:rsidR="004F7DB3" w:rsidRPr="00A86393" w:rsidRDefault="00C00123">
            <w:pPr>
              <w:spacing w:after="0"/>
              <w:jc w:val="both"/>
              <w:rPr>
                <w:sz w:val="20"/>
                <w:szCs w:val="20"/>
              </w:rPr>
            </w:pPr>
            <w:r w:rsidRPr="00A86393">
              <w:rPr>
                <w:sz w:val="20"/>
                <w:szCs w:val="20"/>
              </w:rPr>
              <w:t>Commune V</w:t>
            </w:r>
          </w:p>
        </w:tc>
        <w:tc>
          <w:tcPr>
            <w:tcW w:w="1812" w:type="dxa"/>
            <w:vAlign w:val="center"/>
          </w:tcPr>
          <w:p w14:paraId="00000179" w14:textId="77777777" w:rsidR="004F7DB3" w:rsidRPr="00A86393" w:rsidRDefault="00C00123">
            <w:pPr>
              <w:spacing w:after="0"/>
              <w:jc w:val="center"/>
              <w:rPr>
                <w:sz w:val="20"/>
                <w:szCs w:val="20"/>
              </w:rPr>
            </w:pPr>
            <w:r w:rsidRPr="00A86393">
              <w:rPr>
                <w:sz w:val="20"/>
                <w:szCs w:val="20"/>
              </w:rPr>
              <w:t>40</w:t>
            </w:r>
          </w:p>
        </w:tc>
        <w:tc>
          <w:tcPr>
            <w:tcW w:w="1812" w:type="dxa"/>
            <w:vAlign w:val="center"/>
          </w:tcPr>
          <w:p w14:paraId="0000017A" w14:textId="77777777" w:rsidR="004F7DB3" w:rsidRPr="00A86393" w:rsidRDefault="00C00123">
            <w:pPr>
              <w:spacing w:after="0"/>
              <w:jc w:val="center"/>
              <w:rPr>
                <w:sz w:val="20"/>
                <w:szCs w:val="20"/>
              </w:rPr>
            </w:pPr>
            <w:r w:rsidRPr="00A86393">
              <w:rPr>
                <w:sz w:val="20"/>
                <w:szCs w:val="20"/>
              </w:rPr>
              <w:t>423</w:t>
            </w:r>
          </w:p>
        </w:tc>
        <w:tc>
          <w:tcPr>
            <w:tcW w:w="1812" w:type="dxa"/>
            <w:vAlign w:val="center"/>
          </w:tcPr>
          <w:p w14:paraId="0000017B" w14:textId="77777777" w:rsidR="004F7DB3" w:rsidRPr="00A86393" w:rsidRDefault="00C00123">
            <w:pPr>
              <w:spacing w:after="0"/>
              <w:jc w:val="center"/>
              <w:rPr>
                <w:sz w:val="20"/>
                <w:szCs w:val="20"/>
              </w:rPr>
            </w:pPr>
            <w:r w:rsidRPr="00A86393">
              <w:rPr>
                <w:sz w:val="20"/>
                <w:szCs w:val="20"/>
              </w:rPr>
              <w:t>423</w:t>
            </w:r>
          </w:p>
        </w:tc>
        <w:tc>
          <w:tcPr>
            <w:tcW w:w="1812" w:type="dxa"/>
            <w:vAlign w:val="center"/>
          </w:tcPr>
          <w:p w14:paraId="0000017C" w14:textId="77777777" w:rsidR="004F7DB3" w:rsidRPr="00A86393" w:rsidRDefault="00C00123">
            <w:pPr>
              <w:spacing w:after="0"/>
              <w:jc w:val="center"/>
              <w:rPr>
                <w:sz w:val="20"/>
                <w:szCs w:val="20"/>
              </w:rPr>
            </w:pPr>
            <w:r w:rsidRPr="00A86393">
              <w:rPr>
                <w:sz w:val="20"/>
                <w:szCs w:val="20"/>
              </w:rPr>
              <w:t>0</w:t>
            </w:r>
          </w:p>
        </w:tc>
      </w:tr>
      <w:tr w:rsidR="004F7DB3" w:rsidRPr="00A86393" w14:paraId="737B3B1C" w14:textId="77777777" w:rsidTr="5D8904BE">
        <w:tc>
          <w:tcPr>
            <w:tcW w:w="1812" w:type="dxa"/>
            <w:tcBorders>
              <w:bottom w:val="single" w:sz="4" w:space="0" w:color="000000" w:themeColor="text1"/>
            </w:tcBorders>
          </w:tcPr>
          <w:p w14:paraId="0000017D" w14:textId="77777777" w:rsidR="004F7DB3" w:rsidRPr="00A86393" w:rsidRDefault="00C00123">
            <w:pPr>
              <w:spacing w:after="0"/>
              <w:jc w:val="both"/>
              <w:rPr>
                <w:sz w:val="20"/>
                <w:szCs w:val="20"/>
              </w:rPr>
            </w:pPr>
            <w:r w:rsidRPr="00A86393">
              <w:rPr>
                <w:sz w:val="20"/>
                <w:szCs w:val="20"/>
              </w:rPr>
              <w:t>Commune VI</w:t>
            </w:r>
          </w:p>
        </w:tc>
        <w:tc>
          <w:tcPr>
            <w:tcW w:w="1812" w:type="dxa"/>
            <w:tcBorders>
              <w:bottom w:val="single" w:sz="4" w:space="0" w:color="000000" w:themeColor="text1"/>
            </w:tcBorders>
            <w:vAlign w:val="center"/>
          </w:tcPr>
          <w:p w14:paraId="0000017E" w14:textId="77777777" w:rsidR="004F7DB3" w:rsidRPr="00A86393" w:rsidRDefault="00C00123">
            <w:pPr>
              <w:spacing w:after="0"/>
              <w:jc w:val="center"/>
              <w:rPr>
                <w:sz w:val="20"/>
                <w:szCs w:val="20"/>
              </w:rPr>
            </w:pPr>
            <w:r w:rsidRPr="00A86393">
              <w:rPr>
                <w:sz w:val="20"/>
                <w:szCs w:val="20"/>
              </w:rPr>
              <w:t>131</w:t>
            </w:r>
          </w:p>
        </w:tc>
        <w:tc>
          <w:tcPr>
            <w:tcW w:w="1812" w:type="dxa"/>
            <w:tcBorders>
              <w:bottom w:val="single" w:sz="4" w:space="0" w:color="000000" w:themeColor="text1"/>
            </w:tcBorders>
            <w:vAlign w:val="center"/>
          </w:tcPr>
          <w:p w14:paraId="0000017F" w14:textId="77777777" w:rsidR="004F7DB3" w:rsidRPr="00A86393" w:rsidRDefault="00C00123">
            <w:pPr>
              <w:spacing w:after="0"/>
              <w:jc w:val="center"/>
              <w:rPr>
                <w:sz w:val="20"/>
                <w:szCs w:val="20"/>
              </w:rPr>
            </w:pPr>
            <w:r w:rsidRPr="00A86393">
              <w:rPr>
                <w:sz w:val="20"/>
                <w:szCs w:val="20"/>
              </w:rPr>
              <w:t>762</w:t>
            </w:r>
          </w:p>
        </w:tc>
        <w:tc>
          <w:tcPr>
            <w:tcW w:w="1812" w:type="dxa"/>
            <w:tcBorders>
              <w:bottom w:val="single" w:sz="4" w:space="0" w:color="000000" w:themeColor="text1"/>
            </w:tcBorders>
            <w:vAlign w:val="center"/>
          </w:tcPr>
          <w:p w14:paraId="00000180" w14:textId="77777777" w:rsidR="004F7DB3" w:rsidRPr="00A86393" w:rsidRDefault="00C00123">
            <w:pPr>
              <w:spacing w:after="0"/>
              <w:jc w:val="center"/>
              <w:rPr>
                <w:sz w:val="20"/>
                <w:szCs w:val="20"/>
              </w:rPr>
            </w:pPr>
            <w:r w:rsidRPr="00A86393">
              <w:rPr>
                <w:sz w:val="20"/>
                <w:szCs w:val="20"/>
              </w:rPr>
              <w:t>585</w:t>
            </w:r>
          </w:p>
        </w:tc>
        <w:tc>
          <w:tcPr>
            <w:tcW w:w="1812" w:type="dxa"/>
            <w:tcBorders>
              <w:bottom w:val="single" w:sz="4" w:space="0" w:color="000000" w:themeColor="text1"/>
            </w:tcBorders>
            <w:vAlign w:val="center"/>
          </w:tcPr>
          <w:p w14:paraId="00000181" w14:textId="77777777" w:rsidR="004F7DB3" w:rsidRPr="00A86393" w:rsidRDefault="00C00123">
            <w:pPr>
              <w:spacing w:after="0"/>
              <w:jc w:val="center"/>
              <w:rPr>
                <w:sz w:val="20"/>
                <w:szCs w:val="20"/>
              </w:rPr>
            </w:pPr>
            <w:r w:rsidRPr="00A86393">
              <w:rPr>
                <w:sz w:val="20"/>
                <w:szCs w:val="20"/>
              </w:rPr>
              <w:t>177</w:t>
            </w:r>
          </w:p>
        </w:tc>
      </w:tr>
      <w:tr w:rsidR="004F7DB3" w:rsidRPr="00A86393" w14:paraId="5997A3FF" w14:textId="77777777" w:rsidTr="5D8904BE">
        <w:tc>
          <w:tcPr>
            <w:tcW w:w="1812" w:type="dxa"/>
            <w:tcBorders>
              <w:top w:val="single" w:sz="4" w:space="0" w:color="000000" w:themeColor="text1"/>
            </w:tcBorders>
          </w:tcPr>
          <w:p w14:paraId="00000182" w14:textId="77777777" w:rsidR="004F7DB3" w:rsidRPr="00A86393" w:rsidRDefault="00C00123">
            <w:pPr>
              <w:spacing w:after="0"/>
              <w:jc w:val="both"/>
              <w:rPr>
                <w:sz w:val="20"/>
                <w:szCs w:val="20"/>
              </w:rPr>
            </w:pPr>
            <w:r w:rsidRPr="00A86393">
              <w:rPr>
                <w:sz w:val="20"/>
                <w:szCs w:val="20"/>
              </w:rPr>
              <w:t>Total</w:t>
            </w:r>
          </w:p>
        </w:tc>
        <w:tc>
          <w:tcPr>
            <w:tcW w:w="1812" w:type="dxa"/>
            <w:tcBorders>
              <w:top w:val="single" w:sz="4" w:space="0" w:color="000000" w:themeColor="text1"/>
            </w:tcBorders>
            <w:vAlign w:val="center"/>
          </w:tcPr>
          <w:p w14:paraId="00000183" w14:textId="77777777" w:rsidR="004F7DB3" w:rsidRPr="00A86393" w:rsidRDefault="00C00123">
            <w:pPr>
              <w:spacing w:after="0"/>
              <w:jc w:val="center"/>
              <w:rPr>
                <w:sz w:val="20"/>
                <w:szCs w:val="20"/>
              </w:rPr>
            </w:pPr>
            <w:r w:rsidRPr="00A86393">
              <w:rPr>
                <w:sz w:val="20"/>
                <w:szCs w:val="20"/>
              </w:rPr>
              <w:t>362</w:t>
            </w:r>
          </w:p>
        </w:tc>
        <w:tc>
          <w:tcPr>
            <w:tcW w:w="1812" w:type="dxa"/>
            <w:tcBorders>
              <w:top w:val="single" w:sz="4" w:space="0" w:color="000000" w:themeColor="text1"/>
            </w:tcBorders>
            <w:vAlign w:val="center"/>
          </w:tcPr>
          <w:p w14:paraId="00000184" w14:textId="77777777" w:rsidR="004F7DB3" w:rsidRPr="00A86393" w:rsidRDefault="00C00123">
            <w:pPr>
              <w:spacing w:after="0"/>
              <w:jc w:val="center"/>
              <w:rPr>
                <w:sz w:val="20"/>
                <w:szCs w:val="20"/>
              </w:rPr>
            </w:pPr>
            <w:r w:rsidRPr="00A86393">
              <w:rPr>
                <w:sz w:val="20"/>
                <w:szCs w:val="20"/>
              </w:rPr>
              <w:t>2419</w:t>
            </w:r>
          </w:p>
        </w:tc>
        <w:tc>
          <w:tcPr>
            <w:tcW w:w="1812" w:type="dxa"/>
            <w:tcBorders>
              <w:top w:val="single" w:sz="4" w:space="0" w:color="000000" w:themeColor="text1"/>
            </w:tcBorders>
            <w:vAlign w:val="center"/>
          </w:tcPr>
          <w:p w14:paraId="00000185" w14:textId="77777777" w:rsidR="004F7DB3" w:rsidRPr="00A86393" w:rsidRDefault="00C00123">
            <w:pPr>
              <w:spacing w:after="0"/>
              <w:jc w:val="center"/>
              <w:rPr>
                <w:sz w:val="20"/>
                <w:szCs w:val="20"/>
              </w:rPr>
            </w:pPr>
            <w:r w:rsidRPr="00A86393">
              <w:rPr>
                <w:sz w:val="20"/>
                <w:szCs w:val="20"/>
              </w:rPr>
              <w:t>2102</w:t>
            </w:r>
          </w:p>
        </w:tc>
        <w:tc>
          <w:tcPr>
            <w:tcW w:w="1812" w:type="dxa"/>
            <w:tcBorders>
              <w:top w:val="single" w:sz="4" w:space="0" w:color="000000" w:themeColor="text1"/>
            </w:tcBorders>
            <w:vAlign w:val="center"/>
          </w:tcPr>
          <w:p w14:paraId="00000186" w14:textId="77777777" w:rsidR="004F7DB3" w:rsidRPr="00A86393" w:rsidRDefault="00C00123">
            <w:pPr>
              <w:spacing w:after="0"/>
              <w:jc w:val="center"/>
              <w:rPr>
                <w:sz w:val="20"/>
                <w:szCs w:val="20"/>
              </w:rPr>
            </w:pPr>
            <w:r w:rsidRPr="00A86393">
              <w:rPr>
                <w:sz w:val="20"/>
                <w:szCs w:val="20"/>
              </w:rPr>
              <w:t>317</w:t>
            </w:r>
          </w:p>
        </w:tc>
      </w:tr>
    </w:tbl>
    <w:p w14:paraId="00000187" w14:textId="77777777" w:rsidR="004F7DB3" w:rsidRPr="00A86393" w:rsidRDefault="004F7DB3">
      <w:pPr>
        <w:spacing w:after="0" w:line="240" w:lineRule="auto"/>
        <w:jc w:val="both"/>
        <w:rPr>
          <w:sz w:val="20"/>
          <w:szCs w:val="20"/>
        </w:rPr>
      </w:pPr>
    </w:p>
    <w:tbl>
      <w:tblPr>
        <w:tblStyle w:val="Grilledutableau"/>
        <w:tblW w:w="9188" w:type="dxa"/>
        <w:tblLayout w:type="fixed"/>
        <w:tblLook w:val="06A0" w:firstRow="1" w:lastRow="0" w:firstColumn="1" w:lastColumn="0" w:noHBand="1" w:noVBand="1"/>
      </w:tblPr>
      <w:tblGrid>
        <w:gridCol w:w="4530"/>
        <w:gridCol w:w="4658"/>
      </w:tblGrid>
      <w:tr w:rsidR="1BB5F5E3" w:rsidRPr="00F50786" w14:paraId="49B2C99D" w14:textId="77777777" w:rsidTr="5D8904BE">
        <w:trPr>
          <w:trHeight w:val="300"/>
        </w:trPr>
        <w:tc>
          <w:tcPr>
            <w:tcW w:w="4530" w:type="dxa"/>
          </w:tcPr>
          <w:p w14:paraId="6364D3FD" w14:textId="77777777" w:rsidR="00DC5741" w:rsidRDefault="09C5B6C4" w:rsidP="00DC5741">
            <w:pPr>
              <w:keepNext/>
            </w:pPr>
            <w:r w:rsidRPr="00A86393">
              <w:rPr>
                <w:noProof/>
              </w:rPr>
              <w:lastRenderedPageBreak/>
              <w:drawing>
                <wp:inline distT="0" distB="0" distL="0" distR="0" wp14:anchorId="3C467367" wp14:editId="6BCEF26C">
                  <wp:extent cx="2733675" cy="2447925"/>
                  <wp:effectExtent l="0" t="0" r="0" b="0"/>
                  <wp:docPr id="126956165" name="Picture 126956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956165"/>
                          <pic:cNvPicPr/>
                        </pic:nvPicPr>
                        <pic:blipFill>
                          <a:blip r:embed="rId28">
                            <a:extLst>
                              <a:ext uri="{28A0092B-C50C-407E-A947-70E740481C1C}">
                                <a14:useLocalDpi xmlns:a14="http://schemas.microsoft.com/office/drawing/2010/main" val="0"/>
                              </a:ext>
                            </a:extLst>
                          </a:blip>
                          <a:stretch>
                            <a:fillRect/>
                          </a:stretch>
                        </pic:blipFill>
                        <pic:spPr>
                          <a:xfrm>
                            <a:off x="0" y="0"/>
                            <a:ext cx="2733675" cy="2447925"/>
                          </a:xfrm>
                          <a:prstGeom prst="rect">
                            <a:avLst/>
                          </a:prstGeom>
                        </pic:spPr>
                      </pic:pic>
                    </a:graphicData>
                  </a:graphic>
                </wp:inline>
              </w:drawing>
            </w:r>
          </w:p>
          <w:p w14:paraId="1609D3AC" w14:textId="4D11D0C2" w:rsidR="1841E3F2" w:rsidRPr="00DC5741" w:rsidRDefault="7EF3A328" w:rsidP="00DC5741">
            <w:pPr>
              <w:pStyle w:val="Lgende"/>
              <w:rPr>
                <w:rFonts w:ascii="Calibri" w:hAnsi="Calibri" w:cs="Calibri"/>
                <w:sz w:val="20"/>
                <w:szCs w:val="20"/>
                <w:lang w:val="en-US"/>
              </w:rPr>
            </w:pPr>
            <w:bookmarkStart w:id="21" w:name="_Toc199131203"/>
            <w:r w:rsidRPr="5D8904BE">
              <w:rPr>
                <w:rFonts w:ascii="Calibri" w:hAnsi="Calibri" w:cs="Calibri"/>
                <w:sz w:val="20"/>
                <w:szCs w:val="20"/>
                <w:lang w:val="en-US"/>
              </w:rPr>
              <w:t xml:space="preserve">Figure </w:t>
            </w:r>
            <w:r w:rsidR="00DC5741" w:rsidRPr="5D8904BE">
              <w:rPr>
                <w:rFonts w:ascii="Calibri" w:hAnsi="Calibri" w:cs="Calibri"/>
                <w:sz w:val="20"/>
                <w:szCs w:val="20"/>
              </w:rPr>
              <w:fldChar w:fldCharType="begin"/>
            </w:r>
            <w:r w:rsidR="00DC5741" w:rsidRPr="5D8904BE">
              <w:rPr>
                <w:rFonts w:ascii="Calibri" w:hAnsi="Calibri" w:cs="Calibri"/>
                <w:sz w:val="20"/>
                <w:szCs w:val="20"/>
                <w:lang w:val="en-US"/>
              </w:rPr>
              <w:instrText xml:space="preserve"> SEQ Figure \* ARABIC </w:instrText>
            </w:r>
            <w:r w:rsidR="00DC5741" w:rsidRPr="5D8904BE">
              <w:rPr>
                <w:rFonts w:ascii="Calibri" w:hAnsi="Calibri" w:cs="Calibri"/>
                <w:sz w:val="20"/>
                <w:szCs w:val="20"/>
              </w:rPr>
              <w:fldChar w:fldCharType="separate"/>
            </w:r>
            <w:r w:rsidR="03DA7985" w:rsidRPr="5D8904BE">
              <w:rPr>
                <w:rFonts w:ascii="Calibri" w:hAnsi="Calibri" w:cs="Calibri"/>
                <w:noProof/>
                <w:sz w:val="20"/>
                <w:szCs w:val="20"/>
                <w:lang w:val="en-US"/>
              </w:rPr>
              <w:t>2</w:t>
            </w:r>
            <w:r w:rsidR="00DC5741" w:rsidRPr="5D8904BE">
              <w:rPr>
                <w:rFonts w:ascii="Calibri" w:hAnsi="Calibri" w:cs="Calibri"/>
                <w:sz w:val="20"/>
                <w:szCs w:val="20"/>
              </w:rPr>
              <w:fldChar w:fldCharType="end"/>
            </w:r>
            <w:r w:rsidRPr="5D8904BE">
              <w:rPr>
                <w:rFonts w:ascii="Calibri" w:hAnsi="Calibri" w:cs="Calibri"/>
                <w:sz w:val="20"/>
                <w:szCs w:val="20"/>
                <w:lang w:val="en-US"/>
              </w:rPr>
              <w:t xml:space="preserve"> Mapping of spaces identified in the field in 2018</w:t>
            </w:r>
            <w:bookmarkEnd w:id="21"/>
          </w:p>
        </w:tc>
        <w:tc>
          <w:tcPr>
            <w:tcW w:w="4658" w:type="dxa"/>
          </w:tcPr>
          <w:p w14:paraId="34CE4314" w14:textId="77777777" w:rsidR="00DC5741" w:rsidRDefault="40BFC879" w:rsidP="00DC5741">
            <w:pPr>
              <w:keepNext/>
            </w:pPr>
            <w:r w:rsidRPr="00A86393">
              <w:rPr>
                <w:noProof/>
              </w:rPr>
              <w:drawing>
                <wp:inline distT="0" distB="0" distL="0" distR="0" wp14:anchorId="5AFA92B8" wp14:editId="520C02C8">
                  <wp:extent cx="2645969" cy="2457450"/>
                  <wp:effectExtent l="0" t="0" r="0" b="0"/>
                  <wp:docPr id="1792103333" name="Picture 179210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2103333"/>
                          <pic:cNvPicPr/>
                        </pic:nvPicPr>
                        <pic:blipFill>
                          <a:blip r:embed="rId29">
                            <a:extLst>
                              <a:ext uri="{28A0092B-C50C-407E-A947-70E740481C1C}">
                                <a14:useLocalDpi xmlns:a14="http://schemas.microsoft.com/office/drawing/2010/main" val="0"/>
                              </a:ext>
                            </a:extLst>
                          </a:blip>
                          <a:stretch>
                            <a:fillRect/>
                          </a:stretch>
                        </pic:blipFill>
                        <pic:spPr>
                          <a:xfrm>
                            <a:off x="0" y="0"/>
                            <a:ext cx="2645969" cy="2457450"/>
                          </a:xfrm>
                          <a:prstGeom prst="rect">
                            <a:avLst/>
                          </a:prstGeom>
                        </pic:spPr>
                      </pic:pic>
                    </a:graphicData>
                  </a:graphic>
                </wp:inline>
              </w:drawing>
            </w:r>
          </w:p>
          <w:p w14:paraId="67F030A1" w14:textId="7C60F46C" w:rsidR="00DC5741" w:rsidRPr="00DC5741" w:rsidRDefault="00DC5741" w:rsidP="00DC5741">
            <w:pPr>
              <w:pStyle w:val="Lgende"/>
              <w:rPr>
                <w:rFonts w:ascii="Calibri" w:hAnsi="Calibri" w:cs="Calibri"/>
                <w:sz w:val="20"/>
                <w:szCs w:val="18"/>
                <w:lang w:val="en-US"/>
              </w:rPr>
            </w:pPr>
            <w:bookmarkStart w:id="22" w:name="_Toc199131204"/>
            <w:r w:rsidRPr="00DC5741">
              <w:rPr>
                <w:rFonts w:ascii="Calibri" w:hAnsi="Calibri" w:cs="Calibri"/>
                <w:sz w:val="20"/>
                <w:szCs w:val="18"/>
                <w:lang w:val="en-US"/>
              </w:rPr>
              <w:t xml:space="preserve">Figure </w:t>
            </w:r>
            <w:r w:rsidRPr="00DC5741">
              <w:rPr>
                <w:rFonts w:ascii="Calibri" w:hAnsi="Calibri" w:cs="Calibri"/>
                <w:sz w:val="20"/>
                <w:szCs w:val="18"/>
              </w:rPr>
              <w:fldChar w:fldCharType="begin"/>
            </w:r>
            <w:r w:rsidRPr="00DC5741">
              <w:rPr>
                <w:rFonts w:ascii="Calibri" w:hAnsi="Calibri" w:cs="Calibri"/>
                <w:sz w:val="20"/>
                <w:szCs w:val="18"/>
                <w:lang w:val="en-US"/>
              </w:rPr>
              <w:instrText xml:space="preserve"> SEQ Figure \* ARABIC </w:instrText>
            </w:r>
            <w:r w:rsidRPr="00DC5741">
              <w:rPr>
                <w:rFonts w:ascii="Calibri" w:hAnsi="Calibri" w:cs="Calibri"/>
                <w:sz w:val="20"/>
                <w:szCs w:val="18"/>
              </w:rPr>
              <w:fldChar w:fldCharType="separate"/>
            </w:r>
            <w:r w:rsidR="00A350E0">
              <w:rPr>
                <w:rFonts w:ascii="Calibri" w:hAnsi="Calibri" w:cs="Calibri"/>
                <w:noProof/>
                <w:sz w:val="20"/>
                <w:szCs w:val="18"/>
                <w:lang w:val="en-US"/>
              </w:rPr>
              <w:t>3</w:t>
            </w:r>
            <w:r w:rsidRPr="00DC5741">
              <w:rPr>
                <w:rFonts w:ascii="Calibri" w:hAnsi="Calibri" w:cs="Calibri"/>
                <w:sz w:val="20"/>
                <w:szCs w:val="18"/>
              </w:rPr>
              <w:fldChar w:fldCharType="end"/>
            </w:r>
            <w:r w:rsidRPr="00DC5741">
              <w:rPr>
                <w:rFonts w:ascii="Calibri" w:hAnsi="Calibri" w:cs="Calibri"/>
                <w:sz w:val="20"/>
                <w:szCs w:val="18"/>
                <w:lang w:val="en-US"/>
              </w:rPr>
              <w:t xml:space="preserve"> Coverage of the District in terms of space for equipment</w:t>
            </w:r>
            <w:bookmarkEnd w:id="22"/>
          </w:p>
          <w:p w14:paraId="3D0453C7" w14:textId="52918CAA" w:rsidR="1AA254CA" w:rsidRPr="00DC5741" w:rsidRDefault="1AA254CA" w:rsidP="00DC5741">
            <w:pPr>
              <w:rPr>
                <w:rFonts w:cs="Calibri"/>
                <w:lang w:val="en-US"/>
              </w:rPr>
            </w:pPr>
          </w:p>
        </w:tc>
      </w:tr>
    </w:tbl>
    <w:p w14:paraId="122365D2" w14:textId="77777777" w:rsidR="006F4540" w:rsidRDefault="006F4540" w:rsidP="00C15E24">
      <w:pPr>
        <w:pStyle w:val="Lgende"/>
        <w:keepNext/>
        <w:rPr>
          <w:rFonts w:ascii="Calibri" w:hAnsi="Calibri" w:cs="Calibri"/>
          <w:sz w:val="20"/>
          <w:szCs w:val="20"/>
          <w:lang w:val="en-US"/>
        </w:rPr>
      </w:pPr>
    </w:p>
    <w:p w14:paraId="1D78F7C5" w14:textId="34BD90E7" w:rsidR="00C15E24" w:rsidRPr="00C15E24" w:rsidRDefault="3EE4DDFC" w:rsidP="00C15E24">
      <w:pPr>
        <w:pStyle w:val="Lgende"/>
        <w:keepNext/>
        <w:rPr>
          <w:rFonts w:ascii="Calibri" w:hAnsi="Calibri" w:cs="Calibri"/>
          <w:sz w:val="20"/>
          <w:szCs w:val="20"/>
          <w:lang w:val="en-US"/>
        </w:rPr>
      </w:pPr>
      <w:bookmarkStart w:id="23" w:name="_Ref199131073"/>
      <w:bookmarkStart w:id="24" w:name="_Toc199489223"/>
      <w:r w:rsidRPr="00C15E24">
        <w:rPr>
          <w:rFonts w:ascii="Calibri" w:hAnsi="Calibri" w:cs="Calibri"/>
          <w:sz w:val="20"/>
          <w:szCs w:val="20"/>
          <w:lang w:val="en-US"/>
        </w:rPr>
        <w:t xml:space="preserve">Table </w:t>
      </w:r>
      <w:r w:rsidR="00C15E24" w:rsidRPr="00C15E24">
        <w:rPr>
          <w:rFonts w:ascii="Calibri" w:hAnsi="Calibri" w:cs="Calibri"/>
          <w:sz w:val="20"/>
          <w:szCs w:val="20"/>
        </w:rPr>
        <w:fldChar w:fldCharType="begin"/>
      </w:r>
      <w:r w:rsidR="00C15E24" w:rsidRPr="00C15E24">
        <w:rPr>
          <w:rFonts w:ascii="Calibri" w:hAnsi="Calibri" w:cs="Calibri"/>
          <w:sz w:val="20"/>
          <w:szCs w:val="20"/>
          <w:lang w:val="en-US"/>
        </w:rPr>
        <w:instrText xml:space="preserve"> SEQ Tableau \* ARABIC </w:instrText>
      </w:r>
      <w:r w:rsidR="00C15E24" w:rsidRPr="00C15E24">
        <w:rPr>
          <w:rFonts w:ascii="Calibri" w:hAnsi="Calibri" w:cs="Calibri"/>
          <w:sz w:val="20"/>
          <w:szCs w:val="20"/>
        </w:rPr>
        <w:fldChar w:fldCharType="separate"/>
      </w:r>
      <w:r w:rsidR="288B6DF6">
        <w:rPr>
          <w:rFonts w:ascii="Calibri" w:hAnsi="Calibri" w:cs="Calibri"/>
          <w:noProof/>
          <w:sz w:val="20"/>
          <w:szCs w:val="20"/>
          <w:lang w:val="en-US"/>
        </w:rPr>
        <w:t>5</w:t>
      </w:r>
      <w:r w:rsidR="00C15E24" w:rsidRPr="00C15E24">
        <w:rPr>
          <w:rFonts w:ascii="Calibri" w:hAnsi="Calibri" w:cs="Calibri"/>
          <w:sz w:val="20"/>
          <w:szCs w:val="20"/>
        </w:rPr>
        <w:fldChar w:fldCharType="end"/>
      </w:r>
      <w:r w:rsidRPr="00C15E24">
        <w:rPr>
          <w:rFonts w:ascii="Calibri" w:hAnsi="Calibri" w:cs="Calibri"/>
          <w:sz w:val="20"/>
          <w:szCs w:val="20"/>
          <w:lang w:val="en-US"/>
        </w:rPr>
        <w:t xml:space="preserve"> Eleven natural </w:t>
      </w:r>
      <w:r w:rsidR="57E6F9F4" w:rsidRPr="5D8904BE">
        <w:rPr>
          <w:rFonts w:ascii="Calibri" w:hAnsi="Calibri" w:cs="Calibri"/>
          <w:sz w:val="20"/>
          <w:szCs w:val="20"/>
          <w:lang w:val="en-US"/>
        </w:rPr>
        <w:t xml:space="preserve">water </w:t>
      </w:r>
      <w:r w:rsidR="57E6F9F4" w:rsidRPr="37FF86E9">
        <w:rPr>
          <w:rFonts w:ascii="Calibri" w:hAnsi="Calibri" w:cs="Calibri"/>
          <w:sz w:val="20"/>
          <w:szCs w:val="20"/>
          <w:lang w:val="en-US"/>
        </w:rPr>
        <w:t>channel</w:t>
      </w:r>
      <w:r w:rsidRPr="00C15E24">
        <w:rPr>
          <w:rFonts w:ascii="Calibri" w:hAnsi="Calibri" w:cs="Calibri"/>
          <w:sz w:val="20"/>
          <w:szCs w:val="20"/>
          <w:lang w:val="en-US"/>
        </w:rPr>
        <w:t xml:space="preserve"> from the watersheds around the Niger River in Bamako</w:t>
      </w:r>
      <w:r w:rsidR="00C15E24" w:rsidRPr="24AA8F7E">
        <w:rPr>
          <w:rStyle w:val="Appelnotedebasdep"/>
          <w:rFonts w:cs="Calibri"/>
          <w:lang w:val="en-US"/>
        </w:rPr>
        <w:footnoteReference w:id="25"/>
      </w:r>
      <w:bookmarkEnd w:id="23"/>
      <w:bookmarkEnd w:id="24"/>
    </w:p>
    <w:tbl>
      <w:tblPr>
        <w:tblStyle w:val="15"/>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4395"/>
        <w:gridCol w:w="1845"/>
      </w:tblGrid>
      <w:tr w:rsidR="004F7DB3" w:rsidRPr="00A86393" w14:paraId="7A469B6B" w14:textId="77777777" w:rsidTr="5D8904BE">
        <w:tc>
          <w:tcPr>
            <w:tcW w:w="3120" w:type="dxa"/>
            <w:shd w:val="clear" w:color="auto" w:fill="6D9EEB"/>
            <w:tcMar>
              <w:top w:w="100" w:type="dxa"/>
              <w:left w:w="100" w:type="dxa"/>
              <w:bottom w:w="100" w:type="dxa"/>
              <w:right w:w="100" w:type="dxa"/>
            </w:tcMar>
          </w:tcPr>
          <w:p w14:paraId="00000189" w14:textId="77777777" w:rsidR="004F7DB3" w:rsidRPr="00A86393" w:rsidRDefault="00C00123">
            <w:pPr>
              <w:widowControl w:val="0"/>
              <w:pBdr>
                <w:top w:val="nil"/>
                <w:left w:val="nil"/>
                <w:bottom w:val="nil"/>
                <w:right w:val="nil"/>
                <w:between w:val="nil"/>
              </w:pBdr>
              <w:spacing w:after="0" w:line="240" w:lineRule="auto"/>
              <w:rPr>
                <w:color w:val="FFFFFF"/>
                <w:sz w:val="20"/>
                <w:szCs w:val="20"/>
                <w:lang w:val="en-US"/>
              </w:rPr>
            </w:pPr>
            <w:r w:rsidRPr="00A86393">
              <w:rPr>
                <w:color w:val="FFFFFF"/>
                <w:sz w:val="20"/>
                <w:szCs w:val="20"/>
                <w:lang w:val="en-US"/>
              </w:rPr>
              <w:t>Collectors around the Niger River</w:t>
            </w:r>
          </w:p>
        </w:tc>
        <w:tc>
          <w:tcPr>
            <w:tcW w:w="4395" w:type="dxa"/>
            <w:shd w:val="clear" w:color="auto" w:fill="6D9EEB"/>
            <w:tcMar>
              <w:top w:w="100" w:type="dxa"/>
              <w:left w:w="100" w:type="dxa"/>
              <w:bottom w:w="100" w:type="dxa"/>
              <w:right w:w="100" w:type="dxa"/>
            </w:tcMar>
          </w:tcPr>
          <w:p w14:paraId="0000018A" w14:textId="77777777" w:rsidR="004F7DB3" w:rsidRPr="00A86393" w:rsidRDefault="00C00123">
            <w:pPr>
              <w:widowControl w:val="0"/>
              <w:pBdr>
                <w:top w:val="nil"/>
                <w:left w:val="nil"/>
                <w:bottom w:val="nil"/>
                <w:right w:val="nil"/>
                <w:between w:val="nil"/>
              </w:pBdr>
              <w:spacing w:after="0" w:line="240" w:lineRule="auto"/>
              <w:rPr>
                <w:color w:val="FFFFFF"/>
                <w:sz w:val="20"/>
                <w:szCs w:val="20"/>
              </w:rPr>
            </w:pPr>
            <w:r w:rsidRPr="00A86393">
              <w:rPr>
                <w:color w:val="FFFFFF"/>
                <w:sz w:val="20"/>
                <w:szCs w:val="20"/>
              </w:rPr>
              <w:t>Name</w:t>
            </w:r>
          </w:p>
        </w:tc>
        <w:tc>
          <w:tcPr>
            <w:tcW w:w="1845" w:type="dxa"/>
            <w:shd w:val="clear" w:color="auto" w:fill="6D9EEB"/>
            <w:tcMar>
              <w:top w:w="100" w:type="dxa"/>
              <w:left w:w="100" w:type="dxa"/>
              <w:bottom w:w="100" w:type="dxa"/>
              <w:right w:w="100" w:type="dxa"/>
            </w:tcMar>
          </w:tcPr>
          <w:p w14:paraId="0000018B" w14:textId="77777777" w:rsidR="004F7DB3" w:rsidRPr="00A86393" w:rsidRDefault="00C00123">
            <w:pPr>
              <w:widowControl w:val="0"/>
              <w:pBdr>
                <w:top w:val="nil"/>
                <w:left w:val="nil"/>
                <w:bottom w:val="nil"/>
                <w:right w:val="nil"/>
                <w:between w:val="nil"/>
              </w:pBdr>
              <w:spacing w:after="0" w:line="240" w:lineRule="auto"/>
              <w:rPr>
                <w:color w:val="FFFFFF"/>
                <w:sz w:val="20"/>
                <w:szCs w:val="20"/>
              </w:rPr>
            </w:pPr>
            <w:r w:rsidRPr="00A86393">
              <w:rPr>
                <w:color w:val="FFFFFF"/>
                <w:sz w:val="20"/>
                <w:szCs w:val="20"/>
              </w:rPr>
              <w:t xml:space="preserve">Total </w:t>
            </w:r>
          </w:p>
        </w:tc>
      </w:tr>
      <w:tr w:rsidR="004F7DB3" w:rsidRPr="00A86393" w14:paraId="01C55993" w14:textId="77777777" w:rsidTr="5D8904BE">
        <w:tc>
          <w:tcPr>
            <w:tcW w:w="3120" w:type="dxa"/>
            <w:tcMar>
              <w:top w:w="100" w:type="dxa"/>
              <w:left w:w="100" w:type="dxa"/>
              <w:bottom w:w="100" w:type="dxa"/>
              <w:right w:w="100" w:type="dxa"/>
            </w:tcMar>
          </w:tcPr>
          <w:p w14:paraId="0000018C" w14:textId="4169DD45" w:rsidR="004F7DB3" w:rsidRPr="00A86393" w:rsidRDefault="410A05DF">
            <w:pPr>
              <w:spacing w:after="0" w:line="240" w:lineRule="auto"/>
              <w:jc w:val="both"/>
              <w:rPr>
                <w:sz w:val="20"/>
                <w:szCs w:val="20"/>
                <w:lang w:val="en-US"/>
              </w:rPr>
            </w:pPr>
            <w:r w:rsidRPr="00A86393">
              <w:rPr>
                <w:b/>
                <w:bCs/>
                <w:sz w:val="20"/>
                <w:szCs w:val="20"/>
                <w:lang w:val="en-US"/>
              </w:rPr>
              <w:t>Natural collectors</w:t>
            </w:r>
            <w:r w:rsidR="444057EA" w:rsidRPr="00A86393">
              <w:rPr>
                <w:b/>
                <w:bCs/>
                <w:sz w:val="20"/>
                <w:szCs w:val="20"/>
                <w:lang w:val="en-US"/>
              </w:rPr>
              <w:t xml:space="preserve"> </w:t>
            </w:r>
            <w:r w:rsidR="444057EA" w:rsidRPr="00A86393">
              <w:rPr>
                <w:sz w:val="20"/>
                <w:szCs w:val="20"/>
                <w:lang w:val="en-US"/>
              </w:rPr>
              <w:t>from the watersheds</w:t>
            </w:r>
            <w:r w:rsidRPr="00A86393">
              <w:rPr>
                <w:b/>
                <w:bCs/>
                <w:sz w:val="20"/>
                <w:szCs w:val="20"/>
                <w:lang w:val="en-US"/>
              </w:rPr>
              <w:t xml:space="preserve"> on the left bank </w:t>
            </w:r>
          </w:p>
        </w:tc>
        <w:tc>
          <w:tcPr>
            <w:tcW w:w="4395" w:type="dxa"/>
            <w:tcMar>
              <w:top w:w="100" w:type="dxa"/>
              <w:left w:w="100" w:type="dxa"/>
              <w:bottom w:w="100" w:type="dxa"/>
              <w:right w:w="100" w:type="dxa"/>
            </w:tcMar>
          </w:tcPr>
          <w:p w14:paraId="0000018D" w14:textId="77777777" w:rsidR="004F7DB3" w:rsidRPr="00A86393" w:rsidRDefault="552CE4D7" w:rsidP="001360BB">
            <w:pPr>
              <w:numPr>
                <w:ilvl w:val="0"/>
                <w:numId w:val="210"/>
              </w:numPr>
              <w:spacing w:after="0" w:line="240" w:lineRule="auto"/>
              <w:jc w:val="both"/>
              <w:rPr>
                <w:sz w:val="20"/>
                <w:szCs w:val="20"/>
              </w:rPr>
            </w:pPr>
            <w:r w:rsidRPr="5D8904BE">
              <w:rPr>
                <w:sz w:val="20"/>
                <w:szCs w:val="20"/>
              </w:rPr>
              <w:t xml:space="preserve">The </w:t>
            </w:r>
            <w:proofErr w:type="spellStart"/>
            <w:r w:rsidRPr="5D8904BE">
              <w:rPr>
                <w:sz w:val="20"/>
                <w:szCs w:val="20"/>
              </w:rPr>
              <w:t>Woyowoyanko</w:t>
            </w:r>
            <w:proofErr w:type="spellEnd"/>
            <w:r w:rsidRPr="5D8904BE">
              <w:rPr>
                <w:sz w:val="20"/>
                <w:szCs w:val="20"/>
              </w:rPr>
              <w:t xml:space="preserve">, </w:t>
            </w:r>
          </w:p>
          <w:p w14:paraId="0000018E" w14:textId="32160F41" w:rsidR="004F7DB3" w:rsidRPr="00A86393" w:rsidRDefault="0273A895" w:rsidP="001360BB">
            <w:pPr>
              <w:numPr>
                <w:ilvl w:val="0"/>
                <w:numId w:val="210"/>
              </w:numPr>
              <w:spacing w:after="0" w:line="240" w:lineRule="auto"/>
              <w:jc w:val="both"/>
              <w:rPr>
                <w:sz w:val="20"/>
                <w:szCs w:val="20"/>
              </w:rPr>
            </w:pPr>
            <w:r w:rsidRPr="5D8904BE">
              <w:rPr>
                <w:sz w:val="20"/>
                <w:szCs w:val="20"/>
              </w:rPr>
              <w:t xml:space="preserve">The </w:t>
            </w:r>
            <w:proofErr w:type="spellStart"/>
            <w:r w:rsidR="48B98AEB" w:rsidRPr="5D8904BE">
              <w:rPr>
                <w:sz w:val="20"/>
                <w:szCs w:val="20"/>
              </w:rPr>
              <w:t>Sourountouba</w:t>
            </w:r>
            <w:proofErr w:type="spellEnd"/>
            <w:r w:rsidR="48B98AEB" w:rsidRPr="5D8904BE">
              <w:rPr>
                <w:sz w:val="20"/>
                <w:szCs w:val="20"/>
              </w:rPr>
              <w:t xml:space="preserve">, </w:t>
            </w:r>
          </w:p>
          <w:p w14:paraId="0000018F" w14:textId="5275A810" w:rsidR="004F7DB3" w:rsidRPr="00A86393" w:rsidRDefault="3FCE9BBF" w:rsidP="001360BB">
            <w:pPr>
              <w:numPr>
                <w:ilvl w:val="0"/>
                <w:numId w:val="210"/>
              </w:numPr>
              <w:spacing w:after="0" w:line="240" w:lineRule="auto"/>
              <w:jc w:val="both"/>
              <w:rPr>
                <w:sz w:val="20"/>
                <w:szCs w:val="20"/>
              </w:rPr>
            </w:pPr>
            <w:r w:rsidRPr="5D8904BE">
              <w:rPr>
                <w:sz w:val="20"/>
                <w:szCs w:val="20"/>
              </w:rPr>
              <w:t xml:space="preserve">The </w:t>
            </w:r>
            <w:proofErr w:type="spellStart"/>
            <w:r w:rsidR="48B98AEB" w:rsidRPr="5D8904BE">
              <w:rPr>
                <w:sz w:val="20"/>
                <w:szCs w:val="20"/>
              </w:rPr>
              <w:t>Diafaranako</w:t>
            </w:r>
            <w:proofErr w:type="spellEnd"/>
            <w:r w:rsidR="48B98AEB" w:rsidRPr="5D8904BE">
              <w:rPr>
                <w:sz w:val="20"/>
                <w:szCs w:val="20"/>
              </w:rPr>
              <w:t xml:space="preserve">, </w:t>
            </w:r>
          </w:p>
          <w:p w14:paraId="00000190" w14:textId="6984072B" w:rsidR="004F7DB3" w:rsidRPr="00A86393" w:rsidRDefault="764DFFBB" w:rsidP="001360BB">
            <w:pPr>
              <w:numPr>
                <w:ilvl w:val="0"/>
                <w:numId w:val="210"/>
              </w:numPr>
              <w:spacing w:after="0" w:line="240" w:lineRule="auto"/>
              <w:jc w:val="both"/>
              <w:rPr>
                <w:sz w:val="20"/>
                <w:szCs w:val="20"/>
              </w:rPr>
            </w:pPr>
            <w:r w:rsidRPr="5D8904BE">
              <w:rPr>
                <w:sz w:val="20"/>
                <w:szCs w:val="20"/>
              </w:rPr>
              <w:t>T</w:t>
            </w:r>
            <w:r w:rsidR="352EB93F" w:rsidRPr="5D8904BE">
              <w:rPr>
                <w:sz w:val="20"/>
                <w:szCs w:val="20"/>
              </w:rPr>
              <w:t xml:space="preserve">he </w:t>
            </w:r>
            <w:proofErr w:type="spellStart"/>
            <w:r w:rsidR="352EB93F" w:rsidRPr="5D8904BE">
              <w:rPr>
                <w:sz w:val="20"/>
                <w:szCs w:val="20"/>
              </w:rPr>
              <w:t>Banconi</w:t>
            </w:r>
            <w:proofErr w:type="spellEnd"/>
            <w:r w:rsidR="352EB93F" w:rsidRPr="5D8904BE">
              <w:rPr>
                <w:sz w:val="20"/>
                <w:szCs w:val="20"/>
              </w:rPr>
              <w:t>,</w:t>
            </w:r>
          </w:p>
          <w:p w14:paraId="00000191" w14:textId="6BDBA448" w:rsidR="004F7DB3" w:rsidRPr="00A86393" w:rsidRDefault="589DCD2E" w:rsidP="001360BB">
            <w:pPr>
              <w:numPr>
                <w:ilvl w:val="0"/>
                <w:numId w:val="210"/>
              </w:numPr>
              <w:spacing w:after="0" w:line="240" w:lineRule="auto"/>
              <w:jc w:val="both"/>
              <w:rPr>
                <w:sz w:val="20"/>
                <w:szCs w:val="20"/>
              </w:rPr>
            </w:pPr>
            <w:r w:rsidRPr="5D8904BE">
              <w:rPr>
                <w:sz w:val="20"/>
                <w:szCs w:val="20"/>
              </w:rPr>
              <w:t>T</w:t>
            </w:r>
            <w:r w:rsidR="352EB93F" w:rsidRPr="5D8904BE">
              <w:rPr>
                <w:sz w:val="20"/>
                <w:szCs w:val="20"/>
              </w:rPr>
              <w:t xml:space="preserve">he </w:t>
            </w:r>
            <w:proofErr w:type="spellStart"/>
            <w:r w:rsidR="352EB93F" w:rsidRPr="5D8904BE">
              <w:rPr>
                <w:sz w:val="20"/>
                <w:szCs w:val="20"/>
              </w:rPr>
              <w:t>Molobalini</w:t>
            </w:r>
            <w:proofErr w:type="spellEnd"/>
            <w:r w:rsidR="352EB93F" w:rsidRPr="5D8904BE">
              <w:rPr>
                <w:sz w:val="20"/>
                <w:szCs w:val="20"/>
              </w:rPr>
              <w:t xml:space="preserve">, </w:t>
            </w:r>
          </w:p>
          <w:p w14:paraId="00000192" w14:textId="5DDA10A7" w:rsidR="004F7DB3" w:rsidRPr="00A86393" w:rsidRDefault="576424E6" w:rsidP="001360BB">
            <w:pPr>
              <w:numPr>
                <w:ilvl w:val="0"/>
                <w:numId w:val="210"/>
              </w:numPr>
              <w:spacing w:after="0" w:line="240" w:lineRule="auto"/>
              <w:jc w:val="both"/>
              <w:rPr>
                <w:sz w:val="20"/>
                <w:szCs w:val="20"/>
              </w:rPr>
            </w:pPr>
            <w:r w:rsidRPr="5D8904BE">
              <w:rPr>
                <w:sz w:val="20"/>
                <w:szCs w:val="20"/>
              </w:rPr>
              <w:t>T</w:t>
            </w:r>
            <w:r w:rsidR="352EB93F" w:rsidRPr="5D8904BE">
              <w:rPr>
                <w:sz w:val="20"/>
                <w:szCs w:val="20"/>
              </w:rPr>
              <w:t xml:space="preserve">he </w:t>
            </w:r>
            <w:proofErr w:type="spellStart"/>
            <w:r w:rsidR="352EB93F" w:rsidRPr="5D8904BE">
              <w:rPr>
                <w:sz w:val="20"/>
                <w:szCs w:val="20"/>
              </w:rPr>
              <w:t>Sotuba</w:t>
            </w:r>
            <w:proofErr w:type="spellEnd"/>
            <w:r w:rsidR="352EB93F" w:rsidRPr="5D8904BE">
              <w:rPr>
                <w:sz w:val="20"/>
                <w:szCs w:val="20"/>
              </w:rPr>
              <w:t xml:space="preserve">, </w:t>
            </w:r>
          </w:p>
          <w:p w14:paraId="00000193" w14:textId="6DFFBE7C" w:rsidR="004F7DB3" w:rsidRPr="00A86393" w:rsidRDefault="68324103" w:rsidP="001360BB">
            <w:pPr>
              <w:numPr>
                <w:ilvl w:val="0"/>
                <w:numId w:val="210"/>
              </w:numPr>
              <w:spacing w:after="0" w:line="240" w:lineRule="auto"/>
              <w:jc w:val="both"/>
              <w:rPr>
                <w:sz w:val="20"/>
                <w:szCs w:val="20"/>
              </w:rPr>
            </w:pPr>
            <w:r w:rsidRPr="5D8904BE">
              <w:rPr>
                <w:sz w:val="20"/>
                <w:szCs w:val="20"/>
              </w:rPr>
              <w:t>T</w:t>
            </w:r>
            <w:r w:rsidR="352EB93F" w:rsidRPr="5D8904BE">
              <w:rPr>
                <w:sz w:val="20"/>
                <w:szCs w:val="20"/>
              </w:rPr>
              <w:t xml:space="preserve">he </w:t>
            </w:r>
            <w:proofErr w:type="spellStart"/>
            <w:r w:rsidR="352EB93F" w:rsidRPr="5D8904BE">
              <w:rPr>
                <w:sz w:val="20"/>
                <w:szCs w:val="20"/>
              </w:rPr>
              <w:t>Farakoba</w:t>
            </w:r>
            <w:proofErr w:type="spellEnd"/>
            <w:r w:rsidR="352EB93F" w:rsidRPr="5D8904BE">
              <w:rPr>
                <w:sz w:val="20"/>
                <w:szCs w:val="20"/>
              </w:rPr>
              <w:t>.</w:t>
            </w:r>
          </w:p>
          <w:p w14:paraId="00000194" w14:textId="77777777" w:rsidR="004F7DB3" w:rsidRPr="00A86393" w:rsidRDefault="004F7DB3">
            <w:pPr>
              <w:widowControl w:val="0"/>
              <w:pBdr>
                <w:top w:val="nil"/>
                <w:left w:val="nil"/>
                <w:bottom w:val="nil"/>
                <w:right w:val="nil"/>
                <w:between w:val="nil"/>
              </w:pBdr>
              <w:spacing w:after="0" w:line="240" w:lineRule="auto"/>
              <w:rPr>
                <w:sz w:val="20"/>
                <w:szCs w:val="20"/>
              </w:rPr>
            </w:pPr>
          </w:p>
        </w:tc>
        <w:tc>
          <w:tcPr>
            <w:tcW w:w="1845" w:type="dxa"/>
            <w:tcMar>
              <w:top w:w="100" w:type="dxa"/>
              <w:left w:w="100" w:type="dxa"/>
              <w:bottom w:w="100" w:type="dxa"/>
              <w:right w:w="100" w:type="dxa"/>
            </w:tcMar>
          </w:tcPr>
          <w:p w14:paraId="00000195" w14:textId="77777777" w:rsidR="004F7DB3" w:rsidRPr="00A86393" w:rsidRDefault="00C00123">
            <w:pPr>
              <w:widowControl w:val="0"/>
              <w:pBdr>
                <w:top w:val="nil"/>
                <w:left w:val="nil"/>
                <w:bottom w:val="nil"/>
                <w:right w:val="nil"/>
                <w:between w:val="nil"/>
              </w:pBdr>
              <w:spacing w:after="0" w:line="240" w:lineRule="auto"/>
              <w:rPr>
                <w:sz w:val="20"/>
                <w:szCs w:val="20"/>
              </w:rPr>
            </w:pPr>
            <w:r w:rsidRPr="00A86393">
              <w:rPr>
                <w:sz w:val="20"/>
                <w:szCs w:val="20"/>
              </w:rPr>
              <w:t>7</w:t>
            </w:r>
          </w:p>
        </w:tc>
      </w:tr>
      <w:tr w:rsidR="004F7DB3" w:rsidRPr="00A86393" w14:paraId="0B0A2011" w14:textId="77777777" w:rsidTr="5D8904BE">
        <w:tc>
          <w:tcPr>
            <w:tcW w:w="3120" w:type="dxa"/>
            <w:tcMar>
              <w:top w:w="100" w:type="dxa"/>
              <w:left w:w="100" w:type="dxa"/>
              <w:bottom w:w="100" w:type="dxa"/>
              <w:right w:w="100" w:type="dxa"/>
            </w:tcMar>
          </w:tcPr>
          <w:p w14:paraId="00000196" w14:textId="404EC2D0" w:rsidR="004F7DB3" w:rsidRPr="00A86393" w:rsidRDefault="410A05DF">
            <w:pPr>
              <w:spacing w:after="0" w:line="240" w:lineRule="auto"/>
              <w:jc w:val="both"/>
              <w:rPr>
                <w:sz w:val="20"/>
                <w:szCs w:val="20"/>
                <w:lang w:val="en-US"/>
              </w:rPr>
            </w:pPr>
            <w:r w:rsidRPr="00A86393">
              <w:rPr>
                <w:b/>
                <w:bCs/>
                <w:sz w:val="20"/>
                <w:szCs w:val="20"/>
                <w:lang w:val="en-US"/>
              </w:rPr>
              <w:t xml:space="preserve">Natural collectors </w:t>
            </w:r>
            <w:r w:rsidR="773E65A3" w:rsidRPr="00A86393">
              <w:rPr>
                <w:sz w:val="20"/>
                <w:szCs w:val="20"/>
                <w:lang w:val="en-US"/>
              </w:rPr>
              <w:t>from the watersheds</w:t>
            </w:r>
            <w:r w:rsidR="773E65A3" w:rsidRPr="00A86393">
              <w:rPr>
                <w:b/>
                <w:bCs/>
                <w:sz w:val="20"/>
                <w:szCs w:val="20"/>
                <w:lang w:val="en-US"/>
              </w:rPr>
              <w:t xml:space="preserve"> </w:t>
            </w:r>
            <w:r w:rsidRPr="00A86393">
              <w:rPr>
                <w:b/>
                <w:bCs/>
                <w:sz w:val="20"/>
                <w:szCs w:val="20"/>
                <w:lang w:val="en-US"/>
              </w:rPr>
              <w:t xml:space="preserve">on the right bank </w:t>
            </w:r>
          </w:p>
        </w:tc>
        <w:tc>
          <w:tcPr>
            <w:tcW w:w="4395" w:type="dxa"/>
            <w:tcMar>
              <w:top w:w="100" w:type="dxa"/>
              <w:left w:w="100" w:type="dxa"/>
              <w:bottom w:w="100" w:type="dxa"/>
              <w:right w:w="100" w:type="dxa"/>
            </w:tcMar>
          </w:tcPr>
          <w:p w14:paraId="00000197" w14:textId="01B85AE3" w:rsidR="004F7DB3" w:rsidRPr="00A86393" w:rsidRDefault="0169C52C" w:rsidP="001360BB">
            <w:pPr>
              <w:numPr>
                <w:ilvl w:val="0"/>
                <w:numId w:val="202"/>
              </w:numPr>
              <w:spacing w:after="0" w:line="240" w:lineRule="auto"/>
              <w:jc w:val="both"/>
              <w:rPr>
                <w:sz w:val="20"/>
                <w:szCs w:val="20"/>
              </w:rPr>
            </w:pPr>
            <w:r w:rsidRPr="5D8904BE">
              <w:rPr>
                <w:sz w:val="20"/>
                <w:szCs w:val="20"/>
              </w:rPr>
              <w:t>T</w:t>
            </w:r>
            <w:r w:rsidR="2D26091D" w:rsidRPr="5D8904BE">
              <w:rPr>
                <w:sz w:val="20"/>
                <w:szCs w:val="20"/>
              </w:rPr>
              <w:t xml:space="preserve">he </w:t>
            </w:r>
            <w:proofErr w:type="spellStart"/>
            <w:r w:rsidR="2D26091D" w:rsidRPr="5D8904BE">
              <w:rPr>
                <w:sz w:val="20"/>
                <w:szCs w:val="20"/>
              </w:rPr>
              <w:t>Sogonink</w:t>
            </w:r>
            <w:r w:rsidR="37E90936" w:rsidRPr="5D8904BE">
              <w:rPr>
                <w:sz w:val="20"/>
                <w:szCs w:val="20"/>
              </w:rPr>
              <w:t>o</w:t>
            </w:r>
            <w:proofErr w:type="spellEnd"/>
          </w:p>
          <w:p w14:paraId="00000198" w14:textId="45C21A00" w:rsidR="004F7DB3" w:rsidRPr="00A86393" w:rsidRDefault="06BED09A" w:rsidP="001360BB">
            <w:pPr>
              <w:numPr>
                <w:ilvl w:val="0"/>
                <w:numId w:val="202"/>
              </w:numPr>
              <w:spacing w:after="0" w:line="240" w:lineRule="auto"/>
              <w:jc w:val="both"/>
              <w:rPr>
                <w:sz w:val="20"/>
                <w:szCs w:val="20"/>
              </w:rPr>
            </w:pPr>
            <w:r w:rsidRPr="5D8904BE">
              <w:rPr>
                <w:sz w:val="20"/>
                <w:szCs w:val="20"/>
              </w:rPr>
              <w:t>T</w:t>
            </w:r>
            <w:r w:rsidR="2D26091D" w:rsidRPr="5D8904BE">
              <w:rPr>
                <w:sz w:val="20"/>
                <w:szCs w:val="20"/>
              </w:rPr>
              <w:t xml:space="preserve">he </w:t>
            </w:r>
            <w:proofErr w:type="spellStart"/>
            <w:r w:rsidR="2D26091D" w:rsidRPr="5D8904BE">
              <w:rPr>
                <w:sz w:val="20"/>
                <w:szCs w:val="20"/>
              </w:rPr>
              <w:t>Bam</w:t>
            </w:r>
            <w:r w:rsidR="7A9CF850" w:rsidRPr="5D8904BE">
              <w:rPr>
                <w:sz w:val="20"/>
                <w:szCs w:val="20"/>
              </w:rPr>
              <w:t>assalani</w:t>
            </w:r>
            <w:proofErr w:type="spellEnd"/>
            <w:r w:rsidR="2D26091D" w:rsidRPr="5D8904BE">
              <w:rPr>
                <w:sz w:val="20"/>
                <w:szCs w:val="20"/>
              </w:rPr>
              <w:t xml:space="preserve">, </w:t>
            </w:r>
          </w:p>
          <w:p w14:paraId="00000199" w14:textId="2B394214" w:rsidR="004F7DB3" w:rsidRPr="00A86393" w:rsidRDefault="69DA0D15" w:rsidP="001360BB">
            <w:pPr>
              <w:numPr>
                <w:ilvl w:val="0"/>
                <w:numId w:val="202"/>
              </w:numPr>
              <w:spacing w:after="0" w:line="240" w:lineRule="auto"/>
              <w:jc w:val="both"/>
              <w:rPr>
                <w:sz w:val="20"/>
                <w:szCs w:val="20"/>
              </w:rPr>
            </w:pPr>
            <w:r w:rsidRPr="5D8904BE">
              <w:rPr>
                <w:sz w:val="20"/>
                <w:szCs w:val="20"/>
              </w:rPr>
              <w:t xml:space="preserve">The </w:t>
            </w:r>
            <w:proofErr w:type="spellStart"/>
            <w:r w:rsidR="48B98AEB" w:rsidRPr="5D8904BE">
              <w:rPr>
                <w:sz w:val="20"/>
                <w:szCs w:val="20"/>
              </w:rPr>
              <w:t>Banconi</w:t>
            </w:r>
            <w:proofErr w:type="spellEnd"/>
            <w:r w:rsidR="48B98AEB" w:rsidRPr="5D8904BE">
              <w:rPr>
                <w:sz w:val="20"/>
                <w:szCs w:val="20"/>
              </w:rPr>
              <w:t>,</w:t>
            </w:r>
          </w:p>
          <w:p w14:paraId="0000019A" w14:textId="19EAEB14" w:rsidR="004F7DB3" w:rsidRPr="00A86393" w:rsidRDefault="5E3F2CDE" w:rsidP="001360BB">
            <w:pPr>
              <w:numPr>
                <w:ilvl w:val="0"/>
                <w:numId w:val="202"/>
              </w:numPr>
              <w:spacing w:after="0" w:line="240" w:lineRule="auto"/>
              <w:jc w:val="both"/>
              <w:rPr>
                <w:sz w:val="20"/>
                <w:szCs w:val="20"/>
              </w:rPr>
            </w:pPr>
            <w:r w:rsidRPr="5D8904BE">
              <w:rPr>
                <w:sz w:val="20"/>
                <w:szCs w:val="20"/>
              </w:rPr>
              <w:t xml:space="preserve">The </w:t>
            </w:r>
            <w:proofErr w:type="spellStart"/>
            <w:r w:rsidR="11E33CD8" w:rsidRPr="5D8904BE">
              <w:rPr>
                <w:sz w:val="20"/>
                <w:szCs w:val="20"/>
              </w:rPr>
              <w:t>Koflatié</w:t>
            </w:r>
            <w:proofErr w:type="spellEnd"/>
            <w:r w:rsidR="466E99AA" w:rsidRPr="5D8904BE">
              <w:rPr>
                <w:sz w:val="20"/>
                <w:szCs w:val="20"/>
              </w:rPr>
              <w:t>.</w:t>
            </w:r>
          </w:p>
        </w:tc>
        <w:tc>
          <w:tcPr>
            <w:tcW w:w="1845" w:type="dxa"/>
            <w:tcMar>
              <w:top w:w="100" w:type="dxa"/>
              <w:left w:w="100" w:type="dxa"/>
              <w:bottom w:w="100" w:type="dxa"/>
              <w:right w:w="100" w:type="dxa"/>
            </w:tcMar>
          </w:tcPr>
          <w:p w14:paraId="0000019B" w14:textId="77777777" w:rsidR="004F7DB3" w:rsidRPr="00A86393" w:rsidRDefault="00C00123">
            <w:pPr>
              <w:widowControl w:val="0"/>
              <w:pBdr>
                <w:top w:val="nil"/>
                <w:left w:val="nil"/>
                <w:bottom w:val="nil"/>
                <w:right w:val="nil"/>
                <w:between w:val="nil"/>
              </w:pBdr>
              <w:spacing w:after="0" w:line="240" w:lineRule="auto"/>
              <w:rPr>
                <w:sz w:val="20"/>
                <w:szCs w:val="20"/>
              </w:rPr>
            </w:pPr>
            <w:r w:rsidRPr="00A86393">
              <w:rPr>
                <w:sz w:val="20"/>
                <w:szCs w:val="20"/>
              </w:rPr>
              <w:t>4</w:t>
            </w:r>
          </w:p>
        </w:tc>
      </w:tr>
    </w:tbl>
    <w:p w14:paraId="0000019D" w14:textId="662DD16B" w:rsidR="004F7DB3" w:rsidRPr="00A86393" w:rsidRDefault="130D72FF" w:rsidP="389869E3">
      <w:pPr>
        <w:spacing w:before="240" w:after="240" w:line="240" w:lineRule="auto"/>
        <w:jc w:val="both"/>
        <w:rPr>
          <w:sz w:val="20"/>
          <w:szCs w:val="20"/>
          <w:lang w:val="en-US"/>
        </w:rPr>
      </w:pPr>
      <w:r w:rsidRPr="5D8904BE">
        <w:rPr>
          <w:sz w:val="20"/>
          <w:szCs w:val="20"/>
          <w:lang w:val="en-US"/>
        </w:rPr>
        <w:t>Biodiversity financing in Bamako remains largely dependent on external resources, while its inclusion in national public finances remains very limited. To ensure the sustainability of protecti</w:t>
      </w:r>
      <w:r w:rsidR="1CF3FCB5" w:rsidRPr="5D8904BE">
        <w:rPr>
          <w:sz w:val="20"/>
          <w:szCs w:val="20"/>
          <w:lang w:val="en-US"/>
        </w:rPr>
        <w:t>ve</w:t>
      </w:r>
      <w:r w:rsidRPr="5D8904BE">
        <w:rPr>
          <w:sz w:val="20"/>
          <w:szCs w:val="20"/>
          <w:lang w:val="en-US"/>
        </w:rPr>
        <w:t xml:space="preserve"> actions, including the establishment of an interconnected green belt, it is essential to develop a dedicated financing plan. This plan will have to mobilize both domestic resources – such as the State budget, contributions from local authorities, the participation of beneficiaries, as well as contributions from NGOs and the private sector – and external resources, particularly from bilateral and multilateral cooperation with Technical and Financial Partners.</w:t>
      </w:r>
    </w:p>
    <w:p w14:paraId="0000019E" w14:textId="77777777" w:rsidR="004F7DB3" w:rsidRPr="00A86393" w:rsidRDefault="00C00123">
      <w:pPr>
        <w:spacing w:before="240" w:after="240" w:line="240" w:lineRule="auto"/>
        <w:jc w:val="both"/>
        <w:rPr>
          <w:sz w:val="20"/>
          <w:szCs w:val="20"/>
          <w:lang w:val="en-US"/>
        </w:rPr>
      </w:pPr>
      <w:r w:rsidRPr="00A86393">
        <w:rPr>
          <w:sz w:val="20"/>
          <w:szCs w:val="20"/>
          <w:lang w:val="en-US"/>
        </w:rPr>
        <w:t>The implementation of this plan should be supported by the creation of a technical coordination committee, responsible for ensuring strategic monitoring and synergy between the various actors involved.</w:t>
      </w:r>
    </w:p>
    <w:p w14:paraId="0000019F" w14:textId="6B781E9F" w:rsidR="004F7DB3" w:rsidRPr="00A86393" w:rsidRDefault="352EB93F">
      <w:pPr>
        <w:spacing w:before="240" w:after="240" w:line="240" w:lineRule="auto"/>
        <w:jc w:val="both"/>
        <w:rPr>
          <w:sz w:val="20"/>
          <w:szCs w:val="20"/>
          <w:lang w:val="en-US"/>
        </w:rPr>
      </w:pPr>
      <w:r w:rsidRPr="5D8904BE">
        <w:rPr>
          <w:sz w:val="20"/>
          <w:szCs w:val="20"/>
          <w:lang w:val="en-US"/>
        </w:rPr>
        <w:t xml:space="preserve">In addition, the sustainability of this initiative requires a strengthening of the legal framework, the operational capacities of forest services, as well as the exploration of innovative financing mechanisms, such as payments for ecosystem services and public-private partnerships. Only an integrated, legally framed, technically competent and financially sustainable approach </w:t>
      </w:r>
      <w:r w:rsidR="4563B0C7" w:rsidRPr="5D8904BE">
        <w:rPr>
          <w:sz w:val="20"/>
          <w:szCs w:val="20"/>
          <w:lang w:val="en-US"/>
        </w:rPr>
        <w:t>will</w:t>
      </w:r>
      <w:r w:rsidRPr="5D8904BE">
        <w:rPr>
          <w:sz w:val="20"/>
          <w:szCs w:val="20"/>
          <w:lang w:val="en-US"/>
        </w:rPr>
        <w:t xml:space="preserve"> make Bamako's green belt a major lever for urban and ecological resilience.</w:t>
      </w:r>
    </w:p>
    <w:p w14:paraId="000001A0" w14:textId="77777777" w:rsidR="004F7DB3" w:rsidRPr="00A86393" w:rsidRDefault="00C00123">
      <w:pPr>
        <w:spacing w:after="0" w:line="240" w:lineRule="auto"/>
        <w:jc w:val="both"/>
        <w:rPr>
          <w:b/>
          <w:sz w:val="20"/>
          <w:szCs w:val="20"/>
          <w:lang w:val="en-US"/>
        </w:rPr>
      </w:pPr>
      <w:r w:rsidRPr="00A86393">
        <w:rPr>
          <w:b/>
          <w:sz w:val="20"/>
          <w:szCs w:val="20"/>
          <w:lang w:val="en-US"/>
        </w:rPr>
        <w:lastRenderedPageBreak/>
        <w:t xml:space="preserve">Integrated urban development financing in Bamako: </w:t>
      </w:r>
    </w:p>
    <w:p w14:paraId="000001A1" w14:textId="77777777" w:rsidR="004F7DB3" w:rsidRPr="00A86393" w:rsidRDefault="552CE4D7">
      <w:pPr>
        <w:spacing w:before="240" w:after="240" w:line="240" w:lineRule="auto"/>
        <w:jc w:val="both"/>
        <w:rPr>
          <w:sz w:val="20"/>
          <w:szCs w:val="20"/>
          <w:lang w:val="en-US"/>
        </w:rPr>
      </w:pPr>
      <w:r w:rsidRPr="00A86393">
        <w:rPr>
          <w:sz w:val="20"/>
          <w:szCs w:val="20"/>
          <w:lang w:val="en-US"/>
        </w:rPr>
        <w:t xml:space="preserve">Mali offers significant investment potential, particularly in agriculture, services and mining. Agriculture, which accounts for 38% of GDP and employs more than 70% of the workforce, offers opportunities for local transformation and modernization of value chains. The services sector is growing steadily, and the extractive sector, </w:t>
      </w:r>
      <w:proofErr w:type="spellStart"/>
      <w:r w:rsidRPr="00A86393">
        <w:rPr>
          <w:sz w:val="20"/>
          <w:szCs w:val="20"/>
          <w:lang w:val="en-US"/>
        </w:rPr>
        <w:t>centred</w:t>
      </w:r>
      <w:proofErr w:type="spellEnd"/>
      <w:r w:rsidRPr="00A86393">
        <w:rPr>
          <w:sz w:val="20"/>
          <w:szCs w:val="20"/>
          <w:lang w:val="en-US"/>
        </w:rPr>
        <w:t xml:space="preserve"> on gold, generates significant export revenues.</w:t>
      </w:r>
      <w:r w:rsidR="00C00123" w:rsidRPr="00A86393">
        <w:rPr>
          <w:noProof/>
          <w:sz w:val="20"/>
          <w:szCs w:val="20"/>
        </w:rPr>
        <mc:AlternateContent>
          <mc:Choice Requires="wps">
            <w:drawing>
              <wp:anchor distT="0" distB="0" distL="114300" distR="114300" simplePos="0" relativeHeight="251658240" behindDoc="0" locked="0" layoutInCell="1" hidden="0" allowOverlap="1" wp14:anchorId="11F3960C" wp14:editId="20473D17">
                <wp:simplePos x="0" y="0"/>
                <wp:positionH relativeFrom="column">
                  <wp:posOffset>1</wp:posOffset>
                </wp:positionH>
                <wp:positionV relativeFrom="paragraph">
                  <wp:posOffset>3378200</wp:posOffset>
                </wp:positionV>
                <wp:extent cx="635" cy="12700"/>
                <wp:effectExtent l="0" t="0" r="0" b="0"/>
                <wp:wrapNone/>
                <wp:docPr id="1965395243" name="Rectangle 1965395243"/>
                <wp:cNvGraphicFramePr/>
                <a:graphic xmlns:a="http://schemas.openxmlformats.org/drawingml/2006/main">
                  <a:graphicData uri="http://schemas.microsoft.com/office/word/2010/wordprocessingShape">
                    <wps:wsp>
                      <wps:cNvSpPr/>
                      <wps:spPr>
                        <a:xfrm>
                          <a:off x="2512313" y="3779683"/>
                          <a:ext cx="5667375" cy="635"/>
                        </a:xfrm>
                        <a:prstGeom prst="rect">
                          <a:avLst/>
                        </a:prstGeom>
                        <a:solidFill>
                          <a:srgbClr val="FFFFFF"/>
                        </a:solidFill>
                        <a:ln>
                          <a:noFill/>
                        </a:ln>
                      </wps:spPr>
                      <wps:txbx>
                        <w:txbxContent>
                          <w:p w14:paraId="7CED0F4F" w14:textId="77777777" w:rsidR="004F7DB3" w:rsidRDefault="00C00123">
                            <w:pPr>
                              <w:spacing w:after="0" w:line="240" w:lineRule="auto"/>
                              <w:textDirection w:val="btLr"/>
                            </w:pPr>
                            <w:r>
                              <w:rPr>
                                <w:rFonts w:ascii="Times New Roman" w:eastAsia="Times New Roman" w:hAnsi="Times New Roman" w:cs="Times New Roman"/>
                                <w:b/>
                                <w:color w:val="000000"/>
                                <w:sz w:val="20"/>
                              </w:rPr>
                              <w:t>Figure SEQ Figure \* ARABIC 2 idem</w:t>
                            </w:r>
                          </w:p>
                        </w:txbxContent>
                      </wps:txbx>
                      <wps:bodyPr spcFirstLastPara="1" wrap="square" lIns="0" tIns="0" rIns="0" bIns="0" anchor="t" anchorCtr="0">
                        <a:noAutofit/>
                      </wps:bodyPr>
                    </wps:wsp>
                  </a:graphicData>
                </a:graphic>
              </wp:anchor>
            </w:drawing>
          </mc:Choice>
          <mc:Fallback>
            <w:pict>
              <v:rect w14:anchorId="11F3960C" id="Rectangle 1965395243" o:spid="_x0000_s1027" style="position:absolute;left:0;text-align:left;margin-left:0;margin-top:266pt;width:.05pt;height: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" stroked="f">
                <v:textbox inset="0,0,0,0">
                  <w:txbxContent>
                    <w:p w14:paraId="7CED0F4F" w14:textId="77777777" w:rsidR="004F7DB3" w:rsidRDefault="00C00123">
                      <w:pPr>
                        <w:spacing w:after="0" w:line="240" w:lineRule="auto"/>
                        <w:textDirection w:val="btLr"/>
                      </w:pPr>
                      <w:r>
                        <w:rPr>
                          <w:rFonts w:ascii="Times New Roman" w:eastAsia="Times New Roman" w:hAnsi="Times New Roman" w:cs="Times New Roman"/>
                          <w:b/>
                          <w:color w:val="000000"/>
                          <w:sz w:val="20"/>
                        </w:rPr>
                        <w:t>Figure SEQ Figure \* ARABIC 2 idem</w:t>
                      </w:r>
                    </w:p>
                  </w:txbxContent>
                </v:textbox>
              </v:rect>
            </w:pict>
          </mc:Fallback>
        </mc:AlternateContent>
      </w:r>
    </w:p>
    <w:p w14:paraId="000001A2" w14:textId="670A2CE1" w:rsidR="004F7DB3" w:rsidRPr="00A86393" w:rsidRDefault="676334F5">
      <w:pPr>
        <w:spacing w:before="240" w:after="240" w:line="240" w:lineRule="auto"/>
        <w:jc w:val="both"/>
        <w:rPr>
          <w:sz w:val="20"/>
          <w:szCs w:val="20"/>
          <w:lang w:val="en-US"/>
        </w:rPr>
      </w:pPr>
      <w:r w:rsidRPr="00A86393">
        <w:rPr>
          <w:sz w:val="20"/>
          <w:szCs w:val="20"/>
          <w:lang w:val="en-US"/>
        </w:rPr>
        <w:t xml:space="preserve">Despite a business environment that can still be improved (148th in Doing Business 2020), clear opportunities exist in infrastructure, access to energy, logistics, and financial services. </w:t>
      </w:r>
      <w:r w:rsidR="742B942D" w:rsidRPr="00A86393">
        <w:rPr>
          <w:sz w:val="20"/>
          <w:szCs w:val="20"/>
          <w:lang w:val="en-US"/>
        </w:rPr>
        <w:t xml:space="preserve"> One of the most pressing issues is the significant financing gap faced by small and medium-sized enterprises. According to the IFC’s 2022 Mali Country Private Sector Diagnostic, nearly 70% of formal businesses report that access to finance is a major obstacle to growth, with limited access to long-term credit and high collateral requirements.</w:t>
      </w:r>
      <w:r w:rsidR="12099A2B" w:rsidRPr="00A86393">
        <w:rPr>
          <w:sz w:val="20"/>
          <w:szCs w:val="20"/>
          <w:lang w:val="en-US"/>
        </w:rPr>
        <w:t xml:space="preserve"> This gap opens the door to innovative financing models involving fintech, microfinance institutions, and blended capital from development partners. </w:t>
      </w:r>
      <w:r w:rsidRPr="00A86393">
        <w:rPr>
          <w:sz w:val="20"/>
          <w:szCs w:val="20"/>
          <w:lang w:val="en-US"/>
        </w:rPr>
        <w:t xml:space="preserve"> In addition, the need for logistics modernization (roads, sustainable transport, logistics, etc.), the growing demand for affordable energy and the scarcity of suitable professional spaces create </w:t>
      </w:r>
      <w:r w:rsidR="6C113D7D" w:rsidRPr="00A86393">
        <w:rPr>
          <w:sz w:val="20"/>
          <w:szCs w:val="20"/>
          <w:lang w:val="en-US"/>
        </w:rPr>
        <w:t>fertile</w:t>
      </w:r>
      <w:r w:rsidRPr="00A86393">
        <w:rPr>
          <w:sz w:val="20"/>
          <w:szCs w:val="20"/>
          <w:lang w:val="en-US"/>
        </w:rPr>
        <w:t xml:space="preserve"> ground for private investment. The development of urban land, the integration of SMEs into formal value chains and support for local entrepreneurship also represent levers for investments with a strong economic and social impact.</w:t>
      </w:r>
    </w:p>
    <w:p w14:paraId="000001A4" w14:textId="01997A1A" w:rsidR="004F7DB3" w:rsidRPr="00A86393" w:rsidRDefault="00C00123" w:rsidP="009C0FAD">
      <w:pPr>
        <w:spacing w:before="240" w:after="240" w:line="240" w:lineRule="auto"/>
        <w:jc w:val="both"/>
        <w:rPr>
          <w:sz w:val="20"/>
          <w:szCs w:val="20"/>
          <w:lang w:val="en-US"/>
        </w:rPr>
        <w:sectPr w:rsidR="004F7DB3" w:rsidRPr="00A86393">
          <w:headerReference w:type="first" r:id="rId30"/>
          <w:pgSz w:w="11906" w:h="16838"/>
          <w:pgMar w:top="1418" w:right="1418" w:bottom="1418" w:left="1418" w:header="708" w:footer="708" w:gutter="0"/>
          <w:cols w:space="720"/>
        </w:sectPr>
      </w:pPr>
      <w:r w:rsidRPr="00A86393">
        <w:rPr>
          <w:sz w:val="20"/>
          <w:szCs w:val="20"/>
          <w:lang w:val="en-US"/>
        </w:rPr>
        <w:t>The private sector in Bamako is mainly composed of micro, small and medium-sized enterprises (MSMEs), operating mainly in the informal sector (68% of employment), particularly in agriculture, services and crafts. In addition, 44% of the population lives below the national poverty line, with rates reaching 14.2% in Bamako, where women (50.4% of the population) and young people (66% under 25) are overrepresented in the informal economy. The lack of an economic zoning strategy and the weak structuring of public-private partnerships limit the attractiveness of investments in promising sectors. However, opportunities are emerging around electric mobility, the circular economy and the development of green infrastructure, supported by a rising generation of innovative entrepreneurs and pilot initiatives in partnership with public and financial actors. Hence the strategic role that the private sector could play in Bamako's sustainable urban economic development, by mobilizing investments in key sectors such as clean mobility, integrated waste management, green infrastructure and the digitalization of urban services. With its capacity for innovation, financing and rapid implementation, the private sector can not only accelerate the city's green transition, but also generate green jobs, build urban resilience and contribute to more inclusive economic growth, especially for young people and women who make up the majority of the capital's workforc</w:t>
      </w:r>
      <w:r w:rsidR="009C0FAD">
        <w:rPr>
          <w:sz w:val="20"/>
          <w:szCs w:val="20"/>
          <w:lang w:val="en-US"/>
        </w:rPr>
        <w:t>e</w:t>
      </w:r>
    </w:p>
    <w:p w14:paraId="66B3241E" w14:textId="7CBD95FE" w:rsidR="009C0FAD" w:rsidRPr="0096529D" w:rsidRDefault="1FA3E677" w:rsidP="009C0FAD">
      <w:pPr>
        <w:pStyle w:val="Lgende"/>
        <w:keepNext/>
        <w:rPr>
          <w:rFonts w:ascii="Calibri" w:hAnsi="Calibri" w:cs="Calibri"/>
          <w:sz w:val="20"/>
          <w:szCs w:val="20"/>
          <w:lang w:val="en-US"/>
        </w:rPr>
      </w:pPr>
      <w:bookmarkStart w:id="25" w:name="_Ref199131077"/>
      <w:bookmarkStart w:id="26" w:name="_Toc199489224"/>
      <w:r w:rsidRPr="5D8904BE">
        <w:rPr>
          <w:rFonts w:ascii="Calibri" w:hAnsi="Calibri" w:cs="Calibri"/>
          <w:sz w:val="20"/>
          <w:szCs w:val="20"/>
          <w:lang w:val="en-US"/>
        </w:rPr>
        <w:lastRenderedPageBreak/>
        <w:t xml:space="preserve">Table </w:t>
      </w:r>
      <w:r w:rsidR="674EC094" w:rsidRPr="5D8904BE">
        <w:rPr>
          <w:rFonts w:ascii="Calibri" w:hAnsi="Calibri" w:cs="Calibri"/>
          <w:sz w:val="20"/>
          <w:szCs w:val="20"/>
        </w:rPr>
        <w:fldChar w:fldCharType="begin"/>
      </w:r>
      <w:r w:rsidR="674EC094" w:rsidRPr="5D8904BE">
        <w:rPr>
          <w:rFonts w:ascii="Calibri" w:hAnsi="Calibri" w:cs="Calibri"/>
          <w:sz w:val="20"/>
          <w:szCs w:val="20"/>
          <w:lang w:val="en-US"/>
        </w:rPr>
        <w:instrText xml:space="preserve"> SEQ Tableau \* ARABIC </w:instrText>
      </w:r>
      <w:r w:rsidR="674EC094" w:rsidRPr="5D8904BE">
        <w:rPr>
          <w:rFonts w:ascii="Calibri" w:hAnsi="Calibri" w:cs="Calibri"/>
          <w:sz w:val="20"/>
          <w:szCs w:val="20"/>
        </w:rPr>
        <w:fldChar w:fldCharType="separate"/>
      </w:r>
      <w:r w:rsidR="288B6DF6" w:rsidRPr="5D8904BE">
        <w:rPr>
          <w:rFonts w:ascii="Calibri" w:hAnsi="Calibri" w:cs="Calibri"/>
          <w:noProof/>
          <w:sz w:val="20"/>
          <w:szCs w:val="20"/>
          <w:lang w:val="en-US"/>
        </w:rPr>
        <w:t>6</w:t>
      </w:r>
      <w:r w:rsidR="674EC094" w:rsidRPr="5D8904BE">
        <w:rPr>
          <w:rFonts w:ascii="Calibri" w:hAnsi="Calibri" w:cs="Calibri"/>
          <w:sz w:val="20"/>
          <w:szCs w:val="20"/>
        </w:rPr>
        <w:fldChar w:fldCharType="end"/>
      </w:r>
      <w:r w:rsidRPr="5D8904BE">
        <w:rPr>
          <w:rFonts w:ascii="Calibri" w:hAnsi="Calibri" w:cs="Calibri"/>
          <w:sz w:val="20"/>
          <w:szCs w:val="20"/>
          <w:lang w:val="en-US"/>
        </w:rPr>
        <w:t xml:space="preserve"> Political context of national urban planning in Bamako</w:t>
      </w:r>
      <w:bookmarkEnd w:id="25"/>
      <w:bookmarkEnd w:id="26"/>
    </w:p>
    <w:tbl>
      <w:tblPr>
        <w:tblpPr w:leftFromText="180" w:rightFromText="180" w:topFromText="180" w:bottomFromText="180" w:vertAnchor="text" w:tblpXSpec="center"/>
        <w:tblW w:w="13603" w:type="dxa"/>
        <w:jc w:val="center"/>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ayout w:type="fixed"/>
        <w:tblLook w:val="0400" w:firstRow="0" w:lastRow="0" w:firstColumn="0" w:lastColumn="0" w:noHBand="0" w:noVBand="1"/>
      </w:tblPr>
      <w:tblGrid>
        <w:gridCol w:w="1170"/>
        <w:gridCol w:w="1920"/>
        <w:gridCol w:w="10513"/>
      </w:tblGrid>
      <w:tr w:rsidR="24AA8F7E" w14:paraId="279190AB" w14:textId="77777777" w:rsidTr="13C5956C">
        <w:trPr>
          <w:trHeight w:val="300"/>
          <w:jc w:val="center"/>
        </w:trPr>
        <w:tc>
          <w:tcPr>
            <w:tcW w:w="1170" w:type="dxa"/>
            <w:tcBorders>
              <w:bottom w:val="single" w:sz="4" w:space="0" w:color="000000" w:themeColor="text1"/>
              <w:right w:val="single" w:sz="5" w:space="0" w:color="C9C9C9"/>
            </w:tcBorders>
            <w:shd w:val="clear" w:color="auto" w:fill="501549" w:themeFill="accent5" w:themeFillShade="80"/>
          </w:tcPr>
          <w:p w14:paraId="02B36EE3" w14:textId="267D38EA" w:rsidR="1A502F87" w:rsidRPr="00DD60F2" w:rsidRDefault="1A502F87" w:rsidP="00DD60F2">
            <w:pPr>
              <w:spacing w:line="240" w:lineRule="auto"/>
              <w:jc w:val="both"/>
              <w:rPr>
                <w:b/>
                <w:bCs/>
                <w:color w:val="FFFFFF" w:themeColor="background1"/>
                <w:sz w:val="18"/>
                <w:szCs w:val="18"/>
              </w:rPr>
            </w:pPr>
            <w:r w:rsidRPr="00DD60F2">
              <w:rPr>
                <w:b/>
                <w:bCs/>
                <w:color w:val="FFFFFF" w:themeColor="background1"/>
                <w:sz w:val="18"/>
                <w:szCs w:val="18"/>
              </w:rPr>
              <w:lastRenderedPageBreak/>
              <w:t xml:space="preserve">Type of document </w:t>
            </w:r>
          </w:p>
        </w:tc>
        <w:tc>
          <w:tcPr>
            <w:tcW w:w="1920" w:type="dxa"/>
            <w:tcBorders>
              <w:top w:val="single" w:sz="5" w:space="0" w:color="C9C9C9"/>
              <w:left w:val="single" w:sz="5" w:space="0" w:color="C9C9C9"/>
              <w:bottom w:val="single" w:sz="5" w:space="0" w:color="C9C9C9"/>
              <w:right w:val="single" w:sz="5" w:space="0" w:color="C9C9C9"/>
            </w:tcBorders>
            <w:shd w:val="clear" w:color="auto" w:fill="501549" w:themeFill="accent5" w:themeFillShade="80"/>
            <w:tcMar>
              <w:left w:w="100" w:type="dxa"/>
              <w:right w:w="100" w:type="dxa"/>
            </w:tcMar>
          </w:tcPr>
          <w:p w14:paraId="3D1F7247" w14:textId="144C8089" w:rsidR="1A502F87" w:rsidRPr="00DD60F2" w:rsidRDefault="1A502F87" w:rsidP="00DD60F2">
            <w:pPr>
              <w:spacing w:line="240" w:lineRule="auto"/>
              <w:jc w:val="both"/>
              <w:rPr>
                <w:b/>
                <w:bCs/>
                <w:color w:val="FFFFFF" w:themeColor="background1"/>
                <w:sz w:val="18"/>
                <w:szCs w:val="18"/>
                <w:u w:val="single"/>
                <w:lang w:val="en-US"/>
              </w:rPr>
            </w:pPr>
            <w:r w:rsidRPr="00DD60F2">
              <w:rPr>
                <w:b/>
                <w:bCs/>
                <w:color w:val="FFFFFF" w:themeColor="background1"/>
                <w:sz w:val="18"/>
                <w:szCs w:val="18"/>
                <w:u w:val="single"/>
                <w:lang w:val="en-US"/>
              </w:rPr>
              <w:t xml:space="preserve">Title </w:t>
            </w:r>
          </w:p>
        </w:tc>
        <w:tc>
          <w:tcPr>
            <w:tcW w:w="10513" w:type="dxa"/>
            <w:tcBorders>
              <w:top w:val="single" w:sz="5" w:space="0" w:color="C9C9C9"/>
              <w:left w:val="single" w:sz="5" w:space="0" w:color="C9C9C9"/>
              <w:bottom w:val="single" w:sz="5" w:space="0" w:color="C9C9C9"/>
              <w:right w:val="single" w:sz="5" w:space="0" w:color="C9C9C9"/>
            </w:tcBorders>
            <w:shd w:val="clear" w:color="auto" w:fill="501549" w:themeFill="accent5" w:themeFillShade="80"/>
            <w:tcMar>
              <w:left w:w="100" w:type="dxa"/>
              <w:right w:w="100" w:type="dxa"/>
            </w:tcMar>
          </w:tcPr>
          <w:p w14:paraId="7392895A" w14:textId="1204E5BC" w:rsidR="1A502F87" w:rsidRPr="00DD60F2" w:rsidRDefault="1A502F87" w:rsidP="00DD60F2">
            <w:pPr>
              <w:spacing w:line="240" w:lineRule="auto"/>
              <w:jc w:val="both"/>
              <w:rPr>
                <w:b/>
                <w:bCs/>
                <w:color w:val="FFFFFF" w:themeColor="background1"/>
                <w:sz w:val="18"/>
                <w:szCs w:val="18"/>
                <w:lang w:val="en-US"/>
              </w:rPr>
            </w:pPr>
            <w:r w:rsidRPr="00DD60F2">
              <w:rPr>
                <w:b/>
                <w:bCs/>
                <w:color w:val="FFFFFF" w:themeColor="background1"/>
                <w:sz w:val="18"/>
                <w:szCs w:val="18"/>
                <w:lang w:val="en-US"/>
              </w:rPr>
              <w:t>Relevance</w:t>
            </w:r>
          </w:p>
        </w:tc>
      </w:tr>
      <w:tr w:rsidR="004F7DB3" w:rsidRPr="00F50786" w14:paraId="6BB770E9" w14:textId="77777777" w:rsidTr="13C5956C">
        <w:trPr>
          <w:trHeight w:val="300"/>
          <w:jc w:val="center"/>
        </w:trPr>
        <w:tc>
          <w:tcPr>
            <w:tcW w:w="1170" w:type="dxa"/>
            <w:tcBorders>
              <w:bottom w:val="single" w:sz="4" w:space="0" w:color="000000" w:themeColor="text1"/>
              <w:right w:val="single" w:sz="5" w:space="0" w:color="C9C9C9"/>
            </w:tcBorders>
          </w:tcPr>
          <w:p w14:paraId="000001A9" w14:textId="72D18A0B" w:rsidR="004F7DB3" w:rsidRPr="00A86393" w:rsidRDefault="3285DA61" w:rsidP="00DD60F2">
            <w:pPr>
              <w:spacing w:after="0" w:line="240" w:lineRule="auto"/>
              <w:jc w:val="both"/>
              <w:rPr>
                <w:sz w:val="18"/>
                <w:szCs w:val="18"/>
              </w:rPr>
            </w:pPr>
            <w:r w:rsidRPr="5D8904BE">
              <w:rPr>
                <w:sz w:val="18"/>
                <w:szCs w:val="18"/>
              </w:rPr>
              <w:t>National</w:t>
            </w:r>
            <w:r w:rsidR="73E02440" w:rsidRPr="5D8904BE">
              <w:rPr>
                <w:sz w:val="18"/>
                <w:szCs w:val="18"/>
              </w:rPr>
              <w:t xml:space="preserve">/Strategic / </w:t>
            </w:r>
            <w:proofErr w:type="spellStart"/>
            <w:proofErr w:type="gramStart"/>
            <w:r w:rsidR="73E02440" w:rsidRPr="5D8904BE">
              <w:rPr>
                <w:sz w:val="18"/>
                <w:szCs w:val="18"/>
              </w:rPr>
              <w:t>intersectoral</w:t>
            </w:r>
            <w:proofErr w:type="spellEnd"/>
            <w:r w:rsidR="73E02440" w:rsidRPr="5D8904BE">
              <w:rPr>
                <w:sz w:val="18"/>
                <w:szCs w:val="18"/>
              </w:rPr>
              <w:t xml:space="preserve"> </w:t>
            </w:r>
            <w:r w:rsidR="74ABCF57" w:rsidRPr="5D8904BE">
              <w:rPr>
                <w:sz w:val="18"/>
                <w:szCs w:val="18"/>
              </w:rPr>
              <w:t xml:space="preserve"> plan</w:t>
            </w:r>
            <w:proofErr w:type="gramEnd"/>
            <w:r w:rsidR="74ABCF57" w:rsidRPr="5D8904BE">
              <w:rPr>
                <w:sz w:val="18"/>
                <w:szCs w:val="18"/>
              </w:rPr>
              <w:t>/</w:t>
            </w:r>
            <w:proofErr w:type="spellStart"/>
            <w:r w:rsidR="74ABCF57" w:rsidRPr="5D8904BE">
              <w:rPr>
                <w:sz w:val="18"/>
                <w:szCs w:val="18"/>
              </w:rPr>
              <w:t>policy</w:t>
            </w:r>
            <w:proofErr w:type="spellEnd"/>
          </w:p>
          <w:p w14:paraId="4466671A" w14:textId="65DF2E52" w:rsidR="3EE7157C" w:rsidRDefault="3EE7157C" w:rsidP="5D8904BE">
            <w:pPr>
              <w:spacing w:after="0" w:line="240" w:lineRule="auto"/>
              <w:jc w:val="both"/>
              <w:rPr>
                <w:sz w:val="18"/>
                <w:szCs w:val="18"/>
              </w:rPr>
            </w:pPr>
          </w:p>
        </w:tc>
        <w:tc>
          <w:tcPr>
            <w:tcW w:w="1920"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1AA" w14:textId="77777777" w:rsidR="004F7DB3" w:rsidRPr="00A86393" w:rsidRDefault="3EE7157C" w:rsidP="00DD60F2">
            <w:pPr>
              <w:spacing w:before="240" w:after="240" w:line="240" w:lineRule="auto"/>
              <w:jc w:val="both"/>
              <w:rPr>
                <w:sz w:val="18"/>
                <w:szCs w:val="18"/>
                <w:lang w:val="en-US"/>
              </w:rPr>
            </w:pPr>
            <w:r>
              <w:fldChar w:fldCharType="begin"/>
            </w:r>
            <w:r w:rsidRPr="00F50786">
              <w:rPr>
                <w:lang w:val="en-US"/>
                <w:rPrChange w:id="27" w:author="Ali Sambou" w:date="2026-01-06T13:23:00Z" w16du:dateUtc="2026-01-06T13:23:00Z">
                  <w:rPr/>
                </w:rPrChange>
              </w:rPr>
              <w:instrText>HYPERLINK "https://mjp.univ-perp.fr/constit/ml2023.htm?utm_source=chatgpt.com" \h</w:instrText>
            </w:r>
            <w:r>
              <w:fldChar w:fldCharType="separate"/>
            </w:r>
            <w:r w:rsidRPr="24AA8F7E">
              <w:rPr>
                <w:color w:val="1155CC"/>
                <w:sz w:val="18"/>
                <w:szCs w:val="18"/>
                <w:u w:val="single"/>
                <w:lang w:val="en-US"/>
              </w:rPr>
              <w:t>Constitution of Mali of 22 July 2023</w:t>
            </w:r>
            <w:r>
              <w:fldChar w:fldCharType="end"/>
            </w:r>
          </w:p>
        </w:tc>
        <w:tc>
          <w:tcPr>
            <w:tcW w:w="10513"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1AB" w14:textId="77777777" w:rsidR="004F7DB3" w:rsidRPr="00A86393" w:rsidRDefault="552CE4D7" w:rsidP="00DD60F2">
            <w:pPr>
              <w:spacing w:before="240" w:after="240" w:line="240" w:lineRule="auto"/>
              <w:jc w:val="both"/>
              <w:rPr>
                <w:sz w:val="18"/>
                <w:szCs w:val="18"/>
                <w:lang w:val="en-US"/>
              </w:rPr>
            </w:pPr>
            <w:r w:rsidRPr="5D8904BE">
              <w:rPr>
                <w:sz w:val="18"/>
                <w:szCs w:val="18"/>
                <w:lang w:val="en-US"/>
              </w:rPr>
              <w:t>Mali's 2023 Constitution establishes a strong legal framework for environmental sustainability and territorial integration. It affirms the right to a healthy environment and commits the State and citizens to ensuring its protection, in a logic of sustainable development supported by national strategies and institutional initiatives.</w:t>
            </w:r>
          </w:p>
          <w:p w14:paraId="000001AC" w14:textId="326C1A67" w:rsidR="004F7DB3" w:rsidRPr="00A86393" w:rsidRDefault="598651F0" w:rsidP="00DD60F2">
            <w:pPr>
              <w:spacing w:before="240" w:after="240" w:line="240" w:lineRule="auto"/>
              <w:jc w:val="both"/>
              <w:rPr>
                <w:sz w:val="18"/>
                <w:szCs w:val="18"/>
                <w:lang w:val="en-US"/>
              </w:rPr>
            </w:pPr>
            <w:r w:rsidRPr="537FA187">
              <w:rPr>
                <w:sz w:val="18"/>
                <w:szCs w:val="18"/>
                <w:lang w:val="en-US"/>
              </w:rPr>
              <w:t xml:space="preserve">It enshrines one of the institutions of the Republic as the "Economic, Social, Environmental and Cultural Council" whose main mandate is to act as closely as possible to the populations at the grassroots level to circumscribe the needs of integrated sustainable development </w:t>
            </w:r>
            <w:proofErr w:type="gramStart"/>
            <w:r w:rsidRPr="537FA187">
              <w:rPr>
                <w:sz w:val="18"/>
                <w:szCs w:val="18"/>
                <w:lang w:val="en-US"/>
              </w:rPr>
              <w:t>in order to</w:t>
            </w:r>
            <w:proofErr w:type="gramEnd"/>
            <w:r w:rsidRPr="537FA187">
              <w:rPr>
                <w:sz w:val="18"/>
                <w:szCs w:val="18"/>
                <w:lang w:val="en-US"/>
              </w:rPr>
              <w:t xml:space="preserve"> support the regular implementation of recommendations to the Government in agreement with the President of the Republic. Initial activity reports have been announced as available and will need to be </w:t>
            </w:r>
            <w:r w:rsidR="5FBC14EC" w:rsidRPr="537FA187">
              <w:rPr>
                <w:sz w:val="18"/>
                <w:szCs w:val="18"/>
                <w:lang w:val="en-US"/>
              </w:rPr>
              <w:t>capitalized</w:t>
            </w:r>
            <w:r w:rsidRPr="537FA187">
              <w:rPr>
                <w:sz w:val="18"/>
                <w:szCs w:val="18"/>
                <w:lang w:val="en-US"/>
              </w:rPr>
              <w:t xml:space="preserve"> within the framework of the project to make better use of the Institution's support opportunities.</w:t>
            </w:r>
          </w:p>
        </w:tc>
      </w:tr>
      <w:tr w:rsidR="004F7DB3" w:rsidRPr="00F50786" w14:paraId="77738830" w14:textId="77777777" w:rsidTr="13C5956C">
        <w:trPr>
          <w:trHeight w:val="300"/>
          <w:jc w:val="center"/>
        </w:trPr>
        <w:tc>
          <w:tcPr>
            <w:tcW w:w="1170" w:type="dxa"/>
          </w:tcPr>
          <w:p w14:paraId="000001AD" w14:textId="77777777" w:rsidR="004F7DB3" w:rsidRPr="00A86393" w:rsidRDefault="00C00123" w:rsidP="00DD60F2">
            <w:pPr>
              <w:spacing w:after="0" w:line="240" w:lineRule="auto"/>
              <w:jc w:val="both"/>
              <w:rPr>
                <w:sz w:val="18"/>
                <w:szCs w:val="18"/>
              </w:rPr>
            </w:pPr>
            <w:r w:rsidRPr="00A86393">
              <w:rPr>
                <w:sz w:val="18"/>
                <w:szCs w:val="18"/>
              </w:rPr>
              <w:t>National/</w:t>
            </w:r>
            <w:proofErr w:type="spellStart"/>
            <w:r w:rsidRPr="00A86393">
              <w:rPr>
                <w:sz w:val="18"/>
                <w:szCs w:val="18"/>
              </w:rPr>
              <w:t>Sectoral</w:t>
            </w:r>
            <w:proofErr w:type="spellEnd"/>
            <w:r w:rsidRPr="00A86393">
              <w:rPr>
                <w:sz w:val="18"/>
                <w:szCs w:val="18"/>
              </w:rPr>
              <w:t xml:space="preserve"> </w:t>
            </w:r>
            <w:proofErr w:type="spellStart"/>
            <w:r w:rsidRPr="00A86393">
              <w:rPr>
                <w:sz w:val="18"/>
                <w:szCs w:val="18"/>
              </w:rPr>
              <w:t>Policies</w:t>
            </w:r>
            <w:proofErr w:type="spellEnd"/>
          </w:p>
        </w:tc>
        <w:tc>
          <w:tcPr>
            <w:tcW w:w="1920"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1AE" w14:textId="77777777" w:rsidR="004F7DB3" w:rsidRPr="00A86393" w:rsidRDefault="6F3012C1" w:rsidP="5D8904BE">
            <w:pPr>
              <w:pBdr>
                <w:top w:val="nil"/>
                <w:left w:val="nil"/>
                <w:bottom w:val="nil"/>
                <w:right w:val="nil"/>
                <w:between w:val="nil"/>
              </w:pBdr>
              <w:spacing w:after="0" w:line="240" w:lineRule="auto"/>
              <w:rPr>
                <w:sz w:val="18"/>
                <w:szCs w:val="18"/>
                <w:lang w:val="it-IT"/>
              </w:rPr>
            </w:pPr>
            <w:r w:rsidRPr="5D8904BE">
              <w:rPr>
                <w:sz w:val="18"/>
                <w:szCs w:val="18"/>
                <w:lang w:val="it-IT"/>
              </w:rPr>
              <w:t xml:space="preserve">The </w:t>
            </w:r>
            <w:proofErr w:type="spellStart"/>
            <w:r w:rsidRPr="5D8904BE">
              <w:rPr>
                <w:sz w:val="18"/>
                <w:szCs w:val="18"/>
                <w:lang w:val="it-IT"/>
              </w:rPr>
              <w:t>strategic</w:t>
            </w:r>
            <w:proofErr w:type="spellEnd"/>
            <w:r w:rsidRPr="5D8904BE">
              <w:rPr>
                <w:sz w:val="18"/>
                <w:szCs w:val="18"/>
                <w:lang w:val="it-IT"/>
              </w:rPr>
              <w:t xml:space="preserve"> vision "Mali Kura </w:t>
            </w:r>
            <w:proofErr w:type="spellStart"/>
            <w:r w:rsidRPr="5D8904BE">
              <w:rPr>
                <w:sz w:val="18"/>
                <w:szCs w:val="18"/>
                <w:lang w:val="it-IT"/>
              </w:rPr>
              <w:t>Ɲɛtaasira</w:t>
            </w:r>
            <w:proofErr w:type="spellEnd"/>
            <w:r w:rsidRPr="5D8904BE">
              <w:rPr>
                <w:sz w:val="18"/>
                <w:szCs w:val="18"/>
                <w:lang w:val="it-IT"/>
              </w:rPr>
              <w:t xml:space="preserve"> ka </w:t>
            </w:r>
            <w:proofErr w:type="spellStart"/>
            <w:r w:rsidRPr="5D8904BE">
              <w:rPr>
                <w:sz w:val="18"/>
                <w:szCs w:val="18"/>
                <w:lang w:val="it-IT"/>
              </w:rPr>
              <w:t>bɛn</w:t>
            </w:r>
            <w:proofErr w:type="spellEnd"/>
            <w:r w:rsidRPr="5D8904BE">
              <w:rPr>
                <w:sz w:val="18"/>
                <w:szCs w:val="18"/>
                <w:lang w:val="it-IT"/>
              </w:rPr>
              <w:t xml:space="preserve"> san 2063 ma"</w:t>
            </w:r>
          </w:p>
        </w:tc>
        <w:tc>
          <w:tcPr>
            <w:tcW w:w="10513"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1AF" w14:textId="77777777" w:rsidR="004F7DB3" w:rsidRPr="00A86393" w:rsidRDefault="00C00123" w:rsidP="00DD60F2">
            <w:pPr>
              <w:spacing w:before="240" w:after="240" w:line="240" w:lineRule="auto"/>
              <w:jc w:val="both"/>
              <w:rPr>
                <w:sz w:val="18"/>
                <w:szCs w:val="18"/>
                <w:lang w:val="en-US"/>
              </w:rPr>
            </w:pPr>
            <w:r w:rsidRPr="00A86393">
              <w:rPr>
                <w:sz w:val="18"/>
                <w:szCs w:val="18"/>
                <w:lang w:val="en-US"/>
              </w:rPr>
              <w:t>On April 17, 2025, the Government of Mali presented to Technical and Financial Partners, including the United Nations System in Mali, the "Mali Kura 2063 Vision" which is deployed through eleven flagship structuring projects:</w:t>
            </w:r>
          </w:p>
          <w:p w14:paraId="000001B0" w14:textId="1980601B" w:rsidR="004F7DB3" w:rsidRPr="00A86393" w:rsidRDefault="352EB93F" w:rsidP="001360BB">
            <w:pPr>
              <w:numPr>
                <w:ilvl w:val="0"/>
                <w:numId w:val="198"/>
              </w:numPr>
              <w:spacing w:before="240" w:after="0" w:line="240" w:lineRule="auto"/>
              <w:jc w:val="both"/>
              <w:rPr>
                <w:sz w:val="18"/>
                <w:szCs w:val="18"/>
                <w:lang w:val="en-US"/>
              </w:rPr>
            </w:pPr>
            <w:r w:rsidRPr="5D8904BE">
              <w:rPr>
                <w:sz w:val="18"/>
                <w:szCs w:val="18"/>
                <w:lang w:val="en-US"/>
              </w:rPr>
              <w:t>"</w:t>
            </w:r>
            <w:proofErr w:type="spellStart"/>
            <w:r w:rsidRPr="5D8904BE">
              <w:rPr>
                <w:sz w:val="18"/>
                <w:szCs w:val="18"/>
                <w:lang w:val="en-US"/>
              </w:rPr>
              <w:t>Farafina</w:t>
            </w:r>
            <w:proofErr w:type="spellEnd"/>
            <w:r w:rsidRPr="5D8904BE">
              <w:rPr>
                <w:sz w:val="18"/>
                <w:szCs w:val="18"/>
                <w:lang w:val="en-US"/>
              </w:rPr>
              <w:t xml:space="preserve"> </w:t>
            </w:r>
            <w:proofErr w:type="spellStart"/>
            <w:r w:rsidRPr="5D8904BE">
              <w:rPr>
                <w:sz w:val="18"/>
                <w:szCs w:val="18"/>
                <w:lang w:val="en-US"/>
              </w:rPr>
              <w:t>Jigine</w:t>
            </w:r>
            <w:proofErr w:type="spellEnd"/>
            <w:r w:rsidRPr="5D8904BE">
              <w:rPr>
                <w:sz w:val="18"/>
                <w:szCs w:val="18"/>
                <w:lang w:val="en-US"/>
              </w:rPr>
              <w:t>" targets regional food security</w:t>
            </w:r>
            <w:r w:rsidR="762CFD93" w:rsidRPr="5D8904BE">
              <w:rPr>
                <w:sz w:val="18"/>
                <w:szCs w:val="18"/>
                <w:lang w:val="en-US"/>
              </w:rPr>
              <w:t>,</w:t>
            </w:r>
          </w:p>
          <w:p w14:paraId="000001B1" w14:textId="0E7B8687" w:rsidR="004F7DB3" w:rsidRPr="00A86393" w:rsidRDefault="3EE7157C" w:rsidP="001360BB">
            <w:pPr>
              <w:numPr>
                <w:ilvl w:val="0"/>
                <w:numId w:val="198"/>
              </w:numPr>
              <w:spacing w:after="0" w:line="240" w:lineRule="auto"/>
              <w:jc w:val="both"/>
              <w:rPr>
                <w:sz w:val="18"/>
                <w:szCs w:val="18"/>
                <w:lang w:val="en-US"/>
              </w:rPr>
            </w:pPr>
            <w:r w:rsidRPr="24AA8F7E">
              <w:rPr>
                <w:sz w:val="18"/>
                <w:szCs w:val="18"/>
                <w:lang w:val="en-US"/>
              </w:rPr>
              <w:t>"Yelen Kura" aims to expand access to electricity,</w:t>
            </w:r>
          </w:p>
          <w:p w14:paraId="000001B2" w14:textId="15CCC52D" w:rsidR="004F7DB3" w:rsidRPr="00A86393" w:rsidRDefault="352EB93F" w:rsidP="001360BB">
            <w:pPr>
              <w:numPr>
                <w:ilvl w:val="0"/>
                <w:numId w:val="198"/>
              </w:numPr>
              <w:spacing w:after="0" w:line="240" w:lineRule="auto"/>
              <w:jc w:val="both"/>
              <w:rPr>
                <w:sz w:val="18"/>
                <w:szCs w:val="18"/>
              </w:rPr>
            </w:pPr>
            <w:r w:rsidRPr="5D8904BE">
              <w:rPr>
                <w:sz w:val="18"/>
                <w:szCs w:val="18"/>
              </w:rPr>
              <w:t>"</w:t>
            </w:r>
            <w:proofErr w:type="spellStart"/>
            <w:r w:rsidRPr="5D8904BE">
              <w:rPr>
                <w:sz w:val="18"/>
                <w:szCs w:val="18"/>
              </w:rPr>
              <w:t>Industrialize</w:t>
            </w:r>
            <w:proofErr w:type="spellEnd"/>
            <w:r w:rsidRPr="5D8904BE">
              <w:rPr>
                <w:sz w:val="18"/>
                <w:szCs w:val="18"/>
              </w:rPr>
              <w:t xml:space="preserve"> Mali" </w:t>
            </w:r>
            <w:proofErr w:type="spellStart"/>
            <w:r w:rsidRPr="5D8904BE">
              <w:rPr>
                <w:sz w:val="18"/>
                <w:szCs w:val="18"/>
              </w:rPr>
              <w:t>focuses</w:t>
            </w:r>
            <w:proofErr w:type="spellEnd"/>
            <w:r w:rsidRPr="5D8904BE">
              <w:rPr>
                <w:sz w:val="18"/>
                <w:szCs w:val="18"/>
              </w:rPr>
              <w:t xml:space="preserve"> on </w:t>
            </w:r>
            <w:proofErr w:type="spellStart"/>
            <w:r w:rsidRPr="5D8904BE">
              <w:rPr>
                <w:sz w:val="18"/>
                <w:szCs w:val="18"/>
              </w:rPr>
              <w:t>industrial</w:t>
            </w:r>
            <w:proofErr w:type="spellEnd"/>
            <w:r w:rsidRPr="5D8904BE">
              <w:rPr>
                <w:sz w:val="18"/>
                <w:szCs w:val="18"/>
              </w:rPr>
              <w:t xml:space="preserve"> revival</w:t>
            </w:r>
            <w:r w:rsidR="45F44ECF" w:rsidRPr="5D8904BE">
              <w:rPr>
                <w:sz w:val="18"/>
                <w:szCs w:val="18"/>
              </w:rPr>
              <w:t>,</w:t>
            </w:r>
          </w:p>
          <w:p w14:paraId="000001B3" w14:textId="2D96F558" w:rsidR="004F7DB3" w:rsidRPr="00A86393" w:rsidRDefault="352EB93F" w:rsidP="001360BB">
            <w:pPr>
              <w:numPr>
                <w:ilvl w:val="0"/>
                <w:numId w:val="198"/>
              </w:numPr>
              <w:spacing w:after="0" w:line="240" w:lineRule="auto"/>
              <w:jc w:val="both"/>
              <w:rPr>
                <w:sz w:val="18"/>
                <w:szCs w:val="18"/>
              </w:rPr>
            </w:pPr>
            <w:proofErr w:type="spellStart"/>
            <w:r w:rsidRPr="5D8904BE">
              <w:rPr>
                <w:sz w:val="18"/>
                <w:szCs w:val="18"/>
              </w:rPr>
              <w:t>Enhancement</w:t>
            </w:r>
            <w:proofErr w:type="spellEnd"/>
            <w:r w:rsidRPr="5D8904BE">
              <w:rPr>
                <w:sz w:val="18"/>
                <w:szCs w:val="18"/>
              </w:rPr>
              <w:t xml:space="preserve"> of </w:t>
            </w:r>
            <w:proofErr w:type="spellStart"/>
            <w:r w:rsidRPr="5D8904BE">
              <w:rPr>
                <w:sz w:val="18"/>
                <w:szCs w:val="18"/>
              </w:rPr>
              <w:t>heritage</w:t>
            </w:r>
            <w:proofErr w:type="spellEnd"/>
            <w:r w:rsidRPr="5D8904BE">
              <w:rPr>
                <w:sz w:val="18"/>
                <w:szCs w:val="18"/>
              </w:rPr>
              <w:t>,</w:t>
            </w:r>
          </w:p>
          <w:p w14:paraId="000001B4" w14:textId="62CD367A" w:rsidR="004F7DB3" w:rsidRPr="00A86393" w:rsidRDefault="352EB93F" w:rsidP="001360BB">
            <w:pPr>
              <w:numPr>
                <w:ilvl w:val="0"/>
                <w:numId w:val="198"/>
              </w:numPr>
              <w:spacing w:after="0" w:line="240" w:lineRule="auto"/>
              <w:jc w:val="both"/>
              <w:rPr>
                <w:sz w:val="18"/>
                <w:szCs w:val="18"/>
              </w:rPr>
            </w:pPr>
            <w:proofErr w:type="spellStart"/>
            <w:r w:rsidRPr="5D8904BE">
              <w:rPr>
                <w:sz w:val="18"/>
                <w:szCs w:val="18"/>
              </w:rPr>
              <w:t>Enhancement</w:t>
            </w:r>
            <w:proofErr w:type="spellEnd"/>
            <w:r w:rsidRPr="5D8904BE">
              <w:rPr>
                <w:sz w:val="18"/>
                <w:szCs w:val="18"/>
              </w:rPr>
              <w:t xml:space="preserve"> of international </w:t>
            </w:r>
            <w:proofErr w:type="spellStart"/>
            <w:r w:rsidRPr="5D8904BE">
              <w:rPr>
                <w:sz w:val="18"/>
                <w:szCs w:val="18"/>
              </w:rPr>
              <w:t>integration</w:t>
            </w:r>
            <w:proofErr w:type="spellEnd"/>
            <w:r w:rsidR="39587EBF" w:rsidRPr="5D8904BE">
              <w:rPr>
                <w:sz w:val="18"/>
                <w:szCs w:val="18"/>
              </w:rPr>
              <w:t>,</w:t>
            </w:r>
          </w:p>
          <w:p w14:paraId="000001B5" w14:textId="493E98C7" w:rsidR="004F7DB3" w:rsidRPr="00A86393" w:rsidRDefault="3EE7157C" w:rsidP="001360BB">
            <w:pPr>
              <w:numPr>
                <w:ilvl w:val="0"/>
                <w:numId w:val="198"/>
              </w:numPr>
              <w:spacing w:after="0" w:line="240" w:lineRule="auto"/>
              <w:jc w:val="both"/>
              <w:rPr>
                <w:sz w:val="18"/>
                <w:szCs w:val="18"/>
                <w:lang w:val="en-US"/>
              </w:rPr>
            </w:pPr>
            <w:r w:rsidRPr="24AA8F7E">
              <w:rPr>
                <w:sz w:val="18"/>
                <w:szCs w:val="18"/>
                <w:lang w:val="en-US"/>
              </w:rPr>
              <w:t>Improvement of the urban living environment,</w:t>
            </w:r>
          </w:p>
          <w:p w14:paraId="000001B6" w14:textId="515CC835" w:rsidR="004F7DB3" w:rsidRPr="00A86393" w:rsidRDefault="352EB93F" w:rsidP="001360BB">
            <w:pPr>
              <w:numPr>
                <w:ilvl w:val="0"/>
                <w:numId w:val="198"/>
              </w:numPr>
              <w:spacing w:after="0" w:line="240" w:lineRule="auto"/>
              <w:jc w:val="both"/>
              <w:rPr>
                <w:sz w:val="18"/>
                <w:szCs w:val="18"/>
              </w:rPr>
            </w:pPr>
            <w:r w:rsidRPr="5D8904BE">
              <w:rPr>
                <w:sz w:val="18"/>
                <w:szCs w:val="18"/>
              </w:rPr>
              <w:t xml:space="preserve">Digital </w:t>
            </w:r>
            <w:proofErr w:type="spellStart"/>
            <w:r w:rsidRPr="5D8904BE">
              <w:rPr>
                <w:sz w:val="18"/>
                <w:szCs w:val="18"/>
              </w:rPr>
              <w:t>modernization</w:t>
            </w:r>
            <w:proofErr w:type="spellEnd"/>
            <w:r w:rsidRPr="5D8904BE">
              <w:rPr>
                <w:sz w:val="18"/>
                <w:szCs w:val="18"/>
              </w:rPr>
              <w:t>,</w:t>
            </w:r>
          </w:p>
          <w:p w14:paraId="000001B7" w14:textId="0DBECEAB" w:rsidR="004F7DB3" w:rsidRPr="00A86393" w:rsidRDefault="3EE7157C" w:rsidP="001360BB">
            <w:pPr>
              <w:numPr>
                <w:ilvl w:val="0"/>
                <w:numId w:val="198"/>
              </w:numPr>
              <w:spacing w:after="0" w:line="240" w:lineRule="auto"/>
              <w:jc w:val="both"/>
              <w:rPr>
                <w:sz w:val="18"/>
                <w:szCs w:val="18"/>
                <w:lang w:val="en-US"/>
              </w:rPr>
            </w:pPr>
            <w:r w:rsidRPr="24AA8F7E">
              <w:rPr>
                <w:sz w:val="18"/>
                <w:szCs w:val="18"/>
                <w:lang w:val="en-US"/>
              </w:rPr>
              <w:t>The promotion of competent human resources,</w:t>
            </w:r>
          </w:p>
          <w:p w14:paraId="000001B8" w14:textId="72278E01" w:rsidR="004F7DB3" w:rsidRPr="00A86393" w:rsidRDefault="352EB93F" w:rsidP="001360BB">
            <w:pPr>
              <w:numPr>
                <w:ilvl w:val="0"/>
                <w:numId w:val="198"/>
              </w:numPr>
              <w:spacing w:after="0" w:line="240" w:lineRule="auto"/>
              <w:jc w:val="both"/>
              <w:rPr>
                <w:sz w:val="18"/>
                <w:szCs w:val="18"/>
              </w:rPr>
            </w:pPr>
            <w:proofErr w:type="spellStart"/>
            <w:r w:rsidRPr="5D8904BE">
              <w:rPr>
                <w:sz w:val="18"/>
                <w:szCs w:val="18"/>
              </w:rPr>
              <w:t>Ecology</w:t>
            </w:r>
            <w:proofErr w:type="spellEnd"/>
            <w:r w:rsidRPr="5D8904BE">
              <w:rPr>
                <w:sz w:val="18"/>
                <w:szCs w:val="18"/>
              </w:rPr>
              <w:t>,</w:t>
            </w:r>
          </w:p>
          <w:p w14:paraId="000001B9" w14:textId="2949A07F" w:rsidR="004F7DB3" w:rsidRPr="00A86393" w:rsidRDefault="352EB93F" w:rsidP="001360BB">
            <w:pPr>
              <w:numPr>
                <w:ilvl w:val="0"/>
                <w:numId w:val="198"/>
              </w:numPr>
              <w:spacing w:after="0" w:line="240" w:lineRule="auto"/>
              <w:jc w:val="both"/>
              <w:rPr>
                <w:sz w:val="18"/>
                <w:szCs w:val="18"/>
              </w:rPr>
            </w:pPr>
            <w:proofErr w:type="spellStart"/>
            <w:r w:rsidRPr="5D8904BE">
              <w:rPr>
                <w:sz w:val="18"/>
                <w:szCs w:val="18"/>
              </w:rPr>
              <w:t>Institutional</w:t>
            </w:r>
            <w:proofErr w:type="spellEnd"/>
            <w:r w:rsidRPr="5D8904BE">
              <w:rPr>
                <w:sz w:val="18"/>
                <w:szCs w:val="18"/>
              </w:rPr>
              <w:t xml:space="preserve"> </w:t>
            </w:r>
            <w:proofErr w:type="spellStart"/>
            <w:r w:rsidRPr="5D8904BE">
              <w:rPr>
                <w:sz w:val="18"/>
                <w:szCs w:val="18"/>
              </w:rPr>
              <w:t>modernization</w:t>
            </w:r>
            <w:proofErr w:type="spellEnd"/>
            <w:r w:rsidR="4B1E70A1" w:rsidRPr="5D8904BE">
              <w:rPr>
                <w:sz w:val="18"/>
                <w:szCs w:val="18"/>
              </w:rPr>
              <w:t>,</w:t>
            </w:r>
          </w:p>
          <w:p w14:paraId="000001BA" w14:textId="77777777" w:rsidR="004F7DB3" w:rsidRPr="00A86393" w:rsidRDefault="552CE4D7" w:rsidP="001360BB">
            <w:pPr>
              <w:numPr>
                <w:ilvl w:val="0"/>
                <w:numId w:val="198"/>
              </w:numPr>
              <w:spacing w:after="240" w:line="240" w:lineRule="auto"/>
              <w:jc w:val="both"/>
              <w:rPr>
                <w:sz w:val="18"/>
                <w:szCs w:val="18"/>
                <w:lang w:val="en-US"/>
              </w:rPr>
            </w:pPr>
            <w:r w:rsidRPr="5D8904BE">
              <w:rPr>
                <w:sz w:val="18"/>
                <w:szCs w:val="18"/>
                <w:lang w:val="en-US"/>
              </w:rPr>
              <w:t>"</w:t>
            </w:r>
            <w:proofErr w:type="spellStart"/>
            <w:r w:rsidRPr="5D8904BE">
              <w:rPr>
                <w:sz w:val="18"/>
                <w:szCs w:val="18"/>
                <w:lang w:val="en-US"/>
              </w:rPr>
              <w:t>Kunafoni</w:t>
            </w:r>
            <w:proofErr w:type="spellEnd"/>
            <w:r w:rsidRPr="5D8904BE">
              <w:rPr>
                <w:sz w:val="18"/>
                <w:szCs w:val="18"/>
                <w:lang w:val="en-US"/>
              </w:rPr>
              <w:t xml:space="preserve"> Taa Sira" is about the development of a geospatial data infrastructure.</w:t>
            </w:r>
          </w:p>
          <w:p w14:paraId="000001BB" w14:textId="77777777" w:rsidR="004F7DB3" w:rsidRPr="00A86393" w:rsidRDefault="00C00123" w:rsidP="00DD60F2">
            <w:pPr>
              <w:spacing w:before="240" w:after="240" w:line="240" w:lineRule="auto"/>
              <w:jc w:val="both"/>
              <w:rPr>
                <w:sz w:val="18"/>
                <w:szCs w:val="18"/>
                <w:lang w:val="en-US"/>
              </w:rPr>
            </w:pPr>
            <w:r w:rsidRPr="00A86393">
              <w:rPr>
                <w:sz w:val="18"/>
                <w:szCs w:val="18"/>
                <w:lang w:val="en-US"/>
              </w:rPr>
              <w:t xml:space="preserve">The achievement of this vision is based on a National Sustainable Development Strategy (SNEDD 2024-2033) which is based on five major axes: </w:t>
            </w:r>
          </w:p>
          <w:p w14:paraId="000001BC" w14:textId="77777777" w:rsidR="004F7DB3" w:rsidRPr="00A86393" w:rsidRDefault="552CE4D7" w:rsidP="001360BB">
            <w:pPr>
              <w:numPr>
                <w:ilvl w:val="0"/>
                <w:numId w:val="191"/>
              </w:numPr>
              <w:spacing w:before="240" w:after="0" w:line="240" w:lineRule="auto"/>
              <w:jc w:val="both"/>
              <w:rPr>
                <w:sz w:val="18"/>
                <w:szCs w:val="18"/>
              </w:rPr>
            </w:pPr>
            <w:proofErr w:type="spellStart"/>
            <w:proofErr w:type="gramStart"/>
            <w:r w:rsidRPr="5D8904BE">
              <w:rPr>
                <w:sz w:val="18"/>
                <w:szCs w:val="18"/>
              </w:rPr>
              <w:t>strengthening</w:t>
            </w:r>
            <w:proofErr w:type="spellEnd"/>
            <w:proofErr w:type="gramEnd"/>
            <w:r w:rsidRPr="5D8904BE">
              <w:rPr>
                <w:sz w:val="18"/>
                <w:szCs w:val="18"/>
              </w:rPr>
              <w:t xml:space="preserve"> </w:t>
            </w:r>
            <w:proofErr w:type="spellStart"/>
            <w:r w:rsidRPr="5D8904BE">
              <w:rPr>
                <w:sz w:val="18"/>
                <w:szCs w:val="18"/>
              </w:rPr>
              <w:t>sovereignty</w:t>
            </w:r>
            <w:proofErr w:type="spellEnd"/>
            <w:r w:rsidRPr="5D8904BE">
              <w:rPr>
                <w:sz w:val="18"/>
                <w:szCs w:val="18"/>
              </w:rPr>
              <w:t xml:space="preserve"> and </w:t>
            </w:r>
            <w:proofErr w:type="spellStart"/>
            <w:r w:rsidRPr="5D8904BE">
              <w:rPr>
                <w:sz w:val="18"/>
                <w:szCs w:val="18"/>
              </w:rPr>
              <w:t>peace</w:t>
            </w:r>
            <w:proofErr w:type="spellEnd"/>
            <w:r w:rsidRPr="5D8904BE">
              <w:rPr>
                <w:sz w:val="18"/>
                <w:szCs w:val="18"/>
              </w:rPr>
              <w:t>,</w:t>
            </w:r>
          </w:p>
          <w:p w14:paraId="000001BD" w14:textId="77777777" w:rsidR="004F7DB3" w:rsidRPr="00A86393" w:rsidRDefault="552CE4D7" w:rsidP="001360BB">
            <w:pPr>
              <w:numPr>
                <w:ilvl w:val="0"/>
                <w:numId w:val="191"/>
              </w:numPr>
              <w:spacing w:after="0" w:line="240" w:lineRule="auto"/>
              <w:jc w:val="both"/>
              <w:rPr>
                <w:sz w:val="18"/>
                <w:szCs w:val="18"/>
              </w:rPr>
            </w:pPr>
            <w:proofErr w:type="spellStart"/>
            <w:proofErr w:type="gramStart"/>
            <w:r w:rsidRPr="5D8904BE">
              <w:rPr>
                <w:sz w:val="18"/>
                <w:szCs w:val="18"/>
              </w:rPr>
              <w:t>rebuilding</w:t>
            </w:r>
            <w:proofErr w:type="spellEnd"/>
            <w:proofErr w:type="gramEnd"/>
            <w:r w:rsidRPr="5D8904BE">
              <w:rPr>
                <w:sz w:val="18"/>
                <w:szCs w:val="18"/>
              </w:rPr>
              <w:t xml:space="preserve"> </w:t>
            </w:r>
            <w:proofErr w:type="spellStart"/>
            <w:r w:rsidRPr="5D8904BE">
              <w:rPr>
                <w:sz w:val="18"/>
                <w:szCs w:val="18"/>
              </w:rPr>
              <w:t>governance</w:t>
            </w:r>
            <w:proofErr w:type="spellEnd"/>
            <w:r w:rsidRPr="5D8904BE">
              <w:rPr>
                <w:sz w:val="18"/>
                <w:szCs w:val="18"/>
              </w:rPr>
              <w:t>,</w:t>
            </w:r>
          </w:p>
          <w:p w14:paraId="000001BE" w14:textId="77777777" w:rsidR="004F7DB3" w:rsidRPr="00A86393" w:rsidRDefault="552CE4D7" w:rsidP="001360BB">
            <w:pPr>
              <w:numPr>
                <w:ilvl w:val="0"/>
                <w:numId w:val="191"/>
              </w:numPr>
              <w:spacing w:after="0" w:line="240" w:lineRule="auto"/>
              <w:jc w:val="both"/>
              <w:rPr>
                <w:sz w:val="18"/>
                <w:szCs w:val="18"/>
              </w:rPr>
            </w:pPr>
            <w:proofErr w:type="spellStart"/>
            <w:proofErr w:type="gramStart"/>
            <w:r w:rsidRPr="5D8904BE">
              <w:rPr>
                <w:sz w:val="18"/>
                <w:szCs w:val="18"/>
              </w:rPr>
              <w:t>sustainable</w:t>
            </w:r>
            <w:proofErr w:type="spellEnd"/>
            <w:proofErr w:type="gramEnd"/>
            <w:r w:rsidRPr="5D8904BE">
              <w:rPr>
                <w:sz w:val="18"/>
                <w:szCs w:val="18"/>
              </w:rPr>
              <w:t xml:space="preserve"> </w:t>
            </w:r>
            <w:proofErr w:type="spellStart"/>
            <w:r w:rsidRPr="5D8904BE">
              <w:rPr>
                <w:sz w:val="18"/>
                <w:szCs w:val="18"/>
              </w:rPr>
              <w:t>economic</w:t>
            </w:r>
            <w:proofErr w:type="spellEnd"/>
            <w:r w:rsidRPr="5D8904BE">
              <w:rPr>
                <w:sz w:val="18"/>
                <w:szCs w:val="18"/>
              </w:rPr>
              <w:t xml:space="preserve"> transformation,</w:t>
            </w:r>
          </w:p>
          <w:p w14:paraId="000001BF" w14:textId="77777777" w:rsidR="004F7DB3" w:rsidRPr="00A86393" w:rsidRDefault="00C00123" w:rsidP="001360BB">
            <w:pPr>
              <w:numPr>
                <w:ilvl w:val="0"/>
                <w:numId w:val="191"/>
              </w:numPr>
              <w:spacing w:after="0" w:line="240" w:lineRule="auto"/>
              <w:jc w:val="both"/>
              <w:rPr>
                <w:sz w:val="18"/>
                <w:szCs w:val="18"/>
                <w:lang w:val="en-US"/>
              </w:rPr>
            </w:pPr>
            <w:r w:rsidRPr="00A86393">
              <w:rPr>
                <w:sz w:val="18"/>
                <w:szCs w:val="18"/>
                <w:lang w:val="en-US"/>
              </w:rPr>
              <w:t>development of human capital and resilient territories,</w:t>
            </w:r>
          </w:p>
          <w:p w14:paraId="000001C0" w14:textId="77777777" w:rsidR="004F7DB3" w:rsidRPr="00A86393" w:rsidRDefault="552CE4D7" w:rsidP="001360BB">
            <w:pPr>
              <w:numPr>
                <w:ilvl w:val="0"/>
                <w:numId w:val="191"/>
              </w:numPr>
              <w:spacing w:after="240" w:line="240" w:lineRule="auto"/>
              <w:jc w:val="both"/>
              <w:rPr>
                <w:sz w:val="18"/>
                <w:szCs w:val="18"/>
              </w:rPr>
            </w:pPr>
            <w:proofErr w:type="spellStart"/>
            <w:proofErr w:type="gramStart"/>
            <w:r w:rsidRPr="5D8904BE">
              <w:rPr>
                <w:sz w:val="18"/>
                <w:szCs w:val="18"/>
              </w:rPr>
              <w:t>environmental</w:t>
            </w:r>
            <w:proofErr w:type="spellEnd"/>
            <w:proofErr w:type="gramEnd"/>
            <w:r w:rsidRPr="5D8904BE">
              <w:rPr>
                <w:sz w:val="18"/>
                <w:szCs w:val="18"/>
              </w:rPr>
              <w:t xml:space="preserve"> management and </w:t>
            </w:r>
            <w:proofErr w:type="spellStart"/>
            <w:r w:rsidRPr="5D8904BE">
              <w:rPr>
                <w:sz w:val="18"/>
                <w:szCs w:val="18"/>
              </w:rPr>
              <w:t>climate</w:t>
            </w:r>
            <w:proofErr w:type="spellEnd"/>
            <w:r w:rsidRPr="5D8904BE">
              <w:rPr>
                <w:sz w:val="18"/>
                <w:szCs w:val="18"/>
              </w:rPr>
              <w:t xml:space="preserve"> adaptation.</w:t>
            </w:r>
          </w:p>
          <w:p w14:paraId="000001C1" w14:textId="4EBCCBAB" w:rsidR="004F7DB3" w:rsidRPr="00A86393" w:rsidRDefault="6DEC1BA7" w:rsidP="00DD60F2">
            <w:pPr>
              <w:spacing w:before="240" w:after="240" w:line="240" w:lineRule="auto"/>
              <w:jc w:val="both"/>
              <w:rPr>
                <w:sz w:val="18"/>
                <w:szCs w:val="18"/>
                <w:lang w:val="en-US"/>
              </w:rPr>
            </w:pPr>
            <w:r w:rsidRPr="5D8904BE">
              <w:rPr>
                <w:sz w:val="18"/>
                <w:szCs w:val="18"/>
                <w:lang w:val="en-US"/>
              </w:rPr>
              <w:lastRenderedPageBreak/>
              <w:t xml:space="preserve">The financing requirement for the </w:t>
            </w:r>
            <w:r w:rsidR="093AC5A8" w:rsidRPr="5D8904BE">
              <w:rPr>
                <w:sz w:val="18"/>
                <w:szCs w:val="18"/>
                <w:lang w:val="en-US"/>
              </w:rPr>
              <w:t>vision</w:t>
            </w:r>
            <w:r w:rsidRPr="5D8904BE">
              <w:rPr>
                <w:sz w:val="18"/>
                <w:szCs w:val="18"/>
                <w:lang w:val="en-US"/>
              </w:rPr>
              <w:t xml:space="preserve"> is estimated at USD 122.5 billion, with an additional financing requirement of USD 2.3 billion.</w:t>
            </w:r>
          </w:p>
          <w:p w14:paraId="000001C2" w14:textId="77777777" w:rsidR="004F7DB3" w:rsidRPr="00A86393" w:rsidRDefault="552CE4D7" w:rsidP="00DD60F2">
            <w:pPr>
              <w:spacing w:before="240" w:after="240" w:line="240" w:lineRule="auto"/>
              <w:jc w:val="both"/>
              <w:rPr>
                <w:sz w:val="18"/>
                <w:szCs w:val="18"/>
                <w:lang w:val="en-US"/>
              </w:rPr>
            </w:pPr>
            <w:r w:rsidRPr="5D8904BE">
              <w:rPr>
                <w:sz w:val="18"/>
                <w:szCs w:val="18"/>
                <w:lang w:val="en-US"/>
              </w:rPr>
              <w:t>This confirms that the sustainable integrated urban development project of the city of Bamako is a will of the country's High Authorities, which facilitates national support beyond the city of Bamako, with a view to the harmonious sustainable development of the country's cities.</w:t>
            </w:r>
          </w:p>
        </w:tc>
      </w:tr>
      <w:tr w:rsidR="004F7DB3" w:rsidRPr="00F50786" w14:paraId="7B55578D" w14:textId="77777777" w:rsidTr="13C5956C">
        <w:trPr>
          <w:trHeight w:val="300"/>
          <w:jc w:val="center"/>
        </w:trPr>
        <w:tc>
          <w:tcPr>
            <w:tcW w:w="1170" w:type="dxa"/>
            <w:vMerge w:val="restart"/>
          </w:tcPr>
          <w:p w14:paraId="000001C3" w14:textId="77777777" w:rsidR="004F7DB3" w:rsidRPr="00A86393" w:rsidRDefault="00C00123" w:rsidP="00DD60F2">
            <w:pPr>
              <w:spacing w:after="0" w:line="240" w:lineRule="auto"/>
              <w:jc w:val="both"/>
              <w:rPr>
                <w:sz w:val="18"/>
                <w:szCs w:val="18"/>
              </w:rPr>
            </w:pPr>
            <w:r w:rsidRPr="00A86393">
              <w:rPr>
                <w:sz w:val="18"/>
                <w:szCs w:val="18"/>
              </w:rPr>
              <w:lastRenderedPageBreak/>
              <w:t>National/</w:t>
            </w:r>
            <w:proofErr w:type="spellStart"/>
            <w:r w:rsidRPr="00A86393">
              <w:rPr>
                <w:sz w:val="18"/>
                <w:szCs w:val="18"/>
              </w:rPr>
              <w:t>sectoral</w:t>
            </w:r>
            <w:proofErr w:type="spellEnd"/>
            <w:r w:rsidRPr="00A86393">
              <w:rPr>
                <w:sz w:val="18"/>
                <w:szCs w:val="18"/>
              </w:rPr>
              <w:t xml:space="preserve"> </w:t>
            </w:r>
            <w:proofErr w:type="spellStart"/>
            <w:r w:rsidRPr="00A86393">
              <w:rPr>
                <w:sz w:val="18"/>
                <w:szCs w:val="18"/>
              </w:rPr>
              <w:t>policies</w:t>
            </w:r>
            <w:proofErr w:type="spellEnd"/>
          </w:p>
        </w:tc>
        <w:tc>
          <w:tcPr>
            <w:tcW w:w="1920"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1C4" w14:textId="783DBA94" w:rsidR="004F7DB3" w:rsidRPr="00A86393" w:rsidRDefault="107E8D08" w:rsidP="537FA187">
            <w:pPr>
              <w:pBdr>
                <w:top w:val="nil"/>
                <w:left w:val="nil"/>
                <w:bottom w:val="nil"/>
                <w:right w:val="nil"/>
                <w:between w:val="nil"/>
              </w:pBdr>
              <w:spacing w:after="0" w:line="240" w:lineRule="auto"/>
              <w:rPr>
                <w:color w:val="1155CC"/>
                <w:sz w:val="18"/>
                <w:szCs w:val="18"/>
                <w:u w:val="single"/>
                <w:lang w:val="en-US"/>
              </w:rPr>
            </w:pPr>
            <w:r w:rsidRPr="537FA187">
              <w:rPr>
                <w:color w:val="1155CC"/>
                <w:sz w:val="18"/>
                <w:szCs w:val="18"/>
                <w:u w:val="single"/>
                <w:lang w:val="en-US"/>
              </w:rPr>
              <w:t>The Strategic Framework for Economic Recovery and Sustainable Development (SFERSD 2019-2023)</w:t>
            </w:r>
          </w:p>
        </w:tc>
        <w:tc>
          <w:tcPr>
            <w:tcW w:w="10513"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1C5" w14:textId="732BC5CF" w:rsidR="004F7DB3" w:rsidRPr="00A86393" w:rsidRDefault="24FF4330" w:rsidP="00DD60F2">
            <w:pPr>
              <w:spacing w:before="240" w:after="240" w:line="240" w:lineRule="auto"/>
              <w:jc w:val="both"/>
              <w:rPr>
                <w:sz w:val="18"/>
                <w:szCs w:val="18"/>
                <w:lang w:val="en-US"/>
              </w:rPr>
            </w:pPr>
            <w:r w:rsidRPr="00A86393">
              <w:rPr>
                <w:sz w:val="18"/>
                <w:szCs w:val="18"/>
                <w:lang w:val="en-US"/>
              </w:rPr>
              <w:t xml:space="preserve">The </w:t>
            </w:r>
            <w:proofErr w:type="spellStart"/>
            <w:r w:rsidR="04E73402" w:rsidRPr="00A86393">
              <w:rPr>
                <w:sz w:val="18"/>
                <w:szCs w:val="18"/>
                <w:lang w:val="en-US"/>
              </w:rPr>
              <w:t>SFER</w:t>
            </w:r>
            <w:r w:rsidR="08C5E377" w:rsidRPr="00A86393">
              <w:rPr>
                <w:sz w:val="18"/>
                <w:szCs w:val="18"/>
                <w:lang w:val="en-US"/>
              </w:rPr>
              <w:t>S</w:t>
            </w:r>
            <w:r w:rsidR="04E73402" w:rsidRPr="00A86393">
              <w:rPr>
                <w:sz w:val="18"/>
                <w:szCs w:val="18"/>
                <w:lang w:val="en-US"/>
              </w:rPr>
              <w:t>D</w:t>
            </w:r>
            <w:r w:rsidR="37C4D076" w:rsidRPr="00A86393">
              <w:rPr>
                <w:sz w:val="18"/>
                <w:szCs w:val="18"/>
                <w:lang w:val="en-US"/>
              </w:rPr>
              <w:t>is</w:t>
            </w:r>
            <w:proofErr w:type="spellEnd"/>
            <w:r w:rsidR="37C4D076" w:rsidRPr="00A86393">
              <w:rPr>
                <w:sz w:val="18"/>
                <w:szCs w:val="18"/>
                <w:lang w:val="en-US"/>
              </w:rPr>
              <w:t xml:space="preserve"> the reference document for strategic development planning in Mali</w:t>
            </w:r>
            <w:r w:rsidR="00C00123" w:rsidRPr="00A86393">
              <w:rPr>
                <w:sz w:val="18"/>
                <w:szCs w:val="18"/>
                <w:vertAlign w:val="superscript"/>
              </w:rPr>
              <w:footnoteReference w:id="26"/>
            </w:r>
            <w:r w:rsidR="37C4D076" w:rsidRPr="00A86393">
              <w:rPr>
                <w:sz w:val="18"/>
                <w:szCs w:val="18"/>
                <w:lang w:val="en-US"/>
              </w:rPr>
              <w:t>; It aligns with the Sustainable Development Goals (SDGs) and sets national priorities for economic growth, social inclusion, governance and environmental sustainability. Integrated urban planning is integrated into four of its five strategic axes</w:t>
            </w:r>
            <w:r w:rsidR="18D5E0DD" w:rsidRPr="00A86393">
              <w:rPr>
                <w:sz w:val="18"/>
                <w:szCs w:val="18"/>
                <w:lang w:val="en-US"/>
              </w:rPr>
              <w:t xml:space="preserve"> with their relevant action areas noted</w:t>
            </w:r>
            <w:r w:rsidR="37C4D076" w:rsidRPr="00A86393">
              <w:rPr>
                <w:sz w:val="18"/>
                <w:szCs w:val="18"/>
                <w:lang w:val="en-US"/>
              </w:rPr>
              <w:t xml:space="preserve"> as follows: </w:t>
            </w:r>
          </w:p>
          <w:p w14:paraId="000001C6" w14:textId="77777777" w:rsidR="004F7DB3" w:rsidRPr="00A86393" w:rsidRDefault="2809ADD6" w:rsidP="001360BB">
            <w:pPr>
              <w:numPr>
                <w:ilvl w:val="0"/>
                <w:numId w:val="199"/>
              </w:numPr>
              <w:spacing w:after="0" w:line="240" w:lineRule="auto"/>
              <w:rPr>
                <w:sz w:val="18"/>
                <w:szCs w:val="18"/>
                <w:lang w:val="en-US"/>
              </w:rPr>
            </w:pPr>
            <w:r w:rsidRPr="00A86393">
              <w:rPr>
                <w:sz w:val="18"/>
                <w:szCs w:val="18"/>
                <w:lang w:val="en-US"/>
              </w:rPr>
              <w:t>Consolidation of democracy and improvement of governance</w:t>
            </w:r>
          </w:p>
          <w:p w14:paraId="000001C7" w14:textId="77777777" w:rsidR="004F7DB3" w:rsidRPr="00A86393" w:rsidRDefault="2809ADD6" w:rsidP="001360BB">
            <w:pPr>
              <w:pStyle w:val="Paragraphedeliste"/>
              <w:numPr>
                <w:ilvl w:val="0"/>
                <w:numId w:val="159"/>
              </w:numPr>
              <w:spacing w:after="0" w:line="240" w:lineRule="auto"/>
              <w:rPr>
                <w:sz w:val="18"/>
                <w:szCs w:val="18"/>
                <w:lang w:val="en-US"/>
              </w:rPr>
            </w:pPr>
            <w:r w:rsidRPr="00A86393">
              <w:rPr>
                <w:sz w:val="18"/>
                <w:szCs w:val="18"/>
                <w:lang w:val="en-US"/>
              </w:rPr>
              <w:t xml:space="preserve">Economic and financial </w:t>
            </w:r>
            <w:proofErr w:type="gramStart"/>
            <w:r w:rsidRPr="00A86393">
              <w:rPr>
                <w:sz w:val="18"/>
                <w:szCs w:val="18"/>
                <w:lang w:val="en-US"/>
              </w:rPr>
              <w:t>governance;</w:t>
            </w:r>
            <w:proofErr w:type="gramEnd"/>
          </w:p>
          <w:p w14:paraId="000001C8" w14:textId="77777777" w:rsidR="004F7DB3" w:rsidRPr="00A86393" w:rsidRDefault="6DEC1BA7" w:rsidP="001360BB">
            <w:pPr>
              <w:pStyle w:val="Paragraphedeliste"/>
              <w:numPr>
                <w:ilvl w:val="0"/>
                <w:numId w:val="158"/>
              </w:numPr>
              <w:spacing w:after="0" w:line="240" w:lineRule="auto"/>
              <w:rPr>
                <w:sz w:val="18"/>
                <w:szCs w:val="18"/>
                <w:lang w:val="en-US"/>
              </w:rPr>
            </w:pPr>
            <w:r w:rsidRPr="5D8904BE">
              <w:rPr>
                <w:sz w:val="18"/>
                <w:szCs w:val="18"/>
                <w:lang w:val="en-US"/>
              </w:rPr>
              <w:t xml:space="preserve">Improving public financial </w:t>
            </w:r>
            <w:proofErr w:type="gramStart"/>
            <w:r w:rsidRPr="5D8904BE">
              <w:rPr>
                <w:sz w:val="18"/>
                <w:szCs w:val="18"/>
                <w:lang w:val="en-US"/>
              </w:rPr>
              <w:t>management;</w:t>
            </w:r>
            <w:proofErr w:type="gramEnd"/>
          </w:p>
          <w:p w14:paraId="000001C9" w14:textId="77777777" w:rsidR="004F7DB3" w:rsidRPr="00A86393" w:rsidRDefault="2809ADD6" w:rsidP="001360BB">
            <w:pPr>
              <w:pStyle w:val="Paragraphedeliste"/>
              <w:numPr>
                <w:ilvl w:val="0"/>
                <w:numId w:val="157"/>
              </w:numPr>
              <w:spacing w:after="0" w:line="240" w:lineRule="auto"/>
              <w:rPr>
                <w:sz w:val="18"/>
                <w:szCs w:val="18"/>
                <w:lang w:val="en-US"/>
              </w:rPr>
            </w:pPr>
            <w:r w:rsidRPr="00A86393">
              <w:rPr>
                <w:sz w:val="18"/>
                <w:szCs w:val="18"/>
                <w:lang w:val="en-US"/>
              </w:rPr>
              <w:t>Decentralization</w:t>
            </w:r>
          </w:p>
          <w:p w14:paraId="000001CA" w14:textId="77777777" w:rsidR="004F7DB3" w:rsidRPr="00A86393" w:rsidRDefault="2809ADD6" w:rsidP="001360BB">
            <w:pPr>
              <w:pStyle w:val="Paragraphedeliste"/>
              <w:numPr>
                <w:ilvl w:val="0"/>
                <w:numId w:val="156"/>
              </w:numPr>
              <w:spacing w:after="0" w:line="240" w:lineRule="auto"/>
              <w:rPr>
                <w:sz w:val="18"/>
                <w:szCs w:val="18"/>
                <w:lang w:val="en-US"/>
              </w:rPr>
            </w:pPr>
            <w:r w:rsidRPr="00A86393">
              <w:rPr>
                <w:sz w:val="18"/>
                <w:szCs w:val="18"/>
                <w:lang w:val="en-US"/>
              </w:rPr>
              <w:t>Implementation of the Land Policy</w:t>
            </w:r>
          </w:p>
          <w:p w14:paraId="000001CB" w14:textId="77777777" w:rsidR="004F7DB3" w:rsidRPr="00A86393" w:rsidRDefault="6DEC1BA7" w:rsidP="001360BB">
            <w:pPr>
              <w:pStyle w:val="Paragraphedeliste"/>
              <w:numPr>
                <w:ilvl w:val="0"/>
                <w:numId w:val="155"/>
              </w:numPr>
              <w:spacing w:after="0" w:line="240" w:lineRule="auto"/>
              <w:rPr>
                <w:sz w:val="18"/>
                <w:szCs w:val="18"/>
              </w:rPr>
            </w:pPr>
            <w:proofErr w:type="spellStart"/>
            <w:r w:rsidRPr="5D8904BE">
              <w:rPr>
                <w:sz w:val="18"/>
                <w:szCs w:val="18"/>
              </w:rPr>
              <w:t>Modernizing</w:t>
            </w:r>
            <w:proofErr w:type="spellEnd"/>
            <w:r w:rsidRPr="5D8904BE">
              <w:rPr>
                <w:sz w:val="18"/>
                <w:szCs w:val="18"/>
              </w:rPr>
              <w:t xml:space="preserve"> the public administration</w:t>
            </w:r>
          </w:p>
          <w:p w14:paraId="000001CC" w14:textId="77777777" w:rsidR="004F7DB3" w:rsidRPr="00A86393" w:rsidRDefault="00C00123" w:rsidP="001360BB">
            <w:pPr>
              <w:numPr>
                <w:ilvl w:val="0"/>
                <w:numId w:val="199"/>
              </w:numPr>
              <w:spacing w:after="0" w:line="240" w:lineRule="auto"/>
              <w:rPr>
                <w:sz w:val="18"/>
                <w:szCs w:val="18"/>
                <w:lang w:val="en-US"/>
              </w:rPr>
            </w:pPr>
            <w:r w:rsidRPr="00A86393">
              <w:rPr>
                <w:sz w:val="18"/>
                <w:szCs w:val="18"/>
                <w:lang w:val="en-US"/>
              </w:rPr>
              <w:t>Inclusive growth and structural transformation of the economy</w:t>
            </w:r>
          </w:p>
          <w:p w14:paraId="000001CD" w14:textId="77777777" w:rsidR="004F7DB3" w:rsidRPr="00A86393" w:rsidRDefault="552CE4D7" w:rsidP="001360BB">
            <w:pPr>
              <w:numPr>
                <w:ilvl w:val="1"/>
                <w:numId w:val="199"/>
              </w:numPr>
              <w:spacing w:after="0" w:line="240" w:lineRule="auto"/>
              <w:rPr>
                <w:sz w:val="18"/>
                <w:szCs w:val="18"/>
                <w:lang w:val="en-US"/>
              </w:rPr>
            </w:pPr>
            <w:proofErr w:type="spellStart"/>
            <w:r w:rsidRPr="5D8904BE">
              <w:rPr>
                <w:sz w:val="18"/>
                <w:szCs w:val="18"/>
                <w:lang w:val="en-US"/>
              </w:rPr>
              <w:t>Favourable</w:t>
            </w:r>
            <w:proofErr w:type="spellEnd"/>
            <w:r w:rsidRPr="5D8904BE">
              <w:rPr>
                <w:sz w:val="18"/>
                <w:szCs w:val="18"/>
                <w:lang w:val="en-US"/>
              </w:rPr>
              <w:t xml:space="preserve"> environment for productive investment and economic diversification (industrial processing of domestic agricultural and mining products, etc.)</w:t>
            </w:r>
          </w:p>
          <w:p w14:paraId="000001CE" w14:textId="77777777" w:rsidR="004F7DB3" w:rsidRPr="00CD72B6" w:rsidRDefault="130D72FF" w:rsidP="40E7FE84">
            <w:pPr>
              <w:numPr>
                <w:ilvl w:val="1"/>
                <w:numId w:val="199"/>
              </w:numPr>
              <w:spacing w:after="0" w:line="240" w:lineRule="auto"/>
              <w:rPr>
                <w:sz w:val="18"/>
                <w:szCs w:val="18"/>
                <w:lang w:val="en-US"/>
              </w:rPr>
            </w:pPr>
            <w:r w:rsidRPr="00CD72B6">
              <w:rPr>
                <w:sz w:val="18"/>
                <w:szCs w:val="18"/>
                <w:lang w:val="en-US"/>
              </w:rPr>
              <w:t>development of infrastructure networks (energy, transport</w:t>
            </w:r>
            <w:proofErr w:type="gramStart"/>
            <w:r w:rsidRPr="00CD72B6">
              <w:rPr>
                <w:sz w:val="18"/>
                <w:szCs w:val="18"/>
                <w:lang w:val="en-US"/>
              </w:rPr>
              <w:t>);</w:t>
            </w:r>
            <w:proofErr w:type="gramEnd"/>
          </w:p>
          <w:p w14:paraId="000001CF" w14:textId="77777777" w:rsidR="004F7DB3" w:rsidRPr="00A86393" w:rsidRDefault="00C00123" w:rsidP="001360BB">
            <w:pPr>
              <w:numPr>
                <w:ilvl w:val="1"/>
                <w:numId w:val="199"/>
              </w:numPr>
              <w:spacing w:after="0" w:line="240" w:lineRule="auto"/>
              <w:rPr>
                <w:sz w:val="18"/>
                <w:szCs w:val="18"/>
                <w:lang w:val="en-US"/>
              </w:rPr>
            </w:pPr>
            <w:r w:rsidRPr="00A86393">
              <w:rPr>
                <w:sz w:val="18"/>
                <w:szCs w:val="18"/>
                <w:lang w:val="en-US"/>
              </w:rPr>
              <w:t xml:space="preserve">courageous and ambitious reform in the governance of the energy sector to clean up and increase investment in renewable energy, energy efficiency and sustainable </w:t>
            </w:r>
            <w:proofErr w:type="gramStart"/>
            <w:r w:rsidRPr="00A86393">
              <w:rPr>
                <w:sz w:val="18"/>
                <w:szCs w:val="18"/>
                <w:lang w:val="en-US"/>
              </w:rPr>
              <w:t>energy;</w:t>
            </w:r>
            <w:proofErr w:type="gramEnd"/>
          </w:p>
          <w:p w14:paraId="000001D0" w14:textId="77777777" w:rsidR="004F7DB3" w:rsidRPr="00A86393" w:rsidRDefault="00C00123" w:rsidP="001360BB">
            <w:pPr>
              <w:numPr>
                <w:ilvl w:val="1"/>
                <w:numId w:val="199"/>
              </w:numPr>
              <w:spacing w:after="0" w:line="240" w:lineRule="auto"/>
              <w:rPr>
                <w:sz w:val="18"/>
                <w:szCs w:val="18"/>
                <w:lang w:val="en-US"/>
              </w:rPr>
            </w:pPr>
            <w:r w:rsidRPr="00A86393">
              <w:rPr>
                <w:sz w:val="18"/>
                <w:szCs w:val="18"/>
                <w:lang w:val="en-US"/>
              </w:rPr>
              <w:t xml:space="preserve">bank financing of the </w:t>
            </w:r>
            <w:proofErr w:type="gramStart"/>
            <w:r w:rsidRPr="00A86393">
              <w:rPr>
                <w:sz w:val="18"/>
                <w:szCs w:val="18"/>
                <w:lang w:val="en-US"/>
              </w:rPr>
              <w:t>economy;</w:t>
            </w:r>
            <w:proofErr w:type="gramEnd"/>
          </w:p>
          <w:p w14:paraId="000001D1" w14:textId="77777777" w:rsidR="004F7DB3" w:rsidRPr="00A86393" w:rsidRDefault="00C00123" w:rsidP="001360BB">
            <w:pPr>
              <w:numPr>
                <w:ilvl w:val="1"/>
                <w:numId w:val="199"/>
              </w:numPr>
              <w:spacing w:after="0" w:line="240" w:lineRule="auto"/>
              <w:rPr>
                <w:sz w:val="18"/>
                <w:szCs w:val="18"/>
                <w:lang w:val="en-US"/>
              </w:rPr>
            </w:pPr>
            <w:r w:rsidRPr="00A86393">
              <w:rPr>
                <w:sz w:val="18"/>
                <w:szCs w:val="18"/>
                <w:lang w:val="en-US"/>
              </w:rPr>
              <w:t>promotion of the private sector and the development of foreign direct investment in connection with the improvement of the business climate, the development of public-private partnerships (PPPs) and innovative levers</w:t>
            </w:r>
          </w:p>
          <w:p w14:paraId="000001D2" w14:textId="77777777" w:rsidR="004F7DB3" w:rsidRPr="00A86393" w:rsidRDefault="00C00123" w:rsidP="001360BB">
            <w:pPr>
              <w:numPr>
                <w:ilvl w:val="0"/>
                <w:numId w:val="199"/>
              </w:numPr>
              <w:spacing w:after="0" w:line="240" w:lineRule="auto"/>
              <w:rPr>
                <w:sz w:val="18"/>
                <w:szCs w:val="18"/>
              </w:rPr>
            </w:pPr>
            <w:r w:rsidRPr="00A86393">
              <w:rPr>
                <w:sz w:val="18"/>
                <w:szCs w:val="18"/>
              </w:rPr>
              <w:t xml:space="preserve">Human Capital </w:t>
            </w:r>
            <w:proofErr w:type="spellStart"/>
            <w:r w:rsidRPr="00A86393">
              <w:rPr>
                <w:sz w:val="18"/>
                <w:szCs w:val="18"/>
              </w:rPr>
              <w:t>Development</w:t>
            </w:r>
            <w:proofErr w:type="spellEnd"/>
          </w:p>
          <w:p w14:paraId="000001D3" w14:textId="77777777" w:rsidR="004F7DB3" w:rsidRPr="00A86393" w:rsidRDefault="552CE4D7" w:rsidP="001360BB">
            <w:pPr>
              <w:numPr>
                <w:ilvl w:val="1"/>
                <w:numId w:val="199"/>
              </w:numPr>
              <w:spacing w:after="0" w:line="240" w:lineRule="auto"/>
              <w:rPr>
                <w:sz w:val="18"/>
                <w:szCs w:val="18"/>
                <w:lang w:val="en-US"/>
              </w:rPr>
            </w:pPr>
            <w:r w:rsidRPr="5D8904BE">
              <w:rPr>
                <w:sz w:val="18"/>
                <w:szCs w:val="18"/>
                <w:lang w:val="en-US"/>
              </w:rPr>
              <w:t xml:space="preserve">the empowerment of women, children and the family by accelerating the implementation of the National Gender </w:t>
            </w:r>
            <w:proofErr w:type="gramStart"/>
            <w:r w:rsidRPr="5D8904BE">
              <w:rPr>
                <w:sz w:val="18"/>
                <w:szCs w:val="18"/>
                <w:lang w:val="en-US"/>
              </w:rPr>
              <w:t>Policy;</w:t>
            </w:r>
            <w:proofErr w:type="gramEnd"/>
          </w:p>
          <w:p w14:paraId="000001D4" w14:textId="77777777" w:rsidR="004F7DB3" w:rsidRPr="00CD72B6" w:rsidRDefault="130D72FF" w:rsidP="40E7FE84">
            <w:pPr>
              <w:numPr>
                <w:ilvl w:val="1"/>
                <w:numId w:val="199"/>
              </w:numPr>
              <w:spacing w:after="0" w:line="240" w:lineRule="auto"/>
              <w:rPr>
                <w:sz w:val="18"/>
                <w:szCs w:val="18"/>
                <w:lang w:val="en-US"/>
              </w:rPr>
            </w:pPr>
            <w:r w:rsidRPr="00CD72B6">
              <w:rPr>
                <w:sz w:val="18"/>
                <w:szCs w:val="18"/>
                <w:lang w:val="en-US"/>
              </w:rPr>
              <w:t>Access to drinking water (universal access to be achieved, quality management of the public drinking water service, financing and governance</w:t>
            </w:r>
            <w:proofErr w:type="gramStart"/>
            <w:r w:rsidRPr="00CD72B6">
              <w:rPr>
                <w:sz w:val="18"/>
                <w:szCs w:val="18"/>
                <w:lang w:val="en-US"/>
              </w:rPr>
              <w:t>);</w:t>
            </w:r>
            <w:proofErr w:type="gramEnd"/>
          </w:p>
          <w:p w14:paraId="000001D5" w14:textId="77777777" w:rsidR="004F7DB3" w:rsidRPr="00A86393" w:rsidRDefault="00C00123" w:rsidP="001360BB">
            <w:pPr>
              <w:numPr>
                <w:ilvl w:val="1"/>
                <w:numId w:val="199"/>
              </w:numPr>
              <w:spacing w:after="0" w:line="240" w:lineRule="auto"/>
              <w:rPr>
                <w:sz w:val="18"/>
                <w:szCs w:val="18"/>
                <w:lang w:val="en-US"/>
              </w:rPr>
            </w:pPr>
            <w:r w:rsidRPr="00A86393">
              <w:rPr>
                <w:sz w:val="18"/>
                <w:szCs w:val="18"/>
                <w:lang w:val="en-US"/>
              </w:rPr>
              <w:t>Sanitation and waste management (sanitation infrastructure and networks, waste management and treatment systems)</w:t>
            </w:r>
          </w:p>
          <w:p w14:paraId="000001D6" w14:textId="77777777" w:rsidR="004F7DB3" w:rsidRPr="00A86393" w:rsidRDefault="472B868E" w:rsidP="001360BB">
            <w:pPr>
              <w:numPr>
                <w:ilvl w:val="1"/>
                <w:numId w:val="199"/>
              </w:numPr>
              <w:spacing w:after="0" w:line="240" w:lineRule="auto"/>
              <w:rPr>
                <w:sz w:val="18"/>
                <w:szCs w:val="18"/>
              </w:rPr>
            </w:pPr>
            <w:proofErr w:type="spellStart"/>
            <w:proofErr w:type="gramStart"/>
            <w:r w:rsidRPr="5D8904BE">
              <w:rPr>
                <w:sz w:val="18"/>
                <w:szCs w:val="18"/>
              </w:rPr>
              <w:t>waste</w:t>
            </w:r>
            <w:proofErr w:type="spellEnd"/>
            <w:proofErr w:type="gramEnd"/>
            <w:r w:rsidRPr="5D8904BE">
              <w:rPr>
                <w:sz w:val="18"/>
                <w:szCs w:val="18"/>
              </w:rPr>
              <w:t>);</w:t>
            </w:r>
          </w:p>
          <w:p w14:paraId="000001D7" w14:textId="77777777" w:rsidR="004F7DB3" w:rsidRPr="00CD72B6" w:rsidRDefault="130D72FF" w:rsidP="40E7FE84">
            <w:pPr>
              <w:numPr>
                <w:ilvl w:val="1"/>
                <w:numId w:val="199"/>
              </w:numPr>
              <w:spacing w:after="0" w:line="240" w:lineRule="auto"/>
              <w:rPr>
                <w:sz w:val="18"/>
                <w:szCs w:val="18"/>
                <w:lang w:val="en-US"/>
              </w:rPr>
            </w:pPr>
            <w:r w:rsidRPr="00CD72B6">
              <w:rPr>
                <w:sz w:val="18"/>
                <w:szCs w:val="18"/>
                <w:lang w:val="en-US"/>
              </w:rPr>
              <w:t>managing population growth and migration (diaspora inputs; migration management system</w:t>
            </w:r>
            <w:proofErr w:type="gramStart"/>
            <w:r w:rsidRPr="00CD72B6">
              <w:rPr>
                <w:sz w:val="18"/>
                <w:szCs w:val="18"/>
                <w:lang w:val="en-US"/>
              </w:rPr>
              <w:t>);</w:t>
            </w:r>
            <w:proofErr w:type="gramEnd"/>
          </w:p>
          <w:p w14:paraId="000001D8" w14:textId="77777777" w:rsidR="004F7DB3" w:rsidRPr="00CD72B6" w:rsidRDefault="130D72FF" w:rsidP="40E7FE84">
            <w:pPr>
              <w:numPr>
                <w:ilvl w:val="1"/>
                <w:numId w:val="199"/>
              </w:numPr>
              <w:spacing w:after="0" w:line="240" w:lineRule="auto"/>
              <w:rPr>
                <w:sz w:val="18"/>
                <w:szCs w:val="18"/>
                <w:lang w:val="en-US"/>
              </w:rPr>
            </w:pPr>
            <w:r w:rsidRPr="00CD72B6">
              <w:rPr>
                <w:sz w:val="18"/>
                <w:szCs w:val="18"/>
                <w:lang w:val="en-US"/>
              </w:rPr>
              <w:t>the growth of the urban population (living environment and urban mobility via infrastructure and collective facilities</w:t>
            </w:r>
            <w:proofErr w:type="gramStart"/>
            <w:r w:rsidRPr="00CD72B6">
              <w:rPr>
                <w:sz w:val="18"/>
                <w:szCs w:val="18"/>
                <w:lang w:val="en-US"/>
              </w:rPr>
              <w:t>);</w:t>
            </w:r>
            <w:proofErr w:type="gramEnd"/>
          </w:p>
          <w:p w14:paraId="000001D9" w14:textId="77777777" w:rsidR="004F7DB3" w:rsidRPr="00CD72B6" w:rsidRDefault="130D72FF" w:rsidP="40E7FE84">
            <w:pPr>
              <w:numPr>
                <w:ilvl w:val="1"/>
                <w:numId w:val="199"/>
              </w:numPr>
              <w:spacing w:after="0" w:line="240" w:lineRule="auto"/>
              <w:rPr>
                <w:sz w:val="18"/>
                <w:szCs w:val="18"/>
                <w:lang w:val="en-US"/>
              </w:rPr>
            </w:pPr>
            <w:r w:rsidRPr="00CD72B6">
              <w:rPr>
                <w:sz w:val="18"/>
                <w:szCs w:val="18"/>
                <w:lang w:val="en-US"/>
              </w:rPr>
              <w:t>social coverage (construction/rehabilitation of livelihoods for vulnerable populations; extension of social protection to the informal sector</w:t>
            </w:r>
            <w:proofErr w:type="gramStart"/>
            <w:r w:rsidRPr="00CD72B6">
              <w:rPr>
                <w:sz w:val="18"/>
                <w:szCs w:val="18"/>
                <w:lang w:val="en-US"/>
              </w:rPr>
              <w:t>);</w:t>
            </w:r>
            <w:proofErr w:type="gramEnd"/>
          </w:p>
          <w:p w14:paraId="000001DA" w14:textId="77777777" w:rsidR="004F7DB3" w:rsidRPr="00A86393" w:rsidRDefault="00C00123" w:rsidP="001360BB">
            <w:pPr>
              <w:numPr>
                <w:ilvl w:val="1"/>
                <w:numId w:val="199"/>
              </w:numPr>
              <w:spacing w:after="0" w:line="240" w:lineRule="auto"/>
              <w:rPr>
                <w:sz w:val="18"/>
                <w:szCs w:val="18"/>
                <w:lang w:val="en-US"/>
              </w:rPr>
            </w:pPr>
            <w:r w:rsidRPr="00A86393">
              <w:rPr>
                <w:sz w:val="18"/>
                <w:szCs w:val="18"/>
                <w:lang w:val="en-US"/>
              </w:rPr>
              <w:t>the development of physical and sporting activities (infrastructure for sports disciplines such as walking and cycling, for example)</w:t>
            </w:r>
          </w:p>
          <w:p w14:paraId="000001DB" w14:textId="77777777" w:rsidR="004F7DB3" w:rsidRPr="00A86393" w:rsidRDefault="00C00123" w:rsidP="001360BB">
            <w:pPr>
              <w:numPr>
                <w:ilvl w:val="0"/>
                <w:numId w:val="199"/>
              </w:numPr>
              <w:spacing w:after="0" w:line="240" w:lineRule="auto"/>
              <w:rPr>
                <w:sz w:val="18"/>
                <w:szCs w:val="18"/>
                <w:lang w:val="en-US"/>
              </w:rPr>
            </w:pPr>
            <w:r w:rsidRPr="00A86393">
              <w:rPr>
                <w:sz w:val="18"/>
                <w:szCs w:val="18"/>
                <w:lang w:val="en-US"/>
              </w:rPr>
              <w:t>Protecting the environment and building resilience to climate change</w:t>
            </w:r>
          </w:p>
          <w:p w14:paraId="000001DC" w14:textId="77777777" w:rsidR="004F7DB3" w:rsidRPr="00CD72B6" w:rsidRDefault="130D72FF" w:rsidP="40E7FE84">
            <w:pPr>
              <w:numPr>
                <w:ilvl w:val="1"/>
                <w:numId w:val="199"/>
              </w:numPr>
              <w:spacing w:after="0" w:line="240" w:lineRule="auto"/>
              <w:rPr>
                <w:sz w:val="18"/>
                <w:szCs w:val="18"/>
                <w:lang w:val="en-US"/>
              </w:rPr>
            </w:pPr>
            <w:r w:rsidRPr="00CD72B6">
              <w:rPr>
                <w:sz w:val="18"/>
                <w:szCs w:val="18"/>
                <w:lang w:val="en-US"/>
              </w:rPr>
              <w:lastRenderedPageBreak/>
              <w:t>a healthy environment (sustainable economic and social development of the country, food security, combating all forms of pollution or nuisance, degradation of natural resources and desertification</w:t>
            </w:r>
            <w:proofErr w:type="gramStart"/>
            <w:r w:rsidRPr="00CD72B6">
              <w:rPr>
                <w:sz w:val="18"/>
                <w:szCs w:val="18"/>
                <w:lang w:val="en-US"/>
              </w:rPr>
              <w:t>);</w:t>
            </w:r>
            <w:proofErr w:type="gramEnd"/>
          </w:p>
          <w:p w14:paraId="000001DD" w14:textId="77777777" w:rsidR="004F7DB3" w:rsidRPr="00A86393" w:rsidRDefault="552CE4D7" w:rsidP="001360BB">
            <w:pPr>
              <w:numPr>
                <w:ilvl w:val="1"/>
                <w:numId w:val="199"/>
              </w:numPr>
              <w:spacing w:after="240" w:line="240" w:lineRule="auto"/>
              <w:rPr>
                <w:sz w:val="18"/>
                <w:szCs w:val="18"/>
                <w:lang w:val="en-US"/>
              </w:rPr>
            </w:pPr>
            <w:r w:rsidRPr="5D8904BE">
              <w:rPr>
                <w:sz w:val="18"/>
                <w:szCs w:val="18"/>
                <w:lang w:val="en-US"/>
              </w:rPr>
              <w:t>climate change (poverty alleviation and sustainable development; capacity building for the prevention and management of natural risks and disasters and improving the adaptive capacity of populations and the resilience of systems)</w:t>
            </w:r>
          </w:p>
        </w:tc>
      </w:tr>
      <w:tr w:rsidR="004F7DB3" w:rsidRPr="00F50786" w14:paraId="140CA739" w14:textId="77777777" w:rsidTr="13C5956C">
        <w:trPr>
          <w:trHeight w:val="300"/>
          <w:jc w:val="center"/>
        </w:trPr>
        <w:tc>
          <w:tcPr>
            <w:tcW w:w="1170" w:type="dxa"/>
            <w:vMerge/>
          </w:tcPr>
          <w:p w14:paraId="000001DE" w14:textId="77777777" w:rsidR="004F7DB3" w:rsidRPr="00A86393" w:rsidRDefault="004F7DB3" w:rsidP="00DD60F2">
            <w:pPr>
              <w:spacing w:after="0" w:line="240" w:lineRule="auto"/>
              <w:jc w:val="both"/>
              <w:rPr>
                <w:sz w:val="18"/>
                <w:szCs w:val="18"/>
                <w:lang w:val="en-US"/>
              </w:rPr>
            </w:pPr>
          </w:p>
        </w:tc>
        <w:tc>
          <w:tcPr>
            <w:tcW w:w="1920" w:type="dxa"/>
            <w:tcBorders>
              <w:top w:val="single" w:sz="5" w:space="0" w:color="C9C9C9"/>
              <w:left w:val="single" w:sz="5" w:space="0" w:color="C9C9C9"/>
              <w:bottom w:val="single" w:sz="4" w:space="0" w:color="000000" w:themeColor="text1"/>
            </w:tcBorders>
          </w:tcPr>
          <w:p w14:paraId="000001DF" w14:textId="667F4C06" w:rsidR="004F7DB3" w:rsidRPr="00A86393" w:rsidRDefault="2809ADD6" w:rsidP="00DD60F2">
            <w:pPr>
              <w:pBdr>
                <w:top w:val="nil"/>
                <w:left w:val="nil"/>
                <w:bottom w:val="nil"/>
                <w:right w:val="nil"/>
                <w:between w:val="nil"/>
              </w:pBdr>
              <w:spacing w:after="0" w:line="240" w:lineRule="auto"/>
              <w:rPr>
                <w:sz w:val="18"/>
                <w:szCs w:val="18"/>
                <w:lang w:val="en-US"/>
              </w:rPr>
            </w:pPr>
            <w:r w:rsidRPr="37FF86E9">
              <w:rPr>
                <w:sz w:val="18"/>
                <w:szCs w:val="18"/>
                <w:lang w:val="en-US"/>
              </w:rPr>
              <w:t>National Policy on Spatial Planning</w:t>
            </w:r>
            <w:r w:rsidR="66AECA60" w:rsidRPr="37FF86E9">
              <w:rPr>
                <w:sz w:val="18"/>
                <w:szCs w:val="18"/>
                <w:lang w:val="en-US"/>
              </w:rPr>
              <w:t xml:space="preserve"> (</w:t>
            </w:r>
            <w:r w:rsidR="22969541" w:rsidRPr="37FF86E9">
              <w:rPr>
                <w:sz w:val="18"/>
                <w:szCs w:val="18"/>
                <w:lang w:val="en-US"/>
              </w:rPr>
              <w:t>NPSP</w:t>
            </w:r>
            <w:r w:rsidR="66AECA60" w:rsidRPr="37FF86E9">
              <w:rPr>
                <w:sz w:val="18"/>
                <w:szCs w:val="18"/>
                <w:lang w:val="en-US"/>
              </w:rPr>
              <w:t>)</w:t>
            </w:r>
          </w:p>
        </w:tc>
        <w:tc>
          <w:tcPr>
            <w:tcW w:w="10513" w:type="dxa"/>
            <w:tcBorders>
              <w:top w:val="single" w:sz="5" w:space="0" w:color="C9C9C9"/>
              <w:bottom w:val="single" w:sz="4" w:space="0" w:color="000000" w:themeColor="text1"/>
            </w:tcBorders>
          </w:tcPr>
          <w:p w14:paraId="000001E0" w14:textId="3B678203" w:rsidR="004F7DB3" w:rsidRPr="00A86393" w:rsidRDefault="6DE85D1E" w:rsidP="00DD60F2">
            <w:pPr>
              <w:spacing w:after="0" w:line="240" w:lineRule="auto"/>
              <w:jc w:val="both"/>
              <w:rPr>
                <w:sz w:val="18"/>
                <w:szCs w:val="18"/>
                <w:lang w:val="en-US"/>
              </w:rPr>
            </w:pPr>
            <w:r w:rsidRPr="537FA187">
              <w:rPr>
                <w:sz w:val="18"/>
                <w:szCs w:val="18"/>
                <w:lang w:val="en-US"/>
              </w:rPr>
              <w:t xml:space="preserve">The </w:t>
            </w:r>
            <w:r w:rsidR="429160B0" w:rsidRPr="537FA187">
              <w:rPr>
                <w:sz w:val="18"/>
                <w:szCs w:val="18"/>
                <w:lang w:val="en-US"/>
              </w:rPr>
              <w:t xml:space="preserve">national Policy for </w:t>
            </w:r>
            <w:proofErr w:type="spellStart"/>
            <w:r w:rsidR="429160B0" w:rsidRPr="537FA187">
              <w:rPr>
                <w:sz w:val="18"/>
                <w:szCs w:val="18"/>
                <w:lang w:val="en-US"/>
              </w:rPr>
              <w:t>spacial</w:t>
            </w:r>
            <w:proofErr w:type="spellEnd"/>
            <w:r w:rsidR="429160B0" w:rsidRPr="537FA187">
              <w:rPr>
                <w:sz w:val="18"/>
                <w:szCs w:val="18"/>
                <w:lang w:val="en-US"/>
              </w:rPr>
              <w:t xml:space="preserve"> planning </w:t>
            </w:r>
            <w:r w:rsidRPr="537FA187">
              <w:rPr>
                <w:sz w:val="18"/>
                <w:szCs w:val="18"/>
                <w:lang w:val="en-US"/>
              </w:rPr>
              <w:t xml:space="preserve">was developed in 2006 for an initially undetermined period and updated in 2016 for the period 2016-2025 with the vision "Contributing to the consolidation of national unity, intra- and inter-regional solidarity and regional and sub-regional integration". To do this, it has been developed according to seven (7) political orientations and twelve (12) strategic axes, each including a portfolio of concrete actions to be carried out. The sustainable integrated urban development project in Bamako, which will be accompanied by a City Master Plan, is precisely designed; to be coherent and fully integrated into the following strategic axes and the associated portfolios of actions to be carried out for the implementation of the </w:t>
            </w:r>
            <w:r w:rsidR="186E072C" w:rsidRPr="537FA187">
              <w:rPr>
                <w:sz w:val="18"/>
                <w:szCs w:val="18"/>
                <w:lang w:val="en-US"/>
              </w:rPr>
              <w:t>NPSP</w:t>
            </w:r>
            <w:r w:rsidRPr="537FA187">
              <w:rPr>
                <w:sz w:val="18"/>
                <w:szCs w:val="18"/>
                <w:lang w:val="en-US"/>
              </w:rPr>
              <w:t>:</w:t>
            </w:r>
          </w:p>
          <w:p w14:paraId="48A46111" w14:textId="0BB5E856" w:rsidR="24AA8F7E" w:rsidRDefault="24AA8F7E" w:rsidP="00DD60F2">
            <w:pPr>
              <w:spacing w:after="0" w:line="240" w:lineRule="auto"/>
              <w:jc w:val="both"/>
              <w:rPr>
                <w:sz w:val="18"/>
                <w:szCs w:val="18"/>
                <w:lang w:val="en-US"/>
              </w:rPr>
            </w:pPr>
          </w:p>
          <w:p w14:paraId="000001E1" w14:textId="77777777" w:rsidR="004F7DB3" w:rsidRPr="00A86393" w:rsidRDefault="00C00123" w:rsidP="00DD60F2">
            <w:pPr>
              <w:spacing w:after="0" w:line="240" w:lineRule="auto"/>
              <w:jc w:val="both"/>
              <w:rPr>
                <w:sz w:val="18"/>
                <w:szCs w:val="18"/>
                <w:lang w:val="en-US"/>
              </w:rPr>
            </w:pPr>
            <w:r w:rsidRPr="00A86393">
              <w:rPr>
                <w:sz w:val="18"/>
                <w:szCs w:val="18"/>
                <w:lang w:val="en-US"/>
              </w:rPr>
              <w:t>Strategic Axis N°2: Social development and improvement of living conditions in both rural and urban areas</w:t>
            </w:r>
          </w:p>
          <w:p w14:paraId="000001E2" w14:textId="7668ECBE" w:rsidR="004F7DB3" w:rsidRPr="00CD72B6" w:rsidRDefault="136B220C" w:rsidP="40E7FE84">
            <w:pPr>
              <w:numPr>
                <w:ilvl w:val="0"/>
                <w:numId w:val="197"/>
              </w:numPr>
              <w:spacing w:after="0" w:line="240" w:lineRule="auto"/>
              <w:jc w:val="both"/>
              <w:rPr>
                <w:sz w:val="18"/>
                <w:szCs w:val="18"/>
                <w:lang w:val="en-US"/>
              </w:rPr>
            </w:pPr>
            <w:r w:rsidRPr="00CD72B6">
              <w:rPr>
                <w:sz w:val="18"/>
                <w:szCs w:val="18"/>
                <w:lang w:val="en-US"/>
              </w:rPr>
              <w:t xml:space="preserve">needs </w:t>
            </w:r>
            <w:r w:rsidR="12BE9561" w:rsidRPr="00CD72B6">
              <w:rPr>
                <w:sz w:val="18"/>
                <w:szCs w:val="18"/>
                <w:lang w:val="en-US"/>
              </w:rPr>
              <w:t xml:space="preserve">assessment </w:t>
            </w:r>
            <w:r w:rsidRPr="00CD72B6">
              <w:rPr>
                <w:sz w:val="18"/>
                <w:szCs w:val="18"/>
                <w:lang w:val="en-US"/>
              </w:rPr>
              <w:t>of the population in terms of basic social services (education, health, water, electricity, housing, etc.</w:t>
            </w:r>
            <w:proofErr w:type="gramStart"/>
            <w:r w:rsidRPr="00CD72B6">
              <w:rPr>
                <w:sz w:val="18"/>
                <w:szCs w:val="18"/>
                <w:lang w:val="en-US"/>
              </w:rPr>
              <w:t>);</w:t>
            </w:r>
            <w:proofErr w:type="gramEnd"/>
          </w:p>
          <w:p w14:paraId="000001E3" w14:textId="77777777" w:rsidR="004F7DB3" w:rsidRPr="00A86393" w:rsidRDefault="00C00123" w:rsidP="001360BB">
            <w:pPr>
              <w:numPr>
                <w:ilvl w:val="0"/>
                <w:numId w:val="197"/>
              </w:numPr>
              <w:spacing w:after="0" w:line="240" w:lineRule="auto"/>
              <w:jc w:val="both"/>
              <w:rPr>
                <w:sz w:val="18"/>
                <w:szCs w:val="18"/>
                <w:lang w:val="en-US"/>
              </w:rPr>
            </w:pPr>
            <w:r w:rsidRPr="00A86393">
              <w:rPr>
                <w:sz w:val="18"/>
                <w:szCs w:val="18"/>
                <w:lang w:val="en-US"/>
              </w:rPr>
              <w:t>improvement of the coverage of the territory in terms of basic social service infrastructure/equipment.</w:t>
            </w:r>
          </w:p>
          <w:p w14:paraId="000001E4" w14:textId="77777777" w:rsidR="004F7DB3" w:rsidRPr="00A86393" w:rsidRDefault="552CE4D7" w:rsidP="00DD60F2">
            <w:pPr>
              <w:spacing w:after="0" w:line="240" w:lineRule="auto"/>
              <w:jc w:val="both"/>
              <w:rPr>
                <w:sz w:val="18"/>
                <w:szCs w:val="18"/>
                <w:lang w:val="en-US"/>
              </w:rPr>
            </w:pPr>
            <w:r w:rsidRPr="5D8904BE">
              <w:rPr>
                <w:sz w:val="18"/>
                <w:szCs w:val="18"/>
                <w:lang w:val="en-US"/>
              </w:rPr>
              <w:t xml:space="preserve">Strategic Axis N°4: Land management reform, the development of a </w:t>
            </w:r>
            <w:proofErr w:type="spellStart"/>
            <w:r w:rsidRPr="5D8904BE">
              <w:rPr>
                <w:sz w:val="18"/>
                <w:szCs w:val="18"/>
                <w:lang w:val="en-US"/>
              </w:rPr>
              <w:t>cadastre</w:t>
            </w:r>
            <w:proofErr w:type="spellEnd"/>
            <w:r w:rsidRPr="5D8904BE">
              <w:rPr>
                <w:sz w:val="18"/>
                <w:szCs w:val="18"/>
                <w:lang w:val="en-US"/>
              </w:rPr>
              <w:t xml:space="preserve"> and optimal and parsimonious land management</w:t>
            </w:r>
          </w:p>
          <w:p w14:paraId="000001E5" w14:textId="1C06D630" w:rsidR="004F7DB3" w:rsidRPr="00A86393" w:rsidRDefault="6DEC1BA7" w:rsidP="001360BB">
            <w:pPr>
              <w:numPr>
                <w:ilvl w:val="0"/>
                <w:numId w:val="204"/>
              </w:numPr>
              <w:spacing w:after="0" w:line="240" w:lineRule="auto"/>
              <w:jc w:val="both"/>
              <w:rPr>
                <w:sz w:val="18"/>
                <w:szCs w:val="18"/>
              </w:rPr>
            </w:pPr>
            <w:proofErr w:type="spellStart"/>
            <w:proofErr w:type="gramStart"/>
            <w:r w:rsidRPr="5D8904BE">
              <w:rPr>
                <w:sz w:val="18"/>
                <w:szCs w:val="18"/>
              </w:rPr>
              <w:t>de</w:t>
            </w:r>
            <w:r w:rsidR="6C01A707" w:rsidRPr="5D8904BE">
              <w:rPr>
                <w:sz w:val="18"/>
                <w:szCs w:val="18"/>
              </w:rPr>
              <w:t>lineation</w:t>
            </w:r>
            <w:proofErr w:type="spellEnd"/>
            <w:r w:rsidR="6C01A707" w:rsidRPr="5D8904BE">
              <w:rPr>
                <w:sz w:val="18"/>
                <w:szCs w:val="18"/>
              </w:rPr>
              <w:t xml:space="preserve"> </w:t>
            </w:r>
            <w:r w:rsidRPr="5D8904BE">
              <w:rPr>
                <w:sz w:val="18"/>
                <w:szCs w:val="18"/>
              </w:rPr>
              <w:t xml:space="preserve"> of</w:t>
            </w:r>
            <w:proofErr w:type="gramEnd"/>
            <w:r w:rsidRPr="5D8904BE">
              <w:rPr>
                <w:sz w:val="18"/>
                <w:szCs w:val="18"/>
              </w:rPr>
              <w:t xml:space="preserve"> agricultural land;</w:t>
            </w:r>
          </w:p>
          <w:p w14:paraId="000001E6" w14:textId="77777777" w:rsidR="004F7DB3" w:rsidRPr="00A86393" w:rsidRDefault="00C00123" w:rsidP="001360BB">
            <w:pPr>
              <w:numPr>
                <w:ilvl w:val="0"/>
                <w:numId w:val="204"/>
              </w:numPr>
              <w:spacing w:after="0" w:line="240" w:lineRule="auto"/>
              <w:jc w:val="both"/>
              <w:rPr>
                <w:sz w:val="18"/>
                <w:szCs w:val="18"/>
                <w:lang w:val="en-US"/>
              </w:rPr>
            </w:pPr>
            <w:r w:rsidRPr="00A86393">
              <w:rPr>
                <w:sz w:val="18"/>
                <w:szCs w:val="18"/>
                <w:lang w:val="en-US"/>
              </w:rPr>
              <w:t xml:space="preserve">preparation of a land </w:t>
            </w:r>
            <w:proofErr w:type="gramStart"/>
            <w:r w:rsidRPr="00A86393">
              <w:rPr>
                <w:sz w:val="18"/>
                <w:szCs w:val="18"/>
                <w:lang w:val="en-US"/>
              </w:rPr>
              <w:t>registry;</w:t>
            </w:r>
            <w:proofErr w:type="gramEnd"/>
          </w:p>
          <w:p w14:paraId="000001E7" w14:textId="46679554" w:rsidR="004F7DB3" w:rsidRPr="00A86393" w:rsidRDefault="57B4D9A7" w:rsidP="001360BB">
            <w:pPr>
              <w:numPr>
                <w:ilvl w:val="0"/>
                <w:numId w:val="204"/>
              </w:numPr>
              <w:spacing w:after="0" w:line="240" w:lineRule="auto"/>
              <w:jc w:val="both"/>
              <w:rPr>
                <w:sz w:val="18"/>
                <w:szCs w:val="18"/>
                <w:lang w:val="en-US"/>
              </w:rPr>
            </w:pPr>
            <w:r w:rsidRPr="00A86393">
              <w:rPr>
                <w:sz w:val="18"/>
                <w:szCs w:val="18"/>
                <w:lang w:val="en-US"/>
              </w:rPr>
              <w:t>efficient</w:t>
            </w:r>
            <w:r w:rsidR="2809ADD6" w:rsidRPr="00A86393">
              <w:rPr>
                <w:sz w:val="18"/>
                <w:szCs w:val="18"/>
                <w:lang w:val="en-US"/>
              </w:rPr>
              <w:t xml:space="preserve"> management of the land assets of the State and local authorities.</w:t>
            </w:r>
          </w:p>
          <w:p w14:paraId="000001E8" w14:textId="77777777" w:rsidR="004F7DB3" w:rsidRPr="00A86393" w:rsidRDefault="00C00123" w:rsidP="00DD60F2">
            <w:pPr>
              <w:spacing w:after="0" w:line="240" w:lineRule="auto"/>
              <w:jc w:val="both"/>
              <w:rPr>
                <w:sz w:val="18"/>
                <w:szCs w:val="18"/>
                <w:lang w:val="en-US"/>
              </w:rPr>
            </w:pPr>
            <w:r w:rsidRPr="00A86393">
              <w:rPr>
                <w:sz w:val="18"/>
                <w:szCs w:val="18"/>
                <w:lang w:val="en-US"/>
              </w:rPr>
              <w:t>Strategic Axis N°5: the creation of development poles and the development of specific areas</w:t>
            </w:r>
          </w:p>
          <w:p w14:paraId="000001E9" w14:textId="77777777" w:rsidR="004F7DB3" w:rsidRPr="00A86393" w:rsidRDefault="552CE4D7" w:rsidP="001360BB">
            <w:pPr>
              <w:numPr>
                <w:ilvl w:val="0"/>
                <w:numId w:val="189"/>
              </w:numPr>
              <w:spacing w:after="0" w:line="240" w:lineRule="auto"/>
              <w:jc w:val="both"/>
              <w:rPr>
                <w:sz w:val="18"/>
                <w:szCs w:val="18"/>
                <w:lang w:val="en-US"/>
              </w:rPr>
            </w:pPr>
            <w:r w:rsidRPr="5D8904BE">
              <w:rPr>
                <w:sz w:val="18"/>
                <w:szCs w:val="18"/>
                <w:lang w:val="en-US"/>
              </w:rPr>
              <w:t xml:space="preserve">identification, creation and monitoring of development </w:t>
            </w:r>
            <w:proofErr w:type="gramStart"/>
            <w:r w:rsidRPr="5D8904BE">
              <w:rPr>
                <w:sz w:val="18"/>
                <w:szCs w:val="18"/>
                <w:lang w:val="en-US"/>
              </w:rPr>
              <w:t>poles;</w:t>
            </w:r>
            <w:proofErr w:type="gramEnd"/>
          </w:p>
          <w:p w14:paraId="000001EA" w14:textId="77777777" w:rsidR="004F7DB3" w:rsidRPr="00A86393" w:rsidRDefault="00C00123" w:rsidP="001360BB">
            <w:pPr>
              <w:numPr>
                <w:ilvl w:val="0"/>
                <w:numId w:val="189"/>
              </w:numPr>
              <w:spacing w:after="0" w:line="240" w:lineRule="auto"/>
              <w:jc w:val="both"/>
              <w:rPr>
                <w:sz w:val="18"/>
                <w:szCs w:val="18"/>
                <w:lang w:val="en-US"/>
              </w:rPr>
            </w:pPr>
            <w:r w:rsidRPr="00A86393">
              <w:rPr>
                <w:sz w:val="18"/>
                <w:szCs w:val="18"/>
                <w:lang w:val="en-US"/>
              </w:rPr>
              <w:t>creation of conditions for the development of economic activities in specific areas.</w:t>
            </w:r>
          </w:p>
          <w:p w14:paraId="000001EB" w14:textId="77777777" w:rsidR="004F7DB3" w:rsidRPr="00A86393" w:rsidRDefault="552CE4D7" w:rsidP="00DD60F2">
            <w:pPr>
              <w:spacing w:after="0" w:line="240" w:lineRule="auto"/>
              <w:jc w:val="both"/>
              <w:rPr>
                <w:sz w:val="18"/>
                <w:szCs w:val="18"/>
                <w:lang w:val="en-US"/>
              </w:rPr>
            </w:pPr>
            <w:r w:rsidRPr="5D8904BE">
              <w:rPr>
                <w:sz w:val="18"/>
                <w:szCs w:val="18"/>
                <w:lang w:val="en-US"/>
              </w:rPr>
              <w:t>Strategic Axis N°6: Optimal development of mining, energy and all other natural resources</w:t>
            </w:r>
          </w:p>
          <w:p w14:paraId="000001EC" w14:textId="77777777" w:rsidR="004F7DB3" w:rsidRPr="00A86393" w:rsidRDefault="552CE4D7" w:rsidP="001360BB">
            <w:pPr>
              <w:numPr>
                <w:ilvl w:val="0"/>
                <w:numId w:val="188"/>
              </w:numPr>
              <w:spacing w:after="0" w:line="240" w:lineRule="auto"/>
              <w:jc w:val="both"/>
              <w:rPr>
                <w:sz w:val="18"/>
                <w:szCs w:val="18"/>
                <w:lang w:val="en-US"/>
              </w:rPr>
            </w:pPr>
            <w:r w:rsidRPr="5D8904BE">
              <w:rPr>
                <w:sz w:val="18"/>
                <w:szCs w:val="18"/>
                <w:lang w:val="en-US"/>
              </w:rPr>
              <w:t xml:space="preserve">inventory of mining, energy and other natural </w:t>
            </w:r>
            <w:proofErr w:type="gramStart"/>
            <w:r w:rsidRPr="5D8904BE">
              <w:rPr>
                <w:sz w:val="18"/>
                <w:szCs w:val="18"/>
                <w:lang w:val="en-US"/>
              </w:rPr>
              <w:t>resources;</w:t>
            </w:r>
            <w:proofErr w:type="gramEnd"/>
          </w:p>
          <w:p w14:paraId="000001ED" w14:textId="77777777" w:rsidR="004F7DB3" w:rsidRPr="00A86393" w:rsidRDefault="00C00123" w:rsidP="001360BB">
            <w:pPr>
              <w:numPr>
                <w:ilvl w:val="0"/>
                <w:numId w:val="188"/>
              </w:numPr>
              <w:spacing w:after="0" w:line="240" w:lineRule="auto"/>
              <w:jc w:val="both"/>
              <w:rPr>
                <w:sz w:val="18"/>
                <w:szCs w:val="18"/>
                <w:lang w:val="en-US"/>
              </w:rPr>
            </w:pPr>
            <w:r w:rsidRPr="00A86393">
              <w:rPr>
                <w:sz w:val="18"/>
                <w:szCs w:val="18"/>
                <w:lang w:val="en-US"/>
              </w:rPr>
              <w:t xml:space="preserve">development of mining-related services and </w:t>
            </w:r>
            <w:proofErr w:type="gramStart"/>
            <w:r w:rsidRPr="00A86393">
              <w:rPr>
                <w:sz w:val="18"/>
                <w:szCs w:val="18"/>
                <w:lang w:val="en-US"/>
              </w:rPr>
              <w:t>industries;</w:t>
            </w:r>
            <w:proofErr w:type="gramEnd"/>
          </w:p>
          <w:p w14:paraId="000001EE" w14:textId="77777777" w:rsidR="004F7DB3" w:rsidRPr="00A86393" w:rsidRDefault="00C00123" w:rsidP="001360BB">
            <w:pPr>
              <w:numPr>
                <w:ilvl w:val="0"/>
                <w:numId w:val="188"/>
              </w:numPr>
              <w:spacing w:after="0" w:line="240" w:lineRule="auto"/>
              <w:jc w:val="both"/>
              <w:rPr>
                <w:sz w:val="18"/>
                <w:szCs w:val="18"/>
                <w:lang w:val="en-US"/>
              </w:rPr>
            </w:pPr>
            <w:r w:rsidRPr="00A86393">
              <w:rPr>
                <w:sz w:val="18"/>
                <w:szCs w:val="18"/>
                <w:lang w:val="en-US"/>
              </w:rPr>
              <w:t>Development of master plans for the development of renewable energy resources (solar, wind, hydroelectric energy, etc.).</w:t>
            </w:r>
          </w:p>
          <w:p w14:paraId="000001EF" w14:textId="77777777" w:rsidR="004F7DB3" w:rsidRPr="00A86393" w:rsidRDefault="00C00123" w:rsidP="00DD60F2">
            <w:pPr>
              <w:spacing w:after="0" w:line="240" w:lineRule="auto"/>
              <w:jc w:val="both"/>
              <w:rPr>
                <w:sz w:val="18"/>
                <w:szCs w:val="18"/>
                <w:lang w:val="en-US"/>
              </w:rPr>
            </w:pPr>
            <w:r w:rsidRPr="00A86393">
              <w:rPr>
                <w:sz w:val="18"/>
                <w:szCs w:val="18"/>
                <w:lang w:val="en-US"/>
              </w:rPr>
              <w:t>Strategic Axis N°7: the control of urban growth, the sprawl of cities and the promotion of an urban framework for the benefit of a harmonious and balanced development of the country</w:t>
            </w:r>
          </w:p>
          <w:p w14:paraId="000001F0" w14:textId="77777777" w:rsidR="004F7DB3" w:rsidRPr="00A86393" w:rsidRDefault="00C00123" w:rsidP="001360BB">
            <w:pPr>
              <w:numPr>
                <w:ilvl w:val="0"/>
                <w:numId w:val="170"/>
              </w:numPr>
              <w:spacing w:after="0" w:line="240" w:lineRule="auto"/>
              <w:jc w:val="both"/>
              <w:rPr>
                <w:sz w:val="18"/>
                <w:szCs w:val="18"/>
                <w:lang w:val="en-US"/>
              </w:rPr>
            </w:pPr>
            <w:r w:rsidRPr="00A86393">
              <w:rPr>
                <w:sz w:val="18"/>
                <w:szCs w:val="18"/>
                <w:lang w:val="en-US"/>
              </w:rPr>
              <w:t xml:space="preserve">preparation of urban planning documents and ensures their </w:t>
            </w:r>
            <w:proofErr w:type="gramStart"/>
            <w:r w:rsidRPr="00A86393">
              <w:rPr>
                <w:sz w:val="18"/>
                <w:szCs w:val="18"/>
                <w:lang w:val="en-US"/>
              </w:rPr>
              <w:t>implementation;</w:t>
            </w:r>
            <w:proofErr w:type="gramEnd"/>
          </w:p>
          <w:p w14:paraId="000001F1" w14:textId="77777777" w:rsidR="004F7DB3" w:rsidRPr="00A86393" w:rsidRDefault="00C00123" w:rsidP="001360BB">
            <w:pPr>
              <w:numPr>
                <w:ilvl w:val="0"/>
                <w:numId w:val="170"/>
              </w:numPr>
              <w:spacing w:after="0" w:line="240" w:lineRule="auto"/>
              <w:jc w:val="both"/>
              <w:rPr>
                <w:sz w:val="18"/>
                <w:szCs w:val="18"/>
                <w:lang w:val="en-US"/>
              </w:rPr>
            </w:pPr>
            <w:r w:rsidRPr="00A86393">
              <w:rPr>
                <w:sz w:val="18"/>
                <w:szCs w:val="18"/>
                <w:lang w:val="en-US"/>
              </w:rPr>
              <w:t xml:space="preserve">development of intermediary cities with a view to controlling urban </w:t>
            </w:r>
            <w:proofErr w:type="gramStart"/>
            <w:r w:rsidRPr="00A86393">
              <w:rPr>
                <w:sz w:val="18"/>
                <w:szCs w:val="18"/>
                <w:lang w:val="en-US"/>
              </w:rPr>
              <w:t>growth;</w:t>
            </w:r>
            <w:proofErr w:type="gramEnd"/>
          </w:p>
          <w:p w14:paraId="000001F2" w14:textId="77777777" w:rsidR="004F7DB3" w:rsidRPr="00A86393" w:rsidRDefault="00C00123" w:rsidP="001360BB">
            <w:pPr>
              <w:numPr>
                <w:ilvl w:val="0"/>
                <w:numId w:val="170"/>
              </w:numPr>
              <w:spacing w:after="0" w:line="240" w:lineRule="auto"/>
              <w:jc w:val="both"/>
              <w:rPr>
                <w:sz w:val="18"/>
                <w:szCs w:val="18"/>
                <w:lang w:val="en-US"/>
              </w:rPr>
            </w:pPr>
            <w:r w:rsidRPr="00A86393">
              <w:rPr>
                <w:sz w:val="18"/>
                <w:szCs w:val="18"/>
                <w:lang w:val="en-US"/>
              </w:rPr>
              <w:t xml:space="preserve">Development of complementarity between cities and the countryside, cities themselves and at the sub-regional and regional </w:t>
            </w:r>
            <w:proofErr w:type="gramStart"/>
            <w:r w:rsidRPr="00A86393">
              <w:rPr>
                <w:sz w:val="18"/>
                <w:szCs w:val="18"/>
                <w:lang w:val="en-US"/>
              </w:rPr>
              <w:t>levels;</w:t>
            </w:r>
            <w:proofErr w:type="gramEnd"/>
          </w:p>
          <w:p w14:paraId="000001F3" w14:textId="77777777" w:rsidR="004F7DB3" w:rsidRPr="00A86393" w:rsidRDefault="00C00123" w:rsidP="001360BB">
            <w:pPr>
              <w:numPr>
                <w:ilvl w:val="0"/>
                <w:numId w:val="170"/>
              </w:numPr>
              <w:spacing w:after="0" w:line="240" w:lineRule="auto"/>
              <w:jc w:val="both"/>
              <w:rPr>
                <w:sz w:val="18"/>
                <w:szCs w:val="18"/>
                <w:lang w:val="en-US"/>
              </w:rPr>
            </w:pPr>
            <w:r w:rsidRPr="00A86393">
              <w:rPr>
                <w:sz w:val="18"/>
                <w:szCs w:val="18"/>
                <w:lang w:val="en-US"/>
              </w:rPr>
              <w:t>Dynamization of the monitoring and evaluation system of urban planning documents.</w:t>
            </w:r>
          </w:p>
          <w:p w14:paraId="000001F4" w14:textId="77777777" w:rsidR="004F7DB3" w:rsidRPr="00A86393" w:rsidRDefault="552CE4D7" w:rsidP="00DD60F2">
            <w:pPr>
              <w:spacing w:after="0" w:line="240" w:lineRule="auto"/>
              <w:jc w:val="both"/>
              <w:rPr>
                <w:sz w:val="18"/>
                <w:szCs w:val="18"/>
                <w:lang w:val="en-US"/>
              </w:rPr>
            </w:pPr>
            <w:r w:rsidRPr="5D8904BE">
              <w:rPr>
                <w:sz w:val="18"/>
                <w:szCs w:val="18"/>
                <w:lang w:val="en-US"/>
              </w:rPr>
              <w:t>Strategic Axis N°8: Protection of the environment, preservation of ecosystems, biodiversity and the fight against the harmful effects of climate change</w:t>
            </w:r>
          </w:p>
          <w:p w14:paraId="000001F5" w14:textId="77777777" w:rsidR="004F7DB3" w:rsidRPr="00A86393" w:rsidRDefault="00C00123" w:rsidP="001360BB">
            <w:pPr>
              <w:numPr>
                <w:ilvl w:val="0"/>
                <w:numId w:val="203"/>
              </w:numPr>
              <w:spacing w:after="0" w:line="240" w:lineRule="auto"/>
              <w:jc w:val="both"/>
              <w:rPr>
                <w:sz w:val="18"/>
                <w:szCs w:val="18"/>
                <w:lang w:val="en-US"/>
              </w:rPr>
            </w:pPr>
            <w:r w:rsidRPr="00A86393">
              <w:rPr>
                <w:sz w:val="18"/>
                <w:szCs w:val="18"/>
                <w:lang w:val="en-US"/>
              </w:rPr>
              <w:t xml:space="preserve">Adoption of a </w:t>
            </w:r>
            <w:proofErr w:type="spellStart"/>
            <w:r w:rsidRPr="00A86393">
              <w:rPr>
                <w:sz w:val="18"/>
                <w:szCs w:val="18"/>
                <w:lang w:val="en-US"/>
              </w:rPr>
              <w:t>programme</w:t>
            </w:r>
            <w:proofErr w:type="spellEnd"/>
            <w:r w:rsidRPr="00A86393">
              <w:rPr>
                <w:sz w:val="18"/>
                <w:szCs w:val="18"/>
                <w:lang w:val="en-US"/>
              </w:rPr>
              <w:t xml:space="preserve"> for the development of non-timber forest products sectors and continued to diversify the sources of income of the </w:t>
            </w:r>
            <w:proofErr w:type="gramStart"/>
            <w:r w:rsidRPr="00A86393">
              <w:rPr>
                <w:sz w:val="18"/>
                <w:szCs w:val="18"/>
                <w:lang w:val="en-US"/>
              </w:rPr>
              <w:t>population;</w:t>
            </w:r>
            <w:proofErr w:type="gramEnd"/>
          </w:p>
          <w:p w14:paraId="000001F6" w14:textId="77777777" w:rsidR="004F7DB3" w:rsidRPr="00A86393" w:rsidRDefault="00C00123" w:rsidP="001360BB">
            <w:pPr>
              <w:numPr>
                <w:ilvl w:val="0"/>
                <w:numId w:val="203"/>
              </w:numPr>
              <w:spacing w:after="0" w:line="240" w:lineRule="auto"/>
              <w:jc w:val="both"/>
              <w:rPr>
                <w:sz w:val="18"/>
                <w:szCs w:val="18"/>
                <w:lang w:val="en-US"/>
              </w:rPr>
            </w:pPr>
            <w:r w:rsidRPr="00A86393">
              <w:rPr>
                <w:sz w:val="18"/>
                <w:szCs w:val="18"/>
                <w:lang w:val="en-US"/>
              </w:rPr>
              <w:t xml:space="preserve">Intensification of communication about the protection of natural </w:t>
            </w:r>
            <w:proofErr w:type="gramStart"/>
            <w:r w:rsidRPr="00A86393">
              <w:rPr>
                <w:sz w:val="18"/>
                <w:szCs w:val="18"/>
                <w:lang w:val="en-US"/>
              </w:rPr>
              <w:t>resources;</w:t>
            </w:r>
            <w:proofErr w:type="gramEnd"/>
          </w:p>
          <w:p w14:paraId="000001F7" w14:textId="77777777" w:rsidR="004F7DB3" w:rsidRPr="00A86393" w:rsidRDefault="00C00123" w:rsidP="001360BB">
            <w:pPr>
              <w:numPr>
                <w:ilvl w:val="0"/>
                <w:numId w:val="203"/>
              </w:numPr>
              <w:spacing w:after="0" w:line="240" w:lineRule="auto"/>
              <w:jc w:val="both"/>
              <w:rPr>
                <w:sz w:val="18"/>
                <w:szCs w:val="18"/>
                <w:lang w:val="en-US"/>
              </w:rPr>
            </w:pPr>
            <w:r w:rsidRPr="00A86393">
              <w:rPr>
                <w:sz w:val="18"/>
                <w:szCs w:val="18"/>
                <w:lang w:val="en-US"/>
              </w:rPr>
              <w:t xml:space="preserve">Ensures the application of texts relating to the protection of natural </w:t>
            </w:r>
            <w:proofErr w:type="gramStart"/>
            <w:r w:rsidRPr="00A86393">
              <w:rPr>
                <w:sz w:val="18"/>
                <w:szCs w:val="18"/>
                <w:lang w:val="en-US"/>
              </w:rPr>
              <w:t>resources;</w:t>
            </w:r>
            <w:proofErr w:type="gramEnd"/>
          </w:p>
          <w:p w14:paraId="000001F8" w14:textId="77777777" w:rsidR="004F7DB3" w:rsidRPr="00A86393" w:rsidRDefault="552CE4D7" w:rsidP="001360BB">
            <w:pPr>
              <w:numPr>
                <w:ilvl w:val="0"/>
                <w:numId w:val="203"/>
              </w:numPr>
              <w:spacing w:after="0" w:line="240" w:lineRule="auto"/>
              <w:jc w:val="both"/>
              <w:rPr>
                <w:sz w:val="18"/>
                <w:szCs w:val="18"/>
                <w:lang w:val="en-US"/>
              </w:rPr>
            </w:pPr>
            <w:r w:rsidRPr="5D8904BE">
              <w:rPr>
                <w:sz w:val="18"/>
                <w:szCs w:val="18"/>
                <w:lang w:val="en-US"/>
              </w:rPr>
              <w:t>Development of actions for restoration, conservation and protection of the environment.</w:t>
            </w:r>
          </w:p>
          <w:p w14:paraId="000001F9" w14:textId="77777777" w:rsidR="004F7DB3" w:rsidRPr="00A86393" w:rsidRDefault="552CE4D7" w:rsidP="00DD60F2">
            <w:pPr>
              <w:spacing w:after="0" w:line="240" w:lineRule="auto"/>
              <w:jc w:val="both"/>
              <w:rPr>
                <w:sz w:val="18"/>
                <w:szCs w:val="18"/>
                <w:lang w:val="en-US"/>
              </w:rPr>
            </w:pPr>
            <w:r w:rsidRPr="5D8904BE">
              <w:rPr>
                <w:sz w:val="18"/>
                <w:szCs w:val="18"/>
                <w:lang w:val="en-US"/>
              </w:rPr>
              <w:t xml:space="preserve">Strategic Axis N°9: </w:t>
            </w:r>
            <w:proofErr w:type="gramStart"/>
            <w:r w:rsidRPr="5D8904BE">
              <w:rPr>
                <w:sz w:val="18"/>
                <w:szCs w:val="18"/>
                <w:lang w:val="en-US"/>
              </w:rPr>
              <w:t>Opening up</w:t>
            </w:r>
            <w:proofErr w:type="gramEnd"/>
            <w:r w:rsidRPr="5D8904BE">
              <w:rPr>
                <w:sz w:val="18"/>
                <w:szCs w:val="18"/>
                <w:lang w:val="en-US"/>
              </w:rPr>
              <w:t xml:space="preserve"> internal and external areas and promoting the digital transition</w:t>
            </w:r>
          </w:p>
          <w:p w14:paraId="000001FA" w14:textId="77777777" w:rsidR="004F7DB3" w:rsidRPr="00A86393" w:rsidRDefault="552CE4D7" w:rsidP="001360BB">
            <w:pPr>
              <w:numPr>
                <w:ilvl w:val="0"/>
                <w:numId w:val="190"/>
              </w:numPr>
              <w:spacing w:after="0" w:line="240" w:lineRule="auto"/>
              <w:jc w:val="both"/>
              <w:rPr>
                <w:sz w:val="18"/>
                <w:szCs w:val="18"/>
                <w:lang w:val="en-US"/>
              </w:rPr>
            </w:pPr>
            <w:r w:rsidRPr="5D8904BE">
              <w:rPr>
                <w:sz w:val="18"/>
                <w:szCs w:val="18"/>
                <w:lang w:val="en-US"/>
              </w:rPr>
              <w:lastRenderedPageBreak/>
              <w:t xml:space="preserve">projection of major axes of the national network of motorways and roads according to the objective of serving and opening up the entire </w:t>
            </w:r>
            <w:proofErr w:type="gramStart"/>
            <w:r w:rsidRPr="5D8904BE">
              <w:rPr>
                <w:sz w:val="18"/>
                <w:szCs w:val="18"/>
                <w:lang w:val="en-US"/>
              </w:rPr>
              <w:t>territory;</w:t>
            </w:r>
            <w:proofErr w:type="gramEnd"/>
          </w:p>
          <w:p w14:paraId="000001FB" w14:textId="77777777" w:rsidR="004F7DB3" w:rsidRPr="00A86393" w:rsidRDefault="00C00123" w:rsidP="001360BB">
            <w:pPr>
              <w:numPr>
                <w:ilvl w:val="0"/>
                <w:numId w:val="190"/>
              </w:numPr>
              <w:spacing w:after="0" w:line="240" w:lineRule="auto"/>
              <w:jc w:val="both"/>
              <w:rPr>
                <w:sz w:val="18"/>
                <w:szCs w:val="18"/>
                <w:lang w:val="en-US"/>
              </w:rPr>
            </w:pPr>
            <w:r w:rsidRPr="00A86393">
              <w:rPr>
                <w:sz w:val="18"/>
                <w:szCs w:val="18"/>
                <w:lang w:val="en-US"/>
              </w:rPr>
              <w:t>Ensuring access to communication, telecommunications and information services and infrastructure throughout the country</w:t>
            </w:r>
          </w:p>
          <w:p w14:paraId="000001FC" w14:textId="77777777" w:rsidR="004F7DB3" w:rsidRPr="00A86393" w:rsidRDefault="00C00123" w:rsidP="00DD60F2">
            <w:pPr>
              <w:spacing w:after="0" w:line="240" w:lineRule="auto"/>
              <w:jc w:val="both"/>
              <w:rPr>
                <w:sz w:val="18"/>
                <w:szCs w:val="18"/>
                <w:lang w:val="en-US"/>
              </w:rPr>
            </w:pPr>
            <w:r w:rsidRPr="00A86393">
              <w:rPr>
                <w:sz w:val="18"/>
                <w:szCs w:val="18"/>
                <w:lang w:val="en-US"/>
              </w:rPr>
              <w:t>Strategic Axis N°10: Strengthening decentralization, based on regionalization</w:t>
            </w:r>
          </w:p>
          <w:p w14:paraId="000001FD" w14:textId="77777777" w:rsidR="004F7DB3" w:rsidRPr="00A86393" w:rsidRDefault="00C00123" w:rsidP="001360BB">
            <w:pPr>
              <w:numPr>
                <w:ilvl w:val="0"/>
                <w:numId w:val="196"/>
              </w:numPr>
              <w:spacing w:after="0" w:line="240" w:lineRule="auto"/>
              <w:jc w:val="both"/>
              <w:rPr>
                <w:sz w:val="18"/>
                <w:szCs w:val="18"/>
                <w:lang w:val="en-US"/>
              </w:rPr>
            </w:pPr>
            <w:r w:rsidRPr="00A86393">
              <w:rPr>
                <w:sz w:val="18"/>
                <w:szCs w:val="18"/>
                <w:lang w:val="en-US"/>
              </w:rPr>
              <w:t xml:space="preserve">effectiveness of the transfer of competences and resources to local </w:t>
            </w:r>
            <w:proofErr w:type="gramStart"/>
            <w:r w:rsidRPr="00A86393">
              <w:rPr>
                <w:sz w:val="18"/>
                <w:szCs w:val="18"/>
                <w:lang w:val="en-US"/>
              </w:rPr>
              <w:t>authorities;</w:t>
            </w:r>
            <w:proofErr w:type="gramEnd"/>
          </w:p>
          <w:p w14:paraId="000001FE" w14:textId="77777777" w:rsidR="004F7DB3" w:rsidRPr="00A86393" w:rsidRDefault="00C00123" w:rsidP="001360BB">
            <w:pPr>
              <w:numPr>
                <w:ilvl w:val="0"/>
                <w:numId w:val="196"/>
              </w:numPr>
              <w:spacing w:after="0" w:line="240" w:lineRule="auto"/>
              <w:jc w:val="both"/>
              <w:rPr>
                <w:sz w:val="18"/>
                <w:szCs w:val="18"/>
                <w:lang w:val="en-US"/>
              </w:rPr>
            </w:pPr>
            <w:r w:rsidRPr="00A86393">
              <w:rPr>
                <w:sz w:val="18"/>
                <w:szCs w:val="18"/>
                <w:lang w:val="en-US"/>
              </w:rPr>
              <w:t xml:space="preserve">carrying out prospective studies at regional </w:t>
            </w:r>
            <w:proofErr w:type="gramStart"/>
            <w:r w:rsidRPr="00A86393">
              <w:rPr>
                <w:sz w:val="18"/>
                <w:szCs w:val="18"/>
                <w:lang w:val="en-US"/>
              </w:rPr>
              <w:t>level;</w:t>
            </w:r>
            <w:proofErr w:type="gramEnd"/>
          </w:p>
          <w:p w14:paraId="000001FF" w14:textId="77777777" w:rsidR="004F7DB3" w:rsidRPr="00A86393" w:rsidRDefault="00C00123" w:rsidP="001360BB">
            <w:pPr>
              <w:numPr>
                <w:ilvl w:val="0"/>
                <w:numId w:val="196"/>
              </w:numPr>
              <w:spacing w:after="0" w:line="240" w:lineRule="auto"/>
              <w:jc w:val="both"/>
              <w:rPr>
                <w:sz w:val="18"/>
                <w:szCs w:val="18"/>
                <w:lang w:val="en-US"/>
              </w:rPr>
            </w:pPr>
            <w:r w:rsidRPr="00A86393">
              <w:rPr>
                <w:sz w:val="18"/>
                <w:szCs w:val="18"/>
                <w:lang w:val="en-US"/>
              </w:rPr>
              <w:t xml:space="preserve">effectiveness of the operationalization of State/Region/District and Regional Development Agency plan </w:t>
            </w:r>
            <w:proofErr w:type="gramStart"/>
            <w:r w:rsidRPr="00A86393">
              <w:rPr>
                <w:sz w:val="18"/>
                <w:szCs w:val="18"/>
                <w:lang w:val="en-US"/>
              </w:rPr>
              <w:t>contracts;</w:t>
            </w:r>
            <w:proofErr w:type="gramEnd"/>
          </w:p>
          <w:p w14:paraId="00000200" w14:textId="2E59ACEA" w:rsidR="004F7DB3" w:rsidRPr="00A86393" w:rsidRDefault="2809ADD6" w:rsidP="001360BB">
            <w:pPr>
              <w:numPr>
                <w:ilvl w:val="0"/>
                <w:numId w:val="196"/>
              </w:numPr>
              <w:spacing w:after="0" w:line="240" w:lineRule="auto"/>
              <w:jc w:val="both"/>
              <w:rPr>
                <w:sz w:val="18"/>
                <w:szCs w:val="18"/>
                <w:lang w:val="en-US"/>
              </w:rPr>
            </w:pPr>
            <w:r w:rsidRPr="00A86393">
              <w:rPr>
                <w:sz w:val="18"/>
                <w:szCs w:val="18"/>
                <w:lang w:val="en-US"/>
              </w:rPr>
              <w:t xml:space="preserve">Support for local authorities in the </w:t>
            </w:r>
            <w:proofErr w:type="spellStart"/>
            <w:r w:rsidRPr="00A86393">
              <w:rPr>
                <w:sz w:val="18"/>
                <w:szCs w:val="18"/>
                <w:lang w:val="en-US"/>
              </w:rPr>
              <w:t>mobilisation</w:t>
            </w:r>
            <w:proofErr w:type="spellEnd"/>
            <w:r w:rsidRPr="00A86393">
              <w:rPr>
                <w:sz w:val="18"/>
                <w:szCs w:val="18"/>
                <w:lang w:val="en-US"/>
              </w:rPr>
              <w:t xml:space="preserve"> and </w:t>
            </w:r>
            <w:r w:rsidR="44B097F5" w:rsidRPr="00A86393">
              <w:rPr>
                <w:sz w:val="18"/>
                <w:szCs w:val="18"/>
                <w:lang w:val="en-US"/>
              </w:rPr>
              <w:t>efficient</w:t>
            </w:r>
            <w:r w:rsidRPr="00A86393">
              <w:rPr>
                <w:sz w:val="18"/>
                <w:szCs w:val="18"/>
                <w:lang w:val="en-US"/>
              </w:rPr>
              <w:t xml:space="preserve"> management of resources</w:t>
            </w:r>
          </w:p>
          <w:p w14:paraId="00000201" w14:textId="77777777" w:rsidR="004F7DB3" w:rsidRPr="00A86393" w:rsidRDefault="00C00123" w:rsidP="00DD60F2">
            <w:pPr>
              <w:spacing w:after="0" w:line="240" w:lineRule="auto"/>
              <w:jc w:val="both"/>
              <w:rPr>
                <w:sz w:val="18"/>
                <w:szCs w:val="18"/>
                <w:lang w:val="en-US"/>
              </w:rPr>
            </w:pPr>
            <w:r w:rsidRPr="00A86393">
              <w:rPr>
                <w:sz w:val="18"/>
                <w:szCs w:val="18"/>
                <w:lang w:val="en-US"/>
              </w:rPr>
              <w:t>Strategic Axis N°11: Improving knowledge, monitoring of territories and continuous surveillance of the national space</w:t>
            </w:r>
          </w:p>
          <w:p w14:paraId="00000202" w14:textId="77777777" w:rsidR="004F7DB3" w:rsidRPr="00CD72B6" w:rsidRDefault="130D72FF" w:rsidP="40E7FE84">
            <w:pPr>
              <w:numPr>
                <w:ilvl w:val="0"/>
                <w:numId w:val="163"/>
              </w:numPr>
              <w:spacing w:after="0" w:line="240" w:lineRule="auto"/>
              <w:jc w:val="both"/>
              <w:rPr>
                <w:sz w:val="18"/>
                <w:szCs w:val="18"/>
                <w:lang w:val="en-US"/>
              </w:rPr>
            </w:pPr>
            <w:r w:rsidRPr="00CD72B6">
              <w:rPr>
                <w:sz w:val="18"/>
                <w:szCs w:val="18"/>
                <w:lang w:val="en-US"/>
              </w:rPr>
              <w:t>creation and operationalization of an Observatory of Territorial Analysis (studies, monitoring of development and planning issues, constitution of databases and projects</w:t>
            </w:r>
            <w:proofErr w:type="gramStart"/>
            <w:r w:rsidRPr="00CD72B6">
              <w:rPr>
                <w:sz w:val="18"/>
                <w:szCs w:val="18"/>
                <w:lang w:val="en-US"/>
              </w:rPr>
              <w:t>);</w:t>
            </w:r>
            <w:proofErr w:type="gramEnd"/>
          </w:p>
          <w:p w14:paraId="00000203" w14:textId="77777777" w:rsidR="004F7DB3" w:rsidRPr="00A86393" w:rsidRDefault="552CE4D7" w:rsidP="001360BB">
            <w:pPr>
              <w:numPr>
                <w:ilvl w:val="0"/>
                <w:numId w:val="163"/>
              </w:numPr>
              <w:spacing w:after="0" w:line="240" w:lineRule="auto"/>
              <w:jc w:val="both"/>
              <w:rPr>
                <w:sz w:val="18"/>
                <w:szCs w:val="18"/>
                <w:lang w:val="en-US"/>
              </w:rPr>
            </w:pPr>
            <w:r w:rsidRPr="5D8904BE">
              <w:rPr>
                <w:sz w:val="18"/>
                <w:szCs w:val="18"/>
                <w:lang w:val="en-US"/>
              </w:rPr>
              <w:t xml:space="preserve">carrying out the additional studies necessary for an in-depth knowledge of the national </w:t>
            </w:r>
            <w:proofErr w:type="gramStart"/>
            <w:r w:rsidRPr="5D8904BE">
              <w:rPr>
                <w:sz w:val="18"/>
                <w:szCs w:val="18"/>
                <w:lang w:val="en-US"/>
              </w:rPr>
              <w:t>territory;</w:t>
            </w:r>
            <w:proofErr w:type="gramEnd"/>
          </w:p>
          <w:p w14:paraId="00000204" w14:textId="77777777" w:rsidR="004F7DB3" w:rsidRPr="00A86393" w:rsidRDefault="552CE4D7" w:rsidP="001360BB">
            <w:pPr>
              <w:numPr>
                <w:ilvl w:val="0"/>
                <w:numId w:val="163"/>
              </w:numPr>
              <w:spacing w:after="0" w:line="240" w:lineRule="auto"/>
              <w:jc w:val="both"/>
              <w:rPr>
                <w:sz w:val="18"/>
                <w:szCs w:val="18"/>
                <w:lang w:val="en-US"/>
              </w:rPr>
            </w:pPr>
            <w:r w:rsidRPr="5D8904BE">
              <w:rPr>
                <w:sz w:val="18"/>
                <w:szCs w:val="18"/>
                <w:lang w:val="en-US"/>
              </w:rPr>
              <w:t xml:space="preserve">submission of projects relating to development and land use planning to impact </w:t>
            </w:r>
            <w:proofErr w:type="gramStart"/>
            <w:r w:rsidRPr="5D8904BE">
              <w:rPr>
                <w:sz w:val="18"/>
                <w:szCs w:val="18"/>
                <w:lang w:val="en-US"/>
              </w:rPr>
              <w:t>assessments;</w:t>
            </w:r>
            <w:proofErr w:type="gramEnd"/>
          </w:p>
          <w:p w14:paraId="00000205" w14:textId="77777777" w:rsidR="004F7DB3" w:rsidRPr="00A86393" w:rsidRDefault="00C00123" w:rsidP="001360BB">
            <w:pPr>
              <w:numPr>
                <w:ilvl w:val="0"/>
                <w:numId w:val="163"/>
              </w:numPr>
              <w:spacing w:after="0" w:line="240" w:lineRule="auto"/>
              <w:jc w:val="both"/>
              <w:rPr>
                <w:sz w:val="18"/>
                <w:szCs w:val="18"/>
                <w:lang w:val="en-US"/>
              </w:rPr>
            </w:pPr>
            <w:r w:rsidRPr="00A86393">
              <w:rPr>
                <w:sz w:val="18"/>
                <w:szCs w:val="18"/>
                <w:lang w:val="en-US"/>
              </w:rPr>
              <w:t xml:space="preserve">revitalization of the monitoring and evaluation system for development </w:t>
            </w:r>
            <w:proofErr w:type="gramStart"/>
            <w:r w:rsidRPr="00A86393">
              <w:rPr>
                <w:sz w:val="18"/>
                <w:szCs w:val="18"/>
                <w:lang w:val="en-US"/>
              </w:rPr>
              <w:t>actions;</w:t>
            </w:r>
            <w:proofErr w:type="gramEnd"/>
          </w:p>
          <w:p w14:paraId="00000206" w14:textId="77777777" w:rsidR="004F7DB3" w:rsidRPr="00A86393" w:rsidRDefault="00C00123" w:rsidP="001360BB">
            <w:pPr>
              <w:numPr>
                <w:ilvl w:val="0"/>
                <w:numId w:val="163"/>
              </w:numPr>
              <w:spacing w:after="0" w:line="240" w:lineRule="auto"/>
              <w:jc w:val="both"/>
              <w:rPr>
                <w:sz w:val="18"/>
                <w:szCs w:val="18"/>
                <w:lang w:val="en-US"/>
              </w:rPr>
            </w:pPr>
            <w:r w:rsidRPr="00A86393">
              <w:rPr>
                <w:sz w:val="18"/>
                <w:szCs w:val="18"/>
                <w:lang w:val="en-US"/>
              </w:rPr>
              <w:t>Advocacy to strengthen statistical production structures.</w:t>
            </w:r>
          </w:p>
        </w:tc>
      </w:tr>
      <w:tr w:rsidR="004F7DB3" w:rsidRPr="00F50786" w14:paraId="4477F7DE" w14:textId="77777777" w:rsidTr="13C5956C">
        <w:trPr>
          <w:trHeight w:val="300"/>
          <w:jc w:val="center"/>
        </w:trPr>
        <w:tc>
          <w:tcPr>
            <w:tcW w:w="1170" w:type="dxa"/>
            <w:tcBorders>
              <w:top w:val="single" w:sz="4" w:space="0" w:color="000000" w:themeColor="text1"/>
              <w:bottom w:val="single" w:sz="4" w:space="0" w:color="000000" w:themeColor="text1"/>
            </w:tcBorders>
          </w:tcPr>
          <w:p w14:paraId="00000207" w14:textId="77777777" w:rsidR="004F7DB3" w:rsidRPr="00A86393" w:rsidRDefault="004F7DB3" w:rsidP="00DD60F2">
            <w:pPr>
              <w:spacing w:after="0" w:line="240" w:lineRule="auto"/>
              <w:jc w:val="both"/>
              <w:rPr>
                <w:sz w:val="18"/>
                <w:szCs w:val="18"/>
                <w:lang w:val="en-US"/>
              </w:rPr>
            </w:pPr>
          </w:p>
        </w:tc>
        <w:tc>
          <w:tcPr>
            <w:tcW w:w="1920" w:type="dxa"/>
            <w:tcBorders>
              <w:top w:val="single" w:sz="5" w:space="0" w:color="C9C9C9"/>
              <w:bottom w:val="single" w:sz="4" w:space="0" w:color="000000" w:themeColor="text1"/>
            </w:tcBorders>
          </w:tcPr>
          <w:p w14:paraId="00000208" w14:textId="5B8C7EE2" w:rsidR="004F7DB3" w:rsidRPr="00A86393" w:rsidRDefault="3EE7157C" w:rsidP="00DD60F2">
            <w:pPr>
              <w:pBdr>
                <w:top w:val="nil"/>
                <w:left w:val="nil"/>
                <w:bottom w:val="nil"/>
                <w:right w:val="nil"/>
                <w:between w:val="nil"/>
              </w:pBdr>
              <w:spacing w:after="0" w:line="240" w:lineRule="auto"/>
              <w:rPr>
                <w:sz w:val="18"/>
                <w:szCs w:val="18"/>
                <w:lang w:val="en-US"/>
              </w:rPr>
            </w:pPr>
            <w:r w:rsidRPr="37FF86E9">
              <w:rPr>
                <w:sz w:val="18"/>
                <w:szCs w:val="18"/>
                <w:lang w:val="en-US"/>
              </w:rPr>
              <w:t xml:space="preserve">National Spatial Planning Scheme </w:t>
            </w:r>
            <w:r w:rsidR="5A4FF5F0" w:rsidRPr="37FF86E9">
              <w:rPr>
                <w:sz w:val="18"/>
                <w:szCs w:val="18"/>
                <w:lang w:val="en-US"/>
              </w:rPr>
              <w:t>(NSPS</w:t>
            </w:r>
            <w:r w:rsidRPr="37FF86E9">
              <w:rPr>
                <w:sz w:val="18"/>
                <w:szCs w:val="18"/>
                <w:lang w:val="en-US"/>
              </w:rPr>
              <w:t>)</w:t>
            </w:r>
          </w:p>
        </w:tc>
        <w:tc>
          <w:tcPr>
            <w:tcW w:w="10513" w:type="dxa"/>
            <w:tcBorders>
              <w:top w:val="single" w:sz="5" w:space="0" w:color="C9C9C9"/>
              <w:bottom w:val="single" w:sz="4" w:space="0" w:color="000000" w:themeColor="text1"/>
            </w:tcBorders>
          </w:tcPr>
          <w:p w14:paraId="00000209" w14:textId="274E9E37" w:rsidR="004F7DB3" w:rsidRPr="00A86393" w:rsidRDefault="6DEC1BA7" w:rsidP="00DD60F2">
            <w:pPr>
              <w:spacing w:after="240" w:line="240" w:lineRule="auto"/>
              <w:jc w:val="both"/>
              <w:rPr>
                <w:sz w:val="18"/>
                <w:szCs w:val="18"/>
                <w:lang w:val="en-US"/>
              </w:rPr>
            </w:pPr>
            <w:r w:rsidRPr="5D8904BE">
              <w:rPr>
                <w:sz w:val="18"/>
                <w:szCs w:val="18"/>
                <w:lang w:val="en-US"/>
              </w:rPr>
              <w:t xml:space="preserve">The </w:t>
            </w:r>
            <w:r w:rsidR="73DE0590" w:rsidRPr="5D8904BE">
              <w:rPr>
                <w:sz w:val="18"/>
                <w:szCs w:val="18"/>
                <w:lang w:val="en-US"/>
              </w:rPr>
              <w:t xml:space="preserve">NSPS </w:t>
            </w:r>
            <w:r w:rsidR="5FABD050" w:rsidRPr="5D8904BE">
              <w:rPr>
                <w:sz w:val="18"/>
                <w:szCs w:val="18"/>
                <w:lang w:val="en-US"/>
              </w:rPr>
              <w:t xml:space="preserve">was </w:t>
            </w:r>
            <w:r w:rsidRPr="5D8904BE">
              <w:rPr>
                <w:sz w:val="18"/>
                <w:szCs w:val="18"/>
                <w:lang w:val="en-US"/>
              </w:rPr>
              <w:t xml:space="preserve">developed in 2022 for the 2024 horizon and </w:t>
            </w:r>
            <w:r w:rsidR="7599447E" w:rsidRPr="5D8904BE">
              <w:rPr>
                <w:sz w:val="18"/>
                <w:szCs w:val="18"/>
                <w:lang w:val="en-US"/>
              </w:rPr>
              <w:t xml:space="preserve">was </w:t>
            </w:r>
            <w:r w:rsidRPr="5D8904BE">
              <w:rPr>
                <w:sz w:val="18"/>
                <w:szCs w:val="18"/>
                <w:lang w:val="en-US"/>
              </w:rPr>
              <w:t xml:space="preserve">the first higher level of implementation of the </w:t>
            </w:r>
            <w:r w:rsidR="36C7D2A3" w:rsidRPr="5D8904BE">
              <w:rPr>
                <w:sz w:val="18"/>
                <w:szCs w:val="18"/>
                <w:lang w:val="en-US"/>
              </w:rPr>
              <w:t xml:space="preserve">NSPS </w:t>
            </w:r>
            <w:r w:rsidRPr="5D8904BE">
              <w:rPr>
                <w:sz w:val="18"/>
                <w:szCs w:val="18"/>
                <w:lang w:val="en-US"/>
              </w:rPr>
              <w:t>adopted for the period 20216-2025. The District's Territorial Development Plan was drawn up but not validated. While its Urban Master Plan has been in force since 1995 and the Sectoral Urban Plans of the Municipalities of the District which were almost all drawn up in 2010 but not approved. As a result, urban development in the District of Bamako, including its six communes, is not based on a specific up-to-date official planning tool. Therefore, the existence of many identified challenges, each as intense as the next, is largely justified.</w:t>
            </w:r>
          </w:p>
          <w:p w14:paraId="0000020A" w14:textId="1BF957F3" w:rsidR="004F7DB3" w:rsidRPr="00A86393" w:rsidRDefault="475526FC" w:rsidP="00DD60F2">
            <w:pPr>
              <w:spacing w:after="0" w:line="240" w:lineRule="auto"/>
              <w:jc w:val="both"/>
              <w:rPr>
                <w:sz w:val="18"/>
                <w:szCs w:val="18"/>
                <w:lang w:val="en-US"/>
              </w:rPr>
            </w:pPr>
            <w:r w:rsidRPr="5D8904BE">
              <w:rPr>
                <w:sz w:val="18"/>
                <w:szCs w:val="18"/>
                <w:lang w:val="en-US"/>
              </w:rPr>
              <w:t>Under these conditions, and pending the future development of a</w:t>
            </w:r>
            <w:r w:rsidR="369FE46C" w:rsidRPr="5D8904BE">
              <w:rPr>
                <w:sz w:val="18"/>
                <w:szCs w:val="18"/>
                <w:lang w:val="en-US"/>
              </w:rPr>
              <w:t>n urban master plan</w:t>
            </w:r>
            <w:r w:rsidRPr="5D8904BE">
              <w:rPr>
                <w:sz w:val="18"/>
                <w:szCs w:val="18"/>
                <w:lang w:val="en-US"/>
              </w:rPr>
              <w:t xml:space="preserve"> </w:t>
            </w:r>
            <w:r w:rsidR="091535B3" w:rsidRPr="5D8904BE">
              <w:rPr>
                <w:sz w:val="18"/>
                <w:szCs w:val="18"/>
                <w:lang w:val="en-US"/>
              </w:rPr>
              <w:t xml:space="preserve"> </w:t>
            </w:r>
            <w:r w:rsidRPr="5D8904BE">
              <w:rPr>
                <w:sz w:val="18"/>
                <w:szCs w:val="18"/>
                <w:lang w:val="en-US"/>
              </w:rPr>
              <w:t xml:space="preserve">for the District and a Zone Scheme for the Greater Bamako Metropolis, the design of the Bamako Sustainable Integrated Urban Development Project is underway, basing its urban planning on coherence with the SNAT, the prospects for the development of the new Bamako SDU (for which the recruitment of a Consultant is underway) and the new Greater Bamako Zone Scheme,  and other existing urban policies, strategies and projects. Thus, the </w:t>
            </w:r>
            <w:r w:rsidR="4A64F770" w:rsidRPr="5D8904BE">
              <w:rPr>
                <w:sz w:val="18"/>
                <w:szCs w:val="18"/>
                <w:lang w:val="en-US"/>
              </w:rPr>
              <w:t xml:space="preserve">GEF-8 </w:t>
            </w:r>
            <w:r w:rsidRPr="5D8904BE">
              <w:rPr>
                <w:sz w:val="18"/>
                <w:szCs w:val="18"/>
                <w:lang w:val="en-US"/>
              </w:rPr>
              <w:t>Bamako Sustainable Cit</w:t>
            </w:r>
            <w:r w:rsidR="25E2EA10" w:rsidRPr="5D8904BE">
              <w:rPr>
                <w:sz w:val="18"/>
                <w:szCs w:val="18"/>
                <w:lang w:val="en-US"/>
              </w:rPr>
              <w:t xml:space="preserve">ies Integrated </w:t>
            </w:r>
            <w:proofErr w:type="spellStart"/>
            <w:r w:rsidR="25E2EA10" w:rsidRPr="5D8904BE">
              <w:rPr>
                <w:sz w:val="18"/>
                <w:szCs w:val="18"/>
                <w:lang w:val="en-US"/>
              </w:rPr>
              <w:t>Programme</w:t>
            </w:r>
            <w:proofErr w:type="spellEnd"/>
            <w:r w:rsidRPr="5D8904BE">
              <w:rPr>
                <w:sz w:val="18"/>
                <w:szCs w:val="18"/>
                <w:lang w:val="en-US"/>
              </w:rPr>
              <w:t xml:space="preserve"> </w:t>
            </w:r>
            <w:r w:rsidR="5E2331B2" w:rsidRPr="5D8904BE">
              <w:rPr>
                <w:sz w:val="18"/>
                <w:szCs w:val="18"/>
                <w:lang w:val="en-US"/>
              </w:rPr>
              <w:t xml:space="preserve">project </w:t>
            </w:r>
            <w:r w:rsidRPr="5D8904BE">
              <w:rPr>
                <w:sz w:val="18"/>
                <w:szCs w:val="18"/>
                <w:lang w:val="en-US"/>
              </w:rPr>
              <w:t xml:space="preserve">supports its coherence and inclusiveness with the SNAT structured in four (4) strategic orientations and eleven (11) global objectives with lines of action, as follows: </w:t>
            </w:r>
          </w:p>
          <w:p w14:paraId="0000020B" w14:textId="77777777" w:rsidR="004F7DB3" w:rsidRPr="00A86393" w:rsidRDefault="004F7DB3" w:rsidP="00DD60F2">
            <w:pPr>
              <w:spacing w:after="0" w:line="240" w:lineRule="auto"/>
              <w:jc w:val="both"/>
              <w:rPr>
                <w:sz w:val="18"/>
                <w:szCs w:val="18"/>
                <w:lang w:val="en-US"/>
              </w:rPr>
            </w:pPr>
          </w:p>
          <w:p w14:paraId="0000020C" w14:textId="77777777" w:rsidR="004F7DB3" w:rsidRPr="00A86393" w:rsidRDefault="552CE4D7" w:rsidP="00DD60F2">
            <w:pPr>
              <w:spacing w:after="0" w:line="240" w:lineRule="auto"/>
              <w:jc w:val="both"/>
              <w:rPr>
                <w:sz w:val="18"/>
                <w:szCs w:val="18"/>
                <w:lang w:val="en-US"/>
              </w:rPr>
            </w:pPr>
            <w:r w:rsidRPr="5D8904BE">
              <w:rPr>
                <w:sz w:val="18"/>
                <w:szCs w:val="18"/>
                <w:lang w:val="en-US"/>
              </w:rPr>
              <w:t xml:space="preserve">Strategic orientation 1: make the </w:t>
            </w:r>
            <w:proofErr w:type="spellStart"/>
            <w:r w:rsidRPr="5D8904BE">
              <w:rPr>
                <w:sz w:val="18"/>
                <w:szCs w:val="18"/>
                <w:lang w:val="en-US"/>
              </w:rPr>
              <w:t>territorialisation</w:t>
            </w:r>
            <w:proofErr w:type="spellEnd"/>
            <w:r w:rsidRPr="5D8904BE">
              <w:rPr>
                <w:sz w:val="18"/>
                <w:szCs w:val="18"/>
                <w:lang w:val="en-US"/>
              </w:rPr>
              <w:t xml:space="preserve"> of public policies the heart of the regional development strategy</w:t>
            </w:r>
          </w:p>
          <w:p w14:paraId="0000020D" w14:textId="77777777" w:rsidR="004F7DB3" w:rsidRPr="00A86393" w:rsidRDefault="00C00123" w:rsidP="001360BB">
            <w:pPr>
              <w:numPr>
                <w:ilvl w:val="0"/>
                <w:numId w:val="201"/>
              </w:numPr>
              <w:spacing w:after="0" w:line="240" w:lineRule="auto"/>
              <w:jc w:val="both"/>
              <w:rPr>
                <w:sz w:val="18"/>
                <w:szCs w:val="18"/>
                <w:lang w:val="en-US"/>
              </w:rPr>
            </w:pPr>
            <w:r w:rsidRPr="00A86393">
              <w:rPr>
                <w:sz w:val="18"/>
                <w:szCs w:val="18"/>
                <w:lang w:val="en-US"/>
              </w:rPr>
              <w:t xml:space="preserve">Make inter-community and cross-border cooperation a tool for territorial </w:t>
            </w:r>
            <w:proofErr w:type="gramStart"/>
            <w:r w:rsidRPr="00A86393">
              <w:rPr>
                <w:sz w:val="18"/>
                <w:szCs w:val="18"/>
                <w:lang w:val="en-US"/>
              </w:rPr>
              <w:t>development;</w:t>
            </w:r>
            <w:proofErr w:type="gramEnd"/>
          </w:p>
          <w:p w14:paraId="0000020E" w14:textId="77777777" w:rsidR="004F7DB3" w:rsidRPr="00A86393" w:rsidRDefault="00C00123" w:rsidP="001360BB">
            <w:pPr>
              <w:numPr>
                <w:ilvl w:val="0"/>
                <w:numId w:val="201"/>
              </w:numPr>
              <w:spacing w:after="0" w:line="240" w:lineRule="auto"/>
              <w:jc w:val="both"/>
              <w:rPr>
                <w:sz w:val="18"/>
                <w:szCs w:val="18"/>
                <w:lang w:val="en-US"/>
              </w:rPr>
            </w:pPr>
            <w:r w:rsidRPr="00A86393">
              <w:rPr>
                <w:sz w:val="18"/>
                <w:szCs w:val="18"/>
                <w:lang w:val="en-US"/>
              </w:rPr>
              <w:t xml:space="preserve">Promote territorial governance, by strengthening traditional coordination and regulatory frameworks for better social </w:t>
            </w:r>
            <w:proofErr w:type="gramStart"/>
            <w:r w:rsidRPr="00A86393">
              <w:rPr>
                <w:sz w:val="18"/>
                <w:szCs w:val="18"/>
                <w:lang w:val="en-US"/>
              </w:rPr>
              <w:t>cohesion;</w:t>
            </w:r>
            <w:proofErr w:type="gramEnd"/>
          </w:p>
          <w:p w14:paraId="0000020F" w14:textId="77777777" w:rsidR="004F7DB3" w:rsidRPr="00A86393" w:rsidRDefault="00C00123" w:rsidP="001360BB">
            <w:pPr>
              <w:numPr>
                <w:ilvl w:val="0"/>
                <w:numId w:val="201"/>
              </w:numPr>
              <w:spacing w:after="0" w:line="240" w:lineRule="auto"/>
              <w:jc w:val="both"/>
              <w:rPr>
                <w:sz w:val="18"/>
                <w:szCs w:val="18"/>
                <w:lang w:val="en-US"/>
              </w:rPr>
            </w:pPr>
            <w:r w:rsidRPr="00A86393">
              <w:rPr>
                <w:sz w:val="18"/>
                <w:szCs w:val="18"/>
                <w:lang w:val="en-US"/>
              </w:rPr>
              <w:t>Fight against gender-based violence and promote the self-employment of women and young people.</w:t>
            </w:r>
          </w:p>
          <w:p w14:paraId="00000210" w14:textId="2C1DEC56" w:rsidR="004F7DB3" w:rsidRPr="00A86393" w:rsidRDefault="2809ADD6" w:rsidP="00DD60F2">
            <w:pPr>
              <w:spacing w:before="240" w:after="0" w:line="240" w:lineRule="auto"/>
              <w:jc w:val="both"/>
              <w:rPr>
                <w:sz w:val="18"/>
                <w:szCs w:val="18"/>
                <w:lang w:val="en-US"/>
              </w:rPr>
            </w:pPr>
            <w:r w:rsidRPr="00A86393">
              <w:rPr>
                <w:sz w:val="18"/>
                <w:szCs w:val="18"/>
                <w:lang w:val="en-US"/>
              </w:rPr>
              <w:t xml:space="preserve">The coherence of the </w:t>
            </w:r>
            <w:r w:rsidR="37147B3E" w:rsidRPr="00A86393">
              <w:rPr>
                <w:sz w:val="18"/>
                <w:szCs w:val="18"/>
                <w:lang w:val="en-US"/>
              </w:rPr>
              <w:t xml:space="preserve">GEF-8 </w:t>
            </w:r>
            <w:r w:rsidRPr="00A86393">
              <w:rPr>
                <w:sz w:val="18"/>
                <w:szCs w:val="18"/>
                <w:lang w:val="en-US"/>
              </w:rPr>
              <w:t xml:space="preserve">Bamako Sustainable City </w:t>
            </w:r>
            <w:r w:rsidR="5FFFDBFB" w:rsidRPr="00A86393">
              <w:rPr>
                <w:sz w:val="18"/>
                <w:szCs w:val="18"/>
                <w:lang w:val="en-US"/>
              </w:rPr>
              <w:t xml:space="preserve">project </w:t>
            </w:r>
            <w:r w:rsidRPr="00A86393">
              <w:rPr>
                <w:sz w:val="18"/>
                <w:szCs w:val="18"/>
                <w:lang w:val="en-US"/>
              </w:rPr>
              <w:t xml:space="preserve">lies in the anchoring it offers to the development of intersectoral or inter-community development actions or projects between the future single territory of Bamako and the territories of the Greater Bamako Metropolis, </w:t>
            </w:r>
            <w:proofErr w:type="gramStart"/>
            <w:r w:rsidRPr="00A86393">
              <w:rPr>
                <w:sz w:val="18"/>
                <w:szCs w:val="18"/>
                <w:lang w:val="en-US"/>
              </w:rPr>
              <w:t>in particular for</w:t>
            </w:r>
            <w:proofErr w:type="gramEnd"/>
            <w:r w:rsidRPr="00A86393">
              <w:rPr>
                <w:sz w:val="18"/>
                <w:szCs w:val="18"/>
                <w:lang w:val="en-US"/>
              </w:rPr>
              <w:t xml:space="preserve"> the protection and enhancement of resources (land, water, forests, etc.) and services (urban logistics).</w:t>
            </w:r>
          </w:p>
          <w:p w14:paraId="00000211" w14:textId="77777777" w:rsidR="004F7DB3" w:rsidRPr="00A86393" w:rsidRDefault="2809ADD6" w:rsidP="00DD60F2">
            <w:pPr>
              <w:spacing w:before="240" w:after="0" w:line="240" w:lineRule="auto"/>
              <w:jc w:val="both"/>
              <w:rPr>
                <w:sz w:val="18"/>
                <w:szCs w:val="18"/>
                <w:lang w:val="en-US"/>
              </w:rPr>
            </w:pPr>
            <w:r w:rsidRPr="00A86393">
              <w:rPr>
                <w:sz w:val="18"/>
                <w:szCs w:val="18"/>
                <w:lang w:val="en-US"/>
              </w:rPr>
              <w:t xml:space="preserve">Strategic orientation 2: ensure a territorial network capable of supporting the development poles – ensure equipment and infrastructure everywhere </w:t>
            </w:r>
          </w:p>
          <w:p w14:paraId="00000212" w14:textId="77777777" w:rsidR="004F7DB3" w:rsidRPr="00A86393" w:rsidRDefault="00C00123" w:rsidP="001360BB">
            <w:pPr>
              <w:numPr>
                <w:ilvl w:val="0"/>
                <w:numId w:val="193"/>
              </w:numPr>
              <w:spacing w:after="0" w:line="240" w:lineRule="auto"/>
              <w:jc w:val="both"/>
              <w:rPr>
                <w:sz w:val="18"/>
                <w:szCs w:val="18"/>
                <w:lang w:val="en-US"/>
              </w:rPr>
            </w:pPr>
            <w:r w:rsidRPr="00A86393">
              <w:rPr>
                <w:sz w:val="18"/>
                <w:szCs w:val="18"/>
                <w:lang w:val="en-US"/>
              </w:rPr>
              <w:t xml:space="preserve">Promote a balanced urban network to bring out structuring </w:t>
            </w:r>
            <w:proofErr w:type="gramStart"/>
            <w:r w:rsidRPr="00A86393">
              <w:rPr>
                <w:sz w:val="18"/>
                <w:szCs w:val="18"/>
                <w:lang w:val="en-US"/>
              </w:rPr>
              <w:t>poles;</w:t>
            </w:r>
            <w:proofErr w:type="gramEnd"/>
          </w:p>
          <w:p w14:paraId="00000213" w14:textId="77777777" w:rsidR="004F7DB3" w:rsidRPr="00A86393" w:rsidRDefault="00C00123" w:rsidP="001360BB">
            <w:pPr>
              <w:numPr>
                <w:ilvl w:val="0"/>
                <w:numId w:val="193"/>
              </w:numPr>
              <w:spacing w:after="0" w:line="240" w:lineRule="auto"/>
              <w:jc w:val="both"/>
              <w:rPr>
                <w:sz w:val="18"/>
                <w:szCs w:val="18"/>
                <w:lang w:val="en-US"/>
              </w:rPr>
            </w:pPr>
            <w:r w:rsidRPr="00A86393">
              <w:rPr>
                <w:sz w:val="18"/>
                <w:szCs w:val="18"/>
                <w:lang w:val="en-US"/>
              </w:rPr>
              <w:lastRenderedPageBreak/>
              <w:t xml:space="preserve">Make urban planning a tool for the development and improvement of the living </w:t>
            </w:r>
            <w:proofErr w:type="gramStart"/>
            <w:r w:rsidRPr="00A86393">
              <w:rPr>
                <w:sz w:val="18"/>
                <w:szCs w:val="18"/>
                <w:lang w:val="en-US"/>
              </w:rPr>
              <w:t>environment;</w:t>
            </w:r>
            <w:proofErr w:type="gramEnd"/>
          </w:p>
          <w:p w14:paraId="00000214" w14:textId="77777777" w:rsidR="004F7DB3" w:rsidRPr="00A86393" w:rsidRDefault="552CE4D7" w:rsidP="001360BB">
            <w:pPr>
              <w:numPr>
                <w:ilvl w:val="0"/>
                <w:numId w:val="193"/>
              </w:numPr>
              <w:spacing w:after="0" w:line="240" w:lineRule="auto"/>
              <w:jc w:val="both"/>
              <w:rPr>
                <w:sz w:val="18"/>
                <w:szCs w:val="18"/>
                <w:lang w:val="en-US"/>
              </w:rPr>
            </w:pPr>
            <w:r w:rsidRPr="5D8904BE">
              <w:rPr>
                <w:sz w:val="18"/>
                <w:szCs w:val="18"/>
                <w:lang w:val="en-US"/>
              </w:rPr>
              <w:t>To promote a real complementarity between cities and countryside.</w:t>
            </w:r>
          </w:p>
          <w:p w14:paraId="00000215" w14:textId="3941DDE7" w:rsidR="004F7DB3" w:rsidRPr="00A86393" w:rsidRDefault="6DEC1BA7" w:rsidP="00DD60F2">
            <w:pPr>
              <w:spacing w:before="240" w:after="0" w:line="240" w:lineRule="auto"/>
              <w:jc w:val="both"/>
              <w:rPr>
                <w:sz w:val="18"/>
                <w:szCs w:val="18"/>
                <w:lang w:val="en-US"/>
              </w:rPr>
            </w:pPr>
            <w:r w:rsidRPr="5D8904BE">
              <w:rPr>
                <w:sz w:val="18"/>
                <w:szCs w:val="18"/>
                <w:lang w:val="en-US"/>
              </w:rPr>
              <w:t xml:space="preserve">The </w:t>
            </w:r>
            <w:r w:rsidR="3EE73405" w:rsidRPr="5D8904BE">
              <w:rPr>
                <w:sz w:val="18"/>
                <w:szCs w:val="18"/>
                <w:lang w:val="en-US"/>
              </w:rPr>
              <w:t xml:space="preserve">GEF-8 child project </w:t>
            </w:r>
            <w:r w:rsidRPr="5D8904BE">
              <w:rPr>
                <w:sz w:val="18"/>
                <w:szCs w:val="18"/>
                <w:lang w:val="en-US"/>
              </w:rPr>
              <w:t xml:space="preserve">supports polycentric planning of the city, </w:t>
            </w:r>
            <w:proofErr w:type="gramStart"/>
            <w:r w:rsidRPr="5D8904BE">
              <w:rPr>
                <w:sz w:val="18"/>
                <w:szCs w:val="18"/>
                <w:lang w:val="en-US"/>
              </w:rPr>
              <w:t>in particular through</w:t>
            </w:r>
            <w:proofErr w:type="gramEnd"/>
            <w:r w:rsidRPr="5D8904BE">
              <w:rPr>
                <w:sz w:val="18"/>
                <w:szCs w:val="18"/>
                <w:lang w:val="en-US"/>
              </w:rPr>
              <w:t xml:space="preserve"> better land use in Bamako and Greater Bamako, while promoting the improvement of the living environment in old or precarious </w:t>
            </w:r>
            <w:proofErr w:type="spellStart"/>
            <w:r w:rsidRPr="5D8904BE">
              <w:rPr>
                <w:sz w:val="18"/>
                <w:szCs w:val="18"/>
                <w:lang w:val="en-US"/>
              </w:rPr>
              <w:t>neighbourhoods</w:t>
            </w:r>
            <w:proofErr w:type="spellEnd"/>
            <w:r w:rsidRPr="5D8904BE">
              <w:rPr>
                <w:sz w:val="18"/>
                <w:szCs w:val="18"/>
                <w:lang w:val="en-US"/>
              </w:rPr>
              <w:t>.</w:t>
            </w:r>
          </w:p>
          <w:p w14:paraId="00000216" w14:textId="63E4EAB8" w:rsidR="004F7DB3" w:rsidRPr="00A86393" w:rsidRDefault="6DEC1BA7" w:rsidP="00DD60F2">
            <w:pPr>
              <w:spacing w:before="240" w:after="0" w:line="240" w:lineRule="auto"/>
              <w:jc w:val="both"/>
              <w:rPr>
                <w:sz w:val="18"/>
                <w:szCs w:val="18"/>
                <w:lang w:val="en-US"/>
              </w:rPr>
            </w:pPr>
            <w:r w:rsidRPr="5D8904BE">
              <w:rPr>
                <w:sz w:val="18"/>
                <w:szCs w:val="18"/>
                <w:lang w:val="en-US"/>
              </w:rPr>
              <w:t xml:space="preserve">Strategic </w:t>
            </w:r>
            <w:r w:rsidR="32A42EC3" w:rsidRPr="5D8904BE">
              <w:rPr>
                <w:sz w:val="18"/>
                <w:szCs w:val="18"/>
                <w:lang w:val="en-US"/>
              </w:rPr>
              <w:t>orientation</w:t>
            </w:r>
            <w:r w:rsidRPr="5D8904BE">
              <w:rPr>
                <w:sz w:val="18"/>
                <w:szCs w:val="18"/>
                <w:lang w:val="en-US"/>
              </w:rPr>
              <w:t xml:space="preserve"> 3: Promoting the </w:t>
            </w:r>
            <w:proofErr w:type="spellStart"/>
            <w:r w:rsidRPr="5D8904BE">
              <w:rPr>
                <w:sz w:val="18"/>
                <w:szCs w:val="18"/>
                <w:lang w:val="en-US"/>
              </w:rPr>
              <w:t>modernisation</w:t>
            </w:r>
            <w:proofErr w:type="spellEnd"/>
            <w:r w:rsidRPr="5D8904BE">
              <w:rPr>
                <w:sz w:val="18"/>
                <w:szCs w:val="18"/>
                <w:lang w:val="en-US"/>
              </w:rPr>
              <w:t xml:space="preserve"> and competitiveness of the economy</w:t>
            </w:r>
          </w:p>
          <w:p w14:paraId="00000217" w14:textId="77777777" w:rsidR="004F7DB3" w:rsidRPr="00A86393" w:rsidRDefault="00C00123" w:rsidP="001360BB">
            <w:pPr>
              <w:numPr>
                <w:ilvl w:val="0"/>
                <w:numId w:val="183"/>
              </w:numPr>
              <w:spacing w:after="0" w:line="240" w:lineRule="auto"/>
              <w:jc w:val="both"/>
              <w:rPr>
                <w:sz w:val="18"/>
                <w:szCs w:val="18"/>
                <w:lang w:val="en-US"/>
              </w:rPr>
            </w:pPr>
            <w:r w:rsidRPr="00A86393">
              <w:rPr>
                <w:sz w:val="18"/>
                <w:szCs w:val="18"/>
                <w:lang w:val="en-US"/>
              </w:rPr>
              <w:t xml:space="preserve">Promote the development of agricultural sectors with substantial </w:t>
            </w:r>
            <w:proofErr w:type="gramStart"/>
            <w:r w:rsidRPr="00A86393">
              <w:rPr>
                <w:sz w:val="18"/>
                <w:szCs w:val="18"/>
                <w:lang w:val="en-US"/>
              </w:rPr>
              <w:t>investments;</w:t>
            </w:r>
            <w:proofErr w:type="gramEnd"/>
          </w:p>
          <w:p w14:paraId="00000218" w14:textId="5F9E7158" w:rsidR="004F7DB3" w:rsidRPr="00A86393" w:rsidRDefault="2809ADD6" w:rsidP="001360BB">
            <w:pPr>
              <w:numPr>
                <w:ilvl w:val="0"/>
                <w:numId w:val="183"/>
              </w:numPr>
              <w:spacing w:after="0" w:line="240" w:lineRule="auto"/>
              <w:jc w:val="both"/>
              <w:rPr>
                <w:sz w:val="18"/>
                <w:szCs w:val="18"/>
                <w:lang w:val="en-US"/>
              </w:rPr>
            </w:pPr>
            <w:r w:rsidRPr="00A86393">
              <w:rPr>
                <w:sz w:val="18"/>
                <w:szCs w:val="18"/>
                <w:lang w:val="en-US"/>
              </w:rPr>
              <w:t xml:space="preserve">Improving fish </w:t>
            </w:r>
            <w:r w:rsidR="1FEC218C" w:rsidRPr="00A86393">
              <w:rPr>
                <w:sz w:val="18"/>
                <w:szCs w:val="18"/>
                <w:lang w:val="en-US"/>
              </w:rPr>
              <w:t xml:space="preserve">production </w:t>
            </w:r>
            <w:r w:rsidR="2310B052" w:rsidRPr="00A86393">
              <w:rPr>
                <w:sz w:val="18"/>
                <w:szCs w:val="18"/>
                <w:lang w:val="en-US"/>
              </w:rPr>
              <w:t xml:space="preserve">and </w:t>
            </w:r>
            <w:proofErr w:type="gramStart"/>
            <w:r w:rsidR="2310B052" w:rsidRPr="00A86393">
              <w:rPr>
                <w:sz w:val="18"/>
                <w:szCs w:val="18"/>
                <w:lang w:val="en-US"/>
              </w:rPr>
              <w:t>productivity</w:t>
            </w:r>
            <w:r w:rsidRPr="00A86393">
              <w:rPr>
                <w:sz w:val="18"/>
                <w:szCs w:val="18"/>
                <w:lang w:val="en-US"/>
              </w:rPr>
              <w:t>;</w:t>
            </w:r>
            <w:proofErr w:type="gramEnd"/>
          </w:p>
          <w:p w14:paraId="00000219" w14:textId="0506F876" w:rsidR="004F7DB3" w:rsidRPr="00A86393" w:rsidRDefault="6DEC1BA7" w:rsidP="001360BB">
            <w:pPr>
              <w:numPr>
                <w:ilvl w:val="0"/>
                <w:numId w:val="183"/>
              </w:numPr>
              <w:spacing w:after="0" w:line="240" w:lineRule="auto"/>
              <w:jc w:val="both"/>
              <w:rPr>
                <w:sz w:val="18"/>
                <w:szCs w:val="18"/>
              </w:rPr>
            </w:pPr>
            <w:proofErr w:type="spellStart"/>
            <w:r w:rsidRPr="5D8904BE">
              <w:rPr>
                <w:sz w:val="18"/>
                <w:szCs w:val="18"/>
              </w:rPr>
              <w:t>Enhancing</w:t>
            </w:r>
            <w:proofErr w:type="spellEnd"/>
            <w:r w:rsidRPr="5D8904BE">
              <w:rPr>
                <w:sz w:val="18"/>
                <w:szCs w:val="18"/>
              </w:rPr>
              <w:t xml:space="preserve"> </w:t>
            </w:r>
            <w:proofErr w:type="spellStart"/>
            <w:r w:rsidRPr="5D8904BE">
              <w:rPr>
                <w:sz w:val="18"/>
                <w:szCs w:val="18"/>
              </w:rPr>
              <w:t>forest</w:t>
            </w:r>
            <w:proofErr w:type="spellEnd"/>
            <w:r w:rsidRPr="5D8904BE">
              <w:rPr>
                <w:sz w:val="18"/>
                <w:szCs w:val="18"/>
              </w:rPr>
              <w:t xml:space="preserve"> production</w:t>
            </w:r>
          </w:p>
          <w:p w14:paraId="0000021A" w14:textId="1E3CBF40" w:rsidR="004F7DB3" w:rsidRPr="00A86393" w:rsidRDefault="2F1C2B82" w:rsidP="001360BB">
            <w:pPr>
              <w:numPr>
                <w:ilvl w:val="0"/>
                <w:numId w:val="183"/>
              </w:numPr>
              <w:spacing w:after="0" w:line="240" w:lineRule="auto"/>
              <w:jc w:val="both"/>
              <w:rPr>
                <w:sz w:val="18"/>
                <w:szCs w:val="18"/>
                <w:lang w:val="en-US"/>
              </w:rPr>
            </w:pPr>
            <w:r w:rsidRPr="00A86393">
              <w:rPr>
                <w:sz w:val="18"/>
                <w:szCs w:val="18"/>
                <w:lang w:val="en-US"/>
              </w:rPr>
              <w:t>C</w:t>
            </w:r>
            <w:r w:rsidR="2809ADD6" w:rsidRPr="00A86393">
              <w:rPr>
                <w:sz w:val="18"/>
                <w:szCs w:val="18"/>
                <w:lang w:val="en-US"/>
              </w:rPr>
              <w:t xml:space="preserve">reate conditions for the promotion of industrial production and processing </w:t>
            </w:r>
            <w:proofErr w:type="gramStart"/>
            <w:r w:rsidR="2809ADD6" w:rsidRPr="00A86393">
              <w:rPr>
                <w:sz w:val="18"/>
                <w:szCs w:val="18"/>
                <w:lang w:val="en-US"/>
              </w:rPr>
              <w:t>units;</w:t>
            </w:r>
            <w:proofErr w:type="gramEnd"/>
          </w:p>
          <w:p w14:paraId="0000021B" w14:textId="77777777" w:rsidR="004F7DB3" w:rsidRPr="00A86393" w:rsidRDefault="00C00123" w:rsidP="001360BB">
            <w:pPr>
              <w:numPr>
                <w:ilvl w:val="0"/>
                <w:numId w:val="183"/>
              </w:numPr>
              <w:spacing w:after="0" w:line="240" w:lineRule="auto"/>
              <w:jc w:val="both"/>
              <w:rPr>
                <w:sz w:val="18"/>
                <w:szCs w:val="18"/>
                <w:lang w:val="en-US"/>
              </w:rPr>
            </w:pPr>
            <w:r w:rsidRPr="00A86393">
              <w:rPr>
                <w:sz w:val="18"/>
                <w:szCs w:val="18"/>
                <w:lang w:val="en-US"/>
              </w:rPr>
              <w:t xml:space="preserve">Facilitate access to finance for </w:t>
            </w:r>
            <w:proofErr w:type="gramStart"/>
            <w:r w:rsidRPr="00A86393">
              <w:rPr>
                <w:sz w:val="18"/>
                <w:szCs w:val="18"/>
                <w:lang w:val="en-US"/>
              </w:rPr>
              <w:t>businesses;</w:t>
            </w:r>
            <w:proofErr w:type="gramEnd"/>
          </w:p>
          <w:p w14:paraId="0000021C" w14:textId="77777777" w:rsidR="004F7DB3" w:rsidRPr="00A86393" w:rsidRDefault="00C00123" w:rsidP="001360BB">
            <w:pPr>
              <w:numPr>
                <w:ilvl w:val="0"/>
                <w:numId w:val="183"/>
              </w:numPr>
              <w:spacing w:after="0" w:line="240" w:lineRule="auto"/>
              <w:jc w:val="both"/>
              <w:rPr>
                <w:sz w:val="18"/>
                <w:szCs w:val="18"/>
                <w:lang w:val="en-US"/>
              </w:rPr>
            </w:pPr>
            <w:r w:rsidRPr="00A86393">
              <w:rPr>
                <w:sz w:val="18"/>
                <w:szCs w:val="18"/>
                <w:lang w:val="en-US"/>
              </w:rPr>
              <w:t>Promote cross-border economic hubs.</w:t>
            </w:r>
          </w:p>
          <w:p w14:paraId="0000021D" w14:textId="65BD1FDB" w:rsidR="004F7DB3" w:rsidRPr="00A86393" w:rsidRDefault="1DE1F504" w:rsidP="00DD60F2">
            <w:pPr>
              <w:spacing w:before="240" w:after="0" w:line="240" w:lineRule="auto"/>
              <w:jc w:val="both"/>
              <w:rPr>
                <w:sz w:val="18"/>
                <w:szCs w:val="18"/>
                <w:lang w:val="en-US"/>
              </w:rPr>
            </w:pPr>
            <w:r w:rsidRPr="5D8904BE">
              <w:rPr>
                <w:sz w:val="18"/>
                <w:szCs w:val="18"/>
                <w:lang w:val="en-US"/>
              </w:rPr>
              <w:t xml:space="preserve">The GEF-8 project </w:t>
            </w:r>
            <w:r w:rsidR="475526FC" w:rsidRPr="5D8904BE">
              <w:rPr>
                <w:sz w:val="18"/>
                <w:szCs w:val="18"/>
                <w:lang w:val="en-US"/>
              </w:rPr>
              <w:t xml:space="preserve">supports the development of </w:t>
            </w:r>
            <w:r w:rsidR="24564BA4" w:rsidRPr="5D8904BE">
              <w:rPr>
                <w:sz w:val="18"/>
                <w:szCs w:val="18"/>
                <w:lang w:val="en-US"/>
              </w:rPr>
              <w:t>green</w:t>
            </w:r>
            <w:r w:rsidR="475526FC" w:rsidRPr="5D8904BE">
              <w:rPr>
                <w:sz w:val="18"/>
                <w:szCs w:val="18"/>
                <w:lang w:val="en-US"/>
              </w:rPr>
              <w:t xml:space="preserve"> belt and ecosystems and the promotion of urban and peri-urban agriculture with increased financing and private sector engagement. The power industry, especially independent power producers, </w:t>
            </w:r>
            <w:r w:rsidR="70BD54E0" w:rsidRPr="5D8904BE">
              <w:rPr>
                <w:sz w:val="18"/>
                <w:szCs w:val="18"/>
                <w:lang w:val="en-US"/>
              </w:rPr>
              <w:t>is</w:t>
            </w:r>
            <w:r w:rsidR="475526FC" w:rsidRPr="5D8904BE">
              <w:rPr>
                <w:sz w:val="18"/>
                <w:szCs w:val="18"/>
                <w:lang w:val="en-US"/>
              </w:rPr>
              <w:t xml:space="preserve"> developing around the city and other industries.</w:t>
            </w:r>
          </w:p>
          <w:p w14:paraId="6957F82E" w14:textId="008E22B4" w:rsidR="24AA8F7E" w:rsidRDefault="24AA8F7E" w:rsidP="00DD60F2">
            <w:pPr>
              <w:spacing w:after="0" w:line="240" w:lineRule="auto"/>
              <w:jc w:val="both"/>
              <w:rPr>
                <w:sz w:val="18"/>
                <w:szCs w:val="18"/>
                <w:lang w:val="en-US"/>
              </w:rPr>
            </w:pPr>
          </w:p>
          <w:p w14:paraId="0000021E" w14:textId="61533C91" w:rsidR="004F7DB3" w:rsidRPr="00A86393" w:rsidRDefault="2809ADD6" w:rsidP="00DD60F2">
            <w:pPr>
              <w:spacing w:after="0" w:line="240" w:lineRule="auto"/>
              <w:jc w:val="both"/>
              <w:rPr>
                <w:sz w:val="18"/>
                <w:szCs w:val="18"/>
                <w:lang w:val="en-US"/>
              </w:rPr>
            </w:pPr>
            <w:r w:rsidRPr="00A86393">
              <w:rPr>
                <w:sz w:val="18"/>
                <w:szCs w:val="18"/>
                <w:lang w:val="en-US"/>
              </w:rPr>
              <w:t xml:space="preserve">Strategic </w:t>
            </w:r>
            <w:r w:rsidR="6CA1E2C7" w:rsidRPr="00A86393">
              <w:rPr>
                <w:sz w:val="18"/>
                <w:szCs w:val="18"/>
                <w:lang w:val="en-US"/>
              </w:rPr>
              <w:t>orientation</w:t>
            </w:r>
            <w:r w:rsidRPr="00A86393">
              <w:rPr>
                <w:sz w:val="18"/>
                <w:szCs w:val="18"/>
                <w:lang w:val="en-US"/>
              </w:rPr>
              <w:t xml:space="preserve"> 4: Preserving natural resources, while enhancing human capital</w:t>
            </w:r>
          </w:p>
          <w:p w14:paraId="0000021F" w14:textId="77777777" w:rsidR="004F7DB3" w:rsidRPr="00A86393" w:rsidRDefault="00C00123" w:rsidP="001360BB">
            <w:pPr>
              <w:numPr>
                <w:ilvl w:val="0"/>
                <w:numId w:val="185"/>
              </w:numPr>
              <w:spacing w:after="0" w:line="240" w:lineRule="auto"/>
              <w:jc w:val="both"/>
              <w:rPr>
                <w:sz w:val="18"/>
                <w:szCs w:val="18"/>
                <w:lang w:val="en-US"/>
              </w:rPr>
            </w:pPr>
            <w:r w:rsidRPr="00A86393">
              <w:rPr>
                <w:sz w:val="18"/>
                <w:szCs w:val="18"/>
                <w:lang w:val="en-US"/>
              </w:rPr>
              <w:t xml:space="preserve">Protecting the biodiversity of species and </w:t>
            </w:r>
            <w:proofErr w:type="gramStart"/>
            <w:r w:rsidRPr="00A86393">
              <w:rPr>
                <w:sz w:val="18"/>
                <w:szCs w:val="18"/>
                <w:lang w:val="en-US"/>
              </w:rPr>
              <w:t>ecosystems;</w:t>
            </w:r>
            <w:proofErr w:type="gramEnd"/>
          </w:p>
          <w:p w14:paraId="00000220" w14:textId="77777777" w:rsidR="004F7DB3" w:rsidRPr="00A86393" w:rsidRDefault="00C00123" w:rsidP="001360BB">
            <w:pPr>
              <w:numPr>
                <w:ilvl w:val="0"/>
                <w:numId w:val="185"/>
              </w:numPr>
              <w:spacing w:after="0" w:line="240" w:lineRule="auto"/>
              <w:jc w:val="both"/>
              <w:rPr>
                <w:sz w:val="18"/>
                <w:szCs w:val="18"/>
                <w:lang w:val="en-US"/>
              </w:rPr>
            </w:pPr>
            <w:r w:rsidRPr="00A86393">
              <w:rPr>
                <w:sz w:val="18"/>
                <w:szCs w:val="18"/>
                <w:lang w:val="en-US"/>
              </w:rPr>
              <w:t xml:space="preserve">Appropriately manage water resources and forest and wildlife </w:t>
            </w:r>
            <w:proofErr w:type="gramStart"/>
            <w:r w:rsidRPr="00A86393">
              <w:rPr>
                <w:sz w:val="18"/>
                <w:szCs w:val="18"/>
                <w:lang w:val="en-US"/>
              </w:rPr>
              <w:t>species;</w:t>
            </w:r>
            <w:proofErr w:type="gramEnd"/>
          </w:p>
          <w:p w14:paraId="00000221" w14:textId="77777777" w:rsidR="004F7DB3" w:rsidRPr="00A86393" w:rsidRDefault="00C00123" w:rsidP="001360BB">
            <w:pPr>
              <w:numPr>
                <w:ilvl w:val="0"/>
                <w:numId w:val="185"/>
              </w:numPr>
              <w:spacing w:after="0" w:line="240" w:lineRule="auto"/>
              <w:jc w:val="both"/>
              <w:rPr>
                <w:sz w:val="18"/>
                <w:szCs w:val="18"/>
                <w:lang w:val="en-US"/>
              </w:rPr>
            </w:pPr>
            <w:r w:rsidRPr="00A86393">
              <w:rPr>
                <w:sz w:val="18"/>
                <w:szCs w:val="18"/>
                <w:lang w:val="en-US"/>
              </w:rPr>
              <w:t xml:space="preserve">Preserve and protect watercourses and their banks from pollution and </w:t>
            </w:r>
            <w:proofErr w:type="gramStart"/>
            <w:r w:rsidRPr="00A86393">
              <w:rPr>
                <w:sz w:val="18"/>
                <w:szCs w:val="18"/>
                <w:lang w:val="en-US"/>
              </w:rPr>
              <w:t>silting;</w:t>
            </w:r>
            <w:proofErr w:type="gramEnd"/>
          </w:p>
          <w:p w14:paraId="00000222" w14:textId="77777777" w:rsidR="004F7DB3" w:rsidRPr="00A86393" w:rsidRDefault="00C00123" w:rsidP="001360BB">
            <w:pPr>
              <w:numPr>
                <w:ilvl w:val="0"/>
                <w:numId w:val="185"/>
              </w:numPr>
              <w:spacing w:after="0" w:line="240" w:lineRule="auto"/>
              <w:jc w:val="both"/>
              <w:rPr>
                <w:sz w:val="18"/>
                <w:szCs w:val="18"/>
                <w:lang w:val="en-US"/>
              </w:rPr>
            </w:pPr>
            <w:r w:rsidRPr="00A86393">
              <w:rPr>
                <w:sz w:val="18"/>
                <w:szCs w:val="18"/>
                <w:lang w:val="en-US"/>
              </w:rPr>
              <w:t xml:space="preserve">To bring about an ambitious development of renewable </w:t>
            </w:r>
            <w:proofErr w:type="gramStart"/>
            <w:r w:rsidRPr="00A86393">
              <w:rPr>
                <w:sz w:val="18"/>
                <w:szCs w:val="18"/>
                <w:lang w:val="en-US"/>
              </w:rPr>
              <w:t>energies;</w:t>
            </w:r>
            <w:proofErr w:type="gramEnd"/>
          </w:p>
          <w:p w14:paraId="00000223" w14:textId="77777777" w:rsidR="004F7DB3" w:rsidRPr="00A86393" w:rsidRDefault="00C00123" w:rsidP="001360BB">
            <w:pPr>
              <w:numPr>
                <w:ilvl w:val="0"/>
                <w:numId w:val="185"/>
              </w:numPr>
              <w:spacing w:after="0" w:line="240" w:lineRule="auto"/>
              <w:jc w:val="both"/>
              <w:rPr>
                <w:sz w:val="18"/>
                <w:szCs w:val="18"/>
                <w:lang w:val="en-US"/>
              </w:rPr>
            </w:pPr>
            <w:r w:rsidRPr="00A86393">
              <w:rPr>
                <w:sz w:val="18"/>
                <w:szCs w:val="18"/>
                <w:lang w:val="en-US"/>
              </w:rPr>
              <w:t xml:space="preserve">Combating desertification through reforestation and land restoration </w:t>
            </w:r>
            <w:proofErr w:type="spellStart"/>
            <w:proofErr w:type="gramStart"/>
            <w:r w:rsidRPr="00A86393">
              <w:rPr>
                <w:sz w:val="18"/>
                <w:szCs w:val="18"/>
                <w:lang w:val="en-US"/>
              </w:rPr>
              <w:t>programmes</w:t>
            </w:r>
            <w:proofErr w:type="spellEnd"/>
            <w:r w:rsidRPr="00A86393">
              <w:rPr>
                <w:sz w:val="18"/>
                <w:szCs w:val="18"/>
                <w:lang w:val="en-US"/>
              </w:rPr>
              <w:t>;</w:t>
            </w:r>
            <w:proofErr w:type="gramEnd"/>
          </w:p>
          <w:p w14:paraId="00000224" w14:textId="77777777" w:rsidR="004F7DB3" w:rsidRPr="00A86393" w:rsidRDefault="552CE4D7" w:rsidP="001360BB">
            <w:pPr>
              <w:numPr>
                <w:ilvl w:val="0"/>
                <w:numId w:val="185"/>
              </w:numPr>
              <w:spacing w:after="0" w:line="240" w:lineRule="auto"/>
              <w:jc w:val="both"/>
              <w:rPr>
                <w:sz w:val="18"/>
                <w:szCs w:val="18"/>
              </w:rPr>
            </w:pPr>
            <w:proofErr w:type="spellStart"/>
            <w:r w:rsidRPr="5D8904BE">
              <w:rPr>
                <w:sz w:val="18"/>
                <w:szCs w:val="18"/>
              </w:rPr>
              <w:t>Develop</w:t>
            </w:r>
            <w:proofErr w:type="spellEnd"/>
            <w:r w:rsidRPr="5D8904BE">
              <w:rPr>
                <w:sz w:val="18"/>
                <w:szCs w:val="18"/>
              </w:rPr>
              <w:t xml:space="preserve"> efficient </w:t>
            </w:r>
            <w:proofErr w:type="spellStart"/>
            <w:r w:rsidRPr="5D8904BE">
              <w:rPr>
                <w:sz w:val="18"/>
                <w:szCs w:val="18"/>
              </w:rPr>
              <w:t>climate</w:t>
            </w:r>
            <w:proofErr w:type="spellEnd"/>
            <w:r w:rsidRPr="5D8904BE">
              <w:rPr>
                <w:sz w:val="18"/>
                <w:szCs w:val="18"/>
              </w:rPr>
              <w:t xml:space="preserve"> change adaptation </w:t>
            </w:r>
            <w:proofErr w:type="spellStart"/>
            <w:proofErr w:type="gramStart"/>
            <w:r w:rsidRPr="5D8904BE">
              <w:rPr>
                <w:sz w:val="18"/>
                <w:szCs w:val="18"/>
              </w:rPr>
              <w:t>strategies</w:t>
            </w:r>
            <w:proofErr w:type="spellEnd"/>
            <w:r w:rsidRPr="5D8904BE">
              <w:rPr>
                <w:sz w:val="18"/>
                <w:szCs w:val="18"/>
              </w:rPr>
              <w:t>;</w:t>
            </w:r>
            <w:proofErr w:type="gramEnd"/>
          </w:p>
          <w:p w14:paraId="00000225" w14:textId="788C530F" w:rsidR="004F7DB3" w:rsidRPr="00A86393" w:rsidRDefault="2809ADD6" w:rsidP="001360BB">
            <w:pPr>
              <w:numPr>
                <w:ilvl w:val="0"/>
                <w:numId w:val="185"/>
              </w:numPr>
              <w:spacing w:after="0" w:line="240" w:lineRule="auto"/>
              <w:jc w:val="both"/>
              <w:rPr>
                <w:sz w:val="18"/>
                <w:szCs w:val="18"/>
                <w:lang w:val="en-US"/>
              </w:rPr>
            </w:pPr>
            <w:r w:rsidRPr="00A86393">
              <w:rPr>
                <w:sz w:val="18"/>
                <w:szCs w:val="18"/>
                <w:lang w:val="en-US"/>
              </w:rPr>
              <w:t xml:space="preserve">Promote tourism products focused on eco-tourism, handicrafts, </w:t>
            </w:r>
            <w:proofErr w:type="gramStart"/>
            <w:r w:rsidRPr="00A86393">
              <w:rPr>
                <w:sz w:val="18"/>
                <w:szCs w:val="18"/>
                <w:lang w:val="en-US"/>
              </w:rPr>
              <w:t>etc.</w:t>
            </w:r>
            <w:r w:rsidR="2D4A1FED" w:rsidRPr="00A86393">
              <w:rPr>
                <w:sz w:val="18"/>
                <w:szCs w:val="18"/>
                <w:lang w:val="en-US"/>
              </w:rPr>
              <w:t>;</w:t>
            </w:r>
            <w:proofErr w:type="gramEnd"/>
          </w:p>
          <w:p w14:paraId="00000226" w14:textId="77777777" w:rsidR="004F7DB3" w:rsidRPr="00A86393" w:rsidRDefault="00C00123" w:rsidP="001360BB">
            <w:pPr>
              <w:numPr>
                <w:ilvl w:val="0"/>
                <w:numId w:val="185"/>
              </w:numPr>
              <w:spacing w:after="0" w:line="240" w:lineRule="auto"/>
              <w:jc w:val="both"/>
              <w:rPr>
                <w:sz w:val="18"/>
                <w:szCs w:val="18"/>
                <w:lang w:val="en-US"/>
              </w:rPr>
            </w:pPr>
            <w:r w:rsidRPr="00A86393">
              <w:rPr>
                <w:sz w:val="18"/>
                <w:szCs w:val="18"/>
                <w:lang w:val="en-US"/>
              </w:rPr>
              <w:t>Safeguarding and reviving tourism activities, by deploying initiatives to promote the "Mali destination".</w:t>
            </w:r>
          </w:p>
          <w:p w14:paraId="00000227" w14:textId="0F6261C3" w:rsidR="004F7DB3" w:rsidRPr="00A86393" w:rsidRDefault="272B21DF" w:rsidP="00DD60F2">
            <w:pPr>
              <w:spacing w:before="240" w:after="0" w:line="240" w:lineRule="auto"/>
              <w:jc w:val="both"/>
              <w:rPr>
                <w:sz w:val="18"/>
                <w:szCs w:val="18"/>
                <w:lang w:val="en-US"/>
              </w:rPr>
            </w:pPr>
            <w:r w:rsidRPr="00A86393">
              <w:rPr>
                <w:sz w:val="18"/>
                <w:szCs w:val="18"/>
                <w:lang w:val="en-US"/>
              </w:rPr>
              <w:t>The GEF-8 project</w:t>
            </w:r>
            <w:r w:rsidR="765EBEBB" w:rsidRPr="00A86393">
              <w:rPr>
                <w:sz w:val="18"/>
                <w:szCs w:val="18"/>
                <w:lang w:val="en-US"/>
              </w:rPr>
              <w:t xml:space="preserve"> </w:t>
            </w:r>
            <w:r w:rsidR="2809ADD6" w:rsidRPr="00A86393">
              <w:rPr>
                <w:sz w:val="18"/>
                <w:szCs w:val="18"/>
                <w:lang w:val="en-US"/>
              </w:rPr>
              <w:t>fully supports the protection and enhancement of natural resources as well as a just energy transition, based on renewable energies, energy efficiency and innovation.</w:t>
            </w:r>
          </w:p>
        </w:tc>
      </w:tr>
      <w:tr w:rsidR="004F7DB3" w:rsidRPr="00F50786" w14:paraId="496CE866" w14:textId="77777777" w:rsidTr="13C5956C">
        <w:trPr>
          <w:trHeight w:val="300"/>
          <w:jc w:val="center"/>
        </w:trPr>
        <w:tc>
          <w:tcPr>
            <w:tcW w:w="1170" w:type="dxa"/>
            <w:tcBorders>
              <w:top w:val="single" w:sz="4" w:space="0" w:color="000000" w:themeColor="text1"/>
              <w:bottom w:val="single" w:sz="4" w:space="0" w:color="000000" w:themeColor="text1"/>
            </w:tcBorders>
          </w:tcPr>
          <w:p w14:paraId="00000228" w14:textId="77777777" w:rsidR="004F7DB3" w:rsidRPr="00A86393" w:rsidRDefault="004F7DB3" w:rsidP="00DD60F2">
            <w:pPr>
              <w:spacing w:after="0" w:line="240" w:lineRule="auto"/>
              <w:jc w:val="both"/>
              <w:rPr>
                <w:sz w:val="18"/>
                <w:szCs w:val="18"/>
                <w:lang w:val="en-US"/>
              </w:rPr>
            </w:pPr>
          </w:p>
        </w:tc>
        <w:tc>
          <w:tcPr>
            <w:tcW w:w="1920" w:type="dxa"/>
            <w:tcBorders>
              <w:top w:val="single" w:sz="4" w:space="0" w:color="000000" w:themeColor="text1"/>
              <w:bottom w:val="single" w:sz="4" w:space="0" w:color="000000" w:themeColor="text1"/>
            </w:tcBorders>
          </w:tcPr>
          <w:p w14:paraId="0000022C" w14:textId="0CF37519" w:rsidR="004F7DB3" w:rsidRPr="00A86393" w:rsidRDefault="1FFBBC0B" w:rsidP="537FA187">
            <w:pPr>
              <w:pBdr>
                <w:top w:val="nil"/>
                <w:left w:val="nil"/>
                <w:bottom w:val="nil"/>
                <w:right w:val="nil"/>
                <w:between w:val="nil"/>
              </w:pBdr>
              <w:spacing w:after="0" w:line="240" w:lineRule="auto"/>
              <w:rPr>
                <w:color w:val="1155CC"/>
                <w:sz w:val="18"/>
                <w:szCs w:val="18"/>
                <w:u w:val="single"/>
              </w:rPr>
            </w:pPr>
            <w:hyperlink r:id="rId31">
              <w:r w:rsidRPr="537FA187">
                <w:rPr>
                  <w:sz w:val="18"/>
                  <w:szCs w:val="18"/>
                </w:rPr>
                <w:t xml:space="preserve">National Protection Policy </w:t>
              </w:r>
              <w:proofErr w:type="spellStart"/>
              <w:r w:rsidR="37C4D076" w:rsidRPr="537FA187">
                <w:rPr>
                  <w:sz w:val="18"/>
                  <w:szCs w:val="18"/>
                </w:rPr>
                <w:t>Environment</w:t>
              </w:r>
              <w:proofErr w:type="spellEnd"/>
            </w:hyperlink>
            <w:r w:rsidR="2AFF2AF4" w:rsidRPr="537FA187">
              <w:rPr>
                <w:color w:val="1155CC"/>
                <w:sz w:val="18"/>
                <w:szCs w:val="18"/>
                <w:u w:val="single"/>
              </w:rPr>
              <w:t xml:space="preserve"> (</w:t>
            </w:r>
            <w:r w:rsidR="3A091C4E" w:rsidRPr="537FA187">
              <w:rPr>
                <w:color w:val="1155CC"/>
                <w:sz w:val="18"/>
                <w:szCs w:val="18"/>
                <w:u w:val="single"/>
              </w:rPr>
              <w:t>NAPE</w:t>
            </w:r>
            <w:r w:rsidR="2AFF2AF4" w:rsidRPr="537FA187">
              <w:rPr>
                <w:color w:val="1155CC"/>
                <w:sz w:val="18"/>
                <w:szCs w:val="18"/>
                <w:u w:val="single"/>
              </w:rPr>
              <w:t>)</w:t>
            </w:r>
            <w:r w:rsidR="37C4D076" w:rsidRPr="537FA187">
              <w:rPr>
                <w:color w:val="1155CC"/>
                <w:sz w:val="18"/>
                <w:szCs w:val="18"/>
                <w:u w:val="single"/>
              </w:rPr>
              <w:t>, 2019</w:t>
            </w:r>
          </w:p>
        </w:tc>
        <w:tc>
          <w:tcPr>
            <w:tcW w:w="10513" w:type="dxa"/>
            <w:tcBorders>
              <w:top w:val="single" w:sz="4" w:space="0" w:color="000000" w:themeColor="text1"/>
              <w:bottom w:val="single" w:sz="4" w:space="0" w:color="000000" w:themeColor="text1"/>
            </w:tcBorders>
          </w:tcPr>
          <w:p w14:paraId="0000022D" w14:textId="77777777" w:rsidR="004F7DB3" w:rsidRPr="004A3EAF" w:rsidRDefault="004F7DB3" w:rsidP="00DD60F2">
            <w:pPr>
              <w:spacing w:after="0" w:line="240" w:lineRule="auto"/>
              <w:jc w:val="both"/>
              <w:rPr>
                <w:sz w:val="18"/>
                <w:szCs w:val="18"/>
              </w:rPr>
            </w:pPr>
          </w:p>
          <w:p w14:paraId="0000022E" w14:textId="72E008E9" w:rsidR="004F7DB3" w:rsidRPr="00A86393" w:rsidRDefault="6C32D040" w:rsidP="00DD60F2">
            <w:pPr>
              <w:spacing w:after="0" w:line="240" w:lineRule="auto"/>
              <w:jc w:val="both"/>
              <w:rPr>
                <w:sz w:val="18"/>
                <w:szCs w:val="18"/>
                <w:lang w:val="en-US"/>
              </w:rPr>
            </w:pPr>
            <w:r w:rsidRPr="537FA187">
              <w:rPr>
                <w:sz w:val="18"/>
                <w:szCs w:val="18"/>
                <w:lang w:val="en-US"/>
              </w:rPr>
              <w:t>The PNPE aims to support sustainable socio-economic development while guaranteeing food security and the fight against all forms of pollution or nuisance as well as any process of degradation of natural resources and desertification. Its implementation strategy is based on the mobilization of resources and the development of multi-stakeholder partnerships, particularly including the State, decentralized communities, civil society organizations, populations (private actors) and development partners. The implementation includes the National Action Plan for the Environment (NA</w:t>
            </w:r>
            <w:r w:rsidR="16F35B40" w:rsidRPr="537FA187">
              <w:rPr>
                <w:sz w:val="18"/>
                <w:szCs w:val="18"/>
                <w:lang w:val="en-US"/>
              </w:rPr>
              <w:t>P</w:t>
            </w:r>
            <w:r w:rsidRPr="537FA187">
              <w:rPr>
                <w:sz w:val="18"/>
                <w:szCs w:val="18"/>
                <w:lang w:val="en-US"/>
              </w:rPr>
              <w:t xml:space="preserve">E) resulting in nine (9) National Action Programs (NAPs), Regional Action Programs (RAP) and Local Action Programs (PALs).  the development of new and renewable energies, the management of environmental information, the environmental information, education and communication </w:t>
            </w:r>
            <w:proofErr w:type="spellStart"/>
            <w:r w:rsidRPr="537FA187">
              <w:rPr>
                <w:sz w:val="18"/>
                <w:szCs w:val="18"/>
                <w:lang w:val="en-US"/>
              </w:rPr>
              <w:t>programme</w:t>
            </w:r>
            <w:proofErr w:type="spellEnd"/>
            <w:r w:rsidRPr="537FA187">
              <w:rPr>
                <w:sz w:val="18"/>
                <w:szCs w:val="18"/>
                <w:lang w:val="en-US"/>
              </w:rPr>
              <w:t xml:space="preserve">, the monitoring of the implementation of the conventions, the research </w:t>
            </w:r>
            <w:proofErr w:type="spellStart"/>
            <w:r w:rsidRPr="537FA187">
              <w:rPr>
                <w:sz w:val="18"/>
                <w:szCs w:val="18"/>
                <w:lang w:val="en-US"/>
              </w:rPr>
              <w:t>programme</w:t>
            </w:r>
            <w:proofErr w:type="spellEnd"/>
            <w:r w:rsidRPr="537FA187">
              <w:rPr>
                <w:sz w:val="18"/>
                <w:szCs w:val="18"/>
                <w:lang w:val="en-US"/>
              </w:rPr>
              <w:t xml:space="preserve"> on combating desertification and environmental protection.</w:t>
            </w:r>
          </w:p>
          <w:p w14:paraId="0000022F" w14:textId="77777777" w:rsidR="004F7DB3" w:rsidRPr="00A86393" w:rsidRDefault="004F7DB3" w:rsidP="00DD60F2">
            <w:pPr>
              <w:spacing w:after="0" w:line="240" w:lineRule="auto"/>
              <w:jc w:val="both"/>
              <w:rPr>
                <w:sz w:val="18"/>
                <w:szCs w:val="18"/>
                <w:lang w:val="en-US"/>
              </w:rPr>
            </w:pPr>
          </w:p>
          <w:p w14:paraId="00000230" w14:textId="1DD5E114" w:rsidR="004F7DB3" w:rsidRPr="00A86393" w:rsidRDefault="618F458C" w:rsidP="00DD60F2">
            <w:pPr>
              <w:spacing w:after="0" w:line="240" w:lineRule="auto"/>
              <w:jc w:val="both"/>
              <w:rPr>
                <w:sz w:val="18"/>
                <w:szCs w:val="18"/>
                <w:lang w:val="en-US"/>
              </w:rPr>
            </w:pPr>
            <w:r w:rsidRPr="5D8904BE">
              <w:rPr>
                <w:sz w:val="18"/>
                <w:szCs w:val="18"/>
                <w:lang w:val="en-US"/>
              </w:rPr>
              <w:t>T</w:t>
            </w:r>
            <w:r w:rsidR="6DEC1BA7" w:rsidRPr="5D8904BE">
              <w:rPr>
                <w:sz w:val="18"/>
                <w:szCs w:val="18"/>
                <w:lang w:val="en-US"/>
              </w:rPr>
              <w:t xml:space="preserve">he coherence of the </w:t>
            </w:r>
            <w:r w:rsidR="7D5C5BD7" w:rsidRPr="5D8904BE">
              <w:rPr>
                <w:sz w:val="18"/>
                <w:szCs w:val="18"/>
                <w:lang w:val="en-US"/>
              </w:rPr>
              <w:t>GEF-</w:t>
            </w:r>
            <w:r w:rsidR="769A92E1" w:rsidRPr="5D8904BE">
              <w:rPr>
                <w:sz w:val="18"/>
                <w:szCs w:val="18"/>
                <w:lang w:val="en-US"/>
              </w:rPr>
              <w:t>8</w:t>
            </w:r>
            <w:r w:rsidR="7D5C5BD7" w:rsidRPr="5D8904BE">
              <w:rPr>
                <w:sz w:val="18"/>
                <w:szCs w:val="18"/>
                <w:lang w:val="en-US"/>
              </w:rPr>
              <w:t xml:space="preserve"> project</w:t>
            </w:r>
            <w:r w:rsidR="6DEC1BA7" w:rsidRPr="5D8904BE">
              <w:rPr>
                <w:sz w:val="18"/>
                <w:szCs w:val="18"/>
                <w:lang w:val="en-US"/>
              </w:rPr>
              <w:t xml:space="preserve"> is due </w:t>
            </w:r>
            <w:proofErr w:type="gramStart"/>
            <w:r w:rsidR="6DEC1BA7" w:rsidRPr="5D8904BE">
              <w:rPr>
                <w:sz w:val="18"/>
                <w:szCs w:val="18"/>
                <w:lang w:val="en-US"/>
              </w:rPr>
              <w:t>in particular to</w:t>
            </w:r>
            <w:proofErr w:type="gramEnd"/>
            <w:r w:rsidR="6DEC1BA7" w:rsidRPr="5D8904BE">
              <w:rPr>
                <w:sz w:val="18"/>
                <w:szCs w:val="18"/>
                <w:lang w:val="en-US"/>
              </w:rPr>
              <w:t xml:space="preserve"> the scaling up of the protection and enhancement of natural resources, the reduction of greenhouse gas emissions and pollution, the systematic greening of the city and its major infrastructures, partnerships, resource mobilization, etc.  </w:t>
            </w:r>
          </w:p>
          <w:p w14:paraId="00000231" w14:textId="77777777" w:rsidR="004F7DB3" w:rsidRPr="00A86393" w:rsidRDefault="004F7DB3" w:rsidP="00DD60F2">
            <w:pPr>
              <w:spacing w:after="0" w:line="240" w:lineRule="auto"/>
              <w:jc w:val="both"/>
              <w:rPr>
                <w:sz w:val="18"/>
                <w:szCs w:val="18"/>
                <w:lang w:val="en-US"/>
              </w:rPr>
            </w:pPr>
          </w:p>
        </w:tc>
      </w:tr>
      <w:tr w:rsidR="004F7DB3" w:rsidRPr="00F50786" w14:paraId="721C6858" w14:textId="77777777" w:rsidTr="13C5956C">
        <w:trPr>
          <w:trHeight w:val="300"/>
          <w:jc w:val="center"/>
        </w:trPr>
        <w:tc>
          <w:tcPr>
            <w:tcW w:w="1170" w:type="dxa"/>
            <w:tcBorders>
              <w:top w:val="single" w:sz="4" w:space="0" w:color="000000" w:themeColor="text1"/>
              <w:bottom w:val="single" w:sz="4" w:space="0" w:color="000000" w:themeColor="text1"/>
            </w:tcBorders>
          </w:tcPr>
          <w:p w14:paraId="00000232" w14:textId="77777777" w:rsidR="004F7DB3" w:rsidRPr="00A86393" w:rsidRDefault="004F7DB3" w:rsidP="00DD60F2">
            <w:pPr>
              <w:spacing w:after="0" w:line="240" w:lineRule="auto"/>
              <w:jc w:val="both"/>
              <w:rPr>
                <w:sz w:val="18"/>
                <w:szCs w:val="18"/>
                <w:lang w:val="en-US"/>
              </w:rPr>
            </w:pPr>
          </w:p>
        </w:tc>
        <w:tc>
          <w:tcPr>
            <w:tcW w:w="1920" w:type="dxa"/>
            <w:tcBorders>
              <w:top w:val="single" w:sz="4" w:space="0" w:color="000000" w:themeColor="text1"/>
              <w:bottom w:val="single" w:sz="4" w:space="0" w:color="000000" w:themeColor="text1"/>
            </w:tcBorders>
          </w:tcPr>
          <w:p w14:paraId="00000233" w14:textId="77777777" w:rsidR="004F7DB3" w:rsidRPr="00A86393" w:rsidRDefault="00C00123" w:rsidP="00DD60F2">
            <w:pPr>
              <w:pBdr>
                <w:top w:val="nil"/>
                <w:left w:val="nil"/>
                <w:bottom w:val="nil"/>
                <w:right w:val="nil"/>
                <w:between w:val="nil"/>
              </w:pBdr>
              <w:spacing w:after="0" w:line="240" w:lineRule="auto"/>
              <w:rPr>
                <w:sz w:val="18"/>
                <w:szCs w:val="18"/>
              </w:rPr>
            </w:pPr>
            <w:hyperlink r:id="rId32">
              <w:r w:rsidRPr="00A86393">
                <w:rPr>
                  <w:color w:val="1155CC"/>
                  <w:sz w:val="18"/>
                  <w:szCs w:val="18"/>
                  <w:u w:val="single"/>
                </w:rPr>
                <w:t xml:space="preserve">National </w:t>
              </w:r>
              <w:proofErr w:type="spellStart"/>
              <w:r w:rsidRPr="00A86393">
                <w:rPr>
                  <w:color w:val="1155CC"/>
                  <w:sz w:val="18"/>
                  <w:szCs w:val="18"/>
                  <w:u w:val="single"/>
                </w:rPr>
                <w:t>Climate</w:t>
              </w:r>
              <w:proofErr w:type="spellEnd"/>
              <w:r w:rsidRPr="00A86393">
                <w:rPr>
                  <w:color w:val="1155CC"/>
                  <w:sz w:val="18"/>
                  <w:szCs w:val="18"/>
                  <w:u w:val="single"/>
                </w:rPr>
                <w:t xml:space="preserve"> Change Policy</w:t>
              </w:r>
            </w:hyperlink>
            <w:r w:rsidRPr="00A86393">
              <w:rPr>
                <w:sz w:val="18"/>
                <w:szCs w:val="18"/>
              </w:rPr>
              <w:t xml:space="preserve"> 2011 </w:t>
            </w:r>
          </w:p>
          <w:p w14:paraId="00000234" w14:textId="77777777" w:rsidR="004F7DB3" w:rsidRPr="00A86393" w:rsidRDefault="004F7DB3" w:rsidP="00DD60F2">
            <w:pPr>
              <w:spacing w:after="0" w:line="360" w:lineRule="auto"/>
              <w:jc w:val="both"/>
              <w:rPr>
                <w:sz w:val="18"/>
                <w:szCs w:val="18"/>
              </w:rPr>
            </w:pPr>
          </w:p>
        </w:tc>
        <w:tc>
          <w:tcPr>
            <w:tcW w:w="10513" w:type="dxa"/>
            <w:tcBorders>
              <w:top w:val="single" w:sz="4" w:space="0" w:color="000000" w:themeColor="text1"/>
              <w:bottom w:val="single" w:sz="4" w:space="0" w:color="000000" w:themeColor="text1"/>
            </w:tcBorders>
          </w:tcPr>
          <w:p w14:paraId="00000235" w14:textId="17C2C1C4" w:rsidR="004F7DB3" w:rsidRPr="00A86393" w:rsidRDefault="598651F0" w:rsidP="537FA187">
            <w:pPr>
              <w:pBdr>
                <w:top w:val="nil"/>
                <w:left w:val="nil"/>
                <w:bottom w:val="nil"/>
                <w:right w:val="nil"/>
                <w:between w:val="nil"/>
              </w:pBdr>
              <w:spacing w:after="0" w:line="240" w:lineRule="auto"/>
              <w:jc w:val="both"/>
              <w:rPr>
                <w:sz w:val="18"/>
                <w:szCs w:val="18"/>
                <w:lang w:val="en-US"/>
              </w:rPr>
            </w:pPr>
            <w:r w:rsidRPr="537FA187">
              <w:rPr>
                <w:sz w:val="18"/>
                <w:szCs w:val="18"/>
                <w:lang w:val="en-US"/>
              </w:rPr>
              <w:t xml:space="preserve">The </w:t>
            </w:r>
            <w:r w:rsidR="0C7269F3" w:rsidRPr="537FA187">
              <w:rPr>
                <w:sz w:val="18"/>
                <w:szCs w:val="18"/>
                <w:lang w:val="en-US"/>
              </w:rPr>
              <w:t xml:space="preserve">NCCP </w:t>
            </w:r>
            <w:r w:rsidRPr="537FA187">
              <w:rPr>
                <w:sz w:val="18"/>
                <w:szCs w:val="18"/>
                <w:lang w:val="en-US"/>
              </w:rPr>
              <w:t xml:space="preserve">aims by 2025 to contribute to the fight against poverty and sustainable development by providing appropriate solutions to the challenges related to climate change so that it does not become a limiting factor for harmonious and sustainable socio-economic development. It has adopted eight (8) policy orientations and ten (10) sectoral orientations which are divided into four (4) areas as follows: </w:t>
            </w:r>
          </w:p>
          <w:p w14:paraId="00000236" w14:textId="77777777" w:rsidR="004F7DB3" w:rsidRPr="00A86393" w:rsidRDefault="00C00123" w:rsidP="001360BB">
            <w:pPr>
              <w:numPr>
                <w:ilvl w:val="0"/>
                <w:numId w:val="194"/>
              </w:numPr>
              <w:spacing w:after="0" w:line="360" w:lineRule="auto"/>
              <w:jc w:val="both"/>
              <w:rPr>
                <w:sz w:val="18"/>
                <w:szCs w:val="18"/>
                <w:lang w:val="en-US"/>
              </w:rPr>
            </w:pPr>
            <w:r w:rsidRPr="00A86393">
              <w:rPr>
                <w:sz w:val="18"/>
                <w:szCs w:val="18"/>
                <w:lang w:val="en-US"/>
              </w:rPr>
              <w:t xml:space="preserve">Rural development: agriculture, water resources, </w:t>
            </w:r>
            <w:proofErr w:type="gramStart"/>
            <w:r w:rsidRPr="00A86393">
              <w:rPr>
                <w:sz w:val="18"/>
                <w:szCs w:val="18"/>
                <w:lang w:val="en-US"/>
              </w:rPr>
              <w:t>forests;</w:t>
            </w:r>
            <w:proofErr w:type="gramEnd"/>
            <w:r w:rsidRPr="00A86393">
              <w:rPr>
                <w:sz w:val="18"/>
                <w:szCs w:val="18"/>
                <w:lang w:val="en-US"/>
              </w:rPr>
              <w:t xml:space="preserve"> </w:t>
            </w:r>
          </w:p>
          <w:p w14:paraId="00000237" w14:textId="77777777" w:rsidR="004F7DB3" w:rsidRPr="00A86393" w:rsidRDefault="00C00123" w:rsidP="001360BB">
            <w:pPr>
              <w:numPr>
                <w:ilvl w:val="0"/>
                <w:numId w:val="194"/>
              </w:numPr>
              <w:spacing w:after="0" w:line="360" w:lineRule="auto"/>
              <w:jc w:val="both"/>
              <w:rPr>
                <w:sz w:val="18"/>
                <w:szCs w:val="18"/>
                <w:lang w:val="en-US"/>
              </w:rPr>
            </w:pPr>
            <w:r w:rsidRPr="00A86393">
              <w:rPr>
                <w:sz w:val="18"/>
                <w:szCs w:val="18"/>
                <w:lang w:val="en-US"/>
              </w:rPr>
              <w:t xml:space="preserve">Infrastructure: energy, transport, land use </w:t>
            </w:r>
            <w:proofErr w:type="gramStart"/>
            <w:r w:rsidRPr="00A86393">
              <w:rPr>
                <w:sz w:val="18"/>
                <w:szCs w:val="18"/>
                <w:lang w:val="en-US"/>
              </w:rPr>
              <w:t>planning;</w:t>
            </w:r>
            <w:proofErr w:type="gramEnd"/>
          </w:p>
          <w:p w14:paraId="00000238" w14:textId="77777777" w:rsidR="004F7DB3" w:rsidRPr="00A86393" w:rsidRDefault="552CE4D7" w:rsidP="001360BB">
            <w:pPr>
              <w:numPr>
                <w:ilvl w:val="0"/>
                <w:numId w:val="194"/>
              </w:numPr>
              <w:spacing w:after="0" w:line="360" w:lineRule="auto"/>
              <w:jc w:val="both"/>
              <w:rPr>
                <w:sz w:val="18"/>
                <w:szCs w:val="18"/>
              </w:rPr>
            </w:pPr>
            <w:r w:rsidRPr="5D8904BE">
              <w:rPr>
                <w:sz w:val="18"/>
                <w:szCs w:val="18"/>
              </w:rPr>
              <w:t xml:space="preserve">Living </w:t>
            </w:r>
            <w:proofErr w:type="spellStart"/>
            <w:proofErr w:type="gramStart"/>
            <w:r w:rsidRPr="5D8904BE">
              <w:rPr>
                <w:sz w:val="18"/>
                <w:szCs w:val="18"/>
              </w:rPr>
              <w:t>environment</w:t>
            </w:r>
            <w:proofErr w:type="spellEnd"/>
            <w:r w:rsidRPr="5D8904BE">
              <w:rPr>
                <w:sz w:val="18"/>
                <w:szCs w:val="18"/>
              </w:rPr>
              <w:t>:</w:t>
            </w:r>
            <w:proofErr w:type="gramEnd"/>
            <w:r w:rsidRPr="5D8904BE">
              <w:rPr>
                <w:sz w:val="18"/>
                <w:szCs w:val="18"/>
              </w:rPr>
              <w:t xml:space="preserve"> </w:t>
            </w:r>
            <w:proofErr w:type="spellStart"/>
            <w:r w:rsidRPr="5D8904BE">
              <w:rPr>
                <w:sz w:val="18"/>
                <w:szCs w:val="18"/>
              </w:rPr>
              <w:t>health</w:t>
            </w:r>
            <w:proofErr w:type="spellEnd"/>
            <w:r w:rsidRPr="5D8904BE">
              <w:rPr>
                <w:sz w:val="18"/>
                <w:szCs w:val="18"/>
              </w:rPr>
              <w:t xml:space="preserve">, </w:t>
            </w:r>
            <w:proofErr w:type="spellStart"/>
            <w:r w:rsidRPr="5D8904BE">
              <w:rPr>
                <w:sz w:val="18"/>
                <w:szCs w:val="18"/>
              </w:rPr>
              <w:t>sanitation</w:t>
            </w:r>
            <w:proofErr w:type="spellEnd"/>
            <w:r w:rsidRPr="5D8904BE">
              <w:rPr>
                <w:sz w:val="18"/>
                <w:szCs w:val="18"/>
              </w:rPr>
              <w:t>;</w:t>
            </w:r>
          </w:p>
          <w:p w14:paraId="00000239" w14:textId="77777777" w:rsidR="004F7DB3" w:rsidRPr="00A86393" w:rsidRDefault="552CE4D7" w:rsidP="001360BB">
            <w:pPr>
              <w:numPr>
                <w:ilvl w:val="0"/>
                <w:numId w:val="194"/>
              </w:numPr>
              <w:spacing w:after="0" w:line="360" w:lineRule="auto"/>
              <w:jc w:val="both"/>
              <w:rPr>
                <w:sz w:val="18"/>
                <w:szCs w:val="18"/>
              </w:rPr>
            </w:pPr>
            <w:proofErr w:type="spellStart"/>
            <w:r w:rsidRPr="5D8904BE">
              <w:rPr>
                <w:sz w:val="18"/>
                <w:szCs w:val="18"/>
              </w:rPr>
              <w:t>Industry</w:t>
            </w:r>
            <w:proofErr w:type="spellEnd"/>
            <w:r w:rsidRPr="5D8904BE">
              <w:rPr>
                <w:sz w:val="18"/>
                <w:szCs w:val="18"/>
              </w:rPr>
              <w:t xml:space="preserve"> and Mining</w:t>
            </w:r>
          </w:p>
          <w:p w14:paraId="0000023A" w14:textId="1580D4C7" w:rsidR="004F7DB3" w:rsidRPr="00A86393" w:rsidRDefault="475526FC" w:rsidP="5D8904BE">
            <w:pPr>
              <w:pBdr>
                <w:top w:val="nil"/>
                <w:left w:val="nil"/>
                <w:bottom w:val="nil"/>
                <w:right w:val="nil"/>
                <w:between w:val="nil"/>
              </w:pBdr>
              <w:spacing w:after="0" w:line="240" w:lineRule="auto"/>
              <w:jc w:val="both"/>
              <w:rPr>
                <w:sz w:val="18"/>
                <w:szCs w:val="18"/>
                <w:lang w:val="en-US"/>
              </w:rPr>
            </w:pPr>
            <w:r w:rsidRPr="5D8904BE">
              <w:rPr>
                <w:sz w:val="18"/>
                <w:szCs w:val="18"/>
                <w:lang w:val="en-US"/>
              </w:rPr>
              <w:t xml:space="preserve">The coherence of the </w:t>
            </w:r>
            <w:r w:rsidR="6CCB95B5" w:rsidRPr="5D8904BE">
              <w:rPr>
                <w:sz w:val="18"/>
                <w:szCs w:val="18"/>
                <w:lang w:val="en-US"/>
              </w:rPr>
              <w:t>GEF-8 project</w:t>
            </w:r>
            <w:r w:rsidRPr="5D8904BE">
              <w:rPr>
                <w:sz w:val="18"/>
                <w:szCs w:val="18"/>
                <w:lang w:val="en-US"/>
              </w:rPr>
              <w:t xml:space="preserve"> </w:t>
            </w:r>
            <w:r w:rsidR="2D06DD04" w:rsidRPr="5D8904BE">
              <w:rPr>
                <w:sz w:val="18"/>
                <w:szCs w:val="18"/>
                <w:lang w:val="en-US"/>
              </w:rPr>
              <w:t xml:space="preserve">lies in its inclusive design, which integrates </w:t>
            </w:r>
            <w:r w:rsidRPr="5D8904BE">
              <w:rPr>
                <w:sz w:val="18"/>
                <w:szCs w:val="18"/>
                <w:lang w:val="en-US"/>
              </w:rPr>
              <w:t>all sectors of the first three areas</w:t>
            </w:r>
            <w:r w:rsidR="438B2F26" w:rsidRPr="5D8904BE">
              <w:rPr>
                <w:sz w:val="18"/>
                <w:szCs w:val="18"/>
                <w:lang w:val="en-US"/>
              </w:rPr>
              <w:t xml:space="preserve">. It also </w:t>
            </w:r>
            <w:r w:rsidRPr="5D8904BE">
              <w:rPr>
                <w:sz w:val="18"/>
                <w:szCs w:val="18"/>
                <w:lang w:val="en-US"/>
              </w:rPr>
              <w:t>offer</w:t>
            </w:r>
            <w:r w:rsidR="6EB24856" w:rsidRPr="5D8904BE">
              <w:rPr>
                <w:sz w:val="18"/>
                <w:szCs w:val="18"/>
                <w:lang w:val="en-US"/>
              </w:rPr>
              <w:t>s</w:t>
            </w:r>
            <w:r w:rsidRPr="5D8904BE">
              <w:rPr>
                <w:sz w:val="18"/>
                <w:szCs w:val="18"/>
                <w:lang w:val="en-US"/>
              </w:rPr>
              <w:t xml:space="preserve"> perspectives for the sectors of area 4 with specific ambitions for the Greater Bamako metropolis </w:t>
            </w:r>
            <w:r w:rsidR="2B5A0E90" w:rsidRPr="5D8904BE">
              <w:rPr>
                <w:sz w:val="18"/>
                <w:szCs w:val="18"/>
                <w:lang w:val="en-US"/>
              </w:rPr>
              <w:t xml:space="preserve">particularly </w:t>
            </w:r>
            <w:proofErr w:type="gramStart"/>
            <w:r w:rsidR="2B5A0E90" w:rsidRPr="5D8904BE">
              <w:rPr>
                <w:sz w:val="18"/>
                <w:szCs w:val="18"/>
                <w:lang w:val="en-US"/>
              </w:rPr>
              <w:t xml:space="preserve">through </w:t>
            </w:r>
            <w:r w:rsidRPr="5D8904BE">
              <w:rPr>
                <w:sz w:val="18"/>
                <w:szCs w:val="18"/>
                <w:lang w:val="en-US"/>
              </w:rPr>
              <w:t xml:space="preserve"> inter</w:t>
            </w:r>
            <w:proofErr w:type="gramEnd"/>
            <w:r w:rsidRPr="5D8904BE">
              <w:rPr>
                <w:sz w:val="18"/>
                <w:szCs w:val="18"/>
                <w:lang w:val="en-US"/>
              </w:rPr>
              <w:t>-community</w:t>
            </w:r>
            <w:r w:rsidR="5267DD5C" w:rsidRPr="5D8904BE">
              <w:rPr>
                <w:sz w:val="18"/>
                <w:szCs w:val="18"/>
                <w:lang w:val="en-US"/>
              </w:rPr>
              <w:t>.</w:t>
            </w:r>
          </w:p>
        </w:tc>
      </w:tr>
      <w:tr w:rsidR="004F7DB3" w:rsidRPr="00F50786" w14:paraId="46DBE943" w14:textId="77777777" w:rsidTr="13C5956C">
        <w:trPr>
          <w:trHeight w:val="300"/>
          <w:jc w:val="center"/>
        </w:trPr>
        <w:tc>
          <w:tcPr>
            <w:tcW w:w="1170" w:type="dxa"/>
            <w:tcBorders>
              <w:top w:val="single" w:sz="4" w:space="0" w:color="000000" w:themeColor="text1"/>
              <w:bottom w:val="single" w:sz="4" w:space="0" w:color="000000" w:themeColor="text1"/>
            </w:tcBorders>
          </w:tcPr>
          <w:p w14:paraId="0000023B" w14:textId="77777777" w:rsidR="004F7DB3" w:rsidRPr="00A86393" w:rsidRDefault="004F7DB3" w:rsidP="00DD60F2">
            <w:pPr>
              <w:spacing w:after="0" w:line="240" w:lineRule="auto"/>
              <w:jc w:val="both"/>
              <w:rPr>
                <w:sz w:val="18"/>
                <w:szCs w:val="18"/>
                <w:lang w:val="en-US"/>
              </w:rPr>
            </w:pPr>
          </w:p>
        </w:tc>
        <w:tc>
          <w:tcPr>
            <w:tcW w:w="1920" w:type="dxa"/>
            <w:tcBorders>
              <w:top w:val="single" w:sz="4" w:space="0" w:color="000000" w:themeColor="text1"/>
              <w:bottom w:val="single" w:sz="4" w:space="0" w:color="000000" w:themeColor="text1"/>
            </w:tcBorders>
          </w:tcPr>
          <w:p w14:paraId="0000023C" w14:textId="1EADA612" w:rsidR="004F7DB3" w:rsidRPr="006F5E1D" w:rsidRDefault="352EB93F" w:rsidP="5D8904BE">
            <w:pPr>
              <w:pBdr>
                <w:top w:val="nil"/>
                <w:left w:val="nil"/>
                <w:bottom w:val="nil"/>
                <w:right w:val="nil"/>
                <w:between w:val="nil"/>
              </w:pBdr>
              <w:spacing w:after="0" w:line="240" w:lineRule="auto"/>
              <w:rPr>
                <w:sz w:val="18"/>
                <w:szCs w:val="18"/>
                <w:lang w:val="en-US"/>
              </w:rPr>
            </w:pPr>
            <w:r w:rsidRPr="5D8904BE">
              <w:rPr>
                <w:sz w:val="18"/>
                <w:szCs w:val="18"/>
                <w:lang w:val="en-US"/>
              </w:rPr>
              <w:t>The National Determined Contribution</w:t>
            </w:r>
            <w:r w:rsidR="7C53FCC0" w:rsidRPr="5D8904BE">
              <w:rPr>
                <w:sz w:val="18"/>
                <w:szCs w:val="18"/>
                <w:lang w:val="en-US"/>
              </w:rPr>
              <w:t xml:space="preserve"> (NDC)</w:t>
            </w:r>
            <w:r w:rsidRPr="5D8904BE">
              <w:rPr>
                <w:sz w:val="18"/>
                <w:szCs w:val="18"/>
                <w:lang w:val="en-US"/>
              </w:rPr>
              <w:t>, 2021</w:t>
            </w:r>
          </w:p>
        </w:tc>
        <w:tc>
          <w:tcPr>
            <w:tcW w:w="10513" w:type="dxa"/>
            <w:tcBorders>
              <w:top w:val="single" w:sz="4" w:space="0" w:color="000000" w:themeColor="text1"/>
              <w:bottom w:val="single" w:sz="4" w:space="0" w:color="000000" w:themeColor="text1"/>
            </w:tcBorders>
          </w:tcPr>
          <w:p w14:paraId="0000023D" w14:textId="22D505CB" w:rsidR="004F7DB3" w:rsidRPr="00A86393" w:rsidRDefault="650CD6A5" w:rsidP="00DD60F2">
            <w:pPr>
              <w:spacing w:before="240" w:after="240" w:line="240" w:lineRule="auto"/>
              <w:jc w:val="both"/>
              <w:rPr>
                <w:sz w:val="18"/>
                <w:szCs w:val="18"/>
              </w:rPr>
            </w:pPr>
            <w:r w:rsidRPr="5D8904BE">
              <w:rPr>
                <w:sz w:val="18"/>
                <w:szCs w:val="18"/>
                <w:lang w:val="en-US"/>
              </w:rPr>
              <w:t>The NDC is</w:t>
            </w:r>
            <w:r w:rsidR="352EB93F" w:rsidRPr="5D8904BE">
              <w:rPr>
                <w:sz w:val="18"/>
                <w:szCs w:val="18"/>
                <w:lang w:val="en-US"/>
              </w:rPr>
              <w:t xml:space="preserve"> the country's commitments to mitigate greenhouse gas (GHG) emissions and adapt to climate change, in line with its national sustainable development priorities. </w:t>
            </w:r>
            <w:proofErr w:type="spellStart"/>
            <w:r w:rsidR="352EB93F" w:rsidRPr="5D8904BE">
              <w:rPr>
                <w:sz w:val="18"/>
                <w:szCs w:val="18"/>
              </w:rPr>
              <w:t>Targeted</w:t>
            </w:r>
            <w:proofErr w:type="spellEnd"/>
            <w:r w:rsidR="352EB93F" w:rsidRPr="5D8904BE">
              <w:rPr>
                <w:sz w:val="18"/>
                <w:szCs w:val="18"/>
              </w:rPr>
              <w:t xml:space="preserve"> </w:t>
            </w:r>
            <w:proofErr w:type="spellStart"/>
            <w:r w:rsidR="352EB93F" w:rsidRPr="5D8904BE">
              <w:rPr>
                <w:sz w:val="18"/>
                <w:szCs w:val="18"/>
              </w:rPr>
              <w:t>sectors</w:t>
            </w:r>
            <w:proofErr w:type="spellEnd"/>
            <w:r w:rsidR="352EB93F" w:rsidRPr="5D8904BE">
              <w:rPr>
                <w:sz w:val="18"/>
                <w:szCs w:val="18"/>
              </w:rPr>
              <w:t xml:space="preserve"> </w:t>
            </w:r>
            <w:proofErr w:type="spellStart"/>
            <w:proofErr w:type="gramStart"/>
            <w:r w:rsidR="352EB93F" w:rsidRPr="5D8904BE">
              <w:rPr>
                <w:sz w:val="18"/>
                <w:szCs w:val="18"/>
              </w:rPr>
              <w:t>include</w:t>
            </w:r>
            <w:proofErr w:type="spellEnd"/>
            <w:r w:rsidR="352EB93F" w:rsidRPr="5D8904BE">
              <w:rPr>
                <w:sz w:val="18"/>
                <w:szCs w:val="18"/>
              </w:rPr>
              <w:t>:</w:t>
            </w:r>
            <w:proofErr w:type="gramEnd"/>
          </w:p>
          <w:p w14:paraId="0000023E" w14:textId="77777777" w:rsidR="004F7DB3" w:rsidRPr="00A86393" w:rsidRDefault="352EB93F" w:rsidP="001360BB">
            <w:pPr>
              <w:numPr>
                <w:ilvl w:val="0"/>
                <w:numId w:val="82"/>
              </w:numPr>
              <w:spacing w:after="0" w:line="240" w:lineRule="auto"/>
              <w:rPr>
                <w:sz w:val="18"/>
                <w:szCs w:val="18"/>
                <w:lang w:val="en-US"/>
              </w:rPr>
            </w:pPr>
            <w:r w:rsidRPr="5D8904BE">
              <w:rPr>
                <w:sz w:val="18"/>
                <w:szCs w:val="18"/>
                <w:lang w:val="en-US"/>
              </w:rPr>
              <w:t>Energy: promotion of renewable energies (solar, hydroelectricity), improvement of energy efficiency.</w:t>
            </w:r>
          </w:p>
          <w:p w14:paraId="0000023F" w14:textId="77777777" w:rsidR="004F7DB3" w:rsidRPr="00A86393" w:rsidRDefault="352EB93F" w:rsidP="001360BB">
            <w:pPr>
              <w:numPr>
                <w:ilvl w:val="0"/>
                <w:numId w:val="81"/>
              </w:numPr>
              <w:spacing w:after="0" w:line="240" w:lineRule="auto"/>
              <w:rPr>
                <w:sz w:val="18"/>
                <w:szCs w:val="18"/>
                <w:lang w:val="en-US"/>
              </w:rPr>
            </w:pPr>
            <w:r w:rsidRPr="5D8904BE">
              <w:rPr>
                <w:sz w:val="18"/>
                <w:szCs w:val="18"/>
                <w:lang w:val="en-US"/>
              </w:rPr>
              <w:t>Agriculture and forestry: reduction of deforestation, resilient agricultural practices, agroforestry.</w:t>
            </w:r>
          </w:p>
          <w:p w14:paraId="00000240" w14:textId="77777777" w:rsidR="004F7DB3" w:rsidRPr="00A86393" w:rsidRDefault="352EB93F" w:rsidP="001360BB">
            <w:pPr>
              <w:numPr>
                <w:ilvl w:val="0"/>
                <w:numId w:val="80"/>
              </w:numPr>
              <w:spacing w:after="0" w:line="240" w:lineRule="auto"/>
              <w:rPr>
                <w:sz w:val="18"/>
                <w:szCs w:val="18"/>
                <w:lang w:val="en-US"/>
              </w:rPr>
            </w:pPr>
            <w:r w:rsidRPr="5D8904BE">
              <w:rPr>
                <w:sz w:val="18"/>
                <w:szCs w:val="18"/>
                <w:lang w:val="en-US"/>
              </w:rPr>
              <w:t>Transport: introduction of clean modes of transport and promotion of sustainable infrastructure</w:t>
            </w:r>
          </w:p>
          <w:p w14:paraId="00000241" w14:textId="77777777" w:rsidR="004F7DB3" w:rsidRPr="00A86393" w:rsidRDefault="00C00123" w:rsidP="00DD60F2">
            <w:pPr>
              <w:spacing w:before="240" w:after="240" w:line="240" w:lineRule="auto"/>
              <w:rPr>
                <w:sz w:val="18"/>
                <w:szCs w:val="18"/>
                <w:lang w:val="en-US"/>
              </w:rPr>
            </w:pPr>
            <w:r w:rsidRPr="00A86393">
              <w:rPr>
                <w:sz w:val="18"/>
                <w:szCs w:val="18"/>
                <w:lang w:val="en-US"/>
              </w:rPr>
              <w:t xml:space="preserve">As for the climate change adaptation strategies, the following priorities are mentioned: </w:t>
            </w:r>
          </w:p>
          <w:p w14:paraId="00000242" w14:textId="77777777" w:rsidR="004F7DB3" w:rsidRPr="00A86393" w:rsidRDefault="00C00123" w:rsidP="001360BB">
            <w:pPr>
              <w:numPr>
                <w:ilvl w:val="0"/>
                <w:numId w:val="186"/>
              </w:numPr>
              <w:spacing w:after="0" w:line="240" w:lineRule="auto"/>
              <w:rPr>
                <w:sz w:val="18"/>
                <w:szCs w:val="18"/>
                <w:lang w:val="en-US"/>
              </w:rPr>
            </w:pPr>
            <w:r w:rsidRPr="00A86393">
              <w:rPr>
                <w:sz w:val="18"/>
                <w:szCs w:val="18"/>
                <w:lang w:val="en-US"/>
              </w:rPr>
              <w:t>Strengthening the resilience of vulnerable communities to climate risks (droughts, floods).</w:t>
            </w:r>
          </w:p>
          <w:p w14:paraId="00000243" w14:textId="77777777" w:rsidR="004F7DB3" w:rsidRPr="00A86393" w:rsidRDefault="00C00123" w:rsidP="001360BB">
            <w:pPr>
              <w:numPr>
                <w:ilvl w:val="0"/>
                <w:numId w:val="186"/>
              </w:numPr>
              <w:spacing w:after="0" w:line="240" w:lineRule="auto"/>
              <w:rPr>
                <w:sz w:val="18"/>
                <w:szCs w:val="18"/>
                <w:lang w:val="en-US"/>
              </w:rPr>
            </w:pPr>
            <w:r w:rsidRPr="00A86393">
              <w:rPr>
                <w:sz w:val="18"/>
                <w:szCs w:val="18"/>
                <w:lang w:val="en-US"/>
              </w:rPr>
              <w:t>Biodiversity and ecosystems: protection of forests, restoration of degraded lands.</w:t>
            </w:r>
          </w:p>
          <w:p w14:paraId="00000244" w14:textId="77777777" w:rsidR="004F7DB3" w:rsidRPr="00A86393" w:rsidRDefault="00C00123" w:rsidP="001360BB">
            <w:pPr>
              <w:numPr>
                <w:ilvl w:val="0"/>
                <w:numId w:val="186"/>
              </w:numPr>
              <w:spacing w:after="240" w:line="240" w:lineRule="auto"/>
              <w:rPr>
                <w:sz w:val="18"/>
                <w:szCs w:val="18"/>
                <w:lang w:val="en-US"/>
              </w:rPr>
            </w:pPr>
            <w:r w:rsidRPr="00A86393">
              <w:rPr>
                <w:sz w:val="18"/>
                <w:szCs w:val="18"/>
                <w:lang w:val="en-US"/>
              </w:rPr>
              <w:t>Health and well-being: strengthening of health infrastructure in the face of climate-sensitive diseases (malaria, food insecurity).</w:t>
            </w:r>
          </w:p>
          <w:p w14:paraId="00000245" w14:textId="416AF47A" w:rsidR="004F7DB3" w:rsidRPr="00A86393" w:rsidRDefault="475526FC" w:rsidP="00DD60F2">
            <w:pPr>
              <w:spacing w:after="240" w:line="240" w:lineRule="auto"/>
              <w:rPr>
                <w:sz w:val="18"/>
                <w:szCs w:val="18"/>
                <w:lang w:val="en-US"/>
              </w:rPr>
            </w:pPr>
            <w:r w:rsidRPr="5D8904BE">
              <w:rPr>
                <w:sz w:val="18"/>
                <w:szCs w:val="18"/>
                <w:lang w:val="en-US"/>
              </w:rPr>
              <w:t xml:space="preserve">The coherence of the </w:t>
            </w:r>
            <w:r w:rsidR="3B1A8444" w:rsidRPr="5D8904BE">
              <w:rPr>
                <w:sz w:val="18"/>
                <w:szCs w:val="18"/>
                <w:lang w:val="en-US"/>
              </w:rPr>
              <w:t>GEF-8 project</w:t>
            </w:r>
            <w:r w:rsidRPr="5D8904BE">
              <w:rPr>
                <w:sz w:val="18"/>
                <w:szCs w:val="18"/>
                <w:lang w:val="en-US"/>
              </w:rPr>
              <w:t xml:space="preserve"> is based on its contribution to the achievement of axis N°1 of the national strategy for the implementation of the </w:t>
            </w:r>
            <w:proofErr w:type="spellStart"/>
            <w:r w:rsidR="4B52DA0B" w:rsidRPr="5D8904BE">
              <w:rPr>
                <w:sz w:val="18"/>
                <w:szCs w:val="18"/>
                <w:lang w:val="en-US"/>
              </w:rPr>
              <w:t>udpated</w:t>
            </w:r>
            <w:proofErr w:type="spellEnd"/>
            <w:r w:rsidR="4B52DA0B" w:rsidRPr="5D8904BE">
              <w:rPr>
                <w:sz w:val="18"/>
                <w:szCs w:val="18"/>
                <w:lang w:val="en-US"/>
              </w:rPr>
              <w:t xml:space="preserve"> </w:t>
            </w:r>
            <w:r w:rsidRPr="5D8904BE">
              <w:rPr>
                <w:sz w:val="18"/>
                <w:szCs w:val="18"/>
                <w:lang w:val="en-US"/>
              </w:rPr>
              <w:t xml:space="preserve">NDC on the "development of project portfolios" in its four areas of </w:t>
            </w:r>
            <w:proofErr w:type="gramStart"/>
            <w:r w:rsidRPr="5D8904BE">
              <w:rPr>
                <w:sz w:val="18"/>
                <w:szCs w:val="18"/>
                <w:lang w:val="en-US"/>
              </w:rPr>
              <w:t>intervention  with</w:t>
            </w:r>
            <w:proofErr w:type="gramEnd"/>
            <w:r w:rsidRPr="5D8904BE">
              <w:rPr>
                <w:sz w:val="18"/>
                <w:szCs w:val="18"/>
                <w:lang w:val="en-US"/>
              </w:rPr>
              <w:t xml:space="preserve"> </w:t>
            </w:r>
            <w:r w:rsidR="2DB48742" w:rsidRPr="5D8904BE">
              <w:rPr>
                <w:sz w:val="18"/>
                <w:szCs w:val="18"/>
                <w:lang w:val="en-US"/>
              </w:rPr>
              <w:t xml:space="preserve">the </w:t>
            </w:r>
            <w:r w:rsidRPr="5D8904BE">
              <w:rPr>
                <w:sz w:val="18"/>
                <w:szCs w:val="18"/>
                <w:lang w:val="en-US"/>
              </w:rPr>
              <w:t>respective reduction ambitions: energy (31%), agriculture (25%), forests and land-use change (39%) and waste (31%). It is also an additional concrete opportunity to contribute to the development of the carbon market.</w:t>
            </w:r>
          </w:p>
        </w:tc>
      </w:tr>
      <w:tr w:rsidR="004F7DB3" w:rsidRPr="00F50786" w14:paraId="7D907B63" w14:textId="77777777" w:rsidTr="13C5956C">
        <w:trPr>
          <w:trHeight w:val="300"/>
          <w:jc w:val="center"/>
        </w:trPr>
        <w:tc>
          <w:tcPr>
            <w:tcW w:w="1170" w:type="dxa"/>
            <w:tcBorders>
              <w:top w:val="single" w:sz="4" w:space="0" w:color="000000" w:themeColor="text1"/>
              <w:bottom w:val="single" w:sz="4" w:space="0" w:color="000000" w:themeColor="text1"/>
            </w:tcBorders>
          </w:tcPr>
          <w:p w14:paraId="00000246" w14:textId="77777777" w:rsidR="004F7DB3" w:rsidRPr="00A86393" w:rsidRDefault="004F7DB3" w:rsidP="00DD60F2">
            <w:pPr>
              <w:spacing w:after="0" w:line="240" w:lineRule="auto"/>
              <w:jc w:val="both"/>
              <w:rPr>
                <w:sz w:val="18"/>
                <w:szCs w:val="18"/>
                <w:lang w:val="en-US"/>
              </w:rPr>
            </w:pPr>
          </w:p>
        </w:tc>
        <w:tc>
          <w:tcPr>
            <w:tcW w:w="1920" w:type="dxa"/>
            <w:tcBorders>
              <w:top w:val="single" w:sz="4" w:space="0" w:color="000000" w:themeColor="text1"/>
              <w:bottom w:val="single" w:sz="4" w:space="0" w:color="000000" w:themeColor="text1"/>
            </w:tcBorders>
          </w:tcPr>
          <w:p w14:paraId="00000247" w14:textId="77777777" w:rsidR="004F7DB3" w:rsidRPr="00A86393" w:rsidRDefault="00C00123" w:rsidP="00DD60F2">
            <w:pPr>
              <w:pBdr>
                <w:top w:val="nil"/>
                <w:left w:val="nil"/>
                <w:bottom w:val="nil"/>
                <w:right w:val="nil"/>
                <w:between w:val="nil"/>
              </w:pBdr>
              <w:spacing w:after="0" w:line="240" w:lineRule="auto"/>
              <w:rPr>
                <w:sz w:val="18"/>
                <w:szCs w:val="18"/>
                <w:lang w:val="en-US"/>
              </w:rPr>
            </w:pPr>
            <w:r w:rsidRPr="00A86393">
              <w:rPr>
                <w:sz w:val="18"/>
                <w:szCs w:val="18"/>
                <w:lang w:val="en-US"/>
              </w:rPr>
              <w:t>The National Forest Policy (2017)</w:t>
            </w:r>
          </w:p>
          <w:p w14:paraId="7CC4C004" w14:textId="4575C7B6" w:rsidR="004F7DB3" w:rsidRPr="00A86393" w:rsidRDefault="352EB93F" w:rsidP="5D8904BE">
            <w:pPr>
              <w:spacing w:after="0" w:line="360" w:lineRule="auto"/>
              <w:rPr>
                <w:sz w:val="18"/>
                <w:szCs w:val="18"/>
                <w:lang w:val="en-US"/>
              </w:rPr>
            </w:pPr>
            <w:r>
              <w:lastRenderedPageBreak/>
              <w:fldChar w:fldCharType="begin"/>
            </w:r>
            <w:r w:rsidRPr="00F50786">
              <w:rPr>
                <w:lang w:val="en-US"/>
                <w:rPrChange w:id="28" w:author="Ali Sambou" w:date="2026-01-06T13:23:00Z" w16du:dateUtc="2026-01-06T13:23:00Z">
                  <w:rPr/>
                </w:rPrChange>
              </w:rPr>
              <w:instrText>HYPERLINK "https://sgg-mali.ml/JO/2017/mali-jo-2017-44.pdf"</w:instrText>
            </w:r>
            <w:r>
              <w:fldChar w:fldCharType="separate"/>
            </w:r>
            <w:r w:rsidRPr="5D8904BE">
              <w:rPr>
                <w:rStyle w:val="Lienhypertexte"/>
                <w:sz w:val="18"/>
                <w:szCs w:val="18"/>
                <w:lang w:val="en-US"/>
              </w:rPr>
              <w:t>Decree No. 2017-0845/P-RM approving the national forest policy and its 2018-2022 action plan</w:t>
            </w:r>
            <w:r>
              <w:fldChar w:fldCharType="end"/>
            </w:r>
            <w:r w:rsidRPr="5D8904BE">
              <w:rPr>
                <w:sz w:val="18"/>
                <w:szCs w:val="18"/>
                <w:lang w:val="en-US"/>
              </w:rPr>
              <w:t xml:space="preserve"> (p.1749)</w:t>
            </w:r>
          </w:p>
          <w:p w14:paraId="762B1492" w14:textId="53FAFF98" w:rsidR="004F7DB3" w:rsidRPr="00A86393" w:rsidRDefault="004F7DB3" w:rsidP="5D8904BE">
            <w:pPr>
              <w:pBdr>
                <w:top w:val="nil"/>
                <w:left w:val="nil"/>
                <w:bottom w:val="nil"/>
                <w:right w:val="nil"/>
                <w:between w:val="nil"/>
              </w:pBdr>
              <w:spacing w:after="0" w:line="240" w:lineRule="auto"/>
              <w:rPr>
                <w:sz w:val="18"/>
                <w:szCs w:val="18"/>
                <w:lang w:val="en-US"/>
              </w:rPr>
            </w:pPr>
          </w:p>
          <w:p w14:paraId="2A092D58" w14:textId="55565A33" w:rsidR="004F7DB3" w:rsidRPr="00A86393" w:rsidRDefault="004F7DB3" w:rsidP="5D8904BE">
            <w:pPr>
              <w:spacing w:after="0" w:line="360" w:lineRule="auto"/>
              <w:rPr>
                <w:color w:val="1155CC"/>
                <w:sz w:val="18"/>
                <w:szCs w:val="18"/>
                <w:u w:val="single"/>
                <w:lang w:val="en-US"/>
              </w:rPr>
            </w:pPr>
          </w:p>
          <w:p w14:paraId="00000249" w14:textId="7BE90E98" w:rsidR="004F7DB3" w:rsidRPr="00A86393" w:rsidRDefault="004F7DB3" w:rsidP="00DD60F2">
            <w:pPr>
              <w:pBdr>
                <w:top w:val="nil"/>
                <w:left w:val="nil"/>
                <w:bottom w:val="nil"/>
                <w:right w:val="nil"/>
                <w:between w:val="nil"/>
              </w:pBdr>
              <w:spacing w:after="0" w:line="240" w:lineRule="auto"/>
              <w:rPr>
                <w:sz w:val="18"/>
                <w:szCs w:val="18"/>
                <w:lang w:val="en-US"/>
              </w:rPr>
            </w:pPr>
          </w:p>
        </w:tc>
        <w:tc>
          <w:tcPr>
            <w:tcW w:w="10513" w:type="dxa"/>
            <w:tcBorders>
              <w:top w:val="single" w:sz="4" w:space="0" w:color="000000" w:themeColor="text1"/>
              <w:bottom w:val="single" w:sz="4" w:space="0" w:color="000000" w:themeColor="text1"/>
            </w:tcBorders>
          </w:tcPr>
          <w:p w14:paraId="0000024A" w14:textId="77777777" w:rsidR="004F7DB3" w:rsidRPr="00A86393" w:rsidRDefault="552CE4D7" w:rsidP="5D8904BE">
            <w:pPr>
              <w:pBdr>
                <w:top w:val="nil"/>
                <w:left w:val="nil"/>
                <w:bottom w:val="nil"/>
                <w:right w:val="nil"/>
                <w:between w:val="nil"/>
              </w:pBdr>
              <w:spacing w:after="240" w:line="240" w:lineRule="auto"/>
              <w:rPr>
                <w:sz w:val="18"/>
                <w:szCs w:val="18"/>
                <w:lang w:val="en-US"/>
              </w:rPr>
            </w:pPr>
            <w:r w:rsidRPr="5D8904BE">
              <w:rPr>
                <w:sz w:val="18"/>
                <w:szCs w:val="18"/>
                <w:lang w:val="en-US"/>
              </w:rPr>
              <w:lastRenderedPageBreak/>
              <w:t xml:space="preserve">The National Forest Policy and its 2018-2022 Action Plan: This new national forest policy "NFP" adopted in June 2017 aims to ensure integrated and sustainable management of forest and wildlife resources </w:t>
            </w:r>
            <w:proofErr w:type="gramStart"/>
            <w:r w:rsidRPr="5D8904BE">
              <w:rPr>
                <w:sz w:val="18"/>
                <w:szCs w:val="18"/>
                <w:lang w:val="en-US"/>
              </w:rPr>
              <w:t>in order to</w:t>
            </w:r>
            <w:proofErr w:type="gramEnd"/>
            <w:r w:rsidRPr="5D8904BE">
              <w:rPr>
                <w:sz w:val="18"/>
                <w:szCs w:val="18"/>
                <w:lang w:val="en-US"/>
              </w:rPr>
              <w:t xml:space="preserve"> contribute to the fight against poverty, sustainable land management and climate change.</w:t>
            </w:r>
          </w:p>
          <w:p w14:paraId="0000024B" w14:textId="77777777" w:rsidR="004F7DB3" w:rsidRPr="00A86393" w:rsidRDefault="552CE4D7" w:rsidP="5D8904BE">
            <w:pPr>
              <w:pBdr>
                <w:top w:val="nil"/>
                <w:left w:val="nil"/>
                <w:bottom w:val="nil"/>
                <w:right w:val="nil"/>
                <w:between w:val="nil"/>
              </w:pBdr>
              <w:spacing w:after="240" w:line="240" w:lineRule="auto"/>
              <w:rPr>
                <w:sz w:val="18"/>
                <w:szCs w:val="18"/>
                <w:lang w:val="en-US"/>
              </w:rPr>
            </w:pPr>
            <w:r w:rsidRPr="5D8904BE">
              <w:rPr>
                <w:sz w:val="18"/>
                <w:szCs w:val="18"/>
                <w:lang w:val="en-US"/>
              </w:rPr>
              <w:lastRenderedPageBreak/>
              <w:t>The NFP and its 2018-2022 action plan have a financial impact of more than 45 billion CFA francs divided between the State, technical and financial partners and local authorities. Given the importance of the forest sector for SLM, the LDN process will integrate the actions called for by the NFP action plan, ensuring that they are consistent with the targets to be defined.</w:t>
            </w:r>
          </w:p>
          <w:p w14:paraId="0000024C" w14:textId="77777777" w:rsidR="004F7DB3" w:rsidRPr="00A86393" w:rsidRDefault="004F7DB3" w:rsidP="00DD60F2">
            <w:pPr>
              <w:spacing w:after="0" w:line="360" w:lineRule="auto"/>
              <w:jc w:val="both"/>
              <w:rPr>
                <w:sz w:val="18"/>
                <w:szCs w:val="18"/>
                <w:lang w:val="en-US"/>
              </w:rPr>
            </w:pPr>
          </w:p>
        </w:tc>
      </w:tr>
      <w:tr w:rsidR="004F7DB3" w:rsidRPr="00F50786" w14:paraId="2ADA932E" w14:textId="77777777" w:rsidTr="13C5956C">
        <w:trPr>
          <w:trHeight w:val="300"/>
          <w:jc w:val="center"/>
        </w:trPr>
        <w:tc>
          <w:tcPr>
            <w:tcW w:w="1170" w:type="dxa"/>
            <w:tcBorders>
              <w:top w:val="single" w:sz="4" w:space="0" w:color="000000" w:themeColor="text1"/>
              <w:bottom w:val="single" w:sz="4" w:space="0" w:color="000000" w:themeColor="text1"/>
            </w:tcBorders>
          </w:tcPr>
          <w:p w14:paraId="0000024D" w14:textId="77777777" w:rsidR="004F7DB3" w:rsidRPr="00A86393" w:rsidRDefault="004F7DB3" w:rsidP="00DD60F2">
            <w:pPr>
              <w:spacing w:after="0" w:line="240" w:lineRule="auto"/>
              <w:jc w:val="both"/>
              <w:rPr>
                <w:sz w:val="18"/>
                <w:szCs w:val="18"/>
                <w:lang w:val="en-US"/>
              </w:rPr>
            </w:pPr>
          </w:p>
        </w:tc>
        <w:tc>
          <w:tcPr>
            <w:tcW w:w="1920" w:type="dxa"/>
            <w:tcBorders>
              <w:top w:val="single" w:sz="4" w:space="0" w:color="000000" w:themeColor="text1"/>
              <w:bottom w:val="single" w:sz="4" w:space="0" w:color="000000" w:themeColor="text1"/>
            </w:tcBorders>
          </w:tcPr>
          <w:p w14:paraId="0000024E" w14:textId="25903E11" w:rsidR="004F7DB3" w:rsidRPr="00A86393" w:rsidRDefault="6DE85D1E" w:rsidP="00DD60F2">
            <w:pPr>
              <w:spacing w:after="0" w:line="240" w:lineRule="auto"/>
              <w:rPr>
                <w:sz w:val="18"/>
                <w:szCs w:val="18"/>
              </w:rPr>
            </w:pPr>
            <w:r w:rsidRPr="537FA187">
              <w:rPr>
                <w:sz w:val="18"/>
                <w:szCs w:val="18"/>
              </w:rPr>
              <w:t>National Urban Policy</w:t>
            </w:r>
            <w:r w:rsidR="0B29A4D1" w:rsidRPr="537FA187">
              <w:rPr>
                <w:sz w:val="18"/>
                <w:szCs w:val="18"/>
              </w:rPr>
              <w:t xml:space="preserve"> (</w:t>
            </w:r>
            <w:r w:rsidR="2875C5E9" w:rsidRPr="537FA187">
              <w:rPr>
                <w:sz w:val="18"/>
                <w:szCs w:val="18"/>
              </w:rPr>
              <w:t>NUP</w:t>
            </w:r>
            <w:r w:rsidR="0B29A4D1" w:rsidRPr="537FA187">
              <w:rPr>
                <w:sz w:val="18"/>
                <w:szCs w:val="18"/>
              </w:rPr>
              <w:t>)</w:t>
            </w:r>
            <w:r w:rsidRPr="537FA187">
              <w:rPr>
                <w:sz w:val="18"/>
                <w:szCs w:val="18"/>
              </w:rPr>
              <w:t>, 2014</w:t>
            </w:r>
          </w:p>
        </w:tc>
        <w:tc>
          <w:tcPr>
            <w:tcW w:w="10513" w:type="dxa"/>
            <w:tcBorders>
              <w:top w:val="single" w:sz="4" w:space="0" w:color="000000" w:themeColor="text1"/>
              <w:bottom w:val="single" w:sz="4" w:space="0" w:color="000000" w:themeColor="text1"/>
            </w:tcBorders>
          </w:tcPr>
          <w:p w14:paraId="04CE2F6B" w14:textId="29A9DF0E" w:rsidR="004F7DB3" w:rsidRPr="00A86393" w:rsidRDefault="4C60FC0C" w:rsidP="5D8904BE">
            <w:pPr>
              <w:spacing w:before="240" w:after="240" w:line="240" w:lineRule="auto"/>
              <w:jc w:val="both"/>
              <w:rPr>
                <w:sz w:val="18"/>
                <w:szCs w:val="18"/>
                <w:lang w:val="en-US"/>
              </w:rPr>
            </w:pPr>
            <w:r w:rsidRPr="537FA187">
              <w:rPr>
                <w:sz w:val="18"/>
                <w:szCs w:val="18"/>
                <w:lang w:val="en-US"/>
              </w:rPr>
              <w:t xml:space="preserve">The </w:t>
            </w:r>
            <w:r w:rsidRPr="537FA187">
              <w:rPr>
                <w:b/>
                <w:bCs/>
                <w:sz w:val="18"/>
                <w:szCs w:val="18"/>
                <w:lang w:val="en-US"/>
              </w:rPr>
              <w:t>National Urban Policy (</w:t>
            </w:r>
            <w:r w:rsidR="0B228AA7" w:rsidRPr="537FA187">
              <w:rPr>
                <w:b/>
                <w:bCs/>
                <w:sz w:val="18"/>
                <w:szCs w:val="18"/>
                <w:lang w:val="en-US"/>
              </w:rPr>
              <w:t>NUP</w:t>
            </w:r>
            <w:r w:rsidRPr="537FA187">
              <w:rPr>
                <w:b/>
                <w:bCs/>
                <w:sz w:val="18"/>
                <w:szCs w:val="18"/>
                <w:lang w:val="en-US"/>
              </w:rPr>
              <w:t>)</w:t>
            </w:r>
            <w:r w:rsidRPr="537FA187">
              <w:rPr>
                <w:sz w:val="18"/>
                <w:szCs w:val="18"/>
                <w:lang w:val="en-US"/>
              </w:rPr>
              <w:t xml:space="preserve">, led by the State and local governments, aims to foster </w:t>
            </w:r>
            <w:r w:rsidRPr="537FA187">
              <w:rPr>
                <w:b/>
                <w:bCs/>
                <w:sz w:val="18"/>
                <w:szCs w:val="18"/>
                <w:lang w:val="en-US"/>
              </w:rPr>
              <w:t>inclusive, livable, and well-managed cities</w:t>
            </w:r>
            <w:r w:rsidRPr="537FA187">
              <w:rPr>
                <w:sz w:val="18"/>
                <w:szCs w:val="18"/>
                <w:lang w:val="en-US"/>
              </w:rPr>
              <w:t>. Its objectives include strengthening local economies, enhancing cities’ financial autonomy, promoting socio-cultural diversity, reinforcing citizenship and democracy, and improving urban governance.</w:t>
            </w:r>
          </w:p>
          <w:p w14:paraId="529EA334" w14:textId="24E440EF" w:rsidR="004F7DB3" w:rsidRPr="00A86393" w:rsidRDefault="4C60FC0C" w:rsidP="5D8904BE">
            <w:pPr>
              <w:spacing w:before="240" w:after="240" w:line="240" w:lineRule="auto"/>
              <w:jc w:val="both"/>
              <w:rPr>
                <w:sz w:val="18"/>
                <w:szCs w:val="18"/>
                <w:lang w:val="en-US"/>
              </w:rPr>
            </w:pPr>
            <w:r w:rsidRPr="537FA187">
              <w:rPr>
                <w:sz w:val="18"/>
                <w:szCs w:val="18"/>
                <w:lang w:val="en-US"/>
              </w:rPr>
              <w:t xml:space="preserve">To support these goals, </w:t>
            </w:r>
            <w:r w:rsidR="5DDEBDFC" w:rsidRPr="537FA187">
              <w:rPr>
                <w:sz w:val="18"/>
                <w:szCs w:val="18"/>
                <w:lang w:val="en-US"/>
              </w:rPr>
              <w:t>NUP</w:t>
            </w:r>
            <w:r w:rsidRPr="537FA187">
              <w:rPr>
                <w:sz w:val="18"/>
                <w:szCs w:val="18"/>
                <w:lang w:val="en-US"/>
              </w:rPr>
              <w:t xml:space="preserve"> outlines a series of strategic and operational actions aligned with the </w:t>
            </w:r>
            <w:r w:rsidRPr="537FA187">
              <w:rPr>
                <w:b/>
                <w:bCs/>
                <w:sz w:val="18"/>
                <w:szCs w:val="18"/>
                <w:lang w:val="en-US"/>
              </w:rPr>
              <w:t>GEF-8 project's sectoral priorities</w:t>
            </w:r>
            <w:r w:rsidRPr="537FA187">
              <w:rPr>
                <w:sz w:val="18"/>
                <w:szCs w:val="18"/>
                <w:lang w:val="en-US"/>
              </w:rPr>
              <w:t xml:space="preserve">, serving as a foundation for sustainable urban planning, including City Master Plans. </w:t>
            </w:r>
            <w:r w:rsidR="0E238213" w:rsidRPr="537FA187">
              <w:rPr>
                <w:sz w:val="18"/>
                <w:szCs w:val="18"/>
                <w:lang w:val="en-US"/>
              </w:rPr>
              <w:t xml:space="preserve">NUP </w:t>
            </w:r>
            <w:r w:rsidR="3CA3340A" w:rsidRPr="537FA187">
              <w:rPr>
                <w:sz w:val="18"/>
                <w:szCs w:val="18"/>
                <w:lang w:val="en-US"/>
              </w:rPr>
              <w:t xml:space="preserve">focuses on assessing and developing essential urban infrastructures—such as water, energy, sanitation, and public spaces—while ensuring equitable distribution across cities like Bamako and Greater Bamako. It promotes sustainable urban management through environmental protection measures, including riverbank restoration, waste management, pollution control, and energy reduction, alongside innovative construction techniques like the "H Brick Process." Additionally, it aims to improve urban mobility with traffic plans and dedicated </w:t>
            </w:r>
            <w:proofErr w:type="gramStart"/>
            <w:r w:rsidR="3CA3340A" w:rsidRPr="537FA187">
              <w:rPr>
                <w:sz w:val="18"/>
                <w:szCs w:val="18"/>
                <w:lang w:val="en-US"/>
              </w:rPr>
              <w:t>lanes, and</w:t>
            </w:r>
            <w:proofErr w:type="gramEnd"/>
            <w:r w:rsidR="3CA3340A" w:rsidRPr="537FA187">
              <w:rPr>
                <w:sz w:val="18"/>
                <w:szCs w:val="18"/>
                <w:lang w:val="en-US"/>
              </w:rPr>
              <w:t xml:space="preserve"> strengthens governance by encouraging inter-municipal cooperation and regional development frameworks.</w:t>
            </w:r>
          </w:p>
          <w:p w14:paraId="00000261" w14:textId="21C55DD6" w:rsidR="004F7DB3" w:rsidRPr="00A86393" w:rsidRDefault="004F7DB3" w:rsidP="5D8904BE">
            <w:pPr>
              <w:spacing w:after="0" w:line="240" w:lineRule="auto"/>
              <w:jc w:val="both"/>
              <w:rPr>
                <w:sz w:val="18"/>
                <w:szCs w:val="18"/>
                <w:lang w:val="en-US"/>
              </w:rPr>
            </w:pPr>
          </w:p>
        </w:tc>
      </w:tr>
      <w:tr w:rsidR="004F7DB3" w:rsidRPr="00F50786" w14:paraId="1E4D1C1D" w14:textId="77777777" w:rsidTr="13C5956C">
        <w:trPr>
          <w:trHeight w:val="300"/>
          <w:jc w:val="center"/>
        </w:trPr>
        <w:tc>
          <w:tcPr>
            <w:tcW w:w="1170" w:type="dxa"/>
            <w:vMerge w:val="restart"/>
            <w:tcBorders>
              <w:top w:val="single" w:sz="4" w:space="0" w:color="000000" w:themeColor="text1"/>
              <w:bottom w:val="single" w:sz="4" w:space="0" w:color="000000" w:themeColor="text1"/>
            </w:tcBorders>
          </w:tcPr>
          <w:p w14:paraId="00000262" w14:textId="77777777" w:rsidR="004F7DB3" w:rsidRPr="00A86393" w:rsidRDefault="004F7DB3" w:rsidP="00DD60F2">
            <w:pPr>
              <w:spacing w:after="0" w:line="240" w:lineRule="auto"/>
              <w:jc w:val="both"/>
              <w:rPr>
                <w:sz w:val="18"/>
                <w:szCs w:val="18"/>
                <w:lang w:val="en-US"/>
              </w:rPr>
            </w:pPr>
          </w:p>
        </w:tc>
        <w:tc>
          <w:tcPr>
            <w:tcW w:w="1920" w:type="dxa"/>
            <w:tcBorders>
              <w:top w:val="single" w:sz="4" w:space="0" w:color="000000" w:themeColor="text1"/>
              <w:bottom w:val="single" w:sz="4" w:space="0" w:color="000000" w:themeColor="text1"/>
            </w:tcBorders>
          </w:tcPr>
          <w:p w14:paraId="00000263" w14:textId="639BC499" w:rsidR="004F7DB3" w:rsidRPr="00A86393" w:rsidRDefault="6DE85D1E" w:rsidP="00DD60F2">
            <w:pPr>
              <w:spacing w:after="0" w:line="240" w:lineRule="auto"/>
              <w:rPr>
                <w:sz w:val="18"/>
                <w:szCs w:val="18"/>
              </w:rPr>
            </w:pPr>
            <w:r w:rsidRPr="537FA187">
              <w:rPr>
                <w:sz w:val="18"/>
                <w:szCs w:val="18"/>
              </w:rPr>
              <w:t>National Transportation Policy</w:t>
            </w:r>
            <w:r w:rsidR="7E849E66" w:rsidRPr="537FA187">
              <w:rPr>
                <w:sz w:val="18"/>
                <w:szCs w:val="18"/>
              </w:rPr>
              <w:t xml:space="preserve"> (</w:t>
            </w:r>
            <w:r w:rsidR="1082C293" w:rsidRPr="537FA187">
              <w:rPr>
                <w:sz w:val="18"/>
                <w:szCs w:val="18"/>
              </w:rPr>
              <w:t>NTP</w:t>
            </w:r>
            <w:r w:rsidR="7E849E66" w:rsidRPr="537FA187">
              <w:rPr>
                <w:sz w:val="18"/>
                <w:szCs w:val="18"/>
              </w:rPr>
              <w:t>)</w:t>
            </w:r>
          </w:p>
        </w:tc>
        <w:tc>
          <w:tcPr>
            <w:tcW w:w="10513" w:type="dxa"/>
            <w:tcBorders>
              <w:top w:val="single" w:sz="4" w:space="0" w:color="000000" w:themeColor="text1"/>
              <w:bottom w:val="single" w:sz="4" w:space="0" w:color="000000" w:themeColor="text1"/>
            </w:tcBorders>
          </w:tcPr>
          <w:p w14:paraId="00000264" w14:textId="69D20F20" w:rsidR="004F7DB3" w:rsidRPr="00A86393" w:rsidRDefault="6DE85D1E" w:rsidP="00DD60F2">
            <w:pPr>
              <w:spacing w:after="0" w:line="240" w:lineRule="auto"/>
              <w:jc w:val="both"/>
              <w:rPr>
                <w:sz w:val="18"/>
                <w:szCs w:val="18"/>
                <w:lang w:val="en-US"/>
              </w:rPr>
            </w:pPr>
            <w:r w:rsidRPr="537FA187">
              <w:rPr>
                <w:sz w:val="18"/>
                <w:szCs w:val="18"/>
                <w:lang w:val="en-US"/>
              </w:rPr>
              <w:t xml:space="preserve">The </w:t>
            </w:r>
            <w:r w:rsidR="7D6FDA13" w:rsidRPr="537FA187">
              <w:rPr>
                <w:sz w:val="18"/>
                <w:szCs w:val="18"/>
                <w:lang w:val="en-US"/>
              </w:rPr>
              <w:t xml:space="preserve">NTP </w:t>
            </w:r>
            <w:r w:rsidRPr="537FA187">
              <w:rPr>
                <w:sz w:val="18"/>
                <w:szCs w:val="18"/>
                <w:lang w:val="en-US"/>
              </w:rPr>
              <w:t>aims to "develop, operate and maintain an infrastructure network and a multimodal and integrated transport system that is efficient, economical, reliable and safe, which corresponds to the general policy of the Government, in order to meet the needs of regional development in a sustainable way from a social, economic and environmental point of view."</w:t>
            </w:r>
          </w:p>
          <w:p w14:paraId="26C1341E" w14:textId="52973CEB" w:rsidR="24AA8F7E" w:rsidRDefault="24AA8F7E" w:rsidP="00DD60F2">
            <w:pPr>
              <w:spacing w:after="0" w:line="240" w:lineRule="auto"/>
              <w:jc w:val="both"/>
              <w:rPr>
                <w:sz w:val="18"/>
                <w:szCs w:val="18"/>
                <w:lang w:val="en-US"/>
              </w:rPr>
            </w:pPr>
          </w:p>
          <w:p w14:paraId="00000265" w14:textId="3A9EC3AE" w:rsidR="004F7DB3" w:rsidRPr="00A86393" w:rsidRDefault="352EB93F" w:rsidP="00DD60F2">
            <w:pPr>
              <w:spacing w:after="0" w:line="240" w:lineRule="auto"/>
              <w:jc w:val="both"/>
              <w:rPr>
                <w:sz w:val="18"/>
                <w:szCs w:val="18"/>
                <w:lang w:val="en-US"/>
              </w:rPr>
            </w:pPr>
            <w:r w:rsidRPr="5D8904BE">
              <w:rPr>
                <w:sz w:val="18"/>
                <w:szCs w:val="18"/>
                <w:lang w:val="en-US"/>
              </w:rPr>
              <w:t>To do this, it has planned four (4) strategic orientations broken down into five (5) specific areas</w:t>
            </w:r>
            <w:r w:rsidR="2B54296B" w:rsidRPr="5D8904BE">
              <w:rPr>
                <w:sz w:val="18"/>
                <w:szCs w:val="18"/>
                <w:lang w:val="en-US"/>
              </w:rPr>
              <w:t>,</w:t>
            </w:r>
            <w:r w:rsidRPr="5D8904BE">
              <w:rPr>
                <w:sz w:val="18"/>
                <w:szCs w:val="18"/>
                <w:lang w:val="en-US"/>
              </w:rPr>
              <w:t xml:space="preserve"> which are: </w:t>
            </w:r>
          </w:p>
          <w:p w14:paraId="00000266" w14:textId="77777777" w:rsidR="004F7DB3" w:rsidRPr="00CD72B6" w:rsidRDefault="130D72FF" w:rsidP="40E7FE84">
            <w:pPr>
              <w:numPr>
                <w:ilvl w:val="0"/>
                <w:numId w:val="195"/>
              </w:numPr>
              <w:spacing w:after="0" w:line="240" w:lineRule="auto"/>
              <w:jc w:val="both"/>
              <w:rPr>
                <w:sz w:val="18"/>
                <w:szCs w:val="18"/>
                <w:lang w:val="en-US"/>
              </w:rPr>
            </w:pPr>
            <w:r w:rsidRPr="00CD72B6">
              <w:rPr>
                <w:sz w:val="18"/>
                <w:szCs w:val="18"/>
                <w:lang w:val="en-US"/>
              </w:rPr>
              <w:t xml:space="preserve">Infrastructure (transport networks, improving their accessibility to the population, distribution of investments in </w:t>
            </w:r>
            <w:proofErr w:type="spellStart"/>
            <w:r w:rsidRPr="00CD72B6">
              <w:rPr>
                <w:sz w:val="18"/>
                <w:szCs w:val="18"/>
                <w:lang w:val="en-US"/>
              </w:rPr>
              <w:t>favour</w:t>
            </w:r>
            <w:proofErr w:type="spellEnd"/>
            <w:r w:rsidRPr="00CD72B6">
              <w:rPr>
                <w:sz w:val="18"/>
                <w:szCs w:val="18"/>
                <w:lang w:val="en-US"/>
              </w:rPr>
              <w:t xml:space="preserve"> of other modes of non-road transport, i.e. rail or inland waterway transport that are less dependent on the price of petroleum products</w:t>
            </w:r>
            <w:proofErr w:type="gramStart"/>
            <w:r w:rsidRPr="00CD72B6">
              <w:rPr>
                <w:sz w:val="18"/>
                <w:szCs w:val="18"/>
                <w:lang w:val="en-US"/>
              </w:rPr>
              <w:t>);</w:t>
            </w:r>
            <w:proofErr w:type="gramEnd"/>
          </w:p>
          <w:p w14:paraId="00000267" w14:textId="3C7168AA" w:rsidR="004F7DB3" w:rsidRPr="00CD72B6" w:rsidRDefault="75126921" w:rsidP="40E7FE84">
            <w:pPr>
              <w:numPr>
                <w:ilvl w:val="0"/>
                <w:numId w:val="195"/>
              </w:numPr>
              <w:spacing w:after="0" w:line="240" w:lineRule="auto"/>
              <w:jc w:val="both"/>
              <w:rPr>
                <w:sz w:val="18"/>
                <w:szCs w:val="18"/>
                <w:lang w:val="en-US"/>
              </w:rPr>
            </w:pPr>
            <w:r w:rsidRPr="00CD72B6">
              <w:rPr>
                <w:sz w:val="18"/>
                <w:szCs w:val="18"/>
                <w:lang w:val="en-US"/>
              </w:rPr>
              <w:t xml:space="preserve">Operation and maintenance of infrastructure (strategy for the operation and maintenance of transport infrastructure to best ensure the preservation and safeguarding of the national heritage; maintenance of all </w:t>
            </w:r>
            <w:proofErr w:type="gramStart"/>
            <w:r w:rsidR="2D1F3B4A" w:rsidRPr="00CD72B6">
              <w:rPr>
                <w:sz w:val="18"/>
                <w:szCs w:val="18"/>
                <w:lang w:val="en-US"/>
              </w:rPr>
              <w:t>infrastructure ;</w:t>
            </w:r>
            <w:proofErr w:type="gramEnd"/>
            <w:r w:rsidRPr="00CD72B6">
              <w:rPr>
                <w:sz w:val="18"/>
                <w:szCs w:val="18"/>
                <w:lang w:val="en-US"/>
              </w:rPr>
              <w:t xml:space="preserve"> efficient use of available resources and safety of transport operations);</w:t>
            </w:r>
          </w:p>
          <w:p w14:paraId="00000268" w14:textId="7AFEF8D0" w:rsidR="004F7DB3" w:rsidRPr="00A86393" w:rsidRDefault="7C86166A" w:rsidP="001360BB">
            <w:pPr>
              <w:numPr>
                <w:ilvl w:val="0"/>
                <w:numId w:val="195"/>
              </w:numPr>
              <w:spacing w:after="0" w:line="240" w:lineRule="auto"/>
              <w:jc w:val="both"/>
              <w:rPr>
                <w:sz w:val="18"/>
                <w:szCs w:val="18"/>
                <w:lang w:val="en-US"/>
              </w:rPr>
            </w:pPr>
            <w:r w:rsidRPr="00A86393">
              <w:rPr>
                <w:sz w:val="18"/>
                <w:szCs w:val="18"/>
                <w:lang w:val="en-US"/>
              </w:rPr>
              <w:t xml:space="preserve">Institutions (institutional capacity-building with training and recruitment for better management of the sector's activities; development of new functions; planning and implementation of road maintenance, and the systematic use of </w:t>
            </w:r>
            <w:proofErr w:type="spellStart"/>
            <w:r w:rsidRPr="00A86393">
              <w:rPr>
                <w:sz w:val="18"/>
                <w:szCs w:val="18"/>
                <w:lang w:val="en-US"/>
              </w:rPr>
              <w:t>programme</w:t>
            </w:r>
            <w:proofErr w:type="spellEnd"/>
            <w:r w:rsidRPr="00A86393">
              <w:rPr>
                <w:sz w:val="18"/>
                <w:szCs w:val="18"/>
                <w:lang w:val="en-US"/>
              </w:rPr>
              <w:t xml:space="preserve"> contracts </w:t>
            </w:r>
            <w:r w:rsidRPr="00A86393">
              <w:rPr>
                <w:sz w:val="18"/>
                <w:szCs w:val="18"/>
                <w:lang w:val="en-US"/>
              </w:rPr>
              <w:lastRenderedPageBreak/>
              <w:t>to monitor the activities of agencies and enterprises under supervision; support for private sector efforts in terms of investment in modern and efficient transport equipment and for the training and qualification of its staff, etc.);</w:t>
            </w:r>
          </w:p>
          <w:p w14:paraId="00000269" w14:textId="49D82AD6" w:rsidR="004F7DB3" w:rsidRPr="00CD72B6" w:rsidRDefault="130D72FF" w:rsidP="40E7FE84">
            <w:pPr>
              <w:numPr>
                <w:ilvl w:val="0"/>
                <w:numId w:val="195"/>
              </w:numPr>
              <w:spacing w:after="0" w:line="240" w:lineRule="auto"/>
              <w:jc w:val="both"/>
              <w:rPr>
                <w:sz w:val="18"/>
                <w:szCs w:val="18"/>
                <w:lang w:val="en-US"/>
              </w:rPr>
            </w:pPr>
            <w:r w:rsidRPr="00CD72B6">
              <w:rPr>
                <w:sz w:val="18"/>
                <w:szCs w:val="18"/>
                <w:lang w:val="en-US"/>
              </w:rPr>
              <w:t>Financing of the sector (encouragement of the private sector to invest in the transport sector, in particular to modernize the operation of the various modes and systems of transport with a view to making them more efficient and economical; encouragement of Public-Private Partnerships (PPPs); diversification of methods of financing infrastructure maintenance, etc.</w:t>
            </w:r>
            <w:proofErr w:type="gramStart"/>
            <w:r w:rsidRPr="00CD72B6">
              <w:rPr>
                <w:sz w:val="18"/>
                <w:szCs w:val="18"/>
                <w:lang w:val="en-US"/>
              </w:rPr>
              <w:t>);</w:t>
            </w:r>
            <w:proofErr w:type="gramEnd"/>
          </w:p>
          <w:p w14:paraId="0000026A" w14:textId="4F00C081" w:rsidR="004F7DB3" w:rsidRPr="00A86393" w:rsidRDefault="06D0C9A1" w:rsidP="001360BB">
            <w:pPr>
              <w:numPr>
                <w:ilvl w:val="0"/>
                <w:numId w:val="195"/>
              </w:numPr>
              <w:spacing w:after="0" w:line="240" w:lineRule="auto"/>
              <w:jc w:val="both"/>
              <w:rPr>
                <w:sz w:val="18"/>
                <w:szCs w:val="18"/>
                <w:lang w:val="en-US"/>
              </w:rPr>
            </w:pPr>
            <w:r w:rsidRPr="24AA8F7E">
              <w:rPr>
                <w:sz w:val="18"/>
                <w:szCs w:val="18"/>
                <w:lang w:val="en-US"/>
              </w:rPr>
              <w:t>General policy (reduction of the impact of transport activities on the environment; prevention of transport activities from accelerating the spread of AIDS, STIs and other chronic diseases, etc.).</w:t>
            </w:r>
          </w:p>
          <w:p w14:paraId="6794B230" w14:textId="5D5B9103" w:rsidR="24AA8F7E" w:rsidRDefault="24AA8F7E" w:rsidP="00DD60F2">
            <w:pPr>
              <w:spacing w:after="0" w:line="240" w:lineRule="auto"/>
              <w:jc w:val="both"/>
              <w:rPr>
                <w:sz w:val="18"/>
                <w:szCs w:val="18"/>
                <w:lang w:val="en-US"/>
              </w:rPr>
            </w:pPr>
          </w:p>
          <w:p w14:paraId="0000026B" w14:textId="7B000898" w:rsidR="004F7DB3" w:rsidRPr="00A86393" w:rsidRDefault="475526FC" w:rsidP="00DD60F2">
            <w:pPr>
              <w:spacing w:after="0" w:line="240" w:lineRule="auto"/>
              <w:jc w:val="both"/>
              <w:rPr>
                <w:sz w:val="18"/>
                <w:szCs w:val="18"/>
                <w:lang w:val="en-US"/>
              </w:rPr>
            </w:pPr>
            <w:r w:rsidRPr="5D8904BE">
              <w:rPr>
                <w:sz w:val="18"/>
                <w:szCs w:val="18"/>
                <w:lang w:val="en-US"/>
              </w:rPr>
              <w:t xml:space="preserve">The coherence and relevance of the </w:t>
            </w:r>
            <w:r w:rsidR="1F475FF3" w:rsidRPr="5D8904BE">
              <w:rPr>
                <w:sz w:val="18"/>
                <w:szCs w:val="18"/>
                <w:lang w:val="en-US"/>
              </w:rPr>
              <w:t>GEF-</w:t>
            </w:r>
            <w:r w:rsidR="53C13CE2" w:rsidRPr="5D8904BE">
              <w:rPr>
                <w:sz w:val="18"/>
                <w:szCs w:val="18"/>
                <w:lang w:val="en-US"/>
              </w:rPr>
              <w:t>8</w:t>
            </w:r>
            <w:r w:rsidRPr="5D8904BE">
              <w:rPr>
                <w:sz w:val="18"/>
                <w:szCs w:val="18"/>
                <w:lang w:val="en-US"/>
              </w:rPr>
              <w:t xml:space="preserve"> </w:t>
            </w:r>
            <w:r w:rsidR="1FAE3907" w:rsidRPr="5D8904BE">
              <w:rPr>
                <w:sz w:val="18"/>
                <w:szCs w:val="18"/>
                <w:lang w:val="en-US"/>
              </w:rPr>
              <w:t>Bamako Sustainable City</w:t>
            </w:r>
            <w:r w:rsidR="1DA6FC71" w:rsidRPr="5D8904BE">
              <w:rPr>
                <w:sz w:val="18"/>
                <w:szCs w:val="18"/>
                <w:lang w:val="en-US"/>
              </w:rPr>
              <w:t xml:space="preserve"> project</w:t>
            </w:r>
            <w:r w:rsidR="1FAE3907" w:rsidRPr="5D8904BE">
              <w:rPr>
                <w:sz w:val="18"/>
                <w:szCs w:val="18"/>
                <w:lang w:val="en-US"/>
              </w:rPr>
              <w:t xml:space="preserve"> </w:t>
            </w:r>
            <w:r w:rsidRPr="5D8904BE">
              <w:rPr>
                <w:sz w:val="18"/>
                <w:szCs w:val="18"/>
                <w:lang w:val="en-US"/>
              </w:rPr>
              <w:t>lie</w:t>
            </w:r>
            <w:r w:rsidR="140C3B52" w:rsidRPr="5D8904BE">
              <w:rPr>
                <w:sz w:val="18"/>
                <w:szCs w:val="18"/>
                <w:lang w:val="en-US"/>
              </w:rPr>
              <w:t>s</w:t>
            </w:r>
            <w:r w:rsidRPr="5D8904BE">
              <w:rPr>
                <w:sz w:val="18"/>
                <w:szCs w:val="18"/>
                <w:lang w:val="en-US"/>
              </w:rPr>
              <w:t xml:space="preserve"> in the strengthening of institutional capacities, the creation of new functions, the intensification of the sector's intervention with the scaling up of digital solutions, the identification of new roads in addition to the existing government portfolio, etc.</w:t>
            </w:r>
          </w:p>
        </w:tc>
      </w:tr>
      <w:tr w:rsidR="004F7DB3" w:rsidRPr="00F50786" w14:paraId="0F3C3431" w14:textId="77777777" w:rsidTr="13C5956C">
        <w:trPr>
          <w:trHeight w:val="300"/>
          <w:jc w:val="center"/>
        </w:trPr>
        <w:tc>
          <w:tcPr>
            <w:tcW w:w="1170" w:type="dxa"/>
            <w:vMerge/>
          </w:tcPr>
          <w:p w14:paraId="0000026C" w14:textId="77777777" w:rsidR="004F7DB3" w:rsidRPr="00A86393" w:rsidRDefault="004F7DB3" w:rsidP="00DD60F2">
            <w:pPr>
              <w:spacing w:after="0" w:line="240" w:lineRule="auto"/>
              <w:jc w:val="both"/>
              <w:rPr>
                <w:sz w:val="18"/>
                <w:szCs w:val="18"/>
                <w:lang w:val="en-US"/>
              </w:rPr>
            </w:pPr>
          </w:p>
        </w:tc>
        <w:tc>
          <w:tcPr>
            <w:tcW w:w="1920" w:type="dxa"/>
            <w:tcBorders>
              <w:top w:val="single" w:sz="4" w:space="0" w:color="000000" w:themeColor="text1"/>
              <w:bottom w:val="single" w:sz="4" w:space="0" w:color="000000" w:themeColor="text1"/>
            </w:tcBorders>
          </w:tcPr>
          <w:p w14:paraId="0000026D" w14:textId="50EC08E2" w:rsidR="004F7DB3" w:rsidRPr="00A86393" w:rsidRDefault="00C00123" w:rsidP="00DD60F2">
            <w:pPr>
              <w:spacing w:after="0" w:line="240" w:lineRule="auto"/>
              <w:rPr>
                <w:sz w:val="18"/>
                <w:szCs w:val="18"/>
              </w:rPr>
            </w:pPr>
            <w:r w:rsidRPr="37FF86E9">
              <w:rPr>
                <w:sz w:val="18"/>
                <w:szCs w:val="18"/>
              </w:rPr>
              <w:t>National Energy Policy</w:t>
            </w:r>
            <w:r w:rsidR="5471340E" w:rsidRPr="37FF86E9">
              <w:rPr>
                <w:sz w:val="18"/>
                <w:szCs w:val="18"/>
              </w:rPr>
              <w:t xml:space="preserve"> (NEP)</w:t>
            </w:r>
          </w:p>
        </w:tc>
        <w:tc>
          <w:tcPr>
            <w:tcW w:w="10513" w:type="dxa"/>
            <w:tcBorders>
              <w:top w:val="single" w:sz="4" w:space="0" w:color="000000" w:themeColor="text1"/>
              <w:bottom w:val="single" w:sz="4" w:space="0" w:color="000000" w:themeColor="text1"/>
            </w:tcBorders>
          </w:tcPr>
          <w:p w14:paraId="0000026E" w14:textId="10349991" w:rsidR="004F7DB3" w:rsidRPr="00A86393" w:rsidRDefault="6724DA26" w:rsidP="00DD60F2">
            <w:pPr>
              <w:spacing w:after="0" w:line="240" w:lineRule="auto"/>
              <w:jc w:val="both"/>
              <w:rPr>
                <w:sz w:val="18"/>
                <w:szCs w:val="18"/>
                <w:lang w:val="en-US"/>
              </w:rPr>
            </w:pPr>
            <w:r w:rsidRPr="00A86393">
              <w:rPr>
                <w:sz w:val="18"/>
                <w:szCs w:val="18"/>
                <w:lang w:val="en-US"/>
              </w:rPr>
              <w:t xml:space="preserve">The National Energy Policy serves as the </w:t>
            </w:r>
            <w:r w:rsidR="3596A023" w:rsidRPr="00A86393">
              <w:rPr>
                <w:sz w:val="18"/>
                <w:szCs w:val="18"/>
                <w:lang w:val="en-US"/>
              </w:rPr>
              <w:t>r</w:t>
            </w:r>
            <w:r w:rsidR="2809ADD6" w:rsidRPr="00A86393">
              <w:rPr>
                <w:sz w:val="18"/>
                <w:szCs w:val="18"/>
                <w:lang w:val="en-US"/>
              </w:rPr>
              <w:t xml:space="preserve">eference </w:t>
            </w:r>
            <w:r w:rsidR="039596A0" w:rsidRPr="00A86393">
              <w:rPr>
                <w:sz w:val="18"/>
                <w:szCs w:val="18"/>
                <w:lang w:val="en-US"/>
              </w:rPr>
              <w:t>f</w:t>
            </w:r>
            <w:r w:rsidR="2809ADD6" w:rsidRPr="00A86393">
              <w:rPr>
                <w:sz w:val="18"/>
                <w:szCs w:val="18"/>
                <w:lang w:val="en-US"/>
              </w:rPr>
              <w:t xml:space="preserve">ramework </w:t>
            </w:r>
            <w:r w:rsidR="7A8F58F0" w:rsidRPr="00A86393">
              <w:rPr>
                <w:sz w:val="18"/>
                <w:szCs w:val="18"/>
                <w:lang w:val="en-US"/>
              </w:rPr>
              <w:t>d</w:t>
            </w:r>
            <w:r w:rsidR="2809ADD6" w:rsidRPr="00A86393">
              <w:rPr>
                <w:sz w:val="18"/>
                <w:szCs w:val="18"/>
                <w:lang w:val="en-US"/>
              </w:rPr>
              <w:t>ocument for the Energy Sector covering six sub-sectors and related policies: 1) Traditional Energy; 2) Hydrocarbons; 3) Electricity; 4) Renewable energy (including biofuels or bioenergy); 5) Nuclear energy; and (6) Energy efficiency.</w:t>
            </w:r>
          </w:p>
          <w:p w14:paraId="0000026F" w14:textId="77777777" w:rsidR="004F7DB3" w:rsidRPr="00A86393" w:rsidRDefault="004F7DB3" w:rsidP="00DD60F2">
            <w:pPr>
              <w:spacing w:after="0" w:line="240" w:lineRule="auto"/>
              <w:jc w:val="both"/>
              <w:rPr>
                <w:sz w:val="18"/>
                <w:szCs w:val="18"/>
                <w:lang w:val="en-US"/>
              </w:rPr>
            </w:pPr>
          </w:p>
          <w:p w14:paraId="00000270" w14:textId="5E9AC57A" w:rsidR="004F7DB3" w:rsidRPr="00A86393" w:rsidRDefault="475526FC" w:rsidP="00DD60F2">
            <w:pPr>
              <w:spacing w:after="0" w:line="240" w:lineRule="auto"/>
              <w:jc w:val="both"/>
              <w:rPr>
                <w:sz w:val="18"/>
                <w:szCs w:val="18"/>
                <w:lang w:val="en-US"/>
              </w:rPr>
            </w:pPr>
            <w:r w:rsidRPr="5D8904BE">
              <w:rPr>
                <w:sz w:val="18"/>
                <w:szCs w:val="18"/>
                <w:lang w:val="en-US"/>
              </w:rPr>
              <w:t>Its specific objectives,, are</w:t>
            </w:r>
            <w:r w:rsidR="7B90C082" w:rsidRPr="5D8904BE">
              <w:rPr>
                <w:sz w:val="18"/>
                <w:szCs w:val="18"/>
                <w:lang w:val="en-US"/>
              </w:rPr>
              <w:t xml:space="preserve"> to</w:t>
            </w:r>
            <w:r w:rsidRPr="5D8904BE">
              <w:rPr>
                <w:sz w:val="18"/>
                <w:szCs w:val="18"/>
                <w:lang w:val="en-US"/>
              </w:rPr>
              <w:t>: (</w:t>
            </w:r>
            <w:proofErr w:type="spellStart"/>
            <w:r w:rsidRPr="5D8904BE">
              <w:rPr>
                <w:sz w:val="18"/>
                <w:szCs w:val="18"/>
                <w:lang w:val="en-US"/>
              </w:rPr>
              <w:t>i</w:t>
            </w:r>
            <w:proofErr w:type="spellEnd"/>
            <w:r w:rsidRPr="5D8904BE">
              <w:rPr>
                <w:sz w:val="18"/>
                <w:szCs w:val="18"/>
                <w:lang w:val="en-US"/>
              </w:rPr>
              <w:t xml:space="preserve">) guarantee the widest possible access to energy for the population; (ii) developing the national energy resource potential; (iii) strengthen and preserve existing wood energy resources; (iv) liberalize the sector by mobilizing more initiatives from decentralized communities and private investors; </w:t>
            </w:r>
            <w:r w:rsidR="048EA3A6" w:rsidRPr="5D8904BE">
              <w:rPr>
                <w:sz w:val="18"/>
                <w:szCs w:val="18"/>
                <w:lang w:val="en-US"/>
              </w:rPr>
              <w:t xml:space="preserve">and </w:t>
            </w:r>
            <w:r w:rsidRPr="5D8904BE">
              <w:rPr>
                <w:sz w:val="18"/>
                <w:szCs w:val="18"/>
                <w:lang w:val="en-US"/>
              </w:rPr>
              <w:t>(v) adapt the institutional framework to the requirements of the energy sector, strengthening the State's capacity for strategic guidance and oversight.</w:t>
            </w:r>
          </w:p>
          <w:p w14:paraId="00000271" w14:textId="77777777" w:rsidR="004F7DB3" w:rsidRPr="00A86393" w:rsidRDefault="004F7DB3" w:rsidP="00DD60F2">
            <w:pPr>
              <w:spacing w:after="0" w:line="240" w:lineRule="auto"/>
              <w:jc w:val="both"/>
              <w:rPr>
                <w:sz w:val="18"/>
                <w:szCs w:val="18"/>
                <w:lang w:val="en-US"/>
              </w:rPr>
            </w:pPr>
          </w:p>
          <w:p w14:paraId="00000272" w14:textId="77777777" w:rsidR="004F7DB3" w:rsidRPr="00A86393" w:rsidRDefault="6D0B6F6D" w:rsidP="00DD60F2">
            <w:pPr>
              <w:spacing w:after="0" w:line="240" w:lineRule="auto"/>
              <w:jc w:val="both"/>
              <w:rPr>
                <w:sz w:val="18"/>
                <w:szCs w:val="18"/>
                <w:lang w:val="en-US"/>
              </w:rPr>
            </w:pPr>
            <w:r w:rsidRPr="00A86393">
              <w:rPr>
                <w:sz w:val="18"/>
                <w:szCs w:val="18"/>
                <w:lang w:val="en-US"/>
              </w:rPr>
              <w:t xml:space="preserve">Aspects related to access to electricity will be integrated into the National Energy Policy after its revision </w:t>
            </w:r>
            <w:proofErr w:type="gramStart"/>
            <w:r w:rsidRPr="00A86393">
              <w:rPr>
                <w:sz w:val="18"/>
                <w:szCs w:val="18"/>
                <w:lang w:val="en-US"/>
              </w:rPr>
              <w:t>in order to</w:t>
            </w:r>
            <w:proofErr w:type="gramEnd"/>
            <w:r w:rsidRPr="00A86393">
              <w:rPr>
                <w:sz w:val="18"/>
                <w:szCs w:val="18"/>
                <w:lang w:val="en-US"/>
              </w:rPr>
              <w:t xml:space="preserve"> avoid the establishment of a specific national policy on access to electricity.</w:t>
            </w:r>
          </w:p>
          <w:p w14:paraId="00000273" w14:textId="77777777" w:rsidR="004F7DB3" w:rsidRPr="00A86393" w:rsidRDefault="004F7DB3" w:rsidP="00DD60F2">
            <w:pPr>
              <w:spacing w:after="0" w:line="240" w:lineRule="auto"/>
              <w:jc w:val="both"/>
              <w:rPr>
                <w:sz w:val="18"/>
                <w:szCs w:val="18"/>
                <w:lang w:val="en-US"/>
              </w:rPr>
            </w:pPr>
          </w:p>
          <w:p w14:paraId="00000274" w14:textId="3A9B2DE5" w:rsidR="004F7DB3" w:rsidRPr="00A86393" w:rsidRDefault="37C4D076" w:rsidP="00DD60F2">
            <w:pPr>
              <w:spacing w:after="0" w:line="240" w:lineRule="auto"/>
              <w:jc w:val="both"/>
              <w:rPr>
                <w:sz w:val="18"/>
                <w:szCs w:val="18"/>
                <w:lang w:val="en-US"/>
              </w:rPr>
            </w:pPr>
            <w:r w:rsidRPr="537FA187">
              <w:rPr>
                <w:sz w:val="18"/>
                <w:szCs w:val="18"/>
                <w:lang w:val="en-US"/>
              </w:rPr>
              <w:t xml:space="preserve">The relevance of </w:t>
            </w:r>
            <w:r w:rsidR="0D8E417B" w:rsidRPr="537FA187">
              <w:rPr>
                <w:sz w:val="18"/>
                <w:szCs w:val="18"/>
                <w:lang w:val="en-US"/>
              </w:rPr>
              <w:t xml:space="preserve">GEF-8 </w:t>
            </w:r>
            <w:r w:rsidRPr="537FA187">
              <w:rPr>
                <w:sz w:val="18"/>
                <w:szCs w:val="18"/>
                <w:lang w:val="en-US"/>
              </w:rPr>
              <w:t xml:space="preserve">Bamako </w:t>
            </w:r>
            <w:r w:rsidR="111722FA" w:rsidRPr="537FA187">
              <w:rPr>
                <w:sz w:val="18"/>
                <w:szCs w:val="18"/>
                <w:lang w:val="en-US"/>
              </w:rPr>
              <w:t>IUDP</w:t>
            </w:r>
            <w:r w:rsidR="4ADCCE52" w:rsidRPr="537FA187">
              <w:rPr>
                <w:sz w:val="18"/>
                <w:szCs w:val="18"/>
                <w:lang w:val="en-US"/>
              </w:rPr>
              <w:t xml:space="preserve"> in Bamako</w:t>
            </w:r>
            <w:r w:rsidR="48BE8280" w:rsidRPr="537FA187">
              <w:rPr>
                <w:sz w:val="18"/>
                <w:szCs w:val="18"/>
                <w:lang w:val="en-US"/>
              </w:rPr>
              <w:t xml:space="preserve"> will support sustainable transport and e-mobility </w:t>
            </w:r>
            <w:proofErr w:type="spellStart"/>
            <w:r w:rsidR="48BE8280" w:rsidRPr="537FA187">
              <w:rPr>
                <w:sz w:val="18"/>
                <w:szCs w:val="18"/>
                <w:lang w:val="en-US"/>
              </w:rPr>
              <w:t>wich</w:t>
            </w:r>
            <w:proofErr w:type="spellEnd"/>
            <w:r w:rsidR="48BE8280" w:rsidRPr="537FA187">
              <w:rPr>
                <w:sz w:val="18"/>
                <w:szCs w:val="18"/>
                <w:lang w:val="en-US"/>
              </w:rPr>
              <w:t xml:space="preserve"> will need electric</w:t>
            </w:r>
            <w:r w:rsidR="5697F6C6" w:rsidRPr="537FA187">
              <w:rPr>
                <w:sz w:val="18"/>
                <w:szCs w:val="18"/>
                <w:lang w:val="en-US"/>
              </w:rPr>
              <w:t>ity infrastructure, and it will support also raising awareness about</w:t>
            </w:r>
            <w:r w:rsidR="2EF0A2A8" w:rsidRPr="537FA187">
              <w:rPr>
                <w:sz w:val="18"/>
                <w:szCs w:val="18"/>
                <w:lang w:val="en-US"/>
              </w:rPr>
              <w:t xml:space="preserve"> </w:t>
            </w:r>
            <w:proofErr w:type="spellStart"/>
            <w:r w:rsidR="2EF0A2A8" w:rsidRPr="537FA187">
              <w:rPr>
                <w:sz w:val="18"/>
                <w:szCs w:val="18"/>
                <w:lang w:val="en-US"/>
              </w:rPr>
              <w:t>climatie</w:t>
            </w:r>
            <w:proofErr w:type="spellEnd"/>
            <w:r w:rsidR="2EF0A2A8" w:rsidRPr="537FA187">
              <w:rPr>
                <w:sz w:val="18"/>
                <w:szCs w:val="18"/>
                <w:lang w:val="en-US"/>
              </w:rPr>
              <w:t xml:space="preserve"> and energy action plan in </w:t>
            </w:r>
            <w:proofErr w:type="gramStart"/>
            <w:r w:rsidR="2EF0A2A8" w:rsidRPr="537FA187">
              <w:rPr>
                <w:sz w:val="18"/>
                <w:szCs w:val="18"/>
                <w:lang w:val="en-US"/>
              </w:rPr>
              <w:t>Bamako .</w:t>
            </w:r>
            <w:proofErr w:type="gramEnd"/>
            <w:r w:rsidR="2EF0A2A8" w:rsidRPr="537FA187">
              <w:rPr>
                <w:sz w:val="18"/>
                <w:szCs w:val="18"/>
                <w:lang w:val="en-US"/>
              </w:rPr>
              <w:t xml:space="preserve"> </w:t>
            </w:r>
          </w:p>
        </w:tc>
      </w:tr>
      <w:tr w:rsidR="004F7DB3" w:rsidRPr="00F50786" w14:paraId="13AB035C" w14:textId="77777777" w:rsidTr="13C5956C">
        <w:trPr>
          <w:trHeight w:val="300"/>
          <w:jc w:val="center"/>
        </w:trPr>
        <w:tc>
          <w:tcPr>
            <w:tcW w:w="1170" w:type="dxa"/>
            <w:tcBorders>
              <w:top w:val="single" w:sz="4" w:space="0" w:color="000000" w:themeColor="text1"/>
              <w:bottom w:val="single" w:sz="4" w:space="0" w:color="000000" w:themeColor="text1"/>
            </w:tcBorders>
          </w:tcPr>
          <w:p w14:paraId="00000275" w14:textId="77777777" w:rsidR="004F7DB3" w:rsidRPr="00A86393" w:rsidRDefault="004F7DB3" w:rsidP="00DD60F2">
            <w:pPr>
              <w:spacing w:after="0" w:line="240" w:lineRule="auto"/>
              <w:jc w:val="both"/>
              <w:rPr>
                <w:sz w:val="18"/>
                <w:szCs w:val="18"/>
                <w:lang w:val="en-US"/>
              </w:rPr>
            </w:pPr>
          </w:p>
        </w:tc>
        <w:tc>
          <w:tcPr>
            <w:tcW w:w="1920" w:type="dxa"/>
            <w:tcBorders>
              <w:top w:val="single" w:sz="4" w:space="0" w:color="000000" w:themeColor="text1"/>
              <w:bottom w:val="single" w:sz="4" w:space="0" w:color="000000" w:themeColor="text1"/>
            </w:tcBorders>
          </w:tcPr>
          <w:p w14:paraId="00000276" w14:textId="3499D593" w:rsidR="004F7DB3" w:rsidRPr="00A86393" w:rsidRDefault="2809ADD6" w:rsidP="00DD60F2">
            <w:pPr>
              <w:pBdr>
                <w:top w:val="nil"/>
                <w:left w:val="nil"/>
                <w:bottom w:val="nil"/>
                <w:right w:val="nil"/>
                <w:between w:val="nil"/>
              </w:pBdr>
              <w:spacing w:before="240" w:after="240" w:line="240" w:lineRule="auto"/>
              <w:jc w:val="both"/>
              <w:rPr>
                <w:sz w:val="18"/>
                <w:szCs w:val="18"/>
              </w:rPr>
            </w:pPr>
            <w:r w:rsidRPr="37FF86E9">
              <w:rPr>
                <w:sz w:val="18"/>
                <w:szCs w:val="18"/>
              </w:rPr>
              <w:t>National Water Policy</w:t>
            </w:r>
            <w:r w:rsidR="30B7E6F5" w:rsidRPr="37FF86E9">
              <w:rPr>
                <w:sz w:val="18"/>
                <w:szCs w:val="18"/>
              </w:rPr>
              <w:t xml:space="preserve"> (</w:t>
            </w:r>
            <w:r w:rsidR="3AFA3201" w:rsidRPr="37FF86E9">
              <w:rPr>
                <w:sz w:val="18"/>
                <w:szCs w:val="18"/>
              </w:rPr>
              <w:t>NWP</w:t>
            </w:r>
            <w:r w:rsidR="30B7E6F5" w:rsidRPr="37FF86E9">
              <w:rPr>
                <w:sz w:val="18"/>
                <w:szCs w:val="18"/>
              </w:rPr>
              <w:t>)</w:t>
            </w:r>
          </w:p>
        </w:tc>
        <w:tc>
          <w:tcPr>
            <w:tcW w:w="10513" w:type="dxa"/>
            <w:tcBorders>
              <w:top w:val="single" w:sz="4" w:space="0" w:color="000000" w:themeColor="text1"/>
              <w:bottom w:val="single" w:sz="4" w:space="0" w:color="000000" w:themeColor="text1"/>
            </w:tcBorders>
          </w:tcPr>
          <w:p w14:paraId="00000277" w14:textId="211DEA0A" w:rsidR="004F7DB3" w:rsidRPr="00A86393" w:rsidRDefault="63E6D624" w:rsidP="00DD60F2">
            <w:pPr>
              <w:spacing w:after="0" w:line="240" w:lineRule="auto"/>
              <w:jc w:val="both"/>
              <w:rPr>
                <w:sz w:val="18"/>
                <w:szCs w:val="18"/>
                <w:lang w:val="en-US"/>
              </w:rPr>
            </w:pPr>
            <w:r w:rsidRPr="537FA187">
              <w:rPr>
                <w:sz w:val="18"/>
                <w:szCs w:val="18"/>
                <w:lang w:val="en-US"/>
              </w:rPr>
              <w:t xml:space="preserve">The </w:t>
            </w:r>
            <w:proofErr w:type="spellStart"/>
            <w:r w:rsidR="5E49E7E9" w:rsidRPr="537FA187">
              <w:rPr>
                <w:sz w:val="18"/>
                <w:szCs w:val="18"/>
                <w:lang w:val="en-US"/>
              </w:rPr>
              <w:t>NWP</w:t>
            </w:r>
            <w:r w:rsidRPr="537FA187">
              <w:rPr>
                <w:sz w:val="18"/>
                <w:szCs w:val="18"/>
                <w:lang w:val="en-US"/>
              </w:rPr>
              <w:t>aims</w:t>
            </w:r>
            <w:proofErr w:type="spellEnd"/>
            <w:r w:rsidRPr="537FA187">
              <w:rPr>
                <w:sz w:val="18"/>
                <w:szCs w:val="18"/>
                <w:lang w:val="en-US"/>
              </w:rPr>
              <w:t xml:space="preserve"> to contribute to poverty alleviation and sustainable development by providing appropriate solutions to water-related problems, so that water does not become a limiting factor in socio-economic development. It includes </w:t>
            </w:r>
            <w:r w:rsidR="3FF1367E" w:rsidRPr="537FA187">
              <w:rPr>
                <w:sz w:val="18"/>
                <w:szCs w:val="18"/>
                <w:lang w:val="en-US"/>
              </w:rPr>
              <w:t xml:space="preserve">11 </w:t>
            </w:r>
            <w:r w:rsidRPr="537FA187">
              <w:rPr>
                <w:sz w:val="18"/>
                <w:szCs w:val="18"/>
                <w:lang w:val="en-US"/>
              </w:rPr>
              <w:t xml:space="preserve">strategic directions, the most relevant to the </w:t>
            </w:r>
            <w:r w:rsidR="76F235BA" w:rsidRPr="537FA187">
              <w:rPr>
                <w:sz w:val="18"/>
                <w:szCs w:val="18"/>
                <w:lang w:val="en-US"/>
              </w:rPr>
              <w:t xml:space="preserve">GEF-8 project </w:t>
            </w:r>
            <w:r w:rsidRPr="537FA187">
              <w:rPr>
                <w:sz w:val="18"/>
                <w:szCs w:val="18"/>
                <w:lang w:val="en-US"/>
              </w:rPr>
              <w:t xml:space="preserve">being: </w:t>
            </w:r>
          </w:p>
          <w:p w14:paraId="00000278" w14:textId="77777777" w:rsidR="004F7DB3" w:rsidRPr="00CD72B6" w:rsidRDefault="130D72FF" w:rsidP="40E7FE84">
            <w:pPr>
              <w:numPr>
                <w:ilvl w:val="0"/>
                <w:numId w:val="200"/>
              </w:numPr>
              <w:spacing w:after="0" w:line="240" w:lineRule="auto"/>
              <w:jc w:val="both"/>
              <w:rPr>
                <w:sz w:val="18"/>
                <w:szCs w:val="18"/>
                <w:lang w:val="en-US"/>
              </w:rPr>
            </w:pPr>
            <w:r w:rsidRPr="00CD72B6">
              <w:rPr>
                <w:sz w:val="18"/>
                <w:szCs w:val="18"/>
                <w:lang w:val="en-US"/>
              </w:rPr>
              <w:t>Integrated Water Resources Management (IWRM</w:t>
            </w:r>
            <w:proofErr w:type="gramStart"/>
            <w:r w:rsidRPr="00CD72B6">
              <w:rPr>
                <w:sz w:val="18"/>
                <w:szCs w:val="18"/>
                <w:lang w:val="en-US"/>
              </w:rPr>
              <w:t>);</w:t>
            </w:r>
            <w:proofErr w:type="gramEnd"/>
          </w:p>
          <w:p w14:paraId="00000279" w14:textId="77777777" w:rsidR="004F7DB3" w:rsidRPr="00A86393" w:rsidRDefault="00C00123" w:rsidP="001360BB">
            <w:pPr>
              <w:numPr>
                <w:ilvl w:val="0"/>
                <w:numId w:val="200"/>
              </w:numPr>
              <w:spacing w:after="0" w:line="240" w:lineRule="auto"/>
              <w:jc w:val="both"/>
              <w:rPr>
                <w:sz w:val="18"/>
                <w:szCs w:val="18"/>
                <w:lang w:val="en-US"/>
              </w:rPr>
            </w:pPr>
            <w:r w:rsidRPr="00A86393">
              <w:rPr>
                <w:sz w:val="18"/>
                <w:szCs w:val="18"/>
                <w:lang w:val="en-US"/>
              </w:rPr>
              <w:t xml:space="preserve">sanitation strategy and measures to protect water </w:t>
            </w:r>
            <w:proofErr w:type="gramStart"/>
            <w:r w:rsidRPr="00A86393">
              <w:rPr>
                <w:sz w:val="18"/>
                <w:szCs w:val="18"/>
                <w:lang w:val="en-US"/>
              </w:rPr>
              <w:t>resources;</w:t>
            </w:r>
            <w:proofErr w:type="gramEnd"/>
            <w:r w:rsidRPr="00A86393">
              <w:rPr>
                <w:sz w:val="18"/>
                <w:szCs w:val="18"/>
                <w:lang w:val="en-US"/>
              </w:rPr>
              <w:t xml:space="preserve"> </w:t>
            </w:r>
          </w:p>
          <w:p w14:paraId="0000027A" w14:textId="1CF942D9" w:rsidR="004F7DB3" w:rsidRPr="00E86501" w:rsidRDefault="739BB38F" w:rsidP="13C5956C">
            <w:pPr>
              <w:numPr>
                <w:ilvl w:val="0"/>
                <w:numId w:val="200"/>
              </w:numPr>
              <w:spacing w:after="0" w:line="240" w:lineRule="auto"/>
              <w:jc w:val="both"/>
              <w:rPr>
                <w:sz w:val="18"/>
                <w:szCs w:val="18"/>
                <w:lang w:val="en-US"/>
              </w:rPr>
            </w:pPr>
            <w:r w:rsidRPr="00E86501">
              <w:rPr>
                <w:sz w:val="18"/>
                <w:szCs w:val="18"/>
                <w:lang w:val="en-US"/>
              </w:rPr>
              <w:t>establishment of a national water information system (</w:t>
            </w:r>
            <w:proofErr w:type="spellStart"/>
            <w:r w:rsidRPr="00E86501">
              <w:rPr>
                <w:sz w:val="18"/>
                <w:szCs w:val="18"/>
                <w:lang w:val="en-US"/>
              </w:rPr>
              <w:t>SNIEau</w:t>
            </w:r>
            <w:proofErr w:type="spellEnd"/>
            <w:r w:rsidR="392BBAF9" w:rsidRPr="00E86501">
              <w:rPr>
                <w:sz w:val="18"/>
                <w:szCs w:val="18"/>
                <w:lang w:val="en-US"/>
              </w:rPr>
              <w:t xml:space="preserve"> in </w:t>
            </w:r>
            <w:proofErr w:type="spellStart"/>
            <w:r w:rsidR="392BBAF9" w:rsidRPr="00E86501">
              <w:rPr>
                <w:sz w:val="18"/>
                <w:szCs w:val="18"/>
                <w:lang w:val="en-US"/>
              </w:rPr>
              <w:t>french</w:t>
            </w:r>
            <w:proofErr w:type="spellEnd"/>
            <w:proofErr w:type="gramStart"/>
            <w:r w:rsidRPr="00E86501">
              <w:rPr>
                <w:sz w:val="18"/>
                <w:szCs w:val="18"/>
                <w:lang w:val="en-US"/>
              </w:rPr>
              <w:t>);</w:t>
            </w:r>
            <w:proofErr w:type="gramEnd"/>
          </w:p>
          <w:p w14:paraId="0000027B" w14:textId="77777777" w:rsidR="004F7DB3" w:rsidRPr="00A86393" w:rsidRDefault="552CE4D7" w:rsidP="001360BB">
            <w:pPr>
              <w:numPr>
                <w:ilvl w:val="0"/>
                <w:numId w:val="200"/>
              </w:numPr>
              <w:spacing w:after="0" w:line="240" w:lineRule="auto"/>
              <w:jc w:val="both"/>
              <w:rPr>
                <w:sz w:val="18"/>
                <w:szCs w:val="18"/>
                <w:lang w:val="en-US"/>
              </w:rPr>
            </w:pPr>
            <w:r w:rsidRPr="5D8904BE">
              <w:rPr>
                <w:sz w:val="18"/>
                <w:szCs w:val="18"/>
                <w:lang w:val="en-US"/>
              </w:rPr>
              <w:t xml:space="preserve">the most complete possible support for the maintenance of water infrastructure by user management structures or private </w:t>
            </w:r>
            <w:proofErr w:type="gramStart"/>
            <w:r w:rsidRPr="5D8904BE">
              <w:rPr>
                <w:sz w:val="18"/>
                <w:szCs w:val="18"/>
                <w:lang w:val="en-US"/>
              </w:rPr>
              <w:t>operators;</w:t>
            </w:r>
            <w:proofErr w:type="gramEnd"/>
          </w:p>
          <w:p w14:paraId="0000027C" w14:textId="77777777" w:rsidR="004F7DB3" w:rsidRPr="00A86393" w:rsidRDefault="00C00123" w:rsidP="001360BB">
            <w:pPr>
              <w:numPr>
                <w:ilvl w:val="0"/>
                <w:numId w:val="200"/>
              </w:numPr>
              <w:spacing w:after="0" w:line="240" w:lineRule="auto"/>
              <w:jc w:val="both"/>
              <w:rPr>
                <w:sz w:val="18"/>
                <w:szCs w:val="18"/>
                <w:lang w:val="en-US"/>
              </w:rPr>
            </w:pPr>
            <w:r w:rsidRPr="00A86393">
              <w:rPr>
                <w:sz w:val="18"/>
                <w:szCs w:val="18"/>
                <w:lang w:val="en-US"/>
              </w:rPr>
              <w:t xml:space="preserve">private sector participation in water </w:t>
            </w:r>
            <w:proofErr w:type="gramStart"/>
            <w:r w:rsidRPr="00A86393">
              <w:rPr>
                <w:sz w:val="18"/>
                <w:szCs w:val="18"/>
                <w:lang w:val="en-US"/>
              </w:rPr>
              <w:t>management;</w:t>
            </w:r>
            <w:proofErr w:type="gramEnd"/>
          </w:p>
          <w:p w14:paraId="0000027D" w14:textId="77777777" w:rsidR="004F7DB3" w:rsidRPr="00A86393" w:rsidRDefault="552CE4D7" w:rsidP="001360BB">
            <w:pPr>
              <w:numPr>
                <w:ilvl w:val="0"/>
                <w:numId w:val="200"/>
              </w:numPr>
              <w:spacing w:after="0" w:line="240" w:lineRule="auto"/>
              <w:jc w:val="both"/>
              <w:rPr>
                <w:sz w:val="18"/>
                <w:szCs w:val="18"/>
                <w:lang w:val="en-US"/>
              </w:rPr>
            </w:pPr>
            <w:r w:rsidRPr="5D8904BE">
              <w:rPr>
                <w:sz w:val="18"/>
                <w:szCs w:val="18"/>
                <w:lang w:val="en-US"/>
              </w:rPr>
              <w:t xml:space="preserve">priority to the rehabilitation and consolidation of hydraulic infrastructure in order to make the investments made profitable or to enhance the value of the investments </w:t>
            </w:r>
            <w:proofErr w:type="gramStart"/>
            <w:r w:rsidRPr="5D8904BE">
              <w:rPr>
                <w:sz w:val="18"/>
                <w:szCs w:val="18"/>
                <w:lang w:val="en-US"/>
              </w:rPr>
              <w:t>made;</w:t>
            </w:r>
            <w:proofErr w:type="gramEnd"/>
          </w:p>
          <w:p w14:paraId="0000027E" w14:textId="77777777" w:rsidR="004F7DB3" w:rsidRPr="00A86393" w:rsidRDefault="352EB93F" w:rsidP="001360BB">
            <w:pPr>
              <w:numPr>
                <w:ilvl w:val="0"/>
                <w:numId w:val="200"/>
              </w:numPr>
              <w:spacing w:after="0" w:line="240" w:lineRule="auto"/>
              <w:jc w:val="both"/>
              <w:rPr>
                <w:sz w:val="18"/>
                <w:szCs w:val="18"/>
                <w:lang w:val="en-US"/>
              </w:rPr>
            </w:pPr>
            <w:r w:rsidRPr="5D8904BE">
              <w:rPr>
                <w:sz w:val="18"/>
                <w:szCs w:val="18"/>
                <w:lang w:val="en-US"/>
              </w:rPr>
              <w:t>Strengthening capacities for knowledge, monitoring and evaluation from the quantitative and qualitative point of view of water resources and their uses.</w:t>
            </w:r>
          </w:p>
          <w:p w14:paraId="740A8903" w14:textId="33354055" w:rsidR="24AA8F7E" w:rsidRDefault="24AA8F7E" w:rsidP="00DD60F2">
            <w:pPr>
              <w:spacing w:after="0" w:line="240" w:lineRule="auto"/>
              <w:jc w:val="both"/>
              <w:rPr>
                <w:sz w:val="18"/>
                <w:szCs w:val="18"/>
                <w:lang w:val="en-US"/>
              </w:rPr>
            </w:pPr>
          </w:p>
          <w:p w14:paraId="0000027F" w14:textId="39DEA441" w:rsidR="004F7DB3" w:rsidRPr="00A86393" w:rsidRDefault="37C4D076" w:rsidP="00DD60F2">
            <w:pPr>
              <w:spacing w:after="0" w:line="240" w:lineRule="auto"/>
              <w:jc w:val="both"/>
              <w:rPr>
                <w:sz w:val="18"/>
                <w:szCs w:val="18"/>
                <w:lang w:val="en-US"/>
              </w:rPr>
            </w:pPr>
            <w:r w:rsidRPr="537FA187">
              <w:rPr>
                <w:sz w:val="18"/>
                <w:szCs w:val="18"/>
                <w:lang w:val="en-US"/>
              </w:rPr>
              <w:lastRenderedPageBreak/>
              <w:t xml:space="preserve">The </w:t>
            </w:r>
            <w:r w:rsidR="5FD72D62" w:rsidRPr="537FA187">
              <w:rPr>
                <w:sz w:val="18"/>
                <w:szCs w:val="18"/>
                <w:lang w:val="en-US"/>
              </w:rPr>
              <w:t xml:space="preserve">NWP </w:t>
            </w:r>
            <w:r w:rsidRPr="537FA187">
              <w:rPr>
                <w:sz w:val="18"/>
                <w:szCs w:val="18"/>
                <w:lang w:val="en-US"/>
              </w:rPr>
              <w:t>is currently being reviewed by the National Directorate of Hydraulics so that its implementation is supported by four (4) Action Programs which are: P1: drinking water supply; P2: hydraulic development; P3: Integrated water resources management</w:t>
            </w:r>
            <w:r w:rsidR="7B407020" w:rsidRPr="537FA187">
              <w:rPr>
                <w:sz w:val="18"/>
                <w:szCs w:val="18"/>
                <w:lang w:val="en-US"/>
              </w:rPr>
              <w:t>;</w:t>
            </w:r>
            <w:r w:rsidRPr="537FA187">
              <w:rPr>
                <w:sz w:val="18"/>
                <w:szCs w:val="18"/>
                <w:lang w:val="en-US"/>
              </w:rPr>
              <w:t xml:space="preserve"> and P4: governance of the water and sanitation sub-sector.</w:t>
            </w:r>
          </w:p>
        </w:tc>
      </w:tr>
      <w:tr w:rsidR="004F7DB3" w:rsidRPr="00F50786" w14:paraId="22ACA5CF" w14:textId="77777777" w:rsidTr="13C5956C">
        <w:trPr>
          <w:trHeight w:val="300"/>
          <w:jc w:val="center"/>
        </w:trPr>
        <w:tc>
          <w:tcPr>
            <w:tcW w:w="1170" w:type="dxa"/>
            <w:vMerge w:val="restart"/>
            <w:tcBorders>
              <w:top w:val="single" w:sz="4" w:space="0" w:color="000000" w:themeColor="text1"/>
              <w:bottom w:val="single" w:sz="4" w:space="0" w:color="000000" w:themeColor="text1"/>
            </w:tcBorders>
          </w:tcPr>
          <w:p w14:paraId="00000280" w14:textId="77777777" w:rsidR="004F7DB3" w:rsidRPr="00A86393" w:rsidRDefault="004F7DB3" w:rsidP="00DD60F2">
            <w:pPr>
              <w:spacing w:after="0" w:line="240" w:lineRule="auto"/>
              <w:jc w:val="both"/>
              <w:rPr>
                <w:sz w:val="18"/>
                <w:szCs w:val="18"/>
                <w:lang w:val="en-US"/>
              </w:rPr>
            </w:pPr>
          </w:p>
        </w:tc>
        <w:tc>
          <w:tcPr>
            <w:tcW w:w="1920" w:type="dxa"/>
            <w:tcBorders>
              <w:top w:val="single" w:sz="4" w:space="0" w:color="000000" w:themeColor="text1"/>
              <w:bottom w:val="single" w:sz="4" w:space="0" w:color="000000" w:themeColor="text1"/>
            </w:tcBorders>
          </w:tcPr>
          <w:p w14:paraId="00000281" w14:textId="53A5EEE0" w:rsidR="004F7DB3" w:rsidRPr="00A86393" w:rsidRDefault="552CE4D7" w:rsidP="5D8904BE">
            <w:pPr>
              <w:pBdr>
                <w:top w:val="nil"/>
                <w:left w:val="nil"/>
                <w:bottom w:val="nil"/>
                <w:right w:val="nil"/>
                <w:between w:val="nil"/>
              </w:pBdr>
              <w:spacing w:before="240" w:after="240" w:line="240" w:lineRule="auto"/>
              <w:jc w:val="both"/>
              <w:rPr>
                <w:sz w:val="18"/>
                <w:szCs w:val="18"/>
              </w:rPr>
            </w:pPr>
            <w:r w:rsidRPr="5D8904BE">
              <w:rPr>
                <w:sz w:val="18"/>
                <w:szCs w:val="18"/>
              </w:rPr>
              <w:t xml:space="preserve">National </w:t>
            </w:r>
            <w:proofErr w:type="spellStart"/>
            <w:r w:rsidRPr="5D8904BE">
              <w:rPr>
                <w:sz w:val="18"/>
                <w:szCs w:val="18"/>
              </w:rPr>
              <w:t>Quality</w:t>
            </w:r>
            <w:proofErr w:type="spellEnd"/>
            <w:r w:rsidRPr="5D8904BE">
              <w:rPr>
                <w:sz w:val="18"/>
                <w:szCs w:val="18"/>
              </w:rPr>
              <w:t xml:space="preserve"> Policy (</w:t>
            </w:r>
            <w:r w:rsidR="5CD6FCDF" w:rsidRPr="5D8904BE">
              <w:rPr>
                <w:sz w:val="18"/>
                <w:szCs w:val="18"/>
              </w:rPr>
              <w:t>NQP)</w:t>
            </w:r>
          </w:p>
        </w:tc>
        <w:tc>
          <w:tcPr>
            <w:tcW w:w="10513" w:type="dxa"/>
            <w:tcBorders>
              <w:top w:val="single" w:sz="4" w:space="0" w:color="000000" w:themeColor="text1"/>
              <w:bottom w:val="single" w:sz="4" w:space="0" w:color="000000" w:themeColor="text1"/>
            </w:tcBorders>
          </w:tcPr>
          <w:p w14:paraId="00000282" w14:textId="32EE3CCE" w:rsidR="004F7DB3" w:rsidRPr="00A86393" w:rsidRDefault="0B9CEF61" w:rsidP="00DD60F2">
            <w:pPr>
              <w:spacing w:before="240" w:after="240" w:line="240" w:lineRule="auto"/>
              <w:jc w:val="both"/>
              <w:rPr>
                <w:sz w:val="18"/>
                <w:szCs w:val="18"/>
                <w:lang w:val="en-US"/>
              </w:rPr>
            </w:pPr>
            <w:r w:rsidRPr="24AA8F7E">
              <w:rPr>
                <w:sz w:val="18"/>
                <w:szCs w:val="18"/>
                <w:lang w:val="en-US"/>
              </w:rPr>
              <w:t xml:space="preserve">GEF-8 </w:t>
            </w:r>
            <w:r w:rsidR="06D0C9A1" w:rsidRPr="24AA8F7E">
              <w:rPr>
                <w:sz w:val="18"/>
                <w:szCs w:val="18"/>
                <w:lang w:val="en-US"/>
              </w:rPr>
              <w:t>Bamako Sustainable City</w:t>
            </w:r>
            <w:r w:rsidR="6BA81864" w:rsidRPr="24AA8F7E">
              <w:rPr>
                <w:sz w:val="18"/>
                <w:szCs w:val="18"/>
                <w:lang w:val="en-US"/>
              </w:rPr>
              <w:t xml:space="preserve"> project</w:t>
            </w:r>
            <w:r w:rsidR="06D0C9A1" w:rsidRPr="24AA8F7E">
              <w:rPr>
                <w:sz w:val="18"/>
                <w:szCs w:val="18"/>
                <w:lang w:val="en-US"/>
              </w:rPr>
              <w:t xml:space="preserve"> supports, in particular through the promotion of efficient urban logistics, the implementation of PNG's area of intervention relating to "compliance of products and services with the requirements of the national, regional and international markets" through compliance with the standards in force in the expected deployment of solar photovoltaic systems,  energy management, efficient buildings and the rational use of electronic, electrical and household appliances.</w:t>
            </w:r>
          </w:p>
        </w:tc>
      </w:tr>
      <w:tr w:rsidR="004F7DB3" w:rsidRPr="00F50786" w14:paraId="5461B151" w14:textId="77777777" w:rsidTr="13C5956C">
        <w:trPr>
          <w:trHeight w:val="300"/>
          <w:jc w:val="center"/>
        </w:trPr>
        <w:tc>
          <w:tcPr>
            <w:tcW w:w="1170" w:type="dxa"/>
            <w:vMerge/>
          </w:tcPr>
          <w:p w14:paraId="00000283" w14:textId="77777777" w:rsidR="004F7DB3" w:rsidRPr="00A86393" w:rsidRDefault="004F7DB3" w:rsidP="00DD60F2">
            <w:pPr>
              <w:spacing w:after="0" w:line="240" w:lineRule="auto"/>
              <w:jc w:val="both"/>
              <w:rPr>
                <w:sz w:val="18"/>
                <w:szCs w:val="18"/>
                <w:lang w:val="en-US"/>
              </w:rPr>
            </w:pPr>
          </w:p>
        </w:tc>
        <w:tc>
          <w:tcPr>
            <w:tcW w:w="1920" w:type="dxa"/>
            <w:tcBorders>
              <w:top w:val="single" w:sz="4" w:space="0" w:color="000000" w:themeColor="text1"/>
              <w:bottom w:val="single" w:sz="4" w:space="0" w:color="000000" w:themeColor="text1"/>
            </w:tcBorders>
          </w:tcPr>
          <w:p w14:paraId="00000284" w14:textId="03E7C0B7" w:rsidR="004F7DB3" w:rsidRPr="00A86393" w:rsidRDefault="552CE4D7" w:rsidP="00DD60F2">
            <w:pPr>
              <w:spacing w:before="240" w:after="240" w:line="240" w:lineRule="auto"/>
              <w:jc w:val="both"/>
              <w:rPr>
                <w:sz w:val="18"/>
                <w:szCs w:val="18"/>
              </w:rPr>
            </w:pPr>
            <w:r w:rsidRPr="5D8904BE">
              <w:rPr>
                <w:sz w:val="18"/>
                <w:szCs w:val="18"/>
              </w:rPr>
              <w:t xml:space="preserve">National </w:t>
            </w:r>
            <w:proofErr w:type="spellStart"/>
            <w:r w:rsidRPr="5D8904BE">
              <w:rPr>
                <w:sz w:val="18"/>
                <w:szCs w:val="18"/>
              </w:rPr>
              <w:t>Gender</w:t>
            </w:r>
            <w:proofErr w:type="spellEnd"/>
            <w:r w:rsidRPr="5D8904BE">
              <w:rPr>
                <w:sz w:val="18"/>
                <w:szCs w:val="18"/>
              </w:rPr>
              <w:t xml:space="preserve"> Policy (</w:t>
            </w:r>
            <w:r w:rsidR="6D8DE42A" w:rsidRPr="5D8904BE">
              <w:rPr>
                <w:sz w:val="18"/>
                <w:szCs w:val="18"/>
              </w:rPr>
              <w:t>NGP</w:t>
            </w:r>
            <w:r w:rsidRPr="5D8904BE">
              <w:rPr>
                <w:sz w:val="18"/>
                <w:szCs w:val="18"/>
              </w:rPr>
              <w:t xml:space="preserve">) </w:t>
            </w:r>
          </w:p>
        </w:tc>
        <w:tc>
          <w:tcPr>
            <w:tcW w:w="10513" w:type="dxa"/>
            <w:tcBorders>
              <w:top w:val="single" w:sz="4" w:space="0" w:color="000000" w:themeColor="text1"/>
              <w:bottom w:val="single" w:sz="4" w:space="0" w:color="000000" w:themeColor="text1"/>
            </w:tcBorders>
          </w:tcPr>
          <w:p w14:paraId="00000285" w14:textId="2D50284F" w:rsidR="004F7DB3" w:rsidRPr="00A86393" w:rsidRDefault="35FE1C0F" w:rsidP="00DD60F2">
            <w:pPr>
              <w:spacing w:before="240" w:after="240" w:line="240" w:lineRule="auto"/>
              <w:jc w:val="both"/>
              <w:rPr>
                <w:sz w:val="18"/>
                <w:szCs w:val="18"/>
                <w:lang w:val="en-US"/>
              </w:rPr>
            </w:pPr>
            <w:r w:rsidRPr="537FA187">
              <w:rPr>
                <w:sz w:val="18"/>
                <w:szCs w:val="18"/>
                <w:lang w:val="en-US"/>
              </w:rPr>
              <w:t xml:space="preserve">GEF-8 </w:t>
            </w:r>
            <w:r w:rsidR="37C4D076" w:rsidRPr="537FA187">
              <w:rPr>
                <w:sz w:val="18"/>
                <w:szCs w:val="18"/>
                <w:lang w:val="en-US"/>
              </w:rPr>
              <w:t>Bamako Sustainable City</w:t>
            </w:r>
            <w:r w:rsidR="009DD40E" w:rsidRPr="537FA187">
              <w:rPr>
                <w:sz w:val="18"/>
                <w:szCs w:val="18"/>
                <w:lang w:val="en-US"/>
              </w:rPr>
              <w:t xml:space="preserve"> project</w:t>
            </w:r>
            <w:r w:rsidR="37C4D076" w:rsidRPr="537FA187">
              <w:rPr>
                <w:sz w:val="18"/>
                <w:szCs w:val="18"/>
                <w:lang w:val="en-US"/>
              </w:rPr>
              <w:t xml:space="preserve"> contributes to </w:t>
            </w:r>
            <w:r w:rsidR="3ADF82FC" w:rsidRPr="537FA187">
              <w:rPr>
                <w:sz w:val="18"/>
                <w:szCs w:val="18"/>
                <w:lang w:val="en-US"/>
              </w:rPr>
              <w:t>NGP</w:t>
            </w:r>
            <w:r w:rsidR="37C4D076" w:rsidRPr="537FA187">
              <w:rPr>
                <w:sz w:val="18"/>
                <w:szCs w:val="18"/>
                <w:lang w:val="en-US"/>
              </w:rPr>
              <w:t>'s strategic orientation</w:t>
            </w:r>
            <w:r w:rsidR="3BE2F068" w:rsidRPr="537FA187">
              <w:rPr>
                <w:sz w:val="18"/>
                <w:szCs w:val="18"/>
                <w:lang w:val="en-US"/>
              </w:rPr>
              <w:t xml:space="preserve"> on</w:t>
            </w:r>
            <w:r w:rsidR="37C4D076" w:rsidRPr="537FA187">
              <w:rPr>
                <w:sz w:val="18"/>
                <w:szCs w:val="18"/>
                <w:lang w:val="en-US"/>
              </w:rPr>
              <w:t xml:space="preserve"> "</w:t>
            </w:r>
            <w:r w:rsidR="195E81AA" w:rsidRPr="537FA187">
              <w:rPr>
                <w:sz w:val="18"/>
                <w:szCs w:val="18"/>
                <w:lang w:val="en-US"/>
              </w:rPr>
              <w:t>d</w:t>
            </w:r>
            <w:r w:rsidR="37C4D076" w:rsidRPr="537FA187">
              <w:rPr>
                <w:sz w:val="18"/>
                <w:szCs w:val="18"/>
                <w:lang w:val="en-US"/>
              </w:rPr>
              <w:t xml:space="preserve">evelopment of human capital (women and men) capable of facing the challenges of the country's socio-economic development, poverty reduction, African integration and globalization" through an improvement in women's participation and a reduction of gender inequalities in the activities of </w:t>
            </w:r>
            <w:proofErr w:type="spellStart"/>
            <w:r w:rsidR="37C4D076" w:rsidRPr="537FA187">
              <w:rPr>
                <w:sz w:val="18"/>
                <w:szCs w:val="18"/>
                <w:lang w:val="en-US"/>
              </w:rPr>
              <w:t>depolicing</w:t>
            </w:r>
            <w:proofErr w:type="spellEnd"/>
            <w:r w:rsidR="37C4D076" w:rsidRPr="537FA187">
              <w:rPr>
                <w:sz w:val="18"/>
                <w:szCs w:val="18"/>
                <w:lang w:val="en-US"/>
              </w:rPr>
              <w:t xml:space="preserve"> innovative solutions for sustainable energy,  sustainable transport, </w:t>
            </w:r>
            <w:r w:rsidR="5385EC85" w:rsidRPr="537FA187">
              <w:rPr>
                <w:sz w:val="18"/>
                <w:szCs w:val="18"/>
                <w:lang w:val="en-US"/>
              </w:rPr>
              <w:t xml:space="preserve">and </w:t>
            </w:r>
            <w:r w:rsidR="37C4D076" w:rsidRPr="537FA187">
              <w:rPr>
                <w:sz w:val="18"/>
                <w:szCs w:val="18"/>
                <w:lang w:val="en-US"/>
              </w:rPr>
              <w:t>green infrastructure including energy efficiency in the sustainable operation of urban development infrastructure and services.</w:t>
            </w:r>
          </w:p>
        </w:tc>
      </w:tr>
      <w:tr w:rsidR="004F7DB3" w:rsidRPr="00F50786" w14:paraId="42DC5654" w14:textId="77777777" w:rsidTr="13C5956C">
        <w:trPr>
          <w:trHeight w:val="300"/>
          <w:jc w:val="center"/>
        </w:trPr>
        <w:tc>
          <w:tcPr>
            <w:tcW w:w="1170" w:type="dxa"/>
            <w:vMerge/>
          </w:tcPr>
          <w:p w14:paraId="00000286" w14:textId="77777777" w:rsidR="004F7DB3" w:rsidRPr="00A86393" w:rsidRDefault="004F7DB3" w:rsidP="00DD60F2">
            <w:pPr>
              <w:spacing w:after="0" w:line="240" w:lineRule="auto"/>
              <w:jc w:val="both"/>
              <w:rPr>
                <w:sz w:val="18"/>
                <w:szCs w:val="18"/>
                <w:lang w:val="en-US"/>
              </w:rPr>
            </w:pPr>
          </w:p>
        </w:tc>
        <w:tc>
          <w:tcPr>
            <w:tcW w:w="1920" w:type="dxa"/>
            <w:tcBorders>
              <w:top w:val="single" w:sz="4" w:space="0" w:color="000000" w:themeColor="text1"/>
              <w:bottom w:val="single" w:sz="4" w:space="0" w:color="000000" w:themeColor="text1"/>
            </w:tcBorders>
          </w:tcPr>
          <w:p w14:paraId="00000287" w14:textId="77777777" w:rsidR="004F7DB3" w:rsidRPr="00A86393" w:rsidRDefault="00C00123" w:rsidP="00DD60F2">
            <w:pPr>
              <w:spacing w:after="0" w:line="240" w:lineRule="auto"/>
              <w:jc w:val="both"/>
              <w:rPr>
                <w:sz w:val="18"/>
                <w:szCs w:val="18"/>
                <w:lang w:val="en-US"/>
              </w:rPr>
            </w:pPr>
            <w:r w:rsidRPr="00A86393">
              <w:rPr>
                <w:sz w:val="18"/>
                <w:szCs w:val="18"/>
                <w:lang w:val="en-US"/>
              </w:rPr>
              <w:t>National Strategy for the Development of Drinking Water Supply</w:t>
            </w:r>
          </w:p>
        </w:tc>
        <w:tc>
          <w:tcPr>
            <w:tcW w:w="10513" w:type="dxa"/>
            <w:tcBorders>
              <w:top w:val="single" w:sz="4" w:space="0" w:color="000000" w:themeColor="text1"/>
              <w:bottom w:val="single" w:sz="4" w:space="0" w:color="000000" w:themeColor="text1"/>
            </w:tcBorders>
          </w:tcPr>
          <w:p w14:paraId="0000028A" w14:textId="31D9EF8C" w:rsidR="004F7DB3" w:rsidRPr="00A86393" w:rsidRDefault="6D078BD2" w:rsidP="00DD60F2">
            <w:pPr>
              <w:spacing w:after="0" w:line="240" w:lineRule="auto"/>
              <w:jc w:val="both"/>
              <w:rPr>
                <w:sz w:val="18"/>
                <w:szCs w:val="18"/>
                <w:lang w:val="en-US"/>
              </w:rPr>
            </w:pPr>
            <w:r w:rsidRPr="537FA187">
              <w:rPr>
                <w:sz w:val="18"/>
                <w:szCs w:val="18"/>
                <w:lang w:val="en-US"/>
              </w:rPr>
              <w:t xml:space="preserve">This national strategy </w:t>
            </w:r>
            <w:r w:rsidR="37C4D076" w:rsidRPr="537FA187">
              <w:rPr>
                <w:sz w:val="18"/>
                <w:szCs w:val="18"/>
                <w:lang w:val="en-US"/>
              </w:rPr>
              <w:t xml:space="preserve">is based in the </w:t>
            </w:r>
            <w:r w:rsidR="12AAE797" w:rsidRPr="537FA187">
              <w:rPr>
                <w:sz w:val="18"/>
                <w:szCs w:val="18"/>
                <w:lang w:val="en-US"/>
              </w:rPr>
              <w:t xml:space="preserve">NWP </w:t>
            </w:r>
            <w:r w:rsidR="37C4D076" w:rsidRPr="537FA187">
              <w:rPr>
                <w:sz w:val="18"/>
                <w:szCs w:val="18"/>
                <w:lang w:val="en-US"/>
              </w:rPr>
              <w:t>and aims to implement it through appropriate approaches, principles and concepts to contribute to the sustainable development of drinking water supply, particularly in the field of financing, execution, operation and management of drinking water infrastructure in Mali.</w:t>
            </w:r>
            <w:r w:rsidR="1932D894" w:rsidRPr="537FA187">
              <w:rPr>
                <w:sz w:val="18"/>
                <w:szCs w:val="18"/>
                <w:lang w:val="en-US"/>
              </w:rPr>
              <w:t xml:space="preserve"> </w:t>
            </w:r>
            <w:r w:rsidR="6DE85D1E" w:rsidRPr="537FA187">
              <w:rPr>
                <w:sz w:val="18"/>
                <w:szCs w:val="18"/>
                <w:lang w:val="en-US"/>
              </w:rPr>
              <w:t xml:space="preserve">The scope of the strategy concerns agglomerations with the designations of villages/fractions/sites (less than 2,000 inhabitants), rural </w:t>
            </w:r>
            <w:proofErr w:type="spellStart"/>
            <w:r w:rsidR="6DE85D1E" w:rsidRPr="537FA187">
              <w:rPr>
                <w:sz w:val="18"/>
                <w:szCs w:val="18"/>
                <w:lang w:val="en-US"/>
              </w:rPr>
              <w:t>centres</w:t>
            </w:r>
            <w:proofErr w:type="spellEnd"/>
            <w:r w:rsidR="6DE85D1E" w:rsidRPr="537FA187">
              <w:rPr>
                <w:sz w:val="18"/>
                <w:szCs w:val="18"/>
                <w:lang w:val="en-US"/>
              </w:rPr>
              <w:t xml:space="preserve"> (between 2,000 and 5,000 inhabitants), semi-urban </w:t>
            </w:r>
            <w:proofErr w:type="spellStart"/>
            <w:r w:rsidR="6DE85D1E" w:rsidRPr="537FA187">
              <w:rPr>
                <w:sz w:val="18"/>
                <w:szCs w:val="18"/>
                <w:lang w:val="en-US"/>
              </w:rPr>
              <w:t>centres</w:t>
            </w:r>
            <w:proofErr w:type="spellEnd"/>
            <w:r w:rsidR="6DE85D1E" w:rsidRPr="537FA187">
              <w:rPr>
                <w:sz w:val="18"/>
                <w:szCs w:val="18"/>
                <w:lang w:val="en-US"/>
              </w:rPr>
              <w:t xml:space="preserve"> (between 5,000 and 10,000 inhabitants) and urban </w:t>
            </w:r>
            <w:proofErr w:type="spellStart"/>
            <w:r w:rsidR="6DE85D1E" w:rsidRPr="537FA187">
              <w:rPr>
                <w:sz w:val="18"/>
                <w:szCs w:val="18"/>
                <w:lang w:val="en-US"/>
              </w:rPr>
              <w:t>centres</w:t>
            </w:r>
            <w:proofErr w:type="spellEnd"/>
            <w:r w:rsidR="6DE85D1E" w:rsidRPr="537FA187">
              <w:rPr>
                <w:sz w:val="18"/>
                <w:szCs w:val="18"/>
                <w:lang w:val="en-US"/>
              </w:rPr>
              <w:t xml:space="preserve"> (more than 10,000 inhabitants). </w:t>
            </w:r>
            <w:r w:rsidR="63E6D624" w:rsidRPr="537FA187">
              <w:rPr>
                <w:sz w:val="18"/>
                <w:szCs w:val="18"/>
                <w:lang w:val="en-US"/>
              </w:rPr>
              <w:t>The approach for the construction of drinking water supply facilities is conditional on the expression of the real water needs formulated by the populations (village and commune)</w:t>
            </w:r>
            <w:r w:rsidR="44B457FB" w:rsidRPr="537FA187">
              <w:rPr>
                <w:sz w:val="18"/>
                <w:szCs w:val="18"/>
                <w:lang w:val="en-US"/>
              </w:rPr>
              <w:t>, recognizing construction and</w:t>
            </w:r>
            <w:r w:rsidR="63E6D624" w:rsidRPr="537FA187">
              <w:rPr>
                <w:sz w:val="18"/>
                <w:szCs w:val="18"/>
                <w:lang w:val="en-US"/>
              </w:rPr>
              <w:t xml:space="preserve"> operating costs. </w:t>
            </w:r>
          </w:p>
          <w:p w14:paraId="0000028B" w14:textId="77777777" w:rsidR="004F7DB3" w:rsidRPr="00A86393" w:rsidRDefault="004F7DB3" w:rsidP="00DD60F2">
            <w:pPr>
              <w:spacing w:after="0" w:line="240" w:lineRule="auto"/>
              <w:jc w:val="both"/>
              <w:rPr>
                <w:sz w:val="18"/>
                <w:szCs w:val="18"/>
                <w:lang w:val="en-US"/>
              </w:rPr>
            </w:pPr>
          </w:p>
          <w:p w14:paraId="0000028C" w14:textId="51A659AC" w:rsidR="004F7DB3" w:rsidRPr="00A86393" w:rsidRDefault="6D498CD7" w:rsidP="00DD60F2">
            <w:pPr>
              <w:spacing w:after="0" w:line="240" w:lineRule="auto"/>
              <w:jc w:val="both"/>
              <w:rPr>
                <w:sz w:val="18"/>
                <w:szCs w:val="18"/>
                <w:lang w:val="en-US"/>
              </w:rPr>
            </w:pPr>
            <w:r w:rsidRPr="5D8904BE">
              <w:rPr>
                <w:sz w:val="18"/>
                <w:szCs w:val="18"/>
                <w:lang w:val="en-US"/>
              </w:rPr>
              <w:t>It is likely to be revised following the expected revision of the N</w:t>
            </w:r>
            <w:r w:rsidR="4A33F429" w:rsidRPr="5D8904BE">
              <w:rPr>
                <w:sz w:val="18"/>
                <w:szCs w:val="18"/>
                <w:lang w:val="en-US"/>
              </w:rPr>
              <w:t>WP</w:t>
            </w:r>
            <w:r w:rsidRPr="5D8904BE">
              <w:rPr>
                <w:sz w:val="18"/>
                <w:szCs w:val="18"/>
                <w:lang w:val="en-US"/>
              </w:rPr>
              <w:t>.</w:t>
            </w:r>
          </w:p>
          <w:p w14:paraId="0000028D" w14:textId="77777777" w:rsidR="004F7DB3" w:rsidRPr="00A86393" w:rsidRDefault="004F7DB3" w:rsidP="00DD60F2">
            <w:pPr>
              <w:spacing w:after="0" w:line="240" w:lineRule="auto"/>
              <w:jc w:val="both"/>
              <w:rPr>
                <w:sz w:val="18"/>
                <w:szCs w:val="18"/>
                <w:lang w:val="en-US"/>
              </w:rPr>
            </w:pPr>
          </w:p>
          <w:p w14:paraId="0000028E" w14:textId="4B9DDBFE" w:rsidR="004F7DB3" w:rsidRPr="00A86393" w:rsidRDefault="06D0C9A1" w:rsidP="00DD60F2">
            <w:pPr>
              <w:spacing w:after="0" w:line="240" w:lineRule="auto"/>
              <w:jc w:val="both"/>
              <w:rPr>
                <w:sz w:val="18"/>
                <w:szCs w:val="18"/>
                <w:lang w:val="en-US"/>
              </w:rPr>
            </w:pPr>
            <w:r w:rsidRPr="24AA8F7E">
              <w:rPr>
                <w:sz w:val="18"/>
                <w:szCs w:val="18"/>
                <w:lang w:val="en-US"/>
              </w:rPr>
              <w:t xml:space="preserve">In any case, the </w:t>
            </w:r>
            <w:r w:rsidR="4493F1F9" w:rsidRPr="24AA8F7E">
              <w:rPr>
                <w:sz w:val="18"/>
                <w:szCs w:val="18"/>
                <w:lang w:val="en-US"/>
              </w:rPr>
              <w:t xml:space="preserve">GEF-8 </w:t>
            </w:r>
            <w:r w:rsidRPr="24AA8F7E">
              <w:rPr>
                <w:sz w:val="18"/>
                <w:szCs w:val="18"/>
                <w:lang w:val="en-US"/>
              </w:rPr>
              <w:t>Bamako Sustainable City</w:t>
            </w:r>
            <w:r w:rsidR="46522817" w:rsidRPr="24AA8F7E">
              <w:rPr>
                <w:sz w:val="18"/>
                <w:szCs w:val="18"/>
                <w:lang w:val="en-US"/>
              </w:rPr>
              <w:t xml:space="preserve"> project</w:t>
            </w:r>
            <w:r w:rsidRPr="24AA8F7E">
              <w:rPr>
                <w:sz w:val="18"/>
                <w:szCs w:val="18"/>
                <w:lang w:val="en-US"/>
              </w:rPr>
              <w:t xml:space="preserve"> envisages a mapping of water resources on the territory of the </w:t>
            </w:r>
            <w:proofErr w:type="gramStart"/>
            <w:r w:rsidRPr="24AA8F7E">
              <w:rPr>
                <w:sz w:val="18"/>
                <w:szCs w:val="18"/>
                <w:lang w:val="en-US"/>
              </w:rPr>
              <w:t>City</w:t>
            </w:r>
            <w:proofErr w:type="gramEnd"/>
            <w:r w:rsidRPr="24AA8F7E">
              <w:rPr>
                <w:sz w:val="18"/>
                <w:szCs w:val="18"/>
                <w:lang w:val="en-US"/>
              </w:rPr>
              <w:t xml:space="preserve"> and the Greater Bamako inter-community, </w:t>
            </w:r>
            <w:r w:rsidR="5C735EFF" w:rsidRPr="24AA8F7E">
              <w:rPr>
                <w:sz w:val="18"/>
                <w:szCs w:val="18"/>
                <w:lang w:val="en-US"/>
              </w:rPr>
              <w:t xml:space="preserve">as well as </w:t>
            </w:r>
            <w:r w:rsidRPr="24AA8F7E">
              <w:rPr>
                <w:sz w:val="18"/>
                <w:szCs w:val="18"/>
                <w:lang w:val="en-US"/>
              </w:rPr>
              <w:t>a promotion of private producers of drinking water, particularly in peripheral areas, and finally the assurance of water quality for domestic or industrial boreholes, including for private producers of drinking water.</w:t>
            </w:r>
          </w:p>
        </w:tc>
      </w:tr>
      <w:tr w:rsidR="004F7DB3" w:rsidRPr="00F50786" w14:paraId="19E8AF8E" w14:textId="77777777" w:rsidTr="13C5956C">
        <w:trPr>
          <w:trHeight w:val="300"/>
          <w:jc w:val="center"/>
        </w:trPr>
        <w:tc>
          <w:tcPr>
            <w:tcW w:w="1170" w:type="dxa"/>
            <w:vMerge/>
          </w:tcPr>
          <w:p w14:paraId="0000028F" w14:textId="77777777" w:rsidR="004F7DB3" w:rsidRPr="00A86393" w:rsidRDefault="004F7DB3" w:rsidP="00DD60F2">
            <w:pPr>
              <w:spacing w:after="0" w:line="240" w:lineRule="auto"/>
              <w:jc w:val="both"/>
              <w:rPr>
                <w:sz w:val="18"/>
                <w:szCs w:val="18"/>
                <w:lang w:val="en-US"/>
              </w:rPr>
            </w:pPr>
          </w:p>
        </w:tc>
        <w:tc>
          <w:tcPr>
            <w:tcW w:w="1920" w:type="dxa"/>
            <w:tcBorders>
              <w:top w:val="single" w:sz="4" w:space="0" w:color="000000" w:themeColor="text1"/>
              <w:bottom w:val="single" w:sz="4" w:space="0" w:color="000000" w:themeColor="text1"/>
            </w:tcBorders>
            <w:vAlign w:val="center"/>
          </w:tcPr>
          <w:p w14:paraId="00000290" w14:textId="1ABFC1E9" w:rsidR="004F7DB3" w:rsidRPr="00A86393" w:rsidRDefault="00C00123" w:rsidP="00DD60F2">
            <w:pPr>
              <w:spacing w:before="240" w:after="240" w:line="240" w:lineRule="auto"/>
              <w:rPr>
                <w:sz w:val="18"/>
                <w:szCs w:val="18"/>
                <w:lang w:val="en-US"/>
              </w:rPr>
            </w:pPr>
            <w:r w:rsidRPr="37FF86E9">
              <w:rPr>
                <w:sz w:val="18"/>
                <w:szCs w:val="18"/>
                <w:lang w:val="en-US"/>
              </w:rPr>
              <w:t xml:space="preserve">National Strategy for Access to Electricity - </w:t>
            </w:r>
            <w:r w:rsidR="7BB976E1" w:rsidRPr="37FF86E9">
              <w:rPr>
                <w:sz w:val="18"/>
                <w:szCs w:val="18"/>
                <w:lang w:val="en-US"/>
              </w:rPr>
              <w:t>NSAE</w:t>
            </w:r>
            <w:r w:rsidRPr="37FF86E9">
              <w:rPr>
                <w:sz w:val="18"/>
                <w:szCs w:val="18"/>
                <w:lang w:val="en-US"/>
              </w:rPr>
              <w:t xml:space="preserve"> → under validation (with the National Directorate of Energy</w:t>
            </w:r>
            <w:r w:rsidR="1711A546" w:rsidRPr="37FF86E9">
              <w:rPr>
                <w:sz w:val="18"/>
                <w:szCs w:val="18"/>
                <w:lang w:val="en-US"/>
              </w:rPr>
              <w:t xml:space="preserve"> – NDE)</w:t>
            </w:r>
          </w:p>
        </w:tc>
        <w:tc>
          <w:tcPr>
            <w:tcW w:w="10513" w:type="dxa"/>
            <w:tcBorders>
              <w:top w:val="single" w:sz="4" w:space="0" w:color="000000" w:themeColor="text1"/>
              <w:bottom w:val="single" w:sz="4" w:space="0" w:color="000000" w:themeColor="text1"/>
            </w:tcBorders>
            <w:vAlign w:val="center"/>
          </w:tcPr>
          <w:p w14:paraId="00000292" w14:textId="3F97AFD1" w:rsidR="004F7DB3" w:rsidRPr="00A86393" w:rsidRDefault="352EB93F" w:rsidP="00DD60F2">
            <w:pPr>
              <w:spacing w:after="0" w:line="240" w:lineRule="auto"/>
              <w:jc w:val="both"/>
              <w:rPr>
                <w:sz w:val="18"/>
                <w:szCs w:val="18"/>
                <w:lang w:val="en-US"/>
              </w:rPr>
            </w:pPr>
            <w:r w:rsidRPr="5D8904BE">
              <w:rPr>
                <w:sz w:val="18"/>
                <w:szCs w:val="18"/>
                <w:lang w:val="en-US"/>
              </w:rPr>
              <w:t>The strategy define</w:t>
            </w:r>
            <w:r w:rsidR="6DC314AA" w:rsidRPr="5D8904BE">
              <w:rPr>
                <w:sz w:val="18"/>
                <w:szCs w:val="18"/>
                <w:lang w:val="en-US"/>
              </w:rPr>
              <w:t>s</w:t>
            </w:r>
            <w:r w:rsidRPr="5D8904BE">
              <w:rPr>
                <w:sz w:val="18"/>
                <w:szCs w:val="18"/>
                <w:lang w:val="en-US"/>
              </w:rPr>
              <w:t>, in terms of access to electricity, the objectives, the strategic axes, the electrification concession (or operating regimes), the investments allowed in the field of SNAE, the clear roles of AMADER, ANERB and CREE, etc.</w:t>
            </w:r>
            <w:r w:rsidR="0DB0E220" w:rsidRPr="5D8904BE">
              <w:rPr>
                <w:sz w:val="18"/>
                <w:szCs w:val="18"/>
                <w:lang w:val="en-US"/>
              </w:rPr>
              <w:t xml:space="preserve"> </w:t>
            </w:r>
            <w:r w:rsidR="475526FC" w:rsidRPr="5D8904BE">
              <w:rPr>
                <w:sz w:val="18"/>
                <w:szCs w:val="18"/>
                <w:lang w:val="en-US"/>
              </w:rPr>
              <w:t xml:space="preserve">The relevance with the </w:t>
            </w:r>
            <w:r w:rsidR="0B3647BB" w:rsidRPr="5D8904BE">
              <w:rPr>
                <w:sz w:val="18"/>
                <w:szCs w:val="18"/>
                <w:lang w:val="en-US"/>
              </w:rPr>
              <w:t>GEF-8</w:t>
            </w:r>
            <w:r w:rsidR="475526FC" w:rsidRPr="5D8904BE">
              <w:rPr>
                <w:sz w:val="18"/>
                <w:szCs w:val="18"/>
                <w:lang w:val="en-US"/>
              </w:rPr>
              <w:t xml:space="preserve"> Bamako Sustainable City</w:t>
            </w:r>
            <w:r w:rsidR="1BE006B5" w:rsidRPr="5D8904BE">
              <w:rPr>
                <w:sz w:val="18"/>
                <w:szCs w:val="18"/>
                <w:lang w:val="en-US"/>
              </w:rPr>
              <w:t xml:space="preserve"> project</w:t>
            </w:r>
            <w:r w:rsidR="475526FC" w:rsidRPr="5D8904BE">
              <w:rPr>
                <w:sz w:val="18"/>
                <w:szCs w:val="18"/>
                <w:lang w:val="en-US"/>
              </w:rPr>
              <w:t xml:space="preserve"> is that it will provide a clear framework for the development of investment projects or the use of off-grid renewable energies in the various socio-economic sectors of urban development.</w:t>
            </w:r>
          </w:p>
          <w:p w14:paraId="00000293" w14:textId="77777777" w:rsidR="004F7DB3" w:rsidRPr="00A86393" w:rsidRDefault="004F7DB3" w:rsidP="00DD60F2">
            <w:pPr>
              <w:spacing w:after="0" w:line="240" w:lineRule="auto"/>
              <w:jc w:val="both"/>
              <w:rPr>
                <w:sz w:val="18"/>
                <w:szCs w:val="18"/>
                <w:lang w:val="en-US"/>
              </w:rPr>
            </w:pPr>
          </w:p>
        </w:tc>
      </w:tr>
      <w:tr w:rsidR="004F7DB3" w:rsidRPr="00F50786" w14:paraId="0EA3A8AA" w14:textId="77777777" w:rsidTr="13C5956C">
        <w:trPr>
          <w:trHeight w:val="300"/>
          <w:jc w:val="center"/>
        </w:trPr>
        <w:tc>
          <w:tcPr>
            <w:tcW w:w="1170" w:type="dxa"/>
            <w:vMerge/>
          </w:tcPr>
          <w:p w14:paraId="00000294" w14:textId="77777777" w:rsidR="004F7DB3" w:rsidRPr="00A86393" w:rsidRDefault="004F7DB3" w:rsidP="00DD60F2">
            <w:pPr>
              <w:spacing w:after="0" w:line="240" w:lineRule="auto"/>
              <w:jc w:val="both"/>
              <w:rPr>
                <w:sz w:val="18"/>
                <w:szCs w:val="18"/>
                <w:lang w:val="en-US"/>
              </w:rPr>
            </w:pPr>
          </w:p>
        </w:tc>
        <w:tc>
          <w:tcPr>
            <w:tcW w:w="1920" w:type="dxa"/>
            <w:tcBorders>
              <w:top w:val="single" w:sz="4" w:space="0" w:color="000000" w:themeColor="text1"/>
              <w:bottom w:val="single" w:sz="4" w:space="0" w:color="000000" w:themeColor="text1"/>
            </w:tcBorders>
            <w:vAlign w:val="center"/>
          </w:tcPr>
          <w:p w14:paraId="00000295" w14:textId="77777777" w:rsidR="004F7DB3" w:rsidRPr="00A86393" w:rsidRDefault="00C00123" w:rsidP="00DD60F2">
            <w:pPr>
              <w:pBdr>
                <w:top w:val="nil"/>
                <w:left w:val="nil"/>
                <w:bottom w:val="nil"/>
                <w:right w:val="nil"/>
                <w:between w:val="nil"/>
              </w:pBdr>
              <w:spacing w:after="0" w:line="240" w:lineRule="auto"/>
              <w:rPr>
                <w:sz w:val="18"/>
                <w:szCs w:val="18"/>
                <w:lang w:val="en-US"/>
              </w:rPr>
            </w:pPr>
            <w:r w:rsidRPr="00A86393">
              <w:rPr>
                <w:sz w:val="18"/>
                <w:szCs w:val="18"/>
                <w:lang w:val="en-US"/>
              </w:rPr>
              <w:t xml:space="preserve">Reference framework for the development of </w:t>
            </w:r>
            <w:r w:rsidRPr="00A86393">
              <w:rPr>
                <w:sz w:val="18"/>
                <w:szCs w:val="18"/>
                <w:lang w:val="en-US"/>
              </w:rPr>
              <w:lastRenderedPageBreak/>
              <w:t>domestic energy in Mali</w:t>
            </w:r>
          </w:p>
        </w:tc>
        <w:tc>
          <w:tcPr>
            <w:tcW w:w="10513" w:type="dxa"/>
            <w:tcBorders>
              <w:top w:val="single" w:sz="4" w:space="0" w:color="000000" w:themeColor="text1"/>
              <w:bottom w:val="single" w:sz="4" w:space="0" w:color="000000" w:themeColor="text1"/>
            </w:tcBorders>
            <w:vAlign w:val="center"/>
          </w:tcPr>
          <w:p w14:paraId="00000297" w14:textId="73BB9C22" w:rsidR="004F7DB3" w:rsidRPr="00A86393" w:rsidRDefault="352EB93F" w:rsidP="00DD60F2">
            <w:pPr>
              <w:spacing w:after="0" w:line="240" w:lineRule="auto"/>
              <w:jc w:val="both"/>
              <w:rPr>
                <w:sz w:val="18"/>
                <w:szCs w:val="18"/>
                <w:lang w:val="en-US"/>
              </w:rPr>
            </w:pPr>
            <w:r w:rsidRPr="5D8904BE">
              <w:rPr>
                <w:sz w:val="18"/>
                <w:szCs w:val="18"/>
                <w:lang w:val="en-US"/>
              </w:rPr>
              <w:lastRenderedPageBreak/>
              <w:t xml:space="preserve">This framework clarifies the conditions and objectives for the deployment of renewable energy technologies or the control of national energy demand, reducing pressure on fuelwood consumption, deforestation and desertification. Among the levers envisaged are the use of natural </w:t>
            </w:r>
            <w:r w:rsidRPr="5D8904BE">
              <w:rPr>
                <w:sz w:val="18"/>
                <w:szCs w:val="18"/>
                <w:lang w:val="en-US"/>
              </w:rPr>
              <w:lastRenderedPageBreak/>
              <w:t xml:space="preserve">gas, bioenergy, alternative fuels and agricultural waste. </w:t>
            </w:r>
            <w:r w:rsidR="38B8CBD4" w:rsidRPr="5D8904BE">
              <w:rPr>
                <w:sz w:val="18"/>
                <w:szCs w:val="18"/>
                <w:lang w:val="en-US"/>
              </w:rPr>
              <w:t>S</w:t>
            </w:r>
            <w:r w:rsidR="475526FC" w:rsidRPr="5D8904BE">
              <w:rPr>
                <w:sz w:val="18"/>
                <w:szCs w:val="18"/>
                <w:lang w:val="en-US"/>
              </w:rPr>
              <w:t xml:space="preserve">olar </w:t>
            </w:r>
            <w:r w:rsidR="39B432CA" w:rsidRPr="5D8904BE">
              <w:rPr>
                <w:sz w:val="18"/>
                <w:szCs w:val="18"/>
                <w:lang w:val="en-US"/>
              </w:rPr>
              <w:t>energy</w:t>
            </w:r>
            <w:r w:rsidR="475526FC" w:rsidRPr="5D8904BE">
              <w:rPr>
                <w:sz w:val="18"/>
                <w:szCs w:val="18"/>
                <w:lang w:val="en-US"/>
              </w:rPr>
              <w:t xml:space="preserve"> cooking is in advanced prospecting due to the unsustainable level of deforestation linked to cooking in large cities, in this case the city of Bamako.</w:t>
            </w:r>
          </w:p>
          <w:p w14:paraId="00000298" w14:textId="77777777" w:rsidR="004F7DB3" w:rsidRPr="00A86393" w:rsidRDefault="004F7DB3" w:rsidP="00DD60F2">
            <w:pPr>
              <w:spacing w:after="0" w:line="240" w:lineRule="auto"/>
              <w:jc w:val="both"/>
              <w:rPr>
                <w:sz w:val="18"/>
                <w:szCs w:val="18"/>
                <w:lang w:val="en-US"/>
              </w:rPr>
            </w:pPr>
          </w:p>
          <w:p w14:paraId="00000299" w14:textId="4B8308A2" w:rsidR="004F7DB3" w:rsidRPr="00A86393" w:rsidRDefault="6DEC1BA7" w:rsidP="00DD60F2">
            <w:pPr>
              <w:spacing w:after="0" w:line="240" w:lineRule="auto"/>
              <w:jc w:val="both"/>
              <w:rPr>
                <w:sz w:val="18"/>
                <w:szCs w:val="18"/>
                <w:lang w:val="en-US"/>
              </w:rPr>
            </w:pPr>
            <w:r w:rsidRPr="5D8904BE">
              <w:rPr>
                <w:sz w:val="18"/>
                <w:szCs w:val="18"/>
                <w:lang w:val="en-US"/>
              </w:rPr>
              <w:t xml:space="preserve">The </w:t>
            </w:r>
            <w:r w:rsidR="0A25A650" w:rsidRPr="5D8904BE">
              <w:rPr>
                <w:sz w:val="18"/>
                <w:szCs w:val="18"/>
                <w:lang w:val="en-US"/>
              </w:rPr>
              <w:t xml:space="preserve">GEF-8 </w:t>
            </w:r>
            <w:r w:rsidRPr="5D8904BE">
              <w:rPr>
                <w:sz w:val="18"/>
                <w:szCs w:val="18"/>
                <w:lang w:val="en-US"/>
              </w:rPr>
              <w:t>Bamako Sustainable City</w:t>
            </w:r>
            <w:r w:rsidR="22655C0E" w:rsidRPr="5D8904BE">
              <w:rPr>
                <w:sz w:val="18"/>
                <w:szCs w:val="18"/>
                <w:lang w:val="en-US"/>
              </w:rPr>
              <w:t xml:space="preserve"> project</w:t>
            </w:r>
            <w:r w:rsidRPr="5D8904BE">
              <w:rPr>
                <w:sz w:val="18"/>
                <w:szCs w:val="18"/>
                <w:lang w:val="en-US"/>
              </w:rPr>
              <w:t xml:space="preserve"> is planning activities and</w:t>
            </w:r>
            <w:r w:rsidR="21B8C073" w:rsidRPr="5D8904BE">
              <w:rPr>
                <w:sz w:val="18"/>
                <w:szCs w:val="18"/>
                <w:lang w:val="en-US"/>
              </w:rPr>
              <w:t>/</w:t>
            </w:r>
            <w:r w:rsidRPr="5D8904BE">
              <w:rPr>
                <w:sz w:val="18"/>
                <w:szCs w:val="18"/>
                <w:lang w:val="en-US"/>
              </w:rPr>
              <w:t xml:space="preserve">or laboratory projects leading to the selection of less harmful plant species with better energy </w:t>
            </w:r>
            <w:r w:rsidR="3F6E63A2" w:rsidRPr="5D8904BE">
              <w:rPr>
                <w:sz w:val="18"/>
                <w:szCs w:val="18"/>
                <w:lang w:val="en-US"/>
              </w:rPr>
              <w:t>production</w:t>
            </w:r>
            <w:r w:rsidRPr="5D8904BE">
              <w:rPr>
                <w:sz w:val="18"/>
                <w:szCs w:val="18"/>
                <w:lang w:val="en-US"/>
              </w:rPr>
              <w:t xml:space="preserve">, </w:t>
            </w:r>
            <w:proofErr w:type="gramStart"/>
            <w:r w:rsidRPr="5D8904BE">
              <w:rPr>
                <w:sz w:val="18"/>
                <w:szCs w:val="18"/>
                <w:lang w:val="en-US"/>
              </w:rPr>
              <w:t>in order to</w:t>
            </w:r>
            <w:proofErr w:type="gramEnd"/>
            <w:r w:rsidRPr="5D8904BE">
              <w:rPr>
                <w:sz w:val="18"/>
                <w:szCs w:val="18"/>
                <w:lang w:val="en-US"/>
              </w:rPr>
              <w:t xml:space="preserve"> better plan and control wood cutting. </w:t>
            </w:r>
            <w:r w:rsidR="26C506DB" w:rsidRPr="5D8904BE">
              <w:rPr>
                <w:sz w:val="18"/>
                <w:szCs w:val="18"/>
                <w:lang w:val="en-US"/>
              </w:rPr>
              <w:t xml:space="preserve">The project </w:t>
            </w:r>
            <w:r w:rsidRPr="5D8904BE">
              <w:rPr>
                <w:sz w:val="18"/>
                <w:szCs w:val="18"/>
                <w:lang w:val="en-US"/>
              </w:rPr>
              <w:t>supports the penetration of clean cooking solutions in the city</w:t>
            </w:r>
            <w:r w:rsidR="4A2B1195" w:rsidRPr="5D8904BE">
              <w:rPr>
                <w:sz w:val="18"/>
                <w:szCs w:val="18"/>
                <w:lang w:val="en-US"/>
              </w:rPr>
              <w:t>,</w:t>
            </w:r>
            <w:r w:rsidRPr="5D8904BE">
              <w:rPr>
                <w:sz w:val="18"/>
                <w:szCs w:val="18"/>
                <w:lang w:val="en-US"/>
              </w:rPr>
              <w:t xml:space="preserve"> creating a considerable reduction in greenhouse gas emissions and pollution.</w:t>
            </w:r>
          </w:p>
        </w:tc>
      </w:tr>
      <w:tr w:rsidR="004F7DB3" w:rsidRPr="00F50786" w14:paraId="378A3F93" w14:textId="77777777" w:rsidTr="13C5956C">
        <w:trPr>
          <w:trHeight w:val="300"/>
          <w:jc w:val="center"/>
        </w:trPr>
        <w:tc>
          <w:tcPr>
            <w:tcW w:w="1170" w:type="dxa"/>
            <w:vMerge/>
          </w:tcPr>
          <w:p w14:paraId="0000029A" w14:textId="77777777" w:rsidR="004F7DB3" w:rsidRPr="00A86393" w:rsidRDefault="004F7DB3" w:rsidP="00DD60F2">
            <w:pPr>
              <w:spacing w:after="0" w:line="240" w:lineRule="auto"/>
              <w:jc w:val="both"/>
              <w:rPr>
                <w:sz w:val="18"/>
                <w:szCs w:val="18"/>
                <w:lang w:val="en-US"/>
              </w:rPr>
            </w:pPr>
          </w:p>
        </w:tc>
        <w:tc>
          <w:tcPr>
            <w:tcW w:w="1920" w:type="dxa"/>
            <w:tcBorders>
              <w:top w:val="single" w:sz="4" w:space="0" w:color="000000" w:themeColor="text1"/>
              <w:bottom w:val="single" w:sz="4" w:space="0" w:color="000000" w:themeColor="text1"/>
            </w:tcBorders>
            <w:vAlign w:val="center"/>
          </w:tcPr>
          <w:p w14:paraId="0000029B" w14:textId="0756AB48" w:rsidR="004F7DB3" w:rsidRPr="00A86393" w:rsidRDefault="00C00123" w:rsidP="00DD60F2">
            <w:pPr>
              <w:pBdr>
                <w:top w:val="nil"/>
                <w:left w:val="nil"/>
                <w:bottom w:val="nil"/>
                <w:right w:val="nil"/>
                <w:between w:val="nil"/>
              </w:pBdr>
              <w:spacing w:after="0" w:line="240" w:lineRule="auto"/>
              <w:rPr>
                <w:sz w:val="18"/>
                <w:szCs w:val="18"/>
                <w:lang w:val="en-US"/>
              </w:rPr>
            </w:pPr>
            <w:r w:rsidRPr="37FF86E9">
              <w:rPr>
                <w:sz w:val="18"/>
                <w:szCs w:val="18"/>
                <w:lang w:val="en-US"/>
              </w:rPr>
              <w:t>Renewable Energy Development Strategy (</w:t>
            </w:r>
            <w:r w:rsidR="4F7C818C" w:rsidRPr="37FF86E9">
              <w:rPr>
                <w:sz w:val="18"/>
                <w:szCs w:val="18"/>
                <w:lang w:val="en-US"/>
              </w:rPr>
              <w:t>REDS</w:t>
            </w:r>
            <w:r w:rsidRPr="37FF86E9">
              <w:rPr>
                <w:sz w:val="18"/>
                <w:szCs w:val="18"/>
                <w:lang w:val="en-US"/>
              </w:rPr>
              <w:t>)_ Under review with the National Energy Policy</w:t>
            </w:r>
          </w:p>
        </w:tc>
        <w:tc>
          <w:tcPr>
            <w:tcW w:w="10513" w:type="dxa"/>
            <w:tcBorders>
              <w:top w:val="single" w:sz="4" w:space="0" w:color="000000" w:themeColor="text1"/>
              <w:bottom w:val="single" w:sz="4" w:space="0" w:color="000000" w:themeColor="text1"/>
            </w:tcBorders>
            <w:vAlign w:val="center"/>
          </w:tcPr>
          <w:p w14:paraId="0000029C" w14:textId="10C78C6D" w:rsidR="004F7DB3" w:rsidRPr="00A86393" w:rsidRDefault="598651F0" w:rsidP="00DD60F2">
            <w:pPr>
              <w:spacing w:after="0" w:line="240" w:lineRule="auto"/>
              <w:jc w:val="both"/>
              <w:rPr>
                <w:sz w:val="18"/>
                <w:szCs w:val="18"/>
                <w:lang w:val="en-US"/>
              </w:rPr>
            </w:pPr>
            <w:r w:rsidRPr="537FA187">
              <w:rPr>
                <w:sz w:val="18"/>
                <w:szCs w:val="18"/>
                <w:lang w:val="en-US"/>
              </w:rPr>
              <w:t xml:space="preserve">The </w:t>
            </w:r>
            <w:r w:rsidR="36837596" w:rsidRPr="537FA187">
              <w:rPr>
                <w:sz w:val="18"/>
                <w:szCs w:val="18"/>
                <w:lang w:val="en-US"/>
              </w:rPr>
              <w:t xml:space="preserve">REDS </w:t>
            </w:r>
            <w:r w:rsidRPr="537FA187">
              <w:rPr>
                <w:sz w:val="18"/>
                <w:szCs w:val="18"/>
                <w:lang w:val="en-US"/>
              </w:rPr>
              <w:t xml:space="preserve">promotes the widespread use of renewable energy (RE) technologies and equipment </w:t>
            </w:r>
            <w:proofErr w:type="gramStart"/>
            <w:r w:rsidRPr="537FA187">
              <w:rPr>
                <w:sz w:val="18"/>
                <w:szCs w:val="18"/>
                <w:lang w:val="en-US"/>
              </w:rPr>
              <w:t>in order to</w:t>
            </w:r>
            <w:proofErr w:type="gramEnd"/>
            <w:r w:rsidRPr="537FA187">
              <w:rPr>
                <w:sz w:val="18"/>
                <w:szCs w:val="18"/>
                <w:lang w:val="en-US"/>
              </w:rPr>
              <w:t xml:space="preserve"> increase the share of renewable energies in national electricity production, from less than 1% in 2004 to 6% in 2010 and 10% in 2015.</w:t>
            </w:r>
          </w:p>
          <w:p w14:paraId="0000029D" w14:textId="77777777" w:rsidR="004F7DB3" w:rsidRPr="00A86393" w:rsidRDefault="004F7DB3" w:rsidP="00DD60F2">
            <w:pPr>
              <w:spacing w:after="0" w:line="240" w:lineRule="auto"/>
              <w:jc w:val="both"/>
              <w:rPr>
                <w:sz w:val="18"/>
                <w:szCs w:val="18"/>
                <w:lang w:val="en-US"/>
              </w:rPr>
            </w:pPr>
          </w:p>
          <w:p w14:paraId="0000029E" w14:textId="3CF11099" w:rsidR="004F7DB3" w:rsidRPr="00A86393" w:rsidRDefault="6DEC1BA7" w:rsidP="00DD60F2">
            <w:pPr>
              <w:spacing w:after="0" w:line="240" w:lineRule="auto"/>
              <w:jc w:val="both"/>
              <w:rPr>
                <w:sz w:val="18"/>
                <w:szCs w:val="18"/>
                <w:lang w:val="en-US"/>
              </w:rPr>
            </w:pPr>
            <w:r w:rsidRPr="5D8904BE">
              <w:rPr>
                <w:sz w:val="18"/>
                <w:szCs w:val="18"/>
                <w:lang w:val="en-US"/>
              </w:rPr>
              <w:t xml:space="preserve">The </w:t>
            </w:r>
            <w:r w:rsidR="50C37D67" w:rsidRPr="5D8904BE">
              <w:rPr>
                <w:sz w:val="18"/>
                <w:szCs w:val="18"/>
                <w:lang w:val="en-US"/>
              </w:rPr>
              <w:t xml:space="preserve">GEF-8 </w:t>
            </w:r>
            <w:r w:rsidRPr="5D8904BE">
              <w:rPr>
                <w:sz w:val="18"/>
                <w:szCs w:val="18"/>
                <w:lang w:val="en-US"/>
              </w:rPr>
              <w:t>Bamako Sustainable City</w:t>
            </w:r>
            <w:r w:rsidR="22933895" w:rsidRPr="5D8904BE">
              <w:rPr>
                <w:sz w:val="18"/>
                <w:szCs w:val="18"/>
                <w:lang w:val="en-US"/>
              </w:rPr>
              <w:t xml:space="preserve"> project</w:t>
            </w:r>
            <w:r w:rsidRPr="5D8904BE">
              <w:rPr>
                <w:sz w:val="18"/>
                <w:szCs w:val="18"/>
                <w:lang w:val="en-US"/>
              </w:rPr>
              <w:t xml:space="preserve"> supports solutions for the electrification of roads, buildings and other public infrastructure using renewable energy resources on the territory of the </w:t>
            </w:r>
            <w:proofErr w:type="gramStart"/>
            <w:r w:rsidRPr="5D8904BE">
              <w:rPr>
                <w:sz w:val="18"/>
                <w:szCs w:val="18"/>
                <w:lang w:val="en-US"/>
              </w:rPr>
              <w:t>City</w:t>
            </w:r>
            <w:proofErr w:type="gramEnd"/>
            <w:r w:rsidRPr="5D8904BE">
              <w:rPr>
                <w:sz w:val="18"/>
                <w:szCs w:val="18"/>
                <w:lang w:val="en-US"/>
              </w:rPr>
              <w:t xml:space="preserve"> and the Inter-community of Greater Bamako. It thus remains aligned with the current SDER with the strategic orientation aimed at "ensuring a sustainable, quality and low-cost offer of new and renewable energy services </w:t>
            </w:r>
            <w:r w:rsidR="7C1D2D77" w:rsidRPr="5D8904BE">
              <w:rPr>
                <w:sz w:val="18"/>
                <w:szCs w:val="18"/>
                <w:lang w:val="en-US"/>
              </w:rPr>
              <w:t xml:space="preserve">(RES) </w:t>
            </w:r>
            <w:r w:rsidRPr="5D8904BE">
              <w:rPr>
                <w:sz w:val="18"/>
                <w:szCs w:val="18"/>
                <w:lang w:val="en-US"/>
              </w:rPr>
              <w:t>by local authorities (Bamako and Greater Bamako) and their private, social or development partners.</w:t>
            </w:r>
          </w:p>
        </w:tc>
      </w:tr>
      <w:tr w:rsidR="004F7DB3" w:rsidRPr="00F50786" w14:paraId="4DB5BE9F" w14:textId="77777777" w:rsidTr="13C5956C">
        <w:trPr>
          <w:trHeight w:val="300"/>
          <w:jc w:val="center"/>
        </w:trPr>
        <w:tc>
          <w:tcPr>
            <w:tcW w:w="1170" w:type="dxa"/>
            <w:vMerge w:val="restart"/>
            <w:tcBorders>
              <w:top w:val="single" w:sz="4" w:space="0" w:color="000000" w:themeColor="text1"/>
              <w:bottom w:val="single" w:sz="4" w:space="0" w:color="000000" w:themeColor="text1"/>
            </w:tcBorders>
          </w:tcPr>
          <w:p w14:paraId="0000029F" w14:textId="77777777" w:rsidR="004F7DB3" w:rsidRPr="00A86393" w:rsidRDefault="004F7DB3" w:rsidP="00DD60F2">
            <w:pPr>
              <w:spacing w:after="0" w:line="240" w:lineRule="auto"/>
              <w:jc w:val="both"/>
              <w:rPr>
                <w:sz w:val="18"/>
                <w:szCs w:val="18"/>
                <w:lang w:val="en-US"/>
              </w:rPr>
            </w:pPr>
          </w:p>
          <w:p w14:paraId="6FD74437" w14:textId="77777777" w:rsidR="7B05C0F5" w:rsidRDefault="4A5A56E3" w:rsidP="00DD60F2">
            <w:pPr>
              <w:spacing w:after="0" w:line="360" w:lineRule="auto"/>
              <w:jc w:val="both"/>
              <w:rPr>
                <w:sz w:val="18"/>
                <w:szCs w:val="18"/>
              </w:rPr>
            </w:pPr>
            <w:proofErr w:type="spellStart"/>
            <w:r w:rsidRPr="5D8904BE">
              <w:rPr>
                <w:sz w:val="18"/>
                <w:szCs w:val="18"/>
              </w:rPr>
              <w:t>Strategies</w:t>
            </w:r>
            <w:proofErr w:type="spellEnd"/>
            <w:r w:rsidRPr="5D8904BE">
              <w:rPr>
                <w:sz w:val="18"/>
                <w:szCs w:val="18"/>
              </w:rPr>
              <w:t xml:space="preserve"> and Plans</w:t>
            </w:r>
          </w:p>
        </w:tc>
        <w:tc>
          <w:tcPr>
            <w:tcW w:w="1920" w:type="dxa"/>
            <w:tcBorders>
              <w:top w:val="single" w:sz="4" w:space="0" w:color="000000" w:themeColor="text1"/>
              <w:bottom w:val="single" w:sz="4" w:space="0" w:color="000000" w:themeColor="text1"/>
            </w:tcBorders>
            <w:vAlign w:val="center"/>
          </w:tcPr>
          <w:p w14:paraId="000002A0" w14:textId="3AA75ECD" w:rsidR="004F7DB3" w:rsidRPr="00A86393" w:rsidRDefault="2809ADD6" w:rsidP="00DD60F2">
            <w:pPr>
              <w:spacing w:after="0" w:line="240" w:lineRule="auto"/>
              <w:rPr>
                <w:sz w:val="18"/>
                <w:szCs w:val="18"/>
                <w:lang w:val="en-US"/>
              </w:rPr>
            </w:pPr>
            <w:r w:rsidRPr="00A86393">
              <w:rPr>
                <w:sz w:val="18"/>
                <w:szCs w:val="18"/>
                <w:lang w:val="en-US"/>
              </w:rPr>
              <w:t xml:space="preserve">Strategy for the development of energy management </w:t>
            </w:r>
            <w:proofErr w:type="gramStart"/>
            <w:r w:rsidR="100700EC" w:rsidRPr="00A86393">
              <w:rPr>
                <w:sz w:val="18"/>
                <w:szCs w:val="18"/>
                <w:lang w:val="en-US"/>
              </w:rPr>
              <w:t xml:space="preserve">- </w:t>
            </w:r>
            <w:r w:rsidRPr="00A86393">
              <w:rPr>
                <w:sz w:val="18"/>
                <w:szCs w:val="18"/>
                <w:lang w:val="en-US"/>
              </w:rPr>
              <w:t xml:space="preserve"> Under</w:t>
            </w:r>
            <w:proofErr w:type="gramEnd"/>
            <w:r w:rsidRPr="00A86393">
              <w:rPr>
                <w:sz w:val="18"/>
                <w:szCs w:val="18"/>
                <w:lang w:val="en-US"/>
              </w:rPr>
              <w:t xml:space="preserve"> revision with the National Energy Policy</w:t>
            </w:r>
          </w:p>
        </w:tc>
        <w:tc>
          <w:tcPr>
            <w:tcW w:w="10513" w:type="dxa"/>
            <w:tcBorders>
              <w:top w:val="single" w:sz="4" w:space="0" w:color="000000" w:themeColor="text1"/>
              <w:bottom w:val="single" w:sz="4" w:space="0" w:color="000000" w:themeColor="text1"/>
            </w:tcBorders>
            <w:vAlign w:val="center"/>
          </w:tcPr>
          <w:p w14:paraId="000002A1" w14:textId="610A081D" w:rsidR="004F7DB3" w:rsidRPr="00A86393" w:rsidRDefault="06D0C9A1" w:rsidP="00DD60F2">
            <w:pPr>
              <w:spacing w:after="240" w:line="240" w:lineRule="auto"/>
              <w:jc w:val="both"/>
              <w:rPr>
                <w:sz w:val="18"/>
                <w:szCs w:val="18"/>
                <w:lang w:val="en-US"/>
              </w:rPr>
            </w:pPr>
            <w:r w:rsidRPr="24AA8F7E">
              <w:rPr>
                <w:sz w:val="18"/>
                <w:szCs w:val="18"/>
                <w:lang w:val="en-US"/>
              </w:rPr>
              <w:t xml:space="preserve">The strategy focuses on energy management and energy conservation in all socio-economic sectors of development in the country. It is accompanied by a five-year plan that has not been implemented since its adoption in 2010. </w:t>
            </w:r>
          </w:p>
          <w:p w14:paraId="000002A2" w14:textId="6341463C" w:rsidR="004F7DB3" w:rsidRPr="00A86393" w:rsidRDefault="475526FC" w:rsidP="00DD60F2">
            <w:pPr>
              <w:spacing w:after="0" w:line="240" w:lineRule="auto"/>
              <w:jc w:val="both"/>
              <w:rPr>
                <w:sz w:val="18"/>
                <w:szCs w:val="18"/>
                <w:lang w:val="en-US"/>
              </w:rPr>
            </w:pPr>
            <w:r w:rsidRPr="5D8904BE">
              <w:rPr>
                <w:sz w:val="18"/>
                <w:szCs w:val="18"/>
                <w:lang w:val="en-US"/>
              </w:rPr>
              <w:t xml:space="preserve">The </w:t>
            </w:r>
            <w:r w:rsidR="5C90B932" w:rsidRPr="5D8904BE">
              <w:rPr>
                <w:sz w:val="18"/>
                <w:szCs w:val="18"/>
                <w:lang w:val="en-US"/>
              </w:rPr>
              <w:t>GEF-8</w:t>
            </w:r>
            <w:r w:rsidR="456E37D5" w:rsidRPr="5D8904BE">
              <w:rPr>
                <w:sz w:val="18"/>
                <w:szCs w:val="18"/>
                <w:lang w:val="en-US"/>
              </w:rPr>
              <w:t xml:space="preserve"> project</w:t>
            </w:r>
            <w:r w:rsidR="5C90B932" w:rsidRPr="5D8904BE">
              <w:rPr>
                <w:sz w:val="18"/>
                <w:szCs w:val="18"/>
                <w:lang w:val="en-US"/>
              </w:rPr>
              <w:t xml:space="preserve"> </w:t>
            </w:r>
            <w:r w:rsidRPr="5D8904BE">
              <w:rPr>
                <w:sz w:val="18"/>
                <w:szCs w:val="18"/>
                <w:lang w:val="en-US"/>
              </w:rPr>
              <w:t xml:space="preserve">contributes to </w:t>
            </w:r>
            <w:r w:rsidR="75F6F09F" w:rsidRPr="5D8904BE">
              <w:rPr>
                <w:sz w:val="18"/>
                <w:szCs w:val="18"/>
                <w:lang w:val="en-US"/>
              </w:rPr>
              <w:t xml:space="preserve">the strategy’s </w:t>
            </w:r>
            <w:r w:rsidRPr="5D8904BE">
              <w:rPr>
                <w:sz w:val="18"/>
                <w:szCs w:val="18"/>
                <w:lang w:val="en-US"/>
              </w:rPr>
              <w:t xml:space="preserve">priority axis No. 1 on energy demand </w:t>
            </w:r>
            <w:r w:rsidR="66E94B80" w:rsidRPr="5D8904BE">
              <w:rPr>
                <w:sz w:val="18"/>
                <w:szCs w:val="18"/>
                <w:lang w:val="en-US"/>
              </w:rPr>
              <w:t xml:space="preserve">for </w:t>
            </w:r>
            <w:r w:rsidRPr="5D8904BE">
              <w:rPr>
                <w:sz w:val="18"/>
                <w:szCs w:val="18"/>
                <w:lang w:val="en-US"/>
              </w:rPr>
              <w:t>"Residential and Tertiary Building</w:t>
            </w:r>
            <w:r w:rsidR="76C4AA9F" w:rsidRPr="5D8904BE">
              <w:rPr>
                <w:sz w:val="18"/>
                <w:szCs w:val="18"/>
                <w:lang w:val="en-US"/>
              </w:rPr>
              <w:t>s</w:t>
            </w:r>
            <w:r w:rsidRPr="5D8904BE">
              <w:rPr>
                <w:sz w:val="18"/>
                <w:szCs w:val="18"/>
                <w:lang w:val="en-US"/>
              </w:rPr>
              <w:t xml:space="preserve">" with the following objectives: </w:t>
            </w:r>
            <w:proofErr w:type="spellStart"/>
            <w:r w:rsidRPr="5D8904BE">
              <w:rPr>
                <w:sz w:val="18"/>
                <w:szCs w:val="18"/>
                <w:lang w:val="en-US"/>
              </w:rPr>
              <w:t>i</w:t>
            </w:r>
            <w:proofErr w:type="spellEnd"/>
            <w:r w:rsidRPr="5D8904BE">
              <w:rPr>
                <w:sz w:val="18"/>
                <w:szCs w:val="18"/>
                <w:lang w:val="en-US"/>
              </w:rPr>
              <w:t>) Postpone or reduce public investment in the electricity production fleet; ii) Reduc</w:t>
            </w:r>
            <w:r w:rsidR="620E5E03" w:rsidRPr="5D8904BE">
              <w:rPr>
                <w:sz w:val="18"/>
                <w:szCs w:val="18"/>
                <w:lang w:val="en-US"/>
              </w:rPr>
              <w:t>e</w:t>
            </w:r>
            <w:r w:rsidRPr="5D8904BE">
              <w:rPr>
                <w:sz w:val="18"/>
                <w:szCs w:val="18"/>
                <w:lang w:val="en-US"/>
              </w:rPr>
              <w:t xml:space="preserve"> the national energy bill by reducing primary energy consumption for electricity production; (iii) Ease the pressure on household budgets and contribute to the fight against poverty; (iv) </w:t>
            </w:r>
            <w:r w:rsidR="53BBDDEE" w:rsidRPr="5D8904BE">
              <w:rPr>
                <w:sz w:val="18"/>
                <w:szCs w:val="18"/>
                <w:lang w:val="en-US"/>
              </w:rPr>
              <w:t>I</w:t>
            </w:r>
            <w:r w:rsidRPr="5D8904BE">
              <w:rPr>
                <w:sz w:val="18"/>
                <w:szCs w:val="18"/>
                <w:lang w:val="en-US"/>
              </w:rPr>
              <w:t xml:space="preserve">mprove the competitiveness and sustainability of economic activities in the country; </w:t>
            </w:r>
            <w:r w:rsidR="23479617" w:rsidRPr="5D8904BE">
              <w:rPr>
                <w:sz w:val="18"/>
                <w:szCs w:val="18"/>
                <w:lang w:val="en-US"/>
              </w:rPr>
              <w:t xml:space="preserve">and </w:t>
            </w:r>
            <w:r w:rsidRPr="5D8904BE">
              <w:rPr>
                <w:sz w:val="18"/>
                <w:szCs w:val="18"/>
                <w:lang w:val="en-US"/>
              </w:rPr>
              <w:t>(v) Finally, to contribute to the reduction of greenhouse gas emissions and consequently to combat climate change.</w:t>
            </w:r>
          </w:p>
        </w:tc>
      </w:tr>
      <w:tr w:rsidR="004F7DB3" w:rsidRPr="00F50786" w14:paraId="505EB9E5" w14:textId="77777777" w:rsidTr="13C5956C">
        <w:trPr>
          <w:trHeight w:val="300"/>
          <w:jc w:val="center"/>
        </w:trPr>
        <w:tc>
          <w:tcPr>
            <w:tcW w:w="1170" w:type="dxa"/>
            <w:vMerge/>
          </w:tcPr>
          <w:p w14:paraId="000002A3" w14:textId="77777777" w:rsidR="004F7DB3" w:rsidRPr="00A86393" w:rsidRDefault="004F7DB3" w:rsidP="00DD60F2">
            <w:pPr>
              <w:spacing w:after="0" w:line="240" w:lineRule="auto"/>
              <w:jc w:val="both"/>
              <w:rPr>
                <w:sz w:val="18"/>
                <w:szCs w:val="18"/>
                <w:lang w:val="en-US"/>
              </w:rPr>
            </w:pPr>
          </w:p>
        </w:tc>
        <w:tc>
          <w:tcPr>
            <w:tcW w:w="1920" w:type="dxa"/>
            <w:tcBorders>
              <w:top w:val="single" w:sz="4" w:space="0" w:color="000000" w:themeColor="text1"/>
              <w:bottom w:val="single" w:sz="4" w:space="0" w:color="000000" w:themeColor="text1"/>
            </w:tcBorders>
            <w:vAlign w:val="center"/>
          </w:tcPr>
          <w:p w14:paraId="000002A4" w14:textId="369F654B" w:rsidR="004F7DB3" w:rsidRPr="00A86393" w:rsidRDefault="352EB93F" w:rsidP="00DD60F2">
            <w:pPr>
              <w:spacing w:after="0" w:line="240" w:lineRule="auto"/>
              <w:rPr>
                <w:sz w:val="18"/>
                <w:szCs w:val="18"/>
                <w:lang w:val="en-US"/>
              </w:rPr>
            </w:pPr>
            <w:r w:rsidRPr="5D8904BE">
              <w:rPr>
                <w:sz w:val="18"/>
                <w:szCs w:val="18"/>
                <w:lang w:val="en-US"/>
              </w:rPr>
              <w:t xml:space="preserve">National Strategy for the Development of Biofuels </w:t>
            </w:r>
            <w:r w:rsidR="2DD28924" w:rsidRPr="5D8904BE">
              <w:rPr>
                <w:sz w:val="18"/>
                <w:szCs w:val="18"/>
                <w:lang w:val="en-US"/>
              </w:rPr>
              <w:t>-</w:t>
            </w:r>
            <w:r w:rsidRPr="5D8904BE">
              <w:rPr>
                <w:sz w:val="18"/>
                <w:szCs w:val="18"/>
                <w:lang w:val="en-US"/>
              </w:rPr>
              <w:t xml:space="preserve"> Under revision</w:t>
            </w:r>
          </w:p>
        </w:tc>
        <w:tc>
          <w:tcPr>
            <w:tcW w:w="10513" w:type="dxa"/>
            <w:tcBorders>
              <w:top w:val="single" w:sz="4" w:space="0" w:color="000000" w:themeColor="text1"/>
              <w:bottom w:val="single" w:sz="4" w:space="0" w:color="000000" w:themeColor="text1"/>
            </w:tcBorders>
            <w:vAlign w:val="center"/>
          </w:tcPr>
          <w:p w14:paraId="000002A5" w14:textId="77777777" w:rsidR="004F7DB3" w:rsidRPr="00A86393" w:rsidRDefault="2809ADD6" w:rsidP="00DD60F2">
            <w:pPr>
              <w:spacing w:after="240" w:line="240" w:lineRule="auto"/>
              <w:jc w:val="both"/>
              <w:rPr>
                <w:sz w:val="18"/>
                <w:szCs w:val="18"/>
                <w:lang w:val="en-US"/>
              </w:rPr>
            </w:pPr>
            <w:r w:rsidRPr="00A86393">
              <w:rPr>
                <w:sz w:val="18"/>
                <w:szCs w:val="18"/>
                <w:lang w:val="en-US"/>
              </w:rPr>
              <w:t>Biofuels are considered a sustainable alternative to 100% imported fossil fuels, especially for electricity generation and GHG emission reduction.</w:t>
            </w:r>
          </w:p>
          <w:p w14:paraId="000002A7" w14:textId="426881B0" w:rsidR="004F7DB3" w:rsidRPr="00A86393" w:rsidRDefault="6DEC1BA7" w:rsidP="00DD60F2">
            <w:pPr>
              <w:spacing w:after="0" w:line="240" w:lineRule="auto"/>
              <w:jc w:val="both"/>
              <w:rPr>
                <w:sz w:val="18"/>
                <w:szCs w:val="18"/>
                <w:lang w:val="en-US"/>
              </w:rPr>
            </w:pPr>
            <w:r w:rsidRPr="5D8904BE">
              <w:rPr>
                <w:sz w:val="18"/>
                <w:szCs w:val="18"/>
                <w:lang w:val="en-US"/>
              </w:rPr>
              <w:t xml:space="preserve">This strategy aims to develop Mali's biofuels </w:t>
            </w:r>
            <w:proofErr w:type="gramStart"/>
            <w:r w:rsidRPr="5D8904BE">
              <w:rPr>
                <w:sz w:val="18"/>
                <w:szCs w:val="18"/>
                <w:lang w:val="en-US"/>
              </w:rPr>
              <w:t>in order to</w:t>
            </w:r>
            <w:proofErr w:type="gramEnd"/>
            <w:r w:rsidRPr="5D8904BE">
              <w:rPr>
                <w:sz w:val="18"/>
                <w:szCs w:val="18"/>
                <w:lang w:val="en-US"/>
              </w:rPr>
              <w:t xml:space="preserve"> offer low-cost energy and meet the country's socio-economic needs: (</w:t>
            </w:r>
            <w:proofErr w:type="spellStart"/>
            <w:r w:rsidRPr="5D8904BE">
              <w:rPr>
                <w:sz w:val="18"/>
                <w:szCs w:val="18"/>
                <w:lang w:val="en-US"/>
              </w:rPr>
              <w:t>i</w:t>
            </w:r>
            <w:proofErr w:type="spellEnd"/>
            <w:r w:rsidRPr="5D8904BE">
              <w:rPr>
                <w:sz w:val="18"/>
                <w:szCs w:val="18"/>
                <w:lang w:val="en-US"/>
              </w:rPr>
              <w:t xml:space="preserve">) Increase the basic crop production of biofuels; (ii) Establish artisanal and industrial infrastructures for the production, processing and distribution of biofuels; </w:t>
            </w:r>
            <w:r w:rsidR="2FC341C3" w:rsidRPr="5D8904BE">
              <w:rPr>
                <w:sz w:val="18"/>
                <w:szCs w:val="18"/>
                <w:lang w:val="en-US"/>
              </w:rPr>
              <w:t xml:space="preserve">and </w:t>
            </w:r>
            <w:r w:rsidRPr="5D8904BE">
              <w:rPr>
                <w:sz w:val="18"/>
                <w:szCs w:val="18"/>
                <w:lang w:val="en-US"/>
              </w:rPr>
              <w:t xml:space="preserve">(iii) Establish an institutional, legal, organizational and financial environment conducive to the development of biofuels. With bioethanol increasingly entering sustainable cooking and a penetration of fuel consumption for vehicles (biodiesel), </w:t>
            </w:r>
            <w:r w:rsidR="27E38091" w:rsidRPr="5D8904BE">
              <w:rPr>
                <w:sz w:val="18"/>
                <w:szCs w:val="18"/>
                <w:lang w:val="en-US"/>
              </w:rPr>
              <w:t xml:space="preserve">the GEF project </w:t>
            </w:r>
            <w:r w:rsidRPr="5D8904BE">
              <w:rPr>
                <w:sz w:val="18"/>
                <w:szCs w:val="18"/>
                <w:lang w:val="en-US"/>
              </w:rPr>
              <w:t xml:space="preserve">supports sustainable transportation </w:t>
            </w:r>
            <w:r w:rsidR="2E1551AC" w:rsidRPr="5D8904BE">
              <w:rPr>
                <w:sz w:val="18"/>
                <w:szCs w:val="18"/>
                <w:lang w:val="en-US"/>
              </w:rPr>
              <w:t xml:space="preserve">through </w:t>
            </w:r>
            <w:r w:rsidR="333C0EBC" w:rsidRPr="5D8904BE">
              <w:rPr>
                <w:sz w:val="18"/>
                <w:szCs w:val="18"/>
                <w:lang w:val="en-US"/>
              </w:rPr>
              <w:t xml:space="preserve">enhanced </w:t>
            </w:r>
            <w:r w:rsidRPr="5D8904BE">
              <w:rPr>
                <w:sz w:val="18"/>
                <w:szCs w:val="18"/>
                <w:lang w:val="en-US"/>
              </w:rPr>
              <w:t>penetration of biofuels.</w:t>
            </w:r>
          </w:p>
        </w:tc>
      </w:tr>
      <w:tr w:rsidR="004F7DB3" w:rsidRPr="00F50786" w14:paraId="5D0E61C1" w14:textId="77777777" w:rsidTr="13C5956C">
        <w:trPr>
          <w:trHeight w:val="300"/>
          <w:jc w:val="center"/>
        </w:trPr>
        <w:tc>
          <w:tcPr>
            <w:tcW w:w="1170" w:type="dxa"/>
            <w:vMerge/>
          </w:tcPr>
          <w:p w14:paraId="000002A8" w14:textId="77777777" w:rsidR="004F7DB3" w:rsidRPr="00A86393" w:rsidRDefault="004F7DB3" w:rsidP="00DD60F2">
            <w:pPr>
              <w:spacing w:after="0" w:line="240" w:lineRule="auto"/>
              <w:jc w:val="both"/>
              <w:rPr>
                <w:sz w:val="18"/>
                <w:szCs w:val="18"/>
                <w:lang w:val="en-US"/>
              </w:rPr>
            </w:pPr>
          </w:p>
        </w:tc>
        <w:tc>
          <w:tcPr>
            <w:tcW w:w="1920" w:type="dxa"/>
            <w:tcBorders>
              <w:top w:val="single" w:sz="4" w:space="0" w:color="000000" w:themeColor="text1"/>
              <w:bottom w:val="single" w:sz="4" w:space="0" w:color="000000" w:themeColor="text1"/>
            </w:tcBorders>
            <w:vAlign w:val="center"/>
          </w:tcPr>
          <w:p w14:paraId="000002A9" w14:textId="77777777" w:rsidR="004F7DB3" w:rsidRPr="00A86393" w:rsidRDefault="00C00123" w:rsidP="00DD60F2">
            <w:pPr>
              <w:pBdr>
                <w:top w:val="nil"/>
                <w:left w:val="nil"/>
                <w:bottom w:val="nil"/>
                <w:right w:val="nil"/>
                <w:between w:val="nil"/>
              </w:pBdr>
              <w:spacing w:after="0" w:line="240" w:lineRule="auto"/>
              <w:rPr>
                <w:sz w:val="18"/>
                <w:szCs w:val="18"/>
                <w:lang w:val="en-US"/>
              </w:rPr>
            </w:pPr>
            <w:r w:rsidRPr="00A86393">
              <w:rPr>
                <w:sz w:val="18"/>
                <w:szCs w:val="18"/>
                <w:lang w:val="en-US"/>
              </w:rPr>
              <w:t>Communication strategy in the field of climate change and forests in Mali</w:t>
            </w:r>
          </w:p>
        </w:tc>
        <w:tc>
          <w:tcPr>
            <w:tcW w:w="10513" w:type="dxa"/>
            <w:tcBorders>
              <w:top w:val="single" w:sz="4" w:space="0" w:color="000000" w:themeColor="text1"/>
              <w:bottom w:val="single" w:sz="4" w:space="0" w:color="000000" w:themeColor="text1"/>
            </w:tcBorders>
            <w:vAlign w:val="center"/>
          </w:tcPr>
          <w:p w14:paraId="000002AA" w14:textId="563F13F0" w:rsidR="004F7DB3" w:rsidRPr="00A86393" w:rsidRDefault="2809ADD6" w:rsidP="00DD60F2">
            <w:pPr>
              <w:spacing w:after="0" w:line="240" w:lineRule="auto"/>
              <w:jc w:val="both"/>
              <w:rPr>
                <w:sz w:val="18"/>
                <w:szCs w:val="18"/>
                <w:lang w:val="en-US"/>
              </w:rPr>
            </w:pPr>
            <w:r w:rsidRPr="00A86393">
              <w:rPr>
                <w:sz w:val="18"/>
                <w:szCs w:val="18"/>
                <w:lang w:val="en-US"/>
              </w:rPr>
              <w:t xml:space="preserve">The </w:t>
            </w:r>
            <w:r w:rsidR="454CAA49" w:rsidRPr="00A86393">
              <w:rPr>
                <w:sz w:val="18"/>
                <w:szCs w:val="18"/>
                <w:lang w:val="en-US"/>
              </w:rPr>
              <w:t xml:space="preserve">GEF-8 </w:t>
            </w:r>
            <w:r w:rsidRPr="00A86393">
              <w:rPr>
                <w:sz w:val="18"/>
                <w:szCs w:val="18"/>
                <w:lang w:val="en-US"/>
              </w:rPr>
              <w:t>Bamako Sustainable City</w:t>
            </w:r>
            <w:r w:rsidR="5785B650" w:rsidRPr="00A86393">
              <w:rPr>
                <w:sz w:val="18"/>
                <w:szCs w:val="18"/>
                <w:lang w:val="en-US"/>
              </w:rPr>
              <w:t xml:space="preserve"> project</w:t>
            </w:r>
            <w:r w:rsidRPr="00A86393">
              <w:rPr>
                <w:sz w:val="18"/>
                <w:szCs w:val="18"/>
                <w:lang w:val="en-US"/>
              </w:rPr>
              <w:t xml:space="preserve"> contributes to the strategic priority axis N°4 "Inform and organize the populations of Mali around the importance of planting, maintaining, managing and protecting forest resources, with an emphasis on a change in behavior, with the objective of reversing the trend of deforestation", through measures to improve the building envelope for better indoor thermal comfort through domestic reforestation, in particular with fruit trees to help protect the exterior facades of the walls and openings in the building envelope from direct solar radiation and reduce heat gain by convection or infiltration into the buildings, ultimately improving thermal comfort and reducing energy consumption. In addition, this domestic reforestation would help improve groundwater infiltration for enhanced protection of the ecosystem.</w:t>
            </w:r>
          </w:p>
        </w:tc>
      </w:tr>
      <w:tr w:rsidR="004F7DB3" w:rsidRPr="00F50786" w14:paraId="0BC9019B" w14:textId="77777777" w:rsidTr="13C5956C">
        <w:trPr>
          <w:trHeight w:val="300"/>
          <w:jc w:val="center"/>
        </w:trPr>
        <w:tc>
          <w:tcPr>
            <w:tcW w:w="1170" w:type="dxa"/>
            <w:vMerge/>
          </w:tcPr>
          <w:p w14:paraId="000002AB" w14:textId="77777777" w:rsidR="004F7DB3" w:rsidRPr="00A86393" w:rsidRDefault="004F7DB3" w:rsidP="00DD60F2">
            <w:pPr>
              <w:spacing w:after="0" w:line="240" w:lineRule="auto"/>
              <w:jc w:val="both"/>
              <w:rPr>
                <w:sz w:val="18"/>
                <w:szCs w:val="18"/>
                <w:lang w:val="en-US"/>
              </w:rPr>
            </w:pPr>
          </w:p>
        </w:tc>
        <w:tc>
          <w:tcPr>
            <w:tcW w:w="1920" w:type="dxa"/>
            <w:tcBorders>
              <w:top w:val="single" w:sz="4" w:space="0" w:color="000000" w:themeColor="text1"/>
              <w:bottom w:val="single" w:sz="4" w:space="0" w:color="000000" w:themeColor="text1"/>
            </w:tcBorders>
          </w:tcPr>
          <w:p w14:paraId="000002AC" w14:textId="77777777" w:rsidR="004F7DB3" w:rsidRPr="00A86393" w:rsidRDefault="00C00123" w:rsidP="00DD60F2">
            <w:pPr>
              <w:spacing w:after="0" w:line="240" w:lineRule="auto"/>
              <w:jc w:val="both"/>
              <w:rPr>
                <w:sz w:val="18"/>
                <w:szCs w:val="18"/>
                <w:lang w:val="en-US"/>
              </w:rPr>
            </w:pPr>
            <w:r w:rsidRPr="00A86393">
              <w:rPr>
                <w:sz w:val="18"/>
                <w:szCs w:val="18"/>
                <w:lang w:val="en-US"/>
              </w:rPr>
              <w:t xml:space="preserve">Strategic Plan for the Renewal of Mali's </w:t>
            </w:r>
            <w:r w:rsidRPr="00A86393">
              <w:rPr>
                <w:sz w:val="18"/>
                <w:szCs w:val="18"/>
                <w:lang w:val="en-US"/>
              </w:rPr>
              <w:lastRenderedPageBreak/>
              <w:t>Commercial Transport Fleet (2021–2023)</w:t>
            </w:r>
          </w:p>
        </w:tc>
        <w:tc>
          <w:tcPr>
            <w:tcW w:w="10513" w:type="dxa"/>
            <w:tcBorders>
              <w:top w:val="single" w:sz="4" w:space="0" w:color="000000" w:themeColor="text1"/>
              <w:bottom w:val="single" w:sz="4" w:space="0" w:color="000000" w:themeColor="text1"/>
            </w:tcBorders>
          </w:tcPr>
          <w:p w14:paraId="000002AD" w14:textId="592571FD" w:rsidR="004F7DB3" w:rsidRPr="00A86393" w:rsidRDefault="3A3EC098" w:rsidP="00DD60F2">
            <w:pPr>
              <w:spacing w:after="240" w:line="240" w:lineRule="auto"/>
              <w:jc w:val="both"/>
              <w:rPr>
                <w:sz w:val="18"/>
                <w:szCs w:val="18"/>
                <w:lang w:val="en-US"/>
              </w:rPr>
            </w:pPr>
            <w:r w:rsidRPr="5D8904BE">
              <w:rPr>
                <w:sz w:val="18"/>
                <w:szCs w:val="18"/>
                <w:lang w:val="en-US"/>
              </w:rPr>
              <w:lastRenderedPageBreak/>
              <w:t xml:space="preserve">The strategic plan’s </w:t>
            </w:r>
            <w:r w:rsidR="6DEC1BA7" w:rsidRPr="5D8904BE">
              <w:rPr>
                <w:sz w:val="18"/>
                <w:szCs w:val="18"/>
                <w:lang w:val="en-US"/>
              </w:rPr>
              <w:t xml:space="preserve">objective is to contribute to the reduction of the costs of approaching goods and to the improvement of the mobility of people and their goods. More specifically, it aims to: modernize the commercial transportation fleet; set up a long-term fleet renewal </w:t>
            </w:r>
            <w:r w:rsidR="6DEC1BA7" w:rsidRPr="5D8904BE">
              <w:rPr>
                <w:sz w:val="18"/>
                <w:szCs w:val="18"/>
                <w:lang w:val="en-US"/>
              </w:rPr>
              <w:lastRenderedPageBreak/>
              <w:t>mechanism; contribute to the improvement of urban and interurban mobility; and reduce the share of commercial road transport in pollution and nuisances.</w:t>
            </w:r>
          </w:p>
          <w:p w14:paraId="000002AE" w14:textId="39F2EE6A" w:rsidR="004F7DB3" w:rsidRPr="00A86393" w:rsidRDefault="2809ADD6" w:rsidP="00DD60F2">
            <w:pPr>
              <w:spacing w:after="0" w:line="240" w:lineRule="auto"/>
              <w:jc w:val="both"/>
              <w:rPr>
                <w:sz w:val="18"/>
                <w:szCs w:val="18"/>
                <w:lang w:val="en-US"/>
              </w:rPr>
            </w:pPr>
            <w:r w:rsidRPr="00A86393">
              <w:rPr>
                <w:sz w:val="18"/>
                <w:szCs w:val="18"/>
                <w:lang w:val="en-US"/>
              </w:rPr>
              <w:t xml:space="preserve">The </w:t>
            </w:r>
            <w:r w:rsidR="66A7EA07" w:rsidRPr="00A86393">
              <w:rPr>
                <w:sz w:val="18"/>
                <w:szCs w:val="18"/>
                <w:lang w:val="en-US"/>
              </w:rPr>
              <w:t xml:space="preserve">GEF-8 </w:t>
            </w:r>
            <w:r w:rsidRPr="00A86393">
              <w:rPr>
                <w:sz w:val="18"/>
                <w:szCs w:val="18"/>
                <w:lang w:val="en-US"/>
              </w:rPr>
              <w:t>Bamako Sustainable City</w:t>
            </w:r>
            <w:r w:rsidR="47378E60" w:rsidRPr="00A86393">
              <w:rPr>
                <w:sz w:val="18"/>
                <w:szCs w:val="18"/>
                <w:lang w:val="en-US"/>
              </w:rPr>
              <w:t xml:space="preserve"> project</w:t>
            </w:r>
            <w:r w:rsidRPr="00A86393">
              <w:rPr>
                <w:sz w:val="18"/>
                <w:szCs w:val="18"/>
                <w:lang w:val="en-US"/>
              </w:rPr>
              <w:t xml:space="preserve"> supports the promotion of investments and incentives in public transport capacity, e-mobility </w:t>
            </w:r>
            <w:proofErr w:type="gramStart"/>
            <w:r w:rsidRPr="00A86393">
              <w:rPr>
                <w:sz w:val="18"/>
                <w:szCs w:val="18"/>
                <w:lang w:val="en-US"/>
              </w:rPr>
              <w:t>and also</w:t>
            </w:r>
            <w:proofErr w:type="gramEnd"/>
            <w:r w:rsidRPr="00A86393">
              <w:rPr>
                <w:sz w:val="18"/>
                <w:szCs w:val="18"/>
                <w:lang w:val="en-US"/>
              </w:rPr>
              <w:t xml:space="preserve"> the energy transition in urban transport, based mainly on transport actors and more broadly the private sector.</w:t>
            </w:r>
          </w:p>
        </w:tc>
      </w:tr>
      <w:tr w:rsidR="004F7DB3" w:rsidRPr="00F50786" w14:paraId="394F5EA4" w14:textId="77777777" w:rsidTr="13C5956C">
        <w:trPr>
          <w:trHeight w:val="300"/>
          <w:jc w:val="center"/>
        </w:trPr>
        <w:tc>
          <w:tcPr>
            <w:tcW w:w="1170" w:type="dxa"/>
          </w:tcPr>
          <w:p w14:paraId="000002AF" w14:textId="77777777" w:rsidR="004F7DB3" w:rsidRPr="00A86393" w:rsidRDefault="00C00123" w:rsidP="00DD60F2">
            <w:pPr>
              <w:spacing w:after="0" w:line="360" w:lineRule="auto"/>
              <w:jc w:val="both"/>
              <w:rPr>
                <w:sz w:val="18"/>
                <w:szCs w:val="18"/>
              </w:rPr>
            </w:pPr>
            <w:proofErr w:type="spellStart"/>
            <w:r w:rsidRPr="00A86393">
              <w:rPr>
                <w:sz w:val="18"/>
                <w:szCs w:val="18"/>
              </w:rPr>
              <w:lastRenderedPageBreak/>
              <w:t>Strategies</w:t>
            </w:r>
            <w:proofErr w:type="spellEnd"/>
            <w:r w:rsidRPr="00A86393">
              <w:rPr>
                <w:sz w:val="18"/>
                <w:szCs w:val="18"/>
              </w:rPr>
              <w:t xml:space="preserve"> and Plans</w:t>
            </w:r>
          </w:p>
        </w:tc>
        <w:tc>
          <w:tcPr>
            <w:tcW w:w="1920" w:type="dxa"/>
            <w:tcBorders>
              <w:top w:val="single" w:sz="4" w:space="0" w:color="000000" w:themeColor="text1"/>
              <w:bottom w:val="single" w:sz="5" w:space="0" w:color="C9C9C9"/>
            </w:tcBorders>
          </w:tcPr>
          <w:p w14:paraId="000002B0" w14:textId="77777777" w:rsidR="004F7DB3" w:rsidRPr="00A86393" w:rsidRDefault="6D0B6F6D" w:rsidP="00DD60F2">
            <w:pPr>
              <w:pBdr>
                <w:top w:val="nil"/>
                <w:left w:val="nil"/>
                <w:bottom w:val="nil"/>
                <w:right w:val="nil"/>
                <w:between w:val="nil"/>
              </w:pBdr>
              <w:spacing w:after="0" w:line="240" w:lineRule="auto"/>
              <w:jc w:val="both"/>
              <w:rPr>
                <w:sz w:val="18"/>
                <w:szCs w:val="18"/>
                <w:lang w:val="en-US"/>
              </w:rPr>
            </w:pPr>
            <w:r w:rsidRPr="00A86393">
              <w:rPr>
                <w:sz w:val="18"/>
                <w:szCs w:val="18"/>
                <w:lang w:val="en-US"/>
              </w:rPr>
              <w:t>National Strategy and Action Plan for Biological Diversity (2014)</w:t>
            </w:r>
          </w:p>
          <w:p w14:paraId="000002B1" w14:textId="77777777" w:rsidR="004F7DB3" w:rsidRPr="00A86393" w:rsidRDefault="00C00123" w:rsidP="00DD60F2">
            <w:pPr>
              <w:spacing w:after="0" w:line="360" w:lineRule="auto"/>
              <w:jc w:val="both"/>
              <w:rPr>
                <w:sz w:val="18"/>
                <w:szCs w:val="18"/>
                <w:lang w:val="en-US"/>
              </w:rPr>
            </w:pPr>
            <w:r w:rsidRPr="00A86393">
              <w:rPr>
                <w:sz w:val="18"/>
                <w:szCs w:val="18"/>
                <w:lang w:val="en-US"/>
              </w:rPr>
              <w:t xml:space="preserve">   </w:t>
            </w:r>
            <w:r>
              <w:fldChar w:fldCharType="begin"/>
            </w:r>
            <w:r w:rsidRPr="00F50786">
              <w:rPr>
                <w:lang w:val="en-US"/>
                <w:rPrChange w:id="29" w:author="Ali Sambou" w:date="2026-01-06T13:24:00Z" w16du:dateUtc="2026-01-06T13:24:00Z">
                  <w:rPr/>
                </w:rPrChange>
              </w:rPr>
              <w:instrText>HYPERLINK "https://faolex.fao.org/docs/pdf/mli213924.pdf" \h</w:instrText>
            </w:r>
            <w:r>
              <w:fldChar w:fldCharType="separate"/>
            </w:r>
            <w:r w:rsidRPr="00A86393">
              <w:rPr>
                <w:color w:val="1155CC"/>
                <w:sz w:val="18"/>
                <w:szCs w:val="18"/>
                <w:u w:val="single"/>
                <w:lang w:val="en-US"/>
              </w:rPr>
              <w:t>https://faolex.fao.org/docs/pdf/mli213924.pdf</w:t>
            </w:r>
            <w:r>
              <w:fldChar w:fldCharType="end"/>
            </w:r>
            <w:r w:rsidRPr="00A86393">
              <w:rPr>
                <w:sz w:val="18"/>
                <w:szCs w:val="18"/>
                <w:lang w:val="en-US"/>
              </w:rPr>
              <w:t xml:space="preserve"> </w:t>
            </w:r>
          </w:p>
        </w:tc>
        <w:tc>
          <w:tcPr>
            <w:tcW w:w="10513" w:type="dxa"/>
            <w:tcBorders>
              <w:top w:val="single" w:sz="4" w:space="0" w:color="000000" w:themeColor="text1"/>
              <w:bottom w:val="single" w:sz="5" w:space="0" w:color="C9C9C9"/>
            </w:tcBorders>
          </w:tcPr>
          <w:p w14:paraId="63AF99A0" w14:textId="3535AE0D" w:rsidR="004F7DB3" w:rsidRPr="00A86393" w:rsidRDefault="3B3026B0" w:rsidP="00DD60F2">
            <w:pPr>
              <w:spacing w:before="240" w:after="240" w:line="240" w:lineRule="auto"/>
              <w:jc w:val="both"/>
              <w:rPr>
                <w:sz w:val="18"/>
                <w:szCs w:val="18"/>
                <w:lang w:val="en-US"/>
              </w:rPr>
            </w:pPr>
            <w:r w:rsidRPr="5D8904BE">
              <w:rPr>
                <w:sz w:val="18"/>
                <w:szCs w:val="18"/>
                <w:lang w:val="en-US"/>
              </w:rPr>
              <w:t>This strategy and its associated plans encompass a set of initiatives aimed at raising awareness about the value of biodiversity and natural resources, strengthening ecosystem resilience through climate change adaptation and mitigation, combating desertification, enhancing the provision of ecosystem services, and curbing forest degradation. They further seek to mainstream biodiversity into national and sectoral development policies, promote the sustainable use of natural assets, expand and effectively manage protected areas, and foster inclusive community engagement and capacity building at all levels.</w:t>
            </w:r>
          </w:p>
          <w:p w14:paraId="000002B2" w14:textId="276A53AA" w:rsidR="004F7DB3" w:rsidRPr="00A86393" w:rsidRDefault="3B3026B0" w:rsidP="5D8904BE">
            <w:pPr>
              <w:spacing w:after="0" w:line="257" w:lineRule="auto"/>
              <w:jc w:val="both"/>
              <w:rPr>
                <w:sz w:val="18"/>
                <w:szCs w:val="18"/>
                <w:lang w:val="en-US"/>
              </w:rPr>
            </w:pPr>
            <w:r w:rsidRPr="5D8904BE">
              <w:rPr>
                <w:sz w:val="18"/>
                <w:szCs w:val="18"/>
                <w:lang w:val="en-US"/>
              </w:rPr>
              <w:t>As part of these efforts, the GEF-8 Bamako Sustainable City project supports the development of the Green Belt—an urban ecological corridor designed to conserve biodiversity within city boundaries, improve connectivity between green spaces, and deliver ecosystem services that enhance climate resilience and the quality of life for urban populations.</w:t>
            </w:r>
            <w:r w:rsidR="6727B1C7" w:rsidRPr="5D8904BE">
              <w:rPr>
                <w:sz w:val="18"/>
                <w:szCs w:val="18"/>
                <w:lang w:val="en-US"/>
              </w:rPr>
              <w:t xml:space="preserve"> Through the BIOFIN project, it provides a strategic framework for identifying and mobilizing the financial resources needed for sustainable biodiversity management.</w:t>
            </w:r>
          </w:p>
        </w:tc>
      </w:tr>
      <w:tr w:rsidR="004F7DB3" w:rsidRPr="00F50786" w14:paraId="34EE906C" w14:textId="77777777" w:rsidTr="13C5956C">
        <w:trPr>
          <w:trHeight w:val="300"/>
          <w:jc w:val="center"/>
        </w:trPr>
        <w:tc>
          <w:tcPr>
            <w:tcW w:w="1170" w:type="dxa"/>
            <w:tcBorders>
              <w:top w:val="single" w:sz="4" w:space="0" w:color="000000" w:themeColor="text1"/>
              <w:bottom w:val="single" w:sz="4" w:space="0" w:color="000000" w:themeColor="text1"/>
              <w:right w:val="single" w:sz="5" w:space="0" w:color="C9C9C9"/>
            </w:tcBorders>
            <w:vAlign w:val="center"/>
          </w:tcPr>
          <w:p w14:paraId="000002B3" w14:textId="77777777" w:rsidR="004F7DB3" w:rsidRPr="00A86393" w:rsidRDefault="004F7DB3" w:rsidP="00DD60F2">
            <w:pPr>
              <w:spacing w:after="0" w:line="360" w:lineRule="auto"/>
              <w:jc w:val="both"/>
              <w:rPr>
                <w:sz w:val="18"/>
                <w:szCs w:val="18"/>
                <w:lang w:val="en-US"/>
              </w:rPr>
            </w:pPr>
          </w:p>
        </w:tc>
        <w:tc>
          <w:tcPr>
            <w:tcW w:w="1920" w:type="dxa"/>
            <w:tcBorders>
              <w:top w:val="single" w:sz="5" w:space="0" w:color="C9C9C9"/>
              <w:left w:val="single" w:sz="5" w:space="0" w:color="C9C9C9"/>
              <w:bottom w:val="single" w:sz="5" w:space="0" w:color="C9C9C9"/>
              <w:right w:val="single" w:sz="5" w:space="0" w:color="C9C9C9"/>
            </w:tcBorders>
            <w:tcMar>
              <w:left w:w="100" w:type="dxa"/>
              <w:right w:w="100" w:type="dxa"/>
            </w:tcMar>
            <w:vAlign w:val="center"/>
          </w:tcPr>
          <w:p w14:paraId="000002B4" w14:textId="77777777" w:rsidR="004F7DB3" w:rsidRPr="00A86393" w:rsidRDefault="00C00123" w:rsidP="00DD60F2">
            <w:pPr>
              <w:pBdr>
                <w:top w:val="nil"/>
                <w:left w:val="nil"/>
                <w:bottom w:val="nil"/>
                <w:right w:val="nil"/>
                <w:between w:val="nil"/>
              </w:pBdr>
              <w:spacing w:after="0" w:line="240" w:lineRule="auto"/>
              <w:rPr>
                <w:sz w:val="18"/>
                <w:szCs w:val="18"/>
                <w:lang w:val="en-US"/>
              </w:rPr>
            </w:pPr>
            <w:r>
              <w:fldChar w:fldCharType="begin"/>
            </w:r>
            <w:r w:rsidRPr="00F50786">
              <w:rPr>
                <w:lang w:val="en-US"/>
                <w:rPrChange w:id="30" w:author="Ali Sambou" w:date="2026-01-06T13:24:00Z" w16du:dateUtc="2026-01-06T13:24:00Z">
                  <w:rPr/>
                </w:rPrChange>
              </w:rPr>
              <w:instrText>HYPERLINK "http://www.grandemurailleverte.org/images/DOCUMENTATIONS/MALI/StratratgieGMVVFSabio23032013.pdf" \h</w:instrText>
            </w:r>
            <w:r>
              <w:fldChar w:fldCharType="separate"/>
            </w:r>
            <w:r w:rsidRPr="00A86393">
              <w:rPr>
                <w:color w:val="1155CC"/>
                <w:sz w:val="18"/>
                <w:szCs w:val="18"/>
                <w:u w:val="single"/>
                <w:lang w:val="en-US"/>
              </w:rPr>
              <w:t>Strategies and Action Plan for the Implementation of the Great Green Wall of Mali,</w:t>
            </w:r>
            <w:r>
              <w:fldChar w:fldCharType="end"/>
            </w:r>
            <w:r w:rsidRPr="00A86393">
              <w:rPr>
                <w:color w:val="1155CC"/>
                <w:sz w:val="18"/>
                <w:szCs w:val="18"/>
                <w:u w:val="single"/>
                <w:lang w:val="en-US"/>
              </w:rPr>
              <w:t xml:space="preserve"> </w:t>
            </w:r>
            <w:r w:rsidRPr="00A86393">
              <w:rPr>
                <w:sz w:val="18"/>
                <w:szCs w:val="18"/>
                <w:lang w:val="en-US"/>
              </w:rPr>
              <w:t xml:space="preserve"> 2012</w:t>
            </w:r>
          </w:p>
          <w:p w14:paraId="000002B5" w14:textId="77777777" w:rsidR="004F7DB3" w:rsidRPr="00A86393" w:rsidRDefault="00C00123" w:rsidP="00DD60F2">
            <w:pPr>
              <w:spacing w:before="240" w:after="240" w:line="360" w:lineRule="auto"/>
              <w:jc w:val="both"/>
              <w:rPr>
                <w:sz w:val="18"/>
                <w:szCs w:val="18"/>
                <w:lang w:val="en-US"/>
              </w:rPr>
            </w:pPr>
            <w:r w:rsidRPr="00A86393">
              <w:rPr>
                <w:sz w:val="18"/>
                <w:szCs w:val="18"/>
                <w:lang w:val="en-US"/>
              </w:rPr>
              <w:t xml:space="preserve"> </w:t>
            </w:r>
          </w:p>
        </w:tc>
        <w:tc>
          <w:tcPr>
            <w:tcW w:w="10513" w:type="dxa"/>
            <w:tcBorders>
              <w:top w:val="single" w:sz="5" w:space="0" w:color="C9C9C9"/>
              <w:left w:val="single" w:sz="5" w:space="0" w:color="C9C9C9"/>
              <w:bottom w:val="single" w:sz="5" w:space="0" w:color="C9C9C9"/>
              <w:right w:val="single" w:sz="5" w:space="0" w:color="C9C9C9"/>
            </w:tcBorders>
            <w:tcMar>
              <w:left w:w="100" w:type="dxa"/>
              <w:right w:w="100" w:type="dxa"/>
            </w:tcMar>
            <w:vAlign w:val="center"/>
          </w:tcPr>
          <w:p w14:paraId="000002B7" w14:textId="09BB159A" w:rsidR="004F7DB3" w:rsidRPr="00A86393" w:rsidRDefault="352EB93F" w:rsidP="5D8904BE">
            <w:pPr>
              <w:pBdr>
                <w:top w:val="nil"/>
                <w:left w:val="nil"/>
                <w:bottom w:val="nil"/>
                <w:right w:val="nil"/>
                <w:between w:val="nil"/>
              </w:pBdr>
              <w:spacing w:after="0" w:line="240" w:lineRule="auto"/>
              <w:jc w:val="both"/>
              <w:rPr>
                <w:sz w:val="18"/>
                <w:szCs w:val="18"/>
                <w:lang w:val="en-US"/>
              </w:rPr>
            </w:pPr>
            <w:r w:rsidRPr="5D8904BE">
              <w:rPr>
                <w:sz w:val="18"/>
                <w:szCs w:val="18"/>
                <w:lang w:val="en-US"/>
              </w:rPr>
              <w:t>At the 7th session of the Conference of the Community of Sahel-Saharan States (CENSAD), held in June 2005 in Ouagadougou, Burkina Faso, African Heads of State adopted the "Great Sahel-Saharan Green Wall" Initiative with a view to joining forces and putting an end to desertification and food insecurity. More concretely, this initiative, which is part of the Environment Action Plan of the New Partnership for Africa's Development (NEPAD), aims to develop an innovative and inclusive approach, synergizing actions to combat desertification and the adverse effects of climate change, land restoration, biodiversity conservation, and the development of agricultural and pastoral production systems in order to promote the creation of new agricultural and pastoral technologies. wealth for the benefit of the people.</w:t>
            </w:r>
          </w:p>
        </w:tc>
      </w:tr>
      <w:tr w:rsidR="004F7DB3" w:rsidRPr="00F50786" w14:paraId="3F2746B7" w14:textId="77777777" w:rsidTr="13C5956C">
        <w:trPr>
          <w:trHeight w:val="300"/>
          <w:jc w:val="center"/>
        </w:trPr>
        <w:tc>
          <w:tcPr>
            <w:tcW w:w="1170" w:type="dxa"/>
            <w:tcBorders>
              <w:top w:val="single" w:sz="4" w:space="0" w:color="000000" w:themeColor="text1"/>
              <w:bottom w:val="single" w:sz="4" w:space="0" w:color="000000" w:themeColor="text1"/>
            </w:tcBorders>
            <w:vAlign w:val="center"/>
          </w:tcPr>
          <w:p w14:paraId="000002B8" w14:textId="77777777" w:rsidR="004F7DB3" w:rsidRPr="00A86393" w:rsidRDefault="004F7DB3" w:rsidP="00DD60F2">
            <w:pPr>
              <w:spacing w:after="0" w:line="240" w:lineRule="auto"/>
              <w:jc w:val="both"/>
              <w:rPr>
                <w:sz w:val="18"/>
                <w:szCs w:val="18"/>
                <w:lang w:val="en-US"/>
              </w:rPr>
            </w:pPr>
          </w:p>
        </w:tc>
        <w:tc>
          <w:tcPr>
            <w:tcW w:w="1920" w:type="dxa"/>
            <w:tcBorders>
              <w:top w:val="single" w:sz="4" w:space="0" w:color="000000" w:themeColor="text1"/>
              <w:bottom w:val="single" w:sz="4" w:space="0" w:color="000000" w:themeColor="text1"/>
            </w:tcBorders>
            <w:vAlign w:val="center"/>
          </w:tcPr>
          <w:p w14:paraId="000002B9" w14:textId="77777777" w:rsidR="004F7DB3" w:rsidRPr="00A86393" w:rsidRDefault="00C00123" w:rsidP="00DD60F2">
            <w:pPr>
              <w:spacing w:after="0" w:line="240" w:lineRule="auto"/>
              <w:rPr>
                <w:sz w:val="18"/>
                <w:szCs w:val="18"/>
              </w:rPr>
            </w:pPr>
            <w:r w:rsidRPr="00A86393">
              <w:rPr>
                <w:sz w:val="18"/>
                <w:szCs w:val="18"/>
              </w:rPr>
              <w:t>Vision Bamako 2030</w:t>
            </w:r>
          </w:p>
        </w:tc>
        <w:tc>
          <w:tcPr>
            <w:tcW w:w="10513" w:type="dxa"/>
            <w:tcBorders>
              <w:top w:val="single" w:sz="4" w:space="0" w:color="000000" w:themeColor="text1"/>
              <w:bottom w:val="single" w:sz="4" w:space="0" w:color="000000" w:themeColor="text1"/>
            </w:tcBorders>
            <w:vAlign w:val="center"/>
          </w:tcPr>
          <w:p w14:paraId="000002BB" w14:textId="311B0DA0" w:rsidR="004F7DB3" w:rsidRPr="00A86393" w:rsidRDefault="1C27B28A" w:rsidP="00DD60F2">
            <w:pPr>
              <w:spacing w:after="0" w:line="240" w:lineRule="auto"/>
              <w:jc w:val="both"/>
              <w:rPr>
                <w:sz w:val="18"/>
                <w:szCs w:val="18"/>
                <w:lang w:val="en-US"/>
              </w:rPr>
            </w:pPr>
            <w:r w:rsidRPr="00A86393">
              <w:rPr>
                <w:sz w:val="18"/>
                <w:szCs w:val="18"/>
                <w:lang w:val="en-US"/>
              </w:rPr>
              <w:t xml:space="preserve">Vision Bamako 2030 </w:t>
            </w:r>
            <w:r w:rsidR="2809ADD6" w:rsidRPr="00A86393">
              <w:rPr>
                <w:sz w:val="18"/>
                <w:szCs w:val="18"/>
                <w:lang w:val="en-US"/>
              </w:rPr>
              <w:t>corresponds to an operational roadmap with the identification</w:t>
            </w:r>
            <w:r w:rsidR="410374F1" w:rsidRPr="00A86393">
              <w:rPr>
                <w:sz w:val="18"/>
                <w:szCs w:val="18"/>
                <w:lang w:val="en-US"/>
              </w:rPr>
              <w:t xml:space="preserve"> of </w:t>
            </w:r>
            <w:r w:rsidR="496F1838" w:rsidRPr="00A86393">
              <w:rPr>
                <w:sz w:val="18"/>
                <w:szCs w:val="18"/>
                <w:lang w:val="en-US"/>
              </w:rPr>
              <w:t>key projects to achieve the Bamako 2030 vision. It is based on in-depth and participatory reflections during the years 2010 to 2014, in particular the formulation of Greater Bamako and the constitution of a high-level local engineering, to think about the future by 2030, based on the intrinsic qualities of the city, in particular on its urban fabric and its natural elements (the river and the hills),  and on the "values" that the capital city must convey. Some structuring projects of the Bamako 2030 vision are as follows:</w:t>
            </w:r>
          </w:p>
          <w:p w14:paraId="000002BC" w14:textId="77777777" w:rsidR="004F7DB3" w:rsidRPr="00A86393" w:rsidRDefault="552CE4D7" w:rsidP="001360BB">
            <w:pPr>
              <w:numPr>
                <w:ilvl w:val="0"/>
                <w:numId w:val="175"/>
              </w:numPr>
              <w:spacing w:after="0" w:line="240" w:lineRule="auto"/>
              <w:jc w:val="both"/>
              <w:rPr>
                <w:sz w:val="18"/>
                <w:szCs w:val="18"/>
              </w:rPr>
            </w:pPr>
            <w:r w:rsidRPr="5D8904BE">
              <w:rPr>
                <w:sz w:val="18"/>
                <w:szCs w:val="18"/>
              </w:rPr>
              <w:t xml:space="preserve">A new large </w:t>
            </w:r>
            <w:proofErr w:type="spellStart"/>
            <w:r w:rsidRPr="5D8904BE">
              <w:rPr>
                <w:sz w:val="18"/>
                <w:szCs w:val="18"/>
              </w:rPr>
              <w:t>metropolitan</w:t>
            </w:r>
            <w:proofErr w:type="spellEnd"/>
            <w:r w:rsidRPr="5D8904BE">
              <w:rPr>
                <w:sz w:val="18"/>
                <w:szCs w:val="18"/>
              </w:rPr>
              <w:t xml:space="preserve"> centre in </w:t>
            </w:r>
            <w:proofErr w:type="spellStart"/>
            <w:r w:rsidRPr="5D8904BE">
              <w:rPr>
                <w:sz w:val="18"/>
                <w:szCs w:val="18"/>
              </w:rPr>
              <w:t>Sogoniko</w:t>
            </w:r>
            <w:proofErr w:type="spellEnd"/>
            <w:r w:rsidRPr="5D8904BE">
              <w:rPr>
                <w:sz w:val="18"/>
                <w:szCs w:val="18"/>
              </w:rPr>
              <w:t>,</w:t>
            </w:r>
          </w:p>
          <w:p w14:paraId="000002BD" w14:textId="77777777" w:rsidR="004F7DB3" w:rsidRPr="00A86393" w:rsidRDefault="552CE4D7" w:rsidP="001360BB">
            <w:pPr>
              <w:numPr>
                <w:ilvl w:val="0"/>
                <w:numId w:val="175"/>
              </w:numPr>
              <w:spacing w:after="0" w:line="240" w:lineRule="auto"/>
              <w:jc w:val="both"/>
              <w:rPr>
                <w:sz w:val="18"/>
                <w:szCs w:val="18"/>
                <w:lang w:val="en-US"/>
              </w:rPr>
            </w:pPr>
            <w:r w:rsidRPr="5D8904BE">
              <w:rPr>
                <w:sz w:val="18"/>
                <w:szCs w:val="18"/>
                <w:lang w:val="en-US"/>
              </w:rPr>
              <w:t xml:space="preserve">The creation of dry ports, for a city </w:t>
            </w:r>
            <w:proofErr w:type="spellStart"/>
            <w:r w:rsidRPr="5D8904BE">
              <w:rPr>
                <w:sz w:val="18"/>
                <w:szCs w:val="18"/>
                <w:lang w:val="en-US"/>
              </w:rPr>
              <w:t>centre</w:t>
            </w:r>
            <w:proofErr w:type="spellEnd"/>
            <w:r w:rsidRPr="5D8904BE">
              <w:rPr>
                <w:sz w:val="18"/>
                <w:szCs w:val="18"/>
                <w:lang w:val="en-US"/>
              </w:rPr>
              <w:t xml:space="preserve"> without trucks,</w:t>
            </w:r>
          </w:p>
          <w:p w14:paraId="000002BE" w14:textId="77777777" w:rsidR="004F7DB3" w:rsidRPr="00A86393" w:rsidRDefault="552CE4D7" w:rsidP="001360BB">
            <w:pPr>
              <w:numPr>
                <w:ilvl w:val="0"/>
                <w:numId w:val="175"/>
              </w:numPr>
              <w:spacing w:after="0" w:line="240" w:lineRule="auto"/>
              <w:jc w:val="both"/>
              <w:rPr>
                <w:sz w:val="18"/>
                <w:szCs w:val="18"/>
                <w:lang w:val="en-US"/>
              </w:rPr>
            </w:pPr>
            <w:r w:rsidRPr="5D8904BE">
              <w:rPr>
                <w:sz w:val="18"/>
                <w:szCs w:val="18"/>
                <w:lang w:val="en-US"/>
              </w:rPr>
              <w:t xml:space="preserve">"The </w:t>
            </w:r>
            <w:proofErr w:type="spellStart"/>
            <w:r w:rsidRPr="5D8904BE">
              <w:rPr>
                <w:sz w:val="18"/>
                <w:szCs w:val="18"/>
                <w:lang w:val="en-US"/>
              </w:rPr>
              <w:t>Sotrama</w:t>
            </w:r>
            <w:proofErr w:type="spellEnd"/>
            <w:r w:rsidRPr="5D8904BE">
              <w:rPr>
                <w:sz w:val="18"/>
                <w:szCs w:val="18"/>
                <w:lang w:val="en-US"/>
              </w:rPr>
              <w:t xml:space="preserve"> Ring of the Two Shores",</w:t>
            </w:r>
          </w:p>
          <w:p w14:paraId="000002BF" w14:textId="77777777" w:rsidR="004F7DB3" w:rsidRPr="00A86393" w:rsidRDefault="00C00123" w:rsidP="001360BB">
            <w:pPr>
              <w:numPr>
                <w:ilvl w:val="0"/>
                <w:numId w:val="175"/>
              </w:numPr>
              <w:spacing w:after="0" w:line="240" w:lineRule="auto"/>
              <w:jc w:val="both"/>
              <w:rPr>
                <w:sz w:val="18"/>
                <w:szCs w:val="18"/>
                <w:lang w:val="en-US"/>
              </w:rPr>
            </w:pPr>
            <w:r w:rsidRPr="00A86393">
              <w:rPr>
                <w:sz w:val="18"/>
                <w:szCs w:val="18"/>
                <w:lang w:val="en-US"/>
              </w:rPr>
              <w:t>A phased process for the sale and development of the riverbanks,</w:t>
            </w:r>
          </w:p>
          <w:p w14:paraId="000002C0" w14:textId="77777777" w:rsidR="004F7DB3" w:rsidRPr="00A86393" w:rsidRDefault="00C00123" w:rsidP="001360BB">
            <w:pPr>
              <w:numPr>
                <w:ilvl w:val="0"/>
                <w:numId w:val="175"/>
              </w:numPr>
              <w:spacing w:after="0" w:line="240" w:lineRule="auto"/>
              <w:jc w:val="both"/>
              <w:rPr>
                <w:sz w:val="18"/>
                <w:szCs w:val="18"/>
                <w:lang w:val="en-US"/>
              </w:rPr>
            </w:pPr>
            <w:r w:rsidRPr="00A86393">
              <w:rPr>
                <w:sz w:val="18"/>
                <w:szCs w:val="18"/>
                <w:lang w:val="en-US"/>
              </w:rPr>
              <w:t>The relocation of bus stations,</w:t>
            </w:r>
          </w:p>
          <w:p w14:paraId="000002C1" w14:textId="77777777" w:rsidR="004F7DB3" w:rsidRPr="00A86393" w:rsidRDefault="00C00123" w:rsidP="001360BB">
            <w:pPr>
              <w:numPr>
                <w:ilvl w:val="0"/>
                <w:numId w:val="175"/>
              </w:numPr>
              <w:spacing w:after="0" w:line="240" w:lineRule="auto"/>
              <w:jc w:val="both"/>
              <w:rPr>
                <w:sz w:val="18"/>
                <w:szCs w:val="18"/>
                <w:lang w:val="en-US"/>
              </w:rPr>
            </w:pPr>
            <w:r w:rsidRPr="00A86393">
              <w:rPr>
                <w:sz w:val="18"/>
                <w:szCs w:val="18"/>
                <w:lang w:val="en-US"/>
              </w:rPr>
              <w:t>The temporary development of the 140-metre strip,</w:t>
            </w:r>
          </w:p>
          <w:p w14:paraId="000002C2" w14:textId="77777777" w:rsidR="004F7DB3" w:rsidRPr="00A86393" w:rsidRDefault="552CE4D7" w:rsidP="001360BB">
            <w:pPr>
              <w:numPr>
                <w:ilvl w:val="0"/>
                <w:numId w:val="175"/>
              </w:numPr>
              <w:spacing w:after="0" w:line="240" w:lineRule="auto"/>
              <w:jc w:val="both"/>
              <w:rPr>
                <w:sz w:val="18"/>
                <w:szCs w:val="18"/>
                <w:lang w:val="en-US"/>
              </w:rPr>
            </w:pPr>
            <w:r w:rsidRPr="5D8904BE">
              <w:rPr>
                <w:sz w:val="18"/>
                <w:szCs w:val="18"/>
                <w:lang w:val="en-US"/>
              </w:rPr>
              <w:t xml:space="preserve">A cultural and tourist route in the city </w:t>
            </w:r>
            <w:proofErr w:type="spellStart"/>
            <w:r w:rsidRPr="5D8904BE">
              <w:rPr>
                <w:sz w:val="18"/>
                <w:szCs w:val="18"/>
                <w:lang w:val="en-US"/>
              </w:rPr>
              <w:t>centre</w:t>
            </w:r>
            <w:proofErr w:type="spellEnd"/>
            <w:r w:rsidRPr="5D8904BE">
              <w:rPr>
                <w:sz w:val="18"/>
                <w:szCs w:val="18"/>
                <w:lang w:val="en-US"/>
              </w:rPr>
              <w:t>,</w:t>
            </w:r>
          </w:p>
          <w:p w14:paraId="000002C3" w14:textId="77777777" w:rsidR="004F7DB3" w:rsidRPr="00A86393" w:rsidRDefault="552CE4D7" w:rsidP="001360BB">
            <w:pPr>
              <w:numPr>
                <w:ilvl w:val="0"/>
                <w:numId w:val="175"/>
              </w:numPr>
              <w:spacing w:after="0" w:line="240" w:lineRule="auto"/>
              <w:jc w:val="both"/>
              <w:rPr>
                <w:sz w:val="18"/>
                <w:szCs w:val="18"/>
                <w:lang w:val="en-US"/>
              </w:rPr>
            </w:pPr>
            <w:r w:rsidRPr="5D8904BE">
              <w:rPr>
                <w:sz w:val="18"/>
                <w:szCs w:val="18"/>
                <w:lang w:val="en-US"/>
              </w:rPr>
              <w:t xml:space="preserve">The affirmation of the hill of </w:t>
            </w:r>
            <w:proofErr w:type="spellStart"/>
            <w:r w:rsidRPr="5D8904BE">
              <w:rPr>
                <w:sz w:val="18"/>
                <w:szCs w:val="18"/>
                <w:lang w:val="en-US"/>
              </w:rPr>
              <w:t>Badalabougou</w:t>
            </w:r>
            <w:proofErr w:type="spellEnd"/>
            <w:r w:rsidRPr="5D8904BE">
              <w:rPr>
                <w:sz w:val="18"/>
                <w:szCs w:val="18"/>
                <w:lang w:val="en-US"/>
              </w:rPr>
              <w:t xml:space="preserve"> as a symbol of Bamako.</w:t>
            </w:r>
          </w:p>
          <w:p w14:paraId="000002C4" w14:textId="17A563C7" w:rsidR="004F7DB3" w:rsidRPr="00A86393" w:rsidRDefault="475526FC" w:rsidP="00DD60F2">
            <w:pPr>
              <w:spacing w:before="240" w:after="0" w:line="240" w:lineRule="auto"/>
              <w:jc w:val="both"/>
              <w:rPr>
                <w:sz w:val="18"/>
                <w:szCs w:val="18"/>
                <w:lang w:val="en-US"/>
              </w:rPr>
            </w:pPr>
            <w:r w:rsidRPr="5D8904BE">
              <w:rPr>
                <w:sz w:val="18"/>
                <w:szCs w:val="18"/>
                <w:lang w:val="en-US"/>
              </w:rPr>
              <w:lastRenderedPageBreak/>
              <w:t xml:space="preserve">The </w:t>
            </w:r>
            <w:r w:rsidR="202F59B0" w:rsidRPr="5D8904BE">
              <w:rPr>
                <w:sz w:val="18"/>
                <w:szCs w:val="18"/>
                <w:lang w:val="en-US"/>
              </w:rPr>
              <w:t xml:space="preserve">GEF-8 </w:t>
            </w:r>
            <w:r w:rsidRPr="5D8904BE">
              <w:rPr>
                <w:sz w:val="18"/>
                <w:szCs w:val="18"/>
                <w:lang w:val="en-US"/>
              </w:rPr>
              <w:t>Bama</w:t>
            </w:r>
            <w:r w:rsidR="518A8461" w:rsidRPr="5D8904BE">
              <w:rPr>
                <w:sz w:val="18"/>
                <w:szCs w:val="18"/>
                <w:lang w:val="en-US"/>
              </w:rPr>
              <w:t>k</w:t>
            </w:r>
            <w:r w:rsidRPr="5D8904BE">
              <w:rPr>
                <w:sz w:val="18"/>
                <w:szCs w:val="18"/>
                <w:lang w:val="en-US"/>
              </w:rPr>
              <w:t>o Sustainable City</w:t>
            </w:r>
            <w:r w:rsidR="6C148C3C" w:rsidRPr="5D8904BE">
              <w:rPr>
                <w:sz w:val="18"/>
                <w:szCs w:val="18"/>
                <w:lang w:val="en-US"/>
              </w:rPr>
              <w:t xml:space="preserve"> project</w:t>
            </w:r>
            <w:r w:rsidRPr="5D8904BE">
              <w:rPr>
                <w:sz w:val="18"/>
                <w:szCs w:val="18"/>
                <w:lang w:val="en-US"/>
              </w:rPr>
              <w:t xml:space="preserve"> is positioned as a catalyst for some of the above projects, in this case the creation of dry ports (which can be preceded by the implementation of an effective urban logistics strategy), the sale and development of the banks of the Niger River (which can be preceded by various activities to mobilize investors,  awareness, inventory, investment opportunities and commitment of the city, etc.), </w:t>
            </w:r>
            <w:r w:rsidR="6C9D2CFB" w:rsidRPr="5D8904BE">
              <w:rPr>
                <w:sz w:val="18"/>
                <w:szCs w:val="18"/>
                <w:lang w:val="en-US"/>
              </w:rPr>
              <w:t xml:space="preserve">and </w:t>
            </w:r>
            <w:r w:rsidRPr="5D8904BE">
              <w:rPr>
                <w:sz w:val="18"/>
                <w:szCs w:val="18"/>
                <w:lang w:val="en-US"/>
              </w:rPr>
              <w:t>cultural and tourist routes (which can be preceded by ecotourism in green spaces and gardens or co-developed in synergy with the green belt)</w:t>
            </w:r>
          </w:p>
        </w:tc>
      </w:tr>
      <w:tr w:rsidR="004F7DB3" w:rsidRPr="00F50786" w14:paraId="60D0BF42" w14:textId="77777777" w:rsidTr="13C5956C">
        <w:trPr>
          <w:trHeight w:val="300"/>
          <w:jc w:val="center"/>
        </w:trPr>
        <w:tc>
          <w:tcPr>
            <w:tcW w:w="1170" w:type="dxa"/>
            <w:tcBorders>
              <w:top w:val="single" w:sz="4" w:space="0" w:color="000000" w:themeColor="text1"/>
              <w:bottom w:val="single" w:sz="4" w:space="0" w:color="000000" w:themeColor="text1"/>
            </w:tcBorders>
            <w:vAlign w:val="center"/>
          </w:tcPr>
          <w:p w14:paraId="000002C5" w14:textId="77777777" w:rsidR="004F7DB3" w:rsidRPr="00A86393" w:rsidRDefault="004F7DB3" w:rsidP="00DD60F2">
            <w:pPr>
              <w:spacing w:after="0" w:line="240" w:lineRule="auto"/>
              <w:jc w:val="both"/>
              <w:rPr>
                <w:sz w:val="18"/>
                <w:szCs w:val="18"/>
                <w:lang w:val="en-US"/>
              </w:rPr>
            </w:pPr>
          </w:p>
        </w:tc>
        <w:tc>
          <w:tcPr>
            <w:tcW w:w="1920" w:type="dxa"/>
            <w:tcBorders>
              <w:top w:val="single" w:sz="4" w:space="0" w:color="000000" w:themeColor="text1"/>
              <w:bottom w:val="single" w:sz="4" w:space="0" w:color="000000" w:themeColor="text1"/>
            </w:tcBorders>
            <w:vAlign w:val="center"/>
          </w:tcPr>
          <w:p w14:paraId="000002C6" w14:textId="77777777" w:rsidR="004F7DB3" w:rsidRPr="00A86393" w:rsidRDefault="00C00123" w:rsidP="00DD60F2">
            <w:pPr>
              <w:spacing w:before="240" w:after="240" w:line="240" w:lineRule="auto"/>
              <w:rPr>
                <w:sz w:val="18"/>
                <w:szCs w:val="18"/>
                <w:lang w:val="en-US"/>
              </w:rPr>
            </w:pPr>
            <w:r w:rsidRPr="00A86393">
              <w:rPr>
                <w:sz w:val="18"/>
                <w:szCs w:val="18"/>
                <w:lang w:val="en-US"/>
              </w:rPr>
              <w:t>Bamako District Sustainable Energy and Climate Access Action Plan (BAAEDC-DB), 2023</w:t>
            </w:r>
          </w:p>
        </w:tc>
        <w:tc>
          <w:tcPr>
            <w:tcW w:w="10513" w:type="dxa"/>
            <w:tcBorders>
              <w:top w:val="single" w:sz="4" w:space="0" w:color="000000" w:themeColor="text1"/>
              <w:bottom w:val="single" w:sz="4" w:space="0" w:color="000000" w:themeColor="text1"/>
            </w:tcBorders>
            <w:vAlign w:val="center"/>
          </w:tcPr>
          <w:p w14:paraId="000002C8" w14:textId="2D840A9E" w:rsidR="004F7DB3" w:rsidRPr="00A86393" w:rsidRDefault="475526FC" w:rsidP="00DD60F2">
            <w:pPr>
              <w:spacing w:after="0" w:line="240" w:lineRule="auto"/>
              <w:jc w:val="both"/>
              <w:rPr>
                <w:sz w:val="18"/>
                <w:szCs w:val="18"/>
                <w:lang w:val="en-US"/>
              </w:rPr>
            </w:pPr>
            <w:r w:rsidRPr="5D8904BE">
              <w:rPr>
                <w:sz w:val="18"/>
                <w:szCs w:val="18"/>
                <w:lang w:val="en-US"/>
              </w:rPr>
              <w:t>The SEACAP-DB provide</w:t>
            </w:r>
            <w:r w:rsidR="736F735F" w:rsidRPr="5D8904BE">
              <w:rPr>
                <w:sz w:val="18"/>
                <w:szCs w:val="18"/>
                <w:lang w:val="en-US"/>
              </w:rPr>
              <w:t>s</w:t>
            </w:r>
            <w:r w:rsidRPr="5D8904BE">
              <w:rPr>
                <w:sz w:val="18"/>
                <w:szCs w:val="18"/>
                <w:lang w:val="en-US"/>
              </w:rPr>
              <w:t xml:space="preserve"> municipal or administrative authorities of the city, as well as their partners, with a strategic, operational and dynamic planning tool in the management of the city to support its sustainable, integrated, inclusive and climate-resilient urban development, while encouraging the strengthening of their capacities to plan, implement and monitor. It has been developed on the three (3) pillars of adaptation, mitigation (on climate action) and access to energy (electricity and clean cooking). The plan recorded projects </w:t>
            </w:r>
            <w:r w:rsidR="1CAC9329" w:rsidRPr="5D8904BE">
              <w:rPr>
                <w:sz w:val="18"/>
                <w:szCs w:val="18"/>
                <w:lang w:val="en-US"/>
              </w:rPr>
              <w:t>aligned with the</w:t>
            </w:r>
            <w:r w:rsidRPr="5D8904BE">
              <w:rPr>
                <w:sz w:val="18"/>
                <w:szCs w:val="18"/>
                <w:lang w:val="en-US"/>
              </w:rPr>
              <w:t xml:space="preserve"> pillars, the vast majority of which </w:t>
            </w:r>
            <w:proofErr w:type="gramStart"/>
            <w:r w:rsidRPr="5D8904BE">
              <w:rPr>
                <w:sz w:val="18"/>
                <w:szCs w:val="18"/>
                <w:lang w:val="en-US"/>
              </w:rPr>
              <w:t>were considered to be</w:t>
            </w:r>
            <w:proofErr w:type="gramEnd"/>
            <w:r w:rsidRPr="5D8904BE">
              <w:rPr>
                <w:sz w:val="18"/>
                <w:szCs w:val="18"/>
                <w:lang w:val="en-US"/>
              </w:rPr>
              <w:t xml:space="preserve"> included in the Bamako Urban Resilience Project (PRUBA).</w:t>
            </w:r>
            <w:r w:rsidR="3630BB50" w:rsidRPr="5D8904BE">
              <w:rPr>
                <w:sz w:val="18"/>
                <w:szCs w:val="18"/>
                <w:lang w:val="en-US"/>
              </w:rPr>
              <w:t xml:space="preserve"> </w:t>
            </w:r>
            <w:r w:rsidRPr="5D8904BE">
              <w:rPr>
                <w:sz w:val="18"/>
                <w:szCs w:val="18"/>
                <w:lang w:val="en-US"/>
              </w:rPr>
              <w:t xml:space="preserve">The </w:t>
            </w:r>
            <w:r w:rsidR="6DA9DA56" w:rsidRPr="5D8904BE">
              <w:rPr>
                <w:sz w:val="18"/>
                <w:szCs w:val="18"/>
                <w:lang w:val="en-US"/>
              </w:rPr>
              <w:t xml:space="preserve">GEF-8 </w:t>
            </w:r>
            <w:r w:rsidRPr="5D8904BE">
              <w:rPr>
                <w:sz w:val="18"/>
                <w:szCs w:val="18"/>
                <w:lang w:val="en-US"/>
              </w:rPr>
              <w:t>Bamako Sustainable City</w:t>
            </w:r>
            <w:r w:rsidR="0A01B3BB" w:rsidRPr="5D8904BE">
              <w:rPr>
                <w:sz w:val="18"/>
                <w:szCs w:val="18"/>
                <w:lang w:val="en-US"/>
              </w:rPr>
              <w:t xml:space="preserve"> project</w:t>
            </w:r>
            <w:r w:rsidRPr="5D8904BE">
              <w:rPr>
                <w:sz w:val="18"/>
                <w:szCs w:val="18"/>
                <w:lang w:val="en-US"/>
              </w:rPr>
              <w:t xml:space="preserve">, in all its components, is fully inclusive of the </w:t>
            </w:r>
            <w:r w:rsidR="5266D66F" w:rsidRPr="5D8904BE">
              <w:rPr>
                <w:sz w:val="18"/>
                <w:szCs w:val="18"/>
                <w:lang w:val="en-US"/>
              </w:rPr>
              <w:t>SEACAP-</w:t>
            </w:r>
            <w:r w:rsidRPr="5D8904BE">
              <w:rPr>
                <w:sz w:val="18"/>
                <w:szCs w:val="18"/>
                <w:lang w:val="en-US"/>
              </w:rPr>
              <w:t>-DB with the great opportunity for integrated implementation, including with PRUBA.</w:t>
            </w:r>
          </w:p>
        </w:tc>
      </w:tr>
      <w:tr w:rsidR="004F7DB3" w:rsidRPr="00F50786" w14:paraId="43462C94" w14:textId="77777777" w:rsidTr="13C5956C">
        <w:trPr>
          <w:trHeight w:val="300"/>
          <w:jc w:val="center"/>
        </w:trPr>
        <w:tc>
          <w:tcPr>
            <w:tcW w:w="1170" w:type="dxa"/>
            <w:tcBorders>
              <w:top w:val="single" w:sz="4" w:space="0" w:color="000000" w:themeColor="text1"/>
              <w:bottom w:val="single" w:sz="4" w:space="0" w:color="000000" w:themeColor="text1"/>
              <w:right w:val="single" w:sz="5" w:space="0" w:color="C9C9C9"/>
            </w:tcBorders>
          </w:tcPr>
          <w:p w14:paraId="000002C9" w14:textId="77777777" w:rsidR="004F7DB3" w:rsidRPr="00A86393" w:rsidRDefault="00C00123" w:rsidP="00DD60F2">
            <w:pPr>
              <w:spacing w:after="0" w:line="360" w:lineRule="auto"/>
              <w:jc w:val="both"/>
              <w:rPr>
                <w:sz w:val="18"/>
                <w:szCs w:val="18"/>
              </w:rPr>
            </w:pPr>
            <w:r w:rsidRPr="00A86393">
              <w:rPr>
                <w:sz w:val="18"/>
                <w:szCs w:val="18"/>
              </w:rPr>
              <w:t>Laws</w:t>
            </w:r>
          </w:p>
        </w:tc>
        <w:tc>
          <w:tcPr>
            <w:tcW w:w="1920"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CA" w14:textId="77777777" w:rsidR="004F7DB3" w:rsidRPr="00A86393" w:rsidRDefault="00C00123" w:rsidP="00DD60F2">
            <w:pPr>
              <w:pBdr>
                <w:top w:val="nil"/>
                <w:left w:val="nil"/>
                <w:bottom w:val="nil"/>
                <w:right w:val="nil"/>
                <w:between w:val="nil"/>
              </w:pBdr>
              <w:spacing w:before="240" w:after="240" w:line="240" w:lineRule="auto"/>
              <w:rPr>
                <w:sz w:val="18"/>
                <w:szCs w:val="18"/>
                <w:lang w:val="en-US"/>
              </w:rPr>
            </w:pPr>
            <w:r>
              <w:fldChar w:fldCharType="begin"/>
            </w:r>
            <w:r w:rsidRPr="00F50786">
              <w:rPr>
                <w:lang w:val="en-US"/>
                <w:rPrChange w:id="31" w:author="Ali Sambou" w:date="2026-01-06T13:24:00Z" w16du:dateUtc="2026-01-06T13:24:00Z">
                  <w:rPr/>
                </w:rPrChange>
              </w:rPr>
              <w:instrText>HYPERLINK "http://extwprlegs1.fao.org/docs/pdf/mli2794.pdf" \h</w:instrText>
            </w:r>
            <w:r>
              <w:fldChar w:fldCharType="separate"/>
            </w:r>
            <w:r w:rsidRPr="00A86393">
              <w:rPr>
                <w:color w:val="1155CC"/>
                <w:sz w:val="18"/>
                <w:szCs w:val="18"/>
                <w:u w:val="single"/>
                <w:lang w:val="en-US"/>
              </w:rPr>
              <w:t>Management of forest resources</w:t>
            </w:r>
            <w:r>
              <w:fldChar w:fldCharType="end"/>
            </w:r>
            <w:r w:rsidRPr="00A86393">
              <w:rPr>
                <w:sz w:val="18"/>
                <w:szCs w:val="18"/>
                <w:lang w:val="en-US"/>
              </w:rPr>
              <w:t xml:space="preserve"> (Law No. 95-004/AN-RM of 18 January 1995 laying down the conditions for the management of forest resources)</w:t>
            </w:r>
          </w:p>
        </w:tc>
        <w:tc>
          <w:tcPr>
            <w:tcW w:w="10513"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CB" w14:textId="1DEFE67B" w:rsidR="004F7DB3" w:rsidRPr="00A86393" w:rsidRDefault="352EB93F" w:rsidP="5D8904BE">
            <w:pPr>
              <w:pBdr>
                <w:top w:val="nil"/>
                <w:left w:val="nil"/>
                <w:bottom w:val="nil"/>
                <w:right w:val="nil"/>
                <w:between w:val="nil"/>
              </w:pBdr>
              <w:spacing w:after="0" w:line="240" w:lineRule="auto"/>
              <w:jc w:val="both"/>
              <w:rPr>
                <w:sz w:val="18"/>
                <w:szCs w:val="18"/>
                <w:lang w:val="en-US"/>
              </w:rPr>
            </w:pPr>
            <w:r w:rsidRPr="5D8904BE">
              <w:rPr>
                <w:sz w:val="18"/>
                <w:szCs w:val="18"/>
                <w:lang w:val="en-US"/>
              </w:rPr>
              <w:t>This law lays down the general conditions for the conservation, protection, development and exploitation of the forest resources of the national forest domain. It should be recalled that the GGW Initiative is perceived in Mali as an opportunity for community and local development through the implementation of the Strategic Framework for Growth and Poverty Reduction and particularly the Agricultural Orientation Law (see below).</w:t>
            </w:r>
          </w:p>
        </w:tc>
      </w:tr>
      <w:tr w:rsidR="004F7DB3" w:rsidRPr="00F50786" w14:paraId="76290F4A" w14:textId="77777777" w:rsidTr="13C5956C">
        <w:trPr>
          <w:trHeight w:val="300"/>
          <w:jc w:val="center"/>
        </w:trPr>
        <w:tc>
          <w:tcPr>
            <w:tcW w:w="1170" w:type="dxa"/>
            <w:tcBorders>
              <w:top w:val="single" w:sz="4" w:space="0" w:color="000000" w:themeColor="text1"/>
              <w:bottom w:val="single" w:sz="4" w:space="0" w:color="000000" w:themeColor="text1"/>
              <w:right w:val="single" w:sz="5" w:space="0" w:color="C9C9C9"/>
            </w:tcBorders>
          </w:tcPr>
          <w:p w14:paraId="000002CC" w14:textId="77777777" w:rsidR="004F7DB3" w:rsidRPr="00A86393" w:rsidRDefault="004F7DB3" w:rsidP="00DD60F2">
            <w:pPr>
              <w:spacing w:after="0" w:line="360" w:lineRule="auto"/>
              <w:jc w:val="both"/>
              <w:rPr>
                <w:sz w:val="18"/>
                <w:szCs w:val="18"/>
                <w:lang w:val="en-US"/>
              </w:rPr>
            </w:pPr>
          </w:p>
        </w:tc>
        <w:tc>
          <w:tcPr>
            <w:tcW w:w="1920"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CD" w14:textId="5262FEC6" w:rsidR="004F7DB3" w:rsidRPr="00A86393" w:rsidRDefault="7E03C094" w:rsidP="537FA187">
            <w:pPr>
              <w:pBdr>
                <w:top w:val="nil"/>
                <w:left w:val="nil"/>
                <w:bottom w:val="nil"/>
                <w:right w:val="nil"/>
                <w:between w:val="nil"/>
              </w:pBdr>
              <w:spacing w:before="240" w:after="240" w:line="240" w:lineRule="auto"/>
              <w:rPr>
                <w:sz w:val="18"/>
                <w:szCs w:val="18"/>
              </w:rPr>
            </w:pPr>
            <w:hyperlink r:id="rId33">
              <w:r w:rsidRPr="537FA187">
                <w:rPr>
                  <w:color w:val="1155CC"/>
                  <w:sz w:val="18"/>
                  <w:szCs w:val="18"/>
                  <w:u w:val="single"/>
                </w:rPr>
                <w:t>Agricultural Orientation Law</w:t>
              </w:r>
            </w:hyperlink>
            <w:r w:rsidRPr="537FA187">
              <w:rPr>
                <w:i/>
                <w:iCs/>
                <w:sz w:val="18"/>
                <w:szCs w:val="18"/>
              </w:rPr>
              <w:t xml:space="preserve"> – </w:t>
            </w:r>
            <w:proofErr w:type="gramStart"/>
            <w:r w:rsidR="34F51446" w:rsidRPr="537FA187">
              <w:rPr>
                <w:i/>
                <w:iCs/>
                <w:sz w:val="18"/>
                <w:szCs w:val="18"/>
              </w:rPr>
              <w:t xml:space="preserve">AOL </w:t>
            </w:r>
            <w:r w:rsidRPr="537FA187">
              <w:rPr>
                <w:sz w:val="18"/>
                <w:szCs w:val="18"/>
              </w:rPr>
              <w:t xml:space="preserve"> (</w:t>
            </w:r>
            <w:proofErr w:type="gramEnd"/>
            <w:r w:rsidRPr="537FA187">
              <w:rPr>
                <w:sz w:val="18"/>
                <w:szCs w:val="18"/>
              </w:rPr>
              <w:t>2005)</w:t>
            </w:r>
          </w:p>
        </w:tc>
        <w:tc>
          <w:tcPr>
            <w:tcW w:w="10513"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CE" w14:textId="77777777" w:rsidR="004F7DB3" w:rsidRPr="00A86393" w:rsidRDefault="475526FC" w:rsidP="5D8904BE">
            <w:pPr>
              <w:pBdr>
                <w:top w:val="nil"/>
                <w:left w:val="nil"/>
                <w:bottom w:val="nil"/>
                <w:right w:val="nil"/>
                <w:between w:val="nil"/>
              </w:pBdr>
              <w:spacing w:after="0" w:line="240" w:lineRule="auto"/>
              <w:jc w:val="both"/>
              <w:rPr>
                <w:sz w:val="18"/>
                <w:szCs w:val="18"/>
                <w:lang w:val="en-US"/>
              </w:rPr>
            </w:pPr>
            <w:r w:rsidRPr="5D8904BE">
              <w:rPr>
                <w:sz w:val="18"/>
                <w:szCs w:val="18"/>
                <w:lang w:val="en-US"/>
              </w:rPr>
              <w:t xml:space="preserve">The aim of this law is to promote sustainable, modern and competitive agriculture (as opposed to subsistence farming), which is mainly based on </w:t>
            </w:r>
            <w:proofErr w:type="spellStart"/>
            <w:r w:rsidRPr="5D8904BE">
              <w:rPr>
                <w:sz w:val="18"/>
                <w:szCs w:val="18"/>
                <w:lang w:val="en-US"/>
              </w:rPr>
              <w:t>recognised</w:t>
            </w:r>
            <w:proofErr w:type="spellEnd"/>
            <w:r w:rsidRPr="5D8904BE">
              <w:rPr>
                <w:sz w:val="18"/>
                <w:szCs w:val="18"/>
                <w:lang w:val="en-US"/>
              </w:rPr>
              <w:t xml:space="preserve"> and secure farms (Article 3). It also aims to guarantee food sovereignty and make the agricultural sector the engine of the national economy </w:t>
            </w:r>
            <w:proofErr w:type="gramStart"/>
            <w:r w:rsidRPr="5D8904BE">
              <w:rPr>
                <w:sz w:val="18"/>
                <w:szCs w:val="18"/>
                <w:lang w:val="en-US"/>
              </w:rPr>
              <w:t>in order to</w:t>
            </w:r>
            <w:proofErr w:type="gramEnd"/>
            <w:r w:rsidRPr="5D8904BE">
              <w:rPr>
                <w:sz w:val="18"/>
                <w:szCs w:val="18"/>
                <w:lang w:val="en-US"/>
              </w:rPr>
              <w:t xml:space="preserve"> ensure the well-being of the population.</w:t>
            </w:r>
          </w:p>
        </w:tc>
      </w:tr>
      <w:tr w:rsidR="004F7DB3" w:rsidRPr="00F50786" w14:paraId="203C8ECF" w14:textId="77777777" w:rsidTr="13C5956C">
        <w:trPr>
          <w:trHeight w:val="300"/>
          <w:jc w:val="center"/>
        </w:trPr>
        <w:tc>
          <w:tcPr>
            <w:tcW w:w="1170" w:type="dxa"/>
            <w:tcBorders>
              <w:top w:val="single" w:sz="4" w:space="0" w:color="000000" w:themeColor="text1"/>
              <w:bottom w:val="single" w:sz="4" w:space="0" w:color="000000" w:themeColor="text1"/>
              <w:right w:val="single" w:sz="5" w:space="0" w:color="C9C9C9"/>
            </w:tcBorders>
          </w:tcPr>
          <w:p w14:paraId="000002CF" w14:textId="77777777" w:rsidR="004F7DB3" w:rsidRPr="00A86393" w:rsidRDefault="004F7DB3" w:rsidP="00DD60F2">
            <w:pPr>
              <w:spacing w:after="0" w:line="360" w:lineRule="auto"/>
              <w:jc w:val="both"/>
              <w:rPr>
                <w:sz w:val="18"/>
                <w:szCs w:val="18"/>
                <w:lang w:val="en-US"/>
              </w:rPr>
            </w:pPr>
          </w:p>
        </w:tc>
        <w:tc>
          <w:tcPr>
            <w:tcW w:w="1920"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D0" w14:textId="77777777" w:rsidR="004F7DB3" w:rsidRPr="00A86393" w:rsidRDefault="552CE4D7" w:rsidP="5D8904BE">
            <w:pPr>
              <w:pBdr>
                <w:top w:val="nil"/>
                <w:left w:val="nil"/>
                <w:bottom w:val="nil"/>
                <w:right w:val="nil"/>
                <w:between w:val="nil"/>
              </w:pBdr>
              <w:spacing w:before="240" w:after="240" w:line="240" w:lineRule="auto"/>
              <w:rPr>
                <w:sz w:val="18"/>
                <w:szCs w:val="18"/>
              </w:rPr>
            </w:pPr>
            <w:proofErr w:type="spellStart"/>
            <w:r w:rsidRPr="5D8904BE">
              <w:rPr>
                <w:color w:val="1155CC"/>
                <w:sz w:val="18"/>
                <w:szCs w:val="18"/>
                <w:u w:val="single"/>
              </w:rPr>
              <w:t>Mali's</w:t>
            </w:r>
            <w:proofErr w:type="spellEnd"/>
            <w:r w:rsidRPr="5D8904BE">
              <w:rPr>
                <w:color w:val="1155CC"/>
                <w:sz w:val="18"/>
                <w:szCs w:val="18"/>
                <w:u w:val="single"/>
              </w:rPr>
              <w:t xml:space="preserve"> Investment Code</w:t>
            </w:r>
          </w:p>
        </w:tc>
        <w:tc>
          <w:tcPr>
            <w:tcW w:w="10513"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D1" w14:textId="6B499B03" w:rsidR="004F7DB3" w:rsidRPr="00A86393" w:rsidRDefault="475526FC" w:rsidP="5D8904BE">
            <w:pPr>
              <w:pBdr>
                <w:top w:val="nil"/>
                <w:left w:val="nil"/>
                <w:bottom w:val="nil"/>
                <w:right w:val="nil"/>
                <w:between w:val="nil"/>
              </w:pBdr>
              <w:spacing w:after="0" w:line="240" w:lineRule="auto"/>
              <w:jc w:val="both"/>
              <w:rPr>
                <w:sz w:val="18"/>
                <w:szCs w:val="18"/>
                <w:lang w:val="en-US"/>
              </w:rPr>
            </w:pPr>
            <w:r w:rsidRPr="5D8904BE">
              <w:rPr>
                <w:sz w:val="18"/>
                <w:szCs w:val="18"/>
                <w:lang w:val="en-US"/>
              </w:rPr>
              <w:t xml:space="preserve">The revision of this document was </w:t>
            </w:r>
            <w:r w:rsidR="00103F65" w:rsidRPr="5D8904BE">
              <w:rPr>
                <w:sz w:val="18"/>
                <w:szCs w:val="18"/>
                <w:lang w:val="en-US"/>
              </w:rPr>
              <w:t xml:space="preserve">conducted </w:t>
            </w:r>
            <w:r w:rsidRPr="5D8904BE">
              <w:rPr>
                <w:sz w:val="18"/>
                <w:szCs w:val="18"/>
                <w:lang w:val="en-US"/>
              </w:rPr>
              <w:t xml:space="preserve">in 2019. The document defines the best conditions offered to private investors in the Republic of Mali without any discrimination. To this end, it supports the mobilization of national savings and the attraction of foreign capital; job creation, training of managers and a skilled workforce; the valorization of local raw materials; </w:t>
            </w:r>
            <w:r w:rsidR="1A869DE8" w:rsidRPr="5D8904BE">
              <w:rPr>
                <w:sz w:val="18"/>
                <w:szCs w:val="18"/>
                <w:lang w:val="en-US"/>
              </w:rPr>
              <w:t xml:space="preserve">and </w:t>
            </w:r>
            <w:r w:rsidRPr="5D8904BE">
              <w:rPr>
                <w:sz w:val="18"/>
                <w:szCs w:val="18"/>
                <w:lang w:val="en-US"/>
              </w:rPr>
              <w:t xml:space="preserve">the creation, extension, diversification and modernization of industrial and </w:t>
            </w:r>
            <w:proofErr w:type="spellStart"/>
            <w:r w:rsidRPr="5D8904BE">
              <w:rPr>
                <w:sz w:val="18"/>
                <w:szCs w:val="18"/>
                <w:lang w:val="en-US"/>
              </w:rPr>
              <w:t>agro</w:t>
            </w:r>
            <w:proofErr w:type="spellEnd"/>
            <w:r w:rsidRPr="5D8904BE">
              <w:rPr>
                <w:sz w:val="18"/>
                <w:szCs w:val="18"/>
                <w:lang w:val="en-US"/>
              </w:rPr>
              <w:t>-</w:t>
            </w:r>
            <w:proofErr w:type="spellStart"/>
            <w:r w:rsidRPr="5D8904BE">
              <w:rPr>
                <w:sz w:val="18"/>
                <w:szCs w:val="18"/>
                <w:lang w:val="en-US"/>
              </w:rPr>
              <w:t>sylvo</w:t>
            </w:r>
            <w:proofErr w:type="spellEnd"/>
            <w:r w:rsidRPr="5D8904BE">
              <w:rPr>
                <w:sz w:val="18"/>
                <w:szCs w:val="18"/>
                <w:lang w:val="en-US"/>
              </w:rPr>
              <w:t>-pastoral infrastructures, services and handicrafts; technology transfer, etc.</w:t>
            </w:r>
          </w:p>
          <w:p w14:paraId="000002D2" w14:textId="59B022CC" w:rsidR="004F7DB3" w:rsidRPr="00A86393" w:rsidRDefault="475526FC" w:rsidP="5D8904BE">
            <w:pPr>
              <w:pBdr>
                <w:top w:val="nil"/>
                <w:left w:val="nil"/>
                <w:bottom w:val="nil"/>
                <w:right w:val="nil"/>
                <w:between w:val="nil"/>
              </w:pBdr>
              <w:spacing w:after="0" w:line="240" w:lineRule="auto"/>
              <w:jc w:val="both"/>
              <w:rPr>
                <w:sz w:val="18"/>
                <w:szCs w:val="18"/>
                <w:lang w:val="en-US"/>
              </w:rPr>
            </w:pPr>
            <w:r w:rsidRPr="5D8904BE">
              <w:rPr>
                <w:sz w:val="18"/>
                <w:szCs w:val="18"/>
                <w:lang w:val="en-US"/>
              </w:rPr>
              <w:t xml:space="preserve">The </w:t>
            </w:r>
            <w:r w:rsidR="52A9CDE8" w:rsidRPr="5D8904BE">
              <w:rPr>
                <w:sz w:val="18"/>
                <w:szCs w:val="18"/>
                <w:lang w:val="en-US"/>
              </w:rPr>
              <w:t xml:space="preserve">GEF-8 </w:t>
            </w:r>
            <w:r w:rsidRPr="5D8904BE">
              <w:rPr>
                <w:sz w:val="18"/>
                <w:szCs w:val="18"/>
                <w:lang w:val="en-US"/>
              </w:rPr>
              <w:t>Bamako Sustainable City</w:t>
            </w:r>
            <w:r w:rsidR="4E3AED52" w:rsidRPr="5D8904BE">
              <w:rPr>
                <w:sz w:val="18"/>
                <w:szCs w:val="18"/>
                <w:lang w:val="en-US"/>
              </w:rPr>
              <w:t xml:space="preserve"> project</w:t>
            </w:r>
            <w:r w:rsidRPr="5D8904BE">
              <w:rPr>
                <w:sz w:val="18"/>
                <w:szCs w:val="18"/>
                <w:lang w:val="en-US"/>
              </w:rPr>
              <w:t xml:space="preserve"> supports a portfolio of projects that are sufficiently inclusive of the sectors and activities covered by the code.</w:t>
            </w:r>
          </w:p>
        </w:tc>
      </w:tr>
      <w:tr w:rsidR="004F7DB3" w:rsidRPr="00F50786" w14:paraId="4E3F5784" w14:textId="77777777" w:rsidTr="13C5956C">
        <w:trPr>
          <w:trHeight w:val="300"/>
          <w:jc w:val="center"/>
        </w:trPr>
        <w:tc>
          <w:tcPr>
            <w:tcW w:w="1170" w:type="dxa"/>
            <w:vMerge w:val="restart"/>
            <w:tcBorders>
              <w:top w:val="single" w:sz="4" w:space="0" w:color="000000" w:themeColor="text1"/>
              <w:bottom w:val="single" w:sz="4" w:space="0" w:color="000000" w:themeColor="text1"/>
              <w:right w:val="single" w:sz="5" w:space="0" w:color="C9C9C9"/>
            </w:tcBorders>
          </w:tcPr>
          <w:p w14:paraId="000002D3" w14:textId="77777777" w:rsidR="004F7DB3" w:rsidRPr="00A86393" w:rsidRDefault="004F7DB3" w:rsidP="00DD60F2">
            <w:pPr>
              <w:spacing w:after="0" w:line="360" w:lineRule="auto"/>
              <w:jc w:val="both"/>
              <w:rPr>
                <w:sz w:val="18"/>
                <w:szCs w:val="18"/>
                <w:lang w:val="en-US"/>
              </w:rPr>
            </w:pPr>
          </w:p>
        </w:tc>
        <w:tc>
          <w:tcPr>
            <w:tcW w:w="1920"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D4" w14:textId="77777777" w:rsidR="004F7DB3" w:rsidRPr="00A86393" w:rsidRDefault="00C00123" w:rsidP="00DD60F2">
            <w:pPr>
              <w:pBdr>
                <w:top w:val="nil"/>
                <w:left w:val="nil"/>
                <w:bottom w:val="nil"/>
                <w:right w:val="nil"/>
                <w:between w:val="nil"/>
              </w:pBdr>
              <w:spacing w:before="240" w:after="240" w:line="240" w:lineRule="auto"/>
              <w:rPr>
                <w:sz w:val="18"/>
                <w:szCs w:val="18"/>
                <w:lang w:val="en-US"/>
              </w:rPr>
            </w:pPr>
            <w:r w:rsidRPr="00A86393">
              <w:rPr>
                <w:sz w:val="18"/>
                <w:szCs w:val="18"/>
                <w:lang w:val="en-US"/>
              </w:rPr>
              <w:t xml:space="preserve">Law No. 2016-061 </w:t>
            </w:r>
            <w:r>
              <w:fldChar w:fldCharType="begin"/>
            </w:r>
            <w:r w:rsidRPr="00F50786">
              <w:rPr>
                <w:lang w:val="en-US"/>
                <w:rPrChange w:id="32" w:author="Ali Sambou" w:date="2026-01-06T13:24:00Z" w16du:dateUtc="2026-01-06T13:24:00Z">
                  <w:rPr/>
                </w:rPrChange>
              </w:rPr>
              <w:instrText>HYPERLINK "https://www.investir.gouv.ml/sites/default/files/2020-02/Loi%20N%C2%B02016-061%20du%2030-12-16%20relative%20aux%20PPP.PDF" \h</w:instrText>
            </w:r>
            <w:r>
              <w:fldChar w:fldCharType="separate"/>
            </w:r>
            <w:r w:rsidRPr="00A86393">
              <w:rPr>
                <w:color w:val="1155CC"/>
                <w:sz w:val="18"/>
                <w:szCs w:val="18"/>
                <w:u w:val="single"/>
                <w:lang w:val="en-US"/>
              </w:rPr>
              <w:t xml:space="preserve"> on Public-Private Partnership</w:t>
            </w:r>
            <w:r>
              <w:fldChar w:fldCharType="end"/>
            </w:r>
          </w:p>
        </w:tc>
        <w:tc>
          <w:tcPr>
            <w:tcW w:w="10513"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D6" w14:textId="6DF48FA2" w:rsidR="004F7DB3" w:rsidRPr="00A86393" w:rsidRDefault="352EB93F" w:rsidP="5D8904BE">
            <w:pPr>
              <w:pBdr>
                <w:top w:val="nil"/>
                <w:left w:val="nil"/>
                <w:bottom w:val="nil"/>
                <w:right w:val="nil"/>
                <w:between w:val="nil"/>
              </w:pBdr>
              <w:spacing w:before="240" w:after="240" w:line="240" w:lineRule="auto"/>
              <w:jc w:val="both"/>
              <w:rPr>
                <w:sz w:val="18"/>
                <w:szCs w:val="18"/>
                <w:lang w:val="en-US"/>
              </w:rPr>
            </w:pPr>
            <w:r w:rsidRPr="5D8904BE">
              <w:rPr>
                <w:sz w:val="18"/>
                <w:szCs w:val="18"/>
                <w:lang w:val="en-US"/>
              </w:rPr>
              <w:t xml:space="preserve">According to the law, "the PPP refers to public procurement contracts entered into by legal persons under public law" including local authorities. It is a complementary financing method for the achievement of the SDGs and for the implementation of the CREDD 2019-2023. It is an important tool likely to provide the country with basic infrastructure, services and businesses necessary to improve the living conditions of the population, to create a climate of trust between the public and private sectors, in a context marked among other things by budgetary </w:t>
            </w:r>
            <w:r w:rsidRPr="5D8904BE">
              <w:rPr>
                <w:sz w:val="18"/>
                <w:szCs w:val="18"/>
                <w:lang w:val="en-US"/>
              </w:rPr>
              <w:lastRenderedPageBreak/>
              <w:t>restrictions and the decrease in Official Development Assistance.</w:t>
            </w:r>
            <w:r w:rsidR="5B91E60F" w:rsidRPr="5D8904BE">
              <w:rPr>
                <w:sz w:val="18"/>
                <w:szCs w:val="18"/>
                <w:lang w:val="en-US"/>
              </w:rPr>
              <w:t xml:space="preserve"> </w:t>
            </w:r>
            <w:r w:rsidR="6DEC1BA7" w:rsidRPr="5D8904BE">
              <w:rPr>
                <w:sz w:val="18"/>
                <w:szCs w:val="18"/>
                <w:lang w:val="en-US"/>
              </w:rPr>
              <w:t xml:space="preserve">The </w:t>
            </w:r>
            <w:r w:rsidR="7B5BFDFE" w:rsidRPr="5D8904BE">
              <w:rPr>
                <w:sz w:val="18"/>
                <w:szCs w:val="18"/>
                <w:lang w:val="en-US"/>
              </w:rPr>
              <w:t>GEF-8</w:t>
            </w:r>
            <w:r w:rsidR="4FF0A75E" w:rsidRPr="5D8904BE">
              <w:rPr>
                <w:sz w:val="18"/>
                <w:szCs w:val="18"/>
                <w:lang w:val="en-US"/>
              </w:rPr>
              <w:t xml:space="preserve"> project</w:t>
            </w:r>
            <w:r w:rsidR="7B5BFDFE" w:rsidRPr="5D8904BE">
              <w:rPr>
                <w:sz w:val="18"/>
                <w:szCs w:val="18"/>
                <w:lang w:val="en-US"/>
              </w:rPr>
              <w:t xml:space="preserve"> </w:t>
            </w:r>
            <w:r w:rsidR="6DEC1BA7" w:rsidRPr="5D8904BE">
              <w:rPr>
                <w:sz w:val="18"/>
                <w:szCs w:val="18"/>
                <w:lang w:val="en-US"/>
              </w:rPr>
              <w:t>foresees support for PPPs, particularly on the green belt and sustainable transport and e-mobility.</w:t>
            </w:r>
          </w:p>
        </w:tc>
      </w:tr>
      <w:tr w:rsidR="004F7DB3" w:rsidRPr="00F50786" w14:paraId="6F0D4542" w14:textId="77777777" w:rsidTr="13C5956C">
        <w:trPr>
          <w:trHeight w:val="300"/>
          <w:jc w:val="center"/>
        </w:trPr>
        <w:tc>
          <w:tcPr>
            <w:tcW w:w="1170" w:type="dxa"/>
            <w:vMerge/>
          </w:tcPr>
          <w:p w14:paraId="000002D7" w14:textId="77777777" w:rsidR="004F7DB3" w:rsidRPr="00A86393" w:rsidRDefault="004F7DB3" w:rsidP="00DD60F2">
            <w:pPr>
              <w:spacing w:after="0" w:line="360" w:lineRule="auto"/>
              <w:jc w:val="both"/>
              <w:rPr>
                <w:sz w:val="18"/>
                <w:szCs w:val="18"/>
                <w:lang w:val="en-US"/>
              </w:rPr>
            </w:pPr>
          </w:p>
        </w:tc>
        <w:tc>
          <w:tcPr>
            <w:tcW w:w="1920"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D8" w14:textId="77777777" w:rsidR="004F7DB3" w:rsidRPr="00A86393" w:rsidRDefault="552CE4D7" w:rsidP="5D8904BE">
            <w:pPr>
              <w:pBdr>
                <w:top w:val="nil"/>
                <w:left w:val="nil"/>
                <w:bottom w:val="nil"/>
                <w:right w:val="nil"/>
                <w:between w:val="nil"/>
              </w:pBdr>
              <w:spacing w:before="240" w:after="240" w:line="240" w:lineRule="auto"/>
              <w:rPr>
                <w:sz w:val="18"/>
                <w:szCs w:val="18"/>
                <w:lang w:val="en-US"/>
              </w:rPr>
            </w:pPr>
            <w:r w:rsidRPr="5D8904BE">
              <w:rPr>
                <w:sz w:val="18"/>
                <w:szCs w:val="18"/>
                <w:lang w:val="en-US"/>
              </w:rPr>
              <w:t xml:space="preserve">Law No. 2023-005/CNT of March 13, </w:t>
            </w:r>
            <w:proofErr w:type="gramStart"/>
            <w:r w:rsidRPr="5D8904BE">
              <w:rPr>
                <w:sz w:val="18"/>
                <w:szCs w:val="18"/>
                <w:lang w:val="en-US"/>
              </w:rPr>
              <w:t>2023</w:t>
            </w:r>
            <w:proofErr w:type="gramEnd"/>
            <w:r w:rsidRPr="5D8904BE">
              <w:rPr>
                <w:sz w:val="18"/>
                <w:szCs w:val="18"/>
                <w:lang w:val="en-US"/>
              </w:rPr>
              <w:t xml:space="preserve"> on the special status of the district of Bamako</w:t>
            </w:r>
          </w:p>
          <w:p w14:paraId="000002D9" w14:textId="77777777" w:rsidR="004F7DB3" w:rsidRPr="00A86393" w:rsidRDefault="004F7DB3" w:rsidP="00DD60F2">
            <w:pPr>
              <w:spacing w:before="240" w:after="240" w:line="240" w:lineRule="auto"/>
              <w:jc w:val="both"/>
              <w:rPr>
                <w:sz w:val="18"/>
                <w:szCs w:val="18"/>
                <w:lang w:val="en-US"/>
              </w:rPr>
            </w:pPr>
          </w:p>
        </w:tc>
        <w:tc>
          <w:tcPr>
            <w:tcW w:w="10513"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DA" w14:textId="77777777" w:rsidR="004F7DB3" w:rsidRPr="00A86393" w:rsidRDefault="552CE4D7" w:rsidP="00DD60F2">
            <w:pPr>
              <w:spacing w:before="240" w:after="0" w:line="240" w:lineRule="auto"/>
              <w:jc w:val="both"/>
              <w:rPr>
                <w:sz w:val="18"/>
                <w:szCs w:val="18"/>
                <w:lang w:val="en-US"/>
              </w:rPr>
            </w:pPr>
            <w:r w:rsidRPr="5D8904BE">
              <w:rPr>
                <w:sz w:val="18"/>
                <w:szCs w:val="18"/>
                <w:lang w:val="en-US"/>
              </w:rPr>
              <w:t xml:space="preserve">The city of Bamako will be endowed with a single territory thanks to the expected application of this Law, as the other urban municipalities of the Greater Bamako Metropolis are endowed with individual territories. In addition, some of these urban municipalities of the metropolis initially endowed with their own territory will, with the application of the above-mentioned Law, be all or part of the single territory of the city of Bamako. They are: </w:t>
            </w:r>
            <w:proofErr w:type="spellStart"/>
            <w:r w:rsidRPr="5D8904BE">
              <w:rPr>
                <w:sz w:val="18"/>
                <w:szCs w:val="18"/>
                <w:lang w:val="en-US"/>
              </w:rPr>
              <w:t>Dialakorodji</w:t>
            </w:r>
            <w:proofErr w:type="spellEnd"/>
            <w:r w:rsidRPr="5D8904BE">
              <w:rPr>
                <w:sz w:val="18"/>
                <w:szCs w:val="18"/>
                <w:lang w:val="en-US"/>
              </w:rPr>
              <w:t xml:space="preserve">, </w:t>
            </w:r>
            <w:proofErr w:type="spellStart"/>
            <w:r w:rsidRPr="5D8904BE">
              <w:rPr>
                <w:sz w:val="18"/>
                <w:szCs w:val="18"/>
                <w:lang w:val="en-US"/>
              </w:rPr>
              <w:t>Dogodouma</w:t>
            </w:r>
            <w:proofErr w:type="spellEnd"/>
            <w:r w:rsidRPr="5D8904BE">
              <w:rPr>
                <w:sz w:val="18"/>
                <w:szCs w:val="18"/>
                <w:lang w:val="en-US"/>
              </w:rPr>
              <w:t xml:space="preserve">, </w:t>
            </w:r>
            <w:proofErr w:type="spellStart"/>
            <w:r w:rsidRPr="5D8904BE">
              <w:rPr>
                <w:sz w:val="18"/>
                <w:szCs w:val="18"/>
                <w:lang w:val="en-US"/>
              </w:rPr>
              <w:t>Moribabougou</w:t>
            </w:r>
            <w:proofErr w:type="spellEnd"/>
            <w:r w:rsidRPr="5D8904BE">
              <w:rPr>
                <w:sz w:val="18"/>
                <w:szCs w:val="18"/>
                <w:lang w:val="en-US"/>
              </w:rPr>
              <w:t xml:space="preserve">, N'Gabacoro Droit and </w:t>
            </w:r>
            <w:proofErr w:type="spellStart"/>
            <w:r w:rsidRPr="5D8904BE">
              <w:rPr>
                <w:sz w:val="18"/>
                <w:szCs w:val="18"/>
                <w:lang w:val="en-US"/>
              </w:rPr>
              <w:t>Sangarébougou</w:t>
            </w:r>
            <w:proofErr w:type="spellEnd"/>
            <w:r w:rsidRPr="5D8904BE">
              <w:rPr>
                <w:sz w:val="18"/>
                <w:szCs w:val="18"/>
                <w:lang w:val="en-US"/>
              </w:rPr>
              <w:t>.</w:t>
            </w:r>
          </w:p>
          <w:p w14:paraId="000002DB" w14:textId="1B7C436D" w:rsidR="004F7DB3" w:rsidRPr="00A86393" w:rsidRDefault="6DEC1BA7" w:rsidP="00DD60F2">
            <w:pPr>
              <w:spacing w:before="240" w:after="240" w:line="240" w:lineRule="auto"/>
              <w:jc w:val="both"/>
              <w:rPr>
                <w:sz w:val="18"/>
                <w:szCs w:val="18"/>
                <w:lang w:val="en-US"/>
              </w:rPr>
            </w:pPr>
            <w:r w:rsidRPr="5D8904BE">
              <w:rPr>
                <w:sz w:val="18"/>
                <w:szCs w:val="18"/>
                <w:lang w:val="en-US"/>
              </w:rPr>
              <w:t xml:space="preserve">The </w:t>
            </w:r>
            <w:r w:rsidR="773D82C8" w:rsidRPr="5D8904BE">
              <w:rPr>
                <w:sz w:val="18"/>
                <w:szCs w:val="18"/>
                <w:lang w:val="en-US"/>
              </w:rPr>
              <w:t xml:space="preserve">GEF-8 </w:t>
            </w:r>
            <w:r w:rsidRPr="5D8904BE">
              <w:rPr>
                <w:sz w:val="18"/>
                <w:szCs w:val="18"/>
                <w:lang w:val="en-US"/>
              </w:rPr>
              <w:t>Bamako Sustainable City</w:t>
            </w:r>
            <w:r w:rsidR="577777CF" w:rsidRPr="5D8904BE">
              <w:rPr>
                <w:sz w:val="18"/>
                <w:szCs w:val="18"/>
                <w:lang w:val="en-US"/>
              </w:rPr>
              <w:t xml:space="preserve"> project</w:t>
            </w:r>
            <w:r w:rsidRPr="5D8904BE">
              <w:rPr>
                <w:sz w:val="18"/>
                <w:szCs w:val="18"/>
                <w:lang w:val="en-US"/>
              </w:rPr>
              <w:t xml:space="preserve"> maintains that the geographical and administrative boundaries of the city of Bamako will be updated in coherence with the Greater Bamako Metropolis.</w:t>
            </w:r>
          </w:p>
        </w:tc>
      </w:tr>
      <w:tr w:rsidR="004F7DB3" w:rsidRPr="00F50786" w14:paraId="6B26DACD" w14:textId="77777777" w:rsidTr="13C5956C">
        <w:trPr>
          <w:trHeight w:val="300"/>
          <w:jc w:val="center"/>
        </w:trPr>
        <w:tc>
          <w:tcPr>
            <w:tcW w:w="1170" w:type="dxa"/>
            <w:vMerge/>
          </w:tcPr>
          <w:p w14:paraId="000002DC" w14:textId="77777777" w:rsidR="004F7DB3" w:rsidRPr="00A86393" w:rsidRDefault="004F7DB3" w:rsidP="00DD60F2">
            <w:pPr>
              <w:spacing w:after="0" w:line="360" w:lineRule="auto"/>
              <w:jc w:val="both"/>
              <w:rPr>
                <w:sz w:val="18"/>
                <w:szCs w:val="18"/>
                <w:lang w:val="en-US"/>
              </w:rPr>
            </w:pPr>
          </w:p>
        </w:tc>
        <w:tc>
          <w:tcPr>
            <w:tcW w:w="1920"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DD" w14:textId="77777777" w:rsidR="004F7DB3" w:rsidRPr="00A86393" w:rsidRDefault="00C00123" w:rsidP="00DD60F2">
            <w:pPr>
              <w:pBdr>
                <w:top w:val="nil"/>
                <w:left w:val="nil"/>
                <w:bottom w:val="nil"/>
                <w:right w:val="nil"/>
                <w:between w:val="nil"/>
              </w:pBdr>
              <w:spacing w:before="240" w:after="240" w:line="240" w:lineRule="auto"/>
              <w:rPr>
                <w:sz w:val="18"/>
                <w:szCs w:val="18"/>
                <w:lang w:val="en-US"/>
              </w:rPr>
            </w:pPr>
            <w:r w:rsidRPr="00A86393">
              <w:rPr>
                <w:sz w:val="18"/>
                <w:szCs w:val="18"/>
                <w:lang w:val="en-US"/>
              </w:rPr>
              <w:t>Law No. 2023-004 of 1 3 March 2023 on the Code of Local Authorities</w:t>
            </w:r>
          </w:p>
        </w:tc>
        <w:tc>
          <w:tcPr>
            <w:tcW w:w="10513"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DE" w14:textId="5D00D2F6" w:rsidR="004F7DB3" w:rsidRPr="00A86393" w:rsidRDefault="352EB93F" w:rsidP="00DD60F2">
            <w:pPr>
              <w:spacing w:before="240" w:after="0" w:line="240" w:lineRule="auto"/>
              <w:jc w:val="both"/>
              <w:rPr>
                <w:sz w:val="18"/>
                <w:szCs w:val="18"/>
                <w:lang w:val="en-US"/>
              </w:rPr>
            </w:pPr>
            <w:r w:rsidRPr="5D8904BE">
              <w:rPr>
                <w:sz w:val="18"/>
                <w:szCs w:val="18"/>
                <w:lang w:val="en-US"/>
              </w:rPr>
              <w:t>This law specifies local authorit</w:t>
            </w:r>
            <w:r w:rsidR="1DBD114A" w:rsidRPr="5D8904BE">
              <w:rPr>
                <w:sz w:val="18"/>
                <w:szCs w:val="18"/>
                <w:lang w:val="en-US"/>
              </w:rPr>
              <w:t>y</w:t>
            </w:r>
            <w:r w:rsidRPr="5D8904BE">
              <w:rPr>
                <w:sz w:val="18"/>
                <w:szCs w:val="18"/>
                <w:lang w:val="en-US"/>
              </w:rPr>
              <w:t xml:space="preserve"> institutions, training, sanctions, mandate, functioning, attributions and governance.</w:t>
            </w:r>
          </w:p>
          <w:p w14:paraId="000002DF" w14:textId="77777777" w:rsidR="004F7DB3" w:rsidRPr="00A86393" w:rsidRDefault="00C00123" w:rsidP="00DD60F2">
            <w:pPr>
              <w:spacing w:before="240" w:after="0" w:line="240" w:lineRule="auto"/>
              <w:jc w:val="both"/>
              <w:rPr>
                <w:sz w:val="18"/>
                <w:szCs w:val="18"/>
                <w:lang w:val="en-US"/>
              </w:rPr>
            </w:pPr>
            <w:r w:rsidRPr="00A86393">
              <w:rPr>
                <w:sz w:val="18"/>
                <w:szCs w:val="18"/>
                <w:lang w:val="en-US"/>
              </w:rPr>
              <w:t>Notwithstanding the special status, the PPG ensures compliance with these provisions, particularly in the context of the inter-community with other urban municipalities of the Greater Bamako Metropolis.</w:t>
            </w:r>
          </w:p>
        </w:tc>
      </w:tr>
      <w:tr w:rsidR="004F7DB3" w:rsidRPr="00F50786" w14:paraId="4CA4E4FB" w14:textId="77777777" w:rsidTr="13C5956C">
        <w:trPr>
          <w:trHeight w:val="300"/>
          <w:jc w:val="center"/>
        </w:trPr>
        <w:tc>
          <w:tcPr>
            <w:tcW w:w="1170" w:type="dxa"/>
            <w:vMerge/>
          </w:tcPr>
          <w:p w14:paraId="000002E0" w14:textId="77777777" w:rsidR="004F7DB3" w:rsidRPr="00A86393" w:rsidRDefault="004F7DB3" w:rsidP="00DD60F2">
            <w:pPr>
              <w:spacing w:after="0" w:line="360" w:lineRule="auto"/>
              <w:jc w:val="both"/>
              <w:rPr>
                <w:sz w:val="18"/>
                <w:szCs w:val="18"/>
                <w:lang w:val="en-US"/>
              </w:rPr>
            </w:pPr>
          </w:p>
        </w:tc>
        <w:tc>
          <w:tcPr>
            <w:tcW w:w="1920"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E1" w14:textId="77777777" w:rsidR="004F7DB3" w:rsidRPr="00A86393" w:rsidRDefault="00C00123" w:rsidP="00DD60F2">
            <w:pPr>
              <w:pBdr>
                <w:top w:val="nil"/>
                <w:left w:val="nil"/>
                <w:bottom w:val="nil"/>
                <w:right w:val="nil"/>
                <w:between w:val="nil"/>
              </w:pBdr>
              <w:spacing w:before="240" w:after="240" w:line="240" w:lineRule="auto"/>
              <w:rPr>
                <w:sz w:val="18"/>
                <w:szCs w:val="18"/>
                <w:lang w:val="en-US"/>
              </w:rPr>
            </w:pPr>
            <w:r w:rsidRPr="00A86393">
              <w:rPr>
                <w:sz w:val="18"/>
                <w:szCs w:val="18"/>
                <w:lang w:val="en-US"/>
              </w:rPr>
              <w:t>Law No. 2023-OO21 of 1 3 March 2023 amending Law No. 2012-006 of 23 January 2012 on the fundamental principles of the administrative organization of the territory</w:t>
            </w:r>
          </w:p>
          <w:p w14:paraId="000002E2" w14:textId="77777777" w:rsidR="004F7DB3" w:rsidRPr="00A86393" w:rsidRDefault="004F7DB3" w:rsidP="00DD60F2">
            <w:pPr>
              <w:pBdr>
                <w:top w:val="nil"/>
                <w:left w:val="nil"/>
                <w:bottom w:val="nil"/>
                <w:right w:val="nil"/>
                <w:between w:val="nil"/>
              </w:pBdr>
              <w:spacing w:before="240" w:after="240" w:line="240" w:lineRule="auto"/>
              <w:rPr>
                <w:sz w:val="18"/>
                <w:szCs w:val="18"/>
                <w:lang w:val="en-US"/>
              </w:rPr>
            </w:pPr>
          </w:p>
        </w:tc>
        <w:tc>
          <w:tcPr>
            <w:tcW w:w="10513"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E3" w14:textId="2680E3AA" w:rsidR="004F7DB3" w:rsidRPr="00A86393" w:rsidRDefault="6DEC1BA7" w:rsidP="00DD60F2">
            <w:pPr>
              <w:spacing w:before="240" w:after="0" w:line="240" w:lineRule="auto"/>
              <w:jc w:val="both"/>
              <w:rPr>
                <w:sz w:val="18"/>
                <w:szCs w:val="18"/>
                <w:lang w:val="en-US"/>
              </w:rPr>
            </w:pPr>
            <w:r w:rsidRPr="5D8904BE">
              <w:rPr>
                <w:sz w:val="18"/>
                <w:szCs w:val="18"/>
                <w:lang w:val="en-US"/>
              </w:rPr>
              <w:t xml:space="preserve">Article 15 (new) specifies that the Commune, the Region and the District of Bamako are territorial collectives with legal personality and financial autonomy; and also in its Article 17 (new) that the </w:t>
            </w:r>
            <w:proofErr w:type="spellStart"/>
            <w:r w:rsidRPr="5D8904BE">
              <w:rPr>
                <w:sz w:val="18"/>
                <w:szCs w:val="18"/>
                <w:lang w:val="en-US"/>
              </w:rPr>
              <w:t>decentralised</w:t>
            </w:r>
            <w:proofErr w:type="spellEnd"/>
            <w:r w:rsidRPr="5D8904BE">
              <w:rPr>
                <w:sz w:val="18"/>
                <w:szCs w:val="18"/>
                <w:lang w:val="en-US"/>
              </w:rPr>
              <w:t xml:space="preserve"> services of the State may contribute to the achievement of the missions of the Local Authorities through the provision of staff or the transfer of said services to the Local Authorities in accordance with the regulatory provisions in force. </w:t>
            </w:r>
          </w:p>
          <w:p w14:paraId="000002E4" w14:textId="6B49990A" w:rsidR="004F7DB3" w:rsidRPr="00A86393" w:rsidRDefault="2809ADD6" w:rsidP="00DD60F2">
            <w:pPr>
              <w:spacing w:before="240" w:after="0" w:line="240" w:lineRule="auto"/>
              <w:jc w:val="both"/>
              <w:rPr>
                <w:sz w:val="18"/>
                <w:szCs w:val="18"/>
                <w:lang w:val="en-US"/>
              </w:rPr>
            </w:pPr>
            <w:r w:rsidRPr="00A86393">
              <w:rPr>
                <w:sz w:val="18"/>
                <w:szCs w:val="18"/>
                <w:lang w:val="en-US"/>
              </w:rPr>
              <w:t xml:space="preserve">The </w:t>
            </w:r>
            <w:r w:rsidR="21AD341C" w:rsidRPr="00A86393">
              <w:rPr>
                <w:sz w:val="18"/>
                <w:szCs w:val="18"/>
                <w:lang w:val="en-US"/>
              </w:rPr>
              <w:t xml:space="preserve">GEF-8 </w:t>
            </w:r>
            <w:r w:rsidRPr="00A86393">
              <w:rPr>
                <w:sz w:val="18"/>
                <w:szCs w:val="18"/>
                <w:lang w:val="en-US"/>
              </w:rPr>
              <w:t>Bamako Sustainable City</w:t>
            </w:r>
            <w:r w:rsidR="689FAA28" w:rsidRPr="00A86393">
              <w:rPr>
                <w:sz w:val="18"/>
                <w:szCs w:val="18"/>
                <w:lang w:val="en-US"/>
              </w:rPr>
              <w:t xml:space="preserve"> project</w:t>
            </w:r>
            <w:r w:rsidRPr="00A86393">
              <w:rPr>
                <w:sz w:val="18"/>
                <w:szCs w:val="18"/>
                <w:lang w:val="en-US"/>
              </w:rPr>
              <w:t xml:space="preserve"> supports the synergy of actions and specific partnerships for the development of the territory and more broadly the inter-community which are encouraged and protected by this law.</w:t>
            </w:r>
          </w:p>
        </w:tc>
      </w:tr>
      <w:tr w:rsidR="004F7DB3" w:rsidRPr="00F50786" w14:paraId="6CF14A6C" w14:textId="77777777" w:rsidTr="13C5956C">
        <w:trPr>
          <w:trHeight w:val="300"/>
          <w:jc w:val="center"/>
        </w:trPr>
        <w:tc>
          <w:tcPr>
            <w:tcW w:w="1170" w:type="dxa"/>
            <w:vMerge w:val="restart"/>
            <w:tcBorders>
              <w:top w:val="single" w:sz="4" w:space="0" w:color="000000" w:themeColor="text1"/>
              <w:bottom w:val="single" w:sz="4" w:space="0" w:color="000000" w:themeColor="text1"/>
              <w:right w:val="single" w:sz="5" w:space="0" w:color="C9C9C9"/>
            </w:tcBorders>
          </w:tcPr>
          <w:p w14:paraId="000002E5" w14:textId="77777777" w:rsidR="004F7DB3" w:rsidRPr="00A86393" w:rsidRDefault="004F7DB3" w:rsidP="00DD60F2">
            <w:pPr>
              <w:spacing w:after="0" w:line="360" w:lineRule="auto"/>
              <w:jc w:val="both"/>
              <w:rPr>
                <w:sz w:val="18"/>
                <w:szCs w:val="18"/>
                <w:lang w:val="en-US"/>
              </w:rPr>
            </w:pPr>
          </w:p>
        </w:tc>
        <w:tc>
          <w:tcPr>
            <w:tcW w:w="1920"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E6" w14:textId="77777777" w:rsidR="004F7DB3" w:rsidRPr="00A86393" w:rsidRDefault="00C00123" w:rsidP="00DD60F2">
            <w:pPr>
              <w:pBdr>
                <w:top w:val="nil"/>
                <w:left w:val="nil"/>
                <w:bottom w:val="nil"/>
                <w:right w:val="nil"/>
                <w:between w:val="nil"/>
              </w:pBdr>
              <w:spacing w:before="240" w:after="240" w:line="240" w:lineRule="auto"/>
              <w:rPr>
                <w:sz w:val="18"/>
                <w:szCs w:val="18"/>
                <w:lang w:val="en-US"/>
              </w:rPr>
            </w:pPr>
            <w:r w:rsidRPr="00A86393">
              <w:rPr>
                <w:sz w:val="18"/>
                <w:szCs w:val="18"/>
                <w:lang w:val="en-US"/>
              </w:rPr>
              <w:t>Ordinance No. 2020-014/PT-RM of 24 December 2020 on the State and Land Law</w:t>
            </w:r>
          </w:p>
        </w:tc>
        <w:tc>
          <w:tcPr>
            <w:tcW w:w="10513"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E7" w14:textId="7709500B" w:rsidR="004F7DB3" w:rsidRPr="00A86393" w:rsidRDefault="6DEC1BA7" w:rsidP="00DD60F2">
            <w:pPr>
              <w:spacing w:before="240" w:after="0" w:line="240" w:lineRule="auto"/>
              <w:jc w:val="both"/>
              <w:rPr>
                <w:sz w:val="18"/>
                <w:szCs w:val="18"/>
                <w:lang w:val="en-US"/>
              </w:rPr>
            </w:pPr>
            <w:r w:rsidRPr="5D8904BE">
              <w:rPr>
                <w:sz w:val="18"/>
                <w:szCs w:val="18"/>
                <w:lang w:val="en-US"/>
              </w:rPr>
              <w:t xml:space="preserve">This ordinance specifies the public or private, movable or immovable domains of the State and local authorities, and the conditions surrounding their statutes. It also deals with </w:t>
            </w:r>
            <w:r w:rsidR="78E73F5B" w:rsidRPr="5D8904BE">
              <w:rPr>
                <w:sz w:val="18"/>
                <w:szCs w:val="18"/>
                <w:lang w:val="en-US"/>
              </w:rPr>
              <w:t>cadaster</w:t>
            </w:r>
            <w:r w:rsidRPr="5D8904BE">
              <w:rPr>
                <w:sz w:val="18"/>
                <w:szCs w:val="18"/>
                <w:lang w:val="en-US"/>
              </w:rPr>
              <w:t>, land ownership, customary land rights, etc.</w:t>
            </w:r>
          </w:p>
          <w:p w14:paraId="000002E8" w14:textId="3FAEEF0E" w:rsidR="004F7DB3" w:rsidRPr="00A86393" w:rsidRDefault="2809ADD6" w:rsidP="00DD60F2">
            <w:pPr>
              <w:spacing w:before="240" w:after="0" w:line="240" w:lineRule="auto"/>
              <w:jc w:val="both"/>
              <w:rPr>
                <w:sz w:val="18"/>
                <w:szCs w:val="18"/>
                <w:lang w:val="en-US"/>
              </w:rPr>
            </w:pPr>
            <w:r w:rsidRPr="00A86393">
              <w:rPr>
                <w:sz w:val="18"/>
                <w:szCs w:val="18"/>
                <w:lang w:val="en-US"/>
              </w:rPr>
              <w:t xml:space="preserve">The </w:t>
            </w:r>
            <w:r w:rsidR="4CDEC223" w:rsidRPr="00A86393">
              <w:rPr>
                <w:sz w:val="18"/>
                <w:szCs w:val="18"/>
                <w:lang w:val="en-US"/>
              </w:rPr>
              <w:t xml:space="preserve">GEF-8 </w:t>
            </w:r>
            <w:r w:rsidRPr="00A86393">
              <w:rPr>
                <w:sz w:val="18"/>
                <w:szCs w:val="18"/>
                <w:lang w:val="en-US"/>
              </w:rPr>
              <w:t>Bamako Sustainable City</w:t>
            </w:r>
            <w:r w:rsidR="06664620" w:rsidRPr="00A86393">
              <w:rPr>
                <w:sz w:val="18"/>
                <w:szCs w:val="18"/>
                <w:lang w:val="en-US"/>
              </w:rPr>
              <w:t xml:space="preserve"> project</w:t>
            </w:r>
            <w:r w:rsidRPr="00A86393">
              <w:rPr>
                <w:sz w:val="18"/>
                <w:szCs w:val="18"/>
                <w:lang w:val="en-US"/>
              </w:rPr>
              <w:t xml:space="preserve"> will support the updating of the movable and immovable assets of the District of Bamako, contributing to the effectiveness of the State-Region/District of Bamako contracts</w:t>
            </w:r>
            <w:r w:rsidR="791EA05C" w:rsidRPr="00A86393">
              <w:rPr>
                <w:sz w:val="18"/>
                <w:szCs w:val="18"/>
                <w:lang w:val="en-US"/>
              </w:rPr>
              <w:t xml:space="preserve"> and </w:t>
            </w:r>
            <w:r w:rsidRPr="00A86393">
              <w:rPr>
                <w:sz w:val="18"/>
                <w:szCs w:val="18"/>
                <w:lang w:val="en-US"/>
              </w:rPr>
              <w:t>plans.</w:t>
            </w:r>
          </w:p>
        </w:tc>
      </w:tr>
      <w:tr w:rsidR="004F7DB3" w:rsidRPr="00F50786" w14:paraId="7FC0F7E2" w14:textId="77777777" w:rsidTr="13C5956C">
        <w:trPr>
          <w:trHeight w:val="300"/>
          <w:jc w:val="center"/>
        </w:trPr>
        <w:tc>
          <w:tcPr>
            <w:tcW w:w="1170" w:type="dxa"/>
            <w:vMerge/>
          </w:tcPr>
          <w:p w14:paraId="000002E9" w14:textId="77777777" w:rsidR="004F7DB3" w:rsidRPr="00A86393" w:rsidRDefault="004F7DB3" w:rsidP="00DD60F2">
            <w:pPr>
              <w:spacing w:after="0" w:line="360" w:lineRule="auto"/>
              <w:jc w:val="both"/>
              <w:rPr>
                <w:sz w:val="18"/>
                <w:szCs w:val="18"/>
                <w:lang w:val="en-US"/>
              </w:rPr>
            </w:pPr>
          </w:p>
        </w:tc>
        <w:tc>
          <w:tcPr>
            <w:tcW w:w="1920"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EA" w14:textId="77777777" w:rsidR="004F7DB3" w:rsidRPr="00A86393" w:rsidRDefault="00C00123" w:rsidP="00DD60F2">
            <w:pPr>
              <w:pBdr>
                <w:top w:val="nil"/>
                <w:left w:val="nil"/>
                <w:bottom w:val="nil"/>
                <w:right w:val="nil"/>
                <w:between w:val="nil"/>
              </w:pBdr>
              <w:spacing w:before="240" w:after="240" w:line="240" w:lineRule="auto"/>
              <w:rPr>
                <w:sz w:val="18"/>
                <w:szCs w:val="18"/>
                <w:lang w:val="en-US"/>
              </w:rPr>
            </w:pPr>
            <w:r w:rsidRPr="00A86393">
              <w:rPr>
                <w:sz w:val="18"/>
                <w:szCs w:val="18"/>
                <w:lang w:val="en-US"/>
              </w:rPr>
              <w:t>Decree No. 2018-0991/P-RM OF 31 December 2018 on the study and notice of environmental and social impacts</w:t>
            </w:r>
          </w:p>
        </w:tc>
        <w:tc>
          <w:tcPr>
            <w:tcW w:w="10513"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EB" w14:textId="77777777" w:rsidR="004F7DB3" w:rsidRPr="00A86393" w:rsidRDefault="00C00123" w:rsidP="00DD60F2">
            <w:pPr>
              <w:spacing w:before="240" w:after="0" w:line="240" w:lineRule="auto"/>
              <w:jc w:val="both"/>
              <w:rPr>
                <w:sz w:val="18"/>
                <w:szCs w:val="18"/>
                <w:lang w:val="en-US"/>
              </w:rPr>
            </w:pPr>
            <w:r w:rsidRPr="00A86393">
              <w:rPr>
                <w:sz w:val="18"/>
                <w:szCs w:val="18"/>
                <w:lang w:val="en-US"/>
              </w:rPr>
              <w:t>This decree stipulates that an Environmental and Social Impact Assessment (ESIA) or an Environmental and Social Impact Notice (NIES) is mandatory for energy and infrastructure projects. Projects are classified into three categories: A, B (study) and C (notice).</w:t>
            </w:r>
          </w:p>
          <w:p w14:paraId="000002EC" w14:textId="59BC9F19" w:rsidR="004F7DB3" w:rsidRPr="00A86393" w:rsidRDefault="2809ADD6" w:rsidP="00DD60F2">
            <w:pPr>
              <w:spacing w:before="240" w:after="0" w:line="240" w:lineRule="auto"/>
              <w:jc w:val="both"/>
              <w:rPr>
                <w:sz w:val="18"/>
                <w:szCs w:val="18"/>
                <w:lang w:val="en-US"/>
              </w:rPr>
            </w:pPr>
            <w:r w:rsidRPr="00A86393">
              <w:rPr>
                <w:sz w:val="18"/>
                <w:szCs w:val="18"/>
                <w:lang w:val="en-US"/>
              </w:rPr>
              <w:t xml:space="preserve">The </w:t>
            </w:r>
            <w:r w:rsidR="3F0B56EB" w:rsidRPr="00A86393">
              <w:rPr>
                <w:sz w:val="18"/>
                <w:szCs w:val="18"/>
                <w:lang w:val="en-US"/>
              </w:rPr>
              <w:t xml:space="preserve">GEF-8 </w:t>
            </w:r>
            <w:r w:rsidR="3C64451D" w:rsidRPr="00A86393">
              <w:rPr>
                <w:sz w:val="18"/>
                <w:szCs w:val="18"/>
                <w:lang w:val="en-US"/>
              </w:rPr>
              <w:t xml:space="preserve">project </w:t>
            </w:r>
            <w:r w:rsidRPr="00A86393">
              <w:rPr>
                <w:sz w:val="18"/>
                <w:szCs w:val="18"/>
                <w:lang w:val="en-US"/>
              </w:rPr>
              <w:t>supports a portfolio of projects in its City Master Plan, the development and future implementation of which will ensure compliance with the provisions of this decree.</w:t>
            </w:r>
          </w:p>
        </w:tc>
      </w:tr>
      <w:tr w:rsidR="004F7DB3" w:rsidRPr="00F50786" w14:paraId="28F29376" w14:textId="77777777" w:rsidTr="13C5956C">
        <w:trPr>
          <w:trHeight w:val="300"/>
          <w:jc w:val="center"/>
        </w:trPr>
        <w:tc>
          <w:tcPr>
            <w:tcW w:w="1170" w:type="dxa"/>
            <w:vMerge/>
          </w:tcPr>
          <w:p w14:paraId="000002ED" w14:textId="77777777" w:rsidR="004F7DB3" w:rsidRPr="00A86393" w:rsidRDefault="004F7DB3" w:rsidP="00DD60F2">
            <w:pPr>
              <w:spacing w:after="0" w:line="360" w:lineRule="auto"/>
              <w:jc w:val="both"/>
              <w:rPr>
                <w:sz w:val="18"/>
                <w:szCs w:val="18"/>
                <w:lang w:val="en-US"/>
              </w:rPr>
            </w:pPr>
          </w:p>
        </w:tc>
        <w:tc>
          <w:tcPr>
            <w:tcW w:w="1920"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EE" w14:textId="77777777" w:rsidR="004F7DB3" w:rsidRPr="00A86393" w:rsidRDefault="00C00123" w:rsidP="00DD60F2">
            <w:pPr>
              <w:pBdr>
                <w:top w:val="nil"/>
                <w:left w:val="nil"/>
                <w:bottom w:val="nil"/>
                <w:right w:val="nil"/>
                <w:between w:val="nil"/>
              </w:pBdr>
              <w:spacing w:before="240" w:after="240" w:line="240" w:lineRule="auto"/>
              <w:rPr>
                <w:sz w:val="18"/>
                <w:szCs w:val="18"/>
                <w:lang w:val="en-US"/>
              </w:rPr>
            </w:pPr>
            <w:r w:rsidRPr="00A86393">
              <w:rPr>
                <w:sz w:val="18"/>
                <w:szCs w:val="18"/>
                <w:lang w:val="en-US"/>
              </w:rPr>
              <w:t>Ordinance No. 00-019/P-RM of 15 March 2000 on the organization of the electricity sector _ Under revision with the National Energy Policy</w:t>
            </w:r>
          </w:p>
        </w:tc>
        <w:tc>
          <w:tcPr>
            <w:tcW w:w="10513"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EF" w14:textId="2F48EFC4" w:rsidR="004F7DB3" w:rsidRPr="00A86393" w:rsidRDefault="3DF76F3A" w:rsidP="00DD60F2">
            <w:pPr>
              <w:spacing w:before="240" w:after="0" w:line="240" w:lineRule="auto"/>
              <w:jc w:val="both"/>
              <w:rPr>
                <w:sz w:val="18"/>
                <w:szCs w:val="18"/>
                <w:lang w:val="en-US"/>
              </w:rPr>
            </w:pPr>
            <w:r w:rsidRPr="5D8904BE">
              <w:rPr>
                <w:sz w:val="18"/>
                <w:szCs w:val="18"/>
                <w:lang w:val="en-US"/>
              </w:rPr>
              <w:t>The ordinance e</w:t>
            </w:r>
            <w:r w:rsidR="6DEC1BA7" w:rsidRPr="5D8904BE">
              <w:rPr>
                <w:sz w:val="18"/>
                <w:szCs w:val="18"/>
                <w:lang w:val="en-US"/>
              </w:rPr>
              <w:t>stablishes the legal framework and operating principles of the electricity sector in Mali by supporting the organization of the sector and guaranteeing the free exercise of competition within it.</w:t>
            </w:r>
          </w:p>
          <w:p w14:paraId="000002F0" w14:textId="77777777" w:rsidR="004F7DB3" w:rsidRPr="00A86393" w:rsidRDefault="00C00123" w:rsidP="00DD60F2">
            <w:pPr>
              <w:spacing w:before="240" w:after="0" w:line="240" w:lineRule="auto"/>
              <w:jc w:val="both"/>
              <w:rPr>
                <w:sz w:val="18"/>
                <w:szCs w:val="18"/>
                <w:lang w:val="en-US"/>
              </w:rPr>
            </w:pPr>
            <w:r w:rsidRPr="00A86393">
              <w:rPr>
                <w:sz w:val="18"/>
                <w:szCs w:val="18"/>
                <w:lang w:val="en-US"/>
              </w:rPr>
              <w:t>It enshrines operating regimes for self-production of electricity systems that are favorable to the development and implementation of PPG Bamako Sustainable City electricity projects.</w:t>
            </w:r>
          </w:p>
        </w:tc>
      </w:tr>
      <w:tr w:rsidR="004F7DB3" w:rsidRPr="00F50786" w14:paraId="7D0FE12B" w14:textId="77777777" w:rsidTr="13C5956C">
        <w:trPr>
          <w:trHeight w:val="300"/>
          <w:jc w:val="center"/>
        </w:trPr>
        <w:tc>
          <w:tcPr>
            <w:tcW w:w="1170" w:type="dxa"/>
            <w:vMerge/>
          </w:tcPr>
          <w:p w14:paraId="000002F1" w14:textId="77777777" w:rsidR="004F7DB3" w:rsidRPr="00A86393" w:rsidRDefault="004F7DB3" w:rsidP="00DD60F2">
            <w:pPr>
              <w:spacing w:after="0" w:line="360" w:lineRule="auto"/>
              <w:jc w:val="both"/>
              <w:rPr>
                <w:sz w:val="18"/>
                <w:szCs w:val="18"/>
                <w:lang w:val="en-US"/>
              </w:rPr>
            </w:pPr>
          </w:p>
        </w:tc>
        <w:tc>
          <w:tcPr>
            <w:tcW w:w="1920"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F2" w14:textId="77777777" w:rsidR="004F7DB3" w:rsidRPr="00A86393" w:rsidRDefault="004F7DB3" w:rsidP="00DD60F2">
            <w:pPr>
              <w:pBdr>
                <w:top w:val="nil"/>
                <w:left w:val="nil"/>
                <w:bottom w:val="nil"/>
                <w:right w:val="nil"/>
                <w:between w:val="nil"/>
              </w:pBdr>
              <w:spacing w:before="240" w:after="240" w:line="240" w:lineRule="auto"/>
              <w:rPr>
                <w:sz w:val="18"/>
                <w:szCs w:val="18"/>
                <w:lang w:val="en-US"/>
              </w:rPr>
            </w:pPr>
          </w:p>
          <w:p w14:paraId="000002F3" w14:textId="77777777" w:rsidR="004F7DB3" w:rsidRPr="00A86393" w:rsidRDefault="552CE4D7" w:rsidP="5D8904BE">
            <w:pPr>
              <w:pBdr>
                <w:top w:val="nil"/>
                <w:left w:val="nil"/>
                <w:bottom w:val="nil"/>
                <w:right w:val="nil"/>
                <w:between w:val="nil"/>
              </w:pBdr>
              <w:spacing w:before="240" w:after="240" w:line="240" w:lineRule="auto"/>
              <w:rPr>
                <w:sz w:val="18"/>
                <w:szCs w:val="18"/>
                <w:lang w:val="en-US"/>
              </w:rPr>
            </w:pPr>
            <w:r w:rsidRPr="5D8904BE">
              <w:rPr>
                <w:sz w:val="18"/>
                <w:szCs w:val="18"/>
                <w:lang w:val="en-US"/>
              </w:rPr>
              <w:t>Law No. 02-006 / of 31 January 2002 on the Water Code.</w:t>
            </w:r>
          </w:p>
        </w:tc>
        <w:tc>
          <w:tcPr>
            <w:tcW w:w="10513"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F4" w14:textId="4A2457DA" w:rsidR="004F7DB3" w:rsidRPr="00A86393" w:rsidRDefault="6DEC1BA7" w:rsidP="00DD60F2">
            <w:pPr>
              <w:spacing w:before="240" w:after="0" w:line="240" w:lineRule="auto"/>
              <w:jc w:val="both"/>
              <w:rPr>
                <w:sz w:val="18"/>
                <w:szCs w:val="18"/>
                <w:lang w:val="en-US"/>
              </w:rPr>
            </w:pPr>
            <w:r w:rsidRPr="5D8904BE">
              <w:rPr>
                <w:sz w:val="18"/>
                <w:szCs w:val="18"/>
                <w:lang w:val="en-US"/>
              </w:rPr>
              <w:t>Sets the rules for the use, conservation, protection and management of water resources. In this respect, it specifies that the protection of</w:t>
            </w:r>
            <w:r w:rsidR="46744D73" w:rsidRPr="5D8904BE">
              <w:rPr>
                <w:sz w:val="18"/>
                <w:szCs w:val="18"/>
                <w:lang w:val="en-US"/>
              </w:rPr>
              <w:t xml:space="preserve"> </w:t>
            </w:r>
            <w:r w:rsidRPr="5D8904BE">
              <w:rPr>
                <w:sz w:val="18"/>
                <w:szCs w:val="18"/>
                <w:lang w:val="en-US"/>
              </w:rPr>
              <w:t>water, its development and the development of the usable resource, while respecting natural balances, constitute a duty for all: the State, local authorities, citizens.</w:t>
            </w:r>
          </w:p>
          <w:p w14:paraId="000002F5" w14:textId="33109934" w:rsidR="004F7DB3" w:rsidRPr="00A86393" w:rsidRDefault="2809ADD6" w:rsidP="00DD60F2">
            <w:pPr>
              <w:spacing w:before="240" w:after="0" w:line="240" w:lineRule="auto"/>
              <w:jc w:val="both"/>
              <w:rPr>
                <w:sz w:val="18"/>
                <w:szCs w:val="18"/>
                <w:lang w:val="en-US"/>
              </w:rPr>
            </w:pPr>
            <w:r w:rsidRPr="00A86393">
              <w:rPr>
                <w:sz w:val="18"/>
                <w:szCs w:val="18"/>
                <w:lang w:val="en-US"/>
              </w:rPr>
              <w:t xml:space="preserve">The </w:t>
            </w:r>
            <w:r w:rsidR="50982BD3" w:rsidRPr="00A86393">
              <w:rPr>
                <w:sz w:val="18"/>
                <w:szCs w:val="18"/>
                <w:lang w:val="en-US"/>
              </w:rPr>
              <w:t xml:space="preserve">GEF-8 </w:t>
            </w:r>
            <w:r w:rsidRPr="00A86393">
              <w:rPr>
                <w:sz w:val="18"/>
                <w:szCs w:val="18"/>
                <w:lang w:val="en-US"/>
              </w:rPr>
              <w:t>Bamako Sustainable City</w:t>
            </w:r>
            <w:r w:rsidR="46EA2292" w:rsidRPr="00A86393">
              <w:rPr>
                <w:sz w:val="18"/>
                <w:szCs w:val="18"/>
                <w:lang w:val="en-US"/>
              </w:rPr>
              <w:t xml:space="preserve"> project</w:t>
            </w:r>
            <w:r w:rsidRPr="00A86393">
              <w:rPr>
                <w:sz w:val="18"/>
                <w:szCs w:val="18"/>
                <w:lang w:val="en-US"/>
              </w:rPr>
              <w:t xml:space="preserve"> supports a portfolio of projects or activities based on compliance with the rules enacted.</w:t>
            </w:r>
          </w:p>
        </w:tc>
      </w:tr>
      <w:tr w:rsidR="004F7DB3" w:rsidRPr="00F50786" w14:paraId="653E1D83" w14:textId="77777777" w:rsidTr="13C5956C">
        <w:trPr>
          <w:trHeight w:val="300"/>
          <w:jc w:val="center"/>
        </w:trPr>
        <w:tc>
          <w:tcPr>
            <w:tcW w:w="1170" w:type="dxa"/>
            <w:vMerge/>
          </w:tcPr>
          <w:p w14:paraId="000002F6" w14:textId="77777777" w:rsidR="004F7DB3" w:rsidRPr="00A86393" w:rsidRDefault="004F7DB3" w:rsidP="00DD60F2">
            <w:pPr>
              <w:spacing w:after="0" w:line="360" w:lineRule="auto"/>
              <w:jc w:val="both"/>
              <w:rPr>
                <w:sz w:val="18"/>
                <w:szCs w:val="18"/>
                <w:lang w:val="en-US"/>
              </w:rPr>
            </w:pPr>
          </w:p>
        </w:tc>
        <w:tc>
          <w:tcPr>
            <w:tcW w:w="1920"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F7" w14:textId="77777777" w:rsidR="004F7DB3" w:rsidRPr="00A86393" w:rsidRDefault="552CE4D7" w:rsidP="5D8904BE">
            <w:pPr>
              <w:pBdr>
                <w:top w:val="nil"/>
                <w:left w:val="nil"/>
                <w:bottom w:val="nil"/>
                <w:right w:val="nil"/>
                <w:between w:val="nil"/>
              </w:pBdr>
              <w:spacing w:before="240" w:after="240" w:line="240" w:lineRule="auto"/>
              <w:rPr>
                <w:sz w:val="18"/>
                <w:szCs w:val="18"/>
                <w:lang w:val="en-US"/>
              </w:rPr>
            </w:pPr>
            <w:r w:rsidRPr="5D8904BE">
              <w:rPr>
                <w:sz w:val="18"/>
                <w:szCs w:val="18"/>
                <w:lang w:val="en-US"/>
              </w:rPr>
              <w:t xml:space="preserve">Ordinance No. 2020-012/P-RM of March 23, </w:t>
            </w:r>
            <w:proofErr w:type="gramStart"/>
            <w:r w:rsidRPr="5D8904BE">
              <w:rPr>
                <w:sz w:val="18"/>
                <w:szCs w:val="18"/>
                <w:lang w:val="en-US"/>
              </w:rPr>
              <w:t>2020</w:t>
            </w:r>
            <w:proofErr w:type="gramEnd"/>
            <w:r w:rsidRPr="5D8904BE">
              <w:rPr>
                <w:sz w:val="18"/>
                <w:szCs w:val="18"/>
                <w:lang w:val="en-US"/>
              </w:rPr>
              <w:t xml:space="preserve"> exempting renewable energy equipment from VAT, import duties and taxes </w:t>
            </w:r>
          </w:p>
        </w:tc>
        <w:tc>
          <w:tcPr>
            <w:tcW w:w="10513"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F8" w14:textId="188CE51C" w:rsidR="004F7DB3" w:rsidRPr="00A86393" w:rsidRDefault="1314353C" w:rsidP="00DD60F2">
            <w:pPr>
              <w:spacing w:before="240" w:after="240" w:line="240" w:lineRule="auto"/>
              <w:jc w:val="both"/>
              <w:rPr>
                <w:sz w:val="18"/>
                <w:szCs w:val="18"/>
                <w:lang w:val="en-US"/>
              </w:rPr>
            </w:pPr>
            <w:r w:rsidRPr="5D8904BE">
              <w:rPr>
                <w:sz w:val="18"/>
                <w:szCs w:val="18"/>
                <w:lang w:val="en-US"/>
              </w:rPr>
              <w:t xml:space="preserve">The ordinance </w:t>
            </w:r>
            <w:r w:rsidR="6DEC1BA7" w:rsidRPr="5D8904BE">
              <w:rPr>
                <w:sz w:val="18"/>
                <w:szCs w:val="18"/>
                <w:lang w:val="en-US"/>
              </w:rPr>
              <w:t>is applied to a list of renewable energy equipment, in particular solar photovoltaics, without including qualitative and normative requirements. It aims to increase the penetration of renewable energy in the country, especially in cities.</w:t>
            </w:r>
          </w:p>
          <w:p w14:paraId="000002F9" w14:textId="4DAC8CF0" w:rsidR="004F7DB3" w:rsidRPr="00A86393" w:rsidRDefault="6DEC1BA7" w:rsidP="00DD60F2">
            <w:pPr>
              <w:spacing w:before="240" w:after="240" w:line="240" w:lineRule="auto"/>
              <w:jc w:val="both"/>
              <w:rPr>
                <w:sz w:val="18"/>
                <w:szCs w:val="18"/>
                <w:lang w:val="en-US"/>
              </w:rPr>
            </w:pPr>
            <w:r w:rsidRPr="5D8904BE">
              <w:rPr>
                <w:sz w:val="18"/>
                <w:szCs w:val="18"/>
                <w:lang w:val="en-US"/>
              </w:rPr>
              <w:t xml:space="preserve">The </w:t>
            </w:r>
            <w:r w:rsidR="47C0B156" w:rsidRPr="5D8904BE">
              <w:rPr>
                <w:sz w:val="18"/>
                <w:szCs w:val="18"/>
                <w:lang w:val="en-US"/>
              </w:rPr>
              <w:t xml:space="preserve">GEF-8 </w:t>
            </w:r>
            <w:r w:rsidRPr="5D8904BE">
              <w:rPr>
                <w:sz w:val="18"/>
                <w:szCs w:val="18"/>
                <w:lang w:val="en-US"/>
              </w:rPr>
              <w:t>Bamako Sustainable City</w:t>
            </w:r>
            <w:r w:rsidR="5854320C" w:rsidRPr="5D8904BE">
              <w:rPr>
                <w:sz w:val="18"/>
                <w:szCs w:val="18"/>
                <w:lang w:val="en-US"/>
              </w:rPr>
              <w:t xml:space="preserve"> project</w:t>
            </w:r>
            <w:r w:rsidRPr="5D8904BE">
              <w:rPr>
                <w:sz w:val="18"/>
                <w:szCs w:val="18"/>
                <w:lang w:val="en-US"/>
              </w:rPr>
              <w:t xml:space="preserve"> strongly supports renewable energy projects with local authorities and populations that actively participate in the rapid penetration of off-grid renewable energy solutions in this case.</w:t>
            </w:r>
          </w:p>
        </w:tc>
      </w:tr>
      <w:tr w:rsidR="004F7DB3" w:rsidRPr="00F50786" w14:paraId="1AFF2433" w14:textId="77777777" w:rsidTr="13C5956C">
        <w:trPr>
          <w:trHeight w:val="300"/>
          <w:jc w:val="center"/>
        </w:trPr>
        <w:tc>
          <w:tcPr>
            <w:tcW w:w="1170" w:type="dxa"/>
            <w:vMerge/>
          </w:tcPr>
          <w:p w14:paraId="000002FA" w14:textId="77777777" w:rsidR="004F7DB3" w:rsidRPr="00A86393" w:rsidRDefault="004F7DB3" w:rsidP="00DD60F2">
            <w:pPr>
              <w:spacing w:after="0" w:line="360" w:lineRule="auto"/>
              <w:jc w:val="both"/>
              <w:rPr>
                <w:sz w:val="18"/>
                <w:szCs w:val="18"/>
                <w:lang w:val="en-US"/>
              </w:rPr>
            </w:pPr>
          </w:p>
        </w:tc>
        <w:tc>
          <w:tcPr>
            <w:tcW w:w="1920"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FB" w14:textId="77777777" w:rsidR="004F7DB3" w:rsidRPr="00A86393" w:rsidRDefault="00C00123" w:rsidP="00DD60F2">
            <w:pPr>
              <w:pBdr>
                <w:top w:val="nil"/>
                <w:left w:val="nil"/>
                <w:bottom w:val="nil"/>
                <w:right w:val="nil"/>
                <w:between w:val="nil"/>
              </w:pBdr>
              <w:spacing w:before="240" w:after="240" w:line="240" w:lineRule="auto"/>
              <w:rPr>
                <w:sz w:val="18"/>
                <w:szCs w:val="18"/>
                <w:lang w:val="en-US"/>
              </w:rPr>
            </w:pPr>
            <w:r w:rsidRPr="00A86393">
              <w:rPr>
                <w:sz w:val="18"/>
                <w:szCs w:val="18"/>
                <w:lang w:val="en-US"/>
              </w:rPr>
              <w:t xml:space="preserve">Law No. 2021-032 of 24 May 2021 on </w:t>
            </w:r>
            <w:r w:rsidRPr="00A86393">
              <w:rPr>
                <w:sz w:val="18"/>
                <w:szCs w:val="18"/>
                <w:lang w:val="en-US"/>
              </w:rPr>
              <w:lastRenderedPageBreak/>
              <w:t xml:space="preserve">pollution and nuisances, </w:t>
            </w:r>
          </w:p>
        </w:tc>
        <w:tc>
          <w:tcPr>
            <w:tcW w:w="10513"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2FD" w14:textId="46376F1A" w:rsidR="004F7DB3" w:rsidRPr="00A86393" w:rsidRDefault="0820A6E1" w:rsidP="00DD60F2">
            <w:pPr>
              <w:spacing w:before="240" w:after="0" w:line="240" w:lineRule="auto"/>
              <w:jc w:val="both"/>
              <w:rPr>
                <w:sz w:val="18"/>
                <w:szCs w:val="18"/>
                <w:lang w:val="en-US"/>
              </w:rPr>
            </w:pPr>
            <w:r w:rsidRPr="00A86393">
              <w:rPr>
                <w:sz w:val="18"/>
                <w:szCs w:val="18"/>
                <w:lang w:val="en-US"/>
              </w:rPr>
              <w:lastRenderedPageBreak/>
              <w:t xml:space="preserve">The law </w:t>
            </w:r>
            <w:r w:rsidR="6A32AF9F" w:rsidRPr="00A86393">
              <w:rPr>
                <w:sz w:val="18"/>
                <w:szCs w:val="18"/>
                <w:lang w:val="en-US"/>
              </w:rPr>
              <w:t>l</w:t>
            </w:r>
            <w:r w:rsidR="2809ADD6" w:rsidRPr="00A86393">
              <w:rPr>
                <w:sz w:val="18"/>
                <w:szCs w:val="18"/>
                <w:lang w:val="en-US"/>
              </w:rPr>
              <w:t>ays down the fundamental principles of pollution and nuisance control.</w:t>
            </w:r>
            <w:r w:rsidR="145EDAFC" w:rsidRPr="00A86393">
              <w:rPr>
                <w:sz w:val="18"/>
                <w:szCs w:val="18"/>
                <w:lang w:val="en-US"/>
              </w:rPr>
              <w:t xml:space="preserve"> </w:t>
            </w:r>
            <w:r w:rsidR="50789A12" w:rsidRPr="00A86393">
              <w:rPr>
                <w:sz w:val="18"/>
                <w:szCs w:val="18"/>
                <w:lang w:val="en-US"/>
              </w:rPr>
              <w:t xml:space="preserve"> </w:t>
            </w:r>
            <w:r w:rsidR="496F1838" w:rsidRPr="00A86393">
              <w:rPr>
                <w:sz w:val="18"/>
                <w:szCs w:val="18"/>
                <w:lang w:val="en-US"/>
              </w:rPr>
              <w:t>It targets air and water pollution as well as special waste including electronic, electrical and household waste including equipment.</w:t>
            </w:r>
          </w:p>
          <w:p w14:paraId="000002FE" w14:textId="6A371032" w:rsidR="004F7DB3" w:rsidRPr="00A86393" w:rsidRDefault="2809ADD6" w:rsidP="00DD60F2">
            <w:pPr>
              <w:spacing w:before="240" w:after="0" w:line="240" w:lineRule="auto"/>
              <w:jc w:val="both"/>
              <w:rPr>
                <w:sz w:val="18"/>
                <w:szCs w:val="18"/>
                <w:lang w:val="en-US"/>
              </w:rPr>
            </w:pPr>
            <w:r w:rsidRPr="00A86393">
              <w:rPr>
                <w:sz w:val="18"/>
                <w:szCs w:val="18"/>
                <w:lang w:val="en-US"/>
              </w:rPr>
              <w:lastRenderedPageBreak/>
              <w:t xml:space="preserve">The </w:t>
            </w:r>
            <w:r w:rsidR="04033A19" w:rsidRPr="00A86393">
              <w:rPr>
                <w:sz w:val="18"/>
                <w:szCs w:val="18"/>
                <w:lang w:val="en-US"/>
              </w:rPr>
              <w:t xml:space="preserve">GEF-8 </w:t>
            </w:r>
            <w:r w:rsidRPr="00A86393">
              <w:rPr>
                <w:sz w:val="18"/>
                <w:szCs w:val="18"/>
                <w:lang w:val="en-US"/>
              </w:rPr>
              <w:t>Bamako Sustainable City</w:t>
            </w:r>
            <w:r w:rsidR="0219C869" w:rsidRPr="00A86393">
              <w:rPr>
                <w:sz w:val="18"/>
                <w:szCs w:val="18"/>
                <w:lang w:val="en-US"/>
              </w:rPr>
              <w:t xml:space="preserve"> project</w:t>
            </w:r>
            <w:r w:rsidRPr="00A86393">
              <w:rPr>
                <w:sz w:val="18"/>
                <w:szCs w:val="18"/>
                <w:lang w:val="en-US"/>
              </w:rPr>
              <w:t xml:space="preserve"> supports activities and projects that contribute to the application of the law on the territory of the city and the Greater Bama</w:t>
            </w:r>
            <w:r w:rsidR="1A38E844" w:rsidRPr="00A86393">
              <w:rPr>
                <w:sz w:val="18"/>
                <w:szCs w:val="18"/>
                <w:lang w:val="en-US"/>
              </w:rPr>
              <w:t>k</w:t>
            </w:r>
            <w:r w:rsidRPr="00A86393">
              <w:rPr>
                <w:sz w:val="18"/>
                <w:szCs w:val="18"/>
                <w:lang w:val="en-US"/>
              </w:rPr>
              <w:t>o inter-community.</w:t>
            </w:r>
          </w:p>
        </w:tc>
      </w:tr>
      <w:tr w:rsidR="004F7DB3" w:rsidRPr="00F50786" w14:paraId="491C8ACC" w14:textId="77777777" w:rsidTr="13C5956C">
        <w:trPr>
          <w:trHeight w:val="300"/>
          <w:jc w:val="center"/>
        </w:trPr>
        <w:tc>
          <w:tcPr>
            <w:tcW w:w="1170" w:type="dxa"/>
            <w:vMerge/>
          </w:tcPr>
          <w:p w14:paraId="000002FF" w14:textId="77777777" w:rsidR="004F7DB3" w:rsidRPr="00A86393" w:rsidRDefault="004F7DB3" w:rsidP="00DD60F2">
            <w:pPr>
              <w:spacing w:after="0" w:line="360" w:lineRule="auto"/>
              <w:jc w:val="both"/>
              <w:rPr>
                <w:sz w:val="18"/>
                <w:szCs w:val="18"/>
                <w:lang w:val="en-US"/>
              </w:rPr>
            </w:pPr>
          </w:p>
        </w:tc>
        <w:tc>
          <w:tcPr>
            <w:tcW w:w="1920"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300" w14:textId="77777777" w:rsidR="004F7DB3" w:rsidRPr="00A86393" w:rsidRDefault="00C00123" w:rsidP="00DD60F2">
            <w:pPr>
              <w:pBdr>
                <w:top w:val="nil"/>
                <w:left w:val="nil"/>
                <w:bottom w:val="nil"/>
                <w:right w:val="nil"/>
                <w:between w:val="nil"/>
              </w:pBdr>
              <w:spacing w:before="240" w:after="240" w:line="240" w:lineRule="auto"/>
              <w:rPr>
                <w:sz w:val="18"/>
                <w:szCs w:val="18"/>
                <w:lang w:val="en-US"/>
              </w:rPr>
            </w:pPr>
            <w:r w:rsidRPr="00A86393">
              <w:rPr>
                <w:sz w:val="18"/>
                <w:szCs w:val="18"/>
                <w:lang w:val="en-US"/>
              </w:rPr>
              <w:t>Decree No. 2023-0509/PT-RM of 12 September 2023 setting the conditions for the use of roads open to public traffic and the putting into circulation of vehicles</w:t>
            </w:r>
          </w:p>
        </w:tc>
        <w:tc>
          <w:tcPr>
            <w:tcW w:w="10513"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301" w14:textId="53B367B0" w:rsidR="004F7DB3" w:rsidRPr="00A86393" w:rsidRDefault="6DA22D55" w:rsidP="00DD60F2">
            <w:pPr>
              <w:spacing w:before="240" w:after="0" w:line="240" w:lineRule="auto"/>
              <w:jc w:val="both"/>
              <w:rPr>
                <w:sz w:val="18"/>
                <w:szCs w:val="18"/>
                <w:lang w:val="en-US"/>
              </w:rPr>
            </w:pPr>
            <w:r w:rsidRPr="5D8904BE">
              <w:rPr>
                <w:sz w:val="18"/>
                <w:szCs w:val="18"/>
                <w:lang w:val="en-US"/>
              </w:rPr>
              <w:t>The decree s</w:t>
            </w:r>
            <w:r w:rsidR="6DEC1BA7" w:rsidRPr="5D8904BE">
              <w:rPr>
                <w:sz w:val="18"/>
                <w:szCs w:val="18"/>
                <w:lang w:val="en-US"/>
              </w:rPr>
              <w:t>ets the conditions for the use of roads open to public traffic and for the introduction of vehicles. Its implementation or entry into force should begin on April 1, 2025</w:t>
            </w:r>
            <w:r w:rsidR="7184C26A" w:rsidRPr="5D8904BE">
              <w:rPr>
                <w:sz w:val="18"/>
                <w:szCs w:val="18"/>
                <w:lang w:val="en-US"/>
              </w:rPr>
              <w:t>,</w:t>
            </w:r>
            <w:r w:rsidR="6DEC1BA7" w:rsidRPr="5D8904BE">
              <w:rPr>
                <w:sz w:val="18"/>
                <w:szCs w:val="18"/>
                <w:lang w:val="en-US"/>
              </w:rPr>
              <w:t xml:space="preserve"> </w:t>
            </w:r>
            <w:proofErr w:type="gramStart"/>
            <w:r w:rsidR="6DEC1BA7" w:rsidRPr="5D8904BE">
              <w:rPr>
                <w:sz w:val="18"/>
                <w:szCs w:val="18"/>
                <w:lang w:val="en-US"/>
              </w:rPr>
              <w:t>in order to</w:t>
            </w:r>
            <w:proofErr w:type="gramEnd"/>
            <w:r w:rsidR="6DEC1BA7" w:rsidRPr="5D8904BE">
              <w:rPr>
                <w:sz w:val="18"/>
                <w:szCs w:val="18"/>
                <w:lang w:val="en-US"/>
              </w:rPr>
              <w:t xml:space="preserve"> help intensify traffic flow with citizens who are more disciplined and respectful of road traffic rules.</w:t>
            </w:r>
          </w:p>
          <w:p w14:paraId="00000302" w14:textId="5C9333B6" w:rsidR="004F7DB3" w:rsidRPr="00A86393" w:rsidRDefault="352EB93F" w:rsidP="00DD60F2">
            <w:pPr>
              <w:spacing w:before="240" w:after="0" w:line="240" w:lineRule="auto"/>
              <w:jc w:val="both"/>
              <w:rPr>
                <w:sz w:val="18"/>
                <w:szCs w:val="18"/>
                <w:lang w:val="en-US"/>
              </w:rPr>
            </w:pPr>
            <w:r w:rsidRPr="5D8904BE">
              <w:rPr>
                <w:sz w:val="18"/>
                <w:szCs w:val="18"/>
                <w:lang w:val="en-US"/>
              </w:rPr>
              <w:t xml:space="preserve">The Bamako Sustainable City </w:t>
            </w:r>
            <w:r w:rsidR="4105FD9A" w:rsidRPr="5D8904BE">
              <w:rPr>
                <w:sz w:val="18"/>
                <w:szCs w:val="18"/>
                <w:lang w:val="en-US"/>
              </w:rPr>
              <w:t xml:space="preserve">project </w:t>
            </w:r>
            <w:r w:rsidRPr="5D8904BE">
              <w:rPr>
                <w:sz w:val="18"/>
                <w:szCs w:val="18"/>
                <w:lang w:val="en-US"/>
              </w:rPr>
              <w:t>supports transport activities and projects whose future implementation will contribute to the application of these provisions.</w:t>
            </w:r>
          </w:p>
        </w:tc>
      </w:tr>
      <w:tr w:rsidR="004F7DB3" w:rsidRPr="00F50786" w14:paraId="67059EE1" w14:textId="77777777" w:rsidTr="13C5956C">
        <w:trPr>
          <w:trHeight w:val="300"/>
          <w:jc w:val="center"/>
        </w:trPr>
        <w:tc>
          <w:tcPr>
            <w:tcW w:w="1170" w:type="dxa"/>
            <w:vMerge/>
          </w:tcPr>
          <w:p w14:paraId="00000303" w14:textId="77777777" w:rsidR="004F7DB3" w:rsidRPr="00A86393" w:rsidRDefault="004F7DB3" w:rsidP="00DD60F2">
            <w:pPr>
              <w:spacing w:after="0" w:line="360" w:lineRule="auto"/>
              <w:jc w:val="both"/>
              <w:rPr>
                <w:sz w:val="18"/>
                <w:szCs w:val="18"/>
                <w:lang w:val="en-US"/>
              </w:rPr>
            </w:pPr>
          </w:p>
        </w:tc>
        <w:tc>
          <w:tcPr>
            <w:tcW w:w="1920"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304" w14:textId="77777777" w:rsidR="004F7DB3" w:rsidRPr="00A86393" w:rsidRDefault="552CE4D7" w:rsidP="5D8904BE">
            <w:pPr>
              <w:pBdr>
                <w:top w:val="nil"/>
                <w:left w:val="nil"/>
                <w:bottom w:val="nil"/>
                <w:right w:val="nil"/>
                <w:between w:val="nil"/>
              </w:pBdr>
              <w:spacing w:before="240" w:after="240" w:line="240" w:lineRule="auto"/>
              <w:rPr>
                <w:sz w:val="18"/>
                <w:szCs w:val="18"/>
                <w:lang w:val="en-US"/>
              </w:rPr>
            </w:pPr>
            <w:r w:rsidRPr="5D8904BE">
              <w:rPr>
                <w:sz w:val="18"/>
                <w:szCs w:val="18"/>
                <w:lang w:val="en-US"/>
              </w:rPr>
              <w:t xml:space="preserve">Decree No. 2021-0780-P-RM of November 09, </w:t>
            </w:r>
            <w:proofErr w:type="gramStart"/>
            <w:r w:rsidRPr="5D8904BE">
              <w:rPr>
                <w:sz w:val="18"/>
                <w:szCs w:val="18"/>
                <w:lang w:val="en-US"/>
              </w:rPr>
              <w:t>2021</w:t>
            </w:r>
            <w:proofErr w:type="gramEnd"/>
            <w:r w:rsidRPr="5D8904BE">
              <w:rPr>
                <w:sz w:val="18"/>
                <w:szCs w:val="18"/>
                <w:lang w:val="en-US"/>
              </w:rPr>
              <w:t xml:space="preserve"> laying down the terms of application of Law No. 06-029 of June 29, 2006 on the Protection of the Public Highway</w:t>
            </w:r>
          </w:p>
        </w:tc>
        <w:tc>
          <w:tcPr>
            <w:tcW w:w="10513" w:type="dxa"/>
            <w:tcBorders>
              <w:top w:val="single" w:sz="5" w:space="0" w:color="C9C9C9"/>
              <w:left w:val="single" w:sz="5" w:space="0" w:color="C9C9C9"/>
              <w:bottom w:val="single" w:sz="5" w:space="0" w:color="C9C9C9"/>
              <w:right w:val="single" w:sz="5" w:space="0" w:color="C9C9C9"/>
            </w:tcBorders>
            <w:tcMar>
              <w:left w:w="100" w:type="dxa"/>
              <w:right w:w="100" w:type="dxa"/>
            </w:tcMar>
          </w:tcPr>
          <w:p w14:paraId="00000305" w14:textId="005291B9" w:rsidR="004F7DB3" w:rsidRPr="00A86393" w:rsidRDefault="175C4D90" w:rsidP="00DD60F2">
            <w:pPr>
              <w:spacing w:before="240" w:after="0" w:line="240" w:lineRule="auto"/>
              <w:jc w:val="both"/>
              <w:rPr>
                <w:sz w:val="18"/>
                <w:szCs w:val="18"/>
                <w:lang w:val="en-US"/>
              </w:rPr>
            </w:pPr>
            <w:r w:rsidRPr="5D8904BE">
              <w:rPr>
                <w:sz w:val="18"/>
                <w:szCs w:val="18"/>
                <w:lang w:val="en-US"/>
              </w:rPr>
              <w:t>The decree s</w:t>
            </w:r>
            <w:r w:rsidR="6DEC1BA7" w:rsidRPr="5D8904BE">
              <w:rPr>
                <w:sz w:val="18"/>
                <w:szCs w:val="18"/>
                <w:lang w:val="en-US"/>
              </w:rPr>
              <w:t>ets out the terms and conditions for the application of the protection of the public highway. It offers all the best legal conditions for protecting the road network from the storage of objects or work on the road.</w:t>
            </w:r>
          </w:p>
          <w:p w14:paraId="00000306" w14:textId="5064020D" w:rsidR="004F7DB3" w:rsidRPr="00A86393" w:rsidRDefault="2809ADD6" w:rsidP="00DD60F2">
            <w:pPr>
              <w:spacing w:before="240" w:after="0" w:line="240" w:lineRule="auto"/>
              <w:jc w:val="both"/>
              <w:rPr>
                <w:sz w:val="18"/>
                <w:szCs w:val="18"/>
                <w:lang w:val="en-US"/>
              </w:rPr>
            </w:pPr>
            <w:r w:rsidRPr="00A86393">
              <w:rPr>
                <w:sz w:val="18"/>
                <w:szCs w:val="18"/>
                <w:lang w:val="en-US"/>
              </w:rPr>
              <w:t xml:space="preserve">The </w:t>
            </w:r>
            <w:r w:rsidR="3645B669" w:rsidRPr="00A86393">
              <w:rPr>
                <w:sz w:val="18"/>
                <w:szCs w:val="18"/>
                <w:lang w:val="en-US"/>
              </w:rPr>
              <w:t xml:space="preserve">GEF-8 </w:t>
            </w:r>
            <w:r w:rsidRPr="00A86393">
              <w:rPr>
                <w:sz w:val="18"/>
                <w:szCs w:val="18"/>
                <w:lang w:val="en-US"/>
              </w:rPr>
              <w:t xml:space="preserve">Bamako Sustainable City </w:t>
            </w:r>
            <w:r w:rsidR="1753AE3C" w:rsidRPr="00A86393">
              <w:rPr>
                <w:sz w:val="18"/>
                <w:szCs w:val="18"/>
                <w:lang w:val="en-US"/>
              </w:rPr>
              <w:t xml:space="preserve">project </w:t>
            </w:r>
            <w:r w:rsidRPr="00A86393">
              <w:rPr>
                <w:sz w:val="18"/>
                <w:szCs w:val="18"/>
                <w:lang w:val="en-US"/>
              </w:rPr>
              <w:t>supports sustainable transport activities and projects that are highly dependent on compliance with the provisions of this decree.</w:t>
            </w:r>
          </w:p>
        </w:tc>
      </w:tr>
    </w:tbl>
    <w:p w14:paraId="00000307" w14:textId="77777777" w:rsidR="004F7DB3" w:rsidRPr="00263D2C" w:rsidRDefault="004F7DB3">
      <w:pPr>
        <w:spacing w:before="60" w:after="60" w:line="240" w:lineRule="auto"/>
        <w:jc w:val="both"/>
        <w:rPr>
          <w:color w:val="FFFFFF"/>
          <w:lang w:val="en-US"/>
        </w:rPr>
        <w:sectPr w:rsidR="004F7DB3" w:rsidRPr="00263D2C">
          <w:headerReference w:type="first" r:id="rId34"/>
          <w:pgSz w:w="16838" w:h="11906" w:orient="landscape"/>
          <w:pgMar w:top="1418" w:right="1418" w:bottom="1418" w:left="1418" w:header="709" w:footer="709" w:gutter="0"/>
          <w:cols w:space="720"/>
        </w:sectPr>
      </w:pPr>
    </w:p>
    <w:p w14:paraId="129D4A28" w14:textId="77777777" w:rsidR="00EA4B5E" w:rsidRPr="00EA2152" w:rsidRDefault="61254832" w:rsidP="00EA4B5E">
      <w:pPr>
        <w:spacing w:after="0" w:line="240" w:lineRule="auto"/>
        <w:jc w:val="both"/>
        <w:rPr>
          <w:lang w:val="en-US"/>
        </w:rPr>
      </w:pPr>
      <w:r w:rsidRPr="5D8904BE">
        <w:rPr>
          <w:lang w:val="en-US"/>
        </w:rPr>
        <w:lastRenderedPageBreak/>
        <w:t>Between the Project Identification Form (PIF) concept stage and the current formulation under the Project Preparation Grant (PPG), only one major change has been made to the project's components, outputs, and activities. Specifically, Component 4 in the PIF – “Scaling up private sector financing and engagement” – has been integrated transversally across the three technical components of the PPG: (</w:t>
      </w:r>
      <w:proofErr w:type="spellStart"/>
      <w:r w:rsidRPr="5D8904BE">
        <w:rPr>
          <w:lang w:val="en-US"/>
        </w:rPr>
        <w:t>i</w:t>
      </w:r>
      <w:proofErr w:type="spellEnd"/>
      <w:r w:rsidRPr="5D8904BE">
        <w:rPr>
          <w:lang w:val="en-US"/>
        </w:rPr>
        <w:t>) integrated urban planning and policy coherence, (ii) decarbonization of urban transport, and (iii) establishment of the green belt. This strategic reorganization was introduced to better embed private sector engagement within each of the core intervention areas, thereby creating a more conducive environment for private investment in integrated urban development and supporting sustainable innovation in urban service delivery and management.</w:t>
      </w:r>
    </w:p>
    <w:p w14:paraId="4EDDCA03" w14:textId="0FF55362" w:rsidR="24AA8F7E" w:rsidRDefault="24AA8F7E" w:rsidP="24AA8F7E">
      <w:pPr>
        <w:spacing w:after="0" w:line="240" w:lineRule="auto"/>
        <w:jc w:val="both"/>
        <w:rPr>
          <w:lang w:val="en-US"/>
        </w:rPr>
      </w:pPr>
    </w:p>
    <w:p w14:paraId="37329821" w14:textId="111E504B" w:rsidR="00EA4B5E" w:rsidRPr="00EA2152" w:rsidRDefault="5A119701" w:rsidP="00EA4B5E">
      <w:pPr>
        <w:spacing w:after="0" w:line="240" w:lineRule="auto"/>
        <w:jc w:val="both"/>
        <w:rPr>
          <w:lang w:val="en-US"/>
        </w:rPr>
      </w:pPr>
      <w:r w:rsidRPr="537FA187">
        <w:rPr>
          <w:lang w:val="en-US"/>
        </w:rPr>
        <w:t>Through this integrated approach, the project enhances the potential of the private sector to generate green jobs in strategic sectors such as sustainable mobility, urban biodiversity, and green infrastructure maintenance. It also strengthens local entrepreneurship in sustainable urban services, which is essential for driving the transition to a low-</w:t>
      </w:r>
      <w:proofErr w:type="gramStart"/>
      <w:r w:rsidRPr="537FA187">
        <w:rPr>
          <w:lang w:val="en-US"/>
        </w:rPr>
        <w:t xml:space="preserve">carbon, </w:t>
      </w:r>
      <w:r w:rsidR="02F8041D" w:rsidRPr="537FA187">
        <w:rPr>
          <w:lang w:val="en-US"/>
        </w:rPr>
        <w:t xml:space="preserve"> </w:t>
      </w:r>
      <w:r w:rsidR="31F7B5DB" w:rsidRPr="537FA187">
        <w:rPr>
          <w:lang w:val="en-US"/>
        </w:rPr>
        <w:t>inclusive</w:t>
      </w:r>
      <w:proofErr w:type="gramEnd"/>
      <w:r w:rsidR="31F7B5DB" w:rsidRPr="537FA187">
        <w:rPr>
          <w:lang w:val="en-US"/>
        </w:rPr>
        <w:t>,</w:t>
      </w:r>
      <w:r w:rsidRPr="537FA187">
        <w:rPr>
          <w:lang w:val="en-US"/>
        </w:rPr>
        <w:t xml:space="preserve"> and resilient urban economy.</w:t>
      </w:r>
    </w:p>
    <w:p w14:paraId="2B02FB49" w14:textId="77777777" w:rsidR="00EA4B5E" w:rsidRPr="00EA2152" w:rsidRDefault="55D3C3CC" w:rsidP="00EA4B5E">
      <w:pPr>
        <w:spacing w:after="0" w:line="240" w:lineRule="auto"/>
        <w:jc w:val="both"/>
        <w:rPr>
          <w:lang w:val="en-US"/>
        </w:rPr>
      </w:pPr>
      <w:r w:rsidRPr="5D8904BE">
        <w:rPr>
          <w:lang w:val="en-US"/>
        </w:rPr>
        <w:t>By embedding private sector engagement across all components, the project reinforces systemic sustainability objectives, consolidates the economic underpinnings of resilient urban development, and fosters a more robust and inclusive urban transformation for Bamako and Grand Bamako.</w:t>
      </w:r>
    </w:p>
    <w:p w14:paraId="2C6EFC6F" w14:textId="77777777" w:rsidR="00EA4B5E" w:rsidRPr="00EA2152" w:rsidRDefault="00EA4B5E" w:rsidP="00EA4B5E">
      <w:pPr>
        <w:spacing w:after="0" w:line="240" w:lineRule="auto"/>
        <w:jc w:val="both"/>
        <w:rPr>
          <w:i/>
          <w:iCs/>
          <w:sz w:val="20"/>
          <w:szCs w:val="20"/>
          <w:lang w:val="en-US"/>
        </w:rPr>
      </w:pPr>
    </w:p>
    <w:p w14:paraId="0AB43436" w14:textId="208F2D3E" w:rsidR="3C8408A9" w:rsidRDefault="3C8408A9" w:rsidP="51745E8D">
      <w:pPr>
        <w:spacing w:after="0" w:line="240" w:lineRule="auto"/>
        <w:jc w:val="both"/>
        <w:rPr>
          <w:i/>
          <w:iCs/>
          <w:sz w:val="20"/>
          <w:szCs w:val="20"/>
          <w:highlight w:val="green"/>
          <w:lang w:val="en-US"/>
        </w:rPr>
      </w:pPr>
    </w:p>
    <w:p w14:paraId="0000030A" w14:textId="2201B37A" w:rsidR="004F7DB3" w:rsidRPr="00600366" w:rsidRDefault="3F874463" w:rsidP="5D8904BE">
      <w:pPr>
        <w:pStyle w:val="Heading11"/>
        <w:rPr>
          <w:i/>
          <w:iCs/>
          <w:lang w:val="en-US"/>
        </w:rPr>
      </w:pPr>
      <w:bookmarkStart w:id="33" w:name="_Toc1261217756"/>
      <w:bookmarkStart w:id="34" w:name="_Toc200477834"/>
      <w:r w:rsidRPr="5D8904BE">
        <w:rPr>
          <w:lang w:val="en-US"/>
        </w:rPr>
        <w:t>S</w:t>
      </w:r>
      <w:r w:rsidR="6F3012C1" w:rsidRPr="5D8904BE">
        <w:rPr>
          <w:lang w:val="en-US"/>
        </w:rPr>
        <w:t>trategy</w:t>
      </w:r>
      <w:bookmarkEnd w:id="33"/>
      <w:bookmarkEnd w:id="34"/>
      <w:r w:rsidR="6F3012C1" w:rsidRPr="5D8904BE">
        <w:rPr>
          <w:lang w:val="en-US"/>
        </w:rPr>
        <w:t xml:space="preserve"> </w:t>
      </w:r>
    </w:p>
    <w:p w14:paraId="0000030C" w14:textId="77777777" w:rsidR="004F7DB3" w:rsidRPr="00B93ABE" w:rsidRDefault="496F1838" w:rsidP="007C12D2">
      <w:pPr>
        <w:rPr>
          <w:sz w:val="20"/>
          <w:szCs w:val="20"/>
          <w:u w:val="single"/>
          <w:lang w:val="en-US"/>
        </w:rPr>
      </w:pPr>
      <w:r w:rsidRPr="00B93ABE">
        <w:rPr>
          <w:sz w:val="20"/>
          <w:szCs w:val="20"/>
          <w:u w:val="single"/>
          <w:lang w:val="en-US"/>
        </w:rPr>
        <w:t xml:space="preserve">Programmatic approach: </w:t>
      </w:r>
    </w:p>
    <w:p w14:paraId="0000030D" w14:textId="75842493" w:rsidR="004F7DB3" w:rsidRPr="00B93ABE" w:rsidRDefault="4410E2E3" w:rsidP="3C8408A9">
      <w:pPr>
        <w:spacing w:before="240" w:after="240" w:line="240" w:lineRule="auto"/>
        <w:jc w:val="both"/>
        <w:rPr>
          <w:sz w:val="20"/>
          <w:szCs w:val="20"/>
          <w:lang w:val="en-US"/>
        </w:rPr>
      </w:pPr>
      <w:r w:rsidRPr="3E720D41">
        <w:rPr>
          <w:sz w:val="20"/>
          <w:szCs w:val="20"/>
          <w:lang w:val="en-US"/>
        </w:rPr>
        <w:t>The project is part of the Sustainable Cities</w:t>
      </w:r>
      <w:r w:rsidR="19976A19" w:rsidRPr="3E720D41">
        <w:rPr>
          <w:sz w:val="20"/>
          <w:szCs w:val="20"/>
          <w:lang w:val="en-US"/>
        </w:rPr>
        <w:t xml:space="preserve"> Integrated </w:t>
      </w:r>
      <w:proofErr w:type="spellStart"/>
      <w:r w:rsidR="19976A19" w:rsidRPr="3E720D41">
        <w:rPr>
          <w:sz w:val="20"/>
          <w:szCs w:val="20"/>
          <w:lang w:val="en-US"/>
        </w:rPr>
        <w:t>Programme</w:t>
      </w:r>
      <w:proofErr w:type="spellEnd"/>
      <w:r w:rsidRPr="3E720D41">
        <w:rPr>
          <w:sz w:val="20"/>
          <w:szCs w:val="20"/>
          <w:lang w:val="en-US"/>
        </w:rPr>
        <w:t>, a</w:t>
      </w:r>
      <w:r w:rsidR="1251C551" w:rsidRPr="3E720D41">
        <w:rPr>
          <w:sz w:val="20"/>
          <w:szCs w:val="20"/>
          <w:lang w:val="en-US"/>
        </w:rPr>
        <w:t>n</w:t>
      </w:r>
      <w:r w:rsidRPr="3E720D41">
        <w:rPr>
          <w:sz w:val="20"/>
          <w:szCs w:val="20"/>
          <w:lang w:val="en-US"/>
        </w:rPr>
        <w:t xml:space="preserve"> </w:t>
      </w:r>
      <w:proofErr w:type="gramStart"/>
      <w:r w:rsidRPr="3E720D41">
        <w:rPr>
          <w:sz w:val="20"/>
          <w:szCs w:val="20"/>
          <w:lang w:val="en-US"/>
        </w:rPr>
        <w:t xml:space="preserve">initiative </w:t>
      </w:r>
      <w:r w:rsidR="350E61EF" w:rsidRPr="3E720D41">
        <w:rPr>
          <w:sz w:val="20"/>
          <w:szCs w:val="20"/>
          <w:lang w:val="en-US"/>
        </w:rPr>
        <w:t xml:space="preserve"> </w:t>
      </w:r>
      <w:r w:rsidR="21BF078A" w:rsidRPr="3E720D41">
        <w:rPr>
          <w:sz w:val="20"/>
          <w:szCs w:val="20"/>
          <w:lang w:val="en-US"/>
        </w:rPr>
        <w:t>supported</w:t>
      </w:r>
      <w:proofErr w:type="gramEnd"/>
      <w:r w:rsidR="21BF078A" w:rsidRPr="3E720D41">
        <w:rPr>
          <w:sz w:val="20"/>
          <w:szCs w:val="20"/>
          <w:lang w:val="en-US"/>
        </w:rPr>
        <w:t xml:space="preserve"> by</w:t>
      </w:r>
      <w:r w:rsidRPr="3E720D41">
        <w:rPr>
          <w:sz w:val="20"/>
          <w:szCs w:val="20"/>
          <w:lang w:val="en-US"/>
        </w:rPr>
        <w:t xml:space="preserve"> the Global Environment Facility (GEF). This program brings together 20 beneficiary countries around the world, including 46 cities, including Bamako in Mali. It is based on a global platform designed to connect participating cities, facilitate knowledge exchange, and serve as a space for collaboration around sustainable urban planning. This programmatic approach aims to foster large-scale integrated urban transformation, promoting a strengthened sustainable development dynamic. By facilitating the exchange of experiences on private investment, as well as the sharing of knowledge and good practices from diverse urban contexts, the </w:t>
      </w:r>
      <w:proofErr w:type="spellStart"/>
      <w:r w:rsidRPr="3E720D41">
        <w:rPr>
          <w:sz w:val="20"/>
          <w:szCs w:val="20"/>
          <w:lang w:val="en-US"/>
        </w:rPr>
        <w:t>programme</w:t>
      </w:r>
      <w:proofErr w:type="spellEnd"/>
      <w:r w:rsidRPr="3E720D41">
        <w:rPr>
          <w:sz w:val="20"/>
          <w:szCs w:val="20"/>
          <w:lang w:val="en-US"/>
        </w:rPr>
        <w:t xml:space="preserve"> contributes to the creation of an ecosystem of knowledge and innovations for sustainable cities, in terms of investment, particularly private investment.</w:t>
      </w:r>
    </w:p>
    <w:p w14:paraId="0000030E" w14:textId="11B103E2" w:rsidR="004F7DB3" w:rsidRPr="00B93ABE" w:rsidRDefault="2809ADD6">
      <w:pPr>
        <w:spacing w:after="0" w:line="240" w:lineRule="auto"/>
        <w:jc w:val="both"/>
        <w:rPr>
          <w:sz w:val="20"/>
          <w:szCs w:val="20"/>
          <w:lang w:val="en-US"/>
        </w:rPr>
      </w:pPr>
      <w:r w:rsidRPr="00B93ABE">
        <w:rPr>
          <w:sz w:val="20"/>
          <w:szCs w:val="20"/>
          <w:lang w:val="en-US"/>
        </w:rPr>
        <w:t xml:space="preserve">The project will align with the </w:t>
      </w:r>
      <w:r w:rsidR="71C4D14D" w:rsidRPr="00B93ABE">
        <w:rPr>
          <w:sz w:val="20"/>
          <w:szCs w:val="20"/>
          <w:lang w:val="en-US"/>
        </w:rPr>
        <w:t xml:space="preserve">GEF-8 </w:t>
      </w:r>
      <w:r w:rsidRPr="00B93ABE">
        <w:rPr>
          <w:sz w:val="20"/>
          <w:szCs w:val="20"/>
          <w:lang w:val="en-US"/>
        </w:rPr>
        <w:t xml:space="preserve">Sustainable Cities </w:t>
      </w:r>
      <w:r w:rsidR="3EC40692" w:rsidRPr="00B93ABE">
        <w:rPr>
          <w:sz w:val="20"/>
          <w:szCs w:val="20"/>
          <w:lang w:val="en-US"/>
        </w:rPr>
        <w:t xml:space="preserve">Integrated </w:t>
      </w:r>
      <w:proofErr w:type="spellStart"/>
      <w:r w:rsidR="3EC40692" w:rsidRPr="00B93ABE">
        <w:rPr>
          <w:sz w:val="20"/>
          <w:szCs w:val="20"/>
          <w:lang w:val="en-US"/>
        </w:rPr>
        <w:t>Programme</w:t>
      </w:r>
      <w:proofErr w:type="spellEnd"/>
      <w:r w:rsidRPr="00B93ABE">
        <w:rPr>
          <w:sz w:val="20"/>
          <w:szCs w:val="20"/>
          <w:lang w:val="en-US"/>
        </w:rPr>
        <w:t xml:space="preserve"> to foster knowledge sharing, learning and synthesis of experiences in a multi-directional way </w:t>
      </w:r>
    </w:p>
    <w:p w14:paraId="0000030F" w14:textId="77777777" w:rsidR="004F7DB3" w:rsidRPr="00B93ABE" w:rsidRDefault="004F7DB3">
      <w:pPr>
        <w:spacing w:after="0" w:line="240" w:lineRule="auto"/>
        <w:jc w:val="both"/>
        <w:rPr>
          <w:sz w:val="20"/>
          <w:szCs w:val="20"/>
          <w:lang w:val="en-US"/>
        </w:rPr>
      </w:pPr>
    </w:p>
    <w:p w14:paraId="00000310" w14:textId="77777777" w:rsidR="004F7DB3" w:rsidRPr="00B93ABE" w:rsidRDefault="00C00123">
      <w:pPr>
        <w:spacing w:after="0" w:line="240" w:lineRule="auto"/>
        <w:jc w:val="both"/>
        <w:rPr>
          <w:b/>
          <w:i/>
          <w:sz w:val="20"/>
          <w:szCs w:val="20"/>
        </w:rPr>
      </w:pPr>
      <w:r w:rsidRPr="00B93ABE">
        <w:rPr>
          <w:b/>
          <w:i/>
          <w:noProof/>
          <w:sz w:val="20"/>
          <w:szCs w:val="20"/>
        </w:rPr>
        <w:drawing>
          <wp:inline distT="19050" distB="19050" distL="19050" distR="19050" wp14:anchorId="70B6B07A" wp14:editId="2B9D3048">
            <wp:extent cx="4319588" cy="2437157"/>
            <wp:effectExtent l="0" t="0" r="0" b="0"/>
            <wp:docPr id="1965395254" name="image9.png" descr="An image containing text, screenshot, software, computer icon&#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9.png" descr="Une image contenant texte, capture d’écran, logiciel, Icône d’ordinateur&#10;&#10;Le contenu généré par l’IA peut être incorrect."/>
                    <pic:cNvPicPr preferRelativeResize="0"/>
                  </pic:nvPicPr>
                  <pic:blipFill>
                    <a:blip r:embed="rId35"/>
                    <a:srcRect l="23627" t="15484" r="32806" b="40893"/>
                    <a:stretch>
                      <a:fillRect/>
                    </a:stretch>
                  </pic:blipFill>
                  <pic:spPr>
                    <a:xfrm>
                      <a:off x="0" y="0"/>
                      <a:ext cx="4319588" cy="2437157"/>
                    </a:xfrm>
                    <a:prstGeom prst="rect">
                      <a:avLst/>
                    </a:prstGeom>
                    <a:ln/>
                  </pic:spPr>
                </pic:pic>
              </a:graphicData>
            </a:graphic>
          </wp:inline>
        </w:drawing>
      </w:r>
    </w:p>
    <w:p w14:paraId="197FA3DE" w14:textId="3CF2BA94" w:rsidR="007B1410" w:rsidRPr="003A21B0" w:rsidRDefault="472B868E" w:rsidP="007B1410">
      <w:pPr>
        <w:keepNext/>
        <w:spacing w:after="200" w:line="276" w:lineRule="auto"/>
        <w:rPr>
          <w:sz w:val="20"/>
          <w:szCs w:val="20"/>
          <w:lang w:val="en-US"/>
        </w:rPr>
      </w:pPr>
      <w:r w:rsidRPr="00B93ABE">
        <w:rPr>
          <w:sz w:val="20"/>
          <w:szCs w:val="20"/>
          <w:lang w:val="en-US"/>
        </w:rPr>
        <w:lastRenderedPageBreak/>
        <w:t xml:space="preserve">The overall </w:t>
      </w:r>
      <w:proofErr w:type="spellStart"/>
      <w:r w:rsidRPr="00B93ABE">
        <w:rPr>
          <w:sz w:val="20"/>
          <w:szCs w:val="20"/>
          <w:lang w:val="en-US"/>
        </w:rPr>
        <w:t>programme</w:t>
      </w:r>
      <w:proofErr w:type="spellEnd"/>
      <w:r w:rsidRPr="00B93ABE">
        <w:rPr>
          <w:sz w:val="20"/>
          <w:szCs w:val="20"/>
          <w:lang w:val="en-US"/>
        </w:rPr>
        <w:t xml:space="preserve"> theory of change is mentioned </w:t>
      </w:r>
      <w:r w:rsidR="2B0A0A03" w:rsidRPr="1462A499">
        <w:rPr>
          <w:sz w:val="20"/>
          <w:szCs w:val="20"/>
          <w:lang w:val="en-US"/>
        </w:rPr>
        <w:t>below and</w:t>
      </w:r>
      <w:r w:rsidRPr="00B93ABE">
        <w:rPr>
          <w:sz w:val="20"/>
          <w:szCs w:val="20"/>
          <w:lang w:val="en-US"/>
        </w:rPr>
        <w:t xml:space="preserve"> is expected to contribute to the </w:t>
      </w:r>
      <w:proofErr w:type="gramStart"/>
      <w:r w:rsidRPr="00B93ABE">
        <w:rPr>
          <w:sz w:val="20"/>
          <w:szCs w:val="20"/>
          <w:lang w:val="en-US"/>
        </w:rPr>
        <w:t>ultimate goal</w:t>
      </w:r>
      <w:proofErr w:type="gramEnd"/>
      <w:r w:rsidRPr="00B93ABE">
        <w:rPr>
          <w:sz w:val="20"/>
          <w:szCs w:val="20"/>
          <w:lang w:val="en-US"/>
        </w:rPr>
        <w:t xml:space="preserve"> of GEF 8. </w:t>
      </w:r>
      <w:r w:rsidR="689A320F">
        <w:rPr>
          <w:noProof/>
        </w:rPr>
        <w:drawing>
          <wp:inline distT="0" distB="0" distL="0" distR="0" wp14:anchorId="48520CA7" wp14:editId="1FE01672">
            <wp:extent cx="5824538" cy="2921175"/>
            <wp:effectExtent l="0" t="0" r="0" b="0"/>
            <wp:docPr id="1965395256" name="image10.png" descr="An image containing text, screenshot, software, multimedia softwar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0.png" descr="Une image contenant texte, capture d’écran, logiciel, Logiciel multimédia&#10;&#10;Le contenu généré par l’IA peut être incorrect."/>
                    <pic:cNvPicPr preferRelativeResize="0"/>
                  </pic:nvPicPr>
                  <pic:blipFill>
                    <a:blip r:embed="rId36"/>
                    <a:srcRect l="23798" t="33778" r="23798" b="19565"/>
                    <a:stretch>
                      <a:fillRect/>
                    </a:stretch>
                  </pic:blipFill>
                  <pic:spPr>
                    <a:xfrm>
                      <a:off x="0" y="0"/>
                      <a:ext cx="5824538" cy="2921175"/>
                    </a:xfrm>
                    <a:prstGeom prst="rect">
                      <a:avLst/>
                    </a:prstGeom>
                    <a:ln/>
                  </pic:spPr>
                </pic:pic>
              </a:graphicData>
            </a:graphic>
          </wp:inline>
        </w:drawing>
      </w:r>
    </w:p>
    <w:p w14:paraId="00000311" w14:textId="14C297B7" w:rsidR="004F7DB3" w:rsidRPr="00B93ABE" w:rsidRDefault="007B1410" w:rsidP="007B1410">
      <w:pPr>
        <w:pStyle w:val="Lgende"/>
        <w:rPr>
          <w:rFonts w:ascii="Calibri" w:hAnsi="Calibri" w:cs="Calibri"/>
          <w:sz w:val="20"/>
          <w:szCs w:val="20"/>
          <w:lang w:val="en-US"/>
        </w:rPr>
      </w:pPr>
      <w:bookmarkStart w:id="35" w:name="_Toc199131205"/>
      <w:r w:rsidRPr="00B93ABE">
        <w:rPr>
          <w:rFonts w:ascii="Calibri" w:hAnsi="Calibri" w:cs="Calibri"/>
          <w:sz w:val="20"/>
          <w:szCs w:val="20"/>
          <w:lang w:val="en-US"/>
        </w:rPr>
        <w:t xml:space="preserve">Figure </w:t>
      </w:r>
      <w:r w:rsidRPr="00B93ABE">
        <w:rPr>
          <w:rFonts w:ascii="Calibri" w:hAnsi="Calibri" w:cs="Calibri"/>
          <w:sz w:val="20"/>
          <w:szCs w:val="20"/>
        </w:rPr>
        <w:fldChar w:fldCharType="begin"/>
      </w:r>
      <w:r w:rsidRPr="00B93ABE">
        <w:rPr>
          <w:rFonts w:ascii="Calibri" w:hAnsi="Calibri" w:cs="Calibri"/>
          <w:sz w:val="20"/>
          <w:szCs w:val="20"/>
          <w:lang w:val="en-US"/>
        </w:rPr>
        <w:instrText xml:space="preserve"> SEQ Figure \* ARABIC </w:instrText>
      </w:r>
      <w:r w:rsidRPr="00B93ABE">
        <w:rPr>
          <w:rFonts w:ascii="Calibri" w:hAnsi="Calibri" w:cs="Calibri"/>
          <w:sz w:val="20"/>
          <w:szCs w:val="20"/>
        </w:rPr>
        <w:fldChar w:fldCharType="separate"/>
      </w:r>
      <w:r w:rsidR="00A350E0">
        <w:rPr>
          <w:rFonts w:ascii="Calibri" w:hAnsi="Calibri" w:cs="Calibri"/>
          <w:noProof/>
          <w:sz w:val="20"/>
          <w:szCs w:val="20"/>
          <w:lang w:val="en-US"/>
        </w:rPr>
        <w:t>4</w:t>
      </w:r>
      <w:r w:rsidRPr="00B93ABE">
        <w:rPr>
          <w:rFonts w:ascii="Calibri" w:hAnsi="Calibri" w:cs="Calibri"/>
          <w:sz w:val="20"/>
          <w:szCs w:val="20"/>
        </w:rPr>
        <w:fldChar w:fldCharType="end"/>
      </w:r>
      <w:r w:rsidRPr="00B93ABE">
        <w:rPr>
          <w:rFonts w:ascii="Calibri" w:hAnsi="Calibri" w:cs="Calibri"/>
          <w:sz w:val="20"/>
          <w:szCs w:val="20"/>
          <w:lang w:val="en-US"/>
        </w:rPr>
        <w:t xml:space="preserve"> Theory of change of Global SC</w:t>
      </w:r>
      <w:r w:rsidRPr="00B93ABE">
        <w:rPr>
          <w:rFonts w:ascii="Calibri" w:hAnsi="Calibri" w:cs="Calibri"/>
          <w:noProof/>
          <w:sz w:val="20"/>
          <w:szCs w:val="20"/>
          <w:lang w:val="en-US"/>
        </w:rPr>
        <w:t>IP</w:t>
      </w:r>
      <w:bookmarkEnd w:id="35"/>
    </w:p>
    <w:p w14:paraId="00000312" w14:textId="77777777" w:rsidR="004F7DB3" w:rsidRPr="00B93ABE" w:rsidRDefault="004F7DB3">
      <w:pPr>
        <w:spacing w:after="200" w:line="276" w:lineRule="auto"/>
        <w:jc w:val="both"/>
        <w:rPr>
          <w:sz w:val="20"/>
          <w:szCs w:val="20"/>
          <w:highlight w:val="yellow"/>
          <w:lang w:val="en-US"/>
        </w:rPr>
      </w:pPr>
    </w:p>
    <w:p w14:paraId="00000313" w14:textId="77777777" w:rsidR="004F7DB3" w:rsidRPr="00B93ABE" w:rsidRDefault="00C00123">
      <w:pPr>
        <w:spacing w:after="200" w:line="276" w:lineRule="auto"/>
        <w:jc w:val="both"/>
        <w:rPr>
          <w:sz w:val="20"/>
          <w:szCs w:val="20"/>
          <w:u w:val="single"/>
          <w:lang w:val="en-US"/>
        </w:rPr>
      </w:pPr>
      <w:r w:rsidRPr="00B93ABE">
        <w:rPr>
          <w:sz w:val="20"/>
          <w:szCs w:val="20"/>
          <w:u w:val="single"/>
          <w:lang w:val="en-US"/>
        </w:rPr>
        <w:t>Alignment with GEF focal areas:</w:t>
      </w:r>
    </w:p>
    <w:p w14:paraId="00000314" w14:textId="77777777" w:rsidR="004F7DB3" w:rsidRPr="00E86501" w:rsidRDefault="5EEA7E72" w:rsidP="40E7FE84">
      <w:pPr>
        <w:spacing w:after="200" w:line="276" w:lineRule="auto"/>
        <w:jc w:val="both"/>
        <w:rPr>
          <w:sz w:val="20"/>
          <w:szCs w:val="20"/>
          <w:lang w:val="en-US"/>
        </w:rPr>
      </w:pPr>
      <w:r w:rsidRPr="00E86501">
        <w:rPr>
          <w:sz w:val="20"/>
          <w:szCs w:val="20"/>
          <w:lang w:val="en-US"/>
        </w:rPr>
        <w:t xml:space="preserve">The project aligns with the GEF 8 priorities of Sustainable Cities (Integrated </w:t>
      </w:r>
      <w:proofErr w:type="spellStart"/>
      <w:r w:rsidRPr="00E86501">
        <w:rPr>
          <w:sz w:val="20"/>
          <w:szCs w:val="20"/>
          <w:lang w:val="en-US"/>
        </w:rPr>
        <w:t>Programmes</w:t>
      </w:r>
      <w:proofErr w:type="spellEnd"/>
      <w:r w:rsidRPr="00E86501">
        <w:rPr>
          <w:sz w:val="20"/>
          <w:szCs w:val="20"/>
          <w:lang w:val="en-US"/>
        </w:rPr>
        <w:t>):</w:t>
      </w:r>
    </w:p>
    <w:p w14:paraId="00000315" w14:textId="52FB0285" w:rsidR="004F7DB3" w:rsidRPr="00B93ABE" w:rsidRDefault="728A6199" w:rsidP="001360BB">
      <w:pPr>
        <w:numPr>
          <w:ilvl w:val="0"/>
          <w:numId w:val="206"/>
        </w:numPr>
        <w:spacing w:after="0" w:line="276" w:lineRule="auto"/>
        <w:rPr>
          <w:sz w:val="20"/>
          <w:szCs w:val="20"/>
          <w:lang w:val="en-US"/>
        </w:rPr>
      </w:pPr>
      <w:r w:rsidRPr="58DE6BE5">
        <w:rPr>
          <w:sz w:val="20"/>
          <w:szCs w:val="20"/>
          <w:lang w:val="en-US"/>
        </w:rPr>
        <w:t>Support for the transition to low-carbon, resilient and environmentally friendly cities.</w:t>
      </w:r>
    </w:p>
    <w:p w14:paraId="00000316" w14:textId="77777777" w:rsidR="004F7DB3" w:rsidRPr="00B93ABE" w:rsidRDefault="5453FCD3" w:rsidP="001360BB">
      <w:pPr>
        <w:numPr>
          <w:ilvl w:val="0"/>
          <w:numId w:val="206"/>
        </w:numPr>
        <w:spacing w:after="240" w:line="276" w:lineRule="auto"/>
        <w:rPr>
          <w:sz w:val="20"/>
          <w:szCs w:val="20"/>
          <w:lang w:val="en-US"/>
        </w:rPr>
      </w:pPr>
      <w:r w:rsidRPr="58DE6BE5">
        <w:rPr>
          <w:sz w:val="20"/>
          <w:szCs w:val="20"/>
          <w:lang w:val="en-US"/>
        </w:rPr>
        <w:t>Integration of biodiversity, sustainable mobility and waste management into urban planning.</w:t>
      </w:r>
    </w:p>
    <w:p w14:paraId="00000317" w14:textId="77777777" w:rsidR="004F7DB3" w:rsidRPr="00B93ABE" w:rsidRDefault="00C00123">
      <w:pPr>
        <w:spacing w:after="200" w:line="276" w:lineRule="auto"/>
        <w:jc w:val="both"/>
        <w:rPr>
          <w:sz w:val="20"/>
          <w:szCs w:val="20"/>
          <w:lang w:val="en-US"/>
        </w:rPr>
      </w:pPr>
      <w:r w:rsidRPr="00B93ABE">
        <w:rPr>
          <w:sz w:val="20"/>
          <w:szCs w:val="20"/>
          <w:lang w:val="en-US"/>
        </w:rPr>
        <w:t>The project also responds to the priority of mobilizing the private sector and innovative financing as a lever to achieve the integrated urban development of sustainable cities.</w:t>
      </w:r>
    </w:p>
    <w:p w14:paraId="00000318" w14:textId="77777777" w:rsidR="004F7DB3" w:rsidRPr="00B93ABE" w:rsidRDefault="00C00123">
      <w:pPr>
        <w:spacing w:after="200" w:line="276" w:lineRule="auto"/>
        <w:jc w:val="both"/>
        <w:rPr>
          <w:b/>
          <w:sz w:val="20"/>
          <w:szCs w:val="20"/>
          <w:lang w:val="en-US"/>
        </w:rPr>
      </w:pPr>
      <w:r w:rsidRPr="00B93ABE">
        <w:rPr>
          <w:b/>
          <w:sz w:val="20"/>
          <w:szCs w:val="20"/>
          <w:lang w:val="en-US"/>
        </w:rPr>
        <w:t xml:space="preserve">Systemic and integrated approach to the project: </w:t>
      </w:r>
    </w:p>
    <w:p w14:paraId="00000319" w14:textId="77777777" w:rsidR="004F7DB3" w:rsidRPr="00B93ABE" w:rsidRDefault="00C00123">
      <w:pPr>
        <w:spacing w:before="240" w:after="240" w:line="276" w:lineRule="auto"/>
        <w:jc w:val="both"/>
        <w:rPr>
          <w:sz w:val="20"/>
          <w:szCs w:val="20"/>
          <w:lang w:val="en-US"/>
        </w:rPr>
      </w:pPr>
      <w:r w:rsidRPr="00B93ABE">
        <w:rPr>
          <w:sz w:val="20"/>
          <w:szCs w:val="20"/>
          <w:lang w:val="en-US"/>
        </w:rPr>
        <w:t>Bamako, a strategic engine of Mali's economic and social development, is facing rapid, often disorderly and insufficiently planned urbanization. This dynamic, while indicative of considerable demographic and economic potential, is accompanied by growing negative externalities: environmental degradation, widespread pollution, loss of biodiversity, and increased vulnerability to the effects of climate change. These structural issues compromise the quality of life of the inhabitants and slow down the emergence of a sustainable urban development trajectory.</w:t>
      </w:r>
    </w:p>
    <w:p w14:paraId="0000031A" w14:textId="029C87C7" w:rsidR="004F7DB3" w:rsidRPr="00B93ABE" w:rsidRDefault="37C4D076">
      <w:pPr>
        <w:spacing w:before="240" w:after="240" w:line="276" w:lineRule="auto"/>
        <w:jc w:val="both"/>
        <w:rPr>
          <w:sz w:val="20"/>
          <w:szCs w:val="20"/>
          <w:lang w:val="en-US"/>
        </w:rPr>
      </w:pPr>
      <w:r w:rsidRPr="537FA187">
        <w:rPr>
          <w:sz w:val="20"/>
          <w:szCs w:val="20"/>
          <w:lang w:val="en-US"/>
        </w:rPr>
        <w:t>In a context where initiatives often remain fragmented, without real intersectoral synergy, the Integrated Urban Development (</w:t>
      </w:r>
      <w:r w:rsidR="3CC563A0" w:rsidRPr="537FA187">
        <w:rPr>
          <w:sz w:val="20"/>
          <w:szCs w:val="20"/>
          <w:lang w:val="en-US"/>
        </w:rPr>
        <w:t>IUD</w:t>
      </w:r>
      <w:r w:rsidR="186A1028" w:rsidRPr="537FA187">
        <w:rPr>
          <w:sz w:val="20"/>
          <w:szCs w:val="20"/>
          <w:lang w:val="en-US"/>
        </w:rPr>
        <w:t>P</w:t>
      </w:r>
      <w:r w:rsidRPr="537FA187">
        <w:rPr>
          <w:sz w:val="20"/>
          <w:szCs w:val="20"/>
          <w:lang w:val="en-US"/>
        </w:rPr>
        <w:t xml:space="preserve">) aims to initiate a systemic and inclusive urban transformation in Bamako. It is based on a </w:t>
      </w:r>
      <w:r w:rsidR="2B1F2A15" w:rsidRPr="537FA187">
        <w:rPr>
          <w:sz w:val="20"/>
          <w:szCs w:val="20"/>
          <w:lang w:val="en-US"/>
        </w:rPr>
        <w:t>contextualized</w:t>
      </w:r>
      <w:r w:rsidRPr="537FA187">
        <w:rPr>
          <w:sz w:val="20"/>
          <w:szCs w:val="20"/>
          <w:lang w:val="en-US"/>
        </w:rPr>
        <w:t xml:space="preserve"> approach, aligned with national and local priorities, and rooted in an ambitious theory of change that is consistent with that of the overall agenda.</w:t>
      </w:r>
    </w:p>
    <w:p w14:paraId="0000031B" w14:textId="5789CE82" w:rsidR="004F7DB3" w:rsidRPr="00B93ABE" w:rsidRDefault="62E5DAA0">
      <w:pPr>
        <w:spacing w:before="240" w:after="240" w:line="276" w:lineRule="auto"/>
        <w:jc w:val="both"/>
        <w:rPr>
          <w:sz w:val="20"/>
          <w:szCs w:val="20"/>
          <w:lang w:val="en-US"/>
        </w:rPr>
      </w:pPr>
      <w:r w:rsidRPr="3E720D41">
        <w:rPr>
          <w:sz w:val="20"/>
          <w:szCs w:val="20"/>
          <w:lang w:val="en-US"/>
        </w:rPr>
        <w:t>To implement</w:t>
      </w:r>
      <w:r w:rsidR="1538DC2E" w:rsidRPr="3E720D41">
        <w:rPr>
          <w:sz w:val="20"/>
          <w:szCs w:val="20"/>
          <w:lang w:val="en-US"/>
        </w:rPr>
        <w:t xml:space="preserve"> this ambitious transformation</w:t>
      </w:r>
      <w:r w:rsidR="7C558FA0" w:rsidRPr="3E720D41">
        <w:rPr>
          <w:sz w:val="20"/>
          <w:szCs w:val="20"/>
          <w:lang w:val="en-US"/>
        </w:rPr>
        <w:t xml:space="preserve">, the </w:t>
      </w:r>
      <w:r w:rsidR="4DDA21FA" w:rsidRPr="3E720D41">
        <w:rPr>
          <w:sz w:val="20"/>
          <w:szCs w:val="20"/>
          <w:lang w:val="en-US"/>
        </w:rPr>
        <w:t xml:space="preserve">project </w:t>
      </w:r>
      <w:r w:rsidR="7C558FA0" w:rsidRPr="3E720D41">
        <w:rPr>
          <w:sz w:val="20"/>
          <w:szCs w:val="20"/>
          <w:lang w:val="en-US"/>
        </w:rPr>
        <w:t xml:space="preserve">aims to promote integrated, equitable and climate-resilient urban planning, </w:t>
      </w:r>
      <w:r w:rsidR="40D4FBE7" w:rsidRPr="3E720D41">
        <w:rPr>
          <w:sz w:val="20"/>
          <w:szCs w:val="20"/>
          <w:lang w:val="en-US"/>
        </w:rPr>
        <w:t>including</w:t>
      </w:r>
      <w:r w:rsidR="7C558FA0" w:rsidRPr="3E720D41">
        <w:rPr>
          <w:sz w:val="20"/>
          <w:szCs w:val="20"/>
          <w:lang w:val="en-US"/>
        </w:rPr>
        <w:t xml:space="preserve"> nature-based solutions, such as the creation of a strategic green belt. This will have the function of </w:t>
      </w:r>
      <w:r w:rsidR="0B23BB48" w:rsidRPr="3E720D41">
        <w:rPr>
          <w:sz w:val="20"/>
          <w:szCs w:val="20"/>
          <w:lang w:val="en-US"/>
        </w:rPr>
        <w:t>address</w:t>
      </w:r>
      <w:r w:rsidR="7C558FA0" w:rsidRPr="3E720D41">
        <w:rPr>
          <w:sz w:val="20"/>
          <w:szCs w:val="20"/>
          <w:lang w:val="en-US"/>
        </w:rPr>
        <w:t xml:space="preserve">ing anarchic urban sprawl, preserving peripheral natural ecosystems and strengthening the ecological resilience of the city. It also intends to stimulate the development of sustainable </w:t>
      </w:r>
      <w:r w:rsidR="7C558FA0" w:rsidRPr="3E720D41">
        <w:rPr>
          <w:sz w:val="20"/>
          <w:szCs w:val="20"/>
          <w:lang w:val="en-US"/>
        </w:rPr>
        <w:lastRenderedPageBreak/>
        <w:t xml:space="preserve">infrastructure, in particular the sustainable transport and electric mobility sector, through the revitalization of public-private partnerships, considered as levers for innovation, scaling up and mobilization of financing. The project contributes to the reduction of territorial and social inequalities in Bamako, by guaranteeing equitable access to essential urban services in a logic of social cohesion and sustainability. It addresses as a </w:t>
      </w:r>
      <w:r w:rsidR="3C5267F9" w:rsidRPr="3E720D41">
        <w:rPr>
          <w:sz w:val="20"/>
          <w:szCs w:val="20"/>
          <w:lang w:val="en-US"/>
        </w:rPr>
        <w:t>priority</w:t>
      </w:r>
      <w:r w:rsidR="43CB2B45" w:rsidRPr="3E720D41">
        <w:rPr>
          <w:sz w:val="20"/>
          <w:szCs w:val="20"/>
          <w:lang w:val="en-US"/>
        </w:rPr>
        <w:t xml:space="preserve"> tackling</w:t>
      </w:r>
      <w:r w:rsidR="7C558FA0" w:rsidRPr="3E720D41">
        <w:rPr>
          <w:sz w:val="20"/>
          <w:szCs w:val="20"/>
          <w:lang w:val="en-US"/>
        </w:rPr>
        <w:t xml:space="preserve"> the institutional and regulatory fragmentation that hinders the effectiveness of public action in terms of urban governance.</w:t>
      </w:r>
    </w:p>
    <w:p w14:paraId="0000031C" w14:textId="77777777" w:rsidR="004F7DB3" w:rsidRPr="00B93ABE" w:rsidRDefault="00C00123">
      <w:pPr>
        <w:spacing w:after="200" w:line="276" w:lineRule="auto"/>
        <w:jc w:val="center"/>
        <w:rPr>
          <w:sz w:val="20"/>
          <w:szCs w:val="20"/>
        </w:rPr>
      </w:pPr>
      <w:r w:rsidRPr="00B93ABE">
        <w:rPr>
          <w:noProof/>
          <w:sz w:val="20"/>
          <w:szCs w:val="20"/>
        </w:rPr>
        <w:drawing>
          <wp:inline distT="114300" distB="114300" distL="114300" distR="114300" wp14:anchorId="6655F9CD" wp14:editId="0B5D23B7">
            <wp:extent cx="3812354" cy="2156668"/>
            <wp:effectExtent l="0" t="0" r="0" b="0"/>
            <wp:docPr id="1965395255" name="image12.png" descr="An image containing text, screenshot, font, graphic design&#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2.png" descr="Une image contenant texte, capture d’écran, Police, graphisme&#10;&#10;Le contenu généré par l’IA peut être incorrect."/>
                    <pic:cNvPicPr preferRelativeResize="0"/>
                  </pic:nvPicPr>
                  <pic:blipFill>
                    <a:blip r:embed="rId37"/>
                    <a:srcRect/>
                    <a:stretch>
                      <a:fillRect/>
                    </a:stretch>
                  </pic:blipFill>
                  <pic:spPr>
                    <a:xfrm>
                      <a:off x="0" y="0"/>
                      <a:ext cx="3812354" cy="2156668"/>
                    </a:xfrm>
                    <a:prstGeom prst="rect">
                      <a:avLst/>
                    </a:prstGeom>
                    <a:ln/>
                  </pic:spPr>
                </pic:pic>
              </a:graphicData>
            </a:graphic>
          </wp:inline>
        </w:drawing>
      </w:r>
    </w:p>
    <w:p w14:paraId="0000031D" w14:textId="0CD5A354" w:rsidR="004F7DB3" w:rsidRPr="00B93ABE" w:rsidRDefault="6DEC1BA7">
      <w:pPr>
        <w:spacing w:before="240" w:after="240" w:line="276" w:lineRule="auto"/>
        <w:jc w:val="both"/>
        <w:rPr>
          <w:sz w:val="20"/>
          <w:szCs w:val="20"/>
          <w:lang w:val="en-US"/>
        </w:rPr>
      </w:pPr>
      <w:proofErr w:type="gramStart"/>
      <w:r w:rsidRPr="5D8904BE">
        <w:rPr>
          <w:sz w:val="20"/>
          <w:szCs w:val="20"/>
          <w:lang w:val="en-US"/>
        </w:rPr>
        <w:t>With this in mind, the</w:t>
      </w:r>
      <w:proofErr w:type="gramEnd"/>
      <w:r w:rsidRPr="5D8904BE">
        <w:rPr>
          <w:sz w:val="20"/>
          <w:szCs w:val="20"/>
          <w:lang w:val="en-US"/>
        </w:rPr>
        <w:t xml:space="preserve"> "</w:t>
      </w:r>
      <w:r w:rsidR="558D46D1" w:rsidRPr="5D8904BE">
        <w:rPr>
          <w:sz w:val="20"/>
          <w:szCs w:val="20"/>
          <w:lang w:val="en-US"/>
        </w:rPr>
        <w:t xml:space="preserve">Integrated </w:t>
      </w:r>
      <w:r w:rsidRPr="5D8904BE">
        <w:rPr>
          <w:sz w:val="20"/>
          <w:szCs w:val="20"/>
          <w:lang w:val="en-US"/>
        </w:rPr>
        <w:t>Urban Development in Bamako" project will intervene to correct structural dysfunctions by strengthening institutional leadership and promoting the harmonization of urban planning policies. Particular attention will be paid to Bamako's strategic potential in three key areas: (</w:t>
      </w:r>
      <w:proofErr w:type="spellStart"/>
      <w:r w:rsidRPr="5D8904BE">
        <w:rPr>
          <w:sz w:val="20"/>
          <w:szCs w:val="20"/>
          <w:lang w:val="en-US"/>
        </w:rPr>
        <w:t>i</w:t>
      </w:r>
      <w:proofErr w:type="spellEnd"/>
      <w:r w:rsidRPr="5D8904BE">
        <w:rPr>
          <w:sz w:val="20"/>
          <w:szCs w:val="20"/>
          <w:lang w:val="en-US"/>
        </w:rPr>
        <w:t xml:space="preserve">) sustainable transport, through the adoption of low-carbon solutions; (ii) the preservation of urban biodiversity, through the integration of nature-based solutions; </w:t>
      </w:r>
      <w:r w:rsidR="4F00FDBD" w:rsidRPr="5D8904BE">
        <w:rPr>
          <w:sz w:val="20"/>
          <w:szCs w:val="20"/>
          <w:lang w:val="en-US"/>
        </w:rPr>
        <w:t xml:space="preserve">and </w:t>
      </w:r>
      <w:r w:rsidRPr="5D8904BE">
        <w:rPr>
          <w:sz w:val="20"/>
          <w:szCs w:val="20"/>
          <w:lang w:val="en-US"/>
        </w:rPr>
        <w:t xml:space="preserve">(iii) the mobilization of innovative financing, </w:t>
      </w:r>
      <w:proofErr w:type="gramStart"/>
      <w:r w:rsidRPr="5D8904BE">
        <w:rPr>
          <w:sz w:val="20"/>
          <w:szCs w:val="20"/>
          <w:lang w:val="en-US"/>
        </w:rPr>
        <w:t>in particular through</w:t>
      </w:r>
      <w:proofErr w:type="gramEnd"/>
      <w:r w:rsidRPr="5D8904BE">
        <w:rPr>
          <w:sz w:val="20"/>
          <w:szCs w:val="20"/>
          <w:lang w:val="en-US"/>
        </w:rPr>
        <w:t xml:space="preserve"> the involvement of the private sector.</w:t>
      </w:r>
    </w:p>
    <w:p w14:paraId="0000031E" w14:textId="77777777" w:rsidR="004F7DB3" w:rsidRPr="00B93ABE" w:rsidRDefault="552CE4D7">
      <w:pPr>
        <w:spacing w:before="240" w:after="240" w:line="276" w:lineRule="auto"/>
        <w:jc w:val="both"/>
        <w:rPr>
          <w:sz w:val="20"/>
          <w:szCs w:val="20"/>
          <w:lang w:val="en-US"/>
        </w:rPr>
      </w:pPr>
      <w:r w:rsidRPr="5D8904BE">
        <w:rPr>
          <w:sz w:val="20"/>
          <w:szCs w:val="20"/>
          <w:lang w:val="en-US"/>
        </w:rPr>
        <w:t>These interventions aim to stimulate innovation, knowledge sharing and equitable access to essential urban services. They will also contribute to strengthening territorial resilience and the quality of life of populations, while ensuring social inclusiveness and equality between women and men (see figure above). The project offers potential to create sustainable green jobs, especially for youth and women, while improving equitable access to urban services. The structuring of the transport sector and the promotion of the green belt will contribute to improving the quality of life, strengthening climate resilience and reducing territorial and social inequalities.</w:t>
      </w:r>
    </w:p>
    <w:p w14:paraId="0000031F" w14:textId="2EA35E51" w:rsidR="004F7DB3" w:rsidRPr="00B93ABE" w:rsidRDefault="352EB93F" w:rsidP="003B7FC6">
      <w:pPr>
        <w:spacing w:after="0" w:line="240" w:lineRule="auto"/>
        <w:jc w:val="both"/>
        <w:rPr>
          <w:sz w:val="20"/>
          <w:szCs w:val="20"/>
          <w:lang w:val="en-US"/>
        </w:rPr>
      </w:pPr>
      <w:r w:rsidRPr="5D8904BE">
        <w:rPr>
          <w:sz w:val="20"/>
          <w:szCs w:val="20"/>
          <w:lang w:val="en-US"/>
        </w:rPr>
        <w:t xml:space="preserve">By combining environmental and social objectives, the project contributes directly to SDGs 1 (poverty eradication), 5 (gender equality), </w:t>
      </w:r>
      <w:r w:rsidR="4B01A058" w:rsidRPr="5D8904BE">
        <w:rPr>
          <w:sz w:val="20"/>
          <w:szCs w:val="20"/>
          <w:lang w:val="en-US"/>
        </w:rPr>
        <w:t>9 (building resilient infrastruct</w:t>
      </w:r>
      <w:r w:rsidR="1CDE971C" w:rsidRPr="5D8904BE">
        <w:rPr>
          <w:sz w:val="20"/>
          <w:szCs w:val="20"/>
          <w:lang w:val="en-US"/>
        </w:rPr>
        <w:t>ure, promote inclusive and sustainable industrialization and foster in</w:t>
      </w:r>
      <w:r w:rsidR="6F2C8EEE" w:rsidRPr="5D8904BE">
        <w:rPr>
          <w:sz w:val="20"/>
          <w:szCs w:val="20"/>
          <w:lang w:val="en-US"/>
        </w:rPr>
        <w:t xml:space="preserve">novation), 10 (reduce inequality within and among countries), </w:t>
      </w:r>
      <w:r w:rsidRPr="5D8904BE">
        <w:rPr>
          <w:sz w:val="20"/>
          <w:szCs w:val="20"/>
          <w:lang w:val="en-US"/>
        </w:rPr>
        <w:t>11 (sustainable cities)</w:t>
      </w:r>
      <w:r w:rsidR="6F2C8EEE" w:rsidRPr="5D8904BE">
        <w:rPr>
          <w:sz w:val="20"/>
          <w:szCs w:val="20"/>
          <w:lang w:val="en-US"/>
        </w:rPr>
        <w:t xml:space="preserve">, 12 (responsible </w:t>
      </w:r>
      <w:r w:rsidR="1133C49B" w:rsidRPr="5D8904BE">
        <w:rPr>
          <w:sz w:val="20"/>
          <w:szCs w:val="20"/>
          <w:lang w:val="en-US"/>
        </w:rPr>
        <w:t xml:space="preserve">consumption and production), </w:t>
      </w:r>
      <w:r w:rsidRPr="5D8904BE">
        <w:rPr>
          <w:sz w:val="20"/>
          <w:szCs w:val="20"/>
          <w:lang w:val="en-US"/>
        </w:rPr>
        <w:t>13 (climate action)</w:t>
      </w:r>
      <w:r w:rsidR="1BB205A6" w:rsidRPr="5D8904BE">
        <w:rPr>
          <w:sz w:val="20"/>
          <w:szCs w:val="20"/>
          <w:lang w:val="en-US"/>
        </w:rPr>
        <w:t xml:space="preserve"> and 15 (protect, restore and promote sustainable use of terrestrial ecosystems</w:t>
      </w:r>
      <w:r w:rsidR="34F291CA" w:rsidRPr="5D8904BE">
        <w:rPr>
          <w:sz w:val="20"/>
          <w:szCs w:val="20"/>
          <w:lang w:val="en-US"/>
        </w:rPr>
        <w:t xml:space="preserve">, sustainably managed forest, combat desertification and halt and reverse land degradation and halt biodiversity loss). </w:t>
      </w:r>
      <w:r w:rsidRPr="5D8904BE">
        <w:rPr>
          <w:sz w:val="20"/>
          <w:szCs w:val="20"/>
          <w:lang w:val="en-US"/>
        </w:rPr>
        <w:t>.</w:t>
      </w:r>
    </w:p>
    <w:p w14:paraId="00000320" w14:textId="77777777" w:rsidR="004F7DB3" w:rsidRPr="00B93ABE" w:rsidRDefault="472B868E">
      <w:pPr>
        <w:spacing w:before="240" w:after="240" w:line="276" w:lineRule="auto"/>
        <w:jc w:val="both"/>
        <w:rPr>
          <w:sz w:val="20"/>
          <w:szCs w:val="20"/>
          <w:lang w:val="en-US"/>
        </w:rPr>
      </w:pPr>
      <w:r w:rsidRPr="5D8904BE">
        <w:rPr>
          <w:sz w:val="20"/>
          <w:szCs w:val="20"/>
          <w:lang w:val="en-US"/>
        </w:rPr>
        <w:t>It is also aligned with national and international frameworks and strategies and intends to be complementary to other important initiatives in Bamako, in particular the Resilience project National and international frameworks, policies and strategies to which the integrated urban development project in Bamako is aligned:</w:t>
      </w:r>
    </w:p>
    <w:p w14:paraId="43B4090B" w14:textId="72F39526" w:rsidR="004F7DB3" w:rsidRPr="00B93ABE" w:rsidRDefault="02296B90" w:rsidP="001360BB">
      <w:pPr>
        <w:numPr>
          <w:ilvl w:val="0"/>
          <w:numId w:val="207"/>
        </w:numPr>
        <w:spacing w:before="240" w:after="0" w:line="276" w:lineRule="auto"/>
        <w:rPr>
          <w:color w:val="000000" w:themeColor="text1"/>
          <w:sz w:val="20"/>
          <w:szCs w:val="20"/>
          <w:lang w:val="en-US"/>
        </w:rPr>
      </w:pPr>
      <w:r w:rsidRPr="5D8904BE">
        <w:rPr>
          <w:b/>
          <w:bCs/>
          <w:color w:val="000000" w:themeColor="text1"/>
          <w:sz w:val="20"/>
          <w:szCs w:val="20"/>
          <w:lang w:val="en-US"/>
        </w:rPr>
        <w:t xml:space="preserve">The National Strategic Vision "Mali Kura </w:t>
      </w:r>
      <w:proofErr w:type="spellStart"/>
      <w:r w:rsidRPr="5D8904BE">
        <w:rPr>
          <w:b/>
          <w:bCs/>
          <w:color w:val="000000" w:themeColor="text1"/>
          <w:sz w:val="20"/>
          <w:szCs w:val="20"/>
          <w:lang w:val="en-US"/>
        </w:rPr>
        <w:t>Ɲɛtaasira</w:t>
      </w:r>
      <w:proofErr w:type="spellEnd"/>
      <w:r w:rsidRPr="5D8904BE">
        <w:rPr>
          <w:b/>
          <w:bCs/>
          <w:color w:val="000000" w:themeColor="text1"/>
          <w:sz w:val="20"/>
          <w:szCs w:val="20"/>
          <w:lang w:val="en-US"/>
        </w:rPr>
        <w:t xml:space="preserve"> ka </w:t>
      </w:r>
      <w:proofErr w:type="spellStart"/>
      <w:r w:rsidRPr="5D8904BE">
        <w:rPr>
          <w:b/>
          <w:bCs/>
          <w:color w:val="000000" w:themeColor="text1"/>
          <w:sz w:val="20"/>
          <w:szCs w:val="20"/>
          <w:lang w:val="en-US"/>
        </w:rPr>
        <w:t>bɛn</w:t>
      </w:r>
      <w:proofErr w:type="spellEnd"/>
      <w:r w:rsidRPr="5D8904BE">
        <w:rPr>
          <w:b/>
          <w:bCs/>
          <w:color w:val="000000" w:themeColor="text1"/>
          <w:sz w:val="20"/>
          <w:szCs w:val="20"/>
          <w:lang w:val="en-US"/>
        </w:rPr>
        <w:t xml:space="preserve"> </w:t>
      </w:r>
      <w:proofErr w:type="spellStart"/>
      <w:r w:rsidRPr="5D8904BE">
        <w:rPr>
          <w:b/>
          <w:bCs/>
          <w:color w:val="000000" w:themeColor="text1"/>
          <w:sz w:val="20"/>
          <w:szCs w:val="20"/>
          <w:lang w:val="en-US"/>
        </w:rPr>
        <w:t>san</w:t>
      </w:r>
      <w:proofErr w:type="spellEnd"/>
      <w:r w:rsidRPr="5D8904BE">
        <w:rPr>
          <w:b/>
          <w:bCs/>
          <w:color w:val="000000" w:themeColor="text1"/>
          <w:sz w:val="20"/>
          <w:szCs w:val="20"/>
          <w:lang w:val="en-US"/>
        </w:rPr>
        <w:t xml:space="preserve"> 2063 ma"</w:t>
      </w:r>
      <w:r w:rsidR="723A059A" w:rsidRPr="006F5E1D">
        <w:rPr>
          <w:lang w:val="en-US"/>
        </w:rPr>
        <w:br/>
      </w:r>
      <w:r w:rsidRPr="5D8904BE">
        <w:rPr>
          <w:color w:val="000000" w:themeColor="text1"/>
          <w:sz w:val="20"/>
          <w:szCs w:val="20"/>
          <w:lang w:val="en-US"/>
        </w:rPr>
        <w:t xml:space="preserve">On April 17, 2025, the Government of Mali officially presented its long-term development framework, the "Mali Kura 2063 Vision", to Technical and Financial Partners, including the United Nations System in Mali. This strategic vision is operationalized through eleven flagship, structuring projects and is </w:t>
      </w:r>
      <w:r w:rsidRPr="5D8904BE">
        <w:rPr>
          <w:color w:val="000000" w:themeColor="text1"/>
          <w:sz w:val="20"/>
          <w:szCs w:val="20"/>
          <w:lang w:val="en-US"/>
        </w:rPr>
        <w:lastRenderedPageBreak/>
        <w:t>underpinned by the National Sustainable Development Strategy (SNEDD) 2024–2033, which is organized around five strategic pillars:</w:t>
      </w:r>
    </w:p>
    <w:p w14:paraId="0F2EC1AC" w14:textId="4592DCE7" w:rsidR="004F7DB3" w:rsidRPr="00B93ABE" w:rsidRDefault="723A059A" w:rsidP="001360BB">
      <w:pPr>
        <w:pStyle w:val="Pieddepage"/>
        <w:numPr>
          <w:ilvl w:val="1"/>
          <w:numId w:val="207"/>
        </w:numPr>
        <w:tabs>
          <w:tab w:val="center" w:pos="4320"/>
          <w:tab w:val="right" w:pos="8640"/>
        </w:tabs>
        <w:ind w:right="180"/>
        <w:rPr>
          <w:color w:val="000000" w:themeColor="text1"/>
          <w:sz w:val="20"/>
          <w:szCs w:val="20"/>
          <w:lang w:val="en-US"/>
        </w:rPr>
      </w:pPr>
      <w:r w:rsidRPr="00B93ABE">
        <w:rPr>
          <w:color w:val="000000" w:themeColor="text1"/>
          <w:sz w:val="20"/>
          <w:szCs w:val="20"/>
          <w:lang w:val="en-US"/>
        </w:rPr>
        <w:t xml:space="preserve">Strengthening national sovereignty and </w:t>
      </w:r>
      <w:proofErr w:type="gramStart"/>
      <w:r w:rsidRPr="00B93ABE">
        <w:rPr>
          <w:color w:val="000000" w:themeColor="text1"/>
          <w:sz w:val="20"/>
          <w:szCs w:val="20"/>
          <w:lang w:val="en-US"/>
        </w:rPr>
        <w:t>peace;</w:t>
      </w:r>
      <w:proofErr w:type="gramEnd"/>
    </w:p>
    <w:p w14:paraId="5FA67FE8" w14:textId="43F04DE9" w:rsidR="004F7DB3" w:rsidRPr="00B93ABE" w:rsidRDefault="02296B90" w:rsidP="001360BB">
      <w:pPr>
        <w:pStyle w:val="Pieddepage"/>
        <w:numPr>
          <w:ilvl w:val="1"/>
          <w:numId w:val="207"/>
        </w:numPr>
        <w:tabs>
          <w:tab w:val="center" w:pos="4320"/>
          <w:tab w:val="right" w:pos="8640"/>
        </w:tabs>
        <w:ind w:right="180"/>
        <w:rPr>
          <w:color w:val="000000" w:themeColor="text1"/>
          <w:sz w:val="20"/>
          <w:szCs w:val="20"/>
          <w:lang w:val="en-US"/>
        </w:rPr>
      </w:pPr>
      <w:proofErr w:type="spellStart"/>
      <w:r w:rsidRPr="5D8904BE">
        <w:rPr>
          <w:color w:val="000000" w:themeColor="text1"/>
          <w:sz w:val="20"/>
          <w:szCs w:val="20"/>
        </w:rPr>
        <w:t>Rebuilding</w:t>
      </w:r>
      <w:proofErr w:type="spellEnd"/>
      <w:r w:rsidRPr="5D8904BE">
        <w:rPr>
          <w:color w:val="000000" w:themeColor="text1"/>
          <w:sz w:val="20"/>
          <w:szCs w:val="20"/>
        </w:rPr>
        <w:t xml:space="preserve"> </w:t>
      </w:r>
      <w:proofErr w:type="spellStart"/>
      <w:r w:rsidRPr="5D8904BE">
        <w:rPr>
          <w:color w:val="000000" w:themeColor="text1"/>
          <w:sz w:val="20"/>
          <w:szCs w:val="20"/>
        </w:rPr>
        <w:t>governance</w:t>
      </w:r>
      <w:proofErr w:type="spellEnd"/>
      <w:r w:rsidRPr="5D8904BE">
        <w:rPr>
          <w:color w:val="000000" w:themeColor="text1"/>
          <w:sz w:val="20"/>
          <w:szCs w:val="20"/>
        </w:rPr>
        <w:t xml:space="preserve"> </w:t>
      </w:r>
      <w:proofErr w:type="spellStart"/>
      <w:proofErr w:type="gramStart"/>
      <w:r w:rsidRPr="5D8904BE">
        <w:rPr>
          <w:color w:val="000000" w:themeColor="text1"/>
          <w:sz w:val="20"/>
          <w:szCs w:val="20"/>
        </w:rPr>
        <w:t>systems</w:t>
      </w:r>
      <w:proofErr w:type="spellEnd"/>
      <w:r w:rsidRPr="5D8904BE">
        <w:rPr>
          <w:color w:val="000000" w:themeColor="text1"/>
          <w:sz w:val="20"/>
          <w:szCs w:val="20"/>
        </w:rPr>
        <w:t>;</w:t>
      </w:r>
      <w:proofErr w:type="gramEnd"/>
    </w:p>
    <w:p w14:paraId="42EC17AF" w14:textId="4DBF2567" w:rsidR="004F7DB3" w:rsidRPr="00B93ABE" w:rsidRDefault="02296B90" w:rsidP="001360BB">
      <w:pPr>
        <w:pStyle w:val="Pieddepage"/>
        <w:numPr>
          <w:ilvl w:val="1"/>
          <w:numId w:val="207"/>
        </w:numPr>
        <w:tabs>
          <w:tab w:val="center" w:pos="4320"/>
          <w:tab w:val="right" w:pos="8640"/>
        </w:tabs>
        <w:ind w:right="180"/>
        <w:rPr>
          <w:color w:val="000000" w:themeColor="text1"/>
          <w:sz w:val="20"/>
          <w:szCs w:val="20"/>
          <w:lang w:val="en-US"/>
        </w:rPr>
      </w:pPr>
      <w:r w:rsidRPr="5D8904BE">
        <w:rPr>
          <w:color w:val="000000" w:themeColor="text1"/>
          <w:sz w:val="20"/>
          <w:szCs w:val="20"/>
        </w:rPr>
        <w:t xml:space="preserve">Driving </w:t>
      </w:r>
      <w:proofErr w:type="spellStart"/>
      <w:r w:rsidRPr="5D8904BE">
        <w:rPr>
          <w:color w:val="000000" w:themeColor="text1"/>
          <w:sz w:val="20"/>
          <w:szCs w:val="20"/>
        </w:rPr>
        <w:t>sustainable</w:t>
      </w:r>
      <w:proofErr w:type="spellEnd"/>
      <w:r w:rsidRPr="5D8904BE">
        <w:rPr>
          <w:color w:val="000000" w:themeColor="text1"/>
          <w:sz w:val="20"/>
          <w:szCs w:val="20"/>
        </w:rPr>
        <w:t xml:space="preserve"> </w:t>
      </w:r>
      <w:proofErr w:type="spellStart"/>
      <w:r w:rsidRPr="5D8904BE">
        <w:rPr>
          <w:color w:val="000000" w:themeColor="text1"/>
          <w:sz w:val="20"/>
          <w:szCs w:val="20"/>
        </w:rPr>
        <w:t>economic</w:t>
      </w:r>
      <w:proofErr w:type="spellEnd"/>
      <w:r w:rsidRPr="5D8904BE">
        <w:rPr>
          <w:color w:val="000000" w:themeColor="text1"/>
          <w:sz w:val="20"/>
          <w:szCs w:val="20"/>
        </w:rPr>
        <w:t xml:space="preserve"> </w:t>
      </w:r>
      <w:proofErr w:type="gramStart"/>
      <w:r w:rsidRPr="5D8904BE">
        <w:rPr>
          <w:color w:val="000000" w:themeColor="text1"/>
          <w:sz w:val="20"/>
          <w:szCs w:val="20"/>
        </w:rPr>
        <w:t>transformation;</w:t>
      </w:r>
      <w:proofErr w:type="gramEnd"/>
    </w:p>
    <w:p w14:paraId="643D7A33" w14:textId="7EF80BAF" w:rsidR="004F7DB3" w:rsidRPr="00B93ABE" w:rsidRDefault="723A059A" w:rsidP="001360BB">
      <w:pPr>
        <w:pStyle w:val="Pieddepage"/>
        <w:numPr>
          <w:ilvl w:val="1"/>
          <w:numId w:val="207"/>
        </w:numPr>
        <w:tabs>
          <w:tab w:val="center" w:pos="4320"/>
          <w:tab w:val="right" w:pos="8640"/>
        </w:tabs>
        <w:ind w:right="180"/>
        <w:rPr>
          <w:color w:val="000000" w:themeColor="text1"/>
          <w:sz w:val="20"/>
          <w:szCs w:val="20"/>
          <w:lang w:val="en-US"/>
        </w:rPr>
      </w:pPr>
      <w:r w:rsidRPr="00B93ABE">
        <w:rPr>
          <w:color w:val="000000" w:themeColor="text1"/>
          <w:sz w:val="20"/>
          <w:szCs w:val="20"/>
          <w:lang w:val="en-US"/>
        </w:rPr>
        <w:t xml:space="preserve">Developing human capital and resilient </w:t>
      </w:r>
      <w:proofErr w:type="gramStart"/>
      <w:r w:rsidRPr="00B93ABE">
        <w:rPr>
          <w:color w:val="000000" w:themeColor="text1"/>
          <w:sz w:val="20"/>
          <w:szCs w:val="20"/>
          <w:lang w:val="en-US"/>
        </w:rPr>
        <w:t>territories;</w:t>
      </w:r>
      <w:proofErr w:type="gramEnd"/>
    </w:p>
    <w:p w14:paraId="0B885B5C" w14:textId="3B1736FD" w:rsidR="004F7DB3" w:rsidRPr="00B93ABE" w:rsidRDefault="02296B90" w:rsidP="001360BB">
      <w:pPr>
        <w:pStyle w:val="Pieddepage"/>
        <w:numPr>
          <w:ilvl w:val="1"/>
          <w:numId w:val="207"/>
        </w:numPr>
        <w:tabs>
          <w:tab w:val="center" w:pos="4320"/>
          <w:tab w:val="right" w:pos="8640"/>
        </w:tabs>
        <w:ind w:right="180"/>
        <w:rPr>
          <w:color w:val="000000" w:themeColor="text1"/>
          <w:sz w:val="20"/>
          <w:szCs w:val="20"/>
          <w:lang w:val="en-US"/>
        </w:rPr>
      </w:pPr>
      <w:proofErr w:type="spellStart"/>
      <w:r w:rsidRPr="5D8904BE">
        <w:rPr>
          <w:color w:val="000000" w:themeColor="text1"/>
          <w:sz w:val="20"/>
          <w:szCs w:val="20"/>
        </w:rPr>
        <w:t>Ensuring</w:t>
      </w:r>
      <w:proofErr w:type="spellEnd"/>
      <w:r w:rsidRPr="5D8904BE">
        <w:rPr>
          <w:color w:val="000000" w:themeColor="text1"/>
          <w:sz w:val="20"/>
          <w:szCs w:val="20"/>
        </w:rPr>
        <w:t xml:space="preserve"> effective </w:t>
      </w:r>
      <w:proofErr w:type="spellStart"/>
      <w:r w:rsidRPr="5D8904BE">
        <w:rPr>
          <w:color w:val="000000" w:themeColor="text1"/>
          <w:sz w:val="20"/>
          <w:szCs w:val="20"/>
        </w:rPr>
        <w:t>environmental</w:t>
      </w:r>
      <w:proofErr w:type="spellEnd"/>
      <w:r w:rsidRPr="5D8904BE">
        <w:rPr>
          <w:color w:val="000000" w:themeColor="text1"/>
          <w:sz w:val="20"/>
          <w:szCs w:val="20"/>
        </w:rPr>
        <w:t xml:space="preserve"> management and </w:t>
      </w:r>
      <w:proofErr w:type="spellStart"/>
      <w:r w:rsidRPr="5D8904BE">
        <w:rPr>
          <w:color w:val="000000" w:themeColor="text1"/>
          <w:sz w:val="20"/>
          <w:szCs w:val="20"/>
        </w:rPr>
        <w:t>climate</w:t>
      </w:r>
      <w:proofErr w:type="spellEnd"/>
      <w:r w:rsidRPr="5D8904BE">
        <w:rPr>
          <w:color w:val="000000" w:themeColor="text1"/>
          <w:sz w:val="20"/>
          <w:szCs w:val="20"/>
        </w:rPr>
        <w:t xml:space="preserve"> adaptation.</w:t>
      </w:r>
    </w:p>
    <w:p w14:paraId="218D0865" w14:textId="28F94030" w:rsidR="004F7DB3" w:rsidRPr="00B93ABE" w:rsidRDefault="6D0994E3" w:rsidP="001360BB">
      <w:pPr>
        <w:pStyle w:val="Pieddepage"/>
        <w:numPr>
          <w:ilvl w:val="0"/>
          <w:numId w:val="207"/>
        </w:numPr>
        <w:tabs>
          <w:tab w:val="center" w:pos="4320"/>
          <w:tab w:val="right" w:pos="8640"/>
        </w:tabs>
        <w:ind w:right="180"/>
        <w:rPr>
          <w:color w:val="000000" w:themeColor="text1"/>
          <w:sz w:val="20"/>
          <w:szCs w:val="20"/>
          <w:lang w:val="en-US"/>
        </w:rPr>
      </w:pPr>
      <w:r w:rsidRPr="5D8904BE">
        <w:rPr>
          <w:color w:val="000000" w:themeColor="text1"/>
          <w:sz w:val="20"/>
          <w:szCs w:val="20"/>
          <w:lang w:val="en-US"/>
        </w:rPr>
        <w:t>The IUD project in Bamako makes a significant contribution to the realization of this national vision, particularly in the areas of urban resilience, green infrastructure, inclusive economic development, and climate-smart urban planning, thereby aligning with the SNEDD's transformative ambitions.</w:t>
      </w:r>
    </w:p>
    <w:p w14:paraId="31ACD7FC" w14:textId="2C09B11C" w:rsidR="004F7DB3" w:rsidRPr="00B93ABE" w:rsidRDefault="7A1EEDE6" w:rsidP="001360BB">
      <w:pPr>
        <w:pStyle w:val="Pieddepage"/>
        <w:numPr>
          <w:ilvl w:val="0"/>
          <w:numId w:val="207"/>
        </w:numPr>
        <w:tabs>
          <w:tab w:val="center" w:pos="4320"/>
          <w:tab w:val="right" w:pos="8640"/>
        </w:tabs>
        <w:ind w:right="180"/>
        <w:rPr>
          <w:color w:val="000000" w:themeColor="text1"/>
          <w:sz w:val="20"/>
          <w:szCs w:val="20"/>
          <w:lang w:val="en-US"/>
        </w:rPr>
      </w:pPr>
      <w:r w:rsidRPr="00B93ABE">
        <w:rPr>
          <w:b/>
          <w:bCs/>
          <w:color w:val="000000" w:themeColor="text1"/>
          <w:sz w:val="20"/>
          <w:szCs w:val="20"/>
          <w:lang w:val="en-US"/>
        </w:rPr>
        <w:t xml:space="preserve">National Urban Policy (2014):  </w:t>
      </w:r>
      <w:r w:rsidRPr="00B93ABE">
        <w:rPr>
          <w:color w:val="000000" w:themeColor="text1"/>
          <w:sz w:val="20"/>
          <w:szCs w:val="20"/>
          <w:lang w:val="en-US"/>
        </w:rPr>
        <w:t xml:space="preserve"> Provides an enabling framework for integrated and sustainable urban planning.</w:t>
      </w:r>
    </w:p>
    <w:p w14:paraId="664615E7" w14:textId="7A5B98A3" w:rsidR="004F7DB3" w:rsidRPr="00B93ABE" w:rsidRDefault="10E5D961" w:rsidP="001360BB">
      <w:pPr>
        <w:pStyle w:val="Pieddepage"/>
        <w:numPr>
          <w:ilvl w:val="0"/>
          <w:numId w:val="207"/>
        </w:numPr>
        <w:tabs>
          <w:tab w:val="center" w:pos="4320"/>
          <w:tab w:val="right" w:pos="8640"/>
        </w:tabs>
        <w:ind w:right="180"/>
        <w:rPr>
          <w:sz w:val="20"/>
          <w:szCs w:val="20"/>
          <w:lang w:val="en-US"/>
        </w:rPr>
      </w:pPr>
      <w:r w:rsidRPr="5D8904BE">
        <w:rPr>
          <w:sz w:val="20"/>
          <w:szCs w:val="20"/>
          <w:lang w:val="en-US"/>
        </w:rPr>
        <w:t xml:space="preserve">National Spatial Planning Scheme, </w:t>
      </w:r>
      <w:proofErr w:type="gramStart"/>
      <w:r w:rsidRPr="5D8904BE">
        <w:rPr>
          <w:sz w:val="20"/>
          <w:szCs w:val="20"/>
          <w:lang w:val="en-US"/>
        </w:rPr>
        <w:t xml:space="preserve">2022 </w:t>
      </w:r>
      <w:r w:rsidR="0E9CF6E2" w:rsidRPr="5D8904BE">
        <w:rPr>
          <w:sz w:val="20"/>
          <w:szCs w:val="20"/>
          <w:lang w:val="en-US"/>
        </w:rPr>
        <w:t>:</w:t>
      </w:r>
      <w:proofErr w:type="gramEnd"/>
      <w:r w:rsidR="0E9CF6E2" w:rsidRPr="5D8904BE">
        <w:rPr>
          <w:sz w:val="20"/>
          <w:szCs w:val="20"/>
          <w:lang w:val="en-US"/>
        </w:rPr>
        <w:t xml:space="preserve"> The main spatial planning tool for translating the national land use policy into integrated sustainable development activities. The review of its Strategic Orientation No. 2 was identified in the consultations as essential to circumscribe the imbalance that Bamako is experiencing and to go beyond the perimeter of Bamako by creating activity hubs.</w:t>
      </w:r>
    </w:p>
    <w:p w14:paraId="13A7CEA3" w14:textId="2896EA3B" w:rsidR="004F7DB3" w:rsidRPr="00B93ABE" w:rsidRDefault="7583B948" w:rsidP="001360BB">
      <w:pPr>
        <w:pStyle w:val="Paragraphedeliste"/>
        <w:numPr>
          <w:ilvl w:val="0"/>
          <w:numId w:val="207"/>
        </w:numPr>
        <w:spacing w:after="200" w:line="240" w:lineRule="auto"/>
        <w:jc w:val="both"/>
        <w:rPr>
          <w:lang w:val="en-US"/>
        </w:rPr>
      </w:pPr>
      <w:r w:rsidRPr="5D8904BE">
        <w:rPr>
          <w:sz w:val="20"/>
          <w:szCs w:val="20"/>
          <w:lang w:val="en-US"/>
        </w:rPr>
        <w:t>Master Plan for Development and Urban Planning of the District of Bamako and Surrounding Areas</w:t>
      </w:r>
      <w:r w:rsidR="10E5D961" w:rsidRPr="5D8904BE">
        <w:rPr>
          <w:sz w:val="20"/>
          <w:szCs w:val="20"/>
          <w:lang w:val="en-US"/>
        </w:rPr>
        <w:t xml:space="preserve">, </w:t>
      </w:r>
      <w:r w:rsidR="7FF5EACF" w:rsidRPr="5D8904BE">
        <w:rPr>
          <w:sz w:val="20"/>
          <w:szCs w:val="20"/>
          <w:lang w:val="en-US"/>
        </w:rPr>
        <w:t>Decree No. 95-181/PRM of 04/26/1995</w:t>
      </w:r>
      <w:r w:rsidR="721AE70C" w:rsidRPr="5D8904BE">
        <w:rPr>
          <w:sz w:val="20"/>
          <w:szCs w:val="20"/>
          <w:lang w:val="en-US"/>
        </w:rPr>
        <w:t xml:space="preserve">: The main spatial planning tool still in force for the District of Bamako. From 2008 to 2010, its implementation was supported by the development of a Sector Urban Plan for each of the six municipalities in the </w:t>
      </w:r>
      <w:proofErr w:type="gramStart"/>
      <w:r w:rsidR="721AE70C" w:rsidRPr="5D8904BE">
        <w:rPr>
          <w:sz w:val="20"/>
          <w:szCs w:val="20"/>
          <w:lang w:val="en-US"/>
        </w:rPr>
        <w:t>District</w:t>
      </w:r>
      <w:proofErr w:type="gramEnd"/>
      <w:r w:rsidR="721AE70C" w:rsidRPr="5D8904BE">
        <w:rPr>
          <w:sz w:val="20"/>
          <w:szCs w:val="20"/>
          <w:lang w:val="en-US"/>
        </w:rPr>
        <w:t>. However, the development of urban infrastructure and services in the District of Bamako has not been systematically consistent with the joint or separate implementation of these spatial or urban planning tools in the District of Bamako.</w:t>
      </w:r>
    </w:p>
    <w:p w14:paraId="6B5E6CE7" w14:textId="4A11A081" w:rsidR="004F7DB3" w:rsidRPr="00B93ABE" w:rsidRDefault="7F8577E8" w:rsidP="001360BB">
      <w:pPr>
        <w:pStyle w:val="Pieddepage"/>
        <w:numPr>
          <w:ilvl w:val="0"/>
          <w:numId w:val="207"/>
        </w:numPr>
        <w:tabs>
          <w:tab w:val="center" w:pos="4320"/>
          <w:tab w:val="right" w:pos="8640"/>
        </w:tabs>
        <w:ind w:right="180"/>
        <w:rPr>
          <w:color w:val="000000" w:themeColor="text1"/>
          <w:sz w:val="20"/>
          <w:szCs w:val="20"/>
          <w:lang w:val="en-US"/>
        </w:rPr>
      </w:pPr>
      <w:r w:rsidRPr="3E32F829">
        <w:rPr>
          <w:b/>
          <w:bCs/>
          <w:color w:val="000000" w:themeColor="text1"/>
          <w:sz w:val="20"/>
          <w:szCs w:val="20"/>
          <w:lang w:val="en-US"/>
        </w:rPr>
        <w:t>Nationally Determined Contribution (</w:t>
      </w:r>
      <w:r w:rsidR="3ABAFB65" w:rsidRPr="3E32F829">
        <w:rPr>
          <w:b/>
          <w:bCs/>
          <w:color w:val="000000" w:themeColor="text1"/>
          <w:sz w:val="20"/>
          <w:szCs w:val="20"/>
          <w:lang w:val="en-US"/>
        </w:rPr>
        <w:t xml:space="preserve">updated </w:t>
      </w:r>
      <w:r w:rsidRPr="3E32F829">
        <w:rPr>
          <w:b/>
          <w:bCs/>
          <w:color w:val="000000" w:themeColor="text1"/>
          <w:sz w:val="20"/>
          <w:szCs w:val="20"/>
          <w:lang w:val="en-US"/>
        </w:rPr>
        <w:t>NDC, 2021)</w:t>
      </w:r>
      <w:r w:rsidRPr="3E32F829">
        <w:rPr>
          <w:color w:val="000000" w:themeColor="text1"/>
          <w:sz w:val="20"/>
          <w:szCs w:val="20"/>
          <w:lang w:val="en-US"/>
        </w:rPr>
        <w:t xml:space="preserve">: </w:t>
      </w:r>
      <w:r w:rsidR="3EB7CBBF" w:rsidRPr="3E32F829">
        <w:rPr>
          <w:color w:val="000000" w:themeColor="text1"/>
          <w:sz w:val="20"/>
          <w:szCs w:val="20"/>
          <w:lang w:val="en-US"/>
        </w:rPr>
        <w:t>The updated NDC submitted in October 2021  aims to reduce its emissions by 31% for energy (Transport is part of the energy sector), 25% for agriculture, 39% for land use and forestry, and 31% for waste sectors by 2030 compared to the business-as-usual scenario and make the economy green and resilient to climate change. The total estimated cost of the NDC implementation is estimated at USD 12.34 billion, including USD 4.34 billion for mitigation measures and USD 8 billion for adaptation</w:t>
      </w:r>
      <w:proofErr w:type="gramStart"/>
      <w:r w:rsidR="3EB7CBBF" w:rsidRPr="3E32F829">
        <w:rPr>
          <w:color w:val="000000" w:themeColor="text1"/>
          <w:sz w:val="20"/>
          <w:szCs w:val="20"/>
          <w:lang w:val="en-US"/>
        </w:rPr>
        <w:t>. .</w:t>
      </w:r>
      <w:proofErr w:type="gramEnd"/>
      <w:r w:rsidR="3EB7CBBF" w:rsidRPr="3E32F829">
        <w:rPr>
          <w:color w:val="000000" w:themeColor="text1"/>
          <w:sz w:val="20"/>
          <w:szCs w:val="20"/>
          <w:lang w:val="en-US"/>
        </w:rPr>
        <w:t xml:space="preserve"> Its Framework for implementation covers the period between 2023-26</w:t>
      </w:r>
      <w:r w:rsidR="3EB7CBBF" w:rsidRPr="3E32F829">
        <w:rPr>
          <w:color w:val="000000" w:themeColor="text1"/>
          <w:sz w:val="20"/>
          <w:szCs w:val="20"/>
          <w:vertAlign w:val="superscript"/>
          <w:lang w:val="en-US"/>
        </w:rPr>
        <w:t xml:space="preserve">23 </w:t>
      </w:r>
      <w:r w:rsidR="3EB7CBBF" w:rsidRPr="3E32F829">
        <w:rPr>
          <w:color w:val="000000" w:themeColor="text1"/>
          <w:sz w:val="20"/>
          <w:szCs w:val="20"/>
          <w:lang w:val="en-US"/>
        </w:rPr>
        <w:t xml:space="preserve">Has three targets directly related to the IUDP in </w:t>
      </w:r>
      <w:proofErr w:type="gramStart"/>
      <w:r w:rsidR="3EB7CBBF" w:rsidRPr="3E32F829">
        <w:rPr>
          <w:color w:val="000000" w:themeColor="text1"/>
          <w:sz w:val="20"/>
          <w:szCs w:val="20"/>
          <w:lang w:val="en-US"/>
        </w:rPr>
        <w:t>Bamako :</w:t>
      </w:r>
      <w:proofErr w:type="gramEnd"/>
      <w:r w:rsidR="3EB7CBBF" w:rsidRPr="3E32F829">
        <w:rPr>
          <w:color w:val="000000" w:themeColor="text1"/>
          <w:sz w:val="20"/>
          <w:szCs w:val="20"/>
          <w:lang w:val="en-US"/>
        </w:rPr>
        <w:t xml:space="preserve"> </w:t>
      </w:r>
    </w:p>
    <w:p w14:paraId="01121AD8" w14:textId="3CF8281D" w:rsidR="004F7DB3" w:rsidRPr="00B93ABE" w:rsidRDefault="52D22937" w:rsidP="001360BB">
      <w:pPr>
        <w:pStyle w:val="Commentaire"/>
        <w:numPr>
          <w:ilvl w:val="1"/>
          <w:numId w:val="207"/>
        </w:numPr>
        <w:rPr>
          <w:color w:val="000000" w:themeColor="text1"/>
          <w:lang w:val="en-US"/>
        </w:rPr>
      </w:pPr>
      <w:r w:rsidRPr="58DE6BE5">
        <w:rPr>
          <w:color w:val="000000" w:themeColor="text1"/>
          <w:lang w:val="en-US"/>
        </w:rPr>
        <w:t>Increase the share of renewable energy in the energy mix and reduce greenhouse gas emissions in general through energy efficiency measures which involves Transport sector</w:t>
      </w:r>
    </w:p>
    <w:p w14:paraId="433508C9" w14:textId="421E1529" w:rsidR="004F7DB3" w:rsidRPr="00B93ABE" w:rsidRDefault="52D22937" w:rsidP="001360BB">
      <w:pPr>
        <w:pStyle w:val="Commentaire"/>
        <w:numPr>
          <w:ilvl w:val="1"/>
          <w:numId w:val="207"/>
        </w:numPr>
        <w:rPr>
          <w:color w:val="000000" w:themeColor="text1"/>
          <w:lang w:val="en-US"/>
        </w:rPr>
      </w:pPr>
      <w:r w:rsidRPr="58DE6BE5">
        <w:rPr>
          <w:color w:val="000000" w:themeColor="text1"/>
          <w:lang w:val="en-US"/>
        </w:rPr>
        <w:t>Contribute to the restoration and recovery of 57,000,000 hectares of degraded land and the preservation of biodiversity by 2030.</w:t>
      </w:r>
    </w:p>
    <w:p w14:paraId="2C9971FD" w14:textId="2F971749" w:rsidR="004F7DB3" w:rsidRPr="00B93ABE" w:rsidRDefault="52D22937" w:rsidP="001360BB">
      <w:pPr>
        <w:pStyle w:val="Commentaire"/>
        <w:numPr>
          <w:ilvl w:val="1"/>
          <w:numId w:val="207"/>
        </w:numPr>
        <w:rPr>
          <w:color w:val="000000" w:themeColor="text1"/>
          <w:lang w:val="en-US"/>
        </w:rPr>
      </w:pPr>
      <w:r w:rsidRPr="58DE6BE5">
        <w:rPr>
          <w:color w:val="000000" w:themeColor="text1"/>
          <w:lang w:val="en-US"/>
        </w:rPr>
        <w:t>Strengthen climate investments in all priority sectors, including PPPs, to achieve the ambition levels of the NDC</w:t>
      </w:r>
    </w:p>
    <w:p w14:paraId="17DDAA6B" w14:textId="1F06590F" w:rsidR="004F7DB3" w:rsidRPr="00B93ABE" w:rsidRDefault="004F7DB3" w:rsidP="00C6418F">
      <w:pPr>
        <w:pStyle w:val="Paragraphedeliste"/>
        <w:spacing w:line="240" w:lineRule="auto"/>
        <w:ind w:left="547"/>
        <w:rPr>
          <w:color w:val="000000" w:themeColor="text1"/>
          <w:lang w:val="en-US"/>
        </w:rPr>
      </w:pPr>
    </w:p>
    <w:p w14:paraId="4D3C1410" w14:textId="21474C16" w:rsidR="004F7DB3" w:rsidRPr="00B93ABE" w:rsidRDefault="004F7DB3" w:rsidP="58DE6BE5">
      <w:pPr>
        <w:pStyle w:val="Pieddepage"/>
        <w:tabs>
          <w:tab w:val="center" w:pos="4320"/>
          <w:tab w:val="right" w:pos="8640"/>
        </w:tabs>
        <w:ind w:right="180"/>
        <w:rPr>
          <w:color w:val="000000" w:themeColor="text1"/>
          <w:sz w:val="20"/>
          <w:szCs w:val="20"/>
          <w:lang w:val="en-US"/>
        </w:rPr>
      </w:pPr>
    </w:p>
    <w:p w14:paraId="7E97BE95" w14:textId="473E9C97" w:rsidR="004F7DB3" w:rsidRPr="00B93ABE" w:rsidRDefault="007F3B33" w:rsidP="001360BB">
      <w:pPr>
        <w:pStyle w:val="Pieddepage"/>
        <w:numPr>
          <w:ilvl w:val="0"/>
          <w:numId w:val="207"/>
        </w:numPr>
        <w:tabs>
          <w:tab w:val="center" w:pos="4320"/>
          <w:tab w:val="right" w:pos="8640"/>
        </w:tabs>
        <w:ind w:right="180"/>
        <w:rPr>
          <w:color w:val="000000" w:themeColor="text1"/>
          <w:sz w:val="20"/>
          <w:szCs w:val="20"/>
          <w:lang w:val="en-US"/>
        </w:rPr>
      </w:pPr>
      <w:r w:rsidRPr="537FA187">
        <w:rPr>
          <w:b/>
          <w:bCs/>
          <w:color w:val="000000" w:themeColor="text1"/>
          <w:sz w:val="20"/>
          <w:szCs w:val="20"/>
          <w:lang w:val="en-US"/>
        </w:rPr>
        <w:t>National Climate Strategy and PAAEDC-BKO</w:t>
      </w:r>
      <w:r w:rsidRPr="537FA187">
        <w:rPr>
          <w:color w:val="000000" w:themeColor="text1"/>
          <w:sz w:val="20"/>
          <w:szCs w:val="20"/>
          <w:lang w:val="en-US"/>
        </w:rPr>
        <w:t xml:space="preserve">: the IUDP will contribute to operationalize Bamako’s Energy and Climate Plan, integrating climate goals into planning and promoting it to private and public investments. </w:t>
      </w:r>
    </w:p>
    <w:p w14:paraId="6BFC3468" w14:textId="480A3A53" w:rsidR="004F7DB3" w:rsidRPr="00B93ABE" w:rsidRDefault="007F3B33" w:rsidP="001360BB">
      <w:pPr>
        <w:pStyle w:val="Pieddepage"/>
        <w:numPr>
          <w:ilvl w:val="0"/>
          <w:numId w:val="207"/>
        </w:numPr>
        <w:tabs>
          <w:tab w:val="center" w:pos="4320"/>
          <w:tab w:val="right" w:pos="8640"/>
        </w:tabs>
        <w:ind w:right="180"/>
        <w:rPr>
          <w:color w:val="000000" w:themeColor="text1"/>
          <w:sz w:val="20"/>
          <w:szCs w:val="20"/>
          <w:lang w:val="en-US"/>
        </w:rPr>
      </w:pPr>
      <w:r w:rsidRPr="537FA187">
        <w:rPr>
          <w:b/>
          <w:bCs/>
          <w:color w:val="000000" w:themeColor="text1"/>
          <w:sz w:val="20"/>
          <w:szCs w:val="20"/>
          <w:lang w:val="en-US"/>
        </w:rPr>
        <w:t xml:space="preserve">National Transportation </w:t>
      </w:r>
      <w:proofErr w:type="gramStart"/>
      <w:r w:rsidRPr="537FA187">
        <w:rPr>
          <w:b/>
          <w:bCs/>
          <w:color w:val="000000" w:themeColor="text1"/>
          <w:sz w:val="20"/>
          <w:szCs w:val="20"/>
          <w:lang w:val="en-US"/>
        </w:rPr>
        <w:t>Policy</w:t>
      </w:r>
      <w:r w:rsidRPr="537FA187">
        <w:rPr>
          <w:color w:val="000000" w:themeColor="text1"/>
          <w:sz w:val="20"/>
          <w:szCs w:val="20"/>
          <w:lang w:val="en-US"/>
        </w:rPr>
        <w:t> :</w:t>
      </w:r>
      <w:proofErr w:type="gramEnd"/>
      <w:r w:rsidRPr="537FA187">
        <w:rPr>
          <w:color w:val="000000" w:themeColor="text1"/>
          <w:sz w:val="20"/>
          <w:szCs w:val="20"/>
          <w:lang w:val="en-US"/>
        </w:rPr>
        <w:t xml:space="preserve"> The IUDP </w:t>
      </w:r>
      <w:r w:rsidR="0EC0AADD" w:rsidRPr="537FA187">
        <w:rPr>
          <w:color w:val="000000" w:themeColor="text1"/>
          <w:sz w:val="20"/>
          <w:szCs w:val="20"/>
          <w:lang w:val="en-US"/>
        </w:rPr>
        <w:t xml:space="preserve">in Bamako </w:t>
      </w:r>
      <w:r w:rsidRPr="537FA187">
        <w:rPr>
          <w:color w:val="000000" w:themeColor="text1"/>
          <w:sz w:val="20"/>
          <w:szCs w:val="20"/>
          <w:lang w:val="en-US"/>
        </w:rPr>
        <w:t xml:space="preserve">will update the NTP to ensure increased alignment with sustainability, innovation, and resilience goals embedded in both national and global transport and climate frameworks.  It will support institutional capacity building, the creation of new functional capabilities, and the scaling up of digital and sustainable transport solutions.  </w:t>
      </w:r>
    </w:p>
    <w:p w14:paraId="02A3B8D4" w14:textId="418DD87B" w:rsidR="004F7DB3" w:rsidRPr="00B93ABE" w:rsidRDefault="02296B90" w:rsidP="001360BB">
      <w:pPr>
        <w:pStyle w:val="Pieddepage"/>
        <w:numPr>
          <w:ilvl w:val="0"/>
          <w:numId w:val="207"/>
        </w:numPr>
        <w:tabs>
          <w:tab w:val="center" w:pos="4320"/>
          <w:tab w:val="right" w:pos="8640"/>
        </w:tabs>
        <w:ind w:right="180"/>
        <w:jc w:val="both"/>
        <w:rPr>
          <w:color w:val="000000" w:themeColor="text1"/>
          <w:sz w:val="20"/>
          <w:szCs w:val="20"/>
          <w:lang w:val="en-US"/>
        </w:rPr>
      </w:pPr>
      <w:r w:rsidRPr="5D8904BE">
        <w:rPr>
          <w:b/>
          <w:bCs/>
          <w:color w:val="000000" w:themeColor="text1"/>
          <w:sz w:val="20"/>
          <w:szCs w:val="20"/>
          <w:lang w:val="en-US"/>
        </w:rPr>
        <w:t>Strategic Plan for the Renewal of Mali's Commercial Transport Fleet (2021–2023</w:t>
      </w:r>
      <w:proofErr w:type="gramStart"/>
      <w:r w:rsidRPr="5D8904BE">
        <w:rPr>
          <w:color w:val="000000" w:themeColor="text1"/>
          <w:sz w:val="20"/>
          <w:szCs w:val="20"/>
          <w:lang w:val="en-US"/>
        </w:rPr>
        <w:t>) :</w:t>
      </w:r>
      <w:proofErr w:type="gramEnd"/>
      <w:r w:rsidRPr="5D8904BE">
        <w:rPr>
          <w:color w:val="000000" w:themeColor="text1"/>
          <w:sz w:val="20"/>
          <w:szCs w:val="20"/>
          <w:lang w:val="en-US"/>
        </w:rPr>
        <w:t xml:space="preserve"> The strategic plan aims to reduce the cost of transporting goods and improve the mobility of people and freight. Specifically, it seeks to modernize the commercial transportation fleet, establish a long-term fleet renewal mechanism, enhance both urban and interurban mobility, and reduce the environmental impact and nuisances caused by commercial road transport.  In this context, the GEF-8 IUDP project in Bamako supports the promotion of investments and incentives to strengthen public transport capacity, accelerate the shift to e-mobility, and advance the energy transition in urban transport. These efforts are centered on engaging transport operators and, more broadly, mobilizing the private sector</w:t>
      </w:r>
      <w:r w:rsidRPr="5D8904BE">
        <w:rPr>
          <w:b/>
          <w:bCs/>
          <w:color w:val="000000" w:themeColor="text1"/>
          <w:sz w:val="20"/>
          <w:szCs w:val="20"/>
          <w:lang w:val="en-US"/>
        </w:rPr>
        <w:t>.</w:t>
      </w:r>
    </w:p>
    <w:p w14:paraId="2FEECA21" w14:textId="68CC3384" w:rsidR="004F7DB3" w:rsidRPr="00B93ABE" w:rsidRDefault="02296B90" w:rsidP="001360BB">
      <w:pPr>
        <w:pStyle w:val="Pieddepage"/>
        <w:numPr>
          <w:ilvl w:val="0"/>
          <w:numId w:val="207"/>
        </w:numPr>
        <w:tabs>
          <w:tab w:val="center" w:pos="4320"/>
          <w:tab w:val="right" w:pos="8640"/>
        </w:tabs>
        <w:ind w:right="180"/>
        <w:rPr>
          <w:color w:val="000000" w:themeColor="text1"/>
          <w:sz w:val="20"/>
          <w:szCs w:val="20"/>
          <w:lang w:val="en-US"/>
        </w:rPr>
      </w:pPr>
      <w:r w:rsidRPr="5D8904BE">
        <w:rPr>
          <w:b/>
          <w:bCs/>
          <w:color w:val="000000" w:themeColor="text1"/>
          <w:sz w:val="20"/>
          <w:szCs w:val="20"/>
          <w:lang w:val="en-US"/>
        </w:rPr>
        <w:lastRenderedPageBreak/>
        <w:t>National Strategy and Action Plan for Biological Diversity (2014</w:t>
      </w:r>
      <w:proofErr w:type="gramStart"/>
      <w:r w:rsidRPr="5D8904BE">
        <w:rPr>
          <w:b/>
          <w:bCs/>
          <w:color w:val="000000" w:themeColor="text1"/>
          <w:sz w:val="20"/>
          <w:szCs w:val="20"/>
          <w:lang w:val="en-US"/>
        </w:rPr>
        <w:t>) </w:t>
      </w:r>
      <w:r w:rsidRPr="5D8904BE">
        <w:rPr>
          <w:color w:val="000000" w:themeColor="text1"/>
          <w:sz w:val="20"/>
          <w:szCs w:val="20"/>
          <w:lang w:val="en-US"/>
        </w:rPr>
        <w:t>:</w:t>
      </w:r>
      <w:proofErr w:type="gramEnd"/>
      <w:r w:rsidRPr="5D8904BE">
        <w:rPr>
          <w:color w:val="000000" w:themeColor="text1"/>
          <w:sz w:val="20"/>
          <w:szCs w:val="20"/>
          <w:lang w:val="en-US"/>
        </w:rPr>
        <w:t xml:space="preserve"> As part of these efforts, the GEF-8 Bamako Sustainable City project supports the development of the Green Belt—an urban ecological corridor designed to conserve biodiversity within city boundaries, improve connectivity between green spaces, and deliver ecosystem services that enhance climate resilience and the quality of life for urban populations. Through the BIOFIN project, it provides a strategic framework for identifying and mobilizing the financial resources needed for sustainable biodiversity management. </w:t>
      </w:r>
    </w:p>
    <w:p w14:paraId="1C3AC616" w14:textId="75243E87" w:rsidR="004F7DB3" w:rsidRPr="00B93ABE" w:rsidRDefault="723A059A" w:rsidP="001360BB">
      <w:pPr>
        <w:pStyle w:val="Pieddepage"/>
        <w:numPr>
          <w:ilvl w:val="0"/>
          <w:numId w:val="207"/>
        </w:numPr>
        <w:tabs>
          <w:tab w:val="center" w:pos="4320"/>
          <w:tab w:val="right" w:pos="8640"/>
        </w:tabs>
        <w:ind w:right="180"/>
        <w:rPr>
          <w:color w:val="000000" w:themeColor="text1"/>
          <w:sz w:val="20"/>
          <w:szCs w:val="20"/>
          <w:lang w:val="en-US"/>
        </w:rPr>
      </w:pPr>
      <w:r w:rsidRPr="00B93ABE">
        <w:rPr>
          <w:b/>
          <w:bCs/>
          <w:color w:val="000000" w:themeColor="text1"/>
          <w:sz w:val="20"/>
          <w:szCs w:val="20"/>
          <w:lang w:val="en-US"/>
        </w:rPr>
        <w:t>National Environment and Sanitation Policy</w:t>
      </w:r>
      <w:r w:rsidRPr="00B93ABE">
        <w:rPr>
          <w:color w:val="000000" w:themeColor="text1"/>
          <w:sz w:val="20"/>
          <w:szCs w:val="20"/>
          <w:lang w:val="en-US"/>
        </w:rPr>
        <w:t>: Supports improved waste management systems and reduction of pollution in urban areas.</w:t>
      </w:r>
    </w:p>
    <w:p w14:paraId="18EC0E7A" w14:textId="25022996" w:rsidR="004F7DB3" w:rsidRPr="00B93ABE" w:rsidRDefault="723A059A" w:rsidP="001360BB">
      <w:pPr>
        <w:pStyle w:val="Pieddepage"/>
        <w:numPr>
          <w:ilvl w:val="0"/>
          <w:numId w:val="207"/>
        </w:numPr>
        <w:tabs>
          <w:tab w:val="center" w:pos="4320"/>
          <w:tab w:val="right" w:pos="8640"/>
        </w:tabs>
        <w:ind w:right="180"/>
        <w:rPr>
          <w:color w:val="000000" w:themeColor="text1"/>
          <w:sz w:val="20"/>
          <w:szCs w:val="20"/>
          <w:lang w:val="en-US"/>
        </w:rPr>
      </w:pPr>
      <w:r w:rsidRPr="00B93ABE">
        <w:rPr>
          <w:b/>
          <w:bCs/>
          <w:color w:val="000000" w:themeColor="text1"/>
          <w:sz w:val="20"/>
          <w:szCs w:val="20"/>
          <w:lang w:val="en-US"/>
        </w:rPr>
        <w:t>National Land Policy</w:t>
      </w:r>
      <w:r w:rsidRPr="00B93ABE">
        <w:rPr>
          <w:color w:val="000000" w:themeColor="text1"/>
          <w:sz w:val="20"/>
          <w:szCs w:val="20"/>
          <w:lang w:val="en-US"/>
        </w:rPr>
        <w:t>: Reinforces legal land tenure and supports land use planning to prevent urban sprawl and land degradation.</w:t>
      </w:r>
    </w:p>
    <w:p w14:paraId="44169E8F" w14:textId="1A7ECB6C" w:rsidR="004F7DB3" w:rsidRPr="00B93ABE" w:rsidRDefault="723A059A" w:rsidP="001360BB">
      <w:pPr>
        <w:pStyle w:val="Pieddepage"/>
        <w:numPr>
          <w:ilvl w:val="0"/>
          <w:numId w:val="207"/>
        </w:numPr>
        <w:tabs>
          <w:tab w:val="center" w:pos="4320"/>
          <w:tab w:val="right" w:pos="8640"/>
        </w:tabs>
        <w:ind w:right="180"/>
        <w:rPr>
          <w:color w:val="000000" w:themeColor="text1"/>
          <w:sz w:val="20"/>
          <w:szCs w:val="20"/>
          <w:lang w:val="en-US"/>
        </w:rPr>
      </w:pPr>
      <w:r w:rsidRPr="00B93ABE">
        <w:rPr>
          <w:b/>
          <w:bCs/>
          <w:color w:val="000000" w:themeColor="text1"/>
          <w:sz w:val="20"/>
          <w:szCs w:val="20"/>
          <w:lang w:val="en-US"/>
        </w:rPr>
        <w:t xml:space="preserve">National Biodiversity </w:t>
      </w:r>
      <w:proofErr w:type="gramStart"/>
      <w:r w:rsidRPr="00B93ABE">
        <w:rPr>
          <w:b/>
          <w:bCs/>
          <w:color w:val="000000" w:themeColor="text1"/>
          <w:sz w:val="20"/>
          <w:szCs w:val="20"/>
          <w:lang w:val="en-US"/>
        </w:rPr>
        <w:t>Strategy</w:t>
      </w:r>
      <w:r w:rsidR="1B64EA9D" w:rsidRPr="00B93ABE">
        <w:rPr>
          <w:b/>
          <w:bCs/>
          <w:color w:val="000000" w:themeColor="text1"/>
          <w:sz w:val="20"/>
          <w:szCs w:val="20"/>
          <w:lang w:val="en-US"/>
        </w:rPr>
        <w:t xml:space="preserve"> </w:t>
      </w:r>
      <w:r w:rsidRPr="00B93ABE">
        <w:rPr>
          <w:color w:val="000000" w:themeColor="text1"/>
          <w:sz w:val="20"/>
          <w:szCs w:val="20"/>
          <w:lang w:val="en-US"/>
        </w:rPr>
        <w:t>:</w:t>
      </w:r>
      <w:proofErr w:type="gramEnd"/>
      <w:r w:rsidRPr="00B93ABE">
        <w:rPr>
          <w:color w:val="000000" w:themeColor="text1"/>
          <w:sz w:val="20"/>
          <w:szCs w:val="20"/>
          <w:lang w:val="en-US"/>
        </w:rPr>
        <w:t xml:space="preserve"> Contributes to urban biodiversity preservation through green belt development and ecosystem restoration.</w:t>
      </w:r>
    </w:p>
    <w:p w14:paraId="41D56CE5" w14:textId="04376898" w:rsidR="004F7DB3" w:rsidRPr="00B93ABE" w:rsidRDefault="3C4566CC" w:rsidP="001360BB">
      <w:pPr>
        <w:pStyle w:val="Pieddepage"/>
        <w:numPr>
          <w:ilvl w:val="0"/>
          <w:numId w:val="207"/>
        </w:numPr>
        <w:tabs>
          <w:tab w:val="center" w:pos="4320"/>
          <w:tab w:val="right" w:pos="8640"/>
        </w:tabs>
        <w:ind w:right="180"/>
        <w:rPr>
          <w:sz w:val="20"/>
          <w:szCs w:val="20"/>
          <w:lang w:val="en-US"/>
        </w:rPr>
      </w:pPr>
      <w:r w:rsidRPr="006F5E1D">
        <w:rPr>
          <w:sz w:val="20"/>
          <w:szCs w:val="20"/>
          <w:lang w:val="en-US"/>
        </w:rPr>
        <w:t>National Climate Change Policy, 2011</w:t>
      </w:r>
      <w:r w:rsidR="79C3F7C1" w:rsidRPr="006F5E1D">
        <w:rPr>
          <w:sz w:val="20"/>
          <w:szCs w:val="20"/>
          <w:lang w:val="en-US"/>
        </w:rPr>
        <w:t>: It presents in its policy guidelines No. 5 and No. 3 relating respectively to the promotion of the mitigation of greenhouse gas emissions and to the strengthening of actions to adapt to the impacts of climate change, opportunities for innovative solutions for sustainable integrated urban development based on sustainable energy including energy efficiency for electric mobility, the permanent supply of electricity to buildings and infrastructure of the Territorial Community of the District and the reduction of emissions of harmful gases and/or pollutants associated with air, water, the ozone layer and global warming;</w:t>
      </w:r>
    </w:p>
    <w:p w14:paraId="32D8FB74" w14:textId="4B6C6A74" w:rsidR="004F7DB3" w:rsidRPr="00B93ABE" w:rsidRDefault="7E843E7C" w:rsidP="001360BB">
      <w:pPr>
        <w:pStyle w:val="Pieddepage"/>
        <w:numPr>
          <w:ilvl w:val="0"/>
          <w:numId w:val="207"/>
        </w:numPr>
        <w:tabs>
          <w:tab w:val="center" w:pos="4320"/>
          <w:tab w:val="right" w:pos="8640"/>
        </w:tabs>
        <w:ind w:right="180"/>
        <w:rPr>
          <w:color w:val="000000" w:themeColor="text1"/>
          <w:sz w:val="20"/>
          <w:szCs w:val="20"/>
          <w:lang w:val="en-US"/>
        </w:rPr>
      </w:pPr>
      <w:r w:rsidRPr="537FA187">
        <w:rPr>
          <w:b/>
          <w:bCs/>
          <w:color w:val="000000" w:themeColor="text1"/>
          <w:sz w:val="20"/>
          <w:szCs w:val="20"/>
          <w:lang w:val="en-US"/>
        </w:rPr>
        <w:t>National Gender Policy</w:t>
      </w:r>
      <w:r w:rsidRPr="537FA187">
        <w:rPr>
          <w:color w:val="000000" w:themeColor="text1"/>
          <w:sz w:val="20"/>
          <w:szCs w:val="20"/>
          <w:lang w:val="en-US"/>
        </w:rPr>
        <w:t>: IUDP contributes to the implementation of the National Gender Policy’s (PNG) strategic orientation on "developing human capital (women and men) capable of meeting the challenges of socio-economic development, poverty reduction, African integration, and globalization."</w:t>
      </w:r>
    </w:p>
    <w:p w14:paraId="615682CE" w14:textId="577041F1" w:rsidR="004F7DB3" w:rsidRPr="00B93ABE" w:rsidRDefault="723A059A" w:rsidP="3C8408A9">
      <w:pPr>
        <w:pStyle w:val="Pieddepage"/>
        <w:tabs>
          <w:tab w:val="center" w:pos="4320"/>
          <w:tab w:val="right" w:pos="8640"/>
        </w:tabs>
        <w:ind w:left="720" w:right="180"/>
        <w:rPr>
          <w:color w:val="000000" w:themeColor="text1"/>
          <w:sz w:val="20"/>
          <w:szCs w:val="20"/>
          <w:lang w:val="en-US"/>
        </w:rPr>
      </w:pPr>
      <w:r w:rsidRPr="00B93ABE">
        <w:rPr>
          <w:color w:val="000000" w:themeColor="text1"/>
          <w:sz w:val="20"/>
          <w:szCs w:val="20"/>
          <w:lang w:val="en-US"/>
        </w:rPr>
        <w:t>Specifically, the project supports increased participation of women and the reduction of gender inequalities by promoting inclusive engagement in the deployment of innovative solutions for sustainable energy, sustainable transport, and green infrastructure. This includes promoting</w:t>
      </w:r>
      <w:r w:rsidRPr="00B93ABE">
        <w:rPr>
          <w:b/>
          <w:bCs/>
          <w:color w:val="000000" w:themeColor="text1"/>
          <w:sz w:val="20"/>
          <w:szCs w:val="20"/>
          <w:lang w:val="en-US"/>
        </w:rPr>
        <w:t xml:space="preserve"> </w:t>
      </w:r>
      <w:r w:rsidRPr="00B93ABE">
        <w:rPr>
          <w:color w:val="000000" w:themeColor="text1"/>
          <w:sz w:val="20"/>
          <w:szCs w:val="20"/>
          <w:lang w:val="en-US"/>
        </w:rPr>
        <w:t>energy efficiency in the sustainable operation of urban development infrastructure and services</w:t>
      </w:r>
      <w:r w:rsidRPr="00B93ABE">
        <w:rPr>
          <w:b/>
          <w:bCs/>
          <w:color w:val="000000" w:themeColor="text1"/>
          <w:sz w:val="20"/>
          <w:szCs w:val="20"/>
          <w:lang w:val="en-US"/>
        </w:rPr>
        <w:t>.</w:t>
      </w:r>
    </w:p>
    <w:p w14:paraId="0CBFEB4B" w14:textId="0B7750EF" w:rsidR="004F7DB3" w:rsidRPr="00B93ABE" w:rsidRDefault="51800ABC" w:rsidP="001360BB">
      <w:pPr>
        <w:pStyle w:val="Pieddepage"/>
        <w:numPr>
          <w:ilvl w:val="0"/>
          <w:numId w:val="207"/>
        </w:numPr>
        <w:tabs>
          <w:tab w:val="center" w:pos="4320"/>
          <w:tab w:val="right" w:pos="8640"/>
        </w:tabs>
        <w:ind w:right="180"/>
        <w:rPr>
          <w:sz w:val="20"/>
          <w:szCs w:val="20"/>
          <w:lang w:val="en-US"/>
        </w:rPr>
      </w:pPr>
      <w:r w:rsidRPr="5D8904BE">
        <w:rPr>
          <w:sz w:val="20"/>
          <w:szCs w:val="20"/>
          <w:lang w:val="en-US"/>
        </w:rPr>
        <w:t>The Bamako 2030 Vision, which aims for a resilient, inclusive and sustainable city.</w:t>
      </w:r>
    </w:p>
    <w:p w14:paraId="3537A845" w14:textId="77777777" w:rsidR="004F7DB3" w:rsidRPr="00B93ABE" w:rsidRDefault="51800ABC" w:rsidP="001360BB">
      <w:pPr>
        <w:pStyle w:val="Paragraphedeliste"/>
        <w:numPr>
          <w:ilvl w:val="0"/>
          <w:numId w:val="207"/>
        </w:numPr>
        <w:spacing w:after="0" w:line="240" w:lineRule="auto"/>
        <w:jc w:val="both"/>
        <w:rPr>
          <w:sz w:val="20"/>
          <w:szCs w:val="20"/>
          <w:lang w:val="en-US"/>
        </w:rPr>
      </w:pPr>
      <w:r w:rsidRPr="5D8904BE">
        <w:rPr>
          <w:sz w:val="20"/>
          <w:szCs w:val="20"/>
          <w:lang w:val="en-US"/>
        </w:rPr>
        <w:t>The National Spatial Planning Policy (2023) which promotes a decentralized and sustainable approach to urban development.</w:t>
      </w:r>
    </w:p>
    <w:p w14:paraId="0000032D" w14:textId="7F199B81" w:rsidR="004F7DB3" w:rsidRPr="00B93ABE" w:rsidRDefault="496F1838" w:rsidP="001360BB">
      <w:pPr>
        <w:numPr>
          <w:ilvl w:val="0"/>
          <w:numId w:val="207"/>
        </w:numPr>
        <w:tabs>
          <w:tab w:val="center" w:pos="4320"/>
          <w:tab w:val="right" w:pos="8640"/>
        </w:tabs>
        <w:spacing w:after="0" w:line="240" w:lineRule="auto"/>
        <w:ind w:right="180"/>
        <w:rPr>
          <w:sz w:val="20"/>
          <w:szCs w:val="20"/>
          <w:lang w:val="en-US"/>
        </w:rPr>
      </w:pPr>
      <w:r w:rsidRPr="00B93ABE">
        <w:rPr>
          <w:sz w:val="20"/>
          <w:szCs w:val="20"/>
          <w:lang w:val="en-US"/>
        </w:rPr>
        <w:t xml:space="preserve"> The United Nations Convention on Biological Diversity, ratified in June 1994</w:t>
      </w:r>
    </w:p>
    <w:p w14:paraId="0000032F" w14:textId="339EC7C0" w:rsidR="004F7DB3" w:rsidRPr="005E1CC9" w:rsidRDefault="496F1838" w:rsidP="001360BB">
      <w:pPr>
        <w:numPr>
          <w:ilvl w:val="0"/>
          <w:numId w:val="207"/>
        </w:numPr>
        <w:spacing w:after="0" w:line="240" w:lineRule="auto"/>
        <w:jc w:val="both"/>
        <w:rPr>
          <w:sz w:val="20"/>
          <w:szCs w:val="20"/>
          <w:lang w:val="en-US"/>
        </w:rPr>
      </w:pPr>
      <w:r w:rsidRPr="00B93ABE">
        <w:rPr>
          <w:sz w:val="20"/>
          <w:szCs w:val="20"/>
          <w:lang w:val="en-US"/>
        </w:rPr>
        <w:t>Convention on International Trade in Endangered Species of Wild Fauna and Flora (CITES), ratified Oct 1994</w:t>
      </w:r>
    </w:p>
    <w:p w14:paraId="00000330" w14:textId="0B821BE1" w:rsidR="004F7DB3" w:rsidRPr="00B93ABE" w:rsidRDefault="5C6EF691" w:rsidP="001360BB">
      <w:pPr>
        <w:numPr>
          <w:ilvl w:val="0"/>
          <w:numId w:val="207"/>
        </w:numPr>
        <w:spacing w:after="0" w:line="240" w:lineRule="auto"/>
        <w:jc w:val="both"/>
        <w:rPr>
          <w:sz w:val="20"/>
          <w:szCs w:val="20"/>
          <w:lang w:val="en-US"/>
        </w:rPr>
      </w:pPr>
      <w:r w:rsidRPr="5D8904BE">
        <w:rPr>
          <w:sz w:val="20"/>
          <w:szCs w:val="20"/>
          <w:lang w:val="en-US"/>
        </w:rPr>
        <w:t>The Paris Agreement on Climate Change</w:t>
      </w:r>
      <w:r w:rsidR="6667F046" w:rsidRPr="5D8904BE">
        <w:rPr>
          <w:sz w:val="20"/>
          <w:szCs w:val="20"/>
          <w:lang w:val="en-US"/>
        </w:rPr>
        <w:t>: aims to intensify the global effort to reduce global warming below a temperature increase of 1.5°C above pre-industrial levels, in a multidimensional context of the threat of climate change, sustainable development, and poverty eradication. Mali's implementation of its Article 6, relating to "voluntary cooperation in the implementation of Parties' nationally determined contributions to raise the level of ambition of mitigation and adaptation measures and to promote sustainable development and environmental integrity," could constitute a melting pot of urban development opportunities for the country's cities by developing and capitalizing on the current integrated sustainable urban development project for Bamako.</w:t>
      </w:r>
    </w:p>
    <w:p w14:paraId="00000332" w14:textId="6030F759" w:rsidR="004F7DB3" w:rsidRPr="006F5E1D" w:rsidRDefault="6F3012C1" w:rsidP="001360BB">
      <w:pPr>
        <w:numPr>
          <w:ilvl w:val="0"/>
          <w:numId w:val="207"/>
        </w:numPr>
        <w:spacing w:after="0" w:line="240" w:lineRule="auto"/>
        <w:jc w:val="both"/>
        <w:rPr>
          <w:sz w:val="20"/>
          <w:szCs w:val="20"/>
          <w:lang w:val="en-US"/>
        </w:rPr>
      </w:pPr>
      <w:r w:rsidRPr="006F5E1D">
        <w:rPr>
          <w:sz w:val="20"/>
          <w:szCs w:val="20"/>
          <w:lang w:val="en-US"/>
        </w:rPr>
        <w:t xml:space="preserve">The 2016 UN-HABITAT New Urban </w:t>
      </w:r>
      <w:proofErr w:type="gramStart"/>
      <w:r w:rsidRPr="006F5E1D">
        <w:rPr>
          <w:sz w:val="20"/>
          <w:szCs w:val="20"/>
          <w:lang w:val="en-US"/>
        </w:rPr>
        <w:t xml:space="preserve">Agenda  </w:t>
      </w:r>
      <w:r w:rsidR="4E47E916" w:rsidRPr="006F5E1D">
        <w:rPr>
          <w:sz w:val="20"/>
          <w:szCs w:val="20"/>
          <w:lang w:val="en-US"/>
        </w:rPr>
        <w:t>:</w:t>
      </w:r>
      <w:proofErr w:type="gramEnd"/>
      <w:r w:rsidR="4E47E916" w:rsidRPr="006F5E1D">
        <w:rPr>
          <w:sz w:val="20"/>
          <w:szCs w:val="20"/>
          <w:lang w:val="en-US"/>
        </w:rPr>
        <w:t xml:space="preserve"> is a global framework for urban sustainable development, which aims to transform cities into engines of inclusive and sustainable development. It offers a shared vision for a better and more sustainable future, guiding urban planning and management to support the Sustainable Development Goals.</w:t>
      </w:r>
    </w:p>
    <w:p w14:paraId="00000333" w14:textId="3F209547" w:rsidR="004F7DB3" w:rsidRPr="00B93ABE" w:rsidRDefault="6F3012C1" w:rsidP="001360BB">
      <w:pPr>
        <w:numPr>
          <w:ilvl w:val="0"/>
          <w:numId w:val="207"/>
        </w:numPr>
        <w:spacing w:after="0" w:line="240" w:lineRule="auto"/>
        <w:jc w:val="both"/>
        <w:rPr>
          <w:lang w:val="en-US"/>
        </w:rPr>
      </w:pPr>
      <w:r w:rsidRPr="006F5E1D">
        <w:rPr>
          <w:sz w:val="20"/>
          <w:szCs w:val="20"/>
          <w:lang w:val="en-US"/>
        </w:rPr>
        <w:t>UNDP's Global Strategic Framework 2022-2025</w:t>
      </w:r>
      <w:r w:rsidR="4D473DEB" w:rsidRPr="006F5E1D">
        <w:rPr>
          <w:sz w:val="20"/>
          <w:szCs w:val="20"/>
          <w:lang w:val="en-US"/>
        </w:rPr>
        <w:t>: Thus, in 2022, halfway through the 2030 Agenda, to support the implementation of actions with positive multiplier impacts on the achievement of the SDGs in its host partner countries, UNDP developed a new Strategic Plan (2022-2025) structured around: a) three (3) axes of change (structural transformation, leaving no one behind; strengthening resilience); b) six (6) solutions (fighting poverty and inequality; governance, resilience, environment, energy and gender equality); and c) three (3) catalysts (strategic innovation, digitalization and development financing).</w:t>
      </w:r>
      <w:r w:rsidR="4D473DEB" w:rsidRPr="5D8904BE">
        <w:rPr>
          <w:sz w:val="20"/>
          <w:szCs w:val="20"/>
          <w:lang w:val="en-US"/>
        </w:rPr>
        <w:t>This Strategic Plan (2022-2025) is based on UNDP's ongoing commitment to eradicate poverty, support countries towards achieving the SDGs and encourage the implementation of the Paris Agreement. It sets out ambitious targets that will improve millions of lives, including addressing multidimensional poverty, access to energy, electoral participation, and financing for development. The overarching goal is to scale up and accelerate progress toward inclusive green transitions that will empower all people by expanding opportunities and building resilience.</w:t>
      </w:r>
    </w:p>
    <w:p w14:paraId="00000334" w14:textId="1688BAE3" w:rsidR="004F7DB3" w:rsidRPr="00B93ABE" w:rsidRDefault="6F3012C1" w:rsidP="001360BB">
      <w:pPr>
        <w:numPr>
          <w:ilvl w:val="0"/>
          <w:numId w:val="207"/>
        </w:numPr>
        <w:spacing w:after="0" w:line="240" w:lineRule="auto"/>
        <w:jc w:val="both"/>
        <w:rPr>
          <w:sz w:val="20"/>
          <w:szCs w:val="20"/>
          <w:lang w:val="en-US"/>
        </w:rPr>
      </w:pPr>
      <w:r w:rsidRPr="5D8904BE">
        <w:rPr>
          <w:sz w:val="20"/>
          <w:szCs w:val="20"/>
          <w:lang w:val="en-US"/>
        </w:rPr>
        <w:lastRenderedPageBreak/>
        <w:t xml:space="preserve">The United Nations Development Framework for Sustainable Development and the UNDP Country </w:t>
      </w:r>
      <w:proofErr w:type="spellStart"/>
      <w:r w:rsidRPr="5D8904BE">
        <w:rPr>
          <w:sz w:val="20"/>
          <w:szCs w:val="20"/>
          <w:lang w:val="en-US"/>
        </w:rPr>
        <w:t>Programme</w:t>
      </w:r>
      <w:proofErr w:type="spellEnd"/>
      <w:r w:rsidRPr="5D8904BE">
        <w:rPr>
          <w:sz w:val="20"/>
          <w:szCs w:val="20"/>
          <w:lang w:val="en-US"/>
        </w:rPr>
        <w:t xml:space="preserve"> Document 2020-24</w:t>
      </w:r>
      <w:r w:rsidR="27E39DB2" w:rsidRPr="5D8904BE">
        <w:rPr>
          <w:sz w:val="20"/>
          <w:szCs w:val="20"/>
          <w:lang w:val="en-US"/>
        </w:rPr>
        <w:t>: The UNDP country office in Mali operates through an integrated approach alongside the government and partners in the sectors of activity included in Mali's national priorities in accordance with the CREDD (2019 - 2023) and the achievement of the SDGs in Mali in line with the 2030 Agenda and the 2063 Agenda of the African Union. The 2020-2024 country program aims to contribute to the advent of a peaceful and resilient Malian society where citizens regain confidence in their institutions; live in a peaceful, just environment and a fair judicial system; are resilient to crises and benefit from the fruits of inclusive growth.</w:t>
      </w:r>
    </w:p>
    <w:p w14:paraId="00000335" w14:textId="1FC5DD84" w:rsidR="004F7DB3" w:rsidRPr="00B93ABE" w:rsidRDefault="5C6EF691" w:rsidP="001360BB">
      <w:pPr>
        <w:numPr>
          <w:ilvl w:val="0"/>
          <w:numId w:val="207"/>
        </w:numPr>
        <w:spacing w:after="0" w:line="240" w:lineRule="auto"/>
        <w:jc w:val="both"/>
        <w:rPr>
          <w:sz w:val="20"/>
          <w:szCs w:val="20"/>
          <w:lang w:val="en-US"/>
        </w:rPr>
      </w:pPr>
      <w:r w:rsidRPr="5D8904BE">
        <w:rPr>
          <w:sz w:val="20"/>
          <w:szCs w:val="20"/>
          <w:lang w:val="en-US"/>
        </w:rPr>
        <w:t>The Sahel Space Development Strategy</w:t>
      </w:r>
      <w:r w:rsidR="49394515" w:rsidRPr="5D8904BE">
        <w:rPr>
          <w:sz w:val="20"/>
          <w:szCs w:val="20"/>
          <w:lang w:val="en-US"/>
        </w:rPr>
        <w:t>: The Sahel Space Development Strategy focuses on improving the lives of people in the Sahel region, specifically addressing security, economic opportunities, and access to basic services. It aims to enhance political stability, promote good governance, and reduce the influence of criminal groups and terrorists. Key objectives include improving access to basic services like roads, livelihoods, education, and social services, especially in contested areas</w:t>
      </w:r>
      <w:r w:rsidRPr="5D8904BE">
        <w:rPr>
          <w:sz w:val="20"/>
          <w:szCs w:val="20"/>
          <w:lang w:val="en-US"/>
        </w:rPr>
        <w:t xml:space="preserve"> </w:t>
      </w:r>
    </w:p>
    <w:p w14:paraId="00000336" w14:textId="77777777" w:rsidR="004F7DB3" w:rsidRDefault="552CE4D7">
      <w:pPr>
        <w:spacing w:before="240" w:after="240" w:line="276" w:lineRule="auto"/>
        <w:jc w:val="both"/>
        <w:rPr>
          <w:sz w:val="20"/>
          <w:szCs w:val="20"/>
          <w:lang w:val="en-US"/>
        </w:rPr>
      </w:pPr>
      <w:r w:rsidRPr="2600A84A">
        <w:rPr>
          <w:sz w:val="20"/>
          <w:szCs w:val="20"/>
          <w:lang w:val="en-US"/>
        </w:rPr>
        <w:t xml:space="preserve">The project positions the city of Bamako as an </w:t>
      </w:r>
      <w:r w:rsidRPr="2600A84A">
        <w:rPr>
          <w:b/>
          <w:bCs/>
          <w:sz w:val="20"/>
          <w:szCs w:val="20"/>
          <w:lang w:val="en-US"/>
        </w:rPr>
        <w:t>urban innovation laboratory</w:t>
      </w:r>
      <w:r w:rsidRPr="2600A84A">
        <w:rPr>
          <w:sz w:val="20"/>
          <w:szCs w:val="20"/>
          <w:lang w:val="en-US"/>
        </w:rPr>
        <w:t xml:space="preserve"> for Mali, synergizing political reforms, local economic dynamics and ecological transitions. It responds to Mali's international commitments (SDGs, Agenda 2063, New Urban Agenda, Paris Agreement) and proposes a roadmap for inclusive and sustainable urbanization, anchored in solid and evolving institutional mechanisms.</w:t>
      </w:r>
    </w:p>
    <w:p w14:paraId="2C4634D6" w14:textId="030C1666" w:rsidR="64DAFFA4" w:rsidRPr="00857B81" w:rsidRDefault="64DAFFA4">
      <w:pPr>
        <w:rPr>
          <w:sz w:val="20"/>
          <w:szCs w:val="20"/>
          <w:highlight w:val="yellow"/>
          <w:lang w:val="en-US"/>
        </w:rPr>
      </w:pPr>
      <w:r w:rsidRPr="00857B81">
        <w:rPr>
          <w:b/>
          <w:bCs/>
          <w:color w:val="000000" w:themeColor="text1"/>
          <w:sz w:val="20"/>
          <w:szCs w:val="20"/>
          <w:highlight w:val="yellow"/>
          <w:lang w:val="en-US"/>
        </w:rPr>
        <w:t>The Incremental Value of the GEF-Financed Project</w:t>
      </w:r>
    </w:p>
    <w:p w14:paraId="151CECCC" w14:textId="6B51D6E5" w:rsidR="64DAFFA4" w:rsidRPr="00DC2CA1" w:rsidRDefault="64DAFFA4" w:rsidP="00857B81">
      <w:pPr>
        <w:spacing w:line="257" w:lineRule="auto"/>
        <w:rPr>
          <w:color w:val="000000" w:themeColor="text1"/>
          <w:sz w:val="20"/>
          <w:szCs w:val="20"/>
          <w:highlight w:val="yellow"/>
          <w:lang w:val="en-US"/>
        </w:rPr>
      </w:pPr>
      <w:r w:rsidRPr="00DC2CA1">
        <w:rPr>
          <w:color w:val="000000" w:themeColor="text1"/>
          <w:sz w:val="20"/>
          <w:szCs w:val="20"/>
          <w:highlight w:val="yellow"/>
          <w:lang w:val="en-US"/>
        </w:rPr>
        <w:t xml:space="preserve">With GEF financing, the project will generate significant global environmental benefits and adaptation benefits through a set of catalytic and integrated interventions and will work in close collaboration and synergy with initiatives such </w:t>
      </w:r>
      <w:proofErr w:type="gramStart"/>
      <w:r w:rsidRPr="00DC2CA1">
        <w:rPr>
          <w:color w:val="000000" w:themeColor="text1"/>
          <w:sz w:val="20"/>
          <w:szCs w:val="20"/>
          <w:highlight w:val="yellow"/>
          <w:lang w:val="en-US"/>
        </w:rPr>
        <w:t>as  WB</w:t>
      </w:r>
      <w:proofErr w:type="gramEnd"/>
      <w:r w:rsidRPr="00DC2CA1">
        <w:rPr>
          <w:color w:val="000000" w:themeColor="text1"/>
          <w:sz w:val="20"/>
          <w:szCs w:val="20"/>
          <w:highlight w:val="yellow"/>
          <w:lang w:val="en-US"/>
        </w:rPr>
        <w:t xml:space="preserve"> (components 1 and 3) and </w:t>
      </w:r>
      <w:r w:rsidR="007E7D0A" w:rsidRPr="00DC2CA1">
        <w:rPr>
          <w:color w:val="000000" w:themeColor="text1"/>
          <w:sz w:val="20"/>
          <w:szCs w:val="20"/>
          <w:highlight w:val="yellow"/>
          <w:lang w:val="en-US"/>
        </w:rPr>
        <w:t>potentially</w:t>
      </w:r>
      <w:r w:rsidR="009711AE" w:rsidRPr="00DC2CA1">
        <w:rPr>
          <w:color w:val="000000" w:themeColor="text1"/>
          <w:sz w:val="20"/>
          <w:szCs w:val="20"/>
          <w:highlight w:val="yellow"/>
          <w:lang w:val="en-US"/>
        </w:rPr>
        <w:t xml:space="preserve"> </w:t>
      </w:r>
      <w:r w:rsidRPr="00DC2CA1">
        <w:rPr>
          <w:color w:val="000000" w:themeColor="text1"/>
          <w:sz w:val="20"/>
          <w:szCs w:val="20"/>
          <w:highlight w:val="yellow"/>
          <w:lang w:val="en-US"/>
        </w:rPr>
        <w:t>AfDB (component 2). GEF resources will enable the project to shift from sectoral, short-term planning to a long-term, inclusive, and climate-informed urban development approach.</w:t>
      </w:r>
    </w:p>
    <w:p w14:paraId="51296B80" w14:textId="65E254CB" w:rsidR="64DAFFA4" w:rsidRPr="00857B81" w:rsidRDefault="64DAFFA4">
      <w:pPr>
        <w:rPr>
          <w:color w:val="000000" w:themeColor="text1"/>
          <w:sz w:val="20"/>
          <w:szCs w:val="20"/>
          <w:highlight w:val="yellow"/>
          <w:lang w:val="en-US"/>
        </w:rPr>
      </w:pPr>
      <w:r w:rsidRPr="00857B81">
        <w:rPr>
          <w:color w:val="000000" w:themeColor="text1"/>
          <w:sz w:val="20"/>
          <w:szCs w:val="20"/>
          <w:highlight w:val="yellow"/>
          <w:lang w:val="en-US"/>
        </w:rPr>
        <w:t>GEF funding will allow the District of Bamako, and Mali in general, to adopt a comprehensive and integrated approach that builds on existing efforts while addressing their limitations. The project will:</w:t>
      </w:r>
    </w:p>
    <w:p w14:paraId="69351396" w14:textId="658FF29F" w:rsidR="64DAFFA4" w:rsidRPr="00857B81" w:rsidRDefault="64DAFFA4" w:rsidP="00857B81">
      <w:pPr>
        <w:pStyle w:val="Paragraphedeliste"/>
        <w:numPr>
          <w:ilvl w:val="0"/>
          <w:numId w:val="7"/>
        </w:numPr>
        <w:rPr>
          <w:color w:val="000000" w:themeColor="text1"/>
          <w:sz w:val="20"/>
          <w:szCs w:val="20"/>
          <w:highlight w:val="yellow"/>
          <w:lang w:val="en-US"/>
        </w:rPr>
      </w:pPr>
      <w:r w:rsidRPr="00857B81">
        <w:rPr>
          <w:b/>
          <w:bCs/>
          <w:color w:val="000000" w:themeColor="text1"/>
          <w:sz w:val="20"/>
          <w:szCs w:val="20"/>
          <w:highlight w:val="yellow"/>
          <w:lang w:val="en-US"/>
        </w:rPr>
        <w:t>Foster territorial coordination</w:t>
      </w:r>
      <w:r w:rsidRPr="00857B81">
        <w:rPr>
          <w:color w:val="000000" w:themeColor="text1"/>
          <w:sz w:val="20"/>
          <w:szCs w:val="20"/>
          <w:highlight w:val="yellow"/>
          <w:lang w:val="en-US"/>
        </w:rPr>
        <w:t xml:space="preserve"> in Bamako across national, regional, and municipal levels, aligning planning instruments (e.g. Spatial master plan, urban Master Plan, sectoral national policies and strategies) and enhancing collaboration between all stakeholders including private sector or civil society. (Outputs 1.1.1 and 1.1.2 under Component 1)</w:t>
      </w:r>
    </w:p>
    <w:p w14:paraId="418B53DB" w14:textId="60F7BBD9" w:rsidR="64DAFFA4" w:rsidRPr="00857B81" w:rsidRDefault="64DAFFA4" w:rsidP="00857B81">
      <w:pPr>
        <w:pStyle w:val="Paragraphedeliste"/>
        <w:numPr>
          <w:ilvl w:val="0"/>
          <w:numId w:val="7"/>
        </w:numPr>
        <w:rPr>
          <w:color w:val="000000" w:themeColor="text1"/>
          <w:sz w:val="20"/>
          <w:szCs w:val="20"/>
          <w:highlight w:val="yellow"/>
          <w:lang w:val="en-US"/>
        </w:rPr>
      </w:pPr>
      <w:r w:rsidRPr="00857B81">
        <w:rPr>
          <w:b/>
          <w:bCs/>
          <w:color w:val="000000" w:themeColor="text1"/>
          <w:sz w:val="20"/>
          <w:szCs w:val="20"/>
          <w:highlight w:val="yellow"/>
          <w:lang w:val="en-US"/>
        </w:rPr>
        <w:t>Promote cross-sectoral and multi-actor governance</w:t>
      </w:r>
      <w:r w:rsidRPr="00857B81">
        <w:rPr>
          <w:color w:val="000000" w:themeColor="text1"/>
          <w:sz w:val="20"/>
          <w:szCs w:val="20"/>
          <w:highlight w:val="yellow"/>
          <w:lang w:val="en-US"/>
        </w:rPr>
        <w:t xml:space="preserve"> by integrating transport, waste, energy, and biodiversity management into urban policy and spatial planning, while enhancing platforms for participation and inclusion (e.g. youth, women, informal actors, private sector). (Output 1.1.3 under component 1)</w:t>
      </w:r>
    </w:p>
    <w:p w14:paraId="1817D315" w14:textId="5551AE49" w:rsidR="64DAFFA4" w:rsidRPr="00857B81" w:rsidRDefault="64DAFFA4" w:rsidP="00857B81">
      <w:pPr>
        <w:pStyle w:val="Paragraphedeliste"/>
        <w:numPr>
          <w:ilvl w:val="0"/>
          <w:numId w:val="7"/>
        </w:numPr>
        <w:rPr>
          <w:color w:val="000000" w:themeColor="text1"/>
          <w:sz w:val="20"/>
          <w:szCs w:val="20"/>
          <w:highlight w:val="yellow"/>
          <w:lang w:val="en-US"/>
        </w:rPr>
      </w:pPr>
      <w:r w:rsidRPr="00857B81">
        <w:rPr>
          <w:b/>
          <w:bCs/>
          <w:color w:val="000000" w:themeColor="text1"/>
          <w:sz w:val="20"/>
          <w:szCs w:val="20"/>
          <w:highlight w:val="yellow"/>
          <w:lang w:val="en-US"/>
        </w:rPr>
        <w:t>Promote sustainable transport and strengthen governance of the transport sector</w:t>
      </w:r>
      <w:r w:rsidRPr="00857B81">
        <w:rPr>
          <w:color w:val="000000" w:themeColor="text1"/>
          <w:sz w:val="20"/>
          <w:szCs w:val="20"/>
          <w:highlight w:val="yellow"/>
          <w:lang w:val="en-US"/>
        </w:rPr>
        <w:t>, including developing capacity for private operators on sustainable transport, contributing to the operationalization of mobility plan in Bamako through feasibility of strategic projects and scaling up finance, improving governance of the sector and setting up an M&amp;E system for e-mobility at the level of the transport and the District of Bamako (Outputs  2.1.1, 2.1.2 and 2.1.3 under component 2)</w:t>
      </w:r>
    </w:p>
    <w:p w14:paraId="222106E9" w14:textId="45D89FE1" w:rsidR="64DAFFA4" w:rsidRPr="00857B81" w:rsidRDefault="64DAFFA4" w:rsidP="00857B81">
      <w:pPr>
        <w:pStyle w:val="Paragraphedeliste"/>
        <w:numPr>
          <w:ilvl w:val="0"/>
          <w:numId w:val="7"/>
        </w:numPr>
        <w:rPr>
          <w:color w:val="000000" w:themeColor="text1"/>
          <w:sz w:val="20"/>
          <w:szCs w:val="20"/>
          <w:highlight w:val="yellow"/>
          <w:lang w:val="en-US"/>
        </w:rPr>
      </w:pPr>
      <w:r w:rsidRPr="00857B81">
        <w:rPr>
          <w:b/>
          <w:bCs/>
          <w:color w:val="000000" w:themeColor="text1"/>
          <w:sz w:val="20"/>
          <w:szCs w:val="20"/>
          <w:highlight w:val="yellow"/>
          <w:lang w:val="en-US"/>
        </w:rPr>
        <w:t>Invest in ecosystem restoration and nature-based solutions</w:t>
      </w:r>
      <w:r w:rsidRPr="00857B81">
        <w:rPr>
          <w:color w:val="000000" w:themeColor="text1"/>
          <w:sz w:val="20"/>
          <w:szCs w:val="20"/>
          <w:highlight w:val="yellow"/>
          <w:lang w:val="en-US"/>
        </w:rPr>
        <w:t>, including reforestation of peri-urban forests, development of green infrastructure, climate-resilient landscaping, and participatory co-management of urban forests and riverbanks. (Component 3 – Outputs 3.1.3 and 3.1.4)</w:t>
      </w:r>
    </w:p>
    <w:p w14:paraId="6420FC6A" w14:textId="484851B2" w:rsidR="64DAFFA4" w:rsidRPr="00857B81" w:rsidRDefault="64DAFFA4" w:rsidP="00857B81">
      <w:pPr>
        <w:pStyle w:val="Paragraphedeliste"/>
        <w:numPr>
          <w:ilvl w:val="0"/>
          <w:numId w:val="7"/>
        </w:numPr>
        <w:rPr>
          <w:color w:val="000000" w:themeColor="text1"/>
          <w:sz w:val="20"/>
          <w:szCs w:val="20"/>
          <w:highlight w:val="yellow"/>
          <w:lang w:val="en-US"/>
        </w:rPr>
      </w:pPr>
      <w:r w:rsidRPr="00857B81">
        <w:rPr>
          <w:b/>
          <w:bCs/>
          <w:color w:val="000000" w:themeColor="text1"/>
          <w:sz w:val="20"/>
          <w:szCs w:val="20"/>
          <w:highlight w:val="yellow"/>
          <w:lang w:val="en-US"/>
        </w:rPr>
        <w:t>Pilot green and inclusive infrastructure and services</w:t>
      </w:r>
      <w:r w:rsidRPr="00857B81">
        <w:rPr>
          <w:color w:val="000000" w:themeColor="text1"/>
          <w:sz w:val="20"/>
          <w:szCs w:val="20"/>
          <w:highlight w:val="yellow"/>
          <w:lang w:val="en-US"/>
        </w:rPr>
        <w:t xml:space="preserve">, such as shared management of green spaces through public-private-community contracts, green jobs for youth and women, and inclusive ecotourism models. </w:t>
      </w:r>
      <w:r w:rsidRPr="00857B81">
        <w:rPr>
          <w:color w:val="000000" w:themeColor="text1"/>
          <w:sz w:val="20"/>
          <w:szCs w:val="20"/>
          <w:highlight w:val="yellow"/>
        </w:rPr>
        <w:t>(Component 3 – Outputs 3.1.4.6, 3.1.4.7 and 3.1.4.8)</w:t>
      </w:r>
    </w:p>
    <w:p w14:paraId="2B49A522" w14:textId="4CCB0FF2" w:rsidR="64DAFFA4" w:rsidRPr="00857B81" w:rsidRDefault="64DAFFA4" w:rsidP="00857B81">
      <w:pPr>
        <w:pStyle w:val="Paragraphedeliste"/>
        <w:numPr>
          <w:ilvl w:val="0"/>
          <w:numId w:val="7"/>
        </w:numPr>
        <w:rPr>
          <w:color w:val="000000" w:themeColor="text1"/>
          <w:sz w:val="20"/>
          <w:szCs w:val="20"/>
          <w:highlight w:val="yellow"/>
          <w:lang w:val="en-US"/>
        </w:rPr>
      </w:pPr>
      <w:r w:rsidRPr="00857B81">
        <w:rPr>
          <w:b/>
          <w:bCs/>
          <w:color w:val="000000" w:themeColor="text1"/>
          <w:sz w:val="20"/>
          <w:szCs w:val="20"/>
          <w:highlight w:val="yellow"/>
          <w:lang w:val="en-US"/>
        </w:rPr>
        <w:t>Strengthen the financial ecosystem for resilient urban development</w:t>
      </w:r>
      <w:r w:rsidRPr="00857B81">
        <w:rPr>
          <w:color w:val="000000" w:themeColor="text1"/>
          <w:sz w:val="20"/>
          <w:szCs w:val="20"/>
          <w:highlight w:val="yellow"/>
          <w:lang w:val="en-US"/>
        </w:rPr>
        <w:t>, by establishing innovative financing mechanisms (e.g. revolving funds, digital platforms, municipal PPP frameworks), improving fiscal governance (e.g. digitalization, green tax), and attracting private sector investment. (Component 1 – Outcome 1.2, Output 1.2.1; and Component 2, Outcome 2.1, Output 2.1.3)</w:t>
      </w:r>
    </w:p>
    <w:p w14:paraId="7B0782C7" w14:textId="77777777" w:rsidR="008D0733" w:rsidRPr="003C5C1B" w:rsidRDefault="008D0733" w:rsidP="008D0733">
      <w:pPr>
        <w:rPr>
          <w:rFonts w:eastAsiaTheme="minorEastAsia"/>
          <w:sz w:val="20"/>
          <w:szCs w:val="20"/>
          <w:highlight w:val="green"/>
          <w:lang w:val="en-US"/>
        </w:rPr>
      </w:pPr>
      <w:r w:rsidRPr="003C5C1B">
        <w:rPr>
          <w:rFonts w:eastAsiaTheme="minorEastAsia"/>
          <w:b/>
          <w:bCs/>
          <w:sz w:val="20"/>
          <w:szCs w:val="20"/>
          <w:highlight w:val="green"/>
          <w:lang w:val="en-US"/>
        </w:rPr>
        <w:lastRenderedPageBreak/>
        <w:t>Climate Change Adaptation (CCA).</w:t>
      </w:r>
      <w:r w:rsidRPr="003C5C1B">
        <w:rPr>
          <w:rFonts w:eastAsiaTheme="minorEastAsia"/>
          <w:sz w:val="20"/>
          <w:szCs w:val="20"/>
          <w:highlight w:val="green"/>
          <w:lang w:val="en-US"/>
        </w:rPr>
        <w:t xml:space="preserve"> GEF financing will establish and manage a climate-resilient green belt (Component 3) that delivers multiple ecosystem services—urban cooling, carbon sequestration, erosion control, flood-risk mitigation, and biodiversity protection. The green belt will function as a natural buffer for vulnerable communities—particularly informal settlements near degraded wetlands and hillsides—against climate-induced hazards (flash floods, heatwaves, landslides). These areas host low-income populations with limited formal infrastructure and face rising climate risk in the absence of intervention.</w:t>
      </w:r>
    </w:p>
    <w:p w14:paraId="6A3118B5" w14:textId="77777777" w:rsidR="008D0733" w:rsidRPr="003C5C1B" w:rsidRDefault="008D0733" w:rsidP="008D0733">
      <w:pPr>
        <w:rPr>
          <w:rFonts w:eastAsiaTheme="minorEastAsia"/>
          <w:sz w:val="20"/>
          <w:szCs w:val="20"/>
          <w:highlight w:val="green"/>
          <w:lang w:val="en-US"/>
        </w:rPr>
      </w:pPr>
      <w:r w:rsidRPr="003C5C1B">
        <w:rPr>
          <w:rFonts w:eastAsiaTheme="minorEastAsia"/>
          <w:b/>
          <w:bCs/>
          <w:sz w:val="20"/>
          <w:szCs w:val="20"/>
          <w:highlight w:val="green"/>
          <w:lang w:val="en-US"/>
        </w:rPr>
        <w:t>Nature-Based Solutions (NBS).</w:t>
      </w:r>
      <w:r w:rsidRPr="003C5C1B">
        <w:rPr>
          <w:rFonts w:eastAsiaTheme="minorEastAsia"/>
          <w:sz w:val="20"/>
          <w:szCs w:val="20"/>
          <w:highlight w:val="green"/>
          <w:lang w:val="en-US"/>
        </w:rPr>
        <w:t xml:space="preserve"> GEF resources will support community-led reforestation, agroforestry, and ecosystem restoration in ecologically sensitive zones (Outputs 3.1.3 and 3.1.4). These investments are projected to indirectly reduce climate exposure for over 100,000 vulnerable urban residents (populations living in and around forested areas) and restore more than 1,200 hectares of degraded land. By explicitly linking urban planning and ecosystem services, the project promotes climate-adaptive land use and secures ecological buffers as permanent planning assets. In parallel, approximately 400 direct and 10,000 indirect beneficiaries will realize adaptation co-benefits from the rehabilitation of seven green urban spaces (~1.75 ha).</w:t>
      </w:r>
    </w:p>
    <w:p w14:paraId="788DC0E0" w14:textId="77777777" w:rsidR="008D0733" w:rsidRPr="003C5C1B" w:rsidRDefault="008D0733" w:rsidP="008D0733">
      <w:pPr>
        <w:rPr>
          <w:rFonts w:eastAsiaTheme="minorEastAsia"/>
          <w:sz w:val="20"/>
          <w:szCs w:val="20"/>
          <w:highlight w:val="green"/>
          <w:lang w:val="en-US"/>
        </w:rPr>
      </w:pPr>
      <w:r w:rsidRPr="003C5C1B">
        <w:rPr>
          <w:rFonts w:eastAsiaTheme="minorEastAsia"/>
          <w:b/>
          <w:bCs/>
          <w:sz w:val="20"/>
          <w:szCs w:val="20"/>
          <w:highlight w:val="green"/>
          <w:lang w:val="en-US"/>
        </w:rPr>
        <w:t>Monitoring &amp; Evaluation.</w:t>
      </w:r>
      <w:r w:rsidRPr="003C5C1B">
        <w:rPr>
          <w:rFonts w:eastAsiaTheme="minorEastAsia"/>
          <w:sz w:val="20"/>
          <w:szCs w:val="20"/>
          <w:highlight w:val="green"/>
          <w:lang w:val="en-US"/>
        </w:rPr>
        <w:t xml:space="preserve"> In addition to the project’s results framework, performance will be tracked through indicators such as:</w:t>
      </w:r>
    </w:p>
    <w:p w14:paraId="712D4B81" w14:textId="77777777" w:rsidR="008D0733" w:rsidRPr="003C5C1B" w:rsidRDefault="008D0733" w:rsidP="008D0733">
      <w:pPr>
        <w:numPr>
          <w:ilvl w:val="0"/>
          <w:numId w:val="901"/>
        </w:numPr>
        <w:rPr>
          <w:rFonts w:eastAsiaTheme="minorEastAsia"/>
          <w:sz w:val="20"/>
          <w:szCs w:val="20"/>
          <w:highlight w:val="green"/>
          <w:lang w:val="en-US"/>
        </w:rPr>
      </w:pPr>
      <w:r w:rsidRPr="003C5C1B">
        <w:rPr>
          <w:rFonts w:eastAsiaTheme="minorEastAsia"/>
          <w:b/>
          <w:bCs/>
          <w:sz w:val="20"/>
          <w:szCs w:val="20"/>
          <w:highlight w:val="green"/>
          <w:lang w:val="en-US"/>
        </w:rPr>
        <w:t>Number of policies/plans revised</w:t>
      </w:r>
      <w:r w:rsidRPr="003C5C1B">
        <w:rPr>
          <w:rFonts w:eastAsiaTheme="minorEastAsia"/>
          <w:sz w:val="20"/>
          <w:szCs w:val="20"/>
          <w:highlight w:val="green"/>
          <w:lang w:val="en-US"/>
        </w:rPr>
        <w:t xml:space="preserve"> to integrate climate </w:t>
      </w:r>
      <w:proofErr w:type="gramStart"/>
      <w:r w:rsidRPr="003C5C1B">
        <w:rPr>
          <w:rFonts w:eastAsiaTheme="minorEastAsia"/>
          <w:sz w:val="20"/>
          <w:szCs w:val="20"/>
          <w:highlight w:val="green"/>
          <w:lang w:val="en-US"/>
        </w:rPr>
        <w:t>risk;</w:t>
      </w:r>
      <w:proofErr w:type="gramEnd"/>
    </w:p>
    <w:p w14:paraId="71B6970F" w14:textId="77777777" w:rsidR="008D0733" w:rsidRPr="003C5C1B" w:rsidRDefault="008D0733" w:rsidP="008D0733">
      <w:pPr>
        <w:numPr>
          <w:ilvl w:val="0"/>
          <w:numId w:val="901"/>
        </w:numPr>
        <w:rPr>
          <w:rFonts w:eastAsiaTheme="minorEastAsia"/>
          <w:sz w:val="20"/>
          <w:szCs w:val="20"/>
          <w:highlight w:val="green"/>
          <w:lang w:val="en-US"/>
        </w:rPr>
      </w:pPr>
      <w:r w:rsidRPr="003C5C1B">
        <w:rPr>
          <w:rFonts w:eastAsiaTheme="minorEastAsia"/>
          <w:b/>
          <w:bCs/>
          <w:sz w:val="20"/>
          <w:szCs w:val="20"/>
          <w:highlight w:val="green"/>
          <w:lang w:val="en-US"/>
        </w:rPr>
        <w:t>Urban areas with reduced exposure</w:t>
      </w:r>
      <w:r w:rsidRPr="003C5C1B">
        <w:rPr>
          <w:rFonts w:eastAsiaTheme="minorEastAsia"/>
          <w:sz w:val="20"/>
          <w:szCs w:val="20"/>
          <w:highlight w:val="green"/>
          <w:lang w:val="en-US"/>
        </w:rPr>
        <w:t xml:space="preserve"> to flooding, pollution, and heat-island </w:t>
      </w:r>
      <w:proofErr w:type="gramStart"/>
      <w:r w:rsidRPr="003C5C1B">
        <w:rPr>
          <w:rFonts w:eastAsiaTheme="minorEastAsia"/>
          <w:sz w:val="20"/>
          <w:szCs w:val="20"/>
          <w:highlight w:val="green"/>
          <w:lang w:val="en-US"/>
        </w:rPr>
        <w:t>effects;</w:t>
      </w:r>
      <w:proofErr w:type="gramEnd"/>
    </w:p>
    <w:p w14:paraId="04CE1CC1" w14:textId="77777777" w:rsidR="008D0733" w:rsidRPr="003C5C1B" w:rsidRDefault="008D0733" w:rsidP="008D0733">
      <w:pPr>
        <w:numPr>
          <w:ilvl w:val="0"/>
          <w:numId w:val="901"/>
        </w:numPr>
        <w:rPr>
          <w:rFonts w:eastAsiaTheme="minorEastAsia"/>
          <w:sz w:val="20"/>
          <w:szCs w:val="20"/>
          <w:highlight w:val="green"/>
          <w:lang w:val="en-US"/>
        </w:rPr>
      </w:pPr>
      <w:r w:rsidRPr="003C5C1B">
        <w:rPr>
          <w:rFonts w:eastAsiaTheme="minorEastAsia"/>
          <w:b/>
          <w:bCs/>
          <w:sz w:val="20"/>
          <w:szCs w:val="20"/>
          <w:highlight w:val="green"/>
          <w:lang w:val="en-US"/>
        </w:rPr>
        <w:t>Improved management of forests and green spaces</w:t>
      </w:r>
      <w:r w:rsidRPr="003C5C1B">
        <w:rPr>
          <w:rFonts w:eastAsiaTheme="minorEastAsia"/>
          <w:sz w:val="20"/>
          <w:szCs w:val="20"/>
          <w:highlight w:val="green"/>
          <w:lang w:val="en-US"/>
        </w:rPr>
        <w:t xml:space="preserve"> as buffers, and promotion of green corridors/vegetated areas (in close collaboration with </w:t>
      </w:r>
      <w:r w:rsidRPr="003C5C1B">
        <w:rPr>
          <w:rFonts w:eastAsiaTheme="minorEastAsia"/>
          <w:b/>
          <w:bCs/>
          <w:sz w:val="20"/>
          <w:szCs w:val="20"/>
          <w:highlight w:val="green"/>
          <w:lang w:val="en-US"/>
        </w:rPr>
        <w:t>PRUBA</w:t>
      </w:r>
      <w:r w:rsidRPr="003C5C1B">
        <w:rPr>
          <w:rFonts w:eastAsiaTheme="minorEastAsia"/>
          <w:sz w:val="20"/>
          <w:szCs w:val="20"/>
          <w:highlight w:val="green"/>
          <w:lang w:val="en-US"/>
        </w:rPr>
        <w:t>).</w:t>
      </w:r>
    </w:p>
    <w:p w14:paraId="7231C6CA" w14:textId="77777777" w:rsidR="008D0733" w:rsidRPr="003C5C1B" w:rsidRDefault="008D0733" w:rsidP="008D0733">
      <w:pPr>
        <w:rPr>
          <w:rFonts w:eastAsiaTheme="minorEastAsia"/>
          <w:sz w:val="20"/>
          <w:szCs w:val="20"/>
          <w:highlight w:val="green"/>
          <w:lang w:val="en-US"/>
        </w:rPr>
      </w:pPr>
      <w:r w:rsidRPr="003C5C1B">
        <w:rPr>
          <w:rFonts w:eastAsiaTheme="minorEastAsia"/>
          <w:b/>
          <w:bCs/>
          <w:sz w:val="20"/>
          <w:szCs w:val="20"/>
          <w:highlight w:val="green"/>
          <w:lang w:val="en-US"/>
        </w:rPr>
        <w:t>Policy and institutional strengthening (Component 1).</w:t>
      </w:r>
      <w:r w:rsidRPr="003C5C1B">
        <w:rPr>
          <w:rFonts w:eastAsiaTheme="minorEastAsia"/>
          <w:sz w:val="20"/>
          <w:szCs w:val="20"/>
          <w:highlight w:val="green"/>
          <w:lang w:val="en-US"/>
        </w:rPr>
        <w:t xml:space="preserve"> Beyond ecosystem-based adaptation, GEF resources will embed CCA in national and local urban planning frameworks by revising the National Territorial Development Strategy and the National Urban Policy, integrating climate-risk diagnostics and resilience criteria, and mainstreaming gender equality as a dimension of social vulnerability assessment.</w:t>
      </w:r>
    </w:p>
    <w:p w14:paraId="7AA439CD" w14:textId="77777777" w:rsidR="008D0733" w:rsidRPr="003C5C1B" w:rsidRDefault="008D0733" w:rsidP="008D0733">
      <w:pPr>
        <w:rPr>
          <w:rFonts w:eastAsiaTheme="minorEastAsia"/>
          <w:sz w:val="20"/>
          <w:szCs w:val="20"/>
          <w:highlight w:val="green"/>
          <w:lang w:val="en-US"/>
        </w:rPr>
      </w:pPr>
      <w:r w:rsidRPr="003C5C1B">
        <w:rPr>
          <w:rFonts w:eastAsiaTheme="minorEastAsia"/>
          <w:b/>
          <w:bCs/>
          <w:sz w:val="20"/>
          <w:szCs w:val="20"/>
          <w:highlight w:val="green"/>
          <w:lang w:val="en-US"/>
        </w:rPr>
        <w:t>Integrated approach across Components 1 to 3.</w:t>
      </w:r>
      <w:r w:rsidRPr="003C5C1B">
        <w:rPr>
          <w:rFonts w:eastAsiaTheme="minorEastAsia"/>
          <w:sz w:val="20"/>
          <w:szCs w:val="20"/>
          <w:highlight w:val="green"/>
          <w:lang w:val="en-US"/>
        </w:rPr>
        <w:t xml:space="preserve"> Component 1 provides the planning foundation (coordinated land use, transport, and green infrastructure). Integrating the six forests surrounding Bamako into the Bamako green belt—with IUDP intervening in five forests and the World Bank supporting restoration in one (e.g., the </w:t>
      </w:r>
      <w:proofErr w:type="spellStart"/>
      <w:r w:rsidRPr="003C5C1B">
        <w:rPr>
          <w:rFonts w:eastAsiaTheme="minorEastAsia"/>
          <w:i/>
          <w:iCs/>
          <w:sz w:val="20"/>
          <w:szCs w:val="20"/>
          <w:highlight w:val="green"/>
          <w:lang w:val="en-US"/>
        </w:rPr>
        <w:t>Projet</w:t>
      </w:r>
      <w:proofErr w:type="spellEnd"/>
      <w:r w:rsidRPr="003C5C1B">
        <w:rPr>
          <w:rFonts w:eastAsiaTheme="minorEastAsia"/>
          <w:i/>
          <w:iCs/>
          <w:sz w:val="20"/>
          <w:szCs w:val="20"/>
          <w:highlight w:val="green"/>
          <w:lang w:val="en-US"/>
        </w:rPr>
        <w:t xml:space="preserve"> de Restauration des Terres </w:t>
      </w:r>
      <w:proofErr w:type="spellStart"/>
      <w:r w:rsidRPr="003C5C1B">
        <w:rPr>
          <w:rFonts w:eastAsiaTheme="minorEastAsia"/>
          <w:i/>
          <w:iCs/>
          <w:sz w:val="20"/>
          <w:szCs w:val="20"/>
          <w:highlight w:val="green"/>
          <w:lang w:val="en-US"/>
        </w:rPr>
        <w:t>Dégradées</w:t>
      </w:r>
      <w:proofErr w:type="spellEnd"/>
      <w:r w:rsidRPr="003C5C1B">
        <w:rPr>
          <w:rFonts w:eastAsiaTheme="minorEastAsia"/>
          <w:sz w:val="20"/>
          <w:szCs w:val="20"/>
          <w:highlight w:val="green"/>
          <w:lang w:val="en-US"/>
        </w:rPr>
        <w:t>)—alongside existing green spaces is essential. This alignment reflects urban growth patterns and social needs and ensures the inclusion of vulnerable populations as part of a more sustainable, equitable development model.</w:t>
      </w:r>
    </w:p>
    <w:p w14:paraId="094A6895" w14:textId="77777777" w:rsidR="008D0733" w:rsidRPr="003C5C1B" w:rsidRDefault="008D0733" w:rsidP="008D0733">
      <w:pPr>
        <w:rPr>
          <w:rFonts w:eastAsiaTheme="minorEastAsia"/>
          <w:sz w:val="20"/>
          <w:szCs w:val="20"/>
          <w:highlight w:val="green"/>
          <w:lang w:val="en-US"/>
        </w:rPr>
      </w:pPr>
      <w:r w:rsidRPr="003C5C1B">
        <w:rPr>
          <w:rFonts w:eastAsiaTheme="minorEastAsia"/>
          <w:b/>
          <w:bCs/>
          <w:sz w:val="20"/>
          <w:szCs w:val="20"/>
          <w:highlight w:val="green"/>
          <w:lang w:val="en-US"/>
        </w:rPr>
        <w:t>Low-carbon mobility linkages (Component 2).</w:t>
      </w:r>
      <w:r w:rsidRPr="003C5C1B">
        <w:rPr>
          <w:rFonts w:eastAsiaTheme="minorEastAsia"/>
          <w:sz w:val="20"/>
          <w:szCs w:val="20"/>
          <w:highlight w:val="green"/>
          <w:lang w:val="en-US"/>
        </w:rPr>
        <w:t xml:space="preserve"> Under Output 2.1.2, the project will operationalize Bamako’s Mobility Plan, advancing sustainable and electric mobility. Complementing this, Output 3.1.4 (Activity 3.1.4.6) will contribute to climate adaptation in urban transport by enhancing mobility services, expanding climate-resilient infrastructure, and improving air quality in congested areas. Interventions will prioritize vulnerable neighborhoods that currently rely on informal, high-emission transport. In addition, integrated green-urban projects implemented by NGOs will create synergies that reinforce inclusive and climate-resilient urban development.</w:t>
      </w:r>
    </w:p>
    <w:p w14:paraId="069AE064" w14:textId="77777777" w:rsidR="008D0733" w:rsidRPr="003C5C1B" w:rsidRDefault="008D0733" w:rsidP="008D0733">
      <w:pPr>
        <w:rPr>
          <w:rFonts w:eastAsiaTheme="minorEastAsia"/>
          <w:sz w:val="20"/>
          <w:szCs w:val="20"/>
          <w:lang w:val="en-US"/>
        </w:rPr>
      </w:pPr>
      <w:r w:rsidRPr="003C5C1B">
        <w:rPr>
          <w:rFonts w:eastAsiaTheme="minorEastAsia"/>
          <w:b/>
          <w:bCs/>
          <w:sz w:val="20"/>
          <w:szCs w:val="20"/>
          <w:highlight w:val="green"/>
          <w:lang w:val="en-US"/>
        </w:rPr>
        <w:t>GEF additionality.</w:t>
      </w:r>
      <w:r w:rsidRPr="003C5C1B">
        <w:rPr>
          <w:rFonts w:eastAsiaTheme="minorEastAsia"/>
          <w:sz w:val="20"/>
          <w:szCs w:val="20"/>
          <w:highlight w:val="green"/>
          <w:lang w:val="en-US"/>
        </w:rPr>
        <w:t xml:space="preserve"> These adaptation pathways would not materialize under the baseline. GEF financing is the catalyst for a systemic, climate-resilient transformation of Bamako’s urban model—mainstreaming climate and environmental objectives in territorial governance, infrastructure investment, and ecosystem management. Without GEF, resources would likely remain siloed and reactive, limiting systemic co-benefits and private-sector leverage. GEF support enables institutional transformation, participatory governance, and integrated investment.</w:t>
      </w:r>
    </w:p>
    <w:p w14:paraId="00000338" w14:textId="551BE0E3" w:rsidR="004F7DB3" w:rsidRPr="00B93ABE" w:rsidRDefault="64099F59">
      <w:pPr>
        <w:spacing w:before="240" w:after="240" w:line="276" w:lineRule="auto"/>
        <w:jc w:val="both"/>
        <w:rPr>
          <w:sz w:val="20"/>
          <w:szCs w:val="20"/>
          <w:lang w:val="en-US"/>
        </w:rPr>
        <w:sectPr w:rsidR="004F7DB3" w:rsidRPr="00B93ABE">
          <w:headerReference w:type="first" r:id="rId38"/>
          <w:pgSz w:w="11906" w:h="16838"/>
          <w:pgMar w:top="1418" w:right="1418" w:bottom="1418" w:left="1418" w:header="720" w:footer="431" w:gutter="0"/>
          <w:cols w:space="720"/>
        </w:sectPr>
      </w:pPr>
      <w:r w:rsidRPr="5D8904BE">
        <w:rPr>
          <w:sz w:val="20"/>
          <w:szCs w:val="20"/>
          <w:lang w:val="en-US"/>
        </w:rPr>
        <w:t>The project's theory of change is summarized in the graphic below</w:t>
      </w:r>
      <w:r w:rsidR="00BD6D5D">
        <w:rPr>
          <w:sz w:val="20"/>
          <w:szCs w:val="20"/>
          <w:lang w:val="en-US"/>
        </w:rPr>
        <w:t>:</w:t>
      </w:r>
      <w:r w:rsidRPr="5D8904BE">
        <w:rPr>
          <w:sz w:val="20"/>
          <w:szCs w:val="20"/>
          <w:lang w:val="en-US"/>
        </w:rPr>
        <w:t xml:space="preserve"> </w:t>
      </w:r>
    </w:p>
    <w:p w14:paraId="2A0F407B" w14:textId="01F03588" w:rsidR="002225E1" w:rsidRDefault="1BFA5B8B" w:rsidP="3E720D41">
      <w:r>
        <w:rPr>
          <w:noProof/>
        </w:rPr>
        <w:lastRenderedPageBreak/>
        <w:drawing>
          <wp:inline distT="0" distB="0" distL="0" distR="0" wp14:anchorId="0369C3F2" wp14:editId="074AF442">
            <wp:extent cx="9772650" cy="6905625"/>
            <wp:effectExtent l="0" t="0" r="0" b="0"/>
            <wp:docPr id="18023187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318733" name=""/>
                    <pic:cNvPicPr/>
                  </pic:nvPicPr>
                  <pic:blipFill>
                    <a:blip r:embed="rId39">
                      <a:extLst>
                        <a:ext uri="{28A0092B-C50C-407E-A947-70E740481C1C}">
                          <a14:useLocalDpi xmlns:a14="http://schemas.microsoft.com/office/drawing/2010/main" val="0"/>
                        </a:ext>
                      </a:extLst>
                    </a:blip>
                    <a:stretch>
                      <a:fillRect/>
                    </a:stretch>
                  </pic:blipFill>
                  <pic:spPr>
                    <a:xfrm>
                      <a:off x="0" y="0"/>
                      <a:ext cx="9772650" cy="6905625"/>
                    </a:xfrm>
                    <a:prstGeom prst="rect">
                      <a:avLst/>
                    </a:prstGeom>
                  </pic:spPr>
                </pic:pic>
              </a:graphicData>
            </a:graphic>
          </wp:inline>
        </w:drawing>
      </w:r>
      <w:bookmarkStart w:id="36" w:name="_Toc199131206"/>
    </w:p>
    <w:p w14:paraId="07CB8927" w14:textId="69F7A28A" w:rsidR="00850123" w:rsidRPr="00017B30" w:rsidRDefault="25C29901" w:rsidP="537FA187">
      <w:pPr>
        <w:pStyle w:val="Lgende"/>
        <w:rPr>
          <w:rFonts w:ascii="Calibri" w:hAnsi="Calibri" w:cs="Calibri"/>
          <w:i/>
          <w:iCs/>
          <w:sz w:val="12"/>
          <w:szCs w:val="12"/>
          <w:highlight w:val="white"/>
          <w:u w:val="single"/>
          <w:lang w:val="en-US"/>
        </w:rPr>
      </w:pPr>
      <w:r w:rsidRPr="537FA187">
        <w:rPr>
          <w:rFonts w:ascii="Calibri" w:hAnsi="Calibri" w:cs="Calibri"/>
          <w:sz w:val="18"/>
          <w:szCs w:val="18"/>
          <w:lang w:val="en-US"/>
        </w:rPr>
        <w:lastRenderedPageBreak/>
        <w:t xml:space="preserve">Figure </w:t>
      </w:r>
      <w:r w:rsidR="00017B30" w:rsidRPr="537FA187">
        <w:rPr>
          <w:rFonts w:ascii="Calibri" w:hAnsi="Calibri" w:cs="Calibri"/>
          <w:sz w:val="18"/>
          <w:szCs w:val="18"/>
        </w:rPr>
        <w:fldChar w:fldCharType="begin"/>
      </w:r>
      <w:r w:rsidR="00017B30" w:rsidRPr="537FA187">
        <w:rPr>
          <w:rFonts w:ascii="Calibri" w:hAnsi="Calibri" w:cs="Calibri"/>
          <w:sz w:val="18"/>
          <w:szCs w:val="18"/>
          <w:lang w:val="en-US"/>
        </w:rPr>
        <w:instrText xml:space="preserve"> SEQ Figure \* ARABIC </w:instrText>
      </w:r>
      <w:r w:rsidR="00017B30" w:rsidRPr="537FA187">
        <w:rPr>
          <w:rFonts w:ascii="Calibri" w:hAnsi="Calibri" w:cs="Calibri"/>
          <w:sz w:val="18"/>
          <w:szCs w:val="18"/>
        </w:rPr>
        <w:fldChar w:fldCharType="separate"/>
      </w:r>
      <w:r w:rsidR="7EFB0F82" w:rsidRPr="537FA187">
        <w:rPr>
          <w:rFonts w:ascii="Calibri" w:hAnsi="Calibri" w:cs="Calibri"/>
          <w:noProof/>
          <w:sz w:val="18"/>
          <w:szCs w:val="18"/>
          <w:lang w:val="en-US"/>
        </w:rPr>
        <w:t>5</w:t>
      </w:r>
      <w:r w:rsidR="00017B30" w:rsidRPr="537FA187">
        <w:rPr>
          <w:rFonts w:ascii="Calibri" w:hAnsi="Calibri" w:cs="Calibri"/>
          <w:sz w:val="18"/>
          <w:szCs w:val="18"/>
        </w:rPr>
        <w:fldChar w:fldCharType="end"/>
      </w:r>
      <w:r w:rsidRPr="537FA187">
        <w:rPr>
          <w:rFonts w:ascii="Calibri" w:hAnsi="Calibri" w:cs="Calibri"/>
          <w:sz w:val="18"/>
          <w:szCs w:val="18"/>
          <w:lang w:val="en-US"/>
        </w:rPr>
        <w:t xml:space="preserve"> The project's theory of change</w:t>
      </w:r>
      <w:bookmarkEnd w:id="36"/>
    </w:p>
    <w:p w14:paraId="0000033A" w14:textId="77777777" w:rsidR="004F7DB3" w:rsidRPr="00B93ABE" w:rsidRDefault="004F7DB3" w:rsidP="009804E6">
      <w:pPr>
        <w:spacing w:before="240" w:after="240" w:line="240" w:lineRule="auto"/>
        <w:jc w:val="both"/>
        <w:rPr>
          <w:sz w:val="20"/>
          <w:szCs w:val="20"/>
          <w:lang w:val="en-US"/>
        </w:rPr>
        <w:sectPr w:rsidR="004F7DB3" w:rsidRPr="00B93ABE" w:rsidSect="006F5E1D">
          <w:headerReference w:type="first" r:id="rId40"/>
          <w:pgSz w:w="16838" w:h="11906" w:orient="landscape"/>
          <w:pgMar w:top="720" w:right="720" w:bottom="720" w:left="720" w:header="720" w:footer="431" w:gutter="0"/>
          <w:cols w:space="720"/>
          <w:docGrid w:linePitch="299"/>
        </w:sectPr>
      </w:pPr>
    </w:p>
    <w:p w14:paraId="594DD9FB" w14:textId="1AB06726" w:rsidR="008F2119" w:rsidRDefault="008F2119" w:rsidP="51745E8D">
      <w:pPr>
        <w:spacing w:before="240" w:after="240" w:line="240" w:lineRule="auto"/>
        <w:jc w:val="both"/>
        <w:rPr>
          <w:sz w:val="20"/>
          <w:szCs w:val="20"/>
          <w:highlight w:val="white"/>
          <w:lang w:val="en-US"/>
        </w:rPr>
      </w:pPr>
      <w:r w:rsidRPr="00B93ABE">
        <w:rPr>
          <w:i/>
          <w:iCs/>
          <w:sz w:val="20"/>
          <w:szCs w:val="20"/>
          <w:highlight w:val="white"/>
          <w:u w:val="single"/>
          <w:lang w:val="en-US"/>
        </w:rPr>
        <w:lastRenderedPageBreak/>
        <w:t>Synergies with other initiatives</w:t>
      </w:r>
    </w:p>
    <w:p w14:paraId="0000033B" w14:textId="3F727125" w:rsidR="004F7DB3" w:rsidRPr="00B93ABE" w:rsidRDefault="5F2E038C" w:rsidP="51745E8D">
      <w:pPr>
        <w:spacing w:before="240" w:after="240" w:line="240" w:lineRule="auto"/>
        <w:jc w:val="both"/>
        <w:rPr>
          <w:sz w:val="20"/>
          <w:szCs w:val="20"/>
          <w:highlight w:val="white"/>
          <w:lang w:val="en-US"/>
        </w:rPr>
      </w:pPr>
      <w:r w:rsidRPr="5D8904BE">
        <w:rPr>
          <w:sz w:val="20"/>
          <w:szCs w:val="20"/>
          <w:highlight w:val="white"/>
          <w:lang w:val="en-US"/>
        </w:rPr>
        <w:t xml:space="preserve">Bamako's integrated urban development project is a holistic response to challenges of multidimensional magnitude. By relying on a systemic approach—ranging from strengthened governance to the promotion of e-mobility, including ecological restoration. In complementarity with other projects, in this case the </w:t>
      </w:r>
      <w:r w:rsidR="1E1D561D" w:rsidRPr="5D8904BE">
        <w:rPr>
          <w:sz w:val="20"/>
          <w:szCs w:val="20"/>
          <w:highlight w:val="white"/>
          <w:lang w:val="en-US"/>
        </w:rPr>
        <w:t>Bamako Urban Resilience Project (</w:t>
      </w:r>
      <w:r w:rsidRPr="5D8904BE">
        <w:rPr>
          <w:sz w:val="20"/>
          <w:szCs w:val="20"/>
          <w:highlight w:val="white"/>
          <w:lang w:val="en-US"/>
        </w:rPr>
        <w:t>PRUBA</w:t>
      </w:r>
      <w:r w:rsidR="28E23038" w:rsidRPr="5D8904BE">
        <w:rPr>
          <w:sz w:val="20"/>
          <w:szCs w:val="20"/>
          <w:highlight w:val="white"/>
          <w:lang w:val="en-US"/>
        </w:rPr>
        <w:t>)</w:t>
      </w:r>
      <w:r w:rsidRPr="5D8904BE">
        <w:rPr>
          <w:sz w:val="20"/>
          <w:szCs w:val="20"/>
          <w:highlight w:val="white"/>
          <w:lang w:val="en-US"/>
        </w:rPr>
        <w:t xml:space="preserve"> and </w:t>
      </w:r>
      <w:r w:rsidR="564B1FE4" w:rsidRPr="5D8904BE">
        <w:rPr>
          <w:sz w:val="20"/>
          <w:szCs w:val="20"/>
          <w:highlight w:val="white"/>
          <w:lang w:val="en-US"/>
        </w:rPr>
        <w:t>Mali Degraded Land Restoration Project (</w:t>
      </w:r>
      <w:r w:rsidRPr="5D8904BE">
        <w:rPr>
          <w:sz w:val="20"/>
          <w:szCs w:val="20"/>
          <w:highlight w:val="white"/>
          <w:lang w:val="en-US"/>
        </w:rPr>
        <w:t>PRTD</w:t>
      </w:r>
      <w:r w:rsidR="1CEE05BF" w:rsidRPr="5D8904BE">
        <w:rPr>
          <w:sz w:val="20"/>
          <w:szCs w:val="20"/>
          <w:highlight w:val="white"/>
          <w:lang w:val="en-US"/>
        </w:rPr>
        <w:t>)</w:t>
      </w:r>
      <w:r w:rsidRPr="5D8904BE">
        <w:rPr>
          <w:sz w:val="20"/>
          <w:szCs w:val="20"/>
          <w:highlight w:val="white"/>
          <w:lang w:val="en-US"/>
        </w:rPr>
        <w:t xml:space="preserve"> financed by the </w:t>
      </w:r>
      <w:r w:rsidR="7F994FB6" w:rsidRPr="5D8904BE">
        <w:rPr>
          <w:sz w:val="20"/>
          <w:szCs w:val="20"/>
          <w:highlight w:val="white"/>
          <w:lang w:val="en-US"/>
        </w:rPr>
        <w:t xml:space="preserve">World Bank </w:t>
      </w:r>
      <w:r w:rsidRPr="5D8904BE">
        <w:rPr>
          <w:sz w:val="20"/>
          <w:szCs w:val="20"/>
          <w:highlight w:val="white"/>
          <w:lang w:val="en-US"/>
        </w:rPr>
        <w:t xml:space="preserve">—it offers a coherent roadmap to build a resilient, inclusive and carbon-neutral metropolis by 2030. </w:t>
      </w:r>
    </w:p>
    <w:p w14:paraId="0000033C" w14:textId="77777777" w:rsidR="004F7DB3" w:rsidRPr="005A3EDF" w:rsidRDefault="53E03A30" w:rsidP="008533E7">
      <w:pPr>
        <w:rPr>
          <w:b/>
          <w:bCs/>
          <w:i/>
          <w:iCs/>
          <w:sz w:val="20"/>
          <w:szCs w:val="20"/>
          <w:highlight w:val="white"/>
          <w:u w:val="single"/>
          <w:lang w:val="en-US"/>
        </w:rPr>
      </w:pPr>
      <w:bookmarkStart w:id="37" w:name="_heading=h.mjmx4pmq0i3p"/>
      <w:bookmarkEnd w:id="37"/>
      <w:r w:rsidRPr="005A3EDF">
        <w:rPr>
          <w:i/>
          <w:iCs/>
          <w:sz w:val="20"/>
          <w:szCs w:val="20"/>
          <w:highlight w:val="white"/>
          <w:u w:val="single"/>
          <w:lang w:val="en-US"/>
        </w:rPr>
        <w:t>Summary of the Urban Resilience Project in Bamako (PRUBA)</w:t>
      </w:r>
    </w:p>
    <w:p w14:paraId="0000033D" w14:textId="0D3CF672" w:rsidR="004F7DB3" w:rsidRPr="00B93ABE" w:rsidRDefault="65BD56D2" w:rsidP="5D8904BE">
      <w:pPr>
        <w:pBdr>
          <w:top w:val="none" w:sz="0" w:space="0" w:color="E5E7EB"/>
          <w:left w:val="none" w:sz="0" w:space="0" w:color="E5E7EB"/>
          <w:bottom w:val="none" w:sz="0" w:space="0" w:color="E5E7EB"/>
          <w:right w:val="none" w:sz="0" w:space="0" w:color="E5E7EB"/>
          <w:between w:val="none" w:sz="0" w:space="0" w:color="E5E7EB"/>
        </w:pBdr>
        <w:spacing w:after="0" w:line="240" w:lineRule="auto"/>
        <w:jc w:val="both"/>
        <w:rPr>
          <w:sz w:val="20"/>
          <w:szCs w:val="20"/>
          <w:highlight w:val="white"/>
          <w:lang w:val="en-US"/>
        </w:rPr>
      </w:pPr>
      <w:r w:rsidRPr="5D8904BE">
        <w:rPr>
          <w:sz w:val="20"/>
          <w:szCs w:val="20"/>
          <w:highlight w:val="white"/>
          <w:lang w:val="en-US"/>
        </w:rPr>
        <w:t>The Bamako Urban Resilience Project (PRUBA), supported by the World Bank and launched in 2020, aims to improve access to essential urban services in the district of Bamako and its neighboring municipalities. It initially had a budget of $250 million</w:t>
      </w:r>
      <w:r w:rsidR="6E4F144D" w:rsidRPr="5D8904BE">
        <w:rPr>
          <w:sz w:val="20"/>
          <w:szCs w:val="20"/>
          <w:highlight w:val="white"/>
          <w:lang w:val="en-US"/>
        </w:rPr>
        <w:t>, which was</w:t>
      </w:r>
      <w:r w:rsidRPr="5D8904BE">
        <w:rPr>
          <w:sz w:val="20"/>
          <w:szCs w:val="20"/>
          <w:highlight w:val="white"/>
          <w:lang w:val="en-US"/>
        </w:rPr>
        <w:t xml:space="preserve"> revised upwards to $300 million after the floods of August 2024. Its main objective is to increase the city's resilience to flooding, improve solid and liquid waste management, </w:t>
      </w:r>
      <w:r w:rsidR="1ECD69B7" w:rsidRPr="5D8904BE">
        <w:rPr>
          <w:sz w:val="20"/>
          <w:szCs w:val="20"/>
          <w:highlight w:val="white"/>
          <w:lang w:val="en-US"/>
        </w:rPr>
        <w:t xml:space="preserve">and improve </w:t>
      </w:r>
      <w:r w:rsidRPr="5D8904BE">
        <w:rPr>
          <w:sz w:val="20"/>
          <w:szCs w:val="20"/>
          <w:highlight w:val="white"/>
          <w:lang w:val="en-US"/>
        </w:rPr>
        <w:t>access to drinking water and sanitation, while strengthening the urban management capacity of local authorities, which are often limited in administrative, technical and financial terms.</w:t>
      </w:r>
    </w:p>
    <w:p w14:paraId="4EFC6426" w14:textId="43B6248C" w:rsidR="24AA8F7E" w:rsidRDefault="24AA8F7E" w:rsidP="24AA8F7E">
      <w:pPr>
        <w:pBdr>
          <w:top w:val="none" w:sz="0" w:space="0" w:color="E5E7EB"/>
          <w:left w:val="none" w:sz="0" w:space="0" w:color="E5E7EB"/>
          <w:bottom w:val="none" w:sz="0" w:space="0" w:color="E5E7EB"/>
          <w:right w:val="none" w:sz="0" w:space="0" w:color="E5E7EB"/>
          <w:between w:val="none" w:sz="0" w:space="0" w:color="E5E7EB"/>
        </w:pBdr>
        <w:spacing w:after="0" w:line="240" w:lineRule="auto"/>
        <w:jc w:val="both"/>
        <w:rPr>
          <w:sz w:val="20"/>
          <w:szCs w:val="20"/>
          <w:highlight w:val="white"/>
          <w:lang w:val="en-US"/>
        </w:rPr>
      </w:pPr>
    </w:p>
    <w:p w14:paraId="0000033E" w14:textId="77777777" w:rsidR="004F7DB3" w:rsidRPr="00B93ABE" w:rsidRDefault="29D57A18" w:rsidP="51745E8D">
      <w:pPr>
        <w:pBdr>
          <w:top w:val="none" w:sz="0" w:space="0" w:color="E5E7EB"/>
          <w:left w:val="none" w:sz="0" w:space="0" w:color="E5E7EB"/>
          <w:bottom w:val="none" w:sz="0" w:space="0" w:color="E5E7EB"/>
          <w:right w:val="none" w:sz="0" w:space="0" w:color="E5E7EB"/>
          <w:between w:val="none" w:sz="0" w:space="0" w:color="E5E7EB"/>
        </w:pBdr>
        <w:spacing w:after="0" w:line="240" w:lineRule="auto"/>
        <w:jc w:val="both"/>
        <w:rPr>
          <w:sz w:val="20"/>
          <w:szCs w:val="20"/>
          <w:highlight w:val="white"/>
          <w:lang w:val="en-US"/>
        </w:rPr>
      </w:pPr>
      <w:r w:rsidRPr="00B93ABE">
        <w:rPr>
          <w:sz w:val="20"/>
          <w:szCs w:val="20"/>
          <w:highlight w:val="white"/>
          <w:lang w:val="en-US"/>
        </w:rPr>
        <w:t>The project is structured around six major components:</w:t>
      </w:r>
    </w:p>
    <w:p w14:paraId="0000033F" w14:textId="77777777" w:rsidR="004F7DB3" w:rsidRPr="00B93ABE" w:rsidRDefault="29D57A18" w:rsidP="001360BB">
      <w:pPr>
        <w:numPr>
          <w:ilvl w:val="0"/>
          <w:numId w:val="208"/>
        </w:numPr>
        <w:pBdr>
          <w:top w:val="none" w:sz="0" w:space="0" w:color="E5E7EB"/>
          <w:left w:val="none" w:sz="0" w:space="0" w:color="E5E7EB"/>
          <w:bottom w:val="none" w:sz="0" w:space="0" w:color="E5E7EB"/>
          <w:right w:val="none" w:sz="0" w:space="0" w:color="E5E7EB"/>
          <w:between w:val="none" w:sz="0" w:space="0" w:color="E5E7EB"/>
        </w:pBdr>
        <w:spacing w:before="120" w:after="0" w:line="240" w:lineRule="auto"/>
        <w:rPr>
          <w:sz w:val="20"/>
          <w:szCs w:val="20"/>
          <w:highlight w:val="white"/>
        </w:rPr>
      </w:pPr>
      <w:r w:rsidRPr="00B93ABE">
        <w:rPr>
          <w:sz w:val="20"/>
          <w:szCs w:val="20"/>
          <w:highlight w:val="white"/>
        </w:rPr>
        <w:t>Solid Waste Management</w:t>
      </w:r>
    </w:p>
    <w:p w14:paraId="00000340" w14:textId="77777777" w:rsidR="004F7DB3" w:rsidRPr="00B93ABE" w:rsidRDefault="6E2A2B94" w:rsidP="001360BB">
      <w:pPr>
        <w:numPr>
          <w:ilvl w:val="0"/>
          <w:numId w:val="208"/>
        </w:numPr>
        <w:pBdr>
          <w:top w:val="none" w:sz="0" w:space="0" w:color="E5E7EB"/>
          <w:left w:val="none" w:sz="0" w:space="0" w:color="E5E7EB"/>
          <w:bottom w:val="none" w:sz="0" w:space="0" w:color="E5E7EB"/>
          <w:right w:val="none" w:sz="0" w:space="0" w:color="E5E7EB"/>
          <w:between w:val="none" w:sz="0" w:space="0" w:color="E5E7EB"/>
        </w:pBdr>
        <w:spacing w:after="0" w:line="240" w:lineRule="auto"/>
        <w:rPr>
          <w:sz w:val="20"/>
          <w:szCs w:val="20"/>
          <w:highlight w:val="white"/>
          <w:lang w:val="en-US"/>
        </w:rPr>
      </w:pPr>
      <w:r w:rsidRPr="5D8904BE">
        <w:rPr>
          <w:sz w:val="20"/>
          <w:szCs w:val="20"/>
          <w:highlight w:val="white"/>
          <w:lang w:val="en-US"/>
        </w:rPr>
        <w:t>Improved access to water, sanitation and hygiene</w:t>
      </w:r>
    </w:p>
    <w:p w14:paraId="00000341" w14:textId="77777777" w:rsidR="004F7DB3" w:rsidRPr="00B93ABE" w:rsidRDefault="6E2A2B94" w:rsidP="001360BB">
      <w:pPr>
        <w:numPr>
          <w:ilvl w:val="0"/>
          <w:numId w:val="208"/>
        </w:numPr>
        <w:pBdr>
          <w:top w:val="none" w:sz="0" w:space="0" w:color="E5E7EB"/>
          <w:left w:val="none" w:sz="0" w:space="0" w:color="E5E7EB"/>
          <w:bottom w:val="none" w:sz="0" w:space="0" w:color="E5E7EB"/>
          <w:right w:val="none" w:sz="0" w:space="0" w:color="E5E7EB"/>
          <w:between w:val="none" w:sz="0" w:space="0" w:color="E5E7EB"/>
        </w:pBdr>
        <w:spacing w:after="0" w:line="240" w:lineRule="auto"/>
        <w:rPr>
          <w:sz w:val="20"/>
          <w:szCs w:val="20"/>
          <w:highlight w:val="white"/>
        </w:rPr>
      </w:pPr>
      <w:r w:rsidRPr="5D8904BE">
        <w:rPr>
          <w:sz w:val="20"/>
          <w:szCs w:val="20"/>
          <w:highlight w:val="white"/>
        </w:rPr>
        <w:t xml:space="preserve">Investments in </w:t>
      </w:r>
      <w:proofErr w:type="spellStart"/>
      <w:r w:rsidRPr="5D8904BE">
        <w:rPr>
          <w:sz w:val="20"/>
          <w:szCs w:val="20"/>
          <w:highlight w:val="white"/>
        </w:rPr>
        <w:t>Resilient</w:t>
      </w:r>
      <w:proofErr w:type="spellEnd"/>
      <w:r w:rsidRPr="5D8904BE">
        <w:rPr>
          <w:sz w:val="20"/>
          <w:szCs w:val="20"/>
          <w:highlight w:val="white"/>
        </w:rPr>
        <w:t xml:space="preserve"> Infrastructure</w:t>
      </w:r>
    </w:p>
    <w:p w14:paraId="00000342" w14:textId="77777777" w:rsidR="004F7DB3" w:rsidRPr="00B93ABE" w:rsidRDefault="6E2A2B94" w:rsidP="001360BB">
      <w:pPr>
        <w:numPr>
          <w:ilvl w:val="0"/>
          <w:numId w:val="208"/>
        </w:numPr>
        <w:pBdr>
          <w:top w:val="none" w:sz="0" w:space="0" w:color="E5E7EB"/>
          <w:left w:val="none" w:sz="0" w:space="0" w:color="E5E7EB"/>
          <w:bottom w:val="none" w:sz="0" w:space="0" w:color="E5E7EB"/>
          <w:right w:val="none" w:sz="0" w:space="0" w:color="E5E7EB"/>
          <w:between w:val="none" w:sz="0" w:space="0" w:color="E5E7EB"/>
        </w:pBdr>
        <w:spacing w:after="0" w:line="240" w:lineRule="auto"/>
        <w:rPr>
          <w:sz w:val="20"/>
          <w:szCs w:val="20"/>
          <w:highlight w:val="white"/>
        </w:rPr>
      </w:pPr>
      <w:proofErr w:type="spellStart"/>
      <w:r w:rsidRPr="5D8904BE">
        <w:rPr>
          <w:sz w:val="20"/>
          <w:szCs w:val="20"/>
          <w:highlight w:val="white"/>
        </w:rPr>
        <w:t>Institutional</w:t>
      </w:r>
      <w:proofErr w:type="spellEnd"/>
      <w:r w:rsidRPr="5D8904BE">
        <w:rPr>
          <w:sz w:val="20"/>
          <w:szCs w:val="20"/>
          <w:highlight w:val="white"/>
        </w:rPr>
        <w:t xml:space="preserve"> </w:t>
      </w:r>
      <w:proofErr w:type="spellStart"/>
      <w:r w:rsidRPr="5D8904BE">
        <w:rPr>
          <w:sz w:val="20"/>
          <w:szCs w:val="20"/>
          <w:highlight w:val="white"/>
        </w:rPr>
        <w:t>capacity</w:t>
      </w:r>
      <w:proofErr w:type="spellEnd"/>
      <w:r w:rsidRPr="5D8904BE">
        <w:rPr>
          <w:sz w:val="20"/>
          <w:szCs w:val="20"/>
          <w:highlight w:val="white"/>
        </w:rPr>
        <w:t xml:space="preserve"> building</w:t>
      </w:r>
    </w:p>
    <w:p w14:paraId="00000343" w14:textId="77777777" w:rsidR="004F7DB3" w:rsidRPr="00B93ABE" w:rsidRDefault="29D57A18" w:rsidP="001360BB">
      <w:pPr>
        <w:numPr>
          <w:ilvl w:val="0"/>
          <w:numId w:val="208"/>
        </w:numPr>
        <w:pBdr>
          <w:top w:val="none" w:sz="0" w:space="0" w:color="E5E7EB"/>
          <w:left w:val="none" w:sz="0" w:space="0" w:color="E5E7EB"/>
          <w:bottom w:val="none" w:sz="0" w:space="0" w:color="E5E7EB"/>
          <w:right w:val="none" w:sz="0" w:space="0" w:color="E5E7EB"/>
          <w:between w:val="none" w:sz="0" w:space="0" w:color="E5E7EB"/>
        </w:pBdr>
        <w:spacing w:after="0" w:line="240" w:lineRule="auto"/>
        <w:rPr>
          <w:sz w:val="20"/>
          <w:szCs w:val="20"/>
          <w:highlight w:val="white"/>
        </w:rPr>
      </w:pPr>
      <w:r w:rsidRPr="00B93ABE">
        <w:rPr>
          <w:sz w:val="20"/>
          <w:szCs w:val="20"/>
          <w:highlight w:val="white"/>
        </w:rPr>
        <w:t>Project Management</w:t>
      </w:r>
    </w:p>
    <w:p w14:paraId="00000344" w14:textId="77777777" w:rsidR="004F7DB3" w:rsidRPr="00B93ABE" w:rsidRDefault="69757A38" w:rsidP="001360BB">
      <w:pPr>
        <w:numPr>
          <w:ilvl w:val="0"/>
          <w:numId w:val="208"/>
        </w:numPr>
        <w:pBdr>
          <w:top w:val="none" w:sz="0" w:space="0" w:color="E5E7EB"/>
          <w:left w:val="none" w:sz="0" w:space="0" w:color="E5E7EB"/>
          <w:bottom w:val="none" w:sz="0" w:space="0" w:color="E5E7EB"/>
          <w:right w:val="none" w:sz="0" w:space="0" w:color="E5E7EB"/>
          <w:between w:val="none" w:sz="0" w:space="0" w:color="E5E7EB"/>
        </w:pBdr>
        <w:spacing w:after="120" w:line="240" w:lineRule="auto"/>
        <w:rPr>
          <w:sz w:val="20"/>
          <w:szCs w:val="20"/>
          <w:highlight w:val="white"/>
        </w:rPr>
      </w:pPr>
      <w:r w:rsidRPr="00B93ABE">
        <w:rPr>
          <w:sz w:val="20"/>
          <w:szCs w:val="20"/>
          <w:highlight w:val="white"/>
        </w:rPr>
        <w:t>Emergency Response</w:t>
      </w:r>
      <w:hyperlink r:id="rId41">
        <w:r w:rsidRPr="00B93ABE">
          <w:rPr>
            <w:color w:val="1155CC"/>
            <w:sz w:val="20"/>
            <w:szCs w:val="20"/>
            <w:highlight w:val="white"/>
          </w:rPr>
          <w:t>5</w:t>
        </w:r>
      </w:hyperlink>
    </w:p>
    <w:p w14:paraId="00000345" w14:textId="3223559E" w:rsidR="004F7DB3" w:rsidRDefault="3C71C9F3" w:rsidP="5D8904BE">
      <w:pPr>
        <w:pBdr>
          <w:top w:val="none" w:sz="0" w:space="0" w:color="E5E7EB"/>
          <w:left w:val="none" w:sz="0" w:space="0" w:color="E5E7EB"/>
          <w:bottom w:val="none" w:sz="0" w:space="0" w:color="E5E7EB"/>
          <w:right w:val="none" w:sz="0" w:space="0" w:color="E5E7EB"/>
          <w:between w:val="none" w:sz="0" w:space="0" w:color="E5E7EB"/>
        </w:pBdr>
        <w:spacing w:after="0" w:line="240" w:lineRule="auto"/>
        <w:ind w:left="60"/>
        <w:jc w:val="both"/>
        <w:rPr>
          <w:sz w:val="20"/>
          <w:szCs w:val="20"/>
          <w:highlight w:val="white"/>
          <w:lang w:val="en-US"/>
        </w:rPr>
      </w:pPr>
      <w:r w:rsidRPr="5D8904BE">
        <w:rPr>
          <w:sz w:val="20"/>
          <w:szCs w:val="20"/>
          <w:highlight w:val="white"/>
          <w:lang w:val="en-US"/>
        </w:rPr>
        <w:t xml:space="preserve">The PRUBA is in line with national decentralization and sanitation </w:t>
      </w:r>
      <w:r w:rsidR="004E7917" w:rsidRPr="5D8904BE">
        <w:rPr>
          <w:sz w:val="20"/>
          <w:szCs w:val="20"/>
          <w:highlight w:val="white"/>
          <w:lang w:val="en-US"/>
        </w:rPr>
        <w:t>policies and</w:t>
      </w:r>
      <w:r w:rsidRPr="5D8904BE">
        <w:rPr>
          <w:sz w:val="20"/>
          <w:szCs w:val="20"/>
          <w:highlight w:val="white"/>
          <w:lang w:val="en-US"/>
        </w:rPr>
        <w:t xml:space="preserve"> provides </w:t>
      </w:r>
      <w:proofErr w:type="gramStart"/>
      <w:r w:rsidRPr="5D8904BE">
        <w:rPr>
          <w:sz w:val="20"/>
          <w:szCs w:val="20"/>
          <w:highlight w:val="white"/>
          <w:lang w:val="en-US"/>
        </w:rPr>
        <w:t>in particular for</w:t>
      </w:r>
      <w:proofErr w:type="gramEnd"/>
      <w:r w:rsidRPr="5D8904BE">
        <w:rPr>
          <w:sz w:val="20"/>
          <w:szCs w:val="20"/>
          <w:highlight w:val="white"/>
          <w:lang w:val="en-US"/>
        </w:rPr>
        <w:t xml:space="preserve"> the construction of </w:t>
      </w:r>
      <w:proofErr w:type="spellStart"/>
      <w:r w:rsidRPr="5D8904BE">
        <w:rPr>
          <w:sz w:val="20"/>
          <w:szCs w:val="20"/>
          <w:highlight w:val="white"/>
          <w:lang w:val="en-US"/>
        </w:rPr>
        <w:t>faecal</w:t>
      </w:r>
      <w:proofErr w:type="spellEnd"/>
      <w:r w:rsidRPr="5D8904BE">
        <w:rPr>
          <w:sz w:val="20"/>
          <w:szCs w:val="20"/>
          <w:highlight w:val="white"/>
          <w:lang w:val="en-US"/>
        </w:rPr>
        <w:t xml:space="preserve"> sludge treatment plants, the modernization of urban infrastructure and the support of the technical services of the Bamako district mayor's office. The </w:t>
      </w:r>
      <w:r w:rsidR="2795E525" w:rsidRPr="5D8904BE">
        <w:rPr>
          <w:sz w:val="20"/>
          <w:szCs w:val="20"/>
          <w:highlight w:val="white"/>
          <w:lang w:val="en-US"/>
        </w:rPr>
        <w:t>IUDP</w:t>
      </w:r>
      <w:r w:rsidRPr="5D8904BE">
        <w:rPr>
          <w:sz w:val="20"/>
          <w:szCs w:val="20"/>
          <w:highlight w:val="white"/>
          <w:lang w:val="en-US"/>
        </w:rPr>
        <w:t xml:space="preserve"> in Bamako will coordinate with PRUBA</w:t>
      </w:r>
      <w:r w:rsidR="7961C22A" w:rsidRPr="5D8904BE">
        <w:rPr>
          <w:sz w:val="20"/>
          <w:szCs w:val="20"/>
          <w:highlight w:val="white"/>
          <w:lang w:val="en-US"/>
        </w:rPr>
        <w:t>,</w:t>
      </w:r>
      <w:r w:rsidRPr="5D8904BE">
        <w:rPr>
          <w:sz w:val="20"/>
          <w:szCs w:val="20"/>
          <w:highlight w:val="white"/>
          <w:lang w:val="en-US"/>
        </w:rPr>
        <w:t xml:space="preserve"> </w:t>
      </w:r>
      <w:proofErr w:type="gramStart"/>
      <w:r w:rsidRPr="5D8904BE">
        <w:rPr>
          <w:sz w:val="20"/>
          <w:szCs w:val="20"/>
          <w:highlight w:val="white"/>
          <w:lang w:val="en-US"/>
        </w:rPr>
        <w:t xml:space="preserve">in particular </w:t>
      </w:r>
      <w:r w:rsidR="36A90BC9" w:rsidRPr="5D8904BE">
        <w:rPr>
          <w:sz w:val="20"/>
          <w:szCs w:val="20"/>
          <w:highlight w:val="white"/>
          <w:lang w:val="en-US"/>
        </w:rPr>
        <w:t>on</w:t>
      </w:r>
      <w:proofErr w:type="gramEnd"/>
      <w:r w:rsidR="36A90BC9" w:rsidRPr="5D8904BE">
        <w:rPr>
          <w:sz w:val="20"/>
          <w:szCs w:val="20"/>
          <w:highlight w:val="white"/>
          <w:lang w:val="en-US"/>
        </w:rPr>
        <w:t xml:space="preserve"> </w:t>
      </w:r>
      <w:r w:rsidRPr="5D8904BE">
        <w:rPr>
          <w:b/>
          <w:bCs/>
          <w:sz w:val="20"/>
          <w:szCs w:val="20"/>
          <w:highlight w:val="white"/>
          <w:lang w:val="en-US"/>
        </w:rPr>
        <w:t>components 1 and 3</w:t>
      </w:r>
      <w:r w:rsidRPr="5D8904BE">
        <w:rPr>
          <w:sz w:val="20"/>
          <w:szCs w:val="20"/>
          <w:highlight w:val="white"/>
          <w:lang w:val="en-US"/>
        </w:rPr>
        <w:t xml:space="preserve">. </w:t>
      </w:r>
    </w:p>
    <w:p w14:paraId="401EFC8C" w14:textId="77777777" w:rsidR="005A3EDF" w:rsidRPr="00B93ABE" w:rsidRDefault="005A3EDF" w:rsidP="51745E8D">
      <w:pPr>
        <w:pBdr>
          <w:top w:val="none" w:sz="0" w:space="0" w:color="E5E7EB"/>
          <w:left w:val="none" w:sz="0" w:space="0" w:color="E5E7EB"/>
          <w:bottom w:val="none" w:sz="0" w:space="0" w:color="E5E7EB"/>
          <w:right w:val="none" w:sz="0" w:space="0" w:color="E5E7EB"/>
          <w:between w:val="none" w:sz="0" w:space="0" w:color="E5E7EB"/>
        </w:pBdr>
        <w:spacing w:after="0" w:line="240" w:lineRule="auto"/>
        <w:ind w:left="60"/>
        <w:jc w:val="both"/>
        <w:rPr>
          <w:sz w:val="20"/>
          <w:szCs w:val="20"/>
          <w:highlight w:val="white"/>
          <w:lang w:val="en-US"/>
        </w:rPr>
      </w:pPr>
    </w:p>
    <w:p w14:paraId="00000346" w14:textId="77777777" w:rsidR="004F7DB3" w:rsidRPr="008533E7" w:rsidRDefault="53E03A30" w:rsidP="008533E7">
      <w:pPr>
        <w:rPr>
          <w:b/>
          <w:bCs/>
          <w:sz w:val="20"/>
          <w:szCs w:val="20"/>
          <w:highlight w:val="white"/>
          <w:u w:val="single"/>
          <w:lang w:val="en-US"/>
        </w:rPr>
      </w:pPr>
      <w:bookmarkStart w:id="38" w:name="_heading=h.zg0n42bfuloj"/>
      <w:bookmarkEnd w:id="38"/>
      <w:r w:rsidRPr="005A3EDF">
        <w:rPr>
          <w:i/>
          <w:iCs/>
          <w:sz w:val="20"/>
          <w:szCs w:val="20"/>
          <w:highlight w:val="white"/>
          <w:u w:val="single"/>
          <w:lang w:val="en-US"/>
        </w:rPr>
        <w:t>Summary of the Project for the Restoration of Degraded Land in Mali (PRTD</w:t>
      </w:r>
      <w:r w:rsidRPr="008533E7">
        <w:rPr>
          <w:sz w:val="20"/>
          <w:szCs w:val="20"/>
          <w:highlight w:val="white"/>
          <w:u w:val="single"/>
          <w:lang w:val="en-US"/>
        </w:rPr>
        <w:t>)</w:t>
      </w:r>
    </w:p>
    <w:p w14:paraId="00000347" w14:textId="77777777" w:rsidR="004F7DB3" w:rsidRPr="00B93ABE" w:rsidRDefault="6E2A2B94" w:rsidP="5D8904BE">
      <w:pPr>
        <w:pBdr>
          <w:top w:val="none" w:sz="0" w:space="0" w:color="E5E7EB"/>
          <w:left w:val="none" w:sz="0" w:space="0" w:color="E5E7EB"/>
          <w:bottom w:val="none" w:sz="0" w:space="0" w:color="E5E7EB"/>
          <w:right w:val="none" w:sz="0" w:space="0" w:color="E5E7EB"/>
          <w:between w:val="none" w:sz="0" w:space="0" w:color="E5E7EB"/>
        </w:pBdr>
        <w:spacing w:before="240" w:after="240" w:line="240" w:lineRule="auto"/>
        <w:jc w:val="both"/>
        <w:rPr>
          <w:sz w:val="20"/>
          <w:szCs w:val="20"/>
          <w:highlight w:val="white"/>
          <w:lang w:val="en-US"/>
        </w:rPr>
      </w:pPr>
      <w:r w:rsidRPr="5D8904BE">
        <w:rPr>
          <w:sz w:val="20"/>
          <w:szCs w:val="20"/>
          <w:highlight w:val="white"/>
          <w:lang w:val="en-US"/>
        </w:rPr>
        <w:t>The $150 million World Bank-funded Mali Degraded Land Restoration Project (PRTD) aims to promote the adoption of climate-smart landscape restoration practices and expand access to economic opportunities for rural populations. It is mainly involved along the Malian route of the Great Green Wall, with the ambition of restoring the ecological integrity of territories on a large scale. In addition to the environmental benefits, the project will generate jobs, strengthen local skills in natural resource management, and promote community resilience.</w:t>
      </w:r>
    </w:p>
    <w:p w14:paraId="00000348" w14:textId="77777777" w:rsidR="004F7DB3" w:rsidRPr="00B93ABE" w:rsidRDefault="0A6479AC" w:rsidP="5D8904BE">
      <w:pPr>
        <w:pBdr>
          <w:top w:val="none" w:sz="0" w:space="0" w:color="E5E7EB"/>
          <w:left w:val="none" w:sz="0" w:space="0" w:color="E5E7EB"/>
          <w:bottom w:val="none" w:sz="0" w:space="0" w:color="E5E7EB"/>
          <w:right w:val="none" w:sz="0" w:space="0" w:color="E5E7EB"/>
          <w:between w:val="none" w:sz="0" w:space="0" w:color="E5E7EB"/>
        </w:pBdr>
        <w:spacing w:before="240" w:after="240" w:line="240" w:lineRule="auto"/>
        <w:jc w:val="both"/>
        <w:rPr>
          <w:sz w:val="20"/>
          <w:szCs w:val="20"/>
          <w:highlight w:val="white"/>
          <w:lang w:val="en-US"/>
        </w:rPr>
      </w:pPr>
      <w:r w:rsidRPr="00B93ABE">
        <w:rPr>
          <w:sz w:val="20"/>
          <w:szCs w:val="20"/>
          <w:highlight w:val="white"/>
          <w:lang w:val="en-US"/>
        </w:rPr>
        <w:t>Its integrated approach is based on the interdependence between resource degradation, climate change and social tensions, seeking to simultaneously rebuild natural, social and cultural capital. The project will also support national efforts for the implementation of Nationally Determined Contributions (NDCs) and for conflict prevention in the targeted areas. Finally, sustainable investments will restore the ecological and socio-economic functions of degraded lands, while facilitating market access for non-timber forest products and fishery products, including through productive alliances</w:t>
      </w:r>
      <w:r w:rsidR="00C00123" w:rsidRPr="00B93ABE">
        <w:rPr>
          <w:sz w:val="20"/>
          <w:szCs w:val="20"/>
          <w:highlight w:val="white"/>
          <w:vertAlign w:val="superscript"/>
        </w:rPr>
        <w:footnoteReference w:id="27"/>
      </w:r>
      <w:r w:rsidRPr="00B93ABE">
        <w:rPr>
          <w:sz w:val="20"/>
          <w:szCs w:val="20"/>
          <w:highlight w:val="white"/>
          <w:lang w:val="en-US"/>
        </w:rPr>
        <w:t>.</w:t>
      </w:r>
    </w:p>
    <w:p w14:paraId="00000349" w14:textId="77777777" w:rsidR="004F7DB3" w:rsidRPr="00B93ABE" w:rsidRDefault="29D57A18" w:rsidP="51745E8D">
      <w:pPr>
        <w:pBdr>
          <w:top w:val="none" w:sz="0" w:space="0" w:color="E5E7EB"/>
          <w:left w:val="none" w:sz="0" w:space="0" w:color="E5E7EB"/>
          <w:bottom w:val="none" w:sz="0" w:space="0" w:color="E5E7EB"/>
          <w:right w:val="none" w:sz="0" w:space="0" w:color="E5E7EB"/>
          <w:between w:val="none" w:sz="0" w:space="0" w:color="E5E7EB"/>
        </w:pBdr>
        <w:spacing w:after="0" w:line="240" w:lineRule="auto"/>
        <w:jc w:val="both"/>
        <w:rPr>
          <w:sz w:val="20"/>
          <w:szCs w:val="20"/>
          <w:highlight w:val="white"/>
          <w:lang w:val="en-US"/>
        </w:rPr>
      </w:pPr>
      <w:r w:rsidRPr="00B93ABE">
        <w:rPr>
          <w:sz w:val="20"/>
          <w:szCs w:val="20"/>
          <w:highlight w:val="white"/>
          <w:lang w:val="en-US"/>
        </w:rPr>
        <w:t>Among its main axes are:</w:t>
      </w:r>
    </w:p>
    <w:p w14:paraId="0000034A" w14:textId="77777777" w:rsidR="004F7DB3" w:rsidRPr="00B93ABE" w:rsidRDefault="6E2A2B94" w:rsidP="001360BB">
      <w:pPr>
        <w:numPr>
          <w:ilvl w:val="0"/>
          <w:numId w:val="205"/>
        </w:numPr>
        <w:pBdr>
          <w:top w:val="none" w:sz="0" w:space="0" w:color="E5E7EB"/>
          <w:left w:val="none" w:sz="0" w:space="0" w:color="E5E7EB"/>
          <w:bottom w:val="none" w:sz="0" w:space="0" w:color="E5E7EB"/>
          <w:right w:val="none" w:sz="0" w:space="0" w:color="E5E7EB"/>
          <w:between w:val="none" w:sz="0" w:space="0" w:color="E5E7EB"/>
        </w:pBdr>
        <w:spacing w:before="120" w:after="0" w:line="240" w:lineRule="auto"/>
        <w:rPr>
          <w:sz w:val="20"/>
          <w:szCs w:val="20"/>
          <w:highlight w:val="white"/>
          <w:lang w:val="en-US"/>
        </w:rPr>
      </w:pPr>
      <w:r w:rsidRPr="5D8904BE">
        <w:rPr>
          <w:sz w:val="20"/>
          <w:szCs w:val="20"/>
          <w:highlight w:val="white"/>
          <w:lang w:val="en-US"/>
        </w:rPr>
        <w:t>Institutional support and capacity building for landscape restoration and climate resilience</w:t>
      </w:r>
    </w:p>
    <w:p w14:paraId="0000034B" w14:textId="77777777" w:rsidR="004F7DB3" w:rsidRPr="00B93ABE" w:rsidRDefault="29D57A18" w:rsidP="001360BB">
      <w:pPr>
        <w:numPr>
          <w:ilvl w:val="0"/>
          <w:numId w:val="205"/>
        </w:numPr>
        <w:pBdr>
          <w:top w:val="none" w:sz="0" w:space="0" w:color="E5E7EB"/>
          <w:left w:val="none" w:sz="0" w:space="0" w:color="E5E7EB"/>
          <w:bottom w:val="none" w:sz="0" w:space="0" w:color="E5E7EB"/>
          <w:right w:val="none" w:sz="0" w:space="0" w:color="E5E7EB"/>
          <w:between w:val="none" w:sz="0" w:space="0" w:color="E5E7EB"/>
        </w:pBdr>
        <w:spacing w:after="120" w:line="240" w:lineRule="auto"/>
        <w:rPr>
          <w:sz w:val="20"/>
          <w:szCs w:val="20"/>
          <w:highlight w:val="white"/>
          <w:lang w:val="en-US"/>
        </w:rPr>
      </w:pPr>
      <w:r w:rsidRPr="00B93ABE">
        <w:rPr>
          <w:sz w:val="20"/>
          <w:szCs w:val="20"/>
          <w:highlight w:val="white"/>
          <w:lang w:val="en-US"/>
        </w:rPr>
        <w:t>Investments in landscape restoration and community resilience</w:t>
      </w:r>
    </w:p>
    <w:p w14:paraId="0000034C" w14:textId="3FC69B32" w:rsidR="004F7DB3" w:rsidRPr="00B93ABE" w:rsidRDefault="6E2A2B94" w:rsidP="5D8904BE">
      <w:pPr>
        <w:pBdr>
          <w:top w:val="none" w:sz="0" w:space="0" w:color="E5E7EB"/>
          <w:left w:val="none" w:sz="0" w:space="0" w:color="E5E7EB"/>
          <w:bottom w:val="none" w:sz="0" w:space="0" w:color="E5E7EB"/>
          <w:right w:val="none" w:sz="0" w:space="0" w:color="E5E7EB"/>
          <w:between w:val="none" w:sz="0" w:space="0" w:color="E5E7EB"/>
        </w:pBdr>
        <w:spacing w:before="120" w:after="120" w:line="240" w:lineRule="auto"/>
        <w:rPr>
          <w:sz w:val="20"/>
          <w:szCs w:val="20"/>
          <w:highlight w:val="white"/>
          <w:lang w:val="en-US"/>
        </w:rPr>
      </w:pPr>
      <w:r w:rsidRPr="5D8904BE">
        <w:rPr>
          <w:sz w:val="20"/>
          <w:szCs w:val="20"/>
          <w:highlight w:val="white"/>
          <w:lang w:val="en-US"/>
        </w:rPr>
        <w:t xml:space="preserve">The project targets 87 municipalities located mainly in the regions of Kayes, Koulikoro, Ségou and Mopti, particularly on the Malian route of the Great Green Wall. It provides for the rehabilitation of more than 400,000 hectares of degraded land, the creation of green jobs, the improvement of women's access to economic opportunities, as well as the development of non-timber forest products and fishery products. The </w:t>
      </w:r>
      <w:r w:rsidRPr="5D8904BE">
        <w:rPr>
          <w:sz w:val="20"/>
          <w:szCs w:val="20"/>
          <w:highlight w:val="white"/>
          <w:lang w:val="en-US"/>
        </w:rPr>
        <w:lastRenderedPageBreak/>
        <w:t>PRTD is expected to benefit approximately 2.3 million people, particularly vulnerable rural populations, and contribute to the implementation of Mali's national commitments on land restoration. This project will see coordination with</w:t>
      </w:r>
      <w:r w:rsidRPr="5D8904BE">
        <w:rPr>
          <w:b/>
          <w:bCs/>
          <w:sz w:val="20"/>
          <w:szCs w:val="20"/>
          <w:highlight w:val="white"/>
          <w:lang w:val="en-US"/>
        </w:rPr>
        <w:t xml:space="preserve"> component 3 </w:t>
      </w:r>
      <w:r w:rsidRPr="5D8904BE">
        <w:rPr>
          <w:sz w:val="20"/>
          <w:szCs w:val="20"/>
          <w:highlight w:val="white"/>
          <w:lang w:val="en-US"/>
        </w:rPr>
        <w:t xml:space="preserve">on the establishment of a sustainable green belt in Bamako, including work on the </w:t>
      </w:r>
      <w:proofErr w:type="spellStart"/>
      <w:r w:rsidRPr="5D8904BE">
        <w:rPr>
          <w:sz w:val="20"/>
          <w:szCs w:val="20"/>
          <w:highlight w:val="white"/>
          <w:lang w:val="en-US"/>
        </w:rPr>
        <w:t>Koul</w:t>
      </w:r>
      <w:r w:rsidR="564CD5F4" w:rsidRPr="5D8904BE">
        <w:rPr>
          <w:sz w:val="20"/>
          <w:szCs w:val="20"/>
          <w:highlight w:val="white"/>
          <w:lang w:val="en-US"/>
        </w:rPr>
        <w:t>ouba</w:t>
      </w:r>
      <w:proofErr w:type="spellEnd"/>
      <w:r w:rsidR="564CD5F4" w:rsidRPr="5D8904BE">
        <w:rPr>
          <w:sz w:val="20"/>
          <w:szCs w:val="20"/>
          <w:highlight w:val="white"/>
          <w:lang w:val="en-US"/>
        </w:rPr>
        <w:t xml:space="preserve"> </w:t>
      </w:r>
      <w:r w:rsidRPr="5D8904BE">
        <w:rPr>
          <w:sz w:val="20"/>
          <w:szCs w:val="20"/>
          <w:highlight w:val="white"/>
          <w:lang w:val="en-US"/>
        </w:rPr>
        <w:t>forest in</w:t>
      </w:r>
      <w:r w:rsidR="564CD5F4" w:rsidRPr="5D8904BE">
        <w:rPr>
          <w:sz w:val="20"/>
          <w:szCs w:val="20"/>
          <w:highlight w:val="white"/>
          <w:lang w:val="en-US"/>
        </w:rPr>
        <w:t xml:space="preserve"> </w:t>
      </w:r>
      <w:proofErr w:type="spellStart"/>
      <w:r w:rsidR="564CD5F4" w:rsidRPr="5D8904BE">
        <w:rPr>
          <w:sz w:val="20"/>
          <w:szCs w:val="20"/>
          <w:highlight w:val="white"/>
          <w:lang w:val="en-US"/>
        </w:rPr>
        <w:t>Koulikourou</w:t>
      </w:r>
      <w:proofErr w:type="spellEnd"/>
      <w:r w:rsidR="564CD5F4" w:rsidRPr="5D8904BE">
        <w:rPr>
          <w:sz w:val="20"/>
          <w:szCs w:val="20"/>
          <w:highlight w:val="white"/>
          <w:lang w:val="en-US"/>
        </w:rPr>
        <w:t xml:space="preserve"> region, in </w:t>
      </w:r>
      <w:r w:rsidRPr="5D8904BE">
        <w:rPr>
          <w:sz w:val="20"/>
          <w:szCs w:val="20"/>
          <w:highlight w:val="white"/>
          <w:lang w:val="en-US"/>
        </w:rPr>
        <w:t xml:space="preserve">Bamako. </w:t>
      </w:r>
    </w:p>
    <w:p w14:paraId="0000034D" w14:textId="10ED2975" w:rsidR="004F7DB3" w:rsidRPr="00B93ABE" w:rsidRDefault="17637644" w:rsidP="51745E8D">
      <w:pPr>
        <w:spacing w:before="240" w:after="240" w:line="240" w:lineRule="auto"/>
        <w:jc w:val="both"/>
        <w:rPr>
          <w:sz w:val="20"/>
          <w:szCs w:val="20"/>
          <w:highlight w:val="white"/>
          <w:lang w:val="en-US"/>
        </w:rPr>
      </w:pPr>
      <w:r w:rsidRPr="5D8904BE">
        <w:rPr>
          <w:i/>
          <w:iCs/>
          <w:sz w:val="20"/>
          <w:szCs w:val="20"/>
          <w:highlight w:val="white"/>
          <w:u w:val="single"/>
          <w:lang w:val="en-US"/>
        </w:rPr>
        <w:t>S</w:t>
      </w:r>
      <w:r w:rsidR="0BB7406A" w:rsidRPr="5D8904BE">
        <w:rPr>
          <w:i/>
          <w:iCs/>
          <w:sz w:val="20"/>
          <w:szCs w:val="20"/>
          <w:highlight w:val="white"/>
          <w:u w:val="single"/>
          <w:lang w:val="en-US"/>
        </w:rPr>
        <w:t xml:space="preserve">ummary </w:t>
      </w:r>
      <w:r w:rsidRPr="5D8904BE">
        <w:rPr>
          <w:i/>
          <w:iCs/>
          <w:sz w:val="20"/>
          <w:szCs w:val="20"/>
          <w:highlight w:val="white"/>
          <w:u w:val="single"/>
          <w:lang w:val="en-US"/>
        </w:rPr>
        <w:t xml:space="preserve">of BIOFIN Project </w:t>
      </w:r>
      <w:r w:rsidR="0BB7406A" w:rsidRPr="5D8904BE">
        <w:rPr>
          <w:i/>
          <w:iCs/>
          <w:sz w:val="20"/>
          <w:szCs w:val="20"/>
          <w:highlight w:val="white"/>
          <w:u w:val="single"/>
          <w:lang w:val="en-US"/>
        </w:rPr>
        <w:t xml:space="preserve">in Mali: </w:t>
      </w:r>
      <w:r w:rsidR="0BB7406A" w:rsidRPr="5D8904BE">
        <w:rPr>
          <w:sz w:val="20"/>
          <w:szCs w:val="20"/>
          <w:highlight w:val="white"/>
          <w:lang w:val="en-US"/>
        </w:rPr>
        <w:t xml:space="preserve">The Framework </w:t>
      </w:r>
      <w:proofErr w:type="spellStart"/>
      <w:r w:rsidR="0BB7406A" w:rsidRPr="5D8904BE">
        <w:rPr>
          <w:sz w:val="20"/>
          <w:szCs w:val="20"/>
          <w:highlight w:val="white"/>
          <w:lang w:val="en-US"/>
        </w:rPr>
        <w:t>Programme</w:t>
      </w:r>
      <w:proofErr w:type="spellEnd"/>
      <w:r w:rsidR="0BB7406A" w:rsidRPr="5D8904BE">
        <w:rPr>
          <w:sz w:val="20"/>
          <w:szCs w:val="20"/>
          <w:highlight w:val="white"/>
          <w:lang w:val="en-US"/>
        </w:rPr>
        <w:t xml:space="preserve"> to Support the Development of Financing Plans for Biodiversity</w:t>
      </w:r>
      <w:r w:rsidR="70BF8D1C" w:rsidRPr="5D8904BE">
        <w:rPr>
          <w:sz w:val="20"/>
          <w:szCs w:val="20"/>
          <w:highlight w:val="white"/>
          <w:lang w:val="en-US"/>
        </w:rPr>
        <w:t xml:space="preserve"> (BIOFIN)</w:t>
      </w:r>
      <w:r w:rsidR="0BB7406A" w:rsidRPr="5D8904BE">
        <w:rPr>
          <w:sz w:val="20"/>
          <w:szCs w:val="20"/>
          <w:highlight w:val="white"/>
          <w:lang w:val="en-US"/>
        </w:rPr>
        <w:t>, funded by the GEF, aims to address the structural biodiversity financing gap through a systematic and multisectoral approach. It supports countries in building a solid baseline, quantifying financial needs, and developing national financing strategies aligned with the goals of the Kunming-Montreal Global Biodiversity Framework. The objective is to mobilize resources at scale, institutionalize biodiversity financing and strengthen technical and institutional capacities for sustainable integration into national budget systems.</w:t>
      </w:r>
    </w:p>
    <w:p w14:paraId="00000352" w14:textId="5687E54C" w:rsidR="004F7DB3" w:rsidRPr="00B93ABE" w:rsidRDefault="3C71C9F3" w:rsidP="51745E8D">
      <w:pPr>
        <w:spacing w:before="240" w:after="240" w:line="240" w:lineRule="auto"/>
        <w:jc w:val="both"/>
        <w:rPr>
          <w:sz w:val="20"/>
          <w:szCs w:val="20"/>
          <w:highlight w:val="white"/>
          <w:lang w:val="en-US"/>
        </w:rPr>
      </w:pPr>
      <w:r w:rsidRPr="5D8904BE">
        <w:rPr>
          <w:sz w:val="20"/>
          <w:szCs w:val="20"/>
          <w:highlight w:val="white"/>
          <w:lang w:val="en-US"/>
        </w:rPr>
        <w:t xml:space="preserve">The </w:t>
      </w:r>
      <w:r w:rsidR="3B3320F6" w:rsidRPr="5D8904BE">
        <w:rPr>
          <w:sz w:val="20"/>
          <w:szCs w:val="20"/>
          <w:highlight w:val="white"/>
          <w:lang w:val="en-US"/>
        </w:rPr>
        <w:t xml:space="preserve">BIOFIN </w:t>
      </w:r>
      <w:r w:rsidRPr="5D8904BE">
        <w:rPr>
          <w:sz w:val="20"/>
          <w:szCs w:val="20"/>
          <w:highlight w:val="white"/>
          <w:lang w:val="en-US"/>
        </w:rPr>
        <w:t xml:space="preserve">program </w:t>
      </w:r>
      <w:r w:rsidR="4F887C84" w:rsidRPr="5D8904BE">
        <w:rPr>
          <w:sz w:val="20"/>
          <w:szCs w:val="20"/>
          <w:highlight w:val="white"/>
          <w:lang w:val="en-US"/>
        </w:rPr>
        <w:t>includes</w:t>
      </w:r>
      <w:r w:rsidRPr="5D8904BE">
        <w:rPr>
          <w:sz w:val="20"/>
          <w:szCs w:val="20"/>
          <w:highlight w:val="white"/>
          <w:lang w:val="en-US"/>
        </w:rPr>
        <w:t xml:space="preserve"> five main components, including the</w:t>
      </w:r>
      <w:r w:rsidRPr="5D8904BE">
        <w:rPr>
          <w:b/>
          <w:bCs/>
          <w:sz w:val="20"/>
          <w:szCs w:val="20"/>
          <w:highlight w:val="white"/>
          <w:lang w:val="en-US"/>
        </w:rPr>
        <w:t xml:space="preserve"> development of the National Biodiversity Financing Plan</w:t>
      </w:r>
      <w:r w:rsidR="4403BFF0" w:rsidRPr="5D8904BE">
        <w:rPr>
          <w:sz w:val="20"/>
          <w:szCs w:val="20"/>
          <w:highlight w:val="white"/>
          <w:lang w:val="en-US"/>
        </w:rPr>
        <w:t>, and the</w:t>
      </w:r>
      <w:r w:rsidRPr="5D8904BE">
        <w:rPr>
          <w:sz w:val="20"/>
          <w:szCs w:val="20"/>
          <w:highlight w:val="white"/>
          <w:lang w:val="en-US"/>
        </w:rPr>
        <w:t xml:space="preserve"> definition of a portfolio of priority financing solutions, with a business case and appropriation mechanisms. The effective start of the BIOFIN </w:t>
      </w:r>
      <w:proofErr w:type="spellStart"/>
      <w:r w:rsidRPr="5D8904BE">
        <w:rPr>
          <w:sz w:val="20"/>
          <w:szCs w:val="20"/>
          <w:highlight w:val="white"/>
          <w:lang w:val="en-US"/>
        </w:rPr>
        <w:t>programme</w:t>
      </w:r>
      <w:proofErr w:type="spellEnd"/>
      <w:r w:rsidRPr="5D8904BE">
        <w:rPr>
          <w:sz w:val="20"/>
          <w:szCs w:val="20"/>
          <w:highlight w:val="white"/>
          <w:lang w:val="en-US"/>
        </w:rPr>
        <w:t xml:space="preserve"> in Mali is scheduled for the end of 2025. In anticipation, the DUI project in Bamako will engage in close coordination with the BIOFIN Mali team to co-develop an </w:t>
      </w:r>
      <w:r w:rsidRPr="5D8904BE">
        <w:rPr>
          <w:b/>
          <w:bCs/>
          <w:sz w:val="20"/>
          <w:szCs w:val="20"/>
          <w:highlight w:val="white"/>
          <w:lang w:val="en-US"/>
        </w:rPr>
        <w:t>ecological and financial sustainability plan for the green belt under component 3</w:t>
      </w:r>
      <w:r w:rsidRPr="5D8904BE">
        <w:rPr>
          <w:sz w:val="20"/>
          <w:szCs w:val="20"/>
          <w:highlight w:val="white"/>
          <w:lang w:val="en-US"/>
        </w:rPr>
        <w:t>. This will be based on the BIOFIN methodology, adapted to the local context, and will draw on lessons learned from relevant international experiences (including Mexico City, Jalisco, or Negros in the Philippines), which have integrated innovative financing solutions for biodiversity at the local level. This process will identify viable financing mechanisms, structure strategic partnerships, and strengthen the capacity of local actors to integrate biodiversity into budgetary and territorial planning.</w:t>
      </w:r>
    </w:p>
    <w:p w14:paraId="44741823" w14:textId="4DC1A58B" w:rsidR="126B27BE" w:rsidRPr="00B93ABE" w:rsidRDefault="1387A0C6" w:rsidP="008C49FB">
      <w:pPr>
        <w:spacing w:line="252" w:lineRule="auto"/>
        <w:contextualSpacing/>
        <w:jc w:val="both"/>
        <w:rPr>
          <w:color w:val="000000" w:themeColor="text1"/>
          <w:sz w:val="20"/>
          <w:szCs w:val="20"/>
          <w:lang w:val="en-US"/>
        </w:rPr>
      </w:pPr>
      <w:r w:rsidRPr="5D8904BE">
        <w:rPr>
          <w:i/>
          <w:iCs/>
          <w:sz w:val="20"/>
          <w:szCs w:val="20"/>
          <w:highlight w:val="white"/>
          <w:u w:val="single"/>
          <w:lang w:val="en-US"/>
        </w:rPr>
        <w:t xml:space="preserve">Africa </w:t>
      </w:r>
      <w:proofErr w:type="spellStart"/>
      <w:r w:rsidRPr="5D8904BE">
        <w:rPr>
          <w:i/>
          <w:iCs/>
          <w:sz w:val="20"/>
          <w:szCs w:val="20"/>
          <w:highlight w:val="white"/>
          <w:u w:val="single"/>
          <w:lang w:val="en-US"/>
        </w:rPr>
        <w:t>Minigrid</w:t>
      </w:r>
      <w:r w:rsidR="252CB96D" w:rsidRPr="5D8904BE">
        <w:rPr>
          <w:i/>
          <w:iCs/>
          <w:sz w:val="20"/>
          <w:szCs w:val="20"/>
          <w:highlight w:val="white"/>
          <w:u w:val="single"/>
          <w:lang w:val="en-US"/>
        </w:rPr>
        <w:t>s</w:t>
      </w:r>
      <w:proofErr w:type="spellEnd"/>
      <w:r w:rsidRPr="5D8904BE">
        <w:rPr>
          <w:i/>
          <w:iCs/>
          <w:sz w:val="20"/>
          <w:szCs w:val="20"/>
          <w:highlight w:val="white"/>
          <w:u w:val="single"/>
          <w:lang w:val="en-US"/>
        </w:rPr>
        <w:t xml:space="preserve"> Project in </w:t>
      </w:r>
      <w:proofErr w:type="gramStart"/>
      <w:r w:rsidRPr="5D8904BE">
        <w:rPr>
          <w:i/>
          <w:iCs/>
          <w:sz w:val="20"/>
          <w:szCs w:val="20"/>
          <w:highlight w:val="white"/>
          <w:u w:val="single"/>
          <w:lang w:val="en-US"/>
        </w:rPr>
        <w:t>Mali</w:t>
      </w:r>
      <w:r w:rsidRPr="5D8904BE">
        <w:rPr>
          <w:sz w:val="20"/>
          <w:szCs w:val="20"/>
          <w:highlight w:val="white"/>
          <w:lang w:val="en-US"/>
        </w:rPr>
        <w:t xml:space="preserve"> :</w:t>
      </w:r>
      <w:proofErr w:type="gramEnd"/>
      <w:r w:rsidRPr="5D8904BE">
        <w:rPr>
          <w:sz w:val="20"/>
          <w:szCs w:val="20"/>
          <w:highlight w:val="white"/>
          <w:lang w:val="en-US"/>
        </w:rPr>
        <w:t xml:space="preserve"> </w:t>
      </w:r>
      <w:r w:rsidR="546FD734" w:rsidRPr="5D8904BE">
        <w:rPr>
          <w:sz w:val="20"/>
          <w:szCs w:val="20"/>
          <w:highlight w:val="white"/>
          <w:lang w:val="en-US"/>
        </w:rPr>
        <w:t>A</w:t>
      </w:r>
      <w:r w:rsidR="546FD734" w:rsidRPr="5D8904BE">
        <w:rPr>
          <w:color w:val="000000" w:themeColor="text1"/>
          <w:sz w:val="20"/>
          <w:szCs w:val="20"/>
          <w:lang w:val="en-US"/>
        </w:rPr>
        <w:t xml:space="preserve">s part of the UNDP-supported, GEF-funded African </w:t>
      </w:r>
      <w:proofErr w:type="spellStart"/>
      <w:r w:rsidR="546FD734" w:rsidRPr="5D8904BE">
        <w:rPr>
          <w:color w:val="000000" w:themeColor="text1"/>
          <w:sz w:val="20"/>
          <w:szCs w:val="20"/>
          <w:lang w:val="en-US"/>
        </w:rPr>
        <w:t>Mini</w:t>
      </w:r>
      <w:r w:rsidR="720BA123" w:rsidRPr="5D8904BE">
        <w:rPr>
          <w:color w:val="000000" w:themeColor="text1"/>
          <w:sz w:val="20"/>
          <w:szCs w:val="20"/>
          <w:lang w:val="en-US"/>
        </w:rPr>
        <w:t>g</w:t>
      </w:r>
      <w:r w:rsidR="546FD734" w:rsidRPr="5D8904BE">
        <w:rPr>
          <w:color w:val="000000" w:themeColor="text1"/>
          <w:sz w:val="20"/>
          <w:szCs w:val="20"/>
          <w:lang w:val="en-US"/>
        </w:rPr>
        <w:t>rids</w:t>
      </w:r>
      <w:proofErr w:type="spellEnd"/>
      <w:r w:rsidR="546FD734" w:rsidRPr="5D8904BE">
        <w:rPr>
          <w:color w:val="000000" w:themeColor="text1"/>
          <w:sz w:val="20"/>
          <w:szCs w:val="20"/>
          <w:lang w:val="en-US"/>
        </w:rPr>
        <w:t xml:space="preserve"> Program (AMP), this project aims to expand access to clean, affordable, and reliable energy in Mali by enhancing the financial viability of renewable energy (RE) mini-grids and promoting larger-scale commercial investments. The project focuses on cost-reduction levers and innovative business models to make mini-grids more sustainable and scalable</w:t>
      </w:r>
      <w:r w:rsidR="723E30A8" w:rsidRPr="5D8904BE">
        <w:rPr>
          <w:color w:val="000000" w:themeColor="text1"/>
          <w:sz w:val="20"/>
          <w:szCs w:val="20"/>
          <w:lang w:val="en-US"/>
        </w:rPr>
        <w:t xml:space="preserve">. </w:t>
      </w:r>
      <w:r w:rsidRPr="5D8904BE">
        <w:rPr>
          <w:color w:val="000000" w:themeColor="text1"/>
          <w:sz w:val="20"/>
          <w:szCs w:val="20"/>
          <w:lang w:val="en-US"/>
        </w:rPr>
        <w:t>Even though the two projects (IUDP in Bamako and AMP) do not currently share pilot zones, there is strong strategic synergy between them, particularly around the shared goals of green, inclusive, and resilient development. One of the most pressing challenges in Mali is access to electricity—an issue both projects address from complementary angles.</w:t>
      </w:r>
      <w:r w:rsidR="1618EEFC" w:rsidRPr="5D8904BE">
        <w:rPr>
          <w:color w:val="000000" w:themeColor="text1"/>
          <w:sz w:val="20"/>
          <w:szCs w:val="20"/>
          <w:lang w:val="en-US"/>
        </w:rPr>
        <w:t xml:space="preserve"> </w:t>
      </w:r>
      <w:r w:rsidRPr="5D8904BE">
        <w:rPr>
          <w:color w:val="000000" w:themeColor="text1"/>
          <w:sz w:val="20"/>
          <w:szCs w:val="20"/>
          <w:lang w:val="en-US"/>
        </w:rPr>
        <w:t xml:space="preserve">Key Synergies and Opportunities for Coordination </w:t>
      </w:r>
      <w:r w:rsidR="7BDB6E66" w:rsidRPr="5D8904BE">
        <w:rPr>
          <w:color w:val="000000" w:themeColor="text1"/>
          <w:sz w:val="20"/>
          <w:szCs w:val="20"/>
          <w:lang w:val="en-US"/>
        </w:rPr>
        <w:t>with IUDP</w:t>
      </w:r>
      <w:r w:rsidRPr="5D8904BE">
        <w:rPr>
          <w:color w:val="000000" w:themeColor="text1"/>
          <w:sz w:val="20"/>
          <w:szCs w:val="20"/>
          <w:lang w:val="en-US"/>
        </w:rPr>
        <w:t>:</w:t>
      </w:r>
    </w:p>
    <w:p w14:paraId="0C2D2069" w14:textId="193CB7FD" w:rsidR="126B27BE" w:rsidRPr="00B93ABE" w:rsidRDefault="12F622DE" w:rsidP="001360BB">
      <w:pPr>
        <w:pStyle w:val="Paragraphedeliste"/>
        <w:numPr>
          <w:ilvl w:val="0"/>
          <w:numId w:val="147"/>
        </w:numPr>
        <w:spacing w:line="252" w:lineRule="auto"/>
        <w:rPr>
          <w:color w:val="000000" w:themeColor="text1"/>
          <w:sz w:val="20"/>
          <w:szCs w:val="20"/>
          <w:lang w:val="en-US"/>
        </w:rPr>
      </w:pPr>
      <w:r w:rsidRPr="537FA187">
        <w:rPr>
          <w:color w:val="000000" w:themeColor="text1"/>
          <w:sz w:val="20"/>
          <w:szCs w:val="20"/>
          <w:lang w:val="en-US"/>
        </w:rPr>
        <w:t>Electricity Access and Regulatory Frameworks</w:t>
      </w:r>
      <w:r w:rsidR="04605E08" w:rsidRPr="006B3FCE">
        <w:rPr>
          <w:lang w:val="en-US"/>
        </w:rPr>
        <w:br/>
      </w:r>
      <w:r w:rsidRPr="537FA187">
        <w:rPr>
          <w:color w:val="000000" w:themeColor="text1"/>
          <w:sz w:val="20"/>
          <w:szCs w:val="20"/>
          <w:lang w:val="en-US"/>
        </w:rPr>
        <w:t>The AMP project focuses on improving the institutional and regulatory environment for renewable energy and electricity access across Mali. These reforms are highly relevant for Bamako’s transition to electric vehicles (EVs) and sustainable urban transport. The IUDP can directly benefit from AMP’s policy and regulatory advancements to support clean energy solutions in an urban context.</w:t>
      </w:r>
    </w:p>
    <w:p w14:paraId="38E92D1C" w14:textId="41672370" w:rsidR="126B27BE" w:rsidRPr="00B93ABE" w:rsidRDefault="126B27BE" w:rsidP="001360BB">
      <w:pPr>
        <w:pStyle w:val="Paragraphedeliste"/>
        <w:numPr>
          <w:ilvl w:val="0"/>
          <w:numId w:val="147"/>
        </w:numPr>
        <w:spacing w:line="252" w:lineRule="auto"/>
        <w:rPr>
          <w:color w:val="000000" w:themeColor="text1"/>
          <w:sz w:val="20"/>
          <w:szCs w:val="20"/>
          <w:lang w:val="en-US"/>
        </w:rPr>
      </w:pPr>
      <w:r w:rsidRPr="00B93ABE">
        <w:rPr>
          <w:color w:val="000000" w:themeColor="text1"/>
          <w:sz w:val="20"/>
          <w:szCs w:val="20"/>
          <w:lang w:val="en-US"/>
        </w:rPr>
        <w:t>Integrated Infrastructure and Services</w:t>
      </w:r>
      <w:r w:rsidRPr="00B93ABE">
        <w:rPr>
          <w:sz w:val="20"/>
          <w:szCs w:val="20"/>
          <w:lang w:val="en-US"/>
        </w:rPr>
        <w:br/>
      </w:r>
      <w:r w:rsidRPr="00B93ABE">
        <w:rPr>
          <w:color w:val="000000" w:themeColor="text1"/>
          <w:sz w:val="20"/>
          <w:szCs w:val="20"/>
          <w:lang w:val="en-US"/>
        </w:rPr>
        <w:t>There is strong potential for coordination around:</w:t>
      </w:r>
    </w:p>
    <w:p w14:paraId="3785AC8E" w14:textId="14A77527" w:rsidR="126B27BE" w:rsidRPr="00B93ABE" w:rsidRDefault="126B27BE" w:rsidP="001360BB">
      <w:pPr>
        <w:pStyle w:val="Paragraphedeliste"/>
        <w:numPr>
          <w:ilvl w:val="1"/>
          <w:numId w:val="147"/>
        </w:numPr>
        <w:spacing w:line="252" w:lineRule="auto"/>
        <w:jc w:val="both"/>
        <w:rPr>
          <w:color w:val="000000" w:themeColor="text1"/>
          <w:sz w:val="20"/>
          <w:szCs w:val="20"/>
          <w:lang w:val="en-US"/>
        </w:rPr>
      </w:pPr>
      <w:r w:rsidRPr="00B93ABE">
        <w:rPr>
          <w:color w:val="000000" w:themeColor="text1"/>
          <w:sz w:val="20"/>
          <w:szCs w:val="20"/>
          <w:lang w:val="en-US"/>
        </w:rPr>
        <w:t>Integrated platforms combining energy and urban services</w:t>
      </w:r>
    </w:p>
    <w:p w14:paraId="677B3055" w14:textId="03A1D40F" w:rsidR="126B27BE" w:rsidRPr="00B93ABE" w:rsidRDefault="126B27BE" w:rsidP="001360BB">
      <w:pPr>
        <w:pStyle w:val="Paragraphedeliste"/>
        <w:numPr>
          <w:ilvl w:val="1"/>
          <w:numId w:val="147"/>
        </w:numPr>
        <w:spacing w:line="252" w:lineRule="auto"/>
        <w:jc w:val="both"/>
        <w:rPr>
          <w:color w:val="000000" w:themeColor="text1"/>
          <w:sz w:val="20"/>
          <w:szCs w:val="20"/>
          <w:lang w:val="en-US"/>
        </w:rPr>
      </w:pPr>
      <w:r w:rsidRPr="00B93ABE">
        <w:rPr>
          <w:color w:val="000000" w:themeColor="text1"/>
          <w:sz w:val="20"/>
          <w:szCs w:val="20"/>
          <w:lang w:val="en-US"/>
        </w:rPr>
        <w:t>Co-design of sustainable infrastructure models</w:t>
      </w:r>
    </w:p>
    <w:p w14:paraId="79281DF4" w14:textId="12D56804" w:rsidR="126B27BE" w:rsidRPr="00B93ABE" w:rsidRDefault="126B27BE" w:rsidP="001360BB">
      <w:pPr>
        <w:pStyle w:val="Paragraphedeliste"/>
        <w:numPr>
          <w:ilvl w:val="1"/>
          <w:numId w:val="147"/>
        </w:numPr>
        <w:spacing w:line="252" w:lineRule="auto"/>
        <w:jc w:val="both"/>
        <w:rPr>
          <w:color w:val="000000" w:themeColor="text1"/>
          <w:sz w:val="20"/>
          <w:szCs w:val="20"/>
          <w:lang w:val="en-US"/>
        </w:rPr>
      </w:pPr>
      <w:r w:rsidRPr="00B93ABE">
        <w:rPr>
          <w:color w:val="000000" w:themeColor="text1"/>
          <w:sz w:val="20"/>
          <w:szCs w:val="20"/>
          <w:lang w:val="en-US"/>
        </w:rPr>
        <w:t>Solar-powered charging hubs to support e-mobility in Bamako</w:t>
      </w:r>
    </w:p>
    <w:p w14:paraId="56500675" w14:textId="2A48C343" w:rsidR="126B27BE" w:rsidRPr="00B93ABE" w:rsidRDefault="126B27BE" w:rsidP="001360BB">
      <w:pPr>
        <w:pStyle w:val="Paragraphedeliste"/>
        <w:numPr>
          <w:ilvl w:val="1"/>
          <w:numId w:val="147"/>
        </w:numPr>
        <w:spacing w:line="252" w:lineRule="auto"/>
        <w:jc w:val="both"/>
        <w:rPr>
          <w:color w:val="000000" w:themeColor="text1"/>
          <w:sz w:val="20"/>
          <w:szCs w:val="20"/>
          <w:lang w:val="en-US"/>
        </w:rPr>
      </w:pPr>
      <w:r w:rsidRPr="00B93ABE">
        <w:rPr>
          <w:color w:val="000000" w:themeColor="text1"/>
          <w:sz w:val="20"/>
          <w:szCs w:val="20"/>
          <w:lang w:val="en-US"/>
        </w:rPr>
        <w:t>Digital innovation, including the IUDP’s planned digital information window for the private sector and hackathons on sustainable urban services</w:t>
      </w:r>
    </w:p>
    <w:p w14:paraId="5B00055E" w14:textId="4F6035A8" w:rsidR="126B27BE" w:rsidRPr="00B93ABE" w:rsidRDefault="04605E08" w:rsidP="001360BB">
      <w:pPr>
        <w:pStyle w:val="Paragraphedeliste"/>
        <w:numPr>
          <w:ilvl w:val="0"/>
          <w:numId w:val="147"/>
        </w:numPr>
        <w:spacing w:line="252" w:lineRule="auto"/>
        <w:rPr>
          <w:color w:val="000000" w:themeColor="text1"/>
          <w:sz w:val="20"/>
          <w:szCs w:val="20"/>
          <w:lang w:val="en-US"/>
        </w:rPr>
      </w:pPr>
      <w:r w:rsidRPr="5D8904BE">
        <w:rPr>
          <w:color w:val="000000" w:themeColor="text1"/>
          <w:sz w:val="20"/>
          <w:szCs w:val="20"/>
          <w:lang w:val="en-US"/>
        </w:rPr>
        <w:t>Support to Green Entrepreneurship and Women-Led Businesses</w:t>
      </w:r>
      <w:r w:rsidR="126B27BE" w:rsidRPr="006F5E1D">
        <w:rPr>
          <w:lang w:val="en-US"/>
        </w:rPr>
        <w:br/>
      </w:r>
      <w:r w:rsidRPr="5D8904BE">
        <w:rPr>
          <w:color w:val="000000" w:themeColor="text1"/>
          <w:sz w:val="20"/>
          <w:szCs w:val="20"/>
          <w:lang w:val="en-US"/>
        </w:rPr>
        <w:t xml:space="preserve">Both projects promote green SMEs and inclusive business models. </w:t>
      </w:r>
      <w:r w:rsidRPr="5D8904BE">
        <w:rPr>
          <w:color w:val="000000" w:themeColor="text1"/>
          <w:sz w:val="20"/>
          <w:szCs w:val="20"/>
        </w:rPr>
        <w:t xml:space="preserve">Joint efforts </w:t>
      </w:r>
      <w:proofErr w:type="spellStart"/>
      <w:proofErr w:type="gramStart"/>
      <w:r w:rsidRPr="5D8904BE">
        <w:rPr>
          <w:color w:val="000000" w:themeColor="text1"/>
          <w:sz w:val="20"/>
          <w:szCs w:val="20"/>
        </w:rPr>
        <w:t>could</w:t>
      </w:r>
      <w:proofErr w:type="spellEnd"/>
      <w:r w:rsidRPr="5D8904BE">
        <w:rPr>
          <w:color w:val="000000" w:themeColor="text1"/>
          <w:sz w:val="20"/>
          <w:szCs w:val="20"/>
        </w:rPr>
        <w:t>:</w:t>
      </w:r>
      <w:proofErr w:type="gramEnd"/>
    </w:p>
    <w:p w14:paraId="3B92B2A3" w14:textId="54A06483" w:rsidR="126B27BE" w:rsidRPr="00B93ABE" w:rsidRDefault="126B27BE" w:rsidP="001360BB">
      <w:pPr>
        <w:pStyle w:val="Paragraphedeliste"/>
        <w:numPr>
          <w:ilvl w:val="1"/>
          <w:numId w:val="147"/>
        </w:numPr>
        <w:spacing w:line="252" w:lineRule="auto"/>
        <w:jc w:val="both"/>
        <w:rPr>
          <w:color w:val="000000" w:themeColor="text1"/>
          <w:sz w:val="20"/>
          <w:szCs w:val="20"/>
          <w:lang w:val="en-US"/>
        </w:rPr>
      </w:pPr>
      <w:r w:rsidRPr="00B93ABE">
        <w:rPr>
          <w:color w:val="000000" w:themeColor="text1"/>
          <w:sz w:val="20"/>
          <w:szCs w:val="20"/>
          <w:lang w:val="en-US"/>
        </w:rPr>
        <w:t>Support the creation and scaling of women-led green cooperatives</w:t>
      </w:r>
    </w:p>
    <w:p w14:paraId="0364DB2E" w14:textId="733BAFFF" w:rsidR="126B27BE" w:rsidRPr="00B93ABE" w:rsidRDefault="126B27BE" w:rsidP="001360BB">
      <w:pPr>
        <w:pStyle w:val="Paragraphedeliste"/>
        <w:numPr>
          <w:ilvl w:val="1"/>
          <w:numId w:val="147"/>
        </w:numPr>
        <w:spacing w:line="252" w:lineRule="auto"/>
        <w:jc w:val="both"/>
        <w:rPr>
          <w:color w:val="000000" w:themeColor="text1"/>
          <w:sz w:val="20"/>
          <w:szCs w:val="20"/>
          <w:lang w:val="en-US"/>
        </w:rPr>
      </w:pPr>
      <w:r w:rsidRPr="00B93ABE">
        <w:rPr>
          <w:color w:val="000000" w:themeColor="text1"/>
          <w:sz w:val="20"/>
          <w:szCs w:val="20"/>
          <w:lang w:val="en-US"/>
        </w:rPr>
        <w:t>Align efforts to foster inclusive and climate-resilient value chains across rural and urban areas</w:t>
      </w:r>
    </w:p>
    <w:p w14:paraId="04A9F0D2" w14:textId="45D5D100" w:rsidR="126B27BE" w:rsidRPr="00B93ABE" w:rsidRDefault="04605E08" w:rsidP="001360BB">
      <w:pPr>
        <w:pStyle w:val="Paragraphedeliste"/>
        <w:numPr>
          <w:ilvl w:val="0"/>
          <w:numId w:val="147"/>
        </w:numPr>
        <w:spacing w:line="252" w:lineRule="auto"/>
        <w:rPr>
          <w:color w:val="000000" w:themeColor="text1"/>
          <w:sz w:val="20"/>
          <w:szCs w:val="20"/>
          <w:lang w:val="en-US"/>
        </w:rPr>
      </w:pPr>
      <w:r w:rsidRPr="5D8904BE">
        <w:rPr>
          <w:color w:val="000000" w:themeColor="text1"/>
          <w:sz w:val="20"/>
          <w:szCs w:val="20"/>
          <w:lang w:val="en-US"/>
        </w:rPr>
        <w:t>Shared Training and Capacity Building</w:t>
      </w:r>
      <w:r w:rsidR="126B27BE" w:rsidRPr="006F5E1D">
        <w:rPr>
          <w:lang w:val="en-US"/>
        </w:rPr>
        <w:br/>
      </w:r>
      <w:r w:rsidRPr="5D8904BE">
        <w:rPr>
          <w:color w:val="000000" w:themeColor="text1"/>
          <w:sz w:val="20"/>
          <w:szCs w:val="20"/>
          <w:lang w:val="en-US"/>
        </w:rPr>
        <w:t xml:space="preserve">The AMP project builds capacity in solar and mini-grid systems, while the IUDP focuses on urban mobility and vocational training (e.g., EV maintenance). </w:t>
      </w:r>
      <w:proofErr w:type="spellStart"/>
      <w:r w:rsidRPr="5D8904BE">
        <w:rPr>
          <w:color w:val="000000" w:themeColor="text1"/>
          <w:sz w:val="20"/>
          <w:szCs w:val="20"/>
        </w:rPr>
        <w:t>Together</w:t>
      </w:r>
      <w:proofErr w:type="spellEnd"/>
      <w:r w:rsidRPr="5D8904BE">
        <w:rPr>
          <w:color w:val="000000" w:themeColor="text1"/>
          <w:sz w:val="20"/>
          <w:szCs w:val="20"/>
        </w:rPr>
        <w:t xml:space="preserve">, </w:t>
      </w:r>
      <w:proofErr w:type="spellStart"/>
      <w:r w:rsidRPr="5D8904BE">
        <w:rPr>
          <w:color w:val="000000" w:themeColor="text1"/>
          <w:sz w:val="20"/>
          <w:szCs w:val="20"/>
        </w:rPr>
        <w:t>they</w:t>
      </w:r>
      <w:proofErr w:type="spellEnd"/>
      <w:r w:rsidRPr="5D8904BE">
        <w:rPr>
          <w:color w:val="000000" w:themeColor="text1"/>
          <w:sz w:val="20"/>
          <w:szCs w:val="20"/>
        </w:rPr>
        <w:t xml:space="preserve"> </w:t>
      </w:r>
      <w:proofErr w:type="spellStart"/>
      <w:proofErr w:type="gramStart"/>
      <w:r w:rsidRPr="5D8904BE">
        <w:rPr>
          <w:color w:val="000000" w:themeColor="text1"/>
          <w:sz w:val="20"/>
          <w:szCs w:val="20"/>
        </w:rPr>
        <w:t>could</w:t>
      </w:r>
      <w:proofErr w:type="spellEnd"/>
      <w:r w:rsidRPr="5D8904BE">
        <w:rPr>
          <w:color w:val="000000" w:themeColor="text1"/>
          <w:sz w:val="20"/>
          <w:szCs w:val="20"/>
        </w:rPr>
        <w:t>:</w:t>
      </w:r>
      <w:proofErr w:type="gramEnd"/>
    </w:p>
    <w:p w14:paraId="3CE11FC1" w14:textId="633FA477" w:rsidR="126B27BE" w:rsidRPr="00B93ABE" w:rsidRDefault="126B27BE" w:rsidP="001360BB">
      <w:pPr>
        <w:pStyle w:val="Paragraphedeliste"/>
        <w:numPr>
          <w:ilvl w:val="1"/>
          <w:numId w:val="147"/>
        </w:numPr>
        <w:spacing w:line="252" w:lineRule="auto"/>
        <w:jc w:val="both"/>
        <w:rPr>
          <w:color w:val="000000" w:themeColor="text1"/>
          <w:sz w:val="20"/>
          <w:szCs w:val="20"/>
          <w:lang w:val="en-US"/>
        </w:rPr>
      </w:pPr>
      <w:r w:rsidRPr="00B93ABE">
        <w:rPr>
          <w:color w:val="000000" w:themeColor="text1"/>
          <w:sz w:val="20"/>
          <w:szCs w:val="20"/>
          <w:lang w:val="en-US"/>
        </w:rPr>
        <w:t>Co-develop shared training curricula in solar energy and EV systems</w:t>
      </w:r>
    </w:p>
    <w:p w14:paraId="44A0847E" w14:textId="325F6A63" w:rsidR="126B27BE" w:rsidRPr="00B93ABE" w:rsidRDefault="126B27BE" w:rsidP="001360BB">
      <w:pPr>
        <w:pStyle w:val="Paragraphedeliste"/>
        <w:numPr>
          <w:ilvl w:val="1"/>
          <w:numId w:val="147"/>
        </w:numPr>
        <w:spacing w:line="252" w:lineRule="auto"/>
        <w:jc w:val="both"/>
        <w:rPr>
          <w:color w:val="000000" w:themeColor="text1"/>
          <w:sz w:val="20"/>
          <w:szCs w:val="20"/>
          <w:lang w:val="en-US"/>
        </w:rPr>
      </w:pPr>
      <w:r w:rsidRPr="00B93ABE">
        <w:rPr>
          <w:color w:val="000000" w:themeColor="text1"/>
          <w:sz w:val="20"/>
          <w:szCs w:val="20"/>
          <w:lang w:val="en-US"/>
        </w:rPr>
        <w:t>Support national certification programs and technical centers</w:t>
      </w:r>
    </w:p>
    <w:p w14:paraId="050EF87E" w14:textId="744703B9" w:rsidR="126B27BE" w:rsidRPr="00B93ABE" w:rsidRDefault="04605E08" w:rsidP="001360BB">
      <w:pPr>
        <w:pStyle w:val="Paragraphedeliste"/>
        <w:numPr>
          <w:ilvl w:val="0"/>
          <w:numId w:val="147"/>
        </w:numPr>
        <w:spacing w:line="252" w:lineRule="auto"/>
        <w:jc w:val="both"/>
        <w:rPr>
          <w:color w:val="000000" w:themeColor="text1"/>
          <w:sz w:val="20"/>
          <w:szCs w:val="20"/>
          <w:lang w:val="en-US"/>
        </w:rPr>
      </w:pPr>
      <w:proofErr w:type="spellStart"/>
      <w:r w:rsidRPr="5D8904BE">
        <w:rPr>
          <w:color w:val="000000" w:themeColor="text1"/>
          <w:sz w:val="20"/>
          <w:szCs w:val="20"/>
        </w:rPr>
        <w:t>Scalability</w:t>
      </w:r>
      <w:proofErr w:type="spellEnd"/>
      <w:r w:rsidRPr="5D8904BE">
        <w:rPr>
          <w:color w:val="000000" w:themeColor="text1"/>
          <w:sz w:val="20"/>
          <w:szCs w:val="20"/>
        </w:rPr>
        <w:t xml:space="preserve"> and </w:t>
      </w:r>
      <w:proofErr w:type="spellStart"/>
      <w:r w:rsidRPr="5D8904BE">
        <w:rPr>
          <w:color w:val="000000" w:themeColor="text1"/>
          <w:sz w:val="20"/>
          <w:szCs w:val="20"/>
        </w:rPr>
        <w:t>Replication</w:t>
      </w:r>
      <w:proofErr w:type="spellEnd"/>
    </w:p>
    <w:p w14:paraId="602B5F05" w14:textId="546261B2" w:rsidR="126B27BE" w:rsidRPr="00B93ABE" w:rsidRDefault="04605E08" w:rsidP="001360BB">
      <w:pPr>
        <w:pStyle w:val="Paragraphedeliste"/>
        <w:numPr>
          <w:ilvl w:val="1"/>
          <w:numId w:val="147"/>
        </w:numPr>
        <w:spacing w:line="252" w:lineRule="auto"/>
        <w:jc w:val="both"/>
        <w:rPr>
          <w:color w:val="000000" w:themeColor="text1"/>
          <w:sz w:val="20"/>
          <w:szCs w:val="20"/>
          <w:lang w:val="en-US"/>
        </w:rPr>
      </w:pPr>
      <w:r w:rsidRPr="5D8904BE">
        <w:rPr>
          <w:color w:val="000000" w:themeColor="text1"/>
          <w:sz w:val="20"/>
          <w:szCs w:val="20"/>
          <w:lang w:val="en-US"/>
        </w:rPr>
        <w:lastRenderedPageBreak/>
        <w:t>AMP could facilitate the upscaling of IUDP pilot initiatives by creating an enabling environment for investment in clean energy infrastructure.</w:t>
      </w:r>
    </w:p>
    <w:p w14:paraId="347E7963" w14:textId="5F71DD95" w:rsidR="126B27BE" w:rsidRDefault="126B27BE" w:rsidP="001360BB">
      <w:pPr>
        <w:pStyle w:val="Paragraphedeliste"/>
        <w:numPr>
          <w:ilvl w:val="1"/>
          <w:numId w:val="147"/>
        </w:numPr>
        <w:spacing w:line="252" w:lineRule="auto"/>
        <w:jc w:val="both"/>
        <w:rPr>
          <w:color w:val="000000" w:themeColor="text1"/>
          <w:sz w:val="20"/>
          <w:szCs w:val="20"/>
          <w:lang w:val="en-US"/>
        </w:rPr>
      </w:pPr>
      <w:r w:rsidRPr="00B93ABE">
        <w:rPr>
          <w:color w:val="000000" w:themeColor="text1"/>
          <w:sz w:val="20"/>
          <w:szCs w:val="20"/>
          <w:lang w:val="en-US"/>
        </w:rPr>
        <w:t>Bamako’s innovations in urban governance, digital tools, and public-private partnerships can inform national strategies fo</w:t>
      </w:r>
      <w:r w:rsidRPr="51745E8D">
        <w:rPr>
          <w:color w:val="000000" w:themeColor="text1"/>
          <w:sz w:val="20"/>
          <w:szCs w:val="20"/>
          <w:lang w:val="en-US"/>
        </w:rPr>
        <w:t>r inclusive electrification and green urban development</w:t>
      </w:r>
    </w:p>
    <w:p w14:paraId="37137236" w14:textId="496B2234" w:rsidR="126B27BE" w:rsidRDefault="428705A6" w:rsidP="51745E8D">
      <w:pPr>
        <w:spacing w:line="252" w:lineRule="auto"/>
        <w:ind w:left="187"/>
        <w:contextualSpacing/>
        <w:jc w:val="both"/>
        <w:rPr>
          <w:color w:val="000000" w:themeColor="text1"/>
          <w:sz w:val="20"/>
          <w:szCs w:val="20"/>
          <w:lang w:val="en-US"/>
        </w:rPr>
      </w:pPr>
      <w:r w:rsidRPr="537FA187">
        <w:rPr>
          <w:color w:val="000000" w:themeColor="text1"/>
          <w:sz w:val="20"/>
          <w:szCs w:val="20"/>
          <w:lang w:val="en-US"/>
        </w:rPr>
        <w:t xml:space="preserve">A structured collaboration between AMP and the IUDP would significantly enhance the impact and sustainability of both initiatives. Coordinated planning, shared tools could lead to </w:t>
      </w:r>
      <w:r w:rsidRPr="537FA187">
        <w:rPr>
          <w:b/>
          <w:bCs/>
          <w:color w:val="000000" w:themeColor="text1"/>
          <w:sz w:val="20"/>
          <w:szCs w:val="20"/>
          <w:lang w:val="en-US"/>
        </w:rPr>
        <w:t>systemic change</w:t>
      </w:r>
      <w:r w:rsidRPr="537FA187">
        <w:rPr>
          <w:color w:val="000000" w:themeColor="text1"/>
          <w:sz w:val="20"/>
          <w:szCs w:val="20"/>
          <w:lang w:val="en-US"/>
        </w:rPr>
        <w:t xml:space="preserve"> in how energy and urban services are delivered in Mali—starting in Bamako and scaling nationwide.</w:t>
      </w:r>
    </w:p>
    <w:p w14:paraId="7FA90E48" w14:textId="77777777" w:rsidR="00D635CF" w:rsidRDefault="00D635CF" w:rsidP="00D635CF">
      <w:pPr>
        <w:spacing w:before="240" w:after="240" w:line="240" w:lineRule="auto"/>
        <w:jc w:val="both"/>
        <w:rPr>
          <w:i/>
          <w:iCs/>
          <w:sz w:val="20"/>
          <w:szCs w:val="20"/>
          <w:highlight w:val="white"/>
          <w:u w:val="single"/>
          <w:lang w:val="en-US"/>
        </w:rPr>
      </w:pPr>
    </w:p>
    <w:p w14:paraId="00000353" w14:textId="00F63056" w:rsidR="004F7DB3" w:rsidRPr="00E8143F" w:rsidRDefault="5C0CD746" w:rsidP="26E43118">
      <w:pPr>
        <w:pStyle w:val="Heading11"/>
        <w:rPr>
          <w:lang w:val="en-US"/>
        </w:rPr>
      </w:pPr>
      <w:bookmarkStart w:id="39" w:name="_Toc628663705"/>
      <w:bookmarkStart w:id="40" w:name="_Toc200477835"/>
      <w:r w:rsidRPr="5D8904BE">
        <w:rPr>
          <w:lang w:val="en-US"/>
        </w:rPr>
        <w:t>Results and Partnerships</w:t>
      </w:r>
      <w:bookmarkEnd w:id="39"/>
      <w:bookmarkEnd w:id="40"/>
      <w:r w:rsidRPr="5D8904BE">
        <w:rPr>
          <w:lang w:val="en-US"/>
        </w:rPr>
        <w:t xml:space="preserve"> </w:t>
      </w:r>
    </w:p>
    <w:p w14:paraId="00000354" w14:textId="139F63B6" w:rsidR="004F7DB3" w:rsidRPr="00263D2C" w:rsidRDefault="29D57A18" w:rsidP="51745E8D">
      <w:pPr>
        <w:spacing w:before="240" w:after="120" w:line="276" w:lineRule="auto"/>
        <w:jc w:val="both"/>
        <w:rPr>
          <w:b/>
          <w:bCs/>
          <w:i/>
          <w:iCs/>
          <w:sz w:val="20"/>
          <w:szCs w:val="20"/>
          <w:lang w:val="en-US"/>
        </w:rPr>
      </w:pPr>
      <w:r w:rsidRPr="51745E8D">
        <w:rPr>
          <w:b/>
          <w:bCs/>
          <w:i/>
          <w:iCs/>
          <w:sz w:val="20"/>
          <w:szCs w:val="20"/>
          <w:u w:val="single"/>
          <w:lang w:val="en-US"/>
        </w:rPr>
        <w:t xml:space="preserve">Expected </w:t>
      </w:r>
      <w:proofErr w:type="gramStart"/>
      <w:r w:rsidRPr="51745E8D">
        <w:rPr>
          <w:b/>
          <w:bCs/>
          <w:i/>
          <w:iCs/>
          <w:sz w:val="20"/>
          <w:szCs w:val="20"/>
          <w:u w:val="single"/>
          <w:lang w:val="en-US"/>
        </w:rPr>
        <w:t>results</w:t>
      </w:r>
      <w:r w:rsidRPr="51745E8D">
        <w:rPr>
          <w:b/>
          <w:bCs/>
          <w:i/>
          <w:iCs/>
          <w:sz w:val="20"/>
          <w:szCs w:val="20"/>
          <w:lang w:val="en-US"/>
        </w:rPr>
        <w:t xml:space="preserve"> :</w:t>
      </w:r>
      <w:proofErr w:type="gramEnd"/>
    </w:p>
    <w:p w14:paraId="39542D0A" w14:textId="69575257" w:rsidR="00814591" w:rsidRPr="00814591" w:rsidRDefault="62B89717" w:rsidP="00814591">
      <w:pPr>
        <w:spacing w:before="240" w:after="240" w:line="276" w:lineRule="auto"/>
        <w:rPr>
          <w:sz w:val="20"/>
          <w:szCs w:val="20"/>
          <w:lang w:val="en-US"/>
        </w:rPr>
      </w:pPr>
      <w:r w:rsidRPr="1A8B662A">
        <w:rPr>
          <w:sz w:val="20"/>
          <w:szCs w:val="20"/>
          <w:lang w:val="en-US"/>
        </w:rPr>
        <w:t>The project is structured around four integrated components, each designed to deliver specific outcomes</w:t>
      </w:r>
      <w:r w:rsidR="4358D9BC" w:rsidRPr="1A8B662A">
        <w:rPr>
          <w:sz w:val="20"/>
          <w:szCs w:val="20"/>
          <w:lang w:val="en-US"/>
        </w:rPr>
        <w:t xml:space="preserve">, </w:t>
      </w:r>
      <w:proofErr w:type="gramStart"/>
      <w:r w:rsidR="4358D9BC" w:rsidRPr="00857B81">
        <w:rPr>
          <w:sz w:val="20"/>
          <w:szCs w:val="20"/>
          <w:highlight w:val="yellow"/>
          <w:lang w:val="en-US"/>
        </w:rPr>
        <w:t>outputs</w:t>
      </w:r>
      <w:r w:rsidR="4358D9BC" w:rsidRPr="1A8B662A">
        <w:rPr>
          <w:sz w:val="20"/>
          <w:szCs w:val="20"/>
          <w:lang w:val="en-US"/>
        </w:rPr>
        <w:t xml:space="preserve"> </w:t>
      </w:r>
      <w:r w:rsidRPr="1A8B662A">
        <w:rPr>
          <w:sz w:val="20"/>
          <w:szCs w:val="20"/>
          <w:lang w:val="en-US"/>
        </w:rPr>
        <w:t xml:space="preserve"> and</w:t>
      </w:r>
      <w:proofErr w:type="gramEnd"/>
      <w:r w:rsidRPr="1A8B662A">
        <w:rPr>
          <w:sz w:val="20"/>
          <w:szCs w:val="20"/>
          <w:lang w:val="en-US"/>
        </w:rPr>
        <w:t xml:space="preserve"> activities that collectively support the sustainable urban development of the city of Bamako. Through these components, the project seeks to achieve the following objectives:</w:t>
      </w:r>
    </w:p>
    <w:p w14:paraId="6D509AB8" w14:textId="7FA14C4F" w:rsidR="00814591" w:rsidRPr="00814591" w:rsidRDefault="33A2F788" w:rsidP="001360BB">
      <w:pPr>
        <w:numPr>
          <w:ilvl w:val="0"/>
          <w:numId w:val="230"/>
        </w:numPr>
        <w:spacing w:after="0" w:line="276" w:lineRule="auto"/>
        <w:rPr>
          <w:sz w:val="20"/>
          <w:szCs w:val="20"/>
          <w:lang w:val="en-US"/>
        </w:rPr>
      </w:pPr>
      <w:r w:rsidRPr="58DE6BE5">
        <w:rPr>
          <w:b/>
          <w:bCs/>
          <w:sz w:val="20"/>
          <w:szCs w:val="20"/>
          <w:lang w:val="en-US"/>
        </w:rPr>
        <w:t xml:space="preserve">Strengthen </w:t>
      </w:r>
      <w:r w:rsidR="1374DD5A" w:rsidRPr="58DE6BE5">
        <w:rPr>
          <w:b/>
          <w:bCs/>
          <w:sz w:val="20"/>
          <w:szCs w:val="20"/>
          <w:lang w:val="en-US"/>
        </w:rPr>
        <w:t xml:space="preserve">sustainable </w:t>
      </w:r>
      <w:r w:rsidRPr="58DE6BE5">
        <w:rPr>
          <w:b/>
          <w:bCs/>
          <w:sz w:val="20"/>
          <w:szCs w:val="20"/>
          <w:lang w:val="en-US"/>
        </w:rPr>
        <w:t>urban planning systems</w:t>
      </w:r>
      <w:r w:rsidRPr="58DE6BE5">
        <w:rPr>
          <w:sz w:val="20"/>
          <w:szCs w:val="20"/>
          <w:lang w:val="en-US"/>
        </w:rPr>
        <w:t xml:space="preserve"> by implementing strategic planning tools and reinforcing governance mechanisms through inclusive dialogue with all relevant </w:t>
      </w:r>
      <w:proofErr w:type="gramStart"/>
      <w:r w:rsidRPr="58DE6BE5">
        <w:rPr>
          <w:sz w:val="20"/>
          <w:szCs w:val="20"/>
          <w:lang w:val="en-US"/>
        </w:rPr>
        <w:t>stakeholders;</w:t>
      </w:r>
      <w:proofErr w:type="gramEnd"/>
    </w:p>
    <w:p w14:paraId="484C66A0" w14:textId="77777777" w:rsidR="00814591" w:rsidRPr="00814591" w:rsidRDefault="00814591" w:rsidP="001360BB">
      <w:pPr>
        <w:numPr>
          <w:ilvl w:val="0"/>
          <w:numId w:val="230"/>
        </w:numPr>
        <w:spacing w:after="0" w:line="276" w:lineRule="auto"/>
        <w:rPr>
          <w:sz w:val="20"/>
          <w:szCs w:val="20"/>
          <w:lang w:val="en-US"/>
        </w:rPr>
      </w:pPr>
      <w:r w:rsidRPr="00814591">
        <w:rPr>
          <w:b/>
          <w:bCs/>
          <w:sz w:val="20"/>
          <w:szCs w:val="20"/>
          <w:lang w:val="en-US"/>
        </w:rPr>
        <w:t>Transform the transport sector</w:t>
      </w:r>
      <w:r w:rsidRPr="00814591">
        <w:rPr>
          <w:sz w:val="20"/>
          <w:szCs w:val="20"/>
          <w:lang w:val="en-US"/>
        </w:rPr>
        <w:t xml:space="preserve">, currently a major contributor to greenhouse gas emissions, into a low-carbon, efficient, and sustainable system—primarily by catalyzing private investment in electric mobility and sustainable transport </w:t>
      </w:r>
      <w:proofErr w:type="gramStart"/>
      <w:r w:rsidRPr="00814591">
        <w:rPr>
          <w:sz w:val="20"/>
          <w:szCs w:val="20"/>
          <w:lang w:val="en-US"/>
        </w:rPr>
        <w:t>solutions;</w:t>
      </w:r>
      <w:proofErr w:type="gramEnd"/>
    </w:p>
    <w:p w14:paraId="3609E39D" w14:textId="77777777" w:rsidR="00814591" w:rsidRPr="00814591" w:rsidRDefault="348774B5" w:rsidP="001360BB">
      <w:pPr>
        <w:numPr>
          <w:ilvl w:val="0"/>
          <w:numId w:val="230"/>
        </w:numPr>
        <w:spacing w:after="0" w:line="276" w:lineRule="auto"/>
        <w:rPr>
          <w:sz w:val="20"/>
          <w:szCs w:val="20"/>
          <w:lang w:val="en-US"/>
        </w:rPr>
      </w:pPr>
      <w:r w:rsidRPr="5D8904BE">
        <w:rPr>
          <w:b/>
          <w:bCs/>
          <w:sz w:val="20"/>
          <w:szCs w:val="20"/>
          <w:lang w:val="en-US"/>
        </w:rPr>
        <w:t>Establish a functional and resilient green belt</w:t>
      </w:r>
      <w:r w:rsidRPr="5D8904BE">
        <w:rPr>
          <w:sz w:val="20"/>
          <w:szCs w:val="20"/>
          <w:lang w:val="en-US"/>
        </w:rPr>
        <w:t xml:space="preserve"> that helps regulate urban sprawl, mitigate air pollution, and enhance the city’s ecological resilience and adaptive </w:t>
      </w:r>
      <w:proofErr w:type="gramStart"/>
      <w:r w:rsidRPr="5D8904BE">
        <w:rPr>
          <w:sz w:val="20"/>
          <w:szCs w:val="20"/>
          <w:lang w:val="en-US"/>
        </w:rPr>
        <w:t>capacity;</w:t>
      </w:r>
      <w:proofErr w:type="gramEnd"/>
    </w:p>
    <w:p w14:paraId="346DCF8F" w14:textId="77777777" w:rsidR="00814591" w:rsidRPr="00814591" w:rsidRDefault="348774B5" w:rsidP="001360BB">
      <w:pPr>
        <w:numPr>
          <w:ilvl w:val="0"/>
          <w:numId w:val="230"/>
        </w:numPr>
        <w:spacing w:after="0" w:line="276" w:lineRule="auto"/>
        <w:rPr>
          <w:sz w:val="20"/>
          <w:szCs w:val="20"/>
          <w:lang w:val="en-US"/>
        </w:rPr>
      </w:pPr>
      <w:r w:rsidRPr="5D8904BE">
        <w:rPr>
          <w:b/>
          <w:bCs/>
          <w:sz w:val="20"/>
          <w:szCs w:val="20"/>
          <w:lang w:val="en-US"/>
        </w:rPr>
        <w:t>Generate and scale up knowledge</w:t>
      </w:r>
      <w:r w:rsidRPr="5D8904BE">
        <w:rPr>
          <w:sz w:val="20"/>
          <w:szCs w:val="20"/>
          <w:lang w:val="en-US"/>
        </w:rPr>
        <w:t xml:space="preserve"> by capitalizing on innovative tools, piloted solutions, and good practices, facilitating replication and policy uptake at broader </w:t>
      </w:r>
      <w:proofErr w:type="gramStart"/>
      <w:r w:rsidRPr="5D8904BE">
        <w:rPr>
          <w:sz w:val="20"/>
          <w:szCs w:val="20"/>
          <w:lang w:val="en-US"/>
        </w:rPr>
        <w:t>scales;</w:t>
      </w:r>
      <w:proofErr w:type="gramEnd"/>
    </w:p>
    <w:p w14:paraId="73C06C66" w14:textId="77777777" w:rsidR="00814591" w:rsidRPr="00814591" w:rsidRDefault="62B89717" w:rsidP="001360BB">
      <w:pPr>
        <w:numPr>
          <w:ilvl w:val="0"/>
          <w:numId w:val="230"/>
        </w:numPr>
        <w:spacing w:after="0" w:line="276" w:lineRule="auto"/>
        <w:rPr>
          <w:sz w:val="20"/>
          <w:szCs w:val="20"/>
          <w:lang w:val="en-US"/>
        </w:rPr>
      </w:pPr>
      <w:r w:rsidRPr="1A8B662A">
        <w:rPr>
          <w:b/>
          <w:bCs/>
          <w:sz w:val="20"/>
          <w:szCs w:val="20"/>
          <w:lang w:val="en-US"/>
        </w:rPr>
        <w:t>Ensure robust monitoring and evaluation</w:t>
      </w:r>
      <w:r w:rsidRPr="1A8B662A">
        <w:rPr>
          <w:sz w:val="20"/>
          <w:szCs w:val="20"/>
          <w:lang w:val="en-US"/>
        </w:rPr>
        <w:t xml:space="preserve"> mechanisms to track progress, assess results, and inform adaptive project management throughout the implementation cycle.</w:t>
      </w:r>
    </w:p>
    <w:p w14:paraId="03CDBFCD" w14:textId="0F6A832E" w:rsidR="48982A4F" w:rsidRPr="00857B81" w:rsidRDefault="48982A4F" w:rsidP="00857B81">
      <w:pPr>
        <w:spacing w:after="0"/>
        <w:rPr>
          <w:sz w:val="20"/>
          <w:szCs w:val="20"/>
          <w:highlight w:val="yellow"/>
          <w:lang w:val="en-US"/>
        </w:rPr>
      </w:pPr>
      <w:r w:rsidRPr="00857B81">
        <w:rPr>
          <w:sz w:val="20"/>
          <w:szCs w:val="20"/>
          <w:highlight w:val="yellow"/>
          <w:lang w:val="en-US"/>
        </w:rPr>
        <w:t>The IUDP in Bamako pursues an integrated strategy in which each</w:t>
      </w:r>
      <w:r w:rsidR="5E657516" w:rsidRPr="00857B81">
        <w:rPr>
          <w:sz w:val="20"/>
          <w:szCs w:val="20"/>
          <w:highlight w:val="yellow"/>
          <w:lang w:val="en-US"/>
        </w:rPr>
        <w:t xml:space="preserve"> the four</w:t>
      </w:r>
      <w:r w:rsidRPr="00857B81">
        <w:rPr>
          <w:sz w:val="20"/>
          <w:szCs w:val="20"/>
          <w:highlight w:val="yellow"/>
          <w:lang w:val="en-US"/>
        </w:rPr>
        <w:t xml:space="preserve"> component</w:t>
      </w:r>
      <w:r w:rsidR="7D0E0B78" w:rsidRPr="00857B81">
        <w:rPr>
          <w:sz w:val="20"/>
          <w:szCs w:val="20"/>
          <w:highlight w:val="yellow"/>
          <w:lang w:val="en-US"/>
        </w:rPr>
        <w:t>s are interlinked:</w:t>
      </w:r>
      <w:r w:rsidRPr="00857B81">
        <w:rPr>
          <w:sz w:val="20"/>
          <w:szCs w:val="20"/>
          <w:highlight w:val="yellow"/>
          <w:lang w:val="en-US"/>
        </w:rPr>
        <w:t xml:space="preserve"> </w:t>
      </w:r>
      <w:r w:rsidRPr="00857B81">
        <w:rPr>
          <w:b/>
          <w:bCs/>
          <w:sz w:val="20"/>
          <w:szCs w:val="20"/>
          <w:highlight w:val="yellow"/>
          <w:lang w:val="en-US"/>
        </w:rPr>
        <w:t>Component 1</w:t>
      </w:r>
      <w:r w:rsidRPr="00857B81">
        <w:rPr>
          <w:sz w:val="20"/>
          <w:szCs w:val="20"/>
          <w:highlight w:val="yellow"/>
          <w:lang w:val="en-US"/>
        </w:rPr>
        <w:t xml:space="preserve"> Set up an integrated sustainable urban planning and policy coherence by creating the enabling conditions for greater public- and private-sector investment in sustainable, inclusive and climate-resilient development</w:t>
      </w:r>
      <w:r w:rsidR="450631A4" w:rsidRPr="00857B81">
        <w:rPr>
          <w:sz w:val="20"/>
          <w:szCs w:val="20"/>
          <w:highlight w:val="yellow"/>
          <w:lang w:val="en-US"/>
        </w:rPr>
        <w:t>, with</w:t>
      </w:r>
      <w:r w:rsidR="03B251BD" w:rsidRPr="00857B81">
        <w:rPr>
          <w:sz w:val="20"/>
          <w:szCs w:val="20"/>
          <w:highlight w:val="yellow"/>
          <w:lang w:val="en-US"/>
        </w:rPr>
        <w:t xml:space="preserve"> aim to </w:t>
      </w:r>
      <w:r w:rsidR="5CE93E81" w:rsidRPr="00857B81">
        <w:rPr>
          <w:sz w:val="20"/>
          <w:szCs w:val="20"/>
          <w:highlight w:val="yellow"/>
          <w:lang w:val="en-US"/>
        </w:rPr>
        <w:t>duplicate</w:t>
      </w:r>
      <w:r w:rsidR="03B251BD" w:rsidRPr="00857B81">
        <w:rPr>
          <w:sz w:val="20"/>
          <w:szCs w:val="20"/>
          <w:highlight w:val="yellow"/>
          <w:lang w:val="en-US"/>
        </w:rPr>
        <w:t xml:space="preserve"> the experience of Bamako to other cities mainly thro</w:t>
      </w:r>
      <w:r w:rsidR="0EC3C7C6" w:rsidRPr="00857B81">
        <w:rPr>
          <w:sz w:val="20"/>
          <w:szCs w:val="20"/>
          <w:highlight w:val="yellow"/>
          <w:lang w:val="en-US"/>
        </w:rPr>
        <w:t>ugh e-mobility and waste management. B</w:t>
      </w:r>
      <w:r w:rsidRPr="00857B81">
        <w:rPr>
          <w:sz w:val="20"/>
          <w:szCs w:val="20"/>
          <w:highlight w:val="yellow"/>
          <w:lang w:val="en-US"/>
        </w:rPr>
        <w:t xml:space="preserve">uilding on this foundation, </w:t>
      </w:r>
      <w:r w:rsidRPr="00857B81">
        <w:rPr>
          <w:b/>
          <w:bCs/>
          <w:sz w:val="20"/>
          <w:szCs w:val="20"/>
          <w:highlight w:val="yellow"/>
          <w:lang w:val="en-US"/>
        </w:rPr>
        <w:t>Component 2</w:t>
      </w:r>
      <w:r w:rsidRPr="00857B81">
        <w:rPr>
          <w:sz w:val="20"/>
          <w:szCs w:val="20"/>
          <w:highlight w:val="yellow"/>
          <w:lang w:val="en-US"/>
        </w:rPr>
        <w:t xml:space="preserve"> drives the decarbonization of urban transport by scaling up electric mobility and mass transport investments, tightening institutional governance and pollution control, and implementing Bamako’s Sustainable Urban Mobility Plan to expand affordable, low-emission mobility—especially for vulnerable groups; in parallel, </w:t>
      </w:r>
      <w:r w:rsidRPr="00857B81">
        <w:rPr>
          <w:b/>
          <w:bCs/>
          <w:sz w:val="20"/>
          <w:szCs w:val="20"/>
          <w:highlight w:val="yellow"/>
          <w:lang w:val="en-US"/>
        </w:rPr>
        <w:t>Component 3</w:t>
      </w:r>
      <w:r w:rsidRPr="00857B81">
        <w:rPr>
          <w:sz w:val="20"/>
          <w:szCs w:val="20"/>
          <w:highlight w:val="yellow"/>
          <w:lang w:val="en-US"/>
        </w:rPr>
        <w:t xml:space="preserve"> establishes and manages a green belt that curbs urban sprawl, restores ecosystems and embeds nature-based solutions in city planning, while catalyzing innovative public-private investments in green infrastructure; and finally, </w:t>
      </w:r>
      <w:r w:rsidRPr="00857B81">
        <w:rPr>
          <w:b/>
          <w:bCs/>
          <w:sz w:val="20"/>
          <w:szCs w:val="20"/>
          <w:highlight w:val="yellow"/>
          <w:lang w:val="en-US"/>
        </w:rPr>
        <w:t>Component 4</w:t>
      </w:r>
      <w:r w:rsidRPr="00857B81">
        <w:rPr>
          <w:sz w:val="20"/>
          <w:szCs w:val="20"/>
          <w:highlight w:val="yellow"/>
          <w:lang w:val="en-US"/>
        </w:rPr>
        <w:t xml:space="preserve"> weaves the entire effort together through robust, gender-sensitive knowledge management, capacity-building and multi-stakeholder dialogue, ensuring that lessons are shared, local capacities are strengthened and behavioral change is fostered, thereby securing the replication and long-term sustainability of the project’s transformative outcomes.</w:t>
      </w:r>
    </w:p>
    <w:p w14:paraId="6A1E4B7C" w14:textId="713840D5" w:rsidR="48982A4F" w:rsidRPr="00857B81" w:rsidRDefault="48982A4F" w:rsidP="00857B81">
      <w:pPr>
        <w:spacing w:after="0"/>
        <w:jc w:val="both"/>
        <w:rPr>
          <w:sz w:val="20"/>
          <w:szCs w:val="20"/>
          <w:highlight w:val="yellow"/>
          <w:lang w:val="en-US"/>
        </w:rPr>
      </w:pPr>
      <w:r w:rsidRPr="00857B81">
        <w:rPr>
          <w:sz w:val="20"/>
          <w:szCs w:val="20"/>
          <w:highlight w:val="yellow"/>
          <w:lang w:val="en-US"/>
        </w:rPr>
        <w:t xml:space="preserve"> </w:t>
      </w:r>
    </w:p>
    <w:p w14:paraId="42A5B48A" w14:textId="0B7A75B1" w:rsidR="48982A4F" w:rsidRDefault="48982A4F" w:rsidP="00857B81">
      <w:pPr>
        <w:spacing w:after="0"/>
        <w:jc w:val="both"/>
        <w:rPr>
          <w:sz w:val="20"/>
          <w:szCs w:val="20"/>
          <w:lang w:val="en-US"/>
        </w:rPr>
      </w:pPr>
      <w:r w:rsidRPr="00857B81">
        <w:rPr>
          <w:sz w:val="20"/>
          <w:szCs w:val="20"/>
          <w:highlight w:val="yellow"/>
          <w:lang w:val="en-US"/>
        </w:rPr>
        <w:t>Together, these components aim to drive a transformative shift toward a resilient, low-carbon, nature-positive, and socially inclusive urban development model in Bamako.</w:t>
      </w:r>
      <w:r w:rsidRPr="1A8B662A">
        <w:rPr>
          <w:sz w:val="20"/>
          <w:szCs w:val="20"/>
          <w:lang w:val="en-US"/>
        </w:rPr>
        <w:t xml:space="preserve"> </w:t>
      </w:r>
    </w:p>
    <w:p w14:paraId="2BE96B0A" w14:textId="7C0DEF76" w:rsidR="1A8B662A" w:rsidRDefault="1A8B662A" w:rsidP="1A8B662A">
      <w:pPr>
        <w:spacing w:after="0"/>
        <w:jc w:val="both"/>
        <w:rPr>
          <w:sz w:val="20"/>
          <w:szCs w:val="20"/>
          <w:lang w:val="en-US"/>
        </w:rPr>
      </w:pPr>
    </w:p>
    <w:p w14:paraId="0000035B" w14:textId="1F79A2C6" w:rsidR="004F7DB3" w:rsidRPr="007F4912" w:rsidRDefault="3A63FBDA" w:rsidP="003974F4">
      <w:pPr>
        <w:rPr>
          <w:b/>
          <w:bCs/>
          <w:sz w:val="20"/>
          <w:szCs w:val="20"/>
          <w:lang w:val="en-US"/>
        </w:rPr>
      </w:pPr>
      <w:r w:rsidRPr="5D8904BE">
        <w:rPr>
          <w:b/>
          <w:bCs/>
          <w:sz w:val="20"/>
          <w:szCs w:val="20"/>
          <w:lang w:val="en-US"/>
        </w:rPr>
        <w:t xml:space="preserve">Project components, outcomes, outputs and </w:t>
      </w:r>
      <w:proofErr w:type="gramStart"/>
      <w:r w:rsidRPr="5D8904BE">
        <w:rPr>
          <w:b/>
          <w:bCs/>
          <w:sz w:val="20"/>
          <w:szCs w:val="20"/>
          <w:lang w:val="en-US"/>
        </w:rPr>
        <w:t>activities :</w:t>
      </w:r>
      <w:proofErr w:type="gramEnd"/>
    </w:p>
    <w:p w14:paraId="568AAB29" w14:textId="275A9AAE" w:rsidR="004F7DB3" w:rsidRPr="007F4912" w:rsidRDefault="563788F9" w:rsidP="007F4912">
      <w:pPr>
        <w:shd w:val="clear" w:color="auto" w:fill="C1E4F5" w:themeFill="accent1" w:themeFillTint="33"/>
        <w:rPr>
          <w:b/>
          <w:bCs/>
          <w:color w:val="000000" w:themeColor="text1"/>
          <w:sz w:val="20"/>
          <w:szCs w:val="20"/>
          <w:lang w:val="en-US"/>
        </w:rPr>
      </w:pPr>
      <w:r w:rsidRPr="007F4912">
        <w:rPr>
          <w:b/>
          <w:bCs/>
          <w:color w:val="000000" w:themeColor="text1"/>
          <w:sz w:val="20"/>
          <w:szCs w:val="20"/>
          <w:shd w:val="clear" w:color="auto" w:fill="C1E4F5" w:themeFill="accent1" w:themeFillTint="33"/>
          <w:lang w:val="en-US"/>
        </w:rPr>
        <w:t xml:space="preserve">Component 1: Integrated </w:t>
      </w:r>
      <w:r w:rsidR="6C4A1393" w:rsidRPr="007F4912">
        <w:rPr>
          <w:b/>
          <w:bCs/>
          <w:color w:val="000000" w:themeColor="text1"/>
          <w:sz w:val="20"/>
          <w:szCs w:val="20"/>
          <w:shd w:val="clear" w:color="auto" w:fill="C1E4F5" w:themeFill="accent1" w:themeFillTint="33"/>
          <w:lang w:val="en-US"/>
        </w:rPr>
        <w:t xml:space="preserve">sustainable </w:t>
      </w:r>
      <w:r w:rsidRPr="007F4912">
        <w:rPr>
          <w:b/>
          <w:bCs/>
          <w:color w:val="000000" w:themeColor="text1"/>
          <w:sz w:val="20"/>
          <w:szCs w:val="20"/>
          <w:shd w:val="clear" w:color="auto" w:fill="C1E4F5" w:themeFill="accent1" w:themeFillTint="33"/>
          <w:lang w:val="en-US"/>
        </w:rPr>
        <w:t>urban planning and policy coherence </w:t>
      </w:r>
    </w:p>
    <w:p w14:paraId="07E87F65" w14:textId="5DF81818" w:rsidR="68A681C1" w:rsidRDefault="1B1C00F8" w:rsidP="37FF86E9">
      <w:pPr>
        <w:spacing w:before="240" w:after="240"/>
        <w:jc w:val="both"/>
        <w:rPr>
          <w:color w:val="000000" w:themeColor="text1"/>
          <w:sz w:val="20"/>
          <w:szCs w:val="20"/>
          <w:lang w:val="en-US"/>
        </w:rPr>
      </w:pPr>
      <w:r w:rsidRPr="0764FF73">
        <w:rPr>
          <w:color w:val="000000" w:themeColor="text1"/>
          <w:sz w:val="20"/>
          <w:szCs w:val="20"/>
          <w:lang w:val="en-US"/>
        </w:rPr>
        <w:lastRenderedPageBreak/>
        <w:t>The Integrated Urban Development Project (</w:t>
      </w:r>
      <w:r w:rsidR="2324C536" w:rsidRPr="0764FF73">
        <w:rPr>
          <w:color w:val="000000" w:themeColor="text1"/>
          <w:sz w:val="20"/>
          <w:szCs w:val="20"/>
          <w:lang w:val="en-US"/>
        </w:rPr>
        <w:t>IUDP</w:t>
      </w:r>
      <w:r w:rsidRPr="0764FF73">
        <w:rPr>
          <w:color w:val="000000" w:themeColor="text1"/>
          <w:sz w:val="20"/>
          <w:szCs w:val="20"/>
          <w:lang w:val="en-US"/>
        </w:rPr>
        <w:t>)</w:t>
      </w:r>
      <w:r w:rsidR="3069535E" w:rsidRPr="0764FF73">
        <w:rPr>
          <w:color w:val="000000" w:themeColor="text1"/>
          <w:sz w:val="20"/>
          <w:szCs w:val="20"/>
          <w:lang w:val="en-US"/>
        </w:rPr>
        <w:t xml:space="preserve"> in Bamako</w:t>
      </w:r>
      <w:r w:rsidRPr="0764FF73">
        <w:rPr>
          <w:color w:val="000000" w:themeColor="text1"/>
          <w:sz w:val="20"/>
          <w:szCs w:val="20"/>
          <w:lang w:val="en-US"/>
        </w:rPr>
        <w:t xml:space="preserve"> aims to enhance the coherence of urban, sectoral, and cross-cutting public policies, while strengthening the associated regulatory frameworks to support sustainable development. Anchored in a logic of complementarity and close coordination with existing initiatives—particularly the World Bank–supported Urban Resilience Project in Bamako (PRUBA)—the </w:t>
      </w:r>
      <w:r w:rsidR="2AAB7448" w:rsidRPr="0764FF73">
        <w:rPr>
          <w:color w:val="000000" w:themeColor="text1"/>
          <w:sz w:val="20"/>
          <w:szCs w:val="20"/>
          <w:lang w:val="en-US"/>
        </w:rPr>
        <w:t>IUDP</w:t>
      </w:r>
      <w:r w:rsidRPr="0764FF73">
        <w:rPr>
          <w:color w:val="000000" w:themeColor="text1"/>
          <w:sz w:val="20"/>
          <w:szCs w:val="20"/>
          <w:lang w:val="en-US"/>
        </w:rPr>
        <w:t xml:space="preserve"> builds on strategic foundations such as the Bamako Urban Master Plan and the Bamako Mobility Plan, both under development through PRUBA, alongside the recently completed Waste Management Master Plan. The </w:t>
      </w:r>
      <w:r w:rsidR="2AAB7448" w:rsidRPr="0764FF73">
        <w:rPr>
          <w:color w:val="000000" w:themeColor="text1"/>
          <w:sz w:val="20"/>
          <w:szCs w:val="20"/>
          <w:lang w:val="en-US"/>
        </w:rPr>
        <w:t>IUDP</w:t>
      </w:r>
      <w:r w:rsidRPr="0764FF73">
        <w:rPr>
          <w:color w:val="000000" w:themeColor="text1"/>
          <w:sz w:val="20"/>
          <w:szCs w:val="20"/>
          <w:lang w:val="en-US"/>
        </w:rPr>
        <w:t xml:space="preserve"> will intervene through three complementary strategic axes. First, it prioritizes the strengthening of urban planning governance by actively engaging the private sector and civil society in both planning and financing processes, thereby fostering an enabling environment for inclusive, green, and resilient urban development. </w:t>
      </w:r>
      <w:r w:rsidR="0FE36480" w:rsidRPr="0764FF73">
        <w:rPr>
          <w:sz w:val="20"/>
          <w:szCs w:val="20"/>
          <w:lang w:val="en-US"/>
        </w:rPr>
        <w:t xml:space="preserve">This participatory approach mobilizes additional resources, anchors interventions in the specific realities of each territory, and fosters innovative, sustainable solutions. Secondly, the project supports the operationalization of urban planning tools through targeted studies that incorporate private sector engagement in financing and implementing transformative urban initiatives—such as land tenure regularization, territorial economic development, and the design of </w:t>
      </w:r>
      <w:proofErr w:type="spellStart"/>
      <w:r w:rsidR="0FE36480" w:rsidRPr="0764FF73">
        <w:rPr>
          <w:sz w:val="20"/>
          <w:szCs w:val="20"/>
          <w:lang w:val="en-US"/>
        </w:rPr>
        <w:t>programmes</w:t>
      </w:r>
      <w:proofErr w:type="spellEnd"/>
      <w:r w:rsidR="0FE36480" w:rsidRPr="0764FF73">
        <w:rPr>
          <w:sz w:val="20"/>
          <w:szCs w:val="20"/>
          <w:lang w:val="en-US"/>
        </w:rPr>
        <w:t xml:space="preserve"> for eco-neighborhoods. Thirdly, the IUDP promotes a polycentric planning model by conducting feasibility study for the development of secondary urban hubs, particularly in peri-urban areas. This aims to enhance access to essential infrastructure and services—such as transport, healthcare, and education—while redistributing economic activities to reduce urban congestion and long-distance commuting. Furthermore, with the objective of scaling up Bamako’s experience at the national level, the project will contribute to the development or revision of key strategic frameworks, including the National Urban Policy, by mainstreaming climate resilience, social inclusion, nature-based and low-carbon solutions, and active citizenship.</w:t>
      </w:r>
    </w:p>
    <w:p w14:paraId="0E175F49" w14:textId="035A99FE" w:rsidR="2D8E7A78" w:rsidRDefault="2D8E7A78" w:rsidP="00857B81">
      <w:pPr>
        <w:spacing w:after="0"/>
        <w:jc w:val="both"/>
        <w:rPr>
          <w:sz w:val="20"/>
          <w:szCs w:val="20"/>
          <w:lang w:val="en-US"/>
        </w:rPr>
      </w:pPr>
      <w:proofErr w:type="gramStart"/>
      <w:r w:rsidRPr="00857B81">
        <w:rPr>
          <w:sz w:val="20"/>
          <w:szCs w:val="20"/>
          <w:highlight w:val="yellow"/>
          <w:lang w:val="en-US"/>
        </w:rPr>
        <w:t>In light of</w:t>
      </w:r>
      <w:proofErr w:type="gramEnd"/>
      <w:r w:rsidRPr="00857B81">
        <w:rPr>
          <w:sz w:val="20"/>
          <w:szCs w:val="20"/>
          <w:highlight w:val="yellow"/>
          <w:lang w:val="en-US"/>
        </w:rPr>
        <w:t xml:space="preserve"> Bamako’s growing population of internally displaced people—many of whom reside in informal, underserved, or hazard-prone areas—the project will ensure that Internally Displaced People (IDP) are meaningfully engaged in planning processes and that their specific needs are reflected in land use planning, service delivery, and policy coherence efforts.</w:t>
      </w:r>
    </w:p>
    <w:p w14:paraId="4C62810A" w14:textId="14D7A7EC" w:rsidR="37FF86E9" w:rsidRDefault="37FF86E9" w:rsidP="37FF86E9">
      <w:pPr>
        <w:jc w:val="both"/>
        <w:rPr>
          <w:color w:val="000000" w:themeColor="text1"/>
          <w:sz w:val="20"/>
          <w:szCs w:val="20"/>
          <w:lang w:val="en-US"/>
        </w:rPr>
      </w:pPr>
    </w:p>
    <w:p w14:paraId="00DA1D1E" w14:textId="2985A36A" w:rsidR="005900EE" w:rsidRPr="007D149D" w:rsidRDefault="3967F488" w:rsidP="003974F4">
      <w:pPr>
        <w:rPr>
          <w:b/>
          <w:bCs/>
          <w:color w:val="000000" w:themeColor="text1"/>
          <w:sz w:val="20"/>
          <w:szCs w:val="20"/>
          <w:lang w:val="en-US"/>
        </w:rPr>
      </w:pPr>
      <w:r w:rsidRPr="007D149D">
        <w:rPr>
          <w:b/>
          <w:bCs/>
          <w:color w:val="000000" w:themeColor="text1"/>
          <w:sz w:val="20"/>
          <w:szCs w:val="20"/>
          <w:lang w:val="en-US"/>
        </w:rPr>
        <w:t xml:space="preserve">Outcome 1.1 </w:t>
      </w:r>
      <w:r w:rsidR="008D10FF" w:rsidRPr="007D149D">
        <w:rPr>
          <w:b/>
          <w:bCs/>
          <w:color w:val="000000" w:themeColor="text1"/>
          <w:sz w:val="20"/>
          <w:szCs w:val="20"/>
          <w:lang w:val="en-US"/>
        </w:rPr>
        <w:t>Bamako's governance and urban planning, including the institutional and policy framework, are harmonized and strengthened while ensuring inclusiveness</w:t>
      </w:r>
    </w:p>
    <w:p w14:paraId="648CAA7F" w14:textId="77777777" w:rsidR="007608F9" w:rsidRPr="00E86501" w:rsidRDefault="007608F9" w:rsidP="007608F9">
      <w:pPr>
        <w:rPr>
          <w:sz w:val="20"/>
          <w:szCs w:val="20"/>
          <w:highlight w:val="cyan"/>
          <w:lang w:val="en-US"/>
        </w:rPr>
      </w:pPr>
      <w:r w:rsidRPr="00E86501">
        <w:rPr>
          <w:color w:val="000000" w:themeColor="text1"/>
          <w:sz w:val="20"/>
          <w:szCs w:val="20"/>
          <w:highlight w:val="cyan"/>
          <w:lang w:val="en-US"/>
        </w:rPr>
        <w:t xml:space="preserve">Urban transformation requires more than isolated interventions, it demands an integrated and inclusive approach that bridges institutions, planning tools, and communities. Outcome 1.1 of the IUDP embodies this vision by establishing a coherent, multi-level framework for sustainable urban development in Bamako and beyond.  </w:t>
      </w:r>
      <w:r w:rsidRPr="00E86501">
        <w:rPr>
          <w:sz w:val="20"/>
          <w:szCs w:val="20"/>
          <w:highlight w:val="cyan"/>
          <w:lang w:val="en-US"/>
        </w:rPr>
        <w:t>Structured around three interrelated outputs and 13 key activities, this outcome reinforces the strategic and operational conditions necessary for effective urban management. It ensures alignment between national policies, planning instruments, and local governance practices across land use, transport systems, waste and WEEE management, and digital innovation. The outputs build progressively from harmonizing planning frameworks and legal tools (Output 1.1.1), to upgrading sectoral policies and institutional capacities (Output 1.1.2), and empowering stakeholders through participatory governance, GIS-based decision-making, coordinated stakeholder platforms and innovative partnerships (Output 1.1.3).</w:t>
      </w:r>
    </w:p>
    <w:p w14:paraId="2F7279E9" w14:textId="7DAE058E" w:rsidR="007608F9" w:rsidRPr="00E86501" w:rsidRDefault="007608F9" w:rsidP="007608F9">
      <w:pPr>
        <w:rPr>
          <w:sz w:val="20"/>
          <w:szCs w:val="20"/>
          <w:highlight w:val="cyan"/>
          <w:lang w:val="en-US"/>
        </w:rPr>
      </w:pPr>
      <w:r w:rsidRPr="00E86501">
        <w:rPr>
          <w:sz w:val="20"/>
          <w:szCs w:val="20"/>
          <w:highlight w:val="cyan"/>
          <w:lang w:val="en-US"/>
        </w:rPr>
        <w:t>To drive innovation and strengthen public–private collaboration, the outcome also promotes resilient partnerships between institutions, academia, civil society, and the private sector. Key interventions include scaling up the ENI-ABT firewood analysis laboratory to generate data for sustainable energy transitions, and organizing youth-focused, gender-responsive hackathons to stimulate entrepreneurial solutions in priority urban sectors such as mobility, waste, water, and energy.</w:t>
      </w:r>
    </w:p>
    <w:p w14:paraId="0375C267" w14:textId="77777777" w:rsidR="007608F9" w:rsidRPr="00E86501" w:rsidRDefault="007608F9" w:rsidP="007608F9">
      <w:pPr>
        <w:rPr>
          <w:sz w:val="20"/>
          <w:szCs w:val="20"/>
          <w:highlight w:val="cyan"/>
          <w:lang w:val="en-US"/>
        </w:rPr>
      </w:pPr>
      <w:r w:rsidRPr="00E86501">
        <w:rPr>
          <w:sz w:val="20"/>
          <w:szCs w:val="20"/>
          <w:highlight w:val="cyan"/>
          <w:lang w:val="en-US"/>
        </w:rPr>
        <w:t xml:space="preserve">Throughout all activities, the outcome is anchored in cross-cutting principles of climate resilience, social and gender equity, territorial cohesion, citizen participation, and meaningful private sector engagement. </w:t>
      </w:r>
      <w:proofErr w:type="gramStart"/>
      <w:r w:rsidRPr="00E86501">
        <w:rPr>
          <w:sz w:val="20"/>
          <w:szCs w:val="20"/>
          <w:highlight w:val="cyan"/>
          <w:lang w:val="en-US"/>
        </w:rPr>
        <w:t>Particular emphasis</w:t>
      </w:r>
      <w:proofErr w:type="gramEnd"/>
      <w:r w:rsidRPr="00E86501">
        <w:rPr>
          <w:sz w:val="20"/>
          <w:szCs w:val="20"/>
          <w:highlight w:val="cyan"/>
          <w:lang w:val="en-US"/>
        </w:rPr>
        <w:t xml:space="preserve"> is placed on empowering women, youth, and marginalized groups as active contributors to a more inclusive urban future.</w:t>
      </w:r>
    </w:p>
    <w:p w14:paraId="7F5B4D63" w14:textId="77777777" w:rsidR="007608F9" w:rsidRPr="001E22B6" w:rsidRDefault="007608F9" w:rsidP="007608F9">
      <w:pPr>
        <w:rPr>
          <w:sz w:val="20"/>
          <w:szCs w:val="20"/>
          <w:lang w:val="en-US"/>
        </w:rPr>
      </w:pPr>
      <w:r w:rsidRPr="00E86501">
        <w:rPr>
          <w:sz w:val="20"/>
          <w:szCs w:val="20"/>
          <w:highlight w:val="cyan"/>
          <w:lang w:val="en-US"/>
        </w:rPr>
        <w:lastRenderedPageBreak/>
        <w:t>By linking institutional reforms, territorial development strategies, and innovative urban models, Outcome 1.1 establishes the foundational conditions for transformative and resilient urbanization. It creates an enabling environment for future investments, equitable service delivery, and integrated planning at both national and municipal levels, setting the stage for long-term sustainable urban development in Bamako.</w:t>
      </w:r>
    </w:p>
    <w:p w14:paraId="2A5B4395" w14:textId="77777777" w:rsidR="007608F9" w:rsidRDefault="007608F9" w:rsidP="00857B81">
      <w:pPr>
        <w:jc w:val="lowKashida"/>
        <w:rPr>
          <w:sz w:val="20"/>
          <w:szCs w:val="20"/>
          <w:highlight w:val="yellow"/>
          <w:lang w:val="en-US"/>
        </w:rPr>
      </w:pPr>
    </w:p>
    <w:p w14:paraId="637F363A" w14:textId="5ECAEFB8" w:rsidR="060F31F1" w:rsidRDefault="060F31F1" w:rsidP="00857B81">
      <w:pPr>
        <w:jc w:val="lowKashida"/>
        <w:rPr>
          <w:sz w:val="20"/>
          <w:szCs w:val="20"/>
          <w:lang w:val="en-US"/>
        </w:rPr>
      </w:pPr>
      <w:r w:rsidRPr="00857B81">
        <w:rPr>
          <w:sz w:val="20"/>
          <w:szCs w:val="20"/>
          <w:highlight w:val="yellow"/>
          <w:lang w:val="en-US"/>
        </w:rPr>
        <w:t>Particular attention will be paid to the engagement of vulnerable populations, including internally displaced people, in spatial and policy planning processes, to ensure that their priorities and perspectives are reflected in the development of inclusive and resilient urban frameworks</w:t>
      </w:r>
    </w:p>
    <w:p w14:paraId="61EEAEA8" w14:textId="15DEE023" w:rsidR="004F7DB3" w:rsidRPr="002649FA" w:rsidRDefault="3967F488" w:rsidP="003974F4">
      <w:pPr>
        <w:rPr>
          <w:b/>
          <w:bCs/>
          <w:color w:val="000000" w:themeColor="text1"/>
          <w:sz w:val="20"/>
          <w:szCs w:val="20"/>
          <w:lang w:val="en-US"/>
        </w:rPr>
      </w:pPr>
      <w:r w:rsidRPr="002649FA">
        <w:rPr>
          <w:b/>
          <w:bCs/>
          <w:color w:val="000000" w:themeColor="text1"/>
          <w:sz w:val="20"/>
          <w:szCs w:val="20"/>
          <w:lang w:val="en-US"/>
        </w:rPr>
        <w:t>Output 1.1.1: Regulatory and institutional frameworks for governance and urban planning are strengthened and made coherent.</w:t>
      </w:r>
    </w:p>
    <w:p w14:paraId="6408BE62" w14:textId="77777777" w:rsidR="00C4227D" w:rsidRPr="007F4912" w:rsidRDefault="7AA2F70E" w:rsidP="00C04739">
      <w:pPr>
        <w:jc w:val="both"/>
        <w:rPr>
          <w:color w:val="000000" w:themeColor="text1"/>
          <w:sz w:val="20"/>
          <w:szCs w:val="20"/>
          <w:lang w:val="en-US"/>
        </w:rPr>
      </w:pPr>
      <w:r w:rsidRPr="5D8904BE">
        <w:rPr>
          <w:color w:val="000000" w:themeColor="text1"/>
          <w:sz w:val="20"/>
          <w:szCs w:val="20"/>
          <w:lang w:val="en-US"/>
        </w:rPr>
        <w:t>The sustainable transformation of Bamako and its surrounding municipalities requires a solid regulatory and institutional foundation capable of guiding and regulating urban development in an integrated, inclusive, and climate-resilient manner. Output 1.1.1 is dedicated to achieving this goal by strengthening and harmonizing the legal, institutional, and procedural frameworks that underpin governance and territorial planning in the District of Bamako and the Greater Bamako area.</w:t>
      </w:r>
    </w:p>
    <w:p w14:paraId="3E7C979C" w14:textId="1212537C" w:rsidR="00C4227D" w:rsidRPr="007F4912" w:rsidRDefault="7AA2F70E" w:rsidP="00C04739">
      <w:pPr>
        <w:jc w:val="both"/>
        <w:rPr>
          <w:color w:val="000000" w:themeColor="text1"/>
          <w:sz w:val="20"/>
          <w:szCs w:val="20"/>
          <w:lang w:val="en-US"/>
        </w:rPr>
      </w:pPr>
      <w:r w:rsidRPr="5D8904BE">
        <w:rPr>
          <w:color w:val="000000" w:themeColor="text1"/>
          <w:sz w:val="20"/>
          <w:szCs w:val="20"/>
          <w:lang w:val="en-US"/>
        </w:rPr>
        <w:t xml:space="preserve">This </w:t>
      </w:r>
      <w:proofErr w:type="gramStart"/>
      <w:r w:rsidR="105F4BE7" w:rsidRPr="5D8904BE">
        <w:rPr>
          <w:color w:val="000000" w:themeColor="text1"/>
          <w:sz w:val="20"/>
          <w:szCs w:val="20"/>
          <w:lang w:val="en-US"/>
        </w:rPr>
        <w:t>output</w:t>
      </w:r>
      <w:proofErr w:type="gramEnd"/>
      <w:r w:rsidRPr="5D8904BE">
        <w:rPr>
          <w:color w:val="000000" w:themeColor="text1"/>
          <w:sz w:val="20"/>
          <w:szCs w:val="20"/>
          <w:lang w:val="en-US"/>
        </w:rPr>
        <w:t xml:space="preserve"> addresses key structural challenges—such as fragmented planning tools, weak enforcement mechanisms, and incoherent regulatory mandates—by promoting convergence, coordination, and capacity-building at multiple levels of governance. It aims to ensure that institutions are clearly mandated, adequately resourced, and effectively coordinated to deliver on strategic urban development objectives, in line with Mali’s decentralization, climate, and sustainable development agendas.</w:t>
      </w:r>
    </w:p>
    <w:p w14:paraId="4CD105A0" w14:textId="77777777" w:rsidR="00C4227D" w:rsidRPr="007F4912" w:rsidRDefault="7AA2F70E" w:rsidP="00C04739">
      <w:pPr>
        <w:jc w:val="both"/>
        <w:rPr>
          <w:color w:val="000000" w:themeColor="text1"/>
          <w:sz w:val="20"/>
          <w:szCs w:val="20"/>
          <w:lang w:val="en-US"/>
        </w:rPr>
      </w:pPr>
      <w:r w:rsidRPr="5D8904BE">
        <w:rPr>
          <w:color w:val="000000" w:themeColor="text1"/>
          <w:sz w:val="20"/>
          <w:szCs w:val="20"/>
          <w:lang w:val="en-US"/>
        </w:rPr>
        <w:t>The activities under this output reflect a comprehensive and forward-looking approach, encompassing policy reform, spatial planning, institutional capacity building, and cross-cutting thematic integration (notably gender, climate, and digital transformation). The work extends beyond the immediate urban core to include peri-urban and border territories, thus fostering balanced territorial development and strengthening inter-municipal synergies.</w:t>
      </w:r>
    </w:p>
    <w:p w14:paraId="09D1AFAF" w14:textId="77777777" w:rsidR="00C4227D" w:rsidRPr="007F4912" w:rsidRDefault="00C4227D" w:rsidP="003974F4">
      <w:pPr>
        <w:rPr>
          <w:color w:val="000000" w:themeColor="text1"/>
          <w:sz w:val="20"/>
          <w:szCs w:val="20"/>
          <w:lang w:val="en-US"/>
        </w:rPr>
      </w:pPr>
      <w:r w:rsidRPr="007F4912">
        <w:rPr>
          <w:color w:val="000000" w:themeColor="text1"/>
          <w:sz w:val="20"/>
          <w:szCs w:val="20"/>
          <w:lang w:val="en-US"/>
        </w:rPr>
        <w:t>By the end of the implementation period, Output 1.1.1 will deliver a coherent set of updated policies, master plans, technical studies, and operational frameworks, serving as the cornerstone for inclusive, climate-smart, and economically vibrant urban development in Greater Bamako. These efforts will be supported by tailored strategies, practical tools, and participatory mechanisms that ensure stakeholder engagement and gender equity across all phases of planning and implementation.</w:t>
      </w:r>
    </w:p>
    <w:p w14:paraId="3B98FBF5" w14:textId="44CFEDE9" w:rsidR="004F7DB3" w:rsidRPr="00BF026B" w:rsidRDefault="3967F488" w:rsidP="003974F4">
      <w:pPr>
        <w:rPr>
          <w:i/>
          <w:iCs/>
          <w:color w:val="000000" w:themeColor="text1"/>
          <w:sz w:val="20"/>
          <w:szCs w:val="20"/>
          <w:u w:val="single"/>
          <w:lang w:val="en-US"/>
        </w:rPr>
      </w:pPr>
      <w:r w:rsidRPr="00BF026B">
        <w:rPr>
          <w:i/>
          <w:iCs/>
          <w:color w:val="000000" w:themeColor="text1"/>
          <w:sz w:val="20"/>
          <w:szCs w:val="20"/>
          <w:u w:val="single"/>
          <w:lang w:val="en-US"/>
        </w:rPr>
        <w:t>Activity 1.1.1.1 – Update of the National Cities Policy and elaboration of its implementation strategy </w:t>
      </w:r>
    </w:p>
    <w:p w14:paraId="60DF57A7" w14:textId="21E4E0FE" w:rsidR="004F7DB3" w:rsidRPr="007F4912" w:rsidRDefault="1021F2B7" w:rsidP="00BF026B">
      <w:pPr>
        <w:jc w:val="both"/>
        <w:rPr>
          <w:color w:val="000000" w:themeColor="text1"/>
          <w:sz w:val="20"/>
          <w:szCs w:val="20"/>
          <w:lang w:val="en-US"/>
        </w:rPr>
      </w:pPr>
      <w:r w:rsidRPr="0764FF73">
        <w:rPr>
          <w:color w:val="000000" w:themeColor="text1"/>
          <w:sz w:val="20"/>
          <w:szCs w:val="20"/>
          <w:lang w:val="en-US"/>
        </w:rPr>
        <w:t xml:space="preserve">As part of the project, technical assistance will be provided to update the National Cities Policy (PNV), originally adopted in 2014, along with the National Cities Strategy, whose last version </w:t>
      </w:r>
      <w:proofErr w:type="gramStart"/>
      <w:r w:rsidRPr="0764FF73">
        <w:rPr>
          <w:color w:val="000000" w:themeColor="text1"/>
          <w:sz w:val="20"/>
          <w:szCs w:val="20"/>
          <w:lang w:val="en-US"/>
        </w:rPr>
        <w:t>dates back to</w:t>
      </w:r>
      <w:proofErr w:type="gramEnd"/>
      <w:r w:rsidRPr="0764FF73">
        <w:rPr>
          <w:color w:val="000000" w:themeColor="text1"/>
          <w:sz w:val="20"/>
          <w:szCs w:val="20"/>
          <w:lang w:val="en-US"/>
        </w:rPr>
        <w:t xml:space="preserve"> 2009. This revision aims to align these strategic frameworks with current urban dynamics and to articulate a renewed vision that addresses contemporary challenges and opportunities in urban development. The updated policy will integrate critical themes such as the impacts of rapid demographic transition, climate change and urban resilience, the principles of the circular economy, and the digital transformation of urban services. The revised operational strategy will also serve as a key instrument for territorializing the implementation of Mali’s Nationally Determined Contribution (NDC), with a particular focus on its application in urban centers, notably in Bamako. Furthermore, the update process will ensure coherence with the national land policy and decentralization strategy, reinforcing the transversal integration of national development priorities.</w:t>
      </w:r>
    </w:p>
    <w:p w14:paraId="5C46DEB0" w14:textId="436297D0" w:rsidR="6E1FE526" w:rsidRPr="00857B81" w:rsidRDefault="6E1FE526" w:rsidP="00857B81">
      <w:pPr>
        <w:spacing w:after="0"/>
        <w:jc w:val="both"/>
        <w:rPr>
          <w:sz w:val="20"/>
          <w:szCs w:val="20"/>
          <w:highlight w:val="yellow"/>
          <w:lang w:val="en-US"/>
        </w:rPr>
      </w:pPr>
      <w:r w:rsidRPr="00857B81">
        <w:rPr>
          <w:sz w:val="20"/>
          <w:szCs w:val="20"/>
          <w:highlight w:val="yellow"/>
          <w:lang w:val="en-US"/>
        </w:rPr>
        <w:t xml:space="preserve">The priorities thematic areas that will be integrated in the Updated Policy </w:t>
      </w:r>
      <w:proofErr w:type="gramStart"/>
      <w:r w:rsidRPr="00857B81">
        <w:rPr>
          <w:sz w:val="20"/>
          <w:szCs w:val="20"/>
          <w:highlight w:val="yellow"/>
          <w:lang w:val="en-US"/>
        </w:rPr>
        <w:t>include :</w:t>
      </w:r>
      <w:proofErr w:type="gramEnd"/>
      <w:r w:rsidRPr="00857B81">
        <w:rPr>
          <w:sz w:val="20"/>
          <w:szCs w:val="20"/>
          <w:highlight w:val="yellow"/>
          <w:lang w:val="en-US"/>
        </w:rPr>
        <w:t xml:space="preserve"> </w:t>
      </w:r>
    </w:p>
    <w:p w14:paraId="3CA6F81E" w14:textId="36651FFD" w:rsidR="6E1FE526" w:rsidRPr="00857B81" w:rsidRDefault="6E1FE526" w:rsidP="00857B81">
      <w:pPr>
        <w:pStyle w:val="Paragraphedeliste"/>
        <w:numPr>
          <w:ilvl w:val="0"/>
          <w:numId w:val="73"/>
        </w:numPr>
        <w:spacing w:after="0"/>
        <w:jc w:val="both"/>
        <w:rPr>
          <w:sz w:val="20"/>
          <w:szCs w:val="20"/>
          <w:highlight w:val="yellow"/>
          <w:lang w:val="en-US"/>
        </w:rPr>
      </w:pPr>
      <w:r w:rsidRPr="00857B81">
        <w:rPr>
          <w:sz w:val="20"/>
          <w:szCs w:val="20"/>
          <w:highlight w:val="yellow"/>
          <w:lang w:val="en-US"/>
        </w:rPr>
        <w:t>Climate and Environmental Resilience, Nature-based solutions, Urban forests, water resource protection</w:t>
      </w:r>
    </w:p>
    <w:p w14:paraId="0DB9306E" w14:textId="6B7003A4" w:rsidR="6E1FE526" w:rsidRPr="00857B81" w:rsidRDefault="6E1FE526" w:rsidP="00857B81">
      <w:pPr>
        <w:pStyle w:val="Paragraphedeliste"/>
        <w:numPr>
          <w:ilvl w:val="0"/>
          <w:numId w:val="73"/>
        </w:numPr>
        <w:spacing w:after="0"/>
        <w:jc w:val="both"/>
        <w:rPr>
          <w:sz w:val="20"/>
          <w:szCs w:val="20"/>
          <w:highlight w:val="yellow"/>
          <w:lang w:val="en-US"/>
        </w:rPr>
      </w:pPr>
      <w:r w:rsidRPr="00857B81">
        <w:rPr>
          <w:sz w:val="20"/>
          <w:szCs w:val="20"/>
          <w:highlight w:val="yellow"/>
          <w:lang w:val="en-US"/>
        </w:rPr>
        <w:t>Digitalization and Innovation (Smart city principles, GIS integration in planning)</w:t>
      </w:r>
    </w:p>
    <w:p w14:paraId="0802B23C" w14:textId="362A26F7" w:rsidR="6E1FE526" w:rsidRPr="00857B81" w:rsidRDefault="6E1FE526" w:rsidP="00857B81">
      <w:pPr>
        <w:pStyle w:val="Paragraphedeliste"/>
        <w:numPr>
          <w:ilvl w:val="0"/>
          <w:numId w:val="73"/>
        </w:numPr>
        <w:spacing w:after="0"/>
        <w:jc w:val="both"/>
        <w:rPr>
          <w:sz w:val="20"/>
          <w:szCs w:val="20"/>
          <w:highlight w:val="yellow"/>
          <w:lang w:val="en-US"/>
        </w:rPr>
      </w:pPr>
      <w:r w:rsidRPr="00857B81">
        <w:rPr>
          <w:sz w:val="20"/>
          <w:szCs w:val="20"/>
          <w:highlight w:val="yellow"/>
          <w:lang w:val="en-US"/>
        </w:rPr>
        <w:lastRenderedPageBreak/>
        <w:t>Circular Economy and Green Jobs (waste valorization, sustainable construction, local green entrepreneurship</w:t>
      </w:r>
    </w:p>
    <w:p w14:paraId="19ED5843" w14:textId="5F03529B" w:rsidR="6E1FE526" w:rsidRPr="00857B81" w:rsidRDefault="6E1FE526" w:rsidP="00857B81">
      <w:pPr>
        <w:pStyle w:val="Paragraphedeliste"/>
        <w:numPr>
          <w:ilvl w:val="0"/>
          <w:numId w:val="73"/>
        </w:numPr>
        <w:spacing w:after="0"/>
        <w:jc w:val="both"/>
        <w:rPr>
          <w:sz w:val="20"/>
          <w:szCs w:val="20"/>
          <w:highlight w:val="yellow"/>
          <w:lang w:val="en-US"/>
        </w:rPr>
      </w:pPr>
      <w:r w:rsidRPr="00857B81">
        <w:rPr>
          <w:sz w:val="20"/>
          <w:szCs w:val="20"/>
          <w:highlight w:val="yellow"/>
          <w:lang w:val="en-US"/>
        </w:rPr>
        <w:t>Governance and Decentralization</w:t>
      </w:r>
    </w:p>
    <w:p w14:paraId="25963724" w14:textId="27791475" w:rsidR="6E1FE526" w:rsidRPr="00857B81" w:rsidRDefault="6E1FE526" w:rsidP="00857B81">
      <w:pPr>
        <w:pStyle w:val="Paragraphedeliste"/>
        <w:numPr>
          <w:ilvl w:val="0"/>
          <w:numId w:val="73"/>
        </w:numPr>
        <w:spacing w:after="0"/>
        <w:jc w:val="both"/>
        <w:rPr>
          <w:sz w:val="20"/>
          <w:szCs w:val="20"/>
          <w:highlight w:val="yellow"/>
          <w:lang w:val="en-US"/>
        </w:rPr>
      </w:pPr>
      <w:r w:rsidRPr="00857B81">
        <w:rPr>
          <w:sz w:val="20"/>
          <w:szCs w:val="20"/>
          <w:highlight w:val="yellow"/>
          <w:lang w:val="en-US"/>
        </w:rPr>
        <w:t>Role clarity between national, regional, and communal actors</w:t>
      </w:r>
    </w:p>
    <w:p w14:paraId="15054847" w14:textId="5DBF8739" w:rsidR="0764FF73" w:rsidRPr="00857B81" w:rsidRDefault="0764FF73" w:rsidP="0764FF73">
      <w:pPr>
        <w:spacing w:after="0"/>
        <w:jc w:val="both"/>
        <w:rPr>
          <w:sz w:val="20"/>
          <w:szCs w:val="20"/>
          <w:highlight w:val="yellow"/>
          <w:lang w:val="en-US"/>
        </w:rPr>
      </w:pPr>
    </w:p>
    <w:p w14:paraId="4AAE7DBD" w14:textId="460B490D" w:rsidR="6E1FE526" w:rsidRPr="00857B81" w:rsidRDefault="6E1FE526" w:rsidP="0764FF73">
      <w:pPr>
        <w:spacing w:after="0"/>
        <w:jc w:val="both"/>
        <w:rPr>
          <w:sz w:val="20"/>
          <w:szCs w:val="20"/>
          <w:highlight w:val="yellow"/>
          <w:lang w:val="en-US"/>
        </w:rPr>
      </w:pPr>
      <w:r w:rsidRPr="00857B81">
        <w:rPr>
          <w:sz w:val="20"/>
          <w:szCs w:val="20"/>
          <w:highlight w:val="yellow"/>
          <w:lang w:val="en-US"/>
        </w:rPr>
        <w:t>In addition, a strong gender-responsive approach will be embedded throughout the process, including: (</w:t>
      </w:r>
      <w:proofErr w:type="spellStart"/>
      <w:r w:rsidRPr="00857B81">
        <w:rPr>
          <w:sz w:val="20"/>
          <w:szCs w:val="20"/>
          <w:highlight w:val="yellow"/>
          <w:lang w:val="en-US"/>
        </w:rPr>
        <w:t>i</w:t>
      </w:r>
      <w:proofErr w:type="spellEnd"/>
      <w:r w:rsidRPr="00857B81">
        <w:rPr>
          <w:sz w:val="20"/>
          <w:szCs w:val="20"/>
          <w:highlight w:val="yellow"/>
          <w:lang w:val="en-US"/>
        </w:rPr>
        <w:t>) the identification of differentiated needs of women, men, and vulnerable groups in urban contexts; (ii) the promotion of equitable participation across all stakeholder groups; and (iii) the integration of specific priorities for women and marginalized populations into both the policy and strategy.</w:t>
      </w:r>
    </w:p>
    <w:p w14:paraId="6C122829" w14:textId="386543E9" w:rsidR="0764FF73" w:rsidRPr="00857B81" w:rsidRDefault="0764FF73" w:rsidP="0764FF73">
      <w:pPr>
        <w:jc w:val="both"/>
        <w:rPr>
          <w:color w:val="000000" w:themeColor="text1"/>
          <w:sz w:val="20"/>
          <w:szCs w:val="20"/>
          <w:highlight w:val="yellow"/>
          <w:lang w:val="en-US"/>
        </w:rPr>
      </w:pPr>
    </w:p>
    <w:p w14:paraId="7E0E1C6A" w14:textId="2306AA42" w:rsidR="004F7DB3" w:rsidRPr="00857B81" w:rsidRDefault="491FC4B3" w:rsidP="0764FF73">
      <w:pPr>
        <w:rPr>
          <w:i/>
          <w:iCs/>
          <w:color w:val="000000" w:themeColor="text1"/>
          <w:sz w:val="20"/>
          <w:szCs w:val="20"/>
          <w:highlight w:val="yellow"/>
          <w:u w:val="single"/>
          <w:lang w:val="en-US"/>
        </w:rPr>
      </w:pPr>
      <w:r w:rsidRPr="00857B81">
        <w:rPr>
          <w:color w:val="000000" w:themeColor="text1"/>
          <w:sz w:val="20"/>
          <w:szCs w:val="20"/>
          <w:highlight w:val="yellow"/>
          <w:lang w:val="en-US"/>
        </w:rPr>
        <w:t> </w:t>
      </w:r>
      <w:r w:rsidRPr="00857B81">
        <w:rPr>
          <w:i/>
          <w:iCs/>
          <w:color w:val="000000" w:themeColor="text1"/>
          <w:sz w:val="20"/>
          <w:szCs w:val="20"/>
          <w:highlight w:val="yellow"/>
          <w:u w:val="single"/>
          <w:lang w:val="en-US"/>
        </w:rPr>
        <w:t xml:space="preserve">Activity 1.1.1.2: </w:t>
      </w:r>
      <w:r w:rsidR="0161C9C3" w:rsidRPr="00857B81">
        <w:rPr>
          <w:i/>
          <w:iCs/>
          <w:sz w:val="20"/>
          <w:szCs w:val="20"/>
          <w:highlight w:val="yellow"/>
          <w:u w:val="single"/>
          <w:lang w:val="en-US"/>
        </w:rPr>
        <w:t xml:space="preserve">Strengthening Spatial Planning and Land Governance </w:t>
      </w:r>
      <w:r w:rsidRPr="00857B81">
        <w:rPr>
          <w:i/>
          <w:iCs/>
          <w:color w:val="000000" w:themeColor="text1"/>
          <w:sz w:val="20"/>
          <w:szCs w:val="20"/>
          <w:highlight w:val="yellow"/>
          <w:u w:val="single"/>
          <w:lang w:val="en-US"/>
        </w:rPr>
        <w:t>in the future Unified District of Bamako </w:t>
      </w:r>
    </w:p>
    <w:p w14:paraId="71DBCB71" w14:textId="20924579" w:rsidR="3655B4DE" w:rsidRPr="00857B81" w:rsidRDefault="3655B4DE" w:rsidP="00857B81">
      <w:pPr>
        <w:pStyle w:val="Paragraphedeliste"/>
        <w:numPr>
          <w:ilvl w:val="0"/>
          <w:numId w:val="72"/>
        </w:numPr>
        <w:spacing w:after="0" w:line="257" w:lineRule="auto"/>
        <w:rPr>
          <w:sz w:val="20"/>
          <w:szCs w:val="20"/>
          <w:highlight w:val="yellow"/>
          <w:lang w:val="en-US"/>
        </w:rPr>
      </w:pPr>
      <w:r w:rsidRPr="2DC80E69">
        <w:rPr>
          <w:sz w:val="20"/>
          <w:szCs w:val="20"/>
          <w:highlight w:val="yellow"/>
          <w:lang w:val="en-US"/>
        </w:rPr>
        <w:t xml:space="preserve"> The activity focuses on strengthening </w:t>
      </w:r>
      <w:r w:rsidRPr="2DC80E69">
        <w:rPr>
          <w:b/>
          <w:bCs/>
          <w:sz w:val="20"/>
          <w:szCs w:val="20"/>
          <w:highlight w:val="yellow"/>
          <w:lang w:val="en-US"/>
        </w:rPr>
        <w:t>spatial planning and land governance</w:t>
      </w:r>
      <w:r w:rsidRPr="2DC80E69">
        <w:rPr>
          <w:sz w:val="20"/>
          <w:szCs w:val="20"/>
          <w:highlight w:val="yellow"/>
          <w:lang w:val="en-US"/>
        </w:rPr>
        <w:t xml:space="preserve"> in the peri-urban municipalities surrounding Bamako, in support of the emerging Unified District of Bamako. While the Urban Master Plan for the District of Bamako is planned by the PRUBA, the five peri-urban municipalities (</w:t>
      </w:r>
      <w:proofErr w:type="spellStart"/>
      <w:r w:rsidRPr="2DC80E69">
        <w:rPr>
          <w:sz w:val="20"/>
          <w:szCs w:val="20"/>
          <w:highlight w:val="yellow"/>
          <w:lang w:val="en-US"/>
        </w:rPr>
        <w:t>Dialakorodji</w:t>
      </w:r>
      <w:proofErr w:type="spellEnd"/>
      <w:r w:rsidRPr="2DC80E69">
        <w:rPr>
          <w:sz w:val="20"/>
          <w:szCs w:val="20"/>
          <w:highlight w:val="yellow"/>
          <w:lang w:val="en-US"/>
        </w:rPr>
        <w:t xml:space="preserve">, </w:t>
      </w:r>
      <w:proofErr w:type="spellStart"/>
      <w:r w:rsidRPr="2DC80E69">
        <w:rPr>
          <w:sz w:val="20"/>
          <w:szCs w:val="20"/>
          <w:highlight w:val="yellow"/>
          <w:lang w:val="en-US"/>
        </w:rPr>
        <w:t>Dogodouma</w:t>
      </w:r>
      <w:proofErr w:type="spellEnd"/>
      <w:r w:rsidRPr="2DC80E69">
        <w:rPr>
          <w:sz w:val="20"/>
          <w:szCs w:val="20"/>
          <w:highlight w:val="yellow"/>
          <w:lang w:val="en-US"/>
        </w:rPr>
        <w:t xml:space="preserve">, </w:t>
      </w:r>
      <w:proofErr w:type="spellStart"/>
      <w:r w:rsidRPr="2DC80E69">
        <w:rPr>
          <w:sz w:val="20"/>
          <w:szCs w:val="20"/>
          <w:highlight w:val="yellow"/>
          <w:lang w:val="en-US"/>
        </w:rPr>
        <w:t>Moribabougou</w:t>
      </w:r>
      <w:proofErr w:type="spellEnd"/>
      <w:r w:rsidRPr="2DC80E69">
        <w:rPr>
          <w:sz w:val="20"/>
          <w:szCs w:val="20"/>
          <w:highlight w:val="yellow"/>
          <w:lang w:val="en-US"/>
        </w:rPr>
        <w:t xml:space="preserve">, N'Gabacoro Droit, </w:t>
      </w:r>
      <w:proofErr w:type="spellStart"/>
      <w:r w:rsidRPr="2DC80E69">
        <w:rPr>
          <w:sz w:val="20"/>
          <w:szCs w:val="20"/>
          <w:highlight w:val="yellow"/>
          <w:lang w:val="en-US"/>
        </w:rPr>
        <w:t>Sangarébougou</w:t>
      </w:r>
      <w:proofErr w:type="spellEnd"/>
      <w:r w:rsidRPr="2DC80E69">
        <w:rPr>
          <w:sz w:val="20"/>
          <w:szCs w:val="20"/>
          <w:highlight w:val="yellow"/>
          <w:lang w:val="en-US"/>
        </w:rPr>
        <w:t xml:space="preserve">) lack updated, coherent land use frameworks and effective land tenure systems. </w:t>
      </w:r>
    </w:p>
    <w:p w14:paraId="74150CE5" w14:textId="62CE319B" w:rsidR="3655B4DE" w:rsidRPr="00857B81" w:rsidRDefault="3655B4DE" w:rsidP="00E86501">
      <w:pPr>
        <w:spacing w:line="257" w:lineRule="auto"/>
        <w:rPr>
          <w:sz w:val="20"/>
          <w:szCs w:val="20"/>
          <w:highlight w:val="yellow"/>
          <w:lang w:val="en-US"/>
        </w:rPr>
      </w:pPr>
      <w:r w:rsidRPr="2DC80E69">
        <w:rPr>
          <w:sz w:val="20"/>
          <w:szCs w:val="20"/>
          <w:highlight w:val="yellow"/>
          <w:lang w:val="en-US"/>
        </w:rPr>
        <w:t>This activity will provide an operational framework to implement the District of Bamako spatial vision.</w:t>
      </w:r>
    </w:p>
    <w:p w14:paraId="08026924" w14:textId="65DF0D98" w:rsidR="3655B4DE" w:rsidRPr="00857B81" w:rsidRDefault="3655B4DE" w:rsidP="00E86501">
      <w:pPr>
        <w:spacing w:line="257" w:lineRule="auto"/>
        <w:rPr>
          <w:sz w:val="20"/>
          <w:szCs w:val="20"/>
          <w:highlight w:val="yellow"/>
          <w:lang w:val="en-US"/>
        </w:rPr>
      </w:pPr>
      <w:r w:rsidRPr="2DC80E69">
        <w:rPr>
          <w:sz w:val="20"/>
          <w:szCs w:val="20"/>
          <w:highlight w:val="yellow"/>
          <w:lang w:val="en-US"/>
        </w:rPr>
        <w:t xml:space="preserve">It aims to strengthen the coherence and implementation of spatial planning tools in peri-urban Bamako, to provide updated, locally tailored land use plans aligned with spatial planning and urban planning tools. In addition, it will enhance land tenure security and cadastral clarity to support planning, taxation, and inclusive development. Especially that is built on the success of the systematic registration pilot project in </w:t>
      </w:r>
      <w:proofErr w:type="gramStart"/>
      <w:r w:rsidRPr="2DC80E69">
        <w:rPr>
          <w:sz w:val="20"/>
          <w:szCs w:val="20"/>
          <w:highlight w:val="yellow"/>
          <w:lang w:val="en-US"/>
        </w:rPr>
        <w:t>Bamako, and</w:t>
      </w:r>
      <w:proofErr w:type="gramEnd"/>
      <w:r w:rsidRPr="2DC80E69">
        <w:rPr>
          <w:sz w:val="20"/>
          <w:szCs w:val="20"/>
          <w:highlight w:val="yellow"/>
          <w:lang w:val="en-US"/>
        </w:rPr>
        <w:t xml:space="preserve"> will capitalize on its results.</w:t>
      </w:r>
    </w:p>
    <w:p w14:paraId="09EE9ABD" w14:textId="171F1347" w:rsidR="3655B4DE" w:rsidRPr="00857B81" w:rsidRDefault="3655B4DE" w:rsidP="00857B81">
      <w:pPr>
        <w:spacing w:after="0"/>
        <w:ind w:left="187"/>
        <w:rPr>
          <w:sz w:val="20"/>
          <w:szCs w:val="20"/>
          <w:highlight w:val="yellow"/>
          <w:lang w:val="en-US"/>
        </w:rPr>
      </w:pPr>
      <w:r w:rsidRPr="00857B81">
        <w:rPr>
          <w:sz w:val="20"/>
          <w:szCs w:val="20"/>
          <w:highlight w:val="yellow"/>
          <w:lang w:val="en-US"/>
        </w:rPr>
        <w:t xml:space="preserve">The main output will be: </w:t>
      </w:r>
    </w:p>
    <w:p w14:paraId="76281513" w14:textId="7A4B976D" w:rsidR="3655B4DE" w:rsidRPr="00857B81" w:rsidRDefault="3655B4DE" w:rsidP="00857B81">
      <w:pPr>
        <w:pStyle w:val="Paragraphedeliste"/>
        <w:numPr>
          <w:ilvl w:val="0"/>
          <w:numId w:val="71"/>
        </w:numPr>
        <w:spacing w:after="0"/>
        <w:ind w:left="907"/>
        <w:rPr>
          <w:sz w:val="20"/>
          <w:szCs w:val="20"/>
          <w:highlight w:val="yellow"/>
          <w:lang w:val="en-US"/>
        </w:rPr>
      </w:pPr>
      <w:r w:rsidRPr="00857B81">
        <w:rPr>
          <w:sz w:val="20"/>
          <w:szCs w:val="20"/>
          <w:highlight w:val="yellow"/>
          <w:lang w:val="en-US"/>
        </w:rPr>
        <w:t>Diagnostic Report on the effectiveness, coherence, and governance of existing urban plans in the five peri-urban municipalities.</w:t>
      </w:r>
    </w:p>
    <w:p w14:paraId="7C90DC64" w14:textId="0CCC5090" w:rsidR="3655B4DE" w:rsidRPr="00857B81" w:rsidRDefault="3655B4DE" w:rsidP="00857B81">
      <w:pPr>
        <w:pStyle w:val="Paragraphedeliste"/>
        <w:numPr>
          <w:ilvl w:val="0"/>
          <w:numId w:val="71"/>
        </w:numPr>
        <w:spacing w:after="0"/>
        <w:ind w:left="907"/>
        <w:rPr>
          <w:sz w:val="20"/>
          <w:szCs w:val="20"/>
          <w:highlight w:val="yellow"/>
          <w:lang w:val="en-US"/>
        </w:rPr>
      </w:pPr>
      <w:r w:rsidRPr="00857B81">
        <w:rPr>
          <w:sz w:val="20"/>
          <w:szCs w:val="20"/>
          <w:highlight w:val="yellow"/>
          <w:lang w:val="en-US"/>
        </w:rPr>
        <w:t xml:space="preserve">Five updated Land Use Plans (Plans </w:t>
      </w:r>
      <w:proofErr w:type="spellStart"/>
      <w:r w:rsidRPr="00857B81">
        <w:rPr>
          <w:sz w:val="20"/>
          <w:szCs w:val="20"/>
          <w:highlight w:val="yellow"/>
          <w:lang w:val="en-US"/>
        </w:rPr>
        <w:t>d’Occupation</w:t>
      </w:r>
      <w:proofErr w:type="spellEnd"/>
      <w:r w:rsidRPr="00857B81">
        <w:rPr>
          <w:sz w:val="20"/>
          <w:szCs w:val="20"/>
          <w:highlight w:val="yellow"/>
          <w:lang w:val="en-US"/>
        </w:rPr>
        <w:t xml:space="preserve"> des Sols) based on the characteristics of each municipality.</w:t>
      </w:r>
    </w:p>
    <w:p w14:paraId="1B5778A8" w14:textId="0B23435C" w:rsidR="3655B4DE" w:rsidRPr="00857B81" w:rsidRDefault="3655B4DE" w:rsidP="00857B81">
      <w:pPr>
        <w:pStyle w:val="Paragraphedeliste"/>
        <w:numPr>
          <w:ilvl w:val="0"/>
          <w:numId w:val="71"/>
        </w:numPr>
        <w:spacing w:after="0"/>
        <w:ind w:left="907"/>
        <w:rPr>
          <w:sz w:val="20"/>
          <w:szCs w:val="20"/>
          <w:highlight w:val="yellow"/>
          <w:lang w:val="en-US"/>
        </w:rPr>
      </w:pPr>
      <w:r w:rsidRPr="00857B81">
        <w:rPr>
          <w:sz w:val="20"/>
          <w:szCs w:val="20"/>
          <w:highlight w:val="yellow"/>
          <w:lang w:val="en-US"/>
        </w:rPr>
        <w:t>Comparative Analysis with individualized, costed action plans for each municipality.</w:t>
      </w:r>
    </w:p>
    <w:p w14:paraId="398B494A" w14:textId="0262AB5C" w:rsidR="3655B4DE" w:rsidRPr="00857B81" w:rsidRDefault="3655B4DE" w:rsidP="00857B81">
      <w:pPr>
        <w:pStyle w:val="Paragraphedeliste"/>
        <w:numPr>
          <w:ilvl w:val="0"/>
          <w:numId w:val="71"/>
        </w:numPr>
        <w:spacing w:after="0"/>
        <w:ind w:left="907"/>
        <w:rPr>
          <w:sz w:val="20"/>
          <w:szCs w:val="20"/>
          <w:highlight w:val="yellow"/>
          <w:lang w:val="en-US"/>
        </w:rPr>
      </w:pPr>
      <w:r w:rsidRPr="00857B81">
        <w:rPr>
          <w:sz w:val="20"/>
          <w:szCs w:val="20"/>
          <w:highlight w:val="yellow"/>
          <w:lang w:val="en-US"/>
        </w:rPr>
        <w:t>Baseline Inventory of public and private land assets in peri-urban areas.</w:t>
      </w:r>
    </w:p>
    <w:p w14:paraId="5FCDAD5C" w14:textId="6F7254C8" w:rsidR="3655B4DE" w:rsidRPr="00857B81" w:rsidRDefault="3655B4DE" w:rsidP="00857B81">
      <w:pPr>
        <w:spacing w:line="257" w:lineRule="auto"/>
        <w:ind w:left="187"/>
        <w:rPr>
          <w:sz w:val="20"/>
          <w:szCs w:val="20"/>
          <w:highlight w:val="yellow"/>
          <w:lang w:val="en-US"/>
        </w:rPr>
      </w:pPr>
      <w:r w:rsidRPr="00857B81">
        <w:rPr>
          <w:sz w:val="20"/>
          <w:szCs w:val="20"/>
          <w:highlight w:val="yellow"/>
          <w:lang w:val="en-US"/>
        </w:rPr>
        <w:t xml:space="preserve">Systematic Land Registration Campaign in at least 3 priority neighborhoods, with formal documentation delivered to </w:t>
      </w:r>
      <w:proofErr w:type="spellStart"/>
      <w:proofErr w:type="gramStart"/>
      <w:r w:rsidRPr="00857B81">
        <w:rPr>
          <w:sz w:val="20"/>
          <w:szCs w:val="20"/>
          <w:highlight w:val="yellow"/>
          <w:lang w:val="en-US"/>
        </w:rPr>
        <w:t>households.The</w:t>
      </w:r>
      <w:proofErr w:type="spellEnd"/>
      <w:proofErr w:type="gramEnd"/>
      <w:r w:rsidRPr="00857B81">
        <w:rPr>
          <w:sz w:val="20"/>
          <w:szCs w:val="20"/>
          <w:highlight w:val="yellow"/>
          <w:lang w:val="en-US"/>
        </w:rPr>
        <w:t xml:space="preserve"> phasing of this activity, taking into consideration its complexity, will be as following:</w:t>
      </w:r>
    </w:p>
    <w:p w14:paraId="3788D883" w14:textId="309021C5" w:rsidR="3655B4DE" w:rsidRPr="00857B81" w:rsidRDefault="3655B4DE" w:rsidP="00857B81">
      <w:pPr>
        <w:pStyle w:val="Paragraphedeliste"/>
        <w:numPr>
          <w:ilvl w:val="0"/>
          <w:numId w:val="70"/>
        </w:numPr>
        <w:spacing w:after="0" w:line="257" w:lineRule="auto"/>
        <w:rPr>
          <w:b/>
          <w:bCs/>
          <w:sz w:val="20"/>
          <w:szCs w:val="20"/>
          <w:highlight w:val="yellow"/>
          <w:lang w:val="en-US"/>
        </w:rPr>
      </w:pPr>
      <w:r w:rsidRPr="00857B81">
        <w:rPr>
          <w:b/>
          <w:bCs/>
          <w:sz w:val="20"/>
          <w:szCs w:val="20"/>
          <w:highlight w:val="yellow"/>
          <w:lang w:val="en-US"/>
        </w:rPr>
        <w:t>Phase 1: Institutional Mobilization and Data Collection</w:t>
      </w:r>
    </w:p>
    <w:p w14:paraId="1564D730" w14:textId="7701E9E8" w:rsidR="3655B4DE" w:rsidRPr="00857B81" w:rsidRDefault="3655B4DE" w:rsidP="00857B81">
      <w:pPr>
        <w:pStyle w:val="Paragraphedeliste"/>
        <w:numPr>
          <w:ilvl w:val="1"/>
          <w:numId w:val="70"/>
        </w:numPr>
        <w:spacing w:after="0" w:line="257" w:lineRule="auto"/>
        <w:rPr>
          <w:sz w:val="20"/>
          <w:szCs w:val="20"/>
          <w:highlight w:val="yellow"/>
          <w:lang w:val="en-US"/>
        </w:rPr>
      </w:pPr>
      <w:r w:rsidRPr="00857B81">
        <w:rPr>
          <w:sz w:val="20"/>
          <w:szCs w:val="20"/>
          <w:highlight w:val="yellow"/>
          <w:lang w:val="en-US"/>
        </w:rPr>
        <w:t xml:space="preserve">Convene a multisectoral working group including DNUH, the Land and </w:t>
      </w:r>
      <w:proofErr w:type="spellStart"/>
      <w:r w:rsidRPr="00857B81">
        <w:rPr>
          <w:sz w:val="20"/>
          <w:szCs w:val="20"/>
          <w:highlight w:val="yellow"/>
          <w:lang w:val="en-US"/>
        </w:rPr>
        <w:t>Cadastre</w:t>
      </w:r>
      <w:proofErr w:type="spellEnd"/>
      <w:r w:rsidRPr="00857B81">
        <w:rPr>
          <w:sz w:val="20"/>
          <w:szCs w:val="20"/>
          <w:highlight w:val="yellow"/>
          <w:lang w:val="en-US"/>
        </w:rPr>
        <w:t xml:space="preserve"> Directorate, local municipalities, and civil society.</w:t>
      </w:r>
    </w:p>
    <w:p w14:paraId="4C47E7E9" w14:textId="60A977B8" w:rsidR="3655B4DE" w:rsidRPr="00857B81" w:rsidRDefault="3655B4DE" w:rsidP="00857B81">
      <w:pPr>
        <w:pStyle w:val="Paragraphedeliste"/>
        <w:numPr>
          <w:ilvl w:val="1"/>
          <w:numId w:val="70"/>
        </w:numPr>
        <w:spacing w:after="0" w:line="257" w:lineRule="auto"/>
        <w:rPr>
          <w:sz w:val="20"/>
          <w:szCs w:val="20"/>
          <w:highlight w:val="yellow"/>
          <w:lang w:val="en-US"/>
        </w:rPr>
      </w:pPr>
      <w:r w:rsidRPr="00857B81">
        <w:rPr>
          <w:sz w:val="20"/>
          <w:szCs w:val="20"/>
          <w:highlight w:val="yellow"/>
          <w:lang w:val="en-US"/>
        </w:rPr>
        <w:t>Map existing planning tools and their legal status.</w:t>
      </w:r>
    </w:p>
    <w:p w14:paraId="1ED59B22" w14:textId="78E6E3D2" w:rsidR="3655B4DE" w:rsidRPr="00857B81" w:rsidRDefault="3655B4DE" w:rsidP="00857B81">
      <w:pPr>
        <w:pStyle w:val="Paragraphedeliste"/>
        <w:numPr>
          <w:ilvl w:val="1"/>
          <w:numId w:val="70"/>
        </w:numPr>
        <w:spacing w:after="0" w:line="257" w:lineRule="auto"/>
        <w:rPr>
          <w:sz w:val="20"/>
          <w:szCs w:val="20"/>
          <w:highlight w:val="yellow"/>
          <w:lang w:val="en-US"/>
        </w:rPr>
      </w:pPr>
      <w:r w:rsidRPr="00857B81">
        <w:rPr>
          <w:sz w:val="20"/>
          <w:szCs w:val="20"/>
          <w:highlight w:val="yellow"/>
          <w:lang w:val="en-US"/>
        </w:rPr>
        <w:t>Launch participatory diagnostics and spatial mapping (incl. GIS and satellite imagery), ensuring that issues related to tenure insecurity, access to services, and spatial marginalization are adequately captured and addressed.</w:t>
      </w:r>
    </w:p>
    <w:p w14:paraId="1C75F317" w14:textId="5D4DDC98" w:rsidR="3655B4DE" w:rsidRPr="00857B81" w:rsidRDefault="3655B4DE" w:rsidP="00857B81">
      <w:pPr>
        <w:pStyle w:val="Paragraphedeliste"/>
        <w:numPr>
          <w:ilvl w:val="0"/>
          <w:numId w:val="70"/>
        </w:numPr>
        <w:spacing w:after="0" w:line="257" w:lineRule="auto"/>
        <w:rPr>
          <w:b/>
          <w:bCs/>
          <w:sz w:val="20"/>
          <w:szCs w:val="20"/>
          <w:highlight w:val="yellow"/>
          <w:lang w:val="en-US"/>
        </w:rPr>
      </w:pPr>
      <w:r w:rsidRPr="00857B81">
        <w:rPr>
          <w:b/>
          <w:bCs/>
          <w:sz w:val="20"/>
          <w:szCs w:val="20"/>
          <w:highlight w:val="yellow"/>
          <w:lang w:val="en-US"/>
        </w:rPr>
        <w:t>Phase 2: Evaluation of Existing Plans and Governance</w:t>
      </w:r>
    </w:p>
    <w:p w14:paraId="77ACED38" w14:textId="2D110981" w:rsidR="3655B4DE" w:rsidRPr="00857B81" w:rsidRDefault="3655B4DE" w:rsidP="00857B81">
      <w:pPr>
        <w:pStyle w:val="Paragraphedeliste"/>
        <w:numPr>
          <w:ilvl w:val="1"/>
          <w:numId w:val="70"/>
        </w:numPr>
        <w:spacing w:after="0" w:line="257" w:lineRule="auto"/>
        <w:rPr>
          <w:sz w:val="20"/>
          <w:szCs w:val="20"/>
          <w:highlight w:val="yellow"/>
          <w:lang w:val="en-US"/>
        </w:rPr>
      </w:pPr>
      <w:r w:rsidRPr="00857B81">
        <w:rPr>
          <w:sz w:val="20"/>
          <w:szCs w:val="20"/>
          <w:highlight w:val="yellow"/>
          <w:lang w:val="en-US"/>
        </w:rPr>
        <w:t>Analyze the status and effectiveness of existing planning tools.</w:t>
      </w:r>
    </w:p>
    <w:p w14:paraId="0240B440" w14:textId="5F8BEB57" w:rsidR="3655B4DE" w:rsidRPr="00857B81" w:rsidRDefault="3655B4DE" w:rsidP="00857B81">
      <w:pPr>
        <w:pStyle w:val="Paragraphedeliste"/>
        <w:numPr>
          <w:ilvl w:val="1"/>
          <w:numId w:val="70"/>
        </w:numPr>
        <w:spacing w:after="0" w:line="257" w:lineRule="auto"/>
        <w:rPr>
          <w:sz w:val="20"/>
          <w:szCs w:val="20"/>
          <w:highlight w:val="yellow"/>
          <w:lang w:val="en-US"/>
        </w:rPr>
      </w:pPr>
      <w:r w:rsidRPr="00857B81">
        <w:rPr>
          <w:sz w:val="20"/>
          <w:szCs w:val="20"/>
          <w:highlight w:val="yellow"/>
          <w:lang w:val="en-US"/>
        </w:rPr>
        <w:t>Assess institutional responsibilities, stakeholder coordination, and implementation bottlenecks.</w:t>
      </w:r>
    </w:p>
    <w:p w14:paraId="4E49D76B" w14:textId="19DA32A4" w:rsidR="3655B4DE" w:rsidRPr="00857B81" w:rsidRDefault="3655B4DE" w:rsidP="00857B81">
      <w:pPr>
        <w:pStyle w:val="Paragraphedeliste"/>
        <w:numPr>
          <w:ilvl w:val="1"/>
          <w:numId w:val="70"/>
        </w:numPr>
        <w:spacing w:after="0" w:line="257" w:lineRule="auto"/>
        <w:rPr>
          <w:sz w:val="20"/>
          <w:szCs w:val="20"/>
          <w:highlight w:val="yellow"/>
          <w:lang w:val="en-US"/>
        </w:rPr>
      </w:pPr>
      <w:r w:rsidRPr="00857B81">
        <w:rPr>
          <w:sz w:val="20"/>
          <w:szCs w:val="20"/>
          <w:highlight w:val="yellow"/>
          <w:lang w:val="en-US"/>
        </w:rPr>
        <w:t>Identify areas lacking land coverage or overlapping claims.</w:t>
      </w:r>
    </w:p>
    <w:p w14:paraId="60F1C8AC" w14:textId="650FAB61" w:rsidR="3655B4DE" w:rsidRPr="00857B81" w:rsidRDefault="3655B4DE" w:rsidP="00857B81">
      <w:pPr>
        <w:pStyle w:val="Paragraphedeliste"/>
        <w:numPr>
          <w:ilvl w:val="0"/>
          <w:numId w:val="70"/>
        </w:numPr>
        <w:spacing w:after="0" w:line="257" w:lineRule="auto"/>
        <w:rPr>
          <w:b/>
          <w:bCs/>
          <w:sz w:val="20"/>
          <w:szCs w:val="20"/>
          <w:highlight w:val="yellow"/>
          <w:lang w:val="en-US"/>
        </w:rPr>
      </w:pPr>
      <w:r w:rsidRPr="00857B81">
        <w:rPr>
          <w:b/>
          <w:bCs/>
          <w:sz w:val="20"/>
          <w:szCs w:val="20"/>
          <w:highlight w:val="yellow"/>
          <w:lang w:val="en-US"/>
        </w:rPr>
        <w:t>Phase 3: Development of Strategic Land Use Plans</w:t>
      </w:r>
    </w:p>
    <w:p w14:paraId="5C10D912" w14:textId="06021A1E" w:rsidR="3655B4DE" w:rsidRPr="00857B81" w:rsidRDefault="3655B4DE" w:rsidP="00857B81">
      <w:pPr>
        <w:pStyle w:val="Paragraphedeliste"/>
        <w:numPr>
          <w:ilvl w:val="1"/>
          <w:numId w:val="70"/>
        </w:numPr>
        <w:spacing w:after="0" w:line="257" w:lineRule="auto"/>
        <w:rPr>
          <w:sz w:val="20"/>
          <w:szCs w:val="20"/>
          <w:highlight w:val="yellow"/>
          <w:lang w:val="en-US"/>
        </w:rPr>
      </w:pPr>
      <w:r w:rsidRPr="00857B81">
        <w:rPr>
          <w:sz w:val="20"/>
          <w:szCs w:val="20"/>
          <w:highlight w:val="yellow"/>
          <w:lang w:val="en-US"/>
        </w:rPr>
        <w:t>Conduct community consultations with gender-disaggregated and vulnerable groups feedback.</w:t>
      </w:r>
    </w:p>
    <w:p w14:paraId="57AFE895" w14:textId="2125AD90" w:rsidR="3655B4DE" w:rsidRPr="00857B81" w:rsidRDefault="3655B4DE" w:rsidP="00857B81">
      <w:pPr>
        <w:pStyle w:val="Paragraphedeliste"/>
        <w:numPr>
          <w:ilvl w:val="1"/>
          <w:numId w:val="70"/>
        </w:numPr>
        <w:spacing w:after="0" w:line="257" w:lineRule="auto"/>
        <w:rPr>
          <w:sz w:val="20"/>
          <w:szCs w:val="20"/>
          <w:highlight w:val="yellow"/>
        </w:rPr>
      </w:pPr>
      <w:proofErr w:type="spellStart"/>
      <w:r w:rsidRPr="00857B81">
        <w:rPr>
          <w:sz w:val="20"/>
          <w:szCs w:val="20"/>
          <w:highlight w:val="yellow"/>
        </w:rPr>
        <w:t>Define</w:t>
      </w:r>
      <w:proofErr w:type="spellEnd"/>
      <w:r w:rsidRPr="00857B81">
        <w:rPr>
          <w:sz w:val="20"/>
          <w:szCs w:val="20"/>
          <w:highlight w:val="yellow"/>
        </w:rPr>
        <w:t xml:space="preserve"> territorial </w:t>
      </w:r>
      <w:proofErr w:type="spellStart"/>
      <w:r w:rsidRPr="00857B81">
        <w:rPr>
          <w:sz w:val="20"/>
          <w:szCs w:val="20"/>
          <w:highlight w:val="yellow"/>
        </w:rPr>
        <w:t>priorities</w:t>
      </w:r>
      <w:proofErr w:type="spellEnd"/>
      <w:r w:rsidRPr="00857B81">
        <w:rPr>
          <w:sz w:val="20"/>
          <w:szCs w:val="20"/>
          <w:highlight w:val="yellow"/>
        </w:rPr>
        <w:t xml:space="preserve"> (e.g., </w:t>
      </w:r>
      <w:proofErr w:type="spellStart"/>
      <w:r w:rsidRPr="00857B81">
        <w:rPr>
          <w:sz w:val="20"/>
          <w:szCs w:val="20"/>
          <w:highlight w:val="yellow"/>
        </w:rPr>
        <w:t>residential</w:t>
      </w:r>
      <w:proofErr w:type="spellEnd"/>
      <w:r w:rsidRPr="00857B81">
        <w:rPr>
          <w:sz w:val="20"/>
          <w:szCs w:val="20"/>
          <w:highlight w:val="yellow"/>
        </w:rPr>
        <w:t xml:space="preserve"> expansion, transport corridors, </w:t>
      </w:r>
      <w:proofErr w:type="spellStart"/>
      <w:r w:rsidRPr="00857B81">
        <w:rPr>
          <w:sz w:val="20"/>
          <w:szCs w:val="20"/>
          <w:highlight w:val="yellow"/>
        </w:rPr>
        <w:t>ecological</w:t>
      </w:r>
      <w:proofErr w:type="spellEnd"/>
      <w:r w:rsidRPr="00857B81">
        <w:rPr>
          <w:sz w:val="20"/>
          <w:szCs w:val="20"/>
          <w:highlight w:val="yellow"/>
        </w:rPr>
        <w:t xml:space="preserve"> buffer zones).</w:t>
      </w:r>
    </w:p>
    <w:p w14:paraId="6C434A63" w14:textId="28A4B4DB" w:rsidR="3655B4DE" w:rsidRPr="00857B81" w:rsidRDefault="3655B4DE" w:rsidP="00857B81">
      <w:pPr>
        <w:pStyle w:val="Paragraphedeliste"/>
        <w:numPr>
          <w:ilvl w:val="1"/>
          <w:numId w:val="70"/>
        </w:numPr>
        <w:spacing w:after="0" w:line="257" w:lineRule="auto"/>
        <w:rPr>
          <w:sz w:val="20"/>
          <w:szCs w:val="20"/>
          <w:highlight w:val="yellow"/>
          <w:lang w:val="en-US"/>
        </w:rPr>
      </w:pPr>
      <w:r w:rsidRPr="00857B81">
        <w:rPr>
          <w:sz w:val="20"/>
          <w:szCs w:val="20"/>
          <w:highlight w:val="yellow"/>
          <w:lang w:val="en-US"/>
        </w:rPr>
        <w:lastRenderedPageBreak/>
        <w:t>Ensure alignment with the Urban Master Plan for the District of Bamako (undergoing).</w:t>
      </w:r>
    </w:p>
    <w:p w14:paraId="6DB4C7DF" w14:textId="3B7E6423" w:rsidR="3655B4DE" w:rsidRPr="00857B81" w:rsidRDefault="3655B4DE" w:rsidP="00857B81">
      <w:pPr>
        <w:spacing w:after="0" w:line="257" w:lineRule="auto"/>
        <w:ind w:left="720"/>
        <w:rPr>
          <w:sz w:val="20"/>
          <w:szCs w:val="20"/>
          <w:highlight w:val="yellow"/>
          <w:lang w:val="en-US"/>
        </w:rPr>
      </w:pPr>
    </w:p>
    <w:p w14:paraId="744EAF6F" w14:textId="3075E80E" w:rsidR="3655B4DE" w:rsidRPr="00857B81" w:rsidRDefault="3655B4DE" w:rsidP="00857B81">
      <w:pPr>
        <w:pStyle w:val="Paragraphedeliste"/>
        <w:numPr>
          <w:ilvl w:val="0"/>
          <w:numId w:val="70"/>
        </w:numPr>
        <w:spacing w:after="0" w:line="257" w:lineRule="auto"/>
        <w:rPr>
          <w:b/>
          <w:bCs/>
          <w:sz w:val="20"/>
          <w:szCs w:val="20"/>
          <w:highlight w:val="yellow"/>
          <w:lang w:val="en-US"/>
        </w:rPr>
      </w:pPr>
      <w:r w:rsidRPr="00857B81">
        <w:rPr>
          <w:sz w:val="20"/>
          <w:szCs w:val="20"/>
          <w:highlight w:val="yellow"/>
          <w:lang w:val="en-US"/>
        </w:rPr>
        <w:t xml:space="preserve">Preparation of the Land Use Plans, ensuring alignment with the Urban Master Plan for the District of Bamako (undergoing) and promoting secure tenure for women, IDPs and other vulnerable groups </w:t>
      </w:r>
      <w:r w:rsidRPr="00857B81">
        <w:rPr>
          <w:b/>
          <w:bCs/>
          <w:sz w:val="20"/>
          <w:szCs w:val="20"/>
          <w:highlight w:val="yellow"/>
          <w:lang w:val="en-US"/>
        </w:rPr>
        <w:t>Phase 4: Systematic Land Registration Campaign</w:t>
      </w:r>
    </w:p>
    <w:p w14:paraId="01BF966B" w14:textId="5DD0FC4D" w:rsidR="009C76AC" w:rsidRPr="003C5C1B" w:rsidRDefault="009C76AC" w:rsidP="009C76AC">
      <w:pPr>
        <w:tabs>
          <w:tab w:val="left" w:pos="720"/>
          <w:tab w:val="left" w:pos="1440"/>
        </w:tabs>
        <w:rPr>
          <w:sz w:val="20"/>
          <w:szCs w:val="20"/>
          <w:highlight w:val="green"/>
          <w:lang w:val="en-US"/>
        </w:rPr>
      </w:pPr>
      <w:r w:rsidRPr="003C5C1B">
        <w:rPr>
          <w:sz w:val="20"/>
          <w:szCs w:val="20"/>
          <w:highlight w:val="green"/>
          <w:lang w:val="en-US"/>
        </w:rPr>
        <w:t>Building on lessons learned from previous systematic registration pilot projects in Bamako, this phase will target three high-priority</w:t>
      </w:r>
      <w:r w:rsidRPr="00E86501">
        <w:rPr>
          <w:sz w:val="20"/>
          <w:szCs w:val="20"/>
          <w:highlight w:val="cyan"/>
          <w:lang w:val="en-US"/>
        </w:rPr>
        <w:t xml:space="preserve">, underserved neighborhoods </w:t>
      </w:r>
      <w:r w:rsidR="009C3636">
        <w:rPr>
          <w:sz w:val="20"/>
          <w:szCs w:val="20"/>
          <w:highlight w:val="cyan"/>
          <w:lang w:val="en-US"/>
        </w:rPr>
        <w:t>home to</w:t>
      </w:r>
      <w:r w:rsidR="00D666F1" w:rsidRPr="00E86501">
        <w:rPr>
          <w:sz w:val="20"/>
          <w:szCs w:val="20"/>
          <w:highlight w:val="cyan"/>
          <w:lang w:val="en-US"/>
        </w:rPr>
        <w:t xml:space="preserve"> vulnerable population </w:t>
      </w:r>
      <w:r w:rsidRPr="003C5C1B">
        <w:rPr>
          <w:sz w:val="20"/>
          <w:szCs w:val="20"/>
          <w:highlight w:val="green"/>
          <w:lang w:val="en-US"/>
        </w:rPr>
        <w:t>selected in coordination with local authorities. The campaign will implement comprehensive parcel mapping, social surveys, and adjudication through a technical consortium partnership, culminating in the delivery of official titles or certificates.</w:t>
      </w:r>
    </w:p>
    <w:p w14:paraId="2DFA3939" w14:textId="77777777" w:rsidR="009C76AC" w:rsidRPr="003C5C1B" w:rsidRDefault="009C76AC" w:rsidP="009C76AC">
      <w:pPr>
        <w:tabs>
          <w:tab w:val="left" w:pos="720"/>
          <w:tab w:val="left" w:pos="1440"/>
        </w:tabs>
        <w:rPr>
          <w:sz w:val="20"/>
          <w:szCs w:val="20"/>
          <w:highlight w:val="green"/>
          <w:lang w:val="en-US"/>
        </w:rPr>
      </w:pPr>
      <w:r w:rsidRPr="003C5C1B">
        <w:rPr>
          <w:sz w:val="20"/>
          <w:szCs w:val="20"/>
          <w:highlight w:val="green"/>
          <w:lang w:val="en-US"/>
        </w:rPr>
        <w:t>In neighborhoods with high concentrations of IDPs, the registration process will ensure formal inclusion through inclusive adjudication mechanisms, legal aid support where necessary, and tailored communication efforts coordinated with relevant humanitarian and municipal actors.</w:t>
      </w:r>
    </w:p>
    <w:p w14:paraId="73721BF1" w14:textId="77777777" w:rsidR="009C76AC" w:rsidRPr="003C5C1B" w:rsidRDefault="009C76AC" w:rsidP="009C76AC">
      <w:pPr>
        <w:tabs>
          <w:tab w:val="left" w:pos="720"/>
          <w:tab w:val="left" w:pos="1440"/>
        </w:tabs>
        <w:rPr>
          <w:sz w:val="20"/>
          <w:szCs w:val="20"/>
          <w:highlight w:val="green"/>
        </w:rPr>
      </w:pPr>
      <w:proofErr w:type="spellStart"/>
      <w:r w:rsidRPr="003C5C1B">
        <w:rPr>
          <w:sz w:val="20"/>
          <w:szCs w:val="20"/>
          <w:highlight w:val="green"/>
        </w:rPr>
        <w:t>Core</w:t>
      </w:r>
      <w:proofErr w:type="spellEnd"/>
      <w:r w:rsidRPr="003C5C1B">
        <w:rPr>
          <w:sz w:val="20"/>
          <w:szCs w:val="20"/>
          <w:highlight w:val="green"/>
        </w:rPr>
        <w:t xml:space="preserve"> </w:t>
      </w:r>
      <w:proofErr w:type="gramStart"/>
      <w:r w:rsidRPr="003C5C1B">
        <w:rPr>
          <w:sz w:val="20"/>
          <w:szCs w:val="20"/>
          <w:highlight w:val="green"/>
        </w:rPr>
        <w:t>Actions:</w:t>
      </w:r>
      <w:proofErr w:type="gramEnd"/>
    </w:p>
    <w:p w14:paraId="7BA6F464" w14:textId="77777777" w:rsidR="009C76AC" w:rsidRPr="003C5C1B" w:rsidRDefault="009C76AC" w:rsidP="009C76AC">
      <w:pPr>
        <w:pStyle w:val="Paragraphedeliste"/>
        <w:numPr>
          <w:ilvl w:val="0"/>
          <w:numId w:val="887"/>
        </w:numPr>
        <w:tabs>
          <w:tab w:val="left" w:pos="720"/>
          <w:tab w:val="left" w:pos="1440"/>
        </w:tabs>
        <w:spacing w:after="0"/>
        <w:contextualSpacing w:val="0"/>
        <w:rPr>
          <w:sz w:val="20"/>
          <w:szCs w:val="20"/>
          <w:highlight w:val="green"/>
        </w:rPr>
      </w:pPr>
      <w:proofErr w:type="spellStart"/>
      <w:r w:rsidRPr="003C5C1B">
        <w:rPr>
          <w:sz w:val="20"/>
          <w:szCs w:val="20"/>
          <w:highlight w:val="green"/>
        </w:rPr>
        <w:t>Approval</w:t>
      </w:r>
      <w:proofErr w:type="spellEnd"/>
      <w:r w:rsidRPr="003C5C1B">
        <w:rPr>
          <w:sz w:val="20"/>
          <w:szCs w:val="20"/>
          <w:highlight w:val="green"/>
        </w:rPr>
        <w:t xml:space="preserve"> of </w:t>
      </w:r>
      <w:proofErr w:type="gramStart"/>
      <w:r w:rsidRPr="003C5C1B">
        <w:rPr>
          <w:sz w:val="20"/>
          <w:szCs w:val="20"/>
          <w:highlight w:val="green"/>
        </w:rPr>
        <w:t>subdivision plans</w:t>
      </w:r>
      <w:proofErr w:type="gramEnd"/>
    </w:p>
    <w:p w14:paraId="4EFAACAB" w14:textId="783303E9" w:rsidR="009C76AC" w:rsidRPr="003C5C1B" w:rsidRDefault="009F3484" w:rsidP="009F3484">
      <w:pPr>
        <w:pStyle w:val="Paragraphedeliste"/>
        <w:numPr>
          <w:ilvl w:val="0"/>
          <w:numId w:val="887"/>
        </w:numPr>
        <w:tabs>
          <w:tab w:val="left" w:pos="720"/>
          <w:tab w:val="left" w:pos="1440"/>
        </w:tabs>
        <w:spacing w:after="0"/>
        <w:contextualSpacing w:val="0"/>
        <w:rPr>
          <w:sz w:val="20"/>
          <w:szCs w:val="20"/>
          <w:highlight w:val="green"/>
          <w:lang w:val="en-US"/>
        </w:rPr>
      </w:pPr>
      <w:r w:rsidRPr="003C5C1B">
        <w:rPr>
          <w:sz w:val="20"/>
          <w:szCs w:val="20"/>
          <w:highlight w:val="green"/>
          <w:lang w:val="en-US"/>
        </w:rPr>
        <w:t xml:space="preserve">Digitization </w:t>
      </w:r>
      <w:r w:rsidR="009C76AC" w:rsidRPr="003C5C1B">
        <w:rPr>
          <w:sz w:val="20"/>
          <w:szCs w:val="20"/>
          <w:highlight w:val="green"/>
          <w:lang w:val="en-US"/>
        </w:rPr>
        <w:t xml:space="preserve">of land </w:t>
      </w:r>
      <w:r w:rsidR="00D84C66">
        <w:rPr>
          <w:sz w:val="20"/>
          <w:szCs w:val="20"/>
          <w:highlight w:val="green"/>
          <w:lang w:val="en-US"/>
        </w:rPr>
        <w:t>registration</w:t>
      </w:r>
      <w:r w:rsidR="009C76AC" w:rsidRPr="003C5C1B">
        <w:rPr>
          <w:sz w:val="20"/>
          <w:szCs w:val="20"/>
          <w:highlight w:val="green"/>
          <w:lang w:val="en-US"/>
        </w:rPr>
        <w:t xml:space="preserve"> and documentation</w:t>
      </w:r>
    </w:p>
    <w:p w14:paraId="01BEFE35" w14:textId="77777777" w:rsidR="009C76AC" w:rsidRPr="003C5C1B" w:rsidRDefault="009C76AC" w:rsidP="009C76AC">
      <w:pPr>
        <w:pStyle w:val="Paragraphedeliste"/>
        <w:numPr>
          <w:ilvl w:val="0"/>
          <w:numId w:val="887"/>
        </w:numPr>
        <w:tabs>
          <w:tab w:val="left" w:pos="720"/>
          <w:tab w:val="left" w:pos="1440"/>
        </w:tabs>
        <w:spacing w:after="0"/>
        <w:contextualSpacing w:val="0"/>
        <w:rPr>
          <w:sz w:val="20"/>
          <w:szCs w:val="20"/>
          <w:highlight w:val="green"/>
          <w:lang w:val="en-US"/>
        </w:rPr>
      </w:pPr>
      <w:r w:rsidRPr="003C5C1B">
        <w:rPr>
          <w:sz w:val="20"/>
          <w:szCs w:val="20"/>
          <w:highlight w:val="green"/>
          <w:lang w:val="en-US"/>
        </w:rPr>
        <w:t>Integration and attachment of land titles to a centralized system</w:t>
      </w:r>
    </w:p>
    <w:p w14:paraId="172AE1D1" w14:textId="77777777" w:rsidR="009C76AC" w:rsidRPr="003C5C1B" w:rsidRDefault="009C76AC" w:rsidP="009C76AC">
      <w:pPr>
        <w:tabs>
          <w:tab w:val="left" w:pos="720"/>
          <w:tab w:val="left" w:pos="1440"/>
        </w:tabs>
        <w:rPr>
          <w:sz w:val="20"/>
          <w:szCs w:val="20"/>
          <w:highlight w:val="green"/>
          <w:lang w:val="en-US"/>
        </w:rPr>
      </w:pPr>
      <w:r w:rsidRPr="003C5C1B">
        <w:rPr>
          <w:sz w:val="20"/>
          <w:szCs w:val="20"/>
          <w:highlight w:val="green"/>
          <w:lang w:val="en-US"/>
        </w:rPr>
        <w:t>Expected results:</w:t>
      </w:r>
    </w:p>
    <w:p w14:paraId="6325C8FF" w14:textId="26800801" w:rsidR="009C76AC" w:rsidRPr="00E86501" w:rsidRDefault="009C76AC" w:rsidP="001B3EA2">
      <w:pPr>
        <w:tabs>
          <w:tab w:val="left" w:pos="720"/>
          <w:tab w:val="left" w:pos="1440"/>
        </w:tabs>
        <w:rPr>
          <w:sz w:val="20"/>
          <w:szCs w:val="20"/>
          <w:highlight w:val="cyan"/>
          <w:lang w:val="en-US"/>
        </w:rPr>
      </w:pPr>
      <w:r w:rsidRPr="003C5C1B">
        <w:rPr>
          <w:sz w:val="20"/>
          <w:szCs w:val="20"/>
          <w:highlight w:val="green"/>
          <w:lang w:val="en-US"/>
        </w:rPr>
        <w:t xml:space="preserve">a) Enhanced Land Tenure Security: </w:t>
      </w:r>
      <w:r w:rsidR="001B3EA2" w:rsidRPr="00E86501">
        <w:rPr>
          <w:sz w:val="20"/>
          <w:szCs w:val="20"/>
          <w:highlight w:val="cyan"/>
          <w:lang w:val="en-US"/>
        </w:rPr>
        <w:t xml:space="preserve">Strengthening the resilience of vulnerable populations by fostering sustainable individual and collective socio-economic and environmental investments, and reducing—or eliminating—land conflicts and legal disputes that could undermine or disrupt development </w:t>
      </w:r>
      <w:proofErr w:type="gramStart"/>
      <w:r w:rsidR="001B3EA2" w:rsidRPr="00E86501">
        <w:rPr>
          <w:sz w:val="20"/>
          <w:szCs w:val="20"/>
          <w:highlight w:val="cyan"/>
          <w:lang w:val="en-US"/>
        </w:rPr>
        <w:t>initiatives.</w:t>
      </w:r>
      <w:r w:rsidRPr="00E86501">
        <w:rPr>
          <w:sz w:val="20"/>
          <w:szCs w:val="20"/>
          <w:highlight w:val="cyan"/>
          <w:lang w:val="en-US"/>
        </w:rPr>
        <w:t>.</w:t>
      </w:r>
      <w:proofErr w:type="gramEnd"/>
    </w:p>
    <w:p w14:paraId="3B9CC6B6" w14:textId="77777777" w:rsidR="009C76AC" w:rsidRPr="003C5C1B" w:rsidRDefault="009C76AC" w:rsidP="009C76AC">
      <w:pPr>
        <w:tabs>
          <w:tab w:val="left" w:pos="720"/>
          <w:tab w:val="left" w:pos="1440"/>
        </w:tabs>
        <w:rPr>
          <w:sz w:val="20"/>
          <w:szCs w:val="20"/>
          <w:highlight w:val="green"/>
          <w:lang w:val="en-US"/>
        </w:rPr>
      </w:pPr>
      <w:r w:rsidRPr="003C5C1B">
        <w:rPr>
          <w:sz w:val="20"/>
          <w:szCs w:val="20"/>
          <w:highlight w:val="green"/>
          <w:lang w:val="en-US"/>
        </w:rPr>
        <w:t>b) Controlled Land Use: Significant reduction in uncontrolled development, promoting rational management of natural resources and infrastructure to ensure a cleaner, more organized, and less polluted living environment.</w:t>
      </w:r>
    </w:p>
    <w:p w14:paraId="0880196D" w14:textId="77777777" w:rsidR="009C76AC" w:rsidRPr="003C5C1B" w:rsidRDefault="009C76AC" w:rsidP="009C76AC">
      <w:pPr>
        <w:tabs>
          <w:tab w:val="left" w:pos="720"/>
          <w:tab w:val="left" w:pos="1440"/>
        </w:tabs>
        <w:rPr>
          <w:sz w:val="20"/>
          <w:szCs w:val="20"/>
          <w:lang w:val="en-US"/>
        </w:rPr>
      </w:pPr>
      <w:r w:rsidRPr="003C5C1B">
        <w:rPr>
          <w:sz w:val="20"/>
          <w:szCs w:val="20"/>
          <w:highlight w:val="green"/>
          <w:lang w:val="en-US"/>
        </w:rPr>
        <w:t>c) Reliable Land Registry: Establishment of an up-to-date cadastral system enabling access to accurate land data that supports coherent sectoral policies and strategies aligned with ecosystem and environmental dynamics.</w:t>
      </w:r>
    </w:p>
    <w:p w14:paraId="1B7AB37B" w14:textId="77777777" w:rsidR="009C76AC" w:rsidRPr="0026207C" w:rsidRDefault="009C76AC" w:rsidP="003C5C1B">
      <w:pPr>
        <w:pStyle w:val="Paragraphedeliste"/>
        <w:spacing w:after="0" w:line="257" w:lineRule="auto"/>
        <w:rPr>
          <w:b/>
          <w:bCs/>
          <w:sz w:val="20"/>
          <w:szCs w:val="20"/>
          <w:highlight w:val="yellow"/>
          <w:lang w:val="en-US"/>
        </w:rPr>
      </w:pPr>
    </w:p>
    <w:p w14:paraId="6F59F3CD" w14:textId="61B5EE10" w:rsidR="3655B4DE" w:rsidRPr="00857B81" w:rsidRDefault="3655B4DE" w:rsidP="00857B81">
      <w:pPr>
        <w:pStyle w:val="Paragraphedeliste"/>
        <w:numPr>
          <w:ilvl w:val="0"/>
          <w:numId w:val="70"/>
        </w:numPr>
        <w:spacing w:after="0" w:line="257" w:lineRule="auto"/>
        <w:rPr>
          <w:b/>
          <w:bCs/>
          <w:sz w:val="20"/>
          <w:szCs w:val="20"/>
          <w:highlight w:val="yellow"/>
          <w:lang w:val="en-US"/>
        </w:rPr>
      </w:pPr>
      <w:r w:rsidRPr="00857B81">
        <w:rPr>
          <w:b/>
          <w:bCs/>
          <w:sz w:val="20"/>
          <w:szCs w:val="20"/>
          <w:highlight w:val="yellow"/>
          <w:lang w:val="en-US"/>
        </w:rPr>
        <w:t>Phase 5: Validation and Capacity Building</w:t>
      </w:r>
    </w:p>
    <w:p w14:paraId="6B47CB14" w14:textId="16D3C7F5" w:rsidR="3655B4DE" w:rsidRPr="00857B81" w:rsidRDefault="3655B4DE" w:rsidP="00857B81">
      <w:pPr>
        <w:pStyle w:val="Paragraphedeliste"/>
        <w:numPr>
          <w:ilvl w:val="1"/>
          <w:numId w:val="70"/>
        </w:numPr>
        <w:spacing w:after="0" w:line="257" w:lineRule="auto"/>
        <w:rPr>
          <w:sz w:val="20"/>
          <w:szCs w:val="20"/>
          <w:highlight w:val="yellow"/>
          <w:lang w:val="en-US"/>
        </w:rPr>
      </w:pPr>
      <w:r w:rsidRPr="00857B81">
        <w:rPr>
          <w:sz w:val="20"/>
          <w:szCs w:val="20"/>
          <w:highlight w:val="yellow"/>
          <w:lang w:val="en-US"/>
        </w:rPr>
        <w:t>Present draft land use plans and registration results in local validation workshops.</w:t>
      </w:r>
    </w:p>
    <w:p w14:paraId="132D1660" w14:textId="16DB368E" w:rsidR="3655B4DE" w:rsidRPr="00857B81" w:rsidRDefault="3655B4DE" w:rsidP="00857B81">
      <w:pPr>
        <w:pStyle w:val="Paragraphedeliste"/>
        <w:numPr>
          <w:ilvl w:val="1"/>
          <w:numId w:val="70"/>
        </w:numPr>
        <w:spacing w:after="0" w:line="257" w:lineRule="auto"/>
        <w:rPr>
          <w:sz w:val="20"/>
          <w:szCs w:val="20"/>
          <w:highlight w:val="yellow"/>
          <w:lang w:val="en-US"/>
        </w:rPr>
      </w:pPr>
      <w:r w:rsidRPr="00857B81">
        <w:rPr>
          <w:sz w:val="20"/>
          <w:szCs w:val="20"/>
          <w:highlight w:val="yellow"/>
          <w:lang w:val="en-US"/>
        </w:rPr>
        <w:t>Build capacity of municipal actors and traditional land authorities.</w:t>
      </w:r>
    </w:p>
    <w:p w14:paraId="3C0F55FE" w14:textId="40962ECD" w:rsidR="3655B4DE" w:rsidRPr="00857B81" w:rsidRDefault="3655B4DE" w:rsidP="00857B81">
      <w:pPr>
        <w:pStyle w:val="Paragraphedeliste"/>
        <w:numPr>
          <w:ilvl w:val="1"/>
          <w:numId w:val="70"/>
        </w:numPr>
        <w:spacing w:after="0" w:line="257" w:lineRule="auto"/>
        <w:rPr>
          <w:sz w:val="20"/>
          <w:szCs w:val="20"/>
          <w:highlight w:val="yellow"/>
          <w:lang w:val="en-US"/>
        </w:rPr>
      </w:pPr>
      <w:r w:rsidRPr="00857B81">
        <w:rPr>
          <w:sz w:val="20"/>
          <w:szCs w:val="20"/>
          <w:highlight w:val="yellow"/>
          <w:lang w:val="en-US"/>
        </w:rPr>
        <w:t>Launch public awareness campaigns on land rights and planning.</w:t>
      </w:r>
    </w:p>
    <w:p w14:paraId="2ED1C6A5" w14:textId="2E18043E" w:rsidR="3655B4DE" w:rsidRPr="00857B81" w:rsidRDefault="3655B4DE" w:rsidP="00857B81">
      <w:pPr>
        <w:spacing w:after="0" w:line="257" w:lineRule="auto"/>
        <w:rPr>
          <w:sz w:val="20"/>
          <w:szCs w:val="20"/>
          <w:highlight w:val="yellow"/>
          <w:lang w:val="en-US"/>
        </w:rPr>
      </w:pPr>
      <w:r w:rsidRPr="00857B81">
        <w:rPr>
          <w:sz w:val="20"/>
          <w:szCs w:val="20"/>
          <w:highlight w:val="yellow"/>
          <w:lang w:val="en-US"/>
        </w:rPr>
        <w:t xml:space="preserve"> </w:t>
      </w:r>
    </w:p>
    <w:p w14:paraId="06E1E995" w14:textId="60009A13" w:rsidR="3655B4DE" w:rsidRPr="00857B81" w:rsidRDefault="3655B4DE" w:rsidP="00857B81">
      <w:pPr>
        <w:spacing w:line="257" w:lineRule="auto"/>
        <w:ind w:left="187"/>
        <w:rPr>
          <w:sz w:val="20"/>
          <w:szCs w:val="20"/>
          <w:highlight w:val="yellow"/>
          <w:lang w:val="en-US"/>
        </w:rPr>
      </w:pPr>
      <w:r w:rsidRPr="00857B81">
        <w:rPr>
          <w:sz w:val="20"/>
          <w:szCs w:val="20"/>
          <w:highlight w:val="yellow"/>
          <w:lang w:val="en-US"/>
        </w:rPr>
        <w:t>It is expected to prepare Environmental and Social Impact Assessments (ESIAs) for the urban land use plans. The ESIA for projects, policies, and plans was formally introduced into Malian legislation by Decree No. 08-346/P-RM of June 26, 2008, relating to environmental and social impact studies. This decree was later replaced by Decree No. 2018-0991/P-RM of December 31, 2018, which specifies the rules and procedures applicable to environmental and social impact assessments. While the Decree does not refer to the Strategic Environmental and Social Assessment (SESA), it identifies the ESIA as the applicable procedure for assessing the environmental and social impacts of land-use plans. Indeed, among Category B projects subject to ESIA are “Territorial and Urban Planning Policies and Plans.”</w:t>
      </w:r>
    </w:p>
    <w:p w14:paraId="06DC9E5E" w14:textId="01C3050A" w:rsidR="0764FF73" w:rsidRPr="00857B81" w:rsidRDefault="0764FF73" w:rsidP="0764FF73">
      <w:pPr>
        <w:rPr>
          <w:color w:val="000000" w:themeColor="text1"/>
          <w:sz w:val="20"/>
          <w:szCs w:val="20"/>
          <w:highlight w:val="yellow"/>
          <w:lang w:val="en-US"/>
        </w:rPr>
      </w:pPr>
    </w:p>
    <w:p w14:paraId="640BF7BC" w14:textId="41A03D68" w:rsidR="004F7DB3" w:rsidRPr="00857B81" w:rsidRDefault="3967F488" w:rsidP="0764FF73">
      <w:pPr>
        <w:spacing w:after="0"/>
        <w:jc w:val="both"/>
        <w:rPr>
          <w:i/>
          <w:iCs/>
          <w:sz w:val="20"/>
          <w:szCs w:val="20"/>
          <w:highlight w:val="yellow"/>
          <w:u w:val="single"/>
          <w:lang w:val="en-US"/>
        </w:rPr>
      </w:pPr>
      <w:r w:rsidRPr="00857B81">
        <w:rPr>
          <w:i/>
          <w:iCs/>
          <w:color w:val="000000" w:themeColor="text1"/>
          <w:sz w:val="20"/>
          <w:szCs w:val="20"/>
          <w:highlight w:val="yellow"/>
          <w:u w:val="single"/>
          <w:lang w:val="en-US"/>
        </w:rPr>
        <w:t xml:space="preserve">Activity 1.1.1.3: </w:t>
      </w:r>
      <w:r w:rsidR="07C20179" w:rsidRPr="00857B81">
        <w:rPr>
          <w:i/>
          <w:iCs/>
          <w:sz w:val="20"/>
          <w:szCs w:val="20"/>
          <w:highlight w:val="yellow"/>
          <w:u w:val="single"/>
          <w:lang w:val="en-US"/>
        </w:rPr>
        <w:t xml:space="preserve"> Development of a Strategic Master Plan for the Economic Integration and Attractiveness of Greater Bamako and its Border Territories</w:t>
      </w:r>
    </w:p>
    <w:p w14:paraId="17D836C5" w14:textId="46B9B7E4" w:rsidR="004F7DB3" w:rsidRPr="00857B81" w:rsidRDefault="07C20179" w:rsidP="00857B81">
      <w:pPr>
        <w:spacing w:after="0"/>
        <w:jc w:val="both"/>
        <w:rPr>
          <w:i/>
          <w:iCs/>
          <w:sz w:val="20"/>
          <w:szCs w:val="20"/>
          <w:highlight w:val="yellow"/>
          <w:lang w:val="en-US"/>
        </w:rPr>
      </w:pPr>
      <w:r w:rsidRPr="00857B81">
        <w:rPr>
          <w:i/>
          <w:iCs/>
          <w:sz w:val="20"/>
          <w:szCs w:val="20"/>
          <w:highlight w:val="yellow"/>
          <w:lang w:val="en-US"/>
        </w:rPr>
        <w:t xml:space="preserve"> </w:t>
      </w:r>
    </w:p>
    <w:p w14:paraId="49C9B2A6" w14:textId="6878ED9F" w:rsidR="004F7DB3" w:rsidRPr="00857B81" w:rsidRDefault="07C20179" w:rsidP="00857B81">
      <w:pPr>
        <w:spacing w:after="0"/>
        <w:jc w:val="both"/>
        <w:rPr>
          <w:sz w:val="20"/>
          <w:szCs w:val="20"/>
          <w:highlight w:val="yellow"/>
          <w:lang w:val="en-US"/>
        </w:rPr>
      </w:pPr>
      <w:r w:rsidRPr="00857B81">
        <w:rPr>
          <w:sz w:val="20"/>
          <w:szCs w:val="20"/>
          <w:highlight w:val="yellow"/>
          <w:lang w:val="en-US"/>
        </w:rPr>
        <w:t xml:space="preserve">This integrated activity aims to position the municipalities of Greater Bamako—including those with cross-border dimensions—as dynamic, competitive, and inclusive economic hubs. It combines a territorial approach to </w:t>
      </w:r>
      <w:r w:rsidRPr="00857B81">
        <w:rPr>
          <w:sz w:val="20"/>
          <w:szCs w:val="20"/>
          <w:highlight w:val="yellow"/>
          <w:lang w:val="en-US"/>
        </w:rPr>
        <w:lastRenderedPageBreak/>
        <w:t>economic integration with strategic planning for economic attractiveness to foster long-term, inclusive, and sustainable development.</w:t>
      </w:r>
    </w:p>
    <w:p w14:paraId="01718B99" w14:textId="2D545F9C" w:rsidR="004F7DB3" w:rsidRPr="00857B81" w:rsidRDefault="07C20179" w:rsidP="00857B81">
      <w:pPr>
        <w:spacing w:after="0"/>
        <w:jc w:val="both"/>
        <w:rPr>
          <w:sz w:val="20"/>
          <w:szCs w:val="20"/>
          <w:highlight w:val="yellow"/>
          <w:lang w:val="en-US"/>
        </w:rPr>
      </w:pPr>
      <w:r w:rsidRPr="00857B81">
        <w:rPr>
          <w:sz w:val="20"/>
          <w:szCs w:val="20"/>
          <w:highlight w:val="yellow"/>
          <w:lang w:val="en-US"/>
        </w:rPr>
        <w:t xml:space="preserve">The activity will begin with a </w:t>
      </w:r>
      <w:r w:rsidRPr="00857B81">
        <w:rPr>
          <w:b/>
          <w:bCs/>
          <w:sz w:val="20"/>
          <w:szCs w:val="20"/>
          <w:highlight w:val="yellow"/>
          <w:lang w:val="en-US"/>
        </w:rPr>
        <w:t>diagnostic of economic dynamics and integration</w:t>
      </w:r>
      <w:r w:rsidRPr="00857B81">
        <w:rPr>
          <w:sz w:val="20"/>
          <w:szCs w:val="20"/>
          <w:highlight w:val="yellow"/>
          <w:lang w:val="en-US"/>
        </w:rPr>
        <w:t xml:space="preserve"> across the urban and peri-urban municipalities, placing a strong focus on </w:t>
      </w:r>
      <w:r w:rsidRPr="00857B81">
        <w:rPr>
          <w:b/>
          <w:bCs/>
          <w:sz w:val="20"/>
          <w:szCs w:val="20"/>
          <w:highlight w:val="yellow"/>
          <w:lang w:val="en-US"/>
        </w:rPr>
        <w:t>border territories and their role as formal and informal commercial corridors</w:t>
      </w:r>
      <w:r w:rsidRPr="00857B81">
        <w:rPr>
          <w:sz w:val="20"/>
          <w:szCs w:val="20"/>
          <w:highlight w:val="yellow"/>
          <w:lang w:val="en-US"/>
        </w:rPr>
        <w:t xml:space="preserve">. Through in-depth field surveys and consultations with local stakeholders, it will generate </w:t>
      </w:r>
      <w:r w:rsidRPr="00857B81">
        <w:rPr>
          <w:b/>
          <w:bCs/>
          <w:sz w:val="20"/>
          <w:szCs w:val="20"/>
          <w:highlight w:val="yellow"/>
          <w:lang w:val="en-US"/>
        </w:rPr>
        <w:t>evidence-based, gender-disaggregated data</w:t>
      </w:r>
      <w:r w:rsidRPr="00857B81">
        <w:rPr>
          <w:sz w:val="20"/>
          <w:szCs w:val="20"/>
          <w:highlight w:val="yellow"/>
          <w:lang w:val="en-US"/>
        </w:rPr>
        <w:t xml:space="preserve"> to inform a </w:t>
      </w:r>
      <w:r w:rsidRPr="00857B81">
        <w:rPr>
          <w:b/>
          <w:bCs/>
          <w:sz w:val="20"/>
          <w:szCs w:val="20"/>
          <w:highlight w:val="yellow"/>
          <w:lang w:val="en-US"/>
        </w:rPr>
        <w:t>socio-economic and environmental analysis</w:t>
      </w:r>
      <w:r w:rsidRPr="00857B81">
        <w:rPr>
          <w:sz w:val="20"/>
          <w:szCs w:val="20"/>
          <w:highlight w:val="yellow"/>
          <w:lang w:val="en-US"/>
        </w:rPr>
        <w:t xml:space="preserve"> of territorial integration. This analysis will highlight key economic drivers, mobility patterns, and institutional barriers, particularly those affecting women and vulnerable groups.</w:t>
      </w:r>
    </w:p>
    <w:p w14:paraId="36BEEF57" w14:textId="2960EFAB" w:rsidR="004F7DB3" w:rsidRPr="00857B81" w:rsidRDefault="07C20179" w:rsidP="00857B81">
      <w:pPr>
        <w:spacing w:after="0"/>
        <w:jc w:val="both"/>
        <w:rPr>
          <w:sz w:val="20"/>
          <w:szCs w:val="20"/>
          <w:highlight w:val="yellow"/>
          <w:lang w:val="en-US"/>
        </w:rPr>
      </w:pPr>
      <w:r w:rsidRPr="00857B81">
        <w:rPr>
          <w:sz w:val="20"/>
          <w:szCs w:val="20"/>
          <w:highlight w:val="yellow"/>
          <w:lang w:val="en-US"/>
        </w:rPr>
        <w:t xml:space="preserve">Building on this diagnostic, the project will proceed to </w:t>
      </w:r>
      <w:r w:rsidRPr="00857B81">
        <w:rPr>
          <w:b/>
          <w:bCs/>
          <w:sz w:val="20"/>
          <w:szCs w:val="20"/>
          <w:highlight w:val="yellow"/>
          <w:lang w:val="en-US"/>
        </w:rPr>
        <w:t>develop a Master Plan for Economic Attractiveness</w:t>
      </w:r>
      <w:r w:rsidRPr="00857B81">
        <w:rPr>
          <w:sz w:val="20"/>
          <w:szCs w:val="20"/>
          <w:highlight w:val="yellow"/>
          <w:lang w:val="en-US"/>
        </w:rPr>
        <w:t xml:space="preserve"> of Greater Bamako. This plan will capitalize on the findings of the territorial integration analysis to structure </w:t>
      </w:r>
      <w:r w:rsidRPr="00857B81">
        <w:rPr>
          <w:b/>
          <w:bCs/>
          <w:sz w:val="20"/>
          <w:szCs w:val="20"/>
          <w:highlight w:val="yellow"/>
          <w:lang w:val="en-US"/>
        </w:rPr>
        <w:t>priority economic sectors</w:t>
      </w:r>
      <w:r w:rsidRPr="00857B81">
        <w:rPr>
          <w:sz w:val="20"/>
          <w:szCs w:val="20"/>
          <w:highlight w:val="yellow"/>
          <w:lang w:val="en-US"/>
        </w:rPr>
        <w:t xml:space="preserve">, identify zones with high investment potential, and promote </w:t>
      </w:r>
      <w:r w:rsidRPr="00857B81">
        <w:rPr>
          <w:b/>
          <w:bCs/>
          <w:sz w:val="20"/>
          <w:szCs w:val="20"/>
          <w:highlight w:val="yellow"/>
          <w:lang w:val="en-US"/>
        </w:rPr>
        <w:t>balanced development across core and peripheral areas</w:t>
      </w:r>
      <w:r w:rsidRPr="00857B81">
        <w:rPr>
          <w:sz w:val="20"/>
          <w:szCs w:val="20"/>
          <w:highlight w:val="yellow"/>
          <w:lang w:val="en-US"/>
        </w:rPr>
        <w:t>.</w:t>
      </w:r>
    </w:p>
    <w:p w14:paraId="58C9725C" w14:textId="37FF7AFE" w:rsidR="004F7DB3" w:rsidRPr="00857B81" w:rsidRDefault="07C20179" w:rsidP="00857B81">
      <w:pPr>
        <w:spacing w:after="0"/>
        <w:jc w:val="both"/>
        <w:rPr>
          <w:sz w:val="20"/>
          <w:szCs w:val="20"/>
          <w:highlight w:val="yellow"/>
          <w:lang w:val="en-US"/>
        </w:rPr>
      </w:pPr>
      <w:r w:rsidRPr="00857B81">
        <w:rPr>
          <w:sz w:val="20"/>
          <w:szCs w:val="20"/>
          <w:highlight w:val="yellow"/>
          <w:lang w:val="en-US"/>
        </w:rPr>
        <w:t>Key deliverables of the integrated activity will include:</w:t>
      </w:r>
    </w:p>
    <w:p w14:paraId="746C1991" w14:textId="2EA46060" w:rsidR="004F7DB3" w:rsidRPr="00857B81" w:rsidRDefault="07C20179" w:rsidP="00857B81">
      <w:pPr>
        <w:pStyle w:val="Paragraphedeliste"/>
        <w:numPr>
          <w:ilvl w:val="0"/>
          <w:numId w:val="69"/>
        </w:numPr>
        <w:spacing w:after="0"/>
        <w:jc w:val="both"/>
        <w:rPr>
          <w:sz w:val="20"/>
          <w:szCs w:val="20"/>
          <w:highlight w:val="yellow"/>
          <w:lang w:val="en-US"/>
        </w:rPr>
      </w:pPr>
      <w:r w:rsidRPr="00857B81">
        <w:rPr>
          <w:sz w:val="20"/>
          <w:szCs w:val="20"/>
          <w:highlight w:val="yellow"/>
          <w:lang w:val="en-US"/>
        </w:rPr>
        <w:t xml:space="preserve">A Municipal Competitiveness Report, covering urban and border </w:t>
      </w:r>
      <w:proofErr w:type="gramStart"/>
      <w:r w:rsidRPr="00857B81">
        <w:rPr>
          <w:sz w:val="20"/>
          <w:szCs w:val="20"/>
          <w:highlight w:val="yellow"/>
          <w:lang w:val="en-US"/>
        </w:rPr>
        <w:t>municipalities;</w:t>
      </w:r>
      <w:proofErr w:type="gramEnd"/>
    </w:p>
    <w:p w14:paraId="1B58D186" w14:textId="4F606D9A" w:rsidR="004F7DB3" w:rsidRPr="00857B81" w:rsidRDefault="07C20179" w:rsidP="00857B81">
      <w:pPr>
        <w:pStyle w:val="Paragraphedeliste"/>
        <w:numPr>
          <w:ilvl w:val="0"/>
          <w:numId w:val="69"/>
        </w:numPr>
        <w:spacing w:after="0"/>
        <w:jc w:val="both"/>
        <w:rPr>
          <w:sz w:val="20"/>
          <w:szCs w:val="20"/>
          <w:highlight w:val="yellow"/>
          <w:lang w:val="en-US"/>
        </w:rPr>
      </w:pPr>
      <w:r w:rsidRPr="00857B81">
        <w:rPr>
          <w:sz w:val="20"/>
          <w:szCs w:val="20"/>
          <w:highlight w:val="yellow"/>
          <w:lang w:val="en-US"/>
        </w:rPr>
        <w:t xml:space="preserve">A mapping of economic poles and cross-border value </w:t>
      </w:r>
      <w:proofErr w:type="gramStart"/>
      <w:r w:rsidRPr="00857B81">
        <w:rPr>
          <w:sz w:val="20"/>
          <w:szCs w:val="20"/>
          <w:highlight w:val="yellow"/>
          <w:lang w:val="en-US"/>
        </w:rPr>
        <w:t>chains;</w:t>
      </w:r>
      <w:proofErr w:type="gramEnd"/>
    </w:p>
    <w:p w14:paraId="06F5DF63" w14:textId="50AA6250" w:rsidR="004F7DB3" w:rsidRPr="00857B81" w:rsidRDefault="07C20179" w:rsidP="00857B81">
      <w:pPr>
        <w:pStyle w:val="Paragraphedeliste"/>
        <w:numPr>
          <w:ilvl w:val="0"/>
          <w:numId w:val="69"/>
        </w:numPr>
        <w:spacing w:after="0"/>
        <w:jc w:val="both"/>
        <w:rPr>
          <w:sz w:val="20"/>
          <w:szCs w:val="20"/>
          <w:highlight w:val="yellow"/>
          <w:lang w:val="en-US"/>
        </w:rPr>
      </w:pPr>
      <w:r w:rsidRPr="00857B81">
        <w:rPr>
          <w:sz w:val="20"/>
          <w:szCs w:val="20"/>
          <w:highlight w:val="yellow"/>
          <w:lang w:val="en-US"/>
        </w:rPr>
        <w:t xml:space="preserve">A portfolio of bankable projects tailored to regional strengths and inclusive </w:t>
      </w:r>
      <w:proofErr w:type="gramStart"/>
      <w:r w:rsidRPr="00857B81">
        <w:rPr>
          <w:sz w:val="20"/>
          <w:szCs w:val="20"/>
          <w:highlight w:val="yellow"/>
          <w:lang w:val="en-US"/>
        </w:rPr>
        <w:t>growth;</w:t>
      </w:r>
      <w:proofErr w:type="gramEnd"/>
    </w:p>
    <w:p w14:paraId="4A67A571" w14:textId="78391D0B" w:rsidR="004F7DB3" w:rsidRPr="00857B81" w:rsidRDefault="07C20179" w:rsidP="00857B81">
      <w:pPr>
        <w:pStyle w:val="Paragraphedeliste"/>
        <w:numPr>
          <w:ilvl w:val="0"/>
          <w:numId w:val="69"/>
        </w:numPr>
        <w:spacing w:after="0"/>
        <w:jc w:val="both"/>
        <w:rPr>
          <w:sz w:val="20"/>
          <w:szCs w:val="20"/>
          <w:highlight w:val="yellow"/>
          <w:lang w:val="en-US"/>
        </w:rPr>
      </w:pPr>
      <w:r w:rsidRPr="00857B81">
        <w:rPr>
          <w:sz w:val="20"/>
          <w:szCs w:val="20"/>
          <w:highlight w:val="yellow"/>
          <w:lang w:val="en-US"/>
        </w:rPr>
        <w:t xml:space="preserve">A territorial marketing and branding </w:t>
      </w:r>
      <w:proofErr w:type="gramStart"/>
      <w:r w:rsidRPr="00857B81">
        <w:rPr>
          <w:sz w:val="20"/>
          <w:szCs w:val="20"/>
          <w:highlight w:val="yellow"/>
          <w:lang w:val="en-US"/>
        </w:rPr>
        <w:t>strategy;</w:t>
      </w:r>
      <w:proofErr w:type="gramEnd"/>
    </w:p>
    <w:p w14:paraId="39D43184" w14:textId="3C499257" w:rsidR="004F7DB3" w:rsidRPr="00857B81" w:rsidRDefault="07C20179" w:rsidP="00857B81">
      <w:pPr>
        <w:pStyle w:val="Paragraphedeliste"/>
        <w:numPr>
          <w:ilvl w:val="0"/>
          <w:numId w:val="69"/>
        </w:numPr>
        <w:spacing w:after="0"/>
        <w:jc w:val="both"/>
        <w:rPr>
          <w:sz w:val="20"/>
          <w:szCs w:val="20"/>
          <w:highlight w:val="yellow"/>
          <w:lang w:val="en-US"/>
        </w:rPr>
      </w:pPr>
      <w:r w:rsidRPr="00857B81">
        <w:rPr>
          <w:sz w:val="20"/>
          <w:szCs w:val="20"/>
          <w:highlight w:val="yellow"/>
          <w:lang w:val="en-US"/>
        </w:rPr>
        <w:t xml:space="preserve">A costed action plan and implementation roadmap for inclusive economic </w:t>
      </w:r>
      <w:proofErr w:type="gramStart"/>
      <w:r w:rsidRPr="00857B81">
        <w:rPr>
          <w:sz w:val="20"/>
          <w:szCs w:val="20"/>
          <w:highlight w:val="yellow"/>
          <w:lang w:val="en-US"/>
        </w:rPr>
        <w:t>development;</w:t>
      </w:r>
      <w:proofErr w:type="gramEnd"/>
    </w:p>
    <w:p w14:paraId="34F36964" w14:textId="33956D9A" w:rsidR="004F7DB3" w:rsidRPr="00857B81" w:rsidRDefault="07C20179" w:rsidP="00857B81">
      <w:pPr>
        <w:pStyle w:val="Paragraphedeliste"/>
        <w:numPr>
          <w:ilvl w:val="0"/>
          <w:numId w:val="69"/>
        </w:numPr>
        <w:spacing w:after="0"/>
        <w:jc w:val="both"/>
        <w:rPr>
          <w:sz w:val="20"/>
          <w:szCs w:val="20"/>
          <w:highlight w:val="yellow"/>
          <w:lang w:val="en-US"/>
        </w:rPr>
      </w:pPr>
      <w:r w:rsidRPr="00857B81">
        <w:rPr>
          <w:sz w:val="20"/>
          <w:szCs w:val="20"/>
          <w:highlight w:val="yellow"/>
          <w:lang w:val="en-US"/>
        </w:rPr>
        <w:t xml:space="preserve">A digital platform for investment promotion and stakeholder </w:t>
      </w:r>
      <w:proofErr w:type="gramStart"/>
      <w:r w:rsidRPr="00857B81">
        <w:rPr>
          <w:sz w:val="20"/>
          <w:szCs w:val="20"/>
          <w:highlight w:val="yellow"/>
          <w:lang w:val="en-US"/>
        </w:rPr>
        <w:t>engagement;</w:t>
      </w:r>
      <w:proofErr w:type="gramEnd"/>
    </w:p>
    <w:p w14:paraId="55FF3E99" w14:textId="7D1575DC" w:rsidR="004F7DB3" w:rsidRPr="00857B81" w:rsidRDefault="07C20179" w:rsidP="00857B81">
      <w:pPr>
        <w:pStyle w:val="Paragraphedeliste"/>
        <w:numPr>
          <w:ilvl w:val="0"/>
          <w:numId w:val="69"/>
        </w:numPr>
        <w:spacing w:after="0"/>
        <w:jc w:val="both"/>
        <w:rPr>
          <w:sz w:val="20"/>
          <w:szCs w:val="20"/>
          <w:highlight w:val="yellow"/>
          <w:lang w:val="en-US"/>
        </w:rPr>
      </w:pPr>
      <w:r w:rsidRPr="00857B81">
        <w:rPr>
          <w:sz w:val="20"/>
          <w:szCs w:val="20"/>
          <w:highlight w:val="yellow"/>
          <w:lang w:val="en-US"/>
        </w:rPr>
        <w:t>Recommendations for fiscal and institutional measures to enhance economic inclusion and resilience.</w:t>
      </w:r>
    </w:p>
    <w:p w14:paraId="57B0064F" w14:textId="74FF043D" w:rsidR="004F7DB3" w:rsidRPr="00857B81" w:rsidRDefault="07C20179" w:rsidP="00857B81">
      <w:pPr>
        <w:spacing w:after="0"/>
        <w:jc w:val="both"/>
        <w:rPr>
          <w:sz w:val="20"/>
          <w:szCs w:val="20"/>
          <w:highlight w:val="yellow"/>
          <w:lang w:val="en-US"/>
        </w:rPr>
      </w:pPr>
      <w:r w:rsidRPr="00857B81">
        <w:rPr>
          <w:sz w:val="20"/>
          <w:szCs w:val="20"/>
          <w:highlight w:val="yellow"/>
          <w:lang w:val="en-US"/>
        </w:rPr>
        <w:t xml:space="preserve"> </w:t>
      </w:r>
    </w:p>
    <w:p w14:paraId="05ECBD59" w14:textId="7538DB68" w:rsidR="004F7DB3" w:rsidRPr="00857B81" w:rsidRDefault="07C20179" w:rsidP="00857B81">
      <w:pPr>
        <w:spacing w:after="0"/>
        <w:jc w:val="both"/>
        <w:rPr>
          <w:i/>
          <w:iCs/>
          <w:color w:val="000000" w:themeColor="text1"/>
          <w:sz w:val="20"/>
          <w:szCs w:val="20"/>
          <w:highlight w:val="yellow"/>
          <w:u w:val="single"/>
          <w:lang w:val="en-US"/>
        </w:rPr>
      </w:pPr>
      <w:r w:rsidRPr="00857B81">
        <w:rPr>
          <w:sz w:val="20"/>
          <w:szCs w:val="20"/>
          <w:highlight w:val="yellow"/>
          <w:lang w:val="en-US"/>
        </w:rPr>
        <w:t>By bridging economic integration and attractiveness, this activity will enable local and national authorities to make informed decisions, attract private investment, and promote territorial cohesion. It will also foster synergies with planning tools, public-private partnerships, and climate-resilient infrastructure investments under other project components</w:t>
      </w:r>
      <w:r w:rsidRPr="00857B81">
        <w:rPr>
          <w:i/>
          <w:iCs/>
          <w:color w:val="000000" w:themeColor="text1"/>
          <w:sz w:val="20"/>
          <w:szCs w:val="20"/>
          <w:highlight w:val="yellow"/>
          <w:u w:val="single"/>
          <w:lang w:val="en-US"/>
        </w:rPr>
        <w:t xml:space="preserve"> </w:t>
      </w:r>
    </w:p>
    <w:p w14:paraId="743A72D4" w14:textId="5E5A82A7" w:rsidR="004F7DB3" w:rsidRPr="00857B81" w:rsidRDefault="3967F488" w:rsidP="0764FF73">
      <w:pPr>
        <w:rPr>
          <w:i/>
          <w:iCs/>
          <w:color w:val="000000" w:themeColor="text1"/>
          <w:sz w:val="20"/>
          <w:szCs w:val="20"/>
          <w:highlight w:val="yellow"/>
          <w:u w:val="single"/>
          <w:lang w:val="en-US"/>
        </w:rPr>
      </w:pPr>
      <w:r w:rsidRPr="00857B81">
        <w:rPr>
          <w:i/>
          <w:iCs/>
          <w:color w:val="000000" w:themeColor="text1"/>
          <w:sz w:val="20"/>
          <w:szCs w:val="20"/>
          <w:highlight w:val="yellow"/>
          <w:u w:val="single"/>
          <w:lang w:val="en-US"/>
        </w:rPr>
        <w:t> </w:t>
      </w:r>
    </w:p>
    <w:p w14:paraId="759B57F9" w14:textId="789F83A9" w:rsidR="004F7DB3" w:rsidRPr="00E86501" w:rsidRDefault="1021F2B7" w:rsidP="0764FF73">
      <w:pPr>
        <w:rPr>
          <w:i/>
          <w:iCs/>
          <w:color w:val="000000" w:themeColor="text1"/>
          <w:sz w:val="20"/>
          <w:szCs w:val="20"/>
          <w:u w:val="single"/>
          <w:lang w:val="en-US"/>
        </w:rPr>
      </w:pPr>
      <w:r w:rsidRPr="00E86501">
        <w:rPr>
          <w:i/>
          <w:iCs/>
          <w:color w:val="000000" w:themeColor="text1"/>
          <w:sz w:val="20"/>
          <w:szCs w:val="20"/>
          <w:u w:val="single"/>
          <w:lang w:val="en-US"/>
        </w:rPr>
        <w:t xml:space="preserve">Activity </w:t>
      </w:r>
      <w:proofErr w:type="gramStart"/>
      <w:r w:rsidRPr="00E86501">
        <w:rPr>
          <w:i/>
          <w:iCs/>
          <w:color w:val="000000" w:themeColor="text1"/>
          <w:sz w:val="20"/>
          <w:szCs w:val="20"/>
          <w:u w:val="single"/>
          <w:lang w:val="en-US"/>
        </w:rPr>
        <w:t>1.1.1.</w:t>
      </w:r>
      <w:r w:rsidR="08C8F3FE" w:rsidRPr="00E86501">
        <w:rPr>
          <w:i/>
          <w:iCs/>
          <w:color w:val="000000" w:themeColor="text1"/>
          <w:sz w:val="20"/>
          <w:szCs w:val="20"/>
          <w:u w:val="single"/>
          <w:lang w:val="en-US"/>
        </w:rPr>
        <w:t>4</w:t>
      </w:r>
      <w:r w:rsidRPr="00E86501">
        <w:rPr>
          <w:i/>
          <w:iCs/>
          <w:color w:val="000000" w:themeColor="text1"/>
          <w:sz w:val="20"/>
          <w:szCs w:val="20"/>
          <w:u w:val="single"/>
          <w:lang w:val="en-US"/>
        </w:rPr>
        <w:t>  Conduct</w:t>
      </w:r>
      <w:proofErr w:type="gramEnd"/>
      <w:r w:rsidRPr="00E86501">
        <w:rPr>
          <w:i/>
          <w:iCs/>
          <w:color w:val="000000" w:themeColor="text1"/>
          <w:sz w:val="20"/>
          <w:szCs w:val="20"/>
          <w:u w:val="single"/>
          <w:lang w:val="en-US"/>
        </w:rPr>
        <w:t xml:space="preserve"> a Strategic study for the creation of secondary urban hubs connected around Bamako (Koulikoro, S</w:t>
      </w:r>
      <w:r w:rsidR="289A26D5" w:rsidRPr="00E86501">
        <w:rPr>
          <w:i/>
          <w:iCs/>
          <w:color w:val="000000" w:themeColor="text1"/>
          <w:sz w:val="20"/>
          <w:szCs w:val="20"/>
          <w:u w:val="single"/>
          <w:lang w:val="en-US"/>
        </w:rPr>
        <w:t>Kati</w:t>
      </w:r>
      <w:r w:rsidRPr="00E86501">
        <w:rPr>
          <w:i/>
          <w:iCs/>
          <w:color w:val="000000" w:themeColor="text1"/>
          <w:sz w:val="20"/>
          <w:szCs w:val="20"/>
          <w:u w:val="single"/>
          <w:lang w:val="en-US"/>
        </w:rPr>
        <w:t>). </w:t>
      </w:r>
    </w:p>
    <w:p w14:paraId="57F4F04F" w14:textId="420B920F" w:rsidR="3967F488" w:rsidRPr="00857B81" w:rsidRDefault="3967F488" w:rsidP="0764FF73">
      <w:pPr>
        <w:pStyle w:val="Paragraphedeliste"/>
        <w:numPr>
          <w:ilvl w:val="0"/>
          <w:numId w:val="250"/>
        </w:numPr>
        <w:rPr>
          <w:sz w:val="20"/>
          <w:szCs w:val="20"/>
          <w:highlight w:val="yellow"/>
          <w:lang w:val="en-US"/>
        </w:rPr>
      </w:pPr>
    </w:p>
    <w:p w14:paraId="0084670B" w14:textId="66D15412" w:rsidR="0C7B6C6D" w:rsidRPr="00857B81" w:rsidRDefault="0C7B6C6D" w:rsidP="0764FF73">
      <w:pPr>
        <w:rPr>
          <w:sz w:val="20"/>
          <w:szCs w:val="20"/>
          <w:highlight w:val="yellow"/>
          <w:lang w:val="en-US"/>
        </w:rPr>
      </w:pPr>
      <w:r w:rsidRPr="00857B81">
        <w:rPr>
          <w:sz w:val="20"/>
          <w:szCs w:val="20"/>
          <w:highlight w:val="yellow"/>
          <w:lang w:val="en-US"/>
        </w:rPr>
        <w:t xml:space="preserve">This activity aims to conduct a comprehensive strategic study to identify, assess, and plan the development of secondary urban hubs in </w:t>
      </w:r>
      <w:r w:rsidRPr="00857B81">
        <w:rPr>
          <w:b/>
          <w:bCs/>
          <w:sz w:val="20"/>
          <w:szCs w:val="20"/>
          <w:highlight w:val="yellow"/>
          <w:lang w:val="en-US"/>
        </w:rPr>
        <w:t xml:space="preserve">Koulikoro and Kati </w:t>
      </w:r>
      <w:r w:rsidRPr="00857B81">
        <w:rPr>
          <w:sz w:val="20"/>
          <w:szCs w:val="20"/>
          <w:highlight w:val="yellow"/>
          <w:lang w:val="en-US"/>
        </w:rPr>
        <w:t xml:space="preserve">as part of a broader strategy to promote </w:t>
      </w:r>
      <w:r w:rsidRPr="00857B81">
        <w:rPr>
          <w:b/>
          <w:bCs/>
          <w:sz w:val="20"/>
          <w:szCs w:val="20"/>
          <w:highlight w:val="yellow"/>
          <w:lang w:val="en-US"/>
        </w:rPr>
        <w:t xml:space="preserve">polycentric and </w:t>
      </w:r>
      <w:r w:rsidRPr="00857B81">
        <w:rPr>
          <w:sz w:val="20"/>
          <w:szCs w:val="20"/>
          <w:highlight w:val="yellow"/>
          <w:lang w:val="en-US"/>
        </w:rPr>
        <w:t>balanced urban development in Mali.</w:t>
      </w:r>
    </w:p>
    <w:p w14:paraId="5C641987" w14:textId="43A6AAE2" w:rsidR="0C7B6C6D" w:rsidRPr="00857B81" w:rsidRDefault="0C7B6C6D" w:rsidP="00857B81">
      <w:pPr>
        <w:spacing w:after="0"/>
        <w:jc w:val="both"/>
        <w:rPr>
          <w:highlight w:val="yellow"/>
          <w:lang w:val="en-US"/>
        </w:rPr>
      </w:pPr>
      <w:r w:rsidRPr="00857B81">
        <w:rPr>
          <w:sz w:val="20"/>
          <w:szCs w:val="20"/>
          <w:highlight w:val="yellow"/>
          <w:lang w:val="en-US"/>
        </w:rPr>
        <w:t>The rationale for this activity stems from the increasing demographic pressure, unregulated urban sprawl, and infrastructure overstretch in Bamako, which have exacerbated socio-economic disparities, environmental degradation, and institutional bottlenecks. By investing in the strategic positioning of surrounding secondary cities, the project seeks to:</w:t>
      </w:r>
    </w:p>
    <w:p w14:paraId="66DEE6C6" w14:textId="65E87C42" w:rsidR="0C7B6C6D" w:rsidRPr="00857B81" w:rsidRDefault="0C7B6C6D" w:rsidP="00857B81">
      <w:pPr>
        <w:pStyle w:val="Paragraphedeliste"/>
        <w:numPr>
          <w:ilvl w:val="0"/>
          <w:numId w:val="250"/>
        </w:numPr>
        <w:spacing w:after="0"/>
        <w:jc w:val="both"/>
        <w:rPr>
          <w:highlight w:val="yellow"/>
          <w:lang w:val="en-US"/>
        </w:rPr>
      </w:pPr>
      <w:r w:rsidRPr="00857B81">
        <w:rPr>
          <w:sz w:val="20"/>
          <w:szCs w:val="20"/>
          <w:highlight w:val="yellow"/>
          <w:lang w:val="en-US"/>
        </w:rPr>
        <w:t xml:space="preserve">Alleviate demographic and functional pressure on Bamako, which currently concentrates over 40% of the urban population and national economic </w:t>
      </w:r>
      <w:proofErr w:type="gramStart"/>
      <w:r w:rsidRPr="00857B81">
        <w:rPr>
          <w:sz w:val="20"/>
          <w:szCs w:val="20"/>
          <w:highlight w:val="yellow"/>
          <w:lang w:val="en-US"/>
        </w:rPr>
        <w:t>activities;</w:t>
      </w:r>
      <w:proofErr w:type="gramEnd"/>
    </w:p>
    <w:p w14:paraId="2F775D18" w14:textId="76CD79D4" w:rsidR="0C7B6C6D" w:rsidRPr="00857B81" w:rsidRDefault="0C7B6C6D" w:rsidP="00857B81">
      <w:pPr>
        <w:pStyle w:val="Paragraphedeliste"/>
        <w:numPr>
          <w:ilvl w:val="0"/>
          <w:numId w:val="250"/>
        </w:numPr>
        <w:spacing w:after="0"/>
        <w:jc w:val="both"/>
        <w:rPr>
          <w:highlight w:val="yellow"/>
          <w:lang w:val="en-US"/>
        </w:rPr>
      </w:pPr>
      <w:r w:rsidRPr="00857B81">
        <w:rPr>
          <w:sz w:val="20"/>
          <w:szCs w:val="20"/>
          <w:highlight w:val="yellow"/>
          <w:lang w:val="en-US"/>
        </w:rPr>
        <w:t xml:space="preserve">Promote spatial and economic rebalancing, reducing regional inequalities and stimulating development </w:t>
      </w:r>
      <w:proofErr w:type="gramStart"/>
      <w:r w:rsidRPr="00857B81">
        <w:rPr>
          <w:sz w:val="20"/>
          <w:szCs w:val="20"/>
          <w:highlight w:val="yellow"/>
          <w:lang w:val="en-US"/>
        </w:rPr>
        <w:t>corridors;</w:t>
      </w:r>
      <w:proofErr w:type="gramEnd"/>
    </w:p>
    <w:p w14:paraId="49E171C6" w14:textId="341620BF" w:rsidR="0C7B6C6D" w:rsidRPr="00857B81" w:rsidRDefault="0C7B6C6D" w:rsidP="00857B81">
      <w:pPr>
        <w:pStyle w:val="Paragraphedeliste"/>
        <w:numPr>
          <w:ilvl w:val="0"/>
          <w:numId w:val="250"/>
        </w:numPr>
        <w:spacing w:after="0"/>
        <w:jc w:val="both"/>
        <w:rPr>
          <w:highlight w:val="yellow"/>
          <w:lang w:val="en-US"/>
        </w:rPr>
      </w:pPr>
      <w:r w:rsidRPr="00857B81">
        <w:rPr>
          <w:sz w:val="20"/>
          <w:szCs w:val="20"/>
          <w:highlight w:val="yellow"/>
          <w:lang w:val="en-US"/>
        </w:rPr>
        <w:t>Offer viable, resilient, and inclusive alternatives for urban settlement, economic diversification, and service delivery outside the capital.</w:t>
      </w:r>
    </w:p>
    <w:p w14:paraId="16CCBF72" w14:textId="2264290B" w:rsidR="0C7B6C6D" w:rsidRPr="00857B81" w:rsidRDefault="0C7B6C6D" w:rsidP="0764FF73">
      <w:pPr>
        <w:spacing w:after="0"/>
        <w:jc w:val="both"/>
        <w:rPr>
          <w:highlight w:val="yellow"/>
          <w:lang w:val="en-US"/>
        </w:rPr>
      </w:pPr>
      <w:r w:rsidRPr="00857B81">
        <w:rPr>
          <w:sz w:val="20"/>
          <w:szCs w:val="20"/>
          <w:highlight w:val="yellow"/>
          <w:lang w:val="en-US"/>
        </w:rPr>
        <w:t>This study will provide a roadmap for structuring integrated development strategies in each target city, based on an evidence-based diagnosis of their potential and constraints.</w:t>
      </w:r>
    </w:p>
    <w:p w14:paraId="15C572A0" w14:textId="38D7E5D0" w:rsidR="0C7B6C6D" w:rsidRPr="00857B81" w:rsidRDefault="0C7B6C6D" w:rsidP="00857B81">
      <w:pPr>
        <w:pStyle w:val="Paragraphedeliste"/>
        <w:numPr>
          <w:ilvl w:val="0"/>
          <w:numId w:val="250"/>
        </w:numPr>
        <w:spacing w:after="0"/>
        <w:jc w:val="both"/>
        <w:rPr>
          <w:highlight w:val="yellow"/>
          <w:lang w:val="en-US"/>
        </w:rPr>
      </w:pPr>
      <w:r w:rsidRPr="00857B81">
        <w:rPr>
          <w:sz w:val="20"/>
          <w:szCs w:val="20"/>
          <w:highlight w:val="yellow"/>
          <w:lang w:val="en-US"/>
        </w:rPr>
        <w:t>Key areas of analysis will include:</w:t>
      </w:r>
    </w:p>
    <w:p w14:paraId="1455869A" w14:textId="46117843" w:rsidR="0C7B6C6D" w:rsidRPr="00857B81" w:rsidRDefault="0C7B6C6D" w:rsidP="00857B81">
      <w:pPr>
        <w:pStyle w:val="Paragraphedeliste"/>
        <w:numPr>
          <w:ilvl w:val="0"/>
          <w:numId w:val="250"/>
        </w:numPr>
        <w:spacing w:after="0"/>
        <w:jc w:val="both"/>
        <w:rPr>
          <w:highlight w:val="yellow"/>
          <w:lang w:val="en-US"/>
        </w:rPr>
      </w:pPr>
      <w:r w:rsidRPr="00857B81">
        <w:rPr>
          <w:sz w:val="20"/>
          <w:szCs w:val="20"/>
          <w:highlight w:val="yellow"/>
          <w:lang w:val="en-US"/>
        </w:rPr>
        <w:t xml:space="preserve">Demographic and economic potential of the selected cities and their hinterlands, including growth trends, productive sectors, and labor market </w:t>
      </w:r>
      <w:proofErr w:type="gramStart"/>
      <w:r w:rsidRPr="00857B81">
        <w:rPr>
          <w:sz w:val="20"/>
          <w:szCs w:val="20"/>
          <w:highlight w:val="yellow"/>
          <w:lang w:val="en-US"/>
        </w:rPr>
        <w:t>dynamics;</w:t>
      </w:r>
      <w:proofErr w:type="gramEnd"/>
    </w:p>
    <w:p w14:paraId="33610876" w14:textId="640B71CD" w:rsidR="0C7B6C6D" w:rsidRPr="00857B81" w:rsidRDefault="0C7B6C6D" w:rsidP="00857B81">
      <w:pPr>
        <w:pStyle w:val="Paragraphedeliste"/>
        <w:numPr>
          <w:ilvl w:val="0"/>
          <w:numId w:val="250"/>
        </w:numPr>
        <w:spacing w:after="0"/>
        <w:jc w:val="both"/>
        <w:rPr>
          <w:highlight w:val="yellow"/>
          <w:lang w:val="en-US"/>
        </w:rPr>
      </w:pPr>
      <w:r w:rsidRPr="00857B81">
        <w:rPr>
          <w:sz w:val="20"/>
          <w:szCs w:val="20"/>
          <w:highlight w:val="yellow"/>
          <w:lang w:val="en-US"/>
        </w:rPr>
        <w:t xml:space="preserve">Multimodal connectivity and integration with Bamako, including the status and prospects of road networks, railway links, river transport, and logistics </w:t>
      </w:r>
      <w:proofErr w:type="gramStart"/>
      <w:r w:rsidRPr="00857B81">
        <w:rPr>
          <w:sz w:val="20"/>
          <w:szCs w:val="20"/>
          <w:highlight w:val="yellow"/>
          <w:lang w:val="en-US"/>
        </w:rPr>
        <w:t>corridors;</w:t>
      </w:r>
      <w:proofErr w:type="gramEnd"/>
    </w:p>
    <w:p w14:paraId="29A7108B" w14:textId="31F7CD15" w:rsidR="0C7B6C6D" w:rsidRPr="00857B81" w:rsidRDefault="0C7B6C6D" w:rsidP="00857B81">
      <w:pPr>
        <w:pStyle w:val="Paragraphedeliste"/>
        <w:numPr>
          <w:ilvl w:val="0"/>
          <w:numId w:val="250"/>
        </w:numPr>
        <w:spacing w:after="0"/>
        <w:jc w:val="both"/>
        <w:rPr>
          <w:highlight w:val="yellow"/>
          <w:lang w:val="en-US"/>
        </w:rPr>
      </w:pPr>
      <w:r w:rsidRPr="00857B81">
        <w:rPr>
          <w:sz w:val="20"/>
          <w:szCs w:val="20"/>
          <w:highlight w:val="yellow"/>
          <w:lang w:val="en-US"/>
        </w:rPr>
        <w:lastRenderedPageBreak/>
        <w:t xml:space="preserve">Urban land dynamics, including the legal status, ownership patterns, and availability of </w:t>
      </w:r>
      <w:proofErr w:type="spellStart"/>
      <w:r w:rsidRPr="00857B81">
        <w:rPr>
          <w:sz w:val="20"/>
          <w:szCs w:val="20"/>
          <w:highlight w:val="yellow"/>
          <w:lang w:val="en-US"/>
        </w:rPr>
        <w:t>urbanizable</w:t>
      </w:r>
      <w:proofErr w:type="spellEnd"/>
      <w:r w:rsidRPr="00857B81">
        <w:rPr>
          <w:sz w:val="20"/>
          <w:szCs w:val="20"/>
          <w:highlight w:val="yellow"/>
          <w:lang w:val="en-US"/>
        </w:rPr>
        <w:t xml:space="preserve"> land, with a focus on institutional and customary </w:t>
      </w:r>
      <w:proofErr w:type="gramStart"/>
      <w:r w:rsidRPr="00857B81">
        <w:rPr>
          <w:sz w:val="20"/>
          <w:szCs w:val="20"/>
          <w:highlight w:val="yellow"/>
          <w:lang w:val="en-US"/>
        </w:rPr>
        <w:t>constraints;</w:t>
      </w:r>
      <w:proofErr w:type="gramEnd"/>
    </w:p>
    <w:p w14:paraId="05E08CAE" w14:textId="735BE410" w:rsidR="0C7B6C6D" w:rsidRPr="00857B81" w:rsidRDefault="0C7B6C6D" w:rsidP="00857B81">
      <w:pPr>
        <w:pStyle w:val="Paragraphedeliste"/>
        <w:numPr>
          <w:ilvl w:val="0"/>
          <w:numId w:val="250"/>
        </w:numPr>
        <w:spacing w:after="0"/>
        <w:jc w:val="both"/>
        <w:rPr>
          <w:highlight w:val="yellow"/>
          <w:lang w:val="en-US"/>
        </w:rPr>
      </w:pPr>
      <w:r w:rsidRPr="00857B81">
        <w:rPr>
          <w:sz w:val="20"/>
          <w:szCs w:val="20"/>
          <w:highlight w:val="yellow"/>
          <w:lang w:val="en-US"/>
        </w:rPr>
        <w:t xml:space="preserve">Environmental and climate vulnerabilities, such as exposure to floods, heat waves, pollution, and loss of natural ecosystems due to land </w:t>
      </w:r>
      <w:proofErr w:type="gramStart"/>
      <w:r w:rsidRPr="00857B81">
        <w:rPr>
          <w:sz w:val="20"/>
          <w:szCs w:val="20"/>
          <w:highlight w:val="yellow"/>
          <w:lang w:val="en-US"/>
        </w:rPr>
        <w:t>artificialization;</w:t>
      </w:r>
      <w:proofErr w:type="gramEnd"/>
    </w:p>
    <w:p w14:paraId="2A7F4525" w14:textId="1F73C3BD" w:rsidR="0C7B6C6D" w:rsidRPr="00857B81" w:rsidRDefault="0C7B6C6D" w:rsidP="00857B81">
      <w:pPr>
        <w:pStyle w:val="Paragraphedeliste"/>
        <w:numPr>
          <w:ilvl w:val="0"/>
          <w:numId w:val="250"/>
        </w:numPr>
        <w:spacing w:after="0"/>
        <w:jc w:val="both"/>
        <w:rPr>
          <w:highlight w:val="yellow"/>
          <w:lang w:val="en-US"/>
        </w:rPr>
      </w:pPr>
      <w:r w:rsidRPr="00857B81">
        <w:rPr>
          <w:sz w:val="20"/>
          <w:szCs w:val="20"/>
          <w:highlight w:val="yellow"/>
          <w:lang w:val="en-US"/>
        </w:rPr>
        <w:t>Gender-sensitive assessment of access to housing, services, land, transport, and employment, particularly for women, youth, and vulnerable populations.</w:t>
      </w:r>
    </w:p>
    <w:p w14:paraId="171BE2AE" w14:textId="16A954C3" w:rsidR="0C7B6C6D" w:rsidRPr="00857B81" w:rsidRDefault="0C7B6C6D" w:rsidP="00857B81">
      <w:pPr>
        <w:pStyle w:val="Paragraphedeliste"/>
        <w:numPr>
          <w:ilvl w:val="0"/>
          <w:numId w:val="250"/>
        </w:numPr>
        <w:spacing w:after="0"/>
        <w:jc w:val="both"/>
        <w:rPr>
          <w:highlight w:val="yellow"/>
          <w:lang w:val="en-US"/>
        </w:rPr>
      </w:pPr>
      <w:r w:rsidRPr="00857B81">
        <w:rPr>
          <w:sz w:val="20"/>
          <w:szCs w:val="20"/>
          <w:highlight w:val="yellow"/>
          <w:lang w:val="en-US"/>
        </w:rPr>
        <w:t>The study will culminate in:</w:t>
      </w:r>
    </w:p>
    <w:p w14:paraId="6DDB430F" w14:textId="137F9CE0" w:rsidR="0C7B6C6D" w:rsidRPr="00857B81" w:rsidRDefault="0C7B6C6D" w:rsidP="00857B81">
      <w:pPr>
        <w:pStyle w:val="Paragraphedeliste"/>
        <w:numPr>
          <w:ilvl w:val="0"/>
          <w:numId w:val="250"/>
        </w:numPr>
        <w:spacing w:after="0"/>
        <w:jc w:val="both"/>
        <w:rPr>
          <w:highlight w:val="yellow"/>
          <w:lang w:val="en-US"/>
        </w:rPr>
      </w:pPr>
      <w:r w:rsidRPr="00857B81">
        <w:rPr>
          <w:sz w:val="20"/>
          <w:szCs w:val="20"/>
          <w:highlight w:val="yellow"/>
          <w:lang w:val="en-US"/>
        </w:rPr>
        <w:t xml:space="preserve">A </w:t>
      </w:r>
      <w:r w:rsidRPr="00857B81">
        <w:rPr>
          <w:b/>
          <w:bCs/>
          <w:sz w:val="20"/>
          <w:szCs w:val="20"/>
          <w:highlight w:val="yellow"/>
          <w:lang w:val="en-US"/>
        </w:rPr>
        <w:t>strategic diagnostic report</w:t>
      </w:r>
      <w:r w:rsidRPr="00857B81">
        <w:rPr>
          <w:sz w:val="20"/>
          <w:szCs w:val="20"/>
          <w:highlight w:val="yellow"/>
          <w:lang w:val="en-US"/>
        </w:rPr>
        <w:t xml:space="preserve"> for each </w:t>
      </w:r>
      <w:proofErr w:type="gramStart"/>
      <w:r w:rsidRPr="00857B81">
        <w:rPr>
          <w:sz w:val="20"/>
          <w:szCs w:val="20"/>
          <w:highlight w:val="yellow"/>
          <w:lang w:val="en-US"/>
        </w:rPr>
        <w:t>city;</w:t>
      </w:r>
      <w:proofErr w:type="gramEnd"/>
    </w:p>
    <w:p w14:paraId="2C6E1F8E" w14:textId="3897BA30" w:rsidR="0C7B6C6D" w:rsidRPr="00857B81" w:rsidRDefault="0C7B6C6D" w:rsidP="00857B81">
      <w:pPr>
        <w:pStyle w:val="Paragraphedeliste"/>
        <w:numPr>
          <w:ilvl w:val="0"/>
          <w:numId w:val="250"/>
        </w:numPr>
        <w:spacing w:after="0"/>
        <w:jc w:val="both"/>
        <w:rPr>
          <w:highlight w:val="yellow"/>
          <w:lang w:val="en-US"/>
        </w:rPr>
      </w:pPr>
      <w:r w:rsidRPr="00857B81">
        <w:rPr>
          <w:sz w:val="20"/>
          <w:szCs w:val="20"/>
          <w:highlight w:val="yellow"/>
          <w:lang w:val="en-US"/>
        </w:rPr>
        <w:t xml:space="preserve">A </w:t>
      </w:r>
      <w:r w:rsidRPr="00857B81">
        <w:rPr>
          <w:b/>
          <w:bCs/>
          <w:sz w:val="20"/>
          <w:szCs w:val="20"/>
          <w:highlight w:val="yellow"/>
          <w:lang w:val="en-US"/>
        </w:rPr>
        <w:t xml:space="preserve">set of spatial and economic development </w:t>
      </w:r>
      <w:proofErr w:type="gramStart"/>
      <w:r w:rsidRPr="00857B81">
        <w:rPr>
          <w:b/>
          <w:bCs/>
          <w:sz w:val="20"/>
          <w:szCs w:val="20"/>
          <w:highlight w:val="yellow"/>
          <w:lang w:val="en-US"/>
        </w:rPr>
        <w:t>scenarios</w:t>
      </w:r>
      <w:r w:rsidRPr="00857B81">
        <w:rPr>
          <w:sz w:val="20"/>
          <w:szCs w:val="20"/>
          <w:highlight w:val="yellow"/>
          <w:lang w:val="en-US"/>
        </w:rPr>
        <w:t>;</w:t>
      </w:r>
      <w:proofErr w:type="gramEnd"/>
    </w:p>
    <w:p w14:paraId="00C88490" w14:textId="0A8BA15E" w:rsidR="0C7B6C6D" w:rsidRPr="00857B81" w:rsidRDefault="0C7B6C6D" w:rsidP="00857B81">
      <w:pPr>
        <w:pStyle w:val="Paragraphedeliste"/>
        <w:numPr>
          <w:ilvl w:val="0"/>
          <w:numId w:val="250"/>
        </w:numPr>
        <w:spacing w:after="0"/>
        <w:jc w:val="both"/>
        <w:rPr>
          <w:highlight w:val="yellow"/>
          <w:lang w:val="en-US"/>
        </w:rPr>
      </w:pPr>
      <w:r w:rsidRPr="00857B81">
        <w:rPr>
          <w:sz w:val="20"/>
          <w:szCs w:val="20"/>
          <w:highlight w:val="yellow"/>
          <w:lang w:val="en-US"/>
        </w:rPr>
        <w:t xml:space="preserve">A </w:t>
      </w:r>
      <w:r w:rsidRPr="00857B81">
        <w:rPr>
          <w:b/>
          <w:bCs/>
          <w:sz w:val="20"/>
          <w:szCs w:val="20"/>
          <w:highlight w:val="yellow"/>
          <w:lang w:val="en-US"/>
        </w:rPr>
        <w:t>prioritized action plan/Road Map</w:t>
      </w:r>
      <w:r w:rsidRPr="00857B81">
        <w:rPr>
          <w:sz w:val="20"/>
          <w:szCs w:val="20"/>
          <w:highlight w:val="yellow"/>
          <w:lang w:val="en-US"/>
        </w:rPr>
        <w:t xml:space="preserve"> aligned with national and regional planning </w:t>
      </w:r>
      <w:proofErr w:type="gramStart"/>
      <w:r w:rsidRPr="00857B81">
        <w:rPr>
          <w:sz w:val="20"/>
          <w:szCs w:val="20"/>
          <w:highlight w:val="yellow"/>
          <w:lang w:val="en-US"/>
        </w:rPr>
        <w:t>frameworks;</w:t>
      </w:r>
      <w:proofErr w:type="gramEnd"/>
    </w:p>
    <w:p w14:paraId="4ADC6551" w14:textId="37F4C07D" w:rsidR="0C7B6C6D" w:rsidRPr="00857B81" w:rsidRDefault="0C7B6C6D" w:rsidP="00857B81">
      <w:pPr>
        <w:pStyle w:val="Paragraphedeliste"/>
        <w:numPr>
          <w:ilvl w:val="0"/>
          <w:numId w:val="250"/>
        </w:numPr>
        <w:spacing w:after="0"/>
        <w:jc w:val="both"/>
        <w:rPr>
          <w:highlight w:val="yellow"/>
          <w:lang w:val="en-US"/>
        </w:rPr>
      </w:pPr>
      <w:r w:rsidRPr="00857B81">
        <w:rPr>
          <w:sz w:val="20"/>
          <w:szCs w:val="20"/>
          <w:highlight w:val="yellow"/>
          <w:lang w:val="en-US"/>
        </w:rPr>
        <w:t>Recommendations for regulatory, institutional, and investment measures to guide public and private sector interventions.</w:t>
      </w:r>
    </w:p>
    <w:p w14:paraId="3353C0E5" w14:textId="437E25B4" w:rsidR="0C7B6C6D" w:rsidRPr="00857B81" w:rsidRDefault="0C7B6C6D" w:rsidP="0764FF73">
      <w:pPr>
        <w:spacing w:after="0"/>
        <w:jc w:val="both"/>
        <w:rPr>
          <w:highlight w:val="yellow"/>
          <w:lang w:val="en-US"/>
        </w:rPr>
      </w:pPr>
      <w:r w:rsidRPr="00857B81">
        <w:rPr>
          <w:sz w:val="20"/>
          <w:szCs w:val="20"/>
          <w:highlight w:val="yellow"/>
          <w:lang w:val="en-US"/>
        </w:rPr>
        <w:t xml:space="preserve">This activity will serve as a </w:t>
      </w:r>
      <w:r w:rsidRPr="00857B81">
        <w:rPr>
          <w:b/>
          <w:bCs/>
          <w:sz w:val="20"/>
          <w:szCs w:val="20"/>
          <w:highlight w:val="yellow"/>
          <w:lang w:val="en-US"/>
        </w:rPr>
        <w:t>cornerstone for the national urban development policy</w:t>
      </w:r>
      <w:r w:rsidRPr="00857B81">
        <w:rPr>
          <w:sz w:val="20"/>
          <w:szCs w:val="20"/>
          <w:highlight w:val="yellow"/>
          <w:lang w:val="en-US"/>
        </w:rPr>
        <w:t xml:space="preserve"> and inform future planning under Component 1, particularly in relation to spatial planning, decentralization, and territorial governance.</w:t>
      </w:r>
    </w:p>
    <w:p w14:paraId="078F2BB2" w14:textId="042C1FE4" w:rsidR="0764FF73" w:rsidRPr="00857B81" w:rsidRDefault="0764FF73" w:rsidP="0764FF73">
      <w:pPr>
        <w:spacing w:after="0"/>
        <w:jc w:val="both"/>
        <w:rPr>
          <w:sz w:val="20"/>
          <w:szCs w:val="20"/>
          <w:highlight w:val="yellow"/>
          <w:lang w:val="en-US"/>
        </w:rPr>
      </w:pPr>
    </w:p>
    <w:p w14:paraId="3FC9DDAF" w14:textId="43B2FB53" w:rsidR="004F7DB3" w:rsidRPr="00857B81" w:rsidRDefault="3967F488" w:rsidP="0764FF73">
      <w:pPr>
        <w:rPr>
          <w:i/>
          <w:iCs/>
          <w:color w:val="000000" w:themeColor="text1"/>
          <w:sz w:val="20"/>
          <w:szCs w:val="20"/>
          <w:highlight w:val="yellow"/>
          <w:u w:val="single"/>
          <w:lang w:val="en-US"/>
        </w:rPr>
      </w:pPr>
      <w:r w:rsidRPr="00857B81">
        <w:rPr>
          <w:i/>
          <w:iCs/>
          <w:color w:val="000000" w:themeColor="text1"/>
          <w:sz w:val="20"/>
          <w:szCs w:val="20"/>
          <w:highlight w:val="yellow"/>
          <w:u w:val="single"/>
          <w:lang w:val="en-US"/>
        </w:rPr>
        <w:t>Activity 1.1.1.</w:t>
      </w:r>
      <w:r w:rsidR="5CAF49AA" w:rsidRPr="00857B81">
        <w:rPr>
          <w:i/>
          <w:iCs/>
          <w:color w:val="000000" w:themeColor="text1"/>
          <w:sz w:val="20"/>
          <w:szCs w:val="20"/>
          <w:highlight w:val="yellow"/>
          <w:u w:val="single"/>
          <w:lang w:val="en-US"/>
        </w:rPr>
        <w:t>5</w:t>
      </w:r>
      <w:r w:rsidRPr="00857B81">
        <w:rPr>
          <w:i/>
          <w:iCs/>
          <w:color w:val="000000" w:themeColor="text1"/>
          <w:sz w:val="20"/>
          <w:szCs w:val="20"/>
          <w:highlight w:val="yellow"/>
          <w:u w:val="single"/>
          <w:lang w:val="en-US"/>
        </w:rPr>
        <w:t xml:space="preserve"> </w:t>
      </w:r>
      <w:r w:rsidR="00314058">
        <w:rPr>
          <w:i/>
          <w:iCs/>
          <w:color w:val="000000" w:themeColor="text1"/>
          <w:sz w:val="20"/>
          <w:szCs w:val="20"/>
          <w:highlight w:val="yellow"/>
          <w:u w:val="single"/>
          <w:lang w:val="en-US"/>
        </w:rPr>
        <w:t>Development</w:t>
      </w:r>
      <w:r w:rsidR="00314058" w:rsidRPr="00857B81">
        <w:rPr>
          <w:i/>
          <w:iCs/>
          <w:color w:val="000000" w:themeColor="text1"/>
          <w:sz w:val="20"/>
          <w:szCs w:val="20"/>
          <w:highlight w:val="yellow"/>
          <w:u w:val="single"/>
          <w:lang w:val="en-US"/>
        </w:rPr>
        <w:t xml:space="preserve"> </w:t>
      </w:r>
      <w:r w:rsidRPr="00857B81">
        <w:rPr>
          <w:i/>
          <w:iCs/>
          <w:color w:val="000000" w:themeColor="text1"/>
          <w:sz w:val="20"/>
          <w:szCs w:val="20"/>
          <w:highlight w:val="yellow"/>
          <w:u w:val="single"/>
          <w:lang w:val="en-US"/>
        </w:rPr>
        <w:t>of an integrated program for urban regeneration and development of eco-neighborhoods in Greater Bamako</w:t>
      </w:r>
    </w:p>
    <w:p w14:paraId="00BFFE44" w14:textId="67F70812" w:rsidR="2B6D1FCA" w:rsidRPr="00857B81" w:rsidRDefault="65801162" w:rsidP="0764FF73">
      <w:pPr>
        <w:spacing w:after="0"/>
        <w:rPr>
          <w:sz w:val="20"/>
          <w:szCs w:val="20"/>
          <w:highlight w:val="yellow"/>
          <w:lang w:val="en-US"/>
        </w:rPr>
      </w:pPr>
      <w:r w:rsidRPr="00857B81">
        <w:rPr>
          <w:sz w:val="20"/>
          <w:szCs w:val="20"/>
          <w:highlight w:val="yellow"/>
          <w:lang w:val="en-US"/>
        </w:rPr>
        <w:t xml:space="preserve"> This activity aims to design a Strategic </w:t>
      </w:r>
      <w:proofErr w:type="spellStart"/>
      <w:r w:rsidRPr="00857B81">
        <w:rPr>
          <w:sz w:val="20"/>
          <w:szCs w:val="20"/>
          <w:highlight w:val="yellow"/>
          <w:lang w:val="en-US"/>
        </w:rPr>
        <w:t>Programme</w:t>
      </w:r>
      <w:proofErr w:type="spellEnd"/>
      <w:r w:rsidRPr="00857B81">
        <w:rPr>
          <w:sz w:val="20"/>
          <w:szCs w:val="20"/>
          <w:highlight w:val="yellow"/>
          <w:lang w:val="en-US"/>
        </w:rPr>
        <w:t xml:space="preserve"> for Urban Regeneration and Eco-Neighborhood Development in Greater Bamako, anchored in principles of sustainability, social inclusion, climate resilience, and innovation. Building upon the findings of the 2012 Urban Profile and lessons from the NOC-</w:t>
      </w:r>
      <w:proofErr w:type="spellStart"/>
      <w:r w:rsidRPr="00857B81">
        <w:rPr>
          <w:sz w:val="20"/>
          <w:szCs w:val="20"/>
          <w:highlight w:val="yellow"/>
          <w:lang w:val="en-US"/>
        </w:rPr>
        <w:t>Mandé</w:t>
      </w:r>
      <w:proofErr w:type="spellEnd"/>
      <w:r w:rsidRPr="00857B81">
        <w:rPr>
          <w:sz w:val="20"/>
          <w:szCs w:val="20"/>
          <w:highlight w:val="yellow"/>
          <w:lang w:val="en-US"/>
        </w:rPr>
        <w:t xml:space="preserve"> initiative, this </w:t>
      </w:r>
      <w:proofErr w:type="spellStart"/>
      <w:r w:rsidRPr="00857B81">
        <w:rPr>
          <w:sz w:val="20"/>
          <w:szCs w:val="20"/>
          <w:highlight w:val="yellow"/>
          <w:lang w:val="en-US"/>
        </w:rPr>
        <w:t>programme</w:t>
      </w:r>
      <w:proofErr w:type="spellEnd"/>
      <w:r w:rsidRPr="00857B81">
        <w:rPr>
          <w:sz w:val="20"/>
          <w:szCs w:val="20"/>
          <w:highlight w:val="yellow"/>
          <w:lang w:val="en-US"/>
        </w:rPr>
        <w:t xml:space="preserve"> will guide the transformation of urban neighborhoods into ecological, livable, and equitable spaces.</w:t>
      </w:r>
    </w:p>
    <w:p w14:paraId="610AAF6B" w14:textId="6EED7FF4" w:rsidR="65801162" w:rsidRPr="00857B81" w:rsidRDefault="65801162" w:rsidP="00857B81">
      <w:pPr>
        <w:spacing w:after="0"/>
        <w:rPr>
          <w:sz w:val="20"/>
          <w:szCs w:val="20"/>
          <w:highlight w:val="yellow"/>
          <w:lang w:val="en-US"/>
        </w:rPr>
      </w:pPr>
      <w:r w:rsidRPr="00857B81">
        <w:rPr>
          <w:sz w:val="20"/>
          <w:szCs w:val="20"/>
          <w:highlight w:val="yellow"/>
          <w:lang w:val="en-US"/>
        </w:rPr>
        <w:t>The strategy will be structured around the following pillars:</w:t>
      </w:r>
    </w:p>
    <w:p w14:paraId="7FD8D395" w14:textId="0BBD278B" w:rsidR="65801162" w:rsidRPr="00857B81" w:rsidRDefault="65801162" w:rsidP="00857B81">
      <w:pPr>
        <w:pStyle w:val="Paragraphedeliste"/>
        <w:numPr>
          <w:ilvl w:val="0"/>
          <w:numId w:val="65"/>
        </w:numPr>
        <w:spacing w:after="0"/>
        <w:ind w:left="907"/>
        <w:rPr>
          <w:sz w:val="20"/>
          <w:szCs w:val="20"/>
          <w:highlight w:val="yellow"/>
          <w:lang w:val="en-US"/>
        </w:rPr>
      </w:pPr>
      <w:r w:rsidRPr="00857B81">
        <w:rPr>
          <w:sz w:val="20"/>
          <w:szCs w:val="20"/>
          <w:highlight w:val="yellow"/>
          <w:lang w:val="en-US"/>
        </w:rPr>
        <w:t xml:space="preserve">Securing strategic land tenure, particularly in informal and vulnerable urban </w:t>
      </w:r>
      <w:proofErr w:type="gramStart"/>
      <w:r w:rsidRPr="00857B81">
        <w:rPr>
          <w:sz w:val="20"/>
          <w:szCs w:val="20"/>
          <w:highlight w:val="yellow"/>
          <w:lang w:val="en-US"/>
        </w:rPr>
        <w:t>areas;</w:t>
      </w:r>
      <w:proofErr w:type="gramEnd"/>
    </w:p>
    <w:p w14:paraId="4959A7BB" w14:textId="1EE88A70" w:rsidR="65801162" w:rsidRPr="00857B81" w:rsidRDefault="65801162" w:rsidP="00857B81">
      <w:pPr>
        <w:pStyle w:val="Paragraphedeliste"/>
        <w:numPr>
          <w:ilvl w:val="0"/>
          <w:numId w:val="65"/>
        </w:numPr>
        <w:spacing w:after="0"/>
        <w:ind w:left="907"/>
        <w:rPr>
          <w:sz w:val="20"/>
          <w:szCs w:val="20"/>
          <w:highlight w:val="yellow"/>
          <w:lang w:val="en-US"/>
        </w:rPr>
      </w:pPr>
      <w:r w:rsidRPr="00857B81">
        <w:rPr>
          <w:sz w:val="20"/>
          <w:szCs w:val="20"/>
          <w:highlight w:val="yellow"/>
          <w:lang w:val="en-US"/>
        </w:rPr>
        <w:t xml:space="preserve">Developing a shared territorial vision and multi-level governance </w:t>
      </w:r>
      <w:proofErr w:type="gramStart"/>
      <w:r w:rsidRPr="00857B81">
        <w:rPr>
          <w:sz w:val="20"/>
          <w:szCs w:val="20"/>
          <w:highlight w:val="yellow"/>
          <w:lang w:val="en-US"/>
        </w:rPr>
        <w:t>framework;</w:t>
      </w:r>
      <w:proofErr w:type="gramEnd"/>
    </w:p>
    <w:p w14:paraId="5A59E235" w14:textId="586C0292" w:rsidR="65801162" w:rsidRPr="00857B81" w:rsidRDefault="65801162" w:rsidP="00857B81">
      <w:pPr>
        <w:pStyle w:val="Paragraphedeliste"/>
        <w:numPr>
          <w:ilvl w:val="0"/>
          <w:numId w:val="65"/>
        </w:numPr>
        <w:spacing w:after="0"/>
        <w:ind w:left="907"/>
        <w:rPr>
          <w:sz w:val="20"/>
          <w:szCs w:val="20"/>
          <w:highlight w:val="yellow"/>
          <w:lang w:val="en-US"/>
        </w:rPr>
      </w:pPr>
      <w:r w:rsidRPr="00857B81">
        <w:rPr>
          <w:sz w:val="20"/>
          <w:szCs w:val="20"/>
          <w:highlight w:val="yellow"/>
          <w:lang w:val="en-US"/>
        </w:rPr>
        <w:t xml:space="preserve">Designating and piloting Urban Innovation Zones, integrating climate-adapted infrastructure, affordable housing, and green public </w:t>
      </w:r>
      <w:proofErr w:type="gramStart"/>
      <w:r w:rsidRPr="00857B81">
        <w:rPr>
          <w:sz w:val="20"/>
          <w:szCs w:val="20"/>
          <w:highlight w:val="yellow"/>
          <w:lang w:val="en-US"/>
        </w:rPr>
        <w:t>spaces;</w:t>
      </w:r>
      <w:proofErr w:type="gramEnd"/>
    </w:p>
    <w:p w14:paraId="085E45FF" w14:textId="3409A786" w:rsidR="65801162" w:rsidRPr="00857B81" w:rsidRDefault="65801162" w:rsidP="00857B81">
      <w:pPr>
        <w:pStyle w:val="Paragraphedeliste"/>
        <w:numPr>
          <w:ilvl w:val="0"/>
          <w:numId w:val="65"/>
        </w:numPr>
        <w:spacing w:after="0"/>
        <w:ind w:left="907"/>
        <w:rPr>
          <w:sz w:val="20"/>
          <w:szCs w:val="20"/>
          <w:highlight w:val="yellow"/>
          <w:lang w:val="en-US"/>
        </w:rPr>
      </w:pPr>
      <w:r w:rsidRPr="00857B81">
        <w:rPr>
          <w:sz w:val="20"/>
          <w:szCs w:val="20"/>
          <w:highlight w:val="yellow"/>
          <w:lang w:val="en-US"/>
        </w:rPr>
        <w:t xml:space="preserve">Formulating a portfolio of bankable urban regeneration projects, aligned with public-private investment </w:t>
      </w:r>
      <w:proofErr w:type="gramStart"/>
      <w:r w:rsidRPr="00857B81">
        <w:rPr>
          <w:sz w:val="20"/>
          <w:szCs w:val="20"/>
          <w:highlight w:val="yellow"/>
          <w:lang w:val="en-US"/>
        </w:rPr>
        <w:t>priorities;</w:t>
      </w:r>
      <w:proofErr w:type="gramEnd"/>
    </w:p>
    <w:p w14:paraId="5014CD45" w14:textId="4EBA1CAC" w:rsidR="65801162" w:rsidRPr="00857B81" w:rsidRDefault="65801162" w:rsidP="00857B81">
      <w:pPr>
        <w:pStyle w:val="Paragraphedeliste"/>
        <w:numPr>
          <w:ilvl w:val="0"/>
          <w:numId w:val="65"/>
        </w:numPr>
        <w:spacing w:after="0"/>
        <w:ind w:left="907"/>
        <w:rPr>
          <w:sz w:val="20"/>
          <w:szCs w:val="20"/>
          <w:highlight w:val="yellow"/>
          <w:lang w:val="en-US"/>
        </w:rPr>
      </w:pPr>
      <w:r w:rsidRPr="00857B81">
        <w:rPr>
          <w:sz w:val="20"/>
          <w:szCs w:val="20"/>
          <w:highlight w:val="yellow"/>
          <w:lang w:val="en-US"/>
        </w:rPr>
        <w:t>Creating a “Sustainable Neighborhood” Label, with clear environmental, social, and design criteria to guide planning and attract investment.</w:t>
      </w:r>
    </w:p>
    <w:p w14:paraId="5529D59F" w14:textId="2A1309BC" w:rsidR="65801162" w:rsidRPr="00857B81" w:rsidRDefault="65801162" w:rsidP="00857B81">
      <w:pPr>
        <w:pStyle w:val="Paragraphedeliste"/>
        <w:numPr>
          <w:ilvl w:val="0"/>
          <w:numId w:val="65"/>
        </w:numPr>
        <w:spacing w:after="0"/>
        <w:ind w:left="907"/>
        <w:rPr>
          <w:sz w:val="20"/>
          <w:szCs w:val="20"/>
          <w:highlight w:val="yellow"/>
          <w:lang w:val="en-US"/>
        </w:rPr>
      </w:pPr>
      <w:r w:rsidRPr="00857B81">
        <w:rPr>
          <w:sz w:val="20"/>
          <w:szCs w:val="20"/>
          <w:highlight w:val="yellow"/>
          <w:lang w:val="en-US"/>
        </w:rPr>
        <w:t>Regeneration of neighborhoods with a high concentration of IDPs, ensuring that they are included in participatory planning processes, benefit from secure land tenure and gain access to climate-resilient infrastructure, public services, and livelihood opportunities</w:t>
      </w:r>
    </w:p>
    <w:p w14:paraId="103F5853" w14:textId="2294F1CF" w:rsidR="65801162" w:rsidRPr="00857B81" w:rsidRDefault="65801162" w:rsidP="00857B81">
      <w:pPr>
        <w:spacing w:after="0"/>
        <w:rPr>
          <w:sz w:val="20"/>
          <w:szCs w:val="20"/>
          <w:highlight w:val="yellow"/>
          <w:lang w:val="en-US"/>
        </w:rPr>
      </w:pPr>
      <w:r w:rsidRPr="00857B81">
        <w:rPr>
          <w:sz w:val="20"/>
          <w:szCs w:val="20"/>
          <w:highlight w:val="yellow"/>
          <w:lang w:val="en-US"/>
        </w:rPr>
        <w:t>To enrich the process and strengthen stakeholder buy-in, the activity will include:</w:t>
      </w:r>
    </w:p>
    <w:p w14:paraId="35886DFE" w14:textId="4E2037E7" w:rsidR="65801162" w:rsidRPr="00857B81" w:rsidRDefault="65801162" w:rsidP="00857B81">
      <w:pPr>
        <w:pStyle w:val="Paragraphedeliste"/>
        <w:numPr>
          <w:ilvl w:val="0"/>
          <w:numId w:val="64"/>
        </w:numPr>
        <w:spacing w:after="0"/>
        <w:ind w:left="907"/>
        <w:rPr>
          <w:sz w:val="20"/>
          <w:szCs w:val="20"/>
          <w:highlight w:val="yellow"/>
          <w:lang w:val="en-US"/>
        </w:rPr>
      </w:pPr>
      <w:r w:rsidRPr="00857B81">
        <w:rPr>
          <w:sz w:val="20"/>
          <w:szCs w:val="20"/>
          <w:highlight w:val="yellow"/>
          <w:lang w:val="en-US"/>
        </w:rPr>
        <w:t>A study tour to cities that have successfully implemented resilient eco-</w:t>
      </w:r>
      <w:proofErr w:type="gramStart"/>
      <w:r w:rsidRPr="00857B81">
        <w:rPr>
          <w:sz w:val="20"/>
          <w:szCs w:val="20"/>
          <w:highlight w:val="yellow"/>
          <w:lang w:val="en-US"/>
        </w:rPr>
        <w:t>neighborhoods;</w:t>
      </w:r>
      <w:proofErr w:type="gramEnd"/>
    </w:p>
    <w:p w14:paraId="74C6BB1E" w14:textId="009D6CA2" w:rsidR="65801162" w:rsidRPr="00857B81" w:rsidRDefault="65801162" w:rsidP="00857B81">
      <w:pPr>
        <w:pStyle w:val="Paragraphedeliste"/>
        <w:numPr>
          <w:ilvl w:val="0"/>
          <w:numId w:val="64"/>
        </w:numPr>
        <w:spacing w:after="0"/>
        <w:ind w:left="907"/>
        <w:rPr>
          <w:sz w:val="20"/>
          <w:szCs w:val="20"/>
          <w:highlight w:val="yellow"/>
          <w:lang w:val="en-US"/>
        </w:rPr>
      </w:pPr>
      <w:r w:rsidRPr="00857B81">
        <w:rPr>
          <w:sz w:val="20"/>
          <w:szCs w:val="20"/>
          <w:highlight w:val="yellow"/>
          <w:lang w:val="en-US"/>
        </w:rPr>
        <w:t xml:space="preserve">A Donor Roundtable to mobilize financing and technical partnerships for </w:t>
      </w:r>
      <w:proofErr w:type="spellStart"/>
      <w:r w:rsidRPr="00857B81">
        <w:rPr>
          <w:sz w:val="20"/>
          <w:szCs w:val="20"/>
          <w:highlight w:val="yellow"/>
          <w:lang w:val="en-US"/>
        </w:rPr>
        <w:t>programme</w:t>
      </w:r>
      <w:proofErr w:type="spellEnd"/>
      <w:r w:rsidRPr="00857B81">
        <w:rPr>
          <w:sz w:val="20"/>
          <w:szCs w:val="20"/>
          <w:highlight w:val="yellow"/>
          <w:lang w:val="en-US"/>
        </w:rPr>
        <w:t xml:space="preserve"> implementation.</w:t>
      </w:r>
    </w:p>
    <w:p w14:paraId="187DBE22" w14:textId="7207D442" w:rsidR="65801162" w:rsidRPr="00857B81" w:rsidRDefault="65801162" w:rsidP="00857B81">
      <w:pPr>
        <w:spacing w:after="0"/>
        <w:rPr>
          <w:sz w:val="20"/>
          <w:szCs w:val="20"/>
          <w:highlight w:val="yellow"/>
          <w:lang w:val="en-US"/>
        </w:rPr>
      </w:pPr>
      <w:r w:rsidRPr="00857B81">
        <w:rPr>
          <w:sz w:val="20"/>
          <w:szCs w:val="20"/>
          <w:highlight w:val="yellow"/>
          <w:u w:val="single"/>
          <w:lang w:val="en-US"/>
        </w:rPr>
        <w:t xml:space="preserve">Sequencing and Strategic Linkages: </w:t>
      </w:r>
      <w:r w:rsidRPr="00857B81">
        <w:rPr>
          <w:sz w:val="20"/>
          <w:szCs w:val="20"/>
          <w:highlight w:val="yellow"/>
          <w:lang w:val="en-US"/>
        </w:rPr>
        <w:t>This activity is closely interlinked with and sequenced after:</w:t>
      </w:r>
    </w:p>
    <w:p w14:paraId="63F5CACC" w14:textId="006DAF7B" w:rsidR="65801162" w:rsidRPr="00857B81" w:rsidRDefault="65801162" w:rsidP="00857B81">
      <w:pPr>
        <w:pStyle w:val="Paragraphedeliste"/>
        <w:numPr>
          <w:ilvl w:val="0"/>
          <w:numId w:val="63"/>
        </w:numPr>
        <w:spacing w:after="0"/>
        <w:ind w:left="907"/>
        <w:rPr>
          <w:sz w:val="20"/>
          <w:szCs w:val="20"/>
          <w:highlight w:val="yellow"/>
          <w:lang w:val="en-US"/>
        </w:rPr>
      </w:pPr>
      <w:r w:rsidRPr="00857B81">
        <w:rPr>
          <w:sz w:val="20"/>
          <w:szCs w:val="20"/>
          <w:highlight w:val="yellow"/>
          <w:lang w:val="en-US"/>
        </w:rPr>
        <w:t>Activity 1.1.1.2: Strengthening Spatial Planning and Land Governance in the Future Unified District of Bamako, which provides the institutional and legal foundation for improved spatial coordination, land use regulation, and secure tenure—critical prerequisites for urban regeneration.</w:t>
      </w:r>
    </w:p>
    <w:p w14:paraId="2723EE1E" w14:textId="44607D56" w:rsidR="65801162" w:rsidRPr="00857B81" w:rsidRDefault="65801162" w:rsidP="00857B81">
      <w:pPr>
        <w:pStyle w:val="Paragraphedeliste"/>
        <w:numPr>
          <w:ilvl w:val="0"/>
          <w:numId w:val="63"/>
        </w:numPr>
        <w:spacing w:after="0"/>
        <w:ind w:left="907"/>
        <w:rPr>
          <w:sz w:val="20"/>
          <w:szCs w:val="20"/>
          <w:highlight w:val="yellow"/>
          <w:lang w:val="en-US"/>
        </w:rPr>
      </w:pPr>
      <w:r w:rsidRPr="00857B81">
        <w:rPr>
          <w:sz w:val="20"/>
          <w:szCs w:val="20"/>
          <w:highlight w:val="yellow"/>
          <w:lang w:val="en-US"/>
        </w:rPr>
        <w:t>Activity 1.1.1.3 The Strategic Master Plan for Economic Integration and Attractiveness, which identifies economic poles and investment priorities that will help target and structure regeneration efforts around zones of economic opportunity.</w:t>
      </w:r>
    </w:p>
    <w:p w14:paraId="12319242" w14:textId="1594F185" w:rsidR="65801162" w:rsidRPr="00857B81" w:rsidRDefault="65801162" w:rsidP="00857B81">
      <w:pPr>
        <w:spacing w:after="0"/>
        <w:rPr>
          <w:sz w:val="20"/>
          <w:szCs w:val="20"/>
          <w:highlight w:val="yellow"/>
          <w:lang w:val="en-US"/>
        </w:rPr>
      </w:pPr>
      <w:r w:rsidRPr="00857B81">
        <w:rPr>
          <w:sz w:val="20"/>
          <w:szCs w:val="20"/>
          <w:highlight w:val="yellow"/>
          <w:lang w:val="en-US"/>
        </w:rPr>
        <w:t>Together, these activities contribute to an integrated urban development vision for Greater Bamako—anchoring spatial, economic, and ecological planning within a coherent territorial strategy.</w:t>
      </w:r>
    </w:p>
    <w:p w14:paraId="6B47EBDB" w14:textId="515989C7" w:rsidR="4B61A138" w:rsidRPr="00857B81" w:rsidRDefault="550FFB59" w:rsidP="0764FF73">
      <w:pPr>
        <w:spacing w:after="0"/>
        <w:jc w:val="both"/>
        <w:rPr>
          <w:sz w:val="20"/>
          <w:szCs w:val="20"/>
          <w:highlight w:val="yellow"/>
          <w:lang w:val="en-US"/>
        </w:rPr>
      </w:pPr>
      <w:r w:rsidRPr="00857B81">
        <w:rPr>
          <w:sz w:val="20"/>
          <w:szCs w:val="20"/>
          <w:highlight w:val="yellow"/>
          <w:lang w:val="en-US"/>
        </w:rPr>
        <w:t>It is expected a study tour to exchange experiences will be conducted to a city based on the relevant experience in resilient neighborhoods. In addition</w:t>
      </w:r>
      <w:r w:rsidR="55D6AC50" w:rsidRPr="00857B81">
        <w:rPr>
          <w:sz w:val="20"/>
          <w:szCs w:val="20"/>
          <w:highlight w:val="yellow"/>
          <w:lang w:val="en-US"/>
        </w:rPr>
        <w:t>,</w:t>
      </w:r>
      <w:r w:rsidRPr="00857B81">
        <w:rPr>
          <w:sz w:val="20"/>
          <w:szCs w:val="20"/>
          <w:highlight w:val="yellow"/>
          <w:lang w:val="en-US"/>
        </w:rPr>
        <w:t xml:space="preserve"> a Resource Mobilization Donors meeting would be organized to present the Strategic </w:t>
      </w:r>
      <w:proofErr w:type="spellStart"/>
      <w:r w:rsidRPr="00857B81">
        <w:rPr>
          <w:sz w:val="20"/>
          <w:szCs w:val="20"/>
          <w:highlight w:val="yellow"/>
          <w:lang w:val="en-US"/>
        </w:rPr>
        <w:t>Programme</w:t>
      </w:r>
      <w:proofErr w:type="spellEnd"/>
      <w:r w:rsidRPr="00857B81">
        <w:rPr>
          <w:sz w:val="20"/>
          <w:szCs w:val="20"/>
          <w:highlight w:val="yellow"/>
          <w:lang w:val="en-US"/>
        </w:rPr>
        <w:t xml:space="preserve"> once finalized.</w:t>
      </w:r>
    </w:p>
    <w:p w14:paraId="1D5FA0ED" w14:textId="51847CBB" w:rsidR="0764FF73" w:rsidRPr="00857B81" w:rsidRDefault="0764FF73" w:rsidP="0764FF73">
      <w:pPr>
        <w:rPr>
          <w:color w:val="000000" w:themeColor="text1"/>
          <w:sz w:val="20"/>
          <w:szCs w:val="20"/>
          <w:highlight w:val="yellow"/>
          <w:lang w:val="en-US"/>
        </w:rPr>
      </w:pPr>
    </w:p>
    <w:p w14:paraId="2FBA2C6F" w14:textId="0AFD8145" w:rsidR="004F7DB3" w:rsidRPr="00857B81" w:rsidRDefault="3967F488" w:rsidP="0764FF73">
      <w:pPr>
        <w:rPr>
          <w:i/>
          <w:iCs/>
          <w:color w:val="000000" w:themeColor="text1"/>
          <w:sz w:val="20"/>
          <w:szCs w:val="20"/>
          <w:highlight w:val="yellow"/>
          <w:u w:val="single"/>
          <w:lang w:val="en-US"/>
        </w:rPr>
      </w:pPr>
      <w:r w:rsidRPr="00857B81">
        <w:rPr>
          <w:i/>
          <w:iCs/>
          <w:color w:val="000000" w:themeColor="text1"/>
          <w:sz w:val="20"/>
          <w:szCs w:val="20"/>
          <w:highlight w:val="yellow"/>
          <w:u w:val="single"/>
          <w:lang w:val="en-US"/>
        </w:rPr>
        <w:t>Activity 1.1.1.</w:t>
      </w:r>
      <w:r w:rsidR="531F9B0F" w:rsidRPr="00857B81">
        <w:rPr>
          <w:i/>
          <w:iCs/>
          <w:color w:val="000000" w:themeColor="text1"/>
          <w:sz w:val="20"/>
          <w:szCs w:val="20"/>
          <w:highlight w:val="yellow"/>
          <w:u w:val="single"/>
          <w:lang w:val="en-US"/>
        </w:rPr>
        <w:t>6</w:t>
      </w:r>
      <w:r w:rsidRPr="00857B81">
        <w:rPr>
          <w:i/>
          <w:iCs/>
          <w:color w:val="000000" w:themeColor="text1"/>
          <w:sz w:val="20"/>
          <w:szCs w:val="20"/>
          <w:highlight w:val="yellow"/>
          <w:u w:val="single"/>
          <w:lang w:val="en-US"/>
        </w:rPr>
        <w:t>: Study on guidelines to strengthen the integration of environmental standards and climate risks into territorial urban planning </w:t>
      </w:r>
    </w:p>
    <w:p w14:paraId="27E385E4" w14:textId="04C96AF2" w:rsidR="3967F488" w:rsidRPr="00857B81" w:rsidRDefault="28C1AA3A" w:rsidP="0764FF73">
      <w:pPr>
        <w:pStyle w:val="Paragraphedeliste"/>
        <w:numPr>
          <w:ilvl w:val="0"/>
          <w:numId w:val="248"/>
        </w:numPr>
        <w:rPr>
          <w:sz w:val="20"/>
          <w:szCs w:val="20"/>
          <w:highlight w:val="yellow"/>
          <w:lang w:val="en-US"/>
        </w:rPr>
      </w:pPr>
      <w:r w:rsidRPr="00857B81">
        <w:rPr>
          <w:sz w:val="20"/>
          <w:szCs w:val="20"/>
          <w:highlight w:val="yellow"/>
          <w:lang w:val="en-US"/>
        </w:rPr>
        <w:t xml:space="preserve">This activity aims to equip local and regional planning authorities with a </w:t>
      </w:r>
      <w:r w:rsidRPr="00857B81">
        <w:rPr>
          <w:b/>
          <w:bCs/>
          <w:sz w:val="20"/>
          <w:szCs w:val="20"/>
          <w:highlight w:val="yellow"/>
          <w:lang w:val="en-US"/>
        </w:rPr>
        <w:t>standardized, practical, and context-sensitive technical reference</w:t>
      </w:r>
      <w:r w:rsidRPr="00857B81">
        <w:rPr>
          <w:sz w:val="20"/>
          <w:szCs w:val="20"/>
          <w:highlight w:val="yellow"/>
          <w:lang w:val="en-US"/>
        </w:rPr>
        <w:t xml:space="preserve"> to systematically integrate </w:t>
      </w:r>
      <w:r w:rsidRPr="00857B81">
        <w:rPr>
          <w:b/>
          <w:bCs/>
          <w:sz w:val="20"/>
          <w:szCs w:val="20"/>
          <w:highlight w:val="yellow"/>
          <w:lang w:val="en-US"/>
        </w:rPr>
        <w:t>environmental safeguards and climate risk considerations</w:t>
      </w:r>
      <w:r w:rsidRPr="00857B81">
        <w:rPr>
          <w:sz w:val="20"/>
          <w:szCs w:val="20"/>
          <w:highlight w:val="yellow"/>
          <w:lang w:val="en-US"/>
        </w:rPr>
        <w:t xml:space="preserve"> into territorial urban planning processes.</w:t>
      </w:r>
    </w:p>
    <w:p w14:paraId="155330A5" w14:textId="5370069F" w:rsidR="28C1AA3A" w:rsidRPr="00857B81" w:rsidRDefault="28C1AA3A" w:rsidP="00857B81">
      <w:pPr>
        <w:pStyle w:val="Paragraphedeliste"/>
        <w:numPr>
          <w:ilvl w:val="0"/>
          <w:numId w:val="248"/>
        </w:numPr>
        <w:spacing w:after="0"/>
        <w:jc w:val="both"/>
        <w:rPr>
          <w:highlight w:val="yellow"/>
          <w:lang w:val="en-US"/>
        </w:rPr>
      </w:pPr>
      <w:r w:rsidRPr="00857B81">
        <w:rPr>
          <w:sz w:val="20"/>
          <w:szCs w:val="20"/>
          <w:highlight w:val="yellow"/>
          <w:lang w:val="en-US"/>
        </w:rPr>
        <w:t>In the face of accelerating urbanization, climate variability, and environmental degradation, the current urban planning frameworks in Mali often lack the technical capacity, regulatory clarity, and methodological consistency to account for environmental vulnerabilities and long-term climate resilience. This results in uncoordinated land use, inadequate risk prevention, and the marginalization of ecological assets within urban growth strategies.</w:t>
      </w:r>
    </w:p>
    <w:p w14:paraId="0833256C" w14:textId="7067D9CD" w:rsidR="28C1AA3A" w:rsidRPr="00857B81" w:rsidRDefault="28C1AA3A" w:rsidP="00857B81">
      <w:pPr>
        <w:pStyle w:val="Paragraphedeliste"/>
        <w:numPr>
          <w:ilvl w:val="0"/>
          <w:numId w:val="248"/>
        </w:numPr>
        <w:spacing w:after="0"/>
        <w:jc w:val="both"/>
        <w:rPr>
          <w:highlight w:val="yellow"/>
          <w:lang w:val="en-US"/>
        </w:rPr>
      </w:pPr>
      <w:r w:rsidRPr="00857B81">
        <w:rPr>
          <w:sz w:val="20"/>
          <w:szCs w:val="20"/>
          <w:highlight w:val="yellow"/>
          <w:lang w:val="en-US"/>
        </w:rPr>
        <w:t xml:space="preserve">This activity will fill this critical gap by developing and testing </w:t>
      </w:r>
      <w:r w:rsidRPr="00857B81">
        <w:rPr>
          <w:b/>
          <w:bCs/>
          <w:sz w:val="20"/>
          <w:szCs w:val="20"/>
          <w:highlight w:val="yellow"/>
          <w:lang w:val="en-US"/>
        </w:rPr>
        <w:t>guidelines and tools</w:t>
      </w:r>
      <w:r w:rsidRPr="00857B81">
        <w:rPr>
          <w:sz w:val="20"/>
          <w:szCs w:val="20"/>
          <w:highlight w:val="yellow"/>
          <w:lang w:val="en-US"/>
        </w:rPr>
        <w:t xml:space="preserve"> that enable planners to align local planning instruments with national environmental regulations, international commitments (e.g., Paris Agreement, Sendai Framework), and global good practices in resilient and sustainable urban development.</w:t>
      </w:r>
    </w:p>
    <w:p w14:paraId="21382AD1" w14:textId="0AB071BC" w:rsidR="28C1AA3A" w:rsidRPr="00857B81" w:rsidRDefault="28C1AA3A" w:rsidP="00857B81">
      <w:pPr>
        <w:pStyle w:val="Paragraphedeliste"/>
        <w:numPr>
          <w:ilvl w:val="0"/>
          <w:numId w:val="248"/>
        </w:numPr>
        <w:spacing w:after="0"/>
        <w:jc w:val="both"/>
        <w:rPr>
          <w:highlight w:val="yellow"/>
        </w:rPr>
      </w:pPr>
      <w:r w:rsidRPr="00857B81">
        <w:rPr>
          <w:sz w:val="20"/>
          <w:szCs w:val="20"/>
          <w:highlight w:val="yellow"/>
        </w:rPr>
        <w:t xml:space="preserve">Key </w:t>
      </w:r>
      <w:proofErr w:type="spellStart"/>
      <w:r w:rsidRPr="00857B81">
        <w:rPr>
          <w:sz w:val="20"/>
          <w:szCs w:val="20"/>
          <w:highlight w:val="yellow"/>
        </w:rPr>
        <w:t>expected</w:t>
      </w:r>
      <w:proofErr w:type="spellEnd"/>
      <w:r w:rsidRPr="00857B81">
        <w:rPr>
          <w:sz w:val="20"/>
          <w:szCs w:val="20"/>
          <w:highlight w:val="yellow"/>
        </w:rPr>
        <w:t xml:space="preserve"> outputs </w:t>
      </w:r>
      <w:proofErr w:type="spellStart"/>
      <w:proofErr w:type="gramStart"/>
      <w:r w:rsidRPr="00857B81">
        <w:rPr>
          <w:sz w:val="20"/>
          <w:szCs w:val="20"/>
          <w:highlight w:val="yellow"/>
        </w:rPr>
        <w:t>include</w:t>
      </w:r>
      <w:proofErr w:type="spellEnd"/>
      <w:r w:rsidRPr="00857B81">
        <w:rPr>
          <w:sz w:val="20"/>
          <w:szCs w:val="20"/>
          <w:highlight w:val="yellow"/>
        </w:rPr>
        <w:t>:</w:t>
      </w:r>
      <w:proofErr w:type="gramEnd"/>
    </w:p>
    <w:p w14:paraId="0CCB5430" w14:textId="088F9972" w:rsidR="28C1AA3A" w:rsidRPr="00857B81" w:rsidRDefault="28C1AA3A" w:rsidP="00857B81">
      <w:pPr>
        <w:pStyle w:val="Paragraphedeliste"/>
        <w:numPr>
          <w:ilvl w:val="0"/>
          <w:numId w:val="248"/>
        </w:numPr>
        <w:spacing w:after="0"/>
        <w:jc w:val="both"/>
        <w:rPr>
          <w:highlight w:val="yellow"/>
          <w:lang w:val="en-US"/>
        </w:rPr>
      </w:pPr>
      <w:r w:rsidRPr="00857B81">
        <w:rPr>
          <w:sz w:val="20"/>
          <w:szCs w:val="20"/>
          <w:highlight w:val="yellow"/>
          <w:lang w:val="en-US"/>
        </w:rPr>
        <w:t xml:space="preserve">A technical guideline for the integration of environmental and climate risk considerations into territorial urban and spatial planning. The guideline will be informed by a comparative analysis of international benchmarks, GEF standards, and successful case studies from similar urban </w:t>
      </w:r>
      <w:proofErr w:type="gramStart"/>
      <w:r w:rsidRPr="00857B81">
        <w:rPr>
          <w:sz w:val="20"/>
          <w:szCs w:val="20"/>
          <w:highlight w:val="yellow"/>
          <w:lang w:val="en-US"/>
        </w:rPr>
        <w:t>contexts;</w:t>
      </w:r>
      <w:proofErr w:type="gramEnd"/>
    </w:p>
    <w:p w14:paraId="4FBB28B1" w14:textId="3AEECB5D" w:rsidR="28C1AA3A" w:rsidRPr="00857B81" w:rsidRDefault="28C1AA3A" w:rsidP="00857B81">
      <w:pPr>
        <w:pStyle w:val="Paragraphedeliste"/>
        <w:numPr>
          <w:ilvl w:val="0"/>
          <w:numId w:val="248"/>
        </w:numPr>
        <w:spacing w:after="0"/>
        <w:jc w:val="both"/>
        <w:rPr>
          <w:highlight w:val="yellow"/>
          <w:lang w:val="en-US"/>
        </w:rPr>
      </w:pPr>
      <w:r w:rsidRPr="00857B81">
        <w:rPr>
          <w:sz w:val="20"/>
          <w:szCs w:val="20"/>
          <w:highlight w:val="yellow"/>
          <w:lang w:val="en-US"/>
        </w:rPr>
        <w:t xml:space="preserve">A pilot application of the guideline in two municipalities within the Bamako District, using actual planning documents (e.g., Local Urban Master Plans, land use plans) to test its applicability, identify gaps, and adapt the tool to local institutional and technical </w:t>
      </w:r>
      <w:proofErr w:type="gramStart"/>
      <w:r w:rsidRPr="00857B81">
        <w:rPr>
          <w:sz w:val="20"/>
          <w:szCs w:val="20"/>
          <w:highlight w:val="yellow"/>
          <w:lang w:val="en-US"/>
        </w:rPr>
        <w:t>realities;</w:t>
      </w:r>
      <w:proofErr w:type="gramEnd"/>
    </w:p>
    <w:p w14:paraId="79CDABCF" w14:textId="4C3F40E6" w:rsidR="28C1AA3A" w:rsidRPr="00857B81" w:rsidRDefault="28C1AA3A" w:rsidP="00857B81">
      <w:pPr>
        <w:pStyle w:val="Paragraphedeliste"/>
        <w:numPr>
          <w:ilvl w:val="0"/>
          <w:numId w:val="248"/>
        </w:numPr>
        <w:spacing w:after="0"/>
        <w:jc w:val="both"/>
        <w:rPr>
          <w:highlight w:val="yellow"/>
          <w:lang w:val="en-US"/>
        </w:rPr>
      </w:pPr>
      <w:r w:rsidRPr="00857B81">
        <w:rPr>
          <w:sz w:val="20"/>
          <w:szCs w:val="20"/>
          <w:highlight w:val="yellow"/>
          <w:lang w:val="en-US"/>
        </w:rPr>
        <w:t>Two capacity-building and validation workshops: one for local technical teams and elected officials to ensure knowledge transfer and strengthen institutional capacities; and one broader stakeholder workshop to validate the final version of the guideline, promote ownership, and encourage cross-sectoral uptake.</w:t>
      </w:r>
    </w:p>
    <w:p w14:paraId="309DE427" w14:textId="227C97DB" w:rsidR="28C1AA3A" w:rsidRPr="00857B81" w:rsidRDefault="28C1AA3A" w:rsidP="00857B81">
      <w:pPr>
        <w:pStyle w:val="Paragraphedeliste"/>
        <w:numPr>
          <w:ilvl w:val="0"/>
          <w:numId w:val="248"/>
        </w:numPr>
        <w:spacing w:after="0"/>
        <w:jc w:val="both"/>
        <w:rPr>
          <w:highlight w:val="yellow"/>
          <w:lang w:val="en-US"/>
        </w:rPr>
      </w:pPr>
      <w:r w:rsidRPr="00857B81">
        <w:rPr>
          <w:sz w:val="20"/>
          <w:szCs w:val="20"/>
          <w:highlight w:val="yellow"/>
          <w:lang w:val="en-US"/>
        </w:rPr>
        <w:t>This activity will directly contribute to:</w:t>
      </w:r>
    </w:p>
    <w:p w14:paraId="55745993" w14:textId="557CC79A" w:rsidR="28C1AA3A" w:rsidRPr="00857B81" w:rsidRDefault="28C1AA3A" w:rsidP="00857B81">
      <w:pPr>
        <w:pStyle w:val="Paragraphedeliste"/>
        <w:numPr>
          <w:ilvl w:val="0"/>
          <w:numId w:val="248"/>
        </w:numPr>
        <w:spacing w:after="0"/>
        <w:jc w:val="both"/>
        <w:rPr>
          <w:highlight w:val="yellow"/>
          <w:lang w:val="en-US"/>
        </w:rPr>
      </w:pPr>
      <w:r w:rsidRPr="00857B81">
        <w:rPr>
          <w:sz w:val="20"/>
          <w:szCs w:val="20"/>
          <w:highlight w:val="yellow"/>
          <w:lang w:val="en-US"/>
        </w:rPr>
        <w:t xml:space="preserve">Enhancing the resilience of urban development through risk-informed </w:t>
      </w:r>
      <w:proofErr w:type="gramStart"/>
      <w:r w:rsidRPr="00857B81">
        <w:rPr>
          <w:sz w:val="20"/>
          <w:szCs w:val="20"/>
          <w:highlight w:val="yellow"/>
          <w:lang w:val="en-US"/>
        </w:rPr>
        <w:t>planning;</w:t>
      </w:r>
      <w:proofErr w:type="gramEnd"/>
    </w:p>
    <w:p w14:paraId="5201D0BD" w14:textId="2169BFC5" w:rsidR="28C1AA3A" w:rsidRPr="00857B81" w:rsidRDefault="28C1AA3A" w:rsidP="00857B81">
      <w:pPr>
        <w:pStyle w:val="Paragraphedeliste"/>
        <w:numPr>
          <w:ilvl w:val="0"/>
          <w:numId w:val="248"/>
        </w:numPr>
        <w:spacing w:after="0"/>
        <w:jc w:val="both"/>
        <w:rPr>
          <w:highlight w:val="yellow"/>
          <w:lang w:val="en-US"/>
        </w:rPr>
      </w:pPr>
      <w:r w:rsidRPr="00857B81">
        <w:rPr>
          <w:sz w:val="20"/>
          <w:szCs w:val="20"/>
          <w:highlight w:val="yellow"/>
          <w:lang w:val="en-US"/>
        </w:rPr>
        <w:t xml:space="preserve">Improving environmental governance at the local level, by mainstreaming environmental and climate regulations into planning </w:t>
      </w:r>
      <w:proofErr w:type="gramStart"/>
      <w:r w:rsidRPr="00857B81">
        <w:rPr>
          <w:sz w:val="20"/>
          <w:szCs w:val="20"/>
          <w:highlight w:val="yellow"/>
          <w:lang w:val="en-US"/>
        </w:rPr>
        <w:t>procedures;</w:t>
      </w:r>
      <w:proofErr w:type="gramEnd"/>
    </w:p>
    <w:p w14:paraId="57A41312" w14:textId="1D23489B" w:rsidR="28C1AA3A" w:rsidRPr="00857B81" w:rsidRDefault="28C1AA3A" w:rsidP="00857B81">
      <w:pPr>
        <w:pStyle w:val="Paragraphedeliste"/>
        <w:numPr>
          <w:ilvl w:val="0"/>
          <w:numId w:val="248"/>
        </w:numPr>
        <w:spacing w:after="0"/>
        <w:jc w:val="both"/>
        <w:rPr>
          <w:highlight w:val="yellow"/>
          <w:lang w:val="en-US"/>
        </w:rPr>
      </w:pPr>
      <w:r w:rsidRPr="00857B81">
        <w:rPr>
          <w:sz w:val="20"/>
          <w:szCs w:val="20"/>
          <w:highlight w:val="yellow"/>
          <w:lang w:val="en-US"/>
        </w:rPr>
        <w:t>Supporting long-term investment planning, by reducing exposure to environmental liabilities and promoting nature-based solutions.</w:t>
      </w:r>
    </w:p>
    <w:p w14:paraId="66949E8C" w14:textId="74E8B11C" w:rsidR="28C1AA3A" w:rsidRPr="00857B81" w:rsidRDefault="28C1AA3A" w:rsidP="00857B81">
      <w:pPr>
        <w:pStyle w:val="Paragraphedeliste"/>
        <w:numPr>
          <w:ilvl w:val="0"/>
          <w:numId w:val="248"/>
        </w:numPr>
        <w:rPr>
          <w:highlight w:val="yellow"/>
          <w:lang w:val="en-US"/>
        </w:rPr>
      </w:pPr>
      <w:r w:rsidRPr="00857B81">
        <w:rPr>
          <w:sz w:val="20"/>
          <w:szCs w:val="20"/>
          <w:highlight w:val="yellow"/>
          <w:u w:val="single"/>
          <w:lang w:val="en-US"/>
        </w:rPr>
        <w:t>Strategic Alignment</w:t>
      </w:r>
      <w:r w:rsidRPr="00857B81">
        <w:rPr>
          <w:b/>
          <w:bCs/>
          <w:sz w:val="20"/>
          <w:szCs w:val="20"/>
          <w:highlight w:val="yellow"/>
          <w:lang w:val="en-US"/>
        </w:rPr>
        <w:t xml:space="preserve">: </w:t>
      </w:r>
      <w:r w:rsidRPr="00857B81">
        <w:rPr>
          <w:sz w:val="20"/>
          <w:szCs w:val="20"/>
          <w:highlight w:val="yellow"/>
          <w:lang w:val="en-US"/>
        </w:rPr>
        <w:t>This activity complements Activities 1.1.1.2 and 1.1.1.5, of course the broader objective of Component 1 to build a coherent, inclusive, and resilient urban planning framework for Bamako.</w:t>
      </w:r>
    </w:p>
    <w:p w14:paraId="6A3A4168" w14:textId="3E188634" w:rsidR="004F7DB3" w:rsidRPr="00857B81" w:rsidRDefault="5981580C" w:rsidP="0764FF73">
      <w:pPr>
        <w:rPr>
          <w:i/>
          <w:iCs/>
          <w:color w:val="000000" w:themeColor="text1"/>
          <w:sz w:val="20"/>
          <w:szCs w:val="20"/>
          <w:highlight w:val="yellow"/>
          <w:u w:val="single"/>
          <w:lang w:val="en-US"/>
        </w:rPr>
      </w:pPr>
      <w:r w:rsidRPr="00857B81">
        <w:rPr>
          <w:i/>
          <w:iCs/>
          <w:color w:val="000000" w:themeColor="text1"/>
          <w:sz w:val="20"/>
          <w:szCs w:val="20"/>
          <w:highlight w:val="yellow"/>
          <w:u w:val="single"/>
          <w:lang w:val="en-US"/>
        </w:rPr>
        <w:t>Activity 1.1.1.</w:t>
      </w:r>
      <w:r w:rsidR="1259B4CC" w:rsidRPr="00857B81">
        <w:rPr>
          <w:i/>
          <w:iCs/>
          <w:color w:val="000000" w:themeColor="text1"/>
          <w:sz w:val="20"/>
          <w:szCs w:val="20"/>
          <w:highlight w:val="yellow"/>
          <w:u w:val="single"/>
          <w:lang w:val="en-US"/>
        </w:rPr>
        <w:t>7</w:t>
      </w:r>
      <w:r w:rsidRPr="00857B81">
        <w:rPr>
          <w:i/>
          <w:iCs/>
          <w:color w:val="000000" w:themeColor="text1"/>
          <w:sz w:val="20"/>
          <w:szCs w:val="20"/>
          <w:highlight w:val="yellow"/>
          <w:u w:val="single"/>
          <w:lang w:val="en-US"/>
        </w:rPr>
        <w:t xml:space="preserve"> Operationalization of easement and construction control services in Bamako</w:t>
      </w:r>
    </w:p>
    <w:p w14:paraId="72AB1150" w14:textId="755F38A5" w:rsidR="5981580C" w:rsidRPr="00857B81" w:rsidRDefault="3408F5C6" w:rsidP="0764FF73">
      <w:pPr>
        <w:spacing w:after="0"/>
        <w:jc w:val="both"/>
        <w:rPr>
          <w:sz w:val="20"/>
          <w:szCs w:val="20"/>
          <w:highlight w:val="yellow"/>
          <w:lang w:val="en-US"/>
        </w:rPr>
      </w:pPr>
      <w:r w:rsidRPr="00857B81">
        <w:rPr>
          <w:sz w:val="20"/>
          <w:szCs w:val="20"/>
          <w:highlight w:val="yellow"/>
          <w:lang w:val="en-US"/>
        </w:rPr>
        <w:t xml:space="preserve"> This activity aims to </w:t>
      </w:r>
      <w:r w:rsidRPr="00857B81">
        <w:rPr>
          <w:b/>
          <w:bCs/>
          <w:sz w:val="20"/>
          <w:szCs w:val="20"/>
          <w:highlight w:val="yellow"/>
          <w:lang w:val="en-US"/>
        </w:rPr>
        <w:t>enhance the enforcement of urban planning regulations</w:t>
      </w:r>
      <w:r w:rsidRPr="00857B81">
        <w:rPr>
          <w:sz w:val="20"/>
          <w:szCs w:val="20"/>
          <w:highlight w:val="yellow"/>
          <w:lang w:val="en-US"/>
        </w:rPr>
        <w:t xml:space="preserve"> and promote sustainable, safe, and equitable land use in Bamako and selected target municipalities by </w:t>
      </w:r>
      <w:r w:rsidRPr="00857B81">
        <w:rPr>
          <w:b/>
          <w:bCs/>
          <w:sz w:val="20"/>
          <w:szCs w:val="20"/>
          <w:highlight w:val="yellow"/>
          <w:lang w:val="en-US"/>
        </w:rPr>
        <w:t>operationalizing easement and construction control services</w:t>
      </w:r>
      <w:r w:rsidRPr="00857B81">
        <w:rPr>
          <w:sz w:val="20"/>
          <w:szCs w:val="20"/>
          <w:highlight w:val="yellow"/>
          <w:lang w:val="en-US"/>
        </w:rPr>
        <w:t>.</w:t>
      </w:r>
    </w:p>
    <w:p w14:paraId="161E25D9" w14:textId="767E6D25" w:rsidR="3408F5C6" w:rsidRPr="00857B81" w:rsidRDefault="3408F5C6" w:rsidP="00857B81">
      <w:pPr>
        <w:spacing w:after="0"/>
        <w:jc w:val="both"/>
        <w:rPr>
          <w:sz w:val="20"/>
          <w:szCs w:val="20"/>
          <w:highlight w:val="yellow"/>
          <w:lang w:val="en-US"/>
        </w:rPr>
      </w:pPr>
      <w:r w:rsidRPr="00857B81">
        <w:rPr>
          <w:sz w:val="20"/>
          <w:szCs w:val="20"/>
          <w:highlight w:val="yellow"/>
          <w:lang w:val="en-US"/>
        </w:rPr>
        <w:t>In the context of rapid urban expansion, weak enforcement of urban regulations has led to the proliferation of informal settlements, construction in hazardous zones, obstruction of public rights-of-way, and degradation of urban environmental quality. These dynamics hinder the implementation of formal land use plans, compromise the safety and accessibility of urban infrastructure, and exacerbate vulnerabilities to climate risks such as flooding and erosion.</w:t>
      </w:r>
    </w:p>
    <w:p w14:paraId="44DB42FD" w14:textId="4CCCD0EA" w:rsidR="3408F5C6" w:rsidRPr="00857B81" w:rsidRDefault="3408F5C6" w:rsidP="00857B81">
      <w:pPr>
        <w:spacing w:after="0"/>
        <w:jc w:val="both"/>
        <w:rPr>
          <w:sz w:val="20"/>
          <w:szCs w:val="20"/>
          <w:highlight w:val="yellow"/>
          <w:lang w:val="en-US"/>
        </w:rPr>
      </w:pPr>
      <w:r w:rsidRPr="00857B81">
        <w:rPr>
          <w:sz w:val="20"/>
          <w:szCs w:val="20"/>
          <w:highlight w:val="yellow"/>
          <w:lang w:val="en-US"/>
        </w:rPr>
        <w:t xml:space="preserve"> </w:t>
      </w:r>
    </w:p>
    <w:p w14:paraId="5247F9B8" w14:textId="3655B325" w:rsidR="3408F5C6" w:rsidRPr="00857B81" w:rsidRDefault="3408F5C6" w:rsidP="00857B81">
      <w:pPr>
        <w:spacing w:after="0"/>
        <w:jc w:val="both"/>
        <w:rPr>
          <w:sz w:val="20"/>
          <w:szCs w:val="20"/>
          <w:highlight w:val="yellow"/>
          <w:lang w:val="en-US"/>
        </w:rPr>
      </w:pPr>
      <w:r w:rsidRPr="00857B81">
        <w:rPr>
          <w:sz w:val="20"/>
          <w:szCs w:val="20"/>
          <w:highlight w:val="yellow"/>
          <w:lang w:val="en-US"/>
        </w:rPr>
        <w:t xml:space="preserve">The activity will directly address these challenges by establishing </w:t>
      </w:r>
      <w:r w:rsidRPr="00857B81">
        <w:rPr>
          <w:b/>
          <w:bCs/>
          <w:sz w:val="20"/>
          <w:szCs w:val="20"/>
          <w:highlight w:val="yellow"/>
          <w:lang w:val="en-US"/>
        </w:rPr>
        <w:t>functioning institutional and technical mechanisms</w:t>
      </w:r>
      <w:r w:rsidRPr="00857B81">
        <w:rPr>
          <w:sz w:val="20"/>
          <w:szCs w:val="20"/>
          <w:highlight w:val="yellow"/>
          <w:lang w:val="en-US"/>
        </w:rPr>
        <w:t xml:space="preserve"> for controlling and regulating construction activities and protecting public easements (e.g., roads, </w:t>
      </w:r>
      <w:r w:rsidRPr="00857B81">
        <w:rPr>
          <w:sz w:val="20"/>
          <w:szCs w:val="20"/>
          <w:highlight w:val="yellow"/>
          <w:lang w:val="en-US"/>
        </w:rPr>
        <w:lastRenderedPageBreak/>
        <w:t>drainage corridors, green spaces, utility rights-of-way). These mechanisms will ensure that urban development aligns with approved plans and complies with applicable legal, environmental, and safety standards.</w:t>
      </w:r>
    </w:p>
    <w:p w14:paraId="4DFA7F88" w14:textId="2E7E3D98" w:rsidR="3408F5C6" w:rsidRPr="00857B81" w:rsidRDefault="3408F5C6" w:rsidP="00857B81">
      <w:pPr>
        <w:spacing w:after="0"/>
        <w:jc w:val="both"/>
        <w:rPr>
          <w:b/>
          <w:bCs/>
          <w:sz w:val="20"/>
          <w:szCs w:val="20"/>
          <w:highlight w:val="yellow"/>
          <w:lang w:val="en-US"/>
        </w:rPr>
      </w:pPr>
      <w:r w:rsidRPr="00857B81">
        <w:rPr>
          <w:b/>
          <w:bCs/>
          <w:sz w:val="20"/>
          <w:szCs w:val="20"/>
          <w:highlight w:val="yellow"/>
          <w:lang w:val="en-US"/>
        </w:rPr>
        <w:t>Key objectives and expected outputs include:</w:t>
      </w:r>
    </w:p>
    <w:p w14:paraId="6DDAAACD" w14:textId="3673B7BC" w:rsidR="3408F5C6" w:rsidRPr="00857B81" w:rsidRDefault="3408F5C6" w:rsidP="00857B81">
      <w:pPr>
        <w:pStyle w:val="Paragraphedeliste"/>
        <w:numPr>
          <w:ilvl w:val="0"/>
          <w:numId w:val="60"/>
        </w:numPr>
        <w:spacing w:after="0"/>
        <w:jc w:val="both"/>
        <w:rPr>
          <w:sz w:val="20"/>
          <w:szCs w:val="20"/>
          <w:highlight w:val="yellow"/>
          <w:lang w:val="en-US"/>
        </w:rPr>
      </w:pPr>
      <w:r w:rsidRPr="00857B81">
        <w:rPr>
          <w:b/>
          <w:bCs/>
          <w:sz w:val="20"/>
          <w:szCs w:val="20"/>
          <w:highlight w:val="yellow"/>
          <w:lang w:val="en-US"/>
        </w:rPr>
        <w:t>Institutional and operational review</w:t>
      </w:r>
      <w:r w:rsidRPr="00857B81">
        <w:rPr>
          <w:sz w:val="20"/>
          <w:szCs w:val="20"/>
          <w:highlight w:val="yellow"/>
          <w:lang w:val="en-US"/>
        </w:rPr>
        <w:t xml:space="preserve"> of current easement and construction control systems, identifying capacity gaps, legal barriers, and coordination </w:t>
      </w:r>
      <w:proofErr w:type="gramStart"/>
      <w:r w:rsidRPr="00857B81">
        <w:rPr>
          <w:sz w:val="20"/>
          <w:szCs w:val="20"/>
          <w:highlight w:val="yellow"/>
          <w:lang w:val="en-US"/>
        </w:rPr>
        <w:t>needs;</w:t>
      </w:r>
      <w:proofErr w:type="gramEnd"/>
    </w:p>
    <w:p w14:paraId="64064DA3" w14:textId="6B1B5CE5" w:rsidR="3408F5C6" w:rsidRPr="00857B81" w:rsidRDefault="3408F5C6" w:rsidP="00857B81">
      <w:pPr>
        <w:pStyle w:val="Paragraphedeliste"/>
        <w:numPr>
          <w:ilvl w:val="0"/>
          <w:numId w:val="60"/>
        </w:numPr>
        <w:spacing w:after="0"/>
        <w:jc w:val="both"/>
        <w:rPr>
          <w:sz w:val="20"/>
          <w:szCs w:val="20"/>
          <w:highlight w:val="yellow"/>
          <w:lang w:val="en-US"/>
        </w:rPr>
      </w:pPr>
      <w:r w:rsidRPr="00857B81">
        <w:rPr>
          <w:b/>
          <w:bCs/>
          <w:sz w:val="20"/>
          <w:szCs w:val="20"/>
          <w:highlight w:val="yellow"/>
          <w:lang w:val="en-US"/>
        </w:rPr>
        <w:t>Improve and implement operational procedures</w:t>
      </w:r>
      <w:r w:rsidRPr="00857B81">
        <w:rPr>
          <w:sz w:val="20"/>
          <w:szCs w:val="20"/>
          <w:highlight w:val="yellow"/>
          <w:lang w:val="en-US"/>
        </w:rPr>
        <w:t xml:space="preserve">, including inspection protocols, permit verification, and enforcement </w:t>
      </w:r>
      <w:proofErr w:type="gramStart"/>
      <w:r w:rsidRPr="00857B81">
        <w:rPr>
          <w:sz w:val="20"/>
          <w:szCs w:val="20"/>
          <w:highlight w:val="yellow"/>
          <w:lang w:val="en-US"/>
        </w:rPr>
        <w:t>actions;</w:t>
      </w:r>
      <w:proofErr w:type="gramEnd"/>
    </w:p>
    <w:p w14:paraId="7FED632D" w14:textId="15B9E460" w:rsidR="3408F5C6" w:rsidRPr="00857B81" w:rsidRDefault="3408F5C6" w:rsidP="00857B81">
      <w:pPr>
        <w:pStyle w:val="Paragraphedeliste"/>
        <w:numPr>
          <w:ilvl w:val="0"/>
          <w:numId w:val="60"/>
        </w:numPr>
        <w:spacing w:after="0"/>
        <w:jc w:val="both"/>
        <w:rPr>
          <w:sz w:val="20"/>
          <w:szCs w:val="20"/>
          <w:highlight w:val="yellow"/>
          <w:lang w:val="en-US"/>
        </w:rPr>
      </w:pPr>
      <w:r w:rsidRPr="00857B81">
        <w:rPr>
          <w:b/>
          <w:bCs/>
          <w:sz w:val="20"/>
          <w:szCs w:val="20"/>
          <w:highlight w:val="yellow"/>
          <w:lang w:val="en-US"/>
        </w:rPr>
        <w:t>Provision of training and technical support</w:t>
      </w:r>
      <w:r w:rsidRPr="00857B81">
        <w:rPr>
          <w:sz w:val="20"/>
          <w:szCs w:val="20"/>
          <w:highlight w:val="yellow"/>
          <w:lang w:val="en-US"/>
        </w:rPr>
        <w:t xml:space="preserve"> to municipal urban planning and inspection units, with a focus on compliance monitoring, environmental and safety assessments, and citizen </w:t>
      </w:r>
      <w:proofErr w:type="gramStart"/>
      <w:r w:rsidRPr="00857B81">
        <w:rPr>
          <w:sz w:val="20"/>
          <w:szCs w:val="20"/>
          <w:highlight w:val="yellow"/>
          <w:lang w:val="en-US"/>
        </w:rPr>
        <w:t>engagement;</w:t>
      </w:r>
      <w:proofErr w:type="gramEnd"/>
    </w:p>
    <w:p w14:paraId="65BEBB73" w14:textId="39340C20" w:rsidR="3408F5C6" w:rsidRPr="00857B81" w:rsidRDefault="3408F5C6" w:rsidP="00857B81">
      <w:pPr>
        <w:pStyle w:val="Paragraphedeliste"/>
        <w:numPr>
          <w:ilvl w:val="0"/>
          <w:numId w:val="60"/>
        </w:numPr>
        <w:spacing w:after="0"/>
        <w:jc w:val="both"/>
        <w:rPr>
          <w:sz w:val="20"/>
          <w:szCs w:val="20"/>
          <w:highlight w:val="yellow"/>
          <w:lang w:val="en-US"/>
        </w:rPr>
      </w:pPr>
      <w:r w:rsidRPr="00857B81">
        <w:rPr>
          <w:b/>
          <w:bCs/>
          <w:sz w:val="20"/>
          <w:szCs w:val="20"/>
          <w:highlight w:val="yellow"/>
          <w:lang w:val="en-US"/>
        </w:rPr>
        <w:t>Public awareness campaigns</w:t>
      </w:r>
      <w:r w:rsidRPr="00857B81">
        <w:rPr>
          <w:sz w:val="20"/>
          <w:szCs w:val="20"/>
          <w:highlight w:val="yellow"/>
          <w:lang w:val="en-US"/>
        </w:rPr>
        <w:t xml:space="preserve"> to inform residents, developers, and community leaders about building codes, easement regulations, and reporting mechanisms for infractions.</w:t>
      </w:r>
    </w:p>
    <w:p w14:paraId="5781F14F" w14:textId="610D0E78" w:rsidR="3408F5C6" w:rsidRPr="00857B81" w:rsidRDefault="6E79DCE2" w:rsidP="00857B81">
      <w:pPr>
        <w:spacing w:after="0"/>
        <w:jc w:val="both"/>
        <w:rPr>
          <w:sz w:val="20"/>
          <w:szCs w:val="20"/>
          <w:highlight w:val="yellow"/>
          <w:lang w:val="en-US"/>
        </w:rPr>
      </w:pPr>
      <w:r w:rsidRPr="00857B81">
        <w:rPr>
          <w:sz w:val="20"/>
          <w:szCs w:val="20"/>
          <w:highlight w:val="yellow"/>
          <w:u w:val="single"/>
          <w:lang w:val="en-US"/>
        </w:rPr>
        <w:t xml:space="preserve">Strategic Importance and Linkages: </w:t>
      </w:r>
      <w:r w:rsidRPr="00857B81">
        <w:rPr>
          <w:sz w:val="20"/>
          <w:szCs w:val="20"/>
          <w:highlight w:val="yellow"/>
          <w:lang w:val="en-US"/>
        </w:rPr>
        <w:t xml:space="preserve">This activity is essential to </w:t>
      </w:r>
      <w:r w:rsidRPr="00857B81">
        <w:rPr>
          <w:b/>
          <w:bCs/>
          <w:sz w:val="20"/>
          <w:szCs w:val="20"/>
          <w:highlight w:val="yellow"/>
          <w:lang w:val="en-US"/>
        </w:rPr>
        <w:t>translate urban plans into effective, enforceable realities</w:t>
      </w:r>
      <w:r w:rsidRPr="00857B81">
        <w:rPr>
          <w:sz w:val="20"/>
          <w:szCs w:val="20"/>
          <w:highlight w:val="yellow"/>
          <w:lang w:val="en-US"/>
        </w:rPr>
        <w:t xml:space="preserve"> and to prevent further spatial fragmentation, informal construction, and misuse of public land. It supports and complements Activities</w:t>
      </w:r>
      <w:r w:rsidRPr="00857B81">
        <w:rPr>
          <w:b/>
          <w:bCs/>
          <w:sz w:val="20"/>
          <w:szCs w:val="20"/>
          <w:highlight w:val="yellow"/>
          <w:lang w:val="en-US"/>
        </w:rPr>
        <w:t xml:space="preserve"> 1.1.1.2</w:t>
      </w:r>
      <w:r w:rsidRPr="00857B81">
        <w:rPr>
          <w:sz w:val="20"/>
          <w:szCs w:val="20"/>
          <w:highlight w:val="yellow"/>
          <w:lang w:val="en-US"/>
        </w:rPr>
        <w:t xml:space="preserve">, </w:t>
      </w:r>
      <w:r w:rsidRPr="00857B81">
        <w:rPr>
          <w:b/>
          <w:bCs/>
          <w:sz w:val="20"/>
          <w:szCs w:val="20"/>
          <w:highlight w:val="yellow"/>
          <w:lang w:val="en-US"/>
        </w:rPr>
        <w:t>1.1.1.6</w:t>
      </w:r>
      <w:r w:rsidRPr="00857B81">
        <w:rPr>
          <w:sz w:val="20"/>
          <w:szCs w:val="20"/>
          <w:highlight w:val="yellow"/>
          <w:lang w:val="en-US"/>
        </w:rPr>
        <w:t xml:space="preserve"> by enforcing zoning restrictions in environmentally sensitive area, for </w:t>
      </w:r>
      <w:r w:rsidR="58A652AC" w:rsidRPr="00857B81">
        <w:rPr>
          <w:sz w:val="20"/>
          <w:szCs w:val="20"/>
          <w:highlight w:val="yellow"/>
          <w:lang w:val="en-US"/>
        </w:rPr>
        <w:t>example,</w:t>
      </w:r>
      <w:r w:rsidRPr="00857B81">
        <w:rPr>
          <w:sz w:val="20"/>
          <w:szCs w:val="20"/>
          <w:highlight w:val="yellow"/>
          <w:lang w:val="en-US"/>
        </w:rPr>
        <w:t xml:space="preserve"> and </w:t>
      </w:r>
      <w:r w:rsidRPr="00857B81">
        <w:rPr>
          <w:b/>
          <w:bCs/>
          <w:sz w:val="20"/>
          <w:szCs w:val="20"/>
          <w:highlight w:val="yellow"/>
          <w:lang w:val="en-US"/>
        </w:rPr>
        <w:t>1.1.1.5</w:t>
      </w:r>
      <w:r w:rsidRPr="00857B81">
        <w:rPr>
          <w:sz w:val="20"/>
          <w:szCs w:val="20"/>
          <w:highlight w:val="yellow"/>
          <w:lang w:val="en-US"/>
        </w:rPr>
        <w:t>, by ensuring that pilot eco-neighborhoods are developed in accordance with sustainable construction norms and spatial regulations.</w:t>
      </w:r>
    </w:p>
    <w:p w14:paraId="68ADC28B" w14:textId="3CF207F3" w:rsidR="3408F5C6" w:rsidRPr="00857B81" w:rsidRDefault="3408F5C6">
      <w:pPr>
        <w:rPr>
          <w:highlight w:val="yellow"/>
          <w:lang w:val="en-US"/>
        </w:rPr>
      </w:pPr>
      <w:r w:rsidRPr="00857B81">
        <w:rPr>
          <w:sz w:val="20"/>
          <w:szCs w:val="20"/>
          <w:highlight w:val="yellow"/>
          <w:lang w:val="en-US"/>
        </w:rPr>
        <w:t>By institutionalizing construction oversight and easement protection, this activity contributes to the broader goals of urban resilience, safety, and equitable access to public goods, reinforcing the legal and operational foundations for sustainable urban development in Greater Bamako.</w:t>
      </w:r>
    </w:p>
    <w:p w14:paraId="6A148D5C" w14:textId="18BFC810" w:rsidR="004F7DB3" w:rsidRPr="00857B81" w:rsidRDefault="3967F488" w:rsidP="003974F4">
      <w:pPr>
        <w:rPr>
          <w:b/>
          <w:bCs/>
          <w:color w:val="000000" w:themeColor="text1"/>
          <w:sz w:val="20"/>
          <w:szCs w:val="20"/>
          <w:highlight w:val="yellow"/>
          <w:lang w:val="en-US"/>
        </w:rPr>
      </w:pPr>
      <w:r w:rsidRPr="2DC80E69">
        <w:rPr>
          <w:b/>
          <w:bCs/>
          <w:color w:val="000000" w:themeColor="text1"/>
          <w:sz w:val="20"/>
          <w:szCs w:val="20"/>
          <w:highlight w:val="yellow"/>
          <w:lang w:val="en-US"/>
        </w:rPr>
        <w:t xml:space="preserve">Output 1.1.2 – Strengthened Capacity for Sector Planning in Urban Areas at the National and </w:t>
      </w:r>
      <w:r w:rsidR="1200351B" w:rsidRPr="2DC80E69">
        <w:rPr>
          <w:b/>
          <w:bCs/>
          <w:color w:val="000000" w:themeColor="text1"/>
          <w:sz w:val="20"/>
          <w:szCs w:val="20"/>
          <w:highlight w:val="yellow"/>
          <w:lang w:val="en-US"/>
        </w:rPr>
        <w:t>Subnational</w:t>
      </w:r>
      <w:r w:rsidRPr="2DC80E69">
        <w:rPr>
          <w:b/>
          <w:bCs/>
          <w:color w:val="000000" w:themeColor="text1"/>
          <w:sz w:val="20"/>
          <w:szCs w:val="20"/>
          <w:highlight w:val="yellow"/>
          <w:lang w:val="en-US"/>
        </w:rPr>
        <w:t xml:space="preserve"> Level</w:t>
      </w:r>
    </w:p>
    <w:p w14:paraId="7A4CE8DA" w14:textId="106ABC0C" w:rsidR="00B56E8F" w:rsidRPr="003C5C1B" w:rsidRDefault="00B56E8F" w:rsidP="4B3DA424">
      <w:pPr>
        <w:jc w:val="both"/>
        <w:rPr>
          <w:rFonts w:eastAsiaTheme="minorEastAsia"/>
          <w:sz w:val="20"/>
          <w:szCs w:val="20"/>
          <w:highlight w:val="green"/>
          <w:lang w:val="en-US"/>
        </w:rPr>
      </w:pPr>
      <w:r w:rsidRPr="4B3DA424">
        <w:rPr>
          <w:rFonts w:eastAsiaTheme="minorEastAsia"/>
          <w:sz w:val="20"/>
          <w:szCs w:val="20"/>
          <w:highlight w:val="green"/>
          <w:lang w:val="en-US"/>
        </w:rPr>
        <w:t xml:space="preserve">The aim of this output is to equip national and </w:t>
      </w:r>
      <w:r w:rsidR="68BA82D4" w:rsidRPr="4B3DA424">
        <w:rPr>
          <w:rFonts w:eastAsiaTheme="minorEastAsia"/>
          <w:sz w:val="20"/>
          <w:szCs w:val="20"/>
          <w:highlight w:val="green"/>
          <w:lang w:val="en-US"/>
        </w:rPr>
        <w:t>subnational</w:t>
      </w:r>
      <w:r w:rsidRPr="4B3DA424">
        <w:rPr>
          <w:rFonts w:eastAsiaTheme="minorEastAsia"/>
          <w:sz w:val="20"/>
          <w:szCs w:val="20"/>
          <w:highlight w:val="green"/>
          <w:lang w:val="en-US"/>
        </w:rPr>
        <w:t xml:space="preserve"> partners with updated, coherent, and operational frameworks for the planning, governance, and implementation of sustainable, inclusive, and resilient urban services, particularly in the key sectors of transport and integrated solid waste management, including waste electrical and electronic equipment (WEEE).</w:t>
      </w:r>
    </w:p>
    <w:p w14:paraId="738DF019" w14:textId="77777777" w:rsidR="00B56E8F" w:rsidRPr="003C5C1B" w:rsidRDefault="00B56E8F" w:rsidP="00B56E8F">
      <w:pPr>
        <w:jc w:val="both"/>
        <w:rPr>
          <w:rFonts w:eastAsiaTheme="minorEastAsia"/>
          <w:sz w:val="20"/>
          <w:szCs w:val="20"/>
          <w:highlight w:val="green"/>
          <w:lang w:val="en-US"/>
        </w:rPr>
      </w:pPr>
      <w:r w:rsidRPr="003C5C1B">
        <w:rPr>
          <w:rFonts w:eastAsiaTheme="minorEastAsia"/>
          <w:sz w:val="20"/>
          <w:szCs w:val="20"/>
          <w:highlight w:val="green"/>
          <w:lang w:val="en-US"/>
        </w:rPr>
        <w:t>Output 1.1.2—positioned under Outcome 1.1, which focuses on harmonizing urban planning and governance systems—addresses the upstream institutional and cross-sectoral planning functions that form the foundation for effective and integrated urban development.</w:t>
      </w:r>
    </w:p>
    <w:p w14:paraId="2740E77E" w14:textId="77777777" w:rsidR="00B56E8F" w:rsidRPr="003C5C1B" w:rsidRDefault="00B56E8F" w:rsidP="00B56E8F">
      <w:pPr>
        <w:jc w:val="both"/>
        <w:rPr>
          <w:rFonts w:eastAsiaTheme="minorEastAsia"/>
          <w:sz w:val="20"/>
          <w:szCs w:val="20"/>
          <w:highlight w:val="green"/>
          <w:lang w:val="en-US"/>
        </w:rPr>
      </w:pPr>
      <w:r w:rsidRPr="003C5C1B">
        <w:rPr>
          <w:rFonts w:eastAsiaTheme="minorEastAsia"/>
          <w:sz w:val="20"/>
          <w:szCs w:val="20"/>
          <w:highlight w:val="green"/>
          <w:lang w:val="en-US"/>
        </w:rPr>
        <w:t>The transport component of Output 1.1.2 is directly linked to Outcome 2.1 (Component 2), which operationalizes the enabling conditions for low-emission and sustainable transport investments at the urban level. Activities such as the capacity-building of e-mobility stakeholders, implementation of Bamako’s Sustainable Urban Mobility Plan (SUMP), and the establishment of pollution monitoring systems will build on the policy and institutional frameworks developed under Output 1.1.2.</w:t>
      </w:r>
    </w:p>
    <w:p w14:paraId="7FFDA2B6" w14:textId="77777777" w:rsidR="00B56E8F" w:rsidRPr="003C5C1B" w:rsidRDefault="00B56E8F" w:rsidP="00B56E8F">
      <w:pPr>
        <w:jc w:val="both"/>
        <w:rPr>
          <w:rFonts w:eastAsiaTheme="minorEastAsia"/>
          <w:sz w:val="20"/>
          <w:szCs w:val="20"/>
          <w:highlight w:val="green"/>
          <w:lang w:val="en-US"/>
        </w:rPr>
      </w:pPr>
      <w:r w:rsidRPr="003C5C1B">
        <w:rPr>
          <w:rFonts w:eastAsiaTheme="minorEastAsia"/>
          <w:sz w:val="20"/>
          <w:szCs w:val="20"/>
          <w:highlight w:val="green"/>
          <w:lang w:val="en-US"/>
        </w:rPr>
        <w:t>Similarly, the solid waste and WEEE management elements of this output are interlinked with Component 3, which focuses on green infrastructure and circular economy models. Improved planning and governance capacities developed under Output 1.1.2 will facilitate the integration of sustainable waste management practices—including recycling, recovery, and green jobs creation—into broader urban resilience and green space initiatives supported under Component 3.</w:t>
      </w:r>
    </w:p>
    <w:p w14:paraId="3D873CAF" w14:textId="77777777" w:rsidR="006E15A3" w:rsidRDefault="00B56E8F" w:rsidP="00B56E8F">
      <w:pPr>
        <w:spacing w:after="0"/>
        <w:jc w:val="both"/>
        <w:rPr>
          <w:rFonts w:eastAsiaTheme="minorEastAsia"/>
          <w:sz w:val="20"/>
          <w:szCs w:val="20"/>
          <w:highlight w:val="green"/>
          <w:lang w:val="en-US"/>
        </w:rPr>
      </w:pPr>
      <w:r w:rsidRPr="003C5C1B">
        <w:rPr>
          <w:rFonts w:eastAsiaTheme="minorEastAsia"/>
          <w:sz w:val="20"/>
          <w:szCs w:val="20"/>
          <w:highlight w:val="green"/>
          <w:lang w:val="en-US"/>
        </w:rPr>
        <w:t>In essence, Output 1.1.2 serves as a cross-cutting enabler, ensuring that planning, governance, and sectoral coordination mechanisms are aligned to support the implementation of sustainable mobility systems (Component 2) and climate-resilient urban ecosystems (Component 3)</w:t>
      </w:r>
      <w:r w:rsidR="006E15A3">
        <w:rPr>
          <w:rFonts w:eastAsiaTheme="minorEastAsia"/>
          <w:sz w:val="20"/>
          <w:szCs w:val="20"/>
          <w:highlight w:val="green"/>
          <w:lang w:val="en-US"/>
        </w:rPr>
        <w:t>.</w:t>
      </w:r>
    </w:p>
    <w:p w14:paraId="5E105B23" w14:textId="21174A8B" w:rsidR="008D0A29" w:rsidRPr="007F4912" w:rsidRDefault="3F8E39B1" w:rsidP="00857B81">
      <w:pPr>
        <w:spacing w:after="0"/>
        <w:jc w:val="both"/>
        <w:rPr>
          <w:color w:val="000000" w:themeColor="text1"/>
          <w:sz w:val="20"/>
          <w:szCs w:val="20"/>
          <w:lang w:val="en-US"/>
        </w:rPr>
      </w:pPr>
      <w:r w:rsidRPr="00857B81">
        <w:rPr>
          <w:color w:val="000000" w:themeColor="text1"/>
          <w:sz w:val="20"/>
          <w:szCs w:val="20"/>
          <w:highlight w:val="yellow"/>
          <w:lang w:val="en-US"/>
        </w:rPr>
        <w:t>.</w:t>
      </w:r>
    </w:p>
    <w:p w14:paraId="0C743540" w14:textId="4C2732C9" w:rsidR="0764FF73" w:rsidRDefault="0764FF73" w:rsidP="0764FF73">
      <w:pPr>
        <w:spacing w:after="0"/>
        <w:jc w:val="both"/>
        <w:rPr>
          <w:color w:val="000000" w:themeColor="text1"/>
          <w:sz w:val="20"/>
          <w:szCs w:val="20"/>
          <w:lang w:val="en-US"/>
        </w:rPr>
      </w:pPr>
    </w:p>
    <w:p w14:paraId="4229A37B" w14:textId="03825F63" w:rsidR="004F7DB3" w:rsidRPr="005A4E07" w:rsidRDefault="606D6487" w:rsidP="1A8B662A">
      <w:pPr>
        <w:rPr>
          <w:i/>
          <w:iCs/>
          <w:color w:val="000000" w:themeColor="text1"/>
          <w:sz w:val="20"/>
          <w:szCs w:val="20"/>
          <w:u w:val="single"/>
          <w:lang w:val="en-US"/>
        </w:rPr>
      </w:pPr>
      <w:r w:rsidRPr="00857B81">
        <w:rPr>
          <w:i/>
          <w:iCs/>
          <w:color w:val="000000" w:themeColor="text1"/>
          <w:sz w:val="20"/>
          <w:szCs w:val="20"/>
          <w:highlight w:val="yellow"/>
          <w:u w:val="single"/>
          <w:lang w:val="en-US"/>
        </w:rPr>
        <w:t xml:space="preserve">Activity 1.1.2.1 – Revision of </w:t>
      </w:r>
      <w:proofErr w:type="gramStart"/>
      <w:r w:rsidRPr="00857B81">
        <w:rPr>
          <w:i/>
          <w:iCs/>
          <w:color w:val="000000" w:themeColor="text1"/>
          <w:sz w:val="20"/>
          <w:szCs w:val="20"/>
          <w:highlight w:val="yellow"/>
          <w:u w:val="single"/>
          <w:lang w:val="en-US"/>
        </w:rPr>
        <w:t xml:space="preserve">the </w:t>
      </w:r>
      <w:r w:rsidR="11991673" w:rsidRPr="00857B81">
        <w:rPr>
          <w:i/>
          <w:iCs/>
          <w:color w:val="000000" w:themeColor="text1"/>
          <w:sz w:val="20"/>
          <w:szCs w:val="20"/>
          <w:highlight w:val="yellow"/>
          <w:u w:val="single"/>
          <w:lang w:val="en-US"/>
        </w:rPr>
        <w:t xml:space="preserve"> National</w:t>
      </w:r>
      <w:proofErr w:type="gramEnd"/>
      <w:r w:rsidR="11991673" w:rsidRPr="00857B81">
        <w:rPr>
          <w:i/>
          <w:iCs/>
          <w:color w:val="000000" w:themeColor="text1"/>
          <w:sz w:val="20"/>
          <w:szCs w:val="20"/>
          <w:highlight w:val="yellow"/>
          <w:u w:val="single"/>
          <w:lang w:val="en-US"/>
        </w:rPr>
        <w:t xml:space="preserve"> Policy on Transport, Transport Infrastructure and Access to Landlocked Areas</w:t>
      </w:r>
      <w:r w:rsidRPr="00857B81">
        <w:rPr>
          <w:i/>
          <w:iCs/>
          <w:color w:val="000000" w:themeColor="text1"/>
          <w:sz w:val="20"/>
          <w:szCs w:val="20"/>
          <w:highlight w:val="yellow"/>
          <w:u w:val="single"/>
          <w:lang w:val="en-US"/>
        </w:rPr>
        <w:t xml:space="preserve"> (PNTITD)</w:t>
      </w:r>
    </w:p>
    <w:p w14:paraId="0FE4048F" w14:textId="7A471275" w:rsidR="004F7DB3" w:rsidRPr="007F4912" w:rsidRDefault="3967F488" w:rsidP="003974F4">
      <w:pPr>
        <w:rPr>
          <w:color w:val="000000" w:themeColor="text1"/>
          <w:sz w:val="20"/>
          <w:szCs w:val="20"/>
          <w:lang w:val="en-US"/>
        </w:rPr>
      </w:pPr>
      <w:r w:rsidRPr="007F4912">
        <w:rPr>
          <w:color w:val="000000" w:themeColor="text1"/>
          <w:sz w:val="20"/>
          <w:szCs w:val="20"/>
          <w:lang w:val="en-US"/>
        </w:rPr>
        <w:t>The current PNTITD, adopted by Decree No. 2016-0066/P-RM (15 Feb. 2016), requires updating to address emerging trends, and recent institutional reforms in transport governance.</w:t>
      </w:r>
    </w:p>
    <w:p w14:paraId="4C36616B" w14:textId="529DD3E4" w:rsidR="004F7DB3" w:rsidRPr="007F4912" w:rsidRDefault="68A681C1" w:rsidP="24AA8F7E">
      <w:pPr>
        <w:rPr>
          <w:color w:val="000000" w:themeColor="text1"/>
          <w:sz w:val="20"/>
          <w:szCs w:val="20"/>
          <w:lang w:val="en-US"/>
        </w:rPr>
      </w:pPr>
      <w:r w:rsidRPr="0764FF73">
        <w:rPr>
          <w:color w:val="000000" w:themeColor="text1"/>
          <w:sz w:val="20"/>
          <w:szCs w:val="20"/>
          <w:lang w:val="en-US"/>
        </w:rPr>
        <w:lastRenderedPageBreak/>
        <w:t xml:space="preserve">Led by the Ministry of Transport and its General Directorate, the review will be participatory, engaging national stakeholders and the 26 communes of Greater Bamako. </w:t>
      </w:r>
      <w:r w:rsidR="52DCD394" w:rsidRPr="0764FF73">
        <w:rPr>
          <w:color w:val="000000" w:themeColor="text1"/>
          <w:sz w:val="20"/>
          <w:szCs w:val="20"/>
          <w:lang w:val="en-US"/>
        </w:rPr>
        <w:t>Particular attention will be paid to the inclusion of women and vulnerable groups in the consultation process, to ensure that the revised policy reflects differentiated mobility and accessibility needs.</w:t>
      </w:r>
    </w:p>
    <w:p w14:paraId="6157D207" w14:textId="0B4EFDA2" w:rsidR="36E2FD0B" w:rsidRPr="00857B81" w:rsidRDefault="36E2FD0B" w:rsidP="0764FF73">
      <w:pPr>
        <w:rPr>
          <w:sz w:val="20"/>
          <w:szCs w:val="20"/>
          <w:highlight w:val="yellow"/>
          <w:lang w:val="en-US"/>
        </w:rPr>
      </w:pPr>
      <w:r w:rsidRPr="00857B81">
        <w:rPr>
          <w:color w:val="000000" w:themeColor="text1"/>
          <w:sz w:val="20"/>
          <w:szCs w:val="20"/>
          <w:highlight w:val="yellow"/>
          <w:lang w:val="en-US"/>
        </w:rPr>
        <w:t xml:space="preserve">Revising this policy is crucial for ensuring that urban transport planning is aligned with national spatial development priorities, climate change goals, and inter-municipal coordination mechanisms. The process involves convening stakeholders from diverse </w:t>
      </w:r>
      <w:r w:rsidR="00117648" w:rsidRPr="00857B81">
        <w:rPr>
          <w:color w:val="000000" w:themeColor="text1"/>
          <w:sz w:val="20"/>
          <w:szCs w:val="20"/>
          <w:highlight w:val="yellow"/>
          <w:lang w:val="en-US"/>
        </w:rPr>
        <w:t xml:space="preserve">sectors, </w:t>
      </w:r>
      <w:r w:rsidRPr="00857B81">
        <w:rPr>
          <w:color w:val="000000" w:themeColor="text1"/>
          <w:sz w:val="20"/>
          <w:szCs w:val="20"/>
          <w:highlight w:val="yellow"/>
          <w:lang w:val="en-US"/>
        </w:rPr>
        <w:t>transport, infrastructure, environment, urban planning, finance, and decentralization</w:t>
      </w:r>
      <w:r w:rsidR="00117648">
        <w:rPr>
          <w:color w:val="000000" w:themeColor="text1"/>
          <w:sz w:val="20"/>
          <w:szCs w:val="20"/>
          <w:highlight w:val="yellow"/>
          <w:lang w:val="en-US"/>
        </w:rPr>
        <w:t xml:space="preserve">, </w:t>
      </w:r>
      <w:r w:rsidRPr="00857B81">
        <w:rPr>
          <w:color w:val="000000" w:themeColor="text1"/>
          <w:sz w:val="20"/>
          <w:szCs w:val="20"/>
          <w:highlight w:val="yellow"/>
          <w:lang w:val="en-US"/>
        </w:rPr>
        <w:t>which mirrors the integrative logic of Component 1. This revision will directly enhance coherence between national and local planning instruments, such as the Bamako Urban Master Plan, the Sustainable Urban Mobility Plan (SUMP), and the Greater Bamako Territorial Scheme. It will also institutionalize climate resilience, low-carbon mobility principles, and inclusive access into the transport policy framework—ensuring that urban mobility is no longer planned in isolation, but as part of a broader, integrated urban and territorial strategy.</w:t>
      </w:r>
      <w:r w:rsidR="00B333FA">
        <w:rPr>
          <w:color w:val="000000" w:themeColor="text1"/>
          <w:sz w:val="20"/>
          <w:szCs w:val="20"/>
          <w:highlight w:val="yellow"/>
          <w:lang w:val="en-US"/>
        </w:rPr>
        <w:t xml:space="preserve"> </w:t>
      </w:r>
    </w:p>
    <w:p w14:paraId="4DA06BB4" w14:textId="7064E3D9" w:rsidR="3967F488" w:rsidRPr="00857B81" w:rsidRDefault="3967F488" w:rsidP="0764FF73">
      <w:pPr>
        <w:rPr>
          <w:sz w:val="20"/>
          <w:szCs w:val="20"/>
          <w:highlight w:val="yellow"/>
          <w:lang w:val="en-US"/>
        </w:rPr>
      </w:pPr>
      <w:r w:rsidRPr="4B3DA424">
        <w:rPr>
          <w:i/>
          <w:iCs/>
          <w:color w:val="000000" w:themeColor="text1"/>
          <w:sz w:val="20"/>
          <w:szCs w:val="20"/>
          <w:highlight w:val="yellow"/>
          <w:u w:val="single"/>
          <w:lang w:val="en-US"/>
        </w:rPr>
        <w:t xml:space="preserve">Activity 1.1.2.2 </w:t>
      </w:r>
      <w:proofErr w:type="gramStart"/>
      <w:r w:rsidRPr="4B3DA424">
        <w:rPr>
          <w:i/>
          <w:iCs/>
          <w:color w:val="000000" w:themeColor="text1"/>
          <w:sz w:val="20"/>
          <w:szCs w:val="20"/>
          <w:highlight w:val="yellow"/>
          <w:u w:val="single"/>
          <w:lang w:val="en-US"/>
        </w:rPr>
        <w:t xml:space="preserve">– </w:t>
      </w:r>
      <w:r w:rsidR="673B3E33" w:rsidRPr="4B3DA424">
        <w:rPr>
          <w:i/>
          <w:iCs/>
          <w:sz w:val="20"/>
          <w:szCs w:val="20"/>
          <w:highlight w:val="yellow"/>
          <w:u w:val="single"/>
          <w:lang w:val="en-US"/>
        </w:rPr>
        <w:t xml:space="preserve"> Development</w:t>
      </w:r>
      <w:proofErr w:type="gramEnd"/>
      <w:r w:rsidR="673B3E33" w:rsidRPr="4B3DA424">
        <w:rPr>
          <w:i/>
          <w:iCs/>
          <w:sz w:val="20"/>
          <w:szCs w:val="20"/>
          <w:highlight w:val="yellow"/>
          <w:u w:val="single"/>
          <w:lang w:val="en-US"/>
        </w:rPr>
        <w:t xml:space="preserve"> a National Sustainable Waste Management Strategy and WEEE pilot Implementation in Bamako</w:t>
      </w:r>
      <w:r w:rsidR="673B3E33" w:rsidRPr="4B3DA424">
        <w:rPr>
          <w:sz w:val="20"/>
          <w:szCs w:val="20"/>
          <w:highlight w:val="yellow"/>
          <w:lang w:val="en-US"/>
        </w:rPr>
        <w:t xml:space="preserve"> </w:t>
      </w:r>
    </w:p>
    <w:p w14:paraId="7C2B2651" w14:textId="37D521DB" w:rsidR="2B6D1FCA" w:rsidRPr="00857B81" w:rsidRDefault="162C93B1" w:rsidP="0764FF73">
      <w:pPr>
        <w:rPr>
          <w:sz w:val="20"/>
          <w:szCs w:val="20"/>
          <w:highlight w:val="yellow"/>
          <w:lang w:val="en-US"/>
        </w:rPr>
      </w:pPr>
      <w:r w:rsidRPr="00857B81">
        <w:rPr>
          <w:sz w:val="20"/>
          <w:szCs w:val="20"/>
          <w:highlight w:val="yellow"/>
          <w:lang w:val="en-US"/>
        </w:rPr>
        <w:t xml:space="preserve"> Developing a robust and forward-looking national waste management strategy is an urgent priority for both national and local authorities is becoming a must. To be effective, this strategy must be grounded in concrete, scalable solutions. Accordingly, this activity will link national policy formulation with practical implementation through a pilot initiative in Bamako, focusing on the management of electronic and solar waste in compliance with environmental regulations (Law No. 2021-</w:t>
      </w:r>
      <w:proofErr w:type="gramStart"/>
      <w:r w:rsidRPr="00857B81">
        <w:rPr>
          <w:sz w:val="20"/>
          <w:szCs w:val="20"/>
          <w:highlight w:val="yellow"/>
          <w:lang w:val="en-US"/>
        </w:rPr>
        <w:t>032 )</w:t>
      </w:r>
      <w:proofErr w:type="gramEnd"/>
      <w:r w:rsidRPr="00857B81">
        <w:rPr>
          <w:sz w:val="20"/>
          <w:szCs w:val="20"/>
          <w:highlight w:val="yellow"/>
          <w:lang w:val="en-US"/>
        </w:rPr>
        <w:t xml:space="preserve"> and aligned with circular economy principles.</w:t>
      </w:r>
    </w:p>
    <w:p w14:paraId="266CA10C" w14:textId="4DA51C57" w:rsidR="162C93B1" w:rsidRPr="00857B81" w:rsidRDefault="162C93B1" w:rsidP="00857B81">
      <w:pPr>
        <w:spacing w:after="0"/>
        <w:jc w:val="both"/>
        <w:rPr>
          <w:sz w:val="20"/>
          <w:szCs w:val="20"/>
          <w:highlight w:val="yellow"/>
          <w:lang w:val="en-US"/>
        </w:rPr>
      </w:pPr>
      <w:r w:rsidRPr="00857B81">
        <w:rPr>
          <w:sz w:val="20"/>
          <w:szCs w:val="20"/>
          <w:highlight w:val="yellow"/>
          <w:lang w:val="en-US"/>
        </w:rPr>
        <w:t>It will deliver a National Strategy for Sustainable Waste Management, build on waste valorization, accompanied by a costed investment plan, while simultaneously piloting a localized and inclusive WEEE management model—particularly targeting solar and imported second-hand electronic waste—in the District of Bamako. By combining national-level strategic planning with operational demonstration at the municipal level, the activity ensures both policy coherence and real-world applicability.</w:t>
      </w:r>
    </w:p>
    <w:p w14:paraId="5F087BE5" w14:textId="0FA05085" w:rsidR="162C93B1" w:rsidRPr="00857B81" w:rsidRDefault="162C93B1" w:rsidP="00857B81">
      <w:pPr>
        <w:spacing w:after="0"/>
        <w:jc w:val="both"/>
        <w:rPr>
          <w:sz w:val="20"/>
          <w:szCs w:val="20"/>
          <w:highlight w:val="yellow"/>
          <w:lang w:val="en-US"/>
        </w:rPr>
      </w:pPr>
      <w:r w:rsidRPr="00857B81">
        <w:rPr>
          <w:sz w:val="20"/>
          <w:szCs w:val="20"/>
          <w:highlight w:val="yellow"/>
          <w:lang w:val="en-US"/>
        </w:rPr>
        <w:t xml:space="preserve"> </w:t>
      </w:r>
    </w:p>
    <w:p w14:paraId="598E1C8A" w14:textId="59D450FE" w:rsidR="162C93B1" w:rsidRPr="00857B81" w:rsidRDefault="162C93B1" w:rsidP="00857B81">
      <w:pPr>
        <w:spacing w:after="0"/>
        <w:jc w:val="both"/>
        <w:rPr>
          <w:sz w:val="20"/>
          <w:szCs w:val="20"/>
          <w:highlight w:val="yellow"/>
          <w:lang w:val="en-US"/>
        </w:rPr>
      </w:pPr>
      <w:r w:rsidRPr="00857B81">
        <w:rPr>
          <w:sz w:val="20"/>
          <w:szCs w:val="20"/>
          <w:highlight w:val="yellow"/>
          <w:lang w:val="en-US"/>
        </w:rPr>
        <w:t xml:space="preserve">Key Deliverables of the activity are summarized below. </w:t>
      </w:r>
    </w:p>
    <w:p w14:paraId="451FEB10" w14:textId="0A35F001" w:rsidR="162C93B1" w:rsidRPr="00857B81" w:rsidRDefault="162C93B1" w:rsidP="00857B81">
      <w:pPr>
        <w:spacing w:after="0"/>
        <w:jc w:val="both"/>
        <w:rPr>
          <w:b/>
          <w:bCs/>
          <w:sz w:val="20"/>
          <w:szCs w:val="20"/>
          <w:highlight w:val="yellow"/>
          <w:lang w:val="en-US"/>
        </w:rPr>
      </w:pPr>
      <w:r w:rsidRPr="00857B81">
        <w:rPr>
          <w:b/>
          <w:bCs/>
          <w:sz w:val="20"/>
          <w:szCs w:val="20"/>
          <w:highlight w:val="yellow"/>
          <w:lang w:val="en-US"/>
        </w:rPr>
        <w:t>National-Level Outputs</w:t>
      </w:r>
    </w:p>
    <w:p w14:paraId="4F9548D7" w14:textId="529BAB18" w:rsidR="162C93B1" w:rsidRPr="00857B81" w:rsidRDefault="162C93B1" w:rsidP="00857B81">
      <w:pPr>
        <w:pStyle w:val="Paragraphedeliste"/>
        <w:numPr>
          <w:ilvl w:val="0"/>
          <w:numId w:val="59"/>
        </w:numPr>
        <w:spacing w:after="0"/>
        <w:jc w:val="both"/>
        <w:rPr>
          <w:sz w:val="20"/>
          <w:szCs w:val="20"/>
          <w:highlight w:val="yellow"/>
          <w:lang w:val="en-US"/>
        </w:rPr>
      </w:pPr>
      <w:r w:rsidRPr="00857B81">
        <w:rPr>
          <w:sz w:val="20"/>
          <w:szCs w:val="20"/>
          <w:highlight w:val="yellow"/>
          <w:lang w:val="en-US"/>
        </w:rPr>
        <w:t xml:space="preserve">A </w:t>
      </w:r>
      <w:r w:rsidRPr="00857B81">
        <w:rPr>
          <w:b/>
          <w:bCs/>
          <w:sz w:val="20"/>
          <w:szCs w:val="20"/>
          <w:highlight w:val="yellow"/>
          <w:lang w:val="en-US"/>
        </w:rPr>
        <w:t>National Sustainable Waste Management Strategy</w:t>
      </w:r>
      <w:r w:rsidRPr="00857B81">
        <w:rPr>
          <w:sz w:val="20"/>
          <w:szCs w:val="20"/>
          <w:highlight w:val="yellow"/>
          <w:lang w:val="en-US"/>
        </w:rPr>
        <w:t xml:space="preserve">, incorporating best practices, legal analysis, circular economy principles, and climate /Environmental </w:t>
      </w:r>
      <w:proofErr w:type="gramStart"/>
      <w:r w:rsidRPr="00857B81">
        <w:rPr>
          <w:sz w:val="20"/>
          <w:szCs w:val="20"/>
          <w:highlight w:val="yellow"/>
          <w:lang w:val="en-US"/>
        </w:rPr>
        <w:t>considerations;</w:t>
      </w:r>
      <w:proofErr w:type="gramEnd"/>
    </w:p>
    <w:p w14:paraId="612A3739" w14:textId="3E122101" w:rsidR="162C93B1" w:rsidRPr="00857B81" w:rsidRDefault="162C93B1" w:rsidP="00857B81">
      <w:pPr>
        <w:pStyle w:val="Paragraphedeliste"/>
        <w:numPr>
          <w:ilvl w:val="0"/>
          <w:numId w:val="59"/>
        </w:numPr>
        <w:spacing w:after="0"/>
        <w:jc w:val="both"/>
        <w:rPr>
          <w:sz w:val="20"/>
          <w:szCs w:val="20"/>
          <w:highlight w:val="yellow"/>
          <w:lang w:val="en-US"/>
        </w:rPr>
      </w:pPr>
      <w:r w:rsidRPr="00857B81">
        <w:rPr>
          <w:sz w:val="20"/>
          <w:szCs w:val="20"/>
          <w:highlight w:val="yellow"/>
          <w:lang w:val="en-US"/>
        </w:rPr>
        <w:t xml:space="preserve">A </w:t>
      </w:r>
      <w:r w:rsidRPr="00857B81">
        <w:rPr>
          <w:b/>
          <w:bCs/>
          <w:sz w:val="20"/>
          <w:szCs w:val="20"/>
          <w:highlight w:val="yellow"/>
          <w:lang w:val="en-US"/>
        </w:rPr>
        <w:t>costed Investment Plan</w:t>
      </w:r>
      <w:r w:rsidRPr="00857B81">
        <w:rPr>
          <w:sz w:val="20"/>
          <w:szCs w:val="20"/>
          <w:highlight w:val="yellow"/>
          <w:lang w:val="en-US"/>
        </w:rPr>
        <w:t xml:space="preserve"> to guide public and private financing for infrastructure, services, and innovation in waste management across urban </w:t>
      </w:r>
      <w:proofErr w:type="gramStart"/>
      <w:r w:rsidRPr="00857B81">
        <w:rPr>
          <w:sz w:val="20"/>
          <w:szCs w:val="20"/>
          <w:highlight w:val="yellow"/>
          <w:lang w:val="en-US"/>
        </w:rPr>
        <w:t>areas;</w:t>
      </w:r>
      <w:proofErr w:type="gramEnd"/>
    </w:p>
    <w:p w14:paraId="12907D25" w14:textId="3D54B772" w:rsidR="162C93B1" w:rsidRPr="00857B81" w:rsidRDefault="162C93B1" w:rsidP="00857B81">
      <w:pPr>
        <w:pStyle w:val="Paragraphedeliste"/>
        <w:numPr>
          <w:ilvl w:val="0"/>
          <w:numId w:val="59"/>
        </w:numPr>
        <w:spacing w:after="0"/>
        <w:jc w:val="both"/>
        <w:rPr>
          <w:sz w:val="20"/>
          <w:szCs w:val="20"/>
          <w:highlight w:val="yellow"/>
          <w:lang w:val="en-US"/>
        </w:rPr>
      </w:pPr>
      <w:r w:rsidRPr="00857B81">
        <w:rPr>
          <w:b/>
          <w:bCs/>
          <w:sz w:val="20"/>
          <w:szCs w:val="20"/>
          <w:highlight w:val="yellow"/>
          <w:lang w:val="en-US"/>
        </w:rPr>
        <w:t>Institutional and regulatory recommendations</w:t>
      </w:r>
      <w:r w:rsidRPr="00857B81">
        <w:rPr>
          <w:sz w:val="20"/>
          <w:szCs w:val="20"/>
          <w:highlight w:val="yellow"/>
          <w:lang w:val="en-US"/>
        </w:rPr>
        <w:t xml:space="preserve"> to strengthen enforcement of Law No. 2021-032 and related policies.</w:t>
      </w:r>
    </w:p>
    <w:p w14:paraId="1C2D0148" w14:textId="3E9FD11C" w:rsidR="162C93B1" w:rsidRPr="00857B81" w:rsidRDefault="162C93B1" w:rsidP="00857B81">
      <w:pPr>
        <w:spacing w:after="0"/>
        <w:jc w:val="both"/>
        <w:rPr>
          <w:b/>
          <w:bCs/>
          <w:sz w:val="20"/>
          <w:szCs w:val="20"/>
          <w:highlight w:val="yellow"/>
          <w:lang w:val="fr"/>
        </w:rPr>
      </w:pPr>
      <w:r w:rsidRPr="00857B81">
        <w:rPr>
          <w:b/>
          <w:bCs/>
          <w:sz w:val="20"/>
          <w:szCs w:val="20"/>
          <w:highlight w:val="yellow"/>
          <w:lang w:val="fr"/>
        </w:rPr>
        <w:t>Local Pilot in Bamako</w:t>
      </w:r>
    </w:p>
    <w:p w14:paraId="45599C94" w14:textId="556A91C7" w:rsidR="162C93B1" w:rsidRPr="00857B81" w:rsidRDefault="162C93B1" w:rsidP="00857B81">
      <w:pPr>
        <w:pStyle w:val="Paragraphedeliste"/>
        <w:numPr>
          <w:ilvl w:val="0"/>
          <w:numId w:val="58"/>
        </w:numPr>
        <w:spacing w:after="0"/>
        <w:jc w:val="both"/>
        <w:rPr>
          <w:sz w:val="20"/>
          <w:szCs w:val="20"/>
          <w:highlight w:val="yellow"/>
          <w:lang w:val="en-US"/>
        </w:rPr>
      </w:pPr>
      <w:r w:rsidRPr="00857B81">
        <w:rPr>
          <w:b/>
          <w:bCs/>
          <w:sz w:val="20"/>
          <w:szCs w:val="20"/>
          <w:highlight w:val="yellow"/>
          <w:lang w:val="en-US"/>
        </w:rPr>
        <w:t>Mapping and geolocation of WEEE hotspots</w:t>
      </w:r>
      <w:r w:rsidRPr="00857B81">
        <w:rPr>
          <w:sz w:val="20"/>
          <w:szCs w:val="20"/>
          <w:highlight w:val="yellow"/>
          <w:lang w:val="en-US"/>
        </w:rPr>
        <w:t xml:space="preserve"> in one pilot municipality, identifying sources, actors, and </w:t>
      </w:r>
      <w:proofErr w:type="gramStart"/>
      <w:r w:rsidRPr="00857B81">
        <w:rPr>
          <w:sz w:val="20"/>
          <w:szCs w:val="20"/>
          <w:highlight w:val="yellow"/>
          <w:lang w:val="en-US"/>
        </w:rPr>
        <w:t>flows;</w:t>
      </w:r>
      <w:proofErr w:type="gramEnd"/>
    </w:p>
    <w:p w14:paraId="4D6E9F59" w14:textId="6C7D5DF5" w:rsidR="162C93B1" w:rsidRPr="00857B81" w:rsidRDefault="162C93B1" w:rsidP="00857B81">
      <w:pPr>
        <w:pStyle w:val="Paragraphedeliste"/>
        <w:numPr>
          <w:ilvl w:val="0"/>
          <w:numId w:val="58"/>
        </w:numPr>
        <w:spacing w:after="0"/>
        <w:jc w:val="both"/>
        <w:rPr>
          <w:sz w:val="20"/>
          <w:szCs w:val="20"/>
          <w:highlight w:val="yellow"/>
          <w:lang w:val="en-US"/>
        </w:rPr>
      </w:pPr>
      <w:r w:rsidRPr="00857B81">
        <w:rPr>
          <w:b/>
          <w:bCs/>
          <w:sz w:val="20"/>
          <w:szCs w:val="20"/>
          <w:highlight w:val="yellow"/>
          <w:lang w:val="en-US"/>
        </w:rPr>
        <w:t>Establishment of a WEEE sorting and collection center</w:t>
      </w:r>
      <w:r w:rsidRPr="00857B81">
        <w:rPr>
          <w:sz w:val="20"/>
          <w:szCs w:val="20"/>
          <w:highlight w:val="yellow"/>
          <w:lang w:val="en-US"/>
        </w:rPr>
        <w:t xml:space="preserve">, including solar waste, with appropriate environmental and safety </w:t>
      </w:r>
      <w:proofErr w:type="gramStart"/>
      <w:r w:rsidRPr="00857B81">
        <w:rPr>
          <w:sz w:val="20"/>
          <w:szCs w:val="20"/>
          <w:highlight w:val="yellow"/>
          <w:lang w:val="en-US"/>
        </w:rPr>
        <w:t>protocols;</w:t>
      </w:r>
      <w:proofErr w:type="gramEnd"/>
    </w:p>
    <w:p w14:paraId="32FA6C31" w14:textId="26E86ACB" w:rsidR="162C93B1" w:rsidRPr="00857B81" w:rsidRDefault="162C93B1" w:rsidP="00857B81">
      <w:pPr>
        <w:pStyle w:val="Paragraphedeliste"/>
        <w:numPr>
          <w:ilvl w:val="0"/>
          <w:numId w:val="58"/>
        </w:numPr>
        <w:spacing w:after="0"/>
        <w:jc w:val="both"/>
        <w:rPr>
          <w:sz w:val="20"/>
          <w:szCs w:val="20"/>
          <w:highlight w:val="yellow"/>
          <w:lang w:val="en-US"/>
        </w:rPr>
      </w:pPr>
      <w:r w:rsidRPr="00857B81">
        <w:rPr>
          <w:b/>
          <w:bCs/>
          <w:sz w:val="20"/>
          <w:szCs w:val="20"/>
          <w:highlight w:val="yellow"/>
          <w:lang w:val="en-US"/>
        </w:rPr>
        <w:t>Development of an economic model</w:t>
      </w:r>
      <w:r w:rsidRPr="00857B81">
        <w:rPr>
          <w:sz w:val="20"/>
          <w:szCs w:val="20"/>
          <w:highlight w:val="yellow"/>
          <w:lang w:val="en-US"/>
        </w:rPr>
        <w:t xml:space="preserve"> for a localized and inclusive WEEE system, involving informal sector actors, women’s groups, and </w:t>
      </w:r>
      <w:proofErr w:type="gramStart"/>
      <w:r w:rsidRPr="00857B81">
        <w:rPr>
          <w:sz w:val="20"/>
          <w:szCs w:val="20"/>
          <w:highlight w:val="yellow"/>
          <w:lang w:val="en-US"/>
        </w:rPr>
        <w:t>SMEs;</w:t>
      </w:r>
      <w:proofErr w:type="gramEnd"/>
    </w:p>
    <w:p w14:paraId="58303572" w14:textId="15811B4F" w:rsidR="162C93B1" w:rsidRPr="00857B81" w:rsidRDefault="162C93B1" w:rsidP="00857B81">
      <w:pPr>
        <w:pStyle w:val="Paragraphedeliste"/>
        <w:numPr>
          <w:ilvl w:val="0"/>
          <w:numId w:val="58"/>
        </w:numPr>
        <w:spacing w:after="0"/>
        <w:jc w:val="both"/>
        <w:rPr>
          <w:sz w:val="20"/>
          <w:szCs w:val="20"/>
          <w:highlight w:val="yellow"/>
          <w:lang w:val="en-US"/>
        </w:rPr>
      </w:pPr>
      <w:r w:rsidRPr="00857B81">
        <w:rPr>
          <w:b/>
          <w:bCs/>
          <w:sz w:val="20"/>
          <w:szCs w:val="20"/>
          <w:highlight w:val="yellow"/>
          <w:lang w:val="en-US"/>
        </w:rPr>
        <w:t>Public awareness campaign</w:t>
      </w:r>
      <w:r w:rsidRPr="00857B81">
        <w:rPr>
          <w:sz w:val="20"/>
          <w:szCs w:val="20"/>
          <w:highlight w:val="yellow"/>
          <w:lang w:val="en-US"/>
        </w:rPr>
        <w:t xml:space="preserve"> on the risks of unregulated WEEE disposal and opportunities for recycling and safe </w:t>
      </w:r>
      <w:proofErr w:type="gramStart"/>
      <w:r w:rsidRPr="00857B81">
        <w:rPr>
          <w:sz w:val="20"/>
          <w:szCs w:val="20"/>
          <w:highlight w:val="yellow"/>
          <w:lang w:val="en-US"/>
        </w:rPr>
        <w:t>disposal;</w:t>
      </w:r>
      <w:proofErr w:type="gramEnd"/>
    </w:p>
    <w:p w14:paraId="2A30B270" w14:textId="010E11B0" w:rsidR="162C93B1" w:rsidRPr="00857B81" w:rsidRDefault="162C93B1" w:rsidP="00857B81">
      <w:pPr>
        <w:pStyle w:val="Paragraphedeliste"/>
        <w:numPr>
          <w:ilvl w:val="0"/>
          <w:numId w:val="58"/>
        </w:numPr>
        <w:spacing w:after="0"/>
        <w:jc w:val="both"/>
        <w:rPr>
          <w:sz w:val="20"/>
          <w:szCs w:val="20"/>
          <w:highlight w:val="yellow"/>
          <w:lang w:val="en-US"/>
        </w:rPr>
      </w:pPr>
      <w:r w:rsidRPr="00857B81">
        <w:rPr>
          <w:sz w:val="20"/>
          <w:szCs w:val="20"/>
          <w:highlight w:val="yellow"/>
          <w:lang w:val="en-US"/>
        </w:rPr>
        <w:t xml:space="preserve">Operational tools for monitoring and reporting, potentially using </w:t>
      </w:r>
      <w:r w:rsidRPr="00857B81">
        <w:rPr>
          <w:b/>
          <w:bCs/>
          <w:sz w:val="20"/>
          <w:szCs w:val="20"/>
          <w:highlight w:val="yellow"/>
          <w:lang w:val="en-US"/>
        </w:rPr>
        <w:t>digital platforms and GIS mapping</w:t>
      </w:r>
      <w:r w:rsidRPr="00857B81">
        <w:rPr>
          <w:sz w:val="20"/>
          <w:szCs w:val="20"/>
          <w:highlight w:val="yellow"/>
          <w:lang w:val="en-US"/>
        </w:rPr>
        <w:t>.</w:t>
      </w:r>
    </w:p>
    <w:p w14:paraId="70F72C09" w14:textId="13B43D90" w:rsidR="0764FF73" w:rsidRPr="00857B81" w:rsidRDefault="0764FF73" w:rsidP="0764FF73">
      <w:pPr>
        <w:spacing w:after="0"/>
        <w:jc w:val="both"/>
        <w:rPr>
          <w:sz w:val="20"/>
          <w:szCs w:val="20"/>
          <w:highlight w:val="yellow"/>
          <w:u w:val="single"/>
          <w:lang w:val="en-US"/>
        </w:rPr>
      </w:pPr>
    </w:p>
    <w:p w14:paraId="60E6820D" w14:textId="243045DF" w:rsidR="162C93B1" w:rsidRPr="00857B81" w:rsidRDefault="162C93B1" w:rsidP="00857B81">
      <w:pPr>
        <w:spacing w:after="0"/>
        <w:jc w:val="both"/>
        <w:rPr>
          <w:sz w:val="20"/>
          <w:szCs w:val="20"/>
          <w:highlight w:val="yellow"/>
          <w:lang w:val="en-US"/>
        </w:rPr>
      </w:pPr>
      <w:r w:rsidRPr="00857B81">
        <w:rPr>
          <w:sz w:val="20"/>
          <w:szCs w:val="20"/>
          <w:highlight w:val="yellow"/>
          <w:u w:val="single"/>
          <w:lang w:val="en-US"/>
        </w:rPr>
        <w:t xml:space="preserve">Strategic Alignment and Impact: </w:t>
      </w:r>
      <w:r w:rsidRPr="00857B81">
        <w:rPr>
          <w:sz w:val="20"/>
          <w:szCs w:val="20"/>
          <w:highlight w:val="yellow"/>
          <w:lang w:val="en-US"/>
        </w:rPr>
        <w:t>This integrated activity directly supports Activity 1.1.1.1 by enhancing urban planning practices through better integration of environmental governance and waste-related risk management. It also contributes to Activity 1.1.1.5 by promoting inclusive urban service delivery and advancing the localization of environmental solutions.</w:t>
      </w:r>
    </w:p>
    <w:p w14:paraId="71519B06" w14:textId="65C70DC2" w:rsidR="162C93B1" w:rsidRPr="00857B81" w:rsidRDefault="162C93B1" w:rsidP="00857B81">
      <w:pPr>
        <w:spacing w:after="0"/>
        <w:jc w:val="both"/>
        <w:rPr>
          <w:sz w:val="20"/>
          <w:szCs w:val="20"/>
          <w:highlight w:val="yellow"/>
          <w:lang w:val="en-US"/>
        </w:rPr>
      </w:pPr>
      <w:r w:rsidRPr="00857B81">
        <w:rPr>
          <w:sz w:val="20"/>
          <w:szCs w:val="20"/>
          <w:highlight w:val="yellow"/>
          <w:lang w:val="en-US"/>
        </w:rPr>
        <w:lastRenderedPageBreak/>
        <w:t>By linking national strategy development with on-the-ground innovation, the activity strengthens local-national coordination, enabling municipal experiences—particularly in Bamako—to inform national policymaking. This reinforces policy feasibility, ownership, and long-term sustainability.</w:t>
      </w:r>
    </w:p>
    <w:p w14:paraId="4A8ACBA3" w14:textId="5D692EF3" w:rsidR="162C93B1" w:rsidRPr="00857B81" w:rsidRDefault="162C93B1" w:rsidP="00857B81">
      <w:pPr>
        <w:spacing w:after="0"/>
        <w:jc w:val="both"/>
        <w:rPr>
          <w:sz w:val="20"/>
          <w:szCs w:val="20"/>
          <w:highlight w:val="yellow"/>
          <w:lang w:val="en-US"/>
        </w:rPr>
      </w:pPr>
      <w:r w:rsidRPr="00857B81">
        <w:rPr>
          <w:sz w:val="20"/>
          <w:szCs w:val="20"/>
          <w:highlight w:val="yellow"/>
          <w:lang w:val="en-US"/>
        </w:rPr>
        <w:t>Furthermore, the initiative positions Bamako as a demonstration city for circular economy approaches in Mali. It will catalyze green job creation and stimulate local economic development by formalizing the value chain around WEEE collection, sorting, and recycling.</w:t>
      </w:r>
    </w:p>
    <w:p w14:paraId="369ED34D" w14:textId="040550DB" w:rsidR="162C93B1" w:rsidRPr="00857B81" w:rsidRDefault="31F99BD3">
      <w:pPr>
        <w:rPr>
          <w:highlight w:val="yellow"/>
          <w:lang w:val="en-US"/>
        </w:rPr>
      </w:pPr>
      <w:r w:rsidRPr="00857B81">
        <w:rPr>
          <w:sz w:val="20"/>
          <w:szCs w:val="20"/>
          <w:highlight w:val="yellow"/>
          <w:lang w:val="en-US"/>
        </w:rPr>
        <w:t>Finally, by preventing the widespread use of outdated and hazardous electronic equipment, the activity contributes to better energy demand management, reducing pressure on the national grid and supporting more reliable access to electricity in urban areas.</w:t>
      </w:r>
    </w:p>
    <w:p w14:paraId="6FD4B7BD" w14:textId="15937297" w:rsidR="3BB428EC" w:rsidRPr="00857B81" w:rsidRDefault="3BB428EC" w:rsidP="1A8B662A">
      <w:pPr>
        <w:rPr>
          <w:sz w:val="20"/>
          <w:szCs w:val="20"/>
          <w:highlight w:val="yellow"/>
          <w:lang w:val="en-US"/>
        </w:rPr>
      </w:pPr>
      <w:r w:rsidRPr="00857B81">
        <w:rPr>
          <w:sz w:val="20"/>
          <w:szCs w:val="20"/>
          <w:highlight w:val="yellow"/>
          <w:lang w:val="en-US"/>
        </w:rPr>
        <w:t xml:space="preserve">More specifically, the </w:t>
      </w:r>
      <w:r w:rsidR="004B0DE8">
        <w:rPr>
          <w:sz w:val="20"/>
          <w:szCs w:val="20"/>
          <w:highlight w:val="yellow"/>
          <w:lang w:val="en-US"/>
        </w:rPr>
        <w:t>IUDP</w:t>
      </w:r>
      <w:r w:rsidR="004B0DE8" w:rsidRPr="00857B81">
        <w:rPr>
          <w:sz w:val="20"/>
          <w:szCs w:val="20"/>
          <w:highlight w:val="yellow"/>
          <w:lang w:val="en-US"/>
        </w:rPr>
        <w:t xml:space="preserve"> </w:t>
      </w:r>
      <w:r w:rsidRPr="00857B81">
        <w:rPr>
          <w:sz w:val="20"/>
          <w:szCs w:val="20"/>
          <w:highlight w:val="yellow"/>
          <w:lang w:val="en-US"/>
        </w:rPr>
        <w:t xml:space="preserve">project is being developed in a context of municipal solid waste production, including household and similar waste, of nearly 2,000 </w:t>
      </w:r>
      <w:proofErr w:type="spellStart"/>
      <w:r w:rsidRPr="00857B81">
        <w:rPr>
          <w:sz w:val="20"/>
          <w:szCs w:val="20"/>
          <w:highlight w:val="yellow"/>
          <w:lang w:val="en-US"/>
        </w:rPr>
        <w:t>tonnes</w:t>
      </w:r>
      <w:proofErr w:type="spellEnd"/>
      <w:r w:rsidRPr="00857B81">
        <w:rPr>
          <w:sz w:val="20"/>
          <w:szCs w:val="20"/>
          <w:highlight w:val="yellow"/>
          <w:lang w:val="en-US"/>
        </w:rPr>
        <w:t xml:space="preserve"> (i.e. approximately 4,000 m3) per day in 2021 (see Source: DSM collection in transit depots, 2021, INSTAT) from 25 transit depots in the District of Bamako. The project will be able to support the development of an integrated waste recovery strategy from production sources, including households, to transit and, appropriately, final depots. This strategy will be based on two major pillars:</w:t>
      </w:r>
    </w:p>
    <w:p w14:paraId="2063BF7D" w14:textId="6BD653AA" w:rsidR="3BB428EC" w:rsidRPr="00857B81" w:rsidRDefault="3BB428EC">
      <w:pPr>
        <w:rPr>
          <w:sz w:val="20"/>
          <w:szCs w:val="20"/>
          <w:highlight w:val="yellow"/>
          <w:lang w:val="en-US"/>
        </w:rPr>
      </w:pPr>
      <w:r w:rsidRPr="00857B81">
        <w:rPr>
          <w:sz w:val="20"/>
          <w:szCs w:val="20"/>
          <w:highlight w:val="yellow"/>
          <w:lang w:val="en-US"/>
        </w:rPr>
        <w:t>• The development of regulations (at least ministerial or inter-ministerial) to prohibit or control open-air burning or the creation of uncontrolled dumpsites</w:t>
      </w:r>
    </w:p>
    <w:p w14:paraId="50C1A3D4" w14:textId="6C91FCB4" w:rsidR="3BB428EC" w:rsidRPr="00857B81" w:rsidRDefault="3BB428EC">
      <w:pPr>
        <w:rPr>
          <w:sz w:val="20"/>
          <w:szCs w:val="20"/>
          <w:highlight w:val="yellow"/>
          <w:lang w:val="en-US"/>
        </w:rPr>
      </w:pPr>
      <w:r w:rsidRPr="00857B81">
        <w:rPr>
          <w:sz w:val="20"/>
          <w:szCs w:val="20"/>
          <w:highlight w:val="yellow"/>
          <w:lang w:val="en-US"/>
        </w:rPr>
        <w:t>• Waste recovery by intensifying "selective waste sorting," which creates significant opportunities:</w:t>
      </w:r>
    </w:p>
    <w:p w14:paraId="728C249D" w14:textId="5E3784E2" w:rsidR="3BB428EC" w:rsidRPr="00857B81" w:rsidRDefault="3BB428EC" w:rsidP="00857B81">
      <w:pPr>
        <w:pStyle w:val="Paragraphedeliste"/>
        <w:numPr>
          <w:ilvl w:val="0"/>
          <w:numId w:val="9"/>
        </w:numPr>
        <w:rPr>
          <w:highlight w:val="yellow"/>
          <w:lang w:val="en-US"/>
        </w:rPr>
      </w:pPr>
      <w:r w:rsidRPr="00857B81">
        <w:rPr>
          <w:sz w:val="20"/>
          <w:szCs w:val="20"/>
          <w:highlight w:val="yellow"/>
          <w:lang w:val="en-US"/>
        </w:rPr>
        <w:t xml:space="preserve">Composting to promote intensive local production of fertilizer or organic fertilizer to promote urban agriculture, green spaces, and the reforestation of domestic fruit </w:t>
      </w:r>
      <w:proofErr w:type="gramStart"/>
      <w:r w:rsidRPr="00857B81">
        <w:rPr>
          <w:sz w:val="20"/>
          <w:szCs w:val="20"/>
          <w:highlight w:val="yellow"/>
          <w:lang w:val="en-US"/>
        </w:rPr>
        <w:t>trees;</w:t>
      </w:r>
      <w:proofErr w:type="gramEnd"/>
    </w:p>
    <w:p w14:paraId="61B4508B" w14:textId="604F543E" w:rsidR="3BB428EC" w:rsidRPr="00857B81" w:rsidRDefault="3BB428EC" w:rsidP="00857B81">
      <w:pPr>
        <w:pStyle w:val="Paragraphedeliste"/>
        <w:numPr>
          <w:ilvl w:val="0"/>
          <w:numId w:val="9"/>
        </w:numPr>
        <w:rPr>
          <w:highlight w:val="yellow"/>
          <w:lang w:val="en-US"/>
        </w:rPr>
      </w:pPr>
      <w:r w:rsidRPr="00857B81">
        <w:rPr>
          <w:sz w:val="20"/>
          <w:szCs w:val="20"/>
          <w:highlight w:val="yellow"/>
          <w:lang w:val="en-US"/>
        </w:rPr>
        <w:t xml:space="preserve">Community or local sanitation projects such as the production of paving stones, recycling bins, and other items from plastic </w:t>
      </w:r>
      <w:proofErr w:type="gramStart"/>
      <w:r w:rsidRPr="00857B81">
        <w:rPr>
          <w:sz w:val="20"/>
          <w:szCs w:val="20"/>
          <w:highlight w:val="yellow"/>
          <w:lang w:val="en-US"/>
        </w:rPr>
        <w:t>waste;</w:t>
      </w:r>
      <w:proofErr w:type="gramEnd"/>
    </w:p>
    <w:p w14:paraId="700D0865" w14:textId="7F10553C" w:rsidR="3BB428EC" w:rsidRPr="00857B81" w:rsidRDefault="3BB428EC" w:rsidP="00857B81">
      <w:pPr>
        <w:pStyle w:val="Paragraphedeliste"/>
        <w:numPr>
          <w:ilvl w:val="0"/>
          <w:numId w:val="9"/>
        </w:numPr>
        <w:rPr>
          <w:highlight w:val="yellow"/>
          <w:lang w:val="en-US"/>
        </w:rPr>
      </w:pPr>
      <w:r w:rsidRPr="00857B81">
        <w:rPr>
          <w:sz w:val="20"/>
          <w:szCs w:val="20"/>
          <w:highlight w:val="yellow"/>
          <w:lang w:val="en-US"/>
        </w:rPr>
        <w:t>Community or local projects involving small businesses selling metal objects, etc.</w:t>
      </w:r>
    </w:p>
    <w:p w14:paraId="2561078C" w14:textId="6D010B1C" w:rsidR="3BB428EC" w:rsidRPr="00857B81" w:rsidRDefault="3BB428EC" w:rsidP="1A8B662A">
      <w:pPr>
        <w:rPr>
          <w:highlight w:val="yellow"/>
          <w:lang w:val="en-US"/>
        </w:rPr>
      </w:pPr>
      <w:r w:rsidRPr="00857B81">
        <w:rPr>
          <w:sz w:val="20"/>
          <w:szCs w:val="20"/>
          <w:highlight w:val="yellow"/>
          <w:lang w:val="en-US"/>
        </w:rPr>
        <w:t>The result is a circular local economy based on reuse, recycling, and the reduction of municipal waste.</w:t>
      </w:r>
    </w:p>
    <w:p w14:paraId="3A8F2118" w14:textId="244CE1A8" w:rsidR="3BB428EC" w:rsidRPr="00857B81" w:rsidRDefault="3BB428EC">
      <w:pPr>
        <w:rPr>
          <w:sz w:val="20"/>
          <w:szCs w:val="20"/>
          <w:highlight w:val="yellow"/>
          <w:lang w:val="en-US"/>
        </w:rPr>
      </w:pPr>
      <w:r w:rsidRPr="00857B81">
        <w:rPr>
          <w:sz w:val="20"/>
          <w:szCs w:val="20"/>
          <w:highlight w:val="yellow"/>
          <w:lang w:val="en-US"/>
        </w:rPr>
        <w:t xml:space="preserve"> </w:t>
      </w:r>
    </w:p>
    <w:p w14:paraId="7409461F" w14:textId="549FD841" w:rsidR="3BB428EC" w:rsidRPr="00917181" w:rsidRDefault="3BB428EC" w:rsidP="1A8B662A">
      <w:pPr>
        <w:rPr>
          <w:highlight w:val="yellow"/>
          <w:lang w:val="en-US"/>
        </w:rPr>
      </w:pPr>
      <w:r w:rsidRPr="00857B81">
        <w:rPr>
          <w:sz w:val="20"/>
          <w:szCs w:val="20"/>
          <w:highlight w:val="yellow"/>
          <w:lang w:val="en-US"/>
        </w:rPr>
        <w:t xml:space="preserve">To do this, the </w:t>
      </w:r>
      <w:r w:rsidR="00917181">
        <w:rPr>
          <w:sz w:val="20"/>
          <w:szCs w:val="20"/>
          <w:highlight w:val="yellow"/>
          <w:lang w:val="en-US"/>
        </w:rPr>
        <w:t>IUDP</w:t>
      </w:r>
      <w:r w:rsidR="00917181" w:rsidRPr="00857B81">
        <w:rPr>
          <w:sz w:val="20"/>
          <w:szCs w:val="20"/>
          <w:highlight w:val="yellow"/>
          <w:lang w:val="en-US"/>
        </w:rPr>
        <w:t xml:space="preserve"> </w:t>
      </w:r>
      <w:r w:rsidRPr="00857B81">
        <w:rPr>
          <w:sz w:val="20"/>
          <w:szCs w:val="20"/>
          <w:highlight w:val="yellow"/>
          <w:lang w:val="en-US"/>
        </w:rPr>
        <w:t xml:space="preserve">will objectively capitalize on the initiatives underway with PRUBA, UNDP through ACCLAB </w:t>
      </w:r>
      <w:r w:rsidRPr="00917181">
        <w:rPr>
          <w:sz w:val="20"/>
          <w:szCs w:val="20"/>
          <w:highlight w:val="yellow"/>
          <w:lang w:val="en-US"/>
        </w:rPr>
        <w:t>on plastic waste management, PAAEDC-</w:t>
      </w:r>
      <w:proofErr w:type="spellStart"/>
      <w:r w:rsidRPr="00917181">
        <w:rPr>
          <w:sz w:val="20"/>
          <w:szCs w:val="20"/>
          <w:highlight w:val="yellow"/>
          <w:lang w:val="en-US"/>
        </w:rPr>
        <w:t>Bko</w:t>
      </w:r>
      <w:proofErr w:type="spellEnd"/>
      <w:r w:rsidRPr="00917181">
        <w:rPr>
          <w:sz w:val="20"/>
          <w:szCs w:val="20"/>
          <w:highlight w:val="yellow"/>
          <w:lang w:val="en-US"/>
        </w:rPr>
        <w:t>, and other relevant local initiatives identified in the PDESC</w:t>
      </w:r>
      <w:r w:rsidR="41102027" w:rsidRPr="00917181">
        <w:rPr>
          <w:sz w:val="20"/>
          <w:szCs w:val="20"/>
          <w:highlight w:val="yellow"/>
          <w:lang w:val="en-US"/>
        </w:rPr>
        <w:t>.</w:t>
      </w:r>
    </w:p>
    <w:p w14:paraId="3F4C5F77" w14:textId="15948241" w:rsidR="41102027" w:rsidRPr="00DC2CA1" w:rsidRDefault="41102027" w:rsidP="003C5C1B">
      <w:pPr>
        <w:spacing w:after="240" w:line="240" w:lineRule="auto"/>
        <w:jc w:val="both"/>
        <w:rPr>
          <w:rFonts w:eastAsia="Times New Roman"/>
          <w:color w:val="000000" w:themeColor="text1"/>
          <w:sz w:val="20"/>
          <w:szCs w:val="20"/>
          <w:highlight w:val="yellow"/>
          <w:lang w:val="en-US"/>
        </w:rPr>
      </w:pPr>
      <w:r w:rsidRPr="00DC2CA1">
        <w:rPr>
          <w:color w:val="000000" w:themeColor="text1"/>
          <w:sz w:val="20"/>
          <w:szCs w:val="20"/>
          <w:highlight w:val="yellow"/>
          <w:lang w:val="en-US"/>
        </w:rPr>
        <w:t>In addition, t</w:t>
      </w:r>
      <w:r w:rsidRPr="00DC2CA1">
        <w:rPr>
          <w:rFonts w:eastAsia="Times New Roman"/>
          <w:color w:val="000000" w:themeColor="text1"/>
          <w:sz w:val="20"/>
          <w:szCs w:val="20"/>
          <w:highlight w:val="yellow"/>
          <w:lang w:val="en-US"/>
        </w:rPr>
        <w:t xml:space="preserve">he electrical and household waste targeted by this activity is mainly refrigeration and air conditioning equipment (freezers, refrigerators and air conditioners) which are large consumers of electricity and refrigerants or coolants. These fluids are chemical products whose production, import, use, marketing and consumption are controlled from start to finish by the Montreal Protocol and its amendments, </w:t>
      </w:r>
      <w:proofErr w:type="gramStart"/>
      <w:r w:rsidRPr="00DC2CA1">
        <w:rPr>
          <w:rFonts w:eastAsia="Times New Roman"/>
          <w:color w:val="000000" w:themeColor="text1"/>
          <w:sz w:val="20"/>
          <w:szCs w:val="20"/>
          <w:highlight w:val="yellow"/>
          <w:lang w:val="en-US"/>
        </w:rPr>
        <w:t>in particular</w:t>
      </w:r>
      <w:proofErr w:type="gramEnd"/>
      <w:r w:rsidRPr="00DC2CA1">
        <w:rPr>
          <w:rFonts w:eastAsia="Times New Roman"/>
          <w:color w:val="000000" w:themeColor="text1"/>
          <w:sz w:val="20"/>
          <w:szCs w:val="20"/>
          <w:highlight w:val="yellow"/>
          <w:lang w:val="en-US"/>
        </w:rPr>
        <w:t xml:space="preserve"> the Kigali Protocol in 2016. Thus, this Protocol and all its amendments or adjustments are backed by the Vienna Convention. In summary, these targeted chemicals affect the ozone layer and/or contribute to global warming. These currently targeted chemicals fall mainly into two categories:</w:t>
      </w:r>
    </w:p>
    <w:p w14:paraId="3568C5A6" w14:textId="133827CF" w:rsidR="41102027" w:rsidRPr="00DC2CA1" w:rsidRDefault="41102027" w:rsidP="003C5C1B">
      <w:pPr>
        <w:pStyle w:val="Paragraphedeliste"/>
        <w:numPr>
          <w:ilvl w:val="0"/>
          <w:numId w:val="891"/>
        </w:numPr>
        <w:spacing w:before="240" w:after="240" w:line="240" w:lineRule="auto"/>
        <w:jc w:val="both"/>
        <w:rPr>
          <w:rFonts w:eastAsia="Times New Roman"/>
          <w:color w:val="000000" w:themeColor="text1"/>
          <w:sz w:val="20"/>
          <w:szCs w:val="20"/>
          <w:highlight w:val="yellow"/>
          <w:lang w:val="en-US"/>
        </w:rPr>
      </w:pPr>
      <w:r w:rsidRPr="00DC2CA1">
        <w:rPr>
          <w:rFonts w:eastAsia="Times New Roman"/>
          <w:color w:val="000000" w:themeColor="text1"/>
          <w:sz w:val="20"/>
          <w:szCs w:val="20"/>
          <w:highlight w:val="yellow"/>
          <w:lang w:val="en-US"/>
        </w:rPr>
        <w:t xml:space="preserve">Hydrochlorofluorocarbons (HCFCs), particularly HCFC-22, generally used in air conditioning, which contributes slightly to ozone depletion </w:t>
      </w:r>
      <w:proofErr w:type="gramStart"/>
      <w:r w:rsidRPr="00DC2CA1">
        <w:rPr>
          <w:rFonts w:eastAsia="Times New Roman"/>
          <w:color w:val="000000" w:themeColor="text1"/>
          <w:sz w:val="20"/>
          <w:szCs w:val="20"/>
          <w:highlight w:val="yellow"/>
          <w:lang w:val="en-US"/>
        </w:rPr>
        <w:t>and also</w:t>
      </w:r>
      <w:proofErr w:type="gramEnd"/>
      <w:r w:rsidRPr="00DC2CA1">
        <w:rPr>
          <w:rFonts w:eastAsia="Times New Roman"/>
          <w:color w:val="000000" w:themeColor="text1"/>
          <w:sz w:val="20"/>
          <w:szCs w:val="20"/>
          <w:highlight w:val="yellow"/>
          <w:lang w:val="en-US"/>
        </w:rPr>
        <w:t xml:space="preserve"> to global warming</w:t>
      </w:r>
    </w:p>
    <w:p w14:paraId="7969BDE2" w14:textId="6C5BDCC7" w:rsidR="41102027" w:rsidRPr="00DC2CA1" w:rsidRDefault="41102027" w:rsidP="003C5C1B">
      <w:pPr>
        <w:pStyle w:val="Paragraphedeliste"/>
        <w:numPr>
          <w:ilvl w:val="0"/>
          <w:numId w:val="891"/>
        </w:numPr>
        <w:spacing w:before="240" w:after="240" w:line="240" w:lineRule="auto"/>
        <w:jc w:val="both"/>
        <w:rPr>
          <w:rFonts w:eastAsia="Times New Roman"/>
          <w:color w:val="000000" w:themeColor="text1"/>
          <w:sz w:val="20"/>
          <w:szCs w:val="20"/>
          <w:highlight w:val="yellow"/>
          <w:lang w:val="en-US"/>
        </w:rPr>
      </w:pPr>
      <w:r w:rsidRPr="00DC2CA1">
        <w:rPr>
          <w:rFonts w:eastAsia="Times New Roman"/>
          <w:color w:val="000000" w:themeColor="text1"/>
          <w:sz w:val="20"/>
          <w:szCs w:val="20"/>
          <w:highlight w:val="yellow"/>
          <w:lang w:val="en-US"/>
        </w:rPr>
        <w:t>Hydrofluorocarbons (HFCs), particularly HFC-13a; HFC-410A; HFC-32; HFC-404A; and HFC-407A, which all contribute more to global warming than each other, but without affecting the ozone layer in any way.</w:t>
      </w:r>
    </w:p>
    <w:p w14:paraId="6E116E9F" w14:textId="3B669E7C" w:rsidR="41102027" w:rsidRPr="00DC2CA1" w:rsidRDefault="41102027" w:rsidP="003C5C1B">
      <w:pPr>
        <w:spacing w:before="240" w:after="240" w:line="240" w:lineRule="auto"/>
        <w:jc w:val="both"/>
        <w:rPr>
          <w:rFonts w:eastAsia="Times New Roman"/>
          <w:color w:val="000000" w:themeColor="text1"/>
          <w:sz w:val="20"/>
          <w:szCs w:val="20"/>
          <w:highlight w:val="yellow"/>
          <w:lang w:val="en-US"/>
        </w:rPr>
      </w:pPr>
      <w:r w:rsidRPr="00DC2CA1">
        <w:rPr>
          <w:rFonts w:eastAsia="Times New Roman"/>
          <w:color w:val="000000" w:themeColor="text1"/>
          <w:sz w:val="20"/>
          <w:szCs w:val="20"/>
          <w:highlight w:val="yellow"/>
          <w:lang w:val="en-US"/>
        </w:rPr>
        <w:t xml:space="preserve">Thus, from the perspective of environmental protection (related to the ozone layer), climate protection (related to global warming), and pollution (production of tropospheric ozone gas, including urban smog and other harmful effects on human health, biodiversity, and infrastructure), it has become essential to control their use and promote the adoption of natural and/or low-warming refrigerants. To this end, all countries that have ratified the relevant international agreements have plans to phase out HCFCs by 2030 and to phase them down by 2045.For Mali, which is a Party to Article 5 of the Montreal Protocol and the first country in the world to ratify the Kigali Amendment on the introduction of HFCs, the control levels are as follows: </w:t>
      </w:r>
    </w:p>
    <w:p w14:paraId="3D7C2218" w14:textId="6ADAD722" w:rsidR="41102027" w:rsidRPr="00DC2CA1" w:rsidRDefault="41102027" w:rsidP="003C5C1B">
      <w:pPr>
        <w:pStyle w:val="Paragraphedeliste"/>
        <w:numPr>
          <w:ilvl w:val="0"/>
          <w:numId w:val="889"/>
        </w:numPr>
        <w:spacing w:before="240" w:after="240" w:line="240" w:lineRule="auto"/>
        <w:jc w:val="both"/>
        <w:rPr>
          <w:rFonts w:eastAsia="Times New Roman"/>
          <w:color w:val="000000" w:themeColor="text1"/>
          <w:sz w:val="20"/>
          <w:szCs w:val="20"/>
          <w:highlight w:val="yellow"/>
          <w:lang w:val="en-US"/>
        </w:rPr>
      </w:pPr>
      <w:r w:rsidRPr="00DC2CA1">
        <w:rPr>
          <w:rFonts w:eastAsia="Times New Roman"/>
          <w:color w:val="000000" w:themeColor="text1"/>
          <w:sz w:val="20"/>
          <w:szCs w:val="20"/>
          <w:highlight w:val="yellow"/>
          <w:lang w:val="en-US"/>
        </w:rPr>
        <w:lastRenderedPageBreak/>
        <w:t xml:space="preserve">Reduction of HCFC consumption by 67.5% in 2030 compared to the baseline and phase-out (or 100% reduction) by </w:t>
      </w:r>
      <w:proofErr w:type="gramStart"/>
      <w:r w:rsidRPr="00DC2CA1">
        <w:rPr>
          <w:rFonts w:eastAsia="Times New Roman"/>
          <w:color w:val="000000" w:themeColor="text1"/>
          <w:sz w:val="20"/>
          <w:szCs w:val="20"/>
          <w:highlight w:val="yellow"/>
          <w:lang w:val="en-US"/>
        </w:rPr>
        <w:t>2030;</w:t>
      </w:r>
      <w:proofErr w:type="gramEnd"/>
    </w:p>
    <w:p w14:paraId="25B1E610" w14:textId="687C1641" w:rsidR="41102027" w:rsidRPr="00DC2CA1" w:rsidRDefault="41102027" w:rsidP="003C5C1B">
      <w:pPr>
        <w:pStyle w:val="Paragraphedeliste"/>
        <w:numPr>
          <w:ilvl w:val="0"/>
          <w:numId w:val="889"/>
        </w:numPr>
        <w:spacing w:before="240" w:after="240" w:line="240" w:lineRule="auto"/>
        <w:jc w:val="both"/>
        <w:rPr>
          <w:rFonts w:eastAsia="Times New Roman"/>
          <w:color w:val="000000" w:themeColor="text1"/>
          <w:sz w:val="20"/>
          <w:szCs w:val="20"/>
          <w:highlight w:val="yellow"/>
          <w:lang w:val="en-US"/>
        </w:rPr>
      </w:pPr>
      <w:r w:rsidRPr="00DC2CA1">
        <w:rPr>
          <w:rFonts w:eastAsia="Times New Roman"/>
          <w:color w:val="000000" w:themeColor="text1"/>
          <w:sz w:val="20"/>
          <w:szCs w:val="20"/>
          <w:highlight w:val="yellow"/>
          <w:lang w:val="en-US"/>
        </w:rPr>
        <w:t>Reduction of HFC consumption by 10% in 2029 compared to the baseline and 80% in 2045.</w:t>
      </w:r>
    </w:p>
    <w:p w14:paraId="01F681A5" w14:textId="5856C9A5" w:rsidR="41102027" w:rsidRPr="00DC2CA1" w:rsidRDefault="41102027" w:rsidP="003C5C1B">
      <w:pPr>
        <w:pStyle w:val="Paragraphedeliste"/>
        <w:numPr>
          <w:ilvl w:val="0"/>
          <w:numId w:val="888"/>
        </w:numPr>
        <w:spacing w:before="240" w:after="240" w:line="240" w:lineRule="auto"/>
        <w:jc w:val="both"/>
        <w:rPr>
          <w:rFonts w:eastAsia="Times New Roman"/>
          <w:color w:val="000000" w:themeColor="text1"/>
          <w:sz w:val="20"/>
          <w:szCs w:val="20"/>
          <w:highlight w:val="yellow"/>
          <w:lang w:val="en-US"/>
        </w:rPr>
      </w:pPr>
      <w:r w:rsidRPr="00DC2CA1">
        <w:rPr>
          <w:rFonts w:eastAsia="Times New Roman"/>
          <w:color w:val="000000" w:themeColor="text1"/>
          <w:sz w:val="20"/>
          <w:szCs w:val="20"/>
          <w:highlight w:val="yellow"/>
          <w:lang w:val="en-US"/>
        </w:rPr>
        <w:t>In 2024, the indicators for Mali are:</w:t>
      </w:r>
    </w:p>
    <w:p w14:paraId="64D2B6EB" w14:textId="7B6EB2D2" w:rsidR="41102027" w:rsidRPr="00DC2CA1" w:rsidRDefault="41102027" w:rsidP="003C5C1B">
      <w:pPr>
        <w:pStyle w:val="Paragraphedeliste"/>
        <w:numPr>
          <w:ilvl w:val="0"/>
          <w:numId w:val="889"/>
        </w:numPr>
        <w:spacing w:before="240" w:after="240" w:line="240" w:lineRule="auto"/>
        <w:jc w:val="both"/>
        <w:rPr>
          <w:rFonts w:eastAsia="Times New Roman"/>
          <w:color w:val="000000" w:themeColor="text1"/>
          <w:sz w:val="20"/>
          <w:szCs w:val="20"/>
          <w:highlight w:val="yellow"/>
          <w:lang w:val="en-US"/>
        </w:rPr>
      </w:pPr>
      <w:r w:rsidRPr="00DC2CA1">
        <w:rPr>
          <w:rFonts w:eastAsia="Times New Roman"/>
          <w:color w:val="000000" w:themeColor="text1"/>
          <w:sz w:val="20"/>
          <w:szCs w:val="20"/>
          <w:highlight w:val="yellow"/>
          <w:lang w:val="en-US"/>
        </w:rPr>
        <w:t xml:space="preserve">HCFC phase-out: a reported import of 80 metric tons of HCFCs, which it must phase out with funding from the Multilateral Fund through relevant activities or projects by </w:t>
      </w:r>
      <w:proofErr w:type="gramStart"/>
      <w:r w:rsidRPr="00DC2CA1">
        <w:rPr>
          <w:rFonts w:eastAsia="Times New Roman"/>
          <w:color w:val="000000" w:themeColor="text1"/>
          <w:sz w:val="20"/>
          <w:szCs w:val="20"/>
          <w:highlight w:val="yellow"/>
          <w:lang w:val="en-US"/>
        </w:rPr>
        <w:t>2030;</w:t>
      </w:r>
      <w:proofErr w:type="gramEnd"/>
    </w:p>
    <w:p w14:paraId="6D73CE56" w14:textId="2F149AD4" w:rsidR="00AC2A61" w:rsidRPr="00DC2CA1" w:rsidRDefault="41102027" w:rsidP="003C5C1B">
      <w:pPr>
        <w:pStyle w:val="Paragraphedeliste"/>
        <w:spacing w:before="240" w:after="240" w:line="240" w:lineRule="auto"/>
        <w:ind w:left="547"/>
        <w:jc w:val="both"/>
        <w:rPr>
          <w:rFonts w:eastAsia="Times New Roman"/>
          <w:color w:val="000000" w:themeColor="text1"/>
          <w:sz w:val="20"/>
          <w:szCs w:val="20"/>
          <w:highlight w:val="yellow"/>
          <w:lang w:val="en-US"/>
        </w:rPr>
      </w:pPr>
      <w:r w:rsidRPr="00DC2CA1">
        <w:rPr>
          <w:rFonts w:eastAsia="Times New Roman"/>
          <w:color w:val="000000" w:themeColor="text1"/>
          <w:sz w:val="20"/>
          <w:szCs w:val="20"/>
          <w:highlight w:val="yellow"/>
          <w:lang w:val="en-US"/>
        </w:rPr>
        <w:t>HFC phase-down: a reported import of 831 metric tons, which it must gradually reduce by 10% in 2029, then by 30% in 2035 and 80% in 2045, based on the baseline.</w:t>
      </w:r>
    </w:p>
    <w:p w14:paraId="4CD39E9F" w14:textId="029ABA9C" w:rsidR="1A8B662A" w:rsidRPr="00917181" w:rsidRDefault="41102027" w:rsidP="00DC2CA1">
      <w:pPr>
        <w:spacing w:before="240" w:after="240" w:line="240" w:lineRule="auto"/>
        <w:jc w:val="both"/>
        <w:rPr>
          <w:sz w:val="20"/>
          <w:szCs w:val="20"/>
          <w:highlight w:val="yellow"/>
          <w:lang w:val="en-US"/>
        </w:rPr>
      </w:pPr>
      <w:r w:rsidRPr="00DC2CA1">
        <w:rPr>
          <w:rFonts w:eastAsia="Times New Roman"/>
          <w:color w:val="000000" w:themeColor="text1"/>
          <w:sz w:val="20"/>
          <w:szCs w:val="20"/>
          <w:highlight w:val="yellow"/>
          <w:lang w:val="en-US"/>
        </w:rPr>
        <w:t>Due to poorly controlled imports of electrical and household appliances, many of which still run on HCFCs, and existing equipment in the country that runs on HCFCs, there is a significant challenge in meeting the HCFC phase-out schedule. In this case, there is a calculated need for HCFC consumption of approximately 250 metric tons of HCFCs to be phased out for 900,000 corresponding equipment, consistent with the reported import of 80 metric tons in 2024. The country is currently engaged with the implementing agencies UNEP and UNDP with the Multilateral Fund to meet the indicated schedules.</w:t>
      </w:r>
    </w:p>
    <w:p w14:paraId="0FA2F1BF" w14:textId="77777777" w:rsidR="00F4288C" w:rsidRPr="00E86501" w:rsidRDefault="00F4288C" w:rsidP="00F4288C">
      <w:pPr>
        <w:spacing w:before="240" w:after="240" w:line="240" w:lineRule="auto"/>
        <w:jc w:val="both"/>
        <w:rPr>
          <w:b/>
          <w:bCs/>
          <w:color w:val="000000" w:themeColor="text1"/>
          <w:sz w:val="20"/>
          <w:szCs w:val="20"/>
          <w:highlight w:val="cyan"/>
          <w:lang w:val="en-US"/>
        </w:rPr>
      </w:pPr>
      <w:r w:rsidRPr="00E86501">
        <w:rPr>
          <w:b/>
          <w:bCs/>
          <w:color w:val="000000" w:themeColor="text1"/>
          <w:sz w:val="20"/>
          <w:szCs w:val="20"/>
          <w:highlight w:val="cyan"/>
          <w:lang w:val="en-US"/>
        </w:rPr>
        <w:t>Output 1.1.3. National and local institutional, technical, and participatory capacities for inclusive and data-driven urban governance are strengthened.</w:t>
      </w:r>
    </w:p>
    <w:p w14:paraId="53A8D118" w14:textId="77777777" w:rsidR="0025460A" w:rsidRPr="00E86501" w:rsidRDefault="0025460A" w:rsidP="00394704">
      <w:pPr>
        <w:rPr>
          <w:color w:val="000000" w:themeColor="text1"/>
          <w:sz w:val="20"/>
          <w:szCs w:val="20"/>
          <w:highlight w:val="cyan"/>
          <w:lang w:val="en-US"/>
        </w:rPr>
      </w:pPr>
      <w:r w:rsidRPr="00E86501">
        <w:rPr>
          <w:color w:val="000000" w:themeColor="text1"/>
          <w:sz w:val="20"/>
          <w:szCs w:val="20"/>
          <w:highlight w:val="cyan"/>
          <w:lang w:val="en-US"/>
        </w:rPr>
        <w:t>This output supports the District of Bamako and its municipalities in reinforcing the institutional foundations, human capacities, and participatory mechanisms required for integrated territorial planning and climate-resilient urban management.</w:t>
      </w:r>
    </w:p>
    <w:p w14:paraId="2184C6C3" w14:textId="04F53751" w:rsidR="0025460A" w:rsidRPr="00E86501" w:rsidRDefault="0025460A" w:rsidP="00E6032F">
      <w:pPr>
        <w:rPr>
          <w:color w:val="000000" w:themeColor="text1"/>
          <w:sz w:val="20"/>
          <w:szCs w:val="20"/>
          <w:highlight w:val="cyan"/>
          <w:lang w:val="en-US"/>
        </w:rPr>
      </w:pPr>
      <w:r w:rsidRPr="00E86501">
        <w:rPr>
          <w:color w:val="000000" w:themeColor="text1"/>
          <w:sz w:val="20"/>
          <w:szCs w:val="20"/>
          <w:highlight w:val="cyan"/>
          <w:lang w:val="en-US"/>
        </w:rPr>
        <w:t>Interventions focus on addressing key structural and operational bottlenecks by acting through four mutually reinforcing areas</w:t>
      </w:r>
      <w:r w:rsidR="00FB5493" w:rsidRPr="00E86501">
        <w:rPr>
          <w:color w:val="000000" w:themeColor="text1"/>
          <w:sz w:val="20"/>
          <w:szCs w:val="20"/>
          <w:highlight w:val="cyan"/>
          <w:lang w:val="en-US"/>
        </w:rPr>
        <w:t xml:space="preserve"> as following: </w:t>
      </w:r>
      <w:r w:rsidR="00601583" w:rsidRPr="00E86501">
        <w:rPr>
          <w:color w:val="000000" w:themeColor="text1"/>
          <w:sz w:val="20"/>
          <w:szCs w:val="20"/>
          <w:highlight w:val="cyan"/>
          <w:lang w:val="en-US"/>
        </w:rPr>
        <w:t>s</w:t>
      </w:r>
    </w:p>
    <w:p w14:paraId="7DC9EAA6" w14:textId="77777777" w:rsidR="0025460A" w:rsidRPr="00E86501" w:rsidRDefault="0025460A" w:rsidP="0025460A">
      <w:pPr>
        <w:rPr>
          <w:color w:val="000000" w:themeColor="text1"/>
          <w:sz w:val="20"/>
          <w:szCs w:val="20"/>
          <w:highlight w:val="cyan"/>
          <w:lang w:val="en-US"/>
        </w:rPr>
      </w:pPr>
      <w:r w:rsidRPr="00E86501">
        <w:rPr>
          <w:color w:val="000000" w:themeColor="text1"/>
          <w:sz w:val="20"/>
          <w:szCs w:val="20"/>
          <w:highlight w:val="cyan"/>
          <w:lang w:val="en-US"/>
        </w:rPr>
        <w:t>(</w:t>
      </w:r>
      <w:proofErr w:type="spellStart"/>
      <w:r w:rsidRPr="00E86501">
        <w:rPr>
          <w:color w:val="000000" w:themeColor="text1"/>
          <w:sz w:val="20"/>
          <w:szCs w:val="20"/>
          <w:highlight w:val="cyan"/>
          <w:lang w:val="en-US"/>
        </w:rPr>
        <w:t>i</w:t>
      </w:r>
      <w:proofErr w:type="spellEnd"/>
      <w:r w:rsidRPr="00E86501">
        <w:rPr>
          <w:color w:val="000000" w:themeColor="text1"/>
          <w:sz w:val="20"/>
          <w:szCs w:val="20"/>
          <w:highlight w:val="cyan"/>
          <w:lang w:val="en-US"/>
        </w:rPr>
        <w:t>) Strengthening the capacities of national and local actors</w:t>
      </w:r>
    </w:p>
    <w:p w14:paraId="7EE3EFA2" w14:textId="6E1559DC" w:rsidR="0025460A" w:rsidRPr="00E86501" w:rsidRDefault="0025460A" w:rsidP="00601583">
      <w:pPr>
        <w:rPr>
          <w:color w:val="000000" w:themeColor="text1"/>
          <w:sz w:val="20"/>
          <w:szCs w:val="20"/>
          <w:highlight w:val="cyan"/>
          <w:lang w:val="en-US"/>
        </w:rPr>
      </w:pPr>
      <w:r w:rsidRPr="00E86501">
        <w:rPr>
          <w:color w:val="000000" w:themeColor="text1"/>
          <w:sz w:val="20"/>
          <w:szCs w:val="20"/>
          <w:highlight w:val="cyan"/>
          <w:lang w:val="en-US"/>
        </w:rPr>
        <w:t xml:space="preserve">A cost-effective and gender-responsive capacity development </w:t>
      </w:r>
      <w:proofErr w:type="spellStart"/>
      <w:r w:rsidRPr="00E86501">
        <w:rPr>
          <w:color w:val="000000" w:themeColor="text1"/>
          <w:sz w:val="20"/>
          <w:szCs w:val="20"/>
          <w:highlight w:val="cyan"/>
          <w:lang w:val="en-US"/>
        </w:rPr>
        <w:t>programme</w:t>
      </w:r>
      <w:proofErr w:type="spellEnd"/>
      <w:r w:rsidRPr="00E86501">
        <w:rPr>
          <w:color w:val="000000" w:themeColor="text1"/>
          <w:sz w:val="20"/>
          <w:szCs w:val="20"/>
          <w:highlight w:val="cyan"/>
          <w:lang w:val="en-US"/>
        </w:rPr>
        <w:t xml:space="preserve"> will be implemented to enhance the skills of public institutions responsible for planning, coordinating, and monitoring urban development. The </w:t>
      </w:r>
      <w:proofErr w:type="spellStart"/>
      <w:r w:rsidRPr="00E86501">
        <w:rPr>
          <w:color w:val="000000" w:themeColor="text1"/>
          <w:sz w:val="20"/>
          <w:szCs w:val="20"/>
          <w:highlight w:val="cyan"/>
          <w:lang w:val="en-US"/>
        </w:rPr>
        <w:t>programme</w:t>
      </w:r>
      <w:proofErr w:type="spellEnd"/>
      <w:r w:rsidRPr="00E86501">
        <w:rPr>
          <w:color w:val="000000" w:themeColor="text1"/>
          <w:sz w:val="20"/>
          <w:szCs w:val="20"/>
          <w:highlight w:val="cyan"/>
          <w:lang w:val="en-US"/>
        </w:rPr>
        <w:t xml:space="preserve"> will reinforce technical, organizational, and managerial capacities for inclusive service delivery and resilient territorial governance.</w:t>
      </w:r>
    </w:p>
    <w:p w14:paraId="096D1364" w14:textId="77777777" w:rsidR="0025460A" w:rsidRPr="00E86501" w:rsidRDefault="0025460A" w:rsidP="0025460A">
      <w:pPr>
        <w:rPr>
          <w:color w:val="000000" w:themeColor="text1"/>
          <w:sz w:val="20"/>
          <w:szCs w:val="20"/>
          <w:highlight w:val="cyan"/>
          <w:lang w:val="en-US"/>
        </w:rPr>
      </w:pPr>
      <w:r w:rsidRPr="00E86501">
        <w:rPr>
          <w:color w:val="000000" w:themeColor="text1"/>
          <w:sz w:val="20"/>
          <w:szCs w:val="20"/>
          <w:highlight w:val="cyan"/>
          <w:lang w:val="en-US"/>
        </w:rPr>
        <w:t>(ii) Institutionalizing multi-stakeholder coordination and participatory dialogue</w:t>
      </w:r>
    </w:p>
    <w:p w14:paraId="388D886B" w14:textId="77777777" w:rsidR="0025460A" w:rsidRPr="00E86501" w:rsidRDefault="0025460A" w:rsidP="0025460A">
      <w:pPr>
        <w:rPr>
          <w:color w:val="000000" w:themeColor="text1"/>
          <w:sz w:val="20"/>
          <w:szCs w:val="20"/>
          <w:highlight w:val="cyan"/>
          <w:lang w:val="en-US"/>
        </w:rPr>
      </w:pPr>
      <w:r w:rsidRPr="00E86501">
        <w:rPr>
          <w:color w:val="000000" w:themeColor="text1"/>
          <w:sz w:val="20"/>
          <w:szCs w:val="20"/>
          <w:highlight w:val="cyan"/>
          <w:lang w:val="en-US"/>
        </w:rPr>
        <w:t>A permanent coordination platform will be established to enable structured dialogue between public institutions, private sector actors, academia, and civil society. This platform will facilitate joint planning, alignment of sectoral initiatives, inclusive engagement of women and youth, and transparent decision-making on priority urban interventions.</w:t>
      </w:r>
    </w:p>
    <w:p w14:paraId="1A389F9C" w14:textId="77777777" w:rsidR="0025460A" w:rsidRPr="00E86501" w:rsidRDefault="0025460A" w:rsidP="0025460A">
      <w:pPr>
        <w:rPr>
          <w:color w:val="000000" w:themeColor="text1"/>
          <w:sz w:val="20"/>
          <w:szCs w:val="20"/>
          <w:highlight w:val="cyan"/>
          <w:lang w:val="en-US"/>
        </w:rPr>
      </w:pPr>
      <w:r w:rsidRPr="00E86501">
        <w:rPr>
          <w:color w:val="000000" w:themeColor="text1"/>
          <w:sz w:val="20"/>
          <w:szCs w:val="20"/>
          <w:highlight w:val="cyan"/>
          <w:lang w:val="en-US"/>
        </w:rPr>
        <w:t>(iii) Operationalizing digital governance and spatial data systems</w:t>
      </w:r>
    </w:p>
    <w:p w14:paraId="094FF6B2" w14:textId="77777777" w:rsidR="0025460A" w:rsidRPr="00E86501" w:rsidRDefault="0025460A" w:rsidP="0025460A">
      <w:pPr>
        <w:rPr>
          <w:color w:val="000000" w:themeColor="text1"/>
          <w:sz w:val="20"/>
          <w:szCs w:val="20"/>
          <w:highlight w:val="cyan"/>
          <w:lang w:val="en-US"/>
        </w:rPr>
      </w:pPr>
      <w:r w:rsidRPr="00E86501">
        <w:rPr>
          <w:color w:val="000000" w:themeColor="text1"/>
          <w:sz w:val="20"/>
          <w:szCs w:val="20"/>
          <w:highlight w:val="cyan"/>
          <w:lang w:val="en-US"/>
        </w:rPr>
        <w:t>To support evidence-based planning, the output will deploy localized Geographic Information System (GIS) tools in two vulnerable municipalities, with full integration into the Bamako Geoportal. These tools will strengthen data availability, support cross-sectoral coordination, and increase transparency in urban management processes.</w:t>
      </w:r>
    </w:p>
    <w:p w14:paraId="104612CD" w14:textId="122BCCF4" w:rsidR="0025460A" w:rsidRPr="00E86501" w:rsidRDefault="0025460A" w:rsidP="00E86501">
      <w:pPr>
        <w:rPr>
          <w:color w:val="000000" w:themeColor="text1"/>
          <w:sz w:val="20"/>
          <w:szCs w:val="20"/>
          <w:highlight w:val="cyan"/>
          <w:lang w:val="en-US"/>
        </w:rPr>
      </w:pPr>
      <w:r w:rsidRPr="00E86501">
        <w:rPr>
          <w:color w:val="000000" w:themeColor="text1"/>
          <w:sz w:val="20"/>
          <w:szCs w:val="20"/>
          <w:highlight w:val="cyan"/>
          <w:lang w:val="en-US"/>
        </w:rPr>
        <w:t>(iv) Mobilizing innovation and knowledge generation through strategic partnerships</w:t>
      </w:r>
      <w:r w:rsidR="008D2C2B" w:rsidRPr="00E86501">
        <w:rPr>
          <w:color w:val="000000" w:themeColor="text1"/>
          <w:sz w:val="20"/>
          <w:szCs w:val="20"/>
          <w:highlight w:val="cyan"/>
          <w:lang w:val="en-US"/>
        </w:rPr>
        <w:t xml:space="preserve"> Indeed</w:t>
      </w:r>
      <w:r w:rsidR="00FF4B06" w:rsidRPr="00E86501">
        <w:rPr>
          <w:color w:val="000000" w:themeColor="text1"/>
          <w:sz w:val="20"/>
          <w:szCs w:val="20"/>
          <w:highlight w:val="cyan"/>
          <w:lang w:val="en-US"/>
        </w:rPr>
        <w:t>, the project</w:t>
      </w:r>
      <w:r w:rsidRPr="00E86501">
        <w:rPr>
          <w:color w:val="000000" w:themeColor="text1"/>
          <w:sz w:val="20"/>
          <w:szCs w:val="20"/>
          <w:highlight w:val="cyan"/>
          <w:lang w:val="en-US"/>
        </w:rPr>
        <w:t xml:space="preserve"> will foster innovation and strengthen the science–policy interface</w:t>
      </w:r>
      <w:r w:rsidR="004A6B41" w:rsidRPr="00E86501">
        <w:rPr>
          <w:color w:val="000000" w:themeColor="text1"/>
          <w:sz w:val="20"/>
          <w:szCs w:val="20"/>
          <w:highlight w:val="cyan"/>
          <w:lang w:val="en-US"/>
        </w:rPr>
        <w:t xml:space="preserve"> through </w:t>
      </w:r>
      <w:r w:rsidR="00CE2423" w:rsidRPr="00E86501">
        <w:rPr>
          <w:color w:val="000000" w:themeColor="text1"/>
          <w:sz w:val="20"/>
          <w:szCs w:val="20"/>
          <w:highlight w:val="cyan"/>
          <w:lang w:val="en-US"/>
        </w:rPr>
        <w:t xml:space="preserve">support to ENI ABT and </w:t>
      </w:r>
      <w:r w:rsidR="00BE451F" w:rsidRPr="00E86501">
        <w:rPr>
          <w:color w:val="000000" w:themeColor="text1"/>
          <w:sz w:val="20"/>
          <w:szCs w:val="20"/>
          <w:highlight w:val="cyan"/>
          <w:lang w:val="en-US"/>
        </w:rPr>
        <w:t>promoting</w:t>
      </w:r>
      <w:r w:rsidR="005F5081" w:rsidRPr="00E86501">
        <w:rPr>
          <w:color w:val="000000" w:themeColor="text1"/>
          <w:sz w:val="20"/>
          <w:szCs w:val="20"/>
          <w:highlight w:val="cyan"/>
          <w:lang w:val="en-US"/>
        </w:rPr>
        <w:t xml:space="preserve"> </w:t>
      </w:r>
      <w:r w:rsidR="00ED38A3" w:rsidRPr="00E86501">
        <w:rPr>
          <w:color w:val="000000" w:themeColor="text1"/>
          <w:sz w:val="20"/>
          <w:szCs w:val="20"/>
          <w:highlight w:val="cyan"/>
          <w:lang w:val="en-US"/>
        </w:rPr>
        <w:t>s</w:t>
      </w:r>
      <w:r w:rsidR="005F5081" w:rsidRPr="00E86501">
        <w:rPr>
          <w:color w:val="000000" w:themeColor="text1"/>
          <w:sz w:val="20"/>
          <w:szCs w:val="20"/>
          <w:highlight w:val="cyan"/>
          <w:lang w:val="en-US"/>
        </w:rPr>
        <w:t xml:space="preserve"> y</w:t>
      </w:r>
      <w:r w:rsidR="00CE2423" w:rsidRPr="00E86501">
        <w:rPr>
          <w:color w:val="000000" w:themeColor="text1"/>
          <w:sz w:val="20"/>
          <w:szCs w:val="20"/>
          <w:highlight w:val="cyan"/>
          <w:lang w:val="en-US"/>
        </w:rPr>
        <w:t xml:space="preserve">outh </w:t>
      </w:r>
      <w:r w:rsidR="005F5081" w:rsidRPr="00E86501">
        <w:rPr>
          <w:color w:val="000000" w:themeColor="text1"/>
          <w:sz w:val="20"/>
          <w:szCs w:val="20"/>
          <w:highlight w:val="cyan"/>
          <w:lang w:val="en-US"/>
        </w:rPr>
        <w:t>participation t</w:t>
      </w:r>
      <w:r w:rsidR="00ED38A3" w:rsidRPr="00E86501">
        <w:rPr>
          <w:color w:val="000000" w:themeColor="text1"/>
          <w:sz w:val="20"/>
          <w:szCs w:val="20"/>
          <w:highlight w:val="cyan"/>
          <w:lang w:val="en-US"/>
        </w:rPr>
        <w:t xml:space="preserve">o the </w:t>
      </w:r>
      <w:r w:rsidR="005F5081" w:rsidRPr="00E86501">
        <w:rPr>
          <w:color w:val="000000" w:themeColor="text1"/>
          <w:sz w:val="20"/>
          <w:szCs w:val="20"/>
          <w:highlight w:val="cyan"/>
          <w:lang w:val="en-US"/>
        </w:rPr>
        <w:t xml:space="preserve">effort of </w:t>
      </w:r>
      <w:r w:rsidR="00CE2423" w:rsidRPr="00E86501">
        <w:rPr>
          <w:color w:val="000000" w:themeColor="text1"/>
          <w:sz w:val="20"/>
          <w:szCs w:val="20"/>
          <w:highlight w:val="cyan"/>
          <w:lang w:val="en-US"/>
        </w:rPr>
        <w:t xml:space="preserve">green urban solutions. </w:t>
      </w:r>
    </w:p>
    <w:p w14:paraId="0417001F" w14:textId="13E8F950" w:rsidR="004D7A2F" w:rsidRPr="007F4912" w:rsidRDefault="0025460A" w:rsidP="004D7A2F">
      <w:pPr>
        <w:jc w:val="both"/>
        <w:rPr>
          <w:color w:val="000000" w:themeColor="text1"/>
          <w:sz w:val="20"/>
          <w:szCs w:val="20"/>
          <w:lang w:val="en-US"/>
        </w:rPr>
      </w:pPr>
      <w:r w:rsidRPr="00E86501">
        <w:rPr>
          <w:color w:val="000000" w:themeColor="text1"/>
          <w:sz w:val="20"/>
          <w:szCs w:val="20"/>
          <w:highlight w:val="cyan"/>
          <w:lang w:val="en-US"/>
        </w:rPr>
        <w:t xml:space="preserve">By integrating capacity development, institutional coordination, digital governance, and innovation ecosystems into a single comprehensive framework, Output 1.1.3 enhances the ability of national and local actors to deliver inclusive, transparent, and climate-resilient urban development. It strengthens participatory governance mechanisms and ensures that evidence, innovation, and stakeholder engagement inform territorial planning and policy implementation across </w:t>
      </w:r>
      <w:proofErr w:type="gramStart"/>
      <w:r w:rsidRPr="00E86501">
        <w:rPr>
          <w:color w:val="000000" w:themeColor="text1"/>
          <w:sz w:val="20"/>
          <w:szCs w:val="20"/>
          <w:highlight w:val="cyan"/>
          <w:lang w:val="en-US"/>
        </w:rPr>
        <w:t>Bamako</w:t>
      </w:r>
      <w:r w:rsidR="004D7A2F" w:rsidRPr="00E86501">
        <w:rPr>
          <w:color w:val="000000" w:themeColor="text1"/>
          <w:sz w:val="20"/>
          <w:szCs w:val="20"/>
          <w:highlight w:val="cyan"/>
          <w:lang w:val="en-US"/>
        </w:rPr>
        <w:t>..</w:t>
      </w:r>
      <w:proofErr w:type="gramEnd"/>
    </w:p>
    <w:p w14:paraId="07AC2D13" w14:textId="7D3C178C" w:rsidR="004F7DB3" w:rsidRPr="005A4E07" w:rsidRDefault="3967F488" w:rsidP="4B3DA424">
      <w:pPr>
        <w:rPr>
          <w:i/>
          <w:iCs/>
          <w:color w:val="000000" w:themeColor="text1"/>
          <w:sz w:val="20"/>
          <w:szCs w:val="20"/>
          <w:u w:val="single"/>
          <w:lang w:val="en-US"/>
        </w:rPr>
      </w:pPr>
      <w:r w:rsidRPr="2DC80E69">
        <w:rPr>
          <w:i/>
          <w:iCs/>
          <w:color w:val="000000" w:themeColor="text1"/>
          <w:sz w:val="20"/>
          <w:szCs w:val="20"/>
          <w:u w:val="single"/>
          <w:lang w:val="en-US"/>
        </w:rPr>
        <w:lastRenderedPageBreak/>
        <w:t xml:space="preserve">Activity 1.1.3.1 – Development and Implementation of a National and </w:t>
      </w:r>
      <w:r w:rsidR="28532C3D" w:rsidRPr="2DC80E69">
        <w:rPr>
          <w:i/>
          <w:iCs/>
          <w:color w:val="000000" w:themeColor="text1"/>
          <w:sz w:val="20"/>
          <w:szCs w:val="20"/>
          <w:u w:val="single"/>
          <w:lang w:val="en-US"/>
        </w:rPr>
        <w:t xml:space="preserve">Subnational </w:t>
      </w:r>
      <w:r w:rsidRPr="2DC80E69">
        <w:rPr>
          <w:i/>
          <w:iCs/>
          <w:color w:val="000000" w:themeColor="text1"/>
          <w:sz w:val="20"/>
          <w:szCs w:val="20"/>
          <w:u w:val="single"/>
          <w:lang w:val="en-US"/>
        </w:rPr>
        <w:t>Capacity-Building Plan for Integrated Urban Planning</w:t>
      </w:r>
    </w:p>
    <w:p w14:paraId="08CFF03D" w14:textId="7EBF3CB3" w:rsidR="004F7DB3" w:rsidRPr="00857B81" w:rsidRDefault="235A7F04" w:rsidP="0764FF73">
      <w:pPr>
        <w:spacing w:after="0"/>
        <w:jc w:val="both"/>
        <w:rPr>
          <w:sz w:val="20"/>
          <w:szCs w:val="20"/>
          <w:highlight w:val="yellow"/>
          <w:lang w:val="en-US"/>
        </w:rPr>
      </w:pPr>
      <w:r w:rsidRPr="0764FF73">
        <w:rPr>
          <w:sz w:val="20"/>
          <w:szCs w:val="20"/>
          <w:lang w:val="en-US"/>
        </w:rPr>
        <w:t xml:space="preserve"> </w:t>
      </w:r>
      <w:r w:rsidRPr="00857B81">
        <w:rPr>
          <w:sz w:val="20"/>
          <w:szCs w:val="20"/>
          <w:highlight w:val="yellow"/>
          <w:lang w:val="en-US"/>
        </w:rPr>
        <w:t xml:space="preserve">Effective implementation of integrated urban development requires not only sound planning tools and policies but also </w:t>
      </w:r>
      <w:r w:rsidRPr="00857B81">
        <w:rPr>
          <w:b/>
          <w:bCs/>
          <w:sz w:val="20"/>
          <w:szCs w:val="20"/>
          <w:highlight w:val="yellow"/>
          <w:lang w:val="en-US"/>
        </w:rPr>
        <w:t>strong institutional and human capacities</w:t>
      </w:r>
      <w:r w:rsidRPr="00857B81">
        <w:rPr>
          <w:sz w:val="20"/>
          <w:szCs w:val="20"/>
          <w:highlight w:val="yellow"/>
          <w:lang w:val="en-US"/>
        </w:rPr>
        <w:t xml:space="preserve"> at both national and local levels. Yet, many urban planning actors in Mali—particularly within the National Directorate of Urban Planning and Housing (NDUPH) and local governments—face persistent capacity gaps in strategic planning, data management, intersectoral coordination, and participatory governance.</w:t>
      </w:r>
    </w:p>
    <w:p w14:paraId="537C7151" w14:textId="49D5525A" w:rsidR="004F7DB3" w:rsidRPr="00857B81" w:rsidRDefault="235A7F04" w:rsidP="00857B81">
      <w:pPr>
        <w:spacing w:after="0"/>
        <w:jc w:val="both"/>
        <w:rPr>
          <w:sz w:val="20"/>
          <w:szCs w:val="20"/>
          <w:highlight w:val="yellow"/>
          <w:lang w:val="en-US"/>
        </w:rPr>
      </w:pPr>
      <w:r w:rsidRPr="00857B81">
        <w:rPr>
          <w:sz w:val="20"/>
          <w:szCs w:val="20"/>
          <w:highlight w:val="yellow"/>
          <w:lang w:val="en-US"/>
        </w:rPr>
        <w:t>This activity aims to address these challenges through the development and implementation of a comprehensive, costed capacity-building plan, tailored to the needs of national institutions, decentralized entities, and other key stakeholders involved in the IUDP. The plan will be based on a thorough capacity needs assessment, which will identify skill gaps, existing training resources, and opportunities for alignment with ongoing programs (</w:t>
      </w:r>
      <w:proofErr w:type="spellStart"/>
      <w:r w:rsidRPr="00857B81">
        <w:rPr>
          <w:sz w:val="20"/>
          <w:szCs w:val="20"/>
          <w:highlight w:val="yellow"/>
          <w:lang w:val="en-US"/>
        </w:rPr>
        <w:t>i.e</w:t>
      </w:r>
      <w:proofErr w:type="spellEnd"/>
      <w:r w:rsidRPr="00857B81">
        <w:rPr>
          <w:sz w:val="20"/>
          <w:szCs w:val="20"/>
          <w:highlight w:val="yellow"/>
          <w:lang w:val="en-US"/>
        </w:rPr>
        <w:t xml:space="preserve"> PRUBA, UNHABITAT, UNWOMEN)). The plan will also include capacity-building on gender-sensitive Grievance Redress Mechanism (GRM) (ref. Annex F).</w:t>
      </w:r>
    </w:p>
    <w:p w14:paraId="12ADD856" w14:textId="0C95B0D6" w:rsidR="004F7DB3" w:rsidRPr="00857B81" w:rsidRDefault="235A7F04" w:rsidP="00857B81">
      <w:pPr>
        <w:spacing w:after="0"/>
        <w:jc w:val="both"/>
        <w:rPr>
          <w:sz w:val="20"/>
          <w:szCs w:val="20"/>
          <w:highlight w:val="yellow"/>
          <w:lang w:val="en-US"/>
        </w:rPr>
      </w:pPr>
      <w:r w:rsidRPr="00857B81">
        <w:rPr>
          <w:sz w:val="20"/>
          <w:szCs w:val="20"/>
          <w:highlight w:val="yellow"/>
          <w:lang w:val="en-US"/>
        </w:rPr>
        <w:t xml:space="preserve">A strong emphasis will be placed on inclusion and gender equality. The capacity-building approach will integrate a gender analysis to ensure that training content, methods, and participation mechanisms respond to the specific needs and constraints of women, youth, and other underrepresented groups within the urban planning ecosystem. The plan will also include specific training modules and engagement mechanisms to enhance the capacity of local officials and planners to identify, reach, and support IDPs, ensuring that planning responses are both inclusive and </w:t>
      </w:r>
      <w:proofErr w:type="gramStart"/>
      <w:r w:rsidRPr="00857B81">
        <w:rPr>
          <w:sz w:val="20"/>
          <w:szCs w:val="20"/>
          <w:highlight w:val="yellow"/>
          <w:lang w:val="en-US"/>
        </w:rPr>
        <w:t>conflict-sensitive</w:t>
      </w:r>
      <w:proofErr w:type="gramEnd"/>
      <w:r w:rsidRPr="00857B81">
        <w:rPr>
          <w:sz w:val="20"/>
          <w:szCs w:val="20"/>
          <w:highlight w:val="yellow"/>
          <w:lang w:val="en-US"/>
        </w:rPr>
        <w:t>.</w:t>
      </w:r>
    </w:p>
    <w:p w14:paraId="3C7C195C" w14:textId="59D8EF03" w:rsidR="004F7DB3" w:rsidRPr="00857B81" w:rsidRDefault="235A7F04" w:rsidP="00857B81">
      <w:pPr>
        <w:spacing w:after="0"/>
        <w:jc w:val="both"/>
        <w:rPr>
          <w:color w:val="000000" w:themeColor="text1"/>
          <w:sz w:val="20"/>
          <w:szCs w:val="20"/>
          <w:highlight w:val="yellow"/>
          <w:lang w:val="en-US"/>
        </w:rPr>
      </w:pPr>
      <w:r w:rsidRPr="00857B81">
        <w:rPr>
          <w:sz w:val="20"/>
          <w:szCs w:val="20"/>
          <w:highlight w:val="yellow"/>
          <w:lang w:val="en-US"/>
        </w:rPr>
        <w:t xml:space="preserve">The activity will also promote </w:t>
      </w:r>
      <w:r w:rsidRPr="00857B81">
        <w:rPr>
          <w:b/>
          <w:bCs/>
          <w:sz w:val="20"/>
          <w:szCs w:val="20"/>
          <w:highlight w:val="yellow"/>
          <w:lang w:val="en-US"/>
        </w:rPr>
        <w:t>territorial ownership and long-term institutional learning</w:t>
      </w:r>
      <w:r w:rsidRPr="00857B81">
        <w:rPr>
          <w:sz w:val="20"/>
          <w:szCs w:val="20"/>
          <w:highlight w:val="yellow"/>
          <w:lang w:val="en-US"/>
        </w:rPr>
        <w:t>, helping to embed integrated urban planning practices across government levels and ensure the sustainability of project outcomes.</w:t>
      </w:r>
    </w:p>
    <w:p w14:paraId="7F0FC71F" w14:textId="0988AD65" w:rsidR="004F7DB3" w:rsidRPr="00857B81" w:rsidRDefault="004F7DB3" w:rsidP="0764FF73">
      <w:pPr>
        <w:spacing w:after="0"/>
        <w:jc w:val="both"/>
        <w:rPr>
          <w:color w:val="000000" w:themeColor="text1"/>
          <w:sz w:val="20"/>
          <w:szCs w:val="20"/>
          <w:highlight w:val="yellow"/>
          <w:lang w:val="en-US"/>
        </w:rPr>
      </w:pPr>
    </w:p>
    <w:p w14:paraId="4E3E87E1" w14:textId="0FDE46DB" w:rsidR="004F7DB3" w:rsidRPr="00857B81" w:rsidRDefault="3967F488" w:rsidP="003974F4">
      <w:pPr>
        <w:rPr>
          <w:i/>
          <w:iCs/>
          <w:color w:val="000000" w:themeColor="text1"/>
          <w:sz w:val="20"/>
          <w:szCs w:val="20"/>
          <w:highlight w:val="yellow"/>
          <w:u w:val="single"/>
          <w:lang w:val="en-US"/>
        </w:rPr>
      </w:pPr>
      <w:r w:rsidRPr="00857B81">
        <w:rPr>
          <w:i/>
          <w:iCs/>
          <w:color w:val="000000" w:themeColor="text1"/>
          <w:sz w:val="20"/>
          <w:szCs w:val="20"/>
          <w:highlight w:val="yellow"/>
          <w:u w:val="single"/>
          <w:lang w:val="en-US"/>
        </w:rPr>
        <w:t>Activity 1.1.3.2 – Establishment of a Public-Private-Civil Society Coordination Platform for Sustainable urban development in Bamako</w:t>
      </w:r>
    </w:p>
    <w:p w14:paraId="6A46B0F4" w14:textId="37836233" w:rsidR="3967F488" w:rsidRPr="00857B81" w:rsidRDefault="15C4A724" w:rsidP="0764FF73">
      <w:pPr>
        <w:spacing w:after="0"/>
        <w:jc w:val="both"/>
        <w:rPr>
          <w:sz w:val="20"/>
          <w:szCs w:val="20"/>
          <w:highlight w:val="yellow"/>
          <w:lang w:val="en-US"/>
        </w:rPr>
      </w:pPr>
      <w:r w:rsidRPr="00857B81">
        <w:rPr>
          <w:sz w:val="20"/>
          <w:szCs w:val="20"/>
          <w:highlight w:val="yellow"/>
          <w:lang w:val="en-US"/>
        </w:rPr>
        <w:t xml:space="preserve"> Sustainable urban development requires more than technical solutions—it depends on </w:t>
      </w:r>
      <w:r w:rsidRPr="00857B81">
        <w:rPr>
          <w:b/>
          <w:bCs/>
          <w:sz w:val="20"/>
          <w:szCs w:val="20"/>
          <w:highlight w:val="yellow"/>
          <w:lang w:val="en-US"/>
        </w:rPr>
        <w:t>collaborative governance and inclusive dialogue</w:t>
      </w:r>
      <w:r w:rsidRPr="00857B81">
        <w:rPr>
          <w:sz w:val="20"/>
          <w:szCs w:val="20"/>
          <w:highlight w:val="yellow"/>
          <w:lang w:val="en-US"/>
        </w:rPr>
        <w:t xml:space="preserve"> among all actors shaping the city. In Bamako, fragmented coordination and limited stakeholder engagement have historically hindered the alignment of public policies, private investments, and community priorities.</w:t>
      </w:r>
    </w:p>
    <w:p w14:paraId="7823642E" w14:textId="0FF561D6" w:rsidR="15C4A724" w:rsidRPr="00857B81" w:rsidRDefault="15C4A724" w:rsidP="00857B81">
      <w:pPr>
        <w:spacing w:after="0"/>
        <w:jc w:val="both"/>
        <w:rPr>
          <w:sz w:val="20"/>
          <w:szCs w:val="20"/>
          <w:highlight w:val="yellow"/>
          <w:lang w:val="en-US"/>
        </w:rPr>
      </w:pPr>
      <w:r w:rsidRPr="00857B81">
        <w:rPr>
          <w:sz w:val="20"/>
          <w:szCs w:val="20"/>
          <w:highlight w:val="yellow"/>
          <w:lang w:val="en-US"/>
        </w:rPr>
        <w:t xml:space="preserve">This activity seeks to address these gaps by supporting the </w:t>
      </w:r>
      <w:r w:rsidRPr="00857B81">
        <w:rPr>
          <w:b/>
          <w:bCs/>
          <w:sz w:val="20"/>
          <w:szCs w:val="20"/>
          <w:highlight w:val="yellow"/>
          <w:lang w:val="en-US"/>
        </w:rPr>
        <w:t>creation of an institutionalized multi-stakeholder platform</w:t>
      </w:r>
      <w:r w:rsidRPr="00857B81">
        <w:rPr>
          <w:sz w:val="20"/>
          <w:szCs w:val="20"/>
          <w:highlight w:val="yellow"/>
          <w:lang w:val="en-US"/>
        </w:rPr>
        <w:t xml:space="preserve"> for sustainable urban development in Bamako, bringing together public authorities, the private sector, and civil society organizations. Hosted by the Bamako District Mayor’s Office, the platform will serve as a permanent space for strategic dialogue, joint planning, partnership building, and transparent information sharing under the IUDP framework.</w:t>
      </w:r>
    </w:p>
    <w:p w14:paraId="309017F7" w14:textId="09E4D4E8" w:rsidR="15C4A724" w:rsidRPr="00857B81" w:rsidRDefault="15C4A724" w:rsidP="00857B81">
      <w:pPr>
        <w:spacing w:after="0"/>
        <w:jc w:val="both"/>
        <w:rPr>
          <w:sz w:val="20"/>
          <w:szCs w:val="20"/>
          <w:highlight w:val="yellow"/>
          <w:lang w:val="en-US"/>
        </w:rPr>
      </w:pPr>
      <w:r w:rsidRPr="00857B81">
        <w:rPr>
          <w:sz w:val="20"/>
          <w:szCs w:val="20"/>
          <w:highlight w:val="yellow"/>
          <w:lang w:val="en-US"/>
        </w:rPr>
        <w:t xml:space="preserve">The platform will play a key role in facilitating the </w:t>
      </w:r>
      <w:r w:rsidRPr="00857B81">
        <w:rPr>
          <w:b/>
          <w:bCs/>
          <w:sz w:val="20"/>
          <w:szCs w:val="20"/>
          <w:highlight w:val="yellow"/>
          <w:lang w:val="en-US"/>
        </w:rPr>
        <w:t>co-design and co-implementation of the studies and outputs related the Outcome 1.1 and 1.2</w:t>
      </w:r>
      <w:r w:rsidRPr="00857B81">
        <w:rPr>
          <w:sz w:val="20"/>
          <w:szCs w:val="20"/>
          <w:highlight w:val="yellow"/>
          <w:lang w:val="en-US"/>
        </w:rPr>
        <w:t>, ensuring that decisions are informed by local realities and grounded in cross-sectoral consensus.</w:t>
      </w:r>
    </w:p>
    <w:p w14:paraId="4570283E" w14:textId="749D72DB" w:rsidR="15C4A724" w:rsidRPr="00857B81" w:rsidRDefault="15C4A724" w:rsidP="00857B81">
      <w:pPr>
        <w:spacing w:after="0"/>
        <w:jc w:val="both"/>
        <w:rPr>
          <w:sz w:val="20"/>
          <w:szCs w:val="20"/>
          <w:highlight w:val="yellow"/>
          <w:lang w:val="en-US"/>
        </w:rPr>
      </w:pPr>
      <w:r w:rsidRPr="00857B81">
        <w:rPr>
          <w:sz w:val="20"/>
          <w:szCs w:val="20"/>
          <w:highlight w:val="yellow"/>
          <w:lang w:val="en-US"/>
        </w:rPr>
        <w:t>A strong focus will be placed on gender equality and social inclusion. The platform will ensure balanced representation of women and men, and actively promote the participation of marginalized groups, including youth, informal workers, and people with disabilities. This inclusive approach will help ensure that urban development in Bamako reflects the diversity of its population and promotes equitable outcomes.</w:t>
      </w:r>
    </w:p>
    <w:p w14:paraId="1786455B" w14:textId="1C648216" w:rsidR="15C4A724" w:rsidRPr="00857B81" w:rsidRDefault="15C4A724" w:rsidP="00857B81">
      <w:pPr>
        <w:spacing w:after="0"/>
        <w:jc w:val="both"/>
        <w:rPr>
          <w:sz w:val="20"/>
          <w:szCs w:val="20"/>
          <w:highlight w:val="yellow"/>
          <w:lang w:val="en-US"/>
        </w:rPr>
      </w:pPr>
      <w:r w:rsidRPr="00857B81">
        <w:rPr>
          <w:sz w:val="20"/>
          <w:szCs w:val="20"/>
          <w:highlight w:val="yellow"/>
          <w:lang w:val="en-US"/>
        </w:rPr>
        <w:t xml:space="preserve">Ultimately, this platform will contribute to </w:t>
      </w:r>
      <w:r w:rsidRPr="00857B81">
        <w:rPr>
          <w:b/>
          <w:bCs/>
          <w:sz w:val="20"/>
          <w:szCs w:val="20"/>
          <w:highlight w:val="yellow"/>
          <w:lang w:val="en-US"/>
        </w:rPr>
        <w:t>strengthening urban governance</w:t>
      </w:r>
      <w:r w:rsidRPr="00857B81">
        <w:rPr>
          <w:sz w:val="20"/>
          <w:szCs w:val="20"/>
          <w:highlight w:val="yellow"/>
          <w:lang w:val="en-US"/>
        </w:rPr>
        <w:t xml:space="preserve">, building trust among stakeholders, and creating the conditions for </w:t>
      </w:r>
      <w:r w:rsidRPr="00857B81">
        <w:rPr>
          <w:b/>
          <w:bCs/>
          <w:sz w:val="20"/>
          <w:szCs w:val="20"/>
          <w:highlight w:val="yellow"/>
          <w:lang w:val="en-US"/>
        </w:rPr>
        <w:t>sustainable and coordinated action</w:t>
      </w:r>
      <w:r w:rsidRPr="00857B81">
        <w:rPr>
          <w:sz w:val="20"/>
          <w:szCs w:val="20"/>
          <w:highlight w:val="yellow"/>
          <w:lang w:val="en-US"/>
        </w:rPr>
        <w:t xml:space="preserve"> across sectors and scales.</w:t>
      </w:r>
    </w:p>
    <w:p w14:paraId="42E9001C" w14:textId="24EACE4A" w:rsidR="15C4A724" w:rsidRPr="00857B81" w:rsidRDefault="15C4A724" w:rsidP="00857B81">
      <w:pPr>
        <w:spacing w:after="0"/>
        <w:jc w:val="both"/>
        <w:rPr>
          <w:sz w:val="20"/>
          <w:szCs w:val="20"/>
          <w:highlight w:val="yellow"/>
          <w:lang w:val="en-US"/>
        </w:rPr>
      </w:pPr>
      <w:r w:rsidRPr="00857B81">
        <w:rPr>
          <w:sz w:val="20"/>
          <w:szCs w:val="20"/>
          <w:highlight w:val="yellow"/>
          <w:lang w:val="en-US"/>
        </w:rPr>
        <w:t xml:space="preserve">Effective urban planning relies on the availability and use of </w:t>
      </w:r>
      <w:r w:rsidRPr="00857B81">
        <w:rPr>
          <w:b/>
          <w:bCs/>
          <w:sz w:val="20"/>
          <w:szCs w:val="20"/>
          <w:highlight w:val="yellow"/>
          <w:lang w:val="en-US"/>
        </w:rPr>
        <w:t xml:space="preserve">reliable, </w:t>
      </w:r>
      <w:proofErr w:type="gramStart"/>
      <w:r w:rsidRPr="00857B81">
        <w:rPr>
          <w:b/>
          <w:bCs/>
          <w:sz w:val="20"/>
          <w:szCs w:val="20"/>
          <w:highlight w:val="yellow"/>
          <w:lang w:val="en-US"/>
        </w:rPr>
        <w:t>spatially-disaggregated</w:t>
      </w:r>
      <w:proofErr w:type="gramEnd"/>
      <w:r w:rsidRPr="00857B81">
        <w:rPr>
          <w:b/>
          <w:bCs/>
          <w:sz w:val="20"/>
          <w:szCs w:val="20"/>
          <w:highlight w:val="yellow"/>
          <w:lang w:val="en-US"/>
        </w:rPr>
        <w:t xml:space="preserve"> data</w:t>
      </w:r>
      <w:r w:rsidRPr="00857B81">
        <w:rPr>
          <w:sz w:val="20"/>
          <w:szCs w:val="20"/>
          <w:highlight w:val="yellow"/>
          <w:lang w:val="en-US"/>
        </w:rPr>
        <w:t xml:space="preserve"> to guide decisions, manage risks, and monitor the impacts of development. In the context of Bamako, where rapid urbanization intersects with climate vulnerability, the lack of up-to-date geospatial information significantly undermines the capacity of local governments to plan, regulate, and respond to urban challenges in a coordinated and resilient manner.</w:t>
      </w:r>
    </w:p>
    <w:p w14:paraId="7827ED9C" w14:textId="3F255BBB" w:rsidR="15C4A724" w:rsidRPr="00857B81" w:rsidRDefault="15C4A724" w:rsidP="00857B81">
      <w:pPr>
        <w:spacing w:after="0"/>
        <w:jc w:val="both"/>
        <w:rPr>
          <w:sz w:val="20"/>
          <w:szCs w:val="20"/>
          <w:highlight w:val="yellow"/>
          <w:lang w:val="en-US"/>
        </w:rPr>
      </w:pPr>
      <w:r w:rsidRPr="00857B81">
        <w:rPr>
          <w:sz w:val="20"/>
          <w:szCs w:val="20"/>
          <w:highlight w:val="yellow"/>
          <w:lang w:val="en-US"/>
        </w:rPr>
        <w:t xml:space="preserve">This activity seeks to address this critical gap by deploying a Geographic Information System (GIS) in two pilot municipalities, selected based on their exposure to climate risks and urban development pressures. The GIS tools will be integrated with the Bamako Geoportal (designed by PRUBA) and designed to capture and analyze data on land use, natural ecosystems, infrastructure networks, demographic trends, and environmental hazards. This will </w:t>
      </w:r>
      <w:r w:rsidRPr="00857B81">
        <w:rPr>
          <w:sz w:val="20"/>
          <w:szCs w:val="20"/>
          <w:highlight w:val="yellow"/>
          <w:lang w:val="en-US"/>
        </w:rPr>
        <w:lastRenderedPageBreak/>
        <w:t>enable data-driven urban planning, facilitate spatial prioritization of investments, and enhance the monitoring and evaluation of local development strategies.</w:t>
      </w:r>
    </w:p>
    <w:p w14:paraId="3ED9CF7B" w14:textId="60528364" w:rsidR="15C4A724" w:rsidRPr="00857B81" w:rsidRDefault="15C4A724" w:rsidP="00857B81">
      <w:pPr>
        <w:spacing w:after="0"/>
        <w:jc w:val="both"/>
        <w:rPr>
          <w:sz w:val="20"/>
          <w:szCs w:val="20"/>
          <w:highlight w:val="yellow"/>
          <w:lang w:val="en-US"/>
        </w:rPr>
      </w:pPr>
      <w:r w:rsidRPr="00857B81">
        <w:rPr>
          <w:sz w:val="20"/>
          <w:szCs w:val="20"/>
          <w:highlight w:val="yellow"/>
          <w:lang w:val="en-US"/>
        </w:rPr>
        <w:t>Implemented under the leadership of the District Municipality of Bamako, in close coordination with the ADR-</w:t>
      </w:r>
      <w:proofErr w:type="spellStart"/>
      <w:r w:rsidRPr="00857B81">
        <w:rPr>
          <w:sz w:val="20"/>
          <w:szCs w:val="20"/>
          <w:highlight w:val="yellow"/>
          <w:lang w:val="en-US"/>
        </w:rPr>
        <w:t>Bko</w:t>
      </w:r>
      <w:proofErr w:type="spellEnd"/>
      <w:r w:rsidRPr="00857B81">
        <w:rPr>
          <w:sz w:val="20"/>
          <w:szCs w:val="20"/>
          <w:highlight w:val="yellow"/>
          <w:lang w:val="en-US"/>
        </w:rPr>
        <w:t xml:space="preserve"> and other institutional actors, this activity will promote institutional ownership and long-term capacity development. A strategic partnership will be established with the Order of Expert Surveyors of Mali (Ordre des </w:t>
      </w:r>
      <w:proofErr w:type="spellStart"/>
      <w:r w:rsidRPr="00857B81">
        <w:rPr>
          <w:sz w:val="20"/>
          <w:szCs w:val="20"/>
          <w:highlight w:val="yellow"/>
          <w:lang w:val="en-US"/>
        </w:rPr>
        <w:t>Géomètres</w:t>
      </w:r>
      <w:proofErr w:type="spellEnd"/>
      <w:r w:rsidRPr="00857B81">
        <w:rPr>
          <w:sz w:val="20"/>
          <w:szCs w:val="20"/>
          <w:highlight w:val="yellow"/>
          <w:lang w:val="en-US"/>
        </w:rPr>
        <w:t xml:space="preserve"> Experts), ensuring technical quality and alignment with national geospatial standards.</w:t>
      </w:r>
    </w:p>
    <w:p w14:paraId="320E6423" w14:textId="678734F1" w:rsidR="15C4A724" w:rsidRPr="00857B81" w:rsidRDefault="15C4A724" w:rsidP="00857B81">
      <w:pPr>
        <w:spacing w:after="0"/>
        <w:jc w:val="both"/>
        <w:rPr>
          <w:sz w:val="20"/>
          <w:szCs w:val="20"/>
          <w:highlight w:val="yellow"/>
          <w:lang w:val="en-US"/>
        </w:rPr>
      </w:pPr>
      <w:r w:rsidRPr="00857B81">
        <w:rPr>
          <w:sz w:val="20"/>
          <w:szCs w:val="20"/>
          <w:highlight w:val="yellow"/>
          <w:lang w:val="en-US"/>
        </w:rPr>
        <w:t>A strong emphasis will be placed on gender inclusion and professional empowerment. The activity will include a quota of women professionals trained in digital mapping and geospatial analysis, who will actively participate in fieldwork, analysis, and institutional reporting—contributing to a more inclusive and representative technical workforce in urban governance. The platform will ensure representation of stakeholders working with internally displaced populations and will actively engage IDP representatives to capture their perspectives in the co-design of urban development priorities</w:t>
      </w:r>
    </w:p>
    <w:p w14:paraId="6F86E0EA" w14:textId="29B1C370" w:rsidR="15C4A724" w:rsidRPr="00857B81" w:rsidRDefault="15C4A724" w:rsidP="00857B81">
      <w:pPr>
        <w:spacing w:after="0"/>
        <w:jc w:val="both"/>
        <w:rPr>
          <w:sz w:val="20"/>
          <w:szCs w:val="20"/>
          <w:highlight w:val="yellow"/>
          <w:lang w:val="en-US"/>
        </w:rPr>
      </w:pPr>
      <w:r w:rsidRPr="00857B81">
        <w:rPr>
          <w:sz w:val="20"/>
          <w:szCs w:val="20"/>
          <w:highlight w:val="yellow"/>
          <w:lang w:val="en-US"/>
        </w:rPr>
        <w:t>By enabling municipalities to visualize, manage, and act on urban and environmental data, this activity will contribute to resilient, inclusive, and adaptive urban development, aligned with the broader goals of the IUDP.</w:t>
      </w:r>
    </w:p>
    <w:p w14:paraId="1F177BAB" w14:textId="3383079D" w:rsidR="0764FF73" w:rsidRDefault="0764FF73" w:rsidP="0764FF73">
      <w:pPr>
        <w:rPr>
          <w:sz w:val="20"/>
          <w:szCs w:val="20"/>
          <w:highlight w:val="yellow"/>
          <w:lang w:val="en-US"/>
        </w:rPr>
      </w:pPr>
    </w:p>
    <w:p w14:paraId="31127F28" w14:textId="5DACC025" w:rsidR="00134842" w:rsidRPr="00E86501" w:rsidRDefault="00134842" w:rsidP="00134842">
      <w:pPr>
        <w:rPr>
          <w:i/>
          <w:iCs/>
          <w:color w:val="000000" w:themeColor="text1"/>
          <w:sz w:val="20"/>
          <w:szCs w:val="20"/>
          <w:highlight w:val="cyan"/>
          <w:u w:val="single"/>
          <w:lang w:val="en-US"/>
        </w:rPr>
      </w:pPr>
      <w:r w:rsidRPr="00E86501">
        <w:rPr>
          <w:i/>
          <w:iCs/>
          <w:color w:val="000000" w:themeColor="text1"/>
          <w:sz w:val="20"/>
          <w:szCs w:val="20"/>
          <w:highlight w:val="cyan"/>
          <w:u w:val="single"/>
          <w:lang w:val="en-US"/>
        </w:rPr>
        <w:t>Activity 1.</w:t>
      </w:r>
      <w:r w:rsidR="00D52169" w:rsidRPr="00E86501">
        <w:rPr>
          <w:i/>
          <w:iCs/>
          <w:color w:val="000000" w:themeColor="text1"/>
          <w:sz w:val="20"/>
          <w:szCs w:val="20"/>
          <w:highlight w:val="cyan"/>
          <w:u w:val="single"/>
          <w:lang w:val="en-US"/>
        </w:rPr>
        <w:t>1.</w:t>
      </w:r>
      <w:r w:rsidR="00973AE6" w:rsidRPr="00E86501">
        <w:rPr>
          <w:i/>
          <w:iCs/>
          <w:color w:val="000000" w:themeColor="text1"/>
          <w:sz w:val="20"/>
          <w:szCs w:val="20"/>
          <w:highlight w:val="cyan"/>
          <w:u w:val="single"/>
          <w:lang w:val="en-US"/>
        </w:rPr>
        <w:t>3.</w:t>
      </w:r>
      <w:r w:rsidR="00D52169" w:rsidRPr="00E86501">
        <w:rPr>
          <w:i/>
          <w:iCs/>
          <w:color w:val="000000" w:themeColor="text1"/>
          <w:sz w:val="20"/>
          <w:szCs w:val="20"/>
          <w:highlight w:val="cyan"/>
          <w:u w:val="single"/>
          <w:lang w:val="en-US"/>
        </w:rPr>
        <w:t>3</w:t>
      </w:r>
      <w:r w:rsidRPr="00E86501">
        <w:rPr>
          <w:i/>
          <w:iCs/>
          <w:color w:val="000000" w:themeColor="text1"/>
          <w:sz w:val="20"/>
          <w:szCs w:val="20"/>
          <w:highlight w:val="cyan"/>
          <w:u w:val="single"/>
          <w:lang w:val="en-US"/>
        </w:rPr>
        <w:t xml:space="preserve"> </w:t>
      </w:r>
      <w:proofErr w:type="gramStart"/>
      <w:r w:rsidRPr="00E86501">
        <w:rPr>
          <w:i/>
          <w:iCs/>
          <w:color w:val="000000" w:themeColor="text1"/>
          <w:sz w:val="20"/>
          <w:szCs w:val="20"/>
          <w:highlight w:val="cyan"/>
          <w:u w:val="single"/>
          <w:lang w:val="en-US"/>
        </w:rPr>
        <w:t xml:space="preserve">– </w:t>
      </w:r>
      <w:r w:rsidRPr="00E86501">
        <w:rPr>
          <w:i/>
          <w:iCs/>
          <w:sz w:val="20"/>
          <w:szCs w:val="20"/>
          <w:highlight w:val="cyan"/>
          <w:u w:val="single"/>
          <w:lang w:val="en-US"/>
        </w:rPr>
        <w:t xml:space="preserve"> Scaling</w:t>
      </w:r>
      <w:proofErr w:type="gramEnd"/>
      <w:r w:rsidRPr="00E86501">
        <w:rPr>
          <w:i/>
          <w:iCs/>
          <w:sz w:val="20"/>
          <w:szCs w:val="20"/>
          <w:highlight w:val="cyan"/>
          <w:u w:val="single"/>
          <w:lang w:val="en-US"/>
        </w:rPr>
        <w:t xml:space="preserve"> up of the new ENI-ABT cooking fuelwood analysis laboratory</w:t>
      </w:r>
    </w:p>
    <w:p w14:paraId="2DA4E86A" w14:textId="2875BB9D" w:rsidR="00134842" w:rsidRPr="00E86501" w:rsidRDefault="00134842" w:rsidP="00134842">
      <w:pPr>
        <w:spacing w:after="0"/>
        <w:jc w:val="both"/>
        <w:rPr>
          <w:sz w:val="20"/>
          <w:szCs w:val="20"/>
          <w:highlight w:val="cyan"/>
          <w:lang w:val="en-US"/>
        </w:rPr>
      </w:pPr>
      <w:r w:rsidRPr="00E86501">
        <w:rPr>
          <w:sz w:val="20"/>
          <w:szCs w:val="20"/>
          <w:highlight w:val="cyan"/>
          <w:lang w:val="en-US"/>
        </w:rPr>
        <w:t xml:space="preserve">The widespread use of traditional biomass—particularly firewood—for cooking and heating in Bamako is a major contributor to </w:t>
      </w:r>
      <w:r w:rsidRPr="00E86501">
        <w:rPr>
          <w:b/>
          <w:bCs/>
          <w:sz w:val="20"/>
          <w:szCs w:val="20"/>
          <w:highlight w:val="cyan"/>
          <w:lang w:val="en-US"/>
        </w:rPr>
        <w:t>household air pollution, deforestation, and greenhouse gas (GHG) emissions</w:t>
      </w:r>
      <w:r w:rsidRPr="00E86501">
        <w:rPr>
          <w:sz w:val="20"/>
          <w:szCs w:val="20"/>
          <w:highlight w:val="cyan"/>
          <w:lang w:val="en-US"/>
        </w:rPr>
        <w:t>, with serious public health implications, especially for women and children who are most exposed to indoor smoke. Addressing these challenges calls for evidence-based, locally driven solutions that combine scientific analysis, community engagement, and policy action.</w:t>
      </w:r>
    </w:p>
    <w:p w14:paraId="57AF8AFC" w14:textId="77777777" w:rsidR="00134842" w:rsidRPr="00E86501" w:rsidRDefault="00134842" w:rsidP="00134842">
      <w:pPr>
        <w:spacing w:after="0"/>
        <w:jc w:val="both"/>
        <w:rPr>
          <w:sz w:val="20"/>
          <w:szCs w:val="20"/>
          <w:highlight w:val="cyan"/>
          <w:lang w:val="en-US"/>
        </w:rPr>
      </w:pPr>
      <w:r w:rsidRPr="00E86501">
        <w:rPr>
          <w:sz w:val="20"/>
          <w:szCs w:val="20"/>
          <w:highlight w:val="cyan"/>
          <w:lang w:val="en-US"/>
        </w:rPr>
        <w:t>This activity aims to support Research and development institutions’ role and action in favor of national and local policy development and monitoring. Strengthen the Firewood Analysis Laboratory, recently established at the National School of Engineers - Abdrahamane Baba Touré (ENI-ABT), will benefit the partnership between R&amp;D and Governmental institutions when it comes to environment and health urban service.</w:t>
      </w:r>
    </w:p>
    <w:p w14:paraId="653D6720" w14:textId="77777777" w:rsidR="00134842" w:rsidRPr="00E86501" w:rsidRDefault="00134842" w:rsidP="00134842">
      <w:pPr>
        <w:spacing w:after="0"/>
        <w:jc w:val="both"/>
        <w:rPr>
          <w:sz w:val="20"/>
          <w:szCs w:val="20"/>
          <w:highlight w:val="cyan"/>
          <w:lang w:val="en-US"/>
        </w:rPr>
      </w:pPr>
      <w:r w:rsidRPr="00E86501">
        <w:rPr>
          <w:sz w:val="20"/>
          <w:szCs w:val="20"/>
          <w:highlight w:val="cyan"/>
          <w:lang w:val="en-US"/>
        </w:rPr>
        <w:t xml:space="preserve"> </w:t>
      </w:r>
    </w:p>
    <w:p w14:paraId="7FAA1927" w14:textId="77777777" w:rsidR="00134842" w:rsidRPr="00E86501" w:rsidRDefault="00134842" w:rsidP="00134842">
      <w:pPr>
        <w:spacing w:after="0"/>
        <w:jc w:val="both"/>
        <w:rPr>
          <w:sz w:val="20"/>
          <w:szCs w:val="20"/>
          <w:highlight w:val="cyan"/>
          <w:lang w:val="en-US"/>
        </w:rPr>
      </w:pPr>
      <w:r w:rsidRPr="00E86501">
        <w:rPr>
          <w:sz w:val="20"/>
          <w:szCs w:val="20"/>
          <w:highlight w:val="cyan"/>
          <w:lang w:val="en-US"/>
        </w:rPr>
        <w:t>The laboratory is equipped to assess the energy and environmental performance of firewood and other biomass products, focusing on emissions, pollutant concentrations, and combustion efficiency. These assessments will help identify wood species with higher energy content and lower emissions, thereby informing household energy choices and guiding policy reforms in the fuelwood supply chain.</w:t>
      </w:r>
    </w:p>
    <w:p w14:paraId="3B93E7E7" w14:textId="77777777" w:rsidR="00134842" w:rsidRPr="00E86501" w:rsidRDefault="00134842" w:rsidP="00134842">
      <w:pPr>
        <w:spacing w:after="0"/>
        <w:jc w:val="both"/>
        <w:rPr>
          <w:sz w:val="20"/>
          <w:szCs w:val="20"/>
          <w:highlight w:val="cyan"/>
          <w:lang w:val="en-US"/>
        </w:rPr>
      </w:pPr>
      <w:r w:rsidRPr="00E86501">
        <w:rPr>
          <w:sz w:val="20"/>
          <w:szCs w:val="20"/>
          <w:highlight w:val="cyan"/>
          <w:lang w:val="en-US"/>
        </w:rPr>
        <w:t>Building on these findings, the laboratory’s results will support:</w:t>
      </w:r>
    </w:p>
    <w:p w14:paraId="343450C6" w14:textId="77777777" w:rsidR="00134842" w:rsidRPr="00E86501" w:rsidRDefault="00134842" w:rsidP="00134842">
      <w:pPr>
        <w:pStyle w:val="Paragraphedeliste"/>
        <w:numPr>
          <w:ilvl w:val="0"/>
          <w:numId w:val="50"/>
        </w:numPr>
        <w:spacing w:after="0"/>
        <w:jc w:val="both"/>
        <w:rPr>
          <w:sz w:val="20"/>
          <w:szCs w:val="20"/>
          <w:highlight w:val="cyan"/>
          <w:lang w:val="en-US"/>
        </w:rPr>
      </w:pPr>
      <w:r w:rsidRPr="00E86501">
        <w:rPr>
          <w:sz w:val="20"/>
          <w:szCs w:val="20"/>
          <w:highlight w:val="cyan"/>
          <w:lang w:val="en-US"/>
        </w:rPr>
        <w:t>The prohibition of highly polluting wood species for charcoal production.</w:t>
      </w:r>
    </w:p>
    <w:p w14:paraId="560B9D30" w14:textId="77777777" w:rsidR="00134842" w:rsidRPr="00E86501" w:rsidRDefault="00134842" w:rsidP="00134842">
      <w:pPr>
        <w:pStyle w:val="Paragraphedeliste"/>
        <w:numPr>
          <w:ilvl w:val="0"/>
          <w:numId w:val="50"/>
        </w:numPr>
        <w:spacing w:after="0"/>
        <w:jc w:val="both"/>
        <w:rPr>
          <w:sz w:val="20"/>
          <w:szCs w:val="20"/>
          <w:highlight w:val="cyan"/>
          <w:lang w:val="en-US"/>
        </w:rPr>
      </w:pPr>
      <w:r w:rsidRPr="00E86501">
        <w:rPr>
          <w:sz w:val="20"/>
          <w:szCs w:val="20"/>
          <w:highlight w:val="cyan"/>
          <w:lang w:val="en-US"/>
        </w:rPr>
        <w:t>The promotion of cleaner, more energy-efficient alternatives.</w:t>
      </w:r>
    </w:p>
    <w:p w14:paraId="169A0B70" w14:textId="77777777" w:rsidR="00134842" w:rsidRPr="00E86501" w:rsidRDefault="00134842" w:rsidP="00134842">
      <w:pPr>
        <w:pStyle w:val="Paragraphedeliste"/>
        <w:numPr>
          <w:ilvl w:val="0"/>
          <w:numId w:val="50"/>
        </w:numPr>
        <w:spacing w:after="0"/>
        <w:jc w:val="both"/>
        <w:rPr>
          <w:sz w:val="20"/>
          <w:szCs w:val="20"/>
          <w:highlight w:val="cyan"/>
          <w:lang w:val="en-US"/>
        </w:rPr>
      </w:pPr>
      <w:r w:rsidRPr="00E86501">
        <w:rPr>
          <w:sz w:val="20"/>
          <w:szCs w:val="20"/>
          <w:highlight w:val="cyan"/>
          <w:lang w:val="en-US"/>
        </w:rPr>
        <w:t xml:space="preserve">The implementation of selective restrictions on incoming biomass flows, through collaboration between Bamako's municipal authorities, national agencies, and customs services at the city's entry </w:t>
      </w:r>
      <w:proofErr w:type="gramStart"/>
      <w:r w:rsidRPr="00E86501">
        <w:rPr>
          <w:sz w:val="20"/>
          <w:szCs w:val="20"/>
          <w:highlight w:val="cyan"/>
          <w:lang w:val="en-US"/>
        </w:rPr>
        <w:t>points;</w:t>
      </w:r>
      <w:proofErr w:type="gramEnd"/>
    </w:p>
    <w:p w14:paraId="2EB588BA" w14:textId="77777777" w:rsidR="00134842" w:rsidRPr="00E86501" w:rsidRDefault="00134842" w:rsidP="00134842">
      <w:pPr>
        <w:pStyle w:val="Paragraphedeliste"/>
        <w:numPr>
          <w:ilvl w:val="0"/>
          <w:numId w:val="50"/>
        </w:numPr>
        <w:spacing w:after="0"/>
        <w:jc w:val="both"/>
        <w:rPr>
          <w:sz w:val="20"/>
          <w:szCs w:val="20"/>
          <w:highlight w:val="cyan"/>
          <w:lang w:val="en-US"/>
        </w:rPr>
      </w:pPr>
      <w:r w:rsidRPr="00E86501">
        <w:rPr>
          <w:sz w:val="20"/>
          <w:szCs w:val="20"/>
          <w:highlight w:val="cyan"/>
          <w:lang w:val="en-US"/>
        </w:rPr>
        <w:t>Capacity-building of customs officers and enforcement agents, to reduce the import and use of firewood with high pollutant and GHG emissions.</w:t>
      </w:r>
    </w:p>
    <w:p w14:paraId="054B1487" w14:textId="77777777" w:rsidR="00134842" w:rsidRPr="00E86501" w:rsidRDefault="00134842" w:rsidP="00134842">
      <w:pPr>
        <w:spacing w:after="0"/>
        <w:jc w:val="both"/>
        <w:rPr>
          <w:sz w:val="20"/>
          <w:szCs w:val="20"/>
          <w:highlight w:val="cyan"/>
          <w:lang w:val="en-US"/>
        </w:rPr>
      </w:pPr>
      <w:r w:rsidRPr="00E86501">
        <w:rPr>
          <w:sz w:val="20"/>
          <w:szCs w:val="20"/>
          <w:highlight w:val="cyan"/>
          <w:lang w:val="en-US"/>
        </w:rPr>
        <w:t>The pilot will also engage ENI-ABT students and NGO—with a focus on women and people with disabilities—in outreach, data collection, and awareness campaigns. These efforts aim to sensitize households and informal suppliers about cleaner energy options and the health risks of traditional fuels.</w:t>
      </w:r>
    </w:p>
    <w:p w14:paraId="2C5F2110" w14:textId="77777777" w:rsidR="00134842" w:rsidRPr="00E86501" w:rsidRDefault="00134842" w:rsidP="00134842">
      <w:pPr>
        <w:rPr>
          <w:highlight w:val="cyan"/>
          <w:lang w:val="en-US"/>
        </w:rPr>
      </w:pPr>
      <w:r w:rsidRPr="00E86501">
        <w:rPr>
          <w:sz w:val="20"/>
          <w:szCs w:val="20"/>
          <w:highlight w:val="cyan"/>
          <w:lang w:val="en-US"/>
        </w:rPr>
        <w:t>Ultimately, this activity will strengthen local technical expertise, improve urban air quality and public health, and contribute to a more sustainable and regulated biomass energy system in Bamako, aligned with national climate and energy transition objectives.</w:t>
      </w:r>
    </w:p>
    <w:p w14:paraId="5884281F" w14:textId="4F888161" w:rsidR="00134842" w:rsidRPr="00E86501" w:rsidRDefault="00134842" w:rsidP="00134842">
      <w:pPr>
        <w:rPr>
          <w:i/>
          <w:iCs/>
          <w:color w:val="000000" w:themeColor="text1"/>
          <w:sz w:val="20"/>
          <w:szCs w:val="20"/>
          <w:highlight w:val="cyan"/>
          <w:u w:val="single"/>
          <w:lang w:val="en-US"/>
        </w:rPr>
      </w:pPr>
      <w:r w:rsidRPr="00E86501">
        <w:rPr>
          <w:i/>
          <w:iCs/>
          <w:color w:val="000000" w:themeColor="text1"/>
          <w:sz w:val="20"/>
          <w:szCs w:val="20"/>
          <w:highlight w:val="cyan"/>
          <w:u w:val="single"/>
          <w:lang w:val="en-US"/>
        </w:rPr>
        <w:t>Activity 1.</w:t>
      </w:r>
      <w:r w:rsidR="006F4ECC">
        <w:rPr>
          <w:i/>
          <w:iCs/>
          <w:color w:val="000000" w:themeColor="text1"/>
          <w:sz w:val="20"/>
          <w:szCs w:val="20"/>
          <w:highlight w:val="cyan"/>
          <w:u w:val="single"/>
          <w:lang w:val="en-US"/>
        </w:rPr>
        <w:t>1.3</w:t>
      </w:r>
      <w:r w:rsidRPr="00E86501">
        <w:rPr>
          <w:i/>
          <w:iCs/>
          <w:color w:val="000000" w:themeColor="text1"/>
          <w:sz w:val="20"/>
          <w:szCs w:val="20"/>
          <w:highlight w:val="cyan"/>
          <w:u w:val="single"/>
          <w:lang w:val="en-US"/>
        </w:rPr>
        <w:t>.</w:t>
      </w:r>
      <w:r w:rsidR="00F529B0">
        <w:rPr>
          <w:i/>
          <w:iCs/>
          <w:color w:val="000000" w:themeColor="text1"/>
          <w:sz w:val="20"/>
          <w:szCs w:val="20"/>
          <w:highlight w:val="cyan"/>
          <w:u w:val="single"/>
          <w:lang w:val="en-US"/>
        </w:rPr>
        <w:t>4</w:t>
      </w:r>
      <w:r w:rsidRPr="00E86501">
        <w:rPr>
          <w:i/>
          <w:iCs/>
          <w:color w:val="000000" w:themeColor="text1"/>
          <w:sz w:val="20"/>
          <w:szCs w:val="20"/>
          <w:highlight w:val="cyan"/>
          <w:u w:val="single"/>
          <w:lang w:val="en-US"/>
        </w:rPr>
        <w:t xml:space="preserve"> – Two Hackathons to Support Youth-led </w:t>
      </w:r>
      <w:r w:rsidR="003163CD" w:rsidRPr="00E86501">
        <w:rPr>
          <w:i/>
          <w:iCs/>
          <w:color w:val="000000" w:themeColor="text1"/>
          <w:sz w:val="20"/>
          <w:szCs w:val="20"/>
          <w:highlight w:val="cyan"/>
          <w:u w:val="single"/>
          <w:lang w:val="en-US"/>
        </w:rPr>
        <w:t xml:space="preserve">Green </w:t>
      </w:r>
      <w:r w:rsidRPr="00E86501">
        <w:rPr>
          <w:i/>
          <w:iCs/>
          <w:color w:val="000000" w:themeColor="text1"/>
          <w:sz w:val="20"/>
          <w:szCs w:val="20"/>
          <w:highlight w:val="cyan"/>
          <w:u w:val="single"/>
          <w:lang w:val="en-US"/>
        </w:rPr>
        <w:t>Urban Innovation in Bamako</w:t>
      </w:r>
    </w:p>
    <w:p w14:paraId="610407C6" w14:textId="5F14C1E0" w:rsidR="00134842" w:rsidRPr="00E86501" w:rsidRDefault="00134842" w:rsidP="00134842">
      <w:pPr>
        <w:spacing w:after="0"/>
        <w:jc w:val="both"/>
        <w:rPr>
          <w:sz w:val="20"/>
          <w:szCs w:val="20"/>
          <w:highlight w:val="cyan"/>
          <w:lang w:val="en-US"/>
        </w:rPr>
      </w:pPr>
      <w:r w:rsidRPr="00E86501">
        <w:rPr>
          <w:sz w:val="20"/>
          <w:szCs w:val="20"/>
          <w:highlight w:val="cyan"/>
          <w:lang w:val="en-US"/>
        </w:rPr>
        <w:t xml:space="preserve">Urban sustainability challenges—such as waste management, mobility, access to clean energy, and water services—require </w:t>
      </w:r>
      <w:r w:rsidRPr="00E86501">
        <w:rPr>
          <w:b/>
          <w:bCs/>
          <w:sz w:val="20"/>
          <w:szCs w:val="20"/>
          <w:highlight w:val="cyan"/>
          <w:lang w:val="en-US"/>
        </w:rPr>
        <w:t>creative, locally anchored solutions</w:t>
      </w:r>
      <w:r w:rsidRPr="00E86501">
        <w:rPr>
          <w:sz w:val="20"/>
          <w:szCs w:val="20"/>
          <w:highlight w:val="cyan"/>
          <w:lang w:val="en-US"/>
        </w:rPr>
        <w:t xml:space="preserve"> that respond to the needs of a growing and dynamic urban population. </w:t>
      </w:r>
      <w:r w:rsidRPr="00E86501">
        <w:rPr>
          <w:b/>
          <w:bCs/>
          <w:sz w:val="20"/>
          <w:szCs w:val="20"/>
          <w:highlight w:val="cyan"/>
          <w:lang w:val="en-US"/>
        </w:rPr>
        <w:t>Young people in Bamako</w:t>
      </w:r>
      <w:r w:rsidRPr="00E86501">
        <w:rPr>
          <w:sz w:val="20"/>
          <w:szCs w:val="20"/>
          <w:highlight w:val="cyan"/>
          <w:lang w:val="en-US"/>
        </w:rPr>
        <w:t xml:space="preserve"> represent a powerful engine for innovation, but they often lack access to platforms, mentorship, and funding to transform their ideas into viable solutions.</w:t>
      </w:r>
    </w:p>
    <w:p w14:paraId="0473CDC7" w14:textId="77777777" w:rsidR="00134842" w:rsidRPr="00E86501" w:rsidRDefault="00134842" w:rsidP="00134842">
      <w:pPr>
        <w:spacing w:after="0"/>
        <w:jc w:val="both"/>
        <w:rPr>
          <w:sz w:val="20"/>
          <w:szCs w:val="20"/>
          <w:highlight w:val="cyan"/>
          <w:lang w:val="en-US"/>
        </w:rPr>
      </w:pPr>
      <w:r w:rsidRPr="00E86501">
        <w:rPr>
          <w:sz w:val="20"/>
          <w:szCs w:val="20"/>
          <w:highlight w:val="cyan"/>
          <w:lang w:val="en-US"/>
        </w:rPr>
        <w:lastRenderedPageBreak/>
        <w:t>This activity will organize two hackathons, designed as 72-hour innovation marathons, to catalyze youth-led entrepreneurial projects addressing critical urban service delivery issues. These events will foster a culture of innovation and provide structured support for the co-creation of digital (</w:t>
      </w:r>
      <w:proofErr w:type="spellStart"/>
      <w:r w:rsidRPr="00E86501">
        <w:rPr>
          <w:sz w:val="20"/>
          <w:szCs w:val="20"/>
          <w:highlight w:val="cyan"/>
          <w:lang w:val="en-US"/>
        </w:rPr>
        <w:t>i.e</w:t>
      </w:r>
      <w:proofErr w:type="spellEnd"/>
      <w:r w:rsidRPr="00E86501">
        <w:rPr>
          <w:sz w:val="20"/>
          <w:szCs w:val="20"/>
          <w:highlight w:val="cyan"/>
          <w:lang w:val="en-US"/>
        </w:rPr>
        <w:t xml:space="preserve"> AI innovation) and non-digital solutions to pressing urban problems, particularly in the areas of waste, sustainable mobility, energy, and water management.</w:t>
      </w:r>
    </w:p>
    <w:p w14:paraId="2A1C0B4E" w14:textId="77777777" w:rsidR="00134842" w:rsidRPr="00E86501" w:rsidRDefault="00134842" w:rsidP="00134842">
      <w:pPr>
        <w:spacing w:after="0"/>
        <w:jc w:val="both"/>
        <w:rPr>
          <w:sz w:val="20"/>
          <w:szCs w:val="20"/>
          <w:highlight w:val="cyan"/>
          <w:lang w:val="en-US"/>
        </w:rPr>
      </w:pPr>
      <w:r w:rsidRPr="00E86501">
        <w:rPr>
          <w:sz w:val="20"/>
          <w:szCs w:val="20"/>
          <w:highlight w:val="cyan"/>
          <w:lang w:val="en-US"/>
        </w:rPr>
        <w:t>Key features of the activity include:</w:t>
      </w:r>
    </w:p>
    <w:p w14:paraId="10EA8116" w14:textId="77777777" w:rsidR="00134842" w:rsidRPr="00E86501" w:rsidRDefault="00134842" w:rsidP="00134842">
      <w:pPr>
        <w:pStyle w:val="Paragraphedeliste"/>
        <w:numPr>
          <w:ilvl w:val="0"/>
          <w:numId w:val="49"/>
        </w:numPr>
        <w:spacing w:after="0"/>
        <w:jc w:val="both"/>
        <w:rPr>
          <w:sz w:val="20"/>
          <w:szCs w:val="20"/>
          <w:highlight w:val="cyan"/>
          <w:lang w:val="en-US"/>
        </w:rPr>
      </w:pPr>
      <w:r w:rsidRPr="00E86501">
        <w:rPr>
          <w:sz w:val="20"/>
          <w:szCs w:val="20"/>
          <w:highlight w:val="cyan"/>
          <w:lang w:val="en-US"/>
        </w:rPr>
        <w:t xml:space="preserve">Inclusive outreach campaigns to ensure broad youth participation, with a gender equity target of at least 50% female representation among selected </w:t>
      </w:r>
      <w:proofErr w:type="gramStart"/>
      <w:r w:rsidRPr="00E86501">
        <w:rPr>
          <w:sz w:val="20"/>
          <w:szCs w:val="20"/>
          <w:highlight w:val="cyan"/>
          <w:lang w:val="en-US"/>
        </w:rPr>
        <w:t>finalists;</w:t>
      </w:r>
      <w:proofErr w:type="gramEnd"/>
    </w:p>
    <w:p w14:paraId="0F66E2FD" w14:textId="77777777" w:rsidR="00134842" w:rsidRPr="00E86501" w:rsidRDefault="00134842" w:rsidP="00134842">
      <w:pPr>
        <w:pStyle w:val="Paragraphedeliste"/>
        <w:numPr>
          <w:ilvl w:val="0"/>
          <w:numId w:val="49"/>
        </w:numPr>
        <w:spacing w:after="0"/>
        <w:jc w:val="both"/>
        <w:rPr>
          <w:sz w:val="20"/>
          <w:szCs w:val="20"/>
          <w:highlight w:val="cyan"/>
          <w:lang w:val="en-US"/>
        </w:rPr>
      </w:pPr>
      <w:r w:rsidRPr="00E86501">
        <w:rPr>
          <w:sz w:val="20"/>
          <w:szCs w:val="20"/>
          <w:highlight w:val="cyan"/>
          <w:lang w:val="en-US"/>
        </w:rPr>
        <w:t xml:space="preserve">Expert-led mentoring and coaching sessions during each hackathon to support ideation, prototyping, and pitching </w:t>
      </w:r>
      <w:proofErr w:type="gramStart"/>
      <w:r w:rsidRPr="00E86501">
        <w:rPr>
          <w:sz w:val="20"/>
          <w:szCs w:val="20"/>
          <w:highlight w:val="cyan"/>
          <w:lang w:val="en-US"/>
        </w:rPr>
        <w:t>skills;</w:t>
      </w:r>
      <w:proofErr w:type="gramEnd"/>
    </w:p>
    <w:p w14:paraId="791ECE03" w14:textId="77777777" w:rsidR="00134842" w:rsidRPr="00E86501" w:rsidRDefault="00134842" w:rsidP="00134842">
      <w:pPr>
        <w:pStyle w:val="Paragraphedeliste"/>
        <w:numPr>
          <w:ilvl w:val="0"/>
          <w:numId w:val="49"/>
        </w:numPr>
        <w:spacing w:after="0"/>
        <w:jc w:val="both"/>
        <w:rPr>
          <w:sz w:val="20"/>
          <w:szCs w:val="20"/>
          <w:highlight w:val="cyan"/>
          <w:lang w:val="en-US"/>
        </w:rPr>
      </w:pPr>
      <w:r w:rsidRPr="00E86501">
        <w:rPr>
          <w:sz w:val="20"/>
          <w:szCs w:val="20"/>
          <w:highlight w:val="cyan"/>
          <w:lang w:val="en-US"/>
        </w:rPr>
        <w:t xml:space="preserve">Selection of 3–5 high-potential projects per hackathon by a jury of public, private, and civil society </w:t>
      </w:r>
      <w:proofErr w:type="gramStart"/>
      <w:r w:rsidRPr="00E86501">
        <w:rPr>
          <w:sz w:val="20"/>
          <w:szCs w:val="20"/>
          <w:highlight w:val="cyan"/>
          <w:lang w:val="en-US"/>
        </w:rPr>
        <w:t>stakeholders;</w:t>
      </w:r>
      <w:proofErr w:type="gramEnd"/>
    </w:p>
    <w:p w14:paraId="2DD23B95" w14:textId="77777777" w:rsidR="00134842" w:rsidRPr="00E86501" w:rsidRDefault="00134842" w:rsidP="00134842">
      <w:pPr>
        <w:pStyle w:val="Paragraphedeliste"/>
        <w:numPr>
          <w:ilvl w:val="0"/>
          <w:numId w:val="49"/>
        </w:numPr>
        <w:spacing w:after="0"/>
        <w:jc w:val="both"/>
        <w:rPr>
          <w:sz w:val="20"/>
          <w:szCs w:val="20"/>
          <w:highlight w:val="cyan"/>
          <w:lang w:val="en-US"/>
        </w:rPr>
      </w:pPr>
      <w:r w:rsidRPr="00E86501">
        <w:rPr>
          <w:sz w:val="20"/>
          <w:szCs w:val="20"/>
          <w:highlight w:val="cyan"/>
          <w:lang w:val="en-US"/>
        </w:rPr>
        <w:t>Post-event incubation support, including technical assistance, networking opportunities, and access to municipal or donor-backed funding schemes.</w:t>
      </w:r>
    </w:p>
    <w:p w14:paraId="75448B95" w14:textId="1B1EECB8" w:rsidR="00134842" w:rsidRPr="00E86501" w:rsidRDefault="00134842" w:rsidP="00134842">
      <w:pPr>
        <w:rPr>
          <w:sz w:val="20"/>
          <w:szCs w:val="20"/>
          <w:highlight w:val="cyan"/>
          <w:lang w:val="en-US"/>
        </w:rPr>
      </w:pPr>
      <w:r w:rsidRPr="00E86501">
        <w:rPr>
          <w:sz w:val="20"/>
          <w:szCs w:val="20"/>
          <w:highlight w:val="cyan"/>
          <w:lang w:val="en-US"/>
        </w:rPr>
        <w:t>The hackathons will contribute to building a pipeline of innovative, community-driven solutions for sustainable urban development and position youth—especially young women—as key actors in Bamako’s ecological and digital transition. This activity also complements the broader objectives of Activities 1.2.1.3 and 1.2.1.4, by feeding into</w:t>
      </w:r>
      <w:r w:rsidR="00F95BFC">
        <w:rPr>
          <w:sz w:val="20"/>
          <w:szCs w:val="20"/>
          <w:highlight w:val="cyan"/>
          <w:lang w:val="en-US"/>
        </w:rPr>
        <w:t xml:space="preserve"> networking and</w:t>
      </w:r>
      <w:r w:rsidRPr="00E86501">
        <w:rPr>
          <w:sz w:val="20"/>
          <w:szCs w:val="20"/>
          <w:highlight w:val="cyan"/>
          <w:lang w:val="en-US"/>
        </w:rPr>
        <w:t xml:space="preserve"> platforms for private sector engagement and investment mobilization.</w:t>
      </w:r>
    </w:p>
    <w:p w14:paraId="12C55BDC" w14:textId="77777777" w:rsidR="00345FC9" w:rsidRPr="00857B81" w:rsidRDefault="00345FC9" w:rsidP="0764FF73">
      <w:pPr>
        <w:rPr>
          <w:sz w:val="20"/>
          <w:szCs w:val="20"/>
          <w:highlight w:val="yellow"/>
          <w:lang w:val="en-US"/>
        </w:rPr>
      </w:pPr>
    </w:p>
    <w:p w14:paraId="6A0B1CE1" w14:textId="732C071B" w:rsidR="004F7DB3" w:rsidRPr="00654925" w:rsidRDefault="3967F488" w:rsidP="003974F4">
      <w:pPr>
        <w:rPr>
          <w:b/>
          <w:bCs/>
          <w:color w:val="000000" w:themeColor="text1"/>
          <w:sz w:val="20"/>
          <w:szCs w:val="20"/>
          <w:lang w:val="en-US"/>
        </w:rPr>
      </w:pPr>
      <w:r w:rsidRPr="00654925">
        <w:rPr>
          <w:b/>
          <w:bCs/>
          <w:color w:val="000000" w:themeColor="text1"/>
          <w:sz w:val="20"/>
          <w:szCs w:val="20"/>
          <w:lang w:val="en-US"/>
        </w:rPr>
        <w:t>Outcome 1.2 – Catalyzing Finance and Innovation for Resilient and Inclusive Urban Development</w:t>
      </w:r>
    </w:p>
    <w:p w14:paraId="5CEAEE48" w14:textId="6C9CA4EE" w:rsidR="00296118" w:rsidRPr="000E78F5" w:rsidRDefault="007B46BA" w:rsidP="007B46BA">
      <w:pPr>
        <w:rPr>
          <w:color w:val="000000" w:themeColor="text1"/>
          <w:sz w:val="20"/>
          <w:szCs w:val="20"/>
          <w:lang w:val="en-US"/>
        </w:rPr>
      </w:pPr>
      <w:r w:rsidRPr="00E86501">
        <w:rPr>
          <w:color w:val="000000" w:themeColor="text1"/>
          <w:sz w:val="20"/>
          <w:szCs w:val="20"/>
          <w:highlight w:val="cyan"/>
          <w:lang w:val="en-US"/>
        </w:rPr>
        <w:t>Achieving a resilient, inclusive, and climate-smart Bamako requires not only sound planning but also the ability to mobilize innovative financing and foster strategic partnerships. Outcome 1.2 strengthens territorial financial governance and stimulates collaborative innovation to unlock sustainable investments and locally adapted urban solutions. By improving how the city attracts, manages, and leverages financial and knowledge resources, this outcome lays the foundation for a just, climate-resilient, and socially inclusive urban development pathway grounded in participatory governance.</w:t>
      </w:r>
    </w:p>
    <w:p w14:paraId="74B37539" w14:textId="59445350" w:rsidR="00C842AF" w:rsidRPr="00654925" w:rsidRDefault="00C842AF" w:rsidP="00E86501">
      <w:pPr>
        <w:rPr>
          <w:color w:val="000000" w:themeColor="text1"/>
          <w:sz w:val="20"/>
          <w:szCs w:val="20"/>
          <w:lang w:val="en-US"/>
        </w:rPr>
      </w:pPr>
      <w:r w:rsidRPr="007F4912">
        <w:rPr>
          <w:color w:val="000000" w:themeColor="text1"/>
          <w:sz w:val="20"/>
          <w:szCs w:val="20"/>
          <w:lang w:val="en-US"/>
        </w:rPr>
        <w:t xml:space="preserve">This outcome is structured around </w:t>
      </w:r>
      <w:r w:rsidR="00294CAC">
        <w:rPr>
          <w:color w:val="000000" w:themeColor="text1"/>
          <w:sz w:val="20"/>
          <w:szCs w:val="20"/>
          <w:lang w:val="en-US"/>
        </w:rPr>
        <w:t xml:space="preserve">the </w:t>
      </w:r>
      <w:r w:rsidR="00294CAC" w:rsidRPr="00E86501">
        <w:rPr>
          <w:i/>
          <w:iCs/>
          <w:color w:val="000000" w:themeColor="text1"/>
          <w:sz w:val="20"/>
          <w:szCs w:val="20"/>
          <w:lang w:val="en-US"/>
        </w:rPr>
        <w:t>out</w:t>
      </w:r>
      <w:r w:rsidR="3CEFDAD8" w:rsidRPr="00E86501">
        <w:rPr>
          <w:i/>
          <w:iCs/>
          <w:color w:val="000000" w:themeColor="text1"/>
          <w:sz w:val="20"/>
          <w:szCs w:val="20"/>
          <w:lang w:val="en-US"/>
        </w:rPr>
        <w:t>put 1.2.1: Strengthened Territorial Financial Governance for Sustainable Urban Development</w:t>
      </w:r>
      <w:r w:rsidR="00A94899" w:rsidRPr="00E86501">
        <w:rPr>
          <w:i/>
          <w:iCs/>
          <w:color w:val="000000" w:themeColor="text1"/>
          <w:sz w:val="20"/>
          <w:szCs w:val="20"/>
          <w:lang w:val="en-US"/>
        </w:rPr>
        <w:t>.</w:t>
      </w:r>
      <w:r w:rsidR="00A94899">
        <w:rPr>
          <w:color w:val="000000" w:themeColor="text1"/>
          <w:sz w:val="20"/>
          <w:szCs w:val="20"/>
          <w:lang w:val="en-US"/>
        </w:rPr>
        <w:t xml:space="preserve"> </w:t>
      </w:r>
      <w:r w:rsidR="3CEFDAD8" w:rsidRPr="5D8904BE">
        <w:rPr>
          <w:color w:val="000000" w:themeColor="text1"/>
          <w:sz w:val="20"/>
          <w:szCs w:val="20"/>
          <w:lang w:val="en-US"/>
        </w:rPr>
        <w:t>This output builds a robust financial backbone by equipping the Bamako District and its municipalities with institutional, regulatory, and digital tools needed to attract and govern green and inclusive urban investments. It establishes an enabling regulatory framework to incentivize private sector engagement across key urban sectors—including sustainable mobility, waste management, urban agriculture, and reforestation</w:t>
      </w:r>
      <w:r w:rsidR="008257F3">
        <w:rPr>
          <w:color w:val="000000" w:themeColor="text1"/>
          <w:sz w:val="20"/>
          <w:szCs w:val="20"/>
          <w:lang w:val="en-US"/>
        </w:rPr>
        <w:t xml:space="preserve">, </w:t>
      </w:r>
      <w:r w:rsidR="3CEFDAD8" w:rsidRPr="5D8904BE">
        <w:rPr>
          <w:color w:val="000000" w:themeColor="text1"/>
          <w:sz w:val="20"/>
          <w:szCs w:val="20"/>
          <w:lang w:val="en-US"/>
        </w:rPr>
        <w:t>while ensuring gender-responsive access and inclusivity. An innovative financing mechanism, aligned with the Bamako Energy and Climate Action Plan (PAAEDC-BKO), will be designed and operationalized, integrating mature, high-impact projects to enhance urban resilience. Additionally, a digital transparency and investment portal will increase accessibility to funding opportunities, foster private sector involvement, and monitor socio-economic and environmental impacts. To consolidate these efforts, a high-profile regional/international conference will position Bamako as a leader in sustainable urban finance and innovation in West Africa.</w:t>
      </w:r>
    </w:p>
    <w:p w14:paraId="2925A08B" w14:textId="4B02ED01" w:rsidR="004F7DB3" w:rsidRPr="007F4912" w:rsidRDefault="3967F488" w:rsidP="003974F4">
      <w:pPr>
        <w:rPr>
          <w:color w:val="000000" w:themeColor="text1"/>
          <w:sz w:val="20"/>
          <w:szCs w:val="20"/>
          <w:lang w:val="en-US"/>
        </w:rPr>
      </w:pPr>
      <w:r w:rsidRPr="00E674DA">
        <w:rPr>
          <w:b/>
          <w:bCs/>
          <w:color w:val="000000" w:themeColor="text1"/>
          <w:sz w:val="20"/>
          <w:szCs w:val="20"/>
          <w:lang w:val="en-US"/>
        </w:rPr>
        <w:t>Output 1.2.1: Territorial financial governance for sustainable urban development is strengthened</w:t>
      </w:r>
      <w:r w:rsidRPr="007F4912">
        <w:rPr>
          <w:color w:val="000000" w:themeColor="text1"/>
          <w:sz w:val="20"/>
          <w:szCs w:val="20"/>
          <w:lang w:val="en-US"/>
        </w:rPr>
        <w:t xml:space="preserve">. </w:t>
      </w:r>
    </w:p>
    <w:p w14:paraId="36754666" w14:textId="77777777" w:rsidR="00E53ABD" w:rsidRPr="007F4912" w:rsidRDefault="7B48ED30" w:rsidP="003974F4">
      <w:pPr>
        <w:rPr>
          <w:color w:val="000000" w:themeColor="text1"/>
          <w:sz w:val="20"/>
          <w:szCs w:val="20"/>
          <w:lang w:val="en-US"/>
        </w:rPr>
      </w:pPr>
      <w:r w:rsidRPr="5D8904BE">
        <w:rPr>
          <w:color w:val="000000" w:themeColor="text1"/>
          <w:sz w:val="20"/>
          <w:szCs w:val="20"/>
          <w:lang w:val="en-US"/>
        </w:rPr>
        <w:t>Transforming Bamako into a resilient, inclusive, and climate-smart city demands not only visionary planning but also robust, localized financial systems capable of mobilizing and steering investments toward sustainable outcomes. Output 1.2.1 aims to build this financial backbone by equipping the Bamako District and its municipalities with the institutional, regulatory, and digital tools required to attract and govern green and inclusive urban investments.</w:t>
      </w:r>
    </w:p>
    <w:p w14:paraId="4C1A879A" w14:textId="77777777" w:rsidR="00E53ABD" w:rsidRPr="007F4912" w:rsidRDefault="00E53ABD" w:rsidP="003974F4">
      <w:pPr>
        <w:rPr>
          <w:color w:val="000000" w:themeColor="text1"/>
          <w:sz w:val="20"/>
          <w:szCs w:val="20"/>
          <w:lang w:val="en-US"/>
        </w:rPr>
      </w:pPr>
      <w:r w:rsidRPr="007F4912">
        <w:rPr>
          <w:color w:val="000000" w:themeColor="text1"/>
          <w:sz w:val="20"/>
          <w:szCs w:val="20"/>
          <w:lang w:val="en-US"/>
        </w:rPr>
        <w:t>At its core, this output seeks to enhance territorial financial governance through three mutually reinforcing pillars:</w:t>
      </w:r>
    </w:p>
    <w:p w14:paraId="30D102E7" w14:textId="77777777" w:rsidR="00E53ABD" w:rsidRPr="00E674DA" w:rsidRDefault="00E53ABD" w:rsidP="001360BB">
      <w:pPr>
        <w:pStyle w:val="Paragraphedeliste"/>
        <w:numPr>
          <w:ilvl w:val="0"/>
          <w:numId w:val="241"/>
        </w:numPr>
        <w:jc w:val="lowKashida"/>
        <w:rPr>
          <w:color w:val="000000" w:themeColor="text1"/>
          <w:sz w:val="20"/>
          <w:szCs w:val="20"/>
          <w:lang w:val="en-US"/>
        </w:rPr>
      </w:pPr>
      <w:r w:rsidRPr="00E674DA">
        <w:rPr>
          <w:color w:val="000000" w:themeColor="text1"/>
          <w:sz w:val="20"/>
          <w:szCs w:val="20"/>
          <w:lang w:val="en-US"/>
        </w:rPr>
        <w:lastRenderedPageBreak/>
        <w:t>Establishing a regulatory framework to incentivize private sector engagement in key urban sectors such as sustainable mobility, waste management, pollution control, urban agriculture, and reforestation—ensuring inclusiveness and gender-responsive access to markets and procurement.</w:t>
      </w:r>
    </w:p>
    <w:p w14:paraId="5D69173B" w14:textId="77777777" w:rsidR="00E53ABD" w:rsidRPr="00E674DA" w:rsidRDefault="7B48ED30" w:rsidP="001360BB">
      <w:pPr>
        <w:pStyle w:val="Paragraphedeliste"/>
        <w:numPr>
          <w:ilvl w:val="0"/>
          <w:numId w:val="241"/>
        </w:numPr>
        <w:jc w:val="lowKashida"/>
        <w:rPr>
          <w:color w:val="000000" w:themeColor="text1"/>
          <w:sz w:val="20"/>
          <w:szCs w:val="20"/>
          <w:lang w:val="en-US"/>
        </w:rPr>
      </w:pPr>
      <w:r w:rsidRPr="5D8904BE">
        <w:rPr>
          <w:color w:val="000000" w:themeColor="text1"/>
          <w:sz w:val="20"/>
          <w:szCs w:val="20"/>
          <w:lang w:val="en-US"/>
        </w:rPr>
        <w:t>Designing and operationalizing an innovative financing mechanism tailored to urban resilience priorities. This mechanism will be anchored in a feasibility study and stakeholder consultations, and will integrate high-impact, mature projects identified from the Bamako Energy and Climate Action Plan (PAAEDC-BKO), thus aligning climate ambitions with financial viability.</w:t>
      </w:r>
    </w:p>
    <w:p w14:paraId="23AD1EEF" w14:textId="77777777" w:rsidR="00E53ABD" w:rsidRPr="00E674DA" w:rsidRDefault="00E53ABD" w:rsidP="001360BB">
      <w:pPr>
        <w:pStyle w:val="Paragraphedeliste"/>
        <w:numPr>
          <w:ilvl w:val="0"/>
          <w:numId w:val="241"/>
        </w:numPr>
        <w:jc w:val="lowKashida"/>
        <w:rPr>
          <w:color w:val="000000" w:themeColor="text1"/>
          <w:sz w:val="20"/>
          <w:szCs w:val="20"/>
          <w:lang w:val="en-US"/>
        </w:rPr>
      </w:pPr>
      <w:r w:rsidRPr="00E674DA">
        <w:rPr>
          <w:color w:val="000000" w:themeColor="text1"/>
          <w:sz w:val="20"/>
          <w:szCs w:val="20"/>
          <w:lang w:val="en-US"/>
        </w:rPr>
        <w:t>Promoting digitalization and stakeholder engagement through the creation of a Digital Transparency and Investment Portal, providing inclusive and user-friendly access to investment opportunities, co-financing options, and calls for proposals. The portal will feature real-time dashboards to track the socio-economic and environmental impacts of private investments, with specific attention to women-led and inclusive businesses.</w:t>
      </w:r>
    </w:p>
    <w:p w14:paraId="43886AE6" w14:textId="77777777" w:rsidR="00E53ABD" w:rsidRPr="00E674DA" w:rsidRDefault="7B48ED30" w:rsidP="00E674DA">
      <w:pPr>
        <w:rPr>
          <w:color w:val="000000" w:themeColor="text1"/>
          <w:sz w:val="20"/>
          <w:szCs w:val="20"/>
          <w:lang w:val="en-US"/>
        </w:rPr>
      </w:pPr>
      <w:r w:rsidRPr="5D8904BE">
        <w:rPr>
          <w:color w:val="000000" w:themeColor="text1"/>
          <w:sz w:val="20"/>
          <w:szCs w:val="20"/>
          <w:lang w:val="en-US"/>
        </w:rPr>
        <w:t>To amplify its influence and catalyze partnerships, the output will culminate in the organization of a high-profile regional/international conference on sustainable urban finance. This event will position Bamako as a frontrunner in financial innovation for urban sustainability in West Africa, convening government leaders, development partners, city networks, private sector actors, and civil society in a dynamic platform for knowledge exchange, business matchmaking, and showcasing of innovative urban solutions.</w:t>
      </w:r>
    </w:p>
    <w:p w14:paraId="2D117409" w14:textId="49B75FF4" w:rsidR="004F7DB3" w:rsidRPr="007F4912" w:rsidRDefault="00E53ABD" w:rsidP="00E674DA">
      <w:pPr>
        <w:rPr>
          <w:color w:val="000000" w:themeColor="text1"/>
          <w:sz w:val="20"/>
          <w:szCs w:val="20"/>
          <w:lang w:val="en-US"/>
        </w:rPr>
      </w:pPr>
      <w:r w:rsidRPr="007F4912">
        <w:rPr>
          <w:color w:val="000000" w:themeColor="text1"/>
          <w:sz w:val="20"/>
          <w:szCs w:val="20"/>
          <w:lang w:val="en-US"/>
        </w:rPr>
        <w:t>Guided by cross-cutting principles of climate resilience, gender equity, youth engagement, and territorial inclusion, Output 1.2.1 sets the stage for a bold shift in how cities like Bamako attract, manage, and deploy financial resources for a just and sustainable urban future.</w:t>
      </w:r>
    </w:p>
    <w:p w14:paraId="54428735" w14:textId="1B3AF6C8" w:rsidR="004F7DB3" w:rsidRPr="00857B81" w:rsidRDefault="3967F488" w:rsidP="0764FF73">
      <w:pPr>
        <w:rPr>
          <w:sz w:val="20"/>
          <w:szCs w:val="20"/>
          <w:highlight w:val="yellow"/>
          <w:lang w:val="en-US"/>
        </w:rPr>
      </w:pPr>
      <w:r w:rsidRPr="00857B81">
        <w:rPr>
          <w:i/>
          <w:iCs/>
          <w:color w:val="000000" w:themeColor="text1"/>
          <w:sz w:val="20"/>
          <w:szCs w:val="20"/>
          <w:highlight w:val="yellow"/>
          <w:u w:val="single"/>
          <w:lang w:val="en-US"/>
        </w:rPr>
        <w:t xml:space="preserve">Activity </w:t>
      </w:r>
      <w:proofErr w:type="gramStart"/>
      <w:r w:rsidRPr="00857B81">
        <w:rPr>
          <w:i/>
          <w:iCs/>
          <w:color w:val="000000" w:themeColor="text1"/>
          <w:sz w:val="20"/>
          <w:szCs w:val="20"/>
          <w:highlight w:val="yellow"/>
          <w:u w:val="single"/>
          <w:lang w:val="en-US"/>
        </w:rPr>
        <w:t xml:space="preserve">1.2.1.1 </w:t>
      </w:r>
      <w:r w:rsidR="0BBDF972" w:rsidRPr="00857B81">
        <w:rPr>
          <w:i/>
          <w:iCs/>
          <w:sz w:val="20"/>
          <w:szCs w:val="20"/>
          <w:highlight w:val="yellow"/>
          <w:u w:val="single"/>
          <w:lang w:val="en-US"/>
        </w:rPr>
        <w:t xml:space="preserve"> Development</w:t>
      </w:r>
      <w:proofErr w:type="gramEnd"/>
      <w:r w:rsidR="0BBDF972" w:rsidRPr="00857B81">
        <w:rPr>
          <w:i/>
          <w:iCs/>
          <w:sz w:val="20"/>
          <w:szCs w:val="20"/>
          <w:highlight w:val="yellow"/>
          <w:u w:val="single"/>
          <w:lang w:val="en-US"/>
        </w:rPr>
        <w:t xml:space="preserve"> of an Enabling Environment and Innovative Financing Mechanism for Private Investment in Sustainable Urban Sectors in Bamako</w:t>
      </w:r>
    </w:p>
    <w:p w14:paraId="4D0930E0" w14:textId="1F69796E" w:rsidR="3967F488" w:rsidRPr="00857B81" w:rsidRDefault="5143A1F6" w:rsidP="0764FF73">
      <w:pPr>
        <w:pStyle w:val="Paragraphedeliste"/>
        <w:numPr>
          <w:ilvl w:val="0"/>
          <w:numId w:val="242"/>
        </w:numPr>
        <w:rPr>
          <w:sz w:val="20"/>
          <w:szCs w:val="20"/>
          <w:highlight w:val="yellow"/>
          <w:lang w:val="en-US"/>
        </w:rPr>
      </w:pPr>
      <w:r w:rsidRPr="00857B81">
        <w:rPr>
          <w:sz w:val="20"/>
          <w:szCs w:val="20"/>
          <w:highlight w:val="yellow"/>
          <w:lang w:val="en-US"/>
        </w:rPr>
        <w:t xml:space="preserve">To support Bamako’s ecological transition and unlock private investment in key urban sectors—including sustainable mobility, waste management, pollution control, reforestation, and urban agriculture—this activity aims to create a comprehensive enabling environment. It will do so by addressing </w:t>
      </w:r>
      <w:r w:rsidRPr="00857B81">
        <w:rPr>
          <w:b/>
          <w:bCs/>
          <w:sz w:val="20"/>
          <w:szCs w:val="20"/>
          <w:highlight w:val="yellow"/>
          <w:lang w:val="en-US"/>
        </w:rPr>
        <w:t>regulatory and fiscal barriers</w:t>
      </w:r>
      <w:r w:rsidRPr="00857B81">
        <w:rPr>
          <w:sz w:val="20"/>
          <w:szCs w:val="20"/>
          <w:highlight w:val="yellow"/>
          <w:lang w:val="en-US"/>
        </w:rPr>
        <w:t xml:space="preserve">, operationalizing an </w:t>
      </w:r>
      <w:r w:rsidRPr="00857B81">
        <w:rPr>
          <w:b/>
          <w:bCs/>
          <w:sz w:val="20"/>
          <w:szCs w:val="20"/>
          <w:highlight w:val="yellow"/>
          <w:lang w:val="en-US"/>
        </w:rPr>
        <w:t>innovative green investment mechanism</w:t>
      </w:r>
      <w:r w:rsidRPr="00857B81">
        <w:rPr>
          <w:sz w:val="20"/>
          <w:szCs w:val="20"/>
          <w:highlight w:val="yellow"/>
          <w:lang w:val="en-US"/>
        </w:rPr>
        <w:t xml:space="preserve">, and developing a </w:t>
      </w:r>
      <w:r w:rsidRPr="00857B81">
        <w:rPr>
          <w:b/>
          <w:bCs/>
          <w:sz w:val="20"/>
          <w:szCs w:val="20"/>
          <w:highlight w:val="yellow"/>
          <w:lang w:val="en-US"/>
        </w:rPr>
        <w:t>municipal-level green taxation and monitoring framework</w:t>
      </w:r>
      <w:r w:rsidRPr="00857B81">
        <w:rPr>
          <w:sz w:val="20"/>
          <w:szCs w:val="20"/>
          <w:highlight w:val="yellow"/>
          <w:lang w:val="en-US"/>
        </w:rPr>
        <w:t>.</w:t>
      </w:r>
    </w:p>
    <w:p w14:paraId="529A13AE" w14:textId="2A68B2A8" w:rsidR="5143A1F6" w:rsidRPr="00857B81" w:rsidRDefault="5143A1F6" w:rsidP="00857B81">
      <w:pPr>
        <w:pStyle w:val="Paragraphedeliste"/>
        <w:numPr>
          <w:ilvl w:val="0"/>
          <w:numId w:val="242"/>
        </w:numPr>
        <w:spacing w:after="0"/>
        <w:jc w:val="both"/>
        <w:rPr>
          <w:highlight w:val="yellow"/>
          <w:lang w:val="en-US"/>
        </w:rPr>
      </w:pPr>
      <w:r w:rsidRPr="00857B81">
        <w:rPr>
          <w:sz w:val="20"/>
          <w:szCs w:val="20"/>
          <w:highlight w:val="yellow"/>
          <w:lang w:val="en-US"/>
        </w:rPr>
        <w:t>By combining legal reforms, fiscal incentives, and investment facilitation tools, this activity will foster a more coherent and resilient urban economy that actively engages private sector actors, particularly SMEs, women-led enterprises, and informal operators. The activity will be implemented in two complementary phases:</w:t>
      </w:r>
    </w:p>
    <w:p w14:paraId="1C9F5C1D" w14:textId="63D2D5FA" w:rsidR="5143A1F6" w:rsidRPr="00857B81" w:rsidRDefault="5143A1F6" w:rsidP="00857B81">
      <w:pPr>
        <w:pStyle w:val="Paragraphedeliste"/>
        <w:numPr>
          <w:ilvl w:val="0"/>
          <w:numId w:val="242"/>
        </w:numPr>
        <w:spacing w:after="0"/>
        <w:jc w:val="both"/>
        <w:rPr>
          <w:highlight w:val="yellow"/>
          <w:lang w:val="fr"/>
        </w:rPr>
      </w:pPr>
      <w:r w:rsidRPr="00857B81">
        <w:rPr>
          <w:sz w:val="20"/>
          <w:szCs w:val="20"/>
          <w:highlight w:val="yellow"/>
          <w:lang w:val="fr"/>
        </w:rPr>
        <w:t xml:space="preserve"> </w:t>
      </w:r>
    </w:p>
    <w:p w14:paraId="6F1BB3F0" w14:textId="7BCCD45A" w:rsidR="5143A1F6" w:rsidRPr="00857B81" w:rsidRDefault="5143A1F6" w:rsidP="00857B81">
      <w:pPr>
        <w:spacing w:after="0"/>
        <w:jc w:val="both"/>
        <w:rPr>
          <w:b/>
          <w:bCs/>
          <w:highlight w:val="yellow"/>
          <w:lang w:val="en-US"/>
        </w:rPr>
      </w:pPr>
      <w:r w:rsidRPr="00857B81">
        <w:rPr>
          <w:b/>
          <w:bCs/>
          <w:sz w:val="20"/>
          <w:szCs w:val="20"/>
          <w:highlight w:val="yellow"/>
          <w:lang w:val="en-US"/>
        </w:rPr>
        <w:t>Phase 1: Regulatory and Fiscal Reform for Green Investment and Local Revenue Mobilization</w:t>
      </w:r>
    </w:p>
    <w:p w14:paraId="3DFFFADA" w14:textId="0219AB7B" w:rsidR="5143A1F6" w:rsidRPr="00857B81" w:rsidRDefault="5143A1F6" w:rsidP="00857B81">
      <w:pPr>
        <w:pStyle w:val="Paragraphedeliste"/>
        <w:numPr>
          <w:ilvl w:val="0"/>
          <w:numId w:val="242"/>
        </w:numPr>
        <w:spacing w:after="0"/>
        <w:jc w:val="both"/>
        <w:rPr>
          <w:highlight w:val="yellow"/>
          <w:lang w:val="en-US"/>
        </w:rPr>
      </w:pPr>
      <w:r w:rsidRPr="00857B81">
        <w:rPr>
          <w:sz w:val="20"/>
          <w:szCs w:val="20"/>
          <w:highlight w:val="yellow"/>
          <w:lang w:val="en-US"/>
        </w:rPr>
        <w:t xml:space="preserve">This phase will focus on creating the </w:t>
      </w:r>
      <w:r w:rsidRPr="00857B81">
        <w:rPr>
          <w:b/>
          <w:bCs/>
          <w:sz w:val="20"/>
          <w:szCs w:val="20"/>
          <w:highlight w:val="yellow"/>
          <w:lang w:val="en-US"/>
        </w:rPr>
        <w:t>policy and fiscal conditions</w:t>
      </w:r>
      <w:r w:rsidRPr="00857B81">
        <w:rPr>
          <w:sz w:val="20"/>
          <w:szCs w:val="20"/>
          <w:highlight w:val="yellow"/>
          <w:lang w:val="en-US"/>
        </w:rPr>
        <w:t xml:space="preserve"> needed to stimulate sustainable investment and generate revenue for reinvestment in urban resilience. Key outputs will be:</w:t>
      </w:r>
    </w:p>
    <w:p w14:paraId="5B8ED203" w14:textId="49679FBC" w:rsidR="5143A1F6" w:rsidRPr="00857B81" w:rsidRDefault="5143A1F6" w:rsidP="00857B81">
      <w:pPr>
        <w:pStyle w:val="Paragraphedeliste"/>
        <w:numPr>
          <w:ilvl w:val="0"/>
          <w:numId w:val="242"/>
        </w:numPr>
        <w:spacing w:after="0"/>
        <w:jc w:val="both"/>
        <w:rPr>
          <w:highlight w:val="yellow"/>
          <w:lang w:val="en-US"/>
        </w:rPr>
      </w:pPr>
      <w:r w:rsidRPr="00857B81">
        <w:rPr>
          <w:sz w:val="20"/>
          <w:szCs w:val="20"/>
          <w:highlight w:val="yellow"/>
          <w:lang w:val="en-US"/>
        </w:rPr>
        <w:t xml:space="preserve">A </w:t>
      </w:r>
      <w:r w:rsidRPr="00857B81">
        <w:rPr>
          <w:b/>
          <w:bCs/>
          <w:sz w:val="20"/>
          <w:szCs w:val="20"/>
          <w:highlight w:val="yellow"/>
          <w:lang w:val="en-US"/>
        </w:rPr>
        <w:t>legal and fiscal diagnostic</w:t>
      </w:r>
      <w:r w:rsidRPr="00857B81">
        <w:rPr>
          <w:sz w:val="20"/>
          <w:szCs w:val="20"/>
          <w:highlight w:val="yellow"/>
          <w:lang w:val="en-US"/>
        </w:rPr>
        <w:t xml:space="preserve"> to identify regulatory, tax, and institutional barriers to private sector participation in green urban </w:t>
      </w:r>
      <w:proofErr w:type="gramStart"/>
      <w:r w:rsidRPr="00857B81">
        <w:rPr>
          <w:sz w:val="20"/>
          <w:szCs w:val="20"/>
          <w:highlight w:val="yellow"/>
          <w:lang w:val="en-US"/>
        </w:rPr>
        <w:t>sectors;</w:t>
      </w:r>
      <w:proofErr w:type="gramEnd"/>
    </w:p>
    <w:p w14:paraId="31006C00" w14:textId="4AA1089A" w:rsidR="5143A1F6" w:rsidRPr="00857B81" w:rsidRDefault="5143A1F6" w:rsidP="00857B81">
      <w:pPr>
        <w:pStyle w:val="Paragraphedeliste"/>
        <w:numPr>
          <w:ilvl w:val="0"/>
          <w:numId w:val="242"/>
        </w:numPr>
        <w:spacing w:after="0"/>
        <w:jc w:val="both"/>
        <w:rPr>
          <w:highlight w:val="yellow"/>
          <w:lang w:val="en-US"/>
        </w:rPr>
      </w:pPr>
      <w:r w:rsidRPr="00857B81">
        <w:rPr>
          <w:b/>
          <w:bCs/>
          <w:sz w:val="20"/>
          <w:szCs w:val="20"/>
          <w:highlight w:val="yellow"/>
          <w:lang w:val="en-US"/>
        </w:rPr>
        <w:t>Inclusive stakeholder consultations</w:t>
      </w:r>
      <w:r w:rsidRPr="00857B81">
        <w:rPr>
          <w:sz w:val="20"/>
          <w:szCs w:val="20"/>
          <w:highlight w:val="yellow"/>
          <w:lang w:val="en-US"/>
        </w:rPr>
        <w:t xml:space="preserve"> involving national ministries (Environment, Finance, Energy), the General Directorate of Taxes (DGT), Bamako District officials, private sector representatives, and civil society, with attention to gender equity and social </w:t>
      </w:r>
      <w:proofErr w:type="gramStart"/>
      <w:r w:rsidRPr="00857B81">
        <w:rPr>
          <w:sz w:val="20"/>
          <w:szCs w:val="20"/>
          <w:highlight w:val="yellow"/>
          <w:lang w:val="en-US"/>
        </w:rPr>
        <w:t>inclusion;</w:t>
      </w:r>
      <w:proofErr w:type="gramEnd"/>
    </w:p>
    <w:p w14:paraId="29D84AC3" w14:textId="41BB7962" w:rsidR="5143A1F6" w:rsidRPr="00857B81" w:rsidRDefault="5143A1F6" w:rsidP="00857B81">
      <w:pPr>
        <w:pStyle w:val="Paragraphedeliste"/>
        <w:numPr>
          <w:ilvl w:val="0"/>
          <w:numId w:val="242"/>
        </w:numPr>
        <w:spacing w:after="0"/>
        <w:jc w:val="both"/>
        <w:rPr>
          <w:highlight w:val="yellow"/>
        </w:rPr>
      </w:pPr>
      <w:proofErr w:type="spellStart"/>
      <w:r w:rsidRPr="00857B81">
        <w:rPr>
          <w:sz w:val="20"/>
          <w:szCs w:val="20"/>
          <w:highlight w:val="yellow"/>
        </w:rPr>
        <w:t>Proposals</w:t>
      </w:r>
      <w:proofErr w:type="spellEnd"/>
      <w:r w:rsidRPr="00857B81">
        <w:rPr>
          <w:sz w:val="20"/>
          <w:szCs w:val="20"/>
          <w:highlight w:val="yellow"/>
        </w:rPr>
        <w:t xml:space="preserve"> </w:t>
      </w:r>
      <w:proofErr w:type="gramStart"/>
      <w:r w:rsidRPr="00857B81">
        <w:rPr>
          <w:sz w:val="20"/>
          <w:szCs w:val="20"/>
          <w:highlight w:val="yellow"/>
        </w:rPr>
        <w:t>for:</w:t>
      </w:r>
      <w:proofErr w:type="gramEnd"/>
    </w:p>
    <w:p w14:paraId="581EB77A" w14:textId="6C78894C" w:rsidR="5143A1F6" w:rsidRPr="005C5B44" w:rsidRDefault="5143A1F6" w:rsidP="00857B81">
      <w:pPr>
        <w:pStyle w:val="Paragraphedeliste"/>
        <w:numPr>
          <w:ilvl w:val="1"/>
          <w:numId w:val="242"/>
        </w:numPr>
        <w:spacing w:after="0"/>
        <w:jc w:val="both"/>
        <w:rPr>
          <w:highlight w:val="yellow"/>
          <w:lang w:val="en-US"/>
        </w:rPr>
      </w:pPr>
      <w:r w:rsidRPr="005C5B44">
        <w:rPr>
          <w:sz w:val="20"/>
          <w:szCs w:val="20"/>
          <w:highlight w:val="yellow"/>
          <w:lang w:val="en-US"/>
        </w:rPr>
        <w:t>Green tax incentives (e.g., exemptions or reduced duties for clean technologies and EVs</w:t>
      </w:r>
      <w:proofErr w:type="gramStart"/>
      <w:r w:rsidRPr="005C5B44">
        <w:rPr>
          <w:sz w:val="20"/>
          <w:szCs w:val="20"/>
          <w:highlight w:val="yellow"/>
          <w:lang w:val="en-US"/>
        </w:rPr>
        <w:t>);</w:t>
      </w:r>
      <w:proofErr w:type="gramEnd"/>
    </w:p>
    <w:p w14:paraId="336E6DCD" w14:textId="762B9082" w:rsidR="5143A1F6" w:rsidRPr="00857B81" w:rsidRDefault="5143A1F6" w:rsidP="00857B81">
      <w:pPr>
        <w:pStyle w:val="Paragraphedeliste"/>
        <w:numPr>
          <w:ilvl w:val="1"/>
          <w:numId w:val="242"/>
        </w:numPr>
        <w:spacing w:after="0"/>
        <w:jc w:val="both"/>
        <w:rPr>
          <w:highlight w:val="yellow"/>
          <w:lang w:val="en-US"/>
        </w:rPr>
      </w:pPr>
      <w:r w:rsidRPr="00857B81">
        <w:rPr>
          <w:sz w:val="20"/>
          <w:szCs w:val="20"/>
          <w:highlight w:val="yellow"/>
          <w:lang w:val="en-US"/>
        </w:rPr>
        <w:t xml:space="preserve">Preferential procurement access for inclusive and women-led </w:t>
      </w:r>
      <w:proofErr w:type="gramStart"/>
      <w:r w:rsidRPr="00857B81">
        <w:rPr>
          <w:sz w:val="20"/>
          <w:szCs w:val="20"/>
          <w:highlight w:val="yellow"/>
          <w:lang w:val="en-US"/>
        </w:rPr>
        <w:t>businesses;</w:t>
      </w:r>
      <w:proofErr w:type="gramEnd"/>
    </w:p>
    <w:p w14:paraId="3794B040" w14:textId="189549B4" w:rsidR="5143A1F6" w:rsidRPr="00857B81" w:rsidRDefault="5143A1F6" w:rsidP="00857B81">
      <w:pPr>
        <w:pStyle w:val="Paragraphedeliste"/>
        <w:numPr>
          <w:ilvl w:val="1"/>
          <w:numId w:val="242"/>
        </w:numPr>
        <w:spacing w:after="0"/>
        <w:jc w:val="both"/>
        <w:rPr>
          <w:b/>
          <w:bCs/>
          <w:highlight w:val="yellow"/>
          <w:lang w:val="en-US"/>
        </w:rPr>
      </w:pPr>
      <w:r w:rsidRPr="00857B81">
        <w:rPr>
          <w:sz w:val="20"/>
          <w:szCs w:val="20"/>
          <w:highlight w:val="yellow"/>
          <w:lang w:val="en-US"/>
        </w:rPr>
        <w:t>Simplified legal guides and targeted training for municipal officials and private actors</w:t>
      </w:r>
    </w:p>
    <w:p w14:paraId="36FCE0E2" w14:textId="529DE535" w:rsidR="5143A1F6" w:rsidRPr="00857B81" w:rsidRDefault="5143A1F6" w:rsidP="0764FF73">
      <w:pPr>
        <w:spacing w:after="0"/>
        <w:jc w:val="both"/>
        <w:rPr>
          <w:b/>
          <w:bCs/>
          <w:highlight w:val="yellow"/>
          <w:lang w:val="en-US"/>
        </w:rPr>
      </w:pPr>
      <w:r w:rsidRPr="00857B81">
        <w:rPr>
          <w:b/>
          <w:bCs/>
          <w:sz w:val="20"/>
          <w:szCs w:val="20"/>
          <w:highlight w:val="yellow"/>
          <w:lang w:val="en-US"/>
        </w:rPr>
        <w:t>Green Taxation and Monitoring Mechanism:</w:t>
      </w:r>
    </w:p>
    <w:p w14:paraId="29DD5576" w14:textId="3714C15B" w:rsidR="5143A1F6" w:rsidRPr="00857B81" w:rsidRDefault="5143A1F6" w:rsidP="00857B81">
      <w:pPr>
        <w:pStyle w:val="Paragraphedeliste"/>
        <w:numPr>
          <w:ilvl w:val="0"/>
          <w:numId w:val="242"/>
        </w:numPr>
        <w:spacing w:after="0"/>
        <w:jc w:val="both"/>
        <w:rPr>
          <w:highlight w:val="yellow"/>
          <w:lang w:val="en-US"/>
        </w:rPr>
      </w:pPr>
      <w:r w:rsidRPr="00857B81">
        <w:rPr>
          <w:sz w:val="20"/>
          <w:szCs w:val="20"/>
          <w:highlight w:val="yellow"/>
          <w:lang w:val="en-US"/>
        </w:rPr>
        <w:t xml:space="preserve">Design and operationalization of a green taxation system within the Bamako District City Hall to incentivize sustainable practices and generate revenue for </w:t>
      </w:r>
      <w:proofErr w:type="gramStart"/>
      <w:r w:rsidRPr="00857B81">
        <w:rPr>
          <w:sz w:val="20"/>
          <w:szCs w:val="20"/>
          <w:highlight w:val="yellow"/>
          <w:lang w:val="en-US"/>
        </w:rPr>
        <w:t>reinvestment;</w:t>
      </w:r>
      <w:proofErr w:type="gramEnd"/>
    </w:p>
    <w:p w14:paraId="22E38284" w14:textId="3426CFDE" w:rsidR="5143A1F6" w:rsidRPr="00857B81" w:rsidRDefault="5143A1F6" w:rsidP="00857B81">
      <w:pPr>
        <w:pStyle w:val="Paragraphedeliste"/>
        <w:numPr>
          <w:ilvl w:val="0"/>
          <w:numId w:val="242"/>
        </w:numPr>
        <w:spacing w:after="0"/>
        <w:jc w:val="both"/>
        <w:rPr>
          <w:highlight w:val="yellow"/>
          <w:lang w:val="en-US"/>
        </w:rPr>
      </w:pPr>
      <w:r w:rsidRPr="00857B81">
        <w:rPr>
          <w:sz w:val="20"/>
          <w:szCs w:val="20"/>
          <w:highlight w:val="yellow"/>
          <w:lang w:val="en-US"/>
        </w:rPr>
        <w:lastRenderedPageBreak/>
        <w:t xml:space="preserve">Measures may include carbon levies, environmental fees on polluting vehicles, and incentives for EV </w:t>
      </w:r>
      <w:proofErr w:type="gramStart"/>
      <w:r w:rsidRPr="00857B81">
        <w:rPr>
          <w:sz w:val="20"/>
          <w:szCs w:val="20"/>
          <w:highlight w:val="yellow"/>
          <w:lang w:val="en-US"/>
        </w:rPr>
        <w:t>adoption;</w:t>
      </w:r>
      <w:proofErr w:type="gramEnd"/>
    </w:p>
    <w:p w14:paraId="42D294A4" w14:textId="763B2CF2" w:rsidR="5143A1F6" w:rsidRPr="00857B81" w:rsidRDefault="5143A1F6" w:rsidP="00857B81">
      <w:pPr>
        <w:pStyle w:val="Paragraphedeliste"/>
        <w:numPr>
          <w:ilvl w:val="0"/>
          <w:numId w:val="242"/>
        </w:numPr>
        <w:spacing w:after="0"/>
        <w:jc w:val="both"/>
        <w:rPr>
          <w:highlight w:val="yellow"/>
          <w:lang w:val="en-US"/>
        </w:rPr>
      </w:pPr>
      <w:r w:rsidRPr="00857B81">
        <w:rPr>
          <w:sz w:val="20"/>
          <w:szCs w:val="20"/>
          <w:highlight w:val="yellow"/>
          <w:lang w:val="en-US"/>
        </w:rPr>
        <w:t xml:space="preserve">Development of a monitoring system to track revenues, enforce compliance, and measure environmental </w:t>
      </w:r>
      <w:proofErr w:type="gramStart"/>
      <w:r w:rsidRPr="00857B81">
        <w:rPr>
          <w:sz w:val="20"/>
          <w:szCs w:val="20"/>
          <w:highlight w:val="yellow"/>
          <w:lang w:val="en-US"/>
        </w:rPr>
        <w:t>outcomes;</w:t>
      </w:r>
      <w:proofErr w:type="gramEnd"/>
    </w:p>
    <w:p w14:paraId="7C8B90CC" w14:textId="111C7560" w:rsidR="5143A1F6" w:rsidRPr="00857B81" w:rsidRDefault="5143A1F6" w:rsidP="00857B81">
      <w:pPr>
        <w:pStyle w:val="Paragraphedeliste"/>
        <w:numPr>
          <w:ilvl w:val="0"/>
          <w:numId w:val="242"/>
        </w:numPr>
        <w:spacing w:after="0"/>
        <w:jc w:val="both"/>
        <w:rPr>
          <w:highlight w:val="yellow"/>
          <w:lang w:val="en-US"/>
        </w:rPr>
      </w:pPr>
      <w:r w:rsidRPr="00857B81">
        <w:rPr>
          <w:sz w:val="20"/>
          <w:szCs w:val="20"/>
          <w:highlight w:val="yellow"/>
          <w:lang w:val="en-US"/>
        </w:rPr>
        <w:t>Alignment with national fiscal frameworks to ensure policy coherence.</w:t>
      </w:r>
    </w:p>
    <w:p w14:paraId="32D38670" w14:textId="2B753172" w:rsidR="0764FF73" w:rsidRPr="00857B81" w:rsidRDefault="0764FF73" w:rsidP="0764FF73">
      <w:pPr>
        <w:spacing w:after="0"/>
        <w:jc w:val="both"/>
        <w:rPr>
          <w:b/>
          <w:bCs/>
          <w:sz w:val="20"/>
          <w:szCs w:val="20"/>
          <w:highlight w:val="yellow"/>
          <w:lang w:val="en-US"/>
        </w:rPr>
      </w:pPr>
    </w:p>
    <w:p w14:paraId="023D4487" w14:textId="505F1CC1" w:rsidR="5143A1F6" w:rsidRPr="00857B81" w:rsidRDefault="5143A1F6" w:rsidP="00857B81">
      <w:pPr>
        <w:spacing w:after="0"/>
        <w:jc w:val="both"/>
        <w:rPr>
          <w:b/>
          <w:bCs/>
          <w:highlight w:val="yellow"/>
          <w:lang w:val="en-US"/>
        </w:rPr>
      </w:pPr>
      <w:r w:rsidRPr="00857B81">
        <w:rPr>
          <w:b/>
          <w:bCs/>
          <w:sz w:val="20"/>
          <w:szCs w:val="20"/>
          <w:highlight w:val="yellow"/>
          <w:lang w:val="en-US"/>
        </w:rPr>
        <w:t>Phase 2: Design of a Green Investment Mechanism</w:t>
      </w:r>
    </w:p>
    <w:p w14:paraId="0A5565F6" w14:textId="7D18C884" w:rsidR="5143A1F6" w:rsidRPr="00857B81" w:rsidRDefault="5143A1F6" w:rsidP="00857B81">
      <w:pPr>
        <w:pStyle w:val="Paragraphedeliste"/>
        <w:numPr>
          <w:ilvl w:val="0"/>
          <w:numId w:val="242"/>
        </w:numPr>
        <w:spacing w:after="0"/>
        <w:jc w:val="both"/>
        <w:rPr>
          <w:highlight w:val="yellow"/>
          <w:lang w:val="fr"/>
        </w:rPr>
      </w:pPr>
      <w:r w:rsidRPr="00857B81">
        <w:rPr>
          <w:sz w:val="20"/>
          <w:szCs w:val="20"/>
          <w:highlight w:val="yellow"/>
          <w:lang w:val="en-US"/>
        </w:rPr>
        <w:t xml:space="preserve">Building on the regulatory groundwork, this phase focuses on enabling </w:t>
      </w:r>
      <w:r w:rsidRPr="00857B81">
        <w:rPr>
          <w:b/>
          <w:bCs/>
          <w:sz w:val="20"/>
          <w:szCs w:val="20"/>
          <w:highlight w:val="yellow"/>
          <w:lang w:val="en-US"/>
        </w:rPr>
        <w:t>access to finance</w:t>
      </w:r>
      <w:r w:rsidRPr="00857B81">
        <w:rPr>
          <w:sz w:val="20"/>
          <w:szCs w:val="20"/>
          <w:highlight w:val="yellow"/>
          <w:lang w:val="en-US"/>
        </w:rPr>
        <w:t xml:space="preserve"> and mobilizing capital for green urban projects. </w:t>
      </w:r>
      <w:r w:rsidRPr="00857B81">
        <w:rPr>
          <w:sz w:val="20"/>
          <w:szCs w:val="20"/>
          <w:highlight w:val="yellow"/>
          <w:lang w:val="fr"/>
        </w:rPr>
        <w:t xml:space="preserve">Key </w:t>
      </w:r>
      <w:proofErr w:type="gramStart"/>
      <w:r w:rsidRPr="00857B81">
        <w:rPr>
          <w:sz w:val="20"/>
          <w:szCs w:val="20"/>
          <w:highlight w:val="yellow"/>
          <w:lang w:val="fr"/>
        </w:rPr>
        <w:t>outputs:</w:t>
      </w:r>
      <w:proofErr w:type="gramEnd"/>
    </w:p>
    <w:p w14:paraId="7067C7FA" w14:textId="0E9D3E0E" w:rsidR="5143A1F6" w:rsidRPr="005C5B44" w:rsidRDefault="5143A1F6" w:rsidP="00857B81">
      <w:pPr>
        <w:pStyle w:val="Paragraphedeliste"/>
        <w:numPr>
          <w:ilvl w:val="0"/>
          <w:numId w:val="242"/>
        </w:numPr>
        <w:spacing w:after="0"/>
        <w:jc w:val="both"/>
        <w:rPr>
          <w:highlight w:val="yellow"/>
          <w:lang w:val="en-US"/>
        </w:rPr>
      </w:pPr>
      <w:r w:rsidRPr="005C5B44">
        <w:rPr>
          <w:sz w:val="20"/>
          <w:szCs w:val="20"/>
          <w:highlight w:val="yellow"/>
          <w:lang w:val="en-US"/>
        </w:rPr>
        <w:t>A feasibility study to identify suitable financing instruments (e.g., green bonds, PPP models, blended finance, crowdfunding, and risk-sharing tools</w:t>
      </w:r>
      <w:proofErr w:type="gramStart"/>
      <w:r w:rsidRPr="005C5B44">
        <w:rPr>
          <w:sz w:val="20"/>
          <w:szCs w:val="20"/>
          <w:highlight w:val="yellow"/>
          <w:lang w:val="en-US"/>
        </w:rPr>
        <w:t>);</w:t>
      </w:r>
      <w:proofErr w:type="gramEnd"/>
    </w:p>
    <w:p w14:paraId="5A059851" w14:textId="52F76AF0" w:rsidR="5143A1F6" w:rsidRPr="00857B81" w:rsidRDefault="5143A1F6" w:rsidP="00857B81">
      <w:pPr>
        <w:pStyle w:val="Paragraphedeliste"/>
        <w:numPr>
          <w:ilvl w:val="0"/>
          <w:numId w:val="242"/>
        </w:numPr>
        <w:spacing w:after="0"/>
        <w:jc w:val="both"/>
        <w:rPr>
          <w:highlight w:val="yellow"/>
          <w:lang w:val="en-US"/>
        </w:rPr>
      </w:pPr>
      <w:r w:rsidRPr="00857B81">
        <w:rPr>
          <w:sz w:val="20"/>
          <w:szCs w:val="20"/>
          <w:highlight w:val="yellow"/>
          <w:lang w:val="en-US"/>
        </w:rPr>
        <w:t xml:space="preserve">Development of the institutional and legal framework to support the chosen </w:t>
      </w:r>
      <w:proofErr w:type="gramStart"/>
      <w:r w:rsidRPr="00857B81">
        <w:rPr>
          <w:sz w:val="20"/>
          <w:szCs w:val="20"/>
          <w:highlight w:val="yellow"/>
          <w:lang w:val="en-US"/>
        </w:rPr>
        <w:t>instruments;</w:t>
      </w:r>
      <w:proofErr w:type="gramEnd"/>
    </w:p>
    <w:p w14:paraId="47304E03" w14:textId="477A9530" w:rsidR="5143A1F6" w:rsidRPr="00857B81" w:rsidRDefault="5143A1F6" w:rsidP="00857B81">
      <w:pPr>
        <w:pStyle w:val="Paragraphedeliste"/>
        <w:numPr>
          <w:ilvl w:val="0"/>
          <w:numId w:val="242"/>
        </w:numPr>
        <w:spacing w:after="0"/>
        <w:jc w:val="both"/>
        <w:rPr>
          <w:highlight w:val="yellow"/>
          <w:lang w:val="en-US"/>
        </w:rPr>
      </w:pPr>
      <w:r w:rsidRPr="00857B81">
        <w:rPr>
          <w:sz w:val="20"/>
          <w:szCs w:val="20"/>
          <w:highlight w:val="yellow"/>
          <w:lang w:val="en-US"/>
        </w:rPr>
        <w:t xml:space="preserve">Design and launch of a Green Investment Fund tailored to the urban sustainability sectors in </w:t>
      </w:r>
      <w:proofErr w:type="gramStart"/>
      <w:r w:rsidRPr="00857B81">
        <w:rPr>
          <w:sz w:val="20"/>
          <w:szCs w:val="20"/>
          <w:highlight w:val="yellow"/>
          <w:lang w:val="en-US"/>
        </w:rPr>
        <w:t>Bamako;</w:t>
      </w:r>
      <w:proofErr w:type="gramEnd"/>
    </w:p>
    <w:p w14:paraId="50020DC9" w14:textId="7D8E7FDE" w:rsidR="5143A1F6" w:rsidRPr="00857B81" w:rsidRDefault="5143A1F6" w:rsidP="00857B81">
      <w:pPr>
        <w:pStyle w:val="Paragraphedeliste"/>
        <w:numPr>
          <w:ilvl w:val="0"/>
          <w:numId w:val="242"/>
        </w:numPr>
        <w:spacing w:after="0"/>
        <w:jc w:val="both"/>
        <w:rPr>
          <w:highlight w:val="yellow"/>
          <w:lang w:val="en-US"/>
        </w:rPr>
      </w:pPr>
      <w:r w:rsidRPr="00857B81">
        <w:rPr>
          <w:sz w:val="20"/>
          <w:szCs w:val="20"/>
          <w:highlight w:val="yellow"/>
          <w:lang w:val="en-US"/>
        </w:rPr>
        <w:t xml:space="preserve">Engagement of financial institutions, donors, and private investors to co-finance eligible </w:t>
      </w:r>
      <w:proofErr w:type="gramStart"/>
      <w:r w:rsidRPr="00857B81">
        <w:rPr>
          <w:sz w:val="20"/>
          <w:szCs w:val="20"/>
          <w:highlight w:val="yellow"/>
          <w:lang w:val="en-US"/>
        </w:rPr>
        <w:t>projects;</w:t>
      </w:r>
      <w:proofErr w:type="gramEnd"/>
    </w:p>
    <w:p w14:paraId="19A10534" w14:textId="400030D8" w:rsidR="5143A1F6" w:rsidRPr="00857B81" w:rsidRDefault="5143A1F6" w:rsidP="00857B81">
      <w:pPr>
        <w:pStyle w:val="Paragraphedeliste"/>
        <w:numPr>
          <w:ilvl w:val="0"/>
          <w:numId w:val="242"/>
        </w:numPr>
        <w:spacing w:after="0"/>
        <w:jc w:val="both"/>
        <w:rPr>
          <w:highlight w:val="yellow"/>
          <w:lang w:val="en-US"/>
        </w:rPr>
      </w:pPr>
      <w:r w:rsidRPr="00857B81">
        <w:rPr>
          <w:sz w:val="20"/>
          <w:szCs w:val="20"/>
          <w:highlight w:val="yellow"/>
          <w:lang w:val="en-US"/>
        </w:rPr>
        <w:t xml:space="preserve">Capacity-building for project promoters and financiers, focusing on bankability, financial structuring, and </w:t>
      </w:r>
      <w:proofErr w:type="gramStart"/>
      <w:r w:rsidRPr="00857B81">
        <w:rPr>
          <w:sz w:val="20"/>
          <w:szCs w:val="20"/>
          <w:highlight w:val="yellow"/>
          <w:lang w:val="en-US"/>
        </w:rPr>
        <w:t>monitoring;</w:t>
      </w:r>
      <w:proofErr w:type="gramEnd"/>
    </w:p>
    <w:p w14:paraId="1698E885" w14:textId="6DB29378" w:rsidR="5143A1F6" w:rsidRPr="00857B81" w:rsidRDefault="5143A1F6" w:rsidP="00857B81">
      <w:pPr>
        <w:pStyle w:val="Paragraphedeliste"/>
        <w:numPr>
          <w:ilvl w:val="0"/>
          <w:numId w:val="242"/>
        </w:numPr>
        <w:spacing w:after="0"/>
        <w:jc w:val="both"/>
        <w:rPr>
          <w:highlight w:val="yellow"/>
          <w:lang w:val="en-US"/>
        </w:rPr>
      </w:pPr>
      <w:r w:rsidRPr="00857B81">
        <w:rPr>
          <w:sz w:val="20"/>
          <w:szCs w:val="20"/>
          <w:highlight w:val="yellow"/>
          <w:lang w:val="en-US"/>
        </w:rPr>
        <w:t>Development of impact</w:t>
      </w:r>
      <w:r w:rsidRPr="00857B81">
        <w:rPr>
          <w:b/>
          <w:bCs/>
          <w:sz w:val="20"/>
          <w:szCs w:val="20"/>
          <w:highlight w:val="yellow"/>
          <w:lang w:val="en-US"/>
        </w:rPr>
        <w:t xml:space="preserve"> monitoring tools</w:t>
      </w:r>
      <w:r w:rsidRPr="00857B81">
        <w:rPr>
          <w:sz w:val="20"/>
          <w:szCs w:val="20"/>
          <w:highlight w:val="yellow"/>
          <w:lang w:val="en-US"/>
        </w:rPr>
        <w:t xml:space="preserve"> to track environmental, social, and financial performance.</w:t>
      </w:r>
    </w:p>
    <w:p w14:paraId="6EF729C3" w14:textId="336F8158" w:rsidR="0764FF73" w:rsidRPr="00857B81" w:rsidRDefault="0764FF73" w:rsidP="0764FF73">
      <w:pPr>
        <w:pStyle w:val="Paragraphedeliste"/>
        <w:spacing w:after="0"/>
        <w:jc w:val="both"/>
        <w:rPr>
          <w:highlight w:val="yellow"/>
          <w:lang w:val="en-US"/>
        </w:rPr>
      </w:pPr>
    </w:p>
    <w:p w14:paraId="30E6B005" w14:textId="44491BF9" w:rsidR="5143A1F6" w:rsidRPr="00857B81" w:rsidRDefault="5143A1F6" w:rsidP="00857B81">
      <w:pPr>
        <w:spacing w:after="0"/>
        <w:jc w:val="both"/>
        <w:rPr>
          <w:b/>
          <w:bCs/>
          <w:highlight w:val="yellow"/>
          <w:lang w:val="en-US"/>
        </w:rPr>
      </w:pPr>
      <w:r w:rsidRPr="00857B81">
        <w:rPr>
          <w:b/>
          <w:bCs/>
          <w:sz w:val="20"/>
          <w:szCs w:val="20"/>
          <w:highlight w:val="yellow"/>
          <w:lang w:val="en-US"/>
        </w:rPr>
        <w:t>Expected Outcomes from this activity:</w:t>
      </w:r>
    </w:p>
    <w:p w14:paraId="4A092DF1" w14:textId="2DB94020" w:rsidR="5143A1F6" w:rsidRPr="00857B81" w:rsidRDefault="5143A1F6" w:rsidP="00857B81">
      <w:pPr>
        <w:pStyle w:val="Paragraphedeliste"/>
        <w:numPr>
          <w:ilvl w:val="0"/>
          <w:numId w:val="242"/>
        </w:numPr>
        <w:spacing w:after="0"/>
        <w:jc w:val="both"/>
        <w:rPr>
          <w:highlight w:val="yellow"/>
          <w:lang w:val="en-US"/>
        </w:rPr>
      </w:pPr>
      <w:r w:rsidRPr="00857B81">
        <w:rPr>
          <w:sz w:val="20"/>
          <w:szCs w:val="20"/>
          <w:highlight w:val="yellow"/>
          <w:lang w:val="en-US"/>
        </w:rPr>
        <w:t xml:space="preserve">A more attractive and predictable investment climate for sustainable urban development in </w:t>
      </w:r>
      <w:proofErr w:type="gramStart"/>
      <w:r w:rsidRPr="00857B81">
        <w:rPr>
          <w:sz w:val="20"/>
          <w:szCs w:val="20"/>
          <w:highlight w:val="yellow"/>
          <w:lang w:val="en-US"/>
        </w:rPr>
        <w:t>Bamako;</w:t>
      </w:r>
      <w:proofErr w:type="gramEnd"/>
    </w:p>
    <w:p w14:paraId="3C84B840" w14:textId="7902E90D" w:rsidR="5143A1F6" w:rsidRPr="00857B81" w:rsidRDefault="5143A1F6" w:rsidP="00857B81">
      <w:pPr>
        <w:pStyle w:val="Paragraphedeliste"/>
        <w:numPr>
          <w:ilvl w:val="0"/>
          <w:numId w:val="242"/>
        </w:numPr>
        <w:spacing w:after="0"/>
        <w:jc w:val="both"/>
        <w:rPr>
          <w:highlight w:val="yellow"/>
          <w:lang w:val="en-US"/>
        </w:rPr>
      </w:pPr>
      <w:r w:rsidRPr="00857B81">
        <w:rPr>
          <w:sz w:val="20"/>
          <w:szCs w:val="20"/>
          <w:highlight w:val="yellow"/>
          <w:lang w:val="en-US"/>
        </w:rPr>
        <w:t xml:space="preserve">Mobilization of private capital into green sectors, particularly in support of climate-smart transport, energy, and waste </w:t>
      </w:r>
      <w:proofErr w:type="gramStart"/>
      <w:r w:rsidRPr="00857B81">
        <w:rPr>
          <w:sz w:val="20"/>
          <w:szCs w:val="20"/>
          <w:highlight w:val="yellow"/>
          <w:lang w:val="en-US"/>
        </w:rPr>
        <w:t>solutions;</w:t>
      </w:r>
      <w:proofErr w:type="gramEnd"/>
    </w:p>
    <w:p w14:paraId="3E9A9A6B" w14:textId="797EF19A" w:rsidR="5143A1F6" w:rsidRPr="00857B81" w:rsidRDefault="5143A1F6" w:rsidP="00857B81">
      <w:pPr>
        <w:pStyle w:val="Paragraphedeliste"/>
        <w:numPr>
          <w:ilvl w:val="0"/>
          <w:numId w:val="242"/>
        </w:numPr>
        <w:spacing w:after="0"/>
        <w:jc w:val="both"/>
        <w:rPr>
          <w:highlight w:val="yellow"/>
          <w:lang w:val="en-US"/>
        </w:rPr>
      </w:pPr>
      <w:r w:rsidRPr="00857B81">
        <w:rPr>
          <w:sz w:val="20"/>
          <w:szCs w:val="20"/>
          <w:highlight w:val="yellow"/>
          <w:lang w:val="en-US"/>
        </w:rPr>
        <w:t xml:space="preserve">Enhanced municipal fiscal autonomy through green taxation and local revenue </w:t>
      </w:r>
      <w:proofErr w:type="gramStart"/>
      <w:r w:rsidRPr="00857B81">
        <w:rPr>
          <w:sz w:val="20"/>
          <w:szCs w:val="20"/>
          <w:highlight w:val="yellow"/>
          <w:lang w:val="en-US"/>
        </w:rPr>
        <w:t>generation;</w:t>
      </w:r>
      <w:proofErr w:type="gramEnd"/>
    </w:p>
    <w:p w14:paraId="0E25C85D" w14:textId="42044E0B" w:rsidR="5143A1F6" w:rsidRPr="00857B81" w:rsidRDefault="5143A1F6" w:rsidP="00857B81">
      <w:pPr>
        <w:pStyle w:val="Paragraphedeliste"/>
        <w:numPr>
          <w:ilvl w:val="0"/>
          <w:numId w:val="242"/>
        </w:numPr>
        <w:spacing w:after="0"/>
        <w:jc w:val="both"/>
        <w:rPr>
          <w:highlight w:val="yellow"/>
          <w:lang w:val="en-US"/>
        </w:rPr>
      </w:pPr>
      <w:r w:rsidRPr="00857B81">
        <w:rPr>
          <w:sz w:val="20"/>
          <w:szCs w:val="20"/>
          <w:highlight w:val="yellow"/>
          <w:lang w:val="en-US"/>
        </w:rPr>
        <w:t xml:space="preserve">Increased resilience to climate risks, aligned with national environmental policies and urban planning </w:t>
      </w:r>
      <w:proofErr w:type="gramStart"/>
      <w:r w:rsidRPr="00857B81">
        <w:rPr>
          <w:sz w:val="20"/>
          <w:szCs w:val="20"/>
          <w:highlight w:val="yellow"/>
          <w:lang w:val="en-US"/>
        </w:rPr>
        <w:t>frameworks;</w:t>
      </w:r>
      <w:proofErr w:type="gramEnd"/>
    </w:p>
    <w:p w14:paraId="67663683" w14:textId="56397CF4" w:rsidR="5143A1F6" w:rsidRPr="00857B81" w:rsidRDefault="5143A1F6" w:rsidP="00857B81">
      <w:pPr>
        <w:pStyle w:val="Paragraphedeliste"/>
        <w:numPr>
          <w:ilvl w:val="0"/>
          <w:numId w:val="242"/>
        </w:numPr>
        <w:rPr>
          <w:highlight w:val="yellow"/>
          <w:lang w:val="en-US"/>
        </w:rPr>
      </w:pPr>
      <w:r w:rsidRPr="00857B81">
        <w:rPr>
          <w:sz w:val="20"/>
          <w:szCs w:val="20"/>
          <w:highlight w:val="yellow"/>
          <w:lang w:val="en-US"/>
        </w:rPr>
        <w:t>Improved economic inclusion, with dedicated support for women, youth, and informal sector actors</w:t>
      </w:r>
    </w:p>
    <w:p w14:paraId="0B95BA6B" w14:textId="44849520" w:rsidR="213645EE" w:rsidRPr="00857B81" w:rsidRDefault="213645EE" w:rsidP="00857B81">
      <w:pPr>
        <w:spacing w:after="0"/>
        <w:jc w:val="both"/>
        <w:rPr>
          <w:sz w:val="20"/>
          <w:szCs w:val="20"/>
          <w:highlight w:val="yellow"/>
          <w:lang w:val="en-US"/>
        </w:rPr>
      </w:pPr>
      <w:r w:rsidRPr="00857B81">
        <w:rPr>
          <w:b/>
          <w:bCs/>
          <w:sz w:val="20"/>
          <w:szCs w:val="20"/>
          <w:highlight w:val="yellow"/>
          <w:lang w:val="en-US"/>
        </w:rPr>
        <w:t xml:space="preserve">Coordination with Outcome 2.1: </w:t>
      </w:r>
      <w:r w:rsidRPr="00857B81">
        <w:rPr>
          <w:sz w:val="20"/>
          <w:szCs w:val="20"/>
          <w:highlight w:val="yellow"/>
          <w:lang w:val="en-US"/>
        </w:rPr>
        <w:t xml:space="preserve">The specific financial mechanism for sustainable transport and e-mobility will be addressed at national level through Activity 2.1.3.3: Support to the Establishment of a Financing Mechanism for Sustainable Transport and Electric Mobility, which focuses on a national-level instrument—the Fund for Equipment and Road Transporters (FERT), given that transport and e-mobility involve distinct technical, regulatory, and financial challenges. To ensure policy coherence and synergy, Activity </w:t>
      </w:r>
      <w:proofErr w:type="gramStart"/>
      <w:r w:rsidRPr="00857B81">
        <w:rPr>
          <w:sz w:val="20"/>
          <w:szCs w:val="20"/>
          <w:highlight w:val="yellow"/>
          <w:lang w:val="en-US"/>
        </w:rPr>
        <w:t>1.2.1.1  will</w:t>
      </w:r>
      <w:proofErr w:type="gramEnd"/>
      <w:r w:rsidRPr="00857B81">
        <w:rPr>
          <w:sz w:val="20"/>
          <w:szCs w:val="20"/>
          <w:highlight w:val="yellow"/>
          <w:lang w:val="en-US"/>
        </w:rPr>
        <w:t xml:space="preserve"> be developed in close coordination with Activity 2.1.3.3. Together, they will promote complementarity across fiscal and financial mechanisms, enabling integrated support for sustainable urban development—including in the transport and mobility sectors.</w:t>
      </w:r>
    </w:p>
    <w:p w14:paraId="46095124" w14:textId="223FE7ED" w:rsidR="0764FF73" w:rsidRPr="00857B81" w:rsidRDefault="213645EE" w:rsidP="0764FF73">
      <w:pPr>
        <w:rPr>
          <w:i/>
          <w:iCs/>
          <w:color w:val="000000" w:themeColor="text1"/>
          <w:sz w:val="20"/>
          <w:szCs w:val="20"/>
          <w:highlight w:val="yellow"/>
          <w:u w:val="single"/>
          <w:lang w:val="en-US"/>
        </w:rPr>
      </w:pPr>
      <w:r w:rsidRPr="00857B81">
        <w:rPr>
          <w:sz w:val="20"/>
          <w:szCs w:val="20"/>
          <w:highlight w:val="yellow"/>
          <w:lang w:val="en-US"/>
        </w:rPr>
        <w:t>Bamako will serve as a pilot city to test the implementation of green taxation instruments across relevant urban services, including urban transport, waste management, and energy, providing a replicable model for fiscal innovation in support of the ecological transition.</w:t>
      </w:r>
    </w:p>
    <w:p w14:paraId="4BFA04D6" w14:textId="2D59CBDC" w:rsidR="004F7DB3" w:rsidRPr="003C5C1B" w:rsidRDefault="004F7DB3" w:rsidP="003C5C1B">
      <w:pPr>
        <w:rPr>
          <w:color w:val="000000" w:themeColor="text1"/>
          <w:sz w:val="20"/>
          <w:szCs w:val="20"/>
          <w:highlight w:val="yellow"/>
          <w:lang w:val="en-US"/>
        </w:rPr>
      </w:pPr>
    </w:p>
    <w:p w14:paraId="1FD53F03" w14:textId="53037D4C" w:rsidR="004F7DB3" w:rsidRPr="00857B81" w:rsidRDefault="3967F488" w:rsidP="003974F4">
      <w:pPr>
        <w:rPr>
          <w:color w:val="000000" w:themeColor="text1"/>
          <w:sz w:val="20"/>
          <w:szCs w:val="20"/>
          <w:highlight w:val="yellow"/>
          <w:lang w:val="en-US"/>
        </w:rPr>
      </w:pPr>
      <w:r w:rsidRPr="00857B81">
        <w:rPr>
          <w:i/>
          <w:iCs/>
          <w:color w:val="000000" w:themeColor="text1"/>
          <w:sz w:val="20"/>
          <w:szCs w:val="20"/>
          <w:highlight w:val="yellow"/>
          <w:u w:val="single"/>
          <w:lang w:val="en-US"/>
        </w:rPr>
        <w:t>Activity 1.2.1.</w:t>
      </w:r>
      <w:r w:rsidR="2916B5D7" w:rsidRPr="00857B81">
        <w:rPr>
          <w:i/>
          <w:iCs/>
          <w:color w:val="000000" w:themeColor="text1"/>
          <w:sz w:val="20"/>
          <w:szCs w:val="20"/>
          <w:highlight w:val="yellow"/>
          <w:u w:val="single"/>
          <w:lang w:val="en-US"/>
        </w:rPr>
        <w:t>2</w:t>
      </w:r>
      <w:r w:rsidRPr="00857B81">
        <w:rPr>
          <w:i/>
          <w:iCs/>
          <w:color w:val="000000" w:themeColor="text1"/>
          <w:sz w:val="20"/>
          <w:szCs w:val="20"/>
          <w:highlight w:val="yellow"/>
          <w:u w:val="single"/>
          <w:lang w:val="en-US"/>
        </w:rPr>
        <w:t xml:space="preserve"> – Promotion and Integration of the Bamako Energy and Climate Action Plan (PAAEDC-BKO</w:t>
      </w:r>
      <w:r w:rsidRPr="00857B81">
        <w:rPr>
          <w:color w:val="000000" w:themeColor="text1"/>
          <w:sz w:val="20"/>
          <w:szCs w:val="20"/>
          <w:highlight w:val="yellow"/>
          <w:lang w:val="en-US"/>
        </w:rPr>
        <w:t>)</w:t>
      </w:r>
    </w:p>
    <w:p w14:paraId="1BE702DD" w14:textId="53A2F21A" w:rsidR="3967F488" w:rsidRPr="003C5C1B" w:rsidRDefault="3967F488" w:rsidP="003C5C1B">
      <w:pPr>
        <w:rPr>
          <w:sz w:val="20"/>
          <w:szCs w:val="20"/>
          <w:highlight w:val="yellow"/>
          <w:lang w:val="en-US"/>
        </w:rPr>
      </w:pPr>
    </w:p>
    <w:p w14:paraId="1090B05E" w14:textId="63A6EC3B" w:rsidR="5C517180" w:rsidRPr="00857B81" w:rsidRDefault="5C517180" w:rsidP="0764FF73">
      <w:pPr>
        <w:rPr>
          <w:sz w:val="20"/>
          <w:szCs w:val="20"/>
          <w:highlight w:val="yellow"/>
          <w:lang w:val="en-US"/>
        </w:rPr>
      </w:pPr>
      <w:r w:rsidRPr="00857B81">
        <w:rPr>
          <w:sz w:val="20"/>
          <w:szCs w:val="20"/>
          <w:highlight w:val="yellow"/>
          <w:lang w:val="en-US"/>
        </w:rPr>
        <w:t xml:space="preserve">The Bamako Energy and Climate Action Plan (PAAEDC-BKO) is a key strategic document, developed in 2023, outlining the city’s commitments to low-carbon, climate-resilient development. However, its implementation remains limited by a lack of visibility and communication, institutional ownership, and integration into investment planning processes. </w:t>
      </w:r>
    </w:p>
    <w:p w14:paraId="6B7776B2" w14:textId="13065504" w:rsidR="5C517180" w:rsidRPr="00857B81" w:rsidRDefault="5C517180" w:rsidP="00857B81">
      <w:pPr>
        <w:spacing w:after="0"/>
        <w:jc w:val="both"/>
        <w:rPr>
          <w:highlight w:val="yellow"/>
          <w:lang w:val="en-US"/>
        </w:rPr>
      </w:pPr>
      <w:r w:rsidRPr="00857B81">
        <w:rPr>
          <w:sz w:val="20"/>
          <w:szCs w:val="20"/>
          <w:highlight w:val="yellow"/>
          <w:lang w:val="en-US"/>
        </w:rPr>
        <w:t>To ensure that the plan serves as a real lever for action, this activity aims to both popularize the PAAEDC-BKO among stakeholders and integrate its most mature and high-impact projects into the city's innovative financing mechanisms.</w:t>
      </w:r>
    </w:p>
    <w:p w14:paraId="37C6E732" w14:textId="5701A017" w:rsidR="5C517180" w:rsidRPr="00857B81" w:rsidRDefault="5C517180" w:rsidP="00857B81">
      <w:pPr>
        <w:spacing w:after="0"/>
        <w:jc w:val="both"/>
        <w:rPr>
          <w:highlight w:val="yellow"/>
          <w:lang w:val="en-US"/>
        </w:rPr>
      </w:pPr>
      <w:r w:rsidRPr="00857B81">
        <w:rPr>
          <w:sz w:val="20"/>
          <w:szCs w:val="20"/>
          <w:highlight w:val="yellow"/>
          <w:lang w:val="en-US"/>
        </w:rPr>
        <w:lastRenderedPageBreak/>
        <w:t>Through a mix of targeted outreach, capacity-building, and technical support, the activity will foster broad-based understanding, ownership, and operationalization of the action plan among local authorities, technical partners, the private sector, and civil society.</w:t>
      </w:r>
    </w:p>
    <w:p w14:paraId="4644CB2B" w14:textId="199CE90B" w:rsidR="5C517180" w:rsidRPr="00857B81" w:rsidRDefault="5C517180" w:rsidP="00857B81">
      <w:pPr>
        <w:spacing w:after="0"/>
        <w:jc w:val="both"/>
        <w:rPr>
          <w:highlight w:val="yellow"/>
          <w:lang w:val="en-US"/>
        </w:rPr>
      </w:pPr>
      <w:r w:rsidRPr="00857B81">
        <w:rPr>
          <w:sz w:val="20"/>
          <w:szCs w:val="20"/>
          <w:highlight w:val="yellow"/>
          <w:lang w:val="en-US"/>
        </w:rPr>
        <w:t>Key components of the activity include:</w:t>
      </w:r>
    </w:p>
    <w:p w14:paraId="685649BF" w14:textId="033D0137" w:rsidR="5C517180" w:rsidRPr="00857B81" w:rsidRDefault="5C517180" w:rsidP="00857B81">
      <w:pPr>
        <w:pStyle w:val="Paragraphedeliste"/>
        <w:numPr>
          <w:ilvl w:val="0"/>
          <w:numId w:val="244"/>
        </w:numPr>
        <w:spacing w:after="0"/>
        <w:jc w:val="both"/>
        <w:rPr>
          <w:highlight w:val="yellow"/>
          <w:lang w:val="en-US"/>
        </w:rPr>
      </w:pPr>
      <w:r w:rsidRPr="00857B81">
        <w:rPr>
          <w:sz w:val="20"/>
          <w:szCs w:val="20"/>
          <w:highlight w:val="yellow"/>
          <w:lang w:val="en-US"/>
        </w:rPr>
        <w:t>Development of accessible, user-friendly communication tools (e.g., brochures, videos, infographics) to translate complex climate and energy concepts into actionable messages for different audiences.</w:t>
      </w:r>
    </w:p>
    <w:p w14:paraId="6856E69D" w14:textId="2812A174" w:rsidR="5C517180" w:rsidRPr="00857B81" w:rsidRDefault="5C517180" w:rsidP="00857B81">
      <w:pPr>
        <w:pStyle w:val="Paragraphedeliste"/>
        <w:numPr>
          <w:ilvl w:val="0"/>
          <w:numId w:val="244"/>
        </w:numPr>
        <w:spacing w:after="0"/>
        <w:jc w:val="both"/>
        <w:rPr>
          <w:highlight w:val="yellow"/>
          <w:lang w:val="en-US"/>
        </w:rPr>
      </w:pPr>
      <w:r w:rsidRPr="00857B81">
        <w:rPr>
          <w:sz w:val="20"/>
          <w:szCs w:val="20"/>
          <w:highlight w:val="yellow"/>
          <w:lang w:val="en-US"/>
        </w:rPr>
        <w:t xml:space="preserve">Organization of multi-stakeholder information sessions and thematic workshops, facilitating dialogue, knowledge-sharing, and buy-in from relevant institutions and </w:t>
      </w:r>
      <w:proofErr w:type="gramStart"/>
      <w:r w:rsidRPr="00857B81">
        <w:rPr>
          <w:sz w:val="20"/>
          <w:szCs w:val="20"/>
          <w:highlight w:val="yellow"/>
          <w:lang w:val="en-US"/>
        </w:rPr>
        <w:t>communities;</w:t>
      </w:r>
      <w:proofErr w:type="gramEnd"/>
    </w:p>
    <w:p w14:paraId="084927E3" w14:textId="189DEA04" w:rsidR="5C517180" w:rsidRPr="00857B81" w:rsidRDefault="5C517180" w:rsidP="00857B81">
      <w:pPr>
        <w:pStyle w:val="Paragraphedeliste"/>
        <w:numPr>
          <w:ilvl w:val="0"/>
          <w:numId w:val="244"/>
        </w:numPr>
        <w:spacing w:after="0"/>
        <w:jc w:val="both"/>
        <w:rPr>
          <w:highlight w:val="yellow"/>
          <w:lang w:val="en-US"/>
        </w:rPr>
      </w:pPr>
      <w:r w:rsidRPr="00857B81">
        <w:rPr>
          <w:sz w:val="20"/>
          <w:szCs w:val="20"/>
          <w:highlight w:val="yellow"/>
          <w:lang w:val="en-US"/>
        </w:rPr>
        <w:t xml:space="preserve">Identification and prioritization of bankable, climate-smart projects from the PAAEDC-BKO for integration into the city's innovative financing framework (as developed under Activity 1.2.1.1), thereby strengthening </w:t>
      </w:r>
      <w:proofErr w:type="gramStart"/>
      <w:r w:rsidRPr="00857B81">
        <w:rPr>
          <w:sz w:val="20"/>
          <w:szCs w:val="20"/>
          <w:highlight w:val="yellow"/>
          <w:lang w:val="en-US"/>
        </w:rPr>
        <w:t>he</w:t>
      </w:r>
      <w:proofErr w:type="gramEnd"/>
      <w:r w:rsidRPr="00857B81">
        <w:rPr>
          <w:sz w:val="20"/>
          <w:szCs w:val="20"/>
          <w:highlight w:val="yellow"/>
          <w:lang w:val="en-US"/>
        </w:rPr>
        <w:t xml:space="preserve"> pipeline of investable projects aligned with climate goals.</w:t>
      </w:r>
    </w:p>
    <w:p w14:paraId="16D09B3B" w14:textId="11681B6C" w:rsidR="5C517180" w:rsidRPr="00857B81" w:rsidRDefault="5C517180" w:rsidP="0764FF73">
      <w:pPr>
        <w:spacing w:after="0"/>
        <w:jc w:val="both"/>
        <w:rPr>
          <w:highlight w:val="yellow"/>
          <w:lang w:val="en-US"/>
        </w:rPr>
      </w:pPr>
      <w:r w:rsidRPr="00857B81">
        <w:rPr>
          <w:sz w:val="20"/>
          <w:szCs w:val="20"/>
          <w:highlight w:val="yellow"/>
          <w:lang w:val="en-US"/>
        </w:rPr>
        <w:t>By linking climate action planning with resource mobilization and inclusive governance, this activity will help mainstream the PAAEDC-BKO into urban development decision-making and promote concrete, cross-sectoral climate action in Bamako.</w:t>
      </w:r>
    </w:p>
    <w:p w14:paraId="1401D34F" w14:textId="6056B94C" w:rsidR="0764FF73" w:rsidRPr="00857B81" w:rsidRDefault="0764FF73" w:rsidP="0764FF73">
      <w:pPr>
        <w:spacing w:after="0"/>
        <w:jc w:val="both"/>
        <w:rPr>
          <w:sz w:val="20"/>
          <w:szCs w:val="20"/>
          <w:highlight w:val="yellow"/>
          <w:lang w:val="en-US"/>
        </w:rPr>
      </w:pPr>
    </w:p>
    <w:p w14:paraId="209E600A" w14:textId="2D2EBEA4" w:rsidR="004F7DB3" w:rsidRPr="00857B81" w:rsidRDefault="3967F488" w:rsidP="0764FF73">
      <w:pPr>
        <w:rPr>
          <w:i/>
          <w:iCs/>
          <w:color w:val="000000" w:themeColor="text1"/>
          <w:sz w:val="20"/>
          <w:szCs w:val="20"/>
          <w:highlight w:val="yellow"/>
          <w:u w:val="single"/>
          <w:lang w:val="en-US"/>
        </w:rPr>
      </w:pPr>
      <w:r w:rsidRPr="00857B81">
        <w:rPr>
          <w:i/>
          <w:iCs/>
          <w:color w:val="000000" w:themeColor="text1"/>
          <w:sz w:val="20"/>
          <w:szCs w:val="20"/>
          <w:highlight w:val="yellow"/>
          <w:u w:val="single"/>
          <w:lang w:val="en-US"/>
        </w:rPr>
        <w:t>Activity 1.2.1.</w:t>
      </w:r>
      <w:r w:rsidR="2550360F" w:rsidRPr="00857B81">
        <w:rPr>
          <w:i/>
          <w:iCs/>
          <w:color w:val="000000" w:themeColor="text1"/>
          <w:sz w:val="20"/>
          <w:szCs w:val="20"/>
          <w:highlight w:val="yellow"/>
          <w:u w:val="single"/>
          <w:lang w:val="en-US"/>
        </w:rPr>
        <w:t>3</w:t>
      </w:r>
      <w:r w:rsidRPr="00857B81">
        <w:rPr>
          <w:i/>
          <w:iCs/>
          <w:color w:val="000000" w:themeColor="text1"/>
          <w:sz w:val="20"/>
          <w:szCs w:val="20"/>
          <w:highlight w:val="yellow"/>
          <w:u w:val="single"/>
          <w:lang w:val="en-US"/>
        </w:rPr>
        <w:t xml:space="preserve"> – Development of a Digital Transparency and Information Portal for the Private Sector</w:t>
      </w:r>
    </w:p>
    <w:p w14:paraId="31BA7D18" w14:textId="7BD15DFB" w:rsidR="46664456" w:rsidRPr="00857B81" w:rsidRDefault="46664456" w:rsidP="00857B81">
      <w:pPr>
        <w:spacing w:after="0"/>
        <w:jc w:val="both"/>
        <w:rPr>
          <w:sz w:val="20"/>
          <w:szCs w:val="20"/>
          <w:highlight w:val="yellow"/>
          <w:lang w:val="en-US"/>
        </w:rPr>
      </w:pPr>
      <w:r w:rsidRPr="00857B81">
        <w:rPr>
          <w:sz w:val="20"/>
          <w:szCs w:val="20"/>
          <w:highlight w:val="yellow"/>
          <w:lang w:val="en-US"/>
        </w:rPr>
        <w:t xml:space="preserve">A major barrier to private sector engagement in sustainable urban development is the lack of </w:t>
      </w:r>
      <w:r w:rsidRPr="00857B81">
        <w:rPr>
          <w:b/>
          <w:bCs/>
          <w:sz w:val="20"/>
          <w:szCs w:val="20"/>
          <w:highlight w:val="yellow"/>
          <w:lang w:val="en-US"/>
        </w:rPr>
        <w:t>centralized, accessible, and transparent information</w:t>
      </w:r>
      <w:r w:rsidRPr="00857B81">
        <w:rPr>
          <w:sz w:val="20"/>
          <w:szCs w:val="20"/>
          <w:highlight w:val="yellow"/>
          <w:lang w:val="en-US"/>
        </w:rPr>
        <w:t xml:space="preserve"> on investment opportunities, financing instruments, and partnership frameworks. Fragmented communication channels and limited outreach—particularly to women entrepreneurs and small, inclusive businesses—reduce the visibility and impact of available support mechanisms.</w:t>
      </w:r>
    </w:p>
    <w:p w14:paraId="35B62F78" w14:textId="57E29CCE" w:rsidR="46664456" w:rsidRPr="00857B81" w:rsidRDefault="46664456" w:rsidP="00857B81">
      <w:pPr>
        <w:spacing w:after="0"/>
        <w:jc w:val="both"/>
        <w:rPr>
          <w:sz w:val="20"/>
          <w:szCs w:val="20"/>
          <w:highlight w:val="yellow"/>
          <w:lang w:val="en-US"/>
        </w:rPr>
      </w:pPr>
      <w:r w:rsidRPr="00857B81">
        <w:rPr>
          <w:sz w:val="20"/>
          <w:szCs w:val="20"/>
          <w:highlight w:val="yellow"/>
          <w:lang w:val="en-US"/>
        </w:rPr>
        <w:t xml:space="preserve">This activity aims to </w:t>
      </w:r>
      <w:r w:rsidRPr="00857B81">
        <w:rPr>
          <w:b/>
          <w:bCs/>
          <w:sz w:val="20"/>
          <w:szCs w:val="20"/>
          <w:highlight w:val="yellow"/>
          <w:lang w:val="en-US"/>
        </w:rPr>
        <w:t>develop a digital platform</w:t>
      </w:r>
      <w:r w:rsidRPr="00857B81">
        <w:rPr>
          <w:sz w:val="20"/>
          <w:szCs w:val="20"/>
          <w:highlight w:val="yellow"/>
          <w:lang w:val="en-US"/>
        </w:rPr>
        <w:t xml:space="preserve"> that will serve as a one-stop portal for the private sector, offering clear, up-to-date information on co-financing opportunities, calls for proposals, incentives, and investment-ready projects related to climate-resilient and inclusive urban development in Bamako.</w:t>
      </w:r>
    </w:p>
    <w:p w14:paraId="159F0146" w14:textId="425A3C3B" w:rsidR="46664456" w:rsidRPr="00857B81" w:rsidRDefault="46664456" w:rsidP="00857B81">
      <w:pPr>
        <w:spacing w:after="0"/>
        <w:jc w:val="both"/>
        <w:rPr>
          <w:sz w:val="20"/>
          <w:szCs w:val="20"/>
          <w:highlight w:val="yellow"/>
          <w:lang w:val="en-US"/>
        </w:rPr>
      </w:pPr>
      <w:r w:rsidRPr="00857B81">
        <w:rPr>
          <w:sz w:val="20"/>
          <w:szCs w:val="20"/>
          <w:highlight w:val="yellow"/>
          <w:lang w:val="en-US"/>
        </w:rPr>
        <w:t>Key features of the portal will include:</w:t>
      </w:r>
    </w:p>
    <w:p w14:paraId="30BAE951" w14:textId="5FD2E869" w:rsidR="46664456" w:rsidRPr="00857B81" w:rsidRDefault="46664456" w:rsidP="00857B81">
      <w:pPr>
        <w:pStyle w:val="Paragraphedeliste"/>
        <w:numPr>
          <w:ilvl w:val="0"/>
          <w:numId w:val="52"/>
        </w:numPr>
        <w:spacing w:after="0"/>
        <w:jc w:val="both"/>
        <w:rPr>
          <w:sz w:val="20"/>
          <w:szCs w:val="20"/>
          <w:highlight w:val="yellow"/>
          <w:lang w:val="en-US"/>
        </w:rPr>
      </w:pPr>
      <w:r w:rsidRPr="00857B81">
        <w:rPr>
          <w:sz w:val="20"/>
          <w:szCs w:val="20"/>
          <w:highlight w:val="yellow"/>
          <w:lang w:val="en-US"/>
        </w:rPr>
        <w:t xml:space="preserve">A user-friendly interface designed with inclusivity in mind, ensuring accessibility for women entrepreneurs, youth-led enterprises, and other underrepresented groups, with content and functionalities tailored to their specific </w:t>
      </w:r>
      <w:proofErr w:type="gramStart"/>
      <w:r w:rsidRPr="00857B81">
        <w:rPr>
          <w:sz w:val="20"/>
          <w:szCs w:val="20"/>
          <w:highlight w:val="yellow"/>
          <w:lang w:val="en-US"/>
        </w:rPr>
        <w:t>needs;</w:t>
      </w:r>
      <w:proofErr w:type="gramEnd"/>
    </w:p>
    <w:p w14:paraId="4D309C3B" w14:textId="0949577D" w:rsidR="46664456" w:rsidRPr="00857B81" w:rsidRDefault="46664456" w:rsidP="00857B81">
      <w:pPr>
        <w:pStyle w:val="Paragraphedeliste"/>
        <w:numPr>
          <w:ilvl w:val="0"/>
          <w:numId w:val="52"/>
        </w:numPr>
        <w:spacing w:after="0"/>
        <w:jc w:val="both"/>
        <w:rPr>
          <w:sz w:val="20"/>
          <w:szCs w:val="20"/>
          <w:highlight w:val="yellow"/>
          <w:lang w:val="en-US"/>
        </w:rPr>
      </w:pPr>
      <w:r w:rsidRPr="00857B81">
        <w:rPr>
          <w:sz w:val="20"/>
          <w:szCs w:val="20"/>
          <w:highlight w:val="yellow"/>
          <w:lang w:val="en-US"/>
        </w:rPr>
        <w:t xml:space="preserve">A public dashboard to promote transparency and accountability, tracking private sector participation, progress of funded initiatives, and socio-economic and environmental </w:t>
      </w:r>
      <w:proofErr w:type="gramStart"/>
      <w:r w:rsidRPr="00857B81">
        <w:rPr>
          <w:sz w:val="20"/>
          <w:szCs w:val="20"/>
          <w:highlight w:val="yellow"/>
          <w:lang w:val="en-US"/>
        </w:rPr>
        <w:t>impacts;</w:t>
      </w:r>
      <w:proofErr w:type="gramEnd"/>
    </w:p>
    <w:p w14:paraId="09737128" w14:textId="4FD2D755" w:rsidR="46664456" w:rsidRPr="00857B81" w:rsidRDefault="46664456" w:rsidP="00857B81">
      <w:pPr>
        <w:pStyle w:val="Paragraphedeliste"/>
        <w:numPr>
          <w:ilvl w:val="0"/>
          <w:numId w:val="52"/>
        </w:numPr>
        <w:spacing w:after="0"/>
        <w:jc w:val="both"/>
        <w:rPr>
          <w:sz w:val="20"/>
          <w:szCs w:val="20"/>
          <w:highlight w:val="yellow"/>
          <w:lang w:val="en-US"/>
        </w:rPr>
      </w:pPr>
      <w:r w:rsidRPr="00857B81">
        <w:rPr>
          <w:sz w:val="20"/>
          <w:szCs w:val="20"/>
          <w:highlight w:val="yellow"/>
          <w:lang w:val="en-US"/>
        </w:rPr>
        <w:t>Integration with the city’s broader urban and climate investment ecosystem, including financing mechanisms developed under Activity 1.2.1.1 and project pipelines from the PAAEDC-BKO (Activity 1.2.1.2).</w:t>
      </w:r>
    </w:p>
    <w:p w14:paraId="7E478FE6" w14:textId="01AEE2F2" w:rsidR="46664456" w:rsidRPr="00857B81" w:rsidRDefault="46664456" w:rsidP="0764FF73">
      <w:pPr>
        <w:spacing w:after="0"/>
        <w:jc w:val="both"/>
        <w:rPr>
          <w:sz w:val="20"/>
          <w:szCs w:val="20"/>
          <w:highlight w:val="yellow"/>
          <w:lang w:val="en-US"/>
        </w:rPr>
      </w:pPr>
      <w:r w:rsidRPr="00857B81">
        <w:rPr>
          <w:sz w:val="20"/>
          <w:szCs w:val="20"/>
          <w:highlight w:val="yellow"/>
          <w:lang w:val="en-US"/>
        </w:rPr>
        <w:t>By fostering transparency, inclusiveness, and ease of access to strategic information, this activity will unlock greater private sector engagement, improve coordination, and contribute to more equitable and results-driven investments in Bamako’s sustainable urban transformation</w:t>
      </w:r>
    </w:p>
    <w:p w14:paraId="1A72D40C" w14:textId="243CE667" w:rsidR="0764FF73" w:rsidRPr="00857B81" w:rsidRDefault="0764FF73" w:rsidP="0764FF73">
      <w:pPr>
        <w:rPr>
          <w:color w:val="000000" w:themeColor="text1"/>
          <w:sz w:val="20"/>
          <w:szCs w:val="20"/>
          <w:highlight w:val="yellow"/>
          <w:lang w:val="en-US"/>
        </w:rPr>
      </w:pPr>
    </w:p>
    <w:p w14:paraId="65E82092" w14:textId="1778C2FB" w:rsidR="004F7DB3" w:rsidRPr="00857B81" w:rsidRDefault="3967F488" w:rsidP="0764FF73">
      <w:pPr>
        <w:rPr>
          <w:i/>
          <w:iCs/>
          <w:color w:val="000000" w:themeColor="text1"/>
          <w:sz w:val="20"/>
          <w:szCs w:val="20"/>
          <w:highlight w:val="yellow"/>
          <w:u w:val="single"/>
          <w:lang w:val="en-US"/>
        </w:rPr>
      </w:pPr>
      <w:r w:rsidRPr="00857B81">
        <w:rPr>
          <w:i/>
          <w:iCs/>
          <w:color w:val="000000" w:themeColor="text1"/>
          <w:sz w:val="20"/>
          <w:szCs w:val="20"/>
          <w:highlight w:val="yellow"/>
          <w:u w:val="single"/>
          <w:lang w:val="en-US"/>
        </w:rPr>
        <w:t>Activity 1.2.1.</w:t>
      </w:r>
      <w:r w:rsidR="48E7456C" w:rsidRPr="00857B81">
        <w:rPr>
          <w:i/>
          <w:iCs/>
          <w:color w:val="000000" w:themeColor="text1"/>
          <w:sz w:val="20"/>
          <w:szCs w:val="20"/>
          <w:highlight w:val="yellow"/>
          <w:u w:val="single"/>
          <w:lang w:val="en-US"/>
        </w:rPr>
        <w:t>4</w:t>
      </w:r>
      <w:r w:rsidRPr="00857B81">
        <w:rPr>
          <w:i/>
          <w:iCs/>
          <w:color w:val="000000" w:themeColor="text1"/>
          <w:sz w:val="20"/>
          <w:szCs w:val="20"/>
          <w:highlight w:val="yellow"/>
          <w:u w:val="single"/>
          <w:lang w:val="en-US"/>
        </w:rPr>
        <w:t xml:space="preserve"> – Organization of a Regional/International Conference on Financing Sustainable Urban Development</w:t>
      </w:r>
    </w:p>
    <w:p w14:paraId="1D736DAF" w14:textId="5A5BEC00" w:rsidR="7BDBDD15" w:rsidRPr="00857B81" w:rsidRDefault="7BDBDD15" w:rsidP="00857B81">
      <w:pPr>
        <w:spacing w:after="0"/>
        <w:jc w:val="both"/>
        <w:rPr>
          <w:sz w:val="20"/>
          <w:szCs w:val="20"/>
          <w:highlight w:val="yellow"/>
          <w:lang w:val="en-US"/>
        </w:rPr>
      </w:pPr>
      <w:r w:rsidRPr="00857B81">
        <w:rPr>
          <w:sz w:val="20"/>
          <w:szCs w:val="20"/>
          <w:highlight w:val="yellow"/>
          <w:lang w:val="en-US"/>
        </w:rPr>
        <w:t>In a context where cities are increasingly expected to lead the transition toward inclusive, low-carbon, and climate-resilient development, access to innovative and diversified financing mechanisms remains a key challenge—especially in rapidly urbanizing regions like West Africa. To address this gap and catalyze partnerships, this activity will support the organization of a high-level regional/international conference on financing sustainable urban development, hosted in Bamako.</w:t>
      </w:r>
    </w:p>
    <w:p w14:paraId="5FC65C73" w14:textId="1FDDB5F4" w:rsidR="7BDBDD15" w:rsidRPr="00857B81" w:rsidRDefault="7BDBDD15" w:rsidP="00857B81">
      <w:pPr>
        <w:spacing w:after="0"/>
        <w:jc w:val="both"/>
        <w:rPr>
          <w:sz w:val="20"/>
          <w:szCs w:val="20"/>
          <w:highlight w:val="yellow"/>
          <w:lang w:val="en-US"/>
        </w:rPr>
      </w:pPr>
      <w:r w:rsidRPr="00857B81">
        <w:rPr>
          <w:sz w:val="20"/>
          <w:szCs w:val="20"/>
          <w:highlight w:val="yellow"/>
          <w:lang w:val="en-US"/>
        </w:rPr>
        <w:t>The event will position Bamako as a regional hub for sustainable urban finance and innovation, offering a platform for dialogue, knowledge exchange, and concrete deal-making between governments, development partners, private sector actors, academic institutions, and city networks.</w:t>
      </w:r>
    </w:p>
    <w:p w14:paraId="4ED97CF2" w14:textId="2E571B45" w:rsidR="7BDBDD15" w:rsidRPr="00857B81" w:rsidRDefault="7BDBDD15" w:rsidP="00857B81">
      <w:pPr>
        <w:spacing w:after="0"/>
        <w:jc w:val="both"/>
        <w:rPr>
          <w:sz w:val="20"/>
          <w:szCs w:val="20"/>
          <w:highlight w:val="yellow"/>
          <w:lang w:val="en-US"/>
        </w:rPr>
      </w:pPr>
      <w:r w:rsidRPr="00857B81">
        <w:rPr>
          <w:sz w:val="20"/>
          <w:szCs w:val="20"/>
          <w:highlight w:val="yellow"/>
          <w:lang w:val="en-US"/>
        </w:rPr>
        <w:t>Key components of the conference will include:</w:t>
      </w:r>
    </w:p>
    <w:p w14:paraId="464B2EFF" w14:textId="1DB52B00" w:rsidR="7BDBDD15" w:rsidRPr="00857B81" w:rsidRDefault="7BDBDD15" w:rsidP="00857B81">
      <w:pPr>
        <w:pStyle w:val="Paragraphedeliste"/>
        <w:numPr>
          <w:ilvl w:val="0"/>
          <w:numId w:val="51"/>
        </w:numPr>
        <w:spacing w:after="0"/>
        <w:jc w:val="both"/>
        <w:rPr>
          <w:sz w:val="20"/>
          <w:szCs w:val="20"/>
          <w:highlight w:val="yellow"/>
          <w:lang w:val="en-US"/>
        </w:rPr>
      </w:pPr>
      <w:r w:rsidRPr="00857B81">
        <w:rPr>
          <w:b/>
          <w:bCs/>
          <w:sz w:val="20"/>
          <w:szCs w:val="20"/>
          <w:highlight w:val="yellow"/>
          <w:lang w:val="en-US"/>
        </w:rPr>
        <w:t>High-level panels</w:t>
      </w:r>
      <w:r w:rsidRPr="00857B81">
        <w:rPr>
          <w:sz w:val="20"/>
          <w:szCs w:val="20"/>
          <w:highlight w:val="yellow"/>
          <w:lang w:val="en-US"/>
        </w:rPr>
        <w:t xml:space="preserve"> and </w:t>
      </w:r>
      <w:r w:rsidRPr="00857B81">
        <w:rPr>
          <w:b/>
          <w:bCs/>
          <w:sz w:val="20"/>
          <w:szCs w:val="20"/>
          <w:highlight w:val="yellow"/>
          <w:lang w:val="en-US"/>
        </w:rPr>
        <w:t>interactive thematic workshops</w:t>
      </w:r>
      <w:r w:rsidRPr="00857B81">
        <w:rPr>
          <w:sz w:val="20"/>
          <w:szCs w:val="20"/>
          <w:highlight w:val="yellow"/>
          <w:lang w:val="en-US"/>
        </w:rPr>
        <w:t xml:space="preserve">, covering topics such as, inclusive urban development, climate finance, green infrastructure, public-private partnerships, circular economy, and gender-responsive financing </w:t>
      </w:r>
      <w:proofErr w:type="gramStart"/>
      <w:r w:rsidRPr="00857B81">
        <w:rPr>
          <w:sz w:val="20"/>
          <w:szCs w:val="20"/>
          <w:highlight w:val="yellow"/>
          <w:lang w:val="en-US"/>
        </w:rPr>
        <w:t>models;</w:t>
      </w:r>
      <w:proofErr w:type="gramEnd"/>
    </w:p>
    <w:p w14:paraId="23E33BBC" w14:textId="5AEDD65F" w:rsidR="7BDBDD15" w:rsidRPr="00857B81" w:rsidRDefault="7BDBDD15" w:rsidP="00857B81">
      <w:pPr>
        <w:pStyle w:val="Paragraphedeliste"/>
        <w:numPr>
          <w:ilvl w:val="0"/>
          <w:numId w:val="51"/>
        </w:numPr>
        <w:spacing w:after="0"/>
        <w:jc w:val="both"/>
        <w:rPr>
          <w:sz w:val="20"/>
          <w:szCs w:val="20"/>
          <w:highlight w:val="yellow"/>
          <w:lang w:val="en-US"/>
        </w:rPr>
      </w:pPr>
      <w:r w:rsidRPr="00857B81">
        <w:rPr>
          <w:sz w:val="20"/>
          <w:szCs w:val="20"/>
          <w:highlight w:val="yellow"/>
          <w:lang w:val="en-US"/>
        </w:rPr>
        <w:lastRenderedPageBreak/>
        <w:t xml:space="preserve">A </w:t>
      </w:r>
      <w:r w:rsidRPr="00857B81">
        <w:rPr>
          <w:b/>
          <w:bCs/>
          <w:sz w:val="20"/>
          <w:szCs w:val="20"/>
          <w:highlight w:val="yellow"/>
          <w:lang w:val="en-US"/>
        </w:rPr>
        <w:t>business and investment forum</w:t>
      </w:r>
      <w:r w:rsidRPr="00857B81">
        <w:rPr>
          <w:sz w:val="20"/>
          <w:szCs w:val="20"/>
          <w:highlight w:val="yellow"/>
          <w:lang w:val="en-US"/>
        </w:rPr>
        <w:t xml:space="preserve">, enabling entrepreneurs, startups, and SMEs to connect with financiers, investors, and </w:t>
      </w:r>
      <w:proofErr w:type="gramStart"/>
      <w:r w:rsidRPr="00857B81">
        <w:rPr>
          <w:sz w:val="20"/>
          <w:szCs w:val="20"/>
          <w:highlight w:val="yellow"/>
          <w:lang w:val="en-US"/>
        </w:rPr>
        <w:t>incubators;</w:t>
      </w:r>
      <w:proofErr w:type="gramEnd"/>
    </w:p>
    <w:p w14:paraId="03D69490" w14:textId="3B4CA730" w:rsidR="7BDBDD15" w:rsidRPr="00857B81" w:rsidRDefault="7BDBDD15" w:rsidP="00857B81">
      <w:pPr>
        <w:pStyle w:val="Paragraphedeliste"/>
        <w:numPr>
          <w:ilvl w:val="0"/>
          <w:numId w:val="51"/>
        </w:numPr>
        <w:spacing w:after="0"/>
        <w:jc w:val="both"/>
        <w:rPr>
          <w:sz w:val="20"/>
          <w:szCs w:val="20"/>
          <w:highlight w:val="yellow"/>
          <w:lang w:val="en-US"/>
        </w:rPr>
      </w:pPr>
      <w:r w:rsidRPr="00857B81">
        <w:rPr>
          <w:sz w:val="20"/>
          <w:szCs w:val="20"/>
          <w:highlight w:val="yellow"/>
          <w:lang w:val="en-US"/>
        </w:rPr>
        <w:t xml:space="preserve">An </w:t>
      </w:r>
      <w:r w:rsidRPr="00857B81">
        <w:rPr>
          <w:b/>
          <w:bCs/>
          <w:sz w:val="20"/>
          <w:szCs w:val="20"/>
          <w:highlight w:val="yellow"/>
          <w:lang w:val="en-US"/>
        </w:rPr>
        <w:t>exhibition space</w:t>
      </w:r>
      <w:r w:rsidRPr="00857B81">
        <w:rPr>
          <w:sz w:val="20"/>
          <w:szCs w:val="20"/>
          <w:highlight w:val="yellow"/>
          <w:lang w:val="en-US"/>
        </w:rPr>
        <w:t xml:space="preserve"> to showcase innovative urban solutions, technologies, and pilot initiatives from Bamako and </w:t>
      </w:r>
      <w:proofErr w:type="gramStart"/>
      <w:r w:rsidRPr="00857B81">
        <w:rPr>
          <w:sz w:val="20"/>
          <w:szCs w:val="20"/>
          <w:highlight w:val="yellow"/>
          <w:lang w:val="en-US"/>
        </w:rPr>
        <w:t>beyond;</w:t>
      </w:r>
      <w:proofErr w:type="gramEnd"/>
    </w:p>
    <w:p w14:paraId="2F50043D" w14:textId="314AE079" w:rsidR="7BDBDD15" w:rsidRPr="00857B81" w:rsidRDefault="7BDBDD15" w:rsidP="00857B81">
      <w:pPr>
        <w:pStyle w:val="Paragraphedeliste"/>
        <w:numPr>
          <w:ilvl w:val="0"/>
          <w:numId w:val="51"/>
        </w:numPr>
        <w:spacing w:after="0"/>
        <w:jc w:val="both"/>
        <w:rPr>
          <w:sz w:val="20"/>
          <w:szCs w:val="20"/>
          <w:highlight w:val="yellow"/>
          <w:lang w:val="en-US"/>
        </w:rPr>
      </w:pPr>
      <w:r w:rsidRPr="00857B81">
        <w:rPr>
          <w:b/>
          <w:bCs/>
          <w:sz w:val="20"/>
          <w:szCs w:val="20"/>
          <w:highlight w:val="yellow"/>
          <w:lang w:val="en-US"/>
        </w:rPr>
        <w:t>Targeted outreach</w:t>
      </w:r>
      <w:r w:rsidRPr="00857B81">
        <w:rPr>
          <w:sz w:val="20"/>
          <w:szCs w:val="20"/>
          <w:highlight w:val="yellow"/>
          <w:lang w:val="en-US"/>
        </w:rPr>
        <w:t xml:space="preserve"> to ensure meaningful participation of women, youth, and underrepresented groups, both as speakers and attendees, reinforcing the inclusive nature of sustainable urban development.</w:t>
      </w:r>
    </w:p>
    <w:p w14:paraId="4AB5E5D6" w14:textId="00A12FC9" w:rsidR="7BDBDD15" w:rsidRDefault="7BDBDD15" w:rsidP="0764FF73">
      <w:pPr>
        <w:spacing w:after="0"/>
        <w:jc w:val="both"/>
        <w:rPr>
          <w:sz w:val="20"/>
          <w:szCs w:val="20"/>
          <w:highlight w:val="yellow"/>
          <w:lang w:val="en-US"/>
        </w:rPr>
      </w:pPr>
      <w:r w:rsidRPr="00857B81">
        <w:rPr>
          <w:sz w:val="20"/>
          <w:szCs w:val="20"/>
          <w:highlight w:val="yellow"/>
          <w:lang w:val="en-US"/>
        </w:rPr>
        <w:t xml:space="preserve">The conference will directly support the objectives of </w:t>
      </w:r>
      <w:r w:rsidRPr="00857B81">
        <w:rPr>
          <w:b/>
          <w:bCs/>
          <w:sz w:val="20"/>
          <w:szCs w:val="20"/>
          <w:highlight w:val="yellow"/>
          <w:lang w:val="en-US"/>
        </w:rPr>
        <w:t>Activity 1.2.1.1</w:t>
      </w:r>
      <w:r w:rsidRPr="00857B81">
        <w:rPr>
          <w:sz w:val="20"/>
          <w:szCs w:val="20"/>
          <w:highlight w:val="yellow"/>
          <w:lang w:val="en-US"/>
        </w:rPr>
        <w:t xml:space="preserve"> (innovative financing mechanism) and </w:t>
      </w:r>
      <w:r w:rsidRPr="00857B81">
        <w:rPr>
          <w:b/>
          <w:bCs/>
          <w:sz w:val="20"/>
          <w:szCs w:val="20"/>
          <w:highlight w:val="yellow"/>
          <w:lang w:val="en-US"/>
        </w:rPr>
        <w:t>Activity 1.2.1.3</w:t>
      </w:r>
      <w:r w:rsidRPr="00857B81">
        <w:rPr>
          <w:sz w:val="20"/>
          <w:szCs w:val="20"/>
          <w:highlight w:val="yellow"/>
          <w:lang w:val="en-US"/>
        </w:rPr>
        <w:t xml:space="preserve"> (private sector engagement), by raising visibility, attracting new partnerships, and building momentum around the IUDP’s investment pipeline. It will also serve as a catalyst for positioning Bamako in international city networks and South-South collaboration platforms.</w:t>
      </w:r>
    </w:p>
    <w:p w14:paraId="6895208A" w14:textId="77777777" w:rsidR="00432AB0" w:rsidRPr="00857B81" w:rsidRDefault="00432AB0" w:rsidP="0764FF73">
      <w:pPr>
        <w:spacing w:after="0"/>
        <w:jc w:val="both"/>
        <w:rPr>
          <w:sz w:val="20"/>
          <w:szCs w:val="20"/>
          <w:highlight w:val="yellow"/>
          <w:lang w:val="en-US"/>
        </w:rPr>
      </w:pPr>
    </w:p>
    <w:p w14:paraId="3869BCDC" w14:textId="7711D7F1" w:rsidR="004F7DB3" w:rsidRPr="000D7995" w:rsidRDefault="02352F6B" w:rsidP="000D7995">
      <w:pPr>
        <w:shd w:val="clear" w:color="auto" w:fill="C1E4F5" w:themeFill="accent1" w:themeFillTint="33"/>
        <w:rPr>
          <w:b/>
          <w:bCs/>
          <w:color w:val="000000" w:themeColor="text1"/>
          <w:sz w:val="20"/>
          <w:szCs w:val="20"/>
          <w:lang w:val="en-US"/>
        </w:rPr>
      </w:pPr>
      <w:r w:rsidRPr="000D7995">
        <w:rPr>
          <w:b/>
          <w:bCs/>
          <w:color w:val="000000" w:themeColor="text1"/>
          <w:sz w:val="20"/>
          <w:szCs w:val="20"/>
          <w:lang w:val="en-US"/>
        </w:rPr>
        <w:t>Component 2: Decarbonization of transport sector</w:t>
      </w:r>
    </w:p>
    <w:p w14:paraId="09EFCD16" w14:textId="483DCEC7" w:rsidR="004F7DB3" w:rsidRPr="007F4912" w:rsidRDefault="02352F6B" w:rsidP="003974F4">
      <w:pPr>
        <w:rPr>
          <w:color w:val="000000" w:themeColor="text1"/>
          <w:sz w:val="20"/>
          <w:szCs w:val="20"/>
          <w:lang w:val="en-US"/>
        </w:rPr>
      </w:pPr>
      <w:r w:rsidRPr="007F4912">
        <w:rPr>
          <w:color w:val="000000" w:themeColor="text1"/>
          <w:sz w:val="20"/>
          <w:szCs w:val="20"/>
          <w:lang w:val="en-US"/>
        </w:rPr>
        <w:t>Component 2 focuses on advancing Bamako’s transition to a sustainable, low-carbon, and inclusive urban transport system. Recognizing the critical role of urban mobility in shaping economic development, social equity, and environmental sustainability, this component aims to create a robust enabling environment that promotes innovative partnerships, green investments, and improved access to transport services—especially for the most vulnerable populations, including women and youth. Through a comprehensive and integrated approach, Component 2 addresses the multiple dimensions of sustainable transport, including capacity building, infrastructure development, governance reform, pollution control, and financing mechanisms. The interventions are designed to support the operationalization of Bamako’s Sustainable Urban Mobility Plan, aligned with the broader Urban Master Plan and ongoing resilience initiatives.</w:t>
      </w:r>
    </w:p>
    <w:p w14:paraId="2B7F47C8" w14:textId="285B91B7" w:rsidR="004F7DB3" w:rsidRPr="007F4912" w:rsidRDefault="02352F6B" w:rsidP="003974F4">
      <w:pPr>
        <w:rPr>
          <w:color w:val="000000" w:themeColor="text1"/>
          <w:sz w:val="20"/>
          <w:szCs w:val="20"/>
          <w:lang w:val="en-US"/>
        </w:rPr>
      </w:pPr>
      <w:r w:rsidRPr="007F4912">
        <w:rPr>
          <w:color w:val="000000" w:themeColor="text1"/>
          <w:sz w:val="20"/>
          <w:szCs w:val="20"/>
          <w:lang w:val="en-US"/>
        </w:rPr>
        <w:t>Key strategic priorities under this component include:</w:t>
      </w:r>
    </w:p>
    <w:p w14:paraId="18F3884C" w14:textId="5E5E4BF1" w:rsidR="004F7DB3" w:rsidRPr="000D7995" w:rsidRDefault="02352F6B" w:rsidP="001360BB">
      <w:pPr>
        <w:pStyle w:val="Paragraphedeliste"/>
        <w:numPr>
          <w:ilvl w:val="0"/>
          <w:numId w:val="238"/>
        </w:numPr>
        <w:rPr>
          <w:color w:val="000000" w:themeColor="text1"/>
          <w:sz w:val="20"/>
          <w:szCs w:val="20"/>
          <w:lang w:val="en-US"/>
        </w:rPr>
      </w:pPr>
      <w:r w:rsidRPr="000D7995">
        <w:rPr>
          <w:color w:val="000000" w:themeColor="text1"/>
          <w:sz w:val="20"/>
          <w:szCs w:val="20"/>
          <w:lang w:val="en-US"/>
        </w:rPr>
        <w:t>Strengthening the skills and capacities of public and private actors to facilitate the transition to electric and low-emission mobility, with targeted support for informal transport operators, technical workers, and training institutions.</w:t>
      </w:r>
    </w:p>
    <w:p w14:paraId="310D9528" w14:textId="51DC2779" w:rsidR="004F7DB3" w:rsidRPr="000D7995" w:rsidRDefault="02352F6B" w:rsidP="001360BB">
      <w:pPr>
        <w:pStyle w:val="Paragraphedeliste"/>
        <w:numPr>
          <w:ilvl w:val="0"/>
          <w:numId w:val="238"/>
        </w:numPr>
        <w:rPr>
          <w:color w:val="000000" w:themeColor="text1"/>
          <w:sz w:val="20"/>
          <w:szCs w:val="20"/>
          <w:lang w:val="en-US"/>
        </w:rPr>
      </w:pPr>
      <w:r w:rsidRPr="000D7995">
        <w:rPr>
          <w:color w:val="000000" w:themeColor="text1"/>
          <w:sz w:val="20"/>
          <w:szCs w:val="20"/>
          <w:lang w:val="en-US"/>
        </w:rPr>
        <w:t>Promoting the renewal and modernization of the public transport fleet with electric and hybrid vehicles, supported by technical studies, vehicle acquisition specifications, and innovative financing solutions.</w:t>
      </w:r>
    </w:p>
    <w:p w14:paraId="21EEE650" w14:textId="42082D66" w:rsidR="004F7DB3" w:rsidRPr="000D7995" w:rsidRDefault="02352F6B" w:rsidP="001360BB">
      <w:pPr>
        <w:pStyle w:val="Paragraphedeliste"/>
        <w:numPr>
          <w:ilvl w:val="0"/>
          <w:numId w:val="238"/>
        </w:numPr>
        <w:rPr>
          <w:color w:val="000000" w:themeColor="text1"/>
          <w:sz w:val="20"/>
          <w:szCs w:val="20"/>
          <w:lang w:val="en-US"/>
        </w:rPr>
      </w:pPr>
      <w:r w:rsidRPr="000D7995">
        <w:rPr>
          <w:color w:val="000000" w:themeColor="text1"/>
          <w:sz w:val="20"/>
          <w:szCs w:val="20"/>
          <w:lang w:val="en-US"/>
        </w:rPr>
        <w:t>Developing essential electric vehicle (EV) infrastructure, notably through the installation of charging station prototypes across Bamako, leveraging local enterprises to create jobs and foster a sustainable EV ecosystem.</w:t>
      </w:r>
    </w:p>
    <w:p w14:paraId="1D88378F" w14:textId="7CBCCC8D" w:rsidR="004F7DB3" w:rsidRPr="000D7995" w:rsidRDefault="02352F6B" w:rsidP="001360BB">
      <w:pPr>
        <w:pStyle w:val="Paragraphedeliste"/>
        <w:numPr>
          <w:ilvl w:val="0"/>
          <w:numId w:val="238"/>
        </w:numPr>
        <w:rPr>
          <w:color w:val="000000" w:themeColor="text1"/>
          <w:sz w:val="20"/>
          <w:szCs w:val="20"/>
          <w:lang w:val="en-US"/>
        </w:rPr>
      </w:pPr>
      <w:r w:rsidRPr="000D7995">
        <w:rPr>
          <w:color w:val="000000" w:themeColor="text1"/>
          <w:sz w:val="20"/>
          <w:szCs w:val="20"/>
          <w:lang w:val="en-US"/>
        </w:rPr>
        <w:t>Enhancing institutional governance frameworks by modernizing legal and regulatory systems, establishing dedicated transport authorities, and promoting multi-stakeholder coordination for effective sector management.</w:t>
      </w:r>
    </w:p>
    <w:p w14:paraId="510A5A7B" w14:textId="057BFBD9" w:rsidR="004F7DB3" w:rsidRPr="000D7995" w:rsidRDefault="02352F6B" w:rsidP="001360BB">
      <w:pPr>
        <w:pStyle w:val="Paragraphedeliste"/>
        <w:numPr>
          <w:ilvl w:val="0"/>
          <w:numId w:val="238"/>
        </w:numPr>
        <w:rPr>
          <w:color w:val="000000" w:themeColor="text1"/>
          <w:sz w:val="20"/>
          <w:szCs w:val="20"/>
          <w:lang w:val="en-US"/>
        </w:rPr>
      </w:pPr>
      <w:r w:rsidRPr="000D7995">
        <w:rPr>
          <w:color w:val="000000" w:themeColor="text1"/>
          <w:sz w:val="20"/>
          <w:szCs w:val="20"/>
          <w:lang w:val="en-US"/>
        </w:rPr>
        <w:t>Introducing green fiscal and monitoring mechanisms, alongside organizing informal transport operators into formalized groups to improve operational efficiency and facilitate access to finance.</w:t>
      </w:r>
    </w:p>
    <w:p w14:paraId="346A4E28" w14:textId="614A7610" w:rsidR="004F7DB3" w:rsidRPr="000D7995" w:rsidRDefault="02352F6B" w:rsidP="001360BB">
      <w:pPr>
        <w:pStyle w:val="Paragraphedeliste"/>
        <w:numPr>
          <w:ilvl w:val="0"/>
          <w:numId w:val="238"/>
        </w:numPr>
        <w:rPr>
          <w:color w:val="000000" w:themeColor="text1"/>
          <w:sz w:val="20"/>
          <w:szCs w:val="20"/>
          <w:lang w:val="en-US"/>
        </w:rPr>
      </w:pPr>
      <w:r w:rsidRPr="000D7995">
        <w:rPr>
          <w:color w:val="000000" w:themeColor="text1"/>
          <w:sz w:val="20"/>
          <w:szCs w:val="20"/>
          <w:lang w:val="en-US"/>
        </w:rPr>
        <w:t>Strengthening environmental management capacities, particularly by improving fuel quality controls and establishing an urban air quality monitoring system to reduce transport-related pollution and greenhouse gas emissions.</w:t>
      </w:r>
    </w:p>
    <w:p w14:paraId="70626DB3" w14:textId="2148EC0B" w:rsidR="004F7DB3" w:rsidRPr="007F4912" w:rsidRDefault="02352F6B" w:rsidP="003974F4">
      <w:pPr>
        <w:rPr>
          <w:color w:val="000000" w:themeColor="text1"/>
          <w:sz w:val="20"/>
          <w:szCs w:val="20"/>
          <w:lang w:val="en-US"/>
        </w:rPr>
      </w:pPr>
      <w:r w:rsidRPr="007F4912">
        <w:rPr>
          <w:color w:val="000000" w:themeColor="text1"/>
          <w:sz w:val="20"/>
          <w:szCs w:val="20"/>
          <w:lang w:val="en-US"/>
        </w:rPr>
        <w:t>By fostering public-private partnerships, encouraging innovation, and integrating social inclusion and climate resilience into urban transport planning, Component 2 lays the foundation for Bamako to emerge as a model of clean, efficient, and equitable urban mobility in the region.</w:t>
      </w:r>
    </w:p>
    <w:p w14:paraId="14FA27D1" w14:textId="5EB378CA" w:rsidR="004F7DB3" w:rsidRPr="007F4912" w:rsidRDefault="02352F6B" w:rsidP="003974F4">
      <w:pPr>
        <w:rPr>
          <w:color w:val="000000" w:themeColor="text1"/>
          <w:sz w:val="20"/>
          <w:szCs w:val="20"/>
          <w:lang w:val="en-US"/>
        </w:rPr>
      </w:pPr>
      <w:r w:rsidRPr="000D7995">
        <w:rPr>
          <w:b/>
          <w:bCs/>
          <w:color w:val="000000" w:themeColor="text1"/>
          <w:sz w:val="20"/>
          <w:szCs w:val="20"/>
          <w:lang w:val="en-US"/>
        </w:rPr>
        <w:t>Outcome 2.1 An enabling environment for innovative partnerships and low-carbon investment in sustainable transport is established, thereby improving access to services, particularly for the most vulnerable</w:t>
      </w:r>
      <w:r w:rsidRPr="007F4912">
        <w:rPr>
          <w:color w:val="000000" w:themeColor="text1"/>
          <w:sz w:val="20"/>
          <w:szCs w:val="20"/>
          <w:lang w:val="en-US"/>
        </w:rPr>
        <w:t>. </w:t>
      </w:r>
    </w:p>
    <w:p w14:paraId="131AD34B" w14:textId="77777777" w:rsidR="00AD3A7E" w:rsidRPr="007F4912" w:rsidRDefault="00AD3A7E" w:rsidP="003974F4">
      <w:pPr>
        <w:rPr>
          <w:color w:val="000000" w:themeColor="text1"/>
          <w:sz w:val="20"/>
          <w:szCs w:val="20"/>
          <w:lang w:val="en-US"/>
        </w:rPr>
      </w:pPr>
      <w:r w:rsidRPr="007F4912">
        <w:rPr>
          <w:color w:val="000000" w:themeColor="text1"/>
          <w:sz w:val="20"/>
          <w:szCs w:val="20"/>
          <w:lang w:val="en-US"/>
        </w:rPr>
        <w:t>Outcome 2.1 aims to establish a comprehensive enabling environment that fosters innovative partnerships and mobilizes low-carbon investments in sustainable urban transport for Bamako. By strengthening governance, building technical capacities, and advancing infrastructure and environmental monitoring, this outcome will drive the city’s transition toward a more inclusive, resilient, and climate-smart mobility system.</w:t>
      </w:r>
    </w:p>
    <w:p w14:paraId="369E26AE" w14:textId="39E19E4C" w:rsidR="004F7DB3" w:rsidRPr="007F4912" w:rsidRDefault="00AD3A7E" w:rsidP="000D7995">
      <w:pPr>
        <w:jc w:val="both"/>
        <w:rPr>
          <w:color w:val="000000" w:themeColor="text1"/>
          <w:sz w:val="20"/>
          <w:szCs w:val="20"/>
          <w:lang w:val="en-US"/>
        </w:rPr>
      </w:pPr>
      <w:r w:rsidRPr="0764FF73">
        <w:rPr>
          <w:color w:val="000000" w:themeColor="text1"/>
          <w:sz w:val="20"/>
          <w:szCs w:val="20"/>
          <w:lang w:val="en-US"/>
        </w:rPr>
        <w:lastRenderedPageBreak/>
        <w:t>Through targeted capacity-building initiatives, Output 2.1.1 empowers transport operators, institutions, and technical professionals to adopt electric mobility and sustainable practices, while promoting gender inclusion and private sector engagement. Complementing this, Output 2.1.2 delivers critical feasibility studies and infrastructure prototypes—such as Bus Rapid Transit systems, river transport options, and electric vehicle charging stations—that underpin strategic investment decisions and service expansion.</w:t>
      </w:r>
      <w:r w:rsidR="000D7995" w:rsidRPr="0764FF73">
        <w:rPr>
          <w:color w:val="000000" w:themeColor="text1"/>
          <w:sz w:val="20"/>
          <w:szCs w:val="20"/>
          <w:lang w:val="en-US"/>
        </w:rPr>
        <w:t xml:space="preserve"> </w:t>
      </w:r>
      <w:r w:rsidRPr="0764FF73">
        <w:rPr>
          <w:color w:val="000000" w:themeColor="text1"/>
          <w:sz w:val="20"/>
          <w:szCs w:val="20"/>
          <w:lang w:val="en-US"/>
        </w:rPr>
        <w:t xml:space="preserve">To ensure effective coordination and oversight, Output 2.1.3 strengthens institutional governance frameworks, introducing modern regulatory bodies, innovative financing mechanisms, and participatory structures that enable responsive and transparent management of the urban transport sector. Finally, Output 2.1.4 enhances environmental </w:t>
      </w:r>
      <w:r w:rsidRPr="0764FF73">
        <w:rPr>
          <w:i/>
          <w:iCs/>
          <w:color w:val="000000" w:themeColor="text1"/>
          <w:sz w:val="20"/>
          <w:szCs w:val="20"/>
          <w:lang w:val="en-US"/>
        </w:rPr>
        <w:t>stewardship by improving pollution control capabilities and establishing an urban air quality monitoring system</w:t>
      </w:r>
      <w:r w:rsidRPr="0764FF73">
        <w:rPr>
          <w:color w:val="000000" w:themeColor="text1"/>
          <w:sz w:val="20"/>
          <w:szCs w:val="20"/>
          <w:lang w:val="en-US"/>
        </w:rPr>
        <w:t xml:space="preserve"> to support evidence-based policies and healthier urban living.</w:t>
      </w:r>
      <w:r w:rsidR="000D7995" w:rsidRPr="0764FF73">
        <w:rPr>
          <w:color w:val="000000" w:themeColor="text1"/>
          <w:sz w:val="20"/>
          <w:szCs w:val="20"/>
          <w:lang w:val="en-US"/>
        </w:rPr>
        <w:t xml:space="preserve"> </w:t>
      </w:r>
      <w:r w:rsidRPr="0764FF73">
        <w:rPr>
          <w:color w:val="000000" w:themeColor="text1"/>
          <w:sz w:val="20"/>
          <w:szCs w:val="20"/>
          <w:lang w:val="en-US"/>
        </w:rPr>
        <w:t>Together, these four outputs create a synergistic foundation for sustainable transport development that improves accessibility, particularly for vulnerable groups, reduces environmental impacts, and positions Bamako as a leader in low-carbon urban mobility innovation.</w:t>
      </w:r>
    </w:p>
    <w:p w14:paraId="75EF544E" w14:textId="0ABBBC72" w:rsidR="23BF8D3A" w:rsidRDefault="23BF8D3A" w:rsidP="00857B81">
      <w:pPr>
        <w:spacing w:after="0"/>
        <w:jc w:val="both"/>
        <w:rPr>
          <w:color w:val="000000" w:themeColor="text1"/>
          <w:sz w:val="20"/>
          <w:szCs w:val="20"/>
          <w:lang w:val="en-US"/>
        </w:rPr>
      </w:pPr>
      <w:r w:rsidRPr="00857B81">
        <w:rPr>
          <w:color w:val="000000" w:themeColor="text1"/>
          <w:sz w:val="20"/>
          <w:szCs w:val="20"/>
          <w:highlight w:val="yellow"/>
          <w:lang w:val="en-US"/>
        </w:rPr>
        <w:t>It is noteworthy to mention that sustainable, low-emission mobility is essential to integrated planning because it promotes transportation solutions that respect the environment while meeting community needs. Integrating environmentally friendly modes of transportation, such as public transit, electric vehicles, bicycling, and walking, helps reduce greenhouse gas emissions and improve air quality. Furthermore, it encourages a holistic approach that considers not only transportation infrastructure but also land use, urban development, and public services (component 1, outcome 1.1). The result is more resilient, accessible cities where people can easily get around and enjoy a pleasant environment. In short, sustainable mobility complements integrated planning by ensuring transportation choices support sustainable development objectives while improving citizens' quality of life.</w:t>
      </w:r>
    </w:p>
    <w:p w14:paraId="6E602128" w14:textId="31BE5CC0" w:rsidR="0764FF73" w:rsidRDefault="0764FF73" w:rsidP="0764FF73">
      <w:pPr>
        <w:jc w:val="both"/>
        <w:rPr>
          <w:color w:val="000000" w:themeColor="text1"/>
          <w:sz w:val="20"/>
          <w:szCs w:val="20"/>
          <w:lang w:val="en-US"/>
        </w:rPr>
      </w:pPr>
    </w:p>
    <w:p w14:paraId="49A47AFB" w14:textId="716C6EAF" w:rsidR="004F7DB3" w:rsidRPr="000D7995" w:rsidRDefault="02352F6B" w:rsidP="003974F4">
      <w:pPr>
        <w:rPr>
          <w:b/>
          <w:bCs/>
          <w:color w:val="000000" w:themeColor="text1"/>
          <w:sz w:val="20"/>
          <w:szCs w:val="20"/>
          <w:lang w:val="en-US"/>
        </w:rPr>
      </w:pPr>
      <w:r w:rsidRPr="000D7995">
        <w:rPr>
          <w:b/>
          <w:bCs/>
          <w:color w:val="000000" w:themeColor="text1"/>
          <w:sz w:val="20"/>
          <w:szCs w:val="20"/>
          <w:lang w:val="en-US"/>
        </w:rPr>
        <w:t xml:space="preserve">Output 2.1.1 The capacities of </w:t>
      </w:r>
      <w:r w:rsidR="00020B3F">
        <w:rPr>
          <w:b/>
          <w:bCs/>
          <w:color w:val="000000" w:themeColor="text1"/>
          <w:sz w:val="20"/>
          <w:szCs w:val="20"/>
          <w:lang w:val="en-US"/>
        </w:rPr>
        <w:t>stakeholders</w:t>
      </w:r>
      <w:r w:rsidR="00020B3F" w:rsidRPr="000D7995">
        <w:rPr>
          <w:b/>
          <w:bCs/>
          <w:color w:val="000000" w:themeColor="text1"/>
          <w:sz w:val="20"/>
          <w:szCs w:val="20"/>
          <w:lang w:val="en-US"/>
        </w:rPr>
        <w:t xml:space="preserve"> </w:t>
      </w:r>
      <w:r w:rsidRPr="000D7995">
        <w:rPr>
          <w:b/>
          <w:bCs/>
          <w:color w:val="000000" w:themeColor="text1"/>
          <w:sz w:val="20"/>
          <w:szCs w:val="20"/>
          <w:lang w:val="en-US"/>
        </w:rPr>
        <w:t>involved in the transport sector are strengthened for a transition to a more sustainable and inclusive mobility system </w:t>
      </w:r>
    </w:p>
    <w:p w14:paraId="3A1B4A9E" w14:textId="77777777" w:rsidR="00A87501" w:rsidRPr="007F4912" w:rsidRDefault="00A87501" w:rsidP="003974F4">
      <w:pPr>
        <w:rPr>
          <w:color w:val="000000" w:themeColor="text1"/>
          <w:sz w:val="20"/>
          <w:szCs w:val="20"/>
          <w:lang w:val="en-US"/>
        </w:rPr>
      </w:pPr>
      <w:r w:rsidRPr="007F4912">
        <w:rPr>
          <w:color w:val="000000" w:themeColor="text1"/>
          <w:sz w:val="20"/>
          <w:szCs w:val="20"/>
          <w:lang w:val="en-US"/>
        </w:rPr>
        <w:t>Output 2.1.1 aims to strengthen the capacities of key actors in Bamako’s transport sector to facilitate a transition toward a more sustainable, inclusive, and electrified urban mobility system. Recognizing the pivotal role of both formal and informal transport operators, this output focuses on professionalizing informal sector players, such as SOTRAMA drivers and individual taxi operators, by providing targeted training on electric vehicles (EVs), eco-driving, maintenance, and entrepreneurial skills.</w:t>
      </w:r>
    </w:p>
    <w:p w14:paraId="440A723B" w14:textId="77777777" w:rsidR="00A87501" w:rsidRPr="007F4912" w:rsidRDefault="00A87501" w:rsidP="003974F4">
      <w:pPr>
        <w:rPr>
          <w:color w:val="000000" w:themeColor="text1"/>
          <w:sz w:val="20"/>
          <w:szCs w:val="20"/>
          <w:lang w:val="en-US"/>
        </w:rPr>
      </w:pPr>
      <w:r w:rsidRPr="007F4912">
        <w:rPr>
          <w:color w:val="000000" w:themeColor="text1"/>
          <w:sz w:val="20"/>
          <w:szCs w:val="20"/>
          <w:lang w:val="en-US"/>
        </w:rPr>
        <w:t>Additionally, the output supports intercity bus companies and relevant institutions through technical assistance and knowledge sharing to integrate electric or low-emission vehicles and design inclusive transport services that cater to women and marginalized groups. Efforts also include developing a localized technical ecosystem for EV maintenance and repair by relocating and equipping craftsmen within peripheral professional centers aligned with Bamako’s urban planning strategies.</w:t>
      </w:r>
    </w:p>
    <w:p w14:paraId="5FCD0B50" w14:textId="42B92353" w:rsidR="00A87501" w:rsidRPr="007F4912" w:rsidRDefault="00A87501" w:rsidP="003974F4">
      <w:pPr>
        <w:rPr>
          <w:color w:val="000000" w:themeColor="text1"/>
          <w:sz w:val="20"/>
          <w:szCs w:val="20"/>
          <w:lang w:val="en-US"/>
        </w:rPr>
      </w:pPr>
      <w:r w:rsidRPr="007F4912">
        <w:rPr>
          <w:color w:val="000000" w:themeColor="text1"/>
          <w:sz w:val="20"/>
          <w:szCs w:val="20"/>
          <w:lang w:val="en-US"/>
        </w:rPr>
        <w:t xml:space="preserve">Finally, a national capacity-building program will be </w:t>
      </w:r>
      <w:r w:rsidR="00B17D4B" w:rsidRPr="007F4912">
        <w:rPr>
          <w:color w:val="000000" w:themeColor="text1"/>
          <w:sz w:val="20"/>
          <w:szCs w:val="20"/>
          <w:lang w:val="en-US"/>
        </w:rPr>
        <w:t>developed</w:t>
      </w:r>
      <w:r w:rsidRPr="007F4912">
        <w:rPr>
          <w:color w:val="000000" w:themeColor="text1"/>
          <w:sz w:val="20"/>
          <w:szCs w:val="20"/>
          <w:lang w:val="en-US"/>
        </w:rPr>
        <w:t xml:space="preserve"> across</w:t>
      </w:r>
      <w:r w:rsidR="00B17D4B" w:rsidRPr="007F4912">
        <w:rPr>
          <w:color w:val="000000" w:themeColor="text1"/>
          <w:sz w:val="20"/>
          <w:szCs w:val="20"/>
          <w:lang w:val="en-US"/>
        </w:rPr>
        <w:t xml:space="preserve"> four</w:t>
      </w:r>
      <w:r w:rsidRPr="007F4912">
        <w:rPr>
          <w:color w:val="000000" w:themeColor="text1"/>
          <w:sz w:val="20"/>
          <w:szCs w:val="20"/>
          <w:lang w:val="en-US"/>
        </w:rPr>
        <w:t xml:space="preserve"> key training centers to develop a skilled workforce specialized in EV maintenance, incorporating gender-inclusive measures and promoting private sector engagement. This comprehensive approach ensures that Bamako’s transport sector is well-equipped to drive long-term, sustainable, and equitable mobility transformation.</w:t>
      </w:r>
    </w:p>
    <w:p w14:paraId="52837AAB" w14:textId="47058FD5" w:rsidR="00077C45" w:rsidRPr="00E86501" w:rsidRDefault="00077C45" w:rsidP="003974F4">
      <w:pPr>
        <w:rPr>
          <w:i/>
          <w:iCs/>
          <w:color w:val="000000" w:themeColor="text1"/>
          <w:sz w:val="20"/>
          <w:szCs w:val="20"/>
          <w:highlight w:val="cyan"/>
          <w:u w:val="single"/>
          <w:lang w:val="en-US"/>
        </w:rPr>
      </w:pPr>
      <w:r w:rsidRPr="00E86501">
        <w:rPr>
          <w:i/>
          <w:iCs/>
          <w:color w:val="000000" w:themeColor="text1"/>
          <w:sz w:val="20"/>
          <w:szCs w:val="20"/>
          <w:highlight w:val="cyan"/>
          <w:u w:val="single"/>
          <w:lang w:val="en-US"/>
        </w:rPr>
        <w:t xml:space="preserve">Activity 2.1.1.1 – Design and implement a comprehensive capacity-building </w:t>
      </w:r>
      <w:proofErr w:type="spellStart"/>
      <w:r w:rsidRPr="00E86501">
        <w:rPr>
          <w:i/>
          <w:iCs/>
          <w:color w:val="000000" w:themeColor="text1"/>
          <w:sz w:val="20"/>
          <w:szCs w:val="20"/>
          <w:highlight w:val="cyan"/>
          <w:u w:val="single"/>
          <w:lang w:val="en-US"/>
        </w:rPr>
        <w:t>programme</w:t>
      </w:r>
      <w:proofErr w:type="spellEnd"/>
      <w:r w:rsidRPr="00E86501">
        <w:rPr>
          <w:i/>
          <w:iCs/>
          <w:color w:val="000000" w:themeColor="text1"/>
          <w:sz w:val="20"/>
          <w:szCs w:val="20"/>
          <w:highlight w:val="cyan"/>
          <w:u w:val="single"/>
          <w:lang w:val="en-US"/>
        </w:rPr>
        <w:t xml:space="preserve"> on sustainable and electric mobility for private operators, intercity transport companies, and national training institutions</w:t>
      </w:r>
    </w:p>
    <w:p w14:paraId="69A9F1CE" w14:textId="77777777" w:rsidR="00A2705C" w:rsidRPr="00E86501" w:rsidRDefault="00DD396A" w:rsidP="00A2705C">
      <w:pPr>
        <w:rPr>
          <w:color w:val="000000" w:themeColor="text1"/>
          <w:sz w:val="20"/>
          <w:szCs w:val="20"/>
          <w:highlight w:val="cyan"/>
          <w:lang w:val="en-US"/>
        </w:rPr>
      </w:pPr>
      <w:r w:rsidRPr="00E86501">
        <w:rPr>
          <w:color w:val="000000" w:themeColor="text1"/>
          <w:sz w:val="20"/>
          <w:szCs w:val="20"/>
          <w:highlight w:val="cyan"/>
          <w:lang w:val="en-US"/>
        </w:rPr>
        <w:t xml:space="preserve">This activity establishes an integrated national capacity-building </w:t>
      </w:r>
      <w:proofErr w:type="spellStart"/>
      <w:r w:rsidRPr="00E86501">
        <w:rPr>
          <w:color w:val="000000" w:themeColor="text1"/>
          <w:sz w:val="20"/>
          <w:szCs w:val="20"/>
          <w:highlight w:val="cyan"/>
          <w:lang w:val="en-US"/>
        </w:rPr>
        <w:t>programme</w:t>
      </w:r>
      <w:proofErr w:type="spellEnd"/>
      <w:r w:rsidRPr="00E86501">
        <w:rPr>
          <w:color w:val="000000" w:themeColor="text1"/>
          <w:sz w:val="20"/>
          <w:szCs w:val="20"/>
          <w:highlight w:val="cyan"/>
          <w:lang w:val="en-US"/>
        </w:rPr>
        <w:t xml:space="preserve"> to accelerate the transition toward sustainable and electric mobility in Bamako and across Mali. It targets</w:t>
      </w:r>
      <w:r w:rsidR="00A2705C" w:rsidRPr="00E86501">
        <w:rPr>
          <w:color w:val="000000" w:themeColor="text1"/>
          <w:sz w:val="20"/>
          <w:szCs w:val="20"/>
          <w:highlight w:val="cyan"/>
          <w:lang w:val="en-US"/>
        </w:rPr>
        <w:t xml:space="preserve"> a coordinated capacity-building framework that addresses the needs of operators, companies, and institutions simultaneously. It supports a just, inclusive, and technically sound transition to electric mobility while strengthening national expertise, improving service quality, and enabling green job creation in Mali’s evolving transport sector.</w:t>
      </w:r>
    </w:p>
    <w:p w14:paraId="416EBCAB" w14:textId="547975FE" w:rsidR="00DD396A" w:rsidRPr="00E86501" w:rsidRDefault="005E3B17" w:rsidP="00DD396A">
      <w:pPr>
        <w:rPr>
          <w:color w:val="000000" w:themeColor="text1"/>
          <w:sz w:val="20"/>
          <w:szCs w:val="20"/>
          <w:highlight w:val="cyan"/>
          <w:lang w:val="en-US"/>
        </w:rPr>
      </w:pPr>
      <w:r w:rsidRPr="00E86501">
        <w:rPr>
          <w:color w:val="000000" w:themeColor="text1"/>
          <w:sz w:val="20"/>
          <w:szCs w:val="20"/>
          <w:highlight w:val="cyan"/>
          <w:lang w:val="en-US"/>
        </w:rPr>
        <w:t>T</w:t>
      </w:r>
      <w:r w:rsidR="00DD396A" w:rsidRPr="00E86501">
        <w:rPr>
          <w:color w:val="000000" w:themeColor="text1"/>
          <w:sz w:val="20"/>
          <w:szCs w:val="20"/>
          <w:highlight w:val="cyan"/>
          <w:lang w:val="en-US"/>
        </w:rPr>
        <w:t>he full ecosystem of actors—from informal and semi-formal operators to formal companies and technical training institutions—</w:t>
      </w:r>
      <w:r w:rsidR="00683EBA" w:rsidRPr="00E86501">
        <w:rPr>
          <w:color w:val="000000" w:themeColor="text1"/>
          <w:sz w:val="20"/>
          <w:szCs w:val="20"/>
          <w:highlight w:val="cyan"/>
          <w:lang w:val="en-US"/>
        </w:rPr>
        <w:t xml:space="preserve">is targeted </w:t>
      </w:r>
      <w:r w:rsidR="00DD396A" w:rsidRPr="00E86501">
        <w:rPr>
          <w:color w:val="000000" w:themeColor="text1"/>
          <w:sz w:val="20"/>
          <w:szCs w:val="20"/>
          <w:highlight w:val="cyan"/>
          <w:lang w:val="en-US"/>
        </w:rPr>
        <w:t>to ensure a just, inclusive, and technically viable shift to low-emission transport.</w:t>
      </w:r>
    </w:p>
    <w:p w14:paraId="5048B0FB" w14:textId="77777777" w:rsidR="00DD396A" w:rsidRPr="00E86501" w:rsidRDefault="00DD396A" w:rsidP="00DD396A">
      <w:pPr>
        <w:rPr>
          <w:color w:val="000000" w:themeColor="text1"/>
          <w:sz w:val="20"/>
          <w:szCs w:val="20"/>
          <w:highlight w:val="cyan"/>
          <w:lang w:val="en-US"/>
        </w:rPr>
      </w:pPr>
      <w:r w:rsidRPr="00E86501">
        <w:rPr>
          <w:color w:val="000000" w:themeColor="text1"/>
          <w:sz w:val="20"/>
          <w:szCs w:val="20"/>
          <w:highlight w:val="cyan"/>
          <w:lang w:val="en-US"/>
        </w:rPr>
        <w:lastRenderedPageBreak/>
        <w:t xml:space="preserve">The </w:t>
      </w:r>
      <w:proofErr w:type="spellStart"/>
      <w:r w:rsidRPr="00E86501">
        <w:rPr>
          <w:color w:val="000000" w:themeColor="text1"/>
          <w:sz w:val="20"/>
          <w:szCs w:val="20"/>
          <w:highlight w:val="cyan"/>
          <w:lang w:val="en-US"/>
        </w:rPr>
        <w:t>programme</w:t>
      </w:r>
      <w:proofErr w:type="spellEnd"/>
      <w:r w:rsidRPr="00E86501">
        <w:rPr>
          <w:color w:val="000000" w:themeColor="text1"/>
          <w:sz w:val="20"/>
          <w:szCs w:val="20"/>
          <w:highlight w:val="cyan"/>
          <w:lang w:val="en-US"/>
        </w:rPr>
        <w:t xml:space="preserve"> combines professionalization of private operators, modernization of intercity transport services, and the creation of a skilled national workforce in electric vehicle (EV) maintenance and management. Designed with a gender-responsive approach, it aims to overcome structural barriers faced by women and marginalized groups while promoting new economic and employment opportunities in the green mobility sector.</w:t>
      </w:r>
    </w:p>
    <w:p w14:paraId="7C54D8A1" w14:textId="7DE17301" w:rsidR="000954EE" w:rsidRPr="00E86501" w:rsidRDefault="00DD396A" w:rsidP="000954EE">
      <w:pPr>
        <w:rPr>
          <w:b/>
          <w:bCs/>
          <w:i/>
          <w:iCs/>
          <w:color w:val="000000" w:themeColor="text1"/>
          <w:sz w:val="20"/>
          <w:szCs w:val="20"/>
          <w:highlight w:val="cyan"/>
          <w:u w:val="single"/>
          <w:lang w:val="en-US"/>
        </w:rPr>
      </w:pPr>
      <w:r w:rsidRPr="00E86501">
        <w:rPr>
          <w:b/>
          <w:bCs/>
          <w:i/>
          <w:iCs/>
          <w:color w:val="000000" w:themeColor="text1"/>
          <w:sz w:val="20"/>
          <w:szCs w:val="20"/>
          <w:highlight w:val="cyan"/>
          <w:u w:val="single"/>
          <w:lang w:val="en-US"/>
        </w:rPr>
        <w:t xml:space="preserve">Key </w:t>
      </w:r>
      <w:r w:rsidR="000F235C">
        <w:rPr>
          <w:b/>
          <w:bCs/>
          <w:i/>
          <w:iCs/>
          <w:color w:val="000000" w:themeColor="text1"/>
          <w:sz w:val="20"/>
          <w:szCs w:val="20"/>
          <w:highlight w:val="cyan"/>
          <w:u w:val="single"/>
          <w:lang w:val="en-US"/>
        </w:rPr>
        <w:t>elements</w:t>
      </w:r>
      <w:r w:rsidRPr="00E86501">
        <w:rPr>
          <w:b/>
          <w:bCs/>
          <w:i/>
          <w:iCs/>
          <w:color w:val="000000" w:themeColor="text1"/>
          <w:sz w:val="20"/>
          <w:szCs w:val="20"/>
          <w:highlight w:val="cyan"/>
          <w:u w:val="single"/>
          <w:lang w:val="en-US"/>
        </w:rPr>
        <w:t xml:space="preserve"> </w:t>
      </w:r>
      <w:r w:rsidR="000954EE" w:rsidRPr="00E86501">
        <w:rPr>
          <w:b/>
          <w:bCs/>
          <w:i/>
          <w:iCs/>
          <w:color w:val="000000" w:themeColor="text1"/>
          <w:sz w:val="20"/>
          <w:szCs w:val="20"/>
          <w:highlight w:val="cyan"/>
          <w:u w:val="single"/>
          <w:lang w:val="en-US"/>
        </w:rPr>
        <w:t xml:space="preserve">of activity 2.1.1.1 </w:t>
      </w:r>
    </w:p>
    <w:p w14:paraId="588B90A1" w14:textId="5708D8A5" w:rsidR="00DD396A" w:rsidRPr="00E86501" w:rsidRDefault="00DD396A" w:rsidP="00E86501">
      <w:pPr>
        <w:pStyle w:val="Paragraphedeliste"/>
        <w:numPr>
          <w:ilvl w:val="0"/>
          <w:numId w:val="907"/>
        </w:numPr>
        <w:rPr>
          <w:i/>
          <w:iCs/>
          <w:color w:val="000000" w:themeColor="text1"/>
          <w:sz w:val="20"/>
          <w:szCs w:val="20"/>
          <w:highlight w:val="cyan"/>
          <w:lang w:val="en-US"/>
        </w:rPr>
      </w:pPr>
      <w:r w:rsidRPr="00E86501">
        <w:rPr>
          <w:i/>
          <w:iCs/>
          <w:color w:val="000000" w:themeColor="text1"/>
          <w:sz w:val="20"/>
          <w:szCs w:val="20"/>
          <w:highlight w:val="cyan"/>
          <w:lang w:val="en-US"/>
        </w:rPr>
        <w:t>Capacity strengthening for informal and semi-formal private transport operators (SOTRAMA, taxis, dump trucks)</w:t>
      </w:r>
    </w:p>
    <w:p w14:paraId="7D385736" w14:textId="77777777" w:rsidR="00DD396A" w:rsidRPr="00E86501" w:rsidRDefault="00DD396A" w:rsidP="00DD396A">
      <w:pPr>
        <w:rPr>
          <w:color w:val="000000" w:themeColor="text1"/>
          <w:sz w:val="20"/>
          <w:szCs w:val="20"/>
          <w:highlight w:val="cyan"/>
          <w:lang w:val="en-US"/>
        </w:rPr>
      </w:pPr>
      <w:r w:rsidRPr="00E86501">
        <w:rPr>
          <w:color w:val="000000" w:themeColor="text1"/>
          <w:sz w:val="20"/>
          <w:szCs w:val="20"/>
          <w:highlight w:val="cyan"/>
          <w:lang w:val="en-US"/>
        </w:rPr>
        <w:t>Training modules will focus on preparing frontline operators for the adoption, safe use, and management of EVs, including:</w:t>
      </w:r>
    </w:p>
    <w:p w14:paraId="7576B3F1" w14:textId="77777777" w:rsidR="00DD396A" w:rsidRPr="00E86501" w:rsidRDefault="00DD396A" w:rsidP="00E86501">
      <w:pPr>
        <w:numPr>
          <w:ilvl w:val="0"/>
          <w:numId w:val="904"/>
        </w:numPr>
        <w:tabs>
          <w:tab w:val="num" w:pos="720"/>
        </w:tabs>
        <w:spacing w:after="0"/>
        <w:rPr>
          <w:color w:val="000000" w:themeColor="text1"/>
          <w:sz w:val="20"/>
          <w:szCs w:val="20"/>
          <w:highlight w:val="cyan"/>
          <w:lang w:val="en-US"/>
        </w:rPr>
      </w:pPr>
      <w:r w:rsidRPr="00E86501">
        <w:rPr>
          <w:color w:val="000000" w:themeColor="text1"/>
          <w:sz w:val="20"/>
          <w:szCs w:val="20"/>
          <w:highlight w:val="cyan"/>
          <w:lang w:val="en-US"/>
        </w:rPr>
        <w:t>Introduction to electric mobility and its environmental, economic, and operational benefits</w:t>
      </w:r>
    </w:p>
    <w:p w14:paraId="65E2122B" w14:textId="77777777" w:rsidR="00DD396A" w:rsidRPr="00E86501" w:rsidRDefault="00DD396A" w:rsidP="00E86501">
      <w:pPr>
        <w:numPr>
          <w:ilvl w:val="0"/>
          <w:numId w:val="904"/>
        </w:numPr>
        <w:tabs>
          <w:tab w:val="num" w:pos="720"/>
        </w:tabs>
        <w:spacing w:after="0"/>
        <w:rPr>
          <w:color w:val="000000" w:themeColor="text1"/>
          <w:sz w:val="20"/>
          <w:szCs w:val="20"/>
          <w:highlight w:val="cyan"/>
          <w:lang w:val="en-US"/>
        </w:rPr>
      </w:pPr>
      <w:r w:rsidRPr="00E86501">
        <w:rPr>
          <w:color w:val="000000" w:themeColor="text1"/>
          <w:sz w:val="20"/>
          <w:szCs w:val="20"/>
          <w:highlight w:val="cyan"/>
          <w:lang w:val="en-US"/>
        </w:rPr>
        <w:t>Eco-driving techniques adapted to EVs to reduce energy consumption and improve road safety</w:t>
      </w:r>
    </w:p>
    <w:p w14:paraId="2CDFF1EF" w14:textId="77777777" w:rsidR="00DD396A" w:rsidRPr="00E86501" w:rsidRDefault="00DD396A" w:rsidP="00E86501">
      <w:pPr>
        <w:numPr>
          <w:ilvl w:val="0"/>
          <w:numId w:val="904"/>
        </w:numPr>
        <w:tabs>
          <w:tab w:val="num" w:pos="720"/>
        </w:tabs>
        <w:spacing w:after="0"/>
        <w:rPr>
          <w:color w:val="000000" w:themeColor="text1"/>
          <w:sz w:val="20"/>
          <w:szCs w:val="20"/>
          <w:highlight w:val="cyan"/>
          <w:lang w:val="en-US"/>
        </w:rPr>
      </w:pPr>
      <w:r w:rsidRPr="00E86501">
        <w:rPr>
          <w:color w:val="000000" w:themeColor="text1"/>
          <w:sz w:val="20"/>
          <w:szCs w:val="20"/>
          <w:highlight w:val="cyan"/>
          <w:lang w:val="en-US"/>
        </w:rPr>
        <w:t>Basic EV maintenance and troubleshooting for improved autonomy and vehicle longevity</w:t>
      </w:r>
    </w:p>
    <w:p w14:paraId="26513066" w14:textId="77777777" w:rsidR="00DD396A" w:rsidRPr="00E86501" w:rsidRDefault="00DD396A" w:rsidP="00E86501">
      <w:pPr>
        <w:numPr>
          <w:ilvl w:val="0"/>
          <w:numId w:val="904"/>
        </w:numPr>
        <w:tabs>
          <w:tab w:val="num" w:pos="720"/>
        </w:tabs>
        <w:spacing w:after="0"/>
        <w:rPr>
          <w:color w:val="000000" w:themeColor="text1"/>
          <w:sz w:val="20"/>
          <w:szCs w:val="20"/>
          <w:highlight w:val="cyan"/>
          <w:lang w:val="en-US"/>
        </w:rPr>
      </w:pPr>
      <w:r w:rsidRPr="00E86501">
        <w:rPr>
          <w:color w:val="000000" w:themeColor="text1"/>
          <w:sz w:val="20"/>
          <w:szCs w:val="20"/>
          <w:highlight w:val="cyan"/>
          <w:lang w:val="en-US"/>
        </w:rPr>
        <w:t>Entrepreneurial and business-management skills (cost–benefit analysis, fleet modernization planning, digital literacy)</w:t>
      </w:r>
    </w:p>
    <w:p w14:paraId="13BA72FA" w14:textId="77777777" w:rsidR="00DD396A" w:rsidRPr="00E86501" w:rsidRDefault="00DD396A" w:rsidP="00E86501">
      <w:pPr>
        <w:numPr>
          <w:ilvl w:val="0"/>
          <w:numId w:val="904"/>
        </w:numPr>
        <w:tabs>
          <w:tab w:val="num" w:pos="720"/>
        </w:tabs>
        <w:spacing w:after="0"/>
        <w:rPr>
          <w:color w:val="000000" w:themeColor="text1"/>
          <w:sz w:val="20"/>
          <w:szCs w:val="20"/>
          <w:highlight w:val="cyan"/>
          <w:lang w:val="en-US"/>
        </w:rPr>
      </w:pPr>
      <w:r w:rsidRPr="00E86501">
        <w:rPr>
          <w:color w:val="000000" w:themeColor="text1"/>
          <w:sz w:val="20"/>
          <w:szCs w:val="20"/>
          <w:highlight w:val="cyan"/>
          <w:lang w:val="en-US"/>
        </w:rPr>
        <w:t>Access-to-finance guidance for EV acquisition (credit schemes, leasing, subsidies)</w:t>
      </w:r>
    </w:p>
    <w:p w14:paraId="2273BE41" w14:textId="606013BC" w:rsidR="00DD396A" w:rsidRPr="00E86501" w:rsidRDefault="00DD396A" w:rsidP="00E86501">
      <w:pPr>
        <w:pStyle w:val="Paragraphedeliste"/>
        <w:numPr>
          <w:ilvl w:val="0"/>
          <w:numId w:val="907"/>
        </w:numPr>
        <w:rPr>
          <w:i/>
          <w:iCs/>
          <w:color w:val="000000" w:themeColor="text1"/>
          <w:sz w:val="20"/>
          <w:szCs w:val="20"/>
          <w:highlight w:val="cyan"/>
          <w:lang w:val="en-US"/>
        </w:rPr>
      </w:pPr>
      <w:r w:rsidRPr="00E86501">
        <w:rPr>
          <w:i/>
          <w:iCs/>
          <w:color w:val="000000" w:themeColor="text1"/>
          <w:sz w:val="20"/>
          <w:szCs w:val="20"/>
          <w:highlight w:val="cyan"/>
          <w:lang w:val="en-US"/>
        </w:rPr>
        <w:t>Strengthening the capacities of intercity transport companies for inclusive and low-emission services</w:t>
      </w:r>
    </w:p>
    <w:p w14:paraId="4D568BC5" w14:textId="77777777" w:rsidR="00DD396A" w:rsidRPr="00E86501" w:rsidRDefault="00DD396A" w:rsidP="00DD396A">
      <w:pPr>
        <w:rPr>
          <w:color w:val="000000" w:themeColor="text1"/>
          <w:sz w:val="20"/>
          <w:szCs w:val="20"/>
          <w:highlight w:val="cyan"/>
          <w:lang w:val="en-US"/>
        </w:rPr>
      </w:pPr>
      <w:r w:rsidRPr="00E86501">
        <w:rPr>
          <w:color w:val="000000" w:themeColor="text1"/>
          <w:sz w:val="20"/>
          <w:szCs w:val="20"/>
          <w:highlight w:val="cyan"/>
          <w:lang w:val="en-US"/>
        </w:rPr>
        <w:t>This component supports formal operators in upgrading their services and integrating cleaner vehicles:</w:t>
      </w:r>
    </w:p>
    <w:p w14:paraId="0C3CDB56" w14:textId="77777777" w:rsidR="00DD396A" w:rsidRPr="00E86501" w:rsidRDefault="00DD396A" w:rsidP="00E86501">
      <w:pPr>
        <w:numPr>
          <w:ilvl w:val="0"/>
          <w:numId w:val="905"/>
        </w:numPr>
        <w:tabs>
          <w:tab w:val="num" w:pos="720"/>
        </w:tabs>
        <w:spacing w:after="0"/>
        <w:rPr>
          <w:color w:val="000000" w:themeColor="text1"/>
          <w:sz w:val="20"/>
          <w:szCs w:val="20"/>
          <w:highlight w:val="cyan"/>
          <w:lang w:val="en-US"/>
        </w:rPr>
      </w:pPr>
      <w:r w:rsidRPr="00E86501">
        <w:rPr>
          <w:color w:val="000000" w:themeColor="text1"/>
          <w:sz w:val="20"/>
          <w:szCs w:val="20"/>
          <w:highlight w:val="cyan"/>
          <w:lang w:val="en-US"/>
        </w:rPr>
        <w:t>Gender-sensitive diagnostic of user needs, barriers, and mobility patterns</w:t>
      </w:r>
    </w:p>
    <w:p w14:paraId="15B732C2" w14:textId="77777777" w:rsidR="00DD396A" w:rsidRPr="00E86501" w:rsidRDefault="00DD396A" w:rsidP="00E86501">
      <w:pPr>
        <w:numPr>
          <w:ilvl w:val="0"/>
          <w:numId w:val="905"/>
        </w:numPr>
        <w:tabs>
          <w:tab w:val="num" w:pos="720"/>
        </w:tabs>
        <w:spacing w:after="0"/>
        <w:rPr>
          <w:color w:val="000000" w:themeColor="text1"/>
          <w:sz w:val="20"/>
          <w:szCs w:val="20"/>
          <w:highlight w:val="cyan"/>
          <w:lang w:val="en-US"/>
        </w:rPr>
      </w:pPr>
      <w:r w:rsidRPr="00E86501">
        <w:rPr>
          <w:color w:val="000000" w:themeColor="text1"/>
          <w:sz w:val="20"/>
          <w:szCs w:val="20"/>
          <w:highlight w:val="cyan"/>
          <w:lang w:val="en-US"/>
        </w:rPr>
        <w:t>Logistics and fleet planning for EV or low-emission vehicle integration</w:t>
      </w:r>
    </w:p>
    <w:p w14:paraId="479E7A4A" w14:textId="16DEE994" w:rsidR="0C2648DE" w:rsidRPr="00E86501" w:rsidRDefault="0C2648DE">
      <w:pPr>
        <w:numPr>
          <w:ilvl w:val="0"/>
          <w:numId w:val="905"/>
        </w:numPr>
        <w:tabs>
          <w:tab w:val="num" w:pos="720"/>
        </w:tabs>
        <w:spacing w:after="0"/>
        <w:rPr>
          <w:color w:val="000000" w:themeColor="text1"/>
          <w:sz w:val="20"/>
          <w:szCs w:val="20"/>
          <w:highlight w:val="cyan"/>
          <w:lang w:val="en-US"/>
        </w:rPr>
      </w:pPr>
      <w:r w:rsidRPr="00E86501">
        <w:rPr>
          <w:color w:val="000000" w:themeColor="text1"/>
          <w:sz w:val="20"/>
          <w:szCs w:val="20"/>
          <w:highlight w:val="cyan"/>
          <w:lang w:val="en-US"/>
        </w:rPr>
        <w:t>Design of mechanisms and tools for the launch, management and promotion of innovative and inclusive services</w:t>
      </w:r>
    </w:p>
    <w:p w14:paraId="3022FF04" w14:textId="77777777" w:rsidR="00DD396A" w:rsidRPr="00E86501" w:rsidRDefault="00DD396A" w:rsidP="00E86501">
      <w:pPr>
        <w:numPr>
          <w:ilvl w:val="0"/>
          <w:numId w:val="905"/>
        </w:numPr>
        <w:tabs>
          <w:tab w:val="num" w:pos="720"/>
        </w:tabs>
        <w:spacing w:after="0"/>
        <w:rPr>
          <w:color w:val="000000" w:themeColor="text1"/>
          <w:sz w:val="20"/>
          <w:szCs w:val="20"/>
          <w:highlight w:val="cyan"/>
          <w:lang w:val="en-US"/>
        </w:rPr>
      </w:pPr>
      <w:r w:rsidRPr="00E86501">
        <w:rPr>
          <w:color w:val="000000" w:themeColor="text1"/>
          <w:sz w:val="20"/>
          <w:szCs w:val="20"/>
          <w:highlight w:val="cyan"/>
          <w:lang w:val="en-US"/>
        </w:rPr>
        <w:t>Business model transformation toward sustainable and inclusive services</w:t>
      </w:r>
    </w:p>
    <w:p w14:paraId="327F0718" w14:textId="77777777" w:rsidR="00B23A29" w:rsidRPr="00E86501" w:rsidRDefault="00DD396A" w:rsidP="00B23A29">
      <w:pPr>
        <w:numPr>
          <w:ilvl w:val="0"/>
          <w:numId w:val="905"/>
        </w:numPr>
        <w:tabs>
          <w:tab w:val="num" w:pos="720"/>
        </w:tabs>
        <w:spacing w:after="0"/>
        <w:rPr>
          <w:color w:val="000000" w:themeColor="text1"/>
          <w:sz w:val="20"/>
          <w:szCs w:val="20"/>
          <w:highlight w:val="cyan"/>
        </w:rPr>
      </w:pPr>
      <w:proofErr w:type="spellStart"/>
      <w:r w:rsidRPr="00E86501">
        <w:rPr>
          <w:color w:val="000000" w:themeColor="text1"/>
          <w:sz w:val="20"/>
          <w:szCs w:val="20"/>
          <w:highlight w:val="cyan"/>
        </w:rPr>
        <w:t>Profitability</w:t>
      </w:r>
      <w:proofErr w:type="spellEnd"/>
      <w:r w:rsidRPr="00E86501">
        <w:rPr>
          <w:color w:val="000000" w:themeColor="text1"/>
          <w:sz w:val="20"/>
          <w:szCs w:val="20"/>
          <w:highlight w:val="cyan"/>
        </w:rPr>
        <w:t xml:space="preserve"> analyses and </w:t>
      </w:r>
      <w:proofErr w:type="spellStart"/>
      <w:r w:rsidRPr="00E86501">
        <w:rPr>
          <w:color w:val="000000" w:themeColor="text1"/>
          <w:sz w:val="20"/>
          <w:szCs w:val="20"/>
          <w:highlight w:val="cyan"/>
        </w:rPr>
        <w:t>environmental</w:t>
      </w:r>
      <w:proofErr w:type="spellEnd"/>
      <w:r w:rsidRPr="00E86501">
        <w:rPr>
          <w:color w:val="000000" w:themeColor="text1"/>
          <w:sz w:val="20"/>
          <w:szCs w:val="20"/>
          <w:highlight w:val="cyan"/>
        </w:rPr>
        <w:t xml:space="preserve">/social impact </w:t>
      </w:r>
      <w:proofErr w:type="spellStart"/>
      <w:r w:rsidRPr="00E86501">
        <w:rPr>
          <w:color w:val="000000" w:themeColor="text1"/>
          <w:sz w:val="20"/>
          <w:szCs w:val="20"/>
          <w:highlight w:val="cyan"/>
        </w:rPr>
        <w:t>assessments</w:t>
      </w:r>
      <w:proofErr w:type="spellEnd"/>
    </w:p>
    <w:p w14:paraId="4CBF3B7A" w14:textId="31C86923" w:rsidR="00DD396A" w:rsidRPr="00E86501" w:rsidRDefault="00DD396A" w:rsidP="00E86501">
      <w:pPr>
        <w:numPr>
          <w:ilvl w:val="0"/>
          <w:numId w:val="905"/>
        </w:numPr>
        <w:tabs>
          <w:tab w:val="num" w:pos="720"/>
        </w:tabs>
        <w:spacing w:after="0"/>
        <w:rPr>
          <w:color w:val="000000" w:themeColor="text1"/>
          <w:sz w:val="20"/>
          <w:szCs w:val="20"/>
          <w:highlight w:val="cyan"/>
          <w:lang w:val="en-US"/>
        </w:rPr>
      </w:pPr>
      <w:r w:rsidRPr="00E86501">
        <w:rPr>
          <w:color w:val="000000" w:themeColor="text1"/>
          <w:sz w:val="20"/>
          <w:szCs w:val="20"/>
          <w:highlight w:val="cyan"/>
          <w:lang w:val="en-US"/>
        </w:rPr>
        <w:t>International knowledge exchange workshop with institutions and companies applying innovative inclusive mobility solutions</w:t>
      </w:r>
      <w:r w:rsidR="00B23A29" w:rsidRPr="00E86501">
        <w:rPr>
          <w:color w:val="000000" w:themeColor="text1"/>
          <w:sz w:val="20"/>
          <w:szCs w:val="20"/>
          <w:highlight w:val="cyan"/>
          <w:lang w:val="en-US"/>
        </w:rPr>
        <w:t>.</w:t>
      </w:r>
    </w:p>
    <w:p w14:paraId="082E7A13" w14:textId="4D05D8E3" w:rsidR="00DD396A" w:rsidRPr="00E86501" w:rsidRDefault="00DD396A" w:rsidP="00E86501">
      <w:pPr>
        <w:pStyle w:val="Paragraphedeliste"/>
        <w:numPr>
          <w:ilvl w:val="0"/>
          <w:numId w:val="907"/>
        </w:numPr>
        <w:rPr>
          <w:i/>
          <w:iCs/>
          <w:color w:val="000000" w:themeColor="text1"/>
          <w:sz w:val="20"/>
          <w:szCs w:val="20"/>
          <w:highlight w:val="cyan"/>
          <w:lang w:val="en-US"/>
        </w:rPr>
      </w:pPr>
      <w:r w:rsidRPr="00E86501">
        <w:rPr>
          <w:i/>
          <w:iCs/>
          <w:color w:val="000000" w:themeColor="text1"/>
          <w:sz w:val="20"/>
          <w:szCs w:val="20"/>
          <w:highlight w:val="cyan"/>
          <w:lang w:val="en-US"/>
        </w:rPr>
        <w:t xml:space="preserve">National capacity-building </w:t>
      </w:r>
      <w:proofErr w:type="spellStart"/>
      <w:r w:rsidRPr="00E86501">
        <w:rPr>
          <w:i/>
          <w:iCs/>
          <w:color w:val="000000" w:themeColor="text1"/>
          <w:sz w:val="20"/>
          <w:szCs w:val="20"/>
          <w:highlight w:val="cyan"/>
          <w:lang w:val="en-US"/>
        </w:rPr>
        <w:t>programme</w:t>
      </w:r>
      <w:proofErr w:type="spellEnd"/>
      <w:r w:rsidRPr="00E86501">
        <w:rPr>
          <w:i/>
          <w:iCs/>
          <w:color w:val="000000" w:themeColor="text1"/>
          <w:sz w:val="20"/>
          <w:szCs w:val="20"/>
          <w:highlight w:val="cyan"/>
          <w:lang w:val="en-US"/>
        </w:rPr>
        <w:t xml:space="preserve"> on EV maintenance</w:t>
      </w:r>
      <w:r w:rsidR="53897F2F" w:rsidRPr="2DC80E69">
        <w:rPr>
          <w:i/>
          <w:iCs/>
          <w:color w:val="000000" w:themeColor="text1"/>
          <w:sz w:val="20"/>
          <w:szCs w:val="20"/>
          <w:highlight w:val="cyan"/>
          <w:lang w:val="en-US"/>
        </w:rPr>
        <w:t>,</w:t>
      </w:r>
      <w:r w:rsidRPr="00E86501">
        <w:rPr>
          <w:i/>
          <w:iCs/>
          <w:color w:val="000000" w:themeColor="text1"/>
          <w:sz w:val="20"/>
          <w:szCs w:val="20"/>
          <w:highlight w:val="cyan"/>
          <w:lang w:val="en-US"/>
        </w:rPr>
        <w:t xml:space="preserve"> fleet management </w:t>
      </w:r>
      <w:r w:rsidR="7E007E24" w:rsidRPr="2DC80E69">
        <w:rPr>
          <w:i/>
          <w:iCs/>
          <w:color w:val="000000" w:themeColor="text1"/>
          <w:sz w:val="20"/>
          <w:szCs w:val="20"/>
          <w:highlight w:val="cyan"/>
          <w:lang w:val="en-US"/>
        </w:rPr>
        <w:t xml:space="preserve">and access to sustainable finance </w:t>
      </w:r>
      <w:r w:rsidRPr="00E86501">
        <w:rPr>
          <w:i/>
          <w:iCs/>
          <w:color w:val="000000" w:themeColor="text1"/>
          <w:sz w:val="20"/>
          <w:szCs w:val="20"/>
          <w:highlight w:val="cyan"/>
          <w:lang w:val="en-US"/>
        </w:rPr>
        <w:t>(</w:t>
      </w:r>
      <w:proofErr w:type="spellStart"/>
      <w:r w:rsidRPr="00E86501">
        <w:rPr>
          <w:i/>
          <w:iCs/>
          <w:color w:val="000000" w:themeColor="text1"/>
          <w:sz w:val="20"/>
          <w:szCs w:val="20"/>
          <w:highlight w:val="cyan"/>
          <w:lang w:val="en-US"/>
        </w:rPr>
        <w:t>Missabougou</w:t>
      </w:r>
      <w:proofErr w:type="spellEnd"/>
      <w:r w:rsidRPr="00E86501">
        <w:rPr>
          <w:i/>
          <w:iCs/>
          <w:color w:val="000000" w:themeColor="text1"/>
          <w:sz w:val="20"/>
          <w:szCs w:val="20"/>
          <w:highlight w:val="cyan"/>
          <w:lang w:val="en-US"/>
        </w:rPr>
        <w:t xml:space="preserve">, </w:t>
      </w:r>
      <w:proofErr w:type="spellStart"/>
      <w:r w:rsidRPr="00E86501">
        <w:rPr>
          <w:i/>
          <w:iCs/>
          <w:color w:val="000000" w:themeColor="text1"/>
          <w:sz w:val="20"/>
          <w:szCs w:val="20"/>
          <w:highlight w:val="cyan"/>
          <w:lang w:val="en-US"/>
        </w:rPr>
        <w:t>Sénou</w:t>
      </w:r>
      <w:proofErr w:type="spellEnd"/>
      <w:r w:rsidRPr="00E86501">
        <w:rPr>
          <w:i/>
          <w:iCs/>
          <w:color w:val="000000" w:themeColor="text1"/>
          <w:sz w:val="20"/>
          <w:szCs w:val="20"/>
          <w:highlight w:val="cyan"/>
          <w:lang w:val="en-US"/>
        </w:rPr>
        <w:t>, ECICA, INFP/BTP)</w:t>
      </w:r>
    </w:p>
    <w:p w14:paraId="7A0DD216" w14:textId="0F209561" w:rsidR="00DD396A" w:rsidRPr="00E86501" w:rsidRDefault="00DD396A" w:rsidP="2DC80E69">
      <w:pPr>
        <w:rPr>
          <w:color w:val="000000" w:themeColor="text1"/>
          <w:sz w:val="20"/>
          <w:szCs w:val="20"/>
          <w:highlight w:val="cyan"/>
          <w:lang w:val="en-US"/>
        </w:rPr>
      </w:pPr>
      <w:r w:rsidRPr="00E86501">
        <w:rPr>
          <w:color w:val="000000" w:themeColor="text1"/>
          <w:sz w:val="20"/>
          <w:szCs w:val="20"/>
          <w:highlight w:val="cyan"/>
          <w:lang w:val="en-US"/>
        </w:rPr>
        <w:t xml:space="preserve">A </w:t>
      </w:r>
      <w:r w:rsidR="11135EDB" w:rsidRPr="2DC80E69">
        <w:rPr>
          <w:color w:val="000000" w:themeColor="text1"/>
          <w:sz w:val="20"/>
          <w:szCs w:val="20"/>
          <w:highlight w:val="cyan"/>
          <w:lang w:val="en-US"/>
        </w:rPr>
        <w:t>nationwide</w:t>
      </w:r>
      <w:r w:rsidRPr="00E86501">
        <w:rPr>
          <w:color w:val="000000" w:themeColor="text1"/>
          <w:sz w:val="20"/>
          <w:szCs w:val="20"/>
          <w:highlight w:val="cyan"/>
          <w:lang w:val="en-US"/>
        </w:rPr>
        <w:t xml:space="preserve"> technical training will ensure the availability of skilled EV technicians and trainers</w:t>
      </w:r>
      <w:r w:rsidR="4331CD86" w:rsidRPr="2DC80E69">
        <w:rPr>
          <w:color w:val="000000" w:themeColor="text1"/>
          <w:sz w:val="20"/>
          <w:szCs w:val="20"/>
          <w:highlight w:val="cyan"/>
          <w:lang w:val="en-US"/>
        </w:rPr>
        <w:t xml:space="preserve"> through</w:t>
      </w:r>
      <w:r w:rsidRPr="00E86501">
        <w:rPr>
          <w:color w:val="000000" w:themeColor="text1"/>
          <w:sz w:val="20"/>
          <w:szCs w:val="20"/>
          <w:highlight w:val="cyan"/>
          <w:lang w:val="en-US"/>
        </w:rPr>
        <w:t>:</w:t>
      </w:r>
    </w:p>
    <w:p w14:paraId="7F41961E" w14:textId="745E491D" w:rsidR="00DD396A" w:rsidRPr="00E86501" w:rsidRDefault="00A665DC" w:rsidP="00E86501">
      <w:pPr>
        <w:numPr>
          <w:ilvl w:val="0"/>
          <w:numId w:val="906"/>
        </w:numPr>
        <w:tabs>
          <w:tab w:val="num" w:pos="720"/>
        </w:tabs>
        <w:spacing w:after="0"/>
        <w:rPr>
          <w:color w:val="000000" w:themeColor="text1"/>
          <w:sz w:val="20"/>
          <w:szCs w:val="20"/>
          <w:highlight w:val="cyan"/>
          <w:lang w:val="en-US"/>
        </w:rPr>
      </w:pPr>
      <w:r w:rsidRPr="00E86501">
        <w:rPr>
          <w:color w:val="000000" w:themeColor="text1"/>
          <w:sz w:val="20"/>
          <w:szCs w:val="20"/>
          <w:highlight w:val="cyan"/>
          <w:lang w:val="en-US"/>
        </w:rPr>
        <w:t xml:space="preserve">Development of context-specific EV curricula covering technology, diagnostics, safety, energy systems, and aligned with relevant ISO </w:t>
      </w:r>
      <w:r w:rsidR="227B6184" w:rsidRPr="2DC80E69">
        <w:rPr>
          <w:color w:val="000000" w:themeColor="text1"/>
          <w:sz w:val="20"/>
          <w:szCs w:val="20"/>
          <w:highlight w:val="cyan"/>
          <w:lang w:val="en-US"/>
        </w:rPr>
        <w:t>standards.</w:t>
      </w:r>
    </w:p>
    <w:p w14:paraId="4743BA0F" w14:textId="554A772D" w:rsidR="00DD396A" w:rsidRPr="00E86501" w:rsidRDefault="227B6184" w:rsidP="00E86501">
      <w:pPr>
        <w:numPr>
          <w:ilvl w:val="0"/>
          <w:numId w:val="906"/>
        </w:numPr>
        <w:tabs>
          <w:tab w:val="num" w:pos="720"/>
        </w:tabs>
        <w:spacing w:after="0"/>
        <w:rPr>
          <w:color w:val="000000" w:themeColor="text1"/>
          <w:sz w:val="20"/>
          <w:szCs w:val="20"/>
          <w:highlight w:val="cyan"/>
          <w:lang w:val="en-US"/>
        </w:rPr>
      </w:pPr>
      <w:r w:rsidRPr="2DC80E69">
        <w:rPr>
          <w:color w:val="000000" w:themeColor="text1"/>
          <w:sz w:val="20"/>
          <w:szCs w:val="20"/>
          <w:highlight w:val="cyan"/>
          <w:lang w:val="en-US"/>
        </w:rPr>
        <w:t>Develop their capacity regarding access to finance/</w:t>
      </w:r>
      <w:r w:rsidR="5FC469D5" w:rsidRPr="2DC80E69">
        <w:rPr>
          <w:color w:val="000000" w:themeColor="text1"/>
          <w:sz w:val="20"/>
          <w:szCs w:val="20"/>
          <w:highlight w:val="cyan"/>
          <w:lang w:val="en-US"/>
        </w:rPr>
        <w:t xml:space="preserve">credit </w:t>
      </w:r>
      <w:r w:rsidR="00DD396A" w:rsidRPr="00E86501">
        <w:rPr>
          <w:color w:val="000000" w:themeColor="text1"/>
          <w:sz w:val="20"/>
          <w:szCs w:val="20"/>
          <w:highlight w:val="cyan"/>
          <w:lang w:val="en-US"/>
        </w:rPr>
        <w:t xml:space="preserve">Training of trainers to institutionalize EV skills and ensure long-term </w:t>
      </w:r>
      <w:r w:rsidR="00EB4D16" w:rsidRPr="00E86501">
        <w:rPr>
          <w:sz w:val="20"/>
          <w:szCs w:val="20"/>
          <w:highlight w:val="cyan"/>
          <w:lang w:val="en-US"/>
        </w:rPr>
        <w:t xml:space="preserve">national skills </w:t>
      </w:r>
      <w:r w:rsidR="00DD396A" w:rsidRPr="00E86501">
        <w:rPr>
          <w:color w:val="000000" w:themeColor="text1"/>
          <w:sz w:val="20"/>
          <w:szCs w:val="20"/>
          <w:highlight w:val="cyan"/>
          <w:lang w:val="en-US"/>
        </w:rPr>
        <w:t>sustainability</w:t>
      </w:r>
    </w:p>
    <w:p w14:paraId="542EA84F" w14:textId="2CBA9534" w:rsidR="2DC80E69" w:rsidRPr="00E86501" w:rsidRDefault="2DC80E69" w:rsidP="00E86501">
      <w:pPr>
        <w:tabs>
          <w:tab w:val="num" w:pos="720"/>
        </w:tabs>
        <w:spacing w:after="0"/>
        <w:ind w:left="1440"/>
        <w:rPr>
          <w:color w:val="000000" w:themeColor="text1"/>
          <w:sz w:val="20"/>
          <w:szCs w:val="20"/>
          <w:highlight w:val="cyan"/>
          <w:lang w:val="en-US"/>
        </w:rPr>
      </w:pPr>
    </w:p>
    <w:p w14:paraId="52CC60EF" w14:textId="2A6722F2" w:rsidR="00A673A6" w:rsidRPr="00E86501" w:rsidRDefault="00A673A6" w:rsidP="00E86501">
      <w:pPr>
        <w:spacing w:after="0"/>
        <w:ind w:left="1440"/>
        <w:rPr>
          <w:highlight w:val="cyan"/>
          <w:lang w:val="en-US"/>
        </w:rPr>
      </w:pPr>
    </w:p>
    <w:p w14:paraId="4F5EC865" w14:textId="679828DC" w:rsidR="46819BE2" w:rsidRPr="00E86501" w:rsidRDefault="6BA96C8A" w:rsidP="24AA8F7E">
      <w:pPr>
        <w:rPr>
          <w:color w:val="000000" w:themeColor="text1"/>
          <w:sz w:val="20"/>
          <w:szCs w:val="20"/>
          <w:highlight w:val="cyan"/>
          <w:lang w:val="en-US"/>
        </w:rPr>
      </w:pPr>
      <w:r w:rsidRPr="00E86501">
        <w:rPr>
          <w:color w:val="000000" w:themeColor="text1"/>
          <w:sz w:val="20"/>
          <w:szCs w:val="20"/>
          <w:highlight w:val="cyan"/>
          <w:lang w:val="en-US"/>
        </w:rPr>
        <w:t xml:space="preserve">The capacity-building </w:t>
      </w:r>
      <w:proofErr w:type="spellStart"/>
      <w:r w:rsidRPr="00E86501">
        <w:rPr>
          <w:color w:val="000000" w:themeColor="text1"/>
          <w:sz w:val="20"/>
          <w:szCs w:val="20"/>
          <w:highlight w:val="cyan"/>
          <w:lang w:val="en-US"/>
        </w:rPr>
        <w:t>programme</w:t>
      </w:r>
      <w:proofErr w:type="spellEnd"/>
      <w:r w:rsidRPr="00E86501">
        <w:rPr>
          <w:color w:val="000000" w:themeColor="text1"/>
          <w:sz w:val="20"/>
          <w:szCs w:val="20"/>
          <w:highlight w:val="cyan"/>
          <w:lang w:val="en-US"/>
        </w:rPr>
        <w:t xml:space="preserve"> will be preceded by a diagnosis carried out according to a gender-sensitive approach, aimed at identifying the needs, constraints and differentiated priorities of women and men in terms of mobility, access to economic opportunities and involvement in the transport services sector. It also aims to reveal the structural, cultural or institutional barriers that limit women's involvement in the sector.</w:t>
      </w:r>
    </w:p>
    <w:p w14:paraId="650BA364" w14:textId="28CAEDEB" w:rsidR="61844CFD" w:rsidRPr="00E86501" w:rsidRDefault="61844CFD" w:rsidP="4B3DA424">
      <w:pPr>
        <w:spacing w:after="0"/>
        <w:jc w:val="both"/>
        <w:rPr>
          <w:sz w:val="20"/>
          <w:szCs w:val="20"/>
          <w:highlight w:val="yellow"/>
          <w:lang w:val="en-US"/>
        </w:rPr>
      </w:pPr>
      <w:r w:rsidRPr="4B3DA424">
        <w:rPr>
          <w:sz w:val="20"/>
          <w:szCs w:val="20"/>
          <w:highlight w:val="yellow"/>
          <w:lang w:val="en-US"/>
        </w:rPr>
        <w:t xml:space="preserve">A strong emphasis will be placed on social inclusion, ensuring the participation of women, youth, and informal sector actors in the training </w:t>
      </w:r>
      <w:proofErr w:type="spellStart"/>
      <w:r w:rsidRPr="4B3DA424">
        <w:rPr>
          <w:sz w:val="20"/>
          <w:szCs w:val="20"/>
          <w:highlight w:val="yellow"/>
          <w:lang w:val="en-US"/>
        </w:rPr>
        <w:t>programme</w:t>
      </w:r>
      <w:proofErr w:type="spellEnd"/>
      <w:r w:rsidRPr="4B3DA424">
        <w:rPr>
          <w:sz w:val="20"/>
          <w:szCs w:val="20"/>
          <w:highlight w:val="yellow"/>
          <w:lang w:val="en-US"/>
        </w:rPr>
        <w:t>, and linking their training and certification to tangible economic opportunities.</w:t>
      </w:r>
    </w:p>
    <w:p w14:paraId="0C6D14C0" w14:textId="77777777" w:rsidR="00EF7636" w:rsidRPr="00E86501" w:rsidRDefault="00EF7636" w:rsidP="24AA8F7E">
      <w:pPr>
        <w:rPr>
          <w:color w:val="000000" w:themeColor="text1"/>
          <w:sz w:val="20"/>
          <w:szCs w:val="20"/>
          <w:highlight w:val="cyan"/>
          <w:lang w:val="en-US"/>
        </w:rPr>
      </w:pPr>
    </w:p>
    <w:p w14:paraId="453D778E" w14:textId="77777777" w:rsidR="00EF7636" w:rsidRPr="00E86501" w:rsidRDefault="00EF7636" w:rsidP="00EF7636">
      <w:pPr>
        <w:rPr>
          <w:b/>
          <w:bCs/>
          <w:color w:val="000000" w:themeColor="text1"/>
          <w:sz w:val="20"/>
          <w:szCs w:val="20"/>
          <w:highlight w:val="cyan"/>
          <w:lang w:val="en-US"/>
        </w:rPr>
      </w:pPr>
      <w:r w:rsidRPr="00E86501">
        <w:rPr>
          <w:b/>
          <w:bCs/>
          <w:color w:val="000000" w:themeColor="text1"/>
          <w:sz w:val="20"/>
          <w:szCs w:val="20"/>
          <w:highlight w:val="cyan"/>
          <w:lang w:val="en-US"/>
        </w:rPr>
        <w:t>Implementation Arrangements</w:t>
      </w:r>
    </w:p>
    <w:p w14:paraId="6220524F" w14:textId="77777777" w:rsidR="00EF7636" w:rsidRPr="00E86501" w:rsidRDefault="00EF7636" w:rsidP="00EF7636">
      <w:pPr>
        <w:rPr>
          <w:color w:val="000000" w:themeColor="text1"/>
          <w:sz w:val="20"/>
          <w:szCs w:val="20"/>
          <w:highlight w:val="cyan"/>
          <w:lang w:val="en-US"/>
        </w:rPr>
      </w:pPr>
      <w:r w:rsidRPr="00E86501">
        <w:rPr>
          <w:color w:val="000000" w:themeColor="text1"/>
          <w:sz w:val="20"/>
          <w:szCs w:val="20"/>
          <w:highlight w:val="cyan"/>
          <w:lang w:val="en-US"/>
        </w:rPr>
        <w:lastRenderedPageBreak/>
        <w:t xml:space="preserve">This activity will be led by the </w:t>
      </w:r>
      <w:r w:rsidRPr="00E86501">
        <w:rPr>
          <w:b/>
          <w:bCs/>
          <w:color w:val="000000" w:themeColor="text1"/>
          <w:sz w:val="20"/>
          <w:szCs w:val="20"/>
          <w:highlight w:val="cyan"/>
          <w:lang w:val="en-US"/>
        </w:rPr>
        <w:t>General Directorate for Transport (GDT)</w:t>
      </w:r>
      <w:r w:rsidRPr="00E86501">
        <w:rPr>
          <w:color w:val="000000" w:themeColor="text1"/>
          <w:sz w:val="20"/>
          <w:szCs w:val="20"/>
          <w:highlight w:val="cyan"/>
          <w:lang w:val="en-US"/>
        </w:rPr>
        <w:t xml:space="preserve">, which will serve as the primary implementing institution. For activities targeting operators and transport stakeholders within the District of Bamako, the </w:t>
      </w:r>
      <w:r w:rsidRPr="00E86501">
        <w:rPr>
          <w:b/>
          <w:bCs/>
          <w:color w:val="000000" w:themeColor="text1"/>
          <w:sz w:val="20"/>
          <w:szCs w:val="20"/>
          <w:highlight w:val="cyan"/>
          <w:lang w:val="en-US"/>
        </w:rPr>
        <w:t>District of Bamako</w:t>
      </w:r>
      <w:r w:rsidRPr="00E86501">
        <w:rPr>
          <w:color w:val="000000" w:themeColor="text1"/>
          <w:sz w:val="20"/>
          <w:szCs w:val="20"/>
          <w:highlight w:val="cyan"/>
          <w:lang w:val="en-US"/>
        </w:rPr>
        <w:t xml:space="preserve"> will act as co-pilot to ensure coherent coordination, mobilization of beneficiaries, and alignment with municipal priorities.</w:t>
      </w:r>
    </w:p>
    <w:p w14:paraId="0D0284BB" w14:textId="77777777" w:rsidR="00EF7636" w:rsidRPr="00E86501" w:rsidRDefault="00EF7636" w:rsidP="00EF7636">
      <w:pPr>
        <w:rPr>
          <w:color w:val="000000" w:themeColor="text1"/>
          <w:sz w:val="20"/>
          <w:szCs w:val="20"/>
          <w:lang w:val="en-US"/>
        </w:rPr>
      </w:pPr>
      <w:r w:rsidRPr="00E86501">
        <w:rPr>
          <w:color w:val="000000" w:themeColor="text1"/>
          <w:sz w:val="20"/>
          <w:szCs w:val="20"/>
          <w:highlight w:val="cyan"/>
          <w:lang w:val="en-US"/>
        </w:rPr>
        <w:t xml:space="preserve">The </w:t>
      </w:r>
      <w:r w:rsidRPr="00E86501">
        <w:rPr>
          <w:b/>
          <w:bCs/>
          <w:color w:val="000000" w:themeColor="text1"/>
          <w:sz w:val="20"/>
          <w:szCs w:val="20"/>
          <w:highlight w:val="cyan"/>
          <w:lang w:val="en-US"/>
        </w:rPr>
        <w:t>Project Management Unit (PMU)</w:t>
      </w:r>
      <w:r w:rsidRPr="00E86501">
        <w:rPr>
          <w:color w:val="000000" w:themeColor="text1"/>
          <w:sz w:val="20"/>
          <w:szCs w:val="20"/>
          <w:highlight w:val="cyan"/>
          <w:lang w:val="en-US"/>
        </w:rPr>
        <w:t xml:space="preserve"> will support the GDT in the operationalization of the activity, notably through the recruitment and supervision of a </w:t>
      </w:r>
      <w:r w:rsidRPr="00E86501">
        <w:rPr>
          <w:b/>
          <w:bCs/>
          <w:color w:val="000000" w:themeColor="text1"/>
          <w:sz w:val="20"/>
          <w:szCs w:val="20"/>
          <w:highlight w:val="cyan"/>
          <w:lang w:val="en-US"/>
        </w:rPr>
        <w:t>specialized consultancy firm</w:t>
      </w:r>
      <w:r w:rsidRPr="00E86501">
        <w:rPr>
          <w:color w:val="000000" w:themeColor="text1"/>
          <w:sz w:val="20"/>
          <w:szCs w:val="20"/>
          <w:highlight w:val="cyan"/>
          <w:lang w:val="en-US"/>
        </w:rPr>
        <w:t xml:space="preserve">. The firm may be engaged to deliver the </w:t>
      </w:r>
      <w:r w:rsidRPr="00E86501">
        <w:rPr>
          <w:b/>
          <w:bCs/>
          <w:color w:val="000000" w:themeColor="text1"/>
          <w:sz w:val="20"/>
          <w:szCs w:val="20"/>
          <w:highlight w:val="cyan"/>
          <w:lang w:val="en-US"/>
        </w:rPr>
        <w:t>entire capacity-building package</w:t>
      </w:r>
      <w:r w:rsidRPr="00E86501">
        <w:rPr>
          <w:color w:val="000000" w:themeColor="text1"/>
          <w:sz w:val="20"/>
          <w:szCs w:val="20"/>
          <w:highlight w:val="cyan"/>
          <w:lang w:val="en-US"/>
        </w:rPr>
        <w:t xml:space="preserve"> or to implement the modules in </w:t>
      </w:r>
      <w:r w:rsidRPr="00E86501">
        <w:rPr>
          <w:b/>
          <w:bCs/>
          <w:color w:val="000000" w:themeColor="text1"/>
          <w:sz w:val="20"/>
          <w:szCs w:val="20"/>
          <w:highlight w:val="cyan"/>
          <w:lang w:val="en-US"/>
        </w:rPr>
        <w:t>separate lots</w:t>
      </w:r>
      <w:r w:rsidRPr="00E86501">
        <w:rPr>
          <w:color w:val="000000" w:themeColor="text1"/>
          <w:sz w:val="20"/>
          <w:szCs w:val="20"/>
          <w:highlight w:val="cyan"/>
          <w:lang w:val="en-US"/>
        </w:rPr>
        <w:t>, depending on market capacity and procurement considerations. This flexible modality will ensure timely delivery, high-quality technical inputs, and effective coordination with all relevant stakeholders.</w:t>
      </w:r>
    </w:p>
    <w:p w14:paraId="595585C5" w14:textId="77777777" w:rsidR="003975C3" w:rsidRPr="00857B81" w:rsidRDefault="003975C3" w:rsidP="003975C3">
      <w:pPr>
        <w:spacing w:after="0"/>
        <w:jc w:val="both"/>
        <w:rPr>
          <w:sz w:val="20"/>
          <w:szCs w:val="20"/>
          <w:highlight w:val="yellow"/>
        </w:rPr>
      </w:pPr>
      <w:r w:rsidRPr="00857B81">
        <w:rPr>
          <w:sz w:val="20"/>
          <w:szCs w:val="20"/>
          <w:highlight w:val="yellow"/>
        </w:rPr>
        <w:t xml:space="preserve">Key Cross-Cutting </w:t>
      </w:r>
      <w:proofErr w:type="spellStart"/>
      <w:proofErr w:type="gramStart"/>
      <w:r w:rsidRPr="00857B81">
        <w:rPr>
          <w:sz w:val="20"/>
          <w:szCs w:val="20"/>
          <w:highlight w:val="yellow"/>
        </w:rPr>
        <w:t>Elements</w:t>
      </w:r>
      <w:proofErr w:type="spellEnd"/>
      <w:r w:rsidRPr="00857B81">
        <w:rPr>
          <w:sz w:val="20"/>
          <w:szCs w:val="20"/>
          <w:highlight w:val="yellow"/>
        </w:rPr>
        <w:t>:</w:t>
      </w:r>
      <w:proofErr w:type="gramEnd"/>
    </w:p>
    <w:p w14:paraId="40F9C17D" w14:textId="77777777" w:rsidR="003975C3" w:rsidRPr="00857B81" w:rsidRDefault="003975C3" w:rsidP="003975C3">
      <w:pPr>
        <w:pStyle w:val="Paragraphedeliste"/>
        <w:numPr>
          <w:ilvl w:val="0"/>
          <w:numId w:val="45"/>
        </w:numPr>
        <w:spacing w:after="0"/>
        <w:jc w:val="both"/>
        <w:rPr>
          <w:sz w:val="20"/>
          <w:szCs w:val="20"/>
          <w:highlight w:val="yellow"/>
          <w:lang w:val="en-US"/>
        </w:rPr>
      </w:pPr>
      <w:r w:rsidRPr="2DC80E69">
        <w:rPr>
          <w:sz w:val="20"/>
          <w:szCs w:val="20"/>
          <w:highlight w:val="yellow"/>
          <w:lang w:val="en-US"/>
        </w:rPr>
        <w:t xml:space="preserve">Gender Inclusion: Specific outreach, quotas, and adapted training approaches to increase women’s participation in technical roles and leadership across the EV value </w:t>
      </w:r>
      <w:proofErr w:type="spellStart"/>
      <w:proofErr w:type="gramStart"/>
      <w:r w:rsidRPr="2DC80E69">
        <w:rPr>
          <w:sz w:val="20"/>
          <w:szCs w:val="20"/>
          <w:highlight w:val="yellow"/>
          <w:lang w:val="en-US"/>
        </w:rPr>
        <w:t>chain;</w:t>
      </w:r>
      <w:r w:rsidRPr="00857B81">
        <w:rPr>
          <w:sz w:val="20"/>
          <w:szCs w:val="20"/>
          <w:highlight w:val="yellow"/>
          <w:lang w:val="en-US"/>
        </w:rPr>
        <w:t>training</w:t>
      </w:r>
      <w:proofErr w:type="spellEnd"/>
      <w:proofErr w:type="gramEnd"/>
      <w:r w:rsidRPr="00857B81">
        <w:rPr>
          <w:sz w:val="20"/>
          <w:szCs w:val="20"/>
          <w:highlight w:val="yellow"/>
          <w:lang w:val="en-US"/>
        </w:rPr>
        <w:t xml:space="preserve"> approaches to increase women’s participation in technical roles and leadership across the EV value chain;</w:t>
      </w:r>
    </w:p>
    <w:p w14:paraId="4880B9F7" w14:textId="77777777" w:rsidR="003975C3" w:rsidRPr="00857B81" w:rsidRDefault="003975C3" w:rsidP="003975C3">
      <w:pPr>
        <w:pStyle w:val="Paragraphedeliste"/>
        <w:numPr>
          <w:ilvl w:val="0"/>
          <w:numId w:val="45"/>
        </w:numPr>
        <w:spacing w:after="0"/>
        <w:jc w:val="both"/>
        <w:rPr>
          <w:sz w:val="20"/>
          <w:szCs w:val="20"/>
          <w:highlight w:val="yellow"/>
          <w:lang w:val="en-US"/>
        </w:rPr>
      </w:pPr>
      <w:r w:rsidRPr="00857B81">
        <w:rPr>
          <w:sz w:val="20"/>
          <w:szCs w:val="20"/>
          <w:highlight w:val="yellow"/>
          <w:lang w:val="en-US"/>
        </w:rPr>
        <w:t xml:space="preserve">Private Sector Engagement: Integration of business models, access to finance, and cooperative support mechanisms to enhance employability and entrepreneurship </w:t>
      </w:r>
      <w:proofErr w:type="gramStart"/>
      <w:r w:rsidRPr="00857B81">
        <w:rPr>
          <w:sz w:val="20"/>
          <w:szCs w:val="20"/>
          <w:highlight w:val="yellow"/>
          <w:lang w:val="en-US"/>
        </w:rPr>
        <w:t>opportunities;</w:t>
      </w:r>
      <w:proofErr w:type="gramEnd"/>
    </w:p>
    <w:p w14:paraId="0D6B259B" w14:textId="77777777" w:rsidR="003975C3" w:rsidRPr="00857B81" w:rsidRDefault="003975C3" w:rsidP="003975C3">
      <w:pPr>
        <w:pStyle w:val="Paragraphedeliste"/>
        <w:numPr>
          <w:ilvl w:val="0"/>
          <w:numId w:val="45"/>
        </w:numPr>
        <w:spacing w:after="0"/>
        <w:jc w:val="both"/>
        <w:rPr>
          <w:sz w:val="20"/>
          <w:szCs w:val="20"/>
          <w:highlight w:val="yellow"/>
          <w:lang w:val="en-US"/>
        </w:rPr>
      </w:pPr>
      <w:r w:rsidRPr="00857B81">
        <w:rPr>
          <w:sz w:val="20"/>
          <w:szCs w:val="20"/>
          <w:highlight w:val="yellow"/>
          <w:lang w:val="en-US"/>
        </w:rPr>
        <w:t xml:space="preserve">International Learning and Peer Exchange: Linkages with global EV platforms, technical networks, and bilateral cooperation frameworks to ensure exposure to best practices and </w:t>
      </w:r>
      <w:proofErr w:type="gramStart"/>
      <w:r w:rsidRPr="00857B81">
        <w:rPr>
          <w:sz w:val="20"/>
          <w:szCs w:val="20"/>
          <w:highlight w:val="yellow"/>
          <w:lang w:val="en-US"/>
        </w:rPr>
        <w:t>innovation;</w:t>
      </w:r>
      <w:proofErr w:type="gramEnd"/>
    </w:p>
    <w:p w14:paraId="628E5BDC" w14:textId="77777777" w:rsidR="003975C3" w:rsidRPr="00857B81" w:rsidRDefault="003975C3" w:rsidP="003975C3">
      <w:pPr>
        <w:pStyle w:val="Paragraphedeliste"/>
        <w:numPr>
          <w:ilvl w:val="0"/>
          <w:numId w:val="45"/>
        </w:numPr>
        <w:spacing w:after="0"/>
        <w:jc w:val="both"/>
        <w:rPr>
          <w:sz w:val="20"/>
          <w:szCs w:val="20"/>
          <w:highlight w:val="yellow"/>
          <w:lang w:val="en-US"/>
        </w:rPr>
      </w:pPr>
      <w:r w:rsidRPr="2DC80E69">
        <w:rPr>
          <w:sz w:val="20"/>
          <w:szCs w:val="20"/>
          <w:highlight w:val="yellow"/>
          <w:lang w:val="en-US"/>
        </w:rPr>
        <w:t xml:space="preserve">Sustainability and Institutionalization: Focus on building long-term institutional capacity, local ownership, and integration into national TVET systems to ensure the durability and relevance of the </w:t>
      </w:r>
      <w:proofErr w:type="spellStart"/>
      <w:r w:rsidRPr="2DC80E69">
        <w:rPr>
          <w:sz w:val="20"/>
          <w:szCs w:val="20"/>
          <w:highlight w:val="yellow"/>
          <w:lang w:val="en-US"/>
        </w:rPr>
        <w:t>programme</w:t>
      </w:r>
      <w:proofErr w:type="spellEnd"/>
      <w:r w:rsidRPr="2DC80E69">
        <w:rPr>
          <w:sz w:val="20"/>
          <w:szCs w:val="20"/>
          <w:highlight w:val="yellow"/>
          <w:lang w:val="en-US"/>
        </w:rPr>
        <w:t>.</w:t>
      </w:r>
    </w:p>
    <w:p w14:paraId="0A66FBBD" w14:textId="77777777" w:rsidR="003975C3" w:rsidRDefault="003975C3" w:rsidP="003975C3">
      <w:pPr>
        <w:pStyle w:val="Paragraphedeliste"/>
        <w:numPr>
          <w:ilvl w:val="0"/>
          <w:numId w:val="45"/>
        </w:numPr>
        <w:spacing w:after="0"/>
        <w:jc w:val="both"/>
        <w:rPr>
          <w:sz w:val="20"/>
          <w:szCs w:val="20"/>
          <w:highlight w:val="yellow"/>
          <w:lang w:val="en-US"/>
        </w:rPr>
      </w:pPr>
      <w:r w:rsidRPr="00857B81">
        <w:rPr>
          <w:sz w:val="20"/>
          <w:szCs w:val="20"/>
          <w:highlight w:val="yellow"/>
          <w:lang w:val="en-US"/>
        </w:rPr>
        <w:t>By creating a nationally certified and inclusive skills ecosystem for EV deployment, this activity will support the broader goals of green industrial transformation, while enabling a just transition to electric mobility in Mali’s urban and peri-urban areas.</w:t>
      </w:r>
    </w:p>
    <w:p w14:paraId="2BD43BF5" w14:textId="77777777" w:rsidR="003975C3" w:rsidRPr="00857B81" w:rsidRDefault="003975C3" w:rsidP="003975C3">
      <w:pPr>
        <w:pStyle w:val="Paragraphedeliste"/>
        <w:spacing w:after="0"/>
        <w:jc w:val="both"/>
        <w:rPr>
          <w:sz w:val="20"/>
          <w:szCs w:val="20"/>
          <w:highlight w:val="yellow"/>
          <w:lang w:val="en-US"/>
        </w:rPr>
      </w:pPr>
    </w:p>
    <w:p w14:paraId="2E25F390" w14:textId="0BA89E27" w:rsidR="0DEEE6FB" w:rsidRPr="00E86501" w:rsidRDefault="0DEEE6FB" w:rsidP="00EB7957">
      <w:pPr>
        <w:spacing w:after="0"/>
        <w:jc w:val="both"/>
        <w:rPr>
          <w:sz w:val="20"/>
          <w:szCs w:val="20"/>
          <w:highlight w:val="cyan"/>
          <w:u w:val="single"/>
          <w:lang w:val="en-US"/>
        </w:rPr>
      </w:pPr>
      <w:r w:rsidRPr="00E86501">
        <w:rPr>
          <w:i/>
          <w:iCs/>
          <w:color w:val="000000" w:themeColor="text1"/>
          <w:sz w:val="20"/>
          <w:szCs w:val="20"/>
          <w:highlight w:val="cyan"/>
          <w:u w:val="single"/>
          <w:lang w:val="en-US"/>
        </w:rPr>
        <w:t>Activity 2.1.1.</w:t>
      </w:r>
      <w:r w:rsidR="00673A83" w:rsidRPr="00E86501">
        <w:rPr>
          <w:i/>
          <w:iCs/>
          <w:color w:val="000000" w:themeColor="text1"/>
          <w:sz w:val="20"/>
          <w:szCs w:val="20"/>
          <w:highlight w:val="cyan"/>
          <w:u w:val="single"/>
          <w:lang w:val="en-US"/>
        </w:rPr>
        <w:t>2</w:t>
      </w:r>
      <w:r w:rsidR="00EC1041" w:rsidRPr="00E86501">
        <w:rPr>
          <w:i/>
          <w:iCs/>
          <w:color w:val="000000" w:themeColor="text1"/>
          <w:sz w:val="20"/>
          <w:szCs w:val="20"/>
          <w:highlight w:val="cyan"/>
          <w:u w:val="single"/>
          <w:lang w:val="en-US"/>
        </w:rPr>
        <w:t xml:space="preserve"> </w:t>
      </w:r>
      <w:r w:rsidR="00A01DE7" w:rsidRPr="00E86501">
        <w:rPr>
          <w:i/>
          <w:iCs/>
          <w:color w:val="000000" w:themeColor="text1"/>
          <w:sz w:val="20"/>
          <w:szCs w:val="20"/>
          <w:highlight w:val="cyan"/>
          <w:u w:val="single"/>
          <w:lang w:val="en-US"/>
        </w:rPr>
        <w:t>C</w:t>
      </w:r>
      <w:r w:rsidR="00EC1041" w:rsidRPr="00E86501">
        <w:rPr>
          <w:i/>
          <w:iCs/>
          <w:color w:val="000000" w:themeColor="text1"/>
          <w:sz w:val="20"/>
          <w:szCs w:val="20"/>
          <w:highlight w:val="cyan"/>
          <w:u w:val="single"/>
          <w:lang w:val="en-US"/>
        </w:rPr>
        <w:t>onduct a</w:t>
      </w:r>
      <w:r w:rsidR="002D69D7" w:rsidRPr="00E86501">
        <w:rPr>
          <w:highlight w:val="cyan"/>
          <w:lang w:val="en-US"/>
        </w:rPr>
        <w:t xml:space="preserve"> </w:t>
      </w:r>
      <w:r w:rsidR="62407EF4" w:rsidRPr="2DC80E69">
        <w:rPr>
          <w:highlight w:val="cyan"/>
          <w:lang w:val="en-US"/>
        </w:rPr>
        <w:t>f</w:t>
      </w:r>
      <w:r w:rsidR="002D69D7" w:rsidRPr="00E86501">
        <w:rPr>
          <w:i/>
          <w:iCs/>
          <w:color w:val="000000" w:themeColor="text1"/>
          <w:sz w:val="20"/>
          <w:szCs w:val="20"/>
          <w:highlight w:val="cyan"/>
          <w:u w:val="single"/>
          <w:lang w:val="en-US"/>
        </w:rPr>
        <w:t>ea</w:t>
      </w:r>
      <w:r w:rsidR="00A36E88" w:rsidRPr="2DC80E69">
        <w:rPr>
          <w:i/>
          <w:iCs/>
          <w:color w:val="000000" w:themeColor="text1"/>
          <w:sz w:val="20"/>
          <w:szCs w:val="20"/>
          <w:highlight w:val="cyan"/>
          <w:u w:val="single"/>
          <w:lang w:val="en-US"/>
        </w:rPr>
        <w:t>si</w:t>
      </w:r>
      <w:r w:rsidR="002D69D7" w:rsidRPr="00E86501">
        <w:rPr>
          <w:i/>
          <w:iCs/>
          <w:color w:val="000000" w:themeColor="text1"/>
          <w:sz w:val="20"/>
          <w:szCs w:val="20"/>
          <w:highlight w:val="cyan"/>
          <w:u w:val="single"/>
          <w:lang w:val="en-US"/>
        </w:rPr>
        <w:t xml:space="preserve">bility study for </w:t>
      </w:r>
      <w:r w:rsidR="0CBD988A" w:rsidRPr="2DC80E69">
        <w:rPr>
          <w:i/>
          <w:iCs/>
          <w:color w:val="000000" w:themeColor="text1"/>
          <w:sz w:val="20"/>
          <w:szCs w:val="20"/>
          <w:highlight w:val="cyan"/>
          <w:u w:val="single"/>
          <w:lang w:val="en-US"/>
        </w:rPr>
        <w:t xml:space="preserve">the </w:t>
      </w:r>
      <w:r w:rsidR="002D69D7" w:rsidRPr="00E86501">
        <w:rPr>
          <w:i/>
          <w:iCs/>
          <w:color w:val="000000" w:themeColor="text1"/>
          <w:sz w:val="20"/>
          <w:szCs w:val="20"/>
          <w:highlight w:val="cyan"/>
          <w:u w:val="single"/>
          <w:lang w:val="en-US"/>
        </w:rPr>
        <w:t xml:space="preserve">relocation and equipment of craftsmen in peripheral professional </w:t>
      </w:r>
      <w:r w:rsidR="00BC4E3F" w:rsidRPr="00E86501">
        <w:rPr>
          <w:i/>
          <w:iCs/>
          <w:color w:val="000000" w:themeColor="text1"/>
          <w:sz w:val="20"/>
          <w:szCs w:val="20"/>
          <w:highlight w:val="cyan"/>
          <w:u w:val="single"/>
          <w:lang w:val="en-US"/>
        </w:rPr>
        <w:t>centers</w:t>
      </w:r>
      <w:r w:rsidR="00EB7957" w:rsidRPr="00E86501">
        <w:rPr>
          <w:i/>
          <w:iCs/>
          <w:color w:val="000000" w:themeColor="text1"/>
          <w:sz w:val="20"/>
          <w:szCs w:val="20"/>
          <w:highlight w:val="cyan"/>
          <w:u w:val="single"/>
          <w:lang w:val="en-US"/>
        </w:rPr>
        <w:t xml:space="preserve"> (</w:t>
      </w:r>
      <w:proofErr w:type="spellStart"/>
      <w:r w:rsidR="00EB7957" w:rsidRPr="00E86501">
        <w:rPr>
          <w:i/>
          <w:iCs/>
          <w:color w:val="000000" w:themeColor="text1"/>
          <w:sz w:val="20"/>
          <w:szCs w:val="20"/>
          <w:highlight w:val="cyan"/>
          <w:u w:val="single"/>
          <w:lang w:val="en-US"/>
        </w:rPr>
        <w:t>Missabougou</w:t>
      </w:r>
      <w:proofErr w:type="spellEnd"/>
      <w:r w:rsidR="00EB7957" w:rsidRPr="00E86501">
        <w:rPr>
          <w:i/>
          <w:iCs/>
          <w:color w:val="000000" w:themeColor="text1"/>
          <w:sz w:val="20"/>
          <w:szCs w:val="20"/>
          <w:highlight w:val="cyan"/>
          <w:u w:val="single"/>
          <w:lang w:val="en-US"/>
        </w:rPr>
        <w:t xml:space="preserve">, </w:t>
      </w:r>
      <w:proofErr w:type="spellStart"/>
      <w:r w:rsidR="00EB7957" w:rsidRPr="00E86501">
        <w:rPr>
          <w:i/>
          <w:iCs/>
          <w:color w:val="000000" w:themeColor="text1"/>
          <w:sz w:val="20"/>
          <w:szCs w:val="20"/>
          <w:highlight w:val="cyan"/>
          <w:u w:val="single"/>
          <w:lang w:val="en-US"/>
        </w:rPr>
        <w:t>Sénou</w:t>
      </w:r>
      <w:proofErr w:type="spellEnd"/>
      <w:r w:rsidR="00EB7957" w:rsidRPr="00E86501">
        <w:rPr>
          <w:i/>
          <w:iCs/>
          <w:color w:val="000000" w:themeColor="text1"/>
          <w:sz w:val="20"/>
          <w:szCs w:val="20"/>
          <w:highlight w:val="cyan"/>
          <w:u w:val="single"/>
          <w:lang w:val="en-US"/>
        </w:rPr>
        <w:t xml:space="preserve">, ECICA, INFP/BTP) </w:t>
      </w:r>
      <w:r w:rsidR="002D69D7" w:rsidRPr="00E86501">
        <w:rPr>
          <w:i/>
          <w:iCs/>
          <w:color w:val="000000" w:themeColor="text1"/>
          <w:sz w:val="20"/>
          <w:szCs w:val="20"/>
          <w:highlight w:val="cyan"/>
          <w:u w:val="single"/>
          <w:lang w:val="en-US"/>
        </w:rPr>
        <w:t>and the facilitation of access to public procurement and credit</w:t>
      </w:r>
    </w:p>
    <w:p w14:paraId="24DD2D19" w14:textId="24C6F718" w:rsidR="0764FF73" w:rsidRPr="00E86501" w:rsidRDefault="0764FF73" w:rsidP="00A36E88">
      <w:pPr>
        <w:spacing w:after="0"/>
        <w:jc w:val="both"/>
        <w:rPr>
          <w:sz w:val="20"/>
          <w:szCs w:val="20"/>
          <w:highlight w:val="cyan"/>
          <w:lang w:val="en-US"/>
        </w:rPr>
      </w:pPr>
    </w:p>
    <w:p w14:paraId="3AD9E1A4" w14:textId="5EC7E701" w:rsidR="788DF1B3" w:rsidRPr="00857B81" w:rsidRDefault="788DF1B3" w:rsidP="00857B81">
      <w:pPr>
        <w:spacing w:after="0"/>
        <w:jc w:val="both"/>
        <w:rPr>
          <w:sz w:val="20"/>
          <w:szCs w:val="20"/>
          <w:highlight w:val="yellow"/>
          <w:lang w:val="en-US"/>
        </w:rPr>
      </w:pPr>
      <w:r w:rsidRPr="2DC80E69">
        <w:rPr>
          <w:sz w:val="20"/>
          <w:szCs w:val="20"/>
          <w:highlight w:val="yellow"/>
          <w:lang w:val="en-US"/>
        </w:rPr>
        <w:t xml:space="preserve">The transition to electric mobility in Bamako presents not only an environmental opportunity but also a lever for </w:t>
      </w:r>
      <w:r w:rsidRPr="2DC80E69">
        <w:rPr>
          <w:b/>
          <w:bCs/>
          <w:sz w:val="20"/>
          <w:szCs w:val="20"/>
          <w:highlight w:val="yellow"/>
          <w:lang w:val="en-US"/>
        </w:rPr>
        <w:t>inclusive local economic development</w:t>
      </w:r>
      <w:r w:rsidRPr="2DC80E69">
        <w:rPr>
          <w:sz w:val="20"/>
          <w:szCs w:val="20"/>
          <w:highlight w:val="yellow"/>
          <w:lang w:val="en-US"/>
        </w:rPr>
        <w:t xml:space="preserve">. However, realizing this potential requires the creation of a </w:t>
      </w:r>
      <w:r w:rsidRPr="2DC80E69">
        <w:rPr>
          <w:b/>
          <w:bCs/>
          <w:sz w:val="20"/>
          <w:szCs w:val="20"/>
          <w:highlight w:val="yellow"/>
          <w:lang w:val="en-US"/>
        </w:rPr>
        <w:t>robust technical ecosystem</w:t>
      </w:r>
      <w:r w:rsidRPr="2DC80E69">
        <w:rPr>
          <w:sz w:val="20"/>
          <w:szCs w:val="20"/>
          <w:highlight w:val="yellow"/>
          <w:lang w:val="en-US"/>
        </w:rPr>
        <w:t>—one that enables skilled artisans and small-scale entrepreneurs to participate in, and benefit from, the emerging e-mobility value chain.</w:t>
      </w:r>
    </w:p>
    <w:p w14:paraId="6BB78B86" w14:textId="77885F07" w:rsidR="788DF1B3" w:rsidRPr="00857B81" w:rsidRDefault="788DF1B3" w:rsidP="4B3DA424">
      <w:pPr>
        <w:spacing w:after="0"/>
        <w:jc w:val="both"/>
        <w:rPr>
          <w:sz w:val="20"/>
          <w:szCs w:val="20"/>
          <w:highlight w:val="yellow"/>
          <w:lang w:val="en-US"/>
        </w:rPr>
      </w:pPr>
      <w:r w:rsidRPr="4B3DA424">
        <w:rPr>
          <w:sz w:val="20"/>
          <w:szCs w:val="20"/>
          <w:highlight w:val="yellow"/>
          <w:lang w:val="en-US"/>
        </w:rPr>
        <w:t xml:space="preserve">This activity aims to strengthen local economic integration and support the professionalization of craftsmen by </w:t>
      </w:r>
      <w:r w:rsidR="00D74728" w:rsidRPr="4B3DA424">
        <w:rPr>
          <w:sz w:val="20"/>
          <w:szCs w:val="20"/>
          <w:highlight w:val="yellow"/>
          <w:lang w:val="en-US"/>
        </w:rPr>
        <w:t xml:space="preserve">conducting </w:t>
      </w:r>
      <w:r w:rsidR="0016560A" w:rsidRPr="4B3DA424">
        <w:rPr>
          <w:sz w:val="20"/>
          <w:szCs w:val="20"/>
          <w:highlight w:val="yellow"/>
          <w:lang w:val="en-US"/>
        </w:rPr>
        <w:t xml:space="preserve">a feasibility study on their </w:t>
      </w:r>
      <w:r w:rsidRPr="4B3DA424">
        <w:rPr>
          <w:sz w:val="20"/>
          <w:szCs w:val="20"/>
          <w:highlight w:val="yellow"/>
          <w:lang w:val="en-US"/>
        </w:rPr>
        <w:t>relocation</w:t>
      </w:r>
      <w:r w:rsidR="0016560A" w:rsidRPr="4B3DA424">
        <w:rPr>
          <w:sz w:val="20"/>
          <w:szCs w:val="20"/>
          <w:highlight w:val="yellow"/>
          <w:lang w:val="en-US"/>
        </w:rPr>
        <w:t xml:space="preserve"> </w:t>
      </w:r>
      <w:r w:rsidRPr="4B3DA424">
        <w:rPr>
          <w:sz w:val="20"/>
          <w:szCs w:val="20"/>
          <w:highlight w:val="yellow"/>
          <w:lang w:val="en-US"/>
        </w:rPr>
        <w:t>and equipment within dedicated peripheral technical centers around Bamako</w:t>
      </w:r>
      <w:r w:rsidR="7E7201CF" w:rsidRPr="4B3DA424">
        <w:rPr>
          <w:sz w:val="20"/>
          <w:szCs w:val="20"/>
          <w:highlight w:val="yellow"/>
          <w:lang w:val="en-US"/>
        </w:rPr>
        <w:t xml:space="preserve"> (upgrading of vocational training centers and artisan networks through the establishment of specialized laboratories, modern equipment, and practical learning infrastructure)</w:t>
      </w:r>
      <w:r w:rsidRPr="4B3DA424">
        <w:rPr>
          <w:sz w:val="20"/>
          <w:szCs w:val="20"/>
          <w:highlight w:val="yellow"/>
          <w:lang w:val="en-US"/>
        </w:rPr>
        <w:t>. These centers will serve as hubs for vehicle maintenance, repair services, and vocational innovation, aligned with both the Bamako Mobility Plan and the broader Urban Master Plan.</w:t>
      </w:r>
    </w:p>
    <w:p w14:paraId="0FDDB646" w14:textId="22E8FB4C" w:rsidR="788DF1B3" w:rsidRPr="00857B81" w:rsidRDefault="49140E18" w:rsidP="00857B81">
      <w:pPr>
        <w:spacing w:after="0"/>
        <w:jc w:val="both"/>
        <w:rPr>
          <w:sz w:val="20"/>
          <w:szCs w:val="20"/>
          <w:highlight w:val="yellow"/>
          <w:lang w:val="en-US"/>
        </w:rPr>
      </w:pPr>
      <w:r w:rsidRPr="4B3DA424">
        <w:rPr>
          <w:sz w:val="20"/>
          <w:szCs w:val="20"/>
          <w:highlight w:val="yellow"/>
          <w:lang w:val="en-US"/>
        </w:rPr>
        <w:t>T</w:t>
      </w:r>
      <w:r w:rsidR="788DF1B3" w:rsidRPr="4B3DA424">
        <w:rPr>
          <w:sz w:val="20"/>
          <w:szCs w:val="20"/>
          <w:highlight w:val="yellow"/>
          <w:lang w:val="en-US"/>
        </w:rPr>
        <w:t xml:space="preserve">he </w:t>
      </w:r>
      <w:proofErr w:type="gramStart"/>
      <w:r w:rsidR="3E4BDC91" w:rsidRPr="4B3DA424">
        <w:rPr>
          <w:sz w:val="20"/>
          <w:szCs w:val="20"/>
          <w:highlight w:val="yellow"/>
          <w:lang w:val="en-US"/>
        </w:rPr>
        <w:t xml:space="preserve">study </w:t>
      </w:r>
      <w:r w:rsidR="788DF1B3" w:rsidRPr="4B3DA424">
        <w:rPr>
          <w:sz w:val="20"/>
          <w:szCs w:val="20"/>
          <w:highlight w:val="yellow"/>
          <w:lang w:val="en-US"/>
        </w:rPr>
        <w:t xml:space="preserve"> </w:t>
      </w:r>
      <w:r w:rsidR="15687AC7" w:rsidRPr="4B3DA424">
        <w:rPr>
          <w:sz w:val="20"/>
          <w:szCs w:val="20"/>
          <w:highlight w:val="yellow"/>
          <w:lang w:val="en-US"/>
        </w:rPr>
        <w:t>will</w:t>
      </w:r>
      <w:proofErr w:type="gramEnd"/>
      <w:r w:rsidR="15687AC7" w:rsidRPr="4B3DA424">
        <w:rPr>
          <w:sz w:val="20"/>
          <w:szCs w:val="20"/>
          <w:highlight w:val="yellow"/>
          <w:lang w:val="en-US"/>
        </w:rPr>
        <w:t xml:space="preserve"> also assess</w:t>
      </w:r>
      <w:r w:rsidR="1D9E2FB7" w:rsidRPr="4B3DA424">
        <w:rPr>
          <w:sz w:val="20"/>
          <w:szCs w:val="20"/>
          <w:highlight w:val="yellow"/>
          <w:lang w:val="en-US"/>
        </w:rPr>
        <w:t xml:space="preserve"> the feasibility of</w:t>
      </w:r>
      <w:r w:rsidR="788DF1B3" w:rsidRPr="4B3DA424">
        <w:rPr>
          <w:sz w:val="20"/>
          <w:szCs w:val="20"/>
          <w:highlight w:val="yellow"/>
          <w:lang w:val="en-US"/>
        </w:rPr>
        <w:t>:</w:t>
      </w:r>
    </w:p>
    <w:p w14:paraId="40FBEAED" w14:textId="77777777" w:rsidR="00486DB6" w:rsidRPr="00E86501" w:rsidRDefault="00486DB6" w:rsidP="00486DB6">
      <w:pPr>
        <w:pStyle w:val="Paragraphedeliste"/>
        <w:numPr>
          <w:ilvl w:val="0"/>
          <w:numId w:val="47"/>
        </w:numPr>
        <w:spacing w:after="0"/>
        <w:rPr>
          <w:color w:val="000000" w:themeColor="text1"/>
          <w:sz w:val="20"/>
          <w:szCs w:val="20"/>
          <w:highlight w:val="yellow"/>
          <w:lang w:val="en-US"/>
        </w:rPr>
      </w:pPr>
      <w:r w:rsidRPr="00E86501">
        <w:rPr>
          <w:color w:val="000000" w:themeColor="text1"/>
          <w:sz w:val="20"/>
          <w:szCs w:val="20"/>
          <w:highlight w:val="yellow"/>
          <w:lang w:val="en-US"/>
        </w:rPr>
        <w:t>Certification of graduates to establish recognized national qualifications in EV maintenance and operations.</w:t>
      </w:r>
    </w:p>
    <w:p w14:paraId="14577A66" w14:textId="02E6F772" w:rsidR="788DF1B3" w:rsidRPr="008257F3" w:rsidRDefault="788DF1B3" w:rsidP="008257F3">
      <w:pPr>
        <w:pStyle w:val="Paragraphedeliste"/>
        <w:numPr>
          <w:ilvl w:val="0"/>
          <w:numId w:val="47"/>
        </w:numPr>
        <w:spacing w:after="0"/>
        <w:jc w:val="both"/>
        <w:rPr>
          <w:sz w:val="20"/>
          <w:szCs w:val="20"/>
          <w:highlight w:val="yellow"/>
          <w:lang w:val="en-US"/>
        </w:rPr>
      </w:pPr>
      <w:r w:rsidRPr="008257F3">
        <w:rPr>
          <w:sz w:val="20"/>
          <w:szCs w:val="20"/>
          <w:highlight w:val="yellow"/>
          <w:lang w:val="en-US"/>
        </w:rPr>
        <w:t xml:space="preserve">Regulatory and institutional proposals to streamline access to public procurement, facilitate the participation of small workshops and informal actors in municipal projects, and ensure compliance with safety and environmental </w:t>
      </w:r>
      <w:proofErr w:type="gramStart"/>
      <w:r w:rsidRPr="008257F3">
        <w:rPr>
          <w:sz w:val="20"/>
          <w:szCs w:val="20"/>
          <w:highlight w:val="yellow"/>
          <w:lang w:val="en-US"/>
        </w:rPr>
        <w:t>norms;</w:t>
      </w:r>
      <w:proofErr w:type="gramEnd"/>
    </w:p>
    <w:p w14:paraId="17F58892" w14:textId="5CFEC8A9" w:rsidR="788DF1B3" w:rsidRPr="00857B81" w:rsidRDefault="4B154541" w:rsidP="00857B81">
      <w:pPr>
        <w:pStyle w:val="Paragraphedeliste"/>
        <w:numPr>
          <w:ilvl w:val="0"/>
          <w:numId w:val="47"/>
        </w:numPr>
        <w:spacing w:after="0"/>
        <w:jc w:val="both"/>
        <w:rPr>
          <w:sz w:val="20"/>
          <w:szCs w:val="20"/>
          <w:highlight w:val="yellow"/>
          <w:lang w:val="en-US"/>
        </w:rPr>
      </w:pPr>
      <w:r w:rsidRPr="2DC80E69">
        <w:rPr>
          <w:sz w:val="20"/>
          <w:szCs w:val="20"/>
          <w:highlight w:val="yellow"/>
          <w:lang w:val="en-US"/>
        </w:rPr>
        <w:t xml:space="preserve">Propose a </w:t>
      </w:r>
      <w:r w:rsidR="788DF1B3" w:rsidRPr="2DC80E69">
        <w:rPr>
          <w:sz w:val="20"/>
          <w:szCs w:val="20"/>
          <w:highlight w:val="yellow"/>
          <w:lang w:val="en-US"/>
        </w:rPr>
        <w:t>Mechanism to improve access to credit and finance, including partnerships with microfinance institutions and banking networks, enabling craftsmen to invest in tools, workspace upgrades, and certification processes.</w:t>
      </w:r>
    </w:p>
    <w:p w14:paraId="64A80FF6" w14:textId="0FB5EF5C" w:rsidR="788DF1B3" w:rsidRPr="00857B81" w:rsidRDefault="788DF1B3" w:rsidP="4B3DA424">
      <w:pPr>
        <w:spacing w:after="0"/>
        <w:jc w:val="both"/>
        <w:rPr>
          <w:sz w:val="20"/>
          <w:szCs w:val="20"/>
          <w:highlight w:val="yellow"/>
          <w:lang w:val="en-US"/>
        </w:rPr>
      </w:pPr>
      <w:r w:rsidRPr="4B3DA424">
        <w:rPr>
          <w:sz w:val="20"/>
          <w:szCs w:val="20"/>
          <w:highlight w:val="yellow"/>
          <w:lang w:val="en-US"/>
        </w:rPr>
        <w:t xml:space="preserve">This feasibility study to establish peripheral centers and artisans with the skills, infrastructure, and access needed to thrive in the electric mobility sector, will contribute to a just, decentralized, and job-rich transition, while reinforcing the objectives of Component 1 on integrated </w:t>
      </w:r>
      <w:proofErr w:type="spellStart"/>
      <w:r w:rsidRPr="4B3DA424">
        <w:rPr>
          <w:sz w:val="20"/>
          <w:szCs w:val="20"/>
          <w:highlight w:val="yellow"/>
          <w:lang w:val="en-US"/>
        </w:rPr>
        <w:t>urba</w:t>
      </w:r>
      <w:proofErr w:type="spellEnd"/>
    </w:p>
    <w:p w14:paraId="415FB1DD" w14:textId="451EA575" w:rsidR="788DF1B3" w:rsidRPr="00857B81" w:rsidRDefault="788DF1B3" w:rsidP="00857B81">
      <w:pPr>
        <w:spacing w:after="0"/>
        <w:jc w:val="both"/>
        <w:rPr>
          <w:sz w:val="20"/>
          <w:szCs w:val="20"/>
          <w:highlight w:val="yellow"/>
          <w:lang w:val="en-US"/>
        </w:rPr>
      </w:pPr>
      <w:r w:rsidRPr="4B3DA424">
        <w:rPr>
          <w:sz w:val="20"/>
          <w:szCs w:val="20"/>
          <w:highlight w:val="yellow"/>
          <w:lang w:val="en-US"/>
        </w:rPr>
        <w:lastRenderedPageBreak/>
        <w:t>n planning and Component 2 on sustainable transport.</w:t>
      </w:r>
    </w:p>
    <w:p w14:paraId="097C765F" w14:textId="50678FB1" w:rsidR="57AF80ED" w:rsidRPr="00857B81" w:rsidRDefault="57AF80ED" w:rsidP="00E86501">
      <w:pPr>
        <w:rPr>
          <w:highlight w:val="yellow"/>
          <w:lang w:val="en-US"/>
        </w:rPr>
      </w:pPr>
    </w:p>
    <w:p w14:paraId="32834923" w14:textId="731AA974" w:rsidR="004F7DB3" w:rsidRPr="006B424B" w:rsidRDefault="02352F6B" w:rsidP="003974F4">
      <w:pPr>
        <w:rPr>
          <w:b/>
          <w:bCs/>
          <w:color w:val="000000" w:themeColor="text1"/>
          <w:sz w:val="20"/>
          <w:szCs w:val="20"/>
          <w:lang w:val="en-US"/>
        </w:rPr>
      </w:pPr>
      <w:r w:rsidRPr="006B424B">
        <w:rPr>
          <w:b/>
          <w:bCs/>
          <w:color w:val="000000" w:themeColor="text1"/>
          <w:sz w:val="20"/>
          <w:szCs w:val="20"/>
          <w:lang w:val="en-US"/>
        </w:rPr>
        <w:t>Output 2.1.2 The requirements for operationalizing the Bamako Mobility Plan in partnership with the private sector are in place</w:t>
      </w:r>
    </w:p>
    <w:p w14:paraId="1476B5E2" w14:textId="77777777" w:rsidR="001B6785" w:rsidRPr="007F4912" w:rsidRDefault="001B6785" w:rsidP="003974F4">
      <w:pPr>
        <w:rPr>
          <w:color w:val="000000" w:themeColor="text1"/>
          <w:sz w:val="20"/>
          <w:szCs w:val="20"/>
          <w:lang w:val="en-US"/>
        </w:rPr>
      </w:pPr>
      <w:r w:rsidRPr="007F4912">
        <w:rPr>
          <w:color w:val="000000" w:themeColor="text1"/>
          <w:sz w:val="20"/>
          <w:szCs w:val="20"/>
          <w:lang w:val="en-US"/>
        </w:rPr>
        <w:t>Output 2.1.2 focuses on advancing sustainable urban transport infrastructure in Bamako through detailed technical and feasibility studies that lay the groundwork for transforming the city’s public transport system. Central to this output are the exploration and planning of innovative transport solutions, including the development of a Bus Rapid Transit (BRT) system, assessment of the Niger River’s navigability for passenger and freight movement, and the designation of dedicated lanes along six major urban corridors to enhance transport capacity and efficiency.</w:t>
      </w:r>
    </w:p>
    <w:p w14:paraId="292C666F" w14:textId="77777777" w:rsidR="001B6785" w:rsidRPr="007F4912" w:rsidRDefault="567B4545" w:rsidP="003974F4">
      <w:pPr>
        <w:rPr>
          <w:color w:val="000000" w:themeColor="text1"/>
          <w:sz w:val="20"/>
          <w:szCs w:val="20"/>
          <w:lang w:val="en-US"/>
        </w:rPr>
      </w:pPr>
      <w:r w:rsidRPr="5D8904BE">
        <w:rPr>
          <w:color w:val="000000" w:themeColor="text1"/>
          <w:sz w:val="20"/>
          <w:szCs w:val="20"/>
          <w:lang w:val="en-US"/>
        </w:rPr>
        <w:t>Complementing these infrastructure plans, the output supports the renewal of Bamako’s public transport fleet by prioritizing low-carbon vehicle technologies such as electric and hybrid models. This involves a comprehensive assessment of the existing fleet, projections of future demand, and the creation of procurement specifications alongside innovative financing strategies to facilitate a progressive and sustainable fleet transition.</w:t>
      </w:r>
    </w:p>
    <w:p w14:paraId="2762872B" w14:textId="77777777" w:rsidR="001B6785" w:rsidRPr="007F4912" w:rsidRDefault="567B4545" w:rsidP="003974F4">
      <w:pPr>
        <w:rPr>
          <w:color w:val="000000" w:themeColor="text1"/>
          <w:sz w:val="20"/>
          <w:szCs w:val="20"/>
          <w:lang w:val="en-US"/>
        </w:rPr>
      </w:pPr>
      <w:r w:rsidRPr="5D8904BE">
        <w:rPr>
          <w:color w:val="000000" w:themeColor="text1"/>
          <w:sz w:val="20"/>
          <w:szCs w:val="20"/>
          <w:lang w:val="en-US"/>
        </w:rPr>
        <w:t>Addressing a critical barrier to e-mobility uptake, Output 2.1.2 also encompasses the feasibility and installation of electric vehicle (EV) charging station prototypes across Bamako’s districts. By involving local very small enterprises (VSEs) in the installation and maintenance processes, this activity aims to foster local economic development while promoting renewable energy solutions, including potential solar power integration. Together, these interventions form a robust foundation for Bamako’s transition to a cleaner, more efficient, and accessible urban transport network</w:t>
      </w:r>
    </w:p>
    <w:p w14:paraId="67A118EB" w14:textId="5B15BF5A" w:rsidR="004F7DB3" w:rsidRPr="006B424B" w:rsidRDefault="02352F6B" w:rsidP="003974F4">
      <w:pPr>
        <w:rPr>
          <w:i/>
          <w:iCs/>
          <w:color w:val="000000" w:themeColor="text1"/>
          <w:sz w:val="20"/>
          <w:szCs w:val="20"/>
          <w:u w:val="single"/>
          <w:lang w:val="en-US"/>
        </w:rPr>
      </w:pPr>
      <w:r w:rsidRPr="0764FF73">
        <w:rPr>
          <w:i/>
          <w:iCs/>
          <w:color w:val="000000" w:themeColor="text1"/>
          <w:sz w:val="20"/>
          <w:szCs w:val="20"/>
          <w:u w:val="single"/>
          <w:lang w:val="en-US"/>
        </w:rPr>
        <w:t>Activity 2.1.2.1 Carry out technical and feasibility studies on the BRT the navigability of the Niger River and dedicated sites for high-capacity public transport and drawing up a detailed preliminary project for the feasibility of sites specific to urban capacity transport:</w:t>
      </w:r>
    </w:p>
    <w:p w14:paraId="2EE0DAF4" w14:textId="49516BA5" w:rsidR="31240EDC" w:rsidRPr="00857B81" w:rsidRDefault="31240EDC" w:rsidP="00691219">
      <w:pPr>
        <w:spacing w:before="240" w:after="240"/>
        <w:jc w:val="both"/>
        <w:rPr>
          <w:sz w:val="20"/>
          <w:szCs w:val="20"/>
          <w:highlight w:val="yellow"/>
          <w:lang w:val="en-US"/>
        </w:rPr>
      </w:pPr>
      <w:r w:rsidRPr="00857B81">
        <w:rPr>
          <w:sz w:val="20"/>
          <w:szCs w:val="20"/>
          <w:highlight w:val="yellow"/>
          <w:lang w:val="en-US"/>
        </w:rPr>
        <w:t>This activity includes the realization of technical and socio-economic feasibility studies on different options for public transport in Bamako. It focuses on:</w:t>
      </w:r>
    </w:p>
    <w:p w14:paraId="51B26CBC" w14:textId="02C8A24B" w:rsidR="31240EDC" w:rsidRPr="00857B81" w:rsidRDefault="31240EDC" w:rsidP="00DC2CA1">
      <w:pPr>
        <w:spacing w:after="0"/>
        <w:ind w:left="1080" w:hanging="360"/>
        <w:jc w:val="both"/>
        <w:rPr>
          <w:sz w:val="20"/>
          <w:szCs w:val="20"/>
          <w:highlight w:val="yellow"/>
          <w:lang w:val="en-US"/>
        </w:rPr>
      </w:pPr>
      <w:r w:rsidRPr="00857B81">
        <w:rPr>
          <w:sz w:val="20"/>
          <w:szCs w:val="20"/>
          <w:highlight w:val="yellow"/>
          <w:lang w:val="en-US"/>
        </w:rPr>
        <w:t>● Bus Rapid Transit (BRT)</w:t>
      </w:r>
    </w:p>
    <w:p w14:paraId="08711DB4" w14:textId="58410BC3" w:rsidR="31240EDC" w:rsidRPr="00857B81" w:rsidRDefault="31240EDC" w:rsidP="00DC2CA1">
      <w:pPr>
        <w:spacing w:after="0"/>
        <w:ind w:left="1080" w:hanging="360"/>
        <w:jc w:val="both"/>
        <w:rPr>
          <w:sz w:val="20"/>
          <w:szCs w:val="20"/>
          <w:highlight w:val="yellow"/>
          <w:lang w:val="en-US"/>
        </w:rPr>
      </w:pPr>
      <w:r w:rsidRPr="00857B81">
        <w:rPr>
          <w:sz w:val="20"/>
          <w:szCs w:val="20"/>
          <w:highlight w:val="yellow"/>
          <w:lang w:val="en-US"/>
        </w:rPr>
        <w:t>● The navigability of the Niger River for passenger and freight transport</w:t>
      </w:r>
    </w:p>
    <w:p w14:paraId="467C2BD8" w14:textId="13C74392" w:rsidR="31240EDC" w:rsidRPr="00857B81" w:rsidRDefault="31240EDC" w:rsidP="00DC2CA1">
      <w:pPr>
        <w:spacing w:after="0"/>
        <w:ind w:left="1080" w:hanging="360"/>
        <w:jc w:val="both"/>
        <w:rPr>
          <w:sz w:val="20"/>
          <w:szCs w:val="20"/>
          <w:highlight w:val="yellow"/>
          <w:lang w:val="en-US"/>
        </w:rPr>
      </w:pPr>
      <w:r w:rsidRPr="00857B81">
        <w:rPr>
          <w:sz w:val="20"/>
          <w:szCs w:val="20"/>
          <w:highlight w:val="yellow"/>
          <w:lang w:val="en-US"/>
        </w:rPr>
        <w:t>● The identification and development of dedicated sites (dedicated lanes) on six major corridors of the city</w:t>
      </w:r>
    </w:p>
    <w:p w14:paraId="6A8DFA41" w14:textId="4B7F486F" w:rsidR="31240EDC" w:rsidRPr="00857B81" w:rsidRDefault="31240EDC" w:rsidP="00DC2CA1">
      <w:pPr>
        <w:spacing w:after="0"/>
        <w:ind w:left="187"/>
        <w:jc w:val="both"/>
        <w:rPr>
          <w:color w:val="000000" w:themeColor="text1"/>
          <w:sz w:val="20"/>
          <w:szCs w:val="20"/>
          <w:highlight w:val="yellow"/>
          <w:lang w:val="en-US"/>
        </w:rPr>
      </w:pPr>
      <w:r w:rsidRPr="00857B81">
        <w:rPr>
          <w:color w:val="000000" w:themeColor="text1"/>
          <w:sz w:val="20"/>
          <w:szCs w:val="20"/>
          <w:highlight w:val="yellow"/>
          <w:lang w:val="en-US"/>
        </w:rPr>
        <w:t>The two feasibility studies will have both international and regional experience sharing/ benchmarking (</w:t>
      </w:r>
      <w:proofErr w:type="spellStart"/>
      <w:r w:rsidRPr="00857B81">
        <w:rPr>
          <w:color w:val="000000" w:themeColor="text1"/>
          <w:sz w:val="20"/>
          <w:szCs w:val="20"/>
          <w:highlight w:val="yellow"/>
          <w:lang w:val="en-US"/>
        </w:rPr>
        <w:t>i.e</w:t>
      </w:r>
      <w:proofErr w:type="spellEnd"/>
      <w:r w:rsidRPr="00857B81">
        <w:rPr>
          <w:color w:val="000000" w:themeColor="text1"/>
          <w:sz w:val="20"/>
          <w:szCs w:val="20"/>
          <w:highlight w:val="yellow"/>
          <w:lang w:val="en-US"/>
        </w:rPr>
        <w:t xml:space="preserve"> BRT). More specifically, the feasibility study of an electric mobility and rapid transfer bus system will evaluate the technical, economic, and environmental aspects.</w:t>
      </w:r>
    </w:p>
    <w:p w14:paraId="0319E7EE" w14:textId="1B3CB407" w:rsidR="31240EDC" w:rsidRPr="00857B81" w:rsidRDefault="31240EDC" w:rsidP="00DC2CA1">
      <w:pPr>
        <w:pStyle w:val="Paragraphedeliste"/>
        <w:numPr>
          <w:ilvl w:val="0"/>
          <w:numId w:val="44"/>
        </w:numPr>
        <w:spacing w:after="0"/>
        <w:ind w:left="547"/>
        <w:jc w:val="both"/>
        <w:rPr>
          <w:color w:val="000000" w:themeColor="text1"/>
          <w:sz w:val="20"/>
          <w:szCs w:val="20"/>
          <w:highlight w:val="yellow"/>
          <w:lang w:val="en-US"/>
        </w:rPr>
      </w:pPr>
      <w:r w:rsidRPr="00857B81">
        <w:rPr>
          <w:color w:val="000000" w:themeColor="text1"/>
          <w:sz w:val="20"/>
          <w:szCs w:val="20"/>
          <w:highlight w:val="yellow"/>
          <w:lang w:val="en-US"/>
        </w:rPr>
        <w:t xml:space="preserve">Demand analysis by studying population travel habits and </w:t>
      </w:r>
      <w:proofErr w:type="gramStart"/>
      <w:r w:rsidRPr="00857B81">
        <w:rPr>
          <w:color w:val="000000" w:themeColor="text1"/>
          <w:sz w:val="20"/>
          <w:szCs w:val="20"/>
          <w:highlight w:val="yellow"/>
          <w:lang w:val="en-US"/>
        </w:rPr>
        <w:t>needs;</w:t>
      </w:r>
      <w:proofErr w:type="gramEnd"/>
    </w:p>
    <w:p w14:paraId="08E3C20B" w14:textId="1D377AFE" w:rsidR="31240EDC" w:rsidRPr="00857B81" w:rsidRDefault="31240EDC" w:rsidP="00DC2CA1">
      <w:pPr>
        <w:pStyle w:val="Paragraphedeliste"/>
        <w:numPr>
          <w:ilvl w:val="0"/>
          <w:numId w:val="44"/>
        </w:numPr>
        <w:spacing w:after="0"/>
        <w:ind w:left="547"/>
        <w:jc w:val="both"/>
        <w:rPr>
          <w:color w:val="000000" w:themeColor="text1"/>
          <w:sz w:val="20"/>
          <w:szCs w:val="20"/>
          <w:highlight w:val="yellow"/>
          <w:lang w:val="en-US"/>
        </w:rPr>
      </w:pPr>
      <w:r w:rsidRPr="00857B81">
        <w:rPr>
          <w:color w:val="000000" w:themeColor="text1"/>
          <w:sz w:val="20"/>
          <w:szCs w:val="20"/>
          <w:highlight w:val="yellow"/>
          <w:lang w:val="en-US"/>
        </w:rPr>
        <w:t>Analysis of infrastructure requirements, such as charging stations for electric vehicles and dedicated bus lanes.</w:t>
      </w:r>
    </w:p>
    <w:p w14:paraId="09E75A74" w14:textId="05E355EC" w:rsidR="31240EDC" w:rsidRPr="00857B81" w:rsidRDefault="31240EDC" w:rsidP="00DC2CA1">
      <w:pPr>
        <w:pStyle w:val="Paragraphedeliste"/>
        <w:numPr>
          <w:ilvl w:val="0"/>
          <w:numId w:val="44"/>
        </w:numPr>
        <w:spacing w:after="0"/>
        <w:ind w:left="547"/>
        <w:jc w:val="both"/>
        <w:rPr>
          <w:color w:val="000000" w:themeColor="text1"/>
          <w:sz w:val="20"/>
          <w:szCs w:val="20"/>
          <w:highlight w:val="yellow"/>
          <w:lang w:val="en-US"/>
        </w:rPr>
      </w:pPr>
      <w:r w:rsidRPr="00857B81">
        <w:rPr>
          <w:color w:val="000000" w:themeColor="text1"/>
          <w:sz w:val="20"/>
          <w:szCs w:val="20"/>
          <w:highlight w:val="yellow"/>
          <w:lang w:val="en-US"/>
        </w:rPr>
        <w:t>Assessment of investment, operating, and maintenance costs, as well as possible sources of funding.</w:t>
      </w:r>
    </w:p>
    <w:p w14:paraId="5A8C676D" w14:textId="710642EA" w:rsidR="31240EDC" w:rsidRPr="00857B81" w:rsidRDefault="31240EDC" w:rsidP="00DC2CA1">
      <w:pPr>
        <w:pStyle w:val="Paragraphedeliste"/>
        <w:numPr>
          <w:ilvl w:val="0"/>
          <w:numId w:val="44"/>
        </w:numPr>
        <w:spacing w:after="0"/>
        <w:ind w:left="547"/>
        <w:jc w:val="both"/>
        <w:rPr>
          <w:sz w:val="20"/>
          <w:szCs w:val="20"/>
          <w:highlight w:val="yellow"/>
          <w:lang w:val="en-US"/>
        </w:rPr>
      </w:pPr>
      <w:r w:rsidRPr="00857B81">
        <w:rPr>
          <w:color w:val="000000" w:themeColor="text1"/>
          <w:sz w:val="20"/>
          <w:szCs w:val="20"/>
          <w:highlight w:val="yellow"/>
          <w:lang w:val="en-US"/>
        </w:rPr>
        <w:t>Environmental impact assessment considering potential reductions in greenhouse gas emissions and benefits to air quality.</w:t>
      </w:r>
    </w:p>
    <w:p w14:paraId="6BAEE1AF" w14:textId="6FA0B1DD" w:rsidR="0764FF73" w:rsidRPr="00857B81" w:rsidRDefault="0764FF73" w:rsidP="00DC2CA1">
      <w:pPr>
        <w:spacing w:after="0"/>
        <w:jc w:val="both"/>
        <w:rPr>
          <w:sz w:val="20"/>
          <w:szCs w:val="20"/>
          <w:highlight w:val="yellow"/>
          <w:lang w:val="en-US"/>
        </w:rPr>
      </w:pPr>
    </w:p>
    <w:p w14:paraId="408CA4E8" w14:textId="5EA9FF17" w:rsidR="31240EDC" w:rsidRPr="00857B81" w:rsidRDefault="31240EDC" w:rsidP="00DC2CA1">
      <w:pPr>
        <w:spacing w:after="0"/>
        <w:jc w:val="both"/>
        <w:rPr>
          <w:sz w:val="20"/>
          <w:szCs w:val="20"/>
          <w:highlight w:val="yellow"/>
          <w:lang w:val="en-US"/>
        </w:rPr>
      </w:pPr>
      <w:r w:rsidRPr="00857B81">
        <w:rPr>
          <w:sz w:val="20"/>
          <w:szCs w:val="20"/>
          <w:highlight w:val="yellow"/>
          <w:lang w:val="en-US"/>
        </w:rPr>
        <w:t xml:space="preserve">The analysis of regulatory and social dimensions will cover public transportation policies as well as the community's acceptability of the project. The objective is to assess the project's feasibility, cost-effectiveness, and social benefits. This will be taught by lessons learned from comparable initiatives in the region, particularly in </w:t>
      </w:r>
      <w:r w:rsidRPr="00857B81">
        <w:rPr>
          <w:b/>
          <w:bCs/>
          <w:sz w:val="20"/>
          <w:szCs w:val="20"/>
          <w:highlight w:val="yellow"/>
          <w:lang w:val="en-US"/>
        </w:rPr>
        <w:t>Dakar</w:t>
      </w:r>
      <w:r w:rsidRPr="00857B81">
        <w:rPr>
          <w:sz w:val="20"/>
          <w:szCs w:val="20"/>
          <w:highlight w:val="yellow"/>
          <w:lang w:val="en-US"/>
        </w:rPr>
        <w:t xml:space="preserve"> and </w:t>
      </w:r>
      <w:r w:rsidRPr="00857B81">
        <w:rPr>
          <w:b/>
          <w:bCs/>
          <w:sz w:val="20"/>
          <w:szCs w:val="20"/>
          <w:highlight w:val="yellow"/>
          <w:lang w:val="en-US"/>
        </w:rPr>
        <w:t>Lagos</w:t>
      </w:r>
      <w:r w:rsidRPr="00857B81">
        <w:rPr>
          <w:sz w:val="20"/>
          <w:szCs w:val="20"/>
          <w:highlight w:val="yellow"/>
          <w:lang w:val="en-US"/>
        </w:rPr>
        <w:t>.</w:t>
      </w:r>
    </w:p>
    <w:p w14:paraId="07DF7E1B" w14:textId="3D87EA92" w:rsidR="31240EDC" w:rsidRPr="00857B81" w:rsidRDefault="31240EDC" w:rsidP="00DC2CA1">
      <w:pPr>
        <w:spacing w:before="240" w:after="240"/>
        <w:jc w:val="both"/>
        <w:rPr>
          <w:sz w:val="20"/>
          <w:szCs w:val="20"/>
          <w:highlight w:val="yellow"/>
          <w:lang w:val="en-US"/>
        </w:rPr>
      </w:pPr>
      <w:r w:rsidRPr="00857B81">
        <w:rPr>
          <w:sz w:val="20"/>
          <w:szCs w:val="20"/>
          <w:highlight w:val="yellow"/>
          <w:lang w:val="en-US"/>
        </w:rPr>
        <w:lastRenderedPageBreak/>
        <w:t xml:space="preserve">In coordination with the consultancy firm conducting the feasibility study, a </w:t>
      </w:r>
      <w:r w:rsidRPr="00857B81">
        <w:rPr>
          <w:b/>
          <w:bCs/>
          <w:sz w:val="20"/>
          <w:szCs w:val="20"/>
          <w:highlight w:val="yellow"/>
          <w:lang w:val="en-US"/>
        </w:rPr>
        <w:t>regional study tour</w:t>
      </w:r>
      <w:r w:rsidRPr="00857B81">
        <w:rPr>
          <w:sz w:val="20"/>
          <w:szCs w:val="20"/>
          <w:highlight w:val="yellow"/>
          <w:lang w:val="en-US"/>
        </w:rPr>
        <w:t xml:space="preserve"> is also planned. This visit will enable stakeholders to observe firsthand the implementation of sustainable urban transport systems in a peer city (</w:t>
      </w:r>
      <w:proofErr w:type="spellStart"/>
      <w:r w:rsidRPr="00857B81">
        <w:rPr>
          <w:sz w:val="20"/>
          <w:szCs w:val="20"/>
          <w:highlight w:val="yellow"/>
          <w:lang w:val="en-US"/>
        </w:rPr>
        <w:t>i.e</w:t>
      </w:r>
      <w:proofErr w:type="spellEnd"/>
      <w:r w:rsidRPr="00857B81">
        <w:rPr>
          <w:sz w:val="20"/>
          <w:szCs w:val="20"/>
          <w:highlight w:val="yellow"/>
          <w:lang w:val="en-US"/>
        </w:rPr>
        <w:t xml:space="preserve"> Dakar, Lagos), as part of the project's benchmarking efforts.</w:t>
      </w:r>
    </w:p>
    <w:p w14:paraId="73AD6FD0" w14:textId="4AD0413F" w:rsidR="31240EDC" w:rsidRPr="00857B81" w:rsidRDefault="31240EDC" w:rsidP="00DC2CA1">
      <w:pPr>
        <w:jc w:val="both"/>
        <w:rPr>
          <w:lang w:val="en-US"/>
        </w:rPr>
      </w:pPr>
      <w:r w:rsidRPr="00857B81">
        <w:rPr>
          <w:sz w:val="20"/>
          <w:szCs w:val="20"/>
          <w:highlight w:val="yellow"/>
          <w:lang w:val="en-US"/>
        </w:rPr>
        <w:t xml:space="preserve">Furthermore, the project will organize a </w:t>
      </w:r>
      <w:r w:rsidRPr="00857B81">
        <w:rPr>
          <w:b/>
          <w:bCs/>
          <w:sz w:val="20"/>
          <w:szCs w:val="20"/>
          <w:highlight w:val="yellow"/>
          <w:lang w:val="en-US"/>
        </w:rPr>
        <w:t>regional conference on financing sustainable transport</w:t>
      </w:r>
      <w:r w:rsidRPr="00857B81">
        <w:rPr>
          <w:sz w:val="20"/>
          <w:szCs w:val="20"/>
          <w:highlight w:val="yellow"/>
          <w:lang w:val="en-US"/>
        </w:rPr>
        <w:t xml:space="preserve">, bringing together cities from across the region. This event will facilitate experience-sharing, including insights from the </w:t>
      </w:r>
      <w:r w:rsidRPr="00857B81">
        <w:rPr>
          <w:b/>
          <w:bCs/>
          <w:sz w:val="20"/>
          <w:szCs w:val="20"/>
          <w:highlight w:val="yellow"/>
          <w:lang w:val="en-US"/>
        </w:rPr>
        <w:t>Global Platform for Sustainable Cities (GPSC)</w:t>
      </w:r>
      <w:r w:rsidRPr="00857B81">
        <w:rPr>
          <w:sz w:val="20"/>
          <w:szCs w:val="20"/>
          <w:highlight w:val="yellow"/>
          <w:lang w:val="en-US"/>
        </w:rPr>
        <w:t>, and will support the development of regional partnerships and financing strategies.</w:t>
      </w:r>
    </w:p>
    <w:p w14:paraId="625F17D5" w14:textId="2CFB5F1B" w:rsidR="004F7DB3" w:rsidRPr="006B424B" w:rsidRDefault="02352F6B" w:rsidP="00DC2CA1">
      <w:pPr>
        <w:jc w:val="both"/>
        <w:rPr>
          <w:i/>
          <w:iCs/>
          <w:color w:val="000000" w:themeColor="text1"/>
          <w:sz w:val="20"/>
          <w:szCs w:val="20"/>
          <w:u w:val="single"/>
          <w:lang w:val="en-US"/>
        </w:rPr>
      </w:pPr>
      <w:r w:rsidRPr="0764FF73">
        <w:rPr>
          <w:i/>
          <w:iCs/>
          <w:color w:val="000000" w:themeColor="text1"/>
          <w:sz w:val="20"/>
          <w:szCs w:val="20"/>
          <w:u w:val="single"/>
          <w:lang w:val="en-US"/>
        </w:rPr>
        <w:t>Activity 2.1.2.2 Study for the Renewal of the Bamako Public Transport Fleet with Vehicle Acquisition Specifications</w:t>
      </w:r>
    </w:p>
    <w:p w14:paraId="46684EB9" w14:textId="634A8DED" w:rsidR="2A92490F" w:rsidRPr="00857B81" w:rsidRDefault="2A92490F" w:rsidP="00DC2CA1">
      <w:pPr>
        <w:spacing w:after="0"/>
        <w:jc w:val="both"/>
        <w:rPr>
          <w:sz w:val="20"/>
          <w:szCs w:val="20"/>
          <w:highlight w:val="yellow"/>
          <w:lang w:val="en-US"/>
        </w:rPr>
      </w:pPr>
      <w:r w:rsidRPr="00857B81">
        <w:rPr>
          <w:sz w:val="20"/>
          <w:szCs w:val="20"/>
          <w:highlight w:val="yellow"/>
          <w:lang w:val="en-US"/>
        </w:rPr>
        <w:t xml:space="preserve">The current public transport fleet in Bamako—largely composed of aging, high-emission vehicles—poses serious challenges for </w:t>
      </w:r>
      <w:r w:rsidRPr="00857B81">
        <w:rPr>
          <w:b/>
          <w:bCs/>
          <w:sz w:val="20"/>
          <w:szCs w:val="20"/>
          <w:highlight w:val="yellow"/>
          <w:lang w:val="en-US"/>
        </w:rPr>
        <w:t>air quality, road safety, operational efficiency, and climate resilience</w:t>
      </w:r>
      <w:r w:rsidRPr="00857B81">
        <w:rPr>
          <w:sz w:val="20"/>
          <w:szCs w:val="20"/>
          <w:highlight w:val="yellow"/>
          <w:lang w:val="en-US"/>
        </w:rPr>
        <w:t>. With rising demand for urban mobility and growing pressure on infrastructure and the environment, fleet renewal has become an urgent priority to support a modern, low-carbon, and inclusive transport system.</w:t>
      </w:r>
    </w:p>
    <w:p w14:paraId="2CF36CCA" w14:textId="19379386" w:rsidR="2A92490F" w:rsidRPr="00857B81" w:rsidRDefault="2A92490F" w:rsidP="00DC2CA1">
      <w:pPr>
        <w:spacing w:after="0"/>
        <w:jc w:val="both"/>
        <w:rPr>
          <w:sz w:val="20"/>
          <w:szCs w:val="20"/>
          <w:highlight w:val="yellow"/>
          <w:lang w:val="en-US"/>
        </w:rPr>
      </w:pPr>
      <w:r w:rsidRPr="00857B81">
        <w:rPr>
          <w:sz w:val="20"/>
          <w:szCs w:val="20"/>
          <w:highlight w:val="yellow"/>
          <w:lang w:val="en-US"/>
        </w:rPr>
        <w:t>This activity aims to develop a comprehensive strategy for the phased renewal of Bamako’s public transport fleet, with a focus on electric and hybrid vehicle technologies, aligned with the Ministry of Transport’s national strategy for commercial transport modernization. It will provide both the technical foundation and policy direction needed to inform vehicle procurement and financing strategies under the IUDP and future national initiatives.</w:t>
      </w:r>
    </w:p>
    <w:p w14:paraId="06A32396" w14:textId="7DDC9E9F" w:rsidR="2A92490F" w:rsidRPr="00857B81" w:rsidRDefault="2A92490F" w:rsidP="00DC2CA1">
      <w:pPr>
        <w:spacing w:after="0"/>
        <w:jc w:val="both"/>
        <w:rPr>
          <w:b/>
          <w:bCs/>
          <w:sz w:val="20"/>
          <w:szCs w:val="20"/>
          <w:highlight w:val="yellow"/>
          <w:lang w:val="en-US"/>
        </w:rPr>
      </w:pPr>
      <w:r w:rsidRPr="00857B81">
        <w:rPr>
          <w:sz w:val="20"/>
          <w:szCs w:val="20"/>
          <w:highlight w:val="yellow"/>
          <w:lang w:val="en-US"/>
        </w:rPr>
        <w:t>Key outputs of the study will include</w:t>
      </w:r>
      <w:r w:rsidRPr="00857B81">
        <w:rPr>
          <w:b/>
          <w:bCs/>
          <w:sz w:val="20"/>
          <w:szCs w:val="20"/>
          <w:highlight w:val="yellow"/>
          <w:lang w:val="en-US"/>
        </w:rPr>
        <w:t>:</w:t>
      </w:r>
    </w:p>
    <w:p w14:paraId="6BE6C3B3" w14:textId="256EC2C5" w:rsidR="2A92490F" w:rsidRPr="00857B81" w:rsidRDefault="2A92490F" w:rsidP="00DC2CA1">
      <w:pPr>
        <w:pStyle w:val="Paragraphedeliste"/>
        <w:numPr>
          <w:ilvl w:val="0"/>
          <w:numId w:val="43"/>
        </w:numPr>
        <w:spacing w:after="0"/>
        <w:jc w:val="both"/>
        <w:rPr>
          <w:sz w:val="20"/>
          <w:szCs w:val="20"/>
          <w:highlight w:val="yellow"/>
          <w:lang w:val="en-US"/>
        </w:rPr>
      </w:pPr>
      <w:r w:rsidRPr="00857B81">
        <w:rPr>
          <w:sz w:val="20"/>
          <w:szCs w:val="20"/>
          <w:highlight w:val="yellow"/>
          <w:lang w:val="en-US"/>
        </w:rPr>
        <w:t xml:space="preserve">A technical and economic assessment of the existing public transport fleet, including SOTRAMA, minibuses, and taxis, to evaluate operational efficiency, emissions profiles, and maintenance </w:t>
      </w:r>
      <w:proofErr w:type="gramStart"/>
      <w:r w:rsidRPr="00857B81">
        <w:rPr>
          <w:sz w:val="20"/>
          <w:szCs w:val="20"/>
          <w:highlight w:val="yellow"/>
          <w:lang w:val="en-US"/>
        </w:rPr>
        <w:t>costs;</w:t>
      </w:r>
      <w:proofErr w:type="gramEnd"/>
    </w:p>
    <w:p w14:paraId="37623040" w14:textId="08037387" w:rsidR="2A92490F" w:rsidRPr="00857B81" w:rsidRDefault="2A92490F" w:rsidP="00DC2CA1">
      <w:pPr>
        <w:pStyle w:val="Paragraphedeliste"/>
        <w:numPr>
          <w:ilvl w:val="0"/>
          <w:numId w:val="43"/>
        </w:numPr>
        <w:spacing w:after="0"/>
        <w:jc w:val="both"/>
        <w:rPr>
          <w:sz w:val="20"/>
          <w:szCs w:val="20"/>
          <w:highlight w:val="yellow"/>
          <w:lang w:val="en-US"/>
        </w:rPr>
      </w:pPr>
      <w:r w:rsidRPr="00857B81">
        <w:rPr>
          <w:sz w:val="20"/>
          <w:szCs w:val="20"/>
          <w:highlight w:val="yellow"/>
          <w:lang w:val="en-US"/>
        </w:rPr>
        <w:t xml:space="preserve">Demand forecasting and scenario modeling to project future mobility needs and determine the types and quantities of vehicles required for different modes and service </w:t>
      </w:r>
      <w:proofErr w:type="gramStart"/>
      <w:r w:rsidRPr="00857B81">
        <w:rPr>
          <w:sz w:val="20"/>
          <w:szCs w:val="20"/>
          <w:highlight w:val="yellow"/>
          <w:lang w:val="en-US"/>
        </w:rPr>
        <w:t>levels;</w:t>
      </w:r>
      <w:proofErr w:type="gramEnd"/>
    </w:p>
    <w:p w14:paraId="57C4207E" w14:textId="67EF3BE3" w:rsidR="2A92490F" w:rsidRPr="00857B81" w:rsidRDefault="2A92490F" w:rsidP="00DC2CA1">
      <w:pPr>
        <w:pStyle w:val="Paragraphedeliste"/>
        <w:numPr>
          <w:ilvl w:val="0"/>
          <w:numId w:val="43"/>
        </w:numPr>
        <w:spacing w:after="0"/>
        <w:jc w:val="both"/>
        <w:rPr>
          <w:sz w:val="20"/>
          <w:szCs w:val="20"/>
          <w:highlight w:val="yellow"/>
          <w:lang w:val="en-US"/>
        </w:rPr>
      </w:pPr>
      <w:r w:rsidRPr="00857B81">
        <w:rPr>
          <w:sz w:val="20"/>
          <w:szCs w:val="20"/>
          <w:highlight w:val="yellow"/>
          <w:lang w:val="en-US"/>
        </w:rPr>
        <w:t xml:space="preserve">Definition of progressive vehicle renewal scenarios, combining short-, medium-, and long-term timelines and technology adoption </w:t>
      </w:r>
      <w:proofErr w:type="gramStart"/>
      <w:r w:rsidRPr="00857B81">
        <w:rPr>
          <w:sz w:val="20"/>
          <w:szCs w:val="20"/>
          <w:highlight w:val="yellow"/>
          <w:lang w:val="en-US"/>
        </w:rPr>
        <w:t>pathways;</w:t>
      </w:r>
      <w:proofErr w:type="gramEnd"/>
    </w:p>
    <w:p w14:paraId="3D2BEF41" w14:textId="5817ADD5" w:rsidR="2A92490F" w:rsidRPr="00857B81" w:rsidRDefault="2A92490F" w:rsidP="00DC2CA1">
      <w:pPr>
        <w:pStyle w:val="Paragraphedeliste"/>
        <w:numPr>
          <w:ilvl w:val="0"/>
          <w:numId w:val="43"/>
        </w:numPr>
        <w:spacing w:after="0"/>
        <w:jc w:val="both"/>
        <w:rPr>
          <w:sz w:val="20"/>
          <w:szCs w:val="20"/>
          <w:highlight w:val="yellow"/>
          <w:lang w:val="en-US"/>
        </w:rPr>
      </w:pPr>
      <w:r w:rsidRPr="00857B81">
        <w:rPr>
          <w:sz w:val="20"/>
          <w:szCs w:val="20"/>
          <w:highlight w:val="yellow"/>
          <w:lang w:val="en-US"/>
        </w:rPr>
        <w:t xml:space="preserve">Development of technical specifications for vehicle procurement, ensuring alignment with energy performance standards, safety regulations, accessibility, and maintenance </w:t>
      </w:r>
      <w:proofErr w:type="gramStart"/>
      <w:r w:rsidRPr="00857B81">
        <w:rPr>
          <w:sz w:val="20"/>
          <w:szCs w:val="20"/>
          <w:highlight w:val="yellow"/>
          <w:lang w:val="en-US"/>
        </w:rPr>
        <w:t>capabilities;</w:t>
      </w:r>
      <w:proofErr w:type="gramEnd"/>
    </w:p>
    <w:p w14:paraId="4BB84FDF" w14:textId="6E770818" w:rsidR="2A92490F" w:rsidRPr="00857B81" w:rsidRDefault="2A92490F" w:rsidP="00DC2CA1">
      <w:pPr>
        <w:pStyle w:val="Paragraphedeliste"/>
        <w:numPr>
          <w:ilvl w:val="0"/>
          <w:numId w:val="43"/>
        </w:numPr>
        <w:spacing w:after="0"/>
        <w:jc w:val="both"/>
        <w:rPr>
          <w:sz w:val="20"/>
          <w:szCs w:val="20"/>
          <w:highlight w:val="yellow"/>
          <w:lang w:val="en-US"/>
        </w:rPr>
      </w:pPr>
      <w:r w:rsidRPr="00857B81">
        <w:rPr>
          <w:sz w:val="20"/>
          <w:szCs w:val="20"/>
          <w:highlight w:val="yellow"/>
          <w:lang w:val="en-US"/>
        </w:rPr>
        <w:t>Recommendations for innovative financing mechanisms, including leasing, public-private partnerships, and green financing instruments to support affordable and sustainable fleet acquisition.</w:t>
      </w:r>
    </w:p>
    <w:p w14:paraId="31899508" w14:textId="6EE1C497" w:rsidR="2A92490F" w:rsidRPr="00857B81" w:rsidRDefault="2A92490F" w:rsidP="00DC2CA1">
      <w:pPr>
        <w:jc w:val="both"/>
        <w:rPr>
          <w:sz w:val="20"/>
          <w:szCs w:val="20"/>
          <w:highlight w:val="yellow"/>
          <w:lang w:val="en-US"/>
        </w:rPr>
      </w:pPr>
      <w:r w:rsidRPr="00857B81">
        <w:rPr>
          <w:sz w:val="20"/>
          <w:szCs w:val="20"/>
          <w:highlight w:val="yellow"/>
          <w:lang w:val="en-US"/>
        </w:rPr>
        <w:t>This study will directly support the goals of sustainable urban mobility, emissions reduction, and transport system modernization, while ensuring coherence with other activities under Component 2, particularly those related to capacity building (Activity 2.1.1.1), financing mechanisms (Activities 2.1.3.3 and 2.1.3.4), and e-mobility integration (Activity 2.1.1.4).</w:t>
      </w:r>
    </w:p>
    <w:p w14:paraId="07F64CD3" w14:textId="745AB996" w:rsidR="2A92490F" w:rsidRPr="00857B81" w:rsidRDefault="2A92490F" w:rsidP="00DC2CA1">
      <w:pPr>
        <w:jc w:val="both"/>
        <w:rPr>
          <w:highlight w:val="yellow"/>
          <w:lang w:val="en-US"/>
        </w:rPr>
      </w:pPr>
      <w:r w:rsidRPr="00857B81">
        <w:rPr>
          <w:sz w:val="20"/>
          <w:szCs w:val="20"/>
          <w:highlight w:val="yellow"/>
          <w:lang w:val="en-US"/>
        </w:rPr>
        <w:t xml:space="preserve">By providing the strategic and technical roadmap for the transition to a </w:t>
      </w:r>
      <w:r w:rsidRPr="00857B81">
        <w:rPr>
          <w:b/>
          <w:bCs/>
          <w:sz w:val="20"/>
          <w:szCs w:val="20"/>
          <w:highlight w:val="yellow"/>
          <w:lang w:val="en-US"/>
        </w:rPr>
        <w:t>cleaner, safer, and more efficient public transport fleet</w:t>
      </w:r>
      <w:r w:rsidRPr="00857B81">
        <w:rPr>
          <w:sz w:val="20"/>
          <w:szCs w:val="20"/>
          <w:highlight w:val="yellow"/>
          <w:lang w:val="en-US"/>
        </w:rPr>
        <w:t>, in Bamako and Mali in general, Mali will reach one of its low carbon goals in the NDC.</w:t>
      </w:r>
    </w:p>
    <w:p w14:paraId="0B069589" w14:textId="54C517D9" w:rsidR="004F7DB3" w:rsidRPr="00857B81" w:rsidRDefault="02352F6B" w:rsidP="00DC2CA1">
      <w:pPr>
        <w:jc w:val="both"/>
        <w:rPr>
          <w:i/>
          <w:iCs/>
          <w:color w:val="000000" w:themeColor="text1"/>
          <w:sz w:val="20"/>
          <w:szCs w:val="20"/>
          <w:highlight w:val="yellow"/>
          <w:u w:val="single"/>
          <w:lang w:val="en-US"/>
        </w:rPr>
      </w:pPr>
      <w:r w:rsidRPr="00857B81">
        <w:rPr>
          <w:i/>
          <w:iCs/>
          <w:color w:val="000000" w:themeColor="text1"/>
          <w:sz w:val="20"/>
          <w:szCs w:val="20"/>
          <w:highlight w:val="yellow"/>
          <w:u w:val="single"/>
          <w:lang w:val="en-US"/>
        </w:rPr>
        <w:t>Activity 2.1.2.3 Feasibility Study and Installation of Charging Station Prototypes with Direct Involvement of Local Very Small Enterprises (VSEs)</w:t>
      </w:r>
    </w:p>
    <w:p w14:paraId="060F237B" w14:textId="0CD48A93" w:rsidR="00226211" w:rsidRPr="00857B81" w:rsidRDefault="00226211" w:rsidP="00DC2CA1">
      <w:pPr>
        <w:pStyle w:val="Paragraphedeliste"/>
        <w:jc w:val="both"/>
        <w:rPr>
          <w:color w:val="000000" w:themeColor="text1"/>
          <w:sz w:val="20"/>
          <w:szCs w:val="20"/>
          <w:highlight w:val="yellow"/>
          <w:lang w:val="en-US"/>
        </w:rPr>
      </w:pPr>
    </w:p>
    <w:p w14:paraId="24FF4982" w14:textId="350A6BAE" w:rsidR="00226211" w:rsidRPr="00857B81" w:rsidRDefault="61A0E844" w:rsidP="00DC2CA1">
      <w:pPr>
        <w:spacing w:after="0"/>
        <w:jc w:val="both"/>
        <w:rPr>
          <w:sz w:val="20"/>
          <w:szCs w:val="20"/>
          <w:highlight w:val="yellow"/>
          <w:lang w:val="en-US"/>
        </w:rPr>
      </w:pPr>
      <w:r w:rsidRPr="00857B81">
        <w:rPr>
          <w:sz w:val="20"/>
          <w:szCs w:val="20"/>
          <w:highlight w:val="yellow"/>
          <w:lang w:val="en-US"/>
        </w:rPr>
        <w:t xml:space="preserve">A critical barrier to the adoption of electric vehicles (EVs) in Bamako is the </w:t>
      </w:r>
      <w:r w:rsidR="00221B15" w:rsidRPr="003C5C1B">
        <w:rPr>
          <w:b/>
          <w:bCs/>
          <w:sz w:val="20"/>
          <w:szCs w:val="20"/>
          <w:highlight w:val="yellow"/>
          <w:lang w:val="en-US"/>
        </w:rPr>
        <w:t>quasi</w:t>
      </w:r>
      <w:r w:rsidR="00221B15">
        <w:rPr>
          <w:sz w:val="20"/>
          <w:szCs w:val="20"/>
          <w:highlight w:val="yellow"/>
          <w:lang w:val="en-US"/>
        </w:rPr>
        <w:t xml:space="preserve"> </w:t>
      </w:r>
      <w:r w:rsidRPr="00857B81">
        <w:rPr>
          <w:b/>
          <w:bCs/>
          <w:sz w:val="20"/>
          <w:szCs w:val="20"/>
          <w:highlight w:val="yellow"/>
          <w:lang w:val="en-US"/>
        </w:rPr>
        <w:t>absence of charging infrastructure</w:t>
      </w:r>
      <w:r w:rsidRPr="00857B81">
        <w:rPr>
          <w:sz w:val="20"/>
          <w:szCs w:val="20"/>
          <w:highlight w:val="yellow"/>
          <w:lang w:val="en-US"/>
        </w:rPr>
        <w:t>, a challenge consistently highlighted during stakeholder consultations with public authorities, transport operators, and the private sector. This activity proposes transforming this infrastructure gap into an opportunity for inclusive green entrepreneurship and local economic development, while accelerating the transition toward low-carbon urban mobility.</w:t>
      </w:r>
    </w:p>
    <w:p w14:paraId="6BAF86EF" w14:textId="399F3BDF" w:rsidR="00226211" w:rsidRPr="00857B81" w:rsidRDefault="61A0E844" w:rsidP="00DC2CA1">
      <w:pPr>
        <w:spacing w:after="0"/>
        <w:jc w:val="both"/>
        <w:rPr>
          <w:sz w:val="20"/>
          <w:szCs w:val="20"/>
          <w:highlight w:val="yellow"/>
          <w:lang w:val="en-US"/>
        </w:rPr>
      </w:pPr>
      <w:r w:rsidRPr="00857B81">
        <w:rPr>
          <w:sz w:val="20"/>
          <w:szCs w:val="20"/>
          <w:highlight w:val="yellow"/>
          <w:lang w:val="en-US"/>
        </w:rPr>
        <w:t xml:space="preserve">The activity will combine a </w:t>
      </w:r>
      <w:r w:rsidRPr="00857B81">
        <w:rPr>
          <w:b/>
          <w:bCs/>
          <w:sz w:val="20"/>
          <w:szCs w:val="20"/>
          <w:highlight w:val="yellow"/>
          <w:lang w:val="en-US"/>
        </w:rPr>
        <w:t>feasibility study and the pilot installation of seven EV charging station prototypes</w:t>
      </w:r>
      <w:r w:rsidRPr="00857B81">
        <w:rPr>
          <w:sz w:val="20"/>
          <w:szCs w:val="20"/>
          <w:highlight w:val="yellow"/>
          <w:lang w:val="en-US"/>
        </w:rPr>
        <w:t>, strategically located—seven as a total in the District of Bamako—to ensure equitable access and visibility across the city.</w:t>
      </w:r>
    </w:p>
    <w:p w14:paraId="6F4F86DD" w14:textId="3580C6DB" w:rsidR="00226211" w:rsidRPr="00857B81" w:rsidRDefault="61A0E844" w:rsidP="00DC2CA1">
      <w:pPr>
        <w:spacing w:after="0"/>
        <w:jc w:val="both"/>
        <w:rPr>
          <w:b/>
          <w:bCs/>
          <w:sz w:val="20"/>
          <w:szCs w:val="20"/>
          <w:highlight w:val="yellow"/>
        </w:rPr>
      </w:pPr>
      <w:r w:rsidRPr="00857B81">
        <w:rPr>
          <w:b/>
          <w:bCs/>
          <w:sz w:val="20"/>
          <w:szCs w:val="20"/>
          <w:highlight w:val="yellow"/>
        </w:rPr>
        <w:t xml:space="preserve">Key </w:t>
      </w:r>
      <w:proofErr w:type="gramStart"/>
      <w:r w:rsidRPr="00857B81">
        <w:rPr>
          <w:b/>
          <w:bCs/>
          <w:sz w:val="20"/>
          <w:szCs w:val="20"/>
          <w:highlight w:val="yellow"/>
        </w:rPr>
        <w:t>Components:</w:t>
      </w:r>
      <w:proofErr w:type="gramEnd"/>
    </w:p>
    <w:p w14:paraId="35C17187" w14:textId="3DD23E7D" w:rsidR="00226211" w:rsidRPr="00857B81" w:rsidRDefault="61A0E844" w:rsidP="00DC2CA1">
      <w:pPr>
        <w:pStyle w:val="Paragraphedeliste"/>
        <w:numPr>
          <w:ilvl w:val="0"/>
          <w:numId w:val="42"/>
        </w:numPr>
        <w:spacing w:after="0"/>
        <w:jc w:val="both"/>
        <w:rPr>
          <w:sz w:val="20"/>
          <w:szCs w:val="20"/>
          <w:highlight w:val="yellow"/>
          <w:lang w:val="en-US"/>
        </w:rPr>
      </w:pPr>
      <w:r w:rsidRPr="00857B81">
        <w:rPr>
          <w:b/>
          <w:bCs/>
          <w:sz w:val="20"/>
          <w:szCs w:val="20"/>
          <w:highlight w:val="yellow"/>
          <w:lang w:val="en-US"/>
        </w:rPr>
        <w:lastRenderedPageBreak/>
        <w:t>Feasibility assessment</w:t>
      </w:r>
      <w:r w:rsidRPr="00857B81">
        <w:rPr>
          <w:sz w:val="20"/>
          <w:szCs w:val="20"/>
          <w:highlight w:val="yellow"/>
          <w:lang w:val="en-US"/>
        </w:rPr>
        <w:t xml:space="preserve"> to determine technical, legal, financial (risks and enabling environment for private sector to upscale), and spatial conditions for the deployment of charging stations, including grid connectivity and user </w:t>
      </w:r>
      <w:proofErr w:type="gramStart"/>
      <w:r w:rsidRPr="00857B81">
        <w:rPr>
          <w:sz w:val="20"/>
          <w:szCs w:val="20"/>
          <w:highlight w:val="yellow"/>
          <w:lang w:val="en-US"/>
        </w:rPr>
        <w:t>demand;</w:t>
      </w:r>
      <w:proofErr w:type="gramEnd"/>
    </w:p>
    <w:p w14:paraId="65081DE5" w14:textId="3598AE73" w:rsidR="00226211" w:rsidRPr="005C5B44" w:rsidRDefault="61A0E844" w:rsidP="00DC2CA1">
      <w:pPr>
        <w:pStyle w:val="Paragraphedeliste"/>
        <w:numPr>
          <w:ilvl w:val="0"/>
          <w:numId w:val="42"/>
        </w:numPr>
        <w:spacing w:after="0"/>
        <w:jc w:val="both"/>
        <w:rPr>
          <w:sz w:val="20"/>
          <w:szCs w:val="20"/>
          <w:highlight w:val="yellow"/>
          <w:lang w:val="en-US"/>
        </w:rPr>
      </w:pPr>
      <w:r w:rsidRPr="005C5B44">
        <w:rPr>
          <w:b/>
          <w:bCs/>
          <w:sz w:val="20"/>
          <w:szCs w:val="20"/>
          <w:highlight w:val="yellow"/>
          <w:lang w:val="en-US"/>
        </w:rPr>
        <w:t>Installation of seven EV charging prototypes</w:t>
      </w:r>
      <w:r w:rsidRPr="005C5B44">
        <w:rPr>
          <w:sz w:val="20"/>
          <w:szCs w:val="20"/>
          <w:highlight w:val="yellow"/>
          <w:lang w:val="en-US"/>
        </w:rPr>
        <w:t>, with infrastructure tailored to public and private use cases (taxis, SOTRAMA, private EVs, motorcycles, etc.</w:t>
      </w:r>
      <w:proofErr w:type="gramStart"/>
      <w:r w:rsidRPr="005C5B44">
        <w:rPr>
          <w:sz w:val="20"/>
          <w:szCs w:val="20"/>
          <w:highlight w:val="yellow"/>
          <w:lang w:val="en-US"/>
        </w:rPr>
        <w:t>);</w:t>
      </w:r>
      <w:proofErr w:type="gramEnd"/>
    </w:p>
    <w:p w14:paraId="3F7282D6" w14:textId="17B9A667" w:rsidR="00226211" w:rsidRPr="00857B81" w:rsidRDefault="61A0E844" w:rsidP="00DC2CA1">
      <w:pPr>
        <w:pStyle w:val="Paragraphedeliste"/>
        <w:numPr>
          <w:ilvl w:val="0"/>
          <w:numId w:val="42"/>
        </w:numPr>
        <w:spacing w:after="0"/>
        <w:jc w:val="both"/>
        <w:rPr>
          <w:sz w:val="20"/>
          <w:szCs w:val="20"/>
          <w:highlight w:val="yellow"/>
          <w:lang w:val="en-US"/>
        </w:rPr>
      </w:pPr>
      <w:r w:rsidRPr="00857B81">
        <w:rPr>
          <w:b/>
          <w:bCs/>
          <w:sz w:val="20"/>
          <w:szCs w:val="20"/>
          <w:highlight w:val="yellow"/>
          <w:lang w:val="en-US"/>
        </w:rPr>
        <w:t>Direct engagement of local Very Small Enterprises (VSEs)</w:t>
      </w:r>
      <w:r w:rsidRPr="00857B81">
        <w:rPr>
          <w:sz w:val="20"/>
          <w:szCs w:val="20"/>
          <w:highlight w:val="yellow"/>
          <w:lang w:val="en-US"/>
        </w:rPr>
        <w:t xml:space="preserve">—such as construction firms, electrical technicians, and artisans—for the installation, routine maintenance, and eventual scaling of the </w:t>
      </w:r>
      <w:proofErr w:type="gramStart"/>
      <w:r w:rsidRPr="00857B81">
        <w:rPr>
          <w:sz w:val="20"/>
          <w:szCs w:val="20"/>
          <w:highlight w:val="yellow"/>
          <w:lang w:val="en-US"/>
        </w:rPr>
        <w:t>stations;</w:t>
      </w:r>
      <w:proofErr w:type="gramEnd"/>
    </w:p>
    <w:p w14:paraId="5627D679" w14:textId="645ACA68" w:rsidR="00226211" w:rsidRPr="00857B81" w:rsidRDefault="61A0E844" w:rsidP="00DC2CA1">
      <w:pPr>
        <w:pStyle w:val="Paragraphedeliste"/>
        <w:numPr>
          <w:ilvl w:val="0"/>
          <w:numId w:val="42"/>
        </w:numPr>
        <w:spacing w:after="0"/>
        <w:jc w:val="both"/>
        <w:rPr>
          <w:b/>
          <w:bCs/>
          <w:sz w:val="20"/>
          <w:szCs w:val="20"/>
          <w:highlight w:val="yellow"/>
          <w:lang w:val="en-US"/>
        </w:rPr>
      </w:pPr>
      <w:r w:rsidRPr="00857B81">
        <w:rPr>
          <w:b/>
          <w:bCs/>
          <w:sz w:val="20"/>
          <w:szCs w:val="20"/>
          <w:highlight w:val="yellow"/>
          <w:lang w:val="en-US"/>
        </w:rPr>
        <w:t>Certification of all installations</w:t>
      </w:r>
      <w:r w:rsidRPr="00857B81">
        <w:rPr>
          <w:sz w:val="20"/>
          <w:szCs w:val="20"/>
          <w:highlight w:val="yellow"/>
          <w:lang w:val="en-US"/>
        </w:rPr>
        <w:t xml:space="preserve"> by accredited inspection and standards agencies to ensure safety, quality, and regulatory compliance.</w:t>
      </w:r>
    </w:p>
    <w:p w14:paraId="2A6DA2CC" w14:textId="6391A3E9" w:rsidR="00226211" w:rsidRPr="00857B81" w:rsidRDefault="61A0E844" w:rsidP="00DC2CA1">
      <w:pPr>
        <w:spacing w:after="0"/>
        <w:jc w:val="both"/>
        <w:rPr>
          <w:b/>
          <w:bCs/>
          <w:sz w:val="20"/>
          <w:szCs w:val="20"/>
          <w:highlight w:val="yellow"/>
          <w:lang w:val="en-US"/>
        </w:rPr>
      </w:pPr>
      <w:r w:rsidRPr="00857B81">
        <w:rPr>
          <w:b/>
          <w:bCs/>
          <w:sz w:val="20"/>
          <w:szCs w:val="20"/>
          <w:highlight w:val="yellow"/>
          <w:lang w:val="en-US"/>
        </w:rPr>
        <w:t>Innovative Solar Integration and Financing Model:</w:t>
      </w:r>
    </w:p>
    <w:p w14:paraId="6B8CF6D0" w14:textId="3C2EB8E4" w:rsidR="00226211" w:rsidRPr="00857B81" w:rsidRDefault="61A0E844" w:rsidP="00DC2CA1">
      <w:pPr>
        <w:spacing w:after="0"/>
        <w:jc w:val="both"/>
        <w:rPr>
          <w:sz w:val="20"/>
          <w:szCs w:val="20"/>
          <w:highlight w:val="yellow"/>
          <w:lang w:val="en-US"/>
        </w:rPr>
      </w:pPr>
      <w:r w:rsidRPr="00857B81">
        <w:rPr>
          <w:sz w:val="20"/>
          <w:szCs w:val="20"/>
          <w:highlight w:val="yellow"/>
          <w:lang w:val="en-US"/>
        </w:rPr>
        <w:t>Recognizing Mali’s constrained electricity supply—particularly in urban peripheries—the project will explore the integration of solar-powered systems to enhance station autonomy and reduce operational costs. The model will be based on public-private partnerships (PPPs) with local energy providers (e.g., fuel station operators or energy cooperatives). To attract private investment in decentralized renewable energy, the project will check if private sector is ready to Co-finance up to 80% from the cost of solar system installation while the project will provide 20% of the capital expenditure.  Knowing that in this case the private sector will assume responsibility for procurement, installation, and long-term operation, while leveraging local VSEs as service providers.</w:t>
      </w:r>
    </w:p>
    <w:p w14:paraId="1679BD51" w14:textId="1058C89B" w:rsidR="00226211" w:rsidRPr="00857B81" w:rsidRDefault="61A0E844" w:rsidP="00DC2CA1">
      <w:pPr>
        <w:spacing w:after="0"/>
        <w:jc w:val="both"/>
        <w:rPr>
          <w:sz w:val="20"/>
          <w:szCs w:val="20"/>
          <w:highlight w:val="yellow"/>
        </w:rPr>
      </w:pPr>
      <w:r w:rsidRPr="00857B81">
        <w:rPr>
          <w:sz w:val="20"/>
          <w:szCs w:val="20"/>
          <w:highlight w:val="yellow"/>
        </w:rPr>
        <w:t xml:space="preserve">This </w:t>
      </w:r>
      <w:proofErr w:type="spellStart"/>
      <w:r w:rsidRPr="00857B81">
        <w:rPr>
          <w:sz w:val="20"/>
          <w:szCs w:val="20"/>
          <w:highlight w:val="yellow"/>
        </w:rPr>
        <w:t>activity</w:t>
      </w:r>
      <w:proofErr w:type="spellEnd"/>
      <w:r w:rsidRPr="00857B81">
        <w:rPr>
          <w:sz w:val="20"/>
          <w:szCs w:val="20"/>
          <w:highlight w:val="yellow"/>
        </w:rPr>
        <w:t xml:space="preserve"> </w:t>
      </w:r>
      <w:proofErr w:type="spellStart"/>
      <w:proofErr w:type="gramStart"/>
      <w:r w:rsidRPr="00857B81">
        <w:rPr>
          <w:sz w:val="20"/>
          <w:szCs w:val="20"/>
          <w:highlight w:val="yellow"/>
        </w:rPr>
        <w:t>will</w:t>
      </w:r>
      <w:proofErr w:type="spellEnd"/>
      <w:r w:rsidRPr="00857B81">
        <w:rPr>
          <w:sz w:val="20"/>
          <w:szCs w:val="20"/>
          <w:highlight w:val="yellow"/>
        </w:rPr>
        <w:t>:</w:t>
      </w:r>
      <w:proofErr w:type="gramEnd"/>
    </w:p>
    <w:p w14:paraId="7C2F8151" w14:textId="44539261" w:rsidR="00226211" w:rsidRPr="00857B81" w:rsidRDefault="61A0E844" w:rsidP="00DC2CA1">
      <w:pPr>
        <w:pStyle w:val="Paragraphedeliste"/>
        <w:numPr>
          <w:ilvl w:val="0"/>
          <w:numId w:val="41"/>
        </w:numPr>
        <w:spacing w:after="0"/>
        <w:jc w:val="both"/>
        <w:rPr>
          <w:sz w:val="20"/>
          <w:szCs w:val="20"/>
          <w:highlight w:val="yellow"/>
          <w:lang w:val="en-US"/>
        </w:rPr>
      </w:pPr>
      <w:r w:rsidRPr="00857B81">
        <w:rPr>
          <w:sz w:val="20"/>
          <w:szCs w:val="20"/>
          <w:highlight w:val="yellow"/>
          <w:lang w:val="en-US"/>
        </w:rPr>
        <w:t xml:space="preserve">Lay the groundwork for scaling EV infrastructure across Greater </w:t>
      </w:r>
      <w:proofErr w:type="gramStart"/>
      <w:r w:rsidRPr="00857B81">
        <w:rPr>
          <w:sz w:val="20"/>
          <w:szCs w:val="20"/>
          <w:highlight w:val="yellow"/>
          <w:lang w:val="en-US"/>
        </w:rPr>
        <w:t>Bamako;</w:t>
      </w:r>
      <w:proofErr w:type="gramEnd"/>
    </w:p>
    <w:p w14:paraId="17050A6E" w14:textId="563F0819" w:rsidR="00226211" w:rsidRPr="00857B81" w:rsidRDefault="61A0E844" w:rsidP="00DC2CA1">
      <w:pPr>
        <w:pStyle w:val="Paragraphedeliste"/>
        <w:numPr>
          <w:ilvl w:val="0"/>
          <w:numId w:val="41"/>
        </w:numPr>
        <w:spacing w:after="0"/>
        <w:jc w:val="both"/>
        <w:rPr>
          <w:sz w:val="20"/>
          <w:szCs w:val="20"/>
          <w:highlight w:val="yellow"/>
          <w:lang w:val="en-US"/>
        </w:rPr>
      </w:pPr>
      <w:r w:rsidRPr="00857B81">
        <w:rPr>
          <w:sz w:val="20"/>
          <w:szCs w:val="20"/>
          <w:highlight w:val="yellow"/>
          <w:lang w:val="en-US"/>
        </w:rPr>
        <w:t>Empower local businesses and generate green jobs in construction, electrical services, and solar installation.</w:t>
      </w:r>
    </w:p>
    <w:p w14:paraId="41EA5E61" w14:textId="2E38A39F" w:rsidR="00226211" w:rsidRPr="00857B81" w:rsidRDefault="61A0E844" w:rsidP="00DC2CA1">
      <w:pPr>
        <w:pStyle w:val="Paragraphedeliste"/>
        <w:numPr>
          <w:ilvl w:val="0"/>
          <w:numId w:val="41"/>
        </w:numPr>
        <w:spacing w:after="0"/>
        <w:jc w:val="both"/>
        <w:rPr>
          <w:sz w:val="20"/>
          <w:szCs w:val="20"/>
          <w:highlight w:val="yellow"/>
          <w:lang w:val="en-US"/>
        </w:rPr>
      </w:pPr>
      <w:r w:rsidRPr="00857B81">
        <w:rPr>
          <w:sz w:val="20"/>
          <w:szCs w:val="20"/>
          <w:highlight w:val="yellow"/>
          <w:lang w:val="en-US"/>
        </w:rPr>
        <w:t>Support Mali’s broader climate goals (NDC) for renewable energy access, climate mitigation, and sustainable urban transport.</w:t>
      </w:r>
    </w:p>
    <w:p w14:paraId="31A1D5BF" w14:textId="68125B54" w:rsidR="00226211" w:rsidRPr="00857B81" w:rsidRDefault="61A0E844" w:rsidP="00DC2CA1">
      <w:pPr>
        <w:ind w:left="187"/>
        <w:jc w:val="both"/>
        <w:rPr>
          <w:sz w:val="20"/>
          <w:szCs w:val="20"/>
          <w:highlight w:val="yellow"/>
          <w:lang w:val="en-US"/>
        </w:rPr>
      </w:pPr>
      <w:r w:rsidRPr="00857B81">
        <w:rPr>
          <w:sz w:val="20"/>
          <w:szCs w:val="20"/>
          <w:highlight w:val="yellow"/>
          <w:lang w:val="en-US"/>
        </w:rPr>
        <w:t xml:space="preserve">By combining infrastructure innovation with local economic empowerment and climate-smart investment, this activity will serve as a replicable model for </w:t>
      </w:r>
      <w:r w:rsidRPr="00857B81">
        <w:rPr>
          <w:b/>
          <w:bCs/>
          <w:sz w:val="20"/>
          <w:szCs w:val="20"/>
          <w:highlight w:val="yellow"/>
          <w:lang w:val="en-US"/>
        </w:rPr>
        <w:t>inclusive green infrastructure deployment</w:t>
      </w:r>
      <w:r w:rsidRPr="00857B81">
        <w:rPr>
          <w:sz w:val="20"/>
          <w:szCs w:val="20"/>
          <w:highlight w:val="yellow"/>
          <w:lang w:val="en-US"/>
        </w:rPr>
        <w:t xml:space="preserve"> in West African cities.</w:t>
      </w:r>
    </w:p>
    <w:p w14:paraId="0F62DA60" w14:textId="60E3BA74" w:rsidR="258C27F7" w:rsidRPr="00DC2CA1" w:rsidRDefault="258C27F7" w:rsidP="00DC2CA1">
      <w:pPr>
        <w:spacing w:after="0" w:line="240" w:lineRule="auto"/>
        <w:ind w:left="187"/>
        <w:jc w:val="both"/>
        <w:rPr>
          <w:color w:val="000000" w:themeColor="text1"/>
          <w:sz w:val="20"/>
          <w:szCs w:val="20"/>
          <w:lang w:val="en-US"/>
        </w:rPr>
      </w:pPr>
      <w:r w:rsidRPr="00DC2CA1">
        <w:rPr>
          <w:color w:val="000000" w:themeColor="text1"/>
          <w:sz w:val="20"/>
          <w:szCs w:val="20"/>
          <w:highlight w:val="yellow"/>
          <w:lang w:val="en-US"/>
        </w:rPr>
        <w:t xml:space="preserve">Given that limited electricity access remains a key barrier in Mali, particularly in Bamako, the project will assess, as part of the feasibility study, the potential for public-private partnerships to equip each EV charging station with an integrated solar power system. To incentivize private investment in decentralized renewable energy, the project will co-finance up to 20% of the capital expenditure for </w:t>
      </w:r>
      <w:r w:rsidR="2F9AB731" w:rsidRPr="1462A499">
        <w:rPr>
          <w:color w:val="000000" w:themeColor="text1"/>
          <w:sz w:val="20"/>
          <w:szCs w:val="20"/>
          <w:highlight w:val="yellow"/>
          <w:lang w:val="en-US"/>
        </w:rPr>
        <w:t>solar</w:t>
      </w:r>
      <w:r w:rsidRPr="00DC2CA1">
        <w:rPr>
          <w:color w:val="000000" w:themeColor="text1"/>
          <w:sz w:val="20"/>
          <w:szCs w:val="20"/>
          <w:highlight w:val="yellow"/>
          <w:lang w:val="en-US"/>
        </w:rPr>
        <w:t xml:space="preserve"> installations. The remaining 80% is expected to be mobilized from private sector partners, who will be responsible for the supply (</w:t>
      </w:r>
      <w:proofErr w:type="spellStart"/>
      <w:r w:rsidRPr="00DC2CA1">
        <w:rPr>
          <w:color w:val="000000" w:themeColor="text1"/>
          <w:sz w:val="20"/>
          <w:szCs w:val="20"/>
          <w:highlight w:val="yellow"/>
          <w:lang w:val="en-US"/>
        </w:rPr>
        <w:t>e.g</w:t>
      </w:r>
      <w:proofErr w:type="spellEnd"/>
      <w:r w:rsidRPr="00DC2CA1">
        <w:rPr>
          <w:color w:val="000000" w:themeColor="text1"/>
          <w:sz w:val="20"/>
          <w:szCs w:val="20"/>
          <w:highlight w:val="yellow"/>
          <w:lang w:val="en-US"/>
        </w:rPr>
        <w:t xml:space="preserve"> Gas Stations owners), installation, and maintenance of the systems (VSE).</w:t>
      </w:r>
    </w:p>
    <w:p w14:paraId="23D1B9C5" w14:textId="02A8B1DE" w:rsidR="58DE6BE5" w:rsidRDefault="58DE6BE5" w:rsidP="58DE6BE5">
      <w:pPr>
        <w:rPr>
          <w:color w:val="000000" w:themeColor="text1"/>
          <w:sz w:val="20"/>
          <w:szCs w:val="20"/>
          <w:lang w:val="en-US"/>
        </w:rPr>
      </w:pPr>
    </w:p>
    <w:p w14:paraId="320C5034" w14:textId="77777777" w:rsidR="00F14EFA" w:rsidRPr="00A057AE" w:rsidRDefault="02352F6B" w:rsidP="003974F4">
      <w:pPr>
        <w:rPr>
          <w:b/>
          <w:bCs/>
          <w:color w:val="000000" w:themeColor="text1"/>
          <w:sz w:val="20"/>
          <w:szCs w:val="20"/>
          <w:lang w:val="en-US"/>
        </w:rPr>
      </w:pPr>
      <w:r w:rsidRPr="00A057AE">
        <w:rPr>
          <w:b/>
          <w:bCs/>
          <w:color w:val="000000" w:themeColor="text1"/>
          <w:sz w:val="20"/>
          <w:szCs w:val="20"/>
          <w:lang w:val="en-US"/>
        </w:rPr>
        <w:t>Output 2.1.3 Governance of urban transport institutions is strengthened and more inclusive</w:t>
      </w:r>
    </w:p>
    <w:p w14:paraId="08A78DA1" w14:textId="1B74E2F6" w:rsidR="00F14EFA" w:rsidRPr="007F4912" w:rsidRDefault="201420A8" w:rsidP="00A057AE">
      <w:pPr>
        <w:jc w:val="both"/>
        <w:rPr>
          <w:color w:val="000000" w:themeColor="text1"/>
          <w:sz w:val="20"/>
          <w:szCs w:val="20"/>
          <w:lang w:val="en-US"/>
        </w:rPr>
      </w:pPr>
      <w:r w:rsidRPr="5D8904BE">
        <w:rPr>
          <w:color w:val="000000" w:themeColor="text1"/>
          <w:sz w:val="20"/>
          <w:szCs w:val="20"/>
          <w:lang w:val="en-US"/>
        </w:rPr>
        <w:t>Output 2.1.3 aims to strengthen the governance of urban transport institutions in Bamako by fostering improved coordination, regulatory oversight, and inclusive stakeholder engagement. This output supports the establishment of a modernized and coherent governance framework to regulate, finance, and monitor the urban transport sector, facilitating a transition toward sustainable and electric mobility.</w:t>
      </w:r>
      <w:r w:rsidR="3906E76B" w:rsidRPr="5D8904BE">
        <w:rPr>
          <w:color w:val="000000" w:themeColor="text1"/>
          <w:sz w:val="20"/>
          <w:szCs w:val="20"/>
          <w:lang w:val="en-US"/>
        </w:rPr>
        <w:t xml:space="preserve"> </w:t>
      </w:r>
      <w:r w:rsidRPr="5D8904BE">
        <w:rPr>
          <w:color w:val="000000" w:themeColor="text1"/>
          <w:sz w:val="20"/>
          <w:szCs w:val="20"/>
          <w:lang w:val="en-US"/>
        </w:rPr>
        <w:t xml:space="preserve">Key initiatives include a comprehensive diagnosis of </w:t>
      </w:r>
      <w:r w:rsidR="75A6CC76" w:rsidRPr="1462A499">
        <w:rPr>
          <w:color w:val="000000" w:themeColor="text1"/>
          <w:sz w:val="20"/>
          <w:szCs w:val="20"/>
          <w:lang w:val="en-US"/>
        </w:rPr>
        <w:t>existing</w:t>
      </w:r>
      <w:r w:rsidRPr="5D8904BE">
        <w:rPr>
          <w:color w:val="000000" w:themeColor="text1"/>
          <w:sz w:val="20"/>
          <w:szCs w:val="20"/>
          <w:lang w:val="en-US"/>
        </w:rPr>
        <w:t xml:space="preserve"> institutional and legal frameworks to identify gaps and modernization needs, particularly </w:t>
      </w:r>
      <w:r w:rsidR="29BEEAEB" w:rsidRPr="5D8904BE">
        <w:rPr>
          <w:color w:val="000000" w:themeColor="text1"/>
          <w:sz w:val="20"/>
          <w:szCs w:val="20"/>
          <w:lang w:val="en-US"/>
        </w:rPr>
        <w:t>considering</w:t>
      </w:r>
      <w:r w:rsidRPr="5D8904BE">
        <w:rPr>
          <w:color w:val="000000" w:themeColor="text1"/>
          <w:sz w:val="20"/>
          <w:szCs w:val="20"/>
          <w:lang w:val="en-US"/>
        </w:rPr>
        <w:t xml:space="preserve"> </w:t>
      </w:r>
      <w:r w:rsidR="67AE8DEC" w:rsidRPr="5D8904BE">
        <w:rPr>
          <w:color w:val="000000" w:themeColor="text1"/>
          <w:sz w:val="20"/>
          <w:szCs w:val="20"/>
          <w:lang w:val="en-US"/>
        </w:rPr>
        <w:t>emerging</w:t>
      </w:r>
      <w:r w:rsidRPr="5D8904BE">
        <w:rPr>
          <w:color w:val="000000" w:themeColor="text1"/>
          <w:sz w:val="20"/>
          <w:szCs w:val="20"/>
          <w:lang w:val="en-US"/>
        </w:rPr>
        <w:t xml:space="preserve"> transport modes such as electric vehicles and motorcycle taxis. Building on these findings, the creation of dedicated governance bodies—an Urban Transport Regulatory Authority and an Urban Transport Council—will provide structured coordination and strategic consultation among public institutions, transport operators, local governments, and civil society.</w:t>
      </w:r>
    </w:p>
    <w:p w14:paraId="19010731" w14:textId="6E33C3A4" w:rsidR="000A149C" w:rsidRPr="007F4912" w:rsidRDefault="016FD098" w:rsidP="00A057AE">
      <w:pPr>
        <w:jc w:val="lowKashida"/>
        <w:rPr>
          <w:color w:val="000000" w:themeColor="text1"/>
          <w:sz w:val="20"/>
          <w:szCs w:val="20"/>
          <w:lang w:val="en-US"/>
        </w:rPr>
      </w:pPr>
      <w:r w:rsidRPr="0764FF73">
        <w:rPr>
          <w:color w:val="000000" w:themeColor="text1"/>
          <w:sz w:val="20"/>
          <w:szCs w:val="20"/>
          <w:lang w:val="en-US"/>
        </w:rPr>
        <w:t xml:space="preserve">Additionally, the output emphasizes innovative financing mechanisms to support sustainable transport and electric mobility, alongside the development of green taxation and environmental monitoring systems aligned with national reforms. To enhance organizational capacity and access to finance, informal and semi-formal transport operators will be organized into Economic Interest </w:t>
      </w:r>
      <w:r w:rsidR="3882B146" w:rsidRPr="1462A499">
        <w:rPr>
          <w:color w:val="000000" w:themeColor="text1"/>
          <w:sz w:val="20"/>
          <w:szCs w:val="20"/>
          <w:lang w:val="en-US"/>
        </w:rPr>
        <w:t>Groupings.</w:t>
      </w:r>
      <w:r w:rsidRPr="0764FF73">
        <w:rPr>
          <w:color w:val="000000" w:themeColor="text1"/>
          <w:sz w:val="20"/>
          <w:szCs w:val="20"/>
          <w:lang w:val="en-US"/>
        </w:rPr>
        <w:t xml:space="preserve"> Finally, strengthening monitoring and evaluation capabilities within the General Directorate of Transport will ensure effective oversight of electric mobility initiatives and track their </w:t>
      </w:r>
      <w:r w:rsidR="443B2EB1" w:rsidRPr="0764FF73">
        <w:rPr>
          <w:color w:val="000000" w:themeColor="text1"/>
          <w:sz w:val="20"/>
          <w:szCs w:val="20"/>
          <w:lang w:val="en-US"/>
        </w:rPr>
        <w:t>impact</w:t>
      </w:r>
      <w:r w:rsidRPr="0764FF73">
        <w:rPr>
          <w:color w:val="000000" w:themeColor="text1"/>
          <w:sz w:val="20"/>
          <w:szCs w:val="20"/>
          <w:lang w:val="en-US"/>
        </w:rPr>
        <w:t xml:space="preserve"> over time.</w:t>
      </w:r>
      <w:r w:rsidR="650F3AA7" w:rsidRPr="0764FF73">
        <w:rPr>
          <w:color w:val="000000" w:themeColor="text1"/>
          <w:sz w:val="20"/>
          <w:szCs w:val="20"/>
          <w:lang w:val="en-US"/>
        </w:rPr>
        <w:t xml:space="preserve"> </w:t>
      </w:r>
      <w:r w:rsidRPr="0764FF73">
        <w:rPr>
          <w:color w:val="000000" w:themeColor="text1"/>
          <w:sz w:val="20"/>
          <w:szCs w:val="20"/>
          <w:lang w:val="en-US"/>
        </w:rPr>
        <w:t xml:space="preserve">Through these integrated governance reforms and inclusive </w:t>
      </w:r>
      <w:r w:rsidRPr="0764FF73">
        <w:rPr>
          <w:color w:val="000000" w:themeColor="text1"/>
          <w:sz w:val="20"/>
          <w:szCs w:val="20"/>
          <w:lang w:val="en-US"/>
        </w:rPr>
        <w:lastRenderedPageBreak/>
        <w:t>approaches, Output 2.1.3 sets the foundation for a more efficient, equitable, and environmentally responsible urban transport system in Bamako.</w:t>
      </w:r>
    </w:p>
    <w:p w14:paraId="726FB172" w14:textId="5D314384" w:rsidR="0764FF73" w:rsidRDefault="0764FF73" w:rsidP="0764FF73">
      <w:pPr>
        <w:rPr>
          <w:i/>
          <w:iCs/>
          <w:color w:val="000000" w:themeColor="text1"/>
          <w:sz w:val="20"/>
          <w:szCs w:val="20"/>
          <w:u w:val="single"/>
          <w:lang w:val="en-US"/>
        </w:rPr>
      </w:pPr>
    </w:p>
    <w:p w14:paraId="1EA88661" w14:textId="697C9211" w:rsidR="003E30C5" w:rsidRPr="00E86501" w:rsidRDefault="02352F6B" w:rsidP="003974F4">
      <w:pPr>
        <w:rPr>
          <w:highlight w:val="cyan"/>
          <w:lang w:val="en-US"/>
        </w:rPr>
      </w:pPr>
      <w:r w:rsidRPr="00E86501">
        <w:rPr>
          <w:i/>
          <w:iCs/>
          <w:color w:val="000000" w:themeColor="text1"/>
          <w:sz w:val="20"/>
          <w:szCs w:val="20"/>
          <w:highlight w:val="cyan"/>
          <w:u w:val="single"/>
          <w:lang w:val="en-US"/>
        </w:rPr>
        <w:t>Activity 2.1.3.1</w:t>
      </w:r>
      <w:r w:rsidR="00B42ED6" w:rsidRPr="00E86501">
        <w:rPr>
          <w:i/>
          <w:iCs/>
          <w:color w:val="000000" w:themeColor="text1"/>
          <w:sz w:val="20"/>
          <w:szCs w:val="20"/>
          <w:highlight w:val="cyan"/>
          <w:u w:val="single"/>
          <w:lang w:val="en-US"/>
        </w:rPr>
        <w:t xml:space="preserve">: Institutional diagnosis and establishment of </w:t>
      </w:r>
      <w:r w:rsidR="00EB403B" w:rsidRPr="2DC80E69">
        <w:rPr>
          <w:i/>
          <w:iCs/>
          <w:color w:val="000000" w:themeColor="text1"/>
          <w:sz w:val="20"/>
          <w:szCs w:val="20"/>
          <w:highlight w:val="cyan"/>
          <w:u w:val="single"/>
          <w:lang w:val="en-US"/>
        </w:rPr>
        <w:t>regulatory</w:t>
      </w:r>
      <w:r w:rsidR="00B42ED6" w:rsidRPr="00E86501">
        <w:rPr>
          <w:i/>
          <w:iCs/>
          <w:color w:val="000000" w:themeColor="text1"/>
          <w:sz w:val="20"/>
          <w:szCs w:val="20"/>
          <w:highlight w:val="cyan"/>
          <w:u w:val="single"/>
          <w:lang w:val="en-US"/>
        </w:rPr>
        <w:t xml:space="preserve"> Authority and Urban Council to strengthen governance of urban transport in Bamako</w:t>
      </w:r>
    </w:p>
    <w:p w14:paraId="4A852AD5" w14:textId="5308FF62" w:rsidR="003E30C5" w:rsidRPr="00E86501" w:rsidRDefault="003E30C5" w:rsidP="003E30C5">
      <w:pPr>
        <w:rPr>
          <w:color w:val="000000" w:themeColor="text1"/>
          <w:sz w:val="20"/>
          <w:szCs w:val="20"/>
          <w:highlight w:val="cyan"/>
          <w:lang w:val="en-US"/>
        </w:rPr>
      </w:pPr>
      <w:r w:rsidRPr="00E86501">
        <w:rPr>
          <w:color w:val="000000" w:themeColor="text1"/>
          <w:sz w:val="20"/>
          <w:szCs w:val="20"/>
          <w:highlight w:val="cyan"/>
          <w:lang w:val="en-US"/>
        </w:rPr>
        <w:t xml:space="preserve">This activity aims to strengthen the governance of urban transport in Bamako by undertaking a comprehensive institutional diagnosis and developing the conditions for establishing </w:t>
      </w:r>
      <w:r w:rsidR="00066CBA" w:rsidRPr="00E86501">
        <w:rPr>
          <w:color w:val="000000" w:themeColor="text1"/>
          <w:sz w:val="20"/>
          <w:szCs w:val="20"/>
          <w:highlight w:val="cyan"/>
          <w:lang w:val="en-US"/>
        </w:rPr>
        <w:t xml:space="preserve">two </w:t>
      </w:r>
      <w:r w:rsidRPr="00E86501">
        <w:rPr>
          <w:color w:val="000000" w:themeColor="text1"/>
          <w:sz w:val="20"/>
          <w:szCs w:val="20"/>
          <w:highlight w:val="cyan"/>
          <w:lang w:val="en-US"/>
        </w:rPr>
        <w:t xml:space="preserve">key governance </w:t>
      </w:r>
      <w:r w:rsidR="00B73600" w:rsidRPr="00E86501">
        <w:rPr>
          <w:color w:val="000000" w:themeColor="text1"/>
          <w:sz w:val="20"/>
          <w:szCs w:val="20"/>
          <w:highlight w:val="cyan"/>
          <w:lang w:val="en-US"/>
        </w:rPr>
        <w:t>bod</w:t>
      </w:r>
      <w:r w:rsidR="00066CBA" w:rsidRPr="00E86501">
        <w:rPr>
          <w:color w:val="000000" w:themeColor="text1"/>
          <w:sz w:val="20"/>
          <w:szCs w:val="20"/>
          <w:highlight w:val="cyan"/>
          <w:lang w:val="en-US"/>
        </w:rPr>
        <w:t>ies</w:t>
      </w:r>
      <w:r w:rsidR="00B73600" w:rsidRPr="00E86501">
        <w:rPr>
          <w:color w:val="000000" w:themeColor="text1"/>
          <w:sz w:val="20"/>
          <w:szCs w:val="20"/>
          <w:highlight w:val="cyan"/>
          <w:lang w:val="en-US"/>
        </w:rPr>
        <w:t xml:space="preserve">, which </w:t>
      </w:r>
      <w:r w:rsidR="00066CBA" w:rsidRPr="00E86501">
        <w:rPr>
          <w:color w:val="000000" w:themeColor="text1"/>
          <w:sz w:val="20"/>
          <w:szCs w:val="20"/>
          <w:highlight w:val="cyan"/>
          <w:lang w:val="en-US"/>
        </w:rPr>
        <w:t xml:space="preserve">are </w:t>
      </w:r>
      <w:r w:rsidR="00B73600" w:rsidRPr="00E86501">
        <w:rPr>
          <w:color w:val="000000" w:themeColor="text1"/>
          <w:sz w:val="20"/>
          <w:szCs w:val="20"/>
          <w:highlight w:val="cyan"/>
          <w:lang w:val="en-US"/>
        </w:rPr>
        <w:t>the</w:t>
      </w:r>
      <w:r w:rsidRPr="00E86501">
        <w:rPr>
          <w:color w:val="000000" w:themeColor="text1"/>
          <w:sz w:val="20"/>
          <w:szCs w:val="20"/>
          <w:highlight w:val="cyan"/>
          <w:lang w:val="en-US"/>
        </w:rPr>
        <w:t xml:space="preserve"> </w:t>
      </w:r>
      <w:r w:rsidRPr="00E86501">
        <w:rPr>
          <w:b/>
          <w:bCs/>
          <w:color w:val="000000" w:themeColor="text1"/>
          <w:sz w:val="20"/>
          <w:szCs w:val="20"/>
          <w:highlight w:val="cyan"/>
          <w:lang w:val="en-US"/>
        </w:rPr>
        <w:t>Urban Transport Regulatory Authority</w:t>
      </w:r>
      <w:r w:rsidR="00066CBA" w:rsidRPr="00E86501">
        <w:rPr>
          <w:b/>
          <w:bCs/>
          <w:color w:val="000000" w:themeColor="text1"/>
          <w:sz w:val="20"/>
          <w:szCs w:val="20"/>
          <w:highlight w:val="cyan"/>
          <w:lang w:val="en-US"/>
        </w:rPr>
        <w:t xml:space="preserve"> </w:t>
      </w:r>
      <w:r w:rsidR="00066CBA" w:rsidRPr="00E86501">
        <w:rPr>
          <w:color w:val="000000" w:themeColor="text1"/>
          <w:sz w:val="20"/>
          <w:szCs w:val="20"/>
          <w:highlight w:val="cyan"/>
          <w:lang w:val="en-US"/>
        </w:rPr>
        <w:t>and</w:t>
      </w:r>
      <w:r w:rsidR="00066CBA" w:rsidRPr="00E86501">
        <w:rPr>
          <w:b/>
          <w:bCs/>
          <w:color w:val="000000" w:themeColor="text1"/>
          <w:sz w:val="20"/>
          <w:szCs w:val="20"/>
          <w:highlight w:val="cyan"/>
          <w:lang w:val="en-US"/>
        </w:rPr>
        <w:t xml:space="preserve"> the national transport council</w:t>
      </w:r>
      <w:r w:rsidRPr="00E86501">
        <w:rPr>
          <w:color w:val="000000" w:themeColor="text1"/>
          <w:sz w:val="20"/>
          <w:szCs w:val="20"/>
          <w:highlight w:val="cyan"/>
          <w:lang w:val="en-US"/>
        </w:rPr>
        <w:t>. These bodies will help coordinate public and private actors, regulate transport services, and guide strategic decision-making in a rapidly evolving mobility landscape.</w:t>
      </w:r>
    </w:p>
    <w:p w14:paraId="71C90ABD" w14:textId="2E9866D6" w:rsidR="003E30C5" w:rsidRPr="00E86501" w:rsidRDefault="003E30C5" w:rsidP="003E30C5">
      <w:pPr>
        <w:rPr>
          <w:color w:val="000000" w:themeColor="text1"/>
          <w:sz w:val="20"/>
          <w:szCs w:val="20"/>
          <w:highlight w:val="cyan"/>
          <w:lang w:val="en-US"/>
        </w:rPr>
      </w:pPr>
      <w:r w:rsidRPr="00E86501">
        <w:rPr>
          <w:color w:val="000000" w:themeColor="text1"/>
          <w:sz w:val="20"/>
          <w:szCs w:val="20"/>
          <w:highlight w:val="cyan"/>
          <w:lang w:val="en-US"/>
        </w:rPr>
        <w:t xml:space="preserve">The activity will begin with </w:t>
      </w:r>
      <w:r w:rsidR="001E0C46" w:rsidRPr="00E86501">
        <w:rPr>
          <w:color w:val="000000" w:themeColor="text1"/>
          <w:sz w:val="20"/>
          <w:szCs w:val="20"/>
          <w:highlight w:val="cyan"/>
          <w:lang w:val="en-US"/>
        </w:rPr>
        <w:t xml:space="preserve">Phase 1 through </w:t>
      </w:r>
      <w:r w:rsidRPr="00E86501">
        <w:rPr>
          <w:color w:val="000000" w:themeColor="text1"/>
          <w:sz w:val="20"/>
          <w:szCs w:val="20"/>
          <w:highlight w:val="cyan"/>
          <w:lang w:val="en-US"/>
        </w:rPr>
        <w:t xml:space="preserve">an </w:t>
      </w:r>
      <w:r w:rsidRPr="00E86501">
        <w:rPr>
          <w:b/>
          <w:bCs/>
          <w:color w:val="000000" w:themeColor="text1"/>
          <w:sz w:val="20"/>
          <w:szCs w:val="20"/>
          <w:highlight w:val="cyan"/>
          <w:lang w:val="en-US"/>
        </w:rPr>
        <w:t>institutional and regulatory diagnosis</w:t>
      </w:r>
      <w:r w:rsidRPr="00E86501">
        <w:rPr>
          <w:color w:val="000000" w:themeColor="text1"/>
          <w:sz w:val="20"/>
          <w:szCs w:val="20"/>
          <w:highlight w:val="cyan"/>
          <w:lang w:val="en-US"/>
        </w:rPr>
        <w:t xml:space="preserve"> of the current urban transport governance framework. This will include a thorough review of existing laws, regulations, institutional mandates, and their implementation conditions, particularly </w:t>
      </w:r>
      <w:proofErr w:type="gramStart"/>
      <w:r w:rsidRPr="00E86501">
        <w:rPr>
          <w:color w:val="000000" w:themeColor="text1"/>
          <w:sz w:val="20"/>
          <w:szCs w:val="20"/>
          <w:highlight w:val="cyan"/>
          <w:lang w:val="en-US"/>
        </w:rPr>
        <w:t>in light of</w:t>
      </w:r>
      <w:proofErr w:type="gramEnd"/>
      <w:r w:rsidRPr="00E86501">
        <w:rPr>
          <w:color w:val="000000" w:themeColor="text1"/>
          <w:sz w:val="20"/>
          <w:szCs w:val="20"/>
          <w:highlight w:val="cyan"/>
          <w:lang w:val="en-US"/>
        </w:rPr>
        <w:t xml:space="preserve"> recent sectoral transformations—such as the emergence of motorcycle taxis, tricycles, and electric vehicles, and the transition of national directorates into general directorates. The diagnosis, led by the Directorate General of Transport (GDT) in close coordination with the </w:t>
      </w:r>
      <w:r w:rsidR="00B00622" w:rsidRPr="00E86501">
        <w:rPr>
          <w:color w:val="000000" w:themeColor="text1"/>
          <w:sz w:val="20"/>
          <w:szCs w:val="20"/>
          <w:highlight w:val="cyan"/>
          <w:lang w:val="en-US"/>
        </w:rPr>
        <w:t xml:space="preserve">local authority in </w:t>
      </w:r>
      <w:r w:rsidRPr="00E86501">
        <w:rPr>
          <w:color w:val="000000" w:themeColor="text1"/>
          <w:sz w:val="20"/>
          <w:szCs w:val="20"/>
          <w:highlight w:val="cyan"/>
          <w:lang w:val="en-US"/>
        </w:rPr>
        <w:t>Bamako</w:t>
      </w:r>
      <w:r w:rsidR="0041606B" w:rsidRPr="00E86501">
        <w:rPr>
          <w:color w:val="000000" w:themeColor="text1"/>
          <w:sz w:val="20"/>
          <w:szCs w:val="20"/>
          <w:highlight w:val="cyan"/>
          <w:lang w:val="en-US"/>
        </w:rPr>
        <w:t xml:space="preserve"> as an important case study for this study</w:t>
      </w:r>
      <w:r w:rsidRPr="00E86501">
        <w:rPr>
          <w:color w:val="000000" w:themeColor="text1"/>
          <w:sz w:val="20"/>
          <w:szCs w:val="20"/>
          <w:highlight w:val="cyan"/>
          <w:lang w:val="en-US"/>
        </w:rPr>
        <w:t>, will combine document review, field surveys, stakeholder consultations, and gender-responsive analysis.</w:t>
      </w:r>
    </w:p>
    <w:p w14:paraId="1C1598B6" w14:textId="33361D61" w:rsidR="0A45867C" w:rsidRPr="00E86501" w:rsidRDefault="0A45867C" w:rsidP="4B3DA424">
      <w:pPr>
        <w:rPr>
          <w:sz w:val="20"/>
          <w:szCs w:val="20"/>
          <w:lang w:val="en-US"/>
        </w:rPr>
      </w:pPr>
      <w:r w:rsidRPr="4B3DA424">
        <w:rPr>
          <w:rFonts w:ascii="Segoe UI" w:eastAsia="Segoe UI" w:hAnsi="Segoe UI" w:cs="Segoe UI"/>
          <w:color w:val="000000" w:themeColor="text1"/>
          <w:sz w:val="18"/>
          <w:szCs w:val="18"/>
          <w:lang w:val="en-US"/>
        </w:rPr>
        <w:t>A strong gender lens will be applied throughout the diagnostic process. This includes a differentiated analysis of the access, participation, and influence of women and men within the transport governance system; targeted interviews with women’s organizations, women transport operators, and women users of public and alternative transport; and a three-day consultation workshop featuring a dedicated session on identifying institutional barriers affecting women’s participation in the sector. The diagnosis will also map gender roles, powers, and resources within relevant institutions and assess existing or missing mechanisms for advancing gender equality.</w:t>
      </w:r>
    </w:p>
    <w:p w14:paraId="50B500C7" w14:textId="58772BF1" w:rsidR="003E30C5" w:rsidRPr="00E86501" w:rsidRDefault="003E30C5" w:rsidP="003E30C5">
      <w:pPr>
        <w:rPr>
          <w:color w:val="000000" w:themeColor="text1"/>
          <w:sz w:val="20"/>
          <w:szCs w:val="20"/>
          <w:highlight w:val="cyan"/>
          <w:lang w:val="en-US"/>
        </w:rPr>
      </w:pPr>
      <w:r w:rsidRPr="00E86501">
        <w:rPr>
          <w:color w:val="000000" w:themeColor="text1"/>
          <w:sz w:val="20"/>
          <w:szCs w:val="20"/>
          <w:highlight w:val="cyan"/>
          <w:lang w:val="en-US"/>
        </w:rPr>
        <w:t>Building on these findings, the activity will the</w:t>
      </w:r>
      <w:r w:rsidR="005A138B" w:rsidRPr="00E86501">
        <w:rPr>
          <w:color w:val="000000" w:themeColor="text1"/>
          <w:sz w:val="20"/>
          <w:szCs w:val="20"/>
          <w:highlight w:val="cyan"/>
          <w:lang w:val="en-US"/>
        </w:rPr>
        <w:t xml:space="preserve">n conduct the second phase of </w:t>
      </w:r>
      <w:r w:rsidRPr="00E86501">
        <w:rPr>
          <w:color w:val="000000" w:themeColor="text1"/>
          <w:sz w:val="20"/>
          <w:szCs w:val="20"/>
          <w:highlight w:val="cyan"/>
          <w:lang w:val="en-US"/>
        </w:rPr>
        <w:t>study to define the structure, mandate, financing mechanisms, and operational procedures for establishing the proposed Urban Transport Regulatory Authority and Urban Transport Council. The study will propose statutes, accountability mechanisms, and coordination arrangements that align with national legislation and international best practices. It will also define governance modalities ensuring the integration of gender equality, including rules for balanced representation, explicit mandates addressing the mobility needs of women and marginalized groups (such as persons with disabilities and low-income users), and transparency requirements related to gender composition and equity performance.</w:t>
      </w:r>
    </w:p>
    <w:p w14:paraId="206A01CC" w14:textId="724B98C0" w:rsidR="003E30C5" w:rsidRPr="00E86501" w:rsidRDefault="003E30C5" w:rsidP="00D77404">
      <w:pPr>
        <w:rPr>
          <w:color w:val="000000" w:themeColor="text1"/>
          <w:sz w:val="20"/>
          <w:szCs w:val="20"/>
          <w:highlight w:val="cyan"/>
          <w:lang w:val="en-US"/>
        </w:rPr>
      </w:pPr>
      <w:r w:rsidRPr="00E86501">
        <w:rPr>
          <w:color w:val="000000" w:themeColor="text1"/>
          <w:sz w:val="20"/>
          <w:szCs w:val="20"/>
          <w:highlight w:val="cyan"/>
          <w:lang w:val="en-US"/>
        </w:rPr>
        <w:t>This activity will deliver a coherent institutional roadmap and detailed proposals for operationalizing the two governance bodies, laying the foundation for a more coordinated, inclusive, transparent, and efficient urban transport governance system in Greater Bamako.</w:t>
      </w:r>
    </w:p>
    <w:p w14:paraId="1125BE4D" w14:textId="101A1CC7" w:rsidR="004F7DB3" w:rsidRPr="007D1565" w:rsidRDefault="02352F6B" w:rsidP="003974F4">
      <w:pPr>
        <w:rPr>
          <w:i/>
          <w:iCs/>
          <w:color w:val="000000" w:themeColor="text1"/>
          <w:sz w:val="20"/>
          <w:szCs w:val="20"/>
          <w:u w:val="single"/>
          <w:lang w:val="en-US"/>
        </w:rPr>
      </w:pPr>
      <w:r w:rsidRPr="0764FF73">
        <w:rPr>
          <w:i/>
          <w:iCs/>
          <w:color w:val="000000" w:themeColor="text1"/>
          <w:sz w:val="20"/>
          <w:szCs w:val="20"/>
          <w:u w:val="single"/>
          <w:lang w:val="en-US"/>
        </w:rPr>
        <w:t>Activity 2.1.3.</w:t>
      </w:r>
      <w:r w:rsidR="00521ABD">
        <w:rPr>
          <w:i/>
          <w:iCs/>
          <w:color w:val="000000" w:themeColor="text1"/>
          <w:sz w:val="20"/>
          <w:szCs w:val="20"/>
          <w:u w:val="single"/>
          <w:lang w:val="en-US"/>
        </w:rPr>
        <w:t>2</w:t>
      </w:r>
      <w:r w:rsidRPr="0764FF73">
        <w:rPr>
          <w:i/>
          <w:iCs/>
          <w:color w:val="000000" w:themeColor="text1"/>
          <w:sz w:val="20"/>
          <w:szCs w:val="20"/>
          <w:u w:val="single"/>
          <w:lang w:val="en-US"/>
        </w:rPr>
        <w:t xml:space="preserve">: Support to the Establishment of a </w:t>
      </w:r>
      <w:r w:rsidR="00E92673">
        <w:rPr>
          <w:i/>
          <w:iCs/>
          <w:color w:val="000000" w:themeColor="text1"/>
          <w:sz w:val="20"/>
          <w:szCs w:val="20"/>
          <w:u w:val="single"/>
          <w:lang w:val="en-US"/>
        </w:rPr>
        <w:t xml:space="preserve">National </w:t>
      </w:r>
      <w:r w:rsidRPr="0764FF73">
        <w:rPr>
          <w:i/>
          <w:iCs/>
          <w:color w:val="000000" w:themeColor="text1"/>
          <w:sz w:val="20"/>
          <w:szCs w:val="20"/>
          <w:u w:val="single"/>
          <w:lang w:val="en-US"/>
        </w:rPr>
        <w:t>Financing Mechanism for Sustainable Transport and Electric Mobility</w:t>
      </w:r>
    </w:p>
    <w:p w14:paraId="59E18586" w14:textId="322444F1" w:rsidR="23E51768" w:rsidRPr="00857B81" w:rsidRDefault="23E51768" w:rsidP="00DC2CA1">
      <w:pPr>
        <w:spacing w:before="281" w:after="281"/>
        <w:jc w:val="both"/>
        <w:rPr>
          <w:color w:val="000000" w:themeColor="text1"/>
          <w:sz w:val="20"/>
          <w:szCs w:val="20"/>
          <w:highlight w:val="yellow"/>
          <w:lang w:val="en-US"/>
        </w:rPr>
      </w:pPr>
      <w:r w:rsidRPr="00857B81">
        <w:rPr>
          <w:color w:val="000000" w:themeColor="text1"/>
          <w:sz w:val="20"/>
          <w:szCs w:val="20"/>
          <w:highlight w:val="yellow"/>
          <w:lang w:val="en-US"/>
        </w:rPr>
        <w:t xml:space="preserve">One of the most significant barriers to the large-scale adoption of </w:t>
      </w:r>
      <w:r w:rsidRPr="00857B81">
        <w:rPr>
          <w:b/>
          <w:bCs/>
          <w:color w:val="000000" w:themeColor="text1"/>
          <w:sz w:val="20"/>
          <w:szCs w:val="20"/>
          <w:highlight w:val="yellow"/>
          <w:lang w:val="en-US"/>
        </w:rPr>
        <w:t>electric vehicles (EVs)</w:t>
      </w:r>
      <w:r w:rsidRPr="00857B81">
        <w:rPr>
          <w:color w:val="000000" w:themeColor="text1"/>
          <w:sz w:val="20"/>
          <w:szCs w:val="20"/>
          <w:highlight w:val="yellow"/>
          <w:lang w:val="en-US"/>
        </w:rPr>
        <w:t xml:space="preserve"> and the modernization of public transport fleets in Mali is the limited availability of tailored, long-term, and accessible financing for vehicle acquisition and infrastructure investment. Without a robust financial instrument, operators—particularly from the informal and semi-formal sectors—face prohibitive upfront costs and limited pathways to participate in the low-carbon mobility transition.</w:t>
      </w:r>
    </w:p>
    <w:p w14:paraId="314E9DEF" w14:textId="78860D91" w:rsidR="23E51768" w:rsidRPr="00857B81" w:rsidRDefault="23E51768" w:rsidP="00DC2CA1">
      <w:pPr>
        <w:spacing w:before="281" w:after="281"/>
        <w:jc w:val="both"/>
        <w:rPr>
          <w:color w:val="000000" w:themeColor="text1"/>
          <w:sz w:val="20"/>
          <w:szCs w:val="20"/>
          <w:highlight w:val="yellow"/>
          <w:lang w:val="en-US"/>
        </w:rPr>
      </w:pPr>
      <w:r w:rsidRPr="00857B81">
        <w:rPr>
          <w:color w:val="000000" w:themeColor="text1"/>
          <w:sz w:val="20"/>
          <w:szCs w:val="20"/>
          <w:highlight w:val="yellow"/>
          <w:lang w:val="en-US"/>
        </w:rPr>
        <w:t xml:space="preserve">The current activity focuses on supporting the </w:t>
      </w:r>
      <w:r w:rsidRPr="00857B81">
        <w:rPr>
          <w:b/>
          <w:bCs/>
          <w:color w:val="000000" w:themeColor="text1"/>
          <w:sz w:val="20"/>
          <w:szCs w:val="20"/>
          <w:highlight w:val="yellow"/>
          <w:lang w:val="en-US"/>
        </w:rPr>
        <w:t>design and operationalization of an innovative financing mechanism</w:t>
      </w:r>
      <w:r w:rsidRPr="00857B81">
        <w:rPr>
          <w:color w:val="000000" w:themeColor="text1"/>
          <w:sz w:val="20"/>
          <w:szCs w:val="20"/>
          <w:highlight w:val="yellow"/>
          <w:lang w:val="en-US"/>
        </w:rPr>
        <w:t xml:space="preserve"> to facilitate the adoption of sustainable transport solutions in Bamako and, ultimately, at the national level. A central option under consideration is the </w:t>
      </w:r>
      <w:r w:rsidRPr="00857B81">
        <w:rPr>
          <w:b/>
          <w:bCs/>
          <w:color w:val="000000" w:themeColor="text1"/>
          <w:sz w:val="20"/>
          <w:szCs w:val="20"/>
          <w:highlight w:val="yellow"/>
          <w:lang w:val="en-US"/>
        </w:rPr>
        <w:t xml:space="preserve">activation and structuring of the Fund for Equipment and Road </w:t>
      </w:r>
      <w:r w:rsidRPr="00857B81">
        <w:rPr>
          <w:b/>
          <w:bCs/>
          <w:color w:val="000000" w:themeColor="text1"/>
          <w:sz w:val="20"/>
          <w:szCs w:val="20"/>
          <w:highlight w:val="yellow"/>
          <w:lang w:val="en-US"/>
        </w:rPr>
        <w:lastRenderedPageBreak/>
        <w:t>Transporters (FERT)</w:t>
      </w:r>
      <w:r w:rsidRPr="00857B81">
        <w:rPr>
          <w:color w:val="000000" w:themeColor="text1"/>
          <w:sz w:val="20"/>
          <w:szCs w:val="20"/>
          <w:highlight w:val="yellow"/>
          <w:lang w:val="en-US"/>
        </w:rPr>
        <w:t>, initially identified in the Strategic Plan for the Renewal of the Commercial Transport Fleet (2021–2023):</w:t>
      </w:r>
    </w:p>
    <w:p w14:paraId="103A0939" w14:textId="7943D44C" w:rsidR="23E51768" w:rsidRPr="00857B81" w:rsidRDefault="23E51768" w:rsidP="00DC2CA1">
      <w:pPr>
        <w:pStyle w:val="Paragraphedeliste"/>
        <w:numPr>
          <w:ilvl w:val="0"/>
          <w:numId w:val="40"/>
        </w:numPr>
        <w:spacing w:after="0"/>
        <w:jc w:val="both"/>
        <w:rPr>
          <w:color w:val="000000" w:themeColor="text1"/>
          <w:sz w:val="20"/>
          <w:szCs w:val="20"/>
          <w:highlight w:val="yellow"/>
          <w:lang w:val="en-US"/>
        </w:rPr>
      </w:pPr>
      <w:r w:rsidRPr="00857B81">
        <w:rPr>
          <w:color w:val="000000" w:themeColor="text1"/>
          <w:sz w:val="20"/>
          <w:szCs w:val="20"/>
          <w:highlight w:val="yellow"/>
          <w:lang w:val="en-US"/>
        </w:rPr>
        <w:t xml:space="preserve">FERT was established to replace the former Interurban and International Road Transport Equipment Fund and is intended to support the structured renewal of Mali’s commercial transport fleet, including SOTRAMA, taxis, and </w:t>
      </w:r>
      <w:proofErr w:type="gramStart"/>
      <w:r w:rsidRPr="00857B81">
        <w:rPr>
          <w:color w:val="000000" w:themeColor="text1"/>
          <w:sz w:val="20"/>
          <w:szCs w:val="20"/>
          <w:highlight w:val="yellow"/>
          <w:lang w:val="en-US"/>
        </w:rPr>
        <w:t>buses;</w:t>
      </w:r>
      <w:proofErr w:type="gramEnd"/>
    </w:p>
    <w:p w14:paraId="14903B47" w14:textId="3436DF06" w:rsidR="23E51768" w:rsidRPr="00857B81" w:rsidRDefault="23E51768" w:rsidP="00DC2CA1">
      <w:pPr>
        <w:pStyle w:val="Paragraphedeliste"/>
        <w:numPr>
          <w:ilvl w:val="0"/>
          <w:numId w:val="40"/>
        </w:numPr>
        <w:spacing w:after="0"/>
        <w:jc w:val="both"/>
        <w:rPr>
          <w:color w:val="000000" w:themeColor="text1"/>
          <w:sz w:val="20"/>
          <w:szCs w:val="20"/>
          <w:highlight w:val="yellow"/>
          <w:lang w:val="en-US"/>
        </w:rPr>
      </w:pPr>
      <w:r w:rsidRPr="00857B81">
        <w:rPr>
          <w:color w:val="000000" w:themeColor="text1"/>
          <w:sz w:val="20"/>
          <w:szCs w:val="20"/>
          <w:highlight w:val="yellow"/>
          <w:lang w:val="en-US"/>
        </w:rPr>
        <w:t xml:space="preserve">The original target included financing the acquisition of 2,200 hybrid and/or electric vehicles over a three-year period, followed by 700 new units </w:t>
      </w:r>
      <w:proofErr w:type="gramStart"/>
      <w:r w:rsidRPr="00857B81">
        <w:rPr>
          <w:color w:val="000000" w:themeColor="text1"/>
          <w:sz w:val="20"/>
          <w:szCs w:val="20"/>
          <w:highlight w:val="yellow"/>
          <w:lang w:val="en-US"/>
        </w:rPr>
        <w:t>annually;</w:t>
      </w:r>
      <w:proofErr w:type="gramEnd"/>
    </w:p>
    <w:p w14:paraId="67817FCE" w14:textId="461A8852" w:rsidR="23E51768" w:rsidRPr="00857B81" w:rsidRDefault="23E51768" w:rsidP="00DC2CA1">
      <w:pPr>
        <w:pStyle w:val="Paragraphedeliste"/>
        <w:numPr>
          <w:ilvl w:val="0"/>
          <w:numId w:val="40"/>
        </w:numPr>
        <w:spacing w:after="0"/>
        <w:jc w:val="both"/>
        <w:rPr>
          <w:color w:val="000000" w:themeColor="text1"/>
          <w:sz w:val="20"/>
          <w:szCs w:val="20"/>
          <w:highlight w:val="yellow"/>
          <w:lang w:val="en-US"/>
        </w:rPr>
      </w:pPr>
      <w:r w:rsidRPr="00857B81">
        <w:rPr>
          <w:color w:val="000000" w:themeColor="text1"/>
          <w:sz w:val="20"/>
          <w:szCs w:val="20"/>
          <w:highlight w:val="yellow"/>
          <w:lang w:val="en-US"/>
        </w:rPr>
        <w:t>Despite its strategic relevance, FERT has yet to become fully operational, due to institutional, regulatory, and resource mobilization challenges.</w:t>
      </w:r>
    </w:p>
    <w:p w14:paraId="3AF23D3F" w14:textId="08B2EED5" w:rsidR="23E51768" w:rsidRPr="00857B81" w:rsidRDefault="23E51768" w:rsidP="00DC2CA1">
      <w:pPr>
        <w:spacing w:after="0"/>
        <w:jc w:val="both"/>
        <w:rPr>
          <w:color w:val="000000" w:themeColor="text1"/>
          <w:sz w:val="20"/>
          <w:szCs w:val="20"/>
          <w:highlight w:val="yellow"/>
          <w:lang w:val="en-US"/>
        </w:rPr>
      </w:pPr>
      <w:r w:rsidRPr="00857B81">
        <w:rPr>
          <w:color w:val="000000" w:themeColor="text1"/>
          <w:sz w:val="20"/>
          <w:szCs w:val="20"/>
          <w:highlight w:val="yellow"/>
          <w:lang w:val="en-US"/>
        </w:rPr>
        <w:t>Key Objectives of the Activity:</w:t>
      </w:r>
    </w:p>
    <w:p w14:paraId="0C694983" w14:textId="00893C4A" w:rsidR="23E51768" w:rsidRPr="00857B81" w:rsidRDefault="23E51768" w:rsidP="00DC2CA1">
      <w:pPr>
        <w:pStyle w:val="Paragraphedeliste"/>
        <w:numPr>
          <w:ilvl w:val="0"/>
          <w:numId w:val="39"/>
        </w:numPr>
        <w:spacing w:after="0"/>
        <w:jc w:val="both"/>
        <w:rPr>
          <w:color w:val="000000" w:themeColor="text1"/>
          <w:sz w:val="20"/>
          <w:szCs w:val="20"/>
          <w:highlight w:val="yellow"/>
          <w:lang w:val="en-US"/>
        </w:rPr>
      </w:pPr>
      <w:r w:rsidRPr="00857B81">
        <w:rPr>
          <w:color w:val="000000" w:themeColor="text1"/>
          <w:sz w:val="20"/>
          <w:szCs w:val="20"/>
          <w:highlight w:val="yellow"/>
          <w:lang w:val="en-US"/>
        </w:rPr>
        <w:t xml:space="preserve">Conduct a diagnostic and feasibility analysis of FERT, identifying current bottlenecks (governance, capitalization, regulatory alignment) and proposing actionable </w:t>
      </w:r>
      <w:proofErr w:type="gramStart"/>
      <w:r w:rsidRPr="00857B81">
        <w:rPr>
          <w:color w:val="000000" w:themeColor="text1"/>
          <w:sz w:val="20"/>
          <w:szCs w:val="20"/>
          <w:highlight w:val="yellow"/>
          <w:lang w:val="en-US"/>
        </w:rPr>
        <w:t>solutions;</w:t>
      </w:r>
      <w:proofErr w:type="gramEnd"/>
    </w:p>
    <w:p w14:paraId="5807D36B" w14:textId="30D9B64F" w:rsidR="23E51768" w:rsidRPr="005C5B44" w:rsidRDefault="23E51768" w:rsidP="00DC2CA1">
      <w:pPr>
        <w:pStyle w:val="Paragraphedeliste"/>
        <w:numPr>
          <w:ilvl w:val="0"/>
          <w:numId w:val="39"/>
        </w:numPr>
        <w:spacing w:after="0"/>
        <w:jc w:val="both"/>
        <w:rPr>
          <w:color w:val="000000" w:themeColor="text1"/>
          <w:sz w:val="20"/>
          <w:szCs w:val="20"/>
          <w:highlight w:val="yellow"/>
          <w:lang w:val="en-US"/>
        </w:rPr>
      </w:pPr>
      <w:r w:rsidRPr="005C5B44">
        <w:rPr>
          <w:color w:val="000000" w:themeColor="text1"/>
          <w:sz w:val="20"/>
          <w:szCs w:val="20"/>
          <w:highlight w:val="yellow"/>
          <w:lang w:val="en-US"/>
        </w:rPr>
        <w:t>Develop the institutional and operational framework for the fund, including eligibility criteria, credit risk-sharing mechanisms, and financial instruments tailored to various market actors (e.g., leasing, concessional loans, co-financing models</w:t>
      </w:r>
      <w:proofErr w:type="gramStart"/>
      <w:r w:rsidRPr="005C5B44">
        <w:rPr>
          <w:color w:val="000000" w:themeColor="text1"/>
          <w:sz w:val="20"/>
          <w:szCs w:val="20"/>
          <w:highlight w:val="yellow"/>
          <w:lang w:val="en-US"/>
        </w:rPr>
        <w:t>);</w:t>
      </w:r>
      <w:proofErr w:type="gramEnd"/>
    </w:p>
    <w:p w14:paraId="551A0948" w14:textId="7107E99D" w:rsidR="23E51768" w:rsidRPr="00857B81" w:rsidRDefault="23E51768" w:rsidP="00DC2CA1">
      <w:pPr>
        <w:pStyle w:val="Paragraphedeliste"/>
        <w:numPr>
          <w:ilvl w:val="0"/>
          <w:numId w:val="39"/>
        </w:numPr>
        <w:spacing w:after="0"/>
        <w:jc w:val="both"/>
        <w:rPr>
          <w:color w:val="000000" w:themeColor="text1"/>
          <w:sz w:val="20"/>
          <w:szCs w:val="20"/>
          <w:highlight w:val="yellow"/>
          <w:lang w:val="en-US"/>
        </w:rPr>
      </w:pPr>
      <w:r w:rsidRPr="00857B81">
        <w:rPr>
          <w:color w:val="000000" w:themeColor="text1"/>
          <w:sz w:val="20"/>
          <w:szCs w:val="20"/>
          <w:highlight w:val="yellow"/>
          <w:lang w:val="en-US"/>
        </w:rPr>
        <w:t xml:space="preserve">Define targeted financing windows for informal and semi-formal operators, SMEs, and cooperatives involved in sustainable transport, ensuring gender and youth </w:t>
      </w:r>
      <w:proofErr w:type="gramStart"/>
      <w:r w:rsidRPr="00857B81">
        <w:rPr>
          <w:color w:val="000000" w:themeColor="text1"/>
          <w:sz w:val="20"/>
          <w:szCs w:val="20"/>
          <w:highlight w:val="yellow"/>
          <w:lang w:val="en-US"/>
        </w:rPr>
        <w:t>inclusion;</w:t>
      </w:r>
      <w:proofErr w:type="gramEnd"/>
    </w:p>
    <w:p w14:paraId="768E0844" w14:textId="293F005B" w:rsidR="23E51768" w:rsidRPr="00857B81" w:rsidRDefault="23E51768" w:rsidP="00DC2CA1">
      <w:pPr>
        <w:pStyle w:val="Paragraphedeliste"/>
        <w:numPr>
          <w:ilvl w:val="0"/>
          <w:numId w:val="39"/>
        </w:numPr>
        <w:spacing w:after="0"/>
        <w:jc w:val="both"/>
        <w:rPr>
          <w:color w:val="000000" w:themeColor="text1"/>
          <w:sz w:val="20"/>
          <w:szCs w:val="20"/>
          <w:highlight w:val="yellow"/>
          <w:lang w:val="en-US"/>
        </w:rPr>
      </w:pPr>
      <w:r w:rsidRPr="00857B81">
        <w:rPr>
          <w:color w:val="000000" w:themeColor="text1"/>
          <w:sz w:val="20"/>
          <w:szCs w:val="20"/>
          <w:highlight w:val="yellow"/>
          <w:lang w:val="en-US"/>
        </w:rPr>
        <w:t>Explore potential public-private partnerships and co-investment strategies to capitalize the fund, including climate finance, donor support, and national budget allocations.</w:t>
      </w:r>
    </w:p>
    <w:p w14:paraId="6D2DECC0" w14:textId="7280D6AB" w:rsidR="23E51768" w:rsidRPr="00857B81" w:rsidRDefault="23E51768" w:rsidP="00DC2CA1">
      <w:pPr>
        <w:spacing w:after="0"/>
        <w:jc w:val="both"/>
        <w:rPr>
          <w:color w:val="000000" w:themeColor="text1"/>
          <w:sz w:val="20"/>
          <w:szCs w:val="20"/>
          <w:highlight w:val="yellow"/>
          <w:lang w:val="en-US"/>
        </w:rPr>
      </w:pPr>
      <w:r w:rsidRPr="00857B81">
        <w:rPr>
          <w:color w:val="000000" w:themeColor="text1"/>
          <w:sz w:val="20"/>
          <w:szCs w:val="20"/>
          <w:highlight w:val="yellow"/>
          <w:lang w:val="en-US"/>
        </w:rPr>
        <w:t>Thus, the following outcomes are expected:</w:t>
      </w:r>
    </w:p>
    <w:p w14:paraId="08AF9C55" w14:textId="56815AEB" w:rsidR="23E51768" w:rsidRPr="005C5B44" w:rsidRDefault="23E51768" w:rsidP="00DC2CA1">
      <w:pPr>
        <w:pStyle w:val="Paragraphedeliste"/>
        <w:numPr>
          <w:ilvl w:val="0"/>
          <w:numId w:val="38"/>
        </w:numPr>
        <w:spacing w:after="0"/>
        <w:jc w:val="both"/>
        <w:rPr>
          <w:color w:val="000000" w:themeColor="text1"/>
          <w:sz w:val="20"/>
          <w:szCs w:val="20"/>
          <w:highlight w:val="yellow"/>
          <w:lang w:val="en-US"/>
        </w:rPr>
      </w:pPr>
      <w:r w:rsidRPr="005C5B44">
        <w:rPr>
          <w:color w:val="000000" w:themeColor="text1"/>
          <w:sz w:val="20"/>
          <w:szCs w:val="20"/>
          <w:highlight w:val="yellow"/>
          <w:lang w:val="en-US"/>
        </w:rPr>
        <w:t>A functional and sustainable financing mechanism aligned with the National policy on urban transport (Activity 1.1.2.1</w:t>
      </w:r>
      <w:proofErr w:type="gramStart"/>
      <w:r w:rsidRPr="005C5B44">
        <w:rPr>
          <w:color w:val="000000" w:themeColor="text1"/>
          <w:sz w:val="20"/>
          <w:szCs w:val="20"/>
          <w:highlight w:val="yellow"/>
          <w:lang w:val="en-US"/>
        </w:rPr>
        <w:t>);</w:t>
      </w:r>
      <w:proofErr w:type="gramEnd"/>
    </w:p>
    <w:p w14:paraId="0613CC0F" w14:textId="54CEB584" w:rsidR="23E51768" w:rsidRPr="00857B81" w:rsidRDefault="23E51768" w:rsidP="00DC2CA1">
      <w:pPr>
        <w:pStyle w:val="Paragraphedeliste"/>
        <w:numPr>
          <w:ilvl w:val="0"/>
          <w:numId w:val="38"/>
        </w:numPr>
        <w:spacing w:after="0"/>
        <w:jc w:val="both"/>
        <w:rPr>
          <w:color w:val="000000" w:themeColor="text1"/>
          <w:sz w:val="20"/>
          <w:szCs w:val="20"/>
          <w:highlight w:val="yellow"/>
          <w:lang w:val="en-US"/>
        </w:rPr>
      </w:pPr>
      <w:r w:rsidRPr="00857B81">
        <w:rPr>
          <w:color w:val="000000" w:themeColor="text1"/>
          <w:sz w:val="20"/>
          <w:szCs w:val="20"/>
          <w:highlight w:val="yellow"/>
          <w:lang w:val="en-US"/>
        </w:rPr>
        <w:t xml:space="preserve">Improved access to affordable credit for transport operators seeking to adopt EVs or low-emission </w:t>
      </w:r>
      <w:r w:rsidR="00B7493A" w:rsidRPr="00857B81">
        <w:rPr>
          <w:color w:val="000000" w:themeColor="text1"/>
          <w:sz w:val="20"/>
          <w:szCs w:val="20"/>
          <w:highlight w:val="yellow"/>
          <w:lang w:val="en-US"/>
        </w:rPr>
        <w:t>technologies.</w:t>
      </w:r>
    </w:p>
    <w:p w14:paraId="2F7EB777" w14:textId="3B7F0E3C" w:rsidR="23E51768" w:rsidRPr="00857B81" w:rsidRDefault="23E51768" w:rsidP="00DC2CA1">
      <w:pPr>
        <w:pStyle w:val="Paragraphedeliste"/>
        <w:numPr>
          <w:ilvl w:val="0"/>
          <w:numId w:val="38"/>
        </w:numPr>
        <w:spacing w:after="0"/>
        <w:jc w:val="both"/>
        <w:rPr>
          <w:color w:val="000000" w:themeColor="text1"/>
          <w:sz w:val="20"/>
          <w:szCs w:val="20"/>
          <w:highlight w:val="yellow"/>
          <w:lang w:val="en-US"/>
        </w:rPr>
      </w:pPr>
      <w:r w:rsidRPr="00857B81">
        <w:rPr>
          <w:color w:val="000000" w:themeColor="text1"/>
          <w:sz w:val="20"/>
          <w:szCs w:val="20"/>
          <w:highlight w:val="yellow"/>
          <w:lang w:val="en-US"/>
        </w:rPr>
        <w:t xml:space="preserve">Accelerated fleet renewal, contributing to reduced emissions, improved air quality, and a more efficient urban transport </w:t>
      </w:r>
      <w:proofErr w:type="gramStart"/>
      <w:r w:rsidRPr="00857B81">
        <w:rPr>
          <w:color w:val="000000" w:themeColor="text1"/>
          <w:sz w:val="20"/>
          <w:szCs w:val="20"/>
          <w:highlight w:val="yellow"/>
          <w:lang w:val="en-US"/>
        </w:rPr>
        <w:t>system;</w:t>
      </w:r>
      <w:proofErr w:type="gramEnd"/>
    </w:p>
    <w:p w14:paraId="2031C448" w14:textId="54E7B409" w:rsidR="23E51768" w:rsidRPr="00857B81" w:rsidRDefault="23E51768" w:rsidP="00DC2CA1">
      <w:pPr>
        <w:jc w:val="both"/>
        <w:rPr>
          <w:sz w:val="20"/>
          <w:szCs w:val="20"/>
          <w:highlight w:val="yellow"/>
          <w:lang w:val="en-US"/>
        </w:rPr>
      </w:pPr>
      <w:r w:rsidRPr="00857B81">
        <w:rPr>
          <w:color w:val="000000" w:themeColor="text1"/>
          <w:sz w:val="20"/>
          <w:szCs w:val="20"/>
          <w:highlight w:val="yellow"/>
          <w:lang w:val="en-US"/>
        </w:rPr>
        <w:t>This activity will be coordinated with Activities 1.1.2.1 and 1.2.1.1.</w:t>
      </w:r>
    </w:p>
    <w:p w14:paraId="74946041" w14:textId="0A184016" w:rsidR="00507C5E" w:rsidRDefault="58781143" w:rsidP="00DC2CA1">
      <w:pPr>
        <w:spacing w:before="240" w:after="240"/>
        <w:jc w:val="both"/>
        <w:rPr>
          <w:i/>
          <w:iCs/>
          <w:color w:val="000000" w:themeColor="text1"/>
          <w:sz w:val="20"/>
          <w:szCs w:val="20"/>
          <w:highlight w:val="yellow"/>
          <w:u w:val="single"/>
          <w:lang w:val="en-US"/>
        </w:rPr>
      </w:pPr>
      <w:r w:rsidRPr="00857B81">
        <w:rPr>
          <w:i/>
          <w:iCs/>
          <w:color w:val="000000" w:themeColor="text1"/>
          <w:sz w:val="20"/>
          <w:szCs w:val="20"/>
          <w:highlight w:val="yellow"/>
          <w:u w:val="single"/>
          <w:lang w:val="en-US"/>
        </w:rPr>
        <w:t>Activity 2.1.3.</w:t>
      </w:r>
      <w:r w:rsidR="00C807C3">
        <w:rPr>
          <w:i/>
          <w:iCs/>
          <w:color w:val="000000" w:themeColor="text1"/>
          <w:sz w:val="20"/>
          <w:szCs w:val="20"/>
          <w:highlight w:val="yellow"/>
          <w:u w:val="single"/>
          <w:lang w:val="en-US"/>
        </w:rPr>
        <w:t>3</w:t>
      </w:r>
      <w:r w:rsidR="00C807C3" w:rsidRPr="00857B81">
        <w:rPr>
          <w:i/>
          <w:iCs/>
          <w:color w:val="000000" w:themeColor="text1"/>
          <w:sz w:val="20"/>
          <w:szCs w:val="20"/>
          <w:highlight w:val="yellow"/>
          <w:u w:val="single"/>
          <w:lang w:val="en-US"/>
        </w:rPr>
        <w:t xml:space="preserve"> </w:t>
      </w:r>
      <w:r w:rsidR="0EEB1DE0" w:rsidRPr="00857B81">
        <w:rPr>
          <w:i/>
          <w:iCs/>
          <w:color w:val="000000" w:themeColor="text1"/>
          <w:sz w:val="20"/>
          <w:szCs w:val="20"/>
          <w:highlight w:val="yellow"/>
          <w:u w:val="single"/>
          <w:lang w:val="en-US"/>
        </w:rPr>
        <w:t>Organizing</w:t>
      </w:r>
      <w:r w:rsidRPr="00857B81">
        <w:rPr>
          <w:i/>
          <w:iCs/>
          <w:color w:val="000000" w:themeColor="text1"/>
          <w:sz w:val="20"/>
          <w:szCs w:val="20"/>
          <w:highlight w:val="yellow"/>
          <w:u w:val="single"/>
          <w:lang w:val="en-US"/>
        </w:rPr>
        <w:t xml:space="preserve"> carriers into Economic Interest Groupings (EIGs)</w:t>
      </w:r>
    </w:p>
    <w:p w14:paraId="53D21D2C" w14:textId="48EE2F2B" w:rsidR="1E3106C7" w:rsidRPr="00857B81" w:rsidRDefault="1E3106C7" w:rsidP="00DC2CA1">
      <w:pPr>
        <w:spacing w:before="240" w:after="240"/>
        <w:jc w:val="both"/>
        <w:rPr>
          <w:sz w:val="20"/>
          <w:szCs w:val="20"/>
          <w:highlight w:val="yellow"/>
          <w:lang w:val="en-US"/>
        </w:rPr>
      </w:pPr>
      <w:r w:rsidRPr="00857B81">
        <w:rPr>
          <w:sz w:val="20"/>
          <w:szCs w:val="20"/>
          <w:highlight w:val="yellow"/>
          <w:lang w:val="en-US"/>
        </w:rPr>
        <w:t xml:space="preserve">Building on experience in Dakar, this activity aims to strengthen transport unions' capacity by helping them form Economic Interest Groups (EIGs). The main objective of this approach is to facilitate their future access to credit, which is crucial for developing their activities. By joining forces, transporters can benefit from greater visibility with financial institutions, potentially resulting in more </w:t>
      </w:r>
      <w:proofErr w:type="spellStart"/>
      <w:r w:rsidRPr="00857B81">
        <w:rPr>
          <w:sz w:val="20"/>
          <w:szCs w:val="20"/>
          <w:highlight w:val="yellow"/>
          <w:lang w:val="en-US"/>
        </w:rPr>
        <w:t>favourable</w:t>
      </w:r>
      <w:proofErr w:type="spellEnd"/>
      <w:r w:rsidRPr="00857B81">
        <w:rPr>
          <w:sz w:val="20"/>
          <w:szCs w:val="20"/>
          <w:highlight w:val="yellow"/>
          <w:lang w:val="en-US"/>
        </w:rPr>
        <w:t xml:space="preserve"> credit terms.</w:t>
      </w:r>
    </w:p>
    <w:p w14:paraId="38901FF8" w14:textId="2CE50DC8" w:rsidR="1E3106C7" w:rsidRPr="00857B81" w:rsidRDefault="1E3106C7" w:rsidP="00DC2CA1">
      <w:pPr>
        <w:spacing w:before="240" w:after="240"/>
        <w:jc w:val="both"/>
        <w:rPr>
          <w:sz w:val="20"/>
          <w:szCs w:val="20"/>
          <w:highlight w:val="yellow"/>
          <w:lang w:val="en-US"/>
        </w:rPr>
      </w:pPr>
      <w:r w:rsidRPr="00857B81">
        <w:rPr>
          <w:sz w:val="20"/>
          <w:szCs w:val="20"/>
          <w:highlight w:val="yellow"/>
          <w:lang w:val="en-US"/>
        </w:rPr>
        <w:t>Additionally, creating EIGs enables the pooling of resources and sharing risks, potentially reducing the cost of credit. Banks and other financial institutions are often more inclined to grant loans to well-organized entities with a solid collective project. This approach was successful in Dakar when the “rapid bus” fleet was renewed.</w:t>
      </w:r>
    </w:p>
    <w:p w14:paraId="3492F4D5" w14:textId="2486CE9C" w:rsidR="1E3106C7" w:rsidRPr="00857B81" w:rsidRDefault="1E3106C7" w:rsidP="00DC2CA1">
      <w:pPr>
        <w:spacing w:before="240" w:after="240"/>
        <w:jc w:val="both"/>
        <w:rPr>
          <w:sz w:val="20"/>
          <w:szCs w:val="20"/>
          <w:highlight w:val="yellow"/>
          <w:lang w:val="en-US"/>
        </w:rPr>
      </w:pPr>
      <w:r w:rsidRPr="00857B81">
        <w:rPr>
          <w:sz w:val="20"/>
          <w:szCs w:val="20"/>
          <w:highlight w:val="yellow"/>
          <w:lang w:val="en-US"/>
        </w:rPr>
        <w:t xml:space="preserve">This initiative enabled Dakar's EIGs to purchase new vehicles at highly competitive prices, representing a significant advantage for transport operators. By forming EIGs, the unions were able to negotiate more </w:t>
      </w:r>
      <w:proofErr w:type="spellStart"/>
      <w:r w:rsidRPr="00857B81">
        <w:rPr>
          <w:sz w:val="20"/>
          <w:szCs w:val="20"/>
          <w:highlight w:val="yellow"/>
          <w:lang w:val="en-US"/>
        </w:rPr>
        <w:t>favourable</w:t>
      </w:r>
      <w:proofErr w:type="spellEnd"/>
      <w:r w:rsidRPr="00857B81">
        <w:rPr>
          <w:sz w:val="20"/>
          <w:szCs w:val="20"/>
          <w:highlight w:val="yellow"/>
          <w:lang w:val="en-US"/>
        </w:rPr>
        <w:t xml:space="preserve"> purchasing terms thanks to the volume effect. This means that, by purchasing several vehicles at the same time, they were able to benefit from significant supplier discounts.</w:t>
      </w:r>
    </w:p>
    <w:p w14:paraId="62DEF2F3" w14:textId="336B8444" w:rsidR="1E3106C7" w:rsidRPr="00857B81" w:rsidRDefault="1E3106C7" w:rsidP="00DC2CA1">
      <w:pPr>
        <w:spacing w:before="240" w:after="240"/>
        <w:jc w:val="both"/>
        <w:rPr>
          <w:sz w:val="20"/>
          <w:szCs w:val="20"/>
          <w:highlight w:val="yellow"/>
          <w:lang w:val="en-US"/>
        </w:rPr>
      </w:pPr>
      <w:r w:rsidRPr="00857B81">
        <w:rPr>
          <w:sz w:val="20"/>
          <w:szCs w:val="20"/>
          <w:highlight w:val="yellow"/>
          <w:lang w:val="en-US"/>
        </w:rPr>
        <w:t>Access to appropriate financing also played a key role. By pooling their resources and presenting a robust collective project, the EIGs were able to convince financial institutions to grant them loans at lower interest rates. This reduced the cost of purchasing vehicles and enabled transport operators to modernize their fleets, improve the quality of their services and meet growing market demand.</w:t>
      </w:r>
    </w:p>
    <w:p w14:paraId="54265063" w14:textId="33AF0FEC" w:rsidR="1E3106C7" w:rsidRPr="00857B81" w:rsidRDefault="1E3106C7" w:rsidP="00DC2CA1">
      <w:pPr>
        <w:jc w:val="both"/>
        <w:rPr>
          <w:highlight w:val="yellow"/>
          <w:lang w:val="en-US"/>
        </w:rPr>
      </w:pPr>
      <w:r w:rsidRPr="00857B81">
        <w:rPr>
          <w:sz w:val="20"/>
          <w:szCs w:val="20"/>
          <w:highlight w:val="yellow"/>
          <w:lang w:val="en-US"/>
        </w:rPr>
        <w:t>Ultimately, acquiring new vehicles contributes to the sustainability of the transport sector. Newer, more fuel-efficient vehicles can reduce transport operators' carbon footprint and improve their long-term profitability</w:t>
      </w:r>
    </w:p>
    <w:p w14:paraId="435F045E" w14:textId="5F5F4696" w:rsidR="004F7DB3" w:rsidRPr="00857B81" w:rsidRDefault="30A50402" w:rsidP="0764FF73">
      <w:pPr>
        <w:rPr>
          <w:i/>
          <w:iCs/>
          <w:color w:val="000000" w:themeColor="text1"/>
          <w:sz w:val="20"/>
          <w:szCs w:val="20"/>
          <w:highlight w:val="yellow"/>
          <w:u w:val="single"/>
          <w:lang w:val="en-US"/>
        </w:rPr>
      </w:pPr>
      <w:r w:rsidRPr="00857B81">
        <w:rPr>
          <w:i/>
          <w:iCs/>
          <w:color w:val="000000" w:themeColor="text1"/>
          <w:sz w:val="20"/>
          <w:szCs w:val="20"/>
          <w:highlight w:val="yellow"/>
          <w:u w:val="single"/>
          <w:lang w:val="en-US"/>
        </w:rPr>
        <w:lastRenderedPageBreak/>
        <w:t>Activity 2.1.3.</w:t>
      </w:r>
      <w:r w:rsidR="00C807C3">
        <w:rPr>
          <w:i/>
          <w:iCs/>
          <w:color w:val="000000" w:themeColor="text1"/>
          <w:sz w:val="20"/>
          <w:szCs w:val="20"/>
          <w:highlight w:val="yellow"/>
          <w:u w:val="single"/>
          <w:lang w:val="en-US"/>
        </w:rPr>
        <w:t>4</w:t>
      </w:r>
      <w:r w:rsidRPr="00857B81">
        <w:rPr>
          <w:i/>
          <w:iCs/>
          <w:color w:val="000000" w:themeColor="text1"/>
          <w:sz w:val="20"/>
          <w:szCs w:val="20"/>
          <w:highlight w:val="yellow"/>
          <w:u w:val="single"/>
          <w:lang w:val="en-US"/>
        </w:rPr>
        <w:t xml:space="preserve">: Strengthening Monitoring and Evaluation at the </w:t>
      </w:r>
      <w:r w:rsidR="58315770" w:rsidRPr="00857B81">
        <w:rPr>
          <w:i/>
          <w:iCs/>
          <w:color w:val="000000" w:themeColor="text1"/>
          <w:sz w:val="20"/>
          <w:szCs w:val="20"/>
          <w:highlight w:val="yellow"/>
          <w:u w:val="single"/>
          <w:lang w:val="en-US"/>
        </w:rPr>
        <w:t>GDT</w:t>
      </w:r>
      <w:r w:rsidRPr="00857B81">
        <w:rPr>
          <w:i/>
          <w:iCs/>
          <w:color w:val="000000" w:themeColor="text1"/>
          <w:sz w:val="20"/>
          <w:szCs w:val="20"/>
          <w:highlight w:val="yellow"/>
          <w:u w:val="single"/>
          <w:lang w:val="en-US"/>
        </w:rPr>
        <w:t xml:space="preserve"> for Electric Mobility Projects</w:t>
      </w:r>
    </w:p>
    <w:p w14:paraId="5F818694" w14:textId="5526394A" w:rsidR="5E585805" w:rsidRPr="00857B81" w:rsidRDefault="5E585805" w:rsidP="00DC2CA1">
      <w:pPr>
        <w:spacing w:before="240" w:after="240"/>
        <w:jc w:val="both"/>
        <w:rPr>
          <w:sz w:val="20"/>
          <w:szCs w:val="20"/>
          <w:highlight w:val="yellow"/>
          <w:lang w:val="en-US"/>
        </w:rPr>
      </w:pPr>
      <w:r w:rsidRPr="00857B81">
        <w:rPr>
          <w:sz w:val="20"/>
          <w:szCs w:val="20"/>
          <w:highlight w:val="yellow"/>
          <w:lang w:val="en-US"/>
        </w:rPr>
        <w:t xml:space="preserve">As Mali embarks on the transition to electric mobility, the success of related interventions will depend not only on financing, infrastructure, and capacity building, but also on the </w:t>
      </w:r>
      <w:r w:rsidRPr="00857B81">
        <w:rPr>
          <w:b/>
          <w:bCs/>
          <w:sz w:val="20"/>
          <w:szCs w:val="20"/>
          <w:highlight w:val="yellow"/>
          <w:lang w:val="en-US"/>
        </w:rPr>
        <w:t>ability to track progress, measure outcomes, and adapt policies based on evidence</w:t>
      </w:r>
      <w:r w:rsidRPr="00857B81">
        <w:rPr>
          <w:sz w:val="20"/>
          <w:szCs w:val="20"/>
          <w:highlight w:val="yellow"/>
          <w:lang w:val="en-US"/>
        </w:rPr>
        <w:t>. Currently, the General Directorate of Transport (GDT) lacks a structured system to monitor and evaluate electric mobility projects in a systematic and integrated manner.</w:t>
      </w:r>
    </w:p>
    <w:p w14:paraId="23139BA3" w14:textId="48B79E9C" w:rsidR="5E585805" w:rsidRPr="00857B81" w:rsidRDefault="5E585805" w:rsidP="00DC2CA1">
      <w:pPr>
        <w:spacing w:before="240" w:after="240"/>
        <w:jc w:val="both"/>
        <w:rPr>
          <w:sz w:val="20"/>
          <w:szCs w:val="20"/>
          <w:highlight w:val="yellow"/>
          <w:lang w:val="en-US"/>
        </w:rPr>
      </w:pPr>
      <w:r w:rsidRPr="00857B81">
        <w:rPr>
          <w:sz w:val="20"/>
          <w:szCs w:val="20"/>
          <w:highlight w:val="yellow"/>
          <w:lang w:val="en-US"/>
        </w:rPr>
        <w:t xml:space="preserve">This activity aims to establish a </w:t>
      </w:r>
      <w:r w:rsidRPr="00857B81">
        <w:rPr>
          <w:b/>
          <w:bCs/>
          <w:sz w:val="20"/>
          <w:szCs w:val="20"/>
          <w:highlight w:val="yellow"/>
          <w:lang w:val="en-US"/>
        </w:rPr>
        <w:t>robust Monitoring and Evaluation (M&amp;E) framework</w:t>
      </w:r>
      <w:r w:rsidRPr="00857B81">
        <w:rPr>
          <w:sz w:val="20"/>
          <w:szCs w:val="20"/>
          <w:highlight w:val="yellow"/>
          <w:lang w:val="en-US"/>
        </w:rPr>
        <w:t xml:space="preserve"> within the General Directorate of Transport (GDT), specifically tailored to the needs of the </w:t>
      </w:r>
      <w:r w:rsidRPr="00857B81">
        <w:rPr>
          <w:b/>
          <w:bCs/>
          <w:sz w:val="20"/>
          <w:szCs w:val="20"/>
          <w:highlight w:val="yellow"/>
          <w:lang w:val="en-US"/>
        </w:rPr>
        <w:t>electric mobility sector</w:t>
      </w:r>
      <w:r w:rsidRPr="00857B81">
        <w:rPr>
          <w:sz w:val="20"/>
          <w:szCs w:val="20"/>
          <w:highlight w:val="yellow"/>
          <w:lang w:val="en-US"/>
        </w:rPr>
        <w:t xml:space="preserve">. It will strengthen the GDT’s role as a central actor in the </w:t>
      </w:r>
      <w:r w:rsidRPr="00857B81">
        <w:rPr>
          <w:b/>
          <w:bCs/>
          <w:sz w:val="20"/>
          <w:szCs w:val="20"/>
          <w:highlight w:val="yellow"/>
          <w:lang w:val="en-US"/>
        </w:rPr>
        <w:t>oversight, performance tracking, and results-based management</w:t>
      </w:r>
      <w:r w:rsidRPr="00857B81">
        <w:rPr>
          <w:sz w:val="20"/>
          <w:szCs w:val="20"/>
          <w:highlight w:val="yellow"/>
          <w:lang w:val="en-US"/>
        </w:rPr>
        <w:t xml:space="preserve"> of e-mobility investments at both national and local levels.</w:t>
      </w:r>
    </w:p>
    <w:p w14:paraId="5ED989C6" w14:textId="619D5234" w:rsidR="5E585805" w:rsidRPr="00857B81" w:rsidRDefault="5E585805" w:rsidP="00DC2CA1">
      <w:pPr>
        <w:spacing w:before="240" w:after="240"/>
        <w:jc w:val="both"/>
        <w:rPr>
          <w:sz w:val="20"/>
          <w:szCs w:val="20"/>
          <w:highlight w:val="yellow"/>
          <w:lang w:val="en-US"/>
        </w:rPr>
      </w:pPr>
      <w:r w:rsidRPr="00857B81">
        <w:rPr>
          <w:sz w:val="20"/>
          <w:szCs w:val="20"/>
          <w:highlight w:val="yellow"/>
          <w:lang w:val="en-US"/>
        </w:rPr>
        <w:t xml:space="preserve">Importantly, the M&amp;E system will also support the </w:t>
      </w:r>
      <w:r w:rsidRPr="00857B81">
        <w:rPr>
          <w:b/>
          <w:bCs/>
          <w:sz w:val="20"/>
          <w:szCs w:val="20"/>
          <w:highlight w:val="yellow"/>
          <w:lang w:val="en-US"/>
        </w:rPr>
        <w:t>implementation of a decentralized transport monitoring system</w:t>
      </w:r>
      <w:r w:rsidRPr="00857B81">
        <w:rPr>
          <w:sz w:val="20"/>
          <w:szCs w:val="20"/>
          <w:highlight w:val="yellow"/>
          <w:lang w:val="en-US"/>
        </w:rPr>
        <w:t xml:space="preserve">, which will be integrated with the national-level framework. As a pilot, the system will be tested through the </w:t>
      </w:r>
      <w:r w:rsidRPr="00857B81">
        <w:rPr>
          <w:b/>
          <w:bCs/>
          <w:sz w:val="20"/>
          <w:szCs w:val="20"/>
          <w:highlight w:val="yellow"/>
          <w:lang w:val="en-US"/>
        </w:rPr>
        <w:t>Bamako Geoportal</w:t>
      </w:r>
      <w:r w:rsidRPr="00857B81">
        <w:rPr>
          <w:sz w:val="20"/>
          <w:szCs w:val="20"/>
          <w:highlight w:val="yellow"/>
          <w:lang w:val="en-US"/>
        </w:rPr>
        <w:t xml:space="preserve">, with deployment in the </w:t>
      </w:r>
      <w:r w:rsidRPr="00857B81">
        <w:rPr>
          <w:b/>
          <w:bCs/>
          <w:sz w:val="20"/>
          <w:szCs w:val="20"/>
          <w:highlight w:val="yellow"/>
          <w:lang w:val="en-US"/>
        </w:rPr>
        <w:t>District of Bamako</w:t>
      </w:r>
      <w:r w:rsidRPr="00857B81">
        <w:rPr>
          <w:sz w:val="20"/>
          <w:szCs w:val="20"/>
          <w:highlight w:val="yellow"/>
          <w:lang w:val="en-US"/>
        </w:rPr>
        <w:t>, Mali’s main economic hub. This will allow for real-time data collection, localized tracking, and evidence-based adjustments in urban mobility planning.</w:t>
      </w:r>
    </w:p>
    <w:p w14:paraId="5B0A9ED8" w14:textId="4E6BCF72" w:rsidR="5E585805" w:rsidRPr="00857B81" w:rsidRDefault="5E585805" w:rsidP="00DC2CA1">
      <w:pPr>
        <w:spacing w:after="0"/>
        <w:jc w:val="both"/>
        <w:rPr>
          <w:b/>
          <w:bCs/>
          <w:sz w:val="20"/>
          <w:szCs w:val="20"/>
          <w:highlight w:val="yellow"/>
          <w:lang w:val="en-US"/>
        </w:rPr>
      </w:pPr>
      <w:r w:rsidRPr="00857B81">
        <w:rPr>
          <w:b/>
          <w:bCs/>
          <w:sz w:val="20"/>
          <w:szCs w:val="20"/>
          <w:highlight w:val="yellow"/>
          <w:lang w:val="en-US"/>
        </w:rPr>
        <w:t>Key Objectives:</w:t>
      </w:r>
    </w:p>
    <w:p w14:paraId="4F320246" w14:textId="52CF4807" w:rsidR="5E585805" w:rsidRPr="00857B81" w:rsidRDefault="5E585805" w:rsidP="00DC2CA1">
      <w:pPr>
        <w:pStyle w:val="Paragraphedeliste"/>
        <w:numPr>
          <w:ilvl w:val="0"/>
          <w:numId w:val="37"/>
        </w:numPr>
        <w:spacing w:after="0"/>
        <w:jc w:val="both"/>
        <w:rPr>
          <w:sz w:val="20"/>
          <w:szCs w:val="20"/>
          <w:highlight w:val="yellow"/>
          <w:lang w:val="en-US"/>
        </w:rPr>
      </w:pPr>
      <w:r w:rsidRPr="00857B81">
        <w:rPr>
          <w:sz w:val="20"/>
          <w:szCs w:val="20"/>
          <w:highlight w:val="yellow"/>
          <w:lang w:val="en-US"/>
        </w:rPr>
        <w:t xml:space="preserve">Design and implementation of a sector-specific M&amp;E system for electric mobility, with clear indicators, baselines, and data collection </w:t>
      </w:r>
      <w:proofErr w:type="gramStart"/>
      <w:r w:rsidRPr="00857B81">
        <w:rPr>
          <w:sz w:val="20"/>
          <w:szCs w:val="20"/>
          <w:highlight w:val="yellow"/>
          <w:lang w:val="en-US"/>
        </w:rPr>
        <w:t>protocols;</w:t>
      </w:r>
      <w:proofErr w:type="gramEnd"/>
    </w:p>
    <w:p w14:paraId="17AC32CD" w14:textId="71208101" w:rsidR="5E585805" w:rsidRPr="00857B81" w:rsidRDefault="5E585805" w:rsidP="00DC2CA1">
      <w:pPr>
        <w:pStyle w:val="Paragraphedeliste"/>
        <w:numPr>
          <w:ilvl w:val="0"/>
          <w:numId w:val="37"/>
        </w:numPr>
        <w:spacing w:after="0"/>
        <w:jc w:val="both"/>
        <w:rPr>
          <w:sz w:val="20"/>
          <w:szCs w:val="20"/>
          <w:highlight w:val="yellow"/>
          <w:lang w:val="en-US"/>
        </w:rPr>
      </w:pPr>
      <w:r w:rsidRPr="00857B81">
        <w:rPr>
          <w:sz w:val="20"/>
          <w:szCs w:val="20"/>
          <w:highlight w:val="yellow"/>
          <w:lang w:val="en-US"/>
        </w:rPr>
        <w:t xml:space="preserve">Integration of key performance metrics, including emissions reduction, fuel cost savings, vehicle deployment rates, user adoption, and social </w:t>
      </w:r>
      <w:proofErr w:type="gramStart"/>
      <w:r w:rsidRPr="00857B81">
        <w:rPr>
          <w:sz w:val="20"/>
          <w:szCs w:val="20"/>
          <w:highlight w:val="yellow"/>
          <w:lang w:val="en-US"/>
        </w:rPr>
        <w:t>inclusion;</w:t>
      </w:r>
      <w:proofErr w:type="gramEnd"/>
    </w:p>
    <w:p w14:paraId="4A916E15" w14:textId="69032CC0" w:rsidR="5E585805" w:rsidRPr="00857B81" w:rsidRDefault="5E585805" w:rsidP="00DC2CA1">
      <w:pPr>
        <w:pStyle w:val="Paragraphedeliste"/>
        <w:numPr>
          <w:ilvl w:val="0"/>
          <w:numId w:val="37"/>
        </w:numPr>
        <w:spacing w:after="0"/>
        <w:jc w:val="both"/>
        <w:rPr>
          <w:sz w:val="20"/>
          <w:szCs w:val="20"/>
          <w:highlight w:val="yellow"/>
          <w:lang w:val="en-US"/>
        </w:rPr>
      </w:pPr>
      <w:r w:rsidRPr="00857B81">
        <w:rPr>
          <w:sz w:val="20"/>
          <w:szCs w:val="20"/>
          <w:highlight w:val="yellow"/>
          <w:lang w:val="en-US"/>
        </w:rPr>
        <w:t xml:space="preserve">Development of digital tools and dashboards to enable real-time data tracking and </w:t>
      </w:r>
      <w:proofErr w:type="gramStart"/>
      <w:r w:rsidRPr="00857B81">
        <w:rPr>
          <w:sz w:val="20"/>
          <w:szCs w:val="20"/>
          <w:highlight w:val="yellow"/>
          <w:lang w:val="en-US"/>
        </w:rPr>
        <w:t>reporting;</w:t>
      </w:r>
      <w:proofErr w:type="gramEnd"/>
    </w:p>
    <w:p w14:paraId="7A7C421F" w14:textId="02DD5631" w:rsidR="5E585805" w:rsidRPr="00857B81" w:rsidRDefault="5E585805" w:rsidP="00DC2CA1">
      <w:pPr>
        <w:pStyle w:val="Paragraphedeliste"/>
        <w:numPr>
          <w:ilvl w:val="0"/>
          <w:numId w:val="37"/>
        </w:numPr>
        <w:spacing w:after="0"/>
        <w:jc w:val="both"/>
        <w:rPr>
          <w:sz w:val="20"/>
          <w:szCs w:val="20"/>
          <w:highlight w:val="yellow"/>
          <w:lang w:val="en-US"/>
        </w:rPr>
      </w:pPr>
      <w:r w:rsidRPr="00857B81">
        <w:rPr>
          <w:sz w:val="20"/>
          <w:szCs w:val="20"/>
          <w:highlight w:val="yellow"/>
          <w:lang w:val="en-US"/>
        </w:rPr>
        <w:t xml:space="preserve">Training of GDT staff and partners in results-based monitoring, data analysis, and evaluation </w:t>
      </w:r>
      <w:proofErr w:type="gramStart"/>
      <w:r w:rsidRPr="00857B81">
        <w:rPr>
          <w:sz w:val="20"/>
          <w:szCs w:val="20"/>
          <w:highlight w:val="yellow"/>
          <w:lang w:val="en-US"/>
        </w:rPr>
        <w:t>methodologies;</w:t>
      </w:r>
      <w:proofErr w:type="gramEnd"/>
    </w:p>
    <w:p w14:paraId="116E01A4" w14:textId="25F22925" w:rsidR="5E585805" w:rsidRPr="00857B81" w:rsidRDefault="5E585805" w:rsidP="00DC2CA1">
      <w:pPr>
        <w:pStyle w:val="Paragraphedeliste"/>
        <w:numPr>
          <w:ilvl w:val="0"/>
          <w:numId w:val="37"/>
        </w:numPr>
        <w:spacing w:after="0"/>
        <w:jc w:val="both"/>
        <w:rPr>
          <w:sz w:val="20"/>
          <w:szCs w:val="20"/>
          <w:highlight w:val="yellow"/>
          <w:lang w:val="en-US"/>
        </w:rPr>
      </w:pPr>
      <w:r w:rsidRPr="00857B81">
        <w:rPr>
          <w:sz w:val="20"/>
          <w:szCs w:val="20"/>
          <w:highlight w:val="yellow"/>
          <w:lang w:val="en-US"/>
        </w:rPr>
        <w:t>Strengthening inter-institutional coordination to ensure that M&amp;E findings inform policy updates, financing decisions, and implementation adjustments across relevant ministries and urban authorities.</w:t>
      </w:r>
    </w:p>
    <w:p w14:paraId="4418F0A2" w14:textId="2BBBD2CA" w:rsidR="5E585805" w:rsidRPr="00857B81" w:rsidRDefault="5E585805" w:rsidP="00DC2CA1">
      <w:pPr>
        <w:jc w:val="both"/>
        <w:rPr>
          <w:sz w:val="20"/>
          <w:szCs w:val="20"/>
          <w:highlight w:val="yellow"/>
          <w:lang w:val="en-US"/>
        </w:rPr>
      </w:pPr>
      <w:r w:rsidRPr="00857B81">
        <w:rPr>
          <w:sz w:val="20"/>
          <w:szCs w:val="20"/>
          <w:highlight w:val="yellow"/>
          <w:lang w:val="en-US"/>
        </w:rPr>
        <w:t xml:space="preserve">By building institutional capacity for evidence-based oversight, this activity will ensure that Mali’s electric mobility transition is </w:t>
      </w:r>
      <w:r w:rsidRPr="00857B81">
        <w:rPr>
          <w:b/>
          <w:bCs/>
          <w:sz w:val="20"/>
          <w:szCs w:val="20"/>
          <w:highlight w:val="yellow"/>
          <w:lang w:val="en-US"/>
        </w:rPr>
        <w:t>accountable, transparent, and results-driven</w:t>
      </w:r>
      <w:r w:rsidRPr="00857B81">
        <w:rPr>
          <w:sz w:val="20"/>
          <w:szCs w:val="20"/>
          <w:highlight w:val="yellow"/>
          <w:lang w:val="en-US"/>
        </w:rPr>
        <w:t>, while contributing to more adaptive and informed decision-making at all levels.</w:t>
      </w:r>
    </w:p>
    <w:p w14:paraId="07DD9596" w14:textId="18825507" w:rsidR="004F7DB3" w:rsidRPr="007F4912" w:rsidRDefault="5B56D2D7" w:rsidP="003974F4">
      <w:pPr>
        <w:rPr>
          <w:color w:val="000000" w:themeColor="text1"/>
          <w:sz w:val="20"/>
          <w:szCs w:val="20"/>
          <w:lang w:val="en-US"/>
        </w:rPr>
      </w:pPr>
      <w:r w:rsidRPr="00857B81">
        <w:rPr>
          <w:color w:val="000000" w:themeColor="text1"/>
          <w:sz w:val="20"/>
          <w:szCs w:val="20"/>
          <w:highlight w:val="yellow"/>
          <w:lang w:val="en-US"/>
        </w:rPr>
        <w:t xml:space="preserve"> </w:t>
      </w:r>
    </w:p>
    <w:p w14:paraId="11067380" w14:textId="77777777" w:rsidR="00E6344A" w:rsidRPr="0029499A" w:rsidRDefault="02352F6B" w:rsidP="00F83B01">
      <w:pPr>
        <w:jc w:val="both"/>
        <w:rPr>
          <w:b/>
          <w:bCs/>
          <w:color w:val="000000" w:themeColor="text1"/>
          <w:sz w:val="20"/>
          <w:szCs w:val="20"/>
          <w:lang w:val="en-US"/>
        </w:rPr>
      </w:pPr>
      <w:r w:rsidRPr="0029499A">
        <w:rPr>
          <w:b/>
          <w:bCs/>
          <w:color w:val="000000" w:themeColor="text1"/>
          <w:sz w:val="20"/>
          <w:szCs w:val="20"/>
          <w:lang w:val="en-US"/>
        </w:rPr>
        <w:t>Output 2.1.4: Transport Pollution Control and Monitoring Tools are Strengthened</w:t>
      </w:r>
    </w:p>
    <w:p w14:paraId="7384AC2D" w14:textId="77777777" w:rsidR="00E6344A" w:rsidRPr="007F4912" w:rsidRDefault="64C36652" w:rsidP="00F83B01">
      <w:pPr>
        <w:jc w:val="both"/>
        <w:rPr>
          <w:color w:val="000000" w:themeColor="text1"/>
          <w:sz w:val="20"/>
          <w:szCs w:val="20"/>
          <w:lang w:val="en-US"/>
        </w:rPr>
      </w:pPr>
      <w:r w:rsidRPr="5D8904BE">
        <w:rPr>
          <w:color w:val="000000" w:themeColor="text1"/>
          <w:sz w:val="20"/>
          <w:szCs w:val="20"/>
          <w:lang w:val="en-US"/>
        </w:rPr>
        <w:t>Output 2.1.4 focuses on strengthening transport pollution control and monitoring tools to improve the management of urban transport-related environmental impacts in Bamako. Recognizing that urban mobility is a significant source of greenhouse gas emissions and air pollutants, this output aims to equip institutional stakeholders with the technical capacity and systems required to effectively monitor, regulate, and reduce pollution from transport sources.</w:t>
      </w:r>
    </w:p>
    <w:p w14:paraId="6CACE0BB" w14:textId="1F42EE61" w:rsidR="00E6344A" w:rsidRPr="007F4912" w:rsidRDefault="64C36652" w:rsidP="00F83B01">
      <w:pPr>
        <w:jc w:val="both"/>
        <w:rPr>
          <w:color w:val="000000" w:themeColor="text1"/>
          <w:sz w:val="20"/>
          <w:szCs w:val="20"/>
          <w:lang w:val="en-US"/>
        </w:rPr>
      </w:pPr>
      <w:r w:rsidRPr="5D8904BE">
        <w:rPr>
          <w:color w:val="000000" w:themeColor="text1"/>
          <w:sz w:val="20"/>
          <w:szCs w:val="20"/>
          <w:lang w:val="en-US"/>
        </w:rPr>
        <w:t xml:space="preserve">Central to this effort is a comprehensive assessment and enhancement of fuel quality control laboratories at the Office </w:t>
      </w:r>
      <w:proofErr w:type="spellStart"/>
      <w:r w:rsidRPr="5D8904BE">
        <w:rPr>
          <w:color w:val="000000" w:themeColor="text1"/>
          <w:sz w:val="20"/>
          <w:szCs w:val="20"/>
          <w:lang w:val="en-US"/>
        </w:rPr>
        <w:t>Malien</w:t>
      </w:r>
      <w:proofErr w:type="spellEnd"/>
      <w:r w:rsidRPr="5D8904BE">
        <w:rPr>
          <w:color w:val="000000" w:themeColor="text1"/>
          <w:sz w:val="20"/>
          <w:szCs w:val="20"/>
          <w:lang w:val="en-US"/>
        </w:rPr>
        <w:t xml:space="preserve"> des </w:t>
      </w:r>
      <w:r w:rsidR="2795E525" w:rsidRPr="5D8904BE">
        <w:rPr>
          <w:color w:val="000000" w:themeColor="text1"/>
          <w:sz w:val="20"/>
          <w:szCs w:val="20"/>
          <w:lang w:val="en-US"/>
        </w:rPr>
        <w:t>Output</w:t>
      </w:r>
      <w:r w:rsidRPr="5D8904BE">
        <w:rPr>
          <w:color w:val="000000" w:themeColor="text1"/>
          <w:sz w:val="20"/>
          <w:szCs w:val="20"/>
          <w:lang w:val="en-US"/>
        </w:rPr>
        <w:t xml:space="preserve">s </w:t>
      </w:r>
      <w:proofErr w:type="spellStart"/>
      <w:r w:rsidRPr="5D8904BE">
        <w:rPr>
          <w:color w:val="000000" w:themeColor="text1"/>
          <w:sz w:val="20"/>
          <w:szCs w:val="20"/>
          <w:lang w:val="en-US"/>
        </w:rPr>
        <w:t>Pétroliers</w:t>
      </w:r>
      <w:proofErr w:type="spellEnd"/>
      <w:r w:rsidRPr="5D8904BE">
        <w:rPr>
          <w:color w:val="000000" w:themeColor="text1"/>
          <w:sz w:val="20"/>
          <w:szCs w:val="20"/>
          <w:lang w:val="en-US"/>
        </w:rPr>
        <w:t xml:space="preserve"> (OMAP) and the </w:t>
      </w:r>
      <w:proofErr w:type="spellStart"/>
      <w:r w:rsidRPr="5D8904BE">
        <w:rPr>
          <w:color w:val="000000" w:themeColor="text1"/>
          <w:sz w:val="20"/>
          <w:szCs w:val="20"/>
          <w:lang w:val="en-US"/>
        </w:rPr>
        <w:t>Institut</w:t>
      </w:r>
      <w:proofErr w:type="spellEnd"/>
      <w:r w:rsidRPr="5D8904BE">
        <w:rPr>
          <w:color w:val="000000" w:themeColor="text1"/>
          <w:sz w:val="20"/>
          <w:szCs w:val="20"/>
          <w:lang w:val="en-US"/>
        </w:rPr>
        <w:t xml:space="preserve"> des Sciences </w:t>
      </w:r>
      <w:proofErr w:type="spellStart"/>
      <w:r w:rsidRPr="5D8904BE">
        <w:rPr>
          <w:color w:val="000000" w:themeColor="text1"/>
          <w:sz w:val="20"/>
          <w:szCs w:val="20"/>
          <w:lang w:val="en-US"/>
        </w:rPr>
        <w:t>Appliquées</w:t>
      </w:r>
      <w:proofErr w:type="spellEnd"/>
      <w:r w:rsidRPr="5D8904BE">
        <w:rPr>
          <w:color w:val="000000" w:themeColor="text1"/>
          <w:sz w:val="20"/>
          <w:szCs w:val="20"/>
          <w:lang w:val="en-US"/>
        </w:rPr>
        <w:t xml:space="preserve"> (ISA). By upgrading these laboratories’ capacities, the output seeks to ensure the availability of cleaner, higher-quality fuels that support healthier air quality and more sustainable transport operations.</w:t>
      </w:r>
    </w:p>
    <w:p w14:paraId="02475FE4" w14:textId="77777777" w:rsidR="0007259C" w:rsidRPr="007F4912" w:rsidRDefault="64C36652" w:rsidP="00F83B01">
      <w:pPr>
        <w:jc w:val="both"/>
        <w:rPr>
          <w:color w:val="000000" w:themeColor="text1"/>
          <w:sz w:val="20"/>
          <w:szCs w:val="20"/>
          <w:lang w:val="en-US"/>
        </w:rPr>
      </w:pPr>
      <w:r w:rsidRPr="0764FF73">
        <w:rPr>
          <w:color w:val="000000" w:themeColor="text1"/>
          <w:sz w:val="20"/>
          <w:szCs w:val="20"/>
          <w:lang w:val="en-US"/>
        </w:rPr>
        <w:t xml:space="preserve">Additionally, the establishment of a robust urban air quality monitoring system will provide reliable, localized data on transport-related emissions, addressing a critical knowledge gap. This system, developed in collaboration with the National Directorate of Sanitation and Pollution and Nuisance Control (DNACPN), will enhance institutional capabilities to manage air quality, inform policy and urban planning, and raise public awareness about pollution and health </w:t>
      </w:r>
      <w:proofErr w:type="spellStart"/>
      <w:r w:rsidRPr="0764FF73">
        <w:rPr>
          <w:color w:val="000000" w:themeColor="text1"/>
          <w:sz w:val="20"/>
          <w:szCs w:val="20"/>
          <w:lang w:val="en-US"/>
        </w:rPr>
        <w:t>risks.Together</w:t>
      </w:r>
      <w:proofErr w:type="spellEnd"/>
      <w:r w:rsidRPr="0764FF73">
        <w:rPr>
          <w:color w:val="000000" w:themeColor="text1"/>
          <w:sz w:val="20"/>
          <w:szCs w:val="20"/>
          <w:lang w:val="en-US"/>
        </w:rPr>
        <w:t>, these measures will lay the foundation for a cleaner, healthier, and more sustainable urban environment in Bamako by systematically controlling and reducing pollution from the transport sector.</w:t>
      </w:r>
    </w:p>
    <w:p w14:paraId="656EF152" w14:textId="3144B6D8" w:rsidR="004F7DB3" w:rsidRPr="0029499A" w:rsidRDefault="0DEEE6FB" w:rsidP="5D8904BE">
      <w:pPr>
        <w:jc w:val="both"/>
        <w:rPr>
          <w:i/>
          <w:iCs/>
          <w:color w:val="000000" w:themeColor="text1"/>
          <w:sz w:val="20"/>
          <w:szCs w:val="20"/>
          <w:u w:val="single"/>
          <w:lang w:val="en-US"/>
        </w:rPr>
      </w:pPr>
      <w:r w:rsidRPr="0764FF73">
        <w:rPr>
          <w:i/>
          <w:iCs/>
          <w:color w:val="000000" w:themeColor="text1"/>
          <w:sz w:val="20"/>
          <w:szCs w:val="20"/>
          <w:u w:val="single"/>
          <w:lang w:val="en-US"/>
        </w:rPr>
        <w:lastRenderedPageBreak/>
        <w:t xml:space="preserve">Activity 2.1.4.1: Study to Analyze Needs and Strengthen the Fuel Quality Control Laboratory at the Office </w:t>
      </w:r>
      <w:proofErr w:type="spellStart"/>
      <w:r w:rsidRPr="0764FF73">
        <w:rPr>
          <w:i/>
          <w:iCs/>
          <w:color w:val="000000" w:themeColor="text1"/>
          <w:sz w:val="20"/>
          <w:szCs w:val="20"/>
          <w:u w:val="single"/>
          <w:lang w:val="en-US"/>
        </w:rPr>
        <w:t>Malien</w:t>
      </w:r>
      <w:proofErr w:type="spellEnd"/>
      <w:r w:rsidRPr="0764FF73">
        <w:rPr>
          <w:i/>
          <w:iCs/>
          <w:color w:val="000000" w:themeColor="text1"/>
          <w:sz w:val="20"/>
          <w:szCs w:val="20"/>
          <w:u w:val="single"/>
          <w:lang w:val="en-US"/>
        </w:rPr>
        <w:t xml:space="preserve"> des </w:t>
      </w:r>
      <w:r w:rsidR="2795E525" w:rsidRPr="0764FF73">
        <w:rPr>
          <w:i/>
          <w:iCs/>
          <w:color w:val="000000" w:themeColor="text1"/>
          <w:sz w:val="20"/>
          <w:szCs w:val="20"/>
          <w:u w:val="single"/>
          <w:lang w:val="en-US"/>
        </w:rPr>
        <w:t>Output</w:t>
      </w:r>
      <w:r w:rsidRPr="0764FF73">
        <w:rPr>
          <w:i/>
          <w:iCs/>
          <w:color w:val="000000" w:themeColor="text1"/>
          <w:sz w:val="20"/>
          <w:szCs w:val="20"/>
          <w:u w:val="single"/>
          <w:lang w:val="en-US"/>
        </w:rPr>
        <w:t xml:space="preserve">s </w:t>
      </w:r>
      <w:proofErr w:type="spellStart"/>
      <w:r w:rsidRPr="0764FF73">
        <w:rPr>
          <w:i/>
          <w:iCs/>
          <w:color w:val="000000" w:themeColor="text1"/>
          <w:sz w:val="20"/>
          <w:szCs w:val="20"/>
          <w:u w:val="single"/>
          <w:lang w:val="en-US"/>
        </w:rPr>
        <w:t>Pétroliers</w:t>
      </w:r>
      <w:proofErr w:type="spellEnd"/>
      <w:r w:rsidRPr="0764FF73">
        <w:rPr>
          <w:i/>
          <w:iCs/>
          <w:color w:val="000000" w:themeColor="text1"/>
          <w:sz w:val="20"/>
          <w:szCs w:val="20"/>
          <w:u w:val="single"/>
          <w:lang w:val="en-US"/>
        </w:rPr>
        <w:t xml:space="preserve"> (OMAP) and the </w:t>
      </w:r>
      <w:proofErr w:type="spellStart"/>
      <w:r w:rsidRPr="0764FF73">
        <w:rPr>
          <w:i/>
          <w:iCs/>
          <w:color w:val="000000" w:themeColor="text1"/>
          <w:sz w:val="20"/>
          <w:szCs w:val="20"/>
          <w:u w:val="single"/>
          <w:lang w:val="en-US"/>
        </w:rPr>
        <w:t>Institut</w:t>
      </w:r>
      <w:proofErr w:type="spellEnd"/>
      <w:r w:rsidRPr="0764FF73">
        <w:rPr>
          <w:i/>
          <w:iCs/>
          <w:color w:val="000000" w:themeColor="text1"/>
          <w:sz w:val="20"/>
          <w:szCs w:val="20"/>
          <w:u w:val="single"/>
          <w:lang w:val="en-US"/>
        </w:rPr>
        <w:t xml:space="preserve"> des Sciences </w:t>
      </w:r>
      <w:proofErr w:type="spellStart"/>
      <w:r w:rsidRPr="0764FF73">
        <w:rPr>
          <w:i/>
          <w:iCs/>
          <w:color w:val="000000" w:themeColor="text1"/>
          <w:sz w:val="20"/>
          <w:szCs w:val="20"/>
          <w:u w:val="single"/>
          <w:lang w:val="en-US"/>
        </w:rPr>
        <w:t>Appliquées</w:t>
      </w:r>
      <w:proofErr w:type="spellEnd"/>
      <w:r w:rsidRPr="0764FF73">
        <w:rPr>
          <w:i/>
          <w:iCs/>
          <w:color w:val="000000" w:themeColor="text1"/>
          <w:sz w:val="20"/>
          <w:szCs w:val="20"/>
          <w:u w:val="single"/>
          <w:lang w:val="en-US"/>
        </w:rPr>
        <w:t xml:space="preserve"> (ISA), to Ensure an Improved Fuel Supply</w:t>
      </w:r>
    </w:p>
    <w:p w14:paraId="42671354" w14:textId="42A4837E" w:rsidR="18D07824" w:rsidRPr="00857B81" w:rsidRDefault="18D07824" w:rsidP="00857B81">
      <w:pPr>
        <w:spacing w:after="0"/>
        <w:jc w:val="both"/>
        <w:rPr>
          <w:sz w:val="20"/>
          <w:szCs w:val="20"/>
          <w:highlight w:val="yellow"/>
          <w:lang w:val="en-US"/>
        </w:rPr>
      </w:pPr>
      <w:r w:rsidRPr="00857B81">
        <w:rPr>
          <w:sz w:val="20"/>
          <w:szCs w:val="20"/>
          <w:highlight w:val="yellow"/>
          <w:lang w:val="en-US"/>
        </w:rPr>
        <w:t>Fuel quality is a critical determinant of urban air pollution, vehicle performance, public health, and the success of clean mobility strategies. In Mali, the circulation of low-grade or adulterated fuels—due to limited testing infrastructure and weak regulatory enforcement—undermines efforts to improve transport efficiency, exacerbates air quality deterioration, and increases health risks for urban populations.</w:t>
      </w:r>
    </w:p>
    <w:p w14:paraId="35FA1652" w14:textId="09576835" w:rsidR="18D07824" w:rsidRPr="00857B81" w:rsidRDefault="18D07824" w:rsidP="00857B81">
      <w:pPr>
        <w:spacing w:after="0"/>
        <w:jc w:val="both"/>
        <w:rPr>
          <w:sz w:val="20"/>
          <w:szCs w:val="20"/>
          <w:highlight w:val="yellow"/>
          <w:lang w:val="en-US"/>
        </w:rPr>
      </w:pPr>
      <w:r w:rsidRPr="00857B81">
        <w:rPr>
          <w:sz w:val="20"/>
          <w:szCs w:val="20"/>
          <w:highlight w:val="yellow"/>
          <w:lang w:val="en-US"/>
        </w:rPr>
        <w:t xml:space="preserve">This activity aims to </w:t>
      </w:r>
      <w:r w:rsidRPr="00857B81">
        <w:rPr>
          <w:b/>
          <w:bCs/>
          <w:sz w:val="20"/>
          <w:szCs w:val="20"/>
          <w:highlight w:val="yellow"/>
          <w:lang w:val="en-US"/>
        </w:rPr>
        <w:t>conduct a detailed diagnostic study</w:t>
      </w:r>
      <w:r w:rsidRPr="00857B81">
        <w:rPr>
          <w:sz w:val="20"/>
          <w:szCs w:val="20"/>
          <w:highlight w:val="yellow"/>
          <w:lang w:val="en-US"/>
        </w:rPr>
        <w:t xml:space="preserve"> of the existing fuel quality control laboratories at the Office </w:t>
      </w:r>
      <w:proofErr w:type="spellStart"/>
      <w:r w:rsidRPr="00857B81">
        <w:rPr>
          <w:sz w:val="20"/>
          <w:szCs w:val="20"/>
          <w:highlight w:val="yellow"/>
          <w:lang w:val="en-US"/>
        </w:rPr>
        <w:t>Malien</w:t>
      </w:r>
      <w:proofErr w:type="spellEnd"/>
      <w:r w:rsidRPr="00857B81">
        <w:rPr>
          <w:sz w:val="20"/>
          <w:szCs w:val="20"/>
          <w:highlight w:val="yellow"/>
          <w:lang w:val="en-US"/>
        </w:rPr>
        <w:t xml:space="preserve"> des </w:t>
      </w:r>
      <w:proofErr w:type="spellStart"/>
      <w:r w:rsidRPr="00857B81">
        <w:rPr>
          <w:sz w:val="20"/>
          <w:szCs w:val="20"/>
          <w:highlight w:val="yellow"/>
          <w:lang w:val="en-US"/>
        </w:rPr>
        <w:t>Produits</w:t>
      </w:r>
      <w:proofErr w:type="spellEnd"/>
      <w:r w:rsidRPr="00857B81">
        <w:rPr>
          <w:sz w:val="20"/>
          <w:szCs w:val="20"/>
          <w:highlight w:val="yellow"/>
          <w:lang w:val="en-US"/>
        </w:rPr>
        <w:t xml:space="preserve"> </w:t>
      </w:r>
      <w:proofErr w:type="spellStart"/>
      <w:r w:rsidRPr="00857B81">
        <w:rPr>
          <w:sz w:val="20"/>
          <w:szCs w:val="20"/>
          <w:highlight w:val="yellow"/>
          <w:lang w:val="en-US"/>
        </w:rPr>
        <w:t>Pétroliers</w:t>
      </w:r>
      <w:proofErr w:type="spellEnd"/>
      <w:r w:rsidRPr="00857B81">
        <w:rPr>
          <w:sz w:val="20"/>
          <w:szCs w:val="20"/>
          <w:highlight w:val="yellow"/>
          <w:lang w:val="en-US"/>
        </w:rPr>
        <w:t xml:space="preserve"> (OMAP) and the </w:t>
      </w:r>
      <w:proofErr w:type="spellStart"/>
      <w:r w:rsidRPr="00857B81">
        <w:rPr>
          <w:sz w:val="20"/>
          <w:szCs w:val="20"/>
          <w:highlight w:val="yellow"/>
          <w:lang w:val="en-US"/>
        </w:rPr>
        <w:t>Institut</w:t>
      </w:r>
      <w:proofErr w:type="spellEnd"/>
      <w:r w:rsidRPr="00857B81">
        <w:rPr>
          <w:sz w:val="20"/>
          <w:szCs w:val="20"/>
          <w:highlight w:val="yellow"/>
          <w:lang w:val="en-US"/>
        </w:rPr>
        <w:t xml:space="preserve"> des Sciences </w:t>
      </w:r>
      <w:proofErr w:type="spellStart"/>
      <w:r w:rsidRPr="00857B81">
        <w:rPr>
          <w:sz w:val="20"/>
          <w:szCs w:val="20"/>
          <w:highlight w:val="yellow"/>
          <w:lang w:val="en-US"/>
        </w:rPr>
        <w:t>Appliquées</w:t>
      </w:r>
      <w:proofErr w:type="spellEnd"/>
      <w:r w:rsidRPr="00857B81">
        <w:rPr>
          <w:sz w:val="20"/>
          <w:szCs w:val="20"/>
          <w:highlight w:val="yellow"/>
          <w:lang w:val="en-US"/>
        </w:rPr>
        <w:t xml:space="preserve"> (ISA), with the objective of strengthening their technical and institutional capacities. By doing so, Mali will be better equipped to enforce fuel standards, combat fuel-related pollution, and support the transition toward cleaner transport systems.</w:t>
      </w:r>
    </w:p>
    <w:p w14:paraId="28ADF450" w14:textId="10DFD801" w:rsidR="18D07824" w:rsidRPr="00857B81" w:rsidRDefault="18D07824" w:rsidP="00857B81">
      <w:pPr>
        <w:spacing w:after="0"/>
        <w:jc w:val="both"/>
        <w:rPr>
          <w:sz w:val="20"/>
          <w:szCs w:val="20"/>
          <w:highlight w:val="yellow"/>
          <w:lang w:val="en-US"/>
        </w:rPr>
      </w:pPr>
      <w:r w:rsidRPr="00857B81">
        <w:rPr>
          <w:sz w:val="20"/>
          <w:szCs w:val="20"/>
          <w:highlight w:val="yellow"/>
          <w:lang w:val="en-US"/>
        </w:rPr>
        <w:t>Key Objectives of the Study:</w:t>
      </w:r>
    </w:p>
    <w:p w14:paraId="60A91BF1" w14:textId="530FD76F" w:rsidR="18D07824" w:rsidRPr="00857B81" w:rsidRDefault="18D07824" w:rsidP="00857B81">
      <w:pPr>
        <w:pStyle w:val="Paragraphedeliste"/>
        <w:numPr>
          <w:ilvl w:val="0"/>
          <w:numId w:val="36"/>
        </w:numPr>
        <w:spacing w:after="0"/>
        <w:jc w:val="both"/>
        <w:rPr>
          <w:sz w:val="20"/>
          <w:szCs w:val="20"/>
          <w:highlight w:val="yellow"/>
          <w:lang w:val="en-US"/>
        </w:rPr>
      </w:pPr>
      <w:r w:rsidRPr="00857B81">
        <w:rPr>
          <w:sz w:val="20"/>
          <w:szCs w:val="20"/>
          <w:highlight w:val="yellow"/>
          <w:lang w:val="en-US"/>
        </w:rPr>
        <w:t xml:space="preserve">Assess the current technical capacity, equipment status, and staffing of the OMAP and ISA </w:t>
      </w:r>
      <w:proofErr w:type="gramStart"/>
      <w:r w:rsidRPr="00857B81">
        <w:rPr>
          <w:sz w:val="20"/>
          <w:szCs w:val="20"/>
          <w:highlight w:val="yellow"/>
          <w:lang w:val="en-US"/>
        </w:rPr>
        <w:t>laboratories;</w:t>
      </w:r>
      <w:proofErr w:type="gramEnd"/>
    </w:p>
    <w:p w14:paraId="7B10F98C" w14:textId="0D2471EE" w:rsidR="18D07824" w:rsidRPr="00857B81" w:rsidRDefault="18D07824" w:rsidP="00857B81">
      <w:pPr>
        <w:pStyle w:val="Paragraphedeliste"/>
        <w:numPr>
          <w:ilvl w:val="0"/>
          <w:numId w:val="36"/>
        </w:numPr>
        <w:spacing w:after="0"/>
        <w:jc w:val="both"/>
        <w:rPr>
          <w:sz w:val="20"/>
          <w:szCs w:val="20"/>
          <w:highlight w:val="yellow"/>
          <w:lang w:val="en-US"/>
        </w:rPr>
      </w:pPr>
      <w:r w:rsidRPr="00857B81">
        <w:rPr>
          <w:sz w:val="20"/>
          <w:szCs w:val="20"/>
          <w:highlight w:val="yellow"/>
          <w:lang w:val="en-US"/>
        </w:rPr>
        <w:t xml:space="preserve">Identify gaps in testing protocols, compliance monitoring, and data reporting </w:t>
      </w:r>
      <w:proofErr w:type="gramStart"/>
      <w:r w:rsidRPr="00857B81">
        <w:rPr>
          <w:sz w:val="20"/>
          <w:szCs w:val="20"/>
          <w:highlight w:val="yellow"/>
          <w:lang w:val="en-US"/>
        </w:rPr>
        <w:t>systems;</w:t>
      </w:r>
      <w:proofErr w:type="gramEnd"/>
    </w:p>
    <w:p w14:paraId="4195B504" w14:textId="44322871" w:rsidR="18D07824" w:rsidRPr="00857B81" w:rsidRDefault="18D07824" w:rsidP="00857B81">
      <w:pPr>
        <w:pStyle w:val="Paragraphedeliste"/>
        <w:numPr>
          <w:ilvl w:val="0"/>
          <w:numId w:val="36"/>
        </w:numPr>
        <w:spacing w:after="0"/>
        <w:jc w:val="both"/>
        <w:rPr>
          <w:sz w:val="20"/>
          <w:szCs w:val="20"/>
          <w:highlight w:val="yellow"/>
          <w:lang w:val="en-US"/>
        </w:rPr>
      </w:pPr>
      <w:r w:rsidRPr="00857B81">
        <w:rPr>
          <w:sz w:val="20"/>
          <w:szCs w:val="20"/>
          <w:highlight w:val="yellow"/>
          <w:lang w:val="en-US"/>
        </w:rPr>
        <w:t xml:space="preserve">Define the needs for infrastructure upgrades, advanced analytical equipment, and training for laboratory </w:t>
      </w:r>
      <w:proofErr w:type="gramStart"/>
      <w:r w:rsidRPr="00857B81">
        <w:rPr>
          <w:sz w:val="20"/>
          <w:szCs w:val="20"/>
          <w:highlight w:val="yellow"/>
          <w:lang w:val="en-US"/>
        </w:rPr>
        <w:t>personnel;</w:t>
      </w:r>
      <w:proofErr w:type="gramEnd"/>
    </w:p>
    <w:p w14:paraId="170E2594" w14:textId="6EDE8364" w:rsidR="18D07824" w:rsidRPr="00857B81" w:rsidRDefault="18D07824" w:rsidP="00857B81">
      <w:pPr>
        <w:pStyle w:val="Paragraphedeliste"/>
        <w:numPr>
          <w:ilvl w:val="0"/>
          <w:numId w:val="36"/>
        </w:numPr>
        <w:spacing w:after="0"/>
        <w:jc w:val="both"/>
        <w:rPr>
          <w:sz w:val="20"/>
          <w:szCs w:val="20"/>
          <w:highlight w:val="yellow"/>
          <w:lang w:val="en-US"/>
        </w:rPr>
      </w:pPr>
      <w:r w:rsidRPr="00857B81">
        <w:rPr>
          <w:sz w:val="20"/>
          <w:szCs w:val="20"/>
          <w:highlight w:val="yellow"/>
          <w:lang w:val="en-US"/>
        </w:rPr>
        <w:t xml:space="preserve">Propose a roadmap for institutional coordination between OMAP, ISA, and relevant regulatory </w:t>
      </w:r>
      <w:proofErr w:type="gramStart"/>
      <w:r w:rsidRPr="00857B81">
        <w:rPr>
          <w:sz w:val="20"/>
          <w:szCs w:val="20"/>
          <w:highlight w:val="yellow"/>
          <w:lang w:val="en-US"/>
        </w:rPr>
        <w:t>agencies;</w:t>
      </w:r>
      <w:proofErr w:type="gramEnd"/>
    </w:p>
    <w:p w14:paraId="2434DC16" w14:textId="25A16F66" w:rsidR="18D07824" w:rsidRDefault="18D07824" w:rsidP="0764FF73">
      <w:pPr>
        <w:jc w:val="both"/>
        <w:rPr>
          <w:sz w:val="20"/>
          <w:szCs w:val="20"/>
          <w:lang w:val="en-US"/>
        </w:rPr>
      </w:pPr>
      <w:r w:rsidRPr="00857B81">
        <w:rPr>
          <w:sz w:val="20"/>
          <w:szCs w:val="20"/>
          <w:highlight w:val="yellow"/>
          <w:lang w:val="en-US"/>
        </w:rPr>
        <w:t>Explore opportunities for regional cooperation and certification to align with international fuel quality standards and enhance enforcement.</w:t>
      </w:r>
    </w:p>
    <w:p w14:paraId="46568399" w14:textId="14564FFB" w:rsidR="004F7DB3" w:rsidRPr="0029499A" w:rsidRDefault="02352F6B" w:rsidP="00F83B01">
      <w:pPr>
        <w:jc w:val="both"/>
        <w:rPr>
          <w:i/>
          <w:iCs/>
          <w:color w:val="000000" w:themeColor="text1"/>
          <w:sz w:val="20"/>
          <w:szCs w:val="20"/>
          <w:u w:val="single"/>
          <w:lang w:val="en-US"/>
        </w:rPr>
      </w:pPr>
      <w:r w:rsidRPr="0764FF73">
        <w:rPr>
          <w:i/>
          <w:iCs/>
          <w:color w:val="000000" w:themeColor="text1"/>
          <w:sz w:val="20"/>
          <w:szCs w:val="20"/>
          <w:u w:val="single"/>
          <w:lang w:val="en-US"/>
        </w:rPr>
        <w:t>Activity 2.1.4.2: Establishment of an Urban Air Quality Monitoring System</w:t>
      </w:r>
    </w:p>
    <w:p w14:paraId="606FC726" w14:textId="34736BA5" w:rsidR="4BA88391" w:rsidRPr="00857B81" w:rsidRDefault="4BA88391" w:rsidP="00857B81">
      <w:pPr>
        <w:spacing w:before="240" w:after="240"/>
        <w:jc w:val="both"/>
        <w:rPr>
          <w:sz w:val="20"/>
          <w:szCs w:val="20"/>
          <w:highlight w:val="yellow"/>
          <w:lang w:val="en-US"/>
        </w:rPr>
      </w:pPr>
      <w:r w:rsidRPr="00857B81">
        <w:rPr>
          <w:sz w:val="20"/>
          <w:szCs w:val="20"/>
          <w:highlight w:val="yellow"/>
          <w:lang w:val="en-US"/>
        </w:rPr>
        <w:t>The lack of reliable, localized air quality data in Bamako severely limits the ability of public authorities to design, implement, and enforce effective environmental protection and public health policies. Urban transport—characterized by aging, poorly maintained, and high-emission vehicles—is one of the primary contributors to air pollution in the city, particularly in densely populated and congested areas. This activity aims to support the National Directorate of Sanitation and Pollution and Nuisance Control (DNACPN) in establishing a comprehensive urban air quality monitoring system, with a focus on transport-related emissions. The system will provide critical data to inform evidence-based decision-making, improve inter-agency coordination, and support the transition toward cleaner and healthier urban environments.</w:t>
      </w:r>
    </w:p>
    <w:p w14:paraId="0BA5E254" w14:textId="4734A76B" w:rsidR="4BA88391" w:rsidRPr="00857B81" w:rsidRDefault="4BA88391" w:rsidP="00691219">
      <w:pPr>
        <w:spacing w:after="0"/>
        <w:jc w:val="both"/>
        <w:rPr>
          <w:sz w:val="20"/>
          <w:szCs w:val="20"/>
          <w:highlight w:val="yellow"/>
        </w:rPr>
      </w:pPr>
      <w:r w:rsidRPr="00857B81">
        <w:rPr>
          <w:sz w:val="20"/>
          <w:szCs w:val="20"/>
          <w:highlight w:val="yellow"/>
        </w:rPr>
        <w:t xml:space="preserve">Key </w:t>
      </w:r>
      <w:proofErr w:type="gramStart"/>
      <w:r w:rsidRPr="00857B81">
        <w:rPr>
          <w:sz w:val="20"/>
          <w:szCs w:val="20"/>
          <w:highlight w:val="yellow"/>
        </w:rPr>
        <w:t>Objectives:</w:t>
      </w:r>
      <w:proofErr w:type="gramEnd"/>
    </w:p>
    <w:p w14:paraId="3B7E81B1" w14:textId="47EACD26" w:rsidR="4BA88391" w:rsidRPr="00857B81" w:rsidRDefault="4BA88391" w:rsidP="00691219">
      <w:pPr>
        <w:pStyle w:val="Paragraphedeliste"/>
        <w:numPr>
          <w:ilvl w:val="0"/>
          <w:numId w:val="35"/>
        </w:numPr>
        <w:spacing w:after="0"/>
        <w:jc w:val="both"/>
        <w:rPr>
          <w:sz w:val="20"/>
          <w:szCs w:val="20"/>
          <w:highlight w:val="yellow"/>
          <w:lang w:val="en-US"/>
        </w:rPr>
      </w:pPr>
      <w:r w:rsidRPr="00857B81">
        <w:rPr>
          <w:sz w:val="20"/>
          <w:szCs w:val="20"/>
          <w:highlight w:val="yellow"/>
          <w:lang w:val="en-US"/>
        </w:rPr>
        <w:t>Deploy air quality monitoring stations across strategic urban locations, including traffic corridors, densely populated neighborhoods, and vulnerable zones (e.g., schools, hospitals</w:t>
      </w:r>
      <w:proofErr w:type="gramStart"/>
      <w:r w:rsidRPr="00857B81">
        <w:rPr>
          <w:sz w:val="20"/>
          <w:szCs w:val="20"/>
          <w:highlight w:val="yellow"/>
          <w:lang w:val="en-US"/>
        </w:rPr>
        <w:t>);</w:t>
      </w:r>
      <w:proofErr w:type="gramEnd"/>
    </w:p>
    <w:p w14:paraId="6738C65C" w14:textId="020B19CD" w:rsidR="4BA88391" w:rsidRPr="00857B81" w:rsidRDefault="4BA88391" w:rsidP="00691219">
      <w:pPr>
        <w:pStyle w:val="Paragraphedeliste"/>
        <w:numPr>
          <w:ilvl w:val="0"/>
          <w:numId w:val="35"/>
        </w:numPr>
        <w:spacing w:after="0"/>
        <w:jc w:val="both"/>
        <w:rPr>
          <w:sz w:val="20"/>
          <w:szCs w:val="20"/>
          <w:highlight w:val="yellow"/>
          <w:lang w:val="en-US"/>
        </w:rPr>
      </w:pPr>
      <w:r w:rsidRPr="00857B81">
        <w:rPr>
          <w:sz w:val="20"/>
          <w:szCs w:val="20"/>
          <w:highlight w:val="yellow"/>
          <w:lang w:val="en-US"/>
        </w:rPr>
        <w:t>Establish data collection, processing, and reporting protocols, in line with international air quality standards (e.g., WHO, UNEP guidelines</w:t>
      </w:r>
      <w:proofErr w:type="gramStart"/>
      <w:r w:rsidRPr="00857B81">
        <w:rPr>
          <w:sz w:val="20"/>
          <w:szCs w:val="20"/>
          <w:highlight w:val="yellow"/>
          <w:lang w:val="en-US"/>
        </w:rPr>
        <w:t>);</w:t>
      </w:r>
      <w:proofErr w:type="gramEnd"/>
    </w:p>
    <w:p w14:paraId="2078F64E" w14:textId="6B2724F6" w:rsidR="4BA88391" w:rsidRPr="00857B81" w:rsidRDefault="4BA88391" w:rsidP="00691219">
      <w:pPr>
        <w:pStyle w:val="Paragraphedeliste"/>
        <w:numPr>
          <w:ilvl w:val="0"/>
          <w:numId w:val="35"/>
        </w:numPr>
        <w:spacing w:after="0"/>
        <w:jc w:val="both"/>
        <w:rPr>
          <w:sz w:val="20"/>
          <w:szCs w:val="20"/>
          <w:highlight w:val="yellow"/>
          <w:lang w:val="en-US"/>
        </w:rPr>
      </w:pPr>
      <w:r w:rsidRPr="00857B81">
        <w:rPr>
          <w:sz w:val="20"/>
          <w:szCs w:val="20"/>
          <w:highlight w:val="yellow"/>
          <w:lang w:val="en-US"/>
        </w:rPr>
        <w:t xml:space="preserve">Build the technical and institutional capacity of DNACPN and relevant urban planning authorities to manage the system and analyze </w:t>
      </w:r>
      <w:proofErr w:type="gramStart"/>
      <w:r w:rsidRPr="00857B81">
        <w:rPr>
          <w:sz w:val="20"/>
          <w:szCs w:val="20"/>
          <w:highlight w:val="yellow"/>
          <w:lang w:val="en-US"/>
        </w:rPr>
        <w:t>data;</w:t>
      </w:r>
      <w:proofErr w:type="gramEnd"/>
    </w:p>
    <w:p w14:paraId="0123BA45" w14:textId="48C5D270" w:rsidR="4BA88391" w:rsidRPr="00857B81" w:rsidRDefault="4BA88391" w:rsidP="00691219">
      <w:pPr>
        <w:pStyle w:val="Paragraphedeliste"/>
        <w:numPr>
          <w:ilvl w:val="0"/>
          <w:numId w:val="35"/>
        </w:numPr>
        <w:spacing w:after="0"/>
        <w:jc w:val="both"/>
        <w:rPr>
          <w:sz w:val="20"/>
          <w:szCs w:val="20"/>
          <w:highlight w:val="yellow"/>
          <w:lang w:val="en-US"/>
        </w:rPr>
      </w:pPr>
      <w:r w:rsidRPr="00857B81">
        <w:rPr>
          <w:sz w:val="20"/>
          <w:szCs w:val="20"/>
          <w:highlight w:val="yellow"/>
          <w:lang w:val="en-US"/>
        </w:rPr>
        <w:t xml:space="preserve">Integrate air quality data into urban transport and land-use planning processes, enabling more targeted and sustainable </w:t>
      </w:r>
      <w:proofErr w:type="gramStart"/>
      <w:r w:rsidRPr="00857B81">
        <w:rPr>
          <w:sz w:val="20"/>
          <w:szCs w:val="20"/>
          <w:highlight w:val="yellow"/>
          <w:lang w:val="en-US"/>
        </w:rPr>
        <w:t>interventions;</w:t>
      </w:r>
      <w:proofErr w:type="gramEnd"/>
    </w:p>
    <w:p w14:paraId="3B706D09" w14:textId="41C31066" w:rsidR="4BA88391" w:rsidRPr="00857B81" w:rsidRDefault="4BA88391" w:rsidP="00691219">
      <w:pPr>
        <w:pStyle w:val="Paragraphedeliste"/>
        <w:numPr>
          <w:ilvl w:val="0"/>
          <w:numId w:val="35"/>
        </w:numPr>
        <w:spacing w:after="0"/>
        <w:jc w:val="both"/>
        <w:rPr>
          <w:sz w:val="20"/>
          <w:szCs w:val="20"/>
          <w:highlight w:val="yellow"/>
          <w:lang w:val="en-US"/>
        </w:rPr>
      </w:pPr>
      <w:r w:rsidRPr="00857B81">
        <w:rPr>
          <w:sz w:val="20"/>
          <w:szCs w:val="20"/>
          <w:highlight w:val="yellow"/>
          <w:lang w:val="en-US"/>
        </w:rPr>
        <w:t>Raise public awareness and civic engagement through the publication of air quality indices, public dashboards, and community education campaigns.</w:t>
      </w:r>
    </w:p>
    <w:p w14:paraId="0779B983" w14:textId="2E0D55A0" w:rsidR="4BA88391" w:rsidRPr="00857B81" w:rsidRDefault="4BA88391" w:rsidP="00691219">
      <w:pPr>
        <w:spacing w:after="0"/>
        <w:jc w:val="both"/>
        <w:rPr>
          <w:sz w:val="20"/>
          <w:szCs w:val="20"/>
          <w:highlight w:val="yellow"/>
        </w:rPr>
      </w:pPr>
      <w:r w:rsidRPr="00857B81">
        <w:rPr>
          <w:sz w:val="20"/>
          <w:szCs w:val="20"/>
          <w:highlight w:val="yellow"/>
        </w:rPr>
        <w:t xml:space="preserve">This initiative </w:t>
      </w:r>
      <w:proofErr w:type="spellStart"/>
      <w:proofErr w:type="gramStart"/>
      <w:r w:rsidRPr="00857B81">
        <w:rPr>
          <w:sz w:val="20"/>
          <w:szCs w:val="20"/>
          <w:highlight w:val="yellow"/>
        </w:rPr>
        <w:t>will</w:t>
      </w:r>
      <w:proofErr w:type="spellEnd"/>
      <w:r w:rsidRPr="00857B81">
        <w:rPr>
          <w:sz w:val="20"/>
          <w:szCs w:val="20"/>
          <w:highlight w:val="yellow"/>
        </w:rPr>
        <w:t>:</w:t>
      </w:r>
      <w:proofErr w:type="gramEnd"/>
    </w:p>
    <w:p w14:paraId="629509BD" w14:textId="00C91D8A" w:rsidR="4BA88391" w:rsidRPr="00857B81" w:rsidRDefault="4BA88391" w:rsidP="00691219">
      <w:pPr>
        <w:pStyle w:val="Paragraphedeliste"/>
        <w:numPr>
          <w:ilvl w:val="0"/>
          <w:numId w:val="34"/>
        </w:numPr>
        <w:spacing w:after="0"/>
        <w:jc w:val="both"/>
        <w:rPr>
          <w:sz w:val="20"/>
          <w:szCs w:val="20"/>
          <w:highlight w:val="yellow"/>
          <w:lang w:val="en-US"/>
        </w:rPr>
      </w:pPr>
      <w:r w:rsidRPr="00857B81">
        <w:rPr>
          <w:sz w:val="20"/>
          <w:szCs w:val="20"/>
          <w:highlight w:val="yellow"/>
          <w:lang w:val="en-US"/>
        </w:rPr>
        <w:t xml:space="preserve">Enhance cross-sectoral coordination among health, environment, and transport </w:t>
      </w:r>
      <w:proofErr w:type="gramStart"/>
      <w:r w:rsidRPr="00857B81">
        <w:rPr>
          <w:sz w:val="20"/>
          <w:szCs w:val="20"/>
          <w:highlight w:val="yellow"/>
          <w:lang w:val="en-US"/>
        </w:rPr>
        <w:t>institutions;</w:t>
      </w:r>
      <w:proofErr w:type="gramEnd"/>
    </w:p>
    <w:p w14:paraId="68E62ADF" w14:textId="138C24C4" w:rsidR="4BA88391" w:rsidRPr="00857B81" w:rsidRDefault="4BA88391" w:rsidP="00691219">
      <w:pPr>
        <w:pStyle w:val="Paragraphedeliste"/>
        <w:numPr>
          <w:ilvl w:val="0"/>
          <w:numId w:val="34"/>
        </w:numPr>
        <w:spacing w:after="0"/>
        <w:jc w:val="both"/>
        <w:rPr>
          <w:sz w:val="20"/>
          <w:szCs w:val="20"/>
          <w:highlight w:val="yellow"/>
          <w:lang w:val="en-US"/>
        </w:rPr>
      </w:pPr>
      <w:r w:rsidRPr="00857B81">
        <w:rPr>
          <w:sz w:val="20"/>
          <w:szCs w:val="20"/>
          <w:highlight w:val="yellow"/>
          <w:lang w:val="en-US"/>
        </w:rPr>
        <w:t xml:space="preserve">Improve the city’s ability to track progress toward climate and health </w:t>
      </w:r>
      <w:proofErr w:type="gramStart"/>
      <w:r w:rsidRPr="00857B81">
        <w:rPr>
          <w:sz w:val="20"/>
          <w:szCs w:val="20"/>
          <w:highlight w:val="yellow"/>
          <w:lang w:val="en-US"/>
        </w:rPr>
        <w:t>goals;</w:t>
      </w:r>
      <w:proofErr w:type="gramEnd"/>
    </w:p>
    <w:p w14:paraId="7ED15ADD" w14:textId="1EFBCD02" w:rsidR="4BA88391" w:rsidRPr="00857B81" w:rsidRDefault="4BA88391" w:rsidP="00691219">
      <w:pPr>
        <w:pStyle w:val="Paragraphedeliste"/>
        <w:numPr>
          <w:ilvl w:val="0"/>
          <w:numId w:val="34"/>
        </w:numPr>
        <w:spacing w:after="0"/>
        <w:jc w:val="both"/>
        <w:rPr>
          <w:sz w:val="20"/>
          <w:szCs w:val="20"/>
          <w:highlight w:val="yellow"/>
          <w:lang w:val="en-US"/>
        </w:rPr>
      </w:pPr>
      <w:r w:rsidRPr="00857B81">
        <w:rPr>
          <w:sz w:val="20"/>
          <w:szCs w:val="20"/>
          <w:highlight w:val="yellow"/>
          <w:lang w:val="en-US"/>
        </w:rPr>
        <w:t>Provide a solid foundation for future pollution control regulations, green infrastructure investments, and behavior change campaigns.</w:t>
      </w:r>
    </w:p>
    <w:p w14:paraId="4FEABA1D" w14:textId="7D0BFFB1" w:rsidR="4BA88391" w:rsidRDefault="4BA88391" w:rsidP="00691219">
      <w:pPr>
        <w:jc w:val="both"/>
        <w:rPr>
          <w:sz w:val="20"/>
          <w:szCs w:val="20"/>
          <w:highlight w:val="yellow"/>
          <w:lang w:val="en-US"/>
        </w:rPr>
      </w:pPr>
      <w:r w:rsidRPr="00857B81">
        <w:rPr>
          <w:sz w:val="20"/>
          <w:szCs w:val="20"/>
          <w:highlight w:val="yellow"/>
          <w:lang w:val="en-US"/>
        </w:rPr>
        <w:t>By equipping Bamako with a reliable and transparent air quality monitoring system, this activity will play a critical role in improving urban resilience, public health, and environmental accountability.</w:t>
      </w:r>
    </w:p>
    <w:p w14:paraId="14EF05BB" w14:textId="77777777" w:rsidR="00E00C0E" w:rsidRPr="00857B81" w:rsidRDefault="00E00C0E" w:rsidP="00691219">
      <w:pPr>
        <w:jc w:val="both"/>
        <w:rPr>
          <w:sz w:val="20"/>
          <w:szCs w:val="20"/>
          <w:highlight w:val="yellow"/>
          <w:lang w:val="en-US"/>
        </w:rPr>
      </w:pPr>
    </w:p>
    <w:p w14:paraId="7C7BC1C9" w14:textId="75E06571" w:rsidR="004F7DB3" w:rsidRPr="00E86501" w:rsidRDefault="0DEEE6FB" w:rsidP="00DC2CA1">
      <w:pPr>
        <w:shd w:val="clear" w:color="auto" w:fill="C1E4F5" w:themeFill="accent1" w:themeFillTint="33"/>
        <w:jc w:val="both"/>
        <w:rPr>
          <w:b/>
          <w:bCs/>
          <w:color w:val="000000" w:themeColor="text1"/>
          <w:sz w:val="20"/>
          <w:szCs w:val="20"/>
          <w:lang w:val="en-US"/>
        </w:rPr>
      </w:pPr>
      <w:r w:rsidRPr="00E86501">
        <w:rPr>
          <w:b/>
          <w:bCs/>
          <w:color w:val="000000" w:themeColor="text1"/>
          <w:sz w:val="20"/>
          <w:szCs w:val="20"/>
          <w:lang w:val="en-US"/>
        </w:rPr>
        <w:t>Component 3: The establishment of a green belt to limit urban expansion in Bamako</w:t>
      </w:r>
    </w:p>
    <w:p w14:paraId="6C304F82" w14:textId="7641163D" w:rsidR="127E2B59" w:rsidRPr="00857B81" w:rsidRDefault="127E2B59" w:rsidP="00DC2CA1">
      <w:pPr>
        <w:spacing w:before="240" w:after="240"/>
        <w:jc w:val="both"/>
        <w:rPr>
          <w:sz w:val="20"/>
          <w:szCs w:val="20"/>
          <w:highlight w:val="yellow"/>
          <w:lang w:val="en-US"/>
        </w:rPr>
      </w:pPr>
      <w:r w:rsidRPr="00857B81">
        <w:rPr>
          <w:sz w:val="20"/>
          <w:szCs w:val="20"/>
          <w:highlight w:val="yellow"/>
          <w:lang w:val="en-US"/>
        </w:rPr>
        <w:lastRenderedPageBreak/>
        <w:t>a Green Belt around Bamako—a strategic response to the city's accelerating and unplanned urban expansion. Anchored in nature-based solutions, the Green Belt will serve both as a buffer against uncontrolled sprawl and a catalyst for ecological restoration, biodiversity protection, and local economic development.</w:t>
      </w:r>
    </w:p>
    <w:p w14:paraId="545386E7" w14:textId="38FE62CA" w:rsidR="127E2B59" w:rsidRPr="00857B81" w:rsidRDefault="127E2B59" w:rsidP="00DC2CA1">
      <w:pPr>
        <w:spacing w:before="240" w:after="240"/>
        <w:jc w:val="both"/>
        <w:rPr>
          <w:sz w:val="20"/>
          <w:szCs w:val="20"/>
          <w:highlight w:val="yellow"/>
          <w:lang w:val="en-US"/>
        </w:rPr>
      </w:pPr>
      <w:r w:rsidRPr="00857B81">
        <w:rPr>
          <w:sz w:val="20"/>
          <w:szCs w:val="20"/>
          <w:highlight w:val="yellow"/>
          <w:lang w:val="en-US"/>
        </w:rPr>
        <w:t>By transforming degraded and fragmented peri-urban ecosystems into productive, protected, and well-managed landscapes, the component directly contributes to urban climate resilience, livelihood creation, and enhanced quality of life for communities in and around the capital.</w:t>
      </w:r>
    </w:p>
    <w:p w14:paraId="3381EB84" w14:textId="35A8BA60" w:rsidR="127E2B59" w:rsidRPr="00857B81" w:rsidRDefault="127E2B59" w:rsidP="00DC2CA1">
      <w:pPr>
        <w:spacing w:before="240" w:after="240"/>
        <w:jc w:val="both"/>
        <w:rPr>
          <w:b/>
          <w:bCs/>
          <w:sz w:val="20"/>
          <w:szCs w:val="20"/>
          <w:highlight w:val="yellow"/>
          <w:lang w:val="en-US"/>
        </w:rPr>
      </w:pPr>
      <w:r w:rsidRPr="00857B81">
        <w:rPr>
          <w:b/>
          <w:bCs/>
          <w:sz w:val="20"/>
          <w:szCs w:val="20"/>
          <w:highlight w:val="yellow"/>
          <w:lang w:val="en-US"/>
        </w:rPr>
        <w:t>Strategic Objectives and Approaches:</w:t>
      </w:r>
    </w:p>
    <w:p w14:paraId="63A770BF" w14:textId="27DFA00D" w:rsidR="127E2B59" w:rsidRPr="00857B81" w:rsidRDefault="127E2B59" w:rsidP="00DC2CA1">
      <w:pPr>
        <w:spacing w:after="0"/>
        <w:jc w:val="both"/>
        <w:rPr>
          <w:sz w:val="20"/>
          <w:szCs w:val="20"/>
          <w:highlight w:val="yellow"/>
          <w:lang w:val="en-US"/>
        </w:rPr>
      </w:pPr>
      <w:r w:rsidRPr="00857B81">
        <w:rPr>
          <w:sz w:val="20"/>
          <w:szCs w:val="20"/>
          <w:highlight w:val="yellow"/>
          <w:lang w:val="en-US"/>
        </w:rPr>
        <w:t xml:space="preserve">Promote an integrated territorial planning approach that balances environmental preservation with social and economic </w:t>
      </w:r>
      <w:proofErr w:type="gramStart"/>
      <w:r w:rsidRPr="00857B81">
        <w:rPr>
          <w:sz w:val="20"/>
          <w:szCs w:val="20"/>
          <w:highlight w:val="yellow"/>
          <w:lang w:val="en-US"/>
        </w:rPr>
        <w:t>benefits;</w:t>
      </w:r>
      <w:proofErr w:type="gramEnd"/>
    </w:p>
    <w:p w14:paraId="74430C92" w14:textId="122D6CC1" w:rsidR="127E2B59" w:rsidRPr="00857B81" w:rsidRDefault="127E2B59" w:rsidP="00DC2CA1">
      <w:pPr>
        <w:pStyle w:val="Paragraphedeliste"/>
        <w:numPr>
          <w:ilvl w:val="0"/>
          <w:numId w:val="33"/>
        </w:numPr>
        <w:spacing w:after="0"/>
        <w:jc w:val="both"/>
        <w:rPr>
          <w:sz w:val="20"/>
          <w:szCs w:val="20"/>
          <w:highlight w:val="yellow"/>
          <w:lang w:val="en-US"/>
        </w:rPr>
      </w:pPr>
      <w:r w:rsidRPr="00857B81">
        <w:rPr>
          <w:sz w:val="20"/>
          <w:szCs w:val="20"/>
          <w:highlight w:val="yellow"/>
          <w:lang w:val="en-US"/>
        </w:rPr>
        <w:t xml:space="preserve">Restore and protect urban forests and green spaces through reforestation, sustainable forest management, and ecosystem-based </w:t>
      </w:r>
      <w:proofErr w:type="gramStart"/>
      <w:r w:rsidRPr="00857B81">
        <w:rPr>
          <w:sz w:val="20"/>
          <w:szCs w:val="20"/>
          <w:highlight w:val="yellow"/>
          <w:lang w:val="en-US"/>
        </w:rPr>
        <w:t>approaches;</w:t>
      </w:r>
      <w:proofErr w:type="gramEnd"/>
    </w:p>
    <w:p w14:paraId="5E25C3F9" w14:textId="0DCFEBAA" w:rsidR="127E2B59" w:rsidRPr="00857B81" w:rsidRDefault="127E2B59" w:rsidP="00DC2CA1">
      <w:pPr>
        <w:pStyle w:val="Paragraphedeliste"/>
        <w:numPr>
          <w:ilvl w:val="0"/>
          <w:numId w:val="33"/>
        </w:numPr>
        <w:spacing w:after="0"/>
        <w:jc w:val="both"/>
        <w:rPr>
          <w:sz w:val="20"/>
          <w:szCs w:val="20"/>
          <w:highlight w:val="yellow"/>
          <w:lang w:val="en-US"/>
        </w:rPr>
      </w:pPr>
      <w:r w:rsidRPr="00857B81">
        <w:rPr>
          <w:sz w:val="20"/>
          <w:szCs w:val="20"/>
          <w:highlight w:val="yellow"/>
          <w:lang w:val="en-US"/>
        </w:rPr>
        <w:t xml:space="preserve">Strengthen community engagement, gender inclusion, and private sector participation in green infrastructure planning and landscape </w:t>
      </w:r>
      <w:proofErr w:type="gramStart"/>
      <w:r w:rsidRPr="00857B81">
        <w:rPr>
          <w:sz w:val="20"/>
          <w:szCs w:val="20"/>
          <w:highlight w:val="yellow"/>
          <w:lang w:val="en-US"/>
        </w:rPr>
        <w:t>governance;</w:t>
      </w:r>
      <w:proofErr w:type="gramEnd"/>
    </w:p>
    <w:p w14:paraId="705A94CC" w14:textId="08C0BAA8" w:rsidR="127E2B59" w:rsidRPr="00857B81" w:rsidRDefault="127E2B59" w:rsidP="00DC2CA1">
      <w:pPr>
        <w:pStyle w:val="Paragraphedeliste"/>
        <w:numPr>
          <w:ilvl w:val="0"/>
          <w:numId w:val="33"/>
        </w:numPr>
        <w:spacing w:after="0"/>
        <w:jc w:val="both"/>
        <w:rPr>
          <w:sz w:val="20"/>
          <w:szCs w:val="20"/>
          <w:highlight w:val="yellow"/>
          <w:lang w:val="en-US"/>
        </w:rPr>
      </w:pPr>
      <w:r w:rsidRPr="00857B81">
        <w:rPr>
          <w:sz w:val="20"/>
          <w:szCs w:val="20"/>
          <w:highlight w:val="yellow"/>
          <w:lang w:val="en-US"/>
        </w:rPr>
        <w:t>Position the Green Belt as a platform for education, ecotourism, and inclusive green entrepreneurship.</w:t>
      </w:r>
    </w:p>
    <w:p w14:paraId="74DE8FCB" w14:textId="2B2E6888" w:rsidR="127E2B59" w:rsidRPr="00857B81" w:rsidRDefault="127E2B59" w:rsidP="00DC2CA1">
      <w:pPr>
        <w:spacing w:after="0"/>
        <w:jc w:val="both"/>
        <w:rPr>
          <w:sz w:val="20"/>
          <w:szCs w:val="20"/>
          <w:highlight w:val="yellow"/>
          <w:lang w:val="en-US"/>
        </w:rPr>
      </w:pPr>
      <w:r w:rsidRPr="00857B81">
        <w:rPr>
          <w:sz w:val="20"/>
          <w:szCs w:val="20"/>
          <w:highlight w:val="yellow"/>
          <w:lang w:val="en-US"/>
        </w:rPr>
        <w:t xml:space="preserve">It will align with GEF Core Environmental Indicators by addressing core indicator # 3 (Target of land restored 1200 ha), and core indicator #4 (Target: 173,931.75 ha). These efforts will provide a compelling business case for sustainable and inclusive forest management, generating multiple benefits—environmental, economic, and social—within an urban setting. In parallel, the project will strengthen </w:t>
      </w:r>
      <w:r w:rsidRPr="00857B81">
        <w:rPr>
          <w:b/>
          <w:bCs/>
          <w:sz w:val="20"/>
          <w:szCs w:val="20"/>
          <w:highlight w:val="yellow"/>
          <w:lang w:val="en-US"/>
        </w:rPr>
        <w:t>evidence-based planning and sustainable landscape management</w:t>
      </w:r>
      <w:r w:rsidRPr="00857B81">
        <w:rPr>
          <w:sz w:val="20"/>
          <w:szCs w:val="20"/>
          <w:highlight w:val="yellow"/>
          <w:lang w:val="en-US"/>
        </w:rPr>
        <w:t xml:space="preserve"> through the following actions:</w:t>
      </w:r>
    </w:p>
    <w:p w14:paraId="7AD728EE" w14:textId="43A92656" w:rsidR="127E2B59" w:rsidRPr="00857B81" w:rsidRDefault="127E2B59" w:rsidP="00DC2CA1">
      <w:pPr>
        <w:pStyle w:val="Paragraphedeliste"/>
        <w:numPr>
          <w:ilvl w:val="0"/>
          <w:numId w:val="32"/>
        </w:numPr>
        <w:spacing w:after="0"/>
        <w:jc w:val="both"/>
        <w:rPr>
          <w:sz w:val="20"/>
          <w:szCs w:val="20"/>
          <w:highlight w:val="yellow"/>
          <w:lang w:val="en-US"/>
        </w:rPr>
      </w:pPr>
      <w:r w:rsidRPr="00857B81">
        <w:rPr>
          <w:sz w:val="20"/>
          <w:szCs w:val="20"/>
          <w:highlight w:val="yellow"/>
          <w:lang w:val="en-US"/>
        </w:rPr>
        <w:t xml:space="preserve">Digitization and georeferenced inventories of all targeted green areas via the Système </w:t>
      </w:r>
      <w:proofErr w:type="spellStart"/>
      <w:r w:rsidRPr="00857B81">
        <w:rPr>
          <w:sz w:val="20"/>
          <w:szCs w:val="20"/>
          <w:highlight w:val="yellow"/>
          <w:lang w:val="en-US"/>
        </w:rPr>
        <w:t>d’Information</w:t>
      </w:r>
      <w:proofErr w:type="spellEnd"/>
      <w:r w:rsidRPr="00857B81">
        <w:rPr>
          <w:sz w:val="20"/>
          <w:szCs w:val="20"/>
          <w:highlight w:val="yellow"/>
          <w:lang w:val="en-US"/>
        </w:rPr>
        <w:t xml:space="preserve"> sur les </w:t>
      </w:r>
      <w:proofErr w:type="spellStart"/>
      <w:r w:rsidRPr="00857B81">
        <w:rPr>
          <w:sz w:val="20"/>
          <w:szCs w:val="20"/>
          <w:highlight w:val="yellow"/>
          <w:lang w:val="en-US"/>
        </w:rPr>
        <w:t>Forêts</w:t>
      </w:r>
      <w:proofErr w:type="spellEnd"/>
      <w:r w:rsidRPr="00857B81">
        <w:rPr>
          <w:sz w:val="20"/>
          <w:szCs w:val="20"/>
          <w:highlight w:val="yellow"/>
          <w:lang w:val="en-US"/>
        </w:rPr>
        <w:t xml:space="preserve"> (SIFOR</w:t>
      </w:r>
      <w:proofErr w:type="gramStart"/>
      <w:r w:rsidRPr="00857B81">
        <w:rPr>
          <w:sz w:val="20"/>
          <w:szCs w:val="20"/>
          <w:highlight w:val="yellow"/>
          <w:lang w:val="en-US"/>
        </w:rPr>
        <w:t>);</w:t>
      </w:r>
      <w:proofErr w:type="gramEnd"/>
    </w:p>
    <w:p w14:paraId="367BEFF4" w14:textId="3E3AC3C0" w:rsidR="127E2B59" w:rsidRPr="00857B81" w:rsidRDefault="127E2B59" w:rsidP="00DC2CA1">
      <w:pPr>
        <w:pStyle w:val="Paragraphedeliste"/>
        <w:numPr>
          <w:ilvl w:val="0"/>
          <w:numId w:val="32"/>
        </w:numPr>
        <w:spacing w:after="0"/>
        <w:jc w:val="both"/>
        <w:rPr>
          <w:sz w:val="20"/>
          <w:szCs w:val="20"/>
          <w:highlight w:val="yellow"/>
          <w:lang w:val="en-US"/>
        </w:rPr>
      </w:pPr>
      <w:r w:rsidRPr="00857B81">
        <w:rPr>
          <w:sz w:val="20"/>
          <w:szCs w:val="20"/>
          <w:highlight w:val="yellow"/>
          <w:lang w:val="en-US"/>
        </w:rPr>
        <w:t>Development and implementation of landscape and management plans for five (5) urban forests and seven (7) green spaces, based on updated inventories and participatory methods.</w:t>
      </w:r>
    </w:p>
    <w:p w14:paraId="7534805C" w14:textId="6866753D" w:rsidR="127E2B59" w:rsidRPr="00857B81" w:rsidRDefault="127E2B59" w:rsidP="00DC2CA1">
      <w:pPr>
        <w:spacing w:after="0"/>
        <w:jc w:val="both"/>
        <w:rPr>
          <w:sz w:val="20"/>
          <w:szCs w:val="20"/>
          <w:highlight w:val="yellow"/>
          <w:lang w:val="fr"/>
        </w:rPr>
      </w:pPr>
      <w:r w:rsidRPr="00857B81">
        <w:rPr>
          <w:sz w:val="20"/>
          <w:szCs w:val="20"/>
          <w:highlight w:val="yellow"/>
          <w:lang w:val="en-US"/>
        </w:rPr>
        <w:t>Targeted coverage includes Five forests (Outputs 3.1.2 and 3.1.3</w:t>
      </w:r>
      <w:proofErr w:type="gramStart"/>
      <w:r w:rsidRPr="00857B81">
        <w:rPr>
          <w:sz w:val="20"/>
          <w:szCs w:val="20"/>
          <w:highlight w:val="yellow"/>
          <w:lang w:val="en-US"/>
        </w:rPr>
        <w:t>)</w:t>
      </w:r>
      <w:proofErr w:type="gramEnd"/>
      <w:r w:rsidRPr="00857B81">
        <w:rPr>
          <w:sz w:val="20"/>
          <w:szCs w:val="20"/>
          <w:highlight w:val="yellow"/>
          <w:lang w:val="en-US"/>
        </w:rPr>
        <w:t xml:space="preserve"> and seven urban green spaces identified and rehabilitated using ecosystem-based and community co-management approaches. </w:t>
      </w:r>
      <w:proofErr w:type="spellStart"/>
      <w:r w:rsidRPr="00857B81">
        <w:rPr>
          <w:sz w:val="20"/>
          <w:szCs w:val="20"/>
          <w:highlight w:val="yellow"/>
          <w:lang w:val="fr"/>
        </w:rPr>
        <w:t>Together</w:t>
      </w:r>
      <w:proofErr w:type="spellEnd"/>
      <w:r w:rsidRPr="00857B81">
        <w:rPr>
          <w:sz w:val="20"/>
          <w:szCs w:val="20"/>
          <w:highlight w:val="yellow"/>
          <w:lang w:val="fr"/>
        </w:rPr>
        <w:t xml:space="preserve">, </w:t>
      </w:r>
      <w:proofErr w:type="spellStart"/>
      <w:r w:rsidRPr="00857B81">
        <w:rPr>
          <w:sz w:val="20"/>
          <w:szCs w:val="20"/>
          <w:highlight w:val="yellow"/>
          <w:lang w:val="fr"/>
        </w:rPr>
        <w:t>these</w:t>
      </w:r>
      <w:proofErr w:type="spellEnd"/>
      <w:r w:rsidRPr="00857B81">
        <w:rPr>
          <w:sz w:val="20"/>
          <w:szCs w:val="20"/>
          <w:highlight w:val="yellow"/>
          <w:lang w:val="fr"/>
        </w:rPr>
        <w:t xml:space="preserve"> efforts </w:t>
      </w:r>
      <w:proofErr w:type="spellStart"/>
      <w:proofErr w:type="gramStart"/>
      <w:r w:rsidRPr="00857B81">
        <w:rPr>
          <w:sz w:val="20"/>
          <w:szCs w:val="20"/>
          <w:highlight w:val="yellow"/>
          <w:lang w:val="fr"/>
        </w:rPr>
        <w:t>will</w:t>
      </w:r>
      <w:proofErr w:type="spellEnd"/>
      <w:r w:rsidRPr="00857B81">
        <w:rPr>
          <w:sz w:val="20"/>
          <w:szCs w:val="20"/>
          <w:highlight w:val="yellow"/>
          <w:lang w:val="fr"/>
        </w:rPr>
        <w:t>:</w:t>
      </w:r>
      <w:proofErr w:type="gramEnd"/>
    </w:p>
    <w:p w14:paraId="56A4755B" w14:textId="0AAFFC4A" w:rsidR="127E2B59" w:rsidRPr="00857B81" w:rsidRDefault="127E2B59" w:rsidP="00DC2CA1">
      <w:pPr>
        <w:pStyle w:val="Paragraphedeliste"/>
        <w:numPr>
          <w:ilvl w:val="0"/>
          <w:numId w:val="31"/>
        </w:numPr>
        <w:spacing w:after="0"/>
        <w:jc w:val="both"/>
        <w:rPr>
          <w:sz w:val="20"/>
          <w:szCs w:val="20"/>
          <w:highlight w:val="yellow"/>
          <w:lang w:val="en-US"/>
        </w:rPr>
      </w:pPr>
      <w:r w:rsidRPr="00857B81">
        <w:rPr>
          <w:sz w:val="20"/>
          <w:szCs w:val="20"/>
          <w:highlight w:val="yellow"/>
          <w:lang w:val="en-US"/>
        </w:rPr>
        <w:t xml:space="preserve">Enhance urban ecosystem services, reduce climate vulnerability, and improve air </w:t>
      </w:r>
      <w:proofErr w:type="gramStart"/>
      <w:r w:rsidRPr="00857B81">
        <w:rPr>
          <w:sz w:val="20"/>
          <w:szCs w:val="20"/>
          <w:highlight w:val="yellow"/>
          <w:lang w:val="en-US"/>
        </w:rPr>
        <w:t>quality;</w:t>
      </w:r>
      <w:proofErr w:type="gramEnd"/>
    </w:p>
    <w:p w14:paraId="344346DE" w14:textId="4CBD3FFB" w:rsidR="127E2B59" w:rsidRPr="00857B81" w:rsidRDefault="127E2B59" w:rsidP="00DC2CA1">
      <w:pPr>
        <w:pStyle w:val="Paragraphedeliste"/>
        <w:numPr>
          <w:ilvl w:val="0"/>
          <w:numId w:val="31"/>
        </w:numPr>
        <w:spacing w:after="0"/>
        <w:jc w:val="both"/>
        <w:rPr>
          <w:sz w:val="20"/>
          <w:szCs w:val="20"/>
          <w:highlight w:val="yellow"/>
          <w:lang w:val="en-US"/>
        </w:rPr>
      </w:pPr>
      <w:r w:rsidRPr="00857B81">
        <w:rPr>
          <w:sz w:val="20"/>
          <w:szCs w:val="20"/>
          <w:highlight w:val="yellow"/>
          <w:lang w:val="en-US"/>
        </w:rPr>
        <w:t xml:space="preserve">Support cross-sectoral data-driven decision-making by strengthening coordination between the District of Bamako, the General Directorate for Water and Forests, and local </w:t>
      </w:r>
      <w:proofErr w:type="gramStart"/>
      <w:r w:rsidRPr="00857B81">
        <w:rPr>
          <w:sz w:val="20"/>
          <w:szCs w:val="20"/>
          <w:highlight w:val="yellow"/>
          <w:lang w:val="en-US"/>
        </w:rPr>
        <w:t>communities;</w:t>
      </w:r>
      <w:proofErr w:type="gramEnd"/>
    </w:p>
    <w:p w14:paraId="1ADF73B7" w14:textId="7EF35282" w:rsidR="127E2B59" w:rsidRPr="00857B81" w:rsidRDefault="127E2B59" w:rsidP="00DC2CA1">
      <w:pPr>
        <w:pStyle w:val="Paragraphedeliste"/>
        <w:numPr>
          <w:ilvl w:val="0"/>
          <w:numId w:val="31"/>
        </w:numPr>
        <w:spacing w:after="0"/>
        <w:jc w:val="both"/>
        <w:rPr>
          <w:sz w:val="20"/>
          <w:szCs w:val="20"/>
          <w:highlight w:val="yellow"/>
          <w:lang w:val="en-US"/>
        </w:rPr>
      </w:pPr>
      <w:r w:rsidRPr="00857B81">
        <w:rPr>
          <w:sz w:val="20"/>
          <w:szCs w:val="20"/>
          <w:highlight w:val="yellow"/>
          <w:lang w:val="en-US"/>
        </w:rPr>
        <w:t>Build lasting institutional capacity for adaptive planning and transparent forest and green space governance.</w:t>
      </w:r>
    </w:p>
    <w:p w14:paraId="4355C108" w14:textId="59D4812E" w:rsidR="127E2B59" w:rsidRPr="00857B81" w:rsidRDefault="127E2B59" w:rsidP="00DC2CA1">
      <w:pPr>
        <w:jc w:val="both"/>
        <w:rPr>
          <w:sz w:val="20"/>
          <w:szCs w:val="20"/>
          <w:highlight w:val="yellow"/>
          <w:lang w:val="en-US"/>
        </w:rPr>
      </w:pPr>
      <w:r w:rsidRPr="00857B81">
        <w:rPr>
          <w:sz w:val="20"/>
          <w:szCs w:val="20"/>
          <w:highlight w:val="yellow"/>
          <w:lang w:val="en-US"/>
        </w:rPr>
        <w:t>Component 3 represents a bold step toward climate-smart urban expansion, by demonstrating how restored landscapes and inclusive green infrastructure can serve as cornerstones of resilient urban growth. It bridges ecological integrity, community well-being, and economic opportunity, ensuring the sustainability and replicability of the Green Belt model in other cities facing similar development pressures.</w:t>
      </w:r>
    </w:p>
    <w:p w14:paraId="43397B49" w14:textId="23C2E3A7" w:rsidR="004F7DB3" w:rsidRPr="00857B81" w:rsidRDefault="2775ECE0" w:rsidP="00DC2CA1">
      <w:pPr>
        <w:jc w:val="both"/>
        <w:rPr>
          <w:b/>
          <w:bCs/>
          <w:color w:val="000000" w:themeColor="text1"/>
          <w:sz w:val="20"/>
          <w:szCs w:val="20"/>
          <w:highlight w:val="yellow"/>
          <w:lang w:val="en-US"/>
        </w:rPr>
      </w:pPr>
      <w:r w:rsidRPr="00857B81">
        <w:rPr>
          <w:b/>
          <w:bCs/>
          <w:color w:val="000000" w:themeColor="text1"/>
          <w:sz w:val="20"/>
          <w:szCs w:val="20"/>
          <w:highlight w:val="yellow"/>
          <w:lang w:val="en-US"/>
        </w:rPr>
        <w:t>Outcome 3.1 An enabling environment for the creation of a green belt in Bamako is established and its sustainability is guaranteed through green infrastructure and nature-based solutions with the various socio-economic actors</w:t>
      </w:r>
    </w:p>
    <w:p w14:paraId="27AC8EF8" w14:textId="29F38ABB" w:rsidR="6BB149AF" w:rsidRPr="00857B81" w:rsidRDefault="6BB149AF" w:rsidP="00857B81">
      <w:pPr>
        <w:spacing w:after="200" w:line="276" w:lineRule="auto"/>
        <w:jc w:val="both"/>
        <w:rPr>
          <w:sz w:val="20"/>
          <w:szCs w:val="20"/>
          <w:highlight w:val="yellow"/>
          <w:lang w:val="en-US"/>
        </w:rPr>
      </w:pPr>
      <w:r w:rsidRPr="00857B81">
        <w:rPr>
          <w:sz w:val="20"/>
          <w:szCs w:val="20"/>
          <w:highlight w:val="yellow"/>
          <w:lang w:val="en-US"/>
        </w:rPr>
        <w:t xml:space="preserve">Outcome 3.1 focuses on laying the institutional, social, ecological, and financial foundations necessary for the </w:t>
      </w:r>
      <w:r w:rsidRPr="00857B81">
        <w:rPr>
          <w:b/>
          <w:bCs/>
          <w:sz w:val="20"/>
          <w:szCs w:val="20"/>
          <w:highlight w:val="yellow"/>
          <w:lang w:val="en-US"/>
        </w:rPr>
        <w:t>successful development and long-term sustainability of the Bamako Green Belt</w:t>
      </w:r>
      <w:r w:rsidRPr="00857B81">
        <w:rPr>
          <w:sz w:val="20"/>
          <w:szCs w:val="20"/>
          <w:highlight w:val="yellow"/>
          <w:lang w:val="en-US"/>
        </w:rPr>
        <w:t xml:space="preserve">. In response to the urgent need to counteract urban sprawl, environmental degradation, and climate vulnerability, this outcome promotes a systemic, inclusive, and forward-looking approach to </w:t>
      </w:r>
      <w:r w:rsidRPr="00857B81">
        <w:rPr>
          <w:b/>
          <w:bCs/>
          <w:sz w:val="20"/>
          <w:szCs w:val="20"/>
          <w:highlight w:val="yellow"/>
          <w:lang w:val="en-US"/>
        </w:rPr>
        <w:t>urban landscape governance</w:t>
      </w:r>
      <w:r w:rsidRPr="00857B81">
        <w:rPr>
          <w:sz w:val="20"/>
          <w:szCs w:val="20"/>
          <w:highlight w:val="yellow"/>
          <w:lang w:val="en-US"/>
        </w:rPr>
        <w:t>.</w:t>
      </w:r>
    </w:p>
    <w:p w14:paraId="2FC0CA3A" w14:textId="619256ED" w:rsidR="6BB149AF" w:rsidRPr="00857B81" w:rsidRDefault="6BB149AF" w:rsidP="00857B81">
      <w:pPr>
        <w:spacing w:after="200" w:line="276" w:lineRule="auto"/>
        <w:jc w:val="both"/>
        <w:rPr>
          <w:sz w:val="20"/>
          <w:szCs w:val="20"/>
          <w:highlight w:val="yellow"/>
          <w:lang w:val="en-US"/>
        </w:rPr>
      </w:pPr>
      <w:r w:rsidRPr="00857B81">
        <w:rPr>
          <w:sz w:val="20"/>
          <w:szCs w:val="20"/>
          <w:highlight w:val="yellow"/>
          <w:lang w:val="en-US"/>
        </w:rPr>
        <w:t xml:space="preserve">It is structured around </w:t>
      </w:r>
      <w:r w:rsidRPr="00857B81">
        <w:rPr>
          <w:b/>
          <w:bCs/>
          <w:sz w:val="20"/>
          <w:szCs w:val="20"/>
          <w:highlight w:val="yellow"/>
          <w:lang w:val="en-US"/>
        </w:rPr>
        <w:t>four strategic pillars</w:t>
      </w:r>
      <w:r w:rsidRPr="00857B81">
        <w:rPr>
          <w:sz w:val="20"/>
          <w:szCs w:val="20"/>
          <w:highlight w:val="yellow"/>
          <w:lang w:val="en-US"/>
        </w:rPr>
        <w:t>, each of which contributes to making the Green Belt a resilient, multifunctional, and widely supported territorial asset for Bamako:</w:t>
      </w:r>
    </w:p>
    <w:p w14:paraId="77A4A537" w14:textId="61F1ED70" w:rsidR="6BB149AF" w:rsidRPr="00857B81" w:rsidRDefault="6BB149AF" w:rsidP="00857B81">
      <w:pPr>
        <w:spacing w:after="200" w:line="276" w:lineRule="auto"/>
        <w:jc w:val="both"/>
        <w:rPr>
          <w:b/>
          <w:bCs/>
          <w:sz w:val="20"/>
          <w:szCs w:val="20"/>
          <w:highlight w:val="yellow"/>
          <w:lang w:val="en-US"/>
        </w:rPr>
      </w:pPr>
      <w:r w:rsidRPr="00857B81">
        <w:rPr>
          <w:b/>
          <w:bCs/>
          <w:sz w:val="20"/>
          <w:szCs w:val="20"/>
          <w:highlight w:val="yellow"/>
          <w:lang w:val="en-US"/>
        </w:rPr>
        <w:t>Strengthening Legal and Institutional Frameworks</w:t>
      </w:r>
    </w:p>
    <w:p w14:paraId="046D9201" w14:textId="7BF0E54C" w:rsidR="6BB149AF" w:rsidRPr="00857B81" w:rsidRDefault="6BB149AF" w:rsidP="00857B81">
      <w:pPr>
        <w:spacing w:after="200" w:line="276" w:lineRule="auto"/>
        <w:jc w:val="both"/>
        <w:rPr>
          <w:sz w:val="20"/>
          <w:szCs w:val="20"/>
          <w:highlight w:val="yellow"/>
          <w:lang w:val="en-US"/>
        </w:rPr>
      </w:pPr>
      <w:r w:rsidRPr="00857B81">
        <w:rPr>
          <w:sz w:val="20"/>
          <w:szCs w:val="20"/>
          <w:highlight w:val="yellow"/>
          <w:lang w:val="en-US"/>
        </w:rPr>
        <w:lastRenderedPageBreak/>
        <w:t>This pillar addresses the legal and governance gaps that hinder the sustainable management of green spaces and forest ecosystems. It will support:</w:t>
      </w:r>
    </w:p>
    <w:p w14:paraId="766A06C0" w14:textId="4DC3F2F9" w:rsidR="6BB149AF" w:rsidRPr="00857B81" w:rsidRDefault="6BB149AF" w:rsidP="00857B81">
      <w:pPr>
        <w:pStyle w:val="Paragraphedeliste"/>
        <w:numPr>
          <w:ilvl w:val="0"/>
          <w:numId w:val="30"/>
        </w:numPr>
        <w:spacing w:after="0" w:line="276" w:lineRule="auto"/>
        <w:jc w:val="both"/>
        <w:rPr>
          <w:sz w:val="20"/>
          <w:szCs w:val="20"/>
          <w:highlight w:val="yellow"/>
          <w:lang w:val="en-US"/>
        </w:rPr>
      </w:pPr>
      <w:r w:rsidRPr="00857B81">
        <w:rPr>
          <w:b/>
          <w:bCs/>
          <w:sz w:val="20"/>
          <w:szCs w:val="20"/>
          <w:highlight w:val="yellow"/>
          <w:lang w:val="en-US"/>
        </w:rPr>
        <w:t>Improved land tenure security</w:t>
      </w:r>
      <w:r w:rsidRPr="00857B81">
        <w:rPr>
          <w:sz w:val="20"/>
          <w:szCs w:val="20"/>
          <w:highlight w:val="yellow"/>
          <w:lang w:val="en-US"/>
        </w:rPr>
        <w:t xml:space="preserve"> and forest registration in peri-urban and vulnerable </w:t>
      </w:r>
      <w:proofErr w:type="gramStart"/>
      <w:r w:rsidRPr="00857B81">
        <w:rPr>
          <w:sz w:val="20"/>
          <w:szCs w:val="20"/>
          <w:highlight w:val="yellow"/>
          <w:lang w:val="en-US"/>
        </w:rPr>
        <w:t>zones;</w:t>
      </w:r>
      <w:proofErr w:type="gramEnd"/>
    </w:p>
    <w:p w14:paraId="6303BE58" w14:textId="324DE535" w:rsidR="6BB149AF" w:rsidRPr="00857B81" w:rsidRDefault="6BB149AF" w:rsidP="00857B81">
      <w:pPr>
        <w:pStyle w:val="Paragraphedeliste"/>
        <w:numPr>
          <w:ilvl w:val="0"/>
          <w:numId w:val="30"/>
        </w:numPr>
        <w:spacing w:after="0" w:line="276" w:lineRule="auto"/>
        <w:jc w:val="both"/>
        <w:rPr>
          <w:sz w:val="20"/>
          <w:szCs w:val="20"/>
          <w:highlight w:val="yellow"/>
          <w:lang w:val="en-US"/>
        </w:rPr>
      </w:pPr>
      <w:r w:rsidRPr="00857B81">
        <w:rPr>
          <w:sz w:val="20"/>
          <w:szCs w:val="20"/>
          <w:highlight w:val="yellow"/>
          <w:lang w:val="en-US"/>
        </w:rPr>
        <w:t xml:space="preserve">The </w:t>
      </w:r>
      <w:r w:rsidRPr="00857B81">
        <w:rPr>
          <w:b/>
          <w:bCs/>
          <w:sz w:val="20"/>
          <w:szCs w:val="20"/>
          <w:highlight w:val="yellow"/>
          <w:lang w:val="en-US"/>
        </w:rPr>
        <w:t>formal recognition of forest boundaries</w:t>
      </w:r>
      <w:r w:rsidRPr="00857B81">
        <w:rPr>
          <w:sz w:val="20"/>
          <w:szCs w:val="20"/>
          <w:highlight w:val="yellow"/>
          <w:lang w:val="en-US"/>
        </w:rPr>
        <w:t xml:space="preserve"> and public ownership </w:t>
      </w:r>
      <w:proofErr w:type="gramStart"/>
      <w:r w:rsidRPr="00857B81">
        <w:rPr>
          <w:sz w:val="20"/>
          <w:szCs w:val="20"/>
          <w:highlight w:val="yellow"/>
          <w:lang w:val="en-US"/>
        </w:rPr>
        <w:t>rights;</w:t>
      </w:r>
      <w:proofErr w:type="gramEnd"/>
    </w:p>
    <w:p w14:paraId="1EE500E4" w14:textId="57D4CA78" w:rsidR="6BB149AF" w:rsidRPr="00857B81" w:rsidRDefault="6BB149AF" w:rsidP="00857B81">
      <w:pPr>
        <w:pStyle w:val="Paragraphedeliste"/>
        <w:numPr>
          <w:ilvl w:val="0"/>
          <w:numId w:val="30"/>
        </w:numPr>
        <w:spacing w:after="0" w:line="276" w:lineRule="auto"/>
        <w:jc w:val="both"/>
        <w:rPr>
          <w:sz w:val="20"/>
          <w:szCs w:val="20"/>
          <w:highlight w:val="yellow"/>
          <w:lang w:val="en-US"/>
        </w:rPr>
      </w:pPr>
      <w:r w:rsidRPr="00857B81">
        <w:rPr>
          <w:sz w:val="20"/>
          <w:szCs w:val="20"/>
          <w:highlight w:val="yellow"/>
          <w:lang w:val="en-US"/>
        </w:rPr>
        <w:t xml:space="preserve">The establishment of </w:t>
      </w:r>
      <w:r w:rsidRPr="00857B81">
        <w:rPr>
          <w:b/>
          <w:bCs/>
          <w:sz w:val="20"/>
          <w:szCs w:val="20"/>
          <w:highlight w:val="yellow"/>
          <w:lang w:val="en-US"/>
        </w:rPr>
        <w:t>multi-stakeholder governance platforms</w:t>
      </w:r>
      <w:r w:rsidRPr="00857B81">
        <w:rPr>
          <w:sz w:val="20"/>
          <w:szCs w:val="20"/>
          <w:highlight w:val="yellow"/>
          <w:lang w:val="en-US"/>
        </w:rPr>
        <w:t xml:space="preserve"> at local and metropolitan levels to coordinate planning, oversight, and benefit-sharing mechanisms.</w:t>
      </w:r>
    </w:p>
    <w:p w14:paraId="0C5BEDA2" w14:textId="1225A31B" w:rsidR="6BB149AF" w:rsidRPr="00857B81" w:rsidRDefault="6BB149AF" w:rsidP="0764FF73">
      <w:pPr>
        <w:spacing w:after="0" w:line="276" w:lineRule="auto"/>
        <w:jc w:val="both"/>
        <w:rPr>
          <w:b/>
          <w:bCs/>
          <w:sz w:val="20"/>
          <w:szCs w:val="20"/>
          <w:highlight w:val="yellow"/>
          <w:lang w:val="en-US"/>
        </w:rPr>
      </w:pPr>
      <w:r w:rsidRPr="00857B81">
        <w:rPr>
          <w:b/>
          <w:bCs/>
          <w:sz w:val="20"/>
          <w:szCs w:val="20"/>
          <w:highlight w:val="yellow"/>
          <w:lang w:val="en-US"/>
        </w:rPr>
        <w:t>Building Knowledge and Monitoring Capacity</w:t>
      </w:r>
    </w:p>
    <w:p w14:paraId="1090D927" w14:textId="4AA8BBDA" w:rsidR="6BB149AF" w:rsidRPr="00857B81" w:rsidRDefault="6BB149AF" w:rsidP="00857B81">
      <w:pPr>
        <w:spacing w:after="0" w:line="276" w:lineRule="auto"/>
        <w:jc w:val="both"/>
        <w:rPr>
          <w:sz w:val="20"/>
          <w:szCs w:val="20"/>
          <w:highlight w:val="yellow"/>
          <w:lang w:val="fr"/>
        </w:rPr>
      </w:pPr>
      <w:r w:rsidRPr="00857B81">
        <w:rPr>
          <w:sz w:val="20"/>
          <w:szCs w:val="20"/>
          <w:highlight w:val="yellow"/>
          <w:lang w:val="en-US"/>
        </w:rPr>
        <w:t xml:space="preserve">Reliable, up-to-date ecological data is essential for adaptive management and planning. </w:t>
      </w:r>
      <w:r w:rsidRPr="00857B81">
        <w:rPr>
          <w:sz w:val="20"/>
          <w:szCs w:val="20"/>
          <w:highlight w:val="yellow"/>
          <w:lang w:val="fr"/>
        </w:rPr>
        <w:t xml:space="preserve">This </w:t>
      </w:r>
      <w:proofErr w:type="spellStart"/>
      <w:r w:rsidRPr="00857B81">
        <w:rPr>
          <w:sz w:val="20"/>
          <w:szCs w:val="20"/>
          <w:highlight w:val="yellow"/>
          <w:lang w:val="fr"/>
        </w:rPr>
        <w:t>pillar</w:t>
      </w:r>
      <w:proofErr w:type="spellEnd"/>
      <w:r w:rsidRPr="00857B81">
        <w:rPr>
          <w:sz w:val="20"/>
          <w:szCs w:val="20"/>
          <w:highlight w:val="yellow"/>
          <w:lang w:val="fr"/>
        </w:rPr>
        <w:t xml:space="preserve"> </w:t>
      </w:r>
      <w:proofErr w:type="spellStart"/>
      <w:r w:rsidRPr="00857B81">
        <w:rPr>
          <w:sz w:val="20"/>
          <w:szCs w:val="20"/>
          <w:highlight w:val="yellow"/>
          <w:lang w:val="fr"/>
        </w:rPr>
        <w:t>focuses</w:t>
      </w:r>
      <w:proofErr w:type="spellEnd"/>
      <w:r w:rsidRPr="00857B81">
        <w:rPr>
          <w:sz w:val="20"/>
          <w:szCs w:val="20"/>
          <w:highlight w:val="yellow"/>
          <w:lang w:val="fr"/>
        </w:rPr>
        <w:t xml:space="preserve"> </w:t>
      </w:r>
      <w:proofErr w:type="gramStart"/>
      <w:r w:rsidRPr="00857B81">
        <w:rPr>
          <w:sz w:val="20"/>
          <w:szCs w:val="20"/>
          <w:highlight w:val="yellow"/>
          <w:lang w:val="fr"/>
        </w:rPr>
        <w:t>on:</w:t>
      </w:r>
      <w:proofErr w:type="gramEnd"/>
    </w:p>
    <w:p w14:paraId="61DDA920" w14:textId="045D7051" w:rsidR="6BB149AF" w:rsidRPr="00857B81" w:rsidRDefault="6BB149AF" w:rsidP="00857B81">
      <w:pPr>
        <w:pStyle w:val="Paragraphedeliste"/>
        <w:numPr>
          <w:ilvl w:val="0"/>
          <w:numId w:val="29"/>
        </w:numPr>
        <w:spacing w:after="0" w:line="276" w:lineRule="auto"/>
        <w:jc w:val="both"/>
        <w:rPr>
          <w:sz w:val="20"/>
          <w:szCs w:val="20"/>
          <w:highlight w:val="yellow"/>
          <w:lang w:val="en-US"/>
        </w:rPr>
      </w:pPr>
      <w:r w:rsidRPr="00857B81">
        <w:rPr>
          <w:b/>
          <w:bCs/>
          <w:sz w:val="20"/>
          <w:szCs w:val="20"/>
          <w:highlight w:val="yellow"/>
          <w:lang w:val="en-US"/>
        </w:rPr>
        <w:t>Participatory forest and green space inventories</w:t>
      </w:r>
      <w:r w:rsidRPr="00857B81">
        <w:rPr>
          <w:sz w:val="20"/>
          <w:szCs w:val="20"/>
          <w:highlight w:val="yellow"/>
          <w:lang w:val="en-US"/>
        </w:rPr>
        <w:t xml:space="preserve">, engaging local communities, including women and </w:t>
      </w:r>
      <w:proofErr w:type="gramStart"/>
      <w:r w:rsidRPr="00857B81">
        <w:rPr>
          <w:sz w:val="20"/>
          <w:szCs w:val="20"/>
          <w:highlight w:val="yellow"/>
          <w:lang w:val="en-US"/>
        </w:rPr>
        <w:t>youth;</w:t>
      </w:r>
      <w:proofErr w:type="gramEnd"/>
    </w:p>
    <w:p w14:paraId="48C85861" w14:textId="0316AEB1" w:rsidR="6BB149AF" w:rsidRPr="00857B81" w:rsidRDefault="6BB149AF" w:rsidP="00857B81">
      <w:pPr>
        <w:pStyle w:val="Paragraphedeliste"/>
        <w:numPr>
          <w:ilvl w:val="0"/>
          <w:numId w:val="29"/>
        </w:numPr>
        <w:spacing w:after="0" w:line="276" w:lineRule="auto"/>
        <w:jc w:val="both"/>
        <w:rPr>
          <w:sz w:val="20"/>
          <w:szCs w:val="20"/>
          <w:highlight w:val="yellow"/>
          <w:lang w:val="en-US"/>
        </w:rPr>
      </w:pPr>
      <w:r w:rsidRPr="00857B81">
        <w:rPr>
          <w:sz w:val="20"/>
          <w:szCs w:val="20"/>
          <w:highlight w:val="yellow"/>
          <w:lang w:val="en-US"/>
        </w:rPr>
        <w:t xml:space="preserve">Strengthening ecological information systems such as </w:t>
      </w:r>
      <w:r w:rsidRPr="00857B81">
        <w:rPr>
          <w:b/>
          <w:bCs/>
          <w:sz w:val="20"/>
          <w:szCs w:val="20"/>
          <w:highlight w:val="yellow"/>
          <w:lang w:val="en-US"/>
        </w:rPr>
        <w:t xml:space="preserve">SIFOR (Système </w:t>
      </w:r>
      <w:proofErr w:type="spellStart"/>
      <w:r w:rsidRPr="00857B81">
        <w:rPr>
          <w:b/>
          <w:bCs/>
          <w:sz w:val="20"/>
          <w:szCs w:val="20"/>
          <w:highlight w:val="yellow"/>
          <w:lang w:val="en-US"/>
        </w:rPr>
        <w:t>d’Information</w:t>
      </w:r>
      <w:proofErr w:type="spellEnd"/>
      <w:r w:rsidRPr="00857B81">
        <w:rPr>
          <w:b/>
          <w:bCs/>
          <w:sz w:val="20"/>
          <w:szCs w:val="20"/>
          <w:highlight w:val="yellow"/>
          <w:lang w:val="en-US"/>
        </w:rPr>
        <w:t xml:space="preserve"> sur les </w:t>
      </w:r>
      <w:proofErr w:type="spellStart"/>
      <w:r w:rsidRPr="00857B81">
        <w:rPr>
          <w:b/>
          <w:bCs/>
          <w:sz w:val="20"/>
          <w:szCs w:val="20"/>
          <w:highlight w:val="yellow"/>
          <w:lang w:val="en-US"/>
        </w:rPr>
        <w:t>Forêts</w:t>
      </w:r>
      <w:proofErr w:type="spellEnd"/>
      <w:r w:rsidRPr="00857B81">
        <w:rPr>
          <w:b/>
          <w:bCs/>
          <w:sz w:val="20"/>
          <w:szCs w:val="20"/>
          <w:highlight w:val="yellow"/>
          <w:lang w:val="en-US"/>
        </w:rPr>
        <w:t>)</w:t>
      </w:r>
      <w:r w:rsidRPr="00857B81">
        <w:rPr>
          <w:sz w:val="20"/>
          <w:szCs w:val="20"/>
          <w:highlight w:val="yellow"/>
          <w:lang w:val="en-US"/>
        </w:rPr>
        <w:t xml:space="preserve"> to ensure continuous monitoring, spatial analysis, and transparent data </w:t>
      </w:r>
      <w:proofErr w:type="gramStart"/>
      <w:r w:rsidRPr="00857B81">
        <w:rPr>
          <w:sz w:val="20"/>
          <w:szCs w:val="20"/>
          <w:highlight w:val="yellow"/>
          <w:lang w:val="en-US"/>
        </w:rPr>
        <w:t>sharing;</w:t>
      </w:r>
      <w:proofErr w:type="gramEnd"/>
    </w:p>
    <w:p w14:paraId="7928AECE" w14:textId="44DE01EE" w:rsidR="6BB149AF" w:rsidRPr="00857B81" w:rsidRDefault="6BB149AF" w:rsidP="00857B81">
      <w:pPr>
        <w:pStyle w:val="Paragraphedeliste"/>
        <w:numPr>
          <w:ilvl w:val="0"/>
          <w:numId w:val="29"/>
        </w:numPr>
        <w:spacing w:after="0" w:line="276" w:lineRule="auto"/>
        <w:jc w:val="both"/>
        <w:rPr>
          <w:sz w:val="20"/>
          <w:szCs w:val="20"/>
          <w:highlight w:val="yellow"/>
          <w:lang w:val="en-US"/>
        </w:rPr>
      </w:pPr>
      <w:r w:rsidRPr="00857B81">
        <w:rPr>
          <w:sz w:val="20"/>
          <w:szCs w:val="20"/>
          <w:highlight w:val="yellow"/>
          <w:lang w:val="en-US"/>
        </w:rPr>
        <w:t xml:space="preserve">Supporting </w:t>
      </w:r>
      <w:r w:rsidRPr="00857B81">
        <w:rPr>
          <w:b/>
          <w:bCs/>
          <w:sz w:val="20"/>
          <w:szCs w:val="20"/>
          <w:highlight w:val="yellow"/>
          <w:lang w:val="en-US"/>
        </w:rPr>
        <w:t>capacity building</w:t>
      </w:r>
      <w:r w:rsidRPr="00857B81">
        <w:rPr>
          <w:sz w:val="20"/>
          <w:szCs w:val="20"/>
          <w:highlight w:val="yellow"/>
          <w:lang w:val="en-US"/>
        </w:rPr>
        <w:t xml:space="preserve"> of institutional actors and technical services in evidence-based management practices.</w:t>
      </w:r>
    </w:p>
    <w:p w14:paraId="4B085CEC" w14:textId="0887A008" w:rsidR="6BB149AF" w:rsidRPr="00857B81" w:rsidRDefault="6BB149AF" w:rsidP="0764FF73">
      <w:pPr>
        <w:spacing w:after="200" w:line="276" w:lineRule="auto"/>
        <w:jc w:val="both"/>
        <w:rPr>
          <w:b/>
          <w:bCs/>
          <w:sz w:val="20"/>
          <w:szCs w:val="20"/>
          <w:highlight w:val="yellow"/>
          <w:lang w:val="en-US"/>
        </w:rPr>
      </w:pPr>
      <w:r w:rsidRPr="00857B81">
        <w:rPr>
          <w:b/>
          <w:bCs/>
          <w:sz w:val="20"/>
          <w:szCs w:val="20"/>
          <w:highlight w:val="yellow"/>
          <w:lang w:val="en-US"/>
        </w:rPr>
        <w:t>Promoting Inclusive and Climate-Resilient Management</w:t>
      </w:r>
    </w:p>
    <w:p w14:paraId="1EB7634B" w14:textId="4FDBDA8E" w:rsidR="6BB149AF" w:rsidRPr="00857B81" w:rsidRDefault="6BB149AF" w:rsidP="00857B81">
      <w:pPr>
        <w:spacing w:after="0" w:line="276" w:lineRule="auto"/>
        <w:jc w:val="both"/>
        <w:rPr>
          <w:sz w:val="20"/>
          <w:szCs w:val="20"/>
          <w:highlight w:val="yellow"/>
          <w:lang w:val="fr"/>
        </w:rPr>
      </w:pPr>
      <w:r w:rsidRPr="00857B81">
        <w:rPr>
          <w:sz w:val="20"/>
          <w:szCs w:val="20"/>
          <w:highlight w:val="yellow"/>
          <w:lang w:val="en-US"/>
        </w:rPr>
        <w:t xml:space="preserve">Ensuring the Green Belt meets ecological, social, and economic goals requires collaborative and adaptive management approaches. </w:t>
      </w:r>
      <w:r w:rsidRPr="00857B81">
        <w:rPr>
          <w:sz w:val="20"/>
          <w:szCs w:val="20"/>
          <w:highlight w:val="yellow"/>
          <w:lang w:val="fr"/>
        </w:rPr>
        <w:t xml:space="preserve">This </w:t>
      </w:r>
      <w:proofErr w:type="spellStart"/>
      <w:r w:rsidRPr="00857B81">
        <w:rPr>
          <w:sz w:val="20"/>
          <w:szCs w:val="20"/>
          <w:highlight w:val="yellow"/>
          <w:lang w:val="fr"/>
        </w:rPr>
        <w:t>pillar</w:t>
      </w:r>
      <w:proofErr w:type="spellEnd"/>
      <w:r w:rsidRPr="00857B81">
        <w:rPr>
          <w:sz w:val="20"/>
          <w:szCs w:val="20"/>
          <w:highlight w:val="yellow"/>
          <w:lang w:val="fr"/>
        </w:rPr>
        <w:t xml:space="preserve"> </w:t>
      </w:r>
      <w:proofErr w:type="gramStart"/>
      <w:r w:rsidRPr="00857B81">
        <w:rPr>
          <w:sz w:val="20"/>
          <w:szCs w:val="20"/>
          <w:highlight w:val="yellow"/>
          <w:lang w:val="fr"/>
        </w:rPr>
        <w:t>supports:</w:t>
      </w:r>
      <w:proofErr w:type="gramEnd"/>
    </w:p>
    <w:p w14:paraId="529859BF" w14:textId="3FAE053A" w:rsidR="6BB149AF" w:rsidRPr="00857B81" w:rsidRDefault="6BB149AF" w:rsidP="00857B81">
      <w:pPr>
        <w:pStyle w:val="Paragraphedeliste"/>
        <w:numPr>
          <w:ilvl w:val="0"/>
          <w:numId w:val="28"/>
        </w:numPr>
        <w:spacing w:after="0" w:line="276" w:lineRule="auto"/>
        <w:jc w:val="both"/>
        <w:rPr>
          <w:sz w:val="20"/>
          <w:szCs w:val="20"/>
          <w:highlight w:val="yellow"/>
          <w:lang w:val="en-US"/>
        </w:rPr>
      </w:pPr>
      <w:r w:rsidRPr="00857B81">
        <w:rPr>
          <w:sz w:val="20"/>
          <w:szCs w:val="20"/>
          <w:highlight w:val="yellow"/>
          <w:lang w:val="en-US"/>
        </w:rPr>
        <w:t xml:space="preserve">The </w:t>
      </w:r>
      <w:r w:rsidRPr="00857B81">
        <w:rPr>
          <w:b/>
          <w:bCs/>
          <w:sz w:val="20"/>
          <w:szCs w:val="20"/>
          <w:highlight w:val="yellow"/>
          <w:lang w:val="en-US"/>
        </w:rPr>
        <w:t>co-design of forest and green space management plans</w:t>
      </w:r>
      <w:r w:rsidRPr="00857B81">
        <w:rPr>
          <w:sz w:val="20"/>
          <w:szCs w:val="20"/>
          <w:highlight w:val="yellow"/>
          <w:lang w:val="en-US"/>
        </w:rPr>
        <w:t xml:space="preserve">, incorporating nature-based solutions and ecosystem-based </w:t>
      </w:r>
      <w:proofErr w:type="gramStart"/>
      <w:r w:rsidRPr="00857B81">
        <w:rPr>
          <w:sz w:val="20"/>
          <w:szCs w:val="20"/>
          <w:highlight w:val="yellow"/>
          <w:lang w:val="en-US"/>
        </w:rPr>
        <w:t>approaches;</w:t>
      </w:r>
      <w:proofErr w:type="gramEnd"/>
    </w:p>
    <w:p w14:paraId="42470F94" w14:textId="19FFCF9F" w:rsidR="6BB149AF" w:rsidRPr="00857B81" w:rsidRDefault="6BB149AF" w:rsidP="00857B81">
      <w:pPr>
        <w:pStyle w:val="Paragraphedeliste"/>
        <w:numPr>
          <w:ilvl w:val="0"/>
          <w:numId w:val="28"/>
        </w:numPr>
        <w:spacing w:after="0" w:line="276" w:lineRule="auto"/>
        <w:jc w:val="both"/>
        <w:rPr>
          <w:sz w:val="20"/>
          <w:szCs w:val="20"/>
          <w:highlight w:val="yellow"/>
          <w:lang w:val="en-US"/>
        </w:rPr>
      </w:pPr>
      <w:r w:rsidRPr="00857B81">
        <w:rPr>
          <w:sz w:val="20"/>
          <w:szCs w:val="20"/>
          <w:highlight w:val="yellow"/>
          <w:lang w:val="en-US"/>
        </w:rPr>
        <w:t xml:space="preserve">The use of </w:t>
      </w:r>
      <w:r w:rsidRPr="00857B81">
        <w:rPr>
          <w:b/>
          <w:bCs/>
          <w:sz w:val="20"/>
          <w:szCs w:val="20"/>
          <w:highlight w:val="yellow"/>
          <w:lang w:val="en-US"/>
        </w:rPr>
        <w:t>gender-responsive and community co-management models</w:t>
      </w:r>
      <w:r w:rsidRPr="00857B81">
        <w:rPr>
          <w:sz w:val="20"/>
          <w:szCs w:val="20"/>
          <w:highlight w:val="yellow"/>
          <w:lang w:val="en-US"/>
        </w:rPr>
        <w:t xml:space="preserve"> to ensure equitable participation and benefit-</w:t>
      </w:r>
      <w:proofErr w:type="gramStart"/>
      <w:r w:rsidRPr="00857B81">
        <w:rPr>
          <w:sz w:val="20"/>
          <w:szCs w:val="20"/>
          <w:highlight w:val="yellow"/>
          <w:lang w:val="en-US"/>
        </w:rPr>
        <w:t>sharing;</w:t>
      </w:r>
      <w:proofErr w:type="gramEnd"/>
    </w:p>
    <w:p w14:paraId="63C10F72" w14:textId="658970F8" w:rsidR="6BB149AF" w:rsidRPr="00857B81" w:rsidRDefault="6BB149AF" w:rsidP="00857B81">
      <w:pPr>
        <w:pStyle w:val="Paragraphedeliste"/>
        <w:numPr>
          <w:ilvl w:val="0"/>
          <w:numId w:val="28"/>
        </w:numPr>
        <w:spacing w:after="0" w:line="276" w:lineRule="auto"/>
        <w:jc w:val="both"/>
        <w:rPr>
          <w:sz w:val="20"/>
          <w:szCs w:val="20"/>
          <w:highlight w:val="yellow"/>
          <w:lang w:val="en-US"/>
        </w:rPr>
      </w:pPr>
      <w:r w:rsidRPr="00857B81">
        <w:rPr>
          <w:sz w:val="20"/>
          <w:szCs w:val="20"/>
          <w:highlight w:val="yellow"/>
          <w:lang w:val="en-US"/>
        </w:rPr>
        <w:t xml:space="preserve">Restoration activities that contribute to </w:t>
      </w:r>
      <w:r w:rsidRPr="00857B81">
        <w:rPr>
          <w:b/>
          <w:bCs/>
          <w:sz w:val="20"/>
          <w:szCs w:val="20"/>
          <w:highlight w:val="yellow"/>
          <w:lang w:val="en-US"/>
        </w:rPr>
        <w:t>biodiversity conservation, soil and water protection, and urban cooling</w:t>
      </w:r>
      <w:r w:rsidRPr="00857B81">
        <w:rPr>
          <w:sz w:val="20"/>
          <w:szCs w:val="20"/>
          <w:highlight w:val="yellow"/>
          <w:lang w:val="en-US"/>
        </w:rPr>
        <w:t>.</w:t>
      </w:r>
    </w:p>
    <w:p w14:paraId="60869861" w14:textId="2B323B4F" w:rsidR="6BB149AF" w:rsidRPr="00857B81" w:rsidRDefault="6BB149AF" w:rsidP="0764FF73">
      <w:pPr>
        <w:spacing w:after="200" w:line="276" w:lineRule="auto"/>
        <w:jc w:val="both"/>
        <w:rPr>
          <w:b/>
          <w:bCs/>
          <w:sz w:val="20"/>
          <w:szCs w:val="20"/>
          <w:highlight w:val="yellow"/>
          <w:lang w:val="en-US"/>
        </w:rPr>
      </w:pPr>
      <w:r w:rsidRPr="00857B81">
        <w:rPr>
          <w:b/>
          <w:bCs/>
          <w:sz w:val="20"/>
          <w:szCs w:val="20"/>
          <w:highlight w:val="yellow"/>
          <w:lang w:val="en-US"/>
        </w:rPr>
        <w:t>Mobilizing Investments and Partnerships</w:t>
      </w:r>
    </w:p>
    <w:p w14:paraId="44AB5BAF" w14:textId="17EEAD72" w:rsidR="6BB149AF" w:rsidRPr="00857B81" w:rsidRDefault="6BB149AF" w:rsidP="00857B81">
      <w:pPr>
        <w:spacing w:after="0" w:line="276" w:lineRule="auto"/>
        <w:jc w:val="both"/>
        <w:rPr>
          <w:sz w:val="20"/>
          <w:szCs w:val="20"/>
          <w:highlight w:val="yellow"/>
          <w:lang w:val="fr"/>
        </w:rPr>
      </w:pPr>
      <w:r w:rsidRPr="00857B81">
        <w:rPr>
          <w:sz w:val="20"/>
          <w:szCs w:val="20"/>
          <w:highlight w:val="yellow"/>
          <w:lang w:val="en-US"/>
        </w:rPr>
        <w:t xml:space="preserve">To sustain long-term efforts, the Green Belt must be economically viable and institutionally supported. </w:t>
      </w:r>
      <w:r w:rsidRPr="00857B81">
        <w:rPr>
          <w:sz w:val="20"/>
          <w:szCs w:val="20"/>
          <w:highlight w:val="yellow"/>
          <w:lang w:val="fr"/>
        </w:rPr>
        <w:t xml:space="preserve">This </w:t>
      </w:r>
      <w:proofErr w:type="spellStart"/>
      <w:r w:rsidRPr="00857B81">
        <w:rPr>
          <w:sz w:val="20"/>
          <w:szCs w:val="20"/>
          <w:highlight w:val="yellow"/>
          <w:lang w:val="fr"/>
        </w:rPr>
        <w:t>pillar</w:t>
      </w:r>
      <w:proofErr w:type="spellEnd"/>
      <w:r w:rsidRPr="00857B81">
        <w:rPr>
          <w:sz w:val="20"/>
          <w:szCs w:val="20"/>
          <w:highlight w:val="yellow"/>
          <w:lang w:val="fr"/>
        </w:rPr>
        <w:t xml:space="preserve"> </w:t>
      </w:r>
      <w:proofErr w:type="spellStart"/>
      <w:proofErr w:type="gramStart"/>
      <w:r w:rsidRPr="00857B81">
        <w:rPr>
          <w:sz w:val="20"/>
          <w:szCs w:val="20"/>
          <w:highlight w:val="yellow"/>
          <w:lang w:val="fr"/>
        </w:rPr>
        <w:t>promotes</w:t>
      </w:r>
      <w:proofErr w:type="spellEnd"/>
      <w:r w:rsidRPr="00857B81">
        <w:rPr>
          <w:sz w:val="20"/>
          <w:szCs w:val="20"/>
          <w:highlight w:val="yellow"/>
          <w:lang w:val="fr"/>
        </w:rPr>
        <w:t>:</w:t>
      </w:r>
      <w:proofErr w:type="gramEnd"/>
    </w:p>
    <w:p w14:paraId="45785C81" w14:textId="48ED885E" w:rsidR="6BB149AF" w:rsidRPr="00857B81" w:rsidRDefault="6BB149AF" w:rsidP="00857B81">
      <w:pPr>
        <w:pStyle w:val="Paragraphedeliste"/>
        <w:numPr>
          <w:ilvl w:val="0"/>
          <w:numId w:val="27"/>
        </w:numPr>
        <w:spacing w:after="0" w:line="276" w:lineRule="auto"/>
        <w:jc w:val="both"/>
        <w:rPr>
          <w:sz w:val="20"/>
          <w:szCs w:val="20"/>
          <w:highlight w:val="yellow"/>
          <w:lang w:val="en-US"/>
        </w:rPr>
      </w:pPr>
      <w:r w:rsidRPr="00857B81">
        <w:rPr>
          <w:sz w:val="20"/>
          <w:szCs w:val="20"/>
          <w:highlight w:val="yellow"/>
          <w:lang w:val="en-US"/>
        </w:rPr>
        <w:t xml:space="preserve">The development of pilot public-private initiatives that combine ecological restoration with green jobs and </w:t>
      </w:r>
      <w:proofErr w:type="gramStart"/>
      <w:r w:rsidRPr="00857B81">
        <w:rPr>
          <w:sz w:val="20"/>
          <w:szCs w:val="20"/>
          <w:highlight w:val="yellow"/>
          <w:lang w:val="en-US"/>
        </w:rPr>
        <w:t>entrepreneurship;</w:t>
      </w:r>
      <w:proofErr w:type="gramEnd"/>
    </w:p>
    <w:p w14:paraId="0E585E67" w14:textId="626EFECD" w:rsidR="6BB149AF" w:rsidRPr="00857B81" w:rsidRDefault="6BB149AF" w:rsidP="00857B81">
      <w:pPr>
        <w:pStyle w:val="Paragraphedeliste"/>
        <w:numPr>
          <w:ilvl w:val="0"/>
          <w:numId w:val="27"/>
        </w:numPr>
        <w:spacing w:after="0" w:line="276" w:lineRule="auto"/>
        <w:jc w:val="both"/>
        <w:rPr>
          <w:sz w:val="20"/>
          <w:szCs w:val="20"/>
          <w:highlight w:val="yellow"/>
          <w:lang w:val="en-US"/>
        </w:rPr>
      </w:pPr>
      <w:r w:rsidRPr="00857B81">
        <w:rPr>
          <w:sz w:val="20"/>
          <w:szCs w:val="20"/>
          <w:highlight w:val="yellow"/>
          <w:lang w:val="en-US"/>
        </w:rPr>
        <w:t>Investments in agroforestry, ecotourism, and urban agriculture as sustainable income-generating activities aligned with the Bamako Urban Master Plan</w:t>
      </w:r>
    </w:p>
    <w:p w14:paraId="56D8D46C" w14:textId="1780286C" w:rsidR="6BB149AF" w:rsidRPr="00857B81" w:rsidRDefault="6BB149AF" w:rsidP="00857B81">
      <w:pPr>
        <w:pStyle w:val="Paragraphedeliste"/>
        <w:numPr>
          <w:ilvl w:val="0"/>
          <w:numId w:val="27"/>
        </w:numPr>
        <w:spacing w:after="0" w:line="276" w:lineRule="auto"/>
        <w:jc w:val="both"/>
        <w:rPr>
          <w:sz w:val="20"/>
          <w:szCs w:val="20"/>
          <w:highlight w:val="yellow"/>
          <w:lang w:val="en-US"/>
        </w:rPr>
      </w:pPr>
      <w:r w:rsidRPr="00857B81">
        <w:rPr>
          <w:sz w:val="20"/>
          <w:szCs w:val="20"/>
          <w:highlight w:val="yellow"/>
          <w:lang w:val="en-US"/>
        </w:rPr>
        <w:t>Engagement with local cooperatives, interprofessional organizations, and the private sector to attract blended finance and donor support.</w:t>
      </w:r>
    </w:p>
    <w:p w14:paraId="398FD1AD" w14:textId="72797F53" w:rsidR="6BB149AF" w:rsidRDefault="6BB149AF" w:rsidP="0764FF73">
      <w:pPr>
        <w:rPr>
          <w:sz w:val="20"/>
          <w:szCs w:val="20"/>
          <w:lang w:val="en-US"/>
        </w:rPr>
      </w:pPr>
      <w:r w:rsidRPr="00857B81">
        <w:rPr>
          <w:sz w:val="20"/>
          <w:szCs w:val="20"/>
          <w:highlight w:val="yellow"/>
          <w:lang w:val="en-US"/>
        </w:rPr>
        <w:t xml:space="preserve">Together, these four pillars will transform the Bamako Green Belt into a </w:t>
      </w:r>
      <w:r w:rsidRPr="00857B81">
        <w:rPr>
          <w:b/>
          <w:bCs/>
          <w:sz w:val="20"/>
          <w:szCs w:val="20"/>
          <w:highlight w:val="yellow"/>
          <w:lang w:val="en-US"/>
        </w:rPr>
        <w:t>living model of integrated urban development</w:t>
      </w:r>
      <w:r w:rsidRPr="00857B81">
        <w:rPr>
          <w:sz w:val="20"/>
          <w:szCs w:val="20"/>
          <w:highlight w:val="yellow"/>
          <w:lang w:val="en-US"/>
        </w:rPr>
        <w:t>—balancing ecological integrity with social cohesion, economic opportunity, and climate resilience. This outcome will not only enhance Bamako’s livability and environmental performance but also serve as a scalable and replicable model for other rapidly urbanizing cities in Mali.</w:t>
      </w:r>
    </w:p>
    <w:p w14:paraId="3DF24CA5" w14:textId="6FB415B3" w:rsidR="004F7DB3" w:rsidRPr="007F4912" w:rsidRDefault="28158316" w:rsidP="003974F4">
      <w:pPr>
        <w:rPr>
          <w:color w:val="000000" w:themeColor="text1"/>
          <w:sz w:val="20"/>
          <w:szCs w:val="20"/>
          <w:lang w:val="en-US"/>
        </w:rPr>
      </w:pPr>
      <w:r w:rsidRPr="00C679A4">
        <w:rPr>
          <w:b/>
          <w:bCs/>
          <w:color w:val="000000" w:themeColor="text1"/>
          <w:sz w:val="20"/>
          <w:szCs w:val="20"/>
          <w:lang w:val="en-US"/>
        </w:rPr>
        <w:t>Output 3.1.1: The legal and governance framework for classified forest and green spaces is strengthened</w:t>
      </w:r>
    </w:p>
    <w:p w14:paraId="5AB6CE54" w14:textId="77777777" w:rsidR="006322EC" w:rsidRPr="007F4912" w:rsidRDefault="03A68B80" w:rsidP="003974F4">
      <w:pPr>
        <w:rPr>
          <w:color w:val="000000" w:themeColor="text1"/>
          <w:sz w:val="20"/>
          <w:szCs w:val="20"/>
          <w:lang w:val="en-US"/>
        </w:rPr>
      </w:pPr>
      <w:r w:rsidRPr="5D8904BE">
        <w:rPr>
          <w:color w:val="000000" w:themeColor="text1"/>
          <w:sz w:val="20"/>
          <w:szCs w:val="20"/>
          <w:lang w:val="en-US"/>
        </w:rPr>
        <w:t>Output 3.1.1 focuses on strengthening the legal and governance framework essential for the effective preservation and sustainable management of Bamako’s classified forests and urban green spaces. Recognizing these natural assets as critical components of the city’s ecological health and resilience, this output seeks to clarify and secure their legal status, improve inter-institutional coordination, and establish inclusive governance mechanisms that ensure long-term protection.</w:t>
      </w:r>
    </w:p>
    <w:p w14:paraId="32164F33" w14:textId="77777777" w:rsidR="006322EC" w:rsidRPr="007F4912" w:rsidRDefault="03A68B80" w:rsidP="003974F4">
      <w:pPr>
        <w:rPr>
          <w:color w:val="000000" w:themeColor="text1"/>
          <w:sz w:val="20"/>
          <w:szCs w:val="20"/>
          <w:lang w:val="en-US"/>
        </w:rPr>
      </w:pPr>
      <w:r w:rsidRPr="5D8904BE">
        <w:rPr>
          <w:color w:val="000000" w:themeColor="text1"/>
          <w:sz w:val="20"/>
          <w:szCs w:val="20"/>
          <w:lang w:val="en-US"/>
        </w:rPr>
        <w:t xml:space="preserve">Key activities include formalizing the registration of peri-urban and urban forests following comprehensive land inventories, thereby confirming state or local authority ownership and safeguarding these areas from encroachment. Concurrently, efforts will secure the legal tenure of intra-urban green spaces—such as public </w:t>
      </w:r>
      <w:r w:rsidRPr="5D8904BE">
        <w:rPr>
          <w:color w:val="000000" w:themeColor="text1"/>
          <w:sz w:val="20"/>
          <w:szCs w:val="20"/>
          <w:lang w:val="en-US"/>
        </w:rPr>
        <w:lastRenderedPageBreak/>
        <w:t>squares, gardens, and green corridors—through precise mapping, land titling, and integration into urban planning frameworks to prevent misuse and degradation.</w:t>
      </w:r>
    </w:p>
    <w:p w14:paraId="1CE91379" w14:textId="4F35CDCE" w:rsidR="006322EC" w:rsidRPr="007F4912" w:rsidRDefault="2BF4FA92" w:rsidP="003974F4">
      <w:pPr>
        <w:rPr>
          <w:color w:val="000000" w:themeColor="text1"/>
          <w:sz w:val="20"/>
          <w:szCs w:val="20"/>
          <w:lang w:val="en-US"/>
        </w:rPr>
      </w:pPr>
      <w:r w:rsidRPr="5D8904BE">
        <w:rPr>
          <w:color w:val="000000" w:themeColor="text1"/>
          <w:sz w:val="20"/>
          <w:szCs w:val="20"/>
          <w:lang w:val="en-US"/>
        </w:rPr>
        <w:t xml:space="preserve">To foster sustainable stewardship, a multi-stakeholder technical committee will be established through a Memorandum of Understanding, bringing together public agencies, local governments, civil society organizations, and community representatives, with particular emphasis on ensuring women’s </w:t>
      </w:r>
      <w:r w:rsidR="734D9729" w:rsidRPr="5D8904BE">
        <w:rPr>
          <w:color w:val="000000" w:themeColor="text1"/>
          <w:sz w:val="20"/>
          <w:szCs w:val="20"/>
          <w:lang w:val="en-US"/>
        </w:rPr>
        <w:t xml:space="preserve">strong </w:t>
      </w:r>
      <w:r w:rsidRPr="5D8904BE">
        <w:rPr>
          <w:color w:val="000000" w:themeColor="text1"/>
          <w:sz w:val="20"/>
          <w:szCs w:val="20"/>
          <w:lang w:val="en-US"/>
        </w:rPr>
        <w:t>participation in governance. This collaborative platform will oversee monitoring and adaptive management of the Green Belt and other green spaces.</w:t>
      </w:r>
    </w:p>
    <w:p w14:paraId="349CC86C" w14:textId="77777777" w:rsidR="006322EC" w:rsidRPr="007F4912" w:rsidRDefault="03A68B80" w:rsidP="003974F4">
      <w:pPr>
        <w:rPr>
          <w:color w:val="000000" w:themeColor="text1"/>
          <w:sz w:val="20"/>
          <w:szCs w:val="20"/>
          <w:lang w:val="en-US"/>
        </w:rPr>
      </w:pPr>
      <w:r w:rsidRPr="5D8904BE">
        <w:rPr>
          <w:color w:val="000000" w:themeColor="text1"/>
          <w:sz w:val="20"/>
          <w:szCs w:val="20"/>
          <w:lang w:val="en-US"/>
        </w:rPr>
        <w:t>Finally, a sustainable financing plan developed using the BIOFIN methodology will align resource mobilization with Bamako’s local development priorities, securing the necessary long-term funding for green space conservation and maintenance.</w:t>
      </w:r>
    </w:p>
    <w:p w14:paraId="7DC1AB4D" w14:textId="77777777" w:rsidR="006322EC" w:rsidRPr="007F4912" w:rsidRDefault="006322EC" w:rsidP="003974F4">
      <w:pPr>
        <w:rPr>
          <w:color w:val="000000" w:themeColor="text1"/>
          <w:sz w:val="20"/>
          <w:szCs w:val="20"/>
          <w:lang w:val="en-US"/>
        </w:rPr>
      </w:pPr>
      <w:r w:rsidRPr="007F4912">
        <w:rPr>
          <w:color w:val="000000" w:themeColor="text1"/>
          <w:sz w:val="20"/>
          <w:szCs w:val="20"/>
          <w:lang w:val="en-US"/>
        </w:rPr>
        <w:t>Together, these measures provide the institutional foundation and financial sustainability needed to protect Bamako’s vital urban ecosystems and promote their role in building a resilient, healthy, and sustainable city environment.</w:t>
      </w:r>
    </w:p>
    <w:p w14:paraId="2A33F09D" w14:textId="49E69D40" w:rsidR="004F7DB3" w:rsidRPr="00C679A4" w:rsidRDefault="28158316" w:rsidP="003974F4">
      <w:pPr>
        <w:rPr>
          <w:i/>
          <w:iCs/>
          <w:color w:val="000000" w:themeColor="text1"/>
          <w:sz w:val="20"/>
          <w:szCs w:val="20"/>
          <w:u w:val="single"/>
          <w:lang w:val="en-US"/>
        </w:rPr>
      </w:pPr>
      <w:r w:rsidRPr="0764FF73">
        <w:rPr>
          <w:i/>
          <w:iCs/>
          <w:color w:val="000000" w:themeColor="text1"/>
          <w:sz w:val="20"/>
          <w:szCs w:val="20"/>
          <w:u w:val="single"/>
          <w:lang w:val="en-US"/>
        </w:rPr>
        <w:t>Activity 3.1.1.1: Preparing Forests for Post-Inventory Registration</w:t>
      </w:r>
    </w:p>
    <w:p w14:paraId="4CFDBFF0" w14:textId="4E181FCA" w:rsidR="3B0C0056" w:rsidRPr="00857B81" w:rsidRDefault="3B0C0056" w:rsidP="00DC2CA1">
      <w:pPr>
        <w:spacing w:before="240" w:after="240"/>
        <w:jc w:val="both"/>
        <w:rPr>
          <w:sz w:val="20"/>
          <w:szCs w:val="20"/>
          <w:highlight w:val="yellow"/>
          <w:lang w:val="en-US"/>
        </w:rPr>
      </w:pPr>
      <w:r w:rsidRPr="00857B81">
        <w:rPr>
          <w:sz w:val="20"/>
          <w:szCs w:val="20"/>
          <w:highlight w:val="yellow"/>
          <w:lang w:val="en-US"/>
        </w:rPr>
        <w:t>Securing land tenure is a critical precondition for the sustainable management and long-term protection of urban and peri-urban forest ecosystems. In the context of Bamako’s rapid urban expansion and increasing land pressures, the absence of clear legal ownership of forest plots undermines conservation efforts, exposes green spaces to encroachment, and limits the capacity of public authorities to invest in and enforce management plans.</w:t>
      </w:r>
    </w:p>
    <w:p w14:paraId="5542AB78" w14:textId="79D2F0E6" w:rsidR="3B0C0056" w:rsidRPr="00857B81" w:rsidRDefault="3B0C0056" w:rsidP="00DC2CA1">
      <w:pPr>
        <w:spacing w:before="240" w:after="240"/>
        <w:jc w:val="both"/>
        <w:rPr>
          <w:sz w:val="20"/>
          <w:szCs w:val="20"/>
          <w:highlight w:val="yellow"/>
          <w:lang w:val="fr"/>
        </w:rPr>
      </w:pPr>
      <w:r w:rsidRPr="00857B81">
        <w:rPr>
          <w:sz w:val="20"/>
          <w:szCs w:val="20"/>
          <w:highlight w:val="yellow"/>
          <w:lang w:val="en-US"/>
        </w:rPr>
        <w:t xml:space="preserve">This activity aims to formalize the legal ownership of forests identified during the land inventory phase by completing the necessary administrative and technical steps required for their official registration. It is </w:t>
      </w:r>
      <w:r w:rsidRPr="00857B81">
        <w:rPr>
          <w:sz w:val="20"/>
          <w:szCs w:val="20"/>
          <w:highlight w:val="yellow"/>
          <w:lang w:val="fr"/>
        </w:rPr>
        <w:t xml:space="preserve">Key Objectives </w:t>
      </w:r>
      <w:proofErr w:type="spellStart"/>
      <w:r w:rsidRPr="00857B81">
        <w:rPr>
          <w:sz w:val="20"/>
          <w:szCs w:val="20"/>
          <w:highlight w:val="yellow"/>
          <w:lang w:val="fr"/>
        </w:rPr>
        <w:t>will</w:t>
      </w:r>
      <w:proofErr w:type="spellEnd"/>
      <w:r w:rsidRPr="00857B81">
        <w:rPr>
          <w:sz w:val="20"/>
          <w:szCs w:val="20"/>
          <w:highlight w:val="yellow"/>
          <w:lang w:val="fr"/>
        </w:rPr>
        <w:t xml:space="preserve"> </w:t>
      </w:r>
      <w:proofErr w:type="spellStart"/>
      <w:r w:rsidRPr="00857B81">
        <w:rPr>
          <w:sz w:val="20"/>
          <w:szCs w:val="20"/>
          <w:highlight w:val="yellow"/>
          <w:lang w:val="fr"/>
        </w:rPr>
        <w:t>be</w:t>
      </w:r>
      <w:proofErr w:type="spellEnd"/>
      <w:r w:rsidRPr="00857B81">
        <w:rPr>
          <w:sz w:val="20"/>
          <w:szCs w:val="20"/>
          <w:highlight w:val="yellow"/>
          <w:lang w:val="fr"/>
        </w:rPr>
        <w:t>:</w:t>
      </w:r>
    </w:p>
    <w:p w14:paraId="3740BD1E" w14:textId="60D2CD74" w:rsidR="3B0C0056" w:rsidRPr="00857B81" w:rsidRDefault="3B0C0056" w:rsidP="00DC2CA1">
      <w:pPr>
        <w:pStyle w:val="Paragraphedeliste"/>
        <w:numPr>
          <w:ilvl w:val="0"/>
          <w:numId w:val="26"/>
        </w:numPr>
        <w:spacing w:after="0"/>
        <w:jc w:val="both"/>
        <w:rPr>
          <w:sz w:val="20"/>
          <w:szCs w:val="20"/>
          <w:highlight w:val="yellow"/>
          <w:lang w:val="en-US"/>
        </w:rPr>
      </w:pPr>
      <w:r w:rsidRPr="00857B81">
        <w:rPr>
          <w:sz w:val="20"/>
          <w:szCs w:val="20"/>
          <w:highlight w:val="yellow"/>
          <w:lang w:val="en-US"/>
        </w:rPr>
        <w:t xml:space="preserve">Verify the current legal and cadastral status of each targeted forest </w:t>
      </w:r>
      <w:proofErr w:type="gramStart"/>
      <w:r w:rsidRPr="00857B81">
        <w:rPr>
          <w:sz w:val="20"/>
          <w:szCs w:val="20"/>
          <w:highlight w:val="yellow"/>
          <w:lang w:val="en-US"/>
        </w:rPr>
        <w:t>plot;</w:t>
      </w:r>
      <w:proofErr w:type="gramEnd"/>
    </w:p>
    <w:p w14:paraId="57FCD1A9" w14:textId="2A66180E" w:rsidR="3B0C0056" w:rsidRPr="00857B81" w:rsidRDefault="3B0C0056" w:rsidP="00DC2CA1">
      <w:pPr>
        <w:pStyle w:val="Paragraphedeliste"/>
        <w:numPr>
          <w:ilvl w:val="0"/>
          <w:numId w:val="26"/>
        </w:numPr>
        <w:spacing w:after="0"/>
        <w:jc w:val="both"/>
        <w:rPr>
          <w:sz w:val="20"/>
          <w:szCs w:val="20"/>
          <w:highlight w:val="yellow"/>
          <w:lang w:val="en-US"/>
        </w:rPr>
      </w:pPr>
      <w:r w:rsidRPr="00857B81">
        <w:rPr>
          <w:sz w:val="20"/>
          <w:szCs w:val="20"/>
          <w:highlight w:val="yellow"/>
          <w:lang w:val="en-US"/>
        </w:rPr>
        <w:t xml:space="preserve">Prepare and compile all technical and administrative documentation required for registration, including boundary delimitation, mapping, and land </w:t>
      </w:r>
      <w:proofErr w:type="gramStart"/>
      <w:r w:rsidRPr="00857B81">
        <w:rPr>
          <w:sz w:val="20"/>
          <w:szCs w:val="20"/>
          <w:highlight w:val="yellow"/>
          <w:lang w:val="en-US"/>
        </w:rPr>
        <w:t>titles;</w:t>
      </w:r>
      <w:proofErr w:type="gramEnd"/>
    </w:p>
    <w:p w14:paraId="0F019398" w14:textId="000C6716" w:rsidR="3B0C0056" w:rsidRPr="00857B81" w:rsidRDefault="3B0C0056" w:rsidP="00DC2CA1">
      <w:pPr>
        <w:pStyle w:val="Paragraphedeliste"/>
        <w:numPr>
          <w:ilvl w:val="0"/>
          <w:numId w:val="26"/>
        </w:numPr>
        <w:spacing w:after="0"/>
        <w:jc w:val="both"/>
        <w:rPr>
          <w:sz w:val="20"/>
          <w:szCs w:val="20"/>
          <w:highlight w:val="yellow"/>
          <w:lang w:val="en-US"/>
        </w:rPr>
      </w:pPr>
      <w:r w:rsidRPr="00857B81">
        <w:rPr>
          <w:sz w:val="20"/>
          <w:szCs w:val="20"/>
          <w:highlight w:val="yellow"/>
          <w:lang w:val="en-US"/>
        </w:rPr>
        <w:t>Facilitate coordination with land registry offices and conservation services to ensure the legal registration of forest land in the name of the State or relevant local authorities.</w:t>
      </w:r>
    </w:p>
    <w:p w14:paraId="0FDCC210" w14:textId="2847BD4C" w:rsidR="0764FF73" w:rsidRPr="00857B81" w:rsidRDefault="0764FF73" w:rsidP="00DC2CA1">
      <w:pPr>
        <w:spacing w:after="0"/>
        <w:jc w:val="both"/>
        <w:rPr>
          <w:sz w:val="20"/>
          <w:szCs w:val="20"/>
          <w:highlight w:val="yellow"/>
          <w:lang w:val="en-US"/>
        </w:rPr>
      </w:pPr>
    </w:p>
    <w:p w14:paraId="31136E2F" w14:textId="6E576161" w:rsidR="3B0C0056" w:rsidRPr="00857B81" w:rsidRDefault="3B0C0056" w:rsidP="00DC2CA1">
      <w:pPr>
        <w:spacing w:after="0"/>
        <w:jc w:val="both"/>
        <w:rPr>
          <w:sz w:val="20"/>
          <w:szCs w:val="20"/>
          <w:highlight w:val="yellow"/>
          <w:lang w:val="en-US"/>
        </w:rPr>
      </w:pPr>
      <w:r w:rsidRPr="00857B81">
        <w:rPr>
          <w:sz w:val="20"/>
          <w:szCs w:val="20"/>
          <w:highlight w:val="yellow"/>
          <w:lang w:val="en-US"/>
        </w:rPr>
        <w:t>The process will be led by the General Directorate of Water and Forests (GDWF), in collaboration with the General Directorate of Taxes, municipal land services, and relevant local authorities. Technical assistance will be provided by a national consultant.</w:t>
      </w:r>
      <w:r w:rsidRPr="00857B81">
        <w:rPr>
          <w:rFonts w:ascii="Times New Roman" w:eastAsia="Times New Roman" w:hAnsi="Times New Roman" w:cs="Times New Roman"/>
          <w:sz w:val="24"/>
          <w:szCs w:val="24"/>
          <w:highlight w:val="yellow"/>
          <w:lang w:val="en-US"/>
        </w:rPr>
        <w:t xml:space="preserve"> </w:t>
      </w:r>
      <w:r w:rsidRPr="00857B81">
        <w:rPr>
          <w:sz w:val="20"/>
          <w:szCs w:val="20"/>
          <w:highlight w:val="yellow"/>
          <w:lang w:val="en-US"/>
        </w:rPr>
        <w:t xml:space="preserve">Completion and submission of forest registration files for all targeted sites, enabling formal recognition, legal protection, and subsequent integration into management, investment, and monitoring frameworks. This activity will provide the </w:t>
      </w:r>
      <w:r w:rsidRPr="00857B81">
        <w:rPr>
          <w:b/>
          <w:bCs/>
          <w:sz w:val="20"/>
          <w:szCs w:val="20"/>
          <w:highlight w:val="yellow"/>
          <w:lang w:val="en-US"/>
        </w:rPr>
        <w:t>legal foundation for forest governance</w:t>
      </w:r>
      <w:r w:rsidRPr="00857B81">
        <w:rPr>
          <w:sz w:val="20"/>
          <w:szCs w:val="20"/>
          <w:highlight w:val="yellow"/>
          <w:lang w:val="en-US"/>
        </w:rPr>
        <w:t xml:space="preserve">, reinforce land tenure security, and pave the way for the </w:t>
      </w:r>
      <w:r w:rsidRPr="00857B81">
        <w:rPr>
          <w:b/>
          <w:bCs/>
          <w:sz w:val="20"/>
          <w:szCs w:val="20"/>
          <w:highlight w:val="yellow"/>
          <w:lang w:val="en-US"/>
        </w:rPr>
        <w:t>institutionalization of long-term conservation and community co-management models</w:t>
      </w:r>
      <w:r w:rsidRPr="00857B81">
        <w:rPr>
          <w:sz w:val="20"/>
          <w:szCs w:val="20"/>
          <w:highlight w:val="yellow"/>
          <w:lang w:val="en-US"/>
        </w:rPr>
        <w:t xml:space="preserve"> under the Green Belt initiative.</w:t>
      </w:r>
    </w:p>
    <w:p w14:paraId="05FB771C" w14:textId="70FB05B1" w:rsidR="004F7DB3" w:rsidRPr="00C679A4" w:rsidRDefault="28158316" w:rsidP="003974F4">
      <w:pPr>
        <w:rPr>
          <w:i/>
          <w:iCs/>
          <w:color w:val="000000" w:themeColor="text1"/>
          <w:sz w:val="20"/>
          <w:szCs w:val="20"/>
          <w:u w:val="single"/>
          <w:lang w:val="en-US"/>
        </w:rPr>
      </w:pPr>
      <w:r w:rsidRPr="0764FF73">
        <w:rPr>
          <w:i/>
          <w:iCs/>
          <w:color w:val="000000" w:themeColor="text1"/>
          <w:sz w:val="20"/>
          <w:szCs w:val="20"/>
          <w:u w:val="single"/>
          <w:lang w:val="en-US"/>
        </w:rPr>
        <w:t>Activity 3.1.1.2: Securing Land Tenure and Legal Status of Intra-Urban Green Spaces</w:t>
      </w:r>
    </w:p>
    <w:p w14:paraId="518B749E" w14:textId="0D9BFDCB" w:rsidR="41C5DDB7" w:rsidRPr="00857B81" w:rsidRDefault="41C5DDB7" w:rsidP="00DC2CA1">
      <w:pPr>
        <w:spacing w:before="240" w:after="240"/>
        <w:jc w:val="both"/>
        <w:rPr>
          <w:sz w:val="20"/>
          <w:szCs w:val="20"/>
          <w:highlight w:val="yellow"/>
          <w:lang w:val="fr"/>
        </w:rPr>
      </w:pPr>
      <w:r w:rsidRPr="00857B81">
        <w:rPr>
          <w:sz w:val="20"/>
          <w:szCs w:val="20"/>
          <w:highlight w:val="yellow"/>
          <w:lang w:val="en-US"/>
        </w:rPr>
        <w:t xml:space="preserve">Intra-urban green spaces—such as public squares, community gardens, and green corridors—play a vital role in urban livability, climate resilience, social cohesion, and public health. However, in the absence of clearly defined legal status and land tenure security, these spaces are highly vulnerable to informal occupation, encroachment, and competing land uses, particularly in rapidly expanding urban contexts like Bamako. This activity aims to formally secure the legal status of intra-urban green spaces identified during the green space inventories, </w:t>
      </w:r>
      <w:proofErr w:type="gramStart"/>
      <w:r w:rsidRPr="00857B81">
        <w:rPr>
          <w:sz w:val="20"/>
          <w:szCs w:val="20"/>
          <w:highlight w:val="yellow"/>
          <w:lang w:val="en-US"/>
        </w:rPr>
        <w:t>in order to</w:t>
      </w:r>
      <w:proofErr w:type="gramEnd"/>
      <w:r w:rsidRPr="00857B81">
        <w:rPr>
          <w:sz w:val="20"/>
          <w:szCs w:val="20"/>
          <w:highlight w:val="yellow"/>
          <w:lang w:val="en-US"/>
        </w:rPr>
        <w:t xml:space="preserve"> preserve them as protected public assets and integrate them into long-term urban development plans. Its </w:t>
      </w:r>
      <w:r w:rsidRPr="00857B81">
        <w:rPr>
          <w:sz w:val="20"/>
          <w:szCs w:val="20"/>
          <w:highlight w:val="yellow"/>
          <w:lang w:val="fr"/>
        </w:rPr>
        <w:t>Key Objectives and Actions:</w:t>
      </w:r>
    </w:p>
    <w:p w14:paraId="7CB16A55" w14:textId="091C0C6D" w:rsidR="41C5DDB7" w:rsidRPr="00857B81" w:rsidRDefault="41C5DDB7" w:rsidP="00DC2CA1">
      <w:pPr>
        <w:pStyle w:val="Paragraphedeliste"/>
        <w:numPr>
          <w:ilvl w:val="0"/>
          <w:numId w:val="25"/>
        </w:numPr>
        <w:spacing w:after="0"/>
        <w:jc w:val="both"/>
        <w:rPr>
          <w:sz w:val="20"/>
          <w:szCs w:val="20"/>
          <w:highlight w:val="yellow"/>
          <w:lang w:val="en-US"/>
        </w:rPr>
      </w:pPr>
      <w:r w:rsidRPr="00857B81">
        <w:rPr>
          <w:sz w:val="20"/>
          <w:szCs w:val="20"/>
          <w:highlight w:val="yellow"/>
          <w:lang w:val="en-US"/>
        </w:rPr>
        <w:t xml:space="preserve">Conduct precise mapping and geo-referencing of targeted green spaces across the seven arrondissements of the Bamako </w:t>
      </w:r>
      <w:proofErr w:type="gramStart"/>
      <w:r w:rsidRPr="00857B81">
        <w:rPr>
          <w:sz w:val="20"/>
          <w:szCs w:val="20"/>
          <w:highlight w:val="yellow"/>
          <w:lang w:val="en-US"/>
        </w:rPr>
        <w:t>District;</w:t>
      </w:r>
      <w:proofErr w:type="gramEnd"/>
    </w:p>
    <w:p w14:paraId="4A26B367" w14:textId="5D231BC3" w:rsidR="41C5DDB7" w:rsidRPr="00857B81" w:rsidRDefault="41C5DDB7" w:rsidP="00DC2CA1">
      <w:pPr>
        <w:pStyle w:val="Paragraphedeliste"/>
        <w:numPr>
          <w:ilvl w:val="0"/>
          <w:numId w:val="25"/>
        </w:numPr>
        <w:spacing w:after="0"/>
        <w:jc w:val="both"/>
        <w:rPr>
          <w:sz w:val="20"/>
          <w:szCs w:val="20"/>
          <w:highlight w:val="yellow"/>
          <w:lang w:val="en-US"/>
        </w:rPr>
      </w:pPr>
      <w:r w:rsidRPr="00857B81">
        <w:rPr>
          <w:sz w:val="20"/>
          <w:szCs w:val="20"/>
          <w:highlight w:val="yellow"/>
          <w:lang w:val="en-US"/>
        </w:rPr>
        <w:lastRenderedPageBreak/>
        <w:t xml:space="preserve">Establish land titles or formal registrations, ensuring these sites are legally recognized as public or communal </w:t>
      </w:r>
      <w:proofErr w:type="gramStart"/>
      <w:r w:rsidRPr="00857B81">
        <w:rPr>
          <w:sz w:val="20"/>
          <w:szCs w:val="20"/>
          <w:highlight w:val="yellow"/>
          <w:lang w:val="en-US"/>
        </w:rPr>
        <w:t>property;</w:t>
      </w:r>
      <w:proofErr w:type="gramEnd"/>
    </w:p>
    <w:p w14:paraId="20B23165" w14:textId="6312C983" w:rsidR="41C5DDB7" w:rsidRPr="00857B81" w:rsidRDefault="41C5DDB7" w:rsidP="00DC2CA1">
      <w:pPr>
        <w:pStyle w:val="Paragraphedeliste"/>
        <w:numPr>
          <w:ilvl w:val="0"/>
          <w:numId w:val="25"/>
        </w:numPr>
        <w:spacing w:after="0"/>
        <w:jc w:val="both"/>
        <w:rPr>
          <w:sz w:val="20"/>
          <w:szCs w:val="20"/>
          <w:highlight w:val="yellow"/>
          <w:lang w:val="en-US"/>
        </w:rPr>
      </w:pPr>
      <w:r w:rsidRPr="00857B81">
        <w:rPr>
          <w:sz w:val="20"/>
          <w:szCs w:val="20"/>
          <w:highlight w:val="yellow"/>
          <w:lang w:val="en-US"/>
        </w:rPr>
        <w:t>Clarify and formalize their designation within urban planning and zoning documents (e.g., SDUB, local development plans), preventing future misuse or land-use conflict.</w:t>
      </w:r>
    </w:p>
    <w:p w14:paraId="3550F090" w14:textId="2A4C1D5E" w:rsidR="41C5DDB7" w:rsidRPr="00857B81" w:rsidRDefault="41C5DDB7" w:rsidP="00DC2CA1">
      <w:pPr>
        <w:spacing w:after="0"/>
        <w:jc w:val="both"/>
        <w:rPr>
          <w:sz w:val="20"/>
          <w:szCs w:val="20"/>
          <w:highlight w:val="yellow"/>
          <w:lang w:val="en-US"/>
        </w:rPr>
      </w:pPr>
      <w:r w:rsidRPr="00857B81">
        <w:rPr>
          <w:sz w:val="20"/>
          <w:szCs w:val="20"/>
          <w:highlight w:val="yellow"/>
          <w:lang w:val="en-US"/>
        </w:rPr>
        <w:t xml:space="preserve">The process will be led by the Bamako District, in close collaboration with the Regional Directorates of Urban Planning and Land </w:t>
      </w:r>
      <w:proofErr w:type="gramStart"/>
      <w:r w:rsidRPr="00857B81">
        <w:rPr>
          <w:sz w:val="20"/>
          <w:szCs w:val="20"/>
          <w:highlight w:val="yellow"/>
          <w:lang w:val="en-US"/>
        </w:rPr>
        <w:t>Registry, and</w:t>
      </w:r>
      <w:proofErr w:type="gramEnd"/>
      <w:r w:rsidRPr="00857B81">
        <w:rPr>
          <w:sz w:val="20"/>
          <w:szCs w:val="20"/>
          <w:highlight w:val="yellow"/>
          <w:lang w:val="en-US"/>
        </w:rPr>
        <w:t xml:space="preserve"> supported by national experts for the preparation of technical files and administrative documentation.</w:t>
      </w:r>
    </w:p>
    <w:p w14:paraId="1ED40C72" w14:textId="5AE143EE" w:rsidR="41C5DDB7" w:rsidRPr="00857B81" w:rsidRDefault="41C5DDB7" w:rsidP="00DC2CA1">
      <w:pPr>
        <w:spacing w:after="0"/>
        <w:jc w:val="both"/>
        <w:rPr>
          <w:sz w:val="20"/>
          <w:szCs w:val="20"/>
          <w:highlight w:val="yellow"/>
          <w:lang w:val="en-US"/>
        </w:rPr>
      </w:pPr>
      <w:r w:rsidRPr="00857B81">
        <w:rPr>
          <w:sz w:val="20"/>
          <w:szCs w:val="20"/>
          <w:highlight w:val="yellow"/>
          <w:lang w:val="en-US"/>
        </w:rPr>
        <w:t xml:space="preserve">A validation workshop will be organized with key stakeholders to confirm the legal status of the green spaces and ensure institutional ownership of the results. </w:t>
      </w:r>
      <w:proofErr w:type="gramStart"/>
      <w:r w:rsidRPr="00857B81">
        <w:rPr>
          <w:sz w:val="20"/>
          <w:szCs w:val="20"/>
          <w:highlight w:val="yellow"/>
          <w:lang w:val="en-US"/>
        </w:rPr>
        <w:t xml:space="preserve">A portfolio of </w:t>
      </w:r>
      <w:r w:rsidRPr="00857B81">
        <w:rPr>
          <w:b/>
          <w:bCs/>
          <w:sz w:val="20"/>
          <w:szCs w:val="20"/>
          <w:highlight w:val="yellow"/>
          <w:lang w:val="en-US"/>
        </w:rPr>
        <w:t>legally secured intra-urban green spaces</w:t>
      </w:r>
      <w:r w:rsidRPr="00857B81">
        <w:rPr>
          <w:sz w:val="20"/>
          <w:szCs w:val="20"/>
          <w:highlight w:val="yellow"/>
          <w:lang w:val="en-US"/>
        </w:rPr>
        <w:t>,</w:t>
      </w:r>
      <w:proofErr w:type="gramEnd"/>
      <w:r w:rsidRPr="00857B81">
        <w:rPr>
          <w:sz w:val="20"/>
          <w:szCs w:val="20"/>
          <w:highlight w:val="yellow"/>
          <w:lang w:val="en-US"/>
        </w:rPr>
        <w:t xml:space="preserve"> formally registered as public or communal assets and protected under existing planning frameworks.</w:t>
      </w:r>
    </w:p>
    <w:p w14:paraId="599EB6E2" w14:textId="7382327D" w:rsidR="41C5DDB7" w:rsidRPr="00857B81" w:rsidRDefault="41C5DDB7" w:rsidP="00DC2CA1">
      <w:pPr>
        <w:spacing w:before="240" w:after="240"/>
        <w:jc w:val="both"/>
        <w:rPr>
          <w:sz w:val="20"/>
          <w:szCs w:val="20"/>
          <w:highlight w:val="yellow"/>
          <w:lang w:val="en-US"/>
        </w:rPr>
      </w:pPr>
      <w:r w:rsidRPr="00857B81">
        <w:rPr>
          <w:sz w:val="20"/>
          <w:szCs w:val="20"/>
          <w:highlight w:val="yellow"/>
          <w:lang w:val="en-US"/>
        </w:rPr>
        <w:t>This activity will contribute to the long-term preservation, accessibility, and equitable use of green spaces in Bamako, reinforcing their role as essential components of inclusive, sustainable, and climate-resilient urban infrastructure.</w:t>
      </w:r>
    </w:p>
    <w:p w14:paraId="40A827FF" w14:textId="77532B57" w:rsidR="41C5DDB7" w:rsidRPr="00857B81" w:rsidRDefault="41C5DDB7" w:rsidP="00DC2CA1">
      <w:pPr>
        <w:jc w:val="both"/>
        <w:rPr>
          <w:highlight w:val="yellow"/>
          <w:lang w:val="en-US"/>
        </w:rPr>
      </w:pPr>
      <w:r w:rsidRPr="00857B81">
        <w:rPr>
          <w:sz w:val="20"/>
          <w:szCs w:val="20"/>
          <w:highlight w:val="yellow"/>
          <w:lang w:val="en-US"/>
        </w:rPr>
        <w:t>It is important to note that while the previous activity shares a similar objective, it targets a different type of land (urban forests versus intra-urban green spaces) managed legally by different partners. Therefore, the two activities serve distinct purposes and cannot be merged.</w:t>
      </w:r>
    </w:p>
    <w:p w14:paraId="340CFA21" w14:textId="2FD1CA22" w:rsidR="004F7DB3" w:rsidRPr="00857B81" w:rsidRDefault="2775ECE0" w:rsidP="5D8904BE">
      <w:pPr>
        <w:rPr>
          <w:i/>
          <w:iCs/>
          <w:color w:val="000000" w:themeColor="text1"/>
          <w:sz w:val="20"/>
          <w:szCs w:val="20"/>
          <w:highlight w:val="yellow"/>
          <w:u w:val="single"/>
          <w:lang w:val="en-US"/>
        </w:rPr>
      </w:pPr>
      <w:r w:rsidRPr="00857B81">
        <w:rPr>
          <w:i/>
          <w:iCs/>
          <w:color w:val="000000" w:themeColor="text1"/>
          <w:sz w:val="20"/>
          <w:szCs w:val="20"/>
          <w:highlight w:val="yellow"/>
          <w:u w:val="single"/>
          <w:lang w:val="en-US"/>
        </w:rPr>
        <w:t xml:space="preserve">Activity 3.1.1.3 Develop and sign a memorandum of understanding for the establishment of an inclusive multi-stakeholder technical committee for monitoring the green belt </w:t>
      </w:r>
    </w:p>
    <w:p w14:paraId="28DD8977" w14:textId="594D63FC" w:rsidR="4AB8782C" w:rsidRPr="00857B81" w:rsidRDefault="4AB8782C" w:rsidP="00DC2CA1">
      <w:pPr>
        <w:spacing w:before="240" w:after="240"/>
        <w:jc w:val="both"/>
        <w:rPr>
          <w:sz w:val="20"/>
          <w:szCs w:val="20"/>
          <w:highlight w:val="yellow"/>
          <w:lang w:val="fr"/>
        </w:rPr>
      </w:pPr>
      <w:r w:rsidRPr="00857B81">
        <w:rPr>
          <w:sz w:val="20"/>
          <w:szCs w:val="20"/>
          <w:highlight w:val="yellow"/>
          <w:lang w:val="en-US"/>
        </w:rPr>
        <w:t xml:space="preserve">Long-term protection and effective management of the Bamako Green Belt require a </w:t>
      </w:r>
      <w:r w:rsidRPr="00857B81">
        <w:rPr>
          <w:b/>
          <w:bCs/>
          <w:sz w:val="20"/>
          <w:szCs w:val="20"/>
          <w:highlight w:val="yellow"/>
          <w:lang w:val="en-US"/>
        </w:rPr>
        <w:t>clear institutional framework, inclusive governance, and sustained coordination</w:t>
      </w:r>
      <w:r w:rsidRPr="00857B81">
        <w:rPr>
          <w:sz w:val="20"/>
          <w:szCs w:val="20"/>
          <w:highlight w:val="yellow"/>
          <w:lang w:val="en-US"/>
        </w:rPr>
        <w:t xml:space="preserve"> among all stakeholders involved in land use, forest management, and urban development. In the absence of a structured mechanism, overlapping mandates, fragmented decision-making, and weak accountability risk undermining the sustainability of Green Belt investments. This activity aims to formalize cooperation and clarify institutional roles through the development and signature of a legally binding Memorandum of Understanding (MoU). The MoU will establish an inclusive, multi-stakeholder technical committee tasked with overseeing the monitoring, governance, and adaptive management of the Green Belt initiative. The </w:t>
      </w:r>
      <w:r w:rsidRPr="00857B81">
        <w:rPr>
          <w:sz w:val="20"/>
          <w:szCs w:val="20"/>
          <w:highlight w:val="yellow"/>
          <w:lang w:val="fr"/>
        </w:rPr>
        <w:t>Key Objectives:</w:t>
      </w:r>
    </w:p>
    <w:p w14:paraId="75CFBD99" w14:textId="0749A87D" w:rsidR="4AB8782C" w:rsidRPr="00857B81" w:rsidRDefault="4AB8782C" w:rsidP="00DC2CA1">
      <w:pPr>
        <w:pStyle w:val="Paragraphedeliste"/>
        <w:numPr>
          <w:ilvl w:val="0"/>
          <w:numId w:val="24"/>
        </w:numPr>
        <w:spacing w:after="0"/>
        <w:jc w:val="both"/>
        <w:rPr>
          <w:sz w:val="20"/>
          <w:szCs w:val="20"/>
          <w:highlight w:val="yellow"/>
          <w:lang w:val="en-US"/>
        </w:rPr>
      </w:pPr>
      <w:r w:rsidRPr="00857B81">
        <w:rPr>
          <w:sz w:val="20"/>
          <w:szCs w:val="20"/>
          <w:highlight w:val="yellow"/>
          <w:lang w:val="en-US"/>
        </w:rPr>
        <w:t xml:space="preserve">Define the roles, responsibilities, and obligations of each party—including public institutions, local authorities, civil society organizations, and community representatives—within a formalized MoU </w:t>
      </w:r>
      <w:proofErr w:type="gramStart"/>
      <w:r w:rsidRPr="00857B81">
        <w:rPr>
          <w:sz w:val="20"/>
          <w:szCs w:val="20"/>
          <w:highlight w:val="yellow"/>
          <w:lang w:val="en-US"/>
        </w:rPr>
        <w:t>framework;</w:t>
      </w:r>
      <w:proofErr w:type="gramEnd"/>
    </w:p>
    <w:p w14:paraId="68108DBE" w14:textId="6D907AC6" w:rsidR="4AB8782C" w:rsidRPr="00857B81" w:rsidRDefault="4AB8782C" w:rsidP="00DC2CA1">
      <w:pPr>
        <w:pStyle w:val="Paragraphedeliste"/>
        <w:numPr>
          <w:ilvl w:val="0"/>
          <w:numId w:val="24"/>
        </w:numPr>
        <w:spacing w:after="0"/>
        <w:jc w:val="both"/>
        <w:rPr>
          <w:sz w:val="20"/>
          <w:szCs w:val="20"/>
          <w:highlight w:val="yellow"/>
          <w:lang w:val="en-US"/>
        </w:rPr>
      </w:pPr>
      <w:r w:rsidRPr="00857B81">
        <w:rPr>
          <w:sz w:val="20"/>
          <w:szCs w:val="20"/>
          <w:highlight w:val="yellow"/>
          <w:lang w:val="en-US"/>
        </w:rPr>
        <w:t xml:space="preserve">Establish a technical monitoring and coordination committee co-chaired by the General Directorate of Water and Forests (GDWF) and the District Municipality of Bamako, ensuring alignment between national environmental policy and local urban development </w:t>
      </w:r>
      <w:proofErr w:type="gramStart"/>
      <w:r w:rsidRPr="00857B81">
        <w:rPr>
          <w:sz w:val="20"/>
          <w:szCs w:val="20"/>
          <w:highlight w:val="yellow"/>
          <w:lang w:val="en-US"/>
        </w:rPr>
        <w:t>strategies;</w:t>
      </w:r>
      <w:proofErr w:type="gramEnd"/>
    </w:p>
    <w:p w14:paraId="5105F432" w14:textId="2BF1307D" w:rsidR="4AB8782C" w:rsidRPr="00857B81" w:rsidRDefault="4AB8782C" w:rsidP="00DC2CA1">
      <w:pPr>
        <w:pStyle w:val="Paragraphedeliste"/>
        <w:numPr>
          <w:ilvl w:val="0"/>
          <w:numId w:val="24"/>
        </w:numPr>
        <w:spacing w:after="0"/>
        <w:jc w:val="both"/>
        <w:rPr>
          <w:sz w:val="20"/>
          <w:szCs w:val="20"/>
          <w:highlight w:val="yellow"/>
          <w:lang w:val="en-US"/>
        </w:rPr>
      </w:pPr>
      <w:r w:rsidRPr="00857B81">
        <w:rPr>
          <w:sz w:val="20"/>
          <w:szCs w:val="20"/>
          <w:highlight w:val="yellow"/>
          <w:lang w:val="en-US"/>
        </w:rPr>
        <w:t xml:space="preserve">Develop a participatory consultation to support transparent decision-making, facilitate conflict resolution, and ensure ongoing monitoring of ecological and social </w:t>
      </w:r>
      <w:proofErr w:type="gramStart"/>
      <w:r w:rsidRPr="00857B81">
        <w:rPr>
          <w:sz w:val="20"/>
          <w:szCs w:val="20"/>
          <w:highlight w:val="yellow"/>
          <w:lang w:val="en-US"/>
        </w:rPr>
        <w:t>performance;</w:t>
      </w:r>
      <w:proofErr w:type="gramEnd"/>
    </w:p>
    <w:p w14:paraId="4F1B7316" w14:textId="601D5B0B" w:rsidR="4AB8782C" w:rsidRPr="00857B81" w:rsidRDefault="4AB8782C" w:rsidP="00DC2CA1">
      <w:pPr>
        <w:pStyle w:val="Paragraphedeliste"/>
        <w:numPr>
          <w:ilvl w:val="0"/>
          <w:numId w:val="24"/>
        </w:numPr>
        <w:spacing w:after="0"/>
        <w:jc w:val="both"/>
        <w:rPr>
          <w:sz w:val="20"/>
          <w:szCs w:val="20"/>
          <w:highlight w:val="yellow"/>
          <w:lang w:val="en-US"/>
        </w:rPr>
      </w:pPr>
      <w:r w:rsidRPr="00857B81">
        <w:rPr>
          <w:sz w:val="20"/>
          <w:szCs w:val="20"/>
          <w:highlight w:val="yellow"/>
          <w:lang w:val="en-US"/>
        </w:rPr>
        <w:t>Guarantee active and equitable participation of women and underrepresented groups, both in the committee’s composition and in decision-making processes, to reflect community priorities and strengthen inclusive governance.</w:t>
      </w:r>
    </w:p>
    <w:p w14:paraId="309E4196" w14:textId="653D1A0E" w:rsidR="0764FF73" w:rsidRPr="00857B81" w:rsidRDefault="0764FF73" w:rsidP="00DC2CA1">
      <w:pPr>
        <w:spacing w:after="0"/>
        <w:jc w:val="both"/>
        <w:rPr>
          <w:sz w:val="20"/>
          <w:szCs w:val="20"/>
          <w:highlight w:val="yellow"/>
          <w:lang w:val="en-US"/>
        </w:rPr>
      </w:pPr>
    </w:p>
    <w:p w14:paraId="203AF03E" w14:textId="2A801D64" w:rsidR="4AB8782C" w:rsidRPr="00857B81" w:rsidRDefault="1BA84269" w:rsidP="00DC2CA1">
      <w:pPr>
        <w:spacing w:after="0"/>
        <w:jc w:val="both"/>
        <w:rPr>
          <w:sz w:val="20"/>
          <w:szCs w:val="20"/>
          <w:highlight w:val="yellow"/>
          <w:lang w:val="en-US"/>
        </w:rPr>
      </w:pPr>
      <w:r w:rsidRPr="00857B81">
        <w:rPr>
          <w:sz w:val="20"/>
          <w:szCs w:val="20"/>
          <w:highlight w:val="yellow"/>
          <w:lang w:val="en-US"/>
        </w:rPr>
        <w:t>A national legal and institutional expert will assist in the preparation of the MoU and the operational setup of the committee. The process will culminate in a validation workshop involving all signatory parties. The committee will have a road map and monitoring framework that guides its operationalization and evaluates its intervention.</w:t>
      </w:r>
    </w:p>
    <w:p w14:paraId="29F5B6A3" w14:textId="5E4E036B" w:rsidR="4AB8782C" w:rsidRPr="00857B81" w:rsidRDefault="3CDD0713" w:rsidP="00DC2CA1">
      <w:pPr>
        <w:jc w:val="both"/>
        <w:rPr>
          <w:highlight w:val="yellow"/>
          <w:lang w:val="en-US"/>
        </w:rPr>
      </w:pPr>
      <w:r w:rsidRPr="00857B81">
        <w:rPr>
          <w:sz w:val="20"/>
          <w:szCs w:val="20"/>
          <w:highlight w:val="yellow"/>
          <w:lang w:val="en-US"/>
        </w:rPr>
        <w:t xml:space="preserve">In addition to the clear mandate for the GDWF when it comes to intervening in forests space, </w:t>
      </w:r>
      <w:r w:rsidR="669C00E8" w:rsidRPr="00857B81">
        <w:rPr>
          <w:sz w:val="20"/>
          <w:szCs w:val="20"/>
          <w:highlight w:val="yellow"/>
          <w:lang w:val="en-US"/>
        </w:rPr>
        <w:t>t</w:t>
      </w:r>
      <w:r w:rsidR="1BA84269" w:rsidRPr="00857B81">
        <w:rPr>
          <w:sz w:val="20"/>
          <w:szCs w:val="20"/>
          <w:highlight w:val="yellow"/>
          <w:lang w:val="en-US"/>
        </w:rPr>
        <w:t xml:space="preserve">his activity will reinforce the </w:t>
      </w:r>
      <w:r w:rsidR="1BA84269" w:rsidRPr="00857B81">
        <w:rPr>
          <w:b/>
          <w:bCs/>
          <w:sz w:val="20"/>
          <w:szCs w:val="20"/>
          <w:highlight w:val="yellow"/>
          <w:lang w:val="en-US"/>
        </w:rPr>
        <w:t>legal legitimacy, institutional coherence, and participatory foundations</w:t>
      </w:r>
      <w:r w:rsidR="1BA84269" w:rsidRPr="00857B81">
        <w:rPr>
          <w:sz w:val="20"/>
          <w:szCs w:val="20"/>
          <w:highlight w:val="yellow"/>
          <w:lang w:val="en-US"/>
        </w:rPr>
        <w:t xml:space="preserve"> of the Green Belt initiative, ensuring that its environmental, social, and economic benefits are sustained and shared equitably.</w:t>
      </w:r>
    </w:p>
    <w:p w14:paraId="428A94A6" w14:textId="758A3CDD" w:rsidR="004F7DB3" w:rsidRPr="00857B81" w:rsidRDefault="28158316" w:rsidP="00DC2CA1">
      <w:pPr>
        <w:jc w:val="both"/>
        <w:rPr>
          <w:i/>
          <w:iCs/>
          <w:color w:val="000000" w:themeColor="text1"/>
          <w:sz w:val="20"/>
          <w:szCs w:val="20"/>
          <w:highlight w:val="yellow"/>
          <w:u w:val="single"/>
          <w:lang w:val="en-US"/>
        </w:rPr>
      </w:pPr>
      <w:r w:rsidRPr="00857B81">
        <w:rPr>
          <w:i/>
          <w:iCs/>
          <w:color w:val="000000" w:themeColor="text1"/>
          <w:sz w:val="20"/>
          <w:szCs w:val="20"/>
          <w:highlight w:val="yellow"/>
          <w:u w:val="single"/>
          <w:lang w:val="en-US"/>
        </w:rPr>
        <w:t>Activity 3.1.1.4 Development of a financing plan for the green belt in Bamako</w:t>
      </w:r>
    </w:p>
    <w:p w14:paraId="64241C3F" w14:textId="19B882D4" w:rsidR="46EA1E3F" w:rsidRPr="00857B81" w:rsidRDefault="46EA1E3F" w:rsidP="00DC2CA1">
      <w:pPr>
        <w:spacing w:after="0"/>
        <w:jc w:val="both"/>
        <w:rPr>
          <w:sz w:val="20"/>
          <w:szCs w:val="20"/>
          <w:highlight w:val="yellow"/>
          <w:lang w:val="en-US"/>
        </w:rPr>
      </w:pPr>
      <w:r w:rsidRPr="00857B81">
        <w:rPr>
          <w:sz w:val="20"/>
          <w:szCs w:val="20"/>
          <w:highlight w:val="yellow"/>
          <w:lang w:val="en-US"/>
        </w:rPr>
        <w:lastRenderedPageBreak/>
        <w:t xml:space="preserve">Ensuring the long-term viability and impact of the Bamako Green Belt requires not only strong governance and institutional frameworks but also </w:t>
      </w:r>
      <w:r w:rsidRPr="00857B81">
        <w:rPr>
          <w:b/>
          <w:bCs/>
          <w:sz w:val="20"/>
          <w:szCs w:val="20"/>
          <w:highlight w:val="yellow"/>
          <w:lang w:val="en-US"/>
        </w:rPr>
        <w:t>predictable, diversified, and sustainable financing</w:t>
      </w:r>
      <w:r w:rsidRPr="00857B81">
        <w:rPr>
          <w:sz w:val="20"/>
          <w:szCs w:val="20"/>
          <w:highlight w:val="yellow"/>
          <w:lang w:val="en-US"/>
        </w:rPr>
        <w:t>. Currently, financial resources for the maintenance and enhancement of urban green spaces and forests are fragmented, limited, and not systematically embedded in local planning tools.</w:t>
      </w:r>
    </w:p>
    <w:p w14:paraId="28F56C98" w14:textId="35C79BA4" w:rsidR="46EA1E3F" w:rsidRPr="00857B81" w:rsidRDefault="46EA1E3F" w:rsidP="00DC2CA1">
      <w:pPr>
        <w:spacing w:after="0"/>
        <w:jc w:val="both"/>
        <w:rPr>
          <w:sz w:val="20"/>
          <w:szCs w:val="20"/>
          <w:highlight w:val="yellow"/>
          <w:lang w:val="fr"/>
        </w:rPr>
      </w:pPr>
      <w:r w:rsidRPr="00857B81">
        <w:rPr>
          <w:sz w:val="20"/>
          <w:szCs w:val="20"/>
          <w:highlight w:val="yellow"/>
          <w:lang w:val="en-US"/>
        </w:rPr>
        <w:t xml:space="preserve">This activity will apply the </w:t>
      </w:r>
      <w:r w:rsidRPr="00857B81">
        <w:rPr>
          <w:b/>
          <w:bCs/>
          <w:sz w:val="20"/>
          <w:szCs w:val="20"/>
          <w:highlight w:val="yellow"/>
          <w:lang w:val="en-US"/>
        </w:rPr>
        <w:t>Biodiversity Finance Initiative (BIOFIN) methodology</w:t>
      </w:r>
      <w:r w:rsidRPr="00857B81">
        <w:rPr>
          <w:sz w:val="20"/>
          <w:szCs w:val="20"/>
          <w:highlight w:val="yellow"/>
          <w:lang w:val="en-US"/>
        </w:rPr>
        <w:t xml:space="preserve"> to develop a comprehensive </w:t>
      </w:r>
      <w:r w:rsidRPr="00857B81">
        <w:rPr>
          <w:b/>
          <w:bCs/>
          <w:sz w:val="20"/>
          <w:szCs w:val="20"/>
          <w:highlight w:val="yellow"/>
          <w:lang w:val="en-US"/>
        </w:rPr>
        <w:t>financing strategy for the Green Belt</w:t>
      </w:r>
      <w:r w:rsidRPr="00857B81">
        <w:rPr>
          <w:sz w:val="20"/>
          <w:szCs w:val="20"/>
          <w:highlight w:val="yellow"/>
          <w:lang w:val="en-US"/>
        </w:rPr>
        <w:t xml:space="preserve">, aiming to close the funding gap for conservation, management, and restoration activities over time. The strategy will be designed to be realistic, gender-responsive, and integrated into existing urban development frameworks and budgetary cycles. Its </w:t>
      </w:r>
      <w:r w:rsidRPr="00857B81">
        <w:rPr>
          <w:sz w:val="20"/>
          <w:szCs w:val="20"/>
          <w:highlight w:val="yellow"/>
          <w:lang w:val="fr"/>
        </w:rPr>
        <w:t>Key Objectives:</w:t>
      </w:r>
    </w:p>
    <w:p w14:paraId="42176823" w14:textId="02D83E7C" w:rsidR="46EA1E3F" w:rsidRPr="00857B81" w:rsidRDefault="46EA1E3F" w:rsidP="00DC2CA1">
      <w:pPr>
        <w:pStyle w:val="Paragraphedeliste"/>
        <w:numPr>
          <w:ilvl w:val="0"/>
          <w:numId w:val="23"/>
        </w:numPr>
        <w:spacing w:after="0"/>
        <w:jc w:val="both"/>
        <w:rPr>
          <w:sz w:val="20"/>
          <w:szCs w:val="20"/>
          <w:highlight w:val="yellow"/>
          <w:lang w:val="en-US"/>
        </w:rPr>
      </w:pPr>
      <w:r w:rsidRPr="00857B81">
        <w:rPr>
          <w:sz w:val="20"/>
          <w:szCs w:val="20"/>
          <w:highlight w:val="yellow"/>
          <w:lang w:val="en-US"/>
        </w:rPr>
        <w:t xml:space="preserve">Conduct a financial needs assessment for the implementation and maintenance of the Green Belt, based on the management plans and ecological targets defined in Component </w:t>
      </w:r>
      <w:proofErr w:type="gramStart"/>
      <w:r w:rsidRPr="00857B81">
        <w:rPr>
          <w:sz w:val="20"/>
          <w:szCs w:val="20"/>
          <w:highlight w:val="yellow"/>
          <w:lang w:val="en-US"/>
        </w:rPr>
        <w:t>3;</w:t>
      </w:r>
      <w:proofErr w:type="gramEnd"/>
    </w:p>
    <w:p w14:paraId="60FA03C3" w14:textId="1A629705" w:rsidR="46EA1E3F" w:rsidRPr="00857B81" w:rsidRDefault="46EA1E3F" w:rsidP="00DC2CA1">
      <w:pPr>
        <w:pStyle w:val="Paragraphedeliste"/>
        <w:numPr>
          <w:ilvl w:val="0"/>
          <w:numId w:val="23"/>
        </w:numPr>
        <w:spacing w:after="0"/>
        <w:jc w:val="both"/>
        <w:rPr>
          <w:sz w:val="20"/>
          <w:szCs w:val="20"/>
          <w:highlight w:val="yellow"/>
          <w:lang w:val="en-US"/>
        </w:rPr>
      </w:pPr>
      <w:r w:rsidRPr="00857B81">
        <w:rPr>
          <w:sz w:val="20"/>
          <w:szCs w:val="20"/>
          <w:highlight w:val="yellow"/>
          <w:lang w:val="en-US"/>
        </w:rPr>
        <w:t xml:space="preserve">Identify and map existing and potential funding sources, including public funds (e.g., municipal budgets, national transfers), environmental taxes, climate finance, biodiversity offsets, private sector contributions, and community-based </w:t>
      </w:r>
      <w:proofErr w:type="gramStart"/>
      <w:r w:rsidRPr="00857B81">
        <w:rPr>
          <w:sz w:val="20"/>
          <w:szCs w:val="20"/>
          <w:highlight w:val="yellow"/>
          <w:lang w:val="en-US"/>
        </w:rPr>
        <w:t>mechanisms;</w:t>
      </w:r>
      <w:proofErr w:type="gramEnd"/>
    </w:p>
    <w:p w14:paraId="41501DE0" w14:textId="42E20DB6" w:rsidR="46EA1E3F" w:rsidRPr="00857B81" w:rsidRDefault="46EA1E3F" w:rsidP="00DC2CA1">
      <w:pPr>
        <w:pStyle w:val="Paragraphedeliste"/>
        <w:numPr>
          <w:ilvl w:val="0"/>
          <w:numId w:val="23"/>
        </w:numPr>
        <w:spacing w:after="0"/>
        <w:jc w:val="both"/>
        <w:rPr>
          <w:sz w:val="20"/>
          <w:szCs w:val="20"/>
          <w:highlight w:val="yellow"/>
          <w:lang w:val="en-US"/>
        </w:rPr>
      </w:pPr>
      <w:r w:rsidRPr="00857B81">
        <w:rPr>
          <w:sz w:val="20"/>
          <w:szCs w:val="20"/>
          <w:highlight w:val="yellow"/>
          <w:lang w:val="en-US"/>
        </w:rPr>
        <w:t xml:space="preserve">Propose innovative and context-appropriate financing mechanisms, such as payment for ecosystem services, green fees, ecological tourism revenues, and partnerships with the private sector and international </w:t>
      </w:r>
      <w:proofErr w:type="gramStart"/>
      <w:r w:rsidRPr="00857B81">
        <w:rPr>
          <w:sz w:val="20"/>
          <w:szCs w:val="20"/>
          <w:highlight w:val="yellow"/>
          <w:lang w:val="en-US"/>
        </w:rPr>
        <w:t>donors;</w:t>
      </w:r>
      <w:proofErr w:type="gramEnd"/>
    </w:p>
    <w:p w14:paraId="49A85BEC" w14:textId="023501D1" w:rsidR="46EA1E3F" w:rsidRPr="00857B81" w:rsidRDefault="46EA1E3F" w:rsidP="00DC2CA1">
      <w:pPr>
        <w:pStyle w:val="Paragraphedeliste"/>
        <w:numPr>
          <w:ilvl w:val="0"/>
          <w:numId w:val="23"/>
        </w:numPr>
        <w:spacing w:after="0"/>
        <w:jc w:val="both"/>
        <w:rPr>
          <w:sz w:val="20"/>
          <w:szCs w:val="20"/>
          <w:highlight w:val="yellow"/>
          <w:lang w:val="en-US"/>
        </w:rPr>
      </w:pPr>
      <w:r w:rsidRPr="00857B81">
        <w:rPr>
          <w:sz w:val="20"/>
          <w:szCs w:val="20"/>
          <w:highlight w:val="yellow"/>
          <w:lang w:val="en-US"/>
        </w:rPr>
        <w:t xml:space="preserve">Integrate the financing plan into Bamako’s local development strategies and medium-term expenditure frameworks to ensure institutional anchoring and annual budget </w:t>
      </w:r>
      <w:proofErr w:type="gramStart"/>
      <w:r w:rsidRPr="00857B81">
        <w:rPr>
          <w:sz w:val="20"/>
          <w:szCs w:val="20"/>
          <w:highlight w:val="yellow"/>
          <w:lang w:val="en-US"/>
        </w:rPr>
        <w:t>allocations;</w:t>
      </w:r>
      <w:proofErr w:type="gramEnd"/>
    </w:p>
    <w:p w14:paraId="5EC92D05" w14:textId="21B6C327" w:rsidR="46EA1E3F" w:rsidRPr="00857B81" w:rsidRDefault="46EA1E3F" w:rsidP="00DC2CA1">
      <w:pPr>
        <w:pStyle w:val="Paragraphedeliste"/>
        <w:numPr>
          <w:ilvl w:val="0"/>
          <w:numId w:val="23"/>
        </w:numPr>
        <w:spacing w:after="0"/>
        <w:jc w:val="both"/>
        <w:rPr>
          <w:sz w:val="20"/>
          <w:szCs w:val="20"/>
          <w:highlight w:val="yellow"/>
          <w:lang w:val="en-US"/>
        </w:rPr>
      </w:pPr>
      <w:r w:rsidRPr="00857B81">
        <w:rPr>
          <w:sz w:val="20"/>
          <w:szCs w:val="20"/>
          <w:highlight w:val="yellow"/>
          <w:lang w:val="en-US"/>
        </w:rPr>
        <w:t>Support resource mobilization efforts through stakeholder engagement, particularly with the Ministry of Finance, international partners, and local private actors.</w:t>
      </w:r>
    </w:p>
    <w:p w14:paraId="4D803DF8" w14:textId="617E5A59" w:rsidR="46EA1E3F" w:rsidRPr="00857B81" w:rsidRDefault="46EA1E3F" w:rsidP="00DC2CA1">
      <w:pPr>
        <w:spacing w:after="0"/>
        <w:jc w:val="both"/>
        <w:rPr>
          <w:sz w:val="20"/>
          <w:szCs w:val="20"/>
          <w:highlight w:val="yellow"/>
          <w:lang w:val="en-US"/>
        </w:rPr>
      </w:pPr>
      <w:r w:rsidRPr="00857B81">
        <w:rPr>
          <w:sz w:val="20"/>
          <w:szCs w:val="20"/>
          <w:highlight w:val="yellow"/>
          <w:lang w:val="en-US"/>
        </w:rPr>
        <w:t>Two validation workshops will be organized to secure institutional buy-in and align the financing strategy with national and local planning processes. The General Directorate of Water and Forests</w:t>
      </w:r>
      <w:r w:rsidRPr="00857B81">
        <w:rPr>
          <w:b/>
          <w:bCs/>
          <w:sz w:val="20"/>
          <w:szCs w:val="20"/>
          <w:highlight w:val="yellow"/>
          <w:lang w:val="en-US"/>
        </w:rPr>
        <w:t xml:space="preserve"> </w:t>
      </w:r>
      <w:r w:rsidRPr="00857B81">
        <w:rPr>
          <w:sz w:val="20"/>
          <w:szCs w:val="20"/>
          <w:highlight w:val="yellow"/>
          <w:lang w:val="en-US"/>
        </w:rPr>
        <w:t xml:space="preserve">and Bamako District City Hall will </w:t>
      </w:r>
      <w:proofErr w:type="spellStart"/>
      <w:r w:rsidRPr="00857B81">
        <w:rPr>
          <w:sz w:val="20"/>
          <w:szCs w:val="20"/>
          <w:highlight w:val="yellow"/>
          <w:lang w:val="en-US"/>
        </w:rPr>
        <w:t>colead</w:t>
      </w:r>
      <w:proofErr w:type="spellEnd"/>
      <w:r w:rsidRPr="00857B81">
        <w:rPr>
          <w:sz w:val="20"/>
          <w:szCs w:val="20"/>
          <w:highlight w:val="yellow"/>
          <w:lang w:val="en-US"/>
        </w:rPr>
        <w:t xml:space="preserve"> the activity, to ensure ownership, alignment with broader climate and biodiversity financing strategies, and long-term integration into local governance.</w:t>
      </w:r>
    </w:p>
    <w:p w14:paraId="4970C2C0" w14:textId="7CC281EE" w:rsidR="46EA1E3F" w:rsidRPr="00857B81" w:rsidRDefault="46EA1E3F" w:rsidP="00DC2CA1">
      <w:pPr>
        <w:jc w:val="both"/>
        <w:rPr>
          <w:highlight w:val="yellow"/>
          <w:lang w:val="en-US"/>
        </w:rPr>
      </w:pPr>
      <w:r w:rsidRPr="00857B81">
        <w:rPr>
          <w:sz w:val="20"/>
          <w:szCs w:val="20"/>
          <w:highlight w:val="yellow"/>
          <w:lang w:val="en-US"/>
        </w:rPr>
        <w:t xml:space="preserve">This activity will provide a critical financial foundation for the Green Belt’s </w:t>
      </w:r>
      <w:proofErr w:type="gramStart"/>
      <w:r w:rsidRPr="00857B81">
        <w:rPr>
          <w:sz w:val="20"/>
          <w:szCs w:val="20"/>
          <w:highlight w:val="yellow"/>
          <w:lang w:val="en-US"/>
        </w:rPr>
        <w:t>sustainability, and</w:t>
      </w:r>
      <w:proofErr w:type="gramEnd"/>
      <w:r w:rsidRPr="00857B81">
        <w:rPr>
          <w:sz w:val="20"/>
          <w:szCs w:val="20"/>
          <w:highlight w:val="yellow"/>
          <w:lang w:val="en-US"/>
        </w:rPr>
        <w:t xml:space="preserve"> will be developed in </w:t>
      </w:r>
      <w:r w:rsidRPr="00857B81">
        <w:rPr>
          <w:b/>
          <w:bCs/>
          <w:sz w:val="20"/>
          <w:szCs w:val="20"/>
          <w:highlight w:val="yellow"/>
          <w:lang w:val="en-US"/>
        </w:rPr>
        <w:t>close coordination with Activity 1.2.1.1</w:t>
      </w:r>
      <w:r w:rsidRPr="00857B81">
        <w:rPr>
          <w:sz w:val="20"/>
          <w:szCs w:val="20"/>
          <w:highlight w:val="yellow"/>
          <w:lang w:val="en-US"/>
        </w:rPr>
        <w:t>, which lays the foundational policy, legal, and financial architecture for green investment in Bamako. By ensuring alignment between the Green Belt financing strategy and the broader enabling environment for sustainable urban investments, the project will promote coherent resource mobilization, reduce duplication, and maximize the catalytic impact of nature-based solutions on Bamako’s climate and development goals.</w:t>
      </w:r>
    </w:p>
    <w:p w14:paraId="6BACC94C" w14:textId="750535C6" w:rsidR="004F7DB3" w:rsidRPr="008B4232" w:rsidRDefault="28158316" w:rsidP="00DC2CA1">
      <w:pPr>
        <w:jc w:val="both"/>
        <w:rPr>
          <w:b/>
          <w:bCs/>
          <w:color w:val="000000" w:themeColor="text1"/>
          <w:sz w:val="20"/>
          <w:szCs w:val="20"/>
          <w:lang w:val="en-US"/>
        </w:rPr>
      </w:pPr>
      <w:r w:rsidRPr="008B4232">
        <w:rPr>
          <w:b/>
          <w:bCs/>
          <w:color w:val="000000" w:themeColor="text1"/>
          <w:sz w:val="20"/>
          <w:szCs w:val="20"/>
          <w:lang w:val="en-US"/>
        </w:rPr>
        <w:t>Output 3.1.2: Capacities of institutions and local communities in knowledge and monitoring of green spaces and forests in Bamako are strengthened</w:t>
      </w:r>
    </w:p>
    <w:p w14:paraId="1B1C8755" w14:textId="488BF723" w:rsidR="0019419D" w:rsidRPr="007F4912" w:rsidRDefault="58253109" w:rsidP="00DC2CA1">
      <w:pPr>
        <w:jc w:val="both"/>
        <w:rPr>
          <w:color w:val="000000" w:themeColor="text1"/>
          <w:sz w:val="20"/>
          <w:szCs w:val="20"/>
          <w:lang w:val="en-US"/>
        </w:rPr>
      </w:pPr>
      <w:r w:rsidRPr="5D8904BE">
        <w:rPr>
          <w:color w:val="000000" w:themeColor="text1"/>
          <w:sz w:val="20"/>
          <w:szCs w:val="20"/>
          <w:lang w:val="en-US"/>
        </w:rPr>
        <w:t>Output 3.1.2 is designed to strengthen the capacities of institutions and local communities in the knowledge, monitoring, and sustainable management of Bamako’s forests and green spaces. Addressing critical gaps in data and information systems, this output seeks to establish a robust and participatory framework for the regular assessment and tracking of natural resources in the District of Bamako.</w:t>
      </w:r>
    </w:p>
    <w:p w14:paraId="308079B5" w14:textId="77777777" w:rsidR="0019419D" w:rsidRPr="007F4912" w:rsidRDefault="0019419D" w:rsidP="00DC2CA1">
      <w:pPr>
        <w:jc w:val="both"/>
        <w:rPr>
          <w:color w:val="000000" w:themeColor="text1"/>
          <w:sz w:val="20"/>
          <w:szCs w:val="20"/>
          <w:lang w:val="en-US"/>
        </w:rPr>
      </w:pPr>
      <w:r w:rsidRPr="007F4912">
        <w:rPr>
          <w:color w:val="000000" w:themeColor="text1"/>
          <w:sz w:val="20"/>
          <w:szCs w:val="20"/>
          <w:lang w:val="en-US"/>
        </w:rPr>
        <w:t>Central to this effort is the implementation of participatory inventories that will generate up-to-date, reliable data on forest and green space resources, while simultaneously enhancing the Forest Information System (SIFOR) through the integration of modern technologies and standardized monitoring protocols. This approach ensures that natural resource dynamics are continuously tracked and effectively managed.</w:t>
      </w:r>
    </w:p>
    <w:p w14:paraId="4BC9E693" w14:textId="77777777" w:rsidR="0019419D" w:rsidRPr="007F4912" w:rsidRDefault="58253109" w:rsidP="00DC2CA1">
      <w:pPr>
        <w:jc w:val="both"/>
        <w:rPr>
          <w:color w:val="000000" w:themeColor="text1"/>
          <w:sz w:val="20"/>
          <w:szCs w:val="20"/>
          <w:lang w:val="en-US"/>
        </w:rPr>
      </w:pPr>
      <w:r w:rsidRPr="5D8904BE">
        <w:rPr>
          <w:color w:val="000000" w:themeColor="text1"/>
          <w:sz w:val="20"/>
          <w:szCs w:val="20"/>
          <w:lang w:val="en-US"/>
        </w:rPr>
        <w:t xml:space="preserve">Complementing this technical foundation, targeted social </w:t>
      </w:r>
      <w:proofErr w:type="spellStart"/>
      <w:r w:rsidRPr="5D8904BE">
        <w:rPr>
          <w:color w:val="000000" w:themeColor="text1"/>
          <w:sz w:val="20"/>
          <w:szCs w:val="20"/>
          <w:lang w:val="en-US"/>
        </w:rPr>
        <w:t>behaviour</w:t>
      </w:r>
      <w:proofErr w:type="spellEnd"/>
      <w:r w:rsidRPr="5D8904BE">
        <w:rPr>
          <w:color w:val="000000" w:themeColor="text1"/>
          <w:sz w:val="20"/>
          <w:szCs w:val="20"/>
          <w:lang w:val="en-US"/>
        </w:rPr>
        <w:t xml:space="preserve"> change interventions will engage local communities, private entrepreneurs, and authorities to foster responsible stewardship. These interventions include educational sessions on sustainable management practices, reforestation, fire prevention, and green space maintenance, alongside the dissemination of tailored communication materials for diverse audiences—from schoolchildren to the wider public—highlighting the ecological and social importance of urban forests and green areas.</w:t>
      </w:r>
    </w:p>
    <w:p w14:paraId="1B9F7CBB" w14:textId="77777777" w:rsidR="0019419D" w:rsidRPr="007F4912" w:rsidRDefault="0019419D" w:rsidP="00DC2CA1">
      <w:pPr>
        <w:jc w:val="both"/>
        <w:rPr>
          <w:color w:val="000000" w:themeColor="text1"/>
          <w:sz w:val="20"/>
          <w:szCs w:val="20"/>
          <w:lang w:val="en-US"/>
        </w:rPr>
      </w:pPr>
      <w:r w:rsidRPr="007F4912">
        <w:rPr>
          <w:color w:val="000000" w:themeColor="text1"/>
          <w:sz w:val="20"/>
          <w:szCs w:val="20"/>
          <w:lang w:val="en-US"/>
        </w:rPr>
        <w:t>Together, these activities aim to empower all stakeholders with the knowledge, tools, and motivation necessary for the long-term preservation and enhancement of Bamako’s vital green assets, contributing to the city’s environmental resilience and quality of life.</w:t>
      </w:r>
    </w:p>
    <w:p w14:paraId="1FD6E004" w14:textId="282245B5" w:rsidR="004F7DB3" w:rsidRPr="00E86501" w:rsidRDefault="2775ECE0" w:rsidP="00DC2CA1">
      <w:pPr>
        <w:jc w:val="both"/>
        <w:rPr>
          <w:color w:val="000000" w:themeColor="text1"/>
          <w:sz w:val="20"/>
          <w:szCs w:val="20"/>
          <w:highlight w:val="cyan"/>
          <w:lang w:val="en-US"/>
        </w:rPr>
      </w:pPr>
      <w:r w:rsidRPr="00E86501">
        <w:rPr>
          <w:i/>
          <w:iCs/>
          <w:color w:val="000000" w:themeColor="text1"/>
          <w:sz w:val="20"/>
          <w:szCs w:val="20"/>
          <w:highlight w:val="cyan"/>
          <w:u w:val="single"/>
          <w:lang w:val="en-US"/>
        </w:rPr>
        <w:lastRenderedPageBreak/>
        <w:t>Activity 3.1.2.1</w:t>
      </w:r>
      <w:r w:rsidR="00034C18" w:rsidRPr="00E86501">
        <w:rPr>
          <w:i/>
          <w:iCs/>
          <w:color w:val="000000" w:themeColor="text1"/>
          <w:sz w:val="20"/>
          <w:szCs w:val="20"/>
          <w:highlight w:val="cyan"/>
          <w:u w:val="single"/>
          <w:lang w:val="en-US"/>
        </w:rPr>
        <w:t xml:space="preserve"> Participatory inventory and feasibility analysis for the development</w:t>
      </w:r>
      <w:r w:rsidR="00B35249" w:rsidRPr="00E86501">
        <w:rPr>
          <w:i/>
          <w:iCs/>
          <w:color w:val="000000" w:themeColor="text1"/>
          <w:sz w:val="20"/>
          <w:szCs w:val="20"/>
          <w:highlight w:val="cyan"/>
          <w:u w:val="single"/>
          <w:lang w:val="en-US"/>
        </w:rPr>
        <w:t xml:space="preserve"> and monitoring</w:t>
      </w:r>
      <w:r w:rsidR="00034C18" w:rsidRPr="00E86501">
        <w:rPr>
          <w:i/>
          <w:iCs/>
          <w:color w:val="000000" w:themeColor="text1"/>
          <w:sz w:val="20"/>
          <w:szCs w:val="20"/>
          <w:highlight w:val="cyan"/>
          <w:u w:val="single"/>
          <w:lang w:val="en-US"/>
        </w:rPr>
        <w:t xml:space="preserve"> of Bamako’s forests and green spaces</w:t>
      </w:r>
    </w:p>
    <w:p w14:paraId="5601A4AF" w14:textId="60AB2E8C" w:rsidR="000E3372" w:rsidRPr="00E86501" w:rsidRDefault="000E3372" w:rsidP="000E3372">
      <w:pPr>
        <w:jc w:val="both"/>
        <w:rPr>
          <w:color w:val="000000" w:themeColor="text1"/>
          <w:sz w:val="20"/>
          <w:szCs w:val="20"/>
          <w:highlight w:val="cyan"/>
          <w:lang w:val="en-US"/>
        </w:rPr>
      </w:pPr>
      <w:r w:rsidRPr="00E86501">
        <w:rPr>
          <w:color w:val="000000" w:themeColor="text1"/>
          <w:sz w:val="20"/>
          <w:szCs w:val="20"/>
          <w:highlight w:val="cyan"/>
          <w:lang w:val="en-US"/>
        </w:rPr>
        <w:t>This activity aims to secure, conserve, and sustainably develop the vulnerable forest</w:t>
      </w:r>
      <w:r w:rsidR="00441E39">
        <w:rPr>
          <w:color w:val="000000" w:themeColor="text1"/>
          <w:sz w:val="20"/>
          <w:szCs w:val="20"/>
          <w:highlight w:val="cyan"/>
          <w:lang w:val="en-US"/>
        </w:rPr>
        <w:t>s</w:t>
      </w:r>
      <w:r w:rsidRPr="00E86501">
        <w:rPr>
          <w:color w:val="000000" w:themeColor="text1"/>
          <w:sz w:val="20"/>
          <w:szCs w:val="20"/>
          <w:highlight w:val="cyan"/>
          <w:lang w:val="en-US"/>
        </w:rPr>
        <w:t xml:space="preserve"> of Bamako’s Green Belt by combining a participatory forest inventory with a comprehensive feasibility study. These areas, originally intended as ecological buffers, are increasingly threatened by rapid urbanization, land conversion, and unsustainable resource extraction. Led by the General Directorate of Water and Forests (DGEF), the activity will generate the knowledge, digital tools, and management scenarios required to safeguard these zones and integrate them effectively into the Green Belt strategy.</w:t>
      </w:r>
    </w:p>
    <w:p w14:paraId="5776322C" w14:textId="45D8FC35" w:rsidR="005641BB" w:rsidRPr="00E86501" w:rsidRDefault="005641BB" w:rsidP="005641BB">
      <w:pPr>
        <w:jc w:val="both"/>
        <w:rPr>
          <w:sz w:val="20"/>
          <w:szCs w:val="20"/>
          <w:highlight w:val="cyan"/>
          <w:lang w:val="en-US"/>
        </w:rPr>
      </w:pPr>
      <w:r w:rsidRPr="00E86501">
        <w:rPr>
          <w:sz w:val="20"/>
          <w:szCs w:val="20"/>
          <w:highlight w:val="cyan"/>
          <w:lang w:val="en-US"/>
        </w:rPr>
        <w:t xml:space="preserve">A </w:t>
      </w:r>
      <w:r w:rsidRPr="00E86501">
        <w:rPr>
          <w:b/>
          <w:bCs/>
          <w:sz w:val="20"/>
          <w:szCs w:val="20"/>
          <w:highlight w:val="cyan"/>
          <w:lang w:val="en-US"/>
        </w:rPr>
        <w:t>participatory inventory</w:t>
      </w:r>
      <w:r w:rsidRPr="00E86501">
        <w:rPr>
          <w:sz w:val="20"/>
          <w:szCs w:val="20"/>
          <w:highlight w:val="cyan"/>
          <w:lang w:val="en-US"/>
        </w:rPr>
        <w:t xml:space="preserve"> of forest resources and green spaces will be conducted with local communities, civil society organizations, and technical services. This work will be accompanied by the strengthening and operationalization of the </w:t>
      </w:r>
      <w:r w:rsidRPr="00E86501">
        <w:rPr>
          <w:b/>
          <w:bCs/>
          <w:sz w:val="20"/>
          <w:szCs w:val="20"/>
          <w:highlight w:val="cyan"/>
          <w:lang w:val="en-US"/>
        </w:rPr>
        <w:t>Forest Information System (SIFOR)</w:t>
      </w:r>
      <w:r w:rsidRPr="00E86501">
        <w:rPr>
          <w:sz w:val="20"/>
          <w:szCs w:val="20"/>
          <w:highlight w:val="cyan"/>
          <w:lang w:val="en-US"/>
        </w:rPr>
        <w:t xml:space="preserve"> through GIS upgrades, drone imagery, mobile data collection, and standardized data protocols aligned with national and international guidelines. The improved SIFOR will enable real-time monitoring, better interoperability with land-use and biodiversity databases, and </w:t>
      </w:r>
      <w:r w:rsidR="308595C9" w:rsidRPr="1462A499">
        <w:rPr>
          <w:sz w:val="20"/>
          <w:szCs w:val="20"/>
          <w:highlight w:val="cyan"/>
          <w:lang w:val="en-US"/>
        </w:rPr>
        <w:t>enhance</w:t>
      </w:r>
      <w:r w:rsidRPr="00E86501">
        <w:rPr>
          <w:sz w:val="20"/>
          <w:szCs w:val="20"/>
          <w:highlight w:val="cyan"/>
          <w:lang w:val="en-US"/>
        </w:rPr>
        <w:t xml:space="preserve"> transparency and coordination among institutions.</w:t>
      </w:r>
    </w:p>
    <w:p w14:paraId="37AE539D" w14:textId="77777777" w:rsidR="005641BB" w:rsidRPr="00E86501" w:rsidRDefault="007A6D00" w:rsidP="005641BB">
      <w:pPr>
        <w:jc w:val="both"/>
        <w:rPr>
          <w:sz w:val="20"/>
          <w:szCs w:val="20"/>
          <w:highlight w:val="cyan"/>
          <w:lang w:val="en-US"/>
        </w:rPr>
      </w:pPr>
      <w:r>
        <w:rPr>
          <w:sz w:val="20"/>
          <w:szCs w:val="20"/>
          <w:highlight w:val="cyan"/>
          <w:lang w:val="en-US"/>
        </w:rPr>
        <w:t xml:space="preserve">As a second </w:t>
      </w:r>
      <w:r w:rsidR="00846D3C">
        <w:rPr>
          <w:sz w:val="20"/>
          <w:szCs w:val="20"/>
          <w:highlight w:val="cyan"/>
          <w:lang w:val="en-US"/>
        </w:rPr>
        <w:t>sub-activity</w:t>
      </w:r>
      <w:r w:rsidR="005641BB" w:rsidRPr="00E86501">
        <w:rPr>
          <w:sz w:val="20"/>
          <w:szCs w:val="20"/>
          <w:highlight w:val="cyan"/>
          <w:lang w:val="en-US"/>
        </w:rPr>
        <w:t xml:space="preserve">, a </w:t>
      </w:r>
      <w:r w:rsidR="005641BB" w:rsidRPr="00E86501">
        <w:rPr>
          <w:b/>
          <w:bCs/>
          <w:sz w:val="20"/>
          <w:szCs w:val="20"/>
          <w:highlight w:val="cyan"/>
          <w:lang w:val="en-US"/>
        </w:rPr>
        <w:t>feasibility study</w:t>
      </w:r>
      <w:r w:rsidR="005641BB" w:rsidRPr="00E86501">
        <w:rPr>
          <w:sz w:val="20"/>
          <w:szCs w:val="20"/>
          <w:highlight w:val="cyan"/>
          <w:lang w:val="en-US"/>
        </w:rPr>
        <w:t xml:space="preserve"> will assess ecological and socio-economic conditions</w:t>
      </w:r>
      <w:r w:rsidR="00441E39">
        <w:rPr>
          <w:sz w:val="20"/>
          <w:szCs w:val="20"/>
          <w:highlight w:val="cyan"/>
          <w:lang w:val="en-US"/>
        </w:rPr>
        <w:t xml:space="preserve"> of the</w:t>
      </w:r>
      <w:r w:rsidR="00A87C35">
        <w:rPr>
          <w:sz w:val="20"/>
          <w:szCs w:val="20"/>
          <w:highlight w:val="cyan"/>
          <w:lang w:val="en-US"/>
        </w:rPr>
        <w:t xml:space="preserve"> </w:t>
      </w:r>
      <w:r w:rsidR="00A87C35" w:rsidRPr="00D648D8">
        <w:rPr>
          <w:color w:val="000000" w:themeColor="text1"/>
          <w:sz w:val="20"/>
          <w:szCs w:val="20"/>
          <w:highlight w:val="cyan"/>
          <w:lang w:val="en-US"/>
        </w:rPr>
        <w:t xml:space="preserve">strips located to the southeast and </w:t>
      </w:r>
      <w:r w:rsidR="00635F80" w:rsidRPr="00D648D8">
        <w:rPr>
          <w:color w:val="000000" w:themeColor="text1"/>
          <w:sz w:val="20"/>
          <w:szCs w:val="20"/>
          <w:highlight w:val="cyan"/>
          <w:lang w:val="en-US"/>
        </w:rPr>
        <w:t>northeast</w:t>
      </w:r>
      <w:r w:rsidR="00635F80">
        <w:rPr>
          <w:sz w:val="20"/>
          <w:szCs w:val="20"/>
          <w:highlight w:val="cyan"/>
          <w:lang w:val="en-US"/>
        </w:rPr>
        <w:t>;</w:t>
      </w:r>
      <w:r w:rsidR="005641BB" w:rsidRPr="00E86501">
        <w:rPr>
          <w:sz w:val="20"/>
          <w:szCs w:val="20"/>
          <w:highlight w:val="cyan"/>
          <w:lang w:val="en-US"/>
        </w:rPr>
        <w:t xml:space="preserve"> analyze current land use and ecosystem services; and propose zoning and land-use scenarios prioritizing conservation, restoration, and sustainable economic use. The study will identify nature-based, gender-responsive livelihood opportunities (e.g., ecotourism, sustainable harvesting, agroforestry) to strengthen local stewardship. It will also propose institutional and legal arrangements for land tenure security and participatory co-management, ensuring representation of women, youth, and marginalized groups.</w:t>
      </w:r>
    </w:p>
    <w:p w14:paraId="1285AAA3" w14:textId="77777777" w:rsidR="005641BB" w:rsidRDefault="005641BB" w:rsidP="005641BB">
      <w:pPr>
        <w:jc w:val="both"/>
        <w:rPr>
          <w:sz w:val="20"/>
          <w:szCs w:val="20"/>
          <w:highlight w:val="cyan"/>
          <w:lang w:val="en-US"/>
        </w:rPr>
      </w:pPr>
      <w:r w:rsidRPr="00E86501">
        <w:rPr>
          <w:sz w:val="20"/>
          <w:szCs w:val="20"/>
          <w:highlight w:val="cyan"/>
          <w:lang w:val="en-US"/>
        </w:rPr>
        <w:t>The activity will deliver a costed management and investment plan aligned with the Green Belt strategy and the Bamako Urban Master Plan. Two multi-stakeholder workshops will validate findings and build consensus. By establishing a robust, participatory, and digitized knowledge system and by planning the sustainable development of the forest strips, the activity supports evidence-based decision-making, land-tenure formalization, climate resilience, and Core Environmental Indicators 3 and 4.</w:t>
      </w:r>
    </w:p>
    <w:p w14:paraId="6699E010" w14:textId="77777777" w:rsidR="00037B82" w:rsidRPr="00E86501" w:rsidRDefault="00037B82" w:rsidP="00037B82">
      <w:pPr>
        <w:jc w:val="both"/>
        <w:rPr>
          <w:b/>
          <w:bCs/>
          <w:sz w:val="20"/>
          <w:szCs w:val="20"/>
          <w:highlight w:val="cyan"/>
          <w:lang w:val="en-US"/>
        </w:rPr>
      </w:pPr>
      <w:r w:rsidRPr="00E86501">
        <w:rPr>
          <w:b/>
          <w:bCs/>
          <w:sz w:val="20"/>
          <w:szCs w:val="20"/>
          <w:highlight w:val="cyan"/>
          <w:lang w:val="en-US"/>
        </w:rPr>
        <w:t>Implementation Arrangements</w:t>
      </w:r>
    </w:p>
    <w:p w14:paraId="07C085F7" w14:textId="4535A827" w:rsidR="00C577C9" w:rsidRPr="00E86501" w:rsidRDefault="00037B82" w:rsidP="00C577C9">
      <w:pPr>
        <w:jc w:val="both"/>
        <w:rPr>
          <w:sz w:val="20"/>
          <w:szCs w:val="20"/>
          <w:highlight w:val="cyan"/>
          <w:lang w:val="en-US"/>
        </w:rPr>
      </w:pPr>
      <w:r w:rsidRPr="00E86501">
        <w:rPr>
          <w:sz w:val="20"/>
          <w:szCs w:val="20"/>
          <w:highlight w:val="cyan"/>
          <w:lang w:val="en-US"/>
        </w:rPr>
        <w:t>The activity will be implemented under the leadership of the General Directorate of Water and Forests (DG</w:t>
      </w:r>
      <w:r w:rsidR="00383D5F" w:rsidRPr="00E86501">
        <w:rPr>
          <w:sz w:val="20"/>
          <w:szCs w:val="20"/>
          <w:highlight w:val="cyan"/>
          <w:lang w:val="en-US"/>
        </w:rPr>
        <w:t>W</w:t>
      </w:r>
      <w:r w:rsidRPr="00E86501">
        <w:rPr>
          <w:sz w:val="20"/>
          <w:szCs w:val="20"/>
          <w:highlight w:val="cyan"/>
          <w:lang w:val="en-US"/>
        </w:rPr>
        <w:t>F), which will serve as the primary executing institution. DG</w:t>
      </w:r>
      <w:r w:rsidR="00534F67" w:rsidRPr="00222D7C">
        <w:rPr>
          <w:sz w:val="20"/>
          <w:szCs w:val="20"/>
          <w:highlight w:val="cyan"/>
          <w:lang w:val="en-US"/>
        </w:rPr>
        <w:t>W</w:t>
      </w:r>
      <w:r w:rsidRPr="00E86501">
        <w:rPr>
          <w:sz w:val="20"/>
          <w:szCs w:val="20"/>
          <w:highlight w:val="cyan"/>
          <w:lang w:val="en-US"/>
        </w:rPr>
        <w:t>F will coordinate field inventories, stakeholder consultations, and validation processes</w:t>
      </w:r>
      <w:r w:rsidR="00383D5F" w:rsidRPr="00222D7C">
        <w:rPr>
          <w:sz w:val="20"/>
          <w:szCs w:val="20"/>
          <w:highlight w:val="cyan"/>
          <w:lang w:val="en-US"/>
        </w:rPr>
        <w:t>. Regarding Green spaces, the DGWF</w:t>
      </w:r>
      <w:r w:rsidRPr="00E86501">
        <w:rPr>
          <w:sz w:val="20"/>
          <w:szCs w:val="20"/>
          <w:highlight w:val="cyan"/>
          <w:lang w:val="en-US"/>
        </w:rPr>
        <w:t xml:space="preserve"> in collaboration with the District of Bamako</w:t>
      </w:r>
      <w:r w:rsidR="00401D86" w:rsidRPr="00E86501">
        <w:rPr>
          <w:sz w:val="20"/>
          <w:szCs w:val="20"/>
          <w:highlight w:val="cyan"/>
          <w:lang w:val="en-US"/>
        </w:rPr>
        <w:t xml:space="preserve"> and</w:t>
      </w:r>
      <w:r w:rsidRPr="00E86501">
        <w:rPr>
          <w:sz w:val="20"/>
          <w:szCs w:val="20"/>
          <w:highlight w:val="cyan"/>
          <w:lang w:val="en-US"/>
        </w:rPr>
        <w:t xml:space="preserve"> the relevant </w:t>
      </w:r>
      <w:r w:rsidR="00C577C9" w:rsidRPr="00E86501">
        <w:rPr>
          <w:sz w:val="20"/>
          <w:szCs w:val="20"/>
          <w:highlight w:val="cyan"/>
          <w:lang w:val="en-US"/>
        </w:rPr>
        <w:t>local partners.</w:t>
      </w:r>
    </w:p>
    <w:p w14:paraId="7DCA295C" w14:textId="539D4FA8" w:rsidR="00037B82" w:rsidRPr="00E86501" w:rsidRDefault="00037B82" w:rsidP="00C577C9">
      <w:pPr>
        <w:jc w:val="both"/>
        <w:rPr>
          <w:sz w:val="20"/>
          <w:szCs w:val="20"/>
          <w:highlight w:val="cyan"/>
          <w:lang w:val="en-US"/>
        </w:rPr>
      </w:pPr>
      <w:r w:rsidRPr="00E86501">
        <w:rPr>
          <w:sz w:val="20"/>
          <w:szCs w:val="20"/>
          <w:highlight w:val="cyan"/>
          <w:lang w:val="en-US"/>
        </w:rPr>
        <w:t>The PMU will support DG</w:t>
      </w:r>
      <w:r w:rsidR="005947B5">
        <w:rPr>
          <w:sz w:val="20"/>
          <w:szCs w:val="20"/>
          <w:highlight w:val="cyan"/>
          <w:lang w:val="en-US"/>
        </w:rPr>
        <w:t>W</w:t>
      </w:r>
      <w:r w:rsidRPr="00E86501">
        <w:rPr>
          <w:sz w:val="20"/>
          <w:szCs w:val="20"/>
          <w:highlight w:val="cyan"/>
          <w:lang w:val="en-US"/>
        </w:rPr>
        <w:t xml:space="preserve">F by facilitating procurement and operational oversight, including the recruitment of a </w:t>
      </w:r>
      <w:r w:rsidRPr="00E86501">
        <w:rPr>
          <w:b/>
          <w:bCs/>
          <w:sz w:val="20"/>
          <w:szCs w:val="20"/>
          <w:highlight w:val="cyan"/>
          <w:lang w:val="en-US"/>
        </w:rPr>
        <w:t>specialized consultancy firm or consortium</w:t>
      </w:r>
      <w:r w:rsidRPr="00E86501">
        <w:rPr>
          <w:sz w:val="20"/>
          <w:szCs w:val="20"/>
          <w:highlight w:val="cyan"/>
          <w:lang w:val="en-US"/>
        </w:rPr>
        <w:t xml:space="preserve"> to conduct the participatory inventory, strengthen the Forest Information System (SIFOR), and prepare the feasibility </w:t>
      </w:r>
      <w:r w:rsidR="004D4987">
        <w:rPr>
          <w:sz w:val="20"/>
          <w:szCs w:val="20"/>
          <w:highlight w:val="cyan"/>
          <w:lang w:val="en-US"/>
        </w:rPr>
        <w:t xml:space="preserve">study </w:t>
      </w:r>
      <w:r w:rsidRPr="00E86501">
        <w:rPr>
          <w:sz w:val="20"/>
          <w:szCs w:val="20"/>
          <w:highlight w:val="cyan"/>
          <w:lang w:val="en-US"/>
        </w:rPr>
        <w:t>and investment plan. Based on market capacity, the consultancy may be contracted for the full assignment or in separate lots (e.g., SIFOR upgrade, feasibility study, socio-economic analysis).</w:t>
      </w:r>
    </w:p>
    <w:p w14:paraId="4FA1B0CC" w14:textId="77777777" w:rsidR="00037B82" w:rsidRPr="00E86501" w:rsidRDefault="00037B82" w:rsidP="00037B82">
      <w:pPr>
        <w:jc w:val="both"/>
        <w:rPr>
          <w:sz w:val="20"/>
          <w:szCs w:val="20"/>
          <w:highlight w:val="cyan"/>
          <w:lang w:val="en-US"/>
        </w:rPr>
      </w:pPr>
      <w:r w:rsidRPr="00E86501">
        <w:rPr>
          <w:sz w:val="20"/>
          <w:szCs w:val="20"/>
          <w:highlight w:val="cyan"/>
          <w:lang w:val="en-US"/>
        </w:rPr>
        <w:t xml:space="preserve">Close coordination will be ensured with the National Land Use Planning Directorate (DNAT), the National Directorate of Urban Planning, and the Bamako District Municipality to guarantee alignment with the Urban Master Plan and ongoing land-tenure formalization activities (3.1.1.1 &amp; 3.1.1.2). Mechanisms for </w:t>
      </w:r>
      <w:r w:rsidRPr="00E86501">
        <w:rPr>
          <w:b/>
          <w:bCs/>
          <w:sz w:val="20"/>
          <w:szCs w:val="20"/>
          <w:highlight w:val="cyan"/>
          <w:lang w:val="en-US"/>
        </w:rPr>
        <w:t>inclusive participation</w:t>
      </w:r>
      <w:r w:rsidRPr="00E86501">
        <w:rPr>
          <w:sz w:val="20"/>
          <w:szCs w:val="20"/>
          <w:highlight w:val="cyan"/>
          <w:lang w:val="en-US"/>
        </w:rPr>
        <w:t>—including women’s associations, youth groups, customary land actors, and affected communities—will be systematically integrated into all phases of implementation.</w:t>
      </w:r>
    </w:p>
    <w:p w14:paraId="09085E0D" w14:textId="418D23D7" w:rsidR="00037B82" w:rsidRPr="00E86501" w:rsidRDefault="00037B82" w:rsidP="00037B82">
      <w:pPr>
        <w:jc w:val="both"/>
        <w:rPr>
          <w:sz w:val="20"/>
          <w:szCs w:val="20"/>
          <w:highlight w:val="cyan"/>
          <w:lang w:val="en-US"/>
        </w:rPr>
      </w:pPr>
      <w:r w:rsidRPr="00E86501">
        <w:rPr>
          <w:sz w:val="20"/>
          <w:szCs w:val="20"/>
          <w:highlight w:val="cyan"/>
          <w:lang w:val="en-US"/>
        </w:rPr>
        <w:t xml:space="preserve">Periodic technical review meetings supported by the PMU will ensure coherence, data integration, and alignment with Green Belt priorities. The final </w:t>
      </w:r>
      <w:r w:rsidR="00D96771" w:rsidRPr="00D96771">
        <w:rPr>
          <w:sz w:val="20"/>
          <w:szCs w:val="20"/>
          <w:highlight w:val="cyan"/>
          <w:lang w:val="en-US"/>
        </w:rPr>
        <w:t>output</w:t>
      </w:r>
      <w:r w:rsidRPr="00E86501">
        <w:rPr>
          <w:sz w:val="20"/>
          <w:szCs w:val="20"/>
          <w:highlight w:val="cyan"/>
          <w:lang w:val="en-US"/>
        </w:rPr>
        <w:t xml:space="preserve"> will be validated through multi-stakeholder workshops before adoption by the competent authorities.</w:t>
      </w:r>
    </w:p>
    <w:p w14:paraId="0C8AED5B" w14:textId="4A365F2A" w:rsidR="004F7DB3" w:rsidRPr="00857B81" w:rsidRDefault="2775ECE0" w:rsidP="00DC2CA1">
      <w:pPr>
        <w:jc w:val="both"/>
        <w:rPr>
          <w:i/>
          <w:iCs/>
          <w:color w:val="000000" w:themeColor="text1"/>
          <w:sz w:val="20"/>
          <w:szCs w:val="20"/>
          <w:highlight w:val="yellow"/>
          <w:u w:val="single"/>
          <w:lang w:val="en-US"/>
        </w:rPr>
      </w:pPr>
      <w:r w:rsidRPr="00857B81">
        <w:rPr>
          <w:i/>
          <w:iCs/>
          <w:color w:val="000000" w:themeColor="text1"/>
          <w:sz w:val="20"/>
          <w:szCs w:val="20"/>
          <w:highlight w:val="yellow"/>
          <w:u w:val="single"/>
          <w:lang w:val="en-US"/>
        </w:rPr>
        <w:t xml:space="preserve">Activity 3.1.2.2 Development and implementation of social </w:t>
      </w:r>
      <w:proofErr w:type="spellStart"/>
      <w:r w:rsidRPr="00857B81">
        <w:rPr>
          <w:i/>
          <w:iCs/>
          <w:color w:val="000000" w:themeColor="text1"/>
          <w:sz w:val="20"/>
          <w:szCs w:val="20"/>
          <w:highlight w:val="yellow"/>
          <w:u w:val="single"/>
          <w:lang w:val="en-US"/>
        </w:rPr>
        <w:t>behaviour</w:t>
      </w:r>
      <w:proofErr w:type="spellEnd"/>
      <w:r w:rsidRPr="00857B81">
        <w:rPr>
          <w:i/>
          <w:iCs/>
          <w:color w:val="000000" w:themeColor="text1"/>
          <w:sz w:val="20"/>
          <w:szCs w:val="20"/>
          <w:highlight w:val="yellow"/>
          <w:u w:val="single"/>
          <w:lang w:val="en-US"/>
        </w:rPr>
        <w:t xml:space="preserve"> change interventions for stakeholders involved in the management of forest areas and green spaces</w:t>
      </w:r>
    </w:p>
    <w:p w14:paraId="21A0EEC3" w14:textId="0A1F8E8D" w:rsidR="0764FF73" w:rsidRPr="00857B81" w:rsidRDefault="0764FF73" w:rsidP="00DC2CA1">
      <w:pPr>
        <w:jc w:val="both"/>
        <w:rPr>
          <w:color w:val="000000" w:themeColor="text1"/>
          <w:sz w:val="20"/>
          <w:szCs w:val="20"/>
          <w:highlight w:val="yellow"/>
          <w:lang w:val="en-US"/>
        </w:rPr>
      </w:pPr>
    </w:p>
    <w:p w14:paraId="2FD1324C" w14:textId="08DA2D45" w:rsidR="0A68D110" w:rsidRPr="00857B81" w:rsidRDefault="0A68D110" w:rsidP="00691219">
      <w:pPr>
        <w:spacing w:before="240" w:after="240"/>
        <w:jc w:val="both"/>
        <w:rPr>
          <w:sz w:val="20"/>
          <w:szCs w:val="20"/>
          <w:highlight w:val="yellow"/>
          <w:lang w:val="en-US"/>
        </w:rPr>
      </w:pPr>
      <w:r w:rsidRPr="00857B81">
        <w:rPr>
          <w:sz w:val="20"/>
          <w:szCs w:val="20"/>
          <w:highlight w:val="yellow"/>
          <w:lang w:val="en-US"/>
        </w:rPr>
        <w:t xml:space="preserve">Following the participatory inventories and the legal registration of forest and green spaces, fostering a culture of responsible stewardship among stakeholders is essential to ensuring the long-term sustainability of these ecosystems. This activity aims to </w:t>
      </w:r>
      <w:r w:rsidRPr="00857B81">
        <w:rPr>
          <w:b/>
          <w:bCs/>
          <w:sz w:val="20"/>
          <w:szCs w:val="20"/>
          <w:highlight w:val="yellow"/>
          <w:lang w:val="en-US"/>
        </w:rPr>
        <w:t>promote behavioral change and enhance environmental responsibility</w:t>
      </w:r>
      <w:r w:rsidRPr="00857B81">
        <w:rPr>
          <w:sz w:val="20"/>
          <w:szCs w:val="20"/>
          <w:highlight w:val="yellow"/>
          <w:lang w:val="en-US"/>
        </w:rPr>
        <w:t xml:space="preserve"> among communities, local authorities, and private actors directly or indirectly involved in the management of forest resources and urban green spaces.</w:t>
      </w:r>
    </w:p>
    <w:p w14:paraId="1332038B" w14:textId="3E0B6DBA" w:rsidR="0A68D110" w:rsidRPr="00857B81" w:rsidRDefault="0A68D110" w:rsidP="00691219">
      <w:pPr>
        <w:spacing w:before="240" w:after="240"/>
        <w:jc w:val="both"/>
        <w:rPr>
          <w:sz w:val="20"/>
          <w:szCs w:val="20"/>
          <w:highlight w:val="yellow"/>
        </w:rPr>
      </w:pPr>
      <w:r w:rsidRPr="00857B81">
        <w:rPr>
          <w:sz w:val="20"/>
          <w:szCs w:val="20"/>
          <w:highlight w:val="yellow"/>
        </w:rPr>
        <w:t xml:space="preserve">The intervention </w:t>
      </w:r>
      <w:proofErr w:type="spellStart"/>
      <w:r w:rsidRPr="00857B81">
        <w:rPr>
          <w:sz w:val="20"/>
          <w:szCs w:val="20"/>
          <w:highlight w:val="yellow"/>
        </w:rPr>
        <w:t>will</w:t>
      </w:r>
      <w:proofErr w:type="spellEnd"/>
      <w:r w:rsidRPr="00857B81">
        <w:rPr>
          <w:sz w:val="20"/>
          <w:szCs w:val="20"/>
          <w:highlight w:val="yellow"/>
        </w:rPr>
        <w:t xml:space="preserve"> </w:t>
      </w:r>
      <w:proofErr w:type="spellStart"/>
      <w:proofErr w:type="gramStart"/>
      <w:r w:rsidRPr="00857B81">
        <w:rPr>
          <w:sz w:val="20"/>
          <w:szCs w:val="20"/>
          <w:highlight w:val="yellow"/>
        </w:rPr>
        <w:t>include</w:t>
      </w:r>
      <w:proofErr w:type="spellEnd"/>
      <w:r w:rsidRPr="00857B81">
        <w:rPr>
          <w:sz w:val="20"/>
          <w:szCs w:val="20"/>
          <w:highlight w:val="yellow"/>
        </w:rPr>
        <w:t>:</w:t>
      </w:r>
      <w:proofErr w:type="gramEnd"/>
    </w:p>
    <w:p w14:paraId="4988AE4B" w14:textId="39EE9ABD" w:rsidR="0A68D110" w:rsidRPr="00857B81" w:rsidRDefault="0A68D110" w:rsidP="00691219">
      <w:pPr>
        <w:pStyle w:val="Paragraphedeliste"/>
        <w:numPr>
          <w:ilvl w:val="0"/>
          <w:numId w:val="22"/>
        </w:numPr>
        <w:spacing w:after="0"/>
        <w:jc w:val="both"/>
        <w:rPr>
          <w:sz w:val="20"/>
          <w:szCs w:val="20"/>
          <w:highlight w:val="yellow"/>
          <w:lang w:val="en-US"/>
        </w:rPr>
      </w:pPr>
      <w:r w:rsidRPr="00857B81">
        <w:rPr>
          <w:b/>
          <w:bCs/>
          <w:sz w:val="20"/>
          <w:szCs w:val="20"/>
          <w:highlight w:val="yellow"/>
          <w:lang w:val="en-US"/>
        </w:rPr>
        <w:t>Targeted awareness and capacity-building sessions</w:t>
      </w:r>
      <w:r w:rsidRPr="00857B81">
        <w:rPr>
          <w:sz w:val="20"/>
          <w:szCs w:val="20"/>
          <w:highlight w:val="yellow"/>
          <w:lang w:val="en-US"/>
        </w:rPr>
        <w:t xml:space="preserve"> tailored to different stakeholder groups—community members, private entrepreneurs, CSOs, youth, and local authorities—with a focus on practical knowledge related to sustainable resource use, forest regeneration, fire risk reduction, urban agriculture, and green space </w:t>
      </w:r>
      <w:proofErr w:type="gramStart"/>
      <w:r w:rsidRPr="00857B81">
        <w:rPr>
          <w:sz w:val="20"/>
          <w:szCs w:val="20"/>
          <w:highlight w:val="yellow"/>
          <w:lang w:val="en-US"/>
        </w:rPr>
        <w:t>maintenance;</w:t>
      </w:r>
      <w:proofErr w:type="gramEnd"/>
    </w:p>
    <w:p w14:paraId="2FDF7704" w14:textId="2E18E5CC" w:rsidR="0A68D110" w:rsidRPr="00857B81" w:rsidRDefault="0A68D110" w:rsidP="00691219">
      <w:pPr>
        <w:pStyle w:val="Paragraphedeliste"/>
        <w:numPr>
          <w:ilvl w:val="0"/>
          <w:numId w:val="22"/>
        </w:numPr>
        <w:spacing w:after="0"/>
        <w:jc w:val="both"/>
        <w:rPr>
          <w:sz w:val="20"/>
          <w:szCs w:val="20"/>
          <w:highlight w:val="yellow"/>
          <w:lang w:val="en-US"/>
        </w:rPr>
      </w:pPr>
      <w:r w:rsidRPr="00857B81">
        <w:rPr>
          <w:sz w:val="20"/>
          <w:szCs w:val="20"/>
          <w:highlight w:val="yellow"/>
          <w:lang w:val="en-US"/>
        </w:rPr>
        <w:t xml:space="preserve">The </w:t>
      </w:r>
      <w:r w:rsidRPr="00857B81">
        <w:rPr>
          <w:b/>
          <w:bCs/>
          <w:sz w:val="20"/>
          <w:szCs w:val="20"/>
          <w:highlight w:val="yellow"/>
          <w:lang w:val="en-US"/>
        </w:rPr>
        <w:t xml:space="preserve">design and dissemination of social </w:t>
      </w:r>
      <w:proofErr w:type="spellStart"/>
      <w:r w:rsidRPr="00857B81">
        <w:rPr>
          <w:b/>
          <w:bCs/>
          <w:sz w:val="20"/>
          <w:szCs w:val="20"/>
          <w:highlight w:val="yellow"/>
          <w:lang w:val="en-US"/>
        </w:rPr>
        <w:t>behaviour</w:t>
      </w:r>
      <w:proofErr w:type="spellEnd"/>
      <w:r w:rsidRPr="00857B81">
        <w:rPr>
          <w:b/>
          <w:bCs/>
          <w:sz w:val="20"/>
          <w:szCs w:val="20"/>
          <w:highlight w:val="yellow"/>
          <w:lang w:val="en-US"/>
        </w:rPr>
        <w:t xml:space="preserve"> change communication (SBCC) tools</w:t>
      </w:r>
      <w:r w:rsidRPr="00857B81">
        <w:rPr>
          <w:sz w:val="20"/>
          <w:szCs w:val="20"/>
          <w:highlight w:val="yellow"/>
          <w:lang w:val="en-US"/>
        </w:rPr>
        <w:t xml:space="preserve">, including school-based environmental education materials, public service announcements, posters, community theatre, and radio </w:t>
      </w:r>
      <w:proofErr w:type="spellStart"/>
      <w:r w:rsidRPr="00857B81">
        <w:rPr>
          <w:sz w:val="20"/>
          <w:szCs w:val="20"/>
          <w:highlight w:val="yellow"/>
          <w:lang w:val="en-US"/>
        </w:rPr>
        <w:t>programmes</w:t>
      </w:r>
      <w:proofErr w:type="spellEnd"/>
      <w:r w:rsidRPr="00857B81">
        <w:rPr>
          <w:sz w:val="20"/>
          <w:szCs w:val="20"/>
          <w:highlight w:val="yellow"/>
          <w:lang w:val="en-US"/>
        </w:rPr>
        <w:t>. These tools will highlight the ecological, cultural, and socio-economic benefits of preserving green infrastructure and promote a sense of collective ownership and accountability.</w:t>
      </w:r>
    </w:p>
    <w:p w14:paraId="0C4EFCC5" w14:textId="5647A675" w:rsidR="0A68D110" w:rsidRPr="00857B81" w:rsidRDefault="0A68D110" w:rsidP="00691219">
      <w:pPr>
        <w:spacing w:after="0"/>
        <w:jc w:val="both"/>
        <w:rPr>
          <w:sz w:val="20"/>
          <w:szCs w:val="20"/>
          <w:highlight w:val="yellow"/>
          <w:lang w:val="en-US"/>
        </w:rPr>
      </w:pPr>
      <w:r w:rsidRPr="00857B81">
        <w:rPr>
          <w:sz w:val="20"/>
          <w:szCs w:val="20"/>
          <w:highlight w:val="yellow"/>
          <w:lang w:val="en-US"/>
        </w:rPr>
        <w:t xml:space="preserve">The activity will adopt a </w:t>
      </w:r>
      <w:r w:rsidRPr="00857B81">
        <w:rPr>
          <w:b/>
          <w:bCs/>
          <w:sz w:val="20"/>
          <w:szCs w:val="20"/>
          <w:highlight w:val="yellow"/>
          <w:lang w:val="en-US"/>
        </w:rPr>
        <w:t>gender-sensitive and socially inclusive approach</w:t>
      </w:r>
      <w:r w:rsidRPr="00857B81">
        <w:rPr>
          <w:sz w:val="20"/>
          <w:szCs w:val="20"/>
          <w:highlight w:val="yellow"/>
          <w:lang w:val="en-US"/>
        </w:rPr>
        <w:t>, ensuring that messages resonate with diverse audiences and address specific barriers faced by women, youth, and marginalized groups in accessing and protecting natural resources.</w:t>
      </w:r>
    </w:p>
    <w:p w14:paraId="56E093EF" w14:textId="029AFBF0" w:rsidR="0A68D110" w:rsidRPr="00857B81" w:rsidRDefault="0A68D110" w:rsidP="00DC2CA1">
      <w:pPr>
        <w:jc w:val="both"/>
        <w:rPr>
          <w:highlight w:val="yellow"/>
          <w:lang w:val="en-US"/>
        </w:rPr>
      </w:pPr>
      <w:r w:rsidRPr="00857B81">
        <w:rPr>
          <w:sz w:val="20"/>
          <w:szCs w:val="20"/>
          <w:highlight w:val="yellow"/>
          <w:lang w:val="en-US"/>
        </w:rPr>
        <w:t xml:space="preserve">Ultimately, this activity will </w:t>
      </w:r>
      <w:r w:rsidRPr="00857B81">
        <w:rPr>
          <w:b/>
          <w:bCs/>
          <w:sz w:val="20"/>
          <w:szCs w:val="20"/>
          <w:highlight w:val="yellow"/>
          <w:lang w:val="en-US"/>
        </w:rPr>
        <w:t>bridge the gap between policy, knowledge, and practice</w:t>
      </w:r>
      <w:r w:rsidRPr="00857B81">
        <w:rPr>
          <w:sz w:val="20"/>
          <w:szCs w:val="20"/>
          <w:highlight w:val="yellow"/>
          <w:lang w:val="en-US"/>
        </w:rPr>
        <w:t>, supporting the operationalization of the Green Belt by instilling long-term behavioral shifts that reinforce the gains of previous activities (e.g., 3.1.1.1, 3.1.2.1), and by contributing to improved governance, social cohesion, and ecological resilience in urban and peri-urban areas of Bamako.</w:t>
      </w:r>
    </w:p>
    <w:p w14:paraId="38085328" w14:textId="7FEC59C9" w:rsidR="004F7DB3" w:rsidRPr="00AA0910" w:rsidRDefault="28158316" w:rsidP="00DC2CA1">
      <w:pPr>
        <w:jc w:val="both"/>
        <w:rPr>
          <w:b/>
          <w:bCs/>
          <w:color w:val="000000" w:themeColor="text1"/>
          <w:sz w:val="20"/>
          <w:szCs w:val="20"/>
          <w:lang w:val="en-US"/>
        </w:rPr>
      </w:pPr>
      <w:r w:rsidRPr="00AA0910">
        <w:rPr>
          <w:b/>
          <w:bCs/>
          <w:color w:val="000000" w:themeColor="text1"/>
          <w:sz w:val="20"/>
          <w:szCs w:val="20"/>
          <w:lang w:val="en-US"/>
        </w:rPr>
        <w:t>Output 3.1.3: The development and management of Bamako's classified forests, and urban green spaces is strengthened to consider inclusiveness and climate resilience</w:t>
      </w:r>
    </w:p>
    <w:p w14:paraId="57972346" w14:textId="77777777" w:rsidR="007F6AF9" w:rsidRPr="007F4912" w:rsidRDefault="007F6AF9" w:rsidP="00DC2CA1">
      <w:pPr>
        <w:jc w:val="both"/>
        <w:rPr>
          <w:color w:val="000000" w:themeColor="text1"/>
          <w:sz w:val="20"/>
          <w:szCs w:val="20"/>
          <w:lang w:val="en-US"/>
        </w:rPr>
      </w:pPr>
      <w:r w:rsidRPr="007F4912">
        <w:rPr>
          <w:color w:val="000000" w:themeColor="text1"/>
          <w:sz w:val="20"/>
          <w:szCs w:val="20"/>
          <w:lang w:val="en-US"/>
        </w:rPr>
        <w:t>Output 3.1.3 focuses on advancing the development and management of Bamako’s classified forests and urban green spaces through an inclusive, multi-sectoral, and climate-resilient approach. Building on the foundational work of inventorying and legally securing these natural assets (as addressed in Outputs 3.1.1 and 3.1.2), this output aims to move beyond passive conservation toward proactive, sustainable management that integrates ecological, social, and economic dimensions.</w:t>
      </w:r>
    </w:p>
    <w:p w14:paraId="5C3110BD" w14:textId="77777777" w:rsidR="007F6AF9" w:rsidRPr="007F4912" w:rsidRDefault="2FBDA655" w:rsidP="00DC2CA1">
      <w:pPr>
        <w:jc w:val="both"/>
        <w:rPr>
          <w:color w:val="000000" w:themeColor="text1"/>
          <w:sz w:val="20"/>
          <w:szCs w:val="20"/>
          <w:lang w:val="en-US"/>
        </w:rPr>
      </w:pPr>
      <w:r w:rsidRPr="5D8904BE">
        <w:rPr>
          <w:color w:val="000000" w:themeColor="text1"/>
          <w:sz w:val="20"/>
          <w:szCs w:val="20"/>
          <w:lang w:val="en-US"/>
        </w:rPr>
        <w:t>Key to this process is the creation of detailed management plans for classified forests and urban green spaces that align with international best practices and Bamako’s climate resilience priorities. These plans emphasize participatory assessments, zoning for conservation and sustainable use, and the promotion of income-generating opportunities—such as ecotourism and sustainable harvesting—that benefit local communities. Co-management structures will be established to ensure inclusive governance, with particular attention to gender equity and the active involvement of local stakeholders.</w:t>
      </w:r>
    </w:p>
    <w:p w14:paraId="615C1A78" w14:textId="77777777" w:rsidR="007F6AF9" w:rsidRPr="007F4912" w:rsidRDefault="007F6AF9" w:rsidP="00DC2CA1">
      <w:pPr>
        <w:jc w:val="both"/>
        <w:rPr>
          <w:color w:val="000000" w:themeColor="text1"/>
          <w:sz w:val="20"/>
          <w:szCs w:val="20"/>
          <w:lang w:val="en-US"/>
        </w:rPr>
      </w:pPr>
      <w:r w:rsidRPr="007F4912">
        <w:rPr>
          <w:color w:val="000000" w:themeColor="text1"/>
          <w:sz w:val="20"/>
          <w:szCs w:val="20"/>
          <w:lang w:val="en-US"/>
        </w:rPr>
        <w:t>Additionally, a dedicated feasibility study will support the development of strategic forest strips within the Bamako Green Belt, ensuring these areas contribute effectively to biodiversity conservation, climate adaptation, and community livelihoods.</w:t>
      </w:r>
    </w:p>
    <w:p w14:paraId="25705872" w14:textId="77777777" w:rsidR="007F6AF9" w:rsidRPr="007F4912" w:rsidRDefault="007F6AF9" w:rsidP="00DC2CA1">
      <w:pPr>
        <w:jc w:val="both"/>
        <w:rPr>
          <w:color w:val="000000" w:themeColor="text1"/>
          <w:sz w:val="20"/>
          <w:szCs w:val="20"/>
          <w:lang w:val="en-US"/>
        </w:rPr>
      </w:pPr>
      <w:r w:rsidRPr="007F4912">
        <w:rPr>
          <w:color w:val="000000" w:themeColor="text1"/>
          <w:sz w:val="20"/>
          <w:szCs w:val="20"/>
          <w:lang w:val="en-US"/>
        </w:rPr>
        <w:t>Through these integrated efforts, Output 3.1.3 aims to foster a dynamic and resilient green infrastructure network in Bamako that supports environmental sustainability, social inclusion, and economic vitality.</w:t>
      </w:r>
    </w:p>
    <w:p w14:paraId="121D0058" w14:textId="2A4BAC98" w:rsidR="004F7DB3" w:rsidRPr="00AA0910" w:rsidRDefault="28158316" w:rsidP="00DC2CA1">
      <w:pPr>
        <w:jc w:val="both"/>
        <w:rPr>
          <w:i/>
          <w:iCs/>
          <w:color w:val="000000" w:themeColor="text1"/>
          <w:sz w:val="20"/>
          <w:szCs w:val="20"/>
          <w:u w:val="single"/>
          <w:lang w:val="en-US"/>
        </w:rPr>
      </w:pPr>
      <w:r w:rsidRPr="00AA0910">
        <w:rPr>
          <w:i/>
          <w:iCs/>
          <w:color w:val="000000" w:themeColor="text1"/>
          <w:sz w:val="20"/>
          <w:szCs w:val="20"/>
          <w:u w:val="single"/>
          <w:lang w:val="en-US"/>
        </w:rPr>
        <w:t>Activity 3.1.3.1 Development of five Classified Forest Management Plans</w:t>
      </w:r>
    </w:p>
    <w:p w14:paraId="7E3BC7F5" w14:textId="374F8BCB" w:rsidR="6EAF199C" w:rsidRDefault="237AB1E8" w:rsidP="00DC2CA1">
      <w:pPr>
        <w:jc w:val="both"/>
        <w:rPr>
          <w:color w:val="000000" w:themeColor="text1"/>
          <w:sz w:val="20"/>
          <w:szCs w:val="20"/>
          <w:lang w:val="en-US"/>
        </w:rPr>
      </w:pPr>
      <w:r w:rsidRPr="5D8904BE">
        <w:rPr>
          <w:color w:val="000000" w:themeColor="text1"/>
          <w:sz w:val="20"/>
          <w:szCs w:val="20"/>
          <w:lang w:val="en-US"/>
        </w:rPr>
        <w:t xml:space="preserve">This activity will develop management plans (PAGs) for classified forests and green spaces in Bamako, in alignment with international standards and the city's climate resilience priorities. It will include participatory ecological and socio-economic assessments, the delineation of conservation and sustainable use zones, and the </w:t>
      </w:r>
      <w:r w:rsidRPr="5D8904BE">
        <w:rPr>
          <w:color w:val="000000" w:themeColor="text1"/>
          <w:sz w:val="20"/>
          <w:szCs w:val="20"/>
          <w:lang w:val="en-US"/>
        </w:rPr>
        <w:lastRenderedPageBreak/>
        <w:t>promotion of income-generating activities for local communities, such as ecotourism and the sustainable harvesting of non-timber forest products. Co-management committees will be established, ensuring strong representation from local communities</w:t>
      </w:r>
      <w:r w:rsidR="73BBD0B7" w:rsidRPr="5D8904BE">
        <w:rPr>
          <w:color w:val="000000" w:themeColor="text1"/>
          <w:sz w:val="20"/>
          <w:szCs w:val="20"/>
          <w:lang w:val="en-US"/>
        </w:rPr>
        <w:t xml:space="preserve">. </w:t>
      </w:r>
    </w:p>
    <w:p w14:paraId="272CFB08" w14:textId="2C05A1FE" w:rsidR="26207FD1" w:rsidRDefault="73BBD0B7" w:rsidP="00DC2CA1">
      <w:pPr>
        <w:jc w:val="both"/>
        <w:rPr>
          <w:color w:val="000000" w:themeColor="text1"/>
          <w:sz w:val="20"/>
          <w:szCs w:val="20"/>
          <w:lang w:val="en-US"/>
        </w:rPr>
      </w:pPr>
      <w:r w:rsidRPr="0764FF73">
        <w:rPr>
          <w:color w:val="000000" w:themeColor="text1"/>
          <w:sz w:val="20"/>
          <w:szCs w:val="20"/>
          <w:lang w:val="en-US"/>
        </w:rPr>
        <w:t>To ensure gender mainstreaming, women will be actively involved in data collection and feedback meetings. Particular attention will be paid to their local perceptions and knowledge on the use of green spaces. Gender-disaggregated data will also be collected to guide the preparation of management plans with the identification of inclusive actions to ensure equitable access to governance and benefits from forest areas.</w:t>
      </w:r>
    </w:p>
    <w:p w14:paraId="23015D89" w14:textId="5EB3291A" w:rsidR="2B8D3053" w:rsidRDefault="2B8D3053" w:rsidP="00DC2CA1">
      <w:pPr>
        <w:spacing w:before="240" w:after="240"/>
        <w:jc w:val="both"/>
        <w:rPr>
          <w:sz w:val="20"/>
          <w:szCs w:val="20"/>
          <w:lang w:val="en-US"/>
        </w:rPr>
      </w:pPr>
      <w:r w:rsidRPr="00857B81">
        <w:rPr>
          <w:sz w:val="20"/>
          <w:szCs w:val="20"/>
          <w:highlight w:val="yellow"/>
          <w:lang w:val="en-US"/>
        </w:rPr>
        <w:t>It is expected to support forestry planning processes (along with the development of the Integrated Management Plans for Urban Green Spaces – see Activity 3.1.3.2) with the development of Environmental and Social Impact Assessments (ESIAs). The ESIA for projects, policies, and plans was formally introduced into Malian legislation by Decree No. 08-346/P-RM of June 26, 2008, relating to environmental and social impact studies. This decree was subsequently replaced by Decree No. 2018-0991/P-RM of December 31, 2018, which specifies the rules and procedures applicable to environmental and social impact studies. Among Category B projects subject to ESIA are the “Territorial and Urban Planning Policies and Plans.”</w:t>
      </w:r>
    </w:p>
    <w:p w14:paraId="62056CEC" w14:textId="49A2064C" w:rsidR="004F7DB3" w:rsidRPr="00AA0910" w:rsidRDefault="237AB1E8" w:rsidP="00DC2CA1">
      <w:pPr>
        <w:jc w:val="both"/>
        <w:rPr>
          <w:i/>
          <w:iCs/>
          <w:color w:val="000000" w:themeColor="text1"/>
          <w:sz w:val="20"/>
          <w:szCs w:val="20"/>
          <w:u w:val="single"/>
          <w:lang w:val="en-US"/>
        </w:rPr>
      </w:pPr>
      <w:r w:rsidRPr="5D8904BE">
        <w:rPr>
          <w:i/>
          <w:iCs/>
          <w:color w:val="000000" w:themeColor="text1"/>
          <w:sz w:val="20"/>
          <w:szCs w:val="20"/>
          <w:u w:val="single"/>
          <w:lang w:val="en-US"/>
        </w:rPr>
        <w:t>Activity 3.1.3.2 Development of Integrated Management Plans for Seven Urban Green Spaces</w:t>
      </w:r>
    </w:p>
    <w:p w14:paraId="340EC05D" w14:textId="3715A6BF" w:rsidR="004F7DB3" w:rsidRPr="007F4912" w:rsidRDefault="237AB1E8" w:rsidP="00DC2CA1">
      <w:pPr>
        <w:spacing w:before="240" w:after="240" w:line="257" w:lineRule="auto"/>
        <w:jc w:val="both"/>
        <w:rPr>
          <w:color w:val="000000" w:themeColor="text1"/>
          <w:sz w:val="20"/>
          <w:szCs w:val="20"/>
          <w:lang w:val="en-US"/>
        </w:rPr>
      </w:pPr>
      <w:r w:rsidRPr="5D8904BE">
        <w:rPr>
          <w:color w:val="000000" w:themeColor="text1"/>
          <w:sz w:val="20"/>
          <w:szCs w:val="20"/>
          <w:lang w:val="en-US"/>
        </w:rPr>
        <w:t>This activity will develop integrated management plans for seven major urban green spaces in Bamako. It will assess community needs, define appropriate green space types, and engage local stakeholders</w:t>
      </w:r>
      <w:r w:rsidR="0A8204C2" w:rsidRPr="5D8904BE">
        <w:rPr>
          <w:color w:val="000000" w:themeColor="text1"/>
          <w:sz w:val="20"/>
          <w:szCs w:val="20"/>
          <w:lang w:val="en-US"/>
        </w:rPr>
        <w:t xml:space="preserve"> </w:t>
      </w:r>
      <w:r w:rsidRPr="5D8904BE">
        <w:rPr>
          <w:color w:val="000000" w:themeColor="text1"/>
          <w:sz w:val="20"/>
          <w:szCs w:val="20"/>
          <w:lang w:val="en-US"/>
        </w:rPr>
        <w:t xml:space="preserve">in a participatory co-design process. </w:t>
      </w:r>
      <w:r w:rsidR="3F49251D" w:rsidRPr="5D8904BE">
        <w:rPr>
          <w:color w:val="000000" w:themeColor="text1"/>
          <w:sz w:val="20"/>
          <w:szCs w:val="20"/>
          <w:lang w:val="en-US"/>
        </w:rPr>
        <w:t>As with forest areas, women will be actively involved in data collection and restitution meetings. Gender-disaggregated data will be collected to inform the preparation of management plans.</w:t>
      </w:r>
    </w:p>
    <w:p w14:paraId="55482881" w14:textId="3B4EE698" w:rsidR="004F7DB3" w:rsidRPr="007F4912" w:rsidRDefault="237AB1E8" w:rsidP="00DC2CA1">
      <w:pPr>
        <w:jc w:val="both"/>
        <w:rPr>
          <w:color w:val="000000" w:themeColor="text1"/>
          <w:sz w:val="20"/>
          <w:szCs w:val="20"/>
          <w:lang w:val="en-US"/>
        </w:rPr>
      </w:pPr>
      <w:r w:rsidRPr="5D8904BE">
        <w:rPr>
          <w:color w:val="000000" w:themeColor="text1"/>
          <w:sz w:val="20"/>
          <w:szCs w:val="20"/>
          <w:lang w:val="en-US"/>
        </w:rPr>
        <w:t>The plans will include inclusive governance models and climate-resilient features. Led by the Bamako District Municipality, the activity will guide future green infrastructure investments and community projects. It will run for 18 months starting in Year 2, with support from technical partners and at least five consultation workshops.</w:t>
      </w:r>
    </w:p>
    <w:p w14:paraId="2F661036" w14:textId="7CD2F5F1" w:rsidR="45ABD2D1" w:rsidRPr="00857B81" w:rsidRDefault="45ABD2D1" w:rsidP="00691219">
      <w:pPr>
        <w:spacing w:after="0"/>
        <w:jc w:val="both"/>
        <w:rPr>
          <w:sz w:val="20"/>
          <w:szCs w:val="20"/>
          <w:highlight w:val="yellow"/>
          <w:lang w:val="en-US"/>
        </w:rPr>
      </w:pPr>
    </w:p>
    <w:p w14:paraId="40774BBA" w14:textId="4432195C" w:rsidR="004F7DB3" w:rsidRPr="00452F4F" w:rsidRDefault="566EE118" w:rsidP="00DC2CA1">
      <w:pPr>
        <w:jc w:val="both"/>
        <w:rPr>
          <w:b/>
          <w:bCs/>
          <w:color w:val="000000" w:themeColor="text1"/>
          <w:sz w:val="20"/>
          <w:szCs w:val="20"/>
          <w:lang w:val="en-US"/>
        </w:rPr>
      </w:pPr>
      <w:r w:rsidRPr="58DE6BE5">
        <w:rPr>
          <w:b/>
          <w:bCs/>
          <w:color w:val="000000" w:themeColor="text1"/>
          <w:sz w:val="20"/>
          <w:szCs w:val="20"/>
          <w:lang w:val="en-US"/>
        </w:rPr>
        <w:t>Output 3.1.4: Pilot investments (80%</w:t>
      </w:r>
      <w:r w:rsidR="6E38F3F3" w:rsidRPr="58DE6BE5">
        <w:rPr>
          <w:b/>
          <w:bCs/>
          <w:color w:val="000000" w:themeColor="text1"/>
          <w:sz w:val="20"/>
          <w:szCs w:val="20"/>
          <w:lang w:val="en-US"/>
        </w:rPr>
        <w:t xml:space="preserve"> private source</w:t>
      </w:r>
      <w:r w:rsidRPr="58DE6BE5">
        <w:rPr>
          <w:b/>
          <w:bCs/>
          <w:color w:val="000000" w:themeColor="text1"/>
          <w:sz w:val="20"/>
          <w:szCs w:val="20"/>
          <w:lang w:val="en-US"/>
        </w:rPr>
        <w:t>) are deployed by public-private partnerships on the green belt and green spaces in accordance with the new urban master plan for Bamako</w:t>
      </w:r>
    </w:p>
    <w:p w14:paraId="15A6489E" w14:textId="77777777" w:rsidR="009F1D17" w:rsidRPr="007F4912" w:rsidRDefault="1E471002" w:rsidP="00691219">
      <w:pPr>
        <w:jc w:val="both"/>
        <w:rPr>
          <w:color w:val="000000" w:themeColor="text1"/>
          <w:sz w:val="20"/>
          <w:szCs w:val="20"/>
          <w:lang w:val="en-US"/>
        </w:rPr>
      </w:pPr>
      <w:r w:rsidRPr="58DE6BE5">
        <w:rPr>
          <w:color w:val="000000" w:themeColor="text1"/>
          <w:sz w:val="20"/>
          <w:szCs w:val="20"/>
          <w:lang w:val="en-US"/>
        </w:rPr>
        <w:t>This output focuses on transforming Bamako’s green belt and urban green spaces into thriving economic and ecological assets through targeted pilot investments driven by public-private partnerships. Leveraging innovative collaboration models, the initiative promotes ecologically sustainable reforestation with high-value species, develops community-led ecotourism, and supports inclusive contract planting schemes that link vulnerable populations—especially women and youth—with market opportunities. Complementing these efforts, the output empowers women smallholder farmers in key urban agriculture zones and enhances the sustainable management of green spaces by engaging local professionals. Additionally, grassroots community initiatives will be supported in partnership with global and private actors to foster inclusive, environmentally sustainable, and resilient local development. Together, these activities operationalize Bamako’s Urban Planning Master Plan priorities on environment and green economy, contributing to integrated urban sustainability and social inclusion.</w:t>
      </w:r>
    </w:p>
    <w:p w14:paraId="6F9EB276" w14:textId="43DDDC93" w:rsidR="6C696E83" w:rsidRPr="00DC2CA1" w:rsidRDefault="6C696E83" w:rsidP="58DE6BE5">
      <w:pPr>
        <w:spacing w:after="0" w:line="240" w:lineRule="auto"/>
        <w:jc w:val="both"/>
        <w:rPr>
          <w:color w:val="000000" w:themeColor="text1"/>
          <w:sz w:val="20"/>
          <w:szCs w:val="20"/>
          <w:lang w:val="en-US"/>
        </w:rPr>
      </w:pPr>
      <w:r w:rsidRPr="00DC2CA1">
        <w:rPr>
          <w:color w:val="000000" w:themeColor="text1"/>
          <w:sz w:val="20"/>
          <w:szCs w:val="20"/>
          <w:highlight w:val="yellow"/>
          <w:lang w:val="en-US"/>
        </w:rPr>
        <w:t>This output is partially dependent on the co-financing and implementation of the PRUBA project, as several activities are designed to be complementary. Activities 3.1.4.3, 3.1.4.4, and 3.1.4.5 will be aligned with PRUBA intervention sites, and close coordination between PRUBA and the IUDP is foreseen to ensure coherence and avoid duplication. While these activities will primarily target urban areas covered by PRUBA, they are not limited to those sites. Notably, only Activity 3.1.4.4 is directly contingent on PRUBA outcomes and will be implemented exclusively within PRUBA-designated zones. As a risk mitigation measure, should there be delays in establishing the planned market gardening zones around the collectors under PRUBA, the IUDP will implement an alternative scenario (Plan B) by developing one independent market gardening zone and providing tailored support to a group of 10 women entrepreneurs.</w:t>
      </w:r>
    </w:p>
    <w:p w14:paraId="05B05AA3" w14:textId="68689073" w:rsidR="58DE6BE5" w:rsidRDefault="58DE6BE5" w:rsidP="58DE6BE5">
      <w:pPr>
        <w:jc w:val="both"/>
        <w:rPr>
          <w:color w:val="000000" w:themeColor="text1"/>
          <w:sz w:val="20"/>
          <w:szCs w:val="20"/>
          <w:lang w:val="en-US"/>
        </w:rPr>
      </w:pPr>
    </w:p>
    <w:p w14:paraId="076815BC" w14:textId="3A342998" w:rsidR="002835C6" w:rsidRPr="00E86501" w:rsidRDefault="28158316" w:rsidP="003974F4">
      <w:pPr>
        <w:rPr>
          <w:i/>
          <w:iCs/>
          <w:color w:val="000000" w:themeColor="text1"/>
          <w:sz w:val="20"/>
          <w:szCs w:val="20"/>
          <w:highlight w:val="cyan"/>
          <w:u w:val="single"/>
          <w:lang w:val="en-US"/>
        </w:rPr>
      </w:pPr>
      <w:r w:rsidRPr="00E86501">
        <w:rPr>
          <w:i/>
          <w:iCs/>
          <w:color w:val="000000" w:themeColor="text1"/>
          <w:sz w:val="20"/>
          <w:szCs w:val="20"/>
          <w:highlight w:val="cyan"/>
          <w:u w:val="single"/>
          <w:lang w:val="en-US"/>
        </w:rPr>
        <w:lastRenderedPageBreak/>
        <w:t xml:space="preserve">Activity 3.1.4.1: </w:t>
      </w:r>
      <w:r w:rsidR="002835C6" w:rsidRPr="00E86501">
        <w:rPr>
          <w:i/>
          <w:iCs/>
          <w:color w:val="000000" w:themeColor="text1"/>
          <w:sz w:val="20"/>
          <w:szCs w:val="20"/>
          <w:highlight w:val="cyan"/>
          <w:u w:val="single"/>
          <w:lang w:val="en-US"/>
        </w:rPr>
        <w:t>Develop and implement public–private partnerships for sustainable reforestation and ecotourism development</w:t>
      </w:r>
    </w:p>
    <w:p w14:paraId="28BC8621" w14:textId="1010C997" w:rsidR="000D58D5" w:rsidRPr="00E86501" w:rsidRDefault="000D58D5" w:rsidP="000D58D5">
      <w:pPr>
        <w:rPr>
          <w:color w:val="000000" w:themeColor="text1"/>
          <w:sz w:val="20"/>
          <w:szCs w:val="20"/>
          <w:highlight w:val="cyan"/>
          <w:lang w:val="en-US"/>
        </w:rPr>
      </w:pPr>
      <w:r w:rsidRPr="00E86501">
        <w:rPr>
          <w:color w:val="000000" w:themeColor="text1"/>
          <w:sz w:val="20"/>
          <w:szCs w:val="20"/>
          <w:highlight w:val="cyan"/>
          <w:lang w:val="en-US"/>
        </w:rPr>
        <w:t xml:space="preserve">This activity promotes economically viable and ecologically sustainable reforestation across 150 hectares of urban and peri-urban forests </w:t>
      </w:r>
      <w:r w:rsidR="0070706E" w:rsidRPr="00E86501">
        <w:rPr>
          <w:color w:val="000000" w:themeColor="text1"/>
          <w:sz w:val="20"/>
          <w:szCs w:val="20"/>
          <w:highlight w:val="cyan"/>
          <w:lang w:val="en-US"/>
        </w:rPr>
        <w:t xml:space="preserve">and green spaces </w:t>
      </w:r>
      <w:r w:rsidRPr="00E86501">
        <w:rPr>
          <w:color w:val="000000" w:themeColor="text1"/>
          <w:sz w:val="20"/>
          <w:szCs w:val="20"/>
          <w:highlight w:val="cyan"/>
          <w:lang w:val="en-US"/>
        </w:rPr>
        <w:t>within the Bamako Green Belt through innovative public–private partnerships (PPPs) with agricultural inter-branch organizations, private operators, and community groups. Building on the</w:t>
      </w:r>
      <w:r w:rsidR="003823F7" w:rsidRPr="00E86501">
        <w:rPr>
          <w:color w:val="000000" w:themeColor="text1"/>
          <w:sz w:val="20"/>
          <w:szCs w:val="20"/>
          <w:highlight w:val="cyan"/>
          <w:lang w:val="en-US"/>
        </w:rPr>
        <w:t xml:space="preserve"> management plan</w:t>
      </w:r>
      <w:r w:rsidRPr="00E86501">
        <w:rPr>
          <w:color w:val="000000" w:themeColor="text1"/>
          <w:sz w:val="20"/>
          <w:szCs w:val="20"/>
          <w:highlight w:val="cyan"/>
          <w:lang w:val="en-US"/>
        </w:rPr>
        <w:t xml:space="preserve"> </w:t>
      </w:r>
      <w:r w:rsidR="006F04D1" w:rsidRPr="00E86501">
        <w:rPr>
          <w:color w:val="000000" w:themeColor="text1"/>
          <w:sz w:val="20"/>
          <w:szCs w:val="20"/>
          <w:highlight w:val="cyan"/>
          <w:lang w:val="en-US"/>
        </w:rPr>
        <w:t xml:space="preserve">as </w:t>
      </w:r>
      <w:r w:rsidR="007448C3" w:rsidRPr="00E86501">
        <w:rPr>
          <w:color w:val="000000" w:themeColor="text1"/>
          <w:sz w:val="20"/>
          <w:szCs w:val="20"/>
          <w:highlight w:val="cyan"/>
          <w:lang w:val="en-US"/>
        </w:rPr>
        <w:t>an</w:t>
      </w:r>
      <w:r w:rsidR="006F04D1" w:rsidRPr="00E86501">
        <w:rPr>
          <w:color w:val="000000" w:themeColor="text1"/>
          <w:sz w:val="20"/>
          <w:szCs w:val="20"/>
          <w:highlight w:val="cyan"/>
          <w:lang w:val="en-US"/>
        </w:rPr>
        <w:t xml:space="preserve"> outcome </w:t>
      </w:r>
      <w:r w:rsidRPr="00E86501">
        <w:rPr>
          <w:color w:val="000000" w:themeColor="text1"/>
          <w:sz w:val="20"/>
          <w:szCs w:val="20"/>
          <w:highlight w:val="cyan"/>
          <w:lang w:val="en-US"/>
        </w:rPr>
        <w:t xml:space="preserve">of Activity 3.1.3.1, </w:t>
      </w:r>
      <w:r w:rsidR="00495790" w:rsidRPr="00E86501">
        <w:rPr>
          <w:color w:val="000000" w:themeColor="text1"/>
          <w:sz w:val="20"/>
          <w:szCs w:val="20"/>
          <w:highlight w:val="cyan"/>
          <w:lang w:val="en-US"/>
        </w:rPr>
        <w:t>the activity 3.1.4.1 a</w:t>
      </w:r>
      <w:r w:rsidRPr="00E86501">
        <w:rPr>
          <w:color w:val="000000" w:themeColor="text1"/>
          <w:sz w:val="20"/>
          <w:szCs w:val="20"/>
          <w:highlight w:val="cyan"/>
          <w:lang w:val="en-US"/>
        </w:rPr>
        <w:t>ims to reconcile ecological restoration with inclusive local economic development.</w:t>
      </w:r>
    </w:p>
    <w:p w14:paraId="63725AA8" w14:textId="77777777" w:rsidR="000D58D5" w:rsidRPr="00E86501" w:rsidRDefault="000D58D5" w:rsidP="000D58D5">
      <w:pPr>
        <w:rPr>
          <w:b/>
          <w:bCs/>
          <w:color w:val="000000" w:themeColor="text1"/>
          <w:sz w:val="20"/>
          <w:szCs w:val="20"/>
          <w:highlight w:val="cyan"/>
          <w:lang w:val="en-US"/>
        </w:rPr>
      </w:pPr>
      <w:r w:rsidRPr="00E86501">
        <w:rPr>
          <w:b/>
          <w:bCs/>
          <w:color w:val="000000" w:themeColor="text1"/>
          <w:sz w:val="20"/>
          <w:szCs w:val="20"/>
          <w:highlight w:val="cyan"/>
          <w:lang w:val="en-US"/>
        </w:rPr>
        <w:t>1. Economically Viable and Ecologically Sustainable Reforestation with High-Value Species</w:t>
      </w:r>
    </w:p>
    <w:p w14:paraId="350CCCFD" w14:textId="77777777" w:rsidR="000D58D5" w:rsidRPr="00E86501" w:rsidRDefault="000D58D5" w:rsidP="000D58D5">
      <w:pPr>
        <w:rPr>
          <w:color w:val="000000" w:themeColor="text1"/>
          <w:sz w:val="20"/>
          <w:szCs w:val="20"/>
          <w:highlight w:val="cyan"/>
          <w:lang w:val="en-US"/>
        </w:rPr>
      </w:pPr>
      <w:r w:rsidRPr="00E86501">
        <w:rPr>
          <w:color w:val="000000" w:themeColor="text1"/>
          <w:sz w:val="20"/>
          <w:szCs w:val="20"/>
          <w:highlight w:val="cyan"/>
          <w:lang w:val="en-US"/>
        </w:rPr>
        <w:t>Reforestation will focus on high-value native and agroforestry species—such as shea, mango, Arabic gum, moringa, hibiscus, and lemongrass—to improve biodiversity, stabilize degraded land, and generate new livelihood opportunities. Implementation will be undertaken jointly with agricultural inter-professional organizations, ensuring professional silvicultural management, market linkages, and long-term sustainability.</w:t>
      </w:r>
    </w:p>
    <w:p w14:paraId="4720E1EC" w14:textId="77777777" w:rsidR="000D58D5" w:rsidRPr="00E86501" w:rsidRDefault="000D58D5" w:rsidP="000D58D5">
      <w:pPr>
        <w:rPr>
          <w:color w:val="000000" w:themeColor="text1"/>
          <w:sz w:val="20"/>
          <w:szCs w:val="20"/>
          <w:highlight w:val="cyan"/>
          <w:lang w:val="en-US"/>
        </w:rPr>
      </w:pPr>
      <w:r w:rsidRPr="00E86501">
        <w:rPr>
          <w:color w:val="000000" w:themeColor="text1"/>
          <w:sz w:val="20"/>
          <w:szCs w:val="20"/>
          <w:highlight w:val="cyan"/>
          <w:lang w:val="en-US"/>
        </w:rPr>
        <w:t>The activity adopts a community-based and participatory approach:</w:t>
      </w:r>
    </w:p>
    <w:p w14:paraId="5387F6AC" w14:textId="2B4A5C83" w:rsidR="000D58D5" w:rsidRPr="00E86501" w:rsidRDefault="000D58D5" w:rsidP="00E86501">
      <w:pPr>
        <w:numPr>
          <w:ilvl w:val="0"/>
          <w:numId w:val="914"/>
        </w:numPr>
        <w:spacing w:after="0"/>
        <w:rPr>
          <w:color w:val="000000" w:themeColor="text1"/>
          <w:sz w:val="20"/>
          <w:szCs w:val="20"/>
          <w:highlight w:val="cyan"/>
          <w:lang w:val="en-US"/>
        </w:rPr>
      </w:pPr>
      <w:r w:rsidRPr="00E86501">
        <w:rPr>
          <w:color w:val="000000" w:themeColor="text1"/>
          <w:sz w:val="20"/>
          <w:szCs w:val="20"/>
          <w:highlight w:val="cyan"/>
          <w:lang w:val="en-US"/>
        </w:rPr>
        <w:t xml:space="preserve">Joint site selection with communities, and inter-branch </w:t>
      </w:r>
      <w:proofErr w:type="gramStart"/>
      <w:r w:rsidRPr="00E86501">
        <w:rPr>
          <w:color w:val="000000" w:themeColor="text1"/>
          <w:sz w:val="20"/>
          <w:szCs w:val="20"/>
          <w:highlight w:val="cyan"/>
          <w:lang w:val="en-US"/>
        </w:rPr>
        <w:t>organizations;</w:t>
      </w:r>
      <w:proofErr w:type="gramEnd"/>
    </w:p>
    <w:p w14:paraId="220EF975" w14:textId="77777777" w:rsidR="000D58D5" w:rsidRPr="00E86501" w:rsidRDefault="000D58D5" w:rsidP="00E86501">
      <w:pPr>
        <w:numPr>
          <w:ilvl w:val="0"/>
          <w:numId w:val="914"/>
        </w:numPr>
        <w:spacing w:after="0"/>
        <w:rPr>
          <w:color w:val="000000" w:themeColor="text1"/>
          <w:sz w:val="20"/>
          <w:szCs w:val="20"/>
          <w:highlight w:val="cyan"/>
          <w:lang w:val="en-US"/>
        </w:rPr>
      </w:pPr>
      <w:r w:rsidRPr="00E86501">
        <w:rPr>
          <w:color w:val="000000" w:themeColor="text1"/>
          <w:sz w:val="20"/>
          <w:szCs w:val="20"/>
          <w:highlight w:val="cyan"/>
          <w:lang w:val="en-US"/>
        </w:rPr>
        <w:t>Inclusive participation of women and youth in planting, maintenance, harvesting, and processing of non-timber forest products (NTFPs</w:t>
      </w:r>
      <w:proofErr w:type="gramStart"/>
      <w:r w:rsidRPr="00E86501">
        <w:rPr>
          <w:color w:val="000000" w:themeColor="text1"/>
          <w:sz w:val="20"/>
          <w:szCs w:val="20"/>
          <w:highlight w:val="cyan"/>
          <w:lang w:val="en-US"/>
        </w:rPr>
        <w:t>);</w:t>
      </w:r>
      <w:proofErr w:type="gramEnd"/>
    </w:p>
    <w:p w14:paraId="0469A027" w14:textId="159EB11E" w:rsidR="000D58D5" w:rsidRPr="00E86501" w:rsidRDefault="000D58D5" w:rsidP="00E86501">
      <w:pPr>
        <w:numPr>
          <w:ilvl w:val="0"/>
          <w:numId w:val="914"/>
        </w:numPr>
        <w:spacing w:after="0"/>
        <w:rPr>
          <w:color w:val="000000" w:themeColor="text1"/>
          <w:sz w:val="20"/>
          <w:szCs w:val="20"/>
          <w:highlight w:val="cyan"/>
          <w:lang w:val="en-US"/>
        </w:rPr>
      </w:pPr>
      <w:r w:rsidRPr="00E86501">
        <w:rPr>
          <w:color w:val="000000" w:themeColor="text1"/>
          <w:sz w:val="20"/>
          <w:szCs w:val="20"/>
          <w:highlight w:val="cyan"/>
          <w:lang w:val="en-US"/>
        </w:rPr>
        <w:t>Support from local NGOs for</w:t>
      </w:r>
      <w:r w:rsidR="00B5681D" w:rsidRPr="00E86501">
        <w:rPr>
          <w:color w:val="000000" w:themeColor="text1"/>
          <w:sz w:val="20"/>
          <w:szCs w:val="20"/>
          <w:highlight w:val="cyan"/>
          <w:lang w:val="en-US"/>
        </w:rPr>
        <w:t xml:space="preserve"> awa</w:t>
      </w:r>
      <w:r w:rsidR="00D33910" w:rsidRPr="00E86501">
        <w:rPr>
          <w:color w:val="000000" w:themeColor="text1"/>
          <w:sz w:val="20"/>
          <w:szCs w:val="20"/>
          <w:highlight w:val="cyan"/>
          <w:lang w:val="en-US"/>
        </w:rPr>
        <w:t>reness raising</w:t>
      </w:r>
      <w:r w:rsidR="00D70AC8" w:rsidRPr="00E86501">
        <w:rPr>
          <w:color w:val="000000" w:themeColor="text1"/>
          <w:sz w:val="20"/>
          <w:szCs w:val="20"/>
          <w:highlight w:val="cyan"/>
          <w:lang w:val="en-US"/>
        </w:rPr>
        <w:t>,</w:t>
      </w:r>
      <w:r w:rsidRPr="00E86501">
        <w:rPr>
          <w:color w:val="000000" w:themeColor="text1"/>
          <w:sz w:val="20"/>
          <w:szCs w:val="20"/>
          <w:highlight w:val="cyan"/>
          <w:lang w:val="en-US"/>
        </w:rPr>
        <w:t xml:space="preserve"> mobilization, training, and participatory monitoring.</w:t>
      </w:r>
    </w:p>
    <w:p w14:paraId="6331AE0A" w14:textId="77777777" w:rsidR="000D58D5" w:rsidRPr="00E86501" w:rsidRDefault="000D58D5" w:rsidP="000D58D5">
      <w:pPr>
        <w:rPr>
          <w:color w:val="000000" w:themeColor="text1"/>
          <w:sz w:val="20"/>
          <w:szCs w:val="20"/>
          <w:highlight w:val="cyan"/>
          <w:lang w:val="en-US"/>
        </w:rPr>
      </w:pPr>
      <w:r w:rsidRPr="00E86501">
        <w:rPr>
          <w:color w:val="000000" w:themeColor="text1"/>
          <w:sz w:val="20"/>
          <w:szCs w:val="20"/>
          <w:highlight w:val="cyan"/>
          <w:lang w:val="en-US"/>
        </w:rPr>
        <w:t>This approach enhances climate resilience, strengthens stewardship of restored forests, and improves livelihoods for women, youth, and marginalized groups.</w:t>
      </w:r>
    </w:p>
    <w:p w14:paraId="03EEA67B" w14:textId="47727211" w:rsidR="000D58D5" w:rsidRPr="00E86501" w:rsidRDefault="000D58D5" w:rsidP="000D58D5">
      <w:pPr>
        <w:rPr>
          <w:b/>
          <w:bCs/>
          <w:color w:val="000000" w:themeColor="text1"/>
          <w:sz w:val="20"/>
          <w:szCs w:val="20"/>
          <w:highlight w:val="cyan"/>
          <w:lang w:val="en-US"/>
        </w:rPr>
      </w:pPr>
      <w:r w:rsidRPr="00E86501">
        <w:rPr>
          <w:b/>
          <w:bCs/>
          <w:color w:val="000000" w:themeColor="text1"/>
          <w:sz w:val="20"/>
          <w:szCs w:val="20"/>
          <w:highlight w:val="cyan"/>
          <w:lang w:val="en-US"/>
        </w:rPr>
        <w:t xml:space="preserve">2. Development of Community-Based Ecotourism in </w:t>
      </w:r>
      <w:r w:rsidR="00D222A6" w:rsidRPr="00E86501">
        <w:rPr>
          <w:b/>
          <w:bCs/>
          <w:color w:val="000000" w:themeColor="text1"/>
          <w:sz w:val="20"/>
          <w:szCs w:val="20"/>
          <w:highlight w:val="cyan"/>
          <w:lang w:val="en-US"/>
        </w:rPr>
        <w:t>(</w:t>
      </w:r>
      <w:r w:rsidR="00D51A1C" w:rsidRPr="00E86501">
        <w:rPr>
          <w:b/>
          <w:bCs/>
          <w:color w:val="000000" w:themeColor="text1"/>
          <w:sz w:val="20"/>
          <w:szCs w:val="20"/>
          <w:highlight w:val="cyan"/>
          <w:lang w:val="en-US"/>
        </w:rPr>
        <w:t>re</w:t>
      </w:r>
      <w:r w:rsidR="00D222A6" w:rsidRPr="00E86501">
        <w:rPr>
          <w:b/>
          <w:bCs/>
          <w:color w:val="000000" w:themeColor="text1"/>
          <w:sz w:val="20"/>
          <w:szCs w:val="20"/>
          <w:highlight w:val="cyan"/>
          <w:lang w:val="en-US"/>
        </w:rPr>
        <w:t>)</w:t>
      </w:r>
      <w:r w:rsidRPr="00E86501">
        <w:rPr>
          <w:b/>
          <w:bCs/>
          <w:color w:val="000000" w:themeColor="text1"/>
          <w:sz w:val="20"/>
          <w:szCs w:val="20"/>
          <w:highlight w:val="cyan"/>
          <w:lang w:val="en-US"/>
        </w:rPr>
        <w:t>forested Areas</w:t>
      </w:r>
    </w:p>
    <w:p w14:paraId="75755EEC" w14:textId="2F2A9B84" w:rsidR="000D58D5" w:rsidRPr="00E86501" w:rsidRDefault="000D58D5" w:rsidP="000D58D5">
      <w:pPr>
        <w:rPr>
          <w:color w:val="000000" w:themeColor="text1"/>
          <w:sz w:val="20"/>
          <w:szCs w:val="20"/>
          <w:highlight w:val="cyan"/>
          <w:lang w:val="en-US"/>
        </w:rPr>
      </w:pPr>
      <w:r w:rsidRPr="00E86501">
        <w:rPr>
          <w:color w:val="000000" w:themeColor="text1"/>
          <w:sz w:val="20"/>
          <w:szCs w:val="20"/>
          <w:highlight w:val="cyan"/>
          <w:lang w:val="en-US"/>
        </w:rPr>
        <w:t>To reinforce the long-term economic sustainability of restored sites, the activity will develop inclusive, community-driven ecotourism in two pilot forest zones in Grand Bamako. By elevating the socio-economic value of reforested landscapes, the activity contributes to biodiversity conservation, environmental education, and green job creation.</w:t>
      </w:r>
    </w:p>
    <w:p w14:paraId="32C78450" w14:textId="77777777" w:rsidR="000D58D5" w:rsidRPr="00E86501" w:rsidRDefault="000D58D5" w:rsidP="000D58D5">
      <w:pPr>
        <w:rPr>
          <w:color w:val="000000" w:themeColor="text1"/>
          <w:sz w:val="20"/>
          <w:szCs w:val="20"/>
          <w:highlight w:val="cyan"/>
        </w:rPr>
      </w:pPr>
      <w:proofErr w:type="spellStart"/>
      <w:r w:rsidRPr="00E86501">
        <w:rPr>
          <w:color w:val="000000" w:themeColor="text1"/>
          <w:sz w:val="20"/>
          <w:szCs w:val="20"/>
          <w:highlight w:val="cyan"/>
        </w:rPr>
        <w:t>Core</w:t>
      </w:r>
      <w:proofErr w:type="spellEnd"/>
      <w:r w:rsidRPr="00E86501">
        <w:rPr>
          <w:color w:val="000000" w:themeColor="text1"/>
          <w:sz w:val="20"/>
          <w:szCs w:val="20"/>
          <w:highlight w:val="cyan"/>
        </w:rPr>
        <w:t xml:space="preserve"> components </w:t>
      </w:r>
      <w:proofErr w:type="spellStart"/>
      <w:proofErr w:type="gramStart"/>
      <w:r w:rsidRPr="00E86501">
        <w:rPr>
          <w:color w:val="000000" w:themeColor="text1"/>
          <w:sz w:val="20"/>
          <w:szCs w:val="20"/>
          <w:highlight w:val="cyan"/>
        </w:rPr>
        <w:t>include</w:t>
      </w:r>
      <w:proofErr w:type="spellEnd"/>
      <w:r w:rsidRPr="00E86501">
        <w:rPr>
          <w:color w:val="000000" w:themeColor="text1"/>
          <w:sz w:val="20"/>
          <w:szCs w:val="20"/>
          <w:highlight w:val="cyan"/>
        </w:rPr>
        <w:t>:</w:t>
      </w:r>
      <w:proofErr w:type="gramEnd"/>
    </w:p>
    <w:p w14:paraId="2B2BBF37" w14:textId="77777777" w:rsidR="000D58D5" w:rsidRPr="00E86501" w:rsidRDefault="000D58D5" w:rsidP="00E86501">
      <w:pPr>
        <w:numPr>
          <w:ilvl w:val="0"/>
          <w:numId w:val="915"/>
        </w:numPr>
        <w:spacing w:after="0"/>
        <w:rPr>
          <w:color w:val="000000" w:themeColor="text1"/>
          <w:sz w:val="20"/>
          <w:szCs w:val="20"/>
          <w:highlight w:val="cyan"/>
          <w:lang w:val="en-US"/>
        </w:rPr>
      </w:pPr>
      <w:r w:rsidRPr="00E86501">
        <w:rPr>
          <w:color w:val="000000" w:themeColor="text1"/>
          <w:sz w:val="20"/>
          <w:szCs w:val="20"/>
          <w:highlight w:val="cyan"/>
          <w:lang w:val="en-US"/>
        </w:rPr>
        <w:t xml:space="preserve">Selection and assessment of two suitable ecotourism pilot </w:t>
      </w:r>
      <w:proofErr w:type="gramStart"/>
      <w:r w:rsidRPr="00E86501">
        <w:rPr>
          <w:color w:val="000000" w:themeColor="text1"/>
          <w:sz w:val="20"/>
          <w:szCs w:val="20"/>
          <w:highlight w:val="cyan"/>
          <w:lang w:val="en-US"/>
        </w:rPr>
        <w:t>sites;</w:t>
      </w:r>
      <w:proofErr w:type="gramEnd"/>
    </w:p>
    <w:p w14:paraId="485365C4" w14:textId="77777777" w:rsidR="000D58D5" w:rsidRPr="00E86501" w:rsidRDefault="000D58D5" w:rsidP="00E86501">
      <w:pPr>
        <w:numPr>
          <w:ilvl w:val="0"/>
          <w:numId w:val="915"/>
        </w:numPr>
        <w:spacing w:after="0"/>
        <w:rPr>
          <w:color w:val="000000" w:themeColor="text1"/>
          <w:sz w:val="20"/>
          <w:szCs w:val="20"/>
          <w:highlight w:val="cyan"/>
          <w:lang w:val="en-US"/>
        </w:rPr>
      </w:pPr>
      <w:r w:rsidRPr="00E86501">
        <w:rPr>
          <w:color w:val="000000" w:themeColor="text1"/>
          <w:sz w:val="20"/>
          <w:szCs w:val="20"/>
          <w:highlight w:val="cyan"/>
          <w:lang w:val="en-US"/>
        </w:rPr>
        <w:t>Participatory co-design of ecotourism offerings (guided nature walks, environmental interpretation, cultural experiences</w:t>
      </w:r>
      <w:proofErr w:type="gramStart"/>
      <w:r w:rsidRPr="00E86501">
        <w:rPr>
          <w:color w:val="000000" w:themeColor="text1"/>
          <w:sz w:val="20"/>
          <w:szCs w:val="20"/>
          <w:highlight w:val="cyan"/>
          <w:lang w:val="en-US"/>
        </w:rPr>
        <w:t>);</w:t>
      </w:r>
      <w:proofErr w:type="gramEnd"/>
    </w:p>
    <w:p w14:paraId="4273E04D" w14:textId="77777777" w:rsidR="000D58D5" w:rsidRPr="00E86501" w:rsidRDefault="000D58D5" w:rsidP="00E86501">
      <w:pPr>
        <w:numPr>
          <w:ilvl w:val="0"/>
          <w:numId w:val="915"/>
        </w:numPr>
        <w:spacing w:after="0"/>
        <w:rPr>
          <w:color w:val="000000" w:themeColor="text1"/>
          <w:sz w:val="20"/>
          <w:szCs w:val="20"/>
          <w:highlight w:val="cyan"/>
          <w:lang w:val="en-US"/>
        </w:rPr>
      </w:pPr>
      <w:r w:rsidRPr="00E86501">
        <w:rPr>
          <w:color w:val="000000" w:themeColor="text1"/>
          <w:sz w:val="20"/>
          <w:szCs w:val="20"/>
          <w:highlight w:val="cyan"/>
          <w:lang w:val="en-US"/>
        </w:rPr>
        <w:t xml:space="preserve">Development of eco-friendly green infrastructure (trails, viewing decks, eco-lodges) via </w:t>
      </w:r>
      <w:proofErr w:type="gramStart"/>
      <w:r w:rsidRPr="00E86501">
        <w:rPr>
          <w:color w:val="000000" w:themeColor="text1"/>
          <w:sz w:val="20"/>
          <w:szCs w:val="20"/>
          <w:highlight w:val="cyan"/>
          <w:lang w:val="en-US"/>
        </w:rPr>
        <w:t>PPPs;</w:t>
      </w:r>
      <w:proofErr w:type="gramEnd"/>
    </w:p>
    <w:p w14:paraId="7270CA7A" w14:textId="77777777" w:rsidR="000D58D5" w:rsidRPr="00E86501" w:rsidRDefault="000D58D5" w:rsidP="00E86501">
      <w:pPr>
        <w:numPr>
          <w:ilvl w:val="0"/>
          <w:numId w:val="915"/>
        </w:numPr>
        <w:spacing w:after="0"/>
        <w:rPr>
          <w:color w:val="000000" w:themeColor="text1"/>
          <w:sz w:val="20"/>
          <w:szCs w:val="20"/>
          <w:highlight w:val="cyan"/>
          <w:lang w:val="en-US"/>
        </w:rPr>
      </w:pPr>
      <w:r w:rsidRPr="00E86501">
        <w:rPr>
          <w:color w:val="000000" w:themeColor="text1"/>
          <w:sz w:val="20"/>
          <w:szCs w:val="20"/>
          <w:highlight w:val="cyan"/>
          <w:lang w:val="en-US"/>
        </w:rPr>
        <w:t>Capacity-building for women and youth in hospitality, environmental interpretation, business management, and digital marketing.</w:t>
      </w:r>
    </w:p>
    <w:p w14:paraId="6C14A8B9" w14:textId="77777777" w:rsidR="000D58D5" w:rsidRPr="00E86501" w:rsidRDefault="000D58D5" w:rsidP="000D58D5">
      <w:pPr>
        <w:rPr>
          <w:color w:val="000000" w:themeColor="text1"/>
          <w:sz w:val="20"/>
          <w:szCs w:val="20"/>
          <w:highlight w:val="cyan"/>
          <w:lang w:val="en-US"/>
        </w:rPr>
      </w:pPr>
      <w:r w:rsidRPr="00E86501">
        <w:rPr>
          <w:color w:val="000000" w:themeColor="text1"/>
          <w:sz w:val="20"/>
          <w:szCs w:val="20"/>
          <w:highlight w:val="cyan"/>
          <w:lang w:val="en-US"/>
        </w:rPr>
        <w:t>The ecotourism model supports income diversification, incentivizes forest conservation, and increases the visibility and replicability of the Green Belt as a nature-based solution.</w:t>
      </w:r>
    </w:p>
    <w:p w14:paraId="6F99AB87" w14:textId="7D93C132" w:rsidR="000D58D5" w:rsidRPr="00E86501" w:rsidRDefault="000D58D5" w:rsidP="00F61FB2">
      <w:pPr>
        <w:rPr>
          <w:b/>
          <w:bCs/>
          <w:color w:val="000000" w:themeColor="text1"/>
          <w:sz w:val="20"/>
          <w:szCs w:val="20"/>
          <w:highlight w:val="cyan"/>
          <w:lang w:val="en-US"/>
        </w:rPr>
      </w:pPr>
      <w:r w:rsidRPr="00E86501">
        <w:rPr>
          <w:b/>
          <w:bCs/>
          <w:color w:val="000000" w:themeColor="text1"/>
          <w:sz w:val="20"/>
          <w:szCs w:val="20"/>
          <w:highlight w:val="cyan"/>
          <w:lang w:val="en-US"/>
        </w:rPr>
        <w:t xml:space="preserve">3. Community-Based Contract Planting Models </w:t>
      </w:r>
      <w:r w:rsidR="007A5007" w:rsidRPr="00E86501">
        <w:rPr>
          <w:b/>
          <w:bCs/>
          <w:color w:val="000000" w:themeColor="text1"/>
          <w:sz w:val="20"/>
          <w:szCs w:val="20"/>
          <w:highlight w:val="cyan"/>
          <w:lang w:val="en-US"/>
        </w:rPr>
        <w:t xml:space="preserve">of </w:t>
      </w:r>
      <w:r w:rsidR="00F61FB2" w:rsidRPr="00E86501">
        <w:rPr>
          <w:b/>
          <w:bCs/>
          <w:color w:val="000000" w:themeColor="text1"/>
          <w:sz w:val="20"/>
          <w:szCs w:val="20"/>
          <w:highlight w:val="cyan"/>
          <w:lang w:val="en-US"/>
        </w:rPr>
        <w:t xml:space="preserve">High-Value Species </w:t>
      </w:r>
      <w:r w:rsidR="00251C5E" w:rsidRPr="00E86501">
        <w:rPr>
          <w:b/>
          <w:bCs/>
          <w:color w:val="000000" w:themeColor="text1"/>
          <w:sz w:val="20"/>
          <w:szCs w:val="20"/>
          <w:highlight w:val="cyan"/>
          <w:lang w:val="en-US"/>
        </w:rPr>
        <w:t>for Inclusive Urban Agroforestry</w:t>
      </w:r>
    </w:p>
    <w:p w14:paraId="755650A7" w14:textId="77777777" w:rsidR="000D58D5" w:rsidRPr="00E86501" w:rsidRDefault="000D58D5" w:rsidP="000D58D5">
      <w:pPr>
        <w:rPr>
          <w:color w:val="000000" w:themeColor="text1"/>
          <w:sz w:val="20"/>
          <w:szCs w:val="20"/>
          <w:highlight w:val="cyan"/>
          <w:lang w:val="en-US"/>
        </w:rPr>
      </w:pPr>
      <w:r w:rsidRPr="00E86501">
        <w:rPr>
          <w:color w:val="000000" w:themeColor="text1"/>
          <w:sz w:val="20"/>
          <w:szCs w:val="20"/>
          <w:highlight w:val="cyan"/>
          <w:lang w:val="en-US"/>
        </w:rPr>
        <w:t xml:space="preserve">This component </w:t>
      </w:r>
      <w:proofErr w:type="gramStart"/>
      <w:r w:rsidRPr="00E86501">
        <w:rPr>
          <w:color w:val="000000" w:themeColor="text1"/>
          <w:sz w:val="20"/>
          <w:szCs w:val="20"/>
          <w:highlight w:val="cyan"/>
          <w:lang w:val="en-US"/>
        </w:rPr>
        <w:t>pilots</w:t>
      </w:r>
      <w:proofErr w:type="gramEnd"/>
      <w:r w:rsidRPr="00E86501">
        <w:rPr>
          <w:color w:val="000000" w:themeColor="text1"/>
          <w:sz w:val="20"/>
          <w:szCs w:val="20"/>
          <w:highlight w:val="cyan"/>
          <w:lang w:val="en-US"/>
        </w:rPr>
        <w:t xml:space="preserve"> equitable agroforestry partnerships between vulnerable groups—especially women—and local agri-food companies. It operationalizes contract-planting systems for high-value species (moringa, lemongrass, hibiscus sabdariffa) in </w:t>
      </w:r>
      <w:r w:rsidRPr="00E86501">
        <w:rPr>
          <w:b/>
          <w:bCs/>
          <w:color w:val="000000" w:themeColor="text1"/>
          <w:sz w:val="20"/>
          <w:szCs w:val="20"/>
          <w:highlight w:val="cyan"/>
          <w:lang w:val="en-US"/>
        </w:rPr>
        <w:t>urban green spaces</w:t>
      </w:r>
      <w:r w:rsidRPr="00E86501">
        <w:rPr>
          <w:color w:val="000000" w:themeColor="text1"/>
          <w:sz w:val="20"/>
          <w:szCs w:val="20"/>
          <w:highlight w:val="cyan"/>
          <w:lang w:val="en-US"/>
        </w:rPr>
        <w:t>, ensuring:</w:t>
      </w:r>
    </w:p>
    <w:p w14:paraId="0B610531" w14:textId="77777777" w:rsidR="000D58D5" w:rsidRPr="00E86501" w:rsidRDefault="000D58D5" w:rsidP="00E86501">
      <w:pPr>
        <w:numPr>
          <w:ilvl w:val="0"/>
          <w:numId w:val="916"/>
        </w:numPr>
        <w:spacing w:after="0"/>
        <w:rPr>
          <w:color w:val="000000" w:themeColor="text1"/>
          <w:sz w:val="20"/>
          <w:szCs w:val="20"/>
          <w:highlight w:val="cyan"/>
          <w:lang w:val="en-US"/>
        </w:rPr>
      </w:pPr>
      <w:r w:rsidRPr="00E86501">
        <w:rPr>
          <w:color w:val="000000" w:themeColor="text1"/>
          <w:sz w:val="20"/>
          <w:szCs w:val="20"/>
          <w:highlight w:val="cyan"/>
          <w:lang w:val="en-US"/>
        </w:rPr>
        <w:t xml:space="preserve">Secure and fair commercial </w:t>
      </w:r>
      <w:proofErr w:type="gramStart"/>
      <w:r w:rsidRPr="00E86501">
        <w:rPr>
          <w:color w:val="000000" w:themeColor="text1"/>
          <w:sz w:val="20"/>
          <w:szCs w:val="20"/>
          <w:highlight w:val="cyan"/>
          <w:lang w:val="en-US"/>
        </w:rPr>
        <w:t>arrangements;</w:t>
      </w:r>
      <w:proofErr w:type="gramEnd"/>
    </w:p>
    <w:p w14:paraId="2410D948" w14:textId="77777777" w:rsidR="000D58D5" w:rsidRPr="00E86501" w:rsidRDefault="000D58D5" w:rsidP="001B6210">
      <w:pPr>
        <w:numPr>
          <w:ilvl w:val="0"/>
          <w:numId w:val="916"/>
        </w:numPr>
        <w:spacing w:after="0"/>
        <w:rPr>
          <w:color w:val="000000" w:themeColor="text1"/>
          <w:sz w:val="20"/>
          <w:szCs w:val="20"/>
          <w:highlight w:val="cyan"/>
          <w:lang w:val="en-US"/>
        </w:rPr>
      </w:pPr>
      <w:r w:rsidRPr="00E86501">
        <w:rPr>
          <w:color w:val="000000" w:themeColor="text1"/>
          <w:sz w:val="20"/>
          <w:szCs w:val="20"/>
          <w:highlight w:val="cyan"/>
          <w:lang w:val="en-US"/>
        </w:rPr>
        <w:t xml:space="preserve">Women’s leadership in production, processing, and contract </w:t>
      </w:r>
      <w:proofErr w:type="gramStart"/>
      <w:r w:rsidRPr="00E86501">
        <w:rPr>
          <w:color w:val="000000" w:themeColor="text1"/>
          <w:sz w:val="20"/>
          <w:szCs w:val="20"/>
          <w:highlight w:val="cyan"/>
          <w:lang w:val="en-US"/>
        </w:rPr>
        <w:t>negotiation;</w:t>
      </w:r>
      <w:proofErr w:type="gramEnd"/>
    </w:p>
    <w:p w14:paraId="15279D5B" w14:textId="77777777" w:rsidR="00890D9A" w:rsidRPr="00E86501" w:rsidRDefault="001B6210">
      <w:pPr>
        <w:numPr>
          <w:ilvl w:val="0"/>
          <w:numId w:val="916"/>
        </w:numPr>
        <w:spacing w:after="0"/>
        <w:rPr>
          <w:color w:val="000000" w:themeColor="text1"/>
          <w:sz w:val="20"/>
          <w:szCs w:val="20"/>
          <w:highlight w:val="cyan"/>
          <w:lang w:val="en-US"/>
        </w:rPr>
      </w:pPr>
      <w:r w:rsidRPr="00E86501">
        <w:rPr>
          <w:color w:val="000000" w:themeColor="text1"/>
          <w:sz w:val="20"/>
          <w:szCs w:val="20"/>
          <w:highlight w:val="cyan"/>
          <w:lang w:val="en-US"/>
        </w:rPr>
        <w:t>Locally negotiated contract-planting models</w:t>
      </w:r>
      <w:r w:rsidRPr="00733635">
        <w:rPr>
          <w:color w:val="000000" w:themeColor="text1"/>
          <w:sz w:val="20"/>
          <w:szCs w:val="20"/>
          <w:highlight w:val="cyan"/>
          <w:lang w:val="en-US"/>
        </w:rPr>
        <w:t xml:space="preserve">, linking vulnerable groups with agri-food companies for secure off-take </w:t>
      </w:r>
      <w:proofErr w:type="gramStart"/>
      <w:r w:rsidRPr="00733635">
        <w:rPr>
          <w:color w:val="000000" w:themeColor="text1"/>
          <w:sz w:val="20"/>
          <w:szCs w:val="20"/>
          <w:highlight w:val="cyan"/>
          <w:lang w:val="en-US"/>
        </w:rPr>
        <w:t>arrangements;</w:t>
      </w:r>
      <w:proofErr w:type="gramEnd"/>
    </w:p>
    <w:p w14:paraId="356C66A4" w14:textId="3A29A8CD" w:rsidR="000D58D5" w:rsidRPr="00E86501" w:rsidRDefault="000D58D5" w:rsidP="00E86501">
      <w:pPr>
        <w:numPr>
          <w:ilvl w:val="0"/>
          <w:numId w:val="916"/>
        </w:numPr>
        <w:spacing w:after="0"/>
        <w:rPr>
          <w:color w:val="000000" w:themeColor="text1"/>
          <w:sz w:val="20"/>
          <w:szCs w:val="20"/>
          <w:highlight w:val="cyan"/>
          <w:lang w:val="en-US"/>
        </w:rPr>
      </w:pPr>
      <w:r w:rsidRPr="00E86501">
        <w:rPr>
          <w:color w:val="000000" w:themeColor="text1"/>
          <w:sz w:val="20"/>
          <w:szCs w:val="20"/>
          <w:highlight w:val="cyan"/>
          <w:lang w:val="en-US"/>
        </w:rPr>
        <w:t xml:space="preserve">Technical supervision by </w:t>
      </w:r>
      <w:r w:rsidR="00FC719F" w:rsidRPr="00E86501">
        <w:rPr>
          <w:color w:val="000000" w:themeColor="text1"/>
          <w:sz w:val="20"/>
          <w:szCs w:val="20"/>
          <w:highlight w:val="cyan"/>
          <w:lang w:val="en-US"/>
        </w:rPr>
        <w:t xml:space="preserve">municipal and </w:t>
      </w:r>
      <w:r w:rsidRPr="00E86501">
        <w:rPr>
          <w:color w:val="000000" w:themeColor="text1"/>
          <w:sz w:val="20"/>
          <w:szCs w:val="20"/>
          <w:highlight w:val="cyan"/>
          <w:lang w:val="en-US"/>
        </w:rPr>
        <w:t xml:space="preserve">agricultural </w:t>
      </w:r>
      <w:proofErr w:type="gramStart"/>
      <w:r w:rsidRPr="00E86501">
        <w:rPr>
          <w:color w:val="000000" w:themeColor="text1"/>
          <w:sz w:val="20"/>
          <w:szCs w:val="20"/>
          <w:highlight w:val="cyan"/>
          <w:lang w:val="en-US"/>
        </w:rPr>
        <w:t>authorities;</w:t>
      </w:r>
      <w:proofErr w:type="gramEnd"/>
    </w:p>
    <w:p w14:paraId="1AAA5FFF" w14:textId="1E213C49" w:rsidR="000D58D5" w:rsidRPr="00E86501" w:rsidRDefault="000D58D5" w:rsidP="00E86501">
      <w:pPr>
        <w:numPr>
          <w:ilvl w:val="0"/>
          <w:numId w:val="916"/>
        </w:numPr>
        <w:spacing w:after="0"/>
        <w:rPr>
          <w:color w:val="000000" w:themeColor="text1"/>
          <w:sz w:val="20"/>
          <w:szCs w:val="20"/>
          <w:highlight w:val="cyan"/>
          <w:lang w:val="en-US"/>
        </w:rPr>
      </w:pPr>
      <w:r w:rsidRPr="00E86501">
        <w:rPr>
          <w:color w:val="000000" w:themeColor="text1"/>
          <w:sz w:val="20"/>
          <w:szCs w:val="20"/>
          <w:highlight w:val="cyan"/>
          <w:lang w:val="en-US"/>
        </w:rPr>
        <w:t xml:space="preserve">Participatory monitoring involving economic actors and local </w:t>
      </w:r>
      <w:r w:rsidR="00D0343A" w:rsidRPr="00E86501">
        <w:rPr>
          <w:color w:val="000000" w:themeColor="text1"/>
          <w:sz w:val="20"/>
          <w:szCs w:val="20"/>
          <w:highlight w:val="cyan"/>
          <w:lang w:val="en-US"/>
        </w:rPr>
        <w:t>NGOs</w:t>
      </w:r>
      <w:r w:rsidRPr="00E86501">
        <w:rPr>
          <w:color w:val="000000" w:themeColor="text1"/>
          <w:sz w:val="20"/>
          <w:szCs w:val="20"/>
          <w:highlight w:val="cyan"/>
          <w:lang w:val="en-US"/>
        </w:rPr>
        <w:t>.</w:t>
      </w:r>
    </w:p>
    <w:p w14:paraId="1203927B" w14:textId="1E8C4680" w:rsidR="000D58D5" w:rsidRPr="00E86501" w:rsidRDefault="000D58D5" w:rsidP="000456AD">
      <w:pPr>
        <w:rPr>
          <w:color w:val="000000" w:themeColor="text1"/>
          <w:sz w:val="20"/>
          <w:szCs w:val="20"/>
          <w:highlight w:val="cyan"/>
          <w:lang w:val="en-US"/>
        </w:rPr>
      </w:pPr>
      <w:r w:rsidRPr="00E86501">
        <w:rPr>
          <w:color w:val="000000" w:themeColor="text1"/>
          <w:sz w:val="20"/>
          <w:szCs w:val="20"/>
          <w:highlight w:val="cyan"/>
          <w:lang w:val="en-US"/>
        </w:rPr>
        <w:lastRenderedPageBreak/>
        <w:t>This model demonstrates scalable, inclusive green economy solutions that strengthen livelihoods, promote sustainable land use, and amplify women’s economic empowerment.</w:t>
      </w:r>
    </w:p>
    <w:p w14:paraId="2E173501" w14:textId="3946B8F7" w:rsidR="000D58D5" w:rsidRPr="00E86501" w:rsidRDefault="000D58D5" w:rsidP="000D58D5">
      <w:pPr>
        <w:rPr>
          <w:color w:val="000000" w:themeColor="text1"/>
          <w:sz w:val="20"/>
          <w:szCs w:val="20"/>
          <w:highlight w:val="cyan"/>
          <w:lang w:val="en-US"/>
        </w:rPr>
      </w:pPr>
      <w:r w:rsidRPr="00E86501">
        <w:rPr>
          <w:color w:val="000000" w:themeColor="text1"/>
          <w:sz w:val="20"/>
          <w:szCs w:val="20"/>
          <w:highlight w:val="cyan"/>
          <w:lang w:val="en-US"/>
        </w:rPr>
        <w:t>Altogether, this</w:t>
      </w:r>
      <w:r w:rsidR="000456AD" w:rsidRPr="00E86501">
        <w:rPr>
          <w:color w:val="000000" w:themeColor="text1"/>
          <w:sz w:val="20"/>
          <w:szCs w:val="20"/>
          <w:highlight w:val="cyan"/>
          <w:lang w:val="en-US"/>
        </w:rPr>
        <w:t xml:space="preserve"> </w:t>
      </w:r>
      <w:r w:rsidRPr="00E86501">
        <w:rPr>
          <w:color w:val="000000" w:themeColor="text1"/>
          <w:sz w:val="20"/>
          <w:szCs w:val="20"/>
          <w:highlight w:val="cyan"/>
          <w:lang w:val="en-US"/>
        </w:rPr>
        <w:t>activity delivers a combined ecological–economic model for sustaining the Bamako Green Belt</w:t>
      </w:r>
      <w:r w:rsidR="000C4B15" w:rsidRPr="00E86501">
        <w:rPr>
          <w:color w:val="000000" w:themeColor="text1"/>
          <w:sz w:val="20"/>
          <w:szCs w:val="20"/>
          <w:highlight w:val="cyan"/>
          <w:lang w:val="en-US"/>
        </w:rPr>
        <w:t xml:space="preserve"> including in Bamako city thro</w:t>
      </w:r>
      <w:r w:rsidR="00D63B6B" w:rsidRPr="00E86501">
        <w:rPr>
          <w:color w:val="000000" w:themeColor="text1"/>
          <w:sz w:val="20"/>
          <w:szCs w:val="20"/>
          <w:highlight w:val="cyan"/>
          <w:lang w:val="en-US"/>
        </w:rPr>
        <w:t>ugh the green spaces</w:t>
      </w:r>
      <w:r w:rsidRPr="00E86501">
        <w:rPr>
          <w:color w:val="000000" w:themeColor="text1"/>
          <w:sz w:val="20"/>
          <w:szCs w:val="20"/>
          <w:highlight w:val="cyan"/>
          <w:lang w:val="en-US"/>
        </w:rPr>
        <w:t xml:space="preserve">, linking reforestation, agroforestry, community livelihoods, and ecotourism development. </w:t>
      </w:r>
      <w:r w:rsidR="00CF2097" w:rsidRPr="00E86501">
        <w:rPr>
          <w:color w:val="000000" w:themeColor="text1"/>
          <w:sz w:val="20"/>
          <w:szCs w:val="20"/>
          <w:highlight w:val="cyan"/>
          <w:lang w:val="en-US"/>
        </w:rPr>
        <w:t>The structured public–private and community partnerships</w:t>
      </w:r>
      <w:r w:rsidRPr="00E86501">
        <w:rPr>
          <w:color w:val="000000" w:themeColor="text1"/>
          <w:sz w:val="20"/>
          <w:szCs w:val="20"/>
          <w:highlight w:val="cyan"/>
          <w:lang w:val="en-US"/>
        </w:rPr>
        <w:t xml:space="preserve"> </w:t>
      </w:r>
      <w:r w:rsidR="00710563" w:rsidRPr="00E86501">
        <w:rPr>
          <w:color w:val="000000" w:themeColor="text1"/>
          <w:sz w:val="20"/>
          <w:szCs w:val="20"/>
          <w:highlight w:val="cyan"/>
          <w:lang w:val="en-US"/>
        </w:rPr>
        <w:t>strengthen</w:t>
      </w:r>
      <w:r w:rsidRPr="00E86501">
        <w:rPr>
          <w:color w:val="000000" w:themeColor="text1"/>
          <w:sz w:val="20"/>
          <w:szCs w:val="20"/>
          <w:highlight w:val="cyan"/>
          <w:lang w:val="en-US"/>
        </w:rPr>
        <w:t xml:space="preserve"> climate resilience, supports green job creation, and reinforces participatory stewardship of restored ecosystems.</w:t>
      </w:r>
    </w:p>
    <w:p w14:paraId="2D44BB99" w14:textId="0D31D2EC" w:rsidR="00395A86" w:rsidRPr="00E86501" w:rsidRDefault="00395A86" w:rsidP="00395A86">
      <w:pPr>
        <w:rPr>
          <w:color w:val="000000" w:themeColor="text1"/>
          <w:sz w:val="20"/>
          <w:szCs w:val="20"/>
          <w:highlight w:val="cyan"/>
          <w:lang w:val="en-US"/>
        </w:rPr>
      </w:pPr>
      <w:r w:rsidRPr="00E86501">
        <w:rPr>
          <w:color w:val="000000" w:themeColor="text1"/>
          <w:sz w:val="20"/>
          <w:szCs w:val="20"/>
          <w:highlight w:val="cyan"/>
          <w:lang w:val="en-US"/>
        </w:rPr>
        <w:t>The activity will be implemented under the leadership of the General Directorate of Water and Forests (DG</w:t>
      </w:r>
      <w:r w:rsidR="00183D3A" w:rsidRPr="00E86501">
        <w:rPr>
          <w:color w:val="000000" w:themeColor="text1"/>
          <w:sz w:val="20"/>
          <w:szCs w:val="20"/>
          <w:highlight w:val="cyan"/>
          <w:lang w:val="en-US"/>
        </w:rPr>
        <w:t>WF</w:t>
      </w:r>
      <w:r w:rsidRPr="00E86501">
        <w:rPr>
          <w:color w:val="000000" w:themeColor="text1"/>
          <w:sz w:val="20"/>
          <w:szCs w:val="20"/>
          <w:highlight w:val="cyan"/>
          <w:lang w:val="en-US"/>
        </w:rPr>
        <w:t>)</w:t>
      </w:r>
      <w:r w:rsidR="000A5BFE" w:rsidRPr="00E86501">
        <w:rPr>
          <w:color w:val="000000" w:themeColor="text1"/>
          <w:sz w:val="20"/>
          <w:szCs w:val="20"/>
          <w:highlight w:val="cyan"/>
          <w:lang w:val="en-US"/>
        </w:rPr>
        <w:t xml:space="preserve">. </w:t>
      </w:r>
      <w:r w:rsidR="009778E4" w:rsidRPr="00E86501">
        <w:rPr>
          <w:color w:val="000000" w:themeColor="text1"/>
          <w:sz w:val="20"/>
          <w:szCs w:val="20"/>
          <w:highlight w:val="cyan"/>
          <w:lang w:val="en-US"/>
        </w:rPr>
        <w:t>For the sub-activi</w:t>
      </w:r>
      <w:r w:rsidR="00F86634" w:rsidRPr="00E86501">
        <w:rPr>
          <w:color w:val="000000" w:themeColor="text1"/>
          <w:sz w:val="20"/>
          <w:szCs w:val="20"/>
          <w:highlight w:val="cyan"/>
          <w:lang w:val="en-US"/>
        </w:rPr>
        <w:t xml:space="preserve">ty 3 </w:t>
      </w:r>
      <w:r w:rsidR="009778E4" w:rsidRPr="00E86501">
        <w:rPr>
          <w:color w:val="000000" w:themeColor="text1"/>
          <w:sz w:val="20"/>
          <w:szCs w:val="20"/>
          <w:highlight w:val="cyan"/>
          <w:lang w:val="en-US"/>
        </w:rPr>
        <w:t>the D</w:t>
      </w:r>
      <w:r w:rsidRPr="00E86501">
        <w:rPr>
          <w:color w:val="000000" w:themeColor="text1"/>
          <w:sz w:val="20"/>
          <w:szCs w:val="20"/>
          <w:highlight w:val="cyan"/>
          <w:lang w:val="en-US"/>
        </w:rPr>
        <w:t>istrict of Bamak</w:t>
      </w:r>
      <w:r w:rsidR="00637665" w:rsidRPr="00E86501">
        <w:rPr>
          <w:color w:val="000000" w:themeColor="text1"/>
          <w:sz w:val="20"/>
          <w:szCs w:val="20"/>
          <w:highlight w:val="cyan"/>
          <w:lang w:val="en-US"/>
        </w:rPr>
        <w:t>o will have the</w:t>
      </w:r>
      <w:r w:rsidR="00FC7B66" w:rsidRPr="00E86501">
        <w:rPr>
          <w:color w:val="000000" w:themeColor="text1"/>
          <w:sz w:val="20"/>
          <w:szCs w:val="20"/>
          <w:highlight w:val="cyan"/>
          <w:lang w:val="en-US"/>
        </w:rPr>
        <w:t xml:space="preserve"> leadership and</w:t>
      </w:r>
      <w:r w:rsidR="00932420" w:rsidRPr="00E86501">
        <w:rPr>
          <w:color w:val="000000" w:themeColor="text1"/>
          <w:sz w:val="20"/>
          <w:szCs w:val="20"/>
          <w:highlight w:val="cyan"/>
          <w:lang w:val="en-US"/>
        </w:rPr>
        <w:t xml:space="preserve"> the</w:t>
      </w:r>
      <w:r w:rsidR="00637665" w:rsidRPr="00E86501">
        <w:rPr>
          <w:color w:val="000000" w:themeColor="text1"/>
          <w:sz w:val="20"/>
          <w:szCs w:val="20"/>
          <w:highlight w:val="cyan"/>
          <w:lang w:val="en-US"/>
        </w:rPr>
        <w:t xml:space="preserve"> authority to manage this action since the green spaces are within its boundaries.</w:t>
      </w:r>
      <w:r w:rsidR="00E70D4E" w:rsidRPr="00E86501">
        <w:rPr>
          <w:color w:val="000000" w:themeColor="text1"/>
          <w:sz w:val="20"/>
          <w:szCs w:val="20"/>
          <w:highlight w:val="cyan"/>
          <w:lang w:val="en-US"/>
        </w:rPr>
        <w:t xml:space="preserve"> </w:t>
      </w:r>
      <w:r w:rsidRPr="00E86501">
        <w:rPr>
          <w:color w:val="000000" w:themeColor="text1"/>
          <w:sz w:val="20"/>
          <w:szCs w:val="20"/>
          <w:highlight w:val="cyan"/>
          <w:lang w:val="en-US"/>
        </w:rPr>
        <w:t xml:space="preserve">The PMU will support procurement and contract management, including the recruitment </w:t>
      </w:r>
      <w:r w:rsidR="005D7138" w:rsidRPr="00E86501">
        <w:rPr>
          <w:color w:val="000000" w:themeColor="text1"/>
          <w:sz w:val="20"/>
          <w:szCs w:val="20"/>
          <w:highlight w:val="cyan"/>
          <w:lang w:val="en-US"/>
        </w:rPr>
        <w:t xml:space="preserve">of </w:t>
      </w:r>
      <w:r w:rsidR="00AB3493" w:rsidRPr="00E86501">
        <w:rPr>
          <w:color w:val="000000" w:themeColor="text1"/>
          <w:sz w:val="20"/>
          <w:szCs w:val="20"/>
          <w:highlight w:val="cyan"/>
          <w:lang w:val="en-US"/>
        </w:rPr>
        <w:t xml:space="preserve">a </w:t>
      </w:r>
      <w:r w:rsidR="00AB3493" w:rsidRPr="00E86501">
        <w:rPr>
          <w:b/>
          <w:bCs/>
          <w:color w:val="000000" w:themeColor="text1"/>
          <w:sz w:val="20"/>
          <w:szCs w:val="20"/>
          <w:highlight w:val="cyan"/>
          <w:lang w:val="en-US"/>
        </w:rPr>
        <w:t>national consult</w:t>
      </w:r>
      <w:r w:rsidR="00F747CF" w:rsidRPr="00E86501">
        <w:rPr>
          <w:b/>
          <w:bCs/>
          <w:color w:val="000000" w:themeColor="text1"/>
          <w:sz w:val="20"/>
          <w:szCs w:val="20"/>
          <w:highlight w:val="cyan"/>
          <w:lang w:val="en-US"/>
        </w:rPr>
        <w:t>ant</w:t>
      </w:r>
      <w:r w:rsidR="00AB3493" w:rsidRPr="00E86501">
        <w:rPr>
          <w:color w:val="000000" w:themeColor="text1"/>
          <w:sz w:val="20"/>
          <w:szCs w:val="20"/>
          <w:highlight w:val="cyan"/>
          <w:lang w:val="en-US"/>
        </w:rPr>
        <w:t xml:space="preserve"> to prepare the </w:t>
      </w:r>
      <w:r w:rsidR="00312E6F" w:rsidRPr="00E86501">
        <w:rPr>
          <w:color w:val="000000" w:themeColor="text1"/>
          <w:sz w:val="20"/>
          <w:szCs w:val="20"/>
          <w:highlight w:val="cyan"/>
          <w:lang w:val="en-US"/>
        </w:rPr>
        <w:t>TOR for</w:t>
      </w:r>
      <w:r w:rsidR="00FF22D9" w:rsidRPr="00E86501">
        <w:rPr>
          <w:color w:val="000000" w:themeColor="text1"/>
          <w:sz w:val="20"/>
          <w:szCs w:val="20"/>
          <w:highlight w:val="cyan"/>
          <w:lang w:val="en-US"/>
        </w:rPr>
        <w:t xml:space="preserve"> </w:t>
      </w:r>
      <w:r w:rsidRPr="00E86501">
        <w:rPr>
          <w:b/>
          <w:bCs/>
          <w:color w:val="000000" w:themeColor="text1"/>
          <w:sz w:val="20"/>
          <w:szCs w:val="20"/>
          <w:highlight w:val="cyan"/>
          <w:lang w:val="en-US"/>
        </w:rPr>
        <w:t xml:space="preserve">specialized firms, inter-branch agricultural organizations, </w:t>
      </w:r>
      <w:r w:rsidR="00317B00" w:rsidRPr="00E86501">
        <w:rPr>
          <w:b/>
          <w:bCs/>
          <w:color w:val="000000" w:themeColor="text1"/>
          <w:sz w:val="20"/>
          <w:szCs w:val="20"/>
          <w:highlight w:val="cyan"/>
          <w:lang w:val="en-US"/>
        </w:rPr>
        <w:t>a</w:t>
      </w:r>
      <w:r w:rsidRPr="00E86501">
        <w:rPr>
          <w:b/>
          <w:bCs/>
          <w:color w:val="000000" w:themeColor="text1"/>
          <w:sz w:val="20"/>
          <w:szCs w:val="20"/>
          <w:highlight w:val="cyan"/>
          <w:lang w:val="en-US"/>
        </w:rPr>
        <w:t>nd</w:t>
      </w:r>
      <w:r w:rsidR="00317B00" w:rsidRPr="00E86501">
        <w:rPr>
          <w:b/>
          <w:bCs/>
          <w:color w:val="000000" w:themeColor="text1"/>
          <w:sz w:val="20"/>
          <w:szCs w:val="20"/>
          <w:highlight w:val="cyan"/>
          <w:lang w:val="en-US"/>
        </w:rPr>
        <w:t xml:space="preserve">/or </w:t>
      </w:r>
      <w:r w:rsidRPr="00E86501">
        <w:rPr>
          <w:b/>
          <w:bCs/>
          <w:color w:val="000000" w:themeColor="text1"/>
          <w:sz w:val="20"/>
          <w:szCs w:val="20"/>
          <w:highlight w:val="cyan"/>
          <w:lang w:val="en-US"/>
        </w:rPr>
        <w:t>local NGOs</w:t>
      </w:r>
      <w:r w:rsidRPr="00E86501">
        <w:rPr>
          <w:color w:val="000000" w:themeColor="text1"/>
          <w:sz w:val="20"/>
          <w:szCs w:val="20"/>
          <w:highlight w:val="cyan"/>
          <w:lang w:val="en-US"/>
        </w:rPr>
        <w:t xml:space="preserve"> to implement reforestation, contract-planting models, and community mobilization.</w:t>
      </w:r>
    </w:p>
    <w:p w14:paraId="40DDA14B" w14:textId="77D837B4" w:rsidR="00395A86" w:rsidRPr="00E86501" w:rsidRDefault="00395A86" w:rsidP="00395A86">
      <w:pPr>
        <w:rPr>
          <w:color w:val="000000" w:themeColor="text1"/>
          <w:sz w:val="20"/>
          <w:szCs w:val="20"/>
          <w:lang w:val="en-US"/>
        </w:rPr>
      </w:pPr>
      <w:r w:rsidRPr="00E86501">
        <w:rPr>
          <w:color w:val="000000" w:themeColor="text1"/>
          <w:sz w:val="20"/>
          <w:szCs w:val="20"/>
          <w:highlight w:val="cyan"/>
          <w:lang w:val="en-US"/>
        </w:rPr>
        <w:t xml:space="preserve">Public–private partnership agreements will be established with </w:t>
      </w:r>
      <w:r w:rsidRPr="00E86501">
        <w:rPr>
          <w:b/>
          <w:bCs/>
          <w:color w:val="000000" w:themeColor="text1"/>
          <w:sz w:val="20"/>
          <w:szCs w:val="20"/>
          <w:highlight w:val="cyan"/>
          <w:lang w:val="en-US"/>
        </w:rPr>
        <w:t>agricultural inter-professional organizations</w:t>
      </w:r>
      <w:r w:rsidRPr="00E86501">
        <w:rPr>
          <w:color w:val="000000" w:themeColor="text1"/>
          <w:sz w:val="20"/>
          <w:szCs w:val="20"/>
          <w:highlight w:val="cyan"/>
          <w:lang w:val="en-US"/>
        </w:rPr>
        <w:t xml:space="preserve"> for high-value species management, and with </w:t>
      </w:r>
      <w:r w:rsidRPr="00E86501">
        <w:rPr>
          <w:b/>
          <w:bCs/>
          <w:color w:val="000000" w:themeColor="text1"/>
          <w:sz w:val="20"/>
          <w:szCs w:val="20"/>
          <w:highlight w:val="cyan"/>
          <w:lang w:val="en-US"/>
        </w:rPr>
        <w:t>private ecotourism operators</w:t>
      </w:r>
      <w:r w:rsidRPr="00E86501">
        <w:rPr>
          <w:color w:val="000000" w:themeColor="text1"/>
          <w:sz w:val="20"/>
          <w:szCs w:val="20"/>
          <w:highlight w:val="cyan"/>
          <w:lang w:val="en-US"/>
        </w:rPr>
        <w:t xml:space="preserve"> for developing green infrastructure and service models in the two pilot sites. Local NGOs and women/youth groups will be engaged to ensure inclusive participation, while ecotourism and agroforestry operators will co-manage activities under participatory monitoring arrangements led by DG</w:t>
      </w:r>
      <w:r w:rsidR="00B06714" w:rsidRPr="00E86501">
        <w:rPr>
          <w:color w:val="000000" w:themeColor="text1"/>
          <w:sz w:val="20"/>
          <w:szCs w:val="20"/>
          <w:highlight w:val="cyan"/>
          <w:lang w:val="en-US"/>
        </w:rPr>
        <w:t>W</w:t>
      </w:r>
      <w:r w:rsidRPr="00E86501">
        <w:rPr>
          <w:color w:val="000000" w:themeColor="text1"/>
          <w:sz w:val="20"/>
          <w:szCs w:val="20"/>
          <w:highlight w:val="cyan"/>
          <w:lang w:val="en-US"/>
        </w:rPr>
        <w:t>F.</w:t>
      </w:r>
    </w:p>
    <w:p w14:paraId="444FFF20" w14:textId="77777777" w:rsidR="002835C6" w:rsidRPr="00E86501" w:rsidRDefault="002835C6" w:rsidP="003974F4">
      <w:pPr>
        <w:rPr>
          <w:color w:val="000000" w:themeColor="text1"/>
          <w:sz w:val="20"/>
          <w:szCs w:val="20"/>
          <w:lang w:val="en-US"/>
        </w:rPr>
      </w:pPr>
    </w:p>
    <w:p w14:paraId="6C8B9265" w14:textId="14B5167B" w:rsidR="00032CE0" w:rsidRPr="00E86501" w:rsidRDefault="28158316" w:rsidP="4B3DA424">
      <w:pPr>
        <w:rPr>
          <w:i/>
          <w:iCs/>
          <w:color w:val="000000" w:themeColor="text1"/>
          <w:sz w:val="20"/>
          <w:szCs w:val="20"/>
          <w:highlight w:val="cyan"/>
          <w:u w:val="single"/>
          <w:lang w:val="en-US"/>
        </w:rPr>
      </w:pPr>
      <w:r w:rsidRPr="00E86501">
        <w:rPr>
          <w:i/>
          <w:iCs/>
          <w:color w:val="000000" w:themeColor="text1"/>
          <w:sz w:val="20"/>
          <w:szCs w:val="20"/>
          <w:highlight w:val="cyan"/>
          <w:u w:val="single"/>
          <w:lang w:val="en-US"/>
        </w:rPr>
        <w:t>Activity 3.1.4.</w:t>
      </w:r>
      <w:r w:rsidR="5C7101E9" w:rsidRPr="4B3DA424">
        <w:rPr>
          <w:i/>
          <w:iCs/>
          <w:color w:val="000000" w:themeColor="text1"/>
          <w:sz w:val="20"/>
          <w:szCs w:val="20"/>
          <w:highlight w:val="cyan"/>
          <w:u w:val="single"/>
          <w:lang w:val="en-US"/>
        </w:rPr>
        <w:t>2</w:t>
      </w:r>
      <w:r w:rsidRPr="00E86501">
        <w:rPr>
          <w:i/>
          <w:iCs/>
          <w:color w:val="000000" w:themeColor="text1"/>
          <w:sz w:val="20"/>
          <w:szCs w:val="20"/>
          <w:highlight w:val="cyan"/>
          <w:u w:val="single"/>
          <w:lang w:val="en-US"/>
        </w:rPr>
        <w:t xml:space="preserve">: </w:t>
      </w:r>
      <w:r w:rsidR="00032CE0" w:rsidRPr="00E86501">
        <w:rPr>
          <w:i/>
          <w:iCs/>
          <w:color w:val="000000" w:themeColor="text1"/>
          <w:sz w:val="20"/>
          <w:szCs w:val="20"/>
          <w:highlight w:val="cyan"/>
          <w:u w:val="single"/>
          <w:lang w:val="en-US"/>
        </w:rPr>
        <w:t>Promote inclusive green entrepreneurship through contract planting, women’s market gardening, and nursery/floriculture value chain</w:t>
      </w:r>
      <w:r w:rsidR="00F35BC5" w:rsidRPr="00E86501">
        <w:rPr>
          <w:i/>
          <w:iCs/>
          <w:color w:val="000000" w:themeColor="text1"/>
          <w:sz w:val="20"/>
          <w:szCs w:val="20"/>
          <w:highlight w:val="cyan"/>
          <w:u w:val="single"/>
          <w:lang w:val="en-US"/>
        </w:rPr>
        <w:t>s</w:t>
      </w:r>
    </w:p>
    <w:p w14:paraId="7FECD1C1" w14:textId="77777777" w:rsidR="00B7596F" w:rsidRPr="00E86501" w:rsidRDefault="00B7596F" w:rsidP="00B7596F">
      <w:pPr>
        <w:rPr>
          <w:color w:val="000000" w:themeColor="text1"/>
          <w:sz w:val="20"/>
          <w:szCs w:val="20"/>
          <w:highlight w:val="cyan"/>
          <w:lang w:val="en-US"/>
        </w:rPr>
      </w:pPr>
      <w:r w:rsidRPr="00E86501">
        <w:rPr>
          <w:color w:val="000000" w:themeColor="text1"/>
          <w:sz w:val="20"/>
          <w:szCs w:val="20"/>
          <w:highlight w:val="cyan"/>
          <w:lang w:val="en-US"/>
        </w:rPr>
        <w:t>This activity promotes inclusive green entrepreneurship in Bamako by supporting women’s market gardening groups, strengthening contract-planting models, and fostering professional nursery and floriculture value chains. Building on investments made under the PRUBA project, it targets three peri-urban market gardening sites and selected urban green spaces to expand livelihood opportunities, enhance climate resilience, and develop a vibrant local green economy.</w:t>
      </w:r>
    </w:p>
    <w:p w14:paraId="3B37D220" w14:textId="612CCCEF" w:rsidR="00B7596F" w:rsidRPr="00E86501" w:rsidRDefault="00B7596F" w:rsidP="00115DCB">
      <w:pPr>
        <w:rPr>
          <w:color w:val="000000" w:themeColor="text1"/>
          <w:sz w:val="20"/>
          <w:szCs w:val="20"/>
          <w:highlight w:val="cyan"/>
          <w:lang w:val="en-US"/>
        </w:rPr>
      </w:pPr>
      <w:r w:rsidRPr="00E86501">
        <w:rPr>
          <w:color w:val="000000" w:themeColor="text1"/>
          <w:sz w:val="20"/>
          <w:szCs w:val="20"/>
          <w:highlight w:val="cyan"/>
          <w:lang w:val="en-US"/>
        </w:rPr>
        <w:t xml:space="preserve">The activity will reinforce </w:t>
      </w:r>
      <w:r w:rsidRPr="00E86501">
        <w:rPr>
          <w:b/>
          <w:bCs/>
          <w:color w:val="000000" w:themeColor="text1"/>
          <w:sz w:val="20"/>
          <w:szCs w:val="20"/>
          <w:highlight w:val="cyan"/>
          <w:lang w:val="en-US"/>
        </w:rPr>
        <w:t>women-led smallholder farming groups</w:t>
      </w:r>
      <w:r w:rsidRPr="00E86501">
        <w:rPr>
          <w:color w:val="000000" w:themeColor="text1"/>
          <w:sz w:val="20"/>
          <w:szCs w:val="20"/>
          <w:highlight w:val="cyan"/>
          <w:lang w:val="en-US"/>
        </w:rPr>
        <w:t xml:space="preserve"> in the three PRUBA-developed gardening zones through agroecological training, climate-resilient production methods, improved water and soil management, and better access to tools, inputs, and small-scale infrastructure such as irrigation systems, compost pits, fencing, and storage facilities</w:t>
      </w:r>
      <w:r w:rsidR="009906F3">
        <w:rPr>
          <w:color w:val="000000" w:themeColor="text1"/>
          <w:sz w:val="20"/>
          <w:szCs w:val="20"/>
          <w:highlight w:val="cyan"/>
          <w:lang w:val="en-US"/>
        </w:rPr>
        <w:t>, and m</w:t>
      </w:r>
      <w:r w:rsidR="00115DCB" w:rsidRPr="00E86501">
        <w:rPr>
          <w:b/>
          <w:bCs/>
          <w:color w:val="000000" w:themeColor="text1"/>
          <w:sz w:val="20"/>
          <w:szCs w:val="20"/>
          <w:highlight w:val="cyan"/>
          <w:lang w:val="en-US"/>
        </w:rPr>
        <w:t>arket access and value chain integratio</w:t>
      </w:r>
      <w:r w:rsidR="00D36EA2">
        <w:rPr>
          <w:b/>
          <w:bCs/>
          <w:color w:val="000000" w:themeColor="text1"/>
          <w:sz w:val="20"/>
          <w:szCs w:val="20"/>
          <w:highlight w:val="cyan"/>
          <w:lang w:val="en-US"/>
        </w:rPr>
        <w:t xml:space="preserve">n. </w:t>
      </w:r>
      <w:r w:rsidRPr="00E86501">
        <w:rPr>
          <w:color w:val="000000" w:themeColor="text1"/>
          <w:sz w:val="20"/>
          <w:szCs w:val="20"/>
          <w:highlight w:val="cyan"/>
          <w:lang w:val="en-US"/>
        </w:rPr>
        <w:t xml:space="preserve"> It will support the structuring and legal recognition of cooperatives, strengthen women’s leadership and financial literacy, and facilitate access to markets through improved logistics, branding, and digital tools.</w:t>
      </w:r>
    </w:p>
    <w:p w14:paraId="35CA7777" w14:textId="77777777" w:rsidR="00B7596F" w:rsidRPr="00E86501" w:rsidRDefault="00B7596F" w:rsidP="00B7596F">
      <w:pPr>
        <w:rPr>
          <w:color w:val="000000" w:themeColor="text1"/>
          <w:sz w:val="20"/>
          <w:szCs w:val="20"/>
          <w:highlight w:val="cyan"/>
          <w:lang w:val="en-US"/>
        </w:rPr>
      </w:pPr>
      <w:r w:rsidRPr="00E86501">
        <w:rPr>
          <w:color w:val="000000" w:themeColor="text1"/>
          <w:sz w:val="20"/>
          <w:szCs w:val="20"/>
          <w:highlight w:val="cyan"/>
          <w:lang w:val="en-US"/>
        </w:rPr>
        <w:t xml:space="preserve">In parallel, the activity will promote </w:t>
      </w:r>
      <w:r w:rsidRPr="00E86501">
        <w:rPr>
          <w:b/>
          <w:bCs/>
          <w:color w:val="000000" w:themeColor="text1"/>
          <w:sz w:val="20"/>
          <w:szCs w:val="20"/>
          <w:highlight w:val="cyan"/>
          <w:lang w:val="en-US"/>
        </w:rPr>
        <w:t>green entrepreneurship in nurseries, floriculture, and landscaping</w:t>
      </w:r>
      <w:r w:rsidRPr="00E86501">
        <w:rPr>
          <w:color w:val="000000" w:themeColor="text1"/>
          <w:sz w:val="20"/>
          <w:szCs w:val="20"/>
          <w:highlight w:val="cyan"/>
          <w:lang w:val="en-US"/>
        </w:rPr>
        <w:t xml:space="preserve"> by allocating at least five public green spaces to qualified nurserymen, florists, landscapers, or Economic Interest Groups (EIGs) through a transparent Call for Expressions of Interest (CEI) in collaboration with the District of Bamako. These public-private-community partnerships will enhance the maintenance and ecological quality of urban green spaces, stimulate youth and women’s employment, and generate biodiversity co-benefits </w:t>
      </w:r>
      <w:proofErr w:type="gramStart"/>
      <w:r w:rsidRPr="00E86501">
        <w:rPr>
          <w:color w:val="000000" w:themeColor="text1"/>
          <w:sz w:val="20"/>
          <w:szCs w:val="20"/>
          <w:highlight w:val="cyan"/>
          <w:lang w:val="en-US"/>
        </w:rPr>
        <w:t>through the use of</w:t>
      </w:r>
      <w:proofErr w:type="gramEnd"/>
      <w:r w:rsidRPr="00E86501">
        <w:rPr>
          <w:color w:val="000000" w:themeColor="text1"/>
          <w:sz w:val="20"/>
          <w:szCs w:val="20"/>
          <w:highlight w:val="cyan"/>
          <w:lang w:val="en-US"/>
        </w:rPr>
        <w:t xml:space="preserve"> native species.</w:t>
      </w:r>
    </w:p>
    <w:p w14:paraId="6E2924D6" w14:textId="49AC099F" w:rsidR="00B7596F" w:rsidRPr="00241992" w:rsidRDefault="00B7596F" w:rsidP="00B7596F">
      <w:pPr>
        <w:rPr>
          <w:color w:val="000000" w:themeColor="text1"/>
          <w:sz w:val="20"/>
          <w:szCs w:val="20"/>
          <w:highlight w:val="cyan"/>
          <w:lang w:val="en-US"/>
        </w:rPr>
      </w:pPr>
      <w:r w:rsidRPr="00E86501">
        <w:rPr>
          <w:color w:val="000000" w:themeColor="text1"/>
          <w:sz w:val="20"/>
          <w:szCs w:val="20"/>
          <w:highlight w:val="cyan"/>
          <w:lang w:val="en-US"/>
        </w:rPr>
        <w:t>By linking contract planting, women’s agroecology, and horticulture value chains, the activity strengthens nature-based livelihoods, enhances the sustainable management of urban green spaces, reduces municipal maintenance burdens, and supports the long-term ecological and economic functions of Bamako’s Green Belt</w:t>
      </w:r>
      <w:r w:rsidR="002205B6" w:rsidRPr="00E86501">
        <w:rPr>
          <w:color w:val="000000" w:themeColor="text1"/>
          <w:sz w:val="20"/>
          <w:szCs w:val="20"/>
          <w:highlight w:val="cyan"/>
          <w:lang w:val="en-US"/>
        </w:rPr>
        <w:t>.</w:t>
      </w:r>
    </w:p>
    <w:p w14:paraId="25557CCD" w14:textId="77777777" w:rsidR="00241992" w:rsidRPr="00D648D8" w:rsidRDefault="00241992" w:rsidP="00241992">
      <w:pPr>
        <w:rPr>
          <w:color w:val="000000" w:themeColor="text1"/>
          <w:sz w:val="20"/>
          <w:szCs w:val="20"/>
          <w:lang w:val="en-US"/>
        </w:rPr>
      </w:pPr>
      <w:r w:rsidRPr="00E86501">
        <w:rPr>
          <w:color w:val="000000" w:themeColor="text1"/>
          <w:sz w:val="20"/>
          <w:szCs w:val="20"/>
          <w:highlight w:val="cyan"/>
          <w:lang w:val="en-US"/>
        </w:rPr>
        <w:t>Women’s cooperatives and youth groups will be engaged directly in capacity-building and production activities, while public–private–community partnership agreements for the allocation and management of urban green spaces will be formalized with selected nurserymen, florists, landscapers, and EIGs. Participatory monitoring involving communes, community representatives, and technical services will ensure transparency, local ownership, and the long-term sustainability of green-economy initiatives</w:t>
      </w:r>
      <w:r w:rsidRPr="00D648D8">
        <w:rPr>
          <w:color w:val="000000" w:themeColor="text1"/>
          <w:sz w:val="20"/>
          <w:szCs w:val="20"/>
          <w:lang w:val="en-US"/>
        </w:rPr>
        <w:t>.</w:t>
      </w:r>
    </w:p>
    <w:p w14:paraId="1589CD2B" w14:textId="77777777" w:rsidR="00241992" w:rsidRPr="00E86501" w:rsidRDefault="00241992" w:rsidP="00B7596F">
      <w:pPr>
        <w:rPr>
          <w:color w:val="000000" w:themeColor="text1"/>
          <w:sz w:val="20"/>
          <w:szCs w:val="20"/>
          <w:highlight w:val="cyan"/>
          <w:lang w:val="en-US"/>
        </w:rPr>
      </w:pPr>
    </w:p>
    <w:p w14:paraId="28F5C438" w14:textId="14DBBA5E" w:rsidR="00B81023" w:rsidRPr="00E86501" w:rsidRDefault="00B81023" w:rsidP="00B81023">
      <w:pPr>
        <w:rPr>
          <w:color w:val="000000" w:themeColor="text1"/>
          <w:sz w:val="20"/>
          <w:szCs w:val="20"/>
          <w:highlight w:val="cyan"/>
          <w:lang w:val="en-US"/>
        </w:rPr>
      </w:pPr>
      <w:r w:rsidRPr="00E86501">
        <w:rPr>
          <w:color w:val="000000" w:themeColor="text1"/>
          <w:sz w:val="20"/>
          <w:szCs w:val="20"/>
          <w:highlight w:val="cyan"/>
          <w:lang w:val="en-US"/>
        </w:rPr>
        <w:t>The activity will be implemented under the leadership of the District of Bamako, in close coordination with the General Directorate of Water and Forests (DG</w:t>
      </w:r>
      <w:r w:rsidR="00C03550" w:rsidRPr="00E86501">
        <w:rPr>
          <w:color w:val="000000" w:themeColor="text1"/>
          <w:sz w:val="20"/>
          <w:szCs w:val="20"/>
          <w:highlight w:val="cyan"/>
          <w:lang w:val="en-US"/>
        </w:rPr>
        <w:t>W</w:t>
      </w:r>
      <w:r w:rsidRPr="00E86501">
        <w:rPr>
          <w:color w:val="000000" w:themeColor="text1"/>
          <w:sz w:val="20"/>
          <w:szCs w:val="20"/>
          <w:highlight w:val="cyan"/>
          <w:lang w:val="en-US"/>
        </w:rPr>
        <w:t xml:space="preserve">F) and the PRUBA project team to ensure coherence with existing peri-urban gardening investments. The PMU will support procurement and supervision, including the recruitment of </w:t>
      </w:r>
      <w:r w:rsidRPr="00E86501">
        <w:rPr>
          <w:b/>
          <w:bCs/>
          <w:color w:val="000000" w:themeColor="text1"/>
          <w:sz w:val="20"/>
          <w:szCs w:val="20"/>
          <w:highlight w:val="cyan"/>
          <w:lang w:val="en-US"/>
        </w:rPr>
        <w:t xml:space="preserve">specialized </w:t>
      </w:r>
      <w:r w:rsidR="004A0D3A" w:rsidRPr="00E86501">
        <w:rPr>
          <w:b/>
          <w:bCs/>
          <w:color w:val="000000" w:themeColor="text1"/>
          <w:sz w:val="20"/>
          <w:szCs w:val="20"/>
          <w:highlight w:val="cyan"/>
          <w:lang w:val="en-US"/>
        </w:rPr>
        <w:t>firm</w:t>
      </w:r>
      <w:r w:rsidR="006876A6" w:rsidRPr="00E86501">
        <w:rPr>
          <w:b/>
          <w:bCs/>
          <w:color w:val="000000" w:themeColor="text1"/>
          <w:sz w:val="20"/>
          <w:szCs w:val="20"/>
          <w:highlight w:val="cyan"/>
          <w:lang w:val="en-US"/>
        </w:rPr>
        <w:t>s</w:t>
      </w:r>
      <w:r w:rsidR="00D0591F" w:rsidRPr="00E86501">
        <w:rPr>
          <w:b/>
          <w:bCs/>
          <w:color w:val="000000" w:themeColor="text1"/>
          <w:sz w:val="20"/>
          <w:szCs w:val="20"/>
          <w:highlight w:val="cyan"/>
          <w:lang w:val="en-US"/>
        </w:rPr>
        <w:t xml:space="preserve"> to accompany </w:t>
      </w:r>
      <w:r w:rsidR="00D0591F" w:rsidRPr="00E86501">
        <w:rPr>
          <w:color w:val="000000" w:themeColor="text1"/>
          <w:sz w:val="20"/>
          <w:szCs w:val="20"/>
          <w:highlight w:val="cyan"/>
          <w:lang w:val="en-US"/>
        </w:rPr>
        <w:t>the</w:t>
      </w:r>
      <w:r w:rsidRPr="00E86501">
        <w:rPr>
          <w:color w:val="000000" w:themeColor="text1"/>
          <w:sz w:val="20"/>
          <w:szCs w:val="20"/>
          <w:highlight w:val="cyan"/>
          <w:lang w:val="en-US"/>
        </w:rPr>
        <w:t xml:space="preserve"> implement</w:t>
      </w:r>
      <w:r w:rsidR="00D0591F" w:rsidRPr="00E86501">
        <w:rPr>
          <w:color w:val="000000" w:themeColor="text1"/>
          <w:sz w:val="20"/>
          <w:szCs w:val="20"/>
          <w:highlight w:val="cyan"/>
          <w:lang w:val="en-US"/>
        </w:rPr>
        <w:t>ation</w:t>
      </w:r>
      <w:r w:rsidR="00DF428E" w:rsidRPr="00E86501">
        <w:rPr>
          <w:color w:val="000000" w:themeColor="text1"/>
          <w:sz w:val="20"/>
          <w:szCs w:val="20"/>
          <w:highlight w:val="cyan"/>
          <w:lang w:val="en-US"/>
        </w:rPr>
        <w:t xml:space="preserve"> </w:t>
      </w:r>
      <w:proofErr w:type="spellStart"/>
      <w:r w:rsidR="00DF428E" w:rsidRPr="00E86501">
        <w:rPr>
          <w:color w:val="000000" w:themeColor="text1"/>
          <w:sz w:val="20"/>
          <w:szCs w:val="20"/>
          <w:highlight w:val="cyan"/>
          <w:lang w:val="en-US"/>
        </w:rPr>
        <w:t>ofs</w:t>
      </w:r>
      <w:proofErr w:type="spellEnd"/>
      <w:r w:rsidRPr="00E86501">
        <w:rPr>
          <w:color w:val="000000" w:themeColor="text1"/>
          <w:sz w:val="20"/>
          <w:szCs w:val="20"/>
          <w:highlight w:val="cyan"/>
          <w:lang w:val="en-US"/>
        </w:rPr>
        <w:t xml:space="preserve"> the different components (women’s agroecology, contract planting, and green-space PPPs)</w:t>
      </w:r>
      <w:r w:rsidR="00DF428E" w:rsidRPr="00E86501">
        <w:rPr>
          <w:color w:val="000000" w:themeColor="text1"/>
          <w:sz w:val="20"/>
          <w:szCs w:val="20"/>
          <w:highlight w:val="cyan"/>
          <w:lang w:val="en-US"/>
        </w:rPr>
        <w:t xml:space="preserve"> including with private nursery/floriculture operators</w:t>
      </w:r>
      <w:r w:rsidRPr="00E86501">
        <w:rPr>
          <w:color w:val="000000" w:themeColor="text1"/>
          <w:sz w:val="20"/>
          <w:szCs w:val="20"/>
          <w:highlight w:val="cyan"/>
          <w:lang w:val="en-US"/>
        </w:rPr>
        <w:t>.</w:t>
      </w:r>
    </w:p>
    <w:p w14:paraId="47BDBCEA" w14:textId="6221DA7C" w:rsidR="004810C0" w:rsidRPr="00E86501" w:rsidRDefault="006A022E" w:rsidP="006A022E">
      <w:pPr>
        <w:rPr>
          <w:color w:val="000000" w:themeColor="text1"/>
          <w:sz w:val="20"/>
          <w:szCs w:val="20"/>
          <w:lang w:val="en-US"/>
        </w:rPr>
      </w:pPr>
      <w:r w:rsidRPr="00E86501">
        <w:rPr>
          <w:color w:val="000000" w:themeColor="text1"/>
          <w:sz w:val="20"/>
          <w:szCs w:val="20"/>
          <w:highlight w:val="cyan"/>
          <w:lang w:val="en-US"/>
        </w:rPr>
        <w:t xml:space="preserve">The firm may be engaged to deliver </w:t>
      </w:r>
      <w:r w:rsidR="00C257D0">
        <w:rPr>
          <w:color w:val="000000" w:themeColor="text1"/>
          <w:sz w:val="20"/>
          <w:szCs w:val="20"/>
          <w:highlight w:val="cyan"/>
          <w:lang w:val="en-US"/>
        </w:rPr>
        <w:t xml:space="preserve">the </w:t>
      </w:r>
      <w:r w:rsidR="00C858F6">
        <w:rPr>
          <w:color w:val="000000" w:themeColor="text1"/>
          <w:sz w:val="20"/>
          <w:szCs w:val="20"/>
          <w:highlight w:val="cyan"/>
          <w:lang w:val="en-US"/>
        </w:rPr>
        <w:t xml:space="preserve">activity as </w:t>
      </w:r>
      <w:r w:rsidR="00C858F6" w:rsidRPr="00E86501">
        <w:rPr>
          <w:b/>
          <w:bCs/>
          <w:color w:val="000000" w:themeColor="text1"/>
          <w:sz w:val="20"/>
          <w:szCs w:val="20"/>
          <w:highlight w:val="cyan"/>
          <w:lang w:val="en-US"/>
        </w:rPr>
        <w:t xml:space="preserve">a package </w:t>
      </w:r>
      <w:r w:rsidR="00C858F6">
        <w:rPr>
          <w:color w:val="000000" w:themeColor="text1"/>
          <w:sz w:val="20"/>
          <w:szCs w:val="20"/>
          <w:highlight w:val="cyan"/>
          <w:lang w:val="en-US"/>
        </w:rPr>
        <w:t>or</w:t>
      </w:r>
      <w:r w:rsidRPr="00E86501">
        <w:rPr>
          <w:color w:val="000000" w:themeColor="text1"/>
          <w:sz w:val="20"/>
          <w:szCs w:val="20"/>
          <w:highlight w:val="cyan"/>
          <w:lang w:val="en-US"/>
        </w:rPr>
        <w:t xml:space="preserve"> </w:t>
      </w:r>
      <w:r w:rsidRPr="00E86501">
        <w:rPr>
          <w:b/>
          <w:bCs/>
          <w:color w:val="000000" w:themeColor="text1"/>
          <w:sz w:val="20"/>
          <w:szCs w:val="20"/>
          <w:highlight w:val="cyan"/>
          <w:lang w:val="en-US"/>
        </w:rPr>
        <w:t>separate lots</w:t>
      </w:r>
      <w:r w:rsidRPr="00E86501">
        <w:rPr>
          <w:color w:val="000000" w:themeColor="text1"/>
          <w:sz w:val="20"/>
          <w:szCs w:val="20"/>
          <w:highlight w:val="cyan"/>
          <w:lang w:val="en-US"/>
        </w:rPr>
        <w:t>, depending on market capacity and procurement considerations. This flexible modality will ensure timely delivery, high-quality technical inputs, and effective coordination with all relevant stakeholders</w:t>
      </w:r>
      <w:r w:rsidRPr="00E86501">
        <w:rPr>
          <w:color w:val="000000" w:themeColor="text1"/>
          <w:sz w:val="20"/>
          <w:szCs w:val="20"/>
          <w:lang w:val="en-US"/>
        </w:rPr>
        <w:t>.</w:t>
      </w:r>
    </w:p>
    <w:p w14:paraId="687A6442" w14:textId="1259B801" w:rsidR="00FB35FD" w:rsidRPr="00E86501" w:rsidRDefault="28158316" w:rsidP="003974F4">
      <w:pPr>
        <w:rPr>
          <w:i/>
          <w:iCs/>
          <w:color w:val="000000" w:themeColor="text1"/>
          <w:sz w:val="20"/>
          <w:szCs w:val="20"/>
          <w:highlight w:val="cyan"/>
          <w:u w:val="single"/>
          <w:lang w:val="en-US"/>
        </w:rPr>
      </w:pPr>
      <w:r w:rsidRPr="00E86501">
        <w:rPr>
          <w:i/>
          <w:iCs/>
          <w:color w:val="000000" w:themeColor="text1"/>
          <w:sz w:val="20"/>
          <w:szCs w:val="20"/>
          <w:highlight w:val="cyan"/>
          <w:u w:val="single"/>
          <w:lang w:val="en-US"/>
        </w:rPr>
        <w:t>Activity 3.1.4.</w:t>
      </w:r>
      <w:r w:rsidR="00E67949" w:rsidRPr="00E86501">
        <w:rPr>
          <w:i/>
          <w:iCs/>
          <w:color w:val="000000" w:themeColor="text1"/>
          <w:sz w:val="20"/>
          <w:szCs w:val="20"/>
          <w:highlight w:val="cyan"/>
          <w:u w:val="single"/>
          <w:lang w:val="en-US"/>
        </w:rPr>
        <w:t>3</w:t>
      </w:r>
      <w:r w:rsidRPr="00E86501">
        <w:rPr>
          <w:i/>
          <w:iCs/>
          <w:color w:val="000000" w:themeColor="text1"/>
          <w:sz w:val="20"/>
          <w:szCs w:val="20"/>
          <w:highlight w:val="cyan"/>
          <w:u w:val="single"/>
          <w:lang w:val="en-US"/>
        </w:rPr>
        <w:t xml:space="preserve"> </w:t>
      </w:r>
      <w:r w:rsidR="00FB35FD" w:rsidRPr="00E86501">
        <w:rPr>
          <w:i/>
          <w:iCs/>
          <w:color w:val="000000" w:themeColor="text1"/>
          <w:sz w:val="20"/>
          <w:szCs w:val="20"/>
          <w:highlight w:val="cyan"/>
          <w:u w:val="single"/>
          <w:lang w:val="en-US"/>
        </w:rPr>
        <w:t>Support community-based and locally led initiatives for NMT, resilience and inclusive green urban development</w:t>
      </w:r>
      <w:r w:rsidR="00BA1197">
        <w:rPr>
          <w:i/>
          <w:iCs/>
          <w:color w:val="000000" w:themeColor="text1"/>
          <w:sz w:val="20"/>
          <w:szCs w:val="20"/>
          <w:highlight w:val="cyan"/>
          <w:u w:val="single"/>
          <w:lang w:val="en-US"/>
        </w:rPr>
        <w:t xml:space="preserve"> in partnership with GEF SGP and AL</w:t>
      </w:r>
      <w:r w:rsidR="00AA2362">
        <w:rPr>
          <w:i/>
          <w:iCs/>
          <w:color w:val="000000" w:themeColor="text1"/>
          <w:sz w:val="20"/>
          <w:szCs w:val="20"/>
          <w:highlight w:val="cyan"/>
          <w:u w:val="single"/>
          <w:lang w:val="en-US"/>
        </w:rPr>
        <w:t>s</w:t>
      </w:r>
    </w:p>
    <w:p w14:paraId="494BAD8F" w14:textId="150CF50E" w:rsidR="2BC98319" w:rsidRPr="00857B81" w:rsidRDefault="2BC98319" w:rsidP="00FB35FD">
      <w:pPr>
        <w:rPr>
          <w:sz w:val="20"/>
          <w:szCs w:val="20"/>
          <w:highlight w:val="yellow"/>
          <w:lang w:val="en-US"/>
        </w:rPr>
      </w:pPr>
      <w:r w:rsidRPr="00857B81">
        <w:rPr>
          <w:sz w:val="20"/>
          <w:szCs w:val="20"/>
          <w:highlight w:val="yellow"/>
          <w:lang w:val="en-US"/>
        </w:rPr>
        <w:t xml:space="preserve">This activity aims to empower local communities as key agents of change by supporting grassroots initiatives that promote inclusive, sustainable, and climate-resilient urban development in the urban and peri-urban areas of Bamako. Implemented in collaboration with strategic partners such as the GEF Small Grants </w:t>
      </w:r>
      <w:proofErr w:type="spellStart"/>
      <w:r w:rsidRPr="00857B81">
        <w:rPr>
          <w:sz w:val="20"/>
          <w:szCs w:val="20"/>
          <w:highlight w:val="yellow"/>
          <w:lang w:val="en-US"/>
        </w:rPr>
        <w:t>Programme</w:t>
      </w:r>
      <w:proofErr w:type="spellEnd"/>
      <w:r w:rsidRPr="00857B81">
        <w:rPr>
          <w:sz w:val="20"/>
          <w:szCs w:val="20"/>
          <w:highlight w:val="yellow"/>
          <w:lang w:val="en-US"/>
        </w:rPr>
        <w:t xml:space="preserve"> (SGP), the UNDP Accelerator Lab, and private sector actors, this activity will provide both technical and financial support to </w:t>
      </w:r>
      <w:proofErr w:type="gramStart"/>
      <w:r w:rsidRPr="00857B81">
        <w:rPr>
          <w:sz w:val="20"/>
          <w:szCs w:val="20"/>
          <w:highlight w:val="yellow"/>
          <w:lang w:val="en-US"/>
        </w:rPr>
        <w:t>locally-driven</w:t>
      </w:r>
      <w:proofErr w:type="gramEnd"/>
      <w:r w:rsidRPr="00857B81">
        <w:rPr>
          <w:sz w:val="20"/>
          <w:szCs w:val="20"/>
          <w:highlight w:val="yellow"/>
          <w:lang w:val="en-US"/>
        </w:rPr>
        <w:t xml:space="preserve"> solutions aligned with the project's objectives.</w:t>
      </w:r>
    </w:p>
    <w:p w14:paraId="28B0C71E" w14:textId="4F2EC369" w:rsidR="2BC98319" w:rsidRPr="00857B81" w:rsidRDefault="2BC98319" w:rsidP="00DC2CA1">
      <w:pPr>
        <w:spacing w:after="0"/>
        <w:jc w:val="both"/>
        <w:rPr>
          <w:sz w:val="20"/>
          <w:szCs w:val="20"/>
          <w:highlight w:val="yellow"/>
          <w:lang w:val="en-US"/>
        </w:rPr>
      </w:pPr>
      <w:r w:rsidRPr="00857B81">
        <w:rPr>
          <w:sz w:val="20"/>
          <w:szCs w:val="20"/>
          <w:highlight w:val="yellow"/>
          <w:lang w:val="en-US"/>
        </w:rPr>
        <w:t xml:space="preserve">It will focus on identifying, mentoring, and scaling up </w:t>
      </w:r>
      <w:r w:rsidRPr="00857B81">
        <w:rPr>
          <w:b/>
          <w:bCs/>
          <w:sz w:val="20"/>
          <w:szCs w:val="20"/>
          <w:highlight w:val="yellow"/>
          <w:lang w:val="en-US"/>
        </w:rPr>
        <w:t>community-led initiatives</w:t>
      </w:r>
      <w:r w:rsidRPr="00857B81">
        <w:rPr>
          <w:sz w:val="20"/>
          <w:szCs w:val="20"/>
          <w:highlight w:val="yellow"/>
          <w:lang w:val="en-US"/>
        </w:rPr>
        <w:t xml:space="preserve"> that contribute to environmental protection, social inclusion, and local economic resilience. Special emphasis will be placed on initiatives led by women, youth, and marginalized groups, ensuring that their voices and innovations are fully integrated into Bamako’s transition toward sustainability. Priority areas for intervention will reflect key themes across the IUDP’s three components and may include:</w:t>
      </w:r>
    </w:p>
    <w:p w14:paraId="3A83431B" w14:textId="16F4C536" w:rsidR="2BC98319" w:rsidRPr="00E86501" w:rsidRDefault="0017723F" w:rsidP="00DC2CA1">
      <w:pPr>
        <w:pStyle w:val="Paragraphedeliste"/>
        <w:numPr>
          <w:ilvl w:val="0"/>
          <w:numId w:val="16"/>
        </w:numPr>
        <w:spacing w:after="0"/>
        <w:jc w:val="both"/>
        <w:rPr>
          <w:sz w:val="20"/>
          <w:szCs w:val="20"/>
          <w:highlight w:val="cyan"/>
          <w:lang w:val="en-US"/>
        </w:rPr>
      </w:pPr>
      <w:r w:rsidRPr="00E86501">
        <w:rPr>
          <w:sz w:val="20"/>
          <w:szCs w:val="20"/>
          <w:highlight w:val="cyan"/>
          <w:lang w:val="en-US"/>
        </w:rPr>
        <w:t>Non-Motorized</w:t>
      </w:r>
      <w:r w:rsidR="00AA2362" w:rsidRPr="00E86501">
        <w:rPr>
          <w:sz w:val="20"/>
          <w:szCs w:val="20"/>
          <w:highlight w:val="cyan"/>
          <w:lang w:val="en-US"/>
        </w:rPr>
        <w:t xml:space="preserve"> </w:t>
      </w:r>
      <w:r w:rsidR="006B6D19" w:rsidRPr="00E86501">
        <w:rPr>
          <w:sz w:val="20"/>
          <w:szCs w:val="20"/>
          <w:highlight w:val="cyan"/>
          <w:lang w:val="en-US"/>
        </w:rPr>
        <w:t>Transport</w:t>
      </w:r>
      <w:r w:rsidR="00AA2362" w:rsidRPr="00E86501">
        <w:rPr>
          <w:sz w:val="20"/>
          <w:szCs w:val="20"/>
          <w:highlight w:val="cyan"/>
          <w:lang w:val="en-US"/>
        </w:rPr>
        <w:t xml:space="preserve"> </w:t>
      </w:r>
      <w:r w:rsidR="00295605" w:rsidRPr="00E86501">
        <w:rPr>
          <w:sz w:val="20"/>
          <w:szCs w:val="20"/>
          <w:highlight w:val="cyan"/>
          <w:lang w:val="en-US"/>
        </w:rPr>
        <w:t xml:space="preserve">(NMT) </w:t>
      </w:r>
      <w:r w:rsidR="2BC98319" w:rsidRPr="00E86501">
        <w:rPr>
          <w:sz w:val="20"/>
          <w:szCs w:val="20"/>
          <w:highlight w:val="cyan"/>
          <w:lang w:val="en-US"/>
        </w:rPr>
        <w:t>(e.g., community bike-sharing, awareness campaigns</w:t>
      </w:r>
      <w:proofErr w:type="gramStart"/>
      <w:r w:rsidR="2BC98319" w:rsidRPr="00E86501">
        <w:rPr>
          <w:sz w:val="20"/>
          <w:szCs w:val="20"/>
          <w:highlight w:val="cyan"/>
          <w:lang w:val="en-US"/>
        </w:rPr>
        <w:t>);</w:t>
      </w:r>
      <w:proofErr w:type="gramEnd"/>
    </w:p>
    <w:p w14:paraId="4067A3C2" w14:textId="0B4606AE" w:rsidR="2BC98319" w:rsidRPr="00857B81" w:rsidRDefault="2BC98319" w:rsidP="00DC2CA1">
      <w:pPr>
        <w:pStyle w:val="Paragraphedeliste"/>
        <w:numPr>
          <w:ilvl w:val="0"/>
          <w:numId w:val="16"/>
        </w:numPr>
        <w:spacing w:after="0"/>
        <w:jc w:val="both"/>
        <w:rPr>
          <w:sz w:val="20"/>
          <w:szCs w:val="20"/>
          <w:highlight w:val="yellow"/>
          <w:lang w:val="en-US"/>
        </w:rPr>
      </w:pPr>
      <w:r w:rsidRPr="00E86501">
        <w:rPr>
          <w:sz w:val="20"/>
          <w:szCs w:val="20"/>
          <w:highlight w:val="cyan"/>
          <w:lang w:val="en-US"/>
        </w:rPr>
        <w:t>E</w:t>
      </w:r>
      <w:r w:rsidRPr="00857B81">
        <w:rPr>
          <w:sz w:val="20"/>
          <w:szCs w:val="20"/>
          <w:highlight w:val="yellow"/>
          <w:lang w:val="en-US"/>
        </w:rPr>
        <w:t xml:space="preserve">co-neighborhoods and inclusive housing </w:t>
      </w:r>
      <w:proofErr w:type="gramStart"/>
      <w:r w:rsidRPr="00857B81">
        <w:rPr>
          <w:sz w:val="20"/>
          <w:szCs w:val="20"/>
          <w:highlight w:val="yellow"/>
          <w:lang w:val="en-US"/>
        </w:rPr>
        <w:t>solutions;</w:t>
      </w:r>
      <w:proofErr w:type="gramEnd"/>
    </w:p>
    <w:p w14:paraId="4BD5458F" w14:textId="332E99FB" w:rsidR="2BC98319" w:rsidRPr="00857B81" w:rsidRDefault="2BC98319" w:rsidP="00DC2CA1">
      <w:pPr>
        <w:pStyle w:val="Paragraphedeliste"/>
        <w:numPr>
          <w:ilvl w:val="0"/>
          <w:numId w:val="16"/>
        </w:numPr>
        <w:spacing w:after="0"/>
        <w:jc w:val="both"/>
        <w:rPr>
          <w:sz w:val="20"/>
          <w:szCs w:val="20"/>
          <w:highlight w:val="yellow"/>
          <w:lang w:val="en-US"/>
        </w:rPr>
      </w:pPr>
      <w:r w:rsidRPr="00857B81">
        <w:rPr>
          <w:sz w:val="20"/>
          <w:szCs w:val="20"/>
          <w:highlight w:val="yellow"/>
          <w:lang w:val="en-US"/>
        </w:rPr>
        <w:t xml:space="preserve">Community-based waste reduction, recycling, and circular economy </w:t>
      </w:r>
      <w:proofErr w:type="gramStart"/>
      <w:r w:rsidRPr="00857B81">
        <w:rPr>
          <w:sz w:val="20"/>
          <w:szCs w:val="20"/>
          <w:highlight w:val="yellow"/>
          <w:lang w:val="en-US"/>
        </w:rPr>
        <w:t>models;</w:t>
      </w:r>
      <w:proofErr w:type="gramEnd"/>
    </w:p>
    <w:p w14:paraId="355ADB0D" w14:textId="780A7F61" w:rsidR="2BC98319" w:rsidRPr="00857B81" w:rsidRDefault="2BC98319" w:rsidP="00DC2CA1">
      <w:pPr>
        <w:pStyle w:val="Paragraphedeliste"/>
        <w:numPr>
          <w:ilvl w:val="0"/>
          <w:numId w:val="16"/>
        </w:numPr>
        <w:spacing w:after="0"/>
        <w:jc w:val="both"/>
        <w:rPr>
          <w:sz w:val="20"/>
          <w:szCs w:val="20"/>
          <w:highlight w:val="yellow"/>
          <w:lang w:val="en-US"/>
        </w:rPr>
      </w:pPr>
      <w:r w:rsidRPr="00857B81">
        <w:rPr>
          <w:sz w:val="20"/>
          <w:szCs w:val="20"/>
          <w:highlight w:val="yellow"/>
          <w:lang w:val="en-US"/>
        </w:rPr>
        <w:t xml:space="preserve">Awareness campaigns and stewardship initiatives in urban and peri-urban </w:t>
      </w:r>
      <w:proofErr w:type="gramStart"/>
      <w:r w:rsidRPr="00857B81">
        <w:rPr>
          <w:sz w:val="20"/>
          <w:szCs w:val="20"/>
          <w:highlight w:val="yellow"/>
          <w:lang w:val="en-US"/>
        </w:rPr>
        <w:t>forests;</w:t>
      </w:r>
      <w:proofErr w:type="gramEnd"/>
    </w:p>
    <w:p w14:paraId="2E5AE859" w14:textId="64ACD9DF" w:rsidR="2BC98319" w:rsidRPr="00857B81" w:rsidRDefault="2BC98319" w:rsidP="00DC2CA1">
      <w:pPr>
        <w:pStyle w:val="Paragraphedeliste"/>
        <w:numPr>
          <w:ilvl w:val="0"/>
          <w:numId w:val="16"/>
        </w:numPr>
        <w:spacing w:after="0"/>
        <w:jc w:val="both"/>
        <w:rPr>
          <w:sz w:val="20"/>
          <w:szCs w:val="20"/>
          <w:highlight w:val="yellow"/>
          <w:lang w:val="en-US"/>
        </w:rPr>
      </w:pPr>
      <w:r w:rsidRPr="00857B81">
        <w:rPr>
          <w:sz w:val="20"/>
          <w:szCs w:val="20"/>
          <w:highlight w:val="yellow"/>
          <w:lang w:val="en-US"/>
        </w:rPr>
        <w:t xml:space="preserve">Water quality protection and pollution </w:t>
      </w:r>
      <w:proofErr w:type="gramStart"/>
      <w:r w:rsidRPr="00857B81">
        <w:rPr>
          <w:sz w:val="20"/>
          <w:szCs w:val="20"/>
          <w:highlight w:val="yellow"/>
          <w:lang w:val="en-US"/>
        </w:rPr>
        <w:t>mitigation;</w:t>
      </w:r>
      <w:proofErr w:type="gramEnd"/>
    </w:p>
    <w:p w14:paraId="241A21C0" w14:textId="408BD6D6" w:rsidR="2BC98319" w:rsidRPr="00857B81" w:rsidRDefault="2BC98319" w:rsidP="00DC2CA1">
      <w:pPr>
        <w:pStyle w:val="Paragraphedeliste"/>
        <w:numPr>
          <w:ilvl w:val="0"/>
          <w:numId w:val="16"/>
        </w:numPr>
        <w:spacing w:after="0"/>
        <w:jc w:val="both"/>
        <w:rPr>
          <w:sz w:val="20"/>
          <w:szCs w:val="20"/>
          <w:highlight w:val="yellow"/>
          <w:lang w:val="en-US"/>
        </w:rPr>
      </w:pPr>
      <w:r w:rsidRPr="00857B81">
        <w:rPr>
          <w:sz w:val="20"/>
          <w:szCs w:val="20"/>
          <w:highlight w:val="yellow"/>
          <w:lang w:val="en-US"/>
        </w:rPr>
        <w:t xml:space="preserve">Climate-smart urban agriculture and food </w:t>
      </w:r>
      <w:proofErr w:type="gramStart"/>
      <w:r w:rsidRPr="00857B81">
        <w:rPr>
          <w:sz w:val="20"/>
          <w:szCs w:val="20"/>
          <w:highlight w:val="yellow"/>
          <w:lang w:val="en-US"/>
        </w:rPr>
        <w:t>systems;</w:t>
      </w:r>
      <w:proofErr w:type="gramEnd"/>
    </w:p>
    <w:p w14:paraId="4FBBC656" w14:textId="1AE77FF7" w:rsidR="2BC98319" w:rsidRPr="00857B81" w:rsidRDefault="2BC98319" w:rsidP="00DC2CA1">
      <w:pPr>
        <w:pStyle w:val="Paragraphedeliste"/>
        <w:numPr>
          <w:ilvl w:val="0"/>
          <w:numId w:val="16"/>
        </w:numPr>
        <w:spacing w:after="0"/>
        <w:jc w:val="both"/>
        <w:rPr>
          <w:sz w:val="20"/>
          <w:szCs w:val="20"/>
          <w:highlight w:val="yellow"/>
          <w:lang w:val="en-US"/>
        </w:rPr>
      </w:pPr>
      <w:r w:rsidRPr="00857B81">
        <w:rPr>
          <w:sz w:val="20"/>
          <w:szCs w:val="20"/>
          <w:highlight w:val="yellow"/>
          <w:lang w:val="en-US"/>
        </w:rPr>
        <w:t>Participatory greening and management of public spaces.</w:t>
      </w:r>
    </w:p>
    <w:p w14:paraId="4E971205" w14:textId="159B0D73" w:rsidR="2BC98319" w:rsidRPr="00857B81" w:rsidRDefault="2BC98319" w:rsidP="00DC2CA1">
      <w:pPr>
        <w:spacing w:after="0"/>
        <w:jc w:val="both"/>
        <w:rPr>
          <w:sz w:val="20"/>
          <w:szCs w:val="20"/>
          <w:highlight w:val="yellow"/>
        </w:rPr>
      </w:pPr>
      <w:r w:rsidRPr="00857B81">
        <w:rPr>
          <w:sz w:val="20"/>
          <w:szCs w:val="20"/>
          <w:highlight w:val="yellow"/>
        </w:rPr>
        <w:t xml:space="preserve">The </w:t>
      </w:r>
      <w:proofErr w:type="spellStart"/>
      <w:r w:rsidRPr="00857B81">
        <w:rPr>
          <w:sz w:val="20"/>
          <w:szCs w:val="20"/>
          <w:highlight w:val="yellow"/>
        </w:rPr>
        <w:t>activity</w:t>
      </w:r>
      <w:proofErr w:type="spellEnd"/>
      <w:r w:rsidRPr="00857B81">
        <w:rPr>
          <w:sz w:val="20"/>
          <w:szCs w:val="20"/>
          <w:highlight w:val="yellow"/>
        </w:rPr>
        <w:t xml:space="preserve"> </w:t>
      </w:r>
      <w:proofErr w:type="spellStart"/>
      <w:r w:rsidRPr="00857B81">
        <w:rPr>
          <w:sz w:val="20"/>
          <w:szCs w:val="20"/>
          <w:highlight w:val="yellow"/>
        </w:rPr>
        <w:t>will</w:t>
      </w:r>
      <w:proofErr w:type="spellEnd"/>
      <w:r w:rsidRPr="00857B81">
        <w:rPr>
          <w:sz w:val="20"/>
          <w:szCs w:val="20"/>
          <w:highlight w:val="yellow"/>
        </w:rPr>
        <w:t xml:space="preserve"> </w:t>
      </w:r>
      <w:proofErr w:type="spellStart"/>
      <w:proofErr w:type="gramStart"/>
      <w:r w:rsidRPr="00857B81">
        <w:rPr>
          <w:sz w:val="20"/>
          <w:szCs w:val="20"/>
          <w:highlight w:val="yellow"/>
        </w:rPr>
        <w:t>include</w:t>
      </w:r>
      <w:proofErr w:type="spellEnd"/>
      <w:r w:rsidRPr="00857B81">
        <w:rPr>
          <w:sz w:val="20"/>
          <w:szCs w:val="20"/>
          <w:highlight w:val="yellow"/>
        </w:rPr>
        <w:t>:</w:t>
      </w:r>
      <w:proofErr w:type="gramEnd"/>
    </w:p>
    <w:p w14:paraId="1CF9EFE2" w14:textId="4B60B752" w:rsidR="2BC98319" w:rsidRPr="00857B81" w:rsidRDefault="2BC98319" w:rsidP="00DC2CA1">
      <w:pPr>
        <w:pStyle w:val="Paragraphedeliste"/>
        <w:numPr>
          <w:ilvl w:val="0"/>
          <w:numId w:val="15"/>
        </w:numPr>
        <w:spacing w:after="0"/>
        <w:jc w:val="both"/>
        <w:rPr>
          <w:sz w:val="20"/>
          <w:szCs w:val="20"/>
          <w:highlight w:val="yellow"/>
          <w:lang w:val="en-US"/>
        </w:rPr>
      </w:pPr>
      <w:r w:rsidRPr="00857B81">
        <w:rPr>
          <w:sz w:val="20"/>
          <w:szCs w:val="20"/>
          <w:highlight w:val="yellow"/>
          <w:lang w:val="en-US"/>
        </w:rPr>
        <w:t xml:space="preserve">A transparent call for proposals and selection process based on inclusive </w:t>
      </w:r>
      <w:proofErr w:type="gramStart"/>
      <w:r w:rsidRPr="00857B81">
        <w:rPr>
          <w:sz w:val="20"/>
          <w:szCs w:val="20"/>
          <w:highlight w:val="yellow"/>
          <w:lang w:val="en-US"/>
        </w:rPr>
        <w:t>criteria;</w:t>
      </w:r>
      <w:proofErr w:type="gramEnd"/>
    </w:p>
    <w:p w14:paraId="564DE14E" w14:textId="280193BE" w:rsidR="2BC98319" w:rsidRPr="00857B81" w:rsidRDefault="2BC98319" w:rsidP="00DC2CA1">
      <w:pPr>
        <w:pStyle w:val="Paragraphedeliste"/>
        <w:numPr>
          <w:ilvl w:val="0"/>
          <w:numId w:val="15"/>
        </w:numPr>
        <w:spacing w:after="0"/>
        <w:jc w:val="both"/>
        <w:rPr>
          <w:sz w:val="20"/>
          <w:szCs w:val="20"/>
          <w:highlight w:val="yellow"/>
          <w:lang w:val="en-US"/>
        </w:rPr>
      </w:pPr>
      <w:r w:rsidRPr="00857B81">
        <w:rPr>
          <w:sz w:val="20"/>
          <w:szCs w:val="20"/>
          <w:highlight w:val="yellow"/>
          <w:lang w:val="en-US"/>
        </w:rPr>
        <w:t xml:space="preserve">Capacity-building and coaching to strengthen project design, monitoring, and </w:t>
      </w:r>
      <w:proofErr w:type="gramStart"/>
      <w:r w:rsidRPr="00857B81">
        <w:rPr>
          <w:sz w:val="20"/>
          <w:szCs w:val="20"/>
          <w:highlight w:val="yellow"/>
          <w:lang w:val="en-US"/>
        </w:rPr>
        <w:t>reporting;</w:t>
      </w:r>
      <w:proofErr w:type="gramEnd"/>
    </w:p>
    <w:p w14:paraId="0E3497A6" w14:textId="04D40F40" w:rsidR="2BC98319" w:rsidRPr="00857B81" w:rsidRDefault="2BC98319" w:rsidP="00DC2CA1">
      <w:pPr>
        <w:pStyle w:val="Paragraphedeliste"/>
        <w:numPr>
          <w:ilvl w:val="0"/>
          <w:numId w:val="15"/>
        </w:numPr>
        <w:spacing w:after="0"/>
        <w:jc w:val="both"/>
        <w:rPr>
          <w:sz w:val="20"/>
          <w:szCs w:val="20"/>
          <w:highlight w:val="yellow"/>
          <w:lang w:val="en-US"/>
        </w:rPr>
      </w:pPr>
      <w:r w:rsidRPr="00857B81">
        <w:rPr>
          <w:sz w:val="20"/>
          <w:szCs w:val="20"/>
          <w:highlight w:val="yellow"/>
          <w:lang w:val="en-US"/>
        </w:rPr>
        <w:t xml:space="preserve">Seed funding or co-financing mechanisms to support </w:t>
      </w:r>
      <w:proofErr w:type="gramStart"/>
      <w:r w:rsidRPr="00857B81">
        <w:rPr>
          <w:sz w:val="20"/>
          <w:szCs w:val="20"/>
          <w:highlight w:val="yellow"/>
          <w:lang w:val="en-US"/>
        </w:rPr>
        <w:t>implementation;</w:t>
      </w:r>
      <w:proofErr w:type="gramEnd"/>
    </w:p>
    <w:p w14:paraId="0C6E694A" w14:textId="7CC4AA27" w:rsidR="2BC98319" w:rsidRPr="00857B81" w:rsidRDefault="2BC98319" w:rsidP="00DC2CA1">
      <w:pPr>
        <w:pStyle w:val="Paragraphedeliste"/>
        <w:numPr>
          <w:ilvl w:val="0"/>
          <w:numId w:val="15"/>
        </w:numPr>
        <w:spacing w:after="0"/>
        <w:jc w:val="both"/>
        <w:rPr>
          <w:sz w:val="20"/>
          <w:szCs w:val="20"/>
          <w:highlight w:val="yellow"/>
          <w:lang w:val="en-US"/>
        </w:rPr>
      </w:pPr>
      <w:r w:rsidRPr="00857B81">
        <w:rPr>
          <w:sz w:val="20"/>
          <w:szCs w:val="20"/>
          <w:highlight w:val="yellow"/>
          <w:lang w:val="en-US"/>
        </w:rPr>
        <w:t>Facilitation of knowledge exchange and visibility for successful community initiatives.</w:t>
      </w:r>
    </w:p>
    <w:p w14:paraId="01F559C3" w14:textId="5CA9927C" w:rsidR="2BC98319" w:rsidRPr="00857B81" w:rsidRDefault="2BC98319" w:rsidP="00DC2CA1">
      <w:pPr>
        <w:jc w:val="both"/>
        <w:rPr>
          <w:sz w:val="20"/>
          <w:szCs w:val="20"/>
          <w:highlight w:val="yellow"/>
          <w:lang w:val="en-US"/>
        </w:rPr>
      </w:pPr>
      <w:r w:rsidRPr="00857B81">
        <w:rPr>
          <w:sz w:val="20"/>
          <w:szCs w:val="20"/>
          <w:highlight w:val="yellow"/>
          <w:lang w:val="en-US"/>
        </w:rPr>
        <w:t>By anchoring sustainable urban development in community ownership and innovation, this activity will foster a bottom-up transformation, complementing institutional actions under Components 1, 2, and 3. It will also strengthen local governance, promote behavioral change, and contribute to the long-term social and environmental sustainability of the Bamako Green Belt and broader urban territory.</w:t>
      </w:r>
    </w:p>
    <w:p w14:paraId="2D58C825" w14:textId="5DD03D4F" w:rsidR="004F7DB3" w:rsidRPr="00373556" w:rsidRDefault="2775ECE0" w:rsidP="00373556">
      <w:pPr>
        <w:shd w:val="clear" w:color="auto" w:fill="C1E4F5" w:themeFill="accent1" w:themeFillTint="33"/>
        <w:rPr>
          <w:b/>
          <w:bCs/>
          <w:color w:val="000000" w:themeColor="text1"/>
          <w:sz w:val="20"/>
          <w:szCs w:val="20"/>
          <w:lang w:val="en-US"/>
        </w:rPr>
      </w:pPr>
      <w:r w:rsidRPr="5D8904BE">
        <w:rPr>
          <w:b/>
          <w:bCs/>
          <w:color w:val="000000" w:themeColor="text1"/>
          <w:sz w:val="20"/>
          <w:szCs w:val="20"/>
          <w:lang w:val="en-US"/>
        </w:rPr>
        <w:t>Component 4: Knowledge Management and Communication</w:t>
      </w:r>
    </w:p>
    <w:p w14:paraId="1C276EBF" w14:textId="70308B2D" w:rsidR="00B05BB5" w:rsidRPr="007F4912" w:rsidRDefault="2775ECE0" w:rsidP="00B05BB5">
      <w:pPr>
        <w:jc w:val="both"/>
        <w:rPr>
          <w:color w:val="000000" w:themeColor="text1"/>
          <w:sz w:val="20"/>
          <w:szCs w:val="20"/>
          <w:lang w:val="en-US"/>
        </w:rPr>
      </w:pPr>
      <w:r w:rsidRPr="5D8904BE">
        <w:rPr>
          <w:color w:val="000000" w:themeColor="text1"/>
          <w:sz w:val="20"/>
          <w:szCs w:val="20"/>
          <w:lang w:val="en-US"/>
        </w:rPr>
        <w:t xml:space="preserve">This component supports the consolidation of project achievements through the establishment of an inclusive and gender-sensitive knowledge management and communication system, designed to reinforce eco-responsible behaviors and adaptive practices. A strategic and participatory approach will guide the development of knowledge-sharing tools, annual stakeholder exchanges, and thematic dialogue platforms. These will foster collaborative learning, promote innovation, and ensure broad dissemination of lessons learned at local, national, and international levels. Tailored communication tools will enhance the visibility of results and stimulate behavior change around key themes such as climate resilience, sustainable mobility, and social inclusion. In parallel, a dedicated gender support </w:t>
      </w:r>
      <w:proofErr w:type="spellStart"/>
      <w:r w:rsidRPr="5D8904BE">
        <w:rPr>
          <w:color w:val="000000" w:themeColor="text1"/>
          <w:sz w:val="20"/>
          <w:szCs w:val="20"/>
          <w:lang w:val="en-US"/>
        </w:rPr>
        <w:t>programme</w:t>
      </w:r>
      <w:proofErr w:type="spellEnd"/>
      <w:r w:rsidRPr="5D8904BE">
        <w:rPr>
          <w:color w:val="000000" w:themeColor="text1"/>
          <w:sz w:val="20"/>
          <w:szCs w:val="20"/>
          <w:lang w:val="en-US"/>
        </w:rPr>
        <w:t xml:space="preserve"> will build institutional capacities, monitor the implementation </w:t>
      </w:r>
      <w:r w:rsidRPr="5D8904BE">
        <w:rPr>
          <w:color w:val="000000" w:themeColor="text1"/>
          <w:sz w:val="20"/>
          <w:szCs w:val="20"/>
          <w:lang w:val="en-US"/>
        </w:rPr>
        <w:lastRenderedPageBreak/>
        <w:t>of the gender action plan, and improve services for survivors of gender-based violence. These efforts aim to anchor equity, accountability, and sustainability in all project outcomes.</w:t>
      </w:r>
    </w:p>
    <w:p w14:paraId="0AAF70DB" w14:textId="49DA7518" w:rsidR="004F7DB3" w:rsidRPr="00E86501" w:rsidRDefault="28158316" w:rsidP="0044780F">
      <w:pPr>
        <w:jc w:val="both"/>
        <w:rPr>
          <w:b/>
          <w:bCs/>
          <w:color w:val="000000" w:themeColor="text1"/>
          <w:sz w:val="20"/>
          <w:szCs w:val="20"/>
          <w:highlight w:val="cyan"/>
          <w:lang w:val="en-US"/>
        </w:rPr>
      </w:pPr>
      <w:r w:rsidRPr="00E86501">
        <w:rPr>
          <w:b/>
          <w:bCs/>
          <w:color w:val="000000" w:themeColor="text1"/>
          <w:sz w:val="20"/>
          <w:szCs w:val="20"/>
          <w:highlight w:val="cyan"/>
          <w:lang w:val="en-US"/>
        </w:rPr>
        <w:t>Outcome 4.1 Strategic knowledge management and gender-sensitive communication amplify the impact of the project and contribute to behavioral and institutional shifts toward sustainable urban development.</w:t>
      </w:r>
    </w:p>
    <w:p w14:paraId="020D05B3" w14:textId="77777777" w:rsidR="00515994" w:rsidRPr="00E86501" w:rsidRDefault="00515994" w:rsidP="00515994">
      <w:pPr>
        <w:jc w:val="both"/>
        <w:rPr>
          <w:color w:val="000000" w:themeColor="text1"/>
          <w:sz w:val="20"/>
          <w:szCs w:val="20"/>
          <w:highlight w:val="cyan"/>
          <w:lang w:val="en-US"/>
        </w:rPr>
      </w:pPr>
      <w:r w:rsidRPr="00E86501">
        <w:rPr>
          <w:color w:val="000000" w:themeColor="text1"/>
          <w:sz w:val="20"/>
          <w:szCs w:val="20"/>
          <w:highlight w:val="cyan"/>
          <w:lang w:val="en-US"/>
        </w:rPr>
        <w:t>This outcome strengthens the enabling environment for learning, behavioral change, and inclusive governance by establishing a gender-responsive knowledge and communication system that supports adaptive management, stakeholder engagement, and the institutionalization of gender equality. Through targeted communication, systematic documentation of lessons, and continuous capacity building, the project enhances public awareness, strengthens institutional capacities, and promotes long-term integration of gender-responsive approaches into urban development policies and practices.</w:t>
      </w:r>
    </w:p>
    <w:p w14:paraId="48A04692" w14:textId="77777777" w:rsidR="00515994" w:rsidRPr="00E86501" w:rsidRDefault="00515994" w:rsidP="00515994">
      <w:pPr>
        <w:jc w:val="both"/>
        <w:rPr>
          <w:color w:val="000000" w:themeColor="text1"/>
          <w:sz w:val="20"/>
          <w:szCs w:val="20"/>
          <w:highlight w:val="cyan"/>
          <w:lang w:val="en-US"/>
        </w:rPr>
      </w:pPr>
      <w:r w:rsidRPr="00E86501">
        <w:rPr>
          <w:color w:val="000000" w:themeColor="text1"/>
          <w:sz w:val="20"/>
          <w:szCs w:val="20"/>
          <w:highlight w:val="cyan"/>
          <w:lang w:val="en-US"/>
        </w:rPr>
        <w:t>A comprehensive communication strategy will ensure wide visibility and uptake of project results. It will develop a unified project identity—including a logo and visual charter—and produce diverse communication products (brochures, newsletters, press kits, digital content) tailored to different audiences. Information will be disseminated via radio, TV, and social media to engage communities, political actors, and the private sector. Campaigns co-designed with civil society organizations will raise awareness on gender equality, climate resilience, and sustainable urban behavior, while an end-of-project publication will capture key achievements and lessons learned to support replication and scaling.</w:t>
      </w:r>
    </w:p>
    <w:p w14:paraId="47C01EC4" w14:textId="77777777" w:rsidR="00515994" w:rsidRPr="00E86501" w:rsidRDefault="00515994" w:rsidP="00515994">
      <w:pPr>
        <w:jc w:val="both"/>
        <w:rPr>
          <w:color w:val="000000" w:themeColor="text1"/>
          <w:sz w:val="20"/>
          <w:szCs w:val="20"/>
          <w:highlight w:val="cyan"/>
          <w:lang w:val="en-US"/>
        </w:rPr>
      </w:pPr>
      <w:r w:rsidRPr="00E86501">
        <w:rPr>
          <w:color w:val="000000" w:themeColor="text1"/>
          <w:sz w:val="20"/>
          <w:szCs w:val="20"/>
          <w:highlight w:val="cyan"/>
          <w:lang w:val="en-US"/>
        </w:rPr>
        <w:t>At the institutional level, the outcome strengthens gender-mainstreaming capacities through continuous training, adaptive monitoring, and targeted support for women’s civil society organizations. Special attention will be given to improving the capacity of National Police One-Stop Centers to support survivors of gender-based violence, thereby reinforcing gender-responsive services within the urban development framework.</w:t>
      </w:r>
    </w:p>
    <w:p w14:paraId="511139B5" w14:textId="31F091AA" w:rsidR="004F7DB3" w:rsidRPr="00E86501" w:rsidRDefault="28158316" w:rsidP="0050637C">
      <w:pPr>
        <w:rPr>
          <w:b/>
          <w:bCs/>
          <w:color w:val="000000" w:themeColor="text1"/>
          <w:sz w:val="20"/>
          <w:szCs w:val="20"/>
          <w:highlight w:val="cyan"/>
          <w:lang w:val="en-US"/>
        </w:rPr>
      </w:pPr>
      <w:r w:rsidRPr="00E86501">
        <w:rPr>
          <w:b/>
          <w:bCs/>
          <w:color w:val="000000" w:themeColor="text1"/>
          <w:sz w:val="20"/>
          <w:szCs w:val="20"/>
          <w:highlight w:val="cyan"/>
          <w:lang w:val="en-US"/>
        </w:rPr>
        <w:t xml:space="preserve">Output 4.1.1 </w:t>
      </w:r>
      <w:r w:rsidR="002174FD" w:rsidRPr="00E86501">
        <w:rPr>
          <w:b/>
          <w:bCs/>
          <w:color w:val="000000" w:themeColor="text1"/>
          <w:sz w:val="20"/>
          <w:szCs w:val="20"/>
          <w:highlight w:val="cyan"/>
          <w:lang w:val="en-US"/>
        </w:rPr>
        <w:t>A gender-responsive knowledge, communication, and capacity-building system is established and operational.</w:t>
      </w:r>
      <w:r w:rsidR="002174FD" w:rsidRPr="00E86501" w:rsidDel="0050637C">
        <w:rPr>
          <w:b/>
          <w:bCs/>
          <w:color w:val="000000" w:themeColor="text1"/>
          <w:sz w:val="20"/>
          <w:szCs w:val="20"/>
          <w:highlight w:val="cyan"/>
          <w:lang w:val="en-US"/>
        </w:rPr>
        <w:t xml:space="preserve"> </w:t>
      </w:r>
    </w:p>
    <w:p w14:paraId="20A9B98C" w14:textId="77777777" w:rsidR="00FF3499" w:rsidRPr="00E86501" w:rsidRDefault="00FF3499" w:rsidP="00FF3499">
      <w:pPr>
        <w:rPr>
          <w:color w:val="000000" w:themeColor="text1"/>
          <w:sz w:val="20"/>
          <w:szCs w:val="20"/>
          <w:highlight w:val="cyan"/>
          <w:lang w:val="en-US"/>
        </w:rPr>
      </w:pPr>
      <w:r w:rsidRPr="00E86501">
        <w:rPr>
          <w:color w:val="000000" w:themeColor="text1"/>
          <w:sz w:val="20"/>
          <w:szCs w:val="20"/>
          <w:highlight w:val="cyan"/>
          <w:lang w:val="en-US"/>
        </w:rPr>
        <w:t>This output establishes an integrated and participatory system for knowledge management, communication, and gender-responsive capacity building. It develops mechanisms for documenting and sharing lessons, innovations, and good practices across institutions, communities, and the private sector—ensuring that women’s knowledge and perspectives are systematically captured and reflected in decision-making.</w:t>
      </w:r>
    </w:p>
    <w:p w14:paraId="2A3FF58B" w14:textId="77777777" w:rsidR="00FF3499" w:rsidRPr="00E86501" w:rsidRDefault="00FF3499" w:rsidP="00FF3499">
      <w:pPr>
        <w:rPr>
          <w:color w:val="000000" w:themeColor="text1"/>
          <w:sz w:val="20"/>
          <w:szCs w:val="20"/>
          <w:highlight w:val="cyan"/>
        </w:rPr>
      </w:pPr>
      <w:r w:rsidRPr="00E86501">
        <w:rPr>
          <w:color w:val="000000" w:themeColor="text1"/>
          <w:sz w:val="20"/>
          <w:szCs w:val="20"/>
          <w:highlight w:val="cyan"/>
        </w:rPr>
        <w:t xml:space="preserve">Key </w:t>
      </w:r>
      <w:proofErr w:type="spellStart"/>
      <w:r w:rsidRPr="00E86501">
        <w:rPr>
          <w:color w:val="000000" w:themeColor="text1"/>
          <w:sz w:val="20"/>
          <w:szCs w:val="20"/>
          <w:highlight w:val="cyan"/>
        </w:rPr>
        <w:t>elements</w:t>
      </w:r>
      <w:proofErr w:type="spellEnd"/>
      <w:r w:rsidRPr="00E86501">
        <w:rPr>
          <w:color w:val="000000" w:themeColor="text1"/>
          <w:sz w:val="20"/>
          <w:szCs w:val="20"/>
          <w:highlight w:val="cyan"/>
        </w:rPr>
        <w:t xml:space="preserve"> </w:t>
      </w:r>
      <w:proofErr w:type="spellStart"/>
      <w:proofErr w:type="gramStart"/>
      <w:r w:rsidRPr="00E86501">
        <w:rPr>
          <w:color w:val="000000" w:themeColor="text1"/>
          <w:sz w:val="20"/>
          <w:szCs w:val="20"/>
          <w:highlight w:val="cyan"/>
        </w:rPr>
        <w:t>include</w:t>
      </w:r>
      <w:proofErr w:type="spellEnd"/>
      <w:r w:rsidRPr="00E86501">
        <w:rPr>
          <w:color w:val="000000" w:themeColor="text1"/>
          <w:sz w:val="20"/>
          <w:szCs w:val="20"/>
          <w:highlight w:val="cyan"/>
        </w:rPr>
        <w:t>:</w:t>
      </w:r>
      <w:proofErr w:type="gramEnd"/>
    </w:p>
    <w:p w14:paraId="72BBAC7C" w14:textId="77777777" w:rsidR="00FF3499" w:rsidRPr="00E86501" w:rsidRDefault="00FF3499" w:rsidP="00FF3499">
      <w:pPr>
        <w:numPr>
          <w:ilvl w:val="0"/>
          <w:numId w:val="923"/>
        </w:numPr>
        <w:rPr>
          <w:color w:val="000000" w:themeColor="text1"/>
          <w:sz w:val="20"/>
          <w:szCs w:val="20"/>
          <w:highlight w:val="cyan"/>
          <w:lang w:val="en-US"/>
        </w:rPr>
      </w:pPr>
      <w:r w:rsidRPr="00E86501">
        <w:rPr>
          <w:b/>
          <w:bCs/>
          <w:color w:val="000000" w:themeColor="text1"/>
          <w:sz w:val="20"/>
          <w:szCs w:val="20"/>
          <w:highlight w:val="cyan"/>
          <w:lang w:val="en-US"/>
        </w:rPr>
        <w:t>A structured knowledge-sharing ecosystem</w:t>
      </w:r>
      <w:r w:rsidRPr="00E86501">
        <w:rPr>
          <w:color w:val="000000" w:themeColor="text1"/>
          <w:sz w:val="20"/>
          <w:szCs w:val="20"/>
          <w:highlight w:val="cyan"/>
          <w:lang w:val="en-US"/>
        </w:rPr>
        <w:t>, featuring annual learning events, thematic dialogue circles, and exchange visits to foster cross-sector collaboration and international learning.</w:t>
      </w:r>
    </w:p>
    <w:p w14:paraId="24D50CD5" w14:textId="77777777" w:rsidR="00FF3499" w:rsidRPr="00E86501" w:rsidRDefault="00FF3499" w:rsidP="00FF3499">
      <w:pPr>
        <w:numPr>
          <w:ilvl w:val="0"/>
          <w:numId w:val="923"/>
        </w:numPr>
        <w:rPr>
          <w:color w:val="000000" w:themeColor="text1"/>
          <w:sz w:val="20"/>
          <w:szCs w:val="20"/>
          <w:highlight w:val="cyan"/>
          <w:lang w:val="en-US"/>
        </w:rPr>
      </w:pPr>
      <w:r w:rsidRPr="00E86501">
        <w:rPr>
          <w:b/>
          <w:bCs/>
          <w:color w:val="000000" w:themeColor="text1"/>
          <w:sz w:val="20"/>
          <w:szCs w:val="20"/>
          <w:highlight w:val="cyan"/>
          <w:lang w:val="en-US"/>
        </w:rPr>
        <w:t>Systematic production and dissemination of policy-relevant guidance notes, good practice briefs, and gender-sensitive learning materials</w:t>
      </w:r>
      <w:r w:rsidRPr="00E86501">
        <w:rPr>
          <w:color w:val="000000" w:themeColor="text1"/>
          <w:sz w:val="20"/>
          <w:szCs w:val="20"/>
          <w:highlight w:val="cyan"/>
          <w:lang w:val="en-US"/>
        </w:rPr>
        <w:t xml:space="preserve"> for national and local stakeholders.</w:t>
      </w:r>
    </w:p>
    <w:p w14:paraId="1C59FD8E" w14:textId="77777777" w:rsidR="00FF3499" w:rsidRPr="00E86501" w:rsidRDefault="00FF3499" w:rsidP="00FF3499">
      <w:pPr>
        <w:numPr>
          <w:ilvl w:val="0"/>
          <w:numId w:val="923"/>
        </w:numPr>
        <w:rPr>
          <w:color w:val="000000" w:themeColor="text1"/>
          <w:sz w:val="20"/>
          <w:szCs w:val="20"/>
          <w:highlight w:val="cyan"/>
          <w:lang w:val="en-US"/>
        </w:rPr>
      </w:pPr>
      <w:r w:rsidRPr="00E86501">
        <w:rPr>
          <w:b/>
          <w:bCs/>
          <w:color w:val="000000" w:themeColor="text1"/>
          <w:sz w:val="20"/>
          <w:szCs w:val="20"/>
          <w:highlight w:val="cyan"/>
          <w:lang w:val="en-US"/>
        </w:rPr>
        <w:t>A gender-responsive communication system</w:t>
      </w:r>
      <w:r w:rsidRPr="00E86501">
        <w:rPr>
          <w:color w:val="000000" w:themeColor="text1"/>
          <w:sz w:val="20"/>
          <w:szCs w:val="20"/>
          <w:highlight w:val="cyan"/>
          <w:lang w:val="en-US"/>
        </w:rPr>
        <w:t xml:space="preserve"> anchored in a unified project identity and supported by audiovisual content, digital outreach, and awareness campaigns.</w:t>
      </w:r>
    </w:p>
    <w:p w14:paraId="4360F093" w14:textId="66B2369B" w:rsidR="00FF3499" w:rsidRPr="00E86501" w:rsidRDefault="00FF3499" w:rsidP="00FF3499">
      <w:pPr>
        <w:numPr>
          <w:ilvl w:val="0"/>
          <w:numId w:val="923"/>
        </w:numPr>
        <w:rPr>
          <w:color w:val="000000" w:themeColor="text1"/>
          <w:sz w:val="20"/>
          <w:szCs w:val="20"/>
          <w:highlight w:val="cyan"/>
          <w:lang w:val="en-US"/>
        </w:rPr>
      </w:pPr>
      <w:r w:rsidRPr="00E86501">
        <w:rPr>
          <w:b/>
          <w:bCs/>
          <w:color w:val="000000" w:themeColor="text1"/>
          <w:sz w:val="20"/>
          <w:szCs w:val="20"/>
          <w:highlight w:val="cyan"/>
          <w:lang w:val="en-US"/>
        </w:rPr>
        <w:t>Continuous capacity building</w:t>
      </w:r>
      <w:r w:rsidRPr="00E86501">
        <w:rPr>
          <w:color w:val="000000" w:themeColor="text1"/>
          <w:sz w:val="20"/>
          <w:szCs w:val="20"/>
          <w:highlight w:val="cyan"/>
          <w:lang w:val="en-US"/>
        </w:rPr>
        <w:t xml:space="preserve"> for government institutions</w:t>
      </w:r>
      <w:r w:rsidR="00E6638A">
        <w:rPr>
          <w:color w:val="000000" w:themeColor="text1"/>
          <w:sz w:val="20"/>
          <w:szCs w:val="20"/>
          <w:highlight w:val="cyan"/>
          <w:lang w:val="en-US"/>
        </w:rPr>
        <w:t xml:space="preserve"> and</w:t>
      </w:r>
      <w:r w:rsidRPr="00E86501">
        <w:rPr>
          <w:color w:val="000000" w:themeColor="text1"/>
          <w:sz w:val="20"/>
          <w:szCs w:val="20"/>
          <w:highlight w:val="cyan"/>
          <w:lang w:val="en-US"/>
        </w:rPr>
        <w:t xml:space="preserve"> local authorities </w:t>
      </w:r>
      <w:r w:rsidR="000734D2">
        <w:rPr>
          <w:color w:val="000000" w:themeColor="text1"/>
          <w:sz w:val="20"/>
          <w:szCs w:val="20"/>
          <w:highlight w:val="cyan"/>
          <w:lang w:val="en-US"/>
        </w:rPr>
        <w:t xml:space="preserve">and Civil society </w:t>
      </w:r>
      <w:r w:rsidRPr="00E86501">
        <w:rPr>
          <w:color w:val="000000" w:themeColor="text1"/>
          <w:sz w:val="20"/>
          <w:szCs w:val="20"/>
          <w:highlight w:val="cyan"/>
          <w:lang w:val="en-US"/>
        </w:rPr>
        <w:t>on gender mainstreaming, monitoring, budgeting, and participatory urban governance</w:t>
      </w:r>
      <w:r w:rsidR="00474DA6">
        <w:rPr>
          <w:color w:val="000000" w:themeColor="text1"/>
          <w:sz w:val="20"/>
          <w:szCs w:val="20"/>
          <w:highlight w:val="cyan"/>
          <w:lang w:val="en-US"/>
        </w:rPr>
        <w:t xml:space="preserve">, to </w:t>
      </w:r>
      <w:proofErr w:type="spellStart"/>
      <w:r w:rsidR="00474DA6">
        <w:rPr>
          <w:color w:val="000000" w:themeColor="text1"/>
          <w:sz w:val="20"/>
          <w:szCs w:val="20"/>
          <w:highlight w:val="cyan"/>
          <w:lang w:val="en-US"/>
        </w:rPr>
        <w:t>enhave</w:t>
      </w:r>
      <w:proofErr w:type="spellEnd"/>
      <w:r w:rsidR="00474DA6">
        <w:rPr>
          <w:color w:val="000000" w:themeColor="text1"/>
          <w:sz w:val="20"/>
          <w:szCs w:val="20"/>
          <w:highlight w:val="cyan"/>
          <w:lang w:val="en-US"/>
        </w:rPr>
        <w:t xml:space="preserve"> gender mainstream</w:t>
      </w:r>
      <w:r w:rsidR="002623CA">
        <w:rPr>
          <w:color w:val="000000" w:themeColor="text1"/>
          <w:sz w:val="20"/>
          <w:szCs w:val="20"/>
          <w:highlight w:val="cyan"/>
          <w:lang w:val="en-US"/>
        </w:rPr>
        <w:t>i</w:t>
      </w:r>
      <w:r w:rsidR="00474DA6">
        <w:rPr>
          <w:color w:val="000000" w:themeColor="text1"/>
          <w:sz w:val="20"/>
          <w:szCs w:val="20"/>
          <w:highlight w:val="cyan"/>
          <w:lang w:val="en-US"/>
        </w:rPr>
        <w:t>ng into national policies and strategies</w:t>
      </w:r>
      <w:r w:rsidRPr="00E86501">
        <w:rPr>
          <w:color w:val="000000" w:themeColor="text1"/>
          <w:sz w:val="20"/>
          <w:szCs w:val="20"/>
          <w:highlight w:val="cyan"/>
          <w:lang w:val="en-US"/>
        </w:rPr>
        <w:t>.</w:t>
      </w:r>
    </w:p>
    <w:p w14:paraId="2D26812E" w14:textId="77777777" w:rsidR="00FF3499" w:rsidRPr="00E86501" w:rsidRDefault="00FF3499" w:rsidP="000F78A7">
      <w:pPr>
        <w:numPr>
          <w:ilvl w:val="0"/>
          <w:numId w:val="923"/>
        </w:numPr>
        <w:rPr>
          <w:color w:val="000000" w:themeColor="text1"/>
          <w:sz w:val="20"/>
          <w:szCs w:val="20"/>
          <w:highlight w:val="cyan"/>
          <w:lang w:val="en-US"/>
        </w:rPr>
      </w:pPr>
      <w:r w:rsidRPr="00E86501">
        <w:rPr>
          <w:b/>
          <w:bCs/>
          <w:color w:val="000000" w:themeColor="text1"/>
          <w:sz w:val="20"/>
          <w:szCs w:val="20"/>
          <w:highlight w:val="cyan"/>
          <w:lang w:val="en-US"/>
        </w:rPr>
        <w:t>A sustainability and exit strategy</w:t>
      </w:r>
      <w:r w:rsidRPr="00E86501">
        <w:rPr>
          <w:color w:val="000000" w:themeColor="text1"/>
          <w:sz w:val="20"/>
          <w:szCs w:val="20"/>
          <w:highlight w:val="cyan"/>
          <w:lang w:val="en-US"/>
        </w:rPr>
        <w:t xml:space="preserve"> to ensure long-term institutionalization of knowledge, communication, and gender-responsive practices beyond the project’s duration.</w:t>
      </w:r>
    </w:p>
    <w:p w14:paraId="5700F4D0" w14:textId="7F4A1B8E" w:rsidR="00103918" w:rsidRPr="00E86501" w:rsidRDefault="008A68AE" w:rsidP="00103918">
      <w:pPr>
        <w:jc w:val="both"/>
        <w:rPr>
          <w:i/>
          <w:iCs/>
          <w:color w:val="000000" w:themeColor="text1"/>
          <w:highlight w:val="cyan"/>
          <w:u w:val="single"/>
          <w:lang w:val="en-US"/>
        </w:rPr>
      </w:pPr>
      <w:r w:rsidRPr="00E86501">
        <w:rPr>
          <w:i/>
          <w:iCs/>
          <w:color w:val="000000" w:themeColor="text1"/>
          <w:highlight w:val="cyan"/>
          <w:u w:val="single"/>
          <w:lang w:val="en-US"/>
        </w:rPr>
        <w:t xml:space="preserve">Activity 4.1.1.1 – </w:t>
      </w:r>
      <w:r w:rsidR="00103918" w:rsidRPr="00E86501">
        <w:rPr>
          <w:i/>
          <w:iCs/>
          <w:color w:val="000000" w:themeColor="text1"/>
          <w:highlight w:val="cyan"/>
          <w:u w:val="single"/>
          <w:lang w:val="en-US"/>
        </w:rPr>
        <w:t>Develop and Operationalize the Integrated</w:t>
      </w:r>
      <w:r w:rsidR="008F5DEB">
        <w:rPr>
          <w:i/>
          <w:iCs/>
          <w:color w:val="000000" w:themeColor="text1"/>
          <w:highlight w:val="cyan"/>
          <w:u w:val="single"/>
          <w:lang w:val="en-US"/>
        </w:rPr>
        <w:t xml:space="preserve"> gender sensitive</w:t>
      </w:r>
      <w:r w:rsidR="00103918" w:rsidRPr="00E86501">
        <w:rPr>
          <w:i/>
          <w:iCs/>
          <w:color w:val="000000" w:themeColor="text1"/>
          <w:highlight w:val="cyan"/>
          <w:u w:val="single"/>
          <w:lang w:val="en-US"/>
        </w:rPr>
        <w:t xml:space="preserve"> Knowledge Management, Communication, and Digital Data System</w:t>
      </w:r>
    </w:p>
    <w:p w14:paraId="1B83810F" w14:textId="77777777" w:rsidR="00103918" w:rsidRPr="00E86501" w:rsidRDefault="00103918" w:rsidP="00E86501">
      <w:pPr>
        <w:rPr>
          <w:color w:val="000000" w:themeColor="text1"/>
          <w:highlight w:val="cyan"/>
          <w:lang w:val="en-US"/>
        </w:rPr>
      </w:pPr>
      <w:r w:rsidRPr="00E86501">
        <w:rPr>
          <w:color w:val="000000" w:themeColor="text1"/>
          <w:highlight w:val="cyan"/>
          <w:lang w:val="en-US"/>
        </w:rPr>
        <w:t xml:space="preserve">This activity establishes the project’s integrated knowledge management and communication system by combining strategic planning, gender-responsive communication, and digital data infrastructure. It </w:t>
      </w:r>
      <w:r w:rsidRPr="00E86501">
        <w:rPr>
          <w:color w:val="000000" w:themeColor="text1"/>
          <w:highlight w:val="cyan"/>
          <w:lang w:val="en-US"/>
        </w:rPr>
        <w:lastRenderedPageBreak/>
        <w:t xml:space="preserve">begins with the development of </w:t>
      </w:r>
      <w:r w:rsidR="00A1035E" w:rsidRPr="00A1035E">
        <w:rPr>
          <w:color w:val="000000" w:themeColor="text1"/>
          <w:highlight w:val="cyan"/>
          <w:lang w:val="en-US"/>
        </w:rPr>
        <w:t>comprehensive</w:t>
      </w:r>
      <w:r w:rsidRPr="00E86501">
        <w:rPr>
          <w:color w:val="000000" w:themeColor="text1"/>
          <w:highlight w:val="cyan"/>
          <w:lang w:val="en-US"/>
        </w:rPr>
        <w:t xml:space="preserve"> Knowledge Management (KM) and Communication Strategy through a participatory process informed by stakeholder mapping and aligned with the project’s engagement plan. Supported by a KM/Communication Specialist, the strategy will define roles, processes, an operational plan, and a unified visual identity (branding and templates). Gender-sensitive protocols will ensure that all knowledge and communication processes systematically capture women’s experiences, data, and perspectives.</w:t>
      </w:r>
    </w:p>
    <w:p w14:paraId="160B9FF1" w14:textId="77777777" w:rsidR="00103918" w:rsidRPr="00E86501" w:rsidRDefault="00103918" w:rsidP="00E86501">
      <w:pPr>
        <w:rPr>
          <w:color w:val="000000" w:themeColor="text1"/>
          <w:highlight w:val="cyan"/>
          <w:lang w:val="en-US"/>
        </w:rPr>
      </w:pPr>
      <w:r w:rsidRPr="00E86501">
        <w:rPr>
          <w:color w:val="000000" w:themeColor="text1"/>
          <w:highlight w:val="cyan"/>
          <w:lang w:val="en-US"/>
        </w:rPr>
        <w:t>To operationalize the strategy, the activity will create and maintain a digital knowledge platform and gender-responsive data system, interoperable with the PRUBA platform for Bamako. The platform will serve as the central hub for project information, tools, dashboards, gender-disaggregated data, good practice repositories, and standardized templates—enabling coordinated documentation and knowledge sharing among institutions, municipalities, civil society, the private sector, and communities.</w:t>
      </w:r>
    </w:p>
    <w:p w14:paraId="57039F7D" w14:textId="77777777" w:rsidR="00103918" w:rsidRPr="00E86501" w:rsidRDefault="00103918" w:rsidP="00E86501">
      <w:pPr>
        <w:rPr>
          <w:color w:val="000000" w:themeColor="text1"/>
          <w:highlight w:val="cyan"/>
          <w:lang w:val="en-US"/>
        </w:rPr>
      </w:pPr>
      <w:r w:rsidRPr="00E86501">
        <w:rPr>
          <w:color w:val="000000" w:themeColor="text1"/>
          <w:highlight w:val="cyan"/>
          <w:lang w:val="en-US"/>
        </w:rPr>
        <w:t>Beginning in the first year, annual stakeholder meetings will be organized to review KM tools, validate progress, extract lessons learned, and ensure adaptive management. Together, the strategy, digital platform, and learning processes will create a robust, participatory system that strengthens institutional learning, transparency, replication, and long-term impact.</w:t>
      </w:r>
    </w:p>
    <w:p w14:paraId="410A6E6E" w14:textId="77777777" w:rsidR="00103918" w:rsidRPr="00E86501" w:rsidRDefault="00103918" w:rsidP="00E86501">
      <w:pPr>
        <w:rPr>
          <w:color w:val="000000" w:themeColor="text1"/>
          <w:highlight w:val="cyan"/>
          <w:lang w:val="en-US"/>
        </w:rPr>
      </w:pPr>
      <w:r w:rsidRPr="00E86501">
        <w:rPr>
          <w:color w:val="000000" w:themeColor="text1"/>
          <w:highlight w:val="cyan"/>
          <w:lang w:val="en-US"/>
        </w:rPr>
        <w:t>Expected Outputs</w:t>
      </w:r>
    </w:p>
    <w:p w14:paraId="483B3AA4" w14:textId="77777777" w:rsidR="00103918" w:rsidRPr="00E86501" w:rsidRDefault="00103918" w:rsidP="00E86501">
      <w:pPr>
        <w:rPr>
          <w:color w:val="000000" w:themeColor="text1"/>
          <w:highlight w:val="cyan"/>
          <w:lang w:val="en-US"/>
        </w:rPr>
      </w:pPr>
      <w:r w:rsidRPr="00E86501">
        <w:rPr>
          <w:color w:val="000000" w:themeColor="text1"/>
          <w:highlight w:val="cyan"/>
          <w:lang w:val="en-US"/>
        </w:rPr>
        <w:t>• Integrated KM &amp; Communication Strategy and operational plan</w:t>
      </w:r>
      <w:r w:rsidRPr="00E86501">
        <w:rPr>
          <w:color w:val="000000" w:themeColor="text1"/>
          <w:highlight w:val="cyan"/>
          <w:lang w:val="en-US"/>
        </w:rPr>
        <w:br/>
        <w:t>• Branding, visual identity, and communication templates</w:t>
      </w:r>
      <w:r w:rsidRPr="00E86501">
        <w:rPr>
          <w:color w:val="000000" w:themeColor="text1"/>
          <w:highlight w:val="cyan"/>
          <w:lang w:val="en-US"/>
        </w:rPr>
        <w:br/>
        <w:t>• Digital KM platform and gender-responsive data architecture</w:t>
      </w:r>
      <w:r w:rsidRPr="00E86501">
        <w:rPr>
          <w:color w:val="000000" w:themeColor="text1"/>
          <w:highlight w:val="cyan"/>
          <w:lang w:val="en-US"/>
        </w:rPr>
        <w:br/>
        <w:t>• Repository of lessons learned and good practices</w:t>
      </w:r>
      <w:r w:rsidRPr="00E86501">
        <w:rPr>
          <w:color w:val="000000" w:themeColor="text1"/>
          <w:highlight w:val="cyan"/>
          <w:lang w:val="en-US"/>
        </w:rPr>
        <w:br/>
        <w:t>• Standardized tools, templates, and dashboards</w:t>
      </w:r>
    </w:p>
    <w:p w14:paraId="651CEABB" w14:textId="77777777" w:rsidR="00660306" w:rsidRPr="00E86501" w:rsidRDefault="00660306" w:rsidP="00103918">
      <w:pPr>
        <w:jc w:val="both"/>
        <w:rPr>
          <w:color w:val="000000" w:themeColor="text1"/>
          <w:sz w:val="20"/>
          <w:szCs w:val="20"/>
          <w:highlight w:val="cyan"/>
          <w:lang w:val="en-US"/>
        </w:rPr>
      </w:pPr>
    </w:p>
    <w:p w14:paraId="213C0EAC" w14:textId="3937CA88" w:rsidR="00C22F56" w:rsidRPr="00E86501" w:rsidRDefault="2775ECE0" w:rsidP="00DC2CA1">
      <w:pPr>
        <w:jc w:val="both"/>
        <w:rPr>
          <w:i/>
          <w:iCs/>
          <w:color w:val="000000" w:themeColor="text1"/>
          <w:sz w:val="20"/>
          <w:szCs w:val="20"/>
          <w:highlight w:val="cyan"/>
          <w:u w:val="single"/>
          <w:lang w:val="en-US"/>
        </w:rPr>
      </w:pPr>
      <w:r w:rsidRPr="00E86501">
        <w:rPr>
          <w:i/>
          <w:iCs/>
          <w:color w:val="000000" w:themeColor="text1"/>
          <w:sz w:val="20"/>
          <w:szCs w:val="20"/>
          <w:highlight w:val="cyan"/>
          <w:u w:val="single"/>
          <w:lang w:val="en-US"/>
        </w:rPr>
        <w:t>Activity 4.1.1.</w:t>
      </w:r>
      <w:r w:rsidR="00363B68">
        <w:rPr>
          <w:i/>
          <w:iCs/>
          <w:color w:val="000000" w:themeColor="text1"/>
          <w:sz w:val="20"/>
          <w:szCs w:val="20"/>
          <w:highlight w:val="cyan"/>
          <w:u w:val="single"/>
          <w:lang w:val="en-US"/>
        </w:rPr>
        <w:t>2</w:t>
      </w:r>
      <w:r w:rsidRPr="00E86501">
        <w:rPr>
          <w:i/>
          <w:iCs/>
          <w:color w:val="000000" w:themeColor="text1"/>
          <w:sz w:val="20"/>
          <w:szCs w:val="20"/>
          <w:highlight w:val="cyan"/>
          <w:u w:val="single"/>
          <w:lang w:val="en-US"/>
        </w:rPr>
        <w:t xml:space="preserve"> </w:t>
      </w:r>
      <w:r w:rsidR="00C22F56" w:rsidRPr="00E86501">
        <w:rPr>
          <w:i/>
          <w:iCs/>
          <w:color w:val="000000" w:themeColor="text1"/>
          <w:sz w:val="20"/>
          <w:szCs w:val="20"/>
          <w:highlight w:val="cyan"/>
          <w:u w:val="single"/>
          <w:lang w:val="en-US"/>
        </w:rPr>
        <w:t>Implement knowledge capitalization and learning processes</w:t>
      </w:r>
      <w:r w:rsidR="00C22F56" w:rsidRPr="00E86501" w:rsidDel="00C22F56">
        <w:rPr>
          <w:i/>
          <w:iCs/>
          <w:color w:val="000000" w:themeColor="text1"/>
          <w:sz w:val="20"/>
          <w:szCs w:val="20"/>
          <w:highlight w:val="cyan"/>
          <w:u w:val="single"/>
          <w:lang w:val="en-US"/>
        </w:rPr>
        <w:t xml:space="preserve"> </w:t>
      </w:r>
    </w:p>
    <w:p w14:paraId="77489108" w14:textId="77777777" w:rsidR="00503132" w:rsidRPr="00E86501" w:rsidRDefault="00503132" w:rsidP="00503132">
      <w:pPr>
        <w:jc w:val="both"/>
        <w:rPr>
          <w:color w:val="000000" w:themeColor="text1"/>
          <w:sz w:val="20"/>
          <w:szCs w:val="20"/>
          <w:highlight w:val="cyan"/>
          <w:lang w:val="en-US"/>
        </w:rPr>
      </w:pPr>
      <w:r w:rsidRPr="00E86501">
        <w:rPr>
          <w:color w:val="000000" w:themeColor="text1"/>
          <w:sz w:val="20"/>
          <w:szCs w:val="20"/>
          <w:highlight w:val="cyan"/>
          <w:lang w:val="en-US"/>
        </w:rPr>
        <w:t>This activity supports continuous learning and adaptive management by establishing structured, gender-responsive knowledge capitalization processes throughout the project lifecycle. It ensures the systematic identification, documentation, and dissemination of good practices, innovations, and lessons learned—highlighting women’s contributions, experiences, and perspectives across all project components.</w:t>
      </w:r>
    </w:p>
    <w:p w14:paraId="35F0CD4D" w14:textId="77777777" w:rsidR="00503132" w:rsidRPr="00E86501" w:rsidRDefault="00503132" w:rsidP="00503132">
      <w:pPr>
        <w:jc w:val="both"/>
        <w:rPr>
          <w:color w:val="000000" w:themeColor="text1"/>
          <w:sz w:val="20"/>
          <w:szCs w:val="20"/>
          <w:highlight w:val="cyan"/>
          <w:lang w:val="en-US"/>
        </w:rPr>
      </w:pPr>
      <w:r w:rsidRPr="00E86501">
        <w:rPr>
          <w:color w:val="000000" w:themeColor="text1"/>
          <w:sz w:val="20"/>
          <w:szCs w:val="20"/>
          <w:highlight w:val="cyan"/>
          <w:lang w:val="en-US"/>
        </w:rPr>
        <w:t xml:space="preserve">Regular knowledge-sharing activities will be organized, including </w:t>
      </w:r>
      <w:r w:rsidRPr="00E86501">
        <w:rPr>
          <w:b/>
          <w:bCs/>
          <w:color w:val="000000" w:themeColor="text1"/>
          <w:sz w:val="20"/>
          <w:szCs w:val="20"/>
          <w:highlight w:val="cyan"/>
          <w:lang w:val="en-US"/>
        </w:rPr>
        <w:t>annual multi-stakeholder learning events</w:t>
      </w:r>
      <w:r w:rsidRPr="00E86501">
        <w:rPr>
          <w:color w:val="000000" w:themeColor="text1"/>
          <w:sz w:val="20"/>
          <w:szCs w:val="20"/>
          <w:highlight w:val="cyan"/>
          <w:lang w:val="en-US"/>
        </w:rPr>
        <w:t xml:space="preserve">, </w:t>
      </w:r>
      <w:r w:rsidRPr="00E86501">
        <w:rPr>
          <w:b/>
          <w:bCs/>
          <w:color w:val="000000" w:themeColor="text1"/>
          <w:sz w:val="20"/>
          <w:szCs w:val="20"/>
          <w:highlight w:val="cyan"/>
          <w:lang w:val="en-US"/>
        </w:rPr>
        <w:t>thematic dialogue circles</w:t>
      </w:r>
      <w:r w:rsidRPr="00E86501">
        <w:rPr>
          <w:color w:val="000000" w:themeColor="text1"/>
          <w:sz w:val="20"/>
          <w:szCs w:val="20"/>
          <w:highlight w:val="cyan"/>
          <w:lang w:val="en-US"/>
        </w:rPr>
        <w:t xml:space="preserve">, and </w:t>
      </w:r>
      <w:r w:rsidRPr="00E86501">
        <w:rPr>
          <w:b/>
          <w:bCs/>
          <w:color w:val="000000" w:themeColor="text1"/>
          <w:sz w:val="20"/>
          <w:szCs w:val="20"/>
          <w:highlight w:val="cyan"/>
          <w:lang w:val="en-US"/>
        </w:rPr>
        <w:t>periodic learning sessions</w:t>
      </w:r>
      <w:r w:rsidRPr="00E86501">
        <w:rPr>
          <w:color w:val="000000" w:themeColor="text1"/>
          <w:sz w:val="20"/>
          <w:szCs w:val="20"/>
          <w:highlight w:val="cyan"/>
          <w:lang w:val="en-US"/>
        </w:rPr>
        <w:t xml:space="preserve"> with key partners from public institutions, civil society, academia, and the private sector. Functioning as informal communities of practice, these gatherings will foster collective intelligence, deepen cross-sector collaboration, and generate actionable recommendations to support effective implementation, problem-solving, and scaling of successful approaches.</w:t>
      </w:r>
    </w:p>
    <w:p w14:paraId="7200E44D" w14:textId="358198D2" w:rsidR="00503132" w:rsidRDefault="00503132" w:rsidP="00503132">
      <w:pPr>
        <w:jc w:val="both"/>
        <w:rPr>
          <w:color w:val="000000" w:themeColor="text1"/>
          <w:sz w:val="20"/>
          <w:szCs w:val="20"/>
          <w:highlight w:val="cyan"/>
          <w:lang w:val="en-US"/>
        </w:rPr>
      </w:pPr>
      <w:r w:rsidRPr="00E86501">
        <w:rPr>
          <w:color w:val="000000" w:themeColor="text1"/>
          <w:sz w:val="20"/>
          <w:szCs w:val="20"/>
          <w:highlight w:val="cyan"/>
          <w:lang w:val="en-US"/>
        </w:rPr>
        <w:t xml:space="preserve">To sustain the capitalization process, a </w:t>
      </w:r>
      <w:r w:rsidRPr="00E86501">
        <w:rPr>
          <w:b/>
          <w:bCs/>
          <w:color w:val="000000" w:themeColor="text1"/>
          <w:sz w:val="20"/>
          <w:szCs w:val="20"/>
          <w:highlight w:val="cyan"/>
          <w:lang w:val="en-US"/>
        </w:rPr>
        <w:t>register of good practices and lessons learned</w:t>
      </w:r>
      <w:r w:rsidRPr="00E86501">
        <w:rPr>
          <w:color w:val="000000" w:themeColor="text1"/>
          <w:sz w:val="20"/>
          <w:szCs w:val="20"/>
          <w:highlight w:val="cyan"/>
          <w:lang w:val="en-US"/>
        </w:rPr>
        <w:t xml:space="preserve"> will be maintained and updated continuously</w:t>
      </w:r>
      <w:r w:rsidR="009C0F5F">
        <w:rPr>
          <w:color w:val="000000" w:themeColor="text1"/>
          <w:sz w:val="20"/>
          <w:szCs w:val="20"/>
          <w:highlight w:val="cyan"/>
          <w:lang w:val="en-US"/>
        </w:rPr>
        <w:t xml:space="preserve"> on the digital </w:t>
      </w:r>
      <w:r w:rsidR="003E215C">
        <w:rPr>
          <w:color w:val="000000" w:themeColor="text1"/>
          <w:sz w:val="20"/>
          <w:szCs w:val="20"/>
          <w:highlight w:val="cyan"/>
          <w:lang w:val="en-US"/>
        </w:rPr>
        <w:t>platform</w:t>
      </w:r>
      <w:r w:rsidR="009C0F5F">
        <w:rPr>
          <w:color w:val="000000" w:themeColor="text1"/>
          <w:sz w:val="20"/>
          <w:szCs w:val="20"/>
          <w:highlight w:val="cyan"/>
          <w:lang w:val="en-US"/>
        </w:rPr>
        <w:t xml:space="preserve"> (see activity 4.1</w:t>
      </w:r>
      <w:r w:rsidR="006263F1">
        <w:rPr>
          <w:color w:val="000000" w:themeColor="text1"/>
          <w:sz w:val="20"/>
          <w:szCs w:val="20"/>
          <w:highlight w:val="cyan"/>
          <w:lang w:val="en-US"/>
        </w:rPr>
        <w:t>.</w:t>
      </w:r>
      <w:r w:rsidR="009C0F5F">
        <w:rPr>
          <w:color w:val="000000" w:themeColor="text1"/>
          <w:sz w:val="20"/>
          <w:szCs w:val="20"/>
          <w:highlight w:val="cyan"/>
          <w:lang w:val="en-US"/>
        </w:rPr>
        <w:t>1.1)</w:t>
      </w:r>
      <w:r w:rsidRPr="00E86501">
        <w:rPr>
          <w:color w:val="000000" w:themeColor="text1"/>
          <w:sz w:val="20"/>
          <w:szCs w:val="20"/>
          <w:highlight w:val="cyan"/>
          <w:lang w:val="en-US"/>
        </w:rPr>
        <w:t xml:space="preserve">. In addition, a </w:t>
      </w:r>
      <w:r w:rsidRPr="00E86501">
        <w:rPr>
          <w:b/>
          <w:bCs/>
          <w:color w:val="000000" w:themeColor="text1"/>
          <w:sz w:val="20"/>
          <w:szCs w:val="20"/>
          <w:highlight w:val="cyan"/>
          <w:lang w:val="en-US"/>
        </w:rPr>
        <w:t>quarterly newsletter</w:t>
      </w:r>
      <w:r w:rsidRPr="00E86501">
        <w:rPr>
          <w:color w:val="000000" w:themeColor="text1"/>
          <w:sz w:val="20"/>
          <w:szCs w:val="20"/>
          <w:highlight w:val="cyan"/>
          <w:lang w:val="en-US"/>
        </w:rPr>
        <w:t xml:space="preserve"> synthesizing emerging </w:t>
      </w:r>
      <w:r w:rsidR="77B31A53" w:rsidRPr="00E86501">
        <w:rPr>
          <w:color w:val="000000" w:themeColor="text1"/>
          <w:sz w:val="20"/>
          <w:szCs w:val="20"/>
          <w:highlight w:val="cyan"/>
          <w:lang w:val="en-US"/>
        </w:rPr>
        <w:t>lessons</w:t>
      </w:r>
      <w:r w:rsidR="788DFF5D" w:rsidRPr="1462A499">
        <w:rPr>
          <w:color w:val="000000" w:themeColor="text1"/>
          <w:sz w:val="20"/>
          <w:szCs w:val="20"/>
          <w:highlight w:val="cyan"/>
          <w:lang w:val="en-US"/>
        </w:rPr>
        <w:t xml:space="preserve"> </w:t>
      </w:r>
      <w:r w:rsidR="0E13ACBB" w:rsidRPr="1462A499">
        <w:rPr>
          <w:color w:val="000000" w:themeColor="text1"/>
          <w:sz w:val="20"/>
          <w:szCs w:val="20"/>
          <w:highlight w:val="cyan"/>
          <w:lang w:val="en-US"/>
        </w:rPr>
        <w:t>and</w:t>
      </w:r>
      <w:r w:rsidR="002D2C2A">
        <w:rPr>
          <w:color w:val="000000" w:themeColor="text1"/>
          <w:sz w:val="20"/>
          <w:szCs w:val="20"/>
          <w:highlight w:val="cyan"/>
          <w:lang w:val="en-US"/>
        </w:rPr>
        <w:t xml:space="preserve"> good practices</w:t>
      </w:r>
      <w:r w:rsidRPr="00E86501">
        <w:rPr>
          <w:color w:val="000000" w:themeColor="text1"/>
          <w:sz w:val="20"/>
          <w:szCs w:val="20"/>
          <w:highlight w:val="cyan"/>
          <w:lang w:val="en-US"/>
        </w:rPr>
        <w:t xml:space="preserve"> will be produced and shared with national stakeholders and uploaded to the global knowledge management platform to disseminate Bamako’s experience internationally.</w:t>
      </w:r>
    </w:p>
    <w:p w14:paraId="64D37743" w14:textId="4825B9C3" w:rsidR="00E45DB8" w:rsidRPr="00E86501" w:rsidRDefault="00E45DB8" w:rsidP="00503132">
      <w:pPr>
        <w:jc w:val="both"/>
        <w:rPr>
          <w:color w:val="000000" w:themeColor="text1"/>
          <w:sz w:val="20"/>
          <w:szCs w:val="20"/>
          <w:highlight w:val="cyan"/>
          <w:lang w:val="en-US"/>
        </w:rPr>
      </w:pPr>
      <w:r w:rsidRPr="00BD4E7A">
        <w:rPr>
          <w:color w:val="000000" w:themeColor="text1"/>
          <w:sz w:val="20"/>
          <w:szCs w:val="20"/>
          <w:highlight w:val="cyan"/>
          <w:lang w:val="en-US"/>
        </w:rPr>
        <w:t xml:space="preserve">To strengthen knowledge exchange, the activity will organize </w:t>
      </w:r>
      <w:r w:rsidRPr="00BD4E7A">
        <w:rPr>
          <w:b/>
          <w:bCs/>
          <w:color w:val="000000" w:themeColor="text1"/>
          <w:sz w:val="20"/>
          <w:szCs w:val="20"/>
          <w:highlight w:val="cyan"/>
          <w:lang w:val="en-US"/>
        </w:rPr>
        <w:t>exchange visits</w:t>
      </w:r>
      <w:r w:rsidRPr="00BD4E7A">
        <w:rPr>
          <w:color w:val="000000" w:themeColor="text1"/>
          <w:sz w:val="20"/>
          <w:szCs w:val="20"/>
          <w:highlight w:val="cyan"/>
          <w:lang w:val="en-US"/>
        </w:rPr>
        <w:t xml:space="preserve"> and participation in global learning events </w:t>
      </w:r>
      <w:r w:rsidRPr="00E86501">
        <w:rPr>
          <w:b/>
          <w:bCs/>
          <w:color w:val="000000" w:themeColor="text1"/>
          <w:sz w:val="20"/>
          <w:szCs w:val="20"/>
          <w:highlight w:val="cyan"/>
          <w:lang w:val="en-US"/>
        </w:rPr>
        <w:t xml:space="preserve">under the Global Sustainable Cities </w:t>
      </w:r>
      <w:proofErr w:type="spellStart"/>
      <w:r w:rsidRPr="00E86501">
        <w:rPr>
          <w:b/>
          <w:bCs/>
          <w:color w:val="000000" w:themeColor="text1"/>
          <w:sz w:val="20"/>
          <w:szCs w:val="20"/>
          <w:highlight w:val="cyan"/>
          <w:lang w:val="en-US"/>
        </w:rPr>
        <w:t>Programme</w:t>
      </w:r>
      <w:proofErr w:type="spellEnd"/>
      <w:r w:rsidRPr="00E86501">
        <w:rPr>
          <w:b/>
          <w:bCs/>
          <w:color w:val="000000" w:themeColor="text1"/>
          <w:sz w:val="20"/>
          <w:szCs w:val="20"/>
          <w:highlight w:val="cyan"/>
          <w:lang w:val="en-US"/>
        </w:rPr>
        <w:t>,</w:t>
      </w:r>
      <w:r w:rsidRPr="00BD4E7A">
        <w:rPr>
          <w:color w:val="000000" w:themeColor="text1"/>
          <w:sz w:val="20"/>
          <w:szCs w:val="20"/>
          <w:highlight w:val="cyan"/>
          <w:lang w:val="en-US"/>
        </w:rPr>
        <w:t xml:space="preserve"> enabling mutual learning and cross-fertilization between Bamako and other cities.</w:t>
      </w:r>
    </w:p>
    <w:p w14:paraId="0F848967" w14:textId="77777777" w:rsidR="00B76D6C" w:rsidRDefault="00503132" w:rsidP="00B21704">
      <w:pPr>
        <w:pStyle w:val="Paragraphedeliste"/>
        <w:rPr>
          <w:color w:val="000000" w:themeColor="text1"/>
          <w:sz w:val="20"/>
          <w:szCs w:val="20"/>
          <w:highlight w:val="cyan"/>
          <w:lang w:val="en-US"/>
        </w:rPr>
      </w:pPr>
      <w:r w:rsidRPr="00E86501">
        <w:rPr>
          <w:color w:val="000000" w:themeColor="text1"/>
          <w:sz w:val="20"/>
          <w:szCs w:val="20"/>
          <w:highlight w:val="cyan"/>
          <w:lang w:val="en-US"/>
        </w:rPr>
        <w:t>Key outputs include:</w:t>
      </w:r>
      <w:r w:rsidRPr="00E86501">
        <w:rPr>
          <w:color w:val="000000" w:themeColor="text1"/>
          <w:sz w:val="20"/>
          <w:szCs w:val="20"/>
          <w:highlight w:val="cyan"/>
          <w:lang w:val="en-US"/>
        </w:rPr>
        <w:br/>
        <w:t>• Annual multi-stakeholder learning events</w:t>
      </w:r>
      <w:r w:rsidRPr="00E86501">
        <w:rPr>
          <w:color w:val="000000" w:themeColor="text1"/>
          <w:sz w:val="20"/>
          <w:szCs w:val="20"/>
          <w:highlight w:val="cyan"/>
          <w:lang w:val="en-US"/>
        </w:rPr>
        <w:br/>
        <w:t>• Thematic dialogue circles and learning sessions</w:t>
      </w:r>
    </w:p>
    <w:p w14:paraId="27435C4E" w14:textId="77536C01" w:rsidR="00503132" w:rsidRPr="00E86501" w:rsidRDefault="00B76D6C" w:rsidP="00E86501">
      <w:pPr>
        <w:pStyle w:val="Paragraphedeliste"/>
        <w:rPr>
          <w:color w:val="000000" w:themeColor="text1"/>
          <w:sz w:val="20"/>
          <w:szCs w:val="20"/>
          <w:highlight w:val="cyan"/>
          <w:lang w:val="en-US"/>
        </w:rPr>
      </w:pPr>
      <w:r w:rsidRPr="00BD4E7A">
        <w:rPr>
          <w:color w:val="000000" w:themeColor="text1"/>
          <w:sz w:val="20"/>
          <w:szCs w:val="20"/>
          <w:highlight w:val="cyan"/>
          <w:lang w:val="en-US"/>
        </w:rPr>
        <w:lastRenderedPageBreak/>
        <w:t>• Exchange visits and global learning engagements</w:t>
      </w:r>
      <w:r w:rsidR="00503132" w:rsidRPr="00E86501">
        <w:rPr>
          <w:color w:val="000000" w:themeColor="text1"/>
          <w:sz w:val="20"/>
          <w:szCs w:val="20"/>
          <w:highlight w:val="cyan"/>
          <w:lang w:val="en-US"/>
        </w:rPr>
        <w:br/>
        <w:t>• Continuous documentation and dissemination of good practices and lessons learned</w:t>
      </w:r>
      <w:r w:rsidR="00503132" w:rsidRPr="00E86501">
        <w:rPr>
          <w:color w:val="000000" w:themeColor="text1"/>
          <w:sz w:val="20"/>
          <w:szCs w:val="20"/>
          <w:highlight w:val="cyan"/>
          <w:lang w:val="en-US"/>
        </w:rPr>
        <w:br/>
        <w:t>• Quarterly knowledge newsletters and a capitalization register</w:t>
      </w:r>
    </w:p>
    <w:p w14:paraId="5D87E486" w14:textId="57C6089E" w:rsidR="000D4C94" w:rsidRPr="00E86501" w:rsidRDefault="28158316" w:rsidP="000D4C94">
      <w:pPr>
        <w:jc w:val="both"/>
        <w:rPr>
          <w:i/>
          <w:iCs/>
          <w:color w:val="000000" w:themeColor="text1"/>
          <w:sz w:val="20"/>
          <w:szCs w:val="20"/>
          <w:highlight w:val="cyan"/>
          <w:u w:val="single"/>
          <w:lang w:val="en-US"/>
        </w:rPr>
      </w:pPr>
      <w:r w:rsidRPr="00E86501">
        <w:rPr>
          <w:i/>
          <w:iCs/>
          <w:color w:val="000000" w:themeColor="text1"/>
          <w:sz w:val="20"/>
          <w:szCs w:val="20"/>
          <w:highlight w:val="cyan"/>
          <w:u w:val="single"/>
          <w:lang w:val="en-US"/>
        </w:rPr>
        <w:t>Activity 4.1.1.</w:t>
      </w:r>
      <w:r w:rsidR="00CD6CBD">
        <w:rPr>
          <w:i/>
          <w:iCs/>
          <w:color w:val="000000" w:themeColor="text1"/>
          <w:sz w:val="20"/>
          <w:szCs w:val="20"/>
          <w:highlight w:val="cyan"/>
          <w:u w:val="single"/>
          <w:lang w:val="en-US"/>
        </w:rPr>
        <w:t>3</w:t>
      </w:r>
      <w:r w:rsidRPr="00E86501">
        <w:rPr>
          <w:i/>
          <w:iCs/>
          <w:color w:val="000000" w:themeColor="text1"/>
          <w:sz w:val="20"/>
          <w:szCs w:val="20"/>
          <w:highlight w:val="cyan"/>
          <w:u w:val="single"/>
          <w:lang w:val="en-US"/>
        </w:rPr>
        <w:t xml:space="preserve"> </w:t>
      </w:r>
      <w:r w:rsidR="00E37140">
        <w:rPr>
          <w:i/>
          <w:iCs/>
          <w:color w:val="000000" w:themeColor="text1"/>
          <w:sz w:val="20"/>
          <w:szCs w:val="20"/>
          <w:highlight w:val="cyan"/>
          <w:u w:val="single"/>
          <w:lang w:val="en-US"/>
        </w:rPr>
        <w:t>P</w:t>
      </w:r>
      <w:r w:rsidR="000D4C94" w:rsidRPr="00E86501">
        <w:rPr>
          <w:i/>
          <w:iCs/>
          <w:color w:val="000000" w:themeColor="text1"/>
          <w:sz w:val="20"/>
          <w:szCs w:val="20"/>
          <w:highlight w:val="cyan"/>
          <w:u w:val="single"/>
          <w:lang w:val="en-US"/>
        </w:rPr>
        <w:t>roduce Technical and Policy Knowledge Products and Implement Strategic Communication, Outreach, and Sustainability Actions</w:t>
      </w:r>
    </w:p>
    <w:p w14:paraId="4156D22E" w14:textId="71E93BAF" w:rsidR="000D4C94" w:rsidRPr="00E86501" w:rsidRDefault="000D4C94" w:rsidP="000D4C94">
      <w:pPr>
        <w:jc w:val="both"/>
        <w:rPr>
          <w:color w:val="000000" w:themeColor="text1"/>
          <w:sz w:val="20"/>
          <w:szCs w:val="20"/>
          <w:highlight w:val="cyan"/>
          <w:lang w:val="en-US"/>
        </w:rPr>
      </w:pPr>
      <w:r w:rsidRPr="00E86501">
        <w:rPr>
          <w:color w:val="000000" w:themeColor="text1"/>
          <w:sz w:val="20"/>
          <w:szCs w:val="20"/>
          <w:highlight w:val="cyan"/>
          <w:lang w:val="en-US"/>
        </w:rPr>
        <w:t>This activity supports comprehensive knowledge capitalization, strategic communication, and evidence-based advocacy to amplify the project’s impact and ensure long-term sustainability. It involves the development of technical briefs, policy notes, guidance documents, analytical reports, and case studies on key themes such as sustainable mobility, green infrastructure, biodiversity, resilience, and gender equality. All products will integrate gender-responsive insights and will be produced in close coordination</w:t>
      </w:r>
      <w:r w:rsidR="00E87F2E">
        <w:rPr>
          <w:color w:val="000000" w:themeColor="text1"/>
          <w:sz w:val="20"/>
          <w:szCs w:val="20"/>
          <w:highlight w:val="cyan"/>
          <w:lang w:val="en-US"/>
        </w:rPr>
        <w:t>, when possible,</w:t>
      </w:r>
      <w:r w:rsidRPr="00E86501">
        <w:rPr>
          <w:color w:val="000000" w:themeColor="text1"/>
          <w:sz w:val="20"/>
          <w:szCs w:val="20"/>
          <w:highlight w:val="cyan"/>
          <w:lang w:val="en-US"/>
        </w:rPr>
        <w:t xml:space="preserve"> with institutional stakeholders and related initiatives such as PRUBA and PRTD to ensure coherence and complementarity.</w:t>
      </w:r>
    </w:p>
    <w:p w14:paraId="1EFAD0D4" w14:textId="77777777" w:rsidR="000D4C94" w:rsidRPr="00E86501" w:rsidRDefault="000D4C94" w:rsidP="000D4C94">
      <w:pPr>
        <w:jc w:val="both"/>
        <w:rPr>
          <w:color w:val="000000" w:themeColor="text1"/>
          <w:sz w:val="20"/>
          <w:szCs w:val="20"/>
          <w:highlight w:val="cyan"/>
          <w:lang w:val="en-US"/>
        </w:rPr>
      </w:pPr>
      <w:r w:rsidRPr="00E86501">
        <w:rPr>
          <w:color w:val="000000" w:themeColor="text1"/>
          <w:sz w:val="20"/>
          <w:szCs w:val="20"/>
          <w:highlight w:val="cyan"/>
          <w:lang w:val="en-US"/>
        </w:rPr>
        <w:t>A strong communication and outreach component will ensure broad dissemination of project results. Audiovisual materials—including videos, radio segments, testimonials, and infographics—will be produced and shared via traditional media (radio, TV) and digital channels (Facebook, LinkedIn, YouTube, Instagram). Targeted outreach campaigns, implemented with civil society organizations and guided by the KM and Communication Specialist, will mobilize communities, women, youth, political actors, and the private sector around key themes such as sustainable mobility, urban resilience, and climate action.</w:t>
      </w:r>
    </w:p>
    <w:p w14:paraId="54DC7479" w14:textId="77777777" w:rsidR="000D4C94" w:rsidRPr="00E86501" w:rsidRDefault="000D4C94" w:rsidP="000D4C94">
      <w:pPr>
        <w:jc w:val="both"/>
        <w:rPr>
          <w:color w:val="000000" w:themeColor="text1"/>
          <w:sz w:val="20"/>
          <w:szCs w:val="20"/>
          <w:highlight w:val="cyan"/>
          <w:lang w:val="en-US"/>
        </w:rPr>
      </w:pPr>
      <w:r w:rsidRPr="00E86501">
        <w:rPr>
          <w:color w:val="000000" w:themeColor="text1"/>
          <w:sz w:val="20"/>
          <w:szCs w:val="20"/>
          <w:highlight w:val="cyan"/>
          <w:lang w:val="en-US"/>
        </w:rPr>
        <w:t xml:space="preserve">Two </w:t>
      </w:r>
      <w:r w:rsidRPr="00E86501">
        <w:rPr>
          <w:b/>
          <w:bCs/>
          <w:color w:val="000000" w:themeColor="text1"/>
          <w:sz w:val="20"/>
          <w:szCs w:val="20"/>
          <w:highlight w:val="cyan"/>
          <w:lang w:val="en-US"/>
        </w:rPr>
        <w:t>behavioral surveys</w:t>
      </w:r>
      <w:r w:rsidRPr="00E86501">
        <w:rPr>
          <w:color w:val="000000" w:themeColor="text1"/>
          <w:sz w:val="20"/>
          <w:szCs w:val="20"/>
          <w:highlight w:val="cyan"/>
          <w:lang w:val="en-US"/>
        </w:rPr>
        <w:t xml:space="preserve"> will be conducted during the project to assess changes in mobility practices and the use of forests and green spaces. Their findings will inform technical notes, communication campaigns, and policy recommendations, ensuring relevance and grounding in user perceptions.</w:t>
      </w:r>
    </w:p>
    <w:p w14:paraId="286D3574" w14:textId="77777777" w:rsidR="000D4C94" w:rsidRDefault="000D4C94" w:rsidP="000D4C94">
      <w:pPr>
        <w:jc w:val="both"/>
        <w:rPr>
          <w:color w:val="000000" w:themeColor="text1"/>
          <w:sz w:val="20"/>
          <w:szCs w:val="20"/>
          <w:highlight w:val="cyan"/>
          <w:lang w:val="en-US"/>
        </w:rPr>
      </w:pPr>
      <w:r w:rsidRPr="00E86501">
        <w:rPr>
          <w:color w:val="000000" w:themeColor="text1"/>
          <w:sz w:val="20"/>
          <w:szCs w:val="20"/>
          <w:highlight w:val="cyan"/>
          <w:lang w:val="en-US"/>
        </w:rPr>
        <w:t xml:space="preserve">The activity will culminate in a comprehensive </w:t>
      </w:r>
      <w:r w:rsidRPr="00E86501">
        <w:rPr>
          <w:b/>
          <w:bCs/>
          <w:color w:val="000000" w:themeColor="text1"/>
          <w:sz w:val="20"/>
          <w:szCs w:val="20"/>
          <w:highlight w:val="cyan"/>
          <w:lang w:val="en-US"/>
        </w:rPr>
        <w:t>end-of-project publication</w:t>
      </w:r>
      <w:r w:rsidRPr="00E86501">
        <w:rPr>
          <w:color w:val="000000" w:themeColor="text1"/>
          <w:sz w:val="20"/>
          <w:szCs w:val="20"/>
          <w:highlight w:val="cyan"/>
          <w:lang w:val="en-US"/>
        </w:rPr>
        <w:t xml:space="preserve"> summarizing achievements, lessons learned, and strategic policy recommendations, enriched by beneficiary testimonies and analytical insights.</w:t>
      </w:r>
    </w:p>
    <w:p w14:paraId="34E99F61" w14:textId="77777777" w:rsidR="00591105" w:rsidRPr="00BD4E7A" w:rsidRDefault="00591105" w:rsidP="00591105">
      <w:pPr>
        <w:jc w:val="both"/>
        <w:rPr>
          <w:color w:val="000000" w:themeColor="text1"/>
          <w:sz w:val="20"/>
          <w:szCs w:val="20"/>
          <w:highlight w:val="cyan"/>
          <w:lang w:val="en-US"/>
        </w:rPr>
      </w:pPr>
      <w:r w:rsidRPr="00BD4E7A">
        <w:rPr>
          <w:color w:val="000000" w:themeColor="text1"/>
          <w:sz w:val="20"/>
          <w:szCs w:val="20"/>
          <w:highlight w:val="cyan"/>
          <w:lang w:val="en-US"/>
        </w:rPr>
        <w:t xml:space="preserve">A </w:t>
      </w:r>
      <w:r w:rsidRPr="00BD4E7A">
        <w:rPr>
          <w:b/>
          <w:bCs/>
          <w:color w:val="000000" w:themeColor="text1"/>
          <w:sz w:val="20"/>
          <w:szCs w:val="20"/>
          <w:highlight w:val="cyan"/>
          <w:lang w:val="en-US"/>
        </w:rPr>
        <w:t>project sustainability (exit) strategy</w:t>
      </w:r>
      <w:r w:rsidRPr="00BD4E7A">
        <w:rPr>
          <w:color w:val="000000" w:themeColor="text1"/>
          <w:sz w:val="20"/>
          <w:szCs w:val="20"/>
          <w:highlight w:val="cyan"/>
          <w:lang w:val="en-US"/>
        </w:rPr>
        <w:t xml:space="preserve"> and action plan will also be developed, outlining the institutional, financial, and technical conditions required to maintain and scale project results beyond completion. This strategy will include dedicated measures to preserve and strengthen gender-related gains and will form part of the project’s final documentation.</w:t>
      </w:r>
    </w:p>
    <w:p w14:paraId="4A5229C1" w14:textId="77777777" w:rsidR="00591105" w:rsidRPr="00E86501" w:rsidRDefault="00591105" w:rsidP="000D4C94">
      <w:pPr>
        <w:jc w:val="both"/>
        <w:rPr>
          <w:color w:val="000000" w:themeColor="text1"/>
          <w:sz w:val="20"/>
          <w:szCs w:val="20"/>
          <w:highlight w:val="cyan"/>
          <w:lang w:val="en-US"/>
        </w:rPr>
      </w:pPr>
    </w:p>
    <w:p w14:paraId="217A0739" w14:textId="1423BA5D" w:rsidR="00DC3819" w:rsidRPr="00E86501" w:rsidRDefault="000D4C94" w:rsidP="00E86501">
      <w:pPr>
        <w:pStyle w:val="Paragraphedeliste"/>
        <w:rPr>
          <w:highlight w:val="cyan"/>
          <w:lang w:val="en-US"/>
        </w:rPr>
      </w:pPr>
      <w:r w:rsidRPr="00E86501">
        <w:rPr>
          <w:color w:val="000000" w:themeColor="text1"/>
          <w:sz w:val="20"/>
          <w:szCs w:val="20"/>
          <w:highlight w:val="cyan"/>
          <w:lang w:val="en-US"/>
        </w:rPr>
        <w:t>Key Outputs:</w:t>
      </w:r>
      <w:r w:rsidRPr="00E86501">
        <w:rPr>
          <w:color w:val="000000" w:themeColor="text1"/>
          <w:sz w:val="20"/>
          <w:szCs w:val="20"/>
          <w:highlight w:val="cyan"/>
          <w:lang w:val="en-US"/>
        </w:rPr>
        <w:br/>
        <w:t>• Technical briefs, policy notes, guidance documents, and case studies</w:t>
      </w:r>
      <w:r w:rsidRPr="00E86501">
        <w:rPr>
          <w:color w:val="000000" w:themeColor="text1"/>
          <w:sz w:val="20"/>
          <w:szCs w:val="20"/>
          <w:highlight w:val="cyan"/>
          <w:lang w:val="en-US"/>
        </w:rPr>
        <w:br/>
        <w:t>• Gender-integrated research products</w:t>
      </w:r>
      <w:r w:rsidRPr="00E86501">
        <w:rPr>
          <w:color w:val="000000" w:themeColor="text1"/>
          <w:sz w:val="20"/>
          <w:szCs w:val="20"/>
          <w:highlight w:val="cyan"/>
          <w:lang w:val="en-US"/>
        </w:rPr>
        <w:br/>
        <w:t>• Audiovisual communication products and outreach campaigns</w:t>
      </w:r>
      <w:r w:rsidRPr="00E86501">
        <w:rPr>
          <w:color w:val="000000" w:themeColor="text1"/>
          <w:sz w:val="20"/>
          <w:szCs w:val="20"/>
          <w:highlight w:val="cyan"/>
          <w:lang w:val="en-US"/>
        </w:rPr>
        <w:br/>
        <w:t xml:space="preserve">• Behavioral surveys on </w:t>
      </w:r>
      <w:r w:rsidR="00027F23">
        <w:rPr>
          <w:color w:val="000000" w:themeColor="text1"/>
          <w:sz w:val="20"/>
          <w:szCs w:val="20"/>
          <w:highlight w:val="cyan"/>
          <w:lang w:val="en-US"/>
        </w:rPr>
        <w:t>green urban solution</w:t>
      </w:r>
      <w:r w:rsidR="00E1508A">
        <w:rPr>
          <w:color w:val="000000" w:themeColor="text1"/>
          <w:sz w:val="20"/>
          <w:szCs w:val="20"/>
          <w:highlight w:val="cyan"/>
          <w:lang w:val="en-US"/>
        </w:rPr>
        <w:t>s</w:t>
      </w:r>
      <w:r w:rsidR="00027F23">
        <w:rPr>
          <w:color w:val="000000" w:themeColor="text1"/>
          <w:sz w:val="20"/>
          <w:szCs w:val="20"/>
          <w:highlight w:val="cyan"/>
          <w:lang w:val="en-US"/>
        </w:rPr>
        <w:t xml:space="preserve"> and </w:t>
      </w:r>
      <w:r w:rsidR="00E1508A">
        <w:rPr>
          <w:color w:val="000000" w:themeColor="text1"/>
          <w:sz w:val="20"/>
          <w:szCs w:val="20"/>
          <w:highlight w:val="cyan"/>
          <w:lang w:val="en-US"/>
        </w:rPr>
        <w:t>community</w:t>
      </w:r>
      <w:r w:rsidR="002E1053">
        <w:rPr>
          <w:color w:val="000000" w:themeColor="text1"/>
          <w:sz w:val="20"/>
          <w:szCs w:val="20"/>
          <w:highlight w:val="cyan"/>
          <w:lang w:val="en-US"/>
        </w:rPr>
        <w:t xml:space="preserve"> involvement (</w:t>
      </w:r>
      <w:r w:rsidRPr="00E86501">
        <w:rPr>
          <w:color w:val="000000" w:themeColor="text1"/>
          <w:sz w:val="20"/>
          <w:szCs w:val="20"/>
          <w:highlight w:val="cyan"/>
          <w:lang w:val="en-US"/>
        </w:rPr>
        <w:t>mobility</w:t>
      </w:r>
      <w:r w:rsidR="000B295B">
        <w:rPr>
          <w:color w:val="000000" w:themeColor="text1"/>
          <w:sz w:val="20"/>
          <w:szCs w:val="20"/>
          <w:highlight w:val="cyan"/>
          <w:lang w:val="en-US"/>
        </w:rPr>
        <w:t>, f</w:t>
      </w:r>
      <w:r w:rsidRPr="00E86501">
        <w:rPr>
          <w:color w:val="000000" w:themeColor="text1"/>
          <w:sz w:val="20"/>
          <w:szCs w:val="20"/>
          <w:highlight w:val="cyan"/>
          <w:lang w:val="en-US"/>
        </w:rPr>
        <w:t>orest/green space use</w:t>
      </w:r>
      <w:r w:rsidR="000B295B">
        <w:rPr>
          <w:color w:val="000000" w:themeColor="text1"/>
          <w:sz w:val="20"/>
          <w:szCs w:val="20"/>
          <w:highlight w:val="cyan"/>
          <w:lang w:val="en-US"/>
        </w:rPr>
        <w:t xml:space="preserve">, management of </w:t>
      </w:r>
      <w:proofErr w:type="spellStart"/>
      <w:r w:rsidR="000B295B">
        <w:rPr>
          <w:color w:val="000000" w:themeColor="text1"/>
          <w:sz w:val="20"/>
          <w:szCs w:val="20"/>
          <w:highlight w:val="cyan"/>
          <w:lang w:val="en-US"/>
        </w:rPr>
        <w:t>waster</w:t>
      </w:r>
      <w:proofErr w:type="spellEnd"/>
      <w:r w:rsidR="000B295B">
        <w:rPr>
          <w:color w:val="000000" w:themeColor="text1"/>
          <w:sz w:val="20"/>
          <w:szCs w:val="20"/>
          <w:highlight w:val="cyan"/>
          <w:lang w:val="en-US"/>
        </w:rPr>
        <w:t>, etc..)</w:t>
      </w:r>
      <w:r w:rsidRPr="00E86501">
        <w:rPr>
          <w:color w:val="000000" w:themeColor="text1"/>
          <w:sz w:val="20"/>
          <w:szCs w:val="20"/>
          <w:highlight w:val="cyan"/>
          <w:lang w:val="en-US"/>
        </w:rPr>
        <w:br/>
        <w:t>• End-of-project publication</w:t>
      </w:r>
      <w:r w:rsidR="0041671F">
        <w:rPr>
          <w:color w:val="000000" w:themeColor="text1"/>
          <w:sz w:val="20"/>
          <w:szCs w:val="20"/>
          <w:highlight w:val="cyan"/>
          <w:lang w:val="en-US"/>
        </w:rPr>
        <w:t xml:space="preserve"> and </w:t>
      </w:r>
      <w:r w:rsidR="00CC73D8" w:rsidRPr="00E86501">
        <w:rPr>
          <w:color w:val="000000" w:themeColor="text1"/>
          <w:sz w:val="20"/>
          <w:szCs w:val="20"/>
          <w:highlight w:val="cyan"/>
          <w:lang w:val="en-US"/>
        </w:rPr>
        <w:t xml:space="preserve">Sustainability (exit) strategy </w:t>
      </w:r>
    </w:p>
    <w:p w14:paraId="2CA43F6F" w14:textId="7A072DA9" w:rsidR="005F186A" w:rsidRPr="00E86501" w:rsidRDefault="00E3744B" w:rsidP="00E86501">
      <w:pPr>
        <w:rPr>
          <w:highlight w:val="cyan"/>
          <w:lang w:val="en-US"/>
        </w:rPr>
      </w:pPr>
      <w:r w:rsidRPr="00BD4E7A">
        <w:rPr>
          <w:i/>
          <w:iCs/>
          <w:color w:val="000000" w:themeColor="text1"/>
          <w:sz w:val="20"/>
          <w:szCs w:val="20"/>
          <w:highlight w:val="cyan"/>
          <w:u w:val="single"/>
          <w:lang w:val="en-US"/>
        </w:rPr>
        <w:t>Activity 4.1.1</w:t>
      </w:r>
      <w:r>
        <w:rPr>
          <w:i/>
          <w:iCs/>
          <w:color w:val="000000" w:themeColor="text1"/>
          <w:sz w:val="20"/>
          <w:szCs w:val="20"/>
          <w:highlight w:val="cyan"/>
          <w:u w:val="single"/>
          <w:lang w:val="en-US"/>
        </w:rPr>
        <w:t xml:space="preserve">.4 </w:t>
      </w:r>
      <w:r w:rsidR="005F186A" w:rsidRPr="00E86501">
        <w:rPr>
          <w:i/>
          <w:iCs/>
          <w:sz w:val="20"/>
          <w:szCs w:val="20"/>
          <w:highlight w:val="cyan"/>
          <w:u w:val="single"/>
          <w:lang w:val="en-US"/>
        </w:rPr>
        <w:t>Implement and Monitor the Gender Action Plan Through Capacity Building, Institutional Strengthening, and Adaptive Management</w:t>
      </w:r>
    </w:p>
    <w:p w14:paraId="34224550" w14:textId="77777777" w:rsidR="005F186A" w:rsidRPr="00E86501" w:rsidRDefault="005F186A" w:rsidP="00E86501">
      <w:pPr>
        <w:rPr>
          <w:color w:val="000000" w:themeColor="text1"/>
          <w:sz w:val="20"/>
          <w:szCs w:val="20"/>
          <w:highlight w:val="cyan"/>
          <w:lang w:val="en-US"/>
        </w:rPr>
      </w:pPr>
      <w:r w:rsidRPr="00E86501">
        <w:rPr>
          <w:color w:val="000000" w:themeColor="text1"/>
          <w:sz w:val="20"/>
          <w:szCs w:val="20"/>
          <w:highlight w:val="cyan"/>
          <w:lang w:val="en-US"/>
        </w:rPr>
        <w:t xml:space="preserve">This activity ensures the effective implementation of the </w:t>
      </w:r>
      <w:r w:rsidRPr="00E86501">
        <w:rPr>
          <w:b/>
          <w:bCs/>
          <w:color w:val="000000" w:themeColor="text1"/>
          <w:sz w:val="20"/>
          <w:szCs w:val="20"/>
          <w:highlight w:val="cyan"/>
          <w:lang w:val="en-US"/>
        </w:rPr>
        <w:t>Gender Action Plan</w:t>
      </w:r>
      <w:r w:rsidRPr="00E86501">
        <w:rPr>
          <w:color w:val="000000" w:themeColor="text1"/>
          <w:sz w:val="20"/>
          <w:szCs w:val="20"/>
          <w:highlight w:val="cyan"/>
          <w:lang w:val="en-US"/>
        </w:rPr>
        <w:t xml:space="preserve"> through a combination of capacity-building, monitoring, and adaptive management processes. It strengthens the capacities of public institutions, municipal actors, civil society, and One-Stop Center staff to integrate gender equality into planning, budgeting, governance, service delivery, and decision-making. A comprehensive, continuous training </w:t>
      </w:r>
      <w:proofErr w:type="spellStart"/>
      <w:r w:rsidRPr="00E86501">
        <w:rPr>
          <w:color w:val="000000" w:themeColor="text1"/>
          <w:sz w:val="20"/>
          <w:szCs w:val="20"/>
          <w:highlight w:val="cyan"/>
          <w:lang w:val="en-US"/>
        </w:rPr>
        <w:t>programme</w:t>
      </w:r>
      <w:proofErr w:type="spellEnd"/>
      <w:r w:rsidRPr="00E86501">
        <w:rPr>
          <w:color w:val="000000" w:themeColor="text1"/>
          <w:sz w:val="20"/>
          <w:szCs w:val="20"/>
          <w:highlight w:val="cyan"/>
          <w:lang w:val="en-US"/>
        </w:rPr>
        <w:t>—co-designed and delivered with women’s CSOs—will enhance institutional skills in gender-responsive planning, budgeting, monitoring, and inclusive governance. A specific partnership will be established with Avocats Sans Frontières to support training and technical assistance for National Police One-Stop Center staff, improving survivor-centered services for GBV victims within the urban services framework.</w:t>
      </w:r>
    </w:p>
    <w:p w14:paraId="21C9EC8D" w14:textId="77777777" w:rsidR="005F186A" w:rsidRPr="00E86501" w:rsidRDefault="005F186A" w:rsidP="00E86501">
      <w:pPr>
        <w:rPr>
          <w:color w:val="000000" w:themeColor="text1"/>
          <w:sz w:val="20"/>
          <w:szCs w:val="20"/>
          <w:highlight w:val="cyan"/>
          <w:lang w:val="en-US"/>
        </w:rPr>
      </w:pPr>
      <w:r w:rsidRPr="00E86501">
        <w:rPr>
          <w:color w:val="000000" w:themeColor="text1"/>
          <w:sz w:val="20"/>
          <w:szCs w:val="20"/>
          <w:highlight w:val="cyan"/>
          <w:lang w:val="en-US"/>
        </w:rPr>
        <w:lastRenderedPageBreak/>
        <w:t>A dedicated gender expert will establish and operate a Gender Action Plan monitoring system, integrating qualitative and quantitative indicators, dashboards, reporting tools, and participatory feedback loops. This system will allow for regular tracking of progress, identification of bottlenecks, and timely adjustments, ensuring that gender commitments remain central throughout implementation. Gender mainstreaming checklists, guidelines, and governance tools will support institutions in operationalizing gender equality across their mandates.</w:t>
      </w:r>
    </w:p>
    <w:p w14:paraId="5A849292" w14:textId="3554BFF2" w:rsidR="005F186A" w:rsidRPr="00E86501" w:rsidRDefault="005F186A" w:rsidP="00E86501">
      <w:pPr>
        <w:rPr>
          <w:color w:val="000000" w:themeColor="text1"/>
          <w:sz w:val="20"/>
          <w:szCs w:val="20"/>
          <w:highlight w:val="cyan"/>
          <w:lang w:val="en-US"/>
        </w:rPr>
      </w:pPr>
      <w:r w:rsidRPr="00E86501">
        <w:rPr>
          <w:color w:val="000000" w:themeColor="text1"/>
          <w:sz w:val="20"/>
          <w:szCs w:val="20"/>
          <w:highlight w:val="cyan"/>
          <w:lang w:val="en-US"/>
        </w:rPr>
        <w:t>To reinforce visibility and ensure coherent messaging, a gender-responsive communication package will be produced, including a unified visual identity, templates, and diverse communication materials (information kits, brochures, newsletters, banners, press kits). Content will highlight gender equality, climate resilience, and inclusive urban development</w:t>
      </w:r>
      <w:r w:rsidR="00991CA0">
        <w:rPr>
          <w:color w:val="000000" w:themeColor="text1"/>
          <w:sz w:val="20"/>
          <w:szCs w:val="20"/>
          <w:highlight w:val="cyan"/>
          <w:lang w:val="en-US"/>
        </w:rPr>
        <w:t xml:space="preserve"> and will be communicated on the digital platform.</w:t>
      </w:r>
    </w:p>
    <w:p w14:paraId="322BCB1F" w14:textId="77777777" w:rsidR="00CC1B0C" w:rsidRPr="00E86501" w:rsidRDefault="005F186A" w:rsidP="00E86501">
      <w:pPr>
        <w:rPr>
          <w:color w:val="000000" w:themeColor="text1"/>
          <w:sz w:val="20"/>
          <w:szCs w:val="20"/>
          <w:highlight w:val="cyan"/>
          <w:lang w:val="en-US"/>
        </w:rPr>
      </w:pPr>
      <w:r w:rsidRPr="00E86501">
        <w:rPr>
          <w:color w:val="000000" w:themeColor="text1"/>
          <w:sz w:val="20"/>
          <w:szCs w:val="20"/>
          <w:highlight w:val="cyan"/>
          <w:lang w:val="en-US"/>
        </w:rPr>
        <w:t>Together, these actions strengthen institutional capacities, enhance gender-responsive service delivery, and ensure adaptive, evidence-based implementation of the Gender Action Plan—contributing to the long-term institutionalization of gender equality within Bamako’s urban governance system.</w:t>
      </w:r>
    </w:p>
    <w:p w14:paraId="002BA7B0" w14:textId="2E774F59" w:rsidR="005F186A" w:rsidRPr="00E86501" w:rsidRDefault="005F186A" w:rsidP="00E86501">
      <w:pPr>
        <w:rPr>
          <w:i/>
          <w:iCs/>
          <w:color w:val="000000" w:themeColor="text1"/>
          <w:sz w:val="20"/>
          <w:szCs w:val="20"/>
          <w:highlight w:val="cyan"/>
          <w:u w:val="single"/>
        </w:rPr>
      </w:pPr>
      <w:r w:rsidRPr="00E86501">
        <w:rPr>
          <w:b/>
          <w:bCs/>
          <w:color w:val="000000" w:themeColor="text1"/>
          <w:sz w:val="20"/>
          <w:szCs w:val="20"/>
          <w:highlight w:val="cyan"/>
          <w:lang w:val="en-US"/>
        </w:rPr>
        <w:t>Expected Outputs</w:t>
      </w:r>
    </w:p>
    <w:p w14:paraId="2E9C1E6C" w14:textId="77777777" w:rsidR="002E616E" w:rsidRPr="00E86501" w:rsidRDefault="005F186A" w:rsidP="002E616E">
      <w:pPr>
        <w:pStyle w:val="Paragraphedeliste"/>
        <w:numPr>
          <w:ilvl w:val="0"/>
          <w:numId w:val="931"/>
        </w:numPr>
        <w:rPr>
          <w:i/>
          <w:iCs/>
          <w:color w:val="000000" w:themeColor="text1"/>
          <w:sz w:val="20"/>
          <w:szCs w:val="20"/>
          <w:highlight w:val="cyan"/>
          <w:lang w:val="en-US"/>
        </w:rPr>
      </w:pPr>
      <w:r w:rsidRPr="00E86501">
        <w:rPr>
          <w:color w:val="000000" w:themeColor="text1"/>
          <w:sz w:val="20"/>
          <w:szCs w:val="20"/>
          <w:highlight w:val="cyan"/>
          <w:lang w:val="en-US"/>
        </w:rPr>
        <w:t>Gender training for institutions and municipal actors</w:t>
      </w:r>
    </w:p>
    <w:p w14:paraId="18F64D05" w14:textId="794BFFE1" w:rsidR="002E616E" w:rsidRPr="00E86501" w:rsidRDefault="005F186A" w:rsidP="002E616E">
      <w:pPr>
        <w:pStyle w:val="Paragraphedeliste"/>
        <w:numPr>
          <w:ilvl w:val="0"/>
          <w:numId w:val="931"/>
        </w:numPr>
        <w:rPr>
          <w:i/>
          <w:iCs/>
          <w:color w:val="000000" w:themeColor="text1"/>
          <w:sz w:val="20"/>
          <w:szCs w:val="20"/>
          <w:highlight w:val="cyan"/>
          <w:lang w:val="en-US"/>
        </w:rPr>
      </w:pPr>
      <w:r w:rsidRPr="00E86501">
        <w:rPr>
          <w:color w:val="000000" w:themeColor="text1"/>
          <w:sz w:val="20"/>
          <w:szCs w:val="20"/>
          <w:highlight w:val="cyan"/>
          <w:lang w:val="en-US"/>
        </w:rPr>
        <w:t>Capacity building and technical support for One-Stop Centers</w:t>
      </w:r>
    </w:p>
    <w:p w14:paraId="41D31D69" w14:textId="77777777" w:rsidR="002E616E" w:rsidRPr="00E86501" w:rsidRDefault="005F186A" w:rsidP="002E616E">
      <w:pPr>
        <w:pStyle w:val="Paragraphedeliste"/>
        <w:numPr>
          <w:ilvl w:val="0"/>
          <w:numId w:val="931"/>
        </w:numPr>
        <w:rPr>
          <w:i/>
          <w:iCs/>
          <w:color w:val="000000" w:themeColor="text1"/>
          <w:sz w:val="20"/>
          <w:szCs w:val="20"/>
          <w:highlight w:val="cyan"/>
          <w:lang w:val="en-US"/>
        </w:rPr>
      </w:pPr>
      <w:r w:rsidRPr="00E86501">
        <w:rPr>
          <w:color w:val="000000" w:themeColor="text1"/>
          <w:sz w:val="20"/>
          <w:szCs w:val="20"/>
          <w:highlight w:val="cyan"/>
          <w:lang w:val="en-US"/>
        </w:rPr>
        <w:t>Gender-responsive tools, checklists, and governance guideline</w:t>
      </w:r>
      <w:r w:rsidR="002E616E">
        <w:rPr>
          <w:color w:val="000000" w:themeColor="text1"/>
          <w:sz w:val="20"/>
          <w:szCs w:val="20"/>
          <w:highlight w:val="cyan"/>
          <w:lang w:val="en-US"/>
        </w:rPr>
        <w:t>s</w:t>
      </w:r>
    </w:p>
    <w:p w14:paraId="3965AF36" w14:textId="77777777" w:rsidR="002E616E" w:rsidRPr="00E86501" w:rsidRDefault="005F186A" w:rsidP="002E616E">
      <w:pPr>
        <w:pStyle w:val="Paragraphedeliste"/>
        <w:numPr>
          <w:ilvl w:val="0"/>
          <w:numId w:val="931"/>
        </w:numPr>
        <w:rPr>
          <w:i/>
          <w:iCs/>
          <w:color w:val="000000" w:themeColor="text1"/>
          <w:sz w:val="20"/>
          <w:szCs w:val="20"/>
          <w:highlight w:val="cyan"/>
          <w:lang w:val="en-US"/>
        </w:rPr>
      </w:pPr>
      <w:r w:rsidRPr="00E86501">
        <w:rPr>
          <w:color w:val="000000" w:themeColor="text1"/>
          <w:sz w:val="20"/>
          <w:szCs w:val="20"/>
          <w:highlight w:val="cyan"/>
          <w:lang w:val="en-US"/>
        </w:rPr>
        <w:t>Monitoring and reporting system for the Gender Action Pl</w:t>
      </w:r>
      <w:r w:rsidR="002E616E">
        <w:rPr>
          <w:color w:val="000000" w:themeColor="text1"/>
          <w:sz w:val="20"/>
          <w:szCs w:val="20"/>
          <w:highlight w:val="cyan"/>
          <w:lang w:val="en-US"/>
        </w:rPr>
        <w:t>an</w:t>
      </w:r>
    </w:p>
    <w:p w14:paraId="628F2068" w14:textId="77777777" w:rsidR="002E616E" w:rsidRPr="00E86501" w:rsidRDefault="005F186A" w:rsidP="002E616E">
      <w:pPr>
        <w:pStyle w:val="Paragraphedeliste"/>
        <w:numPr>
          <w:ilvl w:val="0"/>
          <w:numId w:val="931"/>
        </w:numPr>
        <w:rPr>
          <w:i/>
          <w:iCs/>
          <w:color w:val="000000" w:themeColor="text1"/>
          <w:sz w:val="20"/>
          <w:szCs w:val="20"/>
          <w:highlight w:val="cyan"/>
          <w:lang w:val="en-US"/>
        </w:rPr>
      </w:pPr>
      <w:r w:rsidRPr="00E86501">
        <w:rPr>
          <w:color w:val="000000" w:themeColor="text1"/>
          <w:sz w:val="20"/>
          <w:szCs w:val="20"/>
          <w:highlight w:val="cyan"/>
          <w:lang w:val="en-US"/>
        </w:rPr>
        <w:t>Annual review and adaptive management processes</w:t>
      </w:r>
    </w:p>
    <w:p w14:paraId="1879C306" w14:textId="77777777" w:rsidR="002E616E" w:rsidRPr="00E86501" w:rsidRDefault="005F186A" w:rsidP="002E616E">
      <w:pPr>
        <w:pStyle w:val="Paragraphedeliste"/>
        <w:numPr>
          <w:ilvl w:val="0"/>
          <w:numId w:val="931"/>
        </w:numPr>
        <w:rPr>
          <w:i/>
          <w:iCs/>
          <w:color w:val="000000" w:themeColor="text1"/>
          <w:sz w:val="20"/>
          <w:szCs w:val="20"/>
          <w:highlight w:val="cyan"/>
          <w:lang w:val="en-US"/>
        </w:rPr>
      </w:pPr>
      <w:r w:rsidRPr="00E86501">
        <w:rPr>
          <w:color w:val="000000" w:themeColor="text1"/>
          <w:sz w:val="20"/>
          <w:szCs w:val="20"/>
          <w:highlight w:val="cyan"/>
          <w:lang w:val="en-US"/>
        </w:rPr>
        <w:t>Visibility and communication materials integrating gender equality</w:t>
      </w:r>
    </w:p>
    <w:p w14:paraId="25CCBC2B" w14:textId="5316459F" w:rsidR="005F186A" w:rsidRPr="00E86501" w:rsidRDefault="005F186A" w:rsidP="00E86501">
      <w:pPr>
        <w:pStyle w:val="Paragraphedeliste"/>
        <w:numPr>
          <w:ilvl w:val="0"/>
          <w:numId w:val="931"/>
        </w:numPr>
        <w:rPr>
          <w:i/>
          <w:iCs/>
          <w:color w:val="000000" w:themeColor="text1"/>
          <w:sz w:val="20"/>
          <w:szCs w:val="20"/>
          <w:highlight w:val="cyan"/>
          <w:lang w:val="en-US"/>
        </w:rPr>
      </w:pPr>
      <w:r w:rsidRPr="00E86501">
        <w:rPr>
          <w:color w:val="000000" w:themeColor="text1"/>
          <w:sz w:val="20"/>
          <w:szCs w:val="20"/>
          <w:highlight w:val="cyan"/>
          <w:lang w:val="en-US"/>
        </w:rPr>
        <w:t>Measures</w:t>
      </w:r>
      <w:r w:rsidRPr="00E86501">
        <w:rPr>
          <w:i/>
          <w:iCs/>
          <w:color w:val="000000" w:themeColor="text1"/>
          <w:sz w:val="20"/>
          <w:szCs w:val="20"/>
          <w:highlight w:val="cyan"/>
          <w:lang w:val="en-US"/>
        </w:rPr>
        <w:t xml:space="preserve"> for long-term institutionalization of gender mainstreaming</w:t>
      </w:r>
    </w:p>
    <w:p w14:paraId="0D445253" w14:textId="669630A8" w:rsidR="5D8904BE" w:rsidRDefault="5D8904BE" w:rsidP="00E86501">
      <w:pPr>
        <w:jc w:val="both"/>
        <w:rPr>
          <w:color w:val="000000" w:themeColor="text1"/>
          <w:sz w:val="20"/>
          <w:szCs w:val="20"/>
          <w:lang w:val="en-US"/>
        </w:rPr>
      </w:pPr>
    </w:p>
    <w:p w14:paraId="000005B0" w14:textId="349B4273" w:rsidR="004F7DB3" w:rsidRPr="007F4912" w:rsidRDefault="789A7B8B" w:rsidP="00265F82">
      <w:pPr>
        <w:shd w:val="clear" w:color="auto" w:fill="B3E5A1" w:themeFill="accent6" w:themeFillTint="66"/>
        <w:rPr>
          <w:b/>
          <w:bCs/>
          <w:sz w:val="20"/>
          <w:szCs w:val="20"/>
          <w:shd w:val="clear" w:color="auto" w:fill="D9EAD3"/>
          <w:lang w:val="en-US"/>
        </w:rPr>
      </w:pPr>
      <w:bookmarkStart w:id="41" w:name="_heading=h.oh38qcgqqylt"/>
      <w:bookmarkEnd w:id="41"/>
      <w:r w:rsidRPr="00265F82">
        <w:rPr>
          <w:b/>
          <w:bCs/>
          <w:sz w:val="20"/>
          <w:szCs w:val="20"/>
          <w:shd w:val="clear" w:color="auto" w:fill="D9EAD3"/>
          <w:lang w:val="en-US"/>
        </w:rPr>
        <w:t>C</w:t>
      </w:r>
      <w:r w:rsidR="2003044B" w:rsidRPr="00265F82">
        <w:rPr>
          <w:b/>
          <w:bCs/>
          <w:sz w:val="20"/>
          <w:szCs w:val="20"/>
          <w:shd w:val="clear" w:color="auto" w:fill="D9EAD3"/>
          <w:lang w:val="en-US"/>
        </w:rPr>
        <w:t>omponent 5.   Monitoring and Evaluation (M&amp;E)</w:t>
      </w:r>
    </w:p>
    <w:p w14:paraId="000005B1" w14:textId="77777777" w:rsidR="004F7DB3" w:rsidRDefault="29D57A18" w:rsidP="00BE32B2">
      <w:pPr>
        <w:jc w:val="both"/>
        <w:rPr>
          <w:b/>
          <w:bCs/>
          <w:color w:val="0D0D0D" w:themeColor="text1" w:themeTint="F2"/>
          <w:sz w:val="20"/>
          <w:szCs w:val="20"/>
          <w:lang w:val="en-US"/>
        </w:rPr>
      </w:pPr>
      <w:r w:rsidRPr="007F4912">
        <w:rPr>
          <w:b/>
          <w:bCs/>
          <w:color w:val="0D0D0D" w:themeColor="text1" w:themeTint="F2"/>
          <w:sz w:val="20"/>
          <w:szCs w:val="20"/>
          <w:lang w:val="en-US"/>
        </w:rPr>
        <w:t>Outcome 5.1 An effective project implementation framework is in place</w:t>
      </w:r>
    </w:p>
    <w:p w14:paraId="58601A5B" w14:textId="7BB95FAD" w:rsidR="00BE32B2" w:rsidRPr="001A33CF" w:rsidRDefault="02EF038E" w:rsidP="00BE32B2">
      <w:pPr>
        <w:jc w:val="both"/>
        <w:rPr>
          <w:color w:val="0D0D0D" w:themeColor="text1" w:themeTint="F2"/>
          <w:sz w:val="20"/>
          <w:szCs w:val="20"/>
          <w:lang w:val="en-US"/>
        </w:rPr>
      </w:pPr>
      <w:r w:rsidRPr="3D58A386">
        <w:rPr>
          <w:color w:val="000000" w:themeColor="text1"/>
          <w:sz w:val="20"/>
          <w:szCs w:val="20"/>
          <w:lang w:val="en-US"/>
        </w:rPr>
        <w:t xml:space="preserve">To ensure the successful delivery of the Integrated Urban Development project, a robust and transparent implementation framework will be established. This framework will provide clear governance, coordination, and oversight mechanisms that promote accountability, adaptive management, and continuous learning. Central to this framework is the establishment of a comprehensive monitoring and evaluation (M&amp;E) system designed to track progress, assess performance, and </w:t>
      </w:r>
      <w:r w:rsidR="172A92E2" w:rsidRPr="3D58A386">
        <w:rPr>
          <w:color w:val="000000" w:themeColor="text1"/>
          <w:sz w:val="20"/>
          <w:szCs w:val="20"/>
          <w:lang w:val="en-US"/>
        </w:rPr>
        <w:t>guide</w:t>
      </w:r>
      <w:r w:rsidRPr="3D58A386">
        <w:rPr>
          <w:color w:val="000000" w:themeColor="text1"/>
          <w:sz w:val="20"/>
          <w:szCs w:val="20"/>
          <w:lang w:val="en-US"/>
        </w:rPr>
        <w:t xml:space="preserve"> timely decision-making. By embedding systematic reporting and stakeholder engagement within the project’s operational cycle, the framework will support results-based management aligned with UNDP and GEF standards, thereby maximizing the project’s impact and sustainability.</w:t>
      </w:r>
    </w:p>
    <w:p w14:paraId="000005B2" w14:textId="77777777" w:rsidR="004F7DB3" w:rsidRPr="007F4912" w:rsidRDefault="6E2A2B94" w:rsidP="00BE32B2">
      <w:pPr>
        <w:jc w:val="both"/>
        <w:rPr>
          <w:b/>
          <w:bCs/>
          <w:sz w:val="20"/>
          <w:szCs w:val="20"/>
          <w:lang w:val="en-US"/>
        </w:rPr>
      </w:pPr>
      <w:r w:rsidRPr="5D8904BE">
        <w:rPr>
          <w:b/>
          <w:bCs/>
          <w:sz w:val="20"/>
          <w:szCs w:val="20"/>
          <w:lang w:val="en-US"/>
        </w:rPr>
        <w:t>Output 5.1.1 Monitoring and evaluation reports are produced throughout the implementation of the project in accordance with UNDP and GEF guidelines</w:t>
      </w:r>
    </w:p>
    <w:p w14:paraId="4EE00015" w14:textId="77777777" w:rsidR="00734FD0" w:rsidRPr="00734FD0" w:rsidRDefault="1745B744" w:rsidP="00734FD0">
      <w:pPr>
        <w:jc w:val="both"/>
        <w:rPr>
          <w:sz w:val="20"/>
          <w:szCs w:val="20"/>
          <w:lang w:val="en-US"/>
        </w:rPr>
      </w:pPr>
      <w:r w:rsidRPr="5D8904BE">
        <w:rPr>
          <w:sz w:val="20"/>
          <w:szCs w:val="20"/>
          <w:lang w:val="en-US"/>
        </w:rPr>
        <w:t>This output focuses on the development and implementation of a structured M&amp;E plan that complies with UNDP and GEF requirements. Key activities include the organization of a project start-up workshop to align stakeholders on objectives, roles, and plans; continuous monitoring of project indicators to provide real-time data for adaptive management; and the preparation of comprehensive reports to document progress and inform decision-makers. Additionally, mid-term and final independent evaluations will be conducted to rigorously assess project outcomes, share lessons learned, and identify opportunities for scaling up. The final project workshop will ensure transparency and foster collective reflection among all partners and beneficiaries. Together, these activities will underpin a culture of accountability and evidence-based management throughout the project lifecycle.</w:t>
      </w:r>
    </w:p>
    <w:p w14:paraId="000005B4" w14:textId="186DB5B5" w:rsidR="004F7DB3" w:rsidRPr="007F4912" w:rsidRDefault="5BE43CB8" w:rsidP="00BE32B2">
      <w:pPr>
        <w:jc w:val="both"/>
        <w:rPr>
          <w:i/>
          <w:iCs/>
          <w:sz w:val="20"/>
          <w:szCs w:val="20"/>
          <w:u w:val="single"/>
          <w:lang w:val="en-US"/>
        </w:rPr>
      </w:pPr>
      <w:r w:rsidRPr="007F4912">
        <w:rPr>
          <w:i/>
          <w:iCs/>
          <w:sz w:val="20"/>
          <w:szCs w:val="20"/>
          <w:u w:val="single"/>
          <w:lang w:val="en-US"/>
        </w:rPr>
        <w:t xml:space="preserve">Activity 5.1.1.1 Organize a Start-Up Workshop and Prepare a </w:t>
      </w:r>
      <w:r w:rsidR="7729B061" w:rsidRPr="007F4912">
        <w:rPr>
          <w:i/>
          <w:iCs/>
          <w:sz w:val="20"/>
          <w:szCs w:val="20"/>
          <w:u w:val="single"/>
          <w:lang w:val="en-US"/>
        </w:rPr>
        <w:t xml:space="preserve">Workshop </w:t>
      </w:r>
      <w:r w:rsidRPr="007F4912">
        <w:rPr>
          <w:i/>
          <w:iCs/>
          <w:sz w:val="20"/>
          <w:szCs w:val="20"/>
          <w:u w:val="single"/>
          <w:lang w:val="en-US"/>
        </w:rPr>
        <w:t>Report</w:t>
      </w:r>
    </w:p>
    <w:p w14:paraId="000005B5" w14:textId="11987A51" w:rsidR="004F7DB3" w:rsidRPr="007F4912" w:rsidRDefault="38458648" w:rsidP="00BE32B2">
      <w:pPr>
        <w:jc w:val="both"/>
        <w:rPr>
          <w:sz w:val="20"/>
          <w:szCs w:val="20"/>
          <w:lang w:val="en-US"/>
        </w:rPr>
      </w:pPr>
      <w:r w:rsidRPr="0764FF73">
        <w:rPr>
          <w:sz w:val="20"/>
          <w:szCs w:val="20"/>
          <w:lang w:val="en-US"/>
        </w:rPr>
        <w:t xml:space="preserve">A project kick-off workshop will be organized to officially launch the project and, inter alia, familiarize key stakeholders with the detailed project strategy, the roles and responsibilities of the project team and the project </w:t>
      </w:r>
      <w:r w:rsidRPr="0764FF73">
        <w:rPr>
          <w:sz w:val="20"/>
          <w:szCs w:val="20"/>
          <w:lang w:val="en-US"/>
        </w:rPr>
        <w:lastRenderedPageBreak/>
        <w:t xml:space="preserve">planning instruments such as the total budget and work plan (section IX), the multi-year work plan (Annex 4),  the monitoring plan (section VI), the procurement plan (annex 11), the communication plan, and the gender action plan (annex 10). The national kick-off workshop will be held at the beginning of the project implementation (within 60 days of the approval of this project by the OSC). The workshop will be </w:t>
      </w:r>
      <w:r w:rsidR="197D645D" w:rsidRPr="0764FF73">
        <w:rPr>
          <w:sz w:val="20"/>
          <w:szCs w:val="20"/>
          <w:lang w:val="en-US"/>
        </w:rPr>
        <w:t>organized</w:t>
      </w:r>
      <w:r w:rsidRPr="0764FF73">
        <w:rPr>
          <w:sz w:val="20"/>
          <w:szCs w:val="20"/>
          <w:lang w:val="en-US"/>
        </w:rPr>
        <w:t xml:space="preserve"> by the PMU. Staff from UNDP Headquarters and Mali as well as from the Global Sustainable Cities </w:t>
      </w:r>
      <w:proofErr w:type="spellStart"/>
      <w:r w:rsidRPr="0764FF73">
        <w:rPr>
          <w:sz w:val="20"/>
          <w:szCs w:val="20"/>
          <w:lang w:val="en-US"/>
        </w:rPr>
        <w:t>Programme</w:t>
      </w:r>
      <w:proofErr w:type="spellEnd"/>
      <w:r w:rsidRPr="0764FF73">
        <w:rPr>
          <w:sz w:val="20"/>
          <w:szCs w:val="20"/>
          <w:lang w:val="en-US"/>
        </w:rPr>
        <w:t xml:space="preserve"> will participate remotely or in person in the kick-off workshop and provide input on the content of the workshop, when requested by the implementing agency (IP). The report of the inception workshop will be prepared by the PMU and submitted to UNDP within 90 days of the approval of this project by CEO.</w:t>
      </w:r>
    </w:p>
    <w:p w14:paraId="000005B6" w14:textId="77777777" w:rsidR="004F7DB3" w:rsidRPr="007F4912" w:rsidRDefault="29D57A18" w:rsidP="00BE32B2">
      <w:pPr>
        <w:jc w:val="both"/>
        <w:rPr>
          <w:i/>
          <w:iCs/>
          <w:sz w:val="20"/>
          <w:szCs w:val="20"/>
          <w:u w:val="single"/>
          <w:lang w:val="en-US"/>
        </w:rPr>
      </w:pPr>
      <w:r w:rsidRPr="007F4912">
        <w:rPr>
          <w:i/>
          <w:iCs/>
          <w:sz w:val="20"/>
          <w:szCs w:val="20"/>
          <w:u w:val="single"/>
          <w:lang w:val="en-US"/>
        </w:rPr>
        <w:t>Activity 5.1.1.2. Ensure the permanent monitoring of the project</w:t>
      </w:r>
    </w:p>
    <w:p w14:paraId="000005B7" w14:textId="219942AE" w:rsidR="004F7DB3" w:rsidRPr="007F4912" w:rsidRDefault="58DB6CF5" w:rsidP="00BE32B2">
      <w:pPr>
        <w:jc w:val="both"/>
        <w:rPr>
          <w:sz w:val="20"/>
          <w:szCs w:val="20"/>
          <w:lang w:val="en-US"/>
        </w:rPr>
      </w:pPr>
      <w:r w:rsidRPr="3D58A386">
        <w:rPr>
          <w:sz w:val="20"/>
          <w:szCs w:val="20"/>
          <w:lang w:val="en-US"/>
        </w:rPr>
        <w:t xml:space="preserve">As outlined in the monitoring and evaluation plan (section VI), data related </w:t>
      </w:r>
      <w:r w:rsidR="54880461" w:rsidRPr="3D58A386">
        <w:rPr>
          <w:sz w:val="20"/>
          <w:szCs w:val="20"/>
          <w:lang w:val="en-US"/>
        </w:rPr>
        <w:t xml:space="preserve">on </w:t>
      </w:r>
      <w:r w:rsidRPr="3D58A386">
        <w:rPr>
          <w:sz w:val="20"/>
          <w:szCs w:val="20"/>
          <w:lang w:val="en-US"/>
        </w:rPr>
        <w:t xml:space="preserve">the indicators of the results framework will be systematically collected and </w:t>
      </w:r>
      <w:proofErr w:type="spellStart"/>
      <w:r w:rsidRPr="3D58A386">
        <w:rPr>
          <w:sz w:val="20"/>
          <w:szCs w:val="20"/>
          <w:lang w:val="en-US"/>
        </w:rPr>
        <w:t>analysed</w:t>
      </w:r>
      <w:proofErr w:type="spellEnd"/>
      <w:r w:rsidRPr="3D58A386">
        <w:rPr>
          <w:sz w:val="20"/>
          <w:szCs w:val="20"/>
          <w:lang w:val="en-US"/>
        </w:rPr>
        <w:t xml:space="preserve"> in order to provide project decision-makers, managers and stakeholders: (</w:t>
      </w:r>
      <w:proofErr w:type="spellStart"/>
      <w:r w:rsidRPr="3D58A386">
        <w:rPr>
          <w:sz w:val="20"/>
          <w:szCs w:val="20"/>
          <w:lang w:val="en-US"/>
        </w:rPr>
        <w:t>i</w:t>
      </w:r>
      <w:proofErr w:type="spellEnd"/>
      <w:r w:rsidRPr="3D58A386">
        <w:rPr>
          <w:sz w:val="20"/>
          <w:szCs w:val="20"/>
          <w:lang w:val="en-US"/>
        </w:rPr>
        <w:t xml:space="preserve">) with information on progress towards the achievement of agreed objectives and the use of allocated resources, and (ii) regular feedback on the performance of projects and </w:t>
      </w:r>
      <w:proofErr w:type="spellStart"/>
      <w:r w:rsidRPr="3D58A386">
        <w:rPr>
          <w:sz w:val="20"/>
          <w:szCs w:val="20"/>
          <w:lang w:val="en-US"/>
        </w:rPr>
        <w:t>programmes</w:t>
      </w:r>
      <w:proofErr w:type="spellEnd"/>
      <w:r w:rsidRPr="3D58A386">
        <w:rPr>
          <w:sz w:val="20"/>
          <w:szCs w:val="20"/>
          <w:lang w:val="en-US"/>
        </w:rPr>
        <w:t xml:space="preserve"> taking into account the external environment. The information from systematic monitoring is an essential input to PMU (adaptive management) management decisions, </w:t>
      </w:r>
      <w:r w:rsidR="42EFD0E0" w:rsidRPr="3D58A386">
        <w:rPr>
          <w:sz w:val="20"/>
          <w:szCs w:val="20"/>
          <w:lang w:val="en-US"/>
        </w:rPr>
        <w:t>evaluation,</w:t>
      </w:r>
      <w:r w:rsidRPr="3D58A386">
        <w:rPr>
          <w:sz w:val="20"/>
          <w:szCs w:val="20"/>
          <w:lang w:val="en-US"/>
        </w:rPr>
        <w:t xml:space="preserve"> and learning.</w:t>
      </w:r>
    </w:p>
    <w:p w14:paraId="000005B8" w14:textId="0F9FCB1B" w:rsidR="004F7DB3" w:rsidRPr="007F4912" w:rsidRDefault="6E2A2B94" w:rsidP="00BE32B2">
      <w:pPr>
        <w:jc w:val="both"/>
        <w:rPr>
          <w:sz w:val="20"/>
          <w:szCs w:val="20"/>
          <w:lang w:val="en-US"/>
        </w:rPr>
      </w:pPr>
      <w:r w:rsidRPr="5D8904BE">
        <w:rPr>
          <w:sz w:val="20"/>
          <w:szCs w:val="20"/>
          <w:lang w:val="en-US"/>
        </w:rPr>
        <w:t>The GEF core indicators included in the results framework (Section V) in accordance with this project document (Annex 1</w:t>
      </w:r>
      <w:r w:rsidR="000B56F7">
        <w:rPr>
          <w:sz w:val="20"/>
          <w:szCs w:val="20"/>
          <w:lang w:val="en-US"/>
        </w:rPr>
        <w:t>7</w:t>
      </w:r>
      <w:r w:rsidRPr="5D8904BE">
        <w:rPr>
          <w:sz w:val="20"/>
          <w:szCs w:val="20"/>
          <w:lang w:val="en-US"/>
        </w:rPr>
        <w:t>) will be used to monitor global environmental benefits and will be updated for reporting to the GEF prior to project evaluations. This is the mid-term review and final evaluation described in activities 5.1.3 and 5.1.4 below.</w:t>
      </w:r>
    </w:p>
    <w:p w14:paraId="000005B9" w14:textId="77777777" w:rsidR="004F7DB3" w:rsidRPr="007F4912" w:rsidRDefault="5C0CD746" w:rsidP="00BE32B2">
      <w:pPr>
        <w:jc w:val="both"/>
        <w:rPr>
          <w:sz w:val="20"/>
          <w:szCs w:val="20"/>
          <w:lang w:val="en-US"/>
        </w:rPr>
      </w:pPr>
      <w:r w:rsidRPr="5D8904BE">
        <w:rPr>
          <w:sz w:val="20"/>
          <w:szCs w:val="20"/>
          <w:lang w:val="en-US"/>
        </w:rPr>
        <w:t>The project is accompanied by various plans, including the Stakeholder Engagement Plan (Annex 8), the Project Risk Mitigation Plan (Risk Register in Annex 6) and the Gender Action Plan (Annex 10). These plans will be reviewed in accordance with monitoring and evaluation requirements.</w:t>
      </w:r>
    </w:p>
    <w:p w14:paraId="000005BA" w14:textId="77777777" w:rsidR="004F7DB3" w:rsidRPr="007F4912" w:rsidRDefault="6E2A2B94" w:rsidP="00BE32B2">
      <w:pPr>
        <w:jc w:val="both"/>
        <w:rPr>
          <w:sz w:val="20"/>
          <w:szCs w:val="20"/>
          <w:lang w:val="en-US"/>
        </w:rPr>
      </w:pPr>
      <w:r w:rsidRPr="5D8904BE">
        <w:rPr>
          <w:sz w:val="20"/>
          <w:szCs w:val="20"/>
          <w:lang w:val="en-US"/>
        </w:rPr>
        <w:t>The data collected through the monitoring of GEF core indicators, results framework indicators, project plans, and social and environmental protection measures will be used to prepare the annual Project Implementation Report (PIR) for UNDP and GEF.</w:t>
      </w:r>
    </w:p>
    <w:p w14:paraId="000005BB" w14:textId="77777777" w:rsidR="004F7DB3" w:rsidRPr="007F4912" w:rsidRDefault="29D57A18" w:rsidP="00BE32B2">
      <w:pPr>
        <w:jc w:val="both"/>
        <w:rPr>
          <w:i/>
          <w:iCs/>
          <w:sz w:val="20"/>
          <w:szCs w:val="20"/>
          <w:u w:val="single"/>
          <w:lang w:val="en-US"/>
        </w:rPr>
      </w:pPr>
      <w:r w:rsidRPr="007F4912">
        <w:rPr>
          <w:i/>
          <w:iCs/>
          <w:sz w:val="20"/>
          <w:szCs w:val="20"/>
          <w:u w:val="single"/>
          <w:lang w:val="en-US"/>
        </w:rPr>
        <w:t>Activity 5.1.1.3. Mid-term review of the project</w:t>
      </w:r>
    </w:p>
    <w:p w14:paraId="000005BC" w14:textId="77777777" w:rsidR="004F7DB3" w:rsidRPr="007F4912" w:rsidRDefault="6E2A2B94" w:rsidP="00BE32B2">
      <w:pPr>
        <w:jc w:val="both"/>
        <w:rPr>
          <w:sz w:val="20"/>
          <w:szCs w:val="20"/>
          <w:lang w:val="en-US"/>
        </w:rPr>
      </w:pPr>
      <w:r w:rsidRPr="5D8904BE">
        <w:rPr>
          <w:sz w:val="20"/>
          <w:szCs w:val="20"/>
          <w:lang w:val="en-US"/>
        </w:rPr>
        <w:t xml:space="preserve">A mid-term review of the independent project will take place and will be conducted in accordance with the guidelines, rules and procedures established by UNDP and GEF for this type of evaluation, as contained in the UNDP evaluation guidelines for GEF-funded projects. The mid-term review will be widely accessible to all project stakeholders in the appropriate language.  It should be noted that the RMP must be submitted no later than 48 months after the approval of the Director General. Noting that it is imperative to submit to UNDP (BPPS/NCE) 2 months before the date to ensure the internal review. </w:t>
      </w:r>
    </w:p>
    <w:p w14:paraId="000005BD" w14:textId="77777777" w:rsidR="004F7DB3" w:rsidRPr="007F4912" w:rsidRDefault="29D57A18" w:rsidP="00BE32B2">
      <w:pPr>
        <w:jc w:val="both"/>
        <w:rPr>
          <w:i/>
          <w:iCs/>
          <w:sz w:val="20"/>
          <w:szCs w:val="20"/>
          <w:u w:val="single"/>
          <w:lang w:val="en-US"/>
        </w:rPr>
      </w:pPr>
      <w:r w:rsidRPr="007F4912">
        <w:rPr>
          <w:i/>
          <w:iCs/>
          <w:sz w:val="20"/>
          <w:szCs w:val="20"/>
          <w:u w:val="single"/>
          <w:lang w:val="en-US"/>
        </w:rPr>
        <w:t>Activity 5.1.1.4. Final Evaluation (RU) of the project and final workshop of the project</w:t>
      </w:r>
    </w:p>
    <w:p w14:paraId="000005BE" w14:textId="003F7FA3" w:rsidR="004F7DB3" w:rsidRPr="007F4912" w:rsidRDefault="4D79F63B" w:rsidP="00BE32B2">
      <w:pPr>
        <w:jc w:val="both"/>
        <w:rPr>
          <w:sz w:val="20"/>
          <w:szCs w:val="20"/>
          <w:lang w:val="en-US"/>
        </w:rPr>
      </w:pPr>
      <w:r w:rsidRPr="3D58A386">
        <w:rPr>
          <w:sz w:val="20"/>
          <w:szCs w:val="20"/>
          <w:lang w:val="en-US"/>
        </w:rPr>
        <w:t xml:space="preserve">An independent final evaluation will take place upon completion of all major project outputs and activities. The GEF Final Evaluation Report, the Final Evaluation </w:t>
      </w:r>
      <w:r w:rsidR="29D21626" w:rsidRPr="3D58A386">
        <w:rPr>
          <w:sz w:val="20"/>
          <w:szCs w:val="20"/>
          <w:lang w:val="en-US"/>
        </w:rPr>
        <w:t>Report,</w:t>
      </w:r>
      <w:r w:rsidRPr="3D58A386">
        <w:rPr>
          <w:sz w:val="20"/>
          <w:szCs w:val="20"/>
          <w:lang w:val="en-US"/>
        </w:rPr>
        <w:t xml:space="preserve"> and the corresponding Management Response will constitute the final project report. This report will be discussed with the Project POU Committee at an end-of-project review meeting to discuss lessons learned and opportunities for scaling-up.</w:t>
      </w:r>
      <w:r w:rsidR="29D57A18" w:rsidRPr="006F5E1D">
        <w:rPr>
          <w:lang w:val="en-US"/>
        </w:rPr>
        <w:tab/>
      </w:r>
    </w:p>
    <w:p w14:paraId="3B95CDFD" w14:textId="67DCB995" w:rsidR="004F7DB3" w:rsidRPr="007F4912" w:rsidRDefault="70D7235E" w:rsidP="3D58A386">
      <w:pPr>
        <w:jc w:val="both"/>
        <w:rPr>
          <w:i/>
          <w:iCs/>
          <w:sz w:val="20"/>
          <w:szCs w:val="20"/>
          <w:u w:val="single"/>
          <w:lang w:val="en-US"/>
        </w:rPr>
      </w:pPr>
      <w:r w:rsidRPr="3585F9A1">
        <w:rPr>
          <w:sz w:val="20"/>
          <w:szCs w:val="20"/>
          <w:lang w:val="en-US"/>
        </w:rPr>
        <w:t>Subsequently, a final workshop will be organized by the PMU to present the results of the project, including those of the final evaluation, to all stakeholders, for better transparency. The final evaluation will be held 8 months before the end of the project. It should be noted that the final valuation report must be submitted within 6 months of the completion date – this is a mandatory deadline that, if not met, can only be extended by means of a formal request for an extension.</w:t>
      </w:r>
    </w:p>
    <w:p w14:paraId="01EF709E" w14:textId="7C174A9C" w:rsidR="004F7DB3" w:rsidRPr="007F4912" w:rsidRDefault="004F7DB3" w:rsidP="3585F9A1">
      <w:pPr>
        <w:jc w:val="both"/>
        <w:rPr>
          <w:i/>
          <w:iCs/>
          <w:sz w:val="20"/>
          <w:szCs w:val="20"/>
          <w:u w:val="single"/>
          <w:lang w:val="en-US"/>
        </w:rPr>
      </w:pPr>
    </w:p>
    <w:p w14:paraId="1C0433DF" w14:textId="31FBE907" w:rsidR="004F7DB3" w:rsidRPr="00857B81" w:rsidRDefault="23F520E8" w:rsidP="3585F9A1">
      <w:pPr>
        <w:spacing w:line="257" w:lineRule="auto"/>
        <w:jc w:val="both"/>
        <w:rPr>
          <w:b/>
          <w:bCs/>
          <w:sz w:val="18"/>
          <w:szCs w:val="18"/>
          <w:highlight w:val="yellow"/>
          <w:u w:val="single"/>
          <w:lang w:val="en-US"/>
        </w:rPr>
      </w:pPr>
      <w:r w:rsidRPr="00857B81">
        <w:rPr>
          <w:b/>
          <w:bCs/>
          <w:i/>
          <w:iCs/>
          <w:sz w:val="18"/>
          <w:szCs w:val="18"/>
          <w:highlight w:val="yellow"/>
          <w:u w:val="single"/>
          <w:lang w:val="en-US"/>
        </w:rPr>
        <w:t>Th</w:t>
      </w:r>
      <w:r w:rsidR="223F979B" w:rsidRPr="00857B81">
        <w:rPr>
          <w:b/>
          <w:bCs/>
          <w:i/>
          <w:iCs/>
          <w:sz w:val="18"/>
          <w:szCs w:val="18"/>
          <w:highlight w:val="yellow"/>
          <w:u w:val="single"/>
          <w:lang w:val="en-US"/>
        </w:rPr>
        <w:t>e main socioeconomic benefits</w:t>
      </w:r>
      <w:r w:rsidR="26F51457" w:rsidRPr="00857B81">
        <w:rPr>
          <w:b/>
          <w:bCs/>
          <w:sz w:val="18"/>
          <w:szCs w:val="18"/>
          <w:highlight w:val="yellow"/>
          <w:u w:val="single"/>
          <w:lang w:val="en-US"/>
        </w:rPr>
        <w:t xml:space="preserve">: </w:t>
      </w:r>
    </w:p>
    <w:p w14:paraId="4E029607" w14:textId="09307B88" w:rsidR="7A135367" w:rsidRPr="00E86501" w:rsidRDefault="033F3091" w:rsidP="00E86501">
      <w:pPr>
        <w:spacing w:before="240" w:after="240"/>
        <w:jc w:val="both"/>
        <w:rPr>
          <w:color w:val="881798"/>
          <w:sz w:val="20"/>
          <w:szCs w:val="20"/>
          <w:lang w:val="en-US"/>
        </w:rPr>
      </w:pPr>
      <w:r w:rsidRPr="0CA254A8">
        <w:rPr>
          <w:color w:val="881798"/>
          <w:sz w:val="18"/>
          <w:szCs w:val="18"/>
          <w:highlight w:val="cyan"/>
          <w:u w:val="single"/>
          <w:lang w:val="en-US"/>
        </w:rPr>
        <w:lastRenderedPageBreak/>
        <w:t>T</w:t>
      </w:r>
      <w:r w:rsidRPr="0CA254A8">
        <w:rPr>
          <w:color w:val="881798"/>
          <w:sz w:val="20"/>
          <w:szCs w:val="20"/>
          <w:highlight w:val="cyan"/>
          <w:u w:val="single"/>
          <w:lang w:val="en-US"/>
        </w:rPr>
        <w:t>he IUDP is designed to generate substantial socioeconomic benefits that go well beyond its core indicators. By supporting the systematic registration of land parcels, the project will secure real estate assets and clarify ownership, thereby increasing land-related revenue for public authorities. Formalized land rights will specifically protect households from eviction risks and enable them to access credit, strengthening their economic security enhanced social cohesion and their capacity to invest in green housing, urban and peri-urban agriculture, and sustainable waste management solutions.</w:t>
      </w:r>
      <w:r w:rsidRPr="0CA254A8">
        <w:rPr>
          <w:color w:val="881798"/>
          <w:sz w:val="20"/>
          <w:szCs w:val="20"/>
          <w:u w:val="single"/>
          <w:lang w:val="en-US"/>
        </w:rPr>
        <w:t xml:space="preserve"> </w:t>
      </w:r>
    </w:p>
    <w:p w14:paraId="1CB1A023" w14:textId="43800F9E" w:rsidR="004F7DB3" w:rsidRPr="00E86501" w:rsidRDefault="05684148">
      <w:pPr>
        <w:spacing w:before="240" w:after="240"/>
        <w:jc w:val="both"/>
        <w:rPr>
          <w:color w:val="881798"/>
          <w:sz w:val="20"/>
          <w:szCs w:val="20"/>
          <w:lang w:val="en-US"/>
        </w:rPr>
      </w:pPr>
      <w:r w:rsidRPr="0CA254A8">
        <w:rPr>
          <w:color w:val="881798"/>
          <w:sz w:val="20"/>
          <w:szCs w:val="20"/>
          <w:u w:val="single"/>
          <w:lang w:val="en-US"/>
        </w:rPr>
        <w:t>T</w:t>
      </w:r>
      <w:r w:rsidRPr="0CA254A8">
        <w:rPr>
          <w:color w:val="881798"/>
          <w:sz w:val="20"/>
          <w:szCs w:val="20"/>
          <w:highlight w:val="cyan"/>
          <w:u w:val="single"/>
          <w:lang w:val="en-US"/>
        </w:rPr>
        <w:t xml:space="preserve">he systematic land registration process will include the formalization of occupancy permits, allocation letters, and other provisional titles. </w:t>
      </w:r>
      <w:r w:rsidR="033F3091" w:rsidRPr="0CA254A8">
        <w:rPr>
          <w:color w:val="881798"/>
          <w:sz w:val="20"/>
          <w:szCs w:val="20"/>
          <w:highlight w:val="cyan"/>
          <w:u w:val="single"/>
          <w:lang w:val="en-US"/>
        </w:rPr>
        <w:t>Vulnerable</w:t>
      </w:r>
      <w:r w:rsidRPr="0CA254A8">
        <w:rPr>
          <w:color w:val="881798"/>
          <w:sz w:val="20"/>
          <w:szCs w:val="20"/>
          <w:highlight w:val="cyan"/>
          <w:u w:val="single"/>
          <w:lang w:val="en-US"/>
        </w:rPr>
        <w:t xml:space="preserve"> households in peripheral and informal settlements</w:t>
      </w:r>
      <w:r w:rsidR="033F3091" w:rsidRPr="0CA254A8">
        <w:rPr>
          <w:color w:val="881798"/>
          <w:sz w:val="20"/>
          <w:szCs w:val="20"/>
          <w:highlight w:val="cyan"/>
          <w:u w:val="single"/>
          <w:lang w:val="en-US"/>
        </w:rPr>
        <w:t xml:space="preserve"> will indirectly benefit from the strengthened land tenure system, which</w:t>
      </w:r>
      <w:r w:rsidRPr="0CA254A8">
        <w:rPr>
          <w:color w:val="881798"/>
          <w:sz w:val="20"/>
          <w:szCs w:val="20"/>
          <w:highlight w:val="cyan"/>
          <w:u w:val="single"/>
          <w:lang w:val="en-US"/>
        </w:rPr>
        <w:t xml:space="preserve"> will </w:t>
      </w:r>
      <w:r w:rsidR="033F3091" w:rsidRPr="0CA254A8">
        <w:rPr>
          <w:color w:val="881798"/>
          <w:sz w:val="20"/>
          <w:szCs w:val="20"/>
          <w:highlight w:val="cyan"/>
          <w:u w:val="single"/>
          <w:lang w:val="en-US"/>
        </w:rPr>
        <w:t xml:space="preserve">ultimately enable them to </w:t>
      </w:r>
      <w:r w:rsidRPr="0CA254A8">
        <w:rPr>
          <w:color w:val="881798"/>
          <w:sz w:val="20"/>
          <w:szCs w:val="20"/>
          <w:highlight w:val="cyan"/>
          <w:u w:val="single"/>
          <w:lang w:val="en-US"/>
        </w:rPr>
        <w:t xml:space="preserve">obtain a single, consolidated land title guaranteeing irrevocable ownership. </w:t>
      </w:r>
      <w:r w:rsidR="033F3091" w:rsidRPr="0CA254A8">
        <w:rPr>
          <w:color w:val="881798"/>
          <w:sz w:val="20"/>
          <w:szCs w:val="20"/>
          <w:highlight w:val="cyan"/>
          <w:u w:val="single"/>
          <w:lang w:val="en-US"/>
        </w:rPr>
        <w:t>This</w:t>
      </w:r>
      <w:r w:rsidRPr="0CA254A8">
        <w:rPr>
          <w:color w:val="881798"/>
          <w:sz w:val="20"/>
          <w:szCs w:val="20"/>
          <w:highlight w:val="cyan"/>
          <w:u w:val="single"/>
          <w:lang w:val="en-US"/>
        </w:rPr>
        <w:t xml:space="preserve"> improved tenure security</w:t>
      </w:r>
      <w:r w:rsidR="033F3091" w:rsidRPr="0CA254A8">
        <w:rPr>
          <w:color w:val="881798"/>
          <w:sz w:val="20"/>
          <w:szCs w:val="20"/>
          <w:highlight w:val="cyan"/>
          <w:u w:val="single"/>
          <w:lang w:val="en-US"/>
        </w:rPr>
        <w:t xml:space="preserve"> will enhance</w:t>
      </w:r>
      <w:r w:rsidRPr="0CA254A8">
        <w:rPr>
          <w:color w:val="881798"/>
          <w:sz w:val="20"/>
          <w:szCs w:val="20"/>
          <w:highlight w:val="cyan"/>
          <w:u w:val="single"/>
          <w:lang w:val="en-US"/>
        </w:rPr>
        <w:t xml:space="preserve"> their </w:t>
      </w:r>
      <w:r w:rsidR="033F3091" w:rsidRPr="0CA254A8">
        <w:rPr>
          <w:color w:val="881798"/>
          <w:sz w:val="20"/>
          <w:szCs w:val="20"/>
          <w:highlight w:val="cyan"/>
          <w:u w:val="single"/>
          <w:lang w:val="en-US"/>
        </w:rPr>
        <w:t>stability, open opportunities for</w:t>
      </w:r>
      <w:r w:rsidRPr="0CA254A8">
        <w:rPr>
          <w:color w:val="881798"/>
          <w:sz w:val="20"/>
          <w:szCs w:val="20"/>
          <w:highlight w:val="cyan"/>
          <w:u w:val="single"/>
          <w:lang w:val="en-US"/>
        </w:rPr>
        <w:t xml:space="preserve"> productive </w:t>
      </w:r>
      <w:r w:rsidR="033F3091" w:rsidRPr="0CA254A8">
        <w:rPr>
          <w:color w:val="881798"/>
          <w:sz w:val="20"/>
          <w:szCs w:val="20"/>
          <w:highlight w:val="cyan"/>
          <w:u w:val="single"/>
          <w:lang w:val="en-US"/>
        </w:rPr>
        <w:t xml:space="preserve">investments, and contribute to more </w:t>
      </w:r>
      <w:r w:rsidRPr="0CA254A8">
        <w:rPr>
          <w:color w:val="881798"/>
          <w:sz w:val="20"/>
          <w:szCs w:val="20"/>
          <w:highlight w:val="cyan"/>
          <w:u w:val="single"/>
          <w:lang w:val="en-US"/>
        </w:rPr>
        <w:t>resilient livelihoods.</w:t>
      </w:r>
      <w:r w:rsidR="033F3091" w:rsidRPr="0CA254A8">
        <w:rPr>
          <w:color w:val="881798"/>
          <w:sz w:val="20"/>
          <w:szCs w:val="20"/>
          <w:highlight w:val="cyan"/>
          <w:u w:val="single"/>
          <w:lang w:val="en-US"/>
        </w:rPr>
        <w:t xml:space="preserve"> </w:t>
      </w:r>
    </w:p>
    <w:p w14:paraId="5417A58E" w14:textId="68DD240C" w:rsidR="004F7DB3" w:rsidRDefault="5E4794FD" w:rsidP="00E86501">
      <w:pPr>
        <w:spacing w:before="240" w:after="240"/>
        <w:jc w:val="both"/>
        <w:rPr>
          <w:color w:val="881798"/>
          <w:sz w:val="18"/>
          <w:szCs w:val="18"/>
          <w:highlight w:val="yellow"/>
          <w:u w:val="single"/>
          <w:lang w:val="en-US"/>
        </w:rPr>
      </w:pPr>
      <w:r w:rsidRPr="0CA254A8">
        <w:rPr>
          <w:color w:val="881798"/>
          <w:sz w:val="20"/>
          <w:szCs w:val="20"/>
          <w:highlight w:val="cyan"/>
          <w:u w:val="single"/>
          <w:lang w:val="en-US"/>
        </w:rPr>
        <w:t>In parallel, the reinforcement of urban planning instruments and the revision of the National Urban Policy will establish a more coherent, inclusive, and gender-responsive urban governance framework. This will support equitable access to essential services and guide the sustainable development of Bamako and the Grand Bamako regio</w:t>
      </w:r>
      <w:r w:rsidRPr="0CA254A8">
        <w:rPr>
          <w:color w:val="881798"/>
          <w:sz w:val="18"/>
          <w:szCs w:val="18"/>
          <w:highlight w:val="cyan"/>
          <w:u w:val="single"/>
          <w:lang w:val="en-US"/>
        </w:rPr>
        <w:t>n.</w:t>
      </w:r>
    </w:p>
    <w:p w14:paraId="148B2DF2" w14:textId="477ADB94" w:rsidR="0CA254A8" w:rsidRDefault="0CA254A8" w:rsidP="0CA254A8">
      <w:pPr>
        <w:spacing w:before="240" w:after="240"/>
        <w:jc w:val="both"/>
        <w:rPr>
          <w:sz w:val="18"/>
          <w:szCs w:val="18"/>
          <w:lang w:val="en-US"/>
        </w:rPr>
      </w:pPr>
    </w:p>
    <w:p w14:paraId="64A2BC9A" w14:textId="2EF5C90C" w:rsidR="004F7DB3" w:rsidRPr="00857B81" w:rsidRDefault="33B7F446" w:rsidP="00857B81">
      <w:pPr>
        <w:spacing w:before="240" w:after="240"/>
        <w:jc w:val="both"/>
        <w:rPr>
          <w:sz w:val="18"/>
          <w:szCs w:val="18"/>
          <w:highlight w:val="yellow"/>
          <w:lang w:val="en-US"/>
        </w:rPr>
      </w:pPr>
      <w:r w:rsidRPr="00857B81">
        <w:rPr>
          <w:sz w:val="18"/>
          <w:szCs w:val="18"/>
          <w:highlight w:val="yellow"/>
          <w:lang w:val="en-US"/>
        </w:rPr>
        <w:t>At least one eco-neighborhood program will be developed, and an integrated waste management system will benefit 5,000 stakeholders, including importers, distributors, consumers, and WEEE collectors. The creation of a green belt and the development of 10 multifunctional green spaces—hosting restaurants, cultural events, and sports facilities—will enhance living conditions and generate approximately 1,000 jobs in urban green services. Two pilot sites for contractual plantations will engage vulnerable communities (including women, youth, seniors, and people with disabilities) in partnerships with agribusiness companies. These initiatives will provide seedlings (such as moringa, lemongrass, and hibiscus), training, and support for community maintenance, while ensuring guaranteed recovery and purchase of production by partner companies.</w:t>
      </w:r>
    </w:p>
    <w:p w14:paraId="05C27F3E" w14:textId="51AC1E57" w:rsidR="004F7DB3" w:rsidRPr="00857B81" w:rsidRDefault="33B7F446" w:rsidP="00857B81">
      <w:pPr>
        <w:spacing w:before="240" w:after="240"/>
        <w:jc w:val="both"/>
        <w:rPr>
          <w:sz w:val="18"/>
          <w:szCs w:val="18"/>
          <w:highlight w:val="yellow"/>
          <w:lang w:val="en-US"/>
        </w:rPr>
      </w:pPr>
      <w:r w:rsidRPr="00857B81">
        <w:rPr>
          <w:sz w:val="18"/>
          <w:szCs w:val="18"/>
          <w:highlight w:val="yellow"/>
          <w:lang w:val="en-US"/>
        </w:rPr>
        <w:t>Health risks will be reduced through the reforestation of 200 hectares (including 50 hectares managed by interprofessional organizations). Green jobs will be created in recycling, urban agriculture—benefiting at least 115 women who will be trained and supported—and ecotourism, with two enhanced circuits generating 50 jobs, of which at least 35% will be for women and youth.</w:t>
      </w:r>
    </w:p>
    <w:p w14:paraId="68F9CB1B" w14:textId="7CEAA74B" w:rsidR="004F7DB3" w:rsidRPr="00857B81" w:rsidRDefault="33B7F446" w:rsidP="00857B81">
      <w:pPr>
        <w:spacing w:before="240" w:after="240"/>
        <w:jc w:val="both"/>
        <w:rPr>
          <w:sz w:val="18"/>
          <w:szCs w:val="18"/>
          <w:highlight w:val="yellow"/>
          <w:lang w:val="en-US"/>
        </w:rPr>
      </w:pPr>
      <w:r w:rsidRPr="00857B81">
        <w:rPr>
          <w:sz w:val="18"/>
          <w:szCs w:val="18"/>
          <w:highlight w:val="yellow"/>
          <w:lang w:val="en-US"/>
        </w:rPr>
        <w:t>In the transport sector, strengthened committees and pilot e-mobility initiatives will improve accessibility, reduce commuting costs, and foster new business opportunities. Approximately 20 operators and 80,000 indirect beneficiaries—</w:t>
      </w:r>
      <w:r w:rsidR="1576091B" w:rsidRPr="00857B81">
        <w:rPr>
          <w:sz w:val="18"/>
          <w:szCs w:val="18"/>
          <w:highlight w:val="yellow"/>
          <w:lang w:val="en-US"/>
        </w:rPr>
        <w:t>35</w:t>
      </w:r>
      <w:r w:rsidRPr="00857B81">
        <w:rPr>
          <w:sz w:val="18"/>
          <w:szCs w:val="18"/>
          <w:highlight w:val="yellow"/>
          <w:lang w:val="en-US"/>
        </w:rPr>
        <w:t>% of whom are women—will be engaged and sensitized on sustainable mobility.</w:t>
      </w:r>
    </w:p>
    <w:p w14:paraId="4F96BCCB" w14:textId="5DBD6331" w:rsidR="004F7DB3" w:rsidRPr="00857B81" w:rsidRDefault="33B7F446" w:rsidP="00857B81">
      <w:pPr>
        <w:spacing w:before="240" w:after="240"/>
        <w:jc w:val="both"/>
        <w:rPr>
          <w:sz w:val="18"/>
          <w:szCs w:val="18"/>
          <w:lang w:val="en-US"/>
        </w:rPr>
      </w:pPr>
      <w:r w:rsidRPr="00857B81">
        <w:rPr>
          <w:sz w:val="18"/>
          <w:szCs w:val="18"/>
          <w:highlight w:val="yellow"/>
          <w:lang w:val="en-US"/>
        </w:rPr>
        <w:t>Finally, innovative financing mechanisms and SME support will catalyze private investment and entrepreneurship, while digital platforms and targeted capacity-building will strengthen institutional efficiency and promote inclusive participation of citizens and the private sector. Taken together, these measures will contribute to a healthier, safer, and more resilient urban economy in Bamako, while empowering women, youth, and vulnerable populations</w:t>
      </w:r>
      <w:r w:rsidR="38458648" w:rsidRPr="00857B81">
        <w:rPr>
          <w:sz w:val="18"/>
          <w:szCs w:val="18"/>
          <w:highlight w:val="yellow"/>
          <w:vertAlign w:val="superscript"/>
          <w:lang w:val="en-US"/>
        </w:rPr>
        <w:footnoteReference w:id="28"/>
      </w:r>
      <w:r w:rsidR="5962BDA9" w:rsidRPr="00857B81">
        <w:rPr>
          <w:sz w:val="18"/>
          <w:szCs w:val="18"/>
          <w:highlight w:val="yellow"/>
          <w:lang w:val="en-US"/>
        </w:rPr>
        <w:t>.</w:t>
      </w:r>
    </w:p>
    <w:p w14:paraId="000005C0" w14:textId="7F636F7D" w:rsidR="004F7DB3" w:rsidRPr="00857B81" w:rsidRDefault="7E7CE6B8" w:rsidP="3585F9A1">
      <w:pPr>
        <w:jc w:val="both"/>
        <w:rPr>
          <w:i/>
          <w:iCs/>
          <w:sz w:val="18"/>
          <w:szCs w:val="18"/>
          <w:u w:val="single"/>
          <w:lang w:val="en-US"/>
        </w:rPr>
      </w:pPr>
      <w:r w:rsidRPr="00857B81">
        <w:rPr>
          <w:i/>
          <w:iCs/>
          <w:sz w:val="18"/>
          <w:szCs w:val="18"/>
          <w:u w:val="single"/>
          <w:lang w:val="en-US"/>
        </w:rPr>
        <w:t>Partnerships</w:t>
      </w:r>
    </w:p>
    <w:p w14:paraId="000005C1" w14:textId="562C284B" w:rsidR="004F7DB3" w:rsidRPr="007F4912" w:rsidRDefault="6A6F5FF0" w:rsidP="003974F4">
      <w:pPr>
        <w:rPr>
          <w:sz w:val="20"/>
          <w:szCs w:val="20"/>
          <w:lang w:val="en-US"/>
        </w:rPr>
        <w:sectPr w:rsidR="004F7DB3" w:rsidRPr="007F4912" w:rsidSect="00815916">
          <w:headerReference w:type="first" r:id="rId42"/>
          <w:pgSz w:w="11906" w:h="16838"/>
          <w:pgMar w:top="1417" w:right="1417" w:bottom="1417" w:left="1417" w:header="720" w:footer="431" w:gutter="0"/>
          <w:cols w:space="720"/>
          <w:docGrid w:linePitch="299"/>
        </w:sectPr>
      </w:pPr>
      <w:r w:rsidRPr="3D58A386">
        <w:rPr>
          <w:sz w:val="20"/>
          <w:szCs w:val="20"/>
          <w:lang w:val="en-US"/>
        </w:rPr>
        <w:t>The project will collaborate with various partners and initiatives to achieve its objectives and outcomes. The</w:t>
      </w:r>
      <w:r w:rsidR="58FF4ADA" w:rsidRPr="3D58A386">
        <w:rPr>
          <w:sz w:val="20"/>
          <w:szCs w:val="20"/>
          <w:lang w:val="en-US"/>
        </w:rPr>
        <w:t xml:space="preserve"> m</w:t>
      </w:r>
      <w:r w:rsidR="112F3392" w:rsidRPr="3D58A386">
        <w:rPr>
          <w:sz w:val="20"/>
          <w:szCs w:val="20"/>
          <w:lang w:val="en-US"/>
        </w:rPr>
        <w:t>ain</w:t>
      </w:r>
      <w:r w:rsidRPr="3D58A386">
        <w:rPr>
          <w:sz w:val="20"/>
          <w:szCs w:val="20"/>
          <w:lang w:val="en-US"/>
        </w:rPr>
        <w:t xml:space="preserve"> partners identified in the framework of the project are mentioned </w:t>
      </w:r>
      <w:r w:rsidR="3D452563" w:rsidRPr="3D58A386">
        <w:rPr>
          <w:sz w:val="20"/>
          <w:szCs w:val="20"/>
          <w:lang w:val="en-US"/>
        </w:rPr>
        <w:t>below</w:t>
      </w:r>
      <w:r w:rsidRPr="3D58A386">
        <w:rPr>
          <w:sz w:val="20"/>
          <w:szCs w:val="20"/>
          <w:lang w:val="en-US"/>
        </w:rPr>
        <w:t xml:space="preserve"> in Table </w:t>
      </w:r>
      <w:r w:rsidR="1A005FEE" w:rsidRPr="3D58A386">
        <w:rPr>
          <w:sz w:val="20"/>
          <w:szCs w:val="20"/>
          <w:lang w:val="en-US"/>
        </w:rPr>
        <w:t>7.</w:t>
      </w:r>
    </w:p>
    <w:p w14:paraId="000005C3" w14:textId="77777777" w:rsidR="004F7DB3" w:rsidRPr="00263D2C" w:rsidRDefault="004F7DB3">
      <w:pPr>
        <w:spacing w:before="240" w:after="240" w:line="276" w:lineRule="auto"/>
        <w:jc w:val="both"/>
        <w:rPr>
          <w:lang w:val="en-US"/>
        </w:rPr>
      </w:pPr>
    </w:p>
    <w:p w14:paraId="339A0C8A" w14:textId="2696B2E2" w:rsidR="008F5A51" w:rsidRPr="00692F5D" w:rsidRDefault="288B6DF6" w:rsidP="008F5A51">
      <w:pPr>
        <w:pStyle w:val="Lgende"/>
        <w:keepNext/>
        <w:rPr>
          <w:rFonts w:ascii="Calibri" w:hAnsi="Calibri" w:cs="Calibri"/>
          <w:sz w:val="20"/>
          <w:szCs w:val="20"/>
          <w:lang w:val="en-US"/>
        </w:rPr>
      </w:pPr>
      <w:bookmarkStart w:id="42" w:name="_Ref199131079"/>
      <w:bookmarkStart w:id="43" w:name="_Toc199489225"/>
      <w:r w:rsidRPr="5D8904BE">
        <w:rPr>
          <w:rFonts w:ascii="Calibri" w:hAnsi="Calibri" w:cs="Calibri"/>
          <w:sz w:val="20"/>
          <w:szCs w:val="20"/>
          <w:lang w:val="en-US"/>
        </w:rPr>
        <w:t xml:space="preserve">Table </w:t>
      </w:r>
      <w:r w:rsidR="079298F5" w:rsidRPr="5D8904BE">
        <w:rPr>
          <w:rFonts w:ascii="Calibri" w:hAnsi="Calibri" w:cs="Calibri"/>
          <w:sz w:val="20"/>
          <w:szCs w:val="20"/>
        </w:rPr>
        <w:fldChar w:fldCharType="begin"/>
      </w:r>
      <w:r w:rsidR="079298F5" w:rsidRPr="5D8904BE">
        <w:rPr>
          <w:rFonts w:ascii="Calibri" w:hAnsi="Calibri" w:cs="Calibri"/>
          <w:sz w:val="20"/>
          <w:szCs w:val="20"/>
          <w:lang w:val="en-US"/>
        </w:rPr>
        <w:instrText xml:space="preserve"> SEQ Tableau \* ARABIC </w:instrText>
      </w:r>
      <w:r w:rsidR="079298F5" w:rsidRPr="5D8904BE">
        <w:rPr>
          <w:rFonts w:ascii="Calibri" w:hAnsi="Calibri" w:cs="Calibri"/>
          <w:sz w:val="20"/>
          <w:szCs w:val="20"/>
        </w:rPr>
        <w:fldChar w:fldCharType="separate"/>
      </w:r>
      <w:r w:rsidRPr="5D8904BE">
        <w:rPr>
          <w:rFonts w:ascii="Calibri" w:hAnsi="Calibri" w:cs="Calibri"/>
          <w:noProof/>
          <w:sz w:val="20"/>
          <w:szCs w:val="20"/>
          <w:lang w:val="en-US"/>
        </w:rPr>
        <w:t>7</w:t>
      </w:r>
      <w:r w:rsidR="079298F5" w:rsidRPr="5D8904BE">
        <w:rPr>
          <w:rFonts w:ascii="Calibri" w:hAnsi="Calibri" w:cs="Calibri"/>
          <w:sz w:val="20"/>
          <w:szCs w:val="20"/>
        </w:rPr>
        <w:fldChar w:fldCharType="end"/>
      </w:r>
      <w:r w:rsidRPr="5D8904BE">
        <w:rPr>
          <w:rFonts w:ascii="Calibri" w:hAnsi="Calibri" w:cs="Calibri"/>
          <w:sz w:val="20"/>
          <w:szCs w:val="20"/>
          <w:lang w:val="en-US"/>
        </w:rPr>
        <w:t xml:space="preserve"> Main stakeholders the IUDP will collaborate with</w:t>
      </w:r>
      <w:bookmarkEnd w:id="42"/>
      <w:bookmarkEnd w:id="43"/>
    </w:p>
    <w:tbl>
      <w:tblPr>
        <w:tblW w:w="13603" w:type="dxa"/>
        <w:jc w:val="center"/>
        <w:tblBorders>
          <w:top w:val="nil"/>
          <w:left w:val="nil"/>
          <w:bottom w:val="nil"/>
          <w:right w:val="nil"/>
          <w:insideH w:val="nil"/>
          <w:insideV w:val="nil"/>
        </w:tblBorders>
        <w:tblLayout w:type="fixed"/>
        <w:tblLook w:val="0600" w:firstRow="0" w:lastRow="0" w:firstColumn="0" w:lastColumn="0" w:noHBand="1" w:noVBand="1"/>
      </w:tblPr>
      <w:tblGrid>
        <w:gridCol w:w="2982"/>
        <w:gridCol w:w="5944"/>
        <w:gridCol w:w="4677"/>
      </w:tblGrid>
      <w:tr w:rsidR="004F7DB3" w14:paraId="7CD6A72B" w14:textId="77777777" w:rsidTr="40E7FE84">
        <w:trPr>
          <w:trHeight w:val="390"/>
          <w:tblHeader/>
          <w:jc w:val="center"/>
        </w:trPr>
        <w:tc>
          <w:tcPr>
            <w:tcW w:w="2982" w:type="dxa"/>
            <w:tcBorders>
              <w:top w:val="single" w:sz="4" w:space="0" w:color="C9C9C9"/>
              <w:left w:val="single" w:sz="4" w:space="0" w:color="C9C9C9"/>
              <w:bottom w:val="single" w:sz="4" w:space="0" w:color="C9C9C9"/>
              <w:right w:val="single" w:sz="4" w:space="0" w:color="C9C9C9"/>
            </w:tcBorders>
            <w:shd w:val="clear" w:color="auto" w:fill="D9D9D9" w:themeFill="background1" w:themeFillShade="D9"/>
            <w:tcMar>
              <w:top w:w="0" w:type="dxa"/>
              <w:left w:w="100" w:type="dxa"/>
              <w:bottom w:w="0" w:type="dxa"/>
              <w:right w:w="100" w:type="dxa"/>
            </w:tcMar>
            <w:vAlign w:val="bottom"/>
          </w:tcPr>
          <w:p w14:paraId="000005C4" w14:textId="5B9EF00D" w:rsidR="004F7DB3" w:rsidRDefault="50D5E80C" w:rsidP="51745E8D">
            <w:pPr>
              <w:spacing w:before="240" w:after="240" w:line="254" w:lineRule="auto"/>
              <w:jc w:val="both"/>
              <w:rPr>
                <w:b/>
                <w:bCs/>
                <w:sz w:val="18"/>
                <w:szCs w:val="18"/>
              </w:rPr>
            </w:pPr>
            <w:r w:rsidRPr="51745E8D">
              <w:rPr>
                <w:b/>
                <w:bCs/>
                <w:sz w:val="18"/>
                <w:szCs w:val="18"/>
              </w:rPr>
              <w:t>Stakeholders</w:t>
            </w:r>
          </w:p>
        </w:tc>
        <w:tc>
          <w:tcPr>
            <w:tcW w:w="5944" w:type="dxa"/>
            <w:tcBorders>
              <w:top w:val="single" w:sz="4" w:space="0" w:color="C9C9C9"/>
              <w:left w:val="nil"/>
              <w:bottom w:val="single" w:sz="4" w:space="0" w:color="C9C9C9"/>
              <w:right w:val="single" w:sz="4" w:space="0" w:color="C9C9C9"/>
            </w:tcBorders>
            <w:shd w:val="clear" w:color="auto" w:fill="D9D9D9" w:themeFill="background1" w:themeFillShade="D9"/>
            <w:tcMar>
              <w:top w:w="0" w:type="dxa"/>
              <w:left w:w="100" w:type="dxa"/>
              <w:bottom w:w="0" w:type="dxa"/>
              <w:right w:w="100" w:type="dxa"/>
            </w:tcMar>
            <w:vAlign w:val="bottom"/>
          </w:tcPr>
          <w:p w14:paraId="000005C5" w14:textId="77777777" w:rsidR="004F7DB3" w:rsidRDefault="29D57A18" w:rsidP="51745E8D">
            <w:pPr>
              <w:spacing w:before="240" w:after="240" w:line="254" w:lineRule="auto"/>
              <w:jc w:val="both"/>
              <w:rPr>
                <w:b/>
                <w:bCs/>
                <w:sz w:val="18"/>
                <w:szCs w:val="18"/>
              </w:rPr>
            </w:pPr>
            <w:r w:rsidRPr="51745E8D">
              <w:rPr>
                <w:b/>
                <w:bCs/>
                <w:sz w:val="18"/>
                <w:szCs w:val="18"/>
              </w:rPr>
              <w:t>Description and contributions</w:t>
            </w:r>
          </w:p>
        </w:tc>
        <w:tc>
          <w:tcPr>
            <w:tcW w:w="4677" w:type="dxa"/>
            <w:tcBorders>
              <w:top w:val="single" w:sz="4" w:space="0" w:color="C9C9C9"/>
              <w:left w:val="nil"/>
              <w:bottom w:val="single" w:sz="4" w:space="0" w:color="C9C9C9"/>
              <w:right w:val="single" w:sz="4" w:space="0" w:color="C9C9C9"/>
            </w:tcBorders>
            <w:shd w:val="clear" w:color="auto" w:fill="D9D9D9" w:themeFill="background1" w:themeFillShade="D9"/>
            <w:tcMar>
              <w:top w:w="0" w:type="dxa"/>
              <w:left w:w="100" w:type="dxa"/>
              <w:bottom w:w="0" w:type="dxa"/>
              <w:right w:w="100" w:type="dxa"/>
            </w:tcMar>
            <w:vAlign w:val="bottom"/>
          </w:tcPr>
          <w:p w14:paraId="000005C6" w14:textId="6E37A1FE" w:rsidR="004F7DB3" w:rsidRDefault="29D57A18" w:rsidP="51745E8D">
            <w:pPr>
              <w:spacing w:before="240" w:after="240" w:line="254" w:lineRule="auto"/>
              <w:jc w:val="both"/>
              <w:rPr>
                <w:b/>
                <w:bCs/>
                <w:sz w:val="18"/>
                <w:szCs w:val="18"/>
              </w:rPr>
            </w:pPr>
            <w:r w:rsidRPr="51745E8D">
              <w:rPr>
                <w:b/>
                <w:bCs/>
                <w:sz w:val="18"/>
                <w:szCs w:val="18"/>
              </w:rPr>
              <w:t>Relevan</w:t>
            </w:r>
            <w:r w:rsidR="6916C069" w:rsidRPr="51745E8D">
              <w:rPr>
                <w:b/>
                <w:bCs/>
                <w:sz w:val="18"/>
                <w:szCs w:val="18"/>
              </w:rPr>
              <w:t>ce</w:t>
            </w:r>
          </w:p>
        </w:tc>
      </w:tr>
      <w:tr w:rsidR="51745E8D" w14:paraId="084CA376" w14:textId="77777777" w:rsidTr="40E7FE84">
        <w:trPr>
          <w:trHeight w:val="300"/>
          <w:jc w:val="center"/>
        </w:trPr>
        <w:tc>
          <w:tcPr>
            <w:tcW w:w="13603" w:type="dxa"/>
            <w:gridSpan w:val="3"/>
            <w:tcBorders>
              <w:top w:val="nil"/>
              <w:left w:val="single" w:sz="4" w:space="0" w:color="C9C9C9"/>
              <w:bottom w:val="single" w:sz="4" w:space="0" w:color="C9C9C9"/>
              <w:right w:val="single" w:sz="4" w:space="0" w:color="C9C9C9"/>
            </w:tcBorders>
            <w:shd w:val="clear" w:color="auto" w:fill="DAE8F8"/>
            <w:tcMar>
              <w:top w:w="0" w:type="dxa"/>
              <w:left w:w="100" w:type="dxa"/>
              <w:bottom w:w="0" w:type="dxa"/>
              <w:right w:w="100" w:type="dxa"/>
            </w:tcMar>
          </w:tcPr>
          <w:p w14:paraId="0AF55241" w14:textId="6DD661F8" w:rsidR="5B2419FC" w:rsidRDefault="5B2419FC" w:rsidP="51745E8D">
            <w:pPr>
              <w:spacing w:line="276" w:lineRule="auto"/>
              <w:jc w:val="both"/>
              <w:rPr>
                <w:b/>
                <w:bCs/>
                <w:sz w:val="18"/>
                <w:szCs w:val="18"/>
                <w:lang w:val="en-US"/>
              </w:rPr>
            </w:pPr>
            <w:r w:rsidRPr="51745E8D">
              <w:rPr>
                <w:b/>
                <w:bCs/>
                <w:sz w:val="18"/>
                <w:szCs w:val="18"/>
                <w:lang w:val="en-US"/>
              </w:rPr>
              <w:t>Governmental institutions</w:t>
            </w:r>
          </w:p>
        </w:tc>
      </w:tr>
      <w:tr w:rsidR="004F7DB3" w:rsidRPr="00F50786" w14:paraId="51D8187A" w14:textId="77777777" w:rsidTr="40E7FE84">
        <w:trPr>
          <w:trHeight w:val="300"/>
          <w:jc w:val="center"/>
        </w:trPr>
        <w:tc>
          <w:tcPr>
            <w:tcW w:w="2982" w:type="dxa"/>
            <w:tcBorders>
              <w:top w:val="nil"/>
              <w:left w:val="single" w:sz="4" w:space="0" w:color="C9C9C9"/>
              <w:bottom w:val="single" w:sz="4" w:space="0" w:color="C9C9C9"/>
              <w:right w:val="single" w:sz="4" w:space="0" w:color="C9C9C9"/>
            </w:tcBorders>
            <w:tcMar>
              <w:top w:w="0" w:type="dxa"/>
              <w:left w:w="100" w:type="dxa"/>
              <w:bottom w:w="0" w:type="dxa"/>
              <w:right w:w="100" w:type="dxa"/>
            </w:tcMar>
          </w:tcPr>
          <w:p w14:paraId="000005C9" w14:textId="19714A23" w:rsidR="004F7DB3" w:rsidRPr="00EF3D97" w:rsidRDefault="29D57A18" w:rsidP="00EF3D97">
            <w:pPr>
              <w:spacing w:before="240" w:after="240" w:line="276" w:lineRule="auto"/>
              <w:jc w:val="both"/>
              <w:rPr>
                <w:b/>
                <w:bCs/>
                <w:sz w:val="18"/>
                <w:szCs w:val="18"/>
                <w:lang w:val="en-US"/>
              </w:rPr>
            </w:pPr>
            <w:r w:rsidRPr="51745E8D">
              <w:rPr>
                <w:b/>
                <w:bCs/>
                <w:sz w:val="18"/>
                <w:szCs w:val="18"/>
                <w:lang w:val="en-US"/>
              </w:rPr>
              <w:t>The Ministry of Urban Planning, Housing, Spatial Planning and Population</w:t>
            </w:r>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000005CA" w14:textId="77777777" w:rsidR="004F7DB3" w:rsidRPr="00263D2C" w:rsidRDefault="29D57A18" w:rsidP="51745E8D">
            <w:pPr>
              <w:spacing w:before="240" w:after="240" w:line="254" w:lineRule="auto"/>
              <w:jc w:val="both"/>
              <w:rPr>
                <w:sz w:val="18"/>
                <w:szCs w:val="18"/>
                <w:lang w:val="en-US"/>
              </w:rPr>
            </w:pPr>
            <w:r w:rsidRPr="51745E8D">
              <w:rPr>
                <w:sz w:val="18"/>
                <w:szCs w:val="18"/>
                <w:lang w:val="en-US"/>
              </w:rPr>
              <w:t>This is the Ministry in charge of urban planning, housing and regional planning, responsible for developing national policies in this area. It will ensure the coherence of all actions relating to urban planning within the framework of the project.</w:t>
            </w:r>
          </w:p>
        </w:tc>
        <w:tc>
          <w:tcPr>
            <w:tcW w:w="4677" w:type="dxa"/>
            <w:tcBorders>
              <w:top w:val="nil"/>
              <w:left w:val="nil"/>
              <w:bottom w:val="single" w:sz="4" w:space="0" w:color="C9C9C9"/>
              <w:right w:val="single" w:sz="4" w:space="0" w:color="C9C9C9"/>
            </w:tcBorders>
            <w:tcMar>
              <w:top w:w="0" w:type="dxa"/>
              <w:left w:w="100" w:type="dxa"/>
              <w:bottom w:w="0" w:type="dxa"/>
              <w:right w:w="100" w:type="dxa"/>
            </w:tcMar>
          </w:tcPr>
          <w:p w14:paraId="000005CB" w14:textId="77777777" w:rsidR="004F7DB3" w:rsidRPr="00263D2C" w:rsidRDefault="29D57A18" w:rsidP="51745E8D">
            <w:pPr>
              <w:spacing w:before="240" w:after="240" w:line="254" w:lineRule="auto"/>
              <w:jc w:val="both"/>
              <w:rPr>
                <w:sz w:val="18"/>
                <w:szCs w:val="18"/>
                <w:lang w:val="en-US"/>
              </w:rPr>
            </w:pPr>
            <w:r w:rsidRPr="51745E8D">
              <w:rPr>
                <w:sz w:val="18"/>
                <w:szCs w:val="18"/>
                <w:lang w:val="en-US"/>
              </w:rPr>
              <w:t xml:space="preserve">All the relevant overall achievements of the project since the Ministry </w:t>
            </w:r>
            <w:proofErr w:type="gramStart"/>
            <w:r w:rsidRPr="51745E8D">
              <w:rPr>
                <w:sz w:val="18"/>
                <w:szCs w:val="18"/>
                <w:lang w:val="en-US"/>
              </w:rPr>
              <w:t>is in charge of</w:t>
            </w:r>
            <w:proofErr w:type="gramEnd"/>
            <w:r w:rsidRPr="51745E8D">
              <w:rPr>
                <w:sz w:val="18"/>
                <w:szCs w:val="18"/>
                <w:lang w:val="en-US"/>
              </w:rPr>
              <w:t xml:space="preserve"> chairing the steering committee.</w:t>
            </w:r>
          </w:p>
        </w:tc>
      </w:tr>
      <w:tr w:rsidR="004F7DB3" w:rsidRPr="00F50786" w14:paraId="6A2FE3E6" w14:textId="77777777" w:rsidTr="40E7FE84">
        <w:trPr>
          <w:trHeight w:val="2010"/>
          <w:jc w:val="center"/>
        </w:trPr>
        <w:tc>
          <w:tcPr>
            <w:tcW w:w="2982" w:type="dxa"/>
            <w:tcBorders>
              <w:top w:val="nil"/>
              <w:left w:val="single" w:sz="4" w:space="0" w:color="C9C9C9"/>
              <w:bottom w:val="single" w:sz="4" w:space="0" w:color="C9C9C9"/>
              <w:right w:val="single" w:sz="4" w:space="0" w:color="C9C9C9"/>
            </w:tcBorders>
            <w:tcMar>
              <w:top w:w="0" w:type="dxa"/>
              <w:left w:w="100" w:type="dxa"/>
              <w:bottom w:w="0" w:type="dxa"/>
              <w:right w:w="100" w:type="dxa"/>
            </w:tcMar>
          </w:tcPr>
          <w:p w14:paraId="000005CC" w14:textId="77777777" w:rsidR="004F7DB3" w:rsidRPr="00263D2C" w:rsidRDefault="29D57A18" w:rsidP="51745E8D">
            <w:pPr>
              <w:spacing w:before="240" w:after="240" w:line="254" w:lineRule="auto"/>
              <w:jc w:val="both"/>
              <w:rPr>
                <w:b/>
                <w:bCs/>
                <w:sz w:val="18"/>
                <w:szCs w:val="18"/>
                <w:lang w:val="en-US"/>
              </w:rPr>
            </w:pPr>
            <w:r w:rsidRPr="51745E8D">
              <w:rPr>
                <w:b/>
                <w:bCs/>
                <w:sz w:val="18"/>
                <w:szCs w:val="18"/>
                <w:lang w:val="en-US"/>
              </w:rPr>
              <w:t xml:space="preserve">National Directorate of Urban Planning and Housing </w:t>
            </w:r>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000005CD" w14:textId="2CA2FA71" w:rsidR="004F7DB3" w:rsidRPr="00263D2C" w:rsidRDefault="071378D3" w:rsidP="51745E8D">
            <w:pPr>
              <w:spacing w:before="240" w:after="240" w:line="254" w:lineRule="auto"/>
              <w:jc w:val="both"/>
              <w:rPr>
                <w:sz w:val="18"/>
                <w:szCs w:val="18"/>
                <w:lang w:val="en-US"/>
              </w:rPr>
            </w:pPr>
            <w:r w:rsidRPr="537FA187">
              <w:rPr>
                <w:sz w:val="18"/>
                <w:szCs w:val="18"/>
                <w:lang w:val="en-US"/>
              </w:rPr>
              <w:t>The National Directorate of Urban Planning and Housing (</w:t>
            </w:r>
            <w:r w:rsidR="69663027" w:rsidRPr="537FA187">
              <w:rPr>
                <w:sz w:val="18"/>
                <w:szCs w:val="18"/>
                <w:lang w:val="en-US"/>
              </w:rPr>
              <w:t>NDUPH</w:t>
            </w:r>
            <w:r w:rsidRPr="537FA187">
              <w:rPr>
                <w:sz w:val="18"/>
                <w:szCs w:val="18"/>
                <w:lang w:val="en-US"/>
              </w:rPr>
              <w:t xml:space="preserve">) is a central structure of the Ministry of Urban Planning, Housing, Domains, Spatial Planning and Population. It is responsible for developing, implementing and monitoring national urban planning and housing policies. </w:t>
            </w:r>
          </w:p>
        </w:tc>
        <w:tc>
          <w:tcPr>
            <w:tcW w:w="4677" w:type="dxa"/>
            <w:tcBorders>
              <w:top w:val="nil"/>
              <w:left w:val="nil"/>
              <w:bottom w:val="single" w:sz="4" w:space="0" w:color="C9C9C9"/>
              <w:right w:val="single" w:sz="4" w:space="0" w:color="C9C9C9"/>
            </w:tcBorders>
            <w:tcMar>
              <w:top w:w="0" w:type="dxa"/>
              <w:left w:w="100" w:type="dxa"/>
              <w:bottom w:w="0" w:type="dxa"/>
              <w:right w:w="100" w:type="dxa"/>
            </w:tcMar>
          </w:tcPr>
          <w:p w14:paraId="000005CF" w14:textId="036E8AB6" w:rsidR="004F7DB3" w:rsidRPr="00263D2C" w:rsidRDefault="071378D3" w:rsidP="00EF3D97">
            <w:pPr>
              <w:spacing w:before="240" w:after="240" w:line="254" w:lineRule="auto"/>
              <w:jc w:val="both"/>
              <w:rPr>
                <w:sz w:val="18"/>
                <w:szCs w:val="18"/>
                <w:lang w:val="en-US"/>
              </w:rPr>
            </w:pPr>
            <w:r w:rsidRPr="537FA187">
              <w:rPr>
                <w:sz w:val="18"/>
                <w:szCs w:val="18"/>
                <w:lang w:val="en-US"/>
              </w:rPr>
              <w:t xml:space="preserve">The </w:t>
            </w:r>
            <w:r w:rsidR="05FEDDE8" w:rsidRPr="537FA187">
              <w:rPr>
                <w:sz w:val="18"/>
                <w:szCs w:val="18"/>
                <w:lang w:val="en-US"/>
              </w:rPr>
              <w:t xml:space="preserve">NDUPH </w:t>
            </w:r>
            <w:r w:rsidRPr="537FA187">
              <w:rPr>
                <w:sz w:val="18"/>
                <w:szCs w:val="18"/>
                <w:lang w:val="en-US"/>
              </w:rPr>
              <w:t>has been formally designated as the Project Implementing Entity (PI) and is responsible for ensuring consistency in the achievement of outcomes. It reports to the Steering Committee in its capacity as the implementing agency</w:t>
            </w:r>
          </w:p>
        </w:tc>
      </w:tr>
      <w:tr w:rsidR="004F7DB3" w:rsidRPr="00F50786" w14:paraId="4A46D7C1" w14:textId="77777777" w:rsidTr="40E7FE84">
        <w:trPr>
          <w:trHeight w:val="1980"/>
          <w:jc w:val="center"/>
        </w:trPr>
        <w:tc>
          <w:tcPr>
            <w:tcW w:w="2982" w:type="dxa"/>
            <w:tcBorders>
              <w:top w:val="nil"/>
              <w:left w:val="single" w:sz="4" w:space="0" w:color="C9C9C9"/>
              <w:bottom w:val="single" w:sz="4" w:space="0" w:color="C9C9C9"/>
              <w:right w:val="single" w:sz="4" w:space="0" w:color="C9C9C9"/>
            </w:tcBorders>
            <w:tcMar>
              <w:top w:w="0" w:type="dxa"/>
              <w:left w:w="100" w:type="dxa"/>
              <w:bottom w:w="0" w:type="dxa"/>
              <w:right w:w="100" w:type="dxa"/>
            </w:tcMar>
          </w:tcPr>
          <w:p w14:paraId="000005D0" w14:textId="77777777" w:rsidR="004F7DB3" w:rsidRPr="00263D2C" w:rsidRDefault="29D57A18" w:rsidP="51745E8D">
            <w:pPr>
              <w:spacing w:before="240" w:after="0" w:line="276" w:lineRule="auto"/>
              <w:jc w:val="both"/>
              <w:rPr>
                <w:b/>
                <w:bCs/>
                <w:sz w:val="18"/>
                <w:szCs w:val="18"/>
                <w:lang w:val="en-US"/>
              </w:rPr>
            </w:pPr>
            <w:r w:rsidRPr="51745E8D">
              <w:rPr>
                <w:b/>
                <w:bCs/>
                <w:sz w:val="18"/>
                <w:szCs w:val="18"/>
                <w:lang w:val="en-US"/>
              </w:rPr>
              <w:t xml:space="preserve">The Bamako District Mayor's Office </w:t>
            </w:r>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000005D1" w14:textId="77777777" w:rsidR="004F7DB3" w:rsidRPr="00263D2C" w:rsidRDefault="29D57A18" w:rsidP="51745E8D">
            <w:pPr>
              <w:spacing w:before="240" w:after="240" w:line="254" w:lineRule="auto"/>
              <w:jc w:val="both"/>
              <w:rPr>
                <w:sz w:val="18"/>
                <w:szCs w:val="18"/>
                <w:lang w:val="en-US"/>
              </w:rPr>
            </w:pPr>
            <w:r w:rsidRPr="51745E8D">
              <w:rPr>
                <w:sz w:val="18"/>
                <w:szCs w:val="18"/>
                <w:lang w:val="en-US"/>
              </w:rPr>
              <w:t xml:space="preserve">The Bamako District Mayor's Office is the central urban authority responsible for planning, inter-communal coordination and the management of public services. It ensures land use planning, land regulation, infrastructure development, and the implementation of urban policies in conjunction with the State and the municipalities. A key player in local economic development, environmental governance and citizen participation, it is called upon to play a strategic role in ensuring sustainable, inclusive and resilient urban development in Bamako. </w:t>
            </w:r>
          </w:p>
        </w:tc>
        <w:tc>
          <w:tcPr>
            <w:tcW w:w="4677" w:type="dxa"/>
            <w:tcBorders>
              <w:top w:val="nil"/>
              <w:left w:val="nil"/>
              <w:bottom w:val="single" w:sz="4" w:space="0" w:color="C9C9C9"/>
              <w:right w:val="single" w:sz="4" w:space="0" w:color="C9C9C9"/>
            </w:tcBorders>
            <w:tcMar>
              <w:top w:w="0" w:type="dxa"/>
              <w:left w:w="100" w:type="dxa"/>
              <w:bottom w:w="0" w:type="dxa"/>
              <w:right w:w="100" w:type="dxa"/>
            </w:tcMar>
          </w:tcPr>
          <w:p w14:paraId="000005D2" w14:textId="77777777" w:rsidR="004F7DB3" w:rsidRPr="00263D2C" w:rsidRDefault="29D57A18" w:rsidP="51745E8D">
            <w:pPr>
              <w:spacing w:before="240" w:after="240" w:line="254" w:lineRule="auto"/>
              <w:jc w:val="both"/>
              <w:rPr>
                <w:sz w:val="18"/>
                <w:szCs w:val="18"/>
                <w:lang w:val="en-US"/>
              </w:rPr>
            </w:pPr>
            <w:r w:rsidRPr="51745E8D">
              <w:rPr>
                <w:sz w:val="18"/>
                <w:szCs w:val="18"/>
                <w:lang w:val="en-US"/>
              </w:rPr>
              <w:t>The City Hall will play a responsible partner role in components 1, 2, 3.</w:t>
            </w:r>
          </w:p>
        </w:tc>
      </w:tr>
      <w:tr w:rsidR="4965508A" w14:paraId="6A00B0E1" w14:textId="77777777" w:rsidTr="40E7FE84">
        <w:trPr>
          <w:trHeight w:val="300"/>
          <w:jc w:val="center"/>
        </w:trPr>
        <w:tc>
          <w:tcPr>
            <w:tcW w:w="2982" w:type="dxa"/>
            <w:tcBorders>
              <w:top w:val="nil"/>
              <w:left w:val="single" w:sz="4" w:space="0" w:color="C9C9C9"/>
              <w:bottom w:val="single" w:sz="4" w:space="0" w:color="C9C9C9"/>
              <w:right w:val="single" w:sz="4" w:space="0" w:color="C9C9C9"/>
            </w:tcBorders>
            <w:tcMar>
              <w:top w:w="0" w:type="dxa"/>
              <w:left w:w="100" w:type="dxa"/>
              <w:bottom w:w="0" w:type="dxa"/>
              <w:right w:w="100" w:type="dxa"/>
            </w:tcMar>
          </w:tcPr>
          <w:p w14:paraId="633A2635" w14:textId="434A0787" w:rsidR="601D622B" w:rsidRDefault="66682ABA" w:rsidP="51745E8D">
            <w:pPr>
              <w:spacing w:line="276" w:lineRule="auto"/>
              <w:jc w:val="both"/>
              <w:rPr>
                <w:b/>
                <w:bCs/>
                <w:sz w:val="18"/>
                <w:szCs w:val="18"/>
                <w:lang w:val="en-US"/>
              </w:rPr>
            </w:pPr>
            <w:r w:rsidRPr="51745E8D">
              <w:rPr>
                <w:b/>
                <w:bCs/>
                <w:sz w:val="18"/>
                <w:szCs w:val="18"/>
                <w:lang w:val="en-US"/>
              </w:rPr>
              <w:t xml:space="preserve">General Directorate of the </w:t>
            </w:r>
            <w:r w:rsidR="62E85184" w:rsidRPr="51745E8D">
              <w:rPr>
                <w:b/>
                <w:bCs/>
                <w:sz w:val="18"/>
                <w:szCs w:val="18"/>
                <w:lang w:val="en-US"/>
              </w:rPr>
              <w:t xml:space="preserve">local authorities </w:t>
            </w:r>
            <w:r w:rsidRPr="51745E8D">
              <w:rPr>
                <w:b/>
                <w:bCs/>
                <w:sz w:val="18"/>
                <w:szCs w:val="18"/>
                <w:lang w:val="en-US"/>
              </w:rPr>
              <w:t xml:space="preserve"> </w:t>
            </w:r>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40FE232D" w14:textId="1E35B4D0" w:rsidR="4965508A" w:rsidRDefault="0021F33E" w:rsidP="51745E8D">
            <w:pPr>
              <w:spacing w:line="254" w:lineRule="auto"/>
              <w:jc w:val="both"/>
              <w:rPr>
                <w:sz w:val="18"/>
                <w:szCs w:val="18"/>
                <w:lang w:val="en-US"/>
              </w:rPr>
            </w:pPr>
            <w:r w:rsidRPr="51745E8D">
              <w:rPr>
                <w:sz w:val="18"/>
                <w:szCs w:val="18"/>
                <w:lang w:val="en-US"/>
              </w:rPr>
              <w:t xml:space="preserve">The General Directorate of Local Authorities is responsible for developing and implementing national decentralization policy. It coordinates and monitors the </w:t>
            </w:r>
            <w:r w:rsidRPr="51745E8D">
              <w:rPr>
                <w:sz w:val="18"/>
                <w:szCs w:val="18"/>
                <w:lang w:val="en-US"/>
              </w:rPr>
              <w:lastRenderedPageBreak/>
              <w:t>actions of administrative authorities, services and public organizations involved in implementing this policy.</w:t>
            </w:r>
          </w:p>
        </w:tc>
        <w:tc>
          <w:tcPr>
            <w:tcW w:w="4677" w:type="dxa"/>
            <w:tcBorders>
              <w:top w:val="nil"/>
              <w:left w:val="nil"/>
              <w:bottom w:val="single" w:sz="4" w:space="0" w:color="C9C9C9"/>
              <w:right w:val="single" w:sz="4" w:space="0" w:color="C9C9C9"/>
            </w:tcBorders>
            <w:tcMar>
              <w:top w:w="0" w:type="dxa"/>
              <w:left w:w="100" w:type="dxa"/>
              <w:bottom w:w="0" w:type="dxa"/>
              <w:right w:w="100" w:type="dxa"/>
            </w:tcMar>
          </w:tcPr>
          <w:p w14:paraId="3EE407E7" w14:textId="77E9A446" w:rsidR="4965508A" w:rsidRDefault="72896B7D" w:rsidP="51745E8D">
            <w:pPr>
              <w:spacing w:line="254" w:lineRule="auto"/>
              <w:jc w:val="both"/>
              <w:rPr>
                <w:sz w:val="18"/>
                <w:szCs w:val="18"/>
                <w:lang w:val="en-US"/>
              </w:rPr>
            </w:pPr>
            <w:r w:rsidRPr="51745E8D">
              <w:rPr>
                <w:sz w:val="18"/>
                <w:szCs w:val="18"/>
                <w:lang w:val="en-US"/>
              </w:rPr>
              <w:lastRenderedPageBreak/>
              <w:t xml:space="preserve">Contribute to the </w:t>
            </w:r>
            <w:r w:rsidR="58ED71CE" w:rsidRPr="51745E8D">
              <w:rPr>
                <w:sz w:val="18"/>
                <w:szCs w:val="18"/>
                <w:lang w:val="en-US"/>
              </w:rPr>
              <w:t>components</w:t>
            </w:r>
            <w:r w:rsidRPr="51745E8D">
              <w:rPr>
                <w:sz w:val="18"/>
                <w:szCs w:val="18"/>
                <w:lang w:val="en-US"/>
              </w:rPr>
              <w:t xml:space="preserve"> 1,2,3,4.</w:t>
            </w:r>
          </w:p>
        </w:tc>
      </w:tr>
      <w:tr w:rsidR="004F7DB3" w:rsidRPr="00F50786" w14:paraId="1ACFE1DB" w14:textId="77777777" w:rsidTr="40E7FE84">
        <w:trPr>
          <w:trHeight w:val="2610"/>
          <w:jc w:val="center"/>
        </w:trPr>
        <w:tc>
          <w:tcPr>
            <w:tcW w:w="2982" w:type="dxa"/>
            <w:tcBorders>
              <w:top w:val="nil"/>
              <w:left w:val="single" w:sz="4" w:space="0" w:color="C9C9C9"/>
              <w:bottom w:val="single" w:sz="4" w:space="0" w:color="C9C9C9"/>
              <w:right w:val="single" w:sz="4" w:space="0" w:color="C9C9C9"/>
            </w:tcBorders>
            <w:tcMar>
              <w:top w:w="0" w:type="dxa"/>
              <w:left w:w="100" w:type="dxa"/>
              <w:bottom w:w="0" w:type="dxa"/>
              <w:right w:w="100" w:type="dxa"/>
            </w:tcMar>
          </w:tcPr>
          <w:p w14:paraId="000005D3" w14:textId="77777777" w:rsidR="004F7DB3" w:rsidRPr="00263D2C" w:rsidRDefault="29D57A18" w:rsidP="51745E8D">
            <w:pPr>
              <w:spacing w:before="240" w:after="240" w:line="254" w:lineRule="auto"/>
              <w:jc w:val="both"/>
              <w:rPr>
                <w:b/>
                <w:bCs/>
                <w:sz w:val="18"/>
                <w:szCs w:val="18"/>
                <w:lang w:val="en-US"/>
              </w:rPr>
            </w:pPr>
            <w:r w:rsidRPr="51745E8D">
              <w:rPr>
                <w:b/>
                <w:bCs/>
                <w:sz w:val="18"/>
                <w:szCs w:val="18"/>
                <w:lang w:val="en-US"/>
              </w:rPr>
              <w:t>Ministry of the Environment, Sanitation and Sustainable Development</w:t>
            </w:r>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000005D4" w14:textId="28B92582" w:rsidR="004F7DB3" w:rsidRPr="00263D2C" w:rsidRDefault="071378D3" w:rsidP="51745E8D">
            <w:pPr>
              <w:spacing w:before="240" w:after="240" w:line="254" w:lineRule="auto"/>
              <w:jc w:val="both"/>
              <w:rPr>
                <w:sz w:val="18"/>
                <w:szCs w:val="18"/>
                <w:lang w:val="en-US"/>
              </w:rPr>
            </w:pPr>
            <w:r w:rsidRPr="537FA187">
              <w:rPr>
                <w:sz w:val="18"/>
                <w:szCs w:val="18"/>
                <w:lang w:val="en-US"/>
              </w:rPr>
              <w:t>This ministry is responsible for the administration and development of the environment, sanitation and sustainable development sectors. In particular, he supervises the Environment and Sustainable Development Agency (</w:t>
            </w:r>
            <w:r w:rsidR="7C1463F1" w:rsidRPr="537FA187">
              <w:rPr>
                <w:sz w:val="18"/>
                <w:szCs w:val="18"/>
                <w:lang w:val="en-US"/>
              </w:rPr>
              <w:t>ESDA</w:t>
            </w:r>
            <w:r w:rsidRPr="537FA187">
              <w:rPr>
                <w:sz w:val="18"/>
                <w:szCs w:val="18"/>
                <w:lang w:val="en-US"/>
              </w:rPr>
              <w:t>), which is responsible for environmental and climate assessments, as well as the National Directorate for Sanitation, Pollution Control and Nuisances (</w:t>
            </w:r>
            <w:r w:rsidR="7984FA59" w:rsidRPr="537FA187">
              <w:rPr>
                <w:sz w:val="18"/>
                <w:szCs w:val="18"/>
                <w:lang w:val="en-US"/>
              </w:rPr>
              <w:t>NDSPCN°</w:t>
            </w:r>
            <w:r w:rsidRPr="537FA187">
              <w:rPr>
                <w:sz w:val="18"/>
                <w:szCs w:val="18"/>
                <w:lang w:val="en-US"/>
              </w:rPr>
              <w:t>, which is responsible for the development and application of environmental standards, as well as waste management.</w:t>
            </w:r>
          </w:p>
          <w:p w14:paraId="000005D5" w14:textId="77777777" w:rsidR="004F7DB3" w:rsidRPr="00263D2C" w:rsidRDefault="29D57A18" w:rsidP="51745E8D">
            <w:pPr>
              <w:spacing w:before="240" w:after="240" w:line="254" w:lineRule="auto"/>
              <w:jc w:val="both"/>
              <w:rPr>
                <w:sz w:val="18"/>
                <w:szCs w:val="18"/>
                <w:lang w:val="en-US"/>
              </w:rPr>
            </w:pPr>
            <w:r w:rsidRPr="51745E8D">
              <w:rPr>
                <w:sz w:val="18"/>
                <w:szCs w:val="18"/>
                <w:lang w:val="en-US"/>
              </w:rPr>
              <w:t>It is responsible for the supervision of the General Directorate of Water and Forests. In addition, it houses the technical focal points of the Global Environment Facility (GEF), the United Nations Framework Convention on Climate Change (UNFCCC) and the Convention on Biological Diversity (CBD).</w:t>
            </w:r>
          </w:p>
        </w:tc>
        <w:tc>
          <w:tcPr>
            <w:tcW w:w="4677" w:type="dxa"/>
            <w:tcBorders>
              <w:top w:val="nil"/>
              <w:left w:val="nil"/>
              <w:bottom w:val="single" w:sz="4" w:space="0" w:color="C9C9C9"/>
              <w:right w:val="single" w:sz="4" w:space="0" w:color="C9C9C9"/>
            </w:tcBorders>
            <w:tcMar>
              <w:top w:w="0" w:type="dxa"/>
              <w:left w:w="100" w:type="dxa"/>
              <w:bottom w:w="0" w:type="dxa"/>
              <w:right w:w="100" w:type="dxa"/>
            </w:tcMar>
          </w:tcPr>
          <w:p w14:paraId="000005D6" w14:textId="77777777" w:rsidR="004F7DB3" w:rsidRPr="00263D2C" w:rsidRDefault="29D57A18" w:rsidP="51745E8D">
            <w:pPr>
              <w:spacing w:before="240" w:after="240" w:line="254" w:lineRule="auto"/>
              <w:jc w:val="both"/>
              <w:rPr>
                <w:sz w:val="18"/>
                <w:szCs w:val="18"/>
                <w:lang w:val="en-US"/>
              </w:rPr>
            </w:pPr>
            <w:r w:rsidRPr="51745E8D">
              <w:rPr>
                <w:sz w:val="18"/>
                <w:szCs w:val="18"/>
                <w:lang w:val="en-US"/>
              </w:rPr>
              <w:t>Contributes primarily to components 1, 2 and 3.</w:t>
            </w:r>
          </w:p>
        </w:tc>
      </w:tr>
      <w:tr w:rsidR="004F7DB3" w:rsidRPr="00F50786" w14:paraId="341840C3" w14:textId="77777777" w:rsidTr="40E7FE84">
        <w:trPr>
          <w:trHeight w:val="2610"/>
          <w:jc w:val="center"/>
        </w:trPr>
        <w:tc>
          <w:tcPr>
            <w:tcW w:w="2982" w:type="dxa"/>
            <w:tcBorders>
              <w:top w:val="nil"/>
              <w:left w:val="single" w:sz="4" w:space="0" w:color="C9C9C9"/>
              <w:bottom w:val="single" w:sz="4" w:space="0" w:color="C9C9C9"/>
              <w:right w:val="single" w:sz="4" w:space="0" w:color="C9C9C9"/>
            </w:tcBorders>
            <w:tcMar>
              <w:top w:w="0" w:type="dxa"/>
              <w:left w:w="100" w:type="dxa"/>
              <w:bottom w:w="0" w:type="dxa"/>
              <w:right w:w="100" w:type="dxa"/>
            </w:tcMar>
          </w:tcPr>
          <w:p w14:paraId="000005D7" w14:textId="77777777" w:rsidR="004F7DB3" w:rsidRDefault="29D57A18" w:rsidP="51745E8D">
            <w:pPr>
              <w:spacing w:before="240" w:after="240" w:line="254" w:lineRule="auto"/>
              <w:jc w:val="both"/>
              <w:rPr>
                <w:b/>
                <w:bCs/>
                <w:sz w:val="18"/>
                <w:szCs w:val="18"/>
              </w:rPr>
            </w:pPr>
            <w:r w:rsidRPr="51745E8D">
              <w:rPr>
                <w:b/>
                <w:bCs/>
                <w:sz w:val="18"/>
                <w:szCs w:val="18"/>
              </w:rPr>
              <w:t xml:space="preserve">The </w:t>
            </w:r>
            <w:proofErr w:type="spellStart"/>
            <w:r w:rsidRPr="51745E8D">
              <w:rPr>
                <w:b/>
                <w:bCs/>
                <w:sz w:val="18"/>
                <w:szCs w:val="18"/>
              </w:rPr>
              <w:t>Regional</w:t>
            </w:r>
            <w:proofErr w:type="spellEnd"/>
            <w:r w:rsidRPr="51745E8D">
              <w:rPr>
                <w:b/>
                <w:bCs/>
                <w:sz w:val="18"/>
                <w:szCs w:val="18"/>
              </w:rPr>
              <w:t xml:space="preserve"> </w:t>
            </w:r>
            <w:proofErr w:type="spellStart"/>
            <w:r w:rsidRPr="51745E8D">
              <w:rPr>
                <w:b/>
                <w:bCs/>
                <w:sz w:val="18"/>
                <w:szCs w:val="18"/>
              </w:rPr>
              <w:t>Development</w:t>
            </w:r>
            <w:proofErr w:type="spellEnd"/>
            <w:r w:rsidRPr="51745E8D">
              <w:rPr>
                <w:b/>
                <w:bCs/>
                <w:sz w:val="18"/>
                <w:szCs w:val="18"/>
              </w:rPr>
              <w:t xml:space="preserve"> Agency</w:t>
            </w:r>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000005D8" w14:textId="04BCC724" w:rsidR="004F7DB3" w:rsidRPr="00263D2C" w:rsidRDefault="071378D3" w:rsidP="51745E8D">
            <w:pPr>
              <w:spacing w:before="240" w:after="240" w:line="254" w:lineRule="auto"/>
              <w:jc w:val="both"/>
              <w:rPr>
                <w:sz w:val="18"/>
                <w:szCs w:val="18"/>
                <w:lang w:val="en-US"/>
              </w:rPr>
            </w:pPr>
            <w:r w:rsidRPr="537FA187">
              <w:rPr>
                <w:sz w:val="18"/>
                <w:szCs w:val="18"/>
                <w:lang w:val="en-US"/>
              </w:rPr>
              <w:t>The Regional Development Agency (</w:t>
            </w:r>
            <w:r w:rsidR="5C750FBB" w:rsidRPr="537FA187">
              <w:rPr>
                <w:sz w:val="18"/>
                <w:szCs w:val="18"/>
                <w:lang w:val="en-US"/>
              </w:rPr>
              <w:t>RDA</w:t>
            </w:r>
            <w:r w:rsidRPr="537FA187">
              <w:rPr>
                <w:sz w:val="18"/>
                <w:szCs w:val="18"/>
                <w:lang w:val="en-US"/>
              </w:rPr>
              <w:t xml:space="preserve">) is a public administrative institution, placed under the supervision of the Regional Council. It is a technical body to support regional development and the implementation of decentralization. The </w:t>
            </w:r>
            <w:r w:rsidR="5C750FBB" w:rsidRPr="537FA187">
              <w:rPr>
                <w:sz w:val="18"/>
                <w:szCs w:val="18"/>
                <w:lang w:val="en-US"/>
              </w:rPr>
              <w:t>RDA</w:t>
            </w:r>
            <w:r w:rsidRPr="537FA187">
              <w:rPr>
                <w:sz w:val="18"/>
                <w:szCs w:val="18"/>
                <w:lang w:val="en-US"/>
              </w:rPr>
              <w:t xml:space="preserve"> thus plays a central role in the operationalization of regionalization, as the technical arm of the Regional Council.</w:t>
            </w:r>
          </w:p>
        </w:tc>
        <w:tc>
          <w:tcPr>
            <w:tcW w:w="4677" w:type="dxa"/>
            <w:tcBorders>
              <w:top w:val="nil"/>
              <w:left w:val="nil"/>
              <w:bottom w:val="single" w:sz="4" w:space="0" w:color="C9C9C9"/>
              <w:right w:val="single" w:sz="4" w:space="0" w:color="C9C9C9"/>
            </w:tcBorders>
            <w:tcMar>
              <w:top w:w="0" w:type="dxa"/>
              <w:left w:w="100" w:type="dxa"/>
              <w:bottom w:w="0" w:type="dxa"/>
              <w:right w:w="100" w:type="dxa"/>
            </w:tcMar>
          </w:tcPr>
          <w:p w14:paraId="000005D9" w14:textId="77777777" w:rsidR="004F7DB3" w:rsidRPr="00263D2C" w:rsidRDefault="29D57A18" w:rsidP="51745E8D">
            <w:pPr>
              <w:spacing w:before="240" w:after="240" w:line="254" w:lineRule="auto"/>
              <w:jc w:val="both"/>
              <w:rPr>
                <w:sz w:val="18"/>
                <w:szCs w:val="18"/>
                <w:lang w:val="en-US"/>
              </w:rPr>
            </w:pPr>
            <w:r w:rsidRPr="51745E8D">
              <w:rPr>
                <w:sz w:val="18"/>
                <w:szCs w:val="18"/>
                <w:lang w:val="en-US"/>
              </w:rPr>
              <w:t xml:space="preserve">It collaborates with </w:t>
            </w:r>
            <w:proofErr w:type="spellStart"/>
            <w:r w:rsidRPr="51745E8D">
              <w:rPr>
                <w:sz w:val="18"/>
                <w:szCs w:val="18"/>
                <w:lang w:val="en-US"/>
              </w:rPr>
              <w:t>Mairie</w:t>
            </w:r>
            <w:proofErr w:type="spellEnd"/>
            <w:r w:rsidRPr="51745E8D">
              <w:rPr>
                <w:sz w:val="18"/>
                <w:szCs w:val="18"/>
                <w:lang w:val="en-US"/>
              </w:rPr>
              <w:t xml:space="preserve"> District in all activities </w:t>
            </w:r>
          </w:p>
        </w:tc>
      </w:tr>
      <w:tr w:rsidR="004F7DB3" w:rsidRPr="00F50786" w14:paraId="21794724" w14:textId="77777777" w:rsidTr="40E7FE84">
        <w:trPr>
          <w:trHeight w:val="1608"/>
          <w:jc w:val="center"/>
        </w:trPr>
        <w:tc>
          <w:tcPr>
            <w:tcW w:w="2982" w:type="dxa"/>
            <w:tcBorders>
              <w:top w:val="nil"/>
              <w:left w:val="single" w:sz="4" w:space="0" w:color="C9C9C9"/>
              <w:bottom w:val="single" w:sz="4" w:space="0" w:color="C9C9C9"/>
              <w:right w:val="single" w:sz="4" w:space="0" w:color="C9C9C9"/>
            </w:tcBorders>
            <w:tcMar>
              <w:top w:w="0" w:type="dxa"/>
              <w:left w:w="100" w:type="dxa"/>
              <w:bottom w:w="0" w:type="dxa"/>
              <w:right w:w="100" w:type="dxa"/>
            </w:tcMar>
          </w:tcPr>
          <w:p w14:paraId="000005DA" w14:textId="77777777" w:rsidR="004F7DB3" w:rsidRPr="00263D2C" w:rsidRDefault="29D57A18" w:rsidP="51745E8D">
            <w:pPr>
              <w:spacing w:before="240" w:after="240" w:line="254" w:lineRule="auto"/>
              <w:jc w:val="both"/>
              <w:rPr>
                <w:b/>
                <w:bCs/>
                <w:sz w:val="18"/>
                <w:szCs w:val="18"/>
                <w:lang w:val="en-US"/>
              </w:rPr>
            </w:pPr>
            <w:r w:rsidRPr="51745E8D">
              <w:rPr>
                <w:b/>
                <w:bCs/>
                <w:sz w:val="18"/>
                <w:szCs w:val="18"/>
                <w:lang w:val="en-US"/>
              </w:rPr>
              <w:t>National Directorate of Water and Forests</w:t>
            </w:r>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000005DB" w14:textId="77777777" w:rsidR="004F7DB3" w:rsidRPr="00263D2C" w:rsidRDefault="29D57A18" w:rsidP="51745E8D">
            <w:pPr>
              <w:spacing w:before="240" w:after="240" w:line="254" w:lineRule="auto"/>
              <w:jc w:val="both"/>
              <w:rPr>
                <w:sz w:val="18"/>
                <w:szCs w:val="18"/>
                <w:lang w:val="en-US"/>
              </w:rPr>
            </w:pPr>
            <w:r w:rsidRPr="51745E8D">
              <w:rPr>
                <w:sz w:val="18"/>
                <w:szCs w:val="18"/>
                <w:lang w:val="en-US"/>
              </w:rPr>
              <w:t xml:space="preserve">The National Directorate of Water and Forests is responsible for defining, planning and implementing national strategies and </w:t>
            </w:r>
            <w:proofErr w:type="spellStart"/>
            <w:r w:rsidRPr="51745E8D">
              <w:rPr>
                <w:sz w:val="18"/>
                <w:szCs w:val="18"/>
                <w:lang w:val="en-US"/>
              </w:rPr>
              <w:t>programmes</w:t>
            </w:r>
            <w:proofErr w:type="spellEnd"/>
            <w:r w:rsidRPr="51745E8D">
              <w:rPr>
                <w:sz w:val="18"/>
                <w:szCs w:val="18"/>
                <w:lang w:val="en-US"/>
              </w:rPr>
              <w:t xml:space="preserve"> for the management of forest and wildlife resources.</w:t>
            </w:r>
          </w:p>
        </w:tc>
        <w:tc>
          <w:tcPr>
            <w:tcW w:w="4677" w:type="dxa"/>
            <w:tcBorders>
              <w:top w:val="nil"/>
              <w:left w:val="nil"/>
              <w:bottom w:val="single" w:sz="4" w:space="0" w:color="C9C9C9"/>
              <w:right w:val="single" w:sz="4" w:space="0" w:color="C9C9C9"/>
            </w:tcBorders>
            <w:shd w:val="clear" w:color="auto" w:fill="FFFFFF" w:themeFill="background1"/>
            <w:tcMar>
              <w:top w:w="0" w:type="dxa"/>
              <w:left w:w="100" w:type="dxa"/>
              <w:bottom w:w="0" w:type="dxa"/>
              <w:right w:w="100" w:type="dxa"/>
            </w:tcMar>
          </w:tcPr>
          <w:p w14:paraId="000005DC" w14:textId="77777777" w:rsidR="004F7DB3" w:rsidRPr="00263D2C" w:rsidRDefault="29D57A18" w:rsidP="51745E8D">
            <w:pPr>
              <w:spacing w:before="240" w:after="240" w:line="254" w:lineRule="auto"/>
              <w:jc w:val="both"/>
              <w:rPr>
                <w:color w:val="202124"/>
                <w:sz w:val="18"/>
                <w:szCs w:val="18"/>
                <w:lang w:val="en-US"/>
              </w:rPr>
            </w:pPr>
            <w:r w:rsidRPr="51745E8D">
              <w:rPr>
                <w:color w:val="202124"/>
                <w:sz w:val="18"/>
                <w:szCs w:val="18"/>
                <w:lang w:val="en-US"/>
              </w:rPr>
              <w:t xml:space="preserve">It plays the role of the responsible party in the implementation of the activities of component 3 </w:t>
            </w:r>
          </w:p>
        </w:tc>
      </w:tr>
      <w:tr w:rsidR="004F7DB3" w:rsidRPr="00F50786" w14:paraId="44AB02CD" w14:textId="77777777" w:rsidTr="40E7FE84">
        <w:trPr>
          <w:trHeight w:val="2130"/>
          <w:jc w:val="center"/>
        </w:trPr>
        <w:tc>
          <w:tcPr>
            <w:tcW w:w="2982" w:type="dxa"/>
            <w:tcBorders>
              <w:top w:val="nil"/>
              <w:left w:val="single" w:sz="4" w:space="0" w:color="C9C9C9"/>
              <w:bottom w:val="single" w:sz="4" w:space="0" w:color="C9C9C9"/>
              <w:right w:val="single" w:sz="4" w:space="0" w:color="C9C9C9"/>
            </w:tcBorders>
            <w:tcMar>
              <w:top w:w="0" w:type="dxa"/>
              <w:left w:w="100" w:type="dxa"/>
              <w:bottom w:w="0" w:type="dxa"/>
              <w:right w:w="100" w:type="dxa"/>
            </w:tcMar>
          </w:tcPr>
          <w:p w14:paraId="000005DD" w14:textId="5930564A" w:rsidR="004F7DB3" w:rsidRPr="00263D2C" w:rsidRDefault="071378D3" w:rsidP="51745E8D">
            <w:pPr>
              <w:spacing w:before="240" w:after="240" w:line="254" w:lineRule="auto"/>
              <w:jc w:val="both"/>
              <w:rPr>
                <w:b/>
                <w:bCs/>
                <w:sz w:val="18"/>
                <w:szCs w:val="18"/>
                <w:lang w:val="en-US"/>
              </w:rPr>
            </w:pPr>
            <w:r w:rsidRPr="537FA187">
              <w:rPr>
                <w:b/>
                <w:bCs/>
                <w:sz w:val="18"/>
                <w:szCs w:val="18"/>
                <w:lang w:val="en-US"/>
              </w:rPr>
              <w:lastRenderedPageBreak/>
              <w:t>Environment and Sustainable Development Agency</w:t>
            </w:r>
            <w:r w:rsidR="05D4F13D" w:rsidRPr="537FA187">
              <w:rPr>
                <w:b/>
                <w:bCs/>
                <w:sz w:val="18"/>
                <w:szCs w:val="18"/>
                <w:lang w:val="en-US"/>
              </w:rPr>
              <w:t xml:space="preserve"> (</w:t>
            </w:r>
            <w:r w:rsidR="7C1463F1" w:rsidRPr="537FA187">
              <w:rPr>
                <w:b/>
                <w:bCs/>
                <w:sz w:val="18"/>
                <w:szCs w:val="18"/>
                <w:lang w:val="en-US"/>
              </w:rPr>
              <w:t>ESDA</w:t>
            </w:r>
            <w:r w:rsidR="05D4F13D" w:rsidRPr="537FA187">
              <w:rPr>
                <w:b/>
                <w:bCs/>
                <w:sz w:val="18"/>
                <w:szCs w:val="18"/>
                <w:lang w:val="en-US"/>
              </w:rPr>
              <w:t xml:space="preserve">) </w:t>
            </w:r>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000005DE" w14:textId="2E6B4726" w:rsidR="004F7DB3" w:rsidRPr="00263D2C" w:rsidRDefault="071378D3" w:rsidP="51745E8D">
            <w:pPr>
              <w:spacing w:before="240" w:after="240" w:line="254" w:lineRule="auto"/>
              <w:jc w:val="both"/>
              <w:rPr>
                <w:sz w:val="18"/>
                <w:szCs w:val="18"/>
                <w:lang w:val="en-US"/>
              </w:rPr>
            </w:pPr>
            <w:r w:rsidRPr="537FA187">
              <w:rPr>
                <w:sz w:val="18"/>
                <w:szCs w:val="18"/>
                <w:lang w:val="en-US"/>
              </w:rPr>
              <w:t xml:space="preserve">The </w:t>
            </w:r>
            <w:r w:rsidR="7C1463F1" w:rsidRPr="537FA187">
              <w:rPr>
                <w:sz w:val="18"/>
                <w:szCs w:val="18"/>
                <w:lang w:val="en-US"/>
              </w:rPr>
              <w:t>ESDA</w:t>
            </w:r>
            <w:r w:rsidRPr="537FA187">
              <w:rPr>
                <w:sz w:val="18"/>
                <w:szCs w:val="18"/>
                <w:lang w:val="en-US"/>
              </w:rPr>
              <w:t xml:space="preserve"> is the national technical body for the coordination of policies, strategies and </w:t>
            </w:r>
            <w:proofErr w:type="spellStart"/>
            <w:r w:rsidRPr="537FA187">
              <w:rPr>
                <w:sz w:val="18"/>
                <w:szCs w:val="18"/>
                <w:lang w:val="en-US"/>
              </w:rPr>
              <w:t>programmes</w:t>
            </w:r>
            <w:proofErr w:type="spellEnd"/>
            <w:r w:rsidRPr="537FA187">
              <w:rPr>
                <w:sz w:val="18"/>
                <w:szCs w:val="18"/>
                <w:lang w:val="en-US"/>
              </w:rPr>
              <w:t xml:space="preserve"> in the field of environment and sustainable development. His main responsibilities </w:t>
            </w:r>
            <w:r w:rsidR="4E6303CE" w:rsidRPr="537FA187">
              <w:rPr>
                <w:sz w:val="18"/>
                <w:szCs w:val="18"/>
                <w:lang w:val="en-US"/>
              </w:rPr>
              <w:t>include</w:t>
            </w:r>
            <w:r w:rsidRPr="537FA187">
              <w:rPr>
                <w:sz w:val="18"/>
                <w:szCs w:val="18"/>
                <w:lang w:val="en-US"/>
              </w:rPr>
              <w:t xml:space="preserve"> Coordinating environmental policies, Overseeing Strategic Environmental Assessment (SEA) and Environmental and Social Impact Assessment (ESIA) processes for development projects, Monitoring and reporting on environmental indicators (such as the State of the Environment Report), Project support and mobilizing climate finance. </w:t>
            </w:r>
          </w:p>
        </w:tc>
        <w:tc>
          <w:tcPr>
            <w:tcW w:w="4677" w:type="dxa"/>
            <w:tcBorders>
              <w:top w:val="nil"/>
              <w:left w:val="nil"/>
              <w:bottom w:val="single" w:sz="4" w:space="0" w:color="C9C9C9"/>
              <w:right w:val="single" w:sz="4" w:space="0" w:color="C9C9C9"/>
            </w:tcBorders>
            <w:tcMar>
              <w:top w:w="0" w:type="dxa"/>
              <w:left w:w="100" w:type="dxa"/>
              <w:bottom w:w="0" w:type="dxa"/>
              <w:right w:w="100" w:type="dxa"/>
            </w:tcMar>
          </w:tcPr>
          <w:p w14:paraId="000005DF" w14:textId="77777777" w:rsidR="004F7DB3" w:rsidRPr="00263D2C" w:rsidRDefault="29D57A18" w:rsidP="51745E8D">
            <w:pPr>
              <w:spacing w:before="240" w:after="240" w:line="254" w:lineRule="auto"/>
              <w:jc w:val="both"/>
              <w:rPr>
                <w:sz w:val="18"/>
                <w:szCs w:val="18"/>
                <w:lang w:val="en-US"/>
              </w:rPr>
            </w:pPr>
            <w:r w:rsidRPr="51745E8D">
              <w:rPr>
                <w:sz w:val="18"/>
                <w:szCs w:val="18"/>
                <w:lang w:val="en-US"/>
              </w:rPr>
              <w:t xml:space="preserve">It will contribute to components 1, 2, 3 and 4 in relation to the integration of environment and climate risks into urban planning. </w:t>
            </w:r>
          </w:p>
          <w:p w14:paraId="000005E0" w14:textId="77777777" w:rsidR="004F7DB3" w:rsidRPr="00263D2C" w:rsidRDefault="004F7DB3" w:rsidP="51745E8D">
            <w:pPr>
              <w:spacing w:before="240" w:after="240" w:line="254" w:lineRule="auto"/>
              <w:jc w:val="both"/>
              <w:rPr>
                <w:sz w:val="18"/>
                <w:szCs w:val="18"/>
                <w:lang w:val="en-US"/>
              </w:rPr>
            </w:pPr>
          </w:p>
        </w:tc>
      </w:tr>
      <w:tr w:rsidR="004F7DB3" w:rsidRPr="00F50786" w14:paraId="6F973A54" w14:textId="77777777" w:rsidTr="40E7FE84">
        <w:trPr>
          <w:trHeight w:val="1683"/>
          <w:jc w:val="center"/>
        </w:trPr>
        <w:tc>
          <w:tcPr>
            <w:tcW w:w="2982" w:type="dxa"/>
            <w:tcBorders>
              <w:top w:val="nil"/>
              <w:left w:val="single" w:sz="4" w:space="0" w:color="C9C9C9"/>
              <w:bottom w:val="single" w:sz="4" w:space="0" w:color="C9C9C9"/>
              <w:right w:val="single" w:sz="4" w:space="0" w:color="C9C9C9"/>
            </w:tcBorders>
            <w:tcMar>
              <w:top w:w="0" w:type="dxa"/>
              <w:left w:w="100" w:type="dxa"/>
              <w:bottom w:w="0" w:type="dxa"/>
              <w:right w:w="100" w:type="dxa"/>
            </w:tcMar>
          </w:tcPr>
          <w:p w14:paraId="000005E1" w14:textId="649556B7" w:rsidR="004F7DB3" w:rsidRDefault="071378D3" w:rsidP="51745E8D">
            <w:pPr>
              <w:spacing w:before="240" w:after="240" w:line="254" w:lineRule="auto"/>
              <w:jc w:val="both"/>
              <w:rPr>
                <w:b/>
                <w:bCs/>
                <w:sz w:val="18"/>
                <w:szCs w:val="18"/>
              </w:rPr>
            </w:pPr>
            <w:r w:rsidRPr="537FA187">
              <w:rPr>
                <w:b/>
                <w:bCs/>
                <w:sz w:val="18"/>
                <w:szCs w:val="18"/>
              </w:rPr>
              <w:t xml:space="preserve">National </w:t>
            </w:r>
            <w:proofErr w:type="spellStart"/>
            <w:r w:rsidRPr="537FA187">
              <w:rPr>
                <w:b/>
                <w:bCs/>
                <w:sz w:val="18"/>
                <w:szCs w:val="18"/>
              </w:rPr>
              <w:t>Directorate</w:t>
            </w:r>
            <w:proofErr w:type="spellEnd"/>
            <w:r w:rsidRPr="537FA187">
              <w:rPr>
                <w:b/>
                <w:bCs/>
                <w:sz w:val="18"/>
                <w:szCs w:val="18"/>
              </w:rPr>
              <w:t xml:space="preserve"> for </w:t>
            </w:r>
            <w:proofErr w:type="spellStart"/>
            <w:r w:rsidRPr="537FA187">
              <w:rPr>
                <w:b/>
                <w:bCs/>
                <w:sz w:val="18"/>
                <w:szCs w:val="18"/>
              </w:rPr>
              <w:t>Sanitation</w:t>
            </w:r>
            <w:proofErr w:type="spellEnd"/>
            <w:r w:rsidRPr="537FA187">
              <w:rPr>
                <w:b/>
                <w:bCs/>
                <w:sz w:val="18"/>
                <w:szCs w:val="18"/>
              </w:rPr>
              <w:t xml:space="preserve"> and Pollution and Nuisance Control (</w:t>
            </w:r>
            <w:proofErr w:type="gramStart"/>
            <w:r w:rsidR="0260C1B2" w:rsidRPr="537FA187">
              <w:rPr>
                <w:b/>
                <w:bCs/>
                <w:sz w:val="18"/>
                <w:szCs w:val="18"/>
              </w:rPr>
              <w:t xml:space="preserve">NDSPNC </w:t>
            </w:r>
            <w:r w:rsidRPr="537FA187">
              <w:rPr>
                <w:b/>
                <w:bCs/>
                <w:sz w:val="18"/>
                <w:szCs w:val="18"/>
              </w:rPr>
              <w:t>)</w:t>
            </w:r>
            <w:proofErr w:type="gramEnd"/>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000005E2" w14:textId="502CA97C" w:rsidR="004F7DB3" w:rsidRPr="00263D2C" w:rsidRDefault="071378D3" w:rsidP="51745E8D">
            <w:pPr>
              <w:spacing w:before="240" w:after="240" w:line="254" w:lineRule="auto"/>
              <w:jc w:val="both"/>
              <w:rPr>
                <w:sz w:val="18"/>
                <w:szCs w:val="18"/>
                <w:lang w:val="en-US"/>
              </w:rPr>
            </w:pPr>
            <w:r w:rsidRPr="537FA187">
              <w:rPr>
                <w:sz w:val="18"/>
                <w:szCs w:val="18"/>
                <w:lang w:val="en-US"/>
              </w:rPr>
              <w:t xml:space="preserve">The </w:t>
            </w:r>
            <w:r w:rsidR="160A8B07" w:rsidRPr="537FA187">
              <w:rPr>
                <w:sz w:val="18"/>
                <w:szCs w:val="18"/>
                <w:lang w:val="en-US"/>
              </w:rPr>
              <w:t xml:space="preserve">NDSPNC </w:t>
            </w:r>
            <w:r w:rsidRPr="537FA187">
              <w:rPr>
                <w:sz w:val="18"/>
                <w:szCs w:val="18"/>
                <w:lang w:val="en-US"/>
              </w:rPr>
              <w:t>is a national technical directorate responsible for implementing the State's policy on sanitation, pollution management and protection against nuisances. It carries out several missions, including the development and implementation of national policies, the Control and Regulation and the Monitoring of the quality of the environment</w:t>
            </w:r>
          </w:p>
        </w:tc>
        <w:tc>
          <w:tcPr>
            <w:tcW w:w="4677" w:type="dxa"/>
            <w:tcBorders>
              <w:top w:val="nil"/>
              <w:left w:val="nil"/>
              <w:bottom w:val="single" w:sz="4" w:space="0" w:color="C9C9C9"/>
              <w:right w:val="single" w:sz="4" w:space="0" w:color="C9C9C9"/>
            </w:tcBorders>
            <w:tcMar>
              <w:top w:w="0" w:type="dxa"/>
              <w:left w:w="100" w:type="dxa"/>
              <w:bottom w:w="0" w:type="dxa"/>
              <w:right w:w="100" w:type="dxa"/>
            </w:tcMar>
          </w:tcPr>
          <w:p w14:paraId="000005E3" w14:textId="77777777" w:rsidR="004F7DB3" w:rsidRPr="00263D2C" w:rsidRDefault="29D57A18" w:rsidP="51745E8D">
            <w:pPr>
              <w:spacing w:before="240" w:after="240" w:line="254" w:lineRule="auto"/>
              <w:jc w:val="both"/>
              <w:rPr>
                <w:sz w:val="18"/>
                <w:szCs w:val="18"/>
                <w:lang w:val="en-US"/>
              </w:rPr>
            </w:pPr>
            <w:r w:rsidRPr="51745E8D">
              <w:rPr>
                <w:sz w:val="18"/>
                <w:szCs w:val="18"/>
                <w:lang w:val="en-US"/>
              </w:rPr>
              <w:t>It plays a key role in components 1, 2, and 3.</w:t>
            </w:r>
          </w:p>
        </w:tc>
      </w:tr>
      <w:tr w:rsidR="004F7DB3" w:rsidRPr="00F50786" w14:paraId="17A589C6" w14:textId="77777777" w:rsidTr="40E7FE84">
        <w:trPr>
          <w:trHeight w:val="1440"/>
          <w:jc w:val="center"/>
        </w:trPr>
        <w:tc>
          <w:tcPr>
            <w:tcW w:w="2982" w:type="dxa"/>
            <w:tcBorders>
              <w:top w:val="nil"/>
              <w:left w:val="single" w:sz="4" w:space="0" w:color="C9C9C9"/>
              <w:bottom w:val="single" w:sz="4" w:space="0" w:color="C9C9C9"/>
              <w:right w:val="single" w:sz="4" w:space="0" w:color="C9C9C9"/>
            </w:tcBorders>
            <w:tcMar>
              <w:top w:w="0" w:type="dxa"/>
              <w:left w:w="100" w:type="dxa"/>
              <w:bottom w:w="0" w:type="dxa"/>
              <w:right w:w="100" w:type="dxa"/>
            </w:tcMar>
          </w:tcPr>
          <w:p w14:paraId="000005E4" w14:textId="5C6ECF50" w:rsidR="004F7DB3" w:rsidRPr="00263D2C" w:rsidRDefault="071378D3" w:rsidP="51745E8D">
            <w:pPr>
              <w:spacing w:before="240" w:after="240" w:line="254" w:lineRule="auto"/>
              <w:jc w:val="both"/>
              <w:rPr>
                <w:b/>
                <w:bCs/>
                <w:sz w:val="18"/>
                <w:szCs w:val="18"/>
                <w:lang w:val="en-US"/>
              </w:rPr>
            </w:pPr>
            <w:r w:rsidRPr="537FA187">
              <w:rPr>
                <w:b/>
                <w:bCs/>
                <w:sz w:val="18"/>
                <w:szCs w:val="18"/>
                <w:lang w:val="en-US"/>
              </w:rPr>
              <w:t>The National Observatory of Cities (</w:t>
            </w:r>
            <w:r w:rsidR="042484C1" w:rsidRPr="537FA187">
              <w:rPr>
                <w:b/>
                <w:bCs/>
                <w:sz w:val="18"/>
                <w:szCs w:val="18"/>
                <w:lang w:val="en-US"/>
              </w:rPr>
              <w:t>NOC</w:t>
            </w:r>
            <w:r w:rsidRPr="537FA187">
              <w:rPr>
                <w:b/>
                <w:bCs/>
                <w:sz w:val="18"/>
                <w:szCs w:val="18"/>
                <w:lang w:val="en-US"/>
              </w:rPr>
              <w:t>)</w:t>
            </w:r>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000005E5" w14:textId="22142507" w:rsidR="004F7DB3" w:rsidRPr="00263D2C" w:rsidRDefault="071378D3" w:rsidP="51745E8D">
            <w:pPr>
              <w:spacing w:before="240" w:after="240" w:line="254" w:lineRule="auto"/>
              <w:jc w:val="both"/>
              <w:rPr>
                <w:color w:val="1155CC"/>
                <w:sz w:val="18"/>
                <w:szCs w:val="18"/>
                <w:u w:val="single"/>
                <w:lang w:val="en-US"/>
              </w:rPr>
            </w:pPr>
            <w:r w:rsidRPr="537FA187">
              <w:rPr>
                <w:sz w:val="18"/>
                <w:szCs w:val="18"/>
                <w:lang w:val="en-US"/>
              </w:rPr>
              <w:t>The National Observatory of Cities (</w:t>
            </w:r>
            <w:r w:rsidR="24F99B7C" w:rsidRPr="537FA187">
              <w:rPr>
                <w:sz w:val="18"/>
                <w:szCs w:val="18"/>
                <w:lang w:val="en-US"/>
              </w:rPr>
              <w:t>NOC</w:t>
            </w:r>
            <w:r w:rsidRPr="537FA187">
              <w:rPr>
                <w:sz w:val="18"/>
                <w:szCs w:val="18"/>
                <w:lang w:val="en-US"/>
              </w:rPr>
              <w:t xml:space="preserve">) is a structure attached to the Ministry in charge of urban planning. In 2016, its main mission is to conduct studies and research on sustainable urban development, </w:t>
            </w:r>
            <w:proofErr w:type="gramStart"/>
            <w:r w:rsidRPr="537FA187">
              <w:rPr>
                <w:sz w:val="18"/>
                <w:szCs w:val="18"/>
                <w:lang w:val="en-US"/>
              </w:rPr>
              <w:t>in order to</w:t>
            </w:r>
            <w:proofErr w:type="gramEnd"/>
            <w:r w:rsidRPr="537FA187">
              <w:rPr>
                <w:sz w:val="18"/>
                <w:szCs w:val="18"/>
                <w:lang w:val="en-US"/>
              </w:rPr>
              <w:t xml:space="preserve"> provide reliable data for the development and monitoring of urban policies.</w:t>
            </w:r>
          </w:p>
          <w:p w14:paraId="000005E6" w14:textId="77777777" w:rsidR="004F7DB3" w:rsidRPr="00263D2C" w:rsidRDefault="29D57A18" w:rsidP="51745E8D">
            <w:pPr>
              <w:spacing w:before="240" w:after="240" w:line="254" w:lineRule="auto"/>
              <w:jc w:val="both"/>
              <w:rPr>
                <w:sz w:val="18"/>
                <w:szCs w:val="18"/>
                <w:lang w:val="en-US"/>
              </w:rPr>
            </w:pPr>
            <w:r w:rsidRPr="51745E8D">
              <w:rPr>
                <w:sz w:val="18"/>
                <w:szCs w:val="18"/>
                <w:lang w:val="en-US"/>
              </w:rPr>
              <w:t>The Observatory plays a key role in the implementation of the National Urban Policy (PONAV) and the Cities Development Program (PRODEV), adopted by the Malian government to support the harmonious growth of cities.</w:t>
            </w:r>
          </w:p>
          <w:p w14:paraId="000005E7" w14:textId="77777777" w:rsidR="004F7DB3" w:rsidRPr="00263D2C" w:rsidRDefault="004F7DB3" w:rsidP="51745E8D">
            <w:pPr>
              <w:spacing w:before="240" w:after="240" w:line="254" w:lineRule="auto"/>
              <w:jc w:val="both"/>
              <w:rPr>
                <w:sz w:val="18"/>
                <w:szCs w:val="18"/>
                <w:lang w:val="en-US"/>
              </w:rPr>
            </w:pPr>
          </w:p>
        </w:tc>
        <w:tc>
          <w:tcPr>
            <w:tcW w:w="4677" w:type="dxa"/>
            <w:tcBorders>
              <w:top w:val="nil"/>
              <w:left w:val="nil"/>
              <w:bottom w:val="single" w:sz="4" w:space="0" w:color="C9C9C9"/>
              <w:right w:val="single" w:sz="4" w:space="0" w:color="C9C9C9"/>
            </w:tcBorders>
            <w:tcMar>
              <w:top w:w="0" w:type="dxa"/>
              <w:left w:w="100" w:type="dxa"/>
              <w:bottom w:w="0" w:type="dxa"/>
              <w:right w:w="100" w:type="dxa"/>
            </w:tcMar>
          </w:tcPr>
          <w:p w14:paraId="000005E8" w14:textId="79DD45C5" w:rsidR="004F7DB3" w:rsidRPr="00B607C9" w:rsidRDefault="071378D3" w:rsidP="51745E8D">
            <w:pPr>
              <w:spacing w:before="240" w:after="240" w:line="254" w:lineRule="auto"/>
              <w:jc w:val="both"/>
              <w:rPr>
                <w:sz w:val="18"/>
                <w:szCs w:val="18"/>
                <w:lang w:val="en-US"/>
              </w:rPr>
            </w:pPr>
            <w:r w:rsidRPr="00B607C9">
              <w:rPr>
                <w:sz w:val="18"/>
                <w:szCs w:val="18"/>
                <w:lang w:val="en-US"/>
              </w:rPr>
              <w:t xml:space="preserve">It </w:t>
            </w:r>
            <w:r w:rsidR="5DC9A649" w:rsidRPr="00B607C9">
              <w:rPr>
                <w:sz w:val="18"/>
                <w:szCs w:val="18"/>
                <w:lang w:val="en-US"/>
              </w:rPr>
              <w:t xml:space="preserve">will </w:t>
            </w:r>
            <w:r w:rsidR="082FDDBE" w:rsidRPr="00B607C9">
              <w:rPr>
                <w:sz w:val="18"/>
                <w:szCs w:val="18"/>
                <w:lang w:val="en-US"/>
              </w:rPr>
              <w:t>contribu</w:t>
            </w:r>
            <w:r w:rsidR="477A22E2" w:rsidRPr="00B607C9">
              <w:rPr>
                <w:sz w:val="18"/>
                <w:szCs w:val="18"/>
                <w:lang w:val="en-US"/>
              </w:rPr>
              <w:t>t</w:t>
            </w:r>
            <w:r w:rsidR="082FDDBE" w:rsidRPr="00B607C9">
              <w:rPr>
                <w:sz w:val="18"/>
                <w:szCs w:val="18"/>
                <w:lang w:val="en-US"/>
              </w:rPr>
              <w:t>e</w:t>
            </w:r>
            <w:r w:rsidRPr="00B607C9">
              <w:rPr>
                <w:sz w:val="18"/>
                <w:szCs w:val="18"/>
                <w:lang w:val="en-US"/>
              </w:rPr>
              <w:t xml:space="preserve"> to component 1</w:t>
            </w:r>
          </w:p>
        </w:tc>
      </w:tr>
      <w:tr w:rsidR="51745E8D" w:rsidRPr="00F50786" w14:paraId="056074C8" w14:textId="77777777" w:rsidTr="40E7FE84">
        <w:trPr>
          <w:trHeight w:val="4665"/>
          <w:jc w:val="center"/>
        </w:trPr>
        <w:tc>
          <w:tcPr>
            <w:tcW w:w="2982" w:type="dxa"/>
            <w:tcBorders>
              <w:top w:val="nil"/>
              <w:left w:val="single" w:sz="4" w:space="0" w:color="C9C9C9"/>
              <w:bottom w:val="single" w:sz="4" w:space="0" w:color="C9C9C9"/>
              <w:right w:val="single" w:sz="4" w:space="0" w:color="C9C9C9"/>
            </w:tcBorders>
            <w:tcMar>
              <w:top w:w="0" w:type="dxa"/>
              <w:left w:w="100" w:type="dxa"/>
              <w:bottom w:w="0" w:type="dxa"/>
              <w:right w:w="100" w:type="dxa"/>
            </w:tcMar>
          </w:tcPr>
          <w:p w14:paraId="3245030C" w14:textId="38CA9AAA" w:rsidR="07977DC8" w:rsidRDefault="6FDBDB81" w:rsidP="537FA187">
            <w:pPr>
              <w:spacing w:line="254" w:lineRule="auto"/>
              <w:jc w:val="both"/>
              <w:rPr>
                <w:sz w:val="18"/>
                <w:szCs w:val="18"/>
                <w:lang w:val="en-US"/>
              </w:rPr>
            </w:pPr>
            <w:r w:rsidRPr="537FA187">
              <w:rPr>
                <w:sz w:val="18"/>
                <w:szCs w:val="18"/>
                <w:lang w:val="en-US"/>
              </w:rPr>
              <w:lastRenderedPageBreak/>
              <w:t xml:space="preserve"> National Directorate of</w:t>
            </w:r>
            <w:r w:rsidR="352CB939" w:rsidRPr="537FA187">
              <w:rPr>
                <w:sz w:val="18"/>
                <w:szCs w:val="18"/>
                <w:lang w:val="en-US"/>
              </w:rPr>
              <w:t xml:space="preserve"> Land and Cadaster </w:t>
            </w:r>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3C8B0D00" w14:textId="181AE88C" w:rsidR="07977DC8" w:rsidRDefault="43AC1FE6" w:rsidP="537FA187">
            <w:pPr>
              <w:spacing w:before="240" w:after="240"/>
              <w:jc w:val="both"/>
              <w:rPr>
                <w:b/>
                <w:bCs/>
                <w:sz w:val="18"/>
                <w:szCs w:val="18"/>
              </w:rPr>
            </w:pPr>
            <w:r w:rsidRPr="00B607C9">
              <w:rPr>
                <w:sz w:val="18"/>
                <w:szCs w:val="18"/>
                <w:lang w:val="en-US"/>
              </w:rPr>
              <w:t xml:space="preserve"> </w:t>
            </w:r>
            <w:r w:rsidR="38CABBFD" w:rsidRPr="00B607C9">
              <w:rPr>
                <w:sz w:val="18"/>
                <w:szCs w:val="18"/>
                <w:lang w:val="en-US"/>
              </w:rPr>
              <w:t xml:space="preserve">The </w:t>
            </w:r>
            <w:r w:rsidR="38CABBFD" w:rsidRPr="537FA187">
              <w:rPr>
                <w:sz w:val="18"/>
                <w:szCs w:val="18"/>
                <w:lang w:val="en-US"/>
              </w:rPr>
              <w:t xml:space="preserve">National Directorate of Land and Cadaster </w:t>
            </w:r>
            <w:r w:rsidRPr="00B607C9">
              <w:rPr>
                <w:sz w:val="18"/>
                <w:szCs w:val="18"/>
                <w:lang w:val="en-US"/>
              </w:rPr>
              <w:t xml:space="preserve">plays a strategic role in the management of land tenure, state-owned real estate assets, and the national </w:t>
            </w:r>
            <w:proofErr w:type="spellStart"/>
            <w:r w:rsidRPr="00B607C9">
              <w:rPr>
                <w:sz w:val="18"/>
                <w:szCs w:val="18"/>
                <w:lang w:val="en-US"/>
              </w:rPr>
              <w:t>cadastre</w:t>
            </w:r>
            <w:proofErr w:type="spellEnd"/>
            <w:r w:rsidRPr="00B607C9">
              <w:rPr>
                <w:sz w:val="18"/>
                <w:szCs w:val="18"/>
                <w:lang w:val="en-US"/>
              </w:rPr>
              <w:t>.</w:t>
            </w:r>
            <w:r w:rsidR="07977DC8" w:rsidRPr="00B607C9">
              <w:rPr>
                <w:lang w:val="en-US"/>
              </w:rPr>
              <w:br/>
            </w:r>
            <w:r w:rsidRPr="00B607C9">
              <w:rPr>
                <w:sz w:val="18"/>
                <w:szCs w:val="18"/>
                <w:lang w:val="en-US"/>
              </w:rPr>
              <w:t xml:space="preserve"> </w:t>
            </w:r>
            <w:proofErr w:type="spellStart"/>
            <w:r w:rsidRPr="537FA187">
              <w:rPr>
                <w:b/>
                <w:bCs/>
                <w:sz w:val="18"/>
                <w:szCs w:val="18"/>
              </w:rPr>
              <w:t>Core</w:t>
            </w:r>
            <w:proofErr w:type="spellEnd"/>
            <w:r w:rsidRPr="537FA187">
              <w:rPr>
                <w:b/>
                <w:bCs/>
                <w:sz w:val="18"/>
                <w:szCs w:val="18"/>
              </w:rPr>
              <w:t xml:space="preserve"> mandates </w:t>
            </w:r>
            <w:proofErr w:type="spellStart"/>
            <w:r w:rsidRPr="537FA187">
              <w:rPr>
                <w:b/>
                <w:bCs/>
                <w:sz w:val="18"/>
                <w:szCs w:val="18"/>
              </w:rPr>
              <w:t>include</w:t>
            </w:r>
            <w:proofErr w:type="spellEnd"/>
            <w:r w:rsidRPr="537FA187">
              <w:rPr>
                <w:b/>
                <w:bCs/>
                <w:sz w:val="18"/>
                <w:szCs w:val="18"/>
              </w:rPr>
              <w:t>:</w:t>
            </w:r>
          </w:p>
          <w:p w14:paraId="27E0751D" w14:textId="36FFBF08" w:rsidR="07977DC8" w:rsidRPr="00B607C9" w:rsidRDefault="43AC1FE6" w:rsidP="001360BB">
            <w:pPr>
              <w:pStyle w:val="Paragraphedeliste"/>
              <w:numPr>
                <w:ilvl w:val="0"/>
                <w:numId w:val="74"/>
              </w:numPr>
              <w:spacing w:before="240" w:after="240"/>
              <w:jc w:val="both"/>
              <w:rPr>
                <w:sz w:val="18"/>
                <w:szCs w:val="18"/>
                <w:lang w:val="en-US"/>
              </w:rPr>
            </w:pPr>
            <w:r w:rsidRPr="00B607C9">
              <w:rPr>
                <w:sz w:val="18"/>
                <w:szCs w:val="18"/>
                <w:lang w:val="en-US"/>
              </w:rPr>
              <w:t xml:space="preserve">Managing and updating the national land registry and </w:t>
            </w:r>
            <w:proofErr w:type="spellStart"/>
            <w:r w:rsidRPr="00B607C9">
              <w:rPr>
                <w:sz w:val="18"/>
                <w:szCs w:val="18"/>
                <w:lang w:val="en-US"/>
              </w:rPr>
              <w:t>cadastre</w:t>
            </w:r>
            <w:proofErr w:type="spellEnd"/>
            <w:r w:rsidRPr="00B607C9">
              <w:rPr>
                <w:sz w:val="18"/>
                <w:szCs w:val="18"/>
                <w:lang w:val="en-US"/>
              </w:rPr>
              <w:t xml:space="preserve"> system</w:t>
            </w:r>
          </w:p>
          <w:p w14:paraId="6D913EEF" w14:textId="5E6F7518" w:rsidR="07977DC8" w:rsidRPr="00B607C9" w:rsidRDefault="43AC1FE6" w:rsidP="001360BB">
            <w:pPr>
              <w:pStyle w:val="Paragraphedeliste"/>
              <w:numPr>
                <w:ilvl w:val="0"/>
                <w:numId w:val="74"/>
              </w:numPr>
              <w:spacing w:before="240" w:after="240"/>
              <w:jc w:val="both"/>
              <w:rPr>
                <w:sz w:val="18"/>
                <w:szCs w:val="18"/>
                <w:lang w:val="en-US"/>
              </w:rPr>
            </w:pPr>
            <w:r w:rsidRPr="00B607C9">
              <w:rPr>
                <w:sz w:val="18"/>
                <w:szCs w:val="18"/>
                <w:lang w:val="en-US"/>
              </w:rPr>
              <w:t>Overseeing the allocation and registration of public and private land</w:t>
            </w:r>
          </w:p>
          <w:p w14:paraId="2A9CCEEC" w14:textId="430BCC5D" w:rsidR="07977DC8" w:rsidRPr="00B607C9" w:rsidRDefault="43AC1FE6" w:rsidP="001360BB">
            <w:pPr>
              <w:pStyle w:val="Paragraphedeliste"/>
              <w:numPr>
                <w:ilvl w:val="0"/>
                <w:numId w:val="74"/>
              </w:numPr>
              <w:spacing w:before="240" w:after="240"/>
              <w:jc w:val="both"/>
              <w:rPr>
                <w:sz w:val="18"/>
                <w:szCs w:val="18"/>
                <w:lang w:val="en-US"/>
              </w:rPr>
            </w:pPr>
            <w:r w:rsidRPr="00B607C9">
              <w:rPr>
                <w:sz w:val="18"/>
                <w:szCs w:val="18"/>
                <w:lang w:val="en-US"/>
              </w:rPr>
              <w:t>Administering state-owned land and real estate assets</w:t>
            </w:r>
          </w:p>
          <w:p w14:paraId="60EBAD64" w14:textId="3130328D" w:rsidR="07977DC8" w:rsidRPr="00B607C9" w:rsidRDefault="43AC1FE6" w:rsidP="001360BB">
            <w:pPr>
              <w:pStyle w:val="Paragraphedeliste"/>
              <w:numPr>
                <w:ilvl w:val="0"/>
                <w:numId w:val="74"/>
              </w:numPr>
              <w:spacing w:before="240" w:after="240"/>
              <w:jc w:val="both"/>
              <w:rPr>
                <w:sz w:val="18"/>
                <w:szCs w:val="18"/>
                <w:lang w:val="en-US"/>
              </w:rPr>
            </w:pPr>
            <w:r w:rsidRPr="00B607C9">
              <w:rPr>
                <w:sz w:val="18"/>
                <w:szCs w:val="18"/>
                <w:lang w:val="en-US"/>
              </w:rPr>
              <w:t>Ensuring legal and administrative compliance in land transactions</w:t>
            </w:r>
          </w:p>
          <w:p w14:paraId="40B0FFA7" w14:textId="1D98307C" w:rsidR="07977DC8" w:rsidRPr="00B607C9" w:rsidRDefault="43AC1FE6" w:rsidP="001360BB">
            <w:pPr>
              <w:pStyle w:val="Paragraphedeliste"/>
              <w:numPr>
                <w:ilvl w:val="0"/>
                <w:numId w:val="74"/>
              </w:numPr>
              <w:spacing w:before="240" w:after="240"/>
              <w:jc w:val="both"/>
              <w:rPr>
                <w:sz w:val="18"/>
                <w:szCs w:val="18"/>
                <w:lang w:val="en-US"/>
              </w:rPr>
            </w:pPr>
            <w:r w:rsidRPr="00B607C9">
              <w:rPr>
                <w:sz w:val="18"/>
                <w:szCs w:val="18"/>
                <w:lang w:val="en-US"/>
              </w:rPr>
              <w:t>Supporting land tenure security and land use planning policies</w:t>
            </w:r>
          </w:p>
          <w:p w14:paraId="4011838D" w14:textId="7117A0A9" w:rsidR="07977DC8" w:rsidRPr="00B607C9" w:rsidRDefault="43AC1FE6" w:rsidP="001360BB">
            <w:pPr>
              <w:pStyle w:val="Paragraphedeliste"/>
              <w:numPr>
                <w:ilvl w:val="0"/>
                <w:numId w:val="74"/>
              </w:numPr>
              <w:spacing w:before="240" w:after="240"/>
              <w:jc w:val="both"/>
              <w:rPr>
                <w:sz w:val="18"/>
                <w:szCs w:val="18"/>
                <w:lang w:val="en-US"/>
              </w:rPr>
            </w:pPr>
            <w:r w:rsidRPr="00B607C9">
              <w:rPr>
                <w:sz w:val="18"/>
                <w:szCs w:val="18"/>
                <w:lang w:val="en-US"/>
              </w:rPr>
              <w:t>Providing technical expertise for land and property valuation</w:t>
            </w:r>
          </w:p>
          <w:p w14:paraId="7526DF07" w14:textId="5B580D09" w:rsidR="07977DC8" w:rsidRPr="00C535FE" w:rsidRDefault="43AC1FE6" w:rsidP="537FA187">
            <w:pPr>
              <w:spacing w:before="319" w:after="319"/>
              <w:jc w:val="both"/>
              <w:rPr>
                <w:b/>
                <w:bCs/>
                <w:lang w:val="en-US"/>
              </w:rPr>
            </w:pPr>
            <w:r w:rsidRPr="00B607C9">
              <w:rPr>
                <w:sz w:val="18"/>
                <w:szCs w:val="18"/>
                <w:lang w:val="en-US"/>
              </w:rPr>
              <w:t>Contributing to the modernization of land governance systems and digitalization of cadastral data.</w:t>
            </w:r>
          </w:p>
        </w:tc>
        <w:tc>
          <w:tcPr>
            <w:tcW w:w="4677" w:type="dxa"/>
            <w:tcBorders>
              <w:top w:val="nil"/>
              <w:left w:val="nil"/>
              <w:bottom w:val="single" w:sz="4" w:space="0" w:color="C9C9C9"/>
              <w:right w:val="single" w:sz="4" w:space="0" w:color="C9C9C9"/>
            </w:tcBorders>
            <w:tcMar>
              <w:top w:w="0" w:type="dxa"/>
              <w:left w:w="100" w:type="dxa"/>
              <w:bottom w:w="0" w:type="dxa"/>
              <w:right w:w="100" w:type="dxa"/>
            </w:tcMar>
          </w:tcPr>
          <w:p w14:paraId="2B790EDC" w14:textId="026B1897" w:rsidR="51745E8D" w:rsidRPr="00C535FE" w:rsidRDefault="51745E8D" w:rsidP="51745E8D">
            <w:pPr>
              <w:spacing w:line="254" w:lineRule="auto"/>
              <w:jc w:val="both"/>
              <w:rPr>
                <w:sz w:val="18"/>
                <w:szCs w:val="18"/>
                <w:lang w:val="en-US"/>
              </w:rPr>
            </w:pPr>
          </w:p>
        </w:tc>
      </w:tr>
      <w:tr w:rsidR="004F7DB3" w:rsidRPr="00F50786" w14:paraId="44A341ED" w14:textId="77777777" w:rsidTr="40E7FE84">
        <w:trPr>
          <w:trHeight w:val="2205"/>
          <w:jc w:val="center"/>
        </w:trPr>
        <w:tc>
          <w:tcPr>
            <w:tcW w:w="2982" w:type="dxa"/>
            <w:tcBorders>
              <w:top w:val="nil"/>
              <w:left w:val="single" w:sz="4" w:space="0" w:color="C9C9C9"/>
              <w:bottom w:val="single" w:sz="4" w:space="0" w:color="C9C9C9"/>
              <w:right w:val="single" w:sz="4" w:space="0" w:color="C9C9C9"/>
            </w:tcBorders>
            <w:tcMar>
              <w:top w:w="0" w:type="dxa"/>
              <w:left w:w="100" w:type="dxa"/>
              <w:bottom w:w="0" w:type="dxa"/>
              <w:right w:w="100" w:type="dxa"/>
            </w:tcMar>
          </w:tcPr>
          <w:p w14:paraId="000005E9" w14:textId="77777777" w:rsidR="004F7DB3" w:rsidRDefault="29D57A18" w:rsidP="51745E8D">
            <w:pPr>
              <w:spacing w:before="240" w:after="240" w:line="254" w:lineRule="auto"/>
              <w:jc w:val="both"/>
              <w:rPr>
                <w:b/>
                <w:bCs/>
                <w:sz w:val="18"/>
                <w:szCs w:val="18"/>
              </w:rPr>
            </w:pPr>
            <w:r w:rsidRPr="51745E8D">
              <w:rPr>
                <w:b/>
                <w:bCs/>
                <w:sz w:val="18"/>
                <w:szCs w:val="18"/>
              </w:rPr>
              <w:t>Ministry of Transport</w:t>
            </w:r>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000005EA" w14:textId="5BF90BBA" w:rsidR="004F7DB3" w:rsidRDefault="071378D3" w:rsidP="51745E8D">
            <w:pPr>
              <w:spacing w:before="240" w:after="240" w:line="254" w:lineRule="auto"/>
              <w:jc w:val="both"/>
              <w:rPr>
                <w:sz w:val="18"/>
                <w:szCs w:val="18"/>
              </w:rPr>
            </w:pPr>
            <w:r w:rsidRPr="537FA187">
              <w:rPr>
                <w:sz w:val="18"/>
                <w:szCs w:val="18"/>
                <w:lang w:val="en-US"/>
              </w:rPr>
              <w:t xml:space="preserve">The Ministry of Transport and Infrastructure (MTI) of Mali is the government entity responsible for the implementation of the national policy on the development of road and transport infrastructure. He oversees the land, rail, inland waterway and air transport sectors, as well as the planning, construction and maintenance of the corresponding infrastructure. </w:t>
            </w:r>
            <w:proofErr w:type="spellStart"/>
            <w:r w:rsidRPr="537FA187">
              <w:rPr>
                <w:sz w:val="18"/>
                <w:szCs w:val="18"/>
              </w:rPr>
              <w:t>Among</w:t>
            </w:r>
            <w:proofErr w:type="spellEnd"/>
            <w:r w:rsidRPr="537FA187">
              <w:rPr>
                <w:sz w:val="18"/>
                <w:szCs w:val="18"/>
              </w:rPr>
              <w:t xml:space="preserve"> </w:t>
            </w:r>
            <w:proofErr w:type="spellStart"/>
            <w:r w:rsidRPr="537FA187">
              <w:rPr>
                <w:sz w:val="18"/>
                <w:szCs w:val="18"/>
              </w:rPr>
              <w:t>its</w:t>
            </w:r>
            <w:proofErr w:type="spellEnd"/>
            <w:r w:rsidRPr="537FA187">
              <w:rPr>
                <w:sz w:val="18"/>
                <w:szCs w:val="18"/>
              </w:rPr>
              <w:t xml:space="preserve"> </w:t>
            </w:r>
            <w:r w:rsidR="34A490E7" w:rsidRPr="537FA187">
              <w:rPr>
                <w:sz w:val="18"/>
                <w:szCs w:val="18"/>
              </w:rPr>
              <w:t>missions :</w:t>
            </w:r>
            <w:r w:rsidRPr="537FA187">
              <w:rPr>
                <w:sz w:val="18"/>
                <w:szCs w:val="18"/>
              </w:rPr>
              <w:t xml:space="preserve"> </w:t>
            </w:r>
            <w:proofErr w:type="spellStart"/>
            <w:r w:rsidRPr="537FA187">
              <w:rPr>
                <w:sz w:val="18"/>
                <w:szCs w:val="18"/>
              </w:rPr>
              <w:t>Development</w:t>
            </w:r>
            <w:proofErr w:type="spellEnd"/>
            <w:r w:rsidRPr="537FA187">
              <w:rPr>
                <w:sz w:val="18"/>
                <w:szCs w:val="18"/>
              </w:rPr>
              <w:t xml:space="preserve"> and </w:t>
            </w:r>
            <w:proofErr w:type="spellStart"/>
            <w:r w:rsidRPr="537FA187">
              <w:rPr>
                <w:sz w:val="18"/>
                <w:szCs w:val="18"/>
              </w:rPr>
              <w:t>implementation</w:t>
            </w:r>
            <w:proofErr w:type="spellEnd"/>
            <w:r w:rsidRPr="537FA187">
              <w:rPr>
                <w:sz w:val="18"/>
                <w:szCs w:val="18"/>
              </w:rPr>
              <w:t xml:space="preserve"> of transport </w:t>
            </w:r>
            <w:proofErr w:type="spellStart"/>
            <w:r w:rsidRPr="537FA187">
              <w:rPr>
                <w:sz w:val="18"/>
                <w:szCs w:val="18"/>
              </w:rPr>
              <w:t>policies</w:t>
            </w:r>
            <w:proofErr w:type="spellEnd"/>
          </w:p>
        </w:tc>
        <w:tc>
          <w:tcPr>
            <w:tcW w:w="4677" w:type="dxa"/>
            <w:tcBorders>
              <w:top w:val="nil"/>
              <w:left w:val="nil"/>
              <w:bottom w:val="single" w:sz="4" w:space="0" w:color="C9C9C9"/>
              <w:right w:val="single" w:sz="4" w:space="0" w:color="C9C9C9"/>
            </w:tcBorders>
            <w:tcMar>
              <w:top w:w="0" w:type="dxa"/>
              <w:left w:w="100" w:type="dxa"/>
              <w:bottom w:w="0" w:type="dxa"/>
              <w:right w:w="100" w:type="dxa"/>
            </w:tcMar>
          </w:tcPr>
          <w:p w14:paraId="000005EB" w14:textId="4F8D28B8" w:rsidR="004F7DB3" w:rsidRPr="00263D2C" w:rsidRDefault="071378D3" w:rsidP="51745E8D">
            <w:pPr>
              <w:spacing w:before="240" w:after="240" w:line="254" w:lineRule="auto"/>
              <w:jc w:val="both"/>
              <w:rPr>
                <w:sz w:val="18"/>
                <w:szCs w:val="18"/>
                <w:lang w:val="en-US"/>
              </w:rPr>
            </w:pPr>
            <w:r w:rsidRPr="537FA187">
              <w:rPr>
                <w:sz w:val="18"/>
                <w:szCs w:val="18"/>
                <w:lang w:val="en-US"/>
              </w:rPr>
              <w:t>It</w:t>
            </w:r>
            <w:r w:rsidR="777EA616" w:rsidRPr="537FA187">
              <w:rPr>
                <w:sz w:val="18"/>
                <w:szCs w:val="18"/>
                <w:lang w:val="en-US"/>
              </w:rPr>
              <w:t xml:space="preserve"> will</w:t>
            </w:r>
            <w:r w:rsidRPr="537FA187">
              <w:rPr>
                <w:sz w:val="18"/>
                <w:szCs w:val="18"/>
                <w:lang w:val="en-US"/>
              </w:rPr>
              <w:t xml:space="preserve"> contribute to component 1 and 2 through the </w:t>
            </w:r>
            <w:r w:rsidR="58315770" w:rsidRPr="537FA187">
              <w:rPr>
                <w:sz w:val="18"/>
                <w:szCs w:val="18"/>
                <w:lang w:val="en-US"/>
              </w:rPr>
              <w:t>GDT</w:t>
            </w:r>
          </w:p>
        </w:tc>
      </w:tr>
      <w:tr w:rsidR="004F7DB3" w:rsidRPr="00F50786" w14:paraId="46250880" w14:textId="77777777" w:rsidTr="40E7FE84">
        <w:trPr>
          <w:trHeight w:val="1980"/>
          <w:jc w:val="center"/>
        </w:trPr>
        <w:tc>
          <w:tcPr>
            <w:tcW w:w="2982" w:type="dxa"/>
            <w:tcBorders>
              <w:top w:val="nil"/>
              <w:left w:val="single" w:sz="4" w:space="0" w:color="C9C9C9"/>
              <w:bottom w:val="single" w:sz="4" w:space="0" w:color="C9C9C9"/>
              <w:right w:val="single" w:sz="4" w:space="0" w:color="C9C9C9"/>
            </w:tcBorders>
            <w:tcMar>
              <w:top w:w="0" w:type="dxa"/>
              <w:left w:w="100" w:type="dxa"/>
              <w:bottom w:w="0" w:type="dxa"/>
              <w:right w:w="100" w:type="dxa"/>
            </w:tcMar>
          </w:tcPr>
          <w:p w14:paraId="000005EC" w14:textId="1F1045DE" w:rsidR="004F7DB3" w:rsidRDefault="29D57A18" w:rsidP="003F76BF">
            <w:pPr>
              <w:spacing w:before="240" w:after="240" w:line="254" w:lineRule="auto"/>
              <w:jc w:val="both"/>
              <w:rPr>
                <w:b/>
                <w:bCs/>
                <w:sz w:val="18"/>
                <w:szCs w:val="18"/>
              </w:rPr>
            </w:pPr>
            <w:r w:rsidRPr="51745E8D">
              <w:rPr>
                <w:b/>
                <w:bCs/>
                <w:sz w:val="18"/>
                <w:szCs w:val="18"/>
              </w:rPr>
              <w:lastRenderedPageBreak/>
              <w:t xml:space="preserve">General </w:t>
            </w:r>
            <w:proofErr w:type="spellStart"/>
            <w:r w:rsidR="003F76BF" w:rsidRPr="51745E8D">
              <w:rPr>
                <w:b/>
                <w:bCs/>
                <w:sz w:val="18"/>
                <w:szCs w:val="18"/>
              </w:rPr>
              <w:t>Directorate</w:t>
            </w:r>
            <w:proofErr w:type="spellEnd"/>
            <w:r w:rsidR="003F76BF" w:rsidRPr="51745E8D">
              <w:rPr>
                <w:b/>
                <w:bCs/>
                <w:sz w:val="18"/>
                <w:szCs w:val="18"/>
              </w:rPr>
              <w:t xml:space="preserve"> </w:t>
            </w:r>
            <w:r w:rsidRPr="51745E8D">
              <w:rPr>
                <w:b/>
                <w:bCs/>
                <w:sz w:val="18"/>
                <w:szCs w:val="18"/>
              </w:rPr>
              <w:t>for Transport</w:t>
            </w:r>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000005ED" w14:textId="2E13CF7D" w:rsidR="004F7DB3" w:rsidRPr="00263D2C" w:rsidRDefault="071378D3" w:rsidP="51745E8D">
            <w:pPr>
              <w:spacing w:before="240" w:after="240" w:line="254" w:lineRule="auto"/>
              <w:jc w:val="both"/>
              <w:rPr>
                <w:sz w:val="18"/>
                <w:szCs w:val="18"/>
                <w:lang w:val="en-US"/>
              </w:rPr>
            </w:pPr>
            <w:r w:rsidRPr="537FA187">
              <w:rPr>
                <w:sz w:val="18"/>
                <w:szCs w:val="18"/>
                <w:lang w:val="en-US"/>
              </w:rPr>
              <w:t xml:space="preserve">The </w:t>
            </w:r>
            <w:r w:rsidR="6486CEC2" w:rsidRPr="537FA187">
              <w:rPr>
                <w:sz w:val="18"/>
                <w:szCs w:val="18"/>
                <w:lang w:val="en-US"/>
              </w:rPr>
              <w:t xml:space="preserve">General </w:t>
            </w:r>
            <w:r w:rsidRPr="537FA187">
              <w:rPr>
                <w:sz w:val="18"/>
                <w:szCs w:val="18"/>
                <w:lang w:val="en-US"/>
              </w:rPr>
              <w:t>Directorate of Transport (G</w:t>
            </w:r>
            <w:r w:rsidR="19120DCB" w:rsidRPr="537FA187">
              <w:rPr>
                <w:sz w:val="18"/>
                <w:szCs w:val="18"/>
                <w:lang w:val="en-US"/>
              </w:rPr>
              <w:t>D</w:t>
            </w:r>
            <w:r w:rsidRPr="537FA187">
              <w:rPr>
                <w:sz w:val="18"/>
                <w:szCs w:val="18"/>
                <w:lang w:val="en-US"/>
              </w:rPr>
              <w:t>T) is a central entity of the Ministry of Transport and Infrastructure of Mali, created in March 2022 to strengthen the governance of the transport sector. It succeeded the National Directorate of Land, Maritime and River Transport (</w:t>
            </w:r>
            <w:r w:rsidR="26A4129E" w:rsidRPr="537FA187">
              <w:rPr>
                <w:sz w:val="18"/>
                <w:szCs w:val="18"/>
                <w:lang w:val="en-US"/>
              </w:rPr>
              <w:t>NDLMRT</w:t>
            </w:r>
            <w:r w:rsidRPr="537FA187">
              <w:rPr>
                <w:sz w:val="18"/>
                <w:szCs w:val="18"/>
                <w:lang w:val="en-US"/>
              </w:rPr>
              <w:t xml:space="preserve">). Among its </w:t>
            </w:r>
            <w:r w:rsidR="5EC85A33" w:rsidRPr="537FA187">
              <w:rPr>
                <w:sz w:val="18"/>
                <w:szCs w:val="18"/>
                <w:lang w:val="en-US"/>
              </w:rPr>
              <w:t>missions,</w:t>
            </w:r>
            <w:r w:rsidRPr="537FA187">
              <w:rPr>
                <w:sz w:val="18"/>
                <w:szCs w:val="18"/>
                <w:lang w:val="en-US"/>
              </w:rPr>
              <w:t xml:space="preserve"> it is to develop and implement the national transport policy, covering land, river, rail and urban modes.</w:t>
            </w:r>
          </w:p>
        </w:tc>
        <w:tc>
          <w:tcPr>
            <w:tcW w:w="4677" w:type="dxa"/>
            <w:tcBorders>
              <w:top w:val="nil"/>
              <w:left w:val="nil"/>
              <w:bottom w:val="single" w:sz="4" w:space="0" w:color="C9C9C9"/>
              <w:right w:val="single" w:sz="4" w:space="0" w:color="C9C9C9"/>
            </w:tcBorders>
            <w:tcMar>
              <w:top w:w="0" w:type="dxa"/>
              <w:left w:w="100" w:type="dxa"/>
              <w:bottom w:w="0" w:type="dxa"/>
              <w:right w:w="100" w:type="dxa"/>
            </w:tcMar>
          </w:tcPr>
          <w:p w14:paraId="000005EE" w14:textId="490BA82E" w:rsidR="004F7DB3" w:rsidRPr="00263D2C" w:rsidRDefault="071378D3" w:rsidP="51745E8D">
            <w:pPr>
              <w:spacing w:before="240" w:after="240" w:line="254" w:lineRule="auto"/>
              <w:jc w:val="both"/>
              <w:rPr>
                <w:sz w:val="18"/>
                <w:szCs w:val="18"/>
                <w:lang w:val="en-US"/>
              </w:rPr>
            </w:pPr>
            <w:r w:rsidRPr="537FA187">
              <w:rPr>
                <w:sz w:val="18"/>
                <w:szCs w:val="18"/>
                <w:lang w:val="en-US"/>
              </w:rPr>
              <w:t xml:space="preserve">It </w:t>
            </w:r>
            <w:r w:rsidR="63923BAE" w:rsidRPr="537FA187">
              <w:rPr>
                <w:sz w:val="18"/>
                <w:szCs w:val="18"/>
                <w:lang w:val="en-US"/>
              </w:rPr>
              <w:t>i</w:t>
            </w:r>
            <w:r w:rsidRPr="537FA187">
              <w:rPr>
                <w:sz w:val="18"/>
                <w:szCs w:val="18"/>
                <w:lang w:val="en-US"/>
              </w:rPr>
              <w:t>s</w:t>
            </w:r>
            <w:r w:rsidR="59B8772E" w:rsidRPr="537FA187">
              <w:rPr>
                <w:sz w:val="18"/>
                <w:szCs w:val="18"/>
                <w:lang w:val="en-US"/>
              </w:rPr>
              <w:t xml:space="preserve"> the</w:t>
            </w:r>
            <w:r w:rsidRPr="537FA187">
              <w:rPr>
                <w:sz w:val="18"/>
                <w:szCs w:val="18"/>
                <w:lang w:val="en-US"/>
              </w:rPr>
              <w:t xml:space="preserve"> responsible party to component 2 and collaborates with </w:t>
            </w:r>
            <w:proofErr w:type="gramStart"/>
            <w:r w:rsidRPr="537FA187">
              <w:rPr>
                <w:sz w:val="18"/>
                <w:szCs w:val="18"/>
                <w:lang w:val="en-US"/>
              </w:rPr>
              <w:t xml:space="preserve">the </w:t>
            </w:r>
            <w:r w:rsidR="1F9FCBE7" w:rsidRPr="537FA187">
              <w:rPr>
                <w:sz w:val="18"/>
                <w:szCs w:val="18"/>
                <w:lang w:val="en-US"/>
              </w:rPr>
              <w:t xml:space="preserve"> </w:t>
            </w:r>
            <w:r w:rsidR="74A4A08D" w:rsidRPr="537FA187">
              <w:rPr>
                <w:sz w:val="18"/>
                <w:szCs w:val="18"/>
                <w:lang w:val="en-US"/>
              </w:rPr>
              <w:t>NDUPH</w:t>
            </w:r>
            <w:proofErr w:type="gramEnd"/>
            <w:r w:rsidRPr="537FA187">
              <w:rPr>
                <w:sz w:val="18"/>
                <w:szCs w:val="18"/>
                <w:lang w:val="en-US"/>
              </w:rPr>
              <w:t xml:space="preserve"> on a component 1 activity</w:t>
            </w:r>
          </w:p>
        </w:tc>
      </w:tr>
      <w:tr w:rsidR="51745E8D" w:rsidRPr="00F50786" w14:paraId="627DE0EC" w14:textId="77777777" w:rsidTr="40E7FE84">
        <w:trPr>
          <w:trHeight w:val="300"/>
          <w:jc w:val="center"/>
        </w:trPr>
        <w:tc>
          <w:tcPr>
            <w:tcW w:w="13603" w:type="dxa"/>
            <w:gridSpan w:val="3"/>
            <w:tcBorders>
              <w:top w:val="nil"/>
              <w:left w:val="single" w:sz="4" w:space="0" w:color="C9C9C9"/>
              <w:bottom w:val="single" w:sz="4" w:space="0" w:color="C9C9C9"/>
              <w:right w:val="single" w:sz="4" w:space="0" w:color="C9C9C9"/>
            </w:tcBorders>
            <w:shd w:val="clear" w:color="auto" w:fill="D9E2F3"/>
            <w:tcMar>
              <w:top w:w="0" w:type="dxa"/>
              <w:left w:w="100" w:type="dxa"/>
              <w:bottom w:w="0" w:type="dxa"/>
              <w:right w:w="100" w:type="dxa"/>
            </w:tcMar>
          </w:tcPr>
          <w:p w14:paraId="0971D4F2" w14:textId="53532F33" w:rsidR="6627C050" w:rsidRPr="00C535FE" w:rsidRDefault="6627C050" w:rsidP="51745E8D">
            <w:pPr>
              <w:spacing w:line="254" w:lineRule="auto"/>
              <w:jc w:val="both"/>
              <w:rPr>
                <w:b/>
                <w:bCs/>
                <w:sz w:val="18"/>
                <w:szCs w:val="18"/>
                <w:lang w:val="en-US"/>
              </w:rPr>
            </w:pPr>
            <w:r w:rsidRPr="00C535FE">
              <w:rPr>
                <w:b/>
                <w:bCs/>
                <w:sz w:val="18"/>
                <w:szCs w:val="18"/>
                <w:lang w:val="en-US"/>
              </w:rPr>
              <w:t xml:space="preserve">International </w:t>
            </w:r>
            <w:r w:rsidR="00EF3D97" w:rsidRPr="00C535FE">
              <w:rPr>
                <w:b/>
                <w:bCs/>
                <w:sz w:val="18"/>
                <w:szCs w:val="18"/>
                <w:lang w:val="en-US"/>
              </w:rPr>
              <w:t>organization</w:t>
            </w:r>
            <w:r w:rsidR="1278C3A7" w:rsidRPr="00C535FE">
              <w:rPr>
                <w:b/>
                <w:bCs/>
                <w:sz w:val="18"/>
                <w:szCs w:val="18"/>
                <w:lang w:val="en-US"/>
              </w:rPr>
              <w:t xml:space="preserve"> and Multilateral Banks</w:t>
            </w:r>
          </w:p>
        </w:tc>
      </w:tr>
      <w:tr w:rsidR="004F7DB3" w:rsidRPr="00F50786" w14:paraId="16F9A186" w14:textId="77777777" w:rsidTr="40E7FE84">
        <w:trPr>
          <w:trHeight w:val="8595"/>
          <w:jc w:val="center"/>
        </w:trPr>
        <w:tc>
          <w:tcPr>
            <w:tcW w:w="2982" w:type="dxa"/>
            <w:vMerge w:val="restart"/>
            <w:tcBorders>
              <w:top w:val="nil"/>
              <w:left w:val="single" w:sz="4" w:space="0" w:color="C9C9C9"/>
              <w:bottom w:val="single" w:sz="4" w:space="0" w:color="C9C9C9"/>
              <w:right w:val="single" w:sz="4" w:space="0" w:color="C9C9C9"/>
            </w:tcBorders>
            <w:tcMar>
              <w:top w:w="0" w:type="dxa"/>
              <w:left w:w="100" w:type="dxa"/>
              <w:bottom w:w="0" w:type="dxa"/>
              <w:right w:w="100" w:type="dxa"/>
            </w:tcMar>
          </w:tcPr>
          <w:p w14:paraId="000005F2" w14:textId="77777777" w:rsidR="004F7DB3" w:rsidRDefault="29D57A18" w:rsidP="51745E8D">
            <w:pPr>
              <w:spacing w:before="240" w:after="240" w:line="254" w:lineRule="auto"/>
              <w:jc w:val="both"/>
              <w:rPr>
                <w:b/>
                <w:bCs/>
                <w:sz w:val="18"/>
                <w:szCs w:val="18"/>
              </w:rPr>
            </w:pPr>
            <w:r w:rsidRPr="51745E8D">
              <w:rPr>
                <w:b/>
                <w:bCs/>
                <w:sz w:val="18"/>
                <w:szCs w:val="18"/>
              </w:rPr>
              <w:lastRenderedPageBreak/>
              <w:t>World Bank</w:t>
            </w:r>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000005F3" w14:textId="4E550B39" w:rsidR="004F7DB3" w:rsidRPr="00263D2C" w:rsidRDefault="29D57A18" w:rsidP="51745E8D">
            <w:pPr>
              <w:spacing w:before="240" w:after="240" w:line="276" w:lineRule="auto"/>
              <w:jc w:val="both"/>
              <w:rPr>
                <w:sz w:val="18"/>
                <w:szCs w:val="18"/>
                <w:lang w:val="en-US"/>
              </w:rPr>
            </w:pPr>
            <w:r w:rsidRPr="51745E8D">
              <w:rPr>
                <w:sz w:val="18"/>
                <w:szCs w:val="18"/>
                <w:lang w:val="en-US"/>
              </w:rPr>
              <w:t xml:space="preserve">The World Bank is supporting the Government of Mali in disaster risk management and resilience building. It is financing the Urban Resilience Project in Bamako (PRUBA) to the tune of 300 million US dollars. This project aims at </w:t>
            </w:r>
            <w:r w:rsidR="00CA3CF8" w:rsidRPr="51745E8D">
              <w:rPr>
                <w:sz w:val="18"/>
                <w:szCs w:val="18"/>
                <w:lang w:val="en-US"/>
              </w:rPr>
              <w:t>sustainable</w:t>
            </w:r>
            <w:r w:rsidRPr="51745E8D">
              <w:rPr>
                <w:sz w:val="18"/>
                <w:szCs w:val="18"/>
                <w:lang w:val="en-US"/>
              </w:rPr>
              <w:t xml:space="preserve"> management of solid waste, sanitation and hygiene, drinking water supply, as well as the institutional strengthening of the District of Bamako and Greater Bamako.</w:t>
            </w:r>
          </w:p>
          <w:p w14:paraId="000005F5" w14:textId="14C1512F" w:rsidR="004F7DB3" w:rsidRPr="00263D2C" w:rsidRDefault="004F7DB3" w:rsidP="51745E8D">
            <w:pPr>
              <w:spacing w:before="240" w:after="240" w:line="276" w:lineRule="auto"/>
              <w:jc w:val="both"/>
              <w:rPr>
                <w:b/>
                <w:bCs/>
                <w:sz w:val="18"/>
                <w:szCs w:val="18"/>
                <w:lang w:val="en-US"/>
              </w:rPr>
            </w:pPr>
          </w:p>
        </w:tc>
        <w:tc>
          <w:tcPr>
            <w:tcW w:w="4677" w:type="dxa"/>
            <w:tcBorders>
              <w:top w:val="nil"/>
              <w:left w:val="nil"/>
              <w:bottom w:val="single" w:sz="4" w:space="0" w:color="C9C9C9"/>
              <w:right w:val="single" w:sz="4" w:space="0" w:color="C9C9C9"/>
            </w:tcBorders>
            <w:tcMar>
              <w:top w:w="0" w:type="dxa"/>
              <w:left w:w="100" w:type="dxa"/>
              <w:bottom w:w="0" w:type="dxa"/>
              <w:right w:w="100" w:type="dxa"/>
            </w:tcMar>
          </w:tcPr>
          <w:p w14:paraId="1A094E95" w14:textId="77777777" w:rsidR="004F7DB3" w:rsidRDefault="29D57A18" w:rsidP="51745E8D">
            <w:pPr>
              <w:spacing w:before="240" w:after="240" w:line="254" w:lineRule="auto"/>
              <w:jc w:val="both"/>
              <w:rPr>
                <w:sz w:val="18"/>
                <w:szCs w:val="18"/>
                <w:lang w:val="en-US"/>
              </w:rPr>
            </w:pPr>
            <w:r w:rsidRPr="00C535FE">
              <w:rPr>
                <w:sz w:val="18"/>
                <w:szCs w:val="18"/>
                <w:lang w:val="en-US"/>
              </w:rPr>
              <w:t xml:space="preserve">Contributes primarily to components </w:t>
            </w:r>
            <w:r w:rsidR="00915ECC" w:rsidRPr="00C535FE">
              <w:rPr>
                <w:sz w:val="18"/>
                <w:szCs w:val="18"/>
                <w:lang w:val="en-US"/>
              </w:rPr>
              <w:t>1 and 3</w:t>
            </w:r>
          </w:p>
          <w:p w14:paraId="51AB0F5A" w14:textId="4C3F15B0" w:rsidR="00EF18EE" w:rsidRPr="006F5E1D" w:rsidRDefault="00EF18EE" w:rsidP="00EF18EE">
            <w:pPr>
              <w:spacing w:before="240" w:after="240" w:line="254" w:lineRule="auto"/>
              <w:jc w:val="both"/>
              <w:rPr>
                <w:sz w:val="18"/>
                <w:szCs w:val="18"/>
                <w:lang w:val="en-US"/>
              </w:rPr>
            </w:pPr>
            <w:r w:rsidRPr="006F5E1D">
              <w:rPr>
                <w:sz w:val="18"/>
                <w:szCs w:val="18"/>
                <w:lang w:val="en-US"/>
              </w:rPr>
              <w:t xml:space="preserve">PRUBA includes strategic interventions that will serve as foundational pillars for the IUDP in Bamako, thanks to their strong complementarity—particularly in promoting policy coherence and institutional strengthening. Notably, PRUBA supports the development of Bamako’s Urban Master Plan and Mobility </w:t>
            </w:r>
            <w:proofErr w:type="gramStart"/>
            <w:r w:rsidRPr="006F5E1D">
              <w:rPr>
                <w:sz w:val="18"/>
                <w:szCs w:val="18"/>
                <w:lang w:val="en-US"/>
              </w:rPr>
              <w:t>Plan, and</w:t>
            </w:r>
            <w:proofErr w:type="gramEnd"/>
            <w:r w:rsidRPr="006F5E1D">
              <w:rPr>
                <w:sz w:val="18"/>
                <w:szCs w:val="18"/>
                <w:lang w:val="en-US"/>
              </w:rPr>
              <w:t xml:space="preserve"> has already produced a relevant Waste Management Master Plan aligned with </w:t>
            </w:r>
            <w:r w:rsidR="00184389" w:rsidRPr="006F5E1D">
              <w:rPr>
                <w:sz w:val="18"/>
                <w:szCs w:val="18"/>
                <w:lang w:val="en-US"/>
              </w:rPr>
              <w:t>IUDP</w:t>
            </w:r>
            <w:r w:rsidRPr="006F5E1D">
              <w:rPr>
                <w:sz w:val="18"/>
                <w:szCs w:val="18"/>
                <w:lang w:val="en-US"/>
              </w:rPr>
              <w:t xml:space="preserve"> objectives. It is also developing a comprehensive Geoportal for data collection and management in Bamako.</w:t>
            </w:r>
          </w:p>
          <w:p w14:paraId="2A78C3C4" w14:textId="5ABDD484" w:rsidR="00EF18EE" w:rsidRDefault="00EF18EE" w:rsidP="00EF18EE">
            <w:pPr>
              <w:spacing w:before="240" w:after="240" w:line="254" w:lineRule="auto"/>
              <w:jc w:val="both"/>
              <w:rPr>
                <w:sz w:val="18"/>
                <w:szCs w:val="18"/>
                <w:lang w:val="en-US"/>
              </w:rPr>
            </w:pPr>
            <w:r w:rsidRPr="006F5E1D">
              <w:rPr>
                <w:sz w:val="18"/>
                <w:szCs w:val="18"/>
                <w:lang w:val="en-US"/>
              </w:rPr>
              <w:t>Building on this momentum, the IUDP will capitalize on the groundwork laid by PRUBA to operationalize the Urban Master Plan and the Mobility Plan. The project will also contribute to the Geoportal following its rollout by integrating GIS tools in selected pilot municipalities. In parallel, it will establish an innovative financing mechanism to scale up green investments and enhance private sector engagement.</w:t>
            </w:r>
            <w:r w:rsidR="00F56379">
              <w:rPr>
                <w:sz w:val="18"/>
                <w:szCs w:val="18"/>
                <w:lang w:val="en-US"/>
              </w:rPr>
              <w:t xml:space="preserve"> </w:t>
            </w:r>
          </w:p>
          <w:p w14:paraId="000005F6" w14:textId="697B88CB" w:rsidR="007C082F" w:rsidRPr="004B70C6" w:rsidRDefault="000B58CD" w:rsidP="000B58CD">
            <w:pPr>
              <w:spacing w:before="240" w:after="240" w:line="254" w:lineRule="auto"/>
              <w:jc w:val="both"/>
              <w:rPr>
                <w:sz w:val="18"/>
                <w:szCs w:val="18"/>
                <w:lang w:val="en-US"/>
              </w:rPr>
            </w:pPr>
            <w:r w:rsidRPr="006F5E1D">
              <w:rPr>
                <w:sz w:val="18"/>
                <w:szCs w:val="18"/>
                <w:lang w:val="en-US"/>
              </w:rPr>
              <w:t>In addition, the IUDP will support women entrepreneurs engaged in urban agriculture along the riverbanks. PRUBA is set to establish three groups of women entrepreneurs in three developed market gardening zones (</w:t>
            </w:r>
            <w:r w:rsidRPr="006F5E1D">
              <w:rPr>
                <w:i/>
                <w:iCs/>
                <w:sz w:val="18"/>
                <w:szCs w:val="18"/>
                <w:lang w:val="en-US"/>
              </w:rPr>
              <w:t xml:space="preserve">zones </w:t>
            </w:r>
            <w:proofErr w:type="spellStart"/>
            <w:r w:rsidRPr="006F5E1D">
              <w:rPr>
                <w:i/>
                <w:iCs/>
                <w:sz w:val="18"/>
                <w:szCs w:val="18"/>
                <w:lang w:val="en-US"/>
              </w:rPr>
              <w:t>maraîchères</w:t>
            </w:r>
            <w:proofErr w:type="spellEnd"/>
            <w:r w:rsidRPr="006F5E1D">
              <w:rPr>
                <w:i/>
                <w:iCs/>
                <w:sz w:val="18"/>
                <w:szCs w:val="18"/>
                <w:lang w:val="en-US"/>
              </w:rPr>
              <w:t xml:space="preserve"> </w:t>
            </w:r>
            <w:proofErr w:type="spellStart"/>
            <w:r w:rsidRPr="006F5E1D">
              <w:rPr>
                <w:i/>
                <w:iCs/>
                <w:sz w:val="18"/>
                <w:szCs w:val="18"/>
                <w:lang w:val="en-US"/>
              </w:rPr>
              <w:t>aménagées</w:t>
            </w:r>
            <w:proofErr w:type="spellEnd"/>
            <w:r w:rsidRPr="006F5E1D">
              <w:rPr>
                <w:sz w:val="18"/>
                <w:szCs w:val="18"/>
                <w:lang w:val="en-US"/>
              </w:rPr>
              <w:t>). This initiative will be complemented by Component 3 of the IUDP, particularly through Activity 3.1.3.3, ensuring strong synergy between both projects in promoting gender-responsive and climate-resilient urban agriculture.</w:t>
            </w:r>
          </w:p>
        </w:tc>
      </w:tr>
      <w:tr w:rsidR="004F7DB3" w:rsidRPr="00F50786" w14:paraId="01B656FE" w14:textId="77777777" w:rsidTr="40E7FE84">
        <w:trPr>
          <w:trHeight w:val="4530"/>
          <w:jc w:val="center"/>
        </w:trPr>
        <w:tc>
          <w:tcPr>
            <w:tcW w:w="2982" w:type="dxa"/>
            <w:vMerge/>
            <w:tcMar>
              <w:top w:w="0" w:type="dxa"/>
              <w:left w:w="100" w:type="dxa"/>
              <w:bottom w:w="0" w:type="dxa"/>
              <w:right w:w="100" w:type="dxa"/>
            </w:tcMar>
          </w:tcPr>
          <w:p w14:paraId="000005F7" w14:textId="77777777" w:rsidR="004F7DB3" w:rsidRPr="00C535FE" w:rsidRDefault="004F7DB3">
            <w:pPr>
              <w:widowControl w:val="0"/>
              <w:pBdr>
                <w:top w:val="nil"/>
                <w:left w:val="nil"/>
                <w:bottom w:val="nil"/>
                <w:right w:val="nil"/>
                <w:between w:val="nil"/>
              </w:pBdr>
              <w:spacing w:after="0" w:line="276" w:lineRule="auto"/>
              <w:rPr>
                <w:lang w:val="en-US"/>
              </w:rPr>
            </w:pPr>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000005F9" w14:textId="55BDF35F" w:rsidR="004F7DB3" w:rsidRPr="00A858C5" w:rsidRDefault="29D57A18" w:rsidP="00A858C5">
            <w:pPr>
              <w:spacing w:before="240" w:after="240" w:line="254" w:lineRule="auto"/>
              <w:jc w:val="both"/>
              <w:rPr>
                <w:sz w:val="18"/>
                <w:szCs w:val="18"/>
                <w:lang w:val="en-US"/>
              </w:rPr>
            </w:pPr>
            <w:r w:rsidRPr="51745E8D">
              <w:rPr>
                <w:sz w:val="18"/>
                <w:szCs w:val="18"/>
                <w:lang w:val="en-US"/>
              </w:rPr>
              <w:t xml:space="preserve">The Degraded Land Restoration Project (PRTD) aims to restore the ecological integrity of Malian areas along the Great Green Wall, while improving the livelihoods of local populations. It takes an integrated approach linking environmental degradation, climate change and social conflict, </w:t>
            </w:r>
            <w:proofErr w:type="gramStart"/>
            <w:r w:rsidRPr="51745E8D">
              <w:rPr>
                <w:sz w:val="18"/>
                <w:szCs w:val="18"/>
                <w:lang w:val="en-US"/>
              </w:rPr>
              <w:t>in order to</w:t>
            </w:r>
            <w:proofErr w:type="gramEnd"/>
            <w:r w:rsidRPr="51745E8D">
              <w:rPr>
                <w:sz w:val="18"/>
                <w:szCs w:val="18"/>
                <w:lang w:val="en-US"/>
              </w:rPr>
              <w:t xml:space="preserve"> strengthen natural, social and cultural capital. The project targets 87 municipalities in synergy with World Bank projects (PREEFN, PGRNCC), by providing for sustainable investments, the promotion of productive alliances, and capacity building for the implementation of NDCs and conflict prevention. targets </w:t>
            </w:r>
            <w:r w:rsidRPr="009804E6">
              <w:rPr>
                <w:sz w:val="18"/>
                <w:szCs w:val="18"/>
                <w:lang w:val="en-US"/>
              </w:rPr>
              <w:t>87 communes</w:t>
            </w:r>
            <w:r w:rsidRPr="51745E8D">
              <w:rPr>
                <w:sz w:val="18"/>
                <w:szCs w:val="18"/>
                <w:lang w:val="en-US"/>
              </w:rPr>
              <w:t xml:space="preserve">, selected according to synergy criteria with existing World Bank projects and their location in the GGW's area of intervention in Mali. </w:t>
            </w:r>
          </w:p>
        </w:tc>
        <w:tc>
          <w:tcPr>
            <w:tcW w:w="4677" w:type="dxa"/>
            <w:tcBorders>
              <w:top w:val="nil"/>
              <w:left w:val="nil"/>
              <w:bottom w:val="single" w:sz="4" w:space="0" w:color="C9C9C9"/>
              <w:right w:val="single" w:sz="4" w:space="0" w:color="C9C9C9"/>
            </w:tcBorders>
            <w:tcMar>
              <w:top w:w="0" w:type="dxa"/>
              <w:left w:w="100" w:type="dxa"/>
              <w:bottom w:w="0" w:type="dxa"/>
              <w:right w:w="100" w:type="dxa"/>
            </w:tcMar>
          </w:tcPr>
          <w:p w14:paraId="000005FA" w14:textId="732E75C6" w:rsidR="004F7DB3" w:rsidRPr="006F5E1D" w:rsidRDefault="0041296B" w:rsidP="0041296B">
            <w:pPr>
              <w:spacing w:before="240" w:after="240" w:line="254" w:lineRule="auto"/>
              <w:jc w:val="both"/>
              <w:rPr>
                <w:sz w:val="18"/>
                <w:szCs w:val="18"/>
                <w:lang w:val="en-US"/>
              </w:rPr>
            </w:pPr>
            <w:r w:rsidRPr="0041296B">
              <w:rPr>
                <w:sz w:val="18"/>
                <w:szCs w:val="18"/>
                <w:lang w:val="en-US"/>
              </w:rPr>
              <w:t>Contribute</w:t>
            </w:r>
            <w:r w:rsidR="29D57A18" w:rsidRPr="006F5E1D">
              <w:rPr>
                <w:sz w:val="18"/>
                <w:szCs w:val="18"/>
                <w:lang w:val="en-US"/>
              </w:rPr>
              <w:t xml:space="preserve"> to component 3</w:t>
            </w:r>
            <w:r>
              <w:rPr>
                <w:sz w:val="18"/>
                <w:szCs w:val="18"/>
                <w:lang w:val="en-US"/>
              </w:rPr>
              <w:t xml:space="preserve"> of IUDP</w:t>
            </w:r>
            <w:r w:rsidR="004B70C6" w:rsidRPr="006F5E1D">
              <w:rPr>
                <w:sz w:val="18"/>
                <w:szCs w:val="18"/>
                <w:lang w:val="en-US"/>
              </w:rPr>
              <w:t xml:space="preserve">, as </w:t>
            </w:r>
            <w:r w:rsidR="004B70C6">
              <w:rPr>
                <w:sz w:val="18"/>
                <w:szCs w:val="18"/>
                <w:lang w:val="en-US"/>
              </w:rPr>
              <w:t>t</w:t>
            </w:r>
            <w:r w:rsidR="004B70C6" w:rsidRPr="51745E8D">
              <w:rPr>
                <w:sz w:val="18"/>
                <w:szCs w:val="18"/>
                <w:lang w:val="en-US"/>
              </w:rPr>
              <w:t xml:space="preserve">he project </w:t>
            </w:r>
            <w:r w:rsidR="004B70C6">
              <w:rPr>
                <w:sz w:val="18"/>
                <w:szCs w:val="18"/>
                <w:lang w:val="en-US"/>
              </w:rPr>
              <w:t xml:space="preserve">PRTD </w:t>
            </w:r>
            <w:r w:rsidR="004B70C6" w:rsidRPr="51745E8D">
              <w:rPr>
                <w:sz w:val="18"/>
                <w:szCs w:val="18"/>
                <w:lang w:val="en-US"/>
              </w:rPr>
              <w:t xml:space="preserve">is </w:t>
            </w:r>
            <w:r>
              <w:rPr>
                <w:sz w:val="18"/>
                <w:szCs w:val="18"/>
                <w:lang w:val="en-US"/>
              </w:rPr>
              <w:t>intervening</w:t>
            </w:r>
            <w:r w:rsidR="004B70C6" w:rsidRPr="51745E8D">
              <w:rPr>
                <w:sz w:val="18"/>
                <w:szCs w:val="18"/>
                <w:lang w:val="en-US"/>
              </w:rPr>
              <w:t xml:space="preserve"> in the </w:t>
            </w:r>
            <w:proofErr w:type="spellStart"/>
            <w:r w:rsidR="004B70C6" w:rsidRPr="51745E8D">
              <w:rPr>
                <w:sz w:val="18"/>
                <w:szCs w:val="18"/>
                <w:lang w:val="en-US"/>
              </w:rPr>
              <w:t>Koulikorou</w:t>
            </w:r>
            <w:proofErr w:type="spellEnd"/>
            <w:r w:rsidR="004B70C6" w:rsidRPr="51745E8D">
              <w:rPr>
                <w:sz w:val="18"/>
                <w:szCs w:val="18"/>
                <w:lang w:val="en-US"/>
              </w:rPr>
              <w:t xml:space="preserve"> </w:t>
            </w:r>
            <w:r>
              <w:rPr>
                <w:sz w:val="18"/>
                <w:szCs w:val="18"/>
                <w:lang w:val="en-US"/>
              </w:rPr>
              <w:t>region</w:t>
            </w:r>
            <w:r w:rsidR="00413BE6">
              <w:rPr>
                <w:sz w:val="18"/>
                <w:szCs w:val="18"/>
                <w:lang w:val="en-US"/>
              </w:rPr>
              <w:t xml:space="preserve"> and specifically in</w:t>
            </w:r>
            <w:r w:rsidR="004B70C6" w:rsidRPr="51745E8D">
              <w:rPr>
                <w:sz w:val="18"/>
                <w:szCs w:val="18"/>
                <w:lang w:val="en-US"/>
              </w:rPr>
              <w:t xml:space="preserve"> the classified forest of </w:t>
            </w:r>
            <w:proofErr w:type="spellStart"/>
            <w:r w:rsidR="004B70C6" w:rsidRPr="51745E8D">
              <w:rPr>
                <w:sz w:val="18"/>
                <w:szCs w:val="18"/>
                <w:lang w:val="en-US"/>
              </w:rPr>
              <w:t>Koulikou</w:t>
            </w:r>
            <w:proofErr w:type="spellEnd"/>
            <w:r w:rsidR="004B70C6">
              <w:rPr>
                <w:sz w:val="18"/>
                <w:szCs w:val="18"/>
                <w:lang w:val="en-US"/>
              </w:rPr>
              <w:t>.</w:t>
            </w:r>
            <w:r w:rsidR="00892602">
              <w:rPr>
                <w:sz w:val="18"/>
                <w:szCs w:val="18"/>
                <w:lang w:val="en-US"/>
              </w:rPr>
              <w:t xml:space="preserve"> The PRTD will contribute to the green belt to be established by the IUDP.</w:t>
            </w:r>
          </w:p>
        </w:tc>
      </w:tr>
      <w:tr w:rsidR="004F7DB3" w:rsidRPr="00F50786" w14:paraId="01F08E7A" w14:textId="77777777" w:rsidTr="40E7FE84">
        <w:trPr>
          <w:trHeight w:val="4020"/>
          <w:jc w:val="center"/>
        </w:trPr>
        <w:tc>
          <w:tcPr>
            <w:tcW w:w="2982" w:type="dxa"/>
            <w:tcBorders>
              <w:top w:val="nil"/>
              <w:left w:val="single" w:sz="4" w:space="0" w:color="C9C9C9"/>
              <w:bottom w:val="single" w:sz="4" w:space="0" w:color="C9C9C9"/>
              <w:right w:val="single" w:sz="4" w:space="0" w:color="C9C9C9"/>
            </w:tcBorders>
            <w:tcMar>
              <w:top w:w="0" w:type="dxa"/>
              <w:left w:w="100" w:type="dxa"/>
              <w:bottom w:w="0" w:type="dxa"/>
              <w:right w:w="100" w:type="dxa"/>
            </w:tcMar>
          </w:tcPr>
          <w:p w14:paraId="000005FB" w14:textId="77777777" w:rsidR="004F7DB3" w:rsidRDefault="29D57A18" w:rsidP="51745E8D">
            <w:pPr>
              <w:spacing w:before="240" w:after="240" w:line="254" w:lineRule="auto"/>
              <w:jc w:val="both"/>
              <w:rPr>
                <w:b/>
                <w:bCs/>
                <w:sz w:val="18"/>
                <w:szCs w:val="18"/>
              </w:rPr>
            </w:pPr>
            <w:proofErr w:type="spellStart"/>
            <w:r w:rsidRPr="51745E8D">
              <w:rPr>
                <w:b/>
                <w:bCs/>
                <w:sz w:val="18"/>
                <w:szCs w:val="18"/>
              </w:rPr>
              <w:lastRenderedPageBreak/>
              <w:t>African</w:t>
            </w:r>
            <w:proofErr w:type="spellEnd"/>
            <w:r w:rsidRPr="51745E8D">
              <w:rPr>
                <w:b/>
                <w:bCs/>
                <w:sz w:val="18"/>
                <w:szCs w:val="18"/>
              </w:rPr>
              <w:t xml:space="preserve"> </w:t>
            </w:r>
            <w:proofErr w:type="spellStart"/>
            <w:r w:rsidRPr="51745E8D">
              <w:rPr>
                <w:b/>
                <w:bCs/>
                <w:sz w:val="18"/>
                <w:szCs w:val="18"/>
              </w:rPr>
              <w:t>Development</w:t>
            </w:r>
            <w:proofErr w:type="spellEnd"/>
            <w:r w:rsidRPr="51745E8D">
              <w:rPr>
                <w:b/>
                <w:bCs/>
                <w:sz w:val="18"/>
                <w:szCs w:val="18"/>
              </w:rPr>
              <w:t xml:space="preserve"> Bank</w:t>
            </w:r>
            <w:sdt>
              <w:sdtPr>
                <w:rPr>
                  <w:b/>
                  <w:bCs/>
                  <w:sz w:val="18"/>
                  <w:szCs w:val="18"/>
                </w:rPr>
                <w:tag w:val="goog_rdk_0"/>
                <w:id w:val="-1771615589"/>
              </w:sdtPr>
              <w:sdtContent/>
            </w:sdt>
            <w:r w:rsidRPr="51745E8D">
              <w:rPr>
                <w:b/>
                <w:bCs/>
                <w:sz w:val="18"/>
                <w:szCs w:val="18"/>
              </w:rPr>
              <w:t xml:space="preserve"> </w:t>
            </w:r>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2DD73A73" w14:textId="414AB024" w:rsidR="004F7DB3" w:rsidRDefault="6404D5FC" w:rsidP="51745E8D">
            <w:pPr>
              <w:spacing w:before="240" w:after="240" w:line="254" w:lineRule="auto"/>
              <w:jc w:val="both"/>
              <w:rPr>
                <w:sz w:val="18"/>
                <w:szCs w:val="18"/>
                <w:lang w:val="en-US"/>
              </w:rPr>
            </w:pPr>
            <w:r w:rsidRPr="51745E8D">
              <w:rPr>
                <w:sz w:val="18"/>
                <w:szCs w:val="18"/>
                <w:lang w:val="en-US"/>
              </w:rPr>
              <w:t>The African Development Bank (AfDB) supports inclusive and sustainable development in Mali, with a strong presence in Bamako through its Country Office. Its interventions focus on:</w:t>
            </w:r>
          </w:p>
          <w:p w14:paraId="6F40D2EA" w14:textId="29F630D8" w:rsidR="004F7DB3" w:rsidRDefault="6404D5FC" w:rsidP="001360BB">
            <w:pPr>
              <w:pStyle w:val="Paragraphedeliste"/>
              <w:numPr>
                <w:ilvl w:val="0"/>
                <w:numId w:val="85"/>
              </w:numPr>
              <w:spacing w:before="240" w:after="240" w:line="254" w:lineRule="auto"/>
              <w:jc w:val="both"/>
              <w:rPr>
                <w:sz w:val="18"/>
                <w:szCs w:val="18"/>
                <w:lang w:val="en-US"/>
              </w:rPr>
            </w:pPr>
            <w:r w:rsidRPr="51745E8D">
              <w:rPr>
                <w:sz w:val="18"/>
                <w:szCs w:val="18"/>
                <w:lang w:val="en-US"/>
              </w:rPr>
              <w:t>Infrastructure development (roads, energy, water, and sanitation).</w:t>
            </w:r>
          </w:p>
          <w:p w14:paraId="3D88DBD6" w14:textId="26DB30AF" w:rsidR="004F7DB3" w:rsidRDefault="6404D5FC" w:rsidP="001360BB">
            <w:pPr>
              <w:pStyle w:val="Paragraphedeliste"/>
              <w:numPr>
                <w:ilvl w:val="0"/>
                <w:numId w:val="85"/>
              </w:numPr>
              <w:spacing w:before="240" w:after="240" w:line="254" w:lineRule="auto"/>
              <w:jc w:val="both"/>
              <w:rPr>
                <w:sz w:val="18"/>
                <w:szCs w:val="18"/>
                <w:lang w:val="en-US"/>
              </w:rPr>
            </w:pPr>
            <w:r w:rsidRPr="51745E8D">
              <w:rPr>
                <w:sz w:val="18"/>
                <w:szCs w:val="18"/>
                <w:lang w:val="en-US"/>
              </w:rPr>
              <w:t>Agricultural transformation and food security.</w:t>
            </w:r>
          </w:p>
          <w:p w14:paraId="41D6C761" w14:textId="7A2728DC" w:rsidR="004F7DB3" w:rsidRDefault="6404D5FC" w:rsidP="001360BB">
            <w:pPr>
              <w:pStyle w:val="Paragraphedeliste"/>
              <w:numPr>
                <w:ilvl w:val="0"/>
                <w:numId w:val="85"/>
              </w:numPr>
              <w:spacing w:before="240" w:after="240" w:line="254" w:lineRule="auto"/>
              <w:jc w:val="both"/>
              <w:rPr>
                <w:sz w:val="18"/>
                <w:szCs w:val="18"/>
                <w:lang w:val="en-US"/>
              </w:rPr>
            </w:pPr>
            <w:r w:rsidRPr="51745E8D">
              <w:rPr>
                <w:sz w:val="18"/>
                <w:szCs w:val="18"/>
                <w:lang w:val="en-US"/>
              </w:rPr>
              <w:t>Private sector development and job creation.</w:t>
            </w:r>
          </w:p>
          <w:p w14:paraId="5674F4A4" w14:textId="19D071B5" w:rsidR="004F7DB3" w:rsidRDefault="6404D5FC" w:rsidP="001360BB">
            <w:pPr>
              <w:pStyle w:val="Paragraphedeliste"/>
              <w:numPr>
                <w:ilvl w:val="0"/>
                <w:numId w:val="85"/>
              </w:numPr>
              <w:spacing w:before="240" w:after="240" w:line="254" w:lineRule="auto"/>
              <w:jc w:val="both"/>
              <w:rPr>
                <w:sz w:val="18"/>
                <w:szCs w:val="18"/>
                <w:lang w:val="en-US"/>
              </w:rPr>
            </w:pPr>
            <w:r w:rsidRPr="51745E8D">
              <w:rPr>
                <w:sz w:val="18"/>
                <w:szCs w:val="18"/>
                <w:lang w:val="en-US"/>
              </w:rPr>
              <w:t>Climate resilience and natural resource management.</w:t>
            </w:r>
          </w:p>
          <w:p w14:paraId="14F4DBA7" w14:textId="18263CF4" w:rsidR="004F7DB3" w:rsidRDefault="6404D5FC" w:rsidP="001360BB">
            <w:pPr>
              <w:pStyle w:val="Paragraphedeliste"/>
              <w:numPr>
                <w:ilvl w:val="0"/>
                <w:numId w:val="85"/>
              </w:numPr>
              <w:spacing w:before="240" w:after="240" w:line="254" w:lineRule="auto"/>
              <w:jc w:val="both"/>
              <w:rPr>
                <w:sz w:val="18"/>
                <w:szCs w:val="18"/>
                <w:lang w:val="en-US"/>
              </w:rPr>
            </w:pPr>
            <w:r w:rsidRPr="51745E8D">
              <w:rPr>
                <w:sz w:val="18"/>
                <w:szCs w:val="18"/>
                <w:lang w:val="en-US"/>
              </w:rPr>
              <w:t>Governance and institutional capacity building.</w:t>
            </w:r>
          </w:p>
          <w:p w14:paraId="000005FC" w14:textId="7523B063" w:rsidR="004F7DB3" w:rsidRDefault="6404D5FC" w:rsidP="51745E8D">
            <w:pPr>
              <w:spacing w:before="240" w:after="240" w:line="254" w:lineRule="auto"/>
              <w:jc w:val="both"/>
              <w:rPr>
                <w:sz w:val="18"/>
                <w:szCs w:val="18"/>
                <w:lang w:val="en-US"/>
              </w:rPr>
            </w:pPr>
            <w:r w:rsidRPr="51745E8D">
              <w:rPr>
                <w:sz w:val="18"/>
                <w:szCs w:val="18"/>
                <w:lang w:val="en-US"/>
              </w:rPr>
              <w:t xml:space="preserve">In Bamako, AfDB also helps with urban development, decentralization, and access to basic services, aiming to foster economic growth, stability, and poverty reduction. These initiatives align with AfDB’s </w:t>
            </w:r>
            <w:r w:rsidRPr="51745E8D">
              <w:rPr>
                <w:b/>
                <w:bCs/>
                <w:sz w:val="18"/>
                <w:szCs w:val="18"/>
                <w:lang w:val="en-US"/>
              </w:rPr>
              <w:t>“High 5” priorities</w:t>
            </w:r>
            <w:r w:rsidRPr="51745E8D">
              <w:rPr>
                <w:sz w:val="18"/>
                <w:szCs w:val="18"/>
                <w:lang w:val="en-US"/>
              </w:rPr>
              <w:t>, particularly “Improve the quality of life for the people of Africa” and “Industrialize Africa”, contributing to the long-term transformation of Greater Bamako into a more resilient and competitive urban hub.</w:t>
            </w:r>
          </w:p>
        </w:tc>
        <w:tc>
          <w:tcPr>
            <w:tcW w:w="4677" w:type="dxa"/>
            <w:tcBorders>
              <w:top w:val="nil"/>
              <w:left w:val="nil"/>
              <w:bottom w:val="single" w:sz="4" w:space="0" w:color="C9C9C9"/>
              <w:right w:val="single" w:sz="4" w:space="0" w:color="C9C9C9"/>
            </w:tcBorders>
            <w:tcMar>
              <w:top w:w="0" w:type="dxa"/>
              <w:left w:w="100" w:type="dxa"/>
              <w:bottom w:w="0" w:type="dxa"/>
              <w:right w:w="100" w:type="dxa"/>
            </w:tcMar>
          </w:tcPr>
          <w:p w14:paraId="05A989BF" w14:textId="427D6CC5" w:rsidR="004F7DB3" w:rsidRPr="00C535FE" w:rsidRDefault="645C0911" w:rsidP="51745E8D">
            <w:pPr>
              <w:spacing w:before="240" w:line="252" w:lineRule="auto"/>
              <w:contextualSpacing/>
              <w:jc w:val="both"/>
              <w:rPr>
                <w:color w:val="000000" w:themeColor="text1"/>
                <w:sz w:val="18"/>
                <w:szCs w:val="18"/>
                <w:lang w:val="en-US"/>
              </w:rPr>
            </w:pPr>
            <w:r w:rsidRPr="51745E8D">
              <w:rPr>
                <w:color w:val="000000" w:themeColor="text1"/>
                <w:sz w:val="18"/>
                <w:szCs w:val="18"/>
                <w:lang w:val="en-US"/>
              </w:rPr>
              <w:t>  Potential collaboration in component 2, through technical assistant to local partners.</w:t>
            </w:r>
          </w:p>
          <w:p w14:paraId="4C378F25" w14:textId="2159A1D3" w:rsidR="004F7DB3" w:rsidRPr="00C535FE" w:rsidRDefault="645C0911" w:rsidP="51745E8D">
            <w:pPr>
              <w:spacing w:before="240" w:line="252" w:lineRule="auto"/>
              <w:contextualSpacing/>
              <w:jc w:val="both"/>
              <w:rPr>
                <w:color w:val="000000" w:themeColor="text1"/>
                <w:sz w:val="18"/>
                <w:szCs w:val="18"/>
                <w:lang w:val="en-US"/>
              </w:rPr>
            </w:pPr>
            <w:r w:rsidRPr="51745E8D">
              <w:rPr>
                <w:color w:val="000000" w:themeColor="text1"/>
                <w:sz w:val="18"/>
                <w:szCs w:val="18"/>
                <w:lang w:val="en-US"/>
              </w:rPr>
              <w:t>the African Development Bank (AfDB) has expressed strong interest in supporting Bamako’s sustainable urban transformation, with a particular focus on urban mobility and scalable financing mechanisms. The Bank has offered technical assistance to the Bamako District to support the preparation of a Bus Rapid Transit (BRT) project, while also emphasizing the importance of aligning urban transport solutions with broader goals of urban planning and decarbonization. In parallel, AfDB is advocating for the empowerment of local governments through improved municipal finance systems and access to its Urban and Municipal Development Fund, which includes project preparation facilities and small grant mechanisms. These efforts are highly synergistic with the IUDP in Bamako, which also prioritizes integrated mobility planning, climate action, and innovative financing. The collaboration creates a unique opportunity to coordinate investments in mass transport, enhance the financial autonomy of local authorities, and accelerate the scaling up of green infrastructure and urban resilience measures.</w:t>
            </w:r>
          </w:p>
          <w:p w14:paraId="000005FD" w14:textId="12ABF638" w:rsidR="004F7DB3" w:rsidRPr="00C535FE" w:rsidRDefault="004F7DB3" w:rsidP="51745E8D">
            <w:pPr>
              <w:spacing w:before="240" w:after="240" w:line="276" w:lineRule="auto"/>
              <w:jc w:val="both"/>
              <w:rPr>
                <w:sz w:val="18"/>
                <w:szCs w:val="18"/>
                <w:lang w:val="en-US"/>
              </w:rPr>
            </w:pPr>
          </w:p>
        </w:tc>
      </w:tr>
      <w:tr w:rsidR="004F7DB3" w:rsidRPr="00F50786" w14:paraId="04968B35" w14:textId="77777777" w:rsidTr="40E7FE84">
        <w:trPr>
          <w:trHeight w:val="1873"/>
          <w:jc w:val="center"/>
        </w:trPr>
        <w:tc>
          <w:tcPr>
            <w:tcW w:w="2982" w:type="dxa"/>
            <w:tcBorders>
              <w:top w:val="nil"/>
              <w:left w:val="single" w:sz="4" w:space="0" w:color="C9C9C9"/>
              <w:bottom w:val="single" w:sz="4" w:space="0" w:color="C9C9C9"/>
              <w:right w:val="single" w:sz="4" w:space="0" w:color="C9C9C9"/>
            </w:tcBorders>
            <w:tcMar>
              <w:top w:w="0" w:type="dxa"/>
              <w:left w:w="100" w:type="dxa"/>
              <w:bottom w:w="0" w:type="dxa"/>
              <w:right w:w="100" w:type="dxa"/>
            </w:tcMar>
          </w:tcPr>
          <w:p w14:paraId="000005FE" w14:textId="496DA872" w:rsidR="004F7DB3" w:rsidRDefault="369F6987" w:rsidP="51745E8D">
            <w:pPr>
              <w:spacing w:before="240" w:after="240" w:line="254" w:lineRule="auto"/>
              <w:jc w:val="both"/>
              <w:rPr>
                <w:b/>
                <w:bCs/>
                <w:sz w:val="18"/>
                <w:szCs w:val="18"/>
              </w:rPr>
            </w:pPr>
            <w:r w:rsidRPr="51745E8D">
              <w:rPr>
                <w:b/>
                <w:bCs/>
                <w:sz w:val="18"/>
                <w:szCs w:val="18"/>
              </w:rPr>
              <w:t>UN-</w:t>
            </w:r>
            <w:r w:rsidR="5BE43CB8" w:rsidRPr="51745E8D">
              <w:rPr>
                <w:b/>
                <w:bCs/>
                <w:sz w:val="18"/>
                <w:szCs w:val="18"/>
              </w:rPr>
              <w:t>HABITAT</w:t>
            </w:r>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00000600" w14:textId="590B0AE8" w:rsidR="004F7DB3" w:rsidRPr="00263D2C" w:rsidRDefault="29D57A18" w:rsidP="51745E8D">
            <w:pPr>
              <w:spacing w:before="240" w:after="240" w:line="254" w:lineRule="auto"/>
              <w:jc w:val="both"/>
              <w:rPr>
                <w:sz w:val="18"/>
                <w:szCs w:val="18"/>
                <w:lang w:val="en-US"/>
              </w:rPr>
            </w:pPr>
            <w:r w:rsidRPr="51745E8D">
              <w:rPr>
                <w:sz w:val="18"/>
                <w:szCs w:val="18"/>
                <w:lang w:val="en-US"/>
              </w:rPr>
              <w:t>UN-Habitat is the United Nations agency specialized in sustainable urbanization issues. In Mali, UN-Habitat has been present for several years, with an increasing role in supporting resilient urban development, urban poverty reduction and post-crisis reconstruction. Its main partners are the Ministry of Urban Planning and Housing, local authorities (city of Bamako), ONAV and local NGOs and community organizations.</w:t>
            </w:r>
          </w:p>
        </w:tc>
        <w:tc>
          <w:tcPr>
            <w:tcW w:w="4677" w:type="dxa"/>
            <w:tcBorders>
              <w:top w:val="nil"/>
              <w:left w:val="nil"/>
              <w:bottom w:val="single" w:sz="4" w:space="0" w:color="C9C9C9"/>
              <w:right w:val="single" w:sz="4" w:space="0" w:color="C9C9C9"/>
            </w:tcBorders>
            <w:tcMar>
              <w:top w:w="0" w:type="dxa"/>
              <w:left w:w="100" w:type="dxa"/>
              <w:bottom w:w="0" w:type="dxa"/>
              <w:right w:w="100" w:type="dxa"/>
            </w:tcMar>
          </w:tcPr>
          <w:p w14:paraId="00000601" w14:textId="37659569" w:rsidR="004F7DB3" w:rsidRPr="008141F7" w:rsidRDefault="3F276155" w:rsidP="40E7FE84">
            <w:pPr>
              <w:spacing w:before="240" w:after="240" w:line="254" w:lineRule="auto"/>
              <w:jc w:val="both"/>
              <w:rPr>
                <w:sz w:val="18"/>
                <w:szCs w:val="18"/>
                <w:lang w:val="en-US"/>
              </w:rPr>
            </w:pPr>
            <w:r w:rsidRPr="008141F7">
              <w:rPr>
                <w:sz w:val="18"/>
                <w:szCs w:val="18"/>
                <w:lang w:val="en-US"/>
              </w:rPr>
              <w:t>Can contribute mainly to component 1.</w:t>
            </w:r>
            <w:r w:rsidR="3F07B30B" w:rsidRPr="008141F7">
              <w:rPr>
                <w:sz w:val="18"/>
                <w:szCs w:val="18"/>
                <w:lang w:val="en-US"/>
              </w:rPr>
              <w:t xml:space="preserve"> </w:t>
            </w:r>
            <w:proofErr w:type="spellStart"/>
            <w:r w:rsidR="3F07B30B" w:rsidRPr="008141F7">
              <w:rPr>
                <w:color w:val="000000" w:themeColor="text1"/>
                <w:sz w:val="18"/>
                <w:szCs w:val="18"/>
                <w:lang w:val="en-US"/>
              </w:rPr>
              <w:t>ontribute</w:t>
            </w:r>
            <w:proofErr w:type="spellEnd"/>
            <w:r w:rsidR="3F07B30B" w:rsidRPr="008141F7">
              <w:rPr>
                <w:color w:val="000000" w:themeColor="text1"/>
                <w:sz w:val="18"/>
                <w:szCs w:val="18"/>
                <w:lang w:val="en-US"/>
              </w:rPr>
              <w:t xml:space="preserve"> to implementation of component 1</w:t>
            </w:r>
            <w:proofErr w:type="gramStart"/>
            <w:r w:rsidR="3F07B30B" w:rsidRPr="008141F7">
              <w:rPr>
                <w:b/>
                <w:bCs/>
                <w:color w:val="000000" w:themeColor="text1"/>
                <w:sz w:val="18"/>
                <w:szCs w:val="18"/>
                <w:lang w:val="en-US"/>
              </w:rPr>
              <w:t>.</w:t>
            </w:r>
            <w:r w:rsidR="3F07B30B" w:rsidRPr="008141F7">
              <w:rPr>
                <w:color w:val="000000" w:themeColor="text1"/>
                <w:sz w:val="18"/>
                <w:szCs w:val="18"/>
                <w:lang w:val="en-US"/>
              </w:rPr>
              <w:t xml:space="preserve"> .</w:t>
            </w:r>
            <w:proofErr w:type="gramEnd"/>
            <w:r w:rsidR="3F07B30B" w:rsidRPr="008141F7">
              <w:rPr>
                <w:color w:val="000000" w:themeColor="text1"/>
                <w:sz w:val="18"/>
                <w:szCs w:val="18"/>
                <w:lang w:val="en-US"/>
              </w:rPr>
              <w:t> Currently UNHABITAT provides key support to the evaluation of the national policy on sustainable cities. As the IUDP in Bamako will work on updating this policy collaboration and coordination with UNHABITAT is essential in conducting this activity.</w:t>
            </w:r>
          </w:p>
        </w:tc>
      </w:tr>
      <w:tr w:rsidR="51745E8D" w:rsidRPr="00F50786" w14:paraId="182874A6" w14:textId="77777777" w:rsidTr="40E7FE84">
        <w:trPr>
          <w:trHeight w:val="300"/>
          <w:jc w:val="center"/>
        </w:trPr>
        <w:tc>
          <w:tcPr>
            <w:tcW w:w="2982" w:type="dxa"/>
            <w:tcBorders>
              <w:top w:val="nil"/>
              <w:left w:val="single" w:sz="4" w:space="0" w:color="C9C9C9"/>
              <w:bottom w:val="single" w:sz="4" w:space="0" w:color="C9C9C9"/>
              <w:right w:val="single" w:sz="4" w:space="0" w:color="C9C9C9"/>
            </w:tcBorders>
            <w:tcMar>
              <w:top w:w="0" w:type="dxa"/>
              <w:left w:w="100" w:type="dxa"/>
              <w:bottom w:w="0" w:type="dxa"/>
              <w:right w:w="100" w:type="dxa"/>
            </w:tcMar>
          </w:tcPr>
          <w:p w14:paraId="04BCEFE3" w14:textId="2B982736" w:rsidR="51745E8D" w:rsidRPr="00C535FE" w:rsidRDefault="51745E8D" w:rsidP="51745E8D">
            <w:pPr>
              <w:spacing w:before="240" w:after="240" w:line="254" w:lineRule="auto"/>
              <w:jc w:val="both"/>
              <w:rPr>
                <w:b/>
                <w:bCs/>
                <w:sz w:val="18"/>
                <w:szCs w:val="18"/>
                <w:lang w:val="en-US"/>
              </w:rPr>
            </w:pPr>
            <w:r w:rsidRPr="00C535FE">
              <w:rPr>
                <w:b/>
                <w:bCs/>
                <w:sz w:val="18"/>
                <w:szCs w:val="18"/>
                <w:lang w:val="en-US"/>
              </w:rPr>
              <w:lastRenderedPageBreak/>
              <w:t>Food and Agriculture Organization/FAO</w:t>
            </w:r>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17073C7C" w14:textId="77777777" w:rsidR="51745E8D" w:rsidRDefault="51745E8D" w:rsidP="51745E8D">
            <w:pPr>
              <w:spacing w:before="240" w:after="240" w:line="254" w:lineRule="auto"/>
              <w:jc w:val="both"/>
              <w:rPr>
                <w:sz w:val="18"/>
                <w:szCs w:val="18"/>
                <w:lang w:val="en-US"/>
              </w:rPr>
            </w:pPr>
            <w:r w:rsidRPr="51745E8D">
              <w:rPr>
                <w:sz w:val="18"/>
                <w:szCs w:val="18"/>
                <w:lang w:val="en-US"/>
              </w:rPr>
              <w:t xml:space="preserve">Supports actors in the </w:t>
            </w:r>
            <w:proofErr w:type="spellStart"/>
            <w:r w:rsidRPr="51745E8D">
              <w:rPr>
                <w:sz w:val="18"/>
                <w:szCs w:val="18"/>
                <w:lang w:val="en-US"/>
              </w:rPr>
              <w:t>agro</w:t>
            </w:r>
            <w:proofErr w:type="spellEnd"/>
            <w:r w:rsidRPr="51745E8D">
              <w:rPr>
                <w:sz w:val="18"/>
                <w:szCs w:val="18"/>
                <w:lang w:val="en-US"/>
              </w:rPr>
              <w:t>-</w:t>
            </w:r>
            <w:proofErr w:type="spellStart"/>
            <w:r w:rsidRPr="51745E8D">
              <w:rPr>
                <w:sz w:val="18"/>
                <w:szCs w:val="18"/>
                <w:lang w:val="en-US"/>
              </w:rPr>
              <w:t>sylvo</w:t>
            </w:r>
            <w:proofErr w:type="spellEnd"/>
            <w:r w:rsidRPr="51745E8D">
              <w:rPr>
                <w:sz w:val="18"/>
                <w:szCs w:val="18"/>
                <w:lang w:val="en-US"/>
              </w:rPr>
              <w:t>-pastoral development chain, particularly in irrigation, livestock, agriculture, production and conservation of market garden products.</w:t>
            </w:r>
          </w:p>
        </w:tc>
        <w:tc>
          <w:tcPr>
            <w:tcW w:w="4677" w:type="dxa"/>
            <w:tcBorders>
              <w:top w:val="nil"/>
              <w:left w:val="nil"/>
              <w:bottom w:val="single" w:sz="4" w:space="0" w:color="C9C9C9"/>
              <w:right w:val="single" w:sz="4" w:space="0" w:color="C9C9C9"/>
            </w:tcBorders>
            <w:tcMar>
              <w:top w:w="0" w:type="dxa"/>
              <w:left w:w="100" w:type="dxa"/>
              <w:bottom w:w="0" w:type="dxa"/>
              <w:right w:w="100" w:type="dxa"/>
            </w:tcMar>
          </w:tcPr>
          <w:p w14:paraId="069F7409" w14:textId="31404DA9" w:rsidR="51745E8D" w:rsidRDefault="6328F077" w:rsidP="51745E8D">
            <w:pPr>
              <w:spacing w:before="240" w:after="240" w:line="254" w:lineRule="auto"/>
              <w:jc w:val="both"/>
              <w:rPr>
                <w:sz w:val="18"/>
                <w:szCs w:val="18"/>
                <w:lang w:val="en-US"/>
              </w:rPr>
            </w:pPr>
            <w:r w:rsidRPr="3D58A386">
              <w:rPr>
                <w:sz w:val="18"/>
                <w:szCs w:val="18"/>
                <w:lang w:val="en-US"/>
              </w:rPr>
              <w:t xml:space="preserve">Collaboration and coordination </w:t>
            </w:r>
            <w:proofErr w:type="spellStart"/>
            <w:r w:rsidR="780FF8E9" w:rsidRPr="3D58A386">
              <w:rPr>
                <w:sz w:val="18"/>
                <w:szCs w:val="18"/>
                <w:lang w:val="en-US"/>
              </w:rPr>
              <w:t>my</w:t>
            </w:r>
            <w:proofErr w:type="spellEnd"/>
            <w:r w:rsidR="780FF8E9" w:rsidRPr="3D58A386">
              <w:rPr>
                <w:sz w:val="18"/>
                <w:szCs w:val="18"/>
                <w:lang w:val="en-US"/>
              </w:rPr>
              <w:t xml:space="preserve"> be in</w:t>
            </w:r>
            <w:r w:rsidRPr="3D58A386">
              <w:rPr>
                <w:sz w:val="18"/>
                <w:szCs w:val="18"/>
                <w:lang w:val="en-US"/>
              </w:rPr>
              <w:t xml:space="preserve"> the </w:t>
            </w:r>
            <w:r w:rsidR="073F520C" w:rsidRPr="3D58A386">
              <w:rPr>
                <w:sz w:val="18"/>
                <w:szCs w:val="18"/>
                <w:lang w:val="en-US"/>
              </w:rPr>
              <w:t xml:space="preserve">framework </w:t>
            </w:r>
            <w:r w:rsidRPr="3D58A386">
              <w:rPr>
                <w:sz w:val="18"/>
                <w:szCs w:val="18"/>
                <w:lang w:val="en-US"/>
              </w:rPr>
              <w:t xml:space="preserve">component 3  </w:t>
            </w:r>
          </w:p>
        </w:tc>
      </w:tr>
      <w:tr w:rsidR="51745E8D" w:rsidRPr="00F50786" w14:paraId="1E6FD59A" w14:textId="77777777" w:rsidTr="40E7FE84">
        <w:trPr>
          <w:trHeight w:val="300"/>
          <w:jc w:val="center"/>
        </w:trPr>
        <w:tc>
          <w:tcPr>
            <w:tcW w:w="2982" w:type="dxa"/>
            <w:tcBorders>
              <w:top w:val="nil"/>
              <w:left w:val="single" w:sz="4" w:space="0" w:color="C9C9C9"/>
              <w:bottom w:val="single" w:sz="4" w:space="0" w:color="C9C9C9"/>
              <w:right w:val="single" w:sz="4" w:space="0" w:color="C9C9C9"/>
            </w:tcBorders>
            <w:tcMar>
              <w:top w:w="0" w:type="dxa"/>
              <w:left w:w="100" w:type="dxa"/>
              <w:bottom w:w="0" w:type="dxa"/>
              <w:right w:w="100" w:type="dxa"/>
            </w:tcMar>
          </w:tcPr>
          <w:p w14:paraId="14D80188" w14:textId="4589A343" w:rsidR="1B343F85" w:rsidRDefault="1B343F85" w:rsidP="51745E8D">
            <w:pPr>
              <w:spacing w:line="252" w:lineRule="auto"/>
              <w:contextualSpacing/>
              <w:jc w:val="both"/>
              <w:rPr>
                <w:sz w:val="18"/>
                <w:szCs w:val="18"/>
                <w:lang w:val="en-US"/>
              </w:rPr>
            </w:pPr>
            <w:r w:rsidRPr="51745E8D">
              <w:rPr>
                <w:b/>
                <w:bCs/>
                <w:color w:val="000000" w:themeColor="text1"/>
                <w:sz w:val="18"/>
                <w:szCs w:val="18"/>
              </w:rPr>
              <w:t>UNDP Global/Mali</w:t>
            </w:r>
          </w:p>
          <w:p w14:paraId="0C3E995E" w14:textId="16915D23" w:rsidR="51745E8D" w:rsidRDefault="51745E8D" w:rsidP="51745E8D">
            <w:pPr>
              <w:spacing w:line="254" w:lineRule="auto"/>
              <w:jc w:val="both"/>
              <w:rPr>
                <w:b/>
                <w:bCs/>
                <w:sz w:val="18"/>
                <w:szCs w:val="18"/>
                <w:lang w:val="en-US"/>
              </w:rPr>
            </w:pPr>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0C520D6D" w14:textId="1FF02A58" w:rsidR="51745E8D" w:rsidRPr="00C535FE" w:rsidRDefault="51745E8D" w:rsidP="51745E8D">
            <w:pPr>
              <w:spacing w:line="252" w:lineRule="auto"/>
              <w:contextualSpacing/>
              <w:jc w:val="both"/>
              <w:rPr>
                <w:color w:val="000000" w:themeColor="text1"/>
                <w:sz w:val="18"/>
                <w:szCs w:val="18"/>
                <w:lang w:val="en-US"/>
              </w:rPr>
            </w:pPr>
            <w:r w:rsidRPr="51745E8D">
              <w:rPr>
                <w:color w:val="000000" w:themeColor="text1"/>
                <w:sz w:val="18"/>
                <w:szCs w:val="18"/>
                <w:lang w:val="en-US"/>
              </w:rPr>
              <w:t>The Biodiversity Finance Initiative (BIOFIN), funded by the Global Environment Facility (GEF), aims to close the biodiversity financing gap through a multisectoral and evidence-based approach. In Mali, the program is designed to establish a robust baseline, quantify national biodiversity financing needs, and develop financing strategies aligned with the Kunming-Montreal Global Biodiversity Framework. It focuses on institutionalizing biodiversity financing within public budgeting systems and strengthening technical and institutional capacities. The program is structured around five key components, including the formulation of a National Biodiversity Financing Plan and the design of a portfolio of priority financing solutions supported by business cases and implementation pathways.</w:t>
            </w:r>
          </w:p>
        </w:tc>
        <w:tc>
          <w:tcPr>
            <w:tcW w:w="4677" w:type="dxa"/>
            <w:tcBorders>
              <w:top w:val="nil"/>
              <w:left w:val="nil"/>
              <w:bottom w:val="single" w:sz="4" w:space="0" w:color="C9C9C9"/>
              <w:right w:val="single" w:sz="4" w:space="0" w:color="C9C9C9"/>
            </w:tcBorders>
            <w:tcMar>
              <w:top w:w="0" w:type="dxa"/>
              <w:left w:w="100" w:type="dxa"/>
              <w:bottom w:w="0" w:type="dxa"/>
              <w:right w:w="100" w:type="dxa"/>
            </w:tcMar>
          </w:tcPr>
          <w:p w14:paraId="0A4D4E36" w14:textId="0AF01BF9" w:rsidR="51745E8D" w:rsidRPr="00C535FE" w:rsidRDefault="6328F077" w:rsidP="51745E8D">
            <w:pPr>
              <w:spacing w:line="252" w:lineRule="auto"/>
              <w:contextualSpacing/>
              <w:jc w:val="both"/>
              <w:rPr>
                <w:color w:val="000000" w:themeColor="text1"/>
                <w:sz w:val="18"/>
                <w:szCs w:val="18"/>
                <w:lang w:val="en-US"/>
              </w:rPr>
            </w:pPr>
            <w:r w:rsidRPr="3D58A386">
              <w:rPr>
                <w:color w:val="000000" w:themeColor="text1"/>
                <w:sz w:val="18"/>
                <w:szCs w:val="18"/>
                <w:lang w:val="en-US"/>
              </w:rPr>
              <w:t>This project will contribute directly to the sustainability of Green Belt (component 3</w:t>
            </w:r>
            <w:proofErr w:type="gramStart"/>
            <w:r w:rsidRPr="3D58A386">
              <w:rPr>
                <w:color w:val="000000" w:themeColor="text1"/>
                <w:sz w:val="18"/>
                <w:szCs w:val="18"/>
                <w:lang w:val="en-US"/>
              </w:rPr>
              <w:t>)  mainly</w:t>
            </w:r>
            <w:proofErr w:type="gramEnd"/>
            <w:r w:rsidRPr="3D58A386">
              <w:rPr>
                <w:color w:val="000000" w:themeColor="text1"/>
                <w:sz w:val="18"/>
                <w:szCs w:val="18"/>
                <w:lang w:val="en-US"/>
              </w:rPr>
              <w:t xml:space="preserve"> through collaboration in the Activity 3.1.1.4 Develop a financing plan for the Bamako green belt (BIOFIN) </w:t>
            </w:r>
            <w:r w:rsidR="1BB86AA0" w:rsidRPr="3D58A386">
              <w:rPr>
                <w:color w:val="000000" w:themeColor="text1"/>
                <w:sz w:val="18"/>
                <w:szCs w:val="18"/>
                <w:lang w:val="en-US"/>
              </w:rPr>
              <w:t>and setting</w:t>
            </w:r>
            <w:r w:rsidRPr="3D58A386">
              <w:rPr>
                <w:color w:val="000000" w:themeColor="text1"/>
                <w:sz w:val="18"/>
                <w:szCs w:val="18"/>
                <w:lang w:val="en-US"/>
              </w:rPr>
              <w:t xml:space="preserve"> up a multi-stakeholder technical committee to monitor the green belt. </w:t>
            </w:r>
          </w:p>
          <w:p w14:paraId="6F153BD8" w14:textId="59D7C5D7" w:rsidR="51745E8D" w:rsidRPr="00C535FE" w:rsidRDefault="282E1EAF" w:rsidP="51745E8D">
            <w:pPr>
              <w:spacing w:line="252" w:lineRule="auto"/>
              <w:contextualSpacing/>
              <w:jc w:val="both"/>
              <w:rPr>
                <w:color w:val="000000" w:themeColor="text1"/>
                <w:sz w:val="18"/>
                <w:szCs w:val="18"/>
                <w:lang w:val="en-US"/>
              </w:rPr>
            </w:pPr>
            <w:r w:rsidRPr="537FA187">
              <w:rPr>
                <w:color w:val="000000" w:themeColor="text1"/>
                <w:sz w:val="18"/>
                <w:szCs w:val="18"/>
                <w:lang w:val="en-US"/>
              </w:rPr>
              <w:t>Implementation in Mali is expected to begin by the end of 2025, IUDP in Bamako will proactively collaborate with the BIOFIN Mali team to co-develop a financial and ecological sustainability plan for the city’s green belt (component 3). This will apply BIOFIN’s methodology—adapted to Bamako’s context—drawing on successful international experiences (e.g., Mexico City, Jalisco, and Negros in the Philippines). The collaboration will identify viable financing mechanisms, strengthen local capacity, and ensure that biodiversity is effectively integrated into urban planning and budgeting frameworks</w:t>
            </w:r>
          </w:p>
        </w:tc>
      </w:tr>
      <w:tr w:rsidR="51745E8D" w:rsidRPr="00F50786" w14:paraId="690DEC45" w14:textId="77777777" w:rsidTr="40E7FE84">
        <w:trPr>
          <w:trHeight w:val="300"/>
          <w:jc w:val="center"/>
        </w:trPr>
        <w:tc>
          <w:tcPr>
            <w:tcW w:w="2982" w:type="dxa"/>
            <w:tcBorders>
              <w:top w:val="nil"/>
              <w:left w:val="single" w:sz="4" w:space="0" w:color="C9C9C9"/>
              <w:bottom w:val="single" w:sz="4" w:space="0" w:color="C9C9C9"/>
              <w:right w:val="single" w:sz="4" w:space="0" w:color="C9C9C9"/>
            </w:tcBorders>
            <w:tcMar>
              <w:top w:w="0" w:type="dxa"/>
              <w:left w:w="100" w:type="dxa"/>
              <w:bottom w:w="0" w:type="dxa"/>
              <w:right w:w="100" w:type="dxa"/>
            </w:tcMar>
          </w:tcPr>
          <w:p w14:paraId="2E353425" w14:textId="33213691" w:rsidR="1B343F85" w:rsidRDefault="1B343F85" w:rsidP="51745E8D">
            <w:pPr>
              <w:spacing w:line="252" w:lineRule="auto"/>
              <w:contextualSpacing/>
              <w:jc w:val="both"/>
              <w:rPr>
                <w:sz w:val="18"/>
                <w:szCs w:val="18"/>
              </w:rPr>
            </w:pPr>
            <w:r w:rsidRPr="51745E8D">
              <w:rPr>
                <w:b/>
                <w:bCs/>
                <w:color w:val="000000" w:themeColor="text1"/>
                <w:sz w:val="18"/>
                <w:szCs w:val="18"/>
                <w:lang w:val="en-US"/>
              </w:rPr>
              <w:t>UNDP Mali</w:t>
            </w:r>
          </w:p>
          <w:p w14:paraId="0162A6C8" w14:textId="19A1BBA8" w:rsidR="51745E8D" w:rsidRDefault="51745E8D" w:rsidP="51745E8D">
            <w:pPr>
              <w:spacing w:line="252" w:lineRule="auto"/>
              <w:jc w:val="both"/>
              <w:rPr>
                <w:b/>
                <w:bCs/>
                <w:color w:val="000000" w:themeColor="text1"/>
                <w:sz w:val="18"/>
                <w:szCs w:val="18"/>
              </w:rPr>
            </w:pPr>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55BA12A3" w14:textId="58A6B5C6" w:rsidR="51745E8D" w:rsidRPr="00C535FE" w:rsidRDefault="51745E8D" w:rsidP="51745E8D">
            <w:pPr>
              <w:spacing w:line="252" w:lineRule="auto"/>
              <w:contextualSpacing/>
              <w:jc w:val="both"/>
              <w:rPr>
                <w:color w:val="000000" w:themeColor="text1"/>
                <w:sz w:val="18"/>
                <w:szCs w:val="18"/>
                <w:lang w:val="en-US"/>
              </w:rPr>
            </w:pPr>
            <w:r w:rsidRPr="51745E8D">
              <w:rPr>
                <w:color w:val="000000" w:themeColor="text1"/>
                <w:sz w:val="18"/>
                <w:szCs w:val="18"/>
                <w:lang w:val="en-US"/>
              </w:rPr>
              <w:t>As part of the UNDP-supported, GEF-funded African Mini-Grids Program (AMGP), this project aims to expand access to clean, affordable, and reliable energy in Mali by enhancing the financial viability of renewable energy (RE) mini-grids and promoting larger-scale commercial investments. The project focuses on cost-reduction levers and innovative business models to make mini-grids more sustainable and scalable.</w:t>
            </w:r>
          </w:p>
        </w:tc>
        <w:tc>
          <w:tcPr>
            <w:tcW w:w="4677" w:type="dxa"/>
            <w:tcBorders>
              <w:top w:val="nil"/>
              <w:left w:val="nil"/>
              <w:bottom w:val="single" w:sz="4" w:space="0" w:color="C9C9C9"/>
              <w:right w:val="single" w:sz="4" w:space="0" w:color="C9C9C9"/>
            </w:tcBorders>
            <w:tcMar>
              <w:top w:w="0" w:type="dxa"/>
              <w:left w:w="100" w:type="dxa"/>
              <w:bottom w:w="0" w:type="dxa"/>
              <w:right w:w="100" w:type="dxa"/>
            </w:tcMar>
          </w:tcPr>
          <w:p w14:paraId="671F560B" w14:textId="41ECB19A" w:rsidR="21D63CE8" w:rsidRDefault="21D63CE8" w:rsidP="51745E8D">
            <w:pPr>
              <w:spacing w:line="252" w:lineRule="auto"/>
              <w:contextualSpacing/>
              <w:jc w:val="both"/>
              <w:rPr>
                <w:color w:val="000000" w:themeColor="text1"/>
                <w:sz w:val="18"/>
                <w:szCs w:val="18"/>
                <w:lang w:val="en-US"/>
              </w:rPr>
            </w:pPr>
            <w:r w:rsidRPr="51745E8D">
              <w:rPr>
                <w:color w:val="000000" w:themeColor="text1"/>
                <w:sz w:val="18"/>
                <w:szCs w:val="18"/>
                <w:lang w:val="en-US"/>
              </w:rPr>
              <w:t xml:space="preserve">Coordination of activities within components 1 and 2. </w:t>
            </w:r>
          </w:p>
          <w:p w14:paraId="674C4F41" w14:textId="21FC7614" w:rsidR="51745E8D" w:rsidRDefault="51745E8D" w:rsidP="51745E8D">
            <w:pPr>
              <w:spacing w:line="252" w:lineRule="auto"/>
              <w:contextualSpacing/>
              <w:jc w:val="both"/>
              <w:rPr>
                <w:color w:val="000000" w:themeColor="text1"/>
                <w:sz w:val="18"/>
                <w:szCs w:val="18"/>
                <w:lang w:val="en-US"/>
              </w:rPr>
            </w:pPr>
          </w:p>
          <w:p w14:paraId="7043A16E" w14:textId="3CF9DDE7" w:rsidR="51745E8D" w:rsidRPr="00C535FE" w:rsidRDefault="51745E8D" w:rsidP="51745E8D">
            <w:pPr>
              <w:spacing w:line="252" w:lineRule="auto"/>
              <w:contextualSpacing/>
              <w:jc w:val="both"/>
              <w:rPr>
                <w:color w:val="000000" w:themeColor="text1"/>
                <w:sz w:val="18"/>
                <w:szCs w:val="18"/>
                <w:lang w:val="en-US"/>
              </w:rPr>
            </w:pPr>
            <w:r w:rsidRPr="51745E8D">
              <w:rPr>
                <w:color w:val="000000" w:themeColor="text1"/>
                <w:sz w:val="18"/>
                <w:szCs w:val="18"/>
                <w:lang w:val="en-US"/>
              </w:rPr>
              <w:t>Even though the two projects (IUDP in Bamako and AMP) do not currently share pilot zones, there is strong strategic synergy between them, particularly around the shared goals of green, inclusive, and resilient development. One of the most pressing challenges in Mali is access to electricity—an issue both projects address from complementary angles.</w:t>
            </w:r>
          </w:p>
          <w:p w14:paraId="17CB75B0" w14:textId="513C092C" w:rsidR="51745E8D" w:rsidRPr="00C535FE" w:rsidRDefault="51745E8D" w:rsidP="51745E8D">
            <w:pPr>
              <w:spacing w:line="252" w:lineRule="auto"/>
              <w:contextualSpacing/>
              <w:jc w:val="both"/>
              <w:rPr>
                <w:color w:val="000000" w:themeColor="text1"/>
                <w:sz w:val="18"/>
                <w:szCs w:val="18"/>
                <w:lang w:val="en-US"/>
              </w:rPr>
            </w:pPr>
            <w:r w:rsidRPr="51745E8D">
              <w:rPr>
                <w:color w:val="000000" w:themeColor="text1"/>
                <w:sz w:val="18"/>
                <w:szCs w:val="18"/>
                <w:lang w:val="en-US"/>
              </w:rPr>
              <w:t>Key Synergies and Opportunities for Coordination could be under component 1 and 2:</w:t>
            </w:r>
          </w:p>
          <w:p w14:paraId="29B38BE5" w14:textId="45CDB47A" w:rsidR="51745E8D" w:rsidRPr="00C535FE" w:rsidRDefault="282E1EAF" w:rsidP="001360BB">
            <w:pPr>
              <w:pStyle w:val="Paragraphedeliste"/>
              <w:numPr>
                <w:ilvl w:val="0"/>
                <w:numId w:val="84"/>
              </w:numPr>
              <w:spacing w:line="252" w:lineRule="auto"/>
              <w:jc w:val="both"/>
              <w:rPr>
                <w:color w:val="000000" w:themeColor="text1"/>
                <w:sz w:val="18"/>
                <w:szCs w:val="18"/>
                <w:lang w:val="en-US"/>
              </w:rPr>
            </w:pPr>
            <w:r w:rsidRPr="537FA187">
              <w:rPr>
                <w:color w:val="000000" w:themeColor="text1"/>
                <w:sz w:val="18"/>
                <w:szCs w:val="18"/>
                <w:lang w:val="en-US"/>
              </w:rPr>
              <w:t>Electricity Access and Regulatory Frameworks</w:t>
            </w:r>
            <w:r w:rsidR="51745E8D" w:rsidRPr="00B607C9">
              <w:rPr>
                <w:lang w:val="en-US"/>
              </w:rPr>
              <w:br/>
            </w:r>
            <w:r w:rsidRPr="537FA187">
              <w:rPr>
                <w:color w:val="000000" w:themeColor="text1"/>
                <w:sz w:val="18"/>
                <w:szCs w:val="18"/>
                <w:lang w:val="en-US"/>
              </w:rPr>
              <w:t xml:space="preserve">The AMP project focuses on improving the institutional and regulatory environment for </w:t>
            </w:r>
            <w:r w:rsidRPr="537FA187">
              <w:rPr>
                <w:color w:val="000000" w:themeColor="text1"/>
                <w:sz w:val="18"/>
                <w:szCs w:val="18"/>
                <w:lang w:val="en-US"/>
              </w:rPr>
              <w:lastRenderedPageBreak/>
              <w:t>renewable energy and electricity access across Mali. These reforms are highly relevant for Bamako’s transition to electric vehicles (EVs) and sustainable urban transport. The IUDP can directly benefit from AMP’s policy and regulatory advancements to support clean energy solutions in an urban context.</w:t>
            </w:r>
          </w:p>
          <w:p w14:paraId="3985489A" w14:textId="192FB7F0" w:rsidR="51745E8D" w:rsidRPr="00C535FE" w:rsidRDefault="51745E8D" w:rsidP="001360BB">
            <w:pPr>
              <w:pStyle w:val="Paragraphedeliste"/>
              <w:numPr>
                <w:ilvl w:val="0"/>
                <w:numId w:val="84"/>
              </w:numPr>
              <w:spacing w:line="252" w:lineRule="auto"/>
              <w:jc w:val="both"/>
              <w:rPr>
                <w:color w:val="000000" w:themeColor="text1"/>
                <w:sz w:val="18"/>
                <w:szCs w:val="18"/>
                <w:lang w:val="en-US"/>
              </w:rPr>
            </w:pPr>
            <w:r w:rsidRPr="51745E8D">
              <w:rPr>
                <w:color w:val="000000" w:themeColor="text1"/>
                <w:sz w:val="18"/>
                <w:szCs w:val="18"/>
                <w:lang w:val="en-US"/>
              </w:rPr>
              <w:t>Integrated Infrastructure and Services</w:t>
            </w:r>
            <w:r w:rsidRPr="00C535FE">
              <w:rPr>
                <w:lang w:val="en-US"/>
              </w:rPr>
              <w:br/>
            </w:r>
            <w:r w:rsidRPr="51745E8D">
              <w:rPr>
                <w:color w:val="000000" w:themeColor="text1"/>
                <w:sz w:val="18"/>
                <w:szCs w:val="18"/>
                <w:lang w:val="en-US"/>
              </w:rPr>
              <w:t>There is strong potential for coordination around:</w:t>
            </w:r>
          </w:p>
          <w:p w14:paraId="0BAB037C" w14:textId="7667C7B2" w:rsidR="51745E8D" w:rsidRPr="00C535FE" w:rsidRDefault="51745E8D" w:rsidP="001360BB">
            <w:pPr>
              <w:pStyle w:val="Paragraphedeliste"/>
              <w:numPr>
                <w:ilvl w:val="1"/>
                <w:numId w:val="84"/>
              </w:numPr>
              <w:spacing w:line="252" w:lineRule="auto"/>
              <w:jc w:val="both"/>
              <w:rPr>
                <w:color w:val="000000" w:themeColor="text1"/>
                <w:sz w:val="18"/>
                <w:szCs w:val="18"/>
                <w:lang w:val="en-US"/>
              </w:rPr>
            </w:pPr>
            <w:r w:rsidRPr="51745E8D">
              <w:rPr>
                <w:color w:val="000000" w:themeColor="text1"/>
                <w:sz w:val="18"/>
                <w:szCs w:val="18"/>
                <w:lang w:val="en-US"/>
              </w:rPr>
              <w:t>Integrated platforms combining energy and urban services</w:t>
            </w:r>
          </w:p>
          <w:p w14:paraId="5554B58C" w14:textId="38992212" w:rsidR="51745E8D" w:rsidRPr="00C535FE" w:rsidRDefault="51745E8D" w:rsidP="001360BB">
            <w:pPr>
              <w:pStyle w:val="Paragraphedeliste"/>
              <w:numPr>
                <w:ilvl w:val="1"/>
                <w:numId w:val="84"/>
              </w:numPr>
              <w:spacing w:line="252" w:lineRule="auto"/>
              <w:jc w:val="both"/>
              <w:rPr>
                <w:color w:val="000000" w:themeColor="text1"/>
                <w:sz w:val="18"/>
                <w:szCs w:val="18"/>
                <w:lang w:val="en-US"/>
              </w:rPr>
            </w:pPr>
            <w:r w:rsidRPr="51745E8D">
              <w:rPr>
                <w:color w:val="000000" w:themeColor="text1"/>
                <w:sz w:val="18"/>
                <w:szCs w:val="18"/>
                <w:lang w:val="en-US"/>
              </w:rPr>
              <w:t>Co-design of sustainable infrastructure models</w:t>
            </w:r>
          </w:p>
          <w:p w14:paraId="6C3B2719" w14:textId="70253147" w:rsidR="51745E8D" w:rsidRPr="00C535FE" w:rsidRDefault="51745E8D" w:rsidP="001360BB">
            <w:pPr>
              <w:pStyle w:val="Paragraphedeliste"/>
              <w:numPr>
                <w:ilvl w:val="1"/>
                <w:numId w:val="84"/>
              </w:numPr>
              <w:spacing w:line="252" w:lineRule="auto"/>
              <w:jc w:val="both"/>
              <w:rPr>
                <w:color w:val="000000" w:themeColor="text1"/>
                <w:sz w:val="18"/>
                <w:szCs w:val="18"/>
                <w:lang w:val="en-US"/>
              </w:rPr>
            </w:pPr>
            <w:r w:rsidRPr="51745E8D">
              <w:rPr>
                <w:color w:val="000000" w:themeColor="text1"/>
                <w:sz w:val="18"/>
                <w:szCs w:val="18"/>
                <w:lang w:val="en-US"/>
              </w:rPr>
              <w:t>Solar-powered charging hubs to support e-mobility in Bamako</w:t>
            </w:r>
          </w:p>
          <w:p w14:paraId="6DBD771D" w14:textId="233B395C" w:rsidR="51745E8D" w:rsidRPr="00C535FE" w:rsidRDefault="51745E8D" w:rsidP="001360BB">
            <w:pPr>
              <w:pStyle w:val="Paragraphedeliste"/>
              <w:numPr>
                <w:ilvl w:val="1"/>
                <w:numId w:val="84"/>
              </w:numPr>
              <w:spacing w:line="252" w:lineRule="auto"/>
              <w:jc w:val="both"/>
              <w:rPr>
                <w:color w:val="000000" w:themeColor="text1"/>
                <w:sz w:val="18"/>
                <w:szCs w:val="18"/>
                <w:lang w:val="en-US"/>
              </w:rPr>
            </w:pPr>
            <w:r w:rsidRPr="51745E8D">
              <w:rPr>
                <w:color w:val="000000" w:themeColor="text1"/>
                <w:sz w:val="18"/>
                <w:szCs w:val="18"/>
                <w:lang w:val="en-US"/>
              </w:rPr>
              <w:t>Digital innovation, including the IUDP’s planned digital information window for the private sector and hackathons on sustainable urban services</w:t>
            </w:r>
          </w:p>
          <w:p w14:paraId="6C1F1C16" w14:textId="58CD438B" w:rsidR="51745E8D" w:rsidRDefault="51745E8D" w:rsidP="001360BB">
            <w:pPr>
              <w:pStyle w:val="Paragraphedeliste"/>
              <w:numPr>
                <w:ilvl w:val="0"/>
                <w:numId w:val="84"/>
              </w:numPr>
              <w:spacing w:line="252" w:lineRule="auto"/>
              <w:rPr>
                <w:color w:val="000000" w:themeColor="text1"/>
                <w:sz w:val="18"/>
                <w:szCs w:val="18"/>
              </w:rPr>
            </w:pPr>
            <w:r w:rsidRPr="51745E8D">
              <w:rPr>
                <w:color w:val="000000" w:themeColor="text1"/>
                <w:sz w:val="18"/>
                <w:szCs w:val="18"/>
                <w:lang w:val="en-US"/>
              </w:rPr>
              <w:t>Support to Green Entrepreneurship and Women-Led Businesses</w:t>
            </w:r>
            <w:r w:rsidRPr="00C535FE">
              <w:rPr>
                <w:lang w:val="en-US"/>
              </w:rPr>
              <w:br/>
            </w:r>
            <w:r w:rsidRPr="51745E8D">
              <w:rPr>
                <w:color w:val="000000" w:themeColor="text1"/>
                <w:sz w:val="18"/>
                <w:szCs w:val="18"/>
                <w:lang w:val="en-US"/>
              </w:rPr>
              <w:t xml:space="preserve">Both projects promote green SMEs and inclusive business models. </w:t>
            </w:r>
            <w:r w:rsidRPr="51745E8D">
              <w:rPr>
                <w:color w:val="000000" w:themeColor="text1"/>
                <w:sz w:val="18"/>
                <w:szCs w:val="18"/>
              </w:rPr>
              <w:t xml:space="preserve">Joint efforts </w:t>
            </w:r>
            <w:proofErr w:type="spellStart"/>
            <w:proofErr w:type="gramStart"/>
            <w:r w:rsidRPr="51745E8D">
              <w:rPr>
                <w:color w:val="000000" w:themeColor="text1"/>
                <w:sz w:val="18"/>
                <w:szCs w:val="18"/>
              </w:rPr>
              <w:t>could</w:t>
            </w:r>
            <w:proofErr w:type="spellEnd"/>
            <w:r w:rsidRPr="51745E8D">
              <w:rPr>
                <w:color w:val="000000" w:themeColor="text1"/>
                <w:sz w:val="18"/>
                <w:szCs w:val="18"/>
              </w:rPr>
              <w:t>:</w:t>
            </w:r>
            <w:proofErr w:type="gramEnd"/>
          </w:p>
          <w:p w14:paraId="6022EAF5" w14:textId="10B2F6E8" w:rsidR="51745E8D" w:rsidRPr="00C535FE" w:rsidRDefault="51745E8D" w:rsidP="001360BB">
            <w:pPr>
              <w:pStyle w:val="Paragraphedeliste"/>
              <w:numPr>
                <w:ilvl w:val="1"/>
                <w:numId w:val="84"/>
              </w:numPr>
              <w:spacing w:line="252" w:lineRule="auto"/>
              <w:jc w:val="both"/>
              <w:rPr>
                <w:color w:val="000000" w:themeColor="text1"/>
                <w:sz w:val="18"/>
                <w:szCs w:val="18"/>
                <w:lang w:val="en-US"/>
              </w:rPr>
            </w:pPr>
            <w:r w:rsidRPr="51745E8D">
              <w:rPr>
                <w:color w:val="000000" w:themeColor="text1"/>
                <w:sz w:val="18"/>
                <w:szCs w:val="18"/>
                <w:lang w:val="en-US"/>
              </w:rPr>
              <w:t>Support the creation and scaling of women-led green cooperatives</w:t>
            </w:r>
          </w:p>
          <w:p w14:paraId="7E888B5D" w14:textId="503A4F90" w:rsidR="51745E8D" w:rsidRPr="00C535FE" w:rsidRDefault="51745E8D" w:rsidP="001360BB">
            <w:pPr>
              <w:pStyle w:val="Paragraphedeliste"/>
              <w:numPr>
                <w:ilvl w:val="1"/>
                <w:numId w:val="84"/>
              </w:numPr>
              <w:spacing w:line="252" w:lineRule="auto"/>
              <w:jc w:val="both"/>
              <w:rPr>
                <w:color w:val="000000" w:themeColor="text1"/>
                <w:sz w:val="18"/>
                <w:szCs w:val="18"/>
                <w:lang w:val="en-US"/>
              </w:rPr>
            </w:pPr>
            <w:r w:rsidRPr="51745E8D">
              <w:rPr>
                <w:color w:val="000000" w:themeColor="text1"/>
                <w:sz w:val="18"/>
                <w:szCs w:val="18"/>
                <w:lang w:val="en-US"/>
              </w:rPr>
              <w:t>Align efforts to foster inclusive and climate-resilient value chains across rural and urban areas</w:t>
            </w:r>
          </w:p>
          <w:p w14:paraId="2E5C3247" w14:textId="6275D8D5" w:rsidR="51745E8D" w:rsidRDefault="51745E8D" w:rsidP="001360BB">
            <w:pPr>
              <w:pStyle w:val="Paragraphedeliste"/>
              <w:numPr>
                <w:ilvl w:val="0"/>
                <w:numId w:val="84"/>
              </w:numPr>
              <w:spacing w:line="252" w:lineRule="auto"/>
              <w:jc w:val="both"/>
              <w:rPr>
                <w:color w:val="000000" w:themeColor="text1"/>
                <w:sz w:val="18"/>
                <w:szCs w:val="18"/>
              </w:rPr>
            </w:pPr>
            <w:r w:rsidRPr="51745E8D">
              <w:rPr>
                <w:color w:val="000000" w:themeColor="text1"/>
                <w:sz w:val="18"/>
                <w:szCs w:val="18"/>
                <w:lang w:val="en-US"/>
              </w:rPr>
              <w:t>Shared Training and Capacity Building</w:t>
            </w:r>
            <w:r w:rsidRPr="00C535FE">
              <w:rPr>
                <w:lang w:val="en-US"/>
              </w:rPr>
              <w:br/>
            </w:r>
            <w:r w:rsidRPr="51745E8D">
              <w:rPr>
                <w:color w:val="000000" w:themeColor="text1"/>
                <w:sz w:val="18"/>
                <w:szCs w:val="18"/>
                <w:lang w:val="en-US"/>
              </w:rPr>
              <w:t xml:space="preserve">The AMP project builds capacity in solar and mini-grid systems, while the IUDP focuses on urban mobility and vocational training (e.g., EV maintenance). </w:t>
            </w:r>
            <w:proofErr w:type="spellStart"/>
            <w:r w:rsidRPr="51745E8D">
              <w:rPr>
                <w:color w:val="000000" w:themeColor="text1"/>
                <w:sz w:val="18"/>
                <w:szCs w:val="18"/>
              </w:rPr>
              <w:t>Together</w:t>
            </w:r>
            <w:proofErr w:type="spellEnd"/>
            <w:r w:rsidRPr="51745E8D">
              <w:rPr>
                <w:color w:val="000000" w:themeColor="text1"/>
                <w:sz w:val="18"/>
                <w:szCs w:val="18"/>
              </w:rPr>
              <w:t xml:space="preserve">, </w:t>
            </w:r>
            <w:proofErr w:type="spellStart"/>
            <w:r w:rsidRPr="51745E8D">
              <w:rPr>
                <w:color w:val="000000" w:themeColor="text1"/>
                <w:sz w:val="18"/>
                <w:szCs w:val="18"/>
              </w:rPr>
              <w:t>they</w:t>
            </w:r>
            <w:proofErr w:type="spellEnd"/>
            <w:r w:rsidRPr="51745E8D">
              <w:rPr>
                <w:color w:val="000000" w:themeColor="text1"/>
                <w:sz w:val="18"/>
                <w:szCs w:val="18"/>
              </w:rPr>
              <w:t xml:space="preserve"> </w:t>
            </w:r>
            <w:proofErr w:type="spellStart"/>
            <w:proofErr w:type="gramStart"/>
            <w:r w:rsidRPr="51745E8D">
              <w:rPr>
                <w:color w:val="000000" w:themeColor="text1"/>
                <w:sz w:val="18"/>
                <w:szCs w:val="18"/>
              </w:rPr>
              <w:t>could</w:t>
            </w:r>
            <w:proofErr w:type="spellEnd"/>
            <w:r w:rsidRPr="51745E8D">
              <w:rPr>
                <w:color w:val="000000" w:themeColor="text1"/>
                <w:sz w:val="18"/>
                <w:szCs w:val="18"/>
              </w:rPr>
              <w:t>:</w:t>
            </w:r>
            <w:proofErr w:type="gramEnd"/>
          </w:p>
          <w:p w14:paraId="4730939A" w14:textId="33AC9076" w:rsidR="51745E8D" w:rsidRPr="00C535FE" w:rsidRDefault="51745E8D" w:rsidP="001360BB">
            <w:pPr>
              <w:pStyle w:val="Paragraphedeliste"/>
              <w:numPr>
                <w:ilvl w:val="1"/>
                <w:numId w:val="84"/>
              </w:numPr>
              <w:spacing w:line="252" w:lineRule="auto"/>
              <w:jc w:val="both"/>
              <w:rPr>
                <w:color w:val="000000" w:themeColor="text1"/>
                <w:sz w:val="18"/>
                <w:szCs w:val="18"/>
                <w:lang w:val="en-US"/>
              </w:rPr>
            </w:pPr>
            <w:r w:rsidRPr="51745E8D">
              <w:rPr>
                <w:color w:val="000000" w:themeColor="text1"/>
                <w:sz w:val="18"/>
                <w:szCs w:val="18"/>
                <w:lang w:val="en-US"/>
              </w:rPr>
              <w:t>Co-develop shared training curricula in solar energy and EV systems</w:t>
            </w:r>
          </w:p>
          <w:p w14:paraId="7884F055" w14:textId="36DB30CF" w:rsidR="51745E8D" w:rsidRPr="00C535FE" w:rsidRDefault="51745E8D" w:rsidP="001360BB">
            <w:pPr>
              <w:pStyle w:val="Paragraphedeliste"/>
              <w:numPr>
                <w:ilvl w:val="1"/>
                <w:numId w:val="84"/>
              </w:numPr>
              <w:spacing w:line="252" w:lineRule="auto"/>
              <w:jc w:val="both"/>
              <w:rPr>
                <w:color w:val="000000" w:themeColor="text1"/>
                <w:sz w:val="18"/>
                <w:szCs w:val="18"/>
                <w:lang w:val="en-US"/>
              </w:rPr>
            </w:pPr>
            <w:r w:rsidRPr="51745E8D">
              <w:rPr>
                <w:color w:val="000000" w:themeColor="text1"/>
                <w:sz w:val="18"/>
                <w:szCs w:val="18"/>
                <w:lang w:val="en-US"/>
              </w:rPr>
              <w:lastRenderedPageBreak/>
              <w:t>Support national certification programs and technical centers</w:t>
            </w:r>
          </w:p>
          <w:p w14:paraId="145D619D" w14:textId="1FC66E01" w:rsidR="51745E8D" w:rsidRDefault="51745E8D" w:rsidP="001360BB">
            <w:pPr>
              <w:pStyle w:val="Paragraphedeliste"/>
              <w:numPr>
                <w:ilvl w:val="0"/>
                <w:numId w:val="84"/>
              </w:numPr>
              <w:spacing w:line="252" w:lineRule="auto"/>
              <w:jc w:val="both"/>
              <w:rPr>
                <w:color w:val="000000" w:themeColor="text1"/>
                <w:sz w:val="18"/>
                <w:szCs w:val="18"/>
              </w:rPr>
            </w:pPr>
            <w:proofErr w:type="spellStart"/>
            <w:r w:rsidRPr="51745E8D">
              <w:rPr>
                <w:color w:val="000000" w:themeColor="text1"/>
                <w:sz w:val="18"/>
                <w:szCs w:val="18"/>
              </w:rPr>
              <w:t>Scalability</w:t>
            </w:r>
            <w:proofErr w:type="spellEnd"/>
            <w:r w:rsidRPr="51745E8D">
              <w:rPr>
                <w:color w:val="000000" w:themeColor="text1"/>
                <w:sz w:val="18"/>
                <w:szCs w:val="18"/>
              </w:rPr>
              <w:t xml:space="preserve"> and </w:t>
            </w:r>
            <w:proofErr w:type="spellStart"/>
            <w:r w:rsidRPr="51745E8D">
              <w:rPr>
                <w:color w:val="000000" w:themeColor="text1"/>
                <w:sz w:val="18"/>
                <w:szCs w:val="18"/>
              </w:rPr>
              <w:t>Replication</w:t>
            </w:r>
            <w:proofErr w:type="spellEnd"/>
          </w:p>
          <w:p w14:paraId="51AFFBB7" w14:textId="3FBD2DDD" w:rsidR="51745E8D" w:rsidRPr="00C535FE" w:rsidRDefault="51745E8D" w:rsidP="001360BB">
            <w:pPr>
              <w:pStyle w:val="Paragraphedeliste"/>
              <w:numPr>
                <w:ilvl w:val="1"/>
                <w:numId w:val="84"/>
              </w:numPr>
              <w:spacing w:line="252" w:lineRule="auto"/>
              <w:jc w:val="both"/>
              <w:rPr>
                <w:color w:val="000000" w:themeColor="text1"/>
                <w:sz w:val="18"/>
                <w:szCs w:val="18"/>
                <w:lang w:val="en-US"/>
              </w:rPr>
            </w:pPr>
            <w:r w:rsidRPr="51745E8D">
              <w:rPr>
                <w:color w:val="000000" w:themeColor="text1"/>
                <w:sz w:val="18"/>
                <w:szCs w:val="18"/>
                <w:lang w:val="en-US"/>
              </w:rPr>
              <w:t>AMP could facilitate the upscaling of IUDP pilot initiatives by creating an enabling environment for investment in clean energy infrastructure.</w:t>
            </w:r>
          </w:p>
          <w:p w14:paraId="57A7D11D" w14:textId="5E8F1404" w:rsidR="51745E8D" w:rsidRPr="00C535FE" w:rsidRDefault="51745E8D" w:rsidP="001360BB">
            <w:pPr>
              <w:pStyle w:val="Paragraphedeliste"/>
              <w:numPr>
                <w:ilvl w:val="1"/>
                <w:numId w:val="84"/>
              </w:numPr>
              <w:spacing w:line="252" w:lineRule="auto"/>
              <w:jc w:val="both"/>
              <w:rPr>
                <w:color w:val="000000" w:themeColor="text1"/>
                <w:sz w:val="18"/>
                <w:szCs w:val="18"/>
                <w:lang w:val="en-US"/>
              </w:rPr>
            </w:pPr>
            <w:r w:rsidRPr="51745E8D">
              <w:rPr>
                <w:color w:val="000000" w:themeColor="text1"/>
                <w:sz w:val="18"/>
                <w:szCs w:val="18"/>
                <w:lang w:val="en-US"/>
              </w:rPr>
              <w:t>Bamako’s innovations in urban governance, digital tools, and public-private partnerships can inform national strategies for inclusive electrification and green urban development</w:t>
            </w:r>
          </w:p>
          <w:p w14:paraId="42A7CBC5" w14:textId="7F919152" w:rsidR="51745E8D" w:rsidRPr="00C535FE" w:rsidRDefault="282E1EAF" w:rsidP="51745E8D">
            <w:pPr>
              <w:spacing w:line="252" w:lineRule="auto"/>
              <w:ind w:left="187"/>
              <w:contextualSpacing/>
              <w:jc w:val="both"/>
              <w:rPr>
                <w:color w:val="000000" w:themeColor="text1"/>
                <w:sz w:val="18"/>
                <w:szCs w:val="18"/>
                <w:lang w:val="en-US"/>
              </w:rPr>
            </w:pPr>
            <w:r w:rsidRPr="537FA187">
              <w:rPr>
                <w:color w:val="000000" w:themeColor="text1"/>
                <w:sz w:val="18"/>
                <w:szCs w:val="18"/>
                <w:lang w:val="en-US"/>
              </w:rPr>
              <w:t xml:space="preserve">A structured collaboration between AMP and the IUDP would significantly enhance the impact and sustainability of both initiatives. Coordinated planning, shared tools could lead to </w:t>
            </w:r>
            <w:r w:rsidRPr="537FA187">
              <w:rPr>
                <w:b/>
                <w:bCs/>
                <w:color w:val="000000" w:themeColor="text1"/>
                <w:sz w:val="18"/>
                <w:szCs w:val="18"/>
                <w:lang w:val="en-US"/>
              </w:rPr>
              <w:t>systemic change</w:t>
            </w:r>
            <w:r w:rsidRPr="537FA187">
              <w:rPr>
                <w:color w:val="000000" w:themeColor="text1"/>
                <w:sz w:val="18"/>
                <w:szCs w:val="18"/>
                <w:lang w:val="en-US"/>
              </w:rPr>
              <w:t xml:space="preserve"> in how energy and urban services are delivered in Mali—starting in Bamako and scaling nationwide.</w:t>
            </w:r>
          </w:p>
          <w:p w14:paraId="010C6041" w14:textId="4F51CC1B" w:rsidR="51745E8D" w:rsidRPr="00C535FE" w:rsidRDefault="51745E8D" w:rsidP="51745E8D">
            <w:pPr>
              <w:spacing w:line="252" w:lineRule="auto"/>
              <w:contextualSpacing/>
              <w:jc w:val="both"/>
              <w:rPr>
                <w:color w:val="000000" w:themeColor="text1"/>
                <w:sz w:val="18"/>
                <w:szCs w:val="18"/>
                <w:lang w:val="en-US"/>
              </w:rPr>
            </w:pPr>
          </w:p>
        </w:tc>
      </w:tr>
      <w:tr w:rsidR="004F7DB3" w:rsidRPr="00F50786" w14:paraId="1E671C2B" w14:textId="77777777" w:rsidTr="40E7FE84">
        <w:trPr>
          <w:trHeight w:val="3135"/>
          <w:jc w:val="center"/>
        </w:trPr>
        <w:tc>
          <w:tcPr>
            <w:tcW w:w="2982" w:type="dxa"/>
            <w:tcBorders>
              <w:top w:val="nil"/>
              <w:left w:val="single" w:sz="4" w:space="0" w:color="C9C9C9"/>
              <w:bottom w:val="single" w:sz="4" w:space="0" w:color="C9C9C9"/>
              <w:right w:val="single" w:sz="4" w:space="0" w:color="C9C9C9"/>
            </w:tcBorders>
            <w:tcMar>
              <w:top w:w="0" w:type="dxa"/>
              <w:left w:w="100" w:type="dxa"/>
              <w:bottom w:w="0" w:type="dxa"/>
              <w:right w:w="100" w:type="dxa"/>
            </w:tcMar>
          </w:tcPr>
          <w:p w14:paraId="00000602" w14:textId="386DCF30" w:rsidR="004F7DB3" w:rsidRPr="00263D2C" w:rsidRDefault="2ADD8746" w:rsidP="51745E8D">
            <w:pPr>
              <w:spacing w:before="240" w:after="240" w:line="254" w:lineRule="auto"/>
              <w:jc w:val="both"/>
              <w:rPr>
                <w:b/>
                <w:bCs/>
                <w:sz w:val="18"/>
                <w:szCs w:val="18"/>
                <w:lang w:val="en-US"/>
              </w:rPr>
            </w:pPr>
            <w:r w:rsidRPr="3D58A386">
              <w:rPr>
                <w:b/>
                <w:bCs/>
                <w:sz w:val="18"/>
                <w:szCs w:val="18"/>
                <w:lang w:val="en-US"/>
              </w:rPr>
              <w:lastRenderedPageBreak/>
              <w:t xml:space="preserve">UNDP - </w:t>
            </w:r>
            <w:r w:rsidR="6A6F5FF0" w:rsidRPr="3D58A386">
              <w:rPr>
                <w:b/>
                <w:bCs/>
                <w:sz w:val="18"/>
                <w:szCs w:val="18"/>
                <w:lang w:val="en-US"/>
              </w:rPr>
              <w:t xml:space="preserve">GEF Small Grant </w:t>
            </w:r>
            <w:proofErr w:type="spellStart"/>
            <w:r w:rsidR="6A6F5FF0" w:rsidRPr="3D58A386">
              <w:rPr>
                <w:b/>
                <w:bCs/>
                <w:sz w:val="18"/>
                <w:szCs w:val="18"/>
                <w:lang w:val="en-US"/>
              </w:rPr>
              <w:t>Programme</w:t>
            </w:r>
            <w:proofErr w:type="spellEnd"/>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00000604" w14:textId="6F4B9CD5" w:rsidR="004F7DB3" w:rsidRPr="00A858C5" w:rsidRDefault="29D57A18" w:rsidP="00A858C5">
            <w:pPr>
              <w:spacing w:before="240" w:after="240" w:line="254" w:lineRule="auto"/>
              <w:jc w:val="both"/>
              <w:rPr>
                <w:sz w:val="18"/>
                <w:szCs w:val="18"/>
                <w:lang w:val="en-US"/>
              </w:rPr>
            </w:pPr>
            <w:r w:rsidRPr="51745E8D">
              <w:rPr>
                <w:sz w:val="18"/>
                <w:szCs w:val="18"/>
                <w:lang w:val="en-US"/>
              </w:rPr>
              <w:t xml:space="preserve">The MTP/GEF has been operational in Mali since 1994. The </w:t>
            </w:r>
            <w:proofErr w:type="spellStart"/>
            <w:r w:rsidRPr="51745E8D">
              <w:rPr>
                <w:sz w:val="18"/>
                <w:szCs w:val="18"/>
                <w:lang w:val="en-US"/>
              </w:rPr>
              <w:t>programme</w:t>
            </w:r>
            <w:proofErr w:type="spellEnd"/>
            <w:r w:rsidRPr="51745E8D">
              <w:rPr>
                <w:sz w:val="18"/>
                <w:szCs w:val="18"/>
                <w:lang w:val="en-US"/>
              </w:rPr>
              <w:t xml:space="preserve"> supports projects in the following areas: Biodiversity conservation; Climate Change Mitigation and Adaptation; Prevention of land degradation; Protection of international waters and reduction of the impact of chemicals and persistent organic pollutants</w:t>
            </w:r>
          </w:p>
        </w:tc>
        <w:tc>
          <w:tcPr>
            <w:tcW w:w="4677" w:type="dxa"/>
            <w:tcBorders>
              <w:top w:val="nil"/>
              <w:left w:val="nil"/>
              <w:bottom w:val="single" w:sz="4" w:space="0" w:color="C9C9C9"/>
              <w:right w:val="single" w:sz="4" w:space="0" w:color="C9C9C9"/>
            </w:tcBorders>
            <w:tcMar>
              <w:top w:w="0" w:type="dxa"/>
              <w:left w:w="100" w:type="dxa"/>
              <w:bottom w:w="0" w:type="dxa"/>
              <w:right w:w="100" w:type="dxa"/>
            </w:tcMar>
          </w:tcPr>
          <w:p w14:paraId="00000605" w14:textId="77777777" w:rsidR="004F7DB3" w:rsidRPr="00263D2C" w:rsidRDefault="29D57A18" w:rsidP="51745E8D">
            <w:pPr>
              <w:spacing w:before="240" w:after="240" w:line="254" w:lineRule="auto"/>
              <w:jc w:val="both"/>
              <w:rPr>
                <w:sz w:val="18"/>
                <w:szCs w:val="18"/>
                <w:lang w:val="en-US"/>
              </w:rPr>
            </w:pPr>
            <w:r w:rsidRPr="51745E8D">
              <w:rPr>
                <w:sz w:val="18"/>
                <w:szCs w:val="18"/>
                <w:lang w:val="en-US"/>
              </w:rPr>
              <w:t>Will contribute to Output 3.1.4 Activity 3.1.4.6</w:t>
            </w:r>
          </w:p>
        </w:tc>
      </w:tr>
      <w:tr w:rsidR="004F7DB3" w:rsidRPr="00F50786" w14:paraId="74B052AA" w14:textId="77777777" w:rsidTr="40E7FE84">
        <w:trPr>
          <w:trHeight w:val="597"/>
          <w:jc w:val="center"/>
        </w:trPr>
        <w:tc>
          <w:tcPr>
            <w:tcW w:w="2982" w:type="dxa"/>
            <w:tcBorders>
              <w:top w:val="nil"/>
              <w:left w:val="single" w:sz="4" w:space="0" w:color="C9C9C9"/>
              <w:bottom w:val="single" w:sz="4" w:space="0" w:color="C9C9C9"/>
              <w:right w:val="single" w:sz="4" w:space="0" w:color="C9C9C9"/>
            </w:tcBorders>
            <w:tcMar>
              <w:top w:w="0" w:type="dxa"/>
              <w:left w:w="100" w:type="dxa"/>
              <w:bottom w:w="0" w:type="dxa"/>
              <w:right w:w="100" w:type="dxa"/>
            </w:tcMar>
          </w:tcPr>
          <w:p w14:paraId="00000606" w14:textId="77777777" w:rsidR="004F7DB3" w:rsidRDefault="29D57A18" w:rsidP="51745E8D">
            <w:pPr>
              <w:spacing w:before="240" w:after="240" w:line="254" w:lineRule="auto"/>
              <w:jc w:val="both"/>
              <w:rPr>
                <w:b/>
                <w:bCs/>
                <w:sz w:val="18"/>
                <w:szCs w:val="18"/>
              </w:rPr>
            </w:pPr>
            <w:r w:rsidRPr="51745E8D">
              <w:rPr>
                <w:b/>
                <w:bCs/>
                <w:sz w:val="18"/>
                <w:szCs w:val="18"/>
              </w:rPr>
              <w:lastRenderedPageBreak/>
              <w:t xml:space="preserve">UNDP Accelerator </w:t>
            </w:r>
            <w:proofErr w:type="spellStart"/>
            <w:r w:rsidRPr="51745E8D">
              <w:rPr>
                <w:b/>
                <w:bCs/>
                <w:sz w:val="18"/>
                <w:szCs w:val="18"/>
              </w:rPr>
              <w:t>Lab</w:t>
            </w:r>
            <w:proofErr w:type="spellEnd"/>
          </w:p>
        </w:tc>
        <w:tc>
          <w:tcPr>
            <w:tcW w:w="5944" w:type="dxa"/>
            <w:tcBorders>
              <w:top w:val="nil"/>
              <w:left w:val="nil"/>
              <w:bottom w:val="single" w:sz="4" w:space="0" w:color="C9C9C9"/>
              <w:right w:val="single" w:sz="4" w:space="0" w:color="C9C9C9"/>
            </w:tcBorders>
            <w:tcMar>
              <w:top w:w="0" w:type="dxa"/>
              <w:left w:w="100" w:type="dxa"/>
              <w:bottom w:w="0" w:type="dxa"/>
              <w:right w:w="100" w:type="dxa"/>
            </w:tcMar>
          </w:tcPr>
          <w:p w14:paraId="00000608" w14:textId="700D707B" w:rsidR="004F7DB3" w:rsidRDefault="408223B2" w:rsidP="51745E8D">
            <w:pPr>
              <w:spacing w:before="240" w:after="240" w:line="254" w:lineRule="auto"/>
              <w:jc w:val="both"/>
              <w:rPr>
                <w:sz w:val="18"/>
                <w:szCs w:val="18"/>
                <w:lang w:val="en-US"/>
              </w:rPr>
            </w:pPr>
            <w:r w:rsidRPr="537FA187">
              <w:rPr>
                <w:color w:val="000000" w:themeColor="text1"/>
                <w:sz w:val="18"/>
                <w:szCs w:val="18"/>
                <w:lang w:val="en-US"/>
              </w:rPr>
              <w:t xml:space="preserve">The UNDP Accelerator Lab (ACCLAB) in Mali plays a key enabling role in the IUDP in Bamako by fostering innovation, systems thinking, and stakeholder engagement to accelerate climate and biodiversity outcomes. Drawing from its work on the operationalization of the Great Green Wall initiative, ACCLAB has contributed to the identification of systemic barriers to land restoration and community resilience—such as weak inter-institutional coordination, fragmented data systems, and limited local ownership. Through collective intelligence and experimental portfolios, ACCLAB has helped shape inclusive, locally adapted solutions to environmental degradation, with a focus on enabling ecosystem restoration and green infrastructure. In the context of the </w:t>
            </w:r>
            <w:proofErr w:type="gramStart"/>
            <w:r w:rsidRPr="537FA187">
              <w:rPr>
                <w:color w:val="000000" w:themeColor="text1"/>
                <w:sz w:val="18"/>
                <w:szCs w:val="18"/>
                <w:lang w:val="en-US"/>
              </w:rPr>
              <w:t>IUDP ,</w:t>
            </w:r>
            <w:proofErr w:type="gramEnd"/>
            <w:r w:rsidRPr="537FA187">
              <w:rPr>
                <w:color w:val="000000" w:themeColor="text1"/>
                <w:sz w:val="18"/>
                <w:szCs w:val="18"/>
                <w:lang w:val="en-US"/>
              </w:rPr>
              <w:t xml:space="preserve"> ACCLAB will support the co-design and testing of innovative approaches for the ecological and financial sustainability of Bamako’s green belt, particularly under component 3. This includes leveraging community knowledge, improving stakeholder alignment, and identifying high-impact interventions that can be scaled through partnerships. By applying lessons from its national facilitation work—such as mapping data gaps, promoting energy alternatives, and enhancing local participation—ACCLAB contributes to embedding a culture of contribute to embedding a culture of sustainability and civic engagement based on experimentation, adaptive learning, and inclusive governance in Bamako’s urban transition.  </w:t>
            </w:r>
            <w:r w:rsidRPr="537FA187">
              <w:rPr>
                <w:sz w:val="18"/>
                <w:szCs w:val="18"/>
                <w:lang w:val="en-US"/>
              </w:rPr>
              <w:t xml:space="preserve"> </w:t>
            </w:r>
          </w:p>
        </w:tc>
        <w:tc>
          <w:tcPr>
            <w:tcW w:w="4677" w:type="dxa"/>
            <w:tcBorders>
              <w:top w:val="nil"/>
              <w:left w:val="nil"/>
              <w:bottom w:val="single" w:sz="4" w:space="0" w:color="C9C9C9"/>
              <w:right w:val="single" w:sz="4" w:space="0" w:color="C9C9C9"/>
            </w:tcBorders>
            <w:tcMar>
              <w:top w:w="0" w:type="dxa"/>
              <w:left w:w="100" w:type="dxa"/>
              <w:bottom w:w="0" w:type="dxa"/>
              <w:right w:w="100" w:type="dxa"/>
            </w:tcMar>
          </w:tcPr>
          <w:p w14:paraId="00000609" w14:textId="77777777" w:rsidR="004F7DB3" w:rsidRPr="00263D2C" w:rsidRDefault="29D57A18" w:rsidP="51745E8D">
            <w:pPr>
              <w:spacing w:before="240" w:after="240" w:line="254" w:lineRule="auto"/>
              <w:jc w:val="both"/>
              <w:rPr>
                <w:sz w:val="18"/>
                <w:szCs w:val="18"/>
                <w:lang w:val="en-US"/>
              </w:rPr>
            </w:pPr>
            <w:r w:rsidRPr="51745E8D">
              <w:rPr>
                <w:sz w:val="18"/>
                <w:szCs w:val="18"/>
                <w:lang w:val="en-US"/>
              </w:rPr>
              <w:t>Will contribute to Outputs 3.1.4 Activity 3.1.4.6 and 1.2.3 Activity 1.2.3.2</w:t>
            </w:r>
          </w:p>
        </w:tc>
      </w:tr>
    </w:tbl>
    <w:p w14:paraId="0000060A" w14:textId="77777777" w:rsidR="004F7DB3" w:rsidRPr="00263D2C" w:rsidRDefault="004F7DB3">
      <w:pPr>
        <w:spacing w:before="240" w:after="240" w:line="276" w:lineRule="auto"/>
        <w:jc w:val="both"/>
        <w:rPr>
          <w:b/>
          <w:u w:val="single"/>
          <w:lang w:val="en-US"/>
        </w:rPr>
        <w:sectPr w:rsidR="004F7DB3" w:rsidRPr="00263D2C">
          <w:headerReference w:type="first" r:id="rId43"/>
          <w:pgSz w:w="16838" w:h="11906" w:orient="landscape"/>
          <w:pgMar w:top="1418" w:right="1418" w:bottom="1418" w:left="1418" w:header="708" w:footer="708" w:gutter="0"/>
          <w:cols w:space="720"/>
        </w:sectPr>
      </w:pPr>
    </w:p>
    <w:p w14:paraId="0000060B" w14:textId="77777777" w:rsidR="004F7DB3" w:rsidRPr="009804E6" w:rsidRDefault="004F7DB3" w:rsidP="3C8408A9">
      <w:pPr>
        <w:spacing w:before="240" w:after="240" w:line="276" w:lineRule="auto"/>
        <w:jc w:val="both"/>
        <w:rPr>
          <w:b/>
          <w:bCs/>
          <w:sz w:val="20"/>
          <w:szCs w:val="20"/>
          <w:u w:val="single"/>
          <w:lang w:val="en-US"/>
        </w:rPr>
      </w:pPr>
    </w:p>
    <w:p w14:paraId="7DE2772C" w14:textId="7D9EEADD" w:rsidR="004F7DB3" w:rsidRPr="009804E6" w:rsidRDefault="004F7DB3" w:rsidP="24AA8F7E">
      <w:pPr>
        <w:spacing w:after="0" w:line="240" w:lineRule="auto"/>
        <w:jc w:val="both"/>
        <w:rPr>
          <w:color w:val="000000" w:themeColor="text1"/>
          <w:sz w:val="20"/>
          <w:szCs w:val="20"/>
          <w:lang w:val="en-US"/>
        </w:rPr>
      </w:pPr>
    </w:p>
    <w:p w14:paraId="77C95587" w14:textId="77777777" w:rsidR="008140F5" w:rsidRDefault="008140F5" w:rsidP="5D8904BE">
      <w:pPr>
        <w:spacing w:after="0" w:line="240" w:lineRule="auto"/>
        <w:jc w:val="both"/>
        <w:rPr>
          <w:sz w:val="20"/>
          <w:szCs w:val="20"/>
          <w:u w:val="single"/>
          <w:lang w:val="en-US"/>
        </w:rPr>
        <w:sectPr w:rsidR="008140F5">
          <w:headerReference w:type="first" r:id="rId44"/>
          <w:pgSz w:w="16838" w:h="11906" w:orient="landscape"/>
          <w:pgMar w:top="1418" w:right="1418" w:bottom="1418" w:left="1418" w:header="709" w:footer="709" w:gutter="0"/>
          <w:cols w:space="720"/>
        </w:sectPr>
      </w:pPr>
    </w:p>
    <w:p w14:paraId="0000060D" w14:textId="28A82351" w:rsidR="004F7DB3" w:rsidRPr="00263D2C" w:rsidRDefault="3018C18E" w:rsidP="5D8904BE">
      <w:pPr>
        <w:spacing w:after="0" w:line="240" w:lineRule="auto"/>
        <w:jc w:val="both"/>
        <w:rPr>
          <w:color w:val="000000" w:themeColor="text1"/>
          <w:sz w:val="20"/>
          <w:szCs w:val="20"/>
          <w:lang w:val="en-US"/>
        </w:rPr>
      </w:pPr>
      <w:r w:rsidRPr="3D58A386">
        <w:rPr>
          <w:sz w:val="20"/>
          <w:szCs w:val="20"/>
          <w:u w:val="single"/>
          <w:lang w:val="en-US"/>
        </w:rPr>
        <w:lastRenderedPageBreak/>
        <w:t>Agreement on intellectual property rights and use of logo on the project’s deliverables and disclosure of information</w:t>
      </w:r>
      <w:r w:rsidRPr="3D58A386">
        <w:rPr>
          <w:b/>
          <w:bCs/>
          <w:sz w:val="20"/>
          <w:szCs w:val="20"/>
          <w:lang w:val="en-US"/>
        </w:rPr>
        <w:t xml:space="preserve">:  </w:t>
      </w:r>
      <w:r w:rsidRPr="3D58A386">
        <w:rPr>
          <w:sz w:val="20"/>
          <w:szCs w:val="20"/>
          <w:lang w:val="en-US"/>
        </w:rPr>
        <w:t>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in accordance with relevant policies notably the UNDP Disclosure Policy</w:t>
      </w:r>
      <w:r w:rsidR="2DF6937E" w:rsidRPr="3D58A386">
        <w:rPr>
          <w:sz w:val="20"/>
          <w:szCs w:val="20"/>
          <w:vertAlign w:val="superscript"/>
          <w:lang w:val="en-US"/>
        </w:rPr>
        <w:footnoteReference w:id="29"/>
      </w:r>
      <w:r w:rsidRPr="3D58A386">
        <w:rPr>
          <w:sz w:val="20"/>
          <w:szCs w:val="20"/>
          <w:lang w:val="en-US"/>
        </w:rPr>
        <w:t xml:space="preserve"> and</w:t>
      </w:r>
      <w:r w:rsidRPr="3D58A386">
        <w:rPr>
          <w:color w:val="000000" w:themeColor="text1"/>
          <w:sz w:val="20"/>
          <w:szCs w:val="20"/>
          <w:lang w:val="en-US"/>
        </w:rPr>
        <w:t xml:space="preserve"> the GEF policy on public involvement</w:t>
      </w:r>
      <w:r w:rsidR="2DF6937E" w:rsidRPr="3D58A386">
        <w:rPr>
          <w:color w:val="000000" w:themeColor="text1"/>
          <w:sz w:val="20"/>
          <w:szCs w:val="20"/>
          <w:vertAlign w:val="superscript"/>
          <w:lang w:val="en-US"/>
        </w:rPr>
        <w:footnoteReference w:id="30"/>
      </w:r>
    </w:p>
    <w:p w14:paraId="56E0BCB2" w14:textId="7690C4C4" w:rsidR="496F1838" w:rsidRDefault="496F1838" w:rsidP="3C8408A9">
      <w:pPr>
        <w:spacing w:after="60" w:line="240" w:lineRule="auto"/>
        <w:jc w:val="both"/>
        <w:rPr>
          <w:i/>
          <w:iCs/>
          <w:sz w:val="20"/>
          <w:szCs w:val="20"/>
          <w:lang w:val="en-US"/>
        </w:rPr>
      </w:pPr>
      <w:r w:rsidRPr="3C8408A9">
        <w:rPr>
          <w:sz w:val="20"/>
          <w:szCs w:val="20"/>
          <w:u w:val="single"/>
          <w:lang w:val="en-US"/>
        </w:rPr>
        <w:t xml:space="preserve">Resources required to achieve the expected result: </w:t>
      </w:r>
    </w:p>
    <w:p w14:paraId="3E14562C" w14:textId="154A864D" w:rsidR="67AF5084" w:rsidRDefault="2DADDEB1" w:rsidP="009804E6">
      <w:pPr>
        <w:spacing w:before="240" w:after="240"/>
        <w:jc w:val="both"/>
        <w:rPr>
          <w:sz w:val="20"/>
          <w:szCs w:val="20"/>
          <w:lang w:val="en-US"/>
        </w:rPr>
      </w:pPr>
      <w:r w:rsidRPr="537FA187">
        <w:rPr>
          <w:sz w:val="20"/>
          <w:szCs w:val="20"/>
          <w:lang w:val="en-US"/>
        </w:rPr>
        <w:t>Urban development in Mali stands at a pivotal moment, where demographic pressures, environmental vulnerabilities, and socio-economic disparities converge, demanding a bold and coherent response. Achieving the expected results under the IUDP will require a combination of strategic investments in human capital, institutional capacity, technical tools, and multi-level partnerships.</w:t>
      </w:r>
    </w:p>
    <w:p w14:paraId="71CF6B0C" w14:textId="670F0080" w:rsidR="67AF5084" w:rsidRDefault="2DADDEB1" w:rsidP="009804E6">
      <w:pPr>
        <w:spacing w:before="240" w:after="240"/>
        <w:jc w:val="both"/>
        <w:rPr>
          <w:sz w:val="20"/>
          <w:szCs w:val="20"/>
          <w:lang w:val="en-US"/>
        </w:rPr>
      </w:pPr>
      <w:r w:rsidRPr="537FA187">
        <w:rPr>
          <w:sz w:val="20"/>
          <w:szCs w:val="20"/>
          <w:lang w:val="en-US"/>
        </w:rPr>
        <w:t xml:space="preserve">A critical first input is </w:t>
      </w:r>
      <w:r w:rsidRPr="537FA187">
        <w:rPr>
          <w:b/>
          <w:bCs/>
          <w:sz w:val="20"/>
          <w:szCs w:val="20"/>
          <w:lang w:val="en-US"/>
        </w:rPr>
        <w:t>qualified human resources</w:t>
      </w:r>
      <w:r w:rsidRPr="537FA187">
        <w:rPr>
          <w:sz w:val="20"/>
          <w:szCs w:val="20"/>
          <w:lang w:val="en-US"/>
        </w:rPr>
        <w:t xml:space="preserve">, including technical and managerial staff within the Ministry of Urban Planning, local government authorities (notably the District of Bamako), and specialized national agencies such as </w:t>
      </w:r>
      <w:r w:rsidR="5C750FBB" w:rsidRPr="537FA187">
        <w:rPr>
          <w:sz w:val="20"/>
          <w:szCs w:val="20"/>
          <w:lang w:val="en-US"/>
        </w:rPr>
        <w:t>RDA</w:t>
      </w:r>
      <w:r w:rsidRPr="537FA187">
        <w:rPr>
          <w:sz w:val="20"/>
          <w:szCs w:val="20"/>
          <w:lang w:val="en-US"/>
        </w:rPr>
        <w:t>-BKO. These teams will need to be complemented</w:t>
      </w:r>
      <w:r w:rsidR="7D38A561" w:rsidRPr="537FA187">
        <w:rPr>
          <w:sz w:val="20"/>
          <w:szCs w:val="20"/>
          <w:lang w:val="en-US"/>
        </w:rPr>
        <w:t>, if needed,</w:t>
      </w:r>
      <w:r w:rsidRPr="537FA187">
        <w:rPr>
          <w:sz w:val="20"/>
          <w:szCs w:val="20"/>
          <w:lang w:val="en-US"/>
        </w:rPr>
        <w:t xml:space="preserve"> by </w:t>
      </w:r>
      <w:r w:rsidRPr="537FA187">
        <w:rPr>
          <w:b/>
          <w:bCs/>
          <w:sz w:val="20"/>
          <w:szCs w:val="20"/>
          <w:lang w:val="en-US"/>
        </w:rPr>
        <w:t>technical experts from UNDP</w:t>
      </w:r>
      <w:r w:rsidRPr="537FA187">
        <w:rPr>
          <w:sz w:val="20"/>
          <w:szCs w:val="20"/>
          <w:lang w:val="en-US"/>
        </w:rPr>
        <w:t xml:space="preserve"> at country, regional, and HQ levels</w:t>
      </w:r>
      <w:r w:rsidR="43F1DADD" w:rsidRPr="537FA187">
        <w:rPr>
          <w:sz w:val="20"/>
          <w:szCs w:val="20"/>
          <w:lang w:val="en-US"/>
        </w:rPr>
        <w:t xml:space="preserve">. </w:t>
      </w:r>
      <w:r w:rsidRPr="537FA187">
        <w:rPr>
          <w:sz w:val="20"/>
          <w:szCs w:val="20"/>
          <w:lang w:val="en-US"/>
        </w:rPr>
        <w:t>Their roles will include providing policy guidance, quality assurance, and adaptive support to ensure alignment with global standards and regional urban development priorities.</w:t>
      </w:r>
    </w:p>
    <w:p w14:paraId="4E622F48" w14:textId="7C0D01CE" w:rsidR="67AF5084" w:rsidRDefault="610D0219" w:rsidP="009804E6">
      <w:pPr>
        <w:spacing w:before="240" w:after="240"/>
        <w:jc w:val="both"/>
        <w:rPr>
          <w:sz w:val="20"/>
          <w:szCs w:val="20"/>
          <w:lang w:val="en-US"/>
        </w:rPr>
      </w:pPr>
      <w:r w:rsidRPr="5D8904BE">
        <w:rPr>
          <w:sz w:val="20"/>
          <w:szCs w:val="20"/>
          <w:lang w:val="en-US"/>
        </w:rPr>
        <w:t xml:space="preserve">To build and sustain the enabling environment for transformative urban planning, </w:t>
      </w:r>
      <w:r w:rsidRPr="5D8904BE">
        <w:rPr>
          <w:b/>
          <w:bCs/>
          <w:sz w:val="20"/>
          <w:szCs w:val="20"/>
          <w:lang w:val="en-US"/>
        </w:rPr>
        <w:t>strategic partnerships</w:t>
      </w:r>
      <w:r w:rsidRPr="5D8904BE">
        <w:rPr>
          <w:sz w:val="20"/>
          <w:szCs w:val="20"/>
          <w:lang w:val="en-US"/>
        </w:rPr>
        <w:t xml:space="preserve"> must be forged across sectors. This includes collaboration with private sector actors, civil society organizations, professional bodies such as the Order of Expert Surveyors of Mali (OGE), and academic institutions, particularly those with expertise in land tenure systems, urban innovation, and climate resilience. These partnerships will be crucial in shaping inclusive regulatory reforms, fostering local entrepreneurship, and ensuring that the voices of marginalized populations—especially women and youth—are not only heard but integrated into decision-making processes.</w:t>
      </w:r>
    </w:p>
    <w:p w14:paraId="4B258CF8" w14:textId="67AE3A9D" w:rsidR="67AF5084" w:rsidRDefault="4D3874B3" w:rsidP="5D8904BE">
      <w:pPr>
        <w:widowControl w:val="0"/>
        <w:spacing w:before="240" w:after="240"/>
        <w:jc w:val="both"/>
        <w:rPr>
          <w:sz w:val="20"/>
          <w:szCs w:val="20"/>
          <w:lang w:val="en-US"/>
        </w:rPr>
      </w:pPr>
      <w:r w:rsidRPr="5D8904BE">
        <w:rPr>
          <w:sz w:val="20"/>
          <w:szCs w:val="20"/>
          <w:lang w:val="en-US"/>
        </w:rPr>
        <w:t xml:space="preserve">Financially, while the Malian government has mobilized approximately </w:t>
      </w:r>
      <w:r w:rsidRPr="5D8904BE">
        <w:rPr>
          <w:b/>
          <w:bCs/>
          <w:sz w:val="20"/>
          <w:szCs w:val="20"/>
          <w:lang w:val="en-US"/>
        </w:rPr>
        <w:t>USD 300 million</w:t>
      </w:r>
      <w:r w:rsidRPr="5D8904BE">
        <w:rPr>
          <w:sz w:val="20"/>
          <w:szCs w:val="20"/>
          <w:lang w:val="en-US"/>
        </w:rPr>
        <w:t xml:space="preserve"> through</w:t>
      </w:r>
      <w:r w:rsidR="09BBF779" w:rsidRPr="5D8904BE">
        <w:rPr>
          <w:sz w:val="20"/>
          <w:szCs w:val="20"/>
          <w:lang w:val="en-US"/>
        </w:rPr>
        <w:t xml:space="preserve"> the</w:t>
      </w:r>
      <w:r w:rsidRPr="5D8904BE">
        <w:rPr>
          <w:sz w:val="20"/>
          <w:szCs w:val="20"/>
          <w:lang w:val="en-US"/>
        </w:rPr>
        <w:t xml:space="preserve"> foundational </w:t>
      </w:r>
      <w:r w:rsidR="61C6A1F9" w:rsidRPr="5D8904BE">
        <w:rPr>
          <w:sz w:val="20"/>
          <w:szCs w:val="20"/>
          <w:lang w:val="en-US"/>
        </w:rPr>
        <w:t>Urbain</w:t>
      </w:r>
      <w:r w:rsidR="2A9F3B27" w:rsidRPr="5D8904BE">
        <w:rPr>
          <w:sz w:val="20"/>
          <w:szCs w:val="20"/>
          <w:lang w:val="en-US"/>
        </w:rPr>
        <w:t xml:space="preserve"> resilience project in Bamako (</w:t>
      </w:r>
      <w:r w:rsidRPr="5D8904BE">
        <w:rPr>
          <w:sz w:val="20"/>
          <w:szCs w:val="20"/>
          <w:lang w:val="en-US"/>
        </w:rPr>
        <w:t>PRUBA</w:t>
      </w:r>
      <w:r w:rsidR="78ED8B39" w:rsidRPr="5D8904BE">
        <w:rPr>
          <w:sz w:val="20"/>
          <w:szCs w:val="20"/>
          <w:lang w:val="en-US"/>
        </w:rPr>
        <w:t>)</w:t>
      </w:r>
      <w:r w:rsidR="607B0B87" w:rsidRPr="5D8904BE">
        <w:rPr>
          <w:sz w:val="20"/>
          <w:szCs w:val="20"/>
          <w:lang w:val="en-US"/>
        </w:rPr>
        <w:t xml:space="preserve">, </w:t>
      </w:r>
      <w:r w:rsidR="1C37F9A6" w:rsidRPr="5D8904BE">
        <w:rPr>
          <w:sz w:val="20"/>
          <w:szCs w:val="20"/>
          <w:lang w:val="en-US"/>
        </w:rPr>
        <w:t>t</w:t>
      </w:r>
      <w:r w:rsidR="78ED8B39" w:rsidRPr="5D8904BE">
        <w:rPr>
          <w:sz w:val="20"/>
          <w:szCs w:val="20"/>
          <w:lang w:val="en-US"/>
        </w:rPr>
        <w:t>his</w:t>
      </w:r>
      <w:r w:rsidRPr="5D8904BE">
        <w:rPr>
          <w:sz w:val="20"/>
          <w:szCs w:val="20"/>
          <w:lang w:val="en-US"/>
        </w:rPr>
        <w:t xml:space="preserve"> represent</w:t>
      </w:r>
      <w:r w:rsidR="51CF7E39" w:rsidRPr="5D8904BE">
        <w:rPr>
          <w:sz w:val="20"/>
          <w:szCs w:val="20"/>
          <w:lang w:val="en-US"/>
        </w:rPr>
        <w:t>s</w:t>
      </w:r>
      <w:r w:rsidRPr="5D8904BE">
        <w:rPr>
          <w:sz w:val="20"/>
          <w:szCs w:val="20"/>
          <w:lang w:val="en-US"/>
        </w:rPr>
        <w:t xml:space="preserve"> catalytic investments rather than comprehensive financing. Therefore, a key pathway to impact lies in leveraging these public resources to unlock </w:t>
      </w:r>
      <w:r w:rsidRPr="5D8904BE">
        <w:rPr>
          <w:b/>
          <w:bCs/>
          <w:sz w:val="20"/>
          <w:szCs w:val="20"/>
          <w:lang w:val="en-US"/>
        </w:rPr>
        <w:t>private sector financing</w:t>
      </w:r>
      <w:r w:rsidRPr="5D8904BE">
        <w:rPr>
          <w:sz w:val="20"/>
          <w:szCs w:val="20"/>
          <w:lang w:val="en-US"/>
        </w:rPr>
        <w:t>, particularly in areas such as green infrastructure, waste management, sustainable mobility, and climate-smart housing. Achieving this will require targeted legal and fiscal reforms, capacity building for municipal procurement and planning teams, and risk mitigation mechanisms that reduce barriers to entry for private investors.</w:t>
      </w:r>
    </w:p>
    <w:p w14:paraId="124DF8F4" w14:textId="555FA01C" w:rsidR="67AF5084" w:rsidRDefault="2B21EF59" w:rsidP="5D8904BE">
      <w:pPr>
        <w:widowControl w:val="0"/>
        <w:spacing w:before="240" w:after="240"/>
        <w:jc w:val="both"/>
        <w:rPr>
          <w:sz w:val="20"/>
          <w:szCs w:val="20"/>
          <w:lang w:val="en-US"/>
        </w:rPr>
      </w:pPr>
      <w:r w:rsidRPr="3D58A386">
        <w:rPr>
          <w:sz w:val="20"/>
          <w:szCs w:val="20"/>
          <w:lang w:val="en-US"/>
        </w:rPr>
        <w:t xml:space="preserve">Technically, the project will require </w:t>
      </w:r>
      <w:r w:rsidRPr="3D58A386">
        <w:rPr>
          <w:b/>
          <w:bCs/>
          <w:sz w:val="20"/>
          <w:szCs w:val="20"/>
          <w:lang w:val="en-US"/>
        </w:rPr>
        <w:t>modern digital tools</w:t>
      </w:r>
      <w:r w:rsidRPr="3D58A386">
        <w:rPr>
          <w:sz w:val="20"/>
          <w:szCs w:val="20"/>
          <w:lang w:val="en-US"/>
        </w:rPr>
        <w:t xml:space="preserve"> and platforms, including geographic information systems (GIS), urban data observatories, and citizen engagement portals. These tools will support integrated planning and monitoring, </w:t>
      </w:r>
      <w:r w:rsidR="1D3963FF" w:rsidRPr="3D58A386">
        <w:rPr>
          <w:sz w:val="20"/>
          <w:szCs w:val="20"/>
          <w:lang w:val="en-US"/>
        </w:rPr>
        <w:t>enable</w:t>
      </w:r>
      <w:r w:rsidRPr="3D58A386">
        <w:rPr>
          <w:sz w:val="20"/>
          <w:szCs w:val="20"/>
          <w:lang w:val="en-US"/>
        </w:rPr>
        <w:t xml:space="preserve"> real-time visibility of urban </w:t>
      </w:r>
      <w:r w:rsidR="4CBCAC76" w:rsidRPr="3D58A386">
        <w:rPr>
          <w:sz w:val="20"/>
          <w:szCs w:val="20"/>
          <w:lang w:val="en-US"/>
        </w:rPr>
        <w:t>dynamics,</w:t>
      </w:r>
      <w:r w:rsidRPr="3D58A386">
        <w:rPr>
          <w:sz w:val="20"/>
          <w:szCs w:val="20"/>
          <w:lang w:val="en-US"/>
        </w:rPr>
        <w:t xml:space="preserve"> and </w:t>
      </w:r>
      <w:r w:rsidR="101829CC" w:rsidRPr="3D58A386">
        <w:rPr>
          <w:sz w:val="20"/>
          <w:szCs w:val="20"/>
          <w:lang w:val="en-US"/>
        </w:rPr>
        <w:t>facilitate</w:t>
      </w:r>
      <w:r w:rsidRPr="3D58A386">
        <w:rPr>
          <w:sz w:val="20"/>
          <w:szCs w:val="20"/>
          <w:lang w:val="en-US"/>
        </w:rPr>
        <w:t xml:space="preserve"> more responsive governance.</w:t>
      </w:r>
    </w:p>
    <w:p w14:paraId="6A7701D1" w14:textId="49D1678B" w:rsidR="67AF5084" w:rsidRDefault="610D0219" w:rsidP="5D8904BE">
      <w:pPr>
        <w:widowControl w:val="0"/>
        <w:spacing w:before="240" w:after="240"/>
        <w:jc w:val="both"/>
        <w:rPr>
          <w:sz w:val="20"/>
          <w:szCs w:val="20"/>
          <w:lang w:val="en-US"/>
        </w:rPr>
      </w:pPr>
      <w:r w:rsidRPr="5D8904BE">
        <w:rPr>
          <w:sz w:val="20"/>
          <w:szCs w:val="20"/>
          <w:lang w:val="en-US"/>
        </w:rPr>
        <w:t xml:space="preserve">Lastly, a substantial investment in </w:t>
      </w:r>
      <w:r w:rsidRPr="5D8904BE">
        <w:rPr>
          <w:b/>
          <w:bCs/>
          <w:sz w:val="20"/>
          <w:szCs w:val="20"/>
          <w:lang w:val="en-US"/>
        </w:rPr>
        <w:t>capacity strengthening</w:t>
      </w:r>
      <w:r w:rsidRPr="5D8904BE">
        <w:rPr>
          <w:sz w:val="20"/>
          <w:szCs w:val="20"/>
          <w:lang w:val="en-US"/>
        </w:rPr>
        <w:t xml:space="preserve"> is indispensable. This includes tailored training modules (with a strong gender lens), mentorship programs for young professionals, and continuous learning for public servants engaged in urban management. These interventions must be accompanied by a costed and time-bound implementation strategy, with strong monitoring and evaluation systems to track institutional change and adaptive learning.</w:t>
      </w:r>
    </w:p>
    <w:p w14:paraId="31C56256" w14:textId="2C667DBD" w:rsidR="3C8408A9" w:rsidRPr="009804E6" w:rsidRDefault="7FC1027F" w:rsidP="009804E6">
      <w:pPr>
        <w:spacing w:before="240" w:after="240" w:line="240" w:lineRule="auto"/>
        <w:jc w:val="both"/>
        <w:rPr>
          <w:sz w:val="20"/>
          <w:szCs w:val="20"/>
          <w:lang w:val="en-US"/>
        </w:rPr>
      </w:pPr>
      <w:r w:rsidRPr="5D8904BE">
        <w:rPr>
          <w:sz w:val="20"/>
          <w:szCs w:val="20"/>
          <w:lang w:val="en-US"/>
        </w:rPr>
        <w:t>In summary, the realization of the IUDP’s ambitions rests on a foundation of human expertise, institutional coordination, participatory governance, and financial innovation. Only by assembling and aligning these resources can the project generate inclusive, resilient, and sustainable urban futures for Bamako and beyond.</w:t>
      </w:r>
    </w:p>
    <w:p w14:paraId="00000610" w14:textId="77777777" w:rsidR="004F7DB3" w:rsidRPr="00E148CB" w:rsidRDefault="496F1838" w:rsidP="3C8408A9">
      <w:pPr>
        <w:spacing w:before="240" w:after="120" w:line="276" w:lineRule="auto"/>
        <w:jc w:val="both"/>
        <w:rPr>
          <w:sz w:val="20"/>
          <w:szCs w:val="20"/>
          <w:u w:val="single"/>
          <w:lang w:val="en-US"/>
        </w:rPr>
      </w:pPr>
      <w:r w:rsidRPr="00E148CB">
        <w:rPr>
          <w:sz w:val="20"/>
          <w:szCs w:val="20"/>
          <w:u w:val="single"/>
          <w:lang w:val="en-US"/>
        </w:rPr>
        <w:lastRenderedPageBreak/>
        <w:t>Private sector engagement in the project</w:t>
      </w:r>
    </w:p>
    <w:p w14:paraId="3E4E66EE" w14:textId="13F6B5D4" w:rsidR="27DBE1D5" w:rsidRDefault="55D2B255" w:rsidP="3C8408A9">
      <w:pPr>
        <w:spacing w:before="240" w:after="240" w:line="276" w:lineRule="auto"/>
        <w:jc w:val="both"/>
        <w:rPr>
          <w:sz w:val="20"/>
          <w:szCs w:val="20"/>
          <w:lang w:val="en-US"/>
        </w:rPr>
      </w:pPr>
      <w:proofErr w:type="gramStart"/>
      <w:r w:rsidRPr="537FA187">
        <w:rPr>
          <w:sz w:val="20"/>
          <w:szCs w:val="20"/>
          <w:lang w:val="en-US"/>
        </w:rPr>
        <w:t>The  IUDP</w:t>
      </w:r>
      <w:proofErr w:type="gramEnd"/>
      <w:r w:rsidRPr="537FA187">
        <w:rPr>
          <w:sz w:val="20"/>
          <w:szCs w:val="20"/>
          <w:lang w:val="en-US"/>
        </w:rPr>
        <w:t xml:space="preserve"> recognizes the </w:t>
      </w:r>
      <w:r w:rsidRPr="537FA187">
        <w:rPr>
          <w:b/>
          <w:bCs/>
          <w:sz w:val="20"/>
          <w:szCs w:val="20"/>
          <w:lang w:val="en-US"/>
        </w:rPr>
        <w:t>private sector as a critical driver of innovation, investment, and inclusive growth</w:t>
      </w:r>
      <w:r w:rsidRPr="537FA187">
        <w:rPr>
          <w:sz w:val="20"/>
          <w:szCs w:val="20"/>
          <w:lang w:val="en-US"/>
        </w:rPr>
        <w:t xml:space="preserve"> within Bamako’s urban transformation. From the earliest stages of project formulation, the private sector has been treated not only as a beneficiary but as a </w:t>
      </w:r>
      <w:r w:rsidRPr="537FA187">
        <w:rPr>
          <w:b/>
          <w:bCs/>
          <w:sz w:val="20"/>
          <w:szCs w:val="20"/>
          <w:lang w:val="en-US"/>
        </w:rPr>
        <w:t>co-creator of solutions</w:t>
      </w:r>
      <w:r w:rsidRPr="537FA187">
        <w:rPr>
          <w:sz w:val="20"/>
          <w:szCs w:val="20"/>
          <w:lang w:val="en-US"/>
        </w:rPr>
        <w:t>, ensuring that interventions are grounded in market realities and capable of catalyzing long-term sustainability.</w:t>
      </w:r>
    </w:p>
    <w:p w14:paraId="320BA3EB" w14:textId="3A63FE8B" w:rsidR="27DBE1D5" w:rsidRDefault="05E01E35" w:rsidP="3C8408A9">
      <w:pPr>
        <w:spacing w:before="240" w:after="240"/>
        <w:jc w:val="both"/>
        <w:rPr>
          <w:sz w:val="20"/>
          <w:szCs w:val="20"/>
          <w:lang w:val="en-US"/>
        </w:rPr>
      </w:pPr>
      <w:r w:rsidRPr="3C8408A9">
        <w:rPr>
          <w:sz w:val="20"/>
          <w:szCs w:val="20"/>
          <w:lang w:val="en-US"/>
        </w:rPr>
        <w:t>The project formulation kick-off workshop, held on 14 April 2025, was a pivotal moment for stakeholder alignment and inclusion. The event brought together a diverse range of actors from the Malian private sector ecosystem, including the National Employers Council (CNPM), the Chamber of Commerce and Industry of Mali (CCIM), the Permanent Assembly of Chambers of Trades (APCMM), as well as local entrepreneurs, startups, and innovation hubs. This inclusive platform ensured early buy-in and created the foundations for a participatory approach to project design.</w:t>
      </w:r>
    </w:p>
    <w:p w14:paraId="58E31154" w14:textId="216AFE02" w:rsidR="27DBE1D5" w:rsidRDefault="156AA348" w:rsidP="3C8408A9">
      <w:pPr>
        <w:spacing w:before="240" w:after="240"/>
        <w:jc w:val="both"/>
        <w:rPr>
          <w:sz w:val="20"/>
          <w:szCs w:val="20"/>
          <w:lang w:val="en-US"/>
        </w:rPr>
      </w:pPr>
      <w:r w:rsidRPr="5D8904BE">
        <w:rPr>
          <w:sz w:val="20"/>
          <w:szCs w:val="20"/>
          <w:lang w:val="en-US"/>
        </w:rPr>
        <w:t>Beyond this initial workshop, the project undertook a structured engagement process with the private sector through individual consultations, focus group discussions, and sector-specific roundtables. These included strategic dialogues with startup incubators, artisanal cooperatives, urban transport operators, green construction firms, waste management SMEs, and renewable energy providers. The process aimed not only to map the private sector landscape but also to uncover actionable insights on systemic barriers to private investment and innovation in urban services.</w:t>
      </w:r>
    </w:p>
    <w:p w14:paraId="0E63C3A1" w14:textId="599DF54F" w:rsidR="27DBE1D5" w:rsidRDefault="156AA348" w:rsidP="3C8408A9">
      <w:pPr>
        <w:spacing w:before="240" w:after="240"/>
        <w:jc w:val="both"/>
        <w:rPr>
          <w:sz w:val="20"/>
          <w:szCs w:val="20"/>
          <w:lang w:val="en-US"/>
        </w:rPr>
      </w:pPr>
      <w:r w:rsidRPr="5D8904BE">
        <w:rPr>
          <w:sz w:val="20"/>
          <w:szCs w:val="20"/>
          <w:lang w:val="en-US"/>
        </w:rPr>
        <w:t>Key challenges identified included:</w:t>
      </w:r>
    </w:p>
    <w:p w14:paraId="4A37C81F" w14:textId="094DA253" w:rsidR="27DBE1D5" w:rsidRDefault="156AA348" w:rsidP="001360BB">
      <w:pPr>
        <w:pStyle w:val="Paragraphedeliste"/>
        <w:numPr>
          <w:ilvl w:val="0"/>
          <w:numId w:val="150"/>
        </w:numPr>
        <w:spacing w:before="240" w:after="240"/>
        <w:jc w:val="both"/>
        <w:rPr>
          <w:sz w:val="20"/>
          <w:szCs w:val="20"/>
          <w:lang w:val="en-US"/>
        </w:rPr>
      </w:pPr>
      <w:r w:rsidRPr="5D8904BE">
        <w:rPr>
          <w:sz w:val="20"/>
          <w:szCs w:val="20"/>
          <w:lang w:val="en-US"/>
        </w:rPr>
        <w:t xml:space="preserve">Limited access to appropriate financing instruments, especially for early-stage green and social </w:t>
      </w:r>
      <w:proofErr w:type="gramStart"/>
      <w:r w:rsidRPr="5D8904BE">
        <w:rPr>
          <w:sz w:val="20"/>
          <w:szCs w:val="20"/>
          <w:lang w:val="en-US"/>
        </w:rPr>
        <w:t>enterprises;</w:t>
      </w:r>
      <w:proofErr w:type="gramEnd"/>
    </w:p>
    <w:p w14:paraId="38C8AB26" w14:textId="4F36017B" w:rsidR="27DBE1D5" w:rsidRDefault="05E01E35" w:rsidP="001360BB">
      <w:pPr>
        <w:pStyle w:val="Paragraphedeliste"/>
        <w:numPr>
          <w:ilvl w:val="0"/>
          <w:numId w:val="150"/>
        </w:numPr>
        <w:spacing w:before="240" w:after="240"/>
        <w:jc w:val="both"/>
        <w:rPr>
          <w:sz w:val="20"/>
          <w:szCs w:val="20"/>
          <w:lang w:val="en-US"/>
        </w:rPr>
      </w:pPr>
      <w:r w:rsidRPr="009804E6">
        <w:rPr>
          <w:sz w:val="20"/>
          <w:szCs w:val="20"/>
          <w:lang w:val="en-US"/>
        </w:rPr>
        <w:t>Regulatory uncertainty</w:t>
      </w:r>
      <w:r w:rsidRPr="3C8408A9">
        <w:rPr>
          <w:sz w:val="20"/>
          <w:szCs w:val="20"/>
          <w:lang w:val="en-US"/>
        </w:rPr>
        <w:t xml:space="preserve"> around urban land use, construction permits, and green investment </w:t>
      </w:r>
      <w:proofErr w:type="gramStart"/>
      <w:r w:rsidRPr="3C8408A9">
        <w:rPr>
          <w:sz w:val="20"/>
          <w:szCs w:val="20"/>
          <w:lang w:val="en-US"/>
        </w:rPr>
        <w:t>incentives;</w:t>
      </w:r>
      <w:proofErr w:type="gramEnd"/>
    </w:p>
    <w:p w14:paraId="4A5DDE7A" w14:textId="7A887406" w:rsidR="27DBE1D5" w:rsidRDefault="05E01E35" w:rsidP="001360BB">
      <w:pPr>
        <w:pStyle w:val="Paragraphedeliste"/>
        <w:numPr>
          <w:ilvl w:val="0"/>
          <w:numId w:val="150"/>
        </w:numPr>
        <w:spacing w:before="240" w:after="240"/>
        <w:jc w:val="both"/>
        <w:rPr>
          <w:sz w:val="20"/>
          <w:szCs w:val="20"/>
          <w:lang w:val="en-US"/>
        </w:rPr>
      </w:pPr>
      <w:r w:rsidRPr="009804E6">
        <w:rPr>
          <w:sz w:val="20"/>
          <w:szCs w:val="20"/>
          <w:lang w:val="en-US"/>
        </w:rPr>
        <w:t>Low levels of integration into public procurement and PPP frameworks</w:t>
      </w:r>
      <w:r w:rsidRPr="3C8408A9">
        <w:rPr>
          <w:sz w:val="20"/>
          <w:szCs w:val="20"/>
          <w:lang w:val="en-US"/>
        </w:rPr>
        <w:t xml:space="preserve">, particularly for youth- and women-led </w:t>
      </w:r>
      <w:proofErr w:type="gramStart"/>
      <w:r w:rsidRPr="3C8408A9">
        <w:rPr>
          <w:sz w:val="20"/>
          <w:szCs w:val="20"/>
          <w:lang w:val="en-US"/>
        </w:rPr>
        <w:t>businesses;</w:t>
      </w:r>
      <w:proofErr w:type="gramEnd"/>
    </w:p>
    <w:p w14:paraId="69663772" w14:textId="3422363C" w:rsidR="27DBE1D5" w:rsidRDefault="156AA348" w:rsidP="001360BB">
      <w:pPr>
        <w:pStyle w:val="Paragraphedeliste"/>
        <w:numPr>
          <w:ilvl w:val="0"/>
          <w:numId w:val="150"/>
        </w:numPr>
        <w:spacing w:before="240" w:after="240"/>
        <w:jc w:val="both"/>
        <w:rPr>
          <w:sz w:val="20"/>
          <w:szCs w:val="20"/>
          <w:lang w:val="en-US"/>
        </w:rPr>
      </w:pPr>
      <w:r w:rsidRPr="5D8904BE">
        <w:rPr>
          <w:sz w:val="20"/>
          <w:szCs w:val="20"/>
          <w:lang w:val="en-US"/>
        </w:rPr>
        <w:t>Weak institutional platforms for dialogue and coordination between local governments and business networks.</w:t>
      </w:r>
    </w:p>
    <w:p w14:paraId="3A54BDBA" w14:textId="497F6843" w:rsidR="27DBE1D5" w:rsidRDefault="05E01E35" w:rsidP="3C8408A9">
      <w:pPr>
        <w:spacing w:before="240" w:after="240"/>
        <w:jc w:val="both"/>
        <w:rPr>
          <w:sz w:val="20"/>
          <w:szCs w:val="20"/>
          <w:lang w:val="en-US"/>
        </w:rPr>
      </w:pPr>
      <w:r w:rsidRPr="3C8408A9">
        <w:rPr>
          <w:sz w:val="20"/>
          <w:szCs w:val="20"/>
          <w:lang w:val="en-US"/>
        </w:rPr>
        <w:t>These findings were instrumental in shaping the project’s dedicated interventions for private sector engagement, including:</w:t>
      </w:r>
    </w:p>
    <w:p w14:paraId="720BB09A" w14:textId="646DA1A4" w:rsidR="27DBE1D5" w:rsidRDefault="05E01E35" w:rsidP="001360BB">
      <w:pPr>
        <w:pStyle w:val="Paragraphedeliste"/>
        <w:numPr>
          <w:ilvl w:val="0"/>
          <w:numId w:val="149"/>
        </w:numPr>
        <w:spacing w:before="240" w:after="240"/>
        <w:jc w:val="both"/>
        <w:rPr>
          <w:sz w:val="20"/>
          <w:szCs w:val="20"/>
          <w:lang w:val="en-US"/>
        </w:rPr>
      </w:pPr>
      <w:r w:rsidRPr="3C8408A9">
        <w:rPr>
          <w:sz w:val="20"/>
          <w:szCs w:val="20"/>
          <w:lang w:val="en-US"/>
        </w:rPr>
        <w:t xml:space="preserve">A diagnostic study on fiscal and regulatory obstacles to sustainable investment, leading to policy reform proposals co-designed with public and private </w:t>
      </w:r>
      <w:proofErr w:type="gramStart"/>
      <w:r w:rsidRPr="3C8408A9">
        <w:rPr>
          <w:sz w:val="20"/>
          <w:szCs w:val="20"/>
          <w:lang w:val="en-US"/>
        </w:rPr>
        <w:t>stakeholders;</w:t>
      </w:r>
      <w:proofErr w:type="gramEnd"/>
    </w:p>
    <w:p w14:paraId="6EEF2729" w14:textId="5AAACC03" w:rsidR="27DBE1D5" w:rsidRDefault="05E01E35" w:rsidP="001360BB">
      <w:pPr>
        <w:pStyle w:val="Paragraphedeliste"/>
        <w:numPr>
          <w:ilvl w:val="0"/>
          <w:numId w:val="149"/>
        </w:numPr>
        <w:spacing w:before="240" w:after="240"/>
        <w:jc w:val="both"/>
        <w:rPr>
          <w:sz w:val="20"/>
          <w:szCs w:val="20"/>
          <w:lang w:val="en-US"/>
        </w:rPr>
      </w:pPr>
      <w:r w:rsidRPr="3C8408A9">
        <w:rPr>
          <w:sz w:val="20"/>
          <w:szCs w:val="20"/>
          <w:lang w:val="en-US"/>
        </w:rPr>
        <w:t xml:space="preserve">The establishment of a permanent multi-stakeholder coordination platform, anchored at the Bamako District Municipality, to foster structured public-private dialogue on sustainable urban </w:t>
      </w:r>
      <w:proofErr w:type="gramStart"/>
      <w:r w:rsidRPr="3C8408A9">
        <w:rPr>
          <w:sz w:val="20"/>
          <w:szCs w:val="20"/>
          <w:lang w:val="en-US"/>
        </w:rPr>
        <w:t>investment;</w:t>
      </w:r>
      <w:proofErr w:type="gramEnd"/>
    </w:p>
    <w:p w14:paraId="5EBF2942" w14:textId="280F4F1F" w:rsidR="27DBE1D5" w:rsidRDefault="05E01E35" w:rsidP="001360BB">
      <w:pPr>
        <w:pStyle w:val="Paragraphedeliste"/>
        <w:numPr>
          <w:ilvl w:val="0"/>
          <w:numId w:val="149"/>
        </w:numPr>
        <w:spacing w:before="240" w:after="240"/>
        <w:jc w:val="both"/>
        <w:rPr>
          <w:sz w:val="20"/>
          <w:szCs w:val="20"/>
          <w:lang w:val="en-US"/>
        </w:rPr>
      </w:pPr>
      <w:r w:rsidRPr="3C8408A9">
        <w:rPr>
          <w:sz w:val="20"/>
          <w:szCs w:val="20"/>
          <w:lang w:val="en-US"/>
        </w:rPr>
        <w:t xml:space="preserve">The development of an enabling framework for innovative financing mechanisms, including public incentives, de-risking instruments, and blended finance </w:t>
      </w:r>
      <w:proofErr w:type="gramStart"/>
      <w:r w:rsidRPr="3C8408A9">
        <w:rPr>
          <w:sz w:val="20"/>
          <w:szCs w:val="20"/>
          <w:lang w:val="en-US"/>
        </w:rPr>
        <w:t>solutions;</w:t>
      </w:r>
      <w:proofErr w:type="gramEnd"/>
    </w:p>
    <w:p w14:paraId="6503F231" w14:textId="59D5C18D" w:rsidR="27DBE1D5" w:rsidRPr="009804E6" w:rsidRDefault="156AA348" w:rsidP="001360BB">
      <w:pPr>
        <w:pStyle w:val="Paragraphedeliste"/>
        <w:numPr>
          <w:ilvl w:val="0"/>
          <w:numId w:val="149"/>
        </w:numPr>
        <w:spacing w:before="240" w:after="240"/>
        <w:jc w:val="both"/>
        <w:rPr>
          <w:sz w:val="20"/>
          <w:szCs w:val="20"/>
          <w:lang w:val="en-US"/>
        </w:rPr>
      </w:pPr>
      <w:r w:rsidRPr="5D8904BE">
        <w:rPr>
          <w:sz w:val="20"/>
          <w:szCs w:val="20"/>
          <w:lang w:val="en-US"/>
        </w:rPr>
        <w:t>Support for youth-led innovation through hackathons, incubation, and fundraising assistance for high-potential urban solutions.</w:t>
      </w:r>
    </w:p>
    <w:p w14:paraId="522BFF92" w14:textId="1FD7E5C8" w:rsidR="27DBE1D5" w:rsidRDefault="69DBB7A4" w:rsidP="3C8408A9">
      <w:pPr>
        <w:spacing w:before="240" w:after="240"/>
        <w:jc w:val="both"/>
        <w:rPr>
          <w:sz w:val="20"/>
          <w:szCs w:val="20"/>
          <w:lang w:val="en-US"/>
        </w:rPr>
      </w:pPr>
      <w:r w:rsidRPr="5D8904BE">
        <w:rPr>
          <w:sz w:val="20"/>
          <w:szCs w:val="20"/>
          <w:lang w:val="en-US"/>
        </w:rPr>
        <w:t>Throughout implementation, the project will continue to work closely with private sector stakeholders via technical working groups, advisory panels, and feedback loops, ensuring that interventions remain responsive, scalable, and aligned with emerging market opportunities.</w:t>
      </w:r>
      <w:r w:rsidR="1FD901D5" w:rsidRPr="5D8904BE">
        <w:rPr>
          <w:sz w:val="20"/>
          <w:szCs w:val="20"/>
          <w:lang w:val="en-US"/>
        </w:rPr>
        <w:t xml:space="preserve"> This involves cultivating new types of partnerships and leveraging a diverse mix of innovative, realistic, and blended financial solutions that go beyond conventional municipal taxation. These may include smart partnerships, financial engineering, and strategic use of city assets.</w:t>
      </w:r>
      <w:r w:rsidR="23495427" w:rsidRPr="5D8904BE">
        <w:rPr>
          <w:sz w:val="20"/>
          <w:szCs w:val="20"/>
          <w:lang w:val="en-US"/>
        </w:rPr>
        <w:t xml:space="preserve">  </w:t>
      </w:r>
      <w:r w:rsidR="1FD901D5" w:rsidRPr="5D8904BE">
        <w:rPr>
          <w:sz w:val="20"/>
          <w:szCs w:val="20"/>
          <w:lang w:val="en-US"/>
        </w:rPr>
        <w:t xml:space="preserve">Concrete proposals </w:t>
      </w:r>
      <w:r w:rsidR="393D2D14" w:rsidRPr="5D8904BE">
        <w:rPr>
          <w:sz w:val="20"/>
          <w:szCs w:val="20"/>
          <w:lang w:val="en-US"/>
        </w:rPr>
        <w:t>for the</w:t>
      </w:r>
      <w:r w:rsidR="16CA2AB3" w:rsidRPr="5D8904BE">
        <w:rPr>
          <w:sz w:val="20"/>
          <w:szCs w:val="20"/>
          <w:lang w:val="en-US"/>
        </w:rPr>
        <w:t xml:space="preserve"> IDUP in Bamako</w:t>
      </w:r>
      <w:r w:rsidR="393D2D14" w:rsidRPr="5D8904BE">
        <w:rPr>
          <w:sz w:val="20"/>
          <w:szCs w:val="20"/>
          <w:lang w:val="en-US"/>
        </w:rPr>
        <w:t xml:space="preserve"> to explore during the implementation</w:t>
      </w:r>
      <w:r w:rsidR="1FD901D5" w:rsidRPr="5D8904BE">
        <w:rPr>
          <w:sz w:val="20"/>
          <w:szCs w:val="20"/>
          <w:lang w:val="en-US"/>
        </w:rPr>
        <w:t xml:space="preserve"> include:</w:t>
      </w:r>
    </w:p>
    <w:p w14:paraId="5070F717" w14:textId="56DCC347" w:rsidR="27DBE1D5" w:rsidRDefault="40BD58B2" w:rsidP="001360BB">
      <w:pPr>
        <w:pStyle w:val="Paragraphedeliste"/>
        <w:numPr>
          <w:ilvl w:val="0"/>
          <w:numId w:val="148"/>
        </w:numPr>
        <w:spacing w:before="240" w:after="240"/>
        <w:jc w:val="both"/>
        <w:rPr>
          <w:sz w:val="20"/>
          <w:szCs w:val="20"/>
          <w:lang w:val="en-US"/>
        </w:rPr>
      </w:pPr>
      <w:r w:rsidRPr="51745E8D">
        <w:rPr>
          <w:b/>
          <w:bCs/>
          <w:sz w:val="20"/>
          <w:szCs w:val="20"/>
          <w:lang w:val="en-US"/>
        </w:rPr>
        <w:t>Partnering with ANICT to back municipal loans:</w:t>
      </w:r>
      <w:r w:rsidRPr="51745E8D">
        <w:rPr>
          <w:sz w:val="20"/>
          <w:szCs w:val="20"/>
          <w:lang w:val="en-US"/>
        </w:rPr>
        <w:t xml:space="preserve"> The National Agency for the Investment of Local Authorities (ANICT) has expressed interest in acting as a guarantor for municipal loans contracted by </w:t>
      </w:r>
      <w:r w:rsidRPr="51745E8D">
        <w:rPr>
          <w:sz w:val="20"/>
          <w:szCs w:val="20"/>
          <w:lang w:val="en-US"/>
        </w:rPr>
        <w:lastRenderedPageBreak/>
        <w:t>Bamako with local banks. This mechanism could unlock funding for revenue-generating projects—such as shaded public spaces—while creating new income streams for loan repayment.</w:t>
      </w:r>
    </w:p>
    <w:p w14:paraId="77A18100" w14:textId="653B2A25" w:rsidR="27DBE1D5" w:rsidRDefault="40BD58B2" w:rsidP="001360BB">
      <w:pPr>
        <w:pStyle w:val="Paragraphedeliste"/>
        <w:numPr>
          <w:ilvl w:val="0"/>
          <w:numId w:val="148"/>
        </w:numPr>
        <w:spacing w:before="240" w:after="240"/>
        <w:jc w:val="both"/>
        <w:rPr>
          <w:sz w:val="20"/>
          <w:szCs w:val="20"/>
          <w:lang w:val="en-US"/>
        </w:rPr>
      </w:pPr>
      <w:r w:rsidRPr="51745E8D">
        <w:rPr>
          <w:b/>
          <w:bCs/>
          <w:sz w:val="20"/>
          <w:szCs w:val="20"/>
          <w:lang w:val="en-US"/>
        </w:rPr>
        <w:t>Boosting local revenue through digital tax collection:</w:t>
      </w:r>
      <w:r w:rsidRPr="51745E8D">
        <w:rPr>
          <w:sz w:val="20"/>
          <w:szCs w:val="20"/>
          <w:lang w:val="en-US"/>
        </w:rPr>
        <w:t xml:space="preserve"> Building on the past collaboration with NTA-TECH to implement KLIS’PAY, a digital platform for modern tax collection, the city can refine and relaunch such systems. Lessons learned, along with strong technical support, could ensure greater success and transparency in local revenue mobilization.</w:t>
      </w:r>
    </w:p>
    <w:p w14:paraId="3B5A508C" w14:textId="13AAC1AB" w:rsidR="27DBE1D5" w:rsidRDefault="40BD58B2" w:rsidP="001360BB">
      <w:pPr>
        <w:pStyle w:val="Paragraphedeliste"/>
        <w:numPr>
          <w:ilvl w:val="0"/>
          <w:numId w:val="148"/>
        </w:numPr>
        <w:spacing w:before="240" w:after="240"/>
        <w:jc w:val="both"/>
        <w:rPr>
          <w:sz w:val="20"/>
          <w:szCs w:val="20"/>
          <w:lang w:val="en-US"/>
        </w:rPr>
      </w:pPr>
      <w:r w:rsidRPr="51745E8D">
        <w:rPr>
          <w:b/>
          <w:bCs/>
          <w:sz w:val="20"/>
          <w:szCs w:val="20"/>
          <w:lang w:val="en-US"/>
        </w:rPr>
        <w:t>Launching PPPs for urban infrastructure and services:</w:t>
      </w:r>
      <w:r w:rsidRPr="51745E8D">
        <w:rPr>
          <w:sz w:val="20"/>
          <w:szCs w:val="20"/>
          <w:lang w:val="en-US"/>
        </w:rPr>
        <w:t xml:space="preserve"> Bamako can mobilize the private sector to co-invest in critical public services—such as waste management, green infrastructure maintenance, and clean mobility—through public-private partnerships. These models, which include concessions and co-management agreements, ensure shared responsibility and performance-based outcomes.</w:t>
      </w:r>
    </w:p>
    <w:p w14:paraId="28E51067" w14:textId="0A94EE4F" w:rsidR="27DBE1D5" w:rsidRDefault="1FD901D5" w:rsidP="001360BB">
      <w:pPr>
        <w:pStyle w:val="Paragraphedeliste"/>
        <w:numPr>
          <w:ilvl w:val="0"/>
          <w:numId w:val="148"/>
        </w:numPr>
        <w:spacing w:before="240" w:after="240"/>
        <w:jc w:val="both"/>
        <w:rPr>
          <w:sz w:val="20"/>
          <w:szCs w:val="20"/>
          <w:lang w:val="en-US"/>
        </w:rPr>
      </w:pPr>
      <w:r w:rsidRPr="5D8904BE">
        <w:rPr>
          <w:b/>
          <w:bCs/>
          <w:sz w:val="20"/>
          <w:szCs w:val="20"/>
          <w:lang w:val="en-US"/>
        </w:rPr>
        <w:t>Creating a Green Urban Fund:</w:t>
      </w:r>
      <w:r w:rsidRPr="5D8904BE">
        <w:rPr>
          <w:sz w:val="20"/>
          <w:szCs w:val="20"/>
          <w:lang w:val="en-US"/>
        </w:rPr>
        <w:t xml:space="preserve"> Establishing a dedicated Green Fund could pool resources from environmental fees, CSR contributions, and climate finance (e.g., from the GCF or BOAD) to support low-carbon and resilient urban initiatives.</w:t>
      </w:r>
    </w:p>
    <w:p w14:paraId="0A07BB80" w14:textId="0764E514" w:rsidR="27DBE1D5" w:rsidRDefault="40BD58B2" w:rsidP="001360BB">
      <w:pPr>
        <w:pStyle w:val="Paragraphedeliste"/>
        <w:numPr>
          <w:ilvl w:val="0"/>
          <w:numId w:val="148"/>
        </w:numPr>
        <w:spacing w:before="240" w:after="240"/>
        <w:jc w:val="both"/>
        <w:rPr>
          <w:sz w:val="20"/>
          <w:szCs w:val="20"/>
          <w:lang w:val="en-US"/>
        </w:rPr>
      </w:pPr>
      <w:r w:rsidRPr="51745E8D">
        <w:rPr>
          <w:b/>
          <w:bCs/>
          <w:sz w:val="20"/>
          <w:szCs w:val="20"/>
          <w:lang w:val="en-US"/>
        </w:rPr>
        <w:t>Earning carbon credits:</w:t>
      </w:r>
      <w:r w:rsidRPr="51745E8D">
        <w:rPr>
          <w:sz w:val="20"/>
          <w:szCs w:val="20"/>
          <w:lang w:val="en-US"/>
        </w:rPr>
        <w:t xml:space="preserve"> Urban greening activities, solar installations, and clean cooking solutions offer the potential to generate carbon credits that could be certified and monetized on the voluntary carbon market.</w:t>
      </w:r>
    </w:p>
    <w:p w14:paraId="47635AC5" w14:textId="63E0F34C" w:rsidR="27DBE1D5" w:rsidRDefault="1FD901D5" w:rsidP="001360BB">
      <w:pPr>
        <w:pStyle w:val="Paragraphedeliste"/>
        <w:numPr>
          <w:ilvl w:val="0"/>
          <w:numId w:val="148"/>
        </w:numPr>
        <w:spacing w:before="240" w:after="240"/>
        <w:jc w:val="both"/>
        <w:rPr>
          <w:sz w:val="20"/>
          <w:szCs w:val="20"/>
          <w:lang w:val="en-US"/>
        </w:rPr>
      </w:pPr>
      <w:r w:rsidRPr="5D8904BE">
        <w:rPr>
          <w:b/>
          <w:bCs/>
          <w:sz w:val="20"/>
          <w:szCs w:val="20"/>
          <w:lang w:val="en-US"/>
        </w:rPr>
        <w:t>Generating revenue from upgraded public spaces:</w:t>
      </w:r>
      <w:r w:rsidRPr="5D8904BE">
        <w:rPr>
          <w:sz w:val="20"/>
          <w:szCs w:val="20"/>
          <w:lang w:val="en-US"/>
        </w:rPr>
        <w:t xml:space="preserve"> Well-managed green markets, eco-transport hubs, and parks can serve both social and economic purposes. The city can derive income through leasing, service fees, or community-led micro-enterprises operating in these spaces.</w:t>
      </w:r>
    </w:p>
    <w:p w14:paraId="4611A0E9" w14:textId="6D644D36" w:rsidR="27DBE1D5" w:rsidRDefault="1FD901D5" w:rsidP="001360BB">
      <w:pPr>
        <w:pStyle w:val="Paragraphedeliste"/>
        <w:numPr>
          <w:ilvl w:val="0"/>
          <w:numId w:val="148"/>
        </w:numPr>
        <w:spacing w:before="240" w:after="240"/>
        <w:jc w:val="both"/>
        <w:rPr>
          <w:sz w:val="20"/>
          <w:szCs w:val="20"/>
          <w:lang w:val="en-US"/>
        </w:rPr>
      </w:pPr>
      <w:r w:rsidRPr="5D8904BE">
        <w:rPr>
          <w:b/>
          <w:bCs/>
          <w:sz w:val="20"/>
          <w:szCs w:val="20"/>
          <w:lang w:val="en-US"/>
        </w:rPr>
        <w:t>Leveraging corporate sponsorships and CSR funding:</w:t>
      </w:r>
      <w:r w:rsidRPr="5D8904BE">
        <w:rPr>
          <w:sz w:val="20"/>
          <w:szCs w:val="20"/>
          <w:lang w:val="en-US"/>
        </w:rPr>
        <w:t xml:space="preserve"> </w:t>
      </w:r>
      <w:r w:rsidR="1168E032" w:rsidRPr="5D8904BE">
        <w:rPr>
          <w:sz w:val="20"/>
          <w:szCs w:val="20"/>
          <w:lang w:val="en-US"/>
        </w:rPr>
        <w:t>large</w:t>
      </w:r>
      <w:r w:rsidRPr="5D8904BE">
        <w:rPr>
          <w:sz w:val="20"/>
          <w:szCs w:val="20"/>
          <w:lang w:val="en-US"/>
        </w:rPr>
        <w:t xml:space="preserve"> companies operating in Bamako, including those in telecom, finance, and manufacturing, often have dedicated CSR budgets. The city could establish a sponsorship program enabling these actors to visibly support green public infrastructure such as parks, bicycle paths, and community gardens.</w:t>
      </w:r>
    </w:p>
    <w:p w14:paraId="514B45A4" w14:textId="15A0096F" w:rsidR="27DBE1D5" w:rsidRDefault="1FD901D5" w:rsidP="001360BB">
      <w:pPr>
        <w:pStyle w:val="Paragraphedeliste"/>
        <w:numPr>
          <w:ilvl w:val="0"/>
          <w:numId w:val="148"/>
        </w:numPr>
        <w:spacing w:before="240" w:after="240"/>
        <w:jc w:val="both"/>
        <w:rPr>
          <w:sz w:val="20"/>
          <w:szCs w:val="20"/>
          <w:lang w:val="en-US"/>
        </w:rPr>
      </w:pPr>
      <w:r w:rsidRPr="5D8904BE">
        <w:rPr>
          <w:b/>
          <w:bCs/>
          <w:sz w:val="20"/>
          <w:szCs w:val="20"/>
          <w:lang w:val="en-US"/>
        </w:rPr>
        <w:t>Exploring municipal and green bonds:</w:t>
      </w:r>
      <w:r w:rsidRPr="5D8904BE">
        <w:rPr>
          <w:sz w:val="20"/>
          <w:szCs w:val="20"/>
          <w:lang w:val="en-US"/>
        </w:rPr>
        <w:t xml:space="preserve"> As financial governance and credibility </w:t>
      </w:r>
      <w:proofErr w:type="gramStart"/>
      <w:r w:rsidRPr="5D8904BE">
        <w:rPr>
          <w:sz w:val="20"/>
          <w:szCs w:val="20"/>
          <w:lang w:val="en-US"/>
        </w:rPr>
        <w:t>improve,</w:t>
      </w:r>
      <w:proofErr w:type="gramEnd"/>
      <w:r w:rsidRPr="5D8904BE">
        <w:rPr>
          <w:sz w:val="20"/>
          <w:szCs w:val="20"/>
          <w:lang w:val="en-US"/>
        </w:rPr>
        <w:t xml:space="preserve"> Bamako may gradually access more sophisticated instruments such as municipal bonds or participate in sub-national green bond issuances to fund transformative urban projects like BRT systems or city-wide solar grids.</w:t>
      </w:r>
    </w:p>
    <w:p w14:paraId="75F2C215" w14:textId="19D9718B" w:rsidR="27DBE1D5" w:rsidRDefault="40BD58B2" w:rsidP="009804E6">
      <w:pPr>
        <w:spacing w:before="240" w:after="240"/>
        <w:jc w:val="both"/>
        <w:rPr>
          <w:sz w:val="20"/>
          <w:szCs w:val="20"/>
          <w:lang w:val="en-US"/>
        </w:rPr>
      </w:pPr>
      <w:r w:rsidRPr="51745E8D">
        <w:rPr>
          <w:sz w:val="20"/>
          <w:szCs w:val="20"/>
          <w:lang w:val="en-US"/>
        </w:rPr>
        <w:t>By integrating these innovative approaches into the broader framework of the project, Bamako can significantly enhance the role of the private sector, improve the enabling environment for investment, and generate long-term, sustainable financing for its urban transformation.</w:t>
      </w:r>
    </w:p>
    <w:p w14:paraId="33E15708" w14:textId="1EEA968C" w:rsidR="27DBE1D5" w:rsidRDefault="156AA348" w:rsidP="3C8408A9">
      <w:pPr>
        <w:spacing w:before="240" w:after="240"/>
        <w:jc w:val="both"/>
        <w:rPr>
          <w:sz w:val="20"/>
          <w:szCs w:val="20"/>
          <w:lang w:val="en-US"/>
        </w:rPr>
      </w:pPr>
      <w:r w:rsidRPr="5D8904BE">
        <w:rPr>
          <w:sz w:val="20"/>
          <w:szCs w:val="20"/>
          <w:lang w:val="en-US"/>
        </w:rPr>
        <w:t>Ultimately, the project’s theory of change rests on the premise that inclusive, climate-resilient urban development cannot succeed without the full participation of the private sector—not only as investors and service providers, but also as innovation partners, employment generators, and agents of social impact.</w:t>
      </w:r>
    </w:p>
    <w:p w14:paraId="00000613" w14:textId="6C816679" w:rsidR="004F7DB3" w:rsidRPr="00544B2E" w:rsidRDefault="0522F05F" w:rsidP="00E66FA9">
      <w:pPr>
        <w:rPr>
          <w:color w:val="0F4761" w:themeColor="accent1" w:themeShade="BF"/>
          <w:u w:val="single"/>
          <w:lang w:val="en-US"/>
        </w:rPr>
      </w:pPr>
      <w:r w:rsidRPr="5D8904BE">
        <w:rPr>
          <w:u w:val="single"/>
          <w:lang w:val="en-US"/>
        </w:rPr>
        <w:t>Co-financed activities</w:t>
      </w:r>
    </w:p>
    <w:p w14:paraId="2B61CEEF" w14:textId="661E59FE" w:rsidR="003B5F99" w:rsidRPr="003B5F99" w:rsidRDefault="2AE47B60" w:rsidP="003B5F99">
      <w:pPr>
        <w:spacing w:after="0" w:line="240" w:lineRule="auto"/>
        <w:jc w:val="both"/>
        <w:rPr>
          <w:sz w:val="20"/>
          <w:szCs w:val="20"/>
          <w:lang w:val="en-US"/>
        </w:rPr>
      </w:pPr>
      <w:r w:rsidRPr="3D58A386">
        <w:rPr>
          <w:sz w:val="20"/>
          <w:szCs w:val="20"/>
          <w:lang w:val="en-US"/>
        </w:rPr>
        <w:t xml:space="preserve">Three co-financing letters have been secured for this project, as detailed in Annex 13 of the project document, amounting to a total of </w:t>
      </w:r>
      <w:r w:rsidRPr="3D58A386">
        <w:rPr>
          <w:b/>
          <w:bCs/>
          <w:sz w:val="20"/>
          <w:szCs w:val="20"/>
          <w:lang w:val="en-US"/>
        </w:rPr>
        <w:t>USD 29</w:t>
      </w:r>
      <w:r w:rsidR="42124220" w:rsidRPr="3D58A386">
        <w:rPr>
          <w:b/>
          <w:bCs/>
          <w:sz w:val="20"/>
          <w:szCs w:val="20"/>
          <w:lang w:val="en-US"/>
        </w:rPr>
        <w:t>1</w:t>
      </w:r>
      <w:r w:rsidRPr="3D58A386">
        <w:rPr>
          <w:b/>
          <w:bCs/>
          <w:sz w:val="20"/>
          <w:szCs w:val="20"/>
          <w:lang w:val="en-US"/>
        </w:rPr>
        <w:t>,</w:t>
      </w:r>
      <w:r w:rsidR="5FEEFD88" w:rsidRPr="3D58A386">
        <w:rPr>
          <w:b/>
          <w:bCs/>
          <w:sz w:val="20"/>
          <w:szCs w:val="20"/>
          <w:lang w:val="en-US"/>
        </w:rPr>
        <w:t>757</w:t>
      </w:r>
      <w:r w:rsidRPr="3D58A386">
        <w:rPr>
          <w:b/>
          <w:bCs/>
          <w:sz w:val="20"/>
          <w:szCs w:val="20"/>
          <w:lang w:val="en-US"/>
        </w:rPr>
        <w:t>,</w:t>
      </w:r>
      <w:r w:rsidR="4455BC07" w:rsidRPr="3D58A386">
        <w:rPr>
          <w:b/>
          <w:bCs/>
          <w:sz w:val="20"/>
          <w:szCs w:val="20"/>
          <w:lang w:val="en-US"/>
        </w:rPr>
        <w:t>600</w:t>
      </w:r>
      <w:r w:rsidR="6D3E9AF3" w:rsidRPr="3D58A386">
        <w:rPr>
          <w:sz w:val="20"/>
          <w:szCs w:val="20"/>
          <w:lang w:val="en-US"/>
        </w:rPr>
        <w:t>.</w:t>
      </w:r>
      <w:r w:rsidRPr="3D58A386">
        <w:rPr>
          <w:sz w:val="20"/>
          <w:szCs w:val="20"/>
          <w:lang w:val="en-US"/>
        </w:rPr>
        <w:t xml:space="preserve"> As illustrated in Table 6 below, certain co-financed activities involve funds that do not flow through UNDP accounts, and their results are therefore not included in the project’s results framework.</w:t>
      </w:r>
    </w:p>
    <w:p w14:paraId="7FA02C23" w14:textId="4B0D8778" w:rsidR="24AA8F7E" w:rsidRDefault="24AA8F7E" w:rsidP="24AA8F7E">
      <w:pPr>
        <w:spacing w:after="0" w:line="240" w:lineRule="auto"/>
        <w:jc w:val="both"/>
        <w:rPr>
          <w:sz w:val="20"/>
          <w:szCs w:val="20"/>
          <w:lang w:val="en-US"/>
        </w:rPr>
      </w:pPr>
    </w:p>
    <w:p w14:paraId="624C6A7C" w14:textId="77777777" w:rsidR="003B5F99" w:rsidRPr="003B5F99" w:rsidRDefault="6ED8F72C" w:rsidP="003B5F99">
      <w:pPr>
        <w:spacing w:after="0" w:line="240" w:lineRule="auto"/>
        <w:jc w:val="both"/>
        <w:rPr>
          <w:sz w:val="20"/>
          <w:szCs w:val="20"/>
          <w:lang w:val="en-US"/>
        </w:rPr>
      </w:pPr>
      <w:r w:rsidRPr="5D8904BE">
        <w:rPr>
          <w:sz w:val="20"/>
          <w:szCs w:val="20"/>
          <w:lang w:val="en-US"/>
        </w:rPr>
        <w:t>In such cases, UNDP is responsible for monitoring both the realization and the associated risks of co-financing annually through the GEF Progress Report, as well as during the mid-term and final evaluations. Specifically, any potential co-financing risks that may affect the project—within its scope or area of influence—will be included in the project’s collateral due diligence and reflected in the project risk register. These risks will be monitored accordingly.</w:t>
      </w:r>
    </w:p>
    <w:p w14:paraId="2621DCDB" w14:textId="1F7D16F7" w:rsidR="24AA8F7E" w:rsidRDefault="24AA8F7E" w:rsidP="24AA8F7E">
      <w:pPr>
        <w:spacing w:after="0" w:line="240" w:lineRule="auto"/>
        <w:jc w:val="both"/>
        <w:rPr>
          <w:sz w:val="20"/>
          <w:szCs w:val="20"/>
          <w:lang w:val="en-US"/>
        </w:rPr>
      </w:pPr>
    </w:p>
    <w:p w14:paraId="289DF1B6" w14:textId="74D5FE38" w:rsidR="003B5F99" w:rsidRPr="003B5F99" w:rsidRDefault="2414FDEC" w:rsidP="003B5F99">
      <w:pPr>
        <w:spacing w:after="0" w:line="240" w:lineRule="auto"/>
        <w:jc w:val="both"/>
        <w:rPr>
          <w:sz w:val="20"/>
          <w:szCs w:val="20"/>
          <w:lang w:val="en-US"/>
        </w:rPr>
      </w:pPr>
      <w:r w:rsidRPr="5D8904BE">
        <w:rPr>
          <w:sz w:val="20"/>
          <w:szCs w:val="20"/>
          <w:lang w:val="en-US"/>
        </w:rPr>
        <w:t>It is important to note that risk management measures will be limited to those that fall within the scope of the UNDP project (e.g., reputational risk management). For further details on the risk management approach applied to the various types of co-financed activities, refer to Annex</w:t>
      </w:r>
      <w:r w:rsidR="59748B6C" w:rsidRPr="5D8904BE">
        <w:rPr>
          <w:sz w:val="20"/>
          <w:szCs w:val="20"/>
          <w:lang w:val="en-US"/>
        </w:rPr>
        <w:t>6</w:t>
      </w:r>
      <w:r w:rsidRPr="5D8904BE">
        <w:rPr>
          <w:sz w:val="20"/>
          <w:szCs w:val="20"/>
          <w:lang w:val="en-US"/>
        </w:rPr>
        <w:t>.</w:t>
      </w:r>
    </w:p>
    <w:p w14:paraId="00000616" w14:textId="77777777" w:rsidR="004F7DB3" w:rsidRPr="009804E6" w:rsidRDefault="004F7DB3" w:rsidP="3C8408A9">
      <w:pPr>
        <w:spacing w:after="0" w:line="240" w:lineRule="auto"/>
        <w:jc w:val="both"/>
        <w:rPr>
          <w:color w:val="000000"/>
          <w:sz w:val="20"/>
          <w:szCs w:val="20"/>
          <w:lang w:val="en-US"/>
        </w:rPr>
      </w:pPr>
    </w:p>
    <w:tbl>
      <w:tblPr>
        <w:tblStyle w:val="TableGrid1"/>
        <w:tblW w:w="8100" w:type="dxa"/>
        <w:tblLayout w:type="fixed"/>
        <w:tblLook w:val="0400" w:firstRow="0" w:lastRow="0" w:firstColumn="0" w:lastColumn="0" w:noHBand="0" w:noVBand="1"/>
      </w:tblPr>
      <w:tblGrid>
        <w:gridCol w:w="2875"/>
        <w:gridCol w:w="1715"/>
        <w:gridCol w:w="1170"/>
        <w:gridCol w:w="1170"/>
        <w:gridCol w:w="1170"/>
      </w:tblGrid>
      <w:tr w:rsidR="004F7DB3" w:rsidRPr="00F50786" w14:paraId="660EA5D2" w14:textId="77777777" w:rsidTr="006F5E1D">
        <w:tc>
          <w:tcPr>
            <w:tcW w:w="2875" w:type="dxa"/>
          </w:tcPr>
          <w:p w14:paraId="00000617" w14:textId="77777777" w:rsidR="004F7DB3" w:rsidRPr="009804E6" w:rsidRDefault="6F3012C1" w:rsidP="3C8408A9">
            <w:pPr>
              <w:spacing w:after="60"/>
              <w:jc w:val="both"/>
              <w:rPr>
                <w:b/>
                <w:bCs/>
                <w:color w:val="000000"/>
                <w:sz w:val="20"/>
                <w:szCs w:val="20"/>
              </w:rPr>
            </w:pPr>
            <w:r w:rsidRPr="5D8904BE">
              <w:rPr>
                <w:b/>
                <w:bCs/>
                <w:color w:val="000000" w:themeColor="text1"/>
                <w:sz w:val="20"/>
                <w:szCs w:val="20"/>
              </w:rPr>
              <w:lastRenderedPageBreak/>
              <w:t>Co-</w:t>
            </w:r>
            <w:proofErr w:type="spellStart"/>
            <w:r w:rsidRPr="5D8904BE">
              <w:rPr>
                <w:b/>
                <w:bCs/>
                <w:color w:val="000000" w:themeColor="text1"/>
                <w:sz w:val="20"/>
                <w:szCs w:val="20"/>
              </w:rPr>
              <w:t>financing</w:t>
            </w:r>
            <w:proofErr w:type="spellEnd"/>
            <w:r w:rsidRPr="5D8904BE">
              <w:rPr>
                <w:b/>
                <w:bCs/>
                <w:color w:val="000000" w:themeColor="text1"/>
                <w:sz w:val="20"/>
                <w:szCs w:val="20"/>
              </w:rPr>
              <w:t xml:space="preserve"> source</w:t>
            </w:r>
          </w:p>
        </w:tc>
        <w:tc>
          <w:tcPr>
            <w:tcW w:w="1715" w:type="dxa"/>
          </w:tcPr>
          <w:p w14:paraId="00000618" w14:textId="77777777" w:rsidR="004F7DB3" w:rsidRPr="009804E6" w:rsidRDefault="6F3012C1" w:rsidP="3C8408A9">
            <w:pPr>
              <w:spacing w:after="60"/>
              <w:jc w:val="both"/>
              <w:rPr>
                <w:b/>
                <w:bCs/>
                <w:color w:val="000000"/>
                <w:sz w:val="20"/>
                <w:szCs w:val="20"/>
              </w:rPr>
            </w:pPr>
            <w:r w:rsidRPr="5D8904BE">
              <w:rPr>
                <w:b/>
                <w:bCs/>
                <w:color w:val="000000" w:themeColor="text1"/>
                <w:sz w:val="20"/>
                <w:szCs w:val="20"/>
              </w:rPr>
              <w:t>Co-</w:t>
            </w:r>
            <w:proofErr w:type="spellStart"/>
            <w:r w:rsidRPr="5D8904BE">
              <w:rPr>
                <w:b/>
                <w:bCs/>
                <w:color w:val="000000" w:themeColor="text1"/>
                <w:sz w:val="20"/>
                <w:szCs w:val="20"/>
              </w:rPr>
              <w:t>financing</w:t>
            </w:r>
            <w:proofErr w:type="spellEnd"/>
            <w:r w:rsidRPr="5D8904BE">
              <w:rPr>
                <w:b/>
                <w:bCs/>
                <w:color w:val="000000" w:themeColor="text1"/>
                <w:sz w:val="20"/>
                <w:szCs w:val="20"/>
              </w:rPr>
              <w:t xml:space="preserve"> type</w:t>
            </w:r>
          </w:p>
        </w:tc>
        <w:tc>
          <w:tcPr>
            <w:tcW w:w="1170" w:type="dxa"/>
          </w:tcPr>
          <w:p w14:paraId="00000619" w14:textId="77777777" w:rsidR="004F7DB3" w:rsidRPr="009804E6" w:rsidRDefault="6F3012C1" w:rsidP="3C8408A9">
            <w:pPr>
              <w:spacing w:after="60"/>
              <w:jc w:val="both"/>
              <w:rPr>
                <w:b/>
                <w:bCs/>
                <w:color w:val="000000"/>
                <w:sz w:val="20"/>
                <w:szCs w:val="20"/>
              </w:rPr>
            </w:pPr>
            <w:r w:rsidRPr="5D8904BE">
              <w:rPr>
                <w:b/>
                <w:bCs/>
                <w:color w:val="000000" w:themeColor="text1"/>
                <w:sz w:val="20"/>
                <w:szCs w:val="20"/>
              </w:rPr>
              <w:t>Co-</w:t>
            </w:r>
            <w:proofErr w:type="spellStart"/>
            <w:r w:rsidRPr="5D8904BE">
              <w:rPr>
                <w:b/>
                <w:bCs/>
                <w:color w:val="000000" w:themeColor="text1"/>
                <w:sz w:val="20"/>
                <w:szCs w:val="20"/>
              </w:rPr>
              <w:t>financing</w:t>
            </w:r>
            <w:proofErr w:type="spellEnd"/>
            <w:r w:rsidRPr="5D8904BE">
              <w:rPr>
                <w:b/>
                <w:bCs/>
                <w:color w:val="000000" w:themeColor="text1"/>
                <w:sz w:val="20"/>
                <w:szCs w:val="20"/>
              </w:rPr>
              <w:t xml:space="preserve"> </w:t>
            </w:r>
            <w:proofErr w:type="spellStart"/>
            <w:r w:rsidRPr="5D8904BE">
              <w:rPr>
                <w:b/>
                <w:bCs/>
                <w:color w:val="000000" w:themeColor="text1"/>
                <w:sz w:val="20"/>
                <w:szCs w:val="20"/>
              </w:rPr>
              <w:t>amount</w:t>
            </w:r>
            <w:proofErr w:type="spellEnd"/>
          </w:p>
        </w:tc>
        <w:tc>
          <w:tcPr>
            <w:tcW w:w="1170" w:type="dxa"/>
          </w:tcPr>
          <w:p w14:paraId="0000061A" w14:textId="77777777" w:rsidR="004F7DB3" w:rsidRPr="009804E6" w:rsidRDefault="6F3012C1" w:rsidP="3C8408A9">
            <w:pPr>
              <w:spacing w:after="60"/>
              <w:jc w:val="both"/>
              <w:rPr>
                <w:b/>
                <w:bCs/>
                <w:sz w:val="20"/>
                <w:szCs w:val="20"/>
              </w:rPr>
            </w:pPr>
            <w:proofErr w:type="spellStart"/>
            <w:r w:rsidRPr="5D8904BE">
              <w:rPr>
                <w:b/>
                <w:bCs/>
                <w:sz w:val="20"/>
                <w:szCs w:val="20"/>
              </w:rPr>
              <w:t>Included</w:t>
            </w:r>
            <w:proofErr w:type="spellEnd"/>
            <w:r w:rsidRPr="5D8904BE">
              <w:rPr>
                <w:b/>
                <w:bCs/>
                <w:sz w:val="20"/>
                <w:szCs w:val="20"/>
              </w:rPr>
              <w:t xml:space="preserve"> in </w:t>
            </w:r>
            <w:proofErr w:type="spellStart"/>
            <w:r w:rsidRPr="5D8904BE">
              <w:rPr>
                <w:b/>
                <w:bCs/>
                <w:sz w:val="20"/>
                <w:szCs w:val="20"/>
              </w:rPr>
              <w:t>project</w:t>
            </w:r>
            <w:proofErr w:type="spellEnd"/>
            <w:r w:rsidRPr="5D8904BE">
              <w:rPr>
                <w:b/>
                <w:bCs/>
                <w:sz w:val="20"/>
                <w:szCs w:val="20"/>
              </w:rPr>
              <w:t xml:space="preserve"> </w:t>
            </w:r>
            <w:proofErr w:type="spellStart"/>
            <w:proofErr w:type="gramStart"/>
            <w:r w:rsidRPr="5D8904BE">
              <w:rPr>
                <w:b/>
                <w:bCs/>
                <w:sz w:val="20"/>
                <w:szCs w:val="20"/>
              </w:rPr>
              <w:t>results</w:t>
            </w:r>
            <w:proofErr w:type="spellEnd"/>
            <w:r w:rsidRPr="5D8904BE">
              <w:rPr>
                <w:b/>
                <w:bCs/>
                <w:sz w:val="20"/>
                <w:szCs w:val="20"/>
              </w:rPr>
              <w:t>?</w:t>
            </w:r>
            <w:proofErr w:type="gramEnd"/>
          </w:p>
        </w:tc>
        <w:tc>
          <w:tcPr>
            <w:tcW w:w="1170" w:type="dxa"/>
          </w:tcPr>
          <w:p w14:paraId="0000061B" w14:textId="77777777" w:rsidR="004F7DB3" w:rsidRPr="009804E6" w:rsidRDefault="496F1838" w:rsidP="3C8408A9">
            <w:pPr>
              <w:spacing w:after="60"/>
              <w:jc w:val="both"/>
              <w:rPr>
                <w:b/>
                <w:bCs/>
                <w:sz w:val="20"/>
                <w:szCs w:val="20"/>
                <w:lang w:val="en-US"/>
              </w:rPr>
            </w:pPr>
            <w:r w:rsidRPr="009804E6">
              <w:rPr>
                <w:b/>
                <w:bCs/>
                <w:sz w:val="20"/>
                <w:szCs w:val="20"/>
                <w:lang w:val="en-US"/>
              </w:rPr>
              <w:t>If yes, list the relevant outputs</w:t>
            </w:r>
          </w:p>
        </w:tc>
      </w:tr>
      <w:tr w:rsidR="004F7DB3" w14:paraId="5AFC65BE" w14:textId="77777777" w:rsidTr="006F5E1D">
        <w:tc>
          <w:tcPr>
            <w:tcW w:w="2875" w:type="dxa"/>
          </w:tcPr>
          <w:p w14:paraId="0000061C" w14:textId="77777777" w:rsidR="004F7DB3" w:rsidRPr="009804E6" w:rsidRDefault="6F3012C1" w:rsidP="5D8904BE">
            <w:pPr>
              <w:spacing w:after="60"/>
              <w:jc w:val="both"/>
              <w:rPr>
                <w:i/>
                <w:iCs/>
                <w:color w:val="000000"/>
                <w:sz w:val="20"/>
                <w:szCs w:val="20"/>
              </w:rPr>
            </w:pPr>
            <w:r w:rsidRPr="5D8904BE">
              <w:rPr>
                <w:i/>
                <w:iCs/>
                <w:sz w:val="20"/>
                <w:szCs w:val="20"/>
              </w:rPr>
              <w:t xml:space="preserve">World Bank, PRUBA </w:t>
            </w:r>
            <w:proofErr w:type="spellStart"/>
            <w:r w:rsidRPr="5D8904BE">
              <w:rPr>
                <w:i/>
                <w:iCs/>
                <w:sz w:val="20"/>
                <w:szCs w:val="20"/>
              </w:rPr>
              <w:t>project</w:t>
            </w:r>
            <w:proofErr w:type="spellEnd"/>
          </w:p>
        </w:tc>
        <w:tc>
          <w:tcPr>
            <w:tcW w:w="1715" w:type="dxa"/>
          </w:tcPr>
          <w:p w14:paraId="0000061D" w14:textId="64062679" w:rsidR="004F7DB3" w:rsidRDefault="2FD0C9C2" w:rsidP="3C8408A9">
            <w:pPr>
              <w:spacing w:after="60"/>
              <w:jc w:val="both"/>
              <w:rPr>
                <w:i/>
                <w:iCs/>
                <w:sz w:val="20"/>
                <w:szCs w:val="20"/>
              </w:rPr>
            </w:pPr>
            <w:r w:rsidRPr="3C8408A9">
              <w:rPr>
                <w:i/>
                <w:iCs/>
                <w:sz w:val="20"/>
                <w:szCs w:val="20"/>
              </w:rPr>
              <w:t>Loan</w:t>
            </w:r>
          </w:p>
        </w:tc>
        <w:tc>
          <w:tcPr>
            <w:tcW w:w="1170" w:type="dxa"/>
          </w:tcPr>
          <w:p w14:paraId="0000061E" w14:textId="1A0115AB" w:rsidR="004F7DB3" w:rsidRDefault="5C6EF691" w:rsidP="5D8904BE">
            <w:pPr>
              <w:spacing w:after="60"/>
              <w:jc w:val="both"/>
              <w:rPr>
                <w:i/>
                <w:iCs/>
                <w:sz w:val="20"/>
                <w:szCs w:val="20"/>
              </w:rPr>
            </w:pPr>
            <w:r w:rsidRPr="5D8904BE">
              <w:rPr>
                <w:i/>
                <w:iCs/>
                <w:sz w:val="20"/>
                <w:szCs w:val="20"/>
              </w:rPr>
              <w:t>$</w:t>
            </w:r>
            <w:r w:rsidR="36209187" w:rsidRPr="5D8904BE">
              <w:rPr>
                <w:i/>
                <w:iCs/>
                <w:sz w:val="20"/>
                <w:szCs w:val="20"/>
              </w:rPr>
              <w:t>2</w:t>
            </w:r>
            <w:r w:rsidR="331CD3E7" w:rsidRPr="5D8904BE">
              <w:rPr>
                <w:i/>
                <w:iCs/>
                <w:sz w:val="20"/>
                <w:szCs w:val="20"/>
              </w:rPr>
              <w:t>90,957,600</w:t>
            </w:r>
            <w:r w:rsidRPr="5D8904BE">
              <w:rPr>
                <w:i/>
                <w:iCs/>
                <w:sz w:val="20"/>
                <w:szCs w:val="20"/>
              </w:rPr>
              <w:t xml:space="preserve"> </w:t>
            </w:r>
          </w:p>
        </w:tc>
        <w:tc>
          <w:tcPr>
            <w:tcW w:w="1170" w:type="dxa"/>
          </w:tcPr>
          <w:p w14:paraId="0000061F" w14:textId="77777777" w:rsidR="004F7DB3" w:rsidRPr="009804E6" w:rsidRDefault="496F1838" w:rsidP="3C8408A9">
            <w:pPr>
              <w:spacing w:after="60"/>
              <w:jc w:val="both"/>
              <w:rPr>
                <w:i/>
                <w:iCs/>
                <w:color w:val="000000"/>
                <w:sz w:val="20"/>
                <w:szCs w:val="20"/>
              </w:rPr>
            </w:pPr>
            <w:r w:rsidRPr="3C8408A9">
              <w:rPr>
                <w:i/>
                <w:iCs/>
                <w:sz w:val="20"/>
                <w:szCs w:val="20"/>
              </w:rPr>
              <w:t>No</w:t>
            </w:r>
          </w:p>
        </w:tc>
        <w:tc>
          <w:tcPr>
            <w:tcW w:w="1170" w:type="dxa"/>
          </w:tcPr>
          <w:p w14:paraId="00000620" w14:textId="77777777" w:rsidR="004F7DB3" w:rsidRDefault="004F7DB3" w:rsidP="3C8408A9">
            <w:pPr>
              <w:spacing w:after="60"/>
              <w:jc w:val="both"/>
              <w:rPr>
                <w:i/>
                <w:iCs/>
                <w:sz w:val="20"/>
                <w:szCs w:val="20"/>
              </w:rPr>
            </w:pPr>
          </w:p>
        </w:tc>
      </w:tr>
      <w:tr w:rsidR="004F7DB3" w14:paraId="042D1556" w14:textId="77777777" w:rsidTr="006F5E1D">
        <w:tc>
          <w:tcPr>
            <w:tcW w:w="2875" w:type="dxa"/>
          </w:tcPr>
          <w:p w14:paraId="00000626" w14:textId="77777777" w:rsidR="004F7DB3" w:rsidRPr="009804E6" w:rsidRDefault="496F1838" w:rsidP="3C8408A9">
            <w:pPr>
              <w:spacing w:after="60"/>
              <w:jc w:val="both"/>
              <w:rPr>
                <w:i/>
                <w:iCs/>
                <w:color w:val="000000"/>
                <w:sz w:val="20"/>
                <w:szCs w:val="20"/>
                <w:lang w:val="en-US"/>
              </w:rPr>
            </w:pPr>
            <w:r w:rsidRPr="3C8408A9">
              <w:rPr>
                <w:i/>
                <w:iCs/>
                <w:sz w:val="20"/>
                <w:szCs w:val="20"/>
                <w:lang w:val="en-US"/>
              </w:rPr>
              <w:t>National Directorate of Urban Planning and Housing</w:t>
            </w:r>
          </w:p>
        </w:tc>
        <w:tc>
          <w:tcPr>
            <w:tcW w:w="1715" w:type="dxa"/>
          </w:tcPr>
          <w:p w14:paraId="00000627" w14:textId="1681744D" w:rsidR="004F7DB3" w:rsidRPr="009804E6" w:rsidRDefault="2809ADD6" w:rsidP="3C8408A9">
            <w:pPr>
              <w:spacing w:after="60"/>
              <w:jc w:val="both"/>
              <w:rPr>
                <w:i/>
                <w:iCs/>
                <w:color w:val="000000"/>
                <w:sz w:val="20"/>
                <w:szCs w:val="20"/>
              </w:rPr>
            </w:pPr>
            <w:r w:rsidRPr="3C8408A9">
              <w:rPr>
                <w:i/>
                <w:iCs/>
                <w:sz w:val="20"/>
                <w:szCs w:val="20"/>
              </w:rPr>
              <w:t>In</w:t>
            </w:r>
            <w:r w:rsidR="12885D5F" w:rsidRPr="3C8408A9">
              <w:rPr>
                <w:i/>
                <w:iCs/>
                <w:sz w:val="20"/>
                <w:szCs w:val="20"/>
              </w:rPr>
              <w:t>-</w:t>
            </w:r>
            <w:proofErr w:type="spellStart"/>
            <w:r w:rsidRPr="3C8408A9">
              <w:rPr>
                <w:i/>
                <w:iCs/>
                <w:sz w:val="20"/>
                <w:szCs w:val="20"/>
              </w:rPr>
              <w:t>kind</w:t>
            </w:r>
            <w:proofErr w:type="spellEnd"/>
          </w:p>
        </w:tc>
        <w:tc>
          <w:tcPr>
            <w:tcW w:w="1170" w:type="dxa"/>
          </w:tcPr>
          <w:p w14:paraId="00000628" w14:textId="62AD6460" w:rsidR="004F7DB3" w:rsidRDefault="3D8F9C78" w:rsidP="3C8408A9">
            <w:pPr>
              <w:spacing w:after="60"/>
              <w:jc w:val="both"/>
              <w:rPr>
                <w:i/>
                <w:iCs/>
                <w:sz w:val="20"/>
                <w:szCs w:val="20"/>
              </w:rPr>
            </w:pPr>
            <w:r w:rsidRPr="3C8408A9">
              <w:rPr>
                <w:i/>
                <w:iCs/>
                <w:sz w:val="20"/>
                <w:szCs w:val="20"/>
              </w:rPr>
              <w:t>$</w:t>
            </w:r>
            <w:r w:rsidR="2809ADD6" w:rsidRPr="3C8408A9">
              <w:rPr>
                <w:i/>
                <w:iCs/>
                <w:sz w:val="20"/>
                <w:szCs w:val="20"/>
              </w:rPr>
              <w:t>500</w:t>
            </w:r>
            <w:r w:rsidR="6E7B846C" w:rsidRPr="3C8408A9">
              <w:rPr>
                <w:i/>
                <w:iCs/>
                <w:sz w:val="20"/>
                <w:szCs w:val="20"/>
              </w:rPr>
              <w:t>,000</w:t>
            </w:r>
          </w:p>
        </w:tc>
        <w:tc>
          <w:tcPr>
            <w:tcW w:w="1170" w:type="dxa"/>
          </w:tcPr>
          <w:p w14:paraId="00000629" w14:textId="59F3908C" w:rsidR="004F7DB3" w:rsidRPr="009804E6" w:rsidRDefault="5620F42B" w:rsidP="51745E8D">
            <w:pPr>
              <w:spacing w:after="60"/>
              <w:jc w:val="both"/>
              <w:rPr>
                <w:i/>
                <w:iCs/>
                <w:color w:val="000000"/>
                <w:sz w:val="20"/>
                <w:szCs w:val="20"/>
              </w:rPr>
            </w:pPr>
            <w:r w:rsidRPr="51745E8D">
              <w:rPr>
                <w:i/>
                <w:iCs/>
                <w:color w:val="000000" w:themeColor="text1"/>
                <w:sz w:val="20"/>
                <w:szCs w:val="20"/>
              </w:rPr>
              <w:t>Yes</w:t>
            </w:r>
          </w:p>
        </w:tc>
        <w:tc>
          <w:tcPr>
            <w:tcW w:w="1170" w:type="dxa"/>
          </w:tcPr>
          <w:p w14:paraId="0000062A" w14:textId="51A434FD" w:rsidR="004F7DB3" w:rsidRPr="009804E6" w:rsidRDefault="5620F42B" w:rsidP="51745E8D">
            <w:pPr>
              <w:spacing w:after="60"/>
              <w:jc w:val="both"/>
              <w:rPr>
                <w:i/>
                <w:iCs/>
                <w:color w:val="000000"/>
                <w:sz w:val="20"/>
                <w:szCs w:val="20"/>
              </w:rPr>
            </w:pPr>
            <w:r w:rsidRPr="51745E8D">
              <w:rPr>
                <w:i/>
                <w:iCs/>
                <w:color w:val="000000" w:themeColor="text1"/>
                <w:sz w:val="20"/>
                <w:szCs w:val="20"/>
              </w:rPr>
              <w:t>PMC</w:t>
            </w:r>
          </w:p>
        </w:tc>
      </w:tr>
      <w:tr w:rsidR="004F7DB3" w14:paraId="2DFCB781" w14:textId="77777777" w:rsidTr="006F5E1D">
        <w:tc>
          <w:tcPr>
            <w:tcW w:w="2875" w:type="dxa"/>
          </w:tcPr>
          <w:p w14:paraId="0000063A" w14:textId="77777777" w:rsidR="004F7DB3" w:rsidRDefault="496F1838" w:rsidP="3C8408A9">
            <w:pPr>
              <w:spacing w:after="60"/>
              <w:jc w:val="both"/>
              <w:rPr>
                <w:i/>
                <w:iCs/>
                <w:sz w:val="20"/>
                <w:szCs w:val="20"/>
              </w:rPr>
            </w:pPr>
            <w:r w:rsidRPr="3C8408A9">
              <w:rPr>
                <w:i/>
                <w:iCs/>
                <w:sz w:val="20"/>
                <w:szCs w:val="20"/>
              </w:rPr>
              <w:t xml:space="preserve">UNDP </w:t>
            </w:r>
          </w:p>
        </w:tc>
        <w:tc>
          <w:tcPr>
            <w:tcW w:w="1715" w:type="dxa"/>
          </w:tcPr>
          <w:p w14:paraId="0000063B" w14:textId="77777777" w:rsidR="004F7DB3" w:rsidRDefault="73479A40" w:rsidP="3C8408A9">
            <w:pPr>
              <w:spacing w:after="60"/>
              <w:jc w:val="both"/>
              <w:rPr>
                <w:i/>
                <w:iCs/>
                <w:sz w:val="20"/>
                <w:szCs w:val="20"/>
              </w:rPr>
            </w:pPr>
            <w:r w:rsidRPr="3C8408A9">
              <w:rPr>
                <w:i/>
                <w:iCs/>
                <w:sz w:val="20"/>
                <w:szCs w:val="20"/>
              </w:rPr>
              <w:t>Cash</w:t>
            </w:r>
          </w:p>
        </w:tc>
        <w:tc>
          <w:tcPr>
            <w:tcW w:w="1170" w:type="dxa"/>
          </w:tcPr>
          <w:p w14:paraId="0000063C" w14:textId="3E009366" w:rsidR="004F7DB3" w:rsidRDefault="496F1838" w:rsidP="3C8408A9">
            <w:pPr>
              <w:spacing w:after="60"/>
              <w:jc w:val="both"/>
              <w:rPr>
                <w:i/>
                <w:iCs/>
                <w:sz w:val="20"/>
                <w:szCs w:val="20"/>
              </w:rPr>
            </w:pPr>
            <w:r w:rsidRPr="3C8408A9">
              <w:rPr>
                <w:i/>
                <w:iCs/>
                <w:sz w:val="20"/>
                <w:szCs w:val="20"/>
              </w:rPr>
              <w:t>$</w:t>
            </w:r>
            <w:r w:rsidR="5DCF16E2" w:rsidRPr="3C8408A9">
              <w:rPr>
                <w:i/>
                <w:iCs/>
                <w:sz w:val="20"/>
                <w:szCs w:val="20"/>
              </w:rPr>
              <w:t>3</w:t>
            </w:r>
            <w:r w:rsidRPr="3C8408A9">
              <w:rPr>
                <w:i/>
                <w:iCs/>
                <w:sz w:val="20"/>
                <w:szCs w:val="20"/>
              </w:rPr>
              <w:t>00</w:t>
            </w:r>
            <w:r w:rsidR="316C8EEE" w:rsidRPr="3C8408A9">
              <w:rPr>
                <w:i/>
                <w:iCs/>
                <w:sz w:val="20"/>
                <w:szCs w:val="20"/>
              </w:rPr>
              <w:t>,000</w:t>
            </w:r>
          </w:p>
        </w:tc>
        <w:tc>
          <w:tcPr>
            <w:tcW w:w="1170" w:type="dxa"/>
          </w:tcPr>
          <w:p w14:paraId="0000063D" w14:textId="77777777" w:rsidR="004F7DB3" w:rsidRDefault="496F1838" w:rsidP="3C8408A9">
            <w:pPr>
              <w:spacing w:after="60"/>
              <w:jc w:val="both"/>
              <w:rPr>
                <w:i/>
                <w:iCs/>
                <w:sz w:val="20"/>
                <w:szCs w:val="20"/>
              </w:rPr>
            </w:pPr>
            <w:r w:rsidRPr="3C8408A9">
              <w:rPr>
                <w:i/>
                <w:iCs/>
                <w:sz w:val="20"/>
                <w:szCs w:val="20"/>
              </w:rPr>
              <w:t xml:space="preserve">Yes </w:t>
            </w:r>
          </w:p>
        </w:tc>
        <w:tc>
          <w:tcPr>
            <w:tcW w:w="1170" w:type="dxa"/>
          </w:tcPr>
          <w:p w14:paraId="0000063E" w14:textId="356F633B" w:rsidR="004F7DB3" w:rsidRPr="009804E6" w:rsidRDefault="21DDB441" w:rsidP="5D8904BE">
            <w:pPr>
              <w:spacing w:after="60"/>
              <w:jc w:val="both"/>
              <w:rPr>
                <w:i/>
                <w:iCs/>
                <w:color w:val="000000"/>
                <w:sz w:val="20"/>
                <w:szCs w:val="20"/>
              </w:rPr>
            </w:pPr>
            <w:r w:rsidRPr="5D8904BE">
              <w:rPr>
                <w:i/>
                <w:iCs/>
                <w:sz w:val="20"/>
                <w:szCs w:val="20"/>
              </w:rPr>
              <w:t>1.1.1</w:t>
            </w:r>
            <w:r w:rsidR="1ECB9DF5" w:rsidRPr="5D8904BE">
              <w:rPr>
                <w:i/>
                <w:iCs/>
                <w:sz w:val="20"/>
                <w:szCs w:val="20"/>
              </w:rPr>
              <w:t xml:space="preserve">, 1.1.2 and </w:t>
            </w:r>
            <w:r w:rsidR="6F3012C1" w:rsidRPr="5D8904BE">
              <w:rPr>
                <w:i/>
                <w:iCs/>
                <w:sz w:val="20"/>
                <w:szCs w:val="20"/>
              </w:rPr>
              <w:t>3.1.4</w:t>
            </w:r>
          </w:p>
        </w:tc>
      </w:tr>
    </w:tbl>
    <w:p w14:paraId="6A5E5DC6" w14:textId="5D3F036F" w:rsidR="00B379A6" w:rsidRDefault="6E52724E" w:rsidP="51745E8D">
      <w:pPr>
        <w:spacing w:before="240" w:after="240" w:line="276" w:lineRule="auto"/>
        <w:jc w:val="both"/>
        <w:rPr>
          <w:i/>
          <w:iCs/>
          <w:sz w:val="20"/>
          <w:szCs w:val="20"/>
          <w:lang w:val="en-US"/>
        </w:rPr>
      </w:pPr>
      <w:r w:rsidRPr="51745E8D">
        <w:rPr>
          <w:sz w:val="20"/>
          <w:szCs w:val="20"/>
          <w:u w:val="single"/>
          <w:lang w:val="en-US"/>
        </w:rPr>
        <w:t>Stakeholder engagement</w:t>
      </w:r>
      <w:sdt>
        <w:sdtPr>
          <w:rPr>
            <w:sz w:val="20"/>
            <w:szCs w:val="20"/>
            <w:lang w:val="en-US"/>
          </w:rPr>
          <w:tag w:val="goog_rdk_3"/>
          <w:id w:val="-1506744420"/>
        </w:sdtPr>
        <w:sdtContent/>
      </w:sdt>
      <w:r w:rsidRPr="51745E8D">
        <w:rPr>
          <w:sz w:val="20"/>
          <w:szCs w:val="20"/>
          <w:lang w:val="en-US"/>
        </w:rPr>
        <w:t xml:space="preserve">: </w:t>
      </w:r>
    </w:p>
    <w:p w14:paraId="6AC17514" w14:textId="1185D83F" w:rsidR="00B379A6" w:rsidRPr="00B379A6" w:rsidRDefault="23482C7C" w:rsidP="3C8408A9">
      <w:pPr>
        <w:spacing w:after="0" w:line="276" w:lineRule="auto"/>
        <w:jc w:val="both"/>
        <w:rPr>
          <w:sz w:val="20"/>
          <w:szCs w:val="20"/>
          <w:lang w:val="en-US"/>
        </w:rPr>
      </w:pPr>
      <w:r w:rsidRPr="5D8904BE">
        <w:rPr>
          <w:sz w:val="20"/>
          <w:szCs w:val="20"/>
          <w:lang w:val="en-US"/>
        </w:rPr>
        <w:t>The project Stakeholder Engagement Plan (SEP) aims to ensure meaningful, effective, and informed participation of all concerned parties throughout the project cycle. It is based on UNDP's social and environmental standards, reflecting the commitment to leave no one behind.</w:t>
      </w:r>
    </w:p>
    <w:p w14:paraId="21DA90B0" w14:textId="6F8C5F8F" w:rsidR="5D8904BE" w:rsidRDefault="5D8904BE" w:rsidP="5D8904BE">
      <w:pPr>
        <w:spacing w:after="0" w:line="276" w:lineRule="auto"/>
        <w:jc w:val="both"/>
        <w:rPr>
          <w:sz w:val="20"/>
          <w:szCs w:val="20"/>
          <w:lang w:val="en-US"/>
        </w:rPr>
      </w:pPr>
    </w:p>
    <w:p w14:paraId="1AB578E7" w14:textId="3F1D6502" w:rsidR="00B379A6" w:rsidRPr="00B379A6" w:rsidRDefault="58668E97" w:rsidP="3C8408A9">
      <w:pPr>
        <w:spacing w:after="0" w:line="276" w:lineRule="auto"/>
        <w:jc w:val="both"/>
        <w:rPr>
          <w:b/>
          <w:bCs/>
          <w:sz w:val="20"/>
          <w:szCs w:val="20"/>
          <w:lang w:val="en-US"/>
        </w:rPr>
      </w:pPr>
      <w:r w:rsidRPr="3C8408A9">
        <w:rPr>
          <w:b/>
          <w:bCs/>
          <w:sz w:val="20"/>
          <w:szCs w:val="20"/>
          <w:lang w:val="en-US"/>
        </w:rPr>
        <w:t>Targeted Stakeholders - Engagement Strategy</w:t>
      </w:r>
    </w:p>
    <w:p w14:paraId="3D9EC0AB" w14:textId="4152521D" w:rsidR="00B379A6" w:rsidRPr="00B379A6" w:rsidRDefault="23482C7C" w:rsidP="3C8408A9">
      <w:pPr>
        <w:spacing w:after="0" w:line="276" w:lineRule="auto"/>
        <w:jc w:val="both"/>
        <w:rPr>
          <w:sz w:val="20"/>
          <w:szCs w:val="20"/>
          <w:lang w:val="en-US"/>
        </w:rPr>
      </w:pPr>
      <w:r w:rsidRPr="5D8904BE">
        <w:rPr>
          <w:sz w:val="20"/>
          <w:szCs w:val="20"/>
          <w:lang w:val="en-US"/>
        </w:rPr>
        <w:t>The SEP identifies stakeholders and defines consultation and dialogue strategies and modalities to foster transparency, strengthen accountability, and ensure better ownership and sustainability of project results. The stakeholders who will be involved in the project implementation are as follows:</w:t>
      </w:r>
    </w:p>
    <w:p w14:paraId="7DEF3C22" w14:textId="5482EBD9" w:rsidR="00B379A6" w:rsidRPr="00BF04C5" w:rsidRDefault="1C266C92" w:rsidP="5D8904BE">
      <w:pPr>
        <w:spacing w:before="240" w:after="120" w:line="276" w:lineRule="auto"/>
        <w:jc w:val="both"/>
        <w:rPr>
          <w:i/>
          <w:iCs/>
          <w:sz w:val="20"/>
          <w:szCs w:val="20"/>
          <w:lang w:val="it-IT"/>
        </w:rPr>
      </w:pPr>
      <w:proofErr w:type="spellStart"/>
      <w:r w:rsidRPr="5D8904BE">
        <w:rPr>
          <w:i/>
          <w:iCs/>
          <w:sz w:val="20"/>
          <w:szCs w:val="20"/>
          <w:lang w:val="it-IT"/>
        </w:rPr>
        <w:t>Ministries</w:t>
      </w:r>
      <w:proofErr w:type="spellEnd"/>
      <w:r w:rsidRPr="5D8904BE">
        <w:rPr>
          <w:i/>
          <w:iCs/>
          <w:sz w:val="20"/>
          <w:szCs w:val="20"/>
          <w:lang w:val="it-IT"/>
        </w:rPr>
        <w:t xml:space="preserve"> and National </w:t>
      </w:r>
      <w:proofErr w:type="spellStart"/>
      <w:r w:rsidRPr="5D8904BE">
        <w:rPr>
          <w:i/>
          <w:iCs/>
          <w:sz w:val="20"/>
          <w:szCs w:val="20"/>
          <w:lang w:val="it-IT"/>
        </w:rPr>
        <w:t>Directorates</w:t>
      </w:r>
      <w:proofErr w:type="spellEnd"/>
    </w:p>
    <w:p w14:paraId="5DE2D977" w14:textId="24B8068F" w:rsidR="00B379A6" w:rsidRPr="00B379A6" w:rsidRDefault="4B48633D" w:rsidP="001360BB">
      <w:pPr>
        <w:numPr>
          <w:ilvl w:val="0"/>
          <w:numId w:val="218"/>
        </w:numPr>
        <w:spacing w:after="0" w:line="276" w:lineRule="auto"/>
        <w:jc w:val="both"/>
        <w:rPr>
          <w:sz w:val="20"/>
          <w:szCs w:val="20"/>
          <w:lang w:val="en-US"/>
        </w:rPr>
      </w:pPr>
      <w:r w:rsidRPr="537FA187">
        <w:rPr>
          <w:sz w:val="20"/>
          <w:szCs w:val="20"/>
          <w:lang w:val="en-US"/>
        </w:rPr>
        <w:t xml:space="preserve">Ministry of Urban Planning, Housing, </w:t>
      </w:r>
      <w:proofErr w:type="spellStart"/>
      <w:r w:rsidRPr="537FA187">
        <w:rPr>
          <w:sz w:val="20"/>
          <w:szCs w:val="20"/>
          <w:lang w:val="en-US"/>
        </w:rPr>
        <w:t>Land</w:t>
      </w:r>
      <w:r w:rsidR="4E2EB8BA" w:rsidRPr="537FA187">
        <w:rPr>
          <w:sz w:val="20"/>
          <w:szCs w:val="20"/>
          <w:lang w:val="en-US"/>
        </w:rPr>
        <w:t>use</w:t>
      </w:r>
      <w:proofErr w:type="spellEnd"/>
      <w:r w:rsidRPr="537FA187">
        <w:rPr>
          <w:sz w:val="20"/>
          <w:szCs w:val="20"/>
          <w:lang w:val="en-US"/>
        </w:rPr>
        <w:t xml:space="preserve"> and Population (</w:t>
      </w:r>
      <w:r w:rsidR="2078D50B" w:rsidRPr="537FA187">
        <w:rPr>
          <w:sz w:val="20"/>
          <w:szCs w:val="20"/>
          <w:lang w:val="en-US"/>
        </w:rPr>
        <w:t>MUPHLP</w:t>
      </w:r>
      <w:r w:rsidRPr="537FA187">
        <w:rPr>
          <w:sz w:val="20"/>
          <w:szCs w:val="20"/>
          <w:lang w:val="en-US"/>
        </w:rPr>
        <w:t xml:space="preserve">) </w:t>
      </w:r>
    </w:p>
    <w:p w14:paraId="62BD8079" w14:textId="25B3C292" w:rsidR="00B379A6" w:rsidRPr="00B379A6" w:rsidRDefault="4B48633D" w:rsidP="001360BB">
      <w:pPr>
        <w:numPr>
          <w:ilvl w:val="1"/>
          <w:numId w:val="218"/>
        </w:numPr>
        <w:spacing w:after="0" w:line="276" w:lineRule="auto"/>
        <w:jc w:val="both"/>
        <w:rPr>
          <w:sz w:val="20"/>
          <w:szCs w:val="20"/>
          <w:lang w:val="en-US"/>
        </w:rPr>
      </w:pPr>
      <w:r w:rsidRPr="537FA187">
        <w:rPr>
          <w:sz w:val="20"/>
          <w:szCs w:val="20"/>
          <w:lang w:val="en-US"/>
        </w:rPr>
        <w:t xml:space="preserve">National Directorate of Urban Planning and Housing </w:t>
      </w:r>
      <w:proofErr w:type="gramStart"/>
      <w:r w:rsidRPr="537FA187">
        <w:rPr>
          <w:sz w:val="20"/>
          <w:szCs w:val="20"/>
          <w:lang w:val="en-US"/>
        </w:rPr>
        <w:t>(</w:t>
      </w:r>
      <w:r w:rsidR="2B4C04FB" w:rsidRPr="537FA187">
        <w:rPr>
          <w:sz w:val="20"/>
          <w:szCs w:val="20"/>
          <w:lang w:val="en-US"/>
        </w:rPr>
        <w:t xml:space="preserve"> </w:t>
      </w:r>
      <w:r w:rsidR="69663027" w:rsidRPr="537FA187">
        <w:rPr>
          <w:sz w:val="20"/>
          <w:szCs w:val="20"/>
          <w:lang w:val="en-US"/>
        </w:rPr>
        <w:t>NDUPH</w:t>
      </w:r>
      <w:proofErr w:type="gramEnd"/>
      <w:r w:rsidRPr="537FA187">
        <w:rPr>
          <w:sz w:val="20"/>
          <w:szCs w:val="20"/>
          <w:lang w:val="en-US"/>
        </w:rPr>
        <w:t>)</w:t>
      </w:r>
    </w:p>
    <w:p w14:paraId="1AF67E6C" w14:textId="3339CFED" w:rsidR="00B379A6" w:rsidRPr="00B379A6" w:rsidRDefault="4B48633D" w:rsidP="001360BB">
      <w:pPr>
        <w:numPr>
          <w:ilvl w:val="1"/>
          <w:numId w:val="218"/>
        </w:numPr>
        <w:spacing w:after="0" w:line="276" w:lineRule="auto"/>
        <w:jc w:val="both"/>
        <w:rPr>
          <w:sz w:val="20"/>
          <w:szCs w:val="20"/>
          <w:lang w:val="en-US"/>
        </w:rPr>
      </w:pPr>
      <w:r w:rsidRPr="537FA187">
        <w:rPr>
          <w:sz w:val="20"/>
          <w:szCs w:val="20"/>
          <w:lang w:val="en-US"/>
        </w:rPr>
        <w:t>General Directorate of Land Use Planning (</w:t>
      </w:r>
      <w:r w:rsidR="55C600DE" w:rsidRPr="537FA187">
        <w:rPr>
          <w:sz w:val="20"/>
          <w:szCs w:val="20"/>
          <w:lang w:val="en-US"/>
        </w:rPr>
        <w:t>GD</w:t>
      </w:r>
      <w:r w:rsidR="240C1606" w:rsidRPr="537FA187">
        <w:rPr>
          <w:sz w:val="20"/>
          <w:szCs w:val="20"/>
          <w:lang w:val="en-US"/>
        </w:rPr>
        <w:t>LP</w:t>
      </w:r>
      <w:r w:rsidRPr="537FA187">
        <w:rPr>
          <w:sz w:val="20"/>
          <w:szCs w:val="20"/>
          <w:lang w:val="en-US"/>
        </w:rPr>
        <w:t>)</w:t>
      </w:r>
    </w:p>
    <w:p w14:paraId="7D5CAE40" w14:textId="4BEA79B5" w:rsidR="00B379A6" w:rsidRPr="00B379A6" w:rsidRDefault="4B48633D" w:rsidP="001360BB">
      <w:pPr>
        <w:numPr>
          <w:ilvl w:val="1"/>
          <w:numId w:val="218"/>
        </w:numPr>
        <w:spacing w:after="0" w:line="276" w:lineRule="auto"/>
        <w:jc w:val="both"/>
        <w:rPr>
          <w:sz w:val="20"/>
          <w:szCs w:val="20"/>
          <w:lang w:val="en-US"/>
        </w:rPr>
      </w:pPr>
      <w:r w:rsidRPr="537FA187">
        <w:rPr>
          <w:sz w:val="20"/>
          <w:szCs w:val="20"/>
          <w:lang w:val="en-US"/>
        </w:rPr>
        <w:t>General Directorate of Land and Cadaster (DG</w:t>
      </w:r>
      <w:r w:rsidR="0EA35C8E" w:rsidRPr="537FA187">
        <w:rPr>
          <w:sz w:val="20"/>
          <w:szCs w:val="20"/>
          <w:lang w:val="en-US"/>
        </w:rPr>
        <w:t>L</w:t>
      </w:r>
      <w:r w:rsidRPr="537FA187">
        <w:rPr>
          <w:sz w:val="20"/>
          <w:szCs w:val="20"/>
          <w:lang w:val="en-US"/>
        </w:rPr>
        <w:t>C)</w:t>
      </w:r>
    </w:p>
    <w:p w14:paraId="6795D638" w14:textId="77777777" w:rsidR="00B379A6" w:rsidRPr="00B379A6" w:rsidRDefault="576BD069" w:rsidP="001360BB">
      <w:pPr>
        <w:numPr>
          <w:ilvl w:val="0"/>
          <w:numId w:val="218"/>
        </w:numPr>
        <w:spacing w:after="0" w:line="276" w:lineRule="auto"/>
        <w:jc w:val="both"/>
        <w:rPr>
          <w:sz w:val="20"/>
          <w:szCs w:val="20"/>
          <w:lang w:val="en-US"/>
        </w:rPr>
      </w:pPr>
      <w:r w:rsidRPr="51745E8D">
        <w:rPr>
          <w:sz w:val="20"/>
          <w:szCs w:val="20"/>
          <w:lang w:val="en-US"/>
        </w:rPr>
        <w:t xml:space="preserve">Ministry of Transport and Infrastructure (MTI) </w:t>
      </w:r>
    </w:p>
    <w:p w14:paraId="7A47FDAE" w14:textId="7D4C00F2" w:rsidR="00B379A6" w:rsidRPr="00B379A6" w:rsidRDefault="4B48633D" w:rsidP="001360BB">
      <w:pPr>
        <w:numPr>
          <w:ilvl w:val="1"/>
          <w:numId w:val="218"/>
        </w:numPr>
        <w:spacing w:after="0" w:line="276" w:lineRule="auto"/>
        <w:jc w:val="both"/>
        <w:rPr>
          <w:sz w:val="20"/>
          <w:szCs w:val="20"/>
          <w:lang w:val="en-US"/>
        </w:rPr>
      </w:pPr>
      <w:r w:rsidRPr="537FA187">
        <w:rPr>
          <w:sz w:val="20"/>
          <w:szCs w:val="20"/>
          <w:lang w:val="en-US"/>
        </w:rPr>
        <w:t>General Directorate of Transport (G</w:t>
      </w:r>
      <w:r w:rsidR="387724D9" w:rsidRPr="537FA187">
        <w:rPr>
          <w:sz w:val="20"/>
          <w:szCs w:val="20"/>
          <w:lang w:val="en-US"/>
        </w:rPr>
        <w:t>D</w:t>
      </w:r>
      <w:r w:rsidRPr="537FA187">
        <w:rPr>
          <w:sz w:val="20"/>
          <w:szCs w:val="20"/>
          <w:lang w:val="en-US"/>
        </w:rPr>
        <w:t>T)</w:t>
      </w:r>
    </w:p>
    <w:p w14:paraId="36DBE629" w14:textId="240285BF" w:rsidR="00B379A6" w:rsidRPr="00B379A6" w:rsidRDefault="4B48633D" w:rsidP="001360BB">
      <w:pPr>
        <w:numPr>
          <w:ilvl w:val="1"/>
          <w:numId w:val="218"/>
        </w:numPr>
        <w:spacing w:after="0" w:line="276" w:lineRule="auto"/>
        <w:jc w:val="both"/>
        <w:rPr>
          <w:lang w:val="en-US"/>
        </w:rPr>
      </w:pPr>
      <w:r w:rsidRPr="537FA187">
        <w:rPr>
          <w:sz w:val="20"/>
          <w:szCs w:val="20"/>
          <w:lang w:val="en-US"/>
        </w:rPr>
        <w:t>Directorate of Traffic and Urban Transport Regulation (D</w:t>
      </w:r>
      <w:r w:rsidR="276453FB" w:rsidRPr="537FA187">
        <w:rPr>
          <w:sz w:val="20"/>
          <w:szCs w:val="20"/>
          <w:lang w:val="en-US"/>
        </w:rPr>
        <w:t>TUTR)</w:t>
      </w:r>
    </w:p>
    <w:p w14:paraId="2D1986BE" w14:textId="595CC14D" w:rsidR="00B379A6" w:rsidRPr="00B379A6" w:rsidRDefault="4B48633D" w:rsidP="001360BB">
      <w:pPr>
        <w:numPr>
          <w:ilvl w:val="0"/>
          <w:numId w:val="218"/>
        </w:numPr>
        <w:spacing w:after="0" w:line="276" w:lineRule="auto"/>
        <w:jc w:val="both"/>
        <w:rPr>
          <w:sz w:val="20"/>
          <w:szCs w:val="20"/>
          <w:lang w:val="en-US"/>
        </w:rPr>
      </w:pPr>
      <w:r w:rsidRPr="537FA187">
        <w:rPr>
          <w:sz w:val="20"/>
          <w:szCs w:val="20"/>
          <w:lang w:val="en-US"/>
        </w:rPr>
        <w:t>Ministry of Territorial Administration and Decentralization (M</w:t>
      </w:r>
      <w:r w:rsidR="32C30FFF" w:rsidRPr="537FA187">
        <w:rPr>
          <w:sz w:val="20"/>
          <w:szCs w:val="20"/>
          <w:lang w:val="en-US"/>
        </w:rPr>
        <w:t>TAD</w:t>
      </w:r>
      <w:r w:rsidRPr="537FA187">
        <w:rPr>
          <w:sz w:val="20"/>
          <w:szCs w:val="20"/>
          <w:lang w:val="en-US"/>
        </w:rPr>
        <w:t xml:space="preserve">) </w:t>
      </w:r>
    </w:p>
    <w:p w14:paraId="4752E451" w14:textId="4A647181" w:rsidR="00B379A6" w:rsidRPr="00B379A6" w:rsidRDefault="4B48633D" w:rsidP="001360BB">
      <w:pPr>
        <w:numPr>
          <w:ilvl w:val="1"/>
          <w:numId w:val="218"/>
        </w:numPr>
        <w:spacing w:after="0" w:line="276" w:lineRule="auto"/>
        <w:jc w:val="both"/>
        <w:rPr>
          <w:sz w:val="20"/>
          <w:szCs w:val="20"/>
          <w:lang w:val="en-US"/>
        </w:rPr>
      </w:pPr>
      <w:r w:rsidRPr="537FA187">
        <w:rPr>
          <w:sz w:val="20"/>
          <w:szCs w:val="20"/>
          <w:lang w:val="en-US"/>
        </w:rPr>
        <w:t>General Directorate of Territorial Collectivities (</w:t>
      </w:r>
      <w:r w:rsidR="6CAA4A10" w:rsidRPr="537FA187">
        <w:rPr>
          <w:sz w:val="20"/>
          <w:szCs w:val="20"/>
          <w:lang w:val="en-US"/>
        </w:rPr>
        <w:t xml:space="preserve">GDTC) </w:t>
      </w:r>
      <w:r w:rsidR="32A2A905" w:rsidRPr="537FA187">
        <w:rPr>
          <w:sz w:val="20"/>
          <w:szCs w:val="20"/>
          <w:lang w:val="en-US"/>
        </w:rPr>
        <w:t>GDTC</w:t>
      </w:r>
    </w:p>
    <w:p w14:paraId="520DC13B" w14:textId="77777777" w:rsidR="00B379A6" w:rsidRPr="00B379A6" w:rsidRDefault="576BD069" w:rsidP="001360BB">
      <w:pPr>
        <w:numPr>
          <w:ilvl w:val="0"/>
          <w:numId w:val="218"/>
        </w:numPr>
        <w:spacing w:after="0" w:line="276" w:lineRule="auto"/>
        <w:jc w:val="both"/>
        <w:rPr>
          <w:sz w:val="20"/>
          <w:szCs w:val="20"/>
          <w:lang w:val="en-US"/>
        </w:rPr>
      </w:pPr>
      <w:r w:rsidRPr="51745E8D">
        <w:rPr>
          <w:sz w:val="20"/>
          <w:szCs w:val="20"/>
          <w:lang w:val="en-US"/>
        </w:rPr>
        <w:t xml:space="preserve">Ministry of Environment, Sanitation and Sustainable Development (MEADD) </w:t>
      </w:r>
    </w:p>
    <w:p w14:paraId="74BACB0C" w14:textId="5CD13DF5" w:rsidR="00B379A6" w:rsidRPr="00B379A6" w:rsidRDefault="4B48633D" w:rsidP="001360BB">
      <w:pPr>
        <w:numPr>
          <w:ilvl w:val="1"/>
          <w:numId w:val="218"/>
        </w:numPr>
        <w:spacing w:after="0" w:line="276" w:lineRule="auto"/>
        <w:jc w:val="both"/>
        <w:rPr>
          <w:sz w:val="20"/>
          <w:szCs w:val="20"/>
          <w:lang w:val="en-US"/>
        </w:rPr>
      </w:pPr>
      <w:r w:rsidRPr="537FA187">
        <w:rPr>
          <w:sz w:val="20"/>
          <w:szCs w:val="20"/>
          <w:lang w:val="en-US"/>
        </w:rPr>
        <w:t>General Directorate of Water and Forests (</w:t>
      </w:r>
      <w:r w:rsidR="74B0C013" w:rsidRPr="537FA187">
        <w:rPr>
          <w:sz w:val="20"/>
          <w:szCs w:val="20"/>
          <w:lang w:val="en-US"/>
        </w:rPr>
        <w:t>GDWF</w:t>
      </w:r>
      <w:r w:rsidRPr="537FA187">
        <w:rPr>
          <w:sz w:val="20"/>
          <w:szCs w:val="20"/>
          <w:lang w:val="en-US"/>
        </w:rPr>
        <w:t>)</w:t>
      </w:r>
    </w:p>
    <w:p w14:paraId="3D0C8AAA" w14:textId="4E1E1BE3" w:rsidR="00B379A6" w:rsidRPr="00B379A6" w:rsidRDefault="087AA1CC" w:rsidP="001360BB">
      <w:pPr>
        <w:numPr>
          <w:ilvl w:val="1"/>
          <w:numId w:val="218"/>
        </w:numPr>
        <w:spacing w:after="0" w:line="276" w:lineRule="auto"/>
        <w:jc w:val="both"/>
        <w:rPr>
          <w:sz w:val="20"/>
          <w:szCs w:val="20"/>
          <w:lang w:val="it-IT"/>
        </w:rPr>
      </w:pPr>
      <w:r w:rsidRPr="537FA187">
        <w:rPr>
          <w:sz w:val="20"/>
          <w:szCs w:val="20"/>
          <w:lang w:val="it-IT"/>
        </w:rPr>
        <w:t xml:space="preserve">National </w:t>
      </w:r>
      <w:proofErr w:type="spellStart"/>
      <w:r w:rsidRPr="537FA187">
        <w:rPr>
          <w:sz w:val="20"/>
          <w:szCs w:val="20"/>
          <w:lang w:val="it-IT"/>
        </w:rPr>
        <w:t>Directorate</w:t>
      </w:r>
      <w:proofErr w:type="spellEnd"/>
      <w:r w:rsidRPr="537FA187">
        <w:rPr>
          <w:sz w:val="20"/>
          <w:szCs w:val="20"/>
          <w:lang w:val="it-IT"/>
        </w:rPr>
        <w:t xml:space="preserve"> of </w:t>
      </w:r>
      <w:proofErr w:type="spellStart"/>
      <w:r w:rsidRPr="537FA187">
        <w:rPr>
          <w:sz w:val="20"/>
          <w:szCs w:val="20"/>
          <w:lang w:val="it-IT"/>
        </w:rPr>
        <w:t>Sanitation</w:t>
      </w:r>
      <w:proofErr w:type="spellEnd"/>
      <w:r w:rsidRPr="537FA187">
        <w:rPr>
          <w:sz w:val="20"/>
          <w:szCs w:val="20"/>
          <w:lang w:val="it-IT"/>
        </w:rPr>
        <w:t xml:space="preserve">, </w:t>
      </w:r>
      <w:proofErr w:type="spellStart"/>
      <w:r w:rsidRPr="537FA187">
        <w:rPr>
          <w:sz w:val="20"/>
          <w:szCs w:val="20"/>
          <w:lang w:val="it-IT"/>
        </w:rPr>
        <w:t>Pollution</w:t>
      </w:r>
      <w:proofErr w:type="spellEnd"/>
      <w:r w:rsidRPr="537FA187">
        <w:rPr>
          <w:sz w:val="20"/>
          <w:szCs w:val="20"/>
          <w:lang w:val="it-IT"/>
        </w:rPr>
        <w:t xml:space="preserve"> Control and </w:t>
      </w:r>
      <w:proofErr w:type="spellStart"/>
      <w:r w:rsidRPr="537FA187">
        <w:rPr>
          <w:sz w:val="20"/>
          <w:szCs w:val="20"/>
          <w:lang w:val="it-IT"/>
        </w:rPr>
        <w:t>Nuisances</w:t>
      </w:r>
      <w:proofErr w:type="spellEnd"/>
      <w:r w:rsidRPr="537FA187">
        <w:rPr>
          <w:sz w:val="20"/>
          <w:szCs w:val="20"/>
          <w:lang w:val="it-IT"/>
        </w:rPr>
        <w:t xml:space="preserve"> (</w:t>
      </w:r>
      <w:r w:rsidR="7FF4F6B0" w:rsidRPr="537FA187">
        <w:rPr>
          <w:sz w:val="20"/>
          <w:szCs w:val="20"/>
          <w:lang w:val="it-IT"/>
        </w:rPr>
        <w:t>NDSPCN</w:t>
      </w:r>
      <w:r w:rsidRPr="537FA187">
        <w:rPr>
          <w:sz w:val="20"/>
          <w:szCs w:val="20"/>
          <w:lang w:val="it-IT"/>
        </w:rPr>
        <w:t>)</w:t>
      </w:r>
    </w:p>
    <w:p w14:paraId="2530669D" w14:textId="77777777" w:rsidR="00B379A6" w:rsidRPr="00B379A6" w:rsidRDefault="576BD069" w:rsidP="001360BB">
      <w:pPr>
        <w:numPr>
          <w:ilvl w:val="0"/>
          <w:numId w:val="218"/>
        </w:numPr>
        <w:spacing w:after="0" w:line="276" w:lineRule="auto"/>
        <w:jc w:val="both"/>
        <w:rPr>
          <w:sz w:val="20"/>
          <w:szCs w:val="20"/>
          <w:lang w:val="en-US"/>
        </w:rPr>
      </w:pPr>
      <w:r w:rsidRPr="51745E8D">
        <w:rPr>
          <w:sz w:val="20"/>
          <w:szCs w:val="20"/>
          <w:lang w:val="en-US"/>
        </w:rPr>
        <w:t xml:space="preserve">Ministry of Economy and Finance (MEF) </w:t>
      </w:r>
    </w:p>
    <w:p w14:paraId="4CDD5A1E" w14:textId="77777777" w:rsidR="00B379A6" w:rsidRPr="00B379A6" w:rsidRDefault="576BD069" w:rsidP="001360BB">
      <w:pPr>
        <w:numPr>
          <w:ilvl w:val="1"/>
          <w:numId w:val="218"/>
        </w:numPr>
        <w:spacing w:after="0" w:line="276" w:lineRule="auto"/>
        <w:jc w:val="both"/>
        <w:rPr>
          <w:sz w:val="20"/>
          <w:szCs w:val="20"/>
          <w:lang w:val="en-US"/>
        </w:rPr>
      </w:pPr>
      <w:r w:rsidRPr="51745E8D">
        <w:rPr>
          <w:sz w:val="20"/>
          <w:szCs w:val="20"/>
          <w:lang w:val="en-US"/>
        </w:rPr>
        <w:t>General Directorate of Taxes (DGI)</w:t>
      </w:r>
    </w:p>
    <w:p w14:paraId="62D71CDE" w14:textId="77777777" w:rsidR="00B379A6" w:rsidRPr="00B379A6" w:rsidRDefault="576BD069" w:rsidP="001360BB">
      <w:pPr>
        <w:numPr>
          <w:ilvl w:val="1"/>
          <w:numId w:val="218"/>
        </w:numPr>
        <w:spacing w:after="0" w:line="276" w:lineRule="auto"/>
        <w:jc w:val="both"/>
        <w:rPr>
          <w:sz w:val="20"/>
          <w:szCs w:val="20"/>
          <w:lang w:val="en-US"/>
        </w:rPr>
      </w:pPr>
      <w:r w:rsidRPr="0764FF73">
        <w:rPr>
          <w:sz w:val="20"/>
          <w:szCs w:val="20"/>
          <w:lang w:val="en-US"/>
        </w:rPr>
        <w:t>General Directorate of Customs (DGD)</w:t>
      </w:r>
    </w:p>
    <w:p w14:paraId="22C8A3DC" w14:textId="17CE3F84" w:rsidR="67009932" w:rsidRPr="00857B81" w:rsidRDefault="67009932" w:rsidP="00857B81">
      <w:pPr>
        <w:pStyle w:val="Paragraphedeliste"/>
        <w:numPr>
          <w:ilvl w:val="0"/>
          <w:numId w:val="218"/>
        </w:numPr>
        <w:spacing w:after="0" w:line="276" w:lineRule="auto"/>
        <w:jc w:val="both"/>
        <w:rPr>
          <w:color w:val="000000" w:themeColor="text1"/>
          <w:sz w:val="20"/>
          <w:szCs w:val="20"/>
          <w:highlight w:val="yellow"/>
          <w:lang w:val="en-US"/>
        </w:rPr>
      </w:pPr>
      <w:r w:rsidRPr="00857B81">
        <w:rPr>
          <w:color w:val="000000" w:themeColor="text1"/>
          <w:sz w:val="20"/>
          <w:szCs w:val="20"/>
          <w:highlight w:val="yellow"/>
          <w:lang w:val="en-US"/>
        </w:rPr>
        <w:t>Ministry of Energy and Water</w:t>
      </w:r>
    </w:p>
    <w:p w14:paraId="38B06694" w14:textId="6DAA16DA" w:rsidR="67009932" w:rsidRPr="00857B81" w:rsidRDefault="00B002C2" w:rsidP="00857B81">
      <w:pPr>
        <w:numPr>
          <w:ilvl w:val="1"/>
          <w:numId w:val="218"/>
        </w:numPr>
        <w:spacing w:after="0" w:line="276" w:lineRule="auto"/>
        <w:jc w:val="both"/>
        <w:rPr>
          <w:sz w:val="20"/>
          <w:szCs w:val="20"/>
          <w:highlight w:val="yellow"/>
          <w:lang w:val="en-US"/>
        </w:rPr>
      </w:pPr>
      <w:r>
        <w:rPr>
          <w:sz w:val="20"/>
          <w:szCs w:val="20"/>
          <w:highlight w:val="yellow"/>
          <w:lang w:val="en-US"/>
        </w:rPr>
        <w:t>E</w:t>
      </w:r>
      <w:r w:rsidR="67009932" w:rsidRPr="00857B81">
        <w:rPr>
          <w:sz w:val="20"/>
          <w:szCs w:val="20"/>
          <w:highlight w:val="yellow"/>
          <w:lang w:val="en-US"/>
        </w:rPr>
        <w:t>nerg</w:t>
      </w:r>
      <w:r>
        <w:rPr>
          <w:sz w:val="20"/>
          <w:szCs w:val="20"/>
          <w:highlight w:val="yellow"/>
          <w:lang w:val="en-US"/>
        </w:rPr>
        <w:t>y</w:t>
      </w:r>
      <w:r w:rsidR="67009932" w:rsidRPr="00857B81">
        <w:rPr>
          <w:sz w:val="20"/>
          <w:szCs w:val="20"/>
          <w:highlight w:val="yellow"/>
          <w:lang w:val="en-US"/>
        </w:rPr>
        <w:t xml:space="preserve"> </w:t>
      </w:r>
      <w:r>
        <w:rPr>
          <w:sz w:val="20"/>
          <w:szCs w:val="20"/>
          <w:highlight w:val="yellow"/>
          <w:lang w:val="en-US"/>
        </w:rPr>
        <w:t>of</w:t>
      </w:r>
      <w:r w:rsidRPr="00857B81">
        <w:rPr>
          <w:sz w:val="20"/>
          <w:szCs w:val="20"/>
          <w:highlight w:val="yellow"/>
          <w:lang w:val="en-US"/>
        </w:rPr>
        <w:t xml:space="preserve"> </w:t>
      </w:r>
      <w:r w:rsidR="67009932" w:rsidRPr="00857B81">
        <w:rPr>
          <w:sz w:val="20"/>
          <w:szCs w:val="20"/>
          <w:highlight w:val="yellow"/>
          <w:lang w:val="en-US"/>
        </w:rPr>
        <w:t>Mali (EDM)</w:t>
      </w:r>
    </w:p>
    <w:p w14:paraId="717B6708" w14:textId="77777777" w:rsidR="00B379A6" w:rsidRPr="00DB3C38" w:rsidRDefault="58668E97" w:rsidP="3C8408A9">
      <w:pPr>
        <w:spacing w:before="240" w:after="120" w:line="276" w:lineRule="auto"/>
        <w:jc w:val="both"/>
        <w:rPr>
          <w:i/>
          <w:iCs/>
          <w:sz w:val="20"/>
          <w:szCs w:val="20"/>
          <w:lang w:val="en-US"/>
        </w:rPr>
      </w:pPr>
      <w:r w:rsidRPr="00DB3C38">
        <w:rPr>
          <w:i/>
          <w:iCs/>
          <w:sz w:val="20"/>
          <w:szCs w:val="20"/>
          <w:lang w:val="en-US"/>
        </w:rPr>
        <w:t>National Agencies and Other State Services</w:t>
      </w:r>
    </w:p>
    <w:p w14:paraId="262C9DD0" w14:textId="77777777" w:rsidR="00B379A6" w:rsidRPr="00B379A6" w:rsidRDefault="576BD069" w:rsidP="001360BB">
      <w:pPr>
        <w:numPr>
          <w:ilvl w:val="0"/>
          <w:numId w:val="219"/>
        </w:numPr>
        <w:spacing w:after="0" w:line="276" w:lineRule="auto"/>
        <w:jc w:val="both"/>
        <w:rPr>
          <w:sz w:val="20"/>
          <w:szCs w:val="20"/>
          <w:lang w:val="en-US"/>
        </w:rPr>
      </w:pPr>
      <w:r w:rsidRPr="51745E8D">
        <w:rPr>
          <w:sz w:val="20"/>
          <w:szCs w:val="20"/>
          <w:lang w:val="en-US"/>
        </w:rPr>
        <w:t>National Observatory of Cities (ONAV) of Mali</w:t>
      </w:r>
    </w:p>
    <w:p w14:paraId="18AEEA70" w14:textId="77777777" w:rsidR="00B379A6" w:rsidRPr="00B379A6" w:rsidRDefault="576BD069" w:rsidP="001360BB">
      <w:pPr>
        <w:numPr>
          <w:ilvl w:val="0"/>
          <w:numId w:val="219"/>
        </w:numPr>
        <w:spacing w:after="0" w:line="276" w:lineRule="auto"/>
        <w:jc w:val="both"/>
        <w:rPr>
          <w:sz w:val="20"/>
          <w:szCs w:val="20"/>
          <w:lang w:val="en-US"/>
        </w:rPr>
      </w:pPr>
      <w:r w:rsidRPr="51745E8D">
        <w:rPr>
          <w:sz w:val="20"/>
          <w:szCs w:val="20"/>
          <w:lang w:val="en-US"/>
        </w:rPr>
        <w:t>Permanent Secretariat for Land and Property Reform (SPRDF)</w:t>
      </w:r>
    </w:p>
    <w:p w14:paraId="0964952B" w14:textId="0A63461F" w:rsidR="00B379A6" w:rsidRPr="00B379A6" w:rsidRDefault="4B48633D" w:rsidP="001360BB">
      <w:pPr>
        <w:numPr>
          <w:ilvl w:val="0"/>
          <w:numId w:val="219"/>
        </w:numPr>
        <w:spacing w:after="0" w:line="276" w:lineRule="auto"/>
        <w:jc w:val="both"/>
        <w:rPr>
          <w:sz w:val="20"/>
          <w:szCs w:val="20"/>
          <w:lang w:val="en-US"/>
        </w:rPr>
      </w:pPr>
      <w:r w:rsidRPr="537FA187">
        <w:rPr>
          <w:sz w:val="20"/>
          <w:szCs w:val="20"/>
          <w:lang w:val="en-US"/>
        </w:rPr>
        <w:t>Environment and Sustainable Development Agency (</w:t>
      </w:r>
      <w:r w:rsidR="7C1463F1" w:rsidRPr="537FA187">
        <w:rPr>
          <w:sz w:val="20"/>
          <w:szCs w:val="20"/>
          <w:lang w:val="en-US"/>
        </w:rPr>
        <w:t>ESDA</w:t>
      </w:r>
      <w:r w:rsidRPr="537FA187">
        <w:rPr>
          <w:sz w:val="20"/>
          <w:szCs w:val="20"/>
          <w:lang w:val="en-US"/>
        </w:rPr>
        <w:t>)</w:t>
      </w:r>
    </w:p>
    <w:p w14:paraId="72BB5B39" w14:textId="77777777" w:rsidR="00B379A6" w:rsidRPr="00B379A6" w:rsidRDefault="1C266C92" w:rsidP="001360BB">
      <w:pPr>
        <w:numPr>
          <w:ilvl w:val="0"/>
          <w:numId w:val="219"/>
        </w:numPr>
        <w:spacing w:after="0" w:line="276" w:lineRule="auto"/>
        <w:jc w:val="both"/>
        <w:rPr>
          <w:sz w:val="20"/>
          <w:szCs w:val="20"/>
          <w:lang w:val="it-IT"/>
        </w:rPr>
      </w:pPr>
      <w:r w:rsidRPr="5D8904BE">
        <w:rPr>
          <w:sz w:val="20"/>
          <w:szCs w:val="20"/>
          <w:lang w:val="it-IT"/>
        </w:rPr>
        <w:t xml:space="preserve">National </w:t>
      </w:r>
      <w:proofErr w:type="spellStart"/>
      <w:r w:rsidRPr="5D8904BE">
        <w:rPr>
          <w:sz w:val="20"/>
          <w:szCs w:val="20"/>
          <w:lang w:val="it-IT"/>
        </w:rPr>
        <w:t>Employment</w:t>
      </w:r>
      <w:proofErr w:type="spellEnd"/>
      <w:r w:rsidRPr="5D8904BE">
        <w:rPr>
          <w:sz w:val="20"/>
          <w:szCs w:val="20"/>
          <w:lang w:val="it-IT"/>
        </w:rPr>
        <w:t xml:space="preserve"> Agency (ANPE)</w:t>
      </w:r>
    </w:p>
    <w:p w14:paraId="18A79A49" w14:textId="77777777" w:rsidR="00B379A6" w:rsidRPr="00B379A6" w:rsidRDefault="576BD069" w:rsidP="001360BB">
      <w:pPr>
        <w:numPr>
          <w:ilvl w:val="0"/>
          <w:numId w:val="219"/>
        </w:numPr>
        <w:spacing w:after="0" w:line="276" w:lineRule="auto"/>
        <w:jc w:val="both"/>
        <w:rPr>
          <w:sz w:val="20"/>
          <w:szCs w:val="20"/>
          <w:lang w:val="en-US"/>
        </w:rPr>
      </w:pPr>
      <w:r w:rsidRPr="51745E8D">
        <w:rPr>
          <w:sz w:val="20"/>
          <w:szCs w:val="20"/>
          <w:lang w:val="en-US"/>
        </w:rPr>
        <w:t>Agency for the Promotion of Investments in Mali – Women Business Center (API-Mali / WBC)</w:t>
      </w:r>
    </w:p>
    <w:p w14:paraId="70D6B0AB" w14:textId="77777777" w:rsidR="00B379A6" w:rsidRPr="00B379A6" w:rsidRDefault="576BD069" w:rsidP="001360BB">
      <w:pPr>
        <w:numPr>
          <w:ilvl w:val="0"/>
          <w:numId w:val="219"/>
        </w:numPr>
        <w:spacing w:after="0" w:line="276" w:lineRule="auto"/>
        <w:jc w:val="both"/>
        <w:rPr>
          <w:sz w:val="20"/>
          <w:szCs w:val="20"/>
          <w:lang w:val="en-US"/>
        </w:rPr>
      </w:pPr>
      <w:r w:rsidRPr="51745E8D">
        <w:rPr>
          <w:sz w:val="20"/>
          <w:szCs w:val="20"/>
          <w:lang w:val="en-US"/>
        </w:rPr>
        <w:t>National Agency for Investment in Territorial Collectivities (ANICT)</w:t>
      </w:r>
    </w:p>
    <w:p w14:paraId="77447B44" w14:textId="77777777" w:rsidR="00B379A6" w:rsidRPr="00B379A6" w:rsidRDefault="576BD069" w:rsidP="001360BB">
      <w:pPr>
        <w:numPr>
          <w:ilvl w:val="0"/>
          <w:numId w:val="219"/>
        </w:numPr>
        <w:spacing w:after="0" w:line="276" w:lineRule="auto"/>
        <w:jc w:val="both"/>
        <w:rPr>
          <w:sz w:val="20"/>
          <w:szCs w:val="20"/>
          <w:lang w:val="en-US"/>
        </w:rPr>
      </w:pPr>
      <w:r w:rsidRPr="51745E8D">
        <w:rPr>
          <w:sz w:val="20"/>
          <w:szCs w:val="20"/>
          <w:lang w:val="en-US"/>
        </w:rPr>
        <w:t>Agency for the Promotion of Youth Employment (APEJ)</w:t>
      </w:r>
    </w:p>
    <w:p w14:paraId="1939D651" w14:textId="77777777" w:rsidR="00B379A6" w:rsidRPr="00B379A6" w:rsidRDefault="58668E97" w:rsidP="001360BB">
      <w:pPr>
        <w:numPr>
          <w:ilvl w:val="0"/>
          <w:numId w:val="219"/>
        </w:numPr>
        <w:spacing w:after="0" w:line="276" w:lineRule="auto"/>
        <w:jc w:val="both"/>
        <w:rPr>
          <w:sz w:val="20"/>
          <w:szCs w:val="20"/>
          <w:lang w:val="it-IT"/>
        </w:rPr>
      </w:pPr>
      <w:r w:rsidRPr="3C8408A9">
        <w:rPr>
          <w:sz w:val="20"/>
          <w:szCs w:val="20"/>
          <w:lang w:val="it-IT"/>
        </w:rPr>
        <w:lastRenderedPageBreak/>
        <w:t>Road Traffic Company (CCR)</w:t>
      </w:r>
    </w:p>
    <w:p w14:paraId="5ADFA995" w14:textId="77777777" w:rsidR="00B379A6" w:rsidRPr="00B379A6" w:rsidRDefault="23482C7C" w:rsidP="001360BB">
      <w:pPr>
        <w:numPr>
          <w:ilvl w:val="0"/>
          <w:numId w:val="219"/>
        </w:numPr>
        <w:spacing w:after="0" w:line="276" w:lineRule="auto"/>
        <w:jc w:val="both"/>
        <w:rPr>
          <w:sz w:val="20"/>
          <w:szCs w:val="20"/>
          <w:lang w:val="en-US"/>
        </w:rPr>
      </w:pPr>
      <w:r w:rsidRPr="5D8904BE">
        <w:rPr>
          <w:sz w:val="20"/>
          <w:szCs w:val="20"/>
          <w:lang w:val="en-US"/>
        </w:rPr>
        <w:t xml:space="preserve">National School of Engineers </w:t>
      </w:r>
      <w:proofErr w:type="spellStart"/>
      <w:r w:rsidRPr="5D8904BE">
        <w:rPr>
          <w:sz w:val="20"/>
          <w:szCs w:val="20"/>
          <w:lang w:val="en-US"/>
        </w:rPr>
        <w:t>Abderhamane</w:t>
      </w:r>
      <w:proofErr w:type="spellEnd"/>
      <w:r w:rsidRPr="5D8904BE">
        <w:rPr>
          <w:sz w:val="20"/>
          <w:szCs w:val="20"/>
          <w:lang w:val="en-US"/>
        </w:rPr>
        <w:t xml:space="preserve"> Baba Touré (ENI-ABT)</w:t>
      </w:r>
    </w:p>
    <w:p w14:paraId="51798FE5" w14:textId="77777777" w:rsidR="00B379A6" w:rsidRPr="00D96B14" w:rsidRDefault="1C266C92" w:rsidP="5D8904BE">
      <w:pPr>
        <w:spacing w:before="240" w:after="120" w:line="276" w:lineRule="auto"/>
        <w:jc w:val="both"/>
        <w:rPr>
          <w:i/>
          <w:iCs/>
          <w:sz w:val="20"/>
          <w:szCs w:val="20"/>
          <w:lang w:val="it-IT"/>
        </w:rPr>
      </w:pPr>
      <w:proofErr w:type="spellStart"/>
      <w:r w:rsidRPr="5D8904BE">
        <w:rPr>
          <w:i/>
          <w:iCs/>
          <w:sz w:val="20"/>
          <w:szCs w:val="20"/>
          <w:lang w:val="it-IT"/>
        </w:rPr>
        <w:t>Regional</w:t>
      </w:r>
      <w:proofErr w:type="spellEnd"/>
      <w:r w:rsidRPr="5D8904BE">
        <w:rPr>
          <w:i/>
          <w:iCs/>
          <w:sz w:val="20"/>
          <w:szCs w:val="20"/>
          <w:lang w:val="it-IT"/>
        </w:rPr>
        <w:t xml:space="preserve"> and Local Institutions</w:t>
      </w:r>
    </w:p>
    <w:p w14:paraId="3F922B11" w14:textId="1D85C817" w:rsidR="00B379A6" w:rsidRPr="00B379A6" w:rsidRDefault="4B48633D" w:rsidP="001360BB">
      <w:pPr>
        <w:numPr>
          <w:ilvl w:val="0"/>
          <w:numId w:val="220"/>
        </w:numPr>
        <w:spacing w:after="0" w:line="276" w:lineRule="auto"/>
        <w:jc w:val="both"/>
        <w:rPr>
          <w:sz w:val="20"/>
          <w:szCs w:val="20"/>
          <w:lang w:val="en-US"/>
        </w:rPr>
      </w:pPr>
      <w:r w:rsidRPr="537FA187">
        <w:rPr>
          <w:sz w:val="20"/>
          <w:szCs w:val="20"/>
          <w:lang w:val="en-US"/>
        </w:rPr>
        <w:t>Bamako Regional Development Agency (</w:t>
      </w:r>
      <w:r w:rsidR="5C750FBB" w:rsidRPr="537FA187">
        <w:rPr>
          <w:sz w:val="20"/>
          <w:szCs w:val="20"/>
          <w:lang w:val="en-US"/>
        </w:rPr>
        <w:t>RDA</w:t>
      </w:r>
      <w:r w:rsidRPr="537FA187">
        <w:rPr>
          <w:sz w:val="20"/>
          <w:szCs w:val="20"/>
          <w:lang w:val="en-US"/>
        </w:rPr>
        <w:t>-BKO)</w:t>
      </w:r>
    </w:p>
    <w:p w14:paraId="658B1413" w14:textId="77777777" w:rsidR="00B379A6" w:rsidRPr="00B379A6" w:rsidRDefault="576BD069" w:rsidP="001360BB">
      <w:pPr>
        <w:numPr>
          <w:ilvl w:val="0"/>
          <w:numId w:val="220"/>
        </w:numPr>
        <w:spacing w:after="0" w:line="276" w:lineRule="auto"/>
        <w:jc w:val="both"/>
        <w:rPr>
          <w:sz w:val="20"/>
          <w:szCs w:val="20"/>
          <w:lang w:val="en-US"/>
        </w:rPr>
      </w:pPr>
      <w:r w:rsidRPr="51745E8D">
        <w:rPr>
          <w:sz w:val="20"/>
          <w:szCs w:val="20"/>
          <w:lang w:val="en-US"/>
        </w:rPr>
        <w:t>Mayor's Office of the Bamako District</w:t>
      </w:r>
    </w:p>
    <w:p w14:paraId="238E0222" w14:textId="0E115C19" w:rsidR="00B379A6" w:rsidRPr="00B379A6" w:rsidRDefault="51E6B936" w:rsidP="001360BB">
      <w:pPr>
        <w:numPr>
          <w:ilvl w:val="0"/>
          <w:numId w:val="220"/>
        </w:numPr>
        <w:spacing w:after="0" w:line="276" w:lineRule="auto"/>
        <w:jc w:val="both"/>
        <w:rPr>
          <w:sz w:val="20"/>
          <w:szCs w:val="20"/>
          <w:lang w:val="it-IT"/>
        </w:rPr>
      </w:pPr>
      <w:r w:rsidRPr="3D58A386">
        <w:rPr>
          <w:sz w:val="20"/>
          <w:szCs w:val="20"/>
          <w:lang w:val="it-IT"/>
        </w:rPr>
        <w:t xml:space="preserve">Bamako Boroughs </w:t>
      </w:r>
    </w:p>
    <w:p w14:paraId="19F4950A" w14:textId="77777777" w:rsidR="00B379A6" w:rsidRPr="00B379A6" w:rsidRDefault="576BD069" w:rsidP="001360BB">
      <w:pPr>
        <w:numPr>
          <w:ilvl w:val="0"/>
          <w:numId w:val="220"/>
        </w:numPr>
        <w:spacing w:after="0" w:line="276" w:lineRule="auto"/>
        <w:jc w:val="both"/>
        <w:rPr>
          <w:sz w:val="20"/>
          <w:szCs w:val="20"/>
          <w:lang w:val="en-US"/>
        </w:rPr>
      </w:pPr>
      <w:r w:rsidRPr="51745E8D">
        <w:rPr>
          <w:sz w:val="20"/>
          <w:szCs w:val="20"/>
          <w:lang w:val="en-US"/>
        </w:rPr>
        <w:t>Niger River Basin Agency (ABFN)</w:t>
      </w:r>
    </w:p>
    <w:p w14:paraId="2CA11C22" w14:textId="3957E2BA" w:rsidR="00B379A6" w:rsidRPr="00D96B14" w:rsidRDefault="7473ACC7" w:rsidP="3C8408A9">
      <w:pPr>
        <w:spacing w:before="240" w:after="120" w:line="276" w:lineRule="auto"/>
        <w:jc w:val="both"/>
        <w:rPr>
          <w:i/>
          <w:iCs/>
          <w:sz w:val="20"/>
          <w:szCs w:val="20"/>
          <w:lang w:val="en-US"/>
        </w:rPr>
      </w:pPr>
      <w:r w:rsidRPr="3D58A386">
        <w:rPr>
          <w:sz w:val="20"/>
          <w:szCs w:val="20"/>
          <w:lang w:val="en-US"/>
        </w:rPr>
        <w:t xml:space="preserve">National Police – Bamako One Stop Centers </w:t>
      </w:r>
      <w:r w:rsidR="58668E97" w:rsidRPr="00D96B14">
        <w:rPr>
          <w:i/>
          <w:iCs/>
          <w:sz w:val="20"/>
          <w:szCs w:val="20"/>
          <w:lang w:val="en-US"/>
        </w:rPr>
        <w:t>Financial Organizations and Private Sector Engagement Support</w:t>
      </w:r>
    </w:p>
    <w:p w14:paraId="3BC111E7" w14:textId="77777777" w:rsidR="00B379A6" w:rsidRPr="00B379A6" w:rsidRDefault="576BD069" w:rsidP="001360BB">
      <w:pPr>
        <w:numPr>
          <w:ilvl w:val="0"/>
          <w:numId w:val="221"/>
        </w:numPr>
        <w:spacing w:after="0" w:line="276" w:lineRule="auto"/>
        <w:jc w:val="both"/>
        <w:rPr>
          <w:sz w:val="20"/>
          <w:szCs w:val="20"/>
          <w:lang w:val="en-US"/>
        </w:rPr>
      </w:pPr>
      <w:r w:rsidRPr="51745E8D">
        <w:rPr>
          <w:sz w:val="20"/>
          <w:szCs w:val="20"/>
          <w:lang w:val="en-US"/>
        </w:rPr>
        <w:t>National Bank for Agricultural Development (BNDA)</w:t>
      </w:r>
    </w:p>
    <w:p w14:paraId="78D8A4AE" w14:textId="77777777" w:rsidR="00B379A6" w:rsidRPr="00B379A6" w:rsidRDefault="576BD069" w:rsidP="001360BB">
      <w:pPr>
        <w:numPr>
          <w:ilvl w:val="0"/>
          <w:numId w:val="221"/>
        </w:numPr>
        <w:spacing w:after="0" w:line="276" w:lineRule="auto"/>
        <w:jc w:val="both"/>
        <w:rPr>
          <w:sz w:val="20"/>
          <w:szCs w:val="20"/>
          <w:lang w:val="en-US"/>
        </w:rPr>
      </w:pPr>
      <w:r w:rsidRPr="51745E8D">
        <w:rPr>
          <w:sz w:val="20"/>
          <w:szCs w:val="20"/>
          <w:lang w:val="en-US"/>
        </w:rPr>
        <w:t>Chamber of Commerce and Industry of Mali (CCIM)</w:t>
      </w:r>
    </w:p>
    <w:p w14:paraId="2A329848" w14:textId="77777777" w:rsidR="00B379A6" w:rsidRPr="00B379A6" w:rsidRDefault="576BD069" w:rsidP="001360BB">
      <w:pPr>
        <w:numPr>
          <w:ilvl w:val="0"/>
          <w:numId w:val="221"/>
        </w:numPr>
        <w:spacing w:after="0" w:line="276" w:lineRule="auto"/>
        <w:jc w:val="both"/>
        <w:rPr>
          <w:sz w:val="20"/>
          <w:szCs w:val="20"/>
          <w:lang w:val="en-US"/>
        </w:rPr>
      </w:pPr>
      <w:r w:rsidRPr="51745E8D">
        <w:rPr>
          <w:sz w:val="20"/>
          <w:szCs w:val="20"/>
          <w:lang w:val="en-US"/>
        </w:rPr>
        <w:t>Chambers of Trades of Mali (CMM)</w:t>
      </w:r>
    </w:p>
    <w:p w14:paraId="7208B960" w14:textId="77777777" w:rsidR="00B379A6" w:rsidRPr="00B379A6" w:rsidRDefault="576BD069" w:rsidP="001360BB">
      <w:pPr>
        <w:numPr>
          <w:ilvl w:val="0"/>
          <w:numId w:val="221"/>
        </w:numPr>
        <w:spacing w:after="0" w:line="276" w:lineRule="auto"/>
        <w:jc w:val="both"/>
        <w:rPr>
          <w:sz w:val="20"/>
          <w:szCs w:val="20"/>
          <w:lang w:val="en-US"/>
        </w:rPr>
      </w:pPr>
      <w:r w:rsidRPr="51745E8D">
        <w:rPr>
          <w:sz w:val="20"/>
          <w:szCs w:val="20"/>
          <w:lang w:val="en-US"/>
        </w:rPr>
        <w:t>National Council of Malian Employers (CNPM)</w:t>
      </w:r>
    </w:p>
    <w:p w14:paraId="53BC930E" w14:textId="77777777" w:rsidR="00B379A6" w:rsidRPr="00B379A6" w:rsidRDefault="23482C7C" w:rsidP="001360BB">
      <w:pPr>
        <w:numPr>
          <w:ilvl w:val="0"/>
          <w:numId w:val="221"/>
        </w:numPr>
        <w:spacing w:after="0" w:line="276" w:lineRule="auto"/>
        <w:jc w:val="both"/>
        <w:rPr>
          <w:sz w:val="20"/>
          <w:szCs w:val="20"/>
          <w:lang w:val="en-US"/>
        </w:rPr>
      </w:pPr>
      <w:r w:rsidRPr="5D8904BE">
        <w:rPr>
          <w:sz w:val="20"/>
          <w:szCs w:val="20"/>
          <w:lang w:val="en-US"/>
        </w:rPr>
        <w:t>Regional Directorate of Vocational Training (DRFP) / Vocational Training Centers (CFP) (</w:t>
      </w:r>
      <w:proofErr w:type="spellStart"/>
      <w:r w:rsidRPr="5D8904BE">
        <w:rPr>
          <w:sz w:val="20"/>
          <w:szCs w:val="20"/>
          <w:lang w:val="en-US"/>
        </w:rPr>
        <w:t>Missabougou</w:t>
      </w:r>
      <w:proofErr w:type="spellEnd"/>
      <w:r w:rsidRPr="5D8904BE">
        <w:rPr>
          <w:sz w:val="20"/>
          <w:szCs w:val="20"/>
          <w:lang w:val="en-US"/>
        </w:rPr>
        <w:t xml:space="preserve">, </w:t>
      </w:r>
      <w:proofErr w:type="spellStart"/>
      <w:r w:rsidRPr="5D8904BE">
        <w:rPr>
          <w:sz w:val="20"/>
          <w:szCs w:val="20"/>
          <w:lang w:val="en-US"/>
        </w:rPr>
        <w:t>Senou</w:t>
      </w:r>
      <w:proofErr w:type="spellEnd"/>
      <w:r w:rsidRPr="5D8904BE">
        <w:rPr>
          <w:sz w:val="20"/>
          <w:szCs w:val="20"/>
          <w:lang w:val="en-US"/>
        </w:rPr>
        <w:t xml:space="preserve"> and ECICA)</w:t>
      </w:r>
    </w:p>
    <w:p w14:paraId="0462719B" w14:textId="77777777" w:rsidR="00B379A6" w:rsidRPr="007E011D" w:rsidRDefault="58668E97" w:rsidP="3C8408A9">
      <w:pPr>
        <w:spacing w:before="240" w:after="120" w:line="276" w:lineRule="auto"/>
        <w:jc w:val="both"/>
        <w:rPr>
          <w:i/>
          <w:iCs/>
          <w:sz w:val="20"/>
          <w:szCs w:val="20"/>
          <w:lang w:val="en-US"/>
        </w:rPr>
      </w:pPr>
      <w:r w:rsidRPr="007E011D">
        <w:rPr>
          <w:i/>
          <w:iCs/>
          <w:sz w:val="20"/>
          <w:szCs w:val="20"/>
          <w:lang w:val="en-US"/>
        </w:rPr>
        <w:t>Private Sector, Unions, Professional Organizations and Economic Interest Groups (EIGs)</w:t>
      </w:r>
    </w:p>
    <w:p w14:paraId="4FAD01E7" w14:textId="77777777" w:rsidR="00B379A6" w:rsidRPr="00B379A6" w:rsidRDefault="1C266C92" w:rsidP="001360BB">
      <w:pPr>
        <w:numPr>
          <w:ilvl w:val="0"/>
          <w:numId w:val="222"/>
        </w:numPr>
        <w:spacing w:after="0" w:line="276" w:lineRule="auto"/>
        <w:jc w:val="both"/>
        <w:rPr>
          <w:sz w:val="20"/>
          <w:szCs w:val="20"/>
          <w:lang w:val="it-IT"/>
        </w:rPr>
      </w:pPr>
      <w:proofErr w:type="spellStart"/>
      <w:r w:rsidRPr="5D8904BE">
        <w:rPr>
          <w:sz w:val="20"/>
          <w:szCs w:val="20"/>
          <w:lang w:val="it-IT"/>
        </w:rPr>
        <w:t>Transport</w:t>
      </w:r>
      <w:proofErr w:type="spellEnd"/>
      <w:r w:rsidRPr="5D8904BE">
        <w:rPr>
          <w:sz w:val="20"/>
          <w:szCs w:val="20"/>
          <w:lang w:val="it-IT"/>
        </w:rPr>
        <w:t xml:space="preserve"> </w:t>
      </w:r>
      <w:proofErr w:type="spellStart"/>
      <w:r w:rsidRPr="5D8904BE">
        <w:rPr>
          <w:sz w:val="20"/>
          <w:szCs w:val="20"/>
          <w:lang w:val="it-IT"/>
        </w:rPr>
        <w:t>Unions</w:t>
      </w:r>
      <w:proofErr w:type="spellEnd"/>
      <w:r w:rsidRPr="5D8904BE">
        <w:rPr>
          <w:sz w:val="20"/>
          <w:szCs w:val="20"/>
          <w:lang w:val="it-IT"/>
        </w:rPr>
        <w:t xml:space="preserve"> (SOTRAMA, taxi, </w:t>
      </w:r>
      <w:proofErr w:type="spellStart"/>
      <w:r w:rsidRPr="5D8904BE">
        <w:rPr>
          <w:sz w:val="20"/>
          <w:szCs w:val="20"/>
          <w:lang w:val="it-IT"/>
        </w:rPr>
        <w:t>motor</w:t>
      </w:r>
      <w:proofErr w:type="spellEnd"/>
      <w:r w:rsidRPr="5D8904BE">
        <w:rPr>
          <w:sz w:val="20"/>
          <w:szCs w:val="20"/>
          <w:lang w:val="it-IT"/>
        </w:rPr>
        <w:t>-taxi)</w:t>
      </w:r>
    </w:p>
    <w:p w14:paraId="3B2ED668" w14:textId="77777777" w:rsidR="00B379A6" w:rsidRPr="00B379A6" w:rsidRDefault="1C266C92" w:rsidP="001360BB">
      <w:pPr>
        <w:numPr>
          <w:ilvl w:val="0"/>
          <w:numId w:val="222"/>
        </w:numPr>
        <w:spacing w:after="0" w:line="276" w:lineRule="auto"/>
        <w:jc w:val="both"/>
        <w:rPr>
          <w:sz w:val="20"/>
          <w:szCs w:val="20"/>
          <w:lang w:val="it-IT"/>
        </w:rPr>
      </w:pPr>
      <w:proofErr w:type="spellStart"/>
      <w:r w:rsidRPr="5D8904BE">
        <w:rPr>
          <w:sz w:val="20"/>
          <w:szCs w:val="20"/>
          <w:lang w:val="it-IT"/>
        </w:rPr>
        <w:t>Malian</w:t>
      </w:r>
      <w:proofErr w:type="spellEnd"/>
      <w:r w:rsidRPr="5D8904BE">
        <w:rPr>
          <w:sz w:val="20"/>
          <w:szCs w:val="20"/>
          <w:lang w:val="it-IT"/>
        </w:rPr>
        <w:t xml:space="preserve"> </w:t>
      </w:r>
      <w:proofErr w:type="spellStart"/>
      <w:r w:rsidRPr="5D8904BE">
        <w:rPr>
          <w:sz w:val="20"/>
          <w:szCs w:val="20"/>
          <w:lang w:val="it-IT"/>
        </w:rPr>
        <w:t>Navigation</w:t>
      </w:r>
      <w:proofErr w:type="spellEnd"/>
      <w:r w:rsidRPr="5D8904BE">
        <w:rPr>
          <w:sz w:val="20"/>
          <w:szCs w:val="20"/>
          <w:lang w:val="it-IT"/>
        </w:rPr>
        <w:t xml:space="preserve"> Company (COMANAV)</w:t>
      </w:r>
    </w:p>
    <w:p w14:paraId="0EE4254E" w14:textId="77777777" w:rsidR="00B379A6" w:rsidRPr="00B379A6" w:rsidRDefault="1C266C92" w:rsidP="001360BB">
      <w:pPr>
        <w:numPr>
          <w:ilvl w:val="0"/>
          <w:numId w:val="222"/>
        </w:numPr>
        <w:spacing w:after="0" w:line="276" w:lineRule="auto"/>
        <w:jc w:val="both"/>
        <w:rPr>
          <w:sz w:val="20"/>
          <w:szCs w:val="20"/>
          <w:lang w:val="it-IT"/>
        </w:rPr>
      </w:pPr>
      <w:proofErr w:type="spellStart"/>
      <w:r w:rsidRPr="5D8904BE">
        <w:rPr>
          <w:sz w:val="20"/>
          <w:szCs w:val="20"/>
          <w:lang w:val="it-IT"/>
        </w:rPr>
        <w:t>Artisans</w:t>
      </w:r>
      <w:proofErr w:type="spellEnd"/>
      <w:r w:rsidRPr="5D8904BE">
        <w:rPr>
          <w:sz w:val="20"/>
          <w:szCs w:val="20"/>
          <w:lang w:val="it-IT"/>
        </w:rPr>
        <w:t xml:space="preserve"> in the </w:t>
      </w:r>
      <w:proofErr w:type="spellStart"/>
      <w:r w:rsidRPr="5D8904BE">
        <w:rPr>
          <w:sz w:val="20"/>
          <w:szCs w:val="20"/>
          <w:lang w:val="it-IT"/>
        </w:rPr>
        <w:t>transport</w:t>
      </w:r>
      <w:proofErr w:type="spellEnd"/>
      <w:r w:rsidRPr="5D8904BE">
        <w:rPr>
          <w:sz w:val="20"/>
          <w:szCs w:val="20"/>
          <w:lang w:val="it-IT"/>
        </w:rPr>
        <w:t xml:space="preserve"> </w:t>
      </w:r>
      <w:proofErr w:type="spellStart"/>
      <w:r w:rsidRPr="5D8904BE">
        <w:rPr>
          <w:sz w:val="20"/>
          <w:szCs w:val="20"/>
          <w:lang w:val="it-IT"/>
        </w:rPr>
        <w:t>sector</w:t>
      </w:r>
      <w:proofErr w:type="spellEnd"/>
    </w:p>
    <w:p w14:paraId="6177ECC9" w14:textId="77777777" w:rsidR="00B379A6" w:rsidRPr="00B379A6" w:rsidRDefault="576BD069" w:rsidP="001360BB">
      <w:pPr>
        <w:numPr>
          <w:ilvl w:val="0"/>
          <w:numId w:val="222"/>
        </w:numPr>
        <w:spacing w:after="0" w:line="276" w:lineRule="auto"/>
        <w:jc w:val="both"/>
        <w:rPr>
          <w:sz w:val="20"/>
          <w:szCs w:val="20"/>
          <w:lang w:val="en-US"/>
        </w:rPr>
      </w:pPr>
      <w:r w:rsidRPr="51745E8D">
        <w:rPr>
          <w:sz w:val="20"/>
          <w:szCs w:val="20"/>
          <w:lang w:val="en-US"/>
        </w:rPr>
        <w:t>Collective of Groups Involved in Sanitation in Mali (COGIAM)</w:t>
      </w:r>
    </w:p>
    <w:p w14:paraId="50C3D7D9" w14:textId="77777777" w:rsidR="00B379A6" w:rsidRPr="00B379A6" w:rsidRDefault="576BD069" w:rsidP="001360BB">
      <w:pPr>
        <w:numPr>
          <w:ilvl w:val="0"/>
          <w:numId w:val="222"/>
        </w:numPr>
        <w:spacing w:after="0" w:line="276" w:lineRule="auto"/>
        <w:jc w:val="both"/>
        <w:rPr>
          <w:sz w:val="20"/>
          <w:szCs w:val="20"/>
          <w:lang w:val="en-US"/>
        </w:rPr>
      </w:pPr>
      <w:r w:rsidRPr="51745E8D">
        <w:rPr>
          <w:sz w:val="20"/>
          <w:szCs w:val="20"/>
          <w:lang w:val="en-US"/>
        </w:rPr>
        <w:t>Order of Expert Surveyors of Mali (OGEM)</w:t>
      </w:r>
    </w:p>
    <w:p w14:paraId="043C9134" w14:textId="77777777" w:rsidR="00B379A6" w:rsidRPr="00B379A6" w:rsidRDefault="1C266C92" w:rsidP="001360BB">
      <w:pPr>
        <w:numPr>
          <w:ilvl w:val="0"/>
          <w:numId w:val="222"/>
        </w:numPr>
        <w:spacing w:after="0" w:line="276" w:lineRule="auto"/>
        <w:jc w:val="both"/>
        <w:rPr>
          <w:sz w:val="20"/>
          <w:szCs w:val="20"/>
          <w:lang w:val="it-IT"/>
        </w:rPr>
      </w:pPr>
      <w:proofErr w:type="spellStart"/>
      <w:r w:rsidRPr="5D8904BE">
        <w:rPr>
          <w:sz w:val="20"/>
          <w:szCs w:val="20"/>
          <w:lang w:val="it-IT"/>
        </w:rPr>
        <w:t>Agricultural</w:t>
      </w:r>
      <w:proofErr w:type="spellEnd"/>
      <w:r w:rsidRPr="5D8904BE">
        <w:rPr>
          <w:sz w:val="20"/>
          <w:szCs w:val="20"/>
          <w:lang w:val="it-IT"/>
        </w:rPr>
        <w:t xml:space="preserve"> </w:t>
      </w:r>
      <w:proofErr w:type="spellStart"/>
      <w:r w:rsidRPr="5D8904BE">
        <w:rPr>
          <w:sz w:val="20"/>
          <w:szCs w:val="20"/>
          <w:lang w:val="it-IT"/>
        </w:rPr>
        <w:t>Interprofessions</w:t>
      </w:r>
      <w:proofErr w:type="spellEnd"/>
      <w:r w:rsidRPr="5D8904BE">
        <w:rPr>
          <w:sz w:val="20"/>
          <w:szCs w:val="20"/>
          <w:lang w:val="it-IT"/>
        </w:rPr>
        <w:t xml:space="preserve"> (mango, shea, </w:t>
      </w:r>
      <w:proofErr w:type="spellStart"/>
      <w:r w:rsidRPr="5D8904BE">
        <w:rPr>
          <w:sz w:val="20"/>
          <w:szCs w:val="20"/>
          <w:lang w:val="it-IT"/>
        </w:rPr>
        <w:t>gum</w:t>
      </w:r>
      <w:proofErr w:type="spellEnd"/>
      <w:r w:rsidRPr="5D8904BE">
        <w:rPr>
          <w:sz w:val="20"/>
          <w:szCs w:val="20"/>
          <w:lang w:val="it-IT"/>
        </w:rPr>
        <w:t xml:space="preserve"> </w:t>
      </w:r>
      <w:proofErr w:type="spellStart"/>
      <w:r w:rsidRPr="5D8904BE">
        <w:rPr>
          <w:sz w:val="20"/>
          <w:szCs w:val="20"/>
          <w:lang w:val="it-IT"/>
        </w:rPr>
        <w:t>arabic</w:t>
      </w:r>
      <w:proofErr w:type="spellEnd"/>
      <w:r w:rsidRPr="5D8904BE">
        <w:rPr>
          <w:sz w:val="20"/>
          <w:szCs w:val="20"/>
          <w:lang w:val="it-IT"/>
        </w:rPr>
        <w:t>)</w:t>
      </w:r>
    </w:p>
    <w:p w14:paraId="229B248D" w14:textId="77777777" w:rsidR="00B379A6" w:rsidRPr="00B379A6" w:rsidRDefault="576BD069" w:rsidP="001360BB">
      <w:pPr>
        <w:numPr>
          <w:ilvl w:val="0"/>
          <w:numId w:val="222"/>
        </w:numPr>
        <w:spacing w:after="0" w:line="276" w:lineRule="auto"/>
        <w:jc w:val="both"/>
        <w:rPr>
          <w:sz w:val="20"/>
          <w:szCs w:val="20"/>
          <w:lang w:val="en-US"/>
        </w:rPr>
      </w:pPr>
      <w:r w:rsidRPr="51745E8D">
        <w:rPr>
          <w:sz w:val="20"/>
          <w:szCs w:val="20"/>
          <w:lang w:val="en-US"/>
        </w:rPr>
        <w:t>Professional Organizations (nursery growers, horticulturists)</w:t>
      </w:r>
    </w:p>
    <w:p w14:paraId="34D5F297" w14:textId="77777777" w:rsidR="00B379A6" w:rsidRPr="00B379A6" w:rsidRDefault="58668E97" w:rsidP="001360BB">
      <w:pPr>
        <w:numPr>
          <w:ilvl w:val="0"/>
          <w:numId w:val="222"/>
        </w:numPr>
        <w:spacing w:after="0" w:line="276" w:lineRule="auto"/>
        <w:jc w:val="both"/>
        <w:rPr>
          <w:sz w:val="20"/>
          <w:szCs w:val="20"/>
          <w:lang w:val="it-IT"/>
        </w:rPr>
      </w:pPr>
      <w:r w:rsidRPr="3C8408A9">
        <w:rPr>
          <w:sz w:val="20"/>
          <w:szCs w:val="20"/>
          <w:lang w:val="it-IT"/>
        </w:rPr>
        <w:t>Innovative Companies and Startups</w:t>
      </w:r>
    </w:p>
    <w:p w14:paraId="0EC85BA2" w14:textId="77777777" w:rsidR="00B379A6" w:rsidRPr="00C535FE" w:rsidRDefault="58668E97" w:rsidP="001360BB">
      <w:pPr>
        <w:numPr>
          <w:ilvl w:val="0"/>
          <w:numId w:val="222"/>
        </w:numPr>
        <w:spacing w:after="0" w:line="276" w:lineRule="auto"/>
        <w:jc w:val="both"/>
        <w:rPr>
          <w:sz w:val="20"/>
          <w:szCs w:val="20"/>
          <w:lang w:val="en-US"/>
        </w:rPr>
      </w:pPr>
      <w:r w:rsidRPr="00C535FE">
        <w:rPr>
          <w:sz w:val="20"/>
          <w:szCs w:val="20"/>
          <w:lang w:val="en-US"/>
        </w:rPr>
        <w:t>Media (national / regional / local TV and radio channels)</w:t>
      </w:r>
    </w:p>
    <w:p w14:paraId="377001FC" w14:textId="77777777" w:rsidR="00B379A6" w:rsidRPr="007E011D" w:rsidRDefault="1C266C92" w:rsidP="5D8904BE">
      <w:pPr>
        <w:spacing w:before="240" w:after="120" w:line="276" w:lineRule="auto"/>
        <w:jc w:val="both"/>
        <w:rPr>
          <w:i/>
          <w:iCs/>
          <w:sz w:val="20"/>
          <w:szCs w:val="20"/>
          <w:lang w:val="it-IT"/>
        </w:rPr>
      </w:pPr>
      <w:r w:rsidRPr="5D8904BE">
        <w:rPr>
          <w:i/>
          <w:iCs/>
          <w:sz w:val="20"/>
          <w:szCs w:val="20"/>
          <w:lang w:val="it-IT"/>
        </w:rPr>
        <w:t xml:space="preserve">International </w:t>
      </w:r>
      <w:proofErr w:type="spellStart"/>
      <w:r w:rsidRPr="5D8904BE">
        <w:rPr>
          <w:i/>
          <w:iCs/>
          <w:sz w:val="20"/>
          <w:szCs w:val="20"/>
          <w:lang w:val="it-IT"/>
        </w:rPr>
        <w:t>Organizations</w:t>
      </w:r>
      <w:proofErr w:type="spellEnd"/>
    </w:p>
    <w:p w14:paraId="5F08F9DC" w14:textId="77777777" w:rsidR="00B379A6" w:rsidRPr="00B379A6" w:rsidRDefault="58668E97" w:rsidP="001360BB">
      <w:pPr>
        <w:numPr>
          <w:ilvl w:val="0"/>
          <w:numId w:val="223"/>
        </w:numPr>
        <w:spacing w:after="0" w:line="276" w:lineRule="auto"/>
        <w:jc w:val="both"/>
        <w:rPr>
          <w:sz w:val="20"/>
          <w:szCs w:val="20"/>
          <w:lang w:val="it-IT"/>
        </w:rPr>
      </w:pPr>
      <w:r w:rsidRPr="3C8408A9">
        <w:rPr>
          <w:sz w:val="20"/>
          <w:szCs w:val="20"/>
          <w:lang w:val="it-IT"/>
        </w:rPr>
        <w:t>UN-Habitat</w:t>
      </w:r>
    </w:p>
    <w:p w14:paraId="76665A8A" w14:textId="77777777" w:rsidR="00B379A6" w:rsidRPr="00B379A6" w:rsidRDefault="58668E97" w:rsidP="001360BB">
      <w:pPr>
        <w:numPr>
          <w:ilvl w:val="0"/>
          <w:numId w:val="223"/>
        </w:numPr>
        <w:spacing w:after="0" w:line="276" w:lineRule="auto"/>
        <w:jc w:val="both"/>
        <w:rPr>
          <w:sz w:val="20"/>
          <w:szCs w:val="20"/>
          <w:lang w:val="it-IT"/>
        </w:rPr>
      </w:pPr>
      <w:r w:rsidRPr="3C8408A9">
        <w:rPr>
          <w:sz w:val="20"/>
          <w:szCs w:val="20"/>
          <w:lang w:val="it-IT"/>
        </w:rPr>
        <w:t>UN Women</w:t>
      </w:r>
    </w:p>
    <w:p w14:paraId="4FAC565E" w14:textId="77777777" w:rsidR="00B379A6" w:rsidRDefault="51E6B936" w:rsidP="001360BB">
      <w:pPr>
        <w:numPr>
          <w:ilvl w:val="0"/>
          <w:numId w:val="223"/>
        </w:numPr>
        <w:spacing w:after="0" w:line="276" w:lineRule="auto"/>
        <w:jc w:val="both"/>
        <w:rPr>
          <w:sz w:val="20"/>
          <w:szCs w:val="20"/>
          <w:lang w:val="it-IT"/>
        </w:rPr>
      </w:pPr>
      <w:r w:rsidRPr="3D58A386">
        <w:rPr>
          <w:sz w:val="20"/>
          <w:szCs w:val="20"/>
          <w:lang w:val="it-IT"/>
        </w:rPr>
        <w:t>UNDP - Accelerator Lab</w:t>
      </w:r>
    </w:p>
    <w:p w14:paraId="4572FB39" w14:textId="5538CB36" w:rsidR="0D3E45F4" w:rsidRDefault="0D3E45F4" w:rsidP="001360BB">
      <w:pPr>
        <w:numPr>
          <w:ilvl w:val="0"/>
          <w:numId w:val="223"/>
        </w:numPr>
        <w:spacing w:after="0" w:line="276" w:lineRule="auto"/>
        <w:jc w:val="both"/>
        <w:rPr>
          <w:sz w:val="20"/>
          <w:szCs w:val="20"/>
          <w:lang w:val="it-IT"/>
        </w:rPr>
      </w:pPr>
      <w:r w:rsidRPr="3D58A386">
        <w:rPr>
          <w:sz w:val="20"/>
          <w:szCs w:val="20"/>
          <w:lang w:val="it-IT"/>
        </w:rPr>
        <w:t>FAO</w:t>
      </w:r>
    </w:p>
    <w:p w14:paraId="217A4644" w14:textId="77777777" w:rsidR="00B379A6" w:rsidRPr="00B379A6" w:rsidRDefault="1C266C92" w:rsidP="5D8904BE">
      <w:pPr>
        <w:spacing w:before="240" w:after="120" w:line="276" w:lineRule="auto"/>
        <w:jc w:val="both"/>
        <w:rPr>
          <w:i/>
          <w:iCs/>
          <w:sz w:val="20"/>
          <w:szCs w:val="20"/>
          <w:lang w:val="it-IT"/>
        </w:rPr>
      </w:pPr>
      <w:r w:rsidRPr="5D8904BE">
        <w:rPr>
          <w:i/>
          <w:iCs/>
          <w:sz w:val="20"/>
          <w:szCs w:val="20"/>
          <w:lang w:val="it-IT"/>
        </w:rPr>
        <w:t xml:space="preserve">National </w:t>
      </w:r>
      <w:proofErr w:type="spellStart"/>
      <w:r w:rsidRPr="5D8904BE">
        <w:rPr>
          <w:i/>
          <w:iCs/>
          <w:sz w:val="20"/>
          <w:szCs w:val="20"/>
          <w:lang w:val="it-IT"/>
        </w:rPr>
        <w:t>NGOs</w:t>
      </w:r>
      <w:proofErr w:type="spellEnd"/>
      <w:r w:rsidRPr="5D8904BE">
        <w:rPr>
          <w:i/>
          <w:iCs/>
          <w:sz w:val="20"/>
          <w:szCs w:val="20"/>
          <w:lang w:val="it-IT"/>
        </w:rPr>
        <w:t xml:space="preserve"> and </w:t>
      </w:r>
      <w:proofErr w:type="spellStart"/>
      <w:r w:rsidRPr="5D8904BE">
        <w:rPr>
          <w:i/>
          <w:iCs/>
          <w:sz w:val="20"/>
          <w:szCs w:val="20"/>
          <w:lang w:val="it-IT"/>
        </w:rPr>
        <w:t>CSOs</w:t>
      </w:r>
      <w:proofErr w:type="spellEnd"/>
    </w:p>
    <w:p w14:paraId="6AE66AAE" w14:textId="77777777" w:rsidR="00B379A6" w:rsidRPr="00B379A6" w:rsidRDefault="23482C7C" w:rsidP="001360BB">
      <w:pPr>
        <w:numPr>
          <w:ilvl w:val="0"/>
          <w:numId w:val="224"/>
        </w:numPr>
        <w:spacing w:after="0" w:line="276" w:lineRule="auto"/>
        <w:jc w:val="both"/>
        <w:rPr>
          <w:sz w:val="20"/>
          <w:szCs w:val="20"/>
          <w:lang w:val="en-US"/>
        </w:rPr>
      </w:pPr>
      <w:r w:rsidRPr="5D8904BE">
        <w:rPr>
          <w:sz w:val="20"/>
          <w:szCs w:val="20"/>
          <w:lang w:val="en-US"/>
        </w:rPr>
        <w:t xml:space="preserve">CAFO and other women's CSOs, such as REFEDE Mali, </w:t>
      </w:r>
      <w:proofErr w:type="spellStart"/>
      <w:r w:rsidRPr="5D8904BE">
        <w:rPr>
          <w:sz w:val="20"/>
          <w:szCs w:val="20"/>
          <w:lang w:val="en-US"/>
        </w:rPr>
        <w:t>Woiyo</w:t>
      </w:r>
      <w:proofErr w:type="spellEnd"/>
      <w:r w:rsidRPr="5D8904BE">
        <w:rPr>
          <w:sz w:val="20"/>
          <w:szCs w:val="20"/>
          <w:lang w:val="en-US"/>
        </w:rPr>
        <w:t xml:space="preserve"> </w:t>
      </w:r>
      <w:proofErr w:type="spellStart"/>
      <w:r w:rsidRPr="5D8904BE">
        <w:rPr>
          <w:sz w:val="20"/>
          <w:szCs w:val="20"/>
          <w:lang w:val="en-US"/>
        </w:rPr>
        <w:t>Kondeye</w:t>
      </w:r>
      <w:proofErr w:type="spellEnd"/>
    </w:p>
    <w:p w14:paraId="30D40FB8" w14:textId="085A523F" w:rsidR="1C266C92" w:rsidRDefault="1C266C92" w:rsidP="0764FF73">
      <w:pPr>
        <w:numPr>
          <w:ilvl w:val="0"/>
          <w:numId w:val="224"/>
        </w:numPr>
        <w:spacing w:after="0" w:line="276" w:lineRule="auto"/>
        <w:jc w:val="both"/>
        <w:rPr>
          <w:sz w:val="20"/>
          <w:szCs w:val="20"/>
          <w:lang w:val="en-US"/>
        </w:rPr>
      </w:pPr>
      <w:r w:rsidRPr="0764FF73">
        <w:rPr>
          <w:sz w:val="20"/>
          <w:szCs w:val="20"/>
          <w:lang w:val="en-US"/>
        </w:rPr>
        <w:t>National and local environmental NGOs (AMPEF, RJS Clim, Mali-</w:t>
      </w:r>
      <w:proofErr w:type="spellStart"/>
      <w:r w:rsidRPr="0764FF73">
        <w:rPr>
          <w:sz w:val="20"/>
          <w:szCs w:val="20"/>
          <w:lang w:val="en-US"/>
        </w:rPr>
        <w:t>Foklecenter</w:t>
      </w:r>
      <w:proofErr w:type="spellEnd"/>
      <w:r w:rsidRPr="0764FF73">
        <w:rPr>
          <w:sz w:val="20"/>
          <w:szCs w:val="20"/>
          <w:lang w:val="en-US"/>
        </w:rPr>
        <w:t xml:space="preserve"> </w:t>
      </w:r>
      <w:proofErr w:type="spellStart"/>
      <w:r w:rsidRPr="0764FF73">
        <w:rPr>
          <w:sz w:val="20"/>
          <w:szCs w:val="20"/>
          <w:lang w:val="en-US"/>
        </w:rPr>
        <w:t>Nyetaa</w:t>
      </w:r>
      <w:proofErr w:type="spellEnd"/>
      <w:r w:rsidRPr="0764FF73">
        <w:rPr>
          <w:sz w:val="20"/>
          <w:szCs w:val="20"/>
          <w:lang w:val="en-US"/>
        </w:rPr>
        <w:t>)</w:t>
      </w:r>
    </w:p>
    <w:p w14:paraId="7F14F1E5" w14:textId="3A280FB2" w:rsidR="59F1F367" w:rsidRPr="00857B81" w:rsidRDefault="59F1F367" w:rsidP="00857B81">
      <w:pPr>
        <w:spacing w:before="240" w:after="120" w:line="276" w:lineRule="auto"/>
        <w:ind w:left="187"/>
        <w:jc w:val="both"/>
        <w:rPr>
          <w:color w:val="000000" w:themeColor="text1"/>
          <w:sz w:val="20"/>
          <w:szCs w:val="20"/>
          <w:highlight w:val="yellow"/>
          <w:u w:val="single"/>
          <w:lang w:val="en-US"/>
        </w:rPr>
      </w:pPr>
      <w:r w:rsidRPr="00857B81">
        <w:rPr>
          <w:color w:val="000000" w:themeColor="text1"/>
          <w:sz w:val="20"/>
          <w:szCs w:val="20"/>
          <w:highlight w:val="yellow"/>
          <w:u w:val="single"/>
          <w:lang w:val="en-US"/>
        </w:rPr>
        <w:t>Other stakeholders / stakeholder groups</w:t>
      </w:r>
    </w:p>
    <w:p w14:paraId="44CCC33D" w14:textId="2A4E7CF4" w:rsidR="59F1F367" w:rsidRPr="00857B81" w:rsidRDefault="59F1F367" w:rsidP="00857B81">
      <w:pPr>
        <w:pStyle w:val="Paragraphedeliste"/>
        <w:numPr>
          <w:ilvl w:val="0"/>
          <w:numId w:val="14"/>
        </w:numPr>
        <w:spacing w:after="0" w:line="276" w:lineRule="auto"/>
        <w:jc w:val="both"/>
        <w:rPr>
          <w:sz w:val="20"/>
          <w:szCs w:val="20"/>
          <w:highlight w:val="yellow"/>
          <w:lang w:val="en-US"/>
        </w:rPr>
      </w:pPr>
      <w:r w:rsidRPr="00857B81">
        <w:rPr>
          <w:sz w:val="20"/>
          <w:szCs w:val="20"/>
          <w:highlight w:val="yellow"/>
          <w:lang w:val="en-US"/>
        </w:rPr>
        <w:t>Internally Displaced People (IDPs)</w:t>
      </w:r>
    </w:p>
    <w:p w14:paraId="36CBA134" w14:textId="48D8B2D7" w:rsidR="0764FF73" w:rsidRDefault="0764FF73" w:rsidP="0764FF73">
      <w:pPr>
        <w:spacing w:after="0" w:line="276" w:lineRule="auto"/>
        <w:jc w:val="both"/>
        <w:rPr>
          <w:sz w:val="20"/>
          <w:szCs w:val="20"/>
          <w:lang w:val="it-IT"/>
        </w:rPr>
      </w:pPr>
    </w:p>
    <w:p w14:paraId="5F657E77" w14:textId="77777777" w:rsidR="00B379A6" w:rsidRDefault="00B379A6" w:rsidP="3C8408A9">
      <w:pPr>
        <w:spacing w:after="0" w:line="276" w:lineRule="auto"/>
        <w:jc w:val="both"/>
        <w:rPr>
          <w:sz w:val="20"/>
          <w:szCs w:val="20"/>
          <w:lang w:val="it-IT"/>
        </w:rPr>
      </w:pPr>
    </w:p>
    <w:p w14:paraId="619A4B50" w14:textId="554551F1" w:rsidR="00B379A6" w:rsidRPr="00B379A6" w:rsidRDefault="1C266C92" w:rsidP="3C8408A9">
      <w:pPr>
        <w:spacing w:after="0" w:line="276" w:lineRule="auto"/>
        <w:jc w:val="both"/>
        <w:rPr>
          <w:sz w:val="20"/>
          <w:szCs w:val="20"/>
          <w:lang w:val="it-IT"/>
        </w:rPr>
      </w:pPr>
      <w:r w:rsidRPr="5D8904BE">
        <w:rPr>
          <w:sz w:val="20"/>
          <w:szCs w:val="20"/>
          <w:lang w:val="it-IT"/>
        </w:rPr>
        <w:t xml:space="preserve">The engagement strategy </w:t>
      </w:r>
      <w:proofErr w:type="spellStart"/>
      <w:r w:rsidRPr="5D8904BE">
        <w:rPr>
          <w:sz w:val="20"/>
          <w:szCs w:val="20"/>
          <w:lang w:val="it-IT"/>
        </w:rPr>
        <w:t>includes</w:t>
      </w:r>
      <w:proofErr w:type="spellEnd"/>
      <w:r w:rsidRPr="5D8904BE">
        <w:rPr>
          <w:sz w:val="20"/>
          <w:szCs w:val="20"/>
          <w:lang w:val="it-IT"/>
        </w:rPr>
        <w:t>:</w:t>
      </w:r>
    </w:p>
    <w:p w14:paraId="774818AC" w14:textId="77777777" w:rsidR="00B379A6" w:rsidRPr="00B379A6" w:rsidRDefault="576BD069" w:rsidP="001360BB">
      <w:pPr>
        <w:numPr>
          <w:ilvl w:val="0"/>
          <w:numId w:val="225"/>
        </w:numPr>
        <w:spacing w:after="0" w:line="276" w:lineRule="auto"/>
        <w:jc w:val="both"/>
        <w:rPr>
          <w:sz w:val="20"/>
          <w:szCs w:val="20"/>
          <w:lang w:val="en-US"/>
        </w:rPr>
      </w:pPr>
      <w:r w:rsidRPr="51745E8D">
        <w:rPr>
          <w:sz w:val="20"/>
          <w:szCs w:val="20"/>
          <w:lang w:val="en-US"/>
        </w:rPr>
        <w:t xml:space="preserve">Targeted consultations and inclusive methods to ensure that marginalized or disadvantaged groups, as well as individuals affected by the project, </w:t>
      </w:r>
      <w:proofErr w:type="gramStart"/>
      <w:r w:rsidRPr="51745E8D">
        <w:rPr>
          <w:sz w:val="20"/>
          <w:szCs w:val="20"/>
          <w:lang w:val="en-US"/>
        </w:rPr>
        <w:t>have the opportunity to</w:t>
      </w:r>
      <w:proofErr w:type="gramEnd"/>
      <w:r w:rsidRPr="51745E8D">
        <w:rPr>
          <w:sz w:val="20"/>
          <w:szCs w:val="20"/>
          <w:lang w:val="en-US"/>
        </w:rPr>
        <w:t xml:space="preserve"> participate.</w:t>
      </w:r>
    </w:p>
    <w:p w14:paraId="001F9847" w14:textId="77777777" w:rsidR="00B379A6" w:rsidRPr="00B379A6" w:rsidRDefault="1C266C92" w:rsidP="001360BB">
      <w:pPr>
        <w:numPr>
          <w:ilvl w:val="0"/>
          <w:numId w:val="225"/>
        </w:numPr>
        <w:spacing w:after="0" w:line="276" w:lineRule="auto"/>
        <w:jc w:val="both"/>
        <w:rPr>
          <w:sz w:val="20"/>
          <w:szCs w:val="20"/>
          <w:lang w:val="it-IT"/>
        </w:rPr>
      </w:pPr>
      <w:r w:rsidRPr="5D8904BE">
        <w:rPr>
          <w:sz w:val="20"/>
          <w:szCs w:val="20"/>
          <w:lang w:val="it-IT"/>
        </w:rPr>
        <w:lastRenderedPageBreak/>
        <w:t xml:space="preserve">Production and </w:t>
      </w:r>
      <w:proofErr w:type="spellStart"/>
      <w:r w:rsidRPr="5D8904BE">
        <w:rPr>
          <w:sz w:val="20"/>
          <w:szCs w:val="20"/>
          <w:lang w:val="it-IT"/>
        </w:rPr>
        <w:t>dissemination</w:t>
      </w:r>
      <w:proofErr w:type="spellEnd"/>
      <w:r w:rsidRPr="5D8904BE">
        <w:rPr>
          <w:sz w:val="20"/>
          <w:szCs w:val="20"/>
          <w:lang w:val="it-IT"/>
        </w:rPr>
        <w:t xml:space="preserve"> of </w:t>
      </w:r>
      <w:proofErr w:type="spellStart"/>
      <w:r w:rsidRPr="5D8904BE">
        <w:rPr>
          <w:sz w:val="20"/>
          <w:szCs w:val="20"/>
          <w:lang w:val="it-IT"/>
        </w:rPr>
        <w:t>various</w:t>
      </w:r>
      <w:proofErr w:type="spellEnd"/>
      <w:r w:rsidRPr="5D8904BE">
        <w:rPr>
          <w:sz w:val="20"/>
          <w:szCs w:val="20"/>
          <w:lang w:val="it-IT"/>
        </w:rPr>
        <w:t xml:space="preserve"> </w:t>
      </w:r>
      <w:proofErr w:type="spellStart"/>
      <w:r w:rsidRPr="5D8904BE">
        <w:rPr>
          <w:sz w:val="20"/>
          <w:szCs w:val="20"/>
          <w:lang w:val="it-IT"/>
        </w:rPr>
        <w:t>communication</w:t>
      </w:r>
      <w:proofErr w:type="spellEnd"/>
      <w:r w:rsidRPr="5D8904BE">
        <w:rPr>
          <w:sz w:val="20"/>
          <w:szCs w:val="20"/>
          <w:lang w:val="it-IT"/>
        </w:rPr>
        <w:t xml:space="preserve"> </w:t>
      </w:r>
      <w:proofErr w:type="spellStart"/>
      <w:r w:rsidRPr="5D8904BE">
        <w:rPr>
          <w:sz w:val="20"/>
          <w:szCs w:val="20"/>
          <w:lang w:val="it-IT"/>
        </w:rPr>
        <w:t>materials</w:t>
      </w:r>
      <w:proofErr w:type="spellEnd"/>
      <w:r w:rsidRPr="5D8904BE">
        <w:rPr>
          <w:sz w:val="20"/>
          <w:szCs w:val="20"/>
          <w:lang w:val="it-IT"/>
        </w:rPr>
        <w:t xml:space="preserve"> (information kits, brochures, posters, etc.).</w:t>
      </w:r>
    </w:p>
    <w:p w14:paraId="5721987C" w14:textId="77777777" w:rsidR="00B379A6" w:rsidRPr="00B379A6" w:rsidRDefault="1C266C92" w:rsidP="001360BB">
      <w:pPr>
        <w:numPr>
          <w:ilvl w:val="0"/>
          <w:numId w:val="225"/>
        </w:numPr>
        <w:spacing w:after="0" w:line="276" w:lineRule="auto"/>
        <w:jc w:val="both"/>
        <w:rPr>
          <w:sz w:val="20"/>
          <w:szCs w:val="20"/>
          <w:lang w:val="it-IT"/>
        </w:rPr>
      </w:pPr>
      <w:proofErr w:type="spellStart"/>
      <w:r w:rsidRPr="5D8904BE">
        <w:rPr>
          <w:sz w:val="20"/>
          <w:szCs w:val="20"/>
          <w:lang w:val="it-IT"/>
        </w:rPr>
        <w:t>Consultation</w:t>
      </w:r>
      <w:proofErr w:type="spellEnd"/>
      <w:r w:rsidRPr="5D8904BE">
        <w:rPr>
          <w:sz w:val="20"/>
          <w:szCs w:val="20"/>
          <w:lang w:val="it-IT"/>
        </w:rPr>
        <w:t xml:space="preserve"> and </w:t>
      </w:r>
      <w:proofErr w:type="spellStart"/>
      <w:r w:rsidRPr="5D8904BE">
        <w:rPr>
          <w:sz w:val="20"/>
          <w:szCs w:val="20"/>
          <w:lang w:val="it-IT"/>
        </w:rPr>
        <w:t>validation</w:t>
      </w:r>
      <w:proofErr w:type="spellEnd"/>
      <w:r w:rsidRPr="5D8904BE">
        <w:rPr>
          <w:sz w:val="20"/>
          <w:szCs w:val="20"/>
          <w:lang w:val="it-IT"/>
        </w:rPr>
        <w:t xml:space="preserve"> workshops.</w:t>
      </w:r>
    </w:p>
    <w:p w14:paraId="3EE3ABD5" w14:textId="77777777" w:rsidR="00B379A6" w:rsidRPr="00B379A6" w:rsidRDefault="576BD069" w:rsidP="001360BB">
      <w:pPr>
        <w:numPr>
          <w:ilvl w:val="0"/>
          <w:numId w:val="225"/>
        </w:numPr>
        <w:spacing w:after="0" w:line="276" w:lineRule="auto"/>
        <w:jc w:val="both"/>
        <w:rPr>
          <w:sz w:val="20"/>
          <w:szCs w:val="20"/>
          <w:lang w:val="en-US"/>
        </w:rPr>
      </w:pPr>
      <w:r w:rsidRPr="51745E8D">
        <w:rPr>
          <w:sz w:val="20"/>
          <w:szCs w:val="20"/>
          <w:lang w:val="en-US"/>
        </w:rPr>
        <w:t>Experience and knowledge sharing meetings.</w:t>
      </w:r>
    </w:p>
    <w:p w14:paraId="3F43E9FD" w14:textId="77777777" w:rsidR="00B379A6" w:rsidRPr="00B379A6" w:rsidRDefault="576BD069" w:rsidP="001360BB">
      <w:pPr>
        <w:numPr>
          <w:ilvl w:val="0"/>
          <w:numId w:val="225"/>
        </w:numPr>
        <w:spacing w:after="0" w:line="276" w:lineRule="auto"/>
        <w:jc w:val="both"/>
        <w:rPr>
          <w:sz w:val="20"/>
          <w:szCs w:val="20"/>
          <w:lang w:val="en-US"/>
        </w:rPr>
      </w:pPr>
      <w:r w:rsidRPr="51745E8D">
        <w:rPr>
          <w:sz w:val="20"/>
          <w:szCs w:val="20"/>
          <w:lang w:val="en-US"/>
        </w:rPr>
        <w:t>Establishment of thematic dialogue circles for capitalization, innovation, and adaptive management.</w:t>
      </w:r>
    </w:p>
    <w:p w14:paraId="2B74600F" w14:textId="7BB20F75" w:rsidR="00B379A6" w:rsidRPr="00B379A6" w:rsidRDefault="033D8E7B" w:rsidP="001360BB">
      <w:pPr>
        <w:numPr>
          <w:ilvl w:val="0"/>
          <w:numId w:val="225"/>
        </w:numPr>
        <w:spacing w:after="0" w:line="276" w:lineRule="auto"/>
        <w:jc w:val="both"/>
        <w:rPr>
          <w:sz w:val="20"/>
          <w:szCs w:val="20"/>
          <w:lang w:val="en-US"/>
        </w:rPr>
      </w:pPr>
      <w:r w:rsidRPr="5D8904BE">
        <w:rPr>
          <w:sz w:val="20"/>
          <w:szCs w:val="20"/>
          <w:lang w:val="en-US"/>
        </w:rPr>
        <w:t>C</w:t>
      </w:r>
      <w:r w:rsidR="23482C7C" w:rsidRPr="5D8904BE">
        <w:rPr>
          <w:sz w:val="20"/>
          <w:szCs w:val="20"/>
          <w:lang w:val="en-US"/>
        </w:rPr>
        <w:t>apacity building program</w:t>
      </w:r>
      <w:r w:rsidR="6EA63465" w:rsidRPr="5D8904BE">
        <w:rPr>
          <w:sz w:val="20"/>
          <w:szCs w:val="20"/>
          <w:lang w:val="en-US"/>
        </w:rPr>
        <w:t>s</w:t>
      </w:r>
      <w:r w:rsidR="23482C7C" w:rsidRPr="5D8904BE">
        <w:rPr>
          <w:sz w:val="20"/>
          <w:szCs w:val="20"/>
          <w:lang w:val="en-US"/>
        </w:rPr>
        <w:t xml:space="preserve"> for institutional actors </w:t>
      </w:r>
      <w:r w:rsidR="24EA2943" w:rsidRPr="5D8904BE">
        <w:rPr>
          <w:sz w:val="20"/>
          <w:szCs w:val="20"/>
          <w:lang w:val="en-US"/>
        </w:rPr>
        <w:t xml:space="preserve">on </w:t>
      </w:r>
      <w:proofErr w:type="spellStart"/>
      <w:r w:rsidR="24EA2943" w:rsidRPr="5D8904BE">
        <w:rPr>
          <w:sz w:val="20"/>
          <w:szCs w:val="20"/>
          <w:lang w:val="en-US"/>
        </w:rPr>
        <w:t>urbain</w:t>
      </w:r>
      <w:proofErr w:type="spellEnd"/>
      <w:r w:rsidR="24EA2943" w:rsidRPr="5D8904BE">
        <w:rPr>
          <w:sz w:val="20"/>
          <w:szCs w:val="20"/>
          <w:lang w:val="en-US"/>
        </w:rPr>
        <w:t xml:space="preserve"> planning and </w:t>
      </w:r>
      <w:r w:rsidR="23482C7C" w:rsidRPr="5D8904BE">
        <w:rPr>
          <w:sz w:val="20"/>
          <w:szCs w:val="20"/>
          <w:lang w:val="en-US"/>
        </w:rPr>
        <w:t>gender issues.</w:t>
      </w:r>
    </w:p>
    <w:p w14:paraId="2960EF53" w14:textId="79C7B980" w:rsidR="00B379A6" w:rsidRPr="00280970" w:rsidRDefault="576BD069" w:rsidP="001360BB">
      <w:pPr>
        <w:numPr>
          <w:ilvl w:val="0"/>
          <w:numId w:val="225"/>
        </w:numPr>
        <w:spacing w:after="0" w:line="276" w:lineRule="auto"/>
        <w:jc w:val="both"/>
        <w:rPr>
          <w:sz w:val="20"/>
          <w:szCs w:val="20"/>
          <w:lang w:val="en-US"/>
        </w:rPr>
      </w:pPr>
      <w:r w:rsidRPr="51745E8D">
        <w:rPr>
          <w:sz w:val="20"/>
          <w:szCs w:val="20"/>
          <w:lang w:val="en-US"/>
        </w:rPr>
        <w:t>Ensuring access to information on assessments and management plans for stakeholders.</w:t>
      </w:r>
    </w:p>
    <w:p w14:paraId="5314F91A" w14:textId="77777777" w:rsidR="00280970" w:rsidRDefault="00280970" w:rsidP="3C8408A9">
      <w:pPr>
        <w:spacing w:after="0" w:line="276" w:lineRule="auto"/>
        <w:jc w:val="both"/>
        <w:rPr>
          <w:b/>
          <w:bCs/>
          <w:sz w:val="20"/>
          <w:szCs w:val="20"/>
          <w:lang w:val="en-US"/>
        </w:rPr>
      </w:pPr>
    </w:p>
    <w:p w14:paraId="54E8904E" w14:textId="7E245670" w:rsidR="00B379A6" w:rsidRPr="00B379A6" w:rsidRDefault="58668E97" w:rsidP="3C8408A9">
      <w:pPr>
        <w:spacing w:after="0" w:line="276" w:lineRule="auto"/>
        <w:jc w:val="both"/>
        <w:rPr>
          <w:b/>
          <w:bCs/>
          <w:sz w:val="20"/>
          <w:szCs w:val="20"/>
          <w:lang w:val="en-US"/>
        </w:rPr>
      </w:pPr>
      <w:r w:rsidRPr="3C8408A9">
        <w:rPr>
          <w:b/>
          <w:bCs/>
          <w:sz w:val="20"/>
          <w:szCs w:val="20"/>
          <w:lang w:val="en-US"/>
        </w:rPr>
        <w:t>Other Potentially Affected Groups and Grievance Mechanisms</w:t>
      </w:r>
    </w:p>
    <w:p w14:paraId="78F4EFD3" w14:textId="77777777" w:rsidR="00B379A6" w:rsidRPr="00B379A6" w:rsidRDefault="23482C7C" w:rsidP="3C8408A9">
      <w:pPr>
        <w:spacing w:after="0" w:line="276" w:lineRule="auto"/>
        <w:jc w:val="both"/>
        <w:rPr>
          <w:sz w:val="20"/>
          <w:szCs w:val="20"/>
          <w:lang w:val="en-US"/>
        </w:rPr>
      </w:pPr>
      <w:r w:rsidRPr="5D8904BE">
        <w:rPr>
          <w:sz w:val="20"/>
          <w:szCs w:val="20"/>
          <w:lang w:val="en-US"/>
        </w:rPr>
        <w:t>The project acknowledges that rapid and uncontrolled urbanization in Bamako, rural exodus, economic precariousness, and the significant number of internally displaced persons can generate socio-economic and environmental challenges, potentially affecting certain populations.</w:t>
      </w:r>
    </w:p>
    <w:p w14:paraId="67A17CA4" w14:textId="77777777" w:rsidR="00B379A6" w:rsidRPr="00B379A6" w:rsidRDefault="576BD069" w:rsidP="3C8408A9">
      <w:pPr>
        <w:spacing w:after="0" w:line="276" w:lineRule="auto"/>
        <w:jc w:val="both"/>
        <w:rPr>
          <w:sz w:val="20"/>
          <w:szCs w:val="20"/>
          <w:lang w:val="en-US"/>
        </w:rPr>
      </w:pPr>
      <w:r w:rsidRPr="51745E8D">
        <w:rPr>
          <w:sz w:val="20"/>
          <w:szCs w:val="20"/>
          <w:lang w:val="en-US"/>
        </w:rPr>
        <w:t>Potentially affected groups may include:</w:t>
      </w:r>
    </w:p>
    <w:p w14:paraId="39379DAF" w14:textId="77777777" w:rsidR="00B379A6" w:rsidRPr="00B379A6" w:rsidRDefault="23482C7C" w:rsidP="001360BB">
      <w:pPr>
        <w:numPr>
          <w:ilvl w:val="0"/>
          <w:numId w:val="226"/>
        </w:numPr>
        <w:spacing w:after="0" w:line="276" w:lineRule="auto"/>
        <w:jc w:val="both"/>
        <w:rPr>
          <w:sz w:val="20"/>
          <w:szCs w:val="20"/>
          <w:lang w:val="en-US"/>
        </w:rPr>
      </w:pPr>
      <w:r w:rsidRPr="5D8904BE">
        <w:rPr>
          <w:sz w:val="20"/>
          <w:szCs w:val="20"/>
          <w:lang w:val="en-US"/>
        </w:rPr>
        <w:t>Populations living in project areas that could be impacted by project interventions or changes in land and/or natural resource use.</w:t>
      </w:r>
    </w:p>
    <w:p w14:paraId="25A910F3" w14:textId="77777777" w:rsidR="00B379A6" w:rsidRPr="00B379A6" w:rsidRDefault="23D78040" w:rsidP="001360BB">
      <w:pPr>
        <w:numPr>
          <w:ilvl w:val="0"/>
          <w:numId w:val="226"/>
        </w:numPr>
        <w:spacing w:after="0" w:line="276" w:lineRule="auto"/>
        <w:jc w:val="both"/>
        <w:rPr>
          <w:sz w:val="20"/>
          <w:szCs w:val="20"/>
          <w:lang w:val="en-US"/>
        </w:rPr>
      </w:pPr>
      <w:r w:rsidRPr="5D8904BE">
        <w:rPr>
          <w:sz w:val="20"/>
          <w:szCs w:val="20"/>
          <w:lang w:val="en-US"/>
        </w:rPr>
        <w:t>Vulnerable and marginalized communities, particularly those residing in informal settlements.</w:t>
      </w:r>
    </w:p>
    <w:p w14:paraId="445B7FCD" w14:textId="1593B72A" w:rsidR="24AA8F7E" w:rsidRDefault="24AA8F7E" w:rsidP="24AA8F7E">
      <w:pPr>
        <w:spacing w:after="0" w:line="276" w:lineRule="auto"/>
        <w:jc w:val="both"/>
        <w:rPr>
          <w:sz w:val="20"/>
          <w:szCs w:val="20"/>
          <w:lang w:val="en-US"/>
        </w:rPr>
      </w:pPr>
    </w:p>
    <w:p w14:paraId="61FC13F7" w14:textId="77777777" w:rsidR="00B379A6" w:rsidRPr="00B379A6" w:rsidRDefault="23D78040" w:rsidP="3C8408A9">
      <w:pPr>
        <w:spacing w:after="0" w:line="276" w:lineRule="auto"/>
        <w:jc w:val="both"/>
        <w:rPr>
          <w:sz w:val="20"/>
          <w:szCs w:val="20"/>
          <w:lang w:val="en-US"/>
        </w:rPr>
      </w:pPr>
      <w:r w:rsidRPr="5D8904BE">
        <w:rPr>
          <w:sz w:val="20"/>
          <w:szCs w:val="20"/>
          <w:lang w:val="en-US"/>
        </w:rPr>
        <w:t>A grievance redress mechanism and conflict resolution process are established for the project. This mechanism is essential to ensure that potentially affected individuals have access to communication channels and are aware of the procedures for submitting their concerns regarding the social and environmental impacts of the project.</w:t>
      </w:r>
    </w:p>
    <w:p w14:paraId="7C6D3820" w14:textId="3EA7A2D2" w:rsidR="24AA8F7E" w:rsidRDefault="24AA8F7E" w:rsidP="24AA8F7E">
      <w:pPr>
        <w:spacing w:after="0" w:line="276" w:lineRule="auto"/>
        <w:jc w:val="both"/>
        <w:rPr>
          <w:sz w:val="20"/>
          <w:szCs w:val="20"/>
          <w:lang w:val="en-US"/>
        </w:rPr>
      </w:pPr>
    </w:p>
    <w:p w14:paraId="1E96D4D5" w14:textId="77777777" w:rsidR="00B379A6" w:rsidRPr="00B379A6" w:rsidRDefault="576BD069" w:rsidP="3C8408A9">
      <w:pPr>
        <w:spacing w:after="0" w:line="276" w:lineRule="auto"/>
        <w:jc w:val="both"/>
        <w:rPr>
          <w:sz w:val="20"/>
          <w:szCs w:val="20"/>
          <w:lang w:val="en-US"/>
        </w:rPr>
      </w:pPr>
      <w:r w:rsidRPr="51745E8D">
        <w:rPr>
          <w:sz w:val="20"/>
          <w:szCs w:val="20"/>
          <w:lang w:val="en-US"/>
        </w:rPr>
        <w:t>Key points of the grievance mechanism include:</w:t>
      </w:r>
    </w:p>
    <w:p w14:paraId="1B6FAAA6" w14:textId="77777777" w:rsidR="00B379A6" w:rsidRPr="00B379A6" w:rsidRDefault="576BD069" w:rsidP="001360BB">
      <w:pPr>
        <w:numPr>
          <w:ilvl w:val="0"/>
          <w:numId w:val="227"/>
        </w:numPr>
        <w:spacing w:after="0" w:line="276" w:lineRule="auto"/>
        <w:jc w:val="both"/>
        <w:rPr>
          <w:sz w:val="20"/>
          <w:szCs w:val="20"/>
          <w:lang w:val="en-US"/>
        </w:rPr>
      </w:pPr>
      <w:r w:rsidRPr="51745E8D">
        <w:rPr>
          <w:sz w:val="20"/>
          <w:szCs w:val="20"/>
          <w:lang w:val="en-US"/>
        </w:rPr>
        <w:t>The stakeholder engagement plan (PSEP) details how grievance mechanisms will be accessible and used during project implementation.</w:t>
      </w:r>
    </w:p>
    <w:p w14:paraId="25F26FC8" w14:textId="77777777" w:rsidR="00B379A6" w:rsidRPr="00B379A6" w:rsidRDefault="576BD069" w:rsidP="001360BB">
      <w:pPr>
        <w:numPr>
          <w:ilvl w:val="0"/>
          <w:numId w:val="227"/>
        </w:numPr>
        <w:spacing w:after="0" w:line="276" w:lineRule="auto"/>
        <w:jc w:val="both"/>
        <w:rPr>
          <w:sz w:val="20"/>
          <w:szCs w:val="20"/>
          <w:lang w:val="en-US"/>
        </w:rPr>
      </w:pPr>
      <w:r w:rsidRPr="51745E8D">
        <w:rPr>
          <w:sz w:val="20"/>
          <w:szCs w:val="20"/>
          <w:lang w:val="en-US"/>
        </w:rPr>
        <w:t>These mechanisms must be sensitive to gender, race, ethnic origin, age, disability, sexual orientation or gender identity, or other statuses.</w:t>
      </w:r>
    </w:p>
    <w:p w14:paraId="60B71E73" w14:textId="77777777" w:rsidR="00B379A6" w:rsidRPr="00B379A6" w:rsidRDefault="576BD069" w:rsidP="001360BB">
      <w:pPr>
        <w:numPr>
          <w:ilvl w:val="0"/>
          <w:numId w:val="227"/>
        </w:numPr>
        <w:spacing w:after="0" w:line="276" w:lineRule="auto"/>
        <w:jc w:val="both"/>
        <w:rPr>
          <w:sz w:val="20"/>
          <w:szCs w:val="20"/>
          <w:lang w:val="en-US"/>
        </w:rPr>
      </w:pPr>
      <w:r w:rsidRPr="51745E8D">
        <w:rPr>
          <w:sz w:val="20"/>
          <w:szCs w:val="20"/>
          <w:lang w:val="en-US"/>
        </w:rPr>
        <w:t>They must respect the confidentiality of project stakeholders (e.g., identity, information received), disclosing this information only with the informed consent of potentially at-risk stakeholders.</w:t>
      </w:r>
    </w:p>
    <w:p w14:paraId="6C1816F6" w14:textId="77777777" w:rsidR="00B379A6" w:rsidRPr="00B379A6" w:rsidRDefault="23482C7C" w:rsidP="001360BB">
      <w:pPr>
        <w:numPr>
          <w:ilvl w:val="0"/>
          <w:numId w:val="227"/>
        </w:numPr>
        <w:spacing w:after="0" w:line="276" w:lineRule="auto"/>
        <w:jc w:val="both"/>
        <w:rPr>
          <w:sz w:val="20"/>
          <w:szCs w:val="20"/>
          <w:lang w:val="en-US"/>
        </w:rPr>
      </w:pPr>
      <w:r w:rsidRPr="5D8904BE">
        <w:rPr>
          <w:sz w:val="20"/>
          <w:szCs w:val="20"/>
          <w:lang w:val="en-US"/>
        </w:rPr>
        <w:t>Access to information is crucial, and stakeholders must be able to easily access information regarding assessments and management plans.</w:t>
      </w:r>
    </w:p>
    <w:p w14:paraId="5EC39CAB" w14:textId="4FCDA5E7" w:rsidR="5D8904BE" w:rsidRDefault="5D8904BE" w:rsidP="5D8904BE">
      <w:pPr>
        <w:spacing w:after="0" w:line="276" w:lineRule="auto"/>
        <w:jc w:val="both"/>
        <w:rPr>
          <w:sz w:val="20"/>
          <w:szCs w:val="20"/>
          <w:lang w:val="en-US"/>
        </w:rPr>
      </w:pPr>
    </w:p>
    <w:p w14:paraId="7335DEDD" w14:textId="77777777" w:rsidR="00B379A6" w:rsidRPr="00B379A6" w:rsidRDefault="576BD069" w:rsidP="3C8408A9">
      <w:pPr>
        <w:spacing w:after="0" w:line="276" w:lineRule="auto"/>
        <w:jc w:val="both"/>
        <w:rPr>
          <w:sz w:val="20"/>
          <w:szCs w:val="20"/>
          <w:lang w:val="en-US"/>
        </w:rPr>
      </w:pPr>
      <w:r w:rsidRPr="51745E8D">
        <w:rPr>
          <w:sz w:val="20"/>
          <w:szCs w:val="20"/>
          <w:lang w:val="en-US"/>
        </w:rPr>
        <w:t>For any concerns, stakeholders will be informed of the procedures and contact points for submitting their complaints, in accordance with UNDP's Social and Environmental Safeguards (SES) guidelines.</w:t>
      </w:r>
    </w:p>
    <w:p w14:paraId="00000645" w14:textId="50BEFFE3" w:rsidR="004F7DB3" w:rsidRPr="003A21B0" w:rsidRDefault="004F7DB3" w:rsidP="3C8408A9">
      <w:pPr>
        <w:spacing w:after="0" w:line="240" w:lineRule="auto"/>
        <w:jc w:val="both"/>
        <w:rPr>
          <w:i/>
          <w:iCs/>
          <w:sz w:val="20"/>
          <w:szCs w:val="20"/>
          <w:lang w:val="en-US"/>
        </w:rPr>
      </w:pPr>
    </w:p>
    <w:p w14:paraId="00000646" w14:textId="77777777" w:rsidR="004F7DB3" w:rsidRPr="00E86501" w:rsidRDefault="641D5610" w:rsidP="40E7FE84">
      <w:pPr>
        <w:spacing w:after="0" w:line="240" w:lineRule="auto"/>
        <w:jc w:val="both"/>
        <w:rPr>
          <w:sz w:val="20"/>
          <w:szCs w:val="20"/>
          <w:u w:val="single"/>
          <w:lang w:val="en-US"/>
        </w:rPr>
      </w:pPr>
      <w:r w:rsidRPr="00E86501">
        <w:rPr>
          <w:sz w:val="20"/>
          <w:szCs w:val="20"/>
          <w:u w:val="single"/>
          <w:lang w:val="en-US"/>
        </w:rPr>
        <w:t>South-South and Triangular Cooperation (SSC/</w:t>
      </w:r>
      <w:proofErr w:type="spellStart"/>
      <w:r w:rsidRPr="00E86501">
        <w:rPr>
          <w:sz w:val="20"/>
          <w:szCs w:val="20"/>
          <w:u w:val="single"/>
          <w:lang w:val="en-US"/>
        </w:rPr>
        <w:t>TrC</w:t>
      </w:r>
      <w:proofErr w:type="spellEnd"/>
      <w:r w:rsidRPr="00E86501">
        <w:rPr>
          <w:sz w:val="20"/>
          <w:szCs w:val="20"/>
          <w:u w:val="single"/>
          <w:lang w:val="en-US"/>
        </w:rPr>
        <w:t xml:space="preserve">): </w:t>
      </w:r>
    </w:p>
    <w:p w14:paraId="10ED8025" w14:textId="1428685A" w:rsidR="004F7DB3" w:rsidRPr="00C00123" w:rsidRDefault="7748E383" w:rsidP="3C8408A9">
      <w:pPr>
        <w:spacing w:before="240" w:after="240" w:line="240" w:lineRule="auto"/>
        <w:jc w:val="both"/>
        <w:rPr>
          <w:sz w:val="20"/>
          <w:szCs w:val="20"/>
          <w:lang w:val="en-US"/>
        </w:rPr>
      </w:pPr>
      <w:r w:rsidRPr="5D8904BE">
        <w:rPr>
          <w:sz w:val="20"/>
          <w:szCs w:val="20"/>
          <w:lang w:val="en-US"/>
        </w:rPr>
        <w:t>The IUD</w:t>
      </w:r>
      <w:r w:rsidR="3B977566" w:rsidRPr="5D8904BE">
        <w:rPr>
          <w:sz w:val="20"/>
          <w:szCs w:val="20"/>
          <w:lang w:val="en-US"/>
        </w:rPr>
        <w:t>P</w:t>
      </w:r>
      <w:r w:rsidRPr="5D8904BE">
        <w:rPr>
          <w:sz w:val="20"/>
          <w:szCs w:val="20"/>
          <w:lang w:val="en-US"/>
        </w:rPr>
        <w:t xml:space="preserve"> in Bamako presents a strong potential for South-South and Triangular Cooperation, particularly in areas such as sustainable urban mobility, inclusive green entrepreneurship, climate-resilient infrastructure, and nature-based solutions in urban planning. The project will actively document and share its innovative approaches—such as solar-powered charging hubs, women-led cooperatives in agroecological farming, and inclusive e-mobility models—through platforms like the Africa Solutions Platform, UN South-South Galaxy, and PANORAMA24 to encourage replication in other African cities facing similar urbanization challenges. Additionally, the project will facilitate regional knowledge exchanges with countries implementing comparable initiatives in low-carbon urban transport, green public spaces, and circular economy models, particularly in West Africa and the Sahel. To bring the voice of Mali to regional and global fora, the project will explore opportunities for meaningful participation in high-level events, where UNDP can support Mali's contribution to global dialogues on sustainable urban development and climate-resilient cities. These efforts will help position Bamako as a reference city in the region, generating scalable solutions applicable across countries with similar geopolitical, social, and environmental contexts.</w:t>
      </w:r>
    </w:p>
    <w:p w14:paraId="00000649" w14:textId="2F3645B5" w:rsidR="004F7DB3" w:rsidRPr="00C00123" w:rsidRDefault="004F7DB3" w:rsidP="51745E8D">
      <w:pPr>
        <w:spacing w:after="0" w:line="240" w:lineRule="auto"/>
        <w:jc w:val="both"/>
        <w:rPr>
          <w:i/>
          <w:iCs/>
          <w:sz w:val="20"/>
          <w:szCs w:val="20"/>
          <w:highlight w:val="yellow"/>
          <w:lang w:val="en-US"/>
        </w:rPr>
      </w:pPr>
    </w:p>
    <w:p w14:paraId="0BBDC16D" w14:textId="77777777" w:rsidR="005D4494" w:rsidRDefault="0D502479" w:rsidP="24AA8F7E">
      <w:pPr>
        <w:spacing w:after="0" w:line="240" w:lineRule="auto"/>
        <w:jc w:val="both"/>
        <w:rPr>
          <w:sz w:val="20"/>
          <w:szCs w:val="20"/>
          <w:u w:val="single"/>
          <w:lang w:val="en-US"/>
        </w:rPr>
      </w:pPr>
      <w:r w:rsidRPr="24AA8F7E">
        <w:rPr>
          <w:sz w:val="20"/>
          <w:szCs w:val="20"/>
          <w:u w:val="single"/>
          <w:lang w:val="en-US"/>
        </w:rPr>
        <w:lastRenderedPageBreak/>
        <w:t>Gender equality and Women's Empowerment</w:t>
      </w:r>
    </w:p>
    <w:p w14:paraId="218A4DB4" w14:textId="42673089" w:rsidR="72691566" w:rsidRPr="00C535FE" w:rsidRDefault="41084054" w:rsidP="5D8904BE">
      <w:pPr>
        <w:spacing w:before="240" w:after="240" w:line="240" w:lineRule="auto"/>
        <w:jc w:val="both"/>
        <w:rPr>
          <w:sz w:val="20"/>
          <w:szCs w:val="20"/>
          <w:lang w:val="en-US"/>
        </w:rPr>
      </w:pPr>
      <w:r w:rsidRPr="5D8904BE">
        <w:rPr>
          <w:sz w:val="20"/>
          <w:szCs w:val="20"/>
          <w:lang w:val="en-US"/>
        </w:rPr>
        <w:t>The project's gender analysis highlights deep inequalities between women and men in terms of access to resources, participation in public life, economic opportunities, and security, within a context marked by ongoing socio-political, security, and climate crises. In Bamako, women are underrepresented in decision-making processes, overrepresented in the informal sector, and face limited access to infrastructure, basic services, and training opportunities. The combined unemployment and potential labor force rate among women reaches 39%. They are also the most exposed to gender-based violence (GBV), with institutional response systems still insufficient.</w:t>
      </w:r>
    </w:p>
    <w:p w14:paraId="1830B195" w14:textId="61920867" w:rsidR="72691566" w:rsidRDefault="7D53495B" w:rsidP="51745E8D">
      <w:pPr>
        <w:spacing w:before="240" w:after="240"/>
        <w:jc w:val="both"/>
        <w:rPr>
          <w:sz w:val="20"/>
          <w:szCs w:val="20"/>
        </w:rPr>
      </w:pPr>
      <w:r w:rsidRPr="5D8904BE">
        <w:rPr>
          <w:sz w:val="20"/>
          <w:szCs w:val="20"/>
          <w:lang w:val="en-US"/>
        </w:rPr>
        <w:t xml:space="preserve">The project's Gender Action Plan addresses these issues through a transversal and operational strategy. </w:t>
      </w:r>
      <w:r w:rsidRPr="5D8904BE">
        <w:rPr>
          <w:sz w:val="20"/>
          <w:szCs w:val="20"/>
        </w:rPr>
        <w:t xml:space="preserve">It </w:t>
      </w:r>
      <w:proofErr w:type="spellStart"/>
      <w:r w:rsidRPr="5D8904BE">
        <w:rPr>
          <w:sz w:val="20"/>
          <w:szCs w:val="20"/>
        </w:rPr>
        <w:t>includes</w:t>
      </w:r>
      <w:proofErr w:type="spellEnd"/>
      <w:r w:rsidRPr="5D8904BE">
        <w:rPr>
          <w:sz w:val="20"/>
          <w:szCs w:val="20"/>
        </w:rPr>
        <w:t xml:space="preserve"> </w:t>
      </w:r>
      <w:proofErr w:type="spellStart"/>
      <w:r w:rsidRPr="5D8904BE">
        <w:rPr>
          <w:sz w:val="20"/>
          <w:szCs w:val="20"/>
        </w:rPr>
        <w:t>concrete</w:t>
      </w:r>
      <w:proofErr w:type="spellEnd"/>
      <w:r w:rsidRPr="5D8904BE">
        <w:rPr>
          <w:sz w:val="20"/>
          <w:szCs w:val="20"/>
        </w:rPr>
        <w:t xml:space="preserve"> </w:t>
      </w:r>
      <w:proofErr w:type="spellStart"/>
      <w:r w:rsidRPr="5D8904BE">
        <w:rPr>
          <w:sz w:val="20"/>
          <w:szCs w:val="20"/>
        </w:rPr>
        <w:t>measures</w:t>
      </w:r>
      <w:proofErr w:type="spellEnd"/>
      <w:r w:rsidRPr="5D8904BE">
        <w:rPr>
          <w:sz w:val="20"/>
          <w:szCs w:val="20"/>
        </w:rPr>
        <w:t xml:space="preserve"> </w:t>
      </w:r>
      <w:proofErr w:type="gramStart"/>
      <w:r w:rsidRPr="5D8904BE">
        <w:rPr>
          <w:sz w:val="20"/>
          <w:szCs w:val="20"/>
        </w:rPr>
        <w:t>to:</w:t>
      </w:r>
      <w:proofErr w:type="gramEnd"/>
    </w:p>
    <w:p w14:paraId="0F6CDD8C" w14:textId="315F146A" w:rsidR="72691566" w:rsidRPr="00C535FE" w:rsidRDefault="7D53495B" w:rsidP="001360BB">
      <w:pPr>
        <w:pStyle w:val="Paragraphedeliste"/>
        <w:numPr>
          <w:ilvl w:val="0"/>
          <w:numId w:val="154"/>
        </w:numPr>
        <w:spacing w:before="240" w:after="240"/>
        <w:jc w:val="both"/>
        <w:rPr>
          <w:sz w:val="20"/>
          <w:szCs w:val="20"/>
          <w:lang w:val="en-US"/>
        </w:rPr>
      </w:pPr>
      <w:r w:rsidRPr="5D8904BE">
        <w:rPr>
          <w:sz w:val="20"/>
          <w:szCs w:val="20"/>
          <w:lang w:val="en-US"/>
        </w:rPr>
        <w:t xml:space="preserve">Strengthen the capacities of institutions and partners to mainstream gender in urban and environmental </w:t>
      </w:r>
      <w:proofErr w:type="gramStart"/>
      <w:r w:rsidRPr="5D8904BE">
        <w:rPr>
          <w:sz w:val="20"/>
          <w:szCs w:val="20"/>
          <w:lang w:val="en-US"/>
        </w:rPr>
        <w:t>planning;</w:t>
      </w:r>
      <w:proofErr w:type="gramEnd"/>
    </w:p>
    <w:p w14:paraId="436D8C6E" w14:textId="40626548" w:rsidR="72691566" w:rsidRPr="00C535FE" w:rsidRDefault="649D4737" w:rsidP="001360BB">
      <w:pPr>
        <w:pStyle w:val="Paragraphedeliste"/>
        <w:numPr>
          <w:ilvl w:val="0"/>
          <w:numId w:val="154"/>
        </w:numPr>
        <w:spacing w:before="240" w:after="240"/>
        <w:jc w:val="both"/>
        <w:rPr>
          <w:sz w:val="20"/>
          <w:szCs w:val="20"/>
          <w:lang w:val="en-US"/>
        </w:rPr>
      </w:pPr>
      <w:r w:rsidRPr="00C535FE">
        <w:rPr>
          <w:sz w:val="20"/>
          <w:szCs w:val="20"/>
          <w:lang w:val="en-US"/>
        </w:rPr>
        <w:t xml:space="preserve">Increase women’s representation in urban governance mechanisms and dialogue </w:t>
      </w:r>
      <w:proofErr w:type="gramStart"/>
      <w:r w:rsidRPr="00C535FE">
        <w:rPr>
          <w:sz w:val="20"/>
          <w:szCs w:val="20"/>
          <w:lang w:val="en-US"/>
        </w:rPr>
        <w:t>platforms;</w:t>
      </w:r>
      <w:proofErr w:type="gramEnd"/>
    </w:p>
    <w:p w14:paraId="1C6D5CC4" w14:textId="72DCFF4A" w:rsidR="72691566" w:rsidRPr="00C535FE" w:rsidRDefault="649D4737" w:rsidP="001360BB">
      <w:pPr>
        <w:pStyle w:val="Paragraphedeliste"/>
        <w:numPr>
          <w:ilvl w:val="0"/>
          <w:numId w:val="154"/>
        </w:numPr>
        <w:spacing w:before="240" w:after="240"/>
        <w:jc w:val="both"/>
        <w:rPr>
          <w:sz w:val="20"/>
          <w:szCs w:val="20"/>
          <w:lang w:val="en-US"/>
        </w:rPr>
      </w:pPr>
      <w:r w:rsidRPr="00C535FE">
        <w:rPr>
          <w:sz w:val="20"/>
          <w:szCs w:val="20"/>
          <w:lang w:val="en-US"/>
        </w:rPr>
        <w:t xml:space="preserve">Promote women’s access to safe transport services and sustainable mobility </w:t>
      </w:r>
      <w:proofErr w:type="gramStart"/>
      <w:r w:rsidRPr="00C535FE">
        <w:rPr>
          <w:sz w:val="20"/>
          <w:szCs w:val="20"/>
          <w:lang w:val="en-US"/>
        </w:rPr>
        <w:t>solutions;</w:t>
      </w:r>
      <w:proofErr w:type="gramEnd"/>
    </w:p>
    <w:p w14:paraId="4CA0BFD0" w14:textId="1A02DA92" w:rsidR="72691566" w:rsidRPr="008141F7" w:rsidRDefault="499DF8C5" w:rsidP="40E7FE84">
      <w:pPr>
        <w:pStyle w:val="Paragraphedeliste"/>
        <w:numPr>
          <w:ilvl w:val="0"/>
          <w:numId w:val="154"/>
        </w:numPr>
        <w:spacing w:before="240" w:after="240"/>
        <w:jc w:val="both"/>
        <w:rPr>
          <w:sz w:val="20"/>
          <w:szCs w:val="20"/>
          <w:lang w:val="en-US"/>
        </w:rPr>
      </w:pPr>
      <w:r w:rsidRPr="008141F7">
        <w:rPr>
          <w:sz w:val="20"/>
          <w:szCs w:val="20"/>
          <w:lang w:val="en-US"/>
        </w:rPr>
        <w:t>Support women’s economic empowerment through prioritized access to green jobs, technical training, and entrepreneurship in ecological sectors (reforestation, waste management, ecotourism, nurseries, etc.</w:t>
      </w:r>
      <w:proofErr w:type="gramStart"/>
      <w:r w:rsidRPr="008141F7">
        <w:rPr>
          <w:sz w:val="20"/>
          <w:szCs w:val="20"/>
          <w:lang w:val="en-US"/>
        </w:rPr>
        <w:t>);</w:t>
      </w:r>
      <w:proofErr w:type="gramEnd"/>
    </w:p>
    <w:p w14:paraId="61395280" w14:textId="506BF25A" w:rsidR="72691566" w:rsidRPr="00C535FE" w:rsidRDefault="649D4737" w:rsidP="001360BB">
      <w:pPr>
        <w:pStyle w:val="Paragraphedeliste"/>
        <w:numPr>
          <w:ilvl w:val="0"/>
          <w:numId w:val="154"/>
        </w:numPr>
        <w:spacing w:before="240" w:after="240"/>
        <w:jc w:val="both"/>
        <w:rPr>
          <w:sz w:val="20"/>
          <w:szCs w:val="20"/>
          <w:lang w:val="en-US"/>
        </w:rPr>
      </w:pPr>
      <w:r w:rsidRPr="00C535FE">
        <w:rPr>
          <w:sz w:val="20"/>
          <w:szCs w:val="20"/>
          <w:lang w:val="en-US"/>
        </w:rPr>
        <w:t>Prevent GBV risks associated with the project through protection, reporting, and awareness mechanisms aligned with UNDP and UN standards.</w:t>
      </w:r>
    </w:p>
    <w:p w14:paraId="013CAA4A" w14:textId="00F46B3B" w:rsidR="72691566" w:rsidRPr="00C535FE" w:rsidRDefault="649D4737" w:rsidP="51745E8D">
      <w:pPr>
        <w:spacing w:before="240" w:after="240"/>
        <w:jc w:val="both"/>
        <w:rPr>
          <w:sz w:val="20"/>
          <w:szCs w:val="20"/>
          <w:lang w:val="en-US"/>
        </w:rPr>
      </w:pPr>
      <w:r w:rsidRPr="00C535FE">
        <w:rPr>
          <w:sz w:val="20"/>
          <w:szCs w:val="20"/>
          <w:lang w:val="en-US"/>
        </w:rPr>
        <w:t>Gender-sensitive measures planned: Yes.</w:t>
      </w:r>
    </w:p>
    <w:p w14:paraId="14651FB0" w14:textId="639ABF5C" w:rsidR="72691566" w:rsidRPr="00C535FE" w:rsidRDefault="649D4737" w:rsidP="51745E8D">
      <w:pPr>
        <w:spacing w:before="240" w:after="240"/>
        <w:jc w:val="both"/>
        <w:rPr>
          <w:sz w:val="20"/>
          <w:szCs w:val="20"/>
          <w:lang w:val="en-US"/>
        </w:rPr>
      </w:pPr>
      <w:r w:rsidRPr="00C535FE">
        <w:rPr>
          <w:sz w:val="20"/>
          <w:szCs w:val="20"/>
          <w:lang w:val="en-US"/>
        </w:rPr>
        <w:t>The project includes a range of gender-sensitive measures aimed at closing gender gaps and promoting equality and women’s empowerment across all components.</w:t>
      </w:r>
    </w:p>
    <w:p w14:paraId="5EE5CC7B" w14:textId="06858151" w:rsidR="72691566" w:rsidRPr="00C535FE" w:rsidRDefault="649D4737" w:rsidP="51745E8D">
      <w:pPr>
        <w:spacing w:before="240" w:after="240"/>
        <w:jc w:val="both"/>
        <w:rPr>
          <w:sz w:val="20"/>
          <w:szCs w:val="20"/>
          <w:lang w:val="en-US"/>
        </w:rPr>
      </w:pPr>
      <w:r w:rsidRPr="00C535FE">
        <w:rPr>
          <w:sz w:val="20"/>
          <w:szCs w:val="20"/>
          <w:lang w:val="en-US"/>
        </w:rPr>
        <w:t>Areas of contribution to gender equality:</w:t>
      </w:r>
    </w:p>
    <w:p w14:paraId="5CC0F000" w14:textId="6C211C58" w:rsidR="72691566" w:rsidRPr="00C535FE" w:rsidRDefault="649D4737" w:rsidP="001360BB">
      <w:pPr>
        <w:pStyle w:val="Paragraphedeliste"/>
        <w:numPr>
          <w:ilvl w:val="0"/>
          <w:numId w:val="153"/>
        </w:numPr>
        <w:spacing w:before="240" w:after="240"/>
        <w:jc w:val="both"/>
        <w:rPr>
          <w:sz w:val="20"/>
          <w:szCs w:val="20"/>
          <w:lang w:val="en-US"/>
        </w:rPr>
      </w:pPr>
      <w:r w:rsidRPr="00C535FE">
        <w:rPr>
          <w:sz w:val="20"/>
          <w:szCs w:val="20"/>
          <w:lang w:val="en-US"/>
        </w:rPr>
        <w:t>Reduction of gender gaps in access to and control over natural resources: Yes</w:t>
      </w:r>
    </w:p>
    <w:p w14:paraId="5B991C63" w14:textId="0B53B9A9" w:rsidR="72691566" w:rsidRPr="00C535FE" w:rsidRDefault="649D4737" w:rsidP="001360BB">
      <w:pPr>
        <w:pStyle w:val="Paragraphedeliste"/>
        <w:numPr>
          <w:ilvl w:val="0"/>
          <w:numId w:val="153"/>
        </w:numPr>
        <w:spacing w:before="240" w:after="240"/>
        <w:jc w:val="both"/>
        <w:rPr>
          <w:sz w:val="20"/>
          <w:szCs w:val="20"/>
          <w:lang w:val="en-US"/>
        </w:rPr>
      </w:pPr>
      <w:r w:rsidRPr="00C535FE">
        <w:rPr>
          <w:sz w:val="20"/>
          <w:szCs w:val="20"/>
          <w:lang w:val="en-US"/>
        </w:rPr>
        <w:t>Improvement of women’s participation and role in decision-making: Yes</w:t>
      </w:r>
    </w:p>
    <w:p w14:paraId="423D02E7" w14:textId="51D5F978" w:rsidR="72691566" w:rsidRPr="00C535FE" w:rsidRDefault="649D4737" w:rsidP="001360BB">
      <w:pPr>
        <w:pStyle w:val="Paragraphedeliste"/>
        <w:numPr>
          <w:ilvl w:val="0"/>
          <w:numId w:val="153"/>
        </w:numPr>
        <w:spacing w:before="240" w:after="240"/>
        <w:jc w:val="both"/>
        <w:rPr>
          <w:sz w:val="20"/>
          <w:szCs w:val="20"/>
          <w:lang w:val="en-US"/>
        </w:rPr>
      </w:pPr>
      <w:r w:rsidRPr="00C535FE">
        <w:rPr>
          <w:sz w:val="20"/>
          <w:szCs w:val="20"/>
          <w:lang w:val="en-US"/>
        </w:rPr>
        <w:t>Generation of socio-economic benefits or services targeting women: Yes</w:t>
      </w:r>
    </w:p>
    <w:p w14:paraId="4651C9B5" w14:textId="6F79F394" w:rsidR="72691566" w:rsidRPr="00C535FE" w:rsidRDefault="649D4737" w:rsidP="001360BB">
      <w:pPr>
        <w:pStyle w:val="Paragraphedeliste"/>
        <w:numPr>
          <w:ilvl w:val="0"/>
          <w:numId w:val="153"/>
        </w:numPr>
        <w:spacing w:before="240" w:after="240"/>
        <w:jc w:val="both"/>
        <w:rPr>
          <w:sz w:val="20"/>
          <w:szCs w:val="20"/>
          <w:lang w:val="en-US"/>
        </w:rPr>
      </w:pPr>
      <w:r w:rsidRPr="00C535FE">
        <w:rPr>
          <w:sz w:val="20"/>
          <w:szCs w:val="20"/>
          <w:lang w:val="en-US"/>
        </w:rPr>
        <w:t>Inclusion of gender-sensitive indicators in the results framework: Yes</w:t>
      </w:r>
    </w:p>
    <w:p w14:paraId="7178042E" w14:textId="77777777" w:rsidR="00A77C8C" w:rsidRDefault="7D53495B" w:rsidP="51745E8D">
      <w:pPr>
        <w:spacing w:before="240" w:after="240" w:line="276" w:lineRule="auto"/>
        <w:jc w:val="both"/>
        <w:rPr>
          <w:sz w:val="20"/>
          <w:szCs w:val="20"/>
          <w:lang w:val="en-US"/>
        </w:rPr>
      </w:pPr>
      <w:r w:rsidRPr="5D8904BE">
        <w:rPr>
          <w:sz w:val="20"/>
          <w:szCs w:val="20"/>
          <w:lang w:val="en-US"/>
        </w:rPr>
        <w:t>The project's logical framework includes sex-disaggregated indicators and gender-specific indicators to monitor impacts on participation, service access, economic opportunities, and the reduction of GBV.</w:t>
      </w:r>
    </w:p>
    <w:p w14:paraId="0000064D" w14:textId="683F69F1" w:rsidR="004F7DB3" w:rsidRPr="00C535FE" w:rsidRDefault="3D9773BC" w:rsidP="51745E8D">
      <w:pPr>
        <w:spacing w:before="240" w:after="240" w:line="276" w:lineRule="auto"/>
        <w:jc w:val="both"/>
        <w:rPr>
          <w:i/>
          <w:iCs/>
          <w:sz w:val="20"/>
          <w:szCs w:val="20"/>
          <w:highlight w:val="yellow"/>
          <w:lang w:val="en-US"/>
        </w:rPr>
      </w:pPr>
      <w:r w:rsidRPr="00C535FE">
        <w:rPr>
          <w:i/>
          <w:iCs/>
          <w:sz w:val="20"/>
          <w:szCs w:val="20"/>
          <w:u w:val="single"/>
          <w:lang w:val="en-US"/>
        </w:rPr>
        <w:t>Knowledge</w:t>
      </w:r>
      <w:r w:rsidR="009A00BE">
        <w:rPr>
          <w:i/>
          <w:iCs/>
          <w:sz w:val="20"/>
          <w:szCs w:val="20"/>
          <w:u w:val="single"/>
          <w:lang w:val="en-US"/>
        </w:rPr>
        <w:t xml:space="preserve"> Management</w:t>
      </w:r>
      <w:r w:rsidRPr="00C535FE">
        <w:rPr>
          <w:i/>
          <w:iCs/>
          <w:sz w:val="20"/>
          <w:szCs w:val="20"/>
          <w:lang w:val="en-US"/>
        </w:rPr>
        <w:t xml:space="preserve">: </w:t>
      </w:r>
    </w:p>
    <w:p w14:paraId="488926B1" w14:textId="77777777" w:rsidR="00040D0C" w:rsidRPr="00040D0C" w:rsidRDefault="3189A68E" w:rsidP="00040D0C">
      <w:pPr>
        <w:spacing w:after="0" w:line="276" w:lineRule="auto"/>
        <w:jc w:val="both"/>
        <w:rPr>
          <w:sz w:val="20"/>
          <w:szCs w:val="20"/>
          <w:lang w:val="en-US"/>
        </w:rPr>
      </w:pPr>
      <w:r w:rsidRPr="5D8904BE">
        <w:rPr>
          <w:sz w:val="20"/>
          <w:szCs w:val="20"/>
          <w:lang w:val="en-US"/>
        </w:rPr>
        <w:t>The IUDP in Bamako will prioritize the identification, mobilization, and dissemination of existing and emerging knowledge related to sustainable, inclusive, and resilient urban development. The project will leverage national and international best practices, including those focused on e-mobility, urban biodiversity, waste management, and climate-resilient planning to accompany the dynamics around urban development in Bamako. </w:t>
      </w:r>
    </w:p>
    <w:p w14:paraId="509E20E0" w14:textId="77777777" w:rsidR="00040D0C" w:rsidRPr="00040D0C" w:rsidRDefault="00040D0C" w:rsidP="00040D0C">
      <w:pPr>
        <w:spacing w:after="0" w:line="276" w:lineRule="auto"/>
        <w:jc w:val="both"/>
        <w:rPr>
          <w:sz w:val="20"/>
          <w:szCs w:val="20"/>
          <w:lang w:val="en-US"/>
        </w:rPr>
      </w:pPr>
      <w:r w:rsidRPr="00040D0C">
        <w:rPr>
          <w:sz w:val="20"/>
          <w:szCs w:val="20"/>
          <w:lang w:val="en-US"/>
        </w:rPr>
        <w:t>The project will ensure systematic knowledge capture from: </w:t>
      </w:r>
    </w:p>
    <w:p w14:paraId="5D6023A4" w14:textId="77777777" w:rsidR="00040D0C" w:rsidRPr="00040D0C" w:rsidRDefault="3189A68E" w:rsidP="001360BB">
      <w:pPr>
        <w:numPr>
          <w:ilvl w:val="0"/>
          <w:numId w:val="254"/>
        </w:numPr>
        <w:spacing w:after="0" w:line="276" w:lineRule="auto"/>
        <w:jc w:val="both"/>
        <w:rPr>
          <w:sz w:val="20"/>
          <w:szCs w:val="20"/>
        </w:rPr>
      </w:pPr>
      <w:proofErr w:type="spellStart"/>
      <w:r w:rsidRPr="5D8904BE">
        <w:rPr>
          <w:sz w:val="20"/>
          <w:szCs w:val="20"/>
        </w:rPr>
        <w:t>Participatory</w:t>
      </w:r>
      <w:proofErr w:type="spellEnd"/>
      <w:r w:rsidRPr="5D8904BE">
        <w:rPr>
          <w:sz w:val="20"/>
          <w:szCs w:val="20"/>
        </w:rPr>
        <w:t xml:space="preserve"> territorial diagnostics ; </w:t>
      </w:r>
    </w:p>
    <w:p w14:paraId="4C44247E" w14:textId="7BA1CE16" w:rsidR="00040D0C" w:rsidRPr="008141F7" w:rsidRDefault="523888C6" w:rsidP="40E7FE84">
      <w:pPr>
        <w:numPr>
          <w:ilvl w:val="0"/>
          <w:numId w:val="255"/>
        </w:numPr>
        <w:spacing w:after="0" w:line="276" w:lineRule="auto"/>
        <w:jc w:val="both"/>
        <w:rPr>
          <w:sz w:val="20"/>
          <w:szCs w:val="20"/>
          <w:lang w:val="en-US"/>
        </w:rPr>
      </w:pPr>
      <w:r w:rsidRPr="008141F7">
        <w:rPr>
          <w:sz w:val="20"/>
          <w:szCs w:val="20"/>
          <w:lang w:val="en-US"/>
        </w:rPr>
        <w:t xml:space="preserve">Pilot initiatives in sustainable transport, digital tools for governance, Waste management and green infrastructure (Outputs 1.1.2, 1.2.1, </w:t>
      </w:r>
      <w:r w:rsidR="2D57BCE9" w:rsidRPr="008141F7">
        <w:rPr>
          <w:sz w:val="20"/>
          <w:szCs w:val="20"/>
          <w:lang w:val="en-US"/>
        </w:rPr>
        <w:t>2.1.2,</w:t>
      </w:r>
      <w:r w:rsidRPr="008141F7">
        <w:rPr>
          <w:sz w:val="20"/>
          <w:szCs w:val="20"/>
          <w:lang w:val="en-US"/>
        </w:rPr>
        <w:t xml:space="preserve"> 2.1.3, 2.1.4, 2.1.2, 3.1.3</w:t>
      </w:r>
      <w:r w:rsidR="21535C90" w:rsidRPr="008141F7">
        <w:rPr>
          <w:sz w:val="20"/>
          <w:szCs w:val="20"/>
          <w:lang w:val="en-US"/>
        </w:rPr>
        <w:t xml:space="preserve"> and</w:t>
      </w:r>
      <w:r w:rsidRPr="008141F7">
        <w:rPr>
          <w:sz w:val="20"/>
          <w:szCs w:val="20"/>
          <w:lang w:val="en-US"/>
        </w:rPr>
        <w:t xml:space="preserve"> 3.1.4</w:t>
      </w:r>
      <w:proofErr w:type="gramStart"/>
      <w:r w:rsidRPr="008141F7">
        <w:rPr>
          <w:sz w:val="20"/>
          <w:szCs w:val="20"/>
          <w:lang w:val="en-US"/>
        </w:rPr>
        <w:t>);</w:t>
      </w:r>
      <w:proofErr w:type="gramEnd"/>
      <w:r w:rsidRPr="008141F7">
        <w:rPr>
          <w:sz w:val="20"/>
          <w:szCs w:val="20"/>
          <w:lang w:val="en-US"/>
        </w:rPr>
        <w:t> </w:t>
      </w:r>
    </w:p>
    <w:p w14:paraId="6D38CE69" w14:textId="310A229F" w:rsidR="00040D0C" w:rsidRPr="00040D0C" w:rsidRDefault="5911E112" w:rsidP="001360BB">
      <w:pPr>
        <w:numPr>
          <w:ilvl w:val="0"/>
          <w:numId w:val="256"/>
        </w:numPr>
        <w:spacing w:after="0" w:line="276" w:lineRule="auto"/>
        <w:jc w:val="both"/>
        <w:rPr>
          <w:sz w:val="20"/>
          <w:szCs w:val="20"/>
          <w:lang w:val="en-US"/>
        </w:rPr>
      </w:pPr>
      <w:r w:rsidRPr="5D8904BE">
        <w:rPr>
          <w:sz w:val="20"/>
          <w:szCs w:val="20"/>
          <w:lang w:val="en-US"/>
        </w:rPr>
        <w:t>Mult stakeholders Coordination Platform and youth innovation hackathons (</w:t>
      </w:r>
      <w:r w:rsidR="34FF7D46" w:rsidRPr="5D8904BE">
        <w:rPr>
          <w:sz w:val="20"/>
          <w:szCs w:val="20"/>
          <w:lang w:val="en-US"/>
        </w:rPr>
        <w:t xml:space="preserve">Outputs </w:t>
      </w:r>
      <w:r w:rsidRPr="5D8904BE">
        <w:rPr>
          <w:sz w:val="20"/>
          <w:szCs w:val="20"/>
          <w:lang w:val="en-US"/>
        </w:rPr>
        <w:t>1.2.2</w:t>
      </w:r>
      <w:r w:rsidR="39D570F4" w:rsidRPr="5D8904BE">
        <w:rPr>
          <w:sz w:val="20"/>
          <w:szCs w:val="20"/>
          <w:lang w:val="en-US"/>
        </w:rPr>
        <w:t xml:space="preserve"> and</w:t>
      </w:r>
      <w:r w:rsidR="119805BB" w:rsidRPr="5D8904BE">
        <w:rPr>
          <w:sz w:val="20"/>
          <w:szCs w:val="20"/>
          <w:lang w:val="en-US"/>
        </w:rPr>
        <w:t xml:space="preserve"> </w:t>
      </w:r>
      <w:r w:rsidRPr="5D8904BE">
        <w:rPr>
          <w:sz w:val="20"/>
          <w:szCs w:val="20"/>
          <w:lang w:val="en-US"/>
        </w:rPr>
        <w:t>1.1.3;)  </w:t>
      </w:r>
    </w:p>
    <w:p w14:paraId="37538DC7" w14:textId="77777777" w:rsidR="00040D0C" w:rsidRPr="00040D0C" w:rsidRDefault="5911E112" w:rsidP="001360BB">
      <w:pPr>
        <w:numPr>
          <w:ilvl w:val="0"/>
          <w:numId w:val="257"/>
        </w:numPr>
        <w:spacing w:after="0" w:line="276" w:lineRule="auto"/>
        <w:jc w:val="both"/>
        <w:rPr>
          <w:sz w:val="20"/>
          <w:szCs w:val="20"/>
          <w:lang w:val="en-US"/>
        </w:rPr>
      </w:pPr>
      <w:r w:rsidRPr="5D8904BE">
        <w:rPr>
          <w:sz w:val="20"/>
          <w:szCs w:val="20"/>
          <w:lang w:val="en-US"/>
        </w:rPr>
        <w:t>Community-based reforestation and eco-tourism interventions. </w:t>
      </w:r>
    </w:p>
    <w:p w14:paraId="1FFCF73E" w14:textId="463A57FA" w:rsidR="24AA8F7E" w:rsidRDefault="24AA8F7E" w:rsidP="24AA8F7E">
      <w:pPr>
        <w:spacing w:after="0" w:line="240" w:lineRule="auto"/>
        <w:jc w:val="both"/>
        <w:rPr>
          <w:sz w:val="20"/>
          <w:szCs w:val="20"/>
          <w:lang w:val="en-US"/>
        </w:rPr>
      </w:pPr>
    </w:p>
    <w:p w14:paraId="1B72DA0C" w14:textId="77777777" w:rsidR="00040D0C" w:rsidRPr="00040D0C" w:rsidRDefault="3189A68E" w:rsidP="00040D0C">
      <w:pPr>
        <w:spacing w:after="0" w:line="240" w:lineRule="auto"/>
        <w:jc w:val="both"/>
        <w:rPr>
          <w:sz w:val="20"/>
          <w:szCs w:val="20"/>
        </w:rPr>
      </w:pPr>
      <w:r w:rsidRPr="5D8904BE">
        <w:rPr>
          <w:sz w:val="20"/>
          <w:szCs w:val="20"/>
          <w:lang w:val="en-US"/>
        </w:rPr>
        <w:lastRenderedPageBreak/>
        <w:t xml:space="preserve">A </w:t>
      </w:r>
      <w:r w:rsidRPr="5D8904BE">
        <w:rPr>
          <w:b/>
          <w:bCs/>
          <w:sz w:val="20"/>
          <w:szCs w:val="20"/>
          <w:lang w:val="en-US"/>
        </w:rPr>
        <w:t>knowledge management and communication strategy</w:t>
      </w:r>
      <w:r w:rsidRPr="5D8904BE">
        <w:rPr>
          <w:sz w:val="20"/>
          <w:szCs w:val="20"/>
          <w:lang w:val="en-US"/>
        </w:rPr>
        <w:t xml:space="preserve"> will be developed at project inception (Output 4.1.1) to guide the creation, systematization, and dissemination of knowledge products. </w:t>
      </w:r>
      <w:r w:rsidRPr="5D8904BE">
        <w:rPr>
          <w:sz w:val="20"/>
          <w:szCs w:val="20"/>
        </w:rPr>
        <w:t xml:space="preserve">This </w:t>
      </w:r>
      <w:proofErr w:type="spellStart"/>
      <w:r w:rsidRPr="5D8904BE">
        <w:rPr>
          <w:sz w:val="20"/>
          <w:szCs w:val="20"/>
        </w:rPr>
        <w:t>will</w:t>
      </w:r>
      <w:proofErr w:type="spellEnd"/>
      <w:r w:rsidRPr="5D8904BE">
        <w:rPr>
          <w:sz w:val="20"/>
          <w:szCs w:val="20"/>
        </w:rPr>
        <w:t xml:space="preserve"> </w:t>
      </w:r>
      <w:proofErr w:type="spellStart"/>
      <w:proofErr w:type="gramStart"/>
      <w:r w:rsidRPr="5D8904BE">
        <w:rPr>
          <w:sz w:val="20"/>
          <w:szCs w:val="20"/>
        </w:rPr>
        <w:t>include</w:t>
      </w:r>
      <w:proofErr w:type="spellEnd"/>
      <w:r w:rsidRPr="5D8904BE">
        <w:rPr>
          <w:sz w:val="20"/>
          <w:szCs w:val="20"/>
        </w:rPr>
        <w:t>:</w:t>
      </w:r>
      <w:proofErr w:type="gramEnd"/>
      <w:r w:rsidRPr="5D8904BE">
        <w:rPr>
          <w:sz w:val="20"/>
          <w:szCs w:val="20"/>
        </w:rPr>
        <w:t> </w:t>
      </w:r>
    </w:p>
    <w:p w14:paraId="2023AE2A" w14:textId="77777777" w:rsidR="00040D0C" w:rsidRPr="00040D0C" w:rsidRDefault="00040D0C" w:rsidP="001360BB">
      <w:pPr>
        <w:numPr>
          <w:ilvl w:val="0"/>
          <w:numId w:val="258"/>
        </w:numPr>
        <w:spacing w:after="0" w:line="240" w:lineRule="auto"/>
        <w:jc w:val="both"/>
        <w:rPr>
          <w:sz w:val="20"/>
          <w:szCs w:val="20"/>
          <w:lang w:val="en-US"/>
        </w:rPr>
      </w:pPr>
      <w:r w:rsidRPr="00040D0C">
        <w:rPr>
          <w:sz w:val="20"/>
          <w:szCs w:val="20"/>
          <w:lang w:val="en-US"/>
        </w:rPr>
        <w:t xml:space="preserve">Knowledge production and sharing on technical studies on urban green infrastructure, sustainable transport, and financial </w:t>
      </w:r>
      <w:proofErr w:type="gramStart"/>
      <w:r w:rsidRPr="00040D0C">
        <w:rPr>
          <w:sz w:val="20"/>
          <w:szCs w:val="20"/>
          <w:lang w:val="en-US"/>
        </w:rPr>
        <w:t>innovation;</w:t>
      </w:r>
      <w:proofErr w:type="gramEnd"/>
      <w:r w:rsidRPr="00040D0C">
        <w:rPr>
          <w:sz w:val="20"/>
          <w:szCs w:val="20"/>
          <w:lang w:val="en-US"/>
        </w:rPr>
        <w:t> </w:t>
      </w:r>
    </w:p>
    <w:p w14:paraId="13DD56C1" w14:textId="77777777" w:rsidR="00040D0C" w:rsidRPr="00040D0C" w:rsidRDefault="00040D0C" w:rsidP="001360BB">
      <w:pPr>
        <w:numPr>
          <w:ilvl w:val="0"/>
          <w:numId w:val="259"/>
        </w:numPr>
        <w:spacing w:after="0" w:line="240" w:lineRule="auto"/>
        <w:jc w:val="both"/>
        <w:rPr>
          <w:sz w:val="20"/>
          <w:szCs w:val="20"/>
          <w:lang w:val="en-US"/>
        </w:rPr>
      </w:pPr>
      <w:r w:rsidRPr="00040D0C">
        <w:rPr>
          <w:sz w:val="20"/>
          <w:szCs w:val="20"/>
          <w:lang w:val="en-US"/>
        </w:rPr>
        <w:t xml:space="preserve">Operational guides on inclusive and climate-resilient planning, WEEE and waste value chains, and nature-based </w:t>
      </w:r>
      <w:proofErr w:type="gramStart"/>
      <w:r w:rsidRPr="00040D0C">
        <w:rPr>
          <w:sz w:val="20"/>
          <w:szCs w:val="20"/>
          <w:lang w:val="en-US"/>
        </w:rPr>
        <w:t>solutions;</w:t>
      </w:r>
      <w:proofErr w:type="gramEnd"/>
      <w:r w:rsidRPr="00040D0C">
        <w:rPr>
          <w:sz w:val="20"/>
          <w:szCs w:val="20"/>
          <w:lang w:val="en-US"/>
        </w:rPr>
        <w:t> </w:t>
      </w:r>
    </w:p>
    <w:p w14:paraId="2D55E742" w14:textId="77777777" w:rsidR="00040D0C" w:rsidRPr="00040D0C" w:rsidRDefault="00040D0C" w:rsidP="001360BB">
      <w:pPr>
        <w:numPr>
          <w:ilvl w:val="0"/>
          <w:numId w:val="260"/>
        </w:numPr>
        <w:spacing w:after="0" w:line="240" w:lineRule="auto"/>
        <w:jc w:val="both"/>
        <w:rPr>
          <w:sz w:val="20"/>
          <w:szCs w:val="20"/>
          <w:lang w:val="en-US"/>
        </w:rPr>
      </w:pPr>
      <w:r w:rsidRPr="00040D0C">
        <w:rPr>
          <w:sz w:val="20"/>
          <w:szCs w:val="20"/>
          <w:lang w:val="en-US"/>
        </w:rPr>
        <w:t xml:space="preserve">Capacity-building materials tailored for local authorities, community organizations, and micro and </w:t>
      </w:r>
      <w:proofErr w:type="gramStart"/>
      <w:r w:rsidRPr="00040D0C">
        <w:rPr>
          <w:sz w:val="20"/>
          <w:szCs w:val="20"/>
          <w:lang w:val="en-US"/>
        </w:rPr>
        <w:t>SMEs;</w:t>
      </w:r>
      <w:proofErr w:type="gramEnd"/>
      <w:r w:rsidRPr="00040D0C">
        <w:rPr>
          <w:sz w:val="20"/>
          <w:szCs w:val="20"/>
          <w:lang w:val="en-US"/>
        </w:rPr>
        <w:t> </w:t>
      </w:r>
    </w:p>
    <w:p w14:paraId="53958AD8" w14:textId="77777777" w:rsidR="00040D0C" w:rsidRPr="00040D0C" w:rsidRDefault="5911E112" w:rsidP="001360BB">
      <w:pPr>
        <w:numPr>
          <w:ilvl w:val="0"/>
          <w:numId w:val="261"/>
        </w:numPr>
        <w:spacing w:after="0" w:line="276" w:lineRule="auto"/>
        <w:jc w:val="both"/>
        <w:rPr>
          <w:sz w:val="20"/>
          <w:szCs w:val="20"/>
          <w:lang w:val="en-US"/>
        </w:rPr>
      </w:pPr>
      <w:r w:rsidRPr="5D8904BE">
        <w:rPr>
          <w:sz w:val="20"/>
          <w:szCs w:val="20"/>
          <w:lang w:val="en-US"/>
        </w:rPr>
        <w:t>A digital repository accessible via the Bamako Urban Platform (Geoportal) and linked to UNDP and SCIP knowledge hubs. </w:t>
      </w:r>
    </w:p>
    <w:p w14:paraId="2EE1F1B5" w14:textId="3059D001" w:rsidR="00040D0C" w:rsidRPr="00040D0C" w:rsidRDefault="595585FC" w:rsidP="00040D0C">
      <w:pPr>
        <w:spacing w:before="360" w:after="0" w:line="276" w:lineRule="auto"/>
        <w:jc w:val="both"/>
        <w:rPr>
          <w:sz w:val="20"/>
          <w:szCs w:val="20"/>
          <w:lang w:val="en-US"/>
        </w:rPr>
      </w:pPr>
      <w:r w:rsidRPr="537FA187">
        <w:rPr>
          <w:sz w:val="20"/>
          <w:szCs w:val="20"/>
          <w:lang w:val="en-US"/>
        </w:rPr>
        <w:t xml:space="preserve">The project will also </w:t>
      </w:r>
      <w:r w:rsidR="1B606AFB" w:rsidRPr="537FA187">
        <w:rPr>
          <w:sz w:val="20"/>
          <w:szCs w:val="20"/>
          <w:lang w:val="en-US"/>
        </w:rPr>
        <w:t>connect</w:t>
      </w:r>
      <w:r w:rsidRPr="537FA187">
        <w:rPr>
          <w:sz w:val="20"/>
          <w:szCs w:val="20"/>
          <w:lang w:val="en-US"/>
        </w:rPr>
        <w:t xml:space="preserve"> platforms such as ICLE23I, UCLG, and C40 Cities, and will engage with regional and </w:t>
      </w:r>
      <w:r w:rsidR="1B606AFB" w:rsidRPr="537FA187">
        <w:rPr>
          <w:sz w:val="20"/>
          <w:szCs w:val="20"/>
          <w:lang w:val="en-US"/>
        </w:rPr>
        <w:t>global</w:t>
      </w:r>
      <w:r w:rsidRPr="537FA187">
        <w:rPr>
          <w:sz w:val="20"/>
          <w:szCs w:val="20"/>
          <w:lang w:val="en-US"/>
        </w:rPr>
        <w:t xml:space="preserve"> peers under the </w:t>
      </w:r>
      <w:r w:rsidRPr="537FA187">
        <w:rPr>
          <w:b/>
          <w:bCs/>
          <w:sz w:val="20"/>
          <w:szCs w:val="20"/>
          <w:lang w:val="en-US"/>
        </w:rPr>
        <w:t>Global Platform for Sustainable Cities (GPSC)</w:t>
      </w:r>
      <w:r w:rsidRPr="537FA187">
        <w:rPr>
          <w:sz w:val="20"/>
          <w:szCs w:val="20"/>
          <w:lang w:val="en-US"/>
        </w:rPr>
        <w:t xml:space="preserve"> and through UNDP Africa umbrella to foster South-South exchange, particularly with cities undergoing similar transitions. When it comes to e-mobility the IUDP will connect </w:t>
      </w:r>
      <w:r w:rsidRPr="537FA187">
        <w:rPr>
          <w:b/>
          <w:bCs/>
          <w:sz w:val="20"/>
          <w:szCs w:val="20"/>
          <w:lang w:val="en-US"/>
        </w:rPr>
        <w:t xml:space="preserve">the GEF Global E-Mobility </w:t>
      </w:r>
      <w:proofErr w:type="spellStart"/>
      <w:r w:rsidRPr="537FA187">
        <w:rPr>
          <w:b/>
          <w:bCs/>
          <w:sz w:val="20"/>
          <w:szCs w:val="20"/>
          <w:lang w:val="en-US"/>
        </w:rPr>
        <w:t>Programme</w:t>
      </w:r>
      <w:proofErr w:type="spellEnd"/>
      <w:r w:rsidRPr="537FA187">
        <w:rPr>
          <w:sz w:val="20"/>
          <w:szCs w:val="20"/>
          <w:lang w:val="en-US"/>
        </w:rPr>
        <w:t xml:space="preserve">, led by UNEP and its partners, particularly for knowledge transfer, exchange of best practices, and lessons learned.  To strengthen the sustainability of the Green Belt in Bamako, exchanges will be established with the </w:t>
      </w:r>
      <w:r w:rsidRPr="537FA187">
        <w:rPr>
          <w:b/>
          <w:bCs/>
          <w:sz w:val="20"/>
          <w:szCs w:val="20"/>
          <w:lang w:val="en-US"/>
        </w:rPr>
        <w:t>BIOFIN global project</w:t>
      </w:r>
      <w:r w:rsidRPr="537FA187">
        <w:rPr>
          <w:sz w:val="20"/>
          <w:szCs w:val="20"/>
          <w:lang w:val="en-US"/>
        </w:rPr>
        <w:t xml:space="preserve">, both to explore available tools and to learn from successful experiences in other cities, such as </w:t>
      </w:r>
      <w:r w:rsidRPr="537FA187">
        <w:rPr>
          <w:b/>
          <w:bCs/>
          <w:sz w:val="20"/>
          <w:szCs w:val="20"/>
          <w:lang w:val="en-US"/>
        </w:rPr>
        <w:t>Mexico City</w:t>
      </w:r>
      <w:r w:rsidRPr="537FA187">
        <w:rPr>
          <w:sz w:val="20"/>
          <w:szCs w:val="20"/>
          <w:lang w:val="en-US"/>
        </w:rPr>
        <w:t xml:space="preserve">. In addition, the </w:t>
      </w:r>
      <w:r w:rsidRPr="537FA187">
        <w:rPr>
          <w:b/>
          <w:bCs/>
          <w:sz w:val="20"/>
          <w:szCs w:val="20"/>
          <w:lang w:val="en-US"/>
        </w:rPr>
        <w:t>BIOFIN training platform</w:t>
      </w:r>
      <w:r w:rsidRPr="537FA187">
        <w:rPr>
          <w:sz w:val="20"/>
          <w:szCs w:val="20"/>
          <w:lang w:val="en-US"/>
        </w:rPr>
        <w:t xml:space="preserve"> will be leveraged as a valuable resource for capacity building. This platform offers a wide range of training modules focused on </w:t>
      </w:r>
      <w:r w:rsidRPr="537FA187">
        <w:rPr>
          <w:b/>
          <w:bCs/>
          <w:sz w:val="20"/>
          <w:szCs w:val="20"/>
          <w:lang w:val="en-US"/>
        </w:rPr>
        <w:t>ecosystems and biodiversity</w:t>
      </w:r>
      <w:r w:rsidRPr="537FA187">
        <w:rPr>
          <w:sz w:val="20"/>
          <w:szCs w:val="20"/>
          <w:lang w:val="en-US"/>
        </w:rPr>
        <w:t>, which will be instrumental in enhancing the knowledge and skills of national and local partners. </w:t>
      </w:r>
    </w:p>
    <w:p w14:paraId="2D027E94" w14:textId="77777777" w:rsidR="00040D0C" w:rsidRPr="00040D0C" w:rsidRDefault="3189A68E" w:rsidP="00040D0C">
      <w:pPr>
        <w:spacing w:before="360" w:after="0" w:line="276" w:lineRule="auto"/>
        <w:jc w:val="both"/>
        <w:rPr>
          <w:sz w:val="20"/>
          <w:szCs w:val="20"/>
          <w:lang w:val="en-US"/>
        </w:rPr>
      </w:pPr>
      <w:r w:rsidRPr="5D8904BE">
        <w:rPr>
          <w:sz w:val="20"/>
          <w:szCs w:val="20"/>
          <w:lang w:val="en-US"/>
        </w:rPr>
        <w:t xml:space="preserve">To foster capacity retention and sustainability, the project will develop and disseminate </w:t>
      </w:r>
      <w:r w:rsidRPr="5D8904BE">
        <w:rPr>
          <w:b/>
          <w:bCs/>
          <w:sz w:val="20"/>
          <w:szCs w:val="20"/>
          <w:lang w:val="en-US"/>
        </w:rPr>
        <w:t xml:space="preserve">technical guides and </w:t>
      </w:r>
      <w:proofErr w:type="gramStart"/>
      <w:r w:rsidRPr="5D8904BE">
        <w:rPr>
          <w:b/>
          <w:bCs/>
          <w:sz w:val="20"/>
          <w:szCs w:val="20"/>
          <w:lang w:val="en-US"/>
        </w:rPr>
        <w:t>toolkits</w:t>
      </w:r>
      <w:r w:rsidRPr="5D8904BE">
        <w:rPr>
          <w:sz w:val="20"/>
          <w:szCs w:val="20"/>
          <w:lang w:val="en-US"/>
        </w:rPr>
        <w:t xml:space="preserve"> ,</w:t>
      </w:r>
      <w:proofErr w:type="gramEnd"/>
      <w:r w:rsidRPr="5D8904BE">
        <w:rPr>
          <w:sz w:val="20"/>
          <w:szCs w:val="20"/>
          <w:lang w:val="en-US"/>
        </w:rPr>
        <w:t xml:space="preserve"> including through CSO, on a range of </w:t>
      </w:r>
      <w:r w:rsidRPr="5D8904BE">
        <w:rPr>
          <w:b/>
          <w:bCs/>
          <w:sz w:val="20"/>
          <w:szCs w:val="20"/>
          <w:lang w:val="en-US"/>
        </w:rPr>
        <w:t>strategic topics</w:t>
      </w:r>
      <w:r w:rsidRPr="5D8904BE">
        <w:rPr>
          <w:sz w:val="20"/>
          <w:szCs w:val="20"/>
          <w:lang w:val="en-US"/>
        </w:rPr>
        <w:t>, aligned with the project’s key intervention areas: </w:t>
      </w:r>
    </w:p>
    <w:p w14:paraId="53BEB4BA" w14:textId="5FEC879D" w:rsidR="00040D0C" w:rsidRPr="00040D0C" w:rsidRDefault="5911E112" w:rsidP="001360BB">
      <w:pPr>
        <w:numPr>
          <w:ilvl w:val="0"/>
          <w:numId w:val="262"/>
        </w:numPr>
        <w:spacing w:after="0" w:line="276" w:lineRule="auto"/>
        <w:jc w:val="both"/>
        <w:rPr>
          <w:sz w:val="20"/>
          <w:szCs w:val="20"/>
          <w:lang w:val="en-US"/>
        </w:rPr>
      </w:pPr>
      <w:r w:rsidRPr="5D8904BE">
        <w:rPr>
          <w:sz w:val="20"/>
          <w:szCs w:val="20"/>
          <w:lang w:val="en-US"/>
        </w:rPr>
        <w:t>Urban planning with a focus on compact, inclusive, and climate-re</w:t>
      </w:r>
      <w:r w:rsidR="4FA3FEE6" w:rsidRPr="5D8904BE">
        <w:rPr>
          <w:sz w:val="20"/>
          <w:szCs w:val="20"/>
          <w:lang w:val="en-US"/>
        </w:rPr>
        <w:t>s</w:t>
      </w:r>
      <w:r w:rsidRPr="5D8904BE">
        <w:rPr>
          <w:sz w:val="20"/>
          <w:szCs w:val="20"/>
          <w:lang w:val="en-US"/>
        </w:rPr>
        <w:t xml:space="preserve">ilient city models for </w:t>
      </w:r>
      <w:proofErr w:type="gramStart"/>
      <w:r w:rsidRPr="5D8904BE">
        <w:rPr>
          <w:sz w:val="20"/>
          <w:szCs w:val="20"/>
          <w:lang w:val="en-US"/>
        </w:rPr>
        <w:t>Bamako;</w:t>
      </w:r>
      <w:proofErr w:type="gramEnd"/>
      <w:r w:rsidRPr="5D8904BE">
        <w:rPr>
          <w:sz w:val="20"/>
          <w:szCs w:val="20"/>
          <w:lang w:val="en-US"/>
        </w:rPr>
        <w:t> </w:t>
      </w:r>
    </w:p>
    <w:p w14:paraId="56282FEA" w14:textId="3907195B" w:rsidR="00040D0C" w:rsidRPr="008141F7" w:rsidRDefault="5911E112" w:rsidP="40E7FE84">
      <w:pPr>
        <w:numPr>
          <w:ilvl w:val="0"/>
          <w:numId w:val="263"/>
        </w:numPr>
        <w:spacing w:after="0" w:line="276" w:lineRule="auto"/>
        <w:jc w:val="both"/>
        <w:rPr>
          <w:lang w:val="en-US"/>
        </w:rPr>
      </w:pPr>
      <w:r w:rsidRPr="008141F7">
        <w:rPr>
          <w:sz w:val="20"/>
          <w:szCs w:val="20"/>
          <w:lang w:val="en-US"/>
        </w:rPr>
        <w:t xml:space="preserve">Design, implementation, and maintenance of green infrastructure, including reforestation, green corridors, and sustainable riverbank management (Outputs 3.1.3 </w:t>
      </w:r>
      <w:r w:rsidR="03E2530B" w:rsidRPr="008141F7">
        <w:rPr>
          <w:sz w:val="20"/>
          <w:szCs w:val="20"/>
          <w:lang w:val="en-US"/>
        </w:rPr>
        <w:t xml:space="preserve">and </w:t>
      </w:r>
      <w:r w:rsidRPr="008141F7">
        <w:rPr>
          <w:sz w:val="20"/>
          <w:szCs w:val="20"/>
          <w:lang w:val="en-US"/>
        </w:rPr>
        <w:t>3.1.4</w:t>
      </w:r>
      <w:proofErr w:type="gramStart"/>
      <w:r w:rsidRPr="008141F7">
        <w:rPr>
          <w:sz w:val="20"/>
          <w:szCs w:val="20"/>
          <w:lang w:val="en-US"/>
        </w:rPr>
        <w:t>);</w:t>
      </w:r>
      <w:proofErr w:type="gramEnd"/>
      <w:r w:rsidRPr="008141F7">
        <w:rPr>
          <w:sz w:val="20"/>
          <w:szCs w:val="20"/>
          <w:lang w:val="en-US"/>
        </w:rPr>
        <w:t> </w:t>
      </w:r>
    </w:p>
    <w:p w14:paraId="5EC316DF" w14:textId="76107DB4" w:rsidR="00040D0C" w:rsidRPr="00040D0C" w:rsidRDefault="00040D0C" w:rsidP="001360BB">
      <w:pPr>
        <w:numPr>
          <w:ilvl w:val="0"/>
          <w:numId w:val="264"/>
        </w:numPr>
        <w:spacing w:after="0" w:line="276" w:lineRule="auto"/>
        <w:jc w:val="both"/>
        <w:rPr>
          <w:sz w:val="20"/>
          <w:szCs w:val="20"/>
          <w:lang w:val="en-US"/>
        </w:rPr>
      </w:pPr>
      <w:r w:rsidRPr="00040D0C">
        <w:rPr>
          <w:sz w:val="20"/>
          <w:szCs w:val="20"/>
          <w:lang w:val="en-US"/>
        </w:rPr>
        <w:t xml:space="preserve">Sustainable urban agriculture, such as agroforestry, rooftop gardening, and composting to enhance food security and </w:t>
      </w:r>
      <w:proofErr w:type="gramStart"/>
      <w:r w:rsidRPr="00040D0C">
        <w:rPr>
          <w:sz w:val="20"/>
          <w:szCs w:val="20"/>
          <w:lang w:val="en-US"/>
        </w:rPr>
        <w:t>biodiversity;</w:t>
      </w:r>
      <w:proofErr w:type="gramEnd"/>
      <w:r w:rsidRPr="00040D0C">
        <w:rPr>
          <w:sz w:val="20"/>
          <w:szCs w:val="20"/>
          <w:lang w:val="en-US"/>
        </w:rPr>
        <w:t> </w:t>
      </w:r>
    </w:p>
    <w:p w14:paraId="7D51544E" w14:textId="67AEA393" w:rsidR="00040D0C" w:rsidRPr="008141F7" w:rsidRDefault="5911E112" w:rsidP="40E7FE84">
      <w:pPr>
        <w:numPr>
          <w:ilvl w:val="0"/>
          <w:numId w:val="265"/>
        </w:numPr>
        <w:spacing w:after="0" w:line="276" w:lineRule="auto"/>
        <w:jc w:val="both"/>
        <w:rPr>
          <w:sz w:val="20"/>
          <w:szCs w:val="20"/>
          <w:lang w:val="en-US"/>
        </w:rPr>
      </w:pPr>
      <w:r w:rsidRPr="008141F7">
        <w:rPr>
          <w:sz w:val="20"/>
          <w:szCs w:val="20"/>
          <w:lang w:val="en-US"/>
        </w:rPr>
        <w:t>Sustainable mobility, promoting low-carbon transport options, e-mobility, and pedestrian/cycling infrastructure (linked to PAAEDC-BKO outreach, activity 1.2.1.3, output 2.1.1</w:t>
      </w:r>
      <w:r w:rsidR="1426E02A" w:rsidRPr="008141F7">
        <w:rPr>
          <w:sz w:val="20"/>
          <w:szCs w:val="20"/>
          <w:lang w:val="en-US"/>
        </w:rPr>
        <w:t xml:space="preserve"> and</w:t>
      </w:r>
      <w:r w:rsidRPr="008141F7">
        <w:rPr>
          <w:sz w:val="20"/>
          <w:szCs w:val="20"/>
          <w:lang w:val="en-US"/>
        </w:rPr>
        <w:t xml:space="preserve"> activity 3.1.4.6</w:t>
      </w:r>
      <w:proofErr w:type="gramStart"/>
      <w:r w:rsidRPr="008141F7">
        <w:rPr>
          <w:sz w:val="20"/>
          <w:szCs w:val="20"/>
          <w:lang w:val="en-US"/>
        </w:rPr>
        <w:t>);</w:t>
      </w:r>
      <w:proofErr w:type="gramEnd"/>
      <w:r w:rsidRPr="008141F7">
        <w:rPr>
          <w:sz w:val="20"/>
          <w:szCs w:val="20"/>
          <w:lang w:val="en-US"/>
        </w:rPr>
        <w:t> </w:t>
      </w:r>
    </w:p>
    <w:p w14:paraId="341C38BC" w14:textId="58C13371" w:rsidR="00040D0C" w:rsidRPr="00040D0C" w:rsidRDefault="5911E112" w:rsidP="001360BB">
      <w:pPr>
        <w:numPr>
          <w:ilvl w:val="0"/>
          <w:numId w:val="266"/>
        </w:numPr>
        <w:spacing w:after="0" w:line="276" w:lineRule="auto"/>
        <w:jc w:val="both"/>
        <w:rPr>
          <w:sz w:val="20"/>
          <w:szCs w:val="20"/>
          <w:lang w:val="en-US"/>
        </w:rPr>
      </w:pPr>
      <w:r w:rsidRPr="5D8904BE">
        <w:rPr>
          <w:sz w:val="20"/>
          <w:szCs w:val="20"/>
          <w:lang w:val="en-US"/>
        </w:rPr>
        <w:t>Air quality monitoring and data management to inform urban environmental decision-making (</w:t>
      </w:r>
      <w:proofErr w:type="gramStart"/>
      <w:r w:rsidR="1CAF26E3" w:rsidRPr="5D8904BE">
        <w:rPr>
          <w:sz w:val="20"/>
          <w:szCs w:val="20"/>
          <w:lang w:val="en-US"/>
        </w:rPr>
        <w:t>a</w:t>
      </w:r>
      <w:r w:rsidRPr="5D8904BE">
        <w:rPr>
          <w:sz w:val="20"/>
          <w:szCs w:val="20"/>
          <w:lang w:val="en-US"/>
        </w:rPr>
        <w:t>ctivity  2.1.4.2</w:t>
      </w:r>
      <w:proofErr w:type="gramEnd"/>
      <w:r w:rsidRPr="5D8904BE">
        <w:rPr>
          <w:sz w:val="20"/>
          <w:szCs w:val="20"/>
          <w:lang w:val="en-US"/>
        </w:rPr>
        <w:t>); </w:t>
      </w:r>
    </w:p>
    <w:p w14:paraId="39B95CA3" w14:textId="3772FD59" w:rsidR="00040D0C" w:rsidRPr="008141F7" w:rsidRDefault="3189A68E" w:rsidP="40E7FE84">
      <w:pPr>
        <w:numPr>
          <w:ilvl w:val="0"/>
          <w:numId w:val="267"/>
        </w:numPr>
        <w:spacing w:after="0" w:line="276" w:lineRule="auto"/>
        <w:jc w:val="both"/>
        <w:rPr>
          <w:sz w:val="20"/>
          <w:szCs w:val="20"/>
          <w:lang w:val="en-US"/>
        </w:rPr>
      </w:pPr>
      <w:r w:rsidRPr="008141F7">
        <w:rPr>
          <w:sz w:val="20"/>
          <w:szCs w:val="20"/>
          <w:lang w:val="en-US"/>
        </w:rPr>
        <w:t>Eco-construction, including the use of local and recycled materials, passive energy designs, and renewable energy solutions in eco-districts and social housing (activity 1.1.1.8</w:t>
      </w:r>
      <w:proofErr w:type="gramStart"/>
      <w:r w:rsidRPr="008141F7">
        <w:rPr>
          <w:sz w:val="20"/>
          <w:szCs w:val="20"/>
          <w:lang w:val="en-US"/>
        </w:rPr>
        <w:t>);</w:t>
      </w:r>
      <w:proofErr w:type="gramEnd"/>
      <w:r w:rsidRPr="008141F7">
        <w:rPr>
          <w:sz w:val="20"/>
          <w:szCs w:val="20"/>
          <w:lang w:val="en-US"/>
        </w:rPr>
        <w:t> </w:t>
      </w:r>
    </w:p>
    <w:p w14:paraId="1723B8FA" w14:textId="008D924E" w:rsidR="00040D0C" w:rsidRPr="008141F7" w:rsidRDefault="595585FC" w:rsidP="40E7FE84">
      <w:pPr>
        <w:numPr>
          <w:ilvl w:val="0"/>
          <w:numId w:val="268"/>
        </w:numPr>
        <w:spacing w:after="0" w:line="276" w:lineRule="auto"/>
        <w:jc w:val="both"/>
        <w:rPr>
          <w:sz w:val="20"/>
          <w:szCs w:val="20"/>
          <w:lang w:val="en-US"/>
        </w:rPr>
      </w:pPr>
      <w:r w:rsidRPr="008141F7">
        <w:rPr>
          <w:sz w:val="20"/>
          <w:szCs w:val="20"/>
          <w:lang w:val="en-US"/>
        </w:rPr>
        <w:t xml:space="preserve">Circular economy principles, covering waste valorization, WEEE recovery, sustainable consumption, and local green </w:t>
      </w:r>
      <w:r w:rsidR="02692F18" w:rsidRPr="008141F7">
        <w:rPr>
          <w:sz w:val="20"/>
          <w:szCs w:val="20"/>
          <w:lang w:val="en-US"/>
        </w:rPr>
        <w:t>entrepreneurship (</w:t>
      </w:r>
      <w:r w:rsidRPr="008141F7">
        <w:rPr>
          <w:sz w:val="20"/>
          <w:szCs w:val="20"/>
          <w:lang w:val="en-US"/>
        </w:rPr>
        <w:t>Outputs 1.1.2</w:t>
      </w:r>
      <w:r w:rsidR="0596461E" w:rsidRPr="008141F7">
        <w:rPr>
          <w:sz w:val="20"/>
          <w:szCs w:val="20"/>
          <w:lang w:val="en-US"/>
        </w:rPr>
        <w:t xml:space="preserve"> and</w:t>
      </w:r>
      <w:r w:rsidRPr="008141F7">
        <w:rPr>
          <w:sz w:val="20"/>
          <w:szCs w:val="20"/>
          <w:lang w:val="en-US"/>
        </w:rPr>
        <w:t xml:space="preserve"> 3.1.4</w:t>
      </w:r>
      <w:proofErr w:type="gramStart"/>
      <w:r w:rsidRPr="008141F7">
        <w:rPr>
          <w:sz w:val="20"/>
          <w:szCs w:val="20"/>
          <w:lang w:val="en-US"/>
        </w:rPr>
        <w:t>) .</w:t>
      </w:r>
      <w:proofErr w:type="gramEnd"/>
      <w:r w:rsidRPr="008141F7">
        <w:rPr>
          <w:sz w:val="20"/>
          <w:szCs w:val="20"/>
          <w:lang w:val="en-US"/>
        </w:rPr>
        <w:t> </w:t>
      </w:r>
    </w:p>
    <w:p w14:paraId="413A263B" w14:textId="2F1B9472" w:rsidR="00040D0C" w:rsidRPr="00040D0C" w:rsidRDefault="5911E112" w:rsidP="00040D0C">
      <w:pPr>
        <w:spacing w:before="360" w:after="0" w:line="276" w:lineRule="auto"/>
        <w:jc w:val="both"/>
        <w:rPr>
          <w:sz w:val="20"/>
          <w:szCs w:val="20"/>
          <w:lang w:val="en-US"/>
        </w:rPr>
      </w:pPr>
      <w:r w:rsidRPr="5D8904BE">
        <w:rPr>
          <w:sz w:val="20"/>
          <w:szCs w:val="20"/>
          <w:lang w:val="en-US"/>
        </w:rPr>
        <w:t xml:space="preserve">The IUDP will also catalyze </w:t>
      </w:r>
      <w:r w:rsidRPr="5D8904BE">
        <w:rPr>
          <w:b/>
          <w:bCs/>
          <w:sz w:val="20"/>
          <w:szCs w:val="20"/>
          <w:lang w:val="en-US"/>
        </w:rPr>
        <w:t>social and behavioral change</w:t>
      </w:r>
      <w:r w:rsidRPr="5D8904BE">
        <w:rPr>
          <w:sz w:val="20"/>
          <w:szCs w:val="20"/>
          <w:lang w:val="en-US"/>
        </w:rPr>
        <w:t xml:space="preserve"> by implementing inclusive </w:t>
      </w:r>
      <w:r w:rsidRPr="5D8904BE">
        <w:rPr>
          <w:b/>
          <w:bCs/>
          <w:sz w:val="20"/>
          <w:szCs w:val="20"/>
          <w:lang w:val="en-US"/>
        </w:rPr>
        <w:t>awareness and information campaigns</w:t>
      </w:r>
      <w:r w:rsidRPr="5D8904BE">
        <w:rPr>
          <w:sz w:val="20"/>
          <w:szCs w:val="20"/>
          <w:lang w:val="en-US"/>
        </w:rPr>
        <w:t xml:space="preserve"> (linked to Output</w:t>
      </w:r>
      <w:r w:rsidR="2B35EF07" w:rsidRPr="5D8904BE">
        <w:rPr>
          <w:sz w:val="20"/>
          <w:szCs w:val="20"/>
          <w:lang w:val="en-US"/>
        </w:rPr>
        <w:t>s</w:t>
      </w:r>
      <w:r w:rsidRPr="5D8904BE">
        <w:rPr>
          <w:sz w:val="20"/>
          <w:szCs w:val="20"/>
          <w:lang w:val="en-US"/>
        </w:rPr>
        <w:t xml:space="preserve"> 1.2.1, 1.2.1, 2.1.1</w:t>
      </w:r>
      <w:r w:rsidR="52B9A4DB" w:rsidRPr="5D8904BE">
        <w:rPr>
          <w:sz w:val="20"/>
          <w:szCs w:val="20"/>
          <w:lang w:val="en-US"/>
        </w:rPr>
        <w:t xml:space="preserve"> and</w:t>
      </w:r>
      <w:r w:rsidRPr="5D8904BE">
        <w:rPr>
          <w:sz w:val="20"/>
          <w:szCs w:val="20"/>
          <w:lang w:val="en-US"/>
        </w:rPr>
        <w:t xml:space="preserve"> 4.1.2</w:t>
      </w:r>
      <w:r w:rsidR="653CB418" w:rsidRPr="5D8904BE">
        <w:rPr>
          <w:sz w:val="20"/>
          <w:szCs w:val="20"/>
          <w:lang w:val="en-US"/>
        </w:rPr>
        <w:t>,</w:t>
      </w:r>
      <w:r w:rsidRPr="5D8904BE">
        <w:rPr>
          <w:sz w:val="20"/>
          <w:szCs w:val="20"/>
          <w:lang w:val="en-US"/>
        </w:rPr>
        <w:t> and activities 3.1.2.3</w:t>
      </w:r>
      <w:r w:rsidR="2A84C544" w:rsidRPr="5D8904BE">
        <w:rPr>
          <w:sz w:val="20"/>
          <w:szCs w:val="20"/>
          <w:lang w:val="en-US"/>
        </w:rPr>
        <w:t xml:space="preserve"> and</w:t>
      </w:r>
      <w:r w:rsidRPr="5D8904BE">
        <w:rPr>
          <w:sz w:val="20"/>
          <w:szCs w:val="20"/>
          <w:lang w:val="en-US"/>
        </w:rPr>
        <w:t xml:space="preserve"> 3.1.4.5). These campaigns will promote: </w:t>
      </w:r>
    </w:p>
    <w:p w14:paraId="6ED96AE4" w14:textId="77777777" w:rsidR="00040D0C" w:rsidRPr="00040D0C" w:rsidRDefault="00040D0C" w:rsidP="001360BB">
      <w:pPr>
        <w:numPr>
          <w:ilvl w:val="0"/>
          <w:numId w:val="269"/>
        </w:numPr>
        <w:spacing w:after="0" w:line="240" w:lineRule="auto"/>
        <w:jc w:val="both"/>
        <w:rPr>
          <w:sz w:val="20"/>
          <w:szCs w:val="20"/>
          <w:lang w:val="en-US"/>
        </w:rPr>
      </w:pPr>
      <w:r w:rsidRPr="00040D0C">
        <w:rPr>
          <w:sz w:val="20"/>
          <w:szCs w:val="20"/>
          <w:lang w:val="en-US"/>
        </w:rPr>
        <w:t xml:space="preserve">Protection and valorization of ecosystem </w:t>
      </w:r>
      <w:proofErr w:type="gramStart"/>
      <w:r w:rsidRPr="00040D0C">
        <w:rPr>
          <w:sz w:val="20"/>
          <w:szCs w:val="20"/>
          <w:lang w:val="en-US"/>
        </w:rPr>
        <w:t>services;</w:t>
      </w:r>
      <w:proofErr w:type="gramEnd"/>
      <w:r w:rsidRPr="00040D0C">
        <w:rPr>
          <w:sz w:val="20"/>
          <w:szCs w:val="20"/>
          <w:lang w:val="en-US"/>
        </w:rPr>
        <w:t> </w:t>
      </w:r>
    </w:p>
    <w:p w14:paraId="25E69548" w14:textId="77777777" w:rsidR="00040D0C" w:rsidRPr="008141F7" w:rsidRDefault="3189A68E" w:rsidP="40E7FE84">
      <w:pPr>
        <w:numPr>
          <w:ilvl w:val="0"/>
          <w:numId w:val="270"/>
        </w:numPr>
        <w:spacing w:after="0" w:line="240" w:lineRule="auto"/>
        <w:jc w:val="both"/>
        <w:rPr>
          <w:sz w:val="20"/>
          <w:szCs w:val="20"/>
          <w:lang w:val="en-US"/>
        </w:rPr>
      </w:pPr>
      <w:r w:rsidRPr="008141F7">
        <w:rPr>
          <w:sz w:val="20"/>
          <w:szCs w:val="20"/>
          <w:lang w:val="en-US"/>
        </w:rPr>
        <w:t>Sustainable consumption (e.g., local organic food</w:t>
      </w:r>
      <w:proofErr w:type="gramStart"/>
      <w:r w:rsidRPr="008141F7">
        <w:rPr>
          <w:sz w:val="20"/>
          <w:szCs w:val="20"/>
          <w:lang w:val="en-US"/>
        </w:rPr>
        <w:t>);</w:t>
      </w:r>
      <w:proofErr w:type="gramEnd"/>
      <w:r w:rsidRPr="008141F7">
        <w:rPr>
          <w:sz w:val="20"/>
          <w:szCs w:val="20"/>
          <w:lang w:val="en-US"/>
        </w:rPr>
        <w:t> </w:t>
      </w:r>
    </w:p>
    <w:p w14:paraId="19F9A6BA" w14:textId="77777777" w:rsidR="00040D0C" w:rsidRPr="00040D0C" w:rsidRDefault="00040D0C" w:rsidP="001360BB">
      <w:pPr>
        <w:numPr>
          <w:ilvl w:val="0"/>
          <w:numId w:val="271"/>
        </w:numPr>
        <w:spacing w:after="0" w:line="240" w:lineRule="auto"/>
        <w:jc w:val="both"/>
        <w:rPr>
          <w:sz w:val="20"/>
          <w:szCs w:val="20"/>
          <w:lang w:val="en-US"/>
        </w:rPr>
      </w:pPr>
      <w:r w:rsidRPr="00040D0C">
        <w:rPr>
          <w:sz w:val="20"/>
          <w:szCs w:val="20"/>
          <w:lang w:val="en-US"/>
        </w:rPr>
        <w:t xml:space="preserve">Active mobility and energy/water </w:t>
      </w:r>
      <w:proofErr w:type="gramStart"/>
      <w:r w:rsidRPr="00040D0C">
        <w:rPr>
          <w:sz w:val="20"/>
          <w:szCs w:val="20"/>
          <w:lang w:val="en-US"/>
        </w:rPr>
        <w:t>efficiency;</w:t>
      </w:r>
      <w:proofErr w:type="gramEnd"/>
      <w:r w:rsidRPr="00040D0C">
        <w:rPr>
          <w:sz w:val="20"/>
          <w:szCs w:val="20"/>
          <w:lang w:val="en-US"/>
        </w:rPr>
        <w:t> </w:t>
      </w:r>
    </w:p>
    <w:p w14:paraId="197DF08F" w14:textId="77777777" w:rsidR="00040D0C" w:rsidRPr="00040D0C" w:rsidRDefault="00040D0C" w:rsidP="001360BB">
      <w:pPr>
        <w:numPr>
          <w:ilvl w:val="0"/>
          <w:numId w:val="272"/>
        </w:numPr>
        <w:spacing w:after="0" w:line="240" w:lineRule="auto"/>
        <w:jc w:val="both"/>
        <w:rPr>
          <w:sz w:val="20"/>
          <w:szCs w:val="20"/>
          <w:u w:val="single"/>
          <w:lang w:val="en-US"/>
        </w:rPr>
      </w:pPr>
      <w:r w:rsidRPr="00040D0C">
        <w:rPr>
          <w:sz w:val="20"/>
          <w:szCs w:val="20"/>
          <w:lang w:val="en-US"/>
        </w:rPr>
        <w:t>Adoption of eco-citizen behaviors that enhance environmental, economic, and health co-be</w:t>
      </w:r>
      <w:r w:rsidRPr="00040D0C">
        <w:rPr>
          <w:sz w:val="20"/>
          <w:szCs w:val="20"/>
          <w:u w:val="single"/>
          <w:lang w:val="en-US"/>
        </w:rPr>
        <w:t>nefits. </w:t>
      </w:r>
    </w:p>
    <w:p w14:paraId="6809CDA3" w14:textId="2364B4E4" w:rsidR="00040D0C" w:rsidRPr="00464791" w:rsidRDefault="3189A68E" w:rsidP="00464791">
      <w:pPr>
        <w:spacing w:before="360" w:after="0" w:line="276" w:lineRule="auto"/>
        <w:jc w:val="both"/>
        <w:rPr>
          <w:sz w:val="20"/>
          <w:szCs w:val="20"/>
          <w:lang w:val="en-US"/>
        </w:rPr>
      </w:pPr>
      <w:r w:rsidRPr="5D8904BE">
        <w:rPr>
          <w:sz w:val="20"/>
          <w:szCs w:val="20"/>
          <w:lang w:val="en-US"/>
        </w:rPr>
        <w:t xml:space="preserve">These campaigns will be co-developed with local stakeholders and will leverage </w:t>
      </w:r>
      <w:r w:rsidRPr="5D8904BE">
        <w:rPr>
          <w:b/>
          <w:bCs/>
          <w:sz w:val="20"/>
          <w:szCs w:val="20"/>
          <w:lang w:val="en-US"/>
        </w:rPr>
        <w:t>visual media, community dialogues, schools, and digital platforms</w:t>
      </w:r>
      <w:r w:rsidRPr="5D8904BE">
        <w:rPr>
          <w:sz w:val="20"/>
          <w:szCs w:val="20"/>
          <w:lang w:val="en-US"/>
        </w:rPr>
        <w:t xml:space="preserve"> to maximize reach and impact. </w:t>
      </w:r>
    </w:p>
    <w:p w14:paraId="078EDE34" w14:textId="3055D644" w:rsidR="2D9ABCFD" w:rsidRDefault="5E79A918" w:rsidP="3C8408A9">
      <w:pPr>
        <w:spacing w:before="360" w:after="0" w:line="276" w:lineRule="auto"/>
        <w:jc w:val="both"/>
        <w:rPr>
          <w:sz w:val="20"/>
          <w:szCs w:val="20"/>
          <w:lang w:val="en-US"/>
        </w:rPr>
      </w:pPr>
      <w:r w:rsidRPr="51745E8D">
        <w:rPr>
          <w:sz w:val="20"/>
          <w:szCs w:val="20"/>
          <w:u w:val="single"/>
          <w:lang w:val="en-US"/>
        </w:rPr>
        <w:lastRenderedPageBreak/>
        <w:t>Innovativeness, Sustainability and Potential for Scaling Up</w:t>
      </w:r>
      <w:r w:rsidRPr="51745E8D">
        <w:rPr>
          <w:sz w:val="20"/>
          <w:szCs w:val="20"/>
          <w:lang w:val="en-US"/>
        </w:rPr>
        <w:t xml:space="preserve">: </w:t>
      </w:r>
      <w:r w:rsidR="7614248B" w:rsidRPr="51745E8D">
        <w:rPr>
          <w:sz w:val="20"/>
          <w:szCs w:val="20"/>
          <w:lang w:val="en-US"/>
        </w:rPr>
        <w:t>The IUD project will serve as a model for integrated urban resilience and inclusive development, supporting replication in cities across Mali. Key replicable components include:</w:t>
      </w:r>
    </w:p>
    <w:p w14:paraId="49EEC6EB" w14:textId="450A4B19" w:rsidR="2D9ABCFD" w:rsidRPr="00DD07A2" w:rsidRDefault="7614248B" w:rsidP="001360BB">
      <w:pPr>
        <w:pStyle w:val="Paragraphedeliste"/>
        <w:numPr>
          <w:ilvl w:val="0"/>
          <w:numId w:val="152"/>
        </w:numPr>
        <w:spacing w:after="0"/>
        <w:jc w:val="both"/>
        <w:rPr>
          <w:sz w:val="20"/>
          <w:szCs w:val="20"/>
          <w:lang w:val="en-US"/>
        </w:rPr>
      </w:pPr>
      <w:r w:rsidRPr="51745E8D">
        <w:rPr>
          <w:sz w:val="20"/>
          <w:szCs w:val="20"/>
          <w:lang w:val="en-US"/>
        </w:rPr>
        <w:t xml:space="preserve">Legal and </w:t>
      </w:r>
      <w:r w:rsidRPr="00DD07A2">
        <w:rPr>
          <w:sz w:val="20"/>
          <w:szCs w:val="20"/>
          <w:lang w:val="en-US"/>
        </w:rPr>
        <w:t xml:space="preserve">institutional frameworks for metropolitan governance, land tenure regularization, and inclusive urban </w:t>
      </w:r>
      <w:proofErr w:type="gramStart"/>
      <w:r w:rsidRPr="00DD07A2">
        <w:rPr>
          <w:sz w:val="20"/>
          <w:szCs w:val="20"/>
          <w:lang w:val="en-US"/>
        </w:rPr>
        <w:t>planning;</w:t>
      </w:r>
      <w:proofErr w:type="gramEnd"/>
    </w:p>
    <w:p w14:paraId="5A22089C" w14:textId="4351B2FA" w:rsidR="2D9ABCFD" w:rsidRPr="00DD07A2" w:rsidRDefault="7614248B" w:rsidP="001360BB">
      <w:pPr>
        <w:pStyle w:val="Paragraphedeliste"/>
        <w:numPr>
          <w:ilvl w:val="0"/>
          <w:numId w:val="152"/>
        </w:numPr>
        <w:spacing w:after="0"/>
        <w:jc w:val="both"/>
        <w:rPr>
          <w:sz w:val="20"/>
          <w:szCs w:val="20"/>
          <w:lang w:val="en-US"/>
        </w:rPr>
      </w:pPr>
      <w:r w:rsidRPr="00DD07A2">
        <w:rPr>
          <w:sz w:val="20"/>
          <w:szCs w:val="20"/>
          <w:lang w:val="en-US"/>
        </w:rPr>
        <w:t>Pilot green transport and e-mobility solutions, linked to digital public-private engagement platforms.</w:t>
      </w:r>
    </w:p>
    <w:p w14:paraId="279EE987" w14:textId="2533B0D1" w:rsidR="2D9ABCFD" w:rsidRPr="00DD07A2" w:rsidRDefault="7614248B" w:rsidP="001360BB">
      <w:pPr>
        <w:pStyle w:val="Paragraphedeliste"/>
        <w:numPr>
          <w:ilvl w:val="0"/>
          <w:numId w:val="152"/>
        </w:numPr>
        <w:spacing w:after="0"/>
        <w:jc w:val="both"/>
        <w:rPr>
          <w:sz w:val="20"/>
          <w:szCs w:val="20"/>
          <w:lang w:val="en-US"/>
        </w:rPr>
      </w:pPr>
      <w:r w:rsidRPr="00DD07A2">
        <w:rPr>
          <w:sz w:val="20"/>
          <w:szCs w:val="20"/>
          <w:lang w:val="en-US"/>
        </w:rPr>
        <w:t xml:space="preserve">Community-based green infrastructure and reforestation models along riverbanks and degraded urban </w:t>
      </w:r>
      <w:proofErr w:type="gramStart"/>
      <w:r w:rsidRPr="00DD07A2">
        <w:rPr>
          <w:sz w:val="20"/>
          <w:szCs w:val="20"/>
          <w:lang w:val="en-US"/>
        </w:rPr>
        <w:t>areas;</w:t>
      </w:r>
      <w:proofErr w:type="gramEnd"/>
    </w:p>
    <w:p w14:paraId="0B28014E" w14:textId="600CC991" w:rsidR="2D9ABCFD" w:rsidRPr="00DD07A2" w:rsidRDefault="7614248B" w:rsidP="001360BB">
      <w:pPr>
        <w:pStyle w:val="Paragraphedeliste"/>
        <w:numPr>
          <w:ilvl w:val="0"/>
          <w:numId w:val="152"/>
        </w:numPr>
        <w:spacing w:after="0"/>
        <w:jc w:val="both"/>
        <w:rPr>
          <w:sz w:val="20"/>
          <w:szCs w:val="20"/>
          <w:lang w:val="en-US"/>
        </w:rPr>
      </w:pPr>
      <w:r w:rsidRPr="00DD07A2">
        <w:rPr>
          <w:sz w:val="20"/>
          <w:szCs w:val="20"/>
          <w:lang w:val="en-US"/>
        </w:rPr>
        <w:t xml:space="preserve">Eco-neighborhoods and urban revitalization practices, informed by the activity 1.1.1.8 Bamako and green belt sustainability </w:t>
      </w:r>
      <w:proofErr w:type="gramStart"/>
      <w:r w:rsidRPr="00DD07A2">
        <w:rPr>
          <w:sz w:val="20"/>
          <w:szCs w:val="20"/>
          <w:lang w:val="en-US"/>
        </w:rPr>
        <w:t>strategy;</w:t>
      </w:r>
      <w:proofErr w:type="gramEnd"/>
    </w:p>
    <w:p w14:paraId="6C968181" w14:textId="5146B59E" w:rsidR="2D9ABCFD" w:rsidRPr="00DD07A2" w:rsidRDefault="7614248B" w:rsidP="001360BB">
      <w:pPr>
        <w:pStyle w:val="Paragraphedeliste"/>
        <w:numPr>
          <w:ilvl w:val="0"/>
          <w:numId w:val="152"/>
        </w:numPr>
        <w:spacing w:after="0"/>
        <w:jc w:val="both"/>
        <w:rPr>
          <w:sz w:val="20"/>
          <w:szCs w:val="20"/>
          <w:lang w:val="en-US"/>
        </w:rPr>
      </w:pPr>
      <w:r w:rsidRPr="00DD07A2">
        <w:rPr>
          <w:sz w:val="20"/>
          <w:szCs w:val="20"/>
          <w:lang w:val="en-US"/>
        </w:rPr>
        <w:t xml:space="preserve">Digital information systems and hackathons for youth innovation and service delivery </w:t>
      </w:r>
      <w:proofErr w:type="gramStart"/>
      <w:r w:rsidRPr="00DD07A2">
        <w:rPr>
          <w:sz w:val="20"/>
          <w:szCs w:val="20"/>
          <w:lang w:val="en-US"/>
        </w:rPr>
        <w:t>enhancement;</w:t>
      </w:r>
      <w:proofErr w:type="gramEnd"/>
    </w:p>
    <w:p w14:paraId="42E76D9F" w14:textId="6E1A0532" w:rsidR="2D9ABCFD" w:rsidRPr="00DD07A2" w:rsidRDefault="7BF1139B" w:rsidP="001360BB">
      <w:pPr>
        <w:pStyle w:val="Paragraphedeliste"/>
        <w:numPr>
          <w:ilvl w:val="0"/>
          <w:numId w:val="152"/>
        </w:numPr>
        <w:spacing w:after="0"/>
        <w:jc w:val="both"/>
        <w:rPr>
          <w:sz w:val="20"/>
          <w:szCs w:val="20"/>
          <w:lang w:val="en-US"/>
        </w:rPr>
      </w:pPr>
      <w:r w:rsidRPr="24AA8F7E">
        <w:rPr>
          <w:sz w:val="20"/>
          <w:szCs w:val="20"/>
          <w:lang w:val="en-US"/>
        </w:rPr>
        <w:t>Gender and social inclusion mechanisms, including safe urban mobility and green job initiatives for women and youth.</w:t>
      </w:r>
    </w:p>
    <w:p w14:paraId="13A0912A" w14:textId="1DE0461A" w:rsidR="24AA8F7E" w:rsidRDefault="24AA8F7E" w:rsidP="24AA8F7E">
      <w:pPr>
        <w:spacing w:after="0"/>
        <w:jc w:val="both"/>
        <w:rPr>
          <w:sz w:val="20"/>
          <w:szCs w:val="20"/>
          <w:lang w:val="en-US"/>
        </w:rPr>
      </w:pPr>
    </w:p>
    <w:p w14:paraId="44BF3C27" w14:textId="3C76E9ED" w:rsidR="2D9ABCFD" w:rsidRPr="00DD07A2" w:rsidRDefault="7614248B" w:rsidP="3C8408A9">
      <w:pPr>
        <w:spacing w:after="0"/>
        <w:jc w:val="both"/>
        <w:rPr>
          <w:sz w:val="20"/>
          <w:szCs w:val="20"/>
          <w:lang w:val="en-US"/>
        </w:rPr>
      </w:pPr>
      <w:r w:rsidRPr="00DD07A2">
        <w:rPr>
          <w:sz w:val="20"/>
          <w:szCs w:val="20"/>
          <w:lang w:val="en-US"/>
        </w:rPr>
        <w:t>Replication will be supported through:</w:t>
      </w:r>
    </w:p>
    <w:p w14:paraId="59C1E0C1" w14:textId="6F4F114B" w:rsidR="2D9ABCFD" w:rsidRPr="00DD07A2" w:rsidRDefault="7614248B" w:rsidP="001360BB">
      <w:pPr>
        <w:pStyle w:val="Paragraphedeliste"/>
        <w:numPr>
          <w:ilvl w:val="0"/>
          <w:numId w:val="151"/>
        </w:numPr>
        <w:spacing w:after="0"/>
        <w:jc w:val="both"/>
        <w:rPr>
          <w:sz w:val="20"/>
          <w:szCs w:val="20"/>
          <w:lang w:val="en-US"/>
        </w:rPr>
      </w:pPr>
      <w:r w:rsidRPr="00DD07A2">
        <w:rPr>
          <w:sz w:val="20"/>
          <w:szCs w:val="20"/>
          <w:lang w:val="en-US"/>
        </w:rPr>
        <w:t xml:space="preserve">National urban policy dialogues involving the Ministry of Urban planning, habitat, special planning and population, Ministry of Economy and Finance, and territorial </w:t>
      </w:r>
      <w:proofErr w:type="gramStart"/>
      <w:r w:rsidRPr="00DD07A2">
        <w:rPr>
          <w:sz w:val="20"/>
          <w:szCs w:val="20"/>
          <w:lang w:val="en-US"/>
        </w:rPr>
        <w:t>authorities;</w:t>
      </w:r>
      <w:proofErr w:type="gramEnd"/>
    </w:p>
    <w:p w14:paraId="6D01538A" w14:textId="3FF436D6" w:rsidR="2D9ABCFD" w:rsidRPr="00DD07A2" w:rsidRDefault="7614248B" w:rsidP="001360BB">
      <w:pPr>
        <w:pStyle w:val="Paragraphedeliste"/>
        <w:numPr>
          <w:ilvl w:val="0"/>
          <w:numId w:val="151"/>
        </w:numPr>
        <w:spacing w:after="0"/>
        <w:jc w:val="both"/>
        <w:rPr>
          <w:sz w:val="20"/>
          <w:szCs w:val="20"/>
          <w:lang w:val="en-US"/>
        </w:rPr>
      </w:pPr>
      <w:r w:rsidRPr="00DD07A2">
        <w:rPr>
          <w:sz w:val="20"/>
          <w:szCs w:val="20"/>
          <w:lang w:val="en-US"/>
        </w:rPr>
        <w:t xml:space="preserve">Knowledge-sharing workshops among the Grand Bamako municipalities and targeted cities such as Sikasso and </w:t>
      </w:r>
      <w:proofErr w:type="gramStart"/>
      <w:r w:rsidRPr="00DD07A2">
        <w:rPr>
          <w:sz w:val="20"/>
          <w:szCs w:val="20"/>
          <w:lang w:val="en-US"/>
        </w:rPr>
        <w:t>Ségou;</w:t>
      </w:r>
      <w:proofErr w:type="gramEnd"/>
    </w:p>
    <w:p w14:paraId="17B5250C" w14:textId="43851AF8" w:rsidR="2D9ABCFD" w:rsidRDefault="43CE0666" w:rsidP="001360BB">
      <w:pPr>
        <w:pStyle w:val="Paragraphedeliste"/>
        <w:numPr>
          <w:ilvl w:val="0"/>
          <w:numId w:val="151"/>
        </w:numPr>
        <w:spacing w:after="0"/>
        <w:jc w:val="both"/>
        <w:rPr>
          <w:sz w:val="20"/>
          <w:szCs w:val="20"/>
          <w:lang w:val="en-US"/>
        </w:rPr>
      </w:pPr>
      <w:r w:rsidRPr="5D8904BE">
        <w:rPr>
          <w:sz w:val="20"/>
          <w:szCs w:val="20"/>
          <w:lang w:val="en-US"/>
        </w:rPr>
        <w:t>Partnerships with international platforms (GSC</w:t>
      </w:r>
      <w:r w:rsidR="1B5BDA2D" w:rsidRPr="5D8904BE">
        <w:rPr>
          <w:sz w:val="20"/>
          <w:szCs w:val="20"/>
          <w:lang w:val="en-US"/>
        </w:rPr>
        <w:t>IP</w:t>
      </w:r>
      <w:r w:rsidRPr="5D8904BE">
        <w:rPr>
          <w:sz w:val="20"/>
          <w:szCs w:val="20"/>
          <w:lang w:val="en-US"/>
        </w:rPr>
        <w:t>, UCLG Africa) and donors (GEF, GCF, AfDB, World Bank) to facilitate scaling through parallel or sequential investments.</w:t>
      </w:r>
    </w:p>
    <w:p w14:paraId="21B3EA39" w14:textId="7C02A4E8" w:rsidR="4965508A" w:rsidRDefault="4965508A" w:rsidP="3C8408A9">
      <w:pPr>
        <w:spacing w:after="0" w:line="240" w:lineRule="auto"/>
        <w:jc w:val="both"/>
        <w:rPr>
          <w:i/>
          <w:iCs/>
          <w:sz w:val="20"/>
          <w:szCs w:val="20"/>
          <w:lang w:val="en-US"/>
        </w:rPr>
      </w:pPr>
    </w:p>
    <w:p w14:paraId="23F31F3F" w14:textId="77777777" w:rsidR="004F7DB3" w:rsidRPr="00C00123" w:rsidRDefault="0C984D6E" w:rsidP="3D58A386">
      <w:pPr>
        <w:spacing w:after="0" w:line="240" w:lineRule="auto"/>
        <w:jc w:val="both"/>
        <w:rPr>
          <w:i/>
          <w:iCs/>
          <w:sz w:val="20"/>
          <w:szCs w:val="20"/>
          <w:highlight w:val="yellow"/>
          <w:lang w:val="en-US"/>
        </w:rPr>
      </w:pPr>
      <w:r w:rsidRPr="3C8408A9">
        <w:rPr>
          <w:sz w:val="20"/>
          <w:szCs w:val="20"/>
          <w:u w:val="single"/>
          <w:lang w:val="en-US"/>
        </w:rPr>
        <w:t>Digital Solutions</w:t>
      </w:r>
      <w:r w:rsidRPr="3C8408A9">
        <w:rPr>
          <w:b/>
          <w:bCs/>
          <w:sz w:val="20"/>
          <w:szCs w:val="20"/>
          <w:lang w:val="en-US"/>
        </w:rPr>
        <w:t xml:space="preserve">: </w:t>
      </w:r>
    </w:p>
    <w:p w14:paraId="5283141A" w14:textId="72F0BEA4" w:rsidR="004F7DB3" w:rsidRPr="00C00123" w:rsidRDefault="5481CBD9" w:rsidP="51745E8D">
      <w:pPr>
        <w:spacing w:before="240" w:after="240" w:line="240" w:lineRule="auto"/>
        <w:jc w:val="both"/>
        <w:rPr>
          <w:sz w:val="20"/>
          <w:szCs w:val="20"/>
          <w:lang w:val="en-US"/>
        </w:rPr>
      </w:pPr>
      <w:r w:rsidRPr="537FA187">
        <w:rPr>
          <w:sz w:val="20"/>
          <w:szCs w:val="20"/>
          <w:lang w:val="en-US"/>
        </w:rPr>
        <w:t>The IUDP</w:t>
      </w:r>
      <w:r w:rsidR="19BE4CC0" w:rsidRPr="537FA187">
        <w:rPr>
          <w:sz w:val="20"/>
          <w:szCs w:val="20"/>
          <w:lang w:val="en-US"/>
        </w:rPr>
        <w:t xml:space="preserve"> </w:t>
      </w:r>
      <w:r w:rsidRPr="537FA187">
        <w:rPr>
          <w:sz w:val="20"/>
          <w:szCs w:val="20"/>
          <w:lang w:val="en-US"/>
        </w:rPr>
        <w:t xml:space="preserve">in Bamako will strategically leverage digital technologies to address key urban development challenges, strengthen governance, and improve service delivery for beneficiaries and partners. Digital tools will be embedded across several project activities to enhance transparency, efficiency, and citizen engagement. A central pillar of the project is the development and deployment of a </w:t>
      </w:r>
      <w:r w:rsidRPr="537FA187">
        <w:rPr>
          <w:b/>
          <w:bCs/>
          <w:sz w:val="20"/>
          <w:szCs w:val="20"/>
          <w:lang w:val="en-US"/>
        </w:rPr>
        <w:t>geo-referenced urban management platform</w:t>
      </w:r>
      <w:r w:rsidRPr="537FA187">
        <w:rPr>
          <w:sz w:val="20"/>
          <w:szCs w:val="20"/>
          <w:lang w:val="en-US"/>
        </w:rPr>
        <w:t xml:space="preserve"> that will consolidate spatial data for land use, infrastructure, public services, and environmental assets. This system will support evidence-based decision-making, inter-institutional coordination, and participatory urban planning at both </w:t>
      </w:r>
      <w:r w:rsidR="0175EBE1" w:rsidRPr="537FA187">
        <w:rPr>
          <w:sz w:val="20"/>
          <w:szCs w:val="20"/>
          <w:lang w:val="en-US"/>
        </w:rPr>
        <w:t>municipal</w:t>
      </w:r>
      <w:r w:rsidRPr="537FA187">
        <w:rPr>
          <w:sz w:val="20"/>
          <w:szCs w:val="20"/>
          <w:lang w:val="en-US"/>
        </w:rPr>
        <w:t xml:space="preserve"> and metropolitan levels.</w:t>
      </w:r>
    </w:p>
    <w:p w14:paraId="401E7C9B" w14:textId="6E2718B8" w:rsidR="004F7DB3" w:rsidRPr="00C00123" w:rsidRDefault="7F3E4B49" w:rsidP="51745E8D">
      <w:pPr>
        <w:spacing w:before="240" w:after="240" w:line="240" w:lineRule="auto"/>
        <w:jc w:val="both"/>
        <w:rPr>
          <w:sz w:val="20"/>
          <w:szCs w:val="20"/>
          <w:lang w:val="en-US"/>
        </w:rPr>
      </w:pPr>
      <w:r w:rsidRPr="51745E8D">
        <w:rPr>
          <w:sz w:val="20"/>
          <w:szCs w:val="20"/>
          <w:lang w:val="en-US"/>
        </w:rPr>
        <w:t xml:space="preserve">The project will support the </w:t>
      </w:r>
      <w:r w:rsidRPr="51745E8D">
        <w:rPr>
          <w:b/>
          <w:bCs/>
          <w:sz w:val="20"/>
          <w:szCs w:val="20"/>
          <w:lang w:val="en-US"/>
        </w:rPr>
        <w:t>creation of a digital one-stop window</w:t>
      </w:r>
      <w:r w:rsidRPr="51745E8D">
        <w:rPr>
          <w:sz w:val="20"/>
          <w:szCs w:val="20"/>
          <w:lang w:val="en-US"/>
        </w:rPr>
        <w:t xml:space="preserve"> for private sector actors to access information on urban investment opportunities, licensing procedures, and financial support mechanisms, including green finance instruments and climate funding.</w:t>
      </w:r>
    </w:p>
    <w:p w14:paraId="46CC441D" w14:textId="1990534E" w:rsidR="004F7DB3" w:rsidRPr="00C00123" w:rsidRDefault="45C97735" w:rsidP="51745E8D">
      <w:pPr>
        <w:spacing w:before="240" w:after="240" w:line="240" w:lineRule="auto"/>
        <w:jc w:val="both"/>
        <w:rPr>
          <w:sz w:val="20"/>
          <w:szCs w:val="20"/>
          <w:lang w:val="en-US"/>
        </w:rPr>
      </w:pPr>
      <w:r w:rsidRPr="5D8904BE">
        <w:rPr>
          <w:sz w:val="20"/>
          <w:szCs w:val="20"/>
          <w:lang w:val="en-US"/>
        </w:rPr>
        <w:t>In the area of local finance, the project will explore the revitalization of digital tax collection tools, building on lessons from past experiences such as KLIS’PAY, in collaboration with local tech partners. This initiative aims to improve the efficiency and accountability of municipal revenue systems. Additionally, hackathons and innovation challenges will be organized to crowdsource digital solutions from</w:t>
      </w:r>
      <w:r w:rsidRPr="5D8904BE">
        <w:rPr>
          <w:b/>
          <w:bCs/>
          <w:sz w:val="20"/>
          <w:szCs w:val="20"/>
          <w:lang w:val="en-US"/>
        </w:rPr>
        <w:t xml:space="preserve"> youth and startups</w:t>
      </w:r>
      <w:r w:rsidRPr="5D8904BE">
        <w:rPr>
          <w:sz w:val="20"/>
          <w:szCs w:val="20"/>
          <w:lang w:val="en-US"/>
        </w:rPr>
        <w:t xml:space="preserve"> for pressing urban issues such as waste management, mobility, and energy access.</w:t>
      </w:r>
    </w:p>
    <w:p w14:paraId="4EC7ACBA" w14:textId="7ABC914C" w:rsidR="004F7DB3" w:rsidRDefault="45C97735" w:rsidP="51745E8D">
      <w:pPr>
        <w:spacing w:before="240" w:after="240" w:line="240" w:lineRule="auto"/>
        <w:jc w:val="both"/>
        <w:rPr>
          <w:sz w:val="20"/>
          <w:szCs w:val="20"/>
          <w:lang w:val="en-US"/>
        </w:rPr>
      </w:pPr>
      <w:r w:rsidRPr="5D8904BE">
        <w:rPr>
          <w:sz w:val="20"/>
          <w:szCs w:val="20"/>
          <w:lang w:val="en-US"/>
        </w:rPr>
        <w:t xml:space="preserve">Finally, the project will introduce </w:t>
      </w:r>
      <w:r w:rsidRPr="5D8904BE">
        <w:rPr>
          <w:b/>
          <w:bCs/>
          <w:sz w:val="20"/>
          <w:szCs w:val="20"/>
          <w:lang w:val="en-US"/>
        </w:rPr>
        <w:t>GIS-based tools and digital dashboards</w:t>
      </w:r>
      <w:r w:rsidR="525AEB7D" w:rsidRPr="5D8904BE">
        <w:rPr>
          <w:b/>
          <w:bCs/>
          <w:sz w:val="20"/>
          <w:szCs w:val="20"/>
          <w:lang w:val="en-US"/>
        </w:rPr>
        <w:t>, embedded within the Geoportal of Bamako</w:t>
      </w:r>
      <w:r w:rsidR="23CE062D" w:rsidRPr="5D8904BE">
        <w:rPr>
          <w:b/>
          <w:bCs/>
          <w:sz w:val="20"/>
          <w:szCs w:val="20"/>
          <w:lang w:val="en-US"/>
        </w:rPr>
        <w:t xml:space="preserve"> </w:t>
      </w:r>
      <w:r w:rsidRPr="5D8904BE">
        <w:rPr>
          <w:sz w:val="20"/>
          <w:szCs w:val="20"/>
          <w:lang w:val="en-US"/>
        </w:rPr>
        <w:t>for monitoring</w:t>
      </w:r>
      <w:r w:rsidR="2128F556" w:rsidRPr="5D8904BE">
        <w:rPr>
          <w:sz w:val="20"/>
          <w:szCs w:val="20"/>
          <w:lang w:val="en-US"/>
        </w:rPr>
        <w:t xml:space="preserve"> </w:t>
      </w:r>
      <w:r w:rsidR="62532A01" w:rsidRPr="5D8904BE">
        <w:rPr>
          <w:sz w:val="20"/>
          <w:szCs w:val="20"/>
          <w:lang w:val="en-US"/>
        </w:rPr>
        <w:t>and tracking</w:t>
      </w:r>
      <w:r w:rsidRPr="5D8904BE">
        <w:rPr>
          <w:sz w:val="20"/>
          <w:szCs w:val="20"/>
          <w:lang w:val="en-US"/>
        </w:rPr>
        <w:t xml:space="preserve"> green space development, </w:t>
      </w:r>
      <w:proofErr w:type="spellStart"/>
      <w:r w:rsidR="3911492A" w:rsidRPr="5D8904BE">
        <w:rPr>
          <w:sz w:val="20"/>
          <w:szCs w:val="20"/>
          <w:lang w:val="en-US"/>
        </w:rPr>
        <w:t>e_mobility</w:t>
      </w:r>
      <w:proofErr w:type="spellEnd"/>
      <w:r w:rsidR="3911492A" w:rsidRPr="5D8904BE">
        <w:rPr>
          <w:sz w:val="20"/>
          <w:szCs w:val="20"/>
          <w:lang w:val="en-US"/>
        </w:rPr>
        <w:t>, ..</w:t>
      </w:r>
      <w:r w:rsidRPr="5D8904BE">
        <w:rPr>
          <w:sz w:val="20"/>
          <w:szCs w:val="20"/>
          <w:lang w:val="en-US"/>
        </w:rPr>
        <w:t xml:space="preserve">. These digital solutions will </w:t>
      </w:r>
      <w:r w:rsidR="4EFC73AC" w:rsidRPr="5D8904BE">
        <w:rPr>
          <w:sz w:val="20"/>
          <w:szCs w:val="20"/>
          <w:lang w:val="en-US"/>
        </w:rPr>
        <w:t>ensure tracking</w:t>
      </w:r>
      <w:r w:rsidRPr="5D8904BE">
        <w:rPr>
          <w:sz w:val="20"/>
          <w:szCs w:val="20"/>
          <w:lang w:val="en-US"/>
        </w:rPr>
        <w:t>, data transparency, and enhanced coordination between government institutions, communities, and development partners, thereby reinforcing the overall resilience and inclusiveness of urban development in Bamako.</w:t>
      </w:r>
    </w:p>
    <w:p w14:paraId="464FD6C0" w14:textId="391AF67C" w:rsidR="008140F5" w:rsidRDefault="008140F5">
      <w:pPr>
        <w:rPr>
          <w:sz w:val="20"/>
          <w:szCs w:val="20"/>
          <w:lang w:val="en-US"/>
        </w:rPr>
      </w:pPr>
      <w:r>
        <w:rPr>
          <w:sz w:val="20"/>
          <w:szCs w:val="20"/>
          <w:lang w:val="en-US"/>
        </w:rPr>
        <w:br w:type="page"/>
      </w:r>
    </w:p>
    <w:p w14:paraId="01E32384" w14:textId="77777777" w:rsidR="008140F5" w:rsidRDefault="008140F5" w:rsidP="51745E8D">
      <w:pPr>
        <w:spacing w:before="240" w:after="240" w:line="240" w:lineRule="auto"/>
        <w:jc w:val="both"/>
        <w:rPr>
          <w:sz w:val="20"/>
          <w:szCs w:val="20"/>
          <w:lang w:val="en-US"/>
        </w:rPr>
        <w:sectPr w:rsidR="008140F5" w:rsidSect="00857B81">
          <w:pgSz w:w="11906" w:h="16838"/>
          <w:pgMar w:top="1418" w:right="1418" w:bottom="1418" w:left="1418" w:header="709" w:footer="709" w:gutter="0"/>
          <w:cols w:space="720"/>
        </w:sectPr>
      </w:pPr>
    </w:p>
    <w:p w14:paraId="5A6EC398" w14:textId="77777777" w:rsidR="008140F5" w:rsidRPr="00C00123" w:rsidRDefault="008140F5" w:rsidP="51745E8D">
      <w:pPr>
        <w:spacing w:before="240" w:after="240" w:line="240" w:lineRule="auto"/>
        <w:jc w:val="both"/>
        <w:rPr>
          <w:sz w:val="20"/>
          <w:szCs w:val="20"/>
          <w:lang w:val="en-US"/>
        </w:rPr>
      </w:pPr>
    </w:p>
    <w:p w14:paraId="7669660A" w14:textId="742844F9" w:rsidR="5D8904BE" w:rsidRDefault="5D8904BE" w:rsidP="5D8904BE">
      <w:pPr>
        <w:spacing w:before="240" w:after="240" w:line="240" w:lineRule="auto"/>
        <w:jc w:val="both"/>
        <w:rPr>
          <w:sz w:val="20"/>
          <w:szCs w:val="20"/>
          <w:lang w:val="en-US"/>
        </w:rPr>
      </w:pPr>
    </w:p>
    <w:p w14:paraId="00000661" w14:textId="1B8622EB" w:rsidR="004F7DB3" w:rsidRPr="006A58E5" w:rsidRDefault="5C0CD746" w:rsidP="26E43118">
      <w:pPr>
        <w:pStyle w:val="Heading11"/>
        <w:rPr>
          <w:lang w:val="en-US"/>
        </w:rPr>
      </w:pPr>
      <w:bookmarkStart w:id="44" w:name="_Toc200477837"/>
      <w:bookmarkStart w:id="45" w:name="_Toc321272938"/>
      <w:r w:rsidRPr="5D8904BE">
        <w:rPr>
          <w:lang w:val="en-US"/>
        </w:rPr>
        <w:t>Project Results Framework</w:t>
      </w:r>
      <w:sdt>
        <w:sdtPr>
          <w:rPr>
            <w:lang w:val="en-US"/>
          </w:rPr>
          <w:tag w:val="goog_rdk_9"/>
          <w:id w:val="606847915"/>
          <w:showingPlcHdr/>
        </w:sdtPr>
        <w:sdtContent>
          <w:bookmarkEnd w:id="45"/>
          <w:r w:rsidR="1AD38100" w:rsidRPr="5D8904BE">
            <w:rPr>
              <w:lang w:val="en-US"/>
            </w:rPr>
            <w:t xml:space="preserve">     </w:t>
          </w:r>
        </w:sdtContent>
      </w:sdt>
      <w:bookmarkEnd w:id="44"/>
    </w:p>
    <w:p w14:paraId="70002AB5" w14:textId="79390CB6" w:rsidR="3C8408A9" w:rsidRPr="00C535FE" w:rsidRDefault="3C8408A9">
      <w:pPr>
        <w:rPr>
          <w:lang w:val="en-US"/>
        </w:rPr>
      </w:pPr>
    </w:p>
    <w:tbl>
      <w:tblPr>
        <w:tblW w:w="14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1185"/>
        <w:gridCol w:w="360"/>
        <w:gridCol w:w="1667"/>
        <w:gridCol w:w="532"/>
        <w:gridCol w:w="1138"/>
        <w:gridCol w:w="202"/>
        <w:gridCol w:w="1018"/>
        <w:gridCol w:w="1463"/>
        <w:gridCol w:w="2195"/>
        <w:gridCol w:w="2062"/>
        <w:gridCol w:w="1803"/>
      </w:tblGrid>
      <w:tr w:rsidR="00A15021" w:rsidRPr="00F50786" w14:paraId="0D542D8B" w14:textId="77777777" w:rsidTr="2DC80E69">
        <w:trPr>
          <w:trHeight w:val="300"/>
          <w:jc w:val="center"/>
        </w:trPr>
        <w:tc>
          <w:tcPr>
            <w:tcW w:w="14372" w:type="dxa"/>
            <w:gridSpan w:val="12"/>
            <w:shd w:val="clear" w:color="auto" w:fill="F2F2F2" w:themeFill="background1" w:themeFillShade="F2"/>
          </w:tcPr>
          <w:p w14:paraId="1205CEC5"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lang w:val="en-US"/>
              </w:rPr>
              <w:t>Contribution to the Sustainable Development Goal (s):</w:t>
            </w:r>
            <w:r w:rsidRPr="003C5C1B">
              <w:rPr>
                <w:rFonts w:asciiTheme="minorHAnsi" w:eastAsiaTheme="minorEastAsia" w:hAnsiTheme="minorHAnsi" w:cstheme="minorHAnsi"/>
                <w:color w:val="000000" w:themeColor="text1"/>
                <w:sz w:val="16"/>
                <w:szCs w:val="16"/>
                <w:lang w:val="en-US"/>
              </w:rPr>
              <w:t xml:space="preserve">  </w:t>
            </w:r>
          </w:p>
          <w:p w14:paraId="03DA0681"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i/>
                <w:iCs/>
                <w:color w:val="000000" w:themeColor="text1"/>
                <w:sz w:val="16"/>
                <w:szCs w:val="16"/>
                <w:lang w:val="en-US"/>
              </w:rPr>
              <w:t xml:space="preserve">Goal 1 – End poverty in all its forms </w:t>
            </w:r>
            <w:proofErr w:type="gramStart"/>
            <w:r w:rsidRPr="003C5C1B">
              <w:rPr>
                <w:rFonts w:asciiTheme="minorHAnsi" w:eastAsiaTheme="minorEastAsia" w:hAnsiTheme="minorHAnsi" w:cstheme="minorHAnsi"/>
                <w:i/>
                <w:iCs/>
                <w:color w:val="000000" w:themeColor="text1"/>
                <w:sz w:val="16"/>
                <w:szCs w:val="16"/>
                <w:lang w:val="en-US"/>
              </w:rPr>
              <w:t>everywhere;</w:t>
            </w:r>
            <w:proofErr w:type="gramEnd"/>
            <w:r w:rsidRPr="003C5C1B">
              <w:rPr>
                <w:rFonts w:asciiTheme="minorHAnsi" w:eastAsiaTheme="minorEastAsia" w:hAnsiTheme="minorHAnsi" w:cstheme="minorHAnsi"/>
                <w:color w:val="000000" w:themeColor="text1"/>
                <w:sz w:val="16"/>
                <w:szCs w:val="16"/>
                <w:lang w:val="en-US"/>
              </w:rPr>
              <w:t xml:space="preserve">  </w:t>
            </w:r>
          </w:p>
          <w:p w14:paraId="5E383969"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i/>
                <w:iCs/>
                <w:color w:val="000000" w:themeColor="text1"/>
                <w:sz w:val="16"/>
                <w:szCs w:val="16"/>
                <w:lang w:val="en-US"/>
              </w:rPr>
              <w:t xml:space="preserve">Goal 5 – Achieve gender equality and empower all women and </w:t>
            </w:r>
            <w:proofErr w:type="gramStart"/>
            <w:r w:rsidRPr="003C5C1B">
              <w:rPr>
                <w:rFonts w:asciiTheme="minorHAnsi" w:eastAsiaTheme="minorEastAsia" w:hAnsiTheme="minorHAnsi" w:cstheme="minorHAnsi"/>
                <w:i/>
                <w:iCs/>
                <w:color w:val="000000" w:themeColor="text1"/>
                <w:sz w:val="16"/>
                <w:szCs w:val="16"/>
                <w:lang w:val="en-US"/>
              </w:rPr>
              <w:t>girls;</w:t>
            </w:r>
            <w:proofErr w:type="gramEnd"/>
            <w:r w:rsidRPr="003C5C1B">
              <w:rPr>
                <w:rFonts w:asciiTheme="minorHAnsi" w:eastAsiaTheme="minorEastAsia" w:hAnsiTheme="minorHAnsi" w:cstheme="minorHAnsi"/>
                <w:color w:val="000000" w:themeColor="text1"/>
                <w:sz w:val="16"/>
                <w:szCs w:val="16"/>
                <w:lang w:val="en-US"/>
              </w:rPr>
              <w:t xml:space="preserve">  </w:t>
            </w:r>
          </w:p>
          <w:p w14:paraId="2DFF53FA"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i/>
                <w:iCs/>
                <w:color w:val="000000" w:themeColor="text1"/>
                <w:sz w:val="16"/>
                <w:szCs w:val="16"/>
                <w:lang w:val="en-US"/>
              </w:rPr>
              <w:t xml:space="preserve">Goal 9 - Build resilient infrastructure, promote inclusive and sustainable industrialization, and foster </w:t>
            </w:r>
            <w:proofErr w:type="gramStart"/>
            <w:r w:rsidRPr="003C5C1B">
              <w:rPr>
                <w:rFonts w:asciiTheme="minorHAnsi" w:eastAsiaTheme="minorEastAsia" w:hAnsiTheme="minorHAnsi" w:cstheme="minorHAnsi"/>
                <w:i/>
                <w:iCs/>
                <w:color w:val="000000" w:themeColor="text1"/>
                <w:sz w:val="16"/>
                <w:szCs w:val="16"/>
                <w:lang w:val="en-US"/>
              </w:rPr>
              <w:t>innovation;</w:t>
            </w:r>
            <w:proofErr w:type="gramEnd"/>
            <w:r w:rsidRPr="003C5C1B">
              <w:rPr>
                <w:rFonts w:asciiTheme="minorHAnsi" w:eastAsiaTheme="minorEastAsia" w:hAnsiTheme="minorHAnsi" w:cstheme="minorHAnsi"/>
                <w:i/>
                <w:iCs/>
                <w:color w:val="000000" w:themeColor="text1"/>
                <w:sz w:val="16"/>
                <w:szCs w:val="16"/>
                <w:lang w:val="en-US"/>
              </w:rPr>
              <w:t> </w:t>
            </w:r>
            <w:r w:rsidRPr="003C5C1B">
              <w:rPr>
                <w:rFonts w:asciiTheme="minorHAnsi" w:eastAsiaTheme="minorEastAsia" w:hAnsiTheme="minorHAnsi" w:cstheme="minorHAnsi"/>
                <w:color w:val="000000" w:themeColor="text1"/>
                <w:sz w:val="16"/>
                <w:szCs w:val="16"/>
                <w:lang w:val="en-US"/>
              </w:rPr>
              <w:t xml:space="preserve">  </w:t>
            </w:r>
          </w:p>
          <w:p w14:paraId="374567B3"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i/>
                <w:iCs/>
                <w:color w:val="000000" w:themeColor="text1"/>
                <w:sz w:val="16"/>
                <w:szCs w:val="16"/>
                <w:lang w:val="en-US"/>
              </w:rPr>
              <w:t xml:space="preserve">Goal 10 - Reduce inequality within and among </w:t>
            </w:r>
            <w:proofErr w:type="gramStart"/>
            <w:r w:rsidRPr="003C5C1B">
              <w:rPr>
                <w:rFonts w:asciiTheme="minorHAnsi" w:eastAsiaTheme="minorEastAsia" w:hAnsiTheme="minorHAnsi" w:cstheme="minorHAnsi"/>
                <w:i/>
                <w:iCs/>
                <w:color w:val="000000" w:themeColor="text1"/>
                <w:sz w:val="16"/>
                <w:szCs w:val="16"/>
                <w:lang w:val="en-US"/>
              </w:rPr>
              <w:t>countries;</w:t>
            </w:r>
            <w:proofErr w:type="gramEnd"/>
            <w:r w:rsidRPr="003C5C1B">
              <w:rPr>
                <w:rFonts w:asciiTheme="minorHAnsi" w:eastAsiaTheme="minorEastAsia" w:hAnsiTheme="minorHAnsi" w:cstheme="minorHAnsi"/>
                <w:i/>
                <w:iCs/>
                <w:color w:val="000000" w:themeColor="text1"/>
                <w:sz w:val="16"/>
                <w:szCs w:val="16"/>
                <w:lang w:val="en-US"/>
              </w:rPr>
              <w:t> </w:t>
            </w:r>
            <w:r w:rsidRPr="003C5C1B">
              <w:rPr>
                <w:rFonts w:asciiTheme="minorHAnsi" w:eastAsiaTheme="minorEastAsia" w:hAnsiTheme="minorHAnsi" w:cstheme="minorHAnsi"/>
                <w:color w:val="000000" w:themeColor="text1"/>
                <w:sz w:val="16"/>
                <w:szCs w:val="16"/>
                <w:lang w:val="en-US"/>
              </w:rPr>
              <w:t xml:space="preserve">  </w:t>
            </w:r>
          </w:p>
          <w:p w14:paraId="7CA81B9C"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i/>
                <w:iCs/>
                <w:color w:val="000000" w:themeColor="text1"/>
                <w:sz w:val="16"/>
                <w:szCs w:val="16"/>
                <w:lang w:val="en-US"/>
              </w:rPr>
              <w:t xml:space="preserve">Goal 11 - Make cities and human settlements inclusive, safe, resilient, and </w:t>
            </w:r>
            <w:proofErr w:type="gramStart"/>
            <w:r w:rsidRPr="003C5C1B">
              <w:rPr>
                <w:rFonts w:asciiTheme="minorHAnsi" w:eastAsiaTheme="minorEastAsia" w:hAnsiTheme="minorHAnsi" w:cstheme="minorHAnsi"/>
                <w:i/>
                <w:iCs/>
                <w:color w:val="000000" w:themeColor="text1"/>
                <w:sz w:val="16"/>
                <w:szCs w:val="16"/>
                <w:lang w:val="en-US"/>
              </w:rPr>
              <w:t>sustainable;</w:t>
            </w:r>
            <w:proofErr w:type="gramEnd"/>
            <w:r w:rsidRPr="003C5C1B">
              <w:rPr>
                <w:rFonts w:asciiTheme="minorHAnsi" w:eastAsiaTheme="minorEastAsia" w:hAnsiTheme="minorHAnsi" w:cstheme="minorHAnsi"/>
                <w:i/>
                <w:iCs/>
                <w:color w:val="000000" w:themeColor="text1"/>
                <w:sz w:val="16"/>
                <w:szCs w:val="16"/>
                <w:lang w:val="en-US"/>
              </w:rPr>
              <w:t> </w:t>
            </w:r>
            <w:r w:rsidRPr="003C5C1B">
              <w:rPr>
                <w:rFonts w:asciiTheme="minorHAnsi" w:eastAsiaTheme="minorEastAsia" w:hAnsiTheme="minorHAnsi" w:cstheme="minorHAnsi"/>
                <w:color w:val="000000" w:themeColor="text1"/>
                <w:sz w:val="16"/>
                <w:szCs w:val="16"/>
                <w:lang w:val="en-US"/>
              </w:rPr>
              <w:t xml:space="preserve">  </w:t>
            </w:r>
          </w:p>
          <w:p w14:paraId="58382ADA"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Goal 12- Responsible consumption and production </w:t>
            </w:r>
          </w:p>
          <w:p w14:paraId="7DD0DEB5"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i/>
                <w:iCs/>
                <w:color w:val="000000" w:themeColor="text1"/>
                <w:sz w:val="16"/>
                <w:szCs w:val="16"/>
                <w:lang w:val="en-US"/>
              </w:rPr>
              <w:t xml:space="preserve">Goal 13 – Take urgent action to combat climate change and its </w:t>
            </w:r>
            <w:proofErr w:type="gramStart"/>
            <w:r w:rsidRPr="003C5C1B">
              <w:rPr>
                <w:rFonts w:asciiTheme="minorHAnsi" w:eastAsiaTheme="minorEastAsia" w:hAnsiTheme="minorHAnsi" w:cstheme="minorHAnsi"/>
                <w:i/>
                <w:iCs/>
                <w:color w:val="000000" w:themeColor="text1"/>
                <w:sz w:val="16"/>
                <w:szCs w:val="16"/>
                <w:lang w:val="en-US"/>
              </w:rPr>
              <w:t>impacts;</w:t>
            </w:r>
            <w:proofErr w:type="gramEnd"/>
            <w:r w:rsidRPr="003C5C1B">
              <w:rPr>
                <w:rFonts w:asciiTheme="minorHAnsi" w:eastAsiaTheme="minorEastAsia" w:hAnsiTheme="minorHAnsi" w:cstheme="minorHAnsi"/>
                <w:color w:val="000000" w:themeColor="text1"/>
                <w:sz w:val="16"/>
                <w:szCs w:val="16"/>
                <w:lang w:val="en-US"/>
              </w:rPr>
              <w:t xml:space="preserve">  </w:t>
            </w:r>
          </w:p>
          <w:p w14:paraId="50FCCD13"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i/>
                <w:iCs/>
                <w:color w:val="000000" w:themeColor="text1"/>
                <w:sz w:val="16"/>
                <w:szCs w:val="16"/>
                <w:lang w:val="en-US"/>
              </w:rPr>
              <w:t>Goal 15 – Protect, restore and promote sustainable use of terrestrial ecosystems, sustainably manage forests, combat desertification, and halt and reverse land degradation and halt biodiversity loss.</w:t>
            </w:r>
            <w:r w:rsidRPr="003C5C1B">
              <w:rPr>
                <w:rFonts w:asciiTheme="minorHAnsi" w:eastAsiaTheme="minorEastAsia" w:hAnsiTheme="minorHAnsi" w:cstheme="minorHAnsi"/>
                <w:color w:val="000000" w:themeColor="text1"/>
                <w:sz w:val="16"/>
                <w:szCs w:val="16"/>
                <w:lang w:val="en-US"/>
              </w:rPr>
              <w:t xml:space="preserve">  </w:t>
            </w:r>
          </w:p>
        </w:tc>
      </w:tr>
      <w:tr w:rsidR="00A15021" w:rsidRPr="00F50786" w14:paraId="0B8A01B7" w14:textId="77777777" w:rsidTr="2DC80E69">
        <w:trPr>
          <w:trHeight w:val="300"/>
          <w:jc w:val="center"/>
        </w:trPr>
        <w:tc>
          <w:tcPr>
            <w:tcW w:w="14372" w:type="dxa"/>
            <w:gridSpan w:val="12"/>
          </w:tcPr>
          <w:p w14:paraId="7163E697"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 xml:space="preserve">Intended Outcome as stated in the UNSDCF/Country </w:t>
            </w:r>
            <w:proofErr w:type="spellStart"/>
            <w:r w:rsidRPr="003C5C1B">
              <w:rPr>
                <w:rFonts w:asciiTheme="minorHAnsi" w:eastAsiaTheme="minorEastAsia" w:hAnsiTheme="minorHAnsi" w:cstheme="minorHAnsi"/>
                <w:b/>
                <w:bCs/>
                <w:sz w:val="16"/>
                <w:szCs w:val="16"/>
                <w:lang w:val="en-US"/>
              </w:rPr>
              <w:t>Programme</w:t>
            </w:r>
            <w:proofErr w:type="spellEnd"/>
            <w:r w:rsidRPr="003C5C1B">
              <w:rPr>
                <w:rFonts w:asciiTheme="minorHAnsi" w:eastAsiaTheme="minorEastAsia" w:hAnsiTheme="minorHAnsi" w:cstheme="minorHAnsi"/>
                <w:b/>
                <w:bCs/>
                <w:sz w:val="16"/>
                <w:szCs w:val="16"/>
                <w:lang w:val="en-US"/>
              </w:rPr>
              <w:t xml:space="preserve"> Results and Resource Framework:</w:t>
            </w:r>
            <w:r w:rsidRPr="003C5C1B">
              <w:rPr>
                <w:rFonts w:asciiTheme="minorHAnsi" w:eastAsiaTheme="minorEastAsia" w:hAnsiTheme="minorHAnsi" w:cstheme="minorHAnsi"/>
                <w:sz w:val="16"/>
                <w:szCs w:val="16"/>
                <w:lang w:val="en-US"/>
              </w:rPr>
              <w:t xml:space="preserve">  </w:t>
            </w:r>
          </w:p>
          <w:p w14:paraId="2092186F"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lang w:val="en-US"/>
              </w:rPr>
              <w:t>UNSDCF 2020-24: Outcome 2: By 2024, Malians, especially women and youth, reap the benefits of inclusive and sustainable growth in a diversified, job-creating and resilient economy</w:t>
            </w:r>
            <w:r w:rsidRPr="003C5C1B">
              <w:rPr>
                <w:rFonts w:asciiTheme="minorHAnsi" w:eastAsiaTheme="minorEastAsia" w:hAnsiTheme="minorHAnsi" w:cstheme="minorHAnsi"/>
                <w:sz w:val="16"/>
                <w:szCs w:val="16"/>
                <w:lang w:val="en-US"/>
              </w:rPr>
              <w:t xml:space="preserve">  </w:t>
            </w:r>
          </w:p>
          <w:p w14:paraId="1FC00B41"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lang w:val="en-US"/>
              </w:rPr>
              <w:t>SCP 2020-24: Output 2.2: National and local institutions strengthened their capacity to plan, budget, implement, monitor and evaluate policies and strategies for the achievement of the Sustainable Development Goals</w:t>
            </w:r>
            <w:r w:rsidRPr="003C5C1B">
              <w:rPr>
                <w:rFonts w:asciiTheme="minorHAnsi" w:eastAsiaTheme="minorEastAsia" w:hAnsiTheme="minorHAnsi" w:cstheme="minorHAnsi"/>
                <w:sz w:val="16"/>
                <w:szCs w:val="16"/>
                <w:lang w:val="en-US"/>
              </w:rPr>
              <w:t xml:space="preserve">  </w:t>
            </w:r>
          </w:p>
          <w:p w14:paraId="257C878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lang w:val="en-US"/>
              </w:rPr>
              <w:t>UNSDCF 2020-24: Outcome 3: By 2024, communities manage natural resources and the environment in a sustainable and equitable manner, and are more resilient to the adverse impacts of climate change</w:t>
            </w:r>
            <w:r w:rsidRPr="003C5C1B">
              <w:rPr>
                <w:rFonts w:asciiTheme="minorHAnsi" w:eastAsiaTheme="minorEastAsia" w:hAnsiTheme="minorHAnsi" w:cstheme="minorHAnsi"/>
                <w:sz w:val="16"/>
                <w:szCs w:val="16"/>
                <w:lang w:val="en-US"/>
              </w:rPr>
              <w:t xml:space="preserve">  </w:t>
            </w:r>
          </w:p>
          <w:p w14:paraId="3568AB8D"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lang w:val="en-US"/>
              </w:rPr>
              <w:t>Output 3.3: Solutions are adopted to achieve universal access to clean, affordable and sustainable energy, and generate income for women and youth through innovative technologies and financing</w:t>
            </w:r>
            <w:r w:rsidRPr="003C5C1B">
              <w:rPr>
                <w:rFonts w:asciiTheme="minorHAnsi" w:eastAsiaTheme="minorEastAsia" w:hAnsiTheme="minorHAnsi" w:cstheme="minorHAnsi"/>
                <w:sz w:val="16"/>
                <w:szCs w:val="16"/>
                <w:lang w:val="en-US"/>
              </w:rPr>
              <w:t xml:space="preserve">  </w:t>
            </w:r>
          </w:p>
        </w:tc>
      </w:tr>
      <w:tr w:rsidR="00A15021" w:rsidRPr="00F50786" w14:paraId="7C5E9AD5" w14:textId="77777777" w:rsidTr="2DC80E69">
        <w:trPr>
          <w:trHeight w:val="300"/>
          <w:jc w:val="center"/>
        </w:trPr>
        <w:tc>
          <w:tcPr>
            <w:tcW w:w="14372" w:type="dxa"/>
            <w:gridSpan w:val="12"/>
          </w:tcPr>
          <w:p w14:paraId="48707384"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Applicable Output(s) from the UNDP Strategic Plan:</w:t>
            </w:r>
            <w:r w:rsidRPr="003C5C1B">
              <w:rPr>
                <w:rFonts w:asciiTheme="minorHAnsi" w:eastAsiaTheme="minorEastAsia" w:hAnsiTheme="minorHAnsi" w:cstheme="minorHAnsi"/>
                <w:sz w:val="16"/>
                <w:szCs w:val="16"/>
                <w:lang w:val="en-US"/>
              </w:rPr>
              <w:t xml:space="preserve">  </w:t>
            </w:r>
          </w:p>
          <w:p w14:paraId="1D0C64F9"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lang w:val="en-US"/>
              </w:rPr>
              <w:t>SP IRRF Outputs:</w:t>
            </w:r>
            <w:r w:rsidRPr="003C5C1B">
              <w:rPr>
                <w:rFonts w:asciiTheme="minorHAnsi" w:eastAsiaTheme="minorEastAsia" w:hAnsiTheme="minorHAnsi" w:cstheme="minorHAnsi"/>
                <w:sz w:val="16"/>
                <w:szCs w:val="16"/>
                <w:lang w:val="en-US"/>
              </w:rPr>
              <w:t xml:space="preserve"> 4.1 Natural resources protected and managed to enhance sustainable productivity and livelihoods  </w:t>
            </w:r>
          </w:p>
          <w:p w14:paraId="7F8A6C0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4.2 Public and private investment mechanisms mobilized for biodiversity, water, oceans, and climate solutions </w:t>
            </w:r>
          </w:p>
        </w:tc>
      </w:tr>
      <w:tr w:rsidR="00A15021" w:rsidRPr="00F50786" w14:paraId="13F86C5D" w14:textId="77777777" w:rsidTr="2DC80E69">
        <w:trPr>
          <w:trHeight w:val="300"/>
          <w:jc w:val="center"/>
        </w:trPr>
        <w:tc>
          <w:tcPr>
            <w:tcW w:w="14372" w:type="dxa"/>
            <w:gridSpan w:val="12"/>
          </w:tcPr>
          <w:p w14:paraId="0B30E4DF" w14:textId="77777777" w:rsidR="00697F07" w:rsidRDefault="00A15021" w:rsidP="00697F07">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lastRenderedPageBreak/>
              <w:t>Project title and Quantum Project Number:</w:t>
            </w:r>
            <w:r w:rsidRPr="003C5C1B">
              <w:rPr>
                <w:rFonts w:asciiTheme="minorHAnsi" w:eastAsiaTheme="minorEastAsia" w:hAnsiTheme="minorHAnsi" w:cstheme="minorHAnsi"/>
                <w:sz w:val="16"/>
                <w:szCs w:val="16"/>
                <w:lang w:val="en-US"/>
              </w:rPr>
              <w:t xml:space="preserve">  </w:t>
            </w:r>
          </w:p>
          <w:p w14:paraId="0A7A616E" w14:textId="35419163" w:rsidR="00A15021" w:rsidRPr="003C5C1B" w:rsidRDefault="004B756D" w:rsidP="00697F07">
            <w:pPr>
              <w:spacing w:line="257" w:lineRule="auto"/>
              <w:rPr>
                <w:rFonts w:asciiTheme="minorHAnsi" w:eastAsiaTheme="minorEastAsia" w:hAnsiTheme="minorHAnsi" w:cstheme="minorHAnsi"/>
                <w:sz w:val="16"/>
                <w:szCs w:val="16"/>
                <w:lang w:val="en-US"/>
              </w:rPr>
            </w:pPr>
            <w:r>
              <w:rPr>
                <w:sz w:val="18"/>
                <w:szCs w:val="18"/>
                <w:highlight w:val="yellow"/>
                <w:lang w:val="en-US"/>
              </w:rPr>
              <w:t>Inte</w:t>
            </w:r>
            <w:r w:rsidR="00697F07" w:rsidRPr="00CD72B6">
              <w:rPr>
                <w:sz w:val="18"/>
                <w:szCs w:val="18"/>
                <w:highlight w:val="yellow"/>
                <w:lang w:val="en-US"/>
              </w:rPr>
              <w:t>grated urban development Project (IUDP) in Bamako</w:t>
            </w:r>
            <w:r w:rsidR="00697F07" w:rsidRPr="00697F07">
              <w:rPr>
                <w:rFonts w:asciiTheme="minorHAnsi" w:eastAsiaTheme="minorEastAsia" w:hAnsiTheme="minorHAnsi" w:cstheme="minorHAnsi"/>
                <w:sz w:val="16"/>
                <w:szCs w:val="16"/>
                <w:lang w:val="en-US"/>
              </w:rPr>
              <w:t xml:space="preserve"> </w:t>
            </w:r>
            <w:r w:rsidR="00A15021" w:rsidRPr="003C5C1B">
              <w:rPr>
                <w:rFonts w:asciiTheme="minorHAnsi" w:eastAsiaTheme="minorEastAsia" w:hAnsiTheme="minorHAnsi" w:cstheme="minorHAnsi"/>
                <w:sz w:val="16"/>
                <w:szCs w:val="16"/>
                <w:lang w:val="en-US"/>
              </w:rPr>
              <w:t>(#</w:t>
            </w:r>
            <w:r w:rsidR="00306657" w:rsidRPr="003C5C1B">
              <w:rPr>
                <w:sz w:val="18"/>
                <w:szCs w:val="18"/>
                <w:highlight w:val="yellow"/>
                <w:lang w:val="en-US"/>
              </w:rPr>
              <w:t>01004564</w:t>
            </w:r>
            <w:r w:rsidR="00A15021" w:rsidRPr="003C5C1B">
              <w:rPr>
                <w:rFonts w:asciiTheme="minorHAnsi" w:eastAsiaTheme="minorEastAsia" w:hAnsiTheme="minorHAnsi" w:cstheme="minorHAnsi"/>
                <w:sz w:val="16"/>
                <w:szCs w:val="16"/>
                <w:lang w:val="en-US"/>
              </w:rPr>
              <w:t xml:space="preserve">)  </w:t>
            </w:r>
          </w:p>
        </w:tc>
      </w:tr>
      <w:tr w:rsidR="00A15021" w:rsidRPr="00045243" w14:paraId="46BD9A21" w14:textId="77777777" w:rsidTr="2DC80E69">
        <w:trPr>
          <w:trHeight w:val="300"/>
          <w:jc w:val="center"/>
        </w:trPr>
        <w:tc>
          <w:tcPr>
            <w:tcW w:w="1932" w:type="dxa"/>
            <w:gridSpan w:val="2"/>
            <w:shd w:val="clear" w:color="auto" w:fill="D9D9D9" w:themeFill="background1" w:themeFillShade="D9"/>
          </w:tcPr>
          <w:p w14:paraId="3C61F67D"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lang w:val="en-US"/>
              </w:rPr>
              <w:t>Objective and Outcome Indicators</w:t>
            </w:r>
            <w:r w:rsidRPr="003C5C1B">
              <w:rPr>
                <w:rFonts w:asciiTheme="minorHAnsi" w:eastAsiaTheme="minorEastAsia" w:hAnsiTheme="minorHAnsi" w:cstheme="minorHAnsi"/>
                <w:color w:val="000000" w:themeColor="text1"/>
                <w:sz w:val="16"/>
                <w:szCs w:val="16"/>
                <w:lang w:val="en-US"/>
              </w:rPr>
              <w:t xml:space="preserve">  </w:t>
            </w:r>
          </w:p>
          <w:p w14:paraId="1539F6EC"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lang w:val="en-US"/>
              </w:rPr>
              <w:t>(no more than a total of 20 indicators)</w:t>
            </w:r>
            <w:r w:rsidRPr="003C5C1B">
              <w:rPr>
                <w:rFonts w:asciiTheme="minorHAnsi" w:eastAsiaTheme="minorEastAsia" w:hAnsiTheme="minorHAnsi" w:cstheme="minorHAnsi"/>
                <w:color w:val="000000" w:themeColor="text1"/>
                <w:sz w:val="16"/>
                <w:szCs w:val="16"/>
                <w:lang w:val="en-US"/>
              </w:rPr>
              <w:t xml:space="preserve">  </w:t>
            </w:r>
          </w:p>
        </w:tc>
        <w:tc>
          <w:tcPr>
            <w:tcW w:w="2027" w:type="dxa"/>
            <w:gridSpan w:val="2"/>
            <w:shd w:val="clear" w:color="auto" w:fill="D9D9D9" w:themeFill="background1" w:themeFillShade="D9"/>
          </w:tcPr>
          <w:p w14:paraId="6BC28995"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b/>
                <w:bCs/>
                <w:color w:val="000000" w:themeColor="text1"/>
                <w:sz w:val="16"/>
                <w:szCs w:val="16"/>
              </w:rPr>
              <w:t>Data Source</w:t>
            </w:r>
            <w:r w:rsidRPr="00045243">
              <w:rPr>
                <w:rFonts w:asciiTheme="minorHAnsi" w:eastAsiaTheme="minorEastAsia" w:hAnsiTheme="minorHAnsi" w:cstheme="minorHAnsi"/>
                <w:color w:val="000000" w:themeColor="text1"/>
                <w:sz w:val="16"/>
                <w:szCs w:val="16"/>
              </w:rPr>
              <w:t xml:space="preserve">  </w:t>
            </w:r>
          </w:p>
          <w:p w14:paraId="21250EC5"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color w:val="000000" w:themeColor="text1"/>
                <w:sz w:val="16"/>
                <w:szCs w:val="16"/>
              </w:rPr>
              <w:t xml:space="preserve">  </w:t>
            </w:r>
          </w:p>
        </w:tc>
        <w:tc>
          <w:tcPr>
            <w:tcW w:w="1670" w:type="dxa"/>
            <w:gridSpan w:val="2"/>
            <w:shd w:val="clear" w:color="auto" w:fill="D9D9D9" w:themeFill="background1" w:themeFillShade="D9"/>
          </w:tcPr>
          <w:p w14:paraId="25B455F0"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b/>
                <w:bCs/>
                <w:color w:val="000000" w:themeColor="text1"/>
                <w:sz w:val="16"/>
                <w:szCs w:val="16"/>
              </w:rPr>
              <w:t>Baseline</w:t>
            </w:r>
            <w:r w:rsidRPr="00045243">
              <w:rPr>
                <w:rFonts w:asciiTheme="minorHAnsi" w:eastAsiaTheme="minorEastAsia" w:hAnsiTheme="minorHAnsi" w:cstheme="minorHAnsi"/>
                <w:color w:val="000000" w:themeColor="text1"/>
                <w:sz w:val="16"/>
                <w:szCs w:val="16"/>
              </w:rPr>
              <w:t xml:space="preserve">  </w:t>
            </w:r>
          </w:p>
          <w:p w14:paraId="12519EC6"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color w:val="000000" w:themeColor="text1"/>
                <w:sz w:val="16"/>
                <w:szCs w:val="16"/>
              </w:rPr>
              <w:t xml:space="preserve">  </w:t>
            </w:r>
          </w:p>
        </w:tc>
        <w:tc>
          <w:tcPr>
            <w:tcW w:w="1220" w:type="dxa"/>
            <w:gridSpan w:val="2"/>
            <w:shd w:val="clear" w:color="auto" w:fill="D9D9D9" w:themeFill="background1" w:themeFillShade="D9"/>
          </w:tcPr>
          <w:p w14:paraId="6044C973"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proofErr w:type="spellStart"/>
            <w:r w:rsidRPr="00045243">
              <w:rPr>
                <w:rFonts w:asciiTheme="minorHAnsi" w:eastAsiaTheme="minorEastAsia" w:hAnsiTheme="minorHAnsi" w:cstheme="minorHAnsi"/>
                <w:b/>
                <w:bCs/>
                <w:color w:val="000000" w:themeColor="text1"/>
                <w:sz w:val="16"/>
                <w:szCs w:val="16"/>
              </w:rPr>
              <w:t>Mid-term</w:t>
            </w:r>
            <w:proofErr w:type="spellEnd"/>
            <w:r w:rsidRPr="00045243">
              <w:rPr>
                <w:rFonts w:asciiTheme="minorHAnsi" w:eastAsiaTheme="minorEastAsia" w:hAnsiTheme="minorHAnsi" w:cstheme="minorHAnsi"/>
                <w:b/>
                <w:bCs/>
                <w:color w:val="000000" w:themeColor="text1"/>
                <w:sz w:val="16"/>
                <w:szCs w:val="16"/>
              </w:rPr>
              <w:t xml:space="preserve"> Target</w:t>
            </w:r>
            <w:r w:rsidRPr="00045243">
              <w:rPr>
                <w:rFonts w:asciiTheme="minorHAnsi" w:eastAsiaTheme="minorEastAsia" w:hAnsiTheme="minorHAnsi" w:cstheme="minorHAnsi"/>
                <w:color w:val="000000" w:themeColor="text1"/>
                <w:sz w:val="16"/>
                <w:szCs w:val="16"/>
              </w:rPr>
              <w:t xml:space="preserve">  </w:t>
            </w:r>
          </w:p>
          <w:p w14:paraId="49F13178"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color w:val="000000" w:themeColor="text1"/>
                <w:sz w:val="16"/>
                <w:szCs w:val="16"/>
              </w:rPr>
              <w:t xml:space="preserve">  </w:t>
            </w:r>
          </w:p>
        </w:tc>
        <w:tc>
          <w:tcPr>
            <w:tcW w:w="1463" w:type="dxa"/>
            <w:shd w:val="clear" w:color="auto" w:fill="D9D9D9" w:themeFill="background1" w:themeFillShade="D9"/>
          </w:tcPr>
          <w:p w14:paraId="4503A9A0"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b/>
                <w:bCs/>
                <w:color w:val="000000" w:themeColor="text1"/>
                <w:sz w:val="16"/>
                <w:szCs w:val="16"/>
              </w:rPr>
              <w:t>End of Project Target</w:t>
            </w:r>
            <w:r w:rsidRPr="00045243">
              <w:rPr>
                <w:rFonts w:asciiTheme="minorHAnsi" w:eastAsiaTheme="minorEastAsia" w:hAnsiTheme="minorHAnsi" w:cstheme="minorHAnsi"/>
                <w:color w:val="000000" w:themeColor="text1"/>
                <w:sz w:val="16"/>
                <w:szCs w:val="16"/>
              </w:rPr>
              <w:t xml:space="preserve">  </w:t>
            </w:r>
          </w:p>
          <w:p w14:paraId="388F4195"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color w:val="000000" w:themeColor="text1"/>
                <w:sz w:val="16"/>
                <w:szCs w:val="16"/>
              </w:rPr>
              <w:t xml:space="preserve">  </w:t>
            </w:r>
          </w:p>
        </w:tc>
        <w:tc>
          <w:tcPr>
            <w:tcW w:w="2195" w:type="dxa"/>
            <w:shd w:val="clear" w:color="auto" w:fill="D9D9D9" w:themeFill="background1" w:themeFillShade="D9"/>
          </w:tcPr>
          <w:p w14:paraId="6AD3BE87"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b/>
                <w:bCs/>
                <w:color w:val="000000" w:themeColor="text1"/>
                <w:sz w:val="16"/>
                <w:szCs w:val="16"/>
              </w:rPr>
              <w:t>Data Collection Methods</w:t>
            </w:r>
            <w:r w:rsidRPr="00045243">
              <w:rPr>
                <w:rFonts w:asciiTheme="minorHAnsi" w:eastAsiaTheme="minorEastAsia" w:hAnsiTheme="minorHAnsi" w:cstheme="minorHAnsi"/>
                <w:b/>
                <w:bCs/>
                <w:color w:val="000000" w:themeColor="text1"/>
                <w:sz w:val="16"/>
                <w:szCs w:val="16"/>
                <w:vertAlign w:val="superscript"/>
              </w:rPr>
              <w:t>25</w:t>
            </w:r>
            <w:r w:rsidRPr="00045243">
              <w:rPr>
                <w:rFonts w:asciiTheme="minorHAnsi" w:eastAsiaTheme="minorEastAsia" w:hAnsiTheme="minorHAnsi" w:cstheme="minorHAnsi"/>
                <w:color w:val="000000" w:themeColor="text1"/>
                <w:sz w:val="16"/>
                <w:szCs w:val="16"/>
              </w:rPr>
              <w:t xml:space="preserve">  </w:t>
            </w:r>
          </w:p>
          <w:p w14:paraId="5841333C"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color w:val="000000" w:themeColor="text1"/>
                <w:sz w:val="16"/>
                <w:szCs w:val="16"/>
              </w:rPr>
              <w:t xml:space="preserve">  </w:t>
            </w:r>
          </w:p>
        </w:tc>
        <w:tc>
          <w:tcPr>
            <w:tcW w:w="2062" w:type="dxa"/>
            <w:shd w:val="clear" w:color="auto" w:fill="D9D9D9" w:themeFill="background1" w:themeFillShade="D9"/>
          </w:tcPr>
          <w:p w14:paraId="585757BE"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b/>
                <w:bCs/>
                <w:color w:val="000000" w:themeColor="text1"/>
                <w:sz w:val="16"/>
                <w:szCs w:val="16"/>
              </w:rPr>
              <w:t>Risks/Assumptions</w:t>
            </w:r>
            <w:r w:rsidRPr="00045243">
              <w:rPr>
                <w:rFonts w:asciiTheme="minorHAnsi" w:eastAsiaTheme="minorEastAsia" w:hAnsiTheme="minorHAnsi" w:cstheme="minorHAnsi"/>
                <w:color w:val="000000" w:themeColor="text1"/>
                <w:sz w:val="16"/>
                <w:szCs w:val="16"/>
              </w:rPr>
              <w:t xml:space="preserve">  </w:t>
            </w:r>
          </w:p>
          <w:p w14:paraId="29CDF0C9"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color w:val="000000" w:themeColor="text1"/>
                <w:sz w:val="16"/>
                <w:szCs w:val="16"/>
              </w:rPr>
              <w:t xml:space="preserve">  </w:t>
            </w:r>
          </w:p>
        </w:tc>
        <w:tc>
          <w:tcPr>
            <w:tcW w:w="1803" w:type="dxa"/>
            <w:shd w:val="clear" w:color="auto" w:fill="D9D9D9" w:themeFill="background1" w:themeFillShade="D9"/>
          </w:tcPr>
          <w:p w14:paraId="5C9B23E9" w14:textId="77777777" w:rsidR="00A15021" w:rsidRPr="00045243" w:rsidRDefault="00A15021">
            <w:pPr>
              <w:spacing w:line="257" w:lineRule="auto"/>
              <w:rPr>
                <w:rFonts w:asciiTheme="minorHAnsi" w:eastAsiaTheme="minorEastAsia" w:hAnsiTheme="minorHAnsi" w:cstheme="minorHAnsi"/>
                <w:b/>
                <w:bCs/>
                <w:color w:val="000000" w:themeColor="text1"/>
                <w:sz w:val="16"/>
                <w:szCs w:val="16"/>
              </w:rPr>
            </w:pPr>
            <w:r w:rsidRPr="00045243">
              <w:rPr>
                <w:rFonts w:asciiTheme="minorHAnsi" w:eastAsiaTheme="minorEastAsia" w:hAnsiTheme="minorHAnsi" w:cstheme="minorHAnsi"/>
                <w:b/>
                <w:bCs/>
                <w:color w:val="000000" w:themeColor="text1"/>
                <w:sz w:val="16"/>
                <w:szCs w:val="16"/>
                <w:highlight w:val="yellow"/>
              </w:rPr>
              <w:t xml:space="preserve">GPSICP relevant </w:t>
            </w:r>
            <w:proofErr w:type="spellStart"/>
            <w:r w:rsidRPr="00045243">
              <w:rPr>
                <w:rFonts w:asciiTheme="minorHAnsi" w:eastAsiaTheme="minorEastAsia" w:hAnsiTheme="minorHAnsi" w:cstheme="minorHAnsi"/>
                <w:b/>
                <w:bCs/>
                <w:color w:val="000000" w:themeColor="text1"/>
                <w:sz w:val="16"/>
                <w:szCs w:val="16"/>
                <w:highlight w:val="yellow"/>
              </w:rPr>
              <w:t>Indicators</w:t>
            </w:r>
            <w:proofErr w:type="spellEnd"/>
            <w:r w:rsidRPr="00045243">
              <w:rPr>
                <w:rFonts w:asciiTheme="minorHAnsi" w:eastAsiaTheme="minorEastAsia" w:hAnsiTheme="minorHAnsi" w:cstheme="minorHAnsi"/>
                <w:b/>
                <w:bCs/>
                <w:color w:val="000000" w:themeColor="text1"/>
                <w:sz w:val="16"/>
                <w:szCs w:val="16"/>
              </w:rPr>
              <w:t xml:space="preserve"> </w:t>
            </w:r>
          </w:p>
        </w:tc>
      </w:tr>
      <w:tr w:rsidR="00A15021" w:rsidRPr="00F50786" w14:paraId="73AC1AD1" w14:textId="77777777" w:rsidTr="2DC80E69">
        <w:trPr>
          <w:trHeight w:val="300"/>
          <w:jc w:val="center"/>
        </w:trPr>
        <w:tc>
          <w:tcPr>
            <w:tcW w:w="747" w:type="dxa"/>
            <w:vMerge w:val="restart"/>
            <w:shd w:val="clear" w:color="auto" w:fill="D9D9D9" w:themeFill="background1" w:themeFillShade="D9"/>
          </w:tcPr>
          <w:p w14:paraId="72CEC0D2"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b/>
                <w:bCs/>
                <w:color w:val="000000" w:themeColor="text1"/>
                <w:sz w:val="16"/>
                <w:szCs w:val="16"/>
              </w:rPr>
              <w:t>Project Objective</w:t>
            </w:r>
            <w:r w:rsidRPr="00045243">
              <w:rPr>
                <w:rFonts w:asciiTheme="minorHAnsi" w:eastAsiaTheme="minorEastAsia" w:hAnsiTheme="minorHAnsi" w:cstheme="minorHAnsi"/>
                <w:color w:val="000000" w:themeColor="text1"/>
                <w:sz w:val="16"/>
                <w:szCs w:val="16"/>
              </w:rPr>
              <w:t xml:space="preserve">  </w:t>
            </w:r>
          </w:p>
          <w:p w14:paraId="00C83A85"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color w:val="000000" w:themeColor="text1"/>
                <w:sz w:val="16"/>
                <w:szCs w:val="16"/>
              </w:rPr>
              <w:t xml:space="preserve">  </w:t>
            </w:r>
          </w:p>
        </w:tc>
        <w:tc>
          <w:tcPr>
            <w:tcW w:w="11822" w:type="dxa"/>
            <w:gridSpan w:val="10"/>
          </w:tcPr>
          <w:p w14:paraId="1C79A81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highlight w:val="yellow"/>
                <w:lang w:val="en-US"/>
              </w:rPr>
              <w:t>Contribute to the transformation of Bamako's urban development model into one that is sustainable, resilient, low-carbon, and inclusive</w:t>
            </w:r>
            <w:r w:rsidRPr="003C5C1B">
              <w:rPr>
                <w:rFonts w:asciiTheme="minorHAnsi" w:eastAsiaTheme="minorEastAsia" w:hAnsiTheme="minorHAnsi" w:cstheme="minorHAnsi"/>
                <w:i/>
                <w:iCs/>
                <w:sz w:val="16"/>
                <w:szCs w:val="16"/>
                <w:lang w:val="en-US"/>
              </w:rPr>
              <w:t xml:space="preserve">  </w:t>
            </w:r>
            <w:r w:rsidRPr="003C5C1B">
              <w:rPr>
                <w:rFonts w:asciiTheme="minorHAnsi" w:eastAsiaTheme="minorEastAsia" w:hAnsiTheme="minorHAnsi" w:cstheme="minorHAnsi"/>
                <w:sz w:val="16"/>
                <w:szCs w:val="16"/>
                <w:lang w:val="en-US"/>
              </w:rPr>
              <w:t xml:space="preserve">  </w:t>
            </w:r>
          </w:p>
        </w:tc>
        <w:tc>
          <w:tcPr>
            <w:tcW w:w="1803" w:type="dxa"/>
          </w:tcPr>
          <w:p w14:paraId="0232D899" w14:textId="77777777" w:rsidR="00A15021" w:rsidRPr="003C5C1B" w:rsidRDefault="00A15021">
            <w:pPr>
              <w:spacing w:line="257" w:lineRule="auto"/>
              <w:rPr>
                <w:rFonts w:asciiTheme="minorHAnsi" w:eastAsiaTheme="minorEastAsia" w:hAnsiTheme="minorHAnsi" w:cstheme="minorHAnsi"/>
                <w:i/>
                <w:iCs/>
                <w:sz w:val="16"/>
                <w:szCs w:val="16"/>
                <w:lang w:val="en-US"/>
              </w:rPr>
            </w:pPr>
          </w:p>
        </w:tc>
      </w:tr>
      <w:tr w:rsidR="00344861" w:rsidRPr="00F50786" w14:paraId="6B3AE038" w14:textId="77777777" w:rsidTr="2DC80E69">
        <w:trPr>
          <w:trHeight w:val="300"/>
          <w:jc w:val="center"/>
        </w:trPr>
        <w:tc>
          <w:tcPr>
            <w:tcW w:w="747" w:type="dxa"/>
            <w:vMerge/>
            <w:vAlign w:val="center"/>
          </w:tcPr>
          <w:p w14:paraId="2C8DB316" w14:textId="77777777" w:rsidR="00A15021" w:rsidRPr="003C5C1B" w:rsidRDefault="00A15021">
            <w:pPr>
              <w:rPr>
                <w:rFonts w:asciiTheme="minorHAnsi" w:hAnsiTheme="minorHAnsi" w:cstheme="minorHAnsi"/>
                <w:sz w:val="16"/>
                <w:szCs w:val="16"/>
                <w:lang w:val="en-US"/>
              </w:rPr>
            </w:pPr>
          </w:p>
        </w:tc>
        <w:tc>
          <w:tcPr>
            <w:tcW w:w="1185" w:type="dxa"/>
          </w:tcPr>
          <w:p w14:paraId="531C1C32"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u w:val="single"/>
                <w:lang w:val="en-US"/>
              </w:rPr>
              <w:t>Mandatory</w:t>
            </w:r>
            <w:r w:rsidRPr="003C5C1B">
              <w:rPr>
                <w:rFonts w:asciiTheme="minorHAnsi" w:eastAsiaTheme="minorEastAsia" w:hAnsiTheme="minorHAnsi" w:cstheme="minorHAnsi"/>
                <w:sz w:val="16"/>
                <w:szCs w:val="16"/>
                <w:u w:val="single"/>
                <w:lang w:val="en-US"/>
              </w:rPr>
              <w:t xml:space="preserve"> Indicator #1:</w:t>
            </w:r>
            <w:r w:rsidRPr="003C5C1B">
              <w:rPr>
                <w:rFonts w:asciiTheme="minorHAnsi" w:eastAsiaTheme="minorEastAsia" w:hAnsiTheme="minorHAnsi" w:cstheme="minorHAnsi"/>
                <w:sz w:val="16"/>
                <w:szCs w:val="16"/>
                <w:lang w:val="en-US"/>
              </w:rPr>
              <w:t xml:space="preserve"> # direct project beneficiaries disaggregated by gender (individual people</w:t>
            </w:r>
            <w:proofErr w:type="gramStart"/>
            <w:r w:rsidRPr="003C5C1B">
              <w:rPr>
                <w:rFonts w:asciiTheme="minorHAnsi" w:eastAsiaTheme="minorEastAsia" w:hAnsiTheme="minorHAnsi" w:cstheme="minorHAnsi"/>
                <w:sz w:val="16"/>
                <w:szCs w:val="16"/>
                <w:lang w:val="en-US"/>
              </w:rPr>
              <w:t>) :</w:t>
            </w:r>
            <w:proofErr w:type="gramEnd"/>
            <w:r w:rsidRPr="003C5C1B">
              <w:rPr>
                <w:rFonts w:asciiTheme="minorHAnsi" w:eastAsiaTheme="minorEastAsia" w:hAnsiTheme="minorHAnsi" w:cstheme="minorHAnsi"/>
                <w:sz w:val="16"/>
                <w:szCs w:val="16"/>
                <w:lang w:val="en-US"/>
              </w:rPr>
              <w:t xml:space="preserve">   </w:t>
            </w:r>
          </w:p>
          <w:p w14:paraId="787295C2"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2027" w:type="dxa"/>
            <w:gridSpan w:val="2"/>
          </w:tcPr>
          <w:p w14:paraId="5EE82D62"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lang w:val="en-US"/>
              </w:rPr>
              <w:t>Project monitoring and evaluation (M&amp;E) reports </w:t>
            </w:r>
            <w:r w:rsidRPr="003C5C1B">
              <w:rPr>
                <w:rFonts w:asciiTheme="minorHAnsi" w:eastAsiaTheme="minorEastAsia" w:hAnsiTheme="minorHAnsi" w:cstheme="minorHAnsi"/>
                <w:sz w:val="16"/>
                <w:szCs w:val="16"/>
                <w:lang w:val="en-US"/>
              </w:rPr>
              <w:t xml:space="preserve">  </w:t>
            </w:r>
          </w:p>
          <w:p w14:paraId="0C21F6D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1670" w:type="dxa"/>
            <w:gridSpan w:val="2"/>
          </w:tcPr>
          <w:p w14:paraId="0E06B78D"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lang w:val="en-US"/>
              </w:rPr>
              <w:t>Zero, since the project has not yet started</w:t>
            </w:r>
            <w:r w:rsidRPr="003C5C1B">
              <w:rPr>
                <w:rFonts w:asciiTheme="minorHAnsi" w:eastAsiaTheme="minorEastAsia" w:hAnsiTheme="minorHAnsi" w:cstheme="minorHAnsi"/>
                <w:sz w:val="16"/>
                <w:szCs w:val="16"/>
                <w:lang w:val="en-US"/>
              </w:rPr>
              <w:t xml:space="preserve">  </w:t>
            </w:r>
          </w:p>
          <w:p w14:paraId="32BC46DC"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1220" w:type="dxa"/>
            <w:gridSpan w:val="2"/>
          </w:tcPr>
          <w:p w14:paraId="7BF726F5"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5000 </w:t>
            </w:r>
            <w:proofErr w:type="spellStart"/>
            <w:r w:rsidRPr="00045243">
              <w:rPr>
                <w:rFonts w:asciiTheme="minorHAnsi" w:eastAsiaTheme="minorEastAsia" w:hAnsiTheme="minorHAnsi" w:cstheme="minorHAnsi"/>
                <w:sz w:val="16"/>
                <w:szCs w:val="16"/>
              </w:rPr>
              <w:t>beneficiaries</w:t>
            </w:r>
            <w:proofErr w:type="spellEnd"/>
            <w:r w:rsidRPr="00045243">
              <w:rPr>
                <w:rFonts w:asciiTheme="minorHAnsi" w:eastAsiaTheme="minorEastAsia" w:hAnsiTheme="minorHAnsi" w:cstheme="minorHAnsi"/>
                <w:sz w:val="16"/>
                <w:szCs w:val="16"/>
              </w:rPr>
              <w:t xml:space="preserve"> </w:t>
            </w:r>
            <w:proofErr w:type="spellStart"/>
            <w:r w:rsidRPr="00045243">
              <w:rPr>
                <w:rFonts w:asciiTheme="minorHAnsi" w:eastAsiaTheme="minorEastAsia" w:hAnsiTheme="minorHAnsi" w:cstheme="minorHAnsi"/>
                <w:sz w:val="16"/>
                <w:szCs w:val="16"/>
              </w:rPr>
              <w:t>among</w:t>
            </w:r>
            <w:proofErr w:type="spellEnd"/>
            <w:r w:rsidRPr="00045243">
              <w:rPr>
                <w:rFonts w:asciiTheme="minorHAnsi" w:eastAsiaTheme="minorEastAsia" w:hAnsiTheme="minorHAnsi" w:cstheme="minorHAnsi"/>
                <w:sz w:val="16"/>
                <w:szCs w:val="16"/>
              </w:rPr>
              <w:t xml:space="preserve"> </w:t>
            </w:r>
            <w:proofErr w:type="spellStart"/>
            <w:r w:rsidRPr="00045243">
              <w:rPr>
                <w:rFonts w:asciiTheme="minorHAnsi" w:eastAsiaTheme="minorEastAsia" w:hAnsiTheme="minorHAnsi" w:cstheme="minorHAnsi"/>
                <w:sz w:val="16"/>
                <w:szCs w:val="16"/>
              </w:rPr>
              <w:t>them</w:t>
            </w:r>
            <w:proofErr w:type="spellEnd"/>
            <w:r w:rsidRPr="00045243">
              <w:rPr>
                <w:rFonts w:asciiTheme="minorHAnsi" w:eastAsiaTheme="minorEastAsia" w:hAnsiTheme="minorHAnsi" w:cstheme="minorHAnsi"/>
                <w:sz w:val="16"/>
                <w:szCs w:val="16"/>
              </w:rPr>
              <w:t xml:space="preserve"> 2000 </w:t>
            </w:r>
            <w:proofErr w:type="spellStart"/>
            <w:r w:rsidRPr="00045243">
              <w:rPr>
                <w:rFonts w:asciiTheme="minorHAnsi" w:eastAsiaTheme="minorEastAsia" w:hAnsiTheme="minorHAnsi" w:cstheme="minorHAnsi"/>
                <w:sz w:val="16"/>
                <w:szCs w:val="16"/>
              </w:rPr>
              <w:t>women</w:t>
            </w:r>
            <w:proofErr w:type="spellEnd"/>
            <w:r w:rsidRPr="00045243">
              <w:rPr>
                <w:rFonts w:asciiTheme="minorHAnsi" w:eastAsiaTheme="minorEastAsia" w:hAnsiTheme="minorHAnsi" w:cstheme="minorHAnsi"/>
                <w:sz w:val="16"/>
                <w:szCs w:val="16"/>
              </w:rPr>
              <w:t xml:space="preserve"> </w:t>
            </w:r>
          </w:p>
        </w:tc>
        <w:tc>
          <w:tcPr>
            <w:tcW w:w="1463" w:type="dxa"/>
          </w:tcPr>
          <w:p w14:paraId="539E7851" w14:textId="0BFAE82B" w:rsidR="00A15021" w:rsidRPr="003C5C1B" w:rsidRDefault="645CB8FC" w:rsidP="2DC80E69">
            <w:pPr>
              <w:spacing w:line="257" w:lineRule="auto"/>
              <w:rPr>
                <w:rFonts w:asciiTheme="minorHAnsi" w:eastAsiaTheme="minorEastAsia" w:hAnsiTheme="minorHAnsi" w:cstheme="minorBidi"/>
                <w:sz w:val="16"/>
                <w:szCs w:val="16"/>
                <w:lang w:val="en-US"/>
              </w:rPr>
            </w:pPr>
            <w:r w:rsidRPr="2DC80E69">
              <w:rPr>
                <w:rFonts w:asciiTheme="minorHAnsi" w:eastAsiaTheme="minorEastAsia" w:hAnsiTheme="minorHAnsi" w:cstheme="minorBidi"/>
                <w:sz w:val="16"/>
                <w:szCs w:val="16"/>
                <w:lang w:val="en-US"/>
              </w:rPr>
              <w:t xml:space="preserve">22,029 direct beneficiaries, </w:t>
            </w:r>
            <w:r w:rsidRPr="2DC80E69">
              <w:rPr>
                <w:rFonts w:asciiTheme="minorHAnsi" w:eastAsiaTheme="minorEastAsia" w:hAnsiTheme="minorHAnsi" w:cstheme="minorBidi"/>
                <w:sz w:val="16"/>
                <w:szCs w:val="16"/>
                <w:highlight w:val="yellow"/>
                <w:lang w:val="en-US"/>
              </w:rPr>
              <w:t>among them7</w:t>
            </w:r>
            <w:r w:rsidR="5DFB9946" w:rsidRPr="2DC80E69">
              <w:rPr>
                <w:rFonts w:asciiTheme="minorHAnsi" w:eastAsiaTheme="minorEastAsia" w:hAnsiTheme="minorHAnsi" w:cstheme="minorBidi"/>
                <w:sz w:val="16"/>
                <w:szCs w:val="16"/>
                <w:highlight w:val="yellow"/>
                <w:lang w:val="en-US"/>
              </w:rPr>
              <w:t>828</w:t>
            </w:r>
            <w:r w:rsidRPr="2DC80E69">
              <w:rPr>
                <w:rFonts w:asciiTheme="minorHAnsi" w:eastAsiaTheme="minorEastAsia" w:hAnsiTheme="minorHAnsi" w:cstheme="minorBidi"/>
                <w:sz w:val="16"/>
                <w:szCs w:val="16"/>
                <w:highlight w:val="yellow"/>
                <w:lang w:val="en-US"/>
              </w:rPr>
              <w:t xml:space="preserve"> women</w:t>
            </w:r>
            <w:r w:rsidRPr="2DC80E69">
              <w:rPr>
                <w:rFonts w:asciiTheme="minorHAnsi" w:eastAsiaTheme="minorEastAsia" w:hAnsiTheme="minorHAnsi" w:cstheme="minorBidi"/>
                <w:sz w:val="16"/>
                <w:szCs w:val="16"/>
                <w:lang w:val="en-US"/>
              </w:rPr>
              <w:t xml:space="preserve"> </w:t>
            </w:r>
          </w:p>
        </w:tc>
        <w:tc>
          <w:tcPr>
            <w:tcW w:w="2195" w:type="dxa"/>
          </w:tcPr>
          <w:p w14:paraId="017AAA4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Addition of unique individuals (not double-counted) who have benefited from one or more project interventions, broken down by sex.  </w:t>
            </w:r>
          </w:p>
          <w:p w14:paraId="59E1FF2A" w14:textId="77777777" w:rsidR="00A15021" w:rsidRPr="00045243" w:rsidRDefault="00A15021" w:rsidP="00A15021">
            <w:pPr>
              <w:pStyle w:val="Paragraphedeliste"/>
              <w:numPr>
                <w:ilvl w:val="0"/>
                <w:numId w:val="378"/>
              </w:numPr>
              <w:spacing w:after="0" w:line="257" w:lineRule="auto"/>
              <w:contextualSpacing w:val="0"/>
              <w:rPr>
                <w:rFonts w:asciiTheme="minorHAnsi" w:eastAsiaTheme="minorEastAsia" w:hAnsiTheme="minorHAnsi" w:cstheme="minorHAnsi"/>
                <w:sz w:val="16"/>
                <w:szCs w:val="16"/>
              </w:rPr>
            </w:pPr>
            <w:proofErr w:type="spellStart"/>
            <w:r w:rsidRPr="00045243">
              <w:rPr>
                <w:rFonts w:asciiTheme="minorHAnsi" w:eastAsiaTheme="minorEastAsia" w:hAnsiTheme="minorHAnsi" w:cstheme="minorHAnsi"/>
                <w:sz w:val="16"/>
                <w:szCs w:val="16"/>
              </w:rPr>
              <w:t>Timesheets</w:t>
            </w:r>
            <w:proofErr w:type="spellEnd"/>
            <w:r w:rsidRPr="00045243">
              <w:rPr>
                <w:rFonts w:asciiTheme="minorHAnsi" w:eastAsiaTheme="minorEastAsia" w:hAnsiTheme="minorHAnsi" w:cstheme="minorHAnsi"/>
                <w:sz w:val="16"/>
                <w:szCs w:val="16"/>
              </w:rPr>
              <w:t xml:space="preserve"> (</w:t>
            </w:r>
            <w:proofErr w:type="spellStart"/>
            <w:r w:rsidRPr="00045243">
              <w:rPr>
                <w:rFonts w:asciiTheme="minorHAnsi" w:eastAsiaTheme="minorEastAsia" w:hAnsiTheme="minorHAnsi" w:cstheme="minorHAnsi"/>
                <w:sz w:val="16"/>
                <w:szCs w:val="16"/>
              </w:rPr>
              <w:t>disaggregated</w:t>
            </w:r>
            <w:proofErr w:type="spellEnd"/>
            <w:r w:rsidRPr="00045243">
              <w:rPr>
                <w:rFonts w:asciiTheme="minorHAnsi" w:eastAsiaTheme="minorEastAsia" w:hAnsiTheme="minorHAnsi" w:cstheme="minorHAnsi"/>
                <w:sz w:val="16"/>
                <w:szCs w:val="16"/>
              </w:rPr>
              <w:t xml:space="preserve"> </w:t>
            </w:r>
            <w:proofErr w:type="spellStart"/>
            <w:r w:rsidRPr="00045243">
              <w:rPr>
                <w:rFonts w:asciiTheme="minorHAnsi" w:eastAsiaTheme="minorEastAsia" w:hAnsiTheme="minorHAnsi" w:cstheme="minorHAnsi"/>
                <w:sz w:val="16"/>
                <w:szCs w:val="16"/>
              </w:rPr>
              <w:t>forms</w:t>
            </w:r>
            <w:proofErr w:type="spellEnd"/>
            <w:r w:rsidRPr="00045243">
              <w:rPr>
                <w:rFonts w:asciiTheme="minorHAnsi" w:eastAsiaTheme="minorEastAsia" w:hAnsiTheme="minorHAnsi" w:cstheme="minorHAnsi"/>
                <w:sz w:val="16"/>
                <w:szCs w:val="16"/>
              </w:rPr>
              <w:t xml:space="preserve">)  </w:t>
            </w:r>
          </w:p>
          <w:p w14:paraId="4E06C4A7" w14:textId="77777777" w:rsidR="00A15021" w:rsidRPr="00045243" w:rsidRDefault="00A15021" w:rsidP="00A15021">
            <w:pPr>
              <w:pStyle w:val="Paragraphedeliste"/>
              <w:numPr>
                <w:ilvl w:val="0"/>
                <w:numId w:val="377"/>
              </w:numPr>
              <w:spacing w:after="0" w:line="257" w:lineRule="auto"/>
              <w:contextualSpacing w:val="0"/>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Community Activity Records  </w:t>
            </w:r>
          </w:p>
          <w:p w14:paraId="74B30A2A" w14:textId="77777777" w:rsidR="00A15021" w:rsidRPr="00045243" w:rsidRDefault="00A15021" w:rsidP="00A15021">
            <w:pPr>
              <w:pStyle w:val="Paragraphedeliste"/>
              <w:numPr>
                <w:ilvl w:val="0"/>
                <w:numId w:val="376"/>
              </w:numPr>
              <w:spacing w:after="0" w:line="257" w:lineRule="auto"/>
              <w:contextualSpacing w:val="0"/>
              <w:rPr>
                <w:rFonts w:asciiTheme="minorHAnsi" w:eastAsiaTheme="minorEastAsia" w:hAnsiTheme="minorHAnsi" w:cstheme="minorHAnsi"/>
                <w:sz w:val="16"/>
                <w:szCs w:val="16"/>
              </w:rPr>
            </w:pPr>
            <w:proofErr w:type="spellStart"/>
            <w:r w:rsidRPr="00045243">
              <w:rPr>
                <w:rFonts w:asciiTheme="minorHAnsi" w:eastAsiaTheme="minorEastAsia" w:hAnsiTheme="minorHAnsi" w:cstheme="minorHAnsi"/>
                <w:sz w:val="16"/>
                <w:szCs w:val="16"/>
              </w:rPr>
              <w:t>Beneficiary</w:t>
            </w:r>
            <w:proofErr w:type="spellEnd"/>
            <w:r w:rsidRPr="00045243">
              <w:rPr>
                <w:rFonts w:asciiTheme="minorHAnsi" w:eastAsiaTheme="minorEastAsia" w:hAnsiTheme="minorHAnsi" w:cstheme="minorHAnsi"/>
                <w:sz w:val="16"/>
                <w:szCs w:val="16"/>
              </w:rPr>
              <w:t xml:space="preserve"> </w:t>
            </w:r>
            <w:proofErr w:type="spellStart"/>
            <w:r w:rsidRPr="00045243">
              <w:rPr>
                <w:rFonts w:asciiTheme="minorHAnsi" w:eastAsiaTheme="minorEastAsia" w:hAnsiTheme="minorHAnsi" w:cstheme="minorHAnsi"/>
                <w:sz w:val="16"/>
                <w:szCs w:val="16"/>
              </w:rPr>
              <w:t>databases</w:t>
            </w:r>
            <w:proofErr w:type="spellEnd"/>
            <w:r w:rsidRPr="00045243">
              <w:rPr>
                <w:rFonts w:asciiTheme="minorHAnsi" w:eastAsiaTheme="minorEastAsia" w:hAnsiTheme="minorHAnsi" w:cstheme="minorHAnsi"/>
                <w:sz w:val="16"/>
                <w:szCs w:val="16"/>
              </w:rPr>
              <w:t xml:space="preserve"> or registration </w:t>
            </w:r>
            <w:proofErr w:type="spellStart"/>
            <w:r w:rsidRPr="00045243">
              <w:rPr>
                <w:rFonts w:asciiTheme="minorHAnsi" w:eastAsiaTheme="minorEastAsia" w:hAnsiTheme="minorHAnsi" w:cstheme="minorHAnsi"/>
                <w:sz w:val="16"/>
                <w:szCs w:val="16"/>
              </w:rPr>
              <w:t>forms</w:t>
            </w:r>
            <w:proofErr w:type="spellEnd"/>
            <w:r w:rsidRPr="00045243">
              <w:rPr>
                <w:rFonts w:asciiTheme="minorHAnsi" w:eastAsiaTheme="minorEastAsia" w:hAnsiTheme="minorHAnsi" w:cstheme="minorHAnsi"/>
                <w:sz w:val="16"/>
                <w:szCs w:val="16"/>
              </w:rPr>
              <w:t xml:space="preserve">  </w:t>
            </w:r>
          </w:p>
          <w:p w14:paraId="1399E2C0" w14:textId="77777777" w:rsidR="00A15021" w:rsidRPr="00045243" w:rsidRDefault="00A15021" w:rsidP="00A15021">
            <w:pPr>
              <w:pStyle w:val="Paragraphedeliste"/>
              <w:numPr>
                <w:ilvl w:val="0"/>
                <w:numId w:val="375"/>
              </w:numPr>
              <w:spacing w:after="0" w:line="257" w:lineRule="auto"/>
              <w:contextualSpacing w:val="0"/>
              <w:rPr>
                <w:rFonts w:asciiTheme="minorHAnsi" w:eastAsiaTheme="minorEastAsia" w:hAnsiTheme="minorHAnsi" w:cstheme="minorHAnsi"/>
                <w:sz w:val="16"/>
                <w:szCs w:val="16"/>
              </w:rPr>
            </w:pPr>
            <w:proofErr w:type="spellStart"/>
            <w:r w:rsidRPr="00045243">
              <w:rPr>
                <w:rFonts w:asciiTheme="minorHAnsi" w:eastAsiaTheme="minorEastAsia" w:hAnsiTheme="minorHAnsi" w:cstheme="minorHAnsi"/>
                <w:sz w:val="16"/>
                <w:szCs w:val="16"/>
              </w:rPr>
              <w:t>Implementing</w:t>
            </w:r>
            <w:proofErr w:type="spellEnd"/>
            <w:r w:rsidRPr="00045243">
              <w:rPr>
                <w:rFonts w:asciiTheme="minorHAnsi" w:eastAsiaTheme="minorEastAsia" w:hAnsiTheme="minorHAnsi" w:cstheme="minorHAnsi"/>
                <w:sz w:val="16"/>
                <w:szCs w:val="16"/>
              </w:rPr>
              <w:t xml:space="preserve"> Partner Reports  </w:t>
            </w:r>
          </w:p>
          <w:p w14:paraId="119C8C09" w14:textId="77777777" w:rsidR="00A15021" w:rsidRPr="00045243" w:rsidRDefault="00A15021" w:rsidP="00A15021">
            <w:pPr>
              <w:pStyle w:val="Paragraphedeliste"/>
              <w:numPr>
                <w:ilvl w:val="0"/>
                <w:numId w:val="374"/>
              </w:numPr>
              <w:spacing w:after="0" w:line="257" w:lineRule="auto"/>
              <w:contextualSpacing w:val="0"/>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Post-intervention satisfaction or </w:t>
            </w:r>
            <w:proofErr w:type="spellStart"/>
            <w:r w:rsidRPr="00045243">
              <w:rPr>
                <w:rFonts w:asciiTheme="minorHAnsi" w:eastAsiaTheme="minorEastAsia" w:hAnsiTheme="minorHAnsi" w:cstheme="minorHAnsi"/>
                <w:sz w:val="16"/>
                <w:szCs w:val="16"/>
              </w:rPr>
              <w:t>evaluation</w:t>
            </w:r>
            <w:proofErr w:type="spellEnd"/>
            <w:r w:rsidRPr="00045243">
              <w:rPr>
                <w:rFonts w:asciiTheme="minorHAnsi" w:eastAsiaTheme="minorEastAsia" w:hAnsiTheme="minorHAnsi" w:cstheme="minorHAnsi"/>
                <w:sz w:val="16"/>
                <w:szCs w:val="16"/>
              </w:rPr>
              <w:t xml:space="preserve"> </w:t>
            </w:r>
            <w:proofErr w:type="spellStart"/>
            <w:r w:rsidRPr="00045243">
              <w:rPr>
                <w:rFonts w:asciiTheme="minorHAnsi" w:eastAsiaTheme="minorEastAsia" w:hAnsiTheme="minorHAnsi" w:cstheme="minorHAnsi"/>
                <w:sz w:val="16"/>
                <w:szCs w:val="16"/>
              </w:rPr>
              <w:t>surveys</w:t>
            </w:r>
            <w:proofErr w:type="spellEnd"/>
            <w:r w:rsidRPr="00045243">
              <w:rPr>
                <w:rFonts w:asciiTheme="minorHAnsi" w:eastAsiaTheme="minorEastAsia" w:hAnsiTheme="minorHAnsi" w:cstheme="minorHAnsi"/>
                <w:sz w:val="16"/>
                <w:szCs w:val="16"/>
              </w:rPr>
              <w:t xml:space="preserve">  </w:t>
            </w:r>
          </w:p>
          <w:p w14:paraId="3DB4F628"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  </w:t>
            </w:r>
          </w:p>
        </w:tc>
        <w:tc>
          <w:tcPr>
            <w:tcW w:w="2062" w:type="dxa"/>
          </w:tcPr>
          <w:p w14:paraId="625441E8" w14:textId="77777777" w:rsidR="00A15021" w:rsidRPr="00045243" w:rsidRDefault="00A15021">
            <w:pPr>
              <w:spacing w:line="257" w:lineRule="auto"/>
              <w:rPr>
                <w:rFonts w:asciiTheme="minorHAnsi" w:eastAsiaTheme="minorEastAsia" w:hAnsiTheme="minorHAnsi" w:cstheme="minorHAnsi"/>
                <w:sz w:val="16"/>
                <w:szCs w:val="16"/>
              </w:rPr>
            </w:pPr>
            <w:proofErr w:type="gramStart"/>
            <w:r w:rsidRPr="00045243">
              <w:rPr>
                <w:rFonts w:asciiTheme="minorHAnsi" w:eastAsiaTheme="minorEastAsia" w:hAnsiTheme="minorHAnsi" w:cstheme="minorHAnsi"/>
                <w:b/>
                <w:bCs/>
                <w:sz w:val="16"/>
                <w:szCs w:val="16"/>
              </w:rPr>
              <w:t>Assumptions:</w:t>
            </w:r>
            <w:proofErr w:type="gramEnd"/>
            <w:r w:rsidRPr="00045243">
              <w:rPr>
                <w:rFonts w:asciiTheme="minorHAnsi" w:eastAsiaTheme="minorEastAsia" w:hAnsiTheme="minorHAnsi" w:cstheme="minorHAnsi"/>
                <w:b/>
                <w:bCs/>
                <w:sz w:val="16"/>
                <w:szCs w:val="16"/>
              </w:rPr>
              <w:t> </w:t>
            </w:r>
            <w:r w:rsidRPr="00045243">
              <w:rPr>
                <w:rFonts w:asciiTheme="minorHAnsi" w:eastAsiaTheme="minorEastAsia" w:hAnsiTheme="minorHAnsi" w:cstheme="minorHAnsi"/>
                <w:sz w:val="16"/>
                <w:szCs w:val="16"/>
              </w:rPr>
              <w:t xml:space="preserve">  </w:t>
            </w:r>
          </w:p>
          <w:p w14:paraId="55715844" w14:textId="77777777" w:rsidR="00A15021" w:rsidRPr="00045243" w:rsidRDefault="00A15021">
            <w:pPr>
              <w:spacing w:line="257" w:lineRule="auto"/>
              <w:rPr>
                <w:rFonts w:asciiTheme="minorHAnsi" w:eastAsiaTheme="minorEastAsia" w:hAnsiTheme="minorHAnsi" w:cstheme="minorHAnsi"/>
                <w:sz w:val="16"/>
                <w:szCs w:val="16"/>
              </w:rPr>
            </w:pPr>
            <w:proofErr w:type="spellStart"/>
            <w:r w:rsidRPr="00045243">
              <w:rPr>
                <w:rFonts w:asciiTheme="minorHAnsi" w:eastAsiaTheme="minorEastAsia" w:hAnsiTheme="minorHAnsi" w:cstheme="minorHAnsi"/>
                <w:sz w:val="16"/>
                <w:szCs w:val="16"/>
              </w:rPr>
              <w:t>Tracking</w:t>
            </w:r>
            <w:proofErr w:type="spellEnd"/>
            <w:r w:rsidRPr="00045243">
              <w:rPr>
                <w:rFonts w:asciiTheme="minorHAnsi" w:eastAsiaTheme="minorEastAsia" w:hAnsiTheme="minorHAnsi" w:cstheme="minorHAnsi"/>
                <w:sz w:val="16"/>
                <w:szCs w:val="16"/>
              </w:rPr>
              <w:t xml:space="preserve"> </w:t>
            </w:r>
            <w:proofErr w:type="spellStart"/>
            <w:r w:rsidRPr="00045243">
              <w:rPr>
                <w:rFonts w:asciiTheme="minorHAnsi" w:eastAsiaTheme="minorEastAsia" w:hAnsiTheme="minorHAnsi" w:cstheme="minorHAnsi"/>
                <w:sz w:val="16"/>
                <w:szCs w:val="16"/>
              </w:rPr>
              <w:t>tools</w:t>
            </w:r>
            <w:proofErr w:type="spellEnd"/>
            <w:r w:rsidRPr="00045243">
              <w:rPr>
                <w:rFonts w:asciiTheme="minorHAnsi" w:eastAsiaTheme="minorEastAsia" w:hAnsiTheme="minorHAnsi" w:cstheme="minorHAnsi"/>
                <w:sz w:val="16"/>
                <w:szCs w:val="16"/>
              </w:rPr>
              <w:t xml:space="preserve"> enable reliable </w:t>
            </w:r>
            <w:proofErr w:type="spellStart"/>
            <w:r w:rsidRPr="00045243">
              <w:rPr>
                <w:rFonts w:asciiTheme="minorHAnsi" w:eastAsiaTheme="minorEastAsia" w:hAnsiTheme="minorHAnsi" w:cstheme="minorHAnsi"/>
                <w:sz w:val="16"/>
                <w:szCs w:val="16"/>
              </w:rPr>
              <w:t>disaggregation</w:t>
            </w:r>
            <w:proofErr w:type="spellEnd"/>
            <w:r w:rsidRPr="00045243">
              <w:rPr>
                <w:rFonts w:asciiTheme="minorHAnsi" w:eastAsiaTheme="minorEastAsia" w:hAnsiTheme="minorHAnsi" w:cstheme="minorHAnsi"/>
                <w:sz w:val="16"/>
                <w:szCs w:val="16"/>
              </w:rPr>
              <w:t xml:space="preserve">  </w:t>
            </w:r>
          </w:p>
          <w:p w14:paraId="7854139F"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Activities are well targeted and accessible to vulnerable groups  </w:t>
            </w:r>
          </w:p>
          <w:p w14:paraId="4C81C2AE"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Women and other marginalized groups are effectively included in interventions  </w:t>
            </w:r>
          </w:p>
          <w:p w14:paraId="29167A3C"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Risks</w:t>
            </w:r>
            <w:r w:rsidRPr="003C5C1B">
              <w:rPr>
                <w:rFonts w:asciiTheme="minorHAnsi" w:eastAsiaTheme="minorEastAsia" w:hAnsiTheme="minorHAnsi" w:cstheme="minorHAnsi"/>
                <w:sz w:val="16"/>
                <w:szCs w:val="16"/>
                <w:lang w:val="en-US"/>
              </w:rPr>
              <w:t xml:space="preserve">:   </w:t>
            </w:r>
          </w:p>
          <w:p w14:paraId="5E5C0E49"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Underestimation due to irregular or </w:t>
            </w:r>
            <w:proofErr w:type="spellStart"/>
            <w:r w:rsidRPr="003C5C1B">
              <w:rPr>
                <w:rFonts w:asciiTheme="minorHAnsi" w:eastAsiaTheme="minorEastAsia" w:hAnsiTheme="minorHAnsi" w:cstheme="minorHAnsi"/>
                <w:sz w:val="16"/>
                <w:szCs w:val="16"/>
                <w:lang w:val="en-US"/>
              </w:rPr>
              <w:t>undisaggregated</w:t>
            </w:r>
            <w:proofErr w:type="spellEnd"/>
            <w:r w:rsidRPr="003C5C1B">
              <w:rPr>
                <w:rFonts w:asciiTheme="minorHAnsi" w:eastAsiaTheme="minorEastAsia" w:hAnsiTheme="minorHAnsi" w:cstheme="minorHAnsi"/>
                <w:sz w:val="16"/>
                <w:szCs w:val="16"/>
                <w:lang w:val="en-US"/>
              </w:rPr>
              <w:t xml:space="preserve"> monitoring  </w:t>
            </w:r>
          </w:p>
          <w:p w14:paraId="0C9CF318"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Gender bias or unequal access to project activities  </w:t>
            </w:r>
          </w:p>
          <w:p w14:paraId="7C269AC2"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Double counting in the absence of a centralized tracking system  </w:t>
            </w:r>
          </w:p>
          <w:p w14:paraId="700C09C5"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Cultural or social barriers limiting the participation of women or youth  </w:t>
            </w:r>
          </w:p>
        </w:tc>
        <w:tc>
          <w:tcPr>
            <w:tcW w:w="1803" w:type="dxa"/>
          </w:tcPr>
          <w:p w14:paraId="18DFD02B" w14:textId="77777777" w:rsidR="00A15021" w:rsidRPr="003C5C1B" w:rsidRDefault="00A15021">
            <w:pPr>
              <w:spacing w:line="257" w:lineRule="auto"/>
              <w:rPr>
                <w:rFonts w:asciiTheme="minorHAnsi" w:eastAsiaTheme="minorEastAsia" w:hAnsiTheme="minorHAnsi" w:cstheme="minorHAnsi"/>
                <w:b/>
                <w:bCs/>
                <w:sz w:val="16"/>
                <w:szCs w:val="16"/>
                <w:lang w:val="en-US"/>
              </w:rPr>
            </w:pPr>
          </w:p>
        </w:tc>
      </w:tr>
      <w:tr w:rsidR="00344861" w:rsidRPr="00F50786" w14:paraId="1321D687" w14:textId="77777777" w:rsidTr="2DC80E69">
        <w:trPr>
          <w:trHeight w:val="300"/>
          <w:jc w:val="center"/>
        </w:trPr>
        <w:tc>
          <w:tcPr>
            <w:tcW w:w="747" w:type="dxa"/>
            <w:vMerge/>
            <w:vAlign w:val="center"/>
          </w:tcPr>
          <w:p w14:paraId="3C09DA8C" w14:textId="77777777" w:rsidR="00A15021" w:rsidRPr="003C5C1B" w:rsidRDefault="00A15021">
            <w:pPr>
              <w:rPr>
                <w:rFonts w:asciiTheme="minorHAnsi" w:hAnsiTheme="minorHAnsi" w:cstheme="minorHAnsi"/>
                <w:sz w:val="16"/>
                <w:szCs w:val="16"/>
                <w:lang w:val="en-US"/>
              </w:rPr>
            </w:pPr>
          </w:p>
        </w:tc>
        <w:tc>
          <w:tcPr>
            <w:tcW w:w="1185" w:type="dxa"/>
          </w:tcPr>
          <w:p w14:paraId="611211F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u w:val="single"/>
                <w:lang w:val="en-US"/>
              </w:rPr>
              <w:t>Indicator #2</w:t>
            </w:r>
            <w:r w:rsidRPr="003C5C1B">
              <w:rPr>
                <w:rFonts w:asciiTheme="minorHAnsi" w:eastAsiaTheme="minorEastAsia" w:hAnsiTheme="minorHAnsi" w:cstheme="minorHAnsi"/>
                <w:sz w:val="16"/>
                <w:szCs w:val="16"/>
                <w:lang w:val="en-US"/>
              </w:rPr>
              <w:t xml:space="preserve"> Area of land and ecosystems under restoration (ha) (GEF Core Indicator 3)  </w:t>
            </w:r>
          </w:p>
        </w:tc>
        <w:tc>
          <w:tcPr>
            <w:tcW w:w="2027" w:type="dxa"/>
            <w:gridSpan w:val="2"/>
          </w:tcPr>
          <w:p w14:paraId="0D46FF4E"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Restoration Project Reports  </w:t>
            </w:r>
          </w:p>
          <w:p w14:paraId="77BD020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Data from the Ministries of Environment, Forestry, Agriculture  </w:t>
            </w:r>
          </w:p>
          <w:p w14:paraId="2903338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Field observations / GPS data  </w:t>
            </w:r>
          </w:p>
          <w:p w14:paraId="7ADBFD55"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Land Use Maps  </w:t>
            </w:r>
          </w:p>
          <w:p w14:paraId="6492906D"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1670" w:type="dxa"/>
            <w:gridSpan w:val="2"/>
          </w:tcPr>
          <w:p w14:paraId="65BB8AD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lang w:val="en-US"/>
              </w:rPr>
              <w:t>Zero, since the project has not yet started</w:t>
            </w:r>
            <w:r w:rsidRPr="003C5C1B">
              <w:rPr>
                <w:rFonts w:asciiTheme="minorHAnsi" w:eastAsiaTheme="minorEastAsia" w:hAnsiTheme="minorHAnsi" w:cstheme="minorHAnsi"/>
                <w:sz w:val="16"/>
                <w:szCs w:val="16"/>
                <w:lang w:val="en-US"/>
              </w:rPr>
              <w:t xml:space="preserve">  </w:t>
            </w:r>
          </w:p>
          <w:p w14:paraId="66C9A9B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1220" w:type="dxa"/>
            <w:gridSpan w:val="2"/>
          </w:tcPr>
          <w:p w14:paraId="61802B31"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lang w:val="en-US"/>
              </w:rPr>
              <w:t>Zero because the restoration activities will start from the third year of the project</w:t>
            </w:r>
            <w:r w:rsidRPr="003C5C1B">
              <w:rPr>
                <w:rFonts w:asciiTheme="minorHAnsi" w:eastAsiaTheme="minorEastAsia" w:hAnsiTheme="minorHAnsi" w:cstheme="minorHAnsi"/>
                <w:sz w:val="16"/>
                <w:szCs w:val="16"/>
                <w:lang w:val="en-US"/>
              </w:rPr>
              <w:t xml:space="preserve">  </w:t>
            </w:r>
          </w:p>
        </w:tc>
        <w:tc>
          <w:tcPr>
            <w:tcW w:w="1463" w:type="dxa"/>
          </w:tcPr>
          <w:p w14:paraId="0D05D79D"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1200 ha </w:t>
            </w:r>
          </w:p>
        </w:tc>
        <w:tc>
          <w:tcPr>
            <w:tcW w:w="2195" w:type="dxa"/>
          </w:tcPr>
          <w:p w14:paraId="342D4939"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Improved area (ha)=</w:t>
            </w:r>
            <w:proofErr w:type="gramStart"/>
            <w:r w:rsidRPr="003C5C1B">
              <w:rPr>
                <w:rFonts w:asciiTheme="minorHAnsi" w:eastAsiaTheme="minorEastAsia" w:hAnsiTheme="minorHAnsi" w:cstheme="minorHAnsi" w:hint="eastAsia"/>
                <w:sz w:val="16"/>
                <w:szCs w:val="16"/>
                <w:lang w:val="en-US"/>
              </w:rPr>
              <w:t>∑</w:t>
            </w:r>
            <w:r w:rsidRPr="003C5C1B">
              <w:rPr>
                <w:rFonts w:asciiTheme="minorHAnsi" w:eastAsiaTheme="minorEastAsia" w:hAnsiTheme="minorHAnsi" w:cstheme="minorHAnsi"/>
                <w:sz w:val="16"/>
                <w:szCs w:val="16"/>
                <w:lang w:val="en-US"/>
              </w:rPr>
              <w:t>(</w:t>
            </w:r>
            <w:proofErr w:type="gramEnd"/>
            <w:r w:rsidRPr="003C5C1B">
              <w:rPr>
                <w:rFonts w:asciiTheme="minorHAnsi" w:eastAsiaTheme="minorEastAsia" w:hAnsiTheme="minorHAnsi" w:cstheme="minorHAnsi"/>
                <w:sz w:val="16"/>
                <w:szCs w:val="16"/>
                <w:lang w:val="en-US"/>
              </w:rPr>
              <w:t xml:space="preserve">area of areas with improved practices are applied)   </w:t>
            </w:r>
          </w:p>
          <w:p w14:paraId="485EE979"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Do not include official protected areas (natural parks, reserves, etc.) unless they are explicitly excluded from regulatory status during the project.   </w:t>
            </w:r>
          </w:p>
          <w:p w14:paraId="7C2F91A8"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The measurement will be made via:   </w:t>
            </w:r>
          </w:p>
          <w:p w14:paraId="47F3DDE8" w14:textId="77777777" w:rsidR="00A15021" w:rsidRPr="003C5C1B" w:rsidRDefault="00A15021" w:rsidP="00A15021">
            <w:pPr>
              <w:pStyle w:val="Paragraphedeliste"/>
              <w:numPr>
                <w:ilvl w:val="0"/>
                <w:numId w:val="373"/>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Participatory mapping and GPS of the plots concerned (through SIFOR)  </w:t>
            </w:r>
          </w:p>
          <w:p w14:paraId="7194DB21" w14:textId="77777777" w:rsidR="00A15021" w:rsidRPr="003C5C1B" w:rsidRDefault="00A15021" w:rsidP="00A15021">
            <w:pPr>
              <w:pStyle w:val="Paragraphedeliste"/>
              <w:numPr>
                <w:ilvl w:val="0"/>
                <w:numId w:val="372"/>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Records or databases of improved agricultural or forestry practices  </w:t>
            </w:r>
          </w:p>
          <w:p w14:paraId="76A7769F" w14:textId="77777777" w:rsidR="00A15021" w:rsidRPr="00045243" w:rsidRDefault="00A15021" w:rsidP="00A15021">
            <w:pPr>
              <w:pStyle w:val="Paragraphedeliste"/>
              <w:numPr>
                <w:ilvl w:val="0"/>
                <w:numId w:val="371"/>
              </w:numPr>
              <w:spacing w:after="0" w:line="257" w:lineRule="auto"/>
              <w:contextualSpacing w:val="0"/>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Producer and </w:t>
            </w:r>
            <w:proofErr w:type="spellStart"/>
            <w:r w:rsidRPr="00045243">
              <w:rPr>
                <w:rFonts w:asciiTheme="minorHAnsi" w:eastAsiaTheme="minorEastAsia" w:hAnsiTheme="minorHAnsi" w:cstheme="minorHAnsi"/>
                <w:sz w:val="16"/>
                <w:szCs w:val="16"/>
              </w:rPr>
              <w:t>co-operative</w:t>
            </w:r>
            <w:proofErr w:type="spellEnd"/>
            <w:r w:rsidRPr="00045243">
              <w:rPr>
                <w:rFonts w:asciiTheme="minorHAnsi" w:eastAsiaTheme="minorEastAsia" w:hAnsiTheme="minorHAnsi" w:cstheme="minorHAnsi"/>
                <w:sz w:val="16"/>
                <w:szCs w:val="16"/>
              </w:rPr>
              <w:t xml:space="preserve"> </w:t>
            </w:r>
            <w:proofErr w:type="spellStart"/>
            <w:r w:rsidRPr="00045243">
              <w:rPr>
                <w:rFonts w:asciiTheme="minorHAnsi" w:eastAsiaTheme="minorEastAsia" w:hAnsiTheme="minorHAnsi" w:cstheme="minorHAnsi"/>
                <w:sz w:val="16"/>
                <w:szCs w:val="16"/>
              </w:rPr>
              <w:t>surveys</w:t>
            </w:r>
            <w:proofErr w:type="spellEnd"/>
            <w:r w:rsidRPr="00045243">
              <w:rPr>
                <w:rFonts w:asciiTheme="minorHAnsi" w:eastAsiaTheme="minorEastAsia" w:hAnsiTheme="minorHAnsi" w:cstheme="minorHAnsi"/>
                <w:sz w:val="16"/>
                <w:szCs w:val="16"/>
              </w:rPr>
              <w:t xml:space="preserve">  </w:t>
            </w:r>
          </w:p>
          <w:p w14:paraId="117EB8DC" w14:textId="77777777" w:rsidR="00A15021" w:rsidRPr="003C5C1B" w:rsidRDefault="00A15021" w:rsidP="00A15021">
            <w:pPr>
              <w:pStyle w:val="Paragraphedeliste"/>
              <w:numPr>
                <w:ilvl w:val="0"/>
                <w:numId w:val="370"/>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Technical Reports on the Adoption of Practices  </w:t>
            </w:r>
          </w:p>
          <w:p w14:paraId="45869694" w14:textId="77777777" w:rsidR="00A15021" w:rsidRPr="003C5C1B" w:rsidRDefault="00A15021" w:rsidP="00A15021">
            <w:pPr>
              <w:pStyle w:val="Paragraphedeliste"/>
              <w:numPr>
                <w:ilvl w:val="0"/>
                <w:numId w:val="369"/>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Satellite imagery to validate changes in land cover and land use  </w:t>
            </w:r>
          </w:p>
          <w:p w14:paraId="574B909E"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2062" w:type="dxa"/>
          </w:tcPr>
          <w:p w14:paraId="08F7E9F9"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Assumptions:</w:t>
            </w:r>
            <w:r w:rsidRPr="003C5C1B">
              <w:rPr>
                <w:rFonts w:asciiTheme="minorHAnsi" w:eastAsiaTheme="minorEastAsia" w:hAnsiTheme="minorHAnsi" w:cstheme="minorHAnsi"/>
                <w:sz w:val="16"/>
                <w:szCs w:val="16"/>
                <w:lang w:val="en-US"/>
              </w:rPr>
              <w:t xml:space="preserve">   </w:t>
            </w:r>
          </w:p>
          <w:p w14:paraId="29D7B081"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The targeted areas are indeed restorable (no irreversible degradation)  </w:t>
            </w:r>
          </w:p>
          <w:p w14:paraId="529AFD6F"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Secure access and stakeholder engagement for implementation  </w:t>
            </w:r>
          </w:p>
          <w:p w14:paraId="1EF96A7C"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The techniques used are adapted to ecological and socio-economic contexts  </w:t>
            </w:r>
          </w:p>
          <w:p w14:paraId="6176E4BF"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Spatial data is available, accurate and comparable over time  </w:t>
            </w:r>
          </w:p>
          <w:p w14:paraId="29325B17"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Risks</w:t>
            </w:r>
            <w:r w:rsidRPr="003C5C1B">
              <w:rPr>
                <w:rFonts w:asciiTheme="minorHAnsi" w:eastAsiaTheme="minorEastAsia" w:hAnsiTheme="minorHAnsi" w:cstheme="minorHAnsi"/>
                <w:sz w:val="16"/>
                <w:szCs w:val="16"/>
                <w:lang w:val="en-US"/>
              </w:rPr>
              <w:t xml:space="preserve">:   </w:t>
            </w:r>
          </w:p>
          <w:p w14:paraId="0BDD43D2"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Failure of restoration due to adverse weather conditions  </w:t>
            </w:r>
          </w:p>
          <w:p w14:paraId="427F873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Land conflicts or limited access to targeted areas  </w:t>
            </w:r>
          </w:p>
          <w:p w14:paraId="3172033F"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Poor choice of species or practices that are not adapted to the local context  </w:t>
            </w:r>
          </w:p>
          <w:p w14:paraId="7DF3544F"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Loss of restoration benefits due to unsustainable human practices  </w:t>
            </w:r>
          </w:p>
          <w:p w14:paraId="7AF66563" w14:textId="77777777" w:rsidR="00A15021" w:rsidRPr="003C5C1B" w:rsidRDefault="00A15021" w:rsidP="00A15021">
            <w:pPr>
              <w:pStyle w:val="Paragraphedeliste"/>
              <w:numPr>
                <w:ilvl w:val="0"/>
                <w:numId w:val="368"/>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Lack of long-term monitoring and maintenance of restored areas  </w:t>
            </w:r>
          </w:p>
        </w:tc>
        <w:tc>
          <w:tcPr>
            <w:tcW w:w="1803" w:type="dxa"/>
          </w:tcPr>
          <w:p w14:paraId="599C8F8F" w14:textId="77777777" w:rsidR="00A15021" w:rsidRPr="003C5C1B" w:rsidRDefault="00A15021">
            <w:pPr>
              <w:spacing w:line="257" w:lineRule="auto"/>
              <w:rPr>
                <w:rFonts w:asciiTheme="minorHAnsi" w:eastAsiaTheme="minorEastAsia" w:hAnsiTheme="minorHAnsi" w:cstheme="minorHAnsi"/>
                <w:b/>
                <w:bCs/>
                <w:sz w:val="16"/>
                <w:szCs w:val="16"/>
                <w:lang w:val="en-US"/>
              </w:rPr>
            </w:pPr>
          </w:p>
        </w:tc>
      </w:tr>
      <w:tr w:rsidR="00A15021" w:rsidRPr="00045243" w14:paraId="15FC74B8" w14:textId="77777777" w:rsidTr="2DC80E69">
        <w:trPr>
          <w:trHeight w:val="300"/>
          <w:jc w:val="center"/>
        </w:trPr>
        <w:tc>
          <w:tcPr>
            <w:tcW w:w="747" w:type="dxa"/>
            <w:vMerge/>
            <w:vAlign w:val="center"/>
          </w:tcPr>
          <w:p w14:paraId="306BA043" w14:textId="77777777" w:rsidR="00A15021" w:rsidRPr="003C5C1B" w:rsidRDefault="00A15021">
            <w:pPr>
              <w:rPr>
                <w:rFonts w:asciiTheme="minorHAnsi" w:hAnsiTheme="minorHAnsi" w:cstheme="minorHAnsi"/>
                <w:sz w:val="16"/>
                <w:szCs w:val="16"/>
                <w:lang w:val="en-US"/>
              </w:rPr>
            </w:pPr>
          </w:p>
        </w:tc>
        <w:tc>
          <w:tcPr>
            <w:tcW w:w="1185" w:type="dxa"/>
          </w:tcPr>
          <w:p w14:paraId="2BEFF80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u w:val="single"/>
                <w:lang w:val="en-US"/>
              </w:rPr>
              <w:t>Indicator #3</w:t>
            </w:r>
            <w:r w:rsidRPr="003C5C1B">
              <w:rPr>
                <w:rFonts w:asciiTheme="minorHAnsi" w:eastAsiaTheme="minorEastAsia" w:hAnsiTheme="minorHAnsi" w:cstheme="minorHAnsi"/>
                <w:sz w:val="16"/>
                <w:szCs w:val="16"/>
                <w:lang w:val="en-US"/>
              </w:rPr>
              <w:t xml:space="preserve">: Area of landscapes under improved practices (excluding protected areas) (GEF Global Indicator 4)  </w:t>
            </w:r>
          </w:p>
        </w:tc>
        <w:tc>
          <w:tcPr>
            <w:tcW w:w="2027" w:type="dxa"/>
            <w:gridSpan w:val="2"/>
          </w:tcPr>
          <w:p w14:paraId="300B7F56"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Sustainable Land Management Project Reports   </w:t>
            </w:r>
          </w:p>
          <w:p w14:paraId="4420C8B4"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Data from sectoral ministries  </w:t>
            </w:r>
          </w:p>
          <w:p w14:paraId="38C07FA7"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Forest Information Systems   </w:t>
            </w:r>
          </w:p>
          <w:p w14:paraId="4BEDF07A"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Land or community records  </w:t>
            </w:r>
          </w:p>
          <w:p w14:paraId="022F44C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1670" w:type="dxa"/>
            <w:gridSpan w:val="2"/>
          </w:tcPr>
          <w:p w14:paraId="6A6D37B7"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Zero, since the project has not yet started  </w:t>
            </w:r>
          </w:p>
          <w:p w14:paraId="7AFF49A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1220" w:type="dxa"/>
            <w:gridSpan w:val="2"/>
          </w:tcPr>
          <w:p w14:paraId="2EB8E11C"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i/>
                <w:iCs/>
                <w:sz w:val="16"/>
                <w:szCs w:val="16"/>
              </w:rPr>
              <w:t>10,000 ha</w:t>
            </w:r>
            <w:r w:rsidRPr="00045243">
              <w:rPr>
                <w:rFonts w:asciiTheme="minorHAnsi" w:eastAsiaTheme="minorEastAsia" w:hAnsiTheme="minorHAnsi" w:cstheme="minorHAnsi"/>
                <w:sz w:val="16"/>
                <w:szCs w:val="16"/>
              </w:rPr>
              <w:t xml:space="preserve">  </w:t>
            </w:r>
          </w:p>
        </w:tc>
        <w:tc>
          <w:tcPr>
            <w:tcW w:w="1463" w:type="dxa"/>
          </w:tcPr>
          <w:p w14:paraId="05A0C26C"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173,931.75 ha </w:t>
            </w:r>
          </w:p>
        </w:tc>
        <w:tc>
          <w:tcPr>
            <w:tcW w:w="2195" w:type="dxa"/>
          </w:tcPr>
          <w:p w14:paraId="034F5525"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Total area (ha) =</w:t>
            </w:r>
            <w:proofErr w:type="gramStart"/>
            <w:r w:rsidRPr="003C5C1B">
              <w:rPr>
                <w:rFonts w:asciiTheme="minorHAnsi" w:eastAsiaTheme="minorEastAsia" w:hAnsiTheme="minorHAnsi" w:cstheme="minorHAnsi" w:hint="eastAsia"/>
                <w:sz w:val="16"/>
                <w:szCs w:val="16"/>
                <w:lang w:val="en-US"/>
              </w:rPr>
              <w:t>∑</w:t>
            </w:r>
            <w:r w:rsidRPr="003C5C1B">
              <w:rPr>
                <w:rFonts w:asciiTheme="minorHAnsi" w:eastAsiaTheme="minorEastAsia" w:hAnsiTheme="minorHAnsi" w:cstheme="minorHAnsi"/>
                <w:sz w:val="16"/>
                <w:szCs w:val="16"/>
                <w:lang w:val="en-US"/>
              </w:rPr>
              <w:t>(</w:t>
            </w:r>
            <w:proofErr w:type="gramEnd"/>
            <w:r w:rsidRPr="003C5C1B">
              <w:rPr>
                <w:rFonts w:asciiTheme="minorHAnsi" w:eastAsiaTheme="minorEastAsia" w:hAnsiTheme="minorHAnsi" w:cstheme="minorHAnsi"/>
                <w:sz w:val="16"/>
                <w:szCs w:val="16"/>
                <w:lang w:val="en-US"/>
              </w:rPr>
              <w:t xml:space="preserve">area of landscape units with improved practices)   </w:t>
            </w:r>
          </w:p>
          <w:p w14:paraId="158230D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Exclusion criteria: do not include parks or reserves that already have a legal or regulatory protection status, unless they have been declassified or outside the legal perimeter.  </w:t>
            </w:r>
          </w:p>
          <w:p w14:paraId="3E98EED1"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The measurement will be made via:   </w:t>
            </w:r>
          </w:p>
          <w:p w14:paraId="0C0EADAF" w14:textId="77777777" w:rsidR="00A15021" w:rsidRPr="003C5C1B" w:rsidRDefault="00A15021" w:rsidP="00A15021">
            <w:pPr>
              <w:pStyle w:val="Paragraphedeliste"/>
              <w:numPr>
                <w:ilvl w:val="0"/>
                <w:numId w:val="367"/>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Participatory mapping and GPS of the plots concerned  </w:t>
            </w:r>
          </w:p>
          <w:p w14:paraId="2A29B950" w14:textId="77777777" w:rsidR="00A15021" w:rsidRPr="003C5C1B" w:rsidRDefault="00A15021" w:rsidP="00A15021">
            <w:pPr>
              <w:pStyle w:val="Paragraphedeliste"/>
              <w:numPr>
                <w:ilvl w:val="0"/>
                <w:numId w:val="366"/>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Records or databases of improved agricultural or forestry practices  </w:t>
            </w:r>
          </w:p>
          <w:p w14:paraId="1DB70862" w14:textId="77777777" w:rsidR="00A15021" w:rsidRPr="00045243" w:rsidRDefault="00A15021" w:rsidP="00A15021">
            <w:pPr>
              <w:pStyle w:val="Paragraphedeliste"/>
              <w:numPr>
                <w:ilvl w:val="0"/>
                <w:numId w:val="365"/>
              </w:numPr>
              <w:spacing w:after="0" w:line="257" w:lineRule="auto"/>
              <w:contextualSpacing w:val="0"/>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Producer and </w:t>
            </w:r>
            <w:proofErr w:type="spellStart"/>
            <w:r w:rsidRPr="00045243">
              <w:rPr>
                <w:rFonts w:asciiTheme="minorHAnsi" w:eastAsiaTheme="minorEastAsia" w:hAnsiTheme="minorHAnsi" w:cstheme="minorHAnsi"/>
                <w:sz w:val="16"/>
                <w:szCs w:val="16"/>
              </w:rPr>
              <w:t>co-operative</w:t>
            </w:r>
            <w:proofErr w:type="spellEnd"/>
            <w:r w:rsidRPr="00045243">
              <w:rPr>
                <w:rFonts w:asciiTheme="minorHAnsi" w:eastAsiaTheme="minorEastAsia" w:hAnsiTheme="minorHAnsi" w:cstheme="minorHAnsi"/>
                <w:sz w:val="16"/>
                <w:szCs w:val="16"/>
              </w:rPr>
              <w:t xml:space="preserve"> </w:t>
            </w:r>
            <w:proofErr w:type="spellStart"/>
            <w:r w:rsidRPr="00045243">
              <w:rPr>
                <w:rFonts w:asciiTheme="minorHAnsi" w:eastAsiaTheme="minorEastAsia" w:hAnsiTheme="minorHAnsi" w:cstheme="minorHAnsi"/>
                <w:sz w:val="16"/>
                <w:szCs w:val="16"/>
              </w:rPr>
              <w:t>surveys</w:t>
            </w:r>
            <w:proofErr w:type="spellEnd"/>
            <w:r w:rsidRPr="00045243">
              <w:rPr>
                <w:rFonts w:asciiTheme="minorHAnsi" w:eastAsiaTheme="minorEastAsia" w:hAnsiTheme="minorHAnsi" w:cstheme="minorHAnsi"/>
                <w:sz w:val="16"/>
                <w:szCs w:val="16"/>
              </w:rPr>
              <w:t xml:space="preserve">  </w:t>
            </w:r>
          </w:p>
          <w:p w14:paraId="11C954AC" w14:textId="77777777" w:rsidR="00A15021" w:rsidRPr="003C5C1B" w:rsidRDefault="00A15021" w:rsidP="00A15021">
            <w:pPr>
              <w:pStyle w:val="Paragraphedeliste"/>
              <w:numPr>
                <w:ilvl w:val="0"/>
                <w:numId w:val="364"/>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Technical Reports on the Adoption of Practices  </w:t>
            </w:r>
          </w:p>
          <w:p w14:paraId="73C1FF62" w14:textId="77777777" w:rsidR="00A15021" w:rsidRPr="003C5C1B" w:rsidRDefault="00A15021" w:rsidP="00A15021">
            <w:pPr>
              <w:pStyle w:val="Paragraphedeliste"/>
              <w:numPr>
                <w:ilvl w:val="0"/>
                <w:numId w:val="363"/>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Satellite imagery to validate changes in land cover and land use  </w:t>
            </w:r>
          </w:p>
          <w:p w14:paraId="746F3594"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2062" w:type="dxa"/>
          </w:tcPr>
          <w:p w14:paraId="69676D05"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Assumptions:</w:t>
            </w:r>
            <w:r w:rsidRPr="003C5C1B">
              <w:rPr>
                <w:rFonts w:asciiTheme="minorHAnsi" w:eastAsiaTheme="minorEastAsia" w:hAnsiTheme="minorHAnsi" w:cstheme="minorHAnsi"/>
                <w:sz w:val="16"/>
                <w:szCs w:val="16"/>
                <w:lang w:val="en-US"/>
              </w:rPr>
              <w:t xml:space="preserve">   </w:t>
            </w:r>
          </w:p>
          <w:p w14:paraId="3FCE3534"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Improved practices are technically viable and locally accepted  </w:t>
            </w:r>
          </w:p>
          <w:p w14:paraId="64DBE44E"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Beneficiaries are trained and motivated to maintain the new practices  </w:t>
            </w:r>
          </w:p>
          <w:p w14:paraId="62D26B1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There are technical or economic incentives for sustainable adoption  </w:t>
            </w:r>
          </w:p>
          <w:p w14:paraId="3D621FC7"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Secure access to land for the farmers involved  </w:t>
            </w:r>
          </w:p>
          <w:p w14:paraId="7869DC66"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Risks: </w:t>
            </w:r>
            <w:r w:rsidRPr="003C5C1B">
              <w:rPr>
                <w:rFonts w:asciiTheme="minorHAnsi" w:eastAsiaTheme="minorEastAsia" w:hAnsiTheme="minorHAnsi" w:cstheme="minorHAnsi"/>
                <w:sz w:val="16"/>
                <w:szCs w:val="16"/>
                <w:lang w:val="en-US"/>
              </w:rPr>
              <w:t xml:space="preserve">  </w:t>
            </w:r>
          </w:p>
          <w:p w14:paraId="10391D5C"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Superficial or temporary adoption of practices (lack of sustainability)  </w:t>
            </w:r>
          </w:p>
          <w:p w14:paraId="7A27FFE6"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Poor tracking of project-wide changes  </w:t>
            </w:r>
          </w:p>
          <w:p w14:paraId="6B912492"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Economic pressures to return to degrading practices  </w:t>
            </w:r>
          </w:p>
          <w:p w14:paraId="3A34E55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Lack of coordination between actors working on landscapes  </w:t>
            </w:r>
          </w:p>
          <w:p w14:paraId="1A4FB8B1" w14:textId="77777777" w:rsidR="00A15021" w:rsidRPr="00045243" w:rsidRDefault="00A15021" w:rsidP="00A15021">
            <w:pPr>
              <w:pStyle w:val="Paragraphedeliste"/>
              <w:numPr>
                <w:ilvl w:val="0"/>
                <w:numId w:val="362"/>
              </w:numPr>
              <w:spacing w:after="0" w:line="257" w:lineRule="auto"/>
              <w:contextualSpacing w:val="0"/>
              <w:rPr>
                <w:rFonts w:asciiTheme="minorHAnsi" w:eastAsiaTheme="minorEastAsia" w:hAnsiTheme="minorHAnsi" w:cstheme="minorHAnsi"/>
                <w:sz w:val="16"/>
                <w:szCs w:val="16"/>
              </w:rPr>
            </w:pPr>
            <w:proofErr w:type="spellStart"/>
            <w:proofErr w:type="gramStart"/>
            <w:r w:rsidRPr="00045243">
              <w:rPr>
                <w:rFonts w:asciiTheme="minorHAnsi" w:eastAsiaTheme="minorEastAsia" w:hAnsiTheme="minorHAnsi" w:cstheme="minorHAnsi"/>
                <w:sz w:val="16"/>
                <w:szCs w:val="16"/>
              </w:rPr>
              <w:t>difficulty</w:t>
            </w:r>
            <w:proofErr w:type="spellEnd"/>
            <w:proofErr w:type="gramEnd"/>
            <w:r w:rsidRPr="00045243">
              <w:rPr>
                <w:rFonts w:asciiTheme="minorHAnsi" w:eastAsiaTheme="minorEastAsia" w:hAnsiTheme="minorHAnsi" w:cstheme="minorHAnsi"/>
                <w:sz w:val="16"/>
                <w:szCs w:val="16"/>
              </w:rPr>
              <w:t xml:space="preserve"> </w:t>
            </w:r>
            <w:proofErr w:type="spellStart"/>
            <w:r w:rsidRPr="00045243">
              <w:rPr>
                <w:rFonts w:asciiTheme="minorHAnsi" w:eastAsiaTheme="minorEastAsia" w:hAnsiTheme="minorHAnsi" w:cstheme="minorHAnsi"/>
                <w:sz w:val="16"/>
                <w:szCs w:val="16"/>
              </w:rPr>
              <w:t>estimating</w:t>
            </w:r>
            <w:proofErr w:type="spellEnd"/>
            <w:r w:rsidRPr="00045243">
              <w:rPr>
                <w:rFonts w:asciiTheme="minorHAnsi" w:eastAsiaTheme="minorEastAsia" w:hAnsiTheme="minorHAnsi" w:cstheme="minorHAnsi"/>
                <w:sz w:val="16"/>
                <w:szCs w:val="16"/>
              </w:rPr>
              <w:t xml:space="preserve"> impacts   </w:t>
            </w:r>
          </w:p>
        </w:tc>
        <w:tc>
          <w:tcPr>
            <w:tcW w:w="1803" w:type="dxa"/>
          </w:tcPr>
          <w:p w14:paraId="7F6D0F9A" w14:textId="77777777" w:rsidR="00A15021" w:rsidRPr="00045243" w:rsidRDefault="00A15021">
            <w:pPr>
              <w:spacing w:line="257" w:lineRule="auto"/>
              <w:rPr>
                <w:rFonts w:asciiTheme="minorHAnsi" w:eastAsiaTheme="minorEastAsia" w:hAnsiTheme="minorHAnsi" w:cstheme="minorHAnsi"/>
                <w:b/>
                <w:bCs/>
                <w:sz w:val="16"/>
                <w:szCs w:val="16"/>
              </w:rPr>
            </w:pPr>
          </w:p>
        </w:tc>
      </w:tr>
      <w:tr w:rsidR="00344861" w:rsidRPr="00F50786" w14:paraId="69F156AE" w14:textId="77777777" w:rsidTr="2DC80E69">
        <w:trPr>
          <w:trHeight w:val="300"/>
          <w:jc w:val="center"/>
        </w:trPr>
        <w:tc>
          <w:tcPr>
            <w:tcW w:w="747" w:type="dxa"/>
            <w:vMerge/>
            <w:vAlign w:val="center"/>
          </w:tcPr>
          <w:p w14:paraId="11166E5E" w14:textId="77777777" w:rsidR="00A15021" w:rsidRPr="00217630" w:rsidRDefault="00A15021">
            <w:pPr>
              <w:rPr>
                <w:rFonts w:asciiTheme="minorHAnsi" w:hAnsiTheme="minorHAnsi" w:cstheme="minorHAnsi"/>
                <w:sz w:val="16"/>
                <w:szCs w:val="16"/>
              </w:rPr>
            </w:pPr>
          </w:p>
        </w:tc>
        <w:tc>
          <w:tcPr>
            <w:tcW w:w="1185" w:type="dxa"/>
          </w:tcPr>
          <w:p w14:paraId="2494D67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u w:val="single"/>
                <w:lang w:val="en-US"/>
              </w:rPr>
              <w:t>Indicator #4:</w:t>
            </w:r>
            <w:r w:rsidRPr="003C5C1B">
              <w:rPr>
                <w:rFonts w:asciiTheme="minorHAnsi" w:eastAsiaTheme="minorEastAsia" w:hAnsiTheme="minorHAnsi" w:cstheme="minorHAnsi"/>
                <w:sz w:val="16"/>
                <w:szCs w:val="16"/>
                <w:lang w:val="en-US"/>
              </w:rPr>
              <w:t xml:space="preserve">  Greenhouse Gas Emissions Mitigated (metric ton of CO2e) - direct </w:t>
            </w:r>
            <w:r w:rsidRPr="003C5C1B">
              <w:rPr>
                <w:rFonts w:asciiTheme="minorHAnsi" w:eastAsiaTheme="minorEastAsia" w:hAnsiTheme="minorHAnsi" w:cstheme="minorHAnsi"/>
                <w:sz w:val="16"/>
                <w:szCs w:val="16"/>
                <w:lang w:val="en-US"/>
              </w:rPr>
              <w:lastRenderedPageBreak/>
              <w:t xml:space="preserve">and indirect (GEF Core Indicator 6)  </w:t>
            </w:r>
          </w:p>
        </w:tc>
        <w:tc>
          <w:tcPr>
            <w:tcW w:w="2027" w:type="dxa"/>
            <w:gridSpan w:val="2"/>
          </w:tcPr>
          <w:p w14:paraId="7CF4E759"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i/>
                <w:iCs/>
                <w:sz w:val="16"/>
                <w:szCs w:val="16"/>
              </w:rPr>
              <w:lastRenderedPageBreak/>
              <w:t>PMU Reports  </w:t>
            </w:r>
            <w:r w:rsidRPr="00045243">
              <w:rPr>
                <w:rFonts w:asciiTheme="minorHAnsi" w:eastAsiaTheme="minorEastAsia" w:hAnsiTheme="minorHAnsi" w:cstheme="minorHAnsi"/>
                <w:sz w:val="16"/>
                <w:szCs w:val="16"/>
              </w:rPr>
              <w:t xml:space="preserve">  </w:t>
            </w:r>
          </w:p>
        </w:tc>
        <w:tc>
          <w:tcPr>
            <w:tcW w:w="1670" w:type="dxa"/>
            <w:gridSpan w:val="2"/>
          </w:tcPr>
          <w:p w14:paraId="5A5C4A26"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i/>
                <w:iCs/>
                <w:sz w:val="16"/>
                <w:szCs w:val="16"/>
              </w:rPr>
              <w:t>0</w:t>
            </w:r>
            <w:r w:rsidRPr="00045243">
              <w:rPr>
                <w:rFonts w:asciiTheme="minorHAnsi" w:eastAsiaTheme="minorEastAsia" w:hAnsiTheme="minorHAnsi" w:cstheme="minorHAnsi"/>
                <w:sz w:val="16"/>
                <w:szCs w:val="16"/>
              </w:rPr>
              <w:t xml:space="preserve">  </w:t>
            </w:r>
          </w:p>
        </w:tc>
        <w:tc>
          <w:tcPr>
            <w:tcW w:w="1220" w:type="dxa"/>
            <w:gridSpan w:val="2"/>
          </w:tcPr>
          <w:p w14:paraId="219587B9"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0 </w:t>
            </w:r>
          </w:p>
        </w:tc>
        <w:tc>
          <w:tcPr>
            <w:tcW w:w="1463" w:type="dxa"/>
          </w:tcPr>
          <w:p w14:paraId="0084779D" w14:textId="77777777" w:rsidR="00A15021" w:rsidRPr="00045243" w:rsidRDefault="00A15021">
            <w:pPr>
              <w:shd w:val="clear" w:color="auto" w:fill="FFFFFF" w:themeFill="background1"/>
              <w:jc w:val="center"/>
              <w:rPr>
                <w:rFonts w:asciiTheme="minorHAnsi" w:hAnsiTheme="minorHAnsi" w:cstheme="minorHAnsi"/>
                <w:color w:val="000000" w:themeColor="text1"/>
                <w:sz w:val="16"/>
                <w:szCs w:val="16"/>
                <w:highlight w:val="green"/>
              </w:rPr>
            </w:pPr>
            <w:r w:rsidRPr="00045243">
              <w:rPr>
                <w:rFonts w:asciiTheme="minorHAnsi" w:hAnsiTheme="minorHAnsi" w:cstheme="minorHAnsi"/>
                <w:color w:val="000000" w:themeColor="text1"/>
                <w:sz w:val="16"/>
                <w:szCs w:val="16"/>
                <w:highlight w:val="green"/>
              </w:rPr>
              <w:t>387,617</w:t>
            </w:r>
          </w:p>
          <w:p w14:paraId="74ED665F"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hAnsiTheme="minorHAnsi" w:cstheme="minorHAnsi"/>
                <w:color w:val="000000" w:themeColor="text1"/>
                <w:sz w:val="16"/>
                <w:szCs w:val="16"/>
              </w:rPr>
              <w:t xml:space="preserve"> </w:t>
            </w:r>
            <w:proofErr w:type="gramStart"/>
            <w:r w:rsidRPr="00045243">
              <w:rPr>
                <w:rFonts w:asciiTheme="minorHAnsi" w:hAnsiTheme="minorHAnsi" w:cstheme="minorHAnsi"/>
                <w:color w:val="000000" w:themeColor="text1"/>
                <w:sz w:val="16"/>
                <w:szCs w:val="16"/>
                <w:highlight w:val="green"/>
              </w:rPr>
              <w:t>tCO</w:t>
            </w:r>
            <w:proofErr w:type="gramEnd"/>
            <w:r w:rsidRPr="00045243">
              <w:rPr>
                <w:rFonts w:asciiTheme="minorHAnsi" w:hAnsiTheme="minorHAnsi" w:cstheme="minorHAnsi"/>
                <w:color w:val="000000" w:themeColor="text1"/>
                <w:sz w:val="16"/>
                <w:szCs w:val="16"/>
                <w:highlight w:val="green"/>
              </w:rPr>
              <w:t>2e</w:t>
            </w:r>
            <w:r w:rsidRPr="00045243">
              <w:rPr>
                <w:rFonts w:asciiTheme="minorHAnsi" w:eastAsiaTheme="minorEastAsia" w:hAnsiTheme="minorHAnsi" w:cstheme="minorHAnsi"/>
                <w:sz w:val="16"/>
                <w:szCs w:val="16"/>
              </w:rPr>
              <w:t xml:space="preserve">   </w:t>
            </w:r>
          </w:p>
        </w:tc>
        <w:tc>
          <w:tcPr>
            <w:tcW w:w="2195" w:type="dxa"/>
          </w:tcPr>
          <w:p w14:paraId="527D4E6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Based on recognized methodologies (IPCC, GHG Protocol, GEF guidelines, CDM/UNFCCC, etc.), the general formula is:  </w:t>
            </w:r>
          </w:p>
          <w:p w14:paraId="2C35055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lastRenderedPageBreak/>
              <w:t>Avoided or reduced GHGs = Baseline – Projected Emissions</w:t>
            </w:r>
            <w:r w:rsidRPr="003C5C1B">
              <w:rPr>
                <w:rFonts w:asciiTheme="minorHAnsi" w:eastAsiaTheme="minorEastAsia" w:hAnsiTheme="minorHAnsi" w:cstheme="minorHAnsi"/>
                <w:sz w:val="16"/>
                <w:szCs w:val="16"/>
                <w:lang w:val="en-US"/>
              </w:rPr>
              <w:t xml:space="preserve">  </w:t>
            </w:r>
          </w:p>
          <w:p w14:paraId="091B424A"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Depending on the sector of intervention (energy, transport, forestry, waste, etc.), a specific methodology is applied:  </w:t>
            </w:r>
          </w:p>
          <w:p w14:paraId="75CAB645" w14:textId="77777777" w:rsidR="00A15021" w:rsidRPr="00045243" w:rsidRDefault="00A15021" w:rsidP="00A15021">
            <w:pPr>
              <w:pStyle w:val="Paragraphedeliste"/>
              <w:numPr>
                <w:ilvl w:val="0"/>
                <w:numId w:val="361"/>
              </w:numPr>
              <w:spacing w:after="0" w:line="257" w:lineRule="auto"/>
              <w:contextualSpacing w:val="0"/>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Emission </w:t>
            </w:r>
            <w:proofErr w:type="spellStart"/>
            <w:r w:rsidRPr="00045243">
              <w:rPr>
                <w:rFonts w:asciiTheme="minorHAnsi" w:eastAsiaTheme="minorEastAsia" w:hAnsiTheme="minorHAnsi" w:cstheme="minorHAnsi"/>
                <w:sz w:val="16"/>
                <w:szCs w:val="16"/>
              </w:rPr>
              <w:t>factors</w:t>
            </w:r>
            <w:proofErr w:type="spellEnd"/>
            <w:r w:rsidRPr="00045243">
              <w:rPr>
                <w:rFonts w:asciiTheme="minorHAnsi" w:eastAsiaTheme="minorEastAsia" w:hAnsiTheme="minorHAnsi" w:cstheme="minorHAnsi"/>
                <w:sz w:val="16"/>
                <w:szCs w:val="16"/>
              </w:rPr>
              <w:t xml:space="preserve"> (</w:t>
            </w:r>
            <w:proofErr w:type="spellStart"/>
            <w:r w:rsidRPr="00045243">
              <w:rPr>
                <w:rFonts w:asciiTheme="minorHAnsi" w:eastAsiaTheme="minorEastAsia" w:hAnsiTheme="minorHAnsi" w:cstheme="minorHAnsi"/>
                <w:sz w:val="16"/>
                <w:szCs w:val="16"/>
              </w:rPr>
              <w:t>tCO₂e</w:t>
            </w:r>
            <w:proofErr w:type="spellEnd"/>
            <w:r w:rsidRPr="00045243">
              <w:rPr>
                <w:rFonts w:asciiTheme="minorHAnsi" w:eastAsiaTheme="minorEastAsia" w:hAnsiTheme="minorHAnsi" w:cstheme="minorHAnsi"/>
                <w:sz w:val="16"/>
                <w:szCs w:val="16"/>
              </w:rPr>
              <w:t xml:space="preserve">/kWh, </w:t>
            </w:r>
            <w:proofErr w:type="spellStart"/>
            <w:r w:rsidRPr="00045243">
              <w:rPr>
                <w:rFonts w:asciiTheme="minorHAnsi" w:eastAsiaTheme="minorEastAsia" w:hAnsiTheme="minorHAnsi" w:cstheme="minorHAnsi"/>
                <w:sz w:val="16"/>
                <w:szCs w:val="16"/>
              </w:rPr>
              <w:t>tCO₂e</w:t>
            </w:r>
            <w:proofErr w:type="spellEnd"/>
            <w:r w:rsidRPr="00045243">
              <w:rPr>
                <w:rFonts w:asciiTheme="minorHAnsi" w:eastAsiaTheme="minorEastAsia" w:hAnsiTheme="minorHAnsi" w:cstheme="minorHAnsi"/>
                <w:sz w:val="16"/>
                <w:szCs w:val="16"/>
              </w:rPr>
              <w:t xml:space="preserve">/hectare, etc.)  </w:t>
            </w:r>
          </w:p>
          <w:p w14:paraId="7CBF6767" w14:textId="77777777" w:rsidR="00A15021" w:rsidRPr="003C5C1B" w:rsidRDefault="00A15021" w:rsidP="00A15021">
            <w:pPr>
              <w:pStyle w:val="Paragraphedeliste"/>
              <w:numPr>
                <w:ilvl w:val="0"/>
                <w:numId w:val="360"/>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Measured activity (kWh saved, ha reforested, vehicles deployed, etc.)  </w:t>
            </w:r>
          </w:p>
          <w:p w14:paraId="55EEE1D0" w14:textId="77777777" w:rsidR="00A15021" w:rsidRPr="00045243" w:rsidRDefault="00A15021" w:rsidP="00A15021">
            <w:pPr>
              <w:pStyle w:val="Paragraphedeliste"/>
              <w:numPr>
                <w:ilvl w:val="0"/>
                <w:numId w:val="359"/>
              </w:numPr>
              <w:spacing w:after="0" w:line="257" w:lineRule="auto"/>
              <w:contextualSpacing w:val="0"/>
              <w:rPr>
                <w:rFonts w:asciiTheme="minorHAnsi" w:eastAsiaTheme="minorEastAsia" w:hAnsiTheme="minorHAnsi" w:cstheme="minorHAnsi"/>
                <w:sz w:val="16"/>
                <w:szCs w:val="16"/>
              </w:rPr>
            </w:pPr>
            <w:proofErr w:type="spellStart"/>
            <w:r w:rsidRPr="00045243">
              <w:rPr>
                <w:rFonts w:asciiTheme="minorHAnsi" w:eastAsiaTheme="minorEastAsia" w:hAnsiTheme="minorHAnsi" w:cstheme="minorHAnsi"/>
                <w:sz w:val="16"/>
                <w:szCs w:val="16"/>
              </w:rPr>
              <w:t>Useful</w:t>
            </w:r>
            <w:proofErr w:type="spellEnd"/>
            <w:r w:rsidRPr="00045243">
              <w:rPr>
                <w:rFonts w:asciiTheme="minorHAnsi" w:eastAsiaTheme="minorEastAsia" w:hAnsiTheme="minorHAnsi" w:cstheme="minorHAnsi"/>
                <w:sz w:val="16"/>
                <w:szCs w:val="16"/>
              </w:rPr>
              <w:t xml:space="preserve"> life of technologies  </w:t>
            </w:r>
          </w:p>
          <w:p w14:paraId="4859CB18"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lang w:val="en-US"/>
              </w:rPr>
              <w:t>Greenhouse gas emission mitigated in and outside the AFOLU sector: The Ex-Ante Carbon-balance Tool </w:t>
            </w:r>
            <w:r w:rsidRPr="003C5C1B">
              <w:rPr>
                <w:rFonts w:asciiTheme="minorHAnsi" w:eastAsiaTheme="minorEastAsia" w:hAnsiTheme="minorHAnsi" w:cstheme="minorHAnsi"/>
                <w:sz w:val="16"/>
                <w:szCs w:val="16"/>
                <w:lang w:val="en-US"/>
              </w:rPr>
              <w:t xml:space="preserve">  </w:t>
            </w:r>
          </w:p>
          <w:p w14:paraId="37D12C17"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lang w:val="en-US"/>
              </w:rPr>
              <w:t>(EX-ACT) of the Food and Agriculture Organization of the United Nations (FAO)</w:t>
            </w:r>
            <w:r w:rsidRPr="003C5C1B">
              <w:rPr>
                <w:rFonts w:asciiTheme="minorHAnsi" w:eastAsiaTheme="minorEastAsia" w:hAnsiTheme="minorHAnsi" w:cstheme="minorHAnsi"/>
                <w:sz w:val="16"/>
                <w:szCs w:val="16"/>
                <w:lang w:val="en-US"/>
              </w:rPr>
              <w:t xml:space="preserve">  </w:t>
            </w:r>
          </w:p>
          <w:p w14:paraId="6E95360F"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lang w:val="en-US"/>
              </w:rPr>
              <w:t xml:space="preserve">Emission avoided for transportation sector (see the detail for the methodology in </w:t>
            </w:r>
            <w:proofErr w:type="spellStart"/>
            <w:r w:rsidRPr="003C5C1B">
              <w:rPr>
                <w:rFonts w:asciiTheme="minorHAnsi" w:eastAsiaTheme="minorEastAsia" w:hAnsiTheme="minorHAnsi" w:cstheme="minorHAnsi"/>
                <w:i/>
                <w:iCs/>
                <w:sz w:val="16"/>
                <w:szCs w:val="16"/>
                <w:lang w:val="en-US"/>
              </w:rPr>
              <w:t>theExcel</w:t>
            </w:r>
            <w:proofErr w:type="spellEnd"/>
            <w:r w:rsidRPr="003C5C1B">
              <w:rPr>
                <w:rFonts w:asciiTheme="minorHAnsi" w:eastAsiaTheme="minorEastAsia" w:hAnsiTheme="minorHAnsi" w:cstheme="minorHAnsi"/>
                <w:i/>
                <w:iCs/>
                <w:sz w:val="16"/>
                <w:szCs w:val="16"/>
                <w:lang w:val="en-US"/>
              </w:rPr>
              <w:t xml:space="preserve"> sheet annexed to CEOER)</w:t>
            </w:r>
            <w:r w:rsidRPr="003C5C1B">
              <w:rPr>
                <w:rFonts w:asciiTheme="minorHAnsi" w:eastAsiaTheme="minorEastAsia" w:hAnsiTheme="minorHAnsi" w:cstheme="minorHAnsi"/>
                <w:sz w:val="16"/>
                <w:szCs w:val="16"/>
                <w:lang w:val="en-US"/>
              </w:rPr>
              <w:t xml:space="preserve">  </w:t>
            </w:r>
          </w:p>
        </w:tc>
        <w:tc>
          <w:tcPr>
            <w:tcW w:w="2062" w:type="dxa"/>
          </w:tcPr>
          <w:p w14:paraId="6D47D721"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lastRenderedPageBreak/>
              <w:t>Assumptions:</w:t>
            </w:r>
            <w:r w:rsidRPr="003C5C1B">
              <w:rPr>
                <w:rFonts w:asciiTheme="minorHAnsi" w:eastAsiaTheme="minorEastAsia" w:hAnsiTheme="minorHAnsi" w:cstheme="minorHAnsi"/>
                <w:sz w:val="16"/>
                <w:szCs w:val="16"/>
                <w:lang w:val="en-US"/>
              </w:rPr>
              <w:t xml:space="preserve"> </w:t>
            </w:r>
          </w:p>
          <w:p w14:paraId="78150C97"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The baseline data is reliable, available and representative  </w:t>
            </w:r>
          </w:p>
          <w:p w14:paraId="5A90E395"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lastRenderedPageBreak/>
              <w:t xml:space="preserve">The technologies or measures implemented are working as intended  </w:t>
            </w:r>
          </w:p>
          <w:p w14:paraId="0377A62C"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Indirect effects (replication, catalysis) are well estimated and modelled  </w:t>
            </w:r>
          </w:p>
          <w:p w14:paraId="202E8DB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Economic, political and social conditions allow for widespread adoption  </w:t>
            </w:r>
          </w:p>
          <w:p w14:paraId="34FEC9D8"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MRV systems are operational and able to capture real impacts  </w:t>
            </w:r>
          </w:p>
          <w:p w14:paraId="2D9237B1"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Risks</w:t>
            </w:r>
            <w:r w:rsidRPr="003C5C1B">
              <w:rPr>
                <w:rFonts w:asciiTheme="minorHAnsi" w:eastAsiaTheme="minorEastAsia" w:hAnsiTheme="minorHAnsi" w:cstheme="minorHAnsi"/>
                <w:b/>
                <w:bCs/>
                <w:i/>
                <w:iCs/>
                <w:sz w:val="16"/>
                <w:szCs w:val="16"/>
                <w:lang w:val="en-US"/>
              </w:rPr>
              <w:t>:</w:t>
            </w:r>
            <w:r w:rsidRPr="003C5C1B">
              <w:rPr>
                <w:rFonts w:asciiTheme="minorHAnsi" w:eastAsiaTheme="minorEastAsia" w:hAnsiTheme="minorHAnsi" w:cstheme="minorHAnsi"/>
                <w:sz w:val="16"/>
                <w:szCs w:val="16"/>
                <w:lang w:val="en-US"/>
              </w:rPr>
              <w:t xml:space="preserve"> </w:t>
            </w:r>
          </w:p>
          <w:p w14:paraId="5D6F3B12"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Absence or poor quality of baseline data  </w:t>
            </w:r>
          </w:p>
          <w:p w14:paraId="0F39FD1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Difficulties in credibly estimating or attributing indirect reductions  </w:t>
            </w:r>
          </w:p>
          <w:p w14:paraId="3EAFA6F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Policy </w:t>
            </w:r>
            <w:proofErr w:type="gramStart"/>
            <w:r w:rsidRPr="003C5C1B">
              <w:rPr>
                <w:rFonts w:asciiTheme="minorHAnsi" w:eastAsiaTheme="minorEastAsia" w:hAnsiTheme="minorHAnsi" w:cstheme="minorHAnsi"/>
                <w:sz w:val="16"/>
                <w:szCs w:val="16"/>
                <w:lang w:val="en-US"/>
              </w:rPr>
              <w:t>change</w:t>
            </w:r>
            <w:proofErr w:type="gramEnd"/>
            <w:r w:rsidRPr="003C5C1B">
              <w:rPr>
                <w:rFonts w:asciiTheme="minorHAnsi" w:eastAsiaTheme="minorEastAsia" w:hAnsiTheme="minorHAnsi" w:cstheme="minorHAnsi"/>
                <w:sz w:val="16"/>
                <w:szCs w:val="16"/>
                <w:lang w:val="en-US"/>
              </w:rPr>
              <w:t xml:space="preserve"> leading to a disincentive to adopt low-carbon solutions  </w:t>
            </w:r>
          </w:p>
          <w:p w14:paraId="73A40C84"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Risks of double counting if reductions are also reported by other programs or entities  </w:t>
            </w:r>
          </w:p>
        </w:tc>
        <w:tc>
          <w:tcPr>
            <w:tcW w:w="1803" w:type="dxa"/>
          </w:tcPr>
          <w:p w14:paraId="77812128" w14:textId="77777777" w:rsidR="00A15021" w:rsidRPr="003C5C1B" w:rsidRDefault="00A15021">
            <w:pPr>
              <w:spacing w:line="257" w:lineRule="auto"/>
              <w:rPr>
                <w:rFonts w:asciiTheme="minorHAnsi" w:eastAsiaTheme="minorEastAsia" w:hAnsiTheme="minorHAnsi" w:cstheme="minorHAnsi"/>
                <w:b/>
                <w:bCs/>
                <w:sz w:val="16"/>
                <w:szCs w:val="16"/>
                <w:lang w:val="en-US"/>
              </w:rPr>
            </w:pPr>
          </w:p>
        </w:tc>
      </w:tr>
      <w:tr w:rsidR="00A25847" w:rsidRPr="00F50786" w14:paraId="32DBC28B" w14:textId="77777777" w:rsidTr="2DC80E69">
        <w:trPr>
          <w:trHeight w:val="300"/>
          <w:jc w:val="center"/>
        </w:trPr>
        <w:tc>
          <w:tcPr>
            <w:tcW w:w="747" w:type="dxa"/>
            <w:vMerge/>
          </w:tcPr>
          <w:p w14:paraId="08C5CC9A" w14:textId="77777777" w:rsidR="00A15021" w:rsidRPr="003C5C1B" w:rsidRDefault="00A15021">
            <w:pPr>
              <w:rPr>
                <w:rFonts w:asciiTheme="minorHAnsi" w:hAnsiTheme="minorHAnsi" w:cstheme="minorHAnsi"/>
                <w:sz w:val="16"/>
                <w:szCs w:val="16"/>
                <w:lang w:val="en-US"/>
              </w:rPr>
            </w:pPr>
          </w:p>
        </w:tc>
        <w:tc>
          <w:tcPr>
            <w:tcW w:w="1185" w:type="dxa"/>
          </w:tcPr>
          <w:p w14:paraId="2746F209" w14:textId="77777777" w:rsidR="00A15021" w:rsidRPr="003C5C1B" w:rsidRDefault="00A15021">
            <w:pPr>
              <w:spacing w:line="257" w:lineRule="auto"/>
              <w:rPr>
                <w:rFonts w:asciiTheme="minorHAnsi" w:eastAsiaTheme="minorEastAsia" w:hAnsiTheme="minorHAnsi" w:cstheme="minorHAnsi"/>
                <w:sz w:val="16"/>
                <w:szCs w:val="16"/>
                <w:highlight w:val="green"/>
                <w:lang w:val="en-US"/>
              </w:rPr>
            </w:pPr>
            <w:r w:rsidRPr="003C5C1B">
              <w:rPr>
                <w:rFonts w:asciiTheme="minorHAnsi" w:eastAsiaTheme="minorEastAsia" w:hAnsiTheme="minorHAnsi" w:cstheme="minorHAnsi"/>
                <w:b/>
                <w:bCs/>
                <w:sz w:val="16"/>
                <w:szCs w:val="16"/>
                <w:highlight w:val="green"/>
                <w:u w:val="single"/>
                <w:lang w:val="en-US"/>
              </w:rPr>
              <w:t>Indicator #</w:t>
            </w:r>
            <w:r w:rsidRPr="003C5C1B">
              <w:rPr>
                <w:rFonts w:asciiTheme="minorHAnsi" w:eastAsiaTheme="minorEastAsia" w:hAnsiTheme="minorHAnsi" w:cstheme="minorHAnsi"/>
                <w:sz w:val="16"/>
                <w:szCs w:val="16"/>
                <w:highlight w:val="green"/>
                <w:u w:val="single"/>
                <w:lang w:val="en-US"/>
              </w:rPr>
              <w:t xml:space="preserve">5: </w:t>
            </w:r>
            <w:r w:rsidRPr="003C5C1B">
              <w:rPr>
                <w:rFonts w:asciiTheme="minorHAnsi" w:eastAsiaTheme="minorEastAsia" w:hAnsiTheme="minorHAnsi" w:cstheme="minorHAnsi"/>
                <w:color w:val="000000" w:themeColor="text1"/>
                <w:sz w:val="16"/>
                <w:szCs w:val="16"/>
                <w:highlight w:val="green"/>
                <w:lang w:val="en-US"/>
              </w:rPr>
              <w:t xml:space="preserve">Countries with legislation and policy implemented to control chemicals </w:t>
            </w:r>
            <w:r w:rsidRPr="003C5C1B">
              <w:rPr>
                <w:rFonts w:asciiTheme="minorHAnsi" w:eastAsiaTheme="minorEastAsia" w:hAnsiTheme="minorHAnsi" w:cstheme="minorHAnsi"/>
                <w:color w:val="000000" w:themeColor="text1"/>
                <w:sz w:val="16"/>
                <w:szCs w:val="16"/>
                <w:highlight w:val="green"/>
                <w:lang w:val="en-US"/>
              </w:rPr>
              <w:lastRenderedPageBreak/>
              <w:t>and waste (Core Indicator 9.4)</w:t>
            </w:r>
          </w:p>
        </w:tc>
        <w:tc>
          <w:tcPr>
            <w:tcW w:w="2027" w:type="dxa"/>
            <w:gridSpan w:val="2"/>
          </w:tcPr>
          <w:p w14:paraId="67BFFEB0" w14:textId="77777777" w:rsidR="00A15021" w:rsidRPr="003C5C1B" w:rsidRDefault="00A15021">
            <w:pPr>
              <w:spacing w:line="257" w:lineRule="auto"/>
              <w:rPr>
                <w:rFonts w:asciiTheme="minorHAnsi" w:eastAsiaTheme="minorEastAsia" w:hAnsiTheme="minorHAnsi" w:cstheme="minorHAnsi"/>
                <w:sz w:val="16"/>
                <w:szCs w:val="16"/>
                <w:highlight w:val="green"/>
                <w:lang w:val="en-US"/>
              </w:rPr>
            </w:pPr>
            <w:r w:rsidRPr="003C5C1B">
              <w:rPr>
                <w:rFonts w:asciiTheme="minorHAnsi" w:eastAsiaTheme="minorEastAsia" w:hAnsiTheme="minorHAnsi" w:cstheme="minorHAnsi"/>
                <w:i/>
                <w:iCs/>
                <w:sz w:val="16"/>
                <w:szCs w:val="16"/>
                <w:highlight w:val="green"/>
                <w:lang w:val="en-US"/>
              </w:rPr>
              <w:lastRenderedPageBreak/>
              <w:t>Project monitoring and evaluation (M&amp;E) reports </w:t>
            </w:r>
            <w:r w:rsidRPr="003C5C1B">
              <w:rPr>
                <w:rFonts w:asciiTheme="minorHAnsi" w:eastAsiaTheme="minorEastAsia" w:hAnsiTheme="minorHAnsi" w:cstheme="minorHAnsi"/>
                <w:sz w:val="16"/>
                <w:szCs w:val="16"/>
                <w:highlight w:val="green"/>
                <w:lang w:val="en-US"/>
              </w:rPr>
              <w:t> </w:t>
            </w:r>
          </w:p>
          <w:p w14:paraId="4B9A815A" w14:textId="77777777" w:rsidR="00A15021" w:rsidRPr="003C5C1B" w:rsidRDefault="00A15021">
            <w:pPr>
              <w:spacing w:line="257" w:lineRule="auto"/>
              <w:rPr>
                <w:rFonts w:asciiTheme="minorHAnsi" w:eastAsiaTheme="minorEastAsia" w:hAnsiTheme="minorHAnsi" w:cstheme="minorHAnsi"/>
                <w:i/>
                <w:iCs/>
                <w:sz w:val="16"/>
                <w:szCs w:val="16"/>
                <w:highlight w:val="green"/>
                <w:lang w:val="en-US"/>
              </w:rPr>
            </w:pPr>
          </w:p>
        </w:tc>
        <w:tc>
          <w:tcPr>
            <w:tcW w:w="1670" w:type="dxa"/>
            <w:gridSpan w:val="2"/>
          </w:tcPr>
          <w:p w14:paraId="23C8A569" w14:textId="333D0854" w:rsidR="00FD479A" w:rsidRPr="003C5C1B" w:rsidRDefault="00FD479A" w:rsidP="00FD479A">
            <w:pPr>
              <w:spacing w:line="257" w:lineRule="auto"/>
              <w:rPr>
                <w:rFonts w:asciiTheme="minorHAnsi" w:eastAsiaTheme="minorEastAsia" w:hAnsiTheme="minorHAnsi" w:cstheme="minorHAnsi"/>
                <w:sz w:val="16"/>
                <w:szCs w:val="16"/>
                <w:highlight w:val="green"/>
                <w:lang w:val="en-US"/>
              </w:rPr>
            </w:pPr>
            <w:r w:rsidRPr="003C5C1B">
              <w:rPr>
                <w:rFonts w:asciiTheme="minorHAnsi" w:eastAsiaTheme="minorEastAsia" w:hAnsiTheme="minorHAnsi" w:cstheme="minorHAnsi"/>
                <w:sz w:val="16"/>
                <w:szCs w:val="16"/>
                <w:highlight w:val="green"/>
                <w:lang w:val="en-US"/>
              </w:rPr>
              <w:t xml:space="preserve">Zero, no </w:t>
            </w:r>
            <w:r w:rsidR="000B00D9" w:rsidRPr="003C5C1B">
              <w:rPr>
                <w:rFonts w:asciiTheme="minorHAnsi" w:eastAsiaTheme="minorEastAsia" w:hAnsiTheme="minorHAnsi" w:cstheme="minorHAnsi"/>
                <w:sz w:val="16"/>
                <w:szCs w:val="16"/>
                <w:highlight w:val="green"/>
                <w:lang w:val="en-US"/>
              </w:rPr>
              <w:t>national strategy</w:t>
            </w:r>
            <w:r w:rsidR="00093C01" w:rsidRPr="003C5C1B">
              <w:rPr>
                <w:rFonts w:asciiTheme="minorHAnsi" w:eastAsiaTheme="minorEastAsia" w:hAnsiTheme="minorHAnsi" w:cstheme="minorHAnsi"/>
                <w:sz w:val="16"/>
                <w:szCs w:val="16"/>
                <w:highlight w:val="green"/>
                <w:lang w:val="en-US"/>
              </w:rPr>
              <w:t xml:space="preserve"> does</w:t>
            </w:r>
            <w:r w:rsidR="000B00D9" w:rsidRPr="003C5C1B">
              <w:rPr>
                <w:rFonts w:asciiTheme="minorHAnsi" w:eastAsiaTheme="minorEastAsia" w:hAnsiTheme="minorHAnsi" w:cstheme="minorHAnsi"/>
                <w:sz w:val="16"/>
                <w:szCs w:val="16"/>
                <w:highlight w:val="green"/>
                <w:lang w:val="en-US"/>
              </w:rPr>
              <w:t xml:space="preserve"> exist </w:t>
            </w:r>
            <w:r w:rsidRPr="003C5C1B">
              <w:rPr>
                <w:rFonts w:asciiTheme="minorHAnsi" w:eastAsiaTheme="minorEastAsia" w:hAnsiTheme="minorHAnsi" w:cstheme="minorHAnsi"/>
                <w:sz w:val="16"/>
                <w:szCs w:val="16"/>
                <w:highlight w:val="green"/>
                <w:lang w:val="en-US"/>
              </w:rPr>
              <w:t xml:space="preserve">  </w:t>
            </w:r>
          </w:p>
          <w:p w14:paraId="01612441" w14:textId="4ADB1E59" w:rsidR="00A15021" w:rsidRPr="003C5C1B" w:rsidRDefault="00A15021">
            <w:pPr>
              <w:spacing w:line="257" w:lineRule="auto"/>
              <w:rPr>
                <w:rFonts w:asciiTheme="minorHAnsi" w:eastAsiaTheme="minorEastAsia" w:hAnsiTheme="minorHAnsi" w:cstheme="minorHAnsi"/>
                <w:i/>
                <w:iCs/>
                <w:sz w:val="16"/>
                <w:szCs w:val="16"/>
                <w:highlight w:val="green"/>
                <w:lang w:val="en-US"/>
              </w:rPr>
            </w:pPr>
            <w:r w:rsidRPr="003C5C1B">
              <w:rPr>
                <w:rFonts w:asciiTheme="minorHAnsi" w:eastAsiaTheme="minorEastAsia" w:hAnsiTheme="minorHAnsi" w:cstheme="minorHAnsi"/>
                <w:i/>
                <w:iCs/>
                <w:sz w:val="16"/>
                <w:szCs w:val="16"/>
                <w:highlight w:val="green"/>
                <w:lang w:val="en-US"/>
              </w:rPr>
              <w:t>The Master Plan for Waste for the District of Bamako by 2045</w:t>
            </w:r>
            <w:r w:rsidR="009B18E2" w:rsidRPr="009B18E2">
              <w:rPr>
                <w:rFonts w:asciiTheme="minorHAnsi" w:eastAsiaTheme="minorEastAsia" w:hAnsiTheme="minorHAnsi" w:cstheme="minorHAnsi"/>
                <w:i/>
                <w:iCs/>
                <w:sz w:val="16"/>
                <w:szCs w:val="16"/>
                <w:highlight w:val="green"/>
                <w:lang w:val="en-US"/>
              </w:rPr>
              <w:t xml:space="preserve"> </w:t>
            </w:r>
            <w:proofErr w:type="gramStart"/>
            <w:r w:rsidR="009B18E2" w:rsidRPr="009B18E2">
              <w:rPr>
                <w:rFonts w:asciiTheme="minorHAnsi" w:eastAsiaTheme="minorEastAsia" w:hAnsiTheme="minorHAnsi" w:cstheme="minorHAnsi"/>
                <w:i/>
                <w:iCs/>
                <w:sz w:val="16"/>
                <w:szCs w:val="16"/>
                <w:highlight w:val="green"/>
                <w:lang w:val="en-US"/>
              </w:rPr>
              <w:t xml:space="preserve">exist </w:t>
            </w:r>
            <w:r w:rsidR="0048414E" w:rsidRPr="009B18E2">
              <w:rPr>
                <w:rFonts w:asciiTheme="minorHAnsi" w:eastAsiaTheme="minorEastAsia" w:hAnsiTheme="minorHAnsi" w:cstheme="minorHAnsi"/>
                <w:i/>
                <w:iCs/>
                <w:sz w:val="16"/>
                <w:szCs w:val="16"/>
                <w:highlight w:val="green"/>
                <w:lang w:val="en-US"/>
              </w:rPr>
              <w:t xml:space="preserve"> (</w:t>
            </w:r>
            <w:proofErr w:type="gramEnd"/>
            <w:r w:rsidR="0048414E" w:rsidRPr="009B18E2">
              <w:rPr>
                <w:rFonts w:asciiTheme="minorHAnsi" w:eastAsiaTheme="minorEastAsia" w:hAnsiTheme="minorHAnsi" w:cstheme="minorHAnsi"/>
                <w:i/>
                <w:iCs/>
                <w:sz w:val="16"/>
                <w:szCs w:val="16"/>
                <w:highlight w:val="green"/>
                <w:lang w:val="en-US"/>
              </w:rPr>
              <w:t>PRUBA)</w:t>
            </w:r>
          </w:p>
          <w:p w14:paraId="06B87AD4" w14:textId="77777777" w:rsidR="00A15021" w:rsidRPr="003C5C1B" w:rsidRDefault="00A15021">
            <w:pPr>
              <w:spacing w:line="257" w:lineRule="auto"/>
              <w:rPr>
                <w:rFonts w:asciiTheme="minorHAnsi" w:eastAsiaTheme="minorEastAsia" w:hAnsiTheme="minorHAnsi" w:cstheme="minorHAnsi"/>
                <w:i/>
                <w:iCs/>
                <w:sz w:val="16"/>
                <w:szCs w:val="16"/>
                <w:highlight w:val="green"/>
                <w:lang w:val="en-US"/>
              </w:rPr>
            </w:pPr>
          </w:p>
          <w:p w14:paraId="6E4CC6BE" w14:textId="0FDCCA55" w:rsidR="00A15021" w:rsidRPr="003C5C1B" w:rsidRDefault="00A15021">
            <w:pPr>
              <w:spacing w:line="257" w:lineRule="auto"/>
              <w:rPr>
                <w:rFonts w:asciiTheme="minorHAnsi" w:eastAsiaTheme="minorEastAsia" w:hAnsiTheme="minorHAnsi" w:cstheme="minorHAnsi"/>
                <w:i/>
                <w:iCs/>
                <w:sz w:val="16"/>
                <w:szCs w:val="16"/>
                <w:highlight w:val="green"/>
                <w:lang w:val="en-US"/>
              </w:rPr>
            </w:pPr>
          </w:p>
        </w:tc>
        <w:tc>
          <w:tcPr>
            <w:tcW w:w="1220" w:type="dxa"/>
            <w:gridSpan w:val="2"/>
          </w:tcPr>
          <w:p w14:paraId="1271676B" w14:textId="791CDB27" w:rsidR="00A15021" w:rsidRPr="009B18E2" w:rsidRDefault="00566C09">
            <w:pPr>
              <w:spacing w:line="257" w:lineRule="auto"/>
              <w:rPr>
                <w:rFonts w:asciiTheme="minorHAnsi" w:eastAsiaTheme="minorEastAsia" w:hAnsiTheme="minorHAnsi" w:cstheme="minorHAnsi"/>
                <w:sz w:val="16"/>
                <w:szCs w:val="16"/>
                <w:highlight w:val="green"/>
              </w:rPr>
            </w:pPr>
            <w:r w:rsidRPr="009B18E2">
              <w:rPr>
                <w:rFonts w:asciiTheme="minorHAnsi" w:eastAsiaTheme="minorEastAsia" w:hAnsiTheme="minorHAnsi" w:cstheme="minorHAnsi"/>
                <w:sz w:val="16"/>
                <w:szCs w:val="16"/>
                <w:highlight w:val="green"/>
              </w:rPr>
              <w:lastRenderedPageBreak/>
              <w:t xml:space="preserve">A draft </w:t>
            </w:r>
            <w:proofErr w:type="spellStart"/>
            <w:r w:rsidRPr="009B18E2">
              <w:rPr>
                <w:rFonts w:asciiTheme="minorHAnsi" w:eastAsiaTheme="minorEastAsia" w:hAnsiTheme="minorHAnsi" w:cstheme="minorHAnsi"/>
                <w:sz w:val="16"/>
                <w:szCs w:val="16"/>
                <w:highlight w:val="green"/>
              </w:rPr>
              <w:t>strategy</w:t>
            </w:r>
            <w:proofErr w:type="spellEnd"/>
            <w:r w:rsidR="0022330F" w:rsidRPr="009B18E2">
              <w:rPr>
                <w:rFonts w:asciiTheme="minorHAnsi" w:eastAsiaTheme="minorEastAsia" w:hAnsiTheme="minorHAnsi" w:cstheme="minorHAnsi"/>
                <w:sz w:val="16"/>
                <w:szCs w:val="16"/>
                <w:highlight w:val="green"/>
              </w:rPr>
              <w:t xml:space="preserve"> </w:t>
            </w:r>
            <w:proofErr w:type="spellStart"/>
            <w:r w:rsidR="0022330F" w:rsidRPr="009B18E2">
              <w:rPr>
                <w:rFonts w:asciiTheme="minorHAnsi" w:eastAsiaTheme="minorEastAsia" w:hAnsiTheme="minorHAnsi" w:cstheme="minorHAnsi"/>
                <w:sz w:val="16"/>
                <w:szCs w:val="16"/>
                <w:highlight w:val="green"/>
              </w:rPr>
              <w:t>exist</w:t>
            </w:r>
            <w:proofErr w:type="spellEnd"/>
          </w:p>
        </w:tc>
        <w:tc>
          <w:tcPr>
            <w:tcW w:w="1463" w:type="dxa"/>
          </w:tcPr>
          <w:p w14:paraId="23991D75" w14:textId="01EBD9A8" w:rsidR="00A15021" w:rsidRPr="003C5C1B" w:rsidRDefault="00A15021">
            <w:pPr>
              <w:spacing w:line="257" w:lineRule="auto"/>
              <w:rPr>
                <w:rFonts w:asciiTheme="minorHAnsi" w:eastAsiaTheme="minorEastAsia" w:hAnsiTheme="minorHAnsi" w:cstheme="minorHAnsi"/>
                <w:sz w:val="16"/>
                <w:szCs w:val="16"/>
                <w:highlight w:val="green"/>
                <w:lang w:val="en-US"/>
              </w:rPr>
            </w:pPr>
            <w:r w:rsidRPr="003C5C1B">
              <w:rPr>
                <w:rFonts w:asciiTheme="minorHAnsi" w:eastAsiaTheme="minorEastAsia" w:hAnsiTheme="minorHAnsi" w:cstheme="minorHAnsi"/>
                <w:sz w:val="16"/>
                <w:szCs w:val="16"/>
                <w:highlight w:val="green"/>
                <w:lang w:val="en-US"/>
              </w:rPr>
              <w:t>1 (One</w:t>
            </w:r>
            <w:r w:rsidR="00B14C8E">
              <w:rPr>
                <w:rFonts w:asciiTheme="minorHAnsi" w:eastAsiaTheme="minorEastAsia" w:hAnsiTheme="minorHAnsi" w:cstheme="minorHAnsi"/>
                <w:sz w:val="16"/>
                <w:szCs w:val="16"/>
                <w:highlight w:val="green"/>
                <w:lang w:val="en-US"/>
              </w:rPr>
              <w:t xml:space="preserve"> final</w:t>
            </w:r>
            <w:r w:rsidRPr="003C5C1B">
              <w:rPr>
                <w:rFonts w:asciiTheme="minorHAnsi" w:eastAsiaTheme="minorEastAsia" w:hAnsiTheme="minorHAnsi" w:cstheme="minorHAnsi"/>
                <w:sz w:val="16"/>
                <w:szCs w:val="16"/>
                <w:highlight w:val="green"/>
                <w:lang w:val="en-US"/>
              </w:rPr>
              <w:t xml:space="preserve"> national strategy is available)</w:t>
            </w:r>
          </w:p>
        </w:tc>
        <w:tc>
          <w:tcPr>
            <w:tcW w:w="2195" w:type="dxa"/>
          </w:tcPr>
          <w:p w14:paraId="440BE413" w14:textId="77777777" w:rsidR="00A15021" w:rsidRPr="003C5C1B" w:rsidRDefault="00A15021">
            <w:pPr>
              <w:spacing w:line="257" w:lineRule="auto"/>
              <w:rPr>
                <w:rFonts w:asciiTheme="minorHAnsi" w:eastAsiaTheme="minorEastAsia" w:hAnsiTheme="minorHAnsi" w:cstheme="minorHAnsi"/>
                <w:color w:val="000000" w:themeColor="text1"/>
                <w:sz w:val="16"/>
                <w:szCs w:val="16"/>
                <w:highlight w:val="green"/>
                <w:lang w:val="en-US"/>
              </w:rPr>
            </w:pPr>
            <w:r w:rsidRPr="003C5C1B">
              <w:rPr>
                <w:rFonts w:asciiTheme="minorHAnsi" w:eastAsiaTheme="minorEastAsia" w:hAnsiTheme="minorHAnsi" w:cstheme="minorHAnsi"/>
                <w:color w:val="000000" w:themeColor="text1"/>
                <w:sz w:val="16"/>
                <w:szCs w:val="16"/>
                <w:highlight w:val="green"/>
                <w:lang w:val="en-US"/>
              </w:rPr>
              <w:t xml:space="preserve">A strategy on solid waste management is </w:t>
            </w:r>
            <w:proofErr w:type="gramStart"/>
            <w:r w:rsidRPr="003C5C1B">
              <w:rPr>
                <w:rFonts w:asciiTheme="minorHAnsi" w:eastAsiaTheme="minorEastAsia" w:hAnsiTheme="minorHAnsi" w:cstheme="minorHAnsi"/>
                <w:color w:val="000000" w:themeColor="text1"/>
                <w:sz w:val="16"/>
                <w:szCs w:val="16"/>
                <w:highlight w:val="green"/>
                <w:lang w:val="en-US"/>
              </w:rPr>
              <w:t>taken into account</w:t>
            </w:r>
            <w:proofErr w:type="gramEnd"/>
            <w:r w:rsidRPr="003C5C1B">
              <w:rPr>
                <w:rFonts w:asciiTheme="minorHAnsi" w:eastAsiaTheme="minorEastAsia" w:hAnsiTheme="minorHAnsi" w:cstheme="minorHAnsi"/>
                <w:color w:val="000000" w:themeColor="text1"/>
                <w:sz w:val="16"/>
                <w:szCs w:val="16"/>
                <w:highlight w:val="green"/>
                <w:lang w:val="en-US"/>
              </w:rPr>
              <w:t xml:space="preserve"> if it: </w:t>
            </w:r>
            <w:r w:rsidRPr="003C5C1B">
              <w:rPr>
                <w:rFonts w:asciiTheme="minorHAnsi" w:eastAsiaTheme="minorEastAsia" w:hAnsiTheme="minorHAnsi" w:cstheme="minorHAnsi"/>
                <w:color w:val="000000" w:themeColor="text1"/>
                <w:sz w:val="16"/>
                <w:szCs w:val="16"/>
                <w:lang w:val="en-US"/>
              </w:rPr>
              <w:t xml:space="preserve"> </w:t>
            </w:r>
          </w:p>
          <w:p w14:paraId="17398D30" w14:textId="77777777" w:rsidR="00A15021" w:rsidRPr="003C5C1B" w:rsidRDefault="00A15021" w:rsidP="00A15021">
            <w:pPr>
              <w:pStyle w:val="Paragraphedeliste"/>
              <w:numPr>
                <w:ilvl w:val="0"/>
                <w:numId w:val="358"/>
              </w:numPr>
              <w:spacing w:after="0" w:line="257" w:lineRule="auto"/>
              <w:contextualSpacing w:val="0"/>
              <w:rPr>
                <w:rFonts w:asciiTheme="minorHAnsi" w:eastAsiaTheme="minorEastAsia" w:hAnsiTheme="minorHAnsi" w:cstheme="minorHAnsi"/>
                <w:color w:val="000000" w:themeColor="text1"/>
                <w:sz w:val="16"/>
                <w:szCs w:val="16"/>
                <w:highlight w:val="green"/>
                <w:lang w:val="en-US"/>
              </w:rPr>
            </w:pPr>
            <w:r w:rsidRPr="003C5C1B">
              <w:rPr>
                <w:rFonts w:asciiTheme="minorHAnsi" w:eastAsiaTheme="minorEastAsia" w:hAnsiTheme="minorHAnsi" w:cstheme="minorHAnsi"/>
                <w:color w:val="000000" w:themeColor="text1"/>
                <w:sz w:val="16"/>
                <w:szCs w:val="16"/>
                <w:highlight w:val="green"/>
                <w:lang w:val="en-US"/>
              </w:rPr>
              <w:t>Is technically validated or adopted by a competent authority</w:t>
            </w:r>
          </w:p>
          <w:p w14:paraId="15EA2D93" w14:textId="77777777" w:rsidR="00A15021" w:rsidRPr="003C5C1B" w:rsidRDefault="00A15021" w:rsidP="00A15021">
            <w:pPr>
              <w:pStyle w:val="Paragraphedeliste"/>
              <w:numPr>
                <w:ilvl w:val="0"/>
                <w:numId w:val="358"/>
              </w:numPr>
              <w:spacing w:after="0" w:line="257" w:lineRule="auto"/>
              <w:contextualSpacing w:val="0"/>
              <w:rPr>
                <w:rFonts w:asciiTheme="minorHAnsi" w:eastAsiaTheme="minorEastAsia" w:hAnsiTheme="minorHAnsi" w:cstheme="minorHAnsi"/>
                <w:color w:val="000000" w:themeColor="text1"/>
                <w:sz w:val="16"/>
                <w:szCs w:val="16"/>
                <w:highlight w:val="green"/>
                <w:lang w:val="en-US"/>
              </w:rPr>
            </w:pPr>
            <w:r w:rsidRPr="003C5C1B">
              <w:rPr>
                <w:rFonts w:asciiTheme="minorHAnsi" w:eastAsiaTheme="minorEastAsia" w:hAnsiTheme="minorHAnsi" w:cstheme="minorHAnsi"/>
                <w:color w:val="000000" w:themeColor="text1"/>
                <w:sz w:val="16"/>
                <w:szCs w:val="16"/>
                <w:highlight w:val="green"/>
                <w:lang w:val="en-US"/>
              </w:rPr>
              <w:lastRenderedPageBreak/>
              <w:t>Is part of a logic of intersectoral or territorial integration/Integrated urban development.</w:t>
            </w:r>
          </w:p>
        </w:tc>
        <w:tc>
          <w:tcPr>
            <w:tcW w:w="2062" w:type="dxa"/>
          </w:tcPr>
          <w:p w14:paraId="53E330A6" w14:textId="77777777" w:rsidR="00A15021" w:rsidRPr="00045243" w:rsidRDefault="00A15021">
            <w:pPr>
              <w:spacing w:line="257" w:lineRule="auto"/>
              <w:rPr>
                <w:rFonts w:asciiTheme="minorHAnsi" w:eastAsiaTheme="minorEastAsia" w:hAnsiTheme="minorHAnsi" w:cstheme="minorHAnsi"/>
                <w:color w:val="000000" w:themeColor="text1"/>
                <w:sz w:val="16"/>
                <w:szCs w:val="16"/>
                <w:highlight w:val="green"/>
              </w:rPr>
            </w:pPr>
            <w:proofErr w:type="gramStart"/>
            <w:r w:rsidRPr="00045243">
              <w:rPr>
                <w:rFonts w:asciiTheme="minorHAnsi" w:eastAsiaTheme="minorEastAsia" w:hAnsiTheme="minorHAnsi" w:cstheme="minorHAnsi"/>
                <w:color w:val="000000" w:themeColor="text1"/>
                <w:sz w:val="16"/>
                <w:szCs w:val="16"/>
                <w:highlight w:val="green"/>
              </w:rPr>
              <w:lastRenderedPageBreak/>
              <w:t>Assumptions:</w:t>
            </w:r>
            <w:proofErr w:type="gramEnd"/>
            <w:r w:rsidRPr="00045243">
              <w:rPr>
                <w:rFonts w:asciiTheme="minorHAnsi" w:eastAsiaTheme="minorEastAsia" w:hAnsiTheme="minorHAnsi" w:cstheme="minorHAnsi"/>
                <w:color w:val="000000" w:themeColor="text1"/>
                <w:sz w:val="16"/>
                <w:szCs w:val="16"/>
                <w:highlight w:val="green"/>
              </w:rPr>
              <w:t> </w:t>
            </w:r>
            <w:r w:rsidRPr="00045243">
              <w:rPr>
                <w:rFonts w:asciiTheme="minorHAnsi" w:eastAsiaTheme="minorEastAsia" w:hAnsiTheme="minorHAnsi" w:cstheme="minorHAnsi"/>
                <w:color w:val="000000" w:themeColor="text1"/>
                <w:sz w:val="16"/>
                <w:szCs w:val="16"/>
              </w:rPr>
              <w:t xml:space="preserve"> </w:t>
            </w:r>
          </w:p>
          <w:p w14:paraId="4DCE3EC0" w14:textId="77777777" w:rsidR="00A15021" w:rsidRPr="003C5C1B" w:rsidRDefault="00A15021" w:rsidP="00A15021">
            <w:pPr>
              <w:pStyle w:val="Paragraphedeliste"/>
              <w:numPr>
                <w:ilvl w:val="0"/>
                <w:numId w:val="378"/>
              </w:numPr>
              <w:spacing w:before="240" w:after="240" w:line="240" w:lineRule="auto"/>
              <w:contextualSpacing w:val="0"/>
              <w:rPr>
                <w:rFonts w:asciiTheme="minorHAnsi" w:eastAsiaTheme="minorEastAsia" w:hAnsiTheme="minorHAnsi" w:cstheme="minorHAnsi"/>
                <w:sz w:val="16"/>
                <w:szCs w:val="16"/>
                <w:highlight w:val="green"/>
                <w:lang w:val="en-US"/>
              </w:rPr>
            </w:pPr>
            <w:r w:rsidRPr="003C5C1B">
              <w:rPr>
                <w:rFonts w:asciiTheme="minorHAnsi" w:eastAsiaTheme="minorEastAsia" w:hAnsiTheme="minorHAnsi" w:cstheme="minorHAnsi"/>
                <w:sz w:val="16"/>
                <w:szCs w:val="16"/>
                <w:highlight w:val="green"/>
                <w:lang w:val="en-US"/>
              </w:rPr>
              <w:t xml:space="preserve">The strategy is technically finalized, formally validated (by the competent authority), and </w:t>
            </w:r>
            <w:r w:rsidRPr="003C5C1B">
              <w:rPr>
                <w:rFonts w:asciiTheme="minorHAnsi" w:eastAsiaTheme="minorEastAsia" w:hAnsiTheme="minorHAnsi" w:cstheme="minorHAnsi"/>
                <w:sz w:val="16"/>
                <w:szCs w:val="16"/>
                <w:highlight w:val="green"/>
                <w:lang w:val="en-US"/>
              </w:rPr>
              <w:lastRenderedPageBreak/>
              <w:t>publicly available (website/registry).</w:t>
            </w:r>
          </w:p>
          <w:p w14:paraId="7C4A1B8C" w14:textId="77777777" w:rsidR="00A15021" w:rsidRPr="003C5C1B" w:rsidRDefault="00A15021" w:rsidP="00A15021">
            <w:pPr>
              <w:pStyle w:val="Paragraphedeliste"/>
              <w:numPr>
                <w:ilvl w:val="0"/>
                <w:numId w:val="378"/>
              </w:numPr>
              <w:spacing w:before="240" w:after="240" w:line="240" w:lineRule="auto"/>
              <w:contextualSpacing w:val="0"/>
              <w:rPr>
                <w:rFonts w:asciiTheme="minorHAnsi" w:eastAsiaTheme="minorEastAsia" w:hAnsiTheme="minorHAnsi" w:cstheme="minorHAnsi"/>
                <w:sz w:val="16"/>
                <w:szCs w:val="16"/>
                <w:highlight w:val="green"/>
                <w:lang w:val="en-US"/>
              </w:rPr>
            </w:pPr>
            <w:r w:rsidRPr="003C5C1B">
              <w:rPr>
                <w:rFonts w:asciiTheme="minorHAnsi" w:eastAsiaTheme="minorEastAsia" w:hAnsiTheme="minorHAnsi" w:cstheme="minorHAnsi"/>
                <w:sz w:val="16"/>
                <w:szCs w:val="16"/>
                <w:highlight w:val="green"/>
                <w:lang w:val="en-US"/>
              </w:rPr>
              <w:t>Urban planning and waste management bodies co-develop the strategy and align it with land-use plans (zoning, infrastructure, etc.).</w:t>
            </w:r>
          </w:p>
          <w:p w14:paraId="420FB4DB" w14:textId="77777777" w:rsidR="00A15021" w:rsidRPr="003C5C1B" w:rsidRDefault="00A15021" w:rsidP="00A15021">
            <w:pPr>
              <w:pStyle w:val="Paragraphedeliste"/>
              <w:numPr>
                <w:ilvl w:val="0"/>
                <w:numId w:val="378"/>
              </w:numPr>
              <w:spacing w:before="240" w:after="240" w:line="240" w:lineRule="auto"/>
              <w:contextualSpacing w:val="0"/>
              <w:rPr>
                <w:rFonts w:asciiTheme="minorHAnsi" w:eastAsiaTheme="minorEastAsia" w:hAnsiTheme="minorHAnsi" w:cstheme="minorHAnsi"/>
                <w:sz w:val="16"/>
                <w:szCs w:val="16"/>
                <w:highlight w:val="green"/>
                <w:lang w:val="en-US"/>
              </w:rPr>
            </w:pPr>
            <w:r w:rsidRPr="003C5C1B">
              <w:rPr>
                <w:rFonts w:asciiTheme="minorHAnsi" w:eastAsiaTheme="minorEastAsia" w:hAnsiTheme="minorHAnsi" w:cstheme="minorHAnsi"/>
                <w:sz w:val="16"/>
                <w:szCs w:val="16"/>
                <w:highlight w:val="green"/>
                <w:lang w:val="en-US"/>
              </w:rPr>
              <w:t>Lessons from Bamako’s past waste initiatives (service models, pilots, informal sector integration) are explicitly incorporated as a local sound experience.</w:t>
            </w:r>
          </w:p>
          <w:p w14:paraId="6F9A1E15" w14:textId="77777777" w:rsidR="00A15021" w:rsidRPr="003C5C1B" w:rsidRDefault="00A15021" w:rsidP="00A15021">
            <w:pPr>
              <w:pStyle w:val="Paragraphedeliste"/>
              <w:numPr>
                <w:ilvl w:val="0"/>
                <w:numId w:val="378"/>
              </w:numPr>
              <w:spacing w:before="240" w:after="240" w:line="240" w:lineRule="auto"/>
              <w:contextualSpacing w:val="0"/>
              <w:rPr>
                <w:rFonts w:asciiTheme="minorHAnsi" w:eastAsiaTheme="minorEastAsia" w:hAnsiTheme="minorHAnsi" w:cstheme="minorHAnsi"/>
                <w:sz w:val="16"/>
                <w:szCs w:val="16"/>
                <w:highlight w:val="green"/>
                <w:lang w:val="en-US"/>
              </w:rPr>
            </w:pPr>
            <w:r w:rsidRPr="003C5C1B">
              <w:rPr>
                <w:rFonts w:asciiTheme="minorHAnsi" w:eastAsiaTheme="minorEastAsia" w:hAnsiTheme="minorHAnsi" w:cstheme="minorHAnsi"/>
                <w:sz w:val="16"/>
                <w:szCs w:val="16"/>
                <w:highlight w:val="green"/>
                <w:lang w:val="en-US"/>
              </w:rPr>
              <w:t>A clear institutional lead responsibilities are agreed.</w:t>
            </w:r>
          </w:p>
          <w:p w14:paraId="0680F462" w14:textId="77777777" w:rsidR="00A15021" w:rsidRPr="003C5C1B" w:rsidRDefault="00A15021" w:rsidP="00A15021">
            <w:pPr>
              <w:pStyle w:val="Paragraphedeliste"/>
              <w:numPr>
                <w:ilvl w:val="0"/>
                <w:numId w:val="378"/>
              </w:numPr>
              <w:spacing w:before="240" w:after="240" w:line="240" w:lineRule="auto"/>
              <w:contextualSpacing w:val="0"/>
              <w:rPr>
                <w:rFonts w:asciiTheme="minorHAnsi" w:eastAsiaTheme="minorEastAsia" w:hAnsiTheme="minorHAnsi" w:cstheme="minorHAnsi"/>
                <w:sz w:val="16"/>
                <w:szCs w:val="16"/>
                <w:highlight w:val="green"/>
                <w:lang w:val="en-US"/>
              </w:rPr>
            </w:pPr>
            <w:r w:rsidRPr="003C5C1B">
              <w:rPr>
                <w:rFonts w:asciiTheme="minorHAnsi" w:eastAsiaTheme="minorEastAsia" w:hAnsiTheme="minorHAnsi" w:cstheme="minorHAnsi"/>
                <w:sz w:val="16"/>
                <w:szCs w:val="16"/>
                <w:highlight w:val="green"/>
                <w:lang w:val="en-US"/>
              </w:rPr>
              <w:t>Data needed for planning (waste generation, composition, service coverage) is available and reliable.</w:t>
            </w:r>
          </w:p>
          <w:p w14:paraId="1C2C04AF" w14:textId="77777777" w:rsidR="00A15021" w:rsidRPr="003C5C1B" w:rsidRDefault="00A15021" w:rsidP="00A15021">
            <w:pPr>
              <w:pStyle w:val="Paragraphedeliste"/>
              <w:numPr>
                <w:ilvl w:val="0"/>
                <w:numId w:val="378"/>
              </w:numPr>
              <w:spacing w:before="240" w:after="240" w:line="240" w:lineRule="auto"/>
              <w:contextualSpacing w:val="0"/>
              <w:rPr>
                <w:rFonts w:asciiTheme="minorHAnsi" w:eastAsiaTheme="minorEastAsia" w:hAnsiTheme="minorHAnsi" w:cstheme="minorHAnsi"/>
                <w:sz w:val="16"/>
                <w:szCs w:val="16"/>
                <w:highlight w:val="green"/>
                <w:lang w:val="en-US"/>
              </w:rPr>
            </w:pPr>
            <w:r w:rsidRPr="003C5C1B">
              <w:rPr>
                <w:rFonts w:asciiTheme="minorHAnsi" w:eastAsiaTheme="minorEastAsia" w:hAnsiTheme="minorHAnsi" w:cstheme="minorHAnsi"/>
                <w:sz w:val="16"/>
                <w:szCs w:val="16"/>
                <w:highlight w:val="green"/>
                <w:lang w:val="en-US"/>
              </w:rPr>
              <w:t xml:space="preserve">The strategy is aligned with national policies and does not conflict with </w:t>
            </w:r>
            <w:r w:rsidRPr="003C5C1B">
              <w:rPr>
                <w:rFonts w:asciiTheme="minorHAnsi" w:eastAsiaTheme="minorEastAsia" w:hAnsiTheme="minorHAnsi" w:cstheme="minorHAnsi"/>
                <w:sz w:val="16"/>
                <w:szCs w:val="16"/>
                <w:highlight w:val="green"/>
                <w:lang w:val="en-US"/>
              </w:rPr>
              <w:lastRenderedPageBreak/>
              <w:t>regional/municipal mandates.</w:t>
            </w:r>
          </w:p>
          <w:p w14:paraId="5FBC6013" w14:textId="77777777" w:rsidR="00A15021" w:rsidRPr="00045243" w:rsidRDefault="00A15021">
            <w:pPr>
              <w:spacing w:line="257" w:lineRule="auto"/>
              <w:rPr>
                <w:rFonts w:asciiTheme="minorHAnsi" w:eastAsiaTheme="minorEastAsia" w:hAnsiTheme="minorHAnsi" w:cstheme="minorHAnsi"/>
                <w:color w:val="000000" w:themeColor="text1"/>
                <w:sz w:val="16"/>
                <w:szCs w:val="16"/>
                <w:highlight w:val="green"/>
              </w:rPr>
            </w:pPr>
            <w:proofErr w:type="gramStart"/>
            <w:r w:rsidRPr="00045243">
              <w:rPr>
                <w:rFonts w:asciiTheme="minorHAnsi" w:eastAsiaTheme="minorEastAsia" w:hAnsiTheme="minorHAnsi" w:cstheme="minorHAnsi"/>
                <w:b/>
                <w:bCs/>
                <w:color w:val="000000" w:themeColor="text1"/>
                <w:sz w:val="16"/>
                <w:szCs w:val="16"/>
                <w:highlight w:val="green"/>
              </w:rPr>
              <w:t>Risks</w:t>
            </w:r>
            <w:r w:rsidRPr="00045243">
              <w:rPr>
                <w:rFonts w:asciiTheme="minorHAnsi" w:eastAsiaTheme="minorEastAsia" w:hAnsiTheme="minorHAnsi" w:cstheme="minorHAnsi"/>
                <w:color w:val="000000" w:themeColor="text1"/>
                <w:sz w:val="16"/>
                <w:szCs w:val="16"/>
                <w:highlight w:val="green"/>
              </w:rPr>
              <w:t>:</w:t>
            </w:r>
            <w:proofErr w:type="gramEnd"/>
            <w:r w:rsidRPr="00045243">
              <w:rPr>
                <w:rFonts w:asciiTheme="minorHAnsi" w:eastAsiaTheme="minorEastAsia" w:hAnsiTheme="minorHAnsi" w:cstheme="minorHAnsi"/>
                <w:color w:val="000000" w:themeColor="text1"/>
                <w:sz w:val="16"/>
                <w:szCs w:val="16"/>
                <w:highlight w:val="green"/>
              </w:rPr>
              <w:t> </w:t>
            </w:r>
          </w:p>
          <w:p w14:paraId="58BEA313" w14:textId="77777777" w:rsidR="00A15021" w:rsidRPr="00045243" w:rsidRDefault="00A15021" w:rsidP="00A15021">
            <w:pPr>
              <w:pStyle w:val="Paragraphedeliste"/>
              <w:numPr>
                <w:ilvl w:val="0"/>
                <w:numId w:val="892"/>
              </w:numPr>
              <w:spacing w:before="240" w:after="240" w:line="240" w:lineRule="auto"/>
              <w:contextualSpacing w:val="0"/>
              <w:rPr>
                <w:rFonts w:asciiTheme="minorHAnsi" w:eastAsiaTheme="minorEastAsia" w:hAnsiTheme="minorHAnsi" w:cstheme="minorHAnsi"/>
                <w:sz w:val="16"/>
                <w:szCs w:val="16"/>
                <w:highlight w:val="green"/>
              </w:rPr>
            </w:pPr>
            <w:r w:rsidRPr="003C5C1B">
              <w:rPr>
                <w:rFonts w:asciiTheme="minorHAnsi" w:eastAsiaTheme="minorEastAsia" w:hAnsiTheme="minorHAnsi" w:cstheme="minorHAnsi"/>
                <w:b/>
                <w:bCs/>
                <w:sz w:val="16"/>
                <w:szCs w:val="16"/>
                <w:highlight w:val="green"/>
                <w:lang w:val="en-US"/>
              </w:rPr>
              <w:t>Non-adoption</w:t>
            </w:r>
            <w:r w:rsidRPr="003C5C1B">
              <w:rPr>
                <w:rFonts w:asciiTheme="minorHAnsi" w:eastAsiaTheme="minorEastAsia" w:hAnsiTheme="minorHAnsi" w:cstheme="minorHAnsi"/>
                <w:sz w:val="16"/>
                <w:szCs w:val="16"/>
                <w:highlight w:val="green"/>
                <w:lang w:val="en-US"/>
              </w:rPr>
              <w:t xml:space="preserve"> due to political/administrative deadlock or turnover.</w:t>
            </w:r>
            <w:r w:rsidRPr="003C5C1B">
              <w:rPr>
                <w:rFonts w:asciiTheme="minorHAnsi" w:hAnsiTheme="minorHAnsi" w:cstheme="minorHAnsi"/>
                <w:sz w:val="16"/>
                <w:szCs w:val="16"/>
                <w:lang w:val="en-US"/>
              </w:rPr>
              <w:br/>
            </w:r>
            <w:proofErr w:type="spellStart"/>
            <w:r w:rsidRPr="00045243">
              <w:rPr>
                <w:rFonts w:asciiTheme="minorHAnsi" w:eastAsiaTheme="minorEastAsia" w:hAnsiTheme="minorHAnsi" w:cstheme="minorHAnsi"/>
                <w:b/>
                <w:bCs/>
                <w:sz w:val="16"/>
                <w:szCs w:val="16"/>
                <w:highlight w:val="green"/>
              </w:rPr>
              <w:t>Intergovernmental</w:t>
            </w:r>
            <w:proofErr w:type="spellEnd"/>
            <w:r w:rsidRPr="00045243">
              <w:rPr>
                <w:rFonts w:asciiTheme="minorHAnsi" w:eastAsiaTheme="minorEastAsia" w:hAnsiTheme="minorHAnsi" w:cstheme="minorHAnsi"/>
                <w:b/>
                <w:bCs/>
                <w:sz w:val="16"/>
                <w:szCs w:val="16"/>
                <w:highlight w:val="green"/>
              </w:rPr>
              <w:t xml:space="preserve"> coordination gaps</w:t>
            </w:r>
            <w:r w:rsidRPr="00045243">
              <w:rPr>
                <w:rFonts w:asciiTheme="minorHAnsi" w:eastAsiaTheme="minorEastAsia" w:hAnsiTheme="minorHAnsi" w:cstheme="minorHAnsi"/>
                <w:sz w:val="16"/>
                <w:szCs w:val="16"/>
                <w:highlight w:val="green"/>
              </w:rPr>
              <w:t xml:space="preserve"> (municipal/district/</w:t>
            </w:r>
            <w:proofErr w:type="spellStart"/>
            <w:r w:rsidRPr="00045243">
              <w:rPr>
                <w:rFonts w:asciiTheme="minorHAnsi" w:eastAsiaTheme="minorEastAsia" w:hAnsiTheme="minorHAnsi" w:cstheme="minorHAnsi"/>
                <w:sz w:val="16"/>
                <w:szCs w:val="16"/>
                <w:highlight w:val="green"/>
              </w:rPr>
              <w:t>regional</w:t>
            </w:r>
            <w:proofErr w:type="spellEnd"/>
            <w:r w:rsidRPr="00045243">
              <w:rPr>
                <w:rFonts w:asciiTheme="minorHAnsi" w:eastAsiaTheme="minorEastAsia" w:hAnsiTheme="minorHAnsi" w:cstheme="minorHAnsi"/>
                <w:sz w:val="16"/>
                <w:szCs w:val="16"/>
                <w:highlight w:val="green"/>
              </w:rPr>
              <w:t>).</w:t>
            </w:r>
            <w:r w:rsidRPr="00045243">
              <w:rPr>
                <w:rFonts w:asciiTheme="minorHAnsi" w:hAnsiTheme="minorHAnsi" w:cstheme="minorHAnsi"/>
                <w:sz w:val="16"/>
                <w:szCs w:val="16"/>
              </w:rPr>
              <w:br/>
            </w:r>
            <w:r w:rsidRPr="00045243">
              <w:rPr>
                <w:rFonts w:asciiTheme="minorHAnsi" w:eastAsiaTheme="minorEastAsia" w:hAnsiTheme="minorHAnsi" w:cstheme="minorHAnsi"/>
                <w:sz w:val="16"/>
                <w:szCs w:val="16"/>
              </w:rPr>
              <w:t xml:space="preserve"> </w:t>
            </w:r>
          </w:p>
          <w:p w14:paraId="2482F881" w14:textId="77777777" w:rsidR="00A15021" w:rsidRPr="003C5C1B" w:rsidRDefault="00A15021" w:rsidP="00A15021">
            <w:pPr>
              <w:pStyle w:val="Paragraphedeliste"/>
              <w:numPr>
                <w:ilvl w:val="0"/>
                <w:numId w:val="892"/>
              </w:numPr>
              <w:spacing w:before="240" w:after="240" w:line="240" w:lineRule="auto"/>
              <w:contextualSpacing w:val="0"/>
              <w:rPr>
                <w:rFonts w:asciiTheme="minorHAnsi" w:eastAsiaTheme="minorEastAsia" w:hAnsiTheme="minorHAnsi" w:cstheme="minorHAnsi"/>
                <w:sz w:val="16"/>
                <w:szCs w:val="16"/>
                <w:highlight w:val="green"/>
                <w:lang w:val="en-US"/>
              </w:rPr>
            </w:pPr>
            <w:r w:rsidRPr="003C5C1B">
              <w:rPr>
                <w:rFonts w:asciiTheme="minorHAnsi" w:eastAsiaTheme="minorEastAsia" w:hAnsiTheme="minorHAnsi" w:cstheme="minorHAnsi"/>
                <w:b/>
                <w:bCs/>
                <w:sz w:val="16"/>
                <w:szCs w:val="16"/>
                <w:highlight w:val="green"/>
                <w:lang w:val="en-US"/>
              </w:rPr>
              <w:t>Stakeholder resistance</w:t>
            </w:r>
            <w:r w:rsidRPr="003C5C1B">
              <w:rPr>
                <w:rFonts w:asciiTheme="minorHAnsi" w:eastAsiaTheme="minorEastAsia" w:hAnsiTheme="minorHAnsi" w:cstheme="minorHAnsi"/>
                <w:sz w:val="16"/>
                <w:szCs w:val="16"/>
                <w:highlight w:val="green"/>
                <w:lang w:val="en-US"/>
              </w:rPr>
              <w:t xml:space="preserve"> (private haulers, communities near facilities, informal recyclers).</w:t>
            </w:r>
            <w:r w:rsidRPr="003C5C1B">
              <w:rPr>
                <w:rFonts w:asciiTheme="minorHAnsi" w:hAnsiTheme="minorHAnsi" w:cstheme="minorHAnsi"/>
                <w:sz w:val="16"/>
                <w:szCs w:val="16"/>
                <w:lang w:val="en-US"/>
              </w:rPr>
              <w:br/>
            </w:r>
          </w:p>
          <w:p w14:paraId="4F843638" w14:textId="77777777" w:rsidR="00A15021" w:rsidRPr="003C5C1B" w:rsidRDefault="00A15021" w:rsidP="00A15021">
            <w:pPr>
              <w:pStyle w:val="Paragraphedeliste"/>
              <w:numPr>
                <w:ilvl w:val="0"/>
                <w:numId w:val="892"/>
              </w:numPr>
              <w:spacing w:before="240" w:after="240" w:line="240" w:lineRule="auto"/>
              <w:contextualSpacing w:val="0"/>
              <w:rPr>
                <w:rFonts w:asciiTheme="minorHAnsi" w:eastAsiaTheme="minorEastAsia" w:hAnsiTheme="minorHAnsi" w:cstheme="minorHAnsi"/>
                <w:sz w:val="16"/>
                <w:szCs w:val="16"/>
                <w:highlight w:val="green"/>
                <w:lang w:val="en-US"/>
              </w:rPr>
            </w:pPr>
            <w:r w:rsidRPr="003C5C1B">
              <w:rPr>
                <w:rFonts w:asciiTheme="minorHAnsi" w:eastAsiaTheme="minorEastAsia" w:hAnsiTheme="minorHAnsi" w:cstheme="minorHAnsi"/>
                <w:b/>
                <w:bCs/>
                <w:sz w:val="16"/>
                <w:szCs w:val="16"/>
                <w:highlight w:val="green"/>
                <w:lang w:val="en-US"/>
              </w:rPr>
              <w:t>Weak data/targets</w:t>
            </w:r>
            <w:r w:rsidRPr="003C5C1B">
              <w:rPr>
                <w:rFonts w:asciiTheme="minorHAnsi" w:eastAsiaTheme="minorEastAsia" w:hAnsiTheme="minorHAnsi" w:cstheme="minorHAnsi"/>
                <w:sz w:val="16"/>
                <w:szCs w:val="16"/>
                <w:highlight w:val="green"/>
                <w:lang w:val="en-US"/>
              </w:rPr>
              <w:t xml:space="preserve"> leading to unrealistic sequencing.</w:t>
            </w:r>
            <w:r w:rsidRPr="003C5C1B">
              <w:rPr>
                <w:rFonts w:asciiTheme="minorHAnsi" w:hAnsiTheme="minorHAnsi" w:cstheme="minorHAnsi"/>
                <w:sz w:val="16"/>
                <w:szCs w:val="16"/>
                <w:lang w:val="en-US"/>
              </w:rPr>
              <w:br/>
            </w:r>
          </w:p>
        </w:tc>
        <w:tc>
          <w:tcPr>
            <w:tcW w:w="1803" w:type="dxa"/>
          </w:tcPr>
          <w:p w14:paraId="1E20D584" w14:textId="77777777" w:rsidR="00A15021" w:rsidRPr="003C5C1B" w:rsidRDefault="00A15021">
            <w:pPr>
              <w:spacing w:line="257" w:lineRule="auto"/>
              <w:rPr>
                <w:rFonts w:asciiTheme="minorHAnsi" w:eastAsiaTheme="minorEastAsia" w:hAnsiTheme="minorHAnsi" w:cstheme="minorHAnsi"/>
                <w:sz w:val="16"/>
                <w:szCs w:val="16"/>
                <w:lang w:val="en-US"/>
              </w:rPr>
            </w:pPr>
          </w:p>
        </w:tc>
      </w:tr>
      <w:tr w:rsidR="00344861" w:rsidRPr="00F50786" w14:paraId="465DCE76" w14:textId="77777777" w:rsidTr="2DC80E69">
        <w:trPr>
          <w:trHeight w:val="300"/>
          <w:jc w:val="center"/>
        </w:trPr>
        <w:tc>
          <w:tcPr>
            <w:tcW w:w="747" w:type="dxa"/>
            <w:shd w:val="clear" w:color="auto" w:fill="D9D9D9" w:themeFill="background1" w:themeFillShade="D9"/>
          </w:tcPr>
          <w:p w14:paraId="1BC65082"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lastRenderedPageBreak/>
              <w:t xml:space="preserve">  </w:t>
            </w:r>
          </w:p>
        </w:tc>
        <w:tc>
          <w:tcPr>
            <w:tcW w:w="1185" w:type="dxa"/>
          </w:tcPr>
          <w:p w14:paraId="220B5E79"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u w:val="single"/>
                <w:lang w:val="en-US"/>
              </w:rPr>
              <w:t>Indicator#6</w:t>
            </w:r>
            <w:r w:rsidRPr="003C5C1B">
              <w:rPr>
                <w:rFonts w:asciiTheme="minorHAnsi" w:eastAsiaTheme="minorEastAsia" w:hAnsiTheme="minorHAnsi" w:cstheme="minorHAnsi"/>
                <w:b/>
                <w:bCs/>
                <w:i/>
                <w:iCs/>
                <w:sz w:val="16"/>
                <w:szCs w:val="16"/>
                <w:u w:val="single"/>
                <w:lang w:val="en-US"/>
              </w:rPr>
              <w:t xml:space="preserve">:  </w:t>
            </w:r>
            <w:proofErr w:type="gramStart"/>
            <w:r w:rsidRPr="003C5C1B">
              <w:rPr>
                <w:rFonts w:asciiTheme="minorHAnsi" w:eastAsiaTheme="minorEastAsia" w:hAnsiTheme="minorHAnsi" w:cstheme="minorHAnsi"/>
                <w:b/>
                <w:bCs/>
                <w:i/>
                <w:iCs/>
                <w:sz w:val="16"/>
                <w:szCs w:val="16"/>
                <w:lang w:val="en-US"/>
              </w:rPr>
              <w:t xml:space="preserve">%  </w:t>
            </w:r>
            <w:r w:rsidRPr="003C5C1B">
              <w:rPr>
                <w:rFonts w:asciiTheme="minorHAnsi" w:eastAsiaTheme="minorEastAsia" w:hAnsiTheme="minorHAnsi" w:cstheme="minorHAnsi"/>
                <w:i/>
                <w:iCs/>
                <w:sz w:val="16"/>
                <w:szCs w:val="16"/>
                <w:lang w:val="en-US"/>
              </w:rPr>
              <w:t>of</w:t>
            </w:r>
            <w:proofErr w:type="gramEnd"/>
            <w:r w:rsidRPr="003C5C1B">
              <w:rPr>
                <w:rFonts w:asciiTheme="minorHAnsi" w:eastAsiaTheme="minorEastAsia" w:hAnsiTheme="minorHAnsi" w:cstheme="minorHAnsi"/>
                <w:i/>
                <w:iCs/>
                <w:sz w:val="16"/>
                <w:szCs w:val="16"/>
                <w:lang w:val="en-US"/>
              </w:rPr>
              <w:t xml:space="preserve"> Institutions and </w:t>
            </w:r>
            <w:r w:rsidRPr="003C5C1B">
              <w:rPr>
                <w:rFonts w:asciiTheme="minorHAnsi" w:eastAsiaTheme="minorEastAsia" w:hAnsiTheme="minorHAnsi" w:cstheme="minorHAnsi"/>
                <w:sz w:val="16"/>
                <w:szCs w:val="16"/>
                <w:lang w:val="en-US"/>
              </w:rPr>
              <w:t xml:space="preserve">households that have adopted integrated, green and resilient development </w:t>
            </w:r>
            <w:r w:rsidRPr="003C5C1B">
              <w:rPr>
                <w:rFonts w:asciiTheme="minorHAnsi" w:eastAsiaTheme="minorEastAsia" w:hAnsiTheme="minorHAnsi" w:cstheme="minorHAnsi"/>
                <w:sz w:val="16"/>
                <w:szCs w:val="16"/>
                <w:lang w:val="en-US"/>
              </w:rPr>
              <w:lastRenderedPageBreak/>
              <w:t xml:space="preserve">practices </w:t>
            </w:r>
            <w:r w:rsidRPr="003C5C1B">
              <w:rPr>
                <w:rFonts w:asciiTheme="minorHAnsi" w:eastAsiaTheme="minorEastAsia" w:hAnsiTheme="minorHAnsi" w:cstheme="minorHAnsi"/>
                <w:i/>
                <w:iCs/>
                <w:sz w:val="16"/>
                <w:szCs w:val="16"/>
                <w:lang w:val="en-US"/>
              </w:rPr>
              <w:t>(e.g., green investment incentive mechanism, climate-smart agriculture, electric mobility, sustainable land management).</w:t>
            </w:r>
            <w:r w:rsidRPr="003C5C1B">
              <w:rPr>
                <w:rFonts w:asciiTheme="minorHAnsi" w:eastAsiaTheme="minorEastAsia" w:hAnsiTheme="minorHAnsi" w:cstheme="minorHAnsi"/>
                <w:sz w:val="16"/>
                <w:szCs w:val="16"/>
                <w:lang w:val="en-US"/>
              </w:rPr>
              <w:t xml:space="preserve">  </w:t>
            </w:r>
          </w:p>
        </w:tc>
        <w:tc>
          <w:tcPr>
            <w:tcW w:w="2027" w:type="dxa"/>
            <w:gridSpan w:val="2"/>
          </w:tcPr>
          <w:p w14:paraId="29341A3B"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i/>
                <w:iCs/>
                <w:sz w:val="16"/>
                <w:szCs w:val="16"/>
              </w:rPr>
              <w:lastRenderedPageBreak/>
              <w:t>PMU Reports</w:t>
            </w:r>
            <w:r w:rsidRPr="00045243">
              <w:rPr>
                <w:rFonts w:asciiTheme="minorHAnsi" w:eastAsiaTheme="minorEastAsia" w:hAnsiTheme="minorHAnsi" w:cstheme="minorHAnsi"/>
                <w:sz w:val="16"/>
                <w:szCs w:val="16"/>
              </w:rPr>
              <w:t xml:space="preserve">  </w:t>
            </w:r>
          </w:p>
        </w:tc>
        <w:tc>
          <w:tcPr>
            <w:tcW w:w="1670" w:type="dxa"/>
            <w:gridSpan w:val="2"/>
          </w:tcPr>
          <w:p w14:paraId="4EDF0DD8"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lang w:val="en-US"/>
              </w:rPr>
              <w:t>Zero, since the project has not yet started</w:t>
            </w:r>
            <w:r w:rsidRPr="003C5C1B">
              <w:rPr>
                <w:rFonts w:asciiTheme="minorHAnsi" w:eastAsiaTheme="minorEastAsia" w:hAnsiTheme="minorHAnsi" w:cstheme="minorHAnsi"/>
                <w:sz w:val="16"/>
                <w:szCs w:val="16"/>
                <w:lang w:val="en-US"/>
              </w:rPr>
              <w:t xml:space="preserve">  </w:t>
            </w:r>
          </w:p>
          <w:p w14:paraId="5E22EB16"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1220" w:type="dxa"/>
            <w:gridSpan w:val="2"/>
          </w:tcPr>
          <w:p w14:paraId="7CA1A01A"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30% of institutions and </w:t>
            </w:r>
            <w:proofErr w:type="spellStart"/>
            <w:r w:rsidRPr="00045243">
              <w:rPr>
                <w:rFonts w:asciiTheme="minorHAnsi" w:eastAsiaTheme="minorEastAsia" w:hAnsiTheme="minorHAnsi" w:cstheme="minorHAnsi"/>
                <w:sz w:val="16"/>
                <w:szCs w:val="16"/>
              </w:rPr>
              <w:t>households</w:t>
            </w:r>
            <w:proofErr w:type="spellEnd"/>
            <w:r w:rsidRPr="00045243">
              <w:rPr>
                <w:rFonts w:asciiTheme="minorHAnsi" w:eastAsiaTheme="minorEastAsia" w:hAnsiTheme="minorHAnsi" w:cstheme="minorHAnsi"/>
                <w:sz w:val="16"/>
                <w:szCs w:val="16"/>
              </w:rPr>
              <w:t xml:space="preserve">  </w:t>
            </w:r>
          </w:p>
        </w:tc>
        <w:tc>
          <w:tcPr>
            <w:tcW w:w="1463" w:type="dxa"/>
          </w:tcPr>
          <w:p w14:paraId="5F8801F9"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i/>
                <w:iCs/>
                <w:sz w:val="16"/>
                <w:szCs w:val="16"/>
              </w:rPr>
              <w:t xml:space="preserve">60% of institutions and </w:t>
            </w:r>
            <w:proofErr w:type="spellStart"/>
            <w:r w:rsidRPr="00045243">
              <w:rPr>
                <w:rFonts w:asciiTheme="minorHAnsi" w:eastAsiaTheme="minorEastAsia" w:hAnsiTheme="minorHAnsi" w:cstheme="minorHAnsi"/>
                <w:i/>
                <w:iCs/>
                <w:sz w:val="16"/>
                <w:szCs w:val="16"/>
              </w:rPr>
              <w:t>households</w:t>
            </w:r>
            <w:proofErr w:type="spellEnd"/>
            <w:r w:rsidRPr="00045243">
              <w:rPr>
                <w:rFonts w:asciiTheme="minorHAnsi" w:eastAsiaTheme="minorEastAsia" w:hAnsiTheme="minorHAnsi" w:cstheme="minorHAnsi"/>
                <w:sz w:val="16"/>
                <w:szCs w:val="16"/>
              </w:rPr>
              <w:t xml:space="preserve">  </w:t>
            </w:r>
          </w:p>
        </w:tc>
        <w:tc>
          <w:tcPr>
            <w:tcW w:w="2195" w:type="dxa"/>
          </w:tcPr>
          <w:p w14:paraId="7FC0A976"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Quantitative and qualitative </w:t>
            </w:r>
            <w:proofErr w:type="spellStart"/>
            <w:r w:rsidRPr="003C5C1B">
              <w:rPr>
                <w:rFonts w:asciiTheme="minorHAnsi" w:eastAsiaTheme="minorEastAsia" w:hAnsiTheme="minorHAnsi" w:cstheme="minorHAnsi"/>
                <w:sz w:val="16"/>
                <w:szCs w:val="16"/>
                <w:lang w:val="en-US"/>
              </w:rPr>
              <w:t>behavioural</w:t>
            </w:r>
            <w:proofErr w:type="spellEnd"/>
            <w:r w:rsidRPr="003C5C1B">
              <w:rPr>
                <w:rFonts w:asciiTheme="minorHAnsi" w:eastAsiaTheme="minorEastAsia" w:hAnsiTheme="minorHAnsi" w:cstheme="minorHAnsi"/>
                <w:sz w:val="16"/>
                <w:szCs w:val="16"/>
                <w:lang w:val="en-US"/>
              </w:rPr>
              <w:t xml:space="preserve"> science surveys at the level of project actors and households affected by the project in collaboration with the ACC Lab  </w:t>
            </w:r>
          </w:p>
          <w:p w14:paraId="1D32055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Through knowledge management reports, </w:t>
            </w:r>
            <w:r w:rsidRPr="003C5C1B">
              <w:rPr>
                <w:rFonts w:asciiTheme="minorHAnsi" w:eastAsiaTheme="minorEastAsia" w:hAnsiTheme="minorHAnsi" w:cstheme="minorHAnsi"/>
                <w:sz w:val="16"/>
                <w:szCs w:val="16"/>
                <w:lang w:val="en-US"/>
              </w:rPr>
              <w:lastRenderedPageBreak/>
              <w:t xml:space="preserve">consolidate practices in the register of lessons learned  </w:t>
            </w:r>
          </w:p>
          <w:p w14:paraId="230281D7"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2062" w:type="dxa"/>
          </w:tcPr>
          <w:p w14:paraId="323BDC4A"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lastRenderedPageBreak/>
              <w:t xml:space="preserve">Assumptions: </w:t>
            </w:r>
            <w:r w:rsidRPr="003C5C1B">
              <w:rPr>
                <w:rFonts w:asciiTheme="minorHAnsi" w:eastAsiaTheme="minorEastAsia" w:hAnsiTheme="minorHAnsi" w:cstheme="minorHAnsi"/>
                <w:sz w:val="16"/>
                <w:szCs w:val="16"/>
                <w:lang w:val="en-US"/>
              </w:rPr>
              <w:t xml:space="preserve">The institutions (Publics, privates, and SCO) and households have received sufficient information and training for the benefits of integrated development.  </w:t>
            </w:r>
          </w:p>
          <w:p w14:paraId="3D7ECBCA"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Incentives (financial, regulatory, social) to </w:t>
            </w:r>
            <w:r w:rsidRPr="003C5C1B">
              <w:rPr>
                <w:rFonts w:asciiTheme="minorHAnsi" w:eastAsiaTheme="minorEastAsia" w:hAnsiTheme="minorHAnsi" w:cstheme="minorHAnsi"/>
                <w:sz w:val="16"/>
                <w:szCs w:val="16"/>
                <w:lang w:val="en-US"/>
              </w:rPr>
              <w:lastRenderedPageBreak/>
              <w:t xml:space="preserve">change practices are in place.  </w:t>
            </w:r>
          </w:p>
          <w:p w14:paraId="445CD41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Specific support mechanisms are put in place to overcome barriers to access for women and young people.  </w:t>
            </w:r>
          </w:p>
          <w:p w14:paraId="3841F3D7"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Risks</w:t>
            </w:r>
            <w:r w:rsidRPr="003C5C1B">
              <w:rPr>
                <w:rFonts w:asciiTheme="minorHAnsi" w:eastAsiaTheme="minorEastAsia" w:hAnsiTheme="minorHAnsi" w:cstheme="minorHAnsi"/>
                <w:sz w:val="16"/>
                <w:szCs w:val="16"/>
                <w:lang w:val="en-US"/>
              </w:rPr>
              <w:t xml:space="preserve">: A lack of post-training follow-up that makes practices fall back into old routines.  </w:t>
            </w:r>
          </w:p>
          <w:p w14:paraId="5534456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-External constraints (limited budget, lack of infrastructure) hindering the real adoption of integrated approaches.  </w:t>
            </w:r>
          </w:p>
          <w:p w14:paraId="5156CF57"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Adverse social norms limiting women's participation  </w:t>
            </w:r>
          </w:p>
          <w:p w14:paraId="0A5D176C"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Low access to finance for young entrepreneurs  </w:t>
            </w:r>
          </w:p>
        </w:tc>
        <w:tc>
          <w:tcPr>
            <w:tcW w:w="1803" w:type="dxa"/>
          </w:tcPr>
          <w:p w14:paraId="30584368" w14:textId="77777777" w:rsidR="00A15021" w:rsidRPr="003C5C1B" w:rsidRDefault="00A15021">
            <w:pPr>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lastRenderedPageBreak/>
              <w:t>Indicator 2:  # of countries and cities that have scaled up their commitments based on an improved integrated urban policy and planning approach</w:t>
            </w:r>
          </w:p>
          <w:p w14:paraId="451EB6F6" w14:textId="77777777" w:rsidR="00A15021" w:rsidRPr="003C5C1B" w:rsidRDefault="00A15021">
            <w:pPr>
              <w:spacing w:line="257" w:lineRule="auto"/>
              <w:rPr>
                <w:rFonts w:asciiTheme="minorHAnsi" w:eastAsiaTheme="minorEastAsia" w:hAnsiTheme="minorHAnsi" w:cstheme="minorHAnsi"/>
                <w:b/>
                <w:bCs/>
                <w:sz w:val="16"/>
                <w:szCs w:val="16"/>
                <w:highlight w:val="yellow"/>
                <w:lang w:val="en-US"/>
              </w:rPr>
            </w:pPr>
          </w:p>
        </w:tc>
      </w:tr>
      <w:tr w:rsidR="00A25847" w:rsidRPr="00F50786" w14:paraId="26D2882D" w14:textId="77777777" w:rsidTr="2DC80E69">
        <w:trPr>
          <w:trHeight w:val="300"/>
          <w:jc w:val="center"/>
        </w:trPr>
        <w:tc>
          <w:tcPr>
            <w:tcW w:w="747" w:type="dxa"/>
            <w:shd w:val="clear" w:color="auto" w:fill="E8E8E8" w:themeFill="background2"/>
          </w:tcPr>
          <w:p w14:paraId="17C66F91"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b/>
                <w:bCs/>
                <w:color w:val="000000" w:themeColor="text1"/>
                <w:sz w:val="16"/>
                <w:szCs w:val="16"/>
              </w:rPr>
              <w:t>Component 1</w:t>
            </w:r>
            <w:r w:rsidRPr="00045243">
              <w:rPr>
                <w:rFonts w:asciiTheme="minorHAnsi" w:eastAsiaTheme="minorEastAsia" w:hAnsiTheme="minorHAnsi" w:cstheme="minorHAnsi"/>
                <w:color w:val="000000" w:themeColor="text1"/>
                <w:sz w:val="16"/>
                <w:szCs w:val="16"/>
              </w:rPr>
              <w:t xml:space="preserve">  </w:t>
            </w:r>
          </w:p>
        </w:tc>
        <w:tc>
          <w:tcPr>
            <w:tcW w:w="11822" w:type="dxa"/>
            <w:gridSpan w:val="10"/>
            <w:shd w:val="clear" w:color="auto" w:fill="E8E8E8" w:themeFill="background2"/>
          </w:tcPr>
          <w:p w14:paraId="32B2DA54"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i/>
                <w:iCs/>
                <w:color w:val="000000" w:themeColor="text1"/>
                <w:sz w:val="16"/>
                <w:szCs w:val="16"/>
                <w:lang w:val="en-US"/>
              </w:rPr>
              <w:t>Integrated urban planning and policy coherence</w:t>
            </w:r>
            <w:r w:rsidRPr="003C5C1B">
              <w:rPr>
                <w:rFonts w:asciiTheme="minorHAnsi" w:eastAsiaTheme="minorEastAsia" w:hAnsiTheme="minorHAnsi" w:cstheme="minorHAnsi"/>
                <w:color w:val="000000" w:themeColor="text1"/>
                <w:sz w:val="16"/>
                <w:szCs w:val="16"/>
                <w:lang w:val="en-US"/>
              </w:rPr>
              <w:t xml:space="preserve">  </w:t>
            </w:r>
          </w:p>
        </w:tc>
        <w:tc>
          <w:tcPr>
            <w:tcW w:w="1803" w:type="dxa"/>
            <w:shd w:val="clear" w:color="auto" w:fill="E8E8E8" w:themeFill="background2"/>
          </w:tcPr>
          <w:p w14:paraId="126E9B64" w14:textId="77777777" w:rsidR="00A15021" w:rsidRPr="003C5C1B" w:rsidRDefault="00A15021">
            <w:pPr>
              <w:spacing w:line="257" w:lineRule="auto"/>
              <w:rPr>
                <w:rFonts w:asciiTheme="minorHAnsi" w:eastAsiaTheme="minorEastAsia" w:hAnsiTheme="minorHAnsi" w:cstheme="minorHAnsi"/>
                <w:b/>
                <w:bCs/>
                <w:i/>
                <w:iCs/>
                <w:color w:val="000000" w:themeColor="text1"/>
                <w:sz w:val="16"/>
                <w:szCs w:val="16"/>
                <w:lang w:val="en-US"/>
              </w:rPr>
            </w:pPr>
          </w:p>
        </w:tc>
      </w:tr>
      <w:tr w:rsidR="00A15021" w:rsidRPr="00F50786" w14:paraId="078468EE" w14:textId="77777777" w:rsidTr="2DC80E69">
        <w:trPr>
          <w:trHeight w:val="300"/>
          <w:jc w:val="center"/>
        </w:trPr>
        <w:tc>
          <w:tcPr>
            <w:tcW w:w="747" w:type="dxa"/>
            <w:vMerge w:val="restart"/>
            <w:shd w:val="clear" w:color="auto" w:fill="D9D9D9" w:themeFill="background1" w:themeFillShade="D9"/>
          </w:tcPr>
          <w:p w14:paraId="55DFBD7E"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lang w:val="en-US"/>
              </w:rPr>
              <w:t xml:space="preserve">Outcome 1.1 </w:t>
            </w:r>
            <w:r w:rsidRPr="003C5C1B">
              <w:rPr>
                <w:rFonts w:asciiTheme="minorHAnsi" w:eastAsiaTheme="minorEastAsia" w:hAnsiTheme="minorHAnsi" w:cstheme="minorHAnsi"/>
                <w:color w:val="000000" w:themeColor="text1"/>
                <w:sz w:val="16"/>
                <w:szCs w:val="16"/>
                <w:lang w:val="en-US"/>
              </w:rPr>
              <w:t xml:space="preserve">Bamako's governance and urban planning, including the </w:t>
            </w:r>
            <w:r w:rsidRPr="003C5C1B">
              <w:rPr>
                <w:rFonts w:asciiTheme="minorHAnsi" w:eastAsiaTheme="minorEastAsia" w:hAnsiTheme="minorHAnsi" w:cstheme="minorHAnsi"/>
                <w:color w:val="000000" w:themeColor="text1"/>
                <w:sz w:val="16"/>
                <w:szCs w:val="16"/>
                <w:lang w:val="en-US"/>
              </w:rPr>
              <w:lastRenderedPageBreak/>
              <w:t xml:space="preserve">institutional and policy framework, is harmonized and strengthened while ensuring inclusiveness   </w:t>
            </w:r>
          </w:p>
          <w:p w14:paraId="03755C86"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   </w:t>
            </w:r>
          </w:p>
        </w:tc>
        <w:tc>
          <w:tcPr>
            <w:tcW w:w="1185" w:type="dxa"/>
            <w:shd w:val="clear" w:color="auto" w:fill="FFFFFF" w:themeFill="background1"/>
          </w:tcPr>
          <w:p w14:paraId="486B3AAD"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highlight w:val="yellow"/>
                <w:u w:val="single"/>
                <w:lang w:val="en-US"/>
              </w:rPr>
              <w:lastRenderedPageBreak/>
              <w:t xml:space="preserve">Indicator #7:  </w:t>
            </w:r>
            <w:r w:rsidRPr="003C5C1B">
              <w:rPr>
                <w:rFonts w:asciiTheme="minorHAnsi" w:eastAsiaTheme="minorEastAsia" w:hAnsiTheme="minorHAnsi" w:cstheme="minorHAnsi"/>
                <w:color w:val="000000" w:themeColor="text1"/>
                <w:sz w:val="16"/>
                <w:szCs w:val="16"/>
                <w:highlight w:val="yellow"/>
                <w:lang w:val="en-US"/>
              </w:rPr>
              <w:t>An institutionalized mechanism for intersectoral and multi-stakeholder coordination is</w:t>
            </w:r>
            <w:r w:rsidRPr="003C5C1B">
              <w:rPr>
                <w:rFonts w:asciiTheme="minorHAnsi" w:eastAsiaTheme="minorEastAsia" w:hAnsiTheme="minorHAnsi" w:cstheme="minorHAnsi"/>
                <w:color w:val="000000" w:themeColor="text1"/>
                <w:sz w:val="16"/>
                <w:szCs w:val="16"/>
                <w:highlight w:val="yellow"/>
                <w:u w:val="single"/>
                <w:lang w:val="en-US"/>
              </w:rPr>
              <w:t xml:space="preserve"> </w:t>
            </w:r>
            <w:r w:rsidRPr="003C5C1B">
              <w:rPr>
                <w:rFonts w:asciiTheme="minorHAnsi" w:eastAsiaTheme="minorEastAsia" w:hAnsiTheme="minorHAnsi" w:cstheme="minorHAnsi"/>
                <w:color w:val="000000" w:themeColor="text1"/>
                <w:sz w:val="16"/>
                <w:szCs w:val="16"/>
                <w:highlight w:val="yellow"/>
                <w:lang w:val="en-US"/>
              </w:rPr>
              <w:t xml:space="preserve">established and </w:t>
            </w:r>
            <w:r w:rsidRPr="003C5C1B">
              <w:rPr>
                <w:rFonts w:asciiTheme="minorHAnsi" w:eastAsiaTheme="minorEastAsia" w:hAnsiTheme="minorHAnsi" w:cstheme="minorHAnsi"/>
                <w:color w:val="000000" w:themeColor="text1"/>
                <w:sz w:val="16"/>
                <w:szCs w:val="16"/>
                <w:highlight w:val="yellow"/>
                <w:lang w:val="en-US"/>
              </w:rPr>
              <w:lastRenderedPageBreak/>
              <w:t>operational, with clear mandates, dedicated resources and a roadmap for sustainability</w:t>
            </w:r>
          </w:p>
          <w:p w14:paraId="54B6C8F3"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  </w:t>
            </w:r>
          </w:p>
        </w:tc>
        <w:tc>
          <w:tcPr>
            <w:tcW w:w="2027" w:type="dxa"/>
            <w:gridSpan w:val="2"/>
            <w:shd w:val="clear" w:color="auto" w:fill="FFFFFF" w:themeFill="background1"/>
          </w:tcPr>
          <w:p w14:paraId="034804C6"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lastRenderedPageBreak/>
              <w:t xml:space="preserve">PMU reports, minutes of meetings (minimum 2 meetings/year)  </w:t>
            </w:r>
          </w:p>
          <w:p w14:paraId="7CEBC205"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  </w:t>
            </w:r>
          </w:p>
        </w:tc>
        <w:tc>
          <w:tcPr>
            <w:tcW w:w="1670" w:type="dxa"/>
            <w:gridSpan w:val="2"/>
            <w:shd w:val="clear" w:color="auto" w:fill="FFFFFF" w:themeFill="background1"/>
          </w:tcPr>
          <w:p w14:paraId="7B7F2C75"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i/>
                <w:iCs/>
                <w:color w:val="000000" w:themeColor="text1"/>
                <w:sz w:val="16"/>
                <w:szCs w:val="16"/>
              </w:rPr>
              <w:t>0 (non-</w:t>
            </w:r>
            <w:proofErr w:type="gramStart"/>
            <w:r w:rsidRPr="00045243">
              <w:rPr>
                <w:rFonts w:asciiTheme="minorHAnsi" w:eastAsiaTheme="minorEastAsia" w:hAnsiTheme="minorHAnsi" w:cstheme="minorHAnsi"/>
                <w:i/>
                <w:iCs/>
                <w:color w:val="000000" w:themeColor="text1"/>
                <w:sz w:val="16"/>
                <w:szCs w:val="16"/>
              </w:rPr>
              <w:t>existent) </w:t>
            </w:r>
            <w:r w:rsidRPr="00045243">
              <w:rPr>
                <w:rFonts w:asciiTheme="minorHAnsi" w:eastAsiaTheme="minorEastAsia" w:hAnsiTheme="minorHAnsi" w:cstheme="minorHAnsi"/>
                <w:color w:val="000000" w:themeColor="text1"/>
                <w:sz w:val="16"/>
                <w:szCs w:val="16"/>
              </w:rPr>
              <w:t xml:space="preserve">  </w:t>
            </w:r>
            <w:proofErr w:type="gramEnd"/>
          </w:p>
        </w:tc>
        <w:tc>
          <w:tcPr>
            <w:tcW w:w="1220" w:type="dxa"/>
            <w:gridSpan w:val="2"/>
            <w:shd w:val="clear" w:color="auto" w:fill="FFFFFF" w:themeFill="background1"/>
          </w:tcPr>
          <w:p w14:paraId="58D971F9"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i/>
                <w:iCs/>
                <w:color w:val="000000" w:themeColor="text1"/>
                <w:sz w:val="16"/>
                <w:szCs w:val="16"/>
                <w:lang w:val="en-US"/>
              </w:rPr>
              <w:t>1 (official existence and first meetings held)</w:t>
            </w:r>
            <w:r w:rsidRPr="003C5C1B">
              <w:rPr>
                <w:rFonts w:asciiTheme="minorHAnsi" w:eastAsiaTheme="minorEastAsia" w:hAnsiTheme="minorHAnsi" w:cstheme="minorHAnsi"/>
                <w:color w:val="000000" w:themeColor="text1"/>
                <w:sz w:val="16"/>
                <w:szCs w:val="16"/>
                <w:lang w:val="en-US"/>
              </w:rPr>
              <w:t xml:space="preserve">  </w:t>
            </w:r>
          </w:p>
        </w:tc>
        <w:tc>
          <w:tcPr>
            <w:tcW w:w="1463" w:type="dxa"/>
            <w:shd w:val="clear" w:color="auto" w:fill="FFFFFF" w:themeFill="background1"/>
          </w:tcPr>
          <w:p w14:paraId="28F645D5"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i/>
                <w:iCs/>
                <w:color w:val="000000" w:themeColor="text1"/>
                <w:sz w:val="16"/>
                <w:szCs w:val="16"/>
              </w:rPr>
              <w:t>2 (</w:t>
            </w:r>
            <w:proofErr w:type="spellStart"/>
            <w:r w:rsidRPr="00045243">
              <w:rPr>
                <w:rFonts w:asciiTheme="minorHAnsi" w:eastAsiaTheme="minorEastAsia" w:hAnsiTheme="minorHAnsi" w:cstheme="minorHAnsi"/>
                <w:i/>
                <w:iCs/>
                <w:color w:val="000000" w:themeColor="text1"/>
                <w:sz w:val="16"/>
                <w:szCs w:val="16"/>
              </w:rPr>
              <w:t>Enhanced</w:t>
            </w:r>
            <w:proofErr w:type="spellEnd"/>
            <w:r w:rsidRPr="00045243">
              <w:rPr>
                <w:rFonts w:asciiTheme="minorHAnsi" w:eastAsiaTheme="minorEastAsia" w:hAnsiTheme="minorHAnsi" w:cstheme="minorHAnsi"/>
                <w:i/>
                <w:iCs/>
                <w:color w:val="000000" w:themeColor="text1"/>
                <w:sz w:val="16"/>
                <w:szCs w:val="16"/>
              </w:rPr>
              <w:t xml:space="preserve"> Existence)</w:t>
            </w:r>
            <w:r w:rsidRPr="00045243">
              <w:rPr>
                <w:rFonts w:asciiTheme="minorHAnsi" w:eastAsiaTheme="minorEastAsia" w:hAnsiTheme="minorHAnsi" w:cstheme="minorHAnsi"/>
                <w:color w:val="000000" w:themeColor="text1"/>
                <w:sz w:val="16"/>
                <w:szCs w:val="16"/>
              </w:rPr>
              <w:t xml:space="preserve">  </w:t>
            </w:r>
          </w:p>
        </w:tc>
        <w:tc>
          <w:tcPr>
            <w:tcW w:w="2195" w:type="dxa"/>
            <w:shd w:val="clear" w:color="auto" w:fill="FFFFFF" w:themeFill="background1"/>
          </w:tcPr>
          <w:p w14:paraId="0AE1D732"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lang w:val="en-US"/>
              </w:rPr>
              <w:t xml:space="preserve">Document </w:t>
            </w:r>
            <w:proofErr w:type="gramStart"/>
            <w:r w:rsidRPr="003C5C1B">
              <w:rPr>
                <w:rFonts w:asciiTheme="minorHAnsi" w:eastAsiaTheme="minorEastAsia" w:hAnsiTheme="minorHAnsi" w:cstheme="minorHAnsi"/>
                <w:b/>
                <w:bCs/>
                <w:color w:val="000000" w:themeColor="text1"/>
                <w:sz w:val="16"/>
                <w:szCs w:val="16"/>
                <w:lang w:val="en-US"/>
              </w:rPr>
              <w:t>review</w:t>
            </w:r>
            <w:r w:rsidRPr="003C5C1B">
              <w:rPr>
                <w:rFonts w:asciiTheme="minorHAnsi" w:eastAsiaTheme="minorEastAsia" w:hAnsiTheme="minorHAnsi" w:cstheme="minorHAnsi"/>
                <w:color w:val="000000" w:themeColor="text1"/>
                <w:sz w:val="16"/>
                <w:szCs w:val="16"/>
                <w:lang w:val="en-US"/>
              </w:rPr>
              <w:t xml:space="preserve"> :</w:t>
            </w:r>
            <w:proofErr w:type="gramEnd"/>
            <w:r w:rsidRPr="003C5C1B">
              <w:rPr>
                <w:rFonts w:asciiTheme="minorHAnsi" w:eastAsiaTheme="minorEastAsia" w:hAnsiTheme="minorHAnsi" w:cstheme="minorHAnsi"/>
                <w:color w:val="000000" w:themeColor="text1"/>
                <w:sz w:val="16"/>
                <w:szCs w:val="16"/>
                <w:lang w:val="en-US"/>
              </w:rPr>
              <w:t xml:space="preserve"> Analysis of legal texts, minutes of meetings, work plans, roadmaps, mission reports and other reference documents.  </w:t>
            </w:r>
          </w:p>
          <w:p w14:paraId="15095256"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lang w:val="en-US"/>
              </w:rPr>
              <w:t xml:space="preserve">Semi-structured </w:t>
            </w:r>
            <w:proofErr w:type="gramStart"/>
            <w:r w:rsidRPr="003C5C1B">
              <w:rPr>
                <w:rFonts w:asciiTheme="minorHAnsi" w:eastAsiaTheme="minorEastAsia" w:hAnsiTheme="minorHAnsi" w:cstheme="minorHAnsi"/>
                <w:b/>
                <w:bCs/>
                <w:color w:val="000000" w:themeColor="text1"/>
                <w:sz w:val="16"/>
                <w:szCs w:val="16"/>
                <w:lang w:val="en-US"/>
              </w:rPr>
              <w:t>interviews</w:t>
            </w:r>
            <w:r w:rsidRPr="003C5C1B">
              <w:rPr>
                <w:rFonts w:asciiTheme="minorHAnsi" w:eastAsiaTheme="minorEastAsia" w:hAnsiTheme="minorHAnsi" w:cstheme="minorHAnsi"/>
                <w:color w:val="000000" w:themeColor="text1"/>
                <w:sz w:val="16"/>
                <w:szCs w:val="16"/>
                <w:lang w:val="en-US"/>
              </w:rPr>
              <w:t xml:space="preserve"> :</w:t>
            </w:r>
            <w:proofErr w:type="gramEnd"/>
            <w:r w:rsidRPr="003C5C1B">
              <w:rPr>
                <w:rFonts w:asciiTheme="minorHAnsi" w:eastAsiaTheme="minorEastAsia" w:hAnsiTheme="minorHAnsi" w:cstheme="minorHAnsi"/>
                <w:color w:val="000000" w:themeColor="text1"/>
                <w:sz w:val="16"/>
                <w:szCs w:val="16"/>
                <w:lang w:val="en-US"/>
              </w:rPr>
              <w:t xml:space="preserve"> Conducted with representatives of the institutions involved, the private sector, CSOs and technical partners to assess </w:t>
            </w:r>
            <w:r w:rsidRPr="003C5C1B">
              <w:rPr>
                <w:rFonts w:asciiTheme="minorHAnsi" w:eastAsiaTheme="minorEastAsia" w:hAnsiTheme="minorHAnsi" w:cstheme="minorHAnsi"/>
                <w:color w:val="000000" w:themeColor="text1"/>
                <w:sz w:val="16"/>
                <w:szCs w:val="16"/>
                <w:lang w:val="en-US"/>
              </w:rPr>
              <w:lastRenderedPageBreak/>
              <w:t xml:space="preserve">their perception of the effectiveness of the mechanism.  </w:t>
            </w:r>
          </w:p>
          <w:p w14:paraId="21A8776C"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lang w:val="en-US"/>
              </w:rPr>
              <w:t xml:space="preserve">Standardized </w:t>
            </w:r>
            <w:proofErr w:type="gramStart"/>
            <w:r w:rsidRPr="003C5C1B">
              <w:rPr>
                <w:rFonts w:asciiTheme="minorHAnsi" w:eastAsiaTheme="minorEastAsia" w:hAnsiTheme="minorHAnsi" w:cstheme="minorHAnsi"/>
                <w:b/>
                <w:bCs/>
                <w:color w:val="000000" w:themeColor="text1"/>
                <w:sz w:val="16"/>
                <w:szCs w:val="16"/>
                <w:lang w:val="en-US"/>
              </w:rPr>
              <w:t>questionnaires</w:t>
            </w:r>
            <w:r w:rsidRPr="003C5C1B">
              <w:rPr>
                <w:rFonts w:asciiTheme="minorHAnsi" w:eastAsiaTheme="minorEastAsia" w:hAnsiTheme="minorHAnsi" w:cstheme="minorHAnsi"/>
                <w:color w:val="000000" w:themeColor="text1"/>
                <w:sz w:val="16"/>
                <w:szCs w:val="16"/>
                <w:lang w:val="en-US"/>
              </w:rPr>
              <w:t xml:space="preserve"> :</w:t>
            </w:r>
            <w:proofErr w:type="gramEnd"/>
            <w:r w:rsidRPr="003C5C1B">
              <w:rPr>
                <w:rFonts w:asciiTheme="minorHAnsi" w:eastAsiaTheme="minorEastAsia" w:hAnsiTheme="minorHAnsi" w:cstheme="minorHAnsi"/>
                <w:color w:val="000000" w:themeColor="text1"/>
                <w:sz w:val="16"/>
                <w:szCs w:val="16"/>
                <w:lang w:val="en-US"/>
              </w:rPr>
              <w:t xml:space="preserve"> Circulated to members of the mechanism to collect information on the frequency of meetings, the level of participation, the quality of coordination, and the results achieved.  </w:t>
            </w:r>
          </w:p>
          <w:p w14:paraId="56FA3D54"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lang w:val="en-US"/>
              </w:rPr>
              <w:t>Direct observations</w:t>
            </w:r>
            <w:r w:rsidRPr="003C5C1B">
              <w:rPr>
                <w:rFonts w:asciiTheme="minorHAnsi" w:eastAsiaTheme="minorEastAsia" w:hAnsiTheme="minorHAnsi" w:cstheme="minorHAnsi"/>
                <w:color w:val="000000" w:themeColor="text1"/>
                <w:sz w:val="16"/>
                <w:szCs w:val="16"/>
                <w:lang w:val="en-US"/>
              </w:rPr>
              <w:t xml:space="preserve"> of coordination meetings to assess the collaborative dynamics and operationality of the framework.  </w:t>
            </w:r>
          </w:p>
          <w:p w14:paraId="590FAA36"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lang w:val="en-US"/>
              </w:rPr>
              <w:t xml:space="preserve">Budget </w:t>
            </w:r>
            <w:proofErr w:type="gramStart"/>
            <w:r w:rsidRPr="003C5C1B">
              <w:rPr>
                <w:rFonts w:asciiTheme="minorHAnsi" w:eastAsiaTheme="minorEastAsia" w:hAnsiTheme="minorHAnsi" w:cstheme="minorHAnsi"/>
                <w:b/>
                <w:bCs/>
                <w:color w:val="000000" w:themeColor="text1"/>
                <w:sz w:val="16"/>
                <w:szCs w:val="16"/>
                <w:lang w:val="en-US"/>
              </w:rPr>
              <w:t>analysis</w:t>
            </w:r>
            <w:r w:rsidRPr="003C5C1B">
              <w:rPr>
                <w:rFonts w:asciiTheme="minorHAnsi" w:eastAsiaTheme="minorEastAsia" w:hAnsiTheme="minorHAnsi" w:cstheme="minorHAnsi"/>
                <w:color w:val="000000" w:themeColor="text1"/>
                <w:sz w:val="16"/>
                <w:szCs w:val="16"/>
                <w:lang w:val="en-US"/>
              </w:rPr>
              <w:t xml:space="preserve"> :</w:t>
            </w:r>
            <w:proofErr w:type="gramEnd"/>
            <w:r w:rsidRPr="003C5C1B">
              <w:rPr>
                <w:rFonts w:asciiTheme="minorHAnsi" w:eastAsiaTheme="minorEastAsia" w:hAnsiTheme="minorHAnsi" w:cstheme="minorHAnsi"/>
                <w:color w:val="000000" w:themeColor="text1"/>
                <w:sz w:val="16"/>
                <w:szCs w:val="16"/>
                <w:lang w:val="en-US"/>
              </w:rPr>
              <w:t xml:space="preserve"> Verification of the allocation and use of resources dedicated to the mechanism.  </w:t>
            </w:r>
          </w:p>
          <w:p w14:paraId="4901CCA2"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lang w:val="en-US"/>
              </w:rPr>
              <w:t xml:space="preserve">Participatory </w:t>
            </w:r>
            <w:proofErr w:type="gramStart"/>
            <w:r w:rsidRPr="003C5C1B">
              <w:rPr>
                <w:rFonts w:asciiTheme="minorHAnsi" w:eastAsiaTheme="minorEastAsia" w:hAnsiTheme="minorHAnsi" w:cstheme="minorHAnsi"/>
                <w:b/>
                <w:bCs/>
                <w:color w:val="000000" w:themeColor="text1"/>
                <w:sz w:val="16"/>
                <w:szCs w:val="16"/>
                <w:lang w:val="en-US"/>
              </w:rPr>
              <w:t>monitoring</w:t>
            </w:r>
            <w:r w:rsidRPr="003C5C1B">
              <w:rPr>
                <w:rFonts w:asciiTheme="minorHAnsi" w:eastAsiaTheme="minorEastAsia" w:hAnsiTheme="minorHAnsi" w:cstheme="minorHAnsi"/>
                <w:color w:val="000000" w:themeColor="text1"/>
                <w:sz w:val="16"/>
                <w:szCs w:val="16"/>
                <w:lang w:val="en-US"/>
              </w:rPr>
              <w:t xml:space="preserve"> :</w:t>
            </w:r>
            <w:proofErr w:type="gramEnd"/>
            <w:r w:rsidRPr="003C5C1B">
              <w:rPr>
                <w:rFonts w:asciiTheme="minorHAnsi" w:eastAsiaTheme="minorEastAsia" w:hAnsiTheme="minorHAnsi" w:cstheme="minorHAnsi"/>
                <w:color w:val="000000" w:themeColor="text1"/>
                <w:sz w:val="16"/>
                <w:szCs w:val="16"/>
                <w:lang w:val="en-US"/>
              </w:rPr>
              <w:t xml:space="preserve"> Integration of a stakeholder feedback mechanism on the performance of the system.  </w:t>
            </w:r>
          </w:p>
        </w:tc>
        <w:tc>
          <w:tcPr>
            <w:tcW w:w="2062" w:type="dxa"/>
            <w:shd w:val="clear" w:color="auto" w:fill="FFFFFF" w:themeFill="background1"/>
          </w:tcPr>
          <w:p w14:paraId="651435B8"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lang w:val="en-US"/>
              </w:rPr>
              <w:lastRenderedPageBreak/>
              <w:t>Assumptions:</w:t>
            </w:r>
            <w:r w:rsidRPr="003C5C1B">
              <w:rPr>
                <w:rFonts w:asciiTheme="minorHAnsi" w:eastAsiaTheme="minorEastAsia" w:hAnsiTheme="minorHAnsi" w:cstheme="minorHAnsi"/>
                <w:color w:val="000000" w:themeColor="text1"/>
                <w:sz w:val="16"/>
                <w:szCs w:val="16"/>
                <w:lang w:val="en-US"/>
              </w:rPr>
              <w:t xml:space="preserve">   </w:t>
            </w:r>
          </w:p>
          <w:p w14:paraId="535DD000"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Sustained political will to support intersectoral coordination  </w:t>
            </w:r>
          </w:p>
          <w:p w14:paraId="51016904"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Effective engagement of relevant stakeholders  </w:t>
            </w:r>
          </w:p>
          <w:p w14:paraId="3E269033"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Financial resources available to support the </w:t>
            </w:r>
            <w:r w:rsidRPr="003C5C1B">
              <w:rPr>
                <w:rFonts w:asciiTheme="minorHAnsi" w:eastAsiaTheme="minorEastAsia" w:hAnsiTheme="minorHAnsi" w:cstheme="minorHAnsi"/>
                <w:color w:val="000000" w:themeColor="text1"/>
                <w:sz w:val="16"/>
                <w:szCs w:val="16"/>
                <w:lang w:val="en-US"/>
              </w:rPr>
              <w:lastRenderedPageBreak/>
              <w:t xml:space="preserve">activities of the mechanism  </w:t>
            </w:r>
          </w:p>
          <w:p w14:paraId="6876D4E2"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Existence of a legislative or institutional framework conducive to multi-stakeholder dialogue4  </w:t>
            </w:r>
          </w:p>
          <w:p w14:paraId="31D1D292"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lang w:val="en-US"/>
              </w:rPr>
              <w:t>Risks</w:t>
            </w:r>
            <w:r w:rsidRPr="003C5C1B">
              <w:rPr>
                <w:rFonts w:asciiTheme="minorHAnsi" w:eastAsiaTheme="minorEastAsia" w:hAnsiTheme="minorHAnsi" w:cstheme="minorHAnsi"/>
                <w:color w:val="000000" w:themeColor="text1"/>
                <w:sz w:val="16"/>
                <w:szCs w:val="16"/>
                <w:lang w:val="en-US"/>
              </w:rPr>
              <w:t xml:space="preserve">:   </w:t>
            </w:r>
          </w:p>
          <w:p w14:paraId="5987F72A"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Political or institutional change weakening the governance of the mechanism  </w:t>
            </w:r>
          </w:p>
          <w:p w14:paraId="5021F513"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Low or irregular participation of some key actors  </w:t>
            </w:r>
          </w:p>
          <w:p w14:paraId="41C3CC8B"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Conflicts of interest or sectoral rivalries that impede collaboration  </w:t>
            </w:r>
          </w:p>
          <w:p w14:paraId="0F8AC6E4"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 Insufficient resources (financial, human, logistical) to ensure sustainability  </w:t>
            </w:r>
          </w:p>
          <w:p w14:paraId="59FCDCDD"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Lack of monitoring and evaluation of the mechanism, leading to a loss of credibility  </w:t>
            </w:r>
          </w:p>
        </w:tc>
        <w:tc>
          <w:tcPr>
            <w:tcW w:w="1803" w:type="dxa"/>
            <w:shd w:val="clear" w:color="auto" w:fill="FFFFFF" w:themeFill="background1"/>
          </w:tcPr>
          <w:p w14:paraId="54B1E16D" w14:textId="77777777" w:rsidR="00A15021" w:rsidRPr="003C5C1B" w:rsidRDefault="00A15021">
            <w:pPr>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highlight w:val="yellow"/>
                <w:lang w:val="en-US"/>
              </w:rPr>
              <w:lastRenderedPageBreak/>
              <w:t>Indicator 2: # of countries and cities that have scaled up their commitments based on an improved integrated urban policy and planning approach</w:t>
            </w:r>
          </w:p>
          <w:p w14:paraId="4721F5F4" w14:textId="77777777" w:rsidR="00A15021" w:rsidRPr="003C5C1B" w:rsidRDefault="00A15021">
            <w:pPr>
              <w:spacing w:line="257" w:lineRule="auto"/>
              <w:rPr>
                <w:rFonts w:asciiTheme="minorHAnsi" w:eastAsiaTheme="minorEastAsia" w:hAnsiTheme="minorHAnsi" w:cstheme="minorHAnsi"/>
                <w:b/>
                <w:bCs/>
                <w:sz w:val="16"/>
                <w:szCs w:val="16"/>
                <w:lang w:val="en-US"/>
              </w:rPr>
            </w:pPr>
          </w:p>
          <w:p w14:paraId="7CE565EE" w14:textId="77777777" w:rsidR="00A15021" w:rsidRPr="003C5C1B" w:rsidRDefault="00A15021">
            <w:pPr>
              <w:spacing w:line="257" w:lineRule="auto"/>
              <w:rPr>
                <w:rFonts w:asciiTheme="minorHAnsi" w:eastAsiaTheme="minorEastAsia" w:hAnsiTheme="minorHAnsi" w:cstheme="minorHAnsi"/>
                <w:b/>
                <w:bCs/>
                <w:color w:val="000000" w:themeColor="text1"/>
                <w:sz w:val="16"/>
                <w:szCs w:val="16"/>
                <w:lang w:val="en-US"/>
              </w:rPr>
            </w:pPr>
          </w:p>
        </w:tc>
      </w:tr>
      <w:tr w:rsidR="00A15021" w:rsidRPr="00F50786" w14:paraId="62594DFF" w14:textId="77777777" w:rsidTr="2DC80E69">
        <w:trPr>
          <w:trHeight w:val="300"/>
          <w:jc w:val="center"/>
        </w:trPr>
        <w:tc>
          <w:tcPr>
            <w:tcW w:w="747" w:type="dxa"/>
            <w:vMerge/>
            <w:vAlign w:val="center"/>
          </w:tcPr>
          <w:p w14:paraId="7DBA2389" w14:textId="77777777" w:rsidR="00A15021" w:rsidRPr="003C5C1B" w:rsidRDefault="00A15021">
            <w:pPr>
              <w:rPr>
                <w:rFonts w:asciiTheme="minorHAnsi" w:hAnsiTheme="minorHAnsi" w:cstheme="minorHAnsi"/>
                <w:sz w:val="16"/>
                <w:szCs w:val="16"/>
                <w:lang w:val="en-US"/>
              </w:rPr>
            </w:pPr>
          </w:p>
        </w:tc>
        <w:tc>
          <w:tcPr>
            <w:tcW w:w="1185" w:type="dxa"/>
            <w:shd w:val="clear" w:color="auto" w:fill="FFFFFF" w:themeFill="background1"/>
          </w:tcPr>
          <w:p w14:paraId="68F23DFF"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i/>
                <w:iCs/>
                <w:color w:val="000000" w:themeColor="text1"/>
                <w:sz w:val="16"/>
                <w:szCs w:val="16"/>
                <w:u w:val="single"/>
                <w:lang w:val="en-US"/>
              </w:rPr>
              <w:t>Indicator 8</w:t>
            </w:r>
            <w:r w:rsidRPr="003C5C1B">
              <w:rPr>
                <w:rFonts w:asciiTheme="minorHAnsi" w:eastAsiaTheme="minorEastAsia" w:hAnsiTheme="minorHAnsi" w:cstheme="minorHAnsi"/>
                <w:i/>
                <w:iCs/>
                <w:color w:val="000000" w:themeColor="text1"/>
                <w:sz w:val="16"/>
                <w:szCs w:val="16"/>
                <w:lang w:val="en-US"/>
              </w:rPr>
              <w:t xml:space="preserve">: </w:t>
            </w:r>
            <w:r w:rsidRPr="003C5C1B">
              <w:rPr>
                <w:rFonts w:asciiTheme="minorHAnsi" w:eastAsiaTheme="minorEastAsia" w:hAnsiTheme="minorHAnsi" w:cstheme="minorHAnsi"/>
                <w:color w:val="000000" w:themeColor="text1"/>
                <w:sz w:val="16"/>
                <w:szCs w:val="16"/>
                <w:lang w:val="en-US"/>
              </w:rPr>
              <w:t xml:space="preserve"># of planning documents integrating climate environmental risks adopted  </w:t>
            </w:r>
          </w:p>
        </w:tc>
        <w:tc>
          <w:tcPr>
            <w:tcW w:w="2027" w:type="dxa"/>
            <w:gridSpan w:val="2"/>
            <w:shd w:val="clear" w:color="auto" w:fill="FFFFFF" w:themeFill="background1"/>
          </w:tcPr>
          <w:p w14:paraId="304149F6"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Technical or Consultant Reports  </w:t>
            </w:r>
          </w:p>
          <w:p w14:paraId="53BF328A"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Validation reports of studies/policies/strategies (workshop reports, minutes of deliberations)  </w:t>
            </w:r>
          </w:p>
          <w:p w14:paraId="6902BF9B"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  </w:t>
            </w:r>
          </w:p>
        </w:tc>
        <w:tc>
          <w:tcPr>
            <w:tcW w:w="1670" w:type="dxa"/>
            <w:gridSpan w:val="2"/>
            <w:shd w:val="clear" w:color="auto" w:fill="FFFFFF" w:themeFill="background1"/>
          </w:tcPr>
          <w:p w14:paraId="297D9798" w14:textId="33A96B4D" w:rsidR="00A15021" w:rsidRPr="00045243" w:rsidRDefault="645CB8FC" w:rsidP="2DC80E69">
            <w:pPr>
              <w:spacing w:line="257" w:lineRule="auto"/>
              <w:rPr>
                <w:rFonts w:asciiTheme="minorHAnsi" w:eastAsiaTheme="minorEastAsia" w:hAnsiTheme="minorHAnsi" w:cstheme="minorBidi"/>
                <w:color w:val="000000" w:themeColor="text1"/>
                <w:sz w:val="16"/>
                <w:szCs w:val="16"/>
              </w:rPr>
            </w:pPr>
            <w:r w:rsidRPr="2DC80E69">
              <w:rPr>
                <w:rFonts w:asciiTheme="minorHAnsi" w:eastAsiaTheme="minorEastAsia" w:hAnsiTheme="minorHAnsi" w:cstheme="minorBidi"/>
                <w:i/>
                <w:iCs/>
                <w:color w:val="000000" w:themeColor="text1"/>
                <w:sz w:val="16"/>
                <w:szCs w:val="16"/>
              </w:rPr>
              <w:t>0</w:t>
            </w:r>
            <w:r w:rsidRPr="2DC80E69">
              <w:rPr>
                <w:rFonts w:asciiTheme="minorHAnsi" w:eastAsiaTheme="minorEastAsia" w:hAnsiTheme="minorHAnsi" w:cstheme="minorBidi"/>
                <w:color w:val="000000" w:themeColor="text1"/>
                <w:sz w:val="16"/>
                <w:szCs w:val="16"/>
              </w:rPr>
              <w:t> </w:t>
            </w:r>
          </w:p>
        </w:tc>
        <w:tc>
          <w:tcPr>
            <w:tcW w:w="1220" w:type="dxa"/>
            <w:gridSpan w:val="2"/>
            <w:shd w:val="clear" w:color="auto" w:fill="FFFFFF" w:themeFill="background1"/>
          </w:tcPr>
          <w:p w14:paraId="522D667A"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i/>
                <w:iCs/>
                <w:color w:val="000000" w:themeColor="text1"/>
                <w:sz w:val="16"/>
                <w:szCs w:val="16"/>
              </w:rPr>
              <w:t>2</w:t>
            </w:r>
            <w:r w:rsidRPr="00045243">
              <w:rPr>
                <w:rFonts w:asciiTheme="minorHAnsi" w:eastAsiaTheme="minorEastAsia" w:hAnsiTheme="minorHAnsi" w:cstheme="minorHAnsi"/>
                <w:color w:val="000000" w:themeColor="text1"/>
                <w:sz w:val="16"/>
                <w:szCs w:val="16"/>
              </w:rPr>
              <w:t xml:space="preserve">  </w:t>
            </w:r>
          </w:p>
        </w:tc>
        <w:tc>
          <w:tcPr>
            <w:tcW w:w="1463" w:type="dxa"/>
            <w:shd w:val="clear" w:color="auto" w:fill="FFFFFF" w:themeFill="background1"/>
          </w:tcPr>
          <w:p w14:paraId="32C1425E"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i/>
                <w:iCs/>
                <w:color w:val="000000" w:themeColor="text1"/>
                <w:sz w:val="16"/>
                <w:szCs w:val="16"/>
              </w:rPr>
              <w:t>4</w:t>
            </w:r>
            <w:r w:rsidRPr="00045243">
              <w:rPr>
                <w:rFonts w:asciiTheme="minorHAnsi" w:eastAsiaTheme="minorEastAsia" w:hAnsiTheme="minorHAnsi" w:cstheme="minorHAnsi"/>
                <w:color w:val="000000" w:themeColor="text1"/>
                <w:sz w:val="16"/>
                <w:szCs w:val="16"/>
              </w:rPr>
              <w:t xml:space="preserve">  </w:t>
            </w:r>
          </w:p>
        </w:tc>
        <w:tc>
          <w:tcPr>
            <w:tcW w:w="2195" w:type="dxa"/>
            <w:shd w:val="clear" w:color="auto" w:fill="FFFFFF" w:themeFill="background1"/>
          </w:tcPr>
          <w:p w14:paraId="3B1BE724"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A document is </w:t>
            </w:r>
            <w:proofErr w:type="gramStart"/>
            <w:r w:rsidRPr="003C5C1B">
              <w:rPr>
                <w:rFonts w:asciiTheme="minorHAnsi" w:eastAsiaTheme="minorEastAsia" w:hAnsiTheme="minorHAnsi" w:cstheme="minorHAnsi"/>
                <w:color w:val="000000" w:themeColor="text1"/>
                <w:sz w:val="16"/>
                <w:szCs w:val="16"/>
                <w:lang w:val="en-US"/>
              </w:rPr>
              <w:t>taken into account</w:t>
            </w:r>
            <w:proofErr w:type="gramEnd"/>
            <w:r w:rsidRPr="003C5C1B">
              <w:rPr>
                <w:rFonts w:asciiTheme="minorHAnsi" w:eastAsiaTheme="minorEastAsia" w:hAnsiTheme="minorHAnsi" w:cstheme="minorHAnsi"/>
                <w:color w:val="000000" w:themeColor="text1"/>
                <w:sz w:val="16"/>
                <w:szCs w:val="16"/>
                <w:lang w:val="en-US"/>
              </w:rPr>
              <w:t xml:space="preserve"> if it:  </w:t>
            </w:r>
          </w:p>
          <w:p w14:paraId="387F257F" w14:textId="77777777" w:rsidR="00A15021" w:rsidRPr="003C5C1B" w:rsidRDefault="00A15021" w:rsidP="00A15021">
            <w:pPr>
              <w:pStyle w:val="Paragraphedeliste"/>
              <w:numPr>
                <w:ilvl w:val="0"/>
                <w:numId w:val="358"/>
              </w:numPr>
              <w:spacing w:after="0" w:line="257" w:lineRule="auto"/>
              <w:contextualSpacing w:val="0"/>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Is technically validated or adopted by a competent </w:t>
            </w:r>
            <w:proofErr w:type="gramStart"/>
            <w:r w:rsidRPr="003C5C1B">
              <w:rPr>
                <w:rFonts w:asciiTheme="minorHAnsi" w:eastAsiaTheme="minorEastAsia" w:hAnsiTheme="minorHAnsi" w:cstheme="minorHAnsi"/>
                <w:color w:val="000000" w:themeColor="text1"/>
                <w:sz w:val="16"/>
                <w:szCs w:val="16"/>
                <w:lang w:val="en-US"/>
              </w:rPr>
              <w:t>authority;</w:t>
            </w:r>
            <w:proofErr w:type="gramEnd"/>
            <w:r w:rsidRPr="003C5C1B">
              <w:rPr>
                <w:rFonts w:asciiTheme="minorHAnsi" w:eastAsiaTheme="minorEastAsia" w:hAnsiTheme="minorHAnsi" w:cstheme="minorHAnsi"/>
                <w:color w:val="000000" w:themeColor="text1"/>
                <w:sz w:val="16"/>
                <w:szCs w:val="16"/>
                <w:lang w:val="en-US"/>
              </w:rPr>
              <w:t xml:space="preserve">  </w:t>
            </w:r>
          </w:p>
          <w:p w14:paraId="00CE55AD" w14:textId="77777777" w:rsidR="00A15021" w:rsidRPr="003C5C1B" w:rsidRDefault="00A15021" w:rsidP="00A15021">
            <w:pPr>
              <w:pStyle w:val="Paragraphedeliste"/>
              <w:numPr>
                <w:ilvl w:val="0"/>
                <w:numId w:val="357"/>
              </w:numPr>
              <w:spacing w:after="0" w:line="257" w:lineRule="auto"/>
              <w:contextualSpacing w:val="0"/>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Is developed on the basis of environmental and climate </w:t>
            </w:r>
            <w:r w:rsidRPr="003C5C1B">
              <w:rPr>
                <w:rFonts w:asciiTheme="minorHAnsi" w:eastAsiaTheme="minorEastAsia" w:hAnsiTheme="minorHAnsi" w:cstheme="minorHAnsi"/>
                <w:color w:val="000000" w:themeColor="text1"/>
                <w:sz w:val="16"/>
                <w:szCs w:val="16"/>
                <w:lang w:val="en-US"/>
              </w:rPr>
              <w:lastRenderedPageBreak/>
              <w:t>standards (e.g. an assessment or mapping of environmental and climatic risks such as floods, drought, heat waves, pollution, etc.</w:t>
            </w:r>
            <w:proofErr w:type="gramStart"/>
            <w:r w:rsidRPr="003C5C1B">
              <w:rPr>
                <w:rFonts w:asciiTheme="minorHAnsi" w:eastAsiaTheme="minorEastAsia" w:hAnsiTheme="minorHAnsi" w:cstheme="minorHAnsi"/>
                <w:color w:val="000000" w:themeColor="text1"/>
                <w:sz w:val="16"/>
                <w:szCs w:val="16"/>
                <w:lang w:val="en-US"/>
              </w:rPr>
              <w:t>);</w:t>
            </w:r>
            <w:proofErr w:type="gramEnd"/>
            <w:r w:rsidRPr="003C5C1B">
              <w:rPr>
                <w:rFonts w:asciiTheme="minorHAnsi" w:eastAsiaTheme="minorEastAsia" w:hAnsiTheme="minorHAnsi" w:cstheme="minorHAnsi"/>
                <w:color w:val="000000" w:themeColor="text1"/>
                <w:sz w:val="16"/>
                <w:szCs w:val="16"/>
                <w:lang w:val="en-US"/>
              </w:rPr>
              <w:t xml:space="preserve">  </w:t>
            </w:r>
          </w:p>
          <w:p w14:paraId="06B98DD7" w14:textId="77777777" w:rsidR="00A15021" w:rsidRPr="003C5C1B" w:rsidRDefault="00A15021" w:rsidP="00A15021">
            <w:pPr>
              <w:pStyle w:val="Paragraphedeliste"/>
              <w:numPr>
                <w:ilvl w:val="0"/>
                <w:numId w:val="356"/>
              </w:numPr>
              <w:spacing w:after="0" w:line="257" w:lineRule="auto"/>
              <w:contextualSpacing w:val="0"/>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Incorporates concrete mitigation or adaptation measures, or provisions to strengthen territorial </w:t>
            </w:r>
            <w:proofErr w:type="gramStart"/>
            <w:r w:rsidRPr="003C5C1B">
              <w:rPr>
                <w:rFonts w:asciiTheme="minorHAnsi" w:eastAsiaTheme="minorEastAsia" w:hAnsiTheme="minorHAnsi" w:cstheme="minorHAnsi"/>
                <w:color w:val="000000" w:themeColor="text1"/>
                <w:sz w:val="16"/>
                <w:szCs w:val="16"/>
                <w:lang w:val="en-US"/>
              </w:rPr>
              <w:t>resilience;</w:t>
            </w:r>
            <w:proofErr w:type="gramEnd"/>
            <w:r w:rsidRPr="003C5C1B">
              <w:rPr>
                <w:rFonts w:asciiTheme="minorHAnsi" w:eastAsiaTheme="minorEastAsia" w:hAnsiTheme="minorHAnsi" w:cstheme="minorHAnsi"/>
                <w:color w:val="000000" w:themeColor="text1"/>
                <w:sz w:val="16"/>
                <w:szCs w:val="16"/>
                <w:lang w:val="en-US"/>
              </w:rPr>
              <w:t xml:space="preserve">  </w:t>
            </w:r>
          </w:p>
          <w:p w14:paraId="1783293B" w14:textId="77777777" w:rsidR="00A15021" w:rsidRPr="003C5C1B" w:rsidRDefault="00A15021" w:rsidP="00A15021">
            <w:pPr>
              <w:pStyle w:val="Paragraphedeliste"/>
              <w:numPr>
                <w:ilvl w:val="0"/>
                <w:numId w:val="355"/>
              </w:numPr>
              <w:spacing w:after="0" w:line="257" w:lineRule="auto"/>
              <w:contextualSpacing w:val="0"/>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Is part of a logic of intersectoral or territorial integration.  </w:t>
            </w:r>
          </w:p>
          <w:p w14:paraId="1DD17D49"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  </w:t>
            </w:r>
          </w:p>
        </w:tc>
        <w:tc>
          <w:tcPr>
            <w:tcW w:w="2062" w:type="dxa"/>
            <w:shd w:val="clear" w:color="auto" w:fill="FFFFFF" w:themeFill="background1"/>
          </w:tcPr>
          <w:p w14:paraId="08C0283C"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lang w:val="en-US"/>
              </w:rPr>
              <w:lastRenderedPageBreak/>
              <w:t>Assumptions:</w:t>
            </w:r>
            <w:r w:rsidRPr="003C5C1B">
              <w:rPr>
                <w:rFonts w:asciiTheme="minorHAnsi" w:eastAsiaTheme="minorEastAsia" w:hAnsiTheme="minorHAnsi" w:cstheme="minorHAnsi"/>
                <w:color w:val="000000" w:themeColor="text1"/>
                <w:sz w:val="16"/>
                <w:szCs w:val="16"/>
                <w:lang w:val="en-US"/>
              </w:rPr>
              <w:t xml:space="preserve">  </w:t>
            </w:r>
          </w:p>
          <w:p w14:paraId="4ED4454C"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The documents produced are finalized, validated and accessible  </w:t>
            </w:r>
          </w:p>
          <w:p w14:paraId="40735F58"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The actors in charge of planning are aware of climate issues </w:t>
            </w:r>
          </w:p>
          <w:p w14:paraId="251D9653"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lastRenderedPageBreak/>
              <w:t xml:space="preserve">There are methodological or regulatory frameworks that promote this integration  </w:t>
            </w:r>
          </w:p>
          <w:p w14:paraId="7B1CC272"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The intersectoral approach is promoted in planning processes  </w:t>
            </w:r>
          </w:p>
          <w:p w14:paraId="195C7685"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lang w:val="en-US"/>
              </w:rPr>
              <w:t>Risks: </w:t>
            </w:r>
            <w:r w:rsidRPr="003C5C1B">
              <w:rPr>
                <w:rFonts w:asciiTheme="minorHAnsi" w:eastAsiaTheme="minorEastAsia" w:hAnsiTheme="minorHAnsi" w:cstheme="minorHAnsi"/>
                <w:color w:val="000000" w:themeColor="text1"/>
                <w:sz w:val="16"/>
                <w:szCs w:val="16"/>
                <w:lang w:val="en-US"/>
              </w:rPr>
              <w:t xml:space="preserve"> Superficial or symbolic integration of risks with no operational impact  </w:t>
            </w:r>
          </w:p>
          <w:p w14:paraId="0B3B7D66"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Non-adoption of documents due to political or administrative deadlocks  </w:t>
            </w:r>
          </w:p>
          <w:p w14:paraId="0446648F"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Weak implementation despite adoption (documents not budgeted or without an action plan)  </w:t>
            </w:r>
          </w:p>
          <w:p w14:paraId="1B8C85C3"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Lack of coordination between levels of government (municipality, district, region)  </w:t>
            </w:r>
          </w:p>
          <w:p w14:paraId="78F44C13"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Lack of technical capacity or data to identify real risks  </w:t>
            </w:r>
          </w:p>
        </w:tc>
        <w:tc>
          <w:tcPr>
            <w:tcW w:w="1803" w:type="dxa"/>
            <w:shd w:val="clear" w:color="auto" w:fill="FFFFFF" w:themeFill="background1"/>
          </w:tcPr>
          <w:p w14:paraId="4F17649F" w14:textId="77777777" w:rsidR="00A15021" w:rsidRPr="003C5C1B" w:rsidRDefault="00A15021">
            <w:pPr>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highlight w:val="yellow"/>
                <w:lang w:val="en-US"/>
              </w:rPr>
              <w:lastRenderedPageBreak/>
              <w:t xml:space="preserve">Indicator 1: </w:t>
            </w:r>
            <w:proofErr w:type="gramStart"/>
            <w:r w:rsidRPr="003C5C1B">
              <w:rPr>
                <w:rFonts w:asciiTheme="minorHAnsi" w:eastAsiaTheme="minorEastAsia" w:hAnsiTheme="minorHAnsi" w:cstheme="minorHAnsi"/>
                <w:sz w:val="16"/>
                <w:szCs w:val="16"/>
                <w:highlight w:val="yellow"/>
                <w:lang w:val="en-US"/>
              </w:rPr>
              <w:t>#  of</w:t>
            </w:r>
            <w:proofErr w:type="gramEnd"/>
            <w:r w:rsidRPr="003C5C1B">
              <w:rPr>
                <w:rFonts w:asciiTheme="minorHAnsi" w:eastAsiaTheme="minorEastAsia" w:hAnsiTheme="minorHAnsi" w:cstheme="minorHAnsi"/>
                <w:sz w:val="16"/>
                <w:szCs w:val="16"/>
                <w:highlight w:val="yellow"/>
                <w:lang w:val="en-US"/>
              </w:rPr>
              <w:t xml:space="preserve"> countries and cities that have used the various tools provided to build a foundation for integrated strategic plan</w:t>
            </w:r>
          </w:p>
          <w:p w14:paraId="4F7BFB02" w14:textId="77777777" w:rsidR="00A15021" w:rsidRPr="003C5C1B" w:rsidRDefault="00A15021">
            <w:pPr>
              <w:rPr>
                <w:rFonts w:asciiTheme="minorHAnsi" w:eastAsiaTheme="minorEastAsia" w:hAnsiTheme="minorHAnsi" w:cstheme="minorHAnsi"/>
                <w:sz w:val="16"/>
                <w:szCs w:val="16"/>
                <w:lang w:val="en-US"/>
              </w:rPr>
            </w:pPr>
          </w:p>
        </w:tc>
      </w:tr>
      <w:tr w:rsidR="00A15021" w:rsidRPr="00F50786" w14:paraId="4D3763CE" w14:textId="77777777" w:rsidTr="2DC80E69">
        <w:trPr>
          <w:trHeight w:val="300"/>
          <w:jc w:val="center"/>
        </w:trPr>
        <w:tc>
          <w:tcPr>
            <w:tcW w:w="747" w:type="dxa"/>
            <w:shd w:val="clear" w:color="auto" w:fill="D9D9D9" w:themeFill="background1" w:themeFillShade="D9"/>
          </w:tcPr>
          <w:p w14:paraId="17121A6A"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b/>
                <w:bCs/>
                <w:color w:val="000000" w:themeColor="text1"/>
                <w:sz w:val="16"/>
                <w:szCs w:val="16"/>
              </w:rPr>
              <w:t xml:space="preserve">Outputs to </w:t>
            </w:r>
            <w:proofErr w:type="spellStart"/>
            <w:r w:rsidRPr="00045243">
              <w:rPr>
                <w:rFonts w:asciiTheme="minorHAnsi" w:eastAsiaTheme="minorEastAsia" w:hAnsiTheme="minorHAnsi" w:cstheme="minorHAnsi"/>
                <w:b/>
                <w:bCs/>
                <w:color w:val="000000" w:themeColor="text1"/>
                <w:sz w:val="16"/>
                <w:szCs w:val="16"/>
              </w:rPr>
              <w:t>achieve</w:t>
            </w:r>
            <w:proofErr w:type="spellEnd"/>
            <w:r w:rsidRPr="00045243">
              <w:rPr>
                <w:rFonts w:asciiTheme="minorHAnsi" w:eastAsiaTheme="minorEastAsia" w:hAnsiTheme="minorHAnsi" w:cstheme="minorHAnsi"/>
                <w:b/>
                <w:bCs/>
                <w:color w:val="000000" w:themeColor="text1"/>
                <w:sz w:val="16"/>
                <w:szCs w:val="16"/>
              </w:rPr>
              <w:t xml:space="preserve"> </w:t>
            </w:r>
            <w:proofErr w:type="spellStart"/>
            <w:r w:rsidRPr="00045243">
              <w:rPr>
                <w:rFonts w:asciiTheme="minorHAnsi" w:eastAsiaTheme="minorEastAsia" w:hAnsiTheme="minorHAnsi" w:cstheme="minorHAnsi"/>
                <w:b/>
                <w:bCs/>
                <w:color w:val="000000" w:themeColor="text1"/>
                <w:sz w:val="16"/>
                <w:szCs w:val="16"/>
              </w:rPr>
              <w:t>Outcome</w:t>
            </w:r>
            <w:proofErr w:type="spellEnd"/>
            <w:r w:rsidRPr="00045243">
              <w:rPr>
                <w:rFonts w:asciiTheme="minorHAnsi" w:eastAsiaTheme="minorEastAsia" w:hAnsiTheme="minorHAnsi" w:cstheme="minorHAnsi"/>
                <w:b/>
                <w:bCs/>
                <w:color w:val="000000" w:themeColor="text1"/>
                <w:sz w:val="16"/>
                <w:szCs w:val="16"/>
              </w:rPr>
              <w:t xml:space="preserve"> 1.1</w:t>
            </w:r>
            <w:r w:rsidRPr="00045243">
              <w:rPr>
                <w:rFonts w:asciiTheme="minorHAnsi" w:eastAsiaTheme="minorEastAsia" w:hAnsiTheme="minorHAnsi" w:cstheme="minorHAnsi"/>
                <w:color w:val="000000" w:themeColor="text1"/>
                <w:sz w:val="16"/>
                <w:szCs w:val="16"/>
              </w:rPr>
              <w:t xml:space="preserve">  </w:t>
            </w:r>
          </w:p>
        </w:tc>
        <w:tc>
          <w:tcPr>
            <w:tcW w:w="11822" w:type="dxa"/>
            <w:gridSpan w:val="10"/>
          </w:tcPr>
          <w:p w14:paraId="2C8C01C4"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i/>
                <w:iCs/>
                <w:sz w:val="16"/>
                <w:szCs w:val="16"/>
                <w:lang w:val="en-US"/>
              </w:rPr>
              <w:t>Output</w:t>
            </w:r>
            <w:r w:rsidRPr="003C5C1B">
              <w:rPr>
                <w:rFonts w:asciiTheme="minorHAnsi" w:eastAsiaTheme="minorEastAsia" w:hAnsiTheme="minorHAnsi" w:cstheme="minorHAnsi"/>
                <w:i/>
                <w:iCs/>
                <w:sz w:val="16"/>
                <w:szCs w:val="16"/>
                <w:lang w:val="en-US"/>
              </w:rPr>
              <w:t xml:space="preserve"> </w:t>
            </w:r>
            <w:r w:rsidRPr="003C5C1B">
              <w:rPr>
                <w:rFonts w:asciiTheme="minorHAnsi" w:eastAsiaTheme="minorEastAsia" w:hAnsiTheme="minorHAnsi" w:cstheme="minorHAnsi"/>
                <w:b/>
                <w:bCs/>
                <w:i/>
                <w:iCs/>
                <w:sz w:val="16"/>
                <w:szCs w:val="16"/>
                <w:lang w:val="en-US"/>
              </w:rPr>
              <w:t>1.1.1</w:t>
            </w:r>
            <w:r w:rsidRPr="003C5C1B">
              <w:rPr>
                <w:rFonts w:asciiTheme="minorHAnsi" w:eastAsiaTheme="minorEastAsia" w:hAnsiTheme="minorHAnsi" w:cstheme="minorHAnsi"/>
                <w:i/>
                <w:iCs/>
                <w:sz w:val="16"/>
                <w:szCs w:val="16"/>
                <w:lang w:val="en-US"/>
              </w:rPr>
              <w:t xml:space="preserve">: Regulatory and institutional frameworks for governance and urban planning are strengthened and made coherent.  </w:t>
            </w:r>
            <w:r w:rsidRPr="003C5C1B">
              <w:rPr>
                <w:rFonts w:asciiTheme="minorHAnsi" w:eastAsiaTheme="minorEastAsia" w:hAnsiTheme="minorHAnsi" w:cstheme="minorHAnsi"/>
                <w:sz w:val="16"/>
                <w:szCs w:val="16"/>
                <w:lang w:val="en-US"/>
              </w:rPr>
              <w:t xml:space="preserve"> </w:t>
            </w:r>
          </w:p>
          <w:p w14:paraId="122C8AF5"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i/>
                <w:iCs/>
                <w:sz w:val="16"/>
                <w:szCs w:val="16"/>
                <w:lang w:val="en-US"/>
              </w:rPr>
              <w:t>Output 1.1.2</w:t>
            </w:r>
            <w:r w:rsidRPr="003C5C1B">
              <w:rPr>
                <w:rFonts w:asciiTheme="minorHAnsi" w:eastAsiaTheme="minorEastAsia" w:hAnsiTheme="minorHAnsi" w:cstheme="minorHAnsi"/>
                <w:i/>
                <w:iCs/>
                <w:sz w:val="16"/>
                <w:szCs w:val="16"/>
                <w:lang w:val="en-US"/>
              </w:rPr>
              <w:t xml:space="preserve"> – Strengthened Capacity for Sector Planning in Urban Areas at the National and territorial Level </w:t>
            </w:r>
            <w:r w:rsidRPr="003C5C1B">
              <w:rPr>
                <w:rFonts w:asciiTheme="minorHAnsi" w:eastAsiaTheme="minorEastAsia" w:hAnsiTheme="minorHAnsi" w:cstheme="minorHAnsi"/>
                <w:sz w:val="16"/>
                <w:szCs w:val="16"/>
                <w:lang w:val="en-US"/>
              </w:rPr>
              <w:t xml:space="preserve"> </w:t>
            </w:r>
          </w:p>
          <w:p w14:paraId="51DB88CF" w14:textId="7E2B6038" w:rsidR="00A15021" w:rsidRPr="003C5C1B" w:rsidRDefault="00A15021">
            <w:pPr>
              <w:spacing w:line="257" w:lineRule="auto"/>
              <w:rPr>
                <w:rFonts w:asciiTheme="minorHAnsi" w:eastAsiaTheme="minorEastAsia" w:hAnsiTheme="minorHAnsi" w:cstheme="minorHAnsi"/>
                <w:sz w:val="16"/>
                <w:szCs w:val="16"/>
                <w:lang w:val="en-US"/>
              </w:rPr>
            </w:pPr>
            <w:r w:rsidRPr="00E86501">
              <w:rPr>
                <w:rFonts w:asciiTheme="minorHAnsi" w:eastAsiaTheme="minorEastAsia" w:hAnsiTheme="minorHAnsi" w:cstheme="minorHAnsi"/>
                <w:b/>
                <w:bCs/>
                <w:i/>
                <w:iCs/>
                <w:sz w:val="16"/>
                <w:szCs w:val="16"/>
                <w:highlight w:val="cyan"/>
                <w:lang w:val="en-US"/>
              </w:rPr>
              <w:t>Output 1.1.3</w:t>
            </w:r>
            <w:r w:rsidRPr="00E86501">
              <w:rPr>
                <w:rFonts w:asciiTheme="minorHAnsi" w:eastAsiaTheme="minorEastAsia" w:hAnsiTheme="minorHAnsi" w:cstheme="minorHAnsi"/>
                <w:i/>
                <w:iCs/>
                <w:sz w:val="16"/>
                <w:szCs w:val="16"/>
                <w:highlight w:val="cyan"/>
                <w:lang w:val="en-US"/>
              </w:rPr>
              <w:t xml:space="preserve"> – </w:t>
            </w:r>
            <w:r w:rsidR="009D111D" w:rsidRPr="00E86501">
              <w:rPr>
                <w:rFonts w:asciiTheme="minorHAnsi" w:eastAsiaTheme="minorEastAsia" w:hAnsiTheme="minorHAnsi" w:cstheme="minorHAnsi"/>
                <w:i/>
                <w:iCs/>
                <w:sz w:val="16"/>
                <w:szCs w:val="16"/>
                <w:highlight w:val="cyan"/>
                <w:lang w:val="en-US"/>
              </w:rPr>
              <w:t>s</w:t>
            </w:r>
            <w:r w:rsidR="00A5605E" w:rsidRPr="00E86501">
              <w:rPr>
                <w:rFonts w:asciiTheme="minorHAnsi" w:eastAsiaTheme="minorEastAsia" w:hAnsiTheme="minorHAnsi" w:cstheme="minorHAnsi"/>
                <w:i/>
                <w:iCs/>
                <w:sz w:val="16"/>
                <w:szCs w:val="16"/>
                <w:highlight w:val="cyan"/>
                <w:lang w:val="en-US"/>
              </w:rPr>
              <w:t xml:space="preserve"> National and local institutional, technical, and participatory capacities for inclusive and data-driven urban governance are strengthened.</w:t>
            </w:r>
          </w:p>
        </w:tc>
        <w:tc>
          <w:tcPr>
            <w:tcW w:w="1803" w:type="dxa"/>
          </w:tcPr>
          <w:p w14:paraId="6E1C42B1" w14:textId="77777777" w:rsidR="00A15021" w:rsidRPr="003C5C1B" w:rsidRDefault="00A15021">
            <w:pPr>
              <w:spacing w:line="257" w:lineRule="auto"/>
              <w:rPr>
                <w:rFonts w:asciiTheme="minorHAnsi" w:eastAsiaTheme="minorEastAsia" w:hAnsiTheme="minorHAnsi" w:cstheme="minorHAnsi"/>
                <w:b/>
                <w:bCs/>
                <w:i/>
                <w:iCs/>
                <w:sz w:val="16"/>
                <w:szCs w:val="16"/>
                <w:lang w:val="en-US"/>
              </w:rPr>
            </w:pPr>
          </w:p>
        </w:tc>
      </w:tr>
      <w:tr w:rsidR="00A15021" w:rsidRPr="00F50786" w14:paraId="49AB5EE4" w14:textId="77777777" w:rsidTr="2DC80E69">
        <w:trPr>
          <w:trHeight w:val="300"/>
          <w:jc w:val="center"/>
        </w:trPr>
        <w:tc>
          <w:tcPr>
            <w:tcW w:w="747" w:type="dxa"/>
            <w:vMerge w:val="restart"/>
            <w:shd w:val="clear" w:color="auto" w:fill="D9D9D9" w:themeFill="background1" w:themeFillShade="D9"/>
          </w:tcPr>
          <w:p w14:paraId="60FCB811"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i/>
                <w:iCs/>
                <w:color w:val="000000" w:themeColor="text1"/>
                <w:sz w:val="16"/>
                <w:szCs w:val="16"/>
                <w:lang w:val="en-US"/>
              </w:rPr>
              <w:t xml:space="preserve">Outcome 1.2 – </w:t>
            </w:r>
            <w:r w:rsidRPr="003C5C1B">
              <w:rPr>
                <w:rFonts w:asciiTheme="minorHAnsi" w:eastAsiaTheme="minorEastAsia" w:hAnsiTheme="minorHAnsi" w:cstheme="minorHAnsi"/>
                <w:i/>
                <w:iCs/>
                <w:color w:val="000000" w:themeColor="text1"/>
                <w:sz w:val="16"/>
                <w:szCs w:val="16"/>
                <w:lang w:val="en-US"/>
              </w:rPr>
              <w:t>Catalyz</w:t>
            </w:r>
            <w:r w:rsidRPr="003C5C1B">
              <w:rPr>
                <w:rFonts w:asciiTheme="minorHAnsi" w:eastAsiaTheme="minorEastAsia" w:hAnsiTheme="minorHAnsi" w:cstheme="minorHAnsi"/>
                <w:i/>
                <w:iCs/>
                <w:color w:val="000000" w:themeColor="text1"/>
                <w:sz w:val="16"/>
                <w:szCs w:val="16"/>
                <w:lang w:val="en-US"/>
              </w:rPr>
              <w:lastRenderedPageBreak/>
              <w:t>ing Finance and Innovation for Resilient and Inclusive Urban Development</w:t>
            </w:r>
            <w:r w:rsidRPr="003C5C1B">
              <w:rPr>
                <w:rFonts w:asciiTheme="minorHAnsi" w:eastAsiaTheme="minorEastAsia" w:hAnsiTheme="minorHAnsi" w:cstheme="minorHAnsi"/>
                <w:b/>
                <w:bCs/>
                <w:i/>
                <w:iCs/>
                <w:color w:val="000000" w:themeColor="text1"/>
                <w:sz w:val="16"/>
                <w:szCs w:val="16"/>
                <w:lang w:val="en-US"/>
              </w:rPr>
              <w:t xml:space="preserve"> </w:t>
            </w:r>
            <w:r w:rsidRPr="003C5C1B">
              <w:rPr>
                <w:rFonts w:asciiTheme="minorHAnsi" w:eastAsiaTheme="minorEastAsia" w:hAnsiTheme="minorHAnsi" w:cstheme="minorHAnsi"/>
                <w:color w:val="000000" w:themeColor="text1"/>
                <w:sz w:val="16"/>
                <w:szCs w:val="16"/>
                <w:lang w:val="en-US"/>
              </w:rPr>
              <w:t xml:space="preserve"> </w:t>
            </w:r>
          </w:p>
          <w:p w14:paraId="5A2E4309"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 </w:t>
            </w:r>
          </w:p>
          <w:p w14:paraId="3BCE8876"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 </w:t>
            </w:r>
          </w:p>
          <w:p w14:paraId="7D55E8AF"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 </w:t>
            </w:r>
          </w:p>
        </w:tc>
        <w:tc>
          <w:tcPr>
            <w:tcW w:w="1185" w:type="dxa"/>
            <w:shd w:val="clear" w:color="auto" w:fill="FFFFFF" w:themeFill="background1"/>
          </w:tcPr>
          <w:p w14:paraId="63CC8F43"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i/>
                <w:iCs/>
                <w:color w:val="000000" w:themeColor="text1"/>
                <w:sz w:val="16"/>
                <w:szCs w:val="16"/>
                <w:u w:val="single"/>
                <w:lang w:val="en-US"/>
              </w:rPr>
              <w:lastRenderedPageBreak/>
              <w:t>Indicator#9: </w:t>
            </w:r>
            <w:r w:rsidRPr="003C5C1B">
              <w:rPr>
                <w:rFonts w:asciiTheme="minorHAnsi" w:eastAsiaTheme="minorEastAsia" w:hAnsiTheme="minorHAnsi" w:cstheme="minorHAnsi"/>
                <w:color w:val="000000" w:themeColor="text1"/>
                <w:sz w:val="16"/>
                <w:szCs w:val="16"/>
                <w:lang w:val="en-US"/>
              </w:rPr>
              <w:t xml:space="preserve"> # of measures related to </w:t>
            </w:r>
            <w:r w:rsidRPr="003C5C1B">
              <w:rPr>
                <w:rFonts w:asciiTheme="minorHAnsi" w:eastAsiaTheme="minorEastAsia" w:hAnsiTheme="minorHAnsi" w:cstheme="minorHAnsi"/>
                <w:color w:val="000000" w:themeColor="text1"/>
                <w:sz w:val="16"/>
                <w:szCs w:val="16"/>
                <w:lang w:val="en-US"/>
              </w:rPr>
              <w:lastRenderedPageBreak/>
              <w:t xml:space="preserve">catalyzing finance and innovation that benefited the District   of Bamako  </w:t>
            </w:r>
          </w:p>
        </w:tc>
        <w:tc>
          <w:tcPr>
            <w:tcW w:w="2027" w:type="dxa"/>
            <w:gridSpan w:val="2"/>
            <w:shd w:val="clear" w:color="auto" w:fill="FFFFFF" w:themeFill="background1"/>
          </w:tcPr>
          <w:p w14:paraId="39A0E9C3"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lastRenderedPageBreak/>
              <w:t xml:space="preserve">activity reports, project sheets, technical reports of the PMU   </w:t>
            </w:r>
          </w:p>
        </w:tc>
        <w:tc>
          <w:tcPr>
            <w:tcW w:w="1670" w:type="dxa"/>
            <w:gridSpan w:val="2"/>
            <w:shd w:val="clear" w:color="auto" w:fill="FFFFFF" w:themeFill="background1"/>
          </w:tcPr>
          <w:p w14:paraId="6D34B14F"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i/>
                <w:iCs/>
                <w:color w:val="000000" w:themeColor="text1"/>
                <w:sz w:val="16"/>
                <w:szCs w:val="16"/>
              </w:rPr>
              <w:t>0</w:t>
            </w:r>
            <w:r w:rsidRPr="00045243">
              <w:rPr>
                <w:rFonts w:asciiTheme="minorHAnsi" w:eastAsiaTheme="minorEastAsia" w:hAnsiTheme="minorHAnsi" w:cstheme="minorHAnsi"/>
                <w:color w:val="000000" w:themeColor="text1"/>
                <w:sz w:val="16"/>
                <w:szCs w:val="16"/>
              </w:rPr>
              <w:t xml:space="preserve">  </w:t>
            </w:r>
          </w:p>
        </w:tc>
        <w:tc>
          <w:tcPr>
            <w:tcW w:w="1220" w:type="dxa"/>
            <w:gridSpan w:val="2"/>
            <w:shd w:val="clear" w:color="auto" w:fill="FFFFFF" w:themeFill="background1"/>
          </w:tcPr>
          <w:p w14:paraId="19830AE1"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i/>
                <w:iCs/>
                <w:color w:val="000000" w:themeColor="text1"/>
                <w:sz w:val="16"/>
                <w:szCs w:val="16"/>
              </w:rPr>
              <w:t>2</w:t>
            </w:r>
            <w:r w:rsidRPr="00045243">
              <w:rPr>
                <w:rFonts w:asciiTheme="minorHAnsi" w:eastAsiaTheme="minorEastAsia" w:hAnsiTheme="minorHAnsi" w:cstheme="minorHAnsi"/>
                <w:color w:val="000000" w:themeColor="text1"/>
                <w:sz w:val="16"/>
                <w:szCs w:val="16"/>
              </w:rPr>
              <w:t xml:space="preserve">  </w:t>
            </w:r>
          </w:p>
        </w:tc>
        <w:tc>
          <w:tcPr>
            <w:tcW w:w="1463" w:type="dxa"/>
            <w:shd w:val="clear" w:color="auto" w:fill="FFFFFF" w:themeFill="background1"/>
          </w:tcPr>
          <w:p w14:paraId="534511DC"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color w:val="000000" w:themeColor="text1"/>
                <w:sz w:val="16"/>
                <w:szCs w:val="16"/>
              </w:rPr>
              <w:t>0</w:t>
            </w:r>
          </w:p>
        </w:tc>
        <w:tc>
          <w:tcPr>
            <w:tcW w:w="2195" w:type="dxa"/>
            <w:shd w:val="clear" w:color="auto" w:fill="FFFFFF" w:themeFill="background1"/>
          </w:tcPr>
          <w:p w14:paraId="1BCB00A3"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This indicator captures the total number of measures designed under the project that directly contribute to </w:t>
            </w:r>
            <w:r w:rsidRPr="003C5C1B">
              <w:rPr>
                <w:rFonts w:asciiTheme="minorHAnsi" w:eastAsiaTheme="minorEastAsia" w:hAnsiTheme="minorHAnsi" w:cstheme="minorHAnsi"/>
                <w:color w:val="000000" w:themeColor="text1"/>
                <w:sz w:val="16"/>
                <w:szCs w:val="16"/>
                <w:lang w:val="en-US"/>
              </w:rPr>
              <w:lastRenderedPageBreak/>
              <w:t xml:space="preserve">catalyzing finance and innovation in the District of Bamako. It includes regulatory reforms, innovative financing instruments, platforms for private sector engagement, and support mechanisms for entrepreneurship. For clarity and to avoid double counting, activities specifically linked to electric mobility and the Green Belt will be reported under Components 2 and 3, respectively. </w:t>
            </w:r>
          </w:p>
          <w:p w14:paraId="55E42D47"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 </w:t>
            </w:r>
          </w:p>
        </w:tc>
        <w:tc>
          <w:tcPr>
            <w:tcW w:w="2062" w:type="dxa"/>
            <w:shd w:val="clear" w:color="auto" w:fill="FFFFFF" w:themeFill="background1"/>
          </w:tcPr>
          <w:p w14:paraId="2DA9E23F"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lang w:val="en-US"/>
              </w:rPr>
              <w:lastRenderedPageBreak/>
              <w:t>Assumptions: </w:t>
            </w:r>
            <w:r w:rsidRPr="003C5C1B">
              <w:rPr>
                <w:rFonts w:asciiTheme="minorHAnsi" w:eastAsiaTheme="minorEastAsia" w:hAnsiTheme="minorHAnsi" w:cstheme="minorHAnsi"/>
                <w:color w:val="000000" w:themeColor="text1"/>
                <w:sz w:val="16"/>
                <w:szCs w:val="16"/>
                <w:lang w:val="en-US"/>
              </w:rPr>
              <w:t xml:space="preserve">  </w:t>
            </w:r>
          </w:p>
          <w:p w14:paraId="6959627A"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The municipalities have the will and the ability to </w:t>
            </w:r>
            <w:r w:rsidRPr="003C5C1B">
              <w:rPr>
                <w:rFonts w:asciiTheme="minorHAnsi" w:eastAsiaTheme="minorEastAsia" w:hAnsiTheme="minorHAnsi" w:cstheme="minorHAnsi"/>
                <w:color w:val="000000" w:themeColor="text1"/>
                <w:sz w:val="16"/>
                <w:szCs w:val="16"/>
                <w:lang w:val="en-US"/>
              </w:rPr>
              <w:lastRenderedPageBreak/>
              <w:t xml:space="preserve">get involved in the pilot projects  </w:t>
            </w:r>
          </w:p>
          <w:p w14:paraId="2523C920"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Pilot projects are effectively designed in an integrated manner, and not as one-off or isolated actions  </w:t>
            </w:r>
          </w:p>
          <w:p w14:paraId="68E78C31"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The results of the pilot projects are rigorously monitored and documented  </w:t>
            </w:r>
          </w:p>
          <w:p w14:paraId="15FA1D27"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The District City Hall plays an active coordinating role in the distribution of pilots  </w:t>
            </w:r>
          </w:p>
          <w:p w14:paraId="373D237B"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lang w:val="en-US"/>
              </w:rPr>
              <w:t>Risks: </w:t>
            </w:r>
            <w:r w:rsidRPr="003C5C1B">
              <w:rPr>
                <w:rFonts w:asciiTheme="minorHAnsi" w:eastAsiaTheme="minorEastAsia" w:hAnsiTheme="minorHAnsi" w:cstheme="minorHAnsi"/>
                <w:color w:val="000000" w:themeColor="text1"/>
                <w:sz w:val="16"/>
                <w:szCs w:val="16"/>
                <w:lang w:val="en-US"/>
              </w:rPr>
              <w:t xml:space="preserve">  </w:t>
            </w:r>
          </w:p>
          <w:p w14:paraId="3F86F602"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lack of local ownership of pilot projects (risk of non-sustainability)  </w:t>
            </w:r>
          </w:p>
          <w:p w14:paraId="379879C7"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Difficulty measuring results if indicators are not defined at the outset  </w:t>
            </w:r>
          </w:p>
          <w:p w14:paraId="6F8492F8"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Inequalities in territorial distribution if certain municipalities are excluded or poorly covered  </w:t>
            </w:r>
          </w:p>
          <w:p w14:paraId="4C071F77"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 Weak local technical capacity to integrate lessons from pilot projects into urban planning  </w:t>
            </w:r>
          </w:p>
        </w:tc>
        <w:tc>
          <w:tcPr>
            <w:tcW w:w="1803" w:type="dxa"/>
            <w:shd w:val="clear" w:color="auto" w:fill="FFFFFF" w:themeFill="background1"/>
          </w:tcPr>
          <w:p w14:paraId="484EFD4F" w14:textId="77777777" w:rsidR="00A15021" w:rsidRPr="003C5C1B" w:rsidRDefault="00A15021">
            <w:pPr>
              <w:rPr>
                <w:rFonts w:asciiTheme="minorHAnsi" w:eastAsiaTheme="minorEastAsia" w:hAnsiTheme="minorHAnsi" w:cstheme="minorHAnsi"/>
                <w:b/>
                <w:bCs/>
                <w:sz w:val="16"/>
                <w:szCs w:val="16"/>
                <w:highlight w:val="yellow"/>
                <w:lang w:val="en-US"/>
              </w:rPr>
            </w:pPr>
            <w:r w:rsidRPr="003C5C1B">
              <w:rPr>
                <w:rFonts w:asciiTheme="minorHAnsi" w:eastAsiaTheme="minorEastAsia" w:hAnsiTheme="minorHAnsi" w:cstheme="minorHAnsi"/>
                <w:sz w:val="16"/>
                <w:szCs w:val="16"/>
                <w:highlight w:val="yellow"/>
                <w:lang w:val="en-US"/>
              </w:rPr>
              <w:lastRenderedPageBreak/>
              <w:t xml:space="preserve">Indictor </w:t>
            </w:r>
            <w:proofErr w:type="gramStart"/>
            <w:r w:rsidRPr="003C5C1B">
              <w:rPr>
                <w:rFonts w:asciiTheme="minorHAnsi" w:eastAsiaTheme="minorEastAsia" w:hAnsiTheme="minorHAnsi" w:cstheme="minorHAnsi"/>
                <w:sz w:val="16"/>
                <w:szCs w:val="16"/>
                <w:highlight w:val="yellow"/>
                <w:lang w:val="en-US"/>
              </w:rPr>
              <w:t>7 :</w:t>
            </w:r>
            <w:proofErr w:type="gramEnd"/>
            <w:r w:rsidRPr="003C5C1B">
              <w:rPr>
                <w:rFonts w:asciiTheme="minorHAnsi" w:eastAsiaTheme="minorEastAsia" w:hAnsiTheme="minorHAnsi" w:cstheme="minorHAnsi"/>
                <w:sz w:val="16"/>
                <w:szCs w:val="16"/>
                <w:highlight w:val="yellow"/>
                <w:lang w:val="en-US"/>
              </w:rPr>
              <w:t xml:space="preserve"> of cities and countries that</w:t>
            </w:r>
          </w:p>
          <w:p w14:paraId="19589AD1" w14:textId="77777777" w:rsidR="00A15021" w:rsidRPr="003C5C1B" w:rsidRDefault="00A15021">
            <w:pPr>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highlight w:val="yellow"/>
                <w:lang w:val="en-US"/>
              </w:rPr>
              <w:lastRenderedPageBreak/>
              <w:t>have initiated innovative financial mechanisms and/or business models for scaling-up sustainable urban solutions</w:t>
            </w:r>
          </w:p>
          <w:p w14:paraId="7737F29A" w14:textId="77777777" w:rsidR="00A15021" w:rsidRPr="003C5C1B" w:rsidRDefault="00A15021">
            <w:pPr>
              <w:rPr>
                <w:rFonts w:asciiTheme="minorHAnsi" w:eastAsiaTheme="minorEastAsia" w:hAnsiTheme="minorHAnsi" w:cstheme="minorHAnsi"/>
                <w:sz w:val="16"/>
                <w:szCs w:val="16"/>
                <w:lang w:val="en-US"/>
              </w:rPr>
            </w:pPr>
          </w:p>
          <w:p w14:paraId="3863045E" w14:textId="77777777" w:rsidR="00A15021" w:rsidRPr="003C5C1B" w:rsidRDefault="00A15021">
            <w:pPr>
              <w:spacing w:line="257" w:lineRule="auto"/>
              <w:rPr>
                <w:rFonts w:asciiTheme="minorHAnsi" w:eastAsiaTheme="minorEastAsia" w:hAnsiTheme="minorHAnsi" w:cstheme="minorHAnsi"/>
                <w:b/>
                <w:bCs/>
                <w:color w:val="000000" w:themeColor="text1"/>
                <w:sz w:val="16"/>
                <w:szCs w:val="16"/>
                <w:lang w:val="en-US"/>
              </w:rPr>
            </w:pPr>
          </w:p>
        </w:tc>
      </w:tr>
      <w:tr w:rsidR="00A15021" w:rsidRPr="00045243" w14:paraId="197A9F60" w14:textId="77777777" w:rsidTr="2DC80E69">
        <w:trPr>
          <w:trHeight w:val="300"/>
          <w:jc w:val="center"/>
        </w:trPr>
        <w:tc>
          <w:tcPr>
            <w:tcW w:w="747" w:type="dxa"/>
            <w:vMerge/>
            <w:vAlign w:val="center"/>
          </w:tcPr>
          <w:p w14:paraId="4E643B60" w14:textId="77777777" w:rsidR="00A15021" w:rsidRPr="003C5C1B" w:rsidRDefault="00A15021">
            <w:pPr>
              <w:rPr>
                <w:rFonts w:asciiTheme="minorHAnsi" w:hAnsiTheme="minorHAnsi" w:cstheme="minorHAnsi"/>
                <w:sz w:val="16"/>
                <w:szCs w:val="16"/>
                <w:lang w:val="en-US"/>
              </w:rPr>
            </w:pPr>
          </w:p>
        </w:tc>
        <w:tc>
          <w:tcPr>
            <w:tcW w:w="1185" w:type="dxa"/>
            <w:shd w:val="clear" w:color="auto" w:fill="FFFFFF" w:themeFill="background1"/>
          </w:tcPr>
          <w:p w14:paraId="7646B6F3"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i/>
                <w:iCs/>
                <w:color w:val="000000" w:themeColor="text1"/>
                <w:sz w:val="16"/>
                <w:szCs w:val="16"/>
                <w:highlight w:val="yellow"/>
                <w:u w:val="single"/>
                <w:lang w:val="en-US"/>
              </w:rPr>
              <w:t>Indicator #10: %</w:t>
            </w:r>
            <w:r w:rsidRPr="003C5C1B">
              <w:rPr>
                <w:rFonts w:asciiTheme="minorHAnsi" w:eastAsiaTheme="minorEastAsia" w:hAnsiTheme="minorHAnsi" w:cstheme="minorHAnsi"/>
                <w:i/>
                <w:iCs/>
                <w:color w:val="000000" w:themeColor="text1"/>
                <w:sz w:val="16"/>
                <w:szCs w:val="16"/>
                <w:highlight w:val="yellow"/>
                <w:lang w:val="en-US"/>
              </w:rPr>
              <w:t xml:space="preserve"> Increase in financing mobilized for green and </w:t>
            </w:r>
            <w:r w:rsidRPr="003C5C1B">
              <w:rPr>
                <w:rFonts w:asciiTheme="minorHAnsi" w:eastAsiaTheme="minorEastAsia" w:hAnsiTheme="minorHAnsi" w:cstheme="minorHAnsi"/>
                <w:i/>
                <w:iCs/>
                <w:color w:val="000000" w:themeColor="text1"/>
                <w:sz w:val="16"/>
                <w:szCs w:val="16"/>
                <w:highlight w:val="yellow"/>
                <w:lang w:val="en-US"/>
              </w:rPr>
              <w:lastRenderedPageBreak/>
              <w:t>resilient integrated urban development projects</w:t>
            </w:r>
            <w:r w:rsidRPr="003C5C1B">
              <w:rPr>
                <w:rFonts w:asciiTheme="minorHAnsi" w:eastAsiaTheme="minorEastAsia" w:hAnsiTheme="minorHAnsi" w:cstheme="minorHAnsi"/>
                <w:i/>
                <w:iCs/>
                <w:color w:val="000000" w:themeColor="text1"/>
                <w:sz w:val="16"/>
                <w:szCs w:val="16"/>
                <w:lang w:val="en-US"/>
              </w:rPr>
              <w:t xml:space="preserve"> </w:t>
            </w:r>
            <w:r w:rsidRPr="003C5C1B">
              <w:rPr>
                <w:rFonts w:asciiTheme="minorHAnsi" w:eastAsiaTheme="minorEastAsia" w:hAnsiTheme="minorHAnsi" w:cstheme="minorHAnsi"/>
                <w:color w:val="000000" w:themeColor="text1"/>
                <w:sz w:val="16"/>
                <w:szCs w:val="16"/>
                <w:lang w:val="en-US"/>
              </w:rPr>
              <w:t xml:space="preserve">  </w:t>
            </w:r>
          </w:p>
        </w:tc>
        <w:tc>
          <w:tcPr>
            <w:tcW w:w="2027" w:type="dxa"/>
            <w:gridSpan w:val="2"/>
            <w:shd w:val="clear" w:color="auto" w:fill="FFFFFF" w:themeFill="background1"/>
          </w:tcPr>
          <w:p w14:paraId="11E589C2"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lastRenderedPageBreak/>
              <w:t xml:space="preserve">Report of the City of Bamako, ADR, DGEF, DGT, NDUPH   indicating a compilation of contracts, letters of commitment </w:t>
            </w:r>
            <w:r w:rsidRPr="003C5C1B">
              <w:rPr>
                <w:rFonts w:asciiTheme="minorHAnsi" w:eastAsiaTheme="minorEastAsia" w:hAnsiTheme="minorHAnsi" w:cstheme="minorHAnsi"/>
                <w:color w:val="000000" w:themeColor="text1"/>
                <w:sz w:val="16"/>
                <w:szCs w:val="16"/>
                <w:lang w:val="en-US"/>
              </w:rPr>
              <w:lastRenderedPageBreak/>
              <w:t xml:space="preserve">and financing agreements  </w:t>
            </w:r>
          </w:p>
          <w:p w14:paraId="2DE28629"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Donor and TFP Meeting Reports   </w:t>
            </w:r>
          </w:p>
          <w:p w14:paraId="66418C96"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Report of the Integrated Urban Development Financing Conference  </w:t>
            </w:r>
          </w:p>
        </w:tc>
        <w:tc>
          <w:tcPr>
            <w:tcW w:w="1670" w:type="dxa"/>
            <w:gridSpan w:val="2"/>
            <w:shd w:val="clear" w:color="auto" w:fill="FFFFFF" w:themeFill="background1"/>
          </w:tcPr>
          <w:p w14:paraId="7BBB5172"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i/>
                <w:iCs/>
                <w:color w:val="000000" w:themeColor="text1"/>
                <w:sz w:val="16"/>
                <w:szCs w:val="16"/>
                <w:lang w:val="en-US"/>
              </w:rPr>
              <w:lastRenderedPageBreak/>
              <w:t>The Baseline is not well known, to be estimated by the project from its start</w:t>
            </w:r>
            <w:r w:rsidRPr="003C5C1B">
              <w:rPr>
                <w:rFonts w:asciiTheme="minorHAnsi" w:eastAsiaTheme="minorEastAsia" w:hAnsiTheme="minorHAnsi" w:cstheme="minorHAnsi"/>
                <w:color w:val="000000" w:themeColor="text1"/>
                <w:sz w:val="16"/>
                <w:szCs w:val="16"/>
                <w:lang w:val="en-US"/>
              </w:rPr>
              <w:t xml:space="preserve">  </w:t>
            </w:r>
          </w:p>
        </w:tc>
        <w:tc>
          <w:tcPr>
            <w:tcW w:w="1220" w:type="dxa"/>
            <w:gridSpan w:val="2"/>
            <w:shd w:val="clear" w:color="auto" w:fill="FFFFFF" w:themeFill="background1"/>
          </w:tcPr>
          <w:p w14:paraId="5C308563"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i/>
                <w:iCs/>
                <w:color w:val="000000" w:themeColor="text1"/>
                <w:sz w:val="16"/>
                <w:szCs w:val="16"/>
              </w:rPr>
              <w:t>20%</w:t>
            </w:r>
            <w:r w:rsidRPr="00045243">
              <w:rPr>
                <w:rFonts w:asciiTheme="minorHAnsi" w:eastAsiaTheme="minorEastAsia" w:hAnsiTheme="minorHAnsi" w:cstheme="minorHAnsi"/>
                <w:color w:val="000000" w:themeColor="text1"/>
                <w:sz w:val="16"/>
                <w:szCs w:val="16"/>
              </w:rPr>
              <w:t xml:space="preserve">  </w:t>
            </w:r>
          </w:p>
        </w:tc>
        <w:tc>
          <w:tcPr>
            <w:tcW w:w="1463" w:type="dxa"/>
            <w:shd w:val="clear" w:color="auto" w:fill="FFFFFF" w:themeFill="background1"/>
          </w:tcPr>
          <w:p w14:paraId="4C7A1449"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i/>
                <w:iCs/>
                <w:color w:val="000000" w:themeColor="text1"/>
                <w:sz w:val="16"/>
                <w:szCs w:val="16"/>
              </w:rPr>
              <w:t>40%</w:t>
            </w:r>
            <w:r w:rsidRPr="00045243">
              <w:rPr>
                <w:rFonts w:asciiTheme="minorHAnsi" w:eastAsiaTheme="minorEastAsia" w:hAnsiTheme="minorHAnsi" w:cstheme="minorHAnsi"/>
                <w:color w:val="000000" w:themeColor="text1"/>
                <w:sz w:val="16"/>
                <w:szCs w:val="16"/>
              </w:rPr>
              <w:t xml:space="preserve">  </w:t>
            </w:r>
          </w:p>
        </w:tc>
        <w:tc>
          <w:tcPr>
            <w:tcW w:w="2195" w:type="dxa"/>
            <w:shd w:val="clear" w:color="auto" w:fill="FFFFFF" w:themeFill="background1"/>
          </w:tcPr>
          <w:p w14:paraId="02690EE3"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lang w:val="en-US"/>
              </w:rPr>
              <w:t>The calculation is as follows: </w:t>
            </w:r>
            <w:r w:rsidRPr="003C5C1B">
              <w:rPr>
                <w:rFonts w:asciiTheme="minorHAnsi" w:eastAsiaTheme="minorEastAsia" w:hAnsiTheme="minorHAnsi" w:cstheme="minorHAnsi"/>
                <w:color w:val="000000" w:themeColor="text1"/>
                <w:sz w:val="16"/>
                <w:szCs w:val="16"/>
                <w:lang w:val="en-US"/>
              </w:rPr>
              <w:t xml:space="preserve">  </w:t>
            </w:r>
          </w:p>
          <w:p w14:paraId="136CD031"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 increase = (funding mobilized over the project </w:t>
            </w:r>
            <w:r w:rsidRPr="003C5C1B">
              <w:rPr>
                <w:rFonts w:asciiTheme="minorHAnsi" w:eastAsiaTheme="minorEastAsia" w:hAnsiTheme="minorHAnsi" w:cstheme="minorHAnsi"/>
                <w:color w:val="000000" w:themeColor="text1"/>
                <w:sz w:val="16"/>
                <w:szCs w:val="16"/>
                <w:lang w:val="en-US"/>
              </w:rPr>
              <w:lastRenderedPageBreak/>
              <w:t xml:space="preserve">period – funding mobilized during the reporting period) / funding mobilized during the reporting period all x 100  </w:t>
            </w:r>
          </w:p>
          <w:p w14:paraId="507BA458"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lang w:val="en-US"/>
              </w:rPr>
              <w:t>Types of funding that may be included:</w:t>
            </w:r>
            <w:r w:rsidRPr="003C5C1B">
              <w:rPr>
                <w:rFonts w:asciiTheme="minorHAnsi" w:eastAsiaTheme="minorEastAsia" w:hAnsiTheme="minorHAnsi" w:cstheme="minorHAnsi"/>
                <w:color w:val="000000" w:themeColor="text1"/>
                <w:sz w:val="16"/>
                <w:szCs w:val="16"/>
                <w:lang w:val="en-US"/>
              </w:rPr>
              <w:t xml:space="preserve">  </w:t>
            </w:r>
          </w:p>
          <w:p w14:paraId="325CABD2"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Contributions from national or local public budgets  </w:t>
            </w:r>
          </w:p>
          <w:p w14:paraId="283867B0" w14:textId="77777777" w:rsidR="00A15021" w:rsidRPr="003C5C1B" w:rsidRDefault="00A15021" w:rsidP="00A15021">
            <w:pPr>
              <w:pStyle w:val="Paragraphedeliste"/>
              <w:numPr>
                <w:ilvl w:val="0"/>
                <w:numId w:val="354"/>
              </w:numPr>
              <w:spacing w:after="0" w:line="257" w:lineRule="auto"/>
              <w:contextualSpacing w:val="0"/>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Donor funding (GEF, GCF, World Bank, etc.)  </w:t>
            </w:r>
          </w:p>
          <w:p w14:paraId="16EEA0F5" w14:textId="77777777" w:rsidR="00A15021" w:rsidRPr="003C5C1B" w:rsidRDefault="00A15021" w:rsidP="00A15021">
            <w:pPr>
              <w:pStyle w:val="Paragraphedeliste"/>
              <w:numPr>
                <w:ilvl w:val="0"/>
                <w:numId w:val="353"/>
              </w:numPr>
              <w:spacing w:after="0" w:line="257" w:lineRule="auto"/>
              <w:contextualSpacing w:val="0"/>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Private sector investment (PPP, concessions, co-financing)  </w:t>
            </w:r>
          </w:p>
          <w:p w14:paraId="5BA19E8F" w14:textId="77777777" w:rsidR="00A15021" w:rsidRPr="003C5C1B" w:rsidRDefault="00A15021" w:rsidP="00A15021">
            <w:pPr>
              <w:pStyle w:val="Paragraphedeliste"/>
              <w:numPr>
                <w:ilvl w:val="0"/>
                <w:numId w:val="352"/>
              </w:numPr>
              <w:spacing w:after="0" w:line="257" w:lineRule="auto"/>
              <w:contextualSpacing w:val="0"/>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Climate fund, resilience fund or urban innovation fund set up  </w:t>
            </w:r>
          </w:p>
          <w:p w14:paraId="624CBFB2" w14:textId="77777777" w:rsidR="00A15021" w:rsidRPr="00045243" w:rsidRDefault="00A15021" w:rsidP="00A15021">
            <w:pPr>
              <w:pStyle w:val="Paragraphedeliste"/>
              <w:numPr>
                <w:ilvl w:val="0"/>
                <w:numId w:val="351"/>
              </w:numPr>
              <w:spacing w:after="0" w:line="257" w:lineRule="auto"/>
              <w:contextualSpacing w:val="0"/>
              <w:rPr>
                <w:rFonts w:asciiTheme="minorHAnsi" w:eastAsiaTheme="minorEastAsia" w:hAnsiTheme="minorHAnsi" w:cstheme="minorHAnsi"/>
                <w:color w:val="000000" w:themeColor="text1"/>
                <w:sz w:val="16"/>
                <w:szCs w:val="16"/>
              </w:rPr>
            </w:pPr>
            <w:proofErr w:type="spellStart"/>
            <w:r w:rsidRPr="00045243">
              <w:rPr>
                <w:rFonts w:asciiTheme="minorHAnsi" w:eastAsiaTheme="minorEastAsia" w:hAnsiTheme="minorHAnsi" w:cstheme="minorHAnsi"/>
                <w:color w:val="000000" w:themeColor="text1"/>
                <w:sz w:val="16"/>
                <w:szCs w:val="16"/>
              </w:rPr>
              <w:t>Concessional</w:t>
            </w:r>
            <w:proofErr w:type="spellEnd"/>
            <w:r w:rsidRPr="00045243">
              <w:rPr>
                <w:rFonts w:asciiTheme="minorHAnsi" w:eastAsiaTheme="minorEastAsia" w:hAnsiTheme="minorHAnsi" w:cstheme="minorHAnsi"/>
                <w:color w:val="000000" w:themeColor="text1"/>
                <w:sz w:val="16"/>
                <w:szCs w:val="16"/>
              </w:rPr>
              <w:t xml:space="preserve"> and non-</w:t>
            </w:r>
            <w:proofErr w:type="spellStart"/>
            <w:r w:rsidRPr="00045243">
              <w:rPr>
                <w:rFonts w:asciiTheme="minorHAnsi" w:eastAsiaTheme="minorEastAsia" w:hAnsiTheme="minorHAnsi" w:cstheme="minorHAnsi"/>
                <w:color w:val="000000" w:themeColor="text1"/>
                <w:sz w:val="16"/>
                <w:szCs w:val="16"/>
              </w:rPr>
              <w:t>concessional</w:t>
            </w:r>
            <w:proofErr w:type="spellEnd"/>
            <w:r w:rsidRPr="00045243">
              <w:rPr>
                <w:rFonts w:asciiTheme="minorHAnsi" w:eastAsiaTheme="minorEastAsia" w:hAnsiTheme="minorHAnsi" w:cstheme="minorHAnsi"/>
                <w:color w:val="000000" w:themeColor="text1"/>
                <w:sz w:val="16"/>
                <w:szCs w:val="16"/>
              </w:rPr>
              <w:t xml:space="preserve"> </w:t>
            </w:r>
            <w:proofErr w:type="spellStart"/>
            <w:r w:rsidRPr="00045243">
              <w:rPr>
                <w:rFonts w:asciiTheme="minorHAnsi" w:eastAsiaTheme="minorEastAsia" w:hAnsiTheme="minorHAnsi" w:cstheme="minorHAnsi"/>
                <w:color w:val="000000" w:themeColor="text1"/>
                <w:sz w:val="16"/>
                <w:szCs w:val="16"/>
              </w:rPr>
              <w:t>borrowing</w:t>
            </w:r>
            <w:proofErr w:type="spellEnd"/>
            <w:r w:rsidRPr="00045243">
              <w:rPr>
                <w:rFonts w:asciiTheme="minorHAnsi" w:eastAsiaTheme="minorEastAsia" w:hAnsiTheme="minorHAnsi" w:cstheme="minorHAnsi"/>
                <w:color w:val="000000" w:themeColor="text1"/>
                <w:sz w:val="16"/>
                <w:szCs w:val="16"/>
              </w:rPr>
              <w:t xml:space="preserve">  </w:t>
            </w:r>
          </w:p>
          <w:p w14:paraId="3562F126" w14:textId="77777777" w:rsidR="00A15021" w:rsidRPr="003C5C1B" w:rsidRDefault="00A15021" w:rsidP="00A15021">
            <w:pPr>
              <w:pStyle w:val="Paragraphedeliste"/>
              <w:numPr>
                <w:ilvl w:val="0"/>
                <w:numId w:val="350"/>
              </w:numPr>
              <w:spacing w:after="0" w:line="257" w:lineRule="auto"/>
              <w:contextualSpacing w:val="0"/>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Innovative mechanisms: green bonds, results-based financing, etc.  </w:t>
            </w:r>
          </w:p>
          <w:p w14:paraId="2FC9FE58"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E-mobility projects will be counted in component 2 to avoid double counting.  </w:t>
            </w:r>
          </w:p>
        </w:tc>
        <w:tc>
          <w:tcPr>
            <w:tcW w:w="2062" w:type="dxa"/>
            <w:shd w:val="clear" w:color="auto" w:fill="FFFFFF" w:themeFill="background1"/>
          </w:tcPr>
          <w:p w14:paraId="732F5101"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lang w:val="en-US"/>
              </w:rPr>
              <w:lastRenderedPageBreak/>
              <w:t>Assumptions:</w:t>
            </w:r>
            <w:r w:rsidRPr="003C5C1B">
              <w:rPr>
                <w:rFonts w:asciiTheme="minorHAnsi" w:eastAsiaTheme="minorEastAsia" w:hAnsiTheme="minorHAnsi" w:cstheme="minorHAnsi"/>
                <w:color w:val="000000" w:themeColor="text1"/>
                <w:sz w:val="16"/>
                <w:szCs w:val="16"/>
                <w:lang w:val="en-US"/>
              </w:rPr>
              <w:t xml:space="preserve"> </w:t>
            </w:r>
          </w:p>
          <w:p w14:paraId="794387CC"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Local and national authorities support integrated and sustainable </w:t>
            </w:r>
            <w:r w:rsidRPr="003C5C1B">
              <w:rPr>
                <w:rFonts w:asciiTheme="minorHAnsi" w:eastAsiaTheme="minorEastAsia" w:hAnsiTheme="minorHAnsi" w:cstheme="minorHAnsi"/>
                <w:color w:val="000000" w:themeColor="text1"/>
                <w:sz w:val="16"/>
                <w:szCs w:val="16"/>
                <w:lang w:val="en-US"/>
              </w:rPr>
              <w:lastRenderedPageBreak/>
              <w:t xml:space="preserve">development </w:t>
            </w:r>
            <w:proofErr w:type="gramStart"/>
            <w:r w:rsidRPr="003C5C1B">
              <w:rPr>
                <w:rFonts w:asciiTheme="minorHAnsi" w:eastAsiaTheme="minorEastAsia" w:hAnsiTheme="minorHAnsi" w:cstheme="minorHAnsi"/>
                <w:color w:val="000000" w:themeColor="text1"/>
                <w:sz w:val="16"/>
                <w:szCs w:val="16"/>
                <w:lang w:val="en-US"/>
              </w:rPr>
              <w:t>approaches, and</w:t>
            </w:r>
            <w:proofErr w:type="gramEnd"/>
            <w:r w:rsidRPr="003C5C1B">
              <w:rPr>
                <w:rFonts w:asciiTheme="minorHAnsi" w:eastAsiaTheme="minorEastAsia" w:hAnsiTheme="minorHAnsi" w:cstheme="minorHAnsi"/>
                <w:color w:val="000000" w:themeColor="text1"/>
                <w:sz w:val="16"/>
                <w:szCs w:val="16"/>
                <w:lang w:val="en-US"/>
              </w:rPr>
              <w:t xml:space="preserve"> prioritize them in their plans and budgets.  </w:t>
            </w:r>
          </w:p>
          <w:p w14:paraId="2EBDA7CE"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The projects presented to donors are sufficiently structured (feasibility, demonstrated impacts, clear governance) to attract funding.  </w:t>
            </w:r>
          </w:p>
          <w:p w14:paraId="3CDB45B4"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A technical unit (either the PMU or a "Bamako sustainable city" unit) is in place to mobilize, monitor and support funding requests.  </w:t>
            </w:r>
          </w:p>
          <w:p w14:paraId="430DE940"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The economic context allows investors to have confidence, with clear procedures and minimum guarantees.  </w:t>
            </w:r>
          </w:p>
          <w:p w14:paraId="07BA1472"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The PMU and local actors have the technical and institutional capacities to put together solid files.  </w:t>
            </w:r>
          </w:p>
          <w:p w14:paraId="08AF04E0"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lang w:val="en-US"/>
              </w:rPr>
              <w:t>Risks</w:t>
            </w:r>
            <w:r w:rsidRPr="003C5C1B">
              <w:rPr>
                <w:rFonts w:asciiTheme="minorHAnsi" w:eastAsiaTheme="minorEastAsia" w:hAnsiTheme="minorHAnsi" w:cstheme="minorHAnsi"/>
                <w:color w:val="000000" w:themeColor="text1"/>
                <w:sz w:val="16"/>
                <w:szCs w:val="16"/>
                <w:lang w:val="en-US"/>
              </w:rPr>
              <w:t xml:space="preserve">:  </w:t>
            </w:r>
          </w:p>
          <w:p w14:paraId="3D5AC657"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Lack of expertise to translate ideas into bankable technical documents.  </w:t>
            </w:r>
          </w:p>
          <w:p w14:paraId="5E77BD96"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Political instability, insecurity or weak governance  </w:t>
            </w:r>
          </w:p>
          <w:p w14:paraId="32B1165C"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Institutional rivalries or compartmentalization between ministries/municipalities/</w:t>
            </w:r>
            <w:r w:rsidRPr="003C5C1B">
              <w:rPr>
                <w:rFonts w:asciiTheme="minorHAnsi" w:eastAsiaTheme="minorEastAsia" w:hAnsiTheme="minorHAnsi" w:cstheme="minorHAnsi"/>
                <w:color w:val="000000" w:themeColor="text1"/>
                <w:sz w:val="16"/>
                <w:szCs w:val="16"/>
                <w:lang w:val="en-US"/>
              </w:rPr>
              <w:lastRenderedPageBreak/>
              <w:t xml:space="preserve">partners can hinder the implementation of integrated projects.  </w:t>
            </w:r>
          </w:p>
          <w:p w14:paraId="4EB38C5B"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Slowness, high administrative requirements, or delays in validation can hinder the effective mobilization of resources.  </w:t>
            </w:r>
          </w:p>
          <w:p w14:paraId="591C5D18"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If legal or tax frameworks do not encourage green investment, private contributions will remain marginal.  </w:t>
            </w:r>
          </w:p>
          <w:p w14:paraId="302C39FC"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Without a good tracking system, actual increases in funding may not be well captured  </w:t>
            </w:r>
          </w:p>
        </w:tc>
        <w:tc>
          <w:tcPr>
            <w:tcW w:w="1803" w:type="dxa"/>
            <w:shd w:val="clear" w:color="auto" w:fill="FFFFFF" w:themeFill="background1"/>
          </w:tcPr>
          <w:p w14:paraId="2BB95157" w14:textId="77777777" w:rsidR="00A15021" w:rsidRPr="003C5C1B" w:rsidRDefault="00A15021">
            <w:pPr>
              <w:spacing w:line="257" w:lineRule="auto"/>
              <w:rPr>
                <w:rFonts w:asciiTheme="minorHAnsi" w:eastAsiaTheme="minorEastAsia" w:hAnsiTheme="minorHAnsi" w:cstheme="minorHAnsi"/>
                <w:color w:val="000000" w:themeColor="text1"/>
                <w:sz w:val="16"/>
                <w:szCs w:val="16"/>
                <w:highlight w:val="yellow"/>
                <w:lang w:val="en-US"/>
              </w:rPr>
            </w:pPr>
            <w:r w:rsidRPr="003C5C1B">
              <w:rPr>
                <w:rFonts w:asciiTheme="minorHAnsi" w:eastAsiaTheme="minorEastAsia" w:hAnsiTheme="minorHAnsi" w:cstheme="minorHAnsi"/>
                <w:color w:val="000000" w:themeColor="text1"/>
                <w:sz w:val="16"/>
                <w:szCs w:val="16"/>
                <w:highlight w:val="yellow"/>
                <w:lang w:val="en-US"/>
              </w:rPr>
              <w:lastRenderedPageBreak/>
              <w:t xml:space="preserve">Indicator </w:t>
            </w:r>
            <w:proofErr w:type="gramStart"/>
            <w:r w:rsidRPr="003C5C1B">
              <w:rPr>
                <w:rFonts w:asciiTheme="minorHAnsi" w:eastAsiaTheme="minorEastAsia" w:hAnsiTheme="minorHAnsi" w:cstheme="minorHAnsi"/>
                <w:color w:val="000000" w:themeColor="text1"/>
                <w:sz w:val="16"/>
                <w:szCs w:val="16"/>
                <w:highlight w:val="yellow"/>
                <w:lang w:val="en-US"/>
              </w:rPr>
              <w:t>5 :</w:t>
            </w:r>
            <w:proofErr w:type="gramEnd"/>
            <w:r w:rsidRPr="003C5C1B">
              <w:rPr>
                <w:rFonts w:asciiTheme="minorHAnsi" w:eastAsiaTheme="minorEastAsia" w:hAnsiTheme="minorHAnsi" w:cstheme="minorHAnsi"/>
                <w:color w:val="000000" w:themeColor="text1"/>
                <w:sz w:val="16"/>
                <w:szCs w:val="16"/>
                <w:highlight w:val="yellow"/>
                <w:lang w:val="en-US"/>
              </w:rPr>
              <w:t xml:space="preserve"> USD of nature positive, low</w:t>
            </w:r>
          </w:p>
          <w:p w14:paraId="7F723372" w14:textId="77777777" w:rsidR="00A15021" w:rsidRPr="003C5C1B" w:rsidRDefault="00A15021">
            <w:pPr>
              <w:spacing w:line="257" w:lineRule="auto"/>
              <w:rPr>
                <w:rFonts w:asciiTheme="minorHAnsi" w:eastAsiaTheme="minorEastAsia" w:hAnsiTheme="minorHAnsi" w:cstheme="minorHAnsi"/>
                <w:color w:val="000000" w:themeColor="text1"/>
                <w:sz w:val="16"/>
                <w:szCs w:val="16"/>
                <w:highlight w:val="yellow"/>
                <w:lang w:val="en-US"/>
              </w:rPr>
            </w:pPr>
            <w:r w:rsidRPr="003C5C1B">
              <w:rPr>
                <w:rFonts w:asciiTheme="minorHAnsi" w:eastAsiaTheme="minorEastAsia" w:hAnsiTheme="minorHAnsi" w:cstheme="minorHAnsi"/>
                <w:color w:val="000000" w:themeColor="text1"/>
                <w:sz w:val="16"/>
                <w:szCs w:val="16"/>
                <w:highlight w:val="yellow"/>
                <w:lang w:val="en-US"/>
              </w:rPr>
              <w:lastRenderedPageBreak/>
              <w:t>carbon, land restoration</w:t>
            </w:r>
          </w:p>
          <w:p w14:paraId="5B2C8922" w14:textId="77777777" w:rsidR="00A15021" w:rsidRPr="003C5C1B" w:rsidRDefault="00A15021">
            <w:pPr>
              <w:spacing w:line="257" w:lineRule="auto"/>
              <w:rPr>
                <w:rFonts w:asciiTheme="minorHAnsi" w:eastAsiaTheme="minorEastAsia" w:hAnsiTheme="minorHAnsi" w:cstheme="minorHAnsi"/>
                <w:color w:val="000000" w:themeColor="text1"/>
                <w:sz w:val="16"/>
                <w:szCs w:val="16"/>
                <w:highlight w:val="yellow"/>
                <w:lang w:val="en-US"/>
              </w:rPr>
            </w:pPr>
            <w:r w:rsidRPr="003C5C1B">
              <w:rPr>
                <w:rFonts w:asciiTheme="minorHAnsi" w:eastAsiaTheme="minorEastAsia" w:hAnsiTheme="minorHAnsi" w:cstheme="minorHAnsi"/>
                <w:color w:val="000000" w:themeColor="text1"/>
                <w:sz w:val="16"/>
                <w:szCs w:val="16"/>
                <w:highlight w:val="yellow"/>
                <w:lang w:val="en-US"/>
              </w:rPr>
              <w:t>demonstrations and/or</w:t>
            </w:r>
          </w:p>
          <w:p w14:paraId="5695CCC5" w14:textId="77777777" w:rsidR="00A15021" w:rsidRPr="003C5C1B" w:rsidRDefault="00A15021">
            <w:pPr>
              <w:spacing w:line="257" w:lineRule="auto"/>
              <w:rPr>
                <w:rFonts w:asciiTheme="minorHAnsi" w:eastAsiaTheme="minorEastAsia" w:hAnsiTheme="minorHAnsi" w:cstheme="minorHAnsi"/>
                <w:color w:val="000000" w:themeColor="text1"/>
                <w:sz w:val="16"/>
                <w:szCs w:val="16"/>
                <w:highlight w:val="yellow"/>
                <w:lang w:val="en-US"/>
              </w:rPr>
            </w:pPr>
            <w:r w:rsidRPr="003C5C1B">
              <w:rPr>
                <w:rFonts w:asciiTheme="minorHAnsi" w:eastAsiaTheme="minorEastAsia" w:hAnsiTheme="minorHAnsi" w:cstheme="minorHAnsi"/>
                <w:color w:val="000000" w:themeColor="text1"/>
                <w:sz w:val="16"/>
                <w:szCs w:val="16"/>
                <w:highlight w:val="yellow"/>
                <w:lang w:val="en-US"/>
              </w:rPr>
              <w:t>investments (including</w:t>
            </w:r>
          </w:p>
          <w:p w14:paraId="4BDD7F3A" w14:textId="77777777" w:rsidR="00A15021" w:rsidRPr="003C5C1B" w:rsidRDefault="00A15021">
            <w:pPr>
              <w:spacing w:line="257" w:lineRule="auto"/>
              <w:rPr>
                <w:rFonts w:asciiTheme="minorHAnsi" w:eastAsiaTheme="minorEastAsia" w:hAnsiTheme="minorHAnsi" w:cstheme="minorHAnsi"/>
                <w:color w:val="000000" w:themeColor="text1"/>
                <w:sz w:val="16"/>
                <w:szCs w:val="16"/>
                <w:highlight w:val="yellow"/>
                <w:lang w:val="en-US"/>
              </w:rPr>
            </w:pPr>
            <w:r w:rsidRPr="003C5C1B">
              <w:rPr>
                <w:rFonts w:asciiTheme="minorHAnsi" w:eastAsiaTheme="minorEastAsia" w:hAnsiTheme="minorHAnsi" w:cstheme="minorHAnsi"/>
                <w:color w:val="000000" w:themeColor="text1"/>
                <w:sz w:val="16"/>
                <w:szCs w:val="16"/>
                <w:highlight w:val="yellow"/>
                <w:lang w:val="en-US"/>
              </w:rPr>
              <w:t>leveraged)</w:t>
            </w:r>
          </w:p>
          <w:p w14:paraId="0B66AFDC" w14:textId="77777777" w:rsidR="00A15021" w:rsidRPr="003C5C1B" w:rsidRDefault="00A15021">
            <w:pPr>
              <w:spacing w:line="257" w:lineRule="auto"/>
              <w:rPr>
                <w:rFonts w:asciiTheme="minorHAnsi" w:eastAsiaTheme="minorEastAsia" w:hAnsiTheme="minorHAnsi" w:cstheme="minorHAnsi"/>
                <w:color w:val="000000" w:themeColor="text1"/>
                <w:sz w:val="16"/>
                <w:szCs w:val="16"/>
                <w:highlight w:val="yellow"/>
                <w:lang w:val="en-US"/>
              </w:rPr>
            </w:pPr>
          </w:p>
          <w:p w14:paraId="7D7551F3" w14:textId="77777777" w:rsidR="00A15021" w:rsidRPr="003C5C1B" w:rsidRDefault="00A15021">
            <w:pPr>
              <w:spacing w:line="257" w:lineRule="auto"/>
              <w:rPr>
                <w:rFonts w:asciiTheme="minorHAnsi" w:eastAsiaTheme="minorEastAsia" w:hAnsiTheme="minorHAnsi" w:cstheme="minorHAnsi"/>
                <w:color w:val="000000" w:themeColor="text1"/>
                <w:sz w:val="16"/>
                <w:szCs w:val="16"/>
                <w:highlight w:val="yellow"/>
                <w:lang w:val="en-US"/>
              </w:rPr>
            </w:pPr>
            <w:r w:rsidRPr="003C5C1B">
              <w:rPr>
                <w:rFonts w:asciiTheme="minorHAnsi" w:eastAsiaTheme="minorEastAsia" w:hAnsiTheme="minorHAnsi" w:cstheme="minorHAnsi"/>
                <w:color w:val="000000" w:themeColor="text1"/>
                <w:sz w:val="16"/>
                <w:szCs w:val="16"/>
                <w:highlight w:val="yellow"/>
                <w:lang w:val="en-US"/>
              </w:rPr>
              <w:t xml:space="preserve">Indicator </w:t>
            </w:r>
            <w:proofErr w:type="gramStart"/>
            <w:r w:rsidRPr="003C5C1B">
              <w:rPr>
                <w:rFonts w:asciiTheme="minorHAnsi" w:eastAsiaTheme="minorEastAsia" w:hAnsiTheme="minorHAnsi" w:cstheme="minorHAnsi"/>
                <w:color w:val="000000" w:themeColor="text1"/>
                <w:sz w:val="16"/>
                <w:szCs w:val="16"/>
                <w:highlight w:val="yellow"/>
                <w:lang w:val="en-US"/>
              </w:rPr>
              <w:t>8 :</w:t>
            </w:r>
            <w:proofErr w:type="gramEnd"/>
            <w:r w:rsidRPr="003C5C1B">
              <w:rPr>
                <w:rFonts w:asciiTheme="minorHAnsi" w:eastAsiaTheme="minorEastAsia" w:hAnsiTheme="minorHAnsi" w:cstheme="minorHAnsi"/>
                <w:color w:val="000000" w:themeColor="text1"/>
                <w:sz w:val="16"/>
                <w:szCs w:val="16"/>
                <w:highlight w:val="yellow"/>
                <w:lang w:val="en-US"/>
              </w:rPr>
              <w:t xml:space="preserve"> USD leveraged through the financial mechanisms and</w:t>
            </w:r>
          </w:p>
          <w:p w14:paraId="18D5DEFA" w14:textId="77777777" w:rsidR="00A15021" w:rsidRPr="003C5C1B" w:rsidRDefault="00A15021">
            <w:pPr>
              <w:spacing w:line="257" w:lineRule="auto"/>
              <w:rPr>
                <w:rFonts w:asciiTheme="minorHAnsi" w:eastAsiaTheme="minorEastAsia" w:hAnsiTheme="minorHAnsi" w:cstheme="minorHAnsi"/>
                <w:color w:val="000000" w:themeColor="text1"/>
                <w:sz w:val="16"/>
                <w:szCs w:val="16"/>
                <w:highlight w:val="yellow"/>
                <w:lang w:val="en-US"/>
              </w:rPr>
            </w:pPr>
            <w:r w:rsidRPr="003C5C1B">
              <w:rPr>
                <w:rFonts w:asciiTheme="minorHAnsi" w:eastAsiaTheme="minorEastAsia" w:hAnsiTheme="minorHAnsi" w:cstheme="minorHAnsi"/>
                <w:color w:val="000000" w:themeColor="text1"/>
                <w:sz w:val="16"/>
                <w:szCs w:val="16"/>
                <w:highlight w:val="yellow"/>
                <w:lang w:val="en-US"/>
              </w:rPr>
              <w:t>business models for scaling-up sustainable urban solutions</w:t>
            </w:r>
          </w:p>
          <w:p w14:paraId="5FD7CE7F" w14:textId="77777777" w:rsidR="00A15021" w:rsidRPr="003C5C1B" w:rsidRDefault="00A15021">
            <w:pPr>
              <w:spacing w:line="257" w:lineRule="auto"/>
              <w:rPr>
                <w:rFonts w:asciiTheme="minorHAnsi" w:eastAsiaTheme="minorEastAsia" w:hAnsiTheme="minorHAnsi" w:cstheme="minorHAnsi"/>
                <w:color w:val="000000" w:themeColor="text1"/>
                <w:sz w:val="16"/>
                <w:szCs w:val="16"/>
                <w:highlight w:val="yellow"/>
                <w:lang w:val="en-US"/>
              </w:rPr>
            </w:pPr>
          </w:p>
          <w:p w14:paraId="7519C862" w14:textId="77777777" w:rsidR="00A15021" w:rsidRPr="003C5C1B" w:rsidRDefault="00A15021">
            <w:pPr>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Indicator 10</w:t>
            </w:r>
          </w:p>
          <w:p w14:paraId="7929472B" w14:textId="77777777" w:rsidR="00A15021" w:rsidRPr="003C5C1B" w:rsidRDefault="00A15021">
            <w:pPr>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 of cities that have projects (or # of projects) identified that can be a pipeline for GEF-9</w:t>
            </w:r>
          </w:p>
          <w:p w14:paraId="3F9C284B" w14:textId="77777777" w:rsidR="00A15021" w:rsidRPr="00045243" w:rsidRDefault="00A15021">
            <w:pPr>
              <w:rPr>
                <w:rFonts w:asciiTheme="minorHAnsi" w:eastAsiaTheme="minorEastAsia" w:hAnsiTheme="minorHAnsi" w:cstheme="minorHAnsi"/>
                <w:sz w:val="16"/>
                <w:szCs w:val="16"/>
              </w:rPr>
            </w:pPr>
            <w:proofErr w:type="gramStart"/>
            <w:r w:rsidRPr="00045243">
              <w:rPr>
                <w:rFonts w:asciiTheme="minorHAnsi" w:eastAsiaTheme="minorEastAsia" w:hAnsiTheme="minorHAnsi" w:cstheme="minorHAnsi"/>
                <w:sz w:val="16"/>
                <w:szCs w:val="16"/>
                <w:highlight w:val="yellow"/>
              </w:rPr>
              <w:t>and</w:t>
            </w:r>
            <w:proofErr w:type="gramEnd"/>
            <w:r w:rsidRPr="00045243">
              <w:rPr>
                <w:rFonts w:asciiTheme="minorHAnsi" w:eastAsiaTheme="minorEastAsia" w:hAnsiTheme="minorHAnsi" w:cstheme="minorHAnsi"/>
                <w:sz w:val="16"/>
                <w:szCs w:val="16"/>
                <w:highlight w:val="yellow"/>
              </w:rPr>
              <w:t xml:space="preserve"> </w:t>
            </w:r>
            <w:proofErr w:type="spellStart"/>
            <w:r w:rsidRPr="00045243">
              <w:rPr>
                <w:rFonts w:asciiTheme="minorHAnsi" w:eastAsiaTheme="minorEastAsia" w:hAnsiTheme="minorHAnsi" w:cstheme="minorHAnsi"/>
                <w:sz w:val="16"/>
                <w:szCs w:val="16"/>
                <w:highlight w:val="yellow"/>
              </w:rPr>
              <w:t>other</w:t>
            </w:r>
            <w:proofErr w:type="spellEnd"/>
            <w:r w:rsidRPr="00045243">
              <w:rPr>
                <w:rFonts w:asciiTheme="minorHAnsi" w:eastAsiaTheme="minorEastAsia" w:hAnsiTheme="minorHAnsi" w:cstheme="minorHAnsi"/>
                <w:sz w:val="16"/>
                <w:szCs w:val="16"/>
                <w:highlight w:val="yellow"/>
              </w:rPr>
              <w:t xml:space="preserve"> initiatives</w:t>
            </w:r>
          </w:p>
          <w:p w14:paraId="64C29FD5"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p>
        </w:tc>
      </w:tr>
      <w:tr w:rsidR="00A15021" w:rsidRPr="00F50786" w14:paraId="2153F2F1" w14:textId="77777777" w:rsidTr="2DC80E69">
        <w:trPr>
          <w:trHeight w:val="300"/>
          <w:jc w:val="center"/>
        </w:trPr>
        <w:tc>
          <w:tcPr>
            <w:tcW w:w="747" w:type="dxa"/>
            <w:shd w:val="clear" w:color="auto" w:fill="D9D9D9" w:themeFill="background1" w:themeFillShade="D9"/>
          </w:tcPr>
          <w:p w14:paraId="1040D60F"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b/>
                <w:bCs/>
                <w:color w:val="000000" w:themeColor="text1"/>
                <w:sz w:val="16"/>
                <w:szCs w:val="16"/>
              </w:rPr>
              <w:lastRenderedPageBreak/>
              <w:t xml:space="preserve">Outputs to </w:t>
            </w:r>
            <w:proofErr w:type="spellStart"/>
            <w:r w:rsidRPr="00045243">
              <w:rPr>
                <w:rFonts w:asciiTheme="minorHAnsi" w:eastAsiaTheme="minorEastAsia" w:hAnsiTheme="minorHAnsi" w:cstheme="minorHAnsi"/>
                <w:b/>
                <w:bCs/>
                <w:color w:val="000000" w:themeColor="text1"/>
                <w:sz w:val="16"/>
                <w:szCs w:val="16"/>
              </w:rPr>
              <w:t>achieve</w:t>
            </w:r>
            <w:proofErr w:type="spellEnd"/>
            <w:r w:rsidRPr="00045243">
              <w:rPr>
                <w:rFonts w:asciiTheme="minorHAnsi" w:eastAsiaTheme="minorEastAsia" w:hAnsiTheme="minorHAnsi" w:cstheme="minorHAnsi"/>
                <w:b/>
                <w:bCs/>
                <w:color w:val="000000" w:themeColor="text1"/>
                <w:sz w:val="16"/>
                <w:szCs w:val="16"/>
              </w:rPr>
              <w:t xml:space="preserve"> </w:t>
            </w:r>
            <w:proofErr w:type="spellStart"/>
            <w:r w:rsidRPr="00045243">
              <w:rPr>
                <w:rFonts w:asciiTheme="minorHAnsi" w:eastAsiaTheme="minorEastAsia" w:hAnsiTheme="minorHAnsi" w:cstheme="minorHAnsi"/>
                <w:b/>
                <w:bCs/>
                <w:color w:val="000000" w:themeColor="text1"/>
                <w:sz w:val="16"/>
                <w:szCs w:val="16"/>
              </w:rPr>
              <w:t>Outcome</w:t>
            </w:r>
            <w:proofErr w:type="spellEnd"/>
            <w:r w:rsidRPr="00045243">
              <w:rPr>
                <w:rFonts w:asciiTheme="minorHAnsi" w:eastAsiaTheme="minorEastAsia" w:hAnsiTheme="minorHAnsi" w:cstheme="minorHAnsi"/>
                <w:b/>
                <w:bCs/>
                <w:color w:val="000000" w:themeColor="text1"/>
                <w:sz w:val="16"/>
                <w:szCs w:val="16"/>
              </w:rPr>
              <w:t xml:space="preserve"> 1.2</w:t>
            </w:r>
            <w:r w:rsidRPr="00045243">
              <w:rPr>
                <w:rFonts w:asciiTheme="minorHAnsi" w:eastAsiaTheme="minorEastAsia" w:hAnsiTheme="minorHAnsi" w:cstheme="minorHAnsi"/>
                <w:color w:val="000000" w:themeColor="text1"/>
                <w:sz w:val="16"/>
                <w:szCs w:val="16"/>
              </w:rPr>
              <w:t xml:space="preserve">  </w:t>
            </w:r>
          </w:p>
        </w:tc>
        <w:tc>
          <w:tcPr>
            <w:tcW w:w="11822" w:type="dxa"/>
            <w:gridSpan w:val="10"/>
          </w:tcPr>
          <w:p w14:paraId="2260A90F"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i/>
                <w:iCs/>
                <w:sz w:val="16"/>
                <w:szCs w:val="16"/>
                <w:lang w:val="en-US"/>
              </w:rPr>
              <w:t>Output 1.2.</w:t>
            </w:r>
            <w:r w:rsidRPr="003C5C1B">
              <w:rPr>
                <w:rFonts w:asciiTheme="minorHAnsi" w:eastAsiaTheme="minorEastAsia" w:hAnsiTheme="minorHAnsi" w:cstheme="minorHAnsi"/>
                <w:i/>
                <w:iCs/>
                <w:sz w:val="16"/>
                <w:szCs w:val="16"/>
                <w:lang w:val="en-US"/>
              </w:rPr>
              <w:t>1: Territorial financial governance for sustainable urban development is strengthened.</w:t>
            </w:r>
            <w:r w:rsidRPr="003C5C1B">
              <w:rPr>
                <w:rFonts w:asciiTheme="minorHAnsi" w:eastAsiaTheme="minorEastAsia" w:hAnsiTheme="minorHAnsi" w:cstheme="minorHAnsi"/>
                <w:sz w:val="16"/>
                <w:szCs w:val="16"/>
                <w:lang w:val="en-US"/>
              </w:rPr>
              <w:t xml:space="preserve"> </w:t>
            </w:r>
          </w:p>
          <w:p w14:paraId="71427359" w14:textId="53BC0B78"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1803" w:type="dxa"/>
          </w:tcPr>
          <w:p w14:paraId="1D500170" w14:textId="77777777" w:rsidR="00A15021" w:rsidRPr="003C5C1B" w:rsidRDefault="00A15021">
            <w:pPr>
              <w:spacing w:line="257" w:lineRule="auto"/>
              <w:rPr>
                <w:rFonts w:asciiTheme="minorHAnsi" w:eastAsiaTheme="minorEastAsia" w:hAnsiTheme="minorHAnsi" w:cstheme="minorHAnsi"/>
                <w:i/>
                <w:iCs/>
                <w:sz w:val="16"/>
                <w:szCs w:val="16"/>
                <w:lang w:val="en-US"/>
              </w:rPr>
            </w:pPr>
          </w:p>
        </w:tc>
      </w:tr>
      <w:tr w:rsidR="00A25847" w:rsidRPr="00F50786" w14:paraId="3CC8D741" w14:textId="77777777" w:rsidTr="2DC80E69">
        <w:trPr>
          <w:trHeight w:val="300"/>
          <w:jc w:val="center"/>
        </w:trPr>
        <w:tc>
          <w:tcPr>
            <w:tcW w:w="747" w:type="dxa"/>
            <w:shd w:val="clear" w:color="auto" w:fill="E8E8E8" w:themeFill="background2"/>
          </w:tcPr>
          <w:p w14:paraId="2C9BC571"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b/>
                <w:bCs/>
                <w:color w:val="000000" w:themeColor="text1"/>
                <w:sz w:val="16"/>
                <w:szCs w:val="16"/>
              </w:rPr>
              <w:t>Component 2 </w:t>
            </w:r>
            <w:r w:rsidRPr="00045243">
              <w:rPr>
                <w:rFonts w:asciiTheme="minorHAnsi" w:eastAsiaTheme="minorEastAsia" w:hAnsiTheme="minorHAnsi" w:cstheme="minorHAnsi"/>
                <w:color w:val="000000" w:themeColor="text1"/>
                <w:sz w:val="16"/>
                <w:szCs w:val="16"/>
              </w:rPr>
              <w:t xml:space="preserve">  </w:t>
            </w:r>
          </w:p>
        </w:tc>
        <w:tc>
          <w:tcPr>
            <w:tcW w:w="11822" w:type="dxa"/>
            <w:gridSpan w:val="10"/>
            <w:shd w:val="clear" w:color="auto" w:fill="E8E8E8" w:themeFill="background2"/>
          </w:tcPr>
          <w:p w14:paraId="6EF25B3C"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i/>
                <w:iCs/>
                <w:color w:val="000000" w:themeColor="text1"/>
                <w:sz w:val="16"/>
                <w:szCs w:val="16"/>
                <w:lang w:val="en-US"/>
              </w:rPr>
              <w:t>Decarbonization of the transportation sector </w:t>
            </w:r>
            <w:r w:rsidRPr="003C5C1B">
              <w:rPr>
                <w:rFonts w:asciiTheme="minorHAnsi" w:eastAsiaTheme="minorEastAsia" w:hAnsiTheme="minorHAnsi" w:cstheme="minorHAnsi"/>
                <w:color w:val="000000" w:themeColor="text1"/>
                <w:sz w:val="16"/>
                <w:szCs w:val="16"/>
                <w:lang w:val="en-US"/>
              </w:rPr>
              <w:t xml:space="preserve">  </w:t>
            </w:r>
          </w:p>
        </w:tc>
        <w:tc>
          <w:tcPr>
            <w:tcW w:w="1803" w:type="dxa"/>
            <w:shd w:val="clear" w:color="auto" w:fill="E8E8E8" w:themeFill="background2"/>
          </w:tcPr>
          <w:p w14:paraId="62A30F2C" w14:textId="77777777" w:rsidR="00A15021" w:rsidRPr="003C5C1B" w:rsidRDefault="00A15021">
            <w:pPr>
              <w:spacing w:line="257" w:lineRule="auto"/>
              <w:rPr>
                <w:rFonts w:asciiTheme="minorHAnsi" w:eastAsiaTheme="minorEastAsia" w:hAnsiTheme="minorHAnsi" w:cstheme="minorHAnsi"/>
                <w:b/>
                <w:bCs/>
                <w:i/>
                <w:iCs/>
                <w:color w:val="000000" w:themeColor="text1"/>
                <w:sz w:val="16"/>
                <w:szCs w:val="16"/>
                <w:lang w:val="en-US"/>
              </w:rPr>
            </w:pPr>
          </w:p>
        </w:tc>
      </w:tr>
      <w:tr w:rsidR="00344861" w:rsidRPr="00F50786" w14:paraId="205D6780" w14:textId="77777777" w:rsidTr="2DC80E69">
        <w:trPr>
          <w:trHeight w:val="300"/>
          <w:jc w:val="center"/>
        </w:trPr>
        <w:tc>
          <w:tcPr>
            <w:tcW w:w="747" w:type="dxa"/>
            <w:vMerge w:val="restart"/>
            <w:shd w:val="clear" w:color="auto" w:fill="D9D9D9" w:themeFill="background1" w:themeFillShade="D9"/>
          </w:tcPr>
          <w:p w14:paraId="596CC0B4"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u w:val="single"/>
                <w:lang w:val="en-US"/>
              </w:rPr>
              <w:t>Outcome</w:t>
            </w:r>
            <w:r w:rsidRPr="003C5C1B">
              <w:rPr>
                <w:rFonts w:asciiTheme="minorHAnsi" w:eastAsiaTheme="minorEastAsia" w:hAnsiTheme="minorHAnsi" w:cstheme="minorHAnsi"/>
                <w:b/>
                <w:bCs/>
                <w:color w:val="000000" w:themeColor="text1"/>
                <w:sz w:val="16"/>
                <w:szCs w:val="16"/>
                <w:lang w:val="en-US"/>
              </w:rPr>
              <w:t xml:space="preserve"> </w:t>
            </w:r>
            <w:proofErr w:type="gramStart"/>
            <w:r w:rsidRPr="003C5C1B">
              <w:rPr>
                <w:rFonts w:asciiTheme="minorHAnsi" w:eastAsiaTheme="minorEastAsia" w:hAnsiTheme="minorHAnsi" w:cstheme="minorHAnsi"/>
                <w:b/>
                <w:bCs/>
                <w:color w:val="000000" w:themeColor="text1"/>
                <w:sz w:val="16"/>
                <w:szCs w:val="16"/>
                <w:lang w:val="en-US"/>
              </w:rPr>
              <w:t>2.1</w:t>
            </w:r>
            <w:r w:rsidRPr="003C5C1B">
              <w:rPr>
                <w:rFonts w:asciiTheme="minorHAnsi" w:eastAsiaTheme="minorEastAsia" w:hAnsiTheme="minorHAnsi" w:cstheme="minorHAnsi"/>
                <w:color w:val="000000" w:themeColor="text1"/>
                <w:sz w:val="16"/>
                <w:szCs w:val="16"/>
                <w:lang w:val="en-US"/>
              </w:rPr>
              <w:t> </w:t>
            </w:r>
            <w:r w:rsidRPr="003C5C1B">
              <w:rPr>
                <w:rFonts w:asciiTheme="minorHAnsi" w:eastAsiaTheme="minorEastAsia" w:hAnsiTheme="minorHAnsi" w:cstheme="minorHAnsi"/>
                <w:b/>
                <w:bCs/>
                <w:color w:val="000000" w:themeColor="text1"/>
                <w:sz w:val="16"/>
                <w:szCs w:val="16"/>
                <w:lang w:val="en-US"/>
              </w:rPr>
              <w:t xml:space="preserve"> </w:t>
            </w:r>
            <w:r w:rsidRPr="003C5C1B">
              <w:rPr>
                <w:rFonts w:asciiTheme="minorHAnsi" w:eastAsiaTheme="minorEastAsia" w:hAnsiTheme="minorHAnsi" w:cstheme="minorHAnsi"/>
                <w:color w:val="000000" w:themeColor="text1"/>
                <w:sz w:val="16"/>
                <w:szCs w:val="16"/>
                <w:lang w:val="en-US"/>
              </w:rPr>
              <w:t>An</w:t>
            </w:r>
            <w:proofErr w:type="gramEnd"/>
            <w:r w:rsidRPr="003C5C1B">
              <w:rPr>
                <w:rFonts w:asciiTheme="minorHAnsi" w:eastAsiaTheme="minorEastAsia" w:hAnsiTheme="minorHAnsi" w:cstheme="minorHAnsi"/>
                <w:color w:val="000000" w:themeColor="text1"/>
                <w:sz w:val="16"/>
                <w:szCs w:val="16"/>
                <w:lang w:val="en-US"/>
              </w:rPr>
              <w:t xml:space="preserve"> enabling environment for innovative </w:t>
            </w:r>
            <w:r w:rsidRPr="003C5C1B">
              <w:rPr>
                <w:rFonts w:asciiTheme="minorHAnsi" w:eastAsiaTheme="minorEastAsia" w:hAnsiTheme="minorHAnsi" w:cstheme="minorHAnsi"/>
                <w:color w:val="000000" w:themeColor="text1"/>
                <w:sz w:val="16"/>
                <w:szCs w:val="16"/>
                <w:lang w:val="en-US"/>
              </w:rPr>
              <w:lastRenderedPageBreak/>
              <w:t xml:space="preserve">partnerships and low-carbon investment in sustainable transport is established, thereby improving access to services, particularly for the most vulnerable.  </w:t>
            </w:r>
          </w:p>
        </w:tc>
        <w:tc>
          <w:tcPr>
            <w:tcW w:w="1185" w:type="dxa"/>
          </w:tcPr>
          <w:p w14:paraId="3C29927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u w:val="single"/>
                <w:lang w:val="en-US"/>
              </w:rPr>
              <w:lastRenderedPageBreak/>
              <w:t>Indicator 11:</w:t>
            </w:r>
            <w:r w:rsidRPr="003C5C1B">
              <w:rPr>
                <w:rFonts w:asciiTheme="minorHAnsi" w:eastAsiaTheme="minorEastAsia" w:hAnsiTheme="minorHAnsi" w:cstheme="minorHAnsi"/>
                <w:i/>
                <w:iCs/>
                <w:sz w:val="16"/>
                <w:szCs w:val="16"/>
                <w:lang w:val="en-US"/>
              </w:rPr>
              <w:t xml:space="preserve"> # of regulatory texts and financial instruments </w:t>
            </w:r>
            <w:proofErr w:type="gramStart"/>
            <w:r w:rsidRPr="003C5C1B">
              <w:rPr>
                <w:rFonts w:asciiTheme="minorHAnsi" w:eastAsiaTheme="minorEastAsia" w:hAnsiTheme="minorHAnsi" w:cstheme="minorHAnsi"/>
                <w:i/>
                <w:iCs/>
                <w:sz w:val="16"/>
                <w:szCs w:val="16"/>
                <w:lang w:val="en-US"/>
              </w:rPr>
              <w:t>formulated  facilitating</w:t>
            </w:r>
            <w:proofErr w:type="gramEnd"/>
            <w:r w:rsidRPr="003C5C1B">
              <w:rPr>
                <w:rFonts w:asciiTheme="minorHAnsi" w:eastAsiaTheme="minorEastAsia" w:hAnsiTheme="minorHAnsi" w:cstheme="minorHAnsi"/>
                <w:i/>
                <w:iCs/>
                <w:sz w:val="16"/>
                <w:szCs w:val="16"/>
                <w:lang w:val="en-US"/>
              </w:rPr>
              <w:t xml:space="preserve"> investment in national and </w:t>
            </w:r>
            <w:r w:rsidRPr="003C5C1B">
              <w:rPr>
                <w:rFonts w:asciiTheme="minorHAnsi" w:eastAsiaTheme="minorEastAsia" w:hAnsiTheme="minorHAnsi" w:cstheme="minorHAnsi"/>
                <w:i/>
                <w:iCs/>
                <w:sz w:val="16"/>
                <w:szCs w:val="16"/>
                <w:lang w:val="en-US"/>
              </w:rPr>
              <w:lastRenderedPageBreak/>
              <w:t>territorial sustainable transport</w:t>
            </w:r>
            <w:r w:rsidRPr="003C5C1B">
              <w:rPr>
                <w:rFonts w:asciiTheme="minorHAnsi" w:eastAsiaTheme="minorEastAsia" w:hAnsiTheme="minorHAnsi" w:cstheme="minorHAnsi"/>
                <w:sz w:val="16"/>
                <w:szCs w:val="16"/>
                <w:lang w:val="en-US"/>
              </w:rPr>
              <w:t xml:space="preserve">  </w:t>
            </w:r>
          </w:p>
          <w:p w14:paraId="21E55167"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2027" w:type="dxa"/>
            <w:gridSpan w:val="2"/>
          </w:tcPr>
          <w:p w14:paraId="7570924A"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lastRenderedPageBreak/>
              <w:t xml:space="preserve">Regulatory and financial monitoring reports on sustainable transportation policies  </w:t>
            </w:r>
          </w:p>
          <w:p w14:paraId="7AA911B9"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Legislative texts or decrees validated and/or adopted by public institutions  </w:t>
            </w:r>
          </w:p>
          <w:p w14:paraId="4319D55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lastRenderedPageBreak/>
              <w:t xml:space="preserve">  </w:t>
            </w:r>
          </w:p>
        </w:tc>
        <w:tc>
          <w:tcPr>
            <w:tcW w:w="1670" w:type="dxa"/>
            <w:gridSpan w:val="2"/>
          </w:tcPr>
          <w:p w14:paraId="5119B960"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i/>
                <w:iCs/>
                <w:sz w:val="16"/>
                <w:szCs w:val="16"/>
              </w:rPr>
              <w:lastRenderedPageBreak/>
              <w:t>0 </w:t>
            </w:r>
            <w:r w:rsidRPr="00045243">
              <w:rPr>
                <w:rFonts w:asciiTheme="minorHAnsi" w:eastAsiaTheme="minorEastAsia" w:hAnsiTheme="minorHAnsi" w:cstheme="minorHAnsi"/>
                <w:sz w:val="16"/>
                <w:szCs w:val="16"/>
              </w:rPr>
              <w:t xml:space="preserve">  </w:t>
            </w:r>
          </w:p>
        </w:tc>
        <w:tc>
          <w:tcPr>
            <w:tcW w:w="1220" w:type="dxa"/>
            <w:gridSpan w:val="2"/>
          </w:tcPr>
          <w:p w14:paraId="62E98B1D"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i/>
                <w:iCs/>
                <w:sz w:val="16"/>
                <w:szCs w:val="16"/>
              </w:rPr>
              <w:t>1</w:t>
            </w:r>
            <w:r w:rsidRPr="00045243">
              <w:rPr>
                <w:rFonts w:asciiTheme="minorHAnsi" w:eastAsiaTheme="minorEastAsia" w:hAnsiTheme="minorHAnsi" w:cstheme="minorHAnsi"/>
                <w:sz w:val="16"/>
                <w:szCs w:val="16"/>
              </w:rPr>
              <w:t xml:space="preserve">  </w:t>
            </w:r>
          </w:p>
        </w:tc>
        <w:tc>
          <w:tcPr>
            <w:tcW w:w="1463" w:type="dxa"/>
          </w:tcPr>
          <w:p w14:paraId="348ABF50"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3  </w:t>
            </w:r>
          </w:p>
        </w:tc>
        <w:tc>
          <w:tcPr>
            <w:tcW w:w="2195" w:type="dxa"/>
          </w:tcPr>
          <w:p w14:paraId="49DA297E"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A text or instrument is </w:t>
            </w:r>
            <w:proofErr w:type="gramStart"/>
            <w:r w:rsidRPr="003C5C1B">
              <w:rPr>
                <w:rFonts w:asciiTheme="minorHAnsi" w:eastAsiaTheme="minorEastAsia" w:hAnsiTheme="minorHAnsi" w:cstheme="minorHAnsi"/>
                <w:sz w:val="16"/>
                <w:szCs w:val="16"/>
                <w:lang w:val="en-US"/>
              </w:rPr>
              <w:t>taken into account</w:t>
            </w:r>
            <w:proofErr w:type="gramEnd"/>
            <w:r w:rsidRPr="003C5C1B">
              <w:rPr>
                <w:rFonts w:asciiTheme="minorHAnsi" w:eastAsiaTheme="minorEastAsia" w:hAnsiTheme="minorHAnsi" w:cstheme="minorHAnsi"/>
                <w:sz w:val="16"/>
                <w:szCs w:val="16"/>
                <w:lang w:val="en-US"/>
              </w:rPr>
              <w:t xml:space="preserve"> if it:  </w:t>
            </w:r>
          </w:p>
          <w:p w14:paraId="5176A0E9" w14:textId="77777777" w:rsidR="00A15021" w:rsidRPr="003C5C1B" w:rsidRDefault="00A15021" w:rsidP="00A15021">
            <w:pPr>
              <w:pStyle w:val="Paragraphedeliste"/>
              <w:numPr>
                <w:ilvl w:val="0"/>
                <w:numId w:val="349"/>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Has been formally adopted by a competent authority (ministry, local authority, national agency, etc.</w:t>
            </w:r>
            <w:proofErr w:type="gramStart"/>
            <w:r w:rsidRPr="003C5C1B">
              <w:rPr>
                <w:rFonts w:asciiTheme="minorHAnsi" w:eastAsiaTheme="minorEastAsia" w:hAnsiTheme="minorHAnsi" w:cstheme="minorHAnsi"/>
                <w:sz w:val="16"/>
                <w:szCs w:val="16"/>
                <w:lang w:val="en-US"/>
              </w:rPr>
              <w:t>);</w:t>
            </w:r>
            <w:proofErr w:type="gramEnd"/>
            <w:r w:rsidRPr="003C5C1B">
              <w:rPr>
                <w:rFonts w:asciiTheme="minorHAnsi" w:eastAsiaTheme="minorEastAsia" w:hAnsiTheme="minorHAnsi" w:cstheme="minorHAnsi"/>
                <w:sz w:val="16"/>
                <w:szCs w:val="16"/>
                <w:lang w:val="en-US"/>
              </w:rPr>
              <w:t xml:space="preserve">  </w:t>
            </w:r>
          </w:p>
          <w:p w14:paraId="4F07F830" w14:textId="77777777" w:rsidR="00A15021" w:rsidRPr="003C5C1B" w:rsidRDefault="00A15021" w:rsidP="00A15021">
            <w:pPr>
              <w:pStyle w:val="Paragraphedeliste"/>
              <w:numPr>
                <w:ilvl w:val="0"/>
                <w:numId w:val="348"/>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lastRenderedPageBreak/>
              <w:t>Is applicable or applied (not only in the project phase but beyond</w:t>
            </w:r>
            <w:proofErr w:type="gramStart"/>
            <w:r w:rsidRPr="003C5C1B">
              <w:rPr>
                <w:rFonts w:asciiTheme="minorHAnsi" w:eastAsiaTheme="minorEastAsia" w:hAnsiTheme="minorHAnsi" w:cstheme="minorHAnsi"/>
                <w:sz w:val="16"/>
                <w:szCs w:val="16"/>
                <w:lang w:val="en-US"/>
              </w:rPr>
              <w:t>);</w:t>
            </w:r>
            <w:proofErr w:type="gramEnd"/>
            <w:r w:rsidRPr="003C5C1B">
              <w:rPr>
                <w:rFonts w:asciiTheme="minorHAnsi" w:eastAsiaTheme="minorEastAsia" w:hAnsiTheme="minorHAnsi" w:cstheme="minorHAnsi"/>
                <w:sz w:val="16"/>
                <w:szCs w:val="16"/>
                <w:lang w:val="en-US"/>
              </w:rPr>
              <w:t xml:space="preserve">  </w:t>
            </w:r>
          </w:p>
          <w:p w14:paraId="7FC938B4" w14:textId="77777777" w:rsidR="00A15021" w:rsidRPr="003C5C1B" w:rsidRDefault="00A15021" w:rsidP="00A15021">
            <w:pPr>
              <w:pStyle w:val="Paragraphedeliste"/>
              <w:numPr>
                <w:ilvl w:val="0"/>
                <w:numId w:val="347"/>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Directly or primarily targets the low-carbon transport </w:t>
            </w:r>
            <w:proofErr w:type="gramStart"/>
            <w:r w:rsidRPr="003C5C1B">
              <w:rPr>
                <w:rFonts w:asciiTheme="minorHAnsi" w:eastAsiaTheme="minorEastAsia" w:hAnsiTheme="minorHAnsi" w:cstheme="minorHAnsi"/>
                <w:sz w:val="16"/>
                <w:szCs w:val="16"/>
                <w:lang w:val="en-US"/>
              </w:rPr>
              <w:t>sector;</w:t>
            </w:r>
            <w:proofErr w:type="gramEnd"/>
            <w:r w:rsidRPr="003C5C1B">
              <w:rPr>
                <w:rFonts w:asciiTheme="minorHAnsi" w:eastAsiaTheme="minorEastAsia" w:hAnsiTheme="minorHAnsi" w:cstheme="minorHAnsi"/>
                <w:sz w:val="16"/>
                <w:szCs w:val="16"/>
                <w:lang w:val="en-US"/>
              </w:rPr>
              <w:t xml:space="preserve">  </w:t>
            </w:r>
          </w:p>
          <w:p w14:paraId="6591477A" w14:textId="77777777" w:rsidR="00A15021" w:rsidRPr="003C5C1B" w:rsidRDefault="00A15021" w:rsidP="00A15021">
            <w:pPr>
              <w:pStyle w:val="Paragraphedeliste"/>
              <w:numPr>
                <w:ilvl w:val="0"/>
                <w:numId w:val="346"/>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Encourages investment, scale-up or innovation in this area.  </w:t>
            </w:r>
          </w:p>
          <w:p w14:paraId="116FF75A"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2062" w:type="dxa"/>
          </w:tcPr>
          <w:p w14:paraId="0F70FDF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lastRenderedPageBreak/>
              <w:t>Assumptions:</w:t>
            </w:r>
            <w:r w:rsidRPr="003C5C1B">
              <w:rPr>
                <w:rFonts w:asciiTheme="minorHAnsi" w:eastAsiaTheme="minorEastAsia" w:hAnsiTheme="minorHAnsi" w:cstheme="minorHAnsi"/>
                <w:sz w:val="16"/>
                <w:szCs w:val="16"/>
                <w:lang w:val="en-US"/>
              </w:rPr>
              <w:t xml:space="preserve"> </w:t>
            </w:r>
          </w:p>
          <w:p w14:paraId="7CCC4831"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The authorities have a clear commitment to the transition to sustainable mobility  </w:t>
            </w:r>
          </w:p>
          <w:p w14:paraId="43FA80FA"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The regulatory environment is evolving to respond to climate issues  </w:t>
            </w:r>
          </w:p>
          <w:p w14:paraId="7C32D65A"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lastRenderedPageBreak/>
              <w:t xml:space="preserve">Technical and financial resources are available to support the implementation of this component  </w:t>
            </w:r>
          </w:p>
          <w:p w14:paraId="45562B3D"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The private sector and transport operators are receptive to incentives  </w:t>
            </w:r>
          </w:p>
          <w:p w14:paraId="15C59669"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Risks</w:t>
            </w:r>
            <w:r w:rsidRPr="003C5C1B">
              <w:rPr>
                <w:rFonts w:asciiTheme="minorHAnsi" w:eastAsiaTheme="minorEastAsia" w:hAnsiTheme="minorHAnsi" w:cstheme="minorHAnsi"/>
                <w:sz w:val="16"/>
                <w:szCs w:val="16"/>
                <w:lang w:val="en-US"/>
              </w:rPr>
              <w:t xml:space="preserve">:   </w:t>
            </w:r>
          </w:p>
          <w:p w14:paraId="5827E60D"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Adoption of texts without concrete enforcement mechanisms   </w:t>
            </w:r>
          </w:p>
          <w:p w14:paraId="0DB16B8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Weak coordination between the national and territorial levels in the transport sector  </w:t>
            </w:r>
          </w:p>
          <w:p w14:paraId="6A75BAC1"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Reluctance of operators to commit in the absence of a credible incentive framework  </w:t>
            </w:r>
          </w:p>
          <w:p w14:paraId="418A733A"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Insufficient funding to support regulatory obligations  </w:t>
            </w:r>
          </w:p>
          <w:p w14:paraId="77734E3C"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Lack of consultation with informal or community mobility stakeholders  </w:t>
            </w:r>
          </w:p>
          <w:p w14:paraId="1D8D4FA8"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Inequalities in access to benefits for certain populations or territories  </w:t>
            </w:r>
          </w:p>
        </w:tc>
        <w:tc>
          <w:tcPr>
            <w:tcW w:w="1803" w:type="dxa"/>
          </w:tcPr>
          <w:p w14:paraId="51359D3F"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lastRenderedPageBreak/>
              <w:t>Indicator 8</w:t>
            </w:r>
          </w:p>
          <w:p w14:paraId="10DE6317"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USD leveraged through</w:t>
            </w:r>
          </w:p>
          <w:p w14:paraId="3E8C1DB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highlight w:val="yellow"/>
                <w:lang w:val="en-US"/>
              </w:rPr>
              <w:t>the financial mechanisms and business models for scaling-up sustainable urban solutions</w:t>
            </w:r>
          </w:p>
        </w:tc>
      </w:tr>
      <w:tr w:rsidR="00A15021" w:rsidRPr="00045243" w14:paraId="16E2A087" w14:textId="77777777" w:rsidTr="2DC80E69">
        <w:trPr>
          <w:trHeight w:val="300"/>
          <w:jc w:val="center"/>
        </w:trPr>
        <w:tc>
          <w:tcPr>
            <w:tcW w:w="747" w:type="dxa"/>
            <w:vMerge/>
            <w:vAlign w:val="center"/>
          </w:tcPr>
          <w:p w14:paraId="3A5867CD" w14:textId="77777777" w:rsidR="00A15021" w:rsidRPr="003C5C1B" w:rsidRDefault="00A15021">
            <w:pPr>
              <w:rPr>
                <w:rFonts w:asciiTheme="minorHAnsi" w:hAnsiTheme="minorHAnsi" w:cstheme="minorHAnsi"/>
                <w:sz w:val="16"/>
                <w:szCs w:val="16"/>
                <w:lang w:val="en-US"/>
              </w:rPr>
            </w:pPr>
          </w:p>
        </w:tc>
        <w:tc>
          <w:tcPr>
            <w:tcW w:w="1185" w:type="dxa"/>
          </w:tcPr>
          <w:p w14:paraId="6C92F631"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u w:val="single"/>
                <w:lang w:val="en-US"/>
              </w:rPr>
              <w:t>Indicator 12</w:t>
            </w:r>
            <w:r w:rsidRPr="003C5C1B">
              <w:rPr>
                <w:rFonts w:asciiTheme="minorHAnsi" w:eastAsiaTheme="minorEastAsia" w:hAnsiTheme="minorHAnsi" w:cstheme="minorHAnsi"/>
                <w:i/>
                <w:iCs/>
                <w:sz w:val="16"/>
                <w:szCs w:val="16"/>
                <w:lang w:val="en-US"/>
              </w:rPr>
              <w:t xml:space="preserve">: # of investments including public-private partnerships </w:t>
            </w:r>
            <w:r w:rsidRPr="003C5C1B">
              <w:rPr>
                <w:rFonts w:asciiTheme="minorHAnsi" w:eastAsiaTheme="minorEastAsia" w:hAnsiTheme="minorHAnsi" w:cstheme="minorHAnsi"/>
                <w:i/>
                <w:iCs/>
                <w:sz w:val="16"/>
                <w:szCs w:val="16"/>
                <w:lang w:val="en-US"/>
              </w:rPr>
              <w:lastRenderedPageBreak/>
              <w:t>(PPPs) in Bamako signed for sustainable transport projects</w:t>
            </w:r>
            <w:r w:rsidRPr="003C5C1B">
              <w:rPr>
                <w:rFonts w:asciiTheme="minorHAnsi" w:eastAsiaTheme="minorEastAsia" w:hAnsiTheme="minorHAnsi" w:cstheme="minorHAnsi"/>
                <w:sz w:val="16"/>
                <w:szCs w:val="16"/>
                <w:lang w:val="en-US"/>
              </w:rPr>
              <w:t xml:space="preserve">  </w:t>
            </w:r>
          </w:p>
        </w:tc>
        <w:tc>
          <w:tcPr>
            <w:tcW w:w="2027" w:type="dxa"/>
            <w:gridSpan w:val="2"/>
          </w:tcPr>
          <w:p w14:paraId="5CFBA405"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lastRenderedPageBreak/>
              <w:t xml:space="preserve">Database and activity reports of the Ministry of Transport and the City Council's legal services  </w:t>
            </w:r>
          </w:p>
          <w:p w14:paraId="3CD03526"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lastRenderedPageBreak/>
              <w:t xml:space="preserve">  </w:t>
            </w:r>
          </w:p>
          <w:p w14:paraId="1A93CAC6"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Follow-up of official documents (partnership contracts, memorandum of </w:t>
            </w:r>
            <w:proofErr w:type="gramStart"/>
            <w:r w:rsidRPr="003C5C1B">
              <w:rPr>
                <w:rFonts w:asciiTheme="minorHAnsi" w:eastAsiaTheme="minorEastAsia" w:hAnsiTheme="minorHAnsi" w:cstheme="minorHAnsi"/>
                <w:sz w:val="16"/>
                <w:szCs w:val="16"/>
                <w:lang w:val="en-US"/>
              </w:rPr>
              <w:t xml:space="preserve">understanding)   </w:t>
            </w:r>
            <w:proofErr w:type="gramEnd"/>
          </w:p>
        </w:tc>
        <w:tc>
          <w:tcPr>
            <w:tcW w:w="1670" w:type="dxa"/>
            <w:gridSpan w:val="2"/>
          </w:tcPr>
          <w:p w14:paraId="32D6CAD9"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i/>
                <w:iCs/>
                <w:sz w:val="16"/>
                <w:szCs w:val="16"/>
              </w:rPr>
              <w:lastRenderedPageBreak/>
              <w:t>0     </w:t>
            </w:r>
            <w:r w:rsidRPr="00045243">
              <w:rPr>
                <w:rFonts w:asciiTheme="minorHAnsi" w:eastAsiaTheme="minorEastAsia" w:hAnsiTheme="minorHAnsi" w:cstheme="minorHAnsi"/>
                <w:sz w:val="16"/>
                <w:szCs w:val="16"/>
              </w:rPr>
              <w:t xml:space="preserve">  </w:t>
            </w:r>
          </w:p>
        </w:tc>
        <w:tc>
          <w:tcPr>
            <w:tcW w:w="1220" w:type="dxa"/>
            <w:gridSpan w:val="2"/>
          </w:tcPr>
          <w:p w14:paraId="7530B428"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i/>
                <w:iCs/>
                <w:sz w:val="16"/>
                <w:szCs w:val="16"/>
              </w:rPr>
              <w:t>2</w:t>
            </w:r>
            <w:r w:rsidRPr="00045243">
              <w:rPr>
                <w:rFonts w:asciiTheme="minorHAnsi" w:eastAsiaTheme="minorEastAsia" w:hAnsiTheme="minorHAnsi" w:cstheme="minorHAnsi"/>
                <w:sz w:val="16"/>
                <w:szCs w:val="16"/>
              </w:rPr>
              <w:t xml:space="preserve">  </w:t>
            </w:r>
          </w:p>
        </w:tc>
        <w:tc>
          <w:tcPr>
            <w:tcW w:w="1463" w:type="dxa"/>
          </w:tcPr>
          <w:p w14:paraId="687C4DC0"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i/>
                <w:iCs/>
                <w:sz w:val="16"/>
                <w:szCs w:val="16"/>
              </w:rPr>
              <w:t>5</w:t>
            </w:r>
            <w:r w:rsidRPr="00045243">
              <w:rPr>
                <w:rFonts w:asciiTheme="minorHAnsi" w:eastAsiaTheme="minorEastAsia" w:hAnsiTheme="minorHAnsi" w:cstheme="minorHAnsi"/>
                <w:sz w:val="16"/>
                <w:szCs w:val="16"/>
              </w:rPr>
              <w:t xml:space="preserve">  </w:t>
            </w:r>
          </w:p>
        </w:tc>
        <w:tc>
          <w:tcPr>
            <w:tcW w:w="2195" w:type="dxa"/>
          </w:tcPr>
          <w:p w14:paraId="03BFBC42"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A PPP is counted if it:  </w:t>
            </w:r>
          </w:p>
          <w:p w14:paraId="6DA5ECF7" w14:textId="77777777" w:rsidR="00A15021" w:rsidRPr="003C5C1B" w:rsidRDefault="00A15021" w:rsidP="00A15021">
            <w:pPr>
              <w:pStyle w:val="Paragraphedeliste"/>
              <w:numPr>
                <w:ilvl w:val="0"/>
                <w:numId w:val="345"/>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Is formally signed (agreement, contract, </w:t>
            </w:r>
            <w:r w:rsidRPr="003C5C1B">
              <w:rPr>
                <w:rFonts w:asciiTheme="minorHAnsi" w:eastAsiaTheme="minorEastAsia" w:hAnsiTheme="minorHAnsi" w:cstheme="minorHAnsi"/>
                <w:sz w:val="16"/>
                <w:szCs w:val="16"/>
                <w:lang w:val="en-US"/>
              </w:rPr>
              <w:lastRenderedPageBreak/>
              <w:t>memorandum of understanding</w:t>
            </w:r>
            <w:proofErr w:type="gramStart"/>
            <w:r w:rsidRPr="003C5C1B">
              <w:rPr>
                <w:rFonts w:asciiTheme="minorHAnsi" w:eastAsiaTheme="minorEastAsia" w:hAnsiTheme="minorHAnsi" w:cstheme="minorHAnsi"/>
                <w:sz w:val="16"/>
                <w:szCs w:val="16"/>
                <w:lang w:val="en-US"/>
              </w:rPr>
              <w:t>);</w:t>
            </w:r>
            <w:proofErr w:type="gramEnd"/>
            <w:r w:rsidRPr="003C5C1B">
              <w:rPr>
                <w:rFonts w:asciiTheme="minorHAnsi" w:eastAsiaTheme="minorEastAsia" w:hAnsiTheme="minorHAnsi" w:cstheme="minorHAnsi"/>
                <w:sz w:val="16"/>
                <w:szCs w:val="16"/>
                <w:lang w:val="en-US"/>
              </w:rPr>
              <w:t xml:space="preserve">  </w:t>
            </w:r>
          </w:p>
          <w:p w14:paraId="1180BA64" w14:textId="77777777" w:rsidR="00A15021" w:rsidRPr="003C5C1B" w:rsidRDefault="00A15021" w:rsidP="00A15021">
            <w:pPr>
              <w:pStyle w:val="Paragraphedeliste"/>
              <w:numPr>
                <w:ilvl w:val="0"/>
                <w:numId w:val="344"/>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Targets a low-GHG emission mobility </w:t>
            </w:r>
            <w:proofErr w:type="gramStart"/>
            <w:r w:rsidRPr="003C5C1B">
              <w:rPr>
                <w:rFonts w:asciiTheme="minorHAnsi" w:eastAsiaTheme="minorEastAsia" w:hAnsiTheme="minorHAnsi" w:cstheme="minorHAnsi"/>
                <w:sz w:val="16"/>
                <w:szCs w:val="16"/>
                <w:lang w:val="en-US"/>
              </w:rPr>
              <w:t>solution;</w:t>
            </w:r>
            <w:proofErr w:type="gramEnd"/>
            <w:r w:rsidRPr="003C5C1B">
              <w:rPr>
                <w:rFonts w:asciiTheme="minorHAnsi" w:eastAsiaTheme="minorEastAsia" w:hAnsiTheme="minorHAnsi" w:cstheme="minorHAnsi"/>
                <w:sz w:val="16"/>
                <w:szCs w:val="16"/>
                <w:lang w:val="en-US"/>
              </w:rPr>
              <w:t xml:space="preserve">  </w:t>
            </w:r>
          </w:p>
          <w:p w14:paraId="127B4F25" w14:textId="77777777" w:rsidR="00A15021" w:rsidRPr="003C5C1B" w:rsidRDefault="00A15021" w:rsidP="00A15021">
            <w:pPr>
              <w:pStyle w:val="Paragraphedeliste"/>
              <w:numPr>
                <w:ilvl w:val="0"/>
                <w:numId w:val="343"/>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Involves a financial, technical or operational contribution from the private </w:t>
            </w:r>
            <w:proofErr w:type="gramStart"/>
            <w:r w:rsidRPr="003C5C1B">
              <w:rPr>
                <w:rFonts w:asciiTheme="minorHAnsi" w:eastAsiaTheme="minorEastAsia" w:hAnsiTheme="minorHAnsi" w:cstheme="minorHAnsi"/>
                <w:sz w:val="16"/>
                <w:szCs w:val="16"/>
                <w:lang w:val="en-US"/>
              </w:rPr>
              <w:t>sector;</w:t>
            </w:r>
            <w:proofErr w:type="gramEnd"/>
            <w:r w:rsidRPr="003C5C1B">
              <w:rPr>
                <w:rFonts w:asciiTheme="minorHAnsi" w:eastAsiaTheme="minorEastAsia" w:hAnsiTheme="minorHAnsi" w:cstheme="minorHAnsi"/>
                <w:sz w:val="16"/>
                <w:szCs w:val="16"/>
                <w:lang w:val="en-US"/>
              </w:rPr>
              <w:t xml:space="preserve">  </w:t>
            </w:r>
          </w:p>
          <w:p w14:paraId="1F97F67D" w14:textId="77777777" w:rsidR="00A15021" w:rsidRPr="003C5C1B" w:rsidRDefault="00A15021" w:rsidP="00A15021">
            <w:pPr>
              <w:pStyle w:val="Paragraphedeliste"/>
              <w:numPr>
                <w:ilvl w:val="0"/>
                <w:numId w:val="342"/>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Is part of a logic of concrete implementation of the project or its operation.  </w:t>
            </w:r>
          </w:p>
          <w:p w14:paraId="23D7EE28"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p w14:paraId="2DD838B8"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2062" w:type="dxa"/>
          </w:tcPr>
          <w:p w14:paraId="5B04A98F"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lastRenderedPageBreak/>
              <w:t>Assumptions:</w:t>
            </w:r>
            <w:r w:rsidRPr="003C5C1B">
              <w:rPr>
                <w:rFonts w:asciiTheme="minorHAnsi" w:eastAsiaTheme="minorEastAsia" w:hAnsiTheme="minorHAnsi" w:cstheme="minorHAnsi"/>
                <w:sz w:val="16"/>
                <w:szCs w:val="16"/>
                <w:lang w:val="en-US"/>
              </w:rPr>
              <w:t xml:space="preserve"> </w:t>
            </w:r>
          </w:p>
          <w:p w14:paraId="5CE9AE1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Local authorities and the State actively promote </w:t>
            </w:r>
            <w:r w:rsidRPr="003C5C1B">
              <w:rPr>
                <w:rFonts w:asciiTheme="minorHAnsi" w:eastAsiaTheme="minorEastAsia" w:hAnsiTheme="minorHAnsi" w:cstheme="minorHAnsi"/>
                <w:sz w:val="16"/>
                <w:szCs w:val="16"/>
                <w:lang w:val="en-US"/>
              </w:rPr>
              <w:lastRenderedPageBreak/>
              <w:t xml:space="preserve">PPPs in sustainable mobility  </w:t>
            </w:r>
          </w:p>
          <w:p w14:paraId="0BC770DC"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Investment opportunities in low-carbon transport are considered attractive by the private sector  </w:t>
            </w:r>
          </w:p>
          <w:p w14:paraId="7D41619D"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A regulatory or contractual framework facilitates the signing and implementation of these PPPs  </w:t>
            </w:r>
          </w:p>
          <w:p w14:paraId="504ABEFE"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Projects are structured enough to attract formal engagement  </w:t>
            </w:r>
          </w:p>
          <w:p w14:paraId="5E8DF2F5"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Risks: </w:t>
            </w:r>
            <w:r w:rsidRPr="003C5C1B">
              <w:rPr>
                <w:rFonts w:asciiTheme="minorHAnsi" w:eastAsiaTheme="minorEastAsia" w:hAnsiTheme="minorHAnsi" w:cstheme="minorHAnsi"/>
                <w:sz w:val="16"/>
                <w:szCs w:val="16"/>
                <w:lang w:val="en-US"/>
              </w:rPr>
              <w:t xml:space="preserve">  </w:t>
            </w:r>
          </w:p>
          <w:p w14:paraId="06AE954C"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Administrative or legal blockages delaying the signing of agreements  </w:t>
            </w:r>
          </w:p>
          <w:p w14:paraId="72A2347C"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Low interest or reluctance of the private sector to perceived risks or lack of profitability  </w:t>
            </w:r>
          </w:p>
          <w:p w14:paraId="53C47BDF"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Complexity of PPP procedures and lack of negotiation capacity on the public side  </w:t>
            </w:r>
          </w:p>
          <w:p w14:paraId="33D0F98C"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Lack of a long-term strategic vision on low-carbon mobility priorities  </w:t>
            </w:r>
          </w:p>
          <w:p w14:paraId="73023A09"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PPPs signed but not implemented or with limited environmental impacts  </w:t>
            </w:r>
          </w:p>
          <w:p w14:paraId="377964B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1803" w:type="dxa"/>
          </w:tcPr>
          <w:p w14:paraId="471A1E58" w14:textId="77777777" w:rsidR="00A15021" w:rsidRPr="003C5C1B" w:rsidRDefault="00A15021">
            <w:pPr>
              <w:rPr>
                <w:rFonts w:asciiTheme="minorHAnsi" w:eastAsiaTheme="minorEastAsia" w:hAnsiTheme="minorHAnsi" w:cstheme="minorHAnsi"/>
                <w:color w:val="000000" w:themeColor="text1"/>
                <w:sz w:val="16"/>
                <w:szCs w:val="16"/>
                <w:highlight w:val="yellow"/>
                <w:lang w:val="en-US"/>
              </w:rPr>
            </w:pPr>
            <w:r w:rsidRPr="003C5C1B">
              <w:rPr>
                <w:rFonts w:asciiTheme="minorHAnsi" w:eastAsiaTheme="minorEastAsia" w:hAnsiTheme="minorHAnsi" w:cstheme="minorHAnsi"/>
                <w:sz w:val="16"/>
                <w:szCs w:val="16"/>
                <w:highlight w:val="yellow"/>
                <w:lang w:val="en-US"/>
              </w:rPr>
              <w:lastRenderedPageBreak/>
              <w:t xml:space="preserve">Indicator </w:t>
            </w:r>
            <w:proofErr w:type="gramStart"/>
            <w:r w:rsidRPr="003C5C1B">
              <w:rPr>
                <w:rFonts w:asciiTheme="minorHAnsi" w:eastAsiaTheme="minorEastAsia" w:hAnsiTheme="minorHAnsi" w:cstheme="minorHAnsi"/>
                <w:sz w:val="16"/>
                <w:szCs w:val="16"/>
                <w:highlight w:val="yellow"/>
                <w:lang w:val="en-US"/>
              </w:rPr>
              <w:t>5 :</w:t>
            </w:r>
            <w:proofErr w:type="gramEnd"/>
            <w:r w:rsidRPr="003C5C1B">
              <w:rPr>
                <w:rFonts w:asciiTheme="minorHAnsi" w:eastAsiaTheme="minorEastAsia" w:hAnsiTheme="minorHAnsi" w:cstheme="minorHAnsi"/>
                <w:sz w:val="16"/>
                <w:szCs w:val="16"/>
                <w:highlight w:val="yellow"/>
                <w:lang w:val="en-US"/>
              </w:rPr>
              <w:t xml:space="preserve"> USD of nature positive, low carbon, land restoration</w:t>
            </w:r>
          </w:p>
          <w:p w14:paraId="500AE997" w14:textId="77777777" w:rsidR="00A15021" w:rsidRPr="003C5C1B" w:rsidRDefault="00A15021">
            <w:pPr>
              <w:rPr>
                <w:rFonts w:asciiTheme="minorHAnsi" w:eastAsiaTheme="minorEastAsia" w:hAnsiTheme="minorHAnsi" w:cstheme="minorHAnsi"/>
                <w:color w:val="000000" w:themeColor="text1"/>
                <w:sz w:val="16"/>
                <w:szCs w:val="16"/>
                <w:highlight w:val="yellow"/>
                <w:lang w:val="en-US"/>
              </w:rPr>
            </w:pPr>
            <w:r w:rsidRPr="003C5C1B">
              <w:rPr>
                <w:rFonts w:asciiTheme="minorHAnsi" w:eastAsiaTheme="minorEastAsia" w:hAnsiTheme="minorHAnsi" w:cstheme="minorHAnsi"/>
                <w:sz w:val="16"/>
                <w:szCs w:val="16"/>
                <w:highlight w:val="yellow"/>
                <w:lang w:val="en-US"/>
              </w:rPr>
              <w:lastRenderedPageBreak/>
              <w:t>demonstrations and/or</w:t>
            </w:r>
          </w:p>
          <w:p w14:paraId="4DB0149B" w14:textId="77777777" w:rsidR="00A15021" w:rsidRPr="003C5C1B" w:rsidRDefault="00A15021">
            <w:pPr>
              <w:rPr>
                <w:rFonts w:asciiTheme="minorHAnsi" w:eastAsiaTheme="minorEastAsia" w:hAnsiTheme="minorHAnsi" w:cstheme="minorHAnsi"/>
                <w:color w:val="000000" w:themeColor="text1"/>
                <w:sz w:val="16"/>
                <w:szCs w:val="16"/>
                <w:highlight w:val="yellow"/>
                <w:lang w:val="en-US"/>
              </w:rPr>
            </w:pPr>
            <w:r w:rsidRPr="003C5C1B">
              <w:rPr>
                <w:rFonts w:asciiTheme="minorHAnsi" w:eastAsiaTheme="minorEastAsia" w:hAnsiTheme="minorHAnsi" w:cstheme="minorHAnsi"/>
                <w:sz w:val="16"/>
                <w:szCs w:val="16"/>
                <w:highlight w:val="yellow"/>
                <w:lang w:val="en-US"/>
              </w:rPr>
              <w:t>investments (including leveraged)</w:t>
            </w:r>
          </w:p>
          <w:p w14:paraId="77135479" w14:textId="77777777" w:rsidR="00A15021" w:rsidRPr="003C5C1B" w:rsidRDefault="00A15021">
            <w:pPr>
              <w:rPr>
                <w:rFonts w:asciiTheme="minorHAnsi" w:eastAsiaTheme="minorEastAsia" w:hAnsiTheme="minorHAnsi" w:cstheme="minorHAnsi"/>
                <w:sz w:val="16"/>
                <w:szCs w:val="16"/>
                <w:highlight w:val="yellow"/>
                <w:lang w:val="en-US"/>
              </w:rPr>
            </w:pPr>
          </w:p>
          <w:p w14:paraId="3B9CA1D0" w14:textId="77777777" w:rsidR="00A15021" w:rsidRPr="003C5C1B" w:rsidRDefault="00A15021">
            <w:pPr>
              <w:rPr>
                <w:rFonts w:asciiTheme="minorHAnsi" w:eastAsiaTheme="minorEastAsia" w:hAnsiTheme="minorHAnsi" w:cstheme="minorHAnsi"/>
                <w:sz w:val="16"/>
                <w:szCs w:val="16"/>
                <w:highlight w:val="yellow"/>
                <w:lang w:val="en-US"/>
              </w:rPr>
            </w:pPr>
          </w:p>
          <w:p w14:paraId="02F88C25" w14:textId="77777777" w:rsidR="00A15021" w:rsidRPr="003C5C1B" w:rsidRDefault="00A15021">
            <w:pPr>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 xml:space="preserve">Indictor </w:t>
            </w:r>
            <w:proofErr w:type="gramStart"/>
            <w:r w:rsidRPr="003C5C1B">
              <w:rPr>
                <w:rFonts w:asciiTheme="minorHAnsi" w:eastAsiaTheme="minorEastAsia" w:hAnsiTheme="minorHAnsi" w:cstheme="minorHAnsi"/>
                <w:sz w:val="16"/>
                <w:szCs w:val="16"/>
                <w:highlight w:val="yellow"/>
                <w:lang w:val="en-US"/>
              </w:rPr>
              <w:t>7 :</w:t>
            </w:r>
            <w:proofErr w:type="gramEnd"/>
            <w:r w:rsidRPr="003C5C1B">
              <w:rPr>
                <w:rFonts w:asciiTheme="minorHAnsi" w:eastAsiaTheme="minorEastAsia" w:hAnsiTheme="minorHAnsi" w:cstheme="minorHAnsi"/>
                <w:sz w:val="16"/>
                <w:szCs w:val="16"/>
                <w:highlight w:val="yellow"/>
                <w:lang w:val="en-US"/>
              </w:rPr>
              <w:t xml:space="preserve"> of cities and countries that have initiated innovative financial mechanisms and/or business models for scaling-up sustainable urban solutions</w:t>
            </w:r>
          </w:p>
          <w:p w14:paraId="14252A48" w14:textId="77777777" w:rsidR="00A15021" w:rsidRPr="003C5C1B" w:rsidRDefault="00A15021">
            <w:pPr>
              <w:rPr>
                <w:rFonts w:asciiTheme="minorHAnsi" w:eastAsiaTheme="minorEastAsia" w:hAnsiTheme="minorHAnsi" w:cstheme="minorHAnsi"/>
                <w:sz w:val="16"/>
                <w:szCs w:val="16"/>
                <w:highlight w:val="yellow"/>
                <w:lang w:val="en-US"/>
              </w:rPr>
            </w:pPr>
          </w:p>
          <w:p w14:paraId="70D3C088" w14:textId="77777777" w:rsidR="00A15021" w:rsidRPr="003C5C1B" w:rsidRDefault="00A15021">
            <w:pPr>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indicator 10</w:t>
            </w:r>
          </w:p>
          <w:p w14:paraId="068E10FA" w14:textId="77777777" w:rsidR="00A15021" w:rsidRPr="003C5C1B" w:rsidRDefault="00A15021">
            <w:pPr>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 of cities that have projects (or # of projects) identified that can be a pipeline for GEF-9</w:t>
            </w:r>
          </w:p>
          <w:p w14:paraId="132E0C22" w14:textId="77777777" w:rsidR="00A15021" w:rsidRPr="00045243" w:rsidRDefault="00A15021">
            <w:pPr>
              <w:rPr>
                <w:rFonts w:asciiTheme="minorHAnsi" w:eastAsiaTheme="minorEastAsia" w:hAnsiTheme="minorHAnsi" w:cstheme="minorHAnsi"/>
                <w:sz w:val="16"/>
                <w:szCs w:val="16"/>
              </w:rPr>
            </w:pPr>
            <w:proofErr w:type="gramStart"/>
            <w:r w:rsidRPr="00045243">
              <w:rPr>
                <w:rFonts w:asciiTheme="minorHAnsi" w:eastAsiaTheme="minorEastAsia" w:hAnsiTheme="minorHAnsi" w:cstheme="minorHAnsi"/>
                <w:sz w:val="16"/>
                <w:szCs w:val="16"/>
                <w:highlight w:val="yellow"/>
              </w:rPr>
              <w:t>and</w:t>
            </w:r>
            <w:proofErr w:type="gramEnd"/>
            <w:r w:rsidRPr="00045243">
              <w:rPr>
                <w:rFonts w:asciiTheme="minorHAnsi" w:eastAsiaTheme="minorEastAsia" w:hAnsiTheme="minorHAnsi" w:cstheme="minorHAnsi"/>
                <w:sz w:val="16"/>
                <w:szCs w:val="16"/>
                <w:highlight w:val="yellow"/>
              </w:rPr>
              <w:t xml:space="preserve"> </w:t>
            </w:r>
            <w:proofErr w:type="spellStart"/>
            <w:r w:rsidRPr="00045243">
              <w:rPr>
                <w:rFonts w:asciiTheme="minorHAnsi" w:eastAsiaTheme="minorEastAsia" w:hAnsiTheme="minorHAnsi" w:cstheme="minorHAnsi"/>
                <w:sz w:val="16"/>
                <w:szCs w:val="16"/>
                <w:highlight w:val="yellow"/>
              </w:rPr>
              <w:t>other</w:t>
            </w:r>
            <w:proofErr w:type="spellEnd"/>
            <w:r w:rsidRPr="00045243">
              <w:rPr>
                <w:rFonts w:asciiTheme="minorHAnsi" w:eastAsiaTheme="minorEastAsia" w:hAnsiTheme="minorHAnsi" w:cstheme="minorHAnsi"/>
                <w:sz w:val="16"/>
                <w:szCs w:val="16"/>
                <w:highlight w:val="yellow"/>
              </w:rPr>
              <w:t xml:space="preserve"> initiatives</w:t>
            </w:r>
          </w:p>
          <w:p w14:paraId="68942880" w14:textId="77777777" w:rsidR="00A15021" w:rsidRPr="00045243" w:rsidRDefault="00A15021">
            <w:pPr>
              <w:rPr>
                <w:rFonts w:asciiTheme="minorHAnsi" w:eastAsiaTheme="minorEastAsia" w:hAnsiTheme="minorHAnsi" w:cstheme="minorHAnsi"/>
                <w:sz w:val="16"/>
                <w:szCs w:val="16"/>
              </w:rPr>
            </w:pPr>
          </w:p>
        </w:tc>
      </w:tr>
      <w:tr w:rsidR="00A15021" w:rsidRPr="00F50786" w14:paraId="29A82E4B" w14:textId="77777777" w:rsidTr="2DC80E69">
        <w:trPr>
          <w:trHeight w:val="300"/>
          <w:jc w:val="center"/>
        </w:trPr>
        <w:tc>
          <w:tcPr>
            <w:tcW w:w="747" w:type="dxa"/>
            <w:shd w:val="clear" w:color="auto" w:fill="D9D9D9" w:themeFill="background1" w:themeFillShade="D9"/>
          </w:tcPr>
          <w:p w14:paraId="0F350F59"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b/>
                <w:bCs/>
                <w:color w:val="000000" w:themeColor="text1"/>
                <w:sz w:val="16"/>
                <w:szCs w:val="16"/>
              </w:rPr>
              <w:lastRenderedPageBreak/>
              <w:t xml:space="preserve">Outputs to </w:t>
            </w:r>
            <w:proofErr w:type="spellStart"/>
            <w:r w:rsidRPr="00045243">
              <w:rPr>
                <w:rFonts w:asciiTheme="minorHAnsi" w:eastAsiaTheme="minorEastAsia" w:hAnsiTheme="minorHAnsi" w:cstheme="minorHAnsi"/>
                <w:b/>
                <w:bCs/>
                <w:color w:val="000000" w:themeColor="text1"/>
                <w:sz w:val="16"/>
                <w:szCs w:val="16"/>
              </w:rPr>
              <w:t>achieve</w:t>
            </w:r>
            <w:proofErr w:type="spellEnd"/>
            <w:r w:rsidRPr="00045243">
              <w:rPr>
                <w:rFonts w:asciiTheme="minorHAnsi" w:eastAsiaTheme="minorEastAsia" w:hAnsiTheme="minorHAnsi" w:cstheme="minorHAnsi"/>
                <w:b/>
                <w:bCs/>
                <w:color w:val="000000" w:themeColor="text1"/>
                <w:sz w:val="16"/>
                <w:szCs w:val="16"/>
              </w:rPr>
              <w:t xml:space="preserve"> </w:t>
            </w:r>
            <w:proofErr w:type="spellStart"/>
            <w:r w:rsidRPr="00045243">
              <w:rPr>
                <w:rFonts w:asciiTheme="minorHAnsi" w:eastAsiaTheme="minorEastAsia" w:hAnsiTheme="minorHAnsi" w:cstheme="minorHAnsi"/>
                <w:b/>
                <w:bCs/>
                <w:color w:val="000000" w:themeColor="text1"/>
                <w:sz w:val="16"/>
                <w:szCs w:val="16"/>
              </w:rPr>
              <w:t>Outcome</w:t>
            </w:r>
            <w:proofErr w:type="spellEnd"/>
            <w:r w:rsidRPr="00045243">
              <w:rPr>
                <w:rFonts w:asciiTheme="minorHAnsi" w:eastAsiaTheme="minorEastAsia" w:hAnsiTheme="minorHAnsi" w:cstheme="minorHAnsi"/>
                <w:b/>
                <w:bCs/>
                <w:color w:val="000000" w:themeColor="text1"/>
                <w:sz w:val="16"/>
                <w:szCs w:val="16"/>
              </w:rPr>
              <w:t xml:space="preserve"> 2.1</w:t>
            </w:r>
            <w:r w:rsidRPr="00045243">
              <w:rPr>
                <w:rFonts w:asciiTheme="minorHAnsi" w:eastAsiaTheme="minorEastAsia" w:hAnsiTheme="minorHAnsi" w:cstheme="minorHAnsi"/>
                <w:color w:val="000000" w:themeColor="text1"/>
                <w:sz w:val="16"/>
                <w:szCs w:val="16"/>
              </w:rPr>
              <w:t xml:space="preserve">  </w:t>
            </w:r>
          </w:p>
        </w:tc>
        <w:tc>
          <w:tcPr>
            <w:tcW w:w="13625" w:type="dxa"/>
            <w:gridSpan w:val="11"/>
          </w:tcPr>
          <w:p w14:paraId="019A7492"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i/>
                <w:iCs/>
                <w:sz w:val="16"/>
                <w:szCs w:val="16"/>
                <w:lang w:val="en-US"/>
              </w:rPr>
              <w:t>Output 2.1.1</w:t>
            </w:r>
            <w:r w:rsidRPr="003C5C1B">
              <w:rPr>
                <w:rFonts w:asciiTheme="minorHAnsi" w:eastAsiaTheme="minorEastAsia" w:hAnsiTheme="minorHAnsi" w:cstheme="minorHAnsi"/>
                <w:i/>
                <w:iCs/>
                <w:sz w:val="16"/>
                <w:szCs w:val="16"/>
                <w:lang w:val="en-US"/>
              </w:rPr>
              <w:t xml:space="preserve"> The capacities of actors involved in the transport sector are strengthened for a transition to a more sustainable and inclusive mobility system  </w:t>
            </w:r>
            <w:r w:rsidRPr="003C5C1B">
              <w:rPr>
                <w:rFonts w:asciiTheme="minorHAnsi" w:eastAsiaTheme="minorEastAsia" w:hAnsiTheme="minorHAnsi" w:cstheme="minorHAnsi"/>
                <w:sz w:val="16"/>
                <w:szCs w:val="16"/>
                <w:lang w:val="en-US"/>
              </w:rPr>
              <w:t xml:space="preserve"> </w:t>
            </w:r>
          </w:p>
          <w:p w14:paraId="1D76B119"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i/>
                <w:iCs/>
                <w:sz w:val="16"/>
                <w:szCs w:val="16"/>
                <w:lang w:val="en-US"/>
              </w:rPr>
              <w:t xml:space="preserve">Output 2.1.2 </w:t>
            </w:r>
            <w:r w:rsidRPr="003C5C1B">
              <w:rPr>
                <w:rFonts w:asciiTheme="minorHAnsi" w:eastAsiaTheme="minorEastAsia" w:hAnsiTheme="minorHAnsi" w:cstheme="minorHAnsi"/>
                <w:i/>
                <w:iCs/>
                <w:sz w:val="16"/>
                <w:szCs w:val="16"/>
                <w:lang w:val="en-US"/>
              </w:rPr>
              <w:t xml:space="preserve">The requirements for operationalizing the Bamako Mobility Plan in partnership with the private sector are in place </w:t>
            </w:r>
            <w:r w:rsidRPr="003C5C1B">
              <w:rPr>
                <w:rFonts w:asciiTheme="minorHAnsi" w:eastAsiaTheme="minorEastAsia" w:hAnsiTheme="minorHAnsi" w:cstheme="minorHAnsi"/>
                <w:sz w:val="16"/>
                <w:szCs w:val="16"/>
                <w:lang w:val="en-US"/>
              </w:rPr>
              <w:t xml:space="preserve"> </w:t>
            </w:r>
          </w:p>
          <w:p w14:paraId="6D74DE6D"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i/>
                <w:iCs/>
                <w:sz w:val="16"/>
                <w:szCs w:val="16"/>
                <w:lang w:val="en-US"/>
              </w:rPr>
              <w:t xml:space="preserve">Output 2.1.3 </w:t>
            </w:r>
            <w:r w:rsidRPr="003C5C1B">
              <w:rPr>
                <w:rFonts w:asciiTheme="minorHAnsi" w:eastAsiaTheme="minorEastAsia" w:hAnsiTheme="minorHAnsi" w:cstheme="minorHAnsi"/>
                <w:i/>
                <w:iCs/>
                <w:sz w:val="16"/>
                <w:szCs w:val="16"/>
                <w:lang w:val="en-US"/>
              </w:rPr>
              <w:t xml:space="preserve">Governance of urban transport institutions is strengthened and more inclusive </w:t>
            </w:r>
            <w:r w:rsidRPr="003C5C1B">
              <w:rPr>
                <w:rFonts w:asciiTheme="minorHAnsi" w:eastAsiaTheme="minorEastAsia" w:hAnsiTheme="minorHAnsi" w:cstheme="minorHAnsi"/>
                <w:sz w:val="16"/>
                <w:szCs w:val="16"/>
                <w:lang w:val="en-US"/>
              </w:rPr>
              <w:t xml:space="preserve"> </w:t>
            </w:r>
          </w:p>
          <w:p w14:paraId="3785F8D7"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i/>
                <w:iCs/>
                <w:sz w:val="16"/>
                <w:szCs w:val="16"/>
                <w:lang w:val="en-US"/>
              </w:rPr>
              <w:t>Output 2.1.4</w:t>
            </w:r>
            <w:r w:rsidRPr="003C5C1B">
              <w:rPr>
                <w:rFonts w:asciiTheme="minorHAnsi" w:eastAsiaTheme="minorEastAsia" w:hAnsiTheme="minorHAnsi" w:cstheme="minorHAnsi"/>
                <w:i/>
                <w:iCs/>
                <w:sz w:val="16"/>
                <w:szCs w:val="16"/>
                <w:lang w:val="en-US"/>
              </w:rPr>
              <w:t>: Transport Pollution Control and Monitoring Tools are Strengthened</w:t>
            </w:r>
            <w:r w:rsidRPr="003C5C1B">
              <w:rPr>
                <w:rFonts w:asciiTheme="minorHAnsi" w:eastAsiaTheme="minorEastAsia" w:hAnsiTheme="minorHAnsi" w:cstheme="minorHAnsi"/>
                <w:sz w:val="16"/>
                <w:szCs w:val="16"/>
                <w:lang w:val="en-US"/>
              </w:rPr>
              <w:t xml:space="preserve"> </w:t>
            </w:r>
          </w:p>
        </w:tc>
      </w:tr>
      <w:tr w:rsidR="00A25847" w:rsidRPr="00F50786" w14:paraId="45743071" w14:textId="77777777" w:rsidTr="2DC80E69">
        <w:trPr>
          <w:trHeight w:val="300"/>
          <w:jc w:val="center"/>
        </w:trPr>
        <w:tc>
          <w:tcPr>
            <w:tcW w:w="747" w:type="dxa"/>
            <w:shd w:val="clear" w:color="auto" w:fill="E8E8E8" w:themeFill="background2"/>
          </w:tcPr>
          <w:p w14:paraId="3404B316"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b/>
                <w:bCs/>
                <w:color w:val="000000" w:themeColor="text1"/>
                <w:sz w:val="16"/>
                <w:szCs w:val="16"/>
              </w:rPr>
              <w:t>Component 3</w:t>
            </w:r>
            <w:r w:rsidRPr="00045243">
              <w:rPr>
                <w:rFonts w:asciiTheme="minorHAnsi" w:eastAsiaTheme="minorEastAsia" w:hAnsiTheme="minorHAnsi" w:cstheme="minorHAnsi"/>
                <w:color w:val="000000" w:themeColor="text1"/>
                <w:sz w:val="16"/>
                <w:szCs w:val="16"/>
              </w:rPr>
              <w:t xml:space="preserve">  </w:t>
            </w:r>
          </w:p>
        </w:tc>
        <w:tc>
          <w:tcPr>
            <w:tcW w:w="11822" w:type="dxa"/>
            <w:gridSpan w:val="10"/>
            <w:shd w:val="clear" w:color="auto" w:fill="E8E8E8" w:themeFill="background2"/>
          </w:tcPr>
          <w:p w14:paraId="3357238B"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lang w:val="en-US"/>
              </w:rPr>
              <w:t>The establishment of a green belt to limit urban expansion in Bamako</w:t>
            </w:r>
            <w:r w:rsidRPr="003C5C1B">
              <w:rPr>
                <w:rFonts w:asciiTheme="minorHAnsi" w:eastAsiaTheme="minorEastAsia" w:hAnsiTheme="minorHAnsi" w:cstheme="minorHAnsi"/>
                <w:color w:val="000000" w:themeColor="text1"/>
                <w:sz w:val="16"/>
                <w:szCs w:val="16"/>
                <w:lang w:val="en-US"/>
              </w:rPr>
              <w:t xml:space="preserve"> </w:t>
            </w:r>
          </w:p>
        </w:tc>
        <w:tc>
          <w:tcPr>
            <w:tcW w:w="1803" w:type="dxa"/>
            <w:shd w:val="clear" w:color="auto" w:fill="E8E8E8" w:themeFill="background2"/>
          </w:tcPr>
          <w:p w14:paraId="30FB4917" w14:textId="77777777" w:rsidR="00A15021" w:rsidRPr="003C5C1B" w:rsidRDefault="00A15021">
            <w:pPr>
              <w:spacing w:line="257" w:lineRule="auto"/>
              <w:rPr>
                <w:rFonts w:asciiTheme="minorHAnsi" w:eastAsiaTheme="minorEastAsia" w:hAnsiTheme="minorHAnsi" w:cstheme="minorHAnsi"/>
                <w:b/>
                <w:bCs/>
                <w:color w:val="000000" w:themeColor="text1"/>
                <w:sz w:val="16"/>
                <w:szCs w:val="16"/>
                <w:lang w:val="en-US"/>
              </w:rPr>
            </w:pPr>
          </w:p>
        </w:tc>
      </w:tr>
      <w:tr w:rsidR="00344861" w:rsidRPr="00F50786" w14:paraId="1B927928" w14:textId="77777777" w:rsidTr="2DC80E69">
        <w:trPr>
          <w:trHeight w:val="300"/>
          <w:jc w:val="center"/>
        </w:trPr>
        <w:tc>
          <w:tcPr>
            <w:tcW w:w="747" w:type="dxa"/>
            <w:vMerge w:val="restart"/>
            <w:shd w:val="clear" w:color="auto" w:fill="D9D9D9" w:themeFill="background1" w:themeFillShade="D9"/>
          </w:tcPr>
          <w:p w14:paraId="487FAA9E"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u w:val="single"/>
                <w:lang w:val="en-US"/>
              </w:rPr>
              <w:t>Outcome</w:t>
            </w:r>
            <w:r w:rsidRPr="003C5C1B">
              <w:rPr>
                <w:rFonts w:asciiTheme="minorHAnsi" w:eastAsiaTheme="minorEastAsia" w:hAnsiTheme="minorHAnsi" w:cstheme="minorHAnsi"/>
                <w:b/>
                <w:bCs/>
                <w:color w:val="000000" w:themeColor="text1"/>
                <w:sz w:val="16"/>
                <w:szCs w:val="16"/>
                <w:lang w:val="en-US"/>
              </w:rPr>
              <w:t xml:space="preserve"> </w:t>
            </w:r>
            <w:proofErr w:type="gramStart"/>
            <w:r w:rsidRPr="003C5C1B">
              <w:rPr>
                <w:rFonts w:asciiTheme="minorHAnsi" w:eastAsiaTheme="minorEastAsia" w:hAnsiTheme="minorHAnsi" w:cstheme="minorHAnsi"/>
                <w:b/>
                <w:bCs/>
                <w:color w:val="000000" w:themeColor="text1"/>
                <w:sz w:val="16"/>
                <w:szCs w:val="16"/>
                <w:lang w:val="en-US"/>
              </w:rPr>
              <w:t>3.1</w:t>
            </w:r>
            <w:r w:rsidRPr="003C5C1B">
              <w:rPr>
                <w:rFonts w:asciiTheme="minorHAnsi" w:eastAsiaTheme="minorEastAsia" w:hAnsiTheme="minorHAnsi" w:cstheme="minorHAnsi"/>
                <w:color w:val="000000" w:themeColor="text1"/>
                <w:sz w:val="16"/>
                <w:szCs w:val="16"/>
                <w:lang w:val="en-US"/>
              </w:rPr>
              <w:t>  An</w:t>
            </w:r>
            <w:proofErr w:type="gramEnd"/>
            <w:r w:rsidRPr="003C5C1B">
              <w:rPr>
                <w:rFonts w:asciiTheme="minorHAnsi" w:eastAsiaTheme="minorEastAsia" w:hAnsiTheme="minorHAnsi" w:cstheme="minorHAnsi"/>
                <w:color w:val="000000" w:themeColor="text1"/>
                <w:sz w:val="16"/>
                <w:szCs w:val="16"/>
                <w:lang w:val="en-US"/>
              </w:rPr>
              <w:t xml:space="preserve"> enabling environment to create the green belt in Bamako is established and its sustainability is guaranteed through green infrastructure and nature-based solutions with </w:t>
            </w:r>
            <w:r w:rsidRPr="003C5C1B">
              <w:rPr>
                <w:rFonts w:asciiTheme="minorHAnsi" w:eastAsiaTheme="minorEastAsia" w:hAnsiTheme="minorHAnsi" w:cstheme="minorHAnsi"/>
                <w:color w:val="000000" w:themeColor="text1"/>
                <w:sz w:val="16"/>
                <w:szCs w:val="16"/>
                <w:lang w:val="en-US"/>
              </w:rPr>
              <w:lastRenderedPageBreak/>
              <w:t xml:space="preserve">the various socio-economic actors </w:t>
            </w:r>
          </w:p>
        </w:tc>
        <w:tc>
          <w:tcPr>
            <w:tcW w:w="1185" w:type="dxa"/>
          </w:tcPr>
          <w:p w14:paraId="64C149D6"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u w:val="single"/>
                <w:lang w:val="en-US"/>
              </w:rPr>
              <w:lastRenderedPageBreak/>
              <w:t>Indicator #13</w:t>
            </w:r>
            <w:r w:rsidRPr="003C5C1B">
              <w:rPr>
                <w:rFonts w:asciiTheme="minorHAnsi" w:eastAsiaTheme="minorEastAsia" w:hAnsiTheme="minorHAnsi" w:cstheme="minorHAnsi"/>
                <w:i/>
                <w:iCs/>
                <w:sz w:val="16"/>
                <w:szCs w:val="16"/>
                <w:lang w:val="en-US"/>
              </w:rPr>
              <w:t>: Rate (%) of land tenure security in the green belt and urban green spaces</w:t>
            </w:r>
            <w:r w:rsidRPr="003C5C1B">
              <w:rPr>
                <w:rFonts w:asciiTheme="minorHAnsi" w:eastAsiaTheme="minorEastAsia" w:hAnsiTheme="minorHAnsi" w:cstheme="minorHAnsi"/>
                <w:sz w:val="16"/>
                <w:szCs w:val="16"/>
                <w:lang w:val="en-US"/>
              </w:rPr>
              <w:t xml:space="preserve">  </w:t>
            </w:r>
          </w:p>
        </w:tc>
        <w:tc>
          <w:tcPr>
            <w:tcW w:w="2027" w:type="dxa"/>
            <w:gridSpan w:val="2"/>
          </w:tcPr>
          <w:p w14:paraId="663A79CC"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Official land registration registers (</w:t>
            </w:r>
            <w:proofErr w:type="spellStart"/>
            <w:r w:rsidRPr="003C5C1B">
              <w:rPr>
                <w:rFonts w:asciiTheme="minorHAnsi" w:eastAsiaTheme="minorEastAsia" w:hAnsiTheme="minorHAnsi" w:cstheme="minorHAnsi"/>
                <w:sz w:val="16"/>
                <w:szCs w:val="16"/>
                <w:lang w:val="en-US"/>
              </w:rPr>
              <w:t>cadastre</w:t>
            </w:r>
            <w:proofErr w:type="spellEnd"/>
            <w:r w:rsidRPr="003C5C1B">
              <w:rPr>
                <w:rFonts w:asciiTheme="minorHAnsi" w:eastAsiaTheme="minorEastAsia" w:hAnsiTheme="minorHAnsi" w:cstheme="minorHAnsi"/>
                <w:sz w:val="16"/>
                <w:szCs w:val="16"/>
                <w:lang w:val="en-US"/>
              </w:rPr>
              <w:t xml:space="preserve">)  </w:t>
            </w:r>
          </w:p>
          <w:p w14:paraId="6C5F65E4"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PMU progress reports (GIS mapping before/</w:t>
            </w:r>
            <w:proofErr w:type="gramStart"/>
            <w:r w:rsidRPr="003C5C1B">
              <w:rPr>
                <w:rFonts w:asciiTheme="minorHAnsi" w:eastAsiaTheme="minorEastAsia" w:hAnsiTheme="minorHAnsi" w:cstheme="minorHAnsi"/>
                <w:sz w:val="16"/>
                <w:szCs w:val="16"/>
                <w:lang w:val="en-US"/>
              </w:rPr>
              <w:t>after, ..</w:t>
            </w:r>
            <w:proofErr w:type="gramEnd"/>
            <w:r w:rsidRPr="003C5C1B">
              <w:rPr>
                <w:rFonts w:asciiTheme="minorHAnsi" w:eastAsiaTheme="minorEastAsia" w:hAnsiTheme="minorHAnsi" w:cstheme="minorHAnsi"/>
                <w:sz w:val="16"/>
                <w:szCs w:val="16"/>
                <w:lang w:val="en-US"/>
              </w:rPr>
              <w:t xml:space="preserve">)  </w:t>
            </w:r>
          </w:p>
        </w:tc>
        <w:tc>
          <w:tcPr>
            <w:tcW w:w="1670" w:type="dxa"/>
            <w:gridSpan w:val="2"/>
          </w:tcPr>
          <w:p w14:paraId="22D4D36A"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0  </w:t>
            </w:r>
          </w:p>
        </w:tc>
        <w:tc>
          <w:tcPr>
            <w:tcW w:w="1220" w:type="dxa"/>
            <w:gridSpan w:val="2"/>
          </w:tcPr>
          <w:p w14:paraId="59BF5F7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lang w:val="en-US"/>
              </w:rPr>
              <w:t>30% of the pre-inventoried area secured</w:t>
            </w:r>
            <w:r w:rsidRPr="003C5C1B">
              <w:rPr>
                <w:rFonts w:asciiTheme="minorHAnsi" w:eastAsiaTheme="minorEastAsia" w:hAnsiTheme="minorHAnsi" w:cstheme="minorHAnsi"/>
                <w:sz w:val="16"/>
                <w:szCs w:val="16"/>
                <w:lang w:val="en-US"/>
              </w:rPr>
              <w:t xml:space="preserve">  </w:t>
            </w:r>
          </w:p>
        </w:tc>
        <w:tc>
          <w:tcPr>
            <w:tcW w:w="1463" w:type="dxa"/>
          </w:tcPr>
          <w:p w14:paraId="1DBDA5B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highlight w:val="yellow"/>
                <w:lang w:val="en-US"/>
              </w:rPr>
              <w:t>70% of the pre-inventoried areas   secured</w:t>
            </w:r>
            <w:r w:rsidRPr="003C5C1B">
              <w:rPr>
                <w:rFonts w:asciiTheme="minorHAnsi" w:eastAsiaTheme="minorEastAsia" w:hAnsiTheme="minorHAnsi" w:cstheme="minorHAnsi"/>
                <w:sz w:val="16"/>
                <w:szCs w:val="16"/>
                <w:lang w:val="en-US"/>
              </w:rPr>
              <w:t> </w:t>
            </w:r>
          </w:p>
        </w:tc>
        <w:tc>
          <w:tcPr>
            <w:tcW w:w="2195" w:type="dxa"/>
          </w:tcPr>
          <w:p w14:paraId="0F8BC071"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Rate (%) = (Secure Area / Total Planned Area for Greenbelt and Green Spaces) x 100  </w:t>
            </w:r>
          </w:p>
          <w:p w14:paraId="7F6269C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A documentary analysis will be carried out (land titles, </w:t>
            </w:r>
            <w:proofErr w:type="spellStart"/>
            <w:r w:rsidRPr="003C5C1B">
              <w:rPr>
                <w:rFonts w:asciiTheme="minorHAnsi" w:eastAsiaTheme="minorEastAsia" w:hAnsiTheme="minorHAnsi" w:cstheme="minorHAnsi"/>
                <w:sz w:val="16"/>
                <w:szCs w:val="16"/>
                <w:lang w:val="en-US"/>
              </w:rPr>
              <w:t>cadastre</w:t>
            </w:r>
            <w:proofErr w:type="spellEnd"/>
            <w:r w:rsidRPr="003C5C1B">
              <w:rPr>
                <w:rFonts w:asciiTheme="minorHAnsi" w:eastAsiaTheme="minorEastAsia" w:hAnsiTheme="minorHAnsi" w:cstheme="minorHAnsi"/>
                <w:sz w:val="16"/>
                <w:szCs w:val="16"/>
                <w:lang w:val="en-US"/>
              </w:rPr>
              <w:t xml:space="preserve">, land use plans) as well as consultations with the urban planning, development and </w:t>
            </w:r>
            <w:proofErr w:type="spellStart"/>
            <w:r w:rsidRPr="003C5C1B">
              <w:rPr>
                <w:rFonts w:asciiTheme="minorHAnsi" w:eastAsiaTheme="minorEastAsia" w:hAnsiTheme="minorHAnsi" w:cstheme="minorHAnsi"/>
                <w:sz w:val="16"/>
                <w:szCs w:val="16"/>
                <w:lang w:val="en-US"/>
              </w:rPr>
              <w:t>cadastre</w:t>
            </w:r>
            <w:proofErr w:type="spellEnd"/>
            <w:r w:rsidRPr="003C5C1B">
              <w:rPr>
                <w:rFonts w:asciiTheme="minorHAnsi" w:eastAsiaTheme="minorEastAsia" w:hAnsiTheme="minorHAnsi" w:cstheme="minorHAnsi"/>
                <w:sz w:val="16"/>
                <w:szCs w:val="16"/>
                <w:lang w:val="en-US"/>
              </w:rPr>
              <w:t xml:space="preserve"> departments.   </w:t>
            </w:r>
          </w:p>
          <w:p w14:paraId="7D817A2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Field visits for physical verification of boundaries and uses  </w:t>
            </w:r>
          </w:p>
          <w:p w14:paraId="6B38B356"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Follow-up of administrative decisions (orders, classification or assignment decrees)  </w:t>
            </w:r>
          </w:p>
          <w:p w14:paraId="7944E3D9"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p w14:paraId="62E5F48A"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2062" w:type="dxa"/>
          </w:tcPr>
          <w:p w14:paraId="2AE343F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Assumptions:</w:t>
            </w:r>
            <w:r w:rsidRPr="003C5C1B">
              <w:rPr>
                <w:rFonts w:asciiTheme="minorHAnsi" w:eastAsiaTheme="minorEastAsia" w:hAnsiTheme="minorHAnsi" w:cstheme="minorHAnsi"/>
                <w:sz w:val="16"/>
                <w:szCs w:val="16"/>
                <w:lang w:val="en-US"/>
              </w:rPr>
              <w:t xml:space="preserve">  </w:t>
            </w:r>
          </w:p>
          <w:p w14:paraId="6BB297BE"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The authorities have the political will to preserve the ecological functions of the city  </w:t>
            </w:r>
          </w:p>
          <w:p w14:paraId="3D744564"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A legal and regulatory framework exists to support environmental land tenure security  </w:t>
            </w:r>
          </w:p>
          <w:p w14:paraId="3096E06D"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Cadastral data are available and updated  </w:t>
            </w:r>
          </w:p>
          <w:p w14:paraId="272C79EF"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Urban planning is aligned with sustainable development and climate goals  </w:t>
            </w:r>
          </w:p>
          <w:p w14:paraId="704E9279"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Risks</w:t>
            </w:r>
            <w:r w:rsidRPr="003C5C1B">
              <w:rPr>
                <w:rFonts w:asciiTheme="minorHAnsi" w:eastAsiaTheme="minorEastAsia" w:hAnsiTheme="minorHAnsi" w:cstheme="minorHAnsi"/>
                <w:sz w:val="16"/>
                <w:szCs w:val="16"/>
                <w:lang w:val="en-US"/>
              </w:rPr>
              <w:t xml:space="preserve">:   </w:t>
            </w:r>
          </w:p>
          <w:p w14:paraId="11562532"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High land pressure threatening reserved spaces (anarchic urban growth, speculation)  </w:t>
            </w:r>
          </w:p>
          <w:p w14:paraId="30DD9EBF"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Gaps in the enforcement or control of existing regulations  </w:t>
            </w:r>
          </w:p>
          <w:p w14:paraId="411FC5FA"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Lack of coordination between land, </w:t>
            </w:r>
            <w:r w:rsidRPr="003C5C1B">
              <w:rPr>
                <w:rFonts w:asciiTheme="minorHAnsi" w:eastAsiaTheme="minorEastAsia" w:hAnsiTheme="minorHAnsi" w:cstheme="minorHAnsi"/>
                <w:sz w:val="16"/>
                <w:szCs w:val="16"/>
                <w:lang w:val="en-US"/>
              </w:rPr>
              <w:lastRenderedPageBreak/>
              <w:t xml:space="preserve">environmental and municipal institutions  </w:t>
            </w:r>
          </w:p>
          <w:p w14:paraId="7AFAD152"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Administrative delays or disputes slowing down legal security  </w:t>
            </w:r>
          </w:p>
          <w:p w14:paraId="033D3E4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Lack of sustainable management plans for the spaces once secured  </w:t>
            </w:r>
          </w:p>
        </w:tc>
        <w:tc>
          <w:tcPr>
            <w:tcW w:w="1803" w:type="dxa"/>
          </w:tcPr>
          <w:p w14:paraId="5F8A5366"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lastRenderedPageBreak/>
              <w:t>Indicator 16 # of cities that have more ambitious</w:t>
            </w:r>
          </w:p>
          <w:p w14:paraId="58AE5FB3"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environmental targets for their sustainable</w:t>
            </w:r>
          </w:p>
          <w:p w14:paraId="349A393C"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and inclusive integrated plans</w:t>
            </w:r>
          </w:p>
        </w:tc>
      </w:tr>
      <w:tr w:rsidR="00344861" w:rsidRPr="00F50786" w14:paraId="2FBA0164" w14:textId="77777777" w:rsidTr="2DC80E69">
        <w:trPr>
          <w:trHeight w:val="300"/>
          <w:jc w:val="center"/>
        </w:trPr>
        <w:tc>
          <w:tcPr>
            <w:tcW w:w="747" w:type="dxa"/>
            <w:vMerge/>
            <w:vAlign w:val="center"/>
          </w:tcPr>
          <w:p w14:paraId="5D3EBC83" w14:textId="77777777" w:rsidR="00A15021" w:rsidRPr="003C5C1B" w:rsidRDefault="00A15021">
            <w:pPr>
              <w:rPr>
                <w:rFonts w:asciiTheme="minorHAnsi" w:hAnsiTheme="minorHAnsi" w:cstheme="minorHAnsi"/>
                <w:sz w:val="16"/>
                <w:szCs w:val="16"/>
                <w:lang w:val="en-US"/>
              </w:rPr>
            </w:pPr>
          </w:p>
        </w:tc>
        <w:tc>
          <w:tcPr>
            <w:tcW w:w="1185" w:type="dxa"/>
          </w:tcPr>
          <w:p w14:paraId="4AD2C448"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u w:val="single"/>
                <w:lang w:val="en-US"/>
              </w:rPr>
              <w:t>Indicator #14</w:t>
            </w:r>
            <w:r w:rsidRPr="003C5C1B">
              <w:rPr>
                <w:rFonts w:asciiTheme="minorHAnsi" w:eastAsiaTheme="minorEastAsia" w:hAnsiTheme="minorHAnsi" w:cstheme="minorHAnsi"/>
                <w:sz w:val="16"/>
                <w:szCs w:val="16"/>
                <w:lang w:val="en-US"/>
              </w:rPr>
              <w:t xml:space="preserve">: Establishment and functioning of the Multi-Stakeholder Technical Committee, while respecting gender equality, for the sustainability of the green belt in Bamako  </w:t>
            </w:r>
          </w:p>
        </w:tc>
        <w:tc>
          <w:tcPr>
            <w:tcW w:w="2027" w:type="dxa"/>
            <w:gridSpan w:val="2"/>
          </w:tcPr>
          <w:p w14:paraId="12C0DE11" w14:textId="77777777" w:rsidR="00A15021" w:rsidRPr="003C5C1B" w:rsidRDefault="00A15021">
            <w:pPr>
              <w:spacing w:line="257" w:lineRule="auto"/>
              <w:rPr>
                <w:rFonts w:asciiTheme="minorHAnsi" w:eastAsiaTheme="minorEastAsia" w:hAnsiTheme="minorHAnsi" w:cstheme="minorHAnsi"/>
                <w:sz w:val="16"/>
                <w:szCs w:val="16"/>
                <w:lang w:val="en-US"/>
              </w:rPr>
            </w:pPr>
            <w:proofErr w:type="spellStart"/>
            <w:r w:rsidRPr="003C5C1B">
              <w:rPr>
                <w:rFonts w:asciiTheme="minorHAnsi" w:eastAsiaTheme="minorEastAsia" w:hAnsiTheme="minorHAnsi" w:cstheme="minorHAnsi"/>
                <w:sz w:val="16"/>
                <w:szCs w:val="16"/>
                <w:lang w:val="en-US"/>
              </w:rPr>
              <w:t>Projet</w:t>
            </w:r>
            <w:proofErr w:type="spellEnd"/>
            <w:r w:rsidRPr="003C5C1B">
              <w:rPr>
                <w:rFonts w:asciiTheme="minorHAnsi" w:eastAsiaTheme="minorEastAsia" w:hAnsiTheme="minorHAnsi" w:cstheme="minorHAnsi"/>
                <w:sz w:val="16"/>
                <w:szCs w:val="16"/>
                <w:lang w:val="en-US"/>
              </w:rPr>
              <w:t xml:space="preserve"> Manager Unit Follow-up Report including Copy of signed Memorandum of Understanding and Meeting Minutes (at least 2 per year)  </w:t>
            </w:r>
          </w:p>
          <w:p w14:paraId="0C13F8D6"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1670" w:type="dxa"/>
            <w:gridSpan w:val="2"/>
          </w:tcPr>
          <w:p w14:paraId="753DE83B"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No </w:t>
            </w:r>
            <w:proofErr w:type="spellStart"/>
            <w:r w:rsidRPr="00045243">
              <w:rPr>
                <w:rFonts w:asciiTheme="minorHAnsi" w:eastAsiaTheme="minorEastAsia" w:hAnsiTheme="minorHAnsi" w:cstheme="minorHAnsi"/>
                <w:sz w:val="16"/>
                <w:szCs w:val="16"/>
              </w:rPr>
              <w:t>committee</w:t>
            </w:r>
            <w:proofErr w:type="spellEnd"/>
            <w:r w:rsidRPr="00045243">
              <w:rPr>
                <w:rFonts w:asciiTheme="minorHAnsi" w:eastAsiaTheme="minorEastAsia" w:hAnsiTheme="minorHAnsi" w:cstheme="minorHAnsi"/>
                <w:sz w:val="16"/>
                <w:szCs w:val="16"/>
              </w:rPr>
              <w:t xml:space="preserve"> in place  </w:t>
            </w:r>
          </w:p>
        </w:tc>
        <w:tc>
          <w:tcPr>
            <w:tcW w:w="1220" w:type="dxa"/>
            <w:gridSpan w:val="2"/>
          </w:tcPr>
          <w:p w14:paraId="63030C01"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Protocol </w:t>
            </w:r>
            <w:proofErr w:type="spellStart"/>
            <w:r w:rsidRPr="00045243">
              <w:rPr>
                <w:rFonts w:asciiTheme="minorHAnsi" w:eastAsiaTheme="minorEastAsia" w:hAnsiTheme="minorHAnsi" w:cstheme="minorHAnsi"/>
                <w:sz w:val="16"/>
                <w:szCs w:val="16"/>
              </w:rPr>
              <w:t>signed</w:t>
            </w:r>
            <w:proofErr w:type="spellEnd"/>
            <w:r w:rsidRPr="00045243">
              <w:rPr>
                <w:rFonts w:asciiTheme="minorHAnsi" w:eastAsiaTheme="minorEastAsia" w:hAnsiTheme="minorHAnsi" w:cstheme="minorHAnsi"/>
                <w:sz w:val="16"/>
                <w:szCs w:val="16"/>
              </w:rPr>
              <w:t xml:space="preserve"> + 2 meetings </w:t>
            </w:r>
            <w:proofErr w:type="spellStart"/>
            <w:r w:rsidRPr="00045243">
              <w:rPr>
                <w:rFonts w:asciiTheme="minorHAnsi" w:eastAsiaTheme="minorEastAsia" w:hAnsiTheme="minorHAnsi" w:cstheme="minorHAnsi"/>
                <w:sz w:val="16"/>
                <w:szCs w:val="16"/>
              </w:rPr>
              <w:t>held</w:t>
            </w:r>
            <w:proofErr w:type="spellEnd"/>
            <w:r w:rsidRPr="00045243">
              <w:rPr>
                <w:rFonts w:asciiTheme="minorHAnsi" w:eastAsiaTheme="minorEastAsia" w:hAnsiTheme="minorHAnsi" w:cstheme="minorHAnsi"/>
                <w:sz w:val="16"/>
                <w:szCs w:val="16"/>
              </w:rPr>
              <w:t>/</w:t>
            </w:r>
            <w:proofErr w:type="spellStart"/>
            <w:r w:rsidRPr="00045243">
              <w:rPr>
                <w:rFonts w:asciiTheme="minorHAnsi" w:eastAsiaTheme="minorEastAsia" w:hAnsiTheme="minorHAnsi" w:cstheme="minorHAnsi"/>
                <w:sz w:val="16"/>
                <w:szCs w:val="16"/>
              </w:rPr>
              <w:t>year</w:t>
            </w:r>
            <w:proofErr w:type="spellEnd"/>
            <w:r w:rsidRPr="00045243">
              <w:rPr>
                <w:rFonts w:asciiTheme="minorHAnsi" w:eastAsiaTheme="minorEastAsia" w:hAnsiTheme="minorHAnsi" w:cstheme="minorHAnsi"/>
                <w:sz w:val="16"/>
                <w:szCs w:val="16"/>
              </w:rPr>
              <w:t xml:space="preserve">  </w:t>
            </w:r>
          </w:p>
          <w:p w14:paraId="06F063D9"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  </w:t>
            </w:r>
          </w:p>
        </w:tc>
        <w:tc>
          <w:tcPr>
            <w:tcW w:w="1463" w:type="dxa"/>
          </w:tcPr>
          <w:p w14:paraId="4F333B5F"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1 </w:t>
            </w:r>
            <w:proofErr w:type="spellStart"/>
            <w:r w:rsidRPr="00045243">
              <w:rPr>
                <w:rFonts w:asciiTheme="minorHAnsi" w:eastAsiaTheme="minorEastAsia" w:hAnsiTheme="minorHAnsi" w:cstheme="minorHAnsi"/>
                <w:sz w:val="16"/>
                <w:szCs w:val="16"/>
              </w:rPr>
              <w:t>updated</w:t>
            </w:r>
            <w:proofErr w:type="spellEnd"/>
            <w:r w:rsidRPr="00045243">
              <w:rPr>
                <w:rFonts w:asciiTheme="minorHAnsi" w:eastAsiaTheme="minorEastAsia" w:hAnsiTheme="minorHAnsi" w:cstheme="minorHAnsi"/>
                <w:sz w:val="16"/>
                <w:szCs w:val="16"/>
              </w:rPr>
              <w:t xml:space="preserve"> </w:t>
            </w:r>
            <w:proofErr w:type="spellStart"/>
            <w:r w:rsidRPr="00045243">
              <w:rPr>
                <w:rFonts w:asciiTheme="minorHAnsi" w:eastAsiaTheme="minorEastAsia" w:hAnsiTheme="minorHAnsi" w:cstheme="minorHAnsi"/>
                <w:sz w:val="16"/>
                <w:szCs w:val="16"/>
              </w:rPr>
              <w:t>protocol</w:t>
            </w:r>
            <w:proofErr w:type="spellEnd"/>
            <w:r w:rsidRPr="00045243">
              <w:rPr>
                <w:rFonts w:asciiTheme="minorHAnsi" w:eastAsiaTheme="minorEastAsia" w:hAnsiTheme="minorHAnsi" w:cstheme="minorHAnsi"/>
                <w:sz w:val="16"/>
                <w:szCs w:val="16"/>
              </w:rPr>
              <w:t xml:space="preserve"> + 4 meetings/</w:t>
            </w:r>
            <w:proofErr w:type="spellStart"/>
            <w:r w:rsidRPr="00045243">
              <w:rPr>
                <w:rFonts w:asciiTheme="minorHAnsi" w:eastAsiaTheme="minorEastAsia" w:hAnsiTheme="minorHAnsi" w:cstheme="minorHAnsi"/>
                <w:sz w:val="16"/>
                <w:szCs w:val="16"/>
              </w:rPr>
              <w:t>year</w:t>
            </w:r>
            <w:proofErr w:type="spellEnd"/>
            <w:r w:rsidRPr="00045243">
              <w:rPr>
                <w:rFonts w:asciiTheme="minorHAnsi" w:eastAsiaTheme="minorEastAsia" w:hAnsiTheme="minorHAnsi" w:cstheme="minorHAnsi"/>
                <w:sz w:val="16"/>
                <w:szCs w:val="16"/>
              </w:rPr>
              <w:t xml:space="preserve">  </w:t>
            </w:r>
          </w:p>
          <w:p w14:paraId="7B79868C"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  </w:t>
            </w:r>
          </w:p>
        </w:tc>
        <w:tc>
          <w:tcPr>
            <w:tcW w:w="2195" w:type="dxa"/>
          </w:tcPr>
          <w:p w14:paraId="002B9D4D"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This indicator is measured through a documentary analysis (creation acts, </w:t>
            </w:r>
            <w:proofErr w:type="spellStart"/>
            <w:r w:rsidRPr="003C5C1B">
              <w:rPr>
                <w:rFonts w:asciiTheme="minorHAnsi" w:eastAsiaTheme="minorEastAsia" w:hAnsiTheme="minorHAnsi" w:cstheme="minorHAnsi"/>
                <w:sz w:val="16"/>
                <w:szCs w:val="16"/>
                <w:lang w:val="en-US"/>
              </w:rPr>
              <w:t>ToR</w:t>
            </w:r>
            <w:proofErr w:type="spellEnd"/>
            <w:r w:rsidRPr="003C5C1B">
              <w:rPr>
                <w:rFonts w:asciiTheme="minorHAnsi" w:eastAsiaTheme="minorEastAsia" w:hAnsiTheme="minorHAnsi" w:cstheme="minorHAnsi"/>
                <w:sz w:val="16"/>
                <w:szCs w:val="16"/>
                <w:lang w:val="en-US"/>
              </w:rPr>
              <w:t xml:space="preserve">, minutes of meetings, action plans), as well as interviews with members of the CTMA as well as a review of the initiatives or funding allocated following the CTMA's efforts.  </w:t>
            </w:r>
          </w:p>
          <w:p w14:paraId="243E50F1"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Prior to monitoring the achievement of the indicator, it will be necessary to   </w:t>
            </w:r>
          </w:p>
          <w:p w14:paraId="05B3E959" w14:textId="77777777" w:rsidR="00A15021" w:rsidRPr="003C5C1B" w:rsidRDefault="00A15021" w:rsidP="00A15021">
            <w:pPr>
              <w:pStyle w:val="Paragraphedeliste"/>
              <w:numPr>
                <w:ilvl w:val="0"/>
                <w:numId w:val="341"/>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Official act of creation of the committee (order, decision, memorandum) </w:t>
            </w:r>
          </w:p>
          <w:p w14:paraId="620BBB3E" w14:textId="77777777" w:rsidR="00A15021" w:rsidRPr="003C5C1B" w:rsidRDefault="00A15021" w:rsidP="00A15021">
            <w:pPr>
              <w:pStyle w:val="Paragraphedeliste"/>
              <w:numPr>
                <w:ilvl w:val="0"/>
                <w:numId w:val="340"/>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Terms of reference detailing List of members representing key institutions, roles, coordination arrangements and frequency of meetings  </w:t>
            </w:r>
          </w:p>
          <w:p w14:paraId="771B3766" w14:textId="77777777" w:rsidR="00A15021" w:rsidRPr="003C5C1B" w:rsidRDefault="00A15021" w:rsidP="00A15021">
            <w:pPr>
              <w:pStyle w:val="Paragraphedeliste"/>
              <w:numPr>
                <w:ilvl w:val="0"/>
                <w:numId w:val="339"/>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lastRenderedPageBreak/>
              <w:t xml:space="preserve">The committee must have action plans with the holding of at least 2 meetings/year with minutes and   </w:t>
            </w:r>
          </w:p>
          <w:p w14:paraId="6A294A40" w14:textId="77777777" w:rsidR="00A15021" w:rsidRPr="003C5C1B" w:rsidRDefault="00A15021" w:rsidP="00A15021">
            <w:pPr>
              <w:pStyle w:val="Paragraphedeliste"/>
              <w:numPr>
                <w:ilvl w:val="0"/>
                <w:numId w:val="338"/>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Evidence of recommendations or decisions integrated into the Greenbelt strategy or projects  </w:t>
            </w:r>
          </w:p>
          <w:p w14:paraId="4D125F60" w14:textId="77777777" w:rsidR="00A15021" w:rsidRPr="003C5C1B" w:rsidRDefault="00A15021" w:rsidP="00A15021">
            <w:pPr>
              <w:pStyle w:val="Paragraphedeliste"/>
              <w:numPr>
                <w:ilvl w:val="0"/>
                <w:numId w:val="337"/>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Monitoring of financial mobilization (files, advocacy, contributions, commitments  </w:t>
            </w:r>
          </w:p>
        </w:tc>
        <w:tc>
          <w:tcPr>
            <w:tcW w:w="2062" w:type="dxa"/>
          </w:tcPr>
          <w:p w14:paraId="54E1D5D1"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lastRenderedPageBreak/>
              <w:t>Assumptions:</w:t>
            </w:r>
            <w:r w:rsidRPr="003C5C1B">
              <w:rPr>
                <w:rFonts w:asciiTheme="minorHAnsi" w:eastAsiaTheme="minorEastAsia" w:hAnsiTheme="minorHAnsi" w:cstheme="minorHAnsi"/>
                <w:sz w:val="16"/>
                <w:szCs w:val="16"/>
                <w:lang w:val="en-US"/>
              </w:rPr>
              <w:t xml:space="preserve"> </w:t>
            </w:r>
          </w:p>
          <w:p w14:paraId="76D49B0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The green belt in Bamako is recognized as a territorial and national strategic priority  </w:t>
            </w:r>
          </w:p>
          <w:p w14:paraId="554B344D"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Key players are available and committed for the long term  </w:t>
            </w:r>
          </w:p>
          <w:p w14:paraId="41225DFE"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A shared need for technical coordination and co-financing is identified  </w:t>
            </w:r>
          </w:p>
          <w:p w14:paraId="5E7CA1F4"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The existence of mechanisms to support resource mobilization (private partners, environmental funds, etc.)  </w:t>
            </w:r>
          </w:p>
          <w:p w14:paraId="6E5DEED2"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Risks</w:t>
            </w:r>
            <w:r w:rsidRPr="003C5C1B">
              <w:rPr>
                <w:rFonts w:asciiTheme="minorHAnsi" w:eastAsiaTheme="minorEastAsia" w:hAnsiTheme="minorHAnsi" w:cstheme="minorHAnsi"/>
                <w:sz w:val="16"/>
                <w:szCs w:val="16"/>
                <w:lang w:val="en-US"/>
              </w:rPr>
              <w:t xml:space="preserve">:   </w:t>
            </w:r>
          </w:p>
          <w:p w14:paraId="249FDEAF"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Low level of engagement or frequent turnover of committee members  </w:t>
            </w:r>
          </w:p>
          <w:p w14:paraId="242EA4BC"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Difficulty in mobilizing financing if the project is not sufficiently structured  </w:t>
            </w:r>
          </w:p>
          <w:p w14:paraId="2C728CE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lastRenderedPageBreak/>
              <w:t xml:space="preserve">Institutional conflicts or overlapping mandates between entities  </w:t>
            </w:r>
          </w:p>
          <w:p w14:paraId="41933947"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Committee without resources for its own operation (logistics, animation)  </w:t>
            </w:r>
          </w:p>
          <w:p w14:paraId="480932B5"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Lack of follow-up on decisions taken or lack of accountability mechanisms  </w:t>
            </w:r>
          </w:p>
        </w:tc>
        <w:tc>
          <w:tcPr>
            <w:tcW w:w="1803" w:type="dxa"/>
          </w:tcPr>
          <w:p w14:paraId="23EB2265"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lastRenderedPageBreak/>
              <w:t>Indicator 16</w:t>
            </w:r>
          </w:p>
          <w:p w14:paraId="0E9351F7"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 of cities that have more ambitious</w:t>
            </w:r>
          </w:p>
          <w:p w14:paraId="44BC18F8"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environmental targets for their sustainable</w:t>
            </w:r>
          </w:p>
          <w:p w14:paraId="7F16AA52"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highlight w:val="yellow"/>
                <w:lang w:val="en-US"/>
              </w:rPr>
              <w:t>and inclusive integrated plans</w:t>
            </w:r>
          </w:p>
        </w:tc>
      </w:tr>
      <w:tr w:rsidR="00A15021" w:rsidRPr="00045243" w14:paraId="16C33CFA" w14:textId="77777777" w:rsidTr="2DC80E69">
        <w:trPr>
          <w:trHeight w:val="300"/>
          <w:jc w:val="center"/>
        </w:trPr>
        <w:tc>
          <w:tcPr>
            <w:tcW w:w="747" w:type="dxa"/>
            <w:vMerge/>
            <w:vAlign w:val="center"/>
          </w:tcPr>
          <w:p w14:paraId="0F1B5A4C" w14:textId="77777777" w:rsidR="00A15021" w:rsidRPr="003C5C1B" w:rsidRDefault="00A15021">
            <w:pPr>
              <w:rPr>
                <w:rFonts w:asciiTheme="minorHAnsi" w:hAnsiTheme="minorHAnsi" w:cstheme="minorHAnsi"/>
                <w:sz w:val="16"/>
                <w:szCs w:val="16"/>
                <w:lang w:val="en-US"/>
              </w:rPr>
            </w:pPr>
          </w:p>
        </w:tc>
        <w:tc>
          <w:tcPr>
            <w:tcW w:w="1185" w:type="dxa"/>
          </w:tcPr>
          <w:p w14:paraId="2763DF7E"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highlight w:val="yellow"/>
                <w:u w:val="single"/>
                <w:lang w:val="en-US"/>
              </w:rPr>
              <w:t>Indicator #15</w:t>
            </w:r>
            <w:r w:rsidRPr="003C5C1B">
              <w:rPr>
                <w:rFonts w:asciiTheme="minorHAnsi" w:eastAsiaTheme="minorEastAsia" w:hAnsiTheme="minorHAnsi" w:cstheme="minorHAnsi"/>
                <w:i/>
                <w:iCs/>
                <w:sz w:val="16"/>
                <w:szCs w:val="16"/>
                <w:highlight w:val="yellow"/>
                <w:lang w:val="en-US"/>
              </w:rPr>
              <w:t>:</w:t>
            </w:r>
            <w:r w:rsidRPr="003C5C1B">
              <w:rPr>
                <w:rFonts w:asciiTheme="minorHAnsi" w:eastAsiaTheme="minorEastAsia" w:hAnsiTheme="minorHAnsi" w:cstheme="minorHAnsi"/>
                <w:sz w:val="16"/>
                <w:szCs w:val="16"/>
                <w:highlight w:val="yellow"/>
                <w:lang w:val="en-US"/>
              </w:rPr>
              <w:t xml:space="preserve"> Amount</w:t>
            </w:r>
            <w:r w:rsidRPr="003C5C1B">
              <w:rPr>
                <w:rFonts w:asciiTheme="minorHAnsi" w:eastAsiaTheme="minorEastAsia" w:hAnsiTheme="minorHAnsi" w:cstheme="minorHAnsi"/>
                <w:sz w:val="16"/>
                <w:szCs w:val="16"/>
                <w:highlight w:val="yellow"/>
                <w:u w:val="single"/>
                <w:lang w:val="en-US"/>
              </w:rPr>
              <w:t xml:space="preserve"> </w:t>
            </w:r>
            <w:r w:rsidRPr="003C5C1B">
              <w:rPr>
                <w:rFonts w:asciiTheme="minorHAnsi" w:eastAsiaTheme="minorEastAsia" w:hAnsiTheme="minorHAnsi" w:cstheme="minorHAnsi"/>
                <w:sz w:val="16"/>
                <w:szCs w:val="16"/>
                <w:highlight w:val="yellow"/>
                <w:lang w:val="en-US"/>
              </w:rPr>
              <w:t xml:space="preserve">of structuring and inclusive green investments (including 80% from the private sector) in nature-based solutions </w:t>
            </w:r>
            <w:r w:rsidRPr="003C5C1B">
              <w:rPr>
                <w:rFonts w:asciiTheme="minorHAnsi" w:eastAsiaTheme="minorEastAsia" w:hAnsiTheme="minorHAnsi" w:cstheme="minorHAnsi"/>
                <w:i/>
                <w:iCs/>
                <w:sz w:val="16"/>
                <w:szCs w:val="16"/>
                <w:highlight w:val="yellow"/>
                <w:lang w:val="en-US"/>
              </w:rPr>
              <w:t>(</w:t>
            </w:r>
            <w:proofErr w:type="spellStart"/>
            <w:r w:rsidRPr="003C5C1B">
              <w:rPr>
                <w:rFonts w:asciiTheme="minorHAnsi" w:eastAsiaTheme="minorEastAsia" w:hAnsiTheme="minorHAnsi" w:cstheme="minorHAnsi"/>
                <w:i/>
                <w:iCs/>
                <w:sz w:val="16"/>
                <w:szCs w:val="16"/>
                <w:highlight w:val="yellow"/>
                <w:lang w:val="en-US"/>
              </w:rPr>
              <w:t>SbN</w:t>
            </w:r>
            <w:proofErr w:type="spellEnd"/>
            <w:r w:rsidRPr="003C5C1B">
              <w:rPr>
                <w:rFonts w:asciiTheme="minorHAnsi" w:eastAsiaTheme="minorEastAsia" w:hAnsiTheme="minorHAnsi" w:cstheme="minorHAnsi"/>
                <w:i/>
                <w:iCs/>
                <w:sz w:val="16"/>
                <w:szCs w:val="16"/>
                <w:lang w:val="en-US"/>
              </w:rPr>
              <w:t>)</w:t>
            </w:r>
            <w:r w:rsidRPr="003C5C1B">
              <w:rPr>
                <w:rFonts w:asciiTheme="minorHAnsi" w:eastAsiaTheme="minorEastAsia" w:hAnsiTheme="minorHAnsi" w:cstheme="minorHAnsi"/>
                <w:sz w:val="16"/>
                <w:szCs w:val="16"/>
                <w:lang w:val="en-US"/>
              </w:rPr>
              <w:t xml:space="preserve">  </w:t>
            </w:r>
          </w:p>
          <w:p w14:paraId="3D819BFF"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p w14:paraId="304A5A75"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2027" w:type="dxa"/>
            <w:gridSpan w:val="2"/>
          </w:tcPr>
          <w:p w14:paraId="2F7D05A9"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The monitoring report of the PMU containing the validated Financing Plan (BIOFIN method) and draft co-financing agreements or letters of intent  </w:t>
            </w:r>
          </w:p>
          <w:p w14:paraId="6A4EDEFC"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1670" w:type="dxa"/>
            <w:gridSpan w:val="2"/>
          </w:tcPr>
          <w:p w14:paraId="6ECD6B65"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lang w:val="en-US"/>
              </w:rPr>
              <w:t>0 because there is no enabling environment</w:t>
            </w:r>
            <w:r w:rsidRPr="003C5C1B">
              <w:rPr>
                <w:rFonts w:asciiTheme="minorHAnsi" w:eastAsiaTheme="minorEastAsia" w:hAnsiTheme="minorHAnsi" w:cstheme="minorHAnsi"/>
                <w:sz w:val="16"/>
                <w:szCs w:val="16"/>
                <w:lang w:val="en-US"/>
              </w:rPr>
              <w:t xml:space="preserve">  </w:t>
            </w:r>
          </w:p>
        </w:tc>
        <w:tc>
          <w:tcPr>
            <w:tcW w:w="1220" w:type="dxa"/>
            <w:gridSpan w:val="2"/>
          </w:tcPr>
          <w:p w14:paraId="599DF993"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i/>
                <w:iCs/>
                <w:sz w:val="16"/>
                <w:szCs w:val="16"/>
              </w:rPr>
              <w:t>$8M ($6.4M)</w:t>
            </w:r>
            <w:r w:rsidRPr="00045243">
              <w:rPr>
                <w:rFonts w:asciiTheme="minorHAnsi" w:eastAsiaTheme="minorEastAsia" w:hAnsiTheme="minorHAnsi" w:cstheme="minorHAnsi"/>
                <w:sz w:val="16"/>
                <w:szCs w:val="16"/>
              </w:rPr>
              <w:t xml:space="preserve">  </w:t>
            </w:r>
          </w:p>
        </w:tc>
        <w:tc>
          <w:tcPr>
            <w:tcW w:w="1463" w:type="dxa"/>
          </w:tcPr>
          <w:p w14:paraId="1C7C6E39"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i/>
                <w:iCs/>
                <w:sz w:val="16"/>
                <w:szCs w:val="16"/>
              </w:rPr>
              <w:t xml:space="preserve">$80 </w:t>
            </w:r>
            <w:proofErr w:type="gramStart"/>
            <w:r w:rsidRPr="00045243">
              <w:rPr>
                <w:rFonts w:asciiTheme="minorHAnsi" w:eastAsiaTheme="minorEastAsia" w:hAnsiTheme="minorHAnsi" w:cstheme="minorHAnsi"/>
                <w:i/>
                <w:iCs/>
                <w:sz w:val="16"/>
                <w:szCs w:val="16"/>
              </w:rPr>
              <w:t>million</w:t>
            </w:r>
            <w:proofErr w:type="gramEnd"/>
            <w:r w:rsidRPr="00045243">
              <w:rPr>
                <w:rFonts w:asciiTheme="minorHAnsi" w:eastAsiaTheme="minorEastAsia" w:hAnsiTheme="minorHAnsi" w:cstheme="minorHAnsi"/>
                <w:i/>
                <w:iCs/>
                <w:sz w:val="16"/>
                <w:szCs w:val="16"/>
              </w:rPr>
              <w:t xml:space="preserve"> ($64 million)</w:t>
            </w:r>
            <w:r w:rsidRPr="00045243">
              <w:rPr>
                <w:rFonts w:asciiTheme="minorHAnsi" w:eastAsiaTheme="minorEastAsia" w:hAnsiTheme="minorHAnsi" w:cstheme="minorHAnsi"/>
                <w:sz w:val="16"/>
                <w:szCs w:val="16"/>
              </w:rPr>
              <w:t xml:space="preserve">  </w:t>
            </w:r>
          </w:p>
        </w:tc>
        <w:tc>
          <w:tcPr>
            <w:tcW w:w="2195" w:type="dxa"/>
          </w:tcPr>
          <w:p w14:paraId="6C9D30CF"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Total amount (in USD or FCFA) of investments committed to </w:t>
            </w:r>
            <w:proofErr w:type="spellStart"/>
            <w:r w:rsidRPr="003C5C1B">
              <w:rPr>
                <w:rFonts w:asciiTheme="minorHAnsi" w:eastAsiaTheme="minorEastAsia" w:hAnsiTheme="minorHAnsi" w:cstheme="minorHAnsi"/>
                <w:sz w:val="16"/>
                <w:szCs w:val="16"/>
                <w:lang w:val="en-US"/>
              </w:rPr>
              <w:t>SbN</w:t>
            </w:r>
            <w:proofErr w:type="spellEnd"/>
            <w:r w:rsidRPr="003C5C1B">
              <w:rPr>
                <w:rFonts w:asciiTheme="minorHAnsi" w:eastAsiaTheme="minorEastAsia" w:hAnsiTheme="minorHAnsi" w:cstheme="minorHAnsi"/>
                <w:sz w:val="16"/>
                <w:szCs w:val="16"/>
                <w:lang w:val="en-US"/>
              </w:rPr>
              <w:t xml:space="preserve"> =Total amount mobilized (public + private), with the private share ≥ 80%  </w:t>
            </w:r>
          </w:p>
          <w:p w14:paraId="6566669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This involves the analysis of investment contracts, agreements, financing agreements, as well as the monitoring of projects co-financed by private actors (companies, investment funds, foundations, green banks, etc.). The project could possibly carry out a survey and interviews with investors or project developers  </w:t>
            </w:r>
          </w:p>
          <w:p w14:paraId="24799BC6"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p w14:paraId="6859BF4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lastRenderedPageBreak/>
              <w:t xml:space="preserve">  </w:t>
            </w:r>
          </w:p>
        </w:tc>
        <w:tc>
          <w:tcPr>
            <w:tcW w:w="2062" w:type="dxa"/>
          </w:tcPr>
          <w:p w14:paraId="560B605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lastRenderedPageBreak/>
              <w:t>Assumptions</w:t>
            </w:r>
            <w:r w:rsidRPr="003C5C1B">
              <w:rPr>
                <w:rFonts w:asciiTheme="minorHAnsi" w:eastAsiaTheme="minorEastAsia" w:hAnsiTheme="minorHAnsi" w:cstheme="minorHAnsi"/>
                <w:b/>
                <w:bCs/>
                <w:i/>
                <w:iCs/>
                <w:sz w:val="16"/>
                <w:szCs w:val="16"/>
                <w:lang w:val="en-US"/>
              </w:rPr>
              <w:t>: </w:t>
            </w:r>
            <w:r w:rsidRPr="003C5C1B">
              <w:rPr>
                <w:rFonts w:asciiTheme="minorHAnsi" w:eastAsiaTheme="minorEastAsia" w:hAnsiTheme="minorHAnsi" w:cstheme="minorHAnsi"/>
                <w:sz w:val="16"/>
                <w:szCs w:val="16"/>
                <w:lang w:val="en-US"/>
              </w:rPr>
              <w:t xml:space="preserve">  </w:t>
            </w:r>
          </w:p>
          <w:p w14:paraId="0D7C55EF"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NBS are integrated into strategic urban planning and recognized as vectors of resilience  </w:t>
            </w:r>
          </w:p>
          <w:p w14:paraId="75F9614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The investment opportunities are clear and profitable enough to attract the private sector  </w:t>
            </w:r>
          </w:p>
          <w:p w14:paraId="7B14D3A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Incentive mechanisms (tax benefits, guarantees, public-private partnerships) are in place  </w:t>
            </w:r>
          </w:p>
          <w:p w14:paraId="6907993C"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Environmental and climate risks are sufficiently perceived to justify these investments  </w:t>
            </w:r>
          </w:p>
          <w:p w14:paraId="638E733A"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Risks</w:t>
            </w:r>
            <w:r w:rsidRPr="003C5C1B">
              <w:rPr>
                <w:rFonts w:asciiTheme="minorHAnsi" w:eastAsiaTheme="minorEastAsia" w:hAnsiTheme="minorHAnsi" w:cstheme="minorHAnsi"/>
                <w:b/>
                <w:bCs/>
                <w:i/>
                <w:iCs/>
                <w:sz w:val="16"/>
                <w:szCs w:val="16"/>
                <w:lang w:val="en-US"/>
              </w:rPr>
              <w:t>: </w:t>
            </w:r>
            <w:r w:rsidRPr="003C5C1B">
              <w:rPr>
                <w:rFonts w:asciiTheme="minorHAnsi" w:eastAsiaTheme="minorEastAsia" w:hAnsiTheme="minorHAnsi" w:cstheme="minorHAnsi"/>
                <w:sz w:val="16"/>
                <w:szCs w:val="16"/>
                <w:lang w:val="en-US"/>
              </w:rPr>
              <w:t xml:space="preserve">  </w:t>
            </w:r>
          </w:p>
          <w:p w14:paraId="6AE76F81"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lastRenderedPageBreak/>
              <w:t xml:space="preserve">Low maturity of </w:t>
            </w:r>
            <w:proofErr w:type="spellStart"/>
            <w:r w:rsidRPr="003C5C1B">
              <w:rPr>
                <w:rFonts w:asciiTheme="minorHAnsi" w:eastAsiaTheme="minorEastAsia" w:hAnsiTheme="minorHAnsi" w:cstheme="minorHAnsi"/>
                <w:sz w:val="16"/>
                <w:szCs w:val="16"/>
                <w:lang w:val="en-US"/>
              </w:rPr>
              <w:t>SbN</w:t>
            </w:r>
            <w:proofErr w:type="spellEnd"/>
            <w:r w:rsidRPr="003C5C1B">
              <w:rPr>
                <w:rFonts w:asciiTheme="minorHAnsi" w:eastAsiaTheme="minorEastAsia" w:hAnsiTheme="minorHAnsi" w:cstheme="minorHAnsi"/>
                <w:sz w:val="16"/>
                <w:szCs w:val="16"/>
                <w:lang w:val="en-US"/>
              </w:rPr>
              <w:t xml:space="preserve"> projects (non-bankable pilot projects, lack of structuring)  </w:t>
            </w:r>
          </w:p>
          <w:p w14:paraId="4BAD963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Difficulties in mobilizing private capital due to lack of clear incentives  </w:t>
            </w:r>
          </w:p>
          <w:p w14:paraId="5D6944B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Lack of specific monitoring mechanisms for green investment flows  </w:t>
            </w:r>
          </w:p>
          <w:p w14:paraId="2A7D7D1E"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Lack of capacity to demonstrate the economic and environmental co-benefits of NBSs  </w:t>
            </w:r>
          </w:p>
          <w:p w14:paraId="2B35A591"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Land competition with other urban uses that are more profitable in the short term  </w:t>
            </w:r>
          </w:p>
        </w:tc>
        <w:tc>
          <w:tcPr>
            <w:tcW w:w="1803" w:type="dxa"/>
          </w:tcPr>
          <w:p w14:paraId="441D71F5" w14:textId="77777777" w:rsidR="00A15021" w:rsidRPr="003C5C1B" w:rsidRDefault="00A15021">
            <w:pPr>
              <w:spacing w:line="257" w:lineRule="auto"/>
              <w:rPr>
                <w:rFonts w:asciiTheme="minorHAnsi" w:eastAsiaTheme="minorEastAsia" w:hAnsiTheme="minorHAnsi" w:cstheme="minorHAnsi"/>
                <w:color w:val="000000" w:themeColor="text1"/>
                <w:sz w:val="16"/>
                <w:szCs w:val="16"/>
                <w:highlight w:val="yellow"/>
                <w:lang w:val="en-US"/>
              </w:rPr>
            </w:pPr>
            <w:r w:rsidRPr="003C5C1B">
              <w:rPr>
                <w:rFonts w:asciiTheme="minorHAnsi" w:eastAsiaTheme="minorEastAsia" w:hAnsiTheme="minorHAnsi" w:cstheme="minorHAnsi"/>
                <w:color w:val="000000" w:themeColor="text1"/>
                <w:sz w:val="16"/>
                <w:szCs w:val="16"/>
                <w:highlight w:val="yellow"/>
                <w:lang w:val="en-US"/>
              </w:rPr>
              <w:lastRenderedPageBreak/>
              <w:t xml:space="preserve">Indicator </w:t>
            </w:r>
            <w:proofErr w:type="gramStart"/>
            <w:r w:rsidRPr="003C5C1B">
              <w:rPr>
                <w:rFonts w:asciiTheme="minorHAnsi" w:eastAsiaTheme="minorEastAsia" w:hAnsiTheme="minorHAnsi" w:cstheme="minorHAnsi"/>
                <w:color w:val="000000" w:themeColor="text1"/>
                <w:sz w:val="16"/>
                <w:szCs w:val="16"/>
                <w:highlight w:val="yellow"/>
                <w:lang w:val="en-US"/>
              </w:rPr>
              <w:t>5 :</w:t>
            </w:r>
            <w:proofErr w:type="gramEnd"/>
            <w:r w:rsidRPr="003C5C1B">
              <w:rPr>
                <w:rFonts w:asciiTheme="minorHAnsi" w:eastAsiaTheme="minorEastAsia" w:hAnsiTheme="minorHAnsi" w:cstheme="minorHAnsi"/>
                <w:color w:val="000000" w:themeColor="text1"/>
                <w:sz w:val="16"/>
                <w:szCs w:val="16"/>
                <w:highlight w:val="yellow"/>
                <w:lang w:val="en-US"/>
              </w:rPr>
              <w:t xml:space="preserve"> USD of nature positive, low</w:t>
            </w:r>
          </w:p>
          <w:p w14:paraId="38A9AC61" w14:textId="77777777" w:rsidR="00A15021" w:rsidRPr="003C5C1B" w:rsidRDefault="00A15021">
            <w:pPr>
              <w:spacing w:line="257" w:lineRule="auto"/>
              <w:rPr>
                <w:rFonts w:asciiTheme="minorHAnsi" w:eastAsiaTheme="minorEastAsia" w:hAnsiTheme="minorHAnsi" w:cstheme="minorHAnsi"/>
                <w:color w:val="000000" w:themeColor="text1"/>
                <w:sz w:val="16"/>
                <w:szCs w:val="16"/>
                <w:highlight w:val="yellow"/>
                <w:lang w:val="en-US"/>
              </w:rPr>
            </w:pPr>
            <w:r w:rsidRPr="003C5C1B">
              <w:rPr>
                <w:rFonts w:asciiTheme="minorHAnsi" w:eastAsiaTheme="minorEastAsia" w:hAnsiTheme="minorHAnsi" w:cstheme="minorHAnsi"/>
                <w:color w:val="000000" w:themeColor="text1"/>
                <w:sz w:val="16"/>
                <w:szCs w:val="16"/>
                <w:highlight w:val="yellow"/>
                <w:lang w:val="en-US"/>
              </w:rPr>
              <w:t>carbon, land restoration</w:t>
            </w:r>
          </w:p>
          <w:p w14:paraId="6046E00D" w14:textId="77777777" w:rsidR="00A15021" w:rsidRPr="003C5C1B" w:rsidRDefault="00A15021">
            <w:pPr>
              <w:spacing w:line="257" w:lineRule="auto"/>
              <w:rPr>
                <w:rFonts w:asciiTheme="minorHAnsi" w:eastAsiaTheme="minorEastAsia" w:hAnsiTheme="minorHAnsi" w:cstheme="minorHAnsi"/>
                <w:color w:val="000000" w:themeColor="text1"/>
                <w:sz w:val="16"/>
                <w:szCs w:val="16"/>
                <w:highlight w:val="yellow"/>
                <w:lang w:val="en-US"/>
              </w:rPr>
            </w:pPr>
            <w:r w:rsidRPr="003C5C1B">
              <w:rPr>
                <w:rFonts w:asciiTheme="minorHAnsi" w:eastAsiaTheme="minorEastAsia" w:hAnsiTheme="minorHAnsi" w:cstheme="minorHAnsi"/>
                <w:color w:val="000000" w:themeColor="text1"/>
                <w:sz w:val="16"/>
                <w:szCs w:val="16"/>
                <w:highlight w:val="yellow"/>
                <w:lang w:val="en-US"/>
              </w:rPr>
              <w:t>demonstrations and/or</w:t>
            </w:r>
          </w:p>
          <w:p w14:paraId="1A0E3242" w14:textId="77777777" w:rsidR="00A15021" w:rsidRPr="003C5C1B" w:rsidRDefault="00A15021">
            <w:pPr>
              <w:spacing w:line="257" w:lineRule="auto"/>
              <w:rPr>
                <w:rFonts w:asciiTheme="minorHAnsi" w:eastAsiaTheme="minorEastAsia" w:hAnsiTheme="minorHAnsi" w:cstheme="minorHAnsi"/>
                <w:color w:val="000000" w:themeColor="text1"/>
                <w:sz w:val="16"/>
                <w:szCs w:val="16"/>
                <w:highlight w:val="yellow"/>
                <w:lang w:val="en-US"/>
              </w:rPr>
            </w:pPr>
            <w:r w:rsidRPr="003C5C1B">
              <w:rPr>
                <w:rFonts w:asciiTheme="minorHAnsi" w:eastAsiaTheme="minorEastAsia" w:hAnsiTheme="minorHAnsi" w:cstheme="minorHAnsi"/>
                <w:color w:val="000000" w:themeColor="text1"/>
                <w:sz w:val="16"/>
                <w:szCs w:val="16"/>
                <w:highlight w:val="yellow"/>
                <w:lang w:val="en-US"/>
              </w:rPr>
              <w:t>investments (including</w:t>
            </w:r>
          </w:p>
          <w:p w14:paraId="2DAAD828" w14:textId="77777777" w:rsidR="00A15021" w:rsidRPr="003C5C1B" w:rsidRDefault="00A15021">
            <w:pPr>
              <w:spacing w:line="257" w:lineRule="auto"/>
              <w:rPr>
                <w:rFonts w:asciiTheme="minorHAnsi" w:eastAsiaTheme="minorEastAsia" w:hAnsiTheme="minorHAnsi" w:cstheme="minorHAnsi"/>
                <w:color w:val="000000" w:themeColor="text1"/>
                <w:sz w:val="16"/>
                <w:szCs w:val="16"/>
                <w:highlight w:val="yellow"/>
                <w:lang w:val="en-US"/>
              </w:rPr>
            </w:pPr>
            <w:r w:rsidRPr="003C5C1B">
              <w:rPr>
                <w:rFonts w:asciiTheme="minorHAnsi" w:eastAsiaTheme="minorEastAsia" w:hAnsiTheme="minorHAnsi" w:cstheme="minorHAnsi"/>
                <w:color w:val="000000" w:themeColor="text1"/>
                <w:sz w:val="16"/>
                <w:szCs w:val="16"/>
                <w:highlight w:val="yellow"/>
                <w:lang w:val="en-US"/>
              </w:rPr>
              <w:t>leveraged)</w:t>
            </w:r>
          </w:p>
          <w:p w14:paraId="0E3349A1" w14:textId="77777777" w:rsidR="00A15021" w:rsidRPr="003C5C1B" w:rsidRDefault="00A15021">
            <w:pPr>
              <w:spacing w:line="257" w:lineRule="auto"/>
              <w:rPr>
                <w:rFonts w:asciiTheme="minorHAnsi" w:eastAsiaTheme="minorEastAsia" w:hAnsiTheme="minorHAnsi" w:cstheme="minorHAnsi"/>
                <w:color w:val="000000" w:themeColor="text1"/>
                <w:sz w:val="16"/>
                <w:szCs w:val="16"/>
                <w:highlight w:val="yellow"/>
                <w:lang w:val="en-US"/>
              </w:rPr>
            </w:pPr>
          </w:p>
          <w:p w14:paraId="609C69D2" w14:textId="77777777" w:rsidR="00A15021" w:rsidRPr="003C5C1B" w:rsidRDefault="00A15021">
            <w:pPr>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 xml:space="preserve">Indicator 9: of cities accessing financing through multi-stakeholder engagement (financing accessed from private and public sector, </w:t>
            </w:r>
            <w:r w:rsidRPr="003C5C1B">
              <w:rPr>
                <w:rFonts w:asciiTheme="minorHAnsi" w:eastAsiaTheme="minorEastAsia" w:hAnsiTheme="minorHAnsi" w:cstheme="minorHAnsi"/>
                <w:sz w:val="16"/>
                <w:szCs w:val="16"/>
                <w:highlight w:val="yellow"/>
                <w:lang w:val="en-US"/>
              </w:rPr>
              <w:lastRenderedPageBreak/>
              <w:t>MDBs, IFIs, and research institutions)</w:t>
            </w:r>
          </w:p>
          <w:p w14:paraId="6B94904D" w14:textId="77777777" w:rsidR="00A15021" w:rsidRPr="003C5C1B" w:rsidRDefault="00A15021">
            <w:pPr>
              <w:rPr>
                <w:rFonts w:asciiTheme="minorHAnsi" w:eastAsiaTheme="minorEastAsia" w:hAnsiTheme="minorHAnsi" w:cstheme="minorHAnsi"/>
                <w:sz w:val="16"/>
                <w:szCs w:val="16"/>
                <w:highlight w:val="yellow"/>
                <w:lang w:val="en-US"/>
              </w:rPr>
            </w:pPr>
          </w:p>
          <w:p w14:paraId="3D70D335" w14:textId="77777777" w:rsidR="00A15021" w:rsidRPr="003C5C1B" w:rsidRDefault="00A15021">
            <w:pPr>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Indicator 10</w:t>
            </w:r>
          </w:p>
          <w:p w14:paraId="2C636E33" w14:textId="77777777" w:rsidR="00A15021" w:rsidRPr="003C5C1B" w:rsidRDefault="00A15021">
            <w:pPr>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 of cities that have projects (or # of projects) identified that can be a pipeline for GEF-9</w:t>
            </w:r>
          </w:p>
          <w:p w14:paraId="7D875B1D" w14:textId="77777777" w:rsidR="00A15021" w:rsidRPr="00045243" w:rsidRDefault="00A15021">
            <w:pPr>
              <w:rPr>
                <w:rFonts w:asciiTheme="minorHAnsi" w:eastAsiaTheme="minorEastAsia" w:hAnsiTheme="minorHAnsi" w:cstheme="minorHAnsi"/>
                <w:sz w:val="16"/>
                <w:szCs w:val="16"/>
              </w:rPr>
            </w:pPr>
            <w:proofErr w:type="gramStart"/>
            <w:r w:rsidRPr="00045243">
              <w:rPr>
                <w:rFonts w:asciiTheme="minorHAnsi" w:eastAsiaTheme="minorEastAsia" w:hAnsiTheme="minorHAnsi" w:cstheme="minorHAnsi"/>
                <w:sz w:val="16"/>
                <w:szCs w:val="16"/>
                <w:highlight w:val="yellow"/>
              </w:rPr>
              <w:t>and</w:t>
            </w:r>
            <w:proofErr w:type="gramEnd"/>
            <w:r w:rsidRPr="00045243">
              <w:rPr>
                <w:rFonts w:asciiTheme="minorHAnsi" w:eastAsiaTheme="minorEastAsia" w:hAnsiTheme="minorHAnsi" w:cstheme="minorHAnsi"/>
                <w:sz w:val="16"/>
                <w:szCs w:val="16"/>
                <w:highlight w:val="yellow"/>
              </w:rPr>
              <w:t xml:space="preserve"> </w:t>
            </w:r>
            <w:proofErr w:type="spellStart"/>
            <w:r w:rsidRPr="00045243">
              <w:rPr>
                <w:rFonts w:asciiTheme="minorHAnsi" w:eastAsiaTheme="minorEastAsia" w:hAnsiTheme="minorHAnsi" w:cstheme="minorHAnsi"/>
                <w:sz w:val="16"/>
                <w:szCs w:val="16"/>
                <w:highlight w:val="yellow"/>
              </w:rPr>
              <w:t>other</w:t>
            </w:r>
            <w:proofErr w:type="spellEnd"/>
            <w:r w:rsidRPr="00045243">
              <w:rPr>
                <w:rFonts w:asciiTheme="minorHAnsi" w:eastAsiaTheme="minorEastAsia" w:hAnsiTheme="minorHAnsi" w:cstheme="minorHAnsi"/>
                <w:sz w:val="16"/>
                <w:szCs w:val="16"/>
                <w:highlight w:val="yellow"/>
              </w:rPr>
              <w:t xml:space="preserve"> initiatives</w:t>
            </w:r>
          </w:p>
          <w:p w14:paraId="4CBF5767"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p>
          <w:p w14:paraId="6388EB99" w14:textId="77777777" w:rsidR="00A15021" w:rsidRPr="00045243" w:rsidRDefault="00A15021">
            <w:pPr>
              <w:spacing w:line="257" w:lineRule="auto"/>
              <w:rPr>
                <w:rFonts w:asciiTheme="minorHAnsi" w:eastAsiaTheme="minorEastAsia" w:hAnsiTheme="minorHAnsi" w:cstheme="minorHAnsi"/>
                <w:sz w:val="16"/>
                <w:szCs w:val="16"/>
              </w:rPr>
            </w:pPr>
          </w:p>
        </w:tc>
      </w:tr>
      <w:tr w:rsidR="00A15021" w:rsidRPr="00F50786" w14:paraId="319B7749" w14:textId="77777777" w:rsidTr="2DC80E69">
        <w:trPr>
          <w:trHeight w:val="300"/>
          <w:jc w:val="center"/>
        </w:trPr>
        <w:tc>
          <w:tcPr>
            <w:tcW w:w="747" w:type="dxa"/>
            <w:shd w:val="clear" w:color="auto" w:fill="D9D9D9" w:themeFill="background1" w:themeFillShade="D9"/>
          </w:tcPr>
          <w:p w14:paraId="5B0707FA"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b/>
                <w:bCs/>
                <w:color w:val="000000" w:themeColor="text1"/>
                <w:sz w:val="16"/>
                <w:szCs w:val="16"/>
              </w:rPr>
              <w:lastRenderedPageBreak/>
              <w:t xml:space="preserve">Outputs to </w:t>
            </w:r>
            <w:proofErr w:type="spellStart"/>
            <w:r w:rsidRPr="00045243">
              <w:rPr>
                <w:rFonts w:asciiTheme="minorHAnsi" w:eastAsiaTheme="minorEastAsia" w:hAnsiTheme="minorHAnsi" w:cstheme="minorHAnsi"/>
                <w:b/>
                <w:bCs/>
                <w:color w:val="000000" w:themeColor="text1"/>
                <w:sz w:val="16"/>
                <w:szCs w:val="16"/>
              </w:rPr>
              <w:t>achieve</w:t>
            </w:r>
            <w:proofErr w:type="spellEnd"/>
            <w:r w:rsidRPr="00045243">
              <w:rPr>
                <w:rFonts w:asciiTheme="minorHAnsi" w:eastAsiaTheme="minorEastAsia" w:hAnsiTheme="minorHAnsi" w:cstheme="minorHAnsi"/>
                <w:b/>
                <w:bCs/>
                <w:color w:val="000000" w:themeColor="text1"/>
                <w:sz w:val="16"/>
                <w:szCs w:val="16"/>
              </w:rPr>
              <w:t xml:space="preserve"> </w:t>
            </w:r>
            <w:proofErr w:type="spellStart"/>
            <w:r w:rsidRPr="00045243">
              <w:rPr>
                <w:rFonts w:asciiTheme="minorHAnsi" w:eastAsiaTheme="minorEastAsia" w:hAnsiTheme="minorHAnsi" w:cstheme="minorHAnsi"/>
                <w:b/>
                <w:bCs/>
                <w:color w:val="000000" w:themeColor="text1"/>
                <w:sz w:val="16"/>
                <w:szCs w:val="16"/>
              </w:rPr>
              <w:t>Outcome</w:t>
            </w:r>
            <w:proofErr w:type="spellEnd"/>
            <w:r w:rsidRPr="00045243">
              <w:rPr>
                <w:rFonts w:asciiTheme="minorHAnsi" w:eastAsiaTheme="minorEastAsia" w:hAnsiTheme="minorHAnsi" w:cstheme="minorHAnsi"/>
                <w:b/>
                <w:bCs/>
                <w:color w:val="000000" w:themeColor="text1"/>
                <w:sz w:val="16"/>
                <w:szCs w:val="16"/>
              </w:rPr>
              <w:t xml:space="preserve"> 3.1</w:t>
            </w:r>
            <w:r w:rsidRPr="00045243">
              <w:rPr>
                <w:rFonts w:asciiTheme="minorHAnsi" w:eastAsiaTheme="minorEastAsia" w:hAnsiTheme="minorHAnsi" w:cstheme="minorHAnsi"/>
                <w:color w:val="000000" w:themeColor="text1"/>
                <w:sz w:val="16"/>
                <w:szCs w:val="16"/>
              </w:rPr>
              <w:t xml:space="preserve">  </w:t>
            </w:r>
          </w:p>
        </w:tc>
        <w:tc>
          <w:tcPr>
            <w:tcW w:w="13625" w:type="dxa"/>
            <w:gridSpan w:val="11"/>
          </w:tcPr>
          <w:p w14:paraId="37C9F4C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i/>
                <w:iCs/>
                <w:sz w:val="16"/>
                <w:szCs w:val="16"/>
                <w:lang w:val="en-US"/>
              </w:rPr>
              <w:t>Output 3.1.1</w:t>
            </w:r>
            <w:r w:rsidRPr="003C5C1B">
              <w:rPr>
                <w:rFonts w:asciiTheme="minorHAnsi" w:eastAsiaTheme="minorEastAsia" w:hAnsiTheme="minorHAnsi" w:cstheme="minorHAnsi"/>
                <w:i/>
                <w:iCs/>
                <w:sz w:val="16"/>
                <w:szCs w:val="16"/>
                <w:lang w:val="en-US"/>
              </w:rPr>
              <w:t xml:space="preserve">: The legal and governance framework for classified forest and green spaces is strengthened </w:t>
            </w:r>
            <w:r w:rsidRPr="003C5C1B">
              <w:rPr>
                <w:rFonts w:asciiTheme="minorHAnsi" w:eastAsiaTheme="minorEastAsia" w:hAnsiTheme="minorHAnsi" w:cstheme="minorHAnsi"/>
                <w:sz w:val="16"/>
                <w:szCs w:val="16"/>
                <w:lang w:val="en-US"/>
              </w:rPr>
              <w:t xml:space="preserve"> </w:t>
            </w:r>
          </w:p>
          <w:p w14:paraId="59BFA8BE"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i/>
                <w:iCs/>
                <w:sz w:val="16"/>
                <w:szCs w:val="16"/>
                <w:lang w:val="en-US"/>
              </w:rPr>
              <w:t xml:space="preserve">Output 3.1.2: </w:t>
            </w:r>
            <w:r w:rsidRPr="003C5C1B">
              <w:rPr>
                <w:rFonts w:asciiTheme="minorHAnsi" w:eastAsiaTheme="minorEastAsia" w:hAnsiTheme="minorHAnsi" w:cstheme="minorHAnsi"/>
                <w:i/>
                <w:iCs/>
                <w:sz w:val="16"/>
                <w:szCs w:val="16"/>
                <w:lang w:val="en-US"/>
              </w:rPr>
              <w:t>Capacities of institutions and local communities in knowledge and monitoring of green spaces and forests in Bamako are strengthened</w:t>
            </w:r>
            <w:r w:rsidRPr="003C5C1B">
              <w:rPr>
                <w:rFonts w:asciiTheme="minorHAnsi" w:eastAsiaTheme="minorEastAsia" w:hAnsiTheme="minorHAnsi" w:cstheme="minorHAnsi"/>
                <w:b/>
                <w:bCs/>
                <w:i/>
                <w:iCs/>
                <w:sz w:val="16"/>
                <w:szCs w:val="16"/>
                <w:lang w:val="en-US"/>
              </w:rPr>
              <w:t> </w:t>
            </w:r>
            <w:r w:rsidRPr="003C5C1B">
              <w:rPr>
                <w:rFonts w:asciiTheme="minorHAnsi" w:eastAsiaTheme="minorEastAsia" w:hAnsiTheme="minorHAnsi" w:cstheme="minorHAnsi"/>
                <w:sz w:val="16"/>
                <w:szCs w:val="16"/>
                <w:lang w:val="en-US"/>
              </w:rPr>
              <w:t xml:space="preserve"> </w:t>
            </w:r>
          </w:p>
          <w:p w14:paraId="28B95AF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i/>
                <w:iCs/>
                <w:sz w:val="16"/>
                <w:szCs w:val="16"/>
                <w:lang w:val="en-US"/>
              </w:rPr>
              <w:t xml:space="preserve">Output 3.1.3: </w:t>
            </w:r>
            <w:r w:rsidRPr="003C5C1B">
              <w:rPr>
                <w:rFonts w:asciiTheme="minorHAnsi" w:eastAsiaTheme="minorEastAsia" w:hAnsiTheme="minorHAnsi" w:cstheme="minorHAnsi"/>
                <w:i/>
                <w:iCs/>
                <w:sz w:val="16"/>
                <w:szCs w:val="16"/>
                <w:lang w:val="en-US"/>
              </w:rPr>
              <w:t>The development and management of Bamako's classified forests, and urban green spaces is strengthened to consider inclusiveness and climate resilience</w:t>
            </w:r>
            <w:r w:rsidRPr="003C5C1B">
              <w:rPr>
                <w:rFonts w:asciiTheme="minorHAnsi" w:eastAsiaTheme="minorEastAsia" w:hAnsiTheme="minorHAnsi" w:cstheme="minorHAnsi"/>
                <w:sz w:val="16"/>
                <w:szCs w:val="16"/>
                <w:lang w:val="en-US"/>
              </w:rPr>
              <w:t xml:space="preserve"> </w:t>
            </w:r>
          </w:p>
          <w:p w14:paraId="69E281D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i/>
                <w:iCs/>
                <w:sz w:val="16"/>
                <w:szCs w:val="16"/>
                <w:lang w:val="en-US"/>
              </w:rPr>
              <w:t>Output 3.1.4</w:t>
            </w:r>
            <w:r w:rsidRPr="003C5C1B">
              <w:rPr>
                <w:rFonts w:asciiTheme="minorHAnsi" w:eastAsiaTheme="minorEastAsia" w:hAnsiTheme="minorHAnsi" w:cstheme="minorHAnsi"/>
                <w:i/>
                <w:iCs/>
                <w:sz w:val="16"/>
                <w:szCs w:val="16"/>
                <w:lang w:val="en-US"/>
              </w:rPr>
              <w:t>: Pilot investments (80% of which are structuring) are deployed by public-private partnerships on the green belt and green spaces in accordance with the new urban master plan for Bamako</w:t>
            </w:r>
            <w:r w:rsidRPr="003C5C1B">
              <w:rPr>
                <w:rFonts w:asciiTheme="minorHAnsi" w:eastAsiaTheme="minorEastAsia" w:hAnsiTheme="minorHAnsi" w:cstheme="minorHAnsi"/>
                <w:sz w:val="16"/>
                <w:szCs w:val="16"/>
                <w:lang w:val="en-US"/>
              </w:rPr>
              <w:t xml:space="preserve"> </w:t>
            </w:r>
          </w:p>
        </w:tc>
      </w:tr>
      <w:tr w:rsidR="00A25847" w:rsidRPr="00045243" w14:paraId="681CEFB5" w14:textId="77777777" w:rsidTr="2DC80E69">
        <w:trPr>
          <w:trHeight w:val="300"/>
          <w:jc w:val="center"/>
        </w:trPr>
        <w:tc>
          <w:tcPr>
            <w:tcW w:w="747" w:type="dxa"/>
            <w:shd w:val="clear" w:color="auto" w:fill="E8E8E8" w:themeFill="background2"/>
          </w:tcPr>
          <w:p w14:paraId="343BFA1F"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b/>
                <w:bCs/>
                <w:color w:val="000000" w:themeColor="text1"/>
                <w:sz w:val="16"/>
                <w:szCs w:val="16"/>
              </w:rPr>
              <w:t>Component 4</w:t>
            </w:r>
            <w:r w:rsidRPr="00045243">
              <w:rPr>
                <w:rFonts w:asciiTheme="minorHAnsi" w:eastAsiaTheme="minorEastAsia" w:hAnsiTheme="minorHAnsi" w:cstheme="minorHAnsi"/>
                <w:color w:val="000000" w:themeColor="text1"/>
                <w:sz w:val="16"/>
                <w:szCs w:val="16"/>
              </w:rPr>
              <w:t xml:space="preserve">  </w:t>
            </w:r>
          </w:p>
        </w:tc>
        <w:tc>
          <w:tcPr>
            <w:tcW w:w="11822" w:type="dxa"/>
            <w:gridSpan w:val="10"/>
            <w:shd w:val="clear" w:color="auto" w:fill="E8E8E8" w:themeFill="background2"/>
          </w:tcPr>
          <w:p w14:paraId="7BF73F7D"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proofErr w:type="spellStart"/>
            <w:r w:rsidRPr="00045243">
              <w:rPr>
                <w:rFonts w:asciiTheme="minorHAnsi" w:eastAsiaTheme="minorEastAsia" w:hAnsiTheme="minorHAnsi" w:cstheme="minorHAnsi"/>
                <w:b/>
                <w:bCs/>
                <w:i/>
                <w:iCs/>
                <w:color w:val="000000" w:themeColor="text1"/>
                <w:sz w:val="16"/>
                <w:szCs w:val="16"/>
              </w:rPr>
              <w:t>Knowledge</w:t>
            </w:r>
            <w:proofErr w:type="spellEnd"/>
            <w:r w:rsidRPr="00045243">
              <w:rPr>
                <w:rFonts w:asciiTheme="minorHAnsi" w:eastAsiaTheme="minorEastAsia" w:hAnsiTheme="minorHAnsi" w:cstheme="minorHAnsi"/>
                <w:b/>
                <w:bCs/>
                <w:i/>
                <w:iCs/>
                <w:color w:val="000000" w:themeColor="text1"/>
                <w:sz w:val="16"/>
                <w:szCs w:val="16"/>
              </w:rPr>
              <w:t xml:space="preserve"> management and communication</w:t>
            </w:r>
            <w:r w:rsidRPr="00045243">
              <w:rPr>
                <w:rFonts w:asciiTheme="minorHAnsi" w:eastAsiaTheme="minorEastAsia" w:hAnsiTheme="minorHAnsi" w:cstheme="minorHAnsi"/>
                <w:color w:val="000000" w:themeColor="text1"/>
                <w:sz w:val="16"/>
                <w:szCs w:val="16"/>
              </w:rPr>
              <w:t xml:space="preserve">  </w:t>
            </w:r>
          </w:p>
        </w:tc>
        <w:tc>
          <w:tcPr>
            <w:tcW w:w="1803" w:type="dxa"/>
            <w:shd w:val="clear" w:color="auto" w:fill="E8E8E8" w:themeFill="background2"/>
          </w:tcPr>
          <w:p w14:paraId="574BA282" w14:textId="77777777" w:rsidR="00A15021" w:rsidRPr="00045243" w:rsidRDefault="00A15021">
            <w:pPr>
              <w:spacing w:line="257" w:lineRule="auto"/>
              <w:rPr>
                <w:rFonts w:asciiTheme="minorHAnsi" w:eastAsiaTheme="minorEastAsia" w:hAnsiTheme="minorHAnsi" w:cstheme="minorHAnsi"/>
                <w:i/>
                <w:iCs/>
                <w:color w:val="000000" w:themeColor="text1"/>
                <w:sz w:val="16"/>
                <w:szCs w:val="16"/>
              </w:rPr>
            </w:pPr>
          </w:p>
        </w:tc>
      </w:tr>
      <w:tr w:rsidR="00A15021" w:rsidRPr="00045243" w14:paraId="3CB61D9F" w14:textId="77777777" w:rsidTr="2DC80E69">
        <w:trPr>
          <w:trHeight w:val="300"/>
          <w:jc w:val="center"/>
        </w:trPr>
        <w:tc>
          <w:tcPr>
            <w:tcW w:w="747" w:type="dxa"/>
            <w:shd w:val="clear" w:color="auto" w:fill="D9D9D9" w:themeFill="background1" w:themeFillShade="D9"/>
          </w:tcPr>
          <w:p w14:paraId="02C16155"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u w:val="single"/>
                <w:lang w:val="en-US"/>
              </w:rPr>
              <w:t>Outcome</w:t>
            </w:r>
            <w:r w:rsidRPr="003C5C1B">
              <w:rPr>
                <w:rFonts w:asciiTheme="minorHAnsi" w:eastAsiaTheme="minorEastAsia" w:hAnsiTheme="minorHAnsi" w:cstheme="minorHAnsi"/>
                <w:b/>
                <w:bCs/>
                <w:color w:val="000000" w:themeColor="text1"/>
                <w:sz w:val="16"/>
                <w:szCs w:val="16"/>
                <w:lang w:val="en-US"/>
              </w:rPr>
              <w:t xml:space="preserve"> 4.1</w:t>
            </w:r>
            <w:r w:rsidRPr="003C5C1B">
              <w:rPr>
                <w:rFonts w:asciiTheme="minorHAnsi" w:eastAsiaTheme="minorEastAsia" w:hAnsiTheme="minorHAnsi" w:cstheme="minorHAnsi"/>
                <w:color w:val="000000" w:themeColor="text1"/>
                <w:sz w:val="16"/>
                <w:szCs w:val="16"/>
                <w:lang w:val="en-US"/>
              </w:rPr>
              <w:t xml:space="preserve">  </w:t>
            </w:r>
          </w:p>
          <w:p w14:paraId="4FBFB11A"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Strategic knowle</w:t>
            </w:r>
            <w:r w:rsidRPr="003C5C1B">
              <w:rPr>
                <w:rFonts w:asciiTheme="minorHAnsi" w:eastAsiaTheme="minorEastAsia" w:hAnsiTheme="minorHAnsi" w:cstheme="minorHAnsi"/>
                <w:color w:val="000000" w:themeColor="text1"/>
                <w:sz w:val="16"/>
                <w:szCs w:val="16"/>
                <w:lang w:val="en-US"/>
              </w:rPr>
              <w:lastRenderedPageBreak/>
              <w:t xml:space="preserve">dge management and gender-sensitive communication amplify the impact of the project and contribute to behavioral and institutional shifts toward sustainable urban development.  </w:t>
            </w:r>
          </w:p>
          <w:p w14:paraId="07FA0745"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 </w:t>
            </w:r>
          </w:p>
          <w:p w14:paraId="1DF59DDD"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 </w:t>
            </w:r>
          </w:p>
        </w:tc>
        <w:tc>
          <w:tcPr>
            <w:tcW w:w="1545" w:type="dxa"/>
            <w:gridSpan w:val="2"/>
          </w:tcPr>
          <w:p w14:paraId="72B5D8CF"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i/>
                <w:iCs/>
                <w:sz w:val="16"/>
                <w:szCs w:val="16"/>
                <w:highlight w:val="yellow"/>
                <w:u w:val="single"/>
                <w:lang w:val="en-US"/>
              </w:rPr>
              <w:lastRenderedPageBreak/>
              <w:t>Indicator 16</w:t>
            </w:r>
            <w:r w:rsidRPr="003C5C1B">
              <w:rPr>
                <w:rFonts w:asciiTheme="minorHAnsi" w:eastAsiaTheme="minorEastAsia" w:hAnsiTheme="minorHAnsi" w:cstheme="minorHAnsi"/>
                <w:i/>
                <w:iCs/>
                <w:sz w:val="16"/>
                <w:szCs w:val="16"/>
                <w:highlight w:val="yellow"/>
                <w:lang w:val="en-US"/>
              </w:rPr>
              <w:t xml:space="preserve">: # of gender-sensitive knowledge exchange and training organized </w:t>
            </w:r>
            <w:r w:rsidRPr="003C5C1B">
              <w:rPr>
                <w:rFonts w:asciiTheme="minorHAnsi" w:eastAsiaTheme="minorEastAsia" w:hAnsiTheme="minorHAnsi" w:cstheme="minorHAnsi"/>
                <w:i/>
                <w:iCs/>
                <w:sz w:val="16"/>
                <w:szCs w:val="16"/>
                <w:highlight w:val="yellow"/>
                <w:lang w:val="en-US"/>
              </w:rPr>
              <w:lastRenderedPageBreak/>
              <w:t>at national and territorial level</w:t>
            </w:r>
            <w:r w:rsidRPr="003C5C1B">
              <w:rPr>
                <w:rFonts w:asciiTheme="minorHAnsi" w:eastAsiaTheme="minorEastAsia" w:hAnsiTheme="minorHAnsi" w:cstheme="minorHAnsi"/>
                <w:sz w:val="16"/>
                <w:szCs w:val="16"/>
                <w:highlight w:val="yellow"/>
                <w:lang w:val="en-US"/>
              </w:rPr>
              <w:t xml:space="preserve"> </w:t>
            </w:r>
          </w:p>
          <w:p w14:paraId="454B7FE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2199" w:type="dxa"/>
            <w:gridSpan w:val="2"/>
          </w:tcPr>
          <w:p w14:paraId="7C7585D2"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lastRenderedPageBreak/>
              <w:t xml:space="preserve">PMU monitoring and evaluation reports  </w:t>
            </w:r>
          </w:p>
        </w:tc>
        <w:tc>
          <w:tcPr>
            <w:tcW w:w="1340" w:type="dxa"/>
            <w:gridSpan w:val="2"/>
          </w:tcPr>
          <w:p w14:paraId="439BB42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lang w:val="en-US"/>
              </w:rPr>
              <w:t>Zero because the project has not started yet</w:t>
            </w:r>
            <w:r w:rsidRPr="003C5C1B">
              <w:rPr>
                <w:rFonts w:asciiTheme="minorHAnsi" w:eastAsiaTheme="minorEastAsia" w:hAnsiTheme="minorHAnsi" w:cstheme="minorHAnsi"/>
                <w:sz w:val="16"/>
                <w:szCs w:val="16"/>
                <w:lang w:val="en-US"/>
              </w:rPr>
              <w:t xml:space="preserve"> </w:t>
            </w:r>
          </w:p>
          <w:p w14:paraId="475A7D74"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1018" w:type="dxa"/>
          </w:tcPr>
          <w:p w14:paraId="758BA3B4"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i/>
                <w:iCs/>
                <w:sz w:val="16"/>
                <w:szCs w:val="16"/>
              </w:rPr>
              <w:t>40</w:t>
            </w:r>
            <w:r w:rsidRPr="00045243">
              <w:rPr>
                <w:rFonts w:asciiTheme="minorHAnsi" w:eastAsiaTheme="minorEastAsia" w:hAnsiTheme="minorHAnsi" w:cstheme="minorHAnsi"/>
                <w:sz w:val="16"/>
                <w:szCs w:val="16"/>
              </w:rPr>
              <w:t xml:space="preserve">  </w:t>
            </w:r>
          </w:p>
        </w:tc>
        <w:tc>
          <w:tcPr>
            <w:tcW w:w="1463" w:type="dxa"/>
          </w:tcPr>
          <w:p w14:paraId="0914250F"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i/>
                <w:iCs/>
                <w:sz w:val="16"/>
                <w:szCs w:val="16"/>
              </w:rPr>
              <w:t>100</w:t>
            </w:r>
            <w:r w:rsidRPr="00045243">
              <w:rPr>
                <w:rFonts w:asciiTheme="minorHAnsi" w:eastAsiaTheme="minorEastAsia" w:hAnsiTheme="minorHAnsi" w:cstheme="minorHAnsi"/>
                <w:sz w:val="16"/>
                <w:szCs w:val="16"/>
              </w:rPr>
              <w:t xml:space="preserve">  </w:t>
            </w:r>
          </w:p>
        </w:tc>
        <w:tc>
          <w:tcPr>
            <w:tcW w:w="2195" w:type="dxa"/>
          </w:tcPr>
          <w:p w14:paraId="64DE5CE1"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Simple count of the total number of events organized during the duration of the project, broken down by type, theme and level </w:t>
            </w:r>
            <w:r w:rsidRPr="003C5C1B">
              <w:rPr>
                <w:rFonts w:asciiTheme="minorHAnsi" w:eastAsiaTheme="minorEastAsia" w:hAnsiTheme="minorHAnsi" w:cstheme="minorHAnsi"/>
                <w:sz w:val="16"/>
                <w:szCs w:val="16"/>
                <w:lang w:val="en-US"/>
              </w:rPr>
              <w:lastRenderedPageBreak/>
              <w:t xml:space="preserve">(national/territorial) through:   </w:t>
            </w:r>
          </w:p>
          <w:p w14:paraId="419E18ED" w14:textId="77777777" w:rsidR="00A15021" w:rsidRPr="00045243" w:rsidRDefault="00A15021" w:rsidP="00A15021">
            <w:pPr>
              <w:pStyle w:val="Paragraphedeliste"/>
              <w:numPr>
                <w:ilvl w:val="0"/>
                <w:numId w:val="335"/>
              </w:numPr>
              <w:spacing w:after="0" w:line="257" w:lineRule="auto"/>
              <w:contextualSpacing w:val="0"/>
              <w:rPr>
                <w:rFonts w:asciiTheme="minorHAnsi" w:eastAsiaTheme="minorEastAsia" w:hAnsiTheme="minorHAnsi" w:cstheme="minorHAnsi"/>
                <w:sz w:val="16"/>
                <w:szCs w:val="16"/>
              </w:rPr>
            </w:pPr>
            <w:proofErr w:type="spellStart"/>
            <w:r w:rsidRPr="00045243">
              <w:rPr>
                <w:rFonts w:asciiTheme="minorHAnsi" w:eastAsiaTheme="minorEastAsia" w:hAnsiTheme="minorHAnsi" w:cstheme="minorHAnsi"/>
                <w:sz w:val="16"/>
                <w:szCs w:val="16"/>
              </w:rPr>
              <w:t>Review</w:t>
            </w:r>
            <w:proofErr w:type="spellEnd"/>
            <w:r w:rsidRPr="00045243">
              <w:rPr>
                <w:rFonts w:asciiTheme="minorHAnsi" w:eastAsiaTheme="minorEastAsia" w:hAnsiTheme="minorHAnsi" w:cstheme="minorHAnsi"/>
                <w:sz w:val="16"/>
                <w:szCs w:val="16"/>
              </w:rPr>
              <w:t xml:space="preserve"> of </w:t>
            </w:r>
            <w:proofErr w:type="spellStart"/>
            <w:r w:rsidRPr="00045243">
              <w:rPr>
                <w:rFonts w:asciiTheme="minorHAnsi" w:eastAsiaTheme="minorEastAsia" w:hAnsiTheme="minorHAnsi" w:cstheme="minorHAnsi"/>
                <w:sz w:val="16"/>
                <w:szCs w:val="16"/>
              </w:rPr>
              <w:t>project</w:t>
            </w:r>
            <w:proofErr w:type="spellEnd"/>
            <w:r w:rsidRPr="00045243">
              <w:rPr>
                <w:rFonts w:asciiTheme="minorHAnsi" w:eastAsiaTheme="minorEastAsia" w:hAnsiTheme="minorHAnsi" w:cstheme="minorHAnsi"/>
                <w:sz w:val="16"/>
                <w:szCs w:val="16"/>
              </w:rPr>
              <w:t xml:space="preserve"> </w:t>
            </w:r>
            <w:proofErr w:type="spellStart"/>
            <w:r w:rsidRPr="00045243">
              <w:rPr>
                <w:rFonts w:asciiTheme="minorHAnsi" w:eastAsiaTheme="minorEastAsia" w:hAnsiTheme="minorHAnsi" w:cstheme="minorHAnsi"/>
                <w:sz w:val="16"/>
                <w:szCs w:val="16"/>
              </w:rPr>
              <w:t>activity</w:t>
            </w:r>
            <w:proofErr w:type="spellEnd"/>
            <w:r w:rsidRPr="00045243">
              <w:rPr>
                <w:rFonts w:asciiTheme="minorHAnsi" w:eastAsiaTheme="minorEastAsia" w:hAnsiTheme="minorHAnsi" w:cstheme="minorHAnsi"/>
                <w:sz w:val="16"/>
                <w:szCs w:val="16"/>
              </w:rPr>
              <w:t xml:space="preserve"> reports  </w:t>
            </w:r>
          </w:p>
          <w:p w14:paraId="692F193B" w14:textId="77777777" w:rsidR="00A15021" w:rsidRPr="00045243" w:rsidRDefault="00A15021" w:rsidP="00A15021">
            <w:pPr>
              <w:pStyle w:val="Paragraphedeliste"/>
              <w:numPr>
                <w:ilvl w:val="0"/>
                <w:numId w:val="335"/>
              </w:numPr>
              <w:spacing w:after="0" w:line="257" w:lineRule="auto"/>
              <w:contextualSpacing w:val="0"/>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Participation </w:t>
            </w:r>
            <w:proofErr w:type="spellStart"/>
            <w:r w:rsidRPr="00045243">
              <w:rPr>
                <w:rFonts w:asciiTheme="minorHAnsi" w:eastAsiaTheme="minorEastAsia" w:hAnsiTheme="minorHAnsi" w:cstheme="minorHAnsi"/>
                <w:sz w:val="16"/>
                <w:szCs w:val="16"/>
              </w:rPr>
              <w:t>registers</w:t>
            </w:r>
            <w:proofErr w:type="spellEnd"/>
            <w:r w:rsidRPr="00045243">
              <w:rPr>
                <w:rFonts w:asciiTheme="minorHAnsi" w:eastAsiaTheme="minorEastAsia" w:hAnsiTheme="minorHAnsi" w:cstheme="minorHAnsi"/>
                <w:sz w:val="16"/>
                <w:szCs w:val="16"/>
              </w:rPr>
              <w:t xml:space="preserve">  </w:t>
            </w:r>
          </w:p>
          <w:p w14:paraId="4EE7E42B" w14:textId="77777777" w:rsidR="00A15021" w:rsidRPr="00045243" w:rsidRDefault="00A15021" w:rsidP="00A15021">
            <w:pPr>
              <w:pStyle w:val="Paragraphedeliste"/>
              <w:numPr>
                <w:ilvl w:val="0"/>
                <w:numId w:val="335"/>
              </w:numPr>
              <w:spacing w:after="0" w:line="257" w:lineRule="auto"/>
              <w:contextualSpacing w:val="0"/>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Training reports or </w:t>
            </w:r>
            <w:proofErr w:type="spellStart"/>
            <w:r w:rsidRPr="00045243">
              <w:rPr>
                <w:rFonts w:asciiTheme="minorHAnsi" w:eastAsiaTheme="minorEastAsia" w:hAnsiTheme="minorHAnsi" w:cstheme="minorHAnsi"/>
                <w:sz w:val="16"/>
                <w:szCs w:val="16"/>
              </w:rPr>
              <w:t>event</w:t>
            </w:r>
            <w:proofErr w:type="spellEnd"/>
            <w:r w:rsidRPr="00045243">
              <w:rPr>
                <w:rFonts w:asciiTheme="minorHAnsi" w:eastAsiaTheme="minorEastAsia" w:hAnsiTheme="minorHAnsi" w:cstheme="minorHAnsi"/>
                <w:sz w:val="16"/>
                <w:szCs w:val="16"/>
              </w:rPr>
              <w:t xml:space="preserve"> reports  </w:t>
            </w:r>
          </w:p>
          <w:p w14:paraId="31292980" w14:textId="77777777" w:rsidR="00A15021" w:rsidRPr="003C5C1B" w:rsidRDefault="00A15021" w:rsidP="00A15021">
            <w:pPr>
              <w:pStyle w:val="Paragraphedeliste"/>
              <w:numPr>
                <w:ilvl w:val="0"/>
                <w:numId w:val="335"/>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Digital e-learning or knowledge exchange platforms  </w:t>
            </w:r>
          </w:p>
          <w:p w14:paraId="1329F236" w14:textId="77777777" w:rsidR="00A15021" w:rsidRPr="003C5C1B" w:rsidRDefault="00A15021" w:rsidP="00A15021">
            <w:pPr>
              <w:pStyle w:val="Paragraphedeliste"/>
              <w:numPr>
                <w:ilvl w:val="0"/>
                <w:numId w:val="335"/>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Post-training feedback (session evaluations)  </w:t>
            </w:r>
          </w:p>
          <w:p w14:paraId="4B3DCBDF" w14:textId="77777777" w:rsidR="00A15021" w:rsidRPr="003C5C1B" w:rsidRDefault="00A15021" w:rsidP="00A15021">
            <w:pPr>
              <w:pStyle w:val="Paragraphedeliste"/>
              <w:numPr>
                <w:ilvl w:val="0"/>
                <w:numId w:val="335"/>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lang w:val="en-US"/>
              </w:rPr>
              <w:t>Activity reports of local authorities and CSOs reporting on multisectoral actions</w:t>
            </w:r>
            <w:r w:rsidRPr="003C5C1B">
              <w:rPr>
                <w:rFonts w:asciiTheme="minorHAnsi" w:eastAsiaTheme="minorEastAsia" w:hAnsiTheme="minorHAnsi" w:cstheme="minorHAnsi"/>
                <w:sz w:val="16"/>
                <w:szCs w:val="16"/>
                <w:lang w:val="en-US"/>
              </w:rPr>
              <w:t xml:space="preserve">  </w:t>
            </w:r>
          </w:p>
          <w:p w14:paraId="1CC30414" w14:textId="77777777" w:rsidR="00A15021" w:rsidRPr="003C5C1B" w:rsidRDefault="00A15021" w:rsidP="00A15021">
            <w:pPr>
              <w:pStyle w:val="Paragraphedeliste"/>
              <w:numPr>
                <w:ilvl w:val="0"/>
                <w:numId w:val="335"/>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lang w:val="en-US"/>
              </w:rPr>
              <w:t xml:space="preserve">Case studies and field observations (site visits, video libraries and photo </w:t>
            </w:r>
            <w:proofErr w:type="gramStart"/>
            <w:r w:rsidRPr="003C5C1B">
              <w:rPr>
                <w:rFonts w:asciiTheme="minorHAnsi" w:eastAsiaTheme="minorEastAsia" w:hAnsiTheme="minorHAnsi" w:cstheme="minorHAnsi"/>
                <w:i/>
                <w:iCs/>
                <w:sz w:val="16"/>
                <w:szCs w:val="16"/>
                <w:lang w:val="en-US"/>
              </w:rPr>
              <w:t>library</w:t>
            </w:r>
            <w:proofErr w:type="gramEnd"/>
            <w:r w:rsidRPr="003C5C1B">
              <w:rPr>
                <w:rFonts w:asciiTheme="minorHAnsi" w:eastAsiaTheme="minorEastAsia" w:hAnsiTheme="minorHAnsi" w:cstheme="minorHAnsi"/>
                <w:i/>
                <w:iCs/>
                <w:sz w:val="16"/>
                <w:szCs w:val="16"/>
                <w:lang w:val="en-US"/>
              </w:rPr>
              <w:t xml:space="preserve"> of the project)</w:t>
            </w:r>
            <w:r w:rsidRPr="003C5C1B">
              <w:rPr>
                <w:rFonts w:asciiTheme="minorHAnsi" w:eastAsiaTheme="minorEastAsia" w:hAnsiTheme="minorHAnsi" w:cstheme="minorHAnsi"/>
                <w:sz w:val="16"/>
                <w:szCs w:val="16"/>
                <w:lang w:val="en-US"/>
              </w:rPr>
              <w:t xml:space="preserve">  </w:t>
            </w:r>
          </w:p>
          <w:p w14:paraId="0080337C"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2062" w:type="dxa"/>
          </w:tcPr>
          <w:p w14:paraId="5143C2B6"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lastRenderedPageBreak/>
              <w:t xml:space="preserve">Assumptions: </w:t>
            </w:r>
            <w:r w:rsidRPr="003C5C1B">
              <w:rPr>
                <w:rFonts w:asciiTheme="minorHAnsi" w:eastAsiaTheme="minorEastAsia" w:hAnsiTheme="minorHAnsi" w:cstheme="minorHAnsi"/>
                <w:sz w:val="16"/>
                <w:szCs w:val="16"/>
                <w:lang w:val="en-US"/>
              </w:rPr>
              <w:t xml:space="preserve">  </w:t>
            </w:r>
          </w:p>
          <w:p w14:paraId="2F918F78"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National and local partners are available and open to participate  </w:t>
            </w:r>
          </w:p>
          <w:p w14:paraId="7E39BB3E"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lastRenderedPageBreak/>
              <w:t xml:space="preserve">The training courses are adapted to the real needs of the beneficiaries  </w:t>
            </w:r>
          </w:p>
          <w:p w14:paraId="07D132C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The pedagogical approach is participatory and contextualized  </w:t>
            </w:r>
          </w:p>
          <w:p w14:paraId="7F95126A"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The project has sufficient resources to ensure quality and continuity  </w:t>
            </w:r>
          </w:p>
          <w:p w14:paraId="14F079D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Risks:</w:t>
            </w:r>
            <w:r w:rsidRPr="003C5C1B">
              <w:rPr>
                <w:rFonts w:asciiTheme="minorHAnsi" w:eastAsiaTheme="minorEastAsia" w:hAnsiTheme="minorHAnsi" w:cstheme="minorHAnsi"/>
                <w:sz w:val="16"/>
                <w:szCs w:val="16"/>
                <w:lang w:val="en-US"/>
              </w:rPr>
              <w:t xml:space="preserve">  </w:t>
            </w:r>
          </w:p>
          <w:p w14:paraId="687E5D4E"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low or unrepresentative turnout  </w:t>
            </w:r>
          </w:p>
          <w:p w14:paraId="52CE6861"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Imbalance between national and territorial level  </w:t>
            </w:r>
          </w:p>
          <w:p w14:paraId="5387326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Activities that are too ad hoc or disconnected from local priorities  </w:t>
            </w:r>
          </w:p>
          <w:p w14:paraId="04A62344"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difficulties in measuring the real impact of training on practices  </w:t>
            </w:r>
          </w:p>
        </w:tc>
        <w:tc>
          <w:tcPr>
            <w:tcW w:w="1803" w:type="dxa"/>
          </w:tcPr>
          <w:p w14:paraId="74A3ACDC"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lastRenderedPageBreak/>
              <w:t>Indicator 12</w:t>
            </w:r>
          </w:p>
          <w:p w14:paraId="462B66DD"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 of cities engaged in knowledge exchanges,</w:t>
            </w:r>
          </w:p>
          <w:p w14:paraId="0A15F857"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lastRenderedPageBreak/>
              <w:t>capacity development, and networking activities</w:t>
            </w:r>
          </w:p>
          <w:p w14:paraId="07E4E319"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p>
          <w:p w14:paraId="72E8E01D"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Indicator 13</w:t>
            </w:r>
          </w:p>
          <w:p w14:paraId="6AEAB4EA"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 of subject-matter experts, knowledge and</w:t>
            </w:r>
          </w:p>
          <w:p w14:paraId="492B62ED"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capacity gaps identified, and tools and new</w:t>
            </w:r>
          </w:p>
          <w:p w14:paraId="207F09EC"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 xml:space="preserve">training materials developed </w:t>
            </w:r>
          </w:p>
          <w:p w14:paraId="44AC64D2"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p>
          <w:p w14:paraId="24A4AE13"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p>
          <w:p w14:paraId="5CB6C3F3"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Indicator 17: # of cities that have shared their good</w:t>
            </w:r>
          </w:p>
          <w:p w14:paraId="6A883231"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practices and lessons learned with the SCIP GP</w:t>
            </w:r>
          </w:p>
          <w:p w14:paraId="05FA77BE"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p>
          <w:p w14:paraId="74D063C0"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Indicator 21</w:t>
            </w:r>
          </w:p>
          <w:p w14:paraId="798FB1A3"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 of female staff involved in the decision making</w:t>
            </w:r>
          </w:p>
          <w:p w14:paraId="189EA1D8" w14:textId="77777777" w:rsidR="00A15021" w:rsidRPr="00045243" w:rsidRDefault="00A15021">
            <w:pPr>
              <w:spacing w:line="257" w:lineRule="auto"/>
              <w:rPr>
                <w:rFonts w:asciiTheme="minorHAnsi" w:eastAsiaTheme="minorEastAsia" w:hAnsiTheme="minorHAnsi" w:cstheme="minorHAnsi"/>
                <w:sz w:val="16"/>
                <w:szCs w:val="16"/>
                <w:highlight w:val="yellow"/>
              </w:rPr>
            </w:pPr>
            <w:proofErr w:type="gramStart"/>
            <w:r w:rsidRPr="00045243">
              <w:rPr>
                <w:rFonts w:asciiTheme="minorHAnsi" w:eastAsiaTheme="minorEastAsia" w:hAnsiTheme="minorHAnsi" w:cstheme="minorHAnsi"/>
                <w:sz w:val="16"/>
                <w:szCs w:val="16"/>
                <w:highlight w:val="yellow"/>
              </w:rPr>
              <w:t>process</w:t>
            </w:r>
            <w:proofErr w:type="gramEnd"/>
            <w:r w:rsidRPr="00045243">
              <w:rPr>
                <w:rFonts w:asciiTheme="minorHAnsi" w:eastAsiaTheme="minorEastAsia" w:hAnsiTheme="minorHAnsi" w:cstheme="minorHAnsi"/>
                <w:sz w:val="16"/>
                <w:szCs w:val="16"/>
                <w:highlight w:val="yellow"/>
              </w:rPr>
              <w:t xml:space="preserve"> </w:t>
            </w:r>
            <w:proofErr w:type="spellStart"/>
            <w:r w:rsidRPr="00045243">
              <w:rPr>
                <w:rFonts w:asciiTheme="minorHAnsi" w:eastAsiaTheme="minorEastAsia" w:hAnsiTheme="minorHAnsi" w:cstheme="minorHAnsi"/>
                <w:sz w:val="16"/>
                <w:szCs w:val="16"/>
                <w:highlight w:val="yellow"/>
              </w:rPr>
              <w:t>during</w:t>
            </w:r>
            <w:proofErr w:type="spellEnd"/>
            <w:r w:rsidRPr="00045243">
              <w:rPr>
                <w:rFonts w:asciiTheme="minorHAnsi" w:eastAsiaTheme="minorEastAsia" w:hAnsiTheme="minorHAnsi" w:cstheme="minorHAnsi"/>
                <w:sz w:val="16"/>
                <w:szCs w:val="16"/>
                <w:highlight w:val="yellow"/>
              </w:rPr>
              <w:t xml:space="preserve"> </w:t>
            </w:r>
            <w:proofErr w:type="spellStart"/>
            <w:r w:rsidRPr="00045243">
              <w:rPr>
                <w:rFonts w:asciiTheme="minorHAnsi" w:eastAsiaTheme="minorEastAsia" w:hAnsiTheme="minorHAnsi" w:cstheme="minorHAnsi"/>
                <w:sz w:val="16"/>
                <w:szCs w:val="16"/>
                <w:highlight w:val="yellow"/>
              </w:rPr>
              <w:t>policy</w:t>
            </w:r>
            <w:proofErr w:type="spellEnd"/>
            <w:r w:rsidRPr="00045243">
              <w:rPr>
                <w:rFonts w:asciiTheme="minorHAnsi" w:eastAsiaTheme="minorEastAsia" w:hAnsiTheme="minorHAnsi" w:cstheme="minorHAnsi"/>
                <w:sz w:val="16"/>
                <w:szCs w:val="16"/>
                <w:highlight w:val="yellow"/>
              </w:rPr>
              <w:t xml:space="preserve"> </w:t>
            </w:r>
            <w:proofErr w:type="spellStart"/>
            <w:r w:rsidRPr="00045243">
              <w:rPr>
                <w:rFonts w:asciiTheme="minorHAnsi" w:eastAsiaTheme="minorEastAsia" w:hAnsiTheme="minorHAnsi" w:cstheme="minorHAnsi"/>
                <w:sz w:val="16"/>
                <w:szCs w:val="16"/>
                <w:highlight w:val="yellow"/>
              </w:rPr>
              <w:t>making</w:t>
            </w:r>
            <w:proofErr w:type="spellEnd"/>
            <w:r w:rsidRPr="00045243">
              <w:rPr>
                <w:rFonts w:asciiTheme="minorHAnsi" w:eastAsiaTheme="minorEastAsia" w:hAnsiTheme="minorHAnsi" w:cstheme="minorHAnsi"/>
                <w:sz w:val="16"/>
                <w:szCs w:val="16"/>
                <w:highlight w:val="yellow"/>
              </w:rPr>
              <w:t>.</w:t>
            </w:r>
          </w:p>
          <w:p w14:paraId="18B3970A" w14:textId="77777777" w:rsidR="00A15021" w:rsidRPr="00045243" w:rsidRDefault="00A15021">
            <w:pPr>
              <w:spacing w:line="257" w:lineRule="auto"/>
              <w:rPr>
                <w:rFonts w:asciiTheme="minorHAnsi" w:eastAsiaTheme="minorEastAsia" w:hAnsiTheme="minorHAnsi" w:cstheme="minorHAnsi"/>
                <w:sz w:val="16"/>
                <w:szCs w:val="16"/>
                <w:highlight w:val="yellow"/>
              </w:rPr>
            </w:pPr>
          </w:p>
        </w:tc>
      </w:tr>
      <w:tr w:rsidR="00A15021" w:rsidRPr="00F50786" w14:paraId="7299D39C" w14:textId="77777777" w:rsidTr="2DC80E69">
        <w:trPr>
          <w:trHeight w:val="300"/>
          <w:jc w:val="center"/>
        </w:trPr>
        <w:tc>
          <w:tcPr>
            <w:tcW w:w="747" w:type="dxa"/>
            <w:shd w:val="clear" w:color="auto" w:fill="D9D9D9" w:themeFill="background1" w:themeFillShade="D9"/>
          </w:tcPr>
          <w:p w14:paraId="319B1F13"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color w:val="000000" w:themeColor="text1"/>
                <w:sz w:val="16"/>
                <w:szCs w:val="16"/>
              </w:rPr>
              <w:lastRenderedPageBreak/>
              <w:t xml:space="preserve">  </w:t>
            </w:r>
          </w:p>
        </w:tc>
        <w:tc>
          <w:tcPr>
            <w:tcW w:w="1545" w:type="dxa"/>
            <w:gridSpan w:val="2"/>
          </w:tcPr>
          <w:p w14:paraId="2703EC3A"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highlight w:val="yellow"/>
                <w:lang w:val="en-US"/>
              </w:rPr>
              <w:t xml:space="preserve">Indicator 17: # of partnerships engaged at the national level through the project and at the global level through the Global Platform on Sustainable Cities </w:t>
            </w:r>
            <w:r w:rsidRPr="003C5C1B">
              <w:rPr>
                <w:rFonts w:asciiTheme="minorHAnsi" w:eastAsiaTheme="minorEastAsia" w:hAnsiTheme="minorHAnsi" w:cstheme="minorHAnsi"/>
                <w:sz w:val="16"/>
                <w:szCs w:val="16"/>
                <w:lang w:val="en-US"/>
              </w:rPr>
              <w:t xml:space="preserve">   </w:t>
            </w:r>
          </w:p>
        </w:tc>
        <w:tc>
          <w:tcPr>
            <w:tcW w:w="2199" w:type="dxa"/>
            <w:gridSpan w:val="2"/>
          </w:tcPr>
          <w:p w14:paraId="5C8A3C1E" w14:textId="77777777" w:rsidR="00A15021" w:rsidRPr="003C5C1B" w:rsidRDefault="00A15021" w:rsidP="00A15021">
            <w:pPr>
              <w:pStyle w:val="Paragraphedeliste"/>
              <w:numPr>
                <w:ilvl w:val="0"/>
                <w:numId w:val="329"/>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Project and PMVD Platform Activity Reports  </w:t>
            </w:r>
          </w:p>
          <w:p w14:paraId="3E313CF1" w14:textId="77777777" w:rsidR="00A15021" w:rsidRPr="003C5C1B" w:rsidRDefault="00A15021" w:rsidP="00A15021">
            <w:pPr>
              <w:pStyle w:val="Paragraphedeliste"/>
              <w:numPr>
                <w:ilvl w:val="0"/>
                <w:numId w:val="328"/>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Reports of participation in international events  </w:t>
            </w:r>
          </w:p>
          <w:p w14:paraId="01FBAE90" w14:textId="77777777" w:rsidR="00A15021" w:rsidRPr="003C5C1B" w:rsidRDefault="00A15021" w:rsidP="00A15021">
            <w:pPr>
              <w:pStyle w:val="Paragraphedeliste"/>
              <w:numPr>
                <w:ilvl w:val="0"/>
                <w:numId w:val="327"/>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Monitoring of multi-stakeholder commitments (technical, financial, institutional)  </w:t>
            </w:r>
          </w:p>
          <w:p w14:paraId="2F6488F4"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1340" w:type="dxa"/>
            <w:gridSpan w:val="2"/>
          </w:tcPr>
          <w:p w14:paraId="3EE6CCCA"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lang w:val="en-US"/>
              </w:rPr>
              <w:t>Zero because the project has not started yet</w:t>
            </w:r>
            <w:r w:rsidRPr="003C5C1B">
              <w:rPr>
                <w:rFonts w:asciiTheme="minorHAnsi" w:eastAsiaTheme="minorEastAsia" w:hAnsiTheme="minorHAnsi" w:cstheme="minorHAnsi"/>
                <w:sz w:val="16"/>
                <w:szCs w:val="16"/>
                <w:lang w:val="en-US"/>
              </w:rPr>
              <w:t xml:space="preserve"> </w:t>
            </w:r>
          </w:p>
          <w:p w14:paraId="374B2B3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1018" w:type="dxa"/>
          </w:tcPr>
          <w:p w14:paraId="59C4A70E"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i/>
                <w:iCs/>
                <w:sz w:val="16"/>
                <w:szCs w:val="16"/>
              </w:rPr>
              <w:t>2</w:t>
            </w:r>
            <w:r w:rsidRPr="00045243">
              <w:rPr>
                <w:rFonts w:asciiTheme="minorHAnsi" w:eastAsiaTheme="minorEastAsia" w:hAnsiTheme="minorHAnsi" w:cstheme="minorHAnsi"/>
                <w:sz w:val="16"/>
                <w:szCs w:val="16"/>
              </w:rPr>
              <w:t xml:space="preserve">  </w:t>
            </w:r>
          </w:p>
        </w:tc>
        <w:tc>
          <w:tcPr>
            <w:tcW w:w="1463" w:type="dxa"/>
          </w:tcPr>
          <w:p w14:paraId="68499D06"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i/>
                <w:iCs/>
                <w:sz w:val="16"/>
                <w:szCs w:val="16"/>
              </w:rPr>
              <w:t>5</w:t>
            </w:r>
            <w:r w:rsidRPr="00045243">
              <w:rPr>
                <w:rFonts w:asciiTheme="minorHAnsi" w:eastAsiaTheme="minorEastAsia" w:hAnsiTheme="minorHAnsi" w:cstheme="minorHAnsi"/>
                <w:sz w:val="16"/>
                <w:szCs w:val="16"/>
              </w:rPr>
              <w:t xml:space="preserve">  </w:t>
            </w:r>
          </w:p>
        </w:tc>
        <w:tc>
          <w:tcPr>
            <w:tcW w:w="2195" w:type="dxa"/>
          </w:tcPr>
          <w:p w14:paraId="6B19E052"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Counting of the number of partnerships (MoU, agreements, consortia, letters of intent or collaboration agreements) signed or implemented, distinguished between:  </w:t>
            </w:r>
          </w:p>
          <w:p w14:paraId="5ABF8E44" w14:textId="77777777" w:rsidR="00A15021" w:rsidRPr="003C5C1B" w:rsidRDefault="00A15021" w:rsidP="00A15021">
            <w:pPr>
              <w:pStyle w:val="Paragraphedeliste"/>
              <w:numPr>
                <w:ilvl w:val="0"/>
                <w:numId w:val="326"/>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National</w:t>
            </w:r>
            <w:r w:rsidRPr="003C5C1B">
              <w:rPr>
                <w:rFonts w:asciiTheme="minorHAnsi" w:eastAsiaTheme="minorEastAsia" w:hAnsiTheme="minorHAnsi" w:cstheme="minorHAnsi"/>
                <w:sz w:val="16"/>
                <w:szCs w:val="16"/>
                <w:lang w:val="en-US"/>
              </w:rPr>
              <w:t xml:space="preserve"> (created directly by the project)  </w:t>
            </w:r>
          </w:p>
          <w:p w14:paraId="01C1B6E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International</w:t>
            </w:r>
            <w:r w:rsidRPr="003C5C1B">
              <w:rPr>
                <w:rFonts w:asciiTheme="minorHAnsi" w:eastAsiaTheme="minorEastAsia" w:hAnsiTheme="minorHAnsi" w:cstheme="minorHAnsi"/>
                <w:sz w:val="16"/>
                <w:szCs w:val="16"/>
                <w:lang w:val="en-US"/>
              </w:rPr>
              <w:t xml:space="preserve"> (within or with the support of the GPSC Platform)  </w:t>
            </w:r>
          </w:p>
          <w:p w14:paraId="7F915FA0" w14:textId="77777777" w:rsidR="00A15021" w:rsidRPr="00045243" w:rsidRDefault="00A15021">
            <w:pPr>
              <w:spacing w:line="257" w:lineRule="auto"/>
              <w:rPr>
                <w:rFonts w:asciiTheme="minorHAnsi" w:eastAsiaTheme="minorEastAsia" w:hAnsiTheme="minorHAnsi" w:cstheme="minorHAnsi"/>
                <w:sz w:val="16"/>
                <w:szCs w:val="16"/>
              </w:rPr>
            </w:pPr>
            <w:proofErr w:type="spellStart"/>
            <w:r w:rsidRPr="00045243">
              <w:rPr>
                <w:rFonts w:asciiTheme="minorHAnsi" w:eastAsiaTheme="minorEastAsia" w:hAnsiTheme="minorHAnsi" w:cstheme="minorHAnsi"/>
                <w:sz w:val="16"/>
                <w:szCs w:val="16"/>
              </w:rPr>
              <w:t>Through</w:t>
            </w:r>
            <w:proofErr w:type="spellEnd"/>
            <w:r w:rsidRPr="00045243">
              <w:rPr>
                <w:rFonts w:asciiTheme="minorHAnsi" w:eastAsiaTheme="minorEastAsia" w:hAnsiTheme="minorHAnsi" w:cstheme="minorHAnsi"/>
                <w:sz w:val="16"/>
                <w:szCs w:val="16"/>
              </w:rPr>
              <w:t xml:space="preserve"> the participation </w:t>
            </w:r>
            <w:proofErr w:type="gramStart"/>
            <w:r w:rsidRPr="00045243">
              <w:rPr>
                <w:rFonts w:asciiTheme="minorHAnsi" w:eastAsiaTheme="minorEastAsia" w:hAnsiTheme="minorHAnsi" w:cstheme="minorHAnsi"/>
                <w:sz w:val="16"/>
                <w:szCs w:val="16"/>
              </w:rPr>
              <w:t>of:</w:t>
            </w:r>
            <w:proofErr w:type="gramEnd"/>
            <w:r w:rsidRPr="00045243">
              <w:rPr>
                <w:rFonts w:asciiTheme="minorHAnsi" w:eastAsiaTheme="minorEastAsia" w:hAnsiTheme="minorHAnsi" w:cstheme="minorHAnsi"/>
                <w:sz w:val="16"/>
                <w:szCs w:val="16"/>
              </w:rPr>
              <w:t xml:space="preserve">   </w:t>
            </w:r>
          </w:p>
          <w:p w14:paraId="070E7C6F" w14:textId="77777777" w:rsidR="00A15021" w:rsidRPr="00045243" w:rsidRDefault="00A15021" w:rsidP="00A15021">
            <w:pPr>
              <w:pStyle w:val="Paragraphedeliste"/>
              <w:numPr>
                <w:ilvl w:val="0"/>
                <w:numId w:val="324"/>
              </w:numPr>
              <w:spacing w:after="0" w:line="257" w:lineRule="auto"/>
              <w:contextualSpacing w:val="0"/>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Project Management Unit  </w:t>
            </w:r>
          </w:p>
          <w:p w14:paraId="51C869BE" w14:textId="77777777" w:rsidR="00A15021" w:rsidRPr="00045243" w:rsidRDefault="00A15021" w:rsidP="00A15021">
            <w:pPr>
              <w:pStyle w:val="Paragraphedeliste"/>
              <w:numPr>
                <w:ilvl w:val="0"/>
                <w:numId w:val="323"/>
              </w:numPr>
              <w:spacing w:after="0" w:line="257" w:lineRule="auto"/>
              <w:contextualSpacing w:val="0"/>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Partner </w:t>
            </w:r>
            <w:proofErr w:type="spellStart"/>
            <w:r w:rsidRPr="00045243">
              <w:rPr>
                <w:rFonts w:asciiTheme="minorHAnsi" w:eastAsiaTheme="minorEastAsia" w:hAnsiTheme="minorHAnsi" w:cstheme="minorHAnsi"/>
                <w:sz w:val="16"/>
                <w:szCs w:val="16"/>
              </w:rPr>
              <w:t>Departments</w:t>
            </w:r>
            <w:proofErr w:type="spellEnd"/>
            <w:r w:rsidRPr="00045243">
              <w:rPr>
                <w:rFonts w:asciiTheme="minorHAnsi" w:eastAsiaTheme="minorEastAsia" w:hAnsiTheme="minorHAnsi" w:cstheme="minorHAnsi"/>
                <w:sz w:val="16"/>
                <w:szCs w:val="16"/>
              </w:rPr>
              <w:t xml:space="preserve"> and </w:t>
            </w:r>
            <w:proofErr w:type="spellStart"/>
            <w:r w:rsidRPr="00045243">
              <w:rPr>
                <w:rFonts w:asciiTheme="minorHAnsi" w:eastAsiaTheme="minorEastAsia" w:hAnsiTheme="minorHAnsi" w:cstheme="minorHAnsi"/>
                <w:sz w:val="16"/>
                <w:szCs w:val="16"/>
              </w:rPr>
              <w:t>Agencies</w:t>
            </w:r>
            <w:proofErr w:type="spellEnd"/>
            <w:r w:rsidRPr="00045243">
              <w:rPr>
                <w:rFonts w:asciiTheme="minorHAnsi" w:eastAsiaTheme="minorEastAsia" w:hAnsiTheme="minorHAnsi" w:cstheme="minorHAnsi"/>
                <w:sz w:val="16"/>
                <w:szCs w:val="16"/>
              </w:rPr>
              <w:t xml:space="preserve">  </w:t>
            </w:r>
          </w:p>
          <w:p w14:paraId="108D7970" w14:textId="77777777" w:rsidR="00A15021" w:rsidRPr="003C5C1B" w:rsidRDefault="00A15021" w:rsidP="00A15021">
            <w:pPr>
              <w:pStyle w:val="Paragraphedeliste"/>
              <w:numPr>
                <w:ilvl w:val="0"/>
                <w:numId w:val="322"/>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Secretariat or documentation of the Platform ̈PMVD  </w:t>
            </w:r>
          </w:p>
          <w:p w14:paraId="1E78883E" w14:textId="77777777" w:rsidR="00A15021" w:rsidRPr="003C5C1B" w:rsidRDefault="00A15021" w:rsidP="00A15021">
            <w:pPr>
              <w:pStyle w:val="Paragraphedeliste"/>
              <w:numPr>
                <w:ilvl w:val="0"/>
                <w:numId w:val="321"/>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Non-state actors (NGOs, companies, researchers, etc.)  </w:t>
            </w:r>
          </w:p>
          <w:p w14:paraId="110F821A"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p w14:paraId="1AFECF2D"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2062" w:type="dxa"/>
          </w:tcPr>
          <w:p w14:paraId="3C5EBFE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 xml:space="preserve">Assumptions: </w:t>
            </w:r>
            <w:r w:rsidRPr="003C5C1B">
              <w:rPr>
                <w:rFonts w:asciiTheme="minorHAnsi" w:eastAsiaTheme="minorEastAsia" w:hAnsiTheme="minorHAnsi" w:cstheme="minorHAnsi"/>
                <w:sz w:val="16"/>
                <w:szCs w:val="16"/>
                <w:lang w:val="en-US"/>
              </w:rPr>
              <w:t xml:space="preserve"> </w:t>
            </w:r>
          </w:p>
          <w:p w14:paraId="19F3B5A4"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The project is recognized as a credible framework for dialogue and cooperation  </w:t>
            </w:r>
          </w:p>
          <w:p w14:paraId="358C1012"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The identified partners have interests aligned with the project objectives  </w:t>
            </w:r>
          </w:p>
          <w:p w14:paraId="595164E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Participation in the GPSC Platform is active and sustained  </w:t>
            </w:r>
          </w:p>
          <w:p w14:paraId="2299782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There is a political and institutional will to engage in open partnerships  </w:t>
            </w:r>
          </w:p>
          <w:p w14:paraId="74A3D991"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Risks</w:t>
            </w:r>
            <w:r w:rsidRPr="003C5C1B">
              <w:rPr>
                <w:rFonts w:asciiTheme="minorHAnsi" w:eastAsiaTheme="minorEastAsia" w:hAnsiTheme="minorHAnsi" w:cstheme="minorHAnsi"/>
                <w:b/>
                <w:bCs/>
                <w:i/>
                <w:iCs/>
                <w:sz w:val="16"/>
                <w:szCs w:val="16"/>
                <w:lang w:val="en-US"/>
              </w:rPr>
              <w:t>: </w:t>
            </w:r>
            <w:r w:rsidRPr="003C5C1B">
              <w:rPr>
                <w:rFonts w:asciiTheme="minorHAnsi" w:eastAsiaTheme="minorEastAsia" w:hAnsiTheme="minorHAnsi" w:cstheme="minorHAnsi"/>
                <w:sz w:val="16"/>
                <w:szCs w:val="16"/>
                <w:lang w:val="en-US"/>
              </w:rPr>
              <w:t xml:space="preserve">  </w:t>
            </w:r>
          </w:p>
          <w:p w14:paraId="4CDE889C"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Symbolic partnerships without real or operational commitments  </w:t>
            </w:r>
          </w:p>
          <w:p w14:paraId="102BA91C"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Difficulty maintaining or institutionalizing collaborations  </w:t>
            </w:r>
          </w:p>
          <w:p w14:paraId="760341E1"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Low visibility of the project at the international level  </w:t>
            </w:r>
          </w:p>
          <w:p w14:paraId="7603431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Reliance on key individuals instead of institutionally entrenched partnerships  </w:t>
            </w:r>
          </w:p>
        </w:tc>
        <w:tc>
          <w:tcPr>
            <w:tcW w:w="1803" w:type="dxa"/>
          </w:tcPr>
          <w:p w14:paraId="76325213"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Indicator 15</w:t>
            </w:r>
          </w:p>
          <w:p w14:paraId="03839911"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 of urban practitioners that used the</w:t>
            </w:r>
          </w:p>
          <w:p w14:paraId="6A93E5E2"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knowledge acquired from the training or</w:t>
            </w:r>
          </w:p>
          <w:p w14:paraId="46E6FE98"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materials from SCIP GP (gender</w:t>
            </w:r>
          </w:p>
          <w:p w14:paraId="26C1F1D9"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disaggregated)</w:t>
            </w:r>
          </w:p>
          <w:p w14:paraId="7967E97F"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p>
          <w:p w14:paraId="22759AE9"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Indicator 14</w:t>
            </w:r>
          </w:p>
          <w:p w14:paraId="14C4942B"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 of cities, partner organizations and political</w:t>
            </w:r>
          </w:p>
          <w:p w14:paraId="5474FFF3"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sz w:val="16"/>
                <w:szCs w:val="16"/>
                <w:highlight w:val="yellow"/>
                <w:lang w:val="en-US"/>
              </w:rPr>
              <w:t>leadership convened to exchange</w:t>
            </w:r>
          </w:p>
          <w:p w14:paraId="278BEE5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highlight w:val="yellow"/>
                <w:lang w:val="en-US"/>
              </w:rPr>
              <w:t>knowledge and raise ambitions</w:t>
            </w:r>
          </w:p>
          <w:p w14:paraId="3E422F28" w14:textId="77777777" w:rsidR="00A15021" w:rsidRPr="003C5C1B" w:rsidRDefault="00A15021">
            <w:pPr>
              <w:spacing w:line="257" w:lineRule="auto"/>
              <w:rPr>
                <w:rFonts w:asciiTheme="minorHAnsi" w:eastAsiaTheme="minorEastAsia" w:hAnsiTheme="minorHAnsi" w:cstheme="minorHAnsi"/>
                <w:sz w:val="16"/>
                <w:szCs w:val="16"/>
                <w:lang w:val="en-US"/>
              </w:rPr>
            </w:pPr>
          </w:p>
          <w:p w14:paraId="0C17DEF0" w14:textId="77777777" w:rsidR="00A15021" w:rsidRPr="003C5C1B" w:rsidRDefault="00A15021">
            <w:pPr>
              <w:spacing w:line="257" w:lineRule="auto"/>
              <w:rPr>
                <w:rFonts w:asciiTheme="minorHAnsi" w:eastAsiaTheme="minorEastAsia" w:hAnsiTheme="minorHAnsi" w:cstheme="minorHAnsi"/>
                <w:sz w:val="16"/>
                <w:szCs w:val="16"/>
                <w:lang w:val="en-US"/>
              </w:rPr>
            </w:pPr>
          </w:p>
          <w:p w14:paraId="0AD042A8" w14:textId="77777777" w:rsidR="00A15021" w:rsidRPr="003C5C1B" w:rsidRDefault="00A15021">
            <w:pPr>
              <w:spacing w:line="257" w:lineRule="auto"/>
              <w:rPr>
                <w:rFonts w:asciiTheme="minorHAnsi" w:eastAsiaTheme="minorEastAsia" w:hAnsiTheme="minorHAnsi" w:cstheme="minorHAnsi"/>
                <w:b/>
                <w:bCs/>
                <w:sz w:val="16"/>
                <w:szCs w:val="16"/>
                <w:lang w:val="en-US"/>
              </w:rPr>
            </w:pPr>
          </w:p>
        </w:tc>
      </w:tr>
      <w:tr w:rsidR="00A15021" w:rsidRPr="00F50786" w14:paraId="7A774C5E" w14:textId="77777777" w:rsidTr="2DC80E69">
        <w:trPr>
          <w:trHeight w:val="300"/>
          <w:jc w:val="center"/>
        </w:trPr>
        <w:tc>
          <w:tcPr>
            <w:tcW w:w="747" w:type="dxa"/>
            <w:shd w:val="clear" w:color="auto" w:fill="D9D9D9" w:themeFill="background1" w:themeFillShade="D9"/>
          </w:tcPr>
          <w:p w14:paraId="12580ACD"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b/>
                <w:bCs/>
                <w:color w:val="000000" w:themeColor="text1"/>
                <w:sz w:val="16"/>
                <w:szCs w:val="16"/>
                <w:u w:val="single"/>
              </w:rPr>
              <w:t>Outputs</w:t>
            </w:r>
            <w:r w:rsidRPr="00045243">
              <w:rPr>
                <w:rFonts w:asciiTheme="minorHAnsi" w:eastAsiaTheme="minorEastAsia" w:hAnsiTheme="minorHAnsi" w:cstheme="minorHAnsi"/>
                <w:b/>
                <w:bCs/>
                <w:color w:val="000000" w:themeColor="text1"/>
                <w:sz w:val="16"/>
                <w:szCs w:val="16"/>
              </w:rPr>
              <w:t xml:space="preserve"> to </w:t>
            </w:r>
            <w:proofErr w:type="spellStart"/>
            <w:r w:rsidRPr="00045243">
              <w:rPr>
                <w:rFonts w:asciiTheme="minorHAnsi" w:eastAsiaTheme="minorEastAsia" w:hAnsiTheme="minorHAnsi" w:cstheme="minorHAnsi"/>
                <w:b/>
                <w:bCs/>
                <w:color w:val="000000" w:themeColor="text1"/>
                <w:sz w:val="16"/>
                <w:szCs w:val="16"/>
              </w:rPr>
              <w:t>achieve</w:t>
            </w:r>
            <w:proofErr w:type="spellEnd"/>
            <w:r w:rsidRPr="00045243">
              <w:rPr>
                <w:rFonts w:asciiTheme="minorHAnsi" w:eastAsiaTheme="minorEastAsia" w:hAnsiTheme="minorHAnsi" w:cstheme="minorHAnsi"/>
                <w:b/>
                <w:bCs/>
                <w:color w:val="000000" w:themeColor="text1"/>
                <w:sz w:val="16"/>
                <w:szCs w:val="16"/>
              </w:rPr>
              <w:t xml:space="preserve"> </w:t>
            </w:r>
            <w:proofErr w:type="spellStart"/>
            <w:r w:rsidRPr="00045243">
              <w:rPr>
                <w:rFonts w:asciiTheme="minorHAnsi" w:eastAsiaTheme="minorEastAsia" w:hAnsiTheme="minorHAnsi" w:cstheme="minorHAnsi"/>
                <w:b/>
                <w:bCs/>
                <w:color w:val="000000" w:themeColor="text1"/>
                <w:sz w:val="16"/>
                <w:szCs w:val="16"/>
                <w:u w:val="single"/>
              </w:rPr>
              <w:t>Outcome</w:t>
            </w:r>
            <w:proofErr w:type="spellEnd"/>
            <w:r w:rsidRPr="00045243">
              <w:rPr>
                <w:rFonts w:asciiTheme="minorHAnsi" w:eastAsiaTheme="minorEastAsia" w:hAnsiTheme="minorHAnsi" w:cstheme="minorHAnsi"/>
                <w:b/>
                <w:bCs/>
                <w:color w:val="000000" w:themeColor="text1"/>
                <w:sz w:val="16"/>
                <w:szCs w:val="16"/>
              </w:rPr>
              <w:t xml:space="preserve"> 4.1</w:t>
            </w:r>
            <w:r w:rsidRPr="00045243">
              <w:rPr>
                <w:rFonts w:asciiTheme="minorHAnsi" w:eastAsiaTheme="minorEastAsia" w:hAnsiTheme="minorHAnsi" w:cstheme="minorHAnsi"/>
                <w:color w:val="000000" w:themeColor="text1"/>
                <w:sz w:val="16"/>
                <w:szCs w:val="16"/>
              </w:rPr>
              <w:t xml:space="preserve">  </w:t>
            </w:r>
          </w:p>
        </w:tc>
        <w:tc>
          <w:tcPr>
            <w:tcW w:w="13625" w:type="dxa"/>
            <w:gridSpan w:val="11"/>
          </w:tcPr>
          <w:p w14:paraId="52D96EAA" w14:textId="388CB6DD" w:rsidR="00A15021" w:rsidRPr="003C5C1B" w:rsidRDefault="00A85F0B" w:rsidP="001D5220">
            <w:pPr>
              <w:spacing w:line="257" w:lineRule="auto"/>
              <w:rPr>
                <w:rFonts w:asciiTheme="minorHAnsi" w:eastAsiaTheme="minorEastAsia" w:hAnsiTheme="minorHAnsi" w:cstheme="minorHAnsi"/>
                <w:sz w:val="16"/>
                <w:szCs w:val="16"/>
                <w:lang w:val="en-US"/>
              </w:rPr>
            </w:pPr>
            <w:r w:rsidRPr="00A85F0B">
              <w:rPr>
                <w:rFonts w:asciiTheme="minorHAnsi" w:eastAsiaTheme="minorEastAsia" w:hAnsiTheme="minorHAnsi" w:cstheme="minorHAnsi"/>
                <w:sz w:val="16"/>
                <w:szCs w:val="16"/>
                <w:lang w:val="en-US"/>
              </w:rPr>
              <w:t>Outpu</w:t>
            </w:r>
            <w:r>
              <w:rPr>
                <w:rFonts w:asciiTheme="minorHAnsi" w:eastAsiaTheme="minorEastAsia" w:hAnsiTheme="minorHAnsi" w:cstheme="minorHAnsi"/>
                <w:sz w:val="16"/>
                <w:szCs w:val="16"/>
                <w:lang w:val="en-US"/>
              </w:rPr>
              <w:t xml:space="preserve">t </w:t>
            </w:r>
            <w:proofErr w:type="gramStart"/>
            <w:r>
              <w:rPr>
                <w:rFonts w:asciiTheme="minorHAnsi" w:eastAsiaTheme="minorEastAsia" w:hAnsiTheme="minorHAnsi" w:cstheme="minorHAnsi"/>
                <w:sz w:val="16"/>
                <w:szCs w:val="16"/>
                <w:lang w:val="en-US"/>
              </w:rPr>
              <w:t>4.1.1</w:t>
            </w:r>
            <w:r w:rsidRPr="00A85F0B">
              <w:rPr>
                <w:rFonts w:asciiTheme="minorHAnsi" w:eastAsiaTheme="minorEastAsia" w:hAnsiTheme="minorHAnsi" w:cstheme="minorHAnsi"/>
                <w:sz w:val="16"/>
                <w:szCs w:val="16"/>
                <w:lang w:val="en-US"/>
              </w:rPr>
              <w:t xml:space="preserve"> :</w:t>
            </w:r>
            <w:proofErr w:type="gramEnd"/>
            <w:r w:rsidRPr="00A85F0B">
              <w:rPr>
                <w:rFonts w:asciiTheme="minorHAnsi" w:eastAsiaTheme="minorEastAsia" w:hAnsiTheme="minorHAnsi" w:cstheme="minorHAnsi"/>
                <w:sz w:val="16"/>
                <w:szCs w:val="16"/>
                <w:lang w:val="en-US"/>
              </w:rPr>
              <w:t xml:space="preserve"> A gender-responsive knowledge, communication, and capacity-building system is established and operational.</w:t>
            </w:r>
          </w:p>
        </w:tc>
      </w:tr>
      <w:tr w:rsidR="00A25847" w:rsidRPr="00F50786" w14:paraId="03FA50C2" w14:textId="77777777" w:rsidTr="2DC80E69">
        <w:trPr>
          <w:trHeight w:val="300"/>
          <w:jc w:val="center"/>
        </w:trPr>
        <w:tc>
          <w:tcPr>
            <w:tcW w:w="747" w:type="dxa"/>
            <w:shd w:val="clear" w:color="auto" w:fill="D9D9D9" w:themeFill="background1" w:themeFillShade="D9"/>
          </w:tcPr>
          <w:p w14:paraId="4DB99F78"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b/>
                <w:bCs/>
                <w:color w:val="000000" w:themeColor="text1"/>
                <w:sz w:val="16"/>
                <w:szCs w:val="16"/>
              </w:rPr>
              <w:lastRenderedPageBreak/>
              <w:t>Component 5</w:t>
            </w:r>
            <w:r w:rsidRPr="00045243">
              <w:rPr>
                <w:rFonts w:asciiTheme="minorHAnsi" w:eastAsiaTheme="minorEastAsia" w:hAnsiTheme="minorHAnsi" w:cstheme="minorHAnsi"/>
                <w:color w:val="000000" w:themeColor="text1"/>
                <w:sz w:val="16"/>
                <w:szCs w:val="16"/>
              </w:rPr>
              <w:t xml:space="preserve">  </w:t>
            </w:r>
          </w:p>
        </w:tc>
        <w:tc>
          <w:tcPr>
            <w:tcW w:w="11822" w:type="dxa"/>
            <w:gridSpan w:val="10"/>
            <w:shd w:val="clear" w:color="auto" w:fill="E8E8E8" w:themeFill="background2"/>
          </w:tcPr>
          <w:p w14:paraId="65279908"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i/>
                <w:iCs/>
                <w:color w:val="000000" w:themeColor="text1"/>
                <w:sz w:val="16"/>
                <w:szCs w:val="16"/>
                <w:lang w:val="en-US"/>
              </w:rPr>
              <w:t>Monitoring &amp; Evaluation </w:t>
            </w:r>
            <w:r w:rsidRPr="003C5C1B">
              <w:rPr>
                <w:rFonts w:asciiTheme="minorHAnsi" w:eastAsiaTheme="minorEastAsia" w:hAnsiTheme="minorHAnsi" w:cstheme="minorHAnsi"/>
                <w:color w:val="000000" w:themeColor="text1"/>
                <w:sz w:val="16"/>
                <w:szCs w:val="16"/>
                <w:lang w:val="en-US"/>
              </w:rPr>
              <w:t xml:space="preserve">  </w:t>
            </w:r>
          </w:p>
          <w:p w14:paraId="3B26AAF6"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i/>
                <w:iCs/>
                <w:color w:val="000000" w:themeColor="text1"/>
                <w:sz w:val="16"/>
                <w:szCs w:val="16"/>
                <w:lang w:val="en-US"/>
              </w:rPr>
              <w:t>Copy the project component from table B of the CEO endorsement request. Note the M&amp;E activities to be undertaken under section VI of the project document. </w:t>
            </w:r>
            <w:r w:rsidRPr="003C5C1B">
              <w:rPr>
                <w:rFonts w:asciiTheme="minorHAnsi" w:eastAsiaTheme="minorEastAsia" w:hAnsiTheme="minorHAnsi" w:cstheme="minorHAnsi"/>
                <w:color w:val="000000" w:themeColor="text1"/>
                <w:sz w:val="16"/>
                <w:szCs w:val="16"/>
                <w:lang w:val="en-US"/>
              </w:rPr>
              <w:t xml:space="preserve">  </w:t>
            </w:r>
          </w:p>
        </w:tc>
        <w:tc>
          <w:tcPr>
            <w:tcW w:w="1803" w:type="dxa"/>
            <w:shd w:val="clear" w:color="auto" w:fill="E8E8E8" w:themeFill="background2"/>
          </w:tcPr>
          <w:p w14:paraId="55797E27" w14:textId="77777777" w:rsidR="00A15021" w:rsidRPr="003C5C1B" w:rsidRDefault="00A15021">
            <w:pPr>
              <w:spacing w:line="257" w:lineRule="auto"/>
              <w:rPr>
                <w:rFonts w:asciiTheme="minorHAnsi" w:eastAsiaTheme="minorEastAsia" w:hAnsiTheme="minorHAnsi" w:cstheme="minorHAnsi"/>
                <w:b/>
                <w:bCs/>
                <w:i/>
                <w:iCs/>
                <w:color w:val="000000" w:themeColor="text1"/>
                <w:sz w:val="16"/>
                <w:szCs w:val="16"/>
                <w:lang w:val="en-US"/>
              </w:rPr>
            </w:pPr>
          </w:p>
        </w:tc>
      </w:tr>
      <w:tr w:rsidR="00344861" w:rsidRPr="00F50786" w14:paraId="6E3994A4" w14:textId="77777777" w:rsidTr="2DC80E69">
        <w:trPr>
          <w:trHeight w:val="300"/>
          <w:jc w:val="center"/>
        </w:trPr>
        <w:tc>
          <w:tcPr>
            <w:tcW w:w="747" w:type="dxa"/>
            <w:vMerge w:val="restart"/>
            <w:shd w:val="clear" w:color="auto" w:fill="D9D9D9" w:themeFill="background1" w:themeFillShade="D9"/>
          </w:tcPr>
          <w:p w14:paraId="06632546"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b/>
                <w:bCs/>
                <w:color w:val="000000" w:themeColor="text1"/>
                <w:sz w:val="16"/>
                <w:szCs w:val="16"/>
                <w:u w:val="single"/>
                <w:lang w:val="en-US"/>
              </w:rPr>
              <w:t>Outcome</w:t>
            </w:r>
            <w:r w:rsidRPr="003C5C1B">
              <w:rPr>
                <w:rFonts w:asciiTheme="minorHAnsi" w:eastAsiaTheme="minorEastAsia" w:hAnsiTheme="minorHAnsi" w:cstheme="minorHAnsi"/>
                <w:b/>
                <w:bCs/>
                <w:color w:val="000000" w:themeColor="text1"/>
                <w:sz w:val="16"/>
                <w:szCs w:val="16"/>
                <w:lang w:val="en-US"/>
              </w:rPr>
              <w:t xml:space="preserve"> 5.1 </w:t>
            </w:r>
            <w:r w:rsidRPr="003C5C1B">
              <w:rPr>
                <w:rFonts w:asciiTheme="minorHAnsi" w:eastAsiaTheme="minorEastAsia" w:hAnsiTheme="minorHAnsi" w:cstheme="minorHAnsi"/>
                <w:color w:val="000000" w:themeColor="text1"/>
                <w:sz w:val="16"/>
                <w:szCs w:val="16"/>
                <w:lang w:val="en-US"/>
              </w:rPr>
              <w:t xml:space="preserve">  </w:t>
            </w:r>
          </w:p>
          <w:p w14:paraId="2499AF05" w14:textId="77777777" w:rsidR="00A15021" w:rsidRPr="003C5C1B" w:rsidRDefault="00A15021">
            <w:pPr>
              <w:spacing w:line="257" w:lineRule="auto"/>
              <w:rPr>
                <w:rFonts w:asciiTheme="minorHAnsi" w:eastAsiaTheme="minorEastAsia" w:hAnsiTheme="minorHAnsi" w:cstheme="minorHAnsi"/>
                <w:color w:val="000000" w:themeColor="text1"/>
                <w:sz w:val="16"/>
                <w:szCs w:val="16"/>
                <w:lang w:val="en-US"/>
              </w:rPr>
            </w:pPr>
            <w:r w:rsidRPr="003C5C1B">
              <w:rPr>
                <w:rFonts w:asciiTheme="minorHAnsi" w:eastAsiaTheme="minorEastAsia" w:hAnsiTheme="minorHAnsi" w:cstheme="minorHAnsi"/>
                <w:color w:val="000000" w:themeColor="text1"/>
                <w:sz w:val="16"/>
                <w:szCs w:val="16"/>
                <w:lang w:val="en-US"/>
              </w:rPr>
              <w:t xml:space="preserve">An effective project implementation framework is in place  </w:t>
            </w:r>
          </w:p>
        </w:tc>
        <w:tc>
          <w:tcPr>
            <w:tcW w:w="1185" w:type="dxa"/>
          </w:tcPr>
          <w:p w14:paraId="36DC1C52" w14:textId="77777777" w:rsidR="00A15021" w:rsidRPr="003C5C1B" w:rsidRDefault="00A15021">
            <w:pPr>
              <w:spacing w:line="257" w:lineRule="auto"/>
              <w:rPr>
                <w:rFonts w:asciiTheme="minorHAnsi" w:eastAsiaTheme="minorEastAsia" w:hAnsiTheme="minorHAnsi" w:cstheme="minorHAnsi"/>
                <w:sz w:val="16"/>
                <w:szCs w:val="16"/>
                <w:highlight w:val="yellow"/>
                <w:lang w:val="en-US"/>
              </w:rPr>
            </w:pPr>
            <w:r w:rsidRPr="003C5C1B">
              <w:rPr>
                <w:rFonts w:asciiTheme="minorHAnsi" w:eastAsiaTheme="minorEastAsia" w:hAnsiTheme="minorHAnsi" w:cstheme="minorHAnsi"/>
                <w:i/>
                <w:iCs/>
                <w:sz w:val="16"/>
                <w:szCs w:val="16"/>
                <w:highlight w:val="yellow"/>
                <w:u w:val="single"/>
                <w:lang w:val="en-US"/>
              </w:rPr>
              <w:t>Indicator #18</w:t>
            </w:r>
            <w:r w:rsidRPr="003C5C1B">
              <w:rPr>
                <w:rFonts w:asciiTheme="minorHAnsi" w:eastAsiaTheme="minorEastAsia" w:hAnsiTheme="minorHAnsi" w:cstheme="minorHAnsi"/>
                <w:i/>
                <w:iCs/>
                <w:sz w:val="16"/>
                <w:szCs w:val="16"/>
                <w:highlight w:val="yellow"/>
                <w:lang w:val="en-US"/>
              </w:rPr>
              <w:t>: </w:t>
            </w:r>
            <w:r w:rsidRPr="003C5C1B">
              <w:rPr>
                <w:rFonts w:asciiTheme="minorHAnsi" w:eastAsiaTheme="minorEastAsia" w:hAnsiTheme="minorHAnsi" w:cstheme="minorHAnsi"/>
                <w:sz w:val="16"/>
                <w:szCs w:val="16"/>
                <w:highlight w:val="yellow"/>
                <w:lang w:val="en-US"/>
              </w:rPr>
              <w:t xml:space="preserve">  </w:t>
            </w:r>
          </w:p>
          <w:p w14:paraId="353756E6"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highlight w:val="yellow"/>
                <w:lang w:val="en-US"/>
              </w:rPr>
              <w:t xml:space="preserve">% of the project budget is delivered </w:t>
            </w:r>
          </w:p>
        </w:tc>
        <w:tc>
          <w:tcPr>
            <w:tcW w:w="2027" w:type="dxa"/>
            <w:gridSpan w:val="2"/>
          </w:tcPr>
          <w:p w14:paraId="270D789E"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The </w:t>
            </w:r>
            <w:proofErr w:type="spellStart"/>
            <w:r w:rsidRPr="00045243">
              <w:rPr>
                <w:rFonts w:asciiTheme="minorHAnsi" w:eastAsiaTheme="minorEastAsia" w:hAnsiTheme="minorHAnsi" w:cstheme="minorHAnsi"/>
                <w:sz w:val="16"/>
                <w:szCs w:val="16"/>
              </w:rPr>
              <w:t>project's</w:t>
            </w:r>
            <w:proofErr w:type="spellEnd"/>
            <w:r w:rsidRPr="00045243">
              <w:rPr>
                <w:rFonts w:asciiTheme="minorHAnsi" w:eastAsiaTheme="minorEastAsia" w:hAnsiTheme="minorHAnsi" w:cstheme="minorHAnsi"/>
                <w:sz w:val="16"/>
                <w:szCs w:val="16"/>
              </w:rPr>
              <w:t xml:space="preserve"> </w:t>
            </w:r>
            <w:proofErr w:type="spellStart"/>
            <w:r w:rsidRPr="00045243">
              <w:rPr>
                <w:rFonts w:asciiTheme="minorHAnsi" w:eastAsiaTheme="minorEastAsia" w:hAnsiTheme="minorHAnsi" w:cstheme="minorHAnsi"/>
                <w:sz w:val="16"/>
                <w:szCs w:val="16"/>
              </w:rPr>
              <w:t>financial</w:t>
            </w:r>
            <w:proofErr w:type="spellEnd"/>
            <w:r w:rsidRPr="00045243">
              <w:rPr>
                <w:rFonts w:asciiTheme="minorHAnsi" w:eastAsiaTheme="minorEastAsia" w:hAnsiTheme="minorHAnsi" w:cstheme="minorHAnsi"/>
                <w:sz w:val="16"/>
                <w:szCs w:val="16"/>
              </w:rPr>
              <w:t xml:space="preserve"> report   </w:t>
            </w:r>
          </w:p>
        </w:tc>
        <w:tc>
          <w:tcPr>
            <w:tcW w:w="1670" w:type="dxa"/>
            <w:gridSpan w:val="2"/>
          </w:tcPr>
          <w:p w14:paraId="4AD90EAE"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0  </w:t>
            </w:r>
          </w:p>
        </w:tc>
        <w:tc>
          <w:tcPr>
            <w:tcW w:w="1220" w:type="dxa"/>
            <w:gridSpan w:val="2"/>
          </w:tcPr>
          <w:p w14:paraId="0414F56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40% at the</w:t>
            </w:r>
            <w:r w:rsidRPr="003C5C1B">
              <w:rPr>
                <w:rFonts w:asciiTheme="minorHAnsi" w:eastAsiaTheme="minorEastAsia" w:hAnsiTheme="minorHAnsi" w:cstheme="minorHAnsi"/>
                <w:sz w:val="16"/>
                <w:szCs w:val="16"/>
                <w:u w:val="single"/>
                <w:lang w:val="en-US"/>
              </w:rPr>
              <w:t xml:space="preserve"> midterm of the project</w:t>
            </w:r>
            <w:r w:rsidRPr="003C5C1B">
              <w:rPr>
                <w:rFonts w:asciiTheme="minorHAnsi" w:eastAsiaTheme="minorEastAsia" w:hAnsiTheme="minorHAnsi" w:cstheme="minorHAnsi"/>
                <w:sz w:val="16"/>
                <w:szCs w:val="16"/>
                <w:lang w:val="en-US"/>
              </w:rPr>
              <w:t xml:space="preserve"> halfway point  </w:t>
            </w:r>
          </w:p>
        </w:tc>
        <w:tc>
          <w:tcPr>
            <w:tcW w:w="1463" w:type="dxa"/>
          </w:tcPr>
          <w:p w14:paraId="3317B2EF"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100% at </w:t>
            </w:r>
            <w:proofErr w:type="spellStart"/>
            <w:r w:rsidRPr="00045243">
              <w:rPr>
                <w:rFonts w:asciiTheme="minorHAnsi" w:eastAsiaTheme="minorEastAsia" w:hAnsiTheme="minorHAnsi" w:cstheme="minorHAnsi"/>
                <w:sz w:val="16"/>
                <w:szCs w:val="16"/>
              </w:rPr>
              <w:t>project</w:t>
            </w:r>
            <w:proofErr w:type="spellEnd"/>
            <w:r w:rsidRPr="00045243">
              <w:rPr>
                <w:rFonts w:asciiTheme="minorHAnsi" w:eastAsiaTheme="minorEastAsia" w:hAnsiTheme="minorHAnsi" w:cstheme="minorHAnsi"/>
                <w:sz w:val="16"/>
                <w:szCs w:val="16"/>
              </w:rPr>
              <w:t xml:space="preserve"> </w:t>
            </w:r>
            <w:proofErr w:type="spellStart"/>
            <w:r w:rsidRPr="00045243">
              <w:rPr>
                <w:rFonts w:asciiTheme="minorHAnsi" w:eastAsiaTheme="minorEastAsia" w:hAnsiTheme="minorHAnsi" w:cstheme="minorHAnsi"/>
                <w:sz w:val="16"/>
                <w:szCs w:val="16"/>
              </w:rPr>
              <w:t>closure</w:t>
            </w:r>
            <w:proofErr w:type="spellEnd"/>
            <w:r w:rsidRPr="00045243">
              <w:rPr>
                <w:rFonts w:asciiTheme="minorHAnsi" w:eastAsiaTheme="minorEastAsia" w:hAnsiTheme="minorHAnsi" w:cstheme="minorHAnsi"/>
                <w:sz w:val="16"/>
                <w:szCs w:val="16"/>
              </w:rPr>
              <w:t xml:space="preserve">  </w:t>
            </w:r>
          </w:p>
        </w:tc>
        <w:tc>
          <w:tcPr>
            <w:tcW w:w="2195" w:type="dxa"/>
          </w:tcPr>
          <w:p w14:paraId="2F3842F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of budget absorption =  </w:t>
            </w:r>
            <w:r w:rsidRPr="003C5C1B">
              <w:rPr>
                <w:rFonts w:asciiTheme="minorHAnsi" w:hAnsiTheme="minorHAnsi" w:cstheme="minorHAnsi"/>
                <w:sz w:val="16"/>
                <w:szCs w:val="16"/>
                <w:lang w:val="en-US"/>
              </w:rPr>
              <w:br/>
            </w:r>
            <w:r w:rsidRPr="003C5C1B">
              <w:rPr>
                <w:rFonts w:asciiTheme="minorHAnsi" w:eastAsiaTheme="minorEastAsia" w:hAnsiTheme="minorHAnsi" w:cstheme="minorHAnsi"/>
                <w:sz w:val="16"/>
                <w:szCs w:val="16"/>
                <w:lang w:val="en-US"/>
              </w:rPr>
              <w:t xml:space="preserve"> </w:t>
            </w:r>
            <w:r w:rsidRPr="003C5C1B">
              <w:rPr>
                <w:rFonts w:asciiTheme="minorHAnsi" w:eastAsiaTheme="minorEastAsia" w:hAnsiTheme="minorHAnsi" w:cstheme="minorHAnsi"/>
                <w:i/>
                <w:iCs/>
                <w:sz w:val="16"/>
                <w:szCs w:val="16"/>
                <w:lang w:val="en-US"/>
              </w:rPr>
              <w:t>(Total amount of certified expenditure / Total planned budget) × 100 through:</w:t>
            </w:r>
            <w:r w:rsidRPr="003C5C1B">
              <w:rPr>
                <w:rFonts w:asciiTheme="minorHAnsi" w:eastAsiaTheme="minorEastAsia" w:hAnsiTheme="minorHAnsi" w:cstheme="minorHAnsi"/>
                <w:sz w:val="16"/>
                <w:szCs w:val="16"/>
                <w:lang w:val="en-US"/>
              </w:rPr>
              <w:t xml:space="preserve">  </w:t>
            </w:r>
          </w:p>
          <w:p w14:paraId="1C6E6DF4" w14:textId="77777777" w:rsidR="00A15021" w:rsidRPr="003C5C1B" w:rsidRDefault="00A15021" w:rsidP="00A15021">
            <w:pPr>
              <w:pStyle w:val="Paragraphedeliste"/>
              <w:numPr>
                <w:ilvl w:val="0"/>
                <w:numId w:val="320"/>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Review of the project's financial statements  </w:t>
            </w:r>
          </w:p>
          <w:p w14:paraId="537CEA27" w14:textId="77777777" w:rsidR="00A15021" w:rsidRPr="003C5C1B" w:rsidRDefault="00A15021" w:rsidP="00A15021">
            <w:pPr>
              <w:pStyle w:val="Paragraphedeliste"/>
              <w:numPr>
                <w:ilvl w:val="0"/>
                <w:numId w:val="319"/>
              </w:numPr>
              <w:spacing w:after="0" w:line="257" w:lineRule="auto"/>
              <w:contextualSpacing w:val="0"/>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Quarterly and annual budget implementation reports  </w:t>
            </w:r>
          </w:p>
          <w:p w14:paraId="7A2FC310" w14:textId="77777777" w:rsidR="00A15021" w:rsidRPr="00045243" w:rsidRDefault="00A15021" w:rsidP="00A15021">
            <w:pPr>
              <w:pStyle w:val="Paragraphedeliste"/>
              <w:numPr>
                <w:ilvl w:val="0"/>
                <w:numId w:val="318"/>
              </w:numPr>
              <w:spacing w:after="0" w:line="257" w:lineRule="auto"/>
              <w:contextualSpacing w:val="0"/>
              <w:rPr>
                <w:rFonts w:asciiTheme="minorHAnsi" w:eastAsiaTheme="minorEastAsia" w:hAnsiTheme="minorHAnsi" w:cstheme="minorHAnsi"/>
                <w:sz w:val="16"/>
                <w:szCs w:val="16"/>
              </w:rPr>
            </w:pPr>
            <w:proofErr w:type="spellStart"/>
            <w:r w:rsidRPr="00045243">
              <w:rPr>
                <w:rFonts w:asciiTheme="minorHAnsi" w:eastAsiaTheme="minorEastAsia" w:hAnsiTheme="minorHAnsi" w:cstheme="minorHAnsi"/>
                <w:sz w:val="16"/>
                <w:szCs w:val="16"/>
              </w:rPr>
              <w:t>Internal</w:t>
            </w:r>
            <w:proofErr w:type="spellEnd"/>
            <w:r w:rsidRPr="00045243">
              <w:rPr>
                <w:rFonts w:asciiTheme="minorHAnsi" w:eastAsiaTheme="minorEastAsia" w:hAnsiTheme="minorHAnsi" w:cstheme="minorHAnsi"/>
                <w:sz w:val="16"/>
                <w:szCs w:val="16"/>
              </w:rPr>
              <w:t xml:space="preserve"> Audits and Audits  </w:t>
            </w:r>
          </w:p>
          <w:p w14:paraId="155B4868" w14:textId="77777777" w:rsidR="00A15021" w:rsidRPr="00045243" w:rsidRDefault="00A15021" w:rsidP="00A15021">
            <w:pPr>
              <w:pStyle w:val="Paragraphedeliste"/>
              <w:numPr>
                <w:ilvl w:val="0"/>
                <w:numId w:val="317"/>
              </w:numPr>
              <w:spacing w:after="0" w:line="257" w:lineRule="auto"/>
              <w:contextualSpacing w:val="0"/>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Project budget </w:t>
            </w:r>
            <w:proofErr w:type="spellStart"/>
            <w:r w:rsidRPr="00045243">
              <w:rPr>
                <w:rFonts w:asciiTheme="minorHAnsi" w:eastAsiaTheme="minorEastAsia" w:hAnsiTheme="minorHAnsi" w:cstheme="minorHAnsi"/>
                <w:sz w:val="16"/>
                <w:szCs w:val="16"/>
              </w:rPr>
              <w:t>tracking</w:t>
            </w:r>
            <w:proofErr w:type="spellEnd"/>
            <w:r w:rsidRPr="00045243">
              <w:rPr>
                <w:rFonts w:asciiTheme="minorHAnsi" w:eastAsiaTheme="minorEastAsia" w:hAnsiTheme="minorHAnsi" w:cstheme="minorHAnsi"/>
                <w:sz w:val="16"/>
                <w:szCs w:val="16"/>
              </w:rPr>
              <w:t xml:space="preserve"> </w:t>
            </w:r>
            <w:proofErr w:type="spellStart"/>
            <w:r w:rsidRPr="00045243">
              <w:rPr>
                <w:rFonts w:asciiTheme="minorHAnsi" w:eastAsiaTheme="minorEastAsia" w:hAnsiTheme="minorHAnsi" w:cstheme="minorHAnsi"/>
                <w:sz w:val="16"/>
                <w:szCs w:val="16"/>
              </w:rPr>
              <w:t>database</w:t>
            </w:r>
            <w:proofErr w:type="spellEnd"/>
            <w:r w:rsidRPr="00045243">
              <w:rPr>
                <w:rFonts w:asciiTheme="minorHAnsi" w:eastAsiaTheme="minorEastAsia" w:hAnsiTheme="minorHAnsi" w:cstheme="minorHAnsi"/>
                <w:sz w:val="16"/>
                <w:szCs w:val="16"/>
              </w:rPr>
              <w:t xml:space="preserve">  </w:t>
            </w:r>
          </w:p>
          <w:p w14:paraId="69F5808A"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  </w:t>
            </w:r>
          </w:p>
          <w:p w14:paraId="0A512845"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  </w:t>
            </w:r>
          </w:p>
        </w:tc>
        <w:tc>
          <w:tcPr>
            <w:tcW w:w="2062" w:type="dxa"/>
          </w:tcPr>
          <w:p w14:paraId="66829563" w14:textId="77777777" w:rsidR="00A15021" w:rsidRPr="004A3EAF" w:rsidRDefault="00A15021">
            <w:pPr>
              <w:spacing w:line="257" w:lineRule="auto"/>
              <w:rPr>
                <w:rFonts w:asciiTheme="minorHAnsi" w:eastAsiaTheme="minorEastAsia" w:hAnsiTheme="minorHAnsi" w:cstheme="minorHAnsi"/>
                <w:sz w:val="16"/>
                <w:szCs w:val="16"/>
                <w:lang w:val="en-US"/>
              </w:rPr>
            </w:pPr>
            <w:r w:rsidRPr="004A3EAF">
              <w:rPr>
                <w:rFonts w:asciiTheme="minorHAnsi" w:eastAsiaTheme="minorEastAsia" w:hAnsiTheme="minorHAnsi" w:cstheme="minorHAnsi"/>
                <w:b/>
                <w:bCs/>
                <w:sz w:val="16"/>
                <w:szCs w:val="16"/>
                <w:lang w:val="en-US"/>
              </w:rPr>
              <w:t>Assumptions:</w:t>
            </w:r>
            <w:r w:rsidRPr="004A3EAF">
              <w:rPr>
                <w:rFonts w:asciiTheme="minorHAnsi" w:eastAsiaTheme="minorEastAsia" w:hAnsiTheme="minorHAnsi" w:cstheme="minorHAnsi"/>
                <w:sz w:val="16"/>
                <w:szCs w:val="16"/>
                <w:lang w:val="en-US"/>
              </w:rPr>
              <w:t xml:space="preserve">   </w:t>
            </w:r>
          </w:p>
          <w:p w14:paraId="3AA9EB41"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Disbursements are made on a regular basis  </w:t>
            </w:r>
          </w:p>
          <w:p w14:paraId="23B2F2DC"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Procurement and expenditure procedures are under control  </w:t>
            </w:r>
          </w:p>
          <w:p w14:paraId="231B9806"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The physical execution of the project is on track  </w:t>
            </w:r>
          </w:p>
          <w:p w14:paraId="74A3D732"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Risks</w:t>
            </w:r>
            <w:r w:rsidRPr="003C5C1B">
              <w:rPr>
                <w:rFonts w:asciiTheme="minorHAnsi" w:eastAsiaTheme="minorEastAsia" w:hAnsiTheme="minorHAnsi" w:cstheme="minorHAnsi"/>
                <w:sz w:val="16"/>
                <w:szCs w:val="16"/>
                <w:lang w:val="en-US"/>
              </w:rPr>
              <w:t xml:space="preserve">:   </w:t>
            </w:r>
          </w:p>
          <w:p w14:paraId="4C83A222"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Administrative or institutional delays  </w:t>
            </w:r>
          </w:p>
          <w:p w14:paraId="70EFCDB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Bottlenecks in purchases or contracts  </w:t>
            </w:r>
          </w:p>
          <w:p w14:paraId="3AB2C2E3"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Underutilization due to lack of implementation capacity  </w:t>
            </w:r>
          </w:p>
          <w:p w14:paraId="76EB524E"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Changes in priorities resulting in redeployments or cancellations  </w:t>
            </w:r>
          </w:p>
          <w:p w14:paraId="3CC1845B"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1803" w:type="dxa"/>
          </w:tcPr>
          <w:p w14:paraId="66FF6103" w14:textId="77777777" w:rsidR="00A15021" w:rsidRPr="003C5C1B" w:rsidRDefault="00A15021">
            <w:pPr>
              <w:spacing w:line="257" w:lineRule="auto"/>
              <w:rPr>
                <w:rFonts w:asciiTheme="minorHAnsi" w:eastAsiaTheme="minorEastAsia" w:hAnsiTheme="minorHAnsi" w:cstheme="minorHAnsi"/>
                <w:b/>
                <w:bCs/>
                <w:sz w:val="16"/>
                <w:szCs w:val="16"/>
                <w:lang w:val="en-US"/>
              </w:rPr>
            </w:pPr>
          </w:p>
        </w:tc>
      </w:tr>
      <w:tr w:rsidR="00E24547" w:rsidRPr="00F50786" w14:paraId="2F7913AA" w14:textId="77777777" w:rsidTr="2DC80E69">
        <w:trPr>
          <w:trHeight w:val="300"/>
          <w:jc w:val="center"/>
        </w:trPr>
        <w:tc>
          <w:tcPr>
            <w:tcW w:w="747" w:type="dxa"/>
            <w:vMerge/>
            <w:vAlign w:val="center"/>
          </w:tcPr>
          <w:p w14:paraId="32084EA4" w14:textId="77777777" w:rsidR="00A15021" w:rsidRPr="003C5C1B" w:rsidRDefault="00A15021">
            <w:pPr>
              <w:rPr>
                <w:rFonts w:asciiTheme="minorHAnsi" w:hAnsiTheme="minorHAnsi" w:cstheme="minorHAnsi"/>
                <w:sz w:val="16"/>
                <w:szCs w:val="16"/>
                <w:lang w:val="en-US"/>
              </w:rPr>
            </w:pPr>
          </w:p>
        </w:tc>
        <w:tc>
          <w:tcPr>
            <w:tcW w:w="1185" w:type="dxa"/>
          </w:tcPr>
          <w:p w14:paraId="03BDB52F"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u w:val="single"/>
                <w:lang w:val="en-US"/>
              </w:rPr>
              <w:t>Indicator #19</w:t>
            </w:r>
            <w:r w:rsidRPr="003C5C1B">
              <w:rPr>
                <w:rFonts w:asciiTheme="minorHAnsi" w:eastAsiaTheme="minorEastAsia" w:hAnsiTheme="minorHAnsi" w:cstheme="minorHAnsi"/>
                <w:i/>
                <w:iCs/>
                <w:sz w:val="16"/>
                <w:szCs w:val="16"/>
                <w:lang w:val="en-US"/>
              </w:rPr>
              <w:t>: Results of the completed project with timely submission of the evaluation report</w:t>
            </w:r>
            <w:r w:rsidRPr="003C5C1B">
              <w:rPr>
                <w:rFonts w:asciiTheme="minorHAnsi" w:eastAsiaTheme="minorEastAsia" w:hAnsiTheme="minorHAnsi" w:cstheme="minorHAnsi"/>
                <w:sz w:val="16"/>
                <w:szCs w:val="16"/>
                <w:lang w:val="en-US"/>
              </w:rPr>
              <w:t xml:space="preserve">  </w:t>
            </w:r>
          </w:p>
        </w:tc>
        <w:tc>
          <w:tcPr>
            <w:tcW w:w="2027" w:type="dxa"/>
            <w:gridSpan w:val="2"/>
          </w:tcPr>
          <w:p w14:paraId="1FDC8A1E"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The project results monitoring report  </w:t>
            </w:r>
          </w:p>
        </w:tc>
        <w:tc>
          <w:tcPr>
            <w:tcW w:w="1670" w:type="dxa"/>
            <w:gridSpan w:val="2"/>
          </w:tcPr>
          <w:p w14:paraId="6AAB63A8" w14:textId="77777777" w:rsidR="00A15021" w:rsidRPr="00045243" w:rsidRDefault="00A15021">
            <w:pPr>
              <w:spacing w:line="257" w:lineRule="auto"/>
              <w:rPr>
                <w:rFonts w:asciiTheme="minorHAnsi" w:eastAsiaTheme="minorEastAsia" w:hAnsiTheme="minorHAnsi" w:cstheme="minorHAnsi"/>
                <w:sz w:val="16"/>
                <w:szCs w:val="16"/>
              </w:rPr>
            </w:pPr>
            <w:r w:rsidRPr="00045243">
              <w:rPr>
                <w:rFonts w:asciiTheme="minorHAnsi" w:eastAsiaTheme="minorEastAsia" w:hAnsiTheme="minorHAnsi" w:cstheme="minorHAnsi"/>
                <w:sz w:val="16"/>
                <w:szCs w:val="16"/>
              </w:rPr>
              <w:t xml:space="preserve">0  </w:t>
            </w:r>
          </w:p>
        </w:tc>
        <w:tc>
          <w:tcPr>
            <w:tcW w:w="1220" w:type="dxa"/>
            <w:gridSpan w:val="2"/>
          </w:tcPr>
          <w:p w14:paraId="4C1B1E2A"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40% ̈of results completed or on track and submission of the journal on time  </w:t>
            </w:r>
          </w:p>
        </w:tc>
        <w:tc>
          <w:tcPr>
            <w:tcW w:w="1463" w:type="dxa"/>
          </w:tcPr>
          <w:p w14:paraId="47610DF2"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90% of project results achieved and final evaluation submitted on time  </w:t>
            </w:r>
          </w:p>
        </w:tc>
        <w:tc>
          <w:tcPr>
            <w:tcW w:w="2195" w:type="dxa"/>
          </w:tcPr>
          <w:p w14:paraId="7160CAD6"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  </w:t>
            </w:r>
          </w:p>
        </w:tc>
        <w:tc>
          <w:tcPr>
            <w:tcW w:w="2062" w:type="dxa"/>
          </w:tcPr>
          <w:p w14:paraId="2952705A"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Assumptions:</w:t>
            </w:r>
            <w:r w:rsidRPr="003C5C1B">
              <w:rPr>
                <w:rFonts w:asciiTheme="minorHAnsi" w:eastAsiaTheme="minorEastAsia" w:hAnsiTheme="minorHAnsi" w:cstheme="minorHAnsi"/>
                <w:sz w:val="16"/>
                <w:szCs w:val="16"/>
                <w:lang w:val="en-US"/>
              </w:rPr>
              <w:t xml:space="preserve">  </w:t>
            </w:r>
          </w:p>
          <w:p w14:paraId="5AACE2DE"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Monitoring and evaluation data are available and reliable  </w:t>
            </w:r>
          </w:p>
          <w:p w14:paraId="35884500"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Mid-term and final evaluation are planned and budgeted on time  </w:t>
            </w:r>
          </w:p>
          <w:p w14:paraId="47CBEF7C"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lastRenderedPageBreak/>
              <w:t xml:space="preserve">Coordination between the PMU and implementing and accountable partners is effective  </w:t>
            </w:r>
          </w:p>
          <w:p w14:paraId="75AF43C2"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b/>
                <w:bCs/>
                <w:sz w:val="16"/>
                <w:szCs w:val="16"/>
                <w:lang w:val="en-US"/>
              </w:rPr>
              <w:t>Risks</w:t>
            </w:r>
            <w:r w:rsidRPr="003C5C1B">
              <w:rPr>
                <w:rFonts w:asciiTheme="minorHAnsi" w:eastAsiaTheme="minorEastAsia" w:hAnsiTheme="minorHAnsi" w:cstheme="minorHAnsi"/>
                <w:b/>
                <w:bCs/>
                <w:i/>
                <w:iCs/>
                <w:sz w:val="16"/>
                <w:szCs w:val="16"/>
                <w:lang w:val="en-US"/>
              </w:rPr>
              <w:t>:</w:t>
            </w:r>
            <w:r w:rsidRPr="003C5C1B">
              <w:rPr>
                <w:rFonts w:asciiTheme="minorHAnsi" w:eastAsiaTheme="minorEastAsia" w:hAnsiTheme="minorHAnsi" w:cstheme="minorHAnsi"/>
                <w:sz w:val="16"/>
                <w:szCs w:val="16"/>
                <w:lang w:val="en-US"/>
              </w:rPr>
              <w:t xml:space="preserve">  </w:t>
            </w:r>
          </w:p>
          <w:p w14:paraId="5FC74FE7"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Delays in implementation   </w:t>
            </w:r>
          </w:p>
          <w:p w14:paraId="7C513671"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sz w:val="16"/>
                <w:szCs w:val="16"/>
                <w:lang w:val="en-US"/>
              </w:rPr>
              <w:t xml:space="preserve">Weak documentation or poorly monitored indicators  </w:t>
            </w:r>
          </w:p>
        </w:tc>
        <w:tc>
          <w:tcPr>
            <w:tcW w:w="1803" w:type="dxa"/>
          </w:tcPr>
          <w:p w14:paraId="52A291F9" w14:textId="77777777" w:rsidR="00A15021" w:rsidRPr="003C5C1B" w:rsidRDefault="00A15021">
            <w:pPr>
              <w:spacing w:line="257" w:lineRule="auto"/>
              <w:rPr>
                <w:rFonts w:asciiTheme="minorHAnsi" w:eastAsiaTheme="minorEastAsia" w:hAnsiTheme="minorHAnsi" w:cstheme="minorHAnsi"/>
                <w:b/>
                <w:bCs/>
                <w:sz w:val="16"/>
                <w:szCs w:val="16"/>
                <w:lang w:val="en-US"/>
              </w:rPr>
            </w:pPr>
          </w:p>
        </w:tc>
      </w:tr>
      <w:tr w:rsidR="00A15021" w:rsidRPr="00F50786" w14:paraId="1F2E9C07" w14:textId="77777777" w:rsidTr="2DC80E69">
        <w:trPr>
          <w:trHeight w:val="300"/>
          <w:jc w:val="center"/>
        </w:trPr>
        <w:tc>
          <w:tcPr>
            <w:tcW w:w="747" w:type="dxa"/>
            <w:shd w:val="clear" w:color="auto" w:fill="D9D9D9" w:themeFill="background1" w:themeFillShade="D9"/>
          </w:tcPr>
          <w:p w14:paraId="059740C4"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proofErr w:type="spellStart"/>
            <w:proofErr w:type="gramStart"/>
            <w:r w:rsidRPr="00045243">
              <w:rPr>
                <w:rFonts w:asciiTheme="minorHAnsi" w:eastAsiaTheme="minorEastAsia" w:hAnsiTheme="minorHAnsi" w:cstheme="minorHAnsi"/>
                <w:b/>
                <w:bCs/>
                <w:color w:val="000000" w:themeColor="text1"/>
                <w:sz w:val="16"/>
                <w:szCs w:val="16"/>
              </w:rPr>
              <w:t>Ouput</w:t>
            </w:r>
            <w:proofErr w:type="spellEnd"/>
            <w:r w:rsidRPr="00045243">
              <w:rPr>
                <w:rFonts w:asciiTheme="minorHAnsi" w:eastAsiaTheme="minorEastAsia" w:hAnsiTheme="minorHAnsi" w:cstheme="minorHAnsi"/>
                <w:color w:val="000000" w:themeColor="text1"/>
                <w:sz w:val="16"/>
                <w:szCs w:val="16"/>
              </w:rPr>
              <w:t>  t</w:t>
            </w:r>
            <w:r w:rsidRPr="00045243">
              <w:rPr>
                <w:rFonts w:asciiTheme="minorHAnsi" w:eastAsiaTheme="minorEastAsia" w:hAnsiTheme="minorHAnsi" w:cstheme="minorHAnsi"/>
                <w:b/>
                <w:bCs/>
                <w:color w:val="000000" w:themeColor="text1"/>
                <w:sz w:val="16"/>
                <w:szCs w:val="16"/>
              </w:rPr>
              <w:t>o</w:t>
            </w:r>
            <w:proofErr w:type="gramEnd"/>
            <w:r w:rsidRPr="00045243">
              <w:rPr>
                <w:rFonts w:asciiTheme="minorHAnsi" w:eastAsiaTheme="minorEastAsia" w:hAnsiTheme="minorHAnsi" w:cstheme="minorHAnsi"/>
                <w:b/>
                <w:bCs/>
                <w:color w:val="000000" w:themeColor="text1"/>
                <w:sz w:val="16"/>
                <w:szCs w:val="16"/>
              </w:rPr>
              <w:t xml:space="preserve"> </w:t>
            </w:r>
            <w:proofErr w:type="spellStart"/>
            <w:r w:rsidRPr="00045243">
              <w:rPr>
                <w:rFonts w:asciiTheme="minorHAnsi" w:eastAsiaTheme="minorEastAsia" w:hAnsiTheme="minorHAnsi" w:cstheme="minorHAnsi"/>
                <w:b/>
                <w:bCs/>
                <w:color w:val="000000" w:themeColor="text1"/>
                <w:sz w:val="16"/>
                <w:szCs w:val="16"/>
              </w:rPr>
              <w:t>achieve</w:t>
            </w:r>
            <w:proofErr w:type="spellEnd"/>
            <w:r w:rsidRPr="00045243">
              <w:rPr>
                <w:rFonts w:asciiTheme="minorHAnsi" w:eastAsiaTheme="minorEastAsia" w:hAnsiTheme="minorHAnsi" w:cstheme="minorHAnsi"/>
                <w:b/>
                <w:bCs/>
                <w:color w:val="000000" w:themeColor="text1"/>
                <w:sz w:val="16"/>
                <w:szCs w:val="16"/>
              </w:rPr>
              <w:t xml:space="preserve"> </w:t>
            </w:r>
            <w:proofErr w:type="spellStart"/>
            <w:r w:rsidRPr="00045243">
              <w:rPr>
                <w:rFonts w:asciiTheme="minorHAnsi" w:eastAsiaTheme="minorEastAsia" w:hAnsiTheme="minorHAnsi" w:cstheme="minorHAnsi"/>
                <w:b/>
                <w:bCs/>
                <w:color w:val="000000" w:themeColor="text1"/>
                <w:sz w:val="16"/>
                <w:szCs w:val="16"/>
              </w:rPr>
              <w:t>Outcome</w:t>
            </w:r>
            <w:proofErr w:type="spellEnd"/>
            <w:r w:rsidRPr="00045243">
              <w:rPr>
                <w:rFonts w:asciiTheme="minorHAnsi" w:eastAsiaTheme="minorEastAsia" w:hAnsiTheme="minorHAnsi" w:cstheme="minorHAnsi"/>
                <w:b/>
                <w:bCs/>
                <w:color w:val="000000" w:themeColor="text1"/>
                <w:sz w:val="16"/>
                <w:szCs w:val="16"/>
              </w:rPr>
              <w:t xml:space="preserve"> 5.1</w:t>
            </w:r>
            <w:r w:rsidRPr="00045243">
              <w:rPr>
                <w:rFonts w:asciiTheme="minorHAnsi" w:eastAsiaTheme="minorEastAsia" w:hAnsiTheme="minorHAnsi" w:cstheme="minorHAnsi"/>
                <w:color w:val="000000" w:themeColor="text1"/>
                <w:sz w:val="16"/>
                <w:szCs w:val="16"/>
              </w:rPr>
              <w:t xml:space="preserve">  </w:t>
            </w:r>
          </w:p>
          <w:p w14:paraId="169C566E" w14:textId="77777777" w:rsidR="00A15021" w:rsidRPr="00045243" w:rsidRDefault="00A15021">
            <w:pPr>
              <w:spacing w:line="257" w:lineRule="auto"/>
              <w:rPr>
                <w:rFonts w:asciiTheme="minorHAnsi" w:eastAsiaTheme="minorEastAsia" w:hAnsiTheme="minorHAnsi" w:cstheme="minorHAnsi"/>
                <w:color w:val="000000" w:themeColor="text1"/>
                <w:sz w:val="16"/>
                <w:szCs w:val="16"/>
              </w:rPr>
            </w:pPr>
            <w:r w:rsidRPr="00045243">
              <w:rPr>
                <w:rFonts w:asciiTheme="minorHAnsi" w:eastAsiaTheme="minorEastAsia" w:hAnsiTheme="minorHAnsi" w:cstheme="minorHAnsi"/>
                <w:color w:val="000000" w:themeColor="text1"/>
                <w:sz w:val="16"/>
                <w:szCs w:val="16"/>
              </w:rPr>
              <w:t xml:space="preserve">  </w:t>
            </w:r>
          </w:p>
        </w:tc>
        <w:tc>
          <w:tcPr>
            <w:tcW w:w="13625" w:type="dxa"/>
            <w:gridSpan w:val="11"/>
          </w:tcPr>
          <w:p w14:paraId="06AC686C" w14:textId="77777777" w:rsidR="00A15021" w:rsidRPr="003C5C1B" w:rsidRDefault="00A15021">
            <w:pPr>
              <w:spacing w:line="257" w:lineRule="auto"/>
              <w:rPr>
                <w:rFonts w:asciiTheme="minorHAnsi" w:eastAsiaTheme="minorEastAsia" w:hAnsiTheme="minorHAnsi" w:cstheme="minorHAnsi"/>
                <w:sz w:val="16"/>
                <w:szCs w:val="16"/>
                <w:lang w:val="en-US"/>
              </w:rPr>
            </w:pPr>
            <w:r w:rsidRPr="003C5C1B">
              <w:rPr>
                <w:rFonts w:asciiTheme="minorHAnsi" w:eastAsiaTheme="minorEastAsia" w:hAnsiTheme="minorHAnsi" w:cstheme="minorHAnsi"/>
                <w:i/>
                <w:iCs/>
                <w:sz w:val="16"/>
                <w:szCs w:val="16"/>
                <w:lang w:val="en-US"/>
              </w:rPr>
              <w:t>5.1.1 Monitoring and evaluation reports are produced throughout the implementation of the project in accordance with UNDP and GEF guidelines</w:t>
            </w:r>
            <w:r w:rsidRPr="003C5C1B">
              <w:rPr>
                <w:rFonts w:asciiTheme="minorHAnsi" w:eastAsiaTheme="minorEastAsia" w:hAnsiTheme="minorHAnsi" w:cstheme="minorHAnsi"/>
                <w:sz w:val="16"/>
                <w:szCs w:val="16"/>
                <w:lang w:val="en-US"/>
              </w:rPr>
              <w:t xml:space="preserve">  </w:t>
            </w:r>
          </w:p>
        </w:tc>
      </w:tr>
    </w:tbl>
    <w:p w14:paraId="000009A2" w14:textId="77777777" w:rsidR="004F7DB3" w:rsidRPr="00263D2C" w:rsidRDefault="004F7DB3">
      <w:pPr>
        <w:spacing w:before="240" w:after="240" w:line="276" w:lineRule="auto"/>
        <w:jc w:val="both"/>
        <w:rPr>
          <w:lang w:val="en-US"/>
        </w:rPr>
        <w:sectPr w:rsidR="004F7DB3" w:rsidRPr="00263D2C">
          <w:pgSz w:w="16838" w:h="11906" w:orient="landscape"/>
          <w:pgMar w:top="1418" w:right="1418" w:bottom="1418" w:left="1418" w:header="709" w:footer="709" w:gutter="0"/>
          <w:cols w:space="720"/>
        </w:sectPr>
      </w:pPr>
    </w:p>
    <w:p w14:paraId="63C8966A" w14:textId="77777777" w:rsidR="009859B7" w:rsidRPr="004706A6" w:rsidRDefault="009859B7" w:rsidP="009859B7">
      <w:pPr>
        <w:pStyle w:val="Heading11"/>
        <w:rPr>
          <w:lang w:val="en-US"/>
        </w:rPr>
      </w:pPr>
      <w:bookmarkStart w:id="46" w:name="_Toc1929798223"/>
      <w:bookmarkStart w:id="47" w:name="_Toc200477838"/>
      <w:r w:rsidRPr="5D8904BE">
        <w:rPr>
          <w:lang w:val="en-US"/>
        </w:rPr>
        <w:lastRenderedPageBreak/>
        <w:t xml:space="preserve">Project Management  </w:t>
      </w:r>
    </w:p>
    <w:p w14:paraId="213F552C" w14:textId="77777777" w:rsidR="009859B7" w:rsidRPr="005B148A" w:rsidRDefault="009859B7" w:rsidP="009859B7">
      <w:pPr>
        <w:spacing w:before="240" w:after="60" w:line="276" w:lineRule="auto"/>
        <w:ind w:left="547"/>
        <w:contextualSpacing/>
        <w:jc w:val="both"/>
        <w:rPr>
          <w:rFonts w:eastAsia="SimSun" w:cs="Times New Roman"/>
          <w:b/>
          <w:i/>
          <w:sz w:val="20"/>
          <w:szCs w:val="24"/>
          <w:lang w:val="en-US"/>
        </w:rPr>
      </w:pPr>
      <w:r w:rsidRPr="005B148A">
        <w:rPr>
          <w:rFonts w:eastAsia="SimSun" w:cs="Times New Roman"/>
          <w:b/>
          <w:i/>
          <w:sz w:val="20"/>
          <w:szCs w:val="24"/>
          <w:lang w:val="en-US"/>
        </w:rPr>
        <w:t>Cost Efficiency and Effectiveness</w:t>
      </w:r>
    </w:p>
    <w:p w14:paraId="15B34BB5" w14:textId="77777777" w:rsidR="009859B7" w:rsidRPr="007779A7" w:rsidRDefault="009859B7" w:rsidP="009859B7">
      <w:pPr>
        <w:widowControl w:val="0"/>
        <w:spacing w:after="60" w:line="276" w:lineRule="auto"/>
        <w:contextualSpacing/>
        <w:rPr>
          <w:rFonts w:eastAsia="SimSun" w:cs="Times New Roman"/>
          <w:sz w:val="20"/>
          <w:szCs w:val="20"/>
          <w:lang w:val="en-US"/>
        </w:rPr>
      </w:pPr>
      <w:r w:rsidRPr="5D8904BE">
        <w:rPr>
          <w:rFonts w:eastAsia="SimSun" w:cs="Times New Roman"/>
          <w:sz w:val="20"/>
          <w:szCs w:val="20"/>
          <w:lang w:val="en-US"/>
        </w:rPr>
        <w:t>The proposed strategy delivers maximum results with available resources by leveraging a combination of evidence-based planning, portfolio management, and operational synergies. It is grounded in a rigorous Theory of Change analysis, identifying the most cost-effective and transformative pathways based on both empirical evidence from similar contexts and locally validated models.</w:t>
      </w:r>
    </w:p>
    <w:p w14:paraId="1A6C269D" w14:textId="77777777" w:rsidR="009859B7" w:rsidRDefault="009859B7" w:rsidP="009859B7">
      <w:pPr>
        <w:widowControl w:val="0"/>
        <w:spacing w:after="60" w:line="276" w:lineRule="auto"/>
        <w:contextualSpacing/>
        <w:rPr>
          <w:rFonts w:eastAsia="SimSun" w:cs="Times New Roman"/>
          <w:sz w:val="20"/>
          <w:szCs w:val="20"/>
          <w:lang w:val="en-US"/>
        </w:rPr>
      </w:pPr>
    </w:p>
    <w:p w14:paraId="42120FEE" w14:textId="77777777" w:rsidR="009859B7" w:rsidRPr="007779A7" w:rsidRDefault="009859B7" w:rsidP="009859B7">
      <w:pPr>
        <w:widowControl w:val="0"/>
        <w:spacing w:after="60" w:line="276" w:lineRule="auto"/>
        <w:contextualSpacing/>
        <w:rPr>
          <w:rFonts w:eastAsia="SimSun" w:cs="Times New Roman"/>
          <w:sz w:val="20"/>
          <w:szCs w:val="20"/>
          <w:lang w:val="en-US"/>
        </w:rPr>
      </w:pPr>
      <w:r w:rsidRPr="5D8904BE">
        <w:rPr>
          <w:rFonts w:eastAsia="SimSun" w:cs="Times New Roman"/>
          <w:sz w:val="20"/>
          <w:szCs w:val="20"/>
          <w:lang w:val="en-US"/>
        </w:rPr>
        <w:t>A portfolio management approach ensures integration and coordination with complementary initiatives such as PRUBA, BIOFIN, and PRTD, enhancing cost-efficiency through shared resources, joint operations, and aligned objectives. This integration avoids duplication, enables economies of scale, and strengthens knowledge transfer and institutional learning.</w:t>
      </w:r>
    </w:p>
    <w:p w14:paraId="49F9EE75" w14:textId="77777777" w:rsidR="009859B7" w:rsidRDefault="009859B7" w:rsidP="009859B7">
      <w:pPr>
        <w:widowControl w:val="0"/>
        <w:spacing w:after="60" w:line="276" w:lineRule="auto"/>
        <w:contextualSpacing/>
        <w:rPr>
          <w:rFonts w:eastAsia="SimSun" w:cs="Times New Roman"/>
          <w:sz w:val="20"/>
          <w:szCs w:val="20"/>
          <w:lang w:val="en-US"/>
        </w:rPr>
      </w:pPr>
    </w:p>
    <w:p w14:paraId="143DE5E8" w14:textId="77777777" w:rsidR="009859B7" w:rsidRPr="007779A7" w:rsidRDefault="009859B7" w:rsidP="009859B7">
      <w:pPr>
        <w:widowControl w:val="0"/>
        <w:spacing w:after="60" w:line="276" w:lineRule="auto"/>
        <w:contextualSpacing/>
        <w:rPr>
          <w:rFonts w:eastAsia="SimSun" w:cs="Times New Roman"/>
          <w:sz w:val="20"/>
          <w:szCs w:val="20"/>
          <w:lang w:val="en-US"/>
        </w:rPr>
      </w:pPr>
      <w:r w:rsidRPr="537FA187">
        <w:rPr>
          <w:rFonts w:eastAsia="SimSun" w:cs="Times New Roman"/>
          <w:sz w:val="20"/>
          <w:szCs w:val="20"/>
          <w:lang w:val="en-US"/>
        </w:rPr>
        <w:t>Furthermore, the strategy capitalizes on joint operations with other partners, particularly monitoring and evaluation, technical studies, and digital tools (e.g., the Bamako Geoportal and participatory platforms). These shared mechanisms reduce transaction costs and streamline implementation. Cost-effectiveness is further reinforced through the mobilization of public-private partnerships (PPPs) and innovative financing instruments, including payments for ecosystem services (PES), green taxation, and dedicated funds for sustainable transport and green infrastructure. These mechanisms diversify funding sources, reduce dependency on public budgets, and promote long-term financial sustainability.</w:t>
      </w:r>
    </w:p>
    <w:p w14:paraId="25A9C23C" w14:textId="77777777" w:rsidR="009859B7" w:rsidRDefault="009859B7" w:rsidP="009859B7">
      <w:pPr>
        <w:spacing w:after="60" w:line="276" w:lineRule="auto"/>
        <w:contextualSpacing/>
        <w:rPr>
          <w:rFonts w:eastAsia="SimSun" w:cs="Times New Roman"/>
          <w:sz w:val="20"/>
          <w:szCs w:val="20"/>
          <w:lang w:val="en-US"/>
        </w:rPr>
      </w:pPr>
    </w:p>
    <w:p w14:paraId="7C8D402D" w14:textId="77777777" w:rsidR="009859B7" w:rsidRPr="007779A7" w:rsidRDefault="009859B7" w:rsidP="009859B7">
      <w:pPr>
        <w:spacing w:after="60" w:line="276" w:lineRule="auto"/>
        <w:contextualSpacing/>
        <w:rPr>
          <w:rFonts w:eastAsia="SimSun" w:cs="Times New Roman"/>
          <w:sz w:val="20"/>
          <w:szCs w:val="20"/>
          <w:lang w:val="en-US"/>
        </w:rPr>
      </w:pPr>
      <w:r w:rsidRPr="5D8904BE">
        <w:rPr>
          <w:rFonts w:eastAsia="SimSun" w:cs="Times New Roman"/>
          <w:sz w:val="20"/>
          <w:szCs w:val="20"/>
          <w:lang w:val="en-US"/>
        </w:rPr>
        <w:t>The approach also draws from good practices and pilot experiences already implemented in Bamako—such as electric mobility initiatives, community-based green space development, and urban ecotourism. These proven models increase stakeholder buy-in, reduce risks, and accelerate scaling. The strategy’s cost-effectiveness is built around several key levers:</w:t>
      </w:r>
    </w:p>
    <w:p w14:paraId="51E3EA05" w14:textId="77777777" w:rsidR="009859B7" w:rsidRPr="007779A7" w:rsidRDefault="009859B7" w:rsidP="009859B7">
      <w:pPr>
        <w:numPr>
          <w:ilvl w:val="0"/>
          <w:numId w:val="273"/>
        </w:numPr>
        <w:spacing w:after="60" w:line="276" w:lineRule="auto"/>
        <w:contextualSpacing/>
        <w:rPr>
          <w:rFonts w:eastAsia="SimSun" w:cs="Times New Roman"/>
          <w:iCs/>
          <w:sz w:val="20"/>
          <w:szCs w:val="24"/>
          <w:lang w:val="en-US"/>
        </w:rPr>
      </w:pPr>
      <w:r w:rsidRPr="007779A7">
        <w:rPr>
          <w:rFonts w:eastAsia="SimSun" w:cs="Times New Roman"/>
          <w:iCs/>
          <w:sz w:val="20"/>
          <w:szCs w:val="24"/>
          <w:lang w:val="en-US"/>
        </w:rPr>
        <w:t>Theory of Change: Guides resource allocation toward the most transformative and measurable results across planning, transport, green infrastructure, and knowledge generation.</w:t>
      </w:r>
    </w:p>
    <w:p w14:paraId="2F959C68" w14:textId="77777777" w:rsidR="009859B7" w:rsidRPr="007779A7" w:rsidRDefault="009859B7" w:rsidP="009859B7">
      <w:pPr>
        <w:numPr>
          <w:ilvl w:val="0"/>
          <w:numId w:val="273"/>
        </w:numPr>
        <w:spacing w:after="60" w:line="276" w:lineRule="auto"/>
        <w:contextualSpacing/>
        <w:rPr>
          <w:rFonts w:eastAsia="SimSun" w:cs="Times New Roman"/>
          <w:iCs/>
          <w:sz w:val="20"/>
          <w:szCs w:val="24"/>
          <w:lang w:val="en-US"/>
        </w:rPr>
      </w:pPr>
      <w:r w:rsidRPr="007779A7">
        <w:rPr>
          <w:rFonts w:eastAsia="SimSun" w:cs="Times New Roman"/>
          <w:iCs/>
          <w:sz w:val="20"/>
          <w:szCs w:val="24"/>
          <w:lang w:val="en-US"/>
        </w:rPr>
        <w:t>Public-Private Partnerships (PPPs): Reduce public expenditure by attracting private investment in green infrastructure and sustainable mobility.</w:t>
      </w:r>
    </w:p>
    <w:p w14:paraId="199E0C6A" w14:textId="77777777" w:rsidR="009859B7" w:rsidRPr="007779A7" w:rsidRDefault="009859B7" w:rsidP="009859B7">
      <w:pPr>
        <w:numPr>
          <w:ilvl w:val="0"/>
          <w:numId w:val="273"/>
        </w:numPr>
        <w:spacing w:after="60" w:line="276" w:lineRule="auto"/>
        <w:contextualSpacing/>
        <w:rPr>
          <w:rFonts w:eastAsia="SimSun" w:cs="Times New Roman"/>
          <w:sz w:val="20"/>
          <w:szCs w:val="20"/>
          <w:lang w:val="en-US"/>
        </w:rPr>
      </w:pPr>
      <w:r w:rsidRPr="5D8904BE">
        <w:rPr>
          <w:rFonts w:eastAsia="SimSun" w:cs="Times New Roman"/>
          <w:sz w:val="20"/>
          <w:szCs w:val="20"/>
          <w:lang w:val="en-US"/>
        </w:rPr>
        <w:t>Portfolio Management: Aligns and complements efforts across existing projects to maximize returns and optimize human and financial resources.</w:t>
      </w:r>
    </w:p>
    <w:p w14:paraId="5F4EEEAF" w14:textId="77777777" w:rsidR="009859B7" w:rsidRPr="007779A7" w:rsidRDefault="009859B7" w:rsidP="009859B7">
      <w:pPr>
        <w:numPr>
          <w:ilvl w:val="0"/>
          <w:numId w:val="273"/>
        </w:numPr>
        <w:spacing w:after="60" w:line="276" w:lineRule="auto"/>
        <w:contextualSpacing/>
        <w:rPr>
          <w:rFonts w:eastAsia="SimSun" w:cs="Times New Roman"/>
          <w:sz w:val="20"/>
          <w:szCs w:val="20"/>
          <w:lang w:val="en-US"/>
        </w:rPr>
      </w:pPr>
      <w:r w:rsidRPr="5D8904BE">
        <w:rPr>
          <w:rFonts w:eastAsia="SimSun" w:cs="Times New Roman"/>
          <w:sz w:val="20"/>
          <w:szCs w:val="20"/>
          <w:lang w:val="en-US"/>
        </w:rPr>
        <w:t>Joint Operations: Shared monitoring, evaluation, data systems, and stakeholder engagement platforms lower operational costs.</w:t>
      </w:r>
    </w:p>
    <w:p w14:paraId="7227A7E8" w14:textId="77777777" w:rsidR="009859B7" w:rsidRPr="007779A7" w:rsidRDefault="009859B7" w:rsidP="009859B7">
      <w:pPr>
        <w:numPr>
          <w:ilvl w:val="0"/>
          <w:numId w:val="273"/>
        </w:numPr>
        <w:spacing w:after="60" w:line="276" w:lineRule="auto"/>
        <w:contextualSpacing/>
        <w:rPr>
          <w:rFonts w:eastAsia="SimSun" w:cs="Times New Roman"/>
          <w:sz w:val="20"/>
          <w:szCs w:val="20"/>
          <w:lang w:val="en-US"/>
        </w:rPr>
      </w:pPr>
      <w:r w:rsidRPr="537FA187">
        <w:rPr>
          <w:rFonts w:eastAsia="SimSun" w:cs="Times New Roman"/>
          <w:sz w:val="20"/>
          <w:szCs w:val="20"/>
          <w:lang w:val="en-US"/>
        </w:rPr>
        <w:t>Evidence-Based Good Practices: Scalable pilots in PES, ecotourism, and electric mobility enhance efficiency and ensure local relevance.</w:t>
      </w:r>
    </w:p>
    <w:p w14:paraId="7661648B" w14:textId="77777777" w:rsidR="009859B7" w:rsidRDefault="009859B7" w:rsidP="009859B7">
      <w:pPr>
        <w:spacing w:after="60" w:line="276" w:lineRule="auto"/>
        <w:contextualSpacing/>
        <w:rPr>
          <w:rFonts w:eastAsia="SimSun" w:cs="Times New Roman"/>
          <w:sz w:val="20"/>
          <w:szCs w:val="20"/>
          <w:lang w:val="en-US"/>
        </w:rPr>
      </w:pPr>
    </w:p>
    <w:p w14:paraId="115B0CAE" w14:textId="77777777" w:rsidR="009859B7" w:rsidRPr="007779A7" w:rsidRDefault="009859B7" w:rsidP="009859B7">
      <w:pPr>
        <w:spacing w:after="60" w:line="276" w:lineRule="auto"/>
        <w:contextualSpacing/>
        <w:rPr>
          <w:rFonts w:eastAsia="SimSun" w:cs="Times New Roman"/>
          <w:sz w:val="20"/>
          <w:szCs w:val="20"/>
          <w:lang w:val="en-US"/>
        </w:rPr>
      </w:pPr>
      <w:r w:rsidRPr="5D8904BE">
        <w:rPr>
          <w:rFonts w:eastAsia="SimSun" w:cs="Times New Roman"/>
          <w:sz w:val="20"/>
          <w:szCs w:val="20"/>
          <w:lang w:val="en-US"/>
        </w:rPr>
        <w:t>In conclusion, this strategy represents the most efficient and effective option among available alternatives, because it:</w:t>
      </w:r>
    </w:p>
    <w:p w14:paraId="6D021D24" w14:textId="77777777" w:rsidR="009859B7" w:rsidRPr="007779A7" w:rsidRDefault="009859B7" w:rsidP="009859B7">
      <w:pPr>
        <w:numPr>
          <w:ilvl w:val="0"/>
          <w:numId w:val="274"/>
        </w:numPr>
        <w:spacing w:after="60" w:line="276" w:lineRule="auto"/>
        <w:contextualSpacing/>
        <w:rPr>
          <w:rFonts w:eastAsia="SimSun" w:cs="Times New Roman"/>
          <w:iCs/>
          <w:sz w:val="20"/>
          <w:szCs w:val="24"/>
          <w:lang w:val="en-US"/>
        </w:rPr>
      </w:pPr>
      <w:r w:rsidRPr="007779A7">
        <w:rPr>
          <w:rFonts w:eastAsia="SimSun" w:cs="Times New Roman"/>
          <w:iCs/>
          <w:sz w:val="20"/>
          <w:szCs w:val="24"/>
          <w:lang w:val="en-US"/>
        </w:rPr>
        <w:t xml:space="preserve">Is anchored in evidence-based planning and a robust Theory of </w:t>
      </w:r>
      <w:proofErr w:type="gramStart"/>
      <w:r w:rsidRPr="007779A7">
        <w:rPr>
          <w:rFonts w:eastAsia="SimSun" w:cs="Times New Roman"/>
          <w:iCs/>
          <w:sz w:val="20"/>
          <w:szCs w:val="24"/>
          <w:lang w:val="en-US"/>
        </w:rPr>
        <w:t>Change;</w:t>
      </w:r>
      <w:proofErr w:type="gramEnd"/>
    </w:p>
    <w:p w14:paraId="0524D52F" w14:textId="77777777" w:rsidR="009859B7" w:rsidRPr="007779A7" w:rsidRDefault="009859B7" w:rsidP="009859B7">
      <w:pPr>
        <w:numPr>
          <w:ilvl w:val="0"/>
          <w:numId w:val="274"/>
        </w:numPr>
        <w:spacing w:after="60" w:line="276" w:lineRule="auto"/>
        <w:contextualSpacing/>
        <w:rPr>
          <w:rFonts w:eastAsia="SimSun" w:cs="Times New Roman"/>
          <w:iCs/>
          <w:sz w:val="20"/>
          <w:szCs w:val="24"/>
          <w:lang w:val="en-US"/>
        </w:rPr>
      </w:pPr>
      <w:r w:rsidRPr="007779A7">
        <w:rPr>
          <w:rFonts w:eastAsia="SimSun" w:cs="Times New Roman"/>
          <w:iCs/>
          <w:sz w:val="20"/>
          <w:szCs w:val="24"/>
          <w:lang w:val="en-US"/>
        </w:rPr>
        <w:t xml:space="preserve">Mobilizes diverse stakeholders and funding sources to enhance scale and </w:t>
      </w:r>
      <w:proofErr w:type="gramStart"/>
      <w:r w:rsidRPr="007779A7">
        <w:rPr>
          <w:rFonts w:eastAsia="SimSun" w:cs="Times New Roman"/>
          <w:iCs/>
          <w:sz w:val="20"/>
          <w:szCs w:val="24"/>
          <w:lang w:val="en-US"/>
        </w:rPr>
        <w:t>sustainability;</w:t>
      </w:r>
      <w:proofErr w:type="gramEnd"/>
    </w:p>
    <w:p w14:paraId="71131D26" w14:textId="77777777" w:rsidR="009859B7" w:rsidRPr="007779A7" w:rsidRDefault="009859B7" w:rsidP="009859B7">
      <w:pPr>
        <w:numPr>
          <w:ilvl w:val="0"/>
          <w:numId w:val="274"/>
        </w:numPr>
        <w:spacing w:after="60" w:line="276" w:lineRule="auto"/>
        <w:contextualSpacing/>
        <w:rPr>
          <w:rFonts w:eastAsia="SimSun" w:cs="Times New Roman"/>
          <w:iCs/>
          <w:sz w:val="20"/>
          <w:szCs w:val="24"/>
          <w:lang w:val="en-US"/>
        </w:rPr>
      </w:pPr>
      <w:r w:rsidRPr="007779A7">
        <w:rPr>
          <w:rFonts w:eastAsia="SimSun" w:cs="Times New Roman"/>
          <w:iCs/>
          <w:sz w:val="20"/>
          <w:szCs w:val="24"/>
          <w:lang w:val="en-US"/>
        </w:rPr>
        <w:t>Integrates proven local solutions with innovative financial tools to maximize economic, social, and environmental returns.</w:t>
      </w:r>
    </w:p>
    <w:p w14:paraId="05523A09" w14:textId="77777777" w:rsidR="009859B7" w:rsidRPr="0079069D" w:rsidRDefault="009859B7" w:rsidP="009859B7">
      <w:pPr>
        <w:spacing w:after="60" w:line="276" w:lineRule="auto"/>
        <w:contextualSpacing/>
        <w:rPr>
          <w:rFonts w:eastAsia="SimSun" w:cs="Times New Roman"/>
          <w:iCs/>
          <w:sz w:val="20"/>
          <w:szCs w:val="24"/>
          <w:lang w:val="en-US"/>
        </w:rPr>
      </w:pPr>
    </w:p>
    <w:p w14:paraId="3E892F3B" w14:textId="77777777" w:rsidR="009859B7" w:rsidRDefault="009859B7" w:rsidP="009859B7">
      <w:pPr>
        <w:spacing w:after="60" w:line="276" w:lineRule="auto"/>
        <w:ind w:firstLine="540"/>
        <w:contextualSpacing/>
        <w:rPr>
          <w:rFonts w:eastAsia="SimSun" w:cs="Times New Roman"/>
          <w:b/>
          <w:i/>
          <w:sz w:val="20"/>
          <w:szCs w:val="24"/>
          <w:lang w:val="en-US"/>
        </w:rPr>
      </w:pPr>
      <w:r w:rsidRPr="007B5721">
        <w:rPr>
          <w:rFonts w:eastAsia="SimSun" w:cs="Times New Roman"/>
          <w:b/>
          <w:i/>
          <w:sz w:val="20"/>
          <w:szCs w:val="24"/>
          <w:lang w:val="en-US"/>
        </w:rPr>
        <w:t>Project Management</w:t>
      </w:r>
    </w:p>
    <w:p w14:paraId="2FE5BA9C" w14:textId="77777777" w:rsidR="009859B7" w:rsidRPr="00125342" w:rsidRDefault="009859B7" w:rsidP="009859B7">
      <w:pPr>
        <w:spacing w:after="60" w:line="276" w:lineRule="auto"/>
        <w:contextualSpacing/>
        <w:rPr>
          <w:rFonts w:eastAsia="SimSun" w:cs="Times New Roman"/>
          <w:sz w:val="20"/>
          <w:szCs w:val="20"/>
          <w:lang w:val="en-US"/>
        </w:rPr>
      </w:pPr>
      <w:r w:rsidRPr="537FA187">
        <w:rPr>
          <w:rFonts w:eastAsia="SimSun" w:cs="Times New Roman"/>
          <w:sz w:val="20"/>
          <w:szCs w:val="20"/>
          <w:lang w:val="en-US"/>
        </w:rPr>
        <w:t xml:space="preserve">The project will be operationally anchored at the National Directorate of Urban Planning and Housing </w:t>
      </w:r>
      <w:proofErr w:type="gramStart"/>
      <w:r w:rsidRPr="537FA187">
        <w:rPr>
          <w:rFonts w:eastAsia="SimSun" w:cs="Times New Roman"/>
          <w:sz w:val="20"/>
          <w:szCs w:val="20"/>
          <w:lang w:val="en-US"/>
        </w:rPr>
        <w:t>( NDUPH</w:t>
      </w:r>
      <w:proofErr w:type="gramEnd"/>
      <w:r w:rsidRPr="537FA187">
        <w:rPr>
          <w:rFonts w:eastAsia="SimSun" w:cs="Times New Roman"/>
          <w:sz w:val="20"/>
          <w:szCs w:val="20"/>
          <w:lang w:val="en-US"/>
        </w:rPr>
        <w:t>), which will serve as the central coordination hub. This institutional setup ensures strong alignment with national urban development strategies and facilitates inter-ministerial coordination.</w:t>
      </w:r>
    </w:p>
    <w:p w14:paraId="1B34B3CA" w14:textId="77777777" w:rsidR="009859B7" w:rsidRDefault="009859B7" w:rsidP="009859B7">
      <w:pPr>
        <w:spacing w:after="60" w:line="276" w:lineRule="auto"/>
        <w:contextualSpacing/>
        <w:rPr>
          <w:rFonts w:eastAsia="SimSun" w:cs="Times New Roman"/>
          <w:sz w:val="20"/>
          <w:szCs w:val="20"/>
          <w:lang w:val="en-US"/>
        </w:rPr>
      </w:pPr>
    </w:p>
    <w:p w14:paraId="4FE1F9F0" w14:textId="77777777" w:rsidR="009859B7" w:rsidRPr="00125342" w:rsidRDefault="009859B7" w:rsidP="009859B7">
      <w:pPr>
        <w:spacing w:after="60" w:line="276" w:lineRule="auto"/>
        <w:contextualSpacing/>
        <w:rPr>
          <w:rFonts w:eastAsia="SimSun" w:cs="Times New Roman"/>
          <w:sz w:val="20"/>
          <w:szCs w:val="20"/>
          <w:lang w:val="en-US"/>
        </w:rPr>
      </w:pPr>
      <w:r w:rsidRPr="537FA187">
        <w:rPr>
          <w:rFonts w:eastAsia="SimSun" w:cs="Times New Roman"/>
          <w:sz w:val="20"/>
          <w:szCs w:val="20"/>
          <w:lang w:val="en-US"/>
        </w:rPr>
        <w:lastRenderedPageBreak/>
        <w:t>A dedicated Project Management Unit (PMU) will be established within the NDUPH premises in Bamako, serving as the main physical office. The PMU will include a National Project Coordinator, M&amp;E Specialist, Administrative and Financial Officer, Communication and KM, Gender and ESS, and Thematic Experts in urban planning, transport and e-</w:t>
      </w:r>
      <w:proofErr w:type="spellStart"/>
      <w:r w:rsidRPr="537FA187">
        <w:rPr>
          <w:rFonts w:eastAsia="SimSun" w:cs="Times New Roman"/>
          <w:sz w:val="20"/>
          <w:szCs w:val="20"/>
          <w:lang w:val="en-US"/>
        </w:rPr>
        <w:t>mobillty</w:t>
      </w:r>
      <w:proofErr w:type="spellEnd"/>
      <w:r w:rsidRPr="537FA187">
        <w:rPr>
          <w:rFonts w:eastAsia="SimSun" w:cs="Times New Roman"/>
          <w:sz w:val="20"/>
          <w:szCs w:val="20"/>
          <w:lang w:val="en-US"/>
        </w:rPr>
        <w:t xml:space="preserve"> and biodiversity. To ensure cost-effective operations, the PMU will share logistics and services where appropriate with related initiatives, particularly the PRUBA Project and the BIOFIN Project, all of which are active in similar thematic and geographical areas. Shared services may include monitoring and evaluation mechanisms, and data platforms (e.g., the Bamako Geoportal).</w:t>
      </w:r>
    </w:p>
    <w:p w14:paraId="2B3E56D0" w14:textId="77777777" w:rsidR="009859B7" w:rsidRDefault="009859B7" w:rsidP="009859B7">
      <w:pPr>
        <w:spacing w:after="60" w:line="276" w:lineRule="auto"/>
        <w:contextualSpacing/>
        <w:rPr>
          <w:rFonts w:eastAsia="SimSun" w:cs="Times New Roman"/>
          <w:sz w:val="20"/>
          <w:szCs w:val="20"/>
          <w:lang w:val="en-US"/>
        </w:rPr>
      </w:pPr>
    </w:p>
    <w:p w14:paraId="11952F40" w14:textId="77777777" w:rsidR="009859B7" w:rsidRPr="00125342" w:rsidRDefault="009859B7" w:rsidP="009859B7">
      <w:pPr>
        <w:spacing w:after="60" w:line="276" w:lineRule="auto"/>
        <w:contextualSpacing/>
        <w:rPr>
          <w:rFonts w:eastAsia="SimSun" w:cs="Times New Roman"/>
          <w:sz w:val="20"/>
          <w:szCs w:val="20"/>
          <w:lang w:val="en-US"/>
        </w:rPr>
      </w:pPr>
      <w:r w:rsidRPr="5D8904BE">
        <w:rPr>
          <w:rFonts w:eastAsia="SimSun" w:cs="Times New Roman"/>
          <w:sz w:val="20"/>
          <w:szCs w:val="20"/>
          <w:lang w:val="en-US"/>
        </w:rPr>
        <w:t>The project will also collaborate with the Municipality of the District of Bamako, regional and local councils, and key technical directorates, leveraging existing platforms for stakeholder engagement and knowledge sharing.</w:t>
      </w:r>
    </w:p>
    <w:p w14:paraId="23425AE1" w14:textId="77777777" w:rsidR="009859B7" w:rsidRPr="00125342" w:rsidRDefault="009859B7" w:rsidP="009859B7">
      <w:pPr>
        <w:spacing w:after="60" w:line="276" w:lineRule="auto"/>
        <w:contextualSpacing/>
        <w:rPr>
          <w:rFonts w:eastAsia="SimSun" w:cs="Times New Roman"/>
          <w:sz w:val="20"/>
          <w:szCs w:val="20"/>
          <w:lang w:val="en-US"/>
        </w:rPr>
      </w:pPr>
      <w:r w:rsidRPr="5D8904BE">
        <w:rPr>
          <w:rFonts w:eastAsia="SimSun" w:cs="Times New Roman"/>
          <w:sz w:val="20"/>
          <w:szCs w:val="20"/>
          <w:lang w:val="en-US"/>
        </w:rPr>
        <w:t>Wherever possible, project activities will be implemented in synergy with other UNDP-supported projects to avoid duplication and foster mutual reinforcement of outcomes. Coordination mechanisms (such as technical committees and thematic working groups) will promote strategic coherence across initiatives.</w:t>
      </w:r>
    </w:p>
    <w:p w14:paraId="43A53F28" w14:textId="77777777" w:rsidR="009859B7" w:rsidRDefault="009859B7" w:rsidP="009859B7">
      <w:pPr>
        <w:spacing w:after="60" w:line="276" w:lineRule="auto"/>
        <w:contextualSpacing/>
        <w:rPr>
          <w:rFonts w:eastAsia="SimSun" w:cs="Times New Roman"/>
          <w:sz w:val="20"/>
          <w:szCs w:val="20"/>
          <w:lang w:val="en-US"/>
        </w:rPr>
      </w:pPr>
    </w:p>
    <w:p w14:paraId="3574BE12" w14:textId="77777777" w:rsidR="009859B7" w:rsidRPr="00125342" w:rsidRDefault="009859B7" w:rsidP="009859B7">
      <w:pPr>
        <w:spacing w:after="60" w:line="276" w:lineRule="auto"/>
        <w:contextualSpacing/>
        <w:rPr>
          <w:rFonts w:eastAsia="SimSun" w:cs="Times New Roman"/>
          <w:sz w:val="20"/>
          <w:szCs w:val="20"/>
          <w:lang w:val="en-US"/>
        </w:rPr>
      </w:pPr>
      <w:r w:rsidRPr="5D8904BE">
        <w:rPr>
          <w:rFonts w:eastAsia="SimSun" w:cs="Times New Roman"/>
          <w:sz w:val="20"/>
          <w:szCs w:val="20"/>
          <w:lang w:val="en-US"/>
        </w:rPr>
        <w:t xml:space="preserve">In terms of audit and fiduciary oversight, the project will comply with UNDP's National Implementation Modality (NIM) standards. Financial management will be subject to regular audits, conducted in line with UNDP’s financial regulations and procedures, ensuring accountability and transparency. </w:t>
      </w:r>
    </w:p>
    <w:p w14:paraId="5AAC7887" w14:textId="77777777" w:rsidR="009859B7" w:rsidRDefault="009859B7" w:rsidP="009859B7">
      <w:pPr>
        <w:spacing w:after="60" w:line="276" w:lineRule="auto"/>
        <w:contextualSpacing/>
        <w:rPr>
          <w:rFonts w:eastAsia="SimSun" w:cs="Times New Roman"/>
          <w:sz w:val="20"/>
          <w:szCs w:val="20"/>
          <w:lang w:val="en-US"/>
        </w:rPr>
      </w:pPr>
    </w:p>
    <w:p w14:paraId="2598B188" w14:textId="77777777" w:rsidR="009859B7" w:rsidRPr="009804E6" w:rsidRDefault="009859B7" w:rsidP="009859B7">
      <w:pPr>
        <w:spacing w:before="240" w:after="60" w:line="276" w:lineRule="auto"/>
        <w:contextualSpacing/>
        <w:rPr>
          <w:rFonts w:eastAsia="SimSun" w:cs="Times New Roman"/>
          <w:sz w:val="20"/>
          <w:szCs w:val="20"/>
          <w:lang w:val="en-US"/>
        </w:rPr>
        <w:sectPr w:rsidR="009859B7" w:rsidRPr="009804E6" w:rsidSect="009859B7">
          <w:headerReference w:type="first" r:id="rId45"/>
          <w:pgSz w:w="11906" w:h="16838"/>
          <w:pgMar w:top="1418" w:right="1418" w:bottom="1418" w:left="1418" w:header="709" w:footer="709" w:gutter="0"/>
          <w:cols w:space="720"/>
        </w:sectPr>
      </w:pPr>
      <w:r w:rsidRPr="5D8904BE">
        <w:rPr>
          <w:rFonts w:eastAsia="SimSun" w:cs="Times New Roman"/>
          <w:sz w:val="20"/>
          <w:szCs w:val="20"/>
          <w:lang w:val="en-US"/>
        </w:rPr>
        <w:t>This project management arrangement ensures a robust governance structure, clear lines of accountability, and maximum synergy with ongoing national and international urban development efforts.</w:t>
      </w:r>
    </w:p>
    <w:p w14:paraId="07A99EEC" w14:textId="7A7BDA4A" w:rsidR="004F7DB3" w:rsidRPr="002D2DDC" w:rsidRDefault="7F64D346" w:rsidP="26E43118">
      <w:pPr>
        <w:pStyle w:val="Heading11"/>
        <w:rPr>
          <w:lang w:val="en-US"/>
        </w:rPr>
      </w:pPr>
      <w:r w:rsidRPr="5D8904BE">
        <w:rPr>
          <w:lang w:val="en-US"/>
        </w:rPr>
        <w:lastRenderedPageBreak/>
        <w:t>Monitoring and Evaluation (M&amp;E) Plan</w:t>
      </w:r>
      <w:bookmarkEnd w:id="46"/>
      <w:bookmarkEnd w:id="47"/>
    </w:p>
    <w:p w14:paraId="6AB3B0E2" w14:textId="0490CC0C" w:rsidR="004F7DB3" w:rsidRPr="005945B9" w:rsidRDefault="2433D724" w:rsidP="005945B9">
      <w:pPr>
        <w:spacing w:after="0" w:line="276" w:lineRule="auto"/>
        <w:jc w:val="both"/>
        <w:rPr>
          <w:sz w:val="20"/>
          <w:szCs w:val="20"/>
          <w:lang w:val="en-US"/>
        </w:rPr>
      </w:pPr>
      <w:r w:rsidRPr="5D8904BE">
        <w:rPr>
          <w:sz w:val="20"/>
          <w:szCs w:val="20"/>
          <w:lang w:val="en-US"/>
        </w:rPr>
        <w:t xml:space="preserve">The project results, corresponding indicators and mid-term and end-of-project targets in the project results framework will be monitored annually and evaluated periodically during project implementation. If baseline data for some of the results indicators is not yet available, it will be collected during the first year of project implementation. The Monitoring Plan details the roles, responsibilities, and frequency of monitoring project results. </w:t>
      </w:r>
    </w:p>
    <w:p w14:paraId="53F3C53A" w14:textId="3E90B04D" w:rsidR="004F7DB3" w:rsidRPr="005945B9" w:rsidRDefault="573F570F" w:rsidP="24AA8F7E">
      <w:pPr>
        <w:spacing w:after="0" w:line="276" w:lineRule="auto"/>
        <w:jc w:val="both"/>
        <w:rPr>
          <w:b/>
          <w:bCs/>
          <w:sz w:val="20"/>
          <w:szCs w:val="20"/>
          <w:lang w:val="en-US"/>
        </w:rPr>
      </w:pPr>
      <w:r w:rsidRPr="5D8904BE">
        <w:rPr>
          <w:sz w:val="20"/>
          <w:szCs w:val="20"/>
          <w:lang w:val="en-US"/>
        </w:rPr>
        <w:t xml:space="preserve">Project-level monitoring and evaluation will be undertaken in compliance with UNDP requirements as outlined in the </w:t>
      </w:r>
      <w:r>
        <w:fldChar w:fldCharType="begin"/>
      </w:r>
      <w:r w:rsidRPr="00F50786">
        <w:rPr>
          <w:lang w:val="en-US"/>
          <w:rPrChange w:id="48" w:author="Ali Sambou" w:date="2026-01-06T13:26:00Z" w16du:dateUtc="2026-01-06T13:26:00Z">
            <w:rPr/>
          </w:rPrChange>
        </w:rPr>
        <w:instrText>HYPERLINK "https://popp.undp.org/"</w:instrText>
      </w:r>
      <w:r>
        <w:fldChar w:fldCharType="separate"/>
      </w:r>
      <w:r w:rsidRPr="5D8904BE">
        <w:rPr>
          <w:rStyle w:val="Lienhypertexte"/>
          <w:sz w:val="20"/>
          <w:szCs w:val="20"/>
          <w:lang w:val="en-US"/>
        </w:rPr>
        <w:t>UNDP POPP</w:t>
      </w:r>
      <w:r>
        <w:fldChar w:fldCharType="end"/>
      </w:r>
      <w:r w:rsidRPr="5D8904BE">
        <w:rPr>
          <w:sz w:val="20"/>
          <w:szCs w:val="20"/>
          <w:lang w:val="en-US"/>
        </w:rPr>
        <w:t xml:space="preserve"> (including </w:t>
      </w:r>
      <w:r>
        <w:fldChar w:fldCharType="begin"/>
      </w:r>
      <w:r w:rsidRPr="00F50786">
        <w:rPr>
          <w:lang w:val="en-US"/>
          <w:rPrChange w:id="49" w:author="Ali Sambou" w:date="2026-01-06T13:26:00Z" w16du:dateUtc="2026-01-06T13:26:00Z">
            <w:rPr/>
          </w:rPrChange>
        </w:rPr>
        <w:instrText>HYPERLINK "file:///C:/node/1681"</w:instrText>
      </w:r>
      <w:r>
        <w:fldChar w:fldCharType="separate"/>
      </w:r>
      <w:r w:rsidRPr="5D8904BE">
        <w:rPr>
          <w:rStyle w:val="Lienhypertexte"/>
          <w:sz w:val="20"/>
          <w:szCs w:val="20"/>
          <w:lang w:val="en-US"/>
        </w:rPr>
        <w:t>guidance on GEF project revisions</w:t>
      </w:r>
      <w:r>
        <w:fldChar w:fldCharType="end"/>
      </w:r>
      <w:r w:rsidRPr="5D8904BE">
        <w:rPr>
          <w:sz w:val="20"/>
          <w:szCs w:val="20"/>
          <w:lang w:val="en-US"/>
        </w:rPr>
        <w:t>)</w:t>
      </w:r>
      <w:r w:rsidRPr="5D8904BE">
        <w:rPr>
          <w:sz w:val="20"/>
          <w:szCs w:val="20"/>
          <w:u w:val="single"/>
          <w:lang w:val="en-US"/>
        </w:rPr>
        <w:t xml:space="preserve"> </w:t>
      </w:r>
      <w:r w:rsidRPr="5D8904BE">
        <w:rPr>
          <w:sz w:val="20"/>
          <w:szCs w:val="20"/>
          <w:lang w:val="en-US"/>
        </w:rPr>
        <w:t xml:space="preserve">and </w:t>
      </w:r>
      <w:r>
        <w:fldChar w:fldCharType="begin"/>
      </w:r>
      <w:r w:rsidRPr="00F50786">
        <w:rPr>
          <w:lang w:val="en-US"/>
          <w:rPrChange w:id="50" w:author="Ali Sambou" w:date="2026-01-06T13:26:00Z" w16du:dateUtc="2026-01-06T13:26:00Z">
            <w:rPr/>
          </w:rPrChange>
        </w:rPr>
        <w:instrText>HYPERLINK "http://web.undp.org/evaluation/policy.shtml"</w:instrText>
      </w:r>
      <w:r>
        <w:fldChar w:fldCharType="separate"/>
      </w:r>
      <w:r w:rsidRPr="5D8904BE">
        <w:rPr>
          <w:rStyle w:val="Lienhypertexte"/>
          <w:color w:val="0000FF"/>
          <w:sz w:val="20"/>
          <w:szCs w:val="20"/>
          <w:lang w:val="en-US"/>
        </w:rPr>
        <w:t>UNDP Evaluation Policy</w:t>
      </w:r>
      <w:r>
        <w:fldChar w:fldCharType="end"/>
      </w:r>
      <w:r w:rsidRPr="5D8904BE">
        <w:rPr>
          <w:color w:val="0000FF"/>
          <w:sz w:val="20"/>
          <w:szCs w:val="20"/>
          <w:lang w:val="en-US"/>
        </w:rPr>
        <w:t xml:space="preserve"> </w:t>
      </w:r>
      <w:r w:rsidRPr="5D8904BE">
        <w:rPr>
          <w:b/>
          <w:bCs/>
          <w:sz w:val="20"/>
          <w:szCs w:val="20"/>
          <w:lang w:val="en-US"/>
        </w:rPr>
        <w:t>The UNDP Country Office is responsible for ensuring full compliance with all UNDP project M&amp;E requirements including project monitoring, UNDP quality assurance requirements, quarterly risk management, and evaluation requirements.</w:t>
      </w:r>
    </w:p>
    <w:p w14:paraId="0BCD9EEC" w14:textId="5E58466B" w:rsidR="004F7DB3" w:rsidRPr="005945B9" w:rsidRDefault="004F7DB3" w:rsidP="24AA8F7E">
      <w:pPr>
        <w:spacing w:after="0" w:line="276" w:lineRule="auto"/>
        <w:jc w:val="both"/>
        <w:rPr>
          <w:sz w:val="20"/>
          <w:szCs w:val="20"/>
          <w:lang w:val="en-US"/>
        </w:rPr>
      </w:pPr>
    </w:p>
    <w:p w14:paraId="6CB2194F" w14:textId="19452A5A" w:rsidR="004F7DB3" w:rsidRPr="005945B9" w:rsidRDefault="50CC1674" w:rsidP="005945B9">
      <w:pPr>
        <w:spacing w:after="0" w:line="276" w:lineRule="auto"/>
        <w:jc w:val="both"/>
        <w:rPr>
          <w:sz w:val="20"/>
          <w:szCs w:val="20"/>
          <w:lang w:val="en-US"/>
        </w:rPr>
      </w:pPr>
      <w:r w:rsidRPr="37FF86E9">
        <w:rPr>
          <w:sz w:val="20"/>
          <w:szCs w:val="20"/>
          <w:lang w:val="en-US"/>
        </w:rPr>
        <w:t xml:space="preserve">Additional mandatory GEF-specific M&amp;E requirements will be undertaken in accordance with the </w:t>
      </w:r>
      <w:r>
        <w:fldChar w:fldCharType="begin"/>
      </w:r>
      <w:r w:rsidRPr="00F50786">
        <w:rPr>
          <w:lang w:val="en-US"/>
          <w:rPrChange w:id="51" w:author="Ali Sambou" w:date="2026-01-06T13:26:00Z" w16du:dateUtc="2026-01-06T13:26:00Z">
            <w:rPr/>
          </w:rPrChange>
        </w:rPr>
        <w:instrText>HYPERLINK "https://www.thegef.org/sites/default/files/council-meeting-documents/GEF-C.56-03%2C%20Policy%20on%20Monitoring.pdf" \h</w:instrText>
      </w:r>
      <w:r>
        <w:fldChar w:fldCharType="separate"/>
      </w:r>
      <w:r w:rsidRPr="37FF86E9">
        <w:rPr>
          <w:rStyle w:val="Lienhypertexte"/>
          <w:rFonts w:eastAsia="Times New Roman"/>
          <w:color w:val="0000FF"/>
          <w:sz w:val="20"/>
          <w:szCs w:val="20"/>
          <w:lang w:val="en-US"/>
        </w:rPr>
        <w:t>GEF Monitoring Policy</w:t>
      </w:r>
      <w:r>
        <w:fldChar w:fldCharType="end"/>
      </w:r>
      <w:r w:rsidRPr="37FF86E9">
        <w:rPr>
          <w:sz w:val="20"/>
          <w:szCs w:val="20"/>
          <w:lang w:val="en-US"/>
        </w:rPr>
        <w:t xml:space="preserve"> and the </w:t>
      </w:r>
      <w:r>
        <w:fldChar w:fldCharType="begin"/>
      </w:r>
      <w:r w:rsidRPr="00F50786">
        <w:rPr>
          <w:lang w:val="en-US"/>
          <w:rPrChange w:id="52" w:author="Ali Sambou" w:date="2026-01-06T13:26:00Z" w16du:dateUtc="2026-01-06T13:26:00Z">
            <w:rPr/>
          </w:rPrChange>
        </w:rPr>
        <w:instrText>HYPERLINK "https://www.thegef.org/sites/default/files/council-meeting-documents/EN_GEF.ME_C56_02_GEF_Evaluation_Policy_May_2019_0.pdf" \h</w:instrText>
      </w:r>
      <w:r>
        <w:fldChar w:fldCharType="separate"/>
      </w:r>
      <w:r w:rsidRPr="37FF86E9">
        <w:rPr>
          <w:rStyle w:val="Lienhypertexte"/>
          <w:rFonts w:eastAsia="Times New Roman"/>
          <w:color w:val="0000FF"/>
          <w:sz w:val="20"/>
          <w:szCs w:val="20"/>
          <w:lang w:val="en-US"/>
        </w:rPr>
        <w:t>GEF Evaluation Policy</w:t>
      </w:r>
      <w:r>
        <w:fldChar w:fldCharType="end"/>
      </w:r>
      <w:r w:rsidRPr="37FF86E9">
        <w:rPr>
          <w:sz w:val="20"/>
          <w:szCs w:val="20"/>
          <w:lang w:val="en-US"/>
        </w:rPr>
        <w:t xml:space="preserve"> and other relevant GEF policies</w:t>
      </w:r>
      <w:r w:rsidR="6EAADF75" w:rsidRPr="37FF86E9">
        <w:rPr>
          <w:sz w:val="20"/>
          <w:szCs w:val="20"/>
          <w:vertAlign w:val="superscript"/>
          <w:lang w:val="en-US"/>
        </w:rPr>
        <w:footnoteReference w:id="31"/>
      </w:r>
      <w:r w:rsidRPr="37FF86E9">
        <w:rPr>
          <w:sz w:val="20"/>
          <w:szCs w:val="20"/>
          <w:vertAlign w:val="superscript"/>
          <w:lang w:val="en-US"/>
        </w:rPr>
        <w:t xml:space="preserve"> </w:t>
      </w:r>
      <w:r w:rsidRPr="37FF86E9">
        <w:rPr>
          <w:sz w:val="20"/>
          <w:szCs w:val="20"/>
          <w:lang w:val="en-US"/>
        </w:rPr>
        <w:t xml:space="preserve"> The costed M&amp;E plan included below, and the Monitoring plan in Annex, will guide the GEF-specific M&amp;E activities to be undertaken by this project.</w:t>
      </w:r>
    </w:p>
    <w:p w14:paraId="1AEBA6B9" w14:textId="302BF102" w:rsidR="24AA8F7E" w:rsidRDefault="24AA8F7E" w:rsidP="24AA8F7E">
      <w:pPr>
        <w:spacing w:after="0" w:line="276" w:lineRule="auto"/>
        <w:jc w:val="both"/>
        <w:rPr>
          <w:sz w:val="20"/>
          <w:szCs w:val="20"/>
          <w:lang w:val="en-US"/>
        </w:rPr>
      </w:pPr>
    </w:p>
    <w:p w14:paraId="461A1F44" w14:textId="304D0103" w:rsidR="004F7DB3" w:rsidRPr="005945B9" w:rsidRDefault="2433D724" w:rsidP="005945B9">
      <w:pPr>
        <w:spacing w:after="0" w:line="276" w:lineRule="auto"/>
        <w:jc w:val="both"/>
        <w:rPr>
          <w:sz w:val="20"/>
          <w:szCs w:val="20"/>
          <w:lang w:val="en-US"/>
        </w:rPr>
      </w:pPr>
      <w:r w:rsidRPr="5D8904BE">
        <w:rPr>
          <w:sz w:val="20"/>
          <w:szCs w:val="20"/>
          <w:lang w:val="en-US"/>
        </w:rPr>
        <w:t xml:space="preserve">In addition to these mandatory UNDP and GEF M&amp;E requirements, other M&amp;E activities deemed necessary to support project-level adaptive management will be agreed during the Project Inception Workshop and will be detailed in the Inception Report. </w:t>
      </w:r>
    </w:p>
    <w:p w14:paraId="000009A6" w14:textId="18827356" w:rsidR="004F7DB3" w:rsidRPr="005945B9" w:rsidRDefault="5C6EF691">
      <w:pPr>
        <w:spacing w:before="240" w:after="240" w:line="276" w:lineRule="auto"/>
        <w:jc w:val="both"/>
        <w:rPr>
          <w:sz w:val="20"/>
          <w:szCs w:val="20"/>
          <w:lang w:val="en-US"/>
        </w:rPr>
      </w:pPr>
      <w:r w:rsidRPr="5D8904BE">
        <w:rPr>
          <w:sz w:val="20"/>
          <w:szCs w:val="20"/>
          <w:lang w:val="en-US"/>
        </w:rPr>
        <w:t xml:space="preserve">In addition to the UNDP and GEF minimum monitoring and evaluation requirements, complementary activities may be identified to support adaptive project management. These activities will be discussed and validated during the start-up </w:t>
      </w:r>
      <w:r w:rsidR="3AFEF3B0" w:rsidRPr="5D8904BE">
        <w:rPr>
          <w:sz w:val="20"/>
          <w:szCs w:val="20"/>
          <w:lang w:val="en-US"/>
        </w:rPr>
        <w:t>workshop and</w:t>
      </w:r>
      <w:r w:rsidRPr="5D8904BE">
        <w:rPr>
          <w:sz w:val="20"/>
          <w:szCs w:val="20"/>
          <w:lang w:val="en-US"/>
        </w:rPr>
        <w:t xml:space="preserve"> then detailed in the start-up report.</w:t>
      </w:r>
      <w:r w:rsidR="6A9839BA" w:rsidRPr="5D8904BE">
        <w:rPr>
          <w:sz w:val="20"/>
          <w:szCs w:val="20"/>
          <w:lang w:val="en-US"/>
        </w:rPr>
        <w:t xml:space="preserve"> </w:t>
      </w:r>
      <w:r w:rsidRPr="5D8904BE">
        <w:rPr>
          <w:sz w:val="20"/>
          <w:szCs w:val="20"/>
          <w:lang w:val="en-US"/>
        </w:rPr>
        <w:t>The UNDP Country Office is responsible for compliance with all monitoring and evaluation requirements, including regular monitoring of implementation, quality control, quarterly risk management and compliance with evaluation requirements.</w:t>
      </w:r>
      <w:r w:rsidR="4D8DFEBF" w:rsidRPr="5D8904BE">
        <w:rPr>
          <w:sz w:val="20"/>
          <w:szCs w:val="20"/>
          <w:lang w:val="en-US"/>
        </w:rPr>
        <w:t xml:space="preserve"> </w:t>
      </w:r>
      <w:r w:rsidRPr="5D8904BE">
        <w:rPr>
          <w:sz w:val="20"/>
          <w:szCs w:val="20"/>
          <w:lang w:val="en-US"/>
        </w:rPr>
        <w:t>The monitoring and evaluation plan and associated budget presented below will guide the implementation of GEF-specific activities under the project.</w:t>
      </w:r>
    </w:p>
    <w:p w14:paraId="74DF5320" w14:textId="77777777" w:rsidR="00577203" w:rsidRPr="00577203" w:rsidRDefault="244747C5" w:rsidP="5D8904BE">
      <w:pPr>
        <w:spacing w:after="0" w:line="240" w:lineRule="auto"/>
        <w:jc w:val="both"/>
        <w:rPr>
          <w:rFonts w:eastAsia="SimSun" w:cs="Times New Roman"/>
          <w:i/>
          <w:iCs/>
          <w:sz w:val="20"/>
          <w:szCs w:val="20"/>
          <w:lang w:val="en-US"/>
        </w:rPr>
      </w:pPr>
      <w:r w:rsidRPr="5D8904BE">
        <w:rPr>
          <w:rFonts w:eastAsia="SimSun"/>
          <w:b/>
          <w:bCs/>
          <w:sz w:val="20"/>
          <w:szCs w:val="20"/>
          <w:lang w:val="en-US"/>
        </w:rPr>
        <w:t>Minimum project monitoring and reporting requirements as required by the GEF:</w:t>
      </w:r>
      <w:r w:rsidRPr="5D8904BE">
        <w:rPr>
          <w:rFonts w:eastAsia="SimSun" w:cs="Times New Roman"/>
          <w:i/>
          <w:iCs/>
          <w:sz w:val="20"/>
          <w:szCs w:val="20"/>
          <w:highlight w:val="magenta"/>
          <w:lang w:val="en-US"/>
        </w:rPr>
        <w:t xml:space="preserve"> </w:t>
      </w:r>
    </w:p>
    <w:p w14:paraId="3684F095" w14:textId="77777777" w:rsidR="00577203" w:rsidRPr="00577203" w:rsidRDefault="00577203" w:rsidP="00577203">
      <w:pPr>
        <w:spacing w:after="0" w:line="240" w:lineRule="auto"/>
        <w:jc w:val="both"/>
        <w:rPr>
          <w:rFonts w:eastAsia="SimSun"/>
          <w:sz w:val="20"/>
          <w:szCs w:val="20"/>
          <w:u w:val="single"/>
          <w:lang w:val="en-US"/>
        </w:rPr>
      </w:pPr>
    </w:p>
    <w:p w14:paraId="250E44A5" w14:textId="77777777" w:rsidR="00577203" w:rsidRPr="00577203" w:rsidRDefault="244747C5" w:rsidP="00577203">
      <w:pPr>
        <w:spacing w:after="0" w:line="240" w:lineRule="auto"/>
        <w:jc w:val="both"/>
        <w:rPr>
          <w:rFonts w:eastAsia="SimSun"/>
          <w:sz w:val="20"/>
          <w:szCs w:val="20"/>
          <w:lang w:val="en-US"/>
        </w:rPr>
      </w:pPr>
      <w:r w:rsidRPr="5D8904BE">
        <w:rPr>
          <w:rFonts w:eastAsia="SimSun"/>
          <w:sz w:val="20"/>
          <w:szCs w:val="20"/>
          <w:u w:val="single"/>
          <w:lang w:val="en-US"/>
        </w:rPr>
        <w:t>Inception Workshop and Report</w:t>
      </w:r>
      <w:r w:rsidRPr="5D8904BE">
        <w:rPr>
          <w:rFonts w:eastAsia="SimSun"/>
          <w:sz w:val="20"/>
          <w:szCs w:val="20"/>
          <w:lang w:val="en-US"/>
        </w:rPr>
        <w:t xml:space="preserve">: A project inception workshop will be held within 2 months from the First disbursement date, with the aim to: </w:t>
      </w:r>
    </w:p>
    <w:p w14:paraId="2F6C307B" w14:textId="77777777" w:rsidR="00577203" w:rsidRPr="009A2FBA" w:rsidRDefault="00577203" w:rsidP="001360BB">
      <w:pPr>
        <w:numPr>
          <w:ilvl w:val="0"/>
          <w:numId w:val="275"/>
        </w:numPr>
        <w:spacing w:after="0" w:line="240" w:lineRule="auto"/>
        <w:jc w:val="both"/>
        <w:rPr>
          <w:rFonts w:ascii="Times New Roman" w:eastAsia="SimSun" w:hAnsi="Times New Roman"/>
          <w:sz w:val="24"/>
          <w:szCs w:val="20"/>
          <w:lang w:val="en-US"/>
        </w:rPr>
      </w:pPr>
      <w:r w:rsidRPr="009A2FBA">
        <w:rPr>
          <w:rFonts w:eastAsia="SimSun"/>
          <w:sz w:val="20"/>
          <w:szCs w:val="20"/>
          <w:lang w:val="en-US"/>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648C9D8C" w14:textId="77777777" w:rsidR="00577203" w:rsidRPr="00BD35CE" w:rsidRDefault="244747C5" w:rsidP="001360BB">
      <w:pPr>
        <w:numPr>
          <w:ilvl w:val="0"/>
          <w:numId w:val="275"/>
        </w:numPr>
        <w:spacing w:after="0" w:line="240" w:lineRule="auto"/>
        <w:jc w:val="both"/>
        <w:rPr>
          <w:rFonts w:ascii="Times New Roman" w:eastAsia="SimSun" w:hAnsi="Times New Roman"/>
          <w:sz w:val="24"/>
          <w:szCs w:val="24"/>
          <w:lang w:val="en-US"/>
        </w:rPr>
      </w:pPr>
      <w:r w:rsidRPr="5D8904BE">
        <w:rPr>
          <w:rFonts w:eastAsia="SimSun"/>
          <w:sz w:val="20"/>
          <w:szCs w:val="20"/>
          <w:lang w:val="en-US"/>
        </w:rPr>
        <w:t xml:space="preserve">Discuss the roles and responsibilities of the project team, including reporting lines, stakeholder engagement strategies and conflict resolution mechanisms. </w:t>
      </w:r>
    </w:p>
    <w:p w14:paraId="0184ECEA" w14:textId="77777777" w:rsidR="00577203" w:rsidRPr="00BD35CE" w:rsidRDefault="00577203" w:rsidP="001360BB">
      <w:pPr>
        <w:numPr>
          <w:ilvl w:val="0"/>
          <w:numId w:val="275"/>
        </w:numPr>
        <w:spacing w:after="0" w:line="240" w:lineRule="auto"/>
        <w:jc w:val="both"/>
        <w:rPr>
          <w:rFonts w:ascii="Times New Roman" w:eastAsia="SimSun" w:hAnsi="Times New Roman"/>
          <w:sz w:val="24"/>
          <w:szCs w:val="20"/>
          <w:lang w:val="en-US"/>
        </w:rPr>
      </w:pPr>
      <w:r w:rsidRPr="00BD35CE">
        <w:rPr>
          <w:rFonts w:eastAsia="SimSun"/>
          <w:sz w:val="20"/>
          <w:szCs w:val="20"/>
          <w:lang w:val="en-US"/>
        </w:rPr>
        <w:t xml:space="preserve">Review the results framework and monitoring plan. </w:t>
      </w:r>
    </w:p>
    <w:p w14:paraId="63817372" w14:textId="77777777" w:rsidR="00577203" w:rsidRPr="00BD35CE" w:rsidRDefault="244747C5" w:rsidP="001360BB">
      <w:pPr>
        <w:numPr>
          <w:ilvl w:val="0"/>
          <w:numId w:val="275"/>
        </w:numPr>
        <w:spacing w:after="0" w:line="240" w:lineRule="auto"/>
        <w:jc w:val="both"/>
        <w:rPr>
          <w:rFonts w:eastAsia="SimSun"/>
          <w:sz w:val="20"/>
          <w:szCs w:val="20"/>
          <w:lang w:val="en-US"/>
        </w:rPr>
      </w:pPr>
      <w:r w:rsidRPr="5D8904BE">
        <w:rPr>
          <w:rFonts w:eastAsia="SimSun" w:cs="Times New Roman"/>
          <w:sz w:val="20"/>
          <w:szCs w:val="20"/>
          <w:lang w:val="en-US"/>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7836BD38" w14:textId="77777777" w:rsidR="00577203" w:rsidRPr="00BD35CE" w:rsidRDefault="00577203" w:rsidP="001360BB">
      <w:pPr>
        <w:numPr>
          <w:ilvl w:val="0"/>
          <w:numId w:val="275"/>
        </w:numPr>
        <w:spacing w:after="0" w:line="240" w:lineRule="auto"/>
        <w:jc w:val="both"/>
        <w:rPr>
          <w:rFonts w:eastAsia="SimSun" w:cs="Times New Roman"/>
          <w:sz w:val="20"/>
          <w:szCs w:val="20"/>
          <w:lang w:val="en-US"/>
        </w:rPr>
      </w:pPr>
      <w:r w:rsidRPr="00BD35CE">
        <w:rPr>
          <w:rFonts w:eastAsia="SimSun" w:cs="Times New Roman"/>
          <w:sz w:val="20"/>
          <w:szCs w:val="20"/>
          <w:lang w:val="en-US"/>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67060CB8" w14:textId="77777777" w:rsidR="00577203" w:rsidRPr="00BD35CE" w:rsidRDefault="00577203" w:rsidP="001360BB">
      <w:pPr>
        <w:numPr>
          <w:ilvl w:val="0"/>
          <w:numId w:val="275"/>
        </w:numPr>
        <w:spacing w:after="0" w:line="240" w:lineRule="auto"/>
        <w:jc w:val="both"/>
        <w:rPr>
          <w:rFonts w:eastAsia="SimSun" w:cs="Times New Roman"/>
          <w:sz w:val="20"/>
          <w:szCs w:val="20"/>
          <w:lang w:val="en-US"/>
        </w:rPr>
      </w:pPr>
      <w:r w:rsidRPr="00BD35CE">
        <w:rPr>
          <w:rFonts w:eastAsia="SimSun" w:cs="Times New Roman"/>
          <w:sz w:val="20"/>
          <w:szCs w:val="20"/>
          <w:lang w:val="en-US"/>
        </w:rPr>
        <w:t xml:space="preserve">Review financial reporting procedures and budget monitoring and other mandatory requirements and agree on the arrangements for the annual audit. </w:t>
      </w:r>
    </w:p>
    <w:p w14:paraId="6E22E6F4" w14:textId="77777777" w:rsidR="00577203" w:rsidRPr="00485F0E" w:rsidRDefault="244747C5" w:rsidP="001360BB">
      <w:pPr>
        <w:numPr>
          <w:ilvl w:val="0"/>
          <w:numId w:val="275"/>
        </w:numPr>
        <w:spacing w:after="0" w:line="240" w:lineRule="auto"/>
        <w:jc w:val="both"/>
        <w:rPr>
          <w:rFonts w:eastAsia="SimSun" w:cs="Times New Roman"/>
          <w:sz w:val="20"/>
          <w:szCs w:val="20"/>
        </w:rPr>
      </w:pPr>
      <w:r w:rsidRPr="5D8904BE">
        <w:rPr>
          <w:rFonts w:eastAsia="SimSun" w:cs="Times New Roman"/>
          <w:sz w:val="20"/>
          <w:szCs w:val="20"/>
          <w:lang w:val="en-US"/>
        </w:rPr>
        <w:t xml:space="preserve">Plan and schedule Project Board meetings and finalize the first-year annual work plan. </w:t>
      </w:r>
      <w:proofErr w:type="spellStart"/>
      <w:r w:rsidRPr="5D8904BE">
        <w:rPr>
          <w:rFonts w:eastAsia="SimSun" w:cs="Times New Roman"/>
          <w:sz w:val="20"/>
          <w:szCs w:val="20"/>
        </w:rPr>
        <w:t>Finalize</w:t>
      </w:r>
      <w:proofErr w:type="spellEnd"/>
      <w:r w:rsidRPr="5D8904BE">
        <w:rPr>
          <w:rFonts w:eastAsia="SimSun" w:cs="Times New Roman"/>
          <w:sz w:val="20"/>
          <w:szCs w:val="20"/>
        </w:rPr>
        <w:t xml:space="preserve"> the TOR of the Project </w:t>
      </w:r>
      <w:proofErr w:type="spellStart"/>
      <w:r w:rsidRPr="5D8904BE">
        <w:rPr>
          <w:rFonts w:eastAsia="SimSun" w:cs="Times New Roman"/>
          <w:sz w:val="20"/>
          <w:szCs w:val="20"/>
        </w:rPr>
        <w:t>Board</w:t>
      </w:r>
      <w:proofErr w:type="spellEnd"/>
      <w:r w:rsidRPr="5D8904BE">
        <w:rPr>
          <w:rFonts w:eastAsia="SimSun" w:cs="Times New Roman"/>
          <w:sz w:val="20"/>
          <w:szCs w:val="20"/>
        </w:rPr>
        <w:t>.</w:t>
      </w:r>
    </w:p>
    <w:p w14:paraId="4C02FEFF" w14:textId="5875E8EA" w:rsidR="00577203" w:rsidRPr="00485F0E" w:rsidRDefault="244747C5" w:rsidP="001360BB">
      <w:pPr>
        <w:numPr>
          <w:ilvl w:val="0"/>
          <w:numId w:val="275"/>
        </w:numPr>
        <w:spacing w:after="0" w:line="240" w:lineRule="auto"/>
        <w:jc w:val="both"/>
        <w:rPr>
          <w:rFonts w:eastAsia="SimSun" w:cs="Times New Roman"/>
          <w:sz w:val="20"/>
          <w:szCs w:val="20"/>
        </w:rPr>
      </w:pPr>
      <w:proofErr w:type="spellStart"/>
      <w:r w:rsidRPr="5D8904BE">
        <w:rPr>
          <w:rFonts w:eastAsia="SimSun" w:cs="Times New Roman"/>
          <w:sz w:val="20"/>
          <w:szCs w:val="20"/>
        </w:rPr>
        <w:lastRenderedPageBreak/>
        <w:t>Formally</w:t>
      </w:r>
      <w:proofErr w:type="spellEnd"/>
      <w:r w:rsidRPr="5D8904BE">
        <w:rPr>
          <w:rFonts w:eastAsia="SimSun" w:cs="Times New Roman"/>
          <w:sz w:val="20"/>
          <w:szCs w:val="20"/>
        </w:rPr>
        <w:t xml:space="preserve"> launch the Project.</w:t>
      </w:r>
    </w:p>
    <w:p w14:paraId="32590CBC" w14:textId="4544CA66" w:rsidR="5D8904BE" w:rsidRDefault="5D8904BE" w:rsidP="5D8904BE">
      <w:pPr>
        <w:spacing w:after="0" w:line="240" w:lineRule="auto"/>
        <w:ind w:left="720"/>
        <w:jc w:val="both"/>
        <w:rPr>
          <w:rFonts w:eastAsia="SimSun" w:cs="Times New Roman"/>
          <w:sz w:val="20"/>
          <w:szCs w:val="20"/>
        </w:rPr>
      </w:pPr>
    </w:p>
    <w:p w14:paraId="181CD647" w14:textId="41802A2F" w:rsidR="496F1838" w:rsidRPr="006A50A3" w:rsidRDefault="2F50DA6F" w:rsidP="001360BB">
      <w:pPr>
        <w:pStyle w:val="Paragraphedeliste"/>
        <w:numPr>
          <w:ilvl w:val="0"/>
          <w:numId w:val="77"/>
        </w:numPr>
        <w:spacing w:before="240" w:after="0" w:line="276" w:lineRule="auto"/>
        <w:ind w:hanging="270"/>
        <w:jc w:val="both"/>
        <w:rPr>
          <w:lang w:val="en-US"/>
        </w:rPr>
      </w:pPr>
      <w:r w:rsidRPr="5D8904BE">
        <w:rPr>
          <w:sz w:val="20"/>
          <w:szCs w:val="20"/>
          <w:u w:val="single"/>
          <w:lang w:val="en-US"/>
        </w:rPr>
        <w:t>GEF Project Implementation Report (PIR)</w:t>
      </w:r>
      <w:r w:rsidRPr="5D8904BE">
        <w:rPr>
          <w:sz w:val="20"/>
          <w:szCs w:val="20"/>
          <w:lang w:val="en-US"/>
        </w:rPr>
        <w:t>: The Project Manager, the UNDP Country Office, and the UNDP-GEF Regional Technical Adviser will provide objective input to the annual GEF PIR covering the reporting period July (previous year) to June (current year) for each year of project implementation. The Project Manager will ensure that the indicators included in the project results framework are monitored annually in advance of the PIR submission deadline so that progress can be reported in the PIR. Any environmental and social risks and related management plans will be monitored regularly, and progress will be reported in the PIR. The PIR submitted to the GEF will be shared with the Project Board. The UNDP Country Office will coordinate the input of the GEF Operational Focal Point and other stakeholders to the PIR as appropriate. The quality rating of the previous year’s PIR will be used to inform the preparation of the subsequent PIR.</w:t>
      </w:r>
    </w:p>
    <w:p w14:paraId="6B69C839" w14:textId="6266199E" w:rsidR="24AA8F7E" w:rsidRDefault="24AA8F7E" w:rsidP="24AA8F7E">
      <w:pPr>
        <w:pStyle w:val="Paragraphedeliste"/>
        <w:spacing w:before="240" w:after="0" w:line="276" w:lineRule="auto"/>
        <w:ind w:left="540" w:hanging="180"/>
        <w:jc w:val="both"/>
        <w:rPr>
          <w:sz w:val="20"/>
          <w:szCs w:val="20"/>
          <w:lang w:val="en-US"/>
        </w:rPr>
      </w:pPr>
    </w:p>
    <w:p w14:paraId="20670578" w14:textId="7D6DC9EF" w:rsidR="510A3064" w:rsidRPr="006A50A3" w:rsidRDefault="192DA903" w:rsidP="001360BB">
      <w:pPr>
        <w:pStyle w:val="Paragraphedeliste"/>
        <w:numPr>
          <w:ilvl w:val="0"/>
          <w:numId w:val="77"/>
        </w:numPr>
        <w:spacing w:before="240" w:after="0" w:line="276" w:lineRule="auto"/>
        <w:ind w:hanging="180"/>
        <w:jc w:val="both"/>
        <w:rPr>
          <w:sz w:val="20"/>
          <w:szCs w:val="20"/>
          <w:lang w:val="en-GB"/>
        </w:rPr>
      </w:pPr>
      <w:r w:rsidRPr="5D8904BE">
        <w:rPr>
          <w:sz w:val="20"/>
          <w:szCs w:val="20"/>
          <w:u w:val="single"/>
          <w:lang w:val="en-GB"/>
        </w:rPr>
        <w:t>GEF Core Indicators</w:t>
      </w:r>
      <w:r w:rsidRPr="5D8904BE">
        <w:rPr>
          <w:sz w:val="20"/>
          <w:szCs w:val="20"/>
          <w:lang w:val="en-GB"/>
        </w:rPr>
        <w:t xml:space="preserve">: </w:t>
      </w:r>
    </w:p>
    <w:p w14:paraId="405EA154" w14:textId="41F0AAE5" w:rsidR="510A3064" w:rsidRPr="006A50A3" w:rsidRDefault="192DA903" w:rsidP="00E2158B">
      <w:pPr>
        <w:pStyle w:val="Paragraphedeliste"/>
        <w:spacing w:after="120"/>
        <w:ind w:left="540"/>
        <w:jc w:val="both"/>
        <w:rPr>
          <w:rFonts w:eastAsia="Times New Roman"/>
          <w:color w:val="0000FF"/>
          <w:sz w:val="20"/>
          <w:szCs w:val="20"/>
          <w:lang w:val="en-GB"/>
        </w:rPr>
      </w:pPr>
      <w:r w:rsidRPr="5D8904BE">
        <w:rPr>
          <w:sz w:val="20"/>
          <w:szCs w:val="20"/>
          <w:lang w:val="en-GB"/>
        </w:rPr>
        <w:t xml:space="preserve">The GEF Core indicators included as Annex </w:t>
      </w:r>
      <w:r w:rsidR="00E2158B">
        <w:rPr>
          <w:sz w:val="20"/>
          <w:szCs w:val="20"/>
          <w:lang w:val="en-GB"/>
        </w:rPr>
        <w:t xml:space="preserve">17 </w:t>
      </w:r>
      <w:r w:rsidRPr="5D8904BE">
        <w:rPr>
          <w:sz w:val="20"/>
          <w:szCs w:val="20"/>
          <w:lang w:val="en-GB"/>
        </w:rPr>
        <w:t xml:space="preserve">will be used to monitor global environmental benefits and will be updated for reporting to the GEF prior to </w:t>
      </w:r>
      <w:r w:rsidR="539E2ED0" w:rsidRPr="5D8904BE">
        <w:rPr>
          <w:sz w:val="20"/>
          <w:szCs w:val="20"/>
          <w:lang w:val="en-GB"/>
        </w:rPr>
        <w:t>mid-term review (</w:t>
      </w:r>
      <w:r w:rsidRPr="5D8904BE">
        <w:rPr>
          <w:sz w:val="20"/>
          <w:szCs w:val="20"/>
          <w:lang w:val="en-GB"/>
        </w:rPr>
        <w:t>MTR</w:t>
      </w:r>
      <w:r w:rsidR="3BE75A33" w:rsidRPr="5D8904BE">
        <w:rPr>
          <w:sz w:val="20"/>
          <w:szCs w:val="20"/>
          <w:lang w:val="en-GB"/>
        </w:rPr>
        <w:t>)</w:t>
      </w:r>
      <w:r w:rsidRPr="5D8904BE">
        <w:rPr>
          <w:sz w:val="20"/>
          <w:szCs w:val="20"/>
          <w:lang w:val="en-GB"/>
        </w:rPr>
        <w:t xml:space="preserve"> and </w:t>
      </w:r>
      <w:r w:rsidR="37EC8ABC" w:rsidRPr="5D8904BE">
        <w:rPr>
          <w:sz w:val="20"/>
          <w:szCs w:val="20"/>
          <w:lang w:val="en-GB"/>
        </w:rPr>
        <w:t>terminal evaluation (</w:t>
      </w:r>
      <w:r w:rsidRPr="5D8904BE">
        <w:rPr>
          <w:sz w:val="20"/>
          <w:szCs w:val="20"/>
          <w:lang w:val="en-GB"/>
        </w:rPr>
        <w:t>TE</w:t>
      </w:r>
      <w:r w:rsidR="13C7EAB2" w:rsidRPr="5D8904BE">
        <w:rPr>
          <w:sz w:val="20"/>
          <w:szCs w:val="20"/>
          <w:lang w:val="en-GB"/>
        </w:rPr>
        <w:t>)</w:t>
      </w:r>
      <w:r w:rsidRPr="5D8904BE">
        <w:rPr>
          <w:sz w:val="20"/>
          <w:szCs w:val="20"/>
          <w:lang w:val="en-GB"/>
        </w:rPr>
        <w:t xml:space="preserve">. Note that the project team is responsible for updating the indicator status. The updated monitoring data should be shared with MTR/TE consultants </w:t>
      </w:r>
      <w:r w:rsidRPr="5D8904BE">
        <w:rPr>
          <w:sz w:val="20"/>
          <w:szCs w:val="20"/>
          <w:u w:val="single"/>
          <w:lang w:val="en-GB"/>
        </w:rPr>
        <w:t>prior</w:t>
      </w:r>
      <w:r w:rsidRPr="5D8904BE">
        <w:rPr>
          <w:sz w:val="20"/>
          <w:szCs w:val="20"/>
          <w:lang w:val="en-GB"/>
        </w:rPr>
        <w:t xml:space="preserve"> to required evaluation missions, so these can be used for subsequent </w:t>
      </w:r>
      <w:r w:rsidR="008D1EA3" w:rsidRPr="5D8904BE">
        <w:rPr>
          <w:sz w:val="20"/>
          <w:szCs w:val="20"/>
          <w:lang w:val="en-GB"/>
        </w:rPr>
        <w:t>ground truthing</w:t>
      </w:r>
      <w:r w:rsidRPr="5D8904BE">
        <w:rPr>
          <w:sz w:val="20"/>
          <w:szCs w:val="20"/>
          <w:lang w:val="en-GB"/>
        </w:rPr>
        <w:t xml:space="preserve">. The methodologies to be used in data collection have been defined by the GEF and are available on the GEF </w:t>
      </w:r>
      <w:r>
        <w:fldChar w:fldCharType="begin"/>
      </w:r>
      <w:r w:rsidRPr="00F50786">
        <w:rPr>
          <w:lang w:val="en-US"/>
          <w:rPrChange w:id="53" w:author="Ali Sambou" w:date="2026-01-06T13:26:00Z" w16du:dateUtc="2026-01-06T13:26:00Z">
            <w:rPr/>
          </w:rPrChange>
        </w:rPr>
        <w:instrText>HYPERLINK "https://www.thegef.org/sites/default/files/documents/Results_Guidelines.pdf"</w:instrText>
      </w:r>
      <w:r>
        <w:fldChar w:fldCharType="separate"/>
      </w:r>
      <w:r w:rsidRPr="5D8904BE">
        <w:rPr>
          <w:rStyle w:val="Lienhypertexte"/>
          <w:rFonts w:eastAsia="Times New Roman"/>
          <w:color w:val="0000FF"/>
          <w:sz w:val="20"/>
          <w:szCs w:val="20"/>
          <w:lang w:val="en-GB"/>
        </w:rPr>
        <w:t>website</w:t>
      </w:r>
      <w:r>
        <w:fldChar w:fldCharType="end"/>
      </w:r>
      <w:r w:rsidR="496C4AA7" w:rsidRPr="5D8904BE">
        <w:rPr>
          <w:rStyle w:val="Lienhypertexte"/>
          <w:rFonts w:eastAsia="Times New Roman"/>
          <w:color w:val="0000FF"/>
          <w:sz w:val="20"/>
          <w:szCs w:val="20"/>
          <w:lang w:val="en-GB"/>
        </w:rPr>
        <w:t>.</w:t>
      </w:r>
    </w:p>
    <w:p w14:paraId="70D115F9" w14:textId="7EAB7E82" w:rsidR="24AA8F7E" w:rsidRDefault="24AA8F7E" w:rsidP="24AA8F7E">
      <w:pPr>
        <w:pStyle w:val="Paragraphedeliste"/>
        <w:spacing w:after="120"/>
        <w:ind w:left="540"/>
        <w:jc w:val="both"/>
        <w:rPr>
          <w:rStyle w:val="Lienhypertexte"/>
          <w:rFonts w:eastAsia="Times New Roman"/>
          <w:color w:val="0000FF"/>
          <w:sz w:val="20"/>
          <w:szCs w:val="20"/>
          <w:lang w:val="en-GB"/>
        </w:rPr>
      </w:pPr>
    </w:p>
    <w:p w14:paraId="49778397" w14:textId="116AA3F2" w:rsidR="510A3064" w:rsidRPr="006A50A3" w:rsidRDefault="192DA903" w:rsidP="001360BB">
      <w:pPr>
        <w:pStyle w:val="Paragraphedeliste"/>
        <w:numPr>
          <w:ilvl w:val="0"/>
          <w:numId w:val="77"/>
        </w:numPr>
        <w:spacing w:after="0"/>
        <w:ind w:hanging="180"/>
        <w:jc w:val="both"/>
        <w:rPr>
          <w:sz w:val="20"/>
          <w:szCs w:val="20"/>
          <w:lang w:val="en-US"/>
        </w:rPr>
      </w:pPr>
      <w:r w:rsidRPr="5D8904BE">
        <w:rPr>
          <w:sz w:val="20"/>
          <w:szCs w:val="20"/>
          <w:u w:val="single"/>
          <w:lang w:val="en-US"/>
        </w:rPr>
        <w:t>Independent Mid-term Review (MTR)</w:t>
      </w:r>
      <w:r w:rsidRPr="5D8904BE">
        <w:rPr>
          <w:i/>
          <w:iCs/>
          <w:sz w:val="20"/>
          <w:szCs w:val="20"/>
          <w:lang w:val="en-US"/>
        </w:rPr>
        <w:t xml:space="preserve">: </w:t>
      </w:r>
      <w:r w:rsidRPr="5D8904BE">
        <w:rPr>
          <w:sz w:val="20"/>
          <w:szCs w:val="20"/>
          <w:lang w:val="en-US"/>
        </w:rPr>
        <w:t xml:space="preserve">The terms of reference, the review process and the final MTR report will follow the standard templates and guidance for GEF-financed projects available on the </w:t>
      </w:r>
      <w:r>
        <w:fldChar w:fldCharType="begin"/>
      </w:r>
      <w:r w:rsidRPr="00F50786">
        <w:rPr>
          <w:lang w:val="en-US"/>
          <w:rPrChange w:id="54" w:author="Ali Sambou" w:date="2026-01-06T13:26:00Z" w16du:dateUtc="2026-01-06T13:26:00Z">
            <w:rPr/>
          </w:rPrChange>
        </w:rPr>
        <w:instrText>HYPERLINK "http://web.undp.org/evaluation/guidance.shtml" \l "gef" \h</w:instrText>
      </w:r>
      <w:r>
        <w:fldChar w:fldCharType="separate"/>
      </w:r>
      <w:r w:rsidRPr="5D8904BE">
        <w:rPr>
          <w:rStyle w:val="Lienhypertexte"/>
          <w:rFonts w:eastAsia="Times New Roman"/>
          <w:color w:val="0000FF"/>
          <w:sz w:val="20"/>
          <w:szCs w:val="20"/>
          <w:lang w:val="en-US"/>
        </w:rPr>
        <w:t>UNDP Evaluation Resource Center</w:t>
      </w:r>
      <w:r>
        <w:fldChar w:fldCharType="end"/>
      </w:r>
      <w:r w:rsidRPr="5D8904BE">
        <w:rPr>
          <w:color w:val="0000FF"/>
          <w:sz w:val="20"/>
          <w:szCs w:val="20"/>
          <w:u w:val="single"/>
          <w:lang w:val="en-US"/>
        </w:rPr>
        <w:t xml:space="preserve"> (ERC).</w:t>
      </w:r>
      <w:r w:rsidRPr="5D8904BE">
        <w:rPr>
          <w:sz w:val="20"/>
          <w:szCs w:val="20"/>
          <w:lang w:val="en-US"/>
        </w:rPr>
        <w:t xml:space="preserve"> </w:t>
      </w:r>
    </w:p>
    <w:p w14:paraId="3B0FB6E0" w14:textId="4577086E" w:rsidR="3C8408A9" w:rsidRPr="006A50A3" w:rsidRDefault="3C8408A9" w:rsidP="24AA8F7E">
      <w:pPr>
        <w:pStyle w:val="Paragraphedeliste"/>
        <w:spacing w:after="0"/>
        <w:ind w:left="540" w:firstLine="180"/>
        <w:jc w:val="both"/>
        <w:rPr>
          <w:sz w:val="20"/>
          <w:szCs w:val="20"/>
          <w:lang w:val="en-US"/>
        </w:rPr>
      </w:pPr>
    </w:p>
    <w:p w14:paraId="7E885CEA" w14:textId="689F0B54" w:rsidR="510A3064" w:rsidRPr="006A50A3" w:rsidRDefault="192DA903" w:rsidP="24AA8F7E">
      <w:pPr>
        <w:pStyle w:val="Paragraphedeliste"/>
        <w:spacing w:after="0"/>
        <w:ind w:left="540"/>
        <w:jc w:val="both"/>
        <w:rPr>
          <w:sz w:val="20"/>
          <w:szCs w:val="20"/>
          <w:lang w:val="en-US"/>
        </w:rPr>
      </w:pPr>
      <w:r w:rsidRPr="5D8904BE">
        <w:rPr>
          <w:sz w:val="20"/>
          <w:szCs w:val="20"/>
          <w:lang w:val="en-US"/>
        </w:rPr>
        <w:t xml:space="preserve">The evaluation will be ‘independent, impartial and rigorous’. The evaluators that will be hired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under review. </w:t>
      </w:r>
    </w:p>
    <w:p w14:paraId="0F27E29E" w14:textId="0027B91F" w:rsidR="510A3064" w:rsidRPr="006A50A3" w:rsidRDefault="192DA903" w:rsidP="24AA8F7E">
      <w:pPr>
        <w:pStyle w:val="Paragraphedeliste"/>
        <w:spacing w:after="0"/>
        <w:ind w:left="540"/>
        <w:jc w:val="both"/>
        <w:rPr>
          <w:sz w:val="20"/>
          <w:szCs w:val="20"/>
          <w:lang w:val="en-US"/>
        </w:rPr>
      </w:pPr>
      <w:r w:rsidRPr="5D8904BE">
        <w:rPr>
          <w:sz w:val="20"/>
          <w:szCs w:val="20"/>
          <w:lang w:val="en-US"/>
        </w:rPr>
        <w:t>The GEF Operational Focal Point and other stakeholders will be actively involved and consulted during the evaluation process. Additional quality assurance support is available from the BPPS/GEF Directorate.</w:t>
      </w:r>
    </w:p>
    <w:p w14:paraId="24A860FA" w14:textId="37E56B1E" w:rsidR="510A3064" w:rsidRPr="006A50A3" w:rsidRDefault="192DA903" w:rsidP="24AA8F7E">
      <w:pPr>
        <w:pStyle w:val="Paragraphedeliste"/>
        <w:spacing w:after="0"/>
        <w:ind w:left="540"/>
        <w:jc w:val="both"/>
        <w:rPr>
          <w:sz w:val="20"/>
          <w:szCs w:val="20"/>
          <w:lang w:val="en-US"/>
        </w:rPr>
      </w:pPr>
      <w:r w:rsidRPr="5D8904BE">
        <w:rPr>
          <w:sz w:val="20"/>
          <w:szCs w:val="20"/>
          <w:lang w:val="en-US"/>
        </w:rPr>
        <w:t>The final MTR report and MTR TOR will be publicly available in English and will be posted on the UNDP ERC by 01 November 2024. A management response to MTR recommendations will be posted in the ERC within six weeks of the MTR report’s completion.</w:t>
      </w:r>
    </w:p>
    <w:p w14:paraId="05503DFB" w14:textId="6EE57DDC" w:rsidR="24AA8F7E" w:rsidRDefault="24AA8F7E" w:rsidP="24AA8F7E">
      <w:pPr>
        <w:pStyle w:val="Paragraphedeliste"/>
        <w:spacing w:after="0"/>
        <w:ind w:left="540"/>
        <w:jc w:val="both"/>
        <w:rPr>
          <w:sz w:val="20"/>
          <w:szCs w:val="20"/>
          <w:lang w:val="en-US"/>
        </w:rPr>
      </w:pPr>
    </w:p>
    <w:p w14:paraId="121BCD3A" w14:textId="41CBC127" w:rsidR="510A3064" w:rsidRPr="006A50A3" w:rsidRDefault="192DA903" w:rsidP="001360BB">
      <w:pPr>
        <w:pStyle w:val="Paragraphedeliste"/>
        <w:numPr>
          <w:ilvl w:val="0"/>
          <w:numId w:val="77"/>
        </w:numPr>
        <w:spacing w:after="0"/>
        <w:ind w:hanging="180"/>
        <w:jc w:val="both"/>
        <w:rPr>
          <w:sz w:val="20"/>
          <w:szCs w:val="20"/>
          <w:lang w:val="en-US"/>
        </w:rPr>
      </w:pPr>
      <w:r w:rsidRPr="5D8904BE">
        <w:rPr>
          <w:sz w:val="20"/>
          <w:szCs w:val="20"/>
          <w:u w:val="single"/>
          <w:lang w:val="en-US"/>
        </w:rPr>
        <w:t>Terminal Evaluation (TE)</w:t>
      </w:r>
      <w:r w:rsidRPr="5D8904BE">
        <w:rPr>
          <w:sz w:val="20"/>
          <w:szCs w:val="20"/>
          <w:lang w:val="en-US"/>
        </w:rPr>
        <w:t>:</w:t>
      </w:r>
      <w:r w:rsidRPr="5D8904BE">
        <w:rPr>
          <w:i/>
          <w:iCs/>
          <w:sz w:val="20"/>
          <w:szCs w:val="20"/>
          <w:lang w:val="en-US"/>
        </w:rPr>
        <w:t xml:space="preserve"> </w:t>
      </w:r>
      <w:r w:rsidRPr="5D8904BE">
        <w:rPr>
          <w:sz w:val="20"/>
          <w:szCs w:val="20"/>
          <w:lang w:val="en-US"/>
        </w:rPr>
        <w:t xml:space="preserve">An independent terminal evaluation (TE) will take place upon completion of all major project outputs and activities. The terms of reference, the evaluation process and the final TE report will follow the standard templates and guidance for GEF-financed projects available on the UNDP Evaluation Resource Center. </w:t>
      </w:r>
    </w:p>
    <w:p w14:paraId="7C0AD2CF" w14:textId="3C5290BA" w:rsidR="510A3064" w:rsidRPr="006A50A3" w:rsidRDefault="192DA903" w:rsidP="24AA8F7E">
      <w:pPr>
        <w:pStyle w:val="Paragraphedeliste"/>
        <w:spacing w:after="0"/>
        <w:ind w:left="540" w:firstLine="180"/>
        <w:jc w:val="both"/>
        <w:rPr>
          <w:sz w:val="20"/>
          <w:szCs w:val="20"/>
          <w:lang w:val="en-US"/>
        </w:rPr>
      </w:pPr>
      <w:r w:rsidRPr="5D8904BE">
        <w:rPr>
          <w:sz w:val="20"/>
          <w:szCs w:val="20"/>
          <w:lang w:val="en-US"/>
        </w:rPr>
        <w:t>The evaluation will be ‘independent, impartial and rigorous’. The evaluators that will be hired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being evaluated.</w:t>
      </w:r>
    </w:p>
    <w:p w14:paraId="2CB69A70" w14:textId="3C1DA8B3" w:rsidR="510A3064" w:rsidRPr="006A50A3" w:rsidRDefault="192DA903" w:rsidP="24AA8F7E">
      <w:pPr>
        <w:pStyle w:val="Paragraphedeliste"/>
        <w:spacing w:after="0"/>
        <w:ind w:left="540" w:firstLine="180"/>
        <w:jc w:val="both"/>
        <w:rPr>
          <w:sz w:val="20"/>
          <w:szCs w:val="20"/>
          <w:lang w:val="en-US"/>
        </w:rPr>
      </w:pPr>
      <w:r w:rsidRPr="5D8904BE">
        <w:rPr>
          <w:sz w:val="20"/>
          <w:szCs w:val="20"/>
          <w:lang w:val="en-US"/>
        </w:rPr>
        <w:t xml:space="preserve">The GEF Operational Focal Point and other stakeholders will be involved and consulted during the terminal evaluation process. Additional quality assurance support is available from the BPPS-GEF Directorate. </w:t>
      </w:r>
    </w:p>
    <w:p w14:paraId="4C52B6CE" w14:textId="31E5AE1A" w:rsidR="510A3064" w:rsidRPr="006A50A3" w:rsidRDefault="192DA903" w:rsidP="24AA8F7E">
      <w:pPr>
        <w:pStyle w:val="Paragraphedeliste"/>
        <w:spacing w:after="0"/>
        <w:ind w:left="540" w:firstLine="180"/>
        <w:jc w:val="both"/>
        <w:rPr>
          <w:sz w:val="20"/>
          <w:szCs w:val="20"/>
          <w:lang w:val="en-US"/>
        </w:rPr>
      </w:pPr>
      <w:r w:rsidRPr="5D8904BE">
        <w:rPr>
          <w:sz w:val="20"/>
          <w:szCs w:val="20"/>
          <w:lang w:val="en-US"/>
        </w:rPr>
        <w:t>The final TE report and TE TOR will be publicly available in English and posted on the UNDP ERC by 28 February 2027.  A management response to the TE recommendations will be posted to the ERC within six weeks of the TE report’s completion.</w:t>
      </w:r>
    </w:p>
    <w:p w14:paraId="0776A3AF" w14:textId="7CA0F877" w:rsidR="24AA8F7E" w:rsidRDefault="24AA8F7E" w:rsidP="24AA8F7E">
      <w:pPr>
        <w:pStyle w:val="Paragraphedeliste"/>
        <w:spacing w:after="0"/>
        <w:ind w:left="540" w:firstLine="180"/>
        <w:jc w:val="both"/>
        <w:rPr>
          <w:sz w:val="20"/>
          <w:szCs w:val="20"/>
          <w:lang w:val="en-US"/>
        </w:rPr>
      </w:pPr>
    </w:p>
    <w:p w14:paraId="28447CF2" w14:textId="5ED139B2" w:rsidR="510A3064" w:rsidRPr="006A50A3" w:rsidRDefault="192DA903" w:rsidP="001360BB">
      <w:pPr>
        <w:pStyle w:val="Paragraphedeliste"/>
        <w:numPr>
          <w:ilvl w:val="0"/>
          <w:numId w:val="77"/>
        </w:numPr>
        <w:spacing w:after="0"/>
        <w:ind w:hanging="180"/>
        <w:jc w:val="both"/>
        <w:rPr>
          <w:sz w:val="20"/>
          <w:szCs w:val="20"/>
          <w:lang w:val="en-US"/>
        </w:rPr>
      </w:pPr>
      <w:r w:rsidRPr="5D8904BE">
        <w:rPr>
          <w:sz w:val="20"/>
          <w:szCs w:val="20"/>
          <w:u w:val="single"/>
          <w:lang w:val="en-US"/>
        </w:rPr>
        <w:lastRenderedPageBreak/>
        <w:t>Final Report</w:t>
      </w:r>
      <w:r w:rsidRPr="5D8904BE">
        <w:rPr>
          <w:sz w:val="20"/>
          <w:szCs w:val="20"/>
          <w:lang w:val="en-US"/>
        </w:rPr>
        <w:t xml:space="preserve">: The project’s terminal GEF PIR along with the terminal evaluation (TE) report and corresponding management response will serve as the final project report package. The final project report package shall be discussed with the Project Board during an end-of-project review meeting to discuss lesson learned and opportunities for scaling up.    </w:t>
      </w:r>
    </w:p>
    <w:p w14:paraId="0FB50256" w14:textId="4C4ABD62" w:rsidR="004F7DB3" w:rsidRPr="00263D2C" w:rsidRDefault="389F0B50" w:rsidP="00857B81">
      <w:pPr>
        <w:spacing w:before="240" w:after="0" w:line="276" w:lineRule="auto"/>
        <w:jc w:val="both"/>
        <w:rPr>
          <w:sz w:val="20"/>
          <w:szCs w:val="20"/>
          <w:lang w:val="en-US"/>
        </w:rPr>
      </w:pPr>
      <w:r>
        <w:fldChar w:fldCharType="begin"/>
      </w:r>
      <w:r w:rsidRPr="00F50786">
        <w:rPr>
          <w:lang w:val="en-US"/>
          <w:rPrChange w:id="55" w:author="Ali Sambou" w:date="2026-01-06T13:26:00Z" w16du:dateUtc="2026-01-06T13:26:00Z">
            <w:rPr/>
          </w:rPrChange>
        </w:rPr>
        <w:instrText>HYPERLINK "http://www.undp.org/content/undp/en/home/operations/transparency/information_disclosurepolicy/https://www.thegef.org/gef/policies_guidelines"</w:instrText>
      </w:r>
      <w:r>
        <w:fldChar w:fldCharType="separate"/>
      </w:r>
      <w:r w:rsidRPr="3E720D41">
        <w:rPr>
          <w:rStyle w:val="Lienhypertexte"/>
          <w:sz w:val="18"/>
          <w:szCs w:val="18"/>
          <w:lang w:val="en-US"/>
        </w:rPr>
        <w:t>http://www.undp.org/content/undp/en/home/operations/transparency/information_disclosurepolicy/https://www.thegef.org/gef/policies_guidelines</w:t>
      </w:r>
      <w:r>
        <w:fldChar w:fldCharType="end"/>
      </w:r>
    </w:p>
    <w:p w14:paraId="000009BE" w14:textId="73255C5F" w:rsidR="004F7DB3" w:rsidRPr="00263D2C" w:rsidRDefault="09C4F106" w:rsidP="00857B81">
      <w:pPr>
        <w:spacing w:before="240" w:after="0" w:line="276" w:lineRule="auto"/>
        <w:jc w:val="both"/>
        <w:rPr>
          <w:sz w:val="20"/>
          <w:szCs w:val="20"/>
          <w:lang w:val="en-US"/>
        </w:rPr>
      </w:pPr>
      <w:r w:rsidRPr="3E720D41">
        <w:rPr>
          <w:sz w:val="20"/>
          <w:szCs w:val="20"/>
          <w:lang w:val="en-US"/>
        </w:rPr>
        <w:t>I</w:t>
      </w:r>
      <w:r w:rsidR="099EA877" w:rsidRPr="3E720D41">
        <w:rPr>
          <w:sz w:val="20"/>
          <w:szCs w:val="20"/>
          <w:lang w:val="en-US"/>
        </w:rPr>
        <w:t>n accordance with UNDP programming policies and procedures, the project will be monitored through the following monitoring and evaluation plans.</w:t>
      </w:r>
    </w:p>
    <w:p w14:paraId="000009BF" w14:textId="77777777" w:rsidR="004F7DB3" w:rsidRPr="00263D2C" w:rsidRDefault="004F7DB3">
      <w:pPr>
        <w:spacing w:after="0" w:line="240" w:lineRule="auto"/>
        <w:jc w:val="both"/>
        <w:rPr>
          <w:sz w:val="20"/>
          <w:szCs w:val="20"/>
          <w:lang w:val="en-US"/>
        </w:rPr>
      </w:pPr>
    </w:p>
    <w:p w14:paraId="000009C0" w14:textId="77777777" w:rsidR="004F7DB3" w:rsidRPr="00263D2C" w:rsidRDefault="6F3012C1">
      <w:pPr>
        <w:spacing w:after="0" w:line="240" w:lineRule="auto"/>
        <w:jc w:val="both"/>
        <w:rPr>
          <w:sz w:val="20"/>
          <w:szCs w:val="20"/>
          <w:lang w:val="en-US"/>
        </w:rPr>
      </w:pPr>
      <w:r w:rsidRPr="5D8904BE">
        <w:rPr>
          <w:b/>
          <w:bCs/>
          <w:sz w:val="20"/>
          <w:szCs w:val="20"/>
          <w:lang w:val="en-US"/>
        </w:rPr>
        <w:t xml:space="preserve">Monitoring </w:t>
      </w:r>
      <w:proofErr w:type="gramStart"/>
      <w:r w:rsidRPr="5D8904BE">
        <w:rPr>
          <w:b/>
          <w:bCs/>
          <w:sz w:val="20"/>
          <w:szCs w:val="20"/>
          <w:lang w:val="en-US"/>
        </w:rPr>
        <w:t>plan</w:t>
      </w:r>
      <w:r w:rsidRPr="5D8904BE">
        <w:rPr>
          <w:sz w:val="20"/>
          <w:szCs w:val="20"/>
          <w:lang w:val="en-US"/>
        </w:rPr>
        <w:t xml:space="preserve"> :</w:t>
      </w:r>
      <w:proofErr w:type="gramEnd"/>
      <w:r w:rsidRPr="5D8904BE">
        <w:rPr>
          <w:sz w:val="20"/>
          <w:szCs w:val="20"/>
          <w:lang w:val="en-US"/>
        </w:rPr>
        <w:t xml:space="preserve"> Project results, corresponding indicators and mid-term and end-of-project targets as part of the project results will be monitored by the project management unit on an annual basis, and will be reported in the GEF RIP on an annual basis, and will be evaluated periodically during project implementation. If baseline data for some of the outcome indicators are not yet available, they will be collected in the first year of project implementation. Project risks, as described in the Risk Register, will be monitored quarterly.</w:t>
      </w:r>
    </w:p>
    <w:p w14:paraId="631CE873" w14:textId="0B2619A9" w:rsidR="5D8904BE" w:rsidRDefault="5D8904BE" w:rsidP="5D8904BE">
      <w:pPr>
        <w:spacing w:after="0" w:line="240" w:lineRule="auto"/>
        <w:jc w:val="both"/>
        <w:rPr>
          <w:sz w:val="20"/>
          <w:szCs w:val="20"/>
          <w:lang w:val="en-US"/>
        </w:rPr>
      </w:pPr>
    </w:p>
    <w:tbl>
      <w:tblPr>
        <w:tblStyle w:val="TableGrid1"/>
        <w:tblW w:w="0" w:type="auto"/>
        <w:tblLayout w:type="fixed"/>
        <w:tblLook w:val="06A0" w:firstRow="1" w:lastRow="0" w:firstColumn="1" w:lastColumn="0" w:noHBand="1" w:noVBand="1"/>
      </w:tblPr>
      <w:tblGrid>
        <w:gridCol w:w="3109"/>
        <w:gridCol w:w="1417"/>
        <w:gridCol w:w="4084"/>
      </w:tblGrid>
      <w:tr w:rsidR="3C8408A9" w:rsidRPr="00F50786" w14:paraId="51B52AE8" w14:textId="77777777" w:rsidTr="006F5E1D">
        <w:trPr>
          <w:trHeight w:val="300"/>
        </w:trPr>
        <w:tc>
          <w:tcPr>
            <w:tcW w:w="8610" w:type="dxa"/>
            <w:gridSpan w:val="3"/>
          </w:tcPr>
          <w:p w14:paraId="7B5F937E" w14:textId="1A1FF9C0" w:rsidR="3C8408A9" w:rsidRPr="002C1D2D" w:rsidRDefault="3C8408A9" w:rsidP="009804E6">
            <w:pPr>
              <w:jc w:val="both"/>
              <w:rPr>
                <w:color w:val="000000" w:themeColor="text1"/>
                <w:sz w:val="18"/>
                <w:szCs w:val="18"/>
                <w:lang w:val="en-US"/>
              </w:rPr>
            </w:pPr>
            <w:r w:rsidRPr="002C1D2D">
              <w:rPr>
                <w:b/>
                <w:bCs/>
                <w:color w:val="000000" w:themeColor="text1"/>
                <w:sz w:val="18"/>
                <w:szCs w:val="18"/>
                <w:lang w:val="en-US"/>
              </w:rPr>
              <w:t>Monitoring and Evaluation Plan and Budget</w:t>
            </w:r>
            <w:r w:rsidRPr="002C1D2D">
              <w:rPr>
                <w:color w:val="000000" w:themeColor="text1"/>
                <w:sz w:val="18"/>
                <w:szCs w:val="18"/>
                <w:lang w:val="en-US"/>
              </w:rPr>
              <w:t>:</w:t>
            </w:r>
          </w:p>
          <w:p w14:paraId="29518ED6" w14:textId="13DDB80D" w:rsidR="3C8408A9" w:rsidRPr="002C1D2D" w:rsidRDefault="2C8D735F" w:rsidP="5D8904BE">
            <w:pPr>
              <w:jc w:val="both"/>
              <w:rPr>
                <w:i/>
                <w:iCs/>
                <w:color w:val="000000" w:themeColor="text1"/>
                <w:sz w:val="18"/>
                <w:szCs w:val="18"/>
                <w:lang w:val="en-US"/>
              </w:rPr>
            </w:pPr>
            <w:r w:rsidRPr="002C1D2D">
              <w:rPr>
                <w:i/>
                <w:iCs/>
                <w:color w:val="000000" w:themeColor="text1"/>
                <w:sz w:val="18"/>
                <w:szCs w:val="18"/>
                <w:lang w:val="en-US"/>
              </w:rPr>
              <w:t>This M&amp;E plan and budget provides a breakdown of costs for M&amp;E activities to be led by the Project Management Unit during project implementation. These costs are included in Component 4 of the Results Framework and TBWP. For ease of reporting M&amp;E costs, please include all costs reported in the M&amp;E plan under the one technical component. The oversight and participation of the UNDP Country Office/Regional technical advisors/HQ Units are not included as these are covered by the GEF Fee.</w:t>
            </w:r>
          </w:p>
        </w:tc>
      </w:tr>
      <w:tr w:rsidR="3C8408A9" w:rsidRPr="002C1D2D" w14:paraId="7B6A0F2C" w14:textId="77777777" w:rsidTr="006F5E1D">
        <w:trPr>
          <w:trHeight w:val="300"/>
        </w:trPr>
        <w:tc>
          <w:tcPr>
            <w:tcW w:w="3109" w:type="dxa"/>
          </w:tcPr>
          <w:p w14:paraId="6844E731" w14:textId="51508D3B" w:rsidR="3C8408A9" w:rsidRPr="002C1D2D" w:rsidRDefault="3C8408A9" w:rsidP="009804E6">
            <w:pPr>
              <w:jc w:val="both"/>
              <w:rPr>
                <w:b/>
                <w:bCs/>
                <w:color w:val="000000" w:themeColor="text1"/>
                <w:sz w:val="18"/>
                <w:szCs w:val="18"/>
                <w:lang w:val="en-US"/>
              </w:rPr>
            </w:pPr>
            <w:r w:rsidRPr="002C1D2D">
              <w:rPr>
                <w:b/>
                <w:bCs/>
                <w:color w:val="000000" w:themeColor="text1"/>
                <w:sz w:val="18"/>
                <w:szCs w:val="18"/>
                <w:lang w:val="en-US"/>
              </w:rPr>
              <w:t>GEF M&amp;E requirements</w:t>
            </w:r>
          </w:p>
        </w:tc>
        <w:tc>
          <w:tcPr>
            <w:tcW w:w="1417" w:type="dxa"/>
          </w:tcPr>
          <w:p w14:paraId="4CC94A9B" w14:textId="1EB0F2A5" w:rsidR="3C8408A9" w:rsidRPr="002C1D2D" w:rsidRDefault="3C8408A9" w:rsidP="009804E6">
            <w:pPr>
              <w:jc w:val="center"/>
              <w:rPr>
                <w:b/>
                <w:bCs/>
                <w:color w:val="000000" w:themeColor="text1"/>
                <w:sz w:val="18"/>
                <w:szCs w:val="18"/>
                <w:lang w:val="en-US"/>
              </w:rPr>
            </w:pPr>
            <w:r w:rsidRPr="002C1D2D">
              <w:rPr>
                <w:b/>
                <w:bCs/>
                <w:color w:val="000000" w:themeColor="text1"/>
                <w:sz w:val="18"/>
                <w:szCs w:val="18"/>
                <w:lang w:val="en-US"/>
              </w:rPr>
              <w:t>Indicative costs (US$)</w:t>
            </w:r>
          </w:p>
        </w:tc>
        <w:tc>
          <w:tcPr>
            <w:tcW w:w="4084" w:type="dxa"/>
          </w:tcPr>
          <w:p w14:paraId="5E3B7D89" w14:textId="2066D551" w:rsidR="3C8408A9" w:rsidRPr="002C1D2D" w:rsidRDefault="3C8408A9" w:rsidP="009804E6">
            <w:pPr>
              <w:jc w:val="both"/>
              <w:rPr>
                <w:b/>
                <w:bCs/>
                <w:color w:val="000000" w:themeColor="text1"/>
                <w:sz w:val="18"/>
                <w:szCs w:val="18"/>
                <w:lang w:val="en-US"/>
              </w:rPr>
            </w:pPr>
            <w:r w:rsidRPr="002C1D2D">
              <w:rPr>
                <w:b/>
                <w:bCs/>
                <w:color w:val="000000" w:themeColor="text1"/>
                <w:sz w:val="18"/>
                <w:szCs w:val="18"/>
                <w:lang w:val="en-US"/>
              </w:rPr>
              <w:t>Time frame</w:t>
            </w:r>
          </w:p>
        </w:tc>
      </w:tr>
      <w:tr w:rsidR="3C8408A9" w:rsidRPr="00F50786" w14:paraId="537F65F3" w14:textId="77777777" w:rsidTr="006F5E1D">
        <w:trPr>
          <w:trHeight w:val="300"/>
        </w:trPr>
        <w:tc>
          <w:tcPr>
            <w:tcW w:w="3109" w:type="dxa"/>
          </w:tcPr>
          <w:p w14:paraId="45483EF8" w14:textId="45B1149B" w:rsidR="3C8408A9" w:rsidRPr="002C1D2D" w:rsidRDefault="3C8408A9" w:rsidP="009804E6">
            <w:pPr>
              <w:jc w:val="both"/>
              <w:rPr>
                <w:sz w:val="18"/>
                <w:szCs w:val="18"/>
                <w:lang w:val="en-US"/>
              </w:rPr>
            </w:pPr>
            <w:r w:rsidRPr="002C1D2D">
              <w:rPr>
                <w:sz w:val="18"/>
                <w:szCs w:val="18"/>
                <w:lang w:val="en-US"/>
              </w:rPr>
              <w:t xml:space="preserve">Inception Workshop </w:t>
            </w:r>
          </w:p>
        </w:tc>
        <w:tc>
          <w:tcPr>
            <w:tcW w:w="1417" w:type="dxa"/>
          </w:tcPr>
          <w:p w14:paraId="645B6357" w14:textId="6ACA4514" w:rsidR="3E83F127" w:rsidRPr="002C1D2D" w:rsidRDefault="3E83F127" w:rsidP="009804E6">
            <w:pPr>
              <w:jc w:val="right"/>
              <w:rPr>
                <w:sz w:val="18"/>
                <w:szCs w:val="18"/>
                <w:lang w:val="en-US"/>
              </w:rPr>
            </w:pPr>
            <w:r w:rsidRPr="002C1D2D">
              <w:rPr>
                <w:sz w:val="18"/>
                <w:szCs w:val="18"/>
                <w:lang w:val="en-US"/>
              </w:rPr>
              <w:t>7,000</w:t>
            </w:r>
          </w:p>
        </w:tc>
        <w:tc>
          <w:tcPr>
            <w:tcW w:w="4084" w:type="dxa"/>
          </w:tcPr>
          <w:p w14:paraId="2C67A8D9" w14:textId="6F3B7EAA" w:rsidR="3C8408A9" w:rsidRPr="002C1D2D" w:rsidRDefault="3C8408A9" w:rsidP="009804E6">
            <w:pPr>
              <w:jc w:val="both"/>
              <w:rPr>
                <w:sz w:val="18"/>
                <w:szCs w:val="18"/>
                <w:lang w:val="en-US"/>
              </w:rPr>
            </w:pPr>
            <w:r w:rsidRPr="002C1D2D">
              <w:rPr>
                <w:sz w:val="18"/>
                <w:szCs w:val="18"/>
                <w:lang w:val="en-US"/>
              </w:rPr>
              <w:t xml:space="preserve">Within two months from the date of First Disbursement  </w:t>
            </w:r>
          </w:p>
        </w:tc>
      </w:tr>
      <w:tr w:rsidR="3C8408A9" w:rsidRPr="00F50786" w14:paraId="716CF1B3" w14:textId="77777777" w:rsidTr="006F5E1D">
        <w:trPr>
          <w:trHeight w:val="300"/>
        </w:trPr>
        <w:tc>
          <w:tcPr>
            <w:tcW w:w="3109" w:type="dxa"/>
          </w:tcPr>
          <w:p w14:paraId="10B4180B" w14:textId="579B70BB" w:rsidR="3C8408A9" w:rsidRPr="002C1D2D" w:rsidRDefault="3C8408A9" w:rsidP="009804E6">
            <w:pPr>
              <w:jc w:val="both"/>
              <w:rPr>
                <w:sz w:val="18"/>
                <w:szCs w:val="18"/>
                <w:lang w:val="en-US"/>
              </w:rPr>
            </w:pPr>
            <w:r w:rsidRPr="002C1D2D">
              <w:rPr>
                <w:sz w:val="18"/>
                <w:szCs w:val="18"/>
                <w:lang w:val="en-US"/>
              </w:rPr>
              <w:t>Inception Report</w:t>
            </w:r>
          </w:p>
        </w:tc>
        <w:tc>
          <w:tcPr>
            <w:tcW w:w="1417" w:type="dxa"/>
          </w:tcPr>
          <w:p w14:paraId="27BD780C" w14:textId="33BCFE40" w:rsidR="72BB9D44" w:rsidRPr="002C1D2D" w:rsidRDefault="72BB9D44" w:rsidP="009804E6">
            <w:pPr>
              <w:jc w:val="right"/>
              <w:rPr>
                <w:sz w:val="18"/>
                <w:szCs w:val="18"/>
                <w:lang w:val="en-US"/>
              </w:rPr>
            </w:pPr>
            <w:proofErr w:type="spellStart"/>
            <w:r w:rsidRPr="002C1D2D">
              <w:rPr>
                <w:sz w:val="18"/>
                <w:szCs w:val="18"/>
                <w:lang w:val="en-US"/>
              </w:rPr>
              <w:t>na</w:t>
            </w:r>
            <w:proofErr w:type="spellEnd"/>
          </w:p>
        </w:tc>
        <w:tc>
          <w:tcPr>
            <w:tcW w:w="4084" w:type="dxa"/>
          </w:tcPr>
          <w:p w14:paraId="35B4A309" w14:textId="33491017" w:rsidR="3C8408A9" w:rsidRPr="002C1D2D" w:rsidRDefault="2C8D735F" w:rsidP="009804E6">
            <w:pPr>
              <w:jc w:val="both"/>
              <w:rPr>
                <w:sz w:val="18"/>
                <w:szCs w:val="18"/>
                <w:lang w:val="en-US"/>
              </w:rPr>
            </w:pPr>
            <w:r w:rsidRPr="002C1D2D">
              <w:rPr>
                <w:sz w:val="18"/>
                <w:szCs w:val="18"/>
                <w:lang w:val="en-US"/>
              </w:rPr>
              <w:t>Within two weeks of inception workshop</w:t>
            </w:r>
          </w:p>
        </w:tc>
      </w:tr>
      <w:tr w:rsidR="3C8408A9" w:rsidRPr="00F50786" w14:paraId="0B531453" w14:textId="77777777" w:rsidTr="006F5E1D">
        <w:trPr>
          <w:trHeight w:val="300"/>
        </w:trPr>
        <w:tc>
          <w:tcPr>
            <w:tcW w:w="3109" w:type="dxa"/>
          </w:tcPr>
          <w:p w14:paraId="531F2D34" w14:textId="60E1A285" w:rsidR="3C8408A9" w:rsidRPr="002C1D2D" w:rsidRDefault="5AC933C3" w:rsidP="009804E6">
            <w:pPr>
              <w:jc w:val="both"/>
              <w:rPr>
                <w:sz w:val="18"/>
                <w:szCs w:val="18"/>
                <w:lang w:val="en-US"/>
              </w:rPr>
            </w:pPr>
            <w:r w:rsidRPr="002C1D2D">
              <w:rPr>
                <w:sz w:val="18"/>
                <w:szCs w:val="18"/>
                <w:lang w:val="en-US"/>
              </w:rPr>
              <w:t xml:space="preserve">M&amp;E </w:t>
            </w:r>
            <w:proofErr w:type="gramStart"/>
            <w:r w:rsidRPr="002C1D2D">
              <w:rPr>
                <w:sz w:val="18"/>
                <w:szCs w:val="18"/>
                <w:lang w:val="en-US"/>
              </w:rPr>
              <w:t>of  GEF</w:t>
            </w:r>
            <w:proofErr w:type="gramEnd"/>
            <w:r w:rsidRPr="002C1D2D">
              <w:rPr>
                <w:sz w:val="18"/>
                <w:szCs w:val="18"/>
                <w:lang w:val="en-US"/>
              </w:rPr>
              <w:t xml:space="preserve"> core indicators and  project results framework </w:t>
            </w:r>
          </w:p>
        </w:tc>
        <w:tc>
          <w:tcPr>
            <w:tcW w:w="1417" w:type="dxa"/>
          </w:tcPr>
          <w:p w14:paraId="5CFDD1B3" w14:textId="4DC6BE76" w:rsidR="37F80B7B" w:rsidRPr="002C1D2D" w:rsidRDefault="7F616525" w:rsidP="009804E6">
            <w:pPr>
              <w:jc w:val="right"/>
              <w:rPr>
                <w:sz w:val="18"/>
                <w:szCs w:val="18"/>
                <w:lang w:val="en-US"/>
              </w:rPr>
            </w:pPr>
            <w:r w:rsidRPr="002C1D2D">
              <w:rPr>
                <w:sz w:val="18"/>
                <w:szCs w:val="18"/>
                <w:lang w:val="en-US"/>
              </w:rPr>
              <w:t>4</w:t>
            </w:r>
            <w:r w:rsidR="235042C2" w:rsidRPr="002C1D2D">
              <w:rPr>
                <w:sz w:val="18"/>
                <w:szCs w:val="18"/>
                <w:lang w:val="en-US"/>
              </w:rPr>
              <w:t>5</w:t>
            </w:r>
            <w:r w:rsidR="52DA052B" w:rsidRPr="002C1D2D">
              <w:rPr>
                <w:sz w:val="18"/>
                <w:szCs w:val="18"/>
                <w:lang w:val="en-US"/>
              </w:rPr>
              <w:t>,000</w:t>
            </w:r>
          </w:p>
        </w:tc>
        <w:tc>
          <w:tcPr>
            <w:tcW w:w="4084" w:type="dxa"/>
          </w:tcPr>
          <w:p w14:paraId="24CABD44" w14:textId="67A07FD5" w:rsidR="3C8408A9" w:rsidRPr="002C1D2D" w:rsidRDefault="2EA2AE21" w:rsidP="009804E6">
            <w:pPr>
              <w:jc w:val="both"/>
              <w:rPr>
                <w:sz w:val="18"/>
                <w:szCs w:val="18"/>
                <w:lang w:val="en-US"/>
              </w:rPr>
            </w:pPr>
            <w:r w:rsidRPr="002C1D2D">
              <w:rPr>
                <w:sz w:val="18"/>
                <w:szCs w:val="18"/>
                <w:lang w:val="en-US"/>
              </w:rPr>
              <w:t>Annually and at mid-point and closure</w:t>
            </w:r>
            <w:r w:rsidR="71E5E9AC" w:rsidRPr="002C1D2D">
              <w:rPr>
                <w:sz w:val="18"/>
                <w:szCs w:val="18"/>
                <w:lang w:val="en-US"/>
              </w:rPr>
              <w:t xml:space="preserve"> (60% M&amp;E specialist Cost)</w:t>
            </w:r>
          </w:p>
        </w:tc>
      </w:tr>
      <w:tr w:rsidR="3C8408A9" w:rsidRPr="00F50786" w14:paraId="5252FB51" w14:textId="77777777" w:rsidTr="006F5E1D">
        <w:trPr>
          <w:trHeight w:val="300"/>
        </w:trPr>
        <w:tc>
          <w:tcPr>
            <w:tcW w:w="3109" w:type="dxa"/>
          </w:tcPr>
          <w:p w14:paraId="53754812" w14:textId="11AC96A7" w:rsidR="3C8408A9" w:rsidRPr="002C1D2D" w:rsidRDefault="3C8408A9" w:rsidP="009804E6">
            <w:pPr>
              <w:jc w:val="both"/>
              <w:rPr>
                <w:sz w:val="18"/>
                <w:szCs w:val="18"/>
                <w:lang w:val="en-US"/>
              </w:rPr>
            </w:pPr>
            <w:r w:rsidRPr="002C1D2D">
              <w:rPr>
                <w:sz w:val="18"/>
                <w:szCs w:val="18"/>
                <w:lang w:val="en-US"/>
              </w:rPr>
              <w:t xml:space="preserve">GEF Project Implementation Report (PIR) </w:t>
            </w:r>
          </w:p>
        </w:tc>
        <w:tc>
          <w:tcPr>
            <w:tcW w:w="1417" w:type="dxa"/>
          </w:tcPr>
          <w:p w14:paraId="418A587B" w14:textId="4AF5B54C" w:rsidR="1DF4989F" w:rsidRPr="002C1D2D" w:rsidRDefault="4E460E26" w:rsidP="009804E6">
            <w:pPr>
              <w:jc w:val="right"/>
              <w:rPr>
                <w:sz w:val="18"/>
                <w:szCs w:val="18"/>
                <w:lang w:val="en-US"/>
              </w:rPr>
            </w:pPr>
            <w:r w:rsidRPr="002C1D2D">
              <w:rPr>
                <w:sz w:val="18"/>
                <w:szCs w:val="18"/>
                <w:lang w:val="en-US"/>
              </w:rPr>
              <w:t>30,000</w:t>
            </w:r>
          </w:p>
        </w:tc>
        <w:tc>
          <w:tcPr>
            <w:tcW w:w="4084" w:type="dxa"/>
          </w:tcPr>
          <w:p w14:paraId="018FE40D" w14:textId="43F631BB" w:rsidR="3C8408A9" w:rsidRPr="002C1D2D" w:rsidRDefault="302565FA" w:rsidP="37FF86E9">
            <w:pPr>
              <w:rPr>
                <w:sz w:val="18"/>
                <w:szCs w:val="18"/>
                <w:lang w:val="en-US"/>
              </w:rPr>
            </w:pPr>
            <w:r w:rsidRPr="002C1D2D">
              <w:rPr>
                <w:sz w:val="18"/>
                <w:szCs w:val="18"/>
                <w:lang w:val="en-US"/>
              </w:rPr>
              <w:t>Annually typically between June-August</w:t>
            </w:r>
            <w:r w:rsidR="4B466C91" w:rsidRPr="002C1D2D">
              <w:rPr>
                <w:sz w:val="18"/>
                <w:szCs w:val="18"/>
                <w:lang w:val="en-US"/>
              </w:rPr>
              <w:t xml:space="preserve"> Mandatory contribution from the project team, UNDP CO and national partners</w:t>
            </w:r>
            <w:r w:rsidR="66215CF4" w:rsidRPr="002C1D2D">
              <w:rPr>
                <w:sz w:val="18"/>
                <w:szCs w:val="18"/>
                <w:lang w:val="en-US"/>
              </w:rPr>
              <w:t xml:space="preserve"> (</w:t>
            </w:r>
            <w:r w:rsidR="200FE5B5" w:rsidRPr="002C1D2D">
              <w:rPr>
                <w:sz w:val="18"/>
                <w:szCs w:val="18"/>
                <w:lang w:val="en-US"/>
              </w:rPr>
              <w:t>4</w:t>
            </w:r>
            <w:r w:rsidR="66215CF4" w:rsidRPr="002C1D2D">
              <w:rPr>
                <w:sz w:val="18"/>
                <w:szCs w:val="18"/>
                <w:lang w:val="en-US"/>
              </w:rPr>
              <w:t>0% M&amp;E Specialist cost)</w:t>
            </w:r>
          </w:p>
        </w:tc>
      </w:tr>
      <w:tr w:rsidR="3C8408A9" w:rsidRPr="00F50786" w14:paraId="37448BDD" w14:textId="77777777" w:rsidTr="006F5E1D">
        <w:trPr>
          <w:trHeight w:val="300"/>
        </w:trPr>
        <w:tc>
          <w:tcPr>
            <w:tcW w:w="3109" w:type="dxa"/>
          </w:tcPr>
          <w:p w14:paraId="5C0EA983" w14:textId="3BC94727" w:rsidR="3C8408A9" w:rsidRPr="002C1D2D" w:rsidRDefault="5AC933C3" w:rsidP="009804E6">
            <w:pPr>
              <w:jc w:val="both"/>
              <w:rPr>
                <w:sz w:val="18"/>
                <w:szCs w:val="18"/>
                <w:lang w:val="en-US"/>
              </w:rPr>
            </w:pPr>
            <w:r w:rsidRPr="002C1D2D">
              <w:rPr>
                <w:sz w:val="18"/>
                <w:szCs w:val="18"/>
                <w:lang w:val="en-US"/>
              </w:rPr>
              <w:t xml:space="preserve">Monitoring of Environmental and Social Management Plan, Stakeholder Engagement Plan, Gender Action Plan and knowledge generation </w:t>
            </w:r>
          </w:p>
        </w:tc>
        <w:tc>
          <w:tcPr>
            <w:tcW w:w="1417" w:type="dxa"/>
          </w:tcPr>
          <w:p w14:paraId="7B1B1D9D" w14:textId="48D8F86B" w:rsidR="62288DE4" w:rsidRPr="002C1D2D" w:rsidRDefault="44178019" w:rsidP="009804E6">
            <w:pPr>
              <w:jc w:val="right"/>
              <w:rPr>
                <w:sz w:val="18"/>
                <w:szCs w:val="18"/>
                <w:lang w:val="en-US"/>
              </w:rPr>
            </w:pPr>
            <w:r w:rsidRPr="002C1D2D">
              <w:rPr>
                <w:sz w:val="18"/>
                <w:szCs w:val="18"/>
                <w:lang w:val="en-US"/>
              </w:rPr>
              <w:t>45</w:t>
            </w:r>
            <w:r w:rsidR="7F82B518" w:rsidRPr="002C1D2D">
              <w:rPr>
                <w:sz w:val="18"/>
                <w:szCs w:val="18"/>
                <w:lang w:val="en-US"/>
              </w:rPr>
              <w:t>,000</w:t>
            </w:r>
          </w:p>
        </w:tc>
        <w:tc>
          <w:tcPr>
            <w:tcW w:w="4084" w:type="dxa"/>
          </w:tcPr>
          <w:p w14:paraId="0500106C" w14:textId="7188E343" w:rsidR="3C8408A9" w:rsidRPr="002C1D2D" w:rsidRDefault="2EA2AE21" w:rsidP="009804E6">
            <w:pPr>
              <w:jc w:val="both"/>
              <w:rPr>
                <w:sz w:val="18"/>
                <w:szCs w:val="18"/>
                <w:lang w:val="en-US"/>
              </w:rPr>
            </w:pPr>
            <w:r w:rsidRPr="002C1D2D">
              <w:rPr>
                <w:sz w:val="18"/>
                <w:szCs w:val="18"/>
                <w:lang w:val="en-US"/>
              </w:rPr>
              <w:t>On-going</w:t>
            </w:r>
            <w:r w:rsidR="7BBA341B" w:rsidRPr="002C1D2D">
              <w:rPr>
                <w:sz w:val="18"/>
                <w:szCs w:val="18"/>
                <w:lang w:val="en-US"/>
              </w:rPr>
              <w:t xml:space="preserve"> (over 5 </w:t>
            </w:r>
            <w:proofErr w:type="gramStart"/>
            <w:r w:rsidR="7BBA341B" w:rsidRPr="002C1D2D">
              <w:rPr>
                <w:sz w:val="18"/>
                <w:szCs w:val="18"/>
                <w:lang w:val="en-US"/>
              </w:rPr>
              <w:t>years)</w:t>
            </w:r>
            <w:r w:rsidR="0572AA8E" w:rsidRPr="002C1D2D">
              <w:rPr>
                <w:sz w:val="18"/>
                <w:szCs w:val="18"/>
                <w:lang w:val="en-US"/>
              </w:rPr>
              <w:t xml:space="preserve">  (</w:t>
            </w:r>
            <w:proofErr w:type="gramEnd"/>
            <w:r w:rsidR="0572AA8E" w:rsidRPr="002C1D2D">
              <w:rPr>
                <w:sz w:val="18"/>
                <w:szCs w:val="18"/>
                <w:lang w:val="en-US"/>
              </w:rPr>
              <w:t>60%</w:t>
            </w:r>
            <w:r w:rsidR="2E056765" w:rsidRPr="002C1D2D">
              <w:rPr>
                <w:sz w:val="18"/>
                <w:szCs w:val="18"/>
                <w:lang w:val="en-US"/>
              </w:rPr>
              <w:t xml:space="preserve"> of cost of the</w:t>
            </w:r>
            <w:r w:rsidR="0572AA8E" w:rsidRPr="002C1D2D">
              <w:rPr>
                <w:sz w:val="18"/>
                <w:szCs w:val="18"/>
                <w:lang w:val="en-US"/>
              </w:rPr>
              <w:t xml:space="preserve"> ESS and </w:t>
            </w:r>
            <w:r w:rsidR="57E9BC55" w:rsidRPr="002C1D2D">
              <w:rPr>
                <w:sz w:val="18"/>
                <w:szCs w:val="18"/>
                <w:lang w:val="en-US"/>
              </w:rPr>
              <w:t>Gender</w:t>
            </w:r>
            <w:r w:rsidR="335D2DD2" w:rsidRPr="002C1D2D">
              <w:rPr>
                <w:sz w:val="18"/>
                <w:szCs w:val="18"/>
                <w:lang w:val="en-US"/>
              </w:rPr>
              <w:t xml:space="preserve"> specialist</w:t>
            </w:r>
            <w:r w:rsidR="57E9BC55" w:rsidRPr="002C1D2D">
              <w:rPr>
                <w:sz w:val="18"/>
                <w:szCs w:val="18"/>
                <w:lang w:val="en-US"/>
              </w:rPr>
              <w:t xml:space="preserve">) </w:t>
            </w:r>
          </w:p>
        </w:tc>
      </w:tr>
      <w:tr w:rsidR="3C8408A9" w:rsidRPr="002C1D2D" w14:paraId="7A0ABA3E" w14:textId="77777777" w:rsidTr="006F5E1D">
        <w:trPr>
          <w:trHeight w:val="300"/>
        </w:trPr>
        <w:tc>
          <w:tcPr>
            <w:tcW w:w="3109" w:type="dxa"/>
          </w:tcPr>
          <w:p w14:paraId="18105A7D" w14:textId="5A52A539" w:rsidR="3C8408A9" w:rsidRPr="002C1D2D" w:rsidRDefault="3C8408A9" w:rsidP="009804E6">
            <w:pPr>
              <w:jc w:val="both"/>
              <w:rPr>
                <w:sz w:val="18"/>
                <w:szCs w:val="18"/>
                <w:lang w:val="en-US"/>
              </w:rPr>
            </w:pPr>
            <w:r w:rsidRPr="002C1D2D">
              <w:rPr>
                <w:sz w:val="18"/>
                <w:szCs w:val="18"/>
                <w:lang w:val="en-US"/>
              </w:rPr>
              <w:t>Supervision missions</w:t>
            </w:r>
          </w:p>
        </w:tc>
        <w:tc>
          <w:tcPr>
            <w:tcW w:w="1417" w:type="dxa"/>
          </w:tcPr>
          <w:p w14:paraId="4C1B7A8D" w14:textId="34E730C2" w:rsidR="62F35325" w:rsidRPr="002C1D2D" w:rsidRDefault="25617D08" w:rsidP="009804E6">
            <w:pPr>
              <w:jc w:val="right"/>
              <w:rPr>
                <w:sz w:val="18"/>
                <w:szCs w:val="18"/>
                <w:lang w:val="en-US"/>
              </w:rPr>
            </w:pPr>
            <w:r w:rsidRPr="002C1D2D">
              <w:rPr>
                <w:sz w:val="18"/>
                <w:szCs w:val="18"/>
                <w:lang w:val="en-US"/>
              </w:rPr>
              <w:t>5</w:t>
            </w:r>
            <w:r w:rsidR="3F4DCADB" w:rsidRPr="002C1D2D">
              <w:rPr>
                <w:sz w:val="18"/>
                <w:szCs w:val="18"/>
                <w:lang w:val="en-US"/>
              </w:rPr>
              <w:t>,000</w:t>
            </w:r>
          </w:p>
        </w:tc>
        <w:tc>
          <w:tcPr>
            <w:tcW w:w="4084" w:type="dxa"/>
          </w:tcPr>
          <w:p w14:paraId="1BD2146D" w14:textId="5FB99AA1" w:rsidR="3C8408A9" w:rsidRPr="002C1D2D" w:rsidRDefault="75EFF28F" w:rsidP="009804E6">
            <w:pPr>
              <w:jc w:val="both"/>
              <w:rPr>
                <w:sz w:val="18"/>
                <w:szCs w:val="18"/>
                <w:lang w:val="en-US"/>
              </w:rPr>
            </w:pPr>
            <w:r w:rsidRPr="002C1D2D">
              <w:rPr>
                <w:sz w:val="18"/>
                <w:szCs w:val="18"/>
                <w:lang w:val="en-US"/>
              </w:rPr>
              <w:t>Annually</w:t>
            </w:r>
            <w:r w:rsidR="1621C325" w:rsidRPr="002C1D2D">
              <w:rPr>
                <w:sz w:val="18"/>
                <w:szCs w:val="18"/>
                <w:lang w:val="en-US"/>
              </w:rPr>
              <w:t xml:space="preserve"> (</w:t>
            </w:r>
            <w:r w:rsidR="46DDBCD8" w:rsidRPr="002C1D2D">
              <w:rPr>
                <w:sz w:val="18"/>
                <w:szCs w:val="18"/>
                <w:lang w:val="en-US"/>
              </w:rPr>
              <w:t>1</w:t>
            </w:r>
            <w:r w:rsidR="1621C325" w:rsidRPr="002C1D2D">
              <w:rPr>
                <w:sz w:val="18"/>
                <w:szCs w:val="18"/>
                <w:lang w:val="en-US"/>
              </w:rPr>
              <w:t>000$ x 5 years)</w:t>
            </w:r>
          </w:p>
        </w:tc>
      </w:tr>
      <w:tr w:rsidR="3C8408A9" w:rsidRPr="002C1D2D" w14:paraId="35389C81" w14:textId="77777777" w:rsidTr="006F5E1D">
        <w:trPr>
          <w:trHeight w:val="300"/>
        </w:trPr>
        <w:tc>
          <w:tcPr>
            <w:tcW w:w="3109" w:type="dxa"/>
          </w:tcPr>
          <w:p w14:paraId="5F22F004" w14:textId="52D1DF10" w:rsidR="25DB17DC" w:rsidRPr="00D9432E" w:rsidRDefault="25DB17DC" w:rsidP="3C8408A9">
            <w:pPr>
              <w:jc w:val="both"/>
              <w:rPr>
                <w:sz w:val="18"/>
                <w:szCs w:val="18"/>
                <w:lang w:val="en-US"/>
              </w:rPr>
            </w:pPr>
            <w:r w:rsidRPr="00D9432E">
              <w:rPr>
                <w:sz w:val="18"/>
                <w:szCs w:val="18"/>
                <w:lang w:val="en-US"/>
              </w:rPr>
              <w:t xml:space="preserve">Learning missions </w:t>
            </w:r>
          </w:p>
        </w:tc>
        <w:tc>
          <w:tcPr>
            <w:tcW w:w="1417" w:type="dxa"/>
          </w:tcPr>
          <w:p w14:paraId="5B567135" w14:textId="6E7FBB93" w:rsidR="25DB17DC" w:rsidRPr="002C1D2D" w:rsidRDefault="002A4014" w:rsidP="3C8408A9">
            <w:pPr>
              <w:jc w:val="right"/>
              <w:rPr>
                <w:sz w:val="18"/>
                <w:szCs w:val="18"/>
                <w:lang w:val="en-US"/>
              </w:rPr>
            </w:pPr>
            <w:r w:rsidRPr="002C1D2D">
              <w:rPr>
                <w:sz w:val="18"/>
                <w:szCs w:val="18"/>
                <w:lang w:val="en-US"/>
              </w:rPr>
              <w:t>4,705</w:t>
            </w:r>
          </w:p>
        </w:tc>
        <w:tc>
          <w:tcPr>
            <w:tcW w:w="4084" w:type="dxa"/>
          </w:tcPr>
          <w:p w14:paraId="42A7FA15" w14:textId="142FD24A" w:rsidR="25DB17DC" w:rsidRPr="002C1D2D" w:rsidRDefault="02D3D81D" w:rsidP="3C8408A9">
            <w:pPr>
              <w:jc w:val="both"/>
              <w:rPr>
                <w:sz w:val="18"/>
                <w:szCs w:val="18"/>
                <w:lang w:val="en-US"/>
              </w:rPr>
            </w:pPr>
            <w:r w:rsidRPr="002C1D2D">
              <w:rPr>
                <w:sz w:val="18"/>
                <w:szCs w:val="18"/>
                <w:lang w:val="en-US"/>
              </w:rPr>
              <w:t>Annually (</w:t>
            </w:r>
            <w:r w:rsidR="0F3F510A" w:rsidRPr="002C1D2D">
              <w:rPr>
                <w:sz w:val="18"/>
                <w:szCs w:val="18"/>
                <w:lang w:val="en-US"/>
              </w:rPr>
              <w:t>1</w:t>
            </w:r>
            <w:r w:rsidRPr="002C1D2D">
              <w:rPr>
                <w:sz w:val="18"/>
                <w:szCs w:val="18"/>
                <w:lang w:val="en-US"/>
              </w:rPr>
              <w:t>000$ x 5 years)</w:t>
            </w:r>
          </w:p>
        </w:tc>
      </w:tr>
      <w:tr w:rsidR="008511A2" w:rsidRPr="002C1D2D" w14:paraId="416C2C34" w14:textId="77777777" w:rsidTr="006F5E1D">
        <w:trPr>
          <w:trHeight w:val="300"/>
        </w:trPr>
        <w:tc>
          <w:tcPr>
            <w:tcW w:w="3109" w:type="dxa"/>
          </w:tcPr>
          <w:p w14:paraId="081A3F07" w14:textId="32EC14EB" w:rsidR="008511A2" w:rsidRPr="006F5E1D" w:rsidRDefault="008511A2" w:rsidP="37FF86E9">
            <w:pPr>
              <w:rPr>
                <w:sz w:val="18"/>
                <w:szCs w:val="18"/>
              </w:rPr>
            </w:pPr>
            <w:proofErr w:type="spellStart"/>
            <w:r w:rsidRPr="006F5E1D">
              <w:rPr>
                <w:sz w:val="18"/>
                <w:szCs w:val="18"/>
              </w:rPr>
              <w:t>Steering</w:t>
            </w:r>
            <w:proofErr w:type="spellEnd"/>
            <w:r w:rsidRPr="006F5E1D">
              <w:rPr>
                <w:sz w:val="18"/>
                <w:szCs w:val="18"/>
              </w:rPr>
              <w:t xml:space="preserve"> </w:t>
            </w:r>
            <w:proofErr w:type="spellStart"/>
            <w:r w:rsidRPr="006F5E1D">
              <w:rPr>
                <w:sz w:val="18"/>
                <w:szCs w:val="18"/>
              </w:rPr>
              <w:t>commitee</w:t>
            </w:r>
            <w:proofErr w:type="spellEnd"/>
            <w:r w:rsidRPr="006F5E1D">
              <w:rPr>
                <w:sz w:val="18"/>
                <w:szCs w:val="18"/>
              </w:rPr>
              <w:t xml:space="preserve"> m</w:t>
            </w:r>
            <w:r w:rsidR="00D9432E">
              <w:rPr>
                <w:sz w:val="18"/>
                <w:szCs w:val="18"/>
              </w:rPr>
              <w:t xml:space="preserve">eetings </w:t>
            </w:r>
          </w:p>
        </w:tc>
        <w:tc>
          <w:tcPr>
            <w:tcW w:w="1417" w:type="dxa"/>
          </w:tcPr>
          <w:p w14:paraId="71F09E12" w14:textId="577F5726" w:rsidR="008511A2" w:rsidRPr="002C1D2D" w:rsidRDefault="006E4FAF" w:rsidP="5D8904BE">
            <w:pPr>
              <w:jc w:val="right"/>
              <w:rPr>
                <w:sz w:val="18"/>
                <w:szCs w:val="18"/>
              </w:rPr>
            </w:pPr>
            <w:r w:rsidRPr="002C1D2D">
              <w:rPr>
                <w:sz w:val="18"/>
                <w:szCs w:val="18"/>
              </w:rPr>
              <w:t>3,000</w:t>
            </w:r>
          </w:p>
        </w:tc>
        <w:tc>
          <w:tcPr>
            <w:tcW w:w="4084" w:type="dxa"/>
          </w:tcPr>
          <w:p w14:paraId="36ED1C87" w14:textId="10EA2E2B" w:rsidR="008511A2" w:rsidRPr="002C1D2D" w:rsidRDefault="006E4FAF" w:rsidP="37FF86E9">
            <w:pPr>
              <w:rPr>
                <w:sz w:val="18"/>
                <w:szCs w:val="18"/>
                <w:lang w:val="en-US"/>
              </w:rPr>
            </w:pPr>
            <w:r w:rsidRPr="002C1D2D">
              <w:rPr>
                <w:sz w:val="18"/>
                <w:szCs w:val="18"/>
                <w:lang w:val="en-US"/>
              </w:rPr>
              <w:t>4 meetin</w:t>
            </w:r>
            <w:r w:rsidR="00892EEF" w:rsidRPr="002C1D2D">
              <w:rPr>
                <w:sz w:val="18"/>
                <w:szCs w:val="18"/>
                <w:lang w:val="en-US"/>
              </w:rPr>
              <w:t>gs at least</w:t>
            </w:r>
          </w:p>
        </w:tc>
      </w:tr>
      <w:tr w:rsidR="37FF86E9" w:rsidRPr="00F50786" w14:paraId="4236980C" w14:textId="77777777" w:rsidTr="006F5E1D">
        <w:trPr>
          <w:trHeight w:val="300"/>
        </w:trPr>
        <w:tc>
          <w:tcPr>
            <w:tcW w:w="3109" w:type="dxa"/>
          </w:tcPr>
          <w:p w14:paraId="1F188F82" w14:textId="3EE7645D" w:rsidR="37FF86E9" w:rsidRPr="006F5E1D" w:rsidRDefault="730EB1A8" w:rsidP="37FF86E9">
            <w:pPr>
              <w:rPr>
                <w:sz w:val="18"/>
                <w:szCs w:val="18"/>
                <w:lang w:val="en-US"/>
              </w:rPr>
            </w:pPr>
            <w:r w:rsidRPr="006F5E1D">
              <w:rPr>
                <w:b/>
                <w:bCs/>
                <w:sz w:val="18"/>
                <w:szCs w:val="18"/>
                <w:lang w:val="en-US"/>
              </w:rPr>
              <w:t> </w:t>
            </w:r>
            <w:r w:rsidRPr="006F5E1D">
              <w:rPr>
                <w:sz w:val="18"/>
                <w:szCs w:val="18"/>
                <w:lang w:val="en-US"/>
              </w:rPr>
              <w:t xml:space="preserve">Quality assurance of </w:t>
            </w:r>
            <w:proofErr w:type="gramStart"/>
            <w:r w:rsidRPr="006F5E1D">
              <w:rPr>
                <w:sz w:val="18"/>
                <w:szCs w:val="18"/>
                <w:lang w:val="en-US"/>
              </w:rPr>
              <w:t xml:space="preserve">the </w:t>
            </w:r>
            <w:r w:rsidRPr="006F5E1D">
              <w:rPr>
                <w:b/>
                <w:bCs/>
                <w:sz w:val="18"/>
                <w:szCs w:val="18"/>
                <w:lang w:val="en-US"/>
              </w:rPr>
              <w:t xml:space="preserve"> </w:t>
            </w:r>
            <w:r w:rsidRPr="006F5E1D">
              <w:rPr>
                <w:sz w:val="18"/>
                <w:szCs w:val="18"/>
                <w:lang w:val="en-US"/>
              </w:rPr>
              <w:t>project</w:t>
            </w:r>
            <w:proofErr w:type="gramEnd"/>
          </w:p>
          <w:p w14:paraId="5B598CDB" w14:textId="77777777" w:rsidR="37FF86E9" w:rsidRPr="002C1D2D" w:rsidRDefault="37FF86E9" w:rsidP="37FF86E9">
            <w:pPr>
              <w:rPr>
                <w:sz w:val="18"/>
                <w:szCs w:val="18"/>
                <w:lang w:val="en-US"/>
              </w:rPr>
            </w:pPr>
          </w:p>
        </w:tc>
        <w:tc>
          <w:tcPr>
            <w:tcW w:w="1417" w:type="dxa"/>
          </w:tcPr>
          <w:p w14:paraId="42586C37" w14:textId="1412442C" w:rsidR="168C64CA" w:rsidRPr="002C1D2D" w:rsidRDefault="22253450" w:rsidP="5D8904BE">
            <w:pPr>
              <w:jc w:val="right"/>
              <w:rPr>
                <w:sz w:val="18"/>
                <w:szCs w:val="18"/>
              </w:rPr>
            </w:pPr>
            <w:r w:rsidRPr="002C1D2D">
              <w:rPr>
                <w:sz w:val="18"/>
                <w:szCs w:val="18"/>
              </w:rPr>
              <w:t>0</w:t>
            </w:r>
          </w:p>
        </w:tc>
        <w:tc>
          <w:tcPr>
            <w:tcW w:w="4084" w:type="dxa"/>
          </w:tcPr>
          <w:p w14:paraId="4018E18B" w14:textId="2FCF35E3" w:rsidR="168C64CA" w:rsidRPr="002C1D2D" w:rsidRDefault="22253450" w:rsidP="37FF86E9">
            <w:pPr>
              <w:rPr>
                <w:sz w:val="18"/>
                <w:szCs w:val="18"/>
                <w:lang w:val="en-US"/>
              </w:rPr>
            </w:pPr>
            <w:r w:rsidRPr="002C1D2D">
              <w:rPr>
                <w:sz w:val="18"/>
                <w:szCs w:val="18"/>
                <w:lang w:val="en-US"/>
              </w:rPr>
              <w:t>It is done on</w:t>
            </w:r>
            <w:r w:rsidR="00B01762">
              <w:rPr>
                <w:sz w:val="18"/>
                <w:szCs w:val="18"/>
                <w:lang w:val="en-US"/>
              </w:rPr>
              <w:t>c</w:t>
            </w:r>
            <w:r w:rsidRPr="002C1D2D">
              <w:rPr>
                <w:sz w:val="18"/>
                <w:szCs w:val="18"/>
                <w:lang w:val="en-US"/>
              </w:rPr>
              <w:t xml:space="preserve">e a year, and it </w:t>
            </w:r>
            <w:r w:rsidR="0081542C" w:rsidRPr="002C1D2D">
              <w:rPr>
                <w:sz w:val="18"/>
                <w:szCs w:val="18"/>
                <w:lang w:val="en-US"/>
              </w:rPr>
              <w:t>aims</w:t>
            </w:r>
            <w:r w:rsidRPr="002C1D2D">
              <w:rPr>
                <w:sz w:val="18"/>
                <w:szCs w:val="18"/>
                <w:lang w:val="en-US"/>
              </w:rPr>
              <w:t xml:space="preserve"> at </w:t>
            </w:r>
            <w:r w:rsidR="005A040B" w:rsidRPr="002C1D2D">
              <w:rPr>
                <w:sz w:val="18"/>
                <w:szCs w:val="18"/>
                <w:lang w:val="en-US"/>
              </w:rPr>
              <w:t>highlighting</w:t>
            </w:r>
            <w:r w:rsidRPr="002C1D2D">
              <w:rPr>
                <w:sz w:val="18"/>
                <w:szCs w:val="18"/>
                <w:lang w:val="en-US"/>
              </w:rPr>
              <w:t xml:space="preserve"> the s</w:t>
            </w:r>
            <w:r w:rsidR="730EB1A8" w:rsidRPr="002C1D2D">
              <w:rPr>
                <w:sz w:val="18"/>
                <w:szCs w:val="18"/>
                <w:lang w:val="en-US"/>
              </w:rPr>
              <w:t xml:space="preserve">trengths and weaknesses </w:t>
            </w:r>
            <w:r w:rsidR="00B01762">
              <w:rPr>
                <w:sz w:val="18"/>
                <w:szCs w:val="18"/>
                <w:lang w:val="en-US"/>
              </w:rPr>
              <w:t>of the project implementation.  It is</w:t>
            </w:r>
            <w:r w:rsidR="2C804AF0" w:rsidRPr="002C1D2D">
              <w:rPr>
                <w:sz w:val="18"/>
                <w:szCs w:val="18"/>
                <w:lang w:val="en-US"/>
              </w:rPr>
              <w:t xml:space="preserve"> used</w:t>
            </w:r>
            <w:r w:rsidR="730EB1A8" w:rsidRPr="002C1D2D">
              <w:rPr>
                <w:sz w:val="18"/>
                <w:szCs w:val="18"/>
                <w:lang w:val="en-US"/>
              </w:rPr>
              <w:t xml:space="preserve"> to inform decisions to improve project performance.</w:t>
            </w:r>
          </w:p>
        </w:tc>
      </w:tr>
      <w:tr w:rsidR="3C8408A9" w:rsidRPr="002C1D2D" w14:paraId="7113442D" w14:textId="77777777" w:rsidTr="006F5E1D">
        <w:trPr>
          <w:trHeight w:val="300"/>
        </w:trPr>
        <w:tc>
          <w:tcPr>
            <w:tcW w:w="3109" w:type="dxa"/>
          </w:tcPr>
          <w:p w14:paraId="5BF6C7E6" w14:textId="779C45A3" w:rsidR="4690B976" w:rsidRPr="002C1D2D" w:rsidRDefault="2CDC2CD1" w:rsidP="3C8408A9">
            <w:pPr>
              <w:jc w:val="both"/>
              <w:rPr>
                <w:sz w:val="18"/>
                <w:szCs w:val="18"/>
                <w:lang w:val="en-US"/>
              </w:rPr>
            </w:pPr>
            <w:r w:rsidRPr="002C1D2D">
              <w:rPr>
                <w:sz w:val="18"/>
                <w:szCs w:val="18"/>
                <w:lang w:val="en-US"/>
              </w:rPr>
              <w:t>Final project Worksh</w:t>
            </w:r>
            <w:r w:rsidR="14557B57" w:rsidRPr="002C1D2D">
              <w:rPr>
                <w:sz w:val="18"/>
                <w:szCs w:val="18"/>
                <w:lang w:val="en-US"/>
              </w:rPr>
              <w:t>o</w:t>
            </w:r>
            <w:r w:rsidRPr="002C1D2D">
              <w:rPr>
                <w:sz w:val="18"/>
                <w:szCs w:val="18"/>
                <w:lang w:val="en-US"/>
              </w:rPr>
              <w:t xml:space="preserve">p </w:t>
            </w:r>
          </w:p>
        </w:tc>
        <w:tc>
          <w:tcPr>
            <w:tcW w:w="1417" w:type="dxa"/>
          </w:tcPr>
          <w:p w14:paraId="2345826E" w14:textId="51F260A6" w:rsidR="02DE8840" w:rsidRPr="002C1D2D" w:rsidRDefault="02DE8840" w:rsidP="3C8408A9">
            <w:pPr>
              <w:jc w:val="right"/>
              <w:rPr>
                <w:sz w:val="18"/>
                <w:szCs w:val="18"/>
                <w:lang w:val="en-US"/>
              </w:rPr>
            </w:pPr>
            <w:r w:rsidRPr="002C1D2D">
              <w:rPr>
                <w:sz w:val="18"/>
                <w:szCs w:val="18"/>
                <w:lang w:val="en-US"/>
              </w:rPr>
              <w:t xml:space="preserve">11 </w:t>
            </w:r>
            <w:r w:rsidR="4690B976" w:rsidRPr="002C1D2D">
              <w:rPr>
                <w:sz w:val="18"/>
                <w:szCs w:val="18"/>
                <w:lang w:val="en-US"/>
              </w:rPr>
              <w:t>000</w:t>
            </w:r>
          </w:p>
        </w:tc>
        <w:tc>
          <w:tcPr>
            <w:tcW w:w="4084" w:type="dxa"/>
          </w:tcPr>
          <w:p w14:paraId="591849AE" w14:textId="31FFE201" w:rsidR="3C8408A9" w:rsidRPr="002C1D2D" w:rsidRDefault="3C8408A9" w:rsidP="3C8408A9">
            <w:pPr>
              <w:jc w:val="both"/>
              <w:rPr>
                <w:sz w:val="18"/>
                <w:szCs w:val="18"/>
                <w:lang w:val="en-US"/>
              </w:rPr>
            </w:pPr>
          </w:p>
        </w:tc>
      </w:tr>
      <w:tr w:rsidR="00846DCA" w:rsidRPr="00F50786" w14:paraId="1B6206AD" w14:textId="77777777" w:rsidTr="006F5E1D">
        <w:trPr>
          <w:trHeight w:val="311"/>
        </w:trPr>
        <w:tc>
          <w:tcPr>
            <w:tcW w:w="3109" w:type="dxa"/>
          </w:tcPr>
          <w:p w14:paraId="3E043E97" w14:textId="31687EF9" w:rsidR="00846DCA" w:rsidRPr="002C1D2D" w:rsidRDefault="00846DCA" w:rsidP="00846DCA">
            <w:pPr>
              <w:jc w:val="both"/>
              <w:rPr>
                <w:sz w:val="18"/>
                <w:szCs w:val="18"/>
                <w:lang w:val="en-US"/>
              </w:rPr>
            </w:pPr>
            <w:r w:rsidRPr="002C1D2D">
              <w:rPr>
                <w:sz w:val="18"/>
                <w:szCs w:val="18"/>
                <w:lang w:val="en-US"/>
              </w:rPr>
              <w:t xml:space="preserve">Independent Mid-term Review (MTR) </w:t>
            </w:r>
          </w:p>
        </w:tc>
        <w:tc>
          <w:tcPr>
            <w:tcW w:w="1417" w:type="dxa"/>
          </w:tcPr>
          <w:p w14:paraId="6814C06E" w14:textId="778D36D3" w:rsidR="00846DCA" w:rsidRPr="002C1D2D" w:rsidRDefault="54EA9EDD" w:rsidP="24AA8F7E">
            <w:pPr>
              <w:jc w:val="right"/>
              <w:rPr>
                <w:sz w:val="18"/>
                <w:szCs w:val="18"/>
                <w:lang w:val="en-US"/>
              </w:rPr>
            </w:pPr>
            <w:r w:rsidRPr="002C1D2D">
              <w:rPr>
                <w:sz w:val="18"/>
                <w:szCs w:val="18"/>
                <w:lang w:val="en-US"/>
              </w:rPr>
              <w:t>31,700</w:t>
            </w:r>
          </w:p>
        </w:tc>
        <w:tc>
          <w:tcPr>
            <w:tcW w:w="4084" w:type="dxa"/>
          </w:tcPr>
          <w:p w14:paraId="3E7BFF36" w14:textId="2757812A" w:rsidR="00846DCA" w:rsidRPr="002C1D2D" w:rsidRDefault="1CBB9CB3" w:rsidP="00846DCA">
            <w:pPr>
              <w:jc w:val="both"/>
              <w:rPr>
                <w:sz w:val="18"/>
                <w:szCs w:val="18"/>
                <w:lang w:val="en-US"/>
              </w:rPr>
            </w:pPr>
            <w:r w:rsidRPr="006F5E1D">
              <w:rPr>
                <w:sz w:val="18"/>
                <w:szCs w:val="18"/>
                <w:lang w:val="en-US"/>
              </w:rPr>
              <w:t>No later than</w:t>
            </w:r>
            <w:r w:rsidR="10495B9E" w:rsidRPr="006F5E1D">
              <w:rPr>
                <w:sz w:val="18"/>
                <w:szCs w:val="18"/>
                <w:lang w:val="en-US"/>
              </w:rPr>
              <w:t xml:space="preserve"> March </w:t>
            </w:r>
            <w:r w:rsidRPr="006F5E1D">
              <w:rPr>
                <w:sz w:val="18"/>
                <w:szCs w:val="18"/>
                <w:lang w:val="en-US"/>
              </w:rPr>
              <w:t>2028, no later than 48 months after the approval of the Managing Director of the GEF</w:t>
            </w:r>
          </w:p>
        </w:tc>
      </w:tr>
      <w:tr w:rsidR="00846DCA" w:rsidRPr="00F50786" w14:paraId="65C74D09" w14:textId="77777777" w:rsidTr="006F5E1D">
        <w:trPr>
          <w:trHeight w:val="300"/>
        </w:trPr>
        <w:tc>
          <w:tcPr>
            <w:tcW w:w="3109" w:type="dxa"/>
          </w:tcPr>
          <w:p w14:paraId="56BE8E84" w14:textId="68596491" w:rsidR="00846DCA" w:rsidRPr="002C1D2D" w:rsidRDefault="00846DCA" w:rsidP="00846DCA">
            <w:pPr>
              <w:jc w:val="both"/>
              <w:rPr>
                <w:sz w:val="18"/>
                <w:szCs w:val="18"/>
                <w:lang w:val="en-US"/>
              </w:rPr>
            </w:pPr>
            <w:r w:rsidRPr="002C1D2D">
              <w:rPr>
                <w:sz w:val="18"/>
                <w:szCs w:val="18"/>
                <w:lang w:val="en-US"/>
              </w:rPr>
              <w:t xml:space="preserve">Independent Terminal Evaluation (TE) </w:t>
            </w:r>
          </w:p>
        </w:tc>
        <w:tc>
          <w:tcPr>
            <w:tcW w:w="1417" w:type="dxa"/>
          </w:tcPr>
          <w:p w14:paraId="2215C4CF" w14:textId="3B5319FC" w:rsidR="00846DCA" w:rsidRPr="002C1D2D" w:rsidRDefault="654F739D" w:rsidP="24AA8F7E">
            <w:pPr>
              <w:jc w:val="right"/>
              <w:rPr>
                <w:sz w:val="18"/>
                <w:szCs w:val="18"/>
                <w:lang w:val="en-US"/>
              </w:rPr>
            </w:pPr>
            <w:r w:rsidRPr="002C1D2D">
              <w:rPr>
                <w:sz w:val="18"/>
                <w:szCs w:val="18"/>
                <w:lang w:val="en-US"/>
              </w:rPr>
              <w:t>43,</w:t>
            </w:r>
            <w:r w:rsidR="00ED6164" w:rsidRPr="002C1D2D">
              <w:rPr>
                <w:sz w:val="18"/>
                <w:szCs w:val="18"/>
                <w:lang w:val="en-US"/>
              </w:rPr>
              <w:t>4</w:t>
            </w:r>
            <w:r w:rsidRPr="002C1D2D">
              <w:rPr>
                <w:sz w:val="18"/>
                <w:szCs w:val="18"/>
                <w:lang w:val="en-US"/>
              </w:rPr>
              <w:t>50</w:t>
            </w:r>
          </w:p>
        </w:tc>
        <w:tc>
          <w:tcPr>
            <w:tcW w:w="4084" w:type="dxa"/>
          </w:tcPr>
          <w:p w14:paraId="64600A44" w14:textId="20A51A94" w:rsidR="00846DCA" w:rsidRPr="006F5E1D" w:rsidRDefault="54452FB6" w:rsidP="24AA8F7E">
            <w:pPr>
              <w:spacing w:after="60"/>
              <w:rPr>
                <w:sz w:val="18"/>
                <w:szCs w:val="18"/>
                <w:lang w:val="en-US"/>
              </w:rPr>
            </w:pPr>
            <w:r w:rsidRPr="006F5E1D">
              <w:rPr>
                <w:sz w:val="18"/>
                <w:szCs w:val="18"/>
                <w:lang w:val="en-US"/>
              </w:rPr>
              <w:t>By</w:t>
            </w:r>
            <w:r w:rsidR="5DAA2196" w:rsidRPr="006F5E1D">
              <w:rPr>
                <w:sz w:val="18"/>
                <w:szCs w:val="18"/>
                <w:lang w:val="en-US"/>
              </w:rPr>
              <w:t xml:space="preserve"> </w:t>
            </w:r>
            <w:r w:rsidR="27154A17" w:rsidRPr="006F5E1D">
              <w:rPr>
                <w:sz w:val="18"/>
                <w:szCs w:val="18"/>
                <w:lang w:val="en-US"/>
              </w:rPr>
              <w:t>September 2031</w:t>
            </w:r>
          </w:p>
          <w:p w14:paraId="3B786318" w14:textId="5B340826" w:rsidR="00846DCA" w:rsidRPr="002C1D2D" w:rsidRDefault="1CBB9CB3" w:rsidP="00846DCA">
            <w:pPr>
              <w:jc w:val="both"/>
              <w:rPr>
                <w:sz w:val="18"/>
                <w:szCs w:val="18"/>
                <w:lang w:val="en-US"/>
              </w:rPr>
            </w:pPr>
            <w:r w:rsidRPr="006F5E1D">
              <w:rPr>
                <w:sz w:val="18"/>
                <w:szCs w:val="18"/>
                <w:lang w:val="en-US"/>
              </w:rPr>
              <w:t xml:space="preserve">The </w:t>
            </w:r>
            <w:r w:rsidR="6F7883B8" w:rsidRPr="006F5E1D">
              <w:rPr>
                <w:sz w:val="18"/>
                <w:szCs w:val="18"/>
                <w:lang w:val="en-US"/>
              </w:rPr>
              <w:t>TE</w:t>
            </w:r>
            <w:r w:rsidRPr="006F5E1D">
              <w:rPr>
                <w:sz w:val="18"/>
                <w:szCs w:val="18"/>
                <w:lang w:val="en-US"/>
              </w:rPr>
              <w:t xml:space="preserve"> must be submitted within 6 months of the completion date – this is a mandatory deadline that, if not met, can only be extended by means of a formal request for an extension.</w:t>
            </w:r>
          </w:p>
        </w:tc>
      </w:tr>
      <w:tr w:rsidR="3C8408A9" w:rsidRPr="002C1D2D" w14:paraId="6FB77622" w14:textId="77777777" w:rsidTr="006F5E1D">
        <w:trPr>
          <w:trHeight w:val="705"/>
        </w:trPr>
        <w:tc>
          <w:tcPr>
            <w:tcW w:w="3109" w:type="dxa"/>
          </w:tcPr>
          <w:p w14:paraId="535C4BEC" w14:textId="4228258D" w:rsidR="3C8408A9" w:rsidRPr="002C1D2D" w:rsidRDefault="3C8408A9" w:rsidP="009804E6">
            <w:pPr>
              <w:jc w:val="both"/>
              <w:rPr>
                <w:b/>
                <w:bCs/>
                <w:color w:val="000000" w:themeColor="text1"/>
                <w:sz w:val="18"/>
                <w:szCs w:val="18"/>
                <w:lang w:val="en-US"/>
              </w:rPr>
            </w:pPr>
            <w:r w:rsidRPr="002C1D2D">
              <w:rPr>
                <w:b/>
                <w:bCs/>
                <w:color w:val="000000" w:themeColor="text1"/>
                <w:sz w:val="18"/>
                <w:szCs w:val="18"/>
                <w:lang w:val="en-US"/>
              </w:rPr>
              <w:t xml:space="preserve">TOTAL indicative COST </w:t>
            </w:r>
          </w:p>
          <w:p w14:paraId="5C8027DB" w14:textId="45FF73BC" w:rsidR="3C8408A9" w:rsidRPr="002C1D2D" w:rsidRDefault="3C8408A9" w:rsidP="009804E6">
            <w:pPr>
              <w:jc w:val="both"/>
              <w:rPr>
                <w:color w:val="000000" w:themeColor="text1"/>
                <w:sz w:val="18"/>
                <w:szCs w:val="18"/>
                <w:lang w:val="en-US"/>
              </w:rPr>
            </w:pPr>
            <w:r w:rsidRPr="002C1D2D">
              <w:rPr>
                <w:color w:val="000000" w:themeColor="text1"/>
                <w:sz w:val="18"/>
                <w:szCs w:val="18"/>
                <w:lang w:val="en-US"/>
              </w:rPr>
              <w:t xml:space="preserve"> </w:t>
            </w:r>
          </w:p>
        </w:tc>
        <w:tc>
          <w:tcPr>
            <w:tcW w:w="1417" w:type="dxa"/>
          </w:tcPr>
          <w:p w14:paraId="5408D053" w14:textId="0433A909" w:rsidR="3C8408A9" w:rsidRPr="002C1D2D" w:rsidRDefault="114DFABC" w:rsidP="009804E6">
            <w:pPr>
              <w:jc w:val="right"/>
              <w:rPr>
                <w:b/>
                <w:bCs/>
                <w:color w:val="000000" w:themeColor="text1"/>
                <w:sz w:val="18"/>
                <w:szCs w:val="18"/>
                <w:lang w:val="en-US"/>
              </w:rPr>
            </w:pPr>
            <w:r w:rsidRPr="002C1D2D">
              <w:rPr>
                <w:b/>
                <w:bCs/>
                <w:color w:val="000000" w:themeColor="text1"/>
                <w:sz w:val="18"/>
                <w:szCs w:val="18"/>
                <w:lang w:val="en-US"/>
              </w:rPr>
              <w:t>225,855</w:t>
            </w:r>
          </w:p>
        </w:tc>
        <w:tc>
          <w:tcPr>
            <w:tcW w:w="4084" w:type="dxa"/>
          </w:tcPr>
          <w:p w14:paraId="21E5F02C" w14:textId="17B7A2A3" w:rsidR="3C8408A9" w:rsidRPr="002C1D2D" w:rsidRDefault="3C8408A9" w:rsidP="009804E6">
            <w:pPr>
              <w:jc w:val="both"/>
              <w:rPr>
                <w:sz w:val="18"/>
                <w:szCs w:val="18"/>
                <w:lang w:val="en-US"/>
              </w:rPr>
            </w:pPr>
          </w:p>
        </w:tc>
      </w:tr>
    </w:tbl>
    <w:p w14:paraId="68A960F1" w14:textId="11C35E13" w:rsidR="3C8408A9" w:rsidRDefault="3C8408A9" w:rsidP="3C8408A9">
      <w:pPr>
        <w:spacing w:after="0" w:line="240" w:lineRule="auto"/>
        <w:jc w:val="both"/>
        <w:rPr>
          <w:sz w:val="20"/>
          <w:szCs w:val="20"/>
          <w:lang w:val="en-US"/>
        </w:rPr>
      </w:pPr>
    </w:p>
    <w:p w14:paraId="24163BB0" w14:textId="5AD44022" w:rsidR="37FF86E9" w:rsidRDefault="37FF86E9" w:rsidP="37FF86E9">
      <w:pPr>
        <w:spacing w:after="0" w:line="240" w:lineRule="auto"/>
        <w:jc w:val="both"/>
        <w:rPr>
          <w:sz w:val="20"/>
          <w:szCs w:val="20"/>
          <w:lang w:val="en-US"/>
        </w:rPr>
      </w:pPr>
    </w:p>
    <w:p w14:paraId="74B46222" w14:textId="0C73BC48" w:rsidR="37FF86E9" w:rsidRDefault="37FF86E9" w:rsidP="37FF86E9">
      <w:pPr>
        <w:spacing w:after="0" w:line="240" w:lineRule="auto"/>
        <w:jc w:val="both"/>
        <w:rPr>
          <w:sz w:val="20"/>
          <w:szCs w:val="20"/>
          <w:lang w:val="en-US"/>
        </w:rPr>
        <w:sectPr w:rsidR="37FF86E9">
          <w:headerReference w:type="first" r:id="rId46"/>
          <w:pgSz w:w="11906" w:h="16838"/>
          <w:pgMar w:top="1418" w:right="1418" w:bottom="1418" w:left="1418" w:header="709" w:footer="709" w:gutter="0"/>
          <w:cols w:space="720"/>
        </w:sectPr>
      </w:pPr>
    </w:p>
    <w:p w14:paraId="000009C4" w14:textId="0EC44754" w:rsidR="004F7DB3" w:rsidRPr="00263D2C" w:rsidRDefault="004F7DB3" w:rsidP="5D8904BE">
      <w:pPr>
        <w:widowControl w:val="0"/>
        <w:pBdr>
          <w:top w:val="nil"/>
          <w:left w:val="nil"/>
          <w:bottom w:val="nil"/>
          <w:right w:val="nil"/>
          <w:between w:val="nil"/>
        </w:pBdr>
        <w:spacing w:after="0" w:line="276" w:lineRule="auto"/>
        <w:rPr>
          <w:b/>
          <w:bCs/>
          <w:u w:val="single"/>
          <w:lang w:val="en-US"/>
        </w:rPr>
      </w:pPr>
    </w:p>
    <w:tbl>
      <w:tblPr>
        <w:tblStyle w:val="10"/>
        <w:tblW w:w="14029" w:type="dxa"/>
        <w:jc w:val="center"/>
        <w:tblInd w:w="0" w:type="dxa"/>
        <w:tblLayout w:type="fixed"/>
        <w:tblLook w:val="0400" w:firstRow="0" w:lastRow="0" w:firstColumn="0" w:lastColumn="0" w:noHBand="0" w:noVBand="1"/>
      </w:tblPr>
      <w:tblGrid>
        <w:gridCol w:w="1129"/>
        <w:gridCol w:w="1276"/>
        <w:gridCol w:w="1418"/>
        <w:gridCol w:w="1134"/>
        <w:gridCol w:w="2409"/>
        <w:gridCol w:w="2694"/>
        <w:gridCol w:w="992"/>
        <w:gridCol w:w="1276"/>
        <w:gridCol w:w="1666"/>
        <w:gridCol w:w="35"/>
      </w:tblGrid>
      <w:tr w:rsidR="004F7DB3" w14:paraId="66CA37C7" w14:textId="77777777" w:rsidTr="2DC80E69">
        <w:trPr>
          <w:gridAfter w:val="1"/>
          <w:wAfter w:w="35" w:type="dxa"/>
          <w:trHeight w:val="20"/>
          <w:tblHeader/>
          <w:jc w:val="center"/>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00009C5" w14:textId="19187243" w:rsidR="004F7DB3" w:rsidRDefault="6F3012C1">
            <w:pPr>
              <w:rPr>
                <w:sz w:val="18"/>
                <w:szCs w:val="18"/>
              </w:rPr>
            </w:pPr>
            <w:r w:rsidRPr="5D8904BE">
              <w:rPr>
                <w:b/>
                <w:bCs/>
                <w:sz w:val="18"/>
                <w:szCs w:val="18"/>
              </w:rPr>
              <w:t xml:space="preserve">Monitoring </w:t>
            </w:r>
            <w:proofErr w:type="spellStart"/>
            <w:r w:rsidRPr="5D8904BE">
              <w:rPr>
                <w:b/>
                <w:bCs/>
                <w:sz w:val="18"/>
                <w:szCs w:val="18"/>
              </w:rPr>
              <w:t>results</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00009C6" w14:textId="77777777" w:rsidR="004F7DB3" w:rsidRDefault="00C00123">
            <w:pPr>
              <w:rPr>
                <w:sz w:val="18"/>
                <w:szCs w:val="18"/>
              </w:rPr>
            </w:pPr>
            <w:proofErr w:type="spellStart"/>
            <w:r>
              <w:rPr>
                <w:b/>
                <w:sz w:val="18"/>
                <w:szCs w:val="18"/>
              </w:rPr>
              <w:t>Indicators</w:t>
            </w:r>
            <w:proofErr w:type="spellEnd"/>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00009C7" w14:textId="77777777" w:rsidR="004F7DB3" w:rsidRDefault="004F7DB3">
            <w:pPr>
              <w:spacing w:after="60" w:line="240" w:lineRule="auto"/>
              <w:jc w:val="center"/>
              <w:rPr>
                <w:b/>
                <w:sz w:val="18"/>
                <w:szCs w:val="18"/>
              </w:rPr>
            </w:pPr>
          </w:p>
          <w:p w14:paraId="000009C8" w14:textId="77777777" w:rsidR="004F7DB3" w:rsidRDefault="552CE4D7">
            <w:pPr>
              <w:rPr>
                <w:sz w:val="18"/>
                <w:szCs w:val="18"/>
              </w:rPr>
            </w:pPr>
            <w:r w:rsidRPr="5D8904BE">
              <w:rPr>
                <w:b/>
                <w:bCs/>
                <w:sz w:val="18"/>
                <w:szCs w:val="18"/>
              </w:rPr>
              <w:t>Medium-</w:t>
            </w:r>
            <w:proofErr w:type="spellStart"/>
            <w:r w:rsidRPr="5D8904BE">
              <w:rPr>
                <w:b/>
                <w:bCs/>
                <w:sz w:val="18"/>
                <w:szCs w:val="18"/>
              </w:rPr>
              <w:t>term</w:t>
            </w:r>
            <w:proofErr w:type="spellEnd"/>
            <w:r w:rsidRPr="5D8904BE">
              <w:rPr>
                <w:b/>
                <w:bCs/>
                <w:sz w:val="18"/>
                <w:szCs w:val="18"/>
              </w:rPr>
              <w:t xml:space="preserve"> </w:t>
            </w:r>
            <w:proofErr w:type="spellStart"/>
            <w:r w:rsidRPr="5D8904BE">
              <w:rPr>
                <w:b/>
                <w:bCs/>
                <w:sz w:val="18"/>
                <w:szCs w:val="18"/>
              </w:rPr>
              <w:t>target</w:t>
            </w:r>
            <w:proofErr w:type="spellEnd"/>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00009C9" w14:textId="77777777" w:rsidR="004F7DB3" w:rsidRDefault="552CE4D7">
            <w:pPr>
              <w:rPr>
                <w:sz w:val="18"/>
                <w:szCs w:val="18"/>
              </w:rPr>
            </w:pPr>
            <w:r w:rsidRPr="5D8904BE">
              <w:rPr>
                <w:b/>
                <w:bCs/>
                <w:sz w:val="18"/>
                <w:szCs w:val="18"/>
              </w:rPr>
              <w:t xml:space="preserve">End of </w:t>
            </w:r>
            <w:proofErr w:type="spellStart"/>
            <w:r w:rsidRPr="5D8904BE">
              <w:rPr>
                <w:b/>
                <w:bCs/>
                <w:sz w:val="18"/>
                <w:szCs w:val="18"/>
              </w:rPr>
              <w:t>project</w:t>
            </w:r>
            <w:proofErr w:type="spellEnd"/>
            <w:r w:rsidRPr="5D8904BE">
              <w:rPr>
                <w:b/>
                <w:bCs/>
                <w:sz w:val="18"/>
                <w:szCs w:val="18"/>
              </w:rPr>
              <w:t xml:space="preserve"> </w:t>
            </w:r>
            <w:proofErr w:type="spellStart"/>
            <w:r w:rsidRPr="5D8904BE">
              <w:rPr>
                <w:b/>
                <w:bCs/>
                <w:sz w:val="18"/>
                <w:szCs w:val="18"/>
              </w:rPr>
              <w:t>target</w:t>
            </w:r>
            <w:proofErr w:type="spellEnd"/>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00009CA" w14:textId="77777777" w:rsidR="004F7DB3" w:rsidRDefault="004F7DB3">
            <w:pPr>
              <w:spacing w:after="60" w:line="240" w:lineRule="auto"/>
              <w:jc w:val="center"/>
              <w:rPr>
                <w:b/>
                <w:sz w:val="18"/>
                <w:szCs w:val="18"/>
              </w:rPr>
            </w:pPr>
          </w:p>
          <w:p w14:paraId="000009CB" w14:textId="77777777" w:rsidR="004F7DB3" w:rsidRDefault="552CE4D7" w:rsidP="5D8904BE">
            <w:pPr>
              <w:spacing w:after="60" w:line="240" w:lineRule="auto"/>
              <w:jc w:val="center"/>
              <w:rPr>
                <w:b/>
                <w:bCs/>
                <w:sz w:val="18"/>
                <w:szCs w:val="18"/>
              </w:rPr>
            </w:pPr>
            <w:r w:rsidRPr="5D8904BE">
              <w:rPr>
                <w:b/>
                <w:bCs/>
                <w:sz w:val="18"/>
                <w:szCs w:val="18"/>
              </w:rPr>
              <w:t xml:space="preserve">Description of </w:t>
            </w:r>
            <w:proofErr w:type="spellStart"/>
            <w:r w:rsidRPr="5D8904BE">
              <w:rPr>
                <w:b/>
                <w:bCs/>
                <w:sz w:val="18"/>
                <w:szCs w:val="18"/>
              </w:rPr>
              <w:t>Indicators</w:t>
            </w:r>
            <w:proofErr w:type="spellEnd"/>
            <w:r w:rsidRPr="5D8904BE">
              <w:rPr>
                <w:b/>
                <w:bCs/>
                <w:sz w:val="18"/>
                <w:szCs w:val="18"/>
              </w:rPr>
              <w:t xml:space="preserve"> and </w:t>
            </w:r>
            <w:proofErr w:type="spellStart"/>
            <w:r w:rsidRPr="5D8904BE">
              <w:rPr>
                <w:b/>
                <w:bCs/>
                <w:sz w:val="18"/>
                <w:szCs w:val="18"/>
              </w:rPr>
              <w:t>Targets</w:t>
            </w:r>
            <w:proofErr w:type="spellEnd"/>
          </w:p>
          <w:p w14:paraId="000009CC" w14:textId="77777777" w:rsidR="004F7DB3" w:rsidRDefault="004F7DB3">
            <w:pPr>
              <w:rPr>
                <w:sz w:val="18"/>
                <w:szCs w:val="18"/>
              </w:rPr>
            </w:pP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00009CD" w14:textId="77777777" w:rsidR="004F7DB3" w:rsidRDefault="29E4EC22">
            <w:pPr>
              <w:spacing w:after="60" w:line="240" w:lineRule="auto"/>
              <w:jc w:val="center"/>
              <w:rPr>
                <w:b/>
                <w:sz w:val="18"/>
                <w:szCs w:val="18"/>
              </w:rPr>
            </w:pPr>
            <w:r w:rsidRPr="29C31CBA">
              <w:rPr>
                <w:b/>
                <w:bCs/>
                <w:sz w:val="18"/>
                <w:szCs w:val="18"/>
              </w:rPr>
              <w:t>Data Source/Collection Methods</w:t>
            </w:r>
            <w:r w:rsidR="00C00123" w:rsidRPr="29C31CBA">
              <w:rPr>
                <w:b/>
                <w:bCs/>
                <w:sz w:val="18"/>
                <w:szCs w:val="18"/>
                <w:vertAlign w:val="superscript"/>
              </w:rPr>
              <w:footnoteReference w:id="32"/>
            </w:r>
          </w:p>
          <w:p w14:paraId="000009CE" w14:textId="77777777" w:rsidR="004F7DB3" w:rsidRDefault="004F7DB3">
            <w:pPr>
              <w:rPr>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00009CF" w14:textId="77777777" w:rsidR="004F7DB3" w:rsidRDefault="00C00123">
            <w:pPr>
              <w:spacing w:after="60" w:line="240" w:lineRule="auto"/>
              <w:jc w:val="center"/>
              <w:rPr>
                <w:b/>
                <w:sz w:val="18"/>
                <w:szCs w:val="18"/>
              </w:rPr>
            </w:pPr>
            <w:r>
              <w:rPr>
                <w:b/>
                <w:sz w:val="18"/>
                <w:szCs w:val="18"/>
              </w:rPr>
              <w:t>Frequency</w:t>
            </w:r>
          </w:p>
          <w:p w14:paraId="000009D0" w14:textId="77777777" w:rsidR="004F7DB3" w:rsidRDefault="004F7DB3">
            <w:pPr>
              <w:rPr>
                <w:sz w:val="18"/>
                <w:szCs w:val="1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00009D1" w14:textId="77777777" w:rsidR="004F7DB3" w:rsidRDefault="00C00123">
            <w:pPr>
              <w:rPr>
                <w:sz w:val="18"/>
                <w:szCs w:val="18"/>
              </w:rPr>
            </w:pPr>
            <w:r>
              <w:rPr>
                <w:b/>
                <w:sz w:val="18"/>
                <w:szCs w:val="18"/>
              </w:rPr>
              <w:t>The Data Collection Manager</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00009D2" w14:textId="77777777" w:rsidR="004F7DB3" w:rsidRDefault="552CE4D7">
            <w:pPr>
              <w:rPr>
                <w:sz w:val="18"/>
                <w:szCs w:val="18"/>
              </w:rPr>
            </w:pPr>
            <w:proofErr w:type="spellStart"/>
            <w:r w:rsidRPr="5D8904BE">
              <w:rPr>
                <w:b/>
                <w:bCs/>
                <w:sz w:val="18"/>
                <w:szCs w:val="18"/>
              </w:rPr>
              <w:t>Means</w:t>
            </w:r>
            <w:proofErr w:type="spellEnd"/>
            <w:r w:rsidRPr="5D8904BE">
              <w:rPr>
                <w:b/>
                <w:bCs/>
                <w:sz w:val="18"/>
                <w:szCs w:val="18"/>
              </w:rPr>
              <w:t xml:space="preserve"> of </w:t>
            </w:r>
            <w:proofErr w:type="spellStart"/>
            <w:r w:rsidRPr="5D8904BE">
              <w:rPr>
                <w:b/>
                <w:bCs/>
                <w:sz w:val="18"/>
                <w:szCs w:val="18"/>
              </w:rPr>
              <w:t>verification</w:t>
            </w:r>
            <w:proofErr w:type="spellEnd"/>
          </w:p>
        </w:tc>
      </w:tr>
      <w:tr w:rsidR="004F7DB3" w14:paraId="76CACACB" w14:textId="77777777" w:rsidTr="2DC80E69">
        <w:trPr>
          <w:gridAfter w:val="1"/>
          <w:wAfter w:w="35" w:type="dxa"/>
          <w:trHeight w:val="20"/>
          <w:jc w:val="center"/>
        </w:trPr>
        <w:tc>
          <w:tcPr>
            <w:tcW w:w="1129" w:type="dxa"/>
            <w:vMerge w:val="restart"/>
            <w:tcBorders>
              <w:top w:val="single" w:sz="4" w:space="0" w:color="000000" w:themeColor="text1"/>
              <w:left w:val="single" w:sz="4" w:space="0" w:color="000000" w:themeColor="text1"/>
              <w:right w:val="single" w:sz="4" w:space="0" w:color="000000" w:themeColor="text1"/>
            </w:tcBorders>
            <w:tcMar>
              <w:top w:w="0" w:type="dxa"/>
              <w:left w:w="115" w:type="dxa"/>
              <w:bottom w:w="0" w:type="dxa"/>
              <w:right w:w="115" w:type="dxa"/>
            </w:tcMar>
          </w:tcPr>
          <w:p w14:paraId="000009D3" w14:textId="0E5D573F" w:rsidR="004F7DB3" w:rsidRPr="00263D2C" w:rsidRDefault="552CE4D7">
            <w:pPr>
              <w:rPr>
                <w:sz w:val="18"/>
                <w:szCs w:val="18"/>
                <w:lang w:val="en-US"/>
              </w:rPr>
            </w:pPr>
            <w:r w:rsidRPr="0764FF73">
              <w:rPr>
                <w:b/>
                <w:bCs/>
                <w:sz w:val="18"/>
                <w:szCs w:val="18"/>
                <w:lang w:val="en-US"/>
              </w:rPr>
              <w:t xml:space="preserve">Project objective </w:t>
            </w:r>
            <w:r w:rsidR="097A5376" w:rsidRPr="0764FF73">
              <w:rPr>
                <w:b/>
                <w:bCs/>
                <w:sz w:val="18"/>
                <w:szCs w:val="18"/>
                <w:lang w:val="en-US"/>
              </w:rPr>
              <w:t xml:space="preserve">Contribute to the transformation of Bamako's urban development model into one that is sustainable, resilient, low-carbon, and inclusive    </w:t>
            </w:r>
            <w:r w:rsidRPr="0764FF73">
              <w:rPr>
                <w:i/>
                <w:iCs/>
                <w:sz w:val="18"/>
                <w:szCs w:val="18"/>
                <w:lang w:val="en-US"/>
              </w:rPr>
              <w:t xml:space="preserv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9D4" w14:textId="77777777" w:rsidR="004F7DB3" w:rsidRPr="00263D2C" w:rsidRDefault="00C00123">
            <w:pPr>
              <w:rPr>
                <w:sz w:val="18"/>
                <w:szCs w:val="18"/>
                <w:lang w:val="en-US"/>
              </w:rPr>
            </w:pPr>
            <w:r w:rsidRPr="00263D2C">
              <w:rPr>
                <w:b/>
                <w:sz w:val="18"/>
                <w:szCs w:val="18"/>
                <w:u w:val="single"/>
                <w:lang w:val="en-US"/>
              </w:rPr>
              <w:t xml:space="preserve">Mandatory indicator 1: </w:t>
            </w:r>
            <w:r w:rsidRPr="00263D2C">
              <w:rPr>
                <w:sz w:val="18"/>
                <w:szCs w:val="18"/>
                <w:lang w:val="en-US"/>
              </w:rPr>
              <w:t>Number of direct beneficiaries of the project disaggregated by sex (individuals)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9D5" w14:textId="77777777" w:rsidR="004F7DB3" w:rsidRDefault="00C00123">
            <w:pPr>
              <w:rPr>
                <w:sz w:val="18"/>
                <w:szCs w:val="18"/>
              </w:rPr>
            </w:pPr>
            <w:r>
              <w:rPr>
                <w:sz w:val="18"/>
                <w:szCs w:val="18"/>
              </w:rPr>
              <w:t>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9D6" w14:textId="09501AC6" w:rsidR="004F7DB3" w:rsidRPr="003C5C1B" w:rsidRDefault="3808EC20" w:rsidP="3C8408A9">
            <w:pPr>
              <w:rPr>
                <w:color w:val="000000" w:themeColor="text1"/>
                <w:sz w:val="18"/>
                <w:szCs w:val="18"/>
                <w:lang w:val="en-US"/>
              </w:rPr>
            </w:pPr>
            <w:r w:rsidRPr="2DC80E69">
              <w:rPr>
                <w:color w:val="000000" w:themeColor="text1"/>
                <w:sz w:val="18"/>
                <w:szCs w:val="18"/>
                <w:lang w:val="en-US"/>
              </w:rPr>
              <w:t>22,02</w:t>
            </w:r>
            <w:r w:rsidR="4EEDDB0A" w:rsidRPr="2DC80E69">
              <w:rPr>
                <w:color w:val="000000" w:themeColor="text1"/>
                <w:sz w:val="18"/>
                <w:szCs w:val="18"/>
                <w:lang w:val="en-US"/>
              </w:rPr>
              <w:t>9</w:t>
            </w:r>
            <w:r w:rsidR="496F1838" w:rsidRPr="2DC80E69">
              <w:rPr>
                <w:color w:val="000000" w:themeColor="text1"/>
                <w:sz w:val="18"/>
                <w:szCs w:val="18"/>
                <w:lang w:val="en-US"/>
              </w:rPr>
              <w:t xml:space="preserve"> direct beneficiaries, of whom </w:t>
            </w:r>
            <w:r w:rsidR="3BCCCB7F" w:rsidRPr="2DC80E69">
              <w:rPr>
                <w:color w:val="000000" w:themeColor="text1"/>
                <w:sz w:val="18"/>
                <w:szCs w:val="18"/>
                <w:highlight w:val="yellow"/>
                <w:lang w:val="en-US"/>
              </w:rPr>
              <w:t>7,</w:t>
            </w:r>
            <w:r w:rsidR="6A96A0D2" w:rsidRPr="2DC80E69">
              <w:rPr>
                <w:color w:val="000000" w:themeColor="text1"/>
                <w:sz w:val="18"/>
                <w:szCs w:val="18"/>
                <w:highlight w:val="yellow"/>
                <w:lang w:val="en-US"/>
              </w:rPr>
              <w:t>828</w:t>
            </w:r>
            <w:r w:rsidR="3BCCCB7F" w:rsidRPr="2DC80E69">
              <w:rPr>
                <w:color w:val="000000" w:themeColor="text1"/>
                <w:sz w:val="18"/>
                <w:szCs w:val="18"/>
                <w:highlight w:val="yellow"/>
                <w:lang w:val="en-US"/>
              </w:rPr>
              <w:t xml:space="preserve"> </w:t>
            </w:r>
            <w:r w:rsidR="496F1838" w:rsidRPr="2DC80E69">
              <w:rPr>
                <w:color w:val="000000" w:themeColor="text1"/>
                <w:sz w:val="18"/>
                <w:szCs w:val="18"/>
                <w:highlight w:val="yellow"/>
                <w:lang w:val="en-US"/>
              </w:rPr>
              <w:t>women</w:t>
            </w:r>
            <w:r w:rsidR="496F1838" w:rsidRPr="2DC80E69">
              <w:rPr>
                <w:color w:val="000000" w:themeColor="text1"/>
                <w:sz w:val="18"/>
                <w:szCs w:val="18"/>
                <w:lang w:val="en-US"/>
              </w:rPr>
              <w:t xml:space="preserve">  </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9D7" w14:textId="77777777" w:rsidR="004F7DB3" w:rsidRPr="00263D2C" w:rsidRDefault="552CE4D7">
            <w:pPr>
              <w:rPr>
                <w:sz w:val="18"/>
                <w:szCs w:val="18"/>
                <w:lang w:val="en-US"/>
              </w:rPr>
            </w:pPr>
            <w:r w:rsidRPr="5D8904BE">
              <w:rPr>
                <w:sz w:val="18"/>
                <w:szCs w:val="18"/>
                <w:lang w:val="en-US"/>
              </w:rPr>
              <w:t xml:space="preserve">The indicator measures the total number of people who directly benefit from the project's activities, services or investments, with systematic disaggregation by gender (men, women). The aim is to monitor the social impact of the project, </w:t>
            </w:r>
            <w:proofErr w:type="gramStart"/>
            <w:r w:rsidRPr="5D8904BE">
              <w:rPr>
                <w:sz w:val="18"/>
                <w:szCs w:val="18"/>
                <w:lang w:val="en-US"/>
              </w:rPr>
              <w:t>in particular in</w:t>
            </w:r>
            <w:proofErr w:type="gramEnd"/>
            <w:r w:rsidRPr="5D8904BE">
              <w:rPr>
                <w:sz w:val="18"/>
                <w:szCs w:val="18"/>
                <w:lang w:val="en-US"/>
              </w:rPr>
              <w:t xml:space="preserve"> terms of inclusion, equity and equitable access to benefits, while meeting the GEF/UNDP accountability standards. Direct beneficiaries are those who are actively involved in or have access to tangible project results, such as:</w:t>
            </w:r>
          </w:p>
          <w:p w14:paraId="000009D8" w14:textId="77777777" w:rsidR="004F7DB3" w:rsidRPr="00263D2C" w:rsidRDefault="00C00123" w:rsidP="001360BB">
            <w:pPr>
              <w:numPr>
                <w:ilvl w:val="0"/>
                <w:numId w:val="180"/>
              </w:numPr>
              <w:ind w:left="300"/>
              <w:rPr>
                <w:sz w:val="18"/>
                <w:szCs w:val="18"/>
                <w:lang w:val="en-US"/>
              </w:rPr>
            </w:pPr>
            <w:r w:rsidRPr="00263D2C">
              <w:rPr>
                <w:sz w:val="18"/>
                <w:szCs w:val="18"/>
                <w:lang w:val="en-US"/>
              </w:rPr>
              <w:t>Access to an improved sustainable transportation service (BRT, electric motorcycle taxi, etc.)</w:t>
            </w:r>
          </w:p>
          <w:p w14:paraId="000009D9" w14:textId="77777777" w:rsidR="004F7DB3" w:rsidRPr="00263D2C" w:rsidRDefault="552CE4D7" w:rsidP="001360BB">
            <w:pPr>
              <w:numPr>
                <w:ilvl w:val="0"/>
                <w:numId w:val="180"/>
              </w:numPr>
              <w:ind w:left="300"/>
              <w:rPr>
                <w:sz w:val="18"/>
                <w:szCs w:val="18"/>
                <w:lang w:val="en-US"/>
              </w:rPr>
            </w:pPr>
            <w:r w:rsidRPr="5D8904BE">
              <w:rPr>
                <w:sz w:val="18"/>
                <w:szCs w:val="18"/>
                <w:lang w:val="en-US"/>
              </w:rPr>
              <w:lastRenderedPageBreak/>
              <w:t>Participation in training, consultations or community initiatives</w:t>
            </w:r>
          </w:p>
          <w:p w14:paraId="000009DA" w14:textId="77777777" w:rsidR="004F7DB3" w:rsidRPr="00263D2C" w:rsidRDefault="00C00123" w:rsidP="001360BB">
            <w:pPr>
              <w:numPr>
                <w:ilvl w:val="0"/>
                <w:numId w:val="180"/>
              </w:numPr>
              <w:ind w:left="300"/>
              <w:rPr>
                <w:sz w:val="18"/>
                <w:szCs w:val="18"/>
                <w:lang w:val="en-US"/>
              </w:rPr>
            </w:pPr>
            <w:r w:rsidRPr="00263D2C">
              <w:rPr>
                <w:sz w:val="18"/>
                <w:szCs w:val="18"/>
                <w:lang w:val="en-US"/>
              </w:rPr>
              <w:t>Access to safe or restored green spaces (green belts, urban parks)</w:t>
            </w:r>
          </w:p>
          <w:p w14:paraId="000009DB" w14:textId="77777777" w:rsidR="004F7DB3" w:rsidRPr="00263D2C" w:rsidRDefault="00C00123" w:rsidP="001360BB">
            <w:pPr>
              <w:numPr>
                <w:ilvl w:val="0"/>
                <w:numId w:val="180"/>
              </w:numPr>
              <w:ind w:left="300"/>
              <w:rPr>
                <w:sz w:val="18"/>
                <w:szCs w:val="18"/>
                <w:lang w:val="en-US"/>
              </w:rPr>
            </w:pPr>
            <w:r w:rsidRPr="00263D2C">
              <w:rPr>
                <w:sz w:val="18"/>
                <w:szCs w:val="18"/>
                <w:lang w:val="en-US"/>
              </w:rPr>
              <w:t>Involvement in income-generating activities or partnerships (PPP, local employment)</w:t>
            </w:r>
          </w:p>
          <w:p w14:paraId="000009DC" w14:textId="77777777" w:rsidR="004F7DB3" w:rsidRPr="00263D2C" w:rsidRDefault="00C00123" w:rsidP="001360BB">
            <w:pPr>
              <w:numPr>
                <w:ilvl w:val="0"/>
                <w:numId w:val="180"/>
              </w:numPr>
              <w:ind w:left="300"/>
              <w:rPr>
                <w:sz w:val="18"/>
                <w:szCs w:val="18"/>
                <w:lang w:val="en-US"/>
              </w:rPr>
            </w:pPr>
            <w:r w:rsidRPr="00263D2C">
              <w:rPr>
                <w:sz w:val="18"/>
                <w:szCs w:val="18"/>
                <w:lang w:val="en-US"/>
              </w:rPr>
              <w:t>The benefit of better urban planning or participatory governance</w:t>
            </w:r>
          </w:p>
          <w:p w14:paraId="000009DD" w14:textId="77777777" w:rsidR="004F7DB3" w:rsidRPr="00263D2C" w:rsidRDefault="004F7DB3">
            <w:pPr>
              <w:rPr>
                <w:sz w:val="18"/>
                <w:szCs w:val="18"/>
                <w:lang w:val="en-US"/>
              </w:rPr>
            </w:pP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9DE" w14:textId="77777777" w:rsidR="004F7DB3" w:rsidRPr="00263D2C" w:rsidRDefault="552CE4D7">
            <w:pPr>
              <w:rPr>
                <w:sz w:val="18"/>
                <w:szCs w:val="18"/>
                <w:lang w:val="en-US"/>
              </w:rPr>
            </w:pPr>
            <w:r w:rsidRPr="5D8904BE">
              <w:rPr>
                <w:sz w:val="18"/>
                <w:szCs w:val="18"/>
                <w:lang w:val="en-US"/>
              </w:rPr>
              <w:lastRenderedPageBreak/>
              <w:t>Addition of unique individuals (not double-counted) who have benefited from one or more project interventions, broken down by sex.</w:t>
            </w:r>
          </w:p>
          <w:p w14:paraId="000009DF" w14:textId="77777777" w:rsidR="004F7DB3" w:rsidRDefault="552CE4D7" w:rsidP="001360BB">
            <w:pPr>
              <w:numPr>
                <w:ilvl w:val="0"/>
                <w:numId w:val="171"/>
              </w:numPr>
              <w:rPr>
                <w:sz w:val="18"/>
                <w:szCs w:val="18"/>
              </w:rPr>
            </w:pPr>
            <w:proofErr w:type="spellStart"/>
            <w:r w:rsidRPr="5D8904BE">
              <w:rPr>
                <w:sz w:val="18"/>
                <w:szCs w:val="18"/>
              </w:rPr>
              <w:t>Timesheets</w:t>
            </w:r>
            <w:proofErr w:type="spellEnd"/>
            <w:r w:rsidRPr="5D8904BE">
              <w:rPr>
                <w:sz w:val="18"/>
                <w:szCs w:val="18"/>
              </w:rPr>
              <w:t xml:space="preserve"> (</w:t>
            </w:r>
            <w:proofErr w:type="spellStart"/>
            <w:r w:rsidRPr="5D8904BE">
              <w:rPr>
                <w:sz w:val="18"/>
                <w:szCs w:val="18"/>
              </w:rPr>
              <w:t>disaggregated</w:t>
            </w:r>
            <w:proofErr w:type="spellEnd"/>
            <w:r w:rsidRPr="5D8904BE">
              <w:rPr>
                <w:sz w:val="18"/>
                <w:szCs w:val="18"/>
              </w:rPr>
              <w:t xml:space="preserve"> </w:t>
            </w:r>
            <w:proofErr w:type="spellStart"/>
            <w:r w:rsidRPr="5D8904BE">
              <w:rPr>
                <w:sz w:val="18"/>
                <w:szCs w:val="18"/>
              </w:rPr>
              <w:t>forms</w:t>
            </w:r>
            <w:proofErr w:type="spellEnd"/>
            <w:r w:rsidRPr="5D8904BE">
              <w:rPr>
                <w:sz w:val="18"/>
                <w:szCs w:val="18"/>
              </w:rPr>
              <w:t>)</w:t>
            </w:r>
          </w:p>
          <w:p w14:paraId="000009E0" w14:textId="77777777" w:rsidR="004F7DB3" w:rsidRDefault="00C00123" w:rsidP="001360BB">
            <w:pPr>
              <w:numPr>
                <w:ilvl w:val="0"/>
                <w:numId w:val="171"/>
              </w:numPr>
              <w:rPr>
                <w:sz w:val="18"/>
                <w:szCs w:val="18"/>
              </w:rPr>
            </w:pPr>
            <w:r>
              <w:rPr>
                <w:sz w:val="18"/>
                <w:szCs w:val="18"/>
              </w:rPr>
              <w:t>Community Activity Records</w:t>
            </w:r>
          </w:p>
          <w:p w14:paraId="000009E1" w14:textId="77777777" w:rsidR="004F7DB3" w:rsidRDefault="552CE4D7" w:rsidP="001360BB">
            <w:pPr>
              <w:numPr>
                <w:ilvl w:val="0"/>
                <w:numId w:val="171"/>
              </w:numPr>
              <w:rPr>
                <w:sz w:val="18"/>
                <w:szCs w:val="18"/>
              </w:rPr>
            </w:pPr>
            <w:proofErr w:type="spellStart"/>
            <w:r w:rsidRPr="5D8904BE">
              <w:rPr>
                <w:sz w:val="18"/>
                <w:szCs w:val="18"/>
              </w:rPr>
              <w:t>Beneficiary</w:t>
            </w:r>
            <w:proofErr w:type="spellEnd"/>
            <w:r w:rsidRPr="5D8904BE">
              <w:rPr>
                <w:sz w:val="18"/>
                <w:szCs w:val="18"/>
              </w:rPr>
              <w:t xml:space="preserve"> </w:t>
            </w:r>
            <w:proofErr w:type="spellStart"/>
            <w:r w:rsidRPr="5D8904BE">
              <w:rPr>
                <w:sz w:val="18"/>
                <w:szCs w:val="18"/>
              </w:rPr>
              <w:t>databases</w:t>
            </w:r>
            <w:proofErr w:type="spellEnd"/>
            <w:r w:rsidRPr="5D8904BE">
              <w:rPr>
                <w:sz w:val="18"/>
                <w:szCs w:val="18"/>
              </w:rPr>
              <w:t xml:space="preserve"> or registration </w:t>
            </w:r>
            <w:proofErr w:type="spellStart"/>
            <w:r w:rsidRPr="5D8904BE">
              <w:rPr>
                <w:sz w:val="18"/>
                <w:szCs w:val="18"/>
              </w:rPr>
              <w:t>forms</w:t>
            </w:r>
            <w:proofErr w:type="spellEnd"/>
          </w:p>
          <w:p w14:paraId="000009E2" w14:textId="77777777" w:rsidR="004F7DB3" w:rsidRDefault="552CE4D7" w:rsidP="001360BB">
            <w:pPr>
              <w:numPr>
                <w:ilvl w:val="0"/>
                <w:numId w:val="171"/>
              </w:numPr>
              <w:rPr>
                <w:sz w:val="18"/>
                <w:szCs w:val="18"/>
              </w:rPr>
            </w:pPr>
            <w:proofErr w:type="spellStart"/>
            <w:r w:rsidRPr="5D8904BE">
              <w:rPr>
                <w:sz w:val="18"/>
                <w:szCs w:val="18"/>
              </w:rPr>
              <w:t>Implementing</w:t>
            </w:r>
            <w:proofErr w:type="spellEnd"/>
            <w:r w:rsidRPr="5D8904BE">
              <w:rPr>
                <w:sz w:val="18"/>
                <w:szCs w:val="18"/>
              </w:rPr>
              <w:t xml:space="preserve"> Partner Reports</w:t>
            </w:r>
          </w:p>
          <w:p w14:paraId="000009E3" w14:textId="77777777" w:rsidR="004F7DB3" w:rsidRDefault="552CE4D7" w:rsidP="001360BB">
            <w:pPr>
              <w:numPr>
                <w:ilvl w:val="0"/>
                <w:numId w:val="171"/>
              </w:numPr>
              <w:rPr>
                <w:sz w:val="18"/>
                <w:szCs w:val="18"/>
              </w:rPr>
            </w:pPr>
            <w:r w:rsidRPr="5D8904BE">
              <w:rPr>
                <w:sz w:val="18"/>
                <w:szCs w:val="18"/>
              </w:rPr>
              <w:t xml:space="preserve">Post-intervention satisfaction or </w:t>
            </w:r>
            <w:proofErr w:type="spellStart"/>
            <w:r w:rsidRPr="5D8904BE">
              <w:rPr>
                <w:sz w:val="18"/>
                <w:szCs w:val="18"/>
              </w:rPr>
              <w:t>evaluation</w:t>
            </w:r>
            <w:proofErr w:type="spellEnd"/>
            <w:r w:rsidRPr="5D8904BE">
              <w:rPr>
                <w:sz w:val="18"/>
                <w:szCs w:val="18"/>
              </w:rPr>
              <w:t xml:space="preserve"> </w:t>
            </w:r>
            <w:proofErr w:type="spellStart"/>
            <w:r w:rsidRPr="5D8904BE">
              <w:rPr>
                <w:sz w:val="18"/>
                <w:szCs w:val="18"/>
              </w:rPr>
              <w:t>surveys</w:t>
            </w:r>
            <w:proofErr w:type="spellEnd"/>
          </w:p>
          <w:p w14:paraId="000009E4" w14:textId="77777777" w:rsidR="004F7DB3" w:rsidRDefault="004F7DB3">
            <w:pPr>
              <w:rPr>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9E5" w14:textId="77777777" w:rsidR="004F7DB3" w:rsidRPr="00263D2C" w:rsidRDefault="00C00123">
            <w:pPr>
              <w:rPr>
                <w:sz w:val="18"/>
                <w:szCs w:val="18"/>
                <w:lang w:val="en-US"/>
              </w:rPr>
            </w:pPr>
            <w:r w:rsidRPr="00263D2C">
              <w:rPr>
                <w:sz w:val="18"/>
                <w:szCs w:val="18"/>
                <w:lang w:val="en-US"/>
              </w:rPr>
              <w:t>Annual (DO in the Project Implementation Report - PIR), in the mid-term review and final evaluation</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9E6" w14:textId="3AF9C5A1" w:rsidR="004F7DB3" w:rsidRDefault="69663027">
            <w:pPr>
              <w:rPr>
                <w:sz w:val="18"/>
                <w:szCs w:val="18"/>
              </w:rPr>
            </w:pPr>
            <w:r w:rsidRPr="537FA187">
              <w:rPr>
                <w:i/>
                <w:iCs/>
                <w:sz w:val="18"/>
                <w:szCs w:val="18"/>
              </w:rPr>
              <w:t>NDUPH</w:t>
            </w:r>
            <w:r w:rsidR="7E03C094" w:rsidRPr="537FA187">
              <w:rPr>
                <w:i/>
                <w:iCs/>
                <w:sz w:val="18"/>
                <w:szCs w:val="18"/>
              </w:rPr>
              <w:t xml:space="preserve"> and PMU</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9E7" w14:textId="77777777" w:rsidR="004F7DB3" w:rsidRDefault="00C00123">
            <w:pPr>
              <w:rPr>
                <w:sz w:val="18"/>
                <w:szCs w:val="18"/>
              </w:rPr>
            </w:pPr>
            <w:r>
              <w:rPr>
                <w:i/>
                <w:sz w:val="18"/>
                <w:szCs w:val="18"/>
              </w:rPr>
              <w:t xml:space="preserve">PMU Reports </w:t>
            </w:r>
          </w:p>
          <w:p w14:paraId="000009E8" w14:textId="77777777" w:rsidR="004F7DB3" w:rsidRDefault="004F7DB3">
            <w:pPr>
              <w:rPr>
                <w:sz w:val="18"/>
                <w:szCs w:val="18"/>
              </w:rPr>
            </w:pPr>
          </w:p>
        </w:tc>
      </w:tr>
      <w:tr w:rsidR="004F7DB3" w:rsidRPr="00F50786" w14:paraId="5CD2D776" w14:textId="77777777" w:rsidTr="2DC80E69">
        <w:trPr>
          <w:gridAfter w:val="1"/>
          <w:wAfter w:w="35" w:type="dxa"/>
          <w:trHeight w:val="20"/>
          <w:jc w:val="center"/>
        </w:trPr>
        <w:tc>
          <w:tcPr>
            <w:tcW w:w="1129" w:type="dxa"/>
            <w:vMerge/>
            <w:tcMar>
              <w:top w:w="0" w:type="dxa"/>
              <w:left w:w="115" w:type="dxa"/>
              <w:bottom w:w="0" w:type="dxa"/>
              <w:right w:w="115" w:type="dxa"/>
            </w:tcMar>
          </w:tcPr>
          <w:p w14:paraId="000009E9" w14:textId="77777777" w:rsidR="004F7DB3" w:rsidRDefault="004F7DB3">
            <w:pPr>
              <w:widowControl w:val="0"/>
              <w:pBdr>
                <w:top w:val="nil"/>
                <w:left w:val="nil"/>
                <w:bottom w:val="nil"/>
                <w:right w:val="nil"/>
                <w:between w:val="nil"/>
              </w:pBdr>
              <w:spacing w:after="0" w:line="276" w:lineRule="auto"/>
              <w:rPr>
                <w:sz w:val="18"/>
                <w:szCs w:val="1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9EA" w14:textId="77777777" w:rsidR="004F7DB3" w:rsidRPr="00263D2C" w:rsidRDefault="00C00123">
            <w:pPr>
              <w:rPr>
                <w:sz w:val="18"/>
                <w:szCs w:val="18"/>
                <w:lang w:val="en-US"/>
              </w:rPr>
            </w:pPr>
            <w:r w:rsidRPr="00263D2C">
              <w:rPr>
                <w:sz w:val="18"/>
                <w:szCs w:val="18"/>
                <w:u w:val="single"/>
                <w:lang w:val="en-US"/>
              </w:rPr>
              <w:t xml:space="preserve">Indicator 2: </w:t>
            </w:r>
            <w:r w:rsidRPr="00263D2C">
              <w:rPr>
                <w:sz w:val="18"/>
                <w:szCs w:val="18"/>
                <w:lang w:val="en-US"/>
              </w:rPr>
              <w:t>Area of land and ecosystems under restoration (ha) (GEF Core Indicator</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9EB" w14:textId="77777777" w:rsidR="004F7DB3" w:rsidRDefault="00C00123">
            <w:pPr>
              <w:rPr>
                <w:sz w:val="18"/>
                <w:szCs w:val="18"/>
              </w:rPr>
            </w:pPr>
            <w:r>
              <w:rPr>
                <w:sz w:val="18"/>
                <w:szCs w:val="18"/>
              </w:rPr>
              <w:t>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9EC" w14:textId="223D650C" w:rsidR="004F7DB3" w:rsidRDefault="529E3607" w:rsidP="3C8408A9">
            <w:pPr>
              <w:pBdr>
                <w:top w:val="nil"/>
                <w:left w:val="nil"/>
                <w:bottom w:val="nil"/>
                <w:right w:val="nil"/>
                <w:between w:val="nil"/>
              </w:pBdr>
              <w:rPr>
                <w:color w:val="000000"/>
                <w:sz w:val="18"/>
                <w:szCs w:val="18"/>
              </w:rPr>
            </w:pPr>
            <w:r w:rsidRPr="3C8408A9">
              <w:rPr>
                <w:color w:val="000000" w:themeColor="text1"/>
                <w:sz w:val="18"/>
                <w:szCs w:val="18"/>
              </w:rPr>
              <w:t>1200</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9ED" w14:textId="77777777" w:rsidR="004F7DB3" w:rsidRPr="00263D2C" w:rsidRDefault="552CE4D7">
            <w:pPr>
              <w:rPr>
                <w:sz w:val="18"/>
                <w:szCs w:val="18"/>
                <w:lang w:val="en-US"/>
              </w:rPr>
            </w:pPr>
            <w:r w:rsidRPr="5D8904BE">
              <w:rPr>
                <w:sz w:val="18"/>
                <w:szCs w:val="18"/>
                <w:lang w:val="en-US"/>
              </w:rPr>
              <w:t xml:space="preserve">This indicator measures the area of forests and forest land that are undergoing ecological restoration. The project plans to restore 500ha during its duration using the best practices of ecological restoration. In our case, Forest restoration (reforestation, assisted natural regeneration, rehabilitation of degraded agricultural land, </w:t>
            </w:r>
            <w:r w:rsidRPr="5D8904BE">
              <w:rPr>
                <w:sz w:val="18"/>
                <w:szCs w:val="18"/>
                <w:lang w:val="en-US"/>
              </w:rPr>
              <w:lastRenderedPageBreak/>
              <w:t>reintroduction of native plant species)</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9EE" w14:textId="77777777" w:rsidR="004F7DB3" w:rsidRPr="00263D2C" w:rsidRDefault="552CE4D7">
            <w:pPr>
              <w:spacing w:after="60"/>
              <w:jc w:val="both"/>
              <w:rPr>
                <w:sz w:val="18"/>
                <w:szCs w:val="18"/>
                <w:lang w:val="en-US"/>
              </w:rPr>
            </w:pPr>
            <w:r w:rsidRPr="5D8904BE">
              <w:rPr>
                <w:sz w:val="18"/>
                <w:szCs w:val="18"/>
                <w:lang w:val="en-US"/>
              </w:rPr>
              <w:lastRenderedPageBreak/>
              <w:t>Area restored (ha) =</w:t>
            </w:r>
            <w:proofErr w:type="gramStart"/>
            <w:r w:rsidRPr="5D8904BE">
              <w:rPr>
                <w:sz w:val="18"/>
                <w:szCs w:val="18"/>
                <w:lang w:val="en-US"/>
              </w:rPr>
              <w:t>∑(</w:t>
            </w:r>
            <w:proofErr w:type="gramEnd"/>
            <w:r w:rsidRPr="5D8904BE">
              <w:rPr>
                <w:sz w:val="18"/>
                <w:szCs w:val="18"/>
                <w:lang w:val="en-US"/>
              </w:rPr>
              <w:t xml:space="preserve">unit area restored by activityˊ or site) </w:t>
            </w:r>
          </w:p>
          <w:p w14:paraId="000009EF" w14:textId="77777777" w:rsidR="004F7DB3" w:rsidRPr="00263D2C" w:rsidRDefault="004F7DB3">
            <w:pPr>
              <w:spacing w:after="60"/>
              <w:jc w:val="both"/>
              <w:rPr>
                <w:sz w:val="18"/>
                <w:szCs w:val="18"/>
                <w:lang w:val="en-US"/>
              </w:rPr>
            </w:pPr>
          </w:p>
          <w:p w14:paraId="000009F0" w14:textId="77777777" w:rsidR="004F7DB3" w:rsidRDefault="552CE4D7">
            <w:pPr>
              <w:spacing w:after="60"/>
              <w:jc w:val="both"/>
              <w:rPr>
                <w:sz w:val="18"/>
                <w:szCs w:val="18"/>
              </w:rPr>
            </w:pPr>
            <w:r w:rsidRPr="5D8904BE">
              <w:rPr>
                <w:sz w:val="18"/>
                <w:szCs w:val="18"/>
                <w:lang w:val="en-US"/>
              </w:rPr>
              <w:t xml:space="preserve">Only areas that have been the subject of effective interventions (planting, depollution, reforestation, hydrological restoration, etc.) and whose regeneration is measurable or verifiable are counted. </w:t>
            </w:r>
            <w:r w:rsidRPr="5D8904BE">
              <w:rPr>
                <w:sz w:val="18"/>
                <w:szCs w:val="18"/>
              </w:rPr>
              <w:t xml:space="preserve">The </w:t>
            </w:r>
            <w:proofErr w:type="spellStart"/>
            <w:r w:rsidRPr="5D8904BE">
              <w:rPr>
                <w:sz w:val="18"/>
                <w:szCs w:val="18"/>
              </w:rPr>
              <w:t>measurement</w:t>
            </w:r>
            <w:proofErr w:type="spellEnd"/>
            <w:r w:rsidRPr="5D8904BE">
              <w:rPr>
                <w:sz w:val="18"/>
                <w:szCs w:val="18"/>
              </w:rPr>
              <w:t xml:space="preserve"> </w:t>
            </w:r>
            <w:proofErr w:type="spellStart"/>
            <w:r w:rsidRPr="5D8904BE">
              <w:rPr>
                <w:sz w:val="18"/>
                <w:szCs w:val="18"/>
              </w:rPr>
              <w:t>will</w:t>
            </w:r>
            <w:proofErr w:type="spellEnd"/>
            <w:r w:rsidRPr="5D8904BE">
              <w:rPr>
                <w:sz w:val="18"/>
                <w:szCs w:val="18"/>
              </w:rPr>
              <w:t xml:space="preserve"> </w:t>
            </w:r>
            <w:proofErr w:type="spellStart"/>
            <w:r w:rsidRPr="5D8904BE">
              <w:rPr>
                <w:sz w:val="18"/>
                <w:szCs w:val="18"/>
              </w:rPr>
              <w:t>be</w:t>
            </w:r>
            <w:proofErr w:type="spellEnd"/>
            <w:r w:rsidRPr="5D8904BE">
              <w:rPr>
                <w:sz w:val="18"/>
                <w:szCs w:val="18"/>
              </w:rPr>
              <w:t xml:space="preserve"> </w:t>
            </w:r>
            <w:proofErr w:type="spellStart"/>
            <w:r w:rsidRPr="5D8904BE">
              <w:rPr>
                <w:sz w:val="18"/>
                <w:szCs w:val="18"/>
              </w:rPr>
              <w:t>carried</w:t>
            </w:r>
            <w:proofErr w:type="spellEnd"/>
            <w:r w:rsidRPr="5D8904BE">
              <w:rPr>
                <w:sz w:val="18"/>
                <w:szCs w:val="18"/>
              </w:rPr>
              <w:t xml:space="preserve"> out </w:t>
            </w:r>
            <w:proofErr w:type="gramStart"/>
            <w:r w:rsidRPr="5D8904BE">
              <w:rPr>
                <w:sz w:val="18"/>
                <w:szCs w:val="18"/>
              </w:rPr>
              <w:t>via:</w:t>
            </w:r>
            <w:proofErr w:type="gramEnd"/>
          </w:p>
          <w:p w14:paraId="000009F1" w14:textId="77777777" w:rsidR="004F7DB3" w:rsidRDefault="004F7DB3">
            <w:pPr>
              <w:pBdr>
                <w:top w:val="nil"/>
                <w:left w:val="nil"/>
                <w:bottom w:val="nil"/>
                <w:right w:val="nil"/>
                <w:between w:val="nil"/>
              </w:pBdr>
              <w:spacing w:after="0" w:line="240" w:lineRule="auto"/>
              <w:ind w:left="264"/>
              <w:jc w:val="both"/>
              <w:rPr>
                <w:color w:val="000000"/>
                <w:sz w:val="18"/>
                <w:szCs w:val="18"/>
              </w:rPr>
            </w:pPr>
          </w:p>
          <w:p w14:paraId="000009F2" w14:textId="77777777" w:rsidR="004F7DB3" w:rsidRDefault="004F7DB3">
            <w:pPr>
              <w:pBdr>
                <w:top w:val="nil"/>
                <w:left w:val="nil"/>
                <w:bottom w:val="nil"/>
                <w:right w:val="nil"/>
                <w:between w:val="nil"/>
              </w:pBdr>
              <w:spacing w:after="0" w:line="240" w:lineRule="auto"/>
              <w:ind w:left="264"/>
              <w:jc w:val="both"/>
              <w:rPr>
                <w:color w:val="000000"/>
                <w:sz w:val="18"/>
                <w:szCs w:val="18"/>
              </w:rPr>
            </w:pPr>
          </w:p>
          <w:p w14:paraId="000009F3" w14:textId="77777777" w:rsidR="004F7DB3" w:rsidRPr="00263D2C" w:rsidRDefault="00C00123" w:rsidP="001360BB">
            <w:pPr>
              <w:numPr>
                <w:ilvl w:val="0"/>
                <w:numId w:val="176"/>
              </w:numPr>
              <w:pBdr>
                <w:top w:val="nil"/>
                <w:left w:val="nil"/>
                <w:bottom w:val="nil"/>
                <w:right w:val="nil"/>
                <w:between w:val="nil"/>
              </w:pBdr>
              <w:spacing w:after="0" w:line="240" w:lineRule="auto"/>
              <w:ind w:left="264"/>
              <w:jc w:val="both"/>
              <w:rPr>
                <w:color w:val="000000"/>
                <w:sz w:val="18"/>
                <w:szCs w:val="18"/>
                <w:lang w:val="en-US"/>
              </w:rPr>
            </w:pPr>
            <w:r w:rsidRPr="00263D2C">
              <w:rPr>
                <w:color w:val="000000"/>
                <w:sz w:val="18"/>
                <w:szCs w:val="18"/>
                <w:lang w:val="en-US"/>
              </w:rPr>
              <w:t>GIS mapping &amp; remote sensing (satellite data before/after)</w:t>
            </w:r>
          </w:p>
          <w:p w14:paraId="000009F4" w14:textId="77777777" w:rsidR="004F7DB3" w:rsidRPr="00263D2C" w:rsidRDefault="00C00123" w:rsidP="001360BB">
            <w:pPr>
              <w:numPr>
                <w:ilvl w:val="0"/>
                <w:numId w:val="176"/>
              </w:numPr>
              <w:pBdr>
                <w:top w:val="nil"/>
                <w:left w:val="nil"/>
                <w:bottom w:val="nil"/>
                <w:right w:val="nil"/>
                <w:between w:val="nil"/>
              </w:pBdr>
              <w:spacing w:after="0" w:line="240" w:lineRule="auto"/>
              <w:ind w:left="264"/>
              <w:jc w:val="both"/>
              <w:rPr>
                <w:color w:val="000000"/>
                <w:sz w:val="18"/>
                <w:szCs w:val="18"/>
                <w:lang w:val="en-US"/>
              </w:rPr>
            </w:pPr>
            <w:r w:rsidRPr="00263D2C">
              <w:rPr>
                <w:color w:val="000000"/>
                <w:sz w:val="18"/>
                <w:szCs w:val="18"/>
                <w:lang w:val="en-US"/>
              </w:rPr>
              <w:t>Field surveys with GPS to confirm treated areas</w:t>
            </w:r>
          </w:p>
          <w:p w14:paraId="000009F5" w14:textId="77777777" w:rsidR="004F7DB3" w:rsidRDefault="552CE4D7" w:rsidP="001360BB">
            <w:pPr>
              <w:numPr>
                <w:ilvl w:val="0"/>
                <w:numId w:val="176"/>
              </w:numPr>
              <w:pBdr>
                <w:top w:val="nil"/>
                <w:left w:val="nil"/>
                <w:bottom w:val="nil"/>
                <w:right w:val="nil"/>
                <w:between w:val="nil"/>
              </w:pBdr>
              <w:spacing w:after="0" w:line="240" w:lineRule="auto"/>
              <w:ind w:left="264"/>
              <w:jc w:val="both"/>
              <w:rPr>
                <w:color w:val="000000"/>
                <w:sz w:val="18"/>
                <w:szCs w:val="18"/>
              </w:rPr>
            </w:pPr>
            <w:proofErr w:type="spellStart"/>
            <w:r w:rsidRPr="5D8904BE">
              <w:rPr>
                <w:color w:val="000000" w:themeColor="text1"/>
                <w:sz w:val="18"/>
                <w:szCs w:val="18"/>
              </w:rPr>
              <w:t>Georeferenced</w:t>
            </w:r>
            <w:proofErr w:type="spellEnd"/>
            <w:r w:rsidRPr="5D8904BE">
              <w:rPr>
                <w:color w:val="000000" w:themeColor="text1"/>
                <w:sz w:val="18"/>
                <w:szCs w:val="18"/>
              </w:rPr>
              <w:t xml:space="preserve"> </w:t>
            </w:r>
            <w:proofErr w:type="spellStart"/>
            <w:r w:rsidRPr="5D8904BE">
              <w:rPr>
                <w:color w:val="000000" w:themeColor="text1"/>
                <w:sz w:val="18"/>
                <w:szCs w:val="18"/>
              </w:rPr>
              <w:t>photographs</w:t>
            </w:r>
            <w:proofErr w:type="spellEnd"/>
            <w:r w:rsidRPr="5D8904BE">
              <w:rPr>
                <w:color w:val="000000" w:themeColor="text1"/>
                <w:sz w:val="18"/>
                <w:szCs w:val="18"/>
              </w:rPr>
              <w:t xml:space="preserve"> and </w:t>
            </w:r>
            <w:proofErr w:type="spellStart"/>
            <w:r w:rsidRPr="5D8904BE">
              <w:rPr>
                <w:color w:val="000000" w:themeColor="text1"/>
                <w:sz w:val="18"/>
                <w:szCs w:val="18"/>
              </w:rPr>
              <w:t>technical</w:t>
            </w:r>
            <w:proofErr w:type="spellEnd"/>
            <w:r w:rsidRPr="5D8904BE">
              <w:rPr>
                <w:color w:val="000000" w:themeColor="text1"/>
                <w:sz w:val="18"/>
                <w:szCs w:val="18"/>
              </w:rPr>
              <w:t xml:space="preserve"> reports</w:t>
            </w:r>
          </w:p>
          <w:p w14:paraId="000009F6" w14:textId="77777777" w:rsidR="004F7DB3" w:rsidRPr="00263D2C" w:rsidRDefault="00C00123" w:rsidP="001360BB">
            <w:pPr>
              <w:numPr>
                <w:ilvl w:val="0"/>
                <w:numId w:val="176"/>
              </w:numPr>
              <w:pBdr>
                <w:top w:val="nil"/>
                <w:left w:val="nil"/>
                <w:bottom w:val="nil"/>
                <w:right w:val="nil"/>
                <w:between w:val="nil"/>
              </w:pBdr>
              <w:spacing w:after="0" w:line="240" w:lineRule="auto"/>
              <w:ind w:left="264"/>
              <w:jc w:val="both"/>
              <w:rPr>
                <w:color w:val="000000"/>
                <w:sz w:val="18"/>
                <w:szCs w:val="18"/>
                <w:lang w:val="en-US"/>
              </w:rPr>
            </w:pPr>
            <w:r w:rsidRPr="00263D2C">
              <w:rPr>
                <w:color w:val="000000"/>
                <w:sz w:val="18"/>
                <w:szCs w:val="18"/>
                <w:lang w:val="en-US"/>
              </w:rPr>
              <w:t>Ecological restoration plans and completion reports</w:t>
            </w:r>
          </w:p>
          <w:p w14:paraId="000009F7" w14:textId="77777777" w:rsidR="004F7DB3" w:rsidRPr="00263D2C" w:rsidRDefault="00C00123" w:rsidP="001360BB">
            <w:pPr>
              <w:numPr>
                <w:ilvl w:val="0"/>
                <w:numId w:val="176"/>
              </w:numPr>
              <w:pBdr>
                <w:top w:val="nil"/>
                <w:left w:val="nil"/>
                <w:bottom w:val="nil"/>
                <w:right w:val="nil"/>
                <w:between w:val="nil"/>
              </w:pBdr>
              <w:spacing w:after="60" w:line="240" w:lineRule="auto"/>
              <w:ind w:left="264"/>
              <w:jc w:val="both"/>
              <w:rPr>
                <w:color w:val="000000"/>
                <w:sz w:val="18"/>
                <w:szCs w:val="18"/>
                <w:lang w:val="en-US"/>
              </w:rPr>
            </w:pPr>
            <w:r w:rsidRPr="00263D2C">
              <w:rPr>
                <w:color w:val="000000"/>
                <w:sz w:val="18"/>
                <w:szCs w:val="18"/>
                <w:lang w:val="en-US"/>
              </w:rPr>
              <w:t>Community surveys for participatory validation of restored areas</w:t>
            </w:r>
          </w:p>
          <w:p w14:paraId="000009F8" w14:textId="77777777" w:rsidR="004F7DB3" w:rsidRPr="00263D2C" w:rsidRDefault="004F7DB3">
            <w:pPr>
              <w:ind w:left="264"/>
              <w:rPr>
                <w:sz w:val="18"/>
                <w:szCs w:val="18"/>
                <w:lang w:val="en-U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9F9" w14:textId="77777777" w:rsidR="004F7DB3" w:rsidRPr="00263D2C" w:rsidRDefault="00C00123">
            <w:pPr>
              <w:rPr>
                <w:sz w:val="18"/>
                <w:szCs w:val="18"/>
                <w:lang w:val="en-US"/>
              </w:rPr>
            </w:pPr>
            <w:r w:rsidRPr="00263D2C">
              <w:rPr>
                <w:sz w:val="18"/>
                <w:szCs w:val="18"/>
                <w:lang w:val="en-US"/>
              </w:rPr>
              <w:lastRenderedPageBreak/>
              <w:t>Annually</w:t>
            </w:r>
          </w:p>
          <w:p w14:paraId="000009FA" w14:textId="13DF58E2" w:rsidR="004F7DB3" w:rsidRPr="00263D2C" w:rsidRDefault="00C00123">
            <w:pPr>
              <w:rPr>
                <w:sz w:val="18"/>
                <w:szCs w:val="18"/>
                <w:lang w:val="en-US"/>
              </w:rPr>
            </w:pPr>
            <w:r w:rsidRPr="00263D2C">
              <w:rPr>
                <w:sz w:val="18"/>
                <w:szCs w:val="18"/>
                <w:lang w:val="en-US"/>
              </w:rPr>
              <w:t xml:space="preserve">Reported in the GEF </w:t>
            </w:r>
            <w:r w:rsidR="001A04FC">
              <w:rPr>
                <w:sz w:val="18"/>
                <w:szCs w:val="18"/>
                <w:lang w:val="en-US"/>
              </w:rPr>
              <w:t>PIR</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9FB" w14:textId="13651166" w:rsidR="004F7DB3" w:rsidRPr="00263D2C" w:rsidRDefault="7E03C094">
            <w:pPr>
              <w:rPr>
                <w:sz w:val="18"/>
                <w:szCs w:val="18"/>
                <w:lang w:val="en-US"/>
              </w:rPr>
            </w:pPr>
            <w:r w:rsidRPr="537FA187">
              <w:rPr>
                <w:i/>
                <w:iCs/>
                <w:sz w:val="18"/>
                <w:szCs w:val="18"/>
                <w:lang w:val="en-US"/>
              </w:rPr>
              <w:t xml:space="preserve">the </w:t>
            </w:r>
            <w:r w:rsidR="4F82A5F6" w:rsidRPr="537FA187">
              <w:rPr>
                <w:i/>
                <w:iCs/>
                <w:sz w:val="18"/>
                <w:szCs w:val="18"/>
                <w:lang w:val="en-US"/>
              </w:rPr>
              <w:t>GDWF</w:t>
            </w:r>
            <w:r w:rsidRPr="537FA187">
              <w:rPr>
                <w:i/>
                <w:iCs/>
                <w:sz w:val="18"/>
                <w:szCs w:val="18"/>
                <w:lang w:val="en-US"/>
              </w:rPr>
              <w:t xml:space="preserve"> and the District Town Hall</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9FC" w14:textId="77777777" w:rsidR="004F7DB3" w:rsidRPr="00263D2C" w:rsidRDefault="00C00123">
            <w:pPr>
              <w:rPr>
                <w:sz w:val="18"/>
                <w:szCs w:val="18"/>
                <w:lang w:val="en-US"/>
              </w:rPr>
            </w:pPr>
            <w:r w:rsidRPr="00263D2C">
              <w:rPr>
                <w:i/>
                <w:sz w:val="18"/>
                <w:szCs w:val="18"/>
                <w:lang w:val="en-US"/>
              </w:rPr>
              <w:t>the official reports of the DGF and the District City Hall</w:t>
            </w:r>
          </w:p>
        </w:tc>
      </w:tr>
      <w:tr w:rsidR="004F7DB3" w:rsidRPr="00F50786" w14:paraId="1FA0C487" w14:textId="77777777" w:rsidTr="2DC80E69">
        <w:trPr>
          <w:gridAfter w:val="1"/>
          <w:wAfter w:w="35" w:type="dxa"/>
          <w:trHeight w:val="20"/>
          <w:jc w:val="center"/>
        </w:trPr>
        <w:tc>
          <w:tcPr>
            <w:tcW w:w="1129" w:type="dxa"/>
            <w:vMerge/>
            <w:tcMar>
              <w:top w:w="0" w:type="dxa"/>
              <w:left w:w="115" w:type="dxa"/>
              <w:bottom w:w="0" w:type="dxa"/>
              <w:right w:w="115" w:type="dxa"/>
            </w:tcMar>
          </w:tcPr>
          <w:p w14:paraId="000009FD" w14:textId="77777777" w:rsidR="004F7DB3" w:rsidRPr="00263D2C" w:rsidRDefault="004F7DB3">
            <w:pPr>
              <w:widowControl w:val="0"/>
              <w:pBdr>
                <w:top w:val="nil"/>
                <w:left w:val="nil"/>
                <w:bottom w:val="nil"/>
                <w:right w:val="nil"/>
                <w:between w:val="nil"/>
              </w:pBdr>
              <w:spacing w:after="0" w:line="276" w:lineRule="auto"/>
              <w:rPr>
                <w:sz w:val="18"/>
                <w:szCs w:val="18"/>
                <w:lang w:val="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9FE" w14:textId="77777777" w:rsidR="004F7DB3" w:rsidRPr="00263D2C" w:rsidRDefault="552CE4D7">
            <w:pPr>
              <w:rPr>
                <w:sz w:val="18"/>
                <w:szCs w:val="18"/>
                <w:lang w:val="en-US"/>
              </w:rPr>
            </w:pPr>
            <w:r w:rsidRPr="5D8904BE">
              <w:rPr>
                <w:sz w:val="18"/>
                <w:szCs w:val="18"/>
                <w:u w:val="single"/>
                <w:lang w:val="en-US"/>
              </w:rPr>
              <w:t xml:space="preserve">Indicator </w:t>
            </w:r>
            <w:proofErr w:type="gramStart"/>
            <w:r w:rsidRPr="5D8904BE">
              <w:rPr>
                <w:sz w:val="18"/>
                <w:szCs w:val="18"/>
                <w:u w:val="single"/>
                <w:lang w:val="en-US"/>
              </w:rPr>
              <w:t xml:space="preserve">3 </w:t>
            </w:r>
            <w:r w:rsidRPr="5D8904BE">
              <w:rPr>
                <w:sz w:val="18"/>
                <w:szCs w:val="18"/>
                <w:lang w:val="en-US"/>
              </w:rPr>
              <w:t>:</w:t>
            </w:r>
            <w:proofErr w:type="gramEnd"/>
            <w:r w:rsidRPr="5D8904BE">
              <w:rPr>
                <w:sz w:val="18"/>
                <w:szCs w:val="18"/>
                <w:lang w:val="en-US"/>
              </w:rPr>
              <w:t xml:space="preserve"> Area of landscapes under improved practices (excluding protected areas) (GEF Global Indicator)</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9FF" w14:textId="77777777" w:rsidR="004F7DB3" w:rsidRDefault="00C00123">
            <w:pPr>
              <w:rPr>
                <w:sz w:val="18"/>
                <w:szCs w:val="18"/>
              </w:rPr>
            </w:pPr>
            <w:r>
              <w:rPr>
                <w:i/>
                <w:sz w:val="18"/>
                <w:szCs w:val="18"/>
              </w:rPr>
              <w:t>10,000 ha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00" w14:textId="31F55A6C" w:rsidR="004F7DB3" w:rsidRDefault="496F1838">
            <w:pPr>
              <w:rPr>
                <w:sz w:val="18"/>
                <w:szCs w:val="18"/>
              </w:rPr>
            </w:pPr>
            <w:r w:rsidRPr="3C8408A9">
              <w:rPr>
                <w:i/>
                <w:iCs/>
                <w:sz w:val="18"/>
                <w:szCs w:val="18"/>
              </w:rPr>
              <w:t>17</w:t>
            </w:r>
            <w:r w:rsidR="0E08E59F" w:rsidRPr="3C8408A9">
              <w:rPr>
                <w:i/>
                <w:iCs/>
                <w:sz w:val="18"/>
                <w:szCs w:val="18"/>
              </w:rPr>
              <w:t>3</w:t>
            </w:r>
            <w:r w:rsidRPr="3C8408A9">
              <w:rPr>
                <w:i/>
                <w:iCs/>
                <w:sz w:val="18"/>
                <w:szCs w:val="18"/>
              </w:rPr>
              <w:t>,</w:t>
            </w:r>
            <w:r w:rsidR="51BE944C" w:rsidRPr="3C8408A9">
              <w:rPr>
                <w:i/>
                <w:iCs/>
                <w:sz w:val="18"/>
                <w:szCs w:val="18"/>
              </w:rPr>
              <w:t>93</w:t>
            </w:r>
            <w:r w:rsidR="00962AA4">
              <w:rPr>
                <w:i/>
                <w:iCs/>
                <w:sz w:val="18"/>
                <w:szCs w:val="18"/>
              </w:rPr>
              <w:t>1.75</w:t>
            </w:r>
            <w:r w:rsidRPr="3C8408A9">
              <w:rPr>
                <w:i/>
                <w:iCs/>
                <w:sz w:val="18"/>
                <w:szCs w:val="18"/>
              </w:rPr>
              <w:t xml:space="preserve"> ha</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01" w14:textId="77777777" w:rsidR="004F7DB3" w:rsidRPr="00263D2C" w:rsidRDefault="00C00123">
            <w:pPr>
              <w:rPr>
                <w:sz w:val="18"/>
                <w:szCs w:val="18"/>
                <w:lang w:val="en-US"/>
              </w:rPr>
            </w:pPr>
            <w:r w:rsidRPr="00263D2C">
              <w:rPr>
                <w:sz w:val="18"/>
                <w:szCs w:val="18"/>
                <w:lang w:val="en-US"/>
              </w:rPr>
              <w:t xml:space="preserve">This indicator measures the total area of productive landscapes (agricultural, forestry, pastoral, urban, etc., excluding protected areas) where sustainable natural resource management practices have been adopted or strengthened, with a view to improving the environment, socio-economic and resilience. The project proposes to improve the development and management of the 5 classified forests of the Bamako green belt and 5 </w:t>
            </w:r>
            <w:r w:rsidRPr="00263D2C">
              <w:rPr>
                <w:sz w:val="18"/>
                <w:szCs w:val="18"/>
                <w:lang w:val="en-US"/>
              </w:rPr>
              <w:lastRenderedPageBreak/>
              <w:t>green urban spaces (Climate-Smart Agriculture, Agroecological Techniques and Soil Conservation, Sustainable Management of Forests Outside Protected Areas, etc.)</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02" w14:textId="77777777" w:rsidR="004F7DB3" w:rsidRPr="00263D2C" w:rsidRDefault="552CE4D7">
            <w:pPr>
              <w:spacing w:after="60" w:line="240" w:lineRule="auto"/>
              <w:jc w:val="both"/>
              <w:rPr>
                <w:sz w:val="18"/>
                <w:szCs w:val="18"/>
                <w:lang w:val="en-US"/>
              </w:rPr>
            </w:pPr>
            <w:r w:rsidRPr="5D8904BE">
              <w:rPr>
                <w:sz w:val="18"/>
                <w:szCs w:val="18"/>
                <w:lang w:val="en-US"/>
              </w:rPr>
              <w:lastRenderedPageBreak/>
              <w:t>Improved area (ha)=</w:t>
            </w:r>
            <w:proofErr w:type="gramStart"/>
            <w:r w:rsidRPr="5D8904BE">
              <w:rPr>
                <w:sz w:val="18"/>
                <w:szCs w:val="18"/>
                <w:lang w:val="en-US"/>
              </w:rPr>
              <w:t>∑(</w:t>
            </w:r>
            <w:proofErr w:type="gramEnd"/>
            <w:r w:rsidRPr="5D8904BE">
              <w:rPr>
                <w:sz w:val="18"/>
                <w:szCs w:val="18"/>
                <w:lang w:val="en-US"/>
              </w:rPr>
              <w:t xml:space="preserve">area of areas with improved practices are applied) </w:t>
            </w:r>
          </w:p>
          <w:p w14:paraId="00000A03" w14:textId="77777777" w:rsidR="004F7DB3" w:rsidRPr="00263D2C" w:rsidRDefault="00C00123">
            <w:pPr>
              <w:spacing w:after="60" w:line="240" w:lineRule="auto"/>
              <w:jc w:val="both"/>
              <w:rPr>
                <w:sz w:val="18"/>
                <w:szCs w:val="18"/>
                <w:lang w:val="en-US"/>
              </w:rPr>
            </w:pPr>
            <w:r w:rsidRPr="00263D2C">
              <w:rPr>
                <w:sz w:val="18"/>
                <w:szCs w:val="18"/>
                <w:lang w:val="en-US"/>
              </w:rPr>
              <w:t xml:space="preserve">Do not include official protected areas (natural parks, reserves, etc.) unless they are explicitly excluded from regulatory status during the project. </w:t>
            </w:r>
          </w:p>
          <w:p w14:paraId="00000A04" w14:textId="77777777" w:rsidR="004F7DB3" w:rsidRPr="00263D2C" w:rsidRDefault="00C00123">
            <w:pPr>
              <w:spacing w:after="60" w:line="240" w:lineRule="auto"/>
              <w:jc w:val="both"/>
              <w:rPr>
                <w:sz w:val="18"/>
                <w:szCs w:val="18"/>
                <w:lang w:val="en-US"/>
              </w:rPr>
            </w:pPr>
            <w:r w:rsidRPr="00263D2C">
              <w:rPr>
                <w:sz w:val="18"/>
                <w:szCs w:val="18"/>
                <w:lang w:val="en-US"/>
              </w:rPr>
              <w:t>The measurement will be made via:</w:t>
            </w:r>
          </w:p>
          <w:p w14:paraId="00000A05" w14:textId="77777777" w:rsidR="004F7DB3" w:rsidRPr="00263D2C" w:rsidRDefault="004F7DB3">
            <w:pPr>
              <w:spacing w:after="60" w:line="240" w:lineRule="auto"/>
              <w:jc w:val="both"/>
              <w:rPr>
                <w:sz w:val="18"/>
                <w:szCs w:val="18"/>
                <w:lang w:val="en-US"/>
              </w:rPr>
            </w:pPr>
          </w:p>
          <w:p w14:paraId="00000A06" w14:textId="77777777" w:rsidR="004F7DB3" w:rsidRPr="00263D2C" w:rsidRDefault="00C00123" w:rsidP="001360BB">
            <w:pPr>
              <w:numPr>
                <w:ilvl w:val="0"/>
                <w:numId w:val="172"/>
              </w:numPr>
              <w:pBdr>
                <w:top w:val="nil"/>
                <w:left w:val="nil"/>
                <w:bottom w:val="nil"/>
                <w:right w:val="nil"/>
                <w:between w:val="nil"/>
              </w:pBdr>
              <w:spacing w:after="0" w:line="240" w:lineRule="auto"/>
              <w:ind w:left="264"/>
              <w:jc w:val="both"/>
              <w:rPr>
                <w:color w:val="000000"/>
                <w:sz w:val="18"/>
                <w:szCs w:val="18"/>
                <w:lang w:val="en-US"/>
              </w:rPr>
            </w:pPr>
            <w:r w:rsidRPr="00263D2C">
              <w:rPr>
                <w:color w:val="000000"/>
                <w:sz w:val="18"/>
                <w:szCs w:val="18"/>
                <w:lang w:val="en-US"/>
              </w:rPr>
              <w:t>Participatory mapping and GPS of the plots concerned (through SIFOR)</w:t>
            </w:r>
          </w:p>
          <w:p w14:paraId="00000A07" w14:textId="77777777" w:rsidR="004F7DB3" w:rsidRPr="00263D2C" w:rsidRDefault="00C00123" w:rsidP="001360BB">
            <w:pPr>
              <w:numPr>
                <w:ilvl w:val="0"/>
                <w:numId w:val="172"/>
              </w:numPr>
              <w:pBdr>
                <w:top w:val="nil"/>
                <w:left w:val="nil"/>
                <w:bottom w:val="nil"/>
                <w:right w:val="nil"/>
                <w:between w:val="nil"/>
              </w:pBdr>
              <w:spacing w:after="0" w:line="240" w:lineRule="auto"/>
              <w:ind w:left="264"/>
              <w:jc w:val="both"/>
              <w:rPr>
                <w:color w:val="000000"/>
                <w:sz w:val="18"/>
                <w:szCs w:val="18"/>
                <w:lang w:val="en-US"/>
              </w:rPr>
            </w:pPr>
            <w:r w:rsidRPr="00263D2C">
              <w:rPr>
                <w:color w:val="000000"/>
                <w:sz w:val="18"/>
                <w:szCs w:val="18"/>
                <w:lang w:val="en-US"/>
              </w:rPr>
              <w:t>Records or databases of improved agricultural or forestry practices</w:t>
            </w:r>
          </w:p>
          <w:p w14:paraId="00000A08" w14:textId="77777777" w:rsidR="004F7DB3" w:rsidRDefault="552CE4D7" w:rsidP="001360BB">
            <w:pPr>
              <w:numPr>
                <w:ilvl w:val="0"/>
                <w:numId w:val="172"/>
              </w:numPr>
              <w:pBdr>
                <w:top w:val="nil"/>
                <w:left w:val="nil"/>
                <w:bottom w:val="nil"/>
                <w:right w:val="nil"/>
                <w:between w:val="nil"/>
              </w:pBdr>
              <w:spacing w:after="0" w:line="240" w:lineRule="auto"/>
              <w:ind w:left="264"/>
              <w:jc w:val="both"/>
              <w:rPr>
                <w:color w:val="000000"/>
                <w:sz w:val="18"/>
                <w:szCs w:val="18"/>
              </w:rPr>
            </w:pPr>
            <w:r w:rsidRPr="5D8904BE">
              <w:rPr>
                <w:color w:val="000000" w:themeColor="text1"/>
                <w:sz w:val="18"/>
                <w:szCs w:val="18"/>
              </w:rPr>
              <w:lastRenderedPageBreak/>
              <w:t xml:space="preserve">Producer and </w:t>
            </w:r>
            <w:proofErr w:type="spellStart"/>
            <w:r w:rsidRPr="5D8904BE">
              <w:rPr>
                <w:color w:val="000000" w:themeColor="text1"/>
                <w:sz w:val="18"/>
                <w:szCs w:val="18"/>
              </w:rPr>
              <w:t>co-operative</w:t>
            </w:r>
            <w:proofErr w:type="spellEnd"/>
            <w:r w:rsidRPr="5D8904BE">
              <w:rPr>
                <w:color w:val="000000" w:themeColor="text1"/>
                <w:sz w:val="18"/>
                <w:szCs w:val="18"/>
              </w:rPr>
              <w:t xml:space="preserve"> </w:t>
            </w:r>
            <w:proofErr w:type="spellStart"/>
            <w:r w:rsidRPr="5D8904BE">
              <w:rPr>
                <w:color w:val="000000" w:themeColor="text1"/>
                <w:sz w:val="18"/>
                <w:szCs w:val="18"/>
              </w:rPr>
              <w:t>surveys</w:t>
            </w:r>
            <w:proofErr w:type="spellEnd"/>
          </w:p>
          <w:p w14:paraId="00000A09" w14:textId="77777777" w:rsidR="004F7DB3" w:rsidRPr="00263D2C" w:rsidRDefault="00C00123" w:rsidP="001360BB">
            <w:pPr>
              <w:numPr>
                <w:ilvl w:val="0"/>
                <w:numId w:val="172"/>
              </w:numPr>
              <w:pBdr>
                <w:top w:val="nil"/>
                <w:left w:val="nil"/>
                <w:bottom w:val="nil"/>
                <w:right w:val="nil"/>
                <w:between w:val="nil"/>
              </w:pBdr>
              <w:spacing w:after="0" w:line="240" w:lineRule="auto"/>
              <w:ind w:left="264"/>
              <w:jc w:val="both"/>
              <w:rPr>
                <w:color w:val="000000"/>
                <w:sz w:val="18"/>
                <w:szCs w:val="18"/>
                <w:lang w:val="en-US"/>
              </w:rPr>
            </w:pPr>
            <w:r w:rsidRPr="00263D2C">
              <w:rPr>
                <w:color w:val="000000"/>
                <w:sz w:val="18"/>
                <w:szCs w:val="18"/>
                <w:lang w:val="en-US"/>
              </w:rPr>
              <w:t>Technical Reports on the Adoption of Practices</w:t>
            </w:r>
          </w:p>
          <w:p w14:paraId="00000A0A" w14:textId="77777777" w:rsidR="004F7DB3" w:rsidRPr="00263D2C" w:rsidRDefault="552CE4D7" w:rsidP="001360BB">
            <w:pPr>
              <w:numPr>
                <w:ilvl w:val="0"/>
                <w:numId w:val="172"/>
              </w:numPr>
              <w:pBdr>
                <w:top w:val="nil"/>
                <w:left w:val="nil"/>
                <w:bottom w:val="nil"/>
                <w:right w:val="nil"/>
                <w:between w:val="nil"/>
              </w:pBdr>
              <w:spacing w:after="60" w:line="240" w:lineRule="auto"/>
              <w:ind w:left="264"/>
              <w:jc w:val="both"/>
              <w:rPr>
                <w:color w:val="000000"/>
                <w:sz w:val="18"/>
                <w:szCs w:val="18"/>
                <w:lang w:val="en-US"/>
              </w:rPr>
            </w:pPr>
            <w:r w:rsidRPr="5D8904BE">
              <w:rPr>
                <w:color w:val="000000" w:themeColor="text1"/>
                <w:sz w:val="18"/>
                <w:szCs w:val="18"/>
                <w:lang w:val="en-US"/>
              </w:rPr>
              <w:t>Satellite imagery to validate changes in land cover and land use</w:t>
            </w:r>
          </w:p>
          <w:p w14:paraId="00000A0B" w14:textId="77777777" w:rsidR="004F7DB3" w:rsidRPr="00263D2C" w:rsidRDefault="004F7DB3">
            <w:pPr>
              <w:ind w:left="264"/>
              <w:rPr>
                <w:sz w:val="18"/>
                <w:szCs w:val="18"/>
                <w:lang w:val="en-U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0C" w14:textId="77777777" w:rsidR="004F7DB3" w:rsidRPr="00263D2C" w:rsidRDefault="00C00123">
            <w:pPr>
              <w:rPr>
                <w:sz w:val="18"/>
                <w:szCs w:val="18"/>
                <w:lang w:val="en-US"/>
              </w:rPr>
            </w:pPr>
            <w:r w:rsidRPr="00263D2C">
              <w:rPr>
                <w:sz w:val="18"/>
                <w:szCs w:val="18"/>
                <w:lang w:val="en-US"/>
              </w:rPr>
              <w:lastRenderedPageBreak/>
              <w:t>Annually</w:t>
            </w:r>
          </w:p>
          <w:p w14:paraId="00000A0D" w14:textId="7A6189E0" w:rsidR="004F7DB3" w:rsidRPr="00263D2C" w:rsidRDefault="00C00123">
            <w:pPr>
              <w:rPr>
                <w:sz w:val="18"/>
                <w:szCs w:val="18"/>
                <w:lang w:val="en-US"/>
              </w:rPr>
            </w:pPr>
            <w:r w:rsidRPr="00263D2C">
              <w:rPr>
                <w:sz w:val="18"/>
                <w:szCs w:val="18"/>
                <w:lang w:val="en-US"/>
              </w:rPr>
              <w:t xml:space="preserve">Reported in the GEF </w:t>
            </w:r>
            <w:r w:rsidR="001A04FC">
              <w:rPr>
                <w:sz w:val="18"/>
                <w:szCs w:val="18"/>
                <w:lang w:val="en-US"/>
              </w:rPr>
              <w:t>PIR</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0E" w14:textId="1EFFE6D6" w:rsidR="004F7DB3" w:rsidRPr="00263D2C" w:rsidRDefault="7E03C094">
            <w:pPr>
              <w:rPr>
                <w:sz w:val="18"/>
                <w:szCs w:val="18"/>
                <w:lang w:val="en-US"/>
              </w:rPr>
            </w:pPr>
            <w:r w:rsidRPr="537FA187">
              <w:rPr>
                <w:i/>
                <w:iCs/>
                <w:sz w:val="18"/>
                <w:szCs w:val="18"/>
                <w:lang w:val="en-US"/>
              </w:rPr>
              <w:t xml:space="preserve">the </w:t>
            </w:r>
            <w:r w:rsidR="4F82A5F6" w:rsidRPr="537FA187">
              <w:rPr>
                <w:i/>
                <w:iCs/>
                <w:sz w:val="18"/>
                <w:szCs w:val="18"/>
                <w:lang w:val="en-US"/>
              </w:rPr>
              <w:t>GDWF</w:t>
            </w:r>
            <w:r w:rsidRPr="537FA187">
              <w:rPr>
                <w:i/>
                <w:iCs/>
                <w:sz w:val="18"/>
                <w:szCs w:val="18"/>
                <w:lang w:val="en-US"/>
              </w:rPr>
              <w:t xml:space="preserve"> and the District and </w:t>
            </w:r>
            <w:r w:rsidR="6CE722BA" w:rsidRPr="537FA187">
              <w:rPr>
                <w:i/>
                <w:iCs/>
                <w:sz w:val="18"/>
                <w:szCs w:val="18"/>
                <w:lang w:val="en-US"/>
              </w:rPr>
              <w:t>PMU</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0F" w14:textId="4BF4AB88" w:rsidR="004F7DB3" w:rsidRPr="00263D2C" w:rsidRDefault="7E03C094">
            <w:pPr>
              <w:rPr>
                <w:sz w:val="18"/>
                <w:szCs w:val="18"/>
                <w:lang w:val="en-US"/>
              </w:rPr>
            </w:pPr>
            <w:r w:rsidRPr="537FA187">
              <w:rPr>
                <w:i/>
                <w:iCs/>
                <w:sz w:val="18"/>
                <w:szCs w:val="18"/>
                <w:lang w:val="en-US"/>
              </w:rPr>
              <w:t xml:space="preserve">the official reports of the </w:t>
            </w:r>
            <w:r w:rsidR="4F82A5F6" w:rsidRPr="537FA187">
              <w:rPr>
                <w:i/>
                <w:iCs/>
                <w:sz w:val="18"/>
                <w:szCs w:val="18"/>
                <w:lang w:val="en-US"/>
              </w:rPr>
              <w:t>GDWF</w:t>
            </w:r>
            <w:r w:rsidRPr="537FA187">
              <w:rPr>
                <w:i/>
                <w:iCs/>
                <w:sz w:val="18"/>
                <w:szCs w:val="18"/>
                <w:lang w:val="en-US"/>
              </w:rPr>
              <w:t xml:space="preserve"> and the District City Hall</w:t>
            </w:r>
          </w:p>
        </w:tc>
      </w:tr>
      <w:tr w:rsidR="00EF68D0" w:rsidRPr="00F50786" w14:paraId="75A02FC7" w14:textId="77777777" w:rsidTr="2DC80E69">
        <w:trPr>
          <w:trHeight w:val="6812"/>
          <w:jc w:val="center"/>
        </w:trPr>
        <w:tc>
          <w:tcPr>
            <w:tcW w:w="1129" w:type="dxa"/>
            <w:vMerge/>
            <w:tcMar>
              <w:top w:w="0" w:type="dxa"/>
              <w:left w:w="115" w:type="dxa"/>
              <w:bottom w:w="0" w:type="dxa"/>
              <w:right w:w="115" w:type="dxa"/>
            </w:tcMar>
          </w:tcPr>
          <w:p w14:paraId="00000A10" w14:textId="77777777" w:rsidR="00EF68D0" w:rsidRPr="00263D2C" w:rsidRDefault="00EF68D0" w:rsidP="00EF68D0">
            <w:pPr>
              <w:widowControl w:val="0"/>
              <w:pBdr>
                <w:top w:val="nil"/>
                <w:left w:val="nil"/>
                <w:bottom w:val="nil"/>
                <w:right w:val="nil"/>
                <w:between w:val="nil"/>
              </w:pBdr>
              <w:spacing w:after="0" w:line="276" w:lineRule="auto"/>
              <w:rPr>
                <w:sz w:val="18"/>
                <w:szCs w:val="18"/>
                <w:lang w:val="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00A11" w14:textId="77777777" w:rsidR="00EF68D0" w:rsidRPr="00087E1E" w:rsidRDefault="43606BF1" w:rsidP="00EF68D0">
            <w:pPr>
              <w:rPr>
                <w:sz w:val="18"/>
                <w:szCs w:val="18"/>
                <w:lang w:val="en-US"/>
              </w:rPr>
            </w:pPr>
            <w:r w:rsidRPr="5D8904BE">
              <w:rPr>
                <w:sz w:val="18"/>
                <w:szCs w:val="18"/>
                <w:u w:val="single"/>
                <w:lang w:val="en-US"/>
              </w:rPr>
              <w:t>Indicator 4</w:t>
            </w:r>
            <w:r w:rsidRPr="5D8904BE">
              <w:rPr>
                <w:sz w:val="18"/>
                <w:szCs w:val="18"/>
                <w:lang w:val="en-US"/>
              </w:rPr>
              <w:t>: Reduction in greenhouse gas emissions (</w:t>
            </w:r>
            <w:proofErr w:type="spellStart"/>
            <w:r w:rsidRPr="5D8904BE">
              <w:rPr>
                <w:sz w:val="18"/>
                <w:szCs w:val="18"/>
                <w:lang w:val="en-US"/>
              </w:rPr>
              <w:t>tonnes</w:t>
            </w:r>
            <w:proofErr w:type="spellEnd"/>
            <w:r w:rsidRPr="5D8904BE">
              <w:rPr>
                <w:sz w:val="18"/>
                <w:szCs w:val="18"/>
                <w:lang w:val="en-US"/>
              </w:rPr>
              <w:t xml:space="preserve"> of CO2e) - direct and indirect (GEF Core Indicator)</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12" w14:textId="2E1B37D8" w:rsidR="00EF68D0" w:rsidRPr="00087E1E" w:rsidRDefault="00EF68D0" w:rsidP="00EF68D0">
            <w:pPr>
              <w:rPr>
                <w:sz w:val="18"/>
                <w:szCs w:val="18"/>
              </w:rPr>
            </w:pPr>
            <w:r w:rsidRPr="00087E1E">
              <w:rPr>
                <w:sz w:val="18"/>
                <w:szCs w:val="18"/>
              </w:rPr>
              <w:t>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181753BB" w14:textId="2925F4C6" w:rsidR="00E24547" w:rsidRPr="00045243" w:rsidRDefault="00E24547" w:rsidP="00E24547">
            <w:pPr>
              <w:shd w:val="clear" w:color="auto" w:fill="FFFFFF" w:themeFill="background1"/>
              <w:jc w:val="center"/>
              <w:rPr>
                <w:rFonts w:asciiTheme="minorHAnsi" w:hAnsiTheme="minorHAnsi" w:cstheme="minorBidi"/>
                <w:color w:val="000000" w:themeColor="text1"/>
                <w:sz w:val="20"/>
                <w:szCs w:val="20"/>
                <w:highlight w:val="green"/>
              </w:rPr>
            </w:pPr>
            <w:r w:rsidRPr="00045243">
              <w:rPr>
                <w:rFonts w:asciiTheme="minorHAnsi" w:hAnsiTheme="minorHAnsi" w:cstheme="minorBidi"/>
                <w:color w:val="000000" w:themeColor="text1"/>
                <w:sz w:val="20"/>
                <w:szCs w:val="20"/>
                <w:highlight w:val="green"/>
              </w:rPr>
              <w:t>387</w:t>
            </w:r>
            <w:r>
              <w:rPr>
                <w:rFonts w:asciiTheme="minorHAnsi" w:hAnsiTheme="minorHAnsi" w:cstheme="minorBidi"/>
                <w:color w:val="000000" w:themeColor="text1"/>
                <w:sz w:val="20"/>
                <w:szCs w:val="20"/>
                <w:highlight w:val="green"/>
              </w:rPr>
              <w:t>,</w:t>
            </w:r>
            <w:r w:rsidRPr="00045243">
              <w:rPr>
                <w:rFonts w:asciiTheme="minorHAnsi" w:hAnsiTheme="minorHAnsi" w:cstheme="minorBidi"/>
                <w:color w:val="000000" w:themeColor="text1"/>
                <w:sz w:val="20"/>
                <w:szCs w:val="20"/>
                <w:highlight w:val="green"/>
              </w:rPr>
              <w:t>617</w:t>
            </w:r>
          </w:p>
          <w:p w14:paraId="7DDD5FB8" w14:textId="302C0D99" w:rsidR="00EF68D0" w:rsidRPr="00087E1E" w:rsidRDefault="00E24547" w:rsidP="00E24547">
            <w:pPr>
              <w:rPr>
                <w:sz w:val="18"/>
                <w:szCs w:val="18"/>
                <w:lang w:val="en-US"/>
              </w:rPr>
            </w:pPr>
            <w:r w:rsidRPr="13EFD50F">
              <w:rPr>
                <w:rFonts w:asciiTheme="minorHAnsi" w:hAnsiTheme="minorHAnsi" w:cstheme="minorBidi"/>
                <w:color w:val="000000" w:themeColor="text1"/>
                <w:sz w:val="20"/>
                <w:szCs w:val="20"/>
              </w:rPr>
              <w:t xml:space="preserve"> </w:t>
            </w:r>
            <w:proofErr w:type="gramStart"/>
            <w:r w:rsidRPr="00045243">
              <w:rPr>
                <w:rFonts w:asciiTheme="minorHAnsi" w:hAnsiTheme="minorHAnsi" w:cstheme="minorBidi"/>
                <w:color w:val="000000" w:themeColor="text1"/>
                <w:sz w:val="20"/>
                <w:szCs w:val="20"/>
                <w:highlight w:val="green"/>
              </w:rPr>
              <w:t>tCO</w:t>
            </w:r>
            <w:proofErr w:type="gramEnd"/>
            <w:r w:rsidRPr="00045243">
              <w:rPr>
                <w:rFonts w:asciiTheme="minorHAnsi" w:hAnsiTheme="minorHAnsi" w:cstheme="minorBidi"/>
                <w:color w:val="000000" w:themeColor="text1"/>
                <w:sz w:val="20"/>
                <w:szCs w:val="20"/>
                <w:highlight w:val="green"/>
              </w:rPr>
              <w:t>2e</w:t>
            </w:r>
            <w:r w:rsidRPr="00087E1E">
              <w:rPr>
                <w:sz w:val="18"/>
                <w:szCs w:val="18"/>
              </w:rPr>
              <w:t xml:space="preserve"> </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8DF6F1" w14:textId="77777777" w:rsidR="00EF68D0" w:rsidRPr="009804E6" w:rsidRDefault="43606BF1" w:rsidP="00EF68D0">
            <w:pPr>
              <w:rPr>
                <w:sz w:val="18"/>
                <w:szCs w:val="18"/>
                <w:lang w:val="en-US"/>
              </w:rPr>
            </w:pPr>
            <w:r w:rsidRPr="5D8904BE">
              <w:rPr>
                <w:sz w:val="18"/>
                <w:szCs w:val="18"/>
                <w:lang w:val="en-US"/>
              </w:rPr>
              <w:t xml:space="preserve">This indicator measures the total amount of greenhouse gases (GHGs) avoided, reduced or sequestered through the implementation of the project, expressed in </w:t>
            </w:r>
            <w:proofErr w:type="spellStart"/>
            <w:r w:rsidRPr="5D8904BE">
              <w:rPr>
                <w:sz w:val="18"/>
                <w:szCs w:val="18"/>
                <w:lang w:val="en-US"/>
              </w:rPr>
              <w:t>tonnes</w:t>
            </w:r>
            <w:proofErr w:type="spellEnd"/>
            <w:r w:rsidRPr="5D8904BE">
              <w:rPr>
                <w:sz w:val="18"/>
                <w:szCs w:val="18"/>
                <w:lang w:val="en-US"/>
              </w:rPr>
              <w:t xml:space="preserve"> of carbon dioxide equivalent (</w:t>
            </w:r>
            <w:proofErr w:type="spellStart"/>
            <w:r w:rsidRPr="5D8904BE">
              <w:rPr>
                <w:sz w:val="18"/>
                <w:szCs w:val="18"/>
                <w:lang w:val="en-US"/>
              </w:rPr>
              <w:t>tCO₂e</w:t>
            </w:r>
            <w:proofErr w:type="spellEnd"/>
            <w:r w:rsidRPr="5D8904BE">
              <w:rPr>
                <w:sz w:val="18"/>
                <w:szCs w:val="18"/>
                <w:lang w:val="en-US"/>
              </w:rPr>
              <w:t>). It includes:</w:t>
            </w:r>
          </w:p>
          <w:p w14:paraId="37475B4F" w14:textId="77777777" w:rsidR="00EF68D0" w:rsidRPr="009804E6" w:rsidRDefault="43606BF1" w:rsidP="001360BB">
            <w:pPr>
              <w:numPr>
                <w:ilvl w:val="0"/>
                <w:numId w:val="174"/>
              </w:numPr>
              <w:ind w:left="0" w:firstLine="0"/>
              <w:rPr>
                <w:sz w:val="18"/>
                <w:szCs w:val="18"/>
                <w:lang w:val="en-US"/>
              </w:rPr>
            </w:pPr>
            <w:r w:rsidRPr="5D8904BE">
              <w:rPr>
                <w:b/>
                <w:bCs/>
                <w:sz w:val="18"/>
                <w:szCs w:val="18"/>
                <w:lang w:val="en-US"/>
              </w:rPr>
              <w:t xml:space="preserve">Direct </w:t>
            </w:r>
            <w:proofErr w:type="gramStart"/>
            <w:r w:rsidRPr="5D8904BE">
              <w:rPr>
                <w:b/>
                <w:bCs/>
                <w:sz w:val="18"/>
                <w:szCs w:val="18"/>
                <w:lang w:val="en-US"/>
              </w:rPr>
              <w:t>reductions</w:t>
            </w:r>
            <w:r w:rsidRPr="5D8904BE">
              <w:rPr>
                <w:sz w:val="18"/>
                <w:szCs w:val="18"/>
                <w:lang w:val="en-US"/>
              </w:rPr>
              <w:t xml:space="preserve"> :</w:t>
            </w:r>
            <w:proofErr w:type="gramEnd"/>
            <w:r w:rsidRPr="5D8904BE">
              <w:rPr>
                <w:sz w:val="18"/>
                <w:szCs w:val="18"/>
                <w:lang w:val="en-US"/>
              </w:rPr>
              <w:t xml:space="preserve"> Emissions reduced or avoided over the life of the project, due to activities implemented directly by the project.</w:t>
            </w:r>
          </w:p>
          <w:p w14:paraId="4786C4C8" w14:textId="77777777" w:rsidR="00EF68D0" w:rsidRPr="009804E6" w:rsidRDefault="43606BF1" w:rsidP="001360BB">
            <w:pPr>
              <w:numPr>
                <w:ilvl w:val="0"/>
                <w:numId w:val="174"/>
              </w:numPr>
              <w:ind w:left="0" w:firstLine="0"/>
              <w:rPr>
                <w:sz w:val="18"/>
                <w:szCs w:val="18"/>
                <w:lang w:val="en-US"/>
              </w:rPr>
            </w:pPr>
            <w:r w:rsidRPr="5D8904BE">
              <w:rPr>
                <w:b/>
                <w:bCs/>
                <w:sz w:val="18"/>
                <w:szCs w:val="18"/>
                <w:lang w:val="en-US"/>
              </w:rPr>
              <w:t xml:space="preserve">Indirect </w:t>
            </w:r>
            <w:proofErr w:type="gramStart"/>
            <w:r w:rsidRPr="5D8904BE">
              <w:rPr>
                <w:b/>
                <w:bCs/>
                <w:sz w:val="18"/>
                <w:szCs w:val="18"/>
                <w:lang w:val="en-US"/>
              </w:rPr>
              <w:t>reductions</w:t>
            </w:r>
            <w:r w:rsidRPr="5D8904BE">
              <w:rPr>
                <w:sz w:val="18"/>
                <w:szCs w:val="18"/>
                <w:lang w:val="en-US"/>
              </w:rPr>
              <w:t xml:space="preserve"> :</w:t>
            </w:r>
            <w:proofErr w:type="gramEnd"/>
            <w:r w:rsidRPr="5D8904BE">
              <w:rPr>
                <w:sz w:val="18"/>
                <w:szCs w:val="18"/>
                <w:lang w:val="en-US"/>
              </w:rPr>
              <w:t xml:space="preserve"> Reductions expected after the life of the project or resulting from a catalytic effect, replication, or project-induced systemic or regulatory change.</w:t>
            </w:r>
          </w:p>
          <w:p w14:paraId="00000A17" w14:textId="183819C1" w:rsidR="00EF68D0" w:rsidRPr="00263D2C" w:rsidRDefault="00EF68D0" w:rsidP="00EF68D0">
            <w:pPr>
              <w:rPr>
                <w:sz w:val="18"/>
                <w:szCs w:val="18"/>
                <w:lang w:val="en-US"/>
              </w:rPr>
            </w:pPr>
            <w:r w:rsidRPr="009804E6">
              <w:rPr>
                <w:sz w:val="18"/>
                <w:szCs w:val="18"/>
                <w:lang w:val="en-US"/>
              </w:rPr>
              <w:t>This indicator measures direct GHG emissions mitigated over the life of the project</w:t>
            </w:r>
            <w:r>
              <w:rPr>
                <w:sz w:val="18"/>
                <w:szCs w:val="18"/>
                <w:lang w:val="en-US"/>
              </w:rPr>
              <w:t>.</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1A" w14:textId="4F406EA8" w:rsidR="00EF68D0" w:rsidRPr="00263D2C" w:rsidRDefault="00EF68D0" w:rsidP="00EF68D0">
            <w:pPr>
              <w:rPr>
                <w:sz w:val="18"/>
                <w:szCs w:val="18"/>
                <w:lang w:val="en-U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7D2B009" w14:textId="77777777" w:rsidR="00EF68D0" w:rsidRPr="009804E6" w:rsidRDefault="00EF68D0" w:rsidP="00EF68D0">
            <w:pPr>
              <w:rPr>
                <w:sz w:val="18"/>
                <w:szCs w:val="18"/>
                <w:lang w:val="en-US"/>
              </w:rPr>
            </w:pPr>
            <w:r w:rsidRPr="53AE587F">
              <w:rPr>
                <w:sz w:val="18"/>
                <w:szCs w:val="18"/>
                <w:lang w:val="en-US"/>
              </w:rPr>
              <w:t>Annually</w:t>
            </w:r>
          </w:p>
          <w:p w14:paraId="00000A1B" w14:textId="0AF343EC" w:rsidR="00EF68D0" w:rsidRPr="00EF68D0" w:rsidRDefault="00EF68D0" w:rsidP="00EF68D0">
            <w:pPr>
              <w:rPr>
                <w:sz w:val="18"/>
                <w:szCs w:val="18"/>
                <w:lang w:val="en-US"/>
              </w:rPr>
            </w:pPr>
            <w:r w:rsidRPr="00263D2C">
              <w:rPr>
                <w:sz w:val="18"/>
                <w:szCs w:val="18"/>
                <w:lang w:val="en-US"/>
              </w:rPr>
              <w:t xml:space="preserve">Reported in the GEF </w:t>
            </w:r>
            <w:r w:rsidR="001A04FC">
              <w:rPr>
                <w:sz w:val="18"/>
                <w:szCs w:val="18"/>
                <w:lang w:val="en-US"/>
              </w:rPr>
              <w:t>PIR</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9365D2D" w14:textId="41CD9755" w:rsidR="00EF68D0" w:rsidRPr="00263D2C" w:rsidRDefault="58315770" w:rsidP="00EF68D0">
            <w:pPr>
              <w:rPr>
                <w:sz w:val="18"/>
                <w:szCs w:val="18"/>
                <w:lang w:val="en-US"/>
              </w:rPr>
            </w:pPr>
            <w:r w:rsidRPr="537FA187">
              <w:rPr>
                <w:i/>
                <w:iCs/>
                <w:sz w:val="18"/>
                <w:szCs w:val="18"/>
              </w:rPr>
              <w:t>GDT</w:t>
            </w:r>
            <w:r w:rsidR="17DF0864" w:rsidRPr="537FA187">
              <w:rPr>
                <w:i/>
                <w:iCs/>
                <w:sz w:val="18"/>
                <w:szCs w:val="18"/>
              </w:rPr>
              <w:t xml:space="preserve">, </w:t>
            </w:r>
            <w:r w:rsidR="4F82A5F6" w:rsidRPr="537FA187">
              <w:rPr>
                <w:i/>
                <w:iCs/>
                <w:sz w:val="18"/>
                <w:szCs w:val="18"/>
              </w:rPr>
              <w:t>GDWF</w:t>
            </w:r>
            <w:r w:rsidR="17DF0864" w:rsidRPr="537FA187">
              <w:rPr>
                <w:i/>
                <w:iCs/>
                <w:sz w:val="18"/>
                <w:szCs w:val="18"/>
              </w:rPr>
              <w:t xml:space="preserve"> and PMU</w:t>
            </w: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A1C" w14:textId="59F504A8" w:rsidR="00EF68D0" w:rsidRPr="00263D2C" w:rsidRDefault="17DF0864" w:rsidP="00EF68D0">
            <w:pPr>
              <w:rPr>
                <w:sz w:val="18"/>
                <w:szCs w:val="18"/>
                <w:lang w:val="en-US"/>
              </w:rPr>
            </w:pPr>
            <w:r w:rsidRPr="537FA187">
              <w:rPr>
                <w:i/>
                <w:iCs/>
                <w:sz w:val="18"/>
                <w:szCs w:val="18"/>
                <w:lang w:val="en-US"/>
              </w:rPr>
              <w:t xml:space="preserve">Official reports of the </w:t>
            </w:r>
            <w:r w:rsidR="4F82A5F6" w:rsidRPr="537FA187">
              <w:rPr>
                <w:i/>
                <w:iCs/>
                <w:sz w:val="18"/>
                <w:szCs w:val="18"/>
                <w:lang w:val="en-US"/>
              </w:rPr>
              <w:t>GDWF</w:t>
            </w:r>
            <w:r w:rsidRPr="537FA187">
              <w:rPr>
                <w:i/>
                <w:iCs/>
                <w:sz w:val="18"/>
                <w:szCs w:val="18"/>
                <w:lang w:val="en-US"/>
              </w:rPr>
              <w:t xml:space="preserve"> and the </w:t>
            </w:r>
            <w:r w:rsidR="58315770" w:rsidRPr="537FA187">
              <w:rPr>
                <w:i/>
                <w:iCs/>
                <w:sz w:val="18"/>
                <w:szCs w:val="18"/>
                <w:lang w:val="en-US"/>
              </w:rPr>
              <w:t>GDT</w:t>
            </w:r>
          </w:p>
        </w:tc>
      </w:tr>
      <w:tr w:rsidR="00336C8C" w:rsidRPr="00F50786" w14:paraId="0D9E9587" w14:textId="77777777" w:rsidTr="2DC80E69">
        <w:trPr>
          <w:gridAfter w:val="1"/>
          <w:wAfter w:w="35" w:type="dxa"/>
          <w:trHeight w:val="1118"/>
          <w:jc w:val="center"/>
        </w:trPr>
        <w:tc>
          <w:tcPr>
            <w:tcW w:w="1129" w:type="dxa"/>
            <w:tcBorders>
              <w:left w:val="single" w:sz="4" w:space="0" w:color="000000" w:themeColor="text1"/>
              <w:bottom w:val="single" w:sz="4" w:space="0" w:color="000000" w:themeColor="text1"/>
              <w:right w:val="single" w:sz="4" w:space="0" w:color="000000" w:themeColor="text1"/>
            </w:tcBorders>
            <w:vAlign w:val="center"/>
          </w:tcPr>
          <w:p w14:paraId="4A4A766D" w14:textId="77777777" w:rsidR="00336C8C" w:rsidRPr="00263D2C" w:rsidRDefault="00336C8C" w:rsidP="00EF68D0">
            <w:pPr>
              <w:rPr>
                <w:sz w:val="18"/>
                <w:szCs w:val="18"/>
                <w:lang w:val="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AE0B57" w14:textId="4AAC5262" w:rsidR="00336C8C" w:rsidRPr="003C5C1B" w:rsidRDefault="00336C8C" w:rsidP="3585F9A1">
            <w:pPr>
              <w:rPr>
                <w:i/>
                <w:iCs/>
                <w:sz w:val="18"/>
                <w:szCs w:val="18"/>
                <w:highlight w:val="green"/>
                <w:lang w:val="en-US"/>
              </w:rPr>
            </w:pPr>
            <w:r w:rsidRPr="003C5C1B">
              <w:rPr>
                <w:i/>
                <w:iCs/>
                <w:sz w:val="18"/>
                <w:szCs w:val="18"/>
                <w:highlight w:val="green"/>
                <w:lang w:val="en-US"/>
              </w:rPr>
              <w:t xml:space="preserve">Indicator #5: </w:t>
            </w:r>
            <w:r w:rsidR="00AB393F" w:rsidRPr="003C5C1B">
              <w:rPr>
                <w:rFonts w:asciiTheme="minorHAnsi" w:eastAsiaTheme="minorEastAsia" w:hAnsiTheme="minorHAnsi" w:cstheme="minorHAnsi"/>
                <w:color w:val="000000" w:themeColor="text1"/>
                <w:sz w:val="16"/>
                <w:szCs w:val="16"/>
                <w:highlight w:val="green"/>
                <w:lang w:val="en-US"/>
              </w:rPr>
              <w:t>Countries with legislation and policy implemented to control chemicals and waste (Core Indicator 9.4)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0F5D6FC" w14:textId="545D0179" w:rsidR="00336C8C" w:rsidRPr="003C5C1B" w:rsidRDefault="00556526" w:rsidP="00EF68D0">
            <w:pPr>
              <w:rPr>
                <w:sz w:val="18"/>
                <w:szCs w:val="18"/>
                <w:highlight w:val="green"/>
                <w:lang w:val="en-US"/>
              </w:rPr>
            </w:pPr>
            <w:r w:rsidRPr="003C5C1B">
              <w:rPr>
                <w:sz w:val="18"/>
                <w:szCs w:val="18"/>
                <w:highlight w:val="green"/>
                <w:lang w:val="en-US"/>
              </w:rPr>
              <w:t xml:space="preserve">A draft Solid Waste Management strategy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124534E0" w14:textId="406C717C" w:rsidR="00336C8C" w:rsidRPr="003C5C1B" w:rsidRDefault="00437C1C" w:rsidP="00EF68D0">
            <w:pPr>
              <w:rPr>
                <w:i/>
                <w:iCs/>
                <w:sz w:val="18"/>
                <w:szCs w:val="18"/>
                <w:highlight w:val="green"/>
                <w:lang w:val="en-US"/>
              </w:rPr>
            </w:pPr>
            <w:r w:rsidRPr="003C5C1B">
              <w:rPr>
                <w:i/>
                <w:iCs/>
                <w:sz w:val="18"/>
                <w:szCs w:val="18"/>
                <w:highlight w:val="green"/>
                <w:lang w:val="en-US"/>
              </w:rPr>
              <w:t>A final Solid Waste Management Strategy and Actions Plan</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40A391D" w14:textId="49B56D48" w:rsidR="00D53F8A" w:rsidRPr="003C5C1B" w:rsidRDefault="00D53F8A" w:rsidP="003C5C1B">
            <w:pPr>
              <w:jc w:val="both"/>
              <w:rPr>
                <w:sz w:val="18"/>
                <w:szCs w:val="18"/>
                <w:highlight w:val="green"/>
                <w:lang w:val="en-US"/>
              </w:rPr>
            </w:pPr>
            <w:r w:rsidRPr="003C5C1B">
              <w:rPr>
                <w:sz w:val="18"/>
                <w:szCs w:val="18"/>
                <w:highlight w:val="green"/>
                <w:lang w:val="en-US"/>
              </w:rPr>
              <w:t>This indicator counts whether the country has officially adopted a national Solid Waste Management Strategy and costed Action Plan that strengthen control of chemicals and waste</w:t>
            </w:r>
            <w:r w:rsidR="00C44233" w:rsidRPr="003C5C1B">
              <w:rPr>
                <w:sz w:val="18"/>
                <w:szCs w:val="18"/>
                <w:highlight w:val="green"/>
                <w:lang w:val="en-US"/>
              </w:rPr>
              <w:t xml:space="preserve"> </w:t>
            </w:r>
            <w:r w:rsidR="00FF2733" w:rsidRPr="003C5C1B">
              <w:rPr>
                <w:sz w:val="18"/>
                <w:szCs w:val="18"/>
                <w:highlight w:val="green"/>
                <w:lang w:val="en-US"/>
              </w:rPr>
              <w:t>by instrument type (law</w:t>
            </w:r>
            <w:r w:rsidR="00B46457" w:rsidRPr="003C5C1B">
              <w:rPr>
                <w:sz w:val="18"/>
                <w:szCs w:val="18"/>
                <w:highlight w:val="green"/>
                <w:lang w:val="en-US"/>
              </w:rPr>
              <w:t xml:space="preserve">, </w:t>
            </w:r>
            <w:r w:rsidR="00FF2733" w:rsidRPr="003C5C1B">
              <w:rPr>
                <w:sz w:val="18"/>
                <w:szCs w:val="18"/>
                <w:highlight w:val="green"/>
                <w:lang w:val="en-US"/>
              </w:rPr>
              <w:t>regulation</w:t>
            </w:r>
            <w:r w:rsidR="00B46457" w:rsidRPr="003C5C1B">
              <w:rPr>
                <w:sz w:val="18"/>
                <w:szCs w:val="18"/>
                <w:highlight w:val="green"/>
                <w:lang w:val="en-US"/>
              </w:rPr>
              <w:t xml:space="preserve">, </w:t>
            </w:r>
            <w:proofErr w:type="spellStart"/>
            <w:r w:rsidR="00C74A5E" w:rsidRPr="003C5C1B">
              <w:rPr>
                <w:sz w:val="18"/>
                <w:szCs w:val="18"/>
                <w:highlight w:val="green"/>
                <w:lang w:val="en-US"/>
              </w:rPr>
              <w:t>s</w:t>
            </w:r>
            <w:r w:rsidR="00FF2733" w:rsidRPr="003C5C1B">
              <w:rPr>
                <w:sz w:val="18"/>
                <w:szCs w:val="18"/>
                <w:highlight w:val="green"/>
                <w:lang w:val="en-US"/>
              </w:rPr>
              <w:t>standard</w:t>
            </w:r>
            <w:proofErr w:type="spellEnd"/>
            <w:r w:rsidR="003D03E7" w:rsidRPr="003C5C1B">
              <w:rPr>
                <w:sz w:val="18"/>
                <w:szCs w:val="18"/>
                <w:highlight w:val="green"/>
                <w:lang w:val="en-US"/>
              </w:rPr>
              <w:t>)</w:t>
            </w:r>
            <w:r w:rsidR="0072091B" w:rsidRPr="003C5C1B">
              <w:rPr>
                <w:sz w:val="18"/>
                <w:szCs w:val="18"/>
                <w:highlight w:val="green"/>
                <w:lang w:val="en-US"/>
              </w:rPr>
              <w:t xml:space="preserve"> and by waste stream (municipal, hazardous, healthcare, WEEE, packaging). </w:t>
            </w:r>
            <w:r w:rsidRPr="003C5C1B">
              <w:rPr>
                <w:sz w:val="18"/>
                <w:szCs w:val="18"/>
                <w:highlight w:val="green"/>
                <w:lang w:val="en-US"/>
              </w:rPr>
              <w:t xml:space="preserve"> </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E679A1A" w14:textId="611FD347" w:rsidR="00336C8C" w:rsidRPr="003C5C1B" w:rsidRDefault="481717DE" w:rsidP="00935FBF">
            <w:pPr>
              <w:rPr>
                <w:sz w:val="18"/>
                <w:szCs w:val="18"/>
                <w:highlight w:val="green"/>
                <w:lang w:val="en-US"/>
              </w:rPr>
            </w:pPr>
            <w:r w:rsidRPr="2DC80E69">
              <w:rPr>
                <w:b/>
                <w:bCs/>
                <w:sz w:val="18"/>
                <w:szCs w:val="18"/>
                <w:highlight w:val="green"/>
                <w:lang w:val="en-US"/>
              </w:rPr>
              <w:t>PMU/project deliverables:</w:t>
            </w:r>
            <w:r w:rsidR="19E1371E" w:rsidRPr="2DC80E69">
              <w:rPr>
                <w:b/>
                <w:bCs/>
                <w:sz w:val="18"/>
                <w:szCs w:val="18"/>
                <w:highlight w:val="green"/>
                <w:lang w:val="en-US"/>
              </w:rPr>
              <w:t xml:space="preserve"> Monthly reports</w:t>
            </w:r>
            <w:r w:rsidRPr="2DC80E69">
              <w:rPr>
                <w:sz w:val="18"/>
                <w:szCs w:val="18"/>
                <w:highlight w:val="green"/>
                <w:lang w:val="en-US"/>
              </w:rPr>
              <w:t>, stakeholder registers, training reports, TORs/procurements tied to SWMS/AP.</w:t>
            </w:r>
          </w:p>
          <w:p w14:paraId="173DC8CE" w14:textId="1854AA2B" w:rsidR="00EE6E0A" w:rsidRPr="003C5C1B" w:rsidRDefault="00EE6E0A" w:rsidP="00EE6E0A">
            <w:pPr>
              <w:rPr>
                <w:sz w:val="18"/>
                <w:szCs w:val="18"/>
                <w:highlight w:val="green"/>
                <w:lang w:val="en-US"/>
              </w:rPr>
            </w:pPr>
            <w:r w:rsidRPr="003C5C1B">
              <w:rPr>
                <w:b/>
                <w:bCs/>
                <w:sz w:val="18"/>
                <w:szCs w:val="18"/>
                <w:highlight w:val="green"/>
                <w:lang w:val="en-US"/>
              </w:rPr>
              <w:t>Ministry of Environment / national waste authority records:</w:t>
            </w:r>
            <w:r w:rsidRPr="003C5C1B">
              <w:rPr>
                <w:sz w:val="18"/>
                <w:szCs w:val="18"/>
                <w:highlight w:val="green"/>
                <w:lang w:val="en-US"/>
              </w:rPr>
              <w:t xml:space="preserve"> final SWMS/AP</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C055D99" w14:textId="77777777" w:rsidR="00336C8C" w:rsidRPr="003C5C1B" w:rsidRDefault="00D40AD8" w:rsidP="0043230E">
            <w:pPr>
              <w:rPr>
                <w:sz w:val="18"/>
                <w:szCs w:val="18"/>
                <w:highlight w:val="green"/>
                <w:lang w:val="en-US"/>
              </w:rPr>
            </w:pPr>
            <w:r w:rsidRPr="003C5C1B">
              <w:rPr>
                <w:sz w:val="18"/>
                <w:szCs w:val="18"/>
                <w:highlight w:val="green"/>
                <w:lang w:val="en-US"/>
              </w:rPr>
              <w:t>Annually</w:t>
            </w:r>
          </w:p>
          <w:p w14:paraId="5FD06018" w14:textId="77777777" w:rsidR="00D40AD8" w:rsidRPr="003C5C1B" w:rsidRDefault="00D40AD8" w:rsidP="0043230E">
            <w:pPr>
              <w:rPr>
                <w:sz w:val="18"/>
                <w:szCs w:val="18"/>
                <w:highlight w:val="green"/>
                <w:lang w:val="en-US"/>
              </w:rPr>
            </w:pPr>
          </w:p>
          <w:p w14:paraId="384D5450" w14:textId="5A40B1FA" w:rsidR="00D40AD8" w:rsidRPr="003C5C1B" w:rsidRDefault="00D40AD8" w:rsidP="0043230E">
            <w:pPr>
              <w:rPr>
                <w:sz w:val="18"/>
                <w:szCs w:val="18"/>
                <w:highlight w:val="green"/>
                <w:lang w:val="en-US"/>
              </w:rPr>
            </w:pPr>
            <w:r w:rsidRPr="003C5C1B">
              <w:rPr>
                <w:sz w:val="18"/>
                <w:szCs w:val="18"/>
                <w:highlight w:val="green"/>
                <w:lang w:val="en-US"/>
              </w:rPr>
              <w:t>Reported in the GEF PIR</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9A853DD" w14:textId="123A1A23" w:rsidR="00336C8C" w:rsidRPr="003C5C1B" w:rsidRDefault="008243DC" w:rsidP="008243DC">
            <w:pPr>
              <w:rPr>
                <w:i/>
                <w:iCs/>
                <w:sz w:val="18"/>
                <w:szCs w:val="18"/>
                <w:highlight w:val="green"/>
                <w:lang w:val="en-US"/>
              </w:rPr>
            </w:pPr>
            <w:r w:rsidRPr="003C5C1B">
              <w:rPr>
                <w:i/>
                <w:iCs/>
                <w:sz w:val="18"/>
                <w:szCs w:val="18"/>
                <w:highlight w:val="green"/>
                <w:lang w:val="en-US"/>
              </w:rPr>
              <w:t>PMU</w:t>
            </w:r>
            <w:r w:rsidR="005F6CE8">
              <w:rPr>
                <w:i/>
                <w:iCs/>
                <w:sz w:val="18"/>
                <w:szCs w:val="18"/>
                <w:highlight w:val="green"/>
                <w:lang w:val="en-US"/>
              </w:rPr>
              <w:t xml:space="preserve"> (PM </w:t>
            </w:r>
            <w:proofErr w:type="gramStart"/>
            <w:r w:rsidR="005F6CE8">
              <w:rPr>
                <w:i/>
                <w:iCs/>
                <w:sz w:val="18"/>
                <w:szCs w:val="18"/>
                <w:highlight w:val="green"/>
                <w:lang w:val="en-US"/>
              </w:rPr>
              <w:t xml:space="preserve">and </w:t>
            </w:r>
            <w:r w:rsidRPr="003C5C1B">
              <w:rPr>
                <w:i/>
                <w:iCs/>
                <w:sz w:val="18"/>
                <w:szCs w:val="18"/>
                <w:highlight w:val="green"/>
                <w:lang w:val="en-US"/>
              </w:rPr>
              <w:t xml:space="preserve"> M</w:t>
            </w:r>
            <w:proofErr w:type="gramEnd"/>
            <w:r w:rsidRPr="003C5C1B">
              <w:rPr>
                <w:i/>
                <w:iCs/>
                <w:sz w:val="18"/>
                <w:szCs w:val="18"/>
                <w:highlight w:val="green"/>
                <w:lang w:val="en-US"/>
              </w:rPr>
              <w:t>&amp;E Specialist with Ministry focal point;</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19A5EDC0" w14:textId="6AF0ACC9" w:rsidR="00336C8C" w:rsidRPr="003C5C1B" w:rsidRDefault="008F7671" w:rsidP="5D8904BE">
            <w:pPr>
              <w:rPr>
                <w:i/>
                <w:iCs/>
                <w:sz w:val="18"/>
                <w:szCs w:val="18"/>
                <w:highlight w:val="green"/>
                <w:lang w:val="en-US"/>
              </w:rPr>
            </w:pPr>
            <w:r w:rsidRPr="003C5C1B">
              <w:rPr>
                <w:i/>
                <w:iCs/>
                <w:sz w:val="18"/>
                <w:szCs w:val="18"/>
                <w:highlight w:val="green"/>
                <w:lang w:val="en-US"/>
              </w:rPr>
              <w:t>Consultant's report and PMU reports (</w:t>
            </w:r>
            <w:r w:rsidRPr="003C5C1B">
              <w:rPr>
                <w:sz w:val="18"/>
                <w:szCs w:val="18"/>
                <w:highlight w:val="green"/>
                <w:lang w:val="en-US"/>
              </w:rPr>
              <w:t>knowledge management reports, consolidating practices in the lessons learned register)</w:t>
            </w:r>
          </w:p>
        </w:tc>
      </w:tr>
      <w:tr w:rsidR="00EF68D0" w:rsidRPr="00F50786" w14:paraId="1D55E31A" w14:textId="77777777" w:rsidTr="2DC80E69">
        <w:trPr>
          <w:gridAfter w:val="1"/>
          <w:wAfter w:w="35" w:type="dxa"/>
          <w:trHeight w:val="1118"/>
          <w:jc w:val="center"/>
        </w:trPr>
        <w:tc>
          <w:tcPr>
            <w:tcW w:w="1129" w:type="dxa"/>
            <w:tcBorders>
              <w:left w:val="single" w:sz="4" w:space="0" w:color="000000" w:themeColor="text1"/>
              <w:bottom w:val="single" w:sz="4" w:space="0" w:color="000000" w:themeColor="text1"/>
              <w:right w:val="single" w:sz="4" w:space="0" w:color="000000" w:themeColor="text1"/>
            </w:tcBorders>
            <w:vAlign w:val="center"/>
          </w:tcPr>
          <w:p w14:paraId="00000A1D" w14:textId="77777777" w:rsidR="00EF68D0" w:rsidRPr="00263D2C" w:rsidRDefault="00EF68D0" w:rsidP="00EF68D0">
            <w:pPr>
              <w:rPr>
                <w:sz w:val="18"/>
                <w:szCs w:val="18"/>
                <w:lang w:val="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A1E" w14:textId="25126CDE" w:rsidR="00EF68D0" w:rsidRPr="00857B81" w:rsidRDefault="3A41F656" w:rsidP="3585F9A1">
            <w:pPr>
              <w:rPr>
                <w:sz w:val="18"/>
                <w:szCs w:val="18"/>
                <w:highlight w:val="yellow"/>
                <w:lang w:val="en-US"/>
              </w:rPr>
            </w:pPr>
            <w:r w:rsidRPr="00857B81">
              <w:rPr>
                <w:i/>
                <w:iCs/>
                <w:sz w:val="18"/>
                <w:szCs w:val="18"/>
                <w:lang w:val="en-US"/>
              </w:rPr>
              <w:t xml:space="preserve">Indicator </w:t>
            </w:r>
            <w:r w:rsidR="0065402B">
              <w:rPr>
                <w:i/>
                <w:iCs/>
                <w:sz w:val="18"/>
                <w:szCs w:val="18"/>
                <w:lang w:val="en-US"/>
              </w:rPr>
              <w:t>6</w:t>
            </w:r>
            <w:r w:rsidRPr="00857B81">
              <w:rPr>
                <w:i/>
                <w:iCs/>
                <w:sz w:val="18"/>
                <w:szCs w:val="18"/>
                <w:lang w:val="en-US"/>
              </w:rPr>
              <w:t xml:space="preserve">:  </w:t>
            </w:r>
            <w:proofErr w:type="gramStart"/>
            <w:r w:rsidR="74B0CCE9" w:rsidRPr="00857B81">
              <w:rPr>
                <w:i/>
                <w:iCs/>
                <w:sz w:val="18"/>
                <w:szCs w:val="18"/>
                <w:lang w:val="en-US"/>
              </w:rPr>
              <w:t>%  of</w:t>
            </w:r>
            <w:proofErr w:type="gramEnd"/>
            <w:r w:rsidR="74B0CCE9" w:rsidRPr="00857B81">
              <w:rPr>
                <w:i/>
                <w:iCs/>
                <w:sz w:val="18"/>
                <w:szCs w:val="18"/>
                <w:lang w:val="en-US"/>
              </w:rPr>
              <w:t xml:space="preserve"> Institutions and households that have adopted integrated, green and resilient development practices (e.g., green investment incentive mechanism, climate-smart agriculture, electric mobility, sustainable land management).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1F" w14:textId="3B3CC807" w:rsidR="00EF68D0" w:rsidRDefault="43606BF1" w:rsidP="00EF68D0">
            <w:pPr>
              <w:rPr>
                <w:sz w:val="18"/>
                <w:szCs w:val="18"/>
                <w:highlight w:val="yellow"/>
              </w:rPr>
            </w:pPr>
            <w:r w:rsidRPr="5D8904BE">
              <w:rPr>
                <w:sz w:val="18"/>
                <w:szCs w:val="18"/>
              </w:rPr>
              <w:t xml:space="preserve">30% of institutions and </w:t>
            </w:r>
            <w:proofErr w:type="spellStart"/>
            <w:r w:rsidRPr="5D8904BE">
              <w:rPr>
                <w:sz w:val="18"/>
                <w:szCs w:val="18"/>
              </w:rPr>
              <w:t>households</w:t>
            </w:r>
            <w:proofErr w:type="spellEnd"/>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20" w14:textId="2DCB65B3" w:rsidR="00EF68D0" w:rsidRDefault="492091B0" w:rsidP="00EF68D0">
            <w:pPr>
              <w:rPr>
                <w:sz w:val="18"/>
                <w:szCs w:val="18"/>
              </w:rPr>
            </w:pPr>
            <w:r w:rsidRPr="537FA187">
              <w:rPr>
                <w:i/>
                <w:iCs/>
                <w:sz w:val="18"/>
                <w:szCs w:val="18"/>
              </w:rPr>
              <w:t>6</w:t>
            </w:r>
            <w:r w:rsidR="62BB4874" w:rsidRPr="537FA187">
              <w:rPr>
                <w:i/>
                <w:iCs/>
                <w:sz w:val="18"/>
                <w:szCs w:val="18"/>
              </w:rPr>
              <w:t xml:space="preserve">0% of </w:t>
            </w:r>
            <w:proofErr w:type="spellStart"/>
            <w:r w:rsidR="62BB4874" w:rsidRPr="537FA187">
              <w:rPr>
                <w:i/>
                <w:iCs/>
                <w:sz w:val="18"/>
                <w:szCs w:val="18"/>
              </w:rPr>
              <w:t>institutionsand</w:t>
            </w:r>
            <w:proofErr w:type="spellEnd"/>
            <w:r w:rsidR="62BB4874" w:rsidRPr="537FA187">
              <w:rPr>
                <w:i/>
                <w:iCs/>
                <w:sz w:val="18"/>
                <w:szCs w:val="18"/>
              </w:rPr>
              <w:t xml:space="preserve"> </w:t>
            </w:r>
            <w:proofErr w:type="spellStart"/>
            <w:r w:rsidR="62BB4874" w:rsidRPr="537FA187">
              <w:rPr>
                <w:i/>
                <w:iCs/>
                <w:sz w:val="18"/>
                <w:szCs w:val="18"/>
              </w:rPr>
              <w:t>households</w:t>
            </w:r>
            <w:proofErr w:type="spellEnd"/>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21" w14:textId="77777777" w:rsidR="00EF68D0" w:rsidRPr="00263D2C" w:rsidRDefault="43606BF1" w:rsidP="00EF68D0">
            <w:pPr>
              <w:rPr>
                <w:sz w:val="18"/>
                <w:szCs w:val="18"/>
                <w:lang w:val="en-US"/>
              </w:rPr>
            </w:pPr>
            <w:r w:rsidRPr="5D8904BE">
              <w:rPr>
                <w:sz w:val="18"/>
                <w:szCs w:val="18"/>
                <w:lang w:val="en-US"/>
              </w:rPr>
              <w:t xml:space="preserve">This indicator measures changes in attitudes and practices to ensure that institutional actors and populations integrate an integrated development approach in a sustainable way. Share of key actors (technical services, local authorities, CSOs) and households that report or demonstrate that they have changed their daily </w:t>
            </w:r>
            <w:proofErr w:type="spellStart"/>
            <w:r w:rsidRPr="5D8904BE">
              <w:rPr>
                <w:sz w:val="18"/>
                <w:szCs w:val="18"/>
                <w:lang w:val="en-US"/>
              </w:rPr>
              <w:t>behaviours</w:t>
            </w:r>
            <w:proofErr w:type="spellEnd"/>
            <w:r w:rsidRPr="5D8904BE">
              <w:rPr>
                <w:sz w:val="18"/>
                <w:szCs w:val="18"/>
                <w:lang w:val="en-US"/>
              </w:rPr>
              <w:t xml:space="preserve"> and practices to simultaneously </w:t>
            </w:r>
            <w:proofErr w:type="gramStart"/>
            <w:r w:rsidRPr="5D8904BE">
              <w:rPr>
                <w:sz w:val="18"/>
                <w:szCs w:val="18"/>
                <w:lang w:val="en-US"/>
              </w:rPr>
              <w:t>take into account</w:t>
            </w:r>
            <w:proofErr w:type="gramEnd"/>
            <w:r w:rsidRPr="5D8904BE">
              <w:rPr>
                <w:sz w:val="18"/>
                <w:szCs w:val="18"/>
                <w:lang w:val="en-US"/>
              </w:rPr>
              <w:t xml:space="preserve"> the environmental, social and economic dimensions (e.g. multisectoral planning, urban </w:t>
            </w:r>
            <w:r w:rsidRPr="5D8904BE">
              <w:rPr>
                <w:sz w:val="18"/>
                <w:szCs w:val="18"/>
                <w:lang w:val="en-US"/>
              </w:rPr>
              <w:lastRenderedPageBreak/>
              <w:t>agroforestry, participatory management of green spaces, electric mobility, selective waste sorting).</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22" w14:textId="77777777" w:rsidR="00EF68D0" w:rsidRPr="00263D2C" w:rsidRDefault="43606BF1" w:rsidP="00EF68D0">
            <w:pPr>
              <w:rPr>
                <w:sz w:val="18"/>
                <w:szCs w:val="18"/>
                <w:lang w:val="en-US"/>
              </w:rPr>
            </w:pPr>
            <w:r w:rsidRPr="5D8904BE">
              <w:rPr>
                <w:sz w:val="18"/>
                <w:szCs w:val="18"/>
                <w:lang w:val="en-US"/>
              </w:rPr>
              <w:lastRenderedPageBreak/>
              <w:t xml:space="preserve">Quantitative and qualitative </w:t>
            </w:r>
            <w:proofErr w:type="spellStart"/>
            <w:r w:rsidRPr="5D8904BE">
              <w:rPr>
                <w:sz w:val="18"/>
                <w:szCs w:val="18"/>
                <w:lang w:val="en-US"/>
              </w:rPr>
              <w:t>behavioural</w:t>
            </w:r>
            <w:proofErr w:type="spellEnd"/>
            <w:r w:rsidRPr="5D8904BE">
              <w:rPr>
                <w:sz w:val="18"/>
                <w:szCs w:val="18"/>
                <w:lang w:val="en-US"/>
              </w:rPr>
              <w:t xml:space="preserve"> science surveys at the level of project actors and households affected by the project in collaboration with the ACC Lab</w:t>
            </w:r>
          </w:p>
          <w:p w14:paraId="00000A23" w14:textId="77777777" w:rsidR="00EF68D0" w:rsidRPr="00263D2C" w:rsidRDefault="00EF68D0" w:rsidP="00EF68D0">
            <w:pPr>
              <w:rPr>
                <w:sz w:val="18"/>
                <w:szCs w:val="18"/>
                <w:lang w:val="en-US"/>
              </w:rPr>
            </w:pPr>
          </w:p>
          <w:p w14:paraId="00000A24" w14:textId="77777777" w:rsidR="00EF68D0" w:rsidRPr="00263D2C" w:rsidRDefault="00EF68D0" w:rsidP="00EF68D0">
            <w:pPr>
              <w:rPr>
                <w:sz w:val="18"/>
                <w:szCs w:val="18"/>
                <w:lang w:val="en-U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39FB2C7" w14:textId="77777777" w:rsidR="001A04FC" w:rsidRPr="00263D2C" w:rsidRDefault="001A04FC" w:rsidP="001A04FC">
            <w:pPr>
              <w:rPr>
                <w:sz w:val="18"/>
                <w:szCs w:val="18"/>
                <w:lang w:val="en-US"/>
              </w:rPr>
            </w:pPr>
            <w:r w:rsidRPr="00263D2C">
              <w:rPr>
                <w:sz w:val="18"/>
                <w:szCs w:val="18"/>
                <w:lang w:val="en-US"/>
              </w:rPr>
              <w:t>Annually</w:t>
            </w:r>
          </w:p>
          <w:p w14:paraId="00000A26" w14:textId="49884201" w:rsidR="00EF68D0" w:rsidRPr="00263D2C" w:rsidRDefault="001A04FC" w:rsidP="00EF68D0">
            <w:pPr>
              <w:rPr>
                <w:sz w:val="18"/>
                <w:szCs w:val="18"/>
                <w:lang w:val="en-US"/>
              </w:rPr>
            </w:pPr>
            <w:r w:rsidRPr="00263D2C">
              <w:rPr>
                <w:sz w:val="18"/>
                <w:szCs w:val="18"/>
                <w:lang w:val="en-US"/>
              </w:rPr>
              <w:t>Reported in the GEF</w:t>
            </w:r>
            <w:r>
              <w:rPr>
                <w:sz w:val="18"/>
                <w:szCs w:val="18"/>
                <w:lang w:val="en-US"/>
              </w:rPr>
              <w:t xml:space="preserve"> PIR</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27" w14:textId="6CC5A3D2" w:rsidR="00EF68D0" w:rsidRPr="003C5C1B" w:rsidRDefault="69663027" w:rsidP="537FA187">
            <w:pPr>
              <w:rPr>
                <w:i/>
                <w:iCs/>
                <w:sz w:val="18"/>
                <w:szCs w:val="18"/>
                <w:lang w:val="en-US"/>
              </w:rPr>
            </w:pPr>
            <w:r w:rsidRPr="003C5C1B">
              <w:rPr>
                <w:i/>
                <w:iCs/>
                <w:sz w:val="18"/>
                <w:szCs w:val="18"/>
                <w:lang w:val="en-US"/>
              </w:rPr>
              <w:t>NDUPH</w:t>
            </w:r>
            <w:r w:rsidR="569EA4D7" w:rsidRPr="003C5C1B">
              <w:rPr>
                <w:i/>
                <w:iCs/>
                <w:sz w:val="18"/>
                <w:szCs w:val="18"/>
                <w:lang w:val="en-US"/>
              </w:rPr>
              <w:t xml:space="preserve"> </w:t>
            </w:r>
            <w:r w:rsidR="17DF0864" w:rsidRPr="003C5C1B">
              <w:rPr>
                <w:i/>
                <w:iCs/>
                <w:sz w:val="18"/>
                <w:szCs w:val="18"/>
                <w:lang w:val="en-US"/>
              </w:rPr>
              <w:t xml:space="preserve">and </w:t>
            </w:r>
            <w:proofErr w:type="gramStart"/>
            <w:r w:rsidR="17DF0864" w:rsidRPr="003C5C1B">
              <w:rPr>
                <w:i/>
                <w:iCs/>
                <w:sz w:val="18"/>
                <w:szCs w:val="18"/>
                <w:lang w:val="en-US"/>
              </w:rPr>
              <w:t>PMU</w:t>
            </w:r>
            <w:r w:rsidR="001C1C58">
              <w:rPr>
                <w:i/>
                <w:iCs/>
                <w:sz w:val="18"/>
                <w:szCs w:val="18"/>
                <w:lang w:val="en-US"/>
              </w:rPr>
              <w:t>(</w:t>
            </w:r>
            <w:proofErr w:type="gramEnd"/>
            <w:r w:rsidR="001C1C58">
              <w:rPr>
                <w:i/>
                <w:iCs/>
                <w:sz w:val="18"/>
                <w:szCs w:val="18"/>
                <w:lang w:val="en-US"/>
              </w:rPr>
              <w:t>PM</w:t>
            </w:r>
            <w:r w:rsidR="00DE0C52">
              <w:rPr>
                <w:i/>
                <w:iCs/>
                <w:sz w:val="18"/>
                <w:szCs w:val="18"/>
                <w:lang w:val="en-US"/>
              </w:rPr>
              <w:t xml:space="preserve"> </w:t>
            </w:r>
            <w:r w:rsidR="001C1C58">
              <w:rPr>
                <w:i/>
                <w:iCs/>
                <w:sz w:val="18"/>
                <w:szCs w:val="18"/>
                <w:lang w:val="en-US"/>
              </w:rPr>
              <w:t>and</w:t>
            </w:r>
            <w:r w:rsidR="008243DC" w:rsidRPr="003C5C1B">
              <w:rPr>
                <w:i/>
                <w:iCs/>
                <w:sz w:val="18"/>
                <w:szCs w:val="18"/>
                <w:lang w:val="en-US"/>
              </w:rPr>
              <w:t xml:space="preserve"> M&amp;E</w:t>
            </w:r>
            <w:r w:rsidR="00491414">
              <w:rPr>
                <w:i/>
                <w:iCs/>
                <w:sz w:val="18"/>
                <w:szCs w:val="18"/>
                <w:lang w:val="en-US"/>
              </w:rPr>
              <w:t>)</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28" w14:textId="77777777" w:rsidR="00EF68D0" w:rsidRPr="00263D2C" w:rsidRDefault="43606BF1" w:rsidP="5D8904BE">
            <w:pPr>
              <w:rPr>
                <w:i/>
                <w:iCs/>
                <w:sz w:val="18"/>
                <w:szCs w:val="18"/>
                <w:lang w:val="en-US"/>
              </w:rPr>
            </w:pPr>
            <w:r w:rsidRPr="5D8904BE">
              <w:rPr>
                <w:i/>
                <w:iCs/>
                <w:sz w:val="18"/>
                <w:szCs w:val="18"/>
                <w:lang w:val="en-US"/>
              </w:rPr>
              <w:t>Consultant's report and PMU reports (</w:t>
            </w:r>
            <w:r w:rsidRPr="5D8904BE">
              <w:rPr>
                <w:sz w:val="18"/>
                <w:szCs w:val="18"/>
                <w:lang w:val="en-US"/>
              </w:rPr>
              <w:t>knowledge management reports, consolidating practices in the lessons learned register)</w:t>
            </w:r>
          </w:p>
        </w:tc>
      </w:tr>
      <w:tr w:rsidR="00EF68D0" w:rsidRPr="00F50786" w14:paraId="02F60F07" w14:textId="77777777" w:rsidTr="2DC80E69">
        <w:trPr>
          <w:gridAfter w:val="1"/>
          <w:wAfter w:w="35" w:type="dxa"/>
          <w:trHeight w:val="180"/>
          <w:jc w:val="center"/>
        </w:trPr>
        <w:tc>
          <w:tcPr>
            <w:tcW w:w="1129" w:type="dxa"/>
            <w:vMerge w:val="restart"/>
            <w:tcBorders>
              <w:top w:val="single" w:sz="4" w:space="0" w:color="000000" w:themeColor="text1"/>
              <w:left w:val="single" w:sz="4" w:space="0" w:color="000000" w:themeColor="text1"/>
              <w:right w:val="single" w:sz="4" w:space="0" w:color="000000" w:themeColor="text1"/>
            </w:tcBorders>
            <w:vAlign w:val="center"/>
          </w:tcPr>
          <w:p w14:paraId="00000A29" w14:textId="1C185EBA" w:rsidR="00EF68D0" w:rsidRPr="00263D2C" w:rsidRDefault="17DF0864" w:rsidP="00EF68D0">
            <w:pPr>
              <w:rPr>
                <w:sz w:val="18"/>
                <w:szCs w:val="18"/>
                <w:lang w:val="en-US"/>
              </w:rPr>
            </w:pPr>
            <w:r w:rsidRPr="537FA187">
              <w:rPr>
                <w:b/>
                <w:bCs/>
                <w:sz w:val="18"/>
                <w:szCs w:val="18"/>
                <w:lang w:val="en-US"/>
              </w:rPr>
              <w:t xml:space="preserve">Outcome 1.1: </w:t>
            </w:r>
            <w:r w:rsidRPr="537FA187">
              <w:rPr>
                <w:sz w:val="18"/>
                <w:szCs w:val="18"/>
                <w:lang w:val="en-US"/>
              </w:rPr>
              <w:t xml:space="preserve">The territorial governance of </w:t>
            </w:r>
            <w:r w:rsidR="314FA031" w:rsidRPr="537FA187">
              <w:rPr>
                <w:sz w:val="18"/>
                <w:szCs w:val="18"/>
                <w:lang w:val="en-US"/>
              </w:rPr>
              <w:t xml:space="preserve">sustainable </w:t>
            </w:r>
            <w:r w:rsidRPr="537FA187">
              <w:rPr>
                <w:sz w:val="18"/>
                <w:szCs w:val="18"/>
                <w:lang w:val="en-US"/>
              </w:rPr>
              <w:t>urban planning in Bamako, including the institutional and policy framework, is harmonized and strengthened while ensuring inclusiveness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00000A2A" w14:textId="4EE742A9" w:rsidR="00EF68D0" w:rsidRPr="008141F7" w:rsidRDefault="3A41F656" w:rsidP="00EF68D0">
            <w:pPr>
              <w:rPr>
                <w:sz w:val="18"/>
                <w:szCs w:val="18"/>
                <w:lang w:val="en-US"/>
              </w:rPr>
            </w:pPr>
            <w:r w:rsidRPr="00857B81">
              <w:rPr>
                <w:sz w:val="18"/>
                <w:szCs w:val="18"/>
                <w:lang w:val="en-US"/>
              </w:rPr>
              <w:t xml:space="preserve">Indicator </w:t>
            </w:r>
            <w:r w:rsidR="0065402B">
              <w:rPr>
                <w:sz w:val="18"/>
                <w:szCs w:val="18"/>
                <w:lang w:val="en-US"/>
              </w:rPr>
              <w:t>7</w:t>
            </w:r>
            <w:r w:rsidRPr="00857B81">
              <w:rPr>
                <w:sz w:val="18"/>
                <w:szCs w:val="18"/>
                <w:lang w:val="en-US"/>
              </w:rPr>
              <w:t xml:space="preserve">:  </w:t>
            </w:r>
            <w:r w:rsidRPr="3585F9A1">
              <w:rPr>
                <w:sz w:val="18"/>
                <w:szCs w:val="18"/>
                <w:lang w:val="en-US"/>
              </w:rPr>
              <w:t xml:space="preserve">An institutionalized mechanism for intersectoral and multi-stakeholder coordination is operational, with clear mandates, dedicated resources and a roadmap for sustainability. </w:t>
            </w:r>
          </w:p>
          <w:p w14:paraId="00000A2B" w14:textId="77777777" w:rsidR="00EF68D0" w:rsidRPr="008141F7" w:rsidRDefault="00EF68D0" w:rsidP="00EF68D0">
            <w:pPr>
              <w:rPr>
                <w:sz w:val="18"/>
                <w:szCs w:val="18"/>
                <w:lang w:val="en-US"/>
              </w:rPr>
            </w:pPr>
          </w:p>
        </w:tc>
        <w:tc>
          <w:tcPr>
            <w:tcW w:w="1418"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00000A2C" w14:textId="77777777" w:rsidR="00EF68D0" w:rsidRPr="00263D2C" w:rsidRDefault="00EF68D0" w:rsidP="00EF68D0">
            <w:pPr>
              <w:rPr>
                <w:sz w:val="18"/>
                <w:szCs w:val="18"/>
                <w:lang w:val="en-US"/>
              </w:rPr>
            </w:pPr>
            <w:r w:rsidRPr="00263D2C">
              <w:rPr>
                <w:i/>
                <w:sz w:val="18"/>
                <w:szCs w:val="18"/>
                <w:lang w:val="en-US"/>
              </w:rPr>
              <w:t>1 (official existence and first meetings held)</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2D" w14:textId="77777777" w:rsidR="00EF68D0" w:rsidRDefault="43606BF1" w:rsidP="00EF68D0">
            <w:pPr>
              <w:rPr>
                <w:sz w:val="18"/>
                <w:szCs w:val="18"/>
              </w:rPr>
            </w:pPr>
            <w:r w:rsidRPr="5D8904BE">
              <w:rPr>
                <w:i/>
                <w:iCs/>
                <w:sz w:val="18"/>
                <w:szCs w:val="18"/>
              </w:rPr>
              <w:t>2 (</w:t>
            </w:r>
            <w:proofErr w:type="spellStart"/>
            <w:r w:rsidRPr="5D8904BE">
              <w:rPr>
                <w:i/>
                <w:iCs/>
                <w:sz w:val="18"/>
                <w:szCs w:val="18"/>
              </w:rPr>
              <w:t>Enhanced</w:t>
            </w:r>
            <w:proofErr w:type="spellEnd"/>
            <w:r w:rsidRPr="5D8904BE">
              <w:rPr>
                <w:i/>
                <w:iCs/>
                <w:sz w:val="18"/>
                <w:szCs w:val="18"/>
              </w:rPr>
              <w:t xml:space="preserve"> Existence)</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2E" w14:textId="77777777" w:rsidR="00EF68D0" w:rsidRPr="00263D2C" w:rsidRDefault="43606BF1" w:rsidP="00EF68D0">
            <w:pPr>
              <w:rPr>
                <w:sz w:val="18"/>
                <w:szCs w:val="18"/>
                <w:lang w:val="en-US"/>
              </w:rPr>
            </w:pPr>
            <w:r w:rsidRPr="5D8904BE">
              <w:rPr>
                <w:sz w:val="18"/>
                <w:szCs w:val="18"/>
                <w:lang w:val="en-US"/>
              </w:rPr>
              <w:t>This indicator measures the existence and effective functioning of a coordination framework bringing together key actors from the public, private, civil society, and technical and financial partners, with a view to promoting coherent, inclusive and sustainable action. This mechanism must be formalized by regulatory texts or an administrative decision, have human and financial resources, and demonstrate its ability to meet regularly, to produce concrete results, and to be sustainable.</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2F" w14:textId="77777777" w:rsidR="00EF68D0" w:rsidRPr="00263D2C" w:rsidRDefault="43606BF1" w:rsidP="001360BB">
            <w:pPr>
              <w:numPr>
                <w:ilvl w:val="0"/>
                <w:numId w:val="173"/>
              </w:numPr>
              <w:ind w:left="264"/>
              <w:rPr>
                <w:sz w:val="18"/>
                <w:szCs w:val="18"/>
                <w:lang w:val="en-US"/>
              </w:rPr>
            </w:pPr>
            <w:r w:rsidRPr="5D8904BE">
              <w:rPr>
                <w:sz w:val="18"/>
                <w:szCs w:val="18"/>
                <w:lang w:val="en-US"/>
              </w:rPr>
              <w:t>Decree, order or other official text establishing the mechanism</w:t>
            </w:r>
          </w:p>
          <w:p w14:paraId="00000A30" w14:textId="77777777" w:rsidR="00EF68D0" w:rsidRPr="00263D2C" w:rsidRDefault="00EF68D0" w:rsidP="001360BB">
            <w:pPr>
              <w:numPr>
                <w:ilvl w:val="0"/>
                <w:numId w:val="173"/>
              </w:numPr>
              <w:ind w:left="264"/>
              <w:rPr>
                <w:sz w:val="18"/>
                <w:szCs w:val="18"/>
                <w:lang w:val="en-US"/>
              </w:rPr>
            </w:pPr>
            <w:r w:rsidRPr="00263D2C">
              <w:rPr>
                <w:sz w:val="18"/>
                <w:szCs w:val="18"/>
                <w:lang w:val="en-US"/>
              </w:rPr>
              <w:t>Terms of reference/terms of office of the members of the mechanism</w:t>
            </w:r>
          </w:p>
          <w:p w14:paraId="00000A31" w14:textId="77777777" w:rsidR="00EF68D0" w:rsidRPr="00263D2C" w:rsidRDefault="00EF68D0" w:rsidP="001360BB">
            <w:pPr>
              <w:numPr>
                <w:ilvl w:val="0"/>
                <w:numId w:val="173"/>
              </w:numPr>
              <w:ind w:left="264"/>
              <w:rPr>
                <w:sz w:val="18"/>
                <w:szCs w:val="18"/>
                <w:lang w:val="en-US"/>
              </w:rPr>
            </w:pPr>
            <w:r w:rsidRPr="00263D2C">
              <w:rPr>
                <w:sz w:val="18"/>
                <w:szCs w:val="18"/>
                <w:lang w:val="en-US"/>
              </w:rPr>
              <w:t>Strategic Roadmap or Multi-Year Action Plan and Allocated Budget and Annual Work Plan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8498F07" w14:textId="77777777" w:rsidR="001A04FC" w:rsidRPr="00263D2C" w:rsidRDefault="001A04FC" w:rsidP="001A04FC">
            <w:pPr>
              <w:rPr>
                <w:sz w:val="18"/>
                <w:szCs w:val="18"/>
                <w:lang w:val="en-US"/>
              </w:rPr>
            </w:pPr>
            <w:r w:rsidRPr="00263D2C">
              <w:rPr>
                <w:sz w:val="18"/>
                <w:szCs w:val="18"/>
                <w:lang w:val="en-US"/>
              </w:rPr>
              <w:t>Annually</w:t>
            </w:r>
          </w:p>
          <w:p w14:paraId="00000A33" w14:textId="1E3CC046" w:rsidR="00EF68D0" w:rsidRPr="00263D2C" w:rsidRDefault="001A04FC" w:rsidP="00EF68D0">
            <w:pPr>
              <w:rPr>
                <w:sz w:val="18"/>
                <w:szCs w:val="18"/>
                <w:lang w:val="en-US"/>
              </w:rPr>
            </w:pPr>
            <w:r w:rsidRPr="00263D2C">
              <w:rPr>
                <w:sz w:val="18"/>
                <w:szCs w:val="18"/>
                <w:lang w:val="en-US"/>
              </w:rPr>
              <w:t>Reported in the GEF</w:t>
            </w:r>
            <w:r>
              <w:rPr>
                <w:sz w:val="18"/>
                <w:szCs w:val="18"/>
                <w:lang w:val="en-US"/>
              </w:rPr>
              <w:t xml:space="preserve"> PIR</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34" w14:textId="3F128E1C" w:rsidR="00EF68D0" w:rsidRPr="00263D2C" w:rsidRDefault="00EF68D0" w:rsidP="00EF68D0">
            <w:pPr>
              <w:rPr>
                <w:sz w:val="18"/>
                <w:szCs w:val="18"/>
                <w:lang w:val="en-US"/>
              </w:rPr>
            </w:pPr>
            <w:r w:rsidRPr="00263D2C">
              <w:rPr>
                <w:sz w:val="18"/>
                <w:szCs w:val="18"/>
                <w:lang w:val="en-US"/>
              </w:rPr>
              <w:t>The District Town Hall and the PMU</w:t>
            </w:r>
            <w:r w:rsidR="00133A60">
              <w:rPr>
                <w:sz w:val="18"/>
                <w:szCs w:val="18"/>
                <w:lang w:val="en-US"/>
              </w:rPr>
              <w:t xml:space="preserve"> </w:t>
            </w:r>
            <w:r w:rsidR="00133A60">
              <w:rPr>
                <w:i/>
                <w:iCs/>
                <w:sz w:val="18"/>
                <w:szCs w:val="18"/>
                <w:lang w:val="en-US"/>
              </w:rPr>
              <w:t>(PM and</w:t>
            </w:r>
            <w:r w:rsidR="00133A60" w:rsidRPr="00345A71">
              <w:rPr>
                <w:i/>
                <w:iCs/>
                <w:sz w:val="18"/>
                <w:szCs w:val="18"/>
                <w:lang w:val="en-US"/>
              </w:rPr>
              <w:t xml:space="preserve"> M&amp;E</w:t>
            </w:r>
            <w:r w:rsidR="00133A60">
              <w:rPr>
                <w:i/>
                <w:iCs/>
                <w:sz w:val="18"/>
                <w:szCs w:val="18"/>
                <w:lang w:val="en-US"/>
              </w:rPr>
              <w:t>)</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35" w14:textId="77777777" w:rsidR="00EF68D0" w:rsidRPr="00263D2C" w:rsidRDefault="00EF68D0" w:rsidP="001360BB">
            <w:pPr>
              <w:numPr>
                <w:ilvl w:val="0"/>
                <w:numId w:val="173"/>
              </w:numPr>
              <w:ind w:left="264"/>
              <w:rPr>
                <w:sz w:val="18"/>
                <w:szCs w:val="18"/>
                <w:lang w:val="en-US"/>
              </w:rPr>
            </w:pPr>
            <w:r w:rsidRPr="00263D2C">
              <w:rPr>
                <w:sz w:val="18"/>
                <w:szCs w:val="18"/>
                <w:lang w:val="en-US"/>
              </w:rPr>
              <w:t>Meeting reports and minutes (minimum 2 meetings/year)</w:t>
            </w:r>
          </w:p>
          <w:p w14:paraId="00000A36" w14:textId="77777777" w:rsidR="00EF68D0" w:rsidRPr="00263D2C" w:rsidRDefault="00EF68D0" w:rsidP="001360BB">
            <w:pPr>
              <w:numPr>
                <w:ilvl w:val="0"/>
                <w:numId w:val="173"/>
              </w:numPr>
              <w:ind w:left="264"/>
              <w:rPr>
                <w:sz w:val="18"/>
                <w:szCs w:val="18"/>
                <w:lang w:val="en-US"/>
              </w:rPr>
            </w:pPr>
            <w:r w:rsidRPr="00263D2C">
              <w:rPr>
                <w:sz w:val="18"/>
                <w:szCs w:val="18"/>
                <w:lang w:val="en-US"/>
              </w:rPr>
              <w:t>Membership List and Evidence of Multi-Sector Participation</w:t>
            </w:r>
          </w:p>
          <w:p w14:paraId="00000A37" w14:textId="77777777" w:rsidR="00EF68D0" w:rsidRPr="00263D2C" w:rsidRDefault="00EF68D0" w:rsidP="001360BB">
            <w:pPr>
              <w:numPr>
                <w:ilvl w:val="0"/>
                <w:numId w:val="173"/>
              </w:numPr>
              <w:ind w:left="264"/>
              <w:rPr>
                <w:sz w:val="18"/>
                <w:szCs w:val="18"/>
                <w:lang w:val="en-US"/>
              </w:rPr>
            </w:pPr>
            <w:r w:rsidRPr="00263D2C">
              <w:rPr>
                <w:sz w:val="18"/>
                <w:szCs w:val="18"/>
                <w:lang w:val="en-US"/>
              </w:rPr>
              <w:t>Operational evaluation reports or feedback from stakeholders</w:t>
            </w:r>
          </w:p>
          <w:p w14:paraId="00000A38" w14:textId="77777777" w:rsidR="00EF68D0" w:rsidRPr="00263D2C" w:rsidRDefault="00EF68D0" w:rsidP="00EF68D0">
            <w:pPr>
              <w:ind w:left="-96"/>
              <w:rPr>
                <w:sz w:val="18"/>
                <w:szCs w:val="18"/>
                <w:lang w:val="en-US"/>
              </w:rPr>
            </w:pPr>
          </w:p>
          <w:p w14:paraId="00000A39" w14:textId="77777777" w:rsidR="00EF68D0" w:rsidRPr="00263D2C" w:rsidRDefault="00EF68D0" w:rsidP="00EF68D0">
            <w:pPr>
              <w:rPr>
                <w:sz w:val="18"/>
                <w:szCs w:val="18"/>
                <w:lang w:val="en-US"/>
              </w:rPr>
            </w:pPr>
          </w:p>
        </w:tc>
      </w:tr>
      <w:tr w:rsidR="00EF68D0" w:rsidRPr="00F50786" w14:paraId="34AB23F6" w14:textId="77777777" w:rsidTr="2DC80E69">
        <w:trPr>
          <w:gridAfter w:val="1"/>
          <w:wAfter w:w="35" w:type="dxa"/>
          <w:trHeight w:val="200"/>
          <w:jc w:val="center"/>
        </w:trPr>
        <w:tc>
          <w:tcPr>
            <w:tcW w:w="1129" w:type="dxa"/>
            <w:vMerge/>
            <w:vAlign w:val="center"/>
          </w:tcPr>
          <w:p w14:paraId="00000A3A" w14:textId="77777777" w:rsidR="00EF68D0" w:rsidRPr="00263D2C" w:rsidRDefault="00EF68D0" w:rsidP="00EF68D0">
            <w:pPr>
              <w:widowControl w:val="0"/>
              <w:pBdr>
                <w:top w:val="nil"/>
                <w:left w:val="nil"/>
                <w:bottom w:val="nil"/>
                <w:right w:val="nil"/>
                <w:between w:val="nil"/>
              </w:pBdr>
              <w:spacing w:after="0" w:line="276" w:lineRule="auto"/>
              <w:rPr>
                <w:sz w:val="18"/>
                <w:szCs w:val="18"/>
                <w:lang w:val="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A3B" w14:textId="101458CA" w:rsidR="00EF68D0" w:rsidRPr="00263D2C" w:rsidRDefault="00510A6C" w:rsidP="00510A6C">
            <w:pPr>
              <w:rPr>
                <w:sz w:val="18"/>
                <w:szCs w:val="18"/>
                <w:lang w:val="en-US"/>
              </w:rPr>
            </w:pPr>
            <w:r w:rsidRPr="00510A6C">
              <w:rPr>
                <w:i/>
                <w:iCs/>
                <w:sz w:val="18"/>
                <w:szCs w:val="18"/>
                <w:u w:val="single"/>
                <w:lang w:val="en-US"/>
              </w:rPr>
              <w:t>Indicator</w:t>
            </w:r>
            <w:r w:rsidR="0065402B">
              <w:rPr>
                <w:i/>
                <w:iCs/>
                <w:sz w:val="18"/>
                <w:szCs w:val="18"/>
                <w:u w:val="single"/>
                <w:lang w:val="en-US"/>
              </w:rPr>
              <w:t>8</w:t>
            </w:r>
            <w:r w:rsidRPr="00510A6C">
              <w:rPr>
                <w:i/>
                <w:iCs/>
                <w:sz w:val="18"/>
                <w:szCs w:val="18"/>
                <w:u w:val="single"/>
                <w:lang w:val="en-US"/>
              </w:rPr>
              <w:t xml:space="preserve">: </w:t>
            </w:r>
            <w:r w:rsidRPr="006F5E1D">
              <w:rPr>
                <w:i/>
                <w:sz w:val="18"/>
                <w:szCs w:val="18"/>
                <w:lang w:val="en-US"/>
              </w:rPr>
              <w:t xml:space="preserve"># of planning documents integrating climate </w:t>
            </w:r>
            <w:r w:rsidRPr="006F5E1D">
              <w:rPr>
                <w:i/>
                <w:sz w:val="18"/>
                <w:szCs w:val="18"/>
                <w:lang w:val="en-US"/>
              </w:rPr>
              <w:lastRenderedPageBreak/>
              <w:t>environmental risks adopted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00000A3C" w14:textId="77777777" w:rsidR="00EF68D0" w:rsidRDefault="00EF68D0" w:rsidP="00EF68D0">
            <w:pPr>
              <w:rPr>
                <w:sz w:val="18"/>
                <w:szCs w:val="18"/>
              </w:rPr>
            </w:pPr>
            <w:r>
              <w:rPr>
                <w:sz w:val="18"/>
                <w:szCs w:val="18"/>
              </w:rPr>
              <w:lastRenderedPageBreak/>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3D" w14:textId="1A227CFC" w:rsidR="00EF68D0" w:rsidRDefault="00CB5AF3" w:rsidP="00EF68D0">
            <w:pPr>
              <w:rPr>
                <w:sz w:val="18"/>
                <w:szCs w:val="18"/>
              </w:rPr>
            </w:pPr>
            <w:r>
              <w:rPr>
                <w:sz w:val="18"/>
                <w:szCs w:val="18"/>
              </w:rPr>
              <w:t>4</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3E" w14:textId="77777777" w:rsidR="00EF68D0" w:rsidRDefault="43606BF1" w:rsidP="00EF68D0">
            <w:pPr>
              <w:rPr>
                <w:sz w:val="18"/>
                <w:szCs w:val="18"/>
              </w:rPr>
            </w:pPr>
            <w:r w:rsidRPr="5D8904BE">
              <w:rPr>
                <w:sz w:val="18"/>
                <w:szCs w:val="18"/>
                <w:lang w:val="en-US"/>
              </w:rPr>
              <w:t xml:space="preserve">This indicator measures the number of official planning documents (plans, master plans, strategies, </w:t>
            </w:r>
            <w:proofErr w:type="spellStart"/>
            <w:r w:rsidRPr="5D8904BE">
              <w:rPr>
                <w:sz w:val="18"/>
                <w:szCs w:val="18"/>
                <w:lang w:val="en-US"/>
              </w:rPr>
              <w:t>programmes</w:t>
            </w:r>
            <w:proofErr w:type="spellEnd"/>
            <w:r w:rsidRPr="5D8904BE">
              <w:rPr>
                <w:sz w:val="18"/>
                <w:szCs w:val="18"/>
                <w:lang w:val="en-US"/>
              </w:rPr>
              <w:t xml:space="preserve">, local or sectoral policies, etc.) that </w:t>
            </w:r>
            <w:r w:rsidRPr="5D8904BE">
              <w:rPr>
                <w:sz w:val="18"/>
                <w:szCs w:val="18"/>
                <w:lang w:val="en-US"/>
              </w:rPr>
              <w:lastRenderedPageBreak/>
              <w:t xml:space="preserve">have explicitly included an analysis of environmental and climate risks (hazards, vulnerabilities, impacts) and risk adaptation or reduction measures, and that have been formally adopted by a competent authority (municipality, district council, etc.).  </w:t>
            </w:r>
            <w:proofErr w:type="spellStart"/>
            <w:proofErr w:type="gramStart"/>
            <w:r w:rsidRPr="5D8904BE">
              <w:rPr>
                <w:sz w:val="18"/>
                <w:szCs w:val="18"/>
              </w:rPr>
              <w:t>ministry</w:t>
            </w:r>
            <w:proofErr w:type="spellEnd"/>
            <w:proofErr w:type="gramEnd"/>
            <w:r w:rsidRPr="5D8904BE">
              <w:rPr>
                <w:sz w:val="18"/>
                <w:szCs w:val="18"/>
              </w:rPr>
              <w:t>, etc.).</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3F" w14:textId="77777777" w:rsidR="00EF68D0" w:rsidRPr="00263D2C" w:rsidRDefault="43606BF1" w:rsidP="00EF68D0">
            <w:pPr>
              <w:rPr>
                <w:sz w:val="18"/>
                <w:szCs w:val="18"/>
                <w:lang w:val="en-US"/>
              </w:rPr>
            </w:pPr>
            <w:r w:rsidRPr="5D8904BE">
              <w:rPr>
                <w:sz w:val="18"/>
                <w:szCs w:val="18"/>
                <w:lang w:val="en-US"/>
              </w:rPr>
              <w:lastRenderedPageBreak/>
              <w:t xml:space="preserve">A document is </w:t>
            </w:r>
            <w:proofErr w:type="gramStart"/>
            <w:r w:rsidRPr="5D8904BE">
              <w:rPr>
                <w:sz w:val="18"/>
                <w:szCs w:val="18"/>
                <w:lang w:val="en-US"/>
              </w:rPr>
              <w:t>taken into account</w:t>
            </w:r>
            <w:proofErr w:type="gramEnd"/>
            <w:r w:rsidRPr="5D8904BE">
              <w:rPr>
                <w:sz w:val="18"/>
                <w:szCs w:val="18"/>
                <w:lang w:val="en-US"/>
              </w:rPr>
              <w:t xml:space="preserve"> if it:</w:t>
            </w:r>
          </w:p>
          <w:p w14:paraId="00000A40" w14:textId="77777777" w:rsidR="00EF68D0" w:rsidRPr="00263D2C" w:rsidRDefault="43606BF1" w:rsidP="001360BB">
            <w:pPr>
              <w:numPr>
                <w:ilvl w:val="0"/>
                <w:numId w:val="212"/>
              </w:numPr>
              <w:ind w:left="261"/>
              <w:rPr>
                <w:sz w:val="18"/>
                <w:szCs w:val="18"/>
                <w:lang w:val="en-US"/>
              </w:rPr>
            </w:pPr>
            <w:r w:rsidRPr="5D8904BE">
              <w:rPr>
                <w:sz w:val="18"/>
                <w:szCs w:val="18"/>
                <w:lang w:val="en-US"/>
              </w:rPr>
              <w:t xml:space="preserve">Is technically validated or adopted by a competent </w:t>
            </w:r>
            <w:proofErr w:type="gramStart"/>
            <w:r w:rsidRPr="5D8904BE">
              <w:rPr>
                <w:sz w:val="18"/>
                <w:szCs w:val="18"/>
                <w:lang w:val="en-US"/>
              </w:rPr>
              <w:t>authority;</w:t>
            </w:r>
            <w:proofErr w:type="gramEnd"/>
          </w:p>
          <w:p w14:paraId="00000A41" w14:textId="77777777" w:rsidR="00EF68D0" w:rsidRPr="008141F7" w:rsidRDefault="43606BF1" w:rsidP="40E7FE84">
            <w:pPr>
              <w:numPr>
                <w:ilvl w:val="0"/>
                <w:numId w:val="212"/>
              </w:numPr>
              <w:ind w:left="261"/>
              <w:rPr>
                <w:sz w:val="18"/>
                <w:szCs w:val="18"/>
                <w:lang w:val="en-US"/>
              </w:rPr>
            </w:pPr>
            <w:r w:rsidRPr="008141F7">
              <w:rPr>
                <w:sz w:val="18"/>
                <w:szCs w:val="18"/>
                <w:lang w:val="en-US"/>
              </w:rPr>
              <w:lastRenderedPageBreak/>
              <w:t>Is developed on the basis of environmental and climate standards (e.g. an assessment or mapping of environmental and climatic risks such as floods, drought, heat waves, pollution, etc.</w:t>
            </w:r>
            <w:proofErr w:type="gramStart"/>
            <w:r w:rsidRPr="008141F7">
              <w:rPr>
                <w:sz w:val="18"/>
                <w:szCs w:val="18"/>
                <w:lang w:val="en-US"/>
              </w:rPr>
              <w:t>);</w:t>
            </w:r>
            <w:proofErr w:type="gramEnd"/>
          </w:p>
          <w:p w14:paraId="00000A42" w14:textId="77777777" w:rsidR="00EF68D0" w:rsidRPr="00263D2C" w:rsidRDefault="00EF68D0" w:rsidP="001360BB">
            <w:pPr>
              <w:numPr>
                <w:ilvl w:val="0"/>
                <w:numId w:val="212"/>
              </w:numPr>
              <w:ind w:left="261"/>
              <w:rPr>
                <w:sz w:val="18"/>
                <w:szCs w:val="18"/>
                <w:lang w:val="en-US"/>
              </w:rPr>
            </w:pPr>
            <w:r w:rsidRPr="00263D2C">
              <w:rPr>
                <w:sz w:val="18"/>
                <w:szCs w:val="18"/>
                <w:lang w:val="en-US"/>
              </w:rPr>
              <w:t xml:space="preserve">Incorporates concrete mitigation or adaptation measures, or provisions to strengthen territorial </w:t>
            </w:r>
            <w:proofErr w:type="gramStart"/>
            <w:r w:rsidRPr="00263D2C">
              <w:rPr>
                <w:sz w:val="18"/>
                <w:szCs w:val="18"/>
                <w:lang w:val="en-US"/>
              </w:rPr>
              <w:t>resilience;</w:t>
            </w:r>
            <w:proofErr w:type="gramEnd"/>
          </w:p>
          <w:p w14:paraId="00000A44" w14:textId="0AEF69AC" w:rsidR="00EF68D0" w:rsidRPr="005D0F42" w:rsidRDefault="43606BF1" w:rsidP="001360BB">
            <w:pPr>
              <w:numPr>
                <w:ilvl w:val="0"/>
                <w:numId w:val="212"/>
              </w:numPr>
              <w:ind w:left="261"/>
              <w:rPr>
                <w:sz w:val="18"/>
                <w:szCs w:val="18"/>
                <w:lang w:val="en-US"/>
              </w:rPr>
            </w:pPr>
            <w:r w:rsidRPr="5D8904BE">
              <w:rPr>
                <w:sz w:val="18"/>
                <w:szCs w:val="18"/>
                <w:lang w:val="en-US"/>
              </w:rPr>
              <w:t xml:space="preserve">Is part of </w:t>
            </w:r>
            <w:r w:rsidR="003E5C51" w:rsidRPr="5D8904BE">
              <w:rPr>
                <w:sz w:val="18"/>
                <w:szCs w:val="18"/>
                <w:lang w:val="en-US"/>
              </w:rPr>
              <w:t>the logic</w:t>
            </w:r>
            <w:r w:rsidRPr="5D8904BE">
              <w:rPr>
                <w:sz w:val="18"/>
                <w:szCs w:val="18"/>
                <w:lang w:val="en-US"/>
              </w:rPr>
              <w:t xml:space="preserve"> of intersectoral or territorial integration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45" w14:textId="77777777" w:rsidR="00EF68D0" w:rsidRPr="00263D2C" w:rsidRDefault="00EF68D0" w:rsidP="00EF68D0">
            <w:pPr>
              <w:rPr>
                <w:sz w:val="18"/>
                <w:szCs w:val="18"/>
                <w:lang w:val="en-US"/>
              </w:rPr>
            </w:pPr>
            <w:r w:rsidRPr="00263D2C">
              <w:rPr>
                <w:sz w:val="18"/>
                <w:szCs w:val="18"/>
                <w:lang w:val="en-US"/>
              </w:rPr>
              <w:lastRenderedPageBreak/>
              <w:t>Annually</w:t>
            </w:r>
          </w:p>
          <w:p w14:paraId="00000A46" w14:textId="1DB5ADF3" w:rsidR="00EF68D0" w:rsidRPr="00263D2C" w:rsidRDefault="00EF68D0" w:rsidP="00EF68D0">
            <w:pPr>
              <w:rPr>
                <w:sz w:val="18"/>
                <w:szCs w:val="18"/>
                <w:lang w:val="en-US"/>
              </w:rPr>
            </w:pPr>
            <w:r w:rsidRPr="00263D2C">
              <w:rPr>
                <w:sz w:val="18"/>
                <w:szCs w:val="18"/>
                <w:lang w:val="en-US"/>
              </w:rPr>
              <w:t>Reported in the GEF</w:t>
            </w:r>
            <w:r w:rsidR="00AF3CF4">
              <w:rPr>
                <w:sz w:val="18"/>
                <w:szCs w:val="18"/>
                <w:lang w:val="en-US"/>
              </w:rPr>
              <w:t xml:space="preserve"> PIR</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47" w14:textId="0FC72960" w:rsidR="00EF68D0" w:rsidRPr="003C5C1B" w:rsidRDefault="69663027" w:rsidP="00EF68D0">
            <w:pPr>
              <w:rPr>
                <w:sz w:val="18"/>
                <w:szCs w:val="18"/>
                <w:lang w:val="en-US"/>
              </w:rPr>
            </w:pPr>
            <w:r w:rsidRPr="003C5C1B">
              <w:rPr>
                <w:sz w:val="18"/>
                <w:szCs w:val="18"/>
                <w:lang w:val="en-US"/>
              </w:rPr>
              <w:t>NDUPH</w:t>
            </w:r>
            <w:r w:rsidR="49AE5434" w:rsidRPr="003C5C1B">
              <w:rPr>
                <w:sz w:val="18"/>
                <w:szCs w:val="18"/>
                <w:lang w:val="en-US"/>
              </w:rPr>
              <w:t xml:space="preserve"> </w:t>
            </w:r>
            <w:r w:rsidR="17DF0864" w:rsidRPr="003C5C1B">
              <w:rPr>
                <w:sz w:val="18"/>
                <w:szCs w:val="18"/>
                <w:lang w:val="en-US"/>
              </w:rPr>
              <w:t>and PMU</w:t>
            </w:r>
            <w:r w:rsidR="00133A60" w:rsidRPr="003C5C1B">
              <w:rPr>
                <w:sz w:val="18"/>
                <w:szCs w:val="18"/>
                <w:lang w:val="en-US"/>
              </w:rPr>
              <w:t xml:space="preserve"> </w:t>
            </w:r>
            <w:r w:rsidR="00133A60">
              <w:rPr>
                <w:i/>
                <w:iCs/>
                <w:sz w:val="18"/>
                <w:szCs w:val="18"/>
                <w:lang w:val="en-US"/>
              </w:rPr>
              <w:t>(PM and</w:t>
            </w:r>
            <w:r w:rsidR="00133A60" w:rsidRPr="00345A71">
              <w:rPr>
                <w:i/>
                <w:iCs/>
                <w:sz w:val="18"/>
                <w:szCs w:val="18"/>
                <w:lang w:val="en-US"/>
              </w:rPr>
              <w:t xml:space="preserve"> M&amp;E</w:t>
            </w:r>
            <w:r w:rsidR="00133A60">
              <w:rPr>
                <w:i/>
                <w:iCs/>
                <w:sz w:val="18"/>
                <w:szCs w:val="18"/>
                <w:lang w:val="en-US"/>
              </w:rPr>
              <w:t>)</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48" w14:textId="77777777" w:rsidR="00EF68D0" w:rsidRPr="00263D2C" w:rsidRDefault="00EF68D0" w:rsidP="00EF68D0">
            <w:pPr>
              <w:rPr>
                <w:sz w:val="18"/>
                <w:szCs w:val="18"/>
                <w:lang w:val="en-US"/>
              </w:rPr>
            </w:pPr>
            <w:r w:rsidRPr="00263D2C">
              <w:rPr>
                <w:sz w:val="18"/>
                <w:szCs w:val="18"/>
                <w:lang w:val="en-US"/>
              </w:rPr>
              <w:t>Technical or Consultant Reports</w:t>
            </w:r>
          </w:p>
          <w:p w14:paraId="00000A49" w14:textId="77777777" w:rsidR="00EF68D0" w:rsidRPr="00263D2C" w:rsidRDefault="00EF68D0" w:rsidP="00EF68D0">
            <w:pPr>
              <w:rPr>
                <w:sz w:val="18"/>
                <w:szCs w:val="18"/>
                <w:lang w:val="en-US"/>
              </w:rPr>
            </w:pPr>
            <w:r w:rsidRPr="00263D2C">
              <w:rPr>
                <w:sz w:val="18"/>
                <w:szCs w:val="18"/>
                <w:lang w:val="en-US"/>
              </w:rPr>
              <w:t xml:space="preserve">Validation reports of studies/policies/strategies (workshop </w:t>
            </w:r>
            <w:r w:rsidRPr="00263D2C">
              <w:rPr>
                <w:sz w:val="18"/>
                <w:szCs w:val="18"/>
                <w:lang w:val="en-US"/>
              </w:rPr>
              <w:lastRenderedPageBreak/>
              <w:t>reports, minutes of deliberations)</w:t>
            </w:r>
          </w:p>
          <w:p w14:paraId="00000A4A" w14:textId="77777777" w:rsidR="00EF68D0" w:rsidRPr="00263D2C" w:rsidRDefault="00EF68D0" w:rsidP="00EF68D0">
            <w:pPr>
              <w:jc w:val="center"/>
              <w:rPr>
                <w:sz w:val="18"/>
                <w:szCs w:val="18"/>
                <w:lang w:val="en-US"/>
              </w:rPr>
            </w:pPr>
          </w:p>
          <w:p w14:paraId="00000A4B" w14:textId="77777777" w:rsidR="00EF68D0" w:rsidRPr="00263D2C" w:rsidRDefault="00EF68D0" w:rsidP="00EF68D0">
            <w:pPr>
              <w:rPr>
                <w:sz w:val="18"/>
                <w:szCs w:val="18"/>
                <w:lang w:val="en-US"/>
              </w:rPr>
            </w:pPr>
          </w:p>
        </w:tc>
      </w:tr>
      <w:tr w:rsidR="00EF68D0" w:rsidRPr="00F50786" w14:paraId="248F527D" w14:textId="77777777" w:rsidTr="2DC80E69">
        <w:trPr>
          <w:gridAfter w:val="1"/>
          <w:wAfter w:w="35" w:type="dxa"/>
          <w:trHeight w:val="20"/>
          <w:jc w:val="center"/>
        </w:trPr>
        <w:tc>
          <w:tcPr>
            <w:tcW w:w="1129" w:type="dxa"/>
            <w:vMerge w:val="restart"/>
            <w:tcBorders>
              <w:top w:val="single" w:sz="4" w:space="0" w:color="000000" w:themeColor="text1"/>
              <w:left w:val="single" w:sz="4" w:space="0" w:color="000000" w:themeColor="text1"/>
              <w:right w:val="single" w:sz="4" w:space="0" w:color="000000" w:themeColor="text1"/>
            </w:tcBorders>
            <w:vAlign w:val="center"/>
          </w:tcPr>
          <w:p w14:paraId="00000A4C" w14:textId="7B48C294" w:rsidR="00EF68D0" w:rsidRPr="00263D2C" w:rsidRDefault="21CFA972" w:rsidP="3585F9A1">
            <w:pPr>
              <w:rPr>
                <w:b/>
                <w:bCs/>
                <w:i/>
                <w:iCs/>
                <w:sz w:val="18"/>
                <w:szCs w:val="18"/>
                <w:lang w:val="en-US"/>
              </w:rPr>
            </w:pPr>
            <w:r w:rsidRPr="3585F9A1">
              <w:rPr>
                <w:b/>
                <w:bCs/>
                <w:sz w:val="18"/>
                <w:szCs w:val="18"/>
                <w:lang w:val="en-US"/>
              </w:rPr>
              <w:lastRenderedPageBreak/>
              <w:t>Outcome 1.2</w:t>
            </w:r>
          </w:p>
          <w:p w14:paraId="00000A4D" w14:textId="34594EAF" w:rsidR="00EF68D0" w:rsidRPr="00263D2C" w:rsidRDefault="5E219BCA" w:rsidP="0091577E">
            <w:pPr>
              <w:rPr>
                <w:sz w:val="18"/>
                <w:szCs w:val="18"/>
                <w:lang w:val="en-US"/>
              </w:rPr>
            </w:pPr>
            <w:r w:rsidRPr="00857B81">
              <w:rPr>
                <w:b/>
                <w:bCs/>
                <w:i/>
                <w:iCs/>
                <w:sz w:val="18"/>
                <w:szCs w:val="18"/>
                <w:lang w:val="en-US"/>
              </w:rPr>
              <w:t xml:space="preserve">– </w:t>
            </w:r>
            <w:r w:rsidRPr="00857B81">
              <w:rPr>
                <w:i/>
                <w:iCs/>
                <w:sz w:val="18"/>
                <w:szCs w:val="18"/>
                <w:lang w:val="en-US"/>
              </w:rPr>
              <w:t>Catalyzing Finance and Innovation for Resilient and Inclusive</w:t>
            </w:r>
            <w:r w:rsidR="62554D48" w:rsidRPr="00857B81">
              <w:rPr>
                <w:i/>
                <w:iCs/>
                <w:sz w:val="18"/>
                <w:szCs w:val="18"/>
                <w:lang w:val="en-US"/>
              </w:rPr>
              <w:t xml:space="preserve"> </w:t>
            </w:r>
            <w:proofErr w:type="gramStart"/>
            <w:r w:rsidR="62554D48" w:rsidRPr="00857B81">
              <w:rPr>
                <w:i/>
                <w:iCs/>
                <w:sz w:val="18"/>
                <w:szCs w:val="18"/>
                <w:lang w:val="en-US"/>
              </w:rPr>
              <w:t xml:space="preserve">sustainable </w:t>
            </w:r>
            <w:r w:rsidRPr="00857B81">
              <w:rPr>
                <w:i/>
                <w:iCs/>
                <w:sz w:val="18"/>
                <w:szCs w:val="18"/>
                <w:lang w:val="en-US"/>
              </w:rPr>
              <w:t xml:space="preserve"> Urban</w:t>
            </w:r>
            <w:proofErr w:type="gramEnd"/>
            <w:r w:rsidRPr="00857B81">
              <w:rPr>
                <w:i/>
                <w:iCs/>
                <w:sz w:val="18"/>
                <w:szCs w:val="18"/>
                <w:lang w:val="en-US"/>
              </w:rPr>
              <w:t xml:space="preserve"> Development</w:t>
            </w:r>
            <w:r w:rsidRPr="00857B81">
              <w:rPr>
                <w:b/>
                <w:bCs/>
                <w:i/>
                <w:iCs/>
                <w:sz w:val="18"/>
                <w:szCs w:val="18"/>
                <w:lang w:val="en-US"/>
              </w:rPr>
              <w:t> </w:t>
            </w:r>
            <w:r w:rsidRPr="3585F9A1">
              <w:rPr>
                <w:sz w:val="18"/>
                <w:szCs w:val="18"/>
                <w:lang w:val="en-US"/>
              </w:rPr>
              <w:t>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50" w14:textId="779F078F" w:rsidR="00EF68D0" w:rsidRPr="00C0357E" w:rsidRDefault="1FC667B9" w:rsidP="00B530CB">
            <w:pPr>
              <w:rPr>
                <w:sz w:val="18"/>
                <w:szCs w:val="18"/>
                <w:lang w:val="en-US"/>
              </w:rPr>
            </w:pPr>
            <w:r w:rsidRPr="00857B81">
              <w:rPr>
                <w:i/>
                <w:iCs/>
                <w:sz w:val="18"/>
                <w:szCs w:val="18"/>
                <w:lang w:val="en-US"/>
              </w:rPr>
              <w:t xml:space="preserve">Indicator </w:t>
            </w:r>
            <w:r w:rsidR="0065402B">
              <w:rPr>
                <w:i/>
                <w:iCs/>
                <w:sz w:val="18"/>
                <w:szCs w:val="18"/>
                <w:lang w:val="en-US"/>
              </w:rPr>
              <w:t>9</w:t>
            </w:r>
            <w:r w:rsidRPr="00857B81">
              <w:rPr>
                <w:i/>
                <w:iCs/>
                <w:sz w:val="18"/>
                <w:szCs w:val="18"/>
                <w:lang w:val="en-US"/>
              </w:rPr>
              <w:t>: </w:t>
            </w:r>
            <w:r w:rsidRPr="00857B81">
              <w:rPr>
                <w:sz w:val="18"/>
                <w:szCs w:val="18"/>
                <w:lang w:val="en-US"/>
              </w:rPr>
              <w:t xml:space="preserve"> #</w:t>
            </w:r>
            <w:r w:rsidRPr="3585F9A1">
              <w:rPr>
                <w:sz w:val="18"/>
                <w:szCs w:val="18"/>
                <w:lang w:val="en-US"/>
              </w:rPr>
              <w:t xml:space="preserve"> of measures related to catalyzing finance and innovation that benefited the District   of Bamako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00000A51" w14:textId="77777777" w:rsidR="00EF68D0" w:rsidRDefault="00EF68D0" w:rsidP="00EF68D0">
            <w:pPr>
              <w:rPr>
                <w:sz w:val="18"/>
                <w:szCs w:val="18"/>
              </w:rPr>
            </w:pPr>
            <w:r>
              <w:rPr>
                <w:sz w:val="18"/>
                <w:szCs w:val="18"/>
              </w:rPr>
              <w:t>2</w:t>
            </w:r>
          </w:p>
          <w:p w14:paraId="00000A52" w14:textId="77777777" w:rsidR="00EF68D0" w:rsidRDefault="00EF68D0" w:rsidP="00EF68D0">
            <w:pPr>
              <w:rPr>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53" w14:textId="77777777" w:rsidR="00EF68D0" w:rsidRDefault="00EF68D0" w:rsidP="00EF68D0">
            <w:pPr>
              <w:rPr>
                <w:sz w:val="18"/>
                <w:szCs w:val="18"/>
              </w:rPr>
            </w:pPr>
            <w:r>
              <w:rPr>
                <w:sz w:val="18"/>
                <w:szCs w:val="18"/>
              </w:rPr>
              <w:t>5</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55" w14:textId="4969A419" w:rsidR="00EF68D0" w:rsidRPr="00F84F0E" w:rsidRDefault="00C4270C" w:rsidP="00C4270C">
            <w:pPr>
              <w:rPr>
                <w:sz w:val="18"/>
                <w:szCs w:val="18"/>
                <w:lang w:val="en-US"/>
              </w:rPr>
            </w:pPr>
            <w:r w:rsidRPr="006F5E1D">
              <w:rPr>
                <w:sz w:val="18"/>
                <w:szCs w:val="18"/>
                <w:lang w:val="en-US"/>
              </w:rPr>
              <w:t xml:space="preserve">This indicator captures the total number of distinct measures implemented under the project that directly contribute to catalyzing finance and innovation in the District of Bamako. It includes regulatory reforms, innovative financing instruments, platforms for private sector engagement, and support mechanisms for entrepreneurship. For clarity and to avoid double </w:t>
            </w:r>
            <w:r w:rsidRPr="006F5E1D">
              <w:rPr>
                <w:sz w:val="18"/>
                <w:szCs w:val="18"/>
                <w:lang w:val="en-US"/>
              </w:rPr>
              <w:lastRenderedPageBreak/>
              <w:t>counting, activities specifically linked to electric mobility and the Green Belt will be reported under Components 2 and 3, respectively.  </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5D" w14:textId="00E55FF1" w:rsidR="00EF68D0" w:rsidRPr="00263D2C" w:rsidRDefault="00E27F2B" w:rsidP="00EF68D0">
            <w:pPr>
              <w:rPr>
                <w:sz w:val="18"/>
                <w:szCs w:val="18"/>
                <w:lang w:val="en-US"/>
              </w:rPr>
            </w:pPr>
            <w:r>
              <w:rPr>
                <w:sz w:val="18"/>
                <w:szCs w:val="18"/>
                <w:lang w:val="en-US"/>
              </w:rPr>
              <w:lastRenderedPageBreak/>
              <w:t xml:space="preserve">The sum of measures related to catalyzing finance.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5E" w14:textId="77777777" w:rsidR="00EF68D0" w:rsidRPr="00263D2C" w:rsidRDefault="00EF68D0" w:rsidP="00EF68D0">
            <w:pPr>
              <w:rPr>
                <w:sz w:val="18"/>
                <w:szCs w:val="18"/>
                <w:lang w:val="en-US"/>
              </w:rPr>
            </w:pPr>
            <w:r w:rsidRPr="00263D2C">
              <w:rPr>
                <w:sz w:val="18"/>
                <w:szCs w:val="18"/>
                <w:lang w:val="en-US"/>
              </w:rPr>
              <w:t>Annually</w:t>
            </w:r>
          </w:p>
          <w:p w14:paraId="00000A5F" w14:textId="7A9E3F31" w:rsidR="00EF68D0" w:rsidRPr="00263D2C" w:rsidRDefault="00EF68D0" w:rsidP="00EF68D0">
            <w:pPr>
              <w:rPr>
                <w:sz w:val="18"/>
                <w:szCs w:val="18"/>
                <w:lang w:val="en-US"/>
              </w:rPr>
            </w:pPr>
            <w:r w:rsidRPr="00263D2C">
              <w:rPr>
                <w:sz w:val="18"/>
                <w:szCs w:val="18"/>
                <w:lang w:val="en-US"/>
              </w:rPr>
              <w:t>Reported in the GEF</w:t>
            </w:r>
            <w:r w:rsidR="00A056D2">
              <w:rPr>
                <w:sz w:val="18"/>
                <w:szCs w:val="18"/>
                <w:lang w:val="en-US"/>
              </w:rPr>
              <w:t xml:space="preserve"> PIR</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60" w14:textId="0BC1B080" w:rsidR="00EF68D0" w:rsidRPr="00263D2C" w:rsidRDefault="17DF0864" w:rsidP="00EF68D0">
            <w:pPr>
              <w:rPr>
                <w:sz w:val="18"/>
                <w:szCs w:val="18"/>
                <w:lang w:val="en-US"/>
              </w:rPr>
            </w:pPr>
            <w:r w:rsidRPr="537FA187">
              <w:rPr>
                <w:sz w:val="18"/>
                <w:szCs w:val="18"/>
                <w:lang w:val="en-US"/>
              </w:rPr>
              <w:t xml:space="preserve">District Town Hall and </w:t>
            </w:r>
            <w:r w:rsidR="5C750FBB" w:rsidRPr="537FA187">
              <w:rPr>
                <w:sz w:val="18"/>
                <w:szCs w:val="18"/>
                <w:lang w:val="en-US"/>
              </w:rPr>
              <w:t>RDA</w:t>
            </w:r>
            <w:r w:rsidRPr="537FA187">
              <w:rPr>
                <w:sz w:val="18"/>
                <w:szCs w:val="18"/>
                <w:lang w:val="en-US"/>
              </w:rPr>
              <w:t xml:space="preserve"> with the PMU</w:t>
            </w:r>
            <w:r w:rsidR="00133A60">
              <w:rPr>
                <w:sz w:val="18"/>
                <w:szCs w:val="18"/>
                <w:lang w:val="en-US"/>
              </w:rPr>
              <w:t xml:space="preserve"> </w:t>
            </w:r>
            <w:r w:rsidR="00133A60">
              <w:rPr>
                <w:i/>
                <w:iCs/>
                <w:sz w:val="18"/>
                <w:szCs w:val="18"/>
                <w:lang w:val="en-US"/>
              </w:rPr>
              <w:t>(PM and</w:t>
            </w:r>
            <w:r w:rsidR="00133A60" w:rsidRPr="00345A71">
              <w:rPr>
                <w:i/>
                <w:iCs/>
                <w:sz w:val="18"/>
                <w:szCs w:val="18"/>
                <w:lang w:val="en-US"/>
              </w:rPr>
              <w:t xml:space="preserve"> M&amp;E</w:t>
            </w:r>
            <w:r w:rsidR="00133A60">
              <w:rPr>
                <w:i/>
                <w:iCs/>
                <w:sz w:val="18"/>
                <w:szCs w:val="18"/>
                <w:lang w:val="en-US"/>
              </w:rPr>
              <w:t>)</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61" w14:textId="77777777" w:rsidR="00EF68D0" w:rsidRPr="00263D2C" w:rsidRDefault="00EF68D0" w:rsidP="00EF68D0">
            <w:pPr>
              <w:rPr>
                <w:sz w:val="18"/>
                <w:szCs w:val="18"/>
                <w:lang w:val="en-US"/>
              </w:rPr>
            </w:pPr>
            <w:r w:rsidRPr="00263D2C">
              <w:rPr>
                <w:sz w:val="18"/>
                <w:szCs w:val="18"/>
                <w:lang w:val="en-US"/>
              </w:rPr>
              <w:t xml:space="preserve">activity reports, project sheets, technical reports of the PMU </w:t>
            </w:r>
          </w:p>
        </w:tc>
      </w:tr>
      <w:tr w:rsidR="00EF68D0" w:rsidRPr="00F50786" w14:paraId="295C3FC8" w14:textId="77777777" w:rsidTr="2DC80E69">
        <w:trPr>
          <w:gridAfter w:val="1"/>
          <w:wAfter w:w="35" w:type="dxa"/>
          <w:trHeight w:val="20"/>
          <w:jc w:val="center"/>
        </w:trPr>
        <w:tc>
          <w:tcPr>
            <w:tcW w:w="1129" w:type="dxa"/>
            <w:vMerge/>
            <w:vAlign w:val="center"/>
          </w:tcPr>
          <w:p w14:paraId="00000A62" w14:textId="77777777" w:rsidR="00EF68D0" w:rsidRPr="00263D2C" w:rsidRDefault="00EF68D0" w:rsidP="00EF68D0">
            <w:pPr>
              <w:widowControl w:val="0"/>
              <w:pBdr>
                <w:top w:val="nil"/>
                <w:left w:val="nil"/>
                <w:bottom w:val="nil"/>
                <w:right w:val="nil"/>
                <w:between w:val="nil"/>
              </w:pBdr>
              <w:spacing w:after="0" w:line="276" w:lineRule="auto"/>
              <w:rPr>
                <w:sz w:val="18"/>
                <w:szCs w:val="18"/>
                <w:lang w:val="en-US"/>
              </w:rPr>
            </w:pP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0000A63" w14:textId="2AF1F269" w:rsidR="00EF68D0" w:rsidRPr="00263D2C" w:rsidRDefault="3A41F656" w:rsidP="00EF68D0">
            <w:pPr>
              <w:rPr>
                <w:sz w:val="18"/>
                <w:szCs w:val="18"/>
                <w:lang w:val="en-US"/>
              </w:rPr>
            </w:pPr>
            <w:r w:rsidRPr="3585F9A1">
              <w:rPr>
                <w:sz w:val="18"/>
                <w:szCs w:val="18"/>
                <w:lang w:val="en-US"/>
              </w:rPr>
              <w:t xml:space="preserve">Indicator </w:t>
            </w:r>
            <w:r w:rsidR="0065402B">
              <w:rPr>
                <w:sz w:val="18"/>
                <w:szCs w:val="18"/>
                <w:lang w:val="en-US"/>
              </w:rPr>
              <w:t>10</w:t>
            </w:r>
            <w:r w:rsidRPr="3585F9A1">
              <w:rPr>
                <w:sz w:val="18"/>
                <w:szCs w:val="18"/>
                <w:lang w:val="en-US"/>
              </w:rPr>
              <w:t xml:space="preserve">: % Increase in financing mobilized for integrated, green and resilient urban development projects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15" w:type="dxa"/>
              <w:bottom w:w="0" w:type="dxa"/>
              <w:right w:w="115" w:type="dxa"/>
            </w:tcMar>
          </w:tcPr>
          <w:p w14:paraId="00000A64" w14:textId="77777777" w:rsidR="00EF68D0" w:rsidRDefault="43606BF1" w:rsidP="00EF68D0">
            <w:pPr>
              <w:rPr>
                <w:sz w:val="18"/>
                <w:szCs w:val="18"/>
              </w:rPr>
            </w:pPr>
            <w:r w:rsidRPr="5D8904BE">
              <w:rPr>
                <w:sz w:val="18"/>
                <w:szCs w:val="18"/>
              </w:rPr>
              <w:t xml:space="preserve">20% </w:t>
            </w:r>
            <w:proofErr w:type="spellStart"/>
            <w:r w:rsidRPr="5D8904BE">
              <w:rPr>
                <w:sz w:val="18"/>
                <w:szCs w:val="18"/>
              </w:rPr>
              <w:t>increase</w:t>
            </w:r>
            <w:proofErr w:type="spellEnd"/>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65" w14:textId="77777777" w:rsidR="00EF68D0" w:rsidRDefault="43606BF1" w:rsidP="00EF68D0">
            <w:pPr>
              <w:rPr>
                <w:sz w:val="18"/>
                <w:szCs w:val="18"/>
              </w:rPr>
            </w:pPr>
            <w:r w:rsidRPr="5D8904BE">
              <w:rPr>
                <w:i/>
                <w:iCs/>
                <w:sz w:val="18"/>
                <w:szCs w:val="18"/>
              </w:rPr>
              <w:t xml:space="preserve">40% </w:t>
            </w:r>
            <w:proofErr w:type="spellStart"/>
            <w:r w:rsidRPr="5D8904BE">
              <w:rPr>
                <w:i/>
                <w:iCs/>
                <w:sz w:val="18"/>
                <w:szCs w:val="18"/>
              </w:rPr>
              <w:t>increase</w:t>
            </w:r>
            <w:proofErr w:type="spellEnd"/>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66" w14:textId="77777777" w:rsidR="00EF68D0" w:rsidRPr="00263D2C" w:rsidRDefault="43606BF1" w:rsidP="00EF68D0">
            <w:pPr>
              <w:rPr>
                <w:sz w:val="18"/>
                <w:szCs w:val="18"/>
                <w:lang w:val="en-US"/>
              </w:rPr>
            </w:pPr>
            <w:r w:rsidRPr="5D8904BE">
              <w:rPr>
                <w:sz w:val="18"/>
                <w:szCs w:val="18"/>
                <w:lang w:val="en-US"/>
              </w:rPr>
              <w:t xml:space="preserve">This indicator measures the relative percentage increase in financial resources (public, private, bilateral, multilateral, climate, etc.) </w:t>
            </w:r>
            <w:proofErr w:type="spellStart"/>
            <w:r w:rsidRPr="5D8904BE">
              <w:rPr>
                <w:sz w:val="18"/>
                <w:szCs w:val="18"/>
                <w:lang w:val="en-US"/>
              </w:rPr>
              <w:t>mobilised</w:t>
            </w:r>
            <w:proofErr w:type="spellEnd"/>
            <w:r w:rsidRPr="5D8904BE">
              <w:rPr>
                <w:sz w:val="18"/>
                <w:szCs w:val="18"/>
                <w:lang w:val="en-US"/>
              </w:rPr>
              <w:t xml:space="preserve"> to support integrated, sustainable, green and resilient urban development projects, compared to a defined baseline period or situation. The objective is to reflect the effectiveness of advocacy efforts, structuring bankable projects, and financial partnerships.</w:t>
            </w:r>
          </w:p>
          <w:p w14:paraId="00000A67" w14:textId="77777777" w:rsidR="00EF68D0" w:rsidRPr="00263D2C" w:rsidRDefault="00EF68D0" w:rsidP="00EF68D0">
            <w:pPr>
              <w:rPr>
                <w:sz w:val="18"/>
                <w:szCs w:val="18"/>
                <w:lang w:val="en-US"/>
              </w:rPr>
            </w:pP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68" w14:textId="77777777" w:rsidR="00EF68D0" w:rsidRPr="006F5E1D" w:rsidRDefault="43606BF1" w:rsidP="5D8904BE">
            <w:pPr>
              <w:rPr>
                <w:sz w:val="18"/>
                <w:szCs w:val="18"/>
              </w:rPr>
            </w:pPr>
            <w:r w:rsidRPr="006F5E1D">
              <w:rPr>
                <w:sz w:val="18"/>
                <w:szCs w:val="18"/>
              </w:rPr>
              <w:t xml:space="preserve">Official Project Financial </w:t>
            </w:r>
            <w:proofErr w:type="gramStart"/>
            <w:r w:rsidRPr="006F5E1D">
              <w:rPr>
                <w:sz w:val="18"/>
                <w:szCs w:val="18"/>
              </w:rPr>
              <w:t>Reports:</w:t>
            </w:r>
            <w:proofErr w:type="gramEnd"/>
            <w:r w:rsidRPr="006F5E1D">
              <w:rPr>
                <w:sz w:val="18"/>
                <w:szCs w:val="18"/>
              </w:rPr>
              <w:t xml:space="preserve"> </w:t>
            </w:r>
          </w:p>
          <w:p w14:paraId="00000A69" w14:textId="77777777" w:rsidR="00EF68D0" w:rsidRPr="000C017C" w:rsidRDefault="43606BF1" w:rsidP="001360BB">
            <w:pPr>
              <w:numPr>
                <w:ilvl w:val="0"/>
                <w:numId w:val="211"/>
              </w:numPr>
              <w:ind w:left="122"/>
              <w:rPr>
                <w:sz w:val="18"/>
                <w:szCs w:val="18"/>
                <w:lang w:val="en-US"/>
              </w:rPr>
            </w:pPr>
            <w:r w:rsidRPr="000C017C">
              <w:rPr>
                <w:sz w:val="18"/>
                <w:szCs w:val="18"/>
                <w:lang w:val="en-US"/>
              </w:rPr>
              <w:t>Consolidated annual budgets for urban projects supported (by the town hall, ministries or partners)</w:t>
            </w:r>
          </w:p>
          <w:p w14:paraId="00000A6A" w14:textId="77777777" w:rsidR="00EF68D0" w:rsidRPr="000C017C" w:rsidRDefault="43606BF1" w:rsidP="001360BB">
            <w:pPr>
              <w:numPr>
                <w:ilvl w:val="0"/>
                <w:numId w:val="211"/>
              </w:numPr>
              <w:ind w:left="122"/>
              <w:rPr>
                <w:sz w:val="18"/>
                <w:szCs w:val="18"/>
                <w:lang w:val="en-US"/>
              </w:rPr>
            </w:pPr>
            <w:r w:rsidRPr="000C017C">
              <w:rPr>
                <w:sz w:val="18"/>
                <w:szCs w:val="18"/>
                <w:lang w:val="en-US"/>
              </w:rPr>
              <w:t>Status of co-financing or additional investments obtained through the project</w:t>
            </w:r>
          </w:p>
          <w:p w14:paraId="00000A6B" w14:textId="77777777" w:rsidR="00EF68D0" w:rsidRPr="000C017C" w:rsidRDefault="43606BF1" w:rsidP="00EF68D0">
            <w:pPr>
              <w:rPr>
                <w:sz w:val="18"/>
                <w:szCs w:val="18"/>
                <w:lang w:val="en-US"/>
              </w:rPr>
            </w:pPr>
            <w:r w:rsidRPr="006F5E1D">
              <w:rPr>
                <w:sz w:val="18"/>
                <w:szCs w:val="18"/>
                <w:lang w:val="en-US"/>
              </w:rPr>
              <w:t xml:space="preserve">Financing agreements, </w:t>
            </w:r>
            <w:r w:rsidRPr="000C017C">
              <w:rPr>
                <w:sz w:val="18"/>
                <w:szCs w:val="18"/>
                <w:lang w:val="en-US"/>
              </w:rPr>
              <w:t>grant or loan agreements signed (public, private, bilateral or multilateral)</w:t>
            </w:r>
          </w:p>
          <w:p w14:paraId="00000A6C" w14:textId="77777777" w:rsidR="00EF68D0" w:rsidRPr="000C017C" w:rsidRDefault="00EF68D0" w:rsidP="00EF68D0">
            <w:pPr>
              <w:rPr>
                <w:sz w:val="18"/>
                <w:szCs w:val="18"/>
                <w:lang w:val="en-US"/>
              </w:rPr>
            </w:pPr>
            <w:r w:rsidRPr="000C017C">
              <w:rPr>
                <w:sz w:val="18"/>
                <w:szCs w:val="18"/>
                <w:lang w:val="en-US"/>
              </w:rPr>
              <w:t>Letters of intent or funding pledges fulfilled</w:t>
            </w:r>
          </w:p>
          <w:p w14:paraId="00000A6D" w14:textId="77777777" w:rsidR="00EF68D0" w:rsidRPr="000C017C" w:rsidRDefault="43606BF1" w:rsidP="00EF68D0">
            <w:pPr>
              <w:rPr>
                <w:sz w:val="18"/>
                <w:szCs w:val="18"/>
                <w:lang w:val="en-US"/>
              </w:rPr>
            </w:pPr>
            <w:r w:rsidRPr="006F5E1D">
              <w:rPr>
                <w:sz w:val="18"/>
                <w:szCs w:val="18"/>
                <w:lang w:val="en-US"/>
              </w:rPr>
              <w:t>Investment or financing plans</w:t>
            </w:r>
            <w:r w:rsidRPr="000C017C">
              <w:rPr>
                <w:sz w:val="18"/>
                <w:szCs w:val="18"/>
                <w:lang w:val="en-US"/>
              </w:rPr>
              <w:t xml:space="preserve"> resulting from strategic planning (e.g. city investment plan, BIOFIN approach, etc.)</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6E" w14:textId="77777777" w:rsidR="00EF68D0" w:rsidRPr="00263D2C" w:rsidRDefault="00EF68D0" w:rsidP="00EF68D0">
            <w:pPr>
              <w:rPr>
                <w:sz w:val="18"/>
                <w:szCs w:val="18"/>
                <w:lang w:val="en-US"/>
              </w:rPr>
            </w:pPr>
            <w:r w:rsidRPr="00263D2C">
              <w:rPr>
                <w:sz w:val="18"/>
                <w:szCs w:val="18"/>
                <w:lang w:val="en-US"/>
              </w:rPr>
              <w:t>Annually</w:t>
            </w:r>
          </w:p>
          <w:p w14:paraId="00000A6F" w14:textId="23EB462C" w:rsidR="00EF68D0" w:rsidRPr="00263D2C" w:rsidRDefault="00EF68D0" w:rsidP="00EF68D0">
            <w:pPr>
              <w:rPr>
                <w:sz w:val="18"/>
                <w:szCs w:val="18"/>
                <w:lang w:val="en-US"/>
              </w:rPr>
            </w:pPr>
            <w:r w:rsidRPr="00263D2C">
              <w:rPr>
                <w:sz w:val="18"/>
                <w:szCs w:val="18"/>
                <w:lang w:val="en-US"/>
              </w:rPr>
              <w:t xml:space="preserve">Reported in the GEF </w:t>
            </w:r>
            <w:r w:rsidR="000C017C">
              <w:rPr>
                <w:sz w:val="18"/>
                <w:szCs w:val="18"/>
                <w:lang w:val="en-US"/>
              </w:rPr>
              <w:t>PIR</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70" w14:textId="42F2ADDE" w:rsidR="00EF68D0" w:rsidRDefault="69663027" w:rsidP="00EF68D0">
            <w:pPr>
              <w:rPr>
                <w:sz w:val="18"/>
                <w:szCs w:val="18"/>
              </w:rPr>
            </w:pPr>
            <w:r w:rsidRPr="537FA187">
              <w:rPr>
                <w:sz w:val="18"/>
                <w:szCs w:val="18"/>
              </w:rPr>
              <w:t>NDUPH</w:t>
            </w:r>
            <w:r w:rsidR="62BB4874" w:rsidRPr="537FA187">
              <w:rPr>
                <w:sz w:val="18"/>
                <w:szCs w:val="18"/>
              </w:rPr>
              <w:t xml:space="preserve">, Mairie du </w:t>
            </w:r>
            <w:proofErr w:type="gramStart"/>
            <w:r w:rsidR="62BB4874" w:rsidRPr="537FA187">
              <w:rPr>
                <w:sz w:val="18"/>
                <w:szCs w:val="18"/>
              </w:rPr>
              <w:t>District ,</w:t>
            </w:r>
            <w:proofErr w:type="gramEnd"/>
            <w:r w:rsidR="62BB4874" w:rsidRPr="537FA187">
              <w:rPr>
                <w:sz w:val="18"/>
                <w:szCs w:val="18"/>
              </w:rPr>
              <w:t xml:space="preserve"> </w:t>
            </w:r>
            <w:r w:rsidR="4F82A5F6" w:rsidRPr="537FA187">
              <w:rPr>
                <w:sz w:val="18"/>
                <w:szCs w:val="18"/>
              </w:rPr>
              <w:t>GDWF</w:t>
            </w:r>
            <w:r w:rsidR="62BB4874" w:rsidRPr="537FA187">
              <w:rPr>
                <w:sz w:val="18"/>
                <w:szCs w:val="18"/>
              </w:rPr>
              <w:t xml:space="preserve">, </w:t>
            </w:r>
            <w:r w:rsidR="58315770" w:rsidRPr="537FA187">
              <w:rPr>
                <w:sz w:val="18"/>
                <w:szCs w:val="18"/>
              </w:rPr>
              <w:t>GDT</w:t>
            </w:r>
            <w:r w:rsidR="62BB4874" w:rsidRPr="537FA187">
              <w:rPr>
                <w:sz w:val="18"/>
                <w:szCs w:val="18"/>
              </w:rPr>
              <w:t xml:space="preserve">, </w:t>
            </w:r>
            <w:r w:rsidR="6CE722BA" w:rsidRPr="537FA187">
              <w:rPr>
                <w:sz w:val="18"/>
                <w:szCs w:val="18"/>
              </w:rPr>
              <w:t>PMU</w:t>
            </w:r>
            <w:r w:rsidR="00133A60">
              <w:rPr>
                <w:sz w:val="18"/>
                <w:szCs w:val="18"/>
              </w:rPr>
              <w:t xml:space="preserve"> </w:t>
            </w:r>
            <w:r w:rsidR="00133A60">
              <w:rPr>
                <w:i/>
                <w:iCs/>
                <w:sz w:val="18"/>
                <w:szCs w:val="18"/>
                <w:lang w:val="en-US"/>
              </w:rPr>
              <w:t>(PM and</w:t>
            </w:r>
            <w:r w:rsidR="00133A60" w:rsidRPr="00345A71">
              <w:rPr>
                <w:i/>
                <w:iCs/>
                <w:sz w:val="18"/>
                <w:szCs w:val="18"/>
                <w:lang w:val="en-US"/>
              </w:rPr>
              <w:t xml:space="preserve"> M&amp;E</w:t>
            </w:r>
            <w:r w:rsidR="00133A60">
              <w:rPr>
                <w:i/>
                <w:iCs/>
                <w:sz w:val="18"/>
                <w:szCs w:val="18"/>
                <w:lang w:val="en-US"/>
              </w:rPr>
              <w:t>)</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71" w14:textId="15DE4F0D" w:rsidR="00EF68D0" w:rsidRPr="00263D2C" w:rsidRDefault="17DF0864" w:rsidP="00EF68D0">
            <w:pPr>
              <w:rPr>
                <w:sz w:val="18"/>
                <w:szCs w:val="18"/>
                <w:lang w:val="en-US"/>
              </w:rPr>
            </w:pPr>
            <w:r w:rsidRPr="537FA187">
              <w:rPr>
                <w:sz w:val="18"/>
                <w:szCs w:val="18"/>
                <w:lang w:val="en-US"/>
              </w:rPr>
              <w:t xml:space="preserve">Report of the City of Bamako, </w:t>
            </w:r>
            <w:r w:rsidR="5C750FBB" w:rsidRPr="537FA187">
              <w:rPr>
                <w:sz w:val="18"/>
                <w:szCs w:val="18"/>
                <w:lang w:val="en-US"/>
              </w:rPr>
              <w:t>RDA</w:t>
            </w:r>
            <w:r w:rsidRPr="537FA187">
              <w:rPr>
                <w:sz w:val="18"/>
                <w:szCs w:val="18"/>
                <w:lang w:val="en-US"/>
              </w:rPr>
              <w:t xml:space="preserve">, </w:t>
            </w:r>
            <w:r w:rsidR="4F82A5F6" w:rsidRPr="537FA187">
              <w:rPr>
                <w:sz w:val="18"/>
                <w:szCs w:val="18"/>
                <w:lang w:val="en-US"/>
              </w:rPr>
              <w:t>GDWF</w:t>
            </w:r>
            <w:r w:rsidRPr="537FA187">
              <w:rPr>
                <w:sz w:val="18"/>
                <w:szCs w:val="18"/>
                <w:lang w:val="en-US"/>
              </w:rPr>
              <w:t xml:space="preserve">, </w:t>
            </w:r>
            <w:r w:rsidR="58315770" w:rsidRPr="537FA187">
              <w:rPr>
                <w:sz w:val="18"/>
                <w:szCs w:val="18"/>
                <w:lang w:val="en-US"/>
              </w:rPr>
              <w:t>GDT</w:t>
            </w:r>
            <w:r w:rsidRPr="537FA187">
              <w:rPr>
                <w:sz w:val="18"/>
                <w:szCs w:val="18"/>
                <w:lang w:val="en-US"/>
              </w:rPr>
              <w:t xml:space="preserve">, </w:t>
            </w:r>
            <w:r w:rsidR="69663027" w:rsidRPr="537FA187">
              <w:rPr>
                <w:sz w:val="18"/>
                <w:szCs w:val="18"/>
                <w:lang w:val="en-US"/>
              </w:rPr>
              <w:t>NDUPH</w:t>
            </w:r>
            <w:r w:rsidRPr="537FA187">
              <w:rPr>
                <w:sz w:val="18"/>
                <w:szCs w:val="18"/>
                <w:lang w:val="en-US"/>
              </w:rPr>
              <w:t xml:space="preserve"> indicating a compilation of contracts, letters of commitment and financing agreements</w:t>
            </w:r>
          </w:p>
          <w:p w14:paraId="00000A72" w14:textId="77777777" w:rsidR="00EF68D0" w:rsidRPr="00263D2C" w:rsidRDefault="00EF68D0" w:rsidP="00EF68D0">
            <w:pPr>
              <w:rPr>
                <w:sz w:val="18"/>
                <w:szCs w:val="18"/>
                <w:lang w:val="en-US"/>
              </w:rPr>
            </w:pPr>
            <w:r w:rsidRPr="00263D2C">
              <w:rPr>
                <w:sz w:val="18"/>
                <w:szCs w:val="18"/>
                <w:lang w:val="en-US"/>
              </w:rPr>
              <w:t xml:space="preserve">Donor and TFP Meeting Reports </w:t>
            </w:r>
          </w:p>
          <w:p w14:paraId="00000A73" w14:textId="77777777" w:rsidR="00EF68D0" w:rsidRPr="00263D2C" w:rsidRDefault="00EF68D0" w:rsidP="00EF68D0">
            <w:pPr>
              <w:rPr>
                <w:sz w:val="18"/>
                <w:szCs w:val="18"/>
                <w:lang w:val="en-US"/>
              </w:rPr>
            </w:pPr>
            <w:r w:rsidRPr="00263D2C">
              <w:rPr>
                <w:sz w:val="18"/>
                <w:szCs w:val="18"/>
                <w:lang w:val="en-US"/>
              </w:rPr>
              <w:t xml:space="preserve">Report of the Integrated Urban Development Financing Conference </w:t>
            </w:r>
          </w:p>
          <w:p w14:paraId="00000A74" w14:textId="77777777" w:rsidR="00EF68D0" w:rsidRPr="00263D2C" w:rsidRDefault="00EF68D0" w:rsidP="00EF68D0">
            <w:pPr>
              <w:rPr>
                <w:sz w:val="18"/>
                <w:szCs w:val="18"/>
                <w:lang w:val="en-US"/>
              </w:rPr>
            </w:pPr>
            <w:r w:rsidRPr="00263D2C">
              <w:rPr>
                <w:sz w:val="18"/>
                <w:szCs w:val="18"/>
                <w:lang w:val="en-US"/>
              </w:rPr>
              <w:t>Review of national and municipal financial databases</w:t>
            </w:r>
          </w:p>
          <w:p w14:paraId="00000A75" w14:textId="77777777" w:rsidR="00EF68D0" w:rsidRPr="00263D2C" w:rsidRDefault="00EF68D0" w:rsidP="00EF68D0">
            <w:pPr>
              <w:rPr>
                <w:sz w:val="18"/>
                <w:szCs w:val="18"/>
                <w:lang w:val="en-US"/>
              </w:rPr>
            </w:pPr>
            <w:r w:rsidRPr="00263D2C">
              <w:rPr>
                <w:sz w:val="18"/>
                <w:szCs w:val="18"/>
                <w:lang w:val="en-US"/>
              </w:rPr>
              <w:t xml:space="preserve">Analysis report of supported </w:t>
            </w:r>
            <w:r w:rsidRPr="00263D2C">
              <w:rPr>
                <w:sz w:val="18"/>
                <w:szCs w:val="18"/>
                <w:lang w:val="en-US"/>
              </w:rPr>
              <w:lastRenderedPageBreak/>
              <w:t>project/</w:t>
            </w:r>
            <w:proofErr w:type="spellStart"/>
            <w:r w:rsidRPr="00263D2C">
              <w:rPr>
                <w:sz w:val="18"/>
                <w:szCs w:val="18"/>
                <w:lang w:val="en-US"/>
              </w:rPr>
              <w:t>programme</w:t>
            </w:r>
            <w:proofErr w:type="spellEnd"/>
            <w:r w:rsidRPr="00263D2C">
              <w:rPr>
                <w:sz w:val="18"/>
                <w:szCs w:val="18"/>
                <w:lang w:val="en-US"/>
              </w:rPr>
              <w:t xml:space="preserve"> portfolios</w:t>
            </w:r>
          </w:p>
        </w:tc>
      </w:tr>
      <w:tr w:rsidR="00EF68D0" w:rsidRPr="00F50786" w14:paraId="5307A23D" w14:textId="77777777" w:rsidTr="2DC80E69">
        <w:trPr>
          <w:gridAfter w:val="1"/>
          <w:wAfter w:w="35" w:type="dxa"/>
          <w:trHeight w:val="180"/>
          <w:jc w:val="center"/>
        </w:trPr>
        <w:tc>
          <w:tcPr>
            <w:tcW w:w="1129" w:type="dxa"/>
            <w:vMerge w:val="restart"/>
            <w:tcBorders>
              <w:top w:val="single" w:sz="4" w:space="0" w:color="000000" w:themeColor="text1"/>
              <w:left w:val="single" w:sz="4" w:space="0" w:color="000000" w:themeColor="text1"/>
              <w:right w:val="single" w:sz="4" w:space="0" w:color="000000" w:themeColor="text1"/>
            </w:tcBorders>
          </w:tcPr>
          <w:p w14:paraId="00000A76" w14:textId="7A4FFC25" w:rsidR="00EF68D0" w:rsidRPr="00263D2C" w:rsidRDefault="00EF68D0" w:rsidP="00EF68D0">
            <w:pPr>
              <w:rPr>
                <w:sz w:val="18"/>
                <w:szCs w:val="18"/>
                <w:lang w:val="en-US"/>
              </w:rPr>
            </w:pPr>
            <w:r w:rsidRPr="53AE587F">
              <w:rPr>
                <w:b/>
                <w:bCs/>
                <w:sz w:val="18"/>
                <w:szCs w:val="18"/>
                <w:lang w:val="en-US"/>
              </w:rPr>
              <w:lastRenderedPageBreak/>
              <w:t>Outcome 2.1</w:t>
            </w:r>
          </w:p>
          <w:p w14:paraId="00000A77" w14:textId="77777777" w:rsidR="00EF68D0" w:rsidRPr="00263D2C" w:rsidRDefault="00EF68D0" w:rsidP="00EF68D0">
            <w:pPr>
              <w:rPr>
                <w:sz w:val="18"/>
                <w:szCs w:val="18"/>
                <w:lang w:val="en-US"/>
              </w:rPr>
            </w:pPr>
            <w:r w:rsidRPr="00263D2C">
              <w:rPr>
                <w:sz w:val="18"/>
                <w:szCs w:val="18"/>
                <w:lang w:val="en-US"/>
              </w:rPr>
              <w:t>An environment conducive to innovative partnership with low-carbon investment in sustainable transport is being put in place, thus improving access to services, especially for the most vulnerable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78" w14:textId="1EED6A8E" w:rsidR="00EF68D0" w:rsidRPr="00263D2C" w:rsidRDefault="43606BF1" w:rsidP="00EF68D0">
            <w:pPr>
              <w:rPr>
                <w:sz w:val="18"/>
                <w:szCs w:val="18"/>
                <w:lang w:val="en-US"/>
              </w:rPr>
            </w:pPr>
            <w:r w:rsidRPr="5D8904BE">
              <w:rPr>
                <w:i/>
                <w:iCs/>
                <w:sz w:val="18"/>
                <w:szCs w:val="18"/>
                <w:u w:val="single"/>
                <w:lang w:val="en-US"/>
              </w:rPr>
              <w:t xml:space="preserve">Indicator </w:t>
            </w:r>
            <w:r w:rsidR="0030550D">
              <w:rPr>
                <w:i/>
                <w:iCs/>
                <w:sz w:val="18"/>
                <w:szCs w:val="18"/>
                <w:u w:val="single"/>
                <w:lang w:val="en-US"/>
              </w:rPr>
              <w:t>11</w:t>
            </w:r>
            <w:r w:rsidRPr="5D8904BE">
              <w:rPr>
                <w:i/>
                <w:iCs/>
                <w:sz w:val="18"/>
                <w:szCs w:val="18"/>
                <w:u w:val="single"/>
                <w:lang w:val="en-US"/>
              </w:rPr>
              <w:t xml:space="preserve">: </w:t>
            </w:r>
            <w:r w:rsidRPr="5D8904BE">
              <w:rPr>
                <w:i/>
                <w:iCs/>
                <w:sz w:val="18"/>
                <w:szCs w:val="18"/>
                <w:lang w:val="en-US"/>
              </w:rPr>
              <w:t xml:space="preserve"> # of regulatory texts and financial instruments adopted to facilitate investment in sustainable transport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79" w14:textId="77777777" w:rsidR="00EF68D0" w:rsidRDefault="00EF68D0" w:rsidP="00EF68D0">
            <w:pPr>
              <w:rPr>
                <w:sz w:val="18"/>
                <w:szCs w:val="18"/>
              </w:rPr>
            </w:pPr>
            <w:r>
              <w:rPr>
                <w:sz w:val="18"/>
                <w:szCs w:val="1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7A" w14:textId="13EFBF4F" w:rsidR="00EF68D0" w:rsidRDefault="007460B9" w:rsidP="00EF68D0">
            <w:pPr>
              <w:rPr>
                <w:sz w:val="18"/>
                <w:szCs w:val="18"/>
              </w:rPr>
            </w:pPr>
            <w:r>
              <w:rPr>
                <w:sz w:val="18"/>
                <w:szCs w:val="18"/>
              </w:rPr>
              <w:t>3</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7B" w14:textId="0C8B729A" w:rsidR="00EF68D0" w:rsidRPr="00263D2C" w:rsidRDefault="62BB4874" w:rsidP="00EF68D0">
            <w:pPr>
              <w:rPr>
                <w:sz w:val="18"/>
                <w:szCs w:val="18"/>
                <w:lang w:val="en-US"/>
              </w:rPr>
            </w:pPr>
            <w:r w:rsidRPr="537FA187">
              <w:rPr>
                <w:sz w:val="18"/>
                <w:szCs w:val="18"/>
                <w:lang w:val="en-US"/>
              </w:rPr>
              <w:t xml:space="preserve">This indicator counts the number of regulatory texts, public policies and financial instruments adopted that aim to encourage, supervise or support investments in low-carbon, </w:t>
            </w:r>
            <w:r w:rsidR="1027994E" w:rsidRPr="537FA187">
              <w:rPr>
                <w:sz w:val="18"/>
                <w:szCs w:val="18"/>
                <w:lang w:val="en-US"/>
              </w:rPr>
              <w:t>sustainable,</w:t>
            </w:r>
            <w:r w:rsidRPr="537FA187">
              <w:rPr>
                <w:sz w:val="18"/>
                <w:szCs w:val="18"/>
                <w:lang w:val="en-US"/>
              </w:rPr>
              <w:t xml:space="preserve"> and inclusive transport systems. These are measures designed to support the transition to low-greenhouse gas emission modes of transport, such as electric mobility, clean public transport, active mobility (cycling, walking), and green urban logistics.</w:t>
            </w:r>
          </w:p>
          <w:p w14:paraId="00000A7C" w14:textId="5CB83F5B" w:rsidR="00EF68D0" w:rsidRPr="00263D2C" w:rsidRDefault="17DF0864" w:rsidP="00EF68D0">
            <w:pPr>
              <w:rPr>
                <w:sz w:val="18"/>
                <w:szCs w:val="18"/>
                <w:lang w:val="en-US"/>
              </w:rPr>
            </w:pPr>
            <w:r w:rsidRPr="537FA187">
              <w:rPr>
                <w:sz w:val="18"/>
                <w:szCs w:val="18"/>
                <w:lang w:val="en-US"/>
              </w:rPr>
              <w:t xml:space="preserve">It also targets the related change of behavior for the adoption of responsible citizen behavior (the City Hall, the </w:t>
            </w:r>
            <w:r w:rsidR="58315770" w:rsidRPr="537FA187">
              <w:rPr>
                <w:sz w:val="18"/>
                <w:szCs w:val="18"/>
                <w:lang w:val="en-US"/>
              </w:rPr>
              <w:t>GDT</w:t>
            </w:r>
            <w:r w:rsidRPr="537FA187">
              <w:rPr>
                <w:sz w:val="18"/>
                <w:szCs w:val="18"/>
                <w:lang w:val="en-US"/>
              </w:rPr>
              <w:t>, entrepreneurs and citizens)</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7D" w14:textId="77777777" w:rsidR="00EF68D0" w:rsidRPr="00263D2C" w:rsidRDefault="43606BF1" w:rsidP="00EF68D0">
            <w:pPr>
              <w:rPr>
                <w:sz w:val="18"/>
                <w:szCs w:val="18"/>
                <w:lang w:val="en-US"/>
              </w:rPr>
            </w:pPr>
            <w:r w:rsidRPr="5D8904BE">
              <w:rPr>
                <w:sz w:val="18"/>
                <w:szCs w:val="18"/>
                <w:lang w:val="en-US"/>
              </w:rPr>
              <w:t xml:space="preserve">A text or instrument is </w:t>
            </w:r>
            <w:proofErr w:type="gramStart"/>
            <w:r w:rsidRPr="5D8904BE">
              <w:rPr>
                <w:sz w:val="18"/>
                <w:szCs w:val="18"/>
                <w:lang w:val="en-US"/>
              </w:rPr>
              <w:t>taken into account</w:t>
            </w:r>
            <w:proofErr w:type="gramEnd"/>
            <w:r w:rsidRPr="5D8904BE">
              <w:rPr>
                <w:sz w:val="18"/>
                <w:szCs w:val="18"/>
                <w:lang w:val="en-US"/>
              </w:rPr>
              <w:t xml:space="preserve"> if it:</w:t>
            </w:r>
          </w:p>
          <w:p w14:paraId="00000A7E" w14:textId="77777777" w:rsidR="00EF68D0" w:rsidRPr="008141F7" w:rsidRDefault="43606BF1" w:rsidP="40E7FE84">
            <w:pPr>
              <w:numPr>
                <w:ilvl w:val="0"/>
                <w:numId w:val="215"/>
              </w:numPr>
              <w:ind w:left="119" w:hanging="119"/>
              <w:rPr>
                <w:sz w:val="18"/>
                <w:szCs w:val="18"/>
                <w:lang w:val="en-US"/>
              </w:rPr>
            </w:pPr>
            <w:r w:rsidRPr="008141F7">
              <w:rPr>
                <w:sz w:val="18"/>
                <w:szCs w:val="18"/>
                <w:lang w:val="en-US"/>
              </w:rPr>
              <w:t>Has been formally adopted by a competent authority (ministry, local authority, national agency, etc.</w:t>
            </w:r>
            <w:proofErr w:type="gramStart"/>
            <w:r w:rsidRPr="008141F7">
              <w:rPr>
                <w:sz w:val="18"/>
                <w:szCs w:val="18"/>
                <w:lang w:val="en-US"/>
              </w:rPr>
              <w:t>);</w:t>
            </w:r>
            <w:proofErr w:type="gramEnd"/>
          </w:p>
          <w:p w14:paraId="00000A7F" w14:textId="77777777" w:rsidR="00EF68D0" w:rsidRPr="008141F7" w:rsidRDefault="43606BF1" w:rsidP="40E7FE84">
            <w:pPr>
              <w:numPr>
                <w:ilvl w:val="0"/>
                <w:numId w:val="215"/>
              </w:numPr>
              <w:ind w:left="119" w:hanging="119"/>
              <w:rPr>
                <w:sz w:val="18"/>
                <w:szCs w:val="18"/>
                <w:lang w:val="en-US"/>
              </w:rPr>
            </w:pPr>
            <w:r w:rsidRPr="008141F7">
              <w:rPr>
                <w:sz w:val="18"/>
                <w:szCs w:val="18"/>
                <w:lang w:val="en-US"/>
              </w:rPr>
              <w:t>Is applicable or applied (not in the project phase only but beyond</w:t>
            </w:r>
            <w:proofErr w:type="gramStart"/>
            <w:r w:rsidRPr="008141F7">
              <w:rPr>
                <w:sz w:val="18"/>
                <w:szCs w:val="18"/>
                <w:lang w:val="en-US"/>
              </w:rPr>
              <w:t>);</w:t>
            </w:r>
            <w:proofErr w:type="gramEnd"/>
          </w:p>
          <w:p w14:paraId="00000A80" w14:textId="77777777" w:rsidR="00EF68D0" w:rsidRPr="00263D2C" w:rsidRDefault="00EF68D0" w:rsidP="001360BB">
            <w:pPr>
              <w:numPr>
                <w:ilvl w:val="0"/>
                <w:numId w:val="215"/>
              </w:numPr>
              <w:ind w:left="119" w:hanging="119"/>
              <w:rPr>
                <w:sz w:val="18"/>
                <w:szCs w:val="18"/>
                <w:lang w:val="en-US"/>
              </w:rPr>
            </w:pPr>
            <w:r w:rsidRPr="00263D2C">
              <w:rPr>
                <w:sz w:val="18"/>
                <w:szCs w:val="18"/>
                <w:lang w:val="en-US"/>
              </w:rPr>
              <w:t xml:space="preserve">Directly or primarily targets the low-carbon transport </w:t>
            </w:r>
            <w:proofErr w:type="gramStart"/>
            <w:r w:rsidRPr="00263D2C">
              <w:rPr>
                <w:sz w:val="18"/>
                <w:szCs w:val="18"/>
                <w:lang w:val="en-US"/>
              </w:rPr>
              <w:t>sector;</w:t>
            </w:r>
            <w:proofErr w:type="gramEnd"/>
          </w:p>
          <w:p w14:paraId="00000A81" w14:textId="77777777" w:rsidR="00EF68D0" w:rsidRPr="00263D2C" w:rsidRDefault="00EF68D0" w:rsidP="001360BB">
            <w:pPr>
              <w:numPr>
                <w:ilvl w:val="0"/>
                <w:numId w:val="215"/>
              </w:numPr>
              <w:ind w:left="119" w:hanging="119"/>
              <w:rPr>
                <w:sz w:val="18"/>
                <w:szCs w:val="18"/>
                <w:lang w:val="en-US"/>
              </w:rPr>
            </w:pPr>
            <w:r w:rsidRPr="00263D2C">
              <w:rPr>
                <w:sz w:val="18"/>
                <w:szCs w:val="18"/>
                <w:lang w:val="en-US"/>
              </w:rPr>
              <w:t>Encourages investment, scale-up or innovation in this area.</w:t>
            </w:r>
          </w:p>
          <w:p w14:paraId="00000A82" w14:textId="77777777" w:rsidR="00EF68D0" w:rsidRPr="00263D2C" w:rsidRDefault="00EF68D0" w:rsidP="00EF68D0">
            <w:pPr>
              <w:ind w:left="360"/>
              <w:rPr>
                <w:sz w:val="18"/>
                <w:szCs w:val="18"/>
                <w:lang w:val="en-U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83" w14:textId="77777777" w:rsidR="00EF68D0" w:rsidRPr="00263D2C" w:rsidRDefault="00EF68D0" w:rsidP="00EF68D0">
            <w:pPr>
              <w:rPr>
                <w:sz w:val="18"/>
                <w:szCs w:val="18"/>
                <w:lang w:val="en-US"/>
              </w:rPr>
            </w:pPr>
            <w:r w:rsidRPr="00263D2C">
              <w:rPr>
                <w:sz w:val="18"/>
                <w:szCs w:val="18"/>
                <w:lang w:val="en-US"/>
              </w:rPr>
              <w:t>Annually</w:t>
            </w:r>
          </w:p>
          <w:p w14:paraId="00000A84" w14:textId="77777777" w:rsidR="00EF68D0" w:rsidRPr="00263D2C" w:rsidRDefault="00EF68D0" w:rsidP="00EF68D0">
            <w:pPr>
              <w:rPr>
                <w:sz w:val="18"/>
                <w:szCs w:val="18"/>
                <w:lang w:val="en-US"/>
              </w:rPr>
            </w:pPr>
            <w:r w:rsidRPr="00263D2C">
              <w:rPr>
                <w:sz w:val="18"/>
                <w:szCs w:val="18"/>
                <w:lang w:val="en-US"/>
              </w:rPr>
              <w:t>Reported in the GEF RIP</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85" w14:textId="7F389E2D" w:rsidR="00EF68D0" w:rsidRPr="003C5C1B" w:rsidRDefault="58315770" w:rsidP="00EF68D0">
            <w:pPr>
              <w:rPr>
                <w:sz w:val="18"/>
                <w:szCs w:val="18"/>
                <w:lang w:val="en-US"/>
              </w:rPr>
            </w:pPr>
            <w:r w:rsidRPr="003C5C1B">
              <w:rPr>
                <w:sz w:val="18"/>
                <w:szCs w:val="18"/>
                <w:lang w:val="en-US"/>
              </w:rPr>
              <w:t>GDT</w:t>
            </w:r>
            <w:r w:rsidR="17DF0864" w:rsidRPr="003C5C1B">
              <w:rPr>
                <w:sz w:val="18"/>
                <w:szCs w:val="18"/>
                <w:lang w:val="en-US"/>
              </w:rPr>
              <w:t>, PMU</w:t>
            </w:r>
            <w:r w:rsidR="00133A60" w:rsidRPr="003C5C1B">
              <w:rPr>
                <w:sz w:val="18"/>
                <w:szCs w:val="18"/>
                <w:lang w:val="en-US"/>
              </w:rPr>
              <w:t xml:space="preserve"> </w:t>
            </w:r>
            <w:r w:rsidR="00133A60">
              <w:rPr>
                <w:i/>
                <w:iCs/>
                <w:sz w:val="18"/>
                <w:szCs w:val="18"/>
                <w:lang w:val="en-US"/>
              </w:rPr>
              <w:t>(PM and</w:t>
            </w:r>
            <w:r w:rsidR="00133A60" w:rsidRPr="00345A71">
              <w:rPr>
                <w:i/>
                <w:iCs/>
                <w:sz w:val="18"/>
                <w:szCs w:val="18"/>
                <w:lang w:val="en-US"/>
              </w:rPr>
              <w:t xml:space="preserve"> M&amp;E</w:t>
            </w:r>
            <w:r w:rsidR="00133A60">
              <w:rPr>
                <w:i/>
                <w:iCs/>
                <w:sz w:val="18"/>
                <w:szCs w:val="18"/>
                <w:lang w:val="en-US"/>
              </w:rPr>
              <w:t>)</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86" w14:textId="77777777" w:rsidR="00EF68D0" w:rsidRPr="00263D2C" w:rsidRDefault="00EF68D0" w:rsidP="00EF68D0">
            <w:pPr>
              <w:rPr>
                <w:sz w:val="18"/>
                <w:szCs w:val="18"/>
                <w:lang w:val="en-US"/>
              </w:rPr>
            </w:pPr>
            <w:r w:rsidRPr="00263D2C">
              <w:rPr>
                <w:sz w:val="18"/>
                <w:szCs w:val="18"/>
                <w:lang w:val="en-US"/>
              </w:rPr>
              <w:t>Regulatory and financial monitoring reports on sustainable transportation policies</w:t>
            </w:r>
          </w:p>
          <w:p w14:paraId="00000A87" w14:textId="77777777" w:rsidR="00EF68D0" w:rsidRPr="00263D2C" w:rsidRDefault="43606BF1" w:rsidP="00EF68D0">
            <w:pPr>
              <w:rPr>
                <w:sz w:val="18"/>
                <w:szCs w:val="18"/>
                <w:lang w:val="en-US"/>
              </w:rPr>
            </w:pPr>
            <w:r w:rsidRPr="5D8904BE">
              <w:rPr>
                <w:sz w:val="18"/>
                <w:szCs w:val="18"/>
                <w:lang w:val="en-US"/>
              </w:rPr>
              <w:t>Legislative texts or decrees validated and/or adopted by public institutions</w:t>
            </w:r>
          </w:p>
          <w:p w14:paraId="00000A88" w14:textId="77777777" w:rsidR="00EF68D0" w:rsidRPr="00263D2C" w:rsidRDefault="00EF68D0" w:rsidP="00EF68D0">
            <w:pPr>
              <w:rPr>
                <w:sz w:val="18"/>
                <w:szCs w:val="18"/>
                <w:lang w:val="en-US"/>
              </w:rPr>
            </w:pPr>
            <w:r w:rsidRPr="00263D2C">
              <w:rPr>
                <w:sz w:val="18"/>
                <w:szCs w:val="18"/>
                <w:lang w:val="en-US"/>
              </w:rPr>
              <w:t xml:space="preserve"> </w:t>
            </w:r>
          </w:p>
        </w:tc>
      </w:tr>
      <w:tr w:rsidR="00EF68D0" w:rsidRPr="00F50786" w14:paraId="66E7DC0B" w14:textId="77777777" w:rsidTr="2DC80E69">
        <w:trPr>
          <w:gridAfter w:val="1"/>
          <w:wAfter w:w="35" w:type="dxa"/>
          <w:trHeight w:val="180"/>
          <w:jc w:val="center"/>
        </w:trPr>
        <w:tc>
          <w:tcPr>
            <w:tcW w:w="1129" w:type="dxa"/>
            <w:vMerge/>
          </w:tcPr>
          <w:p w14:paraId="00000A89" w14:textId="77777777" w:rsidR="00EF68D0" w:rsidRPr="00263D2C" w:rsidRDefault="00EF68D0" w:rsidP="00EF68D0">
            <w:pPr>
              <w:widowControl w:val="0"/>
              <w:pBdr>
                <w:top w:val="nil"/>
                <w:left w:val="nil"/>
                <w:bottom w:val="nil"/>
                <w:right w:val="nil"/>
                <w:between w:val="nil"/>
              </w:pBdr>
              <w:spacing w:after="0" w:line="276" w:lineRule="auto"/>
              <w:rPr>
                <w:sz w:val="18"/>
                <w:szCs w:val="18"/>
                <w:lang w:val="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00A8A" w14:textId="151D9D35" w:rsidR="00EF68D0" w:rsidRPr="00857B81" w:rsidRDefault="0305BADC" w:rsidP="3585F9A1">
            <w:pPr>
              <w:rPr>
                <w:i/>
                <w:iCs/>
                <w:sz w:val="18"/>
                <w:szCs w:val="18"/>
                <w:lang w:val="en-US"/>
              </w:rPr>
            </w:pPr>
            <w:r w:rsidRPr="00857B81">
              <w:rPr>
                <w:i/>
                <w:iCs/>
                <w:sz w:val="18"/>
                <w:szCs w:val="18"/>
                <w:lang w:val="en-US"/>
              </w:rPr>
              <w:t>Indicator 1</w:t>
            </w:r>
            <w:r w:rsidR="0065402B">
              <w:rPr>
                <w:i/>
                <w:iCs/>
                <w:sz w:val="18"/>
                <w:szCs w:val="18"/>
                <w:lang w:val="en-US"/>
              </w:rPr>
              <w:t>2</w:t>
            </w:r>
            <w:r w:rsidRPr="00857B81">
              <w:rPr>
                <w:i/>
                <w:iCs/>
                <w:sz w:val="18"/>
                <w:szCs w:val="18"/>
                <w:lang w:val="en-US"/>
              </w:rPr>
              <w:t xml:space="preserve">: # of investments including public-private partnerships (PPPs) in </w:t>
            </w:r>
            <w:r w:rsidRPr="00857B81">
              <w:rPr>
                <w:i/>
                <w:iCs/>
                <w:sz w:val="18"/>
                <w:szCs w:val="18"/>
                <w:lang w:val="en-US"/>
              </w:rPr>
              <w:lastRenderedPageBreak/>
              <w:t>Bamako signed for sustainable transport projects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8B" w14:textId="68427ACB" w:rsidR="00EF68D0" w:rsidRDefault="00BE7404" w:rsidP="00EF68D0">
            <w:pPr>
              <w:rPr>
                <w:sz w:val="18"/>
                <w:szCs w:val="18"/>
              </w:rPr>
            </w:pPr>
            <w:r>
              <w:rPr>
                <w:sz w:val="18"/>
                <w:szCs w:val="18"/>
              </w:rPr>
              <w:lastRenderedPageBreak/>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8C" w14:textId="596DB0AF" w:rsidR="00EF68D0" w:rsidRDefault="00BE7404" w:rsidP="00EF68D0">
            <w:pPr>
              <w:rPr>
                <w:sz w:val="18"/>
                <w:szCs w:val="18"/>
              </w:rPr>
            </w:pPr>
            <w:r>
              <w:rPr>
                <w:sz w:val="18"/>
                <w:szCs w:val="18"/>
              </w:rPr>
              <w:t>5</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8D" w14:textId="77777777" w:rsidR="00EF68D0" w:rsidRPr="00263D2C" w:rsidRDefault="43606BF1" w:rsidP="00EF68D0">
            <w:pPr>
              <w:rPr>
                <w:sz w:val="18"/>
                <w:szCs w:val="18"/>
                <w:lang w:val="en-US"/>
              </w:rPr>
            </w:pPr>
            <w:r w:rsidRPr="5D8904BE">
              <w:rPr>
                <w:sz w:val="18"/>
                <w:szCs w:val="18"/>
                <w:lang w:val="en-US"/>
              </w:rPr>
              <w:t xml:space="preserve">This indicator measures the concrete results of the dynamics of transformation and </w:t>
            </w:r>
            <w:proofErr w:type="spellStart"/>
            <w:r w:rsidRPr="5D8904BE">
              <w:rPr>
                <w:sz w:val="18"/>
                <w:szCs w:val="18"/>
                <w:lang w:val="en-US"/>
              </w:rPr>
              <w:t>behavioural</w:t>
            </w:r>
            <w:proofErr w:type="spellEnd"/>
            <w:r w:rsidRPr="5D8904BE">
              <w:rPr>
                <w:sz w:val="18"/>
                <w:szCs w:val="18"/>
                <w:lang w:val="en-US"/>
              </w:rPr>
              <w:t xml:space="preserve"> change in sustainable urban mobility, through the number of </w:t>
            </w:r>
            <w:r w:rsidRPr="5D8904BE">
              <w:rPr>
                <w:sz w:val="18"/>
                <w:szCs w:val="18"/>
                <w:lang w:val="en-US"/>
              </w:rPr>
              <w:lastRenderedPageBreak/>
              <w:t>formal public-private partnership (PPP) agreements signed between public entities (local authorities, ministries, public agencies) and private actors (companies, transport operators, investors).</w:t>
            </w:r>
          </w:p>
          <w:p w14:paraId="00000A8E" w14:textId="77777777" w:rsidR="00EF68D0" w:rsidRPr="00263D2C" w:rsidRDefault="43606BF1" w:rsidP="00EF68D0">
            <w:pPr>
              <w:rPr>
                <w:sz w:val="18"/>
                <w:szCs w:val="18"/>
                <w:lang w:val="en-US"/>
              </w:rPr>
            </w:pPr>
            <w:r w:rsidRPr="5D8904BE">
              <w:rPr>
                <w:sz w:val="18"/>
                <w:szCs w:val="18"/>
                <w:lang w:val="en-US"/>
              </w:rPr>
              <w:t>It specifically covers low-carbon transport projects in Bamako, including electric vehicles, electric motorcycle taxis, clean three-wheeled motorcycles, sustainable river transport and BRT (Bus Rapid Transit) systems. These partnerships reflect the active engagement of the private sector in the implementation, operation or co-financing of initiatives that reduce greenhouse gas emissions and improve the quality of urban life.</w:t>
            </w:r>
          </w:p>
          <w:p w14:paraId="00000A8F" w14:textId="77777777" w:rsidR="00EF68D0" w:rsidRPr="00263D2C" w:rsidRDefault="00EF68D0" w:rsidP="00EF68D0">
            <w:pPr>
              <w:rPr>
                <w:sz w:val="18"/>
                <w:szCs w:val="18"/>
                <w:lang w:val="en-US"/>
              </w:rPr>
            </w:pPr>
            <w:r w:rsidRPr="00263D2C">
              <w:rPr>
                <w:sz w:val="18"/>
                <w:szCs w:val="18"/>
                <w:lang w:val="en-US"/>
              </w:rPr>
              <w:t xml:space="preserve">This indicator makes it possible to monitor the evolution of structuring partnerships in the field of sustainable transport and to measure the growing attractiveness of low-carbon </w:t>
            </w:r>
            <w:r w:rsidRPr="00263D2C">
              <w:rPr>
                <w:sz w:val="18"/>
                <w:szCs w:val="18"/>
                <w:lang w:val="en-US"/>
              </w:rPr>
              <w:lastRenderedPageBreak/>
              <w:t>solutions to the private sector.</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90" w14:textId="77777777" w:rsidR="00EF68D0" w:rsidRPr="00263D2C" w:rsidRDefault="00EF68D0" w:rsidP="00EF68D0">
            <w:pPr>
              <w:tabs>
                <w:tab w:val="left" w:pos="939"/>
              </w:tabs>
              <w:rPr>
                <w:sz w:val="18"/>
                <w:szCs w:val="18"/>
                <w:lang w:val="en-US"/>
              </w:rPr>
            </w:pPr>
            <w:r w:rsidRPr="00263D2C">
              <w:rPr>
                <w:sz w:val="18"/>
                <w:szCs w:val="18"/>
                <w:lang w:val="en-US"/>
              </w:rPr>
              <w:lastRenderedPageBreak/>
              <w:t>A PPP is counted if it:</w:t>
            </w:r>
          </w:p>
          <w:p w14:paraId="00000A91" w14:textId="77777777" w:rsidR="00EF68D0" w:rsidRPr="008141F7" w:rsidRDefault="43606BF1" w:rsidP="40E7FE84">
            <w:pPr>
              <w:numPr>
                <w:ilvl w:val="0"/>
                <w:numId w:val="216"/>
              </w:numPr>
              <w:tabs>
                <w:tab w:val="left" w:pos="939"/>
              </w:tabs>
              <w:ind w:left="402"/>
              <w:rPr>
                <w:sz w:val="18"/>
                <w:szCs w:val="18"/>
                <w:lang w:val="en-US"/>
              </w:rPr>
            </w:pPr>
            <w:r w:rsidRPr="008141F7">
              <w:rPr>
                <w:sz w:val="18"/>
                <w:szCs w:val="18"/>
                <w:lang w:val="en-US"/>
              </w:rPr>
              <w:t xml:space="preserve">Is formally signed (agreement, contract, </w:t>
            </w:r>
            <w:r w:rsidRPr="008141F7">
              <w:rPr>
                <w:sz w:val="18"/>
                <w:szCs w:val="18"/>
                <w:lang w:val="en-US"/>
              </w:rPr>
              <w:lastRenderedPageBreak/>
              <w:t>memorandum of understanding</w:t>
            </w:r>
            <w:proofErr w:type="gramStart"/>
            <w:r w:rsidRPr="008141F7">
              <w:rPr>
                <w:sz w:val="18"/>
                <w:szCs w:val="18"/>
                <w:lang w:val="en-US"/>
              </w:rPr>
              <w:t>);</w:t>
            </w:r>
            <w:proofErr w:type="gramEnd"/>
          </w:p>
          <w:p w14:paraId="00000A92" w14:textId="77777777" w:rsidR="00EF68D0" w:rsidRPr="00263D2C" w:rsidRDefault="00EF68D0" w:rsidP="001360BB">
            <w:pPr>
              <w:numPr>
                <w:ilvl w:val="0"/>
                <w:numId w:val="216"/>
              </w:numPr>
              <w:tabs>
                <w:tab w:val="left" w:pos="939"/>
              </w:tabs>
              <w:ind w:left="402"/>
              <w:rPr>
                <w:sz w:val="18"/>
                <w:szCs w:val="18"/>
                <w:lang w:val="en-US"/>
              </w:rPr>
            </w:pPr>
            <w:r w:rsidRPr="00263D2C">
              <w:rPr>
                <w:sz w:val="18"/>
                <w:szCs w:val="18"/>
                <w:lang w:val="en-US"/>
              </w:rPr>
              <w:t xml:space="preserve">Targets a low-GHG emission mobility </w:t>
            </w:r>
            <w:proofErr w:type="gramStart"/>
            <w:r w:rsidRPr="00263D2C">
              <w:rPr>
                <w:sz w:val="18"/>
                <w:szCs w:val="18"/>
                <w:lang w:val="en-US"/>
              </w:rPr>
              <w:t>solution;</w:t>
            </w:r>
            <w:proofErr w:type="gramEnd"/>
          </w:p>
          <w:p w14:paraId="00000A93" w14:textId="77777777" w:rsidR="00EF68D0" w:rsidRPr="00263D2C" w:rsidRDefault="43606BF1" w:rsidP="001360BB">
            <w:pPr>
              <w:numPr>
                <w:ilvl w:val="0"/>
                <w:numId w:val="216"/>
              </w:numPr>
              <w:tabs>
                <w:tab w:val="left" w:pos="939"/>
              </w:tabs>
              <w:ind w:left="402"/>
              <w:rPr>
                <w:sz w:val="18"/>
                <w:szCs w:val="18"/>
                <w:lang w:val="en-US"/>
              </w:rPr>
            </w:pPr>
            <w:r w:rsidRPr="5D8904BE">
              <w:rPr>
                <w:sz w:val="18"/>
                <w:szCs w:val="18"/>
                <w:lang w:val="en-US"/>
              </w:rPr>
              <w:t xml:space="preserve">Involves a financial, technical or operational contribution from the private </w:t>
            </w:r>
            <w:proofErr w:type="gramStart"/>
            <w:r w:rsidRPr="5D8904BE">
              <w:rPr>
                <w:sz w:val="18"/>
                <w:szCs w:val="18"/>
                <w:lang w:val="en-US"/>
              </w:rPr>
              <w:t>sector;</w:t>
            </w:r>
            <w:proofErr w:type="gramEnd"/>
          </w:p>
          <w:p w14:paraId="00000A94" w14:textId="77777777" w:rsidR="00EF68D0" w:rsidRPr="00263D2C" w:rsidRDefault="43606BF1" w:rsidP="001360BB">
            <w:pPr>
              <w:numPr>
                <w:ilvl w:val="0"/>
                <w:numId w:val="216"/>
              </w:numPr>
              <w:tabs>
                <w:tab w:val="left" w:pos="939"/>
              </w:tabs>
              <w:ind w:left="402"/>
              <w:rPr>
                <w:sz w:val="18"/>
                <w:szCs w:val="18"/>
                <w:lang w:val="en-US"/>
              </w:rPr>
            </w:pPr>
            <w:r w:rsidRPr="5D8904BE">
              <w:rPr>
                <w:sz w:val="18"/>
                <w:szCs w:val="18"/>
                <w:lang w:val="en-US"/>
              </w:rPr>
              <w:t>Is part of a logic of concrete implementation of the project or its operation.</w:t>
            </w:r>
          </w:p>
          <w:p w14:paraId="00000A95" w14:textId="77777777" w:rsidR="00EF68D0" w:rsidRPr="00263D2C" w:rsidRDefault="00EF68D0" w:rsidP="00EF68D0">
            <w:pPr>
              <w:tabs>
                <w:tab w:val="left" w:pos="939"/>
              </w:tabs>
              <w:ind w:left="402"/>
              <w:rPr>
                <w:sz w:val="18"/>
                <w:szCs w:val="18"/>
                <w:lang w:val="en-US"/>
              </w:rPr>
            </w:pPr>
          </w:p>
          <w:p w14:paraId="00000A96" w14:textId="77777777" w:rsidR="00EF68D0" w:rsidRPr="00263D2C" w:rsidRDefault="00EF68D0" w:rsidP="00EF68D0">
            <w:pPr>
              <w:tabs>
                <w:tab w:val="left" w:pos="939"/>
              </w:tabs>
              <w:ind w:left="402"/>
              <w:rPr>
                <w:sz w:val="18"/>
                <w:szCs w:val="18"/>
                <w:lang w:val="en-U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97" w14:textId="77777777" w:rsidR="00EF68D0" w:rsidRPr="00263D2C" w:rsidRDefault="00EF68D0" w:rsidP="00EF68D0">
            <w:pPr>
              <w:rPr>
                <w:sz w:val="18"/>
                <w:szCs w:val="18"/>
                <w:lang w:val="en-US"/>
              </w:rPr>
            </w:pPr>
            <w:r w:rsidRPr="00263D2C">
              <w:rPr>
                <w:sz w:val="18"/>
                <w:szCs w:val="18"/>
                <w:lang w:val="en-US"/>
              </w:rPr>
              <w:lastRenderedPageBreak/>
              <w:t>Annually</w:t>
            </w:r>
          </w:p>
          <w:p w14:paraId="00000A98" w14:textId="60201BD7" w:rsidR="00EF68D0" w:rsidRPr="00263D2C" w:rsidRDefault="00EF68D0" w:rsidP="00EF68D0">
            <w:pPr>
              <w:rPr>
                <w:sz w:val="18"/>
                <w:szCs w:val="18"/>
                <w:lang w:val="en-US"/>
              </w:rPr>
            </w:pPr>
            <w:r w:rsidRPr="00263D2C">
              <w:rPr>
                <w:sz w:val="18"/>
                <w:szCs w:val="18"/>
                <w:lang w:val="en-US"/>
              </w:rPr>
              <w:t xml:space="preserve">Reported in the GEF </w:t>
            </w:r>
            <w:r w:rsidR="00543A94">
              <w:rPr>
                <w:sz w:val="18"/>
                <w:szCs w:val="18"/>
                <w:lang w:val="en-US"/>
              </w:rPr>
              <w:t>PIR</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99" w14:textId="77777777" w:rsidR="00EF68D0" w:rsidRPr="00263D2C" w:rsidRDefault="00EF68D0" w:rsidP="00EF68D0">
            <w:pPr>
              <w:rPr>
                <w:sz w:val="18"/>
                <w:szCs w:val="18"/>
                <w:lang w:val="en-US"/>
              </w:rPr>
            </w:pP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9A" w14:textId="77777777" w:rsidR="00EF68D0" w:rsidRPr="00263D2C" w:rsidRDefault="00EF68D0" w:rsidP="00EF68D0">
            <w:pPr>
              <w:rPr>
                <w:sz w:val="18"/>
                <w:szCs w:val="18"/>
                <w:lang w:val="en-US"/>
              </w:rPr>
            </w:pPr>
            <w:r w:rsidRPr="00263D2C">
              <w:rPr>
                <w:sz w:val="18"/>
                <w:szCs w:val="18"/>
                <w:lang w:val="en-US"/>
              </w:rPr>
              <w:t xml:space="preserve">Review of institutional reports on management or </w:t>
            </w:r>
            <w:r w:rsidRPr="00263D2C">
              <w:rPr>
                <w:sz w:val="18"/>
                <w:szCs w:val="18"/>
                <w:lang w:val="en-US"/>
              </w:rPr>
              <w:lastRenderedPageBreak/>
              <w:t>the call for projects in transport</w:t>
            </w:r>
          </w:p>
          <w:p w14:paraId="00000A9B" w14:textId="77777777" w:rsidR="00EF68D0" w:rsidRPr="00263D2C" w:rsidRDefault="00EF68D0" w:rsidP="00EF68D0">
            <w:pPr>
              <w:rPr>
                <w:sz w:val="18"/>
                <w:szCs w:val="18"/>
                <w:lang w:val="en-US"/>
              </w:rPr>
            </w:pPr>
          </w:p>
        </w:tc>
      </w:tr>
      <w:tr w:rsidR="00EF68D0" w:rsidRPr="00F50786" w14:paraId="67F182B0" w14:textId="77777777" w:rsidTr="2DC80E69">
        <w:trPr>
          <w:gridAfter w:val="1"/>
          <w:wAfter w:w="35" w:type="dxa"/>
          <w:trHeight w:val="20"/>
          <w:jc w:val="center"/>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A9C" w14:textId="45E86703" w:rsidR="00EF68D0" w:rsidRPr="00263D2C" w:rsidRDefault="00EF68D0" w:rsidP="00EF68D0">
            <w:pPr>
              <w:rPr>
                <w:sz w:val="18"/>
                <w:szCs w:val="18"/>
                <w:lang w:val="en-US"/>
              </w:rPr>
            </w:pPr>
            <w:r w:rsidRPr="53AE587F">
              <w:rPr>
                <w:b/>
                <w:bCs/>
                <w:sz w:val="18"/>
                <w:szCs w:val="18"/>
                <w:lang w:val="en-US"/>
              </w:rPr>
              <w:lastRenderedPageBreak/>
              <w:t>Outcome 3.1</w:t>
            </w:r>
          </w:p>
          <w:p w14:paraId="00000A9D" w14:textId="21C64B2D" w:rsidR="00EF68D0" w:rsidRPr="00263D2C" w:rsidRDefault="17DF0864" w:rsidP="00EF68D0">
            <w:pPr>
              <w:rPr>
                <w:sz w:val="18"/>
                <w:szCs w:val="18"/>
                <w:lang w:val="en-US"/>
              </w:rPr>
            </w:pPr>
            <w:r w:rsidRPr="537FA187">
              <w:rPr>
                <w:sz w:val="18"/>
                <w:szCs w:val="18"/>
                <w:lang w:val="en-US"/>
              </w:rPr>
              <w:t>An enabling environment for the creation of a green belt in Bamako is being put in place and its sustainability is guaranteed through green infrastructure and nature-based solutions with</w:t>
            </w:r>
            <w:r w:rsidR="12E8E545" w:rsidRPr="537FA187">
              <w:rPr>
                <w:sz w:val="18"/>
                <w:szCs w:val="18"/>
                <w:lang w:val="en-US"/>
              </w:rPr>
              <w:t xml:space="preserve"> the involvement of</w:t>
            </w:r>
            <w:r w:rsidRPr="537FA187">
              <w:rPr>
                <w:sz w:val="18"/>
                <w:szCs w:val="18"/>
                <w:lang w:val="en-US"/>
              </w:rPr>
              <w:t xml:space="preserve"> the various socio-economic actors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9F" w14:textId="2C24C901" w:rsidR="00EF68D0" w:rsidRPr="00263D2C" w:rsidRDefault="5C9C2226" w:rsidP="00693571">
            <w:pPr>
              <w:rPr>
                <w:sz w:val="18"/>
                <w:szCs w:val="18"/>
                <w:lang w:val="en-US"/>
              </w:rPr>
            </w:pPr>
            <w:r w:rsidRPr="00857B81">
              <w:rPr>
                <w:i/>
                <w:iCs/>
                <w:sz w:val="18"/>
                <w:szCs w:val="18"/>
                <w:lang w:val="en-US"/>
              </w:rPr>
              <w:t>Indicator 1</w:t>
            </w:r>
            <w:r w:rsidR="0030550D">
              <w:rPr>
                <w:i/>
                <w:iCs/>
                <w:sz w:val="18"/>
                <w:szCs w:val="18"/>
                <w:lang w:val="en-US"/>
              </w:rPr>
              <w:t>3</w:t>
            </w:r>
            <w:r w:rsidRPr="00857B81">
              <w:rPr>
                <w:i/>
                <w:iCs/>
                <w:sz w:val="18"/>
                <w:szCs w:val="18"/>
                <w:lang w:val="en-US"/>
              </w:rPr>
              <w:t>: Rate (%) of land tenure security in the green belt and urban green spaces</w:t>
            </w:r>
            <w:r w:rsidRPr="3585F9A1">
              <w:rPr>
                <w:sz w:val="18"/>
                <w:szCs w:val="18"/>
                <w:lang w:val="en-US"/>
              </w:rPr>
              <w:t xml:space="preserve">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A0" w14:textId="35043EC6" w:rsidR="00EF68D0" w:rsidRPr="00263D2C" w:rsidRDefault="0058622B" w:rsidP="00EF68D0">
            <w:pPr>
              <w:rPr>
                <w:sz w:val="18"/>
                <w:szCs w:val="18"/>
                <w:lang w:val="en-US"/>
              </w:rPr>
            </w:pPr>
            <w:r>
              <w:rPr>
                <w:sz w:val="18"/>
                <w:szCs w:val="18"/>
                <w:lang w:val="en-US"/>
              </w:rPr>
              <w:t>3</w:t>
            </w:r>
            <w:r w:rsidR="00EF68D0" w:rsidRPr="00263D2C">
              <w:rPr>
                <w:sz w:val="18"/>
                <w:szCs w:val="18"/>
                <w:lang w:val="en-US"/>
              </w:rPr>
              <w:t>0% of the pre-inventoried area secured</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A1" w14:textId="77777777" w:rsidR="00EF68D0" w:rsidRDefault="43606BF1" w:rsidP="00EF68D0">
            <w:pPr>
              <w:rPr>
                <w:sz w:val="18"/>
                <w:szCs w:val="18"/>
              </w:rPr>
            </w:pPr>
            <w:r w:rsidRPr="5D8904BE">
              <w:rPr>
                <w:i/>
                <w:iCs/>
                <w:sz w:val="18"/>
                <w:szCs w:val="18"/>
              </w:rPr>
              <w:t xml:space="preserve">70% of the surfaces </w:t>
            </w:r>
            <w:proofErr w:type="spellStart"/>
            <w:r w:rsidRPr="5D8904BE">
              <w:rPr>
                <w:i/>
                <w:iCs/>
                <w:sz w:val="18"/>
                <w:szCs w:val="18"/>
              </w:rPr>
              <w:t>secured</w:t>
            </w:r>
            <w:proofErr w:type="spellEnd"/>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A2" w14:textId="77777777" w:rsidR="00EF68D0" w:rsidRPr="00263D2C" w:rsidRDefault="43606BF1" w:rsidP="00EF68D0">
            <w:pPr>
              <w:rPr>
                <w:sz w:val="18"/>
                <w:szCs w:val="18"/>
                <w:lang w:val="en-US"/>
              </w:rPr>
            </w:pPr>
            <w:r w:rsidRPr="5D8904BE">
              <w:rPr>
                <w:sz w:val="18"/>
                <w:szCs w:val="18"/>
                <w:lang w:val="en-US"/>
              </w:rPr>
              <w:t>This indicator measures the proportion (%) of the areas identified for the green belt and urban green spaces that have been formally secured for land tenure, i.e. legally protected against illegal occupation, fragmentation, or conversion to unforeseen uses (e.g. constructions, non-compliant commercial exploitation).</w:t>
            </w:r>
          </w:p>
          <w:p w14:paraId="00000AA3" w14:textId="77777777" w:rsidR="00EF68D0" w:rsidRPr="00263D2C" w:rsidRDefault="00EF68D0" w:rsidP="00EF68D0">
            <w:pPr>
              <w:rPr>
                <w:sz w:val="18"/>
                <w:szCs w:val="18"/>
                <w:lang w:val="en-US"/>
              </w:rPr>
            </w:pPr>
            <w:r w:rsidRPr="00263D2C">
              <w:rPr>
                <w:sz w:val="18"/>
                <w:szCs w:val="18"/>
                <w:lang w:val="en-US"/>
              </w:rPr>
              <w:t>It reflects the degree of commitment of local and national authorities to sustainably preserve ecological and recreational land, which is essential for urban resilience, the fight against heat islands, the protection of biodiversity and the improvement of the living environment.</w:t>
            </w:r>
          </w:p>
          <w:p w14:paraId="00000AA4" w14:textId="77777777" w:rsidR="00EF68D0" w:rsidRPr="00263D2C" w:rsidRDefault="00EF68D0" w:rsidP="00EF68D0">
            <w:pPr>
              <w:rPr>
                <w:sz w:val="18"/>
                <w:szCs w:val="18"/>
                <w:lang w:val="en-US"/>
              </w:rPr>
            </w:pPr>
          </w:p>
          <w:p w14:paraId="00000AA5" w14:textId="77777777" w:rsidR="00EF68D0" w:rsidRPr="00263D2C" w:rsidRDefault="43606BF1" w:rsidP="00EF68D0">
            <w:pPr>
              <w:rPr>
                <w:sz w:val="18"/>
                <w:szCs w:val="18"/>
                <w:lang w:val="en-US"/>
              </w:rPr>
            </w:pPr>
            <w:r w:rsidRPr="5D8904BE">
              <w:rPr>
                <w:sz w:val="18"/>
                <w:szCs w:val="18"/>
                <w:lang w:val="en-US"/>
              </w:rPr>
              <w:t xml:space="preserve">Percentage of areas (ha) of forests and green spaces identified and registered in </w:t>
            </w:r>
            <w:r w:rsidRPr="5D8904BE">
              <w:rPr>
                <w:sz w:val="18"/>
                <w:szCs w:val="18"/>
                <w:lang w:val="en-US"/>
              </w:rPr>
              <w:lastRenderedPageBreak/>
              <w:t>relation to the total pre-inventoried area.</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A6" w14:textId="77777777" w:rsidR="00EF68D0" w:rsidRPr="00263D2C" w:rsidRDefault="00EF68D0" w:rsidP="00EF68D0">
            <w:pPr>
              <w:rPr>
                <w:sz w:val="18"/>
                <w:szCs w:val="18"/>
                <w:lang w:val="en-US"/>
              </w:rPr>
            </w:pPr>
            <w:r w:rsidRPr="00263D2C">
              <w:rPr>
                <w:sz w:val="18"/>
                <w:szCs w:val="18"/>
                <w:lang w:val="en-US"/>
              </w:rPr>
              <w:lastRenderedPageBreak/>
              <w:t>Rate (%) = (Secure Area / Total Planned Area for Greenbelt and Green Spaces) x 100</w:t>
            </w:r>
          </w:p>
          <w:p w14:paraId="00000AA7" w14:textId="77777777" w:rsidR="00EF68D0" w:rsidRPr="00263D2C" w:rsidRDefault="00EF68D0" w:rsidP="00EF68D0">
            <w:pPr>
              <w:rPr>
                <w:sz w:val="18"/>
                <w:szCs w:val="18"/>
                <w:lang w:val="en-US"/>
              </w:rPr>
            </w:pPr>
            <w:r w:rsidRPr="00263D2C">
              <w:rPr>
                <w:sz w:val="18"/>
                <w:szCs w:val="18"/>
                <w:lang w:val="en-US"/>
              </w:rPr>
              <w:t xml:space="preserve">A documentary analysis will be carried out (land titles, </w:t>
            </w:r>
            <w:proofErr w:type="spellStart"/>
            <w:r w:rsidRPr="00263D2C">
              <w:rPr>
                <w:sz w:val="18"/>
                <w:szCs w:val="18"/>
                <w:lang w:val="en-US"/>
              </w:rPr>
              <w:t>cadastre</w:t>
            </w:r>
            <w:proofErr w:type="spellEnd"/>
            <w:r w:rsidRPr="00263D2C">
              <w:rPr>
                <w:sz w:val="18"/>
                <w:szCs w:val="18"/>
                <w:lang w:val="en-US"/>
              </w:rPr>
              <w:t xml:space="preserve">, land use plans) as well as consultations with the urban planning, development and </w:t>
            </w:r>
            <w:proofErr w:type="spellStart"/>
            <w:r w:rsidRPr="00263D2C">
              <w:rPr>
                <w:sz w:val="18"/>
                <w:szCs w:val="18"/>
                <w:lang w:val="en-US"/>
              </w:rPr>
              <w:t>cadastre</w:t>
            </w:r>
            <w:proofErr w:type="spellEnd"/>
            <w:r w:rsidRPr="00263D2C">
              <w:rPr>
                <w:sz w:val="18"/>
                <w:szCs w:val="18"/>
                <w:lang w:val="en-US"/>
              </w:rPr>
              <w:t xml:space="preserve"> departments. </w:t>
            </w:r>
          </w:p>
          <w:p w14:paraId="00000AA8" w14:textId="77777777" w:rsidR="00EF68D0" w:rsidRPr="00263D2C" w:rsidRDefault="00EF68D0" w:rsidP="00EF68D0">
            <w:pPr>
              <w:rPr>
                <w:sz w:val="18"/>
                <w:szCs w:val="18"/>
                <w:lang w:val="en-US"/>
              </w:rPr>
            </w:pPr>
            <w:r w:rsidRPr="00263D2C">
              <w:rPr>
                <w:sz w:val="18"/>
                <w:szCs w:val="18"/>
                <w:lang w:val="en-US"/>
              </w:rPr>
              <w:t>Field visits for physical verification of boundaries and uses</w:t>
            </w:r>
          </w:p>
          <w:p w14:paraId="00000AA9" w14:textId="77777777" w:rsidR="00EF68D0" w:rsidRPr="00263D2C" w:rsidRDefault="43606BF1" w:rsidP="00EF68D0">
            <w:pPr>
              <w:rPr>
                <w:sz w:val="18"/>
                <w:szCs w:val="18"/>
                <w:lang w:val="en-US"/>
              </w:rPr>
            </w:pPr>
            <w:r w:rsidRPr="5D8904BE">
              <w:rPr>
                <w:sz w:val="18"/>
                <w:szCs w:val="18"/>
                <w:lang w:val="en-US"/>
              </w:rPr>
              <w:t>Follow-up of administrative decisions (orders, classification or assignment decrees)</w:t>
            </w:r>
          </w:p>
          <w:p w14:paraId="00000AAA" w14:textId="77777777" w:rsidR="00EF68D0" w:rsidRPr="00263D2C" w:rsidRDefault="00EF68D0" w:rsidP="00EF68D0">
            <w:pPr>
              <w:rPr>
                <w:sz w:val="18"/>
                <w:szCs w:val="18"/>
                <w:lang w:val="en-US"/>
              </w:rPr>
            </w:pPr>
          </w:p>
          <w:p w14:paraId="00000AAB" w14:textId="77777777" w:rsidR="00EF68D0" w:rsidRPr="00263D2C" w:rsidRDefault="00EF68D0" w:rsidP="00EF68D0">
            <w:pPr>
              <w:rPr>
                <w:sz w:val="18"/>
                <w:szCs w:val="18"/>
                <w:lang w:val="en-U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AC" w14:textId="77777777" w:rsidR="00EF68D0" w:rsidRPr="00263D2C" w:rsidRDefault="00EF68D0" w:rsidP="00EF68D0">
            <w:pPr>
              <w:rPr>
                <w:sz w:val="18"/>
                <w:szCs w:val="18"/>
                <w:lang w:val="en-US"/>
              </w:rPr>
            </w:pPr>
            <w:r w:rsidRPr="00263D2C">
              <w:rPr>
                <w:sz w:val="18"/>
                <w:szCs w:val="18"/>
                <w:lang w:val="en-US"/>
              </w:rPr>
              <w:t>Annually</w:t>
            </w:r>
          </w:p>
          <w:p w14:paraId="00000AAD" w14:textId="7EE900AD" w:rsidR="00EF68D0" w:rsidRPr="00263D2C" w:rsidRDefault="00EF68D0" w:rsidP="00EF68D0">
            <w:pPr>
              <w:rPr>
                <w:sz w:val="18"/>
                <w:szCs w:val="18"/>
                <w:lang w:val="en-US"/>
              </w:rPr>
            </w:pPr>
            <w:r w:rsidRPr="00263D2C">
              <w:rPr>
                <w:sz w:val="18"/>
                <w:szCs w:val="18"/>
                <w:lang w:val="en-US"/>
              </w:rPr>
              <w:t xml:space="preserve">Reported in the GEF </w:t>
            </w:r>
            <w:r w:rsidR="00B00F00">
              <w:rPr>
                <w:sz w:val="18"/>
                <w:szCs w:val="18"/>
                <w:lang w:val="en-US"/>
              </w:rPr>
              <w:t>PIR</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AE" w14:textId="655B08BE" w:rsidR="00EF68D0" w:rsidRPr="00263D2C" w:rsidRDefault="4F82A5F6" w:rsidP="00EF68D0">
            <w:pPr>
              <w:rPr>
                <w:sz w:val="18"/>
                <w:szCs w:val="18"/>
                <w:lang w:val="en-US"/>
              </w:rPr>
            </w:pPr>
            <w:r w:rsidRPr="537FA187">
              <w:rPr>
                <w:sz w:val="18"/>
                <w:szCs w:val="18"/>
                <w:lang w:val="en-US"/>
              </w:rPr>
              <w:t>GDWF</w:t>
            </w:r>
            <w:r w:rsidR="17DF0864" w:rsidRPr="537FA187">
              <w:rPr>
                <w:sz w:val="18"/>
                <w:szCs w:val="18"/>
                <w:lang w:val="en-US"/>
              </w:rPr>
              <w:t xml:space="preserve">, City Hall and </w:t>
            </w:r>
            <w:proofErr w:type="gramStart"/>
            <w:r w:rsidR="17DF0864" w:rsidRPr="537FA187">
              <w:rPr>
                <w:sz w:val="18"/>
                <w:szCs w:val="18"/>
                <w:lang w:val="en-US"/>
              </w:rPr>
              <w:t>PMU</w:t>
            </w:r>
            <w:r w:rsidR="00133A60">
              <w:rPr>
                <w:i/>
                <w:iCs/>
                <w:sz w:val="18"/>
                <w:szCs w:val="18"/>
                <w:lang w:val="en-US"/>
              </w:rPr>
              <w:t>(</w:t>
            </w:r>
            <w:proofErr w:type="gramEnd"/>
            <w:r w:rsidR="00133A60">
              <w:rPr>
                <w:i/>
                <w:iCs/>
                <w:sz w:val="18"/>
                <w:szCs w:val="18"/>
                <w:lang w:val="en-US"/>
              </w:rPr>
              <w:t>PM and</w:t>
            </w:r>
            <w:r w:rsidR="00133A60" w:rsidRPr="00345A71">
              <w:rPr>
                <w:i/>
                <w:iCs/>
                <w:sz w:val="18"/>
                <w:szCs w:val="18"/>
                <w:lang w:val="en-US"/>
              </w:rPr>
              <w:t xml:space="preserve"> M&amp;E</w:t>
            </w:r>
            <w:r w:rsidR="00133A60">
              <w:rPr>
                <w:i/>
                <w:iCs/>
                <w:sz w:val="18"/>
                <w:szCs w:val="18"/>
                <w:lang w:val="en-US"/>
              </w:rPr>
              <w:t>)</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AF" w14:textId="77777777" w:rsidR="00EF68D0" w:rsidRPr="00263D2C" w:rsidRDefault="00EF68D0" w:rsidP="00EF68D0">
            <w:pPr>
              <w:rPr>
                <w:sz w:val="18"/>
                <w:szCs w:val="18"/>
                <w:lang w:val="en-US"/>
              </w:rPr>
            </w:pPr>
            <w:r w:rsidRPr="00263D2C">
              <w:rPr>
                <w:sz w:val="18"/>
                <w:szCs w:val="18"/>
                <w:lang w:val="en-US"/>
              </w:rPr>
              <w:t xml:space="preserve"> Official land registration registers (National Directorate of </w:t>
            </w:r>
            <w:proofErr w:type="spellStart"/>
            <w:r w:rsidRPr="00263D2C">
              <w:rPr>
                <w:sz w:val="18"/>
                <w:szCs w:val="18"/>
                <w:lang w:val="en-US"/>
              </w:rPr>
              <w:t>Cadastre</w:t>
            </w:r>
            <w:proofErr w:type="spellEnd"/>
            <w:r w:rsidRPr="00263D2C">
              <w:rPr>
                <w:sz w:val="18"/>
                <w:szCs w:val="18"/>
                <w:lang w:val="en-US"/>
              </w:rPr>
              <w:t xml:space="preserve"> and Estates)</w:t>
            </w:r>
          </w:p>
          <w:p w14:paraId="00000AB0" w14:textId="77777777" w:rsidR="00EF68D0" w:rsidRPr="00263D2C" w:rsidRDefault="43606BF1" w:rsidP="00EF68D0">
            <w:pPr>
              <w:rPr>
                <w:sz w:val="18"/>
                <w:szCs w:val="18"/>
                <w:lang w:val="en-US"/>
              </w:rPr>
            </w:pPr>
            <w:r w:rsidRPr="5D8904BE">
              <w:rPr>
                <w:sz w:val="18"/>
                <w:szCs w:val="18"/>
                <w:lang w:val="en-US"/>
              </w:rPr>
              <w:t xml:space="preserve">PMU progress reports containing before/after GIS mapping, official registration or proposal for registration in urban plans or master plans, attribution of title deeds or use to a public </w:t>
            </w:r>
            <w:proofErr w:type="gramStart"/>
            <w:r w:rsidRPr="5D8904BE">
              <w:rPr>
                <w:sz w:val="18"/>
                <w:szCs w:val="18"/>
                <w:lang w:val="en-US"/>
              </w:rPr>
              <w:t>authority..</w:t>
            </w:r>
            <w:proofErr w:type="gramEnd"/>
            <w:r w:rsidRPr="5D8904BE">
              <w:rPr>
                <w:sz w:val="18"/>
                <w:szCs w:val="18"/>
                <w:lang w:val="en-US"/>
              </w:rPr>
              <w:t>)</w:t>
            </w:r>
          </w:p>
          <w:p w14:paraId="00000AB1" w14:textId="77777777" w:rsidR="00EF68D0" w:rsidRPr="00263D2C" w:rsidRDefault="00EF68D0" w:rsidP="00EF68D0">
            <w:pPr>
              <w:rPr>
                <w:sz w:val="18"/>
                <w:szCs w:val="18"/>
                <w:lang w:val="en-US"/>
              </w:rPr>
            </w:pPr>
          </w:p>
        </w:tc>
      </w:tr>
      <w:tr w:rsidR="00EF68D0" w:rsidRPr="00F50786" w14:paraId="372F7AF8" w14:textId="77777777" w:rsidTr="2DC80E69">
        <w:trPr>
          <w:gridAfter w:val="1"/>
          <w:wAfter w:w="35" w:type="dxa"/>
          <w:trHeight w:val="20"/>
          <w:jc w:val="center"/>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00AB2" w14:textId="77777777" w:rsidR="00EF68D0" w:rsidRPr="00263D2C" w:rsidRDefault="00EF68D0" w:rsidP="00EF68D0">
            <w:pPr>
              <w:rPr>
                <w:sz w:val="18"/>
                <w:szCs w:val="18"/>
                <w:lang w:val="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AB3" w14:textId="1A400189" w:rsidR="00EF68D0" w:rsidRPr="00510ED2" w:rsidRDefault="03C87698" w:rsidP="00896AD6">
            <w:pPr>
              <w:rPr>
                <w:sz w:val="18"/>
                <w:szCs w:val="18"/>
                <w:lang w:val="en-US"/>
              </w:rPr>
            </w:pPr>
            <w:r w:rsidRPr="00857B81">
              <w:rPr>
                <w:i/>
                <w:iCs/>
                <w:color w:val="0078D4"/>
                <w:sz w:val="16"/>
                <w:szCs w:val="16"/>
                <w:shd w:val="clear" w:color="auto" w:fill="FFFFFF"/>
                <w:lang w:val="en-US"/>
              </w:rPr>
              <w:t xml:space="preserve"> </w:t>
            </w:r>
            <w:r w:rsidRPr="00857B81">
              <w:rPr>
                <w:i/>
                <w:iCs/>
                <w:sz w:val="18"/>
                <w:szCs w:val="18"/>
                <w:lang w:val="en-US"/>
              </w:rPr>
              <w:t>Indicator 1</w:t>
            </w:r>
            <w:r w:rsidR="0030550D">
              <w:rPr>
                <w:i/>
                <w:iCs/>
                <w:sz w:val="18"/>
                <w:szCs w:val="18"/>
                <w:lang w:val="en-US"/>
              </w:rPr>
              <w:t>4</w:t>
            </w:r>
            <w:r w:rsidRPr="00857B81">
              <w:rPr>
                <w:i/>
                <w:iCs/>
                <w:sz w:val="18"/>
                <w:szCs w:val="18"/>
                <w:lang w:val="en-US"/>
              </w:rPr>
              <w:t xml:space="preserve">: Establishment and functioning of the Multi-Stakeholder Technical Committee, </w:t>
            </w:r>
            <w:r w:rsidRPr="3585F9A1">
              <w:rPr>
                <w:i/>
                <w:iCs/>
                <w:sz w:val="18"/>
                <w:szCs w:val="18"/>
                <w:lang w:val="en-US"/>
              </w:rPr>
              <w:t>while respecting gender equality, for the sustainability of the green belt in Bamako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B4" w14:textId="77777777" w:rsidR="00EF68D0" w:rsidRDefault="43606BF1" w:rsidP="5D8904BE">
            <w:pPr>
              <w:rPr>
                <w:i/>
                <w:iCs/>
                <w:sz w:val="18"/>
                <w:szCs w:val="18"/>
              </w:rPr>
            </w:pPr>
            <w:r w:rsidRPr="5D8904BE">
              <w:rPr>
                <w:i/>
                <w:iCs/>
                <w:sz w:val="18"/>
                <w:szCs w:val="18"/>
              </w:rPr>
              <w:t xml:space="preserve">Protocol </w:t>
            </w:r>
            <w:proofErr w:type="spellStart"/>
            <w:r w:rsidRPr="5D8904BE">
              <w:rPr>
                <w:i/>
                <w:iCs/>
                <w:sz w:val="18"/>
                <w:szCs w:val="18"/>
              </w:rPr>
              <w:t>signed</w:t>
            </w:r>
            <w:proofErr w:type="spellEnd"/>
            <w:r w:rsidRPr="5D8904BE">
              <w:rPr>
                <w:i/>
                <w:iCs/>
                <w:sz w:val="18"/>
                <w:szCs w:val="18"/>
              </w:rPr>
              <w:t xml:space="preserve"> + 2 meetings </w:t>
            </w:r>
            <w:proofErr w:type="spellStart"/>
            <w:r w:rsidRPr="5D8904BE">
              <w:rPr>
                <w:i/>
                <w:iCs/>
                <w:sz w:val="18"/>
                <w:szCs w:val="18"/>
              </w:rPr>
              <w:t>held</w:t>
            </w:r>
            <w:proofErr w:type="spellEnd"/>
            <w:r w:rsidRPr="5D8904BE">
              <w:rPr>
                <w:i/>
                <w:iCs/>
                <w:sz w:val="18"/>
                <w:szCs w:val="18"/>
              </w:rPr>
              <w:t>/</w:t>
            </w:r>
            <w:proofErr w:type="spellStart"/>
            <w:r w:rsidRPr="5D8904BE">
              <w:rPr>
                <w:i/>
                <w:iCs/>
                <w:sz w:val="18"/>
                <w:szCs w:val="18"/>
              </w:rPr>
              <w:t>year</w:t>
            </w:r>
            <w:proofErr w:type="spellEnd"/>
          </w:p>
          <w:p w14:paraId="00000AB5" w14:textId="77777777" w:rsidR="00EF68D0" w:rsidRDefault="00EF68D0" w:rsidP="00EF68D0">
            <w:pPr>
              <w:rPr>
                <w:i/>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B6" w14:textId="77777777" w:rsidR="00EF68D0" w:rsidRDefault="43606BF1" w:rsidP="5D8904BE">
            <w:pPr>
              <w:rPr>
                <w:i/>
                <w:iCs/>
                <w:sz w:val="18"/>
                <w:szCs w:val="18"/>
              </w:rPr>
            </w:pPr>
            <w:r w:rsidRPr="5D8904BE">
              <w:rPr>
                <w:i/>
                <w:iCs/>
                <w:sz w:val="18"/>
                <w:szCs w:val="18"/>
              </w:rPr>
              <w:t xml:space="preserve">1 </w:t>
            </w:r>
            <w:proofErr w:type="spellStart"/>
            <w:r w:rsidRPr="5D8904BE">
              <w:rPr>
                <w:i/>
                <w:iCs/>
                <w:sz w:val="18"/>
                <w:szCs w:val="18"/>
              </w:rPr>
              <w:t>updated</w:t>
            </w:r>
            <w:proofErr w:type="spellEnd"/>
            <w:r w:rsidRPr="5D8904BE">
              <w:rPr>
                <w:i/>
                <w:iCs/>
                <w:sz w:val="18"/>
                <w:szCs w:val="18"/>
              </w:rPr>
              <w:t xml:space="preserve"> </w:t>
            </w:r>
            <w:proofErr w:type="spellStart"/>
            <w:r w:rsidRPr="5D8904BE">
              <w:rPr>
                <w:i/>
                <w:iCs/>
                <w:sz w:val="18"/>
                <w:szCs w:val="18"/>
              </w:rPr>
              <w:t>protocol</w:t>
            </w:r>
            <w:proofErr w:type="spellEnd"/>
            <w:r w:rsidRPr="5D8904BE">
              <w:rPr>
                <w:i/>
                <w:iCs/>
                <w:sz w:val="18"/>
                <w:szCs w:val="18"/>
              </w:rPr>
              <w:t xml:space="preserve"> + 4 meetings/</w:t>
            </w:r>
            <w:proofErr w:type="spellStart"/>
            <w:r w:rsidRPr="5D8904BE">
              <w:rPr>
                <w:i/>
                <w:iCs/>
                <w:sz w:val="18"/>
                <w:szCs w:val="18"/>
              </w:rPr>
              <w:t>year</w:t>
            </w:r>
            <w:proofErr w:type="spellEnd"/>
          </w:p>
          <w:p w14:paraId="00000AB7" w14:textId="77777777" w:rsidR="00EF68D0" w:rsidRDefault="00EF68D0" w:rsidP="00EF68D0">
            <w:pPr>
              <w:rPr>
                <w:i/>
                <w:sz w:val="18"/>
                <w:szCs w:val="18"/>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B8" w14:textId="77777777" w:rsidR="00EF68D0" w:rsidRPr="00263D2C" w:rsidRDefault="43606BF1" w:rsidP="00EF68D0">
            <w:pPr>
              <w:rPr>
                <w:sz w:val="18"/>
                <w:szCs w:val="18"/>
                <w:lang w:val="en-US"/>
              </w:rPr>
            </w:pPr>
            <w:r w:rsidRPr="5D8904BE">
              <w:rPr>
                <w:sz w:val="18"/>
                <w:szCs w:val="18"/>
                <w:lang w:val="en-US"/>
              </w:rPr>
              <w:t>This indicator measures the formal creation and effective functioning of a Multi-Stakeholder Technical Committee (MTTC) specifically responsible for the technical, strategic and financial monitoring of the urban green belt, including resource mobilization, inter-institutional coordination and consultation with key stakeholders.</w:t>
            </w:r>
          </w:p>
          <w:p w14:paraId="00000AB9" w14:textId="77777777" w:rsidR="00EF68D0" w:rsidRPr="00263D2C" w:rsidRDefault="00EF68D0" w:rsidP="00EF68D0">
            <w:pPr>
              <w:rPr>
                <w:sz w:val="18"/>
                <w:szCs w:val="18"/>
                <w:lang w:val="en-US"/>
              </w:rPr>
            </w:pPr>
            <w:r w:rsidRPr="00263D2C">
              <w:rPr>
                <w:sz w:val="18"/>
                <w:szCs w:val="18"/>
                <w:lang w:val="en-US"/>
              </w:rPr>
              <w:t>The committee ensures a structured interface between public, private, community, civil society actors and technical and financial partners, in a logic of inclusive governance, transparency and efficiency to support the implementation, protection and sustainability of the green belt.</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BA" w14:textId="77777777" w:rsidR="00EF68D0" w:rsidRPr="00263D2C" w:rsidRDefault="00EF68D0" w:rsidP="00EF68D0">
            <w:pPr>
              <w:rPr>
                <w:sz w:val="18"/>
                <w:szCs w:val="18"/>
                <w:lang w:val="en-US"/>
              </w:rPr>
            </w:pPr>
            <w:r w:rsidRPr="00263D2C">
              <w:rPr>
                <w:sz w:val="18"/>
                <w:szCs w:val="18"/>
                <w:lang w:val="en-US"/>
              </w:rPr>
              <w:t>This indicator is measured by:</w:t>
            </w:r>
          </w:p>
          <w:p w14:paraId="00000ABB" w14:textId="77777777" w:rsidR="00EF68D0" w:rsidRPr="00263D2C" w:rsidRDefault="00EF68D0" w:rsidP="001360BB">
            <w:pPr>
              <w:numPr>
                <w:ilvl w:val="0"/>
                <w:numId w:val="217"/>
              </w:numPr>
              <w:ind w:left="402"/>
              <w:rPr>
                <w:sz w:val="18"/>
                <w:szCs w:val="18"/>
                <w:lang w:val="en-US"/>
              </w:rPr>
            </w:pPr>
            <w:r w:rsidRPr="00263D2C">
              <w:rPr>
                <w:sz w:val="18"/>
                <w:szCs w:val="18"/>
                <w:lang w:val="en-US"/>
              </w:rPr>
              <w:t>Official act of creation of the committee (order, decision, memorandum)</w:t>
            </w:r>
          </w:p>
          <w:p w14:paraId="00000ABC" w14:textId="77777777" w:rsidR="00EF68D0" w:rsidRPr="00263D2C" w:rsidRDefault="43606BF1" w:rsidP="001360BB">
            <w:pPr>
              <w:numPr>
                <w:ilvl w:val="0"/>
                <w:numId w:val="217"/>
              </w:numPr>
              <w:ind w:left="402"/>
              <w:rPr>
                <w:sz w:val="18"/>
                <w:szCs w:val="18"/>
                <w:lang w:val="en-US"/>
              </w:rPr>
            </w:pPr>
            <w:r w:rsidRPr="5D8904BE">
              <w:rPr>
                <w:sz w:val="18"/>
                <w:szCs w:val="18"/>
                <w:lang w:val="en-US"/>
              </w:rPr>
              <w:t>Terms of reference detailing List of members representing key institutions, roles, coordination arrangements and frequency of meetings</w:t>
            </w:r>
          </w:p>
          <w:p w14:paraId="00000ABD" w14:textId="77777777" w:rsidR="00EF68D0" w:rsidRPr="00263D2C" w:rsidRDefault="00EF68D0" w:rsidP="001360BB">
            <w:pPr>
              <w:numPr>
                <w:ilvl w:val="0"/>
                <w:numId w:val="217"/>
              </w:numPr>
              <w:ind w:left="402"/>
              <w:rPr>
                <w:sz w:val="18"/>
                <w:szCs w:val="18"/>
                <w:lang w:val="en-US"/>
              </w:rPr>
            </w:pPr>
            <w:r w:rsidRPr="00263D2C">
              <w:rPr>
                <w:sz w:val="18"/>
                <w:szCs w:val="18"/>
                <w:lang w:val="en-US"/>
              </w:rPr>
              <w:t xml:space="preserve">The committee must have action plans with the holding of at least 2 meetings/year with minutes and </w:t>
            </w:r>
          </w:p>
          <w:p w14:paraId="00000ABE" w14:textId="77777777" w:rsidR="00EF68D0" w:rsidRPr="00263D2C" w:rsidRDefault="00EF68D0" w:rsidP="001360BB">
            <w:pPr>
              <w:numPr>
                <w:ilvl w:val="0"/>
                <w:numId w:val="217"/>
              </w:numPr>
              <w:ind w:left="402"/>
              <w:rPr>
                <w:sz w:val="18"/>
                <w:szCs w:val="18"/>
                <w:lang w:val="en-US"/>
              </w:rPr>
            </w:pPr>
            <w:r w:rsidRPr="00263D2C">
              <w:rPr>
                <w:sz w:val="18"/>
                <w:szCs w:val="18"/>
                <w:lang w:val="en-US"/>
              </w:rPr>
              <w:t>Evidence of recommendations or decisions integrated into the Greenbelt strategy or projects</w:t>
            </w:r>
          </w:p>
          <w:p w14:paraId="00000ABF" w14:textId="77777777" w:rsidR="00EF68D0" w:rsidRPr="00263D2C" w:rsidRDefault="00EF68D0" w:rsidP="001360BB">
            <w:pPr>
              <w:numPr>
                <w:ilvl w:val="0"/>
                <w:numId w:val="217"/>
              </w:numPr>
              <w:ind w:left="402"/>
              <w:rPr>
                <w:sz w:val="18"/>
                <w:szCs w:val="18"/>
                <w:lang w:val="en-US"/>
              </w:rPr>
            </w:pPr>
            <w:r w:rsidRPr="00263D2C">
              <w:rPr>
                <w:sz w:val="18"/>
                <w:szCs w:val="18"/>
                <w:lang w:val="en-US"/>
              </w:rPr>
              <w:t>Monitoring of financial mobilization (files, advocacy, contributions, commitments)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C0" w14:textId="77777777" w:rsidR="00EF68D0" w:rsidRPr="00263D2C" w:rsidRDefault="00EF68D0" w:rsidP="00EF68D0">
            <w:pPr>
              <w:rPr>
                <w:sz w:val="18"/>
                <w:szCs w:val="18"/>
                <w:lang w:val="en-US"/>
              </w:rPr>
            </w:pPr>
            <w:r w:rsidRPr="00263D2C">
              <w:rPr>
                <w:sz w:val="18"/>
                <w:szCs w:val="18"/>
                <w:lang w:val="en-US"/>
              </w:rPr>
              <w:t>Annually</w:t>
            </w:r>
          </w:p>
          <w:p w14:paraId="00000AC1" w14:textId="302078A3" w:rsidR="00EF68D0" w:rsidRPr="00263D2C" w:rsidRDefault="00EF68D0" w:rsidP="00EF68D0">
            <w:pPr>
              <w:rPr>
                <w:sz w:val="18"/>
                <w:szCs w:val="18"/>
                <w:lang w:val="en-US"/>
              </w:rPr>
            </w:pPr>
            <w:r w:rsidRPr="00263D2C">
              <w:rPr>
                <w:sz w:val="18"/>
                <w:szCs w:val="18"/>
                <w:lang w:val="en-US"/>
              </w:rPr>
              <w:t xml:space="preserve">Reported in the GEF </w:t>
            </w:r>
            <w:r w:rsidR="00E26B34">
              <w:rPr>
                <w:sz w:val="18"/>
                <w:szCs w:val="18"/>
                <w:lang w:val="en-US"/>
              </w:rPr>
              <w:t>PIR</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C2" w14:textId="594B8418" w:rsidR="00EF68D0" w:rsidRPr="00263D2C" w:rsidRDefault="4F82A5F6" w:rsidP="00EF68D0">
            <w:pPr>
              <w:rPr>
                <w:sz w:val="18"/>
                <w:szCs w:val="18"/>
                <w:lang w:val="en-US"/>
              </w:rPr>
            </w:pPr>
            <w:r w:rsidRPr="537FA187">
              <w:rPr>
                <w:sz w:val="18"/>
                <w:szCs w:val="18"/>
                <w:lang w:val="en-US"/>
              </w:rPr>
              <w:t>GDWF</w:t>
            </w:r>
            <w:r w:rsidR="17DF0864" w:rsidRPr="537FA187">
              <w:rPr>
                <w:sz w:val="18"/>
                <w:szCs w:val="18"/>
                <w:lang w:val="en-US"/>
              </w:rPr>
              <w:t>, City Hall and PMU</w:t>
            </w:r>
            <w:r w:rsidR="00133A60">
              <w:rPr>
                <w:sz w:val="18"/>
                <w:szCs w:val="18"/>
                <w:lang w:val="en-US"/>
              </w:rPr>
              <w:t xml:space="preserve"> </w:t>
            </w:r>
            <w:r w:rsidR="00133A60">
              <w:rPr>
                <w:i/>
                <w:iCs/>
                <w:sz w:val="18"/>
                <w:szCs w:val="18"/>
                <w:lang w:val="en-US"/>
              </w:rPr>
              <w:t>(PM and</w:t>
            </w:r>
            <w:r w:rsidR="00133A60" w:rsidRPr="00345A71">
              <w:rPr>
                <w:i/>
                <w:iCs/>
                <w:sz w:val="18"/>
                <w:szCs w:val="18"/>
                <w:lang w:val="en-US"/>
              </w:rPr>
              <w:t xml:space="preserve"> M&amp;E</w:t>
            </w:r>
            <w:r w:rsidR="00133A60">
              <w:rPr>
                <w:i/>
                <w:iCs/>
                <w:sz w:val="18"/>
                <w:szCs w:val="18"/>
                <w:lang w:val="en-US"/>
              </w:rPr>
              <w:t>)</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C3" w14:textId="77777777" w:rsidR="00EF68D0" w:rsidRPr="00263D2C" w:rsidRDefault="00EF68D0" w:rsidP="00EF68D0">
            <w:pPr>
              <w:rPr>
                <w:sz w:val="18"/>
                <w:szCs w:val="18"/>
                <w:lang w:val="en-US"/>
              </w:rPr>
            </w:pPr>
            <w:r w:rsidRPr="00263D2C">
              <w:rPr>
                <w:sz w:val="18"/>
                <w:szCs w:val="18"/>
                <w:lang w:val="en-US"/>
              </w:rPr>
              <w:t>PMU Monitoring Report including a copy of the signed Memorandum of Understanding; the action plan and meeting minutes (at least 2 per year)</w:t>
            </w:r>
          </w:p>
          <w:p w14:paraId="00000AC4" w14:textId="77777777" w:rsidR="00EF68D0" w:rsidRPr="00263D2C" w:rsidRDefault="00EF68D0" w:rsidP="00EF68D0">
            <w:pPr>
              <w:rPr>
                <w:sz w:val="18"/>
                <w:szCs w:val="18"/>
                <w:lang w:val="en-US"/>
              </w:rPr>
            </w:pPr>
          </w:p>
        </w:tc>
      </w:tr>
      <w:tr w:rsidR="00EF68D0" w:rsidRPr="00F50786" w14:paraId="338D5E8D" w14:textId="77777777" w:rsidTr="2DC80E69">
        <w:trPr>
          <w:gridAfter w:val="1"/>
          <w:wAfter w:w="35" w:type="dxa"/>
          <w:trHeight w:val="20"/>
          <w:jc w:val="center"/>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00AC5" w14:textId="77777777" w:rsidR="00EF68D0" w:rsidRPr="00263D2C" w:rsidRDefault="00EF68D0" w:rsidP="00EF68D0">
            <w:pPr>
              <w:rPr>
                <w:sz w:val="18"/>
                <w:szCs w:val="18"/>
                <w:lang w:val="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AC7" w14:textId="248793E7" w:rsidR="00EF68D0" w:rsidRPr="00E25A94" w:rsidRDefault="71122EC5" w:rsidP="00510ED2">
            <w:pPr>
              <w:rPr>
                <w:sz w:val="18"/>
                <w:szCs w:val="18"/>
                <w:lang w:val="en-US"/>
              </w:rPr>
            </w:pPr>
            <w:r w:rsidRPr="00857B81">
              <w:rPr>
                <w:i/>
                <w:iCs/>
                <w:sz w:val="18"/>
                <w:szCs w:val="18"/>
                <w:lang w:val="en-US"/>
              </w:rPr>
              <w:t>Indicator 1</w:t>
            </w:r>
            <w:r w:rsidR="0030550D">
              <w:rPr>
                <w:i/>
                <w:iCs/>
                <w:sz w:val="18"/>
                <w:szCs w:val="18"/>
                <w:lang w:val="en-US"/>
              </w:rPr>
              <w:t>5</w:t>
            </w:r>
            <w:r w:rsidRPr="00857B81">
              <w:rPr>
                <w:i/>
                <w:iCs/>
                <w:sz w:val="18"/>
                <w:szCs w:val="18"/>
                <w:lang w:val="en-US"/>
              </w:rPr>
              <w:t xml:space="preserve">: </w:t>
            </w:r>
            <w:r w:rsidRPr="00857B81">
              <w:rPr>
                <w:sz w:val="18"/>
                <w:szCs w:val="18"/>
                <w:lang w:val="en-US"/>
              </w:rPr>
              <w:t xml:space="preserve">Amount of structuring and inclusive green investments (including 80% from the private sector) in nature-based solutions </w:t>
            </w:r>
            <w:r w:rsidRPr="00857B81">
              <w:rPr>
                <w:i/>
                <w:iCs/>
                <w:sz w:val="18"/>
                <w:szCs w:val="18"/>
                <w:lang w:val="en-US"/>
              </w:rPr>
              <w:t>(</w:t>
            </w:r>
            <w:proofErr w:type="spellStart"/>
            <w:proofErr w:type="gramStart"/>
            <w:r w:rsidRPr="00857B81">
              <w:rPr>
                <w:i/>
                <w:iCs/>
                <w:sz w:val="18"/>
                <w:szCs w:val="18"/>
                <w:lang w:val="en-US"/>
              </w:rPr>
              <w:t>SbN</w:t>
            </w:r>
            <w:proofErr w:type="spellEnd"/>
            <w:r w:rsidRPr="00857B81">
              <w:rPr>
                <w:i/>
                <w:iCs/>
                <w:sz w:val="18"/>
                <w:szCs w:val="18"/>
                <w:lang w:val="en-US"/>
              </w:rPr>
              <w:t>)</w:t>
            </w:r>
            <w:r w:rsidRPr="3585F9A1">
              <w:rPr>
                <w:sz w:val="18"/>
                <w:szCs w:val="18"/>
                <w:lang w:val="en-US"/>
              </w:rPr>
              <w:t>   </w:t>
            </w:r>
            <w:proofErr w:type="gramEnd"/>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C8" w14:textId="77777777" w:rsidR="00EF68D0" w:rsidRDefault="00EF68D0" w:rsidP="00EF68D0">
            <w:pPr>
              <w:rPr>
                <w:sz w:val="18"/>
                <w:szCs w:val="18"/>
              </w:rPr>
            </w:pPr>
            <w:r>
              <w:rPr>
                <w:i/>
                <w:sz w:val="18"/>
                <w:szCs w:val="18"/>
              </w:rPr>
              <w:t>$8M ($6.4M)</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C9" w14:textId="77777777" w:rsidR="00EF68D0" w:rsidRDefault="43606BF1" w:rsidP="00EF68D0">
            <w:pPr>
              <w:rPr>
                <w:sz w:val="18"/>
                <w:szCs w:val="18"/>
              </w:rPr>
            </w:pPr>
            <w:r w:rsidRPr="5D8904BE">
              <w:rPr>
                <w:i/>
                <w:iCs/>
                <w:sz w:val="18"/>
                <w:szCs w:val="18"/>
              </w:rPr>
              <w:t xml:space="preserve">$80 </w:t>
            </w:r>
            <w:proofErr w:type="gramStart"/>
            <w:r w:rsidRPr="5D8904BE">
              <w:rPr>
                <w:i/>
                <w:iCs/>
                <w:sz w:val="18"/>
                <w:szCs w:val="18"/>
              </w:rPr>
              <w:t>million</w:t>
            </w:r>
            <w:proofErr w:type="gramEnd"/>
            <w:r w:rsidRPr="5D8904BE">
              <w:rPr>
                <w:i/>
                <w:iCs/>
                <w:sz w:val="18"/>
                <w:szCs w:val="18"/>
              </w:rPr>
              <w:t xml:space="preserve"> ($64 million)</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CA" w14:textId="77777777" w:rsidR="00EF68D0" w:rsidRPr="00263D2C" w:rsidRDefault="43606BF1" w:rsidP="00EF68D0">
            <w:pPr>
              <w:rPr>
                <w:sz w:val="18"/>
                <w:szCs w:val="18"/>
                <w:lang w:val="en-US"/>
              </w:rPr>
            </w:pPr>
            <w:r w:rsidRPr="5D8904BE">
              <w:rPr>
                <w:sz w:val="18"/>
                <w:szCs w:val="18"/>
                <w:lang w:val="en-US"/>
              </w:rPr>
              <w:t xml:space="preserve">This indicator measures the total volume of investments </w:t>
            </w:r>
            <w:proofErr w:type="spellStart"/>
            <w:r w:rsidRPr="5D8904BE">
              <w:rPr>
                <w:sz w:val="18"/>
                <w:szCs w:val="18"/>
                <w:lang w:val="en-US"/>
              </w:rPr>
              <w:t>mobilised</w:t>
            </w:r>
            <w:proofErr w:type="spellEnd"/>
            <w:r w:rsidRPr="5D8904BE">
              <w:rPr>
                <w:sz w:val="18"/>
                <w:szCs w:val="18"/>
                <w:lang w:val="en-US"/>
              </w:rPr>
              <w:t xml:space="preserve"> or investment intentions for the financing of nature-based solutions (NBS) in the context of sustainable integrated urban development, resulting from the enabling environment created by the project. Emphasis will be placed on the significant share coming from the private sector (at least 80%). The objective is to highlight the </w:t>
            </w:r>
            <w:r w:rsidRPr="5D8904BE">
              <w:rPr>
                <w:b/>
                <w:bCs/>
                <w:sz w:val="18"/>
                <w:szCs w:val="18"/>
                <w:lang w:val="en-US"/>
              </w:rPr>
              <w:t xml:space="preserve">growing economic and environmental attractiveness of </w:t>
            </w:r>
            <w:proofErr w:type="spellStart"/>
            <w:r w:rsidRPr="5D8904BE">
              <w:rPr>
                <w:sz w:val="18"/>
                <w:szCs w:val="18"/>
                <w:lang w:val="en-US"/>
              </w:rPr>
              <w:t>SbN</w:t>
            </w:r>
            <w:proofErr w:type="spellEnd"/>
            <w:r w:rsidRPr="5D8904BE">
              <w:rPr>
                <w:sz w:val="18"/>
                <w:szCs w:val="18"/>
                <w:lang w:val="en-US"/>
              </w:rPr>
              <w:t xml:space="preserve"> to private investors, while monitoring the flows of structuring green investments with a transformative impact on the sustainability of the city and the lives of the population, especially the most vulnerable.</w:t>
            </w:r>
          </w:p>
          <w:p w14:paraId="00000ACC" w14:textId="0FC0CF9C" w:rsidR="00EF68D0" w:rsidRPr="00263D2C" w:rsidRDefault="329D1BAD" w:rsidP="00EF68D0">
            <w:pPr>
              <w:rPr>
                <w:sz w:val="18"/>
                <w:szCs w:val="18"/>
                <w:lang w:val="en-US"/>
              </w:rPr>
            </w:pPr>
            <w:r w:rsidRPr="3585F9A1">
              <w:rPr>
                <w:sz w:val="18"/>
                <w:szCs w:val="18"/>
                <w:lang w:val="en-US"/>
              </w:rPr>
              <w:t>NBS include</w:t>
            </w:r>
            <w:r w:rsidR="5C77B4F5" w:rsidRPr="3585F9A1">
              <w:rPr>
                <w:sz w:val="18"/>
                <w:szCs w:val="18"/>
                <w:lang w:val="en-US"/>
              </w:rPr>
              <w:t>s</w:t>
            </w:r>
            <w:r w:rsidRPr="3585F9A1">
              <w:rPr>
                <w:sz w:val="18"/>
                <w:szCs w:val="18"/>
                <w:lang w:val="en-US"/>
              </w:rPr>
              <w:t xml:space="preserve"> projects and developments that use natural or semi-natural ecosystems to address </w:t>
            </w:r>
            <w:r w:rsidRPr="3585F9A1">
              <w:rPr>
                <w:sz w:val="18"/>
                <w:szCs w:val="18"/>
                <w:lang w:val="en-US"/>
              </w:rPr>
              <w:lastRenderedPageBreak/>
              <w:t>environmental, social and economic challenges, while providing biodiversity and climate benefits. These can be, for example: the restoration of urban ecosystems (wetlands, vegetated banks), the integration of ecological corridors into urban infrastructure, natural drainage systems or plant-based solutions to combat flooding and erosion, eco-tourism, etc.)</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CD" w14:textId="77777777" w:rsidR="00EF68D0" w:rsidRPr="00263D2C" w:rsidRDefault="43606BF1" w:rsidP="00EF68D0">
            <w:pPr>
              <w:rPr>
                <w:sz w:val="18"/>
                <w:szCs w:val="18"/>
                <w:lang w:val="en-US"/>
              </w:rPr>
            </w:pPr>
            <w:r w:rsidRPr="5D8904BE">
              <w:rPr>
                <w:sz w:val="18"/>
                <w:szCs w:val="18"/>
                <w:lang w:val="en-US"/>
              </w:rPr>
              <w:lastRenderedPageBreak/>
              <w:t xml:space="preserve">Total amount (in USD or FCFA) of investments committed to </w:t>
            </w:r>
            <w:proofErr w:type="spellStart"/>
            <w:r w:rsidRPr="5D8904BE">
              <w:rPr>
                <w:sz w:val="18"/>
                <w:szCs w:val="18"/>
                <w:lang w:val="en-US"/>
              </w:rPr>
              <w:t>SbN</w:t>
            </w:r>
            <w:proofErr w:type="spellEnd"/>
            <w:r w:rsidRPr="5D8904BE">
              <w:rPr>
                <w:sz w:val="18"/>
                <w:szCs w:val="18"/>
                <w:lang w:val="en-US"/>
              </w:rPr>
              <w:t xml:space="preserve"> =Total amount mobilized (public + private), with the private share ≥ 80%</w:t>
            </w:r>
          </w:p>
          <w:p w14:paraId="00000ACE" w14:textId="77777777" w:rsidR="00EF68D0" w:rsidRPr="00263D2C" w:rsidRDefault="00EF68D0" w:rsidP="00EF68D0">
            <w:pPr>
              <w:rPr>
                <w:sz w:val="18"/>
                <w:szCs w:val="18"/>
                <w:lang w:val="en-US"/>
              </w:rPr>
            </w:pPr>
          </w:p>
          <w:p w14:paraId="00000ACF" w14:textId="77777777" w:rsidR="00EF68D0" w:rsidRPr="00263D2C" w:rsidRDefault="43606BF1" w:rsidP="00EF68D0">
            <w:pPr>
              <w:rPr>
                <w:sz w:val="18"/>
                <w:szCs w:val="18"/>
                <w:lang w:val="en-US"/>
              </w:rPr>
            </w:pPr>
            <w:r w:rsidRPr="5D8904BE">
              <w:rPr>
                <w:sz w:val="18"/>
                <w:szCs w:val="18"/>
                <w:lang w:val="en-US"/>
              </w:rPr>
              <w:t>This involves the analysis of investment contracts, agreements, financing agreements, as well as the monitoring of projects co-financed by private actors (companies, investment funds, foundations, green banks, etc.). The project could possibly carry out a survey and interviews with investors or project developers</w:t>
            </w:r>
          </w:p>
          <w:p w14:paraId="00000AD0" w14:textId="77777777" w:rsidR="00EF68D0" w:rsidRPr="00263D2C" w:rsidRDefault="00EF68D0" w:rsidP="00EF68D0">
            <w:pPr>
              <w:rPr>
                <w:sz w:val="18"/>
                <w:szCs w:val="18"/>
                <w:lang w:val="en-US"/>
              </w:rPr>
            </w:pPr>
          </w:p>
          <w:p w14:paraId="00000AD1" w14:textId="77777777" w:rsidR="00EF68D0" w:rsidRPr="00263D2C" w:rsidRDefault="00EF68D0" w:rsidP="00EF68D0">
            <w:pPr>
              <w:rPr>
                <w:sz w:val="18"/>
                <w:szCs w:val="18"/>
                <w:lang w:val="en-U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D2" w14:textId="77777777" w:rsidR="00EF68D0" w:rsidRPr="00263D2C" w:rsidRDefault="00EF68D0" w:rsidP="00EF68D0">
            <w:pPr>
              <w:rPr>
                <w:sz w:val="18"/>
                <w:szCs w:val="18"/>
                <w:lang w:val="en-US"/>
              </w:rPr>
            </w:pPr>
            <w:r w:rsidRPr="00263D2C">
              <w:rPr>
                <w:sz w:val="18"/>
                <w:szCs w:val="18"/>
                <w:lang w:val="en-US"/>
              </w:rPr>
              <w:t>Annually</w:t>
            </w:r>
          </w:p>
          <w:p w14:paraId="00000AD3" w14:textId="77677452" w:rsidR="00EF68D0" w:rsidRPr="00263D2C" w:rsidRDefault="00EF68D0" w:rsidP="00EF68D0">
            <w:pPr>
              <w:rPr>
                <w:sz w:val="18"/>
                <w:szCs w:val="18"/>
                <w:lang w:val="en-US"/>
              </w:rPr>
            </w:pPr>
            <w:r w:rsidRPr="00263D2C">
              <w:rPr>
                <w:sz w:val="18"/>
                <w:szCs w:val="18"/>
                <w:lang w:val="en-US"/>
              </w:rPr>
              <w:t xml:space="preserve">Reported in the GEF </w:t>
            </w:r>
            <w:r w:rsidR="00E26B34">
              <w:rPr>
                <w:sz w:val="18"/>
                <w:szCs w:val="18"/>
                <w:lang w:val="en-US"/>
              </w:rPr>
              <w:t>PIR</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D4" w14:textId="6B90AFDF" w:rsidR="00EF68D0" w:rsidRPr="00263D2C" w:rsidRDefault="4F82A5F6" w:rsidP="00EF68D0">
            <w:pPr>
              <w:rPr>
                <w:sz w:val="18"/>
                <w:szCs w:val="18"/>
                <w:lang w:val="en-US"/>
              </w:rPr>
            </w:pPr>
            <w:r w:rsidRPr="537FA187">
              <w:rPr>
                <w:sz w:val="18"/>
                <w:szCs w:val="18"/>
                <w:lang w:val="en-US"/>
              </w:rPr>
              <w:t>GDWF</w:t>
            </w:r>
            <w:r w:rsidR="17DF0864" w:rsidRPr="537FA187">
              <w:rPr>
                <w:sz w:val="18"/>
                <w:szCs w:val="18"/>
                <w:lang w:val="en-US"/>
              </w:rPr>
              <w:t>, City Hall and PMU</w:t>
            </w:r>
            <w:r w:rsidR="007C4BBC">
              <w:rPr>
                <w:sz w:val="18"/>
                <w:szCs w:val="18"/>
                <w:lang w:val="en-US"/>
              </w:rPr>
              <w:t xml:space="preserve"> </w:t>
            </w:r>
            <w:r w:rsidR="007C4BBC">
              <w:rPr>
                <w:i/>
                <w:iCs/>
                <w:sz w:val="18"/>
                <w:szCs w:val="18"/>
                <w:lang w:val="en-US"/>
              </w:rPr>
              <w:t>(PM and</w:t>
            </w:r>
            <w:r w:rsidR="007C4BBC" w:rsidRPr="00345A71">
              <w:rPr>
                <w:i/>
                <w:iCs/>
                <w:sz w:val="18"/>
                <w:szCs w:val="18"/>
                <w:lang w:val="en-US"/>
              </w:rPr>
              <w:t xml:space="preserve"> M&amp;E</w:t>
            </w:r>
            <w:r w:rsidR="007C4BBC">
              <w:rPr>
                <w:i/>
                <w:iCs/>
                <w:sz w:val="18"/>
                <w:szCs w:val="18"/>
                <w:lang w:val="en-US"/>
              </w:rPr>
              <w:t>)</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D5" w14:textId="77777777" w:rsidR="00EF68D0" w:rsidRPr="00263D2C" w:rsidRDefault="43606BF1" w:rsidP="00EF68D0">
            <w:pPr>
              <w:rPr>
                <w:sz w:val="18"/>
                <w:szCs w:val="18"/>
                <w:lang w:val="en-US"/>
              </w:rPr>
            </w:pPr>
            <w:r w:rsidRPr="5D8904BE">
              <w:rPr>
                <w:sz w:val="18"/>
                <w:szCs w:val="18"/>
                <w:lang w:val="en-US"/>
              </w:rPr>
              <w:t>The monitoring report of the MU containing the validated Financing Plan (BIOFIN method) and draft co-financing agreements or letters of intent</w:t>
            </w:r>
          </w:p>
          <w:p w14:paraId="00000AD6" w14:textId="77777777" w:rsidR="00EF68D0" w:rsidRPr="00263D2C" w:rsidRDefault="00EF68D0" w:rsidP="00EF68D0">
            <w:pPr>
              <w:rPr>
                <w:sz w:val="18"/>
                <w:szCs w:val="18"/>
                <w:lang w:val="en-US"/>
              </w:rPr>
            </w:pPr>
          </w:p>
        </w:tc>
      </w:tr>
      <w:tr w:rsidR="00EF68D0" w:rsidRPr="00F50786" w14:paraId="5171149F" w14:textId="77777777" w:rsidTr="2DC80E69">
        <w:trPr>
          <w:gridAfter w:val="1"/>
          <w:wAfter w:w="35" w:type="dxa"/>
          <w:trHeight w:val="180"/>
          <w:jc w:val="center"/>
        </w:trPr>
        <w:tc>
          <w:tcPr>
            <w:tcW w:w="1129" w:type="dxa"/>
            <w:tcBorders>
              <w:top w:val="single" w:sz="4" w:space="0" w:color="000000" w:themeColor="text1"/>
              <w:left w:val="single" w:sz="4" w:space="0" w:color="000000" w:themeColor="text1"/>
              <w:right w:val="single" w:sz="4" w:space="0" w:color="000000" w:themeColor="text1"/>
            </w:tcBorders>
          </w:tcPr>
          <w:p w14:paraId="27A1FA2B" w14:textId="15E1A297" w:rsidR="00EF68D0" w:rsidRPr="00263D2C" w:rsidRDefault="17DF0864" w:rsidP="00C6418F">
            <w:pPr>
              <w:spacing w:after="0" w:line="257" w:lineRule="auto"/>
              <w:rPr>
                <w:sz w:val="20"/>
                <w:szCs w:val="20"/>
                <w:lang w:val="en-US"/>
              </w:rPr>
            </w:pPr>
            <w:r w:rsidRPr="537FA187">
              <w:rPr>
                <w:b/>
                <w:bCs/>
                <w:sz w:val="18"/>
                <w:szCs w:val="18"/>
                <w:lang w:val="en-US"/>
              </w:rPr>
              <w:t>Outcome 4.1</w:t>
            </w:r>
            <w:r w:rsidR="088B32E0" w:rsidRPr="537FA187">
              <w:rPr>
                <w:sz w:val="20"/>
                <w:szCs w:val="20"/>
                <w:lang w:val="en-US"/>
              </w:rPr>
              <w:t xml:space="preserve">Strategic knowledge management and gender-sensitive communication amplify the impact of the project and contribute to behavioral and institutional </w:t>
            </w:r>
            <w:r w:rsidR="088B32E0" w:rsidRPr="537FA187">
              <w:rPr>
                <w:sz w:val="20"/>
                <w:szCs w:val="20"/>
                <w:lang w:val="en-US"/>
              </w:rPr>
              <w:lastRenderedPageBreak/>
              <w:t>shifts toward sustainable urban development.</w:t>
            </w:r>
          </w:p>
          <w:p w14:paraId="00000AD8" w14:textId="59DC2B5F" w:rsidR="00EF68D0" w:rsidRPr="00263D2C" w:rsidRDefault="00EF68D0" w:rsidP="00EF68D0">
            <w:pPr>
              <w:rPr>
                <w:sz w:val="18"/>
                <w:szCs w:val="18"/>
                <w:lang w:val="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D9" w14:textId="0041C210" w:rsidR="00EF68D0" w:rsidRPr="00263D2C" w:rsidRDefault="722636EB" w:rsidP="3585F9A1">
            <w:pPr>
              <w:rPr>
                <w:i/>
                <w:iCs/>
                <w:sz w:val="18"/>
                <w:szCs w:val="18"/>
                <w:lang w:val="en-US"/>
              </w:rPr>
            </w:pPr>
            <w:r w:rsidRPr="00857B81">
              <w:rPr>
                <w:i/>
                <w:iCs/>
                <w:sz w:val="18"/>
                <w:szCs w:val="18"/>
                <w:lang w:val="en-US"/>
              </w:rPr>
              <w:lastRenderedPageBreak/>
              <w:t xml:space="preserve">Indicator </w:t>
            </w:r>
            <w:r w:rsidR="0030550D">
              <w:rPr>
                <w:i/>
                <w:iCs/>
                <w:sz w:val="18"/>
                <w:szCs w:val="18"/>
                <w:lang w:val="en-US"/>
              </w:rPr>
              <w:t>16</w:t>
            </w:r>
            <w:r w:rsidRPr="00857B81">
              <w:rPr>
                <w:i/>
                <w:iCs/>
                <w:sz w:val="18"/>
                <w:szCs w:val="18"/>
                <w:lang w:val="en-US"/>
              </w:rPr>
              <w:t>: # of gender-sensitive knowledge exchange and training organized at national and territorial level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DA" w14:textId="77777777" w:rsidR="00EF68D0" w:rsidRDefault="00EF68D0" w:rsidP="00EF68D0">
            <w:pPr>
              <w:rPr>
                <w:sz w:val="18"/>
                <w:szCs w:val="18"/>
              </w:rPr>
            </w:pPr>
            <w:r>
              <w:rPr>
                <w:sz w:val="18"/>
                <w:szCs w:val="18"/>
              </w:rPr>
              <w:t>40</w:t>
            </w:r>
          </w:p>
          <w:p w14:paraId="00000ADB" w14:textId="77777777" w:rsidR="00EF68D0" w:rsidRDefault="00EF68D0" w:rsidP="00EF68D0">
            <w:pPr>
              <w:rPr>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DC" w14:textId="77777777" w:rsidR="00EF68D0" w:rsidRDefault="00EF68D0" w:rsidP="00EF68D0">
            <w:pPr>
              <w:rPr>
                <w:sz w:val="18"/>
                <w:szCs w:val="18"/>
              </w:rPr>
            </w:pPr>
            <w:r>
              <w:rPr>
                <w:sz w:val="18"/>
                <w:szCs w:val="18"/>
              </w:rPr>
              <w:t>100</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DD" w14:textId="77777777" w:rsidR="00EF68D0" w:rsidRPr="00263D2C" w:rsidRDefault="43606BF1" w:rsidP="00EF68D0">
            <w:pPr>
              <w:rPr>
                <w:sz w:val="18"/>
                <w:szCs w:val="18"/>
                <w:lang w:val="en-US"/>
              </w:rPr>
            </w:pPr>
            <w:r w:rsidRPr="5D8904BE">
              <w:rPr>
                <w:sz w:val="18"/>
                <w:szCs w:val="18"/>
                <w:lang w:val="en-US"/>
              </w:rPr>
              <w:t xml:space="preserve">This indicator makes it possible to monitor the effort to strengthen technical and institutional capacities to support the implementation of the sustainable urban transition (low-carbon transport, green belt, inclusive governance, integrated planning) and promote the appropriation of innovations. It measures the total number of structured knowledge exchange, mutual learning and capacity building activities carried out </w:t>
            </w:r>
            <w:r w:rsidRPr="5D8904BE">
              <w:rPr>
                <w:sz w:val="18"/>
                <w:szCs w:val="18"/>
                <w:lang w:val="en-US"/>
              </w:rPr>
              <w:lastRenderedPageBreak/>
              <w:t xml:space="preserve">under the project, at the national level (ministries, national agencies, research </w:t>
            </w:r>
            <w:proofErr w:type="spellStart"/>
            <w:r w:rsidRPr="5D8904BE">
              <w:rPr>
                <w:sz w:val="18"/>
                <w:szCs w:val="18"/>
                <w:lang w:val="en-US"/>
              </w:rPr>
              <w:t>centres</w:t>
            </w:r>
            <w:proofErr w:type="spellEnd"/>
            <w:r w:rsidRPr="5D8904BE">
              <w:rPr>
                <w:sz w:val="18"/>
                <w:szCs w:val="18"/>
                <w:lang w:val="en-US"/>
              </w:rPr>
              <w:t>, etc.) and territorial (local authorities, CSOs, local private sector, communities).</w:t>
            </w:r>
          </w:p>
          <w:p w14:paraId="00000ADE" w14:textId="77777777" w:rsidR="00EF68D0" w:rsidRDefault="43606BF1" w:rsidP="00EF68D0">
            <w:pPr>
              <w:rPr>
                <w:sz w:val="18"/>
                <w:szCs w:val="18"/>
              </w:rPr>
            </w:pPr>
            <w:proofErr w:type="spellStart"/>
            <w:r w:rsidRPr="5D8904BE">
              <w:rPr>
                <w:sz w:val="18"/>
                <w:szCs w:val="18"/>
              </w:rPr>
              <w:t>These</w:t>
            </w:r>
            <w:proofErr w:type="spellEnd"/>
            <w:r w:rsidRPr="5D8904BE">
              <w:rPr>
                <w:sz w:val="18"/>
                <w:szCs w:val="18"/>
              </w:rPr>
              <w:t xml:space="preserve"> exchanges </w:t>
            </w:r>
            <w:proofErr w:type="spellStart"/>
            <w:proofErr w:type="gramStart"/>
            <w:r w:rsidRPr="5D8904BE">
              <w:rPr>
                <w:sz w:val="18"/>
                <w:szCs w:val="18"/>
              </w:rPr>
              <w:t>include</w:t>
            </w:r>
            <w:proofErr w:type="spellEnd"/>
            <w:r w:rsidRPr="5D8904BE">
              <w:rPr>
                <w:sz w:val="18"/>
                <w:szCs w:val="18"/>
              </w:rPr>
              <w:t>:</w:t>
            </w:r>
            <w:proofErr w:type="gramEnd"/>
          </w:p>
          <w:p w14:paraId="00000ADF" w14:textId="77777777" w:rsidR="00EF68D0" w:rsidRPr="00263D2C" w:rsidRDefault="00EF68D0" w:rsidP="001360BB">
            <w:pPr>
              <w:numPr>
                <w:ilvl w:val="0"/>
                <w:numId w:val="165"/>
              </w:numPr>
              <w:pBdr>
                <w:top w:val="nil"/>
                <w:left w:val="nil"/>
                <w:bottom w:val="nil"/>
                <w:right w:val="nil"/>
                <w:between w:val="nil"/>
              </w:pBdr>
              <w:spacing w:after="0"/>
              <w:ind w:left="168" w:hanging="203"/>
              <w:rPr>
                <w:color w:val="000000"/>
                <w:sz w:val="18"/>
                <w:szCs w:val="18"/>
                <w:lang w:val="en-US"/>
              </w:rPr>
            </w:pPr>
            <w:r w:rsidRPr="00263D2C">
              <w:rPr>
                <w:color w:val="000000"/>
                <w:sz w:val="18"/>
                <w:szCs w:val="18"/>
                <w:lang w:val="en-US"/>
              </w:rPr>
              <w:t>Technical training (workshops, certification sessions, online or face-to-face training)</w:t>
            </w:r>
          </w:p>
          <w:p w14:paraId="00000AE0" w14:textId="77777777" w:rsidR="00EF68D0" w:rsidRPr="00263D2C" w:rsidRDefault="00EF68D0" w:rsidP="001360BB">
            <w:pPr>
              <w:numPr>
                <w:ilvl w:val="0"/>
                <w:numId w:val="165"/>
              </w:numPr>
              <w:pBdr>
                <w:top w:val="nil"/>
                <w:left w:val="nil"/>
                <w:bottom w:val="nil"/>
                <w:right w:val="nil"/>
                <w:between w:val="nil"/>
              </w:pBdr>
              <w:spacing w:after="0"/>
              <w:ind w:left="168" w:hanging="203"/>
              <w:rPr>
                <w:color w:val="000000"/>
                <w:sz w:val="18"/>
                <w:szCs w:val="18"/>
                <w:lang w:val="en-US"/>
              </w:rPr>
            </w:pPr>
            <w:r w:rsidRPr="00263D2C">
              <w:rPr>
                <w:color w:val="000000"/>
                <w:sz w:val="18"/>
                <w:szCs w:val="18"/>
                <w:lang w:val="en-US"/>
              </w:rPr>
              <w:t>National or territorial seminars and symposia</w:t>
            </w:r>
          </w:p>
          <w:p w14:paraId="00000AE1" w14:textId="77777777" w:rsidR="00EF68D0" w:rsidRDefault="43606BF1" w:rsidP="001360BB">
            <w:pPr>
              <w:numPr>
                <w:ilvl w:val="0"/>
                <w:numId w:val="165"/>
              </w:numPr>
              <w:pBdr>
                <w:top w:val="nil"/>
                <w:left w:val="nil"/>
                <w:bottom w:val="nil"/>
                <w:right w:val="nil"/>
                <w:between w:val="nil"/>
              </w:pBdr>
              <w:spacing w:after="0"/>
              <w:ind w:left="168" w:hanging="203"/>
              <w:rPr>
                <w:color w:val="000000"/>
                <w:sz w:val="18"/>
                <w:szCs w:val="18"/>
              </w:rPr>
            </w:pPr>
            <w:r w:rsidRPr="5D8904BE">
              <w:rPr>
                <w:color w:val="000000" w:themeColor="text1"/>
                <w:sz w:val="18"/>
                <w:szCs w:val="18"/>
              </w:rPr>
              <w:t xml:space="preserve">Exchange </w:t>
            </w:r>
            <w:proofErr w:type="spellStart"/>
            <w:r w:rsidRPr="5D8904BE">
              <w:rPr>
                <w:color w:val="000000" w:themeColor="text1"/>
                <w:sz w:val="18"/>
                <w:szCs w:val="18"/>
              </w:rPr>
              <w:t>visits</w:t>
            </w:r>
            <w:proofErr w:type="spellEnd"/>
            <w:r w:rsidRPr="5D8904BE">
              <w:rPr>
                <w:color w:val="000000" w:themeColor="text1"/>
                <w:sz w:val="18"/>
                <w:szCs w:val="18"/>
              </w:rPr>
              <w:t xml:space="preserve"> and </w:t>
            </w:r>
            <w:proofErr w:type="spellStart"/>
            <w:r w:rsidRPr="5D8904BE">
              <w:rPr>
                <w:color w:val="000000" w:themeColor="text1"/>
                <w:sz w:val="18"/>
                <w:szCs w:val="18"/>
              </w:rPr>
              <w:t>study</w:t>
            </w:r>
            <w:proofErr w:type="spellEnd"/>
            <w:r w:rsidRPr="5D8904BE">
              <w:rPr>
                <w:color w:val="000000" w:themeColor="text1"/>
                <w:sz w:val="18"/>
                <w:szCs w:val="18"/>
              </w:rPr>
              <w:t xml:space="preserve"> tours</w:t>
            </w:r>
          </w:p>
          <w:p w14:paraId="00000AE2" w14:textId="77777777" w:rsidR="00EF68D0" w:rsidRPr="00B7771B" w:rsidRDefault="00EF68D0" w:rsidP="001360BB">
            <w:pPr>
              <w:numPr>
                <w:ilvl w:val="0"/>
                <w:numId w:val="165"/>
              </w:numPr>
              <w:pBdr>
                <w:top w:val="nil"/>
                <w:left w:val="nil"/>
                <w:bottom w:val="nil"/>
                <w:right w:val="nil"/>
                <w:between w:val="nil"/>
              </w:pBdr>
              <w:spacing w:after="0"/>
              <w:ind w:left="168" w:hanging="203"/>
              <w:rPr>
                <w:color w:val="000000"/>
                <w:sz w:val="18"/>
                <w:szCs w:val="18"/>
                <w:lang w:val="en-US"/>
              </w:rPr>
            </w:pPr>
            <w:r w:rsidRPr="00B7771B">
              <w:rPr>
                <w:color w:val="000000"/>
                <w:sz w:val="18"/>
                <w:szCs w:val="18"/>
                <w:lang w:val="en-US"/>
              </w:rPr>
              <w:t>Webinars, multi-stakeholder dialogues, discussion forums</w:t>
            </w:r>
          </w:p>
          <w:p w14:paraId="00000AE3" w14:textId="77777777" w:rsidR="00EF68D0" w:rsidRPr="00263D2C" w:rsidRDefault="00EF68D0" w:rsidP="001360BB">
            <w:pPr>
              <w:numPr>
                <w:ilvl w:val="0"/>
                <w:numId w:val="165"/>
              </w:numPr>
              <w:pBdr>
                <w:top w:val="nil"/>
                <w:left w:val="nil"/>
                <w:bottom w:val="nil"/>
                <w:right w:val="nil"/>
                <w:between w:val="nil"/>
              </w:pBdr>
              <w:ind w:left="168" w:hanging="203"/>
              <w:rPr>
                <w:color w:val="000000"/>
                <w:sz w:val="18"/>
                <w:szCs w:val="18"/>
                <w:lang w:val="en-US"/>
              </w:rPr>
            </w:pPr>
            <w:r w:rsidRPr="00263D2C">
              <w:rPr>
                <w:color w:val="000000"/>
                <w:sz w:val="18"/>
                <w:szCs w:val="18"/>
                <w:lang w:val="en-US"/>
              </w:rPr>
              <w:t>Learning circles or communities of practice</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E4" w14:textId="77777777" w:rsidR="00EF68D0" w:rsidRPr="00263D2C" w:rsidRDefault="00EF68D0" w:rsidP="00EF68D0">
            <w:pPr>
              <w:rPr>
                <w:sz w:val="18"/>
                <w:szCs w:val="18"/>
                <w:lang w:val="en-US"/>
              </w:rPr>
            </w:pPr>
            <w:r w:rsidRPr="00263D2C">
              <w:rPr>
                <w:sz w:val="18"/>
                <w:szCs w:val="18"/>
                <w:lang w:val="en-US"/>
              </w:rPr>
              <w:lastRenderedPageBreak/>
              <w:t xml:space="preserve">Simple count of the total number of events </w:t>
            </w:r>
            <w:proofErr w:type="spellStart"/>
            <w:r w:rsidRPr="00263D2C">
              <w:rPr>
                <w:sz w:val="18"/>
                <w:szCs w:val="18"/>
                <w:lang w:val="en-US"/>
              </w:rPr>
              <w:t>organised</w:t>
            </w:r>
            <w:proofErr w:type="spellEnd"/>
            <w:r w:rsidRPr="00263D2C">
              <w:rPr>
                <w:sz w:val="18"/>
                <w:szCs w:val="18"/>
                <w:lang w:val="en-US"/>
              </w:rPr>
              <w:t xml:space="preserve"> during the duration of the project, broken down by type, theme and level (national/territorial) through: </w:t>
            </w:r>
          </w:p>
          <w:p w14:paraId="00000AE5" w14:textId="77777777" w:rsidR="00EF68D0" w:rsidRDefault="43606BF1" w:rsidP="001360BB">
            <w:pPr>
              <w:numPr>
                <w:ilvl w:val="0"/>
                <w:numId w:val="165"/>
              </w:numPr>
              <w:pBdr>
                <w:top w:val="nil"/>
                <w:left w:val="nil"/>
                <w:bottom w:val="nil"/>
                <w:right w:val="nil"/>
                <w:between w:val="nil"/>
              </w:pBdr>
              <w:spacing w:after="0"/>
              <w:ind w:left="168" w:hanging="203"/>
              <w:rPr>
                <w:color w:val="000000"/>
                <w:sz w:val="18"/>
                <w:szCs w:val="18"/>
              </w:rPr>
            </w:pPr>
            <w:proofErr w:type="spellStart"/>
            <w:r w:rsidRPr="5D8904BE">
              <w:rPr>
                <w:color w:val="000000" w:themeColor="text1"/>
                <w:sz w:val="18"/>
                <w:szCs w:val="18"/>
              </w:rPr>
              <w:t>Review</w:t>
            </w:r>
            <w:proofErr w:type="spellEnd"/>
            <w:r w:rsidRPr="5D8904BE">
              <w:rPr>
                <w:color w:val="000000" w:themeColor="text1"/>
                <w:sz w:val="18"/>
                <w:szCs w:val="18"/>
              </w:rPr>
              <w:t xml:space="preserve"> of </w:t>
            </w:r>
            <w:proofErr w:type="spellStart"/>
            <w:r w:rsidRPr="5D8904BE">
              <w:rPr>
                <w:color w:val="000000" w:themeColor="text1"/>
                <w:sz w:val="18"/>
                <w:szCs w:val="18"/>
              </w:rPr>
              <w:t>project</w:t>
            </w:r>
            <w:proofErr w:type="spellEnd"/>
            <w:r w:rsidRPr="5D8904BE">
              <w:rPr>
                <w:color w:val="000000" w:themeColor="text1"/>
                <w:sz w:val="18"/>
                <w:szCs w:val="18"/>
              </w:rPr>
              <w:t xml:space="preserve"> </w:t>
            </w:r>
            <w:proofErr w:type="spellStart"/>
            <w:r w:rsidRPr="5D8904BE">
              <w:rPr>
                <w:color w:val="000000" w:themeColor="text1"/>
                <w:sz w:val="18"/>
                <w:szCs w:val="18"/>
              </w:rPr>
              <w:t>activity</w:t>
            </w:r>
            <w:proofErr w:type="spellEnd"/>
            <w:r w:rsidRPr="5D8904BE">
              <w:rPr>
                <w:color w:val="000000" w:themeColor="text1"/>
                <w:sz w:val="18"/>
                <w:szCs w:val="18"/>
              </w:rPr>
              <w:t xml:space="preserve"> reports</w:t>
            </w:r>
          </w:p>
          <w:p w14:paraId="00000AE6" w14:textId="77777777" w:rsidR="00EF68D0" w:rsidRDefault="43606BF1" w:rsidP="001360BB">
            <w:pPr>
              <w:numPr>
                <w:ilvl w:val="0"/>
                <w:numId w:val="165"/>
              </w:numPr>
              <w:pBdr>
                <w:top w:val="nil"/>
                <w:left w:val="nil"/>
                <w:bottom w:val="nil"/>
                <w:right w:val="nil"/>
                <w:between w:val="nil"/>
              </w:pBdr>
              <w:spacing w:after="0"/>
              <w:ind w:left="168" w:hanging="203"/>
              <w:rPr>
                <w:color w:val="000000"/>
                <w:sz w:val="18"/>
                <w:szCs w:val="18"/>
              </w:rPr>
            </w:pPr>
            <w:r w:rsidRPr="5D8904BE">
              <w:rPr>
                <w:color w:val="000000" w:themeColor="text1"/>
                <w:sz w:val="18"/>
                <w:szCs w:val="18"/>
              </w:rPr>
              <w:t xml:space="preserve">Participation </w:t>
            </w:r>
            <w:proofErr w:type="spellStart"/>
            <w:r w:rsidRPr="5D8904BE">
              <w:rPr>
                <w:color w:val="000000" w:themeColor="text1"/>
                <w:sz w:val="18"/>
                <w:szCs w:val="18"/>
              </w:rPr>
              <w:t>registers</w:t>
            </w:r>
            <w:proofErr w:type="spellEnd"/>
          </w:p>
          <w:p w14:paraId="00000AE7" w14:textId="77777777" w:rsidR="00EF68D0" w:rsidRDefault="43606BF1" w:rsidP="001360BB">
            <w:pPr>
              <w:numPr>
                <w:ilvl w:val="0"/>
                <w:numId w:val="165"/>
              </w:numPr>
              <w:pBdr>
                <w:top w:val="nil"/>
                <w:left w:val="nil"/>
                <w:bottom w:val="nil"/>
                <w:right w:val="nil"/>
                <w:between w:val="nil"/>
              </w:pBdr>
              <w:spacing w:after="0"/>
              <w:ind w:left="168" w:hanging="203"/>
              <w:rPr>
                <w:color w:val="000000"/>
                <w:sz w:val="18"/>
                <w:szCs w:val="18"/>
              </w:rPr>
            </w:pPr>
            <w:r w:rsidRPr="5D8904BE">
              <w:rPr>
                <w:color w:val="000000" w:themeColor="text1"/>
                <w:sz w:val="18"/>
                <w:szCs w:val="18"/>
              </w:rPr>
              <w:t xml:space="preserve">Training reports or </w:t>
            </w:r>
            <w:proofErr w:type="spellStart"/>
            <w:r w:rsidRPr="5D8904BE">
              <w:rPr>
                <w:color w:val="000000" w:themeColor="text1"/>
                <w:sz w:val="18"/>
                <w:szCs w:val="18"/>
              </w:rPr>
              <w:t>event</w:t>
            </w:r>
            <w:proofErr w:type="spellEnd"/>
            <w:r w:rsidRPr="5D8904BE">
              <w:rPr>
                <w:color w:val="000000" w:themeColor="text1"/>
                <w:sz w:val="18"/>
                <w:szCs w:val="18"/>
              </w:rPr>
              <w:t xml:space="preserve"> reports</w:t>
            </w:r>
          </w:p>
          <w:p w14:paraId="00000AE8" w14:textId="77777777" w:rsidR="00EF68D0" w:rsidRPr="00263D2C" w:rsidRDefault="00EF68D0" w:rsidP="001360BB">
            <w:pPr>
              <w:numPr>
                <w:ilvl w:val="0"/>
                <w:numId w:val="165"/>
              </w:numPr>
              <w:pBdr>
                <w:top w:val="nil"/>
                <w:left w:val="nil"/>
                <w:bottom w:val="nil"/>
                <w:right w:val="nil"/>
                <w:between w:val="nil"/>
              </w:pBdr>
              <w:spacing w:after="0"/>
              <w:ind w:left="168" w:hanging="203"/>
              <w:rPr>
                <w:color w:val="000000"/>
                <w:sz w:val="18"/>
                <w:szCs w:val="18"/>
                <w:lang w:val="en-US"/>
              </w:rPr>
            </w:pPr>
            <w:r w:rsidRPr="00263D2C">
              <w:rPr>
                <w:color w:val="000000"/>
                <w:sz w:val="18"/>
                <w:szCs w:val="18"/>
                <w:lang w:val="en-US"/>
              </w:rPr>
              <w:t>Digital e-learning or knowledge exchange platforms</w:t>
            </w:r>
          </w:p>
          <w:p w14:paraId="00000AE9" w14:textId="77777777" w:rsidR="00EF68D0" w:rsidRPr="00263D2C" w:rsidRDefault="00EF68D0" w:rsidP="001360BB">
            <w:pPr>
              <w:numPr>
                <w:ilvl w:val="0"/>
                <w:numId w:val="165"/>
              </w:numPr>
              <w:pBdr>
                <w:top w:val="nil"/>
                <w:left w:val="nil"/>
                <w:bottom w:val="nil"/>
                <w:right w:val="nil"/>
                <w:between w:val="nil"/>
              </w:pBdr>
              <w:ind w:left="168" w:hanging="203"/>
              <w:rPr>
                <w:color w:val="000000"/>
                <w:sz w:val="18"/>
                <w:szCs w:val="18"/>
                <w:lang w:val="en-US"/>
              </w:rPr>
            </w:pPr>
            <w:r w:rsidRPr="00263D2C">
              <w:rPr>
                <w:color w:val="000000"/>
                <w:sz w:val="18"/>
                <w:szCs w:val="18"/>
                <w:lang w:val="en-US"/>
              </w:rPr>
              <w:t>Post-training feedback (session evaluations)</w:t>
            </w:r>
          </w:p>
          <w:p w14:paraId="00000AEA" w14:textId="77777777" w:rsidR="00EF68D0" w:rsidRPr="00263D2C" w:rsidRDefault="00EF68D0" w:rsidP="00EF68D0">
            <w:pPr>
              <w:rPr>
                <w:sz w:val="18"/>
                <w:szCs w:val="18"/>
                <w:lang w:val="en-US"/>
              </w:rPr>
            </w:pPr>
          </w:p>
          <w:p w14:paraId="00000AEB" w14:textId="77777777" w:rsidR="00EF68D0" w:rsidRPr="00263D2C" w:rsidRDefault="00EF68D0" w:rsidP="00EF68D0">
            <w:pPr>
              <w:rPr>
                <w:sz w:val="18"/>
                <w:szCs w:val="18"/>
                <w:lang w:val="en-U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EC" w14:textId="77777777" w:rsidR="00EF68D0" w:rsidRPr="00263D2C" w:rsidRDefault="00EF68D0" w:rsidP="00EF68D0">
            <w:pPr>
              <w:rPr>
                <w:sz w:val="18"/>
                <w:szCs w:val="18"/>
                <w:lang w:val="en-US"/>
              </w:rPr>
            </w:pPr>
            <w:r w:rsidRPr="00263D2C">
              <w:rPr>
                <w:sz w:val="18"/>
                <w:szCs w:val="18"/>
                <w:lang w:val="en-US"/>
              </w:rPr>
              <w:lastRenderedPageBreak/>
              <w:t>Annually</w:t>
            </w:r>
          </w:p>
          <w:p w14:paraId="00000AED" w14:textId="1BDD8F77" w:rsidR="00EF68D0" w:rsidRPr="00263D2C" w:rsidRDefault="00EF68D0" w:rsidP="00EF68D0">
            <w:pPr>
              <w:rPr>
                <w:sz w:val="18"/>
                <w:szCs w:val="18"/>
                <w:lang w:val="en-US"/>
              </w:rPr>
            </w:pPr>
            <w:r w:rsidRPr="00263D2C">
              <w:rPr>
                <w:sz w:val="18"/>
                <w:szCs w:val="18"/>
                <w:lang w:val="en-US"/>
              </w:rPr>
              <w:t xml:space="preserve">Reported in the GEF </w:t>
            </w:r>
            <w:r w:rsidR="00E26B34">
              <w:rPr>
                <w:sz w:val="18"/>
                <w:szCs w:val="18"/>
                <w:lang w:val="en-US"/>
              </w:rPr>
              <w:t>PIR</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EE" w14:textId="05B6B458" w:rsidR="00EF68D0" w:rsidRPr="003C5C1B" w:rsidRDefault="00EF68D0" w:rsidP="00EF68D0">
            <w:pPr>
              <w:rPr>
                <w:sz w:val="18"/>
                <w:szCs w:val="18"/>
                <w:lang w:val="en-US"/>
              </w:rPr>
            </w:pPr>
            <w:r w:rsidRPr="003C5C1B">
              <w:rPr>
                <w:sz w:val="18"/>
                <w:szCs w:val="18"/>
                <w:lang w:val="en-US"/>
              </w:rPr>
              <w:t>PMU</w:t>
            </w:r>
            <w:r w:rsidR="007C4BBC" w:rsidRPr="003C5C1B">
              <w:rPr>
                <w:sz w:val="18"/>
                <w:szCs w:val="18"/>
                <w:lang w:val="en-US"/>
              </w:rPr>
              <w:t xml:space="preserve"> </w:t>
            </w:r>
            <w:r w:rsidR="007C4BBC">
              <w:rPr>
                <w:i/>
                <w:iCs/>
                <w:sz w:val="18"/>
                <w:szCs w:val="18"/>
                <w:lang w:val="en-US"/>
              </w:rPr>
              <w:t>(PM</w:t>
            </w:r>
            <w:r w:rsidR="0094562A">
              <w:rPr>
                <w:i/>
                <w:iCs/>
                <w:sz w:val="18"/>
                <w:szCs w:val="18"/>
                <w:lang w:val="en-US"/>
              </w:rPr>
              <w:t xml:space="preserve">, </w:t>
            </w:r>
            <w:r w:rsidR="007C4BBC" w:rsidRPr="00345A71">
              <w:rPr>
                <w:i/>
                <w:iCs/>
                <w:sz w:val="18"/>
                <w:szCs w:val="18"/>
                <w:lang w:val="en-US"/>
              </w:rPr>
              <w:t>M&amp;</w:t>
            </w:r>
            <w:proofErr w:type="gramStart"/>
            <w:r w:rsidR="007C4BBC" w:rsidRPr="00345A71">
              <w:rPr>
                <w:i/>
                <w:iCs/>
                <w:sz w:val="18"/>
                <w:szCs w:val="18"/>
                <w:lang w:val="en-US"/>
              </w:rPr>
              <w:t>E</w:t>
            </w:r>
            <w:r w:rsidR="007C4BBC">
              <w:rPr>
                <w:i/>
                <w:iCs/>
                <w:sz w:val="18"/>
                <w:szCs w:val="18"/>
                <w:lang w:val="en-US"/>
              </w:rPr>
              <w:t xml:space="preserve"> </w:t>
            </w:r>
            <w:r w:rsidR="0094562A">
              <w:rPr>
                <w:i/>
                <w:iCs/>
                <w:sz w:val="18"/>
                <w:szCs w:val="18"/>
                <w:lang w:val="en-US"/>
              </w:rPr>
              <w:t>,</w:t>
            </w:r>
            <w:proofErr w:type="gramEnd"/>
            <w:r w:rsidR="0094562A">
              <w:rPr>
                <w:i/>
                <w:iCs/>
                <w:sz w:val="18"/>
                <w:szCs w:val="18"/>
                <w:lang w:val="en-US"/>
              </w:rPr>
              <w:t xml:space="preserve"> </w:t>
            </w:r>
            <w:r w:rsidR="007C4BBC">
              <w:rPr>
                <w:i/>
                <w:iCs/>
                <w:sz w:val="18"/>
                <w:szCs w:val="18"/>
                <w:lang w:val="en-US"/>
              </w:rPr>
              <w:t>KM</w:t>
            </w:r>
            <w:r w:rsidR="0094562A">
              <w:rPr>
                <w:i/>
                <w:iCs/>
                <w:sz w:val="18"/>
                <w:szCs w:val="18"/>
                <w:lang w:val="en-US"/>
              </w:rPr>
              <w:t xml:space="preserve"> and Gender Specialist)</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EF" w14:textId="77777777" w:rsidR="00EF68D0" w:rsidRPr="00263D2C" w:rsidRDefault="43606BF1" w:rsidP="00EF68D0">
            <w:pPr>
              <w:rPr>
                <w:sz w:val="18"/>
                <w:szCs w:val="18"/>
                <w:lang w:val="en-US"/>
              </w:rPr>
            </w:pPr>
            <w:r w:rsidRPr="5D8904BE">
              <w:rPr>
                <w:sz w:val="18"/>
                <w:szCs w:val="18"/>
                <w:lang w:val="en-US"/>
              </w:rPr>
              <w:t>Monitoring and evaluation reports of the project to the PMU, partner institutions and training providers, local authorities, NGOs, men's, women's and young entrepreneurs, researchers and financial institutions</w:t>
            </w:r>
          </w:p>
        </w:tc>
      </w:tr>
      <w:tr w:rsidR="00EF68D0" w:rsidRPr="00F50786" w14:paraId="7A3109F3" w14:textId="77777777" w:rsidTr="2DC80E69">
        <w:trPr>
          <w:gridAfter w:val="1"/>
          <w:wAfter w:w="35" w:type="dxa"/>
          <w:trHeight w:val="180"/>
          <w:jc w:val="center"/>
        </w:trPr>
        <w:tc>
          <w:tcPr>
            <w:tcW w:w="1129" w:type="dxa"/>
            <w:tcBorders>
              <w:top w:val="single" w:sz="4" w:space="0" w:color="000000" w:themeColor="text1"/>
              <w:left w:val="single" w:sz="4" w:space="0" w:color="000000" w:themeColor="text1"/>
              <w:right w:val="single" w:sz="4" w:space="0" w:color="000000" w:themeColor="text1"/>
            </w:tcBorders>
          </w:tcPr>
          <w:p w14:paraId="00000AF0" w14:textId="77777777" w:rsidR="00EF68D0" w:rsidRPr="00263D2C" w:rsidRDefault="00EF68D0" w:rsidP="00EF68D0">
            <w:pPr>
              <w:rPr>
                <w:b/>
                <w:sz w:val="18"/>
                <w:szCs w:val="18"/>
                <w:lang w:val="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F1" w14:textId="75BE9BAD" w:rsidR="00EF68D0" w:rsidRPr="00D3540A" w:rsidRDefault="2A73C419" w:rsidP="007D1972">
            <w:pPr>
              <w:rPr>
                <w:sz w:val="18"/>
                <w:szCs w:val="18"/>
                <w:lang w:val="en-US"/>
              </w:rPr>
            </w:pPr>
            <w:r w:rsidRPr="00857B81">
              <w:rPr>
                <w:sz w:val="18"/>
                <w:szCs w:val="18"/>
                <w:lang w:val="en-US"/>
              </w:rPr>
              <w:t>Indicator</w:t>
            </w:r>
            <w:r w:rsidR="0030550D">
              <w:rPr>
                <w:sz w:val="18"/>
                <w:szCs w:val="18"/>
                <w:lang w:val="en-US"/>
              </w:rPr>
              <w:t>7</w:t>
            </w:r>
            <w:r w:rsidRPr="00857B81">
              <w:rPr>
                <w:sz w:val="18"/>
                <w:szCs w:val="18"/>
                <w:lang w:val="en-US"/>
              </w:rPr>
              <w:t xml:space="preserve">: # of partnerships engaged at the national level through the project and at the global level through the </w:t>
            </w:r>
            <w:r w:rsidRPr="00857B81">
              <w:rPr>
                <w:sz w:val="18"/>
                <w:szCs w:val="18"/>
                <w:lang w:val="en-US"/>
              </w:rPr>
              <w:lastRenderedPageBreak/>
              <w:t>Global Platform on Sustainable Cities     </w:t>
            </w:r>
            <w:r w:rsidRPr="3585F9A1">
              <w:rPr>
                <w:sz w:val="18"/>
                <w:szCs w:val="18"/>
                <w:lang w:val="en-US"/>
              </w:rPr>
              <w:t>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F2" w14:textId="77777777" w:rsidR="00EF68D0" w:rsidRDefault="00EF68D0" w:rsidP="00EF68D0">
            <w:pPr>
              <w:rPr>
                <w:sz w:val="18"/>
                <w:szCs w:val="18"/>
              </w:rPr>
            </w:pPr>
            <w:r>
              <w:rPr>
                <w:sz w:val="18"/>
                <w:szCs w:val="18"/>
              </w:rPr>
              <w:lastRenderedPageBreak/>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F3" w14:textId="77777777" w:rsidR="00EF68D0" w:rsidRDefault="00EF68D0" w:rsidP="00EF68D0">
            <w:pPr>
              <w:rPr>
                <w:sz w:val="18"/>
                <w:szCs w:val="18"/>
              </w:rPr>
            </w:pPr>
            <w:r>
              <w:rPr>
                <w:sz w:val="18"/>
                <w:szCs w:val="18"/>
              </w:rPr>
              <w:t>5</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F4" w14:textId="77777777" w:rsidR="00EF68D0" w:rsidRPr="00263D2C" w:rsidRDefault="43606BF1" w:rsidP="00EF68D0">
            <w:pPr>
              <w:rPr>
                <w:sz w:val="18"/>
                <w:szCs w:val="18"/>
                <w:lang w:val="en-US"/>
              </w:rPr>
            </w:pPr>
            <w:r w:rsidRPr="5D8904BE">
              <w:rPr>
                <w:sz w:val="18"/>
                <w:szCs w:val="18"/>
                <w:lang w:val="en-US"/>
              </w:rPr>
              <w:t>This indicator measures the total number of formal or operational partnerships established:</w:t>
            </w:r>
          </w:p>
          <w:p w14:paraId="00000AF5" w14:textId="77777777" w:rsidR="00EF68D0" w:rsidRPr="00263D2C" w:rsidRDefault="00EF68D0" w:rsidP="001360BB">
            <w:pPr>
              <w:numPr>
                <w:ilvl w:val="0"/>
                <w:numId w:val="177"/>
              </w:numPr>
              <w:rPr>
                <w:sz w:val="18"/>
                <w:szCs w:val="18"/>
                <w:lang w:val="en-US"/>
              </w:rPr>
            </w:pPr>
            <w:r w:rsidRPr="00263D2C">
              <w:rPr>
                <w:sz w:val="18"/>
                <w:szCs w:val="18"/>
                <w:lang w:val="en-US"/>
              </w:rPr>
              <w:t xml:space="preserve">At the national level, through the project's actions (with ministries, national agencies, </w:t>
            </w:r>
            <w:r w:rsidRPr="00263D2C">
              <w:rPr>
                <w:sz w:val="18"/>
                <w:szCs w:val="18"/>
                <w:lang w:val="en-US"/>
              </w:rPr>
              <w:lastRenderedPageBreak/>
              <w:t xml:space="preserve">local authorities, NGOs, companies, research </w:t>
            </w:r>
            <w:proofErr w:type="spellStart"/>
            <w:r w:rsidRPr="00263D2C">
              <w:rPr>
                <w:sz w:val="18"/>
                <w:szCs w:val="18"/>
                <w:lang w:val="en-US"/>
              </w:rPr>
              <w:t>centres</w:t>
            </w:r>
            <w:proofErr w:type="spellEnd"/>
            <w:r w:rsidRPr="00263D2C">
              <w:rPr>
                <w:sz w:val="18"/>
                <w:szCs w:val="18"/>
                <w:lang w:val="en-US"/>
              </w:rPr>
              <w:t>, etc.)</w:t>
            </w:r>
          </w:p>
          <w:p w14:paraId="00000AF6" w14:textId="77777777" w:rsidR="00EF68D0" w:rsidRPr="00263D2C" w:rsidRDefault="00EF68D0" w:rsidP="001360BB">
            <w:pPr>
              <w:numPr>
                <w:ilvl w:val="0"/>
                <w:numId w:val="177"/>
              </w:numPr>
              <w:rPr>
                <w:sz w:val="18"/>
                <w:szCs w:val="18"/>
                <w:lang w:val="en-US"/>
              </w:rPr>
            </w:pPr>
            <w:r w:rsidRPr="00263D2C">
              <w:rPr>
                <w:sz w:val="18"/>
                <w:szCs w:val="18"/>
                <w:lang w:val="en-US"/>
              </w:rPr>
              <w:t>At the global level, through active participation in the Global Platform for Sustainable Cities, including technical, financial, knowledge or advocacy partnerships.</w:t>
            </w:r>
          </w:p>
          <w:p w14:paraId="00000AF7" w14:textId="77777777" w:rsidR="00EF68D0" w:rsidRPr="00263D2C" w:rsidRDefault="00EF68D0" w:rsidP="00EF68D0">
            <w:pPr>
              <w:rPr>
                <w:sz w:val="18"/>
                <w:szCs w:val="18"/>
                <w:lang w:val="en-US"/>
              </w:rPr>
            </w:pPr>
            <w:r w:rsidRPr="00263D2C">
              <w:rPr>
                <w:sz w:val="18"/>
                <w:szCs w:val="18"/>
                <w:lang w:val="en-US"/>
              </w:rPr>
              <w:t>These partnerships can relate to:</w:t>
            </w:r>
          </w:p>
          <w:p w14:paraId="00000AF8" w14:textId="77777777" w:rsidR="00EF68D0" w:rsidRDefault="43606BF1" w:rsidP="001360BB">
            <w:pPr>
              <w:numPr>
                <w:ilvl w:val="0"/>
                <w:numId w:val="178"/>
              </w:numPr>
              <w:rPr>
                <w:sz w:val="18"/>
                <w:szCs w:val="18"/>
              </w:rPr>
            </w:pPr>
            <w:r w:rsidRPr="5D8904BE">
              <w:rPr>
                <w:sz w:val="18"/>
                <w:szCs w:val="18"/>
              </w:rPr>
              <w:t xml:space="preserve">Support for </w:t>
            </w:r>
            <w:proofErr w:type="spellStart"/>
            <w:r w:rsidRPr="5D8904BE">
              <w:rPr>
                <w:sz w:val="18"/>
                <w:szCs w:val="18"/>
              </w:rPr>
              <w:t>sustainable</w:t>
            </w:r>
            <w:proofErr w:type="spellEnd"/>
            <w:r w:rsidRPr="5D8904BE">
              <w:rPr>
                <w:sz w:val="18"/>
                <w:szCs w:val="18"/>
              </w:rPr>
              <w:t xml:space="preserve"> </w:t>
            </w:r>
            <w:proofErr w:type="spellStart"/>
            <w:r w:rsidRPr="5D8904BE">
              <w:rPr>
                <w:sz w:val="18"/>
                <w:szCs w:val="18"/>
              </w:rPr>
              <w:t>urban</w:t>
            </w:r>
            <w:proofErr w:type="spellEnd"/>
            <w:r w:rsidRPr="5D8904BE">
              <w:rPr>
                <w:sz w:val="18"/>
                <w:szCs w:val="18"/>
              </w:rPr>
              <w:t xml:space="preserve"> planning</w:t>
            </w:r>
          </w:p>
          <w:p w14:paraId="00000AF9" w14:textId="77777777" w:rsidR="00EF68D0" w:rsidRPr="00263D2C" w:rsidRDefault="43606BF1" w:rsidP="001360BB">
            <w:pPr>
              <w:numPr>
                <w:ilvl w:val="0"/>
                <w:numId w:val="178"/>
              </w:numPr>
              <w:rPr>
                <w:sz w:val="18"/>
                <w:szCs w:val="18"/>
                <w:lang w:val="en-US"/>
              </w:rPr>
            </w:pPr>
            <w:r w:rsidRPr="5D8904BE">
              <w:rPr>
                <w:sz w:val="18"/>
                <w:szCs w:val="18"/>
                <w:lang w:val="en-US"/>
              </w:rPr>
              <w:t xml:space="preserve">The co-development of technical solutions (low-carbon transport, green belt, </w:t>
            </w:r>
            <w:proofErr w:type="spellStart"/>
            <w:r w:rsidRPr="5D8904BE">
              <w:rPr>
                <w:sz w:val="18"/>
                <w:szCs w:val="18"/>
                <w:lang w:val="en-US"/>
              </w:rPr>
              <w:t>SbN</w:t>
            </w:r>
            <w:proofErr w:type="spellEnd"/>
            <w:r w:rsidRPr="5D8904BE">
              <w:rPr>
                <w:sz w:val="18"/>
                <w:szCs w:val="18"/>
                <w:lang w:val="en-US"/>
              </w:rPr>
              <w:t>, etc.)</w:t>
            </w:r>
          </w:p>
          <w:p w14:paraId="00000AFA" w14:textId="77777777" w:rsidR="00EF68D0" w:rsidRDefault="43606BF1" w:rsidP="001360BB">
            <w:pPr>
              <w:numPr>
                <w:ilvl w:val="0"/>
                <w:numId w:val="178"/>
              </w:numPr>
              <w:rPr>
                <w:sz w:val="18"/>
                <w:szCs w:val="18"/>
              </w:rPr>
            </w:pPr>
            <w:proofErr w:type="spellStart"/>
            <w:r w:rsidRPr="5D8904BE">
              <w:rPr>
                <w:sz w:val="18"/>
                <w:szCs w:val="18"/>
              </w:rPr>
              <w:t>Knowledge</w:t>
            </w:r>
            <w:proofErr w:type="spellEnd"/>
            <w:r w:rsidRPr="5D8904BE">
              <w:rPr>
                <w:sz w:val="18"/>
                <w:szCs w:val="18"/>
              </w:rPr>
              <w:t xml:space="preserve"> or innovation </w:t>
            </w:r>
            <w:proofErr w:type="spellStart"/>
            <w:r w:rsidRPr="5D8904BE">
              <w:rPr>
                <w:sz w:val="18"/>
                <w:szCs w:val="18"/>
              </w:rPr>
              <w:t>transfer</w:t>
            </w:r>
            <w:proofErr w:type="spellEnd"/>
          </w:p>
          <w:p w14:paraId="00000AFB" w14:textId="77777777" w:rsidR="00EF68D0" w:rsidRDefault="43606BF1" w:rsidP="001360BB">
            <w:pPr>
              <w:numPr>
                <w:ilvl w:val="0"/>
                <w:numId w:val="178"/>
              </w:numPr>
              <w:rPr>
                <w:sz w:val="18"/>
                <w:szCs w:val="18"/>
              </w:rPr>
            </w:pPr>
            <w:proofErr w:type="spellStart"/>
            <w:r w:rsidRPr="5D8904BE">
              <w:rPr>
                <w:sz w:val="18"/>
                <w:szCs w:val="18"/>
              </w:rPr>
              <w:lastRenderedPageBreak/>
              <w:t>Mobilizing</w:t>
            </w:r>
            <w:proofErr w:type="spellEnd"/>
            <w:r w:rsidRPr="5D8904BE">
              <w:rPr>
                <w:sz w:val="18"/>
                <w:szCs w:val="18"/>
              </w:rPr>
              <w:t xml:space="preserve"> </w:t>
            </w:r>
            <w:proofErr w:type="spellStart"/>
            <w:r w:rsidRPr="5D8904BE">
              <w:rPr>
                <w:sz w:val="18"/>
                <w:szCs w:val="18"/>
              </w:rPr>
              <w:t>funding</w:t>
            </w:r>
            <w:proofErr w:type="spellEnd"/>
          </w:p>
          <w:p w14:paraId="00000AFC" w14:textId="77777777" w:rsidR="00EF68D0" w:rsidRPr="00263D2C" w:rsidRDefault="00EF68D0" w:rsidP="001360BB">
            <w:pPr>
              <w:numPr>
                <w:ilvl w:val="0"/>
                <w:numId w:val="178"/>
              </w:numPr>
              <w:rPr>
                <w:sz w:val="18"/>
                <w:szCs w:val="18"/>
                <w:lang w:val="en-US"/>
              </w:rPr>
            </w:pPr>
            <w:r w:rsidRPr="00263D2C">
              <w:rPr>
                <w:sz w:val="18"/>
                <w:szCs w:val="18"/>
                <w:lang w:val="en-US"/>
              </w:rPr>
              <w:t>Integration into thematic networks or coalitions of cities</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AFD" w14:textId="77777777" w:rsidR="00EF68D0" w:rsidRPr="00263D2C" w:rsidRDefault="00EF68D0" w:rsidP="00EF68D0">
            <w:pPr>
              <w:rPr>
                <w:sz w:val="18"/>
                <w:szCs w:val="18"/>
                <w:lang w:val="en-US"/>
              </w:rPr>
            </w:pPr>
            <w:r w:rsidRPr="00263D2C">
              <w:rPr>
                <w:sz w:val="18"/>
                <w:szCs w:val="18"/>
                <w:lang w:val="en-US"/>
              </w:rPr>
              <w:lastRenderedPageBreak/>
              <w:t>Counting of the number of partnerships (MoU, agreements, consortia, letters of intent or collaboration agreements) signed or implemented, distinguished between:</w:t>
            </w:r>
          </w:p>
          <w:p w14:paraId="00000AFE" w14:textId="77777777" w:rsidR="00EF68D0" w:rsidRPr="00263D2C" w:rsidRDefault="00EF68D0" w:rsidP="001360BB">
            <w:pPr>
              <w:numPr>
                <w:ilvl w:val="0"/>
                <w:numId w:val="166"/>
              </w:numPr>
              <w:rPr>
                <w:sz w:val="18"/>
                <w:szCs w:val="18"/>
                <w:lang w:val="en-US"/>
              </w:rPr>
            </w:pPr>
            <w:r w:rsidRPr="00263D2C">
              <w:rPr>
                <w:b/>
                <w:sz w:val="18"/>
                <w:szCs w:val="18"/>
                <w:lang w:val="en-US"/>
              </w:rPr>
              <w:t>National</w:t>
            </w:r>
            <w:r w:rsidRPr="00263D2C">
              <w:rPr>
                <w:sz w:val="18"/>
                <w:szCs w:val="18"/>
                <w:lang w:val="en-US"/>
              </w:rPr>
              <w:t xml:space="preserve"> (created directly by the project)</w:t>
            </w:r>
          </w:p>
          <w:p w14:paraId="00000AFF" w14:textId="77777777" w:rsidR="00EF68D0" w:rsidRPr="00263D2C" w:rsidRDefault="00EF68D0" w:rsidP="001360BB">
            <w:pPr>
              <w:numPr>
                <w:ilvl w:val="0"/>
                <w:numId w:val="166"/>
              </w:numPr>
              <w:rPr>
                <w:sz w:val="18"/>
                <w:szCs w:val="18"/>
                <w:lang w:val="en-US"/>
              </w:rPr>
            </w:pPr>
            <w:r w:rsidRPr="00263D2C">
              <w:rPr>
                <w:b/>
                <w:sz w:val="18"/>
                <w:szCs w:val="18"/>
                <w:lang w:val="en-US"/>
              </w:rPr>
              <w:lastRenderedPageBreak/>
              <w:t>International</w:t>
            </w:r>
            <w:r w:rsidRPr="00263D2C">
              <w:rPr>
                <w:sz w:val="18"/>
                <w:szCs w:val="18"/>
                <w:lang w:val="en-US"/>
              </w:rPr>
              <w:t xml:space="preserve"> (within or with the support of the GPSC Platform)</w:t>
            </w:r>
          </w:p>
          <w:p w14:paraId="00000B00" w14:textId="77777777" w:rsidR="00EF68D0" w:rsidRDefault="43606BF1" w:rsidP="00EF68D0">
            <w:pPr>
              <w:rPr>
                <w:sz w:val="18"/>
                <w:szCs w:val="18"/>
              </w:rPr>
            </w:pPr>
            <w:proofErr w:type="spellStart"/>
            <w:r w:rsidRPr="5D8904BE">
              <w:rPr>
                <w:sz w:val="18"/>
                <w:szCs w:val="18"/>
              </w:rPr>
              <w:t>Through</w:t>
            </w:r>
            <w:proofErr w:type="spellEnd"/>
            <w:r w:rsidRPr="5D8904BE">
              <w:rPr>
                <w:sz w:val="18"/>
                <w:szCs w:val="18"/>
              </w:rPr>
              <w:t xml:space="preserve"> the participation </w:t>
            </w:r>
            <w:proofErr w:type="gramStart"/>
            <w:r w:rsidRPr="5D8904BE">
              <w:rPr>
                <w:sz w:val="18"/>
                <w:szCs w:val="18"/>
              </w:rPr>
              <w:t>of:</w:t>
            </w:r>
            <w:proofErr w:type="gramEnd"/>
            <w:r w:rsidRPr="5D8904BE">
              <w:rPr>
                <w:sz w:val="18"/>
                <w:szCs w:val="18"/>
              </w:rPr>
              <w:t xml:space="preserve"> </w:t>
            </w:r>
          </w:p>
          <w:p w14:paraId="00000B01" w14:textId="77777777" w:rsidR="00EF68D0" w:rsidRDefault="00EF68D0" w:rsidP="001360BB">
            <w:pPr>
              <w:numPr>
                <w:ilvl w:val="0"/>
                <w:numId w:val="167"/>
              </w:numPr>
              <w:rPr>
                <w:sz w:val="18"/>
                <w:szCs w:val="18"/>
              </w:rPr>
            </w:pPr>
            <w:r>
              <w:rPr>
                <w:sz w:val="18"/>
                <w:szCs w:val="18"/>
              </w:rPr>
              <w:t>Project Management Unit</w:t>
            </w:r>
          </w:p>
          <w:p w14:paraId="00000B02" w14:textId="77777777" w:rsidR="00EF68D0" w:rsidRDefault="43606BF1" w:rsidP="001360BB">
            <w:pPr>
              <w:numPr>
                <w:ilvl w:val="0"/>
                <w:numId w:val="167"/>
              </w:numPr>
              <w:rPr>
                <w:sz w:val="18"/>
                <w:szCs w:val="18"/>
              </w:rPr>
            </w:pPr>
            <w:r w:rsidRPr="5D8904BE">
              <w:rPr>
                <w:sz w:val="18"/>
                <w:szCs w:val="18"/>
              </w:rPr>
              <w:t xml:space="preserve">Partner </w:t>
            </w:r>
            <w:proofErr w:type="spellStart"/>
            <w:r w:rsidRPr="5D8904BE">
              <w:rPr>
                <w:sz w:val="18"/>
                <w:szCs w:val="18"/>
              </w:rPr>
              <w:t>Departments</w:t>
            </w:r>
            <w:proofErr w:type="spellEnd"/>
            <w:r w:rsidRPr="5D8904BE">
              <w:rPr>
                <w:sz w:val="18"/>
                <w:szCs w:val="18"/>
              </w:rPr>
              <w:t xml:space="preserve"> and </w:t>
            </w:r>
            <w:proofErr w:type="spellStart"/>
            <w:r w:rsidRPr="5D8904BE">
              <w:rPr>
                <w:sz w:val="18"/>
                <w:szCs w:val="18"/>
              </w:rPr>
              <w:t>Agencies</w:t>
            </w:r>
            <w:proofErr w:type="spellEnd"/>
          </w:p>
          <w:p w14:paraId="00000B03" w14:textId="77777777" w:rsidR="00EF68D0" w:rsidRPr="00263D2C" w:rsidRDefault="00EF68D0" w:rsidP="001360BB">
            <w:pPr>
              <w:numPr>
                <w:ilvl w:val="0"/>
                <w:numId w:val="167"/>
              </w:numPr>
              <w:rPr>
                <w:sz w:val="18"/>
                <w:szCs w:val="18"/>
                <w:lang w:val="en-US"/>
              </w:rPr>
            </w:pPr>
            <w:r w:rsidRPr="00263D2C">
              <w:rPr>
                <w:sz w:val="18"/>
                <w:szCs w:val="18"/>
                <w:lang w:val="en-US"/>
              </w:rPr>
              <w:t>Secretariat or documentation of the Platform ̈PMVD</w:t>
            </w:r>
          </w:p>
          <w:p w14:paraId="00000B04" w14:textId="77777777" w:rsidR="00EF68D0" w:rsidRPr="00B7771B" w:rsidRDefault="00EF68D0" w:rsidP="001360BB">
            <w:pPr>
              <w:numPr>
                <w:ilvl w:val="0"/>
                <w:numId w:val="167"/>
              </w:numPr>
              <w:rPr>
                <w:sz w:val="18"/>
                <w:szCs w:val="18"/>
                <w:lang w:val="en-US"/>
              </w:rPr>
            </w:pPr>
            <w:r w:rsidRPr="00B7771B">
              <w:rPr>
                <w:sz w:val="18"/>
                <w:szCs w:val="18"/>
                <w:lang w:val="en-US"/>
              </w:rPr>
              <w:t>Non-state actors (NGOs, companies, researchers, etc.)</w:t>
            </w:r>
          </w:p>
          <w:p w14:paraId="00000B05" w14:textId="77777777" w:rsidR="00EF68D0" w:rsidRPr="00B7771B" w:rsidRDefault="00EF68D0" w:rsidP="00EF68D0">
            <w:pPr>
              <w:rPr>
                <w:sz w:val="18"/>
                <w:szCs w:val="18"/>
                <w:lang w:val="en-US"/>
              </w:rPr>
            </w:pPr>
          </w:p>
          <w:p w14:paraId="00000B06" w14:textId="77777777" w:rsidR="00EF68D0" w:rsidRPr="00B7771B" w:rsidRDefault="00EF68D0" w:rsidP="00EF68D0">
            <w:pPr>
              <w:rPr>
                <w:sz w:val="18"/>
                <w:szCs w:val="18"/>
                <w:lang w:val="en-U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B07" w14:textId="77777777" w:rsidR="00EF68D0" w:rsidRPr="00B7771B" w:rsidRDefault="00EF68D0" w:rsidP="00EF68D0">
            <w:pPr>
              <w:rPr>
                <w:sz w:val="18"/>
                <w:szCs w:val="18"/>
                <w:lang w:val="en-US"/>
              </w:rPr>
            </w:pPr>
            <w:r w:rsidRPr="00B7771B">
              <w:rPr>
                <w:sz w:val="18"/>
                <w:szCs w:val="18"/>
                <w:lang w:val="en-US"/>
              </w:rPr>
              <w:lastRenderedPageBreak/>
              <w:t>Annually</w:t>
            </w:r>
          </w:p>
          <w:p w14:paraId="00000B08" w14:textId="23C66B9B" w:rsidR="00EF68D0" w:rsidRPr="00263D2C" w:rsidRDefault="00EF68D0" w:rsidP="00EF68D0">
            <w:pPr>
              <w:rPr>
                <w:sz w:val="18"/>
                <w:szCs w:val="18"/>
                <w:lang w:val="en-US"/>
              </w:rPr>
            </w:pPr>
            <w:r w:rsidRPr="00263D2C">
              <w:rPr>
                <w:sz w:val="18"/>
                <w:szCs w:val="18"/>
                <w:lang w:val="en-US"/>
              </w:rPr>
              <w:t xml:space="preserve">Reported in the GEF </w:t>
            </w:r>
            <w:r w:rsidR="00E34E1F">
              <w:rPr>
                <w:sz w:val="18"/>
                <w:szCs w:val="18"/>
                <w:lang w:val="en-US"/>
              </w:rPr>
              <w:t>PIR</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B09" w14:textId="733B10E2" w:rsidR="00EF68D0" w:rsidRPr="003C5C1B" w:rsidRDefault="00EF68D0" w:rsidP="00EF68D0">
            <w:pPr>
              <w:rPr>
                <w:sz w:val="18"/>
                <w:szCs w:val="18"/>
                <w:lang w:val="en-US"/>
              </w:rPr>
            </w:pPr>
            <w:r w:rsidRPr="003C5C1B">
              <w:rPr>
                <w:sz w:val="18"/>
                <w:szCs w:val="18"/>
                <w:lang w:val="en-US"/>
              </w:rPr>
              <w:t>PMU</w:t>
            </w:r>
            <w:r w:rsidR="00FD0874" w:rsidRPr="003C5C1B">
              <w:rPr>
                <w:sz w:val="18"/>
                <w:szCs w:val="18"/>
                <w:lang w:val="en-US"/>
              </w:rPr>
              <w:t xml:space="preserve"> </w:t>
            </w:r>
            <w:r w:rsidR="00FD0874">
              <w:rPr>
                <w:i/>
                <w:iCs/>
                <w:sz w:val="18"/>
                <w:szCs w:val="18"/>
                <w:lang w:val="en-US"/>
              </w:rPr>
              <w:t>(</w:t>
            </w:r>
            <w:proofErr w:type="gramStart"/>
            <w:r w:rsidR="00FD0874">
              <w:rPr>
                <w:i/>
                <w:iCs/>
                <w:sz w:val="18"/>
                <w:szCs w:val="18"/>
                <w:lang w:val="en-US"/>
              </w:rPr>
              <w:t>PM ,</w:t>
            </w:r>
            <w:proofErr w:type="gramEnd"/>
            <w:r w:rsidR="00FD0874">
              <w:rPr>
                <w:i/>
                <w:iCs/>
                <w:sz w:val="18"/>
                <w:szCs w:val="18"/>
                <w:lang w:val="en-US"/>
              </w:rPr>
              <w:t xml:space="preserve"> </w:t>
            </w:r>
            <w:r w:rsidR="00FD0874" w:rsidRPr="00345A71">
              <w:rPr>
                <w:i/>
                <w:iCs/>
                <w:sz w:val="18"/>
                <w:szCs w:val="18"/>
                <w:lang w:val="en-US"/>
              </w:rPr>
              <w:t xml:space="preserve"> M&amp;E</w:t>
            </w:r>
            <w:r w:rsidR="00FD0874">
              <w:rPr>
                <w:i/>
                <w:iCs/>
                <w:sz w:val="18"/>
                <w:szCs w:val="18"/>
                <w:lang w:val="en-US"/>
              </w:rPr>
              <w:t xml:space="preserve"> and KM)</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B0A" w14:textId="77777777" w:rsidR="00EF68D0" w:rsidRDefault="43606BF1" w:rsidP="001360BB">
            <w:pPr>
              <w:numPr>
                <w:ilvl w:val="0"/>
                <w:numId w:val="168"/>
              </w:numPr>
              <w:ind w:left="292" w:hanging="283"/>
              <w:rPr>
                <w:sz w:val="18"/>
                <w:szCs w:val="18"/>
              </w:rPr>
            </w:pPr>
            <w:r w:rsidRPr="5D8904BE">
              <w:rPr>
                <w:sz w:val="18"/>
                <w:szCs w:val="18"/>
              </w:rPr>
              <w:t xml:space="preserve">Memoranda of </w:t>
            </w:r>
            <w:proofErr w:type="spellStart"/>
            <w:r w:rsidRPr="5D8904BE">
              <w:rPr>
                <w:sz w:val="18"/>
                <w:szCs w:val="18"/>
              </w:rPr>
              <w:t>Understanding</w:t>
            </w:r>
            <w:proofErr w:type="spellEnd"/>
            <w:r w:rsidRPr="5D8904BE">
              <w:rPr>
                <w:sz w:val="18"/>
                <w:szCs w:val="18"/>
              </w:rPr>
              <w:t xml:space="preserve"> </w:t>
            </w:r>
            <w:proofErr w:type="spellStart"/>
            <w:r w:rsidRPr="5D8904BE">
              <w:rPr>
                <w:sz w:val="18"/>
                <w:szCs w:val="18"/>
              </w:rPr>
              <w:t>signed</w:t>
            </w:r>
            <w:proofErr w:type="spellEnd"/>
          </w:p>
          <w:p w14:paraId="00000B0B" w14:textId="0E1AE763" w:rsidR="00EF68D0" w:rsidRPr="00263D2C" w:rsidRDefault="00EF68D0" w:rsidP="001360BB">
            <w:pPr>
              <w:numPr>
                <w:ilvl w:val="0"/>
                <w:numId w:val="168"/>
              </w:numPr>
              <w:ind w:left="292" w:hanging="283"/>
              <w:rPr>
                <w:sz w:val="18"/>
                <w:szCs w:val="18"/>
                <w:lang w:val="en-US"/>
              </w:rPr>
            </w:pPr>
            <w:r w:rsidRPr="00263D2C">
              <w:rPr>
                <w:sz w:val="18"/>
                <w:szCs w:val="18"/>
                <w:lang w:val="en-US"/>
              </w:rPr>
              <w:t>Project and</w:t>
            </w:r>
            <w:r w:rsidR="00097CB0">
              <w:rPr>
                <w:sz w:val="18"/>
                <w:szCs w:val="18"/>
                <w:lang w:val="en-US"/>
              </w:rPr>
              <w:t xml:space="preserve"> </w:t>
            </w:r>
            <w:r w:rsidR="00E26B34">
              <w:rPr>
                <w:sz w:val="18"/>
                <w:szCs w:val="18"/>
                <w:lang w:val="en-US"/>
              </w:rPr>
              <w:t>GPSC</w:t>
            </w:r>
            <w:r w:rsidRPr="00263D2C">
              <w:rPr>
                <w:sz w:val="18"/>
                <w:szCs w:val="18"/>
                <w:lang w:val="en-US"/>
              </w:rPr>
              <w:t xml:space="preserve"> Platform Activity Reports</w:t>
            </w:r>
          </w:p>
          <w:p w14:paraId="00000B0C" w14:textId="77777777" w:rsidR="00EF68D0" w:rsidRPr="00263D2C" w:rsidRDefault="00EF68D0" w:rsidP="001360BB">
            <w:pPr>
              <w:numPr>
                <w:ilvl w:val="0"/>
                <w:numId w:val="168"/>
              </w:numPr>
              <w:ind w:left="292" w:hanging="283"/>
              <w:rPr>
                <w:sz w:val="18"/>
                <w:szCs w:val="18"/>
                <w:lang w:val="en-US"/>
              </w:rPr>
            </w:pPr>
            <w:r w:rsidRPr="00263D2C">
              <w:rPr>
                <w:sz w:val="18"/>
                <w:szCs w:val="18"/>
                <w:lang w:val="en-US"/>
              </w:rPr>
              <w:lastRenderedPageBreak/>
              <w:t>Reports of participation in international events</w:t>
            </w:r>
          </w:p>
          <w:p w14:paraId="00000B0D" w14:textId="77777777" w:rsidR="00EF68D0" w:rsidRPr="00263D2C" w:rsidRDefault="00EF68D0" w:rsidP="001360BB">
            <w:pPr>
              <w:numPr>
                <w:ilvl w:val="0"/>
                <w:numId w:val="168"/>
              </w:numPr>
              <w:ind w:left="292" w:hanging="283"/>
              <w:rPr>
                <w:sz w:val="18"/>
                <w:szCs w:val="18"/>
                <w:lang w:val="en-US"/>
              </w:rPr>
            </w:pPr>
            <w:r w:rsidRPr="00263D2C">
              <w:rPr>
                <w:sz w:val="18"/>
                <w:szCs w:val="18"/>
                <w:lang w:val="en-US"/>
              </w:rPr>
              <w:t>Monitoring of multi-stakeholder commitments (technical, financial, institutional)</w:t>
            </w:r>
          </w:p>
          <w:p w14:paraId="00000B0E" w14:textId="77777777" w:rsidR="00EF68D0" w:rsidRPr="00263D2C" w:rsidRDefault="00EF68D0" w:rsidP="00EF68D0">
            <w:pPr>
              <w:rPr>
                <w:sz w:val="18"/>
                <w:szCs w:val="18"/>
                <w:lang w:val="en-US"/>
              </w:rPr>
            </w:pPr>
          </w:p>
        </w:tc>
      </w:tr>
      <w:tr w:rsidR="00EF68D0" w14:paraId="4657A896" w14:textId="77777777" w:rsidTr="2DC80E69">
        <w:trPr>
          <w:gridAfter w:val="1"/>
          <w:wAfter w:w="35" w:type="dxa"/>
          <w:trHeight w:val="20"/>
          <w:jc w:val="center"/>
        </w:trPr>
        <w:tc>
          <w:tcPr>
            <w:tcW w:w="1129" w:type="dxa"/>
            <w:vMerge w:val="restart"/>
            <w:tcBorders>
              <w:top w:val="single" w:sz="4" w:space="0" w:color="000000" w:themeColor="text1"/>
              <w:left w:val="single" w:sz="4" w:space="0" w:color="000000" w:themeColor="text1"/>
              <w:right w:val="single" w:sz="4" w:space="0" w:color="000000" w:themeColor="text1"/>
            </w:tcBorders>
            <w:vAlign w:val="center"/>
          </w:tcPr>
          <w:p w14:paraId="00000B0F" w14:textId="6F5409C4" w:rsidR="00EF68D0" w:rsidRPr="00263D2C" w:rsidRDefault="00EF68D0" w:rsidP="00EF68D0">
            <w:pPr>
              <w:rPr>
                <w:sz w:val="18"/>
                <w:szCs w:val="18"/>
                <w:lang w:val="en-US"/>
              </w:rPr>
            </w:pPr>
            <w:r w:rsidRPr="53AE587F">
              <w:rPr>
                <w:b/>
                <w:bCs/>
                <w:sz w:val="18"/>
                <w:szCs w:val="18"/>
                <w:lang w:val="en-US"/>
              </w:rPr>
              <w:lastRenderedPageBreak/>
              <w:t>Outcome 5.1</w:t>
            </w:r>
          </w:p>
          <w:p w14:paraId="00000B10" w14:textId="57B032F6" w:rsidR="00EF68D0" w:rsidRPr="00263D2C" w:rsidRDefault="17DF0864" w:rsidP="00EF68D0">
            <w:pPr>
              <w:rPr>
                <w:sz w:val="18"/>
                <w:szCs w:val="18"/>
                <w:lang w:val="en-US"/>
              </w:rPr>
            </w:pPr>
            <w:r w:rsidRPr="537FA187">
              <w:rPr>
                <w:sz w:val="18"/>
                <w:szCs w:val="18"/>
                <w:lang w:val="en-US"/>
              </w:rPr>
              <w:t xml:space="preserve">An effective project implementation framework is </w:t>
            </w:r>
            <w:r w:rsidR="30D41B93" w:rsidRPr="537FA187">
              <w:rPr>
                <w:sz w:val="18"/>
                <w:szCs w:val="18"/>
                <w:lang w:val="en-US"/>
              </w:rPr>
              <w:t>established</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00000B11" w14:textId="2C674113" w:rsidR="00EF68D0" w:rsidRPr="00263D2C" w:rsidRDefault="00EF68D0" w:rsidP="00EF68D0">
            <w:pPr>
              <w:rPr>
                <w:sz w:val="18"/>
                <w:szCs w:val="18"/>
                <w:lang w:val="en-US"/>
              </w:rPr>
            </w:pPr>
            <w:r w:rsidRPr="00263D2C">
              <w:rPr>
                <w:i/>
                <w:sz w:val="18"/>
                <w:szCs w:val="18"/>
                <w:u w:val="single"/>
                <w:lang w:val="en-US"/>
              </w:rPr>
              <w:t xml:space="preserve">Indicator </w:t>
            </w:r>
            <w:r w:rsidR="0030550D">
              <w:rPr>
                <w:i/>
                <w:sz w:val="18"/>
                <w:szCs w:val="18"/>
                <w:u w:val="single"/>
                <w:lang w:val="en-US"/>
              </w:rPr>
              <w:t>18</w:t>
            </w:r>
            <w:r w:rsidRPr="00263D2C">
              <w:rPr>
                <w:i/>
                <w:sz w:val="18"/>
                <w:szCs w:val="18"/>
                <w:lang w:val="en-US"/>
              </w:rPr>
              <w:t xml:space="preserve">: </w:t>
            </w:r>
          </w:p>
          <w:p w14:paraId="00000B12" w14:textId="1D8CB78D" w:rsidR="00EF68D0" w:rsidRPr="00263D2C" w:rsidRDefault="21CFA972" w:rsidP="00EF68D0">
            <w:pPr>
              <w:rPr>
                <w:sz w:val="18"/>
                <w:szCs w:val="18"/>
                <w:lang w:val="en-US"/>
              </w:rPr>
            </w:pPr>
            <w:r w:rsidRPr="3585F9A1">
              <w:rPr>
                <w:i/>
                <w:iCs/>
                <w:sz w:val="18"/>
                <w:szCs w:val="18"/>
                <w:lang w:val="en-US"/>
              </w:rPr>
              <w:t xml:space="preserve">% of the project budget is </w:t>
            </w:r>
            <w:r w:rsidR="1DF147E9" w:rsidRPr="3585F9A1">
              <w:rPr>
                <w:i/>
                <w:iCs/>
                <w:sz w:val="18"/>
                <w:szCs w:val="18"/>
                <w:lang w:val="en-US"/>
              </w:rPr>
              <w:t>delivered</w:t>
            </w:r>
          </w:p>
          <w:p w14:paraId="00000B13" w14:textId="77777777" w:rsidR="00EF68D0" w:rsidRPr="00263D2C" w:rsidRDefault="00EF68D0" w:rsidP="00EF68D0">
            <w:pPr>
              <w:rPr>
                <w:sz w:val="18"/>
                <w:szCs w:val="18"/>
                <w:lang w:val="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B14" w14:textId="77777777" w:rsidR="00EF68D0" w:rsidRDefault="43606BF1" w:rsidP="00EF68D0">
            <w:pPr>
              <w:rPr>
                <w:sz w:val="18"/>
                <w:szCs w:val="18"/>
              </w:rPr>
            </w:pPr>
            <w:r w:rsidRPr="5D8904BE">
              <w:rPr>
                <w:i/>
                <w:iCs/>
                <w:sz w:val="18"/>
                <w:szCs w:val="18"/>
              </w:rPr>
              <w:t xml:space="preserve">40% at the </w:t>
            </w:r>
            <w:proofErr w:type="spellStart"/>
            <w:r w:rsidRPr="5D8904BE">
              <w:rPr>
                <w:i/>
                <w:iCs/>
                <w:sz w:val="18"/>
                <w:szCs w:val="18"/>
              </w:rPr>
              <w:t>halfway</w:t>
            </w:r>
            <w:proofErr w:type="spellEnd"/>
            <w:r w:rsidRPr="5D8904BE">
              <w:rPr>
                <w:i/>
                <w:iCs/>
                <w:sz w:val="18"/>
                <w:szCs w:val="18"/>
              </w:rPr>
              <w:t xml:space="preserve"> point</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B15" w14:textId="77777777" w:rsidR="00EF68D0" w:rsidRDefault="43606BF1" w:rsidP="00EF68D0">
            <w:pPr>
              <w:rPr>
                <w:sz w:val="18"/>
                <w:szCs w:val="18"/>
              </w:rPr>
            </w:pPr>
            <w:r w:rsidRPr="5D8904BE">
              <w:rPr>
                <w:i/>
                <w:iCs/>
                <w:sz w:val="18"/>
                <w:szCs w:val="18"/>
              </w:rPr>
              <w:t xml:space="preserve">100% at </w:t>
            </w:r>
            <w:proofErr w:type="spellStart"/>
            <w:r w:rsidRPr="5D8904BE">
              <w:rPr>
                <w:i/>
                <w:iCs/>
                <w:sz w:val="18"/>
                <w:szCs w:val="18"/>
              </w:rPr>
              <w:t>project</w:t>
            </w:r>
            <w:proofErr w:type="spellEnd"/>
            <w:r w:rsidRPr="5D8904BE">
              <w:rPr>
                <w:i/>
                <w:iCs/>
                <w:sz w:val="18"/>
                <w:szCs w:val="18"/>
              </w:rPr>
              <w:t xml:space="preserve"> </w:t>
            </w:r>
            <w:proofErr w:type="spellStart"/>
            <w:r w:rsidRPr="5D8904BE">
              <w:rPr>
                <w:i/>
                <w:iCs/>
                <w:sz w:val="18"/>
                <w:szCs w:val="18"/>
              </w:rPr>
              <w:t>closure</w:t>
            </w:r>
            <w:proofErr w:type="spellEnd"/>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B16" w14:textId="77777777" w:rsidR="00EF68D0" w:rsidRPr="00263D2C" w:rsidRDefault="43606BF1" w:rsidP="00EF68D0">
            <w:pPr>
              <w:rPr>
                <w:sz w:val="18"/>
                <w:szCs w:val="18"/>
                <w:lang w:val="en-US"/>
              </w:rPr>
            </w:pPr>
            <w:r w:rsidRPr="5D8904BE">
              <w:rPr>
                <w:sz w:val="18"/>
                <w:szCs w:val="18"/>
                <w:lang w:val="en-US"/>
              </w:rPr>
              <w:t>This indicator measures the actual level of consumption of the total budget allocated to the project, reflecting financial management capacity, good expenditure planning and operational efficiency.</w:t>
            </w:r>
          </w:p>
          <w:p w14:paraId="00000B17" w14:textId="77777777" w:rsidR="00EF68D0" w:rsidRPr="00263D2C" w:rsidRDefault="43606BF1" w:rsidP="00EF68D0">
            <w:pPr>
              <w:rPr>
                <w:sz w:val="18"/>
                <w:szCs w:val="18"/>
                <w:lang w:val="en-US"/>
              </w:rPr>
            </w:pPr>
            <w:r w:rsidRPr="5D8904BE">
              <w:rPr>
                <w:sz w:val="18"/>
                <w:szCs w:val="18"/>
                <w:lang w:val="en-US"/>
              </w:rPr>
              <w:t>It monitors the financial performance of the project in relation to the completion of planned activities and compliance with donor rules. A good absorption rate is also a positive signal for the confidence of partners.</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B18" w14:textId="392B7EC8" w:rsidR="00EF68D0" w:rsidRPr="00263D2C" w:rsidRDefault="00EF68D0" w:rsidP="00EF68D0">
            <w:pPr>
              <w:rPr>
                <w:i/>
                <w:sz w:val="18"/>
                <w:szCs w:val="18"/>
                <w:lang w:val="en-US"/>
              </w:rPr>
            </w:pPr>
            <w:r w:rsidRPr="00263D2C">
              <w:rPr>
                <w:sz w:val="18"/>
                <w:szCs w:val="18"/>
                <w:lang w:val="en-US"/>
              </w:rPr>
              <w:t xml:space="preserve">% of budget </w:t>
            </w:r>
            <w:r w:rsidR="00D3540A">
              <w:rPr>
                <w:sz w:val="18"/>
                <w:szCs w:val="18"/>
                <w:lang w:val="en-US"/>
              </w:rPr>
              <w:t>delivery</w:t>
            </w:r>
            <w:r w:rsidR="00D3540A" w:rsidRPr="00263D2C">
              <w:rPr>
                <w:sz w:val="18"/>
                <w:szCs w:val="18"/>
                <w:lang w:val="en-US"/>
              </w:rPr>
              <w:t xml:space="preserve"> </w:t>
            </w:r>
            <w:r w:rsidRPr="00263D2C">
              <w:rPr>
                <w:sz w:val="18"/>
                <w:szCs w:val="18"/>
                <w:lang w:val="en-US"/>
              </w:rPr>
              <w:t>=</w:t>
            </w:r>
            <w:r w:rsidRPr="00263D2C">
              <w:rPr>
                <w:sz w:val="18"/>
                <w:szCs w:val="18"/>
                <w:lang w:val="en-US"/>
              </w:rPr>
              <w:br/>
            </w:r>
            <w:r w:rsidRPr="00263D2C">
              <w:rPr>
                <w:i/>
                <w:sz w:val="18"/>
                <w:szCs w:val="18"/>
                <w:lang w:val="en-US"/>
              </w:rPr>
              <w:t>(Total amount of certified expenditure / Total planned budget) × 100 through:</w:t>
            </w:r>
          </w:p>
          <w:p w14:paraId="00000B19" w14:textId="77777777" w:rsidR="00EF68D0" w:rsidRPr="00263D2C" w:rsidRDefault="00EF68D0" w:rsidP="001360BB">
            <w:pPr>
              <w:numPr>
                <w:ilvl w:val="0"/>
                <w:numId w:val="169"/>
              </w:numPr>
              <w:rPr>
                <w:sz w:val="18"/>
                <w:szCs w:val="18"/>
                <w:lang w:val="en-US"/>
              </w:rPr>
            </w:pPr>
            <w:r w:rsidRPr="00263D2C">
              <w:rPr>
                <w:sz w:val="18"/>
                <w:szCs w:val="18"/>
                <w:lang w:val="en-US"/>
              </w:rPr>
              <w:t>Review of the project's financial statements</w:t>
            </w:r>
          </w:p>
          <w:p w14:paraId="00000B1A" w14:textId="77777777" w:rsidR="00EF68D0" w:rsidRPr="00263D2C" w:rsidRDefault="00EF68D0" w:rsidP="001360BB">
            <w:pPr>
              <w:numPr>
                <w:ilvl w:val="0"/>
                <w:numId w:val="169"/>
              </w:numPr>
              <w:rPr>
                <w:sz w:val="18"/>
                <w:szCs w:val="18"/>
                <w:lang w:val="en-US"/>
              </w:rPr>
            </w:pPr>
            <w:r w:rsidRPr="00263D2C">
              <w:rPr>
                <w:sz w:val="18"/>
                <w:szCs w:val="18"/>
                <w:lang w:val="en-US"/>
              </w:rPr>
              <w:t>Quarterly and annual budget implementation reports</w:t>
            </w:r>
          </w:p>
          <w:p w14:paraId="00000B1B" w14:textId="77777777" w:rsidR="00EF68D0" w:rsidRDefault="43606BF1" w:rsidP="001360BB">
            <w:pPr>
              <w:numPr>
                <w:ilvl w:val="0"/>
                <w:numId w:val="169"/>
              </w:numPr>
              <w:rPr>
                <w:sz w:val="18"/>
                <w:szCs w:val="18"/>
              </w:rPr>
            </w:pPr>
            <w:proofErr w:type="spellStart"/>
            <w:r w:rsidRPr="5D8904BE">
              <w:rPr>
                <w:sz w:val="18"/>
                <w:szCs w:val="18"/>
              </w:rPr>
              <w:t>Internal</w:t>
            </w:r>
            <w:proofErr w:type="spellEnd"/>
            <w:r w:rsidRPr="5D8904BE">
              <w:rPr>
                <w:sz w:val="18"/>
                <w:szCs w:val="18"/>
              </w:rPr>
              <w:t xml:space="preserve"> Audits and Audits</w:t>
            </w:r>
          </w:p>
          <w:p w14:paraId="00000B1C" w14:textId="77777777" w:rsidR="00EF68D0" w:rsidRDefault="43606BF1" w:rsidP="001360BB">
            <w:pPr>
              <w:numPr>
                <w:ilvl w:val="0"/>
                <w:numId w:val="169"/>
              </w:numPr>
              <w:rPr>
                <w:sz w:val="18"/>
                <w:szCs w:val="18"/>
              </w:rPr>
            </w:pPr>
            <w:r w:rsidRPr="5D8904BE">
              <w:rPr>
                <w:sz w:val="18"/>
                <w:szCs w:val="18"/>
              </w:rPr>
              <w:t xml:space="preserve">Project budget </w:t>
            </w:r>
            <w:proofErr w:type="spellStart"/>
            <w:r w:rsidRPr="5D8904BE">
              <w:rPr>
                <w:sz w:val="18"/>
                <w:szCs w:val="18"/>
              </w:rPr>
              <w:t>tracking</w:t>
            </w:r>
            <w:proofErr w:type="spellEnd"/>
            <w:r w:rsidRPr="5D8904BE">
              <w:rPr>
                <w:sz w:val="18"/>
                <w:szCs w:val="18"/>
              </w:rPr>
              <w:t xml:space="preserve"> </w:t>
            </w:r>
            <w:proofErr w:type="spellStart"/>
            <w:r w:rsidRPr="5D8904BE">
              <w:rPr>
                <w:sz w:val="18"/>
                <w:szCs w:val="18"/>
              </w:rPr>
              <w:t>database</w:t>
            </w:r>
            <w:proofErr w:type="spellEnd"/>
          </w:p>
          <w:p w14:paraId="00000B1D" w14:textId="77777777" w:rsidR="00EF68D0" w:rsidRDefault="00EF68D0" w:rsidP="00EF68D0">
            <w:pPr>
              <w:rPr>
                <w:sz w:val="18"/>
                <w:szCs w:val="18"/>
              </w:rPr>
            </w:pPr>
          </w:p>
          <w:p w14:paraId="00000B1E" w14:textId="77777777" w:rsidR="00EF68D0" w:rsidRDefault="00EF68D0" w:rsidP="00EF68D0">
            <w:pPr>
              <w:rPr>
                <w:sz w:val="18"/>
                <w:szCs w:val="18"/>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B1F" w14:textId="77777777" w:rsidR="00EF68D0" w:rsidRDefault="00EF68D0" w:rsidP="00EF68D0">
            <w:pPr>
              <w:rPr>
                <w:sz w:val="18"/>
                <w:szCs w:val="18"/>
              </w:rPr>
            </w:pPr>
            <w:proofErr w:type="spellStart"/>
            <w:r>
              <w:rPr>
                <w:sz w:val="18"/>
                <w:szCs w:val="18"/>
              </w:rPr>
              <w:t>Annually</w:t>
            </w:r>
            <w:proofErr w:type="spellEnd"/>
          </w:p>
          <w:p w14:paraId="00000B20" w14:textId="77777777" w:rsidR="00EF68D0" w:rsidRDefault="00EF68D0" w:rsidP="00EF68D0">
            <w:pPr>
              <w:rPr>
                <w:sz w:val="18"/>
                <w:szCs w:val="1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B21" w14:textId="09662BDC" w:rsidR="00EF68D0" w:rsidRPr="003C5C1B" w:rsidRDefault="00EF68D0" w:rsidP="00EF68D0">
            <w:pPr>
              <w:rPr>
                <w:sz w:val="18"/>
                <w:szCs w:val="18"/>
                <w:lang w:val="en-US"/>
              </w:rPr>
            </w:pPr>
            <w:r w:rsidRPr="003C5C1B">
              <w:rPr>
                <w:sz w:val="18"/>
                <w:szCs w:val="18"/>
                <w:lang w:val="en-US"/>
              </w:rPr>
              <w:t>PMU</w:t>
            </w:r>
            <w:r w:rsidR="00726C6E" w:rsidRPr="003C5C1B">
              <w:rPr>
                <w:sz w:val="18"/>
                <w:szCs w:val="18"/>
                <w:lang w:val="en-US"/>
              </w:rPr>
              <w:t xml:space="preserve"> </w:t>
            </w:r>
            <w:r w:rsidR="00726C6E">
              <w:rPr>
                <w:i/>
                <w:iCs/>
                <w:sz w:val="18"/>
                <w:szCs w:val="18"/>
                <w:lang w:val="en-US"/>
              </w:rPr>
              <w:t>(PM and</w:t>
            </w:r>
            <w:r w:rsidR="00726C6E" w:rsidRPr="00345A71">
              <w:rPr>
                <w:i/>
                <w:iCs/>
                <w:sz w:val="18"/>
                <w:szCs w:val="18"/>
                <w:lang w:val="en-US"/>
              </w:rPr>
              <w:t xml:space="preserve"> M&amp;</w:t>
            </w:r>
            <w:proofErr w:type="gramStart"/>
            <w:r w:rsidR="00726C6E" w:rsidRPr="00345A71">
              <w:rPr>
                <w:i/>
                <w:iCs/>
                <w:sz w:val="18"/>
                <w:szCs w:val="18"/>
                <w:lang w:val="en-US"/>
              </w:rPr>
              <w:t>E</w:t>
            </w:r>
            <w:r w:rsidR="00726C6E">
              <w:rPr>
                <w:i/>
                <w:iCs/>
                <w:sz w:val="18"/>
                <w:szCs w:val="18"/>
                <w:lang w:val="en-US"/>
              </w:rPr>
              <w:t xml:space="preserve"> )</w:t>
            </w:r>
            <w:proofErr w:type="gramEnd"/>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B22" w14:textId="77777777" w:rsidR="00EF68D0" w:rsidRDefault="43606BF1" w:rsidP="00EF68D0">
            <w:pPr>
              <w:rPr>
                <w:sz w:val="18"/>
                <w:szCs w:val="18"/>
              </w:rPr>
            </w:pPr>
            <w:r w:rsidRPr="5D8904BE">
              <w:rPr>
                <w:sz w:val="18"/>
                <w:szCs w:val="18"/>
              </w:rPr>
              <w:t xml:space="preserve">Financial </w:t>
            </w:r>
            <w:proofErr w:type="spellStart"/>
            <w:r w:rsidRPr="5D8904BE">
              <w:rPr>
                <w:sz w:val="18"/>
                <w:szCs w:val="18"/>
              </w:rPr>
              <w:t>Reporting</w:t>
            </w:r>
            <w:proofErr w:type="spellEnd"/>
          </w:p>
          <w:p w14:paraId="00000B23" w14:textId="77777777" w:rsidR="00EF68D0" w:rsidRDefault="00EF68D0" w:rsidP="00EF68D0">
            <w:pPr>
              <w:rPr>
                <w:sz w:val="18"/>
                <w:szCs w:val="18"/>
              </w:rPr>
            </w:pPr>
          </w:p>
        </w:tc>
      </w:tr>
      <w:tr w:rsidR="00EF68D0" w14:paraId="2BEB5F54" w14:textId="77777777" w:rsidTr="2DC80E69">
        <w:trPr>
          <w:gridAfter w:val="1"/>
          <w:wAfter w:w="35" w:type="dxa"/>
          <w:trHeight w:val="20"/>
          <w:jc w:val="center"/>
        </w:trPr>
        <w:tc>
          <w:tcPr>
            <w:tcW w:w="1129" w:type="dxa"/>
            <w:vMerge/>
            <w:vAlign w:val="center"/>
          </w:tcPr>
          <w:p w14:paraId="00000B24" w14:textId="77777777" w:rsidR="00EF68D0" w:rsidRDefault="00EF68D0" w:rsidP="00EF68D0">
            <w:pPr>
              <w:widowControl w:val="0"/>
              <w:pBdr>
                <w:top w:val="nil"/>
                <w:left w:val="nil"/>
                <w:bottom w:val="nil"/>
                <w:right w:val="nil"/>
                <w:between w:val="nil"/>
              </w:pBdr>
              <w:spacing w:after="0" w:line="276" w:lineRule="auto"/>
              <w:rPr>
                <w:sz w:val="18"/>
                <w:szCs w:val="1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B25" w14:textId="1038361E" w:rsidR="00EF68D0" w:rsidRPr="00263D2C" w:rsidRDefault="43606BF1" w:rsidP="00EF68D0">
            <w:pPr>
              <w:rPr>
                <w:sz w:val="18"/>
                <w:szCs w:val="18"/>
                <w:lang w:val="en-US"/>
              </w:rPr>
            </w:pPr>
            <w:r w:rsidRPr="5D8904BE">
              <w:rPr>
                <w:i/>
                <w:iCs/>
                <w:sz w:val="18"/>
                <w:szCs w:val="18"/>
                <w:u w:val="single"/>
                <w:lang w:val="en-US"/>
              </w:rPr>
              <w:t>Indicator 1</w:t>
            </w:r>
            <w:r w:rsidR="0030550D">
              <w:rPr>
                <w:i/>
                <w:iCs/>
                <w:sz w:val="18"/>
                <w:szCs w:val="18"/>
                <w:u w:val="single"/>
                <w:lang w:val="en-US"/>
              </w:rPr>
              <w:t>9</w:t>
            </w:r>
            <w:r w:rsidRPr="5D8904BE">
              <w:rPr>
                <w:i/>
                <w:iCs/>
                <w:sz w:val="18"/>
                <w:szCs w:val="18"/>
                <w:lang w:val="en-US"/>
              </w:rPr>
              <w:t xml:space="preserve">: Results of the project completed with timely </w:t>
            </w:r>
            <w:r w:rsidRPr="5D8904BE">
              <w:rPr>
                <w:i/>
                <w:iCs/>
                <w:sz w:val="18"/>
                <w:szCs w:val="18"/>
                <w:lang w:val="en-US"/>
              </w:rPr>
              <w:lastRenderedPageBreak/>
              <w:t>submission of the evaluation report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B26" w14:textId="77777777" w:rsidR="00EF68D0" w:rsidRPr="00263D2C" w:rsidRDefault="00EF68D0" w:rsidP="00EF68D0">
            <w:pPr>
              <w:rPr>
                <w:sz w:val="18"/>
                <w:szCs w:val="18"/>
                <w:lang w:val="en-US"/>
              </w:rPr>
            </w:pPr>
            <w:r w:rsidRPr="00263D2C">
              <w:rPr>
                <w:i/>
                <w:sz w:val="18"/>
                <w:szCs w:val="18"/>
                <w:lang w:val="en-US"/>
              </w:rPr>
              <w:lastRenderedPageBreak/>
              <w:t xml:space="preserve"> Yes (40% of the results completed or on track and submission of </w:t>
            </w:r>
            <w:r w:rsidRPr="00263D2C">
              <w:rPr>
                <w:i/>
                <w:sz w:val="18"/>
                <w:szCs w:val="18"/>
                <w:lang w:val="en-US"/>
              </w:rPr>
              <w:lastRenderedPageBreak/>
              <w:t>the journal on time)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B27" w14:textId="77777777" w:rsidR="00EF68D0" w:rsidRPr="00263D2C" w:rsidRDefault="00EF68D0" w:rsidP="00EF68D0">
            <w:pPr>
              <w:rPr>
                <w:sz w:val="18"/>
                <w:szCs w:val="18"/>
                <w:lang w:val="en-US"/>
              </w:rPr>
            </w:pPr>
            <w:r w:rsidRPr="00263D2C">
              <w:rPr>
                <w:i/>
                <w:sz w:val="18"/>
                <w:szCs w:val="18"/>
                <w:lang w:val="en-US"/>
              </w:rPr>
              <w:lastRenderedPageBreak/>
              <w:t xml:space="preserve">Yes (90% of the project results achieved and </w:t>
            </w:r>
            <w:r w:rsidRPr="00263D2C">
              <w:rPr>
                <w:i/>
                <w:sz w:val="18"/>
                <w:szCs w:val="18"/>
                <w:lang w:val="en-US"/>
              </w:rPr>
              <w:lastRenderedPageBreak/>
              <w:t>submission of the final evaluation on time)</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B28" w14:textId="77777777" w:rsidR="00EF68D0" w:rsidRPr="00263D2C" w:rsidRDefault="43606BF1" w:rsidP="00EF68D0">
            <w:pPr>
              <w:rPr>
                <w:sz w:val="18"/>
                <w:szCs w:val="18"/>
                <w:lang w:val="en-US"/>
              </w:rPr>
            </w:pPr>
            <w:r w:rsidRPr="5D8904BE">
              <w:rPr>
                <w:sz w:val="18"/>
                <w:szCs w:val="18"/>
                <w:lang w:val="en-US"/>
              </w:rPr>
              <w:lastRenderedPageBreak/>
              <w:t xml:space="preserve">This indicator verifies that all expected results of the project have been achieved (or justified) and that the final evaluation report has </w:t>
            </w:r>
            <w:r w:rsidRPr="5D8904BE">
              <w:rPr>
                <w:sz w:val="18"/>
                <w:szCs w:val="18"/>
                <w:lang w:val="en-US"/>
              </w:rPr>
              <w:lastRenderedPageBreak/>
              <w:t>been submitted within the contractual deadlines, in accordance with the requirements of the donor and partners.</w:t>
            </w:r>
          </w:p>
          <w:p w14:paraId="00000B29" w14:textId="77777777" w:rsidR="00EF68D0" w:rsidRPr="00263D2C" w:rsidRDefault="00EF68D0" w:rsidP="00EF68D0">
            <w:pPr>
              <w:rPr>
                <w:sz w:val="18"/>
                <w:szCs w:val="18"/>
                <w:lang w:val="en-US"/>
              </w:rPr>
            </w:pPr>
            <w:r w:rsidRPr="00263D2C">
              <w:rPr>
                <w:sz w:val="18"/>
                <w:szCs w:val="18"/>
                <w:lang w:val="en-US"/>
              </w:rPr>
              <w:t>Allows you to track the correct closure of the project, with full documentation, independent evaluation, and capitalization of results and lessons learned.</w:t>
            </w:r>
          </w:p>
          <w:p w14:paraId="00000B2A" w14:textId="77777777" w:rsidR="00EF68D0" w:rsidRPr="00263D2C" w:rsidRDefault="00EF68D0" w:rsidP="00EF68D0">
            <w:pPr>
              <w:rPr>
                <w:sz w:val="18"/>
                <w:szCs w:val="18"/>
                <w:lang w:val="en-US"/>
              </w:rPr>
            </w:pP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B2B" w14:textId="77777777" w:rsidR="00EF68D0" w:rsidRPr="00263D2C" w:rsidRDefault="00EF68D0" w:rsidP="00EF68D0">
            <w:pPr>
              <w:rPr>
                <w:sz w:val="18"/>
                <w:szCs w:val="18"/>
                <w:lang w:val="en-US"/>
              </w:rPr>
            </w:pPr>
            <w:r w:rsidRPr="00263D2C">
              <w:rPr>
                <w:sz w:val="18"/>
                <w:szCs w:val="18"/>
                <w:lang w:val="en-US"/>
              </w:rPr>
              <w:lastRenderedPageBreak/>
              <w:t>Binary verification (Yes/No) supported by the following documents:</w:t>
            </w:r>
          </w:p>
          <w:p w14:paraId="00000B2C" w14:textId="77777777" w:rsidR="00EF68D0" w:rsidRDefault="43606BF1" w:rsidP="001360BB">
            <w:pPr>
              <w:numPr>
                <w:ilvl w:val="0"/>
                <w:numId w:val="179"/>
              </w:numPr>
              <w:rPr>
                <w:sz w:val="18"/>
                <w:szCs w:val="18"/>
              </w:rPr>
            </w:pPr>
            <w:r w:rsidRPr="5D8904BE">
              <w:rPr>
                <w:sz w:val="18"/>
                <w:szCs w:val="18"/>
              </w:rPr>
              <w:lastRenderedPageBreak/>
              <w:t xml:space="preserve">Project </w:t>
            </w:r>
            <w:proofErr w:type="spellStart"/>
            <w:r w:rsidRPr="5D8904BE">
              <w:rPr>
                <w:sz w:val="18"/>
                <w:szCs w:val="18"/>
              </w:rPr>
              <w:t>Completion</w:t>
            </w:r>
            <w:proofErr w:type="spellEnd"/>
            <w:r w:rsidRPr="5D8904BE">
              <w:rPr>
                <w:sz w:val="18"/>
                <w:szCs w:val="18"/>
              </w:rPr>
              <w:t xml:space="preserve"> Report</w:t>
            </w:r>
          </w:p>
          <w:p w14:paraId="00000B2D" w14:textId="77777777" w:rsidR="00EF68D0" w:rsidRPr="00263D2C" w:rsidRDefault="43606BF1" w:rsidP="001360BB">
            <w:pPr>
              <w:numPr>
                <w:ilvl w:val="0"/>
                <w:numId w:val="179"/>
              </w:numPr>
              <w:rPr>
                <w:sz w:val="18"/>
                <w:szCs w:val="18"/>
                <w:lang w:val="en-US"/>
              </w:rPr>
            </w:pPr>
            <w:r w:rsidRPr="5D8904BE">
              <w:rPr>
                <w:sz w:val="18"/>
                <w:szCs w:val="18"/>
                <w:lang w:val="en-US"/>
              </w:rPr>
              <w:t>Independent Evaluation Report (submitted and validated)</w:t>
            </w:r>
          </w:p>
          <w:p w14:paraId="00000B2E" w14:textId="77777777" w:rsidR="00EF68D0" w:rsidRDefault="43606BF1" w:rsidP="001360BB">
            <w:pPr>
              <w:numPr>
                <w:ilvl w:val="0"/>
                <w:numId w:val="179"/>
              </w:numPr>
              <w:rPr>
                <w:sz w:val="18"/>
                <w:szCs w:val="18"/>
              </w:rPr>
            </w:pPr>
            <w:r w:rsidRPr="5D8904BE">
              <w:rPr>
                <w:sz w:val="18"/>
                <w:szCs w:val="18"/>
              </w:rPr>
              <w:t xml:space="preserve">Initial vs. </w:t>
            </w:r>
            <w:proofErr w:type="spellStart"/>
            <w:proofErr w:type="gramStart"/>
            <w:r w:rsidRPr="5D8904BE">
              <w:rPr>
                <w:sz w:val="18"/>
                <w:szCs w:val="18"/>
              </w:rPr>
              <w:t>actual</w:t>
            </w:r>
            <w:proofErr w:type="spellEnd"/>
            <w:proofErr w:type="gramEnd"/>
            <w:r w:rsidRPr="5D8904BE">
              <w:rPr>
                <w:sz w:val="18"/>
                <w:szCs w:val="18"/>
              </w:rPr>
              <w:t xml:space="preserve"> </w:t>
            </w:r>
            <w:proofErr w:type="spellStart"/>
            <w:r w:rsidRPr="5D8904BE">
              <w:rPr>
                <w:sz w:val="18"/>
                <w:szCs w:val="18"/>
              </w:rPr>
              <w:t>submission</w:t>
            </w:r>
            <w:proofErr w:type="spellEnd"/>
            <w:r w:rsidRPr="5D8904BE">
              <w:rPr>
                <w:sz w:val="18"/>
                <w:szCs w:val="18"/>
              </w:rPr>
              <w:t xml:space="preserve"> </w:t>
            </w:r>
            <w:proofErr w:type="spellStart"/>
            <w:r w:rsidRPr="5D8904BE">
              <w:rPr>
                <w:sz w:val="18"/>
                <w:szCs w:val="18"/>
              </w:rPr>
              <w:t>schedule</w:t>
            </w:r>
            <w:proofErr w:type="spellEnd"/>
          </w:p>
          <w:p w14:paraId="00000B2F" w14:textId="77777777" w:rsidR="00EF68D0" w:rsidRPr="00263D2C" w:rsidRDefault="00EF68D0" w:rsidP="001360BB">
            <w:pPr>
              <w:numPr>
                <w:ilvl w:val="0"/>
                <w:numId w:val="179"/>
              </w:numPr>
              <w:rPr>
                <w:sz w:val="18"/>
                <w:szCs w:val="18"/>
                <w:lang w:val="en-US"/>
              </w:rPr>
            </w:pPr>
            <w:r w:rsidRPr="00263D2C">
              <w:rPr>
                <w:sz w:val="18"/>
                <w:szCs w:val="18"/>
                <w:lang w:val="en-US"/>
              </w:rPr>
              <w:t>Validation by the steering committee or the donor</w:t>
            </w:r>
          </w:p>
          <w:p w14:paraId="00000B30" w14:textId="77777777" w:rsidR="00EF68D0" w:rsidRPr="00263D2C" w:rsidRDefault="00EF68D0" w:rsidP="00EF68D0">
            <w:pPr>
              <w:rPr>
                <w:sz w:val="18"/>
                <w:szCs w:val="18"/>
                <w:lang w:val="en-U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B31" w14:textId="77777777" w:rsidR="00EF68D0" w:rsidRDefault="00EF68D0" w:rsidP="00EF68D0">
            <w:pPr>
              <w:rPr>
                <w:sz w:val="18"/>
                <w:szCs w:val="18"/>
              </w:rPr>
            </w:pPr>
            <w:proofErr w:type="spellStart"/>
            <w:r>
              <w:rPr>
                <w:sz w:val="18"/>
                <w:szCs w:val="18"/>
              </w:rPr>
              <w:lastRenderedPageBreak/>
              <w:t>Annually</w:t>
            </w:r>
            <w:proofErr w:type="spellEnd"/>
          </w:p>
          <w:p w14:paraId="00000B32" w14:textId="77777777" w:rsidR="00EF68D0" w:rsidRDefault="00EF68D0" w:rsidP="00EF68D0">
            <w:pPr>
              <w:rPr>
                <w:sz w:val="18"/>
                <w:szCs w:val="1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B33" w14:textId="102D73E2" w:rsidR="00EF68D0" w:rsidRPr="003C5C1B" w:rsidRDefault="00EF68D0" w:rsidP="00EF68D0">
            <w:pPr>
              <w:rPr>
                <w:sz w:val="18"/>
                <w:szCs w:val="18"/>
                <w:lang w:val="en-US"/>
              </w:rPr>
            </w:pPr>
            <w:r w:rsidRPr="003C5C1B">
              <w:rPr>
                <w:sz w:val="18"/>
                <w:szCs w:val="18"/>
                <w:lang w:val="en-US"/>
              </w:rPr>
              <w:t>PMU</w:t>
            </w:r>
            <w:r w:rsidR="00604056" w:rsidRPr="003C5C1B">
              <w:rPr>
                <w:sz w:val="18"/>
                <w:szCs w:val="18"/>
                <w:lang w:val="en-US"/>
              </w:rPr>
              <w:t xml:space="preserve"> </w:t>
            </w:r>
            <w:r w:rsidR="00604056">
              <w:rPr>
                <w:i/>
                <w:iCs/>
                <w:sz w:val="18"/>
                <w:szCs w:val="18"/>
                <w:lang w:val="en-US"/>
              </w:rPr>
              <w:t>(PM and</w:t>
            </w:r>
            <w:r w:rsidR="00604056" w:rsidRPr="00345A71">
              <w:rPr>
                <w:i/>
                <w:iCs/>
                <w:sz w:val="18"/>
                <w:szCs w:val="18"/>
                <w:lang w:val="en-US"/>
              </w:rPr>
              <w:t xml:space="preserve"> M&amp;E</w:t>
            </w:r>
            <w:r w:rsidR="00604056">
              <w:rPr>
                <w:i/>
                <w:iCs/>
                <w:sz w:val="18"/>
                <w:szCs w:val="18"/>
                <w:lang w:val="en-US"/>
              </w:rPr>
              <w:t>)</w:t>
            </w:r>
          </w:p>
        </w:tc>
        <w:tc>
          <w:tcPr>
            <w:tcW w:w="16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0000B34" w14:textId="77777777" w:rsidR="00EF68D0" w:rsidRDefault="00EF68D0" w:rsidP="00EF68D0">
            <w:pPr>
              <w:rPr>
                <w:sz w:val="18"/>
                <w:szCs w:val="18"/>
              </w:rPr>
            </w:pPr>
            <w:r>
              <w:rPr>
                <w:sz w:val="18"/>
                <w:szCs w:val="18"/>
              </w:rPr>
              <w:t>Final Project Report</w:t>
            </w:r>
          </w:p>
        </w:tc>
      </w:tr>
    </w:tbl>
    <w:p w14:paraId="00000B35" w14:textId="77777777" w:rsidR="004F7DB3" w:rsidRDefault="004F7DB3">
      <w:pPr>
        <w:sectPr w:rsidR="004F7DB3">
          <w:headerReference w:type="first" r:id="rId47"/>
          <w:pgSz w:w="16838" w:h="11906" w:orient="landscape"/>
          <w:pgMar w:top="1418" w:right="1418" w:bottom="1418" w:left="1418" w:header="709" w:footer="709" w:gutter="0"/>
          <w:cols w:space="720"/>
        </w:sectPr>
      </w:pPr>
    </w:p>
    <w:p w14:paraId="00000B95" w14:textId="2562F354" w:rsidR="004F7DB3" w:rsidRPr="009804E6" w:rsidRDefault="03063517" w:rsidP="5D8904BE">
      <w:pPr>
        <w:pStyle w:val="Heading11"/>
        <w:pBdr>
          <w:top w:val="single" w:sz="4" w:space="0" w:color="auto"/>
        </w:pBdr>
        <w:rPr>
          <w:sz w:val="24"/>
          <w:szCs w:val="24"/>
        </w:rPr>
      </w:pPr>
      <w:bookmarkStart w:id="56" w:name="_Toc1946572582"/>
      <w:bookmarkStart w:id="57" w:name="_Toc200477839"/>
      <w:r w:rsidRPr="5D8904BE">
        <w:rPr>
          <w:lang w:val="en-US"/>
        </w:rPr>
        <w:lastRenderedPageBreak/>
        <w:t>Governance and Management Arrangement</w:t>
      </w:r>
      <w:r w:rsidR="5F20391A" w:rsidRPr="5D8904BE">
        <w:rPr>
          <w:lang w:val="en-US"/>
        </w:rPr>
        <w:t>s</w:t>
      </w:r>
      <w:bookmarkEnd w:id="56"/>
      <w:bookmarkEnd w:id="57"/>
    </w:p>
    <w:p w14:paraId="00000B96" w14:textId="77777777" w:rsidR="004F7DB3" w:rsidRDefault="004F7DB3">
      <w:pPr>
        <w:spacing w:after="60" w:line="240" w:lineRule="auto"/>
        <w:jc w:val="both"/>
        <w:rPr>
          <w:b/>
          <w:i/>
          <w:sz w:val="20"/>
          <w:szCs w:val="20"/>
        </w:rPr>
      </w:pPr>
    </w:p>
    <w:p w14:paraId="00000B9A" w14:textId="52AAD76E" w:rsidR="004F7DB3" w:rsidRPr="00263D2C" w:rsidRDefault="552CE4D7" w:rsidP="5D8904BE">
      <w:pPr>
        <w:spacing w:after="60" w:line="240" w:lineRule="auto"/>
        <w:jc w:val="both"/>
        <w:rPr>
          <w:b/>
          <w:bCs/>
          <w:sz w:val="20"/>
          <w:szCs w:val="20"/>
          <w:lang w:val="en-US"/>
        </w:rPr>
      </w:pPr>
      <w:r w:rsidRPr="5D8904BE">
        <w:rPr>
          <w:b/>
          <w:bCs/>
          <w:sz w:val="20"/>
          <w:szCs w:val="20"/>
          <w:lang w:val="en-US"/>
        </w:rPr>
        <w:t xml:space="preserve">Section 1: General Roles and Responsibilities in the Project Governance Mechanism </w:t>
      </w:r>
    </w:p>
    <w:p w14:paraId="00000B9B" w14:textId="77777777" w:rsidR="004F7DB3" w:rsidRPr="00263D2C" w:rsidRDefault="004F7DB3">
      <w:pPr>
        <w:spacing w:after="0" w:line="240" w:lineRule="auto"/>
        <w:jc w:val="both"/>
        <w:rPr>
          <w:b/>
          <w:sz w:val="20"/>
          <w:szCs w:val="20"/>
          <w:lang w:val="en-US"/>
        </w:rPr>
      </w:pPr>
    </w:p>
    <w:p w14:paraId="00000B9C" w14:textId="1D9FEFBF" w:rsidR="004F7DB3" w:rsidRPr="00263D2C" w:rsidRDefault="29A5AF3A">
      <w:pPr>
        <w:spacing w:after="0" w:line="240" w:lineRule="auto"/>
        <w:jc w:val="both"/>
        <w:rPr>
          <w:sz w:val="20"/>
          <w:szCs w:val="20"/>
          <w:lang w:val="en-US"/>
        </w:rPr>
      </w:pPr>
      <w:r w:rsidRPr="537FA187">
        <w:rPr>
          <w:sz w:val="20"/>
          <w:szCs w:val="20"/>
          <w:u w:val="single"/>
          <w:lang w:val="en-US"/>
        </w:rPr>
        <w:t>Implementing partner:</w:t>
      </w:r>
      <w:r w:rsidRPr="537FA187">
        <w:rPr>
          <w:sz w:val="20"/>
          <w:szCs w:val="20"/>
          <w:lang w:val="en-US"/>
        </w:rPr>
        <w:t xml:space="preserve"> The implementing partner for this project is the National Directorate of Urban Planning and Housing (</w:t>
      </w:r>
      <w:r w:rsidR="69663027" w:rsidRPr="537FA187">
        <w:rPr>
          <w:sz w:val="20"/>
          <w:szCs w:val="20"/>
          <w:lang w:val="en-US"/>
        </w:rPr>
        <w:t>NDUPH</w:t>
      </w:r>
      <w:r w:rsidRPr="537FA187">
        <w:rPr>
          <w:sz w:val="20"/>
          <w:szCs w:val="20"/>
          <w:lang w:val="en-US"/>
        </w:rPr>
        <w:t>).</w:t>
      </w:r>
      <w:r w:rsidRPr="537FA187">
        <w:rPr>
          <w:b/>
          <w:bCs/>
          <w:sz w:val="20"/>
          <w:szCs w:val="20"/>
          <w:lang w:val="en-US"/>
        </w:rPr>
        <w:t xml:space="preserve"> </w:t>
      </w:r>
      <w:r w:rsidRPr="537FA187">
        <w:rPr>
          <w:sz w:val="20"/>
          <w:szCs w:val="20"/>
          <w:lang w:val="en-US"/>
        </w:rPr>
        <w:t>The implementing partner is the entity entrusted by the UNDP Administrator with the implementation of UNDP assistance specified in this signed project document, assuming full responsibility for the effective use of GEF resources and the delivery of outputs, as outlined in this document.</w:t>
      </w:r>
    </w:p>
    <w:p w14:paraId="7C791CB8" w14:textId="7208809C" w:rsidR="24AA8F7E" w:rsidRDefault="24AA8F7E" w:rsidP="24AA8F7E">
      <w:pPr>
        <w:spacing w:after="0" w:line="240" w:lineRule="auto"/>
        <w:jc w:val="both"/>
        <w:rPr>
          <w:sz w:val="20"/>
          <w:szCs w:val="20"/>
          <w:lang w:val="en-US"/>
        </w:rPr>
      </w:pPr>
    </w:p>
    <w:p w14:paraId="00000B9D" w14:textId="77777777" w:rsidR="004F7DB3" w:rsidRDefault="552CE4D7">
      <w:pPr>
        <w:spacing w:after="0" w:line="240" w:lineRule="auto"/>
        <w:jc w:val="both"/>
        <w:rPr>
          <w:sz w:val="20"/>
          <w:szCs w:val="20"/>
        </w:rPr>
      </w:pPr>
      <w:r w:rsidRPr="5D8904BE">
        <w:rPr>
          <w:sz w:val="20"/>
          <w:szCs w:val="20"/>
          <w:lang w:val="en-US"/>
        </w:rPr>
        <w:t xml:space="preserve">The implementing partner is responsible for the execution of this project. </w:t>
      </w:r>
      <w:proofErr w:type="spellStart"/>
      <w:r w:rsidRPr="5D8904BE">
        <w:rPr>
          <w:sz w:val="20"/>
          <w:szCs w:val="20"/>
        </w:rPr>
        <w:t>Specific</w:t>
      </w:r>
      <w:proofErr w:type="spellEnd"/>
      <w:r w:rsidRPr="5D8904BE">
        <w:rPr>
          <w:sz w:val="20"/>
          <w:szCs w:val="20"/>
        </w:rPr>
        <w:t xml:space="preserve"> </w:t>
      </w:r>
      <w:proofErr w:type="spellStart"/>
      <w:r w:rsidRPr="5D8904BE">
        <w:rPr>
          <w:sz w:val="20"/>
          <w:szCs w:val="20"/>
        </w:rPr>
        <w:t>tasks</w:t>
      </w:r>
      <w:proofErr w:type="spellEnd"/>
      <w:r w:rsidRPr="5D8904BE">
        <w:rPr>
          <w:sz w:val="20"/>
          <w:szCs w:val="20"/>
        </w:rPr>
        <w:t xml:space="preserve"> </w:t>
      </w:r>
      <w:proofErr w:type="spellStart"/>
      <w:proofErr w:type="gramStart"/>
      <w:r w:rsidRPr="5D8904BE">
        <w:rPr>
          <w:sz w:val="20"/>
          <w:szCs w:val="20"/>
        </w:rPr>
        <w:t>include</w:t>
      </w:r>
      <w:proofErr w:type="spellEnd"/>
      <w:r w:rsidRPr="5D8904BE">
        <w:rPr>
          <w:sz w:val="20"/>
          <w:szCs w:val="20"/>
        </w:rPr>
        <w:t>:</w:t>
      </w:r>
      <w:proofErr w:type="gramEnd"/>
      <w:r w:rsidRPr="5D8904BE">
        <w:rPr>
          <w:sz w:val="20"/>
          <w:szCs w:val="20"/>
        </w:rPr>
        <w:t xml:space="preserve">  </w:t>
      </w:r>
    </w:p>
    <w:p w14:paraId="00000B9E" w14:textId="5B27B765" w:rsidR="004F7DB3" w:rsidRPr="00263D2C" w:rsidRDefault="31FECB34" w:rsidP="001360BB">
      <w:pPr>
        <w:numPr>
          <w:ilvl w:val="0"/>
          <w:numId w:val="184"/>
        </w:numPr>
        <w:spacing w:after="0" w:line="240" w:lineRule="auto"/>
        <w:jc w:val="both"/>
        <w:rPr>
          <w:sz w:val="20"/>
          <w:szCs w:val="20"/>
          <w:lang w:val="en-US"/>
        </w:rPr>
      </w:pPr>
      <w:r w:rsidRPr="4293D418">
        <w:rPr>
          <w:sz w:val="20"/>
          <w:szCs w:val="20"/>
          <w:lang w:val="en-US"/>
        </w:rPr>
        <w:t xml:space="preserve">Project planning, coordination, management, monitoring, </w:t>
      </w:r>
      <w:r w:rsidR="4233650C" w:rsidRPr="4293D418">
        <w:rPr>
          <w:sz w:val="20"/>
          <w:szCs w:val="20"/>
          <w:lang w:val="en-US"/>
        </w:rPr>
        <w:t>evaluation,</w:t>
      </w:r>
      <w:r w:rsidRPr="4293D418">
        <w:rPr>
          <w:sz w:val="20"/>
          <w:szCs w:val="20"/>
          <w:lang w:val="en-US"/>
        </w:rPr>
        <w:t xml:space="preserve"> and reporting. This includes providing all the information and data necessary for </w:t>
      </w:r>
      <w:r w:rsidR="5B817488" w:rsidRPr="4293D418">
        <w:rPr>
          <w:sz w:val="20"/>
          <w:szCs w:val="20"/>
          <w:lang w:val="en-US"/>
        </w:rPr>
        <w:t>timely</w:t>
      </w:r>
      <w:r w:rsidRPr="4293D418">
        <w:rPr>
          <w:sz w:val="20"/>
          <w:szCs w:val="20"/>
          <w:lang w:val="en-US"/>
        </w:rPr>
        <w:t xml:space="preserve"> and comprehensive and evidence-based reporting, including results and financial data, where appropriate.  The implementing partner will work to ensure that project-level monitoring and evaluation is carried out by national institutes and aligned with national systems, so that the data used and generated by the project supports national systems. </w:t>
      </w:r>
    </w:p>
    <w:p w14:paraId="00000B9F" w14:textId="77777777" w:rsidR="004F7DB3" w:rsidRPr="00263D2C" w:rsidRDefault="00C00123" w:rsidP="001360BB">
      <w:pPr>
        <w:numPr>
          <w:ilvl w:val="0"/>
          <w:numId w:val="184"/>
        </w:numPr>
        <w:spacing w:after="0" w:line="240" w:lineRule="auto"/>
        <w:jc w:val="both"/>
        <w:rPr>
          <w:sz w:val="20"/>
          <w:szCs w:val="20"/>
          <w:lang w:val="en-US"/>
        </w:rPr>
      </w:pPr>
      <w:r w:rsidRPr="00263D2C">
        <w:rPr>
          <w:sz w:val="20"/>
          <w:szCs w:val="20"/>
          <w:lang w:val="en-US"/>
        </w:rPr>
        <w:t xml:space="preserve">Oversee the management of project risks as outlined in this project document and emerging project risks. </w:t>
      </w:r>
    </w:p>
    <w:p w14:paraId="00000BA0" w14:textId="77777777" w:rsidR="004F7DB3" w:rsidRPr="00263D2C" w:rsidRDefault="00C00123" w:rsidP="001360BB">
      <w:pPr>
        <w:numPr>
          <w:ilvl w:val="0"/>
          <w:numId w:val="184"/>
        </w:numPr>
        <w:spacing w:after="0" w:line="240" w:lineRule="auto"/>
        <w:jc w:val="both"/>
        <w:rPr>
          <w:sz w:val="20"/>
          <w:szCs w:val="20"/>
          <w:lang w:val="en-US"/>
        </w:rPr>
      </w:pPr>
      <w:r w:rsidRPr="00263D2C">
        <w:rPr>
          <w:sz w:val="20"/>
          <w:szCs w:val="20"/>
          <w:lang w:val="en-US"/>
        </w:rPr>
        <w:t>Procurement of goods and services, including human resources.</w:t>
      </w:r>
    </w:p>
    <w:p w14:paraId="00000BA1" w14:textId="77777777" w:rsidR="004F7DB3" w:rsidRPr="00263D2C" w:rsidRDefault="552CE4D7" w:rsidP="001360BB">
      <w:pPr>
        <w:numPr>
          <w:ilvl w:val="0"/>
          <w:numId w:val="184"/>
        </w:numPr>
        <w:spacing w:after="0" w:line="240" w:lineRule="auto"/>
        <w:jc w:val="both"/>
        <w:rPr>
          <w:sz w:val="20"/>
          <w:szCs w:val="20"/>
          <w:lang w:val="en-US"/>
        </w:rPr>
      </w:pPr>
      <w:r w:rsidRPr="5D8904BE">
        <w:rPr>
          <w:sz w:val="20"/>
          <w:szCs w:val="20"/>
          <w:lang w:val="en-US"/>
        </w:rPr>
        <w:t>Financial management, including oversight of financial expenditures against project budgets.</w:t>
      </w:r>
    </w:p>
    <w:p w14:paraId="00000BA2" w14:textId="77777777" w:rsidR="004F7DB3" w:rsidRPr="00263D2C" w:rsidRDefault="00C00123" w:rsidP="001360BB">
      <w:pPr>
        <w:numPr>
          <w:ilvl w:val="0"/>
          <w:numId w:val="184"/>
        </w:numPr>
        <w:spacing w:after="0" w:line="240" w:lineRule="auto"/>
        <w:jc w:val="both"/>
        <w:rPr>
          <w:sz w:val="20"/>
          <w:szCs w:val="20"/>
          <w:lang w:val="en-US"/>
        </w:rPr>
      </w:pPr>
      <w:r w:rsidRPr="00263D2C">
        <w:rPr>
          <w:sz w:val="20"/>
          <w:szCs w:val="20"/>
          <w:lang w:val="en-US"/>
        </w:rPr>
        <w:t>Approval and signing of the multi-year work plan.</w:t>
      </w:r>
    </w:p>
    <w:p w14:paraId="00000BA3" w14:textId="77777777" w:rsidR="004F7DB3" w:rsidRPr="00263D2C" w:rsidRDefault="00C00123" w:rsidP="001360BB">
      <w:pPr>
        <w:numPr>
          <w:ilvl w:val="0"/>
          <w:numId w:val="184"/>
        </w:numPr>
        <w:spacing w:after="0" w:line="240" w:lineRule="auto"/>
        <w:jc w:val="both"/>
        <w:rPr>
          <w:sz w:val="20"/>
          <w:szCs w:val="20"/>
          <w:lang w:val="en-US"/>
        </w:rPr>
      </w:pPr>
      <w:r w:rsidRPr="00263D2C">
        <w:rPr>
          <w:sz w:val="20"/>
          <w:szCs w:val="20"/>
          <w:lang w:val="en-US"/>
        </w:rPr>
        <w:t>Approval and signing of the combined delivery report at the end of the year; and</w:t>
      </w:r>
    </w:p>
    <w:p w14:paraId="00000BA4" w14:textId="77777777" w:rsidR="004F7DB3" w:rsidRPr="00263D2C" w:rsidRDefault="00C00123" w:rsidP="001360BB">
      <w:pPr>
        <w:numPr>
          <w:ilvl w:val="0"/>
          <w:numId w:val="184"/>
        </w:numPr>
        <w:spacing w:after="0" w:line="240" w:lineRule="auto"/>
        <w:jc w:val="both"/>
        <w:rPr>
          <w:sz w:val="20"/>
          <w:szCs w:val="20"/>
          <w:lang w:val="en-US"/>
        </w:rPr>
      </w:pPr>
      <w:r w:rsidRPr="00263D2C">
        <w:rPr>
          <w:sz w:val="20"/>
          <w:szCs w:val="20"/>
          <w:lang w:val="en-US"/>
        </w:rPr>
        <w:t>sign the financial report or funding authority and the certificate of expenditure.</w:t>
      </w:r>
    </w:p>
    <w:p w14:paraId="00000BA5" w14:textId="77777777" w:rsidR="004F7DB3" w:rsidRPr="00263D2C" w:rsidRDefault="004F7DB3">
      <w:pPr>
        <w:spacing w:after="0" w:line="240" w:lineRule="auto"/>
        <w:ind w:left="720"/>
        <w:jc w:val="both"/>
        <w:rPr>
          <w:sz w:val="20"/>
          <w:szCs w:val="20"/>
          <w:lang w:val="en-US"/>
        </w:rPr>
      </w:pPr>
    </w:p>
    <w:p w14:paraId="00000BA6" w14:textId="77777777" w:rsidR="004F7DB3" w:rsidRPr="00263D2C" w:rsidRDefault="004F7DB3">
      <w:pPr>
        <w:spacing w:after="0" w:line="240" w:lineRule="auto"/>
        <w:jc w:val="both"/>
        <w:rPr>
          <w:sz w:val="20"/>
          <w:szCs w:val="20"/>
          <w:lang w:val="en-US"/>
        </w:rPr>
      </w:pPr>
    </w:p>
    <w:p w14:paraId="00000BA7" w14:textId="77777777" w:rsidR="004F7DB3" w:rsidRPr="00263D2C" w:rsidRDefault="00C00123">
      <w:pPr>
        <w:spacing w:after="0" w:line="240" w:lineRule="auto"/>
        <w:jc w:val="both"/>
        <w:rPr>
          <w:b/>
          <w:sz w:val="20"/>
          <w:szCs w:val="20"/>
          <w:lang w:val="en-US"/>
        </w:rPr>
      </w:pPr>
      <w:r w:rsidRPr="00263D2C">
        <w:rPr>
          <w:sz w:val="20"/>
          <w:szCs w:val="20"/>
          <w:u w:val="single"/>
          <w:lang w:val="en-US"/>
        </w:rPr>
        <w:t xml:space="preserve">Responsible </w:t>
      </w:r>
      <w:proofErr w:type="gramStart"/>
      <w:r w:rsidRPr="00263D2C">
        <w:rPr>
          <w:sz w:val="20"/>
          <w:szCs w:val="20"/>
          <w:u w:val="single"/>
          <w:lang w:val="en-US"/>
        </w:rPr>
        <w:t xml:space="preserve">parties </w:t>
      </w:r>
      <w:r w:rsidRPr="00263D2C">
        <w:rPr>
          <w:sz w:val="20"/>
          <w:szCs w:val="20"/>
          <w:lang w:val="en-US"/>
        </w:rPr>
        <w:t>:</w:t>
      </w:r>
      <w:proofErr w:type="gramEnd"/>
      <w:r w:rsidRPr="00263D2C">
        <w:rPr>
          <w:sz w:val="20"/>
          <w:szCs w:val="20"/>
          <w:lang w:val="en-US"/>
        </w:rPr>
        <w:t xml:space="preserve"> </w:t>
      </w:r>
    </w:p>
    <w:p w14:paraId="00000BA8" w14:textId="77777777" w:rsidR="004F7DB3" w:rsidRPr="00263D2C" w:rsidRDefault="004F7DB3">
      <w:pPr>
        <w:spacing w:after="0" w:line="240" w:lineRule="auto"/>
        <w:jc w:val="both"/>
        <w:rPr>
          <w:i/>
          <w:sz w:val="20"/>
          <w:szCs w:val="20"/>
          <w:highlight w:val="yellow"/>
          <w:lang w:val="en-US"/>
        </w:rPr>
      </w:pPr>
    </w:p>
    <w:p w14:paraId="00000BA9" w14:textId="1AFB257D" w:rsidR="004F7DB3" w:rsidRPr="00263D2C" w:rsidRDefault="3CA722E2">
      <w:pPr>
        <w:spacing w:after="0" w:line="240" w:lineRule="auto"/>
        <w:jc w:val="both"/>
        <w:rPr>
          <w:sz w:val="20"/>
          <w:szCs w:val="20"/>
          <w:lang w:val="en-US"/>
        </w:rPr>
      </w:pPr>
      <w:r w:rsidRPr="537FA187">
        <w:rPr>
          <w:sz w:val="20"/>
          <w:szCs w:val="20"/>
          <w:lang w:val="en-US"/>
        </w:rPr>
        <w:t xml:space="preserve">Given the integration of the project and the cross-cutting nature of urban planning, some components will be implemented in line with the mandate of the identified responsible partners. A group of </w:t>
      </w:r>
      <w:r w:rsidR="6C0C0E0B" w:rsidRPr="537FA187">
        <w:rPr>
          <w:sz w:val="20"/>
          <w:szCs w:val="20"/>
          <w:lang w:val="en-US"/>
        </w:rPr>
        <w:t>four</w:t>
      </w:r>
      <w:r w:rsidR="7249A5FC" w:rsidRPr="537FA187">
        <w:rPr>
          <w:sz w:val="20"/>
          <w:szCs w:val="20"/>
          <w:lang w:val="en-US"/>
        </w:rPr>
        <w:t xml:space="preserve"> </w:t>
      </w:r>
      <w:r w:rsidRPr="537FA187">
        <w:rPr>
          <w:sz w:val="20"/>
          <w:szCs w:val="20"/>
          <w:lang w:val="en-US"/>
        </w:rPr>
        <w:t>responsible partners, presented in the table below, will be entrusted with specific responsibilities delegated by the National Directorate of Urban Planning and Housing (</w:t>
      </w:r>
      <w:r w:rsidR="69663027" w:rsidRPr="537FA187">
        <w:rPr>
          <w:sz w:val="20"/>
          <w:szCs w:val="20"/>
          <w:lang w:val="en-US"/>
        </w:rPr>
        <w:t>NDUPH</w:t>
      </w:r>
      <w:r w:rsidRPr="537FA187">
        <w:rPr>
          <w:sz w:val="20"/>
          <w:szCs w:val="20"/>
          <w:lang w:val="en-US"/>
        </w:rPr>
        <w:t xml:space="preserve">). </w:t>
      </w:r>
    </w:p>
    <w:p w14:paraId="00000BAA" w14:textId="77777777" w:rsidR="004F7DB3" w:rsidRPr="00263D2C" w:rsidRDefault="004F7DB3">
      <w:pPr>
        <w:spacing w:after="0" w:line="240" w:lineRule="auto"/>
        <w:jc w:val="both"/>
        <w:rPr>
          <w:sz w:val="20"/>
          <w:szCs w:val="20"/>
          <w:lang w:val="en-US"/>
        </w:rPr>
      </w:pPr>
    </w:p>
    <w:p w14:paraId="00000BAB" w14:textId="77777777" w:rsidR="004F7DB3" w:rsidRPr="00263D2C" w:rsidRDefault="004F7DB3">
      <w:pPr>
        <w:spacing w:after="0" w:line="240" w:lineRule="auto"/>
        <w:jc w:val="both"/>
        <w:rPr>
          <w:sz w:val="20"/>
          <w:szCs w:val="20"/>
          <w:lang w:val="en-US"/>
        </w:rPr>
      </w:pPr>
    </w:p>
    <w:tbl>
      <w:tblPr>
        <w:tblW w:w="9360" w:type="dxa"/>
        <w:tblInd w:w="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2550"/>
        <w:gridCol w:w="6810"/>
      </w:tblGrid>
      <w:tr w:rsidR="004F7DB3" w14:paraId="1D5B8402" w14:textId="77777777" w:rsidTr="4B3DA424">
        <w:trPr>
          <w:trHeight w:val="265"/>
        </w:trPr>
        <w:tc>
          <w:tcPr>
            <w:tcW w:w="2550" w:type="dxa"/>
            <w:shd w:val="clear" w:color="auto" w:fill="BF9000"/>
            <w:tcMar>
              <w:top w:w="100" w:type="dxa"/>
              <w:left w:w="100" w:type="dxa"/>
              <w:bottom w:w="100" w:type="dxa"/>
              <w:right w:w="100" w:type="dxa"/>
            </w:tcMar>
          </w:tcPr>
          <w:p w14:paraId="00000BAC" w14:textId="77777777" w:rsidR="004F7DB3" w:rsidRDefault="099EA877" w:rsidP="3E720D41">
            <w:pPr>
              <w:widowControl w:val="0"/>
              <w:pBdr>
                <w:top w:val="nil"/>
                <w:left w:val="nil"/>
                <w:bottom w:val="nil"/>
                <w:right w:val="nil"/>
                <w:between w:val="nil"/>
              </w:pBdr>
              <w:spacing w:after="0" w:line="240" w:lineRule="auto"/>
              <w:rPr>
                <w:b/>
                <w:bCs/>
                <w:i/>
                <w:iCs/>
                <w:color w:val="FFFFFF"/>
                <w:sz w:val="20"/>
                <w:szCs w:val="20"/>
              </w:rPr>
            </w:pPr>
            <w:proofErr w:type="spellStart"/>
            <w:r w:rsidRPr="3E720D41">
              <w:rPr>
                <w:b/>
                <w:bCs/>
                <w:i/>
                <w:iCs/>
                <w:color w:val="FFFFFF" w:themeColor="background1"/>
                <w:sz w:val="20"/>
                <w:szCs w:val="20"/>
              </w:rPr>
              <w:t>Responsible</w:t>
            </w:r>
            <w:proofErr w:type="spellEnd"/>
            <w:r w:rsidRPr="3E720D41">
              <w:rPr>
                <w:b/>
                <w:bCs/>
                <w:i/>
                <w:iCs/>
                <w:color w:val="FFFFFF" w:themeColor="background1"/>
                <w:sz w:val="20"/>
                <w:szCs w:val="20"/>
              </w:rPr>
              <w:t xml:space="preserve"> Party</w:t>
            </w:r>
          </w:p>
        </w:tc>
        <w:tc>
          <w:tcPr>
            <w:tcW w:w="6810" w:type="dxa"/>
            <w:shd w:val="clear" w:color="auto" w:fill="BF9000"/>
            <w:tcMar>
              <w:top w:w="100" w:type="dxa"/>
              <w:left w:w="100" w:type="dxa"/>
              <w:bottom w:w="100" w:type="dxa"/>
              <w:right w:w="100" w:type="dxa"/>
            </w:tcMar>
          </w:tcPr>
          <w:p w14:paraId="00000BAD" w14:textId="1CF93139" w:rsidR="004F7DB3" w:rsidRDefault="1C09A3EF" w:rsidP="4B3DA424">
            <w:pPr>
              <w:widowControl w:val="0"/>
              <w:pBdr>
                <w:top w:val="nil"/>
                <w:left w:val="nil"/>
                <w:bottom w:val="nil"/>
                <w:right w:val="nil"/>
                <w:between w:val="nil"/>
              </w:pBdr>
              <w:spacing w:after="0" w:line="240" w:lineRule="auto"/>
              <w:rPr>
                <w:b/>
                <w:bCs/>
                <w:i/>
                <w:iCs/>
                <w:color w:val="FFFFFF"/>
                <w:sz w:val="20"/>
                <w:szCs w:val="20"/>
              </w:rPr>
            </w:pPr>
            <w:proofErr w:type="spellStart"/>
            <w:r w:rsidRPr="4B3DA424">
              <w:rPr>
                <w:b/>
                <w:bCs/>
                <w:i/>
                <w:iCs/>
                <w:color w:val="FFFFFF" w:themeColor="background1"/>
                <w:sz w:val="20"/>
                <w:szCs w:val="20"/>
              </w:rPr>
              <w:t>Reponsible</w:t>
            </w:r>
            <w:proofErr w:type="spellEnd"/>
            <w:r w:rsidRPr="4B3DA424">
              <w:rPr>
                <w:b/>
                <w:bCs/>
                <w:i/>
                <w:iCs/>
                <w:color w:val="FFFFFF" w:themeColor="background1"/>
                <w:sz w:val="20"/>
                <w:szCs w:val="20"/>
              </w:rPr>
              <w:t xml:space="preserve"> for</w:t>
            </w:r>
          </w:p>
        </w:tc>
      </w:tr>
      <w:tr w:rsidR="004F7DB3" w:rsidRPr="00F2204A" w14:paraId="5AE3FCE5" w14:textId="77777777" w:rsidTr="4B3DA424">
        <w:tc>
          <w:tcPr>
            <w:tcW w:w="2550" w:type="dxa"/>
            <w:tcMar>
              <w:top w:w="100" w:type="dxa"/>
              <w:left w:w="100" w:type="dxa"/>
              <w:bottom w:w="100" w:type="dxa"/>
              <w:right w:w="100" w:type="dxa"/>
            </w:tcMar>
          </w:tcPr>
          <w:p w14:paraId="00000BAE" w14:textId="77777777" w:rsidR="004F7DB3" w:rsidRPr="00263D2C" w:rsidRDefault="00C00123">
            <w:pPr>
              <w:widowControl w:val="0"/>
              <w:pBdr>
                <w:top w:val="nil"/>
                <w:left w:val="nil"/>
                <w:bottom w:val="nil"/>
                <w:right w:val="nil"/>
                <w:between w:val="nil"/>
              </w:pBdr>
              <w:spacing w:after="0" w:line="240" w:lineRule="auto"/>
              <w:rPr>
                <w:i/>
                <w:sz w:val="20"/>
                <w:szCs w:val="20"/>
                <w:lang w:val="en-US"/>
              </w:rPr>
            </w:pPr>
            <w:r w:rsidRPr="00263D2C">
              <w:rPr>
                <w:i/>
                <w:sz w:val="20"/>
                <w:szCs w:val="20"/>
                <w:lang w:val="en-US"/>
              </w:rPr>
              <w:t xml:space="preserve">The Bamako District Mayor's Office </w:t>
            </w:r>
          </w:p>
        </w:tc>
        <w:tc>
          <w:tcPr>
            <w:tcW w:w="6810" w:type="dxa"/>
            <w:tcMar>
              <w:top w:w="100" w:type="dxa"/>
              <w:left w:w="100" w:type="dxa"/>
              <w:bottom w:w="100" w:type="dxa"/>
              <w:right w:w="100" w:type="dxa"/>
            </w:tcMar>
          </w:tcPr>
          <w:p w14:paraId="00000BB0" w14:textId="1432F63F" w:rsidR="004F7DB3" w:rsidRPr="006F5E1D" w:rsidRDefault="352EB93F" w:rsidP="4B3DA424">
            <w:pPr>
              <w:widowControl w:val="0"/>
              <w:pBdr>
                <w:top w:val="nil"/>
                <w:left w:val="nil"/>
                <w:bottom w:val="nil"/>
                <w:right w:val="nil"/>
                <w:between w:val="nil"/>
              </w:pBdr>
              <w:spacing w:after="0" w:line="240" w:lineRule="auto"/>
              <w:rPr>
                <w:sz w:val="20"/>
                <w:szCs w:val="20"/>
                <w:lang w:val="en-US"/>
              </w:rPr>
            </w:pPr>
            <w:r w:rsidRPr="4B3DA424">
              <w:rPr>
                <w:sz w:val="20"/>
                <w:szCs w:val="20"/>
                <w:lang w:val="en-US"/>
              </w:rPr>
              <w:t>Output 1.1.3 Activit</w:t>
            </w:r>
            <w:r w:rsidR="65A86ED8" w:rsidRPr="4B3DA424">
              <w:rPr>
                <w:sz w:val="20"/>
                <w:szCs w:val="20"/>
                <w:lang w:val="en-US"/>
              </w:rPr>
              <w:t>ies</w:t>
            </w:r>
            <w:r w:rsidRPr="4B3DA424">
              <w:rPr>
                <w:sz w:val="20"/>
                <w:szCs w:val="20"/>
                <w:lang w:val="en-US"/>
              </w:rPr>
              <w:t xml:space="preserve"> 1.1.3.2 </w:t>
            </w:r>
            <w:r w:rsidR="482FACDB" w:rsidRPr="4B3DA424">
              <w:rPr>
                <w:sz w:val="20"/>
                <w:szCs w:val="20"/>
                <w:lang w:val="en-US"/>
              </w:rPr>
              <w:t>and 1.1.3.4</w:t>
            </w:r>
          </w:p>
          <w:p w14:paraId="00000BB1" w14:textId="68946973" w:rsidR="004F7DB3" w:rsidRPr="006F5E1D" w:rsidRDefault="352EB93F" w:rsidP="4B3DA424">
            <w:pPr>
              <w:widowControl w:val="0"/>
              <w:pBdr>
                <w:top w:val="nil"/>
                <w:left w:val="nil"/>
                <w:bottom w:val="nil"/>
                <w:right w:val="nil"/>
                <w:between w:val="nil"/>
              </w:pBdr>
              <w:spacing w:after="0" w:line="240" w:lineRule="auto"/>
              <w:rPr>
                <w:sz w:val="20"/>
                <w:szCs w:val="20"/>
                <w:lang w:val="en-US"/>
              </w:rPr>
            </w:pPr>
            <w:r w:rsidRPr="4B3DA424">
              <w:rPr>
                <w:sz w:val="20"/>
                <w:szCs w:val="20"/>
                <w:lang w:val="en-US"/>
              </w:rPr>
              <w:t>Output 1.2.1 Activit</w:t>
            </w:r>
            <w:r w:rsidR="14EEDABC" w:rsidRPr="4B3DA424">
              <w:rPr>
                <w:sz w:val="20"/>
                <w:szCs w:val="20"/>
                <w:lang w:val="en-US"/>
              </w:rPr>
              <w:t>ies</w:t>
            </w:r>
            <w:r w:rsidRPr="4B3DA424">
              <w:rPr>
                <w:sz w:val="20"/>
                <w:szCs w:val="20"/>
                <w:lang w:val="en-US"/>
              </w:rPr>
              <w:t xml:space="preserve"> </w:t>
            </w:r>
            <w:r w:rsidR="62808934" w:rsidRPr="4B3DA424">
              <w:rPr>
                <w:sz w:val="20"/>
                <w:szCs w:val="20"/>
                <w:lang w:val="en-US"/>
              </w:rPr>
              <w:t xml:space="preserve">1.2.1.1, </w:t>
            </w:r>
            <w:r w:rsidRPr="4B3DA424">
              <w:rPr>
                <w:sz w:val="20"/>
                <w:szCs w:val="20"/>
                <w:lang w:val="en-US"/>
              </w:rPr>
              <w:t>1.2.1.</w:t>
            </w:r>
            <w:r w:rsidR="2B34E4E3" w:rsidRPr="4B3DA424">
              <w:rPr>
                <w:sz w:val="20"/>
                <w:szCs w:val="20"/>
                <w:lang w:val="en-US"/>
              </w:rPr>
              <w:t>2</w:t>
            </w:r>
            <w:r w:rsidR="5F17ED3E" w:rsidRPr="4B3DA424">
              <w:rPr>
                <w:sz w:val="20"/>
                <w:szCs w:val="20"/>
                <w:lang w:val="en-US"/>
              </w:rPr>
              <w:t>,</w:t>
            </w:r>
            <w:r w:rsidRPr="4B3DA424">
              <w:rPr>
                <w:sz w:val="20"/>
                <w:szCs w:val="20"/>
                <w:lang w:val="en-US"/>
              </w:rPr>
              <w:t xml:space="preserve"> 1.2.1.</w:t>
            </w:r>
            <w:r w:rsidR="038884AB" w:rsidRPr="4B3DA424">
              <w:rPr>
                <w:sz w:val="20"/>
                <w:szCs w:val="20"/>
                <w:lang w:val="en-US"/>
              </w:rPr>
              <w:t>3</w:t>
            </w:r>
            <w:r w:rsidRPr="4B3DA424">
              <w:rPr>
                <w:sz w:val="20"/>
                <w:szCs w:val="20"/>
                <w:lang w:val="en-US"/>
              </w:rPr>
              <w:t xml:space="preserve"> &amp; 1.2.1.</w:t>
            </w:r>
            <w:r w:rsidR="75189ABD" w:rsidRPr="4B3DA424">
              <w:rPr>
                <w:sz w:val="20"/>
                <w:szCs w:val="20"/>
                <w:lang w:val="en-US"/>
              </w:rPr>
              <w:t>4</w:t>
            </w:r>
          </w:p>
          <w:p w14:paraId="00000BB2" w14:textId="1EE216CD" w:rsidR="004F7DB3" w:rsidRPr="006F5E1D" w:rsidRDefault="00C00123">
            <w:pPr>
              <w:widowControl w:val="0"/>
              <w:pBdr>
                <w:top w:val="nil"/>
                <w:left w:val="nil"/>
                <w:bottom w:val="nil"/>
                <w:right w:val="nil"/>
                <w:between w:val="nil"/>
              </w:pBdr>
              <w:spacing w:after="0" w:line="240" w:lineRule="auto"/>
              <w:rPr>
                <w:sz w:val="20"/>
                <w:szCs w:val="20"/>
                <w:lang w:val="en-US"/>
              </w:rPr>
            </w:pPr>
            <w:r w:rsidRPr="006F5E1D">
              <w:rPr>
                <w:sz w:val="20"/>
                <w:szCs w:val="20"/>
                <w:lang w:val="en-US"/>
              </w:rPr>
              <w:t xml:space="preserve"> </w:t>
            </w:r>
          </w:p>
          <w:p w14:paraId="00000BB3" w14:textId="77777777" w:rsidR="004F7DB3" w:rsidRPr="006F5E1D" w:rsidRDefault="00C00123">
            <w:pPr>
              <w:widowControl w:val="0"/>
              <w:pBdr>
                <w:top w:val="nil"/>
                <w:left w:val="nil"/>
                <w:bottom w:val="nil"/>
                <w:right w:val="nil"/>
                <w:between w:val="nil"/>
              </w:pBdr>
              <w:spacing w:after="0" w:line="240" w:lineRule="auto"/>
              <w:rPr>
                <w:sz w:val="20"/>
                <w:szCs w:val="20"/>
                <w:lang w:val="en-US"/>
              </w:rPr>
            </w:pPr>
            <w:r w:rsidRPr="006F5E1D">
              <w:rPr>
                <w:sz w:val="20"/>
                <w:szCs w:val="20"/>
                <w:lang w:val="en-US"/>
              </w:rPr>
              <w:t xml:space="preserve">Output 2.1.2 Activity 2.1.2.3 </w:t>
            </w:r>
          </w:p>
          <w:p w14:paraId="00000BB4" w14:textId="629167B3" w:rsidR="004F7DB3" w:rsidRPr="006F5E1D" w:rsidRDefault="352EB93F" w:rsidP="5D8904BE">
            <w:pPr>
              <w:widowControl w:val="0"/>
              <w:pBdr>
                <w:top w:val="nil"/>
                <w:left w:val="nil"/>
                <w:bottom w:val="nil"/>
                <w:right w:val="nil"/>
                <w:between w:val="nil"/>
              </w:pBdr>
              <w:spacing w:after="0" w:line="240" w:lineRule="auto"/>
              <w:rPr>
                <w:sz w:val="20"/>
                <w:szCs w:val="20"/>
                <w:lang w:val="en-US"/>
              </w:rPr>
            </w:pPr>
            <w:r w:rsidRPr="006F5E1D">
              <w:rPr>
                <w:sz w:val="20"/>
                <w:szCs w:val="20"/>
                <w:lang w:val="en-US"/>
              </w:rPr>
              <w:t>Output 2.1.3 Activit</w:t>
            </w:r>
            <w:r w:rsidR="32A84E62" w:rsidRPr="006F5E1D">
              <w:rPr>
                <w:sz w:val="20"/>
                <w:szCs w:val="20"/>
                <w:lang w:val="en-US"/>
              </w:rPr>
              <w:t>ies</w:t>
            </w:r>
            <w:r w:rsidRPr="006F5E1D">
              <w:rPr>
                <w:sz w:val="20"/>
                <w:szCs w:val="20"/>
                <w:lang w:val="en-US"/>
              </w:rPr>
              <w:t xml:space="preserve"> 2.1.3.</w:t>
            </w:r>
            <w:r w:rsidR="003B7FB7">
              <w:rPr>
                <w:sz w:val="20"/>
                <w:szCs w:val="20"/>
                <w:lang w:val="en-US"/>
              </w:rPr>
              <w:t>3</w:t>
            </w:r>
            <w:r w:rsidRPr="006F5E1D">
              <w:rPr>
                <w:sz w:val="20"/>
                <w:szCs w:val="20"/>
                <w:lang w:val="en-US"/>
              </w:rPr>
              <w:t xml:space="preserve"> </w:t>
            </w:r>
          </w:p>
          <w:p w14:paraId="00000BB5" w14:textId="77777777" w:rsidR="004F7DB3" w:rsidRPr="006F5E1D" w:rsidRDefault="00C00123">
            <w:pPr>
              <w:widowControl w:val="0"/>
              <w:pBdr>
                <w:top w:val="nil"/>
                <w:left w:val="nil"/>
                <w:bottom w:val="nil"/>
                <w:right w:val="nil"/>
                <w:between w:val="nil"/>
              </w:pBdr>
              <w:spacing w:after="0" w:line="240" w:lineRule="auto"/>
              <w:rPr>
                <w:sz w:val="20"/>
                <w:szCs w:val="20"/>
                <w:lang w:val="en-US"/>
              </w:rPr>
            </w:pPr>
            <w:r w:rsidRPr="006F5E1D">
              <w:rPr>
                <w:sz w:val="20"/>
                <w:szCs w:val="20"/>
                <w:lang w:val="en-US"/>
              </w:rPr>
              <w:t>Output 3.1.1 Activity 3.1.1.2</w:t>
            </w:r>
          </w:p>
          <w:p w14:paraId="00000BB6" w14:textId="5E74C115" w:rsidR="004F7DB3" w:rsidRPr="006F5E1D" w:rsidRDefault="352EB93F" w:rsidP="5D8904BE">
            <w:pPr>
              <w:widowControl w:val="0"/>
              <w:pBdr>
                <w:top w:val="nil"/>
                <w:left w:val="nil"/>
                <w:bottom w:val="nil"/>
                <w:right w:val="nil"/>
                <w:between w:val="nil"/>
              </w:pBdr>
              <w:spacing w:after="0" w:line="240" w:lineRule="auto"/>
              <w:rPr>
                <w:sz w:val="20"/>
                <w:szCs w:val="20"/>
                <w:lang w:val="en-US"/>
              </w:rPr>
            </w:pPr>
            <w:r w:rsidRPr="006F5E1D">
              <w:rPr>
                <w:sz w:val="20"/>
                <w:szCs w:val="20"/>
                <w:lang w:val="en-US"/>
              </w:rPr>
              <w:t>Output 3.1.3 Activit</w:t>
            </w:r>
            <w:r w:rsidR="78C6732E" w:rsidRPr="006F5E1D">
              <w:rPr>
                <w:sz w:val="20"/>
                <w:szCs w:val="20"/>
                <w:lang w:val="en-US"/>
              </w:rPr>
              <w:t>ies</w:t>
            </w:r>
            <w:r w:rsidRPr="006F5E1D">
              <w:rPr>
                <w:sz w:val="20"/>
                <w:szCs w:val="20"/>
                <w:lang w:val="en-US"/>
              </w:rPr>
              <w:t xml:space="preserve"> 3.1.3.2 </w:t>
            </w:r>
          </w:p>
          <w:p w14:paraId="00000BB7" w14:textId="7445BAF2" w:rsidR="004F7DB3" w:rsidRPr="006F5E1D" w:rsidRDefault="552CE4D7" w:rsidP="5D8904BE">
            <w:pPr>
              <w:widowControl w:val="0"/>
              <w:pBdr>
                <w:top w:val="nil"/>
                <w:left w:val="nil"/>
                <w:bottom w:val="nil"/>
                <w:right w:val="nil"/>
                <w:between w:val="nil"/>
              </w:pBdr>
              <w:spacing w:after="0" w:line="240" w:lineRule="auto"/>
              <w:rPr>
                <w:sz w:val="20"/>
                <w:szCs w:val="20"/>
                <w:lang w:val="en-US"/>
              </w:rPr>
            </w:pPr>
            <w:r w:rsidRPr="006F5E1D">
              <w:rPr>
                <w:sz w:val="20"/>
                <w:szCs w:val="20"/>
                <w:lang w:val="en-US"/>
              </w:rPr>
              <w:t>Output 3.1.4 Activities 3.1.4.</w:t>
            </w:r>
            <w:r w:rsidR="00336972">
              <w:rPr>
                <w:sz w:val="20"/>
                <w:szCs w:val="20"/>
                <w:lang w:val="en-US"/>
              </w:rPr>
              <w:t>2</w:t>
            </w:r>
            <w:r w:rsidRPr="006F5E1D">
              <w:rPr>
                <w:sz w:val="20"/>
                <w:szCs w:val="20"/>
                <w:lang w:val="en-US"/>
              </w:rPr>
              <w:t xml:space="preserve"> </w:t>
            </w:r>
          </w:p>
        </w:tc>
      </w:tr>
      <w:tr w:rsidR="4965508A" w:rsidRPr="003A21B0" w14:paraId="5AD4490A" w14:textId="77777777" w:rsidTr="4B3DA424">
        <w:trPr>
          <w:trHeight w:val="300"/>
        </w:trPr>
        <w:tc>
          <w:tcPr>
            <w:tcW w:w="2550" w:type="dxa"/>
            <w:tcMar>
              <w:top w:w="100" w:type="dxa"/>
              <w:left w:w="100" w:type="dxa"/>
              <w:bottom w:w="100" w:type="dxa"/>
              <w:right w:w="100" w:type="dxa"/>
            </w:tcMar>
          </w:tcPr>
          <w:p w14:paraId="6C2B018A" w14:textId="1BBD26D7" w:rsidR="00D50E74" w:rsidRPr="00B379A6" w:rsidRDefault="4C4978EB" w:rsidP="00D50E74">
            <w:pPr>
              <w:spacing w:after="0" w:line="276" w:lineRule="auto"/>
              <w:jc w:val="both"/>
              <w:rPr>
                <w:sz w:val="20"/>
                <w:szCs w:val="20"/>
                <w:lang w:val="en-US"/>
              </w:rPr>
            </w:pPr>
            <w:r w:rsidRPr="537FA187">
              <w:rPr>
                <w:i/>
                <w:iCs/>
                <w:sz w:val="20"/>
                <w:szCs w:val="20"/>
                <w:lang w:val="en-US"/>
              </w:rPr>
              <w:t xml:space="preserve">The </w:t>
            </w:r>
            <w:r w:rsidR="2E933566" w:rsidRPr="537FA187">
              <w:rPr>
                <w:sz w:val="20"/>
                <w:szCs w:val="20"/>
                <w:lang w:val="en-US"/>
              </w:rPr>
              <w:t>General Directorate of Territorial Collectivities (</w:t>
            </w:r>
            <w:r w:rsidR="32A2A905" w:rsidRPr="537FA187">
              <w:rPr>
                <w:sz w:val="20"/>
                <w:szCs w:val="20"/>
                <w:lang w:val="en-US"/>
              </w:rPr>
              <w:t>GDTC</w:t>
            </w:r>
            <w:r w:rsidR="2E933566" w:rsidRPr="537FA187">
              <w:rPr>
                <w:sz w:val="20"/>
                <w:szCs w:val="20"/>
                <w:lang w:val="en-US"/>
              </w:rPr>
              <w:t>)</w:t>
            </w:r>
          </w:p>
          <w:p w14:paraId="5E489722" w14:textId="48E6EE0A" w:rsidR="7B5F02BF" w:rsidRDefault="7B5F02BF" w:rsidP="4965508A">
            <w:pPr>
              <w:spacing w:line="240" w:lineRule="auto"/>
              <w:rPr>
                <w:i/>
                <w:iCs/>
                <w:sz w:val="20"/>
                <w:szCs w:val="20"/>
                <w:lang w:val="en-US"/>
              </w:rPr>
            </w:pPr>
          </w:p>
        </w:tc>
        <w:tc>
          <w:tcPr>
            <w:tcW w:w="6810" w:type="dxa"/>
            <w:tcMar>
              <w:top w:w="100" w:type="dxa"/>
              <w:left w:w="100" w:type="dxa"/>
              <w:bottom w:w="100" w:type="dxa"/>
              <w:right w:w="100" w:type="dxa"/>
            </w:tcMar>
          </w:tcPr>
          <w:p w14:paraId="6F7C3842" w14:textId="402039FD" w:rsidR="009A6A77" w:rsidRDefault="054F5EE8" w:rsidP="5D8904BE">
            <w:pPr>
              <w:spacing w:line="240" w:lineRule="auto"/>
              <w:rPr>
                <w:sz w:val="20"/>
                <w:szCs w:val="20"/>
                <w:lang w:val="en-US"/>
              </w:rPr>
            </w:pPr>
            <w:r w:rsidRPr="006F5E1D">
              <w:rPr>
                <w:sz w:val="20"/>
                <w:szCs w:val="20"/>
                <w:lang w:val="en-US"/>
              </w:rPr>
              <w:t xml:space="preserve">Output </w:t>
            </w:r>
            <w:r w:rsidR="5370E270" w:rsidRPr="006F5E1D">
              <w:rPr>
                <w:sz w:val="20"/>
                <w:szCs w:val="20"/>
                <w:lang w:val="en-US"/>
              </w:rPr>
              <w:t>1.1.1 Activit</w:t>
            </w:r>
            <w:r w:rsidR="009A6A77">
              <w:rPr>
                <w:sz w:val="20"/>
                <w:szCs w:val="20"/>
                <w:lang w:val="en-US"/>
              </w:rPr>
              <w:t xml:space="preserve">y 1.1.1.3 </w:t>
            </w:r>
            <w:r w:rsidR="5370E270" w:rsidRPr="006F5E1D">
              <w:rPr>
                <w:sz w:val="20"/>
                <w:szCs w:val="20"/>
                <w:lang w:val="en-US"/>
              </w:rPr>
              <w:t xml:space="preserve"> </w:t>
            </w:r>
          </w:p>
          <w:p w14:paraId="1E7E71F0" w14:textId="1040F18A" w:rsidR="4965508A" w:rsidRPr="006F5E1D" w:rsidRDefault="0016246B" w:rsidP="5D8904BE">
            <w:pPr>
              <w:spacing w:line="240" w:lineRule="auto"/>
              <w:rPr>
                <w:sz w:val="20"/>
                <w:szCs w:val="20"/>
                <w:lang w:val="en-US"/>
              </w:rPr>
            </w:pPr>
            <w:r>
              <w:rPr>
                <w:sz w:val="20"/>
                <w:szCs w:val="20"/>
                <w:lang w:val="en-US"/>
              </w:rPr>
              <w:t>O</w:t>
            </w:r>
            <w:r w:rsidR="0573AF64" w:rsidRPr="006F5E1D">
              <w:rPr>
                <w:sz w:val="20"/>
                <w:szCs w:val="20"/>
                <w:lang w:val="en-US"/>
              </w:rPr>
              <w:t xml:space="preserve">utput 3.1.4 Activity </w:t>
            </w:r>
            <w:r w:rsidR="7BC96CE4" w:rsidRPr="006F5E1D">
              <w:rPr>
                <w:sz w:val="20"/>
                <w:szCs w:val="20"/>
                <w:lang w:val="en-US"/>
              </w:rPr>
              <w:t>3.1.4.6</w:t>
            </w:r>
          </w:p>
        </w:tc>
      </w:tr>
      <w:tr w:rsidR="004F7DB3" w:rsidRPr="00F50786" w14:paraId="7769B18F" w14:textId="77777777" w:rsidTr="4B3DA424">
        <w:tc>
          <w:tcPr>
            <w:tcW w:w="2550" w:type="dxa"/>
            <w:tcMar>
              <w:top w:w="100" w:type="dxa"/>
              <w:left w:w="100" w:type="dxa"/>
              <w:bottom w:w="100" w:type="dxa"/>
              <w:right w:w="100" w:type="dxa"/>
            </w:tcMar>
          </w:tcPr>
          <w:p w14:paraId="00000BB8" w14:textId="77777777" w:rsidR="004F7DB3" w:rsidRPr="00263D2C" w:rsidRDefault="00C00123">
            <w:pPr>
              <w:widowControl w:val="0"/>
              <w:pBdr>
                <w:top w:val="nil"/>
                <w:left w:val="nil"/>
                <w:bottom w:val="nil"/>
                <w:right w:val="nil"/>
                <w:between w:val="nil"/>
              </w:pBdr>
              <w:spacing w:after="0" w:line="240" w:lineRule="auto"/>
              <w:rPr>
                <w:i/>
                <w:sz w:val="20"/>
                <w:szCs w:val="20"/>
                <w:lang w:val="en-US"/>
              </w:rPr>
            </w:pPr>
            <w:r w:rsidRPr="00263D2C">
              <w:rPr>
                <w:i/>
                <w:sz w:val="20"/>
                <w:szCs w:val="20"/>
                <w:lang w:val="en-US"/>
              </w:rPr>
              <w:t xml:space="preserve">The Directorate-General for Transport </w:t>
            </w:r>
          </w:p>
        </w:tc>
        <w:tc>
          <w:tcPr>
            <w:tcW w:w="6810" w:type="dxa"/>
            <w:tcMar>
              <w:top w:w="100" w:type="dxa"/>
              <w:left w:w="100" w:type="dxa"/>
              <w:bottom w:w="100" w:type="dxa"/>
              <w:right w:w="100" w:type="dxa"/>
            </w:tcMar>
          </w:tcPr>
          <w:p w14:paraId="5DDF97F4" w14:textId="1CC81369" w:rsidR="000663AC" w:rsidRDefault="000663AC" w:rsidP="000663AC">
            <w:pPr>
              <w:widowControl w:val="0"/>
              <w:pBdr>
                <w:top w:val="nil"/>
                <w:left w:val="nil"/>
                <w:bottom w:val="nil"/>
                <w:right w:val="nil"/>
                <w:between w:val="nil"/>
              </w:pBdr>
              <w:spacing w:after="0" w:line="240" w:lineRule="auto"/>
              <w:rPr>
                <w:sz w:val="20"/>
                <w:szCs w:val="20"/>
                <w:lang w:val="en-US"/>
              </w:rPr>
            </w:pPr>
            <w:r>
              <w:rPr>
                <w:sz w:val="20"/>
                <w:szCs w:val="20"/>
                <w:lang w:val="en-US"/>
              </w:rPr>
              <w:t>Output 1.1.2 Activity 1.1.2.1</w:t>
            </w:r>
          </w:p>
          <w:p w14:paraId="00000BB9" w14:textId="44B765BA" w:rsidR="004F7DB3" w:rsidRPr="006F5E1D" w:rsidRDefault="00C00123">
            <w:pPr>
              <w:widowControl w:val="0"/>
              <w:pBdr>
                <w:top w:val="nil"/>
                <w:left w:val="nil"/>
                <w:bottom w:val="nil"/>
                <w:right w:val="nil"/>
                <w:between w:val="nil"/>
              </w:pBdr>
              <w:spacing w:after="0" w:line="240" w:lineRule="auto"/>
              <w:rPr>
                <w:bCs/>
                <w:iCs/>
                <w:sz w:val="20"/>
                <w:szCs w:val="20"/>
                <w:lang w:val="en-US"/>
              </w:rPr>
            </w:pPr>
            <w:r w:rsidRPr="006F5E1D">
              <w:rPr>
                <w:bCs/>
                <w:iCs/>
                <w:sz w:val="20"/>
                <w:szCs w:val="20"/>
                <w:lang w:val="en-US"/>
              </w:rPr>
              <w:t>Output 2.1.1 (all activities)</w:t>
            </w:r>
          </w:p>
          <w:p w14:paraId="00000BBA" w14:textId="021E7595" w:rsidR="004F7DB3" w:rsidRPr="006F5E1D" w:rsidRDefault="352EB93F" w:rsidP="5D8904BE">
            <w:pPr>
              <w:widowControl w:val="0"/>
              <w:spacing w:after="0" w:line="240" w:lineRule="auto"/>
              <w:rPr>
                <w:bCs/>
                <w:iCs/>
                <w:sz w:val="20"/>
                <w:szCs w:val="20"/>
                <w:lang w:val="en-US"/>
              </w:rPr>
            </w:pPr>
            <w:r w:rsidRPr="006F5E1D">
              <w:rPr>
                <w:bCs/>
                <w:iCs/>
                <w:sz w:val="20"/>
                <w:szCs w:val="20"/>
                <w:lang w:val="en-US"/>
              </w:rPr>
              <w:t>Output 2.1.2 Activit</w:t>
            </w:r>
            <w:r w:rsidR="58DFA7F7" w:rsidRPr="006F5E1D">
              <w:rPr>
                <w:bCs/>
                <w:iCs/>
                <w:sz w:val="20"/>
                <w:szCs w:val="20"/>
                <w:lang w:val="en-US"/>
              </w:rPr>
              <w:t>ies</w:t>
            </w:r>
            <w:r w:rsidRPr="006F5E1D">
              <w:rPr>
                <w:bCs/>
                <w:iCs/>
                <w:sz w:val="20"/>
                <w:szCs w:val="20"/>
                <w:lang w:val="en-US"/>
              </w:rPr>
              <w:t xml:space="preserve"> 2.1.2.1 &amp; 2.1.2.2</w:t>
            </w:r>
          </w:p>
          <w:p w14:paraId="00000BBB" w14:textId="267F0670" w:rsidR="004F7DB3" w:rsidRPr="006F5E1D" w:rsidRDefault="352EB93F" w:rsidP="5D8904BE">
            <w:pPr>
              <w:widowControl w:val="0"/>
              <w:spacing w:after="0" w:line="240" w:lineRule="auto"/>
              <w:rPr>
                <w:bCs/>
                <w:iCs/>
                <w:sz w:val="20"/>
                <w:szCs w:val="20"/>
                <w:lang w:val="en-US"/>
              </w:rPr>
            </w:pPr>
            <w:r w:rsidRPr="006F5E1D">
              <w:rPr>
                <w:bCs/>
                <w:iCs/>
                <w:sz w:val="20"/>
                <w:szCs w:val="20"/>
                <w:lang w:val="en-US"/>
              </w:rPr>
              <w:t>Output 2.1.3 Activit</w:t>
            </w:r>
            <w:r w:rsidR="6FF27852" w:rsidRPr="006F5E1D">
              <w:rPr>
                <w:bCs/>
                <w:iCs/>
                <w:sz w:val="20"/>
                <w:szCs w:val="20"/>
                <w:lang w:val="en-US"/>
              </w:rPr>
              <w:t>ies</w:t>
            </w:r>
            <w:r w:rsidRPr="006F5E1D">
              <w:rPr>
                <w:bCs/>
                <w:iCs/>
                <w:sz w:val="20"/>
                <w:szCs w:val="20"/>
                <w:lang w:val="en-US"/>
              </w:rPr>
              <w:t xml:space="preserve"> 2.1.3.1 &amp; </w:t>
            </w:r>
            <w:proofErr w:type="gramStart"/>
            <w:r w:rsidRPr="006F5E1D">
              <w:rPr>
                <w:bCs/>
                <w:iCs/>
                <w:sz w:val="20"/>
                <w:szCs w:val="20"/>
                <w:lang w:val="en-US"/>
              </w:rPr>
              <w:t>2.1.3.2  &amp;</w:t>
            </w:r>
            <w:proofErr w:type="gramEnd"/>
            <w:r w:rsidRPr="006F5E1D">
              <w:rPr>
                <w:bCs/>
                <w:iCs/>
                <w:sz w:val="20"/>
                <w:szCs w:val="20"/>
                <w:lang w:val="en-US"/>
              </w:rPr>
              <w:t xml:space="preserve"> 2.1.3.</w:t>
            </w:r>
            <w:r w:rsidR="00035C63">
              <w:rPr>
                <w:bCs/>
                <w:iCs/>
                <w:sz w:val="20"/>
                <w:szCs w:val="20"/>
                <w:lang w:val="en-US"/>
              </w:rPr>
              <w:t>4</w:t>
            </w:r>
          </w:p>
          <w:p w14:paraId="00000BBC" w14:textId="77777777" w:rsidR="004F7DB3" w:rsidRPr="006F5E1D" w:rsidRDefault="00C00123">
            <w:pPr>
              <w:widowControl w:val="0"/>
              <w:spacing w:after="0" w:line="240" w:lineRule="auto"/>
              <w:rPr>
                <w:bCs/>
                <w:iCs/>
                <w:sz w:val="20"/>
                <w:szCs w:val="20"/>
                <w:lang w:val="en-US"/>
              </w:rPr>
            </w:pPr>
            <w:r w:rsidRPr="006F5E1D">
              <w:rPr>
                <w:bCs/>
                <w:iCs/>
                <w:sz w:val="20"/>
                <w:szCs w:val="20"/>
                <w:lang w:val="en-US"/>
              </w:rPr>
              <w:lastRenderedPageBreak/>
              <w:t>Output 2.1.4 (all activities)</w:t>
            </w:r>
          </w:p>
          <w:p w14:paraId="00000BBD" w14:textId="77777777" w:rsidR="004F7DB3" w:rsidRPr="006F5E1D" w:rsidRDefault="004F7DB3">
            <w:pPr>
              <w:widowControl w:val="0"/>
              <w:pBdr>
                <w:top w:val="nil"/>
                <w:left w:val="nil"/>
                <w:bottom w:val="nil"/>
                <w:right w:val="nil"/>
                <w:between w:val="nil"/>
              </w:pBdr>
              <w:spacing w:after="0" w:line="240" w:lineRule="auto"/>
              <w:rPr>
                <w:bCs/>
                <w:iCs/>
                <w:sz w:val="20"/>
                <w:szCs w:val="20"/>
                <w:lang w:val="en-US"/>
              </w:rPr>
            </w:pPr>
          </w:p>
        </w:tc>
      </w:tr>
      <w:tr w:rsidR="004F7DB3" w:rsidRPr="00F50786" w14:paraId="2CCDA905" w14:textId="77777777" w:rsidTr="4B3DA424">
        <w:tc>
          <w:tcPr>
            <w:tcW w:w="2550" w:type="dxa"/>
            <w:tcMar>
              <w:top w:w="100" w:type="dxa"/>
              <w:left w:w="100" w:type="dxa"/>
              <w:bottom w:w="100" w:type="dxa"/>
              <w:right w:w="100" w:type="dxa"/>
            </w:tcMar>
          </w:tcPr>
          <w:p w14:paraId="00000BBE" w14:textId="77777777" w:rsidR="004F7DB3" w:rsidRPr="00263D2C" w:rsidRDefault="00C00123">
            <w:pPr>
              <w:widowControl w:val="0"/>
              <w:pBdr>
                <w:top w:val="nil"/>
                <w:left w:val="nil"/>
                <w:bottom w:val="nil"/>
                <w:right w:val="nil"/>
                <w:between w:val="nil"/>
              </w:pBdr>
              <w:spacing w:after="0" w:line="240" w:lineRule="auto"/>
              <w:rPr>
                <w:i/>
                <w:sz w:val="20"/>
                <w:szCs w:val="20"/>
                <w:lang w:val="en-US"/>
              </w:rPr>
            </w:pPr>
            <w:r w:rsidRPr="00263D2C">
              <w:rPr>
                <w:i/>
                <w:sz w:val="20"/>
                <w:szCs w:val="20"/>
                <w:lang w:val="en-US"/>
              </w:rPr>
              <w:lastRenderedPageBreak/>
              <w:t>The Directorate-General for Water and Forests</w:t>
            </w:r>
          </w:p>
        </w:tc>
        <w:tc>
          <w:tcPr>
            <w:tcW w:w="6810" w:type="dxa"/>
            <w:tcMar>
              <w:top w:w="100" w:type="dxa"/>
              <w:left w:w="100" w:type="dxa"/>
              <w:bottom w:w="100" w:type="dxa"/>
              <w:right w:w="100" w:type="dxa"/>
            </w:tcMar>
          </w:tcPr>
          <w:p w14:paraId="00000BBF" w14:textId="77777777" w:rsidR="004F7DB3" w:rsidRPr="006F5E1D" w:rsidRDefault="00C00123">
            <w:pPr>
              <w:widowControl w:val="0"/>
              <w:pBdr>
                <w:top w:val="nil"/>
                <w:left w:val="nil"/>
                <w:bottom w:val="nil"/>
                <w:right w:val="nil"/>
                <w:between w:val="nil"/>
              </w:pBdr>
              <w:spacing w:after="0" w:line="240" w:lineRule="auto"/>
              <w:rPr>
                <w:bCs/>
                <w:iCs/>
                <w:sz w:val="20"/>
                <w:szCs w:val="20"/>
                <w:lang w:val="en-US"/>
              </w:rPr>
            </w:pPr>
            <w:r w:rsidRPr="006F5E1D">
              <w:rPr>
                <w:bCs/>
                <w:iCs/>
                <w:sz w:val="20"/>
                <w:szCs w:val="20"/>
                <w:lang w:val="en-US"/>
              </w:rPr>
              <w:t>Output 3.1.1 Activities 3.1.1.1 &amp; 3.1.1.3 &amp; 3.1.1.4</w:t>
            </w:r>
          </w:p>
          <w:p w14:paraId="00000BC0" w14:textId="77777777" w:rsidR="004F7DB3" w:rsidRPr="006F5E1D" w:rsidRDefault="00C00123">
            <w:pPr>
              <w:widowControl w:val="0"/>
              <w:pBdr>
                <w:top w:val="nil"/>
                <w:left w:val="nil"/>
                <w:bottom w:val="nil"/>
                <w:right w:val="nil"/>
                <w:between w:val="nil"/>
              </w:pBdr>
              <w:spacing w:after="0" w:line="240" w:lineRule="auto"/>
              <w:rPr>
                <w:bCs/>
                <w:iCs/>
                <w:sz w:val="20"/>
                <w:szCs w:val="20"/>
                <w:lang w:val="en-US"/>
              </w:rPr>
            </w:pPr>
            <w:r w:rsidRPr="006F5E1D">
              <w:rPr>
                <w:bCs/>
                <w:iCs/>
                <w:sz w:val="20"/>
                <w:szCs w:val="20"/>
                <w:lang w:val="en-US"/>
              </w:rPr>
              <w:t>Output 3.1.2 (all activities)</w:t>
            </w:r>
          </w:p>
          <w:p w14:paraId="00000BC1" w14:textId="53829A97" w:rsidR="004F7DB3" w:rsidRPr="00857B81" w:rsidRDefault="00C00123">
            <w:pPr>
              <w:widowControl w:val="0"/>
              <w:pBdr>
                <w:top w:val="nil"/>
                <w:left w:val="nil"/>
                <w:bottom w:val="nil"/>
                <w:right w:val="nil"/>
                <w:between w:val="nil"/>
              </w:pBdr>
              <w:spacing w:after="0" w:line="240" w:lineRule="auto"/>
              <w:rPr>
                <w:bCs/>
                <w:iCs/>
                <w:sz w:val="20"/>
                <w:szCs w:val="20"/>
                <w:lang w:val="en-US"/>
              </w:rPr>
            </w:pPr>
            <w:r w:rsidRPr="00857B81">
              <w:rPr>
                <w:bCs/>
                <w:iCs/>
                <w:sz w:val="20"/>
                <w:szCs w:val="20"/>
                <w:lang w:val="en-US"/>
              </w:rPr>
              <w:t>Output 3.1.3 Activity 3.1.3.1</w:t>
            </w:r>
            <w:r w:rsidR="00DD7FE9" w:rsidRPr="00857B81">
              <w:rPr>
                <w:bCs/>
                <w:iCs/>
                <w:sz w:val="20"/>
                <w:szCs w:val="20"/>
                <w:lang w:val="en-US"/>
              </w:rPr>
              <w:t xml:space="preserve"> </w:t>
            </w:r>
          </w:p>
          <w:p w14:paraId="00000BC2" w14:textId="54716533" w:rsidR="004F7DB3" w:rsidRPr="00857B81" w:rsidRDefault="352EB93F" w:rsidP="5D8904BE">
            <w:pPr>
              <w:widowControl w:val="0"/>
              <w:pBdr>
                <w:top w:val="nil"/>
                <w:left w:val="nil"/>
                <w:bottom w:val="nil"/>
                <w:right w:val="nil"/>
                <w:between w:val="nil"/>
              </w:pBdr>
              <w:spacing w:after="0" w:line="240" w:lineRule="auto"/>
              <w:rPr>
                <w:bCs/>
                <w:iCs/>
                <w:sz w:val="20"/>
                <w:szCs w:val="20"/>
                <w:lang w:val="en-US"/>
              </w:rPr>
            </w:pPr>
            <w:r w:rsidRPr="00857B81">
              <w:rPr>
                <w:bCs/>
                <w:iCs/>
                <w:sz w:val="20"/>
                <w:szCs w:val="20"/>
                <w:lang w:val="en-US"/>
              </w:rPr>
              <w:t xml:space="preserve">Output </w:t>
            </w:r>
            <w:proofErr w:type="gramStart"/>
            <w:r w:rsidRPr="00857B81">
              <w:rPr>
                <w:bCs/>
                <w:iCs/>
                <w:sz w:val="20"/>
                <w:szCs w:val="20"/>
                <w:lang w:val="en-US"/>
              </w:rPr>
              <w:t>3.1.4 ,</w:t>
            </w:r>
            <w:proofErr w:type="gramEnd"/>
            <w:r w:rsidRPr="00857B81">
              <w:rPr>
                <w:bCs/>
                <w:iCs/>
                <w:sz w:val="20"/>
                <w:szCs w:val="20"/>
                <w:lang w:val="en-US"/>
              </w:rPr>
              <w:t xml:space="preserve"> Activit</w:t>
            </w:r>
            <w:r w:rsidR="6322E427" w:rsidRPr="00857B81">
              <w:rPr>
                <w:bCs/>
                <w:iCs/>
                <w:sz w:val="20"/>
                <w:szCs w:val="20"/>
                <w:lang w:val="en-US"/>
              </w:rPr>
              <w:t>ies</w:t>
            </w:r>
            <w:r w:rsidRPr="00857B81">
              <w:rPr>
                <w:bCs/>
                <w:iCs/>
                <w:sz w:val="20"/>
                <w:szCs w:val="20"/>
                <w:lang w:val="en-US"/>
              </w:rPr>
              <w:t xml:space="preserve"> 3.1.4.1 &amp; 3.1.4.</w:t>
            </w:r>
            <w:r w:rsidR="00915101">
              <w:rPr>
                <w:bCs/>
                <w:iCs/>
                <w:sz w:val="20"/>
                <w:szCs w:val="20"/>
                <w:lang w:val="en-US"/>
              </w:rPr>
              <w:t>3</w:t>
            </w:r>
            <w:r w:rsidR="00A413E0">
              <w:rPr>
                <w:bCs/>
                <w:iCs/>
                <w:sz w:val="20"/>
                <w:szCs w:val="20"/>
                <w:lang w:val="en-US"/>
              </w:rPr>
              <w:t>s</w:t>
            </w:r>
          </w:p>
        </w:tc>
      </w:tr>
    </w:tbl>
    <w:p w14:paraId="00000BC3" w14:textId="77777777" w:rsidR="004F7DB3" w:rsidRPr="00857B81" w:rsidRDefault="004F7DB3">
      <w:pPr>
        <w:spacing w:after="0" w:line="240" w:lineRule="auto"/>
        <w:jc w:val="both"/>
        <w:rPr>
          <w:i/>
          <w:sz w:val="20"/>
          <w:szCs w:val="20"/>
          <w:highlight w:val="yellow"/>
          <w:lang w:val="en-US"/>
        </w:rPr>
      </w:pPr>
    </w:p>
    <w:p w14:paraId="00000BC4" w14:textId="40BDA561" w:rsidR="004F7DB3" w:rsidRPr="00263D2C" w:rsidRDefault="6DE85D1E">
      <w:pPr>
        <w:spacing w:after="0" w:line="240" w:lineRule="auto"/>
        <w:jc w:val="both"/>
        <w:rPr>
          <w:sz w:val="20"/>
          <w:szCs w:val="20"/>
          <w:lang w:val="en-US"/>
        </w:rPr>
      </w:pPr>
      <w:r w:rsidRPr="537FA187">
        <w:rPr>
          <w:sz w:val="20"/>
          <w:szCs w:val="20"/>
          <w:lang w:val="en-US"/>
        </w:rPr>
        <w:t>The National Directorate of Urban Planning and Housing (</w:t>
      </w:r>
      <w:r w:rsidR="69663027" w:rsidRPr="537FA187">
        <w:rPr>
          <w:sz w:val="20"/>
          <w:szCs w:val="20"/>
          <w:lang w:val="en-US"/>
        </w:rPr>
        <w:t>NDUPH</w:t>
      </w:r>
      <w:r w:rsidRPr="537FA187">
        <w:rPr>
          <w:sz w:val="20"/>
          <w:szCs w:val="20"/>
          <w:lang w:val="en-US"/>
        </w:rPr>
        <w:t xml:space="preserve">) may enter into formal agreements with other organizations, designated as responsible parties, </w:t>
      </w:r>
      <w:proofErr w:type="gramStart"/>
      <w:r w:rsidRPr="537FA187">
        <w:rPr>
          <w:sz w:val="20"/>
          <w:szCs w:val="20"/>
          <w:lang w:val="en-US"/>
        </w:rPr>
        <w:t>in order to</w:t>
      </w:r>
      <w:proofErr w:type="gramEnd"/>
      <w:r w:rsidRPr="537FA187">
        <w:rPr>
          <w:sz w:val="20"/>
          <w:szCs w:val="20"/>
          <w:lang w:val="en-US"/>
        </w:rPr>
        <w:t xml:space="preserve"> provide goods and/or services, implement project activities, or contribute to the achievement of expected results, by mobilizing resources from the project budget. The use of these responsible parties allows implementing partners to capitalize on specific technical expertise, reduce certain operational risks, and reduce the overall administrative burden. </w:t>
      </w:r>
    </w:p>
    <w:p w14:paraId="4524E271" w14:textId="218980B2" w:rsidR="24AA8F7E" w:rsidRDefault="24AA8F7E" w:rsidP="24AA8F7E">
      <w:pPr>
        <w:spacing w:after="0" w:line="240" w:lineRule="auto"/>
        <w:jc w:val="both"/>
        <w:rPr>
          <w:sz w:val="20"/>
          <w:szCs w:val="20"/>
          <w:lang w:val="en-US"/>
        </w:rPr>
      </w:pPr>
    </w:p>
    <w:p w14:paraId="00000BC5" w14:textId="6CC1D0F8" w:rsidR="004F7DB3" w:rsidRPr="00263D2C" w:rsidRDefault="6DE85D1E">
      <w:pPr>
        <w:spacing w:after="0" w:line="240" w:lineRule="auto"/>
        <w:jc w:val="both"/>
        <w:rPr>
          <w:sz w:val="20"/>
          <w:szCs w:val="20"/>
          <w:lang w:val="en-US"/>
        </w:rPr>
      </w:pPr>
      <w:r w:rsidRPr="537FA187">
        <w:rPr>
          <w:sz w:val="20"/>
          <w:szCs w:val="20"/>
          <w:lang w:val="en-US"/>
        </w:rPr>
        <w:t xml:space="preserve">The responsible parties are directly accountable to the </w:t>
      </w:r>
      <w:r w:rsidR="1FD3CEF9" w:rsidRPr="537FA187">
        <w:rPr>
          <w:sz w:val="20"/>
          <w:szCs w:val="20"/>
          <w:lang w:val="en-US"/>
        </w:rPr>
        <w:t xml:space="preserve">NDUPH </w:t>
      </w:r>
      <w:r w:rsidRPr="537FA187">
        <w:rPr>
          <w:sz w:val="20"/>
          <w:szCs w:val="20"/>
          <w:lang w:val="en-US"/>
        </w:rPr>
        <w:t xml:space="preserve">in accordance with the terms of their agreement. Since responsible parties play an implementing role and are directly accountable to the implementing partner (the </w:t>
      </w:r>
      <w:r w:rsidR="1832C379" w:rsidRPr="537FA187">
        <w:rPr>
          <w:sz w:val="20"/>
          <w:szCs w:val="20"/>
          <w:lang w:val="en-US"/>
        </w:rPr>
        <w:t>NDUPH</w:t>
      </w:r>
      <w:r w:rsidRPr="537FA187">
        <w:rPr>
          <w:sz w:val="20"/>
          <w:szCs w:val="20"/>
          <w:lang w:val="en-US"/>
        </w:rPr>
        <w:t>), responsible parties should never sit on the project steering committee to avoid any conflict of interest</w:t>
      </w:r>
    </w:p>
    <w:p w14:paraId="7B39CAF9" w14:textId="23B8A19D" w:rsidR="24AA8F7E" w:rsidRDefault="24AA8F7E" w:rsidP="24AA8F7E">
      <w:pPr>
        <w:spacing w:after="0" w:line="240" w:lineRule="auto"/>
        <w:jc w:val="both"/>
        <w:rPr>
          <w:sz w:val="20"/>
          <w:szCs w:val="20"/>
          <w:lang w:val="en-US"/>
        </w:rPr>
      </w:pPr>
    </w:p>
    <w:p w14:paraId="00000BC7" w14:textId="633430E9" w:rsidR="004F7DB3" w:rsidRPr="00263D2C" w:rsidRDefault="598651F0" w:rsidP="5D8904BE">
      <w:pPr>
        <w:shd w:val="clear" w:color="auto" w:fill="FFFFFF" w:themeFill="background1"/>
        <w:spacing w:after="240" w:line="240" w:lineRule="auto"/>
        <w:rPr>
          <w:sz w:val="20"/>
          <w:szCs w:val="20"/>
          <w:lang w:val="en-US"/>
        </w:rPr>
      </w:pPr>
      <w:r w:rsidRPr="537FA187">
        <w:rPr>
          <w:sz w:val="20"/>
          <w:szCs w:val="20"/>
          <w:lang w:val="en-US"/>
        </w:rPr>
        <w:t xml:space="preserve">The </w:t>
      </w:r>
      <w:r w:rsidR="69663027" w:rsidRPr="537FA187">
        <w:rPr>
          <w:sz w:val="20"/>
          <w:szCs w:val="20"/>
          <w:lang w:val="en-US"/>
        </w:rPr>
        <w:t>NDUPH</w:t>
      </w:r>
      <w:r w:rsidRPr="537FA187">
        <w:rPr>
          <w:sz w:val="20"/>
          <w:szCs w:val="20"/>
          <w:lang w:val="en-US"/>
        </w:rPr>
        <w:t xml:space="preserve"> reports to the Steering Committee, together with the responsible parties, on the implementation of the project. It is based on a coordination and monitoring mechanism involving these responsible parties to ensure coherent and integrated implementation at the project level.</w:t>
      </w:r>
    </w:p>
    <w:p w14:paraId="00000BC8" w14:textId="502C54C5" w:rsidR="004F7DB3" w:rsidRPr="00263D2C" w:rsidRDefault="598651F0" w:rsidP="5D8904BE">
      <w:pPr>
        <w:shd w:val="clear" w:color="auto" w:fill="FFFFFF" w:themeFill="background1"/>
        <w:spacing w:before="240" w:after="240" w:line="240" w:lineRule="auto"/>
        <w:rPr>
          <w:sz w:val="20"/>
          <w:szCs w:val="20"/>
          <w:lang w:val="en-US"/>
        </w:rPr>
      </w:pPr>
      <w:r w:rsidRPr="2DC80E69">
        <w:rPr>
          <w:sz w:val="20"/>
          <w:szCs w:val="20"/>
          <w:lang w:val="en-US"/>
        </w:rPr>
        <w:t xml:space="preserve">This mechanism can also serve as a platform for exchange with representatives of other projects identified for co-financing or to establish operational synergies with a view to achieving the results of the </w:t>
      </w:r>
      <w:r w:rsidR="68B7538D" w:rsidRPr="2DC80E69">
        <w:rPr>
          <w:sz w:val="20"/>
          <w:szCs w:val="20"/>
          <w:lang w:val="en-US"/>
        </w:rPr>
        <w:t xml:space="preserve">IUDP </w:t>
      </w:r>
      <w:r w:rsidR="383CE118" w:rsidRPr="2DC80E69">
        <w:rPr>
          <w:sz w:val="20"/>
          <w:szCs w:val="20"/>
          <w:lang w:val="en-US"/>
        </w:rPr>
        <w:t>i</w:t>
      </w:r>
      <w:r w:rsidRPr="2DC80E69">
        <w:rPr>
          <w:sz w:val="20"/>
          <w:szCs w:val="20"/>
          <w:lang w:val="en-US"/>
        </w:rPr>
        <w:t xml:space="preserve">n Bamako. For example, the PRUBA, </w:t>
      </w:r>
      <w:r w:rsidR="4E7D9AD9" w:rsidRPr="2DC80E69">
        <w:rPr>
          <w:sz w:val="20"/>
          <w:szCs w:val="20"/>
          <w:lang w:val="en-US"/>
        </w:rPr>
        <w:t xml:space="preserve">PRTD, </w:t>
      </w:r>
      <w:r w:rsidR="0EF170D9" w:rsidRPr="2DC80E69">
        <w:rPr>
          <w:sz w:val="20"/>
          <w:szCs w:val="20"/>
          <w:lang w:val="en-US"/>
        </w:rPr>
        <w:t>AMP, and</w:t>
      </w:r>
      <w:r w:rsidRPr="2DC80E69">
        <w:rPr>
          <w:sz w:val="20"/>
          <w:szCs w:val="20"/>
          <w:lang w:val="en-US"/>
        </w:rPr>
        <w:t xml:space="preserve"> BIOFIN projects could be </w:t>
      </w:r>
      <w:r w:rsidR="4E7D9AD9" w:rsidRPr="2DC80E69">
        <w:rPr>
          <w:sz w:val="20"/>
          <w:szCs w:val="20"/>
          <w:lang w:val="en-US"/>
        </w:rPr>
        <w:t>mobilized</w:t>
      </w:r>
      <w:r w:rsidRPr="2DC80E69">
        <w:rPr>
          <w:sz w:val="20"/>
          <w:szCs w:val="20"/>
          <w:lang w:val="en-US"/>
        </w:rPr>
        <w:t xml:space="preserve"> in this context.</w:t>
      </w:r>
    </w:p>
    <w:p w14:paraId="00000BC9" w14:textId="77777777" w:rsidR="004F7DB3" w:rsidRPr="00263D2C" w:rsidRDefault="552CE4D7">
      <w:pPr>
        <w:spacing w:after="0" w:line="240" w:lineRule="auto"/>
        <w:jc w:val="both"/>
        <w:rPr>
          <w:sz w:val="20"/>
          <w:szCs w:val="20"/>
          <w:lang w:val="en-US"/>
        </w:rPr>
      </w:pPr>
      <w:r w:rsidRPr="5D8904BE">
        <w:rPr>
          <w:sz w:val="20"/>
          <w:szCs w:val="20"/>
          <w:u w:val="single"/>
          <w:lang w:val="en-US"/>
        </w:rPr>
        <w:t>Project stakeholders and target groups</w:t>
      </w:r>
      <w:r w:rsidRPr="5D8904BE">
        <w:rPr>
          <w:sz w:val="20"/>
          <w:szCs w:val="20"/>
          <w:lang w:val="en-US"/>
        </w:rPr>
        <w:t>: The participatory and inclusive approach is one of the foundations of the project, integrated from the formulation phase. It guarantees the ownership, legitimacy and sustainability of the results. Extensive multi-stakeholder consultations were conducted during the Preparation Phase (PPG), including one-on-one interviews, focus group discussions, and kick-off, consultation and validation workshops. These steps will continue throughout implementation.</w:t>
      </w:r>
    </w:p>
    <w:p w14:paraId="00000BCA" w14:textId="77777777" w:rsidR="004F7DB3" w:rsidRPr="00263D2C" w:rsidRDefault="552CE4D7">
      <w:pPr>
        <w:spacing w:before="240" w:after="240" w:line="240" w:lineRule="auto"/>
        <w:jc w:val="both"/>
        <w:rPr>
          <w:sz w:val="20"/>
          <w:szCs w:val="20"/>
          <w:lang w:val="en-US"/>
        </w:rPr>
      </w:pPr>
      <w:r w:rsidRPr="5D8904BE">
        <w:rPr>
          <w:sz w:val="20"/>
          <w:szCs w:val="20"/>
          <w:lang w:val="en-US"/>
        </w:rPr>
        <w:t>During the PPG phase, stakeholders were invited to actively contribute to the design of the project, sharing information, providing feedback and defining the roles they can play in collectively addressing the challenges of sustainable urban development. Their contributions fed into the content of the project document and helped to ensure its local roots.</w:t>
      </w:r>
    </w:p>
    <w:p w14:paraId="00000BCB" w14:textId="77777777" w:rsidR="004F7DB3" w:rsidRPr="00263D2C" w:rsidRDefault="00C00123">
      <w:pPr>
        <w:spacing w:before="240" w:after="240" w:line="240" w:lineRule="auto"/>
        <w:jc w:val="both"/>
        <w:rPr>
          <w:sz w:val="20"/>
          <w:szCs w:val="20"/>
          <w:lang w:val="en-US"/>
        </w:rPr>
      </w:pPr>
      <w:r w:rsidRPr="00263D2C">
        <w:rPr>
          <w:sz w:val="20"/>
          <w:szCs w:val="20"/>
          <w:lang w:val="en-US"/>
        </w:rPr>
        <w:t>During the implementation phase, stakeholders and target groups will continue to play an active role in decision-making, through several mechanisms:</w:t>
      </w:r>
    </w:p>
    <w:p w14:paraId="2A17C0D5" w14:textId="4FBAF61E" w:rsidR="007A1D84" w:rsidRDefault="352EB93F" w:rsidP="001360BB">
      <w:pPr>
        <w:numPr>
          <w:ilvl w:val="0"/>
          <w:numId w:val="181"/>
        </w:numPr>
        <w:spacing w:before="240" w:after="60" w:line="276" w:lineRule="auto"/>
        <w:jc w:val="both"/>
        <w:rPr>
          <w:sz w:val="20"/>
          <w:szCs w:val="20"/>
          <w:lang w:val="en-US"/>
        </w:rPr>
      </w:pPr>
      <w:r w:rsidRPr="5D8904BE">
        <w:rPr>
          <w:b/>
          <w:bCs/>
          <w:sz w:val="20"/>
          <w:szCs w:val="20"/>
          <w:lang w:val="en-US"/>
        </w:rPr>
        <w:t xml:space="preserve">Project Inception </w:t>
      </w:r>
      <w:proofErr w:type="gramStart"/>
      <w:r w:rsidRPr="5D8904BE">
        <w:rPr>
          <w:b/>
          <w:bCs/>
          <w:sz w:val="20"/>
          <w:szCs w:val="20"/>
          <w:lang w:val="en-US"/>
        </w:rPr>
        <w:t>Workshop</w:t>
      </w:r>
      <w:r w:rsidRPr="5D8904BE">
        <w:rPr>
          <w:sz w:val="20"/>
          <w:szCs w:val="20"/>
          <w:lang w:val="en-US"/>
        </w:rPr>
        <w:t xml:space="preserve"> :</w:t>
      </w:r>
      <w:proofErr w:type="gramEnd"/>
      <w:r w:rsidRPr="5D8904BE">
        <w:rPr>
          <w:sz w:val="20"/>
          <w:szCs w:val="20"/>
          <w:lang w:val="en-US"/>
        </w:rPr>
        <w:t xml:space="preserve"> This will bring together all key stakeholders to present the project objectives and discuss the inception report. This workshop will serve as a framework to refine the work plan </w:t>
      </w:r>
      <w:proofErr w:type="gramStart"/>
      <w:r w:rsidRPr="5D8904BE">
        <w:rPr>
          <w:sz w:val="20"/>
          <w:szCs w:val="20"/>
          <w:lang w:val="en-US"/>
        </w:rPr>
        <w:t>taking into account</w:t>
      </w:r>
      <w:proofErr w:type="gramEnd"/>
      <w:r w:rsidRPr="5D8904BE">
        <w:rPr>
          <w:sz w:val="20"/>
          <w:szCs w:val="20"/>
          <w:lang w:val="en-US"/>
        </w:rPr>
        <w:t xml:space="preserve"> the feedback of the participants. The results will be widely disseminated under the knowledge management and communication component (Component 5)</w:t>
      </w:r>
      <w:r w:rsidR="1D88ABA3" w:rsidRPr="5D8904BE">
        <w:rPr>
          <w:sz w:val="20"/>
          <w:szCs w:val="20"/>
          <w:lang w:val="en-US"/>
        </w:rPr>
        <w:t>,</w:t>
      </w:r>
    </w:p>
    <w:p w14:paraId="1E624E24" w14:textId="4348D04D" w:rsidR="007E797D" w:rsidRPr="007A1D84" w:rsidRDefault="352EB93F" w:rsidP="001360BB">
      <w:pPr>
        <w:pStyle w:val="Paragraphedeliste"/>
        <w:numPr>
          <w:ilvl w:val="0"/>
          <w:numId w:val="79"/>
        </w:numPr>
        <w:spacing w:after="60" w:line="276" w:lineRule="auto"/>
        <w:jc w:val="both"/>
        <w:rPr>
          <w:lang w:val="en-US"/>
        </w:rPr>
      </w:pPr>
      <w:r w:rsidRPr="5D8904BE">
        <w:rPr>
          <w:b/>
          <w:bCs/>
          <w:sz w:val="20"/>
          <w:szCs w:val="20"/>
          <w:lang w:val="en-US"/>
        </w:rPr>
        <w:t>Public-Private Coordination Platform for Sustainable Cities (Component 1):</w:t>
      </w:r>
      <w:r w:rsidRPr="5D8904BE">
        <w:rPr>
          <w:sz w:val="20"/>
          <w:szCs w:val="20"/>
          <w:lang w:val="en-US"/>
        </w:rPr>
        <w:t xml:space="preserve"> This platform will facilitate ongoing exchanges between stakeholders (Institutional, CSOs, Private Sector) and the Project Management Unit (PMU), in connection with governance, planning and integrated urban development issues in Bamako.</w:t>
      </w:r>
    </w:p>
    <w:p w14:paraId="190F1B23" w14:textId="1DB38C70" w:rsidR="007E797D" w:rsidRPr="007A1D84" w:rsidRDefault="54497275" w:rsidP="001360BB">
      <w:pPr>
        <w:pStyle w:val="Paragraphedeliste"/>
        <w:numPr>
          <w:ilvl w:val="0"/>
          <w:numId w:val="79"/>
        </w:numPr>
        <w:spacing w:before="240" w:after="60" w:line="276" w:lineRule="auto"/>
        <w:jc w:val="both"/>
        <w:rPr>
          <w:lang w:val="en-US"/>
        </w:rPr>
      </w:pPr>
      <w:r w:rsidRPr="3D58A386">
        <w:rPr>
          <w:b/>
          <w:bCs/>
          <w:sz w:val="20"/>
          <w:szCs w:val="20"/>
          <w:lang w:val="en-US"/>
        </w:rPr>
        <w:t>Steering Committee</w:t>
      </w:r>
      <w:r w:rsidRPr="3D58A386">
        <w:rPr>
          <w:sz w:val="20"/>
          <w:szCs w:val="20"/>
          <w:lang w:val="en-US"/>
        </w:rPr>
        <w:t>: The supreme strategic steering body, it brings together the representatives of the beneficiaries, the project executive and the development partners. It will make key decisions on the work plan, the progress of activities and any adjustments to be made.</w:t>
      </w:r>
    </w:p>
    <w:p w14:paraId="774AAE2F" w14:textId="0C1F6A00" w:rsidR="007E797D" w:rsidRPr="007A1D84" w:rsidRDefault="54497275" w:rsidP="001360BB">
      <w:pPr>
        <w:pStyle w:val="Paragraphedeliste"/>
        <w:numPr>
          <w:ilvl w:val="0"/>
          <w:numId w:val="79"/>
        </w:numPr>
        <w:spacing w:before="240" w:after="60" w:line="276" w:lineRule="auto"/>
        <w:jc w:val="both"/>
        <w:rPr>
          <w:lang w:val="en-US"/>
        </w:rPr>
      </w:pPr>
      <w:r w:rsidRPr="3D58A386">
        <w:rPr>
          <w:b/>
          <w:bCs/>
          <w:sz w:val="20"/>
          <w:szCs w:val="20"/>
          <w:lang w:val="en-US"/>
        </w:rPr>
        <w:lastRenderedPageBreak/>
        <w:t xml:space="preserve">Regular </w:t>
      </w:r>
      <w:proofErr w:type="gramStart"/>
      <w:r w:rsidRPr="3D58A386">
        <w:rPr>
          <w:b/>
          <w:bCs/>
          <w:sz w:val="20"/>
          <w:szCs w:val="20"/>
          <w:lang w:val="en-US"/>
        </w:rPr>
        <w:t>interactions</w:t>
      </w:r>
      <w:r w:rsidRPr="3D58A386">
        <w:rPr>
          <w:sz w:val="20"/>
          <w:szCs w:val="20"/>
          <w:lang w:val="en-US"/>
        </w:rPr>
        <w:t xml:space="preserve"> :</w:t>
      </w:r>
      <w:proofErr w:type="gramEnd"/>
      <w:r w:rsidRPr="3D58A386">
        <w:rPr>
          <w:sz w:val="20"/>
          <w:szCs w:val="20"/>
          <w:lang w:val="en-US"/>
        </w:rPr>
        <w:t xml:space="preserve"> Ongoing consultations will be held in the form of technical meetings, thematic workshops, training sessions, awareness campaigns and other collaborative events, to ensure informed and inclusive decision-making.</w:t>
      </w:r>
    </w:p>
    <w:p w14:paraId="52C82658" w14:textId="1D5439D5" w:rsidR="007E797D" w:rsidRPr="007A1D84" w:rsidRDefault="02EEEF11" w:rsidP="001360BB">
      <w:pPr>
        <w:pStyle w:val="Paragraphedeliste"/>
        <w:numPr>
          <w:ilvl w:val="0"/>
          <w:numId w:val="79"/>
        </w:numPr>
        <w:spacing w:before="240" w:after="60" w:line="276" w:lineRule="auto"/>
        <w:jc w:val="both"/>
        <w:rPr>
          <w:lang w:val="en-US"/>
        </w:rPr>
      </w:pPr>
      <w:r w:rsidRPr="3D58A386">
        <w:rPr>
          <w:b/>
          <w:bCs/>
          <w:sz w:val="20"/>
          <w:szCs w:val="20"/>
          <w:lang w:val="en-US"/>
        </w:rPr>
        <w:t xml:space="preserve">Progress and monitoring </w:t>
      </w:r>
      <w:proofErr w:type="gramStart"/>
      <w:r w:rsidRPr="3D58A386">
        <w:rPr>
          <w:b/>
          <w:bCs/>
          <w:sz w:val="20"/>
          <w:szCs w:val="20"/>
          <w:lang w:val="en-US"/>
        </w:rPr>
        <w:t>reports</w:t>
      </w:r>
      <w:r w:rsidRPr="3D58A386">
        <w:rPr>
          <w:sz w:val="20"/>
          <w:szCs w:val="20"/>
          <w:lang w:val="en-US"/>
        </w:rPr>
        <w:t xml:space="preserve"> :</w:t>
      </w:r>
      <w:proofErr w:type="gramEnd"/>
      <w:r w:rsidRPr="3D58A386">
        <w:rPr>
          <w:sz w:val="20"/>
          <w:szCs w:val="20"/>
          <w:lang w:val="en-US"/>
        </w:rPr>
        <w:t xml:space="preserve"> These will be produced regularly, shared with relevant </w:t>
      </w:r>
      <w:r w:rsidR="08735CCA" w:rsidRPr="3D58A386">
        <w:rPr>
          <w:sz w:val="20"/>
          <w:szCs w:val="20"/>
          <w:lang w:val="en-US"/>
        </w:rPr>
        <w:t>stakeholders,</w:t>
      </w:r>
      <w:r w:rsidRPr="3D58A386">
        <w:rPr>
          <w:sz w:val="20"/>
          <w:szCs w:val="20"/>
          <w:lang w:val="en-US"/>
        </w:rPr>
        <w:t xml:space="preserve"> and used as a transparency and decision-making tool.</w:t>
      </w:r>
    </w:p>
    <w:p w14:paraId="7226110E" w14:textId="60E53919" w:rsidR="3EE7157C" w:rsidRDefault="454937C8" w:rsidP="24AA8F7E">
      <w:pPr>
        <w:spacing w:after="0"/>
        <w:jc w:val="both"/>
        <w:rPr>
          <w:sz w:val="20"/>
          <w:szCs w:val="20"/>
          <w:lang w:val="en-US"/>
        </w:rPr>
      </w:pPr>
      <w:r w:rsidRPr="5D8904BE">
        <w:rPr>
          <w:sz w:val="20"/>
          <w:szCs w:val="20"/>
          <w:u w:val="single"/>
          <w:lang w:val="en-US"/>
        </w:rPr>
        <w:t>UNDP:</w:t>
      </w:r>
      <w:r w:rsidRPr="5D8904BE">
        <w:rPr>
          <w:sz w:val="20"/>
          <w:szCs w:val="20"/>
          <w:lang w:val="en-US"/>
        </w:rPr>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w:t>
      </w:r>
      <w:r w:rsidRPr="5D8904BE">
        <w:rPr>
          <w:b/>
          <w:bCs/>
          <w:sz w:val="20"/>
          <w:szCs w:val="20"/>
          <w:lang w:val="en-US"/>
        </w:rPr>
        <w:t>The UNDP GEF Executive Coordinator, in consultation with UNDP Bureaus and the Implementing Partner, retains the right to revoke the project DOA, suspend or cancel this GEF project.</w:t>
      </w:r>
      <w:r w:rsidRPr="5D8904BE">
        <w:rPr>
          <w:sz w:val="20"/>
          <w:szCs w:val="20"/>
          <w:lang w:val="en-US"/>
        </w:rPr>
        <w:t xml:space="preserve"> UNDP is responsible for the Project Assurance function in the project governance structure and presents to the Project Board and attends Project Board meetings as a non-voting member.</w:t>
      </w:r>
    </w:p>
    <w:p w14:paraId="1876C4B8" w14:textId="77777777" w:rsidR="00D70D19" w:rsidRDefault="00D70D19" w:rsidP="24AA8F7E">
      <w:pPr>
        <w:spacing w:after="0"/>
        <w:jc w:val="both"/>
        <w:rPr>
          <w:sz w:val="20"/>
          <w:szCs w:val="20"/>
          <w:lang w:val="en-US"/>
        </w:rPr>
      </w:pPr>
    </w:p>
    <w:p w14:paraId="33FF338D" w14:textId="77777777" w:rsidR="00D70D19" w:rsidRPr="005C5B44" w:rsidRDefault="00D70D19" w:rsidP="00D70D19">
      <w:pPr>
        <w:rPr>
          <w:b/>
          <w:bCs/>
          <w:sz w:val="20"/>
          <w:szCs w:val="20"/>
          <w:lang w:val="en-US"/>
        </w:rPr>
      </w:pPr>
    </w:p>
    <w:p w14:paraId="60696703" w14:textId="77777777" w:rsidR="00D70D19" w:rsidRPr="00857B81" w:rsidRDefault="00D70D19" w:rsidP="00D70D19">
      <w:pPr>
        <w:rPr>
          <w:sz w:val="20"/>
          <w:szCs w:val="20"/>
          <w:highlight w:val="yellow"/>
          <w:lang w:val="en-US"/>
        </w:rPr>
      </w:pPr>
      <w:r w:rsidRPr="00857B81">
        <w:rPr>
          <w:b/>
          <w:bCs/>
          <w:sz w:val="20"/>
          <w:szCs w:val="20"/>
          <w:highlight w:val="yellow"/>
          <w:lang w:val="en-US"/>
        </w:rPr>
        <w:t>Role of the City Hall of Bamako</w:t>
      </w:r>
      <w:r w:rsidRPr="00857B81">
        <w:rPr>
          <w:sz w:val="20"/>
          <w:szCs w:val="20"/>
          <w:highlight w:val="yellow"/>
          <w:lang w:val="en-US"/>
        </w:rPr>
        <w:t xml:space="preserve">: </w:t>
      </w:r>
    </w:p>
    <w:p w14:paraId="4534E19B" w14:textId="46A1C02C" w:rsidR="00D70D19" w:rsidRPr="00296426" w:rsidRDefault="00D70D19" w:rsidP="00857B81">
      <w:pPr>
        <w:spacing w:after="0"/>
        <w:ind w:left="720"/>
        <w:jc w:val="both"/>
        <w:rPr>
          <w:sz w:val="20"/>
          <w:szCs w:val="20"/>
          <w:lang w:val="en-US"/>
        </w:rPr>
      </w:pPr>
      <w:r w:rsidRPr="00857B81">
        <w:rPr>
          <w:rFonts w:eastAsiaTheme="minorEastAsia"/>
          <w:sz w:val="20"/>
          <w:szCs w:val="20"/>
          <w:highlight w:val="yellow"/>
          <w:lang w:val="en-US"/>
        </w:rPr>
        <w:t xml:space="preserve">The City Hall of Bamako, as the principal owner and a responsible party of the Integrated Urban Development Project (IUDP), has demonstrated strong institutional commitment and leadership in advancing the project’s co-construction, which will be implemented in coordination with the other responsible parties, under the umbrella of the NDUPH. Beyond its formal role of Responsible Party, the City Hall has actively engaged in shaping key project components, particularly those related to sustainable mobility, green infrastructure, and inclusive urban governance. Recent consultations confirmed its proactive stance on enhancing public-private partnerships (PPP), with concrete initiatives already underway—including planned investments in modern waste management and multi-level parking infrastructure. The municipality also expressed strong interest in leveraging the IUDP to improve local revenue mobilization and fiscal governance, including exploring innovative digital solutions for tax collection. Through its active participation, the City Hall reaffirms its dedication to co-implementing a resilient, low-carbon, and inclusive urban transformation for Bamako, ensuring alignment between the project’s outcomes and local development priorities. </w:t>
      </w:r>
      <w:r w:rsidRPr="00857B81">
        <w:rPr>
          <w:sz w:val="20"/>
          <w:szCs w:val="20"/>
          <w:highlight w:val="yellow"/>
          <w:lang w:val="en-US"/>
        </w:rPr>
        <w:t>It is worth noting that Bamako City Hall maintains a strong partnership with the NDUPH through the PRUBA project, which is one of the principal stakeholders. This is particularly relevant to the IUDP, given the strong linkages between the two initiatives.</w:t>
      </w:r>
    </w:p>
    <w:p w14:paraId="00000BD4" w14:textId="7EF6EDCF" w:rsidR="004F7DB3" w:rsidRPr="00296426" w:rsidRDefault="004F7DB3" w:rsidP="5D8904BE">
      <w:pPr>
        <w:spacing w:before="240" w:after="240" w:line="240" w:lineRule="auto"/>
        <w:jc w:val="both"/>
        <w:rPr>
          <w:sz w:val="20"/>
          <w:szCs w:val="20"/>
          <w:lang w:val="en-US"/>
        </w:rPr>
      </w:pPr>
    </w:p>
    <w:p w14:paraId="00000BD5" w14:textId="77777777" w:rsidR="004F7DB3" w:rsidRPr="00263D2C" w:rsidRDefault="00C00123">
      <w:pPr>
        <w:spacing w:after="0" w:line="240" w:lineRule="auto"/>
        <w:jc w:val="both"/>
        <w:rPr>
          <w:i/>
          <w:sz w:val="20"/>
          <w:szCs w:val="20"/>
          <w:lang w:val="en-US"/>
        </w:rPr>
      </w:pPr>
      <w:r w:rsidRPr="00263D2C">
        <w:rPr>
          <w:b/>
          <w:sz w:val="20"/>
          <w:szCs w:val="20"/>
          <w:lang w:val="en-US"/>
        </w:rPr>
        <w:t>Section 2: Project Governance Structure:</w:t>
      </w:r>
    </w:p>
    <w:p w14:paraId="00000BD7" w14:textId="77777777" w:rsidR="004F7DB3" w:rsidRDefault="1BE67CBA" w:rsidP="4965508A">
      <w:pPr>
        <w:shd w:val="clear" w:color="auto" w:fill="FFFFFF" w:themeFill="background1"/>
        <w:spacing w:before="240" w:after="240" w:line="240" w:lineRule="auto"/>
        <w:jc w:val="both"/>
        <w:rPr>
          <w:sz w:val="20"/>
          <w:szCs w:val="20"/>
          <w:lang w:val="en-US"/>
        </w:rPr>
      </w:pPr>
      <w:r w:rsidRPr="4965508A">
        <w:rPr>
          <w:sz w:val="20"/>
          <w:szCs w:val="20"/>
          <w:lang w:val="en-US"/>
        </w:rPr>
        <w:t>The governance structure is summarized in the diagram below:</w:t>
      </w:r>
    </w:p>
    <w:p w14:paraId="1D17302F" w14:textId="1DBED4E7" w:rsidR="00A471F5" w:rsidRDefault="00A471F5" w:rsidP="4965508A">
      <w:pPr>
        <w:shd w:val="clear" w:color="auto" w:fill="FFFFFF" w:themeFill="background1"/>
        <w:spacing w:before="240" w:after="240" w:line="240" w:lineRule="auto"/>
        <w:jc w:val="both"/>
        <w:rPr>
          <w:sz w:val="20"/>
          <w:szCs w:val="20"/>
          <w:lang w:val="en-US"/>
        </w:rPr>
      </w:pPr>
      <w:r w:rsidRPr="00A471F5">
        <w:rPr>
          <w:noProof/>
          <w:sz w:val="20"/>
          <w:szCs w:val="20"/>
          <w:lang w:val="en-US"/>
        </w:rPr>
        <w:lastRenderedPageBreak/>
        <w:drawing>
          <wp:inline distT="0" distB="0" distL="0" distR="0" wp14:anchorId="3CFA5877" wp14:editId="07F7E707">
            <wp:extent cx="5759450" cy="2929255"/>
            <wp:effectExtent l="0" t="0" r="0" b="4445"/>
            <wp:docPr id="1447501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501884" name=""/>
                    <pic:cNvPicPr/>
                  </pic:nvPicPr>
                  <pic:blipFill>
                    <a:blip r:embed="rId48"/>
                    <a:stretch>
                      <a:fillRect/>
                    </a:stretch>
                  </pic:blipFill>
                  <pic:spPr>
                    <a:xfrm>
                      <a:off x="0" y="0"/>
                      <a:ext cx="5759450" cy="2929255"/>
                    </a:xfrm>
                    <a:prstGeom prst="rect">
                      <a:avLst/>
                    </a:prstGeom>
                  </pic:spPr>
                </pic:pic>
              </a:graphicData>
            </a:graphic>
          </wp:inline>
        </w:drawing>
      </w:r>
    </w:p>
    <w:p w14:paraId="70CCCC53" w14:textId="7F7BAEF3" w:rsidR="75AF4736" w:rsidRDefault="1DE654DA" w:rsidP="5D8904BE">
      <w:pPr>
        <w:spacing w:after="60"/>
        <w:jc w:val="both"/>
        <w:rPr>
          <w:sz w:val="20"/>
          <w:szCs w:val="20"/>
          <w:lang w:val="en-US"/>
        </w:rPr>
      </w:pPr>
      <w:r w:rsidRPr="3E720D41">
        <w:rPr>
          <w:sz w:val="20"/>
          <w:szCs w:val="20"/>
          <w:lang w:val="en-US"/>
        </w:rPr>
        <w:t xml:space="preserve">The UNDP Resident Representative assumes full </w:t>
      </w:r>
      <w:r w:rsidRPr="3E720D41">
        <w:rPr>
          <w:color w:val="000000" w:themeColor="text1"/>
          <w:sz w:val="20"/>
          <w:szCs w:val="20"/>
          <w:lang w:val="en-US"/>
        </w:rPr>
        <w:t xml:space="preserve">responsibility and accountability for oversight and quality assurance of this Project and ensures its timely implementation in compliance with the GEF-specific requirements and UNDP’s </w:t>
      </w:r>
      <w:proofErr w:type="spellStart"/>
      <w:r w:rsidRPr="3E720D41">
        <w:rPr>
          <w:color w:val="000000" w:themeColor="text1"/>
          <w:sz w:val="20"/>
          <w:szCs w:val="20"/>
          <w:lang w:val="en-US"/>
        </w:rPr>
        <w:t>Programme</w:t>
      </w:r>
      <w:proofErr w:type="spellEnd"/>
      <w:r w:rsidRPr="3E720D41">
        <w:rPr>
          <w:color w:val="000000" w:themeColor="text1"/>
          <w:sz w:val="20"/>
          <w:szCs w:val="20"/>
          <w:lang w:val="en-US"/>
        </w:rPr>
        <w:t xml:space="preserve"> and Operations Policies and Procedures (POPP), its Financial Regulations and Rules and Internal Control Framework.</w:t>
      </w:r>
      <w:r w:rsidRPr="3E720D41">
        <w:rPr>
          <w:sz w:val="20"/>
          <w:szCs w:val="20"/>
          <w:lang w:val="en-US"/>
        </w:rPr>
        <w:t xml:space="preserve"> A representative of the UNDP Country Office will assume the assurance role and will present assurance findings to the Project </w:t>
      </w:r>
      <w:r w:rsidR="01C90485" w:rsidRPr="3E720D41">
        <w:rPr>
          <w:sz w:val="20"/>
          <w:szCs w:val="20"/>
          <w:lang w:val="en-US"/>
        </w:rPr>
        <w:t>Board and</w:t>
      </w:r>
      <w:r w:rsidRPr="3E720D41">
        <w:rPr>
          <w:sz w:val="20"/>
          <w:szCs w:val="20"/>
          <w:lang w:val="en-US"/>
        </w:rPr>
        <w:t xml:space="preserve"> therefore attends Project Board meetings as a non-voting member.</w:t>
      </w:r>
    </w:p>
    <w:p w14:paraId="7F4C8A6E" w14:textId="4F5A78A6" w:rsidR="5589A2A8" w:rsidRPr="00DC2CA1" w:rsidRDefault="5589A2A8" w:rsidP="00DC2CA1">
      <w:pPr>
        <w:spacing w:after="0" w:line="240" w:lineRule="auto"/>
        <w:jc w:val="both"/>
        <w:rPr>
          <w:color w:val="000000" w:themeColor="text1"/>
          <w:sz w:val="20"/>
          <w:szCs w:val="20"/>
          <w:lang w:val="en-US"/>
        </w:rPr>
      </w:pPr>
      <w:r w:rsidRPr="00DC2CA1">
        <w:rPr>
          <w:color w:val="000000" w:themeColor="text1"/>
          <w:sz w:val="20"/>
          <w:szCs w:val="20"/>
          <w:highlight w:val="yellow"/>
          <w:lang w:val="en-US"/>
        </w:rPr>
        <w:t xml:space="preserve">It is noteworthy that the </w:t>
      </w:r>
      <w:r w:rsidRPr="00DC2CA1">
        <w:rPr>
          <w:b/>
          <w:bCs/>
          <w:color w:val="000000" w:themeColor="text1"/>
          <w:sz w:val="20"/>
          <w:szCs w:val="20"/>
          <w:highlight w:val="yellow"/>
          <w:lang w:val="en-US"/>
        </w:rPr>
        <w:t>PRUBA project, supported by the World Bank</w:t>
      </w:r>
      <w:r w:rsidRPr="00DC2CA1">
        <w:rPr>
          <w:color w:val="000000" w:themeColor="text1"/>
          <w:sz w:val="20"/>
          <w:szCs w:val="20"/>
          <w:highlight w:val="yellow"/>
          <w:lang w:val="en-US"/>
        </w:rPr>
        <w:t xml:space="preserve">, will be represented on the </w:t>
      </w:r>
      <w:r w:rsidRPr="00DC2CA1">
        <w:rPr>
          <w:b/>
          <w:bCs/>
          <w:color w:val="000000" w:themeColor="text1"/>
          <w:sz w:val="20"/>
          <w:szCs w:val="20"/>
          <w:highlight w:val="yellow"/>
          <w:lang w:val="en-US"/>
        </w:rPr>
        <w:t>IUDP Steering Committee</w:t>
      </w:r>
      <w:r w:rsidRPr="00DC2CA1">
        <w:rPr>
          <w:color w:val="000000" w:themeColor="text1"/>
          <w:sz w:val="20"/>
          <w:szCs w:val="20"/>
          <w:highlight w:val="yellow"/>
          <w:lang w:val="en-US"/>
        </w:rPr>
        <w:t xml:space="preserve"> as a key development partner. This participation reflects the strong synergy between both initiatives and recognizes PRUBA’s strategic role in supporting resilient urban infrastructure, which complements and reinforces the objectives of the IUDP.</w:t>
      </w:r>
    </w:p>
    <w:p w14:paraId="715EFFB3" w14:textId="0CC5619C" w:rsidR="3E720D41" w:rsidRPr="00857B81" w:rsidRDefault="3E720D41" w:rsidP="00857B81">
      <w:pPr>
        <w:spacing w:after="0" w:line="240" w:lineRule="auto"/>
        <w:ind w:right="180"/>
        <w:rPr>
          <w:color w:val="D13438"/>
          <w:sz w:val="20"/>
          <w:szCs w:val="20"/>
          <w:lang w:val="en-US"/>
        </w:rPr>
      </w:pPr>
    </w:p>
    <w:p w14:paraId="00000BE2" w14:textId="77777777" w:rsidR="004F7DB3" w:rsidRPr="00263D2C" w:rsidRDefault="099EA877" w:rsidP="5D8904BE">
      <w:pPr>
        <w:spacing w:after="0" w:line="240" w:lineRule="auto"/>
        <w:jc w:val="both"/>
        <w:rPr>
          <w:b/>
          <w:bCs/>
          <w:sz w:val="20"/>
          <w:szCs w:val="20"/>
          <w:lang w:val="en-US"/>
        </w:rPr>
      </w:pPr>
      <w:r w:rsidRPr="3E720D41">
        <w:rPr>
          <w:b/>
          <w:bCs/>
          <w:sz w:val="20"/>
          <w:szCs w:val="20"/>
          <w:lang w:val="en-US"/>
        </w:rPr>
        <w:t>Section 3: Segregation of firewall functions and mechanisms related to UNDP representation on the steering committee</w:t>
      </w:r>
    </w:p>
    <w:p w14:paraId="54EA74DC" w14:textId="44FDD8E4" w:rsidR="00764F2D" w:rsidRDefault="56694A82" w:rsidP="5D8904BE">
      <w:pPr>
        <w:spacing w:before="240" w:after="0" w:line="240" w:lineRule="auto"/>
        <w:jc w:val="both"/>
        <w:rPr>
          <w:rFonts w:eastAsia="SimSun" w:cs="Arial"/>
          <w:noProof/>
          <w:sz w:val="20"/>
          <w:szCs w:val="20"/>
          <w:lang w:val="en-US" w:eastAsia="zh-CN"/>
        </w:rPr>
      </w:pPr>
      <w:r w:rsidRPr="5D8904BE">
        <w:rPr>
          <w:rFonts w:eastAsia="SimSun" w:cs="Arial"/>
          <w:noProof/>
          <w:sz w:val="20"/>
          <w:szCs w:val="20"/>
          <w:lang w:val="en-US" w:eastAsia="zh-CN"/>
        </w:rPr>
        <w:t xml:space="preserve">As noted in the </w:t>
      </w:r>
      <w:r>
        <w:fldChar w:fldCharType="begin"/>
      </w:r>
      <w:r w:rsidRPr="00F50786">
        <w:rPr>
          <w:lang w:val="en-US"/>
          <w:rPrChange w:id="58" w:author="Ali Sambou" w:date="2026-01-06T13:27:00Z" w16du:dateUtc="2026-01-06T13:27:00Z">
            <w:rPr/>
          </w:rPrChange>
        </w:rPr>
        <w:instrText>HYPERLINK "https://www.thegef.org/sites/default/files/documents/gef_minimum_fiduciary_standards_partner_agencies_2019.pdf" \h</w:instrText>
      </w:r>
      <w:r>
        <w:fldChar w:fldCharType="separate"/>
      </w:r>
      <w:r w:rsidRPr="5D8904BE">
        <w:rPr>
          <w:rFonts w:eastAsia="SimSun" w:cs="Arial"/>
          <w:noProof/>
          <w:color w:val="0000FF"/>
          <w:sz w:val="20"/>
          <w:szCs w:val="20"/>
          <w:u w:val="single"/>
          <w:lang w:val="en-US" w:eastAsia="zh-CN"/>
        </w:rPr>
        <w:t>Minimum Fiduciary Standards for GEF Partner Agencies</w:t>
      </w:r>
      <w:r>
        <w:fldChar w:fldCharType="end"/>
      </w:r>
      <w:r w:rsidRPr="5D8904BE">
        <w:rPr>
          <w:rFonts w:eastAsia="SimSun" w:cs="Arial"/>
          <w:noProof/>
          <w:sz w:val="20"/>
          <w:szCs w:val="20"/>
          <w:lang w:val="en-US" w:eastAsia="zh-CN"/>
        </w:rPr>
        <w:t>, in cases where a GEF Partner Agency (i.e. UNDP) carries out both implementation oversight and execution of a project, the GEF Partner Agency (i.e. UNDP) must separate its project implementation oversight and execution duties, and describe in the relevant project</w:t>
      </w:r>
      <w:r w:rsidRPr="5D8904BE">
        <w:rPr>
          <w:rFonts w:eastAsia="SimSun" w:cs="Times New Roman"/>
          <w:sz w:val="20"/>
          <w:szCs w:val="20"/>
          <w:lang w:val="en-US"/>
        </w:rPr>
        <w:t xml:space="preserve"> </w:t>
      </w:r>
      <w:r w:rsidRPr="5D8904BE">
        <w:rPr>
          <w:rFonts w:eastAsia="SimSun" w:cs="Arial"/>
          <w:noProof/>
          <w:sz w:val="20"/>
          <w:szCs w:val="20"/>
          <w:lang w:val="en-US" w:eastAsia="zh-CN"/>
        </w:rPr>
        <w:t>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w:t>
      </w:r>
      <w:r w:rsidR="0EE41E5D" w:rsidRPr="5D8904BE">
        <w:rPr>
          <w:rFonts w:eastAsia="SimSun" w:cs="Arial"/>
          <w:noProof/>
          <w:sz w:val="20"/>
          <w:szCs w:val="20"/>
          <w:lang w:val="en-US" w:eastAsia="zh-CN"/>
        </w:rPr>
        <w:t>execution functions</w:t>
      </w:r>
      <w:r w:rsidR="00806787">
        <w:rPr>
          <w:rFonts w:eastAsia="SimSun" w:cs="Arial"/>
          <w:noProof/>
          <w:sz w:val="20"/>
          <w:szCs w:val="20"/>
          <w:lang w:val="en-US" w:eastAsia="zh-CN"/>
        </w:rPr>
        <w:t>.</w:t>
      </w:r>
    </w:p>
    <w:p w14:paraId="3CC0F48B" w14:textId="77777777" w:rsidR="0089769B" w:rsidRDefault="0089769B" w:rsidP="00806787">
      <w:pPr>
        <w:spacing w:after="0" w:line="240" w:lineRule="auto"/>
        <w:jc w:val="both"/>
        <w:rPr>
          <w:rFonts w:eastAsia="SimSun" w:cs="Times New Roman"/>
          <w:iCs/>
          <w:sz w:val="20"/>
          <w:szCs w:val="20"/>
          <w:lang w:val="en-US"/>
        </w:rPr>
      </w:pPr>
    </w:p>
    <w:p w14:paraId="36DE79B9" w14:textId="746AB57A" w:rsidR="00806787" w:rsidRPr="0089769B" w:rsidRDefault="00806787" w:rsidP="00806787">
      <w:pPr>
        <w:spacing w:after="0" w:line="240" w:lineRule="auto"/>
        <w:jc w:val="both"/>
        <w:rPr>
          <w:rFonts w:eastAsia="SimSun" w:cs="Times New Roman"/>
          <w:iCs/>
          <w:sz w:val="20"/>
          <w:szCs w:val="20"/>
          <w:lang w:val="en-US"/>
        </w:rPr>
      </w:pPr>
      <w:r w:rsidRPr="0089769B">
        <w:rPr>
          <w:rFonts w:eastAsia="SimSun" w:cs="Times New Roman"/>
          <w:iCs/>
          <w:sz w:val="20"/>
          <w:szCs w:val="20"/>
          <w:lang w:val="en-US"/>
        </w:rPr>
        <w:t>In this case, UNDP is only performing an implementation oversight role in the project vis-à-vis our role in the project board and in the project assurance function and therefore a full separation of project implementation oversight and execution duties has been assured.</w:t>
      </w:r>
    </w:p>
    <w:p w14:paraId="00000BE3" w14:textId="01DA3ED0" w:rsidR="004F7DB3" w:rsidRPr="00263D2C" w:rsidRDefault="552CE4D7">
      <w:pPr>
        <w:spacing w:before="240" w:after="240" w:line="240" w:lineRule="auto"/>
        <w:jc w:val="both"/>
        <w:rPr>
          <w:sz w:val="20"/>
          <w:szCs w:val="20"/>
          <w:lang w:val="en-US"/>
        </w:rPr>
      </w:pPr>
      <w:proofErr w:type="gramStart"/>
      <w:r w:rsidRPr="0C95EC3E">
        <w:rPr>
          <w:sz w:val="20"/>
          <w:szCs w:val="20"/>
          <w:lang w:val="en-US"/>
        </w:rPr>
        <w:t>In order to</w:t>
      </w:r>
      <w:proofErr w:type="gramEnd"/>
      <w:r w:rsidRPr="0C95EC3E">
        <w:rPr>
          <w:sz w:val="20"/>
          <w:szCs w:val="20"/>
          <w:lang w:val="en-US"/>
        </w:rPr>
        <w:t xml:space="preserve"> ensure the integrity, impartiality and transparency of the project governance, a clear separation of functions is established between the oversight/quality assurance roles exercised by UNDP and any potential involvement in the execution of the project. This separation is in line with UNDP and GEF requirements for internal control, risk </w:t>
      </w:r>
      <w:r w:rsidR="5D227817" w:rsidRPr="0C95EC3E">
        <w:rPr>
          <w:sz w:val="20"/>
          <w:szCs w:val="20"/>
          <w:lang w:val="en-US"/>
        </w:rPr>
        <w:t>management,</w:t>
      </w:r>
      <w:r w:rsidRPr="0C95EC3E">
        <w:rPr>
          <w:sz w:val="20"/>
          <w:szCs w:val="20"/>
          <w:lang w:val="en-US"/>
        </w:rPr>
        <w:t xml:space="preserve"> and good governance.</w:t>
      </w:r>
    </w:p>
    <w:p w14:paraId="00000BE4" w14:textId="77777777" w:rsidR="004F7DB3" w:rsidRPr="00263D2C" w:rsidRDefault="552CE4D7">
      <w:pPr>
        <w:spacing w:before="240" w:after="240" w:line="240" w:lineRule="auto"/>
        <w:jc w:val="both"/>
        <w:rPr>
          <w:sz w:val="20"/>
          <w:szCs w:val="20"/>
          <w:lang w:val="en-US"/>
        </w:rPr>
      </w:pPr>
      <w:r w:rsidRPr="5D8904BE">
        <w:rPr>
          <w:sz w:val="20"/>
          <w:szCs w:val="20"/>
          <w:lang w:val="en-US"/>
        </w:rPr>
        <w:t>The UNDP Resident Representative has full responsibility for the strategic oversight and quality assurance of the project, in accordance with the UNDP Operational Policies and Procedures (POPP), the organization's financial regulations and the internal control framework. In this capacity, it ensures that the project is implemented on time, in compliance with GEF requirements and UNDP quality standards.</w:t>
      </w:r>
    </w:p>
    <w:p w14:paraId="00000BE5" w14:textId="77777777" w:rsidR="004F7DB3" w:rsidRPr="00263D2C" w:rsidRDefault="552CE4D7">
      <w:pPr>
        <w:spacing w:before="240" w:after="240" w:line="240" w:lineRule="auto"/>
        <w:jc w:val="both"/>
        <w:rPr>
          <w:sz w:val="20"/>
          <w:szCs w:val="20"/>
          <w:lang w:val="en-US"/>
        </w:rPr>
      </w:pPr>
      <w:r w:rsidRPr="5D8904BE">
        <w:rPr>
          <w:sz w:val="20"/>
          <w:szCs w:val="20"/>
          <w:lang w:val="en-US"/>
        </w:rPr>
        <w:lastRenderedPageBreak/>
        <w:t>A designated representative of the UNDP Country Office performs a quality assurance function on the project steering committee. This representative participates in the meetings of the committee as a non-decision-making, non-voting member and is responsible for presenting the results of quality assurance and making recommendations, without interfering in the operational decisions of the implementing partner.</w:t>
      </w:r>
    </w:p>
    <w:p w14:paraId="00000BE6" w14:textId="27A12D57" w:rsidR="004F7DB3" w:rsidRPr="00263D2C" w:rsidRDefault="552CE4D7">
      <w:pPr>
        <w:spacing w:before="240" w:after="240" w:line="240" w:lineRule="auto"/>
        <w:jc w:val="both"/>
        <w:rPr>
          <w:sz w:val="20"/>
          <w:szCs w:val="20"/>
          <w:lang w:val="en-US"/>
        </w:rPr>
      </w:pPr>
      <w:r w:rsidRPr="0C95EC3E">
        <w:rPr>
          <w:sz w:val="20"/>
          <w:szCs w:val="20"/>
          <w:lang w:val="en-US"/>
        </w:rPr>
        <w:t xml:space="preserve">This mechanism provides a functional firewall to maintain the independence of </w:t>
      </w:r>
      <w:r w:rsidR="79360B27" w:rsidRPr="0C95EC3E">
        <w:rPr>
          <w:sz w:val="20"/>
          <w:szCs w:val="20"/>
          <w:lang w:val="en-US"/>
        </w:rPr>
        <w:t>quality</w:t>
      </w:r>
      <w:r w:rsidRPr="0C95EC3E">
        <w:rPr>
          <w:sz w:val="20"/>
          <w:szCs w:val="20"/>
          <w:lang w:val="en-US"/>
        </w:rPr>
        <w:t xml:space="preserve"> assurance functions from </w:t>
      </w:r>
      <w:r w:rsidR="6C4F264A" w:rsidRPr="0C95EC3E">
        <w:rPr>
          <w:sz w:val="20"/>
          <w:szCs w:val="20"/>
          <w:lang w:val="en-US"/>
        </w:rPr>
        <w:t>execution</w:t>
      </w:r>
      <w:r w:rsidRPr="0C95EC3E">
        <w:rPr>
          <w:sz w:val="20"/>
          <w:szCs w:val="20"/>
          <w:lang w:val="en-US"/>
        </w:rPr>
        <w:t xml:space="preserve"> activities. It helps to strengthen accountability, </w:t>
      </w:r>
      <w:r w:rsidR="660C5A21" w:rsidRPr="0C95EC3E">
        <w:rPr>
          <w:sz w:val="20"/>
          <w:szCs w:val="20"/>
          <w:lang w:val="en-US"/>
        </w:rPr>
        <w:t>minimize</w:t>
      </w:r>
      <w:r w:rsidRPr="0C95EC3E">
        <w:rPr>
          <w:sz w:val="20"/>
          <w:szCs w:val="20"/>
          <w:lang w:val="en-US"/>
        </w:rPr>
        <w:t xml:space="preserve"> the risks of conflict of interest and ensure implementation in line with the principles of good governance.</w:t>
      </w:r>
    </w:p>
    <w:p w14:paraId="00000BEA" w14:textId="77777777" w:rsidR="004F7DB3" w:rsidRPr="00263D2C" w:rsidRDefault="00C00123" w:rsidP="00031EF1">
      <w:pPr>
        <w:shd w:val="clear" w:color="auto" w:fill="FFFFFF"/>
        <w:spacing w:after="0" w:line="240" w:lineRule="auto"/>
        <w:jc w:val="both"/>
        <w:rPr>
          <w:b/>
          <w:sz w:val="20"/>
          <w:szCs w:val="20"/>
          <w:lang w:val="en-US"/>
        </w:rPr>
      </w:pPr>
      <w:r w:rsidRPr="00263D2C">
        <w:rPr>
          <w:b/>
          <w:sz w:val="20"/>
          <w:szCs w:val="20"/>
          <w:u w:val="single"/>
          <w:lang w:val="en-US"/>
        </w:rPr>
        <w:t xml:space="preserve">Section 4: Roles and Responsibilities of the Project Organizational Structure: </w:t>
      </w:r>
    </w:p>
    <w:p w14:paraId="567B11C6" w14:textId="77777777" w:rsidR="00916696" w:rsidRPr="00A039C4" w:rsidRDefault="00916696" w:rsidP="00916696">
      <w:pPr>
        <w:shd w:val="clear" w:color="auto" w:fill="FFFFFF"/>
        <w:spacing w:after="0" w:line="240" w:lineRule="auto"/>
        <w:jc w:val="both"/>
        <w:rPr>
          <w:rFonts w:eastAsia="SimSun"/>
          <w:noProof/>
          <w:sz w:val="20"/>
          <w:szCs w:val="20"/>
          <w:lang w:val="en-US" w:eastAsia="zh-CN"/>
        </w:rPr>
      </w:pPr>
    </w:p>
    <w:p w14:paraId="4A65C98C" w14:textId="42D8D6C5" w:rsidR="00916696" w:rsidRPr="00A039C4" w:rsidRDefault="1D2926E5" w:rsidP="001360BB">
      <w:pPr>
        <w:numPr>
          <w:ilvl w:val="0"/>
          <w:numId w:val="281"/>
        </w:numPr>
        <w:shd w:val="clear" w:color="auto" w:fill="FFFFFF" w:themeFill="background1"/>
        <w:spacing w:after="0" w:line="240" w:lineRule="auto"/>
        <w:jc w:val="both"/>
        <w:rPr>
          <w:rFonts w:eastAsia="SimSun"/>
          <w:b/>
          <w:bCs/>
          <w:noProof/>
          <w:sz w:val="20"/>
          <w:szCs w:val="20"/>
          <w:lang w:val="en-US" w:eastAsia="zh-CN"/>
        </w:rPr>
      </w:pPr>
      <w:r w:rsidRPr="0C95EC3E">
        <w:rPr>
          <w:rFonts w:eastAsia="SimSun"/>
          <w:b/>
          <w:bCs/>
          <w:noProof/>
          <w:sz w:val="20"/>
          <w:szCs w:val="20"/>
          <w:lang w:val="en-US" w:eastAsia="zh-CN"/>
        </w:rPr>
        <w:t xml:space="preserve">Project </w:t>
      </w:r>
      <w:r w:rsidR="5BD701A0" w:rsidRPr="0C95EC3E">
        <w:rPr>
          <w:rFonts w:eastAsia="SimSun"/>
          <w:b/>
          <w:bCs/>
          <w:noProof/>
          <w:sz w:val="20"/>
          <w:szCs w:val="20"/>
          <w:lang w:val="en-US" w:eastAsia="zh-CN"/>
        </w:rPr>
        <w:t>Steering Committee</w:t>
      </w:r>
      <w:r w:rsidRPr="0C95EC3E">
        <w:rPr>
          <w:rFonts w:eastAsia="SimSun"/>
          <w:b/>
          <w:bCs/>
          <w:noProof/>
          <w:sz w:val="20"/>
          <w:szCs w:val="20"/>
          <w:lang w:val="en-US" w:eastAsia="zh-CN"/>
        </w:rPr>
        <w:t xml:space="preserve">: </w:t>
      </w:r>
      <w:r w:rsidRPr="0C95EC3E">
        <w:rPr>
          <w:rFonts w:eastAsia="SimSun"/>
          <w:sz w:val="20"/>
          <w:szCs w:val="20"/>
          <w:lang w:val="en-US" w:eastAsia="zh-CN"/>
        </w:rPr>
        <w:t xml:space="preserve">All UNDP projects must be governed by a multi-stakeholder board or committee established to review performance based on monitoring and evaluation, and implementation issues to ensure quality delivery of results. The </w:t>
      </w:r>
      <w:r w:rsidR="5A96C755" w:rsidRPr="0C95EC3E">
        <w:rPr>
          <w:rFonts w:eastAsia="SimSun"/>
          <w:sz w:val="20"/>
          <w:szCs w:val="20"/>
          <w:lang w:val="en-US" w:eastAsia="zh-CN"/>
        </w:rPr>
        <w:t>Project Steering</w:t>
      </w:r>
      <w:r w:rsidRPr="0C95EC3E">
        <w:rPr>
          <w:rFonts w:eastAsia="SimSun"/>
          <w:sz w:val="20"/>
          <w:szCs w:val="20"/>
          <w:lang w:val="en-US" w:eastAsia="zh-CN"/>
        </w:rPr>
        <w:t xml:space="preserve"> Committee is the most senior, dedicated oversight body for a project. </w:t>
      </w:r>
    </w:p>
    <w:p w14:paraId="3DF1D9EC" w14:textId="77777777" w:rsidR="00916696" w:rsidRPr="00A039C4" w:rsidRDefault="00916696" w:rsidP="00916696">
      <w:pPr>
        <w:shd w:val="clear" w:color="auto" w:fill="FFFFFF"/>
        <w:spacing w:after="0" w:line="240" w:lineRule="auto"/>
        <w:jc w:val="both"/>
        <w:rPr>
          <w:rFonts w:eastAsia="SimSun"/>
          <w:noProof/>
          <w:sz w:val="20"/>
          <w:szCs w:val="20"/>
          <w:lang w:val="en-US" w:eastAsia="zh-CN"/>
        </w:rPr>
      </w:pPr>
    </w:p>
    <w:p w14:paraId="02421951" w14:textId="77777777" w:rsidR="00916696" w:rsidRPr="00A039C4" w:rsidRDefault="00916696" w:rsidP="00916696">
      <w:pPr>
        <w:shd w:val="clear" w:color="auto" w:fill="FFFFFF"/>
        <w:spacing w:after="0" w:line="240" w:lineRule="auto"/>
        <w:jc w:val="both"/>
        <w:rPr>
          <w:rFonts w:eastAsia="SimSun"/>
          <w:noProof/>
          <w:sz w:val="20"/>
          <w:szCs w:val="20"/>
          <w:lang w:val="en-US" w:eastAsia="zh-CN"/>
        </w:rPr>
      </w:pPr>
      <w:r w:rsidRPr="00A039C4">
        <w:rPr>
          <w:rFonts w:eastAsia="SimSun"/>
          <w:noProof/>
          <w:sz w:val="20"/>
          <w:szCs w:val="20"/>
          <w:lang w:val="en-US" w:eastAsia="zh-CN"/>
        </w:rPr>
        <w:t>The two main (mandatory) roles of the project board are as follows:</w:t>
      </w:r>
    </w:p>
    <w:p w14:paraId="3CD1DF17" w14:textId="77777777" w:rsidR="00916696" w:rsidRPr="00A039C4" w:rsidRDefault="00916696" w:rsidP="00916696">
      <w:pPr>
        <w:shd w:val="clear" w:color="auto" w:fill="FFFFFF"/>
        <w:spacing w:after="0" w:line="240" w:lineRule="auto"/>
        <w:jc w:val="both"/>
        <w:rPr>
          <w:rFonts w:eastAsia="SimSun"/>
          <w:noProof/>
          <w:sz w:val="20"/>
          <w:szCs w:val="20"/>
          <w:lang w:val="en-US" w:eastAsia="zh-CN"/>
        </w:rPr>
      </w:pPr>
    </w:p>
    <w:p w14:paraId="5A6844B5" w14:textId="0EFD7830" w:rsidR="00916696" w:rsidRPr="00A039C4" w:rsidRDefault="1D2926E5" w:rsidP="001360BB">
      <w:pPr>
        <w:numPr>
          <w:ilvl w:val="0"/>
          <w:numId w:val="276"/>
        </w:numPr>
        <w:shd w:val="clear" w:color="auto" w:fill="FFFFFF" w:themeFill="background1"/>
        <w:spacing w:after="0" w:line="240" w:lineRule="auto"/>
        <w:jc w:val="both"/>
        <w:rPr>
          <w:rFonts w:eastAsia="SimSun"/>
          <w:sz w:val="20"/>
          <w:szCs w:val="20"/>
          <w:lang w:val="en-US" w:eastAsia="zh-CN"/>
        </w:rPr>
      </w:pPr>
      <w:r w:rsidRPr="5D8904BE">
        <w:rPr>
          <w:rFonts w:eastAsia="SimSun"/>
          <w:b/>
          <w:bCs/>
          <w:noProof/>
          <w:sz w:val="20"/>
          <w:szCs w:val="20"/>
          <w:lang w:val="en-US" w:eastAsia="zh-CN"/>
        </w:rPr>
        <w:t>High-level oversight of the execution of the project by the Implementing Partner</w:t>
      </w:r>
      <w:r w:rsidRPr="5D8904BE">
        <w:rPr>
          <w:rFonts w:eastAsia="SimSun"/>
          <w:noProof/>
          <w:sz w:val="20"/>
          <w:szCs w:val="20"/>
          <w:lang w:val="en-US" w:eastAsia="zh-CN"/>
        </w:rPr>
        <w:t xml:space="preserve"> (as explained in the </w:t>
      </w:r>
      <w:r>
        <w:fldChar w:fldCharType="begin"/>
      </w:r>
      <w:r w:rsidRPr="00F50786">
        <w:rPr>
          <w:lang w:val="en-US"/>
          <w:rPrChange w:id="59" w:author="Ali Sambou" w:date="2026-01-06T13:27:00Z" w16du:dateUtc="2026-01-06T13:27:00Z">
            <w:rPr/>
          </w:rPrChange>
        </w:rPr>
        <w:instrText>HYPERLINK "https://jtouil-my.sharepoint.com/node/1856"</w:instrText>
      </w:r>
      <w:r>
        <w:fldChar w:fldCharType="separate"/>
      </w:r>
      <w:r w:rsidRPr="5D8904BE">
        <w:rPr>
          <w:rFonts w:eastAsia="SimSun"/>
          <w:color w:val="0000FF"/>
          <w:sz w:val="20"/>
          <w:szCs w:val="20"/>
          <w:u w:val="single"/>
          <w:lang w:val="en-US" w:eastAsia="zh-CN"/>
        </w:rPr>
        <w:t>“Provide Oversight”</w:t>
      </w:r>
      <w:r>
        <w:fldChar w:fldCharType="end"/>
      </w:r>
      <w:r w:rsidRPr="5D8904BE">
        <w:rPr>
          <w:rFonts w:eastAsia="SimSun"/>
          <w:noProof/>
          <w:sz w:val="20"/>
          <w:szCs w:val="20"/>
          <w:lang w:val="en-US" w:eastAsia="zh-CN"/>
        </w:rPr>
        <w:t xml:space="preserve"> section of the</w:t>
      </w:r>
      <w:r w:rsidRPr="5D8904BE">
        <w:rPr>
          <w:rFonts w:eastAsia="SimSun"/>
          <w:sz w:val="20"/>
          <w:szCs w:val="20"/>
          <w:lang w:val="en-US" w:eastAsia="zh-CN"/>
        </w:rPr>
        <w:t xml:space="preserve"> P</w:t>
      </w:r>
      <w:r w:rsidRPr="5D8904BE">
        <w:rPr>
          <w:rFonts w:eastAsia="SimSun"/>
          <w:noProof/>
          <w:sz w:val="20"/>
          <w:szCs w:val="20"/>
          <w:lang w:val="en-US" w:eastAsia="zh-CN"/>
        </w:rPr>
        <w:t>OPP</w:t>
      </w:r>
      <w:r w:rsidRPr="5D8904BE">
        <w:rPr>
          <w:rFonts w:eastAsia="SimSun"/>
          <w:sz w:val="20"/>
          <w:szCs w:val="20"/>
          <w:lang w:val="en-US" w:eastAsia="zh-CN"/>
        </w:rPr>
        <w:t>)</w:t>
      </w:r>
      <w:r w:rsidRPr="5D8904BE">
        <w:rPr>
          <w:rFonts w:eastAsia="SimSun"/>
          <w:noProof/>
          <w:sz w:val="20"/>
          <w:szCs w:val="20"/>
          <w:lang w:val="en-US" w:eastAsia="zh-CN"/>
        </w:rPr>
        <w:t>. This is the primary function of the project board and includes annual (</w:t>
      </w:r>
      <w:r w:rsidRPr="5D8904BE">
        <w:rPr>
          <w:rFonts w:eastAsia="SimSun"/>
          <w:sz w:val="20"/>
          <w:szCs w:val="20"/>
          <w:lang w:val="en-US" w:eastAsia="zh-CN"/>
        </w:rPr>
        <w:t xml:space="preserve">and as-needed) assessments of any major risks to the project, and decisions/agreements on any management actions or remedial measures to address them effectively. </w:t>
      </w:r>
      <w:r w:rsidRPr="5D8904BE">
        <w:rPr>
          <w:rFonts w:eastAsia="SimSun"/>
          <w:sz w:val="20"/>
          <w:szCs w:val="20"/>
          <w:lang w:val="en-US"/>
        </w:rPr>
        <w:t>The Project Board reviews evidence of project performance based on monitoring, evaluation and reporting, including progress reports, evaluations, risk logs and the combined delivery report.</w:t>
      </w:r>
      <w:r w:rsidRPr="5D8904BE">
        <w:rPr>
          <w:rFonts w:ascii="Times New Roman" w:eastAsia="SimSun" w:hAnsi="Times New Roman" w:cs="Times New Roman"/>
          <w:sz w:val="20"/>
          <w:szCs w:val="20"/>
          <w:lang w:val="en-US"/>
        </w:rPr>
        <w:t xml:space="preserve"> </w:t>
      </w:r>
      <w:r w:rsidRPr="5D8904BE">
        <w:rPr>
          <w:rFonts w:eastAsia="SimSun"/>
          <w:sz w:val="20"/>
          <w:szCs w:val="20"/>
          <w:lang w:val="en-US"/>
        </w:rPr>
        <w:t xml:space="preserve">The Project Board is </w:t>
      </w:r>
      <w:r w:rsidRPr="5D8904BE">
        <w:rPr>
          <w:rFonts w:eastAsia="SimSun"/>
          <w:noProof/>
          <w:sz w:val="20"/>
          <w:szCs w:val="20"/>
          <w:lang w:val="en-US" w:eastAsia="zh-CN"/>
        </w:rPr>
        <w:t>responsible for taking corrective action as needed to ensure the project achieves the desired results.</w:t>
      </w:r>
    </w:p>
    <w:p w14:paraId="6D20ABF1" w14:textId="7F72F671" w:rsidR="00916696" w:rsidRPr="00A039C4" w:rsidRDefault="1D2926E5" w:rsidP="001360BB">
      <w:pPr>
        <w:numPr>
          <w:ilvl w:val="0"/>
          <w:numId w:val="276"/>
        </w:numPr>
        <w:shd w:val="clear" w:color="auto" w:fill="FFFFFF" w:themeFill="background1"/>
        <w:spacing w:after="0" w:line="240" w:lineRule="auto"/>
        <w:jc w:val="both"/>
        <w:rPr>
          <w:rFonts w:ascii="Times New Roman" w:eastAsia="SimSun" w:hAnsi="Times New Roman" w:cs="Arial"/>
          <w:sz w:val="20"/>
          <w:szCs w:val="20"/>
          <w:lang w:val="en-US" w:eastAsia="zh-CN"/>
        </w:rPr>
      </w:pPr>
      <w:r w:rsidRPr="5D8904BE">
        <w:rPr>
          <w:rFonts w:eastAsia="SimSun" w:cs="Arial"/>
          <w:b/>
          <w:bCs/>
          <w:sz w:val="20"/>
          <w:szCs w:val="20"/>
          <w:lang w:val="en-US" w:eastAsia="zh-CN"/>
        </w:rPr>
        <w:t>Approval of</w:t>
      </w:r>
      <w:r w:rsidRPr="5D8904BE">
        <w:rPr>
          <w:rFonts w:eastAsia="SimSun" w:cs="Arial"/>
          <w:b/>
          <w:bCs/>
          <w:noProof/>
          <w:sz w:val="20"/>
          <w:szCs w:val="20"/>
          <w:lang w:val="en-US" w:eastAsia="zh-CN"/>
        </w:rPr>
        <w:t xml:space="preserve"> strategic</w:t>
      </w:r>
      <w:r w:rsidRPr="5D8904BE">
        <w:rPr>
          <w:rFonts w:eastAsia="SimSun" w:cs="Arial"/>
          <w:b/>
          <w:bCs/>
          <w:sz w:val="20"/>
          <w:szCs w:val="20"/>
          <w:lang w:val="en-US" w:eastAsia="zh-CN"/>
        </w:rPr>
        <w:t xml:space="preserve"> project execution </w:t>
      </w:r>
      <w:r w:rsidRPr="5D8904BE">
        <w:rPr>
          <w:rFonts w:eastAsia="SimSun" w:cs="Arial"/>
          <w:b/>
          <w:bCs/>
          <w:noProof/>
          <w:sz w:val="20"/>
          <w:szCs w:val="20"/>
          <w:lang w:val="en-US" w:eastAsia="zh-CN"/>
        </w:rPr>
        <w:t>decisions</w:t>
      </w:r>
      <w:r w:rsidRPr="5D8904BE">
        <w:rPr>
          <w:rFonts w:eastAsia="SimSun" w:cs="Arial"/>
          <w:b/>
          <w:bCs/>
          <w:sz w:val="20"/>
          <w:szCs w:val="20"/>
          <w:lang w:val="en-US" w:eastAsia="zh-CN"/>
        </w:rPr>
        <w:t xml:space="preserve"> of the Implementing Partner </w:t>
      </w:r>
      <w:r w:rsidRPr="5D8904BE">
        <w:rPr>
          <w:rFonts w:eastAsia="SimSun" w:cs="Arial"/>
          <w:sz w:val="20"/>
          <w:szCs w:val="20"/>
          <w:lang w:val="en-US" w:eastAsia="zh-CN"/>
        </w:rPr>
        <w:t>with a view to assess and manage risks, monitor and ensure the overall achievement of projected results and impacts and ensure long term sustainability of project execution decisions of the Implementing Partner</w:t>
      </w:r>
      <w:r w:rsidRPr="5D8904BE">
        <w:rPr>
          <w:rFonts w:eastAsia="SimSun" w:cs="Arial"/>
          <w:b/>
          <w:bCs/>
          <w:sz w:val="20"/>
          <w:szCs w:val="20"/>
          <w:lang w:val="en-US" w:eastAsia="zh-CN"/>
        </w:rPr>
        <w:t xml:space="preserve"> </w:t>
      </w:r>
      <w:r w:rsidRPr="5D8904BE">
        <w:rPr>
          <w:rFonts w:eastAsia="SimSun" w:cs="Arial"/>
          <w:sz w:val="20"/>
          <w:szCs w:val="20"/>
          <w:lang w:val="en-US" w:eastAsia="zh-CN"/>
        </w:rPr>
        <w:t xml:space="preserve">(as explained in the </w:t>
      </w:r>
      <w:r>
        <w:fldChar w:fldCharType="begin"/>
      </w:r>
      <w:r w:rsidRPr="00F50786">
        <w:rPr>
          <w:lang w:val="en-US"/>
          <w:rPrChange w:id="60" w:author="Ali Sambou" w:date="2026-01-06T13:27:00Z" w16du:dateUtc="2026-01-06T13:27:00Z">
            <w:rPr/>
          </w:rPrChange>
        </w:rPr>
        <w:instrText>HYPERLINK "https://jtouil-my.sharepoint.com/node/1931"</w:instrText>
      </w:r>
      <w:r>
        <w:fldChar w:fldCharType="separate"/>
      </w:r>
      <w:r w:rsidRPr="5D8904BE">
        <w:rPr>
          <w:rFonts w:eastAsia="SimSun" w:cs="Arial"/>
          <w:color w:val="0000FF"/>
          <w:sz w:val="20"/>
          <w:szCs w:val="20"/>
          <w:u w:val="single"/>
          <w:lang w:val="en-US" w:eastAsia="zh-CN"/>
        </w:rPr>
        <w:t>“Manage Change”</w:t>
      </w:r>
      <w:r>
        <w:fldChar w:fldCharType="end"/>
      </w:r>
      <w:r w:rsidRPr="5D8904BE">
        <w:rPr>
          <w:rFonts w:eastAsia="SimSun" w:cs="Arial"/>
          <w:sz w:val="20"/>
          <w:szCs w:val="20"/>
          <w:lang w:val="en-US" w:eastAsia="zh-CN"/>
        </w:rPr>
        <w:t xml:space="preserve"> section of the POPP). </w:t>
      </w:r>
    </w:p>
    <w:p w14:paraId="197134BD" w14:textId="77777777" w:rsidR="00916696" w:rsidRPr="00A039C4" w:rsidRDefault="00916696" w:rsidP="00916696">
      <w:pPr>
        <w:shd w:val="clear" w:color="auto" w:fill="FFFFFF"/>
        <w:spacing w:after="0" w:line="240" w:lineRule="auto"/>
        <w:jc w:val="both"/>
        <w:rPr>
          <w:rFonts w:eastAsia="SimSun"/>
          <w:sz w:val="20"/>
          <w:szCs w:val="20"/>
          <w:lang w:val="en-US"/>
        </w:rPr>
      </w:pPr>
    </w:p>
    <w:p w14:paraId="2700F7A0" w14:textId="352D6703" w:rsidR="00916696" w:rsidRPr="00A039C4" w:rsidRDefault="1D2926E5" w:rsidP="5D8904BE">
      <w:pPr>
        <w:shd w:val="clear" w:color="auto" w:fill="FFFFFF" w:themeFill="background1"/>
        <w:spacing w:after="0" w:line="240" w:lineRule="auto"/>
        <w:jc w:val="both"/>
        <w:rPr>
          <w:rFonts w:eastAsia="SimSun"/>
          <w:i/>
          <w:iCs/>
          <w:noProof/>
          <w:sz w:val="20"/>
          <w:szCs w:val="20"/>
          <w:highlight w:val="yellow"/>
          <w:lang w:val="en-US" w:eastAsia="zh-CN"/>
        </w:rPr>
      </w:pPr>
      <w:r w:rsidRPr="5D8904BE">
        <w:rPr>
          <w:rFonts w:eastAsia="SimSun"/>
          <w:b/>
          <w:bCs/>
          <w:noProof/>
          <w:sz w:val="20"/>
          <w:szCs w:val="20"/>
          <w:lang w:val="en-US" w:eastAsia="zh-CN"/>
        </w:rPr>
        <w:t>Requirements to serve on the Project Board</w:t>
      </w:r>
      <w:r w:rsidRPr="5D8904BE">
        <w:rPr>
          <w:rFonts w:eastAsia="SimSun"/>
          <w:noProof/>
          <w:sz w:val="20"/>
          <w:szCs w:val="20"/>
          <w:lang w:val="en-US" w:eastAsia="zh-CN"/>
        </w:rPr>
        <w:t xml:space="preserve">: </w:t>
      </w:r>
    </w:p>
    <w:p w14:paraId="6B287B1B" w14:textId="77777777" w:rsidR="00916696" w:rsidRPr="00A039C4" w:rsidRDefault="1D2926E5" w:rsidP="001360BB">
      <w:pPr>
        <w:numPr>
          <w:ilvl w:val="0"/>
          <w:numId w:val="277"/>
        </w:numPr>
        <w:shd w:val="clear" w:color="auto" w:fill="FFFFFF" w:themeFill="background1"/>
        <w:spacing w:after="0" w:line="240" w:lineRule="auto"/>
        <w:jc w:val="both"/>
        <w:rPr>
          <w:rFonts w:eastAsia="SimSun" w:cs="Arial"/>
          <w:sz w:val="20"/>
          <w:szCs w:val="20"/>
          <w:lang w:val="en-US" w:eastAsia="zh-CN"/>
        </w:rPr>
      </w:pPr>
      <w:r w:rsidRPr="5D8904BE">
        <w:rPr>
          <w:rFonts w:eastAsia="SimSun" w:cs="Arial"/>
          <w:noProof/>
          <w:sz w:val="20"/>
          <w:szCs w:val="20"/>
          <w:lang w:val="en-US" w:eastAsia="zh-CN"/>
        </w:rPr>
        <w:t>A</w:t>
      </w:r>
      <w:proofErr w:type="spellStart"/>
      <w:r w:rsidRPr="5D8904BE">
        <w:rPr>
          <w:rFonts w:eastAsia="SimSun" w:cs="Arial"/>
          <w:sz w:val="20"/>
          <w:szCs w:val="20"/>
          <w:lang w:val="en-US" w:eastAsia="zh-CN"/>
        </w:rPr>
        <w:t>gree</w:t>
      </w:r>
      <w:proofErr w:type="spellEnd"/>
      <w:r w:rsidRPr="5D8904BE">
        <w:rPr>
          <w:rFonts w:eastAsia="SimSun" w:cs="Arial"/>
          <w:sz w:val="20"/>
          <w:szCs w:val="20"/>
          <w:lang w:val="en-US" w:eastAsia="zh-CN"/>
        </w:rPr>
        <w:t xml:space="preserve"> to the Terms of Reference of the Board and the rules on protocols, quorum and minuting.</w:t>
      </w:r>
    </w:p>
    <w:p w14:paraId="0B07ADAD" w14:textId="77777777" w:rsidR="00916696" w:rsidRPr="00A039C4" w:rsidRDefault="1D2926E5" w:rsidP="001360BB">
      <w:pPr>
        <w:numPr>
          <w:ilvl w:val="0"/>
          <w:numId w:val="277"/>
        </w:numPr>
        <w:shd w:val="clear" w:color="auto" w:fill="FFFFFF" w:themeFill="background1"/>
        <w:spacing w:after="0" w:line="240" w:lineRule="auto"/>
        <w:jc w:val="both"/>
        <w:rPr>
          <w:rFonts w:eastAsia="SimSun" w:cs="Arial"/>
          <w:sz w:val="20"/>
          <w:szCs w:val="20"/>
          <w:lang w:val="en-US" w:eastAsia="zh-CN"/>
        </w:rPr>
      </w:pPr>
      <w:r w:rsidRPr="5D8904BE">
        <w:rPr>
          <w:rFonts w:eastAsia="SimSun" w:cs="Arial"/>
          <w:noProof/>
          <w:sz w:val="20"/>
          <w:szCs w:val="20"/>
          <w:lang w:val="en-US" w:eastAsia="zh-CN"/>
        </w:rPr>
        <w:t>M</w:t>
      </w:r>
      <w:proofErr w:type="spellStart"/>
      <w:r w:rsidRPr="5D8904BE">
        <w:rPr>
          <w:rFonts w:eastAsia="SimSun" w:cs="Arial"/>
          <w:sz w:val="20"/>
          <w:szCs w:val="20"/>
          <w:lang w:val="en-US" w:eastAsia="zh-CN"/>
        </w:rPr>
        <w:t>eet</w:t>
      </w:r>
      <w:proofErr w:type="spellEnd"/>
      <w:r w:rsidRPr="5D8904BE">
        <w:rPr>
          <w:rFonts w:eastAsia="SimSun" w:cs="Arial"/>
          <w:sz w:val="20"/>
          <w:szCs w:val="20"/>
          <w:lang w:val="en-US" w:eastAsia="zh-CN"/>
        </w:rPr>
        <w:t xml:space="preserve"> annually; at least once.</w:t>
      </w:r>
    </w:p>
    <w:p w14:paraId="409E8ADB" w14:textId="77777777" w:rsidR="00916696" w:rsidRPr="00A039C4" w:rsidRDefault="00916696" w:rsidP="001360BB">
      <w:pPr>
        <w:numPr>
          <w:ilvl w:val="0"/>
          <w:numId w:val="277"/>
        </w:numPr>
        <w:spacing w:after="0" w:line="240" w:lineRule="auto"/>
        <w:jc w:val="both"/>
        <w:rPr>
          <w:rFonts w:eastAsia="SimSun"/>
          <w:sz w:val="20"/>
          <w:szCs w:val="24"/>
          <w:lang w:val="en-US"/>
        </w:rPr>
      </w:pPr>
      <w:r w:rsidRPr="00A039C4">
        <w:rPr>
          <w:rFonts w:eastAsia="SimSun" w:cs="Arial"/>
          <w:noProof/>
          <w:sz w:val="20"/>
          <w:szCs w:val="24"/>
          <w:lang w:val="en-US" w:eastAsia="zh-CN"/>
        </w:rPr>
        <w:t>D</w:t>
      </w:r>
      <w:proofErr w:type="spellStart"/>
      <w:r w:rsidRPr="00A039C4">
        <w:rPr>
          <w:rFonts w:eastAsia="SimSun" w:cs="Arial"/>
          <w:sz w:val="20"/>
          <w:szCs w:val="24"/>
          <w:lang w:val="en-US" w:eastAsia="zh-CN"/>
        </w:rPr>
        <w:t>isclose</w:t>
      </w:r>
      <w:proofErr w:type="spellEnd"/>
      <w:r w:rsidRPr="00A039C4">
        <w:rPr>
          <w:rFonts w:eastAsia="SimSun" w:cs="Arial"/>
          <w:sz w:val="20"/>
          <w:szCs w:val="24"/>
          <w:lang w:val="en-US" w:eastAsia="zh-CN"/>
        </w:rPr>
        <w:t xml:space="preserve"> any conflict of interest in performing the functions of a Project Board member</w:t>
      </w:r>
      <w:r w:rsidRPr="00A039C4">
        <w:rPr>
          <w:rFonts w:eastAsia="SimSun"/>
          <w:sz w:val="20"/>
          <w:szCs w:val="24"/>
          <w:lang w:val="en-US"/>
        </w:rPr>
        <w:t xml:space="preserve"> and take all measures to avoid any real or perceived conflicts of interest. This disclosure must be documented and kept on record by UNDP.</w:t>
      </w:r>
    </w:p>
    <w:p w14:paraId="1D41D890" w14:textId="77777777" w:rsidR="00916696" w:rsidRPr="00A039C4" w:rsidRDefault="1D2926E5" w:rsidP="001360BB">
      <w:pPr>
        <w:numPr>
          <w:ilvl w:val="0"/>
          <w:numId w:val="277"/>
        </w:numPr>
        <w:shd w:val="clear" w:color="auto" w:fill="FFFFFF" w:themeFill="background1"/>
        <w:spacing w:after="0" w:line="240" w:lineRule="auto"/>
        <w:jc w:val="both"/>
        <w:rPr>
          <w:rFonts w:eastAsia="SimSun" w:cs="Arial"/>
          <w:sz w:val="20"/>
          <w:szCs w:val="20"/>
          <w:lang w:val="en-US" w:eastAsia="zh-CN"/>
        </w:rPr>
      </w:pPr>
      <w:r w:rsidRPr="5D8904BE">
        <w:rPr>
          <w:rFonts w:eastAsia="SimSun" w:cs="Arial"/>
          <w:noProof/>
          <w:sz w:val="20"/>
          <w:szCs w:val="20"/>
          <w:lang w:val="en-US" w:eastAsia="zh-CN"/>
        </w:rPr>
        <w:t>D</w:t>
      </w:r>
      <w:proofErr w:type="spellStart"/>
      <w:r w:rsidRPr="5D8904BE">
        <w:rPr>
          <w:rFonts w:eastAsia="SimSun" w:cs="Arial"/>
          <w:sz w:val="20"/>
          <w:szCs w:val="20"/>
          <w:lang w:val="en-US" w:eastAsia="zh-CN"/>
        </w:rPr>
        <w:t>ischarge</w:t>
      </w:r>
      <w:proofErr w:type="spellEnd"/>
      <w:r w:rsidRPr="5D8904BE">
        <w:rPr>
          <w:rFonts w:eastAsia="SimSun" w:cs="Arial"/>
          <w:sz w:val="20"/>
          <w:szCs w:val="20"/>
          <w:lang w:val="en-US" w:eastAsia="zh-CN"/>
        </w:rPr>
        <w:t xml:space="preserve"> the functions of the Project Board in accordance with UNDP policies and procedures.</w:t>
      </w:r>
    </w:p>
    <w:p w14:paraId="021DE076" w14:textId="77777777" w:rsidR="00916696" w:rsidRPr="00A039C4" w:rsidRDefault="1D2926E5" w:rsidP="001360BB">
      <w:pPr>
        <w:numPr>
          <w:ilvl w:val="0"/>
          <w:numId w:val="277"/>
        </w:numPr>
        <w:shd w:val="clear" w:color="auto" w:fill="FFFFFF" w:themeFill="background1"/>
        <w:spacing w:after="0" w:line="240" w:lineRule="auto"/>
        <w:jc w:val="both"/>
        <w:rPr>
          <w:rFonts w:eastAsia="SimSun"/>
          <w:noProof/>
          <w:sz w:val="20"/>
          <w:szCs w:val="20"/>
          <w:lang w:val="en-US" w:eastAsia="zh-CN"/>
        </w:rPr>
      </w:pPr>
      <w:r w:rsidRPr="5D8904BE">
        <w:rPr>
          <w:rFonts w:eastAsia="SimSun"/>
          <w:sz w:val="20"/>
          <w:szCs w:val="20"/>
          <w:lang w:val="en-US"/>
        </w:rPr>
        <w:t>Ensure highest levels of transparency and ensure Project Board meeting minutes are recorded and shared with project stakeholders.</w:t>
      </w:r>
    </w:p>
    <w:p w14:paraId="4F38C1AB" w14:textId="77777777" w:rsidR="00916696" w:rsidRPr="00A039C4" w:rsidRDefault="00916696" w:rsidP="00916696">
      <w:pPr>
        <w:shd w:val="clear" w:color="auto" w:fill="FFFFFF"/>
        <w:spacing w:after="0" w:line="240" w:lineRule="auto"/>
        <w:jc w:val="both"/>
        <w:rPr>
          <w:rFonts w:eastAsia="SimSun"/>
          <w:b/>
          <w:bCs/>
          <w:noProof/>
          <w:sz w:val="20"/>
          <w:szCs w:val="20"/>
          <w:lang w:val="en-US" w:eastAsia="zh-CN"/>
        </w:rPr>
      </w:pPr>
    </w:p>
    <w:p w14:paraId="4F6A9CCE" w14:textId="2E170CAB" w:rsidR="00916696" w:rsidRPr="00A039C4" w:rsidRDefault="1D2926E5" w:rsidP="5D8904BE">
      <w:pPr>
        <w:shd w:val="clear" w:color="auto" w:fill="FFFFFF" w:themeFill="background1"/>
        <w:spacing w:after="0" w:line="240" w:lineRule="auto"/>
        <w:jc w:val="both"/>
        <w:rPr>
          <w:rFonts w:eastAsia="SimSun" w:cs="Arial"/>
          <w:i/>
          <w:iCs/>
          <w:noProof/>
          <w:sz w:val="20"/>
          <w:szCs w:val="20"/>
          <w:highlight w:val="yellow"/>
          <w:lang w:val="en-US" w:eastAsia="zh-CN"/>
        </w:rPr>
      </w:pPr>
      <w:r w:rsidRPr="5D8904BE">
        <w:rPr>
          <w:rFonts w:eastAsia="SimSun" w:cs="Arial"/>
          <w:b/>
          <w:bCs/>
          <w:noProof/>
          <w:sz w:val="20"/>
          <w:szCs w:val="20"/>
          <w:lang w:val="en-US" w:eastAsia="zh-CN"/>
        </w:rPr>
        <w:t>Responsibilities of the Project Board</w:t>
      </w:r>
      <w:r w:rsidRPr="5D8904BE">
        <w:rPr>
          <w:rFonts w:eastAsia="SimSun" w:cs="Arial"/>
          <w:noProof/>
          <w:sz w:val="20"/>
          <w:szCs w:val="20"/>
          <w:lang w:val="en-US" w:eastAsia="zh-CN"/>
        </w:rPr>
        <w:t xml:space="preserve">: </w:t>
      </w:r>
    </w:p>
    <w:p w14:paraId="480E79F4" w14:textId="77777777" w:rsidR="00916696" w:rsidRPr="00485F0E" w:rsidRDefault="1D2926E5" w:rsidP="001360BB">
      <w:pPr>
        <w:numPr>
          <w:ilvl w:val="0"/>
          <w:numId w:val="278"/>
        </w:numPr>
        <w:shd w:val="clear" w:color="auto" w:fill="FFFFFF" w:themeFill="background1"/>
        <w:spacing w:after="0" w:line="240" w:lineRule="auto"/>
        <w:jc w:val="both"/>
        <w:rPr>
          <w:rFonts w:eastAsia="Times New Roman"/>
          <w:sz w:val="20"/>
          <w:szCs w:val="20"/>
        </w:rPr>
      </w:pPr>
      <w:r w:rsidRPr="5D8904BE">
        <w:rPr>
          <w:rFonts w:eastAsia="SimSun"/>
          <w:sz w:val="20"/>
          <w:szCs w:val="20"/>
        </w:rPr>
        <w:t xml:space="preserve">Consensus </w:t>
      </w:r>
      <w:proofErr w:type="spellStart"/>
      <w:r w:rsidRPr="5D8904BE">
        <w:rPr>
          <w:rFonts w:eastAsia="SimSun"/>
          <w:sz w:val="20"/>
          <w:szCs w:val="20"/>
        </w:rPr>
        <w:t>decision</w:t>
      </w:r>
      <w:proofErr w:type="spellEnd"/>
      <w:r w:rsidRPr="5D8904BE">
        <w:rPr>
          <w:rFonts w:eastAsia="SimSun"/>
          <w:sz w:val="20"/>
          <w:szCs w:val="20"/>
        </w:rPr>
        <w:t xml:space="preserve"> </w:t>
      </w:r>
      <w:proofErr w:type="spellStart"/>
      <w:proofErr w:type="gramStart"/>
      <w:r w:rsidRPr="5D8904BE">
        <w:rPr>
          <w:rFonts w:eastAsia="SimSun"/>
          <w:sz w:val="20"/>
          <w:szCs w:val="20"/>
        </w:rPr>
        <w:t>making</w:t>
      </w:r>
      <w:proofErr w:type="spellEnd"/>
      <w:r w:rsidRPr="5D8904BE">
        <w:rPr>
          <w:rFonts w:eastAsia="SimSun"/>
          <w:sz w:val="20"/>
          <w:szCs w:val="20"/>
        </w:rPr>
        <w:t>:</w:t>
      </w:r>
      <w:proofErr w:type="gramEnd"/>
    </w:p>
    <w:p w14:paraId="6E696DCA" w14:textId="77777777" w:rsidR="00916696" w:rsidRPr="00A039C4" w:rsidRDefault="1D2926E5" w:rsidP="001360BB">
      <w:pPr>
        <w:numPr>
          <w:ilvl w:val="1"/>
          <w:numId w:val="278"/>
        </w:numPr>
        <w:shd w:val="clear" w:color="auto" w:fill="FFFFFF" w:themeFill="background1"/>
        <w:spacing w:after="0" w:line="240" w:lineRule="auto"/>
        <w:jc w:val="both"/>
        <w:rPr>
          <w:rFonts w:eastAsia="Times New Roman"/>
          <w:sz w:val="20"/>
          <w:szCs w:val="20"/>
          <w:lang w:val="en-US"/>
        </w:rPr>
      </w:pPr>
      <w:r w:rsidRPr="5D8904BE">
        <w:rPr>
          <w:rFonts w:eastAsia="Times New Roman"/>
          <w:sz w:val="20"/>
          <w:szCs w:val="20"/>
          <w:lang w:val="en-US"/>
        </w:rPr>
        <w:t xml:space="preserve">The project board provides overall </w:t>
      </w:r>
      <w:proofErr w:type="spellStart"/>
      <w:r w:rsidRPr="5D8904BE">
        <w:rPr>
          <w:rFonts w:eastAsia="Times New Roman"/>
          <w:sz w:val="20"/>
          <w:szCs w:val="20"/>
          <w:lang w:val="en-US"/>
        </w:rPr>
        <w:t>overall</w:t>
      </w:r>
      <w:proofErr w:type="spellEnd"/>
      <w:r w:rsidRPr="5D8904BE">
        <w:rPr>
          <w:rFonts w:eastAsia="Times New Roman"/>
          <w:sz w:val="20"/>
          <w:szCs w:val="20"/>
          <w:lang w:val="en-US"/>
        </w:rPr>
        <w:t xml:space="preserve"> guidance and direction to the project, ensuring it remains within any specified constraints, and providing overall oversight of the project implementation. </w:t>
      </w:r>
    </w:p>
    <w:p w14:paraId="5DA5CAA7" w14:textId="77777777" w:rsidR="00916696" w:rsidRPr="00A039C4" w:rsidRDefault="1D2926E5" w:rsidP="001360BB">
      <w:pPr>
        <w:numPr>
          <w:ilvl w:val="1"/>
          <w:numId w:val="278"/>
        </w:numPr>
        <w:shd w:val="clear" w:color="auto" w:fill="FFFFFF" w:themeFill="background1"/>
        <w:spacing w:after="0" w:line="240" w:lineRule="auto"/>
        <w:jc w:val="both"/>
        <w:rPr>
          <w:rFonts w:eastAsia="Times New Roman"/>
          <w:sz w:val="20"/>
          <w:szCs w:val="20"/>
          <w:lang w:val="en-US"/>
        </w:rPr>
      </w:pPr>
      <w:r w:rsidRPr="5D8904BE">
        <w:rPr>
          <w:rFonts w:eastAsia="Times New Roman"/>
          <w:sz w:val="20"/>
          <w:szCs w:val="20"/>
          <w:lang w:val="en-US"/>
        </w:rPr>
        <w:t xml:space="preserve">Review project performance based on monitoring, evaluation and reporting, including progress reports, risk logs and the combined delivery </w:t>
      </w:r>
      <w:proofErr w:type="gramStart"/>
      <w:r w:rsidRPr="5D8904BE">
        <w:rPr>
          <w:rFonts w:eastAsia="Times New Roman"/>
          <w:sz w:val="20"/>
          <w:szCs w:val="20"/>
          <w:lang w:val="en-US"/>
        </w:rPr>
        <w:t>report;</w:t>
      </w:r>
      <w:proofErr w:type="gramEnd"/>
    </w:p>
    <w:p w14:paraId="3C5C54A4" w14:textId="77777777" w:rsidR="00916696" w:rsidRPr="00A039C4" w:rsidRDefault="1D2926E5" w:rsidP="001360BB">
      <w:pPr>
        <w:numPr>
          <w:ilvl w:val="1"/>
          <w:numId w:val="278"/>
        </w:numPr>
        <w:shd w:val="clear" w:color="auto" w:fill="FFFFFF" w:themeFill="background1"/>
        <w:spacing w:after="0" w:line="240" w:lineRule="auto"/>
        <w:jc w:val="both"/>
        <w:rPr>
          <w:rFonts w:eastAsia="Times New Roman"/>
          <w:sz w:val="20"/>
          <w:szCs w:val="20"/>
          <w:lang w:val="en-US"/>
        </w:rPr>
      </w:pPr>
      <w:r w:rsidRPr="5D8904BE">
        <w:rPr>
          <w:rFonts w:eastAsia="SimSun"/>
          <w:sz w:val="20"/>
          <w:szCs w:val="20"/>
          <w:lang w:val="en-US"/>
        </w:rPr>
        <w:t xml:space="preserve">The project board is responsible for making management decisions by consensus. </w:t>
      </w:r>
    </w:p>
    <w:p w14:paraId="3D27E79A" w14:textId="77777777" w:rsidR="00916696" w:rsidRPr="00FF1C21" w:rsidRDefault="00916696" w:rsidP="001360BB">
      <w:pPr>
        <w:numPr>
          <w:ilvl w:val="1"/>
          <w:numId w:val="278"/>
        </w:numPr>
        <w:shd w:val="clear" w:color="auto" w:fill="FFFFFF"/>
        <w:spacing w:after="0" w:line="240" w:lineRule="auto"/>
        <w:jc w:val="both"/>
        <w:rPr>
          <w:rFonts w:eastAsia="Times New Roman"/>
          <w:sz w:val="20"/>
          <w:szCs w:val="20"/>
          <w:lang w:val="en-US"/>
        </w:rPr>
      </w:pPr>
      <w:r w:rsidRPr="00A039C4">
        <w:rPr>
          <w:rFonts w:eastAsia="SimSun"/>
          <w:noProof/>
          <w:sz w:val="20"/>
          <w:szCs w:val="20"/>
          <w:lang w:val="en-US" w:eastAsia="zh-CN"/>
        </w:rPr>
        <w:t xml:space="preserve">In order to ensure UNDP’s ultimate accountability, Project Board decisions should be made in </w:t>
      </w:r>
      <w:r w:rsidRPr="00FF1C21">
        <w:rPr>
          <w:rFonts w:eastAsia="SimSun"/>
          <w:noProof/>
          <w:sz w:val="20"/>
          <w:szCs w:val="20"/>
          <w:lang w:val="en-US" w:eastAsia="zh-CN"/>
        </w:rPr>
        <w:t xml:space="preserve">accordance with standards that shall ensure management for development results, best value money, fairness, integrity, transparency and effective international competition. </w:t>
      </w:r>
    </w:p>
    <w:p w14:paraId="3EECD87C" w14:textId="7F3B2775" w:rsidR="00916696" w:rsidRPr="006F5E1D" w:rsidRDefault="117E8A1B" w:rsidP="001360BB">
      <w:pPr>
        <w:numPr>
          <w:ilvl w:val="1"/>
          <w:numId w:val="278"/>
        </w:numPr>
        <w:shd w:val="clear" w:color="auto" w:fill="FFFFFF" w:themeFill="background1"/>
        <w:spacing w:after="0" w:line="240" w:lineRule="auto"/>
        <w:jc w:val="both"/>
        <w:rPr>
          <w:rFonts w:eastAsia="Times New Roman"/>
          <w:i/>
          <w:iCs/>
          <w:sz w:val="20"/>
          <w:szCs w:val="20"/>
          <w:lang w:val="en-US"/>
        </w:rPr>
      </w:pPr>
      <w:r w:rsidRPr="00FF1C21">
        <w:rPr>
          <w:rFonts w:eastAsia="SimSun"/>
          <w:noProof/>
          <w:sz w:val="20"/>
          <w:szCs w:val="20"/>
          <w:lang w:val="en-US" w:eastAsia="zh-CN"/>
        </w:rPr>
        <w:t xml:space="preserve">In case consensus cannot be reached within the Board, the UNDP representative on the board </w:t>
      </w:r>
      <w:r w:rsidRPr="00FF1C21">
        <w:rPr>
          <w:rFonts w:eastAsia="Times New Roman"/>
          <w:sz w:val="20"/>
          <w:szCs w:val="20"/>
          <w:lang w:val="en-US"/>
        </w:rPr>
        <w:t>will mediate to find consensus and, if this cannot be found, will take the final decision to ensure project implementation is not unduly delayed</w:t>
      </w:r>
      <w:r w:rsidRPr="006F5E1D">
        <w:rPr>
          <w:rFonts w:eastAsia="Times New Roman"/>
          <w:i/>
          <w:iCs/>
          <w:sz w:val="20"/>
          <w:szCs w:val="20"/>
          <w:lang w:val="en-US"/>
        </w:rPr>
        <w:t>.</w:t>
      </w:r>
    </w:p>
    <w:p w14:paraId="1F39E936" w14:textId="77777777" w:rsidR="00916696" w:rsidRPr="00FF1C21" w:rsidRDefault="1D2926E5" w:rsidP="001360BB">
      <w:pPr>
        <w:numPr>
          <w:ilvl w:val="0"/>
          <w:numId w:val="278"/>
        </w:numPr>
        <w:shd w:val="clear" w:color="auto" w:fill="FFFFFF" w:themeFill="background1"/>
        <w:spacing w:after="0" w:line="240" w:lineRule="auto"/>
        <w:jc w:val="both"/>
        <w:rPr>
          <w:rFonts w:eastAsia="Times New Roman"/>
          <w:sz w:val="20"/>
          <w:szCs w:val="20"/>
        </w:rPr>
      </w:pPr>
      <w:proofErr w:type="spellStart"/>
      <w:r w:rsidRPr="00FF1C21">
        <w:rPr>
          <w:rFonts w:eastAsia="SimSun"/>
          <w:sz w:val="20"/>
          <w:szCs w:val="20"/>
        </w:rPr>
        <w:t>Oversee</w:t>
      </w:r>
      <w:proofErr w:type="spellEnd"/>
      <w:r w:rsidRPr="00FF1C21">
        <w:rPr>
          <w:rFonts w:eastAsia="SimSun"/>
          <w:sz w:val="20"/>
          <w:szCs w:val="20"/>
        </w:rPr>
        <w:t xml:space="preserve"> </w:t>
      </w:r>
      <w:proofErr w:type="spellStart"/>
      <w:r w:rsidRPr="00FF1C21">
        <w:rPr>
          <w:rFonts w:eastAsia="SimSun"/>
          <w:sz w:val="20"/>
          <w:szCs w:val="20"/>
        </w:rPr>
        <w:t>project</w:t>
      </w:r>
      <w:proofErr w:type="spellEnd"/>
      <w:r w:rsidRPr="00FF1C21">
        <w:rPr>
          <w:rFonts w:eastAsia="SimSun"/>
          <w:sz w:val="20"/>
          <w:szCs w:val="20"/>
        </w:rPr>
        <w:t xml:space="preserve"> </w:t>
      </w:r>
      <w:proofErr w:type="spellStart"/>
      <w:proofErr w:type="gramStart"/>
      <w:r w:rsidRPr="00FF1C21">
        <w:rPr>
          <w:rFonts w:eastAsia="SimSun"/>
          <w:sz w:val="20"/>
          <w:szCs w:val="20"/>
        </w:rPr>
        <w:t>execution</w:t>
      </w:r>
      <w:proofErr w:type="spellEnd"/>
      <w:r w:rsidRPr="00FF1C21">
        <w:rPr>
          <w:rFonts w:eastAsia="SimSun"/>
          <w:sz w:val="20"/>
          <w:szCs w:val="20"/>
        </w:rPr>
        <w:t>:</w:t>
      </w:r>
      <w:proofErr w:type="gramEnd"/>
      <w:r w:rsidRPr="00FF1C21">
        <w:rPr>
          <w:rFonts w:eastAsia="SimSun"/>
          <w:sz w:val="20"/>
          <w:szCs w:val="20"/>
        </w:rPr>
        <w:t xml:space="preserve"> </w:t>
      </w:r>
    </w:p>
    <w:p w14:paraId="0BB48022" w14:textId="77777777" w:rsidR="00916696" w:rsidRPr="00A039C4" w:rsidRDefault="1D2926E5" w:rsidP="001360BB">
      <w:pPr>
        <w:numPr>
          <w:ilvl w:val="1"/>
          <w:numId w:val="278"/>
        </w:numPr>
        <w:spacing w:after="0" w:line="240" w:lineRule="auto"/>
        <w:jc w:val="both"/>
        <w:rPr>
          <w:rFonts w:eastAsia="SimSun" w:cs="Times New Roman"/>
          <w:sz w:val="20"/>
          <w:szCs w:val="20"/>
          <w:lang w:val="en-US"/>
        </w:rPr>
      </w:pPr>
      <w:r w:rsidRPr="00FF1C21">
        <w:rPr>
          <w:rFonts w:eastAsia="SimSun"/>
          <w:sz w:val="20"/>
          <w:szCs w:val="20"/>
          <w:lang w:val="en-US"/>
        </w:rPr>
        <w:lastRenderedPageBreak/>
        <w:t>Agree</w:t>
      </w:r>
      <w:r w:rsidRPr="5D8904BE">
        <w:rPr>
          <w:rFonts w:eastAsia="SimSun"/>
          <w:sz w:val="20"/>
          <w:szCs w:val="20"/>
          <w:lang w:val="en-US"/>
        </w:rPr>
        <w:t xml:space="preserve"> on project manager’s tolerances as required, within the parameters outlined in the project document, and provide</w:t>
      </w:r>
      <w:r w:rsidRPr="5D8904BE">
        <w:rPr>
          <w:rFonts w:eastAsia="SimSun" w:cs="Times New Roman"/>
          <w:sz w:val="20"/>
          <w:szCs w:val="20"/>
          <w:lang w:val="en-US"/>
        </w:rPr>
        <w:t xml:space="preserve"> direction and advice for exceptional situations when the project manager’s tolerances are exceeded.</w:t>
      </w:r>
    </w:p>
    <w:p w14:paraId="26A43EB7" w14:textId="77777777" w:rsidR="00916696" w:rsidRPr="00A039C4" w:rsidRDefault="00916696" w:rsidP="001360BB">
      <w:pPr>
        <w:numPr>
          <w:ilvl w:val="0"/>
          <w:numId w:val="280"/>
        </w:numPr>
        <w:spacing w:after="0" w:line="240" w:lineRule="auto"/>
        <w:jc w:val="both"/>
        <w:rPr>
          <w:rFonts w:eastAsia="Times New Roman"/>
          <w:color w:val="000000"/>
          <w:sz w:val="20"/>
          <w:szCs w:val="20"/>
          <w:lang w:val="en-US"/>
        </w:rPr>
      </w:pPr>
      <w:r w:rsidRPr="00A039C4">
        <w:rPr>
          <w:rFonts w:eastAsia="SimSun"/>
          <w:sz w:val="20"/>
          <w:szCs w:val="20"/>
          <w:lang w:val="en-US"/>
        </w:rPr>
        <w:t>Appraise annual work plans prepared by the Implementing Partner for the Project; r</w:t>
      </w:r>
      <w:r w:rsidRPr="00A039C4">
        <w:rPr>
          <w:rFonts w:eastAsia="Times New Roman"/>
          <w:color w:val="000000"/>
          <w:sz w:val="20"/>
          <w:szCs w:val="20"/>
          <w:lang w:val="en-US"/>
        </w:rPr>
        <w:t>eview combined delivery reports prior to certification by the implementing partner.</w:t>
      </w:r>
    </w:p>
    <w:p w14:paraId="0606CC53" w14:textId="77777777" w:rsidR="00916696" w:rsidRPr="00485F0E" w:rsidRDefault="00916696" w:rsidP="001360BB">
      <w:pPr>
        <w:numPr>
          <w:ilvl w:val="0"/>
          <w:numId w:val="280"/>
        </w:numPr>
        <w:spacing w:after="0" w:line="240" w:lineRule="auto"/>
        <w:jc w:val="both"/>
        <w:rPr>
          <w:rFonts w:eastAsia="SimSun" w:cs="Arial"/>
          <w:sz w:val="20"/>
          <w:szCs w:val="20"/>
          <w:lang w:val="en-GB"/>
        </w:rPr>
      </w:pPr>
      <w:r w:rsidRPr="00485F0E">
        <w:rPr>
          <w:rFonts w:eastAsia="SimSun" w:cs="Arial"/>
          <w:sz w:val="20"/>
          <w:szCs w:val="20"/>
          <w:lang w:val="en-GB"/>
        </w:rPr>
        <w:t xml:space="preserve">Address any high-level project issues as raised by the project manager and project </w:t>
      </w:r>
      <w:proofErr w:type="gramStart"/>
      <w:r w:rsidRPr="00485F0E">
        <w:rPr>
          <w:rFonts w:eastAsia="SimSun" w:cs="Arial"/>
          <w:sz w:val="20"/>
          <w:szCs w:val="20"/>
          <w:lang w:val="en-GB"/>
        </w:rPr>
        <w:t>assurance;</w:t>
      </w:r>
      <w:proofErr w:type="gramEnd"/>
    </w:p>
    <w:p w14:paraId="4DD93776" w14:textId="77777777" w:rsidR="00916696" w:rsidRPr="008141F7" w:rsidRDefault="1D2926E5" w:rsidP="40E7FE84">
      <w:pPr>
        <w:numPr>
          <w:ilvl w:val="0"/>
          <w:numId w:val="280"/>
        </w:numPr>
        <w:spacing w:after="0" w:line="240" w:lineRule="auto"/>
        <w:jc w:val="both"/>
        <w:rPr>
          <w:rFonts w:eastAsia="SimSun" w:cs="Arial"/>
          <w:sz w:val="20"/>
          <w:szCs w:val="20"/>
          <w:lang w:val="en-US"/>
        </w:rPr>
      </w:pPr>
      <w:r w:rsidRPr="008141F7">
        <w:rPr>
          <w:rFonts w:eastAsia="SimSun" w:cs="Arial"/>
          <w:sz w:val="20"/>
          <w:szCs w:val="20"/>
          <w:lang w:val="en-US"/>
        </w:rPr>
        <w:t>Advise on major and minor amendments to the project within the parameters set by UNDP and the donor and refer such proposed major and minor amendments to the UNDP BPPS Nature, Climate and Energy Executive Coordinator (and the GEF, as required by GEF policies</w:t>
      </w:r>
      <w:proofErr w:type="gramStart"/>
      <w:r w:rsidRPr="008141F7">
        <w:rPr>
          <w:rFonts w:eastAsia="SimSun" w:cs="Arial"/>
          <w:sz w:val="20"/>
          <w:szCs w:val="20"/>
          <w:lang w:val="en-US"/>
        </w:rPr>
        <w:t>);</w:t>
      </w:r>
      <w:proofErr w:type="gramEnd"/>
    </w:p>
    <w:p w14:paraId="21318342" w14:textId="77777777" w:rsidR="00916696" w:rsidRPr="00485F0E" w:rsidRDefault="00916696" w:rsidP="001360BB">
      <w:pPr>
        <w:numPr>
          <w:ilvl w:val="0"/>
          <w:numId w:val="280"/>
        </w:numPr>
        <w:spacing w:after="0" w:line="240" w:lineRule="auto"/>
        <w:jc w:val="both"/>
        <w:rPr>
          <w:rFonts w:eastAsia="SimSun" w:cs="Arial"/>
          <w:sz w:val="20"/>
          <w:szCs w:val="20"/>
          <w:lang w:val="en-GB"/>
        </w:rPr>
      </w:pPr>
      <w:r w:rsidRPr="00485F0E">
        <w:rPr>
          <w:rFonts w:eastAsia="SimSun" w:cs="Arial"/>
          <w:sz w:val="20"/>
          <w:szCs w:val="20"/>
          <w:lang w:val="en-GB"/>
        </w:rPr>
        <w:t>Provide high-level direction and recommendations to the project management unit to ensure that the agreed deliverables are produced satisfactorily and according to plans.</w:t>
      </w:r>
    </w:p>
    <w:p w14:paraId="03854935" w14:textId="77777777" w:rsidR="00916696" w:rsidRPr="00485F0E" w:rsidRDefault="1D2926E5" w:rsidP="001360BB">
      <w:pPr>
        <w:numPr>
          <w:ilvl w:val="0"/>
          <w:numId w:val="280"/>
        </w:numPr>
        <w:spacing w:after="0" w:line="240" w:lineRule="auto"/>
        <w:jc w:val="both"/>
        <w:rPr>
          <w:rFonts w:eastAsia="SimSun" w:cs="Arial"/>
          <w:sz w:val="20"/>
          <w:szCs w:val="20"/>
          <w:lang w:val="en-GB"/>
        </w:rPr>
      </w:pPr>
      <w:r w:rsidRPr="5D8904BE">
        <w:rPr>
          <w:rFonts w:eastAsia="SimSun" w:cs="Arial"/>
          <w:sz w:val="20"/>
          <w:szCs w:val="20"/>
          <w:lang w:val="en-GB"/>
        </w:rPr>
        <w:t xml:space="preserve">Track and monitor co-financed activities and realisation of co-financing amounts of this project. </w:t>
      </w:r>
    </w:p>
    <w:p w14:paraId="2B561BA5" w14:textId="77777777" w:rsidR="00916696" w:rsidRPr="00485F0E" w:rsidRDefault="00916696" w:rsidP="001360BB">
      <w:pPr>
        <w:numPr>
          <w:ilvl w:val="0"/>
          <w:numId w:val="280"/>
        </w:numPr>
        <w:spacing w:after="0" w:line="240" w:lineRule="auto"/>
        <w:jc w:val="both"/>
        <w:rPr>
          <w:rFonts w:eastAsia="SimSun" w:cs="Arial"/>
          <w:sz w:val="20"/>
          <w:szCs w:val="20"/>
          <w:lang w:val="en-GB"/>
        </w:rPr>
      </w:pPr>
      <w:r w:rsidRPr="00485F0E">
        <w:rPr>
          <w:rFonts w:eastAsia="SimSun" w:cs="Arial"/>
          <w:sz w:val="20"/>
          <w:szCs w:val="20"/>
          <w:lang w:val="en-GB"/>
        </w:rPr>
        <w:t>Approve the Inception Report, GEF annual project implementation reports, mid-term review and terminal evaluation reports.</w:t>
      </w:r>
    </w:p>
    <w:p w14:paraId="216F54EC" w14:textId="77777777" w:rsidR="00916696" w:rsidRPr="00485F0E" w:rsidRDefault="00916696" w:rsidP="001360BB">
      <w:pPr>
        <w:numPr>
          <w:ilvl w:val="0"/>
          <w:numId w:val="280"/>
        </w:numPr>
        <w:spacing w:after="0" w:line="240" w:lineRule="auto"/>
        <w:jc w:val="both"/>
        <w:rPr>
          <w:rFonts w:eastAsia="SimSun" w:cs="Arial"/>
          <w:sz w:val="20"/>
          <w:szCs w:val="20"/>
          <w:lang w:val="en-GB"/>
        </w:rPr>
      </w:pPr>
      <w:r w:rsidRPr="00485F0E">
        <w:rPr>
          <w:rFonts w:eastAsia="SimSun" w:cs="Arial"/>
          <w:sz w:val="20"/>
          <w:szCs w:val="20"/>
          <w:lang w:val="en-GB"/>
        </w:rPr>
        <w:t xml:space="preserve">Ensure commitment of human resources to support project implementation, arbitrating any issues within the project. </w:t>
      </w:r>
    </w:p>
    <w:p w14:paraId="47199C41" w14:textId="77777777" w:rsidR="00916696" w:rsidRPr="00485F0E" w:rsidRDefault="1D2926E5" w:rsidP="001360BB">
      <w:pPr>
        <w:numPr>
          <w:ilvl w:val="0"/>
          <w:numId w:val="278"/>
        </w:numPr>
        <w:shd w:val="clear" w:color="auto" w:fill="FFFFFF" w:themeFill="background1"/>
        <w:spacing w:after="0" w:line="240" w:lineRule="auto"/>
        <w:jc w:val="both"/>
        <w:rPr>
          <w:rFonts w:eastAsia="Times New Roman"/>
          <w:sz w:val="20"/>
          <w:szCs w:val="20"/>
        </w:rPr>
      </w:pPr>
      <w:r w:rsidRPr="5D8904BE">
        <w:rPr>
          <w:rFonts w:eastAsia="SimSun"/>
          <w:sz w:val="20"/>
          <w:szCs w:val="20"/>
        </w:rPr>
        <w:t xml:space="preserve">Risk </w:t>
      </w:r>
      <w:proofErr w:type="gramStart"/>
      <w:r w:rsidRPr="5D8904BE">
        <w:rPr>
          <w:rFonts w:eastAsia="SimSun"/>
          <w:sz w:val="20"/>
          <w:szCs w:val="20"/>
        </w:rPr>
        <w:t>Management:</w:t>
      </w:r>
      <w:proofErr w:type="gramEnd"/>
    </w:p>
    <w:p w14:paraId="3C8C3E22" w14:textId="77777777" w:rsidR="00916696" w:rsidRPr="00A039C4" w:rsidRDefault="1D2926E5" w:rsidP="001360BB">
      <w:pPr>
        <w:numPr>
          <w:ilvl w:val="1"/>
          <w:numId w:val="278"/>
        </w:numPr>
        <w:shd w:val="clear" w:color="auto" w:fill="FFFFFF" w:themeFill="background1"/>
        <w:spacing w:after="0" w:line="240" w:lineRule="auto"/>
        <w:jc w:val="both"/>
        <w:rPr>
          <w:rFonts w:eastAsia="Times New Roman"/>
          <w:sz w:val="20"/>
          <w:szCs w:val="20"/>
          <w:lang w:val="en-US"/>
        </w:rPr>
      </w:pPr>
      <w:r w:rsidRPr="5D8904BE">
        <w:rPr>
          <w:rFonts w:eastAsia="SimSun"/>
          <w:sz w:val="20"/>
          <w:szCs w:val="20"/>
          <w:lang w:val="en-US"/>
        </w:rPr>
        <w:t xml:space="preserve">Provide guidance on evolving or materialized project risks and agree on possible mitigation and management actions to address specific risks. </w:t>
      </w:r>
    </w:p>
    <w:p w14:paraId="6B3873FE" w14:textId="77777777" w:rsidR="00916696" w:rsidRPr="00A039C4" w:rsidRDefault="1D2926E5" w:rsidP="001360BB">
      <w:pPr>
        <w:numPr>
          <w:ilvl w:val="1"/>
          <w:numId w:val="278"/>
        </w:numPr>
        <w:shd w:val="clear" w:color="auto" w:fill="FFFFFF" w:themeFill="background1"/>
        <w:spacing w:after="0" w:line="240" w:lineRule="auto"/>
        <w:jc w:val="both"/>
        <w:rPr>
          <w:rFonts w:eastAsia="Times New Roman"/>
          <w:sz w:val="20"/>
          <w:szCs w:val="20"/>
          <w:lang w:val="en-US"/>
        </w:rPr>
      </w:pPr>
      <w:r w:rsidRPr="5D8904BE">
        <w:rPr>
          <w:rFonts w:eastAsia="SimSun"/>
          <w:sz w:val="20"/>
          <w:szCs w:val="20"/>
          <w:lang w:val="en-US"/>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6FC6C8B6" w14:textId="77777777" w:rsidR="00916696" w:rsidRPr="00485F0E" w:rsidRDefault="1D2926E5" w:rsidP="001360BB">
      <w:pPr>
        <w:numPr>
          <w:ilvl w:val="1"/>
          <w:numId w:val="278"/>
        </w:numPr>
        <w:shd w:val="clear" w:color="auto" w:fill="FFFFFF" w:themeFill="background1"/>
        <w:spacing w:after="0" w:line="240" w:lineRule="auto"/>
        <w:jc w:val="both"/>
        <w:rPr>
          <w:rFonts w:eastAsia="Times New Roman"/>
          <w:sz w:val="20"/>
          <w:szCs w:val="20"/>
        </w:rPr>
      </w:pPr>
      <w:proofErr w:type="spellStart"/>
      <w:r w:rsidRPr="5D8904BE">
        <w:rPr>
          <w:rFonts w:eastAsia="SimSun"/>
          <w:sz w:val="20"/>
          <w:szCs w:val="20"/>
        </w:rPr>
        <w:t>Address</w:t>
      </w:r>
      <w:proofErr w:type="spellEnd"/>
      <w:r w:rsidRPr="5D8904BE">
        <w:rPr>
          <w:rFonts w:eastAsia="SimSun"/>
          <w:sz w:val="20"/>
          <w:szCs w:val="20"/>
        </w:rPr>
        <w:t xml:space="preserve"> </w:t>
      </w:r>
      <w:proofErr w:type="spellStart"/>
      <w:r w:rsidRPr="5D8904BE">
        <w:rPr>
          <w:rFonts w:eastAsia="SimSun"/>
          <w:sz w:val="20"/>
          <w:szCs w:val="20"/>
        </w:rPr>
        <w:t>project-level</w:t>
      </w:r>
      <w:proofErr w:type="spellEnd"/>
      <w:r w:rsidRPr="5D8904BE">
        <w:rPr>
          <w:rFonts w:eastAsia="SimSun"/>
          <w:sz w:val="20"/>
          <w:szCs w:val="20"/>
        </w:rPr>
        <w:t xml:space="preserve"> </w:t>
      </w:r>
      <w:proofErr w:type="spellStart"/>
      <w:r w:rsidRPr="5D8904BE">
        <w:rPr>
          <w:rFonts w:eastAsia="SimSun"/>
          <w:sz w:val="20"/>
          <w:szCs w:val="20"/>
        </w:rPr>
        <w:t>grievances</w:t>
      </w:r>
      <w:proofErr w:type="spellEnd"/>
      <w:r w:rsidRPr="5D8904BE">
        <w:rPr>
          <w:rFonts w:eastAsia="SimSun"/>
          <w:sz w:val="20"/>
          <w:szCs w:val="20"/>
        </w:rPr>
        <w:t>.</w:t>
      </w:r>
    </w:p>
    <w:p w14:paraId="380EEE9F" w14:textId="77777777" w:rsidR="00916696" w:rsidRPr="00485F0E" w:rsidRDefault="00916696" w:rsidP="001360BB">
      <w:pPr>
        <w:numPr>
          <w:ilvl w:val="0"/>
          <w:numId w:val="279"/>
        </w:numPr>
        <w:spacing w:after="0" w:line="240" w:lineRule="auto"/>
        <w:jc w:val="both"/>
        <w:rPr>
          <w:rFonts w:eastAsia="SimSun" w:cs="Arial"/>
          <w:sz w:val="20"/>
          <w:lang w:val="en-GB"/>
        </w:rPr>
      </w:pPr>
      <w:r w:rsidRPr="00485F0E">
        <w:rPr>
          <w:rFonts w:eastAsia="SimSun" w:cs="Arial"/>
          <w:sz w:val="20"/>
          <w:szCs w:val="20"/>
          <w:lang w:val="en-GB"/>
        </w:rPr>
        <w:t>Coordination:</w:t>
      </w:r>
    </w:p>
    <w:p w14:paraId="2FE51105" w14:textId="77777777" w:rsidR="00916696" w:rsidRPr="00485F0E" w:rsidRDefault="00916696" w:rsidP="001360BB">
      <w:pPr>
        <w:numPr>
          <w:ilvl w:val="1"/>
          <w:numId w:val="279"/>
        </w:numPr>
        <w:spacing w:after="0" w:line="240" w:lineRule="auto"/>
        <w:jc w:val="both"/>
        <w:rPr>
          <w:rFonts w:eastAsia="SimSun" w:cs="Arial"/>
          <w:sz w:val="20"/>
          <w:lang w:val="en-GB"/>
        </w:rPr>
      </w:pPr>
      <w:r w:rsidRPr="00485F0E">
        <w:rPr>
          <w:rFonts w:eastAsia="SimSun" w:cs="Arial"/>
          <w:sz w:val="20"/>
          <w:szCs w:val="20"/>
          <w:lang w:val="en-GB"/>
        </w:rPr>
        <w:t xml:space="preserve">Ensure coordination between various donor and government-funded projects and programmes. </w:t>
      </w:r>
    </w:p>
    <w:p w14:paraId="01CABCB2" w14:textId="77777777" w:rsidR="00916696" w:rsidRPr="00485F0E" w:rsidRDefault="00916696" w:rsidP="001360BB">
      <w:pPr>
        <w:numPr>
          <w:ilvl w:val="1"/>
          <w:numId w:val="279"/>
        </w:numPr>
        <w:spacing w:after="0" w:line="240" w:lineRule="auto"/>
        <w:jc w:val="both"/>
        <w:rPr>
          <w:rFonts w:eastAsia="SimSun" w:cs="Arial"/>
          <w:sz w:val="20"/>
          <w:lang w:val="en-GB"/>
        </w:rPr>
      </w:pPr>
      <w:r w:rsidRPr="00485F0E">
        <w:rPr>
          <w:rFonts w:eastAsia="SimSun" w:cs="Arial"/>
          <w:sz w:val="20"/>
          <w:szCs w:val="20"/>
          <w:lang w:val="en-GB"/>
        </w:rPr>
        <w:t xml:space="preserve">Ensure coordination with various government agencies and their participation in project activities. </w:t>
      </w:r>
    </w:p>
    <w:p w14:paraId="59B59DE7" w14:textId="77777777" w:rsidR="00916696" w:rsidRPr="00A039C4" w:rsidRDefault="00916696" w:rsidP="00916696">
      <w:pPr>
        <w:shd w:val="clear" w:color="auto" w:fill="FFFFFF"/>
        <w:spacing w:after="0" w:line="240" w:lineRule="auto"/>
        <w:jc w:val="both"/>
        <w:rPr>
          <w:rFonts w:eastAsia="SimSun" w:cs="Times New Roman"/>
          <w:sz w:val="20"/>
          <w:szCs w:val="20"/>
          <w:lang w:val="en-US"/>
        </w:rPr>
      </w:pPr>
    </w:p>
    <w:p w14:paraId="27778B53" w14:textId="77777777" w:rsidR="00916696" w:rsidRPr="00A039C4" w:rsidRDefault="00916696" w:rsidP="00916696">
      <w:pPr>
        <w:shd w:val="clear" w:color="auto" w:fill="FFFFFF"/>
        <w:spacing w:after="0" w:line="240" w:lineRule="auto"/>
        <w:jc w:val="both"/>
        <w:rPr>
          <w:rFonts w:eastAsia="SimSun" w:cs="Times New Roman"/>
          <w:sz w:val="20"/>
          <w:szCs w:val="24"/>
          <w:lang w:val="en-US"/>
        </w:rPr>
      </w:pPr>
      <w:r w:rsidRPr="00A039C4">
        <w:rPr>
          <w:rFonts w:eastAsia="SimSun" w:cs="Times New Roman"/>
          <w:b/>
          <w:bCs/>
          <w:sz w:val="20"/>
          <w:szCs w:val="24"/>
          <w:lang w:val="en-US"/>
        </w:rPr>
        <w:t>Composition of the Project Board</w:t>
      </w:r>
      <w:r w:rsidRPr="00A039C4">
        <w:rPr>
          <w:rFonts w:eastAsia="SimSun" w:cs="Times New Roman"/>
          <w:sz w:val="20"/>
          <w:szCs w:val="24"/>
          <w:lang w:val="en-US"/>
        </w:rPr>
        <w:t xml:space="preserve">: The composition of the Project Board must include individuals assigned to the following three roles: </w:t>
      </w:r>
    </w:p>
    <w:p w14:paraId="3028C8EB" w14:textId="77777777" w:rsidR="00916696" w:rsidRPr="00A039C4" w:rsidRDefault="00916696" w:rsidP="00916696">
      <w:pPr>
        <w:spacing w:after="0" w:line="240" w:lineRule="auto"/>
        <w:jc w:val="both"/>
        <w:rPr>
          <w:rFonts w:eastAsia="SimSun" w:cs="Times New Roman"/>
          <w:sz w:val="20"/>
          <w:szCs w:val="24"/>
          <w:lang w:val="en-US"/>
        </w:rPr>
      </w:pPr>
    </w:p>
    <w:p w14:paraId="27B0AA14" w14:textId="31C1E3E0" w:rsidR="00916696" w:rsidRPr="00F05919" w:rsidRDefault="1D2926E5" w:rsidP="00A07C28">
      <w:pPr>
        <w:pStyle w:val="Paragraphedeliste"/>
        <w:numPr>
          <w:ilvl w:val="0"/>
          <w:numId w:val="295"/>
        </w:numPr>
        <w:spacing w:after="0" w:line="240" w:lineRule="auto"/>
        <w:jc w:val="both"/>
        <w:rPr>
          <w:rFonts w:eastAsia="SimSun" w:cs="Times New Roman"/>
          <w:i/>
          <w:iCs/>
          <w:sz w:val="20"/>
          <w:szCs w:val="20"/>
          <w:lang w:val="en-US"/>
        </w:rPr>
      </w:pPr>
      <w:r w:rsidRPr="00F05919">
        <w:rPr>
          <w:rFonts w:eastAsia="SimSun" w:cs="Times New Roman"/>
          <w:b/>
          <w:bCs/>
          <w:sz w:val="20"/>
          <w:szCs w:val="20"/>
          <w:lang w:val="en-US"/>
        </w:rPr>
        <w:t>Project Executive:</w:t>
      </w:r>
      <w:r w:rsidRPr="00F05919">
        <w:rPr>
          <w:rFonts w:eastAsia="SimSun" w:cs="Times New Roman"/>
          <w:sz w:val="20"/>
          <w:szCs w:val="20"/>
          <w:lang w:val="en-US"/>
        </w:rPr>
        <w:t xml:space="preserve"> This is an individual who represents ownership of the project</w:t>
      </w:r>
      <w:r w:rsidRPr="00F05919">
        <w:rPr>
          <w:rFonts w:eastAsia="Times New Roman"/>
          <w:sz w:val="20"/>
          <w:szCs w:val="20"/>
          <w:lang w:val="en-US"/>
        </w:rPr>
        <w:t xml:space="preserve"> and chairs (or co-chairs) the Project Board.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Project Board. If the project executive co-chairs the project board with representatives of another category, it typically does so with a development </w:t>
      </w:r>
      <w:r w:rsidR="7170733F" w:rsidRPr="00F05919">
        <w:rPr>
          <w:rFonts w:eastAsia="Times New Roman"/>
          <w:sz w:val="20"/>
          <w:szCs w:val="20"/>
          <w:lang w:val="en-US"/>
        </w:rPr>
        <w:t>partner's</w:t>
      </w:r>
      <w:r w:rsidRPr="00F05919">
        <w:rPr>
          <w:rFonts w:eastAsia="Times New Roman"/>
          <w:sz w:val="20"/>
          <w:szCs w:val="20"/>
          <w:lang w:val="en-US"/>
        </w:rPr>
        <w:t xml:space="preserve"> representative. </w:t>
      </w:r>
      <w:r w:rsidRPr="00F05919">
        <w:rPr>
          <w:rFonts w:eastAsia="SimSun" w:cs="Times New Roman"/>
          <w:sz w:val="20"/>
          <w:szCs w:val="20"/>
          <w:lang w:val="en-US"/>
        </w:rPr>
        <w:t xml:space="preserve">The Project Executive is: </w:t>
      </w:r>
      <w:r w:rsidR="4CC36D99" w:rsidRPr="00F05919">
        <w:rPr>
          <w:rFonts w:eastAsia="SimSun" w:cs="Times New Roman"/>
          <w:i/>
          <w:iCs/>
          <w:sz w:val="20"/>
          <w:szCs w:val="20"/>
          <w:lang w:val="en-US"/>
        </w:rPr>
        <w:t xml:space="preserve"> National Directorate for Urban planning and Habitat</w:t>
      </w:r>
    </w:p>
    <w:p w14:paraId="6209E14F" w14:textId="7AAC3DA4" w:rsidR="00F43B5F" w:rsidRDefault="1D2926E5" w:rsidP="00A07C28">
      <w:pPr>
        <w:pStyle w:val="Paragraphedeliste"/>
        <w:numPr>
          <w:ilvl w:val="0"/>
          <w:numId w:val="295"/>
        </w:numPr>
        <w:spacing w:after="0" w:line="240" w:lineRule="auto"/>
        <w:jc w:val="both"/>
        <w:rPr>
          <w:rFonts w:eastAsia="SimSun" w:cs="Times New Roman"/>
          <w:i/>
          <w:iCs/>
          <w:sz w:val="20"/>
          <w:szCs w:val="20"/>
          <w:lang w:val="en-US"/>
        </w:rPr>
      </w:pPr>
      <w:r w:rsidRPr="0C95EC3E">
        <w:rPr>
          <w:rFonts w:eastAsia="SimSun" w:cs="Times New Roman"/>
          <w:b/>
          <w:bCs/>
          <w:sz w:val="20"/>
          <w:szCs w:val="20"/>
          <w:lang w:val="en-US"/>
        </w:rPr>
        <w:t>Beneficiary Representative(s):</w:t>
      </w:r>
      <w:r w:rsidRPr="0C95EC3E">
        <w:rPr>
          <w:rFonts w:eastAsia="SimSun" w:cs="Times New Roman"/>
          <w:sz w:val="20"/>
          <w:szCs w:val="20"/>
          <w:lang w:val="en-US"/>
        </w:rPr>
        <w:t xml:space="preserve"> </w:t>
      </w:r>
      <w:r w:rsidRPr="0C95EC3E">
        <w:rPr>
          <w:rFonts w:eastAsia="Times New Roman"/>
          <w:sz w:val="20"/>
          <w:szCs w:val="20"/>
          <w:lang w:val="en-US"/>
        </w:rPr>
        <w:t xml:space="preserve">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w:t>
      </w:r>
      <w:r w:rsidR="00B767C7" w:rsidRPr="0C95EC3E">
        <w:rPr>
          <w:rFonts w:eastAsia="Times New Roman"/>
          <w:sz w:val="20"/>
          <w:szCs w:val="20"/>
          <w:lang w:val="en-US"/>
        </w:rPr>
        <w:t>on</w:t>
      </w:r>
      <w:r w:rsidRPr="0C95EC3E">
        <w:rPr>
          <w:rFonts w:eastAsia="Times New Roman"/>
          <w:sz w:val="20"/>
          <w:szCs w:val="20"/>
          <w:lang w:val="en-US"/>
        </w:rPr>
        <w:t xml:space="preserve"> a Project </w:t>
      </w:r>
      <w:r w:rsidR="00233C16" w:rsidRPr="0C95EC3E">
        <w:rPr>
          <w:rFonts w:eastAsia="Times New Roman"/>
          <w:sz w:val="20"/>
          <w:szCs w:val="20"/>
          <w:lang w:val="en-US"/>
        </w:rPr>
        <w:t>steering</w:t>
      </w:r>
      <w:r w:rsidR="567DEBF1" w:rsidRPr="0C95EC3E">
        <w:rPr>
          <w:rFonts w:eastAsia="Times New Roman"/>
          <w:sz w:val="20"/>
          <w:szCs w:val="20"/>
          <w:lang w:val="en-US"/>
        </w:rPr>
        <w:t xml:space="preserve"> committee</w:t>
      </w:r>
      <w:r w:rsidRPr="0C95EC3E">
        <w:rPr>
          <w:rFonts w:eastAsia="Times New Roman"/>
          <w:sz w:val="20"/>
          <w:szCs w:val="20"/>
          <w:lang w:val="en-US"/>
        </w:rPr>
        <w:t>.</w:t>
      </w:r>
      <w:r w:rsidRPr="0C95EC3E">
        <w:rPr>
          <w:rFonts w:eastAsia="SimSun"/>
          <w:sz w:val="20"/>
          <w:szCs w:val="20"/>
          <w:lang w:val="en-US"/>
        </w:rPr>
        <w:t xml:space="preserve"> </w:t>
      </w:r>
      <w:r w:rsidRPr="0C95EC3E">
        <w:rPr>
          <w:rFonts w:eastAsia="SimSun" w:cs="Times New Roman"/>
          <w:sz w:val="20"/>
          <w:szCs w:val="20"/>
          <w:lang w:val="en-US"/>
        </w:rPr>
        <w:t xml:space="preserve">The Beneficiary </w:t>
      </w:r>
      <w:r w:rsidR="05B9C8F1" w:rsidRPr="0C95EC3E">
        <w:rPr>
          <w:rFonts w:eastAsia="SimSun" w:cs="Times New Roman"/>
          <w:sz w:val="20"/>
          <w:szCs w:val="20"/>
          <w:lang w:val="en-US"/>
        </w:rPr>
        <w:t>representatives</w:t>
      </w:r>
      <w:r w:rsidRPr="0C95EC3E">
        <w:rPr>
          <w:rFonts w:eastAsia="SimSun" w:cs="Times New Roman"/>
          <w:sz w:val="20"/>
          <w:szCs w:val="20"/>
          <w:lang w:val="en-US"/>
        </w:rPr>
        <w:t xml:space="preserve"> </w:t>
      </w:r>
      <w:r w:rsidR="3EE35BEE" w:rsidRPr="0C95EC3E">
        <w:rPr>
          <w:rFonts w:eastAsia="SimSun" w:cs="Times New Roman"/>
          <w:sz w:val="20"/>
          <w:szCs w:val="20"/>
          <w:lang w:val="en-US"/>
        </w:rPr>
        <w:t xml:space="preserve">are mentioned in </w:t>
      </w:r>
      <w:r w:rsidR="3EE35BEE" w:rsidRPr="006F5E1D">
        <w:rPr>
          <w:rFonts w:eastAsia="SimSun" w:cs="Times New Roman"/>
          <w:sz w:val="20"/>
          <w:szCs w:val="20"/>
          <w:lang w:val="en-US"/>
        </w:rPr>
        <w:t>Anne</w:t>
      </w:r>
      <w:r w:rsidR="516DB38C" w:rsidRPr="006F5E1D">
        <w:rPr>
          <w:rFonts w:eastAsia="SimSun" w:cs="Times New Roman"/>
          <w:sz w:val="20"/>
          <w:szCs w:val="20"/>
          <w:lang w:val="en-US"/>
        </w:rPr>
        <w:t>x</w:t>
      </w:r>
      <w:r w:rsidR="24B86C5F" w:rsidRPr="006F5E1D">
        <w:rPr>
          <w:rFonts w:eastAsia="SimSun" w:cs="Times New Roman"/>
          <w:sz w:val="20"/>
          <w:szCs w:val="20"/>
          <w:lang w:val="en-US"/>
        </w:rPr>
        <w:t xml:space="preserve"> 16</w:t>
      </w:r>
      <w:r w:rsidR="04A84F81" w:rsidRPr="0C95EC3E">
        <w:rPr>
          <w:rFonts w:eastAsia="SimSun" w:cs="Times New Roman"/>
          <w:sz w:val="20"/>
          <w:szCs w:val="20"/>
          <w:lang w:val="en-US"/>
        </w:rPr>
        <w:t xml:space="preserve"> </w:t>
      </w:r>
      <w:r w:rsidRPr="0C95EC3E">
        <w:rPr>
          <w:rFonts w:eastAsia="SimSun" w:cs="Times New Roman"/>
          <w:sz w:val="20"/>
          <w:szCs w:val="20"/>
          <w:lang w:val="en-US"/>
        </w:rPr>
        <w:t xml:space="preserve">Development Partner(s): </w:t>
      </w:r>
      <w:r w:rsidRPr="0C95EC3E">
        <w:rPr>
          <w:rFonts w:eastAsia="Times New Roman"/>
          <w:sz w:val="20"/>
          <w:szCs w:val="20"/>
          <w:lang w:val="en-US"/>
        </w:rPr>
        <w:t xml:space="preserve">Individuals or groups representing the interests of the parties concerned that provide funding, strategic guidance and/or technical expertise to the project. </w:t>
      </w:r>
      <w:r w:rsidRPr="0C95EC3E">
        <w:rPr>
          <w:rFonts w:eastAsia="SimSun" w:cs="Times New Roman"/>
          <w:sz w:val="20"/>
          <w:szCs w:val="20"/>
          <w:lang w:val="en-US"/>
        </w:rPr>
        <w:t xml:space="preserve">The Development Partner(s) </w:t>
      </w:r>
      <w:proofErr w:type="gramStart"/>
      <w:r w:rsidRPr="0C95EC3E">
        <w:rPr>
          <w:rFonts w:eastAsia="SimSun" w:cs="Times New Roman"/>
          <w:sz w:val="20"/>
          <w:szCs w:val="20"/>
          <w:lang w:val="en-US"/>
        </w:rPr>
        <w:t>is:</w:t>
      </w:r>
      <w:proofErr w:type="gramEnd"/>
      <w:r w:rsidRPr="0C95EC3E">
        <w:rPr>
          <w:rFonts w:eastAsia="SimSun" w:cs="Times New Roman"/>
          <w:sz w:val="20"/>
          <w:szCs w:val="20"/>
          <w:lang w:val="en-US"/>
        </w:rPr>
        <w:t xml:space="preserve"> </w:t>
      </w:r>
      <w:r w:rsidRPr="006F5E1D">
        <w:rPr>
          <w:rFonts w:eastAsia="SimSun" w:cs="Times New Roman"/>
          <w:i/>
          <w:iCs/>
          <w:sz w:val="20"/>
          <w:szCs w:val="20"/>
          <w:lang w:val="en-US"/>
        </w:rPr>
        <w:t>the UNDP Resident Representative</w:t>
      </w:r>
    </w:p>
    <w:p w14:paraId="73DEBB3B" w14:textId="0C770863" w:rsidR="006C5755" w:rsidRPr="00F43B5F" w:rsidRDefault="006C5755" w:rsidP="00A07C28">
      <w:pPr>
        <w:pStyle w:val="Paragraphedeliste"/>
        <w:numPr>
          <w:ilvl w:val="0"/>
          <w:numId w:val="295"/>
        </w:numPr>
        <w:spacing w:after="0" w:line="240" w:lineRule="auto"/>
        <w:jc w:val="both"/>
        <w:rPr>
          <w:rFonts w:eastAsia="SimSun" w:cs="Times New Roman"/>
          <w:i/>
          <w:iCs/>
          <w:sz w:val="20"/>
          <w:szCs w:val="20"/>
          <w:lang w:val="en-US"/>
        </w:rPr>
      </w:pPr>
      <w:r w:rsidRPr="00371FF0">
        <w:rPr>
          <w:rFonts w:eastAsia="SimSun" w:cs="Times New Roman"/>
          <w:b/>
          <w:sz w:val="20"/>
          <w:szCs w:val="20"/>
          <w:lang w:val="en-US"/>
        </w:rPr>
        <w:t>Development Partner(s):</w:t>
      </w:r>
      <w:r w:rsidRPr="00371FF0">
        <w:rPr>
          <w:rFonts w:eastAsia="SimSun" w:cs="Times New Roman"/>
          <w:sz w:val="20"/>
          <w:szCs w:val="20"/>
          <w:lang w:val="en-US"/>
        </w:rPr>
        <w:t xml:space="preserve"> </w:t>
      </w:r>
      <w:r w:rsidRPr="00371FF0">
        <w:rPr>
          <w:rFonts w:eastAsia="Times New Roman"/>
          <w:sz w:val="20"/>
          <w:szCs w:val="20"/>
          <w:lang w:val="en-US"/>
        </w:rPr>
        <w:t xml:space="preserve">Individuals or groups representing the interests of the parties concerned that provide funding, strategic guidance and/or technical expertise to the project. </w:t>
      </w:r>
      <w:r w:rsidRPr="00371FF0">
        <w:rPr>
          <w:rFonts w:eastAsia="SimSun" w:cs="Times New Roman"/>
          <w:sz w:val="20"/>
          <w:szCs w:val="20"/>
          <w:lang w:val="en-US"/>
        </w:rPr>
        <w:t xml:space="preserve">The Development Partner(s) </w:t>
      </w:r>
      <w:proofErr w:type="gramStart"/>
      <w:r w:rsidRPr="00371FF0">
        <w:rPr>
          <w:rFonts w:eastAsia="SimSun" w:cs="Times New Roman"/>
          <w:sz w:val="20"/>
          <w:szCs w:val="20"/>
          <w:lang w:val="en-US"/>
        </w:rPr>
        <w:t>is</w:t>
      </w:r>
      <w:r w:rsidR="00371FF0" w:rsidRPr="00371FF0">
        <w:rPr>
          <w:rFonts w:eastAsia="SimSun" w:cs="Times New Roman"/>
          <w:sz w:val="20"/>
          <w:szCs w:val="20"/>
          <w:lang w:val="en-US"/>
        </w:rPr>
        <w:t> :</w:t>
      </w:r>
      <w:proofErr w:type="gramEnd"/>
      <w:r w:rsidR="00371FF0" w:rsidRPr="00371FF0">
        <w:rPr>
          <w:rFonts w:eastAsia="SimSun" w:cs="Times New Roman"/>
          <w:sz w:val="20"/>
          <w:szCs w:val="20"/>
          <w:lang w:val="en-US"/>
        </w:rPr>
        <w:t xml:space="preserve"> the UNDP Resident Represent</w:t>
      </w:r>
      <w:r w:rsidR="00D037DE">
        <w:rPr>
          <w:rFonts w:eastAsia="SimSun" w:cs="Times New Roman"/>
          <w:sz w:val="20"/>
          <w:szCs w:val="20"/>
          <w:lang w:val="en-US"/>
        </w:rPr>
        <w:t>ati</w:t>
      </w:r>
      <w:r w:rsidR="00371FF0">
        <w:rPr>
          <w:rFonts w:eastAsia="SimSun" w:cs="Times New Roman"/>
          <w:sz w:val="20"/>
          <w:szCs w:val="20"/>
          <w:lang w:val="en-US"/>
        </w:rPr>
        <w:t>v</w:t>
      </w:r>
      <w:r w:rsidR="00D037DE">
        <w:rPr>
          <w:rFonts w:eastAsia="SimSun" w:cs="Times New Roman"/>
          <w:sz w:val="20"/>
          <w:szCs w:val="20"/>
          <w:lang w:val="en-US"/>
        </w:rPr>
        <w:t>e.</w:t>
      </w:r>
    </w:p>
    <w:p w14:paraId="38F64D3F" w14:textId="4DAA02AE" w:rsidR="00916696" w:rsidRDefault="3EF3D95D" w:rsidP="00A07C28">
      <w:pPr>
        <w:pStyle w:val="Paragraphedeliste"/>
        <w:numPr>
          <w:ilvl w:val="0"/>
          <w:numId w:val="295"/>
        </w:numPr>
        <w:spacing w:after="0" w:line="240" w:lineRule="auto"/>
        <w:jc w:val="both"/>
        <w:rPr>
          <w:rFonts w:eastAsia="Times New Roman"/>
          <w:sz w:val="20"/>
          <w:szCs w:val="20"/>
        </w:rPr>
      </w:pPr>
      <w:r w:rsidRPr="006F5E1D">
        <w:rPr>
          <w:rFonts w:eastAsia="SimSun" w:cs="Times New Roman"/>
          <w:i/>
          <w:iCs/>
          <w:sz w:val="20"/>
          <w:szCs w:val="20"/>
          <w:lang w:val="en-US"/>
        </w:rPr>
        <w:t xml:space="preserve"> </w:t>
      </w:r>
      <w:r w:rsidRPr="3D58A386">
        <w:rPr>
          <w:rFonts w:eastAsia="SimSun"/>
          <w:b/>
          <w:bCs/>
          <w:sz w:val="20"/>
          <w:szCs w:val="20"/>
          <w:u w:val="single"/>
          <w:lang w:val="en-US" w:eastAsia="zh-CN"/>
        </w:rPr>
        <w:t xml:space="preserve">Project Assurance: </w:t>
      </w:r>
      <w:r w:rsidRPr="3D58A386">
        <w:rPr>
          <w:rFonts w:eastAsia="Times New Roman"/>
          <w:sz w:val="20"/>
          <w:szCs w:val="20"/>
          <w:lang w:val="en-US"/>
        </w:rPr>
        <w:t xml:space="preserve">Project assurance is the responsibility of each project board member; however, UNDP has a distinct assurance role for all UNDP projects in carrying out objective and independent project oversight and monitoring functions. UNDP performs quality assurance and supports the Project Board (and </w:t>
      </w:r>
      <w:r w:rsidRPr="3D58A386">
        <w:rPr>
          <w:rFonts w:eastAsia="Times New Roman"/>
          <w:sz w:val="20"/>
          <w:szCs w:val="20"/>
          <w:lang w:val="en-US"/>
        </w:rPr>
        <w:lastRenderedPageBreak/>
        <w:t xml:space="preserve">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Project Manager. </w:t>
      </w:r>
      <w:r w:rsidRPr="3D58A386">
        <w:rPr>
          <w:rFonts w:eastAsia="Times New Roman"/>
          <w:sz w:val="20"/>
          <w:szCs w:val="20"/>
        </w:rPr>
        <w:t xml:space="preserve">Project assurance </w:t>
      </w:r>
      <w:proofErr w:type="spellStart"/>
      <w:r w:rsidRPr="3D58A386">
        <w:rPr>
          <w:rFonts w:eastAsia="Times New Roman"/>
          <w:sz w:val="20"/>
          <w:szCs w:val="20"/>
        </w:rPr>
        <w:t>is</w:t>
      </w:r>
      <w:proofErr w:type="spellEnd"/>
      <w:r w:rsidRPr="3D58A386">
        <w:rPr>
          <w:rFonts w:eastAsia="Times New Roman"/>
          <w:sz w:val="20"/>
          <w:szCs w:val="20"/>
        </w:rPr>
        <w:t xml:space="preserve"> </w:t>
      </w:r>
      <w:proofErr w:type="spellStart"/>
      <w:r w:rsidRPr="3D58A386">
        <w:rPr>
          <w:rFonts w:eastAsia="Times New Roman"/>
          <w:sz w:val="20"/>
          <w:szCs w:val="20"/>
        </w:rPr>
        <w:t>totally</w:t>
      </w:r>
      <w:proofErr w:type="spellEnd"/>
      <w:r w:rsidRPr="3D58A386">
        <w:rPr>
          <w:rFonts w:eastAsia="Times New Roman"/>
          <w:sz w:val="20"/>
          <w:szCs w:val="20"/>
        </w:rPr>
        <w:t xml:space="preserve"> </w:t>
      </w:r>
      <w:r w:rsidR="74C26761" w:rsidRPr="3D58A386">
        <w:rPr>
          <w:rFonts w:eastAsia="Times New Roman"/>
          <w:sz w:val="20"/>
          <w:szCs w:val="20"/>
        </w:rPr>
        <w:t>Independent</w:t>
      </w:r>
      <w:r w:rsidRPr="3D58A386">
        <w:rPr>
          <w:rFonts w:eastAsia="Times New Roman"/>
          <w:sz w:val="20"/>
          <w:szCs w:val="20"/>
        </w:rPr>
        <w:t xml:space="preserve"> of </w:t>
      </w:r>
      <w:proofErr w:type="spellStart"/>
      <w:r w:rsidRPr="3D58A386">
        <w:rPr>
          <w:rFonts w:eastAsia="Times New Roman"/>
          <w:sz w:val="20"/>
          <w:szCs w:val="20"/>
        </w:rPr>
        <w:t>project</w:t>
      </w:r>
      <w:proofErr w:type="spellEnd"/>
      <w:r w:rsidRPr="3D58A386">
        <w:rPr>
          <w:rFonts w:eastAsia="Times New Roman"/>
          <w:sz w:val="20"/>
          <w:szCs w:val="20"/>
        </w:rPr>
        <w:t xml:space="preserve"> </w:t>
      </w:r>
      <w:proofErr w:type="spellStart"/>
      <w:r w:rsidRPr="3D58A386">
        <w:rPr>
          <w:rFonts w:eastAsia="Times New Roman"/>
          <w:sz w:val="20"/>
          <w:szCs w:val="20"/>
        </w:rPr>
        <w:t>execution</w:t>
      </w:r>
      <w:proofErr w:type="spellEnd"/>
      <w:r w:rsidRPr="3D58A386">
        <w:rPr>
          <w:rFonts w:eastAsia="Times New Roman"/>
          <w:sz w:val="20"/>
          <w:szCs w:val="20"/>
        </w:rPr>
        <w:t>.</w:t>
      </w:r>
    </w:p>
    <w:p w14:paraId="12814990" w14:textId="77777777" w:rsidR="001362A2" w:rsidRPr="00485F0E" w:rsidRDefault="001362A2" w:rsidP="001362A2">
      <w:pPr>
        <w:pStyle w:val="Paragraphedeliste"/>
        <w:spacing w:after="0" w:line="240" w:lineRule="auto"/>
        <w:ind w:left="360"/>
        <w:jc w:val="both"/>
        <w:rPr>
          <w:rFonts w:eastAsia="Times New Roman"/>
          <w:sz w:val="20"/>
          <w:szCs w:val="20"/>
        </w:rPr>
      </w:pPr>
    </w:p>
    <w:p w14:paraId="453F5F52" w14:textId="6C5227E6" w:rsidR="00916696" w:rsidRPr="00A039C4" w:rsidRDefault="1D2926E5" w:rsidP="00E81606">
      <w:pPr>
        <w:spacing w:after="60" w:line="240" w:lineRule="auto"/>
        <w:jc w:val="both"/>
        <w:rPr>
          <w:rFonts w:eastAsia="Times New Roman"/>
          <w:sz w:val="20"/>
          <w:szCs w:val="20"/>
          <w:lang w:val="en-US"/>
        </w:rPr>
      </w:pPr>
      <w:r w:rsidRPr="5D8904BE">
        <w:rPr>
          <w:rFonts w:eastAsia="Times New Roman"/>
          <w:sz w:val="20"/>
          <w:szCs w:val="20"/>
          <w:lang w:val="en-US"/>
        </w:rPr>
        <w:t xml:space="preserve">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(e.g. global, regional), at least one UNDP representative playing that function must, as part of their duties, </w:t>
      </w:r>
      <w:r w:rsidRPr="5D8904BE">
        <w:rPr>
          <w:rFonts w:eastAsia="Times New Roman"/>
          <w:sz w:val="20"/>
          <w:szCs w:val="20"/>
          <w:u w:val="single"/>
          <w:lang w:val="en-US"/>
        </w:rPr>
        <w:t xml:space="preserve">specifically </w:t>
      </w:r>
      <w:r w:rsidRPr="5D8904BE">
        <w:rPr>
          <w:rFonts w:eastAsia="Times New Roman"/>
          <w:sz w:val="20"/>
          <w:szCs w:val="20"/>
          <w:lang w:val="en-US"/>
        </w:rPr>
        <w:t>attend board meeting and provide board members with the required documentation required to perform their duties. The UNDP representative playing the main project assurance function is/are:</w:t>
      </w:r>
      <w:r w:rsidR="5C46968D" w:rsidRPr="5D8904BE">
        <w:rPr>
          <w:rFonts w:eastAsia="Times New Roman"/>
          <w:i/>
          <w:iCs/>
          <w:sz w:val="20"/>
          <w:szCs w:val="20"/>
          <w:lang w:val="en-US"/>
        </w:rPr>
        <w:t xml:space="preserve"> The</w:t>
      </w:r>
      <w:r w:rsidRPr="5D8904BE">
        <w:rPr>
          <w:rFonts w:eastAsia="Times New Roman"/>
          <w:i/>
          <w:iCs/>
          <w:sz w:val="20"/>
          <w:szCs w:val="20"/>
          <w:lang w:val="en-US"/>
        </w:rPr>
        <w:t xml:space="preserve"> CO </w:t>
      </w:r>
      <w:proofErr w:type="spellStart"/>
      <w:r w:rsidRPr="5D8904BE">
        <w:rPr>
          <w:rFonts w:eastAsia="Times New Roman"/>
          <w:i/>
          <w:iCs/>
          <w:sz w:val="20"/>
          <w:szCs w:val="20"/>
          <w:lang w:val="en-US"/>
        </w:rPr>
        <w:t>programme</w:t>
      </w:r>
      <w:proofErr w:type="spellEnd"/>
      <w:r w:rsidRPr="5D8904BE">
        <w:rPr>
          <w:rFonts w:eastAsia="Times New Roman"/>
          <w:i/>
          <w:iCs/>
          <w:sz w:val="20"/>
          <w:szCs w:val="20"/>
          <w:lang w:val="en-US"/>
        </w:rPr>
        <w:t xml:space="preserve"> or monitoring &amp; evaluation officer.</w:t>
      </w:r>
      <w:r w:rsidRPr="5D8904BE">
        <w:rPr>
          <w:rFonts w:eastAsia="Times New Roman"/>
          <w:sz w:val="20"/>
          <w:szCs w:val="20"/>
          <w:lang w:val="en-US"/>
        </w:rPr>
        <w:t xml:space="preserve"> </w:t>
      </w:r>
    </w:p>
    <w:p w14:paraId="2B38965F" w14:textId="77777777" w:rsidR="00916696" w:rsidRPr="00A039C4" w:rsidRDefault="00916696" w:rsidP="00916696">
      <w:pPr>
        <w:spacing w:after="60" w:line="240" w:lineRule="auto"/>
        <w:jc w:val="both"/>
        <w:rPr>
          <w:rFonts w:eastAsia="Times New Roman"/>
          <w:sz w:val="20"/>
          <w:szCs w:val="20"/>
          <w:lang w:val="en-US"/>
        </w:rPr>
      </w:pPr>
    </w:p>
    <w:p w14:paraId="34ED7C3A" w14:textId="07AB2006" w:rsidR="00916696" w:rsidRPr="00A039C4" w:rsidRDefault="1D2926E5" w:rsidP="001360BB">
      <w:pPr>
        <w:numPr>
          <w:ilvl w:val="0"/>
          <w:numId w:val="281"/>
        </w:numPr>
        <w:spacing w:after="0" w:line="240" w:lineRule="auto"/>
        <w:ind w:left="308"/>
        <w:jc w:val="both"/>
        <w:rPr>
          <w:rFonts w:eastAsia="SimSun"/>
          <w:noProof/>
          <w:sz w:val="20"/>
          <w:szCs w:val="20"/>
          <w:lang w:val="en-US" w:eastAsia="zh-CN"/>
        </w:rPr>
      </w:pPr>
      <w:r w:rsidRPr="5D8904BE">
        <w:rPr>
          <w:rFonts w:eastAsia="Times New Roman"/>
          <w:b/>
          <w:bCs/>
          <w:sz w:val="20"/>
          <w:szCs w:val="20"/>
          <w:u w:val="single"/>
          <w:lang w:val="en-US"/>
        </w:rPr>
        <w:t xml:space="preserve">Project Management – Execution of the Project: </w:t>
      </w:r>
      <w:r w:rsidRPr="5D8904BE">
        <w:rPr>
          <w:rFonts w:eastAsia="SimSun"/>
          <w:sz w:val="20"/>
          <w:szCs w:val="20"/>
          <w:lang w:val="en-US" w:eastAsia="zh-CN"/>
        </w:rPr>
        <w:t xml:space="preserve">The Project Manager (PM) (also called project coordinator) is the senior most representative of the Project Management Unit (PMU) and is responsible for the overall day-to-day management of the project </w:t>
      </w:r>
      <w:r w:rsidRPr="5D8904BE">
        <w:rPr>
          <w:rFonts w:eastAsia="SimSun"/>
          <w:sz w:val="20"/>
          <w:szCs w:val="20"/>
          <w:u w:val="single"/>
          <w:lang w:val="en-US" w:eastAsia="zh-CN"/>
        </w:rPr>
        <w:t>on behalf of the Implementing Partner</w:t>
      </w:r>
      <w:r w:rsidRPr="5D8904BE">
        <w:rPr>
          <w:rFonts w:eastAsia="SimSun"/>
          <w:sz w:val="20"/>
          <w:szCs w:val="20"/>
          <w:lang w:val="en-US" w:eastAsia="zh-CN"/>
        </w:rPr>
        <w:t>, including the mobilization of all project inputs, supervision over project staff, responsible parties, consultants and sub-contractors. The project manager typically presents key deliverables and documents to the board for their review and</w:t>
      </w:r>
      <w:r w:rsidR="00F631E2">
        <w:rPr>
          <w:rFonts w:eastAsia="SimSun"/>
          <w:sz w:val="20"/>
          <w:szCs w:val="20"/>
          <w:lang w:val="en-US" w:eastAsia="zh-CN"/>
        </w:rPr>
        <w:t xml:space="preserve"> </w:t>
      </w:r>
      <w:r w:rsidR="00F631E2" w:rsidRPr="004D4C8E">
        <w:rPr>
          <w:rFonts w:eastAsia="SimSun"/>
          <w:sz w:val="20"/>
          <w:szCs w:val="20"/>
          <w:lang w:val="en-US" w:eastAsia="zh-CN"/>
        </w:rPr>
        <w:t>approval, including progress reports, annual work plans, adjustments to tolerance levels and risk registers.</w:t>
      </w:r>
    </w:p>
    <w:p w14:paraId="15C37C03" w14:textId="77777777" w:rsidR="00916696" w:rsidRPr="00A039C4" w:rsidRDefault="00916696" w:rsidP="24AA8F7E">
      <w:pPr>
        <w:spacing w:after="0" w:line="240" w:lineRule="auto"/>
        <w:ind w:left="360"/>
        <w:jc w:val="both"/>
        <w:rPr>
          <w:rFonts w:eastAsia="Times New Roman"/>
          <w:b/>
          <w:bCs/>
          <w:sz w:val="20"/>
          <w:szCs w:val="20"/>
          <w:highlight w:val="yellow"/>
          <w:u w:val="single"/>
          <w:lang w:val="en-US"/>
        </w:rPr>
      </w:pPr>
    </w:p>
    <w:p w14:paraId="077948C0" w14:textId="17EA8F73" w:rsidR="00916696" w:rsidRPr="00A039C4" w:rsidRDefault="117E8A1B" w:rsidP="00916696">
      <w:pPr>
        <w:spacing w:after="0" w:line="240" w:lineRule="auto"/>
        <w:ind w:left="360"/>
        <w:jc w:val="both"/>
        <w:rPr>
          <w:rFonts w:eastAsia="Times New Roman"/>
          <w:sz w:val="20"/>
          <w:szCs w:val="20"/>
          <w:lang w:val="en-US"/>
        </w:rPr>
      </w:pPr>
      <w:r w:rsidRPr="5D8904BE">
        <w:rPr>
          <w:rFonts w:eastAsia="Times New Roman"/>
          <w:sz w:val="20"/>
          <w:szCs w:val="20"/>
          <w:lang w:val="en-US"/>
        </w:rPr>
        <w:t xml:space="preserve">A designated representative of the PMU is expected to attend all board meetings and support board processes as a non-voting representative. </w:t>
      </w:r>
    </w:p>
    <w:p w14:paraId="52E89011" w14:textId="77777777" w:rsidR="00916696" w:rsidRPr="00A039C4" w:rsidRDefault="00916696" w:rsidP="24AA8F7E">
      <w:pPr>
        <w:spacing w:after="0" w:line="240" w:lineRule="auto"/>
        <w:ind w:left="360"/>
        <w:jc w:val="both"/>
        <w:rPr>
          <w:rFonts w:eastAsia="SimSun"/>
          <w:noProof/>
          <w:sz w:val="20"/>
          <w:szCs w:val="20"/>
          <w:highlight w:val="yellow"/>
          <w:lang w:val="en-US" w:eastAsia="zh-CN"/>
        </w:rPr>
      </w:pPr>
    </w:p>
    <w:p w14:paraId="326D6B3D" w14:textId="68898145" w:rsidR="00717E22" w:rsidRPr="00A039C4" w:rsidRDefault="117E8A1B" w:rsidP="5D8904BE">
      <w:pPr>
        <w:spacing w:after="0" w:line="240" w:lineRule="auto"/>
        <w:ind w:left="360"/>
        <w:jc w:val="both"/>
        <w:rPr>
          <w:rFonts w:eastAsia="Times New Roman"/>
          <w:noProof/>
          <w:sz w:val="20"/>
          <w:szCs w:val="20"/>
          <w:lang w:val="en-US"/>
        </w:rPr>
      </w:pPr>
      <w:r w:rsidRPr="5D8904BE">
        <w:rPr>
          <w:rFonts w:eastAsia="Times New Roman"/>
          <w:sz w:val="20"/>
          <w:szCs w:val="20"/>
          <w:lang w:val="en-US"/>
        </w:rPr>
        <w:t xml:space="preserve">The primary PMU representative attending board meetings </w:t>
      </w:r>
      <w:proofErr w:type="gramStart"/>
      <w:r w:rsidRPr="5D8904BE">
        <w:rPr>
          <w:rFonts w:eastAsia="Times New Roman"/>
          <w:sz w:val="20"/>
          <w:szCs w:val="20"/>
          <w:lang w:val="en-US"/>
        </w:rPr>
        <w:t>is:</w:t>
      </w:r>
      <w:proofErr w:type="gramEnd"/>
      <w:r w:rsidRPr="5D8904BE">
        <w:rPr>
          <w:rFonts w:eastAsia="Times New Roman"/>
          <w:sz w:val="20"/>
          <w:szCs w:val="20"/>
          <w:lang w:val="en-US"/>
        </w:rPr>
        <w:t xml:space="preserve"> </w:t>
      </w:r>
      <w:r w:rsidR="524DAC4A" w:rsidRPr="5D8904BE">
        <w:rPr>
          <w:rFonts w:eastAsia="Times New Roman"/>
          <w:sz w:val="20"/>
          <w:szCs w:val="20"/>
          <w:lang w:val="en-US"/>
        </w:rPr>
        <w:t xml:space="preserve"> Project Manager. </w:t>
      </w:r>
    </w:p>
    <w:p w14:paraId="00000C0B" w14:textId="16D92EC0" w:rsidR="004F7DB3" w:rsidRPr="00263D2C" w:rsidRDefault="004F7DB3" w:rsidP="5D8904BE">
      <w:pPr>
        <w:shd w:val="clear" w:color="auto" w:fill="FFFFFF" w:themeFill="background1"/>
        <w:spacing w:after="0" w:line="240" w:lineRule="auto"/>
        <w:jc w:val="both"/>
        <w:rPr>
          <w:rFonts w:eastAsia="SimSun" w:cs="Arial"/>
          <w:i/>
          <w:iCs/>
          <w:sz w:val="20"/>
          <w:szCs w:val="20"/>
          <w:highlight w:val="yellow"/>
          <w:lang w:val="en-US" w:eastAsia="zh-CN"/>
        </w:rPr>
      </w:pPr>
    </w:p>
    <w:p w14:paraId="00000C0C" w14:textId="401170F7" w:rsidR="004F7DB3" w:rsidRPr="00D9630C" w:rsidRDefault="006420C2" w:rsidP="5D8904BE">
      <w:pPr>
        <w:pStyle w:val="Heading11"/>
        <w:pBdr>
          <w:top w:val="single" w:sz="4" w:space="0" w:color="auto"/>
        </w:pBdr>
        <w:rPr>
          <w:lang w:val="en-US"/>
        </w:rPr>
      </w:pPr>
      <w:r>
        <w:rPr>
          <w:lang w:val="en-US"/>
        </w:rPr>
        <w:t>Financial Planning and Management</w:t>
      </w:r>
    </w:p>
    <w:p w14:paraId="0E7052E7" w14:textId="77777777" w:rsidR="009C5081" w:rsidRDefault="009C5081" w:rsidP="00084447">
      <w:pPr>
        <w:spacing w:after="0" w:line="240" w:lineRule="auto"/>
        <w:jc w:val="both"/>
        <w:rPr>
          <w:color w:val="000000"/>
          <w:sz w:val="20"/>
          <w:szCs w:val="20"/>
          <w:lang w:val="en-US"/>
        </w:rPr>
      </w:pPr>
    </w:p>
    <w:p w14:paraId="00000C10" w14:textId="14718D59" w:rsidR="004F7DB3" w:rsidRPr="004A39A0" w:rsidRDefault="14662299" w:rsidP="001873F2">
      <w:pPr>
        <w:jc w:val="both"/>
        <w:rPr>
          <w:color w:val="000000" w:themeColor="text1"/>
          <w:sz w:val="20"/>
          <w:szCs w:val="20"/>
          <w:lang w:val="en-US"/>
        </w:rPr>
      </w:pPr>
      <w:r w:rsidRPr="004A39A0">
        <w:rPr>
          <w:color w:val="000000" w:themeColor="text1"/>
          <w:sz w:val="20"/>
          <w:szCs w:val="20"/>
          <w:lang w:val="en-US"/>
        </w:rPr>
        <w:t xml:space="preserve">The total cost of the project </w:t>
      </w:r>
      <w:r w:rsidRPr="001873F2">
        <w:rPr>
          <w:color w:val="000000" w:themeColor="text1"/>
          <w:sz w:val="20"/>
          <w:szCs w:val="20"/>
          <w:lang w:val="en-US"/>
        </w:rPr>
        <w:t xml:space="preserve">is </w:t>
      </w:r>
      <w:r w:rsidRPr="001873F2">
        <w:rPr>
          <w:b/>
          <w:bCs/>
          <w:color w:val="000000" w:themeColor="text1"/>
          <w:sz w:val="20"/>
          <w:szCs w:val="20"/>
          <w:lang w:val="en-US"/>
        </w:rPr>
        <w:t>US</w:t>
      </w:r>
      <w:r w:rsidR="67AF6506" w:rsidRPr="001873F2">
        <w:rPr>
          <w:b/>
          <w:bCs/>
          <w:color w:val="000000" w:themeColor="text1"/>
          <w:sz w:val="20"/>
          <w:szCs w:val="20"/>
          <w:lang w:val="en-US"/>
        </w:rPr>
        <w:t xml:space="preserve">D </w:t>
      </w:r>
      <w:r w:rsidR="001873F2" w:rsidRPr="001873F2">
        <w:rPr>
          <w:b/>
          <w:bCs/>
          <w:color w:val="000000" w:themeColor="text1"/>
          <w:sz w:val="20"/>
          <w:szCs w:val="20"/>
          <w:lang w:val="en-US"/>
        </w:rPr>
        <w:t>296,000,565</w:t>
      </w:r>
      <w:r w:rsidRPr="001873F2">
        <w:rPr>
          <w:color w:val="000000" w:themeColor="text1"/>
          <w:sz w:val="20"/>
          <w:szCs w:val="20"/>
          <w:lang w:val="en-US"/>
        </w:rPr>
        <w:t>. This</w:t>
      </w:r>
      <w:r w:rsidRPr="004A39A0">
        <w:rPr>
          <w:sz w:val="20"/>
          <w:szCs w:val="20"/>
          <w:lang w:val="en-US"/>
        </w:rPr>
        <w:t xml:space="preserve"> is financed through a GEF grant of </w:t>
      </w:r>
      <w:r w:rsidR="67AF6506" w:rsidRPr="004A39A0">
        <w:rPr>
          <w:b/>
          <w:bCs/>
          <w:sz w:val="20"/>
          <w:szCs w:val="20"/>
          <w:lang w:val="en-US"/>
        </w:rPr>
        <w:t xml:space="preserve">USD </w:t>
      </w:r>
      <w:r w:rsidR="00B607C9" w:rsidRPr="004A39A0">
        <w:rPr>
          <w:b/>
          <w:bCs/>
          <w:sz w:val="20"/>
          <w:szCs w:val="20"/>
          <w:lang w:val="en-US"/>
        </w:rPr>
        <w:t>4,</w:t>
      </w:r>
      <w:r w:rsidR="004A39A0" w:rsidRPr="004A39A0">
        <w:rPr>
          <w:b/>
          <w:bCs/>
          <w:sz w:val="20"/>
          <w:szCs w:val="20"/>
          <w:lang w:val="en-US"/>
        </w:rPr>
        <w:t>742,965</w:t>
      </w:r>
      <w:r w:rsidR="33F1F307" w:rsidRPr="004A39A0">
        <w:rPr>
          <w:sz w:val="20"/>
          <w:szCs w:val="20"/>
          <w:lang w:val="en-US"/>
        </w:rPr>
        <w:t xml:space="preserve"> administered</w:t>
      </w:r>
      <w:r w:rsidRPr="004A39A0">
        <w:rPr>
          <w:sz w:val="20"/>
          <w:szCs w:val="20"/>
          <w:lang w:val="en-US"/>
        </w:rPr>
        <w:t xml:space="preserve"> by UNDP, </w:t>
      </w:r>
      <w:r w:rsidR="5E13CDBD" w:rsidRPr="004A39A0">
        <w:rPr>
          <w:b/>
          <w:bCs/>
          <w:sz w:val="20"/>
          <w:szCs w:val="20"/>
          <w:lang w:val="en-US"/>
        </w:rPr>
        <w:t xml:space="preserve">USD </w:t>
      </w:r>
      <w:r w:rsidR="33F1F307" w:rsidRPr="004A39A0">
        <w:rPr>
          <w:b/>
          <w:bCs/>
          <w:sz w:val="20"/>
          <w:szCs w:val="20"/>
          <w:lang w:val="en-US"/>
        </w:rPr>
        <w:t>300,000</w:t>
      </w:r>
      <w:r w:rsidR="4F06B1BE" w:rsidRPr="004A39A0">
        <w:rPr>
          <w:sz w:val="20"/>
          <w:szCs w:val="20"/>
          <w:lang w:val="en-US"/>
        </w:rPr>
        <w:t xml:space="preserve"> i</w:t>
      </w:r>
      <w:r w:rsidR="5E13CDBD" w:rsidRPr="004A39A0">
        <w:rPr>
          <w:sz w:val="20"/>
          <w:szCs w:val="20"/>
          <w:lang w:val="en-US"/>
        </w:rPr>
        <w:t xml:space="preserve">n </w:t>
      </w:r>
      <w:r w:rsidRPr="004A39A0">
        <w:rPr>
          <w:sz w:val="20"/>
          <w:szCs w:val="20"/>
          <w:lang w:val="en-US"/>
        </w:rPr>
        <w:t>cash co-financing to be administered by UNDP</w:t>
      </w:r>
      <w:r w:rsidR="006F7B87" w:rsidRPr="004A39A0">
        <w:rPr>
          <w:sz w:val="20"/>
          <w:szCs w:val="20"/>
          <w:lang w:val="en-US"/>
        </w:rPr>
        <w:t xml:space="preserve"> and </w:t>
      </w:r>
      <w:r w:rsidR="003B2EB3" w:rsidRPr="004A39A0">
        <w:rPr>
          <w:b/>
          <w:bCs/>
          <w:sz w:val="20"/>
          <w:szCs w:val="20"/>
          <w:lang w:val="en-US"/>
        </w:rPr>
        <w:t xml:space="preserve">USD </w:t>
      </w:r>
      <w:r w:rsidR="00675AFF" w:rsidRPr="00675AFF">
        <w:rPr>
          <w:b/>
          <w:bCs/>
          <w:sz w:val="20"/>
          <w:szCs w:val="20"/>
          <w:lang w:val="en-US"/>
        </w:rPr>
        <w:t>290,957,600</w:t>
      </w:r>
      <w:r w:rsidR="00675AFF">
        <w:rPr>
          <w:b/>
          <w:bCs/>
          <w:sz w:val="20"/>
          <w:szCs w:val="20"/>
          <w:lang w:val="en-US"/>
        </w:rPr>
        <w:t xml:space="preserve"> </w:t>
      </w:r>
      <w:r w:rsidR="006F7B87" w:rsidRPr="004A39A0">
        <w:rPr>
          <w:sz w:val="20"/>
          <w:szCs w:val="20"/>
          <w:lang w:val="en-US"/>
        </w:rPr>
        <w:t>by other relevant agencies.</w:t>
      </w:r>
      <w:r w:rsidR="35A4AA9D" w:rsidRPr="004A39A0">
        <w:rPr>
          <w:sz w:val="20"/>
          <w:szCs w:val="20"/>
          <w:lang w:val="en-US"/>
        </w:rPr>
        <w:t xml:space="preserve"> </w:t>
      </w:r>
      <w:r w:rsidR="76E10FB1" w:rsidRPr="004A39A0">
        <w:rPr>
          <w:sz w:val="20"/>
          <w:szCs w:val="20"/>
          <w:lang w:val="en-US"/>
        </w:rPr>
        <w:t>T</w:t>
      </w:r>
      <w:r w:rsidRPr="004A39A0">
        <w:rPr>
          <w:sz w:val="20"/>
          <w:szCs w:val="20"/>
          <w:lang w:val="en-US"/>
        </w:rPr>
        <w:t xml:space="preserve">he GEF Implementing Agency, is responsible for the oversight of the GEF resources </w:t>
      </w:r>
      <w:r w:rsidRPr="004A39A0">
        <w:rPr>
          <w:color w:val="000000" w:themeColor="text1"/>
          <w:sz w:val="20"/>
          <w:szCs w:val="20"/>
          <w:lang w:val="en-US"/>
        </w:rPr>
        <w:t xml:space="preserve">and the </w:t>
      </w:r>
      <w:r w:rsidR="7FFCE8AA" w:rsidRPr="004A39A0">
        <w:rPr>
          <w:color w:val="000000" w:themeColor="text1"/>
          <w:sz w:val="20"/>
          <w:szCs w:val="20"/>
          <w:lang w:val="en-US"/>
        </w:rPr>
        <w:t>cash</w:t>
      </w:r>
      <w:r w:rsidRPr="004A39A0">
        <w:rPr>
          <w:color w:val="000000" w:themeColor="text1"/>
          <w:sz w:val="20"/>
          <w:szCs w:val="20"/>
          <w:lang w:val="en-US"/>
        </w:rPr>
        <w:t xml:space="preserve"> transferred to UNDP bank account only. </w:t>
      </w:r>
    </w:p>
    <w:p w14:paraId="07EC672B" w14:textId="77777777" w:rsidR="00A12A72" w:rsidRPr="00C00123" w:rsidRDefault="00A12A72" w:rsidP="00084447">
      <w:pPr>
        <w:spacing w:after="0" w:line="240" w:lineRule="auto"/>
        <w:jc w:val="both"/>
        <w:rPr>
          <w:color w:val="000000"/>
          <w:sz w:val="20"/>
          <w:szCs w:val="20"/>
          <w:lang w:val="en-US"/>
        </w:rPr>
      </w:pPr>
    </w:p>
    <w:p w14:paraId="00000C12" w14:textId="0E09F633" w:rsidR="004F7DB3" w:rsidRPr="00C00123" w:rsidRDefault="598651F0" w:rsidP="5D8904BE">
      <w:pPr>
        <w:spacing w:after="0" w:line="240" w:lineRule="auto"/>
        <w:jc w:val="both"/>
        <w:rPr>
          <w:color w:val="000000"/>
          <w:sz w:val="20"/>
          <w:szCs w:val="20"/>
          <w:lang w:val="en-US"/>
        </w:rPr>
      </w:pPr>
      <w:r w:rsidRPr="537FA187">
        <w:rPr>
          <w:b/>
          <w:bCs/>
          <w:color w:val="000000" w:themeColor="text1"/>
          <w:sz w:val="20"/>
          <w:szCs w:val="20"/>
          <w:u w:val="single"/>
          <w:lang w:val="en-US"/>
        </w:rPr>
        <w:t>Co-financing</w:t>
      </w:r>
      <w:r w:rsidRPr="537FA187">
        <w:rPr>
          <w:color w:val="000000" w:themeColor="text1"/>
          <w:sz w:val="20"/>
          <w:szCs w:val="20"/>
          <w:lang w:val="en-US"/>
        </w:rPr>
        <w:t xml:space="preserve">: The actual realization of project co-financing amounts will be monitored by the UNDP Country Office and the PMU on an annual basis in the GEF PIF and will be reported to the GEF during the </w:t>
      </w:r>
      <w:r w:rsidRPr="537FA187">
        <w:rPr>
          <w:i/>
          <w:iCs/>
          <w:color w:val="000000" w:themeColor="text1"/>
          <w:sz w:val="20"/>
          <w:szCs w:val="20"/>
          <w:lang w:val="en-US"/>
        </w:rPr>
        <w:t>mid-term review</w:t>
      </w:r>
      <w:r w:rsidRPr="537FA187">
        <w:rPr>
          <w:color w:val="000000" w:themeColor="text1"/>
          <w:sz w:val="20"/>
          <w:szCs w:val="20"/>
          <w:lang w:val="en-US"/>
        </w:rPr>
        <w:t xml:space="preserve"> and terminal evaluation process as follows:</w:t>
      </w:r>
    </w:p>
    <w:p w14:paraId="2BE2DE39" w14:textId="18C0A8A5" w:rsidR="00E2683D" w:rsidRPr="00E72C29" w:rsidRDefault="00E2683D" w:rsidP="537FA187">
      <w:pPr>
        <w:spacing w:after="0" w:line="240" w:lineRule="auto"/>
        <w:jc w:val="both"/>
        <w:rPr>
          <w:rFonts w:eastAsia="SimSun" w:cs="Times New Roman"/>
          <w:b/>
          <w:bCs/>
          <w:sz w:val="20"/>
          <w:szCs w:val="20"/>
          <w:u w:val="single"/>
          <w:lang w:val="en-US"/>
        </w:rPr>
      </w:pPr>
    </w:p>
    <w:p w14:paraId="3FFE581C" w14:textId="692AA973" w:rsidR="00E2683D" w:rsidRPr="00E72C29" w:rsidRDefault="00E2683D" w:rsidP="537FA187">
      <w:pPr>
        <w:spacing w:after="0" w:line="240" w:lineRule="auto"/>
        <w:jc w:val="both"/>
        <w:rPr>
          <w:rFonts w:eastAsia="SimSun" w:cs="Times New Roman"/>
          <w:b/>
          <w:bCs/>
          <w:sz w:val="20"/>
          <w:szCs w:val="20"/>
          <w:u w:val="single"/>
          <w:lang w:val="en-US"/>
        </w:rPr>
      </w:pPr>
    </w:p>
    <w:tbl>
      <w:tblPr>
        <w:tblW w:w="0" w:type="auto"/>
        <w:tblLayout w:type="fixed"/>
        <w:tblLook w:val="04A0" w:firstRow="1" w:lastRow="0" w:firstColumn="1" w:lastColumn="0" w:noHBand="0" w:noVBand="1"/>
      </w:tblPr>
      <w:tblGrid>
        <w:gridCol w:w="1449"/>
        <w:gridCol w:w="1908"/>
        <w:gridCol w:w="1552"/>
        <w:gridCol w:w="1729"/>
        <w:gridCol w:w="2273"/>
      </w:tblGrid>
      <w:tr w:rsidR="537FA187" w14:paraId="39E96B7F" w14:textId="77777777" w:rsidTr="537FA187">
        <w:trPr>
          <w:trHeight w:val="300"/>
        </w:trPr>
        <w:tc>
          <w:tcPr>
            <w:tcW w:w="1449" w:type="dxa"/>
            <w:tcBorders>
              <w:top w:val="single" w:sz="8" w:space="0" w:color="auto"/>
              <w:left w:val="single" w:sz="8" w:space="0" w:color="auto"/>
              <w:bottom w:val="single" w:sz="8" w:space="0" w:color="auto"/>
              <w:right w:val="single" w:sz="8" w:space="0" w:color="auto"/>
            </w:tcBorders>
            <w:tcMar>
              <w:left w:w="108" w:type="dxa"/>
              <w:right w:w="108" w:type="dxa"/>
            </w:tcMar>
          </w:tcPr>
          <w:p w14:paraId="1589618D" w14:textId="4C007EF8" w:rsidR="537FA187" w:rsidRDefault="537FA187" w:rsidP="00C6418F">
            <w:pPr>
              <w:spacing w:after="0" w:line="257" w:lineRule="auto"/>
              <w:jc w:val="both"/>
              <w:rPr>
                <w:b/>
                <w:bCs/>
                <w:color w:val="000000" w:themeColor="text1"/>
                <w:sz w:val="18"/>
                <w:szCs w:val="18"/>
              </w:rPr>
            </w:pPr>
            <w:r w:rsidRPr="537FA187">
              <w:rPr>
                <w:b/>
                <w:bCs/>
                <w:color w:val="000000" w:themeColor="text1"/>
                <w:sz w:val="18"/>
                <w:szCs w:val="18"/>
              </w:rPr>
              <w:t>Co-</w:t>
            </w:r>
            <w:proofErr w:type="spellStart"/>
            <w:r w:rsidRPr="537FA187">
              <w:rPr>
                <w:b/>
                <w:bCs/>
                <w:color w:val="000000" w:themeColor="text1"/>
                <w:sz w:val="18"/>
                <w:szCs w:val="18"/>
              </w:rPr>
              <w:t>financing</w:t>
            </w:r>
            <w:proofErr w:type="spellEnd"/>
            <w:r w:rsidRPr="537FA187">
              <w:rPr>
                <w:b/>
                <w:bCs/>
                <w:color w:val="000000" w:themeColor="text1"/>
                <w:sz w:val="18"/>
                <w:szCs w:val="18"/>
              </w:rPr>
              <w:t xml:space="preserve"> source</w:t>
            </w:r>
          </w:p>
        </w:tc>
        <w:tc>
          <w:tcPr>
            <w:tcW w:w="1908" w:type="dxa"/>
            <w:tcBorders>
              <w:top w:val="single" w:sz="8" w:space="0" w:color="auto"/>
              <w:left w:val="single" w:sz="8" w:space="0" w:color="auto"/>
              <w:bottom w:val="single" w:sz="8" w:space="0" w:color="auto"/>
              <w:right w:val="single" w:sz="8" w:space="0" w:color="auto"/>
            </w:tcBorders>
            <w:tcMar>
              <w:left w:w="108" w:type="dxa"/>
              <w:right w:w="108" w:type="dxa"/>
            </w:tcMar>
          </w:tcPr>
          <w:p w14:paraId="6E2D4882" w14:textId="7BBB4DCA" w:rsidR="537FA187" w:rsidRDefault="537FA187" w:rsidP="00C6418F">
            <w:pPr>
              <w:spacing w:after="0" w:line="257" w:lineRule="auto"/>
              <w:jc w:val="both"/>
              <w:rPr>
                <w:b/>
                <w:bCs/>
                <w:color w:val="000000" w:themeColor="text1"/>
                <w:sz w:val="18"/>
                <w:szCs w:val="18"/>
              </w:rPr>
            </w:pPr>
            <w:r w:rsidRPr="537FA187">
              <w:rPr>
                <w:b/>
                <w:bCs/>
                <w:color w:val="000000" w:themeColor="text1"/>
                <w:sz w:val="18"/>
                <w:szCs w:val="18"/>
              </w:rPr>
              <w:t>Co-</w:t>
            </w:r>
            <w:proofErr w:type="spellStart"/>
            <w:r w:rsidRPr="537FA187">
              <w:rPr>
                <w:b/>
                <w:bCs/>
                <w:color w:val="000000" w:themeColor="text1"/>
                <w:sz w:val="18"/>
                <w:szCs w:val="18"/>
              </w:rPr>
              <w:t>financing</w:t>
            </w:r>
            <w:proofErr w:type="spellEnd"/>
            <w:r w:rsidRPr="537FA187">
              <w:rPr>
                <w:b/>
                <w:bCs/>
                <w:color w:val="000000" w:themeColor="text1"/>
                <w:sz w:val="18"/>
                <w:szCs w:val="18"/>
              </w:rPr>
              <w:t xml:space="preserve"> type</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tcPr>
          <w:p w14:paraId="42F9E939" w14:textId="64BB0470" w:rsidR="537FA187" w:rsidRDefault="537FA187" w:rsidP="00C6418F">
            <w:pPr>
              <w:spacing w:after="60" w:line="257" w:lineRule="auto"/>
              <w:jc w:val="both"/>
              <w:rPr>
                <w:b/>
                <w:bCs/>
                <w:color w:val="000000" w:themeColor="text1"/>
                <w:sz w:val="18"/>
                <w:szCs w:val="18"/>
              </w:rPr>
            </w:pPr>
            <w:r w:rsidRPr="537FA187">
              <w:rPr>
                <w:b/>
                <w:bCs/>
                <w:color w:val="000000" w:themeColor="text1"/>
                <w:sz w:val="18"/>
                <w:szCs w:val="18"/>
              </w:rPr>
              <w:t xml:space="preserve">Name of </w:t>
            </w:r>
            <w:proofErr w:type="spellStart"/>
            <w:r w:rsidRPr="537FA187">
              <w:rPr>
                <w:b/>
                <w:bCs/>
                <w:color w:val="000000" w:themeColor="text1"/>
                <w:sz w:val="18"/>
                <w:szCs w:val="18"/>
              </w:rPr>
              <w:t>Co-financier</w:t>
            </w:r>
            <w:proofErr w:type="spellEnd"/>
            <w:r w:rsidRPr="537FA187">
              <w:rPr>
                <w:b/>
                <w:bCs/>
                <w:color w:val="000000" w:themeColor="text1"/>
                <w:sz w:val="18"/>
                <w:szCs w:val="18"/>
              </w:rPr>
              <w:t xml:space="preserve"> </w:t>
            </w:r>
          </w:p>
        </w:tc>
        <w:tc>
          <w:tcPr>
            <w:tcW w:w="1729" w:type="dxa"/>
            <w:tcBorders>
              <w:top w:val="single" w:sz="8" w:space="0" w:color="auto"/>
              <w:left w:val="single" w:sz="8" w:space="0" w:color="auto"/>
              <w:bottom w:val="single" w:sz="8" w:space="0" w:color="auto"/>
              <w:right w:val="single" w:sz="8" w:space="0" w:color="auto"/>
            </w:tcBorders>
            <w:tcMar>
              <w:left w:w="108" w:type="dxa"/>
              <w:right w:w="108" w:type="dxa"/>
            </w:tcMar>
          </w:tcPr>
          <w:p w14:paraId="1CAC6286" w14:textId="14A57D64" w:rsidR="537FA187" w:rsidRDefault="537FA187" w:rsidP="00C6418F">
            <w:pPr>
              <w:spacing w:after="60" w:line="257" w:lineRule="auto"/>
              <w:jc w:val="both"/>
              <w:rPr>
                <w:b/>
                <w:bCs/>
                <w:color w:val="000000" w:themeColor="text1"/>
                <w:sz w:val="18"/>
                <w:szCs w:val="18"/>
              </w:rPr>
            </w:pPr>
            <w:r w:rsidRPr="537FA187">
              <w:rPr>
                <w:b/>
                <w:bCs/>
                <w:color w:val="000000" w:themeColor="text1"/>
                <w:sz w:val="18"/>
                <w:szCs w:val="18"/>
              </w:rPr>
              <w:t xml:space="preserve">Investment </w:t>
            </w:r>
            <w:proofErr w:type="spellStart"/>
            <w:r w:rsidRPr="537FA187">
              <w:rPr>
                <w:b/>
                <w:bCs/>
                <w:color w:val="000000" w:themeColor="text1"/>
                <w:sz w:val="18"/>
                <w:szCs w:val="18"/>
              </w:rPr>
              <w:t>Mobilized</w:t>
            </w:r>
            <w:proofErr w:type="spellEnd"/>
          </w:p>
        </w:tc>
        <w:tc>
          <w:tcPr>
            <w:tcW w:w="2273" w:type="dxa"/>
            <w:tcBorders>
              <w:top w:val="single" w:sz="8" w:space="0" w:color="auto"/>
              <w:left w:val="single" w:sz="8" w:space="0" w:color="auto"/>
              <w:bottom w:val="single" w:sz="8" w:space="0" w:color="auto"/>
              <w:right w:val="single" w:sz="8" w:space="0" w:color="auto"/>
            </w:tcBorders>
            <w:tcMar>
              <w:left w:w="108" w:type="dxa"/>
              <w:right w:w="108" w:type="dxa"/>
            </w:tcMar>
          </w:tcPr>
          <w:p w14:paraId="41EB23C0" w14:textId="1DFD4603" w:rsidR="537FA187" w:rsidRDefault="537FA187" w:rsidP="00C6418F">
            <w:pPr>
              <w:spacing w:after="0" w:line="257" w:lineRule="auto"/>
              <w:jc w:val="both"/>
              <w:rPr>
                <w:b/>
                <w:bCs/>
                <w:color w:val="000000" w:themeColor="text1"/>
                <w:sz w:val="18"/>
                <w:szCs w:val="18"/>
              </w:rPr>
            </w:pPr>
            <w:r w:rsidRPr="537FA187">
              <w:rPr>
                <w:b/>
                <w:bCs/>
                <w:color w:val="000000" w:themeColor="text1"/>
                <w:sz w:val="18"/>
                <w:szCs w:val="18"/>
              </w:rPr>
              <w:t>Co-</w:t>
            </w:r>
            <w:proofErr w:type="spellStart"/>
            <w:r w:rsidRPr="537FA187">
              <w:rPr>
                <w:b/>
                <w:bCs/>
                <w:color w:val="000000" w:themeColor="text1"/>
                <w:sz w:val="18"/>
                <w:szCs w:val="18"/>
              </w:rPr>
              <w:t>financing</w:t>
            </w:r>
            <w:proofErr w:type="spellEnd"/>
            <w:r w:rsidRPr="537FA187">
              <w:rPr>
                <w:b/>
                <w:bCs/>
                <w:color w:val="000000" w:themeColor="text1"/>
                <w:sz w:val="18"/>
                <w:szCs w:val="18"/>
              </w:rPr>
              <w:t xml:space="preserve"> </w:t>
            </w:r>
            <w:proofErr w:type="spellStart"/>
            <w:r w:rsidRPr="537FA187">
              <w:rPr>
                <w:b/>
                <w:bCs/>
                <w:color w:val="000000" w:themeColor="text1"/>
                <w:sz w:val="18"/>
                <w:szCs w:val="18"/>
              </w:rPr>
              <w:t>amount</w:t>
            </w:r>
            <w:proofErr w:type="spellEnd"/>
          </w:p>
        </w:tc>
      </w:tr>
      <w:tr w:rsidR="537FA187" w14:paraId="4CD45E0F" w14:textId="77777777" w:rsidTr="537FA187">
        <w:trPr>
          <w:trHeight w:val="300"/>
        </w:trPr>
        <w:tc>
          <w:tcPr>
            <w:tcW w:w="1449" w:type="dxa"/>
            <w:tcBorders>
              <w:top w:val="single" w:sz="8" w:space="0" w:color="auto"/>
              <w:left w:val="single" w:sz="8" w:space="0" w:color="auto"/>
              <w:bottom w:val="single" w:sz="8" w:space="0" w:color="auto"/>
              <w:right w:val="single" w:sz="8" w:space="0" w:color="auto"/>
            </w:tcBorders>
            <w:tcMar>
              <w:left w:w="108" w:type="dxa"/>
              <w:right w:w="108" w:type="dxa"/>
            </w:tcMar>
          </w:tcPr>
          <w:p w14:paraId="23DD3294" w14:textId="4B73E918" w:rsidR="537FA187" w:rsidRDefault="537FA187" w:rsidP="00C6418F">
            <w:pPr>
              <w:spacing w:after="0" w:line="257" w:lineRule="auto"/>
              <w:jc w:val="both"/>
              <w:rPr>
                <w:color w:val="000000" w:themeColor="text1"/>
                <w:sz w:val="20"/>
                <w:szCs w:val="20"/>
                <w:lang w:val="en-US"/>
              </w:rPr>
            </w:pPr>
            <w:r w:rsidRPr="537FA187">
              <w:rPr>
                <w:color w:val="000000" w:themeColor="text1"/>
                <w:sz w:val="20"/>
                <w:szCs w:val="20"/>
                <w:lang w:val="en-US"/>
              </w:rPr>
              <w:t xml:space="preserve">UN Agency </w:t>
            </w:r>
          </w:p>
        </w:tc>
        <w:tc>
          <w:tcPr>
            <w:tcW w:w="1908" w:type="dxa"/>
            <w:tcBorders>
              <w:top w:val="single" w:sz="8" w:space="0" w:color="auto"/>
              <w:left w:val="single" w:sz="8" w:space="0" w:color="auto"/>
              <w:bottom w:val="single" w:sz="8" w:space="0" w:color="auto"/>
              <w:right w:val="single" w:sz="8" w:space="0" w:color="auto"/>
            </w:tcBorders>
            <w:tcMar>
              <w:left w:w="108" w:type="dxa"/>
              <w:right w:w="108" w:type="dxa"/>
            </w:tcMar>
          </w:tcPr>
          <w:p w14:paraId="5EE5C7D7" w14:textId="617D3881" w:rsidR="537FA187" w:rsidRDefault="537FA187" w:rsidP="00C6418F">
            <w:pPr>
              <w:spacing w:after="0" w:line="257" w:lineRule="auto"/>
              <w:jc w:val="both"/>
              <w:rPr>
                <w:color w:val="000000" w:themeColor="text1"/>
                <w:sz w:val="20"/>
                <w:szCs w:val="20"/>
                <w:lang w:val="en-US"/>
              </w:rPr>
            </w:pPr>
            <w:r w:rsidRPr="537FA187">
              <w:rPr>
                <w:color w:val="000000" w:themeColor="text1"/>
                <w:sz w:val="20"/>
                <w:szCs w:val="20"/>
                <w:lang w:val="en-US"/>
              </w:rPr>
              <w:t>Grant</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tcPr>
          <w:p w14:paraId="16B66D5C" w14:textId="61BFE910" w:rsidR="537FA187" w:rsidRDefault="537FA187" w:rsidP="00C6418F">
            <w:pPr>
              <w:spacing w:after="60" w:line="257" w:lineRule="auto"/>
              <w:jc w:val="both"/>
              <w:rPr>
                <w:color w:val="000000" w:themeColor="text1"/>
                <w:sz w:val="20"/>
                <w:szCs w:val="20"/>
                <w:lang w:val="en-US"/>
              </w:rPr>
            </w:pPr>
            <w:r w:rsidRPr="537FA187">
              <w:rPr>
                <w:color w:val="000000" w:themeColor="text1"/>
                <w:sz w:val="20"/>
                <w:szCs w:val="20"/>
                <w:lang w:val="en-US"/>
              </w:rPr>
              <w:t>UNDP</w:t>
            </w:r>
          </w:p>
        </w:tc>
        <w:tc>
          <w:tcPr>
            <w:tcW w:w="1729" w:type="dxa"/>
            <w:tcBorders>
              <w:top w:val="single" w:sz="8" w:space="0" w:color="auto"/>
              <w:left w:val="single" w:sz="8" w:space="0" w:color="auto"/>
              <w:bottom w:val="single" w:sz="8" w:space="0" w:color="auto"/>
              <w:right w:val="single" w:sz="8" w:space="0" w:color="auto"/>
            </w:tcBorders>
            <w:tcMar>
              <w:left w:w="108" w:type="dxa"/>
              <w:right w:w="108" w:type="dxa"/>
            </w:tcMar>
          </w:tcPr>
          <w:p w14:paraId="6C32D1C3" w14:textId="4368B591" w:rsidR="537FA187" w:rsidRDefault="537FA187" w:rsidP="00C6418F">
            <w:pPr>
              <w:spacing w:after="60" w:line="257" w:lineRule="auto"/>
              <w:jc w:val="both"/>
              <w:rPr>
                <w:color w:val="000000" w:themeColor="text1"/>
                <w:sz w:val="20"/>
                <w:szCs w:val="20"/>
                <w:lang w:val="en-US"/>
              </w:rPr>
            </w:pPr>
            <w:r w:rsidRPr="537FA187">
              <w:rPr>
                <w:color w:val="000000" w:themeColor="text1"/>
                <w:sz w:val="20"/>
                <w:szCs w:val="20"/>
                <w:lang w:val="en-US"/>
              </w:rPr>
              <w:t>Cash</w:t>
            </w:r>
          </w:p>
        </w:tc>
        <w:tc>
          <w:tcPr>
            <w:tcW w:w="2273" w:type="dxa"/>
            <w:tcBorders>
              <w:top w:val="single" w:sz="8" w:space="0" w:color="auto"/>
              <w:left w:val="single" w:sz="8" w:space="0" w:color="auto"/>
              <w:bottom w:val="single" w:sz="8" w:space="0" w:color="auto"/>
              <w:right w:val="single" w:sz="8" w:space="0" w:color="auto"/>
            </w:tcBorders>
            <w:tcMar>
              <w:left w:w="108" w:type="dxa"/>
              <w:right w:w="108" w:type="dxa"/>
            </w:tcMar>
          </w:tcPr>
          <w:p w14:paraId="2811F76B" w14:textId="57E4C47D" w:rsidR="537FA187" w:rsidRDefault="537FA187" w:rsidP="00C6418F">
            <w:pPr>
              <w:spacing w:after="0" w:line="257" w:lineRule="auto"/>
              <w:jc w:val="both"/>
              <w:rPr>
                <w:color w:val="000000" w:themeColor="text1"/>
                <w:sz w:val="20"/>
                <w:szCs w:val="20"/>
                <w:lang w:val="en-US"/>
              </w:rPr>
            </w:pPr>
            <w:r w:rsidRPr="537FA187">
              <w:rPr>
                <w:color w:val="000000" w:themeColor="text1"/>
                <w:sz w:val="20"/>
                <w:szCs w:val="20"/>
                <w:lang w:val="en-US"/>
              </w:rPr>
              <w:t>300,000 $</w:t>
            </w:r>
          </w:p>
        </w:tc>
      </w:tr>
      <w:tr w:rsidR="537FA187" w14:paraId="68FC123B" w14:textId="77777777" w:rsidTr="537FA187">
        <w:trPr>
          <w:trHeight w:val="300"/>
        </w:trPr>
        <w:tc>
          <w:tcPr>
            <w:tcW w:w="1449" w:type="dxa"/>
            <w:tcBorders>
              <w:top w:val="single" w:sz="8" w:space="0" w:color="auto"/>
              <w:left w:val="single" w:sz="8" w:space="0" w:color="auto"/>
              <w:bottom w:val="single" w:sz="8" w:space="0" w:color="auto"/>
              <w:right w:val="single" w:sz="8" w:space="0" w:color="auto"/>
            </w:tcBorders>
            <w:tcMar>
              <w:left w:w="108" w:type="dxa"/>
              <w:right w:w="108" w:type="dxa"/>
            </w:tcMar>
          </w:tcPr>
          <w:p w14:paraId="5752176B" w14:textId="3D19B671" w:rsidR="537FA187" w:rsidRDefault="537FA187" w:rsidP="00C6418F">
            <w:pPr>
              <w:spacing w:after="0" w:line="257" w:lineRule="auto"/>
              <w:jc w:val="both"/>
              <w:rPr>
                <w:color w:val="000000" w:themeColor="text1"/>
                <w:sz w:val="20"/>
                <w:szCs w:val="20"/>
              </w:rPr>
            </w:pPr>
            <w:proofErr w:type="spellStart"/>
            <w:r w:rsidRPr="537FA187">
              <w:rPr>
                <w:color w:val="000000" w:themeColor="text1"/>
                <w:sz w:val="20"/>
                <w:szCs w:val="20"/>
              </w:rPr>
              <w:t>Multilateral</w:t>
            </w:r>
            <w:proofErr w:type="spellEnd"/>
            <w:r w:rsidRPr="537FA187">
              <w:rPr>
                <w:color w:val="000000" w:themeColor="text1"/>
                <w:sz w:val="20"/>
                <w:szCs w:val="20"/>
              </w:rPr>
              <w:t xml:space="preserve"> Bank</w:t>
            </w:r>
          </w:p>
        </w:tc>
        <w:tc>
          <w:tcPr>
            <w:tcW w:w="1908" w:type="dxa"/>
            <w:tcBorders>
              <w:top w:val="single" w:sz="8" w:space="0" w:color="auto"/>
              <w:left w:val="single" w:sz="8" w:space="0" w:color="auto"/>
              <w:bottom w:val="single" w:sz="8" w:space="0" w:color="auto"/>
              <w:right w:val="single" w:sz="8" w:space="0" w:color="auto"/>
            </w:tcBorders>
            <w:tcMar>
              <w:left w:w="108" w:type="dxa"/>
              <w:right w:w="108" w:type="dxa"/>
            </w:tcMar>
          </w:tcPr>
          <w:p w14:paraId="1470A605" w14:textId="5A41BF47" w:rsidR="537FA187" w:rsidRDefault="537FA187" w:rsidP="00C6418F">
            <w:pPr>
              <w:spacing w:after="0" w:line="257" w:lineRule="auto"/>
              <w:jc w:val="both"/>
              <w:rPr>
                <w:color w:val="000000" w:themeColor="text1"/>
                <w:sz w:val="20"/>
                <w:szCs w:val="20"/>
                <w:lang w:val="en-US"/>
              </w:rPr>
            </w:pPr>
            <w:r w:rsidRPr="537FA187">
              <w:rPr>
                <w:color w:val="000000" w:themeColor="text1"/>
                <w:sz w:val="20"/>
                <w:szCs w:val="20"/>
                <w:lang w:val="en-US"/>
              </w:rPr>
              <w:t>Loan</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tcPr>
          <w:p w14:paraId="0DE24485" w14:textId="6CB4E8FC" w:rsidR="537FA187" w:rsidRDefault="537FA187" w:rsidP="00C6418F">
            <w:pPr>
              <w:spacing w:after="60" w:line="257" w:lineRule="auto"/>
              <w:jc w:val="both"/>
              <w:rPr>
                <w:color w:val="000000" w:themeColor="text1"/>
                <w:sz w:val="20"/>
                <w:szCs w:val="20"/>
                <w:lang w:val="en-US"/>
              </w:rPr>
            </w:pPr>
            <w:r w:rsidRPr="537FA187">
              <w:rPr>
                <w:color w:val="000000" w:themeColor="text1"/>
                <w:sz w:val="20"/>
                <w:szCs w:val="20"/>
                <w:lang w:val="en-US"/>
              </w:rPr>
              <w:t xml:space="preserve">World Bank (Urbain Resilience Project on Bamako – PRUBA) </w:t>
            </w:r>
          </w:p>
        </w:tc>
        <w:tc>
          <w:tcPr>
            <w:tcW w:w="1729" w:type="dxa"/>
            <w:tcBorders>
              <w:top w:val="single" w:sz="8" w:space="0" w:color="auto"/>
              <w:left w:val="single" w:sz="8" w:space="0" w:color="auto"/>
              <w:bottom w:val="single" w:sz="8" w:space="0" w:color="auto"/>
              <w:right w:val="single" w:sz="8" w:space="0" w:color="auto"/>
            </w:tcBorders>
            <w:tcMar>
              <w:left w:w="108" w:type="dxa"/>
              <w:right w:w="108" w:type="dxa"/>
            </w:tcMar>
          </w:tcPr>
          <w:p w14:paraId="435FF53D" w14:textId="7FC1F5A5" w:rsidR="537FA187" w:rsidRDefault="537FA187" w:rsidP="00C6418F">
            <w:pPr>
              <w:spacing w:after="60" w:line="257" w:lineRule="auto"/>
              <w:jc w:val="both"/>
              <w:rPr>
                <w:color w:val="000000" w:themeColor="text1"/>
                <w:sz w:val="20"/>
                <w:szCs w:val="20"/>
                <w:lang w:val="en-US"/>
              </w:rPr>
            </w:pPr>
            <w:r w:rsidRPr="537FA187">
              <w:rPr>
                <w:color w:val="000000" w:themeColor="text1"/>
                <w:sz w:val="20"/>
                <w:szCs w:val="20"/>
                <w:lang w:val="en-US"/>
              </w:rPr>
              <w:t>Investment mobilized</w:t>
            </w:r>
          </w:p>
        </w:tc>
        <w:tc>
          <w:tcPr>
            <w:tcW w:w="2273" w:type="dxa"/>
            <w:tcBorders>
              <w:top w:val="single" w:sz="8" w:space="0" w:color="auto"/>
              <w:left w:val="single" w:sz="8" w:space="0" w:color="auto"/>
              <w:bottom w:val="single" w:sz="8" w:space="0" w:color="auto"/>
              <w:right w:val="single" w:sz="8" w:space="0" w:color="auto"/>
            </w:tcBorders>
            <w:tcMar>
              <w:left w:w="108" w:type="dxa"/>
              <w:right w:w="108" w:type="dxa"/>
            </w:tcMar>
          </w:tcPr>
          <w:p w14:paraId="38F7146B" w14:textId="6F8FAD01" w:rsidR="537FA187" w:rsidRDefault="537FA187" w:rsidP="00C6418F">
            <w:pPr>
              <w:spacing w:after="0" w:line="257" w:lineRule="auto"/>
              <w:jc w:val="both"/>
              <w:rPr>
                <w:color w:val="000000" w:themeColor="text1"/>
                <w:sz w:val="20"/>
                <w:szCs w:val="20"/>
              </w:rPr>
            </w:pPr>
            <w:r w:rsidRPr="537FA187">
              <w:rPr>
                <w:color w:val="000000" w:themeColor="text1"/>
                <w:sz w:val="20"/>
                <w:szCs w:val="20"/>
              </w:rPr>
              <w:t>290,457,600$</w:t>
            </w:r>
          </w:p>
        </w:tc>
      </w:tr>
      <w:tr w:rsidR="537FA187" w14:paraId="059DDE44" w14:textId="77777777" w:rsidTr="537FA187">
        <w:trPr>
          <w:trHeight w:val="300"/>
        </w:trPr>
        <w:tc>
          <w:tcPr>
            <w:tcW w:w="1449" w:type="dxa"/>
            <w:tcBorders>
              <w:top w:val="single" w:sz="8" w:space="0" w:color="auto"/>
              <w:left w:val="single" w:sz="8" w:space="0" w:color="auto"/>
              <w:bottom w:val="single" w:sz="8" w:space="0" w:color="auto"/>
              <w:right w:val="single" w:sz="8" w:space="0" w:color="auto"/>
            </w:tcBorders>
            <w:tcMar>
              <w:left w:w="108" w:type="dxa"/>
              <w:right w:w="108" w:type="dxa"/>
            </w:tcMar>
          </w:tcPr>
          <w:p w14:paraId="76A06CF1" w14:textId="4AC756F6" w:rsidR="537FA187" w:rsidRDefault="537FA187" w:rsidP="00C6418F">
            <w:pPr>
              <w:spacing w:after="0" w:line="257" w:lineRule="auto"/>
              <w:jc w:val="both"/>
              <w:rPr>
                <w:color w:val="000000" w:themeColor="text1"/>
                <w:sz w:val="20"/>
                <w:szCs w:val="20"/>
              </w:rPr>
            </w:pPr>
            <w:r w:rsidRPr="537FA187">
              <w:rPr>
                <w:color w:val="000000" w:themeColor="text1"/>
                <w:sz w:val="20"/>
                <w:szCs w:val="20"/>
                <w:lang w:val="en-US"/>
              </w:rPr>
              <w:t>Government</w:t>
            </w:r>
            <w:r w:rsidRPr="537FA187">
              <w:rPr>
                <w:color w:val="000000" w:themeColor="text1"/>
                <w:sz w:val="20"/>
                <w:szCs w:val="20"/>
              </w:rPr>
              <w:t xml:space="preserve"> </w:t>
            </w:r>
          </w:p>
        </w:tc>
        <w:tc>
          <w:tcPr>
            <w:tcW w:w="1908" w:type="dxa"/>
            <w:tcBorders>
              <w:top w:val="single" w:sz="8" w:space="0" w:color="auto"/>
              <w:left w:val="single" w:sz="8" w:space="0" w:color="auto"/>
              <w:bottom w:val="single" w:sz="8" w:space="0" w:color="auto"/>
              <w:right w:val="single" w:sz="8" w:space="0" w:color="auto"/>
            </w:tcBorders>
            <w:tcMar>
              <w:left w:w="108" w:type="dxa"/>
              <w:right w:w="108" w:type="dxa"/>
            </w:tcMar>
          </w:tcPr>
          <w:p w14:paraId="6E975B0B" w14:textId="21301078" w:rsidR="537FA187" w:rsidRDefault="537FA187" w:rsidP="00C6418F">
            <w:pPr>
              <w:spacing w:after="0" w:line="257" w:lineRule="auto"/>
              <w:jc w:val="both"/>
              <w:rPr>
                <w:color w:val="000000" w:themeColor="text1"/>
                <w:sz w:val="20"/>
                <w:szCs w:val="20"/>
                <w:lang w:val="en-US"/>
              </w:rPr>
            </w:pPr>
            <w:r w:rsidRPr="537FA187">
              <w:rPr>
                <w:color w:val="000000" w:themeColor="text1"/>
                <w:sz w:val="20"/>
                <w:szCs w:val="20"/>
                <w:lang w:val="en-US"/>
              </w:rPr>
              <w:t>In kind</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tcPr>
          <w:p w14:paraId="3E09BA86" w14:textId="5734D9D5" w:rsidR="537FA187" w:rsidRDefault="537FA187" w:rsidP="00C6418F">
            <w:pPr>
              <w:spacing w:after="60" w:line="257" w:lineRule="auto"/>
              <w:jc w:val="both"/>
              <w:rPr>
                <w:color w:val="000000" w:themeColor="text1"/>
                <w:sz w:val="20"/>
                <w:szCs w:val="20"/>
              </w:rPr>
            </w:pPr>
            <w:r w:rsidRPr="537FA187">
              <w:rPr>
                <w:color w:val="000000" w:themeColor="text1"/>
                <w:sz w:val="20"/>
                <w:szCs w:val="20"/>
              </w:rPr>
              <w:t xml:space="preserve">Direction National de l’Urbanisme et de l’Habitat </w:t>
            </w:r>
          </w:p>
        </w:tc>
        <w:tc>
          <w:tcPr>
            <w:tcW w:w="1729" w:type="dxa"/>
            <w:tcBorders>
              <w:top w:val="single" w:sz="8" w:space="0" w:color="auto"/>
              <w:left w:val="single" w:sz="8" w:space="0" w:color="auto"/>
              <w:bottom w:val="single" w:sz="8" w:space="0" w:color="auto"/>
              <w:right w:val="single" w:sz="8" w:space="0" w:color="auto"/>
            </w:tcBorders>
            <w:tcMar>
              <w:left w:w="108" w:type="dxa"/>
              <w:right w:w="108" w:type="dxa"/>
            </w:tcMar>
          </w:tcPr>
          <w:p w14:paraId="1175BEF0" w14:textId="0DBA4891" w:rsidR="537FA187" w:rsidRDefault="537FA187" w:rsidP="00C6418F">
            <w:pPr>
              <w:spacing w:after="60" w:line="257" w:lineRule="auto"/>
              <w:jc w:val="both"/>
              <w:rPr>
                <w:color w:val="000000" w:themeColor="text1"/>
                <w:sz w:val="20"/>
                <w:szCs w:val="20"/>
              </w:rPr>
            </w:pPr>
            <w:r w:rsidRPr="537FA187">
              <w:rPr>
                <w:color w:val="000000" w:themeColor="text1"/>
                <w:sz w:val="20"/>
                <w:szCs w:val="20"/>
                <w:lang w:val="en-US"/>
              </w:rPr>
              <w:t>Recurrent Expenditures</w:t>
            </w:r>
            <w:r w:rsidRPr="537FA187">
              <w:rPr>
                <w:color w:val="000000" w:themeColor="text1"/>
                <w:sz w:val="20"/>
                <w:szCs w:val="20"/>
              </w:rPr>
              <w:t xml:space="preserve"> </w:t>
            </w:r>
          </w:p>
        </w:tc>
        <w:tc>
          <w:tcPr>
            <w:tcW w:w="2273" w:type="dxa"/>
            <w:tcBorders>
              <w:top w:val="single" w:sz="8" w:space="0" w:color="auto"/>
              <w:left w:val="single" w:sz="8" w:space="0" w:color="auto"/>
              <w:bottom w:val="single" w:sz="8" w:space="0" w:color="auto"/>
              <w:right w:val="single" w:sz="8" w:space="0" w:color="auto"/>
            </w:tcBorders>
            <w:tcMar>
              <w:left w:w="108" w:type="dxa"/>
              <w:right w:w="108" w:type="dxa"/>
            </w:tcMar>
          </w:tcPr>
          <w:p w14:paraId="4797EE7D" w14:textId="1A912697" w:rsidR="537FA187" w:rsidRDefault="537FA187" w:rsidP="00C6418F">
            <w:pPr>
              <w:spacing w:after="0" w:line="257" w:lineRule="auto"/>
              <w:jc w:val="both"/>
              <w:rPr>
                <w:color w:val="000000" w:themeColor="text1"/>
                <w:sz w:val="20"/>
                <w:szCs w:val="20"/>
              </w:rPr>
            </w:pPr>
            <w:r w:rsidRPr="537FA187">
              <w:rPr>
                <w:color w:val="000000" w:themeColor="text1"/>
                <w:sz w:val="20"/>
                <w:szCs w:val="20"/>
              </w:rPr>
              <w:t>500,000 $</w:t>
            </w:r>
          </w:p>
        </w:tc>
      </w:tr>
      <w:tr w:rsidR="537FA187" w14:paraId="1C912EE4" w14:textId="77777777" w:rsidTr="537FA187">
        <w:trPr>
          <w:trHeight w:val="300"/>
        </w:trPr>
        <w:tc>
          <w:tcPr>
            <w:tcW w:w="1449" w:type="dxa"/>
            <w:tcBorders>
              <w:top w:val="single" w:sz="8" w:space="0" w:color="auto"/>
              <w:left w:val="single" w:sz="8" w:space="0" w:color="auto"/>
              <w:bottom w:val="single" w:sz="8" w:space="0" w:color="auto"/>
              <w:right w:val="single" w:sz="8" w:space="0" w:color="auto"/>
            </w:tcBorders>
            <w:tcMar>
              <w:left w:w="108" w:type="dxa"/>
              <w:right w:w="108" w:type="dxa"/>
            </w:tcMar>
          </w:tcPr>
          <w:p w14:paraId="133C4C7E" w14:textId="73EB2FED" w:rsidR="537FA187" w:rsidRDefault="537FA187" w:rsidP="00C6418F">
            <w:pPr>
              <w:spacing w:after="60" w:line="257" w:lineRule="auto"/>
              <w:jc w:val="both"/>
              <w:rPr>
                <w:b/>
                <w:bCs/>
                <w:i/>
                <w:iCs/>
                <w:color w:val="000000" w:themeColor="text1"/>
                <w:sz w:val="20"/>
                <w:szCs w:val="20"/>
              </w:rPr>
            </w:pPr>
            <w:r w:rsidRPr="537FA187">
              <w:rPr>
                <w:b/>
                <w:bCs/>
                <w:i/>
                <w:iCs/>
                <w:color w:val="000000" w:themeColor="text1"/>
                <w:sz w:val="20"/>
                <w:szCs w:val="20"/>
              </w:rPr>
              <w:lastRenderedPageBreak/>
              <w:t>Total</w:t>
            </w:r>
          </w:p>
        </w:tc>
        <w:tc>
          <w:tcPr>
            <w:tcW w:w="1908" w:type="dxa"/>
            <w:tcBorders>
              <w:top w:val="single" w:sz="8" w:space="0" w:color="auto"/>
              <w:left w:val="single" w:sz="8" w:space="0" w:color="auto"/>
              <w:bottom w:val="single" w:sz="8" w:space="0" w:color="auto"/>
              <w:right w:val="single" w:sz="8" w:space="0" w:color="auto"/>
            </w:tcBorders>
            <w:tcMar>
              <w:left w:w="108" w:type="dxa"/>
              <w:right w:w="108" w:type="dxa"/>
            </w:tcMar>
          </w:tcPr>
          <w:p w14:paraId="45820CA5" w14:textId="7D3A292F" w:rsidR="537FA187" w:rsidRDefault="537FA187" w:rsidP="00C6418F">
            <w:pPr>
              <w:spacing w:after="60" w:line="257" w:lineRule="auto"/>
              <w:jc w:val="both"/>
              <w:rPr>
                <w:color w:val="000000" w:themeColor="text1"/>
                <w:sz w:val="20"/>
                <w:szCs w:val="20"/>
              </w:rPr>
            </w:pPr>
            <w:r w:rsidRPr="537FA187">
              <w:rPr>
                <w:color w:val="000000" w:themeColor="text1"/>
                <w:sz w:val="20"/>
                <w:szCs w:val="20"/>
              </w:rPr>
              <w:t xml:space="preserve"> </w:t>
            </w:r>
          </w:p>
        </w:tc>
        <w:tc>
          <w:tcPr>
            <w:tcW w:w="1552" w:type="dxa"/>
            <w:tcBorders>
              <w:top w:val="single" w:sz="8" w:space="0" w:color="auto"/>
              <w:left w:val="single" w:sz="8" w:space="0" w:color="auto"/>
              <w:bottom w:val="single" w:sz="8" w:space="0" w:color="auto"/>
              <w:right w:val="single" w:sz="8" w:space="0" w:color="auto"/>
            </w:tcBorders>
            <w:tcMar>
              <w:left w:w="108" w:type="dxa"/>
              <w:right w:w="108" w:type="dxa"/>
            </w:tcMar>
          </w:tcPr>
          <w:p w14:paraId="19E0B6B4" w14:textId="2BAAA20B" w:rsidR="537FA187" w:rsidRDefault="537FA187" w:rsidP="00C6418F">
            <w:pPr>
              <w:spacing w:after="60" w:line="257" w:lineRule="auto"/>
              <w:jc w:val="both"/>
              <w:rPr>
                <w:color w:val="000000" w:themeColor="text1"/>
                <w:sz w:val="20"/>
                <w:szCs w:val="20"/>
              </w:rPr>
            </w:pPr>
            <w:r w:rsidRPr="537FA187">
              <w:rPr>
                <w:color w:val="000000" w:themeColor="text1"/>
                <w:sz w:val="20"/>
                <w:szCs w:val="20"/>
              </w:rPr>
              <w:t xml:space="preserve"> </w:t>
            </w:r>
          </w:p>
        </w:tc>
        <w:tc>
          <w:tcPr>
            <w:tcW w:w="1729" w:type="dxa"/>
            <w:tcBorders>
              <w:top w:val="single" w:sz="8" w:space="0" w:color="auto"/>
              <w:left w:val="single" w:sz="8" w:space="0" w:color="auto"/>
              <w:bottom w:val="single" w:sz="8" w:space="0" w:color="auto"/>
              <w:right w:val="single" w:sz="8" w:space="0" w:color="auto"/>
            </w:tcBorders>
            <w:tcMar>
              <w:left w:w="108" w:type="dxa"/>
              <w:right w:w="108" w:type="dxa"/>
            </w:tcMar>
          </w:tcPr>
          <w:p w14:paraId="66CEBFE9" w14:textId="2F0BEA28" w:rsidR="537FA187" w:rsidRDefault="537FA187" w:rsidP="00C6418F">
            <w:pPr>
              <w:spacing w:after="60" w:line="257" w:lineRule="auto"/>
              <w:jc w:val="both"/>
              <w:rPr>
                <w:color w:val="000000" w:themeColor="text1"/>
                <w:sz w:val="20"/>
                <w:szCs w:val="20"/>
              </w:rPr>
            </w:pPr>
            <w:r w:rsidRPr="537FA187">
              <w:rPr>
                <w:color w:val="000000" w:themeColor="text1"/>
                <w:sz w:val="20"/>
                <w:szCs w:val="20"/>
              </w:rPr>
              <w:t xml:space="preserve"> </w:t>
            </w:r>
          </w:p>
        </w:tc>
        <w:tc>
          <w:tcPr>
            <w:tcW w:w="2273" w:type="dxa"/>
            <w:tcBorders>
              <w:top w:val="single" w:sz="8" w:space="0" w:color="auto"/>
              <w:left w:val="single" w:sz="8" w:space="0" w:color="auto"/>
              <w:bottom w:val="single" w:sz="8" w:space="0" w:color="auto"/>
              <w:right w:val="single" w:sz="8" w:space="0" w:color="auto"/>
            </w:tcBorders>
            <w:tcMar>
              <w:left w:w="108" w:type="dxa"/>
              <w:right w:w="108" w:type="dxa"/>
            </w:tcMar>
          </w:tcPr>
          <w:p w14:paraId="37C2C235" w14:textId="30072A89" w:rsidR="537FA187" w:rsidRDefault="537FA187" w:rsidP="00C6418F">
            <w:pPr>
              <w:spacing w:after="60" w:line="257" w:lineRule="auto"/>
              <w:jc w:val="both"/>
              <w:rPr>
                <w:rFonts w:eastAsia="SimSun" w:cs="Times New Roman"/>
                <w:b/>
                <w:bCs/>
                <w:sz w:val="20"/>
                <w:szCs w:val="20"/>
                <w:u w:val="single"/>
                <w:lang w:val="en-US"/>
              </w:rPr>
            </w:pPr>
            <w:r w:rsidRPr="537FA187">
              <w:rPr>
                <w:color w:val="000000" w:themeColor="text1"/>
                <w:sz w:val="20"/>
                <w:szCs w:val="20"/>
              </w:rPr>
              <w:t>291,257,600 $</w:t>
            </w:r>
            <w:r w:rsidRPr="537FA187">
              <w:rPr>
                <w:rFonts w:eastAsia="SimSun" w:cs="Times New Roman"/>
                <w:b/>
                <w:bCs/>
                <w:sz w:val="20"/>
                <w:szCs w:val="20"/>
                <w:u w:val="single"/>
                <w:lang w:val="en-US"/>
              </w:rPr>
              <w:t xml:space="preserve"> </w:t>
            </w:r>
          </w:p>
        </w:tc>
      </w:tr>
    </w:tbl>
    <w:p w14:paraId="28066B51" w14:textId="77777777" w:rsidR="00595B1C" w:rsidRDefault="00595B1C" w:rsidP="00E2683D">
      <w:pPr>
        <w:spacing w:after="0" w:line="240" w:lineRule="auto"/>
        <w:jc w:val="both"/>
        <w:rPr>
          <w:rFonts w:eastAsia="SimSun" w:cs="Times New Roman"/>
          <w:b/>
          <w:bCs/>
          <w:sz w:val="20"/>
          <w:szCs w:val="20"/>
          <w:u w:val="single"/>
          <w:lang w:val="en-US"/>
        </w:rPr>
      </w:pPr>
    </w:p>
    <w:p w14:paraId="1C86D574" w14:textId="315514A9" w:rsidR="00E2683D" w:rsidRPr="00E72C29" w:rsidRDefault="75DA8E11" w:rsidP="00E2683D">
      <w:pPr>
        <w:spacing w:after="0" w:line="240" w:lineRule="auto"/>
        <w:jc w:val="both"/>
        <w:rPr>
          <w:rFonts w:eastAsia="SimSun" w:cs="Times New Roman"/>
          <w:sz w:val="20"/>
          <w:szCs w:val="20"/>
          <w:lang w:val="en-US"/>
        </w:rPr>
      </w:pPr>
      <w:r w:rsidRPr="537FA187">
        <w:rPr>
          <w:rFonts w:eastAsia="SimSun" w:cs="Times New Roman"/>
          <w:b/>
          <w:bCs/>
          <w:sz w:val="20"/>
          <w:szCs w:val="20"/>
          <w:u w:val="single"/>
          <w:lang w:val="en-US"/>
        </w:rPr>
        <w:t>Budget Revision and Tolerance</w:t>
      </w:r>
      <w:r w:rsidRPr="537FA187">
        <w:rPr>
          <w:rFonts w:eastAsia="SimSun" w:cs="Times New Roman"/>
          <w:sz w:val="20"/>
          <w:szCs w:val="20"/>
          <w:lang w:val="en-US"/>
        </w:rPr>
        <w:t>: As per UNDP POPP, the project board may agree with the project manager on a tolerance level for each detailed plan under the overall multi-year workplan.</w:t>
      </w:r>
      <w:r w:rsidRPr="537FA187">
        <w:rPr>
          <w:rFonts w:ascii="Times New Roman" w:eastAsia="SimSun" w:hAnsi="Times New Roman" w:cs="Times New Roman"/>
          <w:sz w:val="24"/>
          <w:szCs w:val="24"/>
          <w:lang w:val="en-US"/>
        </w:rPr>
        <w:t xml:space="preserve"> </w:t>
      </w:r>
      <w:r w:rsidRPr="537FA187">
        <w:rPr>
          <w:rFonts w:eastAsia="SimSun" w:cs="Times New Roman"/>
          <w:sz w:val="20"/>
          <w:szCs w:val="20"/>
          <w:lang w:val="en-US"/>
        </w:rPr>
        <w:t xml:space="preserve">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 </w:t>
      </w:r>
    </w:p>
    <w:p w14:paraId="7BB778B6" w14:textId="77777777" w:rsidR="00E2683D" w:rsidRPr="00E72C29" w:rsidRDefault="00E2683D" w:rsidP="00E2683D">
      <w:pPr>
        <w:spacing w:after="0" w:line="240" w:lineRule="auto"/>
        <w:jc w:val="both"/>
        <w:rPr>
          <w:rFonts w:eastAsia="SimSun" w:cs="Times New Roman"/>
          <w:sz w:val="20"/>
          <w:szCs w:val="20"/>
          <w:lang w:val="en-US"/>
        </w:rPr>
      </w:pPr>
    </w:p>
    <w:p w14:paraId="489ED973" w14:textId="77777777" w:rsidR="00E2683D" w:rsidRPr="00E72C29" w:rsidRDefault="28DDBC49" w:rsidP="00E2683D">
      <w:pPr>
        <w:spacing w:after="60" w:line="240" w:lineRule="auto"/>
        <w:jc w:val="both"/>
        <w:rPr>
          <w:rFonts w:eastAsia="SimSun" w:cs="Times New Roman"/>
          <w:sz w:val="20"/>
          <w:szCs w:val="20"/>
          <w:lang w:val="en-US"/>
        </w:rPr>
      </w:pPr>
      <w:r w:rsidRPr="5D8904BE">
        <w:rPr>
          <w:rFonts w:eastAsia="SimSun" w:cs="Times New Roman"/>
          <w:sz w:val="20"/>
          <w:szCs w:val="20"/>
          <w:lang w:val="en-US"/>
        </w:rPr>
        <w:t xml:space="preserve">Should the following deviations occur, the Project Manager/IP through UNDP Country Office will seek the approval of the BPPS/NCE-VF team to ensure accurate reporting to the GEF. It is </w:t>
      </w:r>
      <w:r w:rsidRPr="5D8904BE">
        <w:rPr>
          <w:rFonts w:eastAsia="SimSun" w:cs="Times New Roman"/>
          <w:b/>
          <w:bCs/>
          <w:sz w:val="20"/>
          <w:szCs w:val="20"/>
          <w:lang w:val="en-US"/>
        </w:rPr>
        <w:t>strongly encouraged</w:t>
      </w:r>
      <w:r w:rsidRPr="5D8904BE">
        <w:rPr>
          <w:rFonts w:eastAsia="SimSun" w:cs="Times New Roman"/>
          <w:sz w:val="20"/>
          <w:szCs w:val="20"/>
          <w:lang w:val="en-US"/>
        </w:rPr>
        <w:t xml:space="preserve"> to maintain the expenditures within the approved budget at the budgetary account and at the component level:</w:t>
      </w:r>
    </w:p>
    <w:p w14:paraId="1108EA05" w14:textId="77777777" w:rsidR="00E2683D" w:rsidRPr="00E72C29" w:rsidRDefault="00E2683D" w:rsidP="00E2683D">
      <w:pPr>
        <w:spacing w:after="0" w:line="240" w:lineRule="auto"/>
        <w:jc w:val="both"/>
        <w:rPr>
          <w:rFonts w:eastAsia="SimSun" w:cs="Times New Roman"/>
          <w:sz w:val="20"/>
          <w:szCs w:val="20"/>
          <w:lang w:val="en-US"/>
        </w:rPr>
      </w:pPr>
    </w:p>
    <w:p w14:paraId="1E06821B" w14:textId="20DB0409" w:rsidR="00E2683D" w:rsidRPr="00E72C29" w:rsidRDefault="28DDBC49" w:rsidP="001360BB">
      <w:pPr>
        <w:numPr>
          <w:ilvl w:val="0"/>
          <w:numId w:val="283"/>
        </w:numPr>
        <w:spacing w:after="0" w:line="240" w:lineRule="auto"/>
        <w:jc w:val="both"/>
        <w:rPr>
          <w:rFonts w:eastAsia="SimSun" w:cs="Times New Roman"/>
          <w:sz w:val="20"/>
          <w:szCs w:val="20"/>
          <w:lang w:val="en-US"/>
        </w:rPr>
      </w:pPr>
      <w:r w:rsidRPr="0C95EC3E">
        <w:rPr>
          <w:rFonts w:eastAsia="SimSun" w:cs="Times New Roman"/>
          <w:sz w:val="20"/>
          <w:szCs w:val="20"/>
          <w:lang w:val="en-US"/>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7ABA19CD" w14:textId="77777777" w:rsidR="00E2683D" w:rsidRPr="00E72C29" w:rsidRDefault="28DDBC49" w:rsidP="001360BB">
      <w:pPr>
        <w:numPr>
          <w:ilvl w:val="0"/>
          <w:numId w:val="283"/>
        </w:numPr>
        <w:spacing w:after="0" w:line="240" w:lineRule="auto"/>
        <w:jc w:val="both"/>
        <w:rPr>
          <w:rFonts w:eastAsia="SimSun" w:cs="Times New Roman"/>
          <w:sz w:val="20"/>
          <w:szCs w:val="20"/>
          <w:lang w:val="en-US"/>
        </w:rPr>
      </w:pPr>
      <w:r w:rsidRPr="5D8904BE">
        <w:rPr>
          <w:rFonts w:eastAsia="SimSun" w:cs="Times New Roman"/>
          <w:sz w:val="20"/>
          <w:szCs w:val="20"/>
          <w:lang w:val="en-US"/>
        </w:rPr>
        <w:t>Introduction of new outputs/activities (i.e. budget items)</w:t>
      </w:r>
      <w:r w:rsidRPr="5D8904BE">
        <w:rPr>
          <w:rFonts w:ascii="Times New Roman" w:eastAsia="SimSun" w:hAnsi="Times New Roman" w:cs="Times New Roman"/>
          <w:sz w:val="24"/>
          <w:szCs w:val="24"/>
          <w:lang w:val="en-US"/>
        </w:rPr>
        <w:t xml:space="preserve"> </w:t>
      </w:r>
      <w:r w:rsidRPr="5D8904BE">
        <w:rPr>
          <w:rFonts w:eastAsia="SimSun" w:cs="Times New Roman"/>
          <w:sz w:val="20"/>
          <w:szCs w:val="20"/>
          <w:lang w:val="en-US"/>
        </w:rPr>
        <w:t xml:space="preserve">that were not part of the agreed project document and TBWP that represent a value greater than 5% of the total GEF grant. The new budget items must be eligible as per the </w:t>
      </w:r>
      <w:r>
        <w:fldChar w:fldCharType="begin"/>
      </w:r>
      <w:r w:rsidRPr="00F50786">
        <w:rPr>
          <w:lang w:val="en-US"/>
          <w:rPrChange w:id="61" w:author="Ali Sambou" w:date="2026-01-06T13:27:00Z" w16du:dateUtc="2026-01-06T13:27:00Z">
            <w:rPr/>
          </w:rPrChange>
        </w:rPr>
        <w:instrText>HYPERLINK "https://www.thegef.org/sites/default/files/documents/GEF_Guidelines_Project_Program_Cycle_Policy_20200731.pdf"</w:instrText>
      </w:r>
      <w:r>
        <w:fldChar w:fldCharType="separate"/>
      </w:r>
      <w:r w:rsidRPr="5D8904BE">
        <w:rPr>
          <w:rFonts w:eastAsia="SimSun" w:cs="Times New Roman"/>
          <w:color w:val="0000FF"/>
          <w:sz w:val="20"/>
          <w:szCs w:val="20"/>
          <w:u w:val="single"/>
          <w:lang w:val="en-US"/>
        </w:rPr>
        <w:t>GEF and UNDP policies</w:t>
      </w:r>
      <w:r>
        <w:fldChar w:fldCharType="end"/>
      </w:r>
      <w:r w:rsidRPr="5D8904BE">
        <w:rPr>
          <w:rFonts w:eastAsia="SimSun" w:cs="Times New Roman"/>
          <w:sz w:val="20"/>
          <w:szCs w:val="20"/>
          <w:lang w:val="en-US"/>
        </w:rPr>
        <w:t xml:space="preserve">. </w:t>
      </w:r>
    </w:p>
    <w:p w14:paraId="507CBF10" w14:textId="77777777" w:rsidR="00E2683D" w:rsidRPr="00E72C29" w:rsidRDefault="28DDBC49" w:rsidP="001360BB">
      <w:pPr>
        <w:numPr>
          <w:ilvl w:val="0"/>
          <w:numId w:val="283"/>
        </w:numPr>
        <w:spacing w:after="0" w:line="240" w:lineRule="auto"/>
        <w:jc w:val="both"/>
        <w:rPr>
          <w:rFonts w:eastAsia="SimSun" w:cs="Times New Roman"/>
          <w:sz w:val="20"/>
          <w:szCs w:val="20"/>
          <w:lang w:val="en-US"/>
        </w:rPr>
      </w:pPr>
      <w:r w:rsidRPr="5D8904BE">
        <w:rPr>
          <w:rFonts w:eastAsia="SimSun" w:cs="Times New Roman"/>
          <w:sz w:val="20"/>
          <w:szCs w:val="20"/>
          <w:lang w:val="en-US"/>
        </w:rPr>
        <w:t>Project management cost (PMC): budget under PMC component is capped and cannot be increased.</w:t>
      </w:r>
    </w:p>
    <w:p w14:paraId="5CBAB0BD" w14:textId="77777777" w:rsidR="00E2683D" w:rsidRPr="00E72C29" w:rsidRDefault="00E2683D" w:rsidP="00E2683D">
      <w:pPr>
        <w:spacing w:after="0" w:line="240" w:lineRule="auto"/>
        <w:jc w:val="both"/>
        <w:rPr>
          <w:rFonts w:eastAsia="SimSun" w:cs="Times New Roman"/>
          <w:sz w:val="24"/>
          <w:szCs w:val="20"/>
          <w:lang w:val="en-US"/>
        </w:rPr>
      </w:pPr>
    </w:p>
    <w:p w14:paraId="011B1A08" w14:textId="3F036C58" w:rsidR="00E2683D" w:rsidRPr="008533E7" w:rsidRDefault="28DDBC49" w:rsidP="00E2683D">
      <w:pPr>
        <w:spacing w:after="0" w:line="240" w:lineRule="auto"/>
        <w:jc w:val="both"/>
        <w:rPr>
          <w:rFonts w:eastAsia="SimSun" w:cs="Times New Roman"/>
          <w:sz w:val="20"/>
          <w:szCs w:val="20"/>
          <w:u w:val="single"/>
          <w:lang w:val="en-US"/>
        </w:rPr>
      </w:pPr>
      <w:r w:rsidRPr="0C95EC3E">
        <w:rPr>
          <w:rFonts w:eastAsia="SimSun" w:cs="Times New Roman"/>
          <w:sz w:val="20"/>
          <w:szCs w:val="20"/>
          <w:lang w:val="en-US"/>
        </w:rPr>
        <w:t xml:space="preserve">UNDP is not </w:t>
      </w:r>
      <w:proofErr w:type="gramStart"/>
      <w:r w:rsidRPr="0C95EC3E">
        <w:rPr>
          <w:rFonts w:eastAsia="SimSun" w:cs="Times New Roman"/>
          <w:sz w:val="20"/>
          <w:szCs w:val="20"/>
          <w:lang w:val="en-US"/>
        </w:rPr>
        <w:t>in a position</w:t>
      </w:r>
      <w:proofErr w:type="gramEnd"/>
      <w:r w:rsidRPr="0C95EC3E">
        <w:rPr>
          <w:rFonts w:eastAsia="SimSun" w:cs="Times New Roman"/>
          <w:sz w:val="20"/>
          <w:szCs w:val="20"/>
          <w:lang w:val="en-US"/>
        </w:rPr>
        <w:t xml:space="preserve"> to increase the total budget above the amount approved by the </w:t>
      </w:r>
      <w:r w:rsidR="5265A9B8" w:rsidRPr="0C95EC3E">
        <w:rPr>
          <w:rFonts w:eastAsia="SimSun" w:cs="Times New Roman"/>
          <w:sz w:val="20"/>
          <w:szCs w:val="20"/>
          <w:lang w:val="en-US"/>
        </w:rPr>
        <w:t>donor;</w:t>
      </w:r>
      <w:r w:rsidRPr="0C95EC3E">
        <w:rPr>
          <w:rFonts w:eastAsia="SimSun" w:cs="Times New Roman"/>
          <w:sz w:val="20"/>
          <w:szCs w:val="20"/>
          <w:lang w:val="en-US"/>
        </w:rPr>
        <w:t xml:space="preserve"> </w:t>
      </w:r>
      <w:r w:rsidR="175F9502" w:rsidRPr="0C95EC3E">
        <w:rPr>
          <w:rFonts w:eastAsia="SimSun" w:cs="Times New Roman"/>
          <w:sz w:val="20"/>
          <w:szCs w:val="20"/>
          <w:lang w:val="en-US"/>
        </w:rPr>
        <w:t>therefore,</w:t>
      </w:r>
      <w:r w:rsidRPr="0C95EC3E">
        <w:rPr>
          <w:rFonts w:eastAsia="SimSun" w:cs="Times New Roman"/>
          <w:sz w:val="20"/>
          <w:szCs w:val="20"/>
          <w:lang w:val="en-US"/>
        </w:rPr>
        <w:t xml:space="preserve"> any over-expenditure would have to be absorbed from non-GEF resources by the Implementing Partner (GEF Executing Entity)</w:t>
      </w:r>
    </w:p>
    <w:p w14:paraId="07C25071" w14:textId="77777777" w:rsidR="00E2683D" w:rsidRPr="008533E7" w:rsidRDefault="00E2683D" w:rsidP="00E2683D">
      <w:pPr>
        <w:spacing w:after="0" w:line="240" w:lineRule="auto"/>
        <w:jc w:val="both"/>
        <w:rPr>
          <w:rFonts w:eastAsia="SimSun" w:cs="Times New Roman"/>
          <w:sz w:val="20"/>
          <w:szCs w:val="24"/>
          <w:u w:val="single"/>
          <w:lang w:val="en-US"/>
        </w:rPr>
      </w:pPr>
    </w:p>
    <w:p w14:paraId="4494C6FC" w14:textId="01603361" w:rsidR="00E2683D" w:rsidRPr="00D46BBC" w:rsidRDefault="28DDBC49" w:rsidP="00E2683D">
      <w:pPr>
        <w:spacing w:after="0" w:line="240" w:lineRule="auto"/>
        <w:jc w:val="both"/>
        <w:rPr>
          <w:rFonts w:eastAsia="SimSun" w:cs="Times New Roman"/>
          <w:color w:val="000000"/>
          <w:sz w:val="20"/>
          <w:szCs w:val="20"/>
          <w:shd w:val="clear" w:color="auto" w:fill="FFFFFF"/>
          <w:lang w:val="en-US"/>
        </w:rPr>
      </w:pPr>
      <w:r w:rsidRPr="00485F0E">
        <w:rPr>
          <w:rFonts w:eastAsia="SimSun" w:cs="Arial"/>
          <w:b/>
          <w:bCs/>
          <w:noProof/>
          <w:sz w:val="20"/>
          <w:szCs w:val="20"/>
          <w:u w:val="single"/>
          <w:lang w:val="en-GB" w:eastAsia="zh-CN"/>
        </w:rPr>
        <w:t>Project extensions</w:t>
      </w:r>
      <w:r w:rsidRPr="00485F0E">
        <w:rPr>
          <w:rFonts w:eastAsia="SimSun" w:cs="Arial"/>
          <w:b/>
          <w:bCs/>
          <w:noProof/>
          <w:sz w:val="20"/>
          <w:szCs w:val="20"/>
          <w:lang w:val="en-GB" w:eastAsia="zh-CN"/>
        </w:rPr>
        <w:t xml:space="preserve">: </w:t>
      </w:r>
      <w:r w:rsidRPr="00E2683D">
        <w:rPr>
          <w:rFonts w:eastAsia="SimSun" w:cs="Times New Roman"/>
          <w:color w:val="000000"/>
          <w:sz w:val="20"/>
          <w:szCs w:val="20"/>
          <w:shd w:val="clear" w:color="auto" w:fill="FFFFFF"/>
          <w:lang w:val="en-US"/>
        </w:rPr>
        <w:t>The UNDP-</w:t>
      </w:r>
      <w:r w:rsidRPr="00E2683D">
        <w:rPr>
          <w:rFonts w:eastAsia="SimSun" w:cs="Times New Roman"/>
          <w:color w:val="000000"/>
          <w:sz w:val="20"/>
          <w:szCs w:val="20"/>
          <w:lang w:val="en-US"/>
        </w:rPr>
        <w:t xml:space="preserve">BPPS-NCE team </w:t>
      </w:r>
      <w:r w:rsidRPr="00E2683D">
        <w:rPr>
          <w:rFonts w:eastAsia="SimSun" w:cs="Times New Roman"/>
          <w:color w:val="000000"/>
          <w:sz w:val="20"/>
          <w:szCs w:val="20"/>
          <w:shd w:val="clear" w:color="auto" w:fill="FFFFFF"/>
          <w:lang w:val="en-US"/>
        </w:rPr>
        <w:t>Executive Coordinator must approve all requests for </w:t>
      </w:r>
      <w:r w:rsidRPr="00E2683D">
        <w:rPr>
          <w:rFonts w:eastAsia="SimSun" w:cs="Times New Roman"/>
          <w:color w:val="000000"/>
          <w:sz w:val="20"/>
          <w:szCs w:val="20"/>
          <w:bdr w:val="none" w:sz="0" w:space="0" w:color="auto" w:frame="1"/>
          <w:lang w:val="en-US"/>
        </w:rPr>
        <w:t>extension</w:t>
      </w:r>
      <w:r w:rsidRPr="00E2683D">
        <w:rPr>
          <w:rFonts w:eastAsia="SimSun" w:cs="Times New Roman"/>
          <w:color w:val="000000"/>
          <w:sz w:val="20"/>
          <w:szCs w:val="20"/>
          <w:shd w:val="clear" w:color="auto" w:fill="FFFFFF"/>
          <w:lang w:val="en-US"/>
        </w:rPr>
        <w:t> of the Project Completion Date and for other milestone </w:t>
      </w:r>
      <w:r w:rsidRPr="00E2683D">
        <w:rPr>
          <w:rFonts w:eastAsia="SimSun" w:cs="Times New Roman"/>
          <w:color w:val="000000"/>
          <w:sz w:val="20"/>
          <w:szCs w:val="20"/>
          <w:bdr w:val="none" w:sz="0" w:space="0" w:color="auto" w:frame="1"/>
          <w:lang w:val="en-US"/>
        </w:rPr>
        <w:t>extension</w:t>
      </w:r>
      <w:r w:rsidRPr="00E2683D">
        <w:rPr>
          <w:rFonts w:eastAsia="SimSun" w:cs="Times New Roman"/>
          <w:color w:val="000000"/>
          <w:sz w:val="20"/>
          <w:szCs w:val="20"/>
          <w:shd w:val="clear" w:color="auto" w:fill="FFFFFF"/>
          <w:lang w:val="en-US"/>
        </w:rPr>
        <w:t xml:space="preserve">s with hard deadlines. </w:t>
      </w:r>
      <w:r w:rsidRPr="00D46BBC">
        <w:rPr>
          <w:rFonts w:eastAsia="SimSun" w:cs="Times New Roman"/>
          <w:color w:val="000000"/>
          <w:sz w:val="20"/>
          <w:szCs w:val="20"/>
          <w:lang w:val="en-US"/>
        </w:rPr>
        <w:t>A</w:t>
      </w:r>
      <w:r w:rsidRPr="00D46BBC">
        <w:rPr>
          <w:rFonts w:eastAsia="SimSun" w:cs="Times New Roman"/>
          <w:color w:val="000000"/>
          <w:sz w:val="20"/>
          <w:szCs w:val="20"/>
          <w:shd w:val="clear" w:color="auto" w:fill="FFFFFF"/>
          <w:lang w:val="en-US"/>
        </w:rPr>
        <w:t>ll </w:t>
      </w:r>
      <w:r w:rsidRPr="00D46BBC">
        <w:rPr>
          <w:rFonts w:eastAsia="SimSun" w:cs="Times New Roman"/>
          <w:color w:val="000000"/>
          <w:sz w:val="20"/>
          <w:szCs w:val="20"/>
          <w:bdr w:val="none" w:sz="0" w:space="0" w:color="auto" w:frame="1"/>
          <w:lang w:val="en-US"/>
        </w:rPr>
        <w:t>extension</w:t>
      </w:r>
      <w:r w:rsidRPr="00D46BBC">
        <w:rPr>
          <w:rFonts w:eastAsia="SimSun" w:cs="Times New Roman"/>
          <w:color w:val="000000"/>
          <w:sz w:val="20"/>
          <w:szCs w:val="20"/>
          <w:shd w:val="clear" w:color="auto" w:fill="FFFFFF"/>
          <w:lang w:val="en-US"/>
        </w:rPr>
        <w:t xml:space="preserve">s </w:t>
      </w:r>
      <w:r w:rsidRPr="00D46BBC">
        <w:rPr>
          <w:rFonts w:eastAsia="SimSun" w:cs="Times New Roman"/>
          <w:color w:val="000000"/>
          <w:sz w:val="20"/>
          <w:szCs w:val="20"/>
          <w:lang w:val="en-US"/>
        </w:rPr>
        <w:t xml:space="preserve">impose additional time and </w:t>
      </w:r>
      <w:r w:rsidRPr="00D46BBC">
        <w:rPr>
          <w:rFonts w:eastAsia="SimSun" w:cs="Times New Roman"/>
          <w:color w:val="000000"/>
          <w:sz w:val="20"/>
          <w:szCs w:val="20"/>
          <w:shd w:val="clear" w:color="auto" w:fill="FFFFFF"/>
          <w:lang w:val="en-US"/>
        </w:rPr>
        <w:t>cost</w:t>
      </w:r>
      <w:r w:rsidRPr="00D46BBC">
        <w:rPr>
          <w:rFonts w:eastAsia="SimSun" w:cs="Times New Roman"/>
          <w:color w:val="000000"/>
          <w:sz w:val="20"/>
          <w:szCs w:val="20"/>
          <w:lang w:val="en-US"/>
        </w:rPr>
        <w:t xml:space="preserve"> burdens at all </w:t>
      </w:r>
      <w:r w:rsidR="158117CF" w:rsidRPr="00D46BBC">
        <w:rPr>
          <w:rFonts w:eastAsia="SimSun" w:cs="Times New Roman"/>
          <w:color w:val="000000"/>
          <w:sz w:val="20"/>
          <w:szCs w:val="20"/>
          <w:lang w:val="en-US"/>
        </w:rPr>
        <w:t>levels,</w:t>
      </w:r>
      <w:r w:rsidRPr="00D46BBC">
        <w:rPr>
          <w:rFonts w:eastAsia="SimSun" w:cs="Times New Roman"/>
          <w:color w:val="000000"/>
          <w:sz w:val="20"/>
          <w:szCs w:val="20"/>
          <w:shd w:val="clear" w:color="auto" w:fill="FFFFFF"/>
          <w:lang w:val="en-US"/>
        </w:rPr>
        <w:t xml:space="preserve"> and the GEF project budget cannot be increased</w:t>
      </w:r>
      <w:r w:rsidRPr="00D46BBC">
        <w:rPr>
          <w:rFonts w:eastAsia="SimSun" w:cs="Times New Roman"/>
          <w:color w:val="000000"/>
          <w:sz w:val="20"/>
          <w:szCs w:val="20"/>
          <w:lang w:val="en-US"/>
        </w:rPr>
        <w:t xml:space="preserve"> beyond its originally approved amount</w:t>
      </w:r>
      <w:r w:rsidRPr="00D46BBC">
        <w:rPr>
          <w:rFonts w:eastAsia="SimSun" w:cs="Times New Roman"/>
          <w:color w:val="000000"/>
          <w:sz w:val="20"/>
          <w:szCs w:val="20"/>
          <w:shd w:val="clear" w:color="auto" w:fill="FFFFFF"/>
          <w:lang w:val="en-US"/>
        </w:rPr>
        <w:t>. A single </w:t>
      </w:r>
      <w:r w:rsidRPr="00D46BBC">
        <w:rPr>
          <w:rFonts w:eastAsia="SimSun" w:cs="Times New Roman"/>
          <w:color w:val="000000"/>
          <w:sz w:val="20"/>
          <w:szCs w:val="20"/>
          <w:bdr w:val="none" w:sz="0" w:space="0" w:color="auto" w:frame="1"/>
          <w:lang w:val="en-US"/>
        </w:rPr>
        <w:t>extension</w:t>
      </w:r>
      <w:r w:rsidRPr="00D46BBC">
        <w:rPr>
          <w:rFonts w:eastAsia="SimSun" w:cs="Times New Roman"/>
          <w:color w:val="000000"/>
          <w:sz w:val="20"/>
          <w:szCs w:val="20"/>
          <w:shd w:val="clear" w:color="auto" w:fill="FFFFFF"/>
          <w:lang w:val="en-US"/>
        </w:rPr>
        <w:t> may be granted on an exceptional basis and subject to the conditions and maximum durations set out in the UNDP POPP</w:t>
      </w:r>
      <w:r w:rsidRPr="00D46BBC">
        <w:rPr>
          <w:rFonts w:eastAsia="SimSun" w:cs="Times New Roman"/>
          <w:color w:val="000000"/>
          <w:sz w:val="20"/>
          <w:szCs w:val="20"/>
          <w:lang w:val="en-US"/>
        </w:rPr>
        <w:t>.</w:t>
      </w:r>
      <w:r w:rsidRPr="00D46BBC" w:rsidDel="00D8450B">
        <w:rPr>
          <w:rFonts w:eastAsia="SimSun" w:cs="Times New Roman"/>
          <w:color w:val="000000"/>
          <w:sz w:val="20"/>
          <w:szCs w:val="20"/>
          <w:lang w:val="en-US"/>
        </w:rPr>
        <w:t xml:space="preserve"> </w:t>
      </w:r>
      <w:r w:rsidRPr="00D46BBC">
        <w:rPr>
          <w:rFonts w:eastAsia="SimSun" w:cs="Times New Roman"/>
          <w:color w:val="000000"/>
          <w:sz w:val="20"/>
          <w:szCs w:val="20"/>
          <w:lang w:val="en-US"/>
        </w:rPr>
        <w:t xml:space="preserve">The </w:t>
      </w:r>
      <w:r w:rsidRPr="00D46BBC">
        <w:rPr>
          <w:rFonts w:eastAsia="SimSun" w:cs="Times New Roman"/>
          <w:color w:val="000000"/>
          <w:sz w:val="20"/>
          <w:szCs w:val="20"/>
          <w:shd w:val="clear" w:color="auto" w:fill="FFFFFF"/>
          <w:lang w:val="en-US"/>
        </w:rPr>
        <w:t>project management costs during the </w:t>
      </w:r>
      <w:r w:rsidRPr="00D46BBC">
        <w:rPr>
          <w:rFonts w:eastAsia="SimSun" w:cs="Times New Roman"/>
          <w:color w:val="000000"/>
          <w:sz w:val="20"/>
          <w:szCs w:val="20"/>
          <w:bdr w:val="none" w:sz="0" w:space="0" w:color="auto" w:frame="1"/>
          <w:lang w:val="en-US"/>
        </w:rPr>
        <w:t>extension</w:t>
      </w:r>
      <w:r w:rsidRPr="00D46BBC">
        <w:rPr>
          <w:rFonts w:eastAsia="SimSun" w:cs="Times New Roman"/>
          <w:color w:val="000000"/>
          <w:sz w:val="20"/>
          <w:szCs w:val="20"/>
          <w:shd w:val="clear" w:color="auto" w:fill="FFFFFF"/>
          <w:lang w:val="en-US"/>
        </w:rPr>
        <w:t xml:space="preserve"> period must remain within the originally approved amount, and any increase in PMC costs </w:t>
      </w:r>
      <w:r w:rsidRPr="00D46BBC">
        <w:rPr>
          <w:rFonts w:eastAsia="SimSun" w:cs="Times New Roman"/>
          <w:color w:val="000000"/>
          <w:sz w:val="20"/>
          <w:szCs w:val="20"/>
          <w:lang w:val="en-US"/>
        </w:rPr>
        <w:t xml:space="preserve">shall </w:t>
      </w:r>
      <w:r w:rsidRPr="00D46BBC">
        <w:rPr>
          <w:rFonts w:eastAsia="SimSun" w:cs="Times New Roman"/>
          <w:color w:val="000000"/>
          <w:sz w:val="20"/>
          <w:szCs w:val="20"/>
          <w:shd w:val="clear" w:color="auto" w:fill="FFFFFF"/>
          <w:lang w:val="en-US"/>
        </w:rPr>
        <w:t>be covered by non-GEF resources; the additional UNDP oversight costs during the </w:t>
      </w:r>
      <w:r w:rsidRPr="00D46BBC">
        <w:rPr>
          <w:rFonts w:eastAsia="SimSun" w:cs="Times New Roman"/>
          <w:color w:val="000000"/>
          <w:sz w:val="20"/>
          <w:szCs w:val="20"/>
          <w:bdr w:val="none" w:sz="0" w:space="0" w:color="auto" w:frame="1"/>
          <w:lang w:val="en-US"/>
        </w:rPr>
        <w:t>extension</w:t>
      </w:r>
      <w:r w:rsidRPr="00D46BBC">
        <w:rPr>
          <w:rFonts w:eastAsia="SimSun" w:cs="Times New Roman"/>
          <w:color w:val="000000"/>
          <w:sz w:val="20"/>
          <w:szCs w:val="20"/>
          <w:shd w:val="clear" w:color="auto" w:fill="FFFFFF"/>
          <w:lang w:val="en-US"/>
        </w:rPr>
        <w:t xml:space="preserve"> period must be covered by non-GEF resources, in accordance with UNDP’s </w:t>
      </w:r>
      <w:r w:rsidRPr="00D46BBC">
        <w:rPr>
          <w:rFonts w:eastAsia="SimSun" w:cs="Times New Roman"/>
          <w:color w:val="000000"/>
          <w:sz w:val="20"/>
          <w:szCs w:val="20"/>
          <w:lang w:val="en-US"/>
        </w:rPr>
        <w:t xml:space="preserve">policy as </w:t>
      </w:r>
      <w:r w:rsidRPr="00D46BBC">
        <w:rPr>
          <w:rFonts w:eastAsia="SimSun" w:cs="Times New Roman"/>
          <w:color w:val="000000"/>
          <w:sz w:val="20"/>
          <w:szCs w:val="20"/>
          <w:shd w:val="clear" w:color="auto" w:fill="FFFFFF"/>
          <w:lang w:val="en-US"/>
        </w:rPr>
        <w:t>set out in UNDP POPP.</w:t>
      </w:r>
    </w:p>
    <w:p w14:paraId="1AA27EEA" w14:textId="77777777" w:rsidR="00E2683D" w:rsidRPr="00D46BBC" w:rsidRDefault="00E2683D" w:rsidP="00E2683D">
      <w:pPr>
        <w:spacing w:after="0" w:line="240" w:lineRule="auto"/>
        <w:jc w:val="both"/>
        <w:rPr>
          <w:rFonts w:eastAsia="SimSun" w:cs="Times New Roman"/>
          <w:color w:val="000000"/>
          <w:sz w:val="20"/>
          <w:szCs w:val="20"/>
          <w:shd w:val="clear" w:color="auto" w:fill="FFFFFF"/>
          <w:lang w:val="en-US"/>
        </w:rPr>
      </w:pPr>
    </w:p>
    <w:p w14:paraId="66EB8C34" w14:textId="77777777" w:rsidR="00E2683D" w:rsidRPr="00D46BBC" w:rsidRDefault="28DDBC49" w:rsidP="00E2683D">
      <w:pPr>
        <w:spacing w:after="0" w:line="240" w:lineRule="auto"/>
        <w:jc w:val="both"/>
        <w:rPr>
          <w:rFonts w:eastAsia="SimSun" w:cs="Times New Roman"/>
          <w:sz w:val="20"/>
          <w:szCs w:val="20"/>
          <w:lang w:val="en-US"/>
        </w:rPr>
      </w:pPr>
      <w:r w:rsidRPr="5D8904BE">
        <w:rPr>
          <w:rFonts w:eastAsia="SimSun" w:cs="Times New Roman"/>
          <w:sz w:val="20"/>
          <w:szCs w:val="20"/>
          <w:lang w:val="en-US"/>
        </w:rPr>
        <w:t xml:space="preserve">For any extension request, UNDP CO and IP will consult and jointly present a clear plan indicating how and from which specific sources the additional oversight costs that will be incurred by UNDP will be covered during the extended period. The BPPS-NCE Executive Coordinator will consult the Regional </w:t>
      </w:r>
      <w:proofErr w:type="spellStart"/>
      <w:r w:rsidRPr="5D8904BE">
        <w:rPr>
          <w:rFonts w:eastAsia="SimSun" w:cs="Times New Roman"/>
          <w:sz w:val="20"/>
          <w:szCs w:val="20"/>
          <w:lang w:val="en-US"/>
        </w:rPr>
        <w:t>Bureaux</w:t>
      </w:r>
      <w:proofErr w:type="spellEnd"/>
      <w:r w:rsidRPr="5D8904BE">
        <w:rPr>
          <w:rFonts w:eastAsia="SimSun" w:cs="Times New Roman"/>
          <w:sz w:val="20"/>
          <w:szCs w:val="20"/>
          <w:lang w:val="en-US"/>
        </w:rPr>
        <w:t xml:space="preserve"> (RBX) and may reject the extension request if no (external co-financing by the IP or internal UNDP CO resources) can be identified.</w:t>
      </w:r>
    </w:p>
    <w:p w14:paraId="756EA5BE" w14:textId="77777777" w:rsidR="00E2683D" w:rsidRPr="00D46BBC" w:rsidRDefault="00E2683D" w:rsidP="00E2683D">
      <w:pPr>
        <w:spacing w:after="0" w:line="240" w:lineRule="auto"/>
        <w:jc w:val="both"/>
        <w:rPr>
          <w:rFonts w:eastAsia="SimSun" w:cs="Times New Roman"/>
          <w:sz w:val="20"/>
          <w:szCs w:val="24"/>
          <w:lang w:val="en-US"/>
        </w:rPr>
      </w:pPr>
    </w:p>
    <w:p w14:paraId="30D957B8" w14:textId="77777777" w:rsidR="00E2683D" w:rsidRPr="00D46BBC" w:rsidRDefault="28DDBC49" w:rsidP="00E2683D">
      <w:pPr>
        <w:spacing w:after="0" w:line="240" w:lineRule="auto"/>
        <w:jc w:val="both"/>
        <w:rPr>
          <w:rFonts w:eastAsia="SimSun" w:cs="Times New Roman"/>
          <w:sz w:val="20"/>
          <w:szCs w:val="20"/>
          <w:lang w:val="en-US"/>
        </w:rPr>
      </w:pPr>
      <w:r w:rsidRPr="5D8904BE">
        <w:rPr>
          <w:rFonts w:eastAsia="SimSun" w:cs="Times New Roman"/>
          <w:sz w:val="20"/>
          <w:szCs w:val="20"/>
          <w:lang w:val="en-US"/>
        </w:rPr>
        <w:t>All extension requests, along with all supporting documentation, shall be submitted by the IP to the UNDP CO in line with the requirements and within the deadlines set out in the UNDP SOPs and policies in UNDP POPP.</w:t>
      </w:r>
    </w:p>
    <w:p w14:paraId="1D0704B0" w14:textId="77777777" w:rsidR="00E2683D" w:rsidRPr="00485F0E" w:rsidRDefault="00E2683D" w:rsidP="00E2683D">
      <w:pPr>
        <w:spacing w:after="0" w:line="240" w:lineRule="auto"/>
        <w:jc w:val="both"/>
        <w:rPr>
          <w:rFonts w:eastAsia="SimSun" w:cs="Arial"/>
          <w:noProof/>
          <w:sz w:val="20"/>
          <w:szCs w:val="20"/>
          <w:lang w:val="en-GB" w:eastAsia="zh-CN"/>
        </w:rPr>
      </w:pPr>
    </w:p>
    <w:p w14:paraId="314B9B6C" w14:textId="2D6738C1" w:rsidR="00E2683D" w:rsidRPr="00D46BBC" w:rsidRDefault="28DDBC49" w:rsidP="00E2683D">
      <w:pPr>
        <w:spacing w:after="0" w:line="240" w:lineRule="auto"/>
        <w:jc w:val="both"/>
        <w:rPr>
          <w:rFonts w:eastAsia="SimSun"/>
          <w:sz w:val="20"/>
          <w:szCs w:val="20"/>
          <w:lang w:val="en-US"/>
        </w:rPr>
      </w:pPr>
      <w:r w:rsidRPr="5D8904BE">
        <w:rPr>
          <w:rFonts w:eastAsia="SimSun"/>
          <w:b/>
          <w:bCs/>
          <w:sz w:val="20"/>
          <w:szCs w:val="20"/>
          <w:u w:val="single"/>
          <w:lang w:val="en-US"/>
        </w:rPr>
        <w:t>Audit</w:t>
      </w:r>
      <w:r w:rsidRPr="5D8904BE">
        <w:rPr>
          <w:rFonts w:eastAsia="SimSun"/>
          <w:b/>
          <w:bCs/>
          <w:sz w:val="20"/>
          <w:szCs w:val="20"/>
          <w:lang w:val="en-US"/>
        </w:rPr>
        <w:t>:</w:t>
      </w:r>
      <w:r w:rsidRPr="5D8904BE">
        <w:rPr>
          <w:rFonts w:eastAsia="SimSun"/>
          <w:sz w:val="20"/>
          <w:szCs w:val="20"/>
          <w:lang w:val="en-US"/>
        </w:rPr>
        <w:t xml:space="preserve"> 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r w:rsidRPr="5D8904BE">
        <w:rPr>
          <w:rFonts w:eastAsia="SimSun"/>
          <w:i/>
          <w:iCs/>
          <w:sz w:val="20"/>
          <w:szCs w:val="20"/>
          <w:lang w:val="en-US"/>
        </w:rPr>
        <w:t xml:space="preserve"> The costs for audit cannot be included under M&amp;E component and budget and must be included under PMC</w:t>
      </w:r>
      <w:r w:rsidR="32B0DEF2" w:rsidRPr="5D8904BE">
        <w:rPr>
          <w:rFonts w:eastAsia="SimSun"/>
          <w:i/>
          <w:iCs/>
          <w:sz w:val="20"/>
          <w:szCs w:val="20"/>
          <w:lang w:val="en-US"/>
        </w:rPr>
        <w:t>.</w:t>
      </w:r>
    </w:p>
    <w:p w14:paraId="3C963CA6" w14:textId="77777777" w:rsidR="00E2683D" w:rsidRPr="00D46BBC" w:rsidRDefault="00E2683D" w:rsidP="00E2683D">
      <w:pPr>
        <w:spacing w:after="0" w:line="240" w:lineRule="auto"/>
        <w:jc w:val="both"/>
        <w:rPr>
          <w:rFonts w:eastAsia="SimSun" w:cs="Times New Roman"/>
          <w:sz w:val="20"/>
          <w:szCs w:val="24"/>
          <w:u w:val="single"/>
          <w:lang w:val="en-US"/>
        </w:rPr>
      </w:pPr>
    </w:p>
    <w:p w14:paraId="6AA191E8" w14:textId="288C6D23" w:rsidR="00E2683D" w:rsidRPr="00E72C29" w:rsidRDefault="1B904BE0" w:rsidP="00E2683D">
      <w:pPr>
        <w:spacing w:after="60" w:line="240" w:lineRule="auto"/>
        <w:jc w:val="both"/>
        <w:rPr>
          <w:rFonts w:eastAsia="SimSun" w:cs="Times New Roman"/>
          <w:sz w:val="20"/>
          <w:szCs w:val="20"/>
          <w:lang w:val="en-US"/>
        </w:rPr>
      </w:pPr>
      <w:r w:rsidRPr="24AA8F7E">
        <w:rPr>
          <w:rFonts w:eastAsia="SimSun" w:cs="Times New Roman"/>
          <w:b/>
          <w:bCs/>
          <w:sz w:val="20"/>
          <w:szCs w:val="20"/>
          <w:u w:val="single"/>
          <w:lang w:val="en-US"/>
        </w:rPr>
        <w:t>Transfer or disposal of assets</w:t>
      </w:r>
      <w:r w:rsidRPr="00D46BBC">
        <w:rPr>
          <w:rFonts w:eastAsia="SimSun" w:cs="Times New Roman"/>
          <w:sz w:val="20"/>
          <w:szCs w:val="20"/>
          <w:lang w:val="en-US"/>
        </w:rPr>
        <w:t xml:space="preserve">: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w:t>
      </w:r>
      <w:r w:rsidR="5BE002CA" w:rsidRPr="3D58A386">
        <w:rPr>
          <w:rFonts w:eastAsia="SimSun" w:cs="Times New Roman"/>
          <w:sz w:val="20"/>
          <w:szCs w:val="20"/>
          <w:lang w:val="en-US"/>
        </w:rPr>
        <w:t>project;</w:t>
      </w:r>
      <w:r w:rsidRPr="00D46BBC">
        <w:rPr>
          <w:rFonts w:eastAsia="SimSun" w:cs="Times New Roman"/>
          <w:sz w:val="20"/>
          <w:szCs w:val="20"/>
          <w:lang w:val="en-US"/>
        </w:rPr>
        <w:t xml:space="preserve"> </w:t>
      </w:r>
      <w:r w:rsidR="46D63FE7" w:rsidRPr="3D58A386">
        <w:rPr>
          <w:rFonts w:eastAsia="SimSun" w:cs="Times New Roman"/>
          <w:sz w:val="20"/>
          <w:szCs w:val="20"/>
          <w:lang w:val="en-US"/>
        </w:rPr>
        <w:t>however,</w:t>
      </w:r>
      <w:r w:rsidRPr="00D46BBC">
        <w:rPr>
          <w:rFonts w:eastAsia="SimSun" w:cs="Times New Roman"/>
          <w:sz w:val="20"/>
          <w:szCs w:val="20"/>
          <w:lang w:val="en-US"/>
        </w:rPr>
        <w:t xml:space="preserve"> </w:t>
      </w:r>
      <w:r w:rsidRPr="00D46BBC">
        <w:rPr>
          <w:rFonts w:eastAsia="SimSun" w:cs="Times New Roman"/>
          <w:b/>
          <w:bCs/>
          <w:sz w:val="20"/>
          <w:szCs w:val="20"/>
          <w:lang w:val="en-US"/>
        </w:rPr>
        <w:t xml:space="preserve">must be </w:t>
      </w:r>
      <w:r w:rsidRPr="24AA8F7E">
        <w:rPr>
          <w:rFonts w:eastAsia="SimSun" w:cs="Times New Roman"/>
          <w:b/>
          <w:bCs/>
          <w:sz w:val="20"/>
          <w:szCs w:val="20"/>
          <w:lang w:val="en-US"/>
        </w:rPr>
        <w:t>done before the operational closure date</w:t>
      </w:r>
      <w:r w:rsidRPr="00D46BBC">
        <w:rPr>
          <w:rFonts w:eastAsia="SimSun" w:cs="Times New Roman"/>
          <w:sz w:val="20"/>
          <w:szCs w:val="20"/>
          <w:lang w:val="en-US"/>
        </w:rPr>
        <w:t xml:space="preserve">. In all cases of transfer, a </w:t>
      </w:r>
      <w:r w:rsidRPr="00D46BBC">
        <w:rPr>
          <w:rFonts w:eastAsia="SimSun" w:cs="Times New Roman"/>
          <w:sz w:val="20"/>
          <w:szCs w:val="20"/>
          <w:lang w:val="en-US"/>
        </w:rPr>
        <w:lastRenderedPageBreak/>
        <w:t>transfer document must be prepared and kept on file</w:t>
      </w:r>
      <w:r w:rsidR="00E2683D" w:rsidRPr="00485F0E">
        <w:rPr>
          <w:rFonts w:eastAsia="SimSun" w:cs="Times New Roman"/>
          <w:sz w:val="20"/>
          <w:szCs w:val="20"/>
          <w:vertAlign w:val="superscript"/>
        </w:rPr>
        <w:footnoteReference w:id="33"/>
      </w:r>
      <w:r w:rsidRPr="00D46BBC">
        <w:rPr>
          <w:rFonts w:eastAsia="SimSun" w:cs="Times New Roman"/>
          <w:sz w:val="20"/>
          <w:szCs w:val="20"/>
          <w:lang w:val="en-US"/>
        </w:rPr>
        <w:t xml:space="preserve">. </w:t>
      </w:r>
      <w:r w:rsidRPr="00E72C29">
        <w:rPr>
          <w:rFonts w:eastAsia="SimSun" w:cs="Times New Roman"/>
          <w:sz w:val="20"/>
          <w:szCs w:val="20"/>
          <w:lang w:val="en-US"/>
        </w:rPr>
        <w:t xml:space="preserve">The transfer should be done before </w:t>
      </w:r>
      <w:r w:rsidR="56A17839" w:rsidRPr="3D58A386">
        <w:rPr>
          <w:rFonts w:eastAsia="SimSun" w:cs="Times New Roman"/>
          <w:sz w:val="20"/>
          <w:szCs w:val="20"/>
          <w:lang w:val="en-US"/>
        </w:rPr>
        <w:t>the Project</w:t>
      </w:r>
      <w:r w:rsidRPr="00E72C29">
        <w:rPr>
          <w:rFonts w:eastAsia="SimSun" w:cs="Times New Roman"/>
          <w:sz w:val="20"/>
          <w:szCs w:val="20"/>
          <w:lang w:val="en-US"/>
        </w:rPr>
        <w:t xml:space="preserve"> Management Unit </w:t>
      </w:r>
      <w:r w:rsidR="3A1A2965" w:rsidRPr="3D58A386">
        <w:rPr>
          <w:rFonts w:eastAsia="SimSun" w:cs="Times New Roman"/>
          <w:sz w:val="20"/>
          <w:szCs w:val="20"/>
          <w:lang w:val="en-US"/>
        </w:rPr>
        <w:t>completes</w:t>
      </w:r>
      <w:r w:rsidRPr="00E72C29">
        <w:rPr>
          <w:rFonts w:eastAsia="SimSun" w:cs="Times New Roman"/>
          <w:sz w:val="20"/>
          <w:szCs w:val="20"/>
          <w:lang w:val="en-US"/>
        </w:rPr>
        <w:t xml:space="preserve"> their assignments.</w:t>
      </w:r>
    </w:p>
    <w:p w14:paraId="536756CF" w14:textId="77777777" w:rsidR="00E2683D" w:rsidRPr="00E72C29" w:rsidRDefault="00E2683D" w:rsidP="00E2683D">
      <w:pPr>
        <w:spacing w:after="0" w:line="240" w:lineRule="auto"/>
        <w:jc w:val="both"/>
        <w:rPr>
          <w:rFonts w:eastAsia="SimSun" w:cs="Arial"/>
          <w:sz w:val="20"/>
          <w:szCs w:val="24"/>
          <w:lang w:val="en-US"/>
        </w:rPr>
      </w:pPr>
    </w:p>
    <w:p w14:paraId="3E7A21C2" w14:textId="2E4397EE" w:rsidR="00E2683D" w:rsidRPr="00E72C29" w:rsidRDefault="00E2683D" w:rsidP="00E2683D">
      <w:pPr>
        <w:spacing w:after="0" w:line="240" w:lineRule="auto"/>
        <w:jc w:val="both"/>
        <w:rPr>
          <w:rFonts w:eastAsia="SimSun" w:cs="Times New Roman"/>
          <w:sz w:val="20"/>
          <w:szCs w:val="20"/>
          <w:u w:val="single"/>
          <w:lang w:val="en-US"/>
        </w:rPr>
      </w:pPr>
      <w:r w:rsidRPr="0C95EC3E">
        <w:rPr>
          <w:rFonts w:eastAsia="SimSun" w:cs="Times New Roman"/>
          <w:b/>
          <w:bCs/>
          <w:sz w:val="20"/>
          <w:szCs w:val="20"/>
          <w:u w:val="single"/>
          <w:lang w:val="en-US"/>
        </w:rPr>
        <w:t xml:space="preserve">Completion Date: </w:t>
      </w:r>
      <w:r w:rsidRPr="0C95EC3E">
        <w:rPr>
          <w:rFonts w:eastAsia="SimSun" w:cs="Times New Roman"/>
          <w:sz w:val="20"/>
          <w:szCs w:val="20"/>
          <w:lang w:val="en-US"/>
        </w:rPr>
        <w:t xml:space="preserve">The project completion date is the date of Project Document Signature plus project duration. This date can only be extended through a formal extension request. Prior to completion date, all UNDP-financed inputs must be provided and related activities for the Project </w:t>
      </w:r>
      <w:r w:rsidR="61DC5948" w:rsidRPr="0C95EC3E">
        <w:rPr>
          <w:rFonts w:eastAsia="SimSun" w:cs="Times New Roman"/>
          <w:sz w:val="20"/>
          <w:szCs w:val="20"/>
          <w:lang w:val="en-US"/>
        </w:rPr>
        <w:t>to be completed</w:t>
      </w:r>
      <w:r w:rsidRPr="0C95EC3E">
        <w:rPr>
          <w:rFonts w:eastAsia="SimSun" w:cs="Times New Roman"/>
          <w:sz w:val="20"/>
          <w:szCs w:val="20"/>
          <w:lang w:val="en-US"/>
        </w:rPr>
        <w:t xml:space="preserve">. No activities, except for the final clearance of the Terminal Evaluation Report and the corresponding management response and the end-of-project review Project Board Meeting should take place after the Completion Date. </w:t>
      </w:r>
    </w:p>
    <w:p w14:paraId="6E6DF228" w14:textId="77777777" w:rsidR="00E2683D" w:rsidRPr="00E72C29" w:rsidRDefault="00E2683D" w:rsidP="00E2683D">
      <w:pPr>
        <w:spacing w:after="0" w:line="240" w:lineRule="auto"/>
        <w:jc w:val="both"/>
        <w:rPr>
          <w:rFonts w:eastAsia="SimSun" w:cs="Times New Roman"/>
          <w:sz w:val="20"/>
          <w:szCs w:val="24"/>
          <w:u w:val="single"/>
          <w:lang w:val="en-US"/>
        </w:rPr>
      </w:pPr>
    </w:p>
    <w:p w14:paraId="0AEFCAD7" w14:textId="77777777" w:rsidR="00E2683D" w:rsidRPr="00E72C29" w:rsidRDefault="00E2683D" w:rsidP="00E2683D">
      <w:pPr>
        <w:spacing w:after="0" w:line="240" w:lineRule="auto"/>
        <w:jc w:val="both"/>
        <w:rPr>
          <w:rFonts w:eastAsia="SimSun" w:cs="Arial"/>
          <w:sz w:val="20"/>
          <w:szCs w:val="20"/>
          <w:lang w:val="en-US"/>
        </w:rPr>
      </w:pPr>
      <w:r w:rsidRPr="00E72C29">
        <w:rPr>
          <w:rFonts w:eastAsia="SimSun" w:cs="Times New Roman"/>
          <w:b/>
          <w:bCs/>
          <w:sz w:val="20"/>
          <w:szCs w:val="20"/>
          <w:u w:val="single"/>
          <w:lang w:val="en-US"/>
        </w:rPr>
        <w:t>Project Closure</w:t>
      </w:r>
      <w:r w:rsidRPr="00E72C29">
        <w:rPr>
          <w:rFonts w:eastAsia="SimSun" w:cs="Times New Roman"/>
          <w:sz w:val="20"/>
          <w:szCs w:val="20"/>
          <w:lang w:val="en-US"/>
        </w:rPr>
        <w:t>: Project closure will be conducted as per UNDP requirements outlined in the UNDP POPP. All c</w:t>
      </w:r>
      <w:r w:rsidRPr="00E72C29">
        <w:rPr>
          <w:rFonts w:eastAsia="SimSun" w:cs="Arial"/>
          <w:sz w:val="20"/>
          <w:szCs w:val="20"/>
          <w:lang w:val="en-US"/>
        </w:rPr>
        <w:t xml:space="preserve">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2C455992" w14:textId="77777777" w:rsidR="00E2683D" w:rsidRPr="00E72C29" w:rsidRDefault="00E2683D" w:rsidP="00E2683D">
      <w:pPr>
        <w:spacing w:after="0" w:line="240" w:lineRule="auto"/>
        <w:jc w:val="both"/>
        <w:rPr>
          <w:rFonts w:eastAsia="SimSun" w:cs="Arial"/>
          <w:sz w:val="20"/>
          <w:szCs w:val="20"/>
          <w:lang w:val="en-US"/>
        </w:rPr>
      </w:pPr>
    </w:p>
    <w:p w14:paraId="7B8A0A1B" w14:textId="77777777" w:rsidR="00E2683D" w:rsidRPr="00E72C29" w:rsidRDefault="00E2683D" w:rsidP="001360BB">
      <w:pPr>
        <w:numPr>
          <w:ilvl w:val="0"/>
          <w:numId w:val="284"/>
        </w:numPr>
        <w:spacing w:after="0" w:line="240" w:lineRule="auto"/>
        <w:jc w:val="both"/>
        <w:rPr>
          <w:rFonts w:eastAsia="SimSun" w:cs="Times New Roman"/>
          <w:sz w:val="20"/>
          <w:szCs w:val="20"/>
          <w:lang w:val="en-US"/>
        </w:rPr>
      </w:pPr>
      <w:r w:rsidRPr="00E72C29">
        <w:rPr>
          <w:rFonts w:eastAsia="SimSun" w:cs="Times New Roman"/>
          <w:b/>
          <w:sz w:val="20"/>
          <w:szCs w:val="20"/>
          <w:u w:val="single"/>
          <w:lang w:val="en-US"/>
        </w:rPr>
        <w:t>Operational Closure</w:t>
      </w:r>
      <w:r w:rsidRPr="00E72C29">
        <w:rPr>
          <w:rFonts w:eastAsia="SimSun" w:cs="Times New Roman"/>
          <w:sz w:val="20"/>
          <w:szCs w:val="20"/>
          <w:lang w:val="en-US"/>
        </w:rPr>
        <w:t>:</w:t>
      </w:r>
      <w:r w:rsidRPr="00E72C29" w:rsidDel="0035635E">
        <w:rPr>
          <w:rFonts w:eastAsia="SimSun" w:cs="Times New Roman"/>
          <w:sz w:val="20"/>
          <w:szCs w:val="20"/>
          <w:lang w:val="en-US"/>
        </w:rPr>
        <w:t xml:space="preserve"> </w:t>
      </w:r>
      <w:r w:rsidRPr="00E72C29">
        <w:rPr>
          <w:rFonts w:eastAsia="SimSun" w:cs="Times New Roman"/>
          <w:b/>
          <w:sz w:val="20"/>
          <w:szCs w:val="20"/>
          <w:lang w:val="en-US"/>
        </w:rPr>
        <w:t>Operational closure must happen within 9 months from project completion date</w:t>
      </w:r>
      <w:r w:rsidRPr="00E72C29">
        <w:rPr>
          <w:rFonts w:eastAsia="SimSun" w:cs="Times New Roman"/>
          <w:b/>
          <w:bCs/>
          <w:sz w:val="20"/>
          <w:szCs w:val="20"/>
          <w:lang w:val="en-US"/>
        </w:rPr>
        <w:t>.</w:t>
      </w:r>
      <w:r w:rsidRPr="00E72C29">
        <w:rPr>
          <w:rFonts w:eastAsia="SimSun" w:cs="Times New Roman"/>
          <w:b/>
          <w:sz w:val="20"/>
          <w:szCs w:val="20"/>
          <w:lang w:val="en-US"/>
        </w:rPr>
        <w:t xml:space="preserve"> </w:t>
      </w:r>
      <w:r w:rsidRPr="00E72C29">
        <w:rPr>
          <w:rFonts w:eastAsia="SimSun" w:cs="Times New Roman"/>
          <w:sz w:val="20"/>
          <w:szCs w:val="20"/>
          <w:lang w:val="en-US"/>
        </w:rPr>
        <w:t xml:space="preserve">Prior to operational closure, the Terminal Evaluation must have been </w:t>
      </w:r>
      <w:proofErr w:type="gramStart"/>
      <w:r w:rsidRPr="00E72C29">
        <w:rPr>
          <w:rFonts w:eastAsia="SimSun" w:cs="Times New Roman"/>
          <w:sz w:val="20"/>
          <w:szCs w:val="20"/>
          <w:lang w:val="en-US"/>
        </w:rPr>
        <w:t>submitted</w:t>
      </w:r>
      <w:proofErr w:type="gramEnd"/>
      <w:r w:rsidRPr="00E72C29">
        <w:rPr>
          <w:rFonts w:eastAsia="SimSun" w:cs="Times New Roman"/>
          <w:sz w:val="20"/>
          <w:szCs w:val="20"/>
          <w:lang w:val="en-US"/>
        </w:rPr>
        <w:t xml:space="preserve"> and the corresponding TE management response and the end-of-project review Project Board meeting must have been completed.</w:t>
      </w:r>
      <w:r w:rsidRPr="00E72C29" w:rsidDel="00FA33C0">
        <w:rPr>
          <w:rFonts w:eastAsia="SimSun" w:cs="Times New Roman"/>
          <w:sz w:val="20"/>
          <w:szCs w:val="20"/>
          <w:lang w:val="en-US"/>
        </w:rPr>
        <w:t xml:space="preserve"> </w:t>
      </w:r>
      <w:r w:rsidRPr="00E72C29">
        <w:rPr>
          <w:rFonts w:eastAsia="SimSun" w:cs="Times New Roman"/>
          <w:sz w:val="20"/>
          <w:szCs w:val="20"/>
          <w:lang w:val="en-US"/>
        </w:rPr>
        <w:t xml:space="preserve">The Implementing Partner through a Project Board decision will notify the UNDP Country Office when operational closure has been completed. Before Operational Closure, the project must have completed the transfer or disposal of any equipment that is still the property of UNDP. </w:t>
      </w:r>
    </w:p>
    <w:p w14:paraId="79B2A65D" w14:textId="77777777" w:rsidR="00E2683D" w:rsidRPr="00E72C29" w:rsidRDefault="00E2683D" w:rsidP="001360BB">
      <w:pPr>
        <w:numPr>
          <w:ilvl w:val="0"/>
          <w:numId w:val="284"/>
        </w:numPr>
        <w:spacing w:after="0" w:line="240" w:lineRule="auto"/>
        <w:jc w:val="both"/>
        <w:rPr>
          <w:rFonts w:eastAsia="SimSun" w:cs="Times New Roman"/>
          <w:sz w:val="20"/>
          <w:szCs w:val="20"/>
          <w:lang w:val="en-US"/>
        </w:rPr>
      </w:pPr>
      <w:r w:rsidRPr="00E72C29">
        <w:rPr>
          <w:rFonts w:eastAsia="SimSun" w:cs="Times New Roman"/>
          <w:b/>
          <w:sz w:val="20"/>
          <w:szCs w:val="20"/>
          <w:u w:val="single"/>
          <w:lang w:val="en-US"/>
        </w:rPr>
        <w:t>Financial</w:t>
      </w:r>
      <w:r w:rsidRPr="00E72C29">
        <w:rPr>
          <w:rFonts w:eastAsia="SimSun" w:cs="Times New Roman"/>
          <w:b/>
          <w:bCs/>
          <w:sz w:val="20"/>
          <w:szCs w:val="20"/>
          <w:u w:val="single"/>
          <w:lang w:val="en-US"/>
        </w:rPr>
        <w:t xml:space="preserve"> Closure</w:t>
      </w:r>
      <w:r w:rsidRPr="00E72C29">
        <w:rPr>
          <w:rFonts w:eastAsia="SimSun" w:cs="Times New Roman"/>
          <w:b/>
          <w:bCs/>
          <w:sz w:val="20"/>
          <w:szCs w:val="20"/>
          <w:lang w:val="en-US"/>
        </w:rPr>
        <w:t>:</w:t>
      </w:r>
      <w:r w:rsidRPr="00E72C29">
        <w:rPr>
          <w:rFonts w:eastAsia="SimSun" w:cs="Times New Roman"/>
          <w:sz w:val="20"/>
          <w:szCs w:val="20"/>
          <w:lang w:val="en-US"/>
        </w:rPr>
        <w:t xml:space="preserve"> </w:t>
      </w:r>
      <w:r w:rsidRPr="00E72C29">
        <w:rPr>
          <w:rFonts w:eastAsia="SimSun" w:cs="Times New Roman"/>
          <w:b/>
          <w:sz w:val="20"/>
          <w:szCs w:val="20"/>
          <w:lang w:val="en-US"/>
        </w:rPr>
        <w:t>Financial closure must happen within 6 months of operational closure or after the date of cancellation.</w:t>
      </w:r>
      <w:r w:rsidRPr="00E72C29">
        <w:rPr>
          <w:rFonts w:eastAsia="SimSun" w:cs="Times New Roman"/>
          <w:sz w:val="20"/>
          <w:szCs w:val="20"/>
          <w:lang w:val="en-US"/>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55A54807" w14:textId="77777777" w:rsidR="00E2683D" w:rsidRPr="00E72C29" w:rsidRDefault="00E2683D" w:rsidP="00E2683D">
      <w:pPr>
        <w:spacing w:after="0" w:line="240" w:lineRule="auto"/>
        <w:ind w:left="720"/>
        <w:rPr>
          <w:rFonts w:eastAsia="SimSun" w:cs="Times New Roman"/>
          <w:sz w:val="20"/>
          <w:szCs w:val="20"/>
          <w:lang w:val="en-US"/>
        </w:rPr>
      </w:pPr>
      <w:r w:rsidRPr="00E72C29">
        <w:rPr>
          <w:rFonts w:eastAsia="SimSun" w:cs="Times New Roman"/>
          <w:sz w:val="20"/>
          <w:szCs w:val="20"/>
          <w:lang w:val="en-US"/>
        </w:rPr>
        <w:t xml:space="preserve">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BPPS/NCE for confirmation before the project will be financially closed in Quantum by the UNDP Country Office. </w:t>
      </w:r>
    </w:p>
    <w:p w14:paraId="40C91354" w14:textId="77777777" w:rsidR="00E2683D" w:rsidRPr="00E72C29" w:rsidRDefault="00E2683D" w:rsidP="00E2683D">
      <w:pPr>
        <w:spacing w:after="0" w:line="240" w:lineRule="auto"/>
        <w:jc w:val="both"/>
        <w:rPr>
          <w:rFonts w:eastAsia="SimSun" w:cs="Times New Roman"/>
          <w:sz w:val="20"/>
          <w:szCs w:val="24"/>
          <w:lang w:val="en-US"/>
        </w:rPr>
      </w:pPr>
    </w:p>
    <w:p w14:paraId="7CF74EBC" w14:textId="4B71891C" w:rsidR="00E2683D" w:rsidRPr="00E72C29" w:rsidRDefault="00E2683D" w:rsidP="00E2683D">
      <w:pPr>
        <w:spacing w:after="0" w:line="240" w:lineRule="auto"/>
        <w:jc w:val="both"/>
        <w:rPr>
          <w:rFonts w:eastAsia="SimSun" w:cs="Times New Roman"/>
          <w:sz w:val="20"/>
          <w:szCs w:val="20"/>
          <w:lang w:val="en-US"/>
        </w:rPr>
      </w:pPr>
      <w:r w:rsidRPr="00E72C29">
        <w:rPr>
          <w:rFonts w:eastAsia="SimSun" w:cs="Times New Roman"/>
          <w:b/>
          <w:sz w:val="20"/>
          <w:szCs w:val="24"/>
          <w:u w:val="single"/>
          <w:lang w:val="en-US"/>
        </w:rPr>
        <w:t>Cancellation and Suspension:</w:t>
      </w:r>
      <w:r w:rsidRPr="00E72C29">
        <w:rPr>
          <w:rFonts w:eastAsia="SimSun" w:cs="Times New Roman"/>
          <w:sz w:val="20"/>
          <w:szCs w:val="24"/>
          <w:lang w:val="en-US"/>
        </w:rPr>
        <w:t xml:space="preserve"> </w:t>
      </w:r>
      <w:r w:rsidRPr="00E72C29">
        <w:rPr>
          <w:rFonts w:eastAsia="SimSun" w:cs="Times New Roman"/>
          <w:sz w:val="20"/>
          <w:szCs w:val="20"/>
          <w:lang w:val="en-US"/>
        </w:rPr>
        <w:t>All projects considering going through cancellation or suspension must follow UNDP and GEF requirements. Guidance can be found in the UNDP POPP (</w:t>
      </w:r>
      <w:r>
        <w:fldChar w:fldCharType="begin"/>
      </w:r>
      <w:r w:rsidRPr="00F50786">
        <w:rPr>
          <w:lang w:val="en-US"/>
          <w:rPrChange w:id="62" w:author="Ali Sambou" w:date="2026-01-06T13:27:00Z" w16du:dateUtc="2026-01-06T13:27:00Z">
            <w:rPr/>
          </w:rPrChange>
        </w:rPr>
        <w:instrText>HYPERLINK "https://jtouil-my.sharepoint.com/node/1796"</w:instrText>
      </w:r>
      <w:r>
        <w:fldChar w:fldCharType="separate"/>
      </w:r>
      <w:r w:rsidRPr="00E72C29">
        <w:rPr>
          <w:rFonts w:eastAsia="SimSun" w:cs="Times New Roman"/>
          <w:color w:val="0000FF"/>
          <w:sz w:val="20"/>
          <w:szCs w:val="20"/>
          <w:u w:val="single"/>
          <w:lang w:val="en-US"/>
        </w:rPr>
        <w:t>SOPs for management actions of Vertical Fund projects escalated to the Executive Coordinator</w:t>
      </w:r>
      <w:r>
        <w:fldChar w:fldCharType="end"/>
      </w:r>
      <w:r w:rsidRPr="00E72C29">
        <w:rPr>
          <w:rFonts w:eastAsia="SimSun" w:cs="Times New Roman"/>
          <w:sz w:val="20"/>
          <w:szCs w:val="20"/>
          <w:lang w:val="en-US"/>
        </w:rPr>
        <w:t xml:space="preserve"> and </w:t>
      </w:r>
      <w:r>
        <w:fldChar w:fldCharType="begin"/>
      </w:r>
      <w:r w:rsidRPr="00F50786">
        <w:rPr>
          <w:lang w:val="en-US"/>
          <w:rPrChange w:id="63" w:author="Ali Sambou" w:date="2026-01-06T13:27:00Z" w16du:dateUtc="2026-01-06T13:27:00Z">
            <w:rPr/>
          </w:rPrChange>
        </w:rPr>
        <w:instrText>HYPERLINK "https://jtouil-my.sharepoint.com/node/1681"</w:instrText>
      </w:r>
      <w:r>
        <w:fldChar w:fldCharType="separate"/>
      </w:r>
      <w:r w:rsidRPr="00E72C29">
        <w:rPr>
          <w:rFonts w:eastAsia="SimSun" w:cs="Times New Roman"/>
          <w:color w:val="0000FF"/>
          <w:sz w:val="20"/>
          <w:szCs w:val="20"/>
          <w:u w:val="single"/>
          <w:lang w:val="en-US"/>
        </w:rPr>
        <w:t>Guidance for GEF project revisions</w:t>
      </w:r>
      <w:r>
        <w:fldChar w:fldCharType="end"/>
      </w:r>
      <w:r w:rsidRPr="00E72C29">
        <w:rPr>
          <w:rFonts w:eastAsia="SimSun" w:cs="Times New Roman"/>
          <w:sz w:val="20"/>
          <w:szCs w:val="20"/>
          <w:lang w:val="en-US"/>
        </w:rPr>
        <w:t xml:space="preserve">). </w:t>
      </w:r>
    </w:p>
    <w:p w14:paraId="36947E9B" w14:textId="77777777" w:rsidR="00E2683D" w:rsidRPr="00E72C29" w:rsidRDefault="00E2683D" w:rsidP="00E2683D">
      <w:pPr>
        <w:spacing w:after="0" w:line="240" w:lineRule="auto"/>
        <w:jc w:val="both"/>
        <w:rPr>
          <w:rFonts w:eastAsia="SimSun" w:cs="Times New Roman"/>
          <w:sz w:val="20"/>
          <w:szCs w:val="20"/>
          <w:lang w:val="en-US"/>
        </w:rPr>
      </w:pPr>
    </w:p>
    <w:p w14:paraId="79C9C0F8" w14:textId="77777777" w:rsidR="00E2683D" w:rsidRPr="00E72C29" w:rsidRDefault="00E2683D" w:rsidP="00E2683D">
      <w:pPr>
        <w:spacing w:after="0" w:line="240" w:lineRule="auto"/>
        <w:jc w:val="both"/>
        <w:rPr>
          <w:rFonts w:eastAsia="SimSun" w:cs="Times New Roman"/>
          <w:sz w:val="20"/>
          <w:szCs w:val="24"/>
          <w:lang w:val="en-US"/>
        </w:rPr>
      </w:pPr>
      <w:r w:rsidRPr="00E72C29">
        <w:rPr>
          <w:rFonts w:eastAsia="SimSun" w:cs="Times New Roman"/>
          <w:b/>
          <w:bCs/>
          <w:sz w:val="20"/>
          <w:szCs w:val="24"/>
          <w:u w:val="single"/>
          <w:lang w:val="en-US"/>
        </w:rPr>
        <w:t>Refund to GEF:</w:t>
      </w:r>
      <w:r w:rsidRPr="00E72C29">
        <w:rPr>
          <w:rFonts w:eastAsia="SimSun" w:cs="Times New Roman"/>
          <w:sz w:val="20"/>
          <w:szCs w:val="24"/>
          <w:lang w:val="en-US"/>
        </w:rPr>
        <w:t xml:space="preserve"> Should a refund of unspent funds to the GEF be necessary, this will be managed directly by the BPPS/NCE team Directorate in New York. No action is required by the UNDP Country Office on the actual refund from UNDP project to the GEF. Unspent project balance is not permitted to be transferred to any other projects. </w:t>
      </w:r>
    </w:p>
    <w:p w14:paraId="4BFCE0EE" w14:textId="77777777" w:rsidR="00E2683D" w:rsidRPr="00E72C29" w:rsidRDefault="00E2683D" w:rsidP="00E2683D">
      <w:pPr>
        <w:spacing w:after="0" w:line="240" w:lineRule="auto"/>
        <w:jc w:val="both"/>
        <w:rPr>
          <w:rFonts w:eastAsia="SimSun" w:cs="Times New Roman"/>
          <w:sz w:val="20"/>
          <w:szCs w:val="20"/>
          <w:lang w:val="en-US"/>
        </w:rPr>
      </w:pPr>
    </w:p>
    <w:p w14:paraId="41816830" w14:textId="77777777" w:rsidR="00E2683D" w:rsidRPr="00E72C29" w:rsidRDefault="00E2683D">
      <w:pPr>
        <w:pBdr>
          <w:top w:val="single" w:sz="4" w:space="1" w:color="000000"/>
        </w:pBdr>
        <w:rPr>
          <w:sz w:val="20"/>
          <w:szCs w:val="20"/>
          <w:lang w:val="en-US"/>
        </w:rPr>
      </w:pPr>
    </w:p>
    <w:p w14:paraId="00000C56" w14:textId="77777777" w:rsidR="004F7DB3" w:rsidRPr="00E72C29" w:rsidRDefault="00C00123">
      <w:pPr>
        <w:rPr>
          <w:sz w:val="20"/>
          <w:szCs w:val="20"/>
          <w:lang w:val="en-US"/>
        </w:rPr>
        <w:sectPr w:rsidR="004F7DB3" w:rsidRPr="00E72C29">
          <w:headerReference w:type="first" r:id="rId49"/>
          <w:pgSz w:w="11906" w:h="16838"/>
          <w:pgMar w:top="1418" w:right="1418" w:bottom="1418" w:left="1418" w:header="709" w:footer="709" w:gutter="0"/>
          <w:cols w:space="720"/>
        </w:sectPr>
      </w:pPr>
      <w:r w:rsidRPr="00E72C29">
        <w:rPr>
          <w:lang w:val="en-US"/>
        </w:rPr>
        <w:br w:type="page"/>
      </w:r>
    </w:p>
    <w:p w14:paraId="5A88E5A3" w14:textId="09CC62F8" w:rsidR="00B54D4D" w:rsidRDefault="3630EF93" w:rsidP="537FA187">
      <w:pPr>
        <w:pStyle w:val="Heading11"/>
        <w:pBdr>
          <w:top w:val="single" w:sz="4" w:space="0" w:color="auto"/>
        </w:pBdr>
        <w:rPr>
          <w:lang w:val="en-US"/>
        </w:rPr>
      </w:pPr>
      <w:bookmarkStart w:id="64" w:name="_Toc200477841"/>
      <w:bookmarkStart w:id="65" w:name="_Toc1837952097"/>
      <w:r w:rsidRPr="537FA187">
        <w:rPr>
          <w:lang w:val="en-US"/>
        </w:rPr>
        <w:lastRenderedPageBreak/>
        <w:t>T</w:t>
      </w:r>
      <w:r w:rsidR="640EE1CA" w:rsidRPr="537FA187">
        <w:rPr>
          <w:lang w:val="en-US"/>
        </w:rPr>
        <w:t>otal Budget and Work Plan</w:t>
      </w:r>
      <w:bookmarkEnd w:id="64"/>
      <w:r w:rsidR="178DD574" w:rsidRPr="537FA187">
        <w:rPr>
          <w:lang w:val="en-US"/>
        </w:rPr>
        <w:t xml:space="preserve"> </w:t>
      </w:r>
      <w:bookmarkEnd w:id="65"/>
    </w:p>
    <w:tbl>
      <w:tblPr>
        <w:tblW w:w="0" w:type="auto"/>
        <w:tblLayout w:type="fixed"/>
        <w:tblLook w:val="06A0" w:firstRow="1" w:lastRow="0" w:firstColumn="1" w:lastColumn="0" w:noHBand="1" w:noVBand="1"/>
      </w:tblPr>
      <w:tblGrid>
        <w:gridCol w:w="3007"/>
        <w:gridCol w:w="2093"/>
        <w:gridCol w:w="1873"/>
        <w:gridCol w:w="6787"/>
      </w:tblGrid>
      <w:tr w:rsidR="537FA187" w:rsidRPr="00F50786" w14:paraId="6935E963" w14:textId="77777777" w:rsidTr="000C10AF">
        <w:trPr>
          <w:trHeight w:val="285"/>
        </w:trPr>
        <w:tc>
          <w:tcPr>
            <w:tcW w:w="13760"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bottom"/>
          </w:tcPr>
          <w:p w14:paraId="3CD64709" w14:textId="4191003F" w:rsidR="537FA187" w:rsidRPr="00C6418F" w:rsidRDefault="7FE73E79" w:rsidP="00C6418F">
            <w:pPr>
              <w:spacing w:after="60"/>
              <w:jc w:val="both"/>
              <w:rPr>
                <w:b/>
                <w:bCs/>
                <w:color w:val="000000" w:themeColor="text1"/>
                <w:sz w:val="18"/>
                <w:szCs w:val="18"/>
                <w:lang w:val="en-US"/>
              </w:rPr>
            </w:pPr>
            <w:r w:rsidRPr="1A8B662A">
              <w:rPr>
                <w:b/>
                <w:bCs/>
                <w:color w:val="000000" w:themeColor="text1"/>
                <w:sz w:val="18"/>
                <w:szCs w:val="18"/>
                <w:lang w:val="en-US"/>
              </w:rPr>
              <w:t>Total Budget and Work Plan</w:t>
            </w:r>
          </w:p>
        </w:tc>
      </w:tr>
      <w:tr w:rsidR="537FA187" w14:paraId="3F5C7454" w14:textId="77777777" w:rsidTr="000C10AF">
        <w:trPr>
          <w:trHeight w:val="285"/>
        </w:trPr>
        <w:tc>
          <w:tcPr>
            <w:tcW w:w="300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14E957D" w14:textId="20C5CEC8" w:rsidR="537FA187" w:rsidRDefault="537FA187" w:rsidP="00C6418F">
            <w:pPr>
              <w:spacing w:after="60"/>
              <w:jc w:val="both"/>
              <w:rPr>
                <w:color w:val="000000" w:themeColor="text1"/>
                <w:sz w:val="18"/>
                <w:szCs w:val="18"/>
              </w:rPr>
            </w:pPr>
            <w:r w:rsidRPr="537FA187">
              <w:rPr>
                <w:color w:val="000000" w:themeColor="text1"/>
                <w:sz w:val="18"/>
                <w:szCs w:val="18"/>
              </w:rPr>
              <w:t>Quantum Business Unit</w:t>
            </w:r>
          </w:p>
        </w:tc>
        <w:tc>
          <w:tcPr>
            <w:tcW w:w="10753" w:type="dxa"/>
            <w:gridSpan w:val="3"/>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829EFE9" w14:textId="79F04D94" w:rsidR="537FA187" w:rsidRDefault="537FA187" w:rsidP="00C6418F">
            <w:pPr>
              <w:spacing w:after="60"/>
              <w:jc w:val="both"/>
              <w:rPr>
                <w:color w:val="000000" w:themeColor="text1"/>
                <w:sz w:val="18"/>
                <w:szCs w:val="18"/>
              </w:rPr>
            </w:pPr>
            <w:r w:rsidRPr="537FA187">
              <w:rPr>
                <w:color w:val="000000" w:themeColor="text1"/>
                <w:sz w:val="18"/>
                <w:szCs w:val="18"/>
              </w:rPr>
              <w:t>UNDP-</w:t>
            </w:r>
            <w:r w:rsidR="29DE610A" w:rsidRPr="537FA187">
              <w:rPr>
                <w:color w:val="000000" w:themeColor="text1"/>
                <w:sz w:val="18"/>
                <w:szCs w:val="18"/>
              </w:rPr>
              <w:t>M</w:t>
            </w:r>
            <w:r w:rsidR="00C6418F">
              <w:rPr>
                <w:color w:val="000000" w:themeColor="text1"/>
                <w:sz w:val="18"/>
                <w:szCs w:val="18"/>
              </w:rPr>
              <w:t>LI</w:t>
            </w:r>
          </w:p>
        </w:tc>
      </w:tr>
      <w:tr w:rsidR="537FA187" w:rsidRPr="00F50786" w14:paraId="635BAA6A" w14:textId="77777777" w:rsidTr="000C10AF">
        <w:trPr>
          <w:trHeight w:val="285"/>
        </w:trPr>
        <w:tc>
          <w:tcPr>
            <w:tcW w:w="300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bottom"/>
          </w:tcPr>
          <w:p w14:paraId="6DAB22DA" w14:textId="507BB79E" w:rsidR="537FA187" w:rsidRDefault="537FA187" w:rsidP="00C6418F">
            <w:pPr>
              <w:spacing w:after="60"/>
              <w:jc w:val="both"/>
              <w:rPr>
                <w:color w:val="000000" w:themeColor="text1"/>
                <w:sz w:val="18"/>
                <w:szCs w:val="18"/>
              </w:rPr>
            </w:pPr>
            <w:r w:rsidRPr="537FA187">
              <w:rPr>
                <w:color w:val="000000" w:themeColor="text1"/>
                <w:sz w:val="18"/>
                <w:szCs w:val="18"/>
              </w:rPr>
              <w:t xml:space="preserve">Quantum Project </w:t>
            </w:r>
            <w:proofErr w:type="gramStart"/>
            <w:r w:rsidRPr="537FA187">
              <w:rPr>
                <w:color w:val="000000" w:themeColor="text1"/>
                <w:sz w:val="18"/>
                <w:szCs w:val="18"/>
              </w:rPr>
              <w:t>ID:</w:t>
            </w:r>
            <w:proofErr w:type="gramEnd"/>
            <w:r w:rsidRPr="537FA187">
              <w:rPr>
                <w:color w:val="000000" w:themeColor="text1"/>
                <w:sz w:val="18"/>
                <w:szCs w:val="18"/>
              </w:rPr>
              <w:t xml:space="preserve"> </w:t>
            </w:r>
          </w:p>
        </w:tc>
        <w:tc>
          <w:tcPr>
            <w:tcW w:w="209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bottom"/>
          </w:tcPr>
          <w:p w14:paraId="7BB5FC87" w14:textId="08447E4E" w:rsidR="537FA187" w:rsidRPr="00CD72B6" w:rsidRDefault="00DC5A41" w:rsidP="00C6418F">
            <w:pPr>
              <w:spacing w:after="60"/>
              <w:jc w:val="both"/>
              <w:rPr>
                <w:sz w:val="18"/>
                <w:szCs w:val="18"/>
                <w:highlight w:val="yellow"/>
              </w:rPr>
            </w:pPr>
            <w:r>
              <w:rPr>
                <w:sz w:val="18"/>
                <w:szCs w:val="18"/>
                <w:highlight w:val="yellow"/>
              </w:rPr>
              <w:t>01004564</w:t>
            </w:r>
          </w:p>
        </w:tc>
        <w:tc>
          <w:tcPr>
            <w:tcW w:w="1873"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F763CAF" w14:textId="561AB038" w:rsidR="537FA187" w:rsidRPr="00CD72B6" w:rsidRDefault="537FA187" w:rsidP="00C6418F">
            <w:pPr>
              <w:spacing w:after="60"/>
              <w:jc w:val="both"/>
              <w:rPr>
                <w:color w:val="000000" w:themeColor="text1"/>
                <w:sz w:val="18"/>
                <w:szCs w:val="18"/>
                <w:highlight w:val="yellow"/>
              </w:rPr>
            </w:pPr>
            <w:r w:rsidRPr="00CB6DB9">
              <w:rPr>
                <w:color w:val="000000" w:themeColor="text1"/>
                <w:sz w:val="18"/>
                <w:szCs w:val="18"/>
              </w:rPr>
              <w:t xml:space="preserve">Quantum Project </w:t>
            </w:r>
            <w:proofErr w:type="spellStart"/>
            <w:proofErr w:type="gramStart"/>
            <w:r w:rsidRPr="00CB6DB9">
              <w:rPr>
                <w:color w:val="000000" w:themeColor="text1"/>
                <w:sz w:val="18"/>
                <w:szCs w:val="18"/>
              </w:rPr>
              <w:t>Title</w:t>
            </w:r>
            <w:proofErr w:type="spellEnd"/>
            <w:r w:rsidRPr="00CB6DB9">
              <w:rPr>
                <w:color w:val="000000" w:themeColor="text1"/>
                <w:sz w:val="18"/>
                <w:szCs w:val="18"/>
              </w:rPr>
              <w:t>:</w:t>
            </w:r>
            <w:proofErr w:type="gramEnd"/>
          </w:p>
        </w:tc>
        <w:tc>
          <w:tcPr>
            <w:tcW w:w="6787"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bottom"/>
          </w:tcPr>
          <w:p w14:paraId="5FB94F6F" w14:textId="75788589" w:rsidR="537FA187" w:rsidRPr="00CD72B6" w:rsidRDefault="001407DD" w:rsidP="00C6418F">
            <w:pPr>
              <w:spacing w:after="60"/>
              <w:jc w:val="both"/>
              <w:rPr>
                <w:i/>
                <w:iCs/>
                <w:sz w:val="18"/>
                <w:szCs w:val="18"/>
                <w:highlight w:val="yellow"/>
                <w:lang w:val="en-US"/>
              </w:rPr>
            </w:pPr>
            <w:r w:rsidRPr="00CD72B6">
              <w:rPr>
                <w:sz w:val="18"/>
                <w:szCs w:val="18"/>
                <w:highlight w:val="yellow"/>
                <w:lang w:val="en-US"/>
              </w:rPr>
              <w:t>Integrated urban development Project (IUDP) in Bamako</w:t>
            </w:r>
          </w:p>
        </w:tc>
      </w:tr>
      <w:tr w:rsidR="537FA187" w14:paraId="56ECB716" w14:textId="77777777" w:rsidTr="000C10AF">
        <w:trPr>
          <w:trHeight w:val="285"/>
        </w:trPr>
        <w:tc>
          <w:tcPr>
            <w:tcW w:w="300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bottom"/>
          </w:tcPr>
          <w:p w14:paraId="4888580A" w14:textId="250E7D30" w:rsidR="537FA187" w:rsidRDefault="537FA187" w:rsidP="00C6418F">
            <w:pPr>
              <w:spacing w:after="60"/>
              <w:jc w:val="both"/>
              <w:rPr>
                <w:color w:val="000000" w:themeColor="text1"/>
                <w:sz w:val="18"/>
                <w:szCs w:val="18"/>
              </w:rPr>
            </w:pPr>
            <w:r w:rsidRPr="537FA187">
              <w:rPr>
                <w:color w:val="000000" w:themeColor="text1"/>
                <w:sz w:val="18"/>
                <w:szCs w:val="18"/>
              </w:rPr>
              <w:t xml:space="preserve">Quantum </w:t>
            </w:r>
            <w:proofErr w:type="spellStart"/>
            <w:r w:rsidRPr="537FA187">
              <w:rPr>
                <w:color w:val="000000" w:themeColor="text1"/>
                <w:sz w:val="18"/>
                <w:szCs w:val="18"/>
              </w:rPr>
              <w:t>Award</w:t>
            </w:r>
            <w:proofErr w:type="spellEnd"/>
            <w:r w:rsidRPr="537FA187">
              <w:rPr>
                <w:color w:val="000000" w:themeColor="text1"/>
                <w:sz w:val="18"/>
                <w:szCs w:val="18"/>
              </w:rPr>
              <w:t xml:space="preserve"> </w:t>
            </w:r>
            <w:proofErr w:type="gramStart"/>
            <w:r w:rsidRPr="537FA187">
              <w:rPr>
                <w:color w:val="000000" w:themeColor="text1"/>
                <w:sz w:val="18"/>
                <w:szCs w:val="18"/>
              </w:rPr>
              <w:t>ID:</w:t>
            </w:r>
            <w:proofErr w:type="gramEnd"/>
          </w:p>
        </w:tc>
        <w:tc>
          <w:tcPr>
            <w:tcW w:w="209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bottom"/>
          </w:tcPr>
          <w:p w14:paraId="4714C670" w14:textId="30BD25E9" w:rsidR="537FA187" w:rsidRDefault="00C6418F" w:rsidP="00C6418F">
            <w:pPr>
              <w:spacing w:after="60"/>
              <w:jc w:val="both"/>
              <w:rPr>
                <w:sz w:val="18"/>
                <w:szCs w:val="18"/>
              </w:rPr>
            </w:pPr>
            <w:r>
              <w:rPr>
                <w:sz w:val="18"/>
                <w:szCs w:val="18"/>
              </w:rPr>
              <w:t>TBC</w:t>
            </w:r>
          </w:p>
        </w:tc>
        <w:tc>
          <w:tcPr>
            <w:tcW w:w="187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3DD2502" w14:textId="665B8291" w:rsidR="537FA187" w:rsidRDefault="537FA187" w:rsidP="00C6418F">
            <w:pPr>
              <w:spacing w:after="60"/>
              <w:jc w:val="both"/>
              <w:rPr>
                <w:color w:val="000000" w:themeColor="text1"/>
                <w:sz w:val="18"/>
                <w:szCs w:val="18"/>
              </w:rPr>
            </w:pPr>
            <w:r w:rsidRPr="537FA187">
              <w:rPr>
                <w:color w:val="000000" w:themeColor="text1"/>
                <w:sz w:val="18"/>
                <w:szCs w:val="18"/>
              </w:rPr>
              <w:t xml:space="preserve">Quantum </w:t>
            </w:r>
            <w:proofErr w:type="spellStart"/>
            <w:r w:rsidRPr="537FA187">
              <w:rPr>
                <w:color w:val="000000" w:themeColor="text1"/>
                <w:sz w:val="18"/>
                <w:szCs w:val="18"/>
              </w:rPr>
              <w:t>Award</w:t>
            </w:r>
            <w:proofErr w:type="spellEnd"/>
            <w:r w:rsidRPr="537FA187">
              <w:rPr>
                <w:color w:val="000000" w:themeColor="text1"/>
                <w:sz w:val="18"/>
                <w:szCs w:val="18"/>
              </w:rPr>
              <w:t xml:space="preserve"> </w:t>
            </w:r>
            <w:proofErr w:type="spellStart"/>
            <w:proofErr w:type="gramStart"/>
            <w:r w:rsidRPr="537FA187">
              <w:rPr>
                <w:color w:val="000000" w:themeColor="text1"/>
                <w:sz w:val="18"/>
                <w:szCs w:val="18"/>
              </w:rPr>
              <w:t>Title</w:t>
            </w:r>
            <w:proofErr w:type="spellEnd"/>
            <w:r w:rsidRPr="537FA187">
              <w:rPr>
                <w:color w:val="000000" w:themeColor="text1"/>
                <w:sz w:val="18"/>
                <w:szCs w:val="18"/>
              </w:rPr>
              <w:t>:</w:t>
            </w:r>
            <w:proofErr w:type="gramEnd"/>
          </w:p>
        </w:tc>
        <w:tc>
          <w:tcPr>
            <w:tcW w:w="678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bottom"/>
          </w:tcPr>
          <w:p w14:paraId="480B57B0" w14:textId="5F5F66ED" w:rsidR="537FA187" w:rsidRDefault="00C6418F" w:rsidP="00C6418F">
            <w:pPr>
              <w:spacing w:after="60"/>
              <w:jc w:val="both"/>
              <w:rPr>
                <w:i/>
                <w:iCs/>
                <w:sz w:val="18"/>
                <w:szCs w:val="18"/>
              </w:rPr>
            </w:pPr>
            <w:r>
              <w:rPr>
                <w:sz w:val="18"/>
                <w:szCs w:val="18"/>
              </w:rPr>
              <w:t>TBC</w:t>
            </w:r>
          </w:p>
        </w:tc>
      </w:tr>
      <w:tr w:rsidR="537FA187" w14:paraId="06EA4667" w14:textId="77777777" w:rsidTr="000C10AF">
        <w:trPr>
          <w:trHeight w:val="285"/>
        </w:trPr>
        <w:tc>
          <w:tcPr>
            <w:tcW w:w="300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C15BE6C" w14:textId="57BB9955" w:rsidR="537FA187" w:rsidRDefault="537FA187" w:rsidP="00C6418F">
            <w:pPr>
              <w:spacing w:after="60"/>
              <w:jc w:val="both"/>
              <w:rPr>
                <w:color w:val="000000" w:themeColor="text1"/>
                <w:sz w:val="18"/>
                <w:szCs w:val="18"/>
              </w:rPr>
            </w:pPr>
            <w:r w:rsidRPr="537FA187">
              <w:rPr>
                <w:color w:val="000000" w:themeColor="text1"/>
                <w:sz w:val="18"/>
                <w:szCs w:val="18"/>
              </w:rPr>
              <w:t xml:space="preserve">UNDP-GEF PIMS No. </w:t>
            </w:r>
          </w:p>
        </w:tc>
        <w:tc>
          <w:tcPr>
            <w:tcW w:w="10753"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1067DCE" w14:textId="293F4886" w:rsidR="0D49CFB3" w:rsidRDefault="0D49CFB3" w:rsidP="00C6418F">
            <w:pPr>
              <w:spacing w:after="60"/>
              <w:jc w:val="both"/>
              <w:rPr>
                <w:color w:val="000000" w:themeColor="text1"/>
                <w:sz w:val="18"/>
                <w:szCs w:val="18"/>
              </w:rPr>
            </w:pPr>
            <w:r w:rsidRPr="537FA187">
              <w:rPr>
                <w:color w:val="000000" w:themeColor="text1"/>
                <w:sz w:val="18"/>
                <w:szCs w:val="18"/>
              </w:rPr>
              <w:t>9790</w:t>
            </w:r>
          </w:p>
        </w:tc>
      </w:tr>
      <w:tr w:rsidR="537FA187" w:rsidRPr="00F50786" w14:paraId="49DECB34" w14:textId="77777777" w:rsidTr="000C10AF">
        <w:trPr>
          <w:trHeight w:val="285"/>
        </w:trPr>
        <w:tc>
          <w:tcPr>
            <w:tcW w:w="300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764909E" w14:textId="5D3C653C" w:rsidR="537FA187" w:rsidRDefault="537FA187" w:rsidP="00C6418F">
            <w:pPr>
              <w:spacing w:after="60"/>
              <w:jc w:val="both"/>
              <w:rPr>
                <w:color w:val="000000" w:themeColor="text1"/>
                <w:sz w:val="18"/>
                <w:szCs w:val="18"/>
              </w:rPr>
            </w:pPr>
            <w:proofErr w:type="spellStart"/>
            <w:r w:rsidRPr="537FA187">
              <w:rPr>
                <w:color w:val="000000" w:themeColor="text1"/>
                <w:sz w:val="18"/>
                <w:szCs w:val="18"/>
              </w:rPr>
              <w:t>Implementing</w:t>
            </w:r>
            <w:proofErr w:type="spellEnd"/>
            <w:r w:rsidRPr="537FA187">
              <w:rPr>
                <w:color w:val="000000" w:themeColor="text1"/>
                <w:sz w:val="18"/>
                <w:szCs w:val="18"/>
              </w:rPr>
              <w:t xml:space="preserve"> Partner </w:t>
            </w:r>
          </w:p>
        </w:tc>
        <w:tc>
          <w:tcPr>
            <w:tcW w:w="10753"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42FE9C4" w14:textId="08A962ED" w:rsidR="37394A06" w:rsidRPr="00C6418F" w:rsidRDefault="20191677" w:rsidP="1A8B662A">
            <w:pPr>
              <w:spacing w:after="60"/>
              <w:jc w:val="both"/>
              <w:rPr>
                <w:i/>
                <w:iCs/>
                <w:color w:val="000000" w:themeColor="text1"/>
                <w:sz w:val="18"/>
                <w:szCs w:val="18"/>
                <w:lang w:val="en-US"/>
              </w:rPr>
            </w:pPr>
            <w:r w:rsidRPr="1A8B662A">
              <w:rPr>
                <w:i/>
                <w:iCs/>
                <w:color w:val="000000" w:themeColor="text1"/>
                <w:sz w:val="18"/>
                <w:szCs w:val="18"/>
                <w:lang w:val="en-US"/>
              </w:rPr>
              <w:t>National Directorate for Urban Planning and Habitat (NDUPH)</w:t>
            </w:r>
          </w:p>
        </w:tc>
      </w:tr>
    </w:tbl>
    <w:p w14:paraId="1BF362CA" w14:textId="3C9ABB88" w:rsidR="537FA187" w:rsidRDefault="537FA187" w:rsidP="537FA187">
      <w:pPr>
        <w:rPr>
          <w:lang w:val="en-US"/>
        </w:rPr>
      </w:pPr>
    </w:p>
    <w:tbl>
      <w:tblPr>
        <w:tblW w:w="5000" w:type="pct"/>
        <w:tblLook w:val="04A0" w:firstRow="1" w:lastRow="0" w:firstColumn="1" w:lastColumn="0" w:noHBand="0" w:noVBand="1"/>
      </w:tblPr>
      <w:tblGrid>
        <w:gridCol w:w="1072"/>
        <w:gridCol w:w="1036"/>
        <w:gridCol w:w="844"/>
        <w:gridCol w:w="711"/>
        <w:gridCol w:w="711"/>
        <w:gridCol w:w="753"/>
        <w:gridCol w:w="2038"/>
        <w:gridCol w:w="791"/>
        <w:gridCol w:w="791"/>
        <w:gridCol w:w="886"/>
        <w:gridCol w:w="886"/>
        <w:gridCol w:w="886"/>
        <w:gridCol w:w="791"/>
        <w:gridCol w:w="986"/>
        <w:gridCol w:w="590"/>
        <w:gridCol w:w="220"/>
      </w:tblGrid>
      <w:tr w:rsidR="00427DF8" w:rsidRPr="00427DF8" w14:paraId="7EF3E118" w14:textId="77777777" w:rsidTr="008D1647">
        <w:trPr>
          <w:gridAfter w:val="1"/>
          <w:wAfter w:w="79" w:type="pct"/>
          <w:trHeight w:val="1680"/>
        </w:trPr>
        <w:tc>
          <w:tcPr>
            <w:tcW w:w="383"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4C49939"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Components</w:t>
            </w:r>
          </w:p>
        </w:tc>
        <w:tc>
          <w:tcPr>
            <w:tcW w:w="370" w:type="pct"/>
            <w:tcBorders>
              <w:top w:val="single" w:sz="4" w:space="0" w:color="auto"/>
              <w:left w:val="nil"/>
              <w:bottom w:val="single" w:sz="4" w:space="0" w:color="auto"/>
              <w:right w:val="single" w:sz="4" w:space="0" w:color="auto"/>
            </w:tcBorders>
            <w:shd w:val="clear" w:color="000000" w:fill="D9D9D9"/>
            <w:vAlign w:val="center"/>
            <w:hideMark/>
          </w:tcPr>
          <w:p w14:paraId="35372096" w14:textId="77777777" w:rsidR="00427DF8" w:rsidRPr="00427DF8" w:rsidRDefault="00427DF8" w:rsidP="00427DF8">
            <w:pPr>
              <w:spacing w:after="0" w:line="240" w:lineRule="auto"/>
              <w:jc w:val="center"/>
              <w:rPr>
                <w:rFonts w:ascii="Aptos Narrow" w:eastAsia="Times New Roman" w:hAnsi="Aptos Narrow" w:cs="Times New Roman"/>
                <w:b/>
                <w:bCs/>
                <w:color w:val="000000"/>
                <w:sz w:val="16"/>
                <w:szCs w:val="16"/>
                <w:lang w:val="en-US" w:eastAsia="en-US"/>
              </w:rPr>
            </w:pPr>
            <w:r w:rsidRPr="00427DF8">
              <w:rPr>
                <w:rFonts w:ascii="Aptos Narrow" w:eastAsia="Times New Roman" w:hAnsi="Aptos Narrow" w:cs="Times New Roman"/>
                <w:b/>
                <w:bCs/>
                <w:color w:val="000000"/>
                <w:sz w:val="16"/>
                <w:szCs w:val="16"/>
                <w:lang w:val="en-US" w:eastAsia="en-US"/>
              </w:rPr>
              <w:t>Quantum Output and Activity</w:t>
            </w:r>
            <w:r w:rsidRPr="00427DF8">
              <w:rPr>
                <w:rFonts w:ascii="Aptos Narrow" w:eastAsia="Times New Roman" w:hAnsi="Aptos Narrow" w:cs="Times New Roman"/>
                <w:b/>
                <w:bCs/>
                <w:color w:val="000000"/>
                <w:sz w:val="16"/>
                <w:szCs w:val="16"/>
                <w:lang w:val="en-US" w:eastAsia="en-US"/>
              </w:rPr>
              <w:br/>
              <w:t>(GEF Outcome)</w:t>
            </w:r>
          </w:p>
        </w:tc>
        <w:tc>
          <w:tcPr>
            <w:tcW w:w="302" w:type="pct"/>
            <w:tcBorders>
              <w:top w:val="single" w:sz="4" w:space="0" w:color="auto"/>
              <w:left w:val="nil"/>
              <w:bottom w:val="single" w:sz="4" w:space="0" w:color="auto"/>
              <w:right w:val="single" w:sz="4" w:space="0" w:color="auto"/>
            </w:tcBorders>
            <w:shd w:val="clear" w:color="000000" w:fill="D9D9D9"/>
            <w:vAlign w:val="center"/>
            <w:hideMark/>
          </w:tcPr>
          <w:p w14:paraId="1EE9E9B2"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Quantum Responsible Party (UNDP, IP, or Responsible </w:t>
            </w:r>
            <w:proofErr w:type="gramStart"/>
            <w:r w:rsidRPr="00427DF8">
              <w:rPr>
                <w:rFonts w:eastAsia="Times New Roman"/>
                <w:b/>
                <w:bCs/>
                <w:color w:val="000000"/>
                <w:sz w:val="18"/>
                <w:szCs w:val="18"/>
                <w:lang w:val="en-US" w:eastAsia="en-US"/>
              </w:rPr>
              <w:t>Party )</w:t>
            </w:r>
            <w:proofErr w:type="gramEnd"/>
          </w:p>
        </w:tc>
        <w:tc>
          <w:tcPr>
            <w:tcW w:w="254" w:type="pct"/>
            <w:tcBorders>
              <w:top w:val="single" w:sz="4" w:space="0" w:color="auto"/>
              <w:left w:val="nil"/>
              <w:bottom w:val="single" w:sz="4" w:space="0" w:color="auto"/>
              <w:right w:val="single" w:sz="4" w:space="0" w:color="auto"/>
            </w:tcBorders>
            <w:shd w:val="clear" w:color="000000" w:fill="D9D9D9"/>
            <w:vAlign w:val="center"/>
            <w:hideMark/>
          </w:tcPr>
          <w:p w14:paraId="0EB704EB"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Quantum Fund ID</w:t>
            </w:r>
          </w:p>
        </w:tc>
        <w:tc>
          <w:tcPr>
            <w:tcW w:w="254" w:type="pct"/>
            <w:tcBorders>
              <w:top w:val="single" w:sz="4" w:space="0" w:color="auto"/>
              <w:left w:val="nil"/>
              <w:bottom w:val="single" w:sz="4" w:space="0" w:color="auto"/>
              <w:right w:val="single" w:sz="4" w:space="0" w:color="auto"/>
            </w:tcBorders>
            <w:shd w:val="clear" w:color="000000" w:fill="D9D9D9"/>
            <w:vAlign w:val="center"/>
            <w:hideMark/>
          </w:tcPr>
          <w:p w14:paraId="1E446824"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Quantum Donor ID</w:t>
            </w:r>
          </w:p>
        </w:tc>
        <w:tc>
          <w:tcPr>
            <w:tcW w:w="269" w:type="pct"/>
            <w:tcBorders>
              <w:top w:val="single" w:sz="4" w:space="0" w:color="auto"/>
              <w:left w:val="nil"/>
              <w:bottom w:val="single" w:sz="4" w:space="0" w:color="auto"/>
              <w:right w:val="single" w:sz="4" w:space="0" w:color="auto"/>
            </w:tcBorders>
            <w:shd w:val="clear" w:color="000000" w:fill="D9D9D9"/>
            <w:vAlign w:val="center"/>
            <w:hideMark/>
          </w:tcPr>
          <w:p w14:paraId="415BEC78"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Quantum Budgetary Account Code</w:t>
            </w:r>
          </w:p>
        </w:tc>
        <w:tc>
          <w:tcPr>
            <w:tcW w:w="728" w:type="pct"/>
            <w:tcBorders>
              <w:top w:val="single" w:sz="4" w:space="0" w:color="auto"/>
              <w:left w:val="nil"/>
              <w:bottom w:val="single" w:sz="4" w:space="0" w:color="auto"/>
              <w:right w:val="single" w:sz="4" w:space="0" w:color="auto"/>
            </w:tcBorders>
            <w:shd w:val="clear" w:color="000000" w:fill="D9D9D9"/>
            <w:vAlign w:val="center"/>
            <w:hideMark/>
          </w:tcPr>
          <w:p w14:paraId="7E8B84B1"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Quantum Budget Account Description</w:t>
            </w:r>
          </w:p>
        </w:tc>
        <w:tc>
          <w:tcPr>
            <w:tcW w:w="283" w:type="pct"/>
            <w:tcBorders>
              <w:top w:val="single" w:sz="4" w:space="0" w:color="auto"/>
              <w:left w:val="nil"/>
              <w:bottom w:val="single" w:sz="4" w:space="0" w:color="auto"/>
              <w:right w:val="single" w:sz="4" w:space="0" w:color="auto"/>
            </w:tcBorders>
            <w:shd w:val="clear" w:color="000000" w:fill="D9D9D9"/>
            <w:vAlign w:val="center"/>
            <w:hideMark/>
          </w:tcPr>
          <w:p w14:paraId="496E76FB"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Amount Year 1 </w:t>
            </w:r>
            <w:r w:rsidRPr="00427DF8">
              <w:rPr>
                <w:rFonts w:eastAsia="Times New Roman"/>
                <w:b/>
                <w:bCs/>
                <w:color w:val="000000"/>
                <w:sz w:val="18"/>
                <w:szCs w:val="18"/>
                <w:lang w:val="en-US" w:eastAsia="en-US"/>
              </w:rPr>
              <w:br/>
              <w:t>(9 months)</w:t>
            </w:r>
            <w:r w:rsidRPr="00427DF8">
              <w:rPr>
                <w:rFonts w:eastAsia="Times New Roman"/>
                <w:b/>
                <w:bCs/>
                <w:color w:val="000000"/>
                <w:sz w:val="18"/>
                <w:szCs w:val="18"/>
                <w:lang w:val="en-US" w:eastAsia="en-US"/>
              </w:rPr>
              <w:br/>
            </w:r>
            <w:r w:rsidRPr="00427DF8">
              <w:rPr>
                <w:rFonts w:eastAsia="Times New Roman"/>
                <w:color w:val="000000"/>
                <w:sz w:val="18"/>
                <w:szCs w:val="18"/>
                <w:lang w:val="en-US" w:eastAsia="en-US"/>
              </w:rPr>
              <w:t> </w:t>
            </w:r>
            <w:r w:rsidRPr="00427DF8">
              <w:rPr>
                <w:rFonts w:eastAsia="Times New Roman"/>
                <w:b/>
                <w:bCs/>
                <w:color w:val="000000"/>
                <w:sz w:val="18"/>
                <w:szCs w:val="18"/>
                <w:lang w:val="en-US" w:eastAsia="en-US"/>
              </w:rPr>
              <w:t>2026</w:t>
            </w:r>
            <w:r w:rsidRPr="00427DF8">
              <w:rPr>
                <w:rFonts w:eastAsia="Times New Roman"/>
                <w:b/>
                <w:bCs/>
                <w:color w:val="000000"/>
                <w:sz w:val="18"/>
                <w:szCs w:val="18"/>
                <w:lang w:val="en-US" w:eastAsia="en-US"/>
              </w:rPr>
              <w:br/>
              <w:t>(USD)</w:t>
            </w:r>
          </w:p>
        </w:tc>
        <w:tc>
          <w:tcPr>
            <w:tcW w:w="283" w:type="pct"/>
            <w:tcBorders>
              <w:top w:val="single" w:sz="4" w:space="0" w:color="auto"/>
              <w:left w:val="nil"/>
              <w:bottom w:val="single" w:sz="4" w:space="0" w:color="auto"/>
              <w:right w:val="single" w:sz="4" w:space="0" w:color="auto"/>
            </w:tcBorders>
            <w:shd w:val="clear" w:color="000000" w:fill="D9D9D9"/>
            <w:vAlign w:val="center"/>
            <w:hideMark/>
          </w:tcPr>
          <w:p w14:paraId="2DD75E9D"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Amount Year 2</w:t>
            </w:r>
            <w:r w:rsidRPr="00427DF8">
              <w:rPr>
                <w:rFonts w:eastAsia="Times New Roman"/>
                <w:color w:val="000000"/>
                <w:sz w:val="18"/>
                <w:szCs w:val="18"/>
                <w:lang w:val="en-US" w:eastAsia="en-US"/>
              </w:rPr>
              <w:t> </w:t>
            </w:r>
            <w:r w:rsidRPr="00427DF8">
              <w:rPr>
                <w:rFonts w:eastAsia="Times New Roman"/>
                <w:b/>
                <w:bCs/>
                <w:color w:val="000000"/>
                <w:sz w:val="18"/>
                <w:szCs w:val="18"/>
                <w:lang w:val="en-US" w:eastAsia="en-US"/>
              </w:rPr>
              <w:br/>
              <w:t>2027 </w:t>
            </w:r>
            <w:r w:rsidRPr="00427DF8">
              <w:rPr>
                <w:rFonts w:eastAsia="Times New Roman"/>
                <w:b/>
                <w:bCs/>
                <w:color w:val="000000"/>
                <w:sz w:val="18"/>
                <w:szCs w:val="18"/>
                <w:lang w:val="en-US" w:eastAsia="en-US"/>
              </w:rPr>
              <w:br/>
              <w:t>(USD)</w:t>
            </w:r>
          </w:p>
        </w:tc>
        <w:tc>
          <w:tcPr>
            <w:tcW w:w="317" w:type="pct"/>
            <w:tcBorders>
              <w:top w:val="single" w:sz="4" w:space="0" w:color="auto"/>
              <w:left w:val="nil"/>
              <w:bottom w:val="single" w:sz="4" w:space="0" w:color="auto"/>
              <w:right w:val="single" w:sz="4" w:space="0" w:color="auto"/>
            </w:tcBorders>
            <w:shd w:val="clear" w:color="000000" w:fill="D9D9D9"/>
            <w:vAlign w:val="center"/>
            <w:hideMark/>
          </w:tcPr>
          <w:p w14:paraId="3A55884C"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Amount Year 3</w:t>
            </w:r>
            <w:r w:rsidRPr="00427DF8">
              <w:rPr>
                <w:rFonts w:eastAsia="Times New Roman"/>
                <w:color w:val="000000"/>
                <w:sz w:val="18"/>
                <w:szCs w:val="18"/>
                <w:lang w:val="en-US" w:eastAsia="en-US"/>
              </w:rPr>
              <w:t> </w:t>
            </w:r>
            <w:r w:rsidRPr="00427DF8">
              <w:rPr>
                <w:rFonts w:eastAsia="Times New Roman"/>
                <w:b/>
                <w:bCs/>
                <w:color w:val="000000"/>
                <w:sz w:val="18"/>
                <w:szCs w:val="18"/>
                <w:lang w:val="en-US" w:eastAsia="en-US"/>
              </w:rPr>
              <w:br/>
              <w:t>2028</w:t>
            </w:r>
            <w:r w:rsidRPr="00427DF8">
              <w:rPr>
                <w:rFonts w:eastAsia="Times New Roman"/>
                <w:b/>
                <w:bCs/>
                <w:color w:val="000000"/>
                <w:sz w:val="18"/>
                <w:szCs w:val="18"/>
                <w:lang w:val="en-US" w:eastAsia="en-US"/>
              </w:rPr>
              <w:br/>
              <w:t>(USD)</w:t>
            </w:r>
          </w:p>
        </w:tc>
        <w:tc>
          <w:tcPr>
            <w:tcW w:w="317" w:type="pct"/>
            <w:tcBorders>
              <w:top w:val="single" w:sz="4" w:space="0" w:color="auto"/>
              <w:left w:val="nil"/>
              <w:bottom w:val="single" w:sz="4" w:space="0" w:color="auto"/>
              <w:right w:val="single" w:sz="4" w:space="0" w:color="auto"/>
            </w:tcBorders>
            <w:shd w:val="clear" w:color="000000" w:fill="D9D9D9"/>
            <w:vAlign w:val="center"/>
            <w:hideMark/>
          </w:tcPr>
          <w:p w14:paraId="7E5AAE96"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Amount Year 4</w:t>
            </w:r>
            <w:r w:rsidRPr="00427DF8">
              <w:rPr>
                <w:rFonts w:eastAsia="Times New Roman"/>
                <w:color w:val="000000"/>
                <w:sz w:val="18"/>
                <w:szCs w:val="18"/>
                <w:lang w:val="en-US" w:eastAsia="en-US"/>
              </w:rPr>
              <w:t> </w:t>
            </w:r>
            <w:r w:rsidRPr="00427DF8">
              <w:rPr>
                <w:rFonts w:eastAsia="Times New Roman"/>
                <w:color w:val="000000"/>
                <w:sz w:val="18"/>
                <w:szCs w:val="18"/>
                <w:lang w:val="en-US" w:eastAsia="en-US"/>
              </w:rPr>
              <w:br/>
            </w:r>
            <w:r w:rsidRPr="00427DF8">
              <w:rPr>
                <w:rFonts w:eastAsia="Times New Roman"/>
                <w:b/>
                <w:bCs/>
                <w:color w:val="000000"/>
                <w:sz w:val="18"/>
                <w:szCs w:val="18"/>
                <w:lang w:val="en-US" w:eastAsia="en-US"/>
              </w:rPr>
              <w:t>2029</w:t>
            </w:r>
            <w:r w:rsidRPr="00427DF8">
              <w:rPr>
                <w:rFonts w:eastAsia="Times New Roman"/>
                <w:b/>
                <w:bCs/>
                <w:color w:val="000000"/>
                <w:sz w:val="18"/>
                <w:szCs w:val="18"/>
                <w:lang w:val="en-US" w:eastAsia="en-US"/>
              </w:rPr>
              <w:br/>
              <w:t>(USD)</w:t>
            </w:r>
          </w:p>
        </w:tc>
        <w:tc>
          <w:tcPr>
            <w:tcW w:w="317" w:type="pct"/>
            <w:tcBorders>
              <w:top w:val="single" w:sz="4" w:space="0" w:color="auto"/>
              <w:left w:val="nil"/>
              <w:bottom w:val="single" w:sz="4" w:space="0" w:color="auto"/>
              <w:right w:val="single" w:sz="4" w:space="0" w:color="auto"/>
            </w:tcBorders>
            <w:shd w:val="clear" w:color="000000" w:fill="D9D9D9"/>
            <w:vAlign w:val="center"/>
            <w:hideMark/>
          </w:tcPr>
          <w:p w14:paraId="77E8AEAB"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Amount Year 5</w:t>
            </w:r>
            <w:r w:rsidRPr="00427DF8">
              <w:rPr>
                <w:rFonts w:eastAsia="Times New Roman"/>
                <w:color w:val="000000"/>
                <w:sz w:val="18"/>
                <w:szCs w:val="18"/>
                <w:lang w:val="en-US" w:eastAsia="en-US"/>
              </w:rPr>
              <w:t> </w:t>
            </w:r>
            <w:r w:rsidRPr="00427DF8">
              <w:rPr>
                <w:rFonts w:eastAsia="Times New Roman"/>
                <w:b/>
                <w:bCs/>
                <w:color w:val="000000"/>
                <w:sz w:val="18"/>
                <w:szCs w:val="18"/>
                <w:lang w:val="en-US" w:eastAsia="en-US"/>
              </w:rPr>
              <w:br/>
              <w:t>2030</w:t>
            </w:r>
            <w:r w:rsidRPr="00427DF8">
              <w:rPr>
                <w:rFonts w:eastAsia="Times New Roman"/>
                <w:b/>
                <w:bCs/>
                <w:color w:val="000000"/>
                <w:sz w:val="18"/>
                <w:szCs w:val="18"/>
                <w:lang w:val="en-US" w:eastAsia="en-US"/>
              </w:rPr>
              <w:br/>
              <w:t>(USD)</w:t>
            </w:r>
          </w:p>
        </w:tc>
        <w:tc>
          <w:tcPr>
            <w:tcW w:w="283" w:type="pct"/>
            <w:tcBorders>
              <w:top w:val="single" w:sz="4" w:space="0" w:color="auto"/>
              <w:left w:val="nil"/>
              <w:bottom w:val="single" w:sz="4" w:space="0" w:color="auto"/>
              <w:right w:val="single" w:sz="4" w:space="0" w:color="auto"/>
            </w:tcBorders>
            <w:shd w:val="clear" w:color="000000" w:fill="D9D9D9"/>
            <w:vAlign w:val="center"/>
            <w:hideMark/>
          </w:tcPr>
          <w:p w14:paraId="3481D1D4"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Amount Year 6 (3 months)</w:t>
            </w:r>
            <w:r w:rsidRPr="00427DF8">
              <w:rPr>
                <w:rFonts w:eastAsia="Times New Roman"/>
                <w:color w:val="000000"/>
                <w:sz w:val="18"/>
                <w:szCs w:val="18"/>
                <w:lang w:val="en-US" w:eastAsia="en-US"/>
              </w:rPr>
              <w:t> </w:t>
            </w:r>
            <w:r w:rsidRPr="00427DF8">
              <w:rPr>
                <w:rFonts w:eastAsia="Times New Roman"/>
                <w:b/>
                <w:bCs/>
                <w:color w:val="000000"/>
                <w:sz w:val="18"/>
                <w:szCs w:val="18"/>
                <w:lang w:val="en-US" w:eastAsia="en-US"/>
              </w:rPr>
              <w:br/>
              <w:t>2031</w:t>
            </w:r>
            <w:r w:rsidRPr="00427DF8">
              <w:rPr>
                <w:rFonts w:eastAsia="Times New Roman"/>
                <w:b/>
                <w:bCs/>
                <w:color w:val="000000"/>
                <w:sz w:val="18"/>
                <w:szCs w:val="18"/>
                <w:lang w:val="en-US" w:eastAsia="en-US"/>
              </w:rPr>
              <w:br/>
              <w:t>(USD)</w:t>
            </w:r>
          </w:p>
        </w:tc>
        <w:tc>
          <w:tcPr>
            <w:tcW w:w="352" w:type="pct"/>
            <w:tcBorders>
              <w:top w:val="single" w:sz="4" w:space="0" w:color="auto"/>
              <w:left w:val="nil"/>
              <w:bottom w:val="single" w:sz="4" w:space="0" w:color="auto"/>
              <w:right w:val="single" w:sz="4" w:space="0" w:color="auto"/>
            </w:tcBorders>
            <w:shd w:val="clear" w:color="000000" w:fill="D9D9D9"/>
            <w:vAlign w:val="center"/>
            <w:hideMark/>
          </w:tcPr>
          <w:p w14:paraId="735B87A8"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Total</w:t>
            </w:r>
            <w:r w:rsidRPr="00427DF8">
              <w:rPr>
                <w:rFonts w:eastAsia="Times New Roman"/>
                <w:color w:val="000000"/>
                <w:sz w:val="18"/>
                <w:szCs w:val="18"/>
                <w:lang w:val="en-US" w:eastAsia="en-US"/>
              </w:rPr>
              <w:t> </w:t>
            </w:r>
          </w:p>
        </w:tc>
        <w:tc>
          <w:tcPr>
            <w:tcW w:w="211" w:type="pct"/>
            <w:tcBorders>
              <w:top w:val="single" w:sz="4" w:space="0" w:color="auto"/>
              <w:left w:val="nil"/>
              <w:bottom w:val="single" w:sz="4" w:space="0" w:color="auto"/>
              <w:right w:val="single" w:sz="4" w:space="0" w:color="auto"/>
            </w:tcBorders>
            <w:shd w:val="clear" w:color="000000" w:fill="D9D9D9"/>
            <w:vAlign w:val="center"/>
            <w:hideMark/>
          </w:tcPr>
          <w:p w14:paraId="1970297A" w14:textId="77777777" w:rsidR="00427DF8" w:rsidRPr="00427DF8" w:rsidRDefault="00427DF8" w:rsidP="00427DF8">
            <w:pPr>
              <w:spacing w:after="0" w:line="240" w:lineRule="auto"/>
              <w:jc w:val="center"/>
              <w:rPr>
                <w:rFonts w:eastAsia="Times New Roman"/>
                <w:b/>
                <w:bCs/>
                <w:i/>
                <w:iCs/>
                <w:color w:val="000000"/>
                <w:sz w:val="18"/>
                <w:szCs w:val="18"/>
                <w:lang w:val="en-US" w:eastAsia="en-US"/>
              </w:rPr>
            </w:pPr>
            <w:r w:rsidRPr="00427DF8">
              <w:rPr>
                <w:rFonts w:eastAsia="Times New Roman"/>
                <w:b/>
                <w:bCs/>
                <w:i/>
                <w:iCs/>
                <w:color w:val="000000"/>
                <w:sz w:val="18"/>
                <w:szCs w:val="18"/>
                <w:lang w:val="en-US" w:eastAsia="en-US"/>
              </w:rPr>
              <w:t>See Budget Note:</w:t>
            </w:r>
          </w:p>
        </w:tc>
      </w:tr>
      <w:tr w:rsidR="008D1647" w:rsidRPr="00427DF8" w14:paraId="46EC2739" w14:textId="77777777" w:rsidTr="00B941A1">
        <w:trPr>
          <w:gridAfter w:val="1"/>
          <w:wAfter w:w="79" w:type="pct"/>
          <w:trHeight w:val="300"/>
        </w:trPr>
        <w:tc>
          <w:tcPr>
            <w:tcW w:w="383" w:type="pct"/>
            <w:vMerge w:val="restart"/>
            <w:tcBorders>
              <w:top w:val="nil"/>
              <w:left w:val="single" w:sz="4" w:space="0" w:color="auto"/>
              <w:right w:val="single" w:sz="4" w:space="0" w:color="auto"/>
            </w:tcBorders>
            <w:vAlign w:val="center"/>
            <w:hideMark/>
          </w:tcPr>
          <w:p w14:paraId="73662382" w14:textId="77777777" w:rsidR="008D1647" w:rsidRPr="00427DF8" w:rsidRDefault="008D1647"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 </w:t>
            </w:r>
          </w:p>
          <w:p w14:paraId="6D0F4343" w14:textId="306D2B76" w:rsidR="008D1647" w:rsidRPr="00427DF8" w:rsidRDefault="008D1647" w:rsidP="00427DF8">
            <w:pPr>
              <w:spacing w:after="0" w:line="240" w:lineRule="auto"/>
              <w:rPr>
                <w:rFonts w:eastAsia="Times New Roman"/>
                <w:b/>
                <w:bCs/>
                <w:color w:val="000000"/>
                <w:sz w:val="18"/>
                <w:szCs w:val="18"/>
                <w:lang w:val="en-US" w:eastAsia="en-US"/>
              </w:rPr>
            </w:pPr>
            <w:r w:rsidRPr="00427DF8">
              <w:rPr>
                <w:rFonts w:eastAsia="Times New Roman"/>
                <w:b/>
                <w:bCs/>
                <w:color w:val="000000"/>
                <w:sz w:val="18"/>
                <w:szCs w:val="18"/>
                <w:lang w:val="en-US" w:eastAsia="en-US"/>
              </w:rPr>
              <w:t>Component 1: Integrated sustainable urban planning and policy coherence </w:t>
            </w:r>
            <w:r w:rsidRPr="00427DF8">
              <w:rPr>
                <w:rFonts w:eastAsia="Times New Roman"/>
                <w:color w:val="000000"/>
                <w:sz w:val="18"/>
                <w:szCs w:val="18"/>
                <w:lang w:val="en-US" w:eastAsia="en-US"/>
              </w:rPr>
              <w:t> </w:t>
            </w:r>
          </w:p>
        </w:tc>
        <w:tc>
          <w:tcPr>
            <w:tcW w:w="370" w:type="pct"/>
            <w:vMerge w:val="restart"/>
            <w:tcBorders>
              <w:top w:val="nil"/>
              <w:left w:val="nil"/>
              <w:right w:val="single" w:sz="4" w:space="0" w:color="auto"/>
            </w:tcBorders>
            <w:vAlign w:val="center"/>
            <w:hideMark/>
          </w:tcPr>
          <w:p w14:paraId="6C6786B1" w14:textId="77777777" w:rsidR="008D1647" w:rsidRPr="00427DF8" w:rsidRDefault="008D1647" w:rsidP="00427DF8">
            <w:pPr>
              <w:spacing w:after="0" w:line="240" w:lineRule="auto"/>
              <w:jc w:val="center"/>
              <w:rPr>
                <w:rFonts w:ascii="Aptos Narrow" w:eastAsia="Times New Roman" w:hAnsi="Aptos Narrow" w:cs="Times New Roman"/>
                <w:b/>
                <w:bCs/>
                <w:color w:val="000000"/>
                <w:sz w:val="16"/>
                <w:szCs w:val="16"/>
                <w:lang w:val="en-US" w:eastAsia="en-US"/>
              </w:rPr>
            </w:pPr>
            <w:r w:rsidRPr="00427DF8">
              <w:rPr>
                <w:rFonts w:ascii="Aptos Narrow" w:eastAsia="Times New Roman" w:hAnsi="Aptos Narrow" w:cs="Times New Roman"/>
                <w:b/>
                <w:bCs/>
                <w:color w:val="000000"/>
                <w:sz w:val="16"/>
                <w:szCs w:val="16"/>
                <w:lang w:val="en-US" w:eastAsia="en-US"/>
              </w:rPr>
              <w:t> </w:t>
            </w:r>
          </w:p>
          <w:p w14:paraId="7D9450C1" w14:textId="5AA72F09" w:rsidR="008D1647" w:rsidRPr="00427DF8" w:rsidRDefault="008D1647" w:rsidP="00427DF8">
            <w:pPr>
              <w:spacing w:after="0" w:line="240" w:lineRule="auto"/>
              <w:rPr>
                <w:rFonts w:ascii="Aptos Narrow" w:eastAsia="Times New Roman" w:hAnsi="Aptos Narrow" w:cs="Times New Roman"/>
                <w:b/>
                <w:bCs/>
                <w:color w:val="000000"/>
                <w:sz w:val="16"/>
                <w:szCs w:val="16"/>
                <w:lang w:val="en-US" w:eastAsia="en-US"/>
              </w:rPr>
            </w:pPr>
            <w:r w:rsidRPr="00427DF8">
              <w:rPr>
                <w:rFonts w:eastAsia="Times New Roman"/>
                <w:color w:val="000000"/>
                <w:sz w:val="18"/>
                <w:szCs w:val="18"/>
                <w:lang w:val="en-US" w:eastAsia="en-US"/>
              </w:rPr>
              <w:t>Outcome 1.1 Bamako's governance and sustainable urban planning, including the institutional and policy framework</w:t>
            </w:r>
            <w:r w:rsidRPr="00427DF8">
              <w:rPr>
                <w:rFonts w:eastAsia="Times New Roman"/>
                <w:color w:val="000000"/>
                <w:sz w:val="18"/>
                <w:szCs w:val="18"/>
                <w:lang w:val="en-US" w:eastAsia="en-US"/>
              </w:rPr>
              <w:lastRenderedPageBreak/>
              <w:t xml:space="preserve">, are harmonized and strengthened while ensuring </w:t>
            </w:r>
            <w:proofErr w:type="spellStart"/>
            <w:r w:rsidRPr="00427DF8">
              <w:rPr>
                <w:rFonts w:eastAsia="Times New Roman"/>
                <w:color w:val="000000"/>
                <w:sz w:val="18"/>
                <w:szCs w:val="18"/>
                <w:lang w:val="en-US" w:eastAsia="en-US"/>
              </w:rPr>
              <w:t>inclusivenes</w:t>
            </w:r>
            <w:proofErr w:type="spellEnd"/>
          </w:p>
        </w:tc>
        <w:tc>
          <w:tcPr>
            <w:tcW w:w="302" w:type="pct"/>
            <w:vMerge w:val="restart"/>
            <w:tcBorders>
              <w:top w:val="nil"/>
              <w:left w:val="nil"/>
              <w:right w:val="single" w:sz="4" w:space="0" w:color="auto"/>
            </w:tcBorders>
            <w:vAlign w:val="center"/>
            <w:hideMark/>
          </w:tcPr>
          <w:p w14:paraId="2E3B7182" w14:textId="77777777" w:rsidR="008D1647" w:rsidRPr="00427DF8" w:rsidRDefault="008D1647"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lastRenderedPageBreak/>
              <w:t> </w:t>
            </w:r>
          </w:p>
          <w:p w14:paraId="3DEB0036" w14:textId="397E4332" w:rsidR="008D1647" w:rsidRPr="00427DF8" w:rsidRDefault="008D1647" w:rsidP="00427DF8">
            <w:pPr>
              <w:spacing w:after="0" w:line="240" w:lineRule="auto"/>
              <w:jc w:val="center"/>
              <w:rPr>
                <w:rFonts w:eastAsia="Times New Roman"/>
                <w:b/>
                <w:bCs/>
                <w:color w:val="000000"/>
                <w:sz w:val="18"/>
                <w:szCs w:val="18"/>
                <w:lang w:val="en-US" w:eastAsia="en-US"/>
              </w:rPr>
            </w:pPr>
            <w:r w:rsidRPr="00427DF8">
              <w:rPr>
                <w:rFonts w:eastAsia="Times New Roman"/>
                <w:color w:val="000000"/>
                <w:sz w:val="18"/>
                <w:szCs w:val="18"/>
                <w:lang w:val="en-US" w:eastAsia="en-US"/>
              </w:rPr>
              <w:t>NDUPH</w:t>
            </w:r>
          </w:p>
        </w:tc>
        <w:tc>
          <w:tcPr>
            <w:tcW w:w="254" w:type="pct"/>
            <w:vMerge w:val="restart"/>
            <w:tcBorders>
              <w:top w:val="nil"/>
              <w:left w:val="nil"/>
              <w:right w:val="single" w:sz="4" w:space="0" w:color="auto"/>
            </w:tcBorders>
            <w:vAlign w:val="center"/>
            <w:hideMark/>
          </w:tcPr>
          <w:p w14:paraId="59286683" w14:textId="77777777" w:rsidR="008D1647" w:rsidRPr="00427DF8" w:rsidRDefault="008D1647"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 </w:t>
            </w:r>
          </w:p>
          <w:p w14:paraId="7B73FA72" w14:textId="7DF19CD5" w:rsidR="008D1647" w:rsidRPr="00427DF8" w:rsidRDefault="008D1647"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62000 </w:t>
            </w:r>
            <w:r w:rsidRPr="00427DF8">
              <w:rPr>
                <w:rFonts w:eastAsia="Times New Roman"/>
                <w:color w:val="000000"/>
                <w:sz w:val="18"/>
                <w:szCs w:val="18"/>
                <w:lang w:val="en-US" w:eastAsia="en-US"/>
              </w:rPr>
              <w:t> </w:t>
            </w:r>
          </w:p>
        </w:tc>
        <w:tc>
          <w:tcPr>
            <w:tcW w:w="254" w:type="pct"/>
            <w:vMerge w:val="restart"/>
            <w:tcBorders>
              <w:top w:val="nil"/>
              <w:left w:val="nil"/>
              <w:right w:val="single" w:sz="4" w:space="0" w:color="auto"/>
            </w:tcBorders>
            <w:vAlign w:val="center"/>
            <w:hideMark/>
          </w:tcPr>
          <w:p w14:paraId="0BBD7D33" w14:textId="77777777" w:rsidR="008D1647" w:rsidRPr="00427DF8" w:rsidRDefault="008D1647"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 </w:t>
            </w:r>
          </w:p>
          <w:p w14:paraId="2B5BD7A9" w14:textId="7F78CC77" w:rsidR="008D1647" w:rsidRPr="00427DF8" w:rsidRDefault="008D1647"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010003</w:t>
            </w:r>
          </w:p>
        </w:tc>
        <w:tc>
          <w:tcPr>
            <w:tcW w:w="269" w:type="pct"/>
            <w:tcBorders>
              <w:top w:val="nil"/>
              <w:left w:val="nil"/>
              <w:bottom w:val="single" w:sz="4" w:space="0" w:color="auto"/>
              <w:right w:val="single" w:sz="4" w:space="0" w:color="auto"/>
            </w:tcBorders>
            <w:vAlign w:val="center"/>
            <w:hideMark/>
          </w:tcPr>
          <w:p w14:paraId="7D6D25C3"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71200</w:t>
            </w:r>
          </w:p>
        </w:tc>
        <w:tc>
          <w:tcPr>
            <w:tcW w:w="728" w:type="pct"/>
            <w:tcBorders>
              <w:top w:val="nil"/>
              <w:left w:val="nil"/>
              <w:bottom w:val="single" w:sz="4" w:space="0" w:color="auto"/>
              <w:right w:val="single" w:sz="4" w:space="0" w:color="auto"/>
            </w:tcBorders>
            <w:vAlign w:val="center"/>
            <w:hideMark/>
          </w:tcPr>
          <w:p w14:paraId="5F4EB2F5" w14:textId="77777777" w:rsidR="008D1647" w:rsidRPr="00427DF8" w:rsidRDefault="008D1647"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 xml:space="preserve">International consultant </w:t>
            </w:r>
          </w:p>
        </w:tc>
        <w:tc>
          <w:tcPr>
            <w:tcW w:w="283" w:type="pct"/>
            <w:tcBorders>
              <w:top w:val="nil"/>
              <w:left w:val="nil"/>
              <w:bottom w:val="single" w:sz="4" w:space="0" w:color="auto"/>
              <w:right w:val="single" w:sz="4" w:space="0" w:color="auto"/>
            </w:tcBorders>
            <w:vAlign w:val="center"/>
            <w:hideMark/>
          </w:tcPr>
          <w:p w14:paraId="69344A6D"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1618273E"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30,000.00 </w:t>
            </w:r>
          </w:p>
        </w:tc>
        <w:tc>
          <w:tcPr>
            <w:tcW w:w="317" w:type="pct"/>
            <w:tcBorders>
              <w:top w:val="nil"/>
              <w:left w:val="nil"/>
              <w:bottom w:val="single" w:sz="4" w:space="0" w:color="auto"/>
              <w:right w:val="single" w:sz="4" w:space="0" w:color="auto"/>
            </w:tcBorders>
            <w:vAlign w:val="center"/>
            <w:hideMark/>
          </w:tcPr>
          <w:p w14:paraId="37A641BA"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00344C00"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71543DCA"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47D36B84"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14D075DB"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30,000.00 </w:t>
            </w:r>
          </w:p>
        </w:tc>
        <w:tc>
          <w:tcPr>
            <w:tcW w:w="211" w:type="pct"/>
            <w:tcBorders>
              <w:top w:val="nil"/>
              <w:left w:val="nil"/>
              <w:bottom w:val="single" w:sz="4" w:space="0" w:color="auto"/>
              <w:right w:val="single" w:sz="4" w:space="0" w:color="auto"/>
            </w:tcBorders>
            <w:vAlign w:val="center"/>
            <w:hideMark/>
          </w:tcPr>
          <w:p w14:paraId="1C46104D" w14:textId="77777777" w:rsidR="008D1647" w:rsidRPr="00427DF8" w:rsidRDefault="008D1647"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1</w:t>
            </w:r>
          </w:p>
        </w:tc>
      </w:tr>
      <w:tr w:rsidR="008D1647" w:rsidRPr="00427DF8" w14:paraId="0CCE8207" w14:textId="77777777" w:rsidTr="00B941A1">
        <w:trPr>
          <w:gridAfter w:val="1"/>
          <w:wAfter w:w="79" w:type="pct"/>
          <w:trHeight w:val="300"/>
        </w:trPr>
        <w:tc>
          <w:tcPr>
            <w:tcW w:w="383" w:type="pct"/>
            <w:vMerge/>
            <w:tcBorders>
              <w:left w:val="single" w:sz="4" w:space="0" w:color="auto"/>
              <w:right w:val="single" w:sz="4" w:space="0" w:color="auto"/>
            </w:tcBorders>
            <w:vAlign w:val="center"/>
            <w:hideMark/>
          </w:tcPr>
          <w:p w14:paraId="6CA999F5" w14:textId="51A74D99" w:rsidR="008D1647" w:rsidRPr="00427DF8" w:rsidRDefault="008D1647" w:rsidP="00427DF8">
            <w:pPr>
              <w:spacing w:after="0" w:line="240" w:lineRule="auto"/>
              <w:rPr>
                <w:rFonts w:eastAsia="Times New Roman"/>
                <w:b/>
                <w:bCs/>
                <w:color w:val="000000"/>
                <w:sz w:val="18"/>
                <w:szCs w:val="18"/>
                <w:lang w:val="en-US" w:eastAsia="en-US"/>
              </w:rPr>
            </w:pPr>
          </w:p>
        </w:tc>
        <w:tc>
          <w:tcPr>
            <w:tcW w:w="370" w:type="pct"/>
            <w:vMerge/>
            <w:tcBorders>
              <w:left w:val="single" w:sz="4" w:space="0" w:color="auto"/>
              <w:right w:val="single" w:sz="4" w:space="0" w:color="auto"/>
            </w:tcBorders>
            <w:vAlign w:val="center"/>
            <w:hideMark/>
          </w:tcPr>
          <w:p w14:paraId="41844D8E" w14:textId="75AFC986" w:rsidR="008D1647" w:rsidRPr="00427DF8" w:rsidRDefault="008D1647" w:rsidP="00427DF8">
            <w:pPr>
              <w:spacing w:after="0" w:line="240" w:lineRule="auto"/>
              <w:rPr>
                <w:rFonts w:eastAsia="Times New Roman"/>
                <w:color w:val="000000"/>
                <w:sz w:val="18"/>
                <w:szCs w:val="18"/>
                <w:lang w:val="en-US" w:eastAsia="en-US"/>
              </w:rPr>
            </w:pPr>
          </w:p>
        </w:tc>
        <w:tc>
          <w:tcPr>
            <w:tcW w:w="302" w:type="pct"/>
            <w:vMerge/>
            <w:tcBorders>
              <w:left w:val="single" w:sz="4" w:space="0" w:color="auto"/>
              <w:right w:val="single" w:sz="4" w:space="0" w:color="auto"/>
            </w:tcBorders>
            <w:vAlign w:val="center"/>
            <w:hideMark/>
          </w:tcPr>
          <w:p w14:paraId="0BA01CAD" w14:textId="443204AE" w:rsidR="008D1647" w:rsidRPr="00427DF8" w:rsidRDefault="008D1647" w:rsidP="00427DF8">
            <w:pPr>
              <w:spacing w:after="0" w:line="240" w:lineRule="auto"/>
              <w:jc w:val="center"/>
              <w:rPr>
                <w:rFonts w:eastAsia="Times New Roman"/>
                <w:color w:val="000000"/>
                <w:sz w:val="18"/>
                <w:szCs w:val="18"/>
                <w:lang w:val="en-US" w:eastAsia="en-US"/>
              </w:rPr>
            </w:pPr>
          </w:p>
        </w:tc>
        <w:tc>
          <w:tcPr>
            <w:tcW w:w="254" w:type="pct"/>
            <w:vMerge/>
            <w:tcBorders>
              <w:left w:val="single" w:sz="4" w:space="0" w:color="auto"/>
              <w:right w:val="single" w:sz="4" w:space="0" w:color="auto"/>
            </w:tcBorders>
            <w:vAlign w:val="center"/>
            <w:hideMark/>
          </w:tcPr>
          <w:p w14:paraId="1878D564" w14:textId="33F02BE6" w:rsidR="008D1647" w:rsidRPr="00427DF8" w:rsidRDefault="008D1647" w:rsidP="00427DF8">
            <w:pPr>
              <w:spacing w:after="0" w:line="240" w:lineRule="auto"/>
              <w:jc w:val="center"/>
              <w:rPr>
                <w:rFonts w:eastAsia="Times New Roman"/>
                <w:b/>
                <w:bCs/>
                <w:color w:val="000000"/>
                <w:sz w:val="18"/>
                <w:szCs w:val="18"/>
                <w:lang w:val="en-US" w:eastAsia="en-US"/>
              </w:rPr>
            </w:pPr>
          </w:p>
        </w:tc>
        <w:tc>
          <w:tcPr>
            <w:tcW w:w="254" w:type="pct"/>
            <w:vMerge/>
            <w:tcBorders>
              <w:left w:val="single" w:sz="4" w:space="0" w:color="auto"/>
              <w:right w:val="single" w:sz="4" w:space="0" w:color="auto"/>
            </w:tcBorders>
            <w:vAlign w:val="center"/>
            <w:hideMark/>
          </w:tcPr>
          <w:p w14:paraId="6E9F2E2C" w14:textId="5C86B44A" w:rsidR="008D1647" w:rsidRPr="00427DF8" w:rsidRDefault="008D1647" w:rsidP="00427DF8">
            <w:pPr>
              <w:spacing w:after="0" w:line="240" w:lineRule="auto"/>
              <w:jc w:val="center"/>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6BBB4DCF"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71300</w:t>
            </w:r>
          </w:p>
        </w:tc>
        <w:tc>
          <w:tcPr>
            <w:tcW w:w="728" w:type="pct"/>
            <w:tcBorders>
              <w:top w:val="nil"/>
              <w:left w:val="nil"/>
              <w:bottom w:val="single" w:sz="4" w:space="0" w:color="auto"/>
              <w:right w:val="single" w:sz="4" w:space="0" w:color="auto"/>
            </w:tcBorders>
            <w:vAlign w:val="center"/>
            <w:hideMark/>
          </w:tcPr>
          <w:p w14:paraId="0BA4F9E9" w14:textId="77777777" w:rsidR="008D1647" w:rsidRPr="00427DF8" w:rsidRDefault="008D1647"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Local consultants </w:t>
            </w:r>
          </w:p>
        </w:tc>
        <w:tc>
          <w:tcPr>
            <w:tcW w:w="283" w:type="pct"/>
            <w:tcBorders>
              <w:top w:val="nil"/>
              <w:left w:val="nil"/>
              <w:bottom w:val="single" w:sz="4" w:space="0" w:color="auto"/>
              <w:right w:val="single" w:sz="4" w:space="0" w:color="auto"/>
            </w:tcBorders>
            <w:vAlign w:val="center"/>
            <w:hideMark/>
          </w:tcPr>
          <w:p w14:paraId="53140EEC"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5,000.00 </w:t>
            </w:r>
          </w:p>
        </w:tc>
        <w:tc>
          <w:tcPr>
            <w:tcW w:w="283" w:type="pct"/>
            <w:tcBorders>
              <w:top w:val="nil"/>
              <w:left w:val="nil"/>
              <w:bottom w:val="single" w:sz="4" w:space="0" w:color="auto"/>
              <w:right w:val="single" w:sz="4" w:space="0" w:color="auto"/>
            </w:tcBorders>
            <w:vAlign w:val="center"/>
            <w:hideMark/>
          </w:tcPr>
          <w:p w14:paraId="438D652D"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5,000.00 </w:t>
            </w:r>
          </w:p>
        </w:tc>
        <w:tc>
          <w:tcPr>
            <w:tcW w:w="317" w:type="pct"/>
            <w:tcBorders>
              <w:top w:val="nil"/>
              <w:left w:val="nil"/>
              <w:bottom w:val="single" w:sz="4" w:space="0" w:color="auto"/>
              <w:right w:val="single" w:sz="4" w:space="0" w:color="auto"/>
            </w:tcBorders>
            <w:vAlign w:val="center"/>
            <w:hideMark/>
          </w:tcPr>
          <w:p w14:paraId="226F4957"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317" w:type="pct"/>
            <w:tcBorders>
              <w:top w:val="nil"/>
              <w:left w:val="nil"/>
              <w:bottom w:val="single" w:sz="4" w:space="0" w:color="auto"/>
              <w:right w:val="single" w:sz="4" w:space="0" w:color="auto"/>
            </w:tcBorders>
            <w:vAlign w:val="center"/>
            <w:hideMark/>
          </w:tcPr>
          <w:p w14:paraId="225D47DA"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6F9A4757"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7,500.00 </w:t>
            </w:r>
          </w:p>
        </w:tc>
        <w:tc>
          <w:tcPr>
            <w:tcW w:w="283" w:type="pct"/>
            <w:tcBorders>
              <w:top w:val="nil"/>
              <w:left w:val="nil"/>
              <w:bottom w:val="single" w:sz="4" w:space="0" w:color="auto"/>
              <w:right w:val="single" w:sz="4" w:space="0" w:color="auto"/>
            </w:tcBorders>
            <w:vAlign w:val="center"/>
            <w:hideMark/>
          </w:tcPr>
          <w:p w14:paraId="0CAFC9F2"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4EE30DC6"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17,500.00 </w:t>
            </w:r>
          </w:p>
        </w:tc>
        <w:tc>
          <w:tcPr>
            <w:tcW w:w="211" w:type="pct"/>
            <w:tcBorders>
              <w:top w:val="nil"/>
              <w:left w:val="nil"/>
              <w:bottom w:val="single" w:sz="4" w:space="0" w:color="auto"/>
              <w:right w:val="single" w:sz="4" w:space="0" w:color="auto"/>
            </w:tcBorders>
            <w:vAlign w:val="center"/>
            <w:hideMark/>
          </w:tcPr>
          <w:p w14:paraId="77943BFE" w14:textId="77777777" w:rsidR="008D1647" w:rsidRPr="00427DF8" w:rsidRDefault="008D1647"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2</w:t>
            </w:r>
          </w:p>
        </w:tc>
      </w:tr>
      <w:tr w:rsidR="008D1647" w:rsidRPr="00427DF8" w14:paraId="78D66F95" w14:textId="77777777" w:rsidTr="00B941A1">
        <w:trPr>
          <w:gridAfter w:val="1"/>
          <w:wAfter w:w="79" w:type="pct"/>
          <w:trHeight w:val="300"/>
        </w:trPr>
        <w:tc>
          <w:tcPr>
            <w:tcW w:w="383" w:type="pct"/>
            <w:vMerge/>
            <w:tcBorders>
              <w:left w:val="single" w:sz="4" w:space="0" w:color="auto"/>
              <w:right w:val="single" w:sz="4" w:space="0" w:color="auto"/>
            </w:tcBorders>
            <w:vAlign w:val="center"/>
            <w:hideMark/>
          </w:tcPr>
          <w:p w14:paraId="695EF8AB"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370" w:type="pct"/>
            <w:vMerge/>
            <w:tcBorders>
              <w:left w:val="single" w:sz="4" w:space="0" w:color="auto"/>
              <w:right w:val="single" w:sz="4" w:space="0" w:color="auto"/>
            </w:tcBorders>
            <w:vAlign w:val="center"/>
            <w:hideMark/>
          </w:tcPr>
          <w:p w14:paraId="7B76A5D0" w14:textId="77777777" w:rsidR="008D1647" w:rsidRPr="00427DF8" w:rsidRDefault="008D1647" w:rsidP="00427DF8">
            <w:pPr>
              <w:spacing w:after="0" w:line="240" w:lineRule="auto"/>
              <w:rPr>
                <w:rFonts w:eastAsia="Times New Roman"/>
                <w:color w:val="000000"/>
                <w:sz w:val="18"/>
                <w:szCs w:val="18"/>
                <w:lang w:val="en-US" w:eastAsia="en-US"/>
              </w:rPr>
            </w:pPr>
          </w:p>
        </w:tc>
        <w:tc>
          <w:tcPr>
            <w:tcW w:w="302" w:type="pct"/>
            <w:vMerge/>
            <w:tcBorders>
              <w:left w:val="single" w:sz="4" w:space="0" w:color="auto"/>
              <w:right w:val="single" w:sz="4" w:space="0" w:color="auto"/>
            </w:tcBorders>
            <w:vAlign w:val="center"/>
            <w:hideMark/>
          </w:tcPr>
          <w:p w14:paraId="11C419C5" w14:textId="77777777" w:rsidR="008D1647" w:rsidRPr="00427DF8" w:rsidRDefault="008D1647" w:rsidP="00427DF8">
            <w:pPr>
              <w:spacing w:after="0" w:line="240" w:lineRule="auto"/>
              <w:rPr>
                <w:rFonts w:eastAsia="Times New Roman"/>
                <w:color w:val="000000"/>
                <w:sz w:val="18"/>
                <w:szCs w:val="18"/>
                <w:lang w:val="en-US" w:eastAsia="en-US"/>
              </w:rPr>
            </w:pPr>
          </w:p>
        </w:tc>
        <w:tc>
          <w:tcPr>
            <w:tcW w:w="254" w:type="pct"/>
            <w:vMerge/>
            <w:tcBorders>
              <w:left w:val="single" w:sz="4" w:space="0" w:color="auto"/>
              <w:right w:val="single" w:sz="4" w:space="0" w:color="auto"/>
            </w:tcBorders>
            <w:vAlign w:val="center"/>
            <w:hideMark/>
          </w:tcPr>
          <w:p w14:paraId="2B1D6220"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54" w:type="pct"/>
            <w:vMerge/>
            <w:tcBorders>
              <w:left w:val="single" w:sz="4" w:space="0" w:color="auto"/>
              <w:right w:val="single" w:sz="4" w:space="0" w:color="auto"/>
            </w:tcBorders>
            <w:vAlign w:val="center"/>
            <w:hideMark/>
          </w:tcPr>
          <w:p w14:paraId="214A2B03"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3560CD36" w14:textId="77777777" w:rsidR="008D1647" w:rsidRPr="00427DF8" w:rsidRDefault="008D1647"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71800</w:t>
            </w:r>
          </w:p>
        </w:tc>
        <w:tc>
          <w:tcPr>
            <w:tcW w:w="728" w:type="pct"/>
            <w:tcBorders>
              <w:top w:val="nil"/>
              <w:left w:val="nil"/>
              <w:bottom w:val="nil"/>
              <w:right w:val="nil"/>
            </w:tcBorders>
            <w:noWrap/>
            <w:vAlign w:val="center"/>
            <w:hideMark/>
          </w:tcPr>
          <w:p w14:paraId="5DAD5028" w14:textId="77777777" w:rsidR="008D1647" w:rsidRPr="00427DF8" w:rsidRDefault="008D1647"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 xml:space="preserve">Contractual Services-Imp </w:t>
            </w:r>
            <w:proofErr w:type="spellStart"/>
            <w:r w:rsidRPr="00427DF8">
              <w:rPr>
                <w:rFonts w:eastAsia="Times New Roman"/>
                <w:color w:val="000000"/>
                <w:sz w:val="18"/>
                <w:szCs w:val="18"/>
                <w:lang w:val="en-US" w:eastAsia="en-US"/>
              </w:rPr>
              <w:t>Paertn</w:t>
            </w:r>
            <w:proofErr w:type="spellEnd"/>
          </w:p>
        </w:tc>
        <w:tc>
          <w:tcPr>
            <w:tcW w:w="283" w:type="pct"/>
            <w:tcBorders>
              <w:top w:val="nil"/>
              <w:left w:val="single" w:sz="4" w:space="0" w:color="auto"/>
              <w:bottom w:val="single" w:sz="4" w:space="0" w:color="auto"/>
              <w:right w:val="single" w:sz="4" w:space="0" w:color="auto"/>
            </w:tcBorders>
            <w:vAlign w:val="center"/>
            <w:hideMark/>
          </w:tcPr>
          <w:p w14:paraId="5CE8E991"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6E55541D"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5A88C0B7"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4B5600C6"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3D689308"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38,700.00 </w:t>
            </w:r>
          </w:p>
        </w:tc>
        <w:tc>
          <w:tcPr>
            <w:tcW w:w="283" w:type="pct"/>
            <w:tcBorders>
              <w:top w:val="nil"/>
              <w:left w:val="nil"/>
              <w:bottom w:val="single" w:sz="4" w:space="0" w:color="auto"/>
              <w:right w:val="single" w:sz="4" w:space="0" w:color="auto"/>
            </w:tcBorders>
            <w:vAlign w:val="center"/>
            <w:hideMark/>
          </w:tcPr>
          <w:p w14:paraId="6FDD7158"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1D523C33"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38,700.00 </w:t>
            </w:r>
          </w:p>
        </w:tc>
        <w:tc>
          <w:tcPr>
            <w:tcW w:w="211" w:type="pct"/>
            <w:tcBorders>
              <w:top w:val="nil"/>
              <w:left w:val="nil"/>
              <w:bottom w:val="single" w:sz="4" w:space="0" w:color="auto"/>
              <w:right w:val="single" w:sz="4" w:space="0" w:color="auto"/>
            </w:tcBorders>
            <w:vAlign w:val="center"/>
            <w:hideMark/>
          </w:tcPr>
          <w:p w14:paraId="76DC347C" w14:textId="77777777" w:rsidR="008D1647" w:rsidRPr="00427DF8" w:rsidRDefault="008D1647"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3</w:t>
            </w:r>
          </w:p>
        </w:tc>
      </w:tr>
      <w:tr w:rsidR="008D1647" w:rsidRPr="00427DF8" w14:paraId="4A82FBD8" w14:textId="77777777" w:rsidTr="00B941A1">
        <w:trPr>
          <w:gridAfter w:val="1"/>
          <w:wAfter w:w="79" w:type="pct"/>
          <w:trHeight w:val="300"/>
        </w:trPr>
        <w:tc>
          <w:tcPr>
            <w:tcW w:w="383" w:type="pct"/>
            <w:vMerge/>
            <w:tcBorders>
              <w:left w:val="single" w:sz="4" w:space="0" w:color="auto"/>
              <w:right w:val="single" w:sz="4" w:space="0" w:color="auto"/>
            </w:tcBorders>
            <w:vAlign w:val="center"/>
            <w:hideMark/>
          </w:tcPr>
          <w:p w14:paraId="55838EC1"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370" w:type="pct"/>
            <w:vMerge/>
            <w:tcBorders>
              <w:left w:val="single" w:sz="4" w:space="0" w:color="auto"/>
              <w:right w:val="single" w:sz="4" w:space="0" w:color="auto"/>
            </w:tcBorders>
            <w:vAlign w:val="center"/>
            <w:hideMark/>
          </w:tcPr>
          <w:p w14:paraId="3308640C" w14:textId="77777777" w:rsidR="008D1647" w:rsidRPr="00427DF8" w:rsidRDefault="008D1647" w:rsidP="00427DF8">
            <w:pPr>
              <w:spacing w:after="0" w:line="240" w:lineRule="auto"/>
              <w:rPr>
                <w:rFonts w:eastAsia="Times New Roman"/>
                <w:color w:val="000000"/>
                <w:sz w:val="18"/>
                <w:szCs w:val="18"/>
                <w:lang w:val="en-US" w:eastAsia="en-US"/>
              </w:rPr>
            </w:pPr>
          </w:p>
        </w:tc>
        <w:tc>
          <w:tcPr>
            <w:tcW w:w="302" w:type="pct"/>
            <w:vMerge/>
            <w:tcBorders>
              <w:left w:val="single" w:sz="4" w:space="0" w:color="auto"/>
              <w:right w:val="single" w:sz="4" w:space="0" w:color="auto"/>
            </w:tcBorders>
            <w:vAlign w:val="center"/>
            <w:hideMark/>
          </w:tcPr>
          <w:p w14:paraId="63F2E358" w14:textId="77777777" w:rsidR="008D1647" w:rsidRPr="00427DF8" w:rsidRDefault="008D1647" w:rsidP="00427DF8">
            <w:pPr>
              <w:spacing w:after="0" w:line="240" w:lineRule="auto"/>
              <w:rPr>
                <w:rFonts w:eastAsia="Times New Roman"/>
                <w:color w:val="000000"/>
                <w:sz w:val="18"/>
                <w:szCs w:val="18"/>
                <w:lang w:val="en-US" w:eastAsia="en-US"/>
              </w:rPr>
            </w:pPr>
          </w:p>
        </w:tc>
        <w:tc>
          <w:tcPr>
            <w:tcW w:w="254" w:type="pct"/>
            <w:vMerge/>
            <w:tcBorders>
              <w:left w:val="single" w:sz="4" w:space="0" w:color="auto"/>
              <w:right w:val="single" w:sz="4" w:space="0" w:color="auto"/>
            </w:tcBorders>
            <w:vAlign w:val="center"/>
            <w:hideMark/>
          </w:tcPr>
          <w:p w14:paraId="78088FA4"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54" w:type="pct"/>
            <w:vMerge/>
            <w:tcBorders>
              <w:left w:val="single" w:sz="4" w:space="0" w:color="auto"/>
              <w:right w:val="single" w:sz="4" w:space="0" w:color="auto"/>
            </w:tcBorders>
            <w:vAlign w:val="center"/>
            <w:hideMark/>
          </w:tcPr>
          <w:p w14:paraId="7B7B7D43"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4B8168C1"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72100</w:t>
            </w:r>
          </w:p>
        </w:tc>
        <w:tc>
          <w:tcPr>
            <w:tcW w:w="728" w:type="pct"/>
            <w:tcBorders>
              <w:top w:val="single" w:sz="4" w:space="0" w:color="auto"/>
              <w:left w:val="nil"/>
              <w:bottom w:val="single" w:sz="4" w:space="0" w:color="auto"/>
              <w:right w:val="single" w:sz="4" w:space="0" w:color="auto"/>
            </w:tcBorders>
            <w:vAlign w:val="center"/>
            <w:hideMark/>
          </w:tcPr>
          <w:p w14:paraId="3E9C7FDE" w14:textId="77777777" w:rsidR="008D1647" w:rsidRPr="00427DF8" w:rsidRDefault="008D1647"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Contractual Service company </w:t>
            </w:r>
          </w:p>
        </w:tc>
        <w:tc>
          <w:tcPr>
            <w:tcW w:w="283" w:type="pct"/>
            <w:tcBorders>
              <w:top w:val="nil"/>
              <w:left w:val="nil"/>
              <w:bottom w:val="single" w:sz="4" w:space="0" w:color="auto"/>
              <w:right w:val="single" w:sz="4" w:space="0" w:color="auto"/>
            </w:tcBorders>
            <w:vAlign w:val="center"/>
            <w:hideMark/>
          </w:tcPr>
          <w:p w14:paraId="14E233A1"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20,000.00 </w:t>
            </w:r>
          </w:p>
        </w:tc>
        <w:tc>
          <w:tcPr>
            <w:tcW w:w="283" w:type="pct"/>
            <w:tcBorders>
              <w:top w:val="nil"/>
              <w:left w:val="nil"/>
              <w:bottom w:val="single" w:sz="4" w:space="0" w:color="auto"/>
              <w:right w:val="single" w:sz="4" w:space="0" w:color="auto"/>
            </w:tcBorders>
            <w:vAlign w:val="center"/>
            <w:hideMark/>
          </w:tcPr>
          <w:p w14:paraId="44E36202"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175,000.00 </w:t>
            </w:r>
          </w:p>
        </w:tc>
        <w:tc>
          <w:tcPr>
            <w:tcW w:w="317" w:type="pct"/>
            <w:tcBorders>
              <w:top w:val="nil"/>
              <w:left w:val="nil"/>
              <w:bottom w:val="single" w:sz="4" w:space="0" w:color="auto"/>
              <w:right w:val="single" w:sz="4" w:space="0" w:color="auto"/>
            </w:tcBorders>
            <w:vAlign w:val="center"/>
            <w:hideMark/>
          </w:tcPr>
          <w:p w14:paraId="6233BB3E"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180,000.00 </w:t>
            </w:r>
          </w:p>
        </w:tc>
        <w:tc>
          <w:tcPr>
            <w:tcW w:w="317" w:type="pct"/>
            <w:tcBorders>
              <w:top w:val="nil"/>
              <w:left w:val="nil"/>
              <w:bottom w:val="single" w:sz="4" w:space="0" w:color="auto"/>
              <w:right w:val="single" w:sz="4" w:space="0" w:color="auto"/>
            </w:tcBorders>
            <w:vAlign w:val="center"/>
            <w:hideMark/>
          </w:tcPr>
          <w:p w14:paraId="75A33587" w14:textId="77777777" w:rsidR="008D1647" w:rsidRPr="00427DF8" w:rsidRDefault="008D1647"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151,850.00 </w:t>
            </w:r>
          </w:p>
        </w:tc>
        <w:tc>
          <w:tcPr>
            <w:tcW w:w="317" w:type="pct"/>
            <w:tcBorders>
              <w:top w:val="nil"/>
              <w:left w:val="nil"/>
              <w:bottom w:val="single" w:sz="4" w:space="0" w:color="auto"/>
              <w:right w:val="single" w:sz="4" w:space="0" w:color="auto"/>
            </w:tcBorders>
            <w:vAlign w:val="center"/>
            <w:hideMark/>
          </w:tcPr>
          <w:p w14:paraId="11496D7D"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41,000.00 </w:t>
            </w:r>
          </w:p>
        </w:tc>
        <w:tc>
          <w:tcPr>
            <w:tcW w:w="283" w:type="pct"/>
            <w:tcBorders>
              <w:top w:val="nil"/>
              <w:left w:val="nil"/>
              <w:bottom w:val="single" w:sz="4" w:space="0" w:color="auto"/>
              <w:right w:val="single" w:sz="4" w:space="0" w:color="auto"/>
            </w:tcBorders>
            <w:vAlign w:val="center"/>
            <w:hideMark/>
          </w:tcPr>
          <w:p w14:paraId="48FA082F"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30,000.00 </w:t>
            </w:r>
          </w:p>
        </w:tc>
        <w:tc>
          <w:tcPr>
            <w:tcW w:w="352" w:type="pct"/>
            <w:tcBorders>
              <w:top w:val="nil"/>
              <w:left w:val="nil"/>
              <w:bottom w:val="single" w:sz="4" w:space="0" w:color="auto"/>
              <w:right w:val="single" w:sz="4" w:space="0" w:color="auto"/>
            </w:tcBorders>
            <w:vAlign w:val="center"/>
            <w:hideMark/>
          </w:tcPr>
          <w:p w14:paraId="3B18E09F" w14:textId="77777777" w:rsidR="008D1647" w:rsidRPr="00427DF8" w:rsidRDefault="008D1647"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597,850.00 </w:t>
            </w:r>
          </w:p>
        </w:tc>
        <w:tc>
          <w:tcPr>
            <w:tcW w:w="211" w:type="pct"/>
            <w:tcBorders>
              <w:top w:val="nil"/>
              <w:left w:val="nil"/>
              <w:bottom w:val="single" w:sz="4" w:space="0" w:color="auto"/>
              <w:right w:val="single" w:sz="4" w:space="0" w:color="auto"/>
            </w:tcBorders>
            <w:vAlign w:val="center"/>
            <w:hideMark/>
          </w:tcPr>
          <w:p w14:paraId="446DFCAB" w14:textId="77777777" w:rsidR="008D1647" w:rsidRPr="00427DF8" w:rsidRDefault="008D1647"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4</w:t>
            </w:r>
          </w:p>
        </w:tc>
      </w:tr>
      <w:tr w:rsidR="008D1647" w:rsidRPr="00427DF8" w14:paraId="2700B0F8" w14:textId="77777777" w:rsidTr="00B941A1">
        <w:trPr>
          <w:gridAfter w:val="1"/>
          <w:wAfter w:w="79" w:type="pct"/>
          <w:trHeight w:val="300"/>
        </w:trPr>
        <w:tc>
          <w:tcPr>
            <w:tcW w:w="383" w:type="pct"/>
            <w:vMerge/>
            <w:tcBorders>
              <w:left w:val="single" w:sz="4" w:space="0" w:color="auto"/>
              <w:right w:val="single" w:sz="4" w:space="0" w:color="auto"/>
            </w:tcBorders>
            <w:vAlign w:val="center"/>
            <w:hideMark/>
          </w:tcPr>
          <w:p w14:paraId="1E047180"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370" w:type="pct"/>
            <w:vMerge/>
            <w:tcBorders>
              <w:left w:val="single" w:sz="4" w:space="0" w:color="auto"/>
              <w:right w:val="single" w:sz="4" w:space="0" w:color="auto"/>
            </w:tcBorders>
            <w:vAlign w:val="center"/>
            <w:hideMark/>
          </w:tcPr>
          <w:p w14:paraId="2B8301C9" w14:textId="77777777" w:rsidR="008D1647" w:rsidRPr="00427DF8" w:rsidRDefault="008D1647" w:rsidP="00427DF8">
            <w:pPr>
              <w:spacing w:after="0" w:line="240" w:lineRule="auto"/>
              <w:rPr>
                <w:rFonts w:eastAsia="Times New Roman"/>
                <w:color w:val="000000"/>
                <w:sz w:val="18"/>
                <w:szCs w:val="18"/>
                <w:lang w:val="en-US" w:eastAsia="en-US"/>
              </w:rPr>
            </w:pPr>
          </w:p>
        </w:tc>
        <w:tc>
          <w:tcPr>
            <w:tcW w:w="302" w:type="pct"/>
            <w:vMerge/>
            <w:tcBorders>
              <w:left w:val="single" w:sz="4" w:space="0" w:color="auto"/>
              <w:right w:val="single" w:sz="4" w:space="0" w:color="auto"/>
            </w:tcBorders>
            <w:vAlign w:val="center"/>
            <w:hideMark/>
          </w:tcPr>
          <w:p w14:paraId="5BE83E08" w14:textId="77777777" w:rsidR="008D1647" w:rsidRPr="00427DF8" w:rsidRDefault="008D1647" w:rsidP="00427DF8">
            <w:pPr>
              <w:spacing w:after="0" w:line="240" w:lineRule="auto"/>
              <w:rPr>
                <w:rFonts w:eastAsia="Times New Roman"/>
                <w:color w:val="000000"/>
                <w:sz w:val="18"/>
                <w:szCs w:val="18"/>
                <w:lang w:val="en-US" w:eastAsia="en-US"/>
              </w:rPr>
            </w:pPr>
          </w:p>
        </w:tc>
        <w:tc>
          <w:tcPr>
            <w:tcW w:w="254" w:type="pct"/>
            <w:vMerge/>
            <w:tcBorders>
              <w:left w:val="single" w:sz="4" w:space="0" w:color="auto"/>
              <w:right w:val="single" w:sz="4" w:space="0" w:color="auto"/>
            </w:tcBorders>
            <w:vAlign w:val="center"/>
            <w:hideMark/>
          </w:tcPr>
          <w:p w14:paraId="77A093B7"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54" w:type="pct"/>
            <w:vMerge/>
            <w:tcBorders>
              <w:left w:val="single" w:sz="4" w:space="0" w:color="auto"/>
              <w:right w:val="single" w:sz="4" w:space="0" w:color="auto"/>
            </w:tcBorders>
            <w:vAlign w:val="center"/>
            <w:hideMark/>
          </w:tcPr>
          <w:p w14:paraId="664FD960"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2053287F"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71600</w:t>
            </w:r>
          </w:p>
        </w:tc>
        <w:tc>
          <w:tcPr>
            <w:tcW w:w="728" w:type="pct"/>
            <w:tcBorders>
              <w:top w:val="nil"/>
              <w:left w:val="nil"/>
              <w:bottom w:val="single" w:sz="4" w:space="0" w:color="auto"/>
              <w:right w:val="single" w:sz="4" w:space="0" w:color="auto"/>
            </w:tcBorders>
            <w:vAlign w:val="center"/>
            <w:hideMark/>
          </w:tcPr>
          <w:p w14:paraId="314543D7" w14:textId="77777777" w:rsidR="008D1647" w:rsidRPr="00427DF8" w:rsidRDefault="008D1647"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Travel </w:t>
            </w:r>
          </w:p>
        </w:tc>
        <w:tc>
          <w:tcPr>
            <w:tcW w:w="283" w:type="pct"/>
            <w:tcBorders>
              <w:top w:val="nil"/>
              <w:left w:val="nil"/>
              <w:bottom w:val="single" w:sz="4" w:space="0" w:color="auto"/>
              <w:right w:val="single" w:sz="4" w:space="0" w:color="auto"/>
            </w:tcBorders>
            <w:vAlign w:val="center"/>
            <w:hideMark/>
          </w:tcPr>
          <w:p w14:paraId="49484F52"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7617C9D0"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12,000.00 </w:t>
            </w:r>
          </w:p>
        </w:tc>
        <w:tc>
          <w:tcPr>
            <w:tcW w:w="317" w:type="pct"/>
            <w:tcBorders>
              <w:top w:val="nil"/>
              <w:left w:val="nil"/>
              <w:bottom w:val="single" w:sz="4" w:space="0" w:color="auto"/>
              <w:right w:val="single" w:sz="4" w:space="0" w:color="auto"/>
            </w:tcBorders>
            <w:vAlign w:val="center"/>
            <w:hideMark/>
          </w:tcPr>
          <w:p w14:paraId="09A62647"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12,000.00 </w:t>
            </w:r>
          </w:p>
        </w:tc>
        <w:tc>
          <w:tcPr>
            <w:tcW w:w="317" w:type="pct"/>
            <w:tcBorders>
              <w:top w:val="nil"/>
              <w:left w:val="nil"/>
              <w:bottom w:val="single" w:sz="4" w:space="0" w:color="auto"/>
              <w:right w:val="single" w:sz="4" w:space="0" w:color="auto"/>
            </w:tcBorders>
            <w:vAlign w:val="center"/>
            <w:hideMark/>
          </w:tcPr>
          <w:p w14:paraId="4617330E"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20,070.00 </w:t>
            </w:r>
          </w:p>
        </w:tc>
        <w:tc>
          <w:tcPr>
            <w:tcW w:w="317" w:type="pct"/>
            <w:tcBorders>
              <w:top w:val="nil"/>
              <w:left w:val="nil"/>
              <w:bottom w:val="single" w:sz="4" w:space="0" w:color="auto"/>
              <w:right w:val="single" w:sz="4" w:space="0" w:color="auto"/>
            </w:tcBorders>
            <w:vAlign w:val="center"/>
            <w:hideMark/>
          </w:tcPr>
          <w:p w14:paraId="030E81F2"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5E9BDCEE"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1C778343"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44,070.00 </w:t>
            </w:r>
          </w:p>
        </w:tc>
        <w:tc>
          <w:tcPr>
            <w:tcW w:w="211" w:type="pct"/>
            <w:tcBorders>
              <w:top w:val="nil"/>
              <w:left w:val="nil"/>
              <w:bottom w:val="single" w:sz="4" w:space="0" w:color="auto"/>
              <w:right w:val="single" w:sz="4" w:space="0" w:color="auto"/>
            </w:tcBorders>
            <w:vAlign w:val="center"/>
            <w:hideMark/>
          </w:tcPr>
          <w:p w14:paraId="2FF361EE" w14:textId="77777777" w:rsidR="008D1647" w:rsidRPr="00427DF8" w:rsidRDefault="008D1647"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5</w:t>
            </w:r>
          </w:p>
        </w:tc>
      </w:tr>
      <w:tr w:rsidR="008D1647" w:rsidRPr="00427DF8" w14:paraId="52853426" w14:textId="77777777" w:rsidTr="00B941A1">
        <w:trPr>
          <w:gridAfter w:val="1"/>
          <w:wAfter w:w="79" w:type="pct"/>
          <w:trHeight w:val="300"/>
        </w:trPr>
        <w:tc>
          <w:tcPr>
            <w:tcW w:w="383" w:type="pct"/>
            <w:vMerge/>
            <w:tcBorders>
              <w:left w:val="single" w:sz="4" w:space="0" w:color="auto"/>
              <w:right w:val="single" w:sz="4" w:space="0" w:color="auto"/>
            </w:tcBorders>
            <w:vAlign w:val="center"/>
            <w:hideMark/>
          </w:tcPr>
          <w:p w14:paraId="6091D4D6"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370" w:type="pct"/>
            <w:vMerge/>
            <w:tcBorders>
              <w:left w:val="single" w:sz="4" w:space="0" w:color="auto"/>
              <w:right w:val="single" w:sz="4" w:space="0" w:color="auto"/>
            </w:tcBorders>
            <w:vAlign w:val="center"/>
            <w:hideMark/>
          </w:tcPr>
          <w:p w14:paraId="559EFF2A" w14:textId="77777777" w:rsidR="008D1647" w:rsidRPr="00427DF8" w:rsidRDefault="008D1647" w:rsidP="00427DF8">
            <w:pPr>
              <w:spacing w:after="0" w:line="240" w:lineRule="auto"/>
              <w:rPr>
                <w:rFonts w:eastAsia="Times New Roman"/>
                <w:color w:val="000000"/>
                <w:sz w:val="18"/>
                <w:szCs w:val="18"/>
                <w:lang w:val="en-US" w:eastAsia="en-US"/>
              </w:rPr>
            </w:pPr>
          </w:p>
        </w:tc>
        <w:tc>
          <w:tcPr>
            <w:tcW w:w="302" w:type="pct"/>
            <w:vMerge/>
            <w:tcBorders>
              <w:left w:val="single" w:sz="4" w:space="0" w:color="auto"/>
              <w:right w:val="single" w:sz="4" w:space="0" w:color="auto"/>
            </w:tcBorders>
            <w:vAlign w:val="center"/>
            <w:hideMark/>
          </w:tcPr>
          <w:p w14:paraId="4FAFDDE6" w14:textId="77777777" w:rsidR="008D1647" w:rsidRPr="00427DF8" w:rsidRDefault="008D1647" w:rsidP="00427DF8">
            <w:pPr>
              <w:spacing w:after="0" w:line="240" w:lineRule="auto"/>
              <w:rPr>
                <w:rFonts w:eastAsia="Times New Roman"/>
                <w:color w:val="000000"/>
                <w:sz w:val="18"/>
                <w:szCs w:val="18"/>
                <w:lang w:val="en-US" w:eastAsia="en-US"/>
              </w:rPr>
            </w:pPr>
          </w:p>
        </w:tc>
        <w:tc>
          <w:tcPr>
            <w:tcW w:w="254" w:type="pct"/>
            <w:vMerge/>
            <w:tcBorders>
              <w:left w:val="single" w:sz="4" w:space="0" w:color="auto"/>
              <w:right w:val="single" w:sz="4" w:space="0" w:color="auto"/>
            </w:tcBorders>
            <w:vAlign w:val="center"/>
            <w:hideMark/>
          </w:tcPr>
          <w:p w14:paraId="28E0B31F"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54" w:type="pct"/>
            <w:vMerge/>
            <w:tcBorders>
              <w:left w:val="single" w:sz="4" w:space="0" w:color="auto"/>
              <w:right w:val="single" w:sz="4" w:space="0" w:color="auto"/>
            </w:tcBorders>
            <w:vAlign w:val="center"/>
            <w:hideMark/>
          </w:tcPr>
          <w:p w14:paraId="4F447BAF"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shd w:val="clear" w:color="000000" w:fill="FFFF00"/>
            <w:vAlign w:val="center"/>
            <w:hideMark/>
          </w:tcPr>
          <w:p w14:paraId="1149D719"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72600</w:t>
            </w:r>
          </w:p>
        </w:tc>
        <w:tc>
          <w:tcPr>
            <w:tcW w:w="728" w:type="pct"/>
            <w:tcBorders>
              <w:top w:val="nil"/>
              <w:left w:val="nil"/>
              <w:bottom w:val="single" w:sz="4" w:space="0" w:color="auto"/>
              <w:right w:val="single" w:sz="4" w:space="0" w:color="auto"/>
            </w:tcBorders>
            <w:shd w:val="clear" w:color="000000" w:fill="FFFF00"/>
            <w:vAlign w:val="center"/>
            <w:hideMark/>
          </w:tcPr>
          <w:p w14:paraId="58CD8A7C" w14:textId="77777777" w:rsidR="008D1647" w:rsidRPr="00427DF8" w:rsidRDefault="008D1647"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283" w:type="pct"/>
            <w:tcBorders>
              <w:top w:val="nil"/>
              <w:left w:val="nil"/>
              <w:bottom w:val="single" w:sz="4" w:space="0" w:color="auto"/>
              <w:right w:val="single" w:sz="4" w:space="0" w:color="auto"/>
            </w:tcBorders>
            <w:shd w:val="clear" w:color="000000" w:fill="FFFF00"/>
            <w:vAlign w:val="center"/>
            <w:hideMark/>
          </w:tcPr>
          <w:p w14:paraId="60469DEC"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283" w:type="pct"/>
            <w:tcBorders>
              <w:top w:val="nil"/>
              <w:left w:val="nil"/>
              <w:bottom w:val="single" w:sz="4" w:space="0" w:color="auto"/>
              <w:right w:val="single" w:sz="4" w:space="0" w:color="auto"/>
            </w:tcBorders>
            <w:shd w:val="clear" w:color="000000" w:fill="FFFF00"/>
            <w:vAlign w:val="center"/>
            <w:hideMark/>
          </w:tcPr>
          <w:p w14:paraId="10254FA3"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317" w:type="pct"/>
            <w:tcBorders>
              <w:top w:val="nil"/>
              <w:left w:val="nil"/>
              <w:bottom w:val="single" w:sz="4" w:space="0" w:color="auto"/>
              <w:right w:val="single" w:sz="4" w:space="0" w:color="auto"/>
            </w:tcBorders>
            <w:shd w:val="clear" w:color="000000" w:fill="FFFF00"/>
            <w:vAlign w:val="center"/>
            <w:hideMark/>
          </w:tcPr>
          <w:p w14:paraId="026CDF15"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w:t>
            </w:r>
          </w:p>
        </w:tc>
        <w:tc>
          <w:tcPr>
            <w:tcW w:w="317" w:type="pct"/>
            <w:tcBorders>
              <w:top w:val="nil"/>
              <w:left w:val="nil"/>
              <w:bottom w:val="single" w:sz="4" w:space="0" w:color="auto"/>
              <w:right w:val="single" w:sz="4" w:space="0" w:color="auto"/>
            </w:tcBorders>
            <w:shd w:val="clear" w:color="000000" w:fill="FFFF00"/>
            <w:vAlign w:val="center"/>
            <w:hideMark/>
          </w:tcPr>
          <w:p w14:paraId="25B6EB51"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w:t>
            </w:r>
          </w:p>
        </w:tc>
        <w:tc>
          <w:tcPr>
            <w:tcW w:w="317" w:type="pct"/>
            <w:tcBorders>
              <w:top w:val="nil"/>
              <w:left w:val="nil"/>
              <w:bottom w:val="single" w:sz="4" w:space="0" w:color="auto"/>
              <w:right w:val="single" w:sz="4" w:space="0" w:color="auto"/>
            </w:tcBorders>
            <w:shd w:val="clear" w:color="000000" w:fill="FFFF00"/>
            <w:vAlign w:val="center"/>
            <w:hideMark/>
          </w:tcPr>
          <w:p w14:paraId="756E4F3A"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20,000.00 </w:t>
            </w:r>
          </w:p>
        </w:tc>
        <w:tc>
          <w:tcPr>
            <w:tcW w:w="283" w:type="pct"/>
            <w:tcBorders>
              <w:top w:val="nil"/>
              <w:left w:val="nil"/>
              <w:bottom w:val="single" w:sz="4" w:space="0" w:color="auto"/>
              <w:right w:val="single" w:sz="4" w:space="0" w:color="auto"/>
            </w:tcBorders>
            <w:shd w:val="clear" w:color="000000" w:fill="FFFF00"/>
            <w:vAlign w:val="center"/>
            <w:hideMark/>
          </w:tcPr>
          <w:p w14:paraId="23E25BE2"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40,000.00 </w:t>
            </w:r>
          </w:p>
        </w:tc>
        <w:tc>
          <w:tcPr>
            <w:tcW w:w="352" w:type="pct"/>
            <w:tcBorders>
              <w:top w:val="nil"/>
              <w:left w:val="nil"/>
              <w:bottom w:val="single" w:sz="4" w:space="0" w:color="auto"/>
              <w:right w:val="single" w:sz="4" w:space="0" w:color="auto"/>
            </w:tcBorders>
            <w:shd w:val="clear" w:color="000000" w:fill="FFFF00"/>
            <w:vAlign w:val="center"/>
            <w:hideMark/>
          </w:tcPr>
          <w:p w14:paraId="3DEBB1A9"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60,000.00 </w:t>
            </w:r>
          </w:p>
        </w:tc>
        <w:tc>
          <w:tcPr>
            <w:tcW w:w="211" w:type="pct"/>
            <w:tcBorders>
              <w:top w:val="nil"/>
              <w:left w:val="nil"/>
              <w:bottom w:val="single" w:sz="4" w:space="0" w:color="auto"/>
              <w:right w:val="single" w:sz="4" w:space="0" w:color="auto"/>
            </w:tcBorders>
            <w:shd w:val="clear" w:color="000000" w:fill="FFFF00"/>
            <w:vAlign w:val="center"/>
            <w:hideMark/>
          </w:tcPr>
          <w:p w14:paraId="160B81F4" w14:textId="77777777" w:rsidR="008D1647" w:rsidRPr="00427DF8" w:rsidRDefault="008D1647"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6</w:t>
            </w:r>
          </w:p>
        </w:tc>
      </w:tr>
      <w:tr w:rsidR="008D1647" w:rsidRPr="00427DF8" w14:paraId="36F933D1" w14:textId="77777777" w:rsidTr="00B941A1">
        <w:trPr>
          <w:gridAfter w:val="1"/>
          <w:wAfter w:w="79" w:type="pct"/>
          <w:trHeight w:val="300"/>
        </w:trPr>
        <w:tc>
          <w:tcPr>
            <w:tcW w:w="383" w:type="pct"/>
            <w:vMerge/>
            <w:tcBorders>
              <w:left w:val="single" w:sz="4" w:space="0" w:color="auto"/>
              <w:right w:val="single" w:sz="4" w:space="0" w:color="auto"/>
            </w:tcBorders>
            <w:vAlign w:val="center"/>
            <w:hideMark/>
          </w:tcPr>
          <w:p w14:paraId="5B2E6CB8"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370" w:type="pct"/>
            <w:vMerge/>
            <w:tcBorders>
              <w:left w:val="single" w:sz="4" w:space="0" w:color="auto"/>
              <w:right w:val="single" w:sz="4" w:space="0" w:color="auto"/>
            </w:tcBorders>
            <w:vAlign w:val="center"/>
            <w:hideMark/>
          </w:tcPr>
          <w:p w14:paraId="1F0DC3A9" w14:textId="77777777" w:rsidR="008D1647" w:rsidRPr="00427DF8" w:rsidRDefault="008D1647" w:rsidP="00427DF8">
            <w:pPr>
              <w:spacing w:after="0" w:line="240" w:lineRule="auto"/>
              <w:rPr>
                <w:rFonts w:eastAsia="Times New Roman"/>
                <w:color w:val="000000"/>
                <w:sz w:val="18"/>
                <w:szCs w:val="18"/>
                <w:lang w:val="en-US" w:eastAsia="en-US"/>
              </w:rPr>
            </w:pPr>
          </w:p>
        </w:tc>
        <w:tc>
          <w:tcPr>
            <w:tcW w:w="302" w:type="pct"/>
            <w:vMerge/>
            <w:tcBorders>
              <w:left w:val="single" w:sz="4" w:space="0" w:color="auto"/>
              <w:right w:val="single" w:sz="4" w:space="0" w:color="auto"/>
            </w:tcBorders>
            <w:vAlign w:val="center"/>
            <w:hideMark/>
          </w:tcPr>
          <w:p w14:paraId="6E17E4B0" w14:textId="77777777" w:rsidR="008D1647" w:rsidRPr="00427DF8" w:rsidRDefault="008D1647" w:rsidP="00427DF8">
            <w:pPr>
              <w:spacing w:after="0" w:line="240" w:lineRule="auto"/>
              <w:rPr>
                <w:rFonts w:eastAsia="Times New Roman"/>
                <w:color w:val="000000"/>
                <w:sz w:val="18"/>
                <w:szCs w:val="18"/>
                <w:lang w:val="en-US" w:eastAsia="en-US"/>
              </w:rPr>
            </w:pPr>
          </w:p>
        </w:tc>
        <w:tc>
          <w:tcPr>
            <w:tcW w:w="254" w:type="pct"/>
            <w:vMerge/>
            <w:tcBorders>
              <w:left w:val="single" w:sz="4" w:space="0" w:color="auto"/>
              <w:right w:val="single" w:sz="4" w:space="0" w:color="auto"/>
            </w:tcBorders>
            <w:vAlign w:val="center"/>
            <w:hideMark/>
          </w:tcPr>
          <w:p w14:paraId="25AD19EB"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54" w:type="pct"/>
            <w:vMerge/>
            <w:tcBorders>
              <w:left w:val="single" w:sz="4" w:space="0" w:color="auto"/>
              <w:right w:val="single" w:sz="4" w:space="0" w:color="auto"/>
            </w:tcBorders>
            <w:vAlign w:val="center"/>
            <w:hideMark/>
          </w:tcPr>
          <w:p w14:paraId="7CC80816"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20EB2B48"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75700</w:t>
            </w:r>
          </w:p>
        </w:tc>
        <w:tc>
          <w:tcPr>
            <w:tcW w:w="728" w:type="pct"/>
            <w:tcBorders>
              <w:top w:val="nil"/>
              <w:left w:val="nil"/>
              <w:bottom w:val="single" w:sz="4" w:space="0" w:color="auto"/>
              <w:right w:val="single" w:sz="4" w:space="0" w:color="auto"/>
            </w:tcBorders>
            <w:vAlign w:val="center"/>
            <w:hideMark/>
          </w:tcPr>
          <w:p w14:paraId="78E82339" w14:textId="77777777" w:rsidR="008D1647" w:rsidRPr="00427DF8" w:rsidRDefault="008D1647"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Training, workshops and conferences </w:t>
            </w:r>
          </w:p>
        </w:tc>
        <w:tc>
          <w:tcPr>
            <w:tcW w:w="283" w:type="pct"/>
            <w:tcBorders>
              <w:top w:val="nil"/>
              <w:left w:val="nil"/>
              <w:bottom w:val="single" w:sz="4" w:space="0" w:color="auto"/>
              <w:right w:val="single" w:sz="4" w:space="0" w:color="auto"/>
            </w:tcBorders>
            <w:vAlign w:val="center"/>
            <w:hideMark/>
          </w:tcPr>
          <w:p w14:paraId="7C9C3924"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1049089A"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317" w:type="pct"/>
            <w:tcBorders>
              <w:top w:val="nil"/>
              <w:left w:val="nil"/>
              <w:bottom w:val="single" w:sz="4" w:space="0" w:color="auto"/>
              <w:right w:val="single" w:sz="4" w:space="0" w:color="auto"/>
            </w:tcBorders>
            <w:shd w:val="clear" w:color="000000" w:fill="FFFF00"/>
            <w:vAlign w:val="center"/>
            <w:hideMark/>
          </w:tcPr>
          <w:p w14:paraId="5CDBAC6C" w14:textId="77777777" w:rsidR="008D1647" w:rsidRPr="00427DF8" w:rsidRDefault="008D1647"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41,000.00 </w:t>
            </w:r>
          </w:p>
        </w:tc>
        <w:tc>
          <w:tcPr>
            <w:tcW w:w="317" w:type="pct"/>
            <w:tcBorders>
              <w:top w:val="nil"/>
              <w:left w:val="nil"/>
              <w:bottom w:val="single" w:sz="4" w:space="0" w:color="auto"/>
              <w:right w:val="single" w:sz="4" w:space="0" w:color="auto"/>
            </w:tcBorders>
            <w:shd w:val="clear" w:color="000000" w:fill="FFFF00"/>
            <w:vAlign w:val="center"/>
            <w:hideMark/>
          </w:tcPr>
          <w:p w14:paraId="72729914"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16,000.00 </w:t>
            </w:r>
          </w:p>
        </w:tc>
        <w:tc>
          <w:tcPr>
            <w:tcW w:w="317" w:type="pct"/>
            <w:tcBorders>
              <w:top w:val="nil"/>
              <w:left w:val="nil"/>
              <w:bottom w:val="single" w:sz="4" w:space="0" w:color="auto"/>
              <w:right w:val="single" w:sz="4" w:space="0" w:color="auto"/>
            </w:tcBorders>
            <w:shd w:val="clear" w:color="000000" w:fill="FFFF00"/>
            <w:vAlign w:val="center"/>
            <w:hideMark/>
          </w:tcPr>
          <w:p w14:paraId="3167790C" w14:textId="77777777" w:rsidR="008D1647" w:rsidRPr="00427DF8" w:rsidRDefault="008D1647"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31,000.00 </w:t>
            </w:r>
          </w:p>
        </w:tc>
        <w:tc>
          <w:tcPr>
            <w:tcW w:w="283" w:type="pct"/>
            <w:tcBorders>
              <w:top w:val="nil"/>
              <w:left w:val="nil"/>
              <w:bottom w:val="single" w:sz="4" w:space="0" w:color="auto"/>
              <w:right w:val="single" w:sz="4" w:space="0" w:color="auto"/>
            </w:tcBorders>
            <w:shd w:val="clear" w:color="000000" w:fill="FFFF00"/>
            <w:vAlign w:val="center"/>
            <w:hideMark/>
          </w:tcPr>
          <w:p w14:paraId="699B80AC"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16,400.00 </w:t>
            </w:r>
          </w:p>
        </w:tc>
        <w:tc>
          <w:tcPr>
            <w:tcW w:w="352" w:type="pct"/>
            <w:tcBorders>
              <w:top w:val="nil"/>
              <w:left w:val="nil"/>
              <w:bottom w:val="single" w:sz="4" w:space="0" w:color="auto"/>
              <w:right w:val="single" w:sz="4" w:space="0" w:color="auto"/>
            </w:tcBorders>
            <w:shd w:val="clear" w:color="000000" w:fill="FFFF00"/>
            <w:vAlign w:val="center"/>
            <w:hideMark/>
          </w:tcPr>
          <w:p w14:paraId="0DA432FC" w14:textId="77777777" w:rsidR="008D1647" w:rsidRPr="00427DF8" w:rsidRDefault="008D1647"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104,400.00 </w:t>
            </w:r>
          </w:p>
        </w:tc>
        <w:tc>
          <w:tcPr>
            <w:tcW w:w="211" w:type="pct"/>
            <w:tcBorders>
              <w:top w:val="nil"/>
              <w:left w:val="nil"/>
              <w:bottom w:val="single" w:sz="4" w:space="0" w:color="auto"/>
              <w:right w:val="single" w:sz="4" w:space="0" w:color="auto"/>
            </w:tcBorders>
            <w:shd w:val="clear" w:color="000000" w:fill="FFFF00"/>
            <w:vAlign w:val="center"/>
            <w:hideMark/>
          </w:tcPr>
          <w:p w14:paraId="6F44A19F" w14:textId="77777777" w:rsidR="008D1647" w:rsidRPr="00427DF8" w:rsidRDefault="008D1647"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7</w:t>
            </w:r>
          </w:p>
        </w:tc>
      </w:tr>
      <w:tr w:rsidR="008D1647" w:rsidRPr="00427DF8" w14:paraId="148B5397" w14:textId="77777777" w:rsidTr="00B941A1">
        <w:trPr>
          <w:gridAfter w:val="1"/>
          <w:wAfter w:w="79" w:type="pct"/>
          <w:trHeight w:val="300"/>
        </w:trPr>
        <w:tc>
          <w:tcPr>
            <w:tcW w:w="383" w:type="pct"/>
            <w:vMerge/>
            <w:tcBorders>
              <w:left w:val="single" w:sz="4" w:space="0" w:color="auto"/>
              <w:right w:val="single" w:sz="4" w:space="0" w:color="auto"/>
            </w:tcBorders>
            <w:vAlign w:val="center"/>
            <w:hideMark/>
          </w:tcPr>
          <w:p w14:paraId="1145B7DD"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370" w:type="pct"/>
            <w:vMerge/>
            <w:tcBorders>
              <w:left w:val="single" w:sz="4" w:space="0" w:color="auto"/>
              <w:right w:val="single" w:sz="4" w:space="0" w:color="auto"/>
            </w:tcBorders>
            <w:vAlign w:val="center"/>
            <w:hideMark/>
          </w:tcPr>
          <w:p w14:paraId="3AAB5215" w14:textId="77777777" w:rsidR="008D1647" w:rsidRPr="00427DF8" w:rsidRDefault="008D1647" w:rsidP="00427DF8">
            <w:pPr>
              <w:spacing w:after="0" w:line="240" w:lineRule="auto"/>
              <w:rPr>
                <w:rFonts w:eastAsia="Times New Roman"/>
                <w:color w:val="000000"/>
                <w:sz w:val="18"/>
                <w:szCs w:val="18"/>
                <w:lang w:val="en-US" w:eastAsia="en-US"/>
              </w:rPr>
            </w:pPr>
          </w:p>
        </w:tc>
        <w:tc>
          <w:tcPr>
            <w:tcW w:w="302" w:type="pct"/>
            <w:vMerge/>
            <w:tcBorders>
              <w:left w:val="single" w:sz="4" w:space="0" w:color="auto"/>
              <w:right w:val="single" w:sz="4" w:space="0" w:color="auto"/>
            </w:tcBorders>
            <w:vAlign w:val="center"/>
            <w:hideMark/>
          </w:tcPr>
          <w:p w14:paraId="5978BD54" w14:textId="77777777" w:rsidR="008D1647" w:rsidRPr="00427DF8" w:rsidRDefault="008D1647" w:rsidP="00427DF8">
            <w:pPr>
              <w:spacing w:after="0" w:line="240" w:lineRule="auto"/>
              <w:rPr>
                <w:rFonts w:eastAsia="Times New Roman"/>
                <w:color w:val="000000"/>
                <w:sz w:val="18"/>
                <w:szCs w:val="18"/>
                <w:lang w:val="en-US" w:eastAsia="en-US"/>
              </w:rPr>
            </w:pPr>
          </w:p>
        </w:tc>
        <w:tc>
          <w:tcPr>
            <w:tcW w:w="254" w:type="pct"/>
            <w:vMerge/>
            <w:tcBorders>
              <w:left w:val="single" w:sz="4" w:space="0" w:color="auto"/>
              <w:right w:val="single" w:sz="4" w:space="0" w:color="auto"/>
            </w:tcBorders>
            <w:vAlign w:val="center"/>
            <w:hideMark/>
          </w:tcPr>
          <w:p w14:paraId="08042738"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54" w:type="pct"/>
            <w:vMerge/>
            <w:tcBorders>
              <w:left w:val="single" w:sz="4" w:space="0" w:color="auto"/>
              <w:right w:val="single" w:sz="4" w:space="0" w:color="auto"/>
            </w:tcBorders>
            <w:vAlign w:val="center"/>
            <w:hideMark/>
          </w:tcPr>
          <w:p w14:paraId="226151CF"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0A8C2A19"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74200</w:t>
            </w:r>
          </w:p>
        </w:tc>
        <w:tc>
          <w:tcPr>
            <w:tcW w:w="728" w:type="pct"/>
            <w:tcBorders>
              <w:top w:val="nil"/>
              <w:left w:val="nil"/>
              <w:bottom w:val="single" w:sz="4" w:space="0" w:color="auto"/>
              <w:right w:val="single" w:sz="4" w:space="0" w:color="auto"/>
            </w:tcBorders>
            <w:vAlign w:val="center"/>
            <w:hideMark/>
          </w:tcPr>
          <w:p w14:paraId="3E37C7E4" w14:textId="77777777" w:rsidR="008D1647" w:rsidRPr="00427DF8" w:rsidRDefault="008D1647"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Audiovisual and print production costs </w:t>
            </w:r>
          </w:p>
        </w:tc>
        <w:tc>
          <w:tcPr>
            <w:tcW w:w="283" w:type="pct"/>
            <w:tcBorders>
              <w:top w:val="nil"/>
              <w:left w:val="nil"/>
              <w:bottom w:val="single" w:sz="4" w:space="0" w:color="auto"/>
              <w:right w:val="single" w:sz="4" w:space="0" w:color="auto"/>
            </w:tcBorders>
            <w:vAlign w:val="center"/>
            <w:hideMark/>
          </w:tcPr>
          <w:p w14:paraId="7CFC4240"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74869BF0"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6B194EC8"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44F02D97"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10,000.00 </w:t>
            </w:r>
          </w:p>
        </w:tc>
        <w:tc>
          <w:tcPr>
            <w:tcW w:w="317" w:type="pct"/>
            <w:tcBorders>
              <w:top w:val="nil"/>
              <w:left w:val="nil"/>
              <w:bottom w:val="single" w:sz="4" w:space="0" w:color="auto"/>
              <w:right w:val="single" w:sz="4" w:space="0" w:color="auto"/>
            </w:tcBorders>
            <w:vAlign w:val="center"/>
            <w:hideMark/>
          </w:tcPr>
          <w:p w14:paraId="4D11D917"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40C21C06"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71B9F5C2"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10,000.00 </w:t>
            </w:r>
          </w:p>
        </w:tc>
        <w:tc>
          <w:tcPr>
            <w:tcW w:w="211" w:type="pct"/>
            <w:tcBorders>
              <w:top w:val="nil"/>
              <w:left w:val="nil"/>
              <w:bottom w:val="single" w:sz="4" w:space="0" w:color="auto"/>
              <w:right w:val="single" w:sz="4" w:space="0" w:color="auto"/>
            </w:tcBorders>
            <w:vAlign w:val="center"/>
            <w:hideMark/>
          </w:tcPr>
          <w:p w14:paraId="0615FCAE" w14:textId="77777777" w:rsidR="008D1647" w:rsidRPr="00427DF8" w:rsidRDefault="008D1647"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8</w:t>
            </w:r>
          </w:p>
        </w:tc>
      </w:tr>
      <w:tr w:rsidR="008D1647" w:rsidRPr="00427DF8" w14:paraId="1E9E794B" w14:textId="77777777" w:rsidTr="00B941A1">
        <w:trPr>
          <w:gridAfter w:val="1"/>
          <w:wAfter w:w="79" w:type="pct"/>
          <w:trHeight w:val="300"/>
        </w:trPr>
        <w:tc>
          <w:tcPr>
            <w:tcW w:w="383" w:type="pct"/>
            <w:vMerge/>
            <w:tcBorders>
              <w:left w:val="single" w:sz="4" w:space="0" w:color="auto"/>
              <w:right w:val="single" w:sz="4" w:space="0" w:color="auto"/>
            </w:tcBorders>
            <w:vAlign w:val="center"/>
            <w:hideMark/>
          </w:tcPr>
          <w:p w14:paraId="40127A0F"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370" w:type="pct"/>
            <w:vMerge/>
            <w:tcBorders>
              <w:left w:val="single" w:sz="4" w:space="0" w:color="auto"/>
              <w:right w:val="single" w:sz="4" w:space="0" w:color="auto"/>
            </w:tcBorders>
            <w:vAlign w:val="center"/>
            <w:hideMark/>
          </w:tcPr>
          <w:p w14:paraId="1FE15FC0" w14:textId="77777777" w:rsidR="008D1647" w:rsidRPr="00427DF8" w:rsidRDefault="008D1647" w:rsidP="00427DF8">
            <w:pPr>
              <w:spacing w:after="0" w:line="240" w:lineRule="auto"/>
              <w:rPr>
                <w:rFonts w:eastAsia="Times New Roman"/>
                <w:color w:val="000000"/>
                <w:sz w:val="18"/>
                <w:szCs w:val="18"/>
                <w:lang w:val="en-US" w:eastAsia="en-US"/>
              </w:rPr>
            </w:pPr>
          </w:p>
        </w:tc>
        <w:tc>
          <w:tcPr>
            <w:tcW w:w="302" w:type="pct"/>
            <w:vMerge/>
            <w:tcBorders>
              <w:left w:val="single" w:sz="4" w:space="0" w:color="auto"/>
              <w:right w:val="single" w:sz="4" w:space="0" w:color="auto"/>
            </w:tcBorders>
            <w:vAlign w:val="center"/>
            <w:hideMark/>
          </w:tcPr>
          <w:p w14:paraId="24231B79" w14:textId="77777777" w:rsidR="008D1647" w:rsidRPr="00427DF8" w:rsidRDefault="008D1647" w:rsidP="00427DF8">
            <w:pPr>
              <w:spacing w:after="0" w:line="240" w:lineRule="auto"/>
              <w:rPr>
                <w:rFonts w:eastAsia="Times New Roman"/>
                <w:color w:val="000000"/>
                <w:sz w:val="18"/>
                <w:szCs w:val="18"/>
                <w:lang w:val="en-US" w:eastAsia="en-US"/>
              </w:rPr>
            </w:pPr>
          </w:p>
        </w:tc>
        <w:tc>
          <w:tcPr>
            <w:tcW w:w="254" w:type="pct"/>
            <w:vMerge/>
            <w:tcBorders>
              <w:left w:val="single" w:sz="4" w:space="0" w:color="auto"/>
              <w:bottom w:val="single" w:sz="4" w:space="0" w:color="000000"/>
              <w:right w:val="single" w:sz="4" w:space="0" w:color="auto"/>
            </w:tcBorders>
            <w:vAlign w:val="center"/>
            <w:hideMark/>
          </w:tcPr>
          <w:p w14:paraId="71E1B8CF"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54" w:type="pct"/>
            <w:vMerge/>
            <w:tcBorders>
              <w:left w:val="single" w:sz="4" w:space="0" w:color="auto"/>
              <w:bottom w:val="single" w:sz="4" w:space="0" w:color="000000"/>
              <w:right w:val="single" w:sz="4" w:space="0" w:color="auto"/>
            </w:tcBorders>
            <w:vAlign w:val="center"/>
            <w:hideMark/>
          </w:tcPr>
          <w:p w14:paraId="7B7BE4D1"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5B061D6F"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72800</w:t>
            </w:r>
          </w:p>
        </w:tc>
        <w:tc>
          <w:tcPr>
            <w:tcW w:w="728" w:type="pct"/>
            <w:tcBorders>
              <w:top w:val="nil"/>
              <w:left w:val="nil"/>
              <w:bottom w:val="single" w:sz="4" w:space="0" w:color="auto"/>
              <w:right w:val="single" w:sz="4" w:space="0" w:color="auto"/>
            </w:tcBorders>
            <w:vAlign w:val="center"/>
            <w:hideMark/>
          </w:tcPr>
          <w:p w14:paraId="14A420BD" w14:textId="77777777" w:rsidR="008D1647" w:rsidRPr="00B168B9" w:rsidRDefault="008D1647" w:rsidP="00427DF8">
            <w:pPr>
              <w:spacing w:after="0" w:line="240" w:lineRule="auto"/>
              <w:rPr>
                <w:rFonts w:eastAsia="Times New Roman"/>
                <w:color w:val="000000"/>
                <w:sz w:val="18"/>
                <w:szCs w:val="18"/>
                <w:lang w:eastAsia="en-US"/>
              </w:rPr>
            </w:pPr>
            <w:r w:rsidRPr="00B168B9">
              <w:rPr>
                <w:rFonts w:eastAsia="Times New Roman"/>
                <w:color w:val="000000"/>
                <w:sz w:val="18"/>
                <w:szCs w:val="18"/>
                <w:lang w:eastAsia="en-US"/>
              </w:rPr>
              <w:t>Équipement de technologie de l'information </w:t>
            </w:r>
          </w:p>
        </w:tc>
        <w:tc>
          <w:tcPr>
            <w:tcW w:w="283" w:type="pct"/>
            <w:tcBorders>
              <w:top w:val="nil"/>
              <w:left w:val="nil"/>
              <w:bottom w:val="single" w:sz="4" w:space="0" w:color="auto"/>
              <w:right w:val="single" w:sz="4" w:space="0" w:color="auto"/>
            </w:tcBorders>
            <w:vAlign w:val="center"/>
            <w:hideMark/>
          </w:tcPr>
          <w:p w14:paraId="7788BE56" w14:textId="77777777" w:rsidR="008D1647" w:rsidRPr="00427DF8" w:rsidRDefault="008D1647" w:rsidP="00427DF8">
            <w:pPr>
              <w:spacing w:after="0" w:line="240" w:lineRule="auto"/>
              <w:jc w:val="right"/>
              <w:rPr>
                <w:rFonts w:eastAsia="Times New Roman"/>
                <w:color w:val="000000"/>
                <w:sz w:val="18"/>
                <w:szCs w:val="18"/>
                <w:lang w:val="en-US" w:eastAsia="en-US"/>
              </w:rPr>
            </w:pPr>
            <w:r w:rsidRPr="00B168B9">
              <w:rPr>
                <w:rFonts w:eastAsia="Times New Roman"/>
                <w:color w:val="000000"/>
                <w:sz w:val="18"/>
                <w:szCs w:val="18"/>
                <w:lang w:eastAsia="en-US"/>
              </w:rPr>
              <w:t xml:space="preserve">                             </w:t>
            </w:r>
            <w:r w:rsidRPr="00427DF8">
              <w:rPr>
                <w:rFonts w:eastAsia="Times New Roman"/>
                <w:color w:val="000000"/>
                <w:sz w:val="18"/>
                <w:szCs w:val="18"/>
                <w:lang w:val="en-US" w:eastAsia="en-US"/>
              </w:rPr>
              <w:t xml:space="preserve">-   </w:t>
            </w:r>
          </w:p>
        </w:tc>
        <w:tc>
          <w:tcPr>
            <w:tcW w:w="283" w:type="pct"/>
            <w:tcBorders>
              <w:top w:val="nil"/>
              <w:left w:val="nil"/>
              <w:bottom w:val="single" w:sz="4" w:space="0" w:color="auto"/>
              <w:right w:val="single" w:sz="4" w:space="0" w:color="auto"/>
            </w:tcBorders>
            <w:vAlign w:val="center"/>
            <w:hideMark/>
          </w:tcPr>
          <w:p w14:paraId="53FAD49D"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58BB701D"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29C8E3A6"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1AD22C5A"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10,000.00 </w:t>
            </w:r>
          </w:p>
        </w:tc>
        <w:tc>
          <w:tcPr>
            <w:tcW w:w="283" w:type="pct"/>
            <w:tcBorders>
              <w:top w:val="nil"/>
              <w:left w:val="nil"/>
              <w:bottom w:val="single" w:sz="4" w:space="0" w:color="auto"/>
              <w:right w:val="single" w:sz="4" w:space="0" w:color="auto"/>
            </w:tcBorders>
            <w:vAlign w:val="center"/>
            <w:hideMark/>
          </w:tcPr>
          <w:p w14:paraId="0BFC3265"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6525FAEC"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10,000.00 </w:t>
            </w:r>
          </w:p>
        </w:tc>
        <w:tc>
          <w:tcPr>
            <w:tcW w:w="211" w:type="pct"/>
            <w:tcBorders>
              <w:top w:val="nil"/>
              <w:left w:val="nil"/>
              <w:bottom w:val="single" w:sz="4" w:space="0" w:color="auto"/>
              <w:right w:val="single" w:sz="4" w:space="0" w:color="auto"/>
            </w:tcBorders>
            <w:vAlign w:val="center"/>
            <w:hideMark/>
          </w:tcPr>
          <w:p w14:paraId="7D180C58" w14:textId="77777777" w:rsidR="008D1647" w:rsidRPr="00427DF8" w:rsidRDefault="008D1647"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9</w:t>
            </w:r>
          </w:p>
        </w:tc>
      </w:tr>
      <w:tr w:rsidR="008D1647" w:rsidRPr="00427DF8" w14:paraId="7990D78D" w14:textId="77777777" w:rsidTr="00D941B6">
        <w:trPr>
          <w:gridAfter w:val="1"/>
          <w:wAfter w:w="79" w:type="pct"/>
          <w:trHeight w:val="289"/>
        </w:trPr>
        <w:tc>
          <w:tcPr>
            <w:tcW w:w="383" w:type="pct"/>
            <w:vMerge/>
            <w:tcBorders>
              <w:left w:val="single" w:sz="4" w:space="0" w:color="auto"/>
              <w:right w:val="single" w:sz="4" w:space="0" w:color="auto"/>
            </w:tcBorders>
            <w:vAlign w:val="center"/>
            <w:hideMark/>
          </w:tcPr>
          <w:p w14:paraId="409FE652"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370" w:type="pct"/>
            <w:vMerge/>
            <w:tcBorders>
              <w:left w:val="single" w:sz="4" w:space="0" w:color="auto"/>
              <w:right w:val="single" w:sz="4" w:space="0" w:color="auto"/>
            </w:tcBorders>
            <w:vAlign w:val="center"/>
            <w:hideMark/>
          </w:tcPr>
          <w:p w14:paraId="5153BAD8" w14:textId="77777777" w:rsidR="008D1647" w:rsidRPr="00427DF8" w:rsidRDefault="008D1647" w:rsidP="00427DF8">
            <w:pPr>
              <w:spacing w:after="0" w:line="240" w:lineRule="auto"/>
              <w:rPr>
                <w:rFonts w:eastAsia="Times New Roman"/>
                <w:color w:val="000000"/>
                <w:sz w:val="18"/>
                <w:szCs w:val="18"/>
                <w:lang w:val="en-US" w:eastAsia="en-US"/>
              </w:rPr>
            </w:pPr>
          </w:p>
        </w:tc>
        <w:tc>
          <w:tcPr>
            <w:tcW w:w="302" w:type="pct"/>
            <w:vMerge/>
            <w:tcBorders>
              <w:left w:val="single" w:sz="4" w:space="0" w:color="auto"/>
              <w:right w:val="single" w:sz="4" w:space="0" w:color="auto"/>
            </w:tcBorders>
            <w:vAlign w:val="center"/>
            <w:hideMark/>
          </w:tcPr>
          <w:p w14:paraId="1433CF42" w14:textId="77777777" w:rsidR="008D1647" w:rsidRPr="00427DF8" w:rsidRDefault="008D1647" w:rsidP="00427DF8">
            <w:pPr>
              <w:spacing w:after="0" w:line="240" w:lineRule="auto"/>
              <w:rPr>
                <w:rFonts w:eastAsia="Times New Roman"/>
                <w:color w:val="000000"/>
                <w:sz w:val="18"/>
                <w:szCs w:val="18"/>
                <w:lang w:val="en-US" w:eastAsia="en-US"/>
              </w:rPr>
            </w:pPr>
          </w:p>
        </w:tc>
        <w:tc>
          <w:tcPr>
            <w:tcW w:w="254" w:type="pct"/>
            <w:tcBorders>
              <w:top w:val="nil"/>
              <w:left w:val="nil"/>
              <w:bottom w:val="single" w:sz="4" w:space="0" w:color="auto"/>
              <w:right w:val="single" w:sz="4" w:space="0" w:color="auto"/>
            </w:tcBorders>
            <w:shd w:val="clear" w:color="000000" w:fill="92D050"/>
            <w:vAlign w:val="center"/>
            <w:hideMark/>
          </w:tcPr>
          <w:p w14:paraId="22A2C1D6" w14:textId="77777777" w:rsidR="008D1647" w:rsidRPr="00427DF8" w:rsidRDefault="008D1647"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w:t>
            </w:r>
          </w:p>
        </w:tc>
        <w:tc>
          <w:tcPr>
            <w:tcW w:w="254" w:type="pct"/>
            <w:tcBorders>
              <w:top w:val="nil"/>
              <w:left w:val="nil"/>
              <w:bottom w:val="single" w:sz="4" w:space="0" w:color="auto"/>
              <w:right w:val="single" w:sz="4" w:space="0" w:color="auto"/>
            </w:tcBorders>
            <w:shd w:val="clear" w:color="000000" w:fill="92D050"/>
            <w:vAlign w:val="center"/>
            <w:hideMark/>
          </w:tcPr>
          <w:p w14:paraId="58F304AF" w14:textId="77777777" w:rsidR="008D1647" w:rsidRPr="00427DF8" w:rsidRDefault="008D1647"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w:t>
            </w:r>
          </w:p>
        </w:tc>
        <w:tc>
          <w:tcPr>
            <w:tcW w:w="997" w:type="pct"/>
            <w:gridSpan w:val="2"/>
            <w:tcBorders>
              <w:top w:val="single" w:sz="4" w:space="0" w:color="auto"/>
              <w:left w:val="nil"/>
              <w:bottom w:val="single" w:sz="4" w:space="0" w:color="auto"/>
              <w:right w:val="single" w:sz="4" w:space="0" w:color="000000"/>
            </w:tcBorders>
            <w:shd w:val="clear" w:color="000000" w:fill="92D050"/>
            <w:vAlign w:val="center"/>
            <w:hideMark/>
          </w:tcPr>
          <w:p w14:paraId="7E079486" w14:textId="77777777" w:rsidR="008D1647" w:rsidRPr="00427DF8" w:rsidRDefault="008D1647" w:rsidP="00427DF8">
            <w:pPr>
              <w:spacing w:after="0" w:line="240" w:lineRule="auto"/>
              <w:jc w:val="right"/>
              <w:rPr>
                <w:rFonts w:eastAsia="Times New Roman"/>
                <w:b/>
                <w:bCs/>
                <w:color w:val="000000"/>
                <w:sz w:val="18"/>
                <w:szCs w:val="18"/>
                <w:lang w:val="en-US" w:eastAsia="en-US"/>
              </w:rPr>
            </w:pPr>
            <w:proofErr w:type="spellStart"/>
            <w:r w:rsidRPr="00427DF8">
              <w:rPr>
                <w:rFonts w:eastAsia="Times New Roman"/>
                <w:b/>
                <w:bCs/>
                <w:color w:val="000000"/>
                <w:sz w:val="18"/>
                <w:szCs w:val="18"/>
                <w:lang w:val="en-US" w:eastAsia="en-US"/>
              </w:rPr>
              <w:t>Sub total</w:t>
            </w:r>
            <w:proofErr w:type="spellEnd"/>
            <w:r w:rsidRPr="00427DF8">
              <w:rPr>
                <w:rFonts w:eastAsia="Times New Roman"/>
                <w:b/>
                <w:bCs/>
                <w:color w:val="000000"/>
                <w:sz w:val="18"/>
                <w:szCs w:val="18"/>
                <w:lang w:val="en-US" w:eastAsia="en-US"/>
              </w:rPr>
              <w:t xml:space="preserve"> GEF</w:t>
            </w:r>
          </w:p>
        </w:tc>
        <w:tc>
          <w:tcPr>
            <w:tcW w:w="283" w:type="pct"/>
            <w:tcBorders>
              <w:top w:val="nil"/>
              <w:left w:val="nil"/>
              <w:bottom w:val="single" w:sz="4" w:space="0" w:color="auto"/>
              <w:right w:val="single" w:sz="4" w:space="0" w:color="auto"/>
            </w:tcBorders>
            <w:shd w:val="clear" w:color="000000" w:fill="92D050"/>
            <w:vAlign w:val="center"/>
            <w:hideMark/>
          </w:tcPr>
          <w:p w14:paraId="03D9C88D" w14:textId="77777777" w:rsidR="008D1647" w:rsidRPr="00427DF8" w:rsidRDefault="008D1647"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25,000.00 </w:t>
            </w:r>
          </w:p>
        </w:tc>
        <w:tc>
          <w:tcPr>
            <w:tcW w:w="283" w:type="pct"/>
            <w:tcBorders>
              <w:top w:val="nil"/>
              <w:left w:val="nil"/>
              <w:bottom w:val="single" w:sz="4" w:space="0" w:color="auto"/>
              <w:right w:val="single" w:sz="4" w:space="0" w:color="auto"/>
            </w:tcBorders>
            <w:shd w:val="clear" w:color="000000" w:fill="92D050"/>
            <w:vAlign w:val="center"/>
            <w:hideMark/>
          </w:tcPr>
          <w:p w14:paraId="54EF840A" w14:textId="77777777" w:rsidR="008D1647" w:rsidRPr="00427DF8" w:rsidRDefault="008D1647"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222,000.00 </w:t>
            </w:r>
          </w:p>
        </w:tc>
        <w:tc>
          <w:tcPr>
            <w:tcW w:w="317" w:type="pct"/>
            <w:tcBorders>
              <w:top w:val="nil"/>
              <w:left w:val="nil"/>
              <w:bottom w:val="single" w:sz="4" w:space="0" w:color="auto"/>
              <w:right w:val="single" w:sz="4" w:space="0" w:color="auto"/>
            </w:tcBorders>
            <w:shd w:val="clear" w:color="000000" w:fill="92D050"/>
            <w:vAlign w:val="center"/>
            <w:hideMark/>
          </w:tcPr>
          <w:p w14:paraId="03A96407" w14:textId="77777777" w:rsidR="008D1647" w:rsidRPr="00427DF8" w:rsidRDefault="008D1647"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233,000.00 </w:t>
            </w:r>
          </w:p>
        </w:tc>
        <w:tc>
          <w:tcPr>
            <w:tcW w:w="317" w:type="pct"/>
            <w:tcBorders>
              <w:top w:val="nil"/>
              <w:left w:val="nil"/>
              <w:bottom w:val="single" w:sz="4" w:space="0" w:color="auto"/>
              <w:right w:val="single" w:sz="4" w:space="0" w:color="auto"/>
            </w:tcBorders>
            <w:shd w:val="clear" w:color="000000" w:fill="92D050"/>
            <w:vAlign w:val="center"/>
            <w:hideMark/>
          </w:tcPr>
          <w:p w14:paraId="146F25B4" w14:textId="77777777" w:rsidR="008D1647" w:rsidRPr="00427DF8" w:rsidRDefault="008D1647"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197,920.00 </w:t>
            </w:r>
          </w:p>
        </w:tc>
        <w:tc>
          <w:tcPr>
            <w:tcW w:w="317" w:type="pct"/>
            <w:tcBorders>
              <w:top w:val="nil"/>
              <w:left w:val="nil"/>
              <w:bottom w:val="single" w:sz="4" w:space="0" w:color="auto"/>
              <w:right w:val="single" w:sz="4" w:space="0" w:color="auto"/>
            </w:tcBorders>
            <w:shd w:val="clear" w:color="000000" w:fill="92D050"/>
            <w:vAlign w:val="center"/>
            <w:hideMark/>
          </w:tcPr>
          <w:p w14:paraId="070636F9" w14:textId="77777777" w:rsidR="008D1647" w:rsidRPr="00427DF8" w:rsidRDefault="008D1647"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148,200.00 </w:t>
            </w:r>
          </w:p>
        </w:tc>
        <w:tc>
          <w:tcPr>
            <w:tcW w:w="283" w:type="pct"/>
            <w:tcBorders>
              <w:top w:val="nil"/>
              <w:left w:val="nil"/>
              <w:bottom w:val="single" w:sz="4" w:space="0" w:color="auto"/>
              <w:right w:val="single" w:sz="4" w:space="0" w:color="auto"/>
            </w:tcBorders>
            <w:shd w:val="clear" w:color="000000" w:fill="92D050"/>
            <w:vAlign w:val="center"/>
            <w:hideMark/>
          </w:tcPr>
          <w:p w14:paraId="14779400" w14:textId="77777777" w:rsidR="008D1647" w:rsidRPr="00427DF8" w:rsidRDefault="008D1647"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86,400.00 </w:t>
            </w:r>
          </w:p>
        </w:tc>
        <w:tc>
          <w:tcPr>
            <w:tcW w:w="352" w:type="pct"/>
            <w:tcBorders>
              <w:top w:val="nil"/>
              <w:left w:val="nil"/>
              <w:bottom w:val="single" w:sz="4" w:space="0" w:color="auto"/>
              <w:right w:val="single" w:sz="4" w:space="0" w:color="auto"/>
            </w:tcBorders>
            <w:shd w:val="clear" w:color="000000" w:fill="92D050"/>
            <w:vAlign w:val="center"/>
            <w:hideMark/>
          </w:tcPr>
          <w:p w14:paraId="4A75778D" w14:textId="77777777" w:rsidR="008D1647" w:rsidRPr="00427DF8" w:rsidRDefault="008D1647"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912,520.00 </w:t>
            </w:r>
          </w:p>
        </w:tc>
        <w:tc>
          <w:tcPr>
            <w:tcW w:w="211" w:type="pct"/>
            <w:tcBorders>
              <w:top w:val="nil"/>
              <w:left w:val="nil"/>
              <w:bottom w:val="single" w:sz="4" w:space="0" w:color="auto"/>
              <w:right w:val="single" w:sz="4" w:space="0" w:color="auto"/>
            </w:tcBorders>
            <w:shd w:val="clear" w:color="000000" w:fill="92D050"/>
            <w:vAlign w:val="center"/>
            <w:hideMark/>
          </w:tcPr>
          <w:p w14:paraId="177834DE"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r>
      <w:tr w:rsidR="008D1647" w:rsidRPr="00427DF8" w14:paraId="18E4893B" w14:textId="77777777" w:rsidTr="00D941B6">
        <w:trPr>
          <w:gridAfter w:val="1"/>
          <w:wAfter w:w="79" w:type="pct"/>
          <w:trHeight w:val="300"/>
        </w:trPr>
        <w:tc>
          <w:tcPr>
            <w:tcW w:w="383" w:type="pct"/>
            <w:vMerge/>
            <w:tcBorders>
              <w:left w:val="single" w:sz="4" w:space="0" w:color="auto"/>
              <w:right w:val="single" w:sz="4" w:space="0" w:color="auto"/>
            </w:tcBorders>
            <w:vAlign w:val="center"/>
            <w:hideMark/>
          </w:tcPr>
          <w:p w14:paraId="44AA3130"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370" w:type="pct"/>
            <w:vMerge/>
            <w:tcBorders>
              <w:left w:val="single" w:sz="4" w:space="0" w:color="auto"/>
              <w:right w:val="single" w:sz="4" w:space="0" w:color="auto"/>
            </w:tcBorders>
            <w:vAlign w:val="center"/>
            <w:hideMark/>
          </w:tcPr>
          <w:p w14:paraId="502DC6BE" w14:textId="77777777" w:rsidR="008D1647" w:rsidRPr="00427DF8" w:rsidRDefault="008D1647" w:rsidP="00427DF8">
            <w:pPr>
              <w:spacing w:after="0" w:line="240" w:lineRule="auto"/>
              <w:rPr>
                <w:rFonts w:eastAsia="Times New Roman"/>
                <w:color w:val="000000"/>
                <w:sz w:val="18"/>
                <w:szCs w:val="18"/>
                <w:lang w:val="en-US" w:eastAsia="en-US"/>
              </w:rPr>
            </w:pPr>
          </w:p>
        </w:tc>
        <w:tc>
          <w:tcPr>
            <w:tcW w:w="302" w:type="pct"/>
            <w:vMerge/>
            <w:tcBorders>
              <w:left w:val="single" w:sz="4" w:space="0" w:color="auto"/>
              <w:right w:val="single" w:sz="4" w:space="0" w:color="auto"/>
            </w:tcBorders>
            <w:vAlign w:val="center"/>
            <w:hideMark/>
          </w:tcPr>
          <w:p w14:paraId="072E4BBB" w14:textId="77777777" w:rsidR="008D1647" w:rsidRPr="00427DF8" w:rsidRDefault="008D1647" w:rsidP="00427DF8">
            <w:pPr>
              <w:spacing w:after="0" w:line="240" w:lineRule="auto"/>
              <w:rPr>
                <w:rFonts w:eastAsia="Times New Roman"/>
                <w:color w:val="000000"/>
                <w:sz w:val="18"/>
                <w:szCs w:val="18"/>
                <w:lang w:val="en-US" w:eastAsia="en-US"/>
              </w:rPr>
            </w:pPr>
          </w:p>
        </w:tc>
        <w:tc>
          <w:tcPr>
            <w:tcW w:w="254" w:type="pct"/>
            <w:tcBorders>
              <w:top w:val="nil"/>
              <w:left w:val="nil"/>
              <w:bottom w:val="single" w:sz="4" w:space="0" w:color="auto"/>
              <w:right w:val="single" w:sz="4" w:space="0" w:color="auto"/>
            </w:tcBorders>
            <w:vAlign w:val="center"/>
            <w:hideMark/>
          </w:tcPr>
          <w:p w14:paraId="161BFD35" w14:textId="77777777" w:rsidR="008D1647" w:rsidRPr="00427DF8" w:rsidRDefault="008D1647"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UNDP</w:t>
            </w:r>
          </w:p>
        </w:tc>
        <w:tc>
          <w:tcPr>
            <w:tcW w:w="254" w:type="pct"/>
            <w:tcBorders>
              <w:top w:val="nil"/>
              <w:left w:val="nil"/>
              <w:bottom w:val="nil"/>
              <w:right w:val="single" w:sz="4" w:space="0" w:color="auto"/>
            </w:tcBorders>
            <w:vAlign w:val="center"/>
            <w:hideMark/>
          </w:tcPr>
          <w:p w14:paraId="4ACD9D8A" w14:textId="77777777" w:rsidR="008D1647" w:rsidRPr="00427DF8" w:rsidRDefault="008D1647"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00012</w:t>
            </w:r>
          </w:p>
        </w:tc>
        <w:tc>
          <w:tcPr>
            <w:tcW w:w="269" w:type="pct"/>
            <w:tcBorders>
              <w:top w:val="nil"/>
              <w:left w:val="nil"/>
              <w:bottom w:val="single" w:sz="4" w:space="0" w:color="auto"/>
              <w:right w:val="single" w:sz="4" w:space="0" w:color="auto"/>
            </w:tcBorders>
            <w:vAlign w:val="center"/>
            <w:hideMark/>
          </w:tcPr>
          <w:p w14:paraId="4D219551"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72100</w:t>
            </w:r>
          </w:p>
        </w:tc>
        <w:tc>
          <w:tcPr>
            <w:tcW w:w="728" w:type="pct"/>
            <w:tcBorders>
              <w:top w:val="nil"/>
              <w:left w:val="nil"/>
              <w:bottom w:val="single" w:sz="4" w:space="0" w:color="auto"/>
              <w:right w:val="single" w:sz="4" w:space="0" w:color="auto"/>
            </w:tcBorders>
            <w:vAlign w:val="center"/>
            <w:hideMark/>
          </w:tcPr>
          <w:p w14:paraId="1C6A2AA1" w14:textId="77777777" w:rsidR="008D1647" w:rsidRPr="00427DF8" w:rsidRDefault="008D1647" w:rsidP="00427DF8">
            <w:pPr>
              <w:spacing w:after="0" w:line="240" w:lineRule="auto"/>
              <w:rPr>
                <w:rFonts w:eastAsia="Times New Roman"/>
                <w:sz w:val="18"/>
                <w:szCs w:val="18"/>
                <w:lang w:val="en-US" w:eastAsia="en-US"/>
              </w:rPr>
            </w:pPr>
            <w:r w:rsidRPr="00427DF8">
              <w:rPr>
                <w:rFonts w:eastAsia="Times New Roman"/>
                <w:sz w:val="18"/>
                <w:szCs w:val="18"/>
                <w:lang w:val="en-US" w:eastAsia="en-US"/>
              </w:rPr>
              <w:t>Contractual Service company </w:t>
            </w:r>
          </w:p>
        </w:tc>
        <w:tc>
          <w:tcPr>
            <w:tcW w:w="283" w:type="pct"/>
            <w:tcBorders>
              <w:top w:val="nil"/>
              <w:left w:val="nil"/>
              <w:bottom w:val="single" w:sz="4" w:space="0" w:color="auto"/>
              <w:right w:val="single" w:sz="4" w:space="0" w:color="auto"/>
            </w:tcBorders>
            <w:vAlign w:val="center"/>
            <w:hideMark/>
          </w:tcPr>
          <w:p w14:paraId="2FF2330A"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799CC438"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30,000.00 </w:t>
            </w:r>
          </w:p>
        </w:tc>
        <w:tc>
          <w:tcPr>
            <w:tcW w:w="317" w:type="pct"/>
            <w:tcBorders>
              <w:top w:val="nil"/>
              <w:left w:val="nil"/>
              <w:bottom w:val="single" w:sz="4" w:space="0" w:color="auto"/>
              <w:right w:val="single" w:sz="4" w:space="0" w:color="auto"/>
            </w:tcBorders>
            <w:vAlign w:val="center"/>
            <w:hideMark/>
          </w:tcPr>
          <w:p w14:paraId="0E20A463"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70,000.00 </w:t>
            </w:r>
          </w:p>
        </w:tc>
        <w:tc>
          <w:tcPr>
            <w:tcW w:w="317" w:type="pct"/>
            <w:tcBorders>
              <w:top w:val="nil"/>
              <w:left w:val="nil"/>
              <w:bottom w:val="single" w:sz="4" w:space="0" w:color="auto"/>
              <w:right w:val="single" w:sz="4" w:space="0" w:color="auto"/>
            </w:tcBorders>
            <w:vAlign w:val="center"/>
            <w:hideMark/>
          </w:tcPr>
          <w:p w14:paraId="154F302D"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70,650.00 </w:t>
            </w:r>
          </w:p>
        </w:tc>
        <w:tc>
          <w:tcPr>
            <w:tcW w:w="317" w:type="pct"/>
            <w:tcBorders>
              <w:top w:val="nil"/>
              <w:left w:val="nil"/>
              <w:bottom w:val="single" w:sz="4" w:space="0" w:color="auto"/>
              <w:right w:val="single" w:sz="4" w:space="0" w:color="auto"/>
            </w:tcBorders>
            <w:vAlign w:val="center"/>
            <w:hideMark/>
          </w:tcPr>
          <w:p w14:paraId="19F7E965"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56C18043"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5862697F"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170,650.00 </w:t>
            </w:r>
          </w:p>
        </w:tc>
        <w:tc>
          <w:tcPr>
            <w:tcW w:w="211" w:type="pct"/>
            <w:tcBorders>
              <w:top w:val="nil"/>
              <w:left w:val="nil"/>
              <w:bottom w:val="single" w:sz="4" w:space="0" w:color="auto"/>
              <w:right w:val="single" w:sz="4" w:space="0" w:color="auto"/>
            </w:tcBorders>
            <w:vAlign w:val="center"/>
            <w:hideMark/>
          </w:tcPr>
          <w:p w14:paraId="52762133" w14:textId="77777777" w:rsidR="008D1647" w:rsidRPr="00427DF8" w:rsidRDefault="008D1647" w:rsidP="00427DF8">
            <w:pPr>
              <w:spacing w:after="0" w:line="240" w:lineRule="auto"/>
              <w:jc w:val="center"/>
              <w:rPr>
                <w:rFonts w:eastAsia="Times New Roman"/>
                <w:sz w:val="18"/>
                <w:szCs w:val="18"/>
                <w:lang w:val="en-US" w:eastAsia="en-US"/>
              </w:rPr>
            </w:pPr>
            <w:r w:rsidRPr="00427DF8">
              <w:rPr>
                <w:rFonts w:eastAsia="Times New Roman"/>
                <w:sz w:val="18"/>
                <w:szCs w:val="18"/>
                <w:lang w:val="en-US" w:eastAsia="en-US"/>
              </w:rPr>
              <w:t>10</w:t>
            </w:r>
          </w:p>
        </w:tc>
      </w:tr>
      <w:tr w:rsidR="008D1647" w:rsidRPr="00427DF8" w14:paraId="68E342C4" w14:textId="77777777" w:rsidTr="00D941B6">
        <w:trPr>
          <w:gridAfter w:val="1"/>
          <w:wAfter w:w="79" w:type="pct"/>
          <w:trHeight w:val="289"/>
        </w:trPr>
        <w:tc>
          <w:tcPr>
            <w:tcW w:w="383" w:type="pct"/>
            <w:vMerge/>
            <w:tcBorders>
              <w:left w:val="single" w:sz="4" w:space="0" w:color="auto"/>
              <w:right w:val="single" w:sz="4" w:space="0" w:color="auto"/>
            </w:tcBorders>
            <w:vAlign w:val="center"/>
            <w:hideMark/>
          </w:tcPr>
          <w:p w14:paraId="12715EE6"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370" w:type="pct"/>
            <w:vMerge/>
            <w:tcBorders>
              <w:left w:val="single" w:sz="4" w:space="0" w:color="auto"/>
              <w:right w:val="single" w:sz="4" w:space="0" w:color="auto"/>
            </w:tcBorders>
            <w:vAlign w:val="center"/>
            <w:hideMark/>
          </w:tcPr>
          <w:p w14:paraId="22525574" w14:textId="77777777" w:rsidR="008D1647" w:rsidRPr="00427DF8" w:rsidRDefault="008D1647" w:rsidP="00427DF8">
            <w:pPr>
              <w:spacing w:after="0" w:line="240" w:lineRule="auto"/>
              <w:rPr>
                <w:rFonts w:eastAsia="Times New Roman"/>
                <w:color w:val="000000"/>
                <w:sz w:val="18"/>
                <w:szCs w:val="18"/>
                <w:lang w:val="en-US" w:eastAsia="en-US"/>
              </w:rPr>
            </w:pPr>
          </w:p>
        </w:tc>
        <w:tc>
          <w:tcPr>
            <w:tcW w:w="302" w:type="pct"/>
            <w:vMerge/>
            <w:tcBorders>
              <w:left w:val="single" w:sz="4" w:space="0" w:color="auto"/>
              <w:right w:val="single" w:sz="4" w:space="0" w:color="auto"/>
            </w:tcBorders>
            <w:vAlign w:val="center"/>
            <w:hideMark/>
          </w:tcPr>
          <w:p w14:paraId="4BA509F3" w14:textId="77777777" w:rsidR="008D1647" w:rsidRPr="00427DF8" w:rsidRDefault="008D1647" w:rsidP="00427DF8">
            <w:pPr>
              <w:spacing w:after="0" w:line="240" w:lineRule="auto"/>
              <w:rPr>
                <w:rFonts w:eastAsia="Times New Roman"/>
                <w:color w:val="000000"/>
                <w:sz w:val="18"/>
                <w:szCs w:val="18"/>
                <w:lang w:val="en-US" w:eastAsia="en-US"/>
              </w:rPr>
            </w:pPr>
          </w:p>
        </w:tc>
        <w:tc>
          <w:tcPr>
            <w:tcW w:w="254" w:type="pct"/>
            <w:tcBorders>
              <w:top w:val="nil"/>
              <w:left w:val="nil"/>
              <w:bottom w:val="single" w:sz="4" w:space="0" w:color="auto"/>
              <w:right w:val="single" w:sz="4" w:space="0" w:color="auto"/>
            </w:tcBorders>
            <w:shd w:val="clear" w:color="000000" w:fill="00B0F0"/>
            <w:vAlign w:val="center"/>
            <w:hideMark/>
          </w:tcPr>
          <w:p w14:paraId="157B7BB5" w14:textId="77777777" w:rsidR="008D1647" w:rsidRPr="00427DF8" w:rsidRDefault="008D1647"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 </w:t>
            </w:r>
          </w:p>
        </w:tc>
        <w:tc>
          <w:tcPr>
            <w:tcW w:w="254" w:type="pct"/>
            <w:tcBorders>
              <w:top w:val="nil"/>
              <w:left w:val="nil"/>
              <w:bottom w:val="single" w:sz="4" w:space="0" w:color="auto"/>
              <w:right w:val="single" w:sz="4" w:space="0" w:color="auto"/>
            </w:tcBorders>
            <w:shd w:val="clear" w:color="000000" w:fill="00B0F0"/>
            <w:vAlign w:val="center"/>
            <w:hideMark/>
          </w:tcPr>
          <w:p w14:paraId="3D458CB8" w14:textId="77777777" w:rsidR="008D1647" w:rsidRPr="00427DF8" w:rsidRDefault="008D1647" w:rsidP="00427DF8">
            <w:pPr>
              <w:spacing w:after="0" w:line="240" w:lineRule="auto"/>
              <w:rPr>
                <w:rFonts w:eastAsia="Times New Roman"/>
                <w:b/>
                <w:bCs/>
                <w:color w:val="000000"/>
                <w:sz w:val="18"/>
                <w:szCs w:val="18"/>
                <w:lang w:val="en-US" w:eastAsia="en-US"/>
              </w:rPr>
            </w:pPr>
            <w:r w:rsidRPr="00427DF8">
              <w:rPr>
                <w:rFonts w:eastAsia="Times New Roman"/>
                <w:b/>
                <w:bCs/>
                <w:color w:val="000000"/>
                <w:sz w:val="18"/>
                <w:szCs w:val="18"/>
                <w:lang w:val="en-US" w:eastAsia="en-US"/>
              </w:rPr>
              <w:t> </w:t>
            </w:r>
          </w:p>
        </w:tc>
        <w:tc>
          <w:tcPr>
            <w:tcW w:w="997" w:type="pct"/>
            <w:gridSpan w:val="2"/>
            <w:tcBorders>
              <w:top w:val="single" w:sz="4" w:space="0" w:color="auto"/>
              <w:left w:val="nil"/>
              <w:bottom w:val="single" w:sz="4" w:space="0" w:color="auto"/>
              <w:right w:val="single" w:sz="4" w:space="0" w:color="000000"/>
            </w:tcBorders>
            <w:shd w:val="clear" w:color="000000" w:fill="00B0F0"/>
            <w:vAlign w:val="center"/>
            <w:hideMark/>
          </w:tcPr>
          <w:p w14:paraId="30345100"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Sub Total UNDP</w:t>
            </w:r>
          </w:p>
        </w:tc>
        <w:tc>
          <w:tcPr>
            <w:tcW w:w="283" w:type="pct"/>
            <w:tcBorders>
              <w:top w:val="nil"/>
              <w:left w:val="nil"/>
              <w:bottom w:val="single" w:sz="4" w:space="0" w:color="auto"/>
              <w:right w:val="single" w:sz="4" w:space="0" w:color="auto"/>
            </w:tcBorders>
            <w:shd w:val="clear" w:color="000000" w:fill="00B0F0"/>
            <w:vAlign w:val="center"/>
            <w:hideMark/>
          </w:tcPr>
          <w:p w14:paraId="621444E4" w14:textId="77777777" w:rsidR="008D1647" w:rsidRPr="00427DF8" w:rsidRDefault="008D1647"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   </w:t>
            </w:r>
          </w:p>
        </w:tc>
        <w:tc>
          <w:tcPr>
            <w:tcW w:w="283" w:type="pct"/>
            <w:tcBorders>
              <w:top w:val="nil"/>
              <w:left w:val="nil"/>
              <w:bottom w:val="single" w:sz="4" w:space="0" w:color="auto"/>
              <w:right w:val="single" w:sz="4" w:space="0" w:color="auto"/>
            </w:tcBorders>
            <w:shd w:val="clear" w:color="000000" w:fill="00B0F0"/>
            <w:vAlign w:val="center"/>
            <w:hideMark/>
          </w:tcPr>
          <w:p w14:paraId="3EA3BB24" w14:textId="77777777" w:rsidR="008D1647" w:rsidRPr="00427DF8" w:rsidRDefault="008D1647"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30,000.00 </w:t>
            </w:r>
          </w:p>
        </w:tc>
        <w:tc>
          <w:tcPr>
            <w:tcW w:w="317" w:type="pct"/>
            <w:tcBorders>
              <w:top w:val="nil"/>
              <w:left w:val="nil"/>
              <w:bottom w:val="single" w:sz="4" w:space="0" w:color="auto"/>
              <w:right w:val="single" w:sz="4" w:space="0" w:color="auto"/>
            </w:tcBorders>
            <w:shd w:val="clear" w:color="000000" w:fill="00B0F0"/>
            <w:vAlign w:val="center"/>
            <w:hideMark/>
          </w:tcPr>
          <w:p w14:paraId="2A4F2587" w14:textId="77777777" w:rsidR="008D1647" w:rsidRPr="00427DF8" w:rsidRDefault="008D1647"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70,000.00 </w:t>
            </w:r>
          </w:p>
        </w:tc>
        <w:tc>
          <w:tcPr>
            <w:tcW w:w="317" w:type="pct"/>
            <w:tcBorders>
              <w:top w:val="nil"/>
              <w:left w:val="nil"/>
              <w:bottom w:val="single" w:sz="4" w:space="0" w:color="auto"/>
              <w:right w:val="single" w:sz="4" w:space="0" w:color="auto"/>
            </w:tcBorders>
            <w:shd w:val="clear" w:color="000000" w:fill="00B0F0"/>
            <w:vAlign w:val="center"/>
            <w:hideMark/>
          </w:tcPr>
          <w:p w14:paraId="395F7087" w14:textId="77777777" w:rsidR="008D1647" w:rsidRPr="00427DF8" w:rsidRDefault="008D1647"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70,650.00 </w:t>
            </w:r>
          </w:p>
        </w:tc>
        <w:tc>
          <w:tcPr>
            <w:tcW w:w="317" w:type="pct"/>
            <w:tcBorders>
              <w:top w:val="nil"/>
              <w:left w:val="nil"/>
              <w:bottom w:val="single" w:sz="4" w:space="0" w:color="auto"/>
              <w:right w:val="single" w:sz="4" w:space="0" w:color="auto"/>
            </w:tcBorders>
            <w:shd w:val="clear" w:color="000000" w:fill="00B0F0"/>
            <w:vAlign w:val="center"/>
            <w:hideMark/>
          </w:tcPr>
          <w:p w14:paraId="1D6CC5A2"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shd w:val="clear" w:color="000000" w:fill="00B0F0"/>
            <w:vAlign w:val="center"/>
            <w:hideMark/>
          </w:tcPr>
          <w:p w14:paraId="70E6A27A" w14:textId="77777777" w:rsidR="008D1647" w:rsidRPr="00427DF8" w:rsidRDefault="008D1647"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   </w:t>
            </w:r>
          </w:p>
        </w:tc>
        <w:tc>
          <w:tcPr>
            <w:tcW w:w="352" w:type="pct"/>
            <w:tcBorders>
              <w:top w:val="nil"/>
              <w:left w:val="nil"/>
              <w:bottom w:val="single" w:sz="4" w:space="0" w:color="auto"/>
              <w:right w:val="single" w:sz="4" w:space="0" w:color="auto"/>
            </w:tcBorders>
            <w:shd w:val="clear" w:color="000000" w:fill="00B0F0"/>
            <w:vAlign w:val="center"/>
            <w:hideMark/>
          </w:tcPr>
          <w:p w14:paraId="5AF41F39" w14:textId="77777777" w:rsidR="008D1647" w:rsidRPr="00427DF8" w:rsidRDefault="008D1647"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170,650.00 </w:t>
            </w:r>
          </w:p>
        </w:tc>
        <w:tc>
          <w:tcPr>
            <w:tcW w:w="211" w:type="pct"/>
            <w:tcBorders>
              <w:top w:val="nil"/>
              <w:left w:val="nil"/>
              <w:bottom w:val="single" w:sz="4" w:space="0" w:color="auto"/>
              <w:right w:val="single" w:sz="4" w:space="0" w:color="auto"/>
            </w:tcBorders>
            <w:shd w:val="clear" w:color="000000" w:fill="00B0F0"/>
            <w:vAlign w:val="center"/>
            <w:hideMark/>
          </w:tcPr>
          <w:p w14:paraId="625EC61D"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r>
      <w:tr w:rsidR="008D1647" w:rsidRPr="00427DF8" w14:paraId="12AFB6DC" w14:textId="77777777" w:rsidTr="00D941B6">
        <w:trPr>
          <w:gridAfter w:val="1"/>
          <w:wAfter w:w="79" w:type="pct"/>
          <w:trHeight w:val="289"/>
        </w:trPr>
        <w:tc>
          <w:tcPr>
            <w:tcW w:w="383" w:type="pct"/>
            <w:vMerge/>
            <w:tcBorders>
              <w:left w:val="single" w:sz="4" w:space="0" w:color="auto"/>
              <w:right w:val="single" w:sz="4" w:space="0" w:color="auto"/>
            </w:tcBorders>
            <w:vAlign w:val="center"/>
            <w:hideMark/>
          </w:tcPr>
          <w:p w14:paraId="7185392F"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370" w:type="pct"/>
            <w:vMerge/>
            <w:tcBorders>
              <w:left w:val="single" w:sz="4" w:space="0" w:color="auto"/>
              <w:bottom w:val="single" w:sz="4" w:space="0" w:color="000000"/>
              <w:right w:val="single" w:sz="4" w:space="0" w:color="auto"/>
            </w:tcBorders>
            <w:vAlign w:val="center"/>
            <w:hideMark/>
          </w:tcPr>
          <w:p w14:paraId="1EEFB411" w14:textId="77777777" w:rsidR="008D1647" w:rsidRPr="00427DF8" w:rsidRDefault="008D1647" w:rsidP="00427DF8">
            <w:pPr>
              <w:spacing w:after="0" w:line="240" w:lineRule="auto"/>
              <w:rPr>
                <w:rFonts w:eastAsia="Times New Roman"/>
                <w:color w:val="000000"/>
                <w:sz w:val="18"/>
                <w:szCs w:val="18"/>
                <w:lang w:val="en-US" w:eastAsia="en-US"/>
              </w:rPr>
            </w:pPr>
          </w:p>
        </w:tc>
        <w:tc>
          <w:tcPr>
            <w:tcW w:w="302" w:type="pct"/>
            <w:vMerge/>
            <w:tcBorders>
              <w:left w:val="single" w:sz="4" w:space="0" w:color="auto"/>
              <w:bottom w:val="single" w:sz="4" w:space="0" w:color="000000"/>
              <w:right w:val="single" w:sz="4" w:space="0" w:color="auto"/>
            </w:tcBorders>
            <w:vAlign w:val="center"/>
            <w:hideMark/>
          </w:tcPr>
          <w:p w14:paraId="6CDBAA8B" w14:textId="77777777" w:rsidR="008D1647" w:rsidRPr="00427DF8" w:rsidRDefault="008D1647" w:rsidP="00427DF8">
            <w:pPr>
              <w:spacing w:after="0" w:line="240" w:lineRule="auto"/>
              <w:rPr>
                <w:rFonts w:eastAsia="Times New Roman"/>
                <w:color w:val="000000"/>
                <w:sz w:val="18"/>
                <w:szCs w:val="18"/>
                <w:lang w:val="en-US" w:eastAsia="en-US"/>
              </w:rPr>
            </w:pPr>
          </w:p>
        </w:tc>
        <w:tc>
          <w:tcPr>
            <w:tcW w:w="1506" w:type="pct"/>
            <w:gridSpan w:val="4"/>
            <w:tcBorders>
              <w:top w:val="single" w:sz="4" w:space="0" w:color="auto"/>
              <w:left w:val="nil"/>
              <w:bottom w:val="single" w:sz="4" w:space="0" w:color="auto"/>
              <w:right w:val="single" w:sz="4" w:space="0" w:color="000000"/>
            </w:tcBorders>
            <w:shd w:val="clear" w:color="000000" w:fill="FFD966"/>
            <w:vAlign w:val="center"/>
            <w:hideMark/>
          </w:tcPr>
          <w:p w14:paraId="422A8371" w14:textId="77777777" w:rsidR="008D1647" w:rsidRPr="00427DF8" w:rsidRDefault="008D1647"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Sub Total 1.1</w:t>
            </w:r>
          </w:p>
        </w:tc>
        <w:tc>
          <w:tcPr>
            <w:tcW w:w="283" w:type="pct"/>
            <w:tcBorders>
              <w:top w:val="nil"/>
              <w:left w:val="nil"/>
              <w:bottom w:val="single" w:sz="4" w:space="0" w:color="auto"/>
              <w:right w:val="single" w:sz="4" w:space="0" w:color="auto"/>
            </w:tcBorders>
            <w:shd w:val="clear" w:color="000000" w:fill="FFD966"/>
            <w:vAlign w:val="center"/>
            <w:hideMark/>
          </w:tcPr>
          <w:p w14:paraId="74016415" w14:textId="77777777" w:rsidR="008D1647" w:rsidRPr="00427DF8" w:rsidRDefault="008D1647"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25,000.00 </w:t>
            </w:r>
          </w:p>
        </w:tc>
        <w:tc>
          <w:tcPr>
            <w:tcW w:w="283" w:type="pct"/>
            <w:tcBorders>
              <w:top w:val="nil"/>
              <w:left w:val="nil"/>
              <w:bottom w:val="single" w:sz="4" w:space="0" w:color="auto"/>
              <w:right w:val="single" w:sz="4" w:space="0" w:color="auto"/>
            </w:tcBorders>
            <w:shd w:val="clear" w:color="000000" w:fill="FFD966"/>
            <w:vAlign w:val="center"/>
            <w:hideMark/>
          </w:tcPr>
          <w:p w14:paraId="74697841" w14:textId="77777777" w:rsidR="008D1647" w:rsidRPr="00427DF8" w:rsidRDefault="008D1647"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252,000.00 </w:t>
            </w:r>
          </w:p>
        </w:tc>
        <w:tc>
          <w:tcPr>
            <w:tcW w:w="317" w:type="pct"/>
            <w:tcBorders>
              <w:top w:val="nil"/>
              <w:left w:val="nil"/>
              <w:bottom w:val="single" w:sz="4" w:space="0" w:color="auto"/>
              <w:right w:val="single" w:sz="4" w:space="0" w:color="auto"/>
            </w:tcBorders>
            <w:shd w:val="clear" w:color="000000" w:fill="FFD966"/>
            <w:vAlign w:val="center"/>
            <w:hideMark/>
          </w:tcPr>
          <w:p w14:paraId="0D3754EB" w14:textId="77777777" w:rsidR="008D1647" w:rsidRPr="00427DF8" w:rsidRDefault="008D1647"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303,000.00 </w:t>
            </w:r>
          </w:p>
        </w:tc>
        <w:tc>
          <w:tcPr>
            <w:tcW w:w="317" w:type="pct"/>
            <w:tcBorders>
              <w:top w:val="nil"/>
              <w:left w:val="nil"/>
              <w:bottom w:val="single" w:sz="4" w:space="0" w:color="auto"/>
              <w:right w:val="single" w:sz="4" w:space="0" w:color="auto"/>
            </w:tcBorders>
            <w:shd w:val="clear" w:color="000000" w:fill="FFD966"/>
            <w:vAlign w:val="center"/>
            <w:hideMark/>
          </w:tcPr>
          <w:p w14:paraId="1EC1863A" w14:textId="77777777" w:rsidR="008D1647" w:rsidRPr="00427DF8" w:rsidRDefault="008D1647"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268,570.00 </w:t>
            </w:r>
          </w:p>
        </w:tc>
        <w:tc>
          <w:tcPr>
            <w:tcW w:w="317" w:type="pct"/>
            <w:tcBorders>
              <w:top w:val="nil"/>
              <w:left w:val="nil"/>
              <w:bottom w:val="single" w:sz="4" w:space="0" w:color="auto"/>
              <w:right w:val="single" w:sz="4" w:space="0" w:color="auto"/>
            </w:tcBorders>
            <w:shd w:val="clear" w:color="000000" w:fill="FFD966"/>
            <w:vAlign w:val="center"/>
            <w:hideMark/>
          </w:tcPr>
          <w:p w14:paraId="01472429" w14:textId="77777777" w:rsidR="008D1647" w:rsidRPr="00427DF8" w:rsidRDefault="008D1647"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148,200.00 </w:t>
            </w:r>
          </w:p>
        </w:tc>
        <w:tc>
          <w:tcPr>
            <w:tcW w:w="283" w:type="pct"/>
            <w:tcBorders>
              <w:top w:val="nil"/>
              <w:left w:val="nil"/>
              <w:bottom w:val="single" w:sz="4" w:space="0" w:color="auto"/>
              <w:right w:val="single" w:sz="4" w:space="0" w:color="auto"/>
            </w:tcBorders>
            <w:shd w:val="clear" w:color="000000" w:fill="FFD966"/>
            <w:vAlign w:val="center"/>
            <w:hideMark/>
          </w:tcPr>
          <w:p w14:paraId="2142D824" w14:textId="77777777" w:rsidR="008D1647" w:rsidRPr="00427DF8" w:rsidRDefault="008D1647"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86,400.00 </w:t>
            </w:r>
          </w:p>
        </w:tc>
        <w:tc>
          <w:tcPr>
            <w:tcW w:w="352" w:type="pct"/>
            <w:tcBorders>
              <w:top w:val="nil"/>
              <w:left w:val="nil"/>
              <w:bottom w:val="single" w:sz="4" w:space="0" w:color="auto"/>
              <w:right w:val="single" w:sz="4" w:space="0" w:color="auto"/>
            </w:tcBorders>
            <w:shd w:val="clear" w:color="000000" w:fill="FFD966"/>
            <w:vAlign w:val="center"/>
            <w:hideMark/>
          </w:tcPr>
          <w:p w14:paraId="1C6AAD1B" w14:textId="77777777" w:rsidR="008D1647" w:rsidRPr="00427DF8" w:rsidRDefault="008D1647"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1,083,170.00 </w:t>
            </w:r>
          </w:p>
        </w:tc>
        <w:tc>
          <w:tcPr>
            <w:tcW w:w="211" w:type="pct"/>
            <w:tcBorders>
              <w:top w:val="nil"/>
              <w:left w:val="nil"/>
              <w:bottom w:val="single" w:sz="4" w:space="0" w:color="auto"/>
              <w:right w:val="single" w:sz="4" w:space="0" w:color="auto"/>
            </w:tcBorders>
            <w:shd w:val="clear" w:color="000000" w:fill="FFD966"/>
            <w:vAlign w:val="center"/>
            <w:hideMark/>
          </w:tcPr>
          <w:p w14:paraId="437FA37C"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r>
      <w:tr w:rsidR="008D1647" w:rsidRPr="00427DF8" w14:paraId="521F25B6" w14:textId="77777777" w:rsidTr="008D1647">
        <w:trPr>
          <w:gridAfter w:val="1"/>
          <w:wAfter w:w="79" w:type="pct"/>
          <w:trHeight w:val="289"/>
        </w:trPr>
        <w:tc>
          <w:tcPr>
            <w:tcW w:w="383" w:type="pct"/>
            <w:vMerge/>
            <w:tcBorders>
              <w:left w:val="single" w:sz="4" w:space="0" w:color="auto"/>
              <w:right w:val="single" w:sz="4" w:space="0" w:color="auto"/>
            </w:tcBorders>
            <w:vAlign w:val="center"/>
            <w:hideMark/>
          </w:tcPr>
          <w:p w14:paraId="7A06D9CE"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370" w:type="pct"/>
            <w:vMerge w:val="restart"/>
            <w:tcBorders>
              <w:top w:val="nil"/>
              <w:left w:val="single" w:sz="4" w:space="0" w:color="auto"/>
              <w:bottom w:val="single" w:sz="4" w:space="0" w:color="000000"/>
              <w:right w:val="single" w:sz="4" w:space="0" w:color="auto"/>
            </w:tcBorders>
            <w:vAlign w:val="center"/>
            <w:hideMark/>
          </w:tcPr>
          <w:p w14:paraId="73DEA367" w14:textId="77777777" w:rsidR="008D1647" w:rsidRPr="00427DF8" w:rsidRDefault="008D1647"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Outcome 1.2 Catalyzing Finance and Innovation for resilient and inclusive and Sustainable urban development</w:t>
            </w:r>
          </w:p>
        </w:tc>
        <w:tc>
          <w:tcPr>
            <w:tcW w:w="302" w:type="pct"/>
            <w:vMerge w:val="restart"/>
            <w:tcBorders>
              <w:top w:val="nil"/>
              <w:left w:val="single" w:sz="4" w:space="0" w:color="auto"/>
              <w:bottom w:val="single" w:sz="4" w:space="0" w:color="000000"/>
              <w:right w:val="single" w:sz="4" w:space="0" w:color="auto"/>
            </w:tcBorders>
            <w:vAlign w:val="center"/>
            <w:hideMark/>
          </w:tcPr>
          <w:p w14:paraId="3F2F9217" w14:textId="77777777" w:rsidR="008D1647" w:rsidRPr="00427DF8" w:rsidRDefault="008D1647"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NDUPH</w:t>
            </w:r>
          </w:p>
        </w:tc>
        <w:tc>
          <w:tcPr>
            <w:tcW w:w="254" w:type="pct"/>
            <w:vMerge w:val="restart"/>
            <w:tcBorders>
              <w:top w:val="nil"/>
              <w:left w:val="single" w:sz="4" w:space="0" w:color="auto"/>
              <w:bottom w:val="nil"/>
              <w:right w:val="single" w:sz="4" w:space="0" w:color="auto"/>
            </w:tcBorders>
            <w:vAlign w:val="center"/>
            <w:hideMark/>
          </w:tcPr>
          <w:p w14:paraId="1F0456F2" w14:textId="77777777" w:rsidR="008D1647" w:rsidRPr="00427DF8" w:rsidRDefault="008D1647"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 62000 </w:t>
            </w:r>
            <w:r w:rsidRPr="00427DF8">
              <w:rPr>
                <w:rFonts w:eastAsia="Times New Roman"/>
                <w:color w:val="000000"/>
                <w:sz w:val="18"/>
                <w:szCs w:val="18"/>
                <w:lang w:val="en-US" w:eastAsia="en-US"/>
              </w:rPr>
              <w:t> </w:t>
            </w:r>
          </w:p>
        </w:tc>
        <w:tc>
          <w:tcPr>
            <w:tcW w:w="254" w:type="pct"/>
            <w:vMerge w:val="restart"/>
            <w:tcBorders>
              <w:top w:val="nil"/>
              <w:left w:val="single" w:sz="4" w:space="0" w:color="auto"/>
              <w:bottom w:val="nil"/>
              <w:right w:val="single" w:sz="4" w:space="0" w:color="auto"/>
            </w:tcBorders>
            <w:vAlign w:val="center"/>
            <w:hideMark/>
          </w:tcPr>
          <w:p w14:paraId="04884C8C" w14:textId="77777777" w:rsidR="008D1647" w:rsidRPr="00427DF8" w:rsidRDefault="008D1647"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10003</w:t>
            </w:r>
          </w:p>
        </w:tc>
        <w:tc>
          <w:tcPr>
            <w:tcW w:w="269" w:type="pct"/>
            <w:tcBorders>
              <w:top w:val="nil"/>
              <w:left w:val="nil"/>
              <w:bottom w:val="single" w:sz="4" w:space="0" w:color="auto"/>
              <w:right w:val="single" w:sz="4" w:space="0" w:color="auto"/>
            </w:tcBorders>
            <w:vAlign w:val="center"/>
            <w:hideMark/>
          </w:tcPr>
          <w:p w14:paraId="7BED4709"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71200</w:t>
            </w:r>
          </w:p>
        </w:tc>
        <w:tc>
          <w:tcPr>
            <w:tcW w:w="728" w:type="pct"/>
            <w:tcBorders>
              <w:top w:val="nil"/>
              <w:left w:val="nil"/>
              <w:bottom w:val="nil"/>
              <w:right w:val="single" w:sz="4" w:space="0" w:color="auto"/>
            </w:tcBorders>
            <w:vAlign w:val="center"/>
            <w:hideMark/>
          </w:tcPr>
          <w:p w14:paraId="58CB1C9A" w14:textId="77777777" w:rsidR="008D1647" w:rsidRPr="00427DF8" w:rsidRDefault="008D1647"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International consultant </w:t>
            </w:r>
          </w:p>
        </w:tc>
        <w:tc>
          <w:tcPr>
            <w:tcW w:w="283" w:type="pct"/>
            <w:tcBorders>
              <w:top w:val="nil"/>
              <w:left w:val="nil"/>
              <w:bottom w:val="nil"/>
              <w:right w:val="single" w:sz="4" w:space="0" w:color="auto"/>
            </w:tcBorders>
            <w:vAlign w:val="center"/>
            <w:hideMark/>
          </w:tcPr>
          <w:p w14:paraId="0315355D"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nil"/>
              <w:right w:val="single" w:sz="4" w:space="0" w:color="auto"/>
            </w:tcBorders>
            <w:vAlign w:val="center"/>
            <w:hideMark/>
          </w:tcPr>
          <w:p w14:paraId="5FACD619"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14,000.00 </w:t>
            </w:r>
          </w:p>
        </w:tc>
        <w:tc>
          <w:tcPr>
            <w:tcW w:w="317" w:type="pct"/>
            <w:tcBorders>
              <w:top w:val="nil"/>
              <w:left w:val="nil"/>
              <w:bottom w:val="nil"/>
              <w:right w:val="single" w:sz="4" w:space="0" w:color="auto"/>
            </w:tcBorders>
            <w:vAlign w:val="center"/>
            <w:hideMark/>
          </w:tcPr>
          <w:p w14:paraId="049E6876"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7,000.00 </w:t>
            </w:r>
          </w:p>
        </w:tc>
        <w:tc>
          <w:tcPr>
            <w:tcW w:w="317" w:type="pct"/>
            <w:tcBorders>
              <w:top w:val="nil"/>
              <w:left w:val="nil"/>
              <w:bottom w:val="nil"/>
              <w:right w:val="single" w:sz="4" w:space="0" w:color="auto"/>
            </w:tcBorders>
            <w:vAlign w:val="center"/>
            <w:hideMark/>
          </w:tcPr>
          <w:p w14:paraId="4C1A2626"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14,000.00 </w:t>
            </w:r>
          </w:p>
        </w:tc>
        <w:tc>
          <w:tcPr>
            <w:tcW w:w="317" w:type="pct"/>
            <w:tcBorders>
              <w:top w:val="nil"/>
              <w:left w:val="nil"/>
              <w:bottom w:val="nil"/>
              <w:right w:val="single" w:sz="4" w:space="0" w:color="auto"/>
            </w:tcBorders>
            <w:vAlign w:val="center"/>
            <w:hideMark/>
          </w:tcPr>
          <w:p w14:paraId="22364AE3"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7,000.00 </w:t>
            </w:r>
          </w:p>
        </w:tc>
        <w:tc>
          <w:tcPr>
            <w:tcW w:w="283" w:type="pct"/>
            <w:tcBorders>
              <w:top w:val="nil"/>
              <w:left w:val="nil"/>
              <w:bottom w:val="nil"/>
              <w:right w:val="single" w:sz="4" w:space="0" w:color="auto"/>
            </w:tcBorders>
            <w:vAlign w:val="center"/>
            <w:hideMark/>
          </w:tcPr>
          <w:p w14:paraId="17E39A18"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nil"/>
              <w:right w:val="single" w:sz="4" w:space="0" w:color="auto"/>
            </w:tcBorders>
            <w:vAlign w:val="center"/>
            <w:hideMark/>
          </w:tcPr>
          <w:p w14:paraId="119B43F8"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42,000.00 </w:t>
            </w:r>
          </w:p>
        </w:tc>
        <w:tc>
          <w:tcPr>
            <w:tcW w:w="211" w:type="pct"/>
            <w:tcBorders>
              <w:top w:val="nil"/>
              <w:left w:val="nil"/>
              <w:bottom w:val="nil"/>
              <w:right w:val="single" w:sz="4" w:space="0" w:color="auto"/>
            </w:tcBorders>
            <w:vAlign w:val="center"/>
            <w:hideMark/>
          </w:tcPr>
          <w:p w14:paraId="0C8B2BE2" w14:textId="77777777" w:rsidR="008D1647" w:rsidRPr="00427DF8" w:rsidRDefault="008D1647" w:rsidP="00427DF8">
            <w:pPr>
              <w:spacing w:after="0" w:line="240" w:lineRule="auto"/>
              <w:jc w:val="center"/>
              <w:rPr>
                <w:rFonts w:eastAsia="Times New Roman"/>
                <w:i/>
                <w:iCs/>
                <w:sz w:val="18"/>
                <w:szCs w:val="18"/>
                <w:lang w:val="en-US" w:eastAsia="en-US"/>
              </w:rPr>
            </w:pPr>
            <w:r w:rsidRPr="00427DF8">
              <w:rPr>
                <w:rFonts w:eastAsia="Times New Roman"/>
                <w:i/>
                <w:iCs/>
                <w:sz w:val="18"/>
                <w:szCs w:val="18"/>
                <w:lang w:val="en-US" w:eastAsia="en-US"/>
              </w:rPr>
              <w:t>11</w:t>
            </w:r>
          </w:p>
        </w:tc>
      </w:tr>
      <w:tr w:rsidR="008D1647" w:rsidRPr="00427DF8" w14:paraId="48B67E79" w14:textId="77777777" w:rsidTr="008D1647">
        <w:trPr>
          <w:gridAfter w:val="1"/>
          <w:wAfter w:w="79" w:type="pct"/>
          <w:trHeight w:val="300"/>
        </w:trPr>
        <w:tc>
          <w:tcPr>
            <w:tcW w:w="383" w:type="pct"/>
            <w:vMerge/>
            <w:tcBorders>
              <w:left w:val="single" w:sz="4" w:space="0" w:color="auto"/>
              <w:right w:val="single" w:sz="4" w:space="0" w:color="auto"/>
            </w:tcBorders>
            <w:vAlign w:val="center"/>
            <w:hideMark/>
          </w:tcPr>
          <w:p w14:paraId="0FF6A231"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03B8FAEF" w14:textId="77777777" w:rsidR="008D1647" w:rsidRPr="00427DF8" w:rsidRDefault="008D1647"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single" w:sz="4" w:space="0" w:color="auto"/>
            </w:tcBorders>
            <w:vAlign w:val="center"/>
            <w:hideMark/>
          </w:tcPr>
          <w:p w14:paraId="6A7F6116" w14:textId="77777777" w:rsidR="008D1647" w:rsidRPr="00427DF8" w:rsidRDefault="008D1647"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33BC8706"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6294B896"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nil"/>
            </w:tcBorders>
            <w:vAlign w:val="center"/>
            <w:hideMark/>
          </w:tcPr>
          <w:p w14:paraId="7E7A304D"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71300</w:t>
            </w:r>
          </w:p>
        </w:tc>
        <w:tc>
          <w:tcPr>
            <w:tcW w:w="728" w:type="pct"/>
            <w:tcBorders>
              <w:top w:val="single" w:sz="4" w:space="0" w:color="000000"/>
              <w:left w:val="single" w:sz="4" w:space="0" w:color="000000"/>
              <w:bottom w:val="single" w:sz="4" w:space="0" w:color="000000"/>
              <w:right w:val="single" w:sz="4" w:space="0" w:color="000000"/>
            </w:tcBorders>
            <w:vAlign w:val="center"/>
            <w:hideMark/>
          </w:tcPr>
          <w:p w14:paraId="309BE3B3" w14:textId="77777777" w:rsidR="008D1647" w:rsidRPr="00427DF8" w:rsidRDefault="008D1647"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 xml:space="preserve">Local consultants </w:t>
            </w:r>
          </w:p>
        </w:tc>
        <w:tc>
          <w:tcPr>
            <w:tcW w:w="283" w:type="pct"/>
            <w:tcBorders>
              <w:top w:val="single" w:sz="4" w:space="0" w:color="000000"/>
              <w:left w:val="nil"/>
              <w:bottom w:val="single" w:sz="4" w:space="0" w:color="000000"/>
              <w:right w:val="single" w:sz="4" w:space="0" w:color="000000"/>
            </w:tcBorders>
            <w:vAlign w:val="center"/>
            <w:hideMark/>
          </w:tcPr>
          <w:p w14:paraId="677B08E4"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single" w:sz="4" w:space="0" w:color="000000"/>
              <w:left w:val="nil"/>
              <w:bottom w:val="single" w:sz="4" w:space="0" w:color="000000"/>
              <w:right w:val="single" w:sz="4" w:space="0" w:color="000000"/>
            </w:tcBorders>
            <w:vAlign w:val="center"/>
            <w:hideMark/>
          </w:tcPr>
          <w:p w14:paraId="7610FBE0"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single" w:sz="4" w:space="0" w:color="000000"/>
              <w:left w:val="nil"/>
              <w:bottom w:val="single" w:sz="4" w:space="0" w:color="000000"/>
              <w:right w:val="single" w:sz="4" w:space="0" w:color="000000"/>
            </w:tcBorders>
            <w:vAlign w:val="center"/>
            <w:hideMark/>
          </w:tcPr>
          <w:p w14:paraId="049BB38B"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single" w:sz="4" w:space="0" w:color="000000"/>
              <w:left w:val="nil"/>
              <w:bottom w:val="single" w:sz="4" w:space="0" w:color="000000"/>
              <w:right w:val="single" w:sz="4" w:space="0" w:color="000000"/>
            </w:tcBorders>
            <w:vAlign w:val="center"/>
            <w:hideMark/>
          </w:tcPr>
          <w:p w14:paraId="64439603"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single" w:sz="4" w:space="0" w:color="000000"/>
              <w:left w:val="nil"/>
              <w:bottom w:val="single" w:sz="4" w:space="0" w:color="000000"/>
              <w:right w:val="single" w:sz="4" w:space="0" w:color="000000"/>
            </w:tcBorders>
            <w:vAlign w:val="center"/>
            <w:hideMark/>
          </w:tcPr>
          <w:p w14:paraId="0FDEEBFA"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10,000.00 </w:t>
            </w:r>
          </w:p>
        </w:tc>
        <w:tc>
          <w:tcPr>
            <w:tcW w:w="283" w:type="pct"/>
            <w:tcBorders>
              <w:top w:val="single" w:sz="4" w:space="0" w:color="000000"/>
              <w:left w:val="nil"/>
              <w:bottom w:val="single" w:sz="4" w:space="0" w:color="000000"/>
              <w:right w:val="single" w:sz="4" w:space="0" w:color="000000"/>
            </w:tcBorders>
            <w:vAlign w:val="center"/>
            <w:hideMark/>
          </w:tcPr>
          <w:p w14:paraId="760F8519"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single" w:sz="4" w:space="0" w:color="000000"/>
              <w:left w:val="nil"/>
              <w:bottom w:val="single" w:sz="4" w:space="0" w:color="000000"/>
              <w:right w:val="single" w:sz="4" w:space="0" w:color="000000"/>
            </w:tcBorders>
            <w:vAlign w:val="center"/>
            <w:hideMark/>
          </w:tcPr>
          <w:p w14:paraId="4C720186"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10,000.00 </w:t>
            </w:r>
          </w:p>
        </w:tc>
        <w:tc>
          <w:tcPr>
            <w:tcW w:w="211" w:type="pct"/>
            <w:tcBorders>
              <w:top w:val="single" w:sz="4" w:space="0" w:color="000000"/>
              <w:left w:val="nil"/>
              <w:bottom w:val="single" w:sz="4" w:space="0" w:color="000000"/>
              <w:right w:val="single" w:sz="4" w:space="0" w:color="000000"/>
            </w:tcBorders>
            <w:vAlign w:val="center"/>
            <w:hideMark/>
          </w:tcPr>
          <w:p w14:paraId="4CB14BD1" w14:textId="77777777" w:rsidR="008D1647" w:rsidRPr="00427DF8" w:rsidRDefault="008D1647" w:rsidP="00427DF8">
            <w:pPr>
              <w:spacing w:after="0" w:line="240" w:lineRule="auto"/>
              <w:jc w:val="center"/>
              <w:rPr>
                <w:rFonts w:eastAsia="Times New Roman"/>
                <w:i/>
                <w:iCs/>
                <w:sz w:val="18"/>
                <w:szCs w:val="18"/>
                <w:lang w:val="en-US" w:eastAsia="en-US"/>
              </w:rPr>
            </w:pPr>
            <w:r w:rsidRPr="00427DF8">
              <w:rPr>
                <w:rFonts w:eastAsia="Times New Roman"/>
                <w:i/>
                <w:iCs/>
                <w:sz w:val="18"/>
                <w:szCs w:val="18"/>
                <w:lang w:val="en-US" w:eastAsia="en-US"/>
              </w:rPr>
              <w:t>12</w:t>
            </w:r>
          </w:p>
        </w:tc>
      </w:tr>
      <w:tr w:rsidR="008D1647" w:rsidRPr="00427DF8" w14:paraId="092E5DC3" w14:textId="77777777" w:rsidTr="008D1647">
        <w:trPr>
          <w:gridAfter w:val="1"/>
          <w:wAfter w:w="79" w:type="pct"/>
          <w:trHeight w:val="300"/>
        </w:trPr>
        <w:tc>
          <w:tcPr>
            <w:tcW w:w="383" w:type="pct"/>
            <w:vMerge/>
            <w:tcBorders>
              <w:left w:val="single" w:sz="4" w:space="0" w:color="auto"/>
              <w:right w:val="single" w:sz="4" w:space="0" w:color="auto"/>
            </w:tcBorders>
            <w:vAlign w:val="center"/>
            <w:hideMark/>
          </w:tcPr>
          <w:p w14:paraId="1C1EB0DD"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6073DE02" w14:textId="77777777" w:rsidR="008D1647" w:rsidRPr="00427DF8" w:rsidRDefault="008D1647"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single" w:sz="4" w:space="0" w:color="auto"/>
            </w:tcBorders>
            <w:vAlign w:val="center"/>
            <w:hideMark/>
          </w:tcPr>
          <w:p w14:paraId="5818D6C1" w14:textId="77777777" w:rsidR="008D1647" w:rsidRPr="00427DF8" w:rsidRDefault="008D1647"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4BF396C2"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5AEB78DA"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16881E03"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71800</w:t>
            </w:r>
          </w:p>
        </w:tc>
        <w:tc>
          <w:tcPr>
            <w:tcW w:w="728" w:type="pct"/>
            <w:tcBorders>
              <w:top w:val="nil"/>
              <w:left w:val="nil"/>
              <w:bottom w:val="nil"/>
              <w:right w:val="nil"/>
            </w:tcBorders>
            <w:noWrap/>
            <w:vAlign w:val="center"/>
            <w:hideMark/>
          </w:tcPr>
          <w:p w14:paraId="7EF41242" w14:textId="77777777" w:rsidR="008D1647" w:rsidRPr="00427DF8" w:rsidRDefault="008D1647"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 xml:space="preserve">Contractual Services-Imp </w:t>
            </w:r>
            <w:proofErr w:type="spellStart"/>
            <w:r w:rsidRPr="00427DF8">
              <w:rPr>
                <w:rFonts w:eastAsia="Times New Roman"/>
                <w:color w:val="000000"/>
                <w:sz w:val="18"/>
                <w:szCs w:val="18"/>
                <w:lang w:val="en-US" w:eastAsia="en-US"/>
              </w:rPr>
              <w:t>Paertn</w:t>
            </w:r>
            <w:proofErr w:type="spellEnd"/>
          </w:p>
        </w:tc>
        <w:tc>
          <w:tcPr>
            <w:tcW w:w="283" w:type="pct"/>
            <w:tcBorders>
              <w:top w:val="nil"/>
              <w:left w:val="single" w:sz="4" w:space="0" w:color="000000"/>
              <w:bottom w:val="single" w:sz="4" w:space="0" w:color="000000"/>
              <w:right w:val="single" w:sz="4" w:space="0" w:color="000000"/>
            </w:tcBorders>
            <w:vAlign w:val="center"/>
            <w:hideMark/>
          </w:tcPr>
          <w:p w14:paraId="746D5E84" w14:textId="77777777" w:rsidR="008D1647" w:rsidRPr="00427DF8" w:rsidRDefault="008D1647"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14,512.50 </w:t>
            </w:r>
          </w:p>
        </w:tc>
        <w:tc>
          <w:tcPr>
            <w:tcW w:w="283" w:type="pct"/>
            <w:tcBorders>
              <w:top w:val="nil"/>
              <w:left w:val="nil"/>
              <w:bottom w:val="single" w:sz="4" w:space="0" w:color="000000"/>
              <w:right w:val="single" w:sz="4" w:space="0" w:color="000000"/>
            </w:tcBorders>
            <w:vAlign w:val="center"/>
            <w:hideMark/>
          </w:tcPr>
          <w:p w14:paraId="22CFE790" w14:textId="77777777" w:rsidR="008D1647" w:rsidRPr="00427DF8" w:rsidRDefault="008D1647"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w:t>
            </w:r>
          </w:p>
        </w:tc>
        <w:tc>
          <w:tcPr>
            <w:tcW w:w="317" w:type="pct"/>
            <w:tcBorders>
              <w:top w:val="nil"/>
              <w:left w:val="nil"/>
              <w:bottom w:val="single" w:sz="4" w:space="0" w:color="000000"/>
              <w:right w:val="single" w:sz="4" w:space="0" w:color="000000"/>
            </w:tcBorders>
            <w:vAlign w:val="center"/>
            <w:hideMark/>
          </w:tcPr>
          <w:p w14:paraId="1CF351A9" w14:textId="77777777" w:rsidR="008D1647" w:rsidRPr="00427DF8" w:rsidRDefault="008D1647"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w:t>
            </w:r>
          </w:p>
        </w:tc>
        <w:tc>
          <w:tcPr>
            <w:tcW w:w="317" w:type="pct"/>
            <w:tcBorders>
              <w:top w:val="nil"/>
              <w:left w:val="nil"/>
              <w:bottom w:val="single" w:sz="4" w:space="0" w:color="000000"/>
              <w:right w:val="single" w:sz="4" w:space="0" w:color="000000"/>
            </w:tcBorders>
            <w:vAlign w:val="center"/>
            <w:hideMark/>
          </w:tcPr>
          <w:p w14:paraId="3D908BC6" w14:textId="77777777" w:rsidR="008D1647" w:rsidRPr="00427DF8" w:rsidRDefault="008D1647"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w:t>
            </w:r>
          </w:p>
        </w:tc>
        <w:tc>
          <w:tcPr>
            <w:tcW w:w="317" w:type="pct"/>
            <w:tcBorders>
              <w:top w:val="nil"/>
              <w:left w:val="nil"/>
              <w:bottom w:val="single" w:sz="4" w:space="0" w:color="000000"/>
              <w:right w:val="single" w:sz="4" w:space="0" w:color="000000"/>
            </w:tcBorders>
            <w:vAlign w:val="center"/>
            <w:hideMark/>
          </w:tcPr>
          <w:p w14:paraId="6D4EFA6D" w14:textId="77777777" w:rsidR="008D1647" w:rsidRPr="00427DF8" w:rsidRDefault="008D1647"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w:t>
            </w:r>
          </w:p>
        </w:tc>
        <w:tc>
          <w:tcPr>
            <w:tcW w:w="283" w:type="pct"/>
            <w:tcBorders>
              <w:top w:val="nil"/>
              <w:left w:val="nil"/>
              <w:bottom w:val="single" w:sz="4" w:space="0" w:color="000000"/>
              <w:right w:val="single" w:sz="4" w:space="0" w:color="000000"/>
            </w:tcBorders>
            <w:vAlign w:val="center"/>
            <w:hideMark/>
          </w:tcPr>
          <w:p w14:paraId="09EA1D17"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4,837.50 </w:t>
            </w:r>
          </w:p>
        </w:tc>
        <w:tc>
          <w:tcPr>
            <w:tcW w:w="352" w:type="pct"/>
            <w:tcBorders>
              <w:top w:val="nil"/>
              <w:left w:val="nil"/>
              <w:bottom w:val="single" w:sz="4" w:space="0" w:color="000000"/>
              <w:right w:val="single" w:sz="4" w:space="0" w:color="000000"/>
            </w:tcBorders>
            <w:noWrap/>
            <w:vAlign w:val="center"/>
            <w:hideMark/>
          </w:tcPr>
          <w:p w14:paraId="756AA7A3" w14:textId="77777777" w:rsidR="008D1647" w:rsidRPr="00427DF8" w:rsidRDefault="008D1647" w:rsidP="00427DF8">
            <w:pPr>
              <w:spacing w:after="0" w:line="240" w:lineRule="auto"/>
              <w:rPr>
                <w:rFonts w:eastAsia="Times New Roman"/>
                <w:sz w:val="18"/>
                <w:szCs w:val="18"/>
                <w:lang w:val="en-US" w:eastAsia="en-US"/>
              </w:rPr>
            </w:pPr>
            <w:r w:rsidRPr="00427DF8">
              <w:rPr>
                <w:rFonts w:eastAsia="Times New Roman"/>
                <w:sz w:val="18"/>
                <w:szCs w:val="18"/>
                <w:lang w:val="en-US" w:eastAsia="en-US"/>
              </w:rPr>
              <w:t xml:space="preserve">         19,350.00 </w:t>
            </w:r>
          </w:p>
        </w:tc>
        <w:tc>
          <w:tcPr>
            <w:tcW w:w="211" w:type="pct"/>
            <w:tcBorders>
              <w:top w:val="nil"/>
              <w:left w:val="nil"/>
              <w:bottom w:val="single" w:sz="4" w:space="0" w:color="auto"/>
              <w:right w:val="single" w:sz="4" w:space="0" w:color="auto"/>
            </w:tcBorders>
            <w:vAlign w:val="center"/>
            <w:hideMark/>
          </w:tcPr>
          <w:p w14:paraId="17ADFF78" w14:textId="77777777" w:rsidR="008D1647" w:rsidRPr="00427DF8" w:rsidRDefault="008D1647" w:rsidP="00427DF8">
            <w:pPr>
              <w:spacing w:after="0" w:line="240" w:lineRule="auto"/>
              <w:jc w:val="center"/>
              <w:rPr>
                <w:rFonts w:eastAsia="Times New Roman"/>
                <w:i/>
                <w:iCs/>
                <w:sz w:val="18"/>
                <w:szCs w:val="18"/>
                <w:lang w:val="en-US" w:eastAsia="en-US"/>
              </w:rPr>
            </w:pPr>
            <w:r w:rsidRPr="00427DF8">
              <w:rPr>
                <w:rFonts w:eastAsia="Times New Roman"/>
                <w:i/>
                <w:iCs/>
                <w:sz w:val="18"/>
                <w:szCs w:val="18"/>
                <w:lang w:val="en-US" w:eastAsia="en-US"/>
              </w:rPr>
              <w:t>13</w:t>
            </w:r>
          </w:p>
        </w:tc>
      </w:tr>
      <w:tr w:rsidR="008D1647" w:rsidRPr="00427DF8" w14:paraId="2F2CBF25" w14:textId="77777777" w:rsidTr="008D1647">
        <w:trPr>
          <w:gridAfter w:val="1"/>
          <w:wAfter w:w="79" w:type="pct"/>
          <w:trHeight w:val="300"/>
        </w:trPr>
        <w:tc>
          <w:tcPr>
            <w:tcW w:w="383" w:type="pct"/>
            <w:vMerge/>
            <w:tcBorders>
              <w:left w:val="single" w:sz="4" w:space="0" w:color="auto"/>
              <w:right w:val="single" w:sz="4" w:space="0" w:color="auto"/>
            </w:tcBorders>
            <w:vAlign w:val="center"/>
            <w:hideMark/>
          </w:tcPr>
          <w:p w14:paraId="52CFBA09"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0620CDF4" w14:textId="77777777" w:rsidR="008D1647" w:rsidRPr="00427DF8" w:rsidRDefault="008D1647"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single" w:sz="4" w:space="0" w:color="auto"/>
            </w:tcBorders>
            <w:vAlign w:val="center"/>
            <w:hideMark/>
          </w:tcPr>
          <w:p w14:paraId="3389C596" w14:textId="77777777" w:rsidR="008D1647" w:rsidRPr="00427DF8" w:rsidRDefault="008D1647"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476DCAF5"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5A0FED12"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3006C41A"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72100</w:t>
            </w:r>
          </w:p>
        </w:tc>
        <w:tc>
          <w:tcPr>
            <w:tcW w:w="728" w:type="pct"/>
            <w:tcBorders>
              <w:top w:val="single" w:sz="4" w:space="0" w:color="auto"/>
              <w:left w:val="nil"/>
              <w:bottom w:val="single" w:sz="4" w:space="0" w:color="auto"/>
              <w:right w:val="single" w:sz="4" w:space="0" w:color="auto"/>
            </w:tcBorders>
            <w:vAlign w:val="center"/>
            <w:hideMark/>
          </w:tcPr>
          <w:p w14:paraId="0E9DD6E4" w14:textId="77777777" w:rsidR="008D1647" w:rsidRPr="00427DF8" w:rsidRDefault="008D1647"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Contractual Service company </w:t>
            </w:r>
          </w:p>
        </w:tc>
        <w:tc>
          <w:tcPr>
            <w:tcW w:w="283" w:type="pct"/>
            <w:tcBorders>
              <w:top w:val="nil"/>
              <w:left w:val="nil"/>
              <w:bottom w:val="single" w:sz="4" w:space="0" w:color="auto"/>
              <w:right w:val="single" w:sz="4" w:space="0" w:color="auto"/>
            </w:tcBorders>
            <w:vAlign w:val="center"/>
            <w:hideMark/>
          </w:tcPr>
          <w:p w14:paraId="58499A34"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1AADB1A2"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19,000.00 </w:t>
            </w:r>
          </w:p>
        </w:tc>
        <w:tc>
          <w:tcPr>
            <w:tcW w:w="317" w:type="pct"/>
            <w:tcBorders>
              <w:top w:val="nil"/>
              <w:left w:val="nil"/>
              <w:bottom w:val="single" w:sz="4" w:space="0" w:color="auto"/>
              <w:right w:val="single" w:sz="4" w:space="0" w:color="auto"/>
            </w:tcBorders>
            <w:vAlign w:val="center"/>
            <w:hideMark/>
          </w:tcPr>
          <w:p w14:paraId="1484472E"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93,000.00 </w:t>
            </w:r>
          </w:p>
        </w:tc>
        <w:tc>
          <w:tcPr>
            <w:tcW w:w="317" w:type="pct"/>
            <w:tcBorders>
              <w:top w:val="nil"/>
              <w:left w:val="nil"/>
              <w:bottom w:val="single" w:sz="4" w:space="0" w:color="auto"/>
              <w:right w:val="single" w:sz="4" w:space="0" w:color="auto"/>
            </w:tcBorders>
            <w:vAlign w:val="center"/>
            <w:hideMark/>
          </w:tcPr>
          <w:p w14:paraId="31AB7373"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38,000.00 </w:t>
            </w:r>
          </w:p>
        </w:tc>
        <w:tc>
          <w:tcPr>
            <w:tcW w:w="317" w:type="pct"/>
            <w:tcBorders>
              <w:top w:val="nil"/>
              <w:left w:val="nil"/>
              <w:bottom w:val="single" w:sz="4" w:space="0" w:color="auto"/>
              <w:right w:val="single" w:sz="4" w:space="0" w:color="auto"/>
            </w:tcBorders>
            <w:vAlign w:val="center"/>
            <w:hideMark/>
          </w:tcPr>
          <w:p w14:paraId="1978BE0C"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80,000.00 </w:t>
            </w:r>
          </w:p>
        </w:tc>
        <w:tc>
          <w:tcPr>
            <w:tcW w:w="283" w:type="pct"/>
            <w:tcBorders>
              <w:top w:val="nil"/>
              <w:left w:val="nil"/>
              <w:bottom w:val="single" w:sz="4" w:space="0" w:color="auto"/>
              <w:right w:val="single" w:sz="4" w:space="0" w:color="auto"/>
            </w:tcBorders>
            <w:vAlign w:val="center"/>
            <w:hideMark/>
          </w:tcPr>
          <w:p w14:paraId="481F9FD6"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0043A78B"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230,000.00 </w:t>
            </w:r>
          </w:p>
        </w:tc>
        <w:tc>
          <w:tcPr>
            <w:tcW w:w="211" w:type="pct"/>
            <w:tcBorders>
              <w:top w:val="nil"/>
              <w:left w:val="nil"/>
              <w:bottom w:val="single" w:sz="4" w:space="0" w:color="auto"/>
              <w:right w:val="single" w:sz="4" w:space="0" w:color="auto"/>
            </w:tcBorders>
            <w:vAlign w:val="center"/>
            <w:hideMark/>
          </w:tcPr>
          <w:p w14:paraId="3E7F27F5" w14:textId="77777777" w:rsidR="008D1647" w:rsidRPr="00427DF8" w:rsidRDefault="008D1647"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14</w:t>
            </w:r>
          </w:p>
        </w:tc>
      </w:tr>
      <w:tr w:rsidR="008D1647" w:rsidRPr="00427DF8" w14:paraId="7DD28F0B" w14:textId="77777777" w:rsidTr="008D1647">
        <w:trPr>
          <w:gridAfter w:val="1"/>
          <w:wAfter w:w="79" w:type="pct"/>
          <w:trHeight w:val="300"/>
        </w:trPr>
        <w:tc>
          <w:tcPr>
            <w:tcW w:w="383" w:type="pct"/>
            <w:vMerge/>
            <w:tcBorders>
              <w:left w:val="single" w:sz="4" w:space="0" w:color="auto"/>
              <w:right w:val="single" w:sz="4" w:space="0" w:color="auto"/>
            </w:tcBorders>
            <w:vAlign w:val="center"/>
            <w:hideMark/>
          </w:tcPr>
          <w:p w14:paraId="62ADA7D6"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3B0C9BD4" w14:textId="77777777" w:rsidR="008D1647" w:rsidRPr="00427DF8" w:rsidRDefault="008D1647"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single" w:sz="4" w:space="0" w:color="auto"/>
            </w:tcBorders>
            <w:vAlign w:val="center"/>
            <w:hideMark/>
          </w:tcPr>
          <w:p w14:paraId="6DC2DABF" w14:textId="77777777" w:rsidR="008D1647" w:rsidRPr="00427DF8" w:rsidRDefault="008D1647"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674EBD35"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52BD82C7"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4B4EF50B"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75700</w:t>
            </w:r>
          </w:p>
        </w:tc>
        <w:tc>
          <w:tcPr>
            <w:tcW w:w="728" w:type="pct"/>
            <w:tcBorders>
              <w:top w:val="nil"/>
              <w:left w:val="nil"/>
              <w:bottom w:val="single" w:sz="4" w:space="0" w:color="auto"/>
              <w:right w:val="single" w:sz="4" w:space="0" w:color="auto"/>
            </w:tcBorders>
            <w:vAlign w:val="center"/>
            <w:hideMark/>
          </w:tcPr>
          <w:p w14:paraId="2F1B7E4A" w14:textId="77777777" w:rsidR="008D1647" w:rsidRPr="00427DF8" w:rsidRDefault="008D1647"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Training, workshops and conferences </w:t>
            </w:r>
          </w:p>
        </w:tc>
        <w:tc>
          <w:tcPr>
            <w:tcW w:w="283" w:type="pct"/>
            <w:tcBorders>
              <w:top w:val="nil"/>
              <w:left w:val="nil"/>
              <w:bottom w:val="single" w:sz="4" w:space="0" w:color="auto"/>
              <w:right w:val="single" w:sz="4" w:space="0" w:color="auto"/>
            </w:tcBorders>
            <w:vAlign w:val="center"/>
            <w:hideMark/>
          </w:tcPr>
          <w:p w14:paraId="4CC8A7D0"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48DAA29D"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2,500.00 </w:t>
            </w:r>
          </w:p>
        </w:tc>
        <w:tc>
          <w:tcPr>
            <w:tcW w:w="317" w:type="pct"/>
            <w:tcBorders>
              <w:top w:val="nil"/>
              <w:left w:val="nil"/>
              <w:bottom w:val="single" w:sz="4" w:space="0" w:color="auto"/>
              <w:right w:val="single" w:sz="4" w:space="0" w:color="auto"/>
            </w:tcBorders>
            <w:vAlign w:val="center"/>
            <w:hideMark/>
          </w:tcPr>
          <w:p w14:paraId="069D48E4" w14:textId="77777777" w:rsidR="008D1647" w:rsidRPr="00427DF8" w:rsidRDefault="008D1647"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8,000.00 </w:t>
            </w:r>
          </w:p>
        </w:tc>
        <w:tc>
          <w:tcPr>
            <w:tcW w:w="317" w:type="pct"/>
            <w:tcBorders>
              <w:top w:val="nil"/>
              <w:left w:val="nil"/>
              <w:bottom w:val="single" w:sz="4" w:space="0" w:color="auto"/>
              <w:right w:val="single" w:sz="4" w:space="0" w:color="auto"/>
            </w:tcBorders>
            <w:vAlign w:val="center"/>
            <w:hideMark/>
          </w:tcPr>
          <w:p w14:paraId="5B01FCDD" w14:textId="77777777" w:rsidR="008D1647" w:rsidRPr="00427DF8" w:rsidRDefault="008D1647"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6,000.00 </w:t>
            </w:r>
          </w:p>
        </w:tc>
        <w:tc>
          <w:tcPr>
            <w:tcW w:w="317" w:type="pct"/>
            <w:tcBorders>
              <w:top w:val="nil"/>
              <w:left w:val="nil"/>
              <w:bottom w:val="single" w:sz="4" w:space="0" w:color="auto"/>
              <w:right w:val="single" w:sz="4" w:space="0" w:color="auto"/>
            </w:tcBorders>
            <w:vAlign w:val="center"/>
            <w:hideMark/>
          </w:tcPr>
          <w:p w14:paraId="764E804D"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41,000.00 </w:t>
            </w:r>
          </w:p>
        </w:tc>
        <w:tc>
          <w:tcPr>
            <w:tcW w:w="283" w:type="pct"/>
            <w:tcBorders>
              <w:top w:val="nil"/>
              <w:left w:val="nil"/>
              <w:bottom w:val="single" w:sz="4" w:space="0" w:color="auto"/>
              <w:right w:val="single" w:sz="4" w:space="0" w:color="auto"/>
            </w:tcBorders>
            <w:vAlign w:val="center"/>
            <w:hideMark/>
          </w:tcPr>
          <w:p w14:paraId="3C9CF7E5"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6CDED1A6" w14:textId="77777777" w:rsidR="008D1647" w:rsidRPr="00427DF8" w:rsidRDefault="008D1647"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57,500.00 </w:t>
            </w:r>
          </w:p>
        </w:tc>
        <w:tc>
          <w:tcPr>
            <w:tcW w:w="211" w:type="pct"/>
            <w:tcBorders>
              <w:top w:val="nil"/>
              <w:left w:val="nil"/>
              <w:bottom w:val="single" w:sz="4" w:space="0" w:color="auto"/>
              <w:right w:val="single" w:sz="4" w:space="0" w:color="auto"/>
            </w:tcBorders>
            <w:vAlign w:val="center"/>
            <w:hideMark/>
          </w:tcPr>
          <w:p w14:paraId="3B1DB5C1" w14:textId="77777777" w:rsidR="008D1647" w:rsidRPr="00427DF8" w:rsidRDefault="008D1647"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15</w:t>
            </w:r>
          </w:p>
        </w:tc>
      </w:tr>
      <w:tr w:rsidR="008D1647" w:rsidRPr="00427DF8" w14:paraId="032A3B09" w14:textId="77777777" w:rsidTr="008D1647">
        <w:trPr>
          <w:gridAfter w:val="1"/>
          <w:wAfter w:w="79" w:type="pct"/>
          <w:trHeight w:val="300"/>
        </w:trPr>
        <w:tc>
          <w:tcPr>
            <w:tcW w:w="383" w:type="pct"/>
            <w:vMerge/>
            <w:tcBorders>
              <w:left w:val="single" w:sz="4" w:space="0" w:color="auto"/>
              <w:right w:val="single" w:sz="4" w:space="0" w:color="auto"/>
            </w:tcBorders>
            <w:vAlign w:val="center"/>
            <w:hideMark/>
          </w:tcPr>
          <w:p w14:paraId="11C68259"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078352CC" w14:textId="77777777" w:rsidR="008D1647" w:rsidRPr="00427DF8" w:rsidRDefault="008D1647"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single" w:sz="4" w:space="0" w:color="auto"/>
            </w:tcBorders>
            <w:vAlign w:val="center"/>
            <w:hideMark/>
          </w:tcPr>
          <w:p w14:paraId="540C1401" w14:textId="77777777" w:rsidR="008D1647" w:rsidRPr="00427DF8" w:rsidRDefault="008D1647"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6E685788"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33F2EF33"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09CF357F"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71600</w:t>
            </w:r>
          </w:p>
        </w:tc>
        <w:tc>
          <w:tcPr>
            <w:tcW w:w="728" w:type="pct"/>
            <w:tcBorders>
              <w:top w:val="nil"/>
              <w:left w:val="nil"/>
              <w:bottom w:val="single" w:sz="4" w:space="0" w:color="auto"/>
              <w:right w:val="single" w:sz="4" w:space="0" w:color="auto"/>
            </w:tcBorders>
            <w:vAlign w:val="center"/>
            <w:hideMark/>
          </w:tcPr>
          <w:p w14:paraId="6D4404ED" w14:textId="77777777" w:rsidR="008D1647" w:rsidRPr="00427DF8" w:rsidRDefault="008D1647"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Travel </w:t>
            </w:r>
          </w:p>
        </w:tc>
        <w:tc>
          <w:tcPr>
            <w:tcW w:w="283" w:type="pct"/>
            <w:tcBorders>
              <w:top w:val="nil"/>
              <w:left w:val="nil"/>
              <w:bottom w:val="single" w:sz="4" w:space="0" w:color="auto"/>
              <w:right w:val="single" w:sz="4" w:space="0" w:color="auto"/>
            </w:tcBorders>
            <w:vAlign w:val="center"/>
            <w:hideMark/>
          </w:tcPr>
          <w:p w14:paraId="657DF65A"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2C60B715"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317" w:type="pct"/>
            <w:tcBorders>
              <w:top w:val="nil"/>
              <w:left w:val="nil"/>
              <w:bottom w:val="single" w:sz="4" w:space="0" w:color="auto"/>
              <w:right w:val="single" w:sz="4" w:space="0" w:color="auto"/>
            </w:tcBorders>
            <w:vAlign w:val="center"/>
            <w:hideMark/>
          </w:tcPr>
          <w:p w14:paraId="155C790C"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317" w:type="pct"/>
            <w:tcBorders>
              <w:top w:val="nil"/>
              <w:left w:val="nil"/>
              <w:bottom w:val="single" w:sz="4" w:space="0" w:color="auto"/>
              <w:right w:val="single" w:sz="4" w:space="0" w:color="auto"/>
            </w:tcBorders>
            <w:vAlign w:val="center"/>
            <w:hideMark/>
          </w:tcPr>
          <w:p w14:paraId="179C81BA"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317" w:type="pct"/>
            <w:tcBorders>
              <w:top w:val="nil"/>
              <w:left w:val="nil"/>
              <w:bottom w:val="single" w:sz="4" w:space="0" w:color="auto"/>
              <w:right w:val="single" w:sz="4" w:space="0" w:color="auto"/>
            </w:tcBorders>
            <w:vAlign w:val="center"/>
            <w:hideMark/>
          </w:tcPr>
          <w:p w14:paraId="6A29712B"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7,675.00 </w:t>
            </w:r>
          </w:p>
        </w:tc>
        <w:tc>
          <w:tcPr>
            <w:tcW w:w="283" w:type="pct"/>
            <w:tcBorders>
              <w:top w:val="nil"/>
              <w:left w:val="nil"/>
              <w:bottom w:val="single" w:sz="4" w:space="0" w:color="auto"/>
              <w:right w:val="single" w:sz="4" w:space="0" w:color="auto"/>
            </w:tcBorders>
            <w:vAlign w:val="center"/>
            <w:hideMark/>
          </w:tcPr>
          <w:p w14:paraId="52E76C17"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132A96A9"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7,675.00 </w:t>
            </w:r>
          </w:p>
        </w:tc>
        <w:tc>
          <w:tcPr>
            <w:tcW w:w="211" w:type="pct"/>
            <w:tcBorders>
              <w:top w:val="nil"/>
              <w:left w:val="nil"/>
              <w:bottom w:val="single" w:sz="4" w:space="0" w:color="auto"/>
              <w:right w:val="single" w:sz="4" w:space="0" w:color="auto"/>
            </w:tcBorders>
            <w:vAlign w:val="center"/>
            <w:hideMark/>
          </w:tcPr>
          <w:p w14:paraId="63E27EE0" w14:textId="77777777" w:rsidR="008D1647" w:rsidRPr="00427DF8" w:rsidRDefault="008D1647"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16</w:t>
            </w:r>
          </w:p>
        </w:tc>
      </w:tr>
      <w:tr w:rsidR="008D1647" w:rsidRPr="00427DF8" w14:paraId="155A485B" w14:textId="77777777" w:rsidTr="008D1647">
        <w:trPr>
          <w:gridAfter w:val="1"/>
          <w:wAfter w:w="79" w:type="pct"/>
          <w:trHeight w:val="300"/>
        </w:trPr>
        <w:tc>
          <w:tcPr>
            <w:tcW w:w="383" w:type="pct"/>
            <w:vMerge/>
            <w:tcBorders>
              <w:left w:val="single" w:sz="4" w:space="0" w:color="auto"/>
              <w:right w:val="single" w:sz="4" w:space="0" w:color="auto"/>
            </w:tcBorders>
            <w:vAlign w:val="center"/>
            <w:hideMark/>
          </w:tcPr>
          <w:p w14:paraId="06276BB7"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315BFBBD" w14:textId="77777777" w:rsidR="008D1647" w:rsidRPr="00427DF8" w:rsidRDefault="008D1647"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single" w:sz="4" w:space="0" w:color="auto"/>
            </w:tcBorders>
            <w:vAlign w:val="center"/>
            <w:hideMark/>
          </w:tcPr>
          <w:p w14:paraId="30D54B3B" w14:textId="77777777" w:rsidR="008D1647" w:rsidRPr="00427DF8" w:rsidRDefault="008D1647"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01B3EF44"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6EEEB0D8"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56034C50"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74200</w:t>
            </w:r>
          </w:p>
        </w:tc>
        <w:tc>
          <w:tcPr>
            <w:tcW w:w="728" w:type="pct"/>
            <w:tcBorders>
              <w:top w:val="nil"/>
              <w:left w:val="nil"/>
              <w:bottom w:val="single" w:sz="4" w:space="0" w:color="auto"/>
              <w:right w:val="single" w:sz="4" w:space="0" w:color="auto"/>
            </w:tcBorders>
            <w:vAlign w:val="center"/>
            <w:hideMark/>
          </w:tcPr>
          <w:p w14:paraId="57937958" w14:textId="77777777" w:rsidR="008D1647" w:rsidRPr="00427DF8" w:rsidRDefault="008D1647"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Audiovisual and print production costs </w:t>
            </w:r>
          </w:p>
        </w:tc>
        <w:tc>
          <w:tcPr>
            <w:tcW w:w="283" w:type="pct"/>
            <w:tcBorders>
              <w:top w:val="nil"/>
              <w:left w:val="nil"/>
              <w:bottom w:val="single" w:sz="4" w:space="0" w:color="auto"/>
              <w:right w:val="single" w:sz="4" w:space="0" w:color="auto"/>
            </w:tcBorders>
            <w:vAlign w:val="center"/>
            <w:hideMark/>
          </w:tcPr>
          <w:p w14:paraId="4FA30E78"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3D6EE1D8"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61DAE38C"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25586806"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4B9B72D0"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10,000.00 </w:t>
            </w:r>
          </w:p>
        </w:tc>
        <w:tc>
          <w:tcPr>
            <w:tcW w:w="283" w:type="pct"/>
            <w:tcBorders>
              <w:top w:val="nil"/>
              <w:left w:val="nil"/>
              <w:bottom w:val="single" w:sz="4" w:space="0" w:color="auto"/>
              <w:right w:val="single" w:sz="4" w:space="0" w:color="auto"/>
            </w:tcBorders>
            <w:vAlign w:val="center"/>
            <w:hideMark/>
          </w:tcPr>
          <w:p w14:paraId="25907E17"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3341FABE" w14:textId="77777777" w:rsidR="008D1647" w:rsidRPr="00427DF8" w:rsidRDefault="008D1647"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10,000.00 </w:t>
            </w:r>
          </w:p>
        </w:tc>
        <w:tc>
          <w:tcPr>
            <w:tcW w:w="211" w:type="pct"/>
            <w:tcBorders>
              <w:top w:val="nil"/>
              <w:left w:val="nil"/>
              <w:bottom w:val="single" w:sz="4" w:space="0" w:color="auto"/>
              <w:right w:val="single" w:sz="4" w:space="0" w:color="auto"/>
            </w:tcBorders>
            <w:vAlign w:val="center"/>
            <w:hideMark/>
          </w:tcPr>
          <w:p w14:paraId="053D2252" w14:textId="77777777" w:rsidR="008D1647" w:rsidRPr="00427DF8" w:rsidRDefault="008D1647"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17</w:t>
            </w:r>
          </w:p>
        </w:tc>
      </w:tr>
      <w:tr w:rsidR="008D1647" w:rsidRPr="00427DF8" w14:paraId="62DD4E75" w14:textId="77777777" w:rsidTr="008D1647">
        <w:trPr>
          <w:gridAfter w:val="1"/>
          <w:wAfter w:w="79" w:type="pct"/>
          <w:trHeight w:val="289"/>
        </w:trPr>
        <w:tc>
          <w:tcPr>
            <w:tcW w:w="383" w:type="pct"/>
            <w:vMerge/>
            <w:tcBorders>
              <w:left w:val="single" w:sz="4" w:space="0" w:color="auto"/>
              <w:right w:val="single" w:sz="4" w:space="0" w:color="auto"/>
            </w:tcBorders>
            <w:vAlign w:val="center"/>
            <w:hideMark/>
          </w:tcPr>
          <w:p w14:paraId="4396971C"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032FF507" w14:textId="77777777" w:rsidR="008D1647" w:rsidRPr="00427DF8" w:rsidRDefault="008D1647"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single" w:sz="4" w:space="0" w:color="auto"/>
            </w:tcBorders>
            <w:vAlign w:val="center"/>
            <w:hideMark/>
          </w:tcPr>
          <w:p w14:paraId="61D7B793" w14:textId="77777777" w:rsidR="008D1647" w:rsidRPr="00427DF8" w:rsidRDefault="008D1647" w:rsidP="00427DF8">
            <w:pPr>
              <w:spacing w:after="0" w:line="240" w:lineRule="auto"/>
              <w:rPr>
                <w:rFonts w:eastAsia="Times New Roman"/>
                <w:color w:val="000000"/>
                <w:sz w:val="18"/>
                <w:szCs w:val="18"/>
                <w:lang w:val="en-US" w:eastAsia="en-US"/>
              </w:rPr>
            </w:pPr>
          </w:p>
        </w:tc>
        <w:tc>
          <w:tcPr>
            <w:tcW w:w="254" w:type="pct"/>
            <w:tcBorders>
              <w:top w:val="nil"/>
              <w:left w:val="nil"/>
              <w:bottom w:val="single" w:sz="4" w:space="0" w:color="auto"/>
              <w:right w:val="single" w:sz="4" w:space="0" w:color="auto"/>
            </w:tcBorders>
            <w:shd w:val="clear" w:color="000000" w:fill="92D050"/>
            <w:vAlign w:val="center"/>
            <w:hideMark/>
          </w:tcPr>
          <w:p w14:paraId="2BAA7ECA" w14:textId="77777777" w:rsidR="008D1647" w:rsidRPr="00427DF8" w:rsidRDefault="008D1647" w:rsidP="00427DF8">
            <w:pPr>
              <w:spacing w:after="0" w:line="240" w:lineRule="auto"/>
              <w:rPr>
                <w:rFonts w:eastAsia="Times New Roman"/>
                <w:b/>
                <w:bCs/>
                <w:color w:val="000000"/>
                <w:sz w:val="18"/>
                <w:szCs w:val="18"/>
                <w:lang w:val="en-US" w:eastAsia="en-US"/>
              </w:rPr>
            </w:pPr>
            <w:r w:rsidRPr="00427DF8">
              <w:rPr>
                <w:rFonts w:eastAsia="Times New Roman"/>
                <w:b/>
                <w:bCs/>
                <w:color w:val="000000"/>
                <w:sz w:val="18"/>
                <w:szCs w:val="18"/>
                <w:lang w:val="en-US" w:eastAsia="en-US"/>
              </w:rPr>
              <w:t> </w:t>
            </w:r>
          </w:p>
        </w:tc>
        <w:tc>
          <w:tcPr>
            <w:tcW w:w="254" w:type="pct"/>
            <w:tcBorders>
              <w:top w:val="nil"/>
              <w:left w:val="nil"/>
              <w:bottom w:val="nil"/>
              <w:right w:val="single" w:sz="4" w:space="0" w:color="auto"/>
            </w:tcBorders>
            <w:shd w:val="clear" w:color="000000" w:fill="92D050"/>
            <w:vAlign w:val="center"/>
            <w:hideMark/>
          </w:tcPr>
          <w:p w14:paraId="46CEC394" w14:textId="77777777" w:rsidR="008D1647" w:rsidRPr="00427DF8" w:rsidRDefault="008D1647" w:rsidP="00427DF8">
            <w:pPr>
              <w:spacing w:after="0" w:line="240" w:lineRule="auto"/>
              <w:rPr>
                <w:rFonts w:eastAsia="Times New Roman"/>
                <w:b/>
                <w:bCs/>
                <w:color w:val="000000"/>
                <w:sz w:val="18"/>
                <w:szCs w:val="18"/>
                <w:lang w:val="en-US" w:eastAsia="en-US"/>
              </w:rPr>
            </w:pPr>
            <w:r w:rsidRPr="00427DF8">
              <w:rPr>
                <w:rFonts w:eastAsia="Times New Roman"/>
                <w:b/>
                <w:bCs/>
                <w:color w:val="000000"/>
                <w:sz w:val="18"/>
                <w:szCs w:val="18"/>
                <w:lang w:val="en-US" w:eastAsia="en-US"/>
              </w:rPr>
              <w:t> </w:t>
            </w:r>
          </w:p>
        </w:tc>
        <w:tc>
          <w:tcPr>
            <w:tcW w:w="997" w:type="pct"/>
            <w:gridSpan w:val="2"/>
            <w:tcBorders>
              <w:top w:val="single" w:sz="4" w:space="0" w:color="auto"/>
              <w:left w:val="nil"/>
              <w:bottom w:val="single" w:sz="4" w:space="0" w:color="auto"/>
              <w:right w:val="single" w:sz="4" w:space="0" w:color="000000"/>
            </w:tcBorders>
            <w:shd w:val="clear" w:color="000000" w:fill="92D050"/>
            <w:vAlign w:val="center"/>
            <w:hideMark/>
          </w:tcPr>
          <w:p w14:paraId="0531E773" w14:textId="77777777" w:rsidR="008D1647" w:rsidRPr="00427DF8" w:rsidRDefault="008D1647"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Sub Total GEF</w:t>
            </w:r>
          </w:p>
        </w:tc>
        <w:tc>
          <w:tcPr>
            <w:tcW w:w="283" w:type="pct"/>
            <w:tcBorders>
              <w:top w:val="nil"/>
              <w:left w:val="nil"/>
              <w:bottom w:val="single" w:sz="4" w:space="0" w:color="auto"/>
              <w:right w:val="single" w:sz="4" w:space="0" w:color="auto"/>
            </w:tcBorders>
            <w:shd w:val="clear" w:color="000000" w:fill="92D050"/>
            <w:vAlign w:val="center"/>
            <w:hideMark/>
          </w:tcPr>
          <w:p w14:paraId="6688E2B8" w14:textId="77777777" w:rsidR="008D1647" w:rsidRPr="00427DF8" w:rsidRDefault="008D1647"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14,512.50 </w:t>
            </w:r>
          </w:p>
        </w:tc>
        <w:tc>
          <w:tcPr>
            <w:tcW w:w="283" w:type="pct"/>
            <w:tcBorders>
              <w:top w:val="nil"/>
              <w:left w:val="nil"/>
              <w:bottom w:val="single" w:sz="4" w:space="0" w:color="auto"/>
              <w:right w:val="single" w:sz="4" w:space="0" w:color="auto"/>
            </w:tcBorders>
            <w:shd w:val="clear" w:color="000000" w:fill="92D050"/>
            <w:vAlign w:val="center"/>
            <w:hideMark/>
          </w:tcPr>
          <w:p w14:paraId="2C6E92AC" w14:textId="77777777" w:rsidR="008D1647" w:rsidRPr="00427DF8" w:rsidRDefault="008D1647"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35,500.00 </w:t>
            </w:r>
          </w:p>
        </w:tc>
        <w:tc>
          <w:tcPr>
            <w:tcW w:w="317" w:type="pct"/>
            <w:tcBorders>
              <w:top w:val="nil"/>
              <w:left w:val="nil"/>
              <w:bottom w:val="single" w:sz="4" w:space="0" w:color="auto"/>
              <w:right w:val="single" w:sz="4" w:space="0" w:color="auto"/>
            </w:tcBorders>
            <w:shd w:val="clear" w:color="000000" w:fill="92D050"/>
            <w:vAlign w:val="center"/>
            <w:hideMark/>
          </w:tcPr>
          <w:p w14:paraId="28FDA48E" w14:textId="77777777" w:rsidR="008D1647" w:rsidRPr="00427DF8" w:rsidRDefault="008D1647"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108,000.00 </w:t>
            </w:r>
          </w:p>
        </w:tc>
        <w:tc>
          <w:tcPr>
            <w:tcW w:w="317" w:type="pct"/>
            <w:tcBorders>
              <w:top w:val="nil"/>
              <w:left w:val="nil"/>
              <w:bottom w:val="single" w:sz="4" w:space="0" w:color="auto"/>
              <w:right w:val="single" w:sz="4" w:space="0" w:color="auto"/>
            </w:tcBorders>
            <w:shd w:val="clear" w:color="000000" w:fill="92D050"/>
            <w:vAlign w:val="center"/>
            <w:hideMark/>
          </w:tcPr>
          <w:p w14:paraId="259EADC9" w14:textId="77777777" w:rsidR="008D1647" w:rsidRPr="00427DF8" w:rsidRDefault="008D1647"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58,000.00 </w:t>
            </w:r>
          </w:p>
        </w:tc>
        <w:tc>
          <w:tcPr>
            <w:tcW w:w="317" w:type="pct"/>
            <w:tcBorders>
              <w:top w:val="nil"/>
              <w:left w:val="nil"/>
              <w:bottom w:val="single" w:sz="4" w:space="0" w:color="auto"/>
              <w:right w:val="single" w:sz="4" w:space="0" w:color="auto"/>
            </w:tcBorders>
            <w:shd w:val="clear" w:color="000000" w:fill="92D050"/>
            <w:vAlign w:val="center"/>
            <w:hideMark/>
          </w:tcPr>
          <w:p w14:paraId="537DB576" w14:textId="77777777" w:rsidR="008D1647" w:rsidRPr="00427DF8" w:rsidRDefault="008D1647"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155,675.00 </w:t>
            </w:r>
          </w:p>
        </w:tc>
        <w:tc>
          <w:tcPr>
            <w:tcW w:w="283" w:type="pct"/>
            <w:tcBorders>
              <w:top w:val="nil"/>
              <w:left w:val="nil"/>
              <w:bottom w:val="single" w:sz="4" w:space="0" w:color="auto"/>
              <w:right w:val="single" w:sz="4" w:space="0" w:color="auto"/>
            </w:tcBorders>
            <w:shd w:val="clear" w:color="000000" w:fill="92D050"/>
            <w:vAlign w:val="center"/>
            <w:hideMark/>
          </w:tcPr>
          <w:p w14:paraId="18A7479C" w14:textId="77777777" w:rsidR="008D1647" w:rsidRPr="00427DF8" w:rsidRDefault="008D1647"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4,837.50 </w:t>
            </w:r>
          </w:p>
        </w:tc>
        <w:tc>
          <w:tcPr>
            <w:tcW w:w="352" w:type="pct"/>
            <w:tcBorders>
              <w:top w:val="nil"/>
              <w:left w:val="nil"/>
              <w:bottom w:val="single" w:sz="4" w:space="0" w:color="auto"/>
              <w:right w:val="single" w:sz="4" w:space="0" w:color="auto"/>
            </w:tcBorders>
            <w:shd w:val="clear" w:color="000000" w:fill="92D050"/>
            <w:vAlign w:val="center"/>
            <w:hideMark/>
          </w:tcPr>
          <w:p w14:paraId="6472FA0C" w14:textId="77777777" w:rsidR="008D1647" w:rsidRPr="00427DF8" w:rsidRDefault="008D1647"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376,525.00 </w:t>
            </w:r>
          </w:p>
        </w:tc>
        <w:tc>
          <w:tcPr>
            <w:tcW w:w="211" w:type="pct"/>
            <w:tcBorders>
              <w:top w:val="nil"/>
              <w:left w:val="nil"/>
              <w:bottom w:val="single" w:sz="4" w:space="0" w:color="auto"/>
              <w:right w:val="single" w:sz="4" w:space="0" w:color="auto"/>
            </w:tcBorders>
            <w:shd w:val="clear" w:color="000000" w:fill="92D050"/>
            <w:vAlign w:val="center"/>
            <w:hideMark/>
          </w:tcPr>
          <w:p w14:paraId="29EF780D"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w:t>
            </w:r>
          </w:p>
        </w:tc>
      </w:tr>
      <w:tr w:rsidR="008D1647" w:rsidRPr="00427DF8" w14:paraId="6274A0D5" w14:textId="77777777" w:rsidTr="008D1647">
        <w:trPr>
          <w:gridAfter w:val="1"/>
          <w:wAfter w:w="79" w:type="pct"/>
          <w:trHeight w:val="289"/>
        </w:trPr>
        <w:tc>
          <w:tcPr>
            <w:tcW w:w="383" w:type="pct"/>
            <w:vMerge/>
            <w:tcBorders>
              <w:left w:val="single" w:sz="4" w:space="0" w:color="auto"/>
              <w:bottom w:val="nil"/>
              <w:right w:val="single" w:sz="4" w:space="0" w:color="auto"/>
            </w:tcBorders>
            <w:vAlign w:val="center"/>
            <w:hideMark/>
          </w:tcPr>
          <w:p w14:paraId="5F17C022" w14:textId="77777777" w:rsidR="008D1647" w:rsidRPr="00427DF8" w:rsidRDefault="008D1647"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2D32CC31" w14:textId="77777777" w:rsidR="008D1647" w:rsidRPr="00427DF8" w:rsidRDefault="008D1647"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single" w:sz="4" w:space="0" w:color="auto"/>
            </w:tcBorders>
            <w:vAlign w:val="center"/>
            <w:hideMark/>
          </w:tcPr>
          <w:p w14:paraId="10D0469A" w14:textId="77777777" w:rsidR="008D1647" w:rsidRPr="00427DF8" w:rsidRDefault="008D1647" w:rsidP="00427DF8">
            <w:pPr>
              <w:spacing w:after="0" w:line="240" w:lineRule="auto"/>
              <w:rPr>
                <w:rFonts w:eastAsia="Times New Roman"/>
                <w:color w:val="000000"/>
                <w:sz w:val="18"/>
                <w:szCs w:val="18"/>
                <w:lang w:val="en-US" w:eastAsia="en-US"/>
              </w:rPr>
            </w:pPr>
          </w:p>
        </w:tc>
        <w:tc>
          <w:tcPr>
            <w:tcW w:w="1506" w:type="pct"/>
            <w:gridSpan w:val="4"/>
            <w:tcBorders>
              <w:top w:val="single" w:sz="4" w:space="0" w:color="auto"/>
              <w:left w:val="nil"/>
              <w:bottom w:val="single" w:sz="4" w:space="0" w:color="auto"/>
              <w:right w:val="single" w:sz="4" w:space="0" w:color="000000"/>
            </w:tcBorders>
            <w:shd w:val="clear" w:color="000000" w:fill="FFD966"/>
            <w:vAlign w:val="center"/>
            <w:hideMark/>
          </w:tcPr>
          <w:p w14:paraId="21312A69" w14:textId="77777777" w:rsidR="008D1647" w:rsidRPr="00427DF8" w:rsidRDefault="008D1647" w:rsidP="00427DF8">
            <w:pPr>
              <w:spacing w:after="0" w:line="240" w:lineRule="auto"/>
              <w:jc w:val="right"/>
              <w:rPr>
                <w:rFonts w:eastAsia="Times New Roman"/>
                <w:b/>
                <w:bCs/>
                <w:sz w:val="18"/>
                <w:szCs w:val="18"/>
                <w:lang w:val="en-US" w:eastAsia="en-US"/>
              </w:rPr>
            </w:pPr>
            <w:proofErr w:type="spellStart"/>
            <w:r w:rsidRPr="00427DF8">
              <w:rPr>
                <w:rFonts w:eastAsia="Times New Roman"/>
                <w:b/>
                <w:bCs/>
                <w:sz w:val="18"/>
                <w:szCs w:val="18"/>
                <w:lang w:val="en-US" w:eastAsia="en-US"/>
              </w:rPr>
              <w:t>Sub total</w:t>
            </w:r>
            <w:proofErr w:type="spellEnd"/>
            <w:r w:rsidRPr="00427DF8">
              <w:rPr>
                <w:rFonts w:eastAsia="Times New Roman"/>
                <w:b/>
                <w:bCs/>
                <w:sz w:val="18"/>
                <w:szCs w:val="18"/>
                <w:lang w:val="en-US" w:eastAsia="en-US"/>
              </w:rPr>
              <w:t xml:space="preserve"> 1.2</w:t>
            </w:r>
          </w:p>
        </w:tc>
        <w:tc>
          <w:tcPr>
            <w:tcW w:w="283" w:type="pct"/>
            <w:tcBorders>
              <w:top w:val="nil"/>
              <w:left w:val="nil"/>
              <w:bottom w:val="single" w:sz="4" w:space="0" w:color="auto"/>
              <w:right w:val="single" w:sz="4" w:space="0" w:color="auto"/>
            </w:tcBorders>
            <w:shd w:val="clear" w:color="000000" w:fill="FFD966"/>
            <w:vAlign w:val="center"/>
            <w:hideMark/>
          </w:tcPr>
          <w:p w14:paraId="7634B4EA" w14:textId="77777777" w:rsidR="008D1647" w:rsidRPr="00427DF8" w:rsidRDefault="008D1647"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14,512.50 </w:t>
            </w:r>
          </w:p>
        </w:tc>
        <w:tc>
          <w:tcPr>
            <w:tcW w:w="283" w:type="pct"/>
            <w:tcBorders>
              <w:top w:val="nil"/>
              <w:left w:val="nil"/>
              <w:bottom w:val="single" w:sz="4" w:space="0" w:color="auto"/>
              <w:right w:val="single" w:sz="4" w:space="0" w:color="auto"/>
            </w:tcBorders>
            <w:shd w:val="clear" w:color="000000" w:fill="FFD966"/>
            <w:vAlign w:val="center"/>
            <w:hideMark/>
          </w:tcPr>
          <w:p w14:paraId="5F0D6CBE" w14:textId="77777777" w:rsidR="008D1647" w:rsidRPr="00427DF8" w:rsidRDefault="008D1647"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35,500.00 </w:t>
            </w:r>
          </w:p>
        </w:tc>
        <w:tc>
          <w:tcPr>
            <w:tcW w:w="317" w:type="pct"/>
            <w:tcBorders>
              <w:top w:val="nil"/>
              <w:left w:val="nil"/>
              <w:bottom w:val="single" w:sz="4" w:space="0" w:color="auto"/>
              <w:right w:val="single" w:sz="4" w:space="0" w:color="auto"/>
            </w:tcBorders>
            <w:shd w:val="clear" w:color="000000" w:fill="FFD966"/>
            <w:vAlign w:val="center"/>
            <w:hideMark/>
          </w:tcPr>
          <w:p w14:paraId="2111990E" w14:textId="77777777" w:rsidR="008D1647" w:rsidRPr="00427DF8" w:rsidRDefault="008D1647"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108,000.00 </w:t>
            </w:r>
          </w:p>
        </w:tc>
        <w:tc>
          <w:tcPr>
            <w:tcW w:w="317" w:type="pct"/>
            <w:tcBorders>
              <w:top w:val="nil"/>
              <w:left w:val="nil"/>
              <w:bottom w:val="single" w:sz="4" w:space="0" w:color="auto"/>
              <w:right w:val="single" w:sz="4" w:space="0" w:color="auto"/>
            </w:tcBorders>
            <w:shd w:val="clear" w:color="000000" w:fill="FFD966"/>
            <w:vAlign w:val="center"/>
            <w:hideMark/>
          </w:tcPr>
          <w:p w14:paraId="3B29745F" w14:textId="77777777" w:rsidR="008D1647" w:rsidRPr="00427DF8" w:rsidRDefault="008D1647"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58,000.00 </w:t>
            </w:r>
          </w:p>
        </w:tc>
        <w:tc>
          <w:tcPr>
            <w:tcW w:w="317" w:type="pct"/>
            <w:tcBorders>
              <w:top w:val="nil"/>
              <w:left w:val="nil"/>
              <w:bottom w:val="single" w:sz="4" w:space="0" w:color="auto"/>
              <w:right w:val="single" w:sz="4" w:space="0" w:color="auto"/>
            </w:tcBorders>
            <w:shd w:val="clear" w:color="000000" w:fill="FFD966"/>
            <w:vAlign w:val="center"/>
            <w:hideMark/>
          </w:tcPr>
          <w:p w14:paraId="40622286" w14:textId="77777777" w:rsidR="008D1647" w:rsidRPr="00427DF8" w:rsidRDefault="008D1647"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155,675.00 </w:t>
            </w:r>
          </w:p>
        </w:tc>
        <w:tc>
          <w:tcPr>
            <w:tcW w:w="283" w:type="pct"/>
            <w:tcBorders>
              <w:top w:val="nil"/>
              <w:left w:val="nil"/>
              <w:bottom w:val="single" w:sz="4" w:space="0" w:color="auto"/>
              <w:right w:val="single" w:sz="4" w:space="0" w:color="auto"/>
            </w:tcBorders>
            <w:shd w:val="clear" w:color="000000" w:fill="FFD966"/>
            <w:vAlign w:val="center"/>
            <w:hideMark/>
          </w:tcPr>
          <w:p w14:paraId="0FD3497F" w14:textId="77777777" w:rsidR="008D1647" w:rsidRPr="00427DF8" w:rsidRDefault="008D1647"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4,837.50 </w:t>
            </w:r>
          </w:p>
        </w:tc>
        <w:tc>
          <w:tcPr>
            <w:tcW w:w="352" w:type="pct"/>
            <w:tcBorders>
              <w:top w:val="nil"/>
              <w:left w:val="nil"/>
              <w:bottom w:val="single" w:sz="4" w:space="0" w:color="auto"/>
              <w:right w:val="single" w:sz="4" w:space="0" w:color="auto"/>
            </w:tcBorders>
            <w:shd w:val="clear" w:color="000000" w:fill="FFD966"/>
            <w:vAlign w:val="center"/>
            <w:hideMark/>
          </w:tcPr>
          <w:p w14:paraId="37B7464F" w14:textId="77777777" w:rsidR="008D1647" w:rsidRPr="00427DF8" w:rsidRDefault="008D1647"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376,525.00 </w:t>
            </w:r>
          </w:p>
        </w:tc>
        <w:tc>
          <w:tcPr>
            <w:tcW w:w="211" w:type="pct"/>
            <w:tcBorders>
              <w:top w:val="nil"/>
              <w:left w:val="nil"/>
              <w:bottom w:val="single" w:sz="4" w:space="0" w:color="auto"/>
              <w:right w:val="single" w:sz="4" w:space="0" w:color="auto"/>
            </w:tcBorders>
            <w:shd w:val="clear" w:color="000000" w:fill="FFD966"/>
            <w:vAlign w:val="center"/>
            <w:hideMark/>
          </w:tcPr>
          <w:p w14:paraId="0D110EE2" w14:textId="77777777" w:rsidR="008D1647" w:rsidRPr="00427DF8" w:rsidRDefault="008D1647"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w:t>
            </w:r>
          </w:p>
        </w:tc>
      </w:tr>
      <w:tr w:rsidR="00427DF8" w:rsidRPr="00427DF8" w14:paraId="7DF7FD5E" w14:textId="77777777" w:rsidTr="008D1647">
        <w:trPr>
          <w:gridAfter w:val="1"/>
          <w:wAfter w:w="79" w:type="pct"/>
          <w:trHeight w:val="289"/>
        </w:trPr>
        <w:tc>
          <w:tcPr>
            <w:tcW w:w="38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F4AF614" w14:textId="77777777" w:rsidR="00427DF8" w:rsidRPr="00427DF8" w:rsidRDefault="00427DF8" w:rsidP="00427DF8">
            <w:pPr>
              <w:spacing w:after="0" w:line="240" w:lineRule="auto"/>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Component 2: </w:t>
            </w:r>
            <w:proofErr w:type="spellStart"/>
            <w:r w:rsidRPr="00427DF8">
              <w:rPr>
                <w:rFonts w:eastAsia="Times New Roman"/>
                <w:b/>
                <w:bCs/>
                <w:color w:val="000000"/>
                <w:sz w:val="18"/>
                <w:szCs w:val="18"/>
                <w:lang w:val="en-US" w:eastAsia="en-US"/>
              </w:rPr>
              <w:t>Decarbonisation</w:t>
            </w:r>
            <w:proofErr w:type="spellEnd"/>
            <w:r w:rsidRPr="00427DF8">
              <w:rPr>
                <w:rFonts w:eastAsia="Times New Roman"/>
                <w:b/>
                <w:bCs/>
                <w:color w:val="000000"/>
                <w:sz w:val="18"/>
                <w:szCs w:val="18"/>
                <w:lang w:val="en-US" w:eastAsia="en-US"/>
              </w:rPr>
              <w:t xml:space="preserve"> of the transport sector</w:t>
            </w:r>
          </w:p>
        </w:tc>
        <w:tc>
          <w:tcPr>
            <w:tcW w:w="37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9CF29EA"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 xml:space="preserve">Outcome 2.1: An enabling environment for innovative partnerships and low-carbon investment in sustainable transport is established, thereby improving access to services, particularly for the most vulnerable </w:t>
            </w:r>
          </w:p>
        </w:tc>
        <w:tc>
          <w:tcPr>
            <w:tcW w:w="302" w:type="pct"/>
            <w:vMerge w:val="restart"/>
            <w:tcBorders>
              <w:top w:val="nil"/>
              <w:left w:val="single" w:sz="4" w:space="0" w:color="auto"/>
              <w:bottom w:val="single" w:sz="4" w:space="0" w:color="auto"/>
              <w:right w:val="single" w:sz="4" w:space="0" w:color="auto"/>
            </w:tcBorders>
            <w:shd w:val="clear" w:color="000000" w:fill="FFFFFF"/>
            <w:vAlign w:val="center"/>
            <w:hideMark/>
          </w:tcPr>
          <w:p w14:paraId="4B87EF3E"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NDUPH</w:t>
            </w:r>
          </w:p>
        </w:tc>
        <w:tc>
          <w:tcPr>
            <w:tcW w:w="254" w:type="pct"/>
            <w:vMerge w:val="restart"/>
            <w:tcBorders>
              <w:top w:val="nil"/>
              <w:left w:val="single" w:sz="4" w:space="0" w:color="auto"/>
              <w:bottom w:val="nil"/>
              <w:right w:val="single" w:sz="4" w:space="0" w:color="auto"/>
            </w:tcBorders>
            <w:vAlign w:val="center"/>
            <w:hideMark/>
          </w:tcPr>
          <w:p w14:paraId="38F1F351"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62000</w:t>
            </w:r>
          </w:p>
        </w:tc>
        <w:tc>
          <w:tcPr>
            <w:tcW w:w="254" w:type="pct"/>
            <w:vMerge w:val="restart"/>
            <w:tcBorders>
              <w:top w:val="nil"/>
              <w:left w:val="single" w:sz="4" w:space="0" w:color="auto"/>
              <w:bottom w:val="single" w:sz="4" w:space="0" w:color="000000"/>
              <w:right w:val="single" w:sz="4" w:space="0" w:color="auto"/>
            </w:tcBorders>
            <w:vAlign w:val="center"/>
            <w:hideMark/>
          </w:tcPr>
          <w:p w14:paraId="35104371"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10003</w:t>
            </w:r>
          </w:p>
        </w:tc>
        <w:tc>
          <w:tcPr>
            <w:tcW w:w="269" w:type="pct"/>
            <w:tcBorders>
              <w:top w:val="nil"/>
              <w:left w:val="nil"/>
              <w:bottom w:val="single" w:sz="4" w:space="0" w:color="auto"/>
              <w:right w:val="single" w:sz="4" w:space="0" w:color="auto"/>
            </w:tcBorders>
            <w:vAlign w:val="center"/>
            <w:hideMark/>
          </w:tcPr>
          <w:p w14:paraId="4BF817CC"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71200</w:t>
            </w:r>
          </w:p>
        </w:tc>
        <w:tc>
          <w:tcPr>
            <w:tcW w:w="728" w:type="pct"/>
            <w:tcBorders>
              <w:top w:val="nil"/>
              <w:left w:val="nil"/>
              <w:bottom w:val="single" w:sz="4" w:space="0" w:color="auto"/>
              <w:right w:val="single" w:sz="4" w:space="0" w:color="auto"/>
            </w:tcBorders>
            <w:vAlign w:val="center"/>
            <w:hideMark/>
          </w:tcPr>
          <w:p w14:paraId="07B5CD79"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International consultant </w:t>
            </w:r>
          </w:p>
        </w:tc>
        <w:tc>
          <w:tcPr>
            <w:tcW w:w="283" w:type="pct"/>
            <w:tcBorders>
              <w:top w:val="nil"/>
              <w:left w:val="nil"/>
              <w:bottom w:val="single" w:sz="4" w:space="0" w:color="auto"/>
              <w:right w:val="single" w:sz="4" w:space="0" w:color="auto"/>
            </w:tcBorders>
            <w:vAlign w:val="center"/>
            <w:hideMark/>
          </w:tcPr>
          <w:p w14:paraId="64983EB2"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8,000.00 </w:t>
            </w:r>
          </w:p>
        </w:tc>
        <w:tc>
          <w:tcPr>
            <w:tcW w:w="283" w:type="pct"/>
            <w:tcBorders>
              <w:top w:val="nil"/>
              <w:left w:val="nil"/>
              <w:bottom w:val="single" w:sz="4" w:space="0" w:color="auto"/>
              <w:right w:val="single" w:sz="4" w:space="0" w:color="auto"/>
            </w:tcBorders>
            <w:vAlign w:val="center"/>
            <w:hideMark/>
          </w:tcPr>
          <w:p w14:paraId="3FAA2528"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14,000.00 </w:t>
            </w:r>
          </w:p>
        </w:tc>
        <w:tc>
          <w:tcPr>
            <w:tcW w:w="317" w:type="pct"/>
            <w:tcBorders>
              <w:top w:val="nil"/>
              <w:left w:val="nil"/>
              <w:bottom w:val="single" w:sz="4" w:space="0" w:color="auto"/>
              <w:right w:val="single" w:sz="4" w:space="0" w:color="auto"/>
            </w:tcBorders>
            <w:vAlign w:val="center"/>
            <w:hideMark/>
          </w:tcPr>
          <w:p w14:paraId="7D6037FC"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20,000.00 </w:t>
            </w:r>
          </w:p>
        </w:tc>
        <w:tc>
          <w:tcPr>
            <w:tcW w:w="317" w:type="pct"/>
            <w:tcBorders>
              <w:top w:val="nil"/>
              <w:left w:val="nil"/>
              <w:bottom w:val="single" w:sz="4" w:space="0" w:color="auto"/>
              <w:right w:val="single" w:sz="4" w:space="0" w:color="auto"/>
            </w:tcBorders>
            <w:vAlign w:val="center"/>
            <w:hideMark/>
          </w:tcPr>
          <w:p w14:paraId="6F50B12F"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20,000.00 </w:t>
            </w:r>
          </w:p>
        </w:tc>
        <w:tc>
          <w:tcPr>
            <w:tcW w:w="317" w:type="pct"/>
            <w:tcBorders>
              <w:top w:val="nil"/>
              <w:left w:val="nil"/>
              <w:bottom w:val="single" w:sz="4" w:space="0" w:color="auto"/>
              <w:right w:val="single" w:sz="4" w:space="0" w:color="auto"/>
            </w:tcBorders>
            <w:vAlign w:val="center"/>
            <w:hideMark/>
          </w:tcPr>
          <w:p w14:paraId="05AA54FC"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20,000.00 </w:t>
            </w:r>
          </w:p>
        </w:tc>
        <w:tc>
          <w:tcPr>
            <w:tcW w:w="283" w:type="pct"/>
            <w:tcBorders>
              <w:top w:val="nil"/>
              <w:left w:val="nil"/>
              <w:bottom w:val="single" w:sz="4" w:space="0" w:color="auto"/>
              <w:right w:val="single" w:sz="4" w:space="0" w:color="auto"/>
            </w:tcBorders>
            <w:vAlign w:val="center"/>
            <w:hideMark/>
          </w:tcPr>
          <w:p w14:paraId="728AF33A"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57A1F44D"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82,000.00 </w:t>
            </w:r>
          </w:p>
        </w:tc>
        <w:tc>
          <w:tcPr>
            <w:tcW w:w="211" w:type="pct"/>
            <w:tcBorders>
              <w:top w:val="nil"/>
              <w:left w:val="nil"/>
              <w:bottom w:val="single" w:sz="4" w:space="0" w:color="auto"/>
              <w:right w:val="single" w:sz="4" w:space="0" w:color="auto"/>
            </w:tcBorders>
            <w:vAlign w:val="center"/>
            <w:hideMark/>
          </w:tcPr>
          <w:p w14:paraId="7B260E1A"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18</w:t>
            </w:r>
          </w:p>
        </w:tc>
      </w:tr>
      <w:tr w:rsidR="00427DF8" w:rsidRPr="00427DF8" w14:paraId="60FB50F3" w14:textId="77777777" w:rsidTr="008D1647">
        <w:trPr>
          <w:gridAfter w:val="1"/>
          <w:wAfter w:w="79" w:type="pct"/>
          <w:trHeight w:val="300"/>
        </w:trPr>
        <w:tc>
          <w:tcPr>
            <w:tcW w:w="383" w:type="pct"/>
            <w:vMerge/>
            <w:tcBorders>
              <w:top w:val="single" w:sz="4" w:space="0" w:color="auto"/>
              <w:left w:val="single" w:sz="4" w:space="0" w:color="auto"/>
              <w:bottom w:val="single" w:sz="4" w:space="0" w:color="auto"/>
              <w:right w:val="single" w:sz="4" w:space="0" w:color="auto"/>
            </w:tcBorders>
            <w:vAlign w:val="center"/>
            <w:hideMark/>
          </w:tcPr>
          <w:p w14:paraId="2DBFFE27"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3985F383"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62DBBE28"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231AEF02"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5B4FD779"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210A1C31"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71300</w:t>
            </w:r>
          </w:p>
        </w:tc>
        <w:tc>
          <w:tcPr>
            <w:tcW w:w="728" w:type="pct"/>
            <w:tcBorders>
              <w:top w:val="nil"/>
              <w:left w:val="nil"/>
              <w:bottom w:val="single" w:sz="4" w:space="0" w:color="auto"/>
              <w:right w:val="single" w:sz="4" w:space="0" w:color="auto"/>
            </w:tcBorders>
            <w:vAlign w:val="center"/>
            <w:hideMark/>
          </w:tcPr>
          <w:p w14:paraId="1BE85879"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Local consultants </w:t>
            </w:r>
          </w:p>
        </w:tc>
        <w:tc>
          <w:tcPr>
            <w:tcW w:w="283" w:type="pct"/>
            <w:tcBorders>
              <w:top w:val="nil"/>
              <w:left w:val="nil"/>
              <w:bottom w:val="single" w:sz="4" w:space="0" w:color="auto"/>
              <w:right w:val="single" w:sz="4" w:space="0" w:color="auto"/>
            </w:tcBorders>
            <w:vAlign w:val="center"/>
            <w:hideMark/>
          </w:tcPr>
          <w:p w14:paraId="3B96D72D"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5,000.00 </w:t>
            </w:r>
          </w:p>
        </w:tc>
        <w:tc>
          <w:tcPr>
            <w:tcW w:w="283" w:type="pct"/>
            <w:tcBorders>
              <w:top w:val="nil"/>
              <w:left w:val="nil"/>
              <w:bottom w:val="single" w:sz="4" w:space="0" w:color="auto"/>
              <w:right w:val="single" w:sz="4" w:space="0" w:color="auto"/>
            </w:tcBorders>
            <w:vAlign w:val="center"/>
            <w:hideMark/>
          </w:tcPr>
          <w:p w14:paraId="24C99C30"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12,000.00 </w:t>
            </w:r>
          </w:p>
        </w:tc>
        <w:tc>
          <w:tcPr>
            <w:tcW w:w="317" w:type="pct"/>
            <w:tcBorders>
              <w:top w:val="nil"/>
              <w:left w:val="nil"/>
              <w:bottom w:val="single" w:sz="4" w:space="0" w:color="auto"/>
              <w:right w:val="single" w:sz="4" w:space="0" w:color="auto"/>
            </w:tcBorders>
            <w:vAlign w:val="center"/>
            <w:hideMark/>
          </w:tcPr>
          <w:p w14:paraId="657991CF"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12,000.00 </w:t>
            </w:r>
          </w:p>
        </w:tc>
        <w:tc>
          <w:tcPr>
            <w:tcW w:w="317" w:type="pct"/>
            <w:tcBorders>
              <w:top w:val="nil"/>
              <w:left w:val="nil"/>
              <w:bottom w:val="single" w:sz="4" w:space="0" w:color="auto"/>
              <w:right w:val="single" w:sz="4" w:space="0" w:color="auto"/>
            </w:tcBorders>
            <w:vAlign w:val="center"/>
            <w:hideMark/>
          </w:tcPr>
          <w:p w14:paraId="03DBB122"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5,000.00 </w:t>
            </w:r>
          </w:p>
        </w:tc>
        <w:tc>
          <w:tcPr>
            <w:tcW w:w="317" w:type="pct"/>
            <w:tcBorders>
              <w:top w:val="nil"/>
              <w:left w:val="nil"/>
              <w:bottom w:val="single" w:sz="4" w:space="0" w:color="auto"/>
              <w:right w:val="single" w:sz="4" w:space="0" w:color="auto"/>
            </w:tcBorders>
            <w:vAlign w:val="center"/>
            <w:hideMark/>
          </w:tcPr>
          <w:p w14:paraId="1E270D4A"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5,000.00 </w:t>
            </w:r>
          </w:p>
        </w:tc>
        <w:tc>
          <w:tcPr>
            <w:tcW w:w="283" w:type="pct"/>
            <w:tcBorders>
              <w:top w:val="nil"/>
              <w:left w:val="nil"/>
              <w:bottom w:val="single" w:sz="4" w:space="0" w:color="auto"/>
              <w:right w:val="single" w:sz="4" w:space="0" w:color="auto"/>
            </w:tcBorders>
            <w:vAlign w:val="center"/>
            <w:hideMark/>
          </w:tcPr>
          <w:p w14:paraId="5B35A29A"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33ABDC2A"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39,000.00 </w:t>
            </w:r>
          </w:p>
        </w:tc>
        <w:tc>
          <w:tcPr>
            <w:tcW w:w="211" w:type="pct"/>
            <w:tcBorders>
              <w:top w:val="nil"/>
              <w:left w:val="nil"/>
              <w:bottom w:val="single" w:sz="4" w:space="0" w:color="auto"/>
              <w:right w:val="single" w:sz="4" w:space="0" w:color="auto"/>
            </w:tcBorders>
            <w:vAlign w:val="center"/>
            <w:hideMark/>
          </w:tcPr>
          <w:p w14:paraId="632A1883"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19</w:t>
            </w:r>
          </w:p>
        </w:tc>
      </w:tr>
      <w:tr w:rsidR="00427DF8" w:rsidRPr="00427DF8" w14:paraId="68EBEB1A" w14:textId="77777777" w:rsidTr="008D1647">
        <w:trPr>
          <w:gridAfter w:val="1"/>
          <w:wAfter w:w="79" w:type="pct"/>
          <w:trHeight w:val="300"/>
        </w:trPr>
        <w:tc>
          <w:tcPr>
            <w:tcW w:w="383" w:type="pct"/>
            <w:vMerge/>
            <w:tcBorders>
              <w:top w:val="single" w:sz="4" w:space="0" w:color="auto"/>
              <w:left w:val="single" w:sz="4" w:space="0" w:color="auto"/>
              <w:bottom w:val="single" w:sz="4" w:space="0" w:color="auto"/>
              <w:right w:val="single" w:sz="4" w:space="0" w:color="auto"/>
            </w:tcBorders>
            <w:vAlign w:val="center"/>
            <w:hideMark/>
          </w:tcPr>
          <w:p w14:paraId="245D61AE"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2D791D2A"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1A609CA4"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076604E4"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6FD652FA"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0C3A2AD9"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72100</w:t>
            </w:r>
          </w:p>
        </w:tc>
        <w:tc>
          <w:tcPr>
            <w:tcW w:w="728" w:type="pct"/>
            <w:tcBorders>
              <w:top w:val="nil"/>
              <w:left w:val="nil"/>
              <w:bottom w:val="single" w:sz="4" w:space="0" w:color="auto"/>
              <w:right w:val="single" w:sz="4" w:space="0" w:color="auto"/>
            </w:tcBorders>
            <w:vAlign w:val="center"/>
            <w:hideMark/>
          </w:tcPr>
          <w:p w14:paraId="2E8A7B35"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Contractual Service company </w:t>
            </w:r>
          </w:p>
        </w:tc>
        <w:tc>
          <w:tcPr>
            <w:tcW w:w="283" w:type="pct"/>
            <w:tcBorders>
              <w:top w:val="nil"/>
              <w:left w:val="nil"/>
              <w:bottom w:val="single" w:sz="4" w:space="0" w:color="auto"/>
              <w:right w:val="single" w:sz="4" w:space="0" w:color="auto"/>
            </w:tcBorders>
            <w:vAlign w:val="center"/>
            <w:hideMark/>
          </w:tcPr>
          <w:p w14:paraId="11A578D3"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1418DE98"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175,000.00 </w:t>
            </w:r>
          </w:p>
        </w:tc>
        <w:tc>
          <w:tcPr>
            <w:tcW w:w="317" w:type="pct"/>
            <w:tcBorders>
              <w:top w:val="nil"/>
              <w:left w:val="nil"/>
              <w:bottom w:val="single" w:sz="4" w:space="0" w:color="auto"/>
              <w:right w:val="single" w:sz="4" w:space="0" w:color="auto"/>
            </w:tcBorders>
            <w:vAlign w:val="center"/>
            <w:hideMark/>
          </w:tcPr>
          <w:p w14:paraId="19201994"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260,000.00 </w:t>
            </w:r>
          </w:p>
        </w:tc>
        <w:tc>
          <w:tcPr>
            <w:tcW w:w="317" w:type="pct"/>
            <w:tcBorders>
              <w:top w:val="nil"/>
              <w:left w:val="nil"/>
              <w:bottom w:val="single" w:sz="4" w:space="0" w:color="auto"/>
              <w:right w:val="single" w:sz="4" w:space="0" w:color="auto"/>
            </w:tcBorders>
            <w:vAlign w:val="center"/>
            <w:hideMark/>
          </w:tcPr>
          <w:p w14:paraId="7F820A9E"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360,000.00 </w:t>
            </w:r>
          </w:p>
        </w:tc>
        <w:tc>
          <w:tcPr>
            <w:tcW w:w="317" w:type="pct"/>
            <w:tcBorders>
              <w:top w:val="nil"/>
              <w:left w:val="nil"/>
              <w:bottom w:val="single" w:sz="4" w:space="0" w:color="auto"/>
              <w:right w:val="single" w:sz="4" w:space="0" w:color="auto"/>
            </w:tcBorders>
            <w:vAlign w:val="center"/>
            <w:hideMark/>
          </w:tcPr>
          <w:p w14:paraId="3ADE5705"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175,000.00 </w:t>
            </w:r>
          </w:p>
        </w:tc>
        <w:tc>
          <w:tcPr>
            <w:tcW w:w="283" w:type="pct"/>
            <w:tcBorders>
              <w:top w:val="nil"/>
              <w:left w:val="nil"/>
              <w:bottom w:val="single" w:sz="4" w:space="0" w:color="auto"/>
              <w:right w:val="single" w:sz="4" w:space="0" w:color="auto"/>
            </w:tcBorders>
            <w:vAlign w:val="center"/>
            <w:hideMark/>
          </w:tcPr>
          <w:p w14:paraId="7EBD2BF6"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3A4C71B5"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970,000.00 </w:t>
            </w:r>
          </w:p>
        </w:tc>
        <w:tc>
          <w:tcPr>
            <w:tcW w:w="211" w:type="pct"/>
            <w:tcBorders>
              <w:top w:val="nil"/>
              <w:left w:val="nil"/>
              <w:bottom w:val="single" w:sz="4" w:space="0" w:color="auto"/>
              <w:right w:val="single" w:sz="4" w:space="0" w:color="auto"/>
            </w:tcBorders>
            <w:vAlign w:val="center"/>
            <w:hideMark/>
          </w:tcPr>
          <w:p w14:paraId="21B2F19D"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20</w:t>
            </w:r>
          </w:p>
        </w:tc>
      </w:tr>
      <w:tr w:rsidR="00427DF8" w:rsidRPr="00427DF8" w14:paraId="29C1457E" w14:textId="77777777" w:rsidTr="008D1647">
        <w:trPr>
          <w:gridAfter w:val="1"/>
          <w:wAfter w:w="79" w:type="pct"/>
          <w:trHeight w:val="300"/>
        </w:trPr>
        <w:tc>
          <w:tcPr>
            <w:tcW w:w="383" w:type="pct"/>
            <w:vMerge/>
            <w:tcBorders>
              <w:top w:val="single" w:sz="4" w:space="0" w:color="auto"/>
              <w:left w:val="single" w:sz="4" w:space="0" w:color="auto"/>
              <w:bottom w:val="single" w:sz="4" w:space="0" w:color="auto"/>
              <w:right w:val="single" w:sz="4" w:space="0" w:color="auto"/>
            </w:tcBorders>
            <w:vAlign w:val="center"/>
            <w:hideMark/>
          </w:tcPr>
          <w:p w14:paraId="3DA720D5"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4FA363CB"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4A384979"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6C6781EB"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59F001D7"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67837D7A"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72800</w:t>
            </w:r>
          </w:p>
        </w:tc>
        <w:tc>
          <w:tcPr>
            <w:tcW w:w="728" w:type="pct"/>
            <w:tcBorders>
              <w:top w:val="nil"/>
              <w:left w:val="nil"/>
              <w:bottom w:val="single" w:sz="4" w:space="0" w:color="auto"/>
              <w:right w:val="single" w:sz="4" w:space="0" w:color="auto"/>
            </w:tcBorders>
            <w:vAlign w:val="center"/>
            <w:hideMark/>
          </w:tcPr>
          <w:p w14:paraId="3A71B27F"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Information technology equipment </w:t>
            </w:r>
          </w:p>
        </w:tc>
        <w:tc>
          <w:tcPr>
            <w:tcW w:w="283" w:type="pct"/>
            <w:tcBorders>
              <w:top w:val="nil"/>
              <w:left w:val="nil"/>
              <w:bottom w:val="single" w:sz="4" w:space="0" w:color="auto"/>
              <w:right w:val="single" w:sz="4" w:space="0" w:color="auto"/>
            </w:tcBorders>
            <w:vAlign w:val="center"/>
            <w:hideMark/>
          </w:tcPr>
          <w:p w14:paraId="36D991AC"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3,000.00 </w:t>
            </w:r>
          </w:p>
        </w:tc>
        <w:tc>
          <w:tcPr>
            <w:tcW w:w="283" w:type="pct"/>
            <w:tcBorders>
              <w:top w:val="nil"/>
              <w:left w:val="nil"/>
              <w:bottom w:val="single" w:sz="4" w:space="0" w:color="auto"/>
              <w:right w:val="single" w:sz="4" w:space="0" w:color="auto"/>
            </w:tcBorders>
            <w:vAlign w:val="center"/>
            <w:hideMark/>
          </w:tcPr>
          <w:p w14:paraId="53B63DAA"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116875DB"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48,700.00 </w:t>
            </w:r>
          </w:p>
        </w:tc>
        <w:tc>
          <w:tcPr>
            <w:tcW w:w="317" w:type="pct"/>
            <w:tcBorders>
              <w:top w:val="nil"/>
              <w:left w:val="nil"/>
              <w:bottom w:val="single" w:sz="4" w:space="0" w:color="auto"/>
              <w:right w:val="single" w:sz="4" w:space="0" w:color="auto"/>
            </w:tcBorders>
            <w:vAlign w:val="center"/>
            <w:hideMark/>
          </w:tcPr>
          <w:p w14:paraId="6F7E16E4"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97,300.00 </w:t>
            </w:r>
          </w:p>
        </w:tc>
        <w:tc>
          <w:tcPr>
            <w:tcW w:w="317" w:type="pct"/>
            <w:tcBorders>
              <w:top w:val="nil"/>
              <w:left w:val="nil"/>
              <w:bottom w:val="single" w:sz="4" w:space="0" w:color="auto"/>
              <w:right w:val="single" w:sz="4" w:space="0" w:color="auto"/>
            </w:tcBorders>
            <w:vAlign w:val="center"/>
            <w:hideMark/>
          </w:tcPr>
          <w:p w14:paraId="53411BD8"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03D6006B"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43DABF45"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149,000.00 </w:t>
            </w:r>
          </w:p>
        </w:tc>
        <w:tc>
          <w:tcPr>
            <w:tcW w:w="211" w:type="pct"/>
            <w:tcBorders>
              <w:top w:val="nil"/>
              <w:left w:val="nil"/>
              <w:bottom w:val="single" w:sz="4" w:space="0" w:color="auto"/>
              <w:right w:val="single" w:sz="4" w:space="0" w:color="auto"/>
            </w:tcBorders>
            <w:vAlign w:val="center"/>
            <w:hideMark/>
          </w:tcPr>
          <w:p w14:paraId="39E88EF6"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21</w:t>
            </w:r>
          </w:p>
        </w:tc>
      </w:tr>
      <w:tr w:rsidR="00427DF8" w:rsidRPr="00427DF8" w14:paraId="6ECC8B14" w14:textId="77777777" w:rsidTr="008D1647">
        <w:trPr>
          <w:gridAfter w:val="1"/>
          <w:wAfter w:w="79" w:type="pct"/>
          <w:trHeight w:val="300"/>
        </w:trPr>
        <w:tc>
          <w:tcPr>
            <w:tcW w:w="383" w:type="pct"/>
            <w:vMerge/>
            <w:tcBorders>
              <w:top w:val="single" w:sz="4" w:space="0" w:color="auto"/>
              <w:left w:val="single" w:sz="4" w:space="0" w:color="auto"/>
              <w:bottom w:val="single" w:sz="4" w:space="0" w:color="auto"/>
              <w:right w:val="single" w:sz="4" w:space="0" w:color="auto"/>
            </w:tcBorders>
            <w:vAlign w:val="center"/>
            <w:hideMark/>
          </w:tcPr>
          <w:p w14:paraId="7693A93E"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19D0B1C0"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763FE0E6"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0BA3C2B5"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247143A4"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283CB2A9"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71600</w:t>
            </w:r>
          </w:p>
        </w:tc>
        <w:tc>
          <w:tcPr>
            <w:tcW w:w="728" w:type="pct"/>
            <w:tcBorders>
              <w:top w:val="nil"/>
              <w:left w:val="nil"/>
              <w:bottom w:val="single" w:sz="4" w:space="0" w:color="auto"/>
              <w:right w:val="single" w:sz="4" w:space="0" w:color="auto"/>
            </w:tcBorders>
            <w:vAlign w:val="center"/>
            <w:hideMark/>
          </w:tcPr>
          <w:p w14:paraId="3B9ECD32"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Travel </w:t>
            </w:r>
          </w:p>
        </w:tc>
        <w:tc>
          <w:tcPr>
            <w:tcW w:w="283" w:type="pct"/>
            <w:tcBorders>
              <w:top w:val="nil"/>
              <w:left w:val="nil"/>
              <w:bottom w:val="single" w:sz="4" w:space="0" w:color="auto"/>
              <w:right w:val="single" w:sz="4" w:space="0" w:color="auto"/>
            </w:tcBorders>
            <w:vAlign w:val="center"/>
            <w:hideMark/>
          </w:tcPr>
          <w:p w14:paraId="5632BBCC"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735B69A2"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14F0549B"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62EA6F63"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2,938.00 </w:t>
            </w:r>
          </w:p>
        </w:tc>
        <w:tc>
          <w:tcPr>
            <w:tcW w:w="317" w:type="pct"/>
            <w:tcBorders>
              <w:top w:val="nil"/>
              <w:left w:val="nil"/>
              <w:bottom w:val="single" w:sz="4" w:space="0" w:color="auto"/>
              <w:right w:val="single" w:sz="4" w:space="0" w:color="auto"/>
            </w:tcBorders>
            <w:vAlign w:val="center"/>
            <w:hideMark/>
          </w:tcPr>
          <w:p w14:paraId="56C001D4"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4,400.00 </w:t>
            </w:r>
          </w:p>
        </w:tc>
        <w:tc>
          <w:tcPr>
            <w:tcW w:w="283" w:type="pct"/>
            <w:tcBorders>
              <w:top w:val="nil"/>
              <w:left w:val="nil"/>
              <w:bottom w:val="single" w:sz="4" w:space="0" w:color="auto"/>
              <w:right w:val="single" w:sz="4" w:space="0" w:color="auto"/>
            </w:tcBorders>
            <w:vAlign w:val="center"/>
            <w:hideMark/>
          </w:tcPr>
          <w:p w14:paraId="1F130C31"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38C7760A"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7,338.00 </w:t>
            </w:r>
          </w:p>
        </w:tc>
        <w:tc>
          <w:tcPr>
            <w:tcW w:w="211" w:type="pct"/>
            <w:tcBorders>
              <w:top w:val="nil"/>
              <w:left w:val="nil"/>
              <w:bottom w:val="single" w:sz="4" w:space="0" w:color="auto"/>
              <w:right w:val="single" w:sz="4" w:space="0" w:color="auto"/>
            </w:tcBorders>
            <w:vAlign w:val="center"/>
            <w:hideMark/>
          </w:tcPr>
          <w:p w14:paraId="570826FD"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22</w:t>
            </w:r>
          </w:p>
        </w:tc>
      </w:tr>
      <w:tr w:rsidR="00427DF8" w:rsidRPr="00427DF8" w14:paraId="5CDB40C5" w14:textId="77777777" w:rsidTr="008D1647">
        <w:trPr>
          <w:gridAfter w:val="1"/>
          <w:wAfter w:w="79" w:type="pct"/>
          <w:trHeight w:val="300"/>
        </w:trPr>
        <w:tc>
          <w:tcPr>
            <w:tcW w:w="383" w:type="pct"/>
            <w:vMerge/>
            <w:tcBorders>
              <w:top w:val="single" w:sz="4" w:space="0" w:color="auto"/>
              <w:left w:val="single" w:sz="4" w:space="0" w:color="auto"/>
              <w:bottom w:val="single" w:sz="4" w:space="0" w:color="auto"/>
              <w:right w:val="single" w:sz="4" w:space="0" w:color="auto"/>
            </w:tcBorders>
            <w:vAlign w:val="center"/>
            <w:hideMark/>
          </w:tcPr>
          <w:p w14:paraId="38006FEF"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03D2EC6F"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4DC5122D"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1C571680"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5406F149"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29634D9F"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75700</w:t>
            </w:r>
          </w:p>
        </w:tc>
        <w:tc>
          <w:tcPr>
            <w:tcW w:w="728" w:type="pct"/>
            <w:tcBorders>
              <w:top w:val="nil"/>
              <w:left w:val="nil"/>
              <w:bottom w:val="single" w:sz="4" w:space="0" w:color="auto"/>
              <w:right w:val="single" w:sz="4" w:space="0" w:color="auto"/>
            </w:tcBorders>
            <w:vAlign w:val="center"/>
            <w:hideMark/>
          </w:tcPr>
          <w:p w14:paraId="61A586E8" w14:textId="77777777" w:rsidR="00427DF8" w:rsidRPr="00427DF8" w:rsidRDefault="00427DF8" w:rsidP="00427DF8">
            <w:pPr>
              <w:spacing w:after="0" w:line="240" w:lineRule="auto"/>
              <w:rPr>
                <w:rFonts w:eastAsia="Times New Roman"/>
                <w:sz w:val="18"/>
                <w:szCs w:val="18"/>
                <w:lang w:val="en-US" w:eastAsia="en-US"/>
              </w:rPr>
            </w:pPr>
            <w:r w:rsidRPr="00427DF8">
              <w:rPr>
                <w:rFonts w:eastAsia="Times New Roman"/>
                <w:sz w:val="18"/>
                <w:szCs w:val="18"/>
                <w:lang w:val="en-US" w:eastAsia="en-US"/>
              </w:rPr>
              <w:t>Training, workshops and conferences </w:t>
            </w:r>
          </w:p>
        </w:tc>
        <w:tc>
          <w:tcPr>
            <w:tcW w:w="283" w:type="pct"/>
            <w:tcBorders>
              <w:top w:val="nil"/>
              <w:left w:val="nil"/>
              <w:bottom w:val="single" w:sz="4" w:space="0" w:color="auto"/>
              <w:right w:val="single" w:sz="4" w:space="0" w:color="auto"/>
            </w:tcBorders>
            <w:vAlign w:val="center"/>
            <w:hideMark/>
          </w:tcPr>
          <w:p w14:paraId="26354A53"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65711609"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27,500.00 </w:t>
            </w:r>
          </w:p>
        </w:tc>
        <w:tc>
          <w:tcPr>
            <w:tcW w:w="317" w:type="pct"/>
            <w:tcBorders>
              <w:top w:val="nil"/>
              <w:left w:val="nil"/>
              <w:bottom w:val="single" w:sz="4" w:space="0" w:color="auto"/>
              <w:right w:val="single" w:sz="4" w:space="0" w:color="auto"/>
            </w:tcBorders>
            <w:vAlign w:val="center"/>
            <w:hideMark/>
          </w:tcPr>
          <w:p w14:paraId="3E6746D7"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37,000.00 </w:t>
            </w:r>
          </w:p>
        </w:tc>
        <w:tc>
          <w:tcPr>
            <w:tcW w:w="317" w:type="pct"/>
            <w:tcBorders>
              <w:top w:val="nil"/>
              <w:left w:val="nil"/>
              <w:bottom w:val="single" w:sz="4" w:space="0" w:color="auto"/>
              <w:right w:val="single" w:sz="4" w:space="0" w:color="auto"/>
            </w:tcBorders>
            <w:vAlign w:val="center"/>
            <w:hideMark/>
          </w:tcPr>
          <w:p w14:paraId="1B156B57"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28,000.00 </w:t>
            </w:r>
          </w:p>
        </w:tc>
        <w:tc>
          <w:tcPr>
            <w:tcW w:w="317" w:type="pct"/>
            <w:tcBorders>
              <w:top w:val="nil"/>
              <w:left w:val="nil"/>
              <w:bottom w:val="single" w:sz="4" w:space="0" w:color="auto"/>
              <w:right w:val="single" w:sz="4" w:space="0" w:color="auto"/>
            </w:tcBorders>
            <w:vAlign w:val="center"/>
            <w:hideMark/>
          </w:tcPr>
          <w:p w14:paraId="1FC3BC27"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w:t>
            </w:r>
          </w:p>
        </w:tc>
        <w:tc>
          <w:tcPr>
            <w:tcW w:w="283" w:type="pct"/>
            <w:tcBorders>
              <w:top w:val="nil"/>
              <w:left w:val="nil"/>
              <w:bottom w:val="single" w:sz="4" w:space="0" w:color="auto"/>
              <w:right w:val="single" w:sz="4" w:space="0" w:color="auto"/>
            </w:tcBorders>
            <w:vAlign w:val="center"/>
            <w:hideMark/>
          </w:tcPr>
          <w:p w14:paraId="3315EBF3"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6B09A390"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92,500.00 </w:t>
            </w:r>
          </w:p>
        </w:tc>
        <w:tc>
          <w:tcPr>
            <w:tcW w:w="211" w:type="pct"/>
            <w:tcBorders>
              <w:top w:val="nil"/>
              <w:left w:val="nil"/>
              <w:bottom w:val="single" w:sz="4" w:space="0" w:color="auto"/>
              <w:right w:val="single" w:sz="4" w:space="0" w:color="auto"/>
            </w:tcBorders>
            <w:vAlign w:val="center"/>
            <w:hideMark/>
          </w:tcPr>
          <w:p w14:paraId="6BD4C6CB"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23</w:t>
            </w:r>
          </w:p>
        </w:tc>
      </w:tr>
      <w:tr w:rsidR="00427DF8" w:rsidRPr="00427DF8" w14:paraId="3C41CBA7" w14:textId="77777777" w:rsidTr="008D1647">
        <w:trPr>
          <w:gridAfter w:val="1"/>
          <w:wAfter w:w="79" w:type="pct"/>
          <w:trHeight w:val="300"/>
        </w:trPr>
        <w:tc>
          <w:tcPr>
            <w:tcW w:w="383" w:type="pct"/>
            <w:vMerge/>
            <w:tcBorders>
              <w:top w:val="single" w:sz="4" w:space="0" w:color="auto"/>
              <w:left w:val="single" w:sz="4" w:space="0" w:color="auto"/>
              <w:bottom w:val="single" w:sz="4" w:space="0" w:color="auto"/>
              <w:right w:val="single" w:sz="4" w:space="0" w:color="auto"/>
            </w:tcBorders>
            <w:vAlign w:val="center"/>
            <w:hideMark/>
          </w:tcPr>
          <w:p w14:paraId="6250BC7A"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4E5B7846"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2621FB1C"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00AB274F"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410FB5C6"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12BD4FFD"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74200</w:t>
            </w:r>
          </w:p>
        </w:tc>
        <w:tc>
          <w:tcPr>
            <w:tcW w:w="728" w:type="pct"/>
            <w:tcBorders>
              <w:top w:val="nil"/>
              <w:left w:val="nil"/>
              <w:bottom w:val="single" w:sz="4" w:space="0" w:color="auto"/>
              <w:right w:val="single" w:sz="4" w:space="0" w:color="auto"/>
            </w:tcBorders>
            <w:vAlign w:val="center"/>
            <w:hideMark/>
          </w:tcPr>
          <w:p w14:paraId="03B260CD" w14:textId="77777777" w:rsidR="00427DF8" w:rsidRPr="00427DF8" w:rsidRDefault="00427DF8" w:rsidP="00427DF8">
            <w:pPr>
              <w:spacing w:after="0" w:line="240" w:lineRule="auto"/>
              <w:rPr>
                <w:rFonts w:eastAsia="Times New Roman"/>
                <w:sz w:val="18"/>
                <w:szCs w:val="18"/>
                <w:lang w:val="en-US" w:eastAsia="en-US"/>
              </w:rPr>
            </w:pPr>
            <w:r w:rsidRPr="00427DF8">
              <w:rPr>
                <w:rFonts w:eastAsia="Times New Roman"/>
                <w:sz w:val="18"/>
                <w:szCs w:val="18"/>
                <w:lang w:val="en-US" w:eastAsia="en-US"/>
              </w:rPr>
              <w:t>Audiovisual and print production costs </w:t>
            </w:r>
          </w:p>
        </w:tc>
        <w:tc>
          <w:tcPr>
            <w:tcW w:w="283" w:type="pct"/>
            <w:tcBorders>
              <w:top w:val="nil"/>
              <w:left w:val="nil"/>
              <w:bottom w:val="single" w:sz="4" w:space="0" w:color="auto"/>
              <w:right w:val="single" w:sz="4" w:space="0" w:color="auto"/>
            </w:tcBorders>
            <w:vAlign w:val="center"/>
            <w:hideMark/>
          </w:tcPr>
          <w:p w14:paraId="6D383B50"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214857A9"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6F57C1F0"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14B80256"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16,494.00 </w:t>
            </w:r>
          </w:p>
        </w:tc>
        <w:tc>
          <w:tcPr>
            <w:tcW w:w="317" w:type="pct"/>
            <w:tcBorders>
              <w:top w:val="nil"/>
              <w:left w:val="nil"/>
              <w:bottom w:val="single" w:sz="4" w:space="0" w:color="auto"/>
              <w:right w:val="single" w:sz="4" w:space="0" w:color="auto"/>
            </w:tcBorders>
            <w:vAlign w:val="center"/>
            <w:hideMark/>
          </w:tcPr>
          <w:p w14:paraId="723E5151"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5BC2737B"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4DD5149E"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16,494.00 </w:t>
            </w:r>
          </w:p>
        </w:tc>
        <w:tc>
          <w:tcPr>
            <w:tcW w:w="211" w:type="pct"/>
            <w:tcBorders>
              <w:top w:val="nil"/>
              <w:left w:val="nil"/>
              <w:bottom w:val="single" w:sz="4" w:space="0" w:color="auto"/>
              <w:right w:val="single" w:sz="4" w:space="0" w:color="auto"/>
            </w:tcBorders>
            <w:vAlign w:val="center"/>
            <w:hideMark/>
          </w:tcPr>
          <w:p w14:paraId="0284D090"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24</w:t>
            </w:r>
          </w:p>
        </w:tc>
      </w:tr>
      <w:tr w:rsidR="00427DF8" w:rsidRPr="00427DF8" w14:paraId="1F4F8853" w14:textId="77777777" w:rsidTr="008D1647">
        <w:trPr>
          <w:gridAfter w:val="1"/>
          <w:wAfter w:w="79" w:type="pct"/>
          <w:trHeight w:val="289"/>
        </w:trPr>
        <w:tc>
          <w:tcPr>
            <w:tcW w:w="383" w:type="pct"/>
            <w:vMerge/>
            <w:tcBorders>
              <w:top w:val="single" w:sz="4" w:space="0" w:color="auto"/>
              <w:left w:val="single" w:sz="4" w:space="0" w:color="auto"/>
              <w:bottom w:val="single" w:sz="4" w:space="0" w:color="auto"/>
              <w:right w:val="single" w:sz="4" w:space="0" w:color="auto"/>
            </w:tcBorders>
            <w:vAlign w:val="center"/>
            <w:hideMark/>
          </w:tcPr>
          <w:p w14:paraId="432E8702"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6AFE3130"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34B1F9FF"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tcBorders>
              <w:top w:val="nil"/>
              <w:left w:val="nil"/>
              <w:bottom w:val="single" w:sz="4" w:space="0" w:color="auto"/>
              <w:right w:val="single" w:sz="4" w:space="0" w:color="auto"/>
            </w:tcBorders>
            <w:shd w:val="clear" w:color="000000" w:fill="92D050"/>
            <w:vAlign w:val="center"/>
            <w:hideMark/>
          </w:tcPr>
          <w:p w14:paraId="2AD07358" w14:textId="77777777" w:rsidR="00427DF8" w:rsidRPr="00427DF8" w:rsidRDefault="00427DF8" w:rsidP="00427DF8">
            <w:pPr>
              <w:spacing w:after="0" w:line="240" w:lineRule="auto"/>
              <w:rPr>
                <w:rFonts w:eastAsia="Times New Roman"/>
                <w:b/>
                <w:bCs/>
                <w:color w:val="000000"/>
                <w:sz w:val="18"/>
                <w:szCs w:val="18"/>
                <w:lang w:val="en-US" w:eastAsia="en-US"/>
              </w:rPr>
            </w:pPr>
            <w:r w:rsidRPr="00427DF8">
              <w:rPr>
                <w:rFonts w:eastAsia="Times New Roman"/>
                <w:b/>
                <w:bCs/>
                <w:color w:val="000000"/>
                <w:sz w:val="18"/>
                <w:szCs w:val="18"/>
                <w:lang w:val="en-US" w:eastAsia="en-US"/>
              </w:rPr>
              <w:t> </w:t>
            </w:r>
          </w:p>
        </w:tc>
        <w:tc>
          <w:tcPr>
            <w:tcW w:w="1251" w:type="pct"/>
            <w:gridSpan w:val="3"/>
            <w:tcBorders>
              <w:top w:val="single" w:sz="4" w:space="0" w:color="auto"/>
              <w:left w:val="nil"/>
              <w:bottom w:val="single" w:sz="4" w:space="0" w:color="auto"/>
              <w:right w:val="single" w:sz="4" w:space="0" w:color="000000"/>
            </w:tcBorders>
            <w:shd w:val="clear" w:color="000000" w:fill="92D050"/>
            <w:vAlign w:val="center"/>
            <w:hideMark/>
          </w:tcPr>
          <w:p w14:paraId="19E5CA4B"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Sub Total GEF</w:t>
            </w:r>
          </w:p>
        </w:tc>
        <w:tc>
          <w:tcPr>
            <w:tcW w:w="283" w:type="pct"/>
            <w:tcBorders>
              <w:top w:val="nil"/>
              <w:left w:val="nil"/>
              <w:bottom w:val="single" w:sz="4" w:space="0" w:color="auto"/>
              <w:right w:val="single" w:sz="4" w:space="0" w:color="auto"/>
            </w:tcBorders>
            <w:shd w:val="clear" w:color="000000" w:fill="92D050"/>
            <w:vAlign w:val="center"/>
            <w:hideMark/>
          </w:tcPr>
          <w:p w14:paraId="1F8E5220"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16,000.00 </w:t>
            </w:r>
          </w:p>
        </w:tc>
        <w:tc>
          <w:tcPr>
            <w:tcW w:w="283" w:type="pct"/>
            <w:tcBorders>
              <w:top w:val="nil"/>
              <w:left w:val="nil"/>
              <w:bottom w:val="single" w:sz="4" w:space="0" w:color="auto"/>
              <w:right w:val="single" w:sz="4" w:space="0" w:color="auto"/>
            </w:tcBorders>
            <w:shd w:val="clear" w:color="000000" w:fill="92D050"/>
            <w:vAlign w:val="center"/>
            <w:hideMark/>
          </w:tcPr>
          <w:p w14:paraId="31F155EA"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228,500.00 </w:t>
            </w:r>
          </w:p>
        </w:tc>
        <w:tc>
          <w:tcPr>
            <w:tcW w:w="317" w:type="pct"/>
            <w:tcBorders>
              <w:top w:val="nil"/>
              <w:left w:val="nil"/>
              <w:bottom w:val="single" w:sz="4" w:space="0" w:color="auto"/>
              <w:right w:val="single" w:sz="4" w:space="0" w:color="auto"/>
            </w:tcBorders>
            <w:shd w:val="clear" w:color="000000" w:fill="92D050"/>
            <w:vAlign w:val="center"/>
            <w:hideMark/>
          </w:tcPr>
          <w:p w14:paraId="1279C601"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377,700.00 </w:t>
            </w:r>
          </w:p>
        </w:tc>
        <w:tc>
          <w:tcPr>
            <w:tcW w:w="317" w:type="pct"/>
            <w:tcBorders>
              <w:top w:val="nil"/>
              <w:left w:val="nil"/>
              <w:bottom w:val="single" w:sz="4" w:space="0" w:color="auto"/>
              <w:right w:val="single" w:sz="4" w:space="0" w:color="auto"/>
            </w:tcBorders>
            <w:shd w:val="clear" w:color="000000" w:fill="92D050"/>
            <w:vAlign w:val="center"/>
            <w:hideMark/>
          </w:tcPr>
          <w:p w14:paraId="64ADDF97"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529,732.00 </w:t>
            </w:r>
          </w:p>
        </w:tc>
        <w:tc>
          <w:tcPr>
            <w:tcW w:w="317" w:type="pct"/>
            <w:tcBorders>
              <w:top w:val="nil"/>
              <w:left w:val="nil"/>
              <w:bottom w:val="single" w:sz="4" w:space="0" w:color="auto"/>
              <w:right w:val="single" w:sz="4" w:space="0" w:color="auto"/>
            </w:tcBorders>
            <w:shd w:val="clear" w:color="000000" w:fill="92D050"/>
            <w:vAlign w:val="center"/>
            <w:hideMark/>
          </w:tcPr>
          <w:p w14:paraId="7D678BC7"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204,400.00 </w:t>
            </w:r>
          </w:p>
        </w:tc>
        <w:tc>
          <w:tcPr>
            <w:tcW w:w="283" w:type="pct"/>
            <w:tcBorders>
              <w:top w:val="nil"/>
              <w:left w:val="nil"/>
              <w:bottom w:val="single" w:sz="4" w:space="0" w:color="auto"/>
              <w:right w:val="single" w:sz="4" w:space="0" w:color="auto"/>
            </w:tcBorders>
            <w:shd w:val="clear" w:color="000000" w:fill="92D050"/>
            <w:vAlign w:val="center"/>
            <w:hideMark/>
          </w:tcPr>
          <w:p w14:paraId="086A4F07"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   </w:t>
            </w:r>
          </w:p>
        </w:tc>
        <w:tc>
          <w:tcPr>
            <w:tcW w:w="352" w:type="pct"/>
            <w:tcBorders>
              <w:top w:val="nil"/>
              <w:left w:val="nil"/>
              <w:bottom w:val="single" w:sz="4" w:space="0" w:color="auto"/>
              <w:right w:val="single" w:sz="4" w:space="0" w:color="auto"/>
            </w:tcBorders>
            <w:shd w:val="clear" w:color="000000" w:fill="92D050"/>
            <w:vAlign w:val="center"/>
            <w:hideMark/>
          </w:tcPr>
          <w:p w14:paraId="71666B39"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1,356,332.00 </w:t>
            </w:r>
          </w:p>
        </w:tc>
        <w:tc>
          <w:tcPr>
            <w:tcW w:w="211" w:type="pct"/>
            <w:tcBorders>
              <w:top w:val="nil"/>
              <w:left w:val="nil"/>
              <w:bottom w:val="single" w:sz="4" w:space="0" w:color="auto"/>
              <w:right w:val="single" w:sz="4" w:space="0" w:color="auto"/>
            </w:tcBorders>
            <w:shd w:val="clear" w:color="000000" w:fill="92D050"/>
            <w:vAlign w:val="center"/>
            <w:hideMark/>
          </w:tcPr>
          <w:p w14:paraId="012C65F1"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r>
      <w:tr w:rsidR="00427DF8" w:rsidRPr="00427DF8" w14:paraId="02C4B79A" w14:textId="77777777" w:rsidTr="008D1647">
        <w:trPr>
          <w:gridAfter w:val="1"/>
          <w:wAfter w:w="79" w:type="pct"/>
          <w:trHeight w:val="289"/>
        </w:trPr>
        <w:tc>
          <w:tcPr>
            <w:tcW w:w="383" w:type="pct"/>
            <w:vMerge/>
            <w:tcBorders>
              <w:top w:val="single" w:sz="4" w:space="0" w:color="auto"/>
              <w:left w:val="single" w:sz="4" w:space="0" w:color="auto"/>
              <w:bottom w:val="single" w:sz="4" w:space="0" w:color="auto"/>
              <w:right w:val="single" w:sz="4" w:space="0" w:color="auto"/>
            </w:tcBorders>
            <w:vAlign w:val="center"/>
            <w:hideMark/>
          </w:tcPr>
          <w:p w14:paraId="492D8D5A"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739499AF" w14:textId="77777777" w:rsidR="00427DF8" w:rsidRPr="00427DF8" w:rsidRDefault="00427DF8" w:rsidP="00427DF8">
            <w:pPr>
              <w:spacing w:after="0" w:line="240" w:lineRule="auto"/>
              <w:rPr>
                <w:rFonts w:eastAsia="Times New Roman"/>
                <w:color w:val="000000"/>
                <w:sz w:val="18"/>
                <w:szCs w:val="18"/>
                <w:lang w:val="en-US" w:eastAsia="en-US"/>
              </w:rPr>
            </w:pPr>
          </w:p>
        </w:tc>
        <w:tc>
          <w:tcPr>
            <w:tcW w:w="1807" w:type="pct"/>
            <w:gridSpan w:val="5"/>
            <w:tcBorders>
              <w:top w:val="single" w:sz="4" w:space="0" w:color="auto"/>
              <w:left w:val="nil"/>
              <w:bottom w:val="single" w:sz="4" w:space="0" w:color="auto"/>
              <w:right w:val="single" w:sz="4" w:space="0" w:color="000000"/>
            </w:tcBorders>
            <w:shd w:val="clear" w:color="000000" w:fill="FFCC66"/>
            <w:vAlign w:val="center"/>
            <w:hideMark/>
          </w:tcPr>
          <w:p w14:paraId="26D8CAF5"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Sub Total Outcome 2.1</w:t>
            </w:r>
          </w:p>
        </w:tc>
        <w:tc>
          <w:tcPr>
            <w:tcW w:w="283" w:type="pct"/>
            <w:tcBorders>
              <w:top w:val="nil"/>
              <w:left w:val="nil"/>
              <w:bottom w:val="single" w:sz="4" w:space="0" w:color="auto"/>
              <w:right w:val="single" w:sz="4" w:space="0" w:color="auto"/>
            </w:tcBorders>
            <w:shd w:val="clear" w:color="000000" w:fill="FFCC66"/>
            <w:vAlign w:val="center"/>
            <w:hideMark/>
          </w:tcPr>
          <w:p w14:paraId="65EEE08F"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16,000.00 </w:t>
            </w:r>
          </w:p>
        </w:tc>
        <w:tc>
          <w:tcPr>
            <w:tcW w:w="283" w:type="pct"/>
            <w:tcBorders>
              <w:top w:val="nil"/>
              <w:left w:val="nil"/>
              <w:bottom w:val="single" w:sz="4" w:space="0" w:color="auto"/>
              <w:right w:val="single" w:sz="4" w:space="0" w:color="auto"/>
            </w:tcBorders>
            <w:shd w:val="clear" w:color="000000" w:fill="FFCC66"/>
            <w:vAlign w:val="center"/>
            <w:hideMark/>
          </w:tcPr>
          <w:p w14:paraId="1829B9B3"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228,500.00 </w:t>
            </w:r>
          </w:p>
        </w:tc>
        <w:tc>
          <w:tcPr>
            <w:tcW w:w="317" w:type="pct"/>
            <w:tcBorders>
              <w:top w:val="nil"/>
              <w:left w:val="nil"/>
              <w:bottom w:val="single" w:sz="4" w:space="0" w:color="auto"/>
              <w:right w:val="single" w:sz="4" w:space="0" w:color="auto"/>
            </w:tcBorders>
            <w:shd w:val="clear" w:color="000000" w:fill="FFCC66"/>
            <w:vAlign w:val="center"/>
            <w:hideMark/>
          </w:tcPr>
          <w:p w14:paraId="13C5C326"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377,700.00 </w:t>
            </w:r>
          </w:p>
        </w:tc>
        <w:tc>
          <w:tcPr>
            <w:tcW w:w="317" w:type="pct"/>
            <w:tcBorders>
              <w:top w:val="nil"/>
              <w:left w:val="nil"/>
              <w:bottom w:val="single" w:sz="4" w:space="0" w:color="auto"/>
              <w:right w:val="single" w:sz="4" w:space="0" w:color="auto"/>
            </w:tcBorders>
            <w:shd w:val="clear" w:color="000000" w:fill="FFCC66"/>
            <w:vAlign w:val="center"/>
            <w:hideMark/>
          </w:tcPr>
          <w:p w14:paraId="24DC4859"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529,732.00 </w:t>
            </w:r>
          </w:p>
        </w:tc>
        <w:tc>
          <w:tcPr>
            <w:tcW w:w="317" w:type="pct"/>
            <w:tcBorders>
              <w:top w:val="nil"/>
              <w:left w:val="nil"/>
              <w:bottom w:val="single" w:sz="4" w:space="0" w:color="auto"/>
              <w:right w:val="single" w:sz="4" w:space="0" w:color="auto"/>
            </w:tcBorders>
            <w:shd w:val="clear" w:color="000000" w:fill="FFCC66"/>
            <w:vAlign w:val="center"/>
            <w:hideMark/>
          </w:tcPr>
          <w:p w14:paraId="31D03302"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204,400.00 </w:t>
            </w:r>
          </w:p>
        </w:tc>
        <w:tc>
          <w:tcPr>
            <w:tcW w:w="283" w:type="pct"/>
            <w:tcBorders>
              <w:top w:val="nil"/>
              <w:left w:val="nil"/>
              <w:bottom w:val="single" w:sz="4" w:space="0" w:color="auto"/>
              <w:right w:val="single" w:sz="4" w:space="0" w:color="auto"/>
            </w:tcBorders>
            <w:shd w:val="clear" w:color="000000" w:fill="FFCC66"/>
            <w:vAlign w:val="center"/>
            <w:hideMark/>
          </w:tcPr>
          <w:p w14:paraId="1B41A1CE"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   </w:t>
            </w:r>
          </w:p>
        </w:tc>
        <w:tc>
          <w:tcPr>
            <w:tcW w:w="352" w:type="pct"/>
            <w:tcBorders>
              <w:top w:val="nil"/>
              <w:left w:val="nil"/>
              <w:bottom w:val="single" w:sz="4" w:space="0" w:color="auto"/>
              <w:right w:val="single" w:sz="4" w:space="0" w:color="auto"/>
            </w:tcBorders>
            <w:shd w:val="clear" w:color="000000" w:fill="FFCC66"/>
            <w:vAlign w:val="center"/>
            <w:hideMark/>
          </w:tcPr>
          <w:p w14:paraId="3FE919A7"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1,356,332.00 </w:t>
            </w:r>
          </w:p>
        </w:tc>
        <w:tc>
          <w:tcPr>
            <w:tcW w:w="211" w:type="pct"/>
            <w:tcBorders>
              <w:top w:val="nil"/>
              <w:left w:val="nil"/>
              <w:bottom w:val="single" w:sz="4" w:space="0" w:color="auto"/>
              <w:right w:val="single" w:sz="4" w:space="0" w:color="auto"/>
            </w:tcBorders>
            <w:shd w:val="clear" w:color="000000" w:fill="FFCC66"/>
            <w:vAlign w:val="center"/>
            <w:hideMark/>
          </w:tcPr>
          <w:p w14:paraId="6C89EFE3"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r>
      <w:tr w:rsidR="00427DF8" w:rsidRPr="00427DF8" w14:paraId="1F7BC613" w14:textId="77777777" w:rsidTr="008D1647">
        <w:trPr>
          <w:gridAfter w:val="1"/>
          <w:wAfter w:w="79" w:type="pct"/>
          <w:trHeight w:val="289"/>
        </w:trPr>
        <w:tc>
          <w:tcPr>
            <w:tcW w:w="383" w:type="pct"/>
            <w:vMerge w:val="restart"/>
            <w:tcBorders>
              <w:top w:val="nil"/>
              <w:left w:val="single" w:sz="4" w:space="0" w:color="auto"/>
              <w:bottom w:val="single" w:sz="4" w:space="0" w:color="auto"/>
              <w:right w:val="single" w:sz="4" w:space="0" w:color="auto"/>
            </w:tcBorders>
            <w:shd w:val="clear" w:color="000000" w:fill="FFFFFF"/>
            <w:vAlign w:val="center"/>
            <w:hideMark/>
          </w:tcPr>
          <w:p w14:paraId="4FC44438" w14:textId="77777777" w:rsidR="00427DF8" w:rsidRPr="00427DF8" w:rsidRDefault="00427DF8" w:rsidP="00427DF8">
            <w:pPr>
              <w:spacing w:after="0" w:line="240" w:lineRule="auto"/>
              <w:rPr>
                <w:rFonts w:eastAsia="Times New Roman"/>
                <w:b/>
                <w:bCs/>
                <w:color w:val="000000"/>
                <w:sz w:val="18"/>
                <w:szCs w:val="18"/>
                <w:lang w:val="en-US" w:eastAsia="en-US"/>
              </w:rPr>
            </w:pPr>
            <w:r w:rsidRPr="00427DF8">
              <w:rPr>
                <w:rFonts w:eastAsia="Times New Roman"/>
                <w:b/>
                <w:bCs/>
                <w:color w:val="000000"/>
                <w:sz w:val="18"/>
                <w:szCs w:val="18"/>
                <w:lang w:val="en-US" w:eastAsia="en-US"/>
              </w:rPr>
              <w:lastRenderedPageBreak/>
              <w:t>Component 3: Establishing a green belt to limit urban expansion in Bamako</w:t>
            </w:r>
          </w:p>
        </w:tc>
        <w:tc>
          <w:tcPr>
            <w:tcW w:w="37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779F7CE"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 xml:space="preserve">Outcome 3.1: An enabling environment for the creation of a green belt in Bamako is established and its sustainability is guaranteed through green infrastructure and nature-based solutions with the involvement of various socio-economic actors </w:t>
            </w:r>
          </w:p>
        </w:tc>
        <w:tc>
          <w:tcPr>
            <w:tcW w:w="302" w:type="pct"/>
            <w:vMerge w:val="restart"/>
            <w:tcBorders>
              <w:top w:val="nil"/>
              <w:left w:val="single" w:sz="4" w:space="0" w:color="auto"/>
              <w:bottom w:val="single" w:sz="4" w:space="0" w:color="auto"/>
              <w:right w:val="single" w:sz="4" w:space="0" w:color="auto"/>
            </w:tcBorders>
            <w:shd w:val="clear" w:color="000000" w:fill="FFFFFF"/>
            <w:vAlign w:val="center"/>
            <w:hideMark/>
          </w:tcPr>
          <w:p w14:paraId="5D24740C"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NDUPH</w:t>
            </w:r>
          </w:p>
        </w:tc>
        <w:tc>
          <w:tcPr>
            <w:tcW w:w="254" w:type="pct"/>
            <w:vMerge w:val="restart"/>
            <w:tcBorders>
              <w:top w:val="nil"/>
              <w:left w:val="single" w:sz="4" w:space="0" w:color="auto"/>
              <w:bottom w:val="nil"/>
              <w:right w:val="single" w:sz="4" w:space="0" w:color="auto"/>
            </w:tcBorders>
            <w:vAlign w:val="center"/>
            <w:hideMark/>
          </w:tcPr>
          <w:p w14:paraId="5A84E4DF"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62000 </w:t>
            </w:r>
            <w:r w:rsidRPr="00427DF8">
              <w:rPr>
                <w:rFonts w:eastAsia="Times New Roman"/>
                <w:color w:val="000000"/>
                <w:sz w:val="18"/>
                <w:szCs w:val="18"/>
                <w:lang w:val="en-US" w:eastAsia="en-US"/>
              </w:rPr>
              <w:t> </w:t>
            </w:r>
          </w:p>
        </w:tc>
        <w:tc>
          <w:tcPr>
            <w:tcW w:w="254" w:type="pct"/>
            <w:vMerge w:val="restart"/>
            <w:tcBorders>
              <w:top w:val="nil"/>
              <w:left w:val="single" w:sz="4" w:space="0" w:color="auto"/>
              <w:bottom w:val="nil"/>
              <w:right w:val="nil"/>
            </w:tcBorders>
            <w:vAlign w:val="center"/>
            <w:hideMark/>
          </w:tcPr>
          <w:p w14:paraId="374D2A29"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10003</w:t>
            </w:r>
          </w:p>
        </w:tc>
        <w:tc>
          <w:tcPr>
            <w:tcW w:w="269" w:type="pct"/>
            <w:tcBorders>
              <w:top w:val="nil"/>
              <w:left w:val="single" w:sz="4" w:space="0" w:color="auto"/>
              <w:bottom w:val="single" w:sz="4" w:space="0" w:color="auto"/>
              <w:right w:val="single" w:sz="4" w:space="0" w:color="auto"/>
            </w:tcBorders>
            <w:vAlign w:val="center"/>
            <w:hideMark/>
          </w:tcPr>
          <w:p w14:paraId="265736FF"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72600</w:t>
            </w:r>
          </w:p>
        </w:tc>
        <w:tc>
          <w:tcPr>
            <w:tcW w:w="728" w:type="pct"/>
            <w:tcBorders>
              <w:top w:val="nil"/>
              <w:left w:val="nil"/>
              <w:bottom w:val="single" w:sz="4" w:space="0" w:color="auto"/>
              <w:right w:val="single" w:sz="4" w:space="0" w:color="auto"/>
            </w:tcBorders>
            <w:vAlign w:val="center"/>
            <w:hideMark/>
          </w:tcPr>
          <w:p w14:paraId="7AE58EC7"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Grant </w:t>
            </w:r>
          </w:p>
        </w:tc>
        <w:tc>
          <w:tcPr>
            <w:tcW w:w="283" w:type="pct"/>
            <w:tcBorders>
              <w:top w:val="nil"/>
              <w:left w:val="nil"/>
              <w:bottom w:val="single" w:sz="4" w:space="0" w:color="auto"/>
              <w:right w:val="single" w:sz="4" w:space="0" w:color="auto"/>
            </w:tcBorders>
            <w:vAlign w:val="center"/>
            <w:hideMark/>
          </w:tcPr>
          <w:p w14:paraId="53A366B2"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3EA7A4FD"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40714E15"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55CD631B"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60,000.00 </w:t>
            </w:r>
          </w:p>
        </w:tc>
        <w:tc>
          <w:tcPr>
            <w:tcW w:w="317" w:type="pct"/>
            <w:tcBorders>
              <w:top w:val="nil"/>
              <w:left w:val="nil"/>
              <w:bottom w:val="single" w:sz="4" w:space="0" w:color="auto"/>
              <w:right w:val="single" w:sz="4" w:space="0" w:color="auto"/>
            </w:tcBorders>
            <w:vAlign w:val="center"/>
            <w:hideMark/>
          </w:tcPr>
          <w:p w14:paraId="435FD6BA"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40,000.00 </w:t>
            </w:r>
          </w:p>
        </w:tc>
        <w:tc>
          <w:tcPr>
            <w:tcW w:w="283" w:type="pct"/>
            <w:tcBorders>
              <w:top w:val="nil"/>
              <w:left w:val="nil"/>
              <w:bottom w:val="single" w:sz="4" w:space="0" w:color="auto"/>
              <w:right w:val="single" w:sz="4" w:space="0" w:color="auto"/>
            </w:tcBorders>
            <w:vAlign w:val="center"/>
            <w:hideMark/>
          </w:tcPr>
          <w:p w14:paraId="4EBD8831"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581EABD9"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100,000.00 </w:t>
            </w:r>
          </w:p>
        </w:tc>
        <w:tc>
          <w:tcPr>
            <w:tcW w:w="211" w:type="pct"/>
            <w:tcBorders>
              <w:top w:val="nil"/>
              <w:left w:val="nil"/>
              <w:bottom w:val="single" w:sz="4" w:space="0" w:color="auto"/>
              <w:right w:val="single" w:sz="4" w:space="0" w:color="auto"/>
            </w:tcBorders>
            <w:shd w:val="clear" w:color="000000" w:fill="FFFFFF"/>
            <w:vAlign w:val="center"/>
            <w:hideMark/>
          </w:tcPr>
          <w:p w14:paraId="2BB37AD3"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25</w:t>
            </w:r>
          </w:p>
        </w:tc>
      </w:tr>
      <w:tr w:rsidR="00427DF8" w:rsidRPr="00427DF8" w14:paraId="0D9D6B3F" w14:textId="77777777" w:rsidTr="008D1647">
        <w:trPr>
          <w:gridAfter w:val="1"/>
          <w:wAfter w:w="79" w:type="pct"/>
          <w:trHeight w:val="300"/>
        </w:trPr>
        <w:tc>
          <w:tcPr>
            <w:tcW w:w="383" w:type="pct"/>
            <w:vMerge/>
            <w:tcBorders>
              <w:top w:val="nil"/>
              <w:left w:val="single" w:sz="4" w:space="0" w:color="auto"/>
              <w:bottom w:val="single" w:sz="4" w:space="0" w:color="auto"/>
              <w:right w:val="single" w:sz="4" w:space="0" w:color="auto"/>
            </w:tcBorders>
            <w:vAlign w:val="center"/>
            <w:hideMark/>
          </w:tcPr>
          <w:p w14:paraId="6A6A7D13"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124D2842"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350E2419"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7A8BAECA"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nil"/>
            </w:tcBorders>
            <w:vAlign w:val="center"/>
            <w:hideMark/>
          </w:tcPr>
          <w:p w14:paraId="5BBD882C"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single" w:sz="4" w:space="0" w:color="auto"/>
              <w:bottom w:val="nil"/>
              <w:right w:val="single" w:sz="4" w:space="0" w:color="auto"/>
            </w:tcBorders>
            <w:vAlign w:val="center"/>
            <w:hideMark/>
          </w:tcPr>
          <w:p w14:paraId="111DE584"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71300</w:t>
            </w:r>
          </w:p>
        </w:tc>
        <w:tc>
          <w:tcPr>
            <w:tcW w:w="728" w:type="pct"/>
            <w:tcBorders>
              <w:top w:val="nil"/>
              <w:left w:val="nil"/>
              <w:bottom w:val="nil"/>
              <w:right w:val="single" w:sz="4" w:space="0" w:color="auto"/>
            </w:tcBorders>
            <w:vAlign w:val="center"/>
            <w:hideMark/>
          </w:tcPr>
          <w:p w14:paraId="42FAB126"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Local consultants  </w:t>
            </w:r>
          </w:p>
        </w:tc>
        <w:tc>
          <w:tcPr>
            <w:tcW w:w="283" w:type="pct"/>
            <w:tcBorders>
              <w:top w:val="nil"/>
              <w:left w:val="nil"/>
              <w:bottom w:val="nil"/>
              <w:right w:val="single" w:sz="4" w:space="0" w:color="auto"/>
            </w:tcBorders>
            <w:vAlign w:val="center"/>
            <w:hideMark/>
          </w:tcPr>
          <w:p w14:paraId="266AE17D"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nil"/>
              <w:right w:val="single" w:sz="4" w:space="0" w:color="auto"/>
            </w:tcBorders>
            <w:vAlign w:val="center"/>
            <w:hideMark/>
          </w:tcPr>
          <w:p w14:paraId="6D59345A"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21,500.00 </w:t>
            </w:r>
          </w:p>
        </w:tc>
        <w:tc>
          <w:tcPr>
            <w:tcW w:w="317" w:type="pct"/>
            <w:tcBorders>
              <w:top w:val="nil"/>
              <w:left w:val="nil"/>
              <w:bottom w:val="nil"/>
              <w:right w:val="single" w:sz="4" w:space="0" w:color="auto"/>
            </w:tcBorders>
            <w:vAlign w:val="center"/>
            <w:hideMark/>
          </w:tcPr>
          <w:p w14:paraId="123A4687"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2,500.00 </w:t>
            </w:r>
          </w:p>
        </w:tc>
        <w:tc>
          <w:tcPr>
            <w:tcW w:w="317" w:type="pct"/>
            <w:tcBorders>
              <w:top w:val="nil"/>
              <w:left w:val="nil"/>
              <w:bottom w:val="nil"/>
              <w:right w:val="single" w:sz="4" w:space="0" w:color="auto"/>
            </w:tcBorders>
            <w:vAlign w:val="center"/>
            <w:hideMark/>
          </w:tcPr>
          <w:p w14:paraId="60B056D3"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nil"/>
              <w:right w:val="single" w:sz="4" w:space="0" w:color="auto"/>
            </w:tcBorders>
            <w:vAlign w:val="center"/>
            <w:hideMark/>
          </w:tcPr>
          <w:p w14:paraId="67FFB5D1"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1,000.00 </w:t>
            </w:r>
          </w:p>
        </w:tc>
        <w:tc>
          <w:tcPr>
            <w:tcW w:w="283" w:type="pct"/>
            <w:tcBorders>
              <w:top w:val="nil"/>
              <w:left w:val="nil"/>
              <w:bottom w:val="nil"/>
              <w:right w:val="single" w:sz="4" w:space="0" w:color="auto"/>
            </w:tcBorders>
            <w:vAlign w:val="center"/>
            <w:hideMark/>
          </w:tcPr>
          <w:p w14:paraId="57EEF29C"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nil"/>
              <w:right w:val="single" w:sz="4" w:space="0" w:color="auto"/>
            </w:tcBorders>
            <w:vAlign w:val="center"/>
            <w:hideMark/>
          </w:tcPr>
          <w:p w14:paraId="04DE22CB"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25,000.00 </w:t>
            </w:r>
          </w:p>
        </w:tc>
        <w:tc>
          <w:tcPr>
            <w:tcW w:w="211" w:type="pct"/>
            <w:tcBorders>
              <w:top w:val="nil"/>
              <w:left w:val="nil"/>
              <w:bottom w:val="nil"/>
              <w:right w:val="single" w:sz="4" w:space="0" w:color="auto"/>
            </w:tcBorders>
            <w:vAlign w:val="center"/>
            <w:hideMark/>
          </w:tcPr>
          <w:p w14:paraId="58E96A3C"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26</w:t>
            </w:r>
          </w:p>
        </w:tc>
      </w:tr>
      <w:tr w:rsidR="00427DF8" w:rsidRPr="00427DF8" w14:paraId="66377CF5" w14:textId="77777777" w:rsidTr="008D1647">
        <w:trPr>
          <w:gridAfter w:val="1"/>
          <w:wAfter w:w="79" w:type="pct"/>
          <w:trHeight w:val="300"/>
        </w:trPr>
        <w:tc>
          <w:tcPr>
            <w:tcW w:w="383" w:type="pct"/>
            <w:vMerge/>
            <w:tcBorders>
              <w:top w:val="nil"/>
              <w:left w:val="single" w:sz="4" w:space="0" w:color="auto"/>
              <w:bottom w:val="single" w:sz="4" w:space="0" w:color="auto"/>
              <w:right w:val="single" w:sz="4" w:space="0" w:color="auto"/>
            </w:tcBorders>
            <w:vAlign w:val="center"/>
            <w:hideMark/>
          </w:tcPr>
          <w:p w14:paraId="6B28157E"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7BCD7928"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14ADF370"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7060C58F"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nil"/>
            </w:tcBorders>
            <w:vAlign w:val="center"/>
            <w:hideMark/>
          </w:tcPr>
          <w:p w14:paraId="4B87EFCA"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single" w:sz="4" w:space="0" w:color="000000"/>
              <w:left w:val="single" w:sz="4" w:space="0" w:color="000000"/>
              <w:bottom w:val="single" w:sz="4" w:space="0" w:color="000000"/>
              <w:right w:val="single" w:sz="4" w:space="0" w:color="000000"/>
            </w:tcBorders>
            <w:noWrap/>
            <w:vAlign w:val="center"/>
            <w:hideMark/>
          </w:tcPr>
          <w:p w14:paraId="39070781" w14:textId="77777777" w:rsidR="00427DF8" w:rsidRPr="00427DF8" w:rsidRDefault="00427DF8" w:rsidP="00427DF8">
            <w:pPr>
              <w:spacing w:after="0" w:line="240" w:lineRule="auto"/>
              <w:jc w:val="right"/>
              <w:rPr>
                <w:rFonts w:eastAsia="Times New Roman"/>
                <w:color w:val="000000"/>
                <w:sz w:val="20"/>
                <w:szCs w:val="20"/>
                <w:lang w:val="en-US" w:eastAsia="en-US"/>
              </w:rPr>
            </w:pPr>
            <w:r w:rsidRPr="00427DF8">
              <w:rPr>
                <w:rFonts w:eastAsia="Times New Roman"/>
                <w:color w:val="000000"/>
                <w:sz w:val="20"/>
                <w:szCs w:val="20"/>
                <w:lang w:val="en-US" w:eastAsia="en-US"/>
              </w:rPr>
              <w:t>71800</w:t>
            </w:r>
          </w:p>
        </w:tc>
        <w:tc>
          <w:tcPr>
            <w:tcW w:w="728" w:type="pct"/>
            <w:tcBorders>
              <w:top w:val="single" w:sz="4" w:space="0" w:color="000000"/>
              <w:left w:val="nil"/>
              <w:bottom w:val="single" w:sz="4" w:space="0" w:color="000000"/>
              <w:right w:val="single" w:sz="4" w:space="0" w:color="000000"/>
            </w:tcBorders>
            <w:noWrap/>
            <w:vAlign w:val="center"/>
            <w:hideMark/>
          </w:tcPr>
          <w:p w14:paraId="5DB7A1A6" w14:textId="77777777" w:rsidR="00427DF8" w:rsidRPr="00427DF8" w:rsidRDefault="00427DF8" w:rsidP="00427DF8">
            <w:pPr>
              <w:spacing w:after="0" w:line="240" w:lineRule="auto"/>
              <w:rPr>
                <w:rFonts w:eastAsia="Times New Roman"/>
                <w:color w:val="000000"/>
                <w:sz w:val="20"/>
                <w:szCs w:val="20"/>
                <w:lang w:val="en-US" w:eastAsia="en-US"/>
              </w:rPr>
            </w:pPr>
            <w:r w:rsidRPr="00427DF8">
              <w:rPr>
                <w:rFonts w:eastAsia="Times New Roman"/>
                <w:color w:val="000000"/>
                <w:sz w:val="20"/>
                <w:szCs w:val="20"/>
                <w:lang w:val="en-US" w:eastAsia="en-US"/>
              </w:rPr>
              <w:t xml:space="preserve">Contractual Services-Imp </w:t>
            </w:r>
            <w:proofErr w:type="spellStart"/>
            <w:r w:rsidRPr="00427DF8">
              <w:rPr>
                <w:rFonts w:eastAsia="Times New Roman"/>
                <w:color w:val="000000"/>
                <w:sz w:val="20"/>
                <w:szCs w:val="20"/>
                <w:lang w:val="en-US" w:eastAsia="en-US"/>
              </w:rPr>
              <w:t>Paertn</w:t>
            </w:r>
            <w:proofErr w:type="spellEnd"/>
          </w:p>
        </w:tc>
        <w:tc>
          <w:tcPr>
            <w:tcW w:w="283" w:type="pct"/>
            <w:tcBorders>
              <w:top w:val="single" w:sz="4" w:space="0" w:color="000000"/>
              <w:left w:val="nil"/>
              <w:bottom w:val="single" w:sz="4" w:space="0" w:color="000000"/>
              <w:right w:val="single" w:sz="4" w:space="0" w:color="000000"/>
            </w:tcBorders>
            <w:vAlign w:val="center"/>
            <w:hideMark/>
          </w:tcPr>
          <w:p w14:paraId="68C14993"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283" w:type="pct"/>
            <w:tcBorders>
              <w:top w:val="single" w:sz="4" w:space="0" w:color="000000"/>
              <w:left w:val="nil"/>
              <w:bottom w:val="single" w:sz="4" w:space="0" w:color="000000"/>
              <w:right w:val="single" w:sz="4" w:space="0" w:color="000000"/>
            </w:tcBorders>
            <w:vAlign w:val="center"/>
            <w:hideMark/>
          </w:tcPr>
          <w:p w14:paraId="5A30784C"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38,700.00 </w:t>
            </w:r>
          </w:p>
        </w:tc>
        <w:tc>
          <w:tcPr>
            <w:tcW w:w="317" w:type="pct"/>
            <w:tcBorders>
              <w:top w:val="single" w:sz="4" w:space="0" w:color="000000"/>
              <w:left w:val="nil"/>
              <w:bottom w:val="single" w:sz="4" w:space="0" w:color="000000"/>
              <w:right w:val="single" w:sz="4" w:space="0" w:color="000000"/>
            </w:tcBorders>
            <w:vAlign w:val="center"/>
            <w:hideMark/>
          </w:tcPr>
          <w:p w14:paraId="1083EB08"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38,700.00 </w:t>
            </w:r>
          </w:p>
        </w:tc>
        <w:tc>
          <w:tcPr>
            <w:tcW w:w="317" w:type="pct"/>
            <w:tcBorders>
              <w:top w:val="single" w:sz="4" w:space="0" w:color="000000"/>
              <w:left w:val="nil"/>
              <w:bottom w:val="single" w:sz="4" w:space="0" w:color="000000"/>
              <w:right w:val="single" w:sz="4" w:space="0" w:color="000000"/>
            </w:tcBorders>
            <w:vAlign w:val="center"/>
            <w:hideMark/>
          </w:tcPr>
          <w:p w14:paraId="2FDC4934"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38,700.00 </w:t>
            </w:r>
          </w:p>
        </w:tc>
        <w:tc>
          <w:tcPr>
            <w:tcW w:w="317" w:type="pct"/>
            <w:tcBorders>
              <w:top w:val="single" w:sz="4" w:space="0" w:color="000000"/>
              <w:left w:val="nil"/>
              <w:bottom w:val="single" w:sz="4" w:space="0" w:color="000000"/>
              <w:right w:val="single" w:sz="4" w:space="0" w:color="000000"/>
            </w:tcBorders>
            <w:vAlign w:val="center"/>
            <w:hideMark/>
          </w:tcPr>
          <w:p w14:paraId="30F12BAE"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single" w:sz="4" w:space="0" w:color="000000"/>
              <w:left w:val="nil"/>
              <w:bottom w:val="single" w:sz="4" w:space="0" w:color="000000"/>
              <w:right w:val="single" w:sz="4" w:space="0" w:color="000000"/>
            </w:tcBorders>
            <w:vAlign w:val="center"/>
            <w:hideMark/>
          </w:tcPr>
          <w:p w14:paraId="2F25793F"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single" w:sz="4" w:space="0" w:color="000000"/>
              <w:left w:val="nil"/>
              <w:bottom w:val="single" w:sz="4" w:space="0" w:color="000000"/>
              <w:right w:val="single" w:sz="4" w:space="0" w:color="000000"/>
            </w:tcBorders>
            <w:noWrap/>
            <w:vAlign w:val="center"/>
            <w:hideMark/>
          </w:tcPr>
          <w:p w14:paraId="4BA920DB" w14:textId="77777777" w:rsidR="00427DF8" w:rsidRPr="00427DF8" w:rsidRDefault="00427DF8" w:rsidP="00427DF8">
            <w:pPr>
              <w:spacing w:after="0" w:line="240" w:lineRule="auto"/>
              <w:rPr>
                <w:rFonts w:eastAsia="Times New Roman"/>
                <w:color w:val="FF0000"/>
                <w:sz w:val="18"/>
                <w:szCs w:val="18"/>
                <w:lang w:val="en-US" w:eastAsia="en-US"/>
              </w:rPr>
            </w:pPr>
            <w:r w:rsidRPr="00427DF8">
              <w:rPr>
                <w:rFonts w:eastAsia="Times New Roman"/>
                <w:color w:val="FF0000"/>
                <w:sz w:val="18"/>
                <w:szCs w:val="18"/>
                <w:lang w:val="en-US" w:eastAsia="en-US"/>
              </w:rPr>
              <w:t xml:space="preserve">       116,100.00 </w:t>
            </w:r>
          </w:p>
        </w:tc>
        <w:tc>
          <w:tcPr>
            <w:tcW w:w="211" w:type="pct"/>
            <w:tcBorders>
              <w:top w:val="single" w:sz="4" w:space="0" w:color="000000"/>
              <w:left w:val="nil"/>
              <w:bottom w:val="single" w:sz="4" w:space="0" w:color="000000"/>
              <w:right w:val="single" w:sz="4" w:space="0" w:color="000000"/>
            </w:tcBorders>
            <w:vAlign w:val="center"/>
            <w:hideMark/>
          </w:tcPr>
          <w:p w14:paraId="325E4987" w14:textId="77777777" w:rsidR="00427DF8" w:rsidRPr="00427DF8" w:rsidRDefault="00427DF8" w:rsidP="00427DF8">
            <w:pPr>
              <w:spacing w:after="0" w:line="240" w:lineRule="auto"/>
              <w:jc w:val="center"/>
              <w:rPr>
                <w:rFonts w:eastAsia="Times New Roman"/>
                <w:i/>
                <w:iCs/>
                <w:color w:val="FF0000"/>
                <w:sz w:val="18"/>
                <w:szCs w:val="18"/>
                <w:lang w:val="en-US" w:eastAsia="en-US"/>
              </w:rPr>
            </w:pPr>
            <w:r w:rsidRPr="00427DF8">
              <w:rPr>
                <w:rFonts w:eastAsia="Times New Roman"/>
                <w:i/>
                <w:iCs/>
                <w:color w:val="FF0000"/>
                <w:sz w:val="18"/>
                <w:szCs w:val="18"/>
                <w:lang w:val="en-US" w:eastAsia="en-US"/>
              </w:rPr>
              <w:t>27</w:t>
            </w:r>
          </w:p>
        </w:tc>
      </w:tr>
      <w:tr w:rsidR="00427DF8" w:rsidRPr="00427DF8" w14:paraId="661BF6C7" w14:textId="77777777" w:rsidTr="008D1647">
        <w:trPr>
          <w:gridAfter w:val="1"/>
          <w:wAfter w:w="79" w:type="pct"/>
          <w:trHeight w:val="300"/>
        </w:trPr>
        <w:tc>
          <w:tcPr>
            <w:tcW w:w="383" w:type="pct"/>
            <w:vMerge/>
            <w:tcBorders>
              <w:top w:val="nil"/>
              <w:left w:val="single" w:sz="4" w:space="0" w:color="auto"/>
              <w:bottom w:val="single" w:sz="4" w:space="0" w:color="auto"/>
              <w:right w:val="single" w:sz="4" w:space="0" w:color="auto"/>
            </w:tcBorders>
            <w:vAlign w:val="center"/>
            <w:hideMark/>
          </w:tcPr>
          <w:p w14:paraId="79C1B6B1"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178A8F87"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39B0DED2"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516101A5"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nil"/>
            </w:tcBorders>
            <w:vAlign w:val="center"/>
            <w:hideMark/>
          </w:tcPr>
          <w:p w14:paraId="1188EB3D"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single" w:sz="4" w:space="0" w:color="auto"/>
              <w:bottom w:val="single" w:sz="4" w:space="0" w:color="auto"/>
              <w:right w:val="single" w:sz="4" w:space="0" w:color="auto"/>
            </w:tcBorders>
            <w:vAlign w:val="center"/>
            <w:hideMark/>
          </w:tcPr>
          <w:p w14:paraId="4CB543E6"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72100</w:t>
            </w:r>
          </w:p>
        </w:tc>
        <w:tc>
          <w:tcPr>
            <w:tcW w:w="728" w:type="pct"/>
            <w:tcBorders>
              <w:top w:val="nil"/>
              <w:left w:val="nil"/>
              <w:bottom w:val="single" w:sz="4" w:space="0" w:color="auto"/>
              <w:right w:val="single" w:sz="4" w:space="0" w:color="auto"/>
            </w:tcBorders>
            <w:vAlign w:val="center"/>
            <w:hideMark/>
          </w:tcPr>
          <w:p w14:paraId="60FAA5FF"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Contractual Service company </w:t>
            </w:r>
          </w:p>
        </w:tc>
        <w:tc>
          <w:tcPr>
            <w:tcW w:w="283" w:type="pct"/>
            <w:tcBorders>
              <w:top w:val="nil"/>
              <w:left w:val="nil"/>
              <w:bottom w:val="single" w:sz="4" w:space="0" w:color="auto"/>
              <w:right w:val="single" w:sz="4" w:space="0" w:color="auto"/>
            </w:tcBorders>
            <w:vAlign w:val="center"/>
            <w:hideMark/>
          </w:tcPr>
          <w:p w14:paraId="0ABF0081"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5C8318AC"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135,000.00 </w:t>
            </w:r>
          </w:p>
        </w:tc>
        <w:tc>
          <w:tcPr>
            <w:tcW w:w="317" w:type="pct"/>
            <w:tcBorders>
              <w:top w:val="nil"/>
              <w:left w:val="nil"/>
              <w:bottom w:val="single" w:sz="4" w:space="0" w:color="auto"/>
              <w:right w:val="single" w:sz="4" w:space="0" w:color="auto"/>
            </w:tcBorders>
            <w:vAlign w:val="center"/>
            <w:hideMark/>
          </w:tcPr>
          <w:p w14:paraId="2C566716"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252,500.00 </w:t>
            </w:r>
          </w:p>
        </w:tc>
        <w:tc>
          <w:tcPr>
            <w:tcW w:w="317" w:type="pct"/>
            <w:tcBorders>
              <w:top w:val="nil"/>
              <w:left w:val="nil"/>
              <w:bottom w:val="single" w:sz="4" w:space="0" w:color="auto"/>
              <w:right w:val="single" w:sz="4" w:space="0" w:color="auto"/>
            </w:tcBorders>
            <w:vAlign w:val="center"/>
            <w:hideMark/>
          </w:tcPr>
          <w:p w14:paraId="09BD805A"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230,000.00 </w:t>
            </w:r>
          </w:p>
        </w:tc>
        <w:tc>
          <w:tcPr>
            <w:tcW w:w="317" w:type="pct"/>
            <w:tcBorders>
              <w:top w:val="nil"/>
              <w:left w:val="nil"/>
              <w:bottom w:val="single" w:sz="4" w:space="0" w:color="auto"/>
              <w:right w:val="single" w:sz="4" w:space="0" w:color="auto"/>
            </w:tcBorders>
            <w:vAlign w:val="center"/>
            <w:hideMark/>
          </w:tcPr>
          <w:p w14:paraId="45F1A981"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160,000.00 </w:t>
            </w:r>
          </w:p>
        </w:tc>
        <w:tc>
          <w:tcPr>
            <w:tcW w:w="283" w:type="pct"/>
            <w:tcBorders>
              <w:top w:val="nil"/>
              <w:left w:val="nil"/>
              <w:bottom w:val="single" w:sz="4" w:space="0" w:color="auto"/>
              <w:right w:val="single" w:sz="4" w:space="0" w:color="auto"/>
            </w:tcBorders>
            <w:vAlign w:val="center"/>
            <w:hideMark/>
          </w:tcPr>
          <w:p w14:paraId="6300852A"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26018B27"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777,500.00 </w:t>
            </w:r>
          </w:p>
        </w:tc>
        <w:tc>
          <w:tcPr>
            <w:tcW w:w="211" w:type="pct"/>
            <w:tcBorders>
              <w:top w:val="nil"/>
              <w:left w:val="nil"/>
              <w:bottom w:val="single" w:sz="4" w:space="0" w:color="auto"/>
              <w:right w:val="single" w:sz="4" w:space="0" w:color="auto"/>
            </w:tcBorders>
            <w:vAlign w:val="center"/>
            <w:hideMark/>
          </w:tcPr>
          <w:p w14:paraId="24442A6A"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28</w:t>
            </w:r>
          </w:p>
        </w:tc>
      </w:tr>
      <w:tr w:rsidR="00427DF8" w:rsidRPr="00427DF8" w14:paraId="142FE52F" w14:textId="77777777" w:rsidTr="008D1647">
        <w:trPr>
          <w:gridAfter w:val="1"/>
          <w:wAfter w:w="79" w:type="pct"/>
          <w:trHeight w:val="300"/>
        </w:trPr>
        <w:tc>
          <w:tcPr>
            <w:tcW w:w="383" w:type="pct"/>
            <w:vMerge/>
            <w:tcBorders>
              <w:top w:val="nil"/>
              <w:left w:val="single" w:sz="4" w:space="0" w:color="auto"/>
              <w:bottom w:val="single" w:sz="4" w:space="0" w:color="auto"/>
              <w:right w:val="single" w:sz="4" w:space="0" w:color="auto"/>
            </w:tcBorders>
            <w:vAlign w:val="center"/>
            <w:hideMark/>
          </w:tcPr>
          <w:p w14:paraId="59D71B11"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2C362ECC"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35AE16DC"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72AFCC16"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nil"/>
            </w:tcBorders>
            <w:vAlign w:val="center"/>
            <w:hideMark/>
          </w:tcPr>
          <w:p w14:paraId="5D3563D9"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single" w:sz="4" w:space="0" w:color="auto"/>
              <w:bottom w:val="single" w:sz="4" w:space="0" w:color="auto"/>
              <w:right w:val="single" w:sz="4" w:space="0" w:color="auto"/>
            </w:tcBorders>
            <w:vAlign w:val="center"/>
            <w:hideMark/>
          </w:tcPr>
          <w:p w14:paraId="64445F69"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72200</w:t>
            </w:r>
          </w:p>
        </w:tc>
        <w:tc>
          <w:tcPr>
            <w:tcW w:w="728" w:type="pct"/>
            <w:tcBorders>
              <w:top w:val="nil"/>
              <w:left w:val="nil"/>
              <w:bottom w:val="single" w:sz="4" w:space="0" w:color="auto"/>
              <w:right w:val="single" w:sz="4" w:space="0" w:color="auto"/>
            </w:tcBorders>
            <w:vAlign w:val="center"/>
            <w:hideMark/>
          </w:tcPr>
          <w:p w14:paraId="2E0D2858" w14:textId="77777777" w:rsidR="00427DF8" w:rsidRPr="00427DF8" w:rsidRDefault="00427DF8" w:rsidP="00427DF8">
            <w:pPr>
              <w:spacing w:after="0" w:line="240" w:lineRule="auto"/>
              <w:rPr>
                <w:rFonts w:eastAsia="Times New Roman"/>
                <w:color w:val="000000"/>
                <w:sz w:val="18"/>
                <w:szCs w:val="18"/>
                <w:lang w:val="en-US" w:eastAsia="en-US"/>
              </w:rPr>
            </w:pPr>
            <w:proofErr w:type="spellStart"/>
            <w:r w:rsidRPr="00427DF8">
              <w:rPr>
                <w:rFonts w:eastAsia="Times New Roman"/>
                <w:color w:val="000000"/>
                <w:sz w:val="18"/>
                <w:szCs w:val="18"/>
                <w:lang w:val="en-US" w:eastAsia="en-US"/>
              </w:rPr>
              <w:t>Equipements</w:t>
            </w:r>
            <w:proofErr w:type="spellEnd"/>
            <w:r w:rsidRPr="00427DF8">
              <w:rPr>
                <w:rFonts w:eastAsia="Times New Roman"/>
                <w:color w:val="000000"/>
                <w:sz w:val="18"/>
                <w:szCs w:val="18"/>
                <w:lang w:val="en-US" w:eastAsia="en-US"/>
              </w:rPr>
              <w:t>  </w:t>
            </w:r>
          </w:p>
        </w:tc>
        <w:tc>
          <w:tcPr>
            <w:tcW w:w="283" w:type="pct"/>
            <w:tcBorders>
              <w:top w:val="nil"/>
              <w:left w:val="nil"/>
              <w:bottom w:val="single" w:sz="4" w:space="0" w:color="auto"/>
              <w:right w:val="single" w:sz="4" w:space="0" w:color="auto"/>
            </w:tcBorders>
            <w:vAlign w:val="center"/>
            <w:hideMark/>
          </w:tcPr>
          <w:p w14:paraId="49D192B5"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07F60253"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03C3D218"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0A5F8F14"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0F00BA20"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13,500.00 </w:t>
            </w:r>
          </w:p>
        </w:tc>
        <w:tc>
          <w:tcPr>
            <w:tcW w:w="283" w:type="pct"/>
            <w:tcBorders>
              <w:top w:val="nil"/>
              <w:left w:val="nil"/>
              <w:bottom w:val="single" w:sz="4" w:space="0" w:color="auto"/>
              <w:right w:val="single" w:sz="4" w:space="0" w:color="auto"/>
            </w:tcBorders>
            <w:vAlign w:val="center"/>
            <w:hideMark/>
          </w:tcPr>
          <w:p w14:paraId="29F11885"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21467751"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13,500.00 </w:t>
            </w:r>
          </w:p>
        </w:tc>
        <w:tc>
          <w:tcPr>
            <w:tcW w:w="211" w:type="pct"/>
            <w:tcBorders>
              <w:top w:val="nil"/>
              <w:left w:val="nil"/>
              <w:bottom w:val="single" w:sz="4" w:space="0" w:color="auto"/>
              <w:right w:val="single" w:sz="4" w:space="0" w:color="auto"/>
            </w:tcBorders>
            <w:vAlign w:val="center"/>
            <w:hideMark/>
          </w:tcPr>
          <w:p w14:paraId="275C1F77"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29</w:t>
            </w:r>
          </w:p>
        </w:tc>
      </w:tr>
      <w:tr w:rsidR="00427DF8" w:rsidRPr="00427DF8" w14:paraId="014FC775" w14:textId="77777777" w:rsidTr="008D1647">
        <w:trPr>
          <w:gridAfter w:val="1"/>
          <w:wAfter w:w="79" w:type="pct"/>
          <w:trHeight w:val="300"/>
        </w:trPr>
        <w:tc>
          <w:tcPr>
            <w:tcW w:w="383" w:type="pct"/>
            <w:vMerge/>
            <w:tcBorders>
              <w:top w:val="nil"/>
              <w:left w:val="single" w:sz="4" w:space="0" w:color="auto"/>
              <w:bottom w:val="single" w:sz="4" w:space="0" w:color="auto"/>
              <w:right w:val="single" w:sz="4" w:space="0" w:color="auto"/>
            </w:tcBorders>
            <w:vAlign w:val="center"/>
            <w:hideMark/>
          </w:tcPr>
          <w:p w14:paraId="0C780475"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734FC1CF"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55CB2313"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6D0D79EC"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nil"/>
            </w:tcBorders>
            <w:vAlign w:val="center"/>
            <w:hideMark/>
          </w:tcPr>
          <w:p w14:paraId="390B53C3"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single" w:sz="4" w:space="0" w:color="auto"/>
              <w:bottom w:val="single" w:sz="4" w:space="0" w:color="auto"/>
              <w:right w:val="single" w:sz="4" w:space="0" w:color="auto"/>
            </w:tcBorders>
            <w:vAlign w:val="center"/>
            <w:hideMark/>
          </w:tcPr>
          <w:p w14:paraId="02993197"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72300</w:t>
            </w:r>
          </w:p>
        </w:tc>
        <w:tc>
          <w:tcPr>
            <w:tcW w:w="728" w:type="pct"/>
            <w:tcBorders>
              <w:top w:val="nil"/>
              <w:left w:val="nil"/>
              <w:bottom w:val="single" w:sz="4" w:space="0" w:color="auto"/>
              <w:right w:val="single" w:sz="4" w:space="0" w:color="auto"/>
            </w:tcBorders>
            <w:vAlign w:val="center"/>
            <w:hideMark/>
          </w:tcPr>
          <w:p w14:paraId="4A1027DA"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Materials and goods </w:t>
            </w:r>
          </w:p>
        </w:tc>
        <w:tc>
          <w:tcPr>
            <w:tcW w:w="283" w:type="pct"/>
            <w:tcBorders>
              <w:top w:val="nil"/>
              <w:left w:val="nil"/>
              <w:bottom w:val="single" w:sz="4" w:space="0" w:color="auto"/>
              <w:right w:val="single" w:sz="4" w:space="0" w:color="auto"/>
            </w:tcBorders>
            <w:vAlign w:val="center"/>
            <w:hideMark/>
          </w:tcPr>
          <w:p w14:paraId="68D5A04D"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66738D1A"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79F90432"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6122E5A0"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12D027E2"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36,500.00 </w:t>
            </w:r>
          </w:p>
        </w:tc>
        <w:tc>
          <w:tcPr>
            <w:tcW w:w="283" w:type="pct"/>
            <w:tcBorders>
              <w:top w:val="nil"/>
              <w:left w:val="nil"/>
              <w:bottom w:val="single" w:sz="4" w:space="0" w:color="auto"/>
              <w:right w:val="single" w:sz="4" w:space="0" w:color="auto"/>
            </w:tcBorders>
            <w:vAlign w:val="center"/>
            <w:hideMark/>
          </w:tcPr>
          <w:p w14:paraId="5696CD23"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72488EDB"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36,500.00 </w:t>
            </w:r>
          </w:p>
        </w:tc>
        <w:tc>
          <w:tcPr>
            <w:tcW w:w="211" w:type="pct"/>
            <w:tcBorders>
              <w:top w:val="nil"/>
              <w:left w:val="nil"/>
              <w:bottom w:val="single" w:sz="4" w:space="0" w:color="auto"/>
              <w:right w:val="single" w:sz="4" w:space="0" w:color="auto"/>
            </w:tcBorders>
            <w:vAlign w:val="center"/>
            <w:hideMark/>
          </w:tcPr>
          <w:p w14:paraId="649D4AE9"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30</w:t>
            </w:r>
          </w:p>
        </w:tc>
      </w:tr>
      <w:tr w:rsidR="00427DF8" w:rsidRPr="00427DF8" w14:paraId="4E7A9D1A" w14:textId="77777777" w:rsidTr="008D1647">
        <w:trPr>
          <w:gridAfter w:val="1"/>
          <w:wAfter w:w="79" w:type="pct"/>
          <w:trHeight w:val="300"/>
        </w:trPr>
        <w:tc>
          <w:tcPr>
            <w:tcW w:w="383" w:type="pct"/>
            <w:vMerge/>
            <w:tcBorders>
              <w:top w:val="nil"/>
              <w:left w:val="single" w:sz="4" w:space="0" w:color="auto"/>
              <w:bottom w:val="single" w:sz="4" w:space="0" w:color="auto"/>
              <w:right w:val="single" w:sz="4" w:space="0" w:color="auto"/>
            </w:tcBorders>
            <w:vAlign w:val="center"/>
            <w:hideMark/>
          </w:tcPr>
          <w:p w14:paraId="6CA37BD0"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56D1D020"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4A2A40DA"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5206D43E"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nil"/>
            </w:tcBorders>
            <w:vAlign w:val="center"/>
            <w:hideMark/>
          </w:tcPr>
          <w:p w14:paraId="6B0941B0"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single" w:sz="4" w:space="0" w:color="auto"/>
              <w:bottom w:val="single" w:sz="4" w:space="0" w:color="auto"/>
              <w:right w:val="single" w:sz="4" w:space="0" w:color="auto"/>
            </w:tcBorders>
            <w:vAlign w:val="center"/>
            <w:hideMark/>
          </w:tcPr>
          <w:p w14:paraId="5D29DDBE"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72800</w:t>
            </w:r>
          </w:p>
        </w:tc>
        <w:tc>
          <w:tcPr>
            <w:tcW w:w="728" w:type="pct"/>
            <w:tcBorders>
              <w:top w:val="nil"/>
              <w:left w:val="nil"/>
              <w:bottom w:val="single" w:sz="4" w:space="0" w:color="auto"/>
              <w:right w:val="single" w:sz="4" w:space="0" w:color="auto"/>
            </w:tcBorders>
            <w:vAlign w:val="center"/>
            <w:hideMark/>
          </w:tcPr>
          <w:p w14:paraId="2A2CB5F0"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Information technology equipment </w:t>
            </w:r>
          </w:p>
        </w:tc>
        <w:tc>
          <w:tcPr>
            <w:tcW w:w="283" w:type="pct"/>
            <w:tcBorders>
              <w:top w:val="nil"/>
              <w:left w:val="nil"/>
              <w:bottom w:val="single" w:sz="4" w:space="0" w:color="auto"/>
              <w:right w:val="single" w:sz="4" w:space="0" w:color="auto"/>
            </w:tcBorders>
            <w:vAlign w:val="center"/>
            <w:hideMark/>
          </w:tcPr>
          <w:p w14:paraId="104C91F4"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64880858"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40,500.00 </w:t>
            </w:r>
          </w:p>
        </w:tc>
        <w:tc>
          <w:tcPr>
            <w:tcW w:w="317" w:type="pct"/>
            <w:tcBorders>
              <w:top w:val="nil"/>
              <w:left w:val="nil"/>
              <w:bottom w:val="single" w:sz="4" w:space="0" w:color="auto"/>
              <w:right w:val="single" w:sz="4" w:space="0" w:color="auto"/>
            </w:tcBorders>
            <w:vAlign w:val="center"/>
            <w:hideMark/>
          </w:tcPr>
          <w:p w14:paraId="51B4F57A"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263A3D89"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2357800C"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6ED80693"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70813AC6"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40,500.00 </w:t>
            </w:r>
          </w:p>
        </w:tc>
        <w:tc>
          <w:tcPr>
            <w:tcW w:w="211" w:type="pct"/>
            <w:tcBorders>
              <w:top w:val="nil"/>
              <w:left w:val="nil"/>
              <w:bottom w:val="single" w:sz="4" w:space="0" w:color="auto"/>
              <w:right w:val="single" w:sz="4" w:space="0" w:color="auto"/>
            </w:tcBorders>
            <w:vAlign w:val="center"/>
            <w:hideMark/>
          </w:tcPr>
          <w:p w14:paraId="28B8A40F"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31</w:t>
            </w:r>
          </w:p>
        </w:tc>
      </w:tr>
      <w:tr w:rsidR="00427DF8" w:rsidRPr="00427DF8" w14:paraId="729D34D4" w14:textId="77777777" w:rsidTr="008D1647">
        <w:trPr>
          <w:gridAfter w:val="1"/>
          <w:wAfter w:w="79" w:type="pct"/>
          <w:trHeight w:val="300"/>
        </w:trPr>
        <w:tc>
          <w:tcPr>
            <w:tcW w:w="383" w:type="pct"/>
            <w:vMerge/>
            <w:tcBorders>
              <w:top w:val="nil"/>
              <w:left w:val="single" w:sz="4" w:space="0" w:color="auto"/>
              <w:bottom w:val="single" w:sz="4" w:space="0" w:color="auto"/>
              <w:right w:val="single" w:sz="4" w:space="0" w:color="auto"/>
            </w:tcBorders>
            <w:vAlign w:val="center"/>
            <w:hideMark/>
          </w:tcPr>
          <w:p w14:paraId="50E9DD7D"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36E2E598"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398EC240"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34BED669"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nil"/>
            </w:tcBorders>
            <w:vAlign w:val="center"/>
            <w:hideMark/>
          </w:tcPr>
          <w:p w14:paraId="183446B9"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single" w:sz="4" w:space="0" w:color="auto"/>
              <w:bottom w:val="single" w:sz="4" w:space="0" w:color="auto"/>
              <w:right w:val="single" w:sz="4" w:space="0" w:color="auto"/>
            </w:tcBorders>
            <w:vAlign w:val="center"/>
            <w:hideMark/>
          </w:tcPr>
          <w:p w14:paraId="2889F31C"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74200</w:t>
            </w:r>
          </w:p>
        </w:tc>
        <w:tc>
          <w:tcPr>
            <w:tcW w:w="728" w:type="pct"/>
            <w:tcBorders>
              <w:top w:val="nil"/>
              <w:left w:val="nil"/>
              <w:bottom w:val="single" w:sz="4" w:space="0" w:color="auto"/>
              <w:right w:val="single" w:sz="4" w:space="0" w:color="auto"/>
            </w:tcBorders>
            <w:vAlign w:val="center"/>
            <w:hideMark/>
          </w:tcPr>
          <w:p w14:paraId="4F405316"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Audiovisual and print production costs </w:t>
            </w:r>
          </w:p>
        </w:tc>
        <w:tc>
          <w:tcPr>
            <w:tcW w:w="283" w:type="pct"/>
            <w:tcBorders>
              <w:top w:val="nil"/>
              <w:left w:val="nil"/>
              <w:bottom w:val="single" w:sz="4" w:space="0" w:color="auto"/>
              <w:right w:val="single" w:sz="4" w:space="0" w:color="auto"/>
            </w:tcBorders>
            <w:vAlign w:val="center"/>
            <w:hideMark/>
          </w:tcPr>
          <w:p w14:paraId="71C04BA1"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79225B1E"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360E8303"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65C4E055"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26,482.00 </w:t>
            </w:r>
          </w:p>
        </w:tc>
        <w:tc>
          <w:tcPr>
            <w:tcW w:w="317" w:type="pct"/>
            <w:tcBorders>
              <w:top w:val="nil"/>
              <w:left w:val="nil"/>
              <w:bottom w:val="single" w:sz="4" w:space="0" w:color="auto"/>
              <w:right w:val="single" w:sz="4" w:space="0" w:color="auto"/>
            </w:tcBorders>
            <w:vAlign w:val="center"/>
            <w:hideMark/>
          </w:tcPr>
          <w:p w14:paraId="4CDEF957"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15,000.00 </w:t>
            </w:r>
          </w:p>
        </w:tc>
        <w:tc>
          <w:tcPr>
            <w:tcW w:w="283" w:type="pct"/>
            <w:tcBorders>
              <w:top w:val="nil"/>
              <w:left w:val="nil"/>
              <w:bottom w:val="single" w:sz="4" w:space="0" w:color="auto"/>
              <w:right w:val="single" w:sz="4" w:space="0" w:color="auto"/>
            </w:tcBorders>
            <w:vAlign w:val="center"/>
            <w:hideMark/>
          </w:tcPr>
          <w:p w14:paraId="21105DFE"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0BF29585"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41,482.00 </w:t>
            </w:r>
          </w:p>
        </w:tc>
        <w:tc>
          <w:tcPr>
            <w:tcW w:w="211" w:type="pct"/>
            <w:tcBorders>
              <w:top w:val="nil"/>
              <w:left w:val="nil"/>
              <w:bottom w:val="single" w:sz="4" w:space="0" w:color="auto"/>
              <w:right w:val="single" w:sz="4" w:space="0" w:color="auto"/>
            </w:tcBorders>
            <w:vAlign w:val="center"/>
            <w:hideMark/>
          </w:tcPr>
          <w:p w14:paraId="745EC44A"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32</w:t>
            </w:r>
          </w:p>
        </w:tc>
      </w:tr>
      <w:tr w:rsidR="00427DF8" w:rsidRPr="00427DF8" w14:paraId="24C4C5F3" w14:textId="77777777" w:rsidTr="008D1647">
        <w:trPr>
          <w:gridAfter w:val="1"/>
          <w:wAfter w:w="79" w:type="pct"/>
          <w:trHeight w:val="300"/>
        </w:trPr>
        <w:tc>
          <w:tcPr>
            <w:tcW w:w="383" w:type="pct"/>
            <w:vMerge/>
            <w:tcBorders>
              <w:top w:val="nil"/>
              <w:left w:val="single" w:sz="4" w:space="0" w:color="auto"/>
              <w:bottom w:val="single" w:sz="4" w:space="0" w:color="auto"/>
              <w:right w:val="single" w:sz="4" w:space="0" w:color="auto"/>
            </w:tcBorders>
            <w:vAlign w:val="center"/>
            <w:hideMark/>
          </w:tcPr>
          <w:p w14:paraId="1400A33A"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7782A56F"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6A118A75"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3DF9A383"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nil"/>
            </w:tcBorders>
            <w:vAlign w:val="center"/>
            <w:hideMark/>
          </w:tcPr>
          <w:p w14:paraId="2D02BFD8"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single" w:sz="4" w:space="0" w:color="auto"/>
              <w:bottom w:val="single" w:sz="4" w:space="0" w:color="auto"/>
              <w:right w:val="single" w:sz="4" w:space="0" w:color="auto"/>
            </w:tcBorders>
            <w:vAlign w:val="center"/>
            <w:hideMark/>
          </w:tcPr>
          <w:p w14:paraId="5D86807B"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71600</w:t>
            </w:r>
          </w:p>
        </w:tc>
        <w:tc>
          <w:tcPr>
            <w:tcW w:w="728" w:type="pct"/>
            <w:tcBorders>
              <w:top w:val="nil"/>
              <w:left w:val="nil"/>
              <w:bottom w:val="single" w:sz="4" w:space="0" w:color="auto"/>
              <w:right w:val="single" w:sz="4" w:space="0" w:color="auto"/>
            </w:tcBorders>
            <w:vAlign w:val="center"/>
            <w:hideMark/>
          </w:tcPr>
          <w:p w14:paraId="0BFBE5AC"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Travel </w:t>
            </w:r>
          </w:p>
        </w:tc>
        <w:tc>
          <w:tcPr>
            <w:tcW w:w="283" w:type="pct"/>
            <w:tcBorders>
              <w:top w:val="nil"/>
              <w:left w:val="nil"/>
              <w:bottom w:val="single" w:sz="4" w:space="0" w:color="auto"/>
              <w:right w:val="single" w:sz="4" w:space="0" w:color="auto"/>
            </w:tcBorders>
            <w:vAlign w:val="center"/>
            <w:hideMark/>
          </w:tcPr>
          <w:p w14:paraId="59A6BC0B"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6C88D38D"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2,000.00 </w:t>
            </w:r>
          </w:p>
        </w:tc>
        <w:tc>
          <w:tcPr>
            <w:tcW w:w="317" w:type="pct"/>
            <w:tcBorders>
              <w:top w:val="nil"/>
              <w:left w:val="nil"/>
              <w:bottom w:val="single" w:sz="4" w:space="0" w:color="auto"/>
              <w:right w:val="single" w:sz="4" w:space="0" w:color="auto"/>
            </w:tcBorders>
            <w:vAlign w:val="center"/>
            <w:hideMark/>
          </w:tcPr>
          <w:p w14:paraId="5828B518"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8,028.00 </w:t>
            </w:r>
          </w:p>
        </w:tc>
        <w:tc>
          <w:tcPr>
            <w:tcW w:w="317" w:type="pct"/>
            <w:tcBorders>
              <w:top w:val="nil"/>
              <w:left w:val="nil"/>
              <w:bottom w:val="single" w:sz="4" w:space="0" w:color="auto"/>
              <w:right w:val="single" w:sz="4" w:space="0" w:color="auto"/>
            </w:tcBorders>
            <w:vAlign w:val="center"/>
            <w:hideMark/>
          </w:tcPr>
          <w:p w14:paraId="2CB830B6"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1,300.00 </w:t>
            </w:r>
          </w:p>
        </w:tc>
        <w:tc>
          <w:tcPr>
            <w:tcW w:w="317" w:type="pct"/>
            <w:tcBorders>
              <w:top w:val="nil"/>
              <w:left w:val="nil"/>
              <w:bottom w:val="single" w:sz="4" w:space="0" w:color="auto"/>
              <w:right w:val="single" w:sz="4" w:space="0" w:color="auto"/>
            </w:tcBorders>
            <w:vAlign w:val="center"/>
            <w:hideMark/>
          </w:tcPr>
          <w:p w14:paraId="31318B89"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1,700.00 </w:t>
            </w:r>
          </w:p>
        </w:tc>
        <w:tc>
          <w:tcPr>
            <w:tcW w:w="283" w:type="pct"/>
            <w:tcBorders>
              <w:top w:val="nil"/>
              <w:left w:val="nil"/>
              <w:bottom w:val="single" w:sz="4" w:space="0" w:color="auto"/>
              <w:right w:val="single" w:sz="4" w:space="0" w:color="auto"/>
            </w:tcBorders>
            <w:vAlign w:val="center"/>
            <w:hideMark/>
          </w:tcPr>
          <w:p w14:paraId="54C2E34E"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53970DB0"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13,028.00 </w:t>
            </w:r>
          </w:p>
        </w:tc>
        <w:tc>
          <w:tcPr>
            <w:tcW w:w="211" w:type="pct"/>
            <w:tcBorders>
              <w:top w:val="nil"/>
              <w:left w:val="nil"/>
              <w:bottom w:val="single" w:sz="4" w:space="0" w:color="auto"/>
              <w:right w:val="single" w:sz="4" w:space="0" w:color="auto"/>
            </w:tcBorders>
            <w:vAlign w:val="center"/>
            <w:hideMark/>
          </w:tcPr>
          <w:p w14:paraId="64F4F76C"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33</w:t>
            </w:r>
          </w:p>
        </w:tc>
      </w:tr>
      <w:tr w:rsidR="00427DF8" w:rsidRPr="00427DF8" w14:paraId="7159F0D6" w14:textId="77777777" w:rsidTr="008D1647">
        <w:trPr>
          <w:gridAfter w:val="1"/>
          <w:wAfter w:w="79" w:type="pct"/>
          <w:trHeight w:val="300"/>
        </w:trPr>
        <w:tc>
          <w:tcPr>
            <w:tcW w:w="383" w:type="pct"/>
            <w:vMerge/>
            <w:tcBorders>
              <w:top w:val="nil"/>
              <w:left w:val="single" w:sz="4" w:space="0" w:color="auto"/>
              <w:bottom w:val="single" w:sz="4" w:space="0" w:color="auto"/>
              <w:right w:val="single" w:sz="4" w:space="0" w:color="auto"/>
            </w:tcBorders>
            <w:vAlign w:val="center"/>
            <w:hideMark/>
          </w:tcPr>
          <w:p w14:paraId="2BEABB58"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6721DE0E"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1950BD0B"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49710F6F"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nil"/>
            </w:tcBorders>
            <w:vAlign w:val="center"/>
            <w:hideMark/>
          </w:tcPr>
          <w:p w14:paraId="1169F742"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single" w:sz="4" w:space="0" w:color="auto"/>
              <w:bottom w:val="single" w:sz="4" w:space="0" w:color="auto"/>
              <w:right w:val="single" w:sz="4" w:space="0" w:color="auto"/>
            </w:tcBorders>
            <w:vAlign w:val="center"/>
            <w:hideMark/>
          </w:tcPr>
          <w:p w14:paraId="293F61F7"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75700</w:t>
            </w:r>
          </w:p>
        </w:tc>
        <w:tc>
          <w:tcPr>
            <w:tcW w:w="728" w:type="pct"/>
            <w:tcBorders>
              <w:top w:val="nil"/>
              <w:left w:val="nil"/>
              <w:bottom w:val="single" w:sz="4" w:space="0" w:color="auto"/>
              <w:right w:val="single" w:sz="4" w:space="0" w:color="auto"/>
            </w:tcBorders>
            <w:vAlign w:val="center"/>
            <w:hideMark/>
          </w:tcPr>
          <w:p w14:paraId="7F9E030A"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Training, workshops and conferences </w:t>
            </w:r>
          </w:p>
        </w:tc>
        <w:tc>
          <w:tcPr>
            <w:tcW w:w="283" w:type="pct"/>
            <w:tcBorders>
              <w:top w:val="nil"/>
              <w:left w:val="nil"/>
              <w:bottom w:val="single" w:sz="4" w:space="0" w:color="auto"/>
              <w:right w:val="single" w:sz="4" w:space="0" w:color="auto"/>
            </w:tcBorders>
            <w:vAlign w:val="center"/>
            <w:hideMark/>
          </w:tcPr>
          <w:p w14:paraId="6BE78D51"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2D2551D7"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6,000.00 </w:t>
            </w:r>
          </w:p>
        </w:tc>
        <w:tc>
          <w:tcPr>
            <w:tcW w:w="317" w:type="pct"/>
            <w:tcBorders>
              <w:top w:val="nil"/>
              <w:left w:val="nil"/>
              <w:bottom w:val="single" w:sz="4" w:space="0" w:color="auto"/>
              <w:right w:val="single" w:sz="4" w:space="0" w:color="auto"/>
            </w:tcBorders>
            <w:vAlign w:val="center"/>
            <w:hideMark/>
          </w:tcPr>
          <w:p w14:paraId="0BC170DD"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31,000.00 </w:t>
            </w:r>
          </w:p>
        </w:tc>
        <w:tc>
          <w:tcPr>
            <w:tcW w:w="317" w:type="pct"/>
            <w:tcBorders>
              <w:top w:val="nil"/>
              <w:left w:val="nil"/>
              <w:bottom w:val="single" w:sz="4" w:space="0" w:color="auto"/>
              <w:right w:val="single" w:sz="4" w:space="0" w:color="auto"/>
            </w:tcBorders>
            <w:vAlign w:val="center"/>
            <w:hideMark/>
          </w:tcPr>
          <w:p w14:paraId="171373E7"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21,000.00 </w:t>
            </w:r>
          </w:p>
        </w:tc>
        <w:tc>
          <w:tcPr>
            <w:tcW w:w="317" w:type="pct"/>
            <w:tcBorders>
              <w:top w:val="nil"/>
              <w:left w:val="nil"/>
              <w:bottom w:val="single" w:sz="4" w:space="0" w:color="auto"/>
              <w:right w:val="single" w:sz="4" w:space="0" w:color="auto"/>
            </w:tcBorders>
            <w:vAlign w:val="center"/>
            <w:hideMark/>
          </w:tcPr>
          <w:p w14:paraId="60521F6F"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32,500.00 </w:t>
            </w:r>
          </w:p>
        </w:tc>
        <w:tc>
          <w:tcPr>
            <w:tcW w:w="283" w:type="pct"/>
            <w:tcBorders>
              <w:top w:val="nil"/>
              <w:left w:val="nil"/>
              <w:bottom w:val="single" w:sz="4" w:space="0" w:color="auto"/>
              <w:right w:val="single" w:sz="4" w:space="0" w:color="auto"/>
            </w:tcBorders>
            <w:vAlign w:val="center"/>
            <w:hideMark/>
          </w:tcPr>
          <w:p w14:paraId="498CE035"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3C8226E6"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90,500.00 </w:t>
            </w:r>
          </w:p>
        </w:tc>
        <w:tc>
          <w:tcPr>
            <w:tcW w:w="211" w:type="pct"/>
            <w:tcBorders>
              <w:top w:val="nil"/>
              <w:left w:val="nil"/>
              <w:bottom w:val="single" w:sz="4" w:space="0" w:color="auto"/>
              <w:right w:val="single" w:sz="4" w:space="0" w:color="auto"/>
            </w:tcBorders>
            <w:vAlign w:val="center"/>
            <w:hideMark/>
          </w:tcPr>
          <w:p w14:paraId="681B10A1"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34</w:t>
            </w:r>
          </w:p>
        </w:tc>
      </w:tr>
      <w:tr w:rsidR="00427DF8" w:rsidRPr="00427DF8" w14:paraId="63B3607B" w14:textId="77777777" w:rsidTr="008D1647">
        <w:trPr>
          <w:gridAfter w:val="1"/>
          <w:wAfter w:w="79" w:type="pct"/>
          <w:trHeight w:val="289"/>
        </w:trPr>
        <w:tc>
          <w:tcPr>
            <w:tcW w:w="383" w:type="pct"/>
            <w:vMerge/>
            <w:tcBorders>
              <w:top w:val="nil"/>
              <w:left w:val="single" w:sz="4" w:space="0" w:color="auto"/>
              <w:bottom w:val="single" w:sz="4" w:space="0" w:color="auto"/>
              <w:right w:val="single" w:sz="4" w:space="0" w:color="auto"/>
            </w:tcBorders>
            <w:vAlign w:val="center"/>
            <w:hideMark/>
          </w:tcPr>
          <w:p w14:paraId="227947B7"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21C108A1"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0574D777"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tcBorders>
              <w:top w:val="nil"/>
              <w:left w:val="nil"/>
              <w:bottom w:val="single" w:sz="4" w:space="0" w:color="auto"/>
              <w:right w:val="single" w:sz="4" w:space="0" w:color="auto"/>
            </w:tcBorders>
            <w:shd w:val="clear" w:color="000000" w:fill="92D050"/>
            <w:vAlign w:val="center"/>
            <w:hideMark/>
          </w:tcPr>
          <w:p w14:paraId="6E7AB4F0" w14:textId="77777777" w:rsidR="00427DF8" w:rsidRPr="00427DF8" w:rsidRDefault="00427DF8" w:rsidP="00427DF8">
            <w:pPr>
              <w:spacing w:after="0" w:line="240" w:lineRule="auto"/>
              <w:rPr>
                <w:rFonts w:eastAsia="Times New Roman"/>
                <w:b/>
                <w:bCs/>
                <w:color w:val="000000"/>
                <w:sz w:val="18"/>
                <w:szCs w:val="18"/>
                <w:lang w:val="en-US" w:eastAsia="en-US"/>
              </w:rPr>
            </w:pPr>
            <w:r w:rsidRPr="00427DF8">
              <w:rPr>
                <w:rFonts w:eastAsia="Times New Roman"/>
                <w:b/>
                <w:bCs/>
                <w:color w:val="000000"/>
                <w:sz w:val="18"/>
                <w:szCs w:val="18"/>
                <w:lang w:val="en-US" w:eastAsia="en-US"/>
              </w:rPr>
              <w:t> </w:t>
            </w:r>
          </w:p>
        </w:tc>
        <w:tc>
          <w:tcPr>
            <w:tcW w:w="254" w:type="pct"/>
            <w:tcBorders>
              <w:top w:val="nil"/>
              <w:left w:val="nil"/>
              <w:bottom w:val="single" w:sz="4" w:space="0" w:color="auto"/>
              <w:right w:val="single" w:sz="4" w:space="0" w:color="auto"/>
            </w:tcBorders>
            <w:shd w:val="clear" w:color="000000" w:fill="92D050"/>
            <w:vAlign w:val="center"/>
            <w:hideMark/>
          </w:tcPr>
          <w:p w14:paraId="747C4AAE" w14:textId="77777777" w:rsidR="00427DF8" w:rsidRPr="00427DF8" w:rsidRDefault="00427DF8" w:rsidP="00427DF8">
            <w:pPr>
              <w:spacing w:after="0" w:line="240" w:lineRule="auto"/>
              <w:rPr>
                <w:rFonts w:eastAsia="Times New Roman"/>
                <w:b/>
                <w:bCs/>
                <w:color w:val="000000"/>
                <w:sz w:val="18"/>
                <w:szCs w:val="18"/>
                <w:lang w:val="en-US" w:eastAsia="en-US"/>
              </w:rPr>
            </w:pPr>
            <w:r w:rsidRPr="00427DF8">
              <w:rPr>
                <w:rFonts w:eastAsia="Times New Roman"/>
                <w:b/>
                <w:bCs/>
                <w:color w:val="000000"/>
                <w:sz w:val="18"/>
                <w:szCs w:val="18"/>
                <w:lang w:val="en-US" w:eastAsia="en-US"/>
              </w:rPr>
              <w:t> </w:t>
            </w:r>
          </w:p>
        </w:tc>
        <w:tc>
          <w:tcPr>
            <w:tcW w:w="997" w:type="pct"/>
            <w:gridSpan w:val="2"/>
            <w:tcBorders>
              <w:top w:val="single" w:sz="4" w:space="0" w:color="auto"/>
              <w:left w:val="nil"/>
              <w:bottom w:val="single" w:sz="4" w:space="0" w:color="auto"/>
              <w:right w:val="single" w:sz="4" w:space="0" w:color="000000"/>
            </w:tcBorders>
            <w:shd w:val="clear" w:color="000000" w:fill="92D050"/>
            <w:vAlign w:val="center"/>
            <w:hideMark/>
          </w:tcPr>
          <w:p w14:paraId="5F49D9D7" w14:textId="77777777" w:rsidR="00427DF8" w:rsidRPr="00427DF8" w:rsidRDefault="00427DF8"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Sub Total GEF</w:t>
            </w:r>
          </w:p>
        </w:tc>
        <w:tc>
          <w:tcPr>
            <w:tcW w:w="283" w:type="pct"/>
            <w:tcBorders>
              <w:top w:val="nil"/>
              <w:left w:val="nil"/>
              <w:bottom w:val="single" w:sz="4" w:space="0" w:color="auto"/>
              <w:right w:val="single" w:sz="4" w:space="0" w:color="auto"/>
            </w:tcBorders>
            <w:shd w:val="clear" w:color="000000" w:fill="92D050"/>
            <w:vAlign w:val="center"/>
            <w:hideMark/>
          </w:tcPr>
          <w:p w14:paraId="2F36E4D9" w14:textId="77777777" w:rsidR="00427DF8" w:rsidRPr="00427DF8" w:rsidRDefault="00427DF8"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   </w:t>
            </w:r>
          </w:p>
        </w:tc>
        <w:tc>
          <w:tcPr>
            <w:tcW w:w="283" w:type="pct"/>
            <w:tcBorders>
              <w:top w:val="nil"/>
              <w:left w:val="nil"/>
              <w:bottom w:val="single" w:sz="4" w:space="0" w:color="auto"/>
              <w:right w:val="single" w:sz="4" w:space="0" w:color="auto"/>
            </w:tcBorders>
            <w:shd w:val="clear" w:color="000000" w:fill="92D050"/>
            <w:vAlign w:val="center"/>
            <w:hideMark/>
          </w:tcPr>
          <w:p w14:paraId="67F62734" w14:textId="77777777" w:rsidR="00427DF8" w:rsidRPr="00427DF8" w:rsidRDefault="00427DF8"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243,700.00 </w:t>
            </w:r>
          </w:p>
        </w:tc>
        <w:tc>
          <w:tcPr>
            <w:tcW w:w="317" w:type="pct"/>
            <w:tcBorders>
              <w:top w:val="nil"/>
              <w:left w:val="nil"/>
              <w:bottom w:val="single" w:sz="4" w:space="0" w:color="auto"/>
              <w:right w:val="single" w:sz="4" w:space="0" w:color="auto"/>
            </w:tcBorders>
            <w:shd w:val="clear" w:color="000000" w:fill="92D050"/>
            <w:vAlign w:val="center"/>
            <w:hideMark/>
          </w:tcPr>
          <w:p w14:paraId="694AF5F1" w14:textId="77777777" w:rsidR="00427DF8" w:rsidRPr="00427DF8" w:rsidRDefault="00427DF8"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332,728.00 </w:t>
            </w:r>
          </w:p>
        </w:tc>
        <w:tc>
          <w:tcPr>
            <w:tcW w:w="317" w:type="pct"/>
            <w:tcBorders>
              <w:top w:val="nil"/>
              <w:left w:val="nil"/>
              <w:bottom w:val="single" w:sz="4" w:space="0" w:color="auto"/>
              <w:right w:val="single" w:sz="4" w:space="0" w:color="auto"/>
            </w:tcBorders>
            <w:shd w:val="clear" w:color="000000" w:fill="92D050"/>
            <w:vAlign w:val="center"/>
            <w:hideMark/>
          </w:tcPr>
          <w:p w14:paraId="7BCA08A5" w14:textId="77777777" w:rsidR="00427DF8" w:rsidRPr="00427DF8" w:rsidRDefault="00427DF8"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377,482.00 </w:t>
            </w:r>
          </w:p>
        </w:tc>
        <w:tc>
          <w:tcPr>
            <w:tcW w:w="317" w:type="pct"/>
            <w:tcBorders>
              <w:top w:val="nil"/>
              <w:left w:val="nil"/>
              <w:bottom w:val="single" w:sz="4" w:space="0" w:color="auto"/>
              <w:right w:val="single" w:sz="4" w:space="0" w:color="auto"/>
            </w:tcBorders>
            <w:shd w:val="clear" w:color="000000" w:fill="92D050"/>
            <w:vAlign w:val="center"/>
            <w:hideMark/>
          </w:tcPr>
          <w:p w14:paraId="10BAA9F1" w14:textId="77777777" w:rsidR="00427DF8" w:rsidRPr="00427DF8" w:rsidRDefault="00427DF8"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300,200.00 </w:t>
            </w:r>
          </w:p>
        </w:tc>
        <w:tc>
          <w:tcPr>
            <w:tcW w:w="283" w:type="pct"/>
            <w:tcBorders>
              <w:top w:val="nil"/>
              <w:left w:val="nil"/>
              <w:bottom w:val="single" w:sz="4" w:space="0" w:color="auto"/>
              <w:right w:val="single" w:sz="4" w:space="0" w:color="auto"/>
            </w:tcBorders>
            <w:shd w:val="clear" w:color="000000" w:fill="92D050"/>
            <w:vAlign w:val="center"/>
            <w:hideMark/>
          </w:tcPr>
          <w:p w14:paraId="641629BD" w14:textId="77777777" w:rsidR="00427DF8" w:rsidRPr="00427DF8" w:rsidRDefault="00427DF8"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   </w:t>
            </w:r>
          </w:p>
        </w:tc>
        <w:tc>
          <w:tcPr>
            <w:tcW w:w="352" w:type="pct"/>
            <w:tcBorders>
              <w:top w:val="nil"/>
              <w:left w:val="nil"/>
              <w:bottom w:val="single" w:sz="4" w:space="0" w:color="auto"/>
              <w:right w:val="single" w:sz="4" w:space="0" w:color="auto"/>
            </w:tcBorders>
            <w:shd w:val="clear" w:color="000000" w:fill="92D050"/>
            <w:vAlign w:val="center"/>
            <w:hideMark/>
          </w:tcPr>
          <w:p w14:paraId="414C116D" w14:textId="77777777" w:rsidR="00427DF8" w:rsidRPr="00427DF8" w:rsidRDefault="00427DF8"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1,254,110.00 </w:t>
            </w:r>
          </w:p>
        </w:tc>
        <w:tc>
          <w:tcPr>
            <w:tcW w:w="211" w:type="pct"/>
            <w:tcBorders>
              <w:top w:val="nil"/>
              <w:left w:val="nil"/>
              <w:bottom w:val="single" w:sz="4" w:space="0" w:color="auto"/>
              <w:right w:val="single" w:sz="4" w:space="0" w:color="auto"/>
            </w:tcBorders>
            <w:shd w:val="clear" w:color="000000" w:fill="92D050"/>
            <w:vAlign w:val="center"/>
            <w:hideMark/>
          </w:tcPr>
          <w:p w14:paraId="1E454D4E"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w:t>
            </w:r>
          </w:p>
        </w:tc>
      </w:tr>
      <w:tr w:rsidR="00427DF8" w:rsidRPr="00427DF8" w14:paraId="2AE6C230" w14:textId="77777777" w:rsidTr="008D1647">
        <w:trPr>
          <w:gridAfter w:val="1"/>
          <w:wAfter w:w="79" w:type="pct"/>
          <w:trHeight w:val="300"/>
        </w:trPr>
        <w:tc>
          <w:tcPr>
            <w:tcW w:w="383" w:type="pct"/>
            <w:vMerge/>
            <w:tcBorders>
              <w:top w:val="nil"/>
              <w:left w:val="single" w:sz="4" w:space="0" w:color="auto"/>
              <w:bottom w:val="single" w:sz="4" w:space="0" w:color="auto"/>
              <w:right w:val="single" w:sz="4" w:space="0" w:color="auto"/>
            </w:tcBorders>
            <w:vAlign w:val="center"/>
            <w:hideMark/>
          </w:tcPr>
          <w:p w14:paraId="738942E5"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73D840D3"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4A3BE5BF"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val="restart"/>
            <w:tcBorders>
              <w:top w:val="nil"/>
              <w:left w:val="single" w:sz="4" w:space="0" w:color="auto"/>
              <w:bottom w:val="single" w:sz="4" w:space="0" w:color="000000"/>
              <w:right w:val="single" w:sz="4" w:space="0" w:color="auto"/>
            </w:tcBorders>
            <w:vAlign w:val="center"/>
            <w:hideMark/>
          </w:tcPr>
          <w:p w14:paraId="76E9BD68"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04000</w:t>
            </w:r>
          </w:p>
        </w:tc>
        <w:tc>
          <w:tcPr>
            <w:tcW w:w="254" w:type="pct"/>
            <w:vMerge w:val="restart"/>
            <w:tcBorders>
              <w:top w:val="nil"/>
              <w:left w:val="single" w:sz="4" w:space="0" w:color="auto"/>
              <w:bottom w:val="single" w:sz="4" w:space="0" w:color="000000"/>
              <w:right w:val="single" w:sz="4" w:space="0" w:color="auto"/>
            </w:tcBorders>
            <w:vAlign w:val="center"/>
            <w:hideMark/>
          </w:tcPr>
          <w:p w14:paraId="001423A4"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00012</w:t>
            </w:r>
          </w:p>
        </w:tc>
        <w:tc>
          <w:tcPr>
            <w:tcW w:w="269" w:type="pct"/>
            <w:tcBorders>
              <w:top w:val="nil"/>
              <w:left w:val="nil"/>
              <w:bottom w:val="single" w:sz="4" w:space="0" w:color="auto"/>
              <w:right w:val="single" w:sz="4" w:space="0" w:color="auto"/>
            </w:tcBorders>
            <w:vAlign w:val="center"/>
            <w:hideMark/>
          </w:tcPr>
          <w:p w14:paraId="1FA7EA93"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72600</w:t>
            </w:r>
          </w:p>
        </w:tc>
        <w:tc>
          <w:tcPr>
            <w:tcW w:w="728" w:type="pct"/>
            <w:tcBorders>
              <w:top w:val="nil"/>
              <w:left w:val="nil"/>
              <w:bottom w:val="single" w:sz="4" w:space="0" w:color="auto"/>
              <w:right w:val="single" w:sz="4" w:space="0" w:color="auto"/>
            </w:tcBorders>
            <w:vAlign w:val="center"/>
            <w:hideMark/>
          </w:tcPr>
          <w:p w14:paraId="07DED263" w14:textId="77777777" w:rsidR="00427DF8" w:rsidRPr="00427DF8" w:rsidRDefault="00427DF8" w:rsidP="00427DF8">
            <w:pPr>
              <w:spacing w:after="0" w:line="240" w:lineRule="auto"/>
              <w:rPr>
                <w:rFonts w:eastAsia="Times New Roman"/>
                <w:sz w:val="18"/>
                <w:szCs w:val="18"/>
                <w:lang w:val="en-US" w:eastAsia="en-US"/>
              </w:rPr>
            </w:pPr>
            <w:r w:rsidRPr="00427DF8">
              <w:rPr>
                <w:rFonts w:eastAsia="Times New Roman"/>
                <w:sz w:val="18"/>
                <w:szCs w:val="18"/>
                <w:lang w:val="en-US" w:eastAsia="en-US"/>
              </w:rPr>
              <w:t>Grant </w:t>
            </w:r>
          </w:p>
        </w:tc>
        <w:tc>
          <w:tcPr>
            <w:tcW w:w="283" w:type="pct"/>
            <w:tcBorders>
              <w:top w:val="nil"/>
              <w:left w:val="nil"/>
              <w:bottom w:val="single" w:sz="4" w:space="0" w:color="auto"/>
              <w:right w:val="single" w:sz="4" w:space="0" w:color="auto"/>
            </w:tcBorders>
            <w:vAlign w:val="center"/>
            <w:hideMark/>
          </w:tcPr>
          <w:p w14:paraId="0A39DDEF"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w:t>
            </w:r>
          </w:p>
        </w:tc>
        <w:tc>
          <w:tcPr>
            <w:tcW w:w="283" w:type="pct"/>
            <w:tcBorders>
              <w:top w:val="nil"/>
              <w:left w:val="nil"/>
              <w:bottom w:val="single" w:sz="4" w:space="0" w:color="auto"/>
              <w:right w:val="single" w:sz="4" w:space="0" w:color="auto"/>
            </w:tcBorders>
            <w:vAlign w:val="center"/>
            <w:hideMark/>
          </w:tcPr>
          <w:p w14:paraId="6903D59D"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5326E64A"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25,000.00 </w:t>
            </w:r>
          </w:p>
        </w:tc>
        <w:tc>
          <w:tcPr>
            <w:tcW w:w="317" w:type="pct"/>
            <w:tcBorders>
              <w:top w:val="nil"/>
              <w:left w:val="nil"/>
              <w:bottom w:val="single" w:sz="4" w:space="0" w:color="auto"/>
              <w:right w:val="single" w:sz="4" w:space="0" w:color="auto"/>
            </w:tcBorders>
            <w:vAlign w:val="center"/>
            <w:hideMark/>
          </w:tcPr>
          <w:p w14:paraId="165D8133"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25,000.00 </w:t>
            </w:r>
          </w:p>
        </w:tc>
        <w:tc>
          <w:tcPr>
            <w:tcW w:w="317" w:type="pct"/>
            <w:tcBorders>
              <w:top w:val="nil"/>
              <w:left w:val="nil"/>
              <w:bottom w:val="single" w:sz="4" w:space="0" w:color="auto"/>
              <w:right w:val="single" w:sz="4" w:space="0" w:color="auto"/>
            </w:tcBorders>
            <w:vAlign w:val="center"/>
            <w:hideMark/>
          </w:tcPr>
          <w:p w14:paraId="1C322C9D"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w:t>
            </w:r>
          </w:p>
        </w:tc>
        <w:tc>
          <w:tcPr>
            <w:tcW w:w="283" w:type="pct"/>
            <w:tcBorders>
              <w:top w:val="nil"/>
              <w:left w:val="nil"/>
              <w:bottom w:val="single" w:sz="4" w:space="0" w:color="auto"/>
              <w:right w:val="single" w:sz="4" w:space="0" w:color="auto"/>
            </w:tcBorders>
            <w:vAlign w:val="center"/>
            <w:hideMark/>
          </w:tcPr>
          <w:p w14:paraId="4BE64785"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w:t>
            </w:r>
          </w:p>
        </w:tc>
        <w:tc>
          <w:tcPr>
            <w:tcW w:w="352" w:type="pct"/>
            <w:tcBorders>
              <w:top w:val="nil"/>
              <w:left w:val="nil"/>
              <w:bottom w:val="single" w:sz="4" w:space="0" w:color="auto"/>
              <w:right w:val="single" w:sz="4" w:space="0" w:color="auto"/>
            </w:tcBorders>
            <w:vAlign w:val="center"/>
            <w:hideMark/>
          </w:tcPr>
          <w:p w14:paraId="5C5293E7" w14:textId="77777777" w:rsidR="00427DF8" w:rsidRPr="00427DF8" w:rsidRDefault="00427DF8" w:rsidP="00427DF8">
            <w:pPr>
              <w:spacing w:after="0" w:line="240" w:lineRule="auto"/>
              <w:jc w:val="right"/>
              <w:rPr>
                <w:rFonts w:eastAsia="Times New Roman"/>
                <w:b/>
                <w:bCs/>
                <w:sz w:val="18"/>
                <w:szCs w:val="18"/>
                <w:lang w:val="en-US" w:eastAsia="en-US"/>
              </w:rPr>
            </w:pPr>
            <w:r w:rsidRPr="00427DF8">
              <w:rPr>
                <w:rFonts w:eastAsia="Times New Roman"/>
                <w:b/>
                <w:bCs/>
                <w:sz w:val="18"/>
                <w:szCs w:val="18"/>
                <w:lang w:val="en-US" w:eastAsia="en-US"/>
              </w:rPr>
              <w:t xml:space="preserve">         50,000.00 </w:t>
            </w:r>
          </w:p>
        </w:tc>
        <w:tc>
          <w:tcPr>
            <w:tcW w:w="211" w:type="pct"/>
            <w:tcBorders>
              <w:top w:val="nil"/>
              <w:left w:val="nil"/>
              <w:bottom w:val="single" w:sz="4" w:space="0" w:color="auto"/>
              <w:right w:val="single" w:sz="4" w:space="0" w:color="auto"/>
            </w:tcBorders>
            <w:vAlign w:val="center"/>
            <w:hideMark/>
          </w:tcPr>
          <w:p w14:paraId="6700F5E8"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35</w:t>
            </w:r>
          </w:p>
        </w:tc>
      </w:tr>
      <w:tr w:rsidR="00427DF8" w:rsidRPr="00427DF8" w14:paraId="4A396DB2" w14:textId="77777777" w:rsidTr="008D1647">
        <w:trPr>
          <w:gridAfter w:val="1"/>
          <w:wAfter w:w="79" w:type="pct"/>
          <w:trHeight w:val="289"/>
        </w:trPr>
        <w:tc>
          <w:tcPr>
            <w:tcW w:w="383" w:type="pct"/>
            <w:vMerge/>
            <w:tcBorders>
              <w:top w:val="nil"/>
              <w:left w:val="single" w:sz="4" w:space="0" w:color="auto"/>
              <w:bottom w:val="single" w:sz="4" w:space="0" w:color="auto"/>
              <w:right w:val="single" w:sz="4" w:space="0" w:color="auto"/>
            </w:tcBorders>
            <w:vAlign w:val="center"/>
            <w:hideMark/>
          </w:tcPr>
          <w:p w14:paraId="71B47D68"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343BF40C"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7B0E2E2C"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6A0E4891"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4102C2CF"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997" w:type="pct"/>
            <w:gridSpan w:val="2"/>
            <w:tcBorders>
              <w:top w:val="single" w:sz="4" w:space="0" w:color="auto"/>
              <w:left w:val="nil"/>
              <w:bottom w:val="single" w:sz="4" w:space="0" w:color="auto"/>
              <w:right w:val="single" w:sz="4" w:space="0" w:color="000000"/>
            </w:tcBorders>
            <w:shd w:val="clear" w:color="000000" w:fill="00B0F0"/>
            <w:vAlign w:val="center"/>
            <w:hideMark/>
          </w:tcPr>
          <w:p w14:paraId="21F85AC4"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Sub Total UNDP</w:t>
            </w:r>
          </w:p>
        </w:tc>
        <w:tc>
          <w:tcPr>
            <w:tcW w:w="283" w:type="pct"/>
            <w:tcBorders>
              <w:top w:val="nil"/>
              <w:left w:val="nil"/>
              <w:bottom w:val="single" w:sz="4" w:space="0" w:color="auto"/>
              <w:right w:val="single" w:sz="4" w:space="0" w:color="auto"/>
            </w:tcBorders>
            <w:shd w:val="clear" w:color="000000" w:fill="00B0F0"/>
            <w:vAlign w:val="center"/>
            <w:hideMark/>
          </w:tcPr>
          <w:p w14:paraId="4FBEC354"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283" w:type="pct"/>
            <w:tcBorders>
              <w:top w:val="nil"/>
              <w:left w:val="nil"/>
              <w:bottom w:val="single" w:sz="4" w:space="0" w:color="auto"/>
              <w:right w:val="single" w:sz="4" w:space="0" w:color="auto"/>
            </w:tcBorders>
            <w:shd w:val="clear" w:color="000000" w:fill="00B0F0"/>
            <w:vAlign w:val="center"/>
            <w:hideMark/>
          </w:tcPr>
          <w:p w14:paraId="64585B35"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shd w:val="clear" w:color="000000" w:fill="00B0F0"/>
            <w:vAlign w:val="center"/>
            <w:hideMark/>
          </w:tcPr>
          <w:p w14:paraId="2CAFFD76"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25,000.00 </w:t>
            </w:r>
          </w:p>
        </w:tc>
        <w:tc>
          <w:tcPr>
            <w:tcW w:w="317" w:type="pct"/>
            <w:tcBorders>
              <w:top w:val="nil"/>
              <w:left w:val="nil"/>
              <w:bottom w:val="single" w:sz="4" w:space="0" w:color="auto"/>
              <w:right w:val="single" w:sz="4" w:space="0" w:color="auto"/>
            </w:tcBorders>
            <w:shd w:val="clear" w:color="000000" w:fill="00B0F0"/>
            <w:vAlign w:val="center"/>
            <w:hideMark/>
          </w:tcPr>
          <w:p w14:paraId="769B5F59"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25,000.00 </w:t>
            </w:r>
          </w:p>
        </w:tc>
        <w:tc>
          <w:tcPr>
            <w:tcW w:w="317" w:type="pct"/>
            <w:tcBorders>
              <w:top w:val="nil"/>
              <w:left w:val="nil"/>
              <w:bottom w:val="single" w:sz="4" w:space="0" w:color="auto"/>
              <w:right w:val="single" w:sz="4" w:space="0" w:color="auto"/>
            </w:tcBorders>
            <w:shd w:val="clear" w:color="000000" w:fill="00B0F0"/>
            <w:vAlign w:val="center"/>
            <w:hideMark/>
          </w:tcPr>
          <w:p w14:paraId="41A5BE1C"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283" w:type="pct"/>
            <w:tcBorders>
              <w:top w:val="nil"/>
              <w:left w:val="nil"/>
              <w:bottom w:val="single" w:sz="4" w:space="0" w:color="auto"/>
              <w:right w:val="single" w:sz="4" w:space="0" w:color="auto"/>
            </w:tcBorders>
            <w:shd w:val="clear" w:color="000000" w:fill="00B0F0"/>
            <w:vAlign w:val="center"/>
            <w:hideMark/>
          </w:tcPr>
          <w:p w14:paraId="0E7B1DDA"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352" w:type="pct"/>
            <w:tcBorders>
              <w:top w:val="nil"/>
              <w:left w:val="nil"/>
              <w:bottom w:val="single" w:sz="4" w:space="0" w:color="auto"/>
              <w:right w:val="single" w:sz="4" w:space="0" w:color="auto"/>
            </w:tcBorders>
            <w:shd w:val="clear" w:color="000000" w:fill="00B0F0"/>
            <w:vAlign w:val="center"/>
            <w:hideMark/>
          </w:tcPr>
          <w:p w14:paraId="2434FA55"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50,000.00 </w:t>
            </w:r>
          </w:p>
        </w:tc>
        <w:tc>
          <w:tcPr>
            <w:tcW w:w="211" w:type="pct"/>
            <w:tcBorders>
              <w:top w:val="nil"/>
              <w:left w:val="nil"/>
              <w:bottom w:val="single" w:sz="4" w:space="0" w:color="auto"/>
              <w:right w:val="single" w:sz="4" w:space="0" w:color="auto"/>
            </w:tcBorders>
            <w:shd w:val="clear" w:color="000000" w:fill="00B0F0"/>
            <w:vAlign w:val="center"/>
            <w:hideMark/>
          </w:tcPr>
          <w:p w14:paraId="1F7442F5"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r>
      <w:tr w:rsidR="00427DF8" w:rsidRPr="00427DF8" w14:paraId="3A5269B4" w14:textId="77777777" w:rsidTr="008D1647">
        <w:trPr>
          <w:gridAfter w:val="1"/>
          <w:wAfter w:w="79" w:type="pct"/>
          <w:trHeight w:val="289"/>
        </w:trPr>
        <w:tc>
          <w:tcPr>
            <w:tcW w:w="383" w:type="pct"/>
            <w:vMerge/>
            <w:tcBorders>
              <w:top w:val="nil"/>
              <w:left w:val="single" w:sz="4" w:space="0" w:color="auto"/>
              <w:bottom w:val="single" w:sz="4" w:space="0" w:color="auto"/>
              <w:right w:val="single" w:sz="4" w:space="0" w:color="auto"/>
            </w:tcBorders>
            <w:vAlign w:val="center"/>
            <w:hideMark/>
          </w:tcPr>
          <w:p w14:paraId="18322473"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56AD2100"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4AD7D2F1" w14:textId="77777777" w:rsidR="00427DF8" w:rsidRPr="00427DF8" w:rsidRDefault="00427DF8" w:rsidP="00427DF8">
            <w:pPr>
              <w:spacing w:after="0" w:line="240" w:lineRule="auto"/>
              <w:rPr>
                <w:rFonts w:eastAsia="Times New Roman"/>
                <w:color w:val="000000"/>
                <w:sz w:val="18"/>
                <w:szCs w:val="18"/>
                <w:lang w:val="en-US" w:eastAsia="en-US"/>
              </w:rPr>
            </w:pPr>
          </w:p>
        </w:tc>
        <w:tc>
          <w:tcPr>
            <w:tcW w:w="1506" w:type="pct"/>
            <w:gridSpan w:val="4"/>
            <w:tcBorders>
              <w:top w:val="single" w:sz="4" w:space="0" w:color="auto"/>
              <w:left w:val="nil"/>
              <w:bottom w:val="single" w:sz="4" w:space="0" w:color="auto"/>
              <w:right w:val="single" w:sz="4" w:space="0" w:color="000000"/>
            </w:tcBorders>
            <w:shd w:val="clear" w:color="000000" w:fill="FFCC66"/>
            <w:vAlign w:val="center"/>
            <w:hideMark/>
          </w:tcPr>
          <w:p w14:paraId="54C44E80"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Sub Total Outcome 3.1</w:t>
            </w:r>
          </w:p>
        </w:tc>
        <w:tc>
          <w:tcPr>
            <w:tcW w:w="283" w:type="pct"/>
            <w:tcBorders>
              <w:top w:val="nil"/>
              <w:left w:val="nil"/>
              <w:bottom w:val="single" w:sz="4" w:space="0" w:color="auto"/>
              <w:right w:val="single" w:sz="4" w:space="0" w:color="auto"/>
            </w:tcBorders>
            <w:shd w:val="clear" w:color="000000" w:fill="FFCC66"/>
            <w:vAlign w:val="center"/>
            <w:hideMark/>
          </w:tcPr>
          <w:p w14:paraId="0A04745F"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   </w:t>
            </w:r>
          </w:p>
        </w:tc>
        <w:tc>
          <w:tcPr>
            <w:tcW w:w="283" w:type="pct"/>
            <w:tcBorders>
              <w:top w:val="nil"/>
              <w:left w:val="nil"/>
              <w:bottom w:val="single" w:sz="4" w:space="0" w:color="auto"/>
              <w:right w:val="single" w:sz="4" w:space="0" w:color="auto"/>
            </w:tcBorders>
            <w:shd w:val="clear" w:color="000000" w:fill="FFCC66"/>
            <w:vAlign w:val="center"/>
            <w:hideMark/>
          </w:tcPr>
          <w:p w14:paraId="67F11B41"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243,700.00 </w:t>
            </w:r>
          </w:p>
        </w:tc>
        <w:tc>
          <w:tcPr>
            <w:tcW w:w="317" w:type="pct"/>
            <w:tcBorders>
              <w:top w:val="nil"/>
              <w:left w:val="nil"/>
              <w:bottom w:val="single" w:sz="4" w:space="0" w:color="auto"/>
              <w:right w:val="single" w:sz="4" w:space="0" w:color="auto"/>
            </w:tcBorders>
            <w:shd w:val="clear" w:color="000000" w:fill="FFCC66"/>
            <w:vAlign w:val="center"/>
            <w:hideMark/>
          </w:tcPr>
          <w:p w14:paraId="27AF760A"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357,728.00 </w:t>
            </w:r>
          </w:p>
        </w:tc>
        <w:tc>
          <w:tcPr>
            <w:tcW w:w="317" w:type="pct"/>
            <w:tcBorders>
              <w:top w:val="nil"/>
              <w:left w:val="nil"/>
              <w:bottom w:val="single" w:sz="4" w:space="0" w:color="auto"/>
              <w:right w:val="single" w:sz="4" w:space="0" w:color="auto"/>
            </w:tcBorders>
            <w:shd w:val="clear" w:color="000000" w:fill="FFCC66"/>
            <w:vAlign w:val="center"/>
            <w:hideMark/>
          </w:tcPr>
          <w:p w14:paraId="115026EA"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402,482.00 </w:t>
            </w:r>
          </w:p>
        </w:tc>
        <w:tc>
          <w:tcPr>
            <w:tcW w:w="317" w:type="pct"/>
            <w:tcBorders>
              <w:top w:val="nil"/>
              <w:left w:val="nil"/>
              <w:bottom w:val="single" w:sz="4" w:space="0" w:color="auto"/>
              <w:right w:val="single" w:sz="4" w:space="0" w:color="auto"/>
            </w:tcBorders>
            <w:shd w:val="clear" w:color="000000" w:fill="FFCC66"/>
            <w:vAlign w:val="center"/>
            <w:hideMark/>
          </w:tcPr>
          <w:p w14:paraId="4AF1AB36"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300,200.00 </w:t>
            </w:r>
          </w:p>
        </w:tc>
        <w:tc>
          <w:tcPr>
            <w:tcW w:w="283" w:type="pct"/>
            <w:tcBorders>
              <w:top w:val="nil"/>
              <w:left w:val="nil"/>
              <w:bottom w:val="single" w:sz="4" w:space="0" w:color="auto"/>
              <w:right w:val="single" w:sz="4" w:space="0" w:color="auto"/>
            </w:tcBorders>
            <w:shd w:val="clear" w:color="000000" w:fill="FFCC66"/>
            <w:vAlign w:val="center"/>
            <w:hideMark/>
          </w:tcPr>
          <w:p w14:paraId="3442060B"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   </w:t>
            </w:r>
          </w:p>
        </w:tc>
        <w:tc>
          <w:tcPr>
            <w:tcW w:w="352" w:type="pct"/>
            <w:tcBorders>
              <w:top w:val="nil"/>
              <w:left w:val="nil"/>
              <w:bottom w:val="single" w:sz="4" w:space="0" w:color="auto"/>
              <w:right w:val="single" w:sz="4" w:space="0" w:color="auto"/>
            </w:tcBorders>
            <w:shd w:val="clear" w:color="000000" w:fill="FFCC66"/>
            <w:vAlign w:val="center"/>
            <w:hideMark/>
          </w:tcPr>
          <w:p w14:paraId="63EE9C26"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1,304,110.00 </w:t>
            </w:r>
          </w:p>
        </w:tc>
        <w:tc>
          <w:tcPr>
            <w:tcW w:w="211" w:type="pct"/>
            <w:tcBorders>
              <w:top w:val="nil"/>
              <w:left w:val="nil"/>
              <w:bottom w:val="single" w:sz="4" w:space="0" w:color="auto"/>
              <w:right w:val="single" w:sz="4" w:space="0" w:color="auto"/>
            </w:tcBorders>
            <w:shd w:val="clear" w:color="000000" w:fill="FFCC66"/>
            <w:vAlign w:val="center"/>
            <w:hideMark/>
          </w:tcPr>
          <w:p w14:paraId="53E95AEF"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r>
      <w:tr w:rsidR="00427DF8" w:rsidRPr="00427DF8" w14:paraId="656B5C0F" w14:textId="77777777" w:rsidTr="008D1647">
        <w:trPr>
          <w:gridAfter w:val="1"/>
          <w:wAfter w:w="79" w:type="pct"/>
          <w:trHeight w:val="289"/>
        </w:trPr>
        <w:tc>
          <w:tcPr>
            <w:tcW w:w="383" w:type="pct"/>
            <w:vMerge w:val="restart"/>
            <w:tcBorders>
              <w:top w:val="nil"/>
              <w:left w:val="single" w:sz="4" w:space="0" w:color="auto"/>
              <w:bottom w:val="single" w:sz="4" w:space="0" w:color="auto"/>
              <w:right w:val="single" w:sz="4" w:space="0" w:color="auto"/>
            </w:tcBorders>
            <w:vAlign w:val="center"/>
            <w:hideMark/>
          </w:tcPr>
          <w:p w14:paraId="06ADE0EE" w14:textId="77777777" w:rsidR="00427DF8" w:rsidRPr="00427DF8" w:rsidRDefault="00427DF8" w:rsidP="00427DF8">
            <w:pPr>
              <w:spacing w:after="0" w:line="240" w:lineRule="auto"/>
              <w:rPr>
                <w:rFonts w:eastAsia="Times New Roman"/>
                <w:b/>
                <w:bCs/>
                <w:color w:val="000000"/>
                <w:sz w:val="18"/>
                <w:szCs w:val="18"/>
                <w:lang w:val="en-US" w:eastAsia="en-US"/>
              </w:rPr>
            </w:pPr>
            <w:r w:rsidRPr="00427DF8">
              <w:rPr>
                <w:rFonts w:eastAsia="Times New Roman"/>
                <w:b/>
                <w:bCs/>
                <w:color w:val="000000"/>
                <w:sz w:val="18"/>
                <w:szCs w:val="18"/>
                <w:lang w:val="en-US" w:eastAsia="en-US"/>
              </w:rPr>
              <w:t>Component 4: Knowledge management and communication</w:t>
            </w:r>
          </w:p>
        </w:tc>
        <w:tc>
          <w:tcPr>
            <w:tcW w:w="370" w:type="pct"/>
            <w:vMerge w:val="restart"/>
            <w:tcBorders>
              <w:top w:val="nil"/>
              <w:left w:val="single" w:sz="4" w:space="0" w:color="auto"/>
              <w:bottom w:val="single" w:sz="4" w:space="0" w:color="000000"/>
              <w:right w:val="single" w:sz="4" w:space="0" w:color="auto"/>
            </w:tcBorders>
            <w:vAlign w:val="center"/>
            <w:hideMark/>
          </w:tcPr>
          <w:p w14:paraId="579AC953"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Outcome 4.1 Strategic knowledge management and gender-sensitive communication amplify the impact of the project and contribute to behavioral and institutional shifts toward sustainable urban development.</w:t>
            </w:r>
          </w:p>
        </w:tc>
        <w:tc>
          <w:tcPr>
            <w:tcW w:w="302" w:type="pct"/>
            <w:vMerge w:val="restart"/>
            <w:tcBorders>
              <w:top w:val="nil"/>
              <w:left w:val="single" w:sz="4" w:space="0" w:color="auto"/>
              <w:bottom w:val="single" w:sz="4" w:space="0" w:color="auto"/>
              <w:right w:val="single" w:sz="4" w:space="0" w:color="auto"/>
            </w:tcBorders>
            <w:vAlign w:val="center"/>
            <w:hideMark/>
          </w:tcPr>
          <w:p w14:paraId="682A5E33"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NDUPH</w:t>
            </w:r>
          </w:p>
        </w:tc>
        <w:tc>
          <w:tcPr>
            <w:tcW w:w="254" w:type="pct"/>
            <w:vMerge w:val="restart"/>
            <w:tcBorders>
              <w:top w:val="nil"/>
              <w:left w:val="single" w:sz="4" w:space="0" w:color="auto"/>
              <w:bottom w:val="nil"/>
              <w:right w:val="single" w:sz="4" w:space="0" w:color="auto"/>
            </w:tcBorders>
            <w:vAlign w:val="center"/>
            <w:hideMark/>
          </w:tcPr>
          <w:p w14:paraId="3C6CBDB1"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62000 </w:t>
            </w:r>
            <w:r w:rsidRPr="00427DF8">
              <w:rPr>
                <w:rFonts w:eastAsia="Times New Roman"/>
                <w:color w:val="000000"/>
                <w:sz w:val="18"/>
                <w:szCs w:val="18"/>
                <w:lang w:val="en-US" w:eastAsia="en-US"/>
              </w:rPr>
              <w:t> </w:t>
            </w:r>
          </w:p>
        </w:tc>
        <w:tc>
          <w:tcPr>
            <w:tcW w:w="254" w:type="pct"/>
            <w:vMerge w:val="restart"/>
            <w:tcBorders>
              <w:top w:val="nil"/>
              <w:left w:val="single" w:sz="4" w:space="0" w:color="auto"/>
              <w:bottom w:val="nil"/>
              <w:right w:val="single" w:sz="4" w:space="0" w:color="auto"/>
            </w:tcBorders>
            <w:vAlign w:val="center"/>
            <w:hideMark/>
          </w:tcPr>
          <w:p w14:paraId="32B6101C"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10003</w:t>
            </w:r>
          </w:p>
        </w:tc>
        <w:tc>
          <w:tcPr>
            <w:tcW w:w="269" w:type="pct"/>
            <w:tcBorders>
              <w:top w:val="nil"/>
              <w:left w:val="nil"/>
              <w:bottom w:val="single" w:sz="4" w:space="0" w:color="auto"/>
              <w:right w:val="single" w:sz="4" w:space="0" w:color="auto"/>
            </w:tcBorders>
            <w:vAlign w:val="center"/>
            <w:hideMark/>
          </w:tcPr>
          <w:p w14:paraId="0D94CFBA" w14:textId="77777777" w:rsidR="00427DF8" w:rsidRPr="00427DF8" w:rsidRDefault="00427DF8" w:rsidP="00427DF8">
            <w:pPr>
              <w:spacing w:after="0" w:line="240" w:lineRule="auto"/>
              <w:jc w:val="center"/>
              <w:rPr>
                <w:rFonts w:eastAsia="Times New Roman"/>
                <w:sz w:val="18"/>
                <w:szCs w:val="18"/>
                <w:lang w:val="en-US" w:eastAsia="en-US"/>
              </w:rPr>
            </w:pPr>
            <w:r w:rsidRPr="00427DF8">
              <w:rPr>
                <w:rFonts w:eastAsia="Times New Roman"/>
                <w:sz w:val="18"/>
                <w:szCs w:val="18"/>
                <w:lang w:val="en-US" w:eastAsia="en-US"/>
              </w:rPr>
              <w:t>71300</w:t>
            </w:r>
          </w:p>
        </w:tc>
        <w:tc>
          <w:tcPr>
            <w:tcW w:w="728" w:type="pct"/>
            <w:tcBorders>
              <w:top w:val="nil"/>
              <w:left w:val="nil"/>
              <w:bottom w:val="single" w:sz="4" w:space="0" w:color="auto"/>
              <w:right w:val="single" w:sz="4" w:space="0" w:color="auto"/>
            </w:tcBorders>
            <w:vAlign w:val="center"/>
            <w:hideMark/>
          </w:tcPr>
          <w:p w14:paraId="20F1C5F9"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Local consultants  </w:t>
            </w:r>
          </w:p>
        </w:tc>
        <w:tc>
          <w:tcPr>
            <w:tcW w:w="283" w:type="pct"/>
            <w:tcBorders>
              <w:top w:val="nil"/>
              <w:left w:val="nil"/>
              <w:bottom w:val="single" w:sz="4" w:space="0" w:color="auto"/>
              <w:right w:val="single" w:sz="4" w:space="0" w:color="auto"/>
            </w:tcBorders>
            <w:vAlign w:val="center"/>
            <w:hideMark/>
          </w:tcPr>
          <w:p w14:paraId="7644AC28"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438D7E68"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263729A2"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2D44FB21"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4A62DB35"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12,000 </w:t>
            </w:r>
          </w:p>
        </w:tc>
        <w:tc>
          <w:tcPr>
            <w:tcW w:w="283" w:type="pct"/>
            <w:tcBorders>
              <w:top w:val="nil"/>
              <w:left w:val="nil"/>
              <w:bottom w:val="single" w:sz="4" w:space="0" w:color="auto"/>
              <w:right w:val="single" w:sz="4" w:space="0" w:color="auto"/>
            </w:tcBorders>
            <w:vAlign w:val="center"/>
            <w:hideMark/>
          </w:tcPr>
          <w:p w14:paraId="4D805F43"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352" w:type="pct"/>
            <w:tcBorders>
              <w:top w:val="nil"/>
              <w:left w:val="nil"/>
              <w:bottom w:val="single" w:sz="4" w:space="0" w:color="auto"/>
              <w:right w:val="single" w:sz="4" w:space="0" w:color="auto"/>
            </w:tcBorders>
            <w:vAlign w:val="center"/>
            <w:hideMark/>
          </w:tcPr>
          <w:p w14:paraId="50D37377"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12,000 </w:t>
            </w:r>
          </w:p>
        </w:tc>
        <w:tc>
          <w:tcPr>
            <w:tcW w:w="211" w:type="pct"/>
            <w:tcBorders>
              <w:top w:val="nil"/>
              <w:left w:val="nil"/>
              <w:bottom w:val="single" w:sz="4" w:space="0" w:color="auto"/>
              <w:right w:val="single" w:sz="4" w:space="0" w:color="auto"/>
            </w:tcBorders>
            <w:vAlign w:val="center"/>
            <w:hideMark/>
          </w:tcPr>
          <w:p w14:paraId="5B018C2C"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36</w:t>
            </w:r>
          </w:p>
        </w:tc>
      </w:tr>
      <w:tr w:rsidR="00427DF8" w:rsidRPr="00427DF8" w14:paraId="679DEE2A" w14:textId="77777777" w:rsidTr="008D1647">
        <w:trPr>
          <w:gridAfter w:val="1"/>
          <w:wAfter w:w="79" w:type="pct"/>
          <w:trHeight w:val="300"/>
        </w:trPr>
        <w:tc>
          <w:tcPr>
            <w:tcW w:w="383" w:type="pct"/>
            <w:vMerge/>
            <w:tcBorders>
              <w:top w:val="nil"/>
              <w:left w:val="single" w:sz="4" w:space="0" w:color="auto"/>
              <w:bottom w:val="single" w:sz="4" w:space="0" w:color="auto"/>
              <w:right w:val="single" w:sz="4" w:space="0" w:color="auto"/>
            </w:tcBorders>
            <w:vAlign w:val="center"/>
            <w:hideMark/>
          </w:tcPr>
          <w:p w14:paraId="62B790C0"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373905C5"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219F1F40"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707E9511"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43299D91"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2E8EAF33" w14:textId="77777777" w:rsidR="00427DF8" w:rsidRPr="00427DF8" w:rsidRDefault="00427DF8" w:rsidP="00427DF8">
            <w:pPr>
              <w:spacing w:after="0" w:line="240" w:lineRule="auto"/>
              <w:jc w:val="center"/>
              <w:rPr>
                <w:rFonts w:eastAsia="Times New Roman"/>
                <w:sz w:val="18"/>
                <w:szCs w:val="18"/>
                <w:lang w:val="en-US" w:eastAsia="en-US"/>
              </w:rPr>
            </w:pPr>
            <w:r w:rsidRPr="00427DF8">
              <w:rPr>
                <w:rFonts w:eastAsia="Times New Roman"/>
                <w:sz w:val="18"/>
                <w:szCs w:val="18"/>
                <w:lang w:val="en-US" w:eastAsia="en-US"/>
              </w:rPr>
              <w:t>72100</w:t>
            </w:r>
          </w:p>
        </w:tc>
        <w:tc>
          <w:tcPr>
            <w:tcW w:w="728" w:type="pct"/>
            <w:tcBorders>
              <w:top w:val="nil"/>
              <w:left w:val="nil"/>
              <w:bottom w:val="single" w:sz="4" w:space="0" w:color="auto"/>
              <w:right w:val="single" w:sz="4" w:space="0" w:color="auto"/>
            </w:tcBorders>
            <w:vAlign w:val="center"/>
            <w:hideMark/>
          </w:tcPr>
          <w:p w14:paraId="32E4041B"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Contractual Service company </w:t>
            </w:r>
          </w:p>
        </w:tc>
        <w:tc>
          <w:tcPr>
            <w:tcW w:w="283" w:type="pct"/>
            <w:tcBorders>
              <w:top w:val="nil"/>
              <w:left w:val="nil"/>
              <w:bottom w:val="single" w:sz="4" w:space="0" w:color="auto"/>
              <w:right w:val="single" w:sz="4" w:space="0" w:color="auto"/>
            </w:tcBorders>
            <w:vAlign w:val="center"/>
            <w:hideMark/>
          </w:tcPr>
          <w:p w14:paraId="707E4BB5"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283" w:type="pct"/>
            <w:tcBorders>
              <w:top w:val="nil"/>
              <w:left w:val="nil"/>
              <w:bottom w:val="single" w:sz="4" w:space="0" w:color="auto"/>
              <w:right w:val="single" w:sz="4" w:space="0" w:color="auto"/>
            </w:tcBorders>
            <w:vAlign w:val="center"/>
            <w:hideMark/>
          </w:tcPr>
          <w:p w14:paraId="382B5F08"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50,000 </w:t>
            </w:r>
          </w:p>
        </w:tc>
        <w:tc>
          <w:tcPr>
            <w:tcW w:w="317" w:type="pct"/>
            <w:tcBorders>
              <w:top w:val="nil"/>
              <w:left w:val="nil"/>
              <w:bottom w:val="single" w:sz="4" w:space="0" w:color="auto"/>
              <w:right w:val="single" w:sz="4" w:space="0" w:color="auto"/>
            </w:tcBorders>
            <w:vAlign w:val="center"/>
            <w:hideMark/>
          </w:tcPr>
          <w:p w14:paraId="72E98E8B"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050E6622"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1470CEBE"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30,000 </w:t>
            </w:r>
          </w:p>
        </w:tc>
        <w:tc>
          <w:tcPr>
            <w:tcW w:w="283" w:type="pct"/>
            <w:tcBorders>
              <w:top w:val="nil"/>
              <w:left w:val="nil"/>
              <w:bottom w:val="single" w:sz="4" w:space="0" w:color="auto"/>
              <w:right w:val="single" w:sz="4" w:space="0" w:color="auto"/>
            </w:tcBorders>
            <w:vAlign w:val="center"/>
            <w:hideMark/>
          </w:tcPr>
          <w:p w14:paraId="46B7FED4"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1BB7E083"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80,000 </w:t>
            </w:r>
          </w:p>
        </w:tc>
        <w:tc>
          <w:tcPr>
            <w:tcW w:w="211" w:type="pct"/>
            <w:tcBorders>
              <w:top w:val="nil"/>
              <w:left w:val="nil"/>
              <w:bottom w:val="single" w:sz="4" w:space="0" w:color="auto"/>
              <w:right w:val="single" w:sz="4" w:space="0" w:color="auto"/>
            </w:tcBorders>
            <w:vAlign w:val="center"/>
            <w:hideMark/>
          </w:tcPr>
          <w:p w14:paraId="782CBEBA"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37</w:t>
            </w:r>
          </w:p>
        </w:tc>
      </w:tr>
      <w:tr w:rsidR="00427DF8" w:rsidRPr="00427DF8" w14:paraId="461EEE1F" w14:textId="77777777" w:rsidTr="008D1647">
        <w:trPr>
          <w:gridAfter w:val="1"/>
          <w:wAfter w:w="79" w:type="pct"/>
          <w:trHeight w:val="300"/>
        </w:trPr>
        <w:tc>
          <w:tcPr>
            <w:tcW w:w="383" w:type="pct"/>
            <w:vMerge/>
            <w:tcBorders>
              <w:top w:val="nil"/>
              <w:left w:val="single" w:sz="4" w:space="0" w:color="auto"/>
              <w:bottom w:val="single" w:sz="4" w:space="0" w:color="auto"/>
              <w:right w:val="single" w:sz="4" w:space="0" w:color="auto"/>
            </w:tcBorders>
            <w:vAlign w:val="center"/>
            <w:hideMark/>
          </w:tcPr>
          <w:p w14:paraId="30C6A031"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4EFC56F6"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41A0E911"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551A18E0"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65393233"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5E47ACC9" w14:textId="77777777" w:rsidR="00427DF8" w:rsidRPr="00427DF8" w:rsidRDefault="00427DF8" w:rsidP="00427DF8">
            <w:pPr>
              <w:spacing w:after="0" w:line="240" w:lineRule="auto"/>
              <w:jc w:val="center"/>
              <w:rPr>
                <w:rFonts w:eastAsia="Times New Roman"/>
                <w:sz w:val="18"/>
                <w:szCs w:val="18"/>
                <w:lang w:val="en-US" w:eastAsia="en-US"/>
              </w:rPr>
            </w:pPr>
            <w:r w:rsidRPr="00427DF8">
              <w:rPr>
                <w:rFonts w:eastAsia="Times New Roman"/>
                <w:sz w:val="18"/>
                <w:szCs w:val="18"/>
                <w:lang w:val="en-US" w:eastAsia="en-US"/>
              </w:rPr>
              <w:t>72800</w:t>
            </w:r>
          </w:p>
        </w:tc>
        <w:tc>
          <w:tcPr>
            <w:tcW w:w="728" w:type="pct"/>
            <w:tcBorders>
              <w:top w:val="nil"/>
              <w:left w:val="nil"/>
              <w:bottom w:val="single" w:sz="4" w:space="0" w:color="auto"/>
              <w:right w:val="single" w:sz="4" w:space="0" w:color="auto"/>
            </w:tcBorders>
            <w:vAlign w:val="center"/>
            <w:hideMark/>
          </w:tcPr>
          <w:p w14:paraId="7EBC8830"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Information technology equipment </w:t>
            </w:r>
          </w:p>
        </w:tc>
        <w:tc>
          <w:tcPr>
            <w:tcW w:w="283" w:type="pct"/>
            <w:tcBorders>
              <w:top w:val="nil"/>
              <w:left w:val="nil"/>
              <w:bottom w:val="single" w:sz="4" w:space="0" w:color="auto"/>
              <w:right w:val="single" w:sz="4" w:space="0" w:color="auto"/>
            </w:tcBorders>
            <w:vAlign w:val="center"/>
            <w:hideMark/>
          </w:tcPr>
          <w:p w14:paraId="21C18C3B"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3,000 </w:t>
            </w:r>
          </w:p>
        </w:tc>
        <w:tc>
          <w:tcPr>
            <w:tcW w:w="283" w:type="pct"/>
            <w:tcBorders>
              <w:top w:val="nil"/>
              <w:left w:val="nil"/>
              <w:bottom w:val="single" w:sz="4" w:space="0" w:color="auto"/>
              <w:right w:val="single" w:sz="4" w:space="0" w:color="auto"/>
            </w:tcBorders>
            <w:vAlign w:val="center"/>
            <w:hideMark/>
          </w:tcPr>
          <w:p w14:paraId="192D7167"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 </w:t>
            </w:r>
          </w:p>
        </w:tc>
        <w:tc>
          <w:tcPr>
            <w:tcW w:w="317" w:type="pct"/>
            <w:tcBorders>
              <w:top w:val="nil"/>
              <w:left w:val="nil"/>
              <w:bottom w:val="single" w:sz="4" w:space="0" w:color="auto"/>
              <w:right w:val="single" w:sz="4" w:space="0" w:color="auto"/>
            </w:tcBorders>
            <w:vAlign w:val="center"/>
            <w:hideMark/>
          </w:tcPr>
          <w:p w14:paraId="7F643835"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 </w:t>
            </w:r>
          </w:p>
        </w:tc>
        <w:tc>
          <w:tcPr>
            <w:tcW w:w="317" w:type="pct"/>
            <w:tcBorders>
              <w:top w:val="nil"/>
              <w:left w:val="nil"/>
              <w:bottom w:val="single" w:sz="4" w:space="0" w:color="auto"/>
              <w:right w:val="single" w:sz="4" w:space="0" w:color="auto"/>
            </w:tcBorders>
            <w:vAlign w:val="center"/>
            <w:hideMark/>
          </w:tcPr>
          <w:p w14:paraId="42CD4782"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268 </w:t>
            </w:r>
          </w:p>
        </w:tc>
        <w:tc>
          <w:tcPr>
            <w:tcW w:w="317" w:type="pct"/>
            <w:tcBorders>
              <w:top w:val="nil"/>
              <w:left w:val="nil"/>
              <w:bottom w:val="single" w:sz="4" w:space="0" w:color="auto"/>
              <w:right w:val="single" w:sz="4" w:space="0" w:color="auto"/>
            </w:tcBorders>
            <w:vAlign w:val="center"/>
            <w:hideMark/>
          </w:tcPr>
          <w:p w14:paraId="583D229D"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 </w:t>
            </w:r>
          </w:p>
        </w:tc>
        <w:tc>
          <w:tcPr>
            <w:tcW w:w="283" w:type="pct"/>
            <w:tcBorders>
              <w:top w:val="nil"/>
              <w:left w:val="nil"/>
              <w:bottom w:val="single" w:sz="4" w:space="0" w:color="auto"/>
              <w:right w:val="single" w:sz="4" w:space="0" w:color="auto"/>
            </w:tcBorders>
            <w:vAlign w:val="center"/>
            <w:hideMark/>
          </w:tcPr>
          <w:p w14:paraId="3C65B973"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25885782"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6,268 </w:t>
            </w:r>
          </w:p>
        </w:tc>
        <w:tc>
          <w:tcPr>
            <w:tcW w:w="211" w:type="pct"/>
            <w:tcBorders>
              <w:top w:val="nil"/>
              <w:left w:val="nil"/>
              <w:bottom w:val="single" w:sz="4" w:space="0" w:color="auto"/>
              <w:right w:val="single" w:sz="4" w:space="0" w:color="auto"/>
            </w:tcBorders>
            <w:vAlign w:val="center"/>
            <w:hideMark/>
          </w:tcPr>
          <w:p w14:paraId="7A91CAD3"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38</w:t>
            </w:r>
          </w:p>
        </w:tc>
      </w:tr>
      <w:tr w:rsidR="00427DF8" w:rsidRPr="00427DF8" w14:paraId="5207EC65" w14:textId="77777777" w:rsidTr="008D1647">
        <w:trPr>
          <w:gridAfter w:val="1"/>
          <w:wAfter w:w="79" w:type="pct"/>
          <w:trHeight w:val="300"/>
        </w:trPr>
        <w:tc>
          <w:tcPr>
            <w:tcW w:w="383" w:type="pct"/>
            <w:vMerge/>
            <w:tcBorders>
              <w:top w:val="nil"/>
              <w:left w:val="single" w:sz="4" w:space="0" w:color="auto"/>
              <w:bottom w:val="single" w:sz="4" w:space="0" w:color="auto"/>
              <w:right w:val="single" w:sz="4" w:space="0" w:color="auto"/>
            </w:tcBorders>
            <w:vAlign w:val="center"/>
            <w:hideMark/>
          </w:tcPr>
          <w:p w14:paraId="2BA203A3"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01725F08"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1BB46F14"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74161C71"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0F4E2004"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432EE62F" w14:textId="77777777" w:rsidR="00427DF8" w:rsidRPr="00427DF8" w:rsidRDefault="00427DF8" w:rsidP="00427DF8">
            <w:pPr>
              <w:spacing w:after="0" w:line="240" w:lineRule="auto"/>
              <w:jc w:val="center"/>
              <w:rPr>
                <w:rFonts w:eastAsia="Times New Roman"/>
                <w:sz w:val="18"/>
                <w:szCs w:val="18"/>
                <w:lang w:val="en-US" w:eastAsia="en-US"/>
              </w:rPr>
            </w:pPr>
            <w:r w:rsidRPr="00427DF8">
              <w:rPr>
                <w:rFonts w:eastAsia="Times New Roman"/>
                <w:sz w:val="18"/>
                <w:szCs w:val="18"/>
                <w:lang w:val="en-US" w:eastAsia="en-US"/>
              </w:rPr>
              <w:t>71600</w:t>
            </w:r>
          </w:p>
        </w:tc>
        <w:tc>
          <w:tcPr>
            <w:tcW w:w="728" w:type="pct"/>
            <w:tcBorders>
              <w:top w:val="nil"/>
              <w:left w:val="nil"/>
              <w:bottom w:val="single" w:sz="4" w:space="0" w:color="auto"/>
              <w:right w:val="single" w:sz="4" w:space="0" w:color="auto"/>
            </w:tcBorders>
            <w:vAlign w:val="center"/>
            <w:hideMark/>
          </w:tcPr>
          <w:p w14:paraId="794183C5"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Travel </w:t>
            </w:r>
          </w:p>
        </w:tc>
        <w:tc>
          <w:tcPr>
            <w:tcW w:w="283" w:type="pct"/>
            <w:tcBorders>
              <w:top w:val="nil"/>
              <w:left w:val="nil"/>
              <w:bottom w:val="single" w:sz="4" w:space="0" w:color="auto"/>
              <w:right w:val="single" w:sz="4" w:space="0" w:color="auto"/>
            </w:tcBorders>
            <w:vAlign w:val="center"/>
            <w:hideMark/>
          </w:tcPr>
          <w:p w14:paraId="61690F94"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16879A14"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6B2EA7A9"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9,500 </w:t>
            </w:r>
          </w:p>
        </w:tc>
        <w:tc>
          <w:tcPr>
            <w:tcW w:w="317" w:type="pct"/>
            <w:tcBorders>
              <w:top w:val="nil"/>
              <w:left w:val="nil"/>
              <w:bottom w:val="single" w:sz="4" w:space="0" w:color="auto"/>
              <w:right w:val="single" w:sz="4" w:space="0" w:color="auto"/>
            </w:tcBorders>
            <w:vAlign w:val="center"/>
            <w:hideMark/>
          </w:tcPr>
          <w:p w14:paraId="77E2F9A6"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9,500 </w:t>
            </w:r>
          </w:p>
        </w:tc>
        <w:tc>
          <w:tcPr>
            <w:tcW w:w="317" w:type="pct"/>
            <w:tcBorders>
              <w:top w:val="nil"/>
              <w:left w:val="nil"/>
              <w:bottom w:val="single" w:sz="4" w:space="0" w:color="auto"/>
              <w:right w:val="single" w:sz="4" w:space="0" w:color="auto"/>
            </w:tcBorders>
            <w:vAlign w:val="center"/>
            <w:hideMark/>
          </w:tcPr>
          <w:p w14:paraId="59904DDD"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9,500 </w:t>
            </w:r>
          </w:p>
        </w:tc>
        <w:tc>
          <w:tcPr>
            <w:tcW w:w="283" w:type="pct"/>
            <w:tcBorders>
              <w:top w:val="nil"/>
              <w:left w:val="nil"/>
              <w:bottom w:val="single" w:sz="4" w:space="0" w:color="auto"/>
              <w:right w:val="single" w:sz="4" w:space="0" w:color="auto"/>
            </w:tcBorders>
            <w:vAlign w:val="center"/>
            <w:hideMark/>
          </w:tcPr>
          <w:p w14:paraId="1007FB2B"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1D3B58F8"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28,500 </w:t>
            </w:r>
          </w:p>
        </w:tc>
        <w:tc>
          <w:tcPr>
            <w:tcW w:w="211" w:type="pct"/>
            <w:tcBorders>
              <w:top w:val="nil"/>
              <w:left w:val="nil"/>
              <w:bottom w:val="single" w:sz="4" w:space="0" w:color="auto"/>
              <w:right w:val="single" w:sz="4" w:space="0" w:color="auto"/>
            </w:tcBorders>
            <w:vAlign w:val="center"/>
            <w:hideMark/>
          </w:tcPr>
          <w:p w14:paraId="08D0EC5A"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39</w:t>
            </w:r>
          </w:p>
        </w:tc>
      </w:tr>
      <w:tr w:rsidR="00427DF8" w:rsidRPr="00427DF8" w14:paraId="50ADFE2B" w14:textId="77777777" w:rsidTr="008D1647">
        <w:trPr>
          <w:gridAfter w:val="1"/>
          <w:wAfter w:w="79" w:type="pct"/>
          <w:trHeight w:val="450"/>
        </w:trPr>
        <w:tc>
          <w:tcPr>
            <w:tcW w:w="383" w:type="pct"/>
            <w:vMerge/>
            <w:tcBorders>
              <w:top w:val="nil"/>
              <w:left w:val="single" w:sz="4" w:space="0" w:color="auto"/>
              <w:bottom w:val="single" w:sz="4" w:space="0" w:color="auto"/>
              <w:right w:val="single" w:sz="4" w:space="0" w:color="auto"/>
            </w:tcBorders>
            <w:vAlign w:val="center"/>
            <w:hideMark/>
          </w:tcPr>
          <w:p w14:paraId="1504C545"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7310B517"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63002911"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183458CE"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2B3F9255"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vMerge w:val="restart"/>
            <w:tcBorders>
              <w:top w:val="nil"/>
              <w:left w:val="single" w:sz="4" w:space="0" w:color="auto"/>
              <w:bottom w:val="single" w:sz="4" w:space="0" w:color="000000"/>
              <w:right w:val="single" w:sz="4" w:space="0" w:color="auto"/>
            </w:tcBorders>
            <w:vAlign w:val="center"/>
            <w:hideMark/>
          </w:tcPr>
          <w:p w14:paraId="40DD82E6" w14:textId="77777777" w:rsidR="00427DF8" w:rsidRPr="00427DF8" w:rsidRDefault="00427DF8" w:rsidP="00427DF8">
            <w:pPr>
              <w:spacing w:after="0" w:line="240" w:lineRule="auto"/>
              <w:jc w:val="center"/>
              <w:rPr>
                <w:rFonts w:eastAsia="Times New Roman"/>
                <w:sz w:val="18"/>
                <w:szCs w:val="18"/>
                <w:lang w:val="en-US" w:eastAsia="en-US"/>
              </w:rPr>
            </w:pPr>
            <w:r w:rsidRPr="00427DF8">
              <w:rPr>
                <w:rFonts w:eastAsia="Times New Roman"/>
                <w:sz w:val="18"/>
                <w:szCs w:val="18"/>
                <w:lang w:val="en-US" w:eastAsia="en-US"/>
              </w:rPr>
              <w:t>71500</w:t>
            </w:r>
          </w:p>
        </w:tc>
        <w:tc>
          <w:tcPr>
            <w:tcW w:w="728" w:type="pct"/>
            <w:vMerge w:val="restart"/>
            <w:tcBorders>
              <w:top w:val="nil"/>
              <w:left w:val="single" w:sz="4" w:space="0" w:color="auto"/>
              <w:bottom w:val="single" w:sz="4" w:space="0" w:color="000000"/>
              <w:right w:val="single" w:sz="4" w:space="0" w:color="auto"/>
            </w:tcBorders>
            <w:vAlign w:val="center"/>
            <w:hideMark/>
          </w:tcPr>
          <w:p w14:paraId="0CF377FE"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United Nations Volunteers (Gender and ESS VNU and KM and Communication Specialist)</w:t>
            </w:r>
          </w:p>
        </w:tc>
        <w:tc>
          <w:tcPr>
            <w:tcW w:w="283" w:type="pct"/>
            <w:vMerge w:val="restart"/>
            <w:tcBorders>
              <w:top w:val="nil"/>
              <w:left w:val="single" w:sz="4" w:space="0" w:color="auto"/>
              <w:bottom w:val="single" w:sz="4" w:space="0" w:color="000000"/>
              <w:right w:val="single" w:sz="4" w:space="0" w:color="auto"/>
            </w:tcBorders>
            <w:vAlign w:val="center"/>
            <w:hideMark/>
          </w:tcPr>
          <w:p w14:paraId="734EF4DB"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 xml:space="preserve">                      15,750 </w:t>
            </w:r>
          </w:p>
        </w:tc>
        <w:tc>
          <w:tcPr>
            <w:tcW w:w="283" w:type="pct"/>
            <w:vMerge w:val="restart"/>
            <w:tcBorders>
              <w:top w:val="nil"/>
              <w:left w:val="single" w:sz="4" w:space="0" w:color="auto"/>
              <w:bottom w:val="single" w:sz="4" w:space="0" w:color="000000"/>
              <w:right w:val="single" w:sz="4" w:space="0" w:color="auto"/>
            </w:tcBorders>
            <w:vAlign w:val="center"/>
            <w:hideMark/>
          </w:tcPr>
          <w:p w14:paraId="37146E7E"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 xml:space="preserve">                    21,000 </w:t>
            </w:r>
          </w:p>
        </w:tc>
        <w:tc>
          <w:tcPr>
            <w:tcW w:w="317" w:type="pct"/>
            <w:vMerge w:val="restart"/>
            <w:tcBorders>
              <w:top w:val="nil"/>
              <w:left w:val="single" w:sz="4" w:space="0" w:color="auto"/>
              <w:bottom w:val="single" w:sz="4" w:space="0" w:color="000000"/>
              <w:right w:val="single" w:sz="4" w:space="0" w:color="auto"/>
            </w:tcBorders>
            <w:vAlign w:val="center"/>
            <w:hideMark/>
          </w:tcPr>
          <w:p w14:paraId="25DFB835"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 xml:space="preserve">                      21,000 </w:t>
            </w:r>
          </w:p>
        </w:tc>
        <w:tc>
          <w:tcPr>
            <w:tcW w:w="317" w:type="pct"/>
            <w:vMerge w:val="restart"/>
            <w:tcBorders>
              <w:top w:val="nil"/>
              <w:left w:val="single" w:sz="4" w:space="0" w:color="auto"/>
              <w:bottom w:val="single" w:sz="4" w:space="0" w:color="000000"/>
              <w:right w:val="single" w:sz="4" w:space="0" w:color="auto"/>
            </w:tcBorders>
            <w:vAlign w:val="center"/>
            <w:hideMark/>
          </w:tcPr>
          <w:p w14:paraId="12AA9A54"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 xml:space="preserve">                      21,000 </w:t>
            </w:r>
          </w:p>
        </w:tc>
        <w:tc>
          <w:tcPr>
            <w:tcW w:w="317" w:type="pct"/>
            <w:vMerge w:val="restart"/>
            <w:tcBorders>
              <w:top w:val="nil"/>
              <w:left w:val="single" w:sz="4" w:space="0" w:color="auto"/>
              <w:bottom w:val="single" w:sz="4" w:space="0" w:color="000000"/>
              <w:right w:val="single" w:sz="4" w:space="0" w:color="auto"/>
            </w:tcBorders>
            <w:vAlign w:val="center"/>
            <w:hideMark/>
          </w:tcPr>
          <w:p w14:paraId="35EF5086"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 xml:space="preserve">                21,000 </w:t>
            </w:r>
          </w:p>
        </w:tc>
        <w:tc>
          <w:tcPr>
            <w:tcW w:w="283" w:type="pct"/>
            <w:vMerge w:val="restart"/>
            <w:tcBorders>
              <w:top w:val="nil"/>
              <w:left w:val="single" w:sz="4" w:space="0" w:color="auto"/>
              <w:bottom w:val="single" w:sz="4" w:space="0" w:color="000000"/>
              <w:right w:val="single" w:sz="4" w:space="0" w:color="auto"/>
            </w:tcBorders>
            <w:vAlign w:val="center"/>
            <w:hideMark/>
          </w:tcPr>
          <w:p w14:paraId="38F0ED83"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 xml:space="preserve">                      5,250 </w:t>
            </w:r>
          </w:p>
        </w:tc>
        <w:tc>
          <w:tcPr>
            <w:tcW w:w="352" w:type="pct"/>
            <w:vMerge w:val="restart"/>
            <w:tcBorders>
              <w:top w:val="nil"/>
              <w:left w:val="single" w:sz="4" w:space="0" w:color="auto"/>
              <w:bottom w:val="single" w:sz="4" w:space="0" w:color="000000"/>
              <w:right w:val="single" w:sz="4" w:space="0" w:color="auto"/>
            </w:tcBorders>
            <w:vAlign w:val="center"/>
            <w:hideMark/>
          </w:tcPr>
          <w:p w14:paraId="0DD48359"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 xml:space="preserve">            105,000 </w:t>
            </w:r>
          </w:p>
        </w:tc>
        <w:tc>
          <w:tcPr>
            <w:tcW w:w="211" w:type="pct"/>
            <w:vMerge w:val="restart"/>
            <w:tcBorders>
              <w:top w:val="nil"/>
              <w:left w:val="single" w:sz="4" w:space="0" w:color="auto"/>
              <w:bottom w:val="single" w:sz="4" w:space="0" w:color="000000"/>
              <w:right w:val="single" w:sz="4" w:space="0" w:color="auto"/>
            </w:tcBorders>
            <w:vAlign w:val="center"/>
            <w:hideMark/>
          </w:tcPr>
          <w:p w14:paraId="2CBFAF1F"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40</w:t>
            </w:r>
          </w:p>
        </w:tc>
      </w:tr>
      <w:tr w:rsidR="00427DF8" w:rsidRPr="00427DF8" w14:paraId="3440E9BD" w14:textId="77777777" w:rsidTr="008D1647">
        <w:trPr>
          <w:trHeight w:val="300"/>
        </w:trPr>
        <w:tc>
          <w:tcPr>
            <w:tcW w:w="383" w:type="pct"/>
            <w:vMerge/>
            <w:tcBorders>
              <w:top w:val="nil"/>
              <w:left w:val="single" w:sz="4" w:space="0" w:color="auto"/>
              <w:bottom w:val="single" w:sz="4" w:space="0" w:color="auto"/>
              <w:right w:val="single" w:sz="4" w:space="0" w:color="auto"/>
            </w:tcBorders>
            <w:vAlign w:val="center"/>
            <w:hideMark/>
          </w:tcPr>
          <w:p w14:paraId="3DFCA385"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2019EE60"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1DDA902D"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64D9C3C5"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113849F7"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vMerge/>
            <w:tcBorders>
              <w:top w:val="nil"/>
              <w:left w:val="single" w:sz="4" w:space="0" w:color="auto"/>
              <w:bottom w:val="single" w:sz="4" w:space="0" w:color="000000"/>
              <w:right w:val="single" w:sz="4" w:space="0" w:color="auto"/>
            </w:tcBorders>
            <w:vAlign w:val="center"/>
            <w:hideMark/>
          </w:tcPr>
          <w:p w14:paraId="377A43B3" w14:textId="77777777" w:rsidR="00427DF8" w:rsidRPr="00427DF8" w:rsidRDefault="00427DF8" w:rsidP="00427DF8">
            <w:pPr>
              <w:spacing w:after="0" w:line="240" w:lineRule="auto"/>
              <w:rPr>
                <w:rFonts w:eastAsia="Times New Roman"/>
                <w:sz w:val="18"/>
                <w:szCs w:val="18"/>
                <w:lang w:val="en-US" w:eastAsia="en-US"/>
              </w:rPr>
            </w:pPr>
          </w:p>
        </w:tc>
        <w:tc>
          <w:tcPr>
            <w:tcW w:w="728" w:type="pct"/>
            <w:vMerge/>
            <w:tcBorders>
              <w:top w:val="nil"/>
              <w:left w:val="single" w:sz="4" w:space="0" w:color="auto"/>
              <w:bottom w:val="single" w:sz="4" w:space="0" w:color="000000"/>
              <w:right w:val="single" w:sz="4" w:space="0" w:color="auto"/>
            </w:tcBorders>
            <w:vAlign w:val="center"/>
            <w:hideMark/>
          </w:tcPr>
          <w:p w14:paraId="688401FE" w14:textId="77777777" w:rsidR="00427DF8" w:rsidRPr="00427DF8" w:rsidRDefault="00427DF8" w:rsidP="00427DF8">
            <w:pPr>
              <w:spacing w:after="0" w:line="240" w:lineRule="auto"/>
              <w:rPr>
                <w:rFonts w:eastAsia="Times New Roman"/>
                <w:color w:val="000000"/>
                <w:sz w:val="18"/>
                <w:szCs w:val="18"/>
                <w:lang w:val="en-US" w:eastAsia="en-US"/>
              </w:rPr>
            </w:pPr>
          </w:p>
        </w:tc>
        <w:tc>
          <w:tcPr>
            <w:tcW w:w="283" w:type="pct"/>
            <w:vMerge/>
            <w:tcBorders>
              <w:top w:val="nil"/>
              <w:left w:val="single" w:sz="4" w:space="0" w:color="auto"/>
              <w:bottom w:val="single" w:sz="4" w:space="0" w:color="000000"/>
              <w:right w:val="single" w:sz="4" w:space="0" w:color="auto"/>
            </w:tcBorders>
            <w:vAlign w:val="center"/>
            <w:hideMark/>
          </w:tcPr>
          <w:p w14:paraId="2B4D508E" w14:textId="77777777" w:rsidR="00427DF8" w:rsidRPr="00427DF8" w:rsidRDefault="00427DF8" w:rsidP="00427DF8">
            <w:pPr>
              <w:spacing w:after="0" w:line="240" w:lineRule="auto"/>
              <w:rPr>
                <w:rFonts w:eastAsia="Times New Roman"/>
                <w:color w:val="000000"/>
                <w:sz w:val="18"/>
                <w:szCs w:val="18"/>
                <w:lang w:val="en-US" w:eastAsia="en-US"/>
              </w:rPr>
            </w:pPr>
          </w:p>
        </w:tc>
        <w:tc>
          <w:tcPr>
            <w:tcW w:w="283" w:type="pct"/>
            <w:vMerge/>
            <w:tcBorders>
              <w:top w:val="nil"/>
              <w:left w:val="single" w:sz="4" w:space="0" w:color="auto"/>
              <w:bottom w:val="single" w:sz="4" w:space="0" w:color="000000"/>
              <w:right w:val="single" w:sz="4" w:space="0" w:color="auto"/>
            </w:tcBorders>
            <w:vAlign w:val="center"/>
            <w:hideMark/>
          </w:tcPr>
          <w:p w14:paraId="501824E9" w14:textId="77777777" w:rsidR="00427DF8" w:rsidRPr="00427DF8" w:rsidRDefault="00427DF8" w:rsidP="00427DF8">
            <w:pPr>
              <w:spacing w:after="0" w:line="240" w:lineRule="auto"/>
              <w:rPr>
                <w:rFonts w:eastAsia="Times New Roman"/>
                <w:color w:val="000000"/>
                <w:sz w:val="18"/>
                <w:szCs w:val="18"/>
                <w:lang w:val="en-US" w:eastAsia="en-US"/>
              </w:rPr>
            </w:pPr>
          </w:p>
        </w:tc>
        <w:tc>
          <w:tcPr>
            <w:tcW w:w="317" w:type="pct"/>
            <w:vMerge/>
            <w:tcBorders>
              <w:top w:val="nil"/>
              <w:left w:val="single" w:sz="4" w:space="0" w:color="auto"/>
              <w:bottom w:val="single" w:sz="4" w:space="0" w:color="000000"/>
              <w:right w:val="single" w:sz="4" w:space="0" w:color="auto"/>
            </w:tcBorders>
            <w:vAlign w:val="center"/>
            <w:hideMark/>
          </w:tcPr>
          <w:p w14:paraId="494CE9DE" w14:textId="77777777" w:rsidR="00427DF8" w:rsidRPr="00427DF8" w:rsidRDefault="00427DF8" w:rsidP="00427DF8">
            <w:pPr>
              <w:spacing w:after="0" w:line="240" w:lineRule="auto"/>
              <w:rPr>
                <w:rFonts w:eastAsia="Times New Roman"/>
                <w:color w:val="000000"/>
                <w:sz w:val="18"/>
                <w:szCs w:val="18"/>
                <w:lang w:val="en-US" w:eastAsia="en-US"/>
              </w:rPr>
            </w:pPr>
          </w:p>
        </w:tc>
        <w:tc>
          <w:tcPr>
            <w:tcW w:w="317" w:type="pct"/>
            <w:vMerge/>
            <w:tcBorders>
              <w:top w:val="nil"/>
              <w:left w:val="single" w:sz="4" w:space="0" w:color="auto"/>
              <w:bottom w:val="single" w:sz="4" w:space="0" w:color="000000"/>
              <w:right w:val="single" w:sz="4" w:space="0" w:color="auto"/>
            </w:tcBorders>
            <w:vAlign w:val="center"/>
            <w:hideMark/>
          </w:tcPr>
          <w:p w14:paraId="26B4C0B8" w14:textId="77777777" w:rsidR="00427DF8" w:rsidRPr="00427DF8" w:rsidRDefault="00427DF8" w:rsidP="00427DF8">
            <w:pPr>
              <w:spacing w:after="0" w:line="240" w:lineRule="auto"/>
              <w:rPr>
                <w:rFonts w:eastAsia="Times New Roman"/>
                <w:color w:val="000000"/>
                <w:sz w:val="18"/>
                <w:szCs w:val="18"/>
                <w:lang w:val="en-US" w:eastAsia="en-US"/>
              </w:rPr>
            </w:pPr>
          </w:p>
        </w:tc>
        <w:tc>
          <w:tcPr>
            <w:tcW w:w="317" w:type="pct"/>
            <w:vMerge/>
            <w:tcBorders>
              <w:top w:val="nil"/>
              <w:left w:val="single" w:sz="4" w:space="0" w:color="auto"/>
              <w:bottom w:val="single" w:sz="4" w:space="0" w:color="000000"/>
              <w:right w:val="single" w:sz="4" w:space="0" w:color="auto"/>
            </w:tcBorders>
            <w:vAlign w:val="center"/>
            <w:hideMark/>
          </w:tcPr>
          <w:p w14:paraId="7F5208DD" w14:textId="77777777" w:rsidR="00427DF8" w:rsidRPr="00427DF8" w:rsidRDefault="00427DF8" w:rsidP="00427DF8">
            <w:pPr>
              <w:spacing w:after="0" w:line="240" w:lineRule="auto"/>
              <w:rPr>
                <w:rFonts w:eastAsia="Times New Roman"/>
                <w:color w:val="000000"/>
                <w:sz w:val="18"/>
                <w:szCs w:val="18"/>
                <w:lang w:val="en-US" w:eastAsia="en-US"/>
              </w:rPr>
            </w:pPr>
          </w:p>
        </w:tc>
        <w:tc>
          <w:tcPr>
            <w:tcW w:w="283" w:type="pct"/>
            <w:vMerge/>
            <w:tcBorders>
              <w:top w:val="nil"/>
              <w:left w:val="single" w:sz="4" w:space="0" w:color="auto"/>
              <w:bottom w:val="single" w:sz="4" w:space="0" w:color="000000"/>
              <w:right w:val="single" w:sz="4" w:space="0" w:color="auto"/>
            </w:tcBorders>
            <w:vAlign w:val="center"/>
            <w:hideMark/>
          </w:tcPr>
          <w:p w14:paraId="092B0511" w14:textId="77777777" w:rsidR="00427DF8" w:rsidRPr="00427DF8" w:rsidRDefault="00427DF8" w:rsidP="00427DF8">
            <w:pPr>
              <w:spacing w:after="0" w:line="240" w:lineRule="auto"/>
              <w:rPr>
                <w:rFonts w:eastAsia="Times New Roman"/>
                <w:color w:val="000000"/>
                <w:sz w:val="18"/>
                <w:szCs w:val="18"/>
                <w:lang w:val="en-US" w:eastAsia="en-US"/>
              </w:rPr>
            </w:pPr>
          </w:p>
        </w:tc>
        <w:tc>
          <w:tcPr>
            <w:tcW w:w="352" w:type="pct"/>
            <w:vMerge/>
            <w:tcBorders>
              <w:top w:val="nil"/>
              <w:left w:val="single" w:sz="4" w:space="0" w:color="auto"/>
              <w:bottom w:val="single" w:sz="4" w:space="0" w:color="000000"/>
              <w:right w:val="single" w:sz="4" w:space="0" w:color="auto"/>
            </w:tcBorders>
            <w:vAlign w:val="center"/>
            <w:hideMark/>
          </w:tcPr>
          <w:p w14:paraId="526E1D8A" w14:textId="77777777" w:rsidR="00427DF8" w:rsidRPr="00427DF8" w:rsidRDefault="00427DF8" w:rsidP="00427DF8">
            <w:pPr>
              <w:spacing w:after="0" w:line="240" w:lineRule="auto"/>
              <w:rPr>
                <w:rFonts w:eastAsia="Times New Roman"/>
                <w:color w:val="000000"/>
                <w:sz w:val="18"/>
                <w:szCs w:val="18"/>
                <w:lang w:val="en-US" w:eastAsia="en-US"/>
              </w:rPr>
            </w:pPr>
          </w:p>
        </w:tc>
        <w:tc>
          <w:tcPr>
            <w:tcW w:w="211" w:type="pct"/>
            <w:vMerge/>
            <w:tcBorders>
              <w:top w:val="nil"/>
              <w:left w:val="single" w:sz="4" w:space="0" w:color="auto"/>
              <w:bottom w:val="single" w:sz="4" w:space="0" w:color="000000"/>
              <w:right w:val="single" w:sz="4" w:space="0" w:color="auto"/>
            </w:tcBorders>
            <w:vAlign w:val="center"/>
            <w:hideMark/>
          </w:tcPr>
          <w:p w14:paraId="65701218" w14:textId="77777777" w:rsidR="00427DF8" w:rsidRPr="00427DF8" w:rsidRDefault="00427DF8" w:rsidP="00427DF8">
            <w:pPr>
              <w:spacing w:after="0" w:line="240" w:lineRule="auto"/>
              <w:rPr>
                <w:rFonts w:eastAsia="Times New Roman"/>
                <w:i/>
                <w:iCs/>
                <w:color w:val="000000"/>
                <w:sz w:val="18"/>
                <w:szCs w:val="18"/>
                <w:lang w:val="en-US" w:eastAsia="en-US"/>
              </w:rPr>
            </w:pPr>
          </w:p>
        </w:tc>
        <w:tc>
          <w:tcPr>
            <w:tcW w:w="79" w:type="pct"/>
            <w:tcBorders>
              <w:top w:val="nil"/>
              <w:left w:val="nil"/>
              <w:bottom w:val="nil"/>
              <w:right w:val="nil"/>
            </w:tcBorders>
            <w:noWrap/>
            <w:vAlign w:val="bottom"/>
            <w:hideMark/>
          </w:tcPr>
          <w:p w14:paraId="17731031" w14:textId="77777777" w:rsidR="00427DF8" w:rsidRPr="00427DF8" w:rsidRDefault="00427DF8" w:rsidP="00427DF8">
            <w:pPr>
              <w:spacing w:after="0" w:line="240" w:lineRule="auto"/>
              <w:jc w:val="center"/>
              <w:rPr>
                <w:rFonts w:eastAsia="Times New Roman"/>
                <w:i/>
                <w:iCs/>
                <w:color w:val="000000"/>
                <w:sz w:val="18"/>
                <w:szCs w:val="18"/>
                <w:lang w:val="en-US" w:eastAsia="en-US"/>
              </w:rPr>
            </w:pPr>
          </w:p>
        </w:tc>
      </w:tr>
      <w:tr w:rsidR="00427DF8" w:rsidRPr="00427DF8" w14:paraId="68688EC4" w14:textId="77777777" w:rsidTr="008D1647">
        <w:trPr>
          <w:trHeight w:val="300"/>
        </w:trPr>
        <w:tc>
          <w:tcPr>
            <w:tcW w:w="383" w:type="pct"/>
            <w:vMerge/>
            <w:tcBorders>
              <w:top w:val="nil"/>
              <w:left w:val="single" w:sz="4" w:space="0" w:color="auto"/>
              <w:bottom w:val="single" w:sz="4" w:space="0" w:color="auto"/>
              <w:right w:val="single" w:sz="4" w:space="0" w:color="auto"/>
            </w:tcBorders>
            <w:vAlign w:val="center"/>
            <w:hideMark/>
          </w:tcPr>
          <w:p w14:paraId="3953CB81"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5EB2F784"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12CE7320"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152342E2"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04C98AAF"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42D9FFFD" w14:textId="77777777" w:rsidR="00427DF8" w:rsidRPr="00427DF8" w:rsidRDefault="00427DF8" w:rsidP="00427DF8">
            <w:pPr>
              <w:spacing w:after="0" w:line="240" w:lineRule="auto"/>
              <w:jc w:val="center"/>
              <w:rPr>
                <w:rFonts w:eastAsia="Times New Roman"/>
                <w:sz w:val="18"/>
                <w:szCs w:val="18"/>
                <w:lang w:val="en-US" w:eastAsia="en-US"/>
              </w:rPr>
            </w:pPr>
            <w:r w:rsidRPr="00427DF8">
              <w:rPr>
                <w:rFonts w:eastAsia="Times New Roman"/>
                <w:sz w:val="18"/>
                <w:szCs w:val="18"/>
                <w:lang w:val="en-US" w:eastAsia="en-US"/>
              </w:rPr>
              <w:t>72600</w:t>
            </w:r>
          </w:p>
        </w:tc>
        <w:tc>
          <w:tcPr>
            <w:tcW w:w="728" w:type="pct"/>
            <w:tcBorders>
              <w:top w:val="nil"/>
              <w:left w:val="nil"/>
              <w:bottom w:val="single" w:sz="4" w:space="0" w:color="auto"/>
              <w:right w:val="single" w:sz="4" w:space="0" w:color="auto"/>
            </w:tcBorders>
            <w:vAlign w:val="center"/>
            <w:hideMark/>
          </w:tcPr>
          <w:p w14:paraId="403E7164"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Grant </w:t>
            </w:r>
          </w:p>
        </w:tc>
        <w:tc>
          <w:tcPr>
            <w:tcW w:w="283" w:type="pct"/>
            <w:tcBorders>
              <w:top w:val="nil"/>
              <w:left w:val="nil"/>
              <w:bottom w:val="single" w:sz="4" w:space="0" w:color="auto"/>
              <w:right w:val="single" w:sz="4" w:space="0" w:color="auto"/>
            </w:tcBorders>
            <w:vAlign w:val="center"/>
            <w:hideMark/>
          </w:tcPr>
          <w:p w14:paraId="3690D30F"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6CFDB618"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 </w:t>
            </w:r>
          </w:p>
        </w:tc>
        <w:tc>
          <w:tcPr>
            <w:tcW w:w="317" w:type="pct"/>
            <w:tcBorders>
              <w:top w:val="nil"/>
              <w:left w:val="nil"/>
              <w:bottom w:val="single" w:sz="4" w:space="0" w:color="auto"/>
              <w:right w:val="single" w:sz="4" w:space="0" w:color="auto"/>
            </w:tcBorders>
            <w:vAlign w:val="center"/>
            <w:hideMark/>
          </w:tcPr>
          <w:p w14:paraId="5C3FBA24"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15,000 </w:t>
            </w:r>
          </w:p>
        </w:tc>
        <w:tc>
          <w:tcPr>
            <w:tcW w:w="317" w:type="pct"/>
            <w:tcBorders>
              <w:top w:val="nil"/>
              <w:left w:val="nil"/>
              <w:bottom w:val="single" w:sz="4" w:space="0" w:color="auto"/>
              <w:right w:val="single" w:sz="4" w:space="0" w:color="auto"/>
            </w:tcBorders>
            <w:vAlign w:val="center"/>
            <w:hideMark/>
          </w:tcPr>
          <w:p w14:paraId="13D4E800"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 </w:t>
            </w:r>
          </w:p>
        </w:tc>
        <w:tc>
          <w:tcPr>
            <w:tcW w:w="317" w:type="pct"/>
            <w:tcBorders>
              <w:top w:val="nil"/>
              <w:left w:val="nil"/>
              <w:bottom w:val="single" w:sz="4" w:space="0" w:color="auto"/>
              <w:right w:val="single" w:sz="4" w:space="0" w:color="auto"/>
            </w:tcBorders>
            <w:vAlign w:val="center"/>
            <w:hideMark/>
          </w:tcPr>
          <w:p w14:paraId="69D4F135"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15,000 </w:t>
            </w:r>
          </w:p>
        </w:tc>
        <w:tc>
          <w:tcPr>
            <w:tcW w:w="283" w:type="pct"/>
            <w:tcBorders>
              <w:top w:val="nil"/>
              <w:left w:val="nil"/>
              <w:bottom w:val="single" w:sz="4" w:space="0" w:color="auto"/>
              <w:right w:val="single" w:sz="4" w:space="0" w:color="auto"/>
            </w:tcBorders>
            <w:vAlign w:val="center"/>
            <w:hideMark/>
          </w:tcPr>
          <w:p w14:paraId="29367AB6"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2A0E66A5"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50,000 </w:t>
            </w:r>
          </w:p>
        </w:tc>
        <w:tc>
          <w:tcPr>
            <w:tcW w:w="211" w:type="pct"/>
            <w:tcBorders>
              <w:top w:val="nil"/>
              <w:left w:val="nil"/>
              <w:bottom w:val="single" w:sz="4" w:space="0" w:color="auto"/>
              <w:right w:val="single" w:sz="4" w:space="0" w:color="auto"/>
            </w:tcBorders>
            <w:vAlign w:val="center"/>
            <w:hideMark/>
          </w:tcPr>
          <w:p w14:paraId="05848935"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41</w:t>
            </w:r>
          </w:p>
        </w:tc>
        <w:tc>
          <w:tcPr>
            <w:tcW w:w="79" w:type="pct"/>
            <w:vAlign w:val="center"/>
            <w:hideMark/>
          </w:tcPr>
          <w:p w14:paraId="489071BF"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3150F14F" w14:textId="77777777" w:rsidTr="008D1647">
        <w:trPr>
          <w:trHeight w:val="300"/>
        </w:trPr>
        <w:tc>
          <w:tcPr>
            <w:tcW w:w="383" w:type="pct"/>
            <w:vMerge/>
            <w:tcBorders>
              <w:top w:val="nil"/>
              <w:left w:val="single" w:sz="4" w:space="0" w:color="auto"/>
              <w:bottom w:val="single" w:sz="4" w:space="0" w:color="auto"/>
              <w:right w:val="single" w:sz="4" w:space="0" w:color="auto"/>
            </w:tcBorders>
            <w:vAlign w:val="center"/>
            <w:hideMark/>
          </w:tcPr>
          <w:p w14:paraId="0E39E201"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5D9FE9F2"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5ADEE1D9"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338B221E"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7BA89C08"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0E76D585" w14:textId="77777777" w:rsidR="00427DF8" w:rsidRPr="00427DF8" w:rsidRDefault="00427DF8" w:rsidP="00427DF8">
            <w:pPr>
              <w:spacing w:after="0" w:line="240" w:lineRule="auto"/>
              <w:jc w:val="center"/>
              <w:rPr>
                <w:rFonts w:eastAsia="Times New Roman"/>
                <w:sz w:val="18"/>
                <w:szCs w:val="18"/>
                <w:lang w:val="en-US" w:eastAsia="en-US"/>
              </w:rPr>
            </w:pPr>
            <w:r w:rsidRPr="00427DF8">
              <w:rPr>
                <w:rFonts w:eastAsia="Times New Roman"/>
                <w:sz w:val="18"/>
                <w:szCs w:val="18"/>
                <w:lang w:val="en-US" w:eastAsia="en-US"/>
              </w:rPr>
              <w:t>75700</w:t>
            </w:r>
          </w:p>
        </w:tc>
        <w:tc>
          <w:tcPr>
            <w:tcW w:w="728" w:type="pct"/>
            <w:tcBorders>
              <w:top w:val="nil"/>
              <w:left w:val="nil"/>
              <w:bottom w:val="single" w:sz="4" w:space="0" w:color="auto"/>
              <w:right w:val="single" w:sz="4" w:space="0" w:color="auto"/>
            </w:tcBorders>
            <w:vAlign w:val="center"/>
            <w:hideMark/>
          </w:tcPr>
          <w:p w14:paraId="7FEA1778"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Training, workshops and conferences </w:t>
            </w:r>
          </w:p>
        </w:tc>
        <w:tc>
          <w:tcPr>
            <w:tcW w:w="283" w:type="pct"/>
            <w:tcBorders>
              <w:top w:val="nil"/>
              <w:left w:val="nil"/>
              <w:bottom w:val="single" w:sz="4" w:space="0" w:color="auto"/>
              <w:right w:val="single" w:sz="4" w:space="0" w:color="auto"/>
            </w:tcBorders>
            <w:vAlign w:val="center"/>
            <w:hideMark/>
          </w:tcPr>
          <w:p w14:paraId="529353B9"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78FFC73B"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10,250 </w:t>
            </w:r>
          </w:p>
        </w:tc>
        <w:tc>
          <w:tcPr>
            <w:tcW w:w="317" w:type="pct"/>
            <w:tcBorders>
              <w:top w:val="nil"/>
              <w:left w:val="nil"/>
              <w:bottom w:val="single" w:sz="4" w:space="0" w:color="auto"/>
              <w:right w:val="single" w:sz="4" w:space="0" w:color="auto"/>
            </w:tcBorders>
            <w:vAlign w:val="center"/>
            <w:hideMark/>
          </w:tcPr>
          <w:p w14:paraId="078B1946"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10,250 </w:t>
            </w:r>
          </w:p>
        </w:tc>
        <w:tc>
          <w:tcPr>
            <w:tcW w:w="317" w:type="pct"/>
            <w:tcBorders>
              <w:top w:val="nil"/>
              <w:left w:val="nil"/>
              <w:bottom w:val="single" w:sz="4" w:space="0" w:color="auto"/>
              <w:right w:val="single" w:sz="4" w:space="0" w:color="auto"/>
            </w:tcBorders>
            <w:vAlign w:val="center"/>
            <w:hideMark/>
          </w:tcPr>
          <w:p w14:paraId="7E554933"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10,250 </w:t>
            </w:r>
          </w:p>
        </w:tc>
        <w:tc>
          <w:tcPr>
            <w:tcW w:w="317" w:type="pct"/>
            <w:tcBorders>
              <w:top w:val="nil"/>
              <w:left w:val="nil"/>
              <w:bottom w:val="single" w:sz="4" w:space="0" w:color="auto"/>
              <w:right w:val="single" w:sz="4" w:space="0" w:color="auto"/>
            </w:tcBorders>
            <w:vAlign w:val="center"/>
            <w:hideMark/>
          </w:tcPr>
          <w:p w14:paraId="28E62144"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10,250 </w:t>
            </w:r>
          </w:p>
        </w:tc>
        <w:tc>
          <w:tcPr>
            <w:tcW w:w="283" w:type="pct"/>
            <w:tcBorders>
              <w:top w:val="nil"/>
              <w:left w:val="nil"/>
              <w:bottom w:val="single" w:sz="4" w:space="0" w:color="auto"/>
              <w:right w:val="single" w:sz="4" w:space="0" w:color="auto"/>
            </w:tcBorders>
            <w:vAlign w:val="center"/>
            <w:hideMark/>
          </w:tcPr>
          <w:p w14:paraId="1F96EB5F"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7BD061CB"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41,000 </w:t>
            </w:r>
          </w:p>
        </w:tc>
        <w:tc>
          <w:tcPr>
            <w:tcW w:w="211" w:type="pct"/>
            <w:tcBorders>
              <w:top w:val="nil"/>
              <w:left w:val="nil"/>
              <w:bottom w:val="single" w:sz="4" w:space="0" w:color="auto"/>
              <w:right w:val="single" w:sz="4" w:space="0" w:color="auto"/>
            </w:tcBorders>
            <w:vAlign w:val="center"/>
            <w:hideMark/>
          </w:tcPr>
          <w:p w14:paraId="04449120"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42</w:t>
            </w:r>
          </w:p>
        </w:tc>
        <w:tc>
          <w:tcPr>
            <w:tcW w:w="79" w:type="pct"/>
            <w:vAlign w:val="center"/>
            <w:hideMark/>
          </w:tcPr>
          <w:p w14:paraId="55802D26"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0CF0AD47" w14:textId="77777777" w:rsidTr="008D1647">
        <w:trPr>
          <w:trHeight w:val="300"/>
        </w:trPr>
        <w:tc>
          <w:tcPr>
            <w:tcW w:w="383" w:type="pct"/>
            <w:vMerge/>
            <w:tcBorders>
              <w:top w:val="nil"/>
              <w:left w:val="single" w:sz="4" w:space="0" w:color="auto"/>
              <w:bottom w:val="single" w:sz="4" w:space="0" w:color="auto"/>
              <w:right w:val="single" w:sz="4" w:space="0" w:color="auto"/>
            </w:tcBorders>
            <w:vAlign w:val="center"/>
            <w:hideMark/>
          </w:tcPr>
          <w:p w14:paraId="094629C3"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63BCCAF2"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5CC28D17"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2EAB89C4"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05D0F8F3"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3CEB4676" w14:textId="77777777" w:rsidR="00427DF8" w:rsidRPr="00427DF8" w:rsidRDefault="00427DF8" w:rsidP="00427DF8">
            <w:pPr>
              <w:spacing w:after="0" w:line="240" w:lineRule="auto"/>
              <w:jc w:val="center"/>
              <w:rPr>
                <w:rFonts w:eastAsia="Times New Roman"/>
                <w:sz w:val="18"/>
                <w:szCs w:val="18"/>
                <w:lang w:val="en-US" w:eastAsia="en-US"/>
              </w:rPr>
            </w:pPr>
            <w:r w:rsidRPr="00427DF8">
              <w:rPr>
                <w:rFonts w:eastAsia="Times New Roman"/>
                <w:sz w:val="18"/>
                <w:szCs w:val="18"/>
                <w:lang w:val="en-US" w:eastAsia="en-US"/>
              </w:rPr>
              <w:t>74200</w:t>
            </w:r>
          </w:p>
        </w:tc>
        <w:tc>
          <w:tcPr>
            <w:tcW w:w="728" w:type="pct"/>
            <w:tcBorders>
              <w:top w:val="nil"/>
              <w:left w:val="nil"/>
              <w:bottom w:val="single" w:sz="4" w:space="0" w:color="auto"/>
              <w:right w:val="single" w:sz="4" w:space="0" w:color="auto"/>
            </w:tcBorders>
            <w:vAlign w:val="center"/>
            <w:hideMark/>
          </w:tcPr>
          <w:p w14:paraId="28FB01F2"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Audiovisual and print production costs </w:t>
            </w:r>
          </w:p>
        </w:tc>
        <w:tc>
          <w:tcPr>
            <w:tcW w:w="283" w:type="pct"/>
            <w:tcBorders>
              <w:top w:val="nil"/>
              <w:left w:val="nil"/>
              <w:bottom w:val="single" w:sz="4" w:space="0" w:color="auto"/>
              <w:right w:val="single" w:sz="4" w:space="0" w:color="auto"/>
            </w:tcBorders>
            <w:vAlign w:val="center"/>
            <w:hideMark/>
          </w:tcPr>
          <w:p w14:paraId="40867C07"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 </w:t>
            </w:r>
          </w:p>
        </w:tc>
        <w:tc>
          <w:tcPr>
            <w:tcW w:w="283" w:type="pct"/>
            <w:tcBorders>
              <w:top w:val="nil"/>
              <w:left w:val="nil"/>
              <w:bottom w:val="single" w:sz="4" w:space="0" w:color="auto"/>
              <w:right w:val="single" w:sz="4" w:space="0" w:color="auto"/>
            </w:tcBorders>
            <w:vAlign w:val="center"/>
            <w:hideMark/>
          </w:tcPr>
          <w:p w14:paraId="0250ED97"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 </w:t>
            </w:r>
          </w:p>
        </w:tc>
        <w:tc>
          <w:tcPr>
            <w:tcW w:w="317" w:type="pct"/>
            <w:tcBorders>
              <w:top w:val="nil"/>
              <w:left w:val="nil"/>
              <w:bottom w:val="single" w:sz="4" w:space="0" w:color="auto"/>
              <w:right w:val="single" w:sz="4" w:space="0" w:color="auto"/>
            </w:tcBorders>
            <w:vAlign w:val="center"/>
            <w:hideMark/>
          </w:tcPr>
          <w:p w14:paraId="75B7738C"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15,000 </w:t>
            </w:r>
          </w:p>
        </w:tc>
        <w:tc>
          <w:tcPr>
            <w:tcW w:w="317" w:type="pct"/>
            <w:tcBorders>
              <w:top w:val="nil"/>
              <w:left w:val="nil"/>
              <w:bottom w:val="single" w:sz="4" w:space="0" w:color="auto"/>
              <w:right w:val="single" w:sz="4" w:space="0" w:color="auto"/>
            </w:tcBorders>
            <w:vAlign w:val="center"/>
            <w:hideMark/>
          </w:tcPr>
          <w:p w14:paraId="19D8BCD2"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14,000 </w:t>
            </w:r>
          </w:p>
        </w:tc>
        <w:tc>
          <w:tcPr>
            <w:tcW w:w="317" w:type="pct"/>
            <w:tcBorders>
              <w:top w:val="nil"/>
              <w:left w:val="nil"/>
              <w:bottom w:val="single" w:sz="4" w:space="0" w:color="auto"/>
              <w:right w:val="single" w:sz="4" w:space="0" w:color="auto"/>
            </w:tcBorders>
            <w:vAlign w:val="center"/>
            <w:hideMark/>
          </w:tcPr>
          <w:p w14:paraId="2AD0918B"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 </w:t>
            </w:r>
          </w:p>
        </w:tc>
        <w:tc>
          <w:tcPr>
            <w:tcW w:w="283" w:type="pct"/>
            <w:tcBorders>
              <w:top w:val="nil"/>
              <w:left w:val="nil"/>
              <w:bottom w:val="single" w:sz="4" w:space="0" w:color="auto"/>
              <w:right w:val="single" w:sz="4" w:space="0" w:color="auto"/>
            </w:tcBorders>
            <w:vAlign w:val="center"/>
            <w:hideMark/>
          </w:tcPr>
          <w:p w14:paraId="1E6C3F64"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 </w:t>
            </w:r>
          </w:p>
        </w:tc>
        <w:tc>
          <w:tcPr>
            <w:tcW w:w="352" w:type="pct"/>
            <w:tcBorders>
              <w:top w:val="nil"/>
              <w:left w:val="nil"/>
              <w:bottom w:val="single" w:sz="4" w:space="0" w:color="auto"/>
              <w:right w:val="single" w:sz="4" w:space="0" w:color="auto"/>
            </w:tcBorders>
            <w:vAlign w:val="center"/>
            <w:hideMark/>
          </w:tcPr>
          <w:p w14:paraId="39C89427"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69,000 </w:t>
            </w:r>
          </w:p>
        </w:tc>
        <w:tc>
          <w:tcPr>
            <w:tcW w:w="211" w:type="pct"/>
            <w:tcBorders>
              <w:top w:val="nil"/>
              <w:left w:val="nil"/>
              <w:bottom w:val="single" w:sz="4" w:space="0" w:color="auto"/>
              <w:right w:val="single" w:sz="4" w:space="0" w:color="auto"/>
            </w:tcBorders>
            <w:vAlign w:val="center"/>
            <w:hideMark/>
          </w:tcPr>
          <w:p w14:paraId="5EE8782E"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43</w:t>
            </w:r>
          </w:p>
        </w:tc>
        <w:tc>
          <w:tcPr>
            <w:tcW w:w="79" w:type="pct"/>
            <w:vAlign w:val="center"/>
            <w:hideMark/>
          </w:tcPr>
          <w:p w14:paraId="175758A7"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7A68D79F" w14:textId="77777777" w:rsidTr="008D1647">
        <w:trPr>
          <w:trHeight w:val="289"/>
        </w:trPr>
        <w:tc>
          <w:tcPr>
            <w:tcW w:w="383" w:type="pct"/>
            <w:vMerge/>
            <w:tcBorders>
              <w:top w:val="nil"/>
              <w:left w:val="single" w:sz="4" w:space="0" w:color="auto"/>
              <w:bottom w:val="single" w:sz="4" w:space="0" w:color="auto"/>
              <w:right w:val="single" w:sz="4" w:space="0" w:color="auto"/>
            </w:tcBorders>
            <w:vAlign w:val="center"/>
            <w:hideMark/>
          </w:tcPr>
          <w:p w14:paraId="08342F86"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550FDA08"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auto"/>
              <w:right w:val="single" w:sz="4" w:space="0" w:color="auto"/>
            </w:tcBorders>
            <w:vAlign w:val="center"/>
            <w:hideMark/>
          </w:tcPr>
          <w:p w14:paraId="5C2C4124"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tcBorders>
              <w:top w:val="nil"/>
              <w:left w:val="nil"/>
              <w:bottom w:val="single" w:sz="4" w:space="0" w:color="auto"/>
              <w:right w:val="single" w:sz="4" w:space="0" w:color="auto"/>
            </w:tcBorders>
            <w:shd w:val="clear" w:color="000000" w:fill="92D050"/>
            <w:vAlign w:val="center"/>
            <w:hideMark/>
          </w:tcPr>
          <w:p w14:paraId="28CBF2EC" w14:textId="77777777" w:rsidR="00427DF8" w:rsidRPr="00427DF8" w:rsidRDefault="00427DF8" w:rsidP="00427DF8">
            <w:pPr>
              <w:spacing w:after="0" w:line="240" w:lineRule="auto"/>
              <w:rPr>
                <w:rFonts w:eastAsia="Times New Roman"/>
                <w:b/>
                <w:bCs/>
                <w:color w:val="000000"/>
                <w:sz w:val="18"/>
                <w:szCs w:val="18"/>
                <w:lang w:val="en-US" w:eastAsia="en-US"/>
              </w:rPr>
            </w:pPr>
            <w:r w:rsidRPr="00427DF8">
              <w:rPr>
                <w:rFonts w:eastAsia="Times New Roman"/>
                <w:b/>
                <w:bCs/>
                <w:color w:val="000000"/>
                <w:sz w:val="18"/>
                <w:szCs w:val="18"/>
                <w:lang w:val="en-US" w:eastAsia="en-US"/>
              </w:rPr>
              <w:t> </w:t>
            </w:r>
          </w:p>
        </w:tc>
        <w:tc>
          <w:tcPr>
            <w:tcW w:w="254" w:type="pct"/>
            <w:tcBorders>
              <w:top w:val="nil"/>
              <w:left w:val="nil"/>
              <w:bottom w:val="nil"/>
              <w:right w:val="single" w:sz="4" w:space="0" w:color="auto"/>
            </w:tcBorders>
            <w:shd w:val="clear" w:color="000000" w:fill="92D050"/>
            <w:vAlign w:val="center"/>
            <w:hideMark/>
          </w:tcPr>
          <w:p w14:paraId="33331057" w14:textId="77777777" w:rsidR="00427DF8" w:rsidRPr="00427DF8" w:rsidRDefault="00427DF8" w:rsidP="00427DF8">
            <w:pPr>
              <w:spacing w:after="0" w:line="240" w:lineRule="auto"/>
              <w:rPr>
                <w:rFonts w:eastAsia="Times New Roman"/>
                <w:b/>
                <w:bCs/>
                <w:color w:val="000000"/>
                <w:sz w:val="18"/>
                <w:szCs w:val="18"/>
                <w:lang w:val="en-US" w:eastAsia="en-US"/>
              </w:rPr>
            </w:pPr>
            <w:r w:rsidRPr="00427DF8">
              <w:rPr>
                <w:rFonts w:eastAsia="Times New Roman"/>
                <w:b/>
                <w:bCs/>
                <w:color w:val="000000"/>
                <w:sz w:val="18"/>
                <w:szCs w:val="18"/>
                <w:lang w:val="en-US" w:eastAsia="en-US"/>
              </w:rPr>
              <w:t> </w:t>
            </w:r>
          </w:p>
        </w:tc>
        <w:tc>
          <w:tcPr>
            <w:tcW w:w="997" w:type="pct"/>
            <w:gridSpan w:val="2"/>
            <w:tcBorders>
              <w:top w:val="single" w:sz="4" w:space="0" w:color="auto"/>
              <w:left w:val="nil"/>
              <w:bottom w:val="single" w:sz="4" w:space="0" w:color="auto"/>
              <w:right w:val="single" w:sz="4" w:space="0" w:color="000000"/>
            </w:tcBorders>
            <w:shd w:val="clear" w:color="000000" w:fill="92D050"/>
            <w:vAlign w:val="center"/>
            <w:hideMark/>
          </w:tcPr>
          <w:p w14:paraId="4906B3D2" w14:textId="77777777" w:rsidR="00427DF8" w:rsidRPr="00427DF8" w:rsidRDefault="00427DF8" w:rsidP="00427DF8">
            <w:pPr>
              <w:spacing w:after="0" w:line="240" w:lineRule="auto"/>
              <w:jc w:val="right"/>
              <w:rPr>
                <w:rFonts w:eastAsia="Times New Roman"/>
                <w:b/>
                <w:bCs/>
                <w:color w:val="000000"/>
                <w:sz w:val="18"/>
                <w:szCs w:val="18"/>
                <w:lang w:val="en-US" w:eastAsia="en-US"/>
              </w:rPr>
            </w:pPr>
            <w:proofErr w:type="spellStart"/>
            <w:r w:rsidRPr="00427DF8">
              <w:rPr>
                <w:rFonts w:eastAsia="Times New Roman"/>
                <w:b/>
                <w:bCs/>
                <w:color w:val="000000"/>
                <w:sz w:val="18"/>
                <w:szCs w:val="18"/>
                <w:lang w:val="en-US" w:eastAsia="en-US"/>
              </w:rPr>
              <w:t>sub total</w:t>
            </w:r>
            <w:proofErr w:type="spellEnd"/>
            <w:r w:rsidRPr="00427DF8">
              <w:rPr>
                <w:rFonts w:eastAsia="Times New Roman"/>
                <w:b/>
                <w:bCs/>
                <w:color w:val="000000"/>
                <w:sz w:val="18"/>
                <w:szCs w:val="18"/>
                <w:lang w:val="en-US" w:eastAsia="en-US"/>
              </w:rPr>
              <w:t xml:space="preserve"> GEF</w:t>
            </w:r>
          </w:p>
        </w:tc>
        <w:tc>
          <w:tcPr>
            <w:tcW w:w="283" w:type="pct"/>
            <w:tcBorders>
              <w:top w:val="nil"/>
              <w:left w:val="nil"/>
              <w:bottom w:val="single" w:sz="4" w:space="0" w:color="auto"/>
              <w:right w:val="single" w:sz="4" w:space="0" w:color="auto"/>
            </w:tcBorders>
            <w:shd w:val="clear" w:color="000000" w:fill="92D050"/>
            <w:vAlign w:val="center"/>
            <w:hideMark/>
          </w:tcPr>
          <w:p w14:paraId="212D4D71"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28,750 </w:t>
            </w:r>
          </w:p>
        </w:tc>
        <w:tc>
          <w:tcPr>
            <w:tcW w:w="283" w:type="pct"/>
            <w:tcBorders>
              <w:top w:val="nil"/>
              <w:left w:val="nil"/>
              <w:bottom w:val="single" w:sz="4" w:space="0" w:color="auto"/>
              <w:right w:val="single" w:sz="4" w:space="0" w:color="auto"/>
            </w:tcBorders>
            <w:shd w:val="clear" w:color="000000" w:fill="92D050"/>
            <w:vAlign w:val="center"/>
            <w:hideMark/>
          </w:tcPr>
          <w:p w14:paraId="6200ACD5"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102,250 </w:t>
            </w:r>
          </w:p>
        </w:tc>
        <w:tc>
          <w:tcPr>
            <w:tcW w:w="317" w:type="pct"/>
            <w:tcBorders>
              <w:top w:val="nil"/>
              <w:left w:val="nil"/>
              <w:bottom w:val="single" w:sz="4" w:space="0" w:color="auto"/>
              <w:right w:val="single" w:sz="4" w:space="0" w:color="auto"/>
            </w:tcBorders>
            <w:shd w:val="clear" w:color="000000" w:fill="92D050"/>
            <w:vAlign w:val="center"/>
            <w:hideMark/>
          </w:tcPr>
          <w:p w14:paraId="4EF35DD7"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71,750 </w:t>
            </w:r>
          </w:p>
        </w:tc>
        <w:tc>
          <w:tcPr>
            <w:tcW w:w="317" w:type="pct"/>
            <w:tcBorders>
              <w:top w:val="nil"/>
              <w:left w:val="nil"/>
              <w:bottom w:val="single" w:sz="4" w:space="0" w:color="auto"/>
              <w:right w:val="single" w:sz="4" w:space="0" w:color="auto"/>
            </w:tcBorders>
            <w:shd w:val="clear" w:color="000000" w:fill="92D050"/>
            <w:vAlign w:val="center"/>
            <w:hideMark/>
          </w:tcPr>
          <w:p w14:paraId="6963E19C"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65,018 </w:t>
            </w:r>
          </w:p>
        </w:tc>
        <w:tc>
          <w:tcPr>
            <w:tcW w:w="317" w:type="pct"/>
            <w:tcBorders>
              <w:top w:val="nil"/>
              <w:left w:val="nil"/>
              <w:bottom w:val="single" w:sz="4" w:space="0" w:color="auto"/>
              <w:right w:val="single" w:sz="4" w:space="0" w:color="auto"/>
            </w:tcBorders>
            <w:shd w:val="clear" w:color="000000" w:fill="92D050"/>
            <w:vAlign w:val="center"/>
            <w:hideMark/>
          </w:tcPr>
          <w:p w14:paraId="37D31C14"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108,750 </w:t>
            </w:r>
          </w:p>
        </w:tc>
        <w:tc>
          <w:tcPr>
            <w:tcW w:w="283" w:type="pct"/>
            <w:tcBorders>
              <w:top w:val="nil"/>
              <w:left w:val="nil"/>
              <w:bottom w:val="single" w:sz="4" w:space="0" w:color="auto"/>
              <w:right w:val="single" w:sz="4" w:space="0" w:color="auto"/>
            </w:tcBorders>
            <w:shd w:val="clear" w:color="000000" w:fill="92D050"/>
            <w:vAlign w:val="center"/>
            <w:hideMark/>
          </w:tcPr>
          <w:p w14:paraId="38E8EF27"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15,250 </w:t>
            </w:r>
          </w:p>
        </w:tc>
        <w:tc>
          <w:tcPr>
            <w:tcW w:w="352" w:type="pct"/>
            <w:tcBorders>
              <w:top w:val="nil"/>
              <w:left w:val="nil"/>
              <w:bottom w:val="single" w:sz="4" w:space="0" w:color="auto"/>
              <w:right w:val="single" w:sz="4" w:space="0" w:color="auto"/>
            </w:tcBorders>
            <w:shd w:val="clear" w:color="000000" w:fill="92D050"/>
            <w:vAlign w:val="center"/>
            <w:hideMark/>
          </w:tcPr>
          <w:p w14:paraId="5B2B745F"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391,768 </w:t>
            </w:r>
          </w:p>
        </w:tc>
        <w:tc>
          <w:tcPr>
            <w:tcW w:w="211" w:type="pct"/>
            <w:tcBorders>
              <w:top w:val="nil"/>
              <w:left w:val="nil"/>
              <w:bottom w:val="single" w:sz="4" w:space="0" w:color="auto"/>
              <w:right w:val="single" w:sz="4" w:space="0" w:color="auto"/>
            </w:tcBorders>
            <w:shd w:val="clear" w:color="000000" w:fill="92D050"/>
            <w:vAlign w:val="center"/>
            <w:hideMark/>
          </w:tcPr>
          <w:p w14:paraId="2D1C4C1C"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79" w:type="pct"/>
            <w:vAlign w:val="center"/>
            <w:hideMark/>
          </w:tcPr>
          <w:p w14:paraId="31A0A1B8"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65BABE63" w14:textId="77777777" w:rsidTr="008D1647">
        <w:trPr>
          <w:trHeight w:val="289"/>
        </w:trPr>
        <w:tc>
          <w:tcPr>
            <w:tcW w:w="383" w:type="pct"/>
            <w:vMerge/>
            <w:tcBorders>
              <w:top w:val="nil"/>
              <w:left w:val="single" w:sz="4" w:space="0" w:color="auto"/>
              <w:bottom w:val="single" w:sz="4" w:space="0" w:color="auto"/>
              <w:right w:val="single" w:sz="4" w:space="0" w:color="auto"/>
            </w:tcBorders>
            <w:vAlign w:val="center"/>
            <w:hideMark/>
          </w:tcPr>
          <w:p w14:paraId="2324EF6A"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5B018AB3" w14:textId="77777777" w:rsidR="00427DF8" w:rsidRPr="00427DF8" w:rsidRDefault="00427DF8" w:rsidP="00427DF8">
            <w:pPr>
              <w:spacing w:after="0" w:line="240" w:lineRule="auto"/>
              <w:rPr>
                <w:rFonts w:eastAsia="Times New Roman"/>
                <w:color w:val="000000"/>
                <w:sz w:val="18"/>
                <w:szCs w:val="18"/>
                <w:lang w:val="en-US" w:eastAsia="en-US"/>
              </w:rPr>
            </w:pPr>
          </w:p>
        </w:tc>
        <w:tc>
          <w:tcPr>
            <w:tcW w:w="1807" w:type="pct"/>
            <w:gridSpan w:val="5"/>
            <w:tcBorders>
              <w:top w:val="single" w:sz="4" w:space="0" w:color="auto"/>
              <w:left w:val="nil"/>
              <w:bottom w:val="single" w:sz="4" w:space="0" w:color="auto"/>
              <w:right w:val="single" w:sz="4" w:space="0" w:color="000000"/>
            </w:tcBorders>
            <w:shd w:val="clear" w:color="000000" w:fill="FFCC66"/>
            <w:vAlign w:val="center"/>
            <w:hideMark/>
          </w:tcPr>
          <w:p w14:paraId="6532E305"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Sub Total Outcome 4.1</w:t>
            </w:r>
          </w:p>
        </w:tc>
        <w:tc>
          <w:tcPr>
            <w:tcW w:w="283" w:type="pct"/>
            <w:tcBorders>
              <w:top w:val="nil"/>
              <w:left w:val="nil"/>
              <w:bottom w:val="single" w:sz="4" w:space="0" w:color="auto"/>
              <w:right w:val="single" w:sz="4" w:space="0" w:color="auto"/>
            </w:tcBorders>
            <w:shd w:val="clear" w:color="000000" w:fill="FFCC66"/>
            <w:vAlign w:val="center"/>
            <w:hideMark/>
          </w:tcPr>
          <w:p w14:paraId="6C3C2987"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28,750 </w:t>
            </w:r>
          </w:p>
        </w:tc>
        <w:tc>
          <w:tcPr>
            <w:tcW w:w="283" w:type="pct"/>
            <w:tcBorders>
              <w:top w:val="nil"/>
              <w:left w:val="nil"/>
              <w:bottom w:val="single" w:sz="4" w:space="0" w:color="auto"/>
              <w:right w:val="single" w:sz="4" w:space="0" w:color="auto"/>
            </w:tcBorders>
            <w:shd w:val="clear" w:color="000000" w:fill="FFCC66"/>
            <w:vAlign w:val="center"/>
            <w:hideMark/>
          </w:tcPr>
          <w:p w14:paraId="5B1223C4"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102,250.00 </w:t>
            </w:r>
          </w:p>
        </w:tc>
        <w:tc>
          <w:tcPr>
            <w:tcW w:w="317" w:type="pct"/>
            <w:tcBorders>
              <w:top w:val="nil"/>
              <w:left w:val="nil"/>
              <w:bottom w:val="single" w:sz="4" w:space="0" w:color="auto"/>
              <w:right w:val="single" w:sz="4" w:space="0" w:color="auto"/>
            </w:tcBorders>
            <w:shd w:val="clear" w:color="000000" w:fill="FFCC66"/>
            <w:vAlign w:val="center"/>
            <w:hideMark/>
          </w:tcPr>
          <w:p w14:paraId="61F2FCA1"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71,750.00 </w:t>
            </w:r>
          </w:p>
        </w:tc>
        <w:tc>
          <w:tcPr>
            <w:tcW w:w="317" w:type="pct"/>
            <w:tcBorders>
              <w:top w:val="nil"/>
              <w:left w:val="nil"/>
              <w:bottom w:val="single" w:sz="4" w:space="0" w:color="auto"/>
              <w:right w:val="single" w:sz="4" w:space="0" w:color="auto"/>
            </w:tcBorders>
            <w:shd w:val="clear" w:color="000000" w:fill="FFCC66"/>
            <w:vAlign w:val="center"/>
            <w:hideMark/>
          </w:tcPr>
          <w:p w14:paraId="41D291F1"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65,018.00 </w:t>
            </w:r>
          </w:p>
        </w:tc>
        <w:tc>
          <w:tcPr>
            <w:tcW w:w="317" w:type="pct"/>
            <w:tcBorders>
              <w:top w:val="nil"/>
              <w:left w:val="nil"/>
              <w:bottom w:val="single" w:sz="4" w:space="0" w:color="auto"/>
              <w:right w:val="single" w:sz="4" w:space="0" w:color="auto"/>
            </w:tcBorders>
            <w:shd w:val="clear" w:color="000000" w:fill="FFCC66"/>
            <w:vAlign w:val="center"/>
            <w:hideMark/>
          </w:tcPr>
          <w:p w14:paraId="4635A224"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108,750.00 </w:t>
            </w:r>
          </w:p>
        </w:tc>
        <w:tc>
          <w:tcPr>
            <w:tcW w:w="283" w:type="pct"/>
            <w:tcBorders>
              <w:top w:val="nil"/>
              <w:left w:val="nil"/>
              <w:bottom w:val="single" w:sz="4" w:space="0" w:color="auto"/>
              <w:right w:val="single" w:sz="4" w:space="0" w:color="auto"/>
            </w:tcBorders>
            <w:shd w:val="clear" w:color="000000" w:fill="FFCC66"/>
            <w:vAlign w:val="center"/>
            <w:hideMark/>
          </w:tcPr>
          <w:p w14:paraId="129A25E2"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15,250.00 </w:t>
            </w:r>
          </w:p>
        </w:tc>
        <w:tc>
          <w:tcPr>
            <w:tcW w:w="352" w:type="pct"/>
            <w:tcBorders>
              <w:top w:val="nil"/>
              <w:left w:val="nil"/>
              <w:bottom w:val="single" w:sz="4" w:space="0" w:color="auto"/>
              <w:right w:val="single" w:sz="4" w:space="0" w:color="auto"/>
            </w:tcBorders>
            <w:shd w:val="clear" w:color="000000" w:fill="FFCC66"/>
            <w:vAlign w:val="center"/>
            <w:hideMark/>
          </w:tcPr>
          <w:p w14:paraId="3EAC0AAC"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391,768.00 </w:t>
            </w:r>
          </w:p>
        </w:tc>
        <w:tc>
          <w:tcPr>
            <w:tcW w:w="211" w:type="pct"/>
            <w:tcBorders>
              <w:top w:val="nil"/>
              <w:left w:val="nil"/>
              <w:bottom w:val="single" w:sz="4" w:space="0" w:color="auto"/>
              <w:right w:val="single" w:sz="4" w:space="0" w:color="auto"/>
            </w:tcBorders>
            <w:shd w:val="clear" w:color="000000" w:fill="FFCC66"/>
            <w:vAlign w:val="center"/>
            <w:hideMark/>
          </w:tcPr>
          <w:p w14:paraId="69222B78"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79" w:type="pct"/>
            <w:vAlign w:val="center"/>
            <w:hideMark/>
          </w:tcPr>
          <w:p w14:paraId="5EEA8344"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5BEE785C" w14:textId="77777777" w:rsidTr="008D1647">
        <w:trPr>
          <w:trHeight w:val="289"/>
        </w:trPr>
        <w:tc>
          <w:tcPr>
            <w:tcW w:w="383" w:type="pct"/>
            <w:vMerge w:val="restart"/>
            <w:tcBorders>
              <w:top w:val="nil"/>
              <w:left w:val="single" w:sz="4" w:space="0" w:color="auto"/>
              <w:bottom w:val="single" w:sz="4" w:space="0" w:color="auto"/>
              <w:right w:val="single" w:sz="4" w:space="0" w:color="auto"/>
            </w:tcBorders>
            <w:vAlign w:val="center"/>
            <w:hideMark/>
          </w:tcPr>
          <w:p w14:paraId="4826D161" w14:textId="77777777" w:rsidR="00427DF8" w:rsidRPr="00427DF8" w:rsidRDefault="00427DF8" w:rsidP="00427DF8">
            <w:pPr>
              <w:spacing w:after="0" w:line="240" w:lineRule="auto"/>
              <w:rPr>
                <w:rFonts w:eastAsia="Times New Roman"/>
                <w:b/>
                <w:bCs/>
                <w:color w:val="000000"/>
                <w:sz w:val="18"/>
                <w:szCs w:val="18"/>
                <w:lang w:val="en-US" w:eastAsia="en-US"/>
              </w:rPr>
            </w:pPr>
            <w:r w:rsidRPr="00427DF8">
              <w:rPr>
                <w:rFonts w:eastAsia="Times New Roman"/>
                <w:b/>
                <w:bCs/>
                <w:color w:val="000000"/>
                <w:sz w:val="18"/>
                <w:szCs w:val="18"/>
                <w:lang w:val="en-US" w:eastAsia="en-US"/>
              </w:rPr>
              <w:t>Component 5: Monitoring and evaluation (do not exceed 5% 237k$)</w:t>
            </w:r>
          </w:p>
        </w:tc>
        <w:tc>
          <w:tcPr>
            <w:tcW w:w="370" w:type="pct"/>
            <w:vMerge w:val="restart"/>
            <w:tcBorders>
              <w:top w:val="nil"/>
              <w:left w:val="single" w:sz="4" w:space="0" w:color="auto"/>
              <w:bottom w:val="single" w:sz="4" w:space="0" w:color="000000"/>
              <w:right w:val="single" w:sz="4" w:space="0" w:color="auto"/>
            </w:tcBorders>
            <w:vAlign w:val="center"/>
            <w:hideMark/>
          </w:tcPr>
          <w:p w14:paraId="143B41EB"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Outcome 5.1 An effective project implementation framework is in place</w:t>
            </w:r>
          </w:p>
        </w:tc>
        <w:tc>
          <w:tcPr>
            <w:tcW w:w="302" w:type="pct"/>
            <w:vMerge w:val="restart"/>
            <w:tcBorders>
              <w:top w:val="nil"/>
              <w:left w:val="single" w:sz="4" w:space="0" w:color="auto"/>
              <w:bottom w:val="single" w:sz="4" w:space="0" w:color="000000"/>
              <w:right w:val="single" w:sz="4" w:space="0" w:color="auto"/>
            </w:tcBorders>
            <w:vAlign w:val="center"/>
            <w:hideMark/>
          </w:tcPr>
          <w:p w14:paraId="405C9961"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UNDP</w:t>
            </w:r>
          </w:p>
        </w:tc>
        <w:tc>
          <w:tcPr>
            <w:tcW w:w="254" w:type="pct"/>
            <w:vMerge w:val="restart"/>
            <w:tcBorders>
              <w:top w:val="nil"/>
              <w:left w:val="single" w:sz="4" w:space="0" w:color="auto"/>
              <w:bottom w:val="nil"/>
              <w:right w:val="single" w:sz="4" w:space="0" w:color="auto"/>
            </w:tcBorders>
            <w:vAlign w:val="center"/>
            <w:hideMark/>
          </w:tcPr>
          <w:p w14:paraId="3B75033E"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62000 </w:t>
            </w:r>
            <w:r w:rsidRPr="00427DF8">
              <w:rPr>
                <w:rFonts w:eastAsia="Times New Roman"/>
                <w:color w:val="000000"/>
                <w:sz w:val="18"/>
                <w:szCs w:val="18"/>
                <w:lang w:val="en-US" w:eastAsia="en-US"/>
              </w:rPr>
              <w:t> </w:t>
            </w:r>
          </w:p>
        </w:tc>
        <w:tc>
          <w:tcPr>
            <w:tcW w:w="254" w:type="pct"/>
            <w:vMerge w:val="restart"/>
            <w:tcBorders>
              <w:top w:val="nil"/>
              <w:left w:val="single" w:sz="4" w:space="0" w:color="auto"/>
              <w:bottom w:val="nil"/>
              <w:right w:val="single" w:sz="4" w:space="0" w:color="auto"/>
            </w:tcBorders>
            <w:vAlign w:val="center"/>
            <w:hideMark/>
          </w:tcPr>
          <w:p w14:paraId="130A35AC"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10003</w:t>
            </w:r>
          </w:p>
        </w:tc>
        <w:tc>
          <w:tcPr>
            <w:tcW w:w="269" w:type="pct"/>
            <w:tcBorders>
              <w:top w:val="nil"/>
              <w:left w:val="nil"/>
              <w:bottom w:val="single" w:sz="4" w:space="0" w:color="auto"/>
              <w:right w:val="single" w:sz="4" w:space="0" w:color="auto"/>
            </w:tcBorders>
            <w:vAlign w:val="center"/>
            <w:hideMark/>
          </w:tcPr>
          <w:p w14:paraId="09B9BA4A" w14:textId="77777777" w:rsidR="00427DF8" w:rsidRPr="00427DF8" w:rsidRDefault="00427DF8" w:rsidP="00427DF8">
            <w:pPr>
              <w:spacing w:after="0" w:line="240" w:lineRule="auto"/>
              <w:jc w:val="center"/>
              <w:rPr>
                <w:rFonts w:eastAsia="Times New Roman"/>
                <w:sz w:val="18"/>
                <w:szCs w:val="18"/>
                <w:lang w:val="en-US" w:eastAsia="en-US"/>
              </w:rPr>
            </w:pPr>
            <w:r w:rsidRPr="00427DF8">
              <w:rPr>
                <w:rFonts w:eastAsia="Times New Roman"/>
                <w:sz w:val="18"/>
                <w:szCs w:val="18"/>
                <w:lang w:val="en-US" w:eastAsia="en-US"/>
              </w:rPr>
              <w:t>71200  </w:t>
            </w:r>
          </w:p>
        </w:tc>
        <w:tc>
          <w:tcPr>
            <w:tcW w:w="728" w:type="pct"/>
            <w:tcBorders>
              <w:top w:val="nil"/>
              <w:left w:val="nil"/>
              <w:bottom w:val="single" w:sz="4" w:space="0" w:color="auto"/>
              <w:right w:val="single" w:sz="4" w:space="0" w:color="auto"/>
            </w:tcBorders>
            <w:vAlign w:val="center"/>
            <w:hideMark/>
          </w:tcPr>
          <w:p w14:paraId="352C6234"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Consultant international </w:t>
            </w:r>
          </w:p>
        </w:tc>
        <w:tc>
          <w:tcPr>
            <w:tcW w:w="283" w:type="pct"/>
            <w:tcBorders>
              <w:top w:val="nil"/>
              <w:left w:val="nil"/>
              <w:bottom w:val="single" w:sz="4" w:space="0" w:color="auto"/>
              <w:right w:val="single" w:sz="4" w:space="0" w:color="auto"/>
            </w:tcBorders>
            <w:vAlign w:val="center"/>
            <w:hideMark/>
          </w:tcPr>
          <w:p w14:paraId="02C03D03"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23F14095"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79475936"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17,500.00 </w:t>
            </w:r>
          </w:p>
        </w:tc>
        <w:tc>
          <w:tcPr>
            <w:tcW w:w="317" w:type="pct"/>
            <w:tcBorders>
              <w:top w:val="nil"/>
              <w:left w:val="nil"/>
              <w:bottom w:val="single" w:sz="4" w:space="0" w:color="auto"/>
              <w:right w:val="single" w:sz="4" w:space="0" w:color="auto"/>
            </w:tcBorders>
            <w:vAlign w:val="center"/>
            <w:hideMark/>
          </w:tcPr>
          <w:p w14:paraId="41366F98"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6063E12D"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25,000.00 </w:t>
            </w:r>
          </w:p>
        </w:tc>
        <w:tc>
          <w:tcPr>
            <w:tcW w:w="283" w:type="pct"/>
            <w:tcBorders>
              <w:top w:val="nil"/>
              <w:left w:val="nil"/>
              <w:bottom w:val="single" w:sz="4" w:space="0" w:color="auto"/>
              <w:right w:val="single" w:sz="4" w:space="0" w:color="auto"/>
            </w:tcBorders>
            <w:vAlign w:val="center"/>
            <w:hideMark/>
          </w:tcPr>
          <w:p w14:paraId="72C255B5"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245F0335"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42,500.00 </w:t>
            </w:r>
          </w:p>
        </w:tc>
        <w:tc>
          <w:tcPr>
            <w:tcW w:w="211" w:type="pct"/>
            <w:tcBorders>
              <w:top w:val="nil"/>
              <w:left w:val="nil"/>
              <w:bottom w:val="single" w:sz="4" w:space="0" w:color="auto"/>
              <w:right w:val="single" w:sz="4" w:space="0" w:color="auto"/>
            </w:tcBorders>
            <w:vAlign w:val="center"/>
            <w:hideMark/>
          </w:tcPr>
          <w:p w14:paraId="6C0AC4DE"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44</w:t>
            </w:r>
          </w:p>
        </w:tc>
        <w:tc>
          <w:tcPr>
            <w:tcW w:w="79" w:type="pct"/>
            <w:vAlign w:val="center"/>
            <w:hideMark/>
          </w:tcPr>
          <w:p w14:paraId="742F76D3"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103FCF18" w14:textId="77777777" w:rsidTr="008D1647">
        <w:trPr>
          <w:trHeight w:val="300"/>
        </w:trPr>
        <w:tc>
          <w:tcPr>
            <w:tcW w:w="383" w:type="pct"/>
            <w:vMerge/>
            <w:tcBorders>
              <w:top w:val="nil"/>
              <w:left w:val="single" w:sz="4" w:space="0" w:color="auto"/>
              <w:bottom w:val="single" w:sz="4" w:space="0" w:color="auto"/>
              <w:right w:val="single" w:sz="4" w:space="0" w:color="auto"/>
            </w:tcBorders>
            <w:vAlign w:val="center"/>
            <w:hideMark/>
          </w:tcPr>
          <w:p w14:paraId="668C3710"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2C295241"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single" w:sz="4" w:space="0" w:color="auto"/>
            </w:tcBorders>
            <w:vAlign w:val="center"/>
            <w:hideMark/>
          </w:tcPr>
          <w:p w14:paraId="4845619A"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28BE308E"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235988BC"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3CDF6346" w14:textId="77777777" w:rsidR="00427DF8" w:rsidRPr="00427DF8" w:rsidRDefault="00427DF8" w:rsidP="00427DF8">
            <w:pPr>
              <w:spacing w:after="0" w:line="240" w:lineRule="auto"/>
              <w:jc w:val="center"/>
              <w:rPr>
                <w:rFonts w:eastAsia="Times New Roman"/>
                <w:sz w:val="18"/>
                <w:szCs w:val="18"/>
                <w:lang w:val="en-US" w:eastAsia="en-US"/>
              </w:rPr>
            </w:pPr>
            <w:r w:rsidRPr="00427DF8">
              <w:rPr>
                <w:rFonts w:eastAsia="Times New Roman"/>
                <w:sz w:val="18"/>
                <w:szCs w:val="18"/>
                <w:lang w:val="en-US" w:eastAsia="en-US"/>
              </w:rPr>
              <w:t> 71300  </w:t>
            </w:r>
          </w:p>
        </w:tc>
        <w:tc>
          <w:tcPr>
            <w:tcW w:w="728" w:type="pct"/>
            <w:tcBorders>
              <w:top w:val="nil"/>
              <w:left w:val="nil"/>
              <w:bottom w:val="single" w:sz="4" w:space="0" w:color="auto"/>
              <w:right w:val="single" w:sz="4" w:space="0" w:color="auto"/>
            </w:tcBorders>
            <w:vAlign w:val="center"/>
            <w:hideMark/>
          </w:tcPr>
          <w:p w14:paraId="60F03923"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Local consultants  </w:t>
            </w:r>
          </w:p>
        </w:tc>
        <w:tc>
          <w:tcPr>
            <w:tcW w:w="283" w:type="pct"/>
            <w:tcBorders>
              <w:top w:val="nil"/>
              <w:left w:val="nil"/>
              <w:bottom w:val="single" w:sz="4" w:space="0" w:color="auto"/>
              <w:right w:val="single" w:sz="4" w:space="0" w:color="auto"/>
            </w:tcBorders>
            <w:vAlign w:val="center"/>
            <w:hideMark/>
          </w:tcPr>
          <w:p w14:paraId="7ACCE334"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21354CE3"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14D351D8"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9,000.00 </w:t>
            </w:r>
          </w:p>
        </w:tc>
        <w:tc>
          <w:tcPr>
            <w:tcW w:w="317" w:type="pct"/>
            <w:tcBorders>
              <w:top w:val="nil"/>
              <w:left w:val="nil"/>
              <w:bottom w:val="single" w:sz="4" w:space="0" w:color="auto"/>
              <w:right w:val="single" w:sz="4" w:space="0" w:color="auto"/>
            </w:tcBorders>
            <w:vAlign w:val="center"/>
            <w:hideMark/>
          </w:tcPr>
          <w:p w14:paraId="09F799D9"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7AD5CD28"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13,500.00 </w:t>
            </w:r>
          </w:p>
        </w:tc>
        <w:tc>
          <w:tcPr>
            <w:tcW w:w="283" w:type="pct"/>
            <w:tcBorders>
              <w:top w:val="nil"/>
              <w:left w:val="nil"/>
              <w:bottom w:val="single" w:sz="4" w:space="0" w:color="auto"/>
              <w:right w:val="single" w:sz="4" w:space="0" w:color="auto"/>
            </w:tcBorders>
            <w:vAlign w:val="center"/>
            <w:hideMark/>
          </w:tcPr>
          <w:p w14:paraId="772C61A0"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7CAA3F1E"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22,500.00 </w:t>
            </w:r>
          </w:p>
        </w:tc>
        <w:tc>
          <w:tcPr>
            <w:tcW w:w="211" w:type="pct"/>
            <w:tcBorders>
              <w:top w:val="nil"/>
              <w:left w:val="nil"/>
              <w:bottom w:val="single" w:sz="4" w:space="0" w:color="auto"/>
              <w:right w:val="single" w:sz="4" w:space="0" w:color="auto"/>
            </w:tcBorders>
            <w:vAlign w:val="center"/>
            <w:hideMark/>
          </w:tcPr>
          <w:p w14:paraId="2A4455D0"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45</w:t>
            </w:r>
          </w:p>
        </w:tc>
        <w:tc>
          <w:tcPr>
            <w:tcW w:w="79" w:type="pct"/>
            <w:vAlign w:val="center"/>
            <w:hideMark/>
          </w:tcPr>
          <w:p w14:paraId="1A9CE667"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13FE5C49" w14:textId="77777777" w:rsidTr="008D1647">
        <w:trPr>
          <w:trHeight w:val="300"/>
        </w:trPr>
        <w:tc>
          <w:tcPr>
            <w:tcW w:w="383" w:type="pct"/>
            <w:vMerge/>
            <w:tcBorders>
              <w:top w:val="nil"/>
              <w:left w:val="single" w:sz="4" w:space="0" w:color="auto"/>
              <w:bottom w:val="single" w:sz="4" w:space="0" w:color="auto"/>
              <w:right w:val="single" w:sz="4" w:space="0" w:color="auto"/>
            </w:tcBorders>
            <w:vAlign w:val="center"/>
            <w:hideMark/>
          </w:tcPr>
          <w:p w14:paraId="7AF87EBE"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2A23339D"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val="restart"/>
            <w:tcBorders>
              <w:top w:val="nil"/>
              <w:left w:val="single" w:sz="4" w:space="0" w:color="auto"/>
              <w:bottom w:val="single" w:sz="4" w:space="0" w:color="000000"/>
              <w:right w:val="nil"/>
            </w:tcBorders>
            <w:vAlign w:val="center"/>
            <w:hideMark/>
          </w:tcPr>
          <w:p w14:paraId="237FD9CA"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NDUPH</w:t>
            </w:r>
          </w:p>
        </w:tc>
        <w:tc>
          <w:tcPr>
            <w:tcW w:w="254" w:type="pct"/>
            <w:vMerge/>
            <w:tcBorders>
              <w:top w:val="nil"/>
              <w:left w:val="single" w:sz="4" w:space="0" w:color="auto"/>
              <w:bottom w:val="nil"/>
              <w:right w:val="single" w:sz="4" w:space="0" w:color="auto"/>
            </w:tcBorders>
            <w:vAlign w:val="center"/>
            <w:hideMark/>
          </w:tcPr>
          <w:p w14:paraId="7AD2E65B"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07DC384F"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2668DCEF" w14:textId="77777777" w:rsidR="00427DF8" w:rsidRPr="00427DF8" w:rsidRDefault="00427DF8" w:rsidP="00427DF8">
            <w:pPr>
              <w:spacing w:after="0" w:line="240" w:lineRule="auto"/>
              <w:jc w:val="center"/>
              <w:rPr>
                <w:rFonts w:eastAsia="Times New Roman"/>
                <w:sz w:val="18"/>
                <w:szCs w:val="18"/>
                <w:lang w:val="en-US" w:eastAsia="en-US"/>
              </w:rPr>
            </w:pPr>
            <w:r w:rsidRPr="00427DF8">
              <w:rPr>
                <w:rFonts w:eastAsia="Times New Roman"/>
                <w:sz w:val="18"/>
                <w:szCs w:val="18"/>
                <w:lang w:val="en-US" w:eastAsia="en-US"/>
              </w:rPr>
              <w:t> 71600  </w:t>
            </w:r>
          </w:p>
        </w:tc>
        <w:tc>
          <w:tcPr>
            <w:tcW w:w="728" w:type="pct"/>
            <w:tcBorders>
              <w:top w:val="nil"/>
              <w:left w:val="nil"/>
              <w:bottom w:val="single" w:sz="4" w:space="0" w:color="auto"/>
              <w:right w:val="single" w:sz="4" w:space="0" w:color="auto"/>
            </w:tcBorders>
            <w:vAlign w:val="center"/>
            <w:hideMark/>
          </w:tcPr>
          <w:p w14:paraId="1FF07313"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Travel </w:t>
            </w:r>
          </w:p>
        </w:tc>
        <w:tc>
          <w:tcPr>
            <w:tcW w:w="283" w:type="pct"/>
            <w:tcBorders>
              <w:top w:val="nil"/>
              <w:left w:val="nil"/>
              <w:bottom w:val="single" w:sz="4" w:space="0" w:color="auto"/>
              <w:right w:val="single" w:sz="4" w:space="0" w:color="auto"/>
            </w:tcBorders>
            <w:vAlign w:val="center"/>
            <w:hideMark/>
          </w:tcPr>
          <w:p w14:paraId="667B66DB"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1,000.00 </w:t>
            </w:r>
          </w:p>
        </w:tc>
        <w:tc>
          <w:tcPr>
            <w:tcW w:w="283" w:type="pct"/>
            <w:tcBorders>
              <w:top w:val="nil"/>
              <w:left w:val="nil"/>
              <w:bottom w:val="single" w:sz="4" w:space="0" w:color="auto"/>
              <w:right w:val="single" w:sz="4" w:space="0" w:color="auto"/>
            </w:tcBorders>
            <w:vAlign w:val="center"/>
            <w:hideMark/>
          </w:tcPr>
          <w:p w14:paraId="2725E04A"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1,000.00 </w:t>
            </w:r>
          </w:p>
        </w:tc>
        <w:tc>
          <w:tcPr>
            <w:tcW w:w="317" w:type="pct"/>
            <w:tcBorders>
              <w:top w:val="nil"/>
              <w:left w:val="nil"/>
              <w:bottom w:val="single" w:sz="4" w:space="0" w:color="auto"/>
              <w:right w:val="single" w:sz="4" w:space="0" w:color="auto"/>
            </w:tcBorders>
            <w:vAlign w:val="center"/>
            <w:hideMark/>
          </w:tcPr>
          <w:p w14:paraId="731A2C9B"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3,000.00 </w:t>
            </w:r>
          </w:p>
        </w:tc>
        <w:tc>
          <w:tcPr>
            <w:tcW w:w="317" w:type="pct"/>
            <w:tcBorders>
              <w:top w:val="nil"/>
              <w:left w:val="nil"/>
              <w:bottom w:val="single" w:sz="4" w:space="0" w:color="auto"/>
              <w:right w:val="single" w:sz="4" w:space="0" w:color="auto"/>
            </w:tcBorders>
            <w:vAlign w:val="center"/>
            <w:hideMark/>
          </w:tcPr>
          <w:p w14:paraId="4E2E1937"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1,000.00 </w:t>
            </w:r>
          </w:p>
        </w:tc>
        <w:tc>
          <w:tcPr>
            <w:tcW w:w="317" w:type="pct"/>
            <w:tcBorders>
              <w:top w:val="nil"/>
              <w:left w:val="nil"/>
              <w:bottom w:val="single" w:sz="4" w:space="0" w:color="auto"/>
              <w:right w:val="single" w:sz="4" w:space="0" w:color="auto"/>
            </w:tcBorders>
            <w:vAlign w:val="center"/>
            <w:hideMark/>
          </w:tcPr>
          <w:p w14:paraId="598A23D4"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3,450.00 </w:t>
            </w:r>
          </w:p>
        </w:tc>
        <w:tc>
          <w:tcPr>
            <w:tcW w:w="283" w:type="pct"/>
            <w:tcBorders>
              <w:top w:val="nil"/>
              <w:left w:val="nil"/>
              <w:bottom w:val="single" w:sz="4" w:space="0" w:color="auto"/>
              <w:right w:val="single" w:sz="4" w:space="0" w:color="auto"/>
            </w:tcBorders>
            <w:vAlign w:val="center"/>
            <w:hideMark/>
          </w:tcPr>
          <w:p w14:paraId="238D557B"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001524E2"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9,450.00 </w:t>
            </w:r>
          </w:p>
        </w:tc>
        <w:tc>
          <w:tcPr>
            <w:tcW w:w="211" w:type="pct"/>
            <w:tcBorders>
              <w:top w:val="nil"/>
              <w:left w:val="nil"/>
              <w:bottom w:val="single" w:sz="4" w:space="0" w:color="auto"/>
              <w:right w:val="single" w:sz="4" w:space="0" w:color="auto"/>
            </w:tcBorders>
            <w:vAlign w:val="center"/>
            <w:hideMark/>
          </w:tcPr>
          <w:p w14:paraId="4634935F"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46</w:t>
            </w:r>
          </w:p>
        </w:tc>
        <w:tc>
          <w:tcPr>
            <w:tcW w:w="79" w:type="pct"/>
            <w:vAlign w:val="center"/>
            <w:hideMark/>
          </w:tcPr>
          <w:p w14:paraId="6A066FDD"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5BB34B55" w14:textId="77777777" w:rsidTr="008D1647">
        <w:trPr>
          <w:trHeight w:val="289"/>
        </w:trPr>
        <w:tc>
          <w:tcPr>
            <w:tcW w:w="383" w:type="pct"/>
            <w:vMerge/>
            <w:tcBorders>
              <w:top w:val="nil"/>
              <w:left w:val="single" w:sz="4" w:space="0" w:color="auto"/>
              <w:bottom w:val="single" w:sz="4" w:space="0" w:color="auto"/>
              <w:right w:val="single" w:sz="4" w:space="0" w:color="auto"/>
            </w:tcBorders>
            <w:vAlign w:val="center"/>
            <w:hideMark/>
          </w:tcPr>
          <w:p w14:paraId="20271EAF"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17D0E1F7"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nil"/>
            </w:tcBorders>
            <w:vAlign w:val="center"/>
            <w:hideMark/>
          </w:tcPr>
          <w:p w14:paraId="437971A9"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250A2B53"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122CDB35"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vMerge w:val="restart"/>
            <w:tcBorders>
              <w:top w:val="nil"/>
              <w:left w:val="single" w:sz="4" w:space="0" w:color="auto"/>
              <w:bottom w:val="single" w:sz="4" w:space="0" w:color="000000"/>
              <w:right w:val="single" w:sz="4" w:space="0" w:color="auto"/>
            </w:tcBorders>
            <w:vAlign w:val="center"/>
            <w:hideMark/>
          </w:tcPr>
          <w:p w14:paraId="5DE241BD" w14:textId="77777777" w:rsidR="00427DF8" w:rsidRPr="00427DF8" w:rsidRDefault="00427DF8" w:rsidP="00427DF8">
            <w:pPr>
              <w:spacing w:after="0" w:line="240" w:lineRule="auto"/>
              <w:jc w:val="center"/>
              <w:rPr>
                <w:rFonts w:eastAsia="Times New Roman"/>
                <w:sz w:val="18"/>
                <w:szCs w:val="18"/>
                <w:lang w:val="en-US" w:eastAsia="en-US"/>
              </w:rPr>
            </w:pPr>
            <w:r w:rsidRPr="00427DF8">
              <w:rPr>
                <w:rFonts w:eastAsia="Times New Roman"/>
                <w:sz w:val="18"/>
                <w:szCs w:val="18"/>
                <w:lang w:val="en-US" w:eastAsia="en-US"/>
              </w:rPr>
              <w:t>71500</w:t>
            </w:r>
          </w:p>
        </w:tc>
        <w:tc>
          <w:tcPr>
            <w:tcW w:w="728" w:type="pct"/>
            <w:vMerge w:val="restart"/>
            <w:tcBorders>
              <w:top w:val="nil"/>
              <w:left w:val="single" w:sz="4" w:space="0" w:color="auto"/>
              <w:bottom w:val="single" w:sz="4" w:space="0" w:color="000000"/>
              <w:right w:val="single" w:sz="4" w:space="0" w:color="auto"/>
            </w:tcBorders>
            <w:vAlign w:val="center"/>
            <w:hideMark/>
          </w:tcPr>
          <w:p w14:paraId="4C00E66C"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 xml:space="preserve">United Nations Volunteer (Gender and ESS + M&amp;E specialist UNV) </w:t>
            </w:r>
          </w:p>
        </w:tc>
        <w:tc>
          <w:tcPr>
            <w:tcW w:w="283" w:type="pct"/>
            <w:vMerge w:val="restart"/>
            <w:tcBorders>
              <w:top w:val="nil"/>
              <w:left w:val="single" w:sz="4" w:space="0" w:color="auto"/>
              <w:bottom w:val="single" w:sz="4" w:space="0" w:color="000000"/>
              <w:right w:val="single" w:sz="4" w:space="0" w:color="auto"/>
            </w:tcBorders>
            <w:vAlign w:val="center"/>
            <w:hideMark/>
          </w:tcPr>
          <w:p w14:paraId="59949340"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 xml:space="preserve">                 18,000.00 </w:t>
            </w:r>
          </w:p>
        </w:tc>
        <w:tc>
          <w:tcPr>
            <w:tcW w:w="283" w:type="pct"/>
            <w:vMerge w:val="restart"/>
            <w:tcBorders>
              <w:top w:val="nil"/>
              <w:left w:val="single" w:sz="4" w:space="0" w:color="auto"/>
              <w:bottom w:val="single" w:sz="4" w:space="0" w:color="000000"/>
              <w:right w:val="single" w:sz="4" w:space="0" w:color="auto"/>
            </w:tcBorders>
            <w:vAlign w:val="center"/>
            <w:hideMark/>
          </w:tcPr>
          <w:p w14:paraId="33E1EC2C"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 xml:space="preserve">               24,000.00 </w:t>
            </w:r>
          </w:p>
        </w:tc>
        <w:tc>
          <w:tcPr>
            <w:tcW w:w="317" w:type="pct"/>
            <w:vMerge w:val="restart"/>
            <w:tcBorders>
              <w:top w:val="nil"/>
              <w:left w:val="single" w:sz="4" w:space="0" w:color="auto"/>
              <w:bottom w:val="single" w:sz="4" w:space="0" w:color="000000"/>
              <w:right w:val="single" w:sz="4" w:space="0" w:color="auto"/>
            </w:tcBorders>
            <w:vAlign w:val="center"/>
            <w:hideMark/>
          </w:tcPr>
          <w:p w14:paraId="7D2E195D"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 xml:space="preserve">                 24,000.00 </w:t>
            </w:r>
          </w:p>
        </w:tc>
        <w:tc>
          <w:tcPr>
            <w:tcW w:w="317" w:type="pct"/>
            <w:vMerge w:val="restart"/>
            <w:tcBorders>
              <w:top w:val="nil"/>
              <w:left w:val="single" w:sz="4" w:space="0" w:color="auto"/>
              <w:bottom w:val="single" w:sz="4" w:space="0" w:color="000000"/>
              <w:right w:val="single" w:sz="4" w:space="0" w:color="auto"/>
            </w:tcBorders>
            <w:vAlign w:val="center"/>
            <w:hideMark/>
          </w:tcPr>
          <w:p w14:paraId="6C900CA1"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 xml:space="preserve">                 24,000.00 </w:t>
            </w:r>
          </w:p>
        </w:tc>
        <w:tc>
          <w:tcPr>
            <w:tcW w:w="317" w:type="pct"/>
            <w:vMerge w:val="restart"/>
            <w:tcBorders>
              <w:top w:val="nil"/>
              <w:left w:val="single" w:sz="4" w:space="0" w:color="auto"/>
              <w:bottom w:val="single" w:sz="4" w:space="0" w:color="000000"/>
              <w:right w:val="single" w:sz="4" w:space="0" w:color="auto"/>
            </w:tcBorders>
            <w:vAlign w:val="center"/>
            <w:hideMark/>
          </w:tcPr>
          <w:p w14:paraId="6D416277"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 xml:space="preserve">           24,000.00 </w:t>
            </w:r>
          </w:p>
        </w:tc>
        <w:tc>
          <w:tcPr>
            <w:tcW w:w="283" w:type="pct"/>
            <w:vMerge w:val="restart"/>
            <w:tcBorders>
              <w:top w:val="nil"/>
              <w:left w:val="single" w:sz="4" w:space="0" w:color="auto"/>
              <w:bottom w:val="single" w:sz="4" w:space="0" w:color="000000"/>
              <w:right w:val="single" w:sz="4" w:space="0" w:color="auto"/>
            </w:tcBorders>
            <w:vAlign w:val="center"/>
            <w:hideMark/>
          </w:tcPr>
          <w:p w14:paraId="006B5151"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 xml:space="preserve">                 6,000.00 </w:t>
            </w:r>
          </w:p>
        </w:tc>
        <w:tc>
          <w:tcPr>
            <w:tcW w:w="352" w:type="pct"/>
            <w:vMerge w:val="restart"/>
            <w:tcBorders>
              <w:top w:val="nil"/>
              <w:left w:val="single" w:sz="4" w:space="0" w:color="auto"/>
              <w:bottom w:val="single" w:sz="4" w:space="0" w:color="000000"/>
              <w:right w:val="single" w:sz="4" w:space="0" w:color="auto"/>
            </w:tcBorders>
            <w:vAlign w:val="center"/>
            <w:hideMark/>
          </w:tcPr>
          <w:p w14:paraId="301B3B10"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 xml:space="preserve">       120,000.00 </w:t>
            </w:r>
          </w:p>
        </w:tc>
        <w:tc>
          <w:tcPr>
            <w:tcW w:w="211" w:type="pct"/>
            <w:vMerge w:val="restart"/>
            <w:tcBorders>
              <w:top w:val="nil"/>
              <w:left w:val="single" w:sz="4" w:space="0" w:color="auto"/>
              <w:bottom w:val="single" w:sz="4" w:space="0" w:color="000000"/>
              <w:right w:val="single" w:sz="4" w:space="0" w:color="auto"/>
            </w:tcBorders>
            <w:vAlign w:val="center"/>
            <w:hideMark/>
          </w:tcPr>
          <w:p w14:paraId="1FB595DB"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47</w:t>
            </w:r>
          </w:p>
        </w:tc>
        <w:tc>
          <w:tcPr>
            <w:tcW w:w="79" w:type="pct"/>
            <w:vAlign w:val="center"/>
            <w:hideMark/>
          </w:tcPr>
          <w:p w14:paraId="1442A4A7"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5EA02CBB" w14:textId="77777777" w:rsidTr="008D1647">
        <w:trPr>
          <w:trHeight w:val="300"/>
        </w:trPr>
        <w:tc>
          <w:tcPr>
            <w:tcW w:w="383" w:type="pct"/>
            <w:vMerge/>
            <w:tcBorders>
              <w:top w:val="nil"/>
              <w:left w:val="single" w:sz="4" w:space="0" w:color="auto"/>
              <w:bottom w:val="single" w:sz="4" w:space="0" w:color="auto"/>
              <w:right w:val="single" w:sz="4" w:space="0" w:color="auto"/>
            </w:tcBorders>
            <w:vAlign w:val="center"/>
            <w:hideMark/>
          </w:tcPr>
          <w:p w14:paraId="085DE7F7"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1598B611"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nil"/>
            </w:tcBorders>
            <w:vAlign w:val="center"/>
            <w:hideMark/>
          </w:tcPr>
          <w:p w14:paraId="1E8D5AA8"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2FDBA684"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188FD45F"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vMerge/>
            <w:tcBorders>
              <w:top w:val="nil"/>
              <w:left w:val="single" w:sz="4" w:space="0" w:color="auto"/>
              <w:bottom w:val="single" w:sz="4" w:space="0" w:color="000000"/>
              <w:right w:val="single" w:sz="4" w:space="0" w:color="auto"/>
            </w:tcBorders>
            <w:vAlign w:val="center"/>
            <w:hideMark/>
          </w:tcPr>
          <w:p w14:paraId="60D2FFC0" w14:textId="77777777" w:rsidR="00427DF8" w:rsidRPr="00427DF8" w:rsidRDefault="00427DF8" w:rsidP="00427DF8">
            <w:pPr>
              <w:spacing w:after="0" w:line="240" w:lineRule="auto"/>
              <w:rPr>
                <w:rFonts w:eastAsia="Times New Roman"/>
                <w:sz w:val="18"/>
                <w:szCs w:val="18"/>
                <w:lang w:val="en-US" w:eastAsia="en-US"/>
              </w:rPr>
            </w:pPr>
          </w:p>
        </w:tc>
        <w:tc>
          <w:tcPr>
            <w:tcW w:w="728" w:type="pct"/>
            <w:vMerge/>
            <w:tcBorders>
              <w:top w:val="nil"/>
              <w:left w:val="single" w:sz="4" w:space="0" w:color="auto"/>
              <w:bottom w:val="single" w:sz="4" w:space="0" w:color="000000"/>
              <w:right w:val="single" w:sz="4" w:space="0" w:color="auto"/>
            </w:tcBorders>
            <w:vAlign w:val="center"/>
            <w:hideMark/>
          </w:tcPr>
          <w:p w14:paraId="19AA4E48" w14:textId="77777777" w:rsidR="00427DF8" w:rsidRPr="00427DF8" w:rsidRDefault="00427DF8" w:rsidP="00427DF8">
            <w:pPr>
              <w:spacing w:after="0" w:line="240" w:lineRule="auto"/>
              <w:rPr>
                <w:rFonts w:eastAsia="Times New Roman"/>
                <w:color w:val="000000"/>
                <w:sz w:val="18"/>
                <w:szCs w:val="18"/>
                <w:lang w:val="en-US" w:eastAsia="en-US"/>
              </w:rPr>
            </w:pPr>
          </w:p>
        </w:tc>
        <w:tc>
          <w:tcPr>
            <w:tcW w:w="283" w:type="pct"/>
            <w:vMerge/>
            <w:tcBorders>
              <w:top w:val="nil"/>
              <w:left w:val="single" w:sz="4" w:space="0" w:color="auto"/>
              <w:bottom w:val="single" w:sz="4" w:space="0" w:color="000000"/>
              <w:right w:val="single" w:sz="4" w:space="0" w:color="auto"/>
            </w:tcBorders>
            <w:vAlign w:val="center"/>
            <w:hideMark/>
          </w:tcPr>
          <w:p w14:paraId="3589D85A" w14:textId="77777777" w:rsidR="00427DF8" w:rsidRPr="00427DF8" w:rsidRDefault="00427DF8" w:rsidP="00427DF8">
            <w:pPr>
              <w:spacing w:after="0" w:line="240" w:lineRule="auto"/>
              <w:rPr>
                <w:rFonts w:eastAsia="Times New Roman"/>
                <w:color w:val="000000"/>
                <w:sz w:val="18"/>
                <w:szCs w:val="18"/>
                <w:lang w:val="en-US" w:eastAsia="en-US"/>
              </w:rPr>
            </w:pPr>
          </w:p>
        </w:tc>
        <w:tc>
          <w:tcPr>
            <w:tcW w:w="283" w:type="pct"/>
            <w:vMerge/>
            <w:tcBorders>
              <w:top w:val="nil"/>
              <w:left w:val="single" w:sz="4" w:space="0" w:color="auto"/>
              <w:bottom w:val="single" w:sz="4" w:space="0" w:color="000000"/>
              <w:right w:val="single" w:sz="4" w:space="0" w:color="auto"/>
            </w:tcBorders>
            <w:vAlign w:val="center"/>
            <w:hideMark/>
          </w:tcPr>
          <w:p w14:paraId="043DD761" w14:textId="77777777" w:rsidR="00427DF8" w:rsidRPr="00427DF8" w:rsidRDefault="00427DF8" w:rsidP="00427DF8">
            <w:pPr>
              <w:spacing w:after="0" w:line="240" w:lineRule="auto"/>
              <w:rPr>
                <w:rFonts w:eastAsia="Times New Roman"/>
                <w:color w:val="000000"/>
                <w:sz w:val="18"/>
                <w:szCs w:val="18"/>
                <w:lang w:val="en-US" w:eastAsia="en-US"/>
              </w:rPr>
            </w:pPr>
          </w:p>
        </w:tc>
        <w:tc>
          <w:tcPr>
            <w:tcW w:w="317" w:type="pct"/>
            <w:vMerge/>
            <w:tcBorders>
              <w:top w:val="nil"/>
              <w:left w:val="single" w:sz="4" w:space="0" w:color="auto"/>
              <w:bottom w:val="single" w:sz="4" w:space="0" w:color="000000"/>
              <w:right w:val="single" w:sz="4" w:space="0" w:color="auto"/>
            </w:tcBorders>
            <w:vAlign w:val="center"/>
            <w:hideMark/>
          </w:tcPr>
          <w:p w14:paraId="537C602E" w14:textId="77777777" w:rsidR="00427DF8" w:rsidRPr="00427DF8" w:rsidRDefault="00427DF8" w:rsidP="00427DF8">
            <w:pPr>
              <w:spacing w:after="0" w:line="240" w:lineRule="auto"/>
              <w:rPr>
                <w:rFonts w:eastAsia="Times New Roman"/>
                <w:color w:val="000000"/>
                <w:sz w:val="18"/>
                <w:szCs w:val="18"/>
                <w:lang w:val="en-US" w:eastAsia="en-US"/>
              </w:rPr>
            </w:pPr>
          </w:p>
        </w:tc>
        <w:tc>
          <w:tcPr>
            <w:tcW w:w="317" w:type="pct"/>
            <w:vMerge/>
            <w:tcBorders>
              <w:top w:val="nil"/>
              <w:left w:val="single" w:sz="4" w:space="0" w:color="auto"/>
              <w:bottom w:val="single" w:sz="4" w:space="0" w:color="000000"/>
              <w:right w:val="single" w:sz="4" w:space="0" w:color="auto"/>
            </w:tcBorders>
            <w:vAlign w:val="center"/>
            <w:hideMark/>
          </w:tcPr>
          <w:p w14:paraId="6582AA89" w14:textId="77777777" w:rsidR="00427DF8" w:rsidRPr="00427DF8" w:rsidRDefault="00427DF8" w:rsidP="00427DF8">
            <w:pPr>
              <w:spacing w:after="0" w:line="240" w:lineRule="auto"/>
              <w:rPr>
                <w:rFonts w:eastAsia="Times New Roman"/>
                <w:color w:val="000000"/>
                <w:sz w:val="18"/>
                <w:szCs w:val="18"/>
                <w:lang w:val="en-US" w:eastAsia="en-US"/>
              </w:rPr>
            </w:pPr>
          </w:p>
        </w:tc>
        <w:tc>
          <w:tcPr>
            <w:tcW w:w="317" w:type="pct"/>
            <w:vMerge/>
            <w:tcBorders>
              <w:top w:val="nil"/>
              <w:left w:val="single" w:sz="4" w:space="0" w:color="auto"/>
              <w:bottom w:val="single" w:sz="4" w:space="0" w:color="000000"/>
              <w:right w:val="single" w:sz="4" w:space="0" w:color="auto"/>
            </w:tcBorders>
            <w:vAlign w:val="center"/>
            <w:hideMark/>
          </w:tcPr>
          <w:p w14:paraId="60D54433" w14:textId="77777777" w:rsidR="00427DF8" w:rsidRPr="00427DF8" w:rsidRDefault="00427DF8" w:rsidP="00427DF8">
            <w:pPr>
              <w:spacing w:after="0" w:line="240" w:lineRule="auto"/>
              <w:rPr>
                <w:rFonts w:eastAsia="Times New Roman"/>
                <w:color w:val="000000"/>
                <w:sz w:val="18"/>
                <w:szCs w:val="18"/>
                <w:lang w:val="en-US" w:eastAsia="en-US"/>
              </w:rPr>
            </w:pPr>
          </w:p>
        </w:tc>
        <w:tc>
          <w:tcPr>
            <w:tcW w:w="283" w:type="pct"/>
            <w:vMerge/>
            <w:tcBorders>
              <w:top w:val="nil"/>
              <w:left w:val="single" w:sz="4" w:space="0" w:color="auto"/>
              <w:bottom w:val="single" w:sz="4" w:space="0" w:color="000000"/>
              <w:right w:val="single" w:sz="4" w:space="0" w:color="auto"/>
            </w:tcBorders>
            <w:vAlign w:val="center"/>
            <w:hideMark/>
          </w:tcPr>
          <w:p w14:paraId="70A65116" w14:textId="77777777" w:rsidR="00427DF8" w:rsidRPr="00427DF8" w:rsidRDefault="00427DF8" w:rsidP="00427DF8">
            <w:pPr>
              <w:spacing w:after="0" w:line="240" w:lineRule="auto"/>
              <w:rPr>
                <w:rFonts w:eastAsia="Times New Roman"/>
                <w:color w:val="000000"/>
                <w:sz w:val="18"/>
                <w:szCs w:val="18"/>
                <w:lang w:val="en-US" w:eastAsia="en-US"/>
              </w:rPr>
            </w:pPr>
          </w:p>
        </w:tc>
        <w:tc>
          <w:tcPr>
            <w:tcW w:w="352" w:type="pct"/>
            <w:vMerge/>
            <w:tcBorders>
              <w:top w:val="nil"/>
              <w:left w:val="single" w:sz="4" w:space="0" w:color="auto"/>
              <w:bottom w:val="single" w:sz="4" w:space="0" w:color="000000"/>
              <w:right w:val="single" w:sz="4" w:space="0" w:color="auto"/>
            </w:tcBorders>
            <w:vAlign w:val="center"/>
            <w:hideMark/>
          </w:tcPr>
          <w:p w14:paraId="37819CCC" w14:textId="77777777" w:rsidR="00427DF8" w:rsidRPr="00427DF8" w:rsidRDefault="00427DF8" w:rsidP="00427DF8">
            <w:pPr>
              <w:spacing w:after="0" w:line="240" w:lineRule="auto"/>
              <w:rPr>
                <w:rFonts w:eastAsia="Times New Roman"/>
                <w:color w:val="000000"/>
                <w:sz w:val="18"/>
                <w:szCs w:val="18"/>
                <w:lang w:val="en-US" w:eastAsia="en-US"/>
              </w:rPr>
            </w:pPr>
          </w:p>
        </w:tc>
        <w:tc>
          <w:tcPr>
            <w:tcW w:w="211" w:type="pct"/>
            <w:vMerge/>
            <w:tcBorders>
              <w:top w:val="nil"/>
              <w:left w:val="single" w:sz="4" w:space="0" w:color="auto"/>
              <w:bottom w:val="single" w:sz="4" w:space="0" w:color="000000"/>
              <w:right w:val="single" w:sz="4" w:space="0" w:color="auto"/>
            </w:tcBorders>
            <w:vAlign w:val="center"/>
            <w:hideMark/>
          </w:tcPr>
          <w:p w14:paraId="026915DB" w14:textId="77777777" w:rsidR="00427DF8" w:rsidRPr="00427DF8" w:rsidRDefault="00427DF8" w:rsidP="00427DF8">
            <w:pPr>
              <w:spacing w:after="0" w:line="240" w:lineRule="auto"/>
              <w:rPr>
                <w:rFonts w:eastAsia="Times New Roman"/>
                <w:color w:val="000000"/>
                <w:sz w:val="18"/>
                <w:szCs w:val="18"/>
                <w:lang w:val="en-US" w:eastAsia="en-US"/>
              </w:rPr>
            </w:pPr>
          </w:p>
        </w:tc>
        <w:tc>
          <w:tcPr>
            <w:tcW w:w="79" w:type="pct"/>
            <w:tcBorders>
              <w:top w:val="nil"/>
              <w:left w:val="nil"/>
              <w:bottom w:val="nil"/>
              <w:right w:val="nil"/>
            </w:tcBorders>
            <w:noWrap/>
            <w:vAlign w:val="bottom"/>
            <w:hideMark/>
          </w:tcPr>
          <w:p w14:paraId="14781A93" w14:textId="77777777" w:rsidR="00427DF8" w:rsidRPr="00427DF8" w:rsidRDefault="00427DF8" w:rsidP="00427DF8">
            <w:pPr>
              <w:spacing w:after="0" w:line="240" w:lineRule="auto"/>
              <w:jc w:val="center"/>
              <w:rPr>
                <w:rFonts w:eastAsia="Times New Roman"/>
                <w:color w:val="000000"/>
                <w:sz w:val="18"/>
                <w:szCs w:val="18"/>
                <w:lang w:val="en-US" w:eastAsia="en-US"/>
              </w:rPr>
            </w:pPr>
          </w:p>
        </w:tc>
      </w:tr>
      <w:tr w:rsidR="00427DF8" w:rsidRPr="00427DF8" w14:paraId="5DE9D73B" w14:textId="77777777" w:rsidTr="008D1647">
        <w:trPr>
          <w:trHeight w:val="300"/>
        </w:trPr>
        <w:tc>
          <w:tcPr>
            <w:tcW w:w="383" w:type="pct"/>
            <w:vMerge/>
            <w:tcBorders>
              <w:top w:val="nil"/>
              <w:left w:val="single" w:sz="4" w:space="0" w:color="auto"/>
              <w:bottom w:val="single" w:sz="4" w:space="0" w:color="auto"/>
              <w:right w:val="single" w:sz="4" w:space="0" w:color="auto"/>
            </w:tcBorders>
            <w:vAlign w:val="center"/>
            <w:hideMark/>
          </w:tcPr>
          <w:p w14:paraId="41E0DCAC"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6A7E8B0C"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nil"/>
            </w:tcBorders>
            <w:vAlign w:val="center"/>
            <w:hideMark/>
          </w:tcPr>
          <w:p w14:paraId="13A94007"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5F09F8E6"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1C9E7DC7"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074BF631" w14:textId="77777777" w:rsidR="00427DF8" w:rsidRPr="00427DF8" w:rsidRDefault="00427DF8" w:rsidP="00427DF8">
            <w:pPr>
              <w:spacing w:after="0" w:line="240" w:lineRule="auto"/>
              <w:jc w:val="center"/>
              <w:rPr>
                <w:rFonts w:eastAsia="Times New Roman"/>
                <w:sz w:val="18"/>
                <w:szCs w:val="18"/>
                <w:lang w:val="en-US" w:eastAsia="en-US"/>
              </w:rPr>
            </w:pPr>
            <w:r w:rsidRPr="00427DF8">
              <w:rPr>
                <w:rFonts w:eastAsia="Times New Roman"/>
                <w:sz w:val="18"/>
                <w:szCs w:val="18"/>
                <w:lang w:val="en-US" w:eastAsia="en-US"/>
              </w:rPr>
              <w:t> 75700  </w:t>
            </w:r>
          </w:p>
        </w:tc>
        <w:tc>
          <w:tcPr>
            <w:tcW w:w="728" w:type="pct"/>
            <w:tcBorders>
              <w:top w:val="nil"/>
              <w:left w:val="nil"/>
              <w:bottom w:val="single" w:sz="4" w:space="0" w:color="auto"/>
              <w:right w:val="single" w:sz="4" w:space="0" w:color="auto"/>
            </w:tcBorders>
            <w:vAlign w:val="center"/>
            <w:hideMark/>
          </w:tcPr>
          <w:p w14:paraId="08306070"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Training, workshops and conferences </w:t>
            </w:r>
          </w:p>
        </w:tc>
        <w:tc>
          <w:tcPr>
            <w:tcW w:w="283" w:type="pct"/>
            <w:tcBorders>
              <w:top w:val="nil"/>
              <w:left w:val="nil"/>
              <w:bottom w:val="single" w:sz="4" w:space="0" w:color="auto"/>
              <w:right w:val="single" w:sz="4" w:space="0" w:color="auto"/>
            </w:tcBorders>
            <w:vAlign w:val="center"/>
            <w:hideMark/>
          </w:tcPr>
          <w:p w14:paraId="42F069BA"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7,000.00 </w:t>
            </w:r>
          </w:p>
        </w:tc>
        <w:tc>
          <w:tcPr>
            <w:tcW w:w="283" w:type="pct"/>
            <w:tcBorders>
              <w:top w:val="nil"/>
              <w:left w:val="nil"/>
              <w:bottom w:val="single" w:sz="4" w:space="0" w:color="auto"/>
              <w:right w:val="single" w:sz="4" w:space="0" w:color="auto"/>
            </w:tcBorders>
            <w:vAlign w:val="center"/>
            <w:hideMark/>
          </w:tcPr>
          <w:p w14:paraId="1C14D186"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750.00 </w:t>
            </w:r>
          </w:p>
        </w:tc>
        <w:tc>
          <w:tcPr>
            <w:tcW w:w="317" w:type="pct"/>
            <w:tcBorders>
              <w:top w:val="nil"/>
              <w:left w:val="nil"/>
              <w:bottom w:val="single" w:sz="4" w:space="0" w:color="auto"/>
              <w:right w:val="single" w:sz="4" w:space="0" w:color="auto"/>
            </w:tcBorders>
            <w:vAlign w:val="center"/>
            <w:hideMark/>
          </w:tcPr>
          <w:p w14:paraId="65B6CA0F"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750.00 </w:t>
            </w:r>
          </w:p>
        </w:tc>
        <w:tc>
          <w:tcPr>
            <w:tcW w:w="317" w:type="pct"/>
            <w:tcBorders>
              <w:top w:val="nil"/>
              <w:left w:val="nil"/>
              <w:bottom w:val="single" w:sz="4" w:space="0" w:color="auto"/>
              <w:right w:val="single" w:sz="4" w:space="0" w:color="auto"/>
            </w:tcBorders>
            <w:vAlign w:val="center"/>
            <w:hideMark/>
          </w:tcPr>
          <w:p w14:paraId="30728D1F"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750.00 </w:t>
            </w:r>
          </w:p>
        </w:tc>
        <w:tc>
          <w:tcPr>
            <w:tcW w:w="317" w:type="pct"/>
            <w:tcBorders>
              <w:top w:val="nil"/>
              <w:left w:val="nil"/>
              <w:bottom w:val="single" w:sz="4" w:space="0" w:color="auto"/>
              <w:right w:val="single" w:sz="4" w:space="0" w:color="auto"/>
            </w:tcBorders>
            <w:vAlign w:val="center"/>
            <w:hideMark/>
          </w:tcPr>
          <w:p w14:paraId="359CB8C7"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750.00 </w:t>
            </w:r>
          </w:p>
        </w:tc>
        <w:tc>
          <w:tcPr>
            <w:tcW w:w="283" w:type="pct"/>
            <w:tcBorders>
              <w:top w:val="nil"/>
              <w:left w:val="nil"/>
              <w:bottom w:val="single" w:sz="4" w:space="0" w:color="auto"/>
              <w:right w:val="single" w:sz="4" w:space="0" w:color="auto"/>
            </w:tcBorders>
            <w:vAlign w:val="center"/>
            <w:hideMark/>
          </w:tcPr>
          <w:p w14:paraId="58696DF4"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11,000.00 </w:t>
            </w:r>
          </w:p>
        </w:tc>
        <w:tc>
          <w:tcPr>
            <w:tcW w:w="352" w:type="pct"/>
            <w:tcBorders>
              <w:top w:val="nil"/>
              <w:left w:val="nil"/>
              <w:bottom w:val="single" w:sz="4" w:space="0" w:color="auto"/>
              <w:right w:val="single" w:sz="4" w:space="0" w:color="auto"/>
            </w:tcBorders>
            <w:vAlign w:val="center"/>
            <w:hideMark/>
          </w:tcPr>
          <w:p w14:paraId="5FAC044D"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21,000.00 </w:t>
            </w:r>
          </w:p>
        </w:tc>
        <w:tc>
          <w:tcPr>
            <w:tcW w:w="211" w:type="pct"/>
            <w:tcBorders>
              <w:top w:val="nil"/>
              <w:left w:val="nil"/>
              <w:bottom w:val="single" w:sz="4" w:space="0" w:color="auto"/>
              <w:right w:val="single" w:sz="4" w:space="0" w:color="auto"/>
            </w:tcBorders>
            <w:vAlign w:val="center"/>
            <w:hideMark/>
          </w:tcPr>
          <w:p w14:paraId="652DF5EE"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48</w:t>
            </w:r>
          </w:p>
        </w:tc>
        <w:tc>
          <w:tcPr>
            <w:tcW w:w="79" w:type="pct"/>
            <w:vAlign w:val="center"/>
            <w:hideMark/>
          </w:tcPr>
          <w:p w14:paraId="2F40A43F"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396388FE" w14:textId="77777777" w:rsidTr="008D1647">
        <w:trPr>
          <w:trHeight w:val="300"/>
        </w:trPr>
        <w:tc>
          <w:tcPr>
            <w:tcW w:w="383" w:type="pct"/>
            <w:vMerge/>
            <w:tcBorders>
              <w:top w:val="nil"/>
              <w:left w:val="single" w:sz="4" w:space="0" w:color="auto"/>
              <w:bottom w:val="single" w:sz="4" w:space="0" w:color="auto"/>
              <w:right w:val="single" w:sz="4" w:space="0" w:color="auto"/>
            </w:tcBorders>
            <w:vAlign w:val="center"/>
            <w:hideMark/>
          </w:tcPr>
          <w:p w14:paraId="6EF2E42C"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772861D8"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nil"/>
            </w:tcBorders>
            <w:vAlign w:val="center"/>
            <w:hideMark/>
          </w:tcPr>
          <w:p w14:paraId="633E9108"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724EB998"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nil"/>
              <w:right w:val="single" w:sz="4" w:space="0" w:color="auto"/>
            </w:tcBorders>
            <w:vAlign w:val="center"/>
            <w:hideMark/>
          </w:tcPr>
          <w:p w14:paraId="5132E651"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28BA930F" w14:textId="77777777" w:rsidR="00427DF8" w:rsidRPr="00427DF8" w:rsidRDefault="00427DF8" w:rsidP="00427DF8">
            <w:pPr>
              <w:spacing w:after="0" w:line="240" w:lineRule="auto"/>
              <w:jc w:val="center"/>
              <w:rPr>
                <w:rFonts w:eastAsia="Times New Roman"/>
                <w:sz w:val="18"/>
                <w:szCs w:val="18"/>
                <w:lang w:val="en-US" w:eastAsia="en-US"/>
              </w:rPr>
            </w:pPr>
            <w:r w:rsidRPr="00427DF8">
              <w:rPr>
                <w:rFonts w:eastAsia="Times New Roman"/>
                <w:sz w:val="18"/>
                <w:szCs w:val="18"/>
                <w:lang w:val="en-US" w:eastAsia="en-US"/>
              </w:rPr>
              <w:t>74200</w:t>
            </w:r>
          </w:p>
        </w:tc>
        <w:tc>
          <w:tcPr>
            <w:tcW w:w="728" w:type="pct"/>
            <w:tcBorders>
              <w:top w:val="nil"/>
              <w:left w:val="nil"/>
              <w:bottom w:val="single" w:sz="4" w:space="0" w:color="auto"/>
              <w:right w:val="single" w:sz="4" w:space="0" w:color="auto"/>
            </w:tcBorders>
            <w:vAlign w:val="center"/>
            <w:hideMark/>
          </w:tcPr>
          <w:p w14:paraId="18A873EE"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Audiovisual and print production costs </w:t>
            </w:r>
          </w:p>
        </w:tc>
        <w:tc>
          <w:tcPr>
            <w:tcW w:w="283" w:type="pct"/>
            <w:tcBorders>
              <w:top w:val="nil"/>
              <w:left w:val="nil"/>
              <w:bottom w:val="single" w:sz="4" w:space="0" w:color="auto"/>
              <w:right w:val="single" w:sz="4" w:space="0" w:color="auto"/>
            </w:tcBorders>
            <w:vAlign w:val="center"/>
            <w:hideMark/>
          </w:tcPr>
          <w:p w14:paraId="11741DE6"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1,000.00 </w:t>
            </w:r>
          </w:p>
        </w:tc>
        <w:tc>
          <w:tcPr>
            <w:tcW w:w="283" w:type="pct"/>
            <w:tcBorders>
              <w:top w:val="nil"/>
              <w:left w:val="nil"/>
              <w:bottom w:val="single" w:sz="4" w:space="0" w:color="auto"/>
              <w:right w:val="single" w:sz="4" w:space="0" w:color="auto"/>
            </w:tcBorders>
            <w:vAlign w:val="center"/>
            <w:hideMark/>
          </w:tcPr>
          <w:p w14:paraId="2EABA904"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1,000.00 </w:t>
            </w:r>
          </w:p>
        </w:tc>
        <w:tc>
          <w:tcPr>
            <w:tcW w:w="317" w:type="pct"/>
            <w:tcBorders>
              <w:top w:val="nil"/>
              <w:left w:val="nil"/>
              <w:bottom w:val="single" w:sz="4" w:space="0" w:color="auto"/>
              <w:right w:val="single" w:sz="4" w:space="0" w:color="auto"/>
            </w:tcBorders>
            <w:vAlign w:val="center"/>
            <w:hideMark/>
          </w:tcPr>
          <w:p w14:paraId="0A7FDB98"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3,000.00 </w:t>
            </w:r>
          </w:p>
        </w:tc>
        <w:tc>
          <w:tcPr>
            <w:tcW w:w="317" w:type="pct"/>
            <w:tcBorders>
              <w:top w:val="nil"/>
              <w:left w:val="nil"/>
              <w:bottom w:val="single" w:sz="4" w:space="0" w:color="auto"/>
              <w:right w:val="single" w:sz="4" w:space="0" w:color="auto"/>
            </w:tcBorders>
            <w:vAlign w:val="center"/>
            <w:hideMark/>
          </w:tcPr>
          <w:p w14:paraId="6618013A"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705.00 </w:t>
            </w:r>
          </w:p>
        </w:tc>
        <w:tc>
          <w:tcPr>
            <w:tcW w:w="317" w:type="pct"/>
            <w:tcBorders>
              <w:top w:val="nil"/>
              <w:left w:val="nil"/>
              <w:bottom w:val="single" w:sz="4" w:space="0" w:color="auto"/>
              <w:right w:val="single" w:sz="4" w:space="0" w:color="auto"/>
            </w:tcBorders>
            <w:vAlign w:val="center"/>
            <w:hideMark/>
          </w:tcPr>
          <w:p w14:paraId="41F3F1F3"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4,700.00 </w:t>
            </w:r>
          </w:p>
        </w:tc>
        <w:tc>
          <w:tcPr>
            <w:tcW w:w="283" w:type="pct"/>
            <w:tcBorders>
              <w:top w:val="nil"/>
              <w:left w:val="nil"/>
              <w:bottom w:val="single" w:sz="4" w:space="0" w:color="auto"/>
              <w:right w:val="single" w:sz="4" w:space="0" w:color="auto"/>
            </w:tcBorders>
            <w:vAlign w:val="center"/>
            <w:hideMark/>
          </w:tcPr>
          <w:p w14:paraId="4695D5FD"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7D3F1529"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10,405.00 </w:t>
            </w:r>
          </w:p>
        </w:tc>
        <w:tc>
          <w:tcPr>
            <w:tcW w:w="211" w:type="pct"/>
            <w:tcBorders>
              <w:top w:val="nil"/>
              <w:left w:val="nil"/>
              <w:bottom w:val="single" w:sz="4" w:space="0" w:color="auto"/>
              <w:right w:val="single" w:sz="4" w:space="0" w:color="auto"/>
            </w:tcBorders>
            <w:vAlign w:val="center"/>
            <w:hideMark/>
          </w:tcPr>
          <w:p w14:paraId="781BC652"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49</w:t>
            </w:r>
          </w:p>
        </w:tc>
        <w:tc>
          <w:tcPr>
            <w:tcW w:w="79" w:type="pct"/>
            <w:vAlign w:val="center"/>
            <w:hideMark/>
          </w:tcPr>
          <w:p w14:paraId="5C941E84"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5FEA0CB7" w14:textId="77777777" w:rsidTr="008D1647">
        <w:trPr>
          <w:trHeight w:val="289"/>
        </w:trPr>
        <w:tc>
          <w:tcPr>
            <w:tcW w:w="383" w:type="pct"/>
            <w:vMerge/>
            <w:tcBorders>
              <w:top w:val="nil"/>
              <w:left w:val="single" w:sz="4" w:space="0" w:color="auto"/>
              <w:bottom w:val="single" w:sz="4" w:space="0" w:color="auto"/>
              <w:right w:val="single" w:sz="4" w:space="0" w:color="auto"/>
            </w:tcBorders>
            <w:vAlign w:val="center"/>
            <w:hideMark/>
          </w:tcPr>
          <w:p w14:paraId="3A8B4659"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0C16A884"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nil"/>
            </w:tcBorders>
            <w:vAlign w:val="center"/>
            <w:hideMark/>
          </w:tcPr>
          <w:p w14:paraId="5C4B7DCF"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tcBorders>
              <w:top w:val="nil"/>
              <w:left w:val="single" w:sz="4" w:space="0" w:color="auto"/>
              <w:bottom w:val="single" w:sz="4" w:space="0" w:color="auto"/>
              <w:right w:val="single" w:sz="4" w:space="0" w:color="auto"/>
            </w:tcBorders>
            <w:shd w:val="clear" w:color="000000" w:fill="92D050"/>
            <w:vAlign w:val="center"/>
            <w:hideMark/>
          </w:tcPr>
          <w:p w14:paraId="57264E55" w14:textId="77777777" w:rsidR="00427DF8" w:rsidRPr="00427DF8" w:rsidRDefault="00427DF8" w:rsidP="00427DF8">
            <w:pPr>
              <w:spacing w:after="0" w:line="240" w:lineRule="auto"/>
              <w:rPr>
                <w:rFonts w:eastAsia="Times New Roman"/>
                <w:b/>
                <w:bCs/>
                <w:color w:val="000000"/>
                <w:sz w:val="18"/>
                <w:szCs w:val="18"/>
                <w:lang w:val="en-US" w:eastAsia="en-US"/>
              </w:rPr>
            </w:pPr>
            <w:r w:rsidRPr="00427DF8">
              <w:rPr>
                <w:rFonts w:eastAsia="Times New Roman"/>
                <w:b/>
                <w:bCs/>
                <w:color w:val="000000"/>
                <w:sz w:val="18"/>
                <w:szCs w:val="18"/>
                <w:lang w:val="en-US" w:eastAsia="en-US"/>
              </w:rPr>
              <w:t> </w:t>
            </w:r>
          </w:p>
        </w:tc>
        <w:tc>
          <w:tcPr>
            <w:tcW w:w="254" w:type="pct"/>
            <w:tcBorders>
              <w:top w:val="nil"/>
              <w:left w:val="nil"/>
              <w:bottom w:val="single" w:sz="4" w:space="0" w:color="auto"/>
              <w:right w:val="single" w:sz="4" w:space="0" w:color="auto"/>
            </w:tcBorders>
            <w:shd w:val="clear" w:color="000000" w:fill="92D050"/>
            <w:vAlign w:val="center"/>
            <w:hideMark/>
          </w:tcPr>
          <w:p w14:paraId="7397EE70" w14:textId="77777777" w:rsidR="00427DF8" w:rsidRPr="00427DF8" w:rsidRDefault="00427DF8" w:rsidP="00427DF8">
            <w:pPr>
              <w:spacing w:after="0" w:line="240" w:lineRule="auto"/>
              <w:rPr>
                <w:rFonts w:eastAsia="Times New Roman"/>
                <w:b/>
                <w:bCs/>
                <w:color w:val="000000"/>
                <w:sz w:val="18"/>
                <w:szCs w:val="18"/>
                <w:lang w:val="en-US" w:eastAsia="en-US"/>
              </w:rPr>
            </w:pPr>
            <w:r w:rsidRPr="00427DF8">
              <w:rPr>
                <w:rFonts w:eastAsia="Times New Roman"/>
                <w:b/>
                <w:bCs/>
                <w:color w:val="000000"/>
                <w:sz w:val="18"/>
                <w:szCs w:val="18"/>
                <w:lang w:val="en-US" w:eastAsia="en-US"/>
              </w:rPr>
              <w:t> </w:t>
            </w:r>
          </w:p>
        </w:tc>
        <w:tc>
          <w:tcPr>
            <w:tcW w:w="997" w:type="pct"/>
            <w:gridSpan w:val="2"/>
            <w:tcBorders>
              <w:top w:val="single" w:sz="4" w:space="0" w:color="auto"/>
              <w:left w:val="nil"/>
              <w:bottom w:val="single" w:sz="4" w:space="0" w:color="auto"/>
              <w:right w:val="single" w:sz="4" w:space="0" w:color="000000"/>
            </w:tcBorders>
            <w:shd w:val="clear" w:color="000000" w:fill="92D050"/>
            <w:vAlign w:val="center"/>
            <w:hideMark/>
          </w:tcPr>
          <w:p w14:paraId="26A33D8B" w14:textId="77777777" w:rsidR="00427DF8" w:rsidRPr="00427DF8" w:rsidRDefault="00427DF8" w:rsidP="00427DF8">
            <w:pPr>
              <w:spacing w:after="0" w:line="240" w:lineRule="auto"/>
              <w:jc w:val="right"/>
              <w:rPr>
                <w:rFonts w:eastAsia="Times New Roman"/>
                <w:b/>
                <w:bCs/>
                <w:color w:val="000000"/>
                <w:sz w:val="18"/>
                <w:szCs w:val="18"/>
                <w:lang w:val="en-US" w:eastAsia="en-US"/>
              </w:rPr>
            </w:pPr>
            <w:proofErr w:type="spellStart"/>
            <w:r w:rsidRPr="00427DF8">
              <w:rPr>
                <w:rFonts w:eastAsia="Times New Roman"/>
                <w:b/>
                <w:bCs/>
                <w:color w:val="000000"/>
                <w:sz w:val="18"/>
                <w:szCs w:val="18"/>
                <w:lang w:val="en-US" w:eastAsia="en-US"/>
              </w:rPr>
              <w:t>sub total</w:t>
            </w:r>
            <w:proofErr w:type="spellEnd"/>
            <w:r w:rsidRPr="00427DF8">
              <w:rPr>
                <w:rFonts w:eastAsia="Times New Roman"/>
                <w:b/>
                <w:bCs/>
                <w:color w:val="000000"/>
                <w:sz w:val="18"/>
                <w:szCs w:val="18"/>
                <w:lang w:val="en-US" w:eastAsia="en-US"/>
              </w:rPr>
              <w:t xml:space="preserve"> GEF</w:t>
            </w:r>
          </w:p>
        </w:tc>
        <w:tc>
          <w:tcPr>
            <w:tcW w:w="283" w:type="pct"/>
            <w:tcBorders>
              <w:top w:val="nil"/>
              <w:left w:val="nil"/>
              <w:bottom w:val="single" w:sz="4" w:space="0" w:color="auto"/>
              <w:right w:val="single" w:sz="4" w:space="0" w:color="auto"/>
            </w:tcBorders>
            <w:shd w:val="clear" w:color="000000" w:fill="92D050"/>
            <w:vAlign w:val="center"/>
            <w:hideMark/>
          </w:tcPr>
          <w:p w14:paraId="5F7CC4E7"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27,000.00 </w:t>
            </w:r>
          </w:p>
        </w:tc>
        <w:tc>
          <w:tcPr>
            <w:tcW w:w="283" w:type="pct"/>
            <w:tcBorders>
              <w:top w:val="nil"/>
              <w:left w:val="nil"/>
              <w:bottom w:val="single" w:sz="4" w:space="0" w:color="auto"/>
              <w:right w:val="single" w:sz="4" w:space="0" w:color="auto"/>
            </w:tcBorders>
            <w:shd w:val="clear" w:color="000000" w:fill="92D050"/>
            <w:vAlign w:val="center"/>
            <w:hideMark/>
          </w:tcPr>
          <w:p w14:paraId="509AAFBA"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26,750.00 </w:t>
            </w:r>
          </w:p>
        </w:tc>
        <w:tc>
          <w:tcPr>
            <w:tcW w:w="317" w:type="pct"/>
            <w:tcBorders>
              <w:top w:val="nil"/>
              <w:left w:val="nil"/>
              <w:bottom w:val="single" w:sz="4" w:space="0" w:color="auto"/>
              <w:right w:val="single" w:sz="4" w:space="0" w:color="auto"/>
            </w:tcBorders>
            <w:shd w:val="clear" w:color="000000" w:fill="92D050"/>
            <w:vAlign w:val="center"/>
            <w:hideMark/>
          </w:tcPr>
          <w:p w14:paraId="59545C4B"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57,250.00 </w:t>
            </w:r>
          </w:p>
        </w:tc>
        <w:tc>
          <w:tcPr>
            <w:tcW w:w="317" w:type="pct"/>
            <w:tcBorders>
              <w:top w:val="nil"/>
              <w:left w:val="nil"/>
              <w:bottom w:val="single" w:sz="4" w:space="0" w:color="auto"/>
              <w:right w:val="single" w:sz="4" w:space="0" w:color="auto"/>
            </w:tcBorders>
            <w:shd w:val="clear" w:color="000000" w:fill="92D050"/>
            <w:vAlign w:val="center"/>
            <w:hideMark/>
          </w:tcPr>
          <w:p w14:paraId="14658E67"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26,455.00 </w:t>
            </w:r>
          </w:p>
        </w:tc>
        <w:tc>
          <w:tcPr>
            <w:tcW w:w="317" w:type="pct"/>
            <w:tcBorders>
              <w:top w:val="nil"/>
              <w:left w:val="nil"/>
              <w:bottom w:val="single" w:sz="4" w:space="0" w:color="auto"/>
              <w:right w:val="single" w:sz="4" w:space="0" w:color="auto"/>
            </w:tcBorders>
            <w:shd w:val="clear" w:color="000000" w:fill="92D050"/>
            <w:vAlign w:val="center"/>
            <w:hideMark/>
          </w:tcPr>
          <w:p w14:paraId="1714C123"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71,400.00 </w:t>
            </w:r>
          </w:p>
        </w:tc>
        <w:tc>
          <w:tcPr>
            <w:tcW w:w="283" w:type="pct"/>
            <w:tcBorders>
              <w:top w:val="nil"/>
              <w:left w:val="nil"/>
              <w:bottom w:val="single" w:sz="4" w:space="0" w:color="auto"/>
              <w:right w:val="single" w:sz="4" w:space="0" w:color="auto"/>
            </w:tcBorders>
            <w:shd w:val="clear" w:color="000000" w:fill="92D050"/>
            <w:vAlign w:val="center"/>
            <w:hideMark/>
          </w:tcPr>
          <w:p w14:paraId="12422CA4"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17,000.00 </w:t>
            </w:r>
          </w:p>
        </w:tc>
        <w:tc>
          <w:tcPr>
            <w:tcW w:w="352" w:type="pct"/>
            <w:tcBorders>
              <w:top w:val="nil"/>
              <w:left w:val="nil"/>
              <w:bottom w:val="single" w:sz="4" w:space="0" w:color="auto"/>
              <w:right w:val="single" w:sz="4" w:space="0" w:color="auto"/>
            </w:tcBorders>
            <w:shd w:val="clear" w:color="000000" w:fill="92D050"/>
            <w:vAlign w:val="center"/>
            <w:hideMark/>
          </w:tcPr>
          <w:p w14:paraId="0FB749A7"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225,855.00 </w:t>
            </w:r>
          </w:p>
        </w:tc>
        <w:tc>
          <w:tcPr>
            <w:tcW w:w="211" w:type="pct"/>
            <w:tcBorders>
              <w:top w:val="nil"/>
              <w:left w:val="nil"/>
              <w:bottom w:val="single" w:sz="4" w:space="0" w:color="auto"/>
              <w:right w:val="single" w:sz="4" w:space="0" w:color="auto"/>
            </w:tcBorders>
            <w:shd w:val="clear" w:color="000000" w:fill="92D050"/>
            <w:vAlign w:val="center"/>
            <w:hideMark/>
          </w:tcPr>
          <w:p w14:paraId="05913662"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79" w:type="pct"/>
            <w:vAlign w:val="center"/>
            <w:hideMark/>
          </w:tcPr>
          <w:p w14:paraId="2EDFEF3F"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4A697104" w14:textId="77777777" w:rsidTr="008D1647">
        <w:trPr>
          <w:trHeight w:val="289"/>
        </w:trPr>
        <w:tc>
          <w:tcPr>
            <w:tcW w:w="383" w:type="pct"/>
            <w:vMerge/>
            <w:tcBorders>
              <w:top w:val="nil"/>
              <w:left w:val="single" w:sz="4" w:space="0" w:color="auto"/>
              <w:bottom w:val="single" w:sz="4" w:space="0" w:color="auto"/>
              <w:right w:val="single" w:sz="4" w:space="0" w:color="auto"/>
            </w:tcBorders>
            <w:vAlign w:val="center"/>
            <w:hideMark/>
          </w:tcPr>
          <w:p w14:paraId="30F6B79A"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370" w:type="pct"/>
            <w:vMerge/>
            <w:tcBorders>
              <w:top w:val="nil"/>
              <w:left w:val="single" w:sz="4" w:space="0" w:color="auto"/>
              <w:bottom w:val="single" w:sz="4" w:space="0" w:color="000000"/>
              <w:right w:val="single" w:sz="4" w:space="0" w:color="auto"/>
            </w:tcBorders>
            <w:vAlign w:val="center"/>
            <w:hideMark/>
          </w:tcPr>
          <w:p w14:paraId="03EE50BD"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nil"/>
            </w:tcBorders>
            <w:vAlign w:val="center"/>
            <w:hideMark/>
          </w:tcPr>
          <w:p w14:paraId="689C0234" w14:textId="77777777" w:rsidR="00427DF8" w:rsidRPr="00427DF8" w:rsidRDefault="00427DF8" w:rsidP="00427DF8">
            <w:pPr>
              <w:spacing w:after="0" w:line="240" w:lineRule="auto"/>
              <w:rPr>
                <w:rFonts w:eastAsia="Times New Roman"/>
                <w:color w:val="000000"/>
                <w:sz w:val="18"/>
                <w:szCs w:val="18"/>
                <w:lang w:val="en-US" w:eastAsia="en-US"/>
              </w:rPr>
            </w:pPr>
          </w:p>
        </w:tc>
        <w:tc>
          <w:tcPr>
            <w:tcW w:w="1506" w:type="pct"/>
            <w:gridSpan w:val="4"/>
            <w:tcBorders>
              <w:top w:val="single" w:sz="4" w:space="0" w:color="auto"/>
              <w:left w:val="nil"/>
              <w:bottom w:val="single" w:sz="4" w:space="0" w:color="auto"/>
              <w:right w:val="single" w:sz="4" w:space="0" w:color="000000"/>
            </w:tcBorders>
            <w:shd w:val="clear" w:color="000000" w:fill="FFCC66"/>
            <w:vAlign w:val="center"/>
            <w:hideMark/>
          </w:tcPr>
          <w:p w14:paraId="440D70CA"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Sub Total Outcome 5.1</w:t>
            </w:r>
          </w:p>
        </w:tc>
        <w:tc>
          <w:tcPr>
            <w:tcW w:w="283" w:type="pct"/>
            <w:tcBorders>
              <w:top w:val="nil"/>
              <w:left w:val="nil"/>
              <w:bottom w:val="single" w:sz="4" w:space="0" w:color="auto"/>
              <w:right w:val="single" w:sz="4" w:space="0" w:color="auto"/>
            </w:tcBorders>
            <w:shd w:val="clear" w:color="000000" w:fill="FFCC66"/>
            <w:vAlign w:val="center"/>
            <w:hideMark/>
          </w:tcPr>
          <w:p w14:paraId="52ACBE70"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27,000.00 </w:t>
            </w:r>
          </w:p>
        </w:tc>
        <w:tc>
          <w:tcPr>
            <w:tcW w:w="283" w:type="pct"/>
            <w:tcBorders>
              <w:top w:val="nil"/>
              <w:left w:val="nil"/>
              <w:bottom w:val="single" w:sz="4" w:space="0" w:color="auto"/>
              <w:right w:val="single" w:sz="4" w:space="0" w:color="auto"/>
            </w:tcBorders>
            <w:shd w:val="clear" w:color="000000" w:fill="FFCC66"/>
            <w:vAlign w:val="center"/>
            <w:hideMark/>
          </w:tcPr>
          <w:p w14:paraId="4812AC59"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26,750.00 </w:t>
            </w:r>
          </w:p>
        </w:tc>
        <w:tc>
          <w:tcPr>
            <w:tcW w:w="317" w:type="pct"/>
            <w:tcBorders>
              <w:top w:val="nil"/>
              <w:left w:val="nil"/>
              <w:bottom w:val="single" w:sz="4" w:space="0" w:color="auto"/>
              <w:right w:val="single" w:sz="4" w:space="0" w:color="auto"/>
            </w:tcBorders>
            <w:shd w:val="clear" w:color="000000" w:fill="FFCC66"/>
            <w:vAlign w:val="center"/>
            <w:hideMark/>
          </w:tcPr>
          <w:p w14:paraId="0F6AAE1F"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57,250.00 </w:t>
            </w:r>
          </w:p>
        </w:tc>
        <w:tc>
          <w:tcPr>
            <w:tcW w:w="317" w:type="pct"/>
            <w:tcBorders>
              <w:top w:val="nil"/>
              <w:left w:val="nil"/>
              <w:bottom w:val="single" w:sz="4" w:space="0" w:color="auto"/>
              <w:right w:val="single" w:sz="4" w:space="0" w:color="auto"/>
            </w:tcBorders>
            <w:shd w:val="clear" w:color="000000" w:fill="FFCC66"/>
            <w:vAlign w:val="center"/>
            <w:hideMark/>
          </w:tcPr>
          <w:p w14:paraId="0AA6A24C"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26,455.00 </w:t>
            </w:r>
          </w:p>
        </w:tc>
        <w:tc>
          <w:tcPr>
            <w:tcW w:w="317" w:type="pct"/>
            <w:tcBorders>
              <w:top w:val="nil"/>
              <w:left w:val="nil"/>
              <w:bottom w:val="single" w:sz="4" w:space="0" w:color="auto"/>
              <w:right w:val="single" w:sz="4" w:space="0" w:color="auto"/>
            </w:tcBorders>
            <w:shd w:val="clear" w:color="000000" w:fill="FFCC66"/>
            <w:vAlign w:val="center"/>
            <w:hideMark/>
          </w:tcPr>
          <w:p w14:paraId="35ACF894"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71,400.00 </w:t>
            </w:r>
          </w:p>
        </w:tc>
        <w:tc>
          <w:tcPr>
            <w:tcW w:w="283" w:type="pct"/>
            <w:tcBorders>
              <w:top w:val="nil"/>
              <w:left w:val="nil"/>
              <w:bottom w:val="single" w:sz="4" w:space="0" w:color="auto"/>
              <w:right w:val="single" w:sz="4" w:space="0" w:color="auto"/>
            </w:tcBorders>
            <w:shd w:val="clear" w:color="000000" w:fill="FFCC66"/>
            <w:vAlign w:val="center"/>
            <w:hideMark/>
          </w:tcPr>
          <w:p w14:paraId="47C91DBB"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17,000.00 </w:t>
            </w:r>
          </w:p>
        </w:tc>
        <w:tc>
          <w:tcPr>
            <w:tcW w:w="352" w:type="pct"/>
            <w:tcBorders>
              <w:top w:val="nil"/>
              <w:left w:val="nil"/>
              <w:bottom w:val="single" w:sz="4" w:space="0" w:color="auto"/>
              <w:right w:val="single" w:sz="4" w:space="0" w:color="auto"/>
            </w:tcBorders>
            <w:shd w:val="clear" w:color="000000" w:fill="FFCC66"/>
            <w:vAlign w:val="center"/>
            <w:hideMark/>
          </w:tcPr>
          <w:p w14:paraId="09867238"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225,855.00 </w:t>
            </w:r>
          </w:p>
        </w:tc>
        <w:tc>
          <w:tcPr>
            <w:tcW w:w="211" w:type="pct"/>
            <w:tcBorders>
              <w:top w:val="nil"/>
              <w:left w:val="nil"/>
              <w:bottom w:val="single" w:sz="4" w:space="0" w:color="auto"/>
              <w:right w:val="single" w:sz="4" w:space="0" w:color="auto"/>
            </w:tcBorders>
            <w:shd w:val="clear" w:color="000000" w:fill="FFCC66"/>
            <w:vAlign w:val="center"/>
            <w:hideMark/>
          </w:tcPr>
          <w:p w14:paraId="05D8754F"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79" w:type="pct"/>
            <w:vAlign w:val="center"/>
            <w:hideMark/>
          </w:tcPr>
          <w:p w14:paraId="5C191C8F"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5FB569F6" w14:textId="77777777" w:rsidTr="008D1647">
        <w:trPr>
          <w:trHeight w:val="289"/>
        </w:trPr>
        <w:tc>
          <w:tcPr>
            <w:tcW w:w="383" w:type="pct"/>
            <w:vMerge w:val="restart"/>
            <w:tcBorders>
              <w:top w:val="nil"/>
              <w:left w:val="single" w:sz="4" w:space="0" w:color="auto"/>
              <w:bottom w:val="single" w:sz="4" w:space="0" w:color="auto"/>
              <w:right w:val="single" w:sz="4" w:space="0" w:color="auto"/>
            </w:tcBorders>
            <w:vAlign w:val="center"/>
            <w:hideMark/>
          </w:tcPr>
          <w:p w14:paraId="4A2182D7" w14:textId="77777777" w:rsidR="00427DF8" w:rsidRPr="00427DF8" w:rsidRDefault="00427DF8" w:rsidP="00427DF8">
            <w:pPr>
              <w:spacing w:after="0" w:line="240" w:lineRule="auto"/>
              <w:rPr>
                <w:rFonts w:eastAsia="Times New Roman"/>
                <w:b/>
                <w:bCs/>
                <w:i/>
                <w:iCs/>
                <w:color w:val="000000"/>
                <w:sz w:val="18"/>
                <w:szCs w:val="18"/>
                <w:lang w:val="en-US" w:eastAsia="en-US"/>
              </w:rPr>
            </w:pPr>
            <w:r w:rsidRPr="00427DF8">
              <w:rPr>
                <w:rFonts w:eastAsia="Times New Roman"/>
                <w:b/>
                <w:bCs/>
                <w:i/>
                <w:iCs/>
                <w:color w:val="000000"/>
                <w:sz w:val="18"/>
                <w:szCs w:val="18"/>
                <w:lang w:val="en-US" w:eastAsia="en-US"/>
              </w:rPr>
              <w:t xml:space="preserve">PMC </w:t>
            </w:r>
            <w:r w:rsidRPr="00427DF8">
              <w:rPr>
                <w:rFonts w:eastAsia="Times New Roman"/>
                <w:b/>
                <w:bCs/>
                <w:i/>
                <w:iCs/>
                <w:color w:val="FF0000"/>
                <w:sz w:val="18"/>
                <w:szCs w:val="18"/>
                <w:lang w:val="en-US" w:eastAsia="en-US"/>
              </w:rPr>
              <w:t>(up to 5% USD 225,855)</w:t>
            </w:r>
            <w:r w:rsidRPr="00427DF8">
              <w:rPr>
                <w:rFonts w:eastAsia="Times New Roman"/>
                <w:color w:val="FF0000"/>
                <w:sz w:val="18"/>
                <w:szCs w:val="18"/>
                <w:lang w:val="en-US" w:eastAsia="en-US"/>
              </w:rPr>
              <w:t> </w:t>
            </w:r>
          </w:p>
        </w:tc>
        <w:tc>
          <w:tcPr>
            <w:tcW w:w="370" w:type="pct"/>
            <w:vMerge w:val="restart"/>
            <w:tcBorders>
              <w:top w:val="nil"/>
              <w:left w:val="single" w:sz="4" w:space="0" w:color="auto"/>
              <w:bottom w:val="single" w:sz="4" w:space="0" w:color="auto"/>
              <w:right w:val="single" w:sz="4" w:space="0" w:color="auto"/>
            </w:tcBorders>
            <w:vAlign w:val="center"/>
            <w:hideMark/>
          </w:tcPr>
          <w:p w14:paraId="02A54A86"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PMC</w:t>
            </w:r>
          </w:p>
        </w:tc>
        <w:tc>
          <w:tcPr>
            <w:tcW w:w="302" w:type="pct"/>
            <w:vMerge w:val="restart"/>
            <w:tcBorders>
              <w:top w:val="nil"/>
              <w:left w:val="single" w:sz="4" w:space="0" w:color="auto"/>
              <w:bottom w:val="single" w:sz="4" w:space="0" w:color="000000"/>
              <w:right w:val="single" w:sz="4" w:space="0" w:color="auto"/>
            </w:tcBorders>
            <w:vAlign w:val="center"/>
            <w:hideMark/>
          </w:tcPr>
          <w:p w14:paraId="1A28B70C"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NDUPH</w:t>
            </w:r>
          </w:p>
        </w:tc>
        <w:tc>
          <w:tcPr>
            <w:tcW w:w="254" w:type="pct"/>
            <w:vMerge w:val="restart"/>
            <w:tcBorders>
              <w:top w:val="nil"/>
              <w:left w:val="single" w:sz="4" w:space="0" w:color="auto"/>
              <w:bottom w:val="single" w:sz="4" w:space="0" w:color="000000"/>
              <w:right w:val="single" w:sz="4" w:space="0" w:color="auto"/>
            </w:tcBorders>
            <w:vAlign w:val="center"/>
            <w:hideMark/>
          </w:tcPr>
          <w:p w14:paraId="2702FBF7"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62000</w:t>
            </w:r>
          </w:p>
        </w:tc>
        <w:tc>
          <w:tcPr>
            <w:tcW w:w="254" w:type="pct"/>
            <w:vMerge w:val="restart"/>
            <w:tcBorders>
              <w:top w:val="nil"/>
              <w:left w:val="single" w:sz="4" w:space="0" w:color="auto"/>
              <w:bottom w:val="single" w:sz="4" w:space="0" w:color="000000"/>
              <w:right w:val="single" w:sz="4" w:space="0" w:color="auto"/>
            </w:tcBorders>
            <w:vAlign w:val="center"/>
            <w:hideMark/>
          </w:tcPr>
          <w:p w14:paraId="3888EA7A"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10003</w:t>
            </w:r>
          </w:p>
        </w:tc>
        <w:tc>
          <w:tcPr>
            <w:tcW w:w="269" w:type="pct"/>
            <w:tcBorders>
              <w:top w:val="nil"/>
              <w:left w:val="nil"/>
              <w:bottom w:val="single" w:sz="4" w:space="0" w:color="auto"/>
              <w:right w:val="single" w:sz="4" w:space="0" w:color="auto"/>
            </w:tcBorders>
            <w:vAlign w:val="center"/>
            <w:hideMark/>
          </w:tcPr>
          <w:p w14:paraId="7798298D"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 xml:space="preserve"> 71800 </w:t>
            </w:r>
          </w:p>
        </w:tc>
        <w:tc>
          <w:tcPr>
            <w:tcW w:w="728" w:type="pct"/>
            <w:tcBorders>
              <w:top w:val="nil"/>
              <w:left w:val="nil"/>
              <w:bottom w:val="single" w:sz="4" w:space="0" w:color="auto"/>
              <w:right w:val="single" w:sz="4" w:space="0" w:color="auto"/>
            </w:tcBorders>
            <w:vAlign w:val="center"/>
            <w:hideMark/>
          </w:tcPr>
          <w:p w14:paraId="237F0142"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 xml:space="preserve">Contractual Services-Imp Partn </w:t>
            </w:r>
          </w:p>
        </w:tc>
        <w:tc>
          <w:tcPr>
            <w:tcW w:w="283" w:type="pct"/>
            <w:tcBorders>
              <w:top w:val="nil"/>
              <w:left w:val="nil"/>
              <w:bottom w:val="single" w:sz="4" w:space="0" w:color="auto"/>
              <w:right w:val="single" w:sz="4" w:space="0" w:color="auto"/>
            </w:tcBorders>
            <w:vAlign w:val="center"/>
            <w:hideMark/>
          </w:tcPr>
          <w:p w14:paraId="5A5FFE57"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19,350.00 </w:t>
            </w:r>
          </w:p>
        </w:tc>
        <w:tc>
          <w:tcPr>
            <w:tcW w:w="283" w:type="pct"/>
            <w:tcBorders>
              <w:top w:val="nil"/>
              <w:left w:val="nil"/>
              <w:bottom w:val="single" w:sz="4" w:space="0" w:color="auto"/>
              <w:right w:val="single" w:sz="4" w:space="0" w:color="auto"/>
            </w:tcBorders>
            <w:vAlign w:val="center"/>
            <w:hideMark/>
          </w:tcPr>
          <w:p w14:paraId="2FAD46BE"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25,800.00 </w:t>
            </w:r>
          </w:p>
        </w:tc>
        <w:tc>
          <w:tcPr>
            <w:tcW w:w="317" w:type="pct"/>
            <w:tcBorders>
              <w:top w:val="nil"/>
              <w:left w:val="nil"/>
              <w:bottom w:val="single" w:sz="4" w:space="0" w:color="auto"/>
              <w:right w:val="single" w:sz="4" w:space="0" w:color="auto"/>
            </w:tcBorders>
            <w:vAlign w:val="center"/>
            <w:hideMark/>
          </w:tcPr>
          <w:p w14:paraId="257FB985"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25,800.00 </w:t>
            </w:r>
          </w:p>
        </w:tc>
        <w:tc>
          <w:tcPr>
            <w:tcW w:w="317" w:type="pct"/>
            <w:tcBorders>
              <w:top w:val="nil"/>
              <w:left w:val="nil"/>
              <w:bottom w:val="single" w:sz="4" w:space="0" w:color="auto"/>
              <w:right w:val="single" w:sz="4" w:space="0" w:color="auto"/>
            </w:tcBorders>
            <w:vAlign w:val="center"/>
            <w:hideMark/>
          </w:tcPr>
          <w:p w14:paraId="2FFCFCA2"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25,800.00 </w:t>
            </w:r>
          </w:p>
        </w:tc>
        <w:tc>
          <w:tcPr>
            <w:tcW w:w="317" w:type="pct"/>
            <w:tcBorders>
              <w:top w:val="nil"/>
              <w:left w:val="nil"/>
              <w:bottom w:val="single" w:sz="4" w:space="0" w:color="auto"/>
              <w:right w:val="single" w:sz="4" w:space="0" w:color="auto"/>
            </w:tcBorders>
            <w:vAlign w:val="center"/>
            <w:hideMark/>
          </w:tcPr>
          <w:p w14:paraId="17749A1C"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25,800.00 </w:t>
            </w:r>
          </w:p>
        </w:tc>
        <w:tc>
          <w:tcPr>
            <w:tcW w:w="283" w:type="pct"/>
            <w:tcBorders>
              <w:top w:val="nil"/>
              <w:left w:val="nil"/>
              <w:bottom w:val="single" w:sz="4" w:space="0" w:color="auto"/>
              <w:right w:val="single" w:sz="4" w:space="0" w:color="auto"/>
            </w:tcBorders>
            <w:vAlign w:val="center"/>
            <w:hideMark/>
          </w:tcPr>
          <w:p w14:paraId="6F48F40B"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6,450.00 </w:t>
            </w:r>
          </w:p>
        </w:tc>
        <w:tc>
          <w:tcPr>
            <w:tcW w:w="352" w:type="pct"/>
            <w:tcBorders>
              <w:top w:val="nil"/>
              <w:left w:val="nil"/>
              <w:bottom w:val="single" w:sz="4" w:space="0" w:color="auto"/>
              <w:right w:val="single" w:sz="4" w:space="0" w:color="auto"/>
            </w:tcBorders>
            <w:vAlign w:val="center"/>
            <w:hideMark/>
          </w:tcPr>
          <w:p w14:paraId="5CC73BF6"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129,000.00 </w:t>
            </w:r>
          </w:p>
        </w:tc>
        <w:tc>
          <w:tcPr>
            <w:tcW w:w="211" w:type="pct"/>
            <w:tcBorders>
              <w:top w:val="nil"/>
              <w:left w:val="nil"/>
              <w:bottom w:val="single" w:sz="4" w:space="0" w:color="auto"/>
              <w:right w:val="single" w:sz="4" w:space="0" w:color="auto"/>
            </w:tcBorders>
            <w:vAlign w:val="center"/>
            <w:hideMark/>
          </w:tcPr>
          <w:p w14:paraId="625430D8" w14:textId="77777777" w:rsidR="00427DF8" w:rsidRPr="00427DF8" w:rsidRDefault="00427DF8" w:rsidP="00427DF8">
            <w:pPr>
              <w:spacing w:after="0" w:line="240" w:lineRule="auto"/>
              <w:jc w:val="center"/>
              <w:rPr>
                <w:rFonts w:eastAsia="Times New Roman"/>
                <w:sz w:val="18"/>
                <w:szCs w:val="18"/>
                <w:lang w:val="en-US" w:eastAsia="en-US"/>
              </w:rPr>
            </w:pPr>
            <w:r w:rsidRPr="00427DF8">
              <w:rPr>
                <w:rFonts w:eastAsia="Times New Roman"/>
                <w:sz w:val="18"/>
                <w:szCs w:val="18"/>
                <w:lang w:val="en-US" w:eastAsia="en-US"/>
              </w:rPr>
              <w:t>50</w:t>
            </w:r>
          </w:p>
        </w:tc>
        <w:tc>
          <w:tcPr>
            <w:tcW w:w="79" w:type="pct"/>
            <w:vAlign w:val="center"/>
            <w:hideMark/>
          </w:tcPr>
          <w:p w14:paraId="52E2BE90"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0B0050D4" w14:textId="77777777" w:rsidTr="008D1647">
        <w:trPr>
          <w:trHeight w:val="300"/>
        </w:trPr>
        <w:tc>
          <w:tcPr>
            <w:tcW w:w="383" w:type="pct"/>
            <w:vMerge/>
            <w:tcBorders>
              <w:top w:val="nil"/>
              <w:left w:val="single" w:sz="4" w:space="0" w:color="auto"/>
              <w:bottom w:val="single" w:sz="4" w:space="0" w:color="auto"/>
              <w:right w:val="single" w:sz="4" w:space="0" w:color="auto"/>
            </w:tcBorders>
            <w:vAlign w:val="center"/>
            <w:hideMark/>
          </w:tcPr>
          <w:p w14:paraId="4DAEDF6D" w14:textId="77777777" w:rsidR="00427DF8" w:rsidRPr="00427DF8" w:rsidRDefault="00427DF8" w:rsidP="00427DF8">
            <w:pPr>
              <w:spacing w:after="0" w:line="240" w:lineRule="auto"/>
              <w:rPr>
                <w:rFonts w:eastAsia="Times New Roman"/>
                <w:b/>
                <w:bCs/>
                <w:i/>
                <w:iCs/>
                <w:color w:val="000000"/>
                <w:sz w:val="18"/>
                <w:szCs w:val="18"/>
                <w:lang w:val="en-US" w:eastAsia="en-US"/>
              </w:rPr>
            </w:pPr>
          </w:p>
        </w:tc>
        <w:tc>
          <w:tcPr>
            <w:tcW w:w="370" w:type="pct"/>
            <w:vMerge/>
            <w:tcBorders>
              <w:top w:val="nil"/>
              <w:left w:val="single" w:sz="4" w:space="0" w:color="auto"/>
              <w:bottom w:val="single" w:sz="4" w:space="0" w:color="auto"/>
              <w:right w:val="single" w:sz="4" w:space="0" w:color="auto"/>
            </w:tcBorders>
            <w:vAlign w:val="center"/>
            <w:hideMark/>
          </w:tcPr>
          <w:p w14:paraId="48BE495D"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single" w:sz="4" w:space="0" w:color="auto"/>
            </w:tcBorders>
            <w:vAlign w:val="center"/>
            <w:hideMark/>
          </w:tcPr>
          <w:p w14:paraId="47115CC9"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0021695C"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1CD395D6"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7C27FB0C"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71300</w:t>
            </w:r>
          </w:p>
        </w:tc>
        <w:tc>
          <w:tcPr>
            <w:tcW w:w="728" w:type="pct"/>
            <w:tcBorders>
              <w:top w:val="nil"/>
              <w:left w:val="nil"/>
              <w:bottom w:val="single" w:sz="4" w:space="0" w:color="auto"/>
              <w:right w:val="single" w:sz="4" w:space="0" w:color="auto"/>
            </w:tcBorders>
            <w:vAlign w:val="center"/>
            <w:hideMark/>
          </w:tcPr>
          <w:p w14:paraId="24D6EE74"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Local consultant</w:t>
            </w:r>
          </w:p>
        </w:tc>
        <w:tc>
          <w:tcPr>
            <w:tcW w:w="283" w:type="pct"/>
            <w:tcBorders>
              <w:top w:val="nil"/>
              <w:left w:val="nil"/>
              <w:bottom w:val="single" w:sz="4" w:space="0" w:color="auto"/>
              <w:right w:val="single" w:sz="4" w:space="0" w:color="auto"/>
            </w:tcBorders>
            <w:vAlign w:val="center"/>
            <w:hideMark/>
          </w:tcPr>
          <w:p w14:paraId="64868B9D"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3,750.00 </w:t>
            </w:r>
          </w:p>
        </w:tc>
        <w:tc>
          <w:tcPr>
            <w:tcW w:w="283" w:type="pct"/>
            <w:tcBorders>
              <w:top w:val="nil"/>
              <w:left w:val="nil"/>
              <w:bottom w:val="single" w:sz="4" w:space="0" w:color="auto"/>
              <w:right w:val="single" w:sz="4" w:space="0" w:color="auto"/>
            </w:tcBorders>
            <w:vAlign w:val="center"/>
            <w:hideMark/>
          </w:tcPr>
          <w:p w14:paraId="18A6FE13"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11,250.00 </w:t>
            </w:r>
          </w:p>
        </w:tc>
        <w:tc>
          <w:tcPr>
            <w:tcW w:w="317" w:type="pct"/>
            <w:tcBorders>
              <w:top w:val="nil"/>
              <w:left w:val="nil"/>
              <w:bottom w:val="single" w:sz="4" w:space="0" w:color="auto"/>
              <w:right w:val="single" w:sz="4" w:space="0" w:color="auto"/>
            </w:tcBorders>
            <w:vAlign w:val="center"/>
            <w:hideMark/>
          </w:tcPr>
          <w:p w14:paraId="596DD1ED"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11,250.00 </w:t>
            </w:r>
          </w:p>
        </w:tc>
        <w:tc>
          <w:tcPr>
            <w:tcW w:w="317" w:type="pct"/>
            <w:tcBorders>
              <w:top w:val="nil"/>
              <w:left w:val="nil"/>
              <w:bottom w:val="single" w:sz="4" w:space="0" w:color="auto"/>
              <w:right w:val="single" w:sz="4" w:space="0" w:color="auto"/>
            </w:tcBorders>
            <w:vAlign w:val="center"/>
            <w:hideMark/>
          </w:tcPr>
          <w:p w14:paraId="651B65AF"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7,500.00 </w:t>
            </w:r>
          </w:p>
        </w:tc>
        <w:tc>
          <w:tcPr>
            <w:tcW w:w="317" w:type="pct"/>
            <w:tcBorders>
              <w:top w:val="nil"/>
              <w:left w:val="nil"/>
              <w:bottom w:val="single" w:sz="4" w:space="0" w:color="auto"/>
              <w:right w:val="single" w:sz="4" w:space="0" w:color="auto"/>
            </w:tcBorders>
            <w:vAlign w:val="center"/>
            <w:hideMark/>
          </w:tcPr>
          <w:p w14:paraId="6718DCB0"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3,750.00 </w:t>
            </w:r>
          </w:p>
        </w:tc>
        <w:tc>
          <w:tcPr>
            <w:tcW w:w="283" w:type="pct"/>
            <w:tcBorders>
              <w:top w:val="nil"/>
              <w:left w:val="nil"/>
              <w:bottom w:val="single" w:sz="4" w:space="0" w:color="auto"/>
              <w:right w:val="single" w:sz="4" w:space="0" w:color="auto"/>
            </w:tcBorders>
            <w:vAlign w:val="center"/>
            <w:hideMark/>
          </w:tcPr>
          <w:p w14:paraId="3FD73E47"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3F7D0AAD"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37,500.00 </w:t>
            </w:r>
          </w:p>
        </w:tc>
        <w:tc>
          <w:tcPr>
            <w:tcW w:w="211" w:type="pct"/>
            <w:tcBorders>
              <w:top w:val="nil"/>
              <w:left w:val="nil"/>
              <w:bottom w:val="single" w:sz="4" w:space="0" w:color="auto"/>
              <w:right w:val="single" w:sz="4" w:space="0" w:color="auto"/>
            </w:tcBorders>
            <w:vAlign w:val="center"/>
            <w:hideMark/>
          </w:tcPr>
          <w:p w14:paraId="3B0F635E" w14:textId="77777777" w:rsidR="00427DF8" w:rsidRPr="00427DF8" w:rsidRDefault="00427DF8" w:rsidP="00427DF8">
            <w:pPr>
              <w:spacing w:after="0" w:line="240" w:lineRule="auto"/>
              <w:jc w:val="center"/>
              <w:rPr>
                <w:rFonts w:eastAsia="Times New Roman"/>
                <w:sz w:val="18"/>
                <w:szCs w:val="18"/>
                <w:lang w:val="en-US" w:eastAsia="en-US"/>
              </w:rPr>
            </w:pPr>
            <w:r w:rsidRPr="00427DF8">
              <w:rPr>
                <w:rFonts w:eastAsia="Times New Roman"/>
                <w:sz w:val="18"/>
                <w:szCs w:val="18"/>
                <w:lang w:val="en-US" w:eastAsia="en-US"/>
              </w:rPr>
              <w:t>51</w:t>
            </w:r>
          </w:p>
        </w:tc>
        <w:tc>
          <w:tcPr>
            <w:tcW w:w="79" w:type="pct"/>
            <w:vAlign w:val="center"/>
            <w:hideMark/>
          </w:tcPr>
          <w:p w14:paraId="5863E2CA"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65BCEA84" w14:textId="77777777" w:rsidTr="008D1647">
        <w:trPr>
          <w:trHeight w:val="300"/>
        </w:trPr>
        <w:tc>
          <w:tcPr>
            <w:tcW w:w="383" w:type="pct"/>
            <w:vMerge/>
            <w:tcBorders>
              <w:top w:val="nil"/>
              <w:left w:val="single" w:sz="4" w:space="0" w:color="auto"/>
              <w:bottom w:val="single" w:sz="4" w:space="0" w:color="auto"/>
              <w:right w:val="single" w:sz="4" w:space="0" w:color="auto"/>
            </w:tcBorders>
            <w:vAlign w:val="center"/>
            <w:hideMark/>
          </w:tcPr>
          <w:p w14:paraId="262988A5" w14:textId="77777777" w:rsidR="00427DF8" w:rsidRPr="00427DF8" w:rsidRDefault="00427DF8" w:rsidP="00427DF8">
            <w:pPr>
              <w:spacing w:after="0" w:line="240" w:lineRule="auto"/>
              <w:rPr>
                <w:rFonts w:eastAsia="Times New Roman"/>
                <w:b/>
                <w:bCs/>
                <w:i/>
                <w:iCs/>
                <w:color w:val="000000"/>
                <w:sz w:val="18"/>
                <w:szCs w:val="18"/>
                <w:lang w:val="en-US" w:eastAsia="en-US"/>
              </w:rPr>
            </w:pPr>
          </w:p>
        </w:tc>
        <w:tc>
          <w:tcPr>
            <w:tcW w:w="370" w:type="pct"/>
            <w:vMerge/>
            <w:tcBorders>
              <w:top w:val="nil"/>
              <w:left w:val="single" w:sz="4" w:space="0" w:color="auto"/>
              <w:bottom w:val="single" w:sz="4" w:space="0" w:color="auto"/>
              <w:right w:val="single" w:sz="4" w:space="0" w:color="auto"/>
            </w:tcBorders>
            <w:vAlign w:val="center"/>
            <w:hideMark/>
          </w:tcPr>
          <w:p w14:paraId="226BDB30"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tcBorders>
              <w:top w:val="nil"/>
              <w:left w:val="nil"/>
              <w:bottom w:val="single" w:sz="4" w:space="0" w:color="auto"/>
              <w:right w:val="single" w:sz="4" w:space="0" w:color="auto"/>
            </w:tcBorders>
            <w:vAlign w:val="center"/>
            <w:hideMark/>
          </w:tcPr>
          <w:p w14:paraId="1EC49196"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UNDP</w:t>
            </w:r>
          </w:p>
        </w:tc>
        <w:tc>
          <w:tcPr>
            <w:tcW w:w="254" w:type="pct"/>
            <w:vMerge/>
            <w:tcBorders>
              <w:top w:val="nil"/>
              <w:left w:val="single" w:sz="4" w:space="0" w:color="auto"/>
              <w:bottom w:val="single" w:sz="4" w:space="0" w:color="000000"/>
              <w:right w:val="single" w:sz="4" w:space="0" w:color="auto"/>
            </w:tcBorders>
            <w:vAlign w:val="center"/>
            <w:hideMark/>
          </w:tcPr>
          <w:p w14:paraId="7611F677"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2A291E4E"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067C5F8B"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74100</w:t>
            </w:r>
          </w:p>
        </w:tc>
        <w:tc>
          <w:tcPr>
            <w:tcW w:w="728" w:type="pct"/>
            <w:tcBorders>
              <w:top w:val="nil"/>
              <w:left w:val="nil"/>
              <w:bottom w:val="single" w:sz="4" w:space="0" w:color="auto"/>
              <w:right w:val="single" w:sz="4" w:space="0" w:color="auto"/>
            </w:tcBorders>
            <w:vAlign w:val="center"/>
            <w:hideMark/>
          </w:tcPr>
          <w:p w14:paraId="6C6A1CBA"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 xml:space="preserve">Services </w:t>
            </w:r>
            <w:proofErr w:type="spellStart"/>
            <w:r w:rsidRPr="00427DF8">
              <w:rPr>
                <w:rFonts w:eastAsia="Times New Roman"/>
                <w:color w:val="000000"/>
                <w:sz w:val="18"/>
                <w:szCs w:val="18"/>
                <w:lang w:val="en-US" w:eastAsia="en-US"/>
              </w:rPr>
              <w:t>professionnels</w:t>
            </w:r>
            <w:proofErr w:type="spellEnd"/>
            <w:r w:rsidRPr="00427DF8">
              <w:rPr>
                <w:rFonts w:eastAsia="Times New Roman"/>
                <w:color w:val="000000"/>
                <w:sz w:val="18"/>
                <w:szCs w:val="18"/>
                <w:lang w:val="en-US" w:eastAsia="en-US"/>
              </w:rPr>
              <w:t xml:space="preserve"> (Audit) </w:t>
            </w:r>
          </w:p>
        </w:tc>
        <w:tc>
          <w:tcPr>
            <w:tcW w:w="283" w:type="pct"/>
            <w:tcBorders>
              <w:top w:val="nil"/>
              <w:left w:val="nil"/>
              <w:bottom w:val="single" w:sz="4" w:space="0" w:color="auto"/>
              <w:right w:val="single" w:sz="4" w:space="0" w:color="auto"/>
            </w:tcBorders>
            <w:vAlign w:val="center"/>
            <w:hideMark/>
          </w:tcPr>
          <w:p w14:paraId="3DDD057B"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3,000.00 </w:t>
            </w:r>
          </w:p>
        </w:tc>
        <w:tc>
          <w:tcPr>
            <w:tcW w:w="283" w:type="pct"/>
            <w:tcBorders>
              <w:top w:val="nil"/>
              <w:left w:val="nil"/>
              <w:bottom w:val="single" w:sz="4" w:space="0" w:color="auto"/>
              <w:right w:val="single" w:sz="4" w:space="0" w:color="auto"/>
            </w:tcBorders>
            <w:vAlign w:val="center"/>
            <w:hideMark/>
          </w:tcPr>
          <w:p w14:paraId="6328078A"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4,000.00 </w:t>
            </w:r>
          </w:p>
        </w:tc>
        <w:tc>
          <w:tcPr>
            <w:tcW w:w="317" w:type="pct"/>
            <w:tcBorders>
              <w:top w:val="nil"/>
              <w:left w:val="nil"/>
              <w:bottom w:val="single" w:sz="4" w:space="0" w:color="auto"/>
              <w:right w:val="single" w:sz="4" w:space="0" w:color="auto"/>
            </w:tcBorders>
            <w:vAlign w:val="center"/>
            <w:hideMark/>
          </w:tcPr>
          <w:p w14:paraId="11B61A65"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4,000.00 </w:t>
            </w:r>
          </w:p>
        </w:tc>
        <w:tc>
          <w:tcPr>
            <w:tcW w:w="317" w:type="pct"/>
            <w:tcBorders>
              <w:top w:val="nil"/>
              <w:left w:val="nil"/>
              <w:bottom w:val="single" w:sz="4" w:space="0" w:color="auto"/>
              <w:right w:val="single" w:sz="4" w:space="0" w:color="auto"/>
            </w:tcBorders>
            <w:vAlign w:val="center"/>
            <w:hideMark/>
          </w:tcPr>
          <w:p w14:paraId="121F3F54"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4,000.00 </w:t>
            </w:r>
          </w:p>
        </w:tc>
        <w:tc>
          <w:tcPr>
            <w:tcW w:w="317" w:type="pct"/>
            <w:tcBorders>
              <w:top w:val="nil"/>
              <w:left w:val="nil"/>
              <w:bottom w:val="single" w:sz="4" w:space="0" w:color="auto"/>
              <w:right w:val="single" w:sz="4" w:space="0" w:color="auto"/>
            </w:tcBorders>
            <w:vAlign w:val="center"/>
            <w:hideMark/>
          </w:tcPr>
          <w:p w14:paraId="53CD3A8D"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4,000.00 </w:t>
            </w:r>
          </w:p>
        </w:tc>
        <w:tc>
          <w:tcPr>
            <w:tcW w:w="283" w:type="pct"/>
            <w:tcBorders>
              <w:top w:val="nil"/>
              <w:left w:val="nil"/>
              <w:bottom w:val="single" w:sz="4" w:space="0" w:color="auto"/>
              <w:right w:val="single" w:sz="4" w:space="0" w:color="auto"/>
            </w:tcBorders>
            <w:vAlign w:val="center"/>
            <w:hideMark/>
          </w:tcPr>
          <w:p w14:paraId="034C268B"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1B6F4484"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19,000.00 </w:t>
            </w:r>
          </w:p>
        </w:tc>
        <w:tc>
          <w:tcPr>
            <w:tcW w:w="211" w:type="pct"/>
            <w:tcBorders>
              <w:top w:val="nil"/>
              <w:left w:val="nil"/>
              <w:bottom w:val="single" w:sz="4" w:space="0" w:color="auto"/>
              <w:right w:val="single" w:sz="4" w:space="0" w:color="auto"/>
            </w:tcBorders>
            <w:vAlign w:val="center"/>
            <w:hideMark/>
          </w:tcPr>
          <w:p w14:paraId="16A44144" w14:textId="77777777" w:rsidR="00427DF8" w:rsidRPr="00427DF8" w:rsidRDefault="00427DF8" w:rsidP="00427DF8">
            <w:pPr>
              <w:spacing w:after="0" w:line="240" w:lineRule="auto"/>
              <w:jc w:val="center"/>
              <w:rPr>
                <w:rFonts w:eastAsia="Times New Roman"/>
                <w:i/>
                <w:iCs/>
                <w:sz w:val="18"/>
                <w:szCs w:val="18"/>
                <w:lang w:val="en-US" w:eastAsia="en-US"/>
              </w:rPr>
            </w:pPr>
            <w:r w:rsidRPr="00427DF8">
              <w:rPr>
                <w:rFonts w:eastAsia="Times New Roman"/>
                <w:i/>
                <w:iCs/>
                <w:sz w:val="18"/>
                <w:szCs w:val="18"/>
                <w:lang w:val="en-US" w:eastAsia="en-US"/>
              </w:rPr>
              <w:t>52</w:t>
            </w:r>
          </w:p>
        </w:tc>
        <w:tc>
          <w:tcPr>
            <w:tcW w:w="79" w:type="pct"/>
            <w:vAlign w:val="center"/>
            <w:hideMark/>
          </w:tcPr>
          <w:p w14:paraId="366898DB"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3256B839" w14:textId="77777777" w:rsidTr="008D1647">
        <w:trPr>
          <w:trHeight w:val="300"/>
        </w:trPr>
        <w:tc>
          <w:tcPr>
            <w:tcW w:w="383" w:type="pct"/>
            <w:vMerge/>
            <w:tcBorders>
              <w:top w:val="nil"/>
              <w:left w:val="single" w:sz="4" w:space="0" w:color="auto"/>
              <w:bottom w:val="single" w:sz="4" w:space="0" w:color="auto"/>
              <w:right w:val="single" w:sz="4" w:space="0" w:color="auto"/>
            </w:tcBorders>
            <w:vAlign w:val="center"/>
            <w:hideMark/>
          </w:tcPr>
          <w:p w14:paraId="1B7DA571" w14:textId="77777777" w:rsidR="00427DF8" w:rsidRPr="00427DF8" w:rsidRDefault="00427DF8" w:rsidP="00427DF8">
            <w:pPr>
              <w:spacing w:after="0" w:line="240" w:lineRule="auto"/>
              <w:rPr>
                <w:rFonts w:eastAsia="Times New Roman"/>
                <w:b/>
                <w:bCs/>
                <w:i/>
                <w:iCs/>
                <w:color w:val="000000"/>
                <w:sz w:val="18"/>
                <w:szCs w:val="18"/>
                <w:lang w:val="en-US" w:eastAsia="en-US"/>
              </w:rPr>
            </w:pPr>
          </w:p>
        </w:tc>
        <w:tc>
          <w:tcPr>
            <w:tcW w:w="370" w:type="pct"/>
            <w:vMerge/>
            <w:tcBorders>
              <w:top w:val="nil"/>
              <w:left w:val="single" w:sz="4" w:space="0" w:color="auto"/>
              <w:bottom w:val="single" w:sz="4" w:space="0" w:color="auto"/>
              <w:right w:val="single" w:sz="4" w:space="0" w:color="auto"/>
            </w:tcBorders>
            <w:vAlign w:val="center"/>
            <w:hideMark/>
          </w:tcPr>
          <w:p w14:paraId="3E40B193"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val="restart"/>
            <w:tcBorders>
              <w:top w:val="nil"/>
              <w:left w:val="single" w:sz="4" w:space="0" w:color="auto"/>
              <w:bottom w:val="single" w:sz="4" w:space="0" w:color="000000"/>
              <w:right w:val="single" w:sz="4" w:space="0" w:color="auto"/>
            </w:tcBorders>
            <w:vAlign w:val="center"/>
            <w:hideMark/>
          </w:tcPr>
          <w:p w14:paraId="52E91FDB"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NDUPH</w:t>
            </w:r>
          </w:p>
        </w:tc>
        <w:tc>
          <w:tcPr>
            <w:tcW w:w="254" w:type="pct"/>
            <w:vMerge/>
            <w:tcBorders>
              <w:top w:val="nil"/>
              <w:left w:val="single" w:sz="4" w:space="0" w:color="auto"/>
              <w:bottom w:val="single" w:sz="4" w:space="0" w:color="000000"/>
              <w:right w:val="single" w:sz="4" w:space="0" w:color="auto"/>
            </w:tcBorders>
            <w:vAlign w:val="center"/>
            <w:hideMark/>
          </w:tcPr>
          <w:p w14:paraId="5477EB06"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1780368D"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2CB96BE2" w14:textId="77777777" w:rsidR="00427DF8" w:rsidRPr="00427DF8" w:rsidRDefault="00427DF8" w:rsidP="00427DF8">
            <w:pPr>
              <w:spacing w:after="0" w:line="240" w:lineRule="auto"/>
              <w:jc w:val="center"/>
              <w:rPr>
                <w:rFonts w:eastAsia="Times New Roman"/>
                <w:color w:val="000000"/>
                <w:sz w:val="18"/>
                <w:szCs w:val="18"/>
                <w:lang w:val="en-US" w:eastAsia="en-US"/>
              </w:rPr>
            </w:pPr>
            <w:r w:rsidRPr="00427DF8">
              <w:rPr>
                <w:rFonts w:eastAsia="Times New Roman"/>
                <w:color w:val="000000"/>
                <w:sz w:val="18"/>
                <w:szCs w:val="18"/>
                <w:lang w:val="en-US" w:eastAsia="en-US"/>
              </w:rPr>
              <w:t>72800</w:t>
            </w:r>
          </w:p>
        </w:tc>
        <w:tc>
          <w:tcPr>
            <w:tcW w:w="728" w:type="pct"/>
            <w:tcBorders>
              <w:top w:val="nil"/>
              <w:left w:val="nil"/>
              <w:bottom w:val="single" w:sz="4" w:space="0" w:color="auto"/>
              <w:right w:val="single" w:sz="4" w:space="0" w:color="auto"/>
            </w:tcBorders>
            <w:vAlign w:val="center"/>
            <w:hideMark/>
          </w:tcPr>
          <w:p w14:paraId="606C7A77"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Information technology equipment </w:t>
            </w:r>
          </w:p>
        </w:tc>
        <w:tc>
          <w:tcPr>
            <w:tcW w:w="283" w:type="pct"/>
            <w:tcBorders>
              <w:top w:val="nil"/>
              <w:left w:val="nil"/>
              <w:bottom w:val="single" w:sz="4" w:space="0" w:color="auto"/>
              <w:right w:val="single" w:sz="4" w:space="0" w:color="auto"/>
            </w:tcBorders>
            <w:vAlign w:val="center"/>
            <w:hideMark/>
          </w:tcPr>
          <w:p w14:paraId="3CA31E5E"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13,500.00 </w:t>
            </w:r>
          </w:p>
        </w:tc>
        <w:tc>
          <w:tcPr>
            <w:tcW w:w="283" w:type="pct"/>
            <w:tcBorders>
              <w:top w:val="nil"/>
              <w:left w:val="nil"/>
              <w:bottom w:val="single" w:sz="4" w:space="0" w:color="auto"/>
              <w:right w:val="single" w:sz="4" w:space="0" w:color="auto"/>
            </w:tcBorders>
            <w:vAlign w:val="center"/>
            <w:hideMark/>
          </w:tcPr>
          <w:p w14:paraId="58D0CEA5"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2,000.00 </w:t>
            </w:r>
          </w:p>
        </w:tc>
        <w:tc>
          <w:tcPr>
            <w:tcW w:w="317" w:type="pct"/>
            <w:tcBorders>
              <w:top w:val="nil"/>
              <w:left w:val="nil"/>
              <w:bottom w:val="single" w:sz="4" w:space="0" w:color="auto"/>
              <w:right w:val="single" w:sz="4" w:space="0" w:color="auto"/>
            </w:tcBorders>
            <w:vAlign w:val="center"/>
            <w:hideMark/>
          </w:tcPr>
          <w:p w14:paraId="5D946941"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3,000.00 </w:t>
            </w:r>
          </w:p>
        </w:tc>
        <w:tc>
          <w:tcPr>
            <w:tcW w:w="317" w:type="pct"/>
            <w:tcBorders>
              <w:top w:val="nil"/>
              <w:left w:val="nil"/>
              <w:bottom w:val="single" w:sz="4" w:space="0" w:color="auto"/>
              <w:right w:val="single" w:sz="4" w:space="0" w:color="auto"/>
            </w:tcBorders>
            <w:vAlign w:val="center"/>
            <w:hideMark/>
          </w:tcPr>
          <w:p w14:paraId="2196D03C"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3,000.00 </w:t>
            </w:r>
          </w:p>
        </w:tc>
        <w:tc>
          <w:tcPr>
            <w:tcW w:w="317" w:type="pct"/>
            <w:tcBorders>
              <w:top w:val="nil"/>
              <w:left w:val="nil"/>
              <w:bottom w:val="single" w:sz="4" w:space="0" w:color="auto"/>
              <w:right w:val="single" w:sz="4" w:space="0" w:color="auto"/>
            </w:tcBorders>
            <w:vAlign w:val="center"/>
            <w:hideMark/>
          </w:tcPr>
          <w:p w14:paraId="31BF5DAC"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1,000.00 </w:t>
            </w:r>
          </w:p>
        </w:tc>
        <w:tc>
          <w:tcPr>
            <w:tcW w:w="283" w:type="pct"/>
            <w:tcBorders>
              <w:top w:val="nil"/>
              <w:left w:val="nil"/>
              <w:bottom w:val="single" w:sz="4" w:space="0" w:color="auto"/>
              <w:right w:val="single" w:sz="4" w:space="0" w:color="auto"/>
            </w:tcBorders>
            <w:vAlign w:val="center"/>
            <w:hideMark/>
          </w:tcPr>
          <w:p w14:paraId="15795B17"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6BA83F65"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22,500.00 </w:t>
            </w:r>
          </w:p>
        </w:tc>
        <w:tc>
          <w:tcPr>
            <w:tcW w:w="211" w:type="pct"/>
            <w:tcBorders>
              <w:top w:val="nil"/>
              <w:left w:val="nil"/>
              <w:bottom w:val="single" w:sz="4" w:space="0" w:color="auto"/>
              <w:right w:val="single" w:sz="4" w:space="0" w:color="auto"/>
            </w:tcBorders>
            <w:vAlign w:val="center"/>
            <w:hideMark/>
          </w:tcPr>
          <w:p w14:paraId="3094EED1" w14:textId="77777777" w:rsidR="00427DF8" w:rsidRPr="00427DF8" w:rsidRDefault="00427DF8" w:rsidP="00427DF8">
            <w:pPr>
              <w:spacing w:after="0" w:line="240" w:lineRule="auto"/>
              <w:jc w:val="center"/>
              <w:rPr>
                <w:rFonts w:eastAsia="Times New Roman"/>
                <w:i/>
                <w:iCs/>
                <w:sz w:val="18"/>
                <w:szCs w:val="18"/>
                <w:lang w:val="en-US" w:eastAsia="en-US"/>
              </w:rPr>
            </w:pPr>
            <w:r w:rsidRPr="00427DF8">
              <w:rPr>
                <w:rFonts w:eastAsia="Times New Roman"/>
                <w:i/>
                <w:iCs/>
                <w:sz w:val="18"/>
                <w:szCs w:val="18"/>
                <w:lang w:val="en-US" w:eastAsia="en-US"/>
              </w:rPr>
              <w:t>53</w:t>
            </w:r>
          </w:p>
        </w:tc>
        <w:tc>
          <w:tcPr>
            <w:tcW w:w="79" w:type="pct"/>
            <w:vAlign w:val="center"/>
            <w:hideMark/>
          </w:tcPr>
          <w:p w14:paraId="5C9A9BC5"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52FF91EF" w14:textId="77777777" w:rsidTr="008D1647">
        <w:trPr>
          <w:trHeight w:val="300"/>
        </w:trPr>
        <w:tc>
          <w:tcPr>
            <w:tcW w:w="383" w:type="pct"/>
            <w:vMerge/>
            <w:tcBorders>
              <w:top w:val="nil"/>
              <w:left w:val="single" w:sz="4" w:space="0" w:color="auto"/>
              <w:bottom w:val="single" w:sz="4" w:space="0" w:color="auto"/>
              <w:right w:val="single" w:sz="4" w:space="0" w:color="auto"/>
            </w:tcBorders>
            <w:vAlign w:val="center"/>
            <w:hideMark/>
          </w:tcPr>
          <w:p w14:paraId="43E62C83" w14:textId="77777777" w:rsidR="00427DF8" w:rsidRPr="00427DF8" w:rsidRDefault="00427DF8" w:rsidP="00427DF8">
            <w:pPr>
              <w:spacing w:after="0" w:line="240" w:lineRule="auto"/>
              <w:rPr>
                <w:rFonts w:eastAsia="Times New Roman"/>
                <w:b/>
                <w:bCs/>
                <w:i/>
                <w:iCs/>
                <w:color w:val="000000"/>
                <w:sz w:val="18"/>
                <w:szCs w:val="18"/>
                <w:lang w:val="en-US" w:eastAsia="en-US"/>
              </w:rPr>
            </w:pPr>
          </w:p>
        </w:tc>
        <w:tc>
          <w:tcPr>
            <w:tcW w:w="370" w:type="pct"/>
            <w:vMerge/>
            <w:tcBorders>
              <w:top w:val="nil"/>
              <w:left w:val="single" w:sz="4" w:space="0" w:color="auto"/>
              <w:bottom w:val="single" w:sz="4" w:space="0" w:color="auto"/>
              <w:right w:val="single" w:sz="4" w:space="0" w:color="auto"/>
            </w:tcBorders>
            <w:vAlign w:val="center"/>
            <w:hideMark/>
          </w:tcPr>
          <w:p w14:paraId="70467434"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single" w:sz="4" w:space="0" w:color="auto"/>
            </w:tcBorders>
            <w:vAlign w:val="center"/>
            <w:hideMark/>
          </w:tcPr>
          <w:p w14:paraId="59E4EE31"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3E92BF05"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1EB6E7E7"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69EB4E86" w14:textId="77777777" w:rsidR="00427DF8" w:rsidRPr="00427DF8" w:rsidRDefault="00427DF8" w:rsidP="00427DF8">
            <w:pPr>
              <w:spacing w:after="0" w:line="240" w:lineRule="auto"/>
              <w:jc w:val="center"/>
              <w:rPr>
                <w:rFonts w:eastAsia="Times New Roman"/>
                <w:sz w:val="18"/>
                <w:szCs w:val="18"/>
                <w:lang w:val="en-US" w:eastAsia="en-US"/>
              </w:rPr>
            </w:pPr>
            <w:r w:rsidRPr="00427DF8">
              <w:rPr>
                <w:rFonts w:eastAsia="Times New Roman"/>
                <w:sz w:val="18"/>
                <w:szCs w:val="18"/>
                <w:lang w:val="en-US" w:eastAsia="en-US"/>
              </w:rPr>
              <w:t>73400</w:t>
            </w:r>
          </w:p>
        </w:tc>
        <w:tc>
          <w:tcPr>
            <w:tcW w:w="728" w:type="pct"/>
            <w:tcBorders>
              <w:top w:val="nil"/>
              <w:left w:val="nil"/>
              <w:bottom w:val="single" w:sz="4" w:space="0" w:color="auto"/>
              <w:right w:val="single" w:sz="4" w:space="0" w:color="auto"/>
            </w:tcBorders>
            <w:vAlign w:val="center"/>
            <w:hideMark/>
          </w:tcPr>
          <w:p w14:paraId="03306112"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Rental and maintenance of other equipment  </w:t>
            </w:r>
          </w:p>
        </w:tc>
        <w:tc>
          <w:tcPr>
            <w:tcW w:w="283" w:type="pct"/>
            <w:tcBorders>
              <w:top w:val="nil"/>
              <w:left w:val="nil"/>
              <w:bottom w:val="single" w:sz="4" w:space="0" w:color="auto"/>
              <w:right w:val="single" w:sz="4" w:space="0" w:color="auto"/>
            </w:tcBorders>
            <w:vAlign w:val="center"/>
            <w:hideMark/>
          </w:tcPr>
          <w:p w14:paraId="7208A2B6"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2,000.00 </w:t>
            </w:r>
          </w:p>
        </w:tc>
        <w:tc>
          <w:tcPr>
            <w:tcW w:w="283" w:type="pct"/>
            <w:tcBorders>
              <w:top w:val="nil"/>
              <w:left w:val="nil"/>
              <w:bottom w:val="single" w:sz="4" w:space="0" w:color="auto"/>
              <w:right w:val="single" w:sz="4" w:space="0" w:color="auto"/>
            </w:tcBorders>
            <w:vAlign w:val="center"/>
            <w:hideMark/>
          </w:tcPr>
          <w:p w14:paraId="505722A5"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39D8EE88"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3,000.00 </w:t>
            </w:r>
          </w:p>
        </w:tc>
        <w:tc>
          <w:tcPr>
            <w:tcW w:w="317" w:type="pct"/>
            <w:tcBorders>
              <w:top w:val="nil"/>
              <w:left w:val="nil"/>
              <w:bottom w:val="single" w:sz="4" w:space="0" w:color="auto"/>
              <w:right w:val="single" w:sz="4" w:space="0" w:color="auto"/>
            </w:tcBorders>
            <w:vAlign w:val="center"/>
            <w:hideMark/>
          </w:tcPr>
          <w:p w14:paraId="5243A209"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2,000.00 </w:t>
            </w:r>
          </w:p>
        </w:tc>
        <w:tc>
          <w:tcPr>
            <w:tcW w:w="317" w:type="pct"/>
            <w:tcBorders>
              <w:top w:val="nil"/>
              <w:left w:val="nil"/>
              <w:bottom w:val="single" w:sz="4" w:space="0" w:color="auto"/>
              <w:right w:val="single" w:sz="4" w:space="0" w:color="auto"/>
            </w:tcBorders>
            <w:vAlign w:val="center"/>
            <w:hideMark/>
          </w:tcPr>
          <w:p w14:paraId="07AC09D1"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1,000.00 </w:t>
            </w:r>
          </w:p>
        </w:tc>
        <w:tc>
          <w:tcPr>
            <w:tcW w:w="283" w:type="pct"/>
            <w:tcBorders>
              <w:top w:val="nil"/>
              <w:left w:val="nil"/>
              <w:bottom w:val="single" w:sz="4" w:space="0" w:color="auto"/>
              <w:right w:val="single" w:sz="4" w:space="0" w:color="auto"/>
            </w:tcBorders>
            <w:vAlign w:val="center"/>
            <w:hideMark/>
          </w:tcPr>
          <w:p w14:paraId="6E014288"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416250AB"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8,000.00 </w:t>
            </w:r>
          </w:p>
        </w:tc>
        <w:tc>
          <w:tcPr>
            <w:tcW w:w="211" w:type="pct"/>
            <w:tcBorders>
              <w:top w:val="nil"/>
              <w:left w:val="nil"/>
              <w:bottom w:val="single" w:sz="4" w:space="0" w:color="auto"/>
              <w:right w:val="single" w:sz="4" w:space="0" w:color="auto"/>
            </w:tcBorders>
            <w:vAlign w:val="center"/>
            <w:hideMark/>
          </w:tcPr>
          <w:p w14:paraId="73BD944C"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54</w:t>
            </w:r>
          </w:p>
        </w:tc>
        <w:tc>
          <w:tcPr>
            <w:tcW w:w="79" w:type="pct"/>
            <w:vAlign w:val="center"/>
            <w:hideMark/>
          </w:tcPr>
          <w:p w14:paraId="4AEF2231"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1EEE3D03" w14:textId="77777777" w:rsidTr="008D1647">
        <w:trPr>
          <w:trHeight w:val="300"/>
        </w:trPr>
        <w:tc>
          <w:tcPr>
            <w:tcW w:w="383" w:type="pct"/>
            <w:vMerge/>
            <w:tcBorders>
              <w:top w:val="nil"/>
              <w:left w:val="single" w:sz="4" w:space="0" w:color="auto"/>
              <w:bottom w:val="single" w:sz="4" w:space="0" w:color="auto"/>
              <w:right w:val="single" w:sz="4" w:space="0" w:color="auto"/>
            </w:tcBorders>
            <w:vAlign w:val="center"/>
            <w:hideMark/>
          </w:tcPr>
          <w:p w14:paraId="318E5963" w14:textId="77777777" w:rsidR="00427DF8" w:rsidRPr="00427DF8" w:rsidRDefault="00427DF8" w:rsidP="00427DF8">
            <w:pPr>
              <w:spacing w:after="0" w:line="240" w:lineRule="auto"/>
              <w:rPr>
                <w:rFonts w:eastAsia="Times New Roman"/>
                <w:b/>
                <w:bCs/>
                <w:i/>
                <w:iCs/>
                <w:color w:val="000000"/>
                <w:sz w:val="18"/>
                <w:szCs w:val="18"/>
                <w:lang w:val="en-US" w:eastAsia="en-US"/>
              </w:rPr>
            </w:pPr>
          </w:p>
        </w:tc>
        <w:tc>
          <w:tcPr>
            <w:tcW w:w="370" w:type="pct"/>
            <w:vMerge/>
            <w:tcBorders>
              <w:top w:val="nil"/>
              <w:left w:val="single" w:sz="4" w:space="0" w:color="auto"/>
              <w:bottom w:val="single" w:sz="4" w:space="0" w:color="auto"/>
              <w:right w:val="single" w:sz="4" w:space="0" w:color="auto"/>
            </w:tcBorders>
            <w:vAlign w:val="center"/>
            <w:hideMark/>
          </w:tcPr>
          <w:p w14:paraId="3D080375"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single" w:sz="4" w:space="0" w:color="auto"/>
            </w:tcBorders>
            <w:vAlign w:val="center"/>
            <w:hideMark/>
          </w:tcPr>
          <w:p w14:paraId="777966D5"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076AF696"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2D82A00D"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69" w:type="pct"/>
            <w:tcBorders>
              <w:top w:val="nil"/>
              <w:left w:val="nil"/>
              <w:bottom w:val="single" w:sz="4" w:space="0" w:color="auto"/>
              <w:right w:val="single" w:sz="4" w:space="0" w:color="auto"/>
            </w:tcBorders>
            <w:vAlign w:val="center"/>
            <w:hideMark/>
          </w:tcPr>
          <w:p w14:paraId="0742D81C" w14:textId="77777777" w:rsidR="00427DF8" w:rsidRPr="00427DF8" w:rsidRDefault="00427DF8" w:rsidP="00427DF8">
            <w:pPr>
              <w:spacing w:after="0" w:line="240" w:lineRule="auto"/>
              <w:jc w:val="center"/>
              <w:rPr>
                <w:rFonts w:eastAsia="Times New Roman"/>
                <w:sz w:val="18"/>
                <w:szCs w:val="18"/>
                <w:lang w:val="en-US" w:eastAsia="en-US"/>
              </w:rPr>
            </w:pPr>
            <w:r w:rsidRPr="00427DF8">
              <w:rPr>
                <w:rFonts w:eastAsia="Times New Roman"/>
                <w:sz w:val="18"/>
                <w:szCs w:val="18"/>
                <w:lang w:val="en-US" w:eastAsia="en-US"/>
              </w:rPr>
              <w:t>72500</w:t>
            </w:r>
          </w:p>
        </w:tc>
        <w:tc>
          <w:tcPr>
            <w:tcW w:w="728" w:type="pct"/>
            <w:tcBorders>
              <w:top w:val="nil"/>
              <w:left w:val="nil"/>
              <w:bottom w:val="single" w:sz="4" w:space="0" w:color="auto"/>
              <w:right w:val="single" w:sz="4" w:space="0" w:color="auto"/>
            </w:tcBorders>
            <w:vAlign w:val="center"/>
            <w:hideMark/>
          </w:tcPr>
          <w:p w14:paraId="2A69654B" w14:textId="77777777" w:rsidR="00427DF8" w:rsidRPr="00427DF8" w:rsidRDefault="00427DF8" w:rsidP="00427DF8">
            <w:pPr>
              <w:spacing w:after="0" w:line="240" w:lineRule="auto"/>
              <w:rPr>
                <w:rFonts w:eastAsia="Times New Roman"/>
                <w:color w:val="000000"/>
                <w:sz w:val="18"/>
                <w:szCs w:val="18"/>
                <w:lang w:val="en-US" w:eastAsia="en-US"/>
              </w:rPr>
            </w:pPr>
            <w:r w:rsidRPr="00427DF8">
              <w:rPr>
                <w:rFonts w:eastAsia="Times New Roman"/>
                <w:color w:val="000000"/>
                <w:sz w:val="18"/>
                <w:szCs w:val="18"/>
                <w:lang w:val="en-US" w:eastAsia="en-US"/>
              </w:rPr>
              <w:t>Supplies </w:t>
            </w:r>
          </w:p>
        </w:tc>
        <w:tc>
          <w:tcPr>
            <w:tcW w:w="283" w:type="pct"/>
            <w:tcBorders>
              <w:top w:val="nil"/>
              <w:left w:val="nil"/>
              <w:bottom w:val="single" w:sz="4" w:space="0" w:color="auto"/>
              <w:right w:val="single" w:sz="4" w:space="0" w:color="auto"/>
            </w:tcBorders>
            <w:vAlign w:val="center"/>
            <w:hideMark/>
          </w:tcPr>
          <w:p w14:paraId="285FADC9"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4,000.00 </w:t>
            </w:r>
          </w:p>
        </w:tc>
        <w:tc>
          <w:tcPr>
            <w:tcW w:w="283" w:type="pct"/>
            <w:tcBorders>
              <w:top w:val="nil"/>
              <w:left w:val="nil"/>
              <w:bottom w:val="single" w:sz="4" w:space="0" w:color="auto"/>
              <w:right w:val="single" w:sz="4" w:space="0" w:color="auto"/>
            </w:tcBorders>
            <w:vAlign w:val="center"/>
            <w:hideMark/>
          </w:tcPr>
          <w:p w14:paraId="799AD30E"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2,000.00 </w:t>
            </w:r>
          </w:p>
        </w:tc>
        <w:tc>
          <w:tcPr>
            <w:tcW w:w="317" w:type="pct"/>
            <w:tcBorders>
              <w:top w:val="nil"/>
              <w:left w:val="nil"/>
              <w:bottom w:val="single" w:sz="4" w:space="0" w:color="auto"/>
              <w:right w:val="single" w:sz="4" w:space="0" w:color="auto"/>
            </w:tcBorders>
            <w:vAlign w:val="center"/>
            <w:hideMark/>
          </w:tcPr>
          <w:p w14:paraId="439FB486"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1,000.00 </w:t>
            </w:r>
          </w:p>
        </w:tc>
        <w:tc>
          <w:tcPr>
            <w:tcW w:w="317" w:type="pct"/>
            <w:tcBorders>
              <w:top w:val="nil"/>
              <w:left w:val="nil"/>
              <w:bottom w:val="single" w:sz="4" w:space="0" w:color="auto"/>
              <w:right w:val="single" w:sz="4" w:space="0" w:color="auto"/>
            </w:tcBorders>
            <w:vAlign w:val="center"/>
            <w:hideMark/>
          </w:tcPr>
          <w:p w14:paraId="60DD5D02"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1,000.00 </w:t>
            </w:r>
          </w:p>
        </w:tc>
        <w:tc>
          <w:tcPr>
            <w:tcW w:w="317" w:type="pct"/>
            <w:tcBorders>
              <w:top w:val="nil"/>
              <w:left w:val="nil"/>
              <w:bottom w:val="single" w:sz="4" w:space="0" w:color="auto"/>
              <w:right w:val="single" w:sz="4" w:space="0" w:color="auto"/>
            </w:tcBorders>
            <w:vAlign w:val="center"/>
            <w:hideMark/>
          </w:tcPr>
          <w:p w14:paraId="2745F7E2"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1,855.00 </w:t>
            </w:r>
          </w:p>
        </w:tc>
        <w:tc>
          <w:tcPr>
            <w:tcW w:w="283" w:type="pct"/>
            <w:tcBorders>
              <w:top w:val="nil"/>
              <w:left w:val="nil"/>
              <w:bottom w:val="single" w:sz="4" w:space="0" w:color="auto"/>
              <w:right w:val="single" w:sz="4" w:space="0" w:color="auto"/>
            </w:tcBorders>
            <w:vAlign w:val="center"/>
            <w:hideMark/>
          </w:tcPr>
          <w:p w14:paraId="424370FE"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30529C96"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9,855.00 </w:t>
            </w:r>
          </w:p>
        </w:tc>
        <w:tc>
          <w:tcPr>
            <w:tcW w:w="211" w:type="pct"/>
            <w:tcBorders>
              <w:top w:val="nil"/>
              <w:left w:val="nil"/>
              <w:bottom w:val="single" w:sz="4" w:space="0" w:color="auto"/>
              <w:right w:val="single" w:sz="4" w:space="0" w:color="auto"/>
            </w:tcBorders>
            <w:vAlign w:val="center"/>
            <w:hideMark/>
          </w:tcPr>
          <w:p w14:paraId="6C4DF7F0"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55</w:t>
            </w:r>
          </w:p>
        </w:tc>
        <w:tc>
          <w:tcPr>
            <w:tcW w:w="79" w:type="pct"/>
            <w:vAlign w:val="center"/>
            <w:hideMark/>
          </w:tcPr>
          <w:p w14:paraId="062D9D0A"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29916536" w14:textId="77777777" w:rsidTr="008D1647">
        <w:trPr>
          <w:trHeight w:val="289"/>
        </w:trPr>
        <w:tc>
          <w:tcPr>
            <w:tcW w:w="383" w:type="pct"/>
            <w:vMerge/>
            <w:tcBorders>
              <w:top w:val="nil"/>
              <w:left w:val="single" w:sz="4" w:space="0" w:color="auto"/>
              <w:bottom w:val="single" w:sz="4" w:space="0" w:color="auto"/>
              <w:right w:val="single" w:sz="4" w:space="0" w:color="auto"/>
            </w:tcBorders>
            <w:vAlign w:val="center"/>
            <w:hideMark/>
          </w:tcPr>
          <w:p w14:paraId="34A74E4B" w14:textId="77777777" w:rsidR="00427DF8" w:rsidRPr="00427DF8" w:rsidRDefault="00427DF8" w:rsidP="00427DF8">
            <w:pPr>
              <w:spacing w:after="0" w:line="240" w:lineRule="auto"/>
              <w:rPr>
                <w:rFonts w:eastAsia="Times New Roman"/>
                <w:b/>
                <w:bCs/>
                <w:i/>
                <w:iCs/>
                <w:color w:val="000000"/>
                <w:sz w:val="18"/>
                <w:szCs w:val="18"/>
                <w:lang w:val="en-US" w:eastAsia="en-US"/>
              </w:rPr>
            </w:pPr>
          </w:p>
        </w:tc>
        <w:tc>
          <w:tcPr>
            <w:tcW w:w="370" w:type="pct"/>
            <w:vMerge/>
            <w:tcBorders>
              <w:top w:val="nil"/>
              <w:left w:val="single" w:sz="4" w:space="0" w:color="auto"/>
              <w:bottom w:val="single" w:sz="4" w:space="0" w:color="auto"/>
              <w:right w:val="single" w:sz="4" w:space="0" w:color="auto"/>
            </w:tcBorders>
            <w:vAlign w:val="center"/>
            <w:hideMark/>
          </w:tcPr>
          <w:p w14:paraId="1173618D"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single" w:sz="4" w:space="0" w:color="auto"/>
            </w:tcBorders>
            <w:vAlign w:val="center"/>
            <w:hideMark/>
          </w:tcPr>
          <w:p w14:paraId="12720A95"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single" w:sz="4" w:space="0" w:color="000000"/>
              <w:right w:val="single" w:sz="4" w:space="0" w:color="auto"/>
            </w:tcBorders>
            <w:vAlign w:val="center"/>
            <w:hideMark/>
          </w:tcPr>
          <w:p w14:paraId="3C0CBDFC"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1251" w:type="pct"/>
            <w:gridSpan w:val="3"/>
            <w:tcBorders>
              <w:top w:val="single" w:sz="4" w:space="0" w:color="auto"/>
              <w:left w:val="nil"/>
              <w:bottom w:val="single" w:sz="4" w:space="0" w:color="auto"/>
              <w:right w:val="single" w:sz="4" w:space="0" w:color="auto"/>
            </w:tcBorders>
            <w:shd w:val="clear" w:color="000000" w:fill="F2CEEF"/>
            <w:vAlign w:val="center"/>
            <w:hideMark/>
          </w:tcPr>
          <w:p w14:paraId="4FE14DCE" w14:textId="77777777" w:rsidR="00427DF8" w:rsidRPr="00427DF8" w:rsidRDefault="00427DF8" w:rsidP="00427DF8">
            <w:pPr>
              <w:spacing w:after="0" w:line="240" w:lineRule="auto"/>
              <w:jc w:val="right"/>
              <w:rPr>
                <w:rFonts w:eastAsia="Times New Roman"/>
                <w:b/>
                <w:bCs/>
                <w:color w:val="000000"/>
                <w:sz w:val="18"/>
                <w:szCs w:val="18"/>
                <w:lang w:val="en-US" w:eastAsia="en-US"/>
              </w:rPr>
            </w:pPr>
            <w:proofErr w:type="spellStart"/>
            <w:r w:rsidRPr="00427DF8">
              <w:rPr>
                <w:rFonts w:eastAsia="Times New Roman"/>
                <w:b/>
                <w:bCs/>
                <w:color w:val="000000"/>
                <w:sz w:val="18"/>
                <w:szCs w:val="18"/>
                <w:lang w:val="en-US" w:eastAsia="en-US"/>
              </w:rPr>
              <w:t>sub total</w:t>
            </w:r>
            <w:proofErr w:type="spellEnd"/>
            <w:r w:rsidRPr="00427DF8">
              <w:rPr>
                <w:rFonts w:eastAsia="Times New Roman"/>
                <w:b/>
                <w:bCs/>
                <w:color w:val="000000"/>
                <w:sz w:val="18"/>
                <w:szCs w:val="18"/>
                <w:lang w:val="en-US" w:eastAsia="en-US"/>
              </w:rPr>
              <w:t xml:space="preserve"> PMC GEF</w:t>
            </w:r>
          </w:p>
        </w:tc>
        <w:tc>
          <w:tcPr>
            <w:tcW w:w="283" w:type="pct"/>
            <w:tcBorders>
              <w:top w:val="nil"/>
              <w:left w:val="nil"/>
              <w:bottom w:val="single" w:sz="4" w:space="0" w:color="auto"/>
              <w:right w:val="single" w:sz="4" w:space="0" w:color="auto"/>
            </w:tcBorders>
            <w:shd w:val="clear" w:color="000000" w:fill="F2CEEF"/>
            <w:vAlign w:val="center"/>
            <w:hideMark/>
          </w:tcPr>
          <w:p w14:paraId="1172A8D6"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45,600.00 </w:t>
            </w:r>
          </w:p>
        </w:tc>
        <w:tc>
          <w:tcPr>
            <w:tcW w:w="283" w:type="pct"/>
            <w:tcBorders>
              <w:top w:val="nil"/>
              <w:left w:val="nil"/>
              <w:bottom w:val="single" w:sz="4" w:space="0" w:color="auto"/>
              <w:right w:val="single" w:sz="4" w:space="0" w:color="auto"/>
            </w:tcBorders>
            <w:shd w:val="clear" w:color="000000" w:fill="F2CEEF"/>
            <w:vAlign w:val="center"/>
            <w:hideMark/>
          </w:tcPr>
          <w:p w14:paraId="76C3DAC7"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45,050.00 </w:t>
            </w:r>
          </w:p>
        </w:tc>
        <w:tc>
          <w:tcPr>
            <w:tcW w:w="317" w:type="pct"/>
            <w:tcBorders>
              <w:top w:val="nil"/>
              <w:left w:val="nil"/>
              <w:bottom w:val="single" w:sz="4" w:space="0" w:color="auto"/>
              <w:right w:val="single" w:sz="4" w:space="0" w:color="auto"/>
            </w:tcBorders>
            <w:shd w:val="clear" w:color="000000" w:fill="F2CEEF"/>
            <w:vAlign w:val="center"/>
            <w:hideMark/>
          </w:tcPr>
          <w:p w14:paraId="52ACF79B"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48,050.00 </w:t>
            </w:r>
          </w:p>
        </w:tc>
        <w:tc>
          <w:tcPr>
            <w:tcW w:w="317" w:type="pct"/>
            <w:tcBorders>
              <w:top w:val="nil"/>
              <w:left w:val="nil"/>
              <w:bottom w:val="single" w:sz="4" w:space="0" w:color="auto"/>
              <w:right w:val="single" w:sz="4" w:space="0" w:color="auto"/>
            </w:tcBorders>
            <w:shd w:val="clear" w:color="000000" w:fill="F2CEEF"/>
            <w:vAlign w:val="center"/>
            <w:hideMark/>
          </w:tcPr>
          <w:p w14:paraId="50A3E420"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43,300.00 </w:t>
            </w:r>
          </w:p>
        </w:tc>
        <w:tc>
          <w:tcPr>
            <w:tcW w:w="317" w:type="pct"/>
            <w:tcBorders>
              <w:top w:val="nil"/>
              <w:left w:val="nil"/>
              <w:bottom w:val="single" w:sz="4" w:space="0" w:color="auto"/>
              <w:right w:val="single" w:sz="4" w:space="0" w:color="auto"/>
            </w:tcBorders>
            <w:shd w:val="clear" w:color="000000" w:fill="F2CEEF"/>
            <w:vAlign w:val="center"/>
            <w:hideMark/>
          </w:tcPr>
          <w:p w14:paraId="3A739244"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37,405.00 </w:t>
            </w:r>
          </w:p>
        </w:tc>
        <w:tc>
          <w:tcPr>
            <w:tcW w:w="283" w:type="pct"/>
            <w:tcBorders>
              <w:top w:val="nil"/>
              <w:left w:val="nil"/>
              <w:bottom w:val="single" w:sz="4" w:space="0" w:color="auto"/>
              <w:right w:val="single" w:sz="4" w:space="0" w:color="auto"/>
            </w:tcBorders>
            <w:shd w:val="clear" w:color="000000" w:fill="F2CEEF"/>
            <w:vAlign w:val="center"/>
            <w:hideMark/>
          </w:tcPr>
          <w:p w14:paraId="7EBF1118"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6,450.00 </w:t>
            </w:r>
          </w:p>
        </w:tc>
        <w:tc>
          <w:tcPr>
            <w:tcW w:w="352" w:type="pct"/>
            <w:tcBorders>
              <w:top w:val="nil"/>
              <w:left w:val="nil"/>
              <w:bottom w:val="single" w:sz="4" w:space="0" w:color="auto"/>
              <w:right w:val="single" w:sz="4" w:space="0" w:color="auto"/>
            </w:tcBorders>
            <w:shd w:val="clear" w:color="000000" w:fill="F2CEEF"/>
            <w:vAlign w:val="center"/>
            <w:hideMark/>
          </w:tcPr>
          <w:p w14:paraId="02FFB01F"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225,855.00 </w:t>
            </w:r>
          </w:p>
        </w:tc>
        <w:tc>
          <w:tcPr>
            <w:tcW w:w="211" w:type="pct"/>
            <w:tcBorders>
              <w:top w:val="nil"/>
              <w:left w:val="nil"/>
              <w:bottom w:val="single" w:sz="4" w:space="0" w:color="auto"/>
              <w:right w:val="single" w:sz="4" w:space="0" w:color="auto"/>
            </w:tcBorders>
            <w:shd w:val="clear" w:color="000000" w:fill="F2CEEF"/>
            <w:vAlign w:val="center"/>
            <w:hideMark/>
          </w:tcPr>
          <w:p w14:paraId="2614460B"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79" w:type="pct"/>
            <w:vAlign w:val="center"/>
            <w:hideMark/>
          </w:tcPr>
          <w:p w14:paraId="72CFD0FD"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0153D430" w14:textId="77777777" w:rsidTr="008D1647">
        <w:trPr>
          <w:trHeight w:val="300"/>
        </w:trPr>
        <w:tc>
          <w:tcPr>
            <w:tcW w:w="383" w:type="pct"/>
            <w:vMerge/>
            <w:tcBorders>
              <w:top w:val="nil"/>
              <w:left w:val="single" w:sz="4" w:space="0" w:color="auto"/>
              <w:bottom w:val="single" w:sz="4" w:space="0" w:color="auto"/>
              <w:right w:val="single" w:sz="4" w:space="0" w:color="auto"/>
            </w:tcBorders>
            <w:vAlign w:val="center"/>
            <w:hideMark/>
          </w:tcPr>
          <w:p w14:paraId="49E4804A" w14:textId="77777777" w:rsidR="00427DF8" w:rsidRPr="00427DF8" w:rsidRDefault="00427DF8" w:rsidP="00427DF8">
            <w:pPr>
              <w:spacing w:after="0" w:line="240" w:lineRule="auto"/>
              <w:rPr>
                <w:rFonts w:eastAsia="Times New Roman"/>
                <w:b/>
                <w:bCs/>
                <w:i/>
                <w:iCs/>
                <w:color w:val="000000"/>
                <w:sz w:val="18"/>
                <w:szCs w:val="18"/>
                <w:lang w:val="en-US" w:eastAsia="en-US"/>
              </w:rPr>
            </w:pPr>
          </w:p>
        </w:tc>
        <w:tc>
          <w:tcPr>
            <w:tcW w:w="370" w:type="pct"/>
            <w:vMerge/>
            <w:tcBorders>
              <w:top w:val="nil"/>
              <w:left w:val="single" w:sz="4" w:space="0" w:color="auto"/>
              <w:bottom w:val="single" w:sz="4" w:space="0" w:color="auto"/>
              <w:right w:val="single" w:sz="4" w:space="0" w:color="auto"/>
            </w:tcBorders>
            <w:vAlign w:val="center"/>
            <w:hideMark/>
          </w:tcPr>
          <w:p w14:paraId="5E1A6F26"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single" w:sz="4" w:space="0" w:color="auto"/>
            </w:tcBorders>
            <w:vAlign w:val="center"/>
            <w:hideMark/>
          </w:tcPr>
          <w:p w14:paraId="3726DD98"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val="restart"/>
            <w:tcBorders>
              <w:top w:val="nil"/>
              <w:left w:val="single" w:sz="4" w:space="0" w:color="auto"/>
              <w:bottom w:val="single" w:sz="4" w:space="0" w:color="auto"/>
              <w:right w:val="single" w:sz="4" w:space="0" w:color="auto"/>
            </w:tcBorders>
            <w:vAlign w:val="center"/>
            <w:hideMark/>
          </w:tcPr>
          <w:p w14:paraId="690FF36C"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UNDP</w:t>
            </w:r>
          </w:p>
        </w:tc>
        <w:tc>
          <w:tcPr>
            <w:tcW w:w="254" w:type="pct"/>
            <w:tcBorders>
              <w:top w:val="nil"/>
              <w:left w:val="nil"/>
              <w:bottom w:val="single" w:sz="4" w:space="0" w:color="auto"/>
              <w:right w:val="single" w:sz="4" w:space="0" w:color="auto"/>
            </w:tcBorders>
            <w:vAlign w:val="center"/>
            <w:hideMark/>
          </w:tcPr>
          <w:p w14:paraId="23FA62F5"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12</w:t>
            </w:r>
          </w:p>
        </w:tc>
        <w:tc>
          <w:tcPr>
            <w:tcW w:w="269" w:type="pct"/>
            <w:tcBorders>
              <w:top w:val="nil"/>
              <w:left w:val="nil"/>
              <w:bottom w:val="single" w:sz="4" w:space="0" w:color="auto"/>
              <w:right w:val="single" w:sz="4" w:space="0" w:color="auto"/>
            </w:tcBorders>
            <w:vAlign w:val="center"/>
            <w:hideMark/>
          </w:tcPr>
          <w:p w14:paraId="57B319FC" w14:textId="77777777" w:rsidR="00427DF8" w:rsidRPr="00427DF8" w:rsidRDefault="00427DF8" w:rsidP="00427DF8">
            <w:pPr>
              <w:spacing w:after="0" w:line="240" w:lineRule="auto"/>
              <w:jc w:val="center"/>
              <w:rPr>
                <w:rFonts w:eastAsia="Times New Roman"/>
                <w:sz w:val="18"/>
                <w:szCs w:val="18"/>
                <w:lang w:val="en-US" w:eastAsia="en-US"/>
              </w:rPr>
            </w:pPr>
            <w:r w:rsidRPr="00427DF8">
              <w:rPr>
                <w:rFonts w:eastAsia="Times New Roman"/>
                <w:sz w:val="18"/>
                <w:szCs w:val="18"/>
                <w:lang w:val="en-US" w:eastAsia="en-US"/>
              </w:rPr>
              <w:t>72200</w:t>
            </w:r>
          </w:p>
        </w:tc>
        <w:tc>
          <w:tcPr>
            <w:tcW w:w="728" w:type="pct"/>
            <w:tcBorders>
              <w:top w:val="nil"/>
              <w:left w:val="nil"/>
              <w:bottom w:val="single" w:sz="4" w:space="0" w:color="auto"/>
              <w:right w:val="single" w:sz="4" w:space="0" w:color="auto"/>
            </w:tcBorders>
            <w:vAlign w:val="center"/>
            <w:hideMark/>
          </w:tcPr>
          <w:p w14:paraId="0CF8AF3E" w14:textId="77777777" w:rsidR="00427DF8" w:rsidRPr="00427DF8" w:rsidRDefault="00427DF8" w:rsidP="00427DF8">
            <w:pPr>
              <w:spacing w:after="0" w:line="240" w:lineRule="auto"/>
              <w:rPr>
                <w:rFonts w:eastAsia="Times New Roman"/>
                <w:color w:val="000000"/>
                <w:sz w:val="18"/>
                <w:szCs w:val="18"/>
                <w:lang w:val="en-US" w:eastAsia="en-US"/>
              </w:rPr>
            </w:pPr>
            <w:proofErr w:type="spellStart"/>
            <w:r w:rsidRPr="00427DF8">
              <w:rPr>
                <w:rFonts w:eastAsia="Times New Roman"/>
                <w:color w:val="000000"/>
                <w:sz w:val="18"/>
                <w:szCs w:val="18"/>
                <w:lang w:val="en-US" w:eastAsia="en-US"/>
              </w:rPr>
              <w:t>Equipements</w:t>
            </w:r>
            <w:proofErr w:type="spellEnd"/>
            <w:r w:rsidRPr="00427DF8">
              <w:rPr>
                <w:rFonts w:eastAsia="Times New Roman"/>
                <w:color w:val="000000"/>
                <w:sz w:val="18"/>
                <w:szCs w:val="18"/>
                <w:lang w:val="en-US" w:eastAsia="en-US"/>
              </w:rPr>
              <w:t>  </w:t>
            </w:r>
          </w:p>
        </w:tc>
        <w:tc>
          <w:tcPr>
            <w:tcW w:w="283" w:type="pct"/>
            <w:tcBorders>
              <w:top w:val="nil"/>
              <w:left w:val="nil"/>
              <w:bottom w:val="single" w:sz="4" w:space="0" w:color="auto"/>
              <w:right w:val="single" w:sz="4" w:space="0" w:color="auto"/>
            </w:tcBorders>
            <w:vAlign w:val="center"/>
            <w:hideMark/>
          </w:tcPr>
          <w:p w14:paraId="3B679712"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60,000.00 </w:t>
            </w:r>
          </w:p>
        </w:tc>
        <w:tc>
          <w:tcPr>
            <w:tcW w:w="283" w:type="pct"/>
            <w:tcBorders>
              <w:top w:val="nil"/>
              <w:left w:val="nil"/>
              <w:bottom w:val="single" w:sz="4" w:space="0" w:color="auto"/>
              <w:right w:val="single" w:sz="4" w:space="0" w:color="auto"/>
            </w:tcBorders>
            <w:vAlign w:val="center"/>
            <w:hideMark/>
          </w:tcPr>
          <w:p w14:paraId="101B5433"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317" w:type="pct"/>
            <w:tcBorders>
              <w:top w:val="nil"/>
              <w:left w:val="nil"/>
              <w:bottom w:val="single" w:sz="4" w:space="0" w:color="auto"/>
              <w:right w:val="single" w:sz="4" w:space="0" w:color="auto"/>
            </w:tcBorders>
            <w:vAlign w:val="center"/>
            <w:hideMark/>
          </w:tcPr>
          <w:p w14:paraId="0379E706"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76A07105"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vAlign w:val="center"/>
            <w:hideMark/>
          </w:tcPr>
          <w:p w14:paraId="041CD497"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vAlign w:val="center"/>
            <w:hideMark/>
          </w:tcPr>
          <w:p w14:paraId="61145D6D"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52" w:type="pct"/>
            <w:tcBorders>
              <w:top w:val="nil"/>
              <w:left w:val="nil"/>
              <w:bottom w:val="single" w:sz="4" w:space="0" w:color="auto"/>
              <w:right w:val="single" w:sz="4" w:space="0" w:color="auto"/>
            </w:tcBorders>
            <w:vAlign w:val="center"/>
            <w:hideMark/>
          </w:tcPr>
          <w:p w14:paraId="6550FDC1"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60,000.00 </w:t>
            </w:r>
          </w:p>
        </w:tc>
        <w:tc>
          <w:tcPr>
            <w:tcW w:w="211" w:type="pct"/>
            <w:tcBorders>
              <w:top w:val="nil"/>
              <w:left w:val="nil"/>
              <w:bottom w:val="single" w:sz="4" w:space="0" w:color="auto"/>
              <w:right w:val="single" w:sz="4" w:space="0" w:color="auto"/>
            </w:tcBorders>
            <w:vAlign w:val="center"/>
            <w:hideMark/>
          </w:tcPr>
          <w:p w14:paraId="6F23C92D"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56</w:t>
            </w:r>
          </w:p>
        </w:tc>
        <w:tc>
          <w:tcPr>
            <w:tcW w:w="79" w:type="pct"/>
            <w:vAlign w:val="center"/>
            <w:hideMark/>
          </w:tcPr>
          <w:p w14:paraId="4AE9AB0C"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7D03FFA0" w14:textId="77777777" w:rsidTr="008D1647">
        <w:trPr>
          <w:trHeight w:val="300"/>
        </w:trPr>
        <w:tc>
          <w:tcPr>
            <w:tcW w:w="383" w:type="pct"/>
            <w:vMerge/>
            <w:tcBorders>
              <w:top w:val="nil"/>
              <w:left w:val="single" w:sz="4" w:space="0" w:color="auto"/>
              <w:bottom w:val="single" w:sz="4" w:space="0" w:color="auto"/>
              <w:right w:val="single" w:sz="4" w:space="0" w:color="auto"/>
            </w:tcBorders>
            <w:vAlign w:val="center"/>
            <w:hideMark/>
          </w:tcPr>
          <w:p w14:paraId="07FFED56" w14:textId="77777777" w:rsidR="00427DF8" w:rsidRPr="00427DF8" w:rsidRDefault="00427DF8" w:rsidP="00427DF8">
            <w:pPr>
              <w:spacing w:after="0" w:line="240" w:lineRule="auto"/>
              <w:rPr>
                <w:rFonts w:eastAsia="Times New Roman"/>
                <w:b/>
                <w:bCs/>
                <w:i/>
                <w:iCs/>
                <w:color w:val="000000"/>
                <w:sz w:val="18"/>
                <w:szCs w:val="18"/>
                <w:lang w:val="en-US" w:eastAsia="en-US"/>
              </w:rPr>
            </w:pPr>
          </w:p>
        </w:tc>
        <w:tc>
          <w:tcPr>
            <w:tcW w:w="370" w:type="pct"/>
            <w:vMerge/>
            <w:tcBorders>
              <w:top w:val="nil"/>
              <w:left w:val="single" w:sz="4" w:space="0" w:color="auto"/>
              <w:bottom w:val="single" w:sz="4" w:space="0" w:color="auto"/>
              <w:right w:val="single" w:sz="4" w:space="0" w:color="auto"/>
            </w:tcBorders>
            <w:vAlign w:val="center"/>
            <w:hideMark/>
          </w:tcPr>
          <w:p w14:paraId="0040C30E"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single" w:sz="4" w:space="0" w:color="auto"/>
            </w:tcBorders>
            <w:vAlign w:val="center"/>
            <w:hideMark/>
          </w:tcPr>
          <w:p w14:paraId="4F87A1A6"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single" w:sz="4" w:space="0" w:color="auto"/>
              <w:right w:val="single" w:sz="4" w:space="0" w:color="auto"/>
            </w:tcBorders>
            <w:vAlign w:val="center"/>
            <w:hideMark/>
          </w:tcPr>
          <w:p w14:paraId="21515049"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254" w:type="pct"/>
            <w:tcBorders>
              <w:top w:val="nil"/>
              <w:left w:val="nil"/>
              <w:bottom w:val="single" w:sz="4" w:space="0" w:color="auto"/>
              <w:right w:val="single" w:sz="4" w:space="0" w:color="auto"/>
            </w:tcBorders>
            <w:vAlign w:val="center"/>
            <w:hideMark/>
          </w:tcPr>
          <w:p w14:paraId="4781CB13" w14:textId="77777777" w:rsidR="00427DF8" w:rsidRPr="00427DF8" w:rsidRDefault="00427DF8" w:rsidP="00427DF8">
            <w:pPr>
              <w:spacing w:after="0" w:line="240" w:lineRule="auto"/>
              <w:jc w:val="center"/>
              <w:rPr>
                <w:rFonts w:eastAsia="Times New Roman"/>
                <w:b/>
                <w:bCs/>
                <w:color w:val="000000"/>
                <w:sz w:val="18"/>
                <w:szCs w:val="18"/>
                <w:lang w:val="en-US" w:eastAsia="en-US"/>
              </w:rPr>
            </w:pPr>
            <w:r w:rsidRPr="00427DF8">
              <w:rPr>
                <w:rFonts w:eastAsia="Times New Roman"/>
                <w:b/>
                <w:bCs/>
                <w:color w:val="000000"/>
                <w:sz w:val="18"/>
                <w:szCs w:val="18"/>
                <w:lang w:val="en-US" w:eastAsia="en-US"/>
              </w:rPr>
              <w:t> </w:t>
            </w:r>
          </w:p>
        </w:tc>
        <w:tc>
          <w:tcPr>
            <w:tcW w:w="269" w:type="pct"/>
            <w:tcBorders>
              <w:top w:val="nil"/>
              <w:left w:val="nil"/>
              <w:bottom w:val="single" w:sz="4" w:space="0" w:color="auto"/>
              <w:right w:val="single" w:sz="4" w:space="0" w:color="auto"/>
            </w:tcBorders>
            <w:vAlign w:val="center"/>
            <w:hideMark/>
          </w:tcPr>
          <w:p w14:paraId="5958677A" w14:textId="77777777" w:rsidR="00427DF8" w:rsidRPr="00427DF8" w:rsidRDefault="00427DF8" w:rsidP="00427DF8">
            <w:pPr>
              <w:spacing w:after="0" w:line="240" w:lineRule="auto"/>
              <w:jc w:val="center"/>
              <w:rPr>
                <w:rFonts w:eastAsia="Times New Roman"/>
                <w:color w:val="FF0000"/>
                <w:sz w:val="18"/>
                <w:szCs w:val="18"/>
                <w:lang w:val="en-US" w:eastAsia="en-US"/>
              </w:rPr>
            </w:pPr>
            <w:r w:rsidRPr="00427DF8">
              <w:rPr>
                <w:rFonts w:eastAsia="Times New Roman"/>
                <w:color w:val="FF0000"/>
                <w:sz w:val="18"/>
                <w:szCs w:val="18"/>
                <w:lang w:val="en-US" w:eastAsia="en-US"/>
              </w:rPr>
              <w:t>71800</w:t>
            </w:r>
          </w:p>
        </w:tc>
        <w:tc>
          <w:tcPr>
            <w:tcW w:w="728" w:type="pct"/>
            <w:tcBorders>
              <w:top w:val="nil"/>
              <w:left w:val="nil"/>
              <w:bottom w:val="single" w:sz="4" w:space="0" w:color="auto"/>
              <w:right w:val="single" w:sz="4" w:space="0" w:color="auto"/>
            </w:tcBorders>
            <w:vAlign w:val="center"/>
            <w:hideMark/>
          </w:tcPr>
          <w:p w14:paraId="2F86896A" w14:textId="77777777" w:rsidR="00427DF8" w:rsidRPr="00427DF8" w:rsidRDefault="00427DF8" w:rsidP="00427DF8">
            <w:pPr>
              <w:spacing w:after="0" w:line="240" w:lineRule="auto"/>
              <w:rPr>
                <w:rFonts w:eastAsia="Times New Roman"/>
                <w:color w:val="FF0000"/>
                <w:sz w:val="18"/>
                <w:szCs w:val="18"/>
                <w:lang w:val="en-US" w:eastAsia="en-US"/>
              </w:rPr>
            </w:pPr>
            <w:r w:rsidRPr="00427DF8">
              <w:rPr>
                <w:rFonts w:eastAsia="Times New Roman"/>
                <w:color w:val="FF0000"/>
                <w:sz w:val="18"/>
                <w:szCs w:val="18"/>
                <w:lang w:val="en-US" w:eastAsia="en-US"/>
              </w:rPr>
              <w:t xml:space="preserve">Contractual Services-Imp Partn </w:t>
            </w:r>
          </w:p>
        </w:tc>
        <w:tc>
          <w:tcPr>
            <w:tcW w:w="283" w:type="pct"/>
            <w:tcBorders>
              <w:top w:val="nil"/>
              <w:left w:val="nil"/>
              <w:bottom w:val="single" w:sz="4" w:space="0" w:color="000000"/>
              <w:right w:val="single" w:sz="4" w:space="0" w:color="000000"/>
            </w:tcBorders>
            <w:vAlign w:val="center"/>
            <w:hideMark/>
          </w:tcPr>
          <w:p w14:paraId="57527608"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xml:space="preserve">                 14,512.50 </w:t>
            </w:r>
          </w:p>
        </w:tc>
        <w:tc>
          <w:tcPr>
            <w:tcW w:w="283" w:type="pct"/>
            <w:tcBorders>
              <w:top w:val="nil"/>
              <w:left w:val="nil"/>
              <w:bottom w:val="single" w:sz="4" w:space="0" w:color="000000"/>
              <w:right w:val="single" w:sz="4" w:space="0" w:color="000000"/>
            </w:tcBorders>
            <w:vAlign w:val="center"/>
            <w:hideMark/>
          </w:tcPr>
          <w:p w14:paraId="1186F889"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w:t>
            </w:r>
          </w:p>
        </w:tc>
        <w:tc>
          <w:tcPr>
            <w:tcW w:w="317" w:type="pct"/>
            <w:tcBorders>
              <w:top w:val="nil"/>
              <w:left w:val="nil"/>
              <w:bottom w:val="single" w:sz="4" w:space="0" w:color="000000"/>
              <w:right w:val="single" w:sz="4" w:space="0" w:color="000000"/>
            </w:tcBorders>
            <w:vAlign w:val="center"/>
            <w:hideMark/>
          </w:tcPr>
          <w:p w14:paraId="01F95B44"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w:t>
            </w:r>
          </w:p>
        </w:tc>
        <w:tc>
          <w:tcPr>
            <w:tcW w:w="317" w:type="pct"/>
            <w:tcBorders>
              <w:top w:val="nil"/>
              <w:left w:val="nil"/>
              <w:bottom w:val="single" w:sz="4" w:space="0" w:color="000000"/>
              <w:right w:val="single" w:sz="4" w:space="0" w:color="000000"/>
            </w:tcBorders>
            <w:vAlign w:val="center"/>
            <w:hideMark/>
          </w:tcPr>
          <w:p w14:paraId="562EFBB8"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w:t>
            </w:r>
          </w:p>
        </w:tc>
        <w:tc>
          <w:tcPr>
            <w:tcW w:w="317" w:type="pct"/>
            <w:tcBorders>
              <w:top w:val="nil"/>
              <w:left w:val="nil"/>
              <w:bottom w:val="single" w:sz="4" w:space="0" w:color="000000"/>
              <w:right w:val="single" w:sz="4" w:space="0" w:color="000000"/>
            </w:tcBorders>
            <w:vAlign w:val="center"/>
            <w:hideMark/>
          </w:tcPr>
          <w:p w14:paraId="637BAEA4" w14:textId="77777777" w:rsidR="00427DF8" w:rsidRPr="00427DF8" w:rsidRDefault="00427DF8" w:rsidP="00427DF8">
            <w:pPr>
              <w:spacing w:after="0" w:line="240" w:lineRule="auto"/>
              <w:jc w:val="right"/>
              <w:rPr>
                <w:rFonts w:eastAsia="Times New Roman"/>
                <w:color w:val="FF0000"/>
                <w:sz w:val="18"/>
                <w:szCs w:val="18"/>
                <w:lang w:val="en-US" w:eastAsia="en-US"/>
              </w:rPr>
            </w:pPr>
            <w:r w:rsidRPr="00427DF8">
              <w:rPr>
                <w:rFonts w:eastAsia="Times New Roman"/>
                <w:color w:val="FF0000"/>
                <w:sz w:val="18"/>
                <w:szCs w:val="18"/>
                <w:lang w:val="en-US" w:eastAsia="en-US"/>
              </w:rPr>
              <w:t> </w:t>
            </w:r>
          </w:p>
        </w:tc>
        <w:tc>
          <w:tcPr>
            <w:tcW w:w="283" w:type="pct"/>
            <w:tcBorders>
              <w:top w:val="nil"/>
              <w:left w:val="nil"/>
              <w:bottom w:val="single" w:sz="4" w:space="0" w:color="000000"/>
              <w:right w:val="single" w:sz="4" w:space="0" w:color="000000"/>
            </w:tcBorders>
            <w:vAlign w:val="center"/>
            <w:hideMark/>
          </w:tcPr>
          <w:p w14:paraId="1AE7B088" w14:textId="77777777" w:rsidR="00427DF8" w:rsidRPr="00427DF8" w:rsidRDefault="00427DF8" w:rsidP="00427DF8">
            <w:pPr>
              <w:spacing w:after="0" w:line="240" w:lineRule="auto"/>
              <w:jc w:val="right"/>
              <w:rPr>
                <w:rFonts w:eastAsia="Times New Roman"/>
                <w:sz w:val="18"/>
                <w:szCs w:val="18"/>
                <w:lang w:val="en-US" w:eastAsia="en-US"/>
              </w:rPr>
            </w:pPr>
            <w:r w:rsidRPr="00427DF8">
              <w:rPr>
                <w:rFonts w:eastAsia="Times New Roman"/>
                <w:sz w:val="18"/>
                <w:szCs w:val="18"/>
                <w:lang w:val="en-US" w:eastAsia="en-US"/>
              </w:rPr>
              <w:t xml:space="preserve">                 4,837.50 </w:t>
            </w:r>
          </w:p>
        </w:tc>
        <w:tc>
          <w:tcPr>
            <w:tcW w:w="352" w:type="pct"/>
            <w:tcBorders>
              <w:top w:val="nil"/>
              <w:left w:val="nil"/>
              <w:bottom w:val="single" w:sz="4" w:space="0" w:color="000000"/>
              <w:right w:val="single" w:sz="4" w:space="0" w:color="000000"/>
            </w:tcBorders>
            <w:noWrap/>
            <w:vAlign w:val="center"/>
            <w:hideMark/>
          </w:tcPr>
          <w:p w14:paraId="456C1AE9" w14:textId="77777777" w:rsidR="00427DF8" w:rsidRPr="00427DF8" w:rsidRDefault="00427DF8" w:rsidP="00427DF8">
            <w:pPr>
              <w:spacing w:after="0" w:line="240" w:lineRule="auto"/>
              <w:rPr>
                <w:rFonts w:eastAsia="Times New Roman"/>
                <w:sz w:val="18"/>
                <w:szCs w:val="18"/>
                <w:lang w:val="en-US" w:eastAsia="en-US"/>
              </w:rPr>
            </w:pPr>
            <w:r w:rsidRPr="00427DF8">
              <w:rPr>
                <w:rFonts w:eastAsia="Times New Roman"/>
                <w:sz w:val="18"/>
                <w:szCs w:val="18"/>
                <w:lang w:val="en-US" w:eastAsia="en-US"/>
              </w:rPr>
              <w:t xml:space="preserve">         19,350.00 </w:t>
            </w:r>
          </w:p>
        </w:tc>
        <w:tc>
          <w:tcPr>
            <w:tcW w:w="211" w:type="pct"/>
            <w:tcBorders>
              <w:top w:val="nil"/>
              <w:left w:val="nil"/>
              <w:bottom w:val="single" w:sz="4" w:space="0" w:color="auto"/>
              <w:right w:val="single" w:sz="4" w:space="0" w:color="auto"/>
            </w:tcBorders>
            <w:vAlign w:val="center"/>
            <w:hideMark/>
          </w:tcPr>
          <w:p w14:paraId="5F513DC0" w14:textId="77777777" w:rsidR="00427DF8" w:rsidRPr="00427DF8" w:rsidRDefault="00427DF8" w:rsidP="00427DF8">
            <w:pPr>
              <w:spacing w:after="0" w:line="240" w:lineRule="auto"/>
              <w:jc w:val="center"/>
              <w:rPr>
                <w:rFonts w:eastAsia="Times New Roman"/>
                <w:i/>
                <w:iCs/>
                <w:sz w:val="18"/>
                <w:szCs w:val="18"/>
                <w:lang w:val="en-US" w:eastAsia="en-US"/>
              </w:rPr>
            </w:pPr>
            <w:r w:rsidRPr="00427DF8">
              <w:rPr>
                <w:rFonts w:eastAsia="Times New Roman"/>
                <w:i/>
                <w:iCs/>
                <w:sz w:val="18"/>
                <w:szCs w:val="18"/>
                <w:lang w:val="en-US" w:eastAsia="en-US"/>
              </w:rPr>
              <w:t>57</w:t>
            </w:r>
          </w:p>
        </w:tc>
        <w:tc>
          <w:tcPr>
            <w:tcW w:w="79" w:type="pct"/>
            <w:vAlign w:val="center"/>
            <w:hideMark/>
          </w:tcPr>
          <w:p w14:paraId="4ABAD82C"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6DC28205" w14:textId="77777777" w:rsidTr="008D1647">
        <w:trPr>
          <w:trHeight w:val="289"/>
        </w:trPr>
        <w:tc>
          <w:tcPr>
            <w:tcW w:w="383" w:type="pct"/>
            <w:vMerge/>
            <w:tcBorders>
              <w:top w:val="nil"/>
              <w:left w:val="single" w:sz="4" w:space="0" w:color="auto"/>
              <w:bottom w:val="single" w:sz="4" w:space="0" w:color="auto"/>
              <w:right w:val="single" w:sz="4" w:space="0" w:color="auto"/>
            </w:tcBorders>
            <w:vAlign w:val="center"/>
            <w:hideMark/>
          </w:tcPr>
          <w:p w14:paraId="1D728FB1" w14:textId="77777777" w:rsidR="00427DF8" w:rsidRPr="00427DF8" w:rsidRDefault="00427DF8" w:rsidP="00427DF8">
            <w:pPr>
              <w:spacing w:after="0" w:line="240" w:lineRule="auto"/>
              <w:rPr>
                <w:rFonts w:eastAsia="Times New Roman"/>
                <w:b/>
                <w:bCs/>
                <w:i/>
                <w:iCs/>
                <w:color w:val="000000"/>
                <w:sz w:val="18"/>
                <w:szCs w:val="18"/>
                <w:lang w:val="en-US" w:eastAsia="en-US"/>
              </w:rPr>
            </w:pPr>
          </w:p>
        </w:tc>
        <w:tc>
          <w:tcPr>
            <w:tcW w:w="370" w:type="pct"/>
            <w:vMerge/>
            <w:tcBorders>
              <w:top w:val="nil"/>
              <w:left w:val="single" w:sz="4" w:space="0" w:color="auto"/>
              <w:bottom w:val="single" w:sz="4" w:space="0" w:color="auto"/>
              <w:right w:val="single" w:sz="4" w:space="0" w:color="auto"/>
            </w:tcBorders>
            <w:vAlign w:val="center"/>
            <w:hideMark/>
          </w:tcPr>
          <w:p w14:paraId="4EFF48CD"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single" w:sz="4" w:space="0" w:color="auto"/>
            </w:tcBorders>
            <w:vAlign w:val="center"/>
            <w:hideMark/>
          </w:tcPr>
          <w:p w14:paraId="3298AF99" w14:textId="77777777" w:rsidR="00427DF8" w:rsidRPr="00427DF8" w:rsidRDefault="00427DF8" w:rsidP="00427DF8">
            <w:pPr>
              <w:spacing w:after="0" w:line="240" w:lineRule="auto"/>
              <w:rPr>
                <w:rFonts w:eastAsia="Times New Roman"/>
                <w:color w:val="000000"/>
                <w:sz w:val="18"/>
                <w:szCs w:val="18"/>
                <w:lang w:val="en-US" w:eastAsia="en-US"/>
              </w:rPr>
            </w:pPr>
          </w:p>
        </w:tc>
        <w:tc>
          <w:tcPr>
            <w:tcW w:w="254" w:type="pct"/>
            <w:vMerge/>
            <w:tcBorders>
              <w:top w:val="nil"/>
              <w:left w:val="single" w:sz="4" w:space="0" w:color="auto"/>
              <w:bottom w:val="single" w:sz="4" w:space="0" w:color="auto"/>
              <w:right w:val="single" w:sz="4" w:space="0" w:color="auto"/>
            </w:tcBorders>
            <w:vAlign w:val="center"/>
            <w:hideMark/>
          </w:tcPr>
          <w:p w14:paraId="2695533B" w14:textId="77777777" w:rsidR="00427DF8" w:rsidRPr="00427DF8" w:rsidRDefault="00427DF8" w:rsidP="00427DF8">
            <w:pPr>
              <w:spacing w:after="0" w:line="240" w:lineRule="auto"/>
              <w:rPr>
                <w:rFonts w:eastAsia="Times New Roman"/>
                <w:b/>
                <w:bCs/>
                <w:color w:val="000000"/>
                <w:sz w:val="18"/>
                <w:szCs w:val="18"/>
                <w:lang w:val="en-US" w:eastAsia="en-US"/>
              </w:rPr>
            </w:pPr>
          </w:p>
        </w:tc>
        <w:tc>
          <w:tcPr>
            <w:tcW w:w="1251" w:type="pct"/>
            <w:gridSpan w:val="3"/>
            <w:tcBorders>
              <w:top w:val="single" w:sz="4" w:space="0" w:color="auto"/>
              <w:left w:val="nil"/>
              <w:bottom w:val="single" w:sz="4" w:space="0" w:color="auto"/>
              <w:right w:val="single" w:sz="4" w:space="0" w:color="auto"/>
            </w:tcBorders>
            <w:shd w:val="clear" w:color="000000" w:fill="F2CEEF"/>
            <w:vAlign w:val="center"/>
            <w:hideMark/>
          </w:tcPr>
          <w:p w14:paraId="49A6BF52" w14:textId="77777777" w:rsidR="00427DF8" w:rsidRPr="00427DF8" w:rsidRDefault="00427DF8" w:rsidP="00427DF8">
            <w:pPr>
              <w:spacing w:after="0" w:line="240" w:lineRule="auto"/>
              <w:jc w:val="right"/>
              <w:rPr>
                <w:rFonts w:eastAsia="Times New Roman"/>
                <w:b/>
                <w:bCs/>
                <w:color w:val="000000"/>
                <w:sz w:val="18"/>
                <w:szCs w:val="18"/>
                <w:lang w:val="en-US" w:eastAsia="en-US"/>
              </w:rPr>
            </w:pPr>
            <w:proofErr w:type="spellStart"/>
            <w:r w:rsidRPr="00427DF8">
              <w:rPr>
                <w:rFonts w:eastAsia="Times New Roman"/>
                <w:b/>
                <w:bCs/>
                <w:color w:val="000000"/>
                <w:sz w:val="18"/>
                <w:szCs w:val="18"/>
                <w:lang w:val="en-US" w:eastAsia="en-US"/>
              </w:rPr>
              <w:t>sub total</w:t>
            </w:r>
            <w:proofErr w:type="spellEnd"/>
            <w:r w:rsidRPr="00427DF8">
              <w:rPr>
                <w:rFonts w:eastAsia="Times New Roman"/>
                <w:b/>
                <w:bCs/>
                <w:color w:val="000000"/>
                <w:sz w:val="18"/>
                <w:szCs w:val="18"/>
                <w:lang w:val="en-US" w:eastAsia="en-US"/>
              </w:rPr>
              <w:t xml:space="preserve"> PMC UNDP</w:t>
            </w:r>
          </w:p>
        </w:tc>
        <w:tc>
          <w:tcPr>
            <w:tcW w:w="283" w:type="pct"/>
            <w:tcBorders>
              <w:top w:val="nil"/>
              <w:left w:val="nil"/>
              <w:bottom w:val="single" w:sz="4" w:space="0" w:color="auto"/>
              <w:right w:val="single" w:sz="4" w:space="0" w:color="auto"/>
            </w:tcBorders>
            <w:shd w:val="clear" w:color="000000" w:fill="F2CEEF"/>
            <w:vAlign w:val="center"/>
            <w:hideMark/>
          </w:tcPr>
          <w:p w14:paraId="1D06922B"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74,512.50 </w:t>
            </w:r>
          </w:p>
        </w:tc>
        <w:tc>
          <w:tcPr>
            <w:tcW w:w="283" w:type="pct"/>
            <w:tcBorders>
              <w:top w:val="nil"/>
              <w:left w:val="nil"/>
              <w:bottom w:val="single" w:sz="4" w:space="0" w:color="auto"/>
              <w:right w:val="single" w:sz="4" w:space="0" w:color="auto"/>
            </w:tcBorders>
            <w:shd w:val="clear" w:color="000000" w:fill="F2CEEF"/>
            <w:vAlign w:val="center"/>
            <w:hideMark/>
          </w:tcPr>
          <w:p w14:paraId="20224C3F"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shd w:val="clear" w:color="000000" w:fill="F2CEEF"/>
            <w:vAlign w:val="center"/>
            <w:hideMark/>
          </w:tcPr>
          <w:p w14:paraId="5ED3D172"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shd w:val="clear" w:color="000000" w:fill="F2CEEF"/>
            <w:vAlign w:val="center"/>
            <w:hideMark/>
          </w:tcPr>
          <w:p w14:paraId="7F16E3F8"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317" w:type="pct"/>
            <w:tcBorders>
              <w:top w:val="nil"/>
              <w:left w:val="nil"/>
              <w:bottom w:val="single" w:sz="4" w:space="0" w:color="auto"/>
              <w:right w:val="single" w:sz="4" w:space="0" w:color="auto"/>
            </w:tcBorders>
            <w:shd w:val="clear" w:color="000000" w:fill="F2CEEF"/>
            <w:vAlign w:val="center"/>
            <w:hideMark/>
          </w:tcPr>
          <w:p w14:paraId="2C348DF7"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   </w:t>
            </w:r>
          </w:p>
        </w:tc>
        <w:tc>
          <w:tcPr>
            <w:tcW w:w="283" w:type="pct"/>
            <w:tcBorders>
              <w:top w:val="nil"/>
              <w:left w:val="nil"/>
              <w:bottom w:val="single" w:sz="4" w:space="0" w:color="auto"/>
              <w:right w:val="single" w:sz="4" w:space="0" w:color="auto"/>
            </w:tcBorders>
            <w:shd w:val="clear" w:color="000000" w:fill="F2CEEF"/>
            <w:vAlign w:val="center"/>
            <w:hideMark/>
          </w:tcPr>
          <w:p w14:paraId="773713B8"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4,837.50 </w:t>
            </w:r>
          </w:p>
        </w:tc>
        <w:tc>
          <w:tcPr>
            <w:tcW w:w="352" w:type="pct"/>
            <w:tcBorders>
              <w:top w:val="nil"/>
              <w:left w:val="nil"/>
              <w:bottom w:val="single" w:sz="4" w:space="0" w:color="auto"/>
              <w:right w:val="single" w:sz="4" w:space="0" w:color="auto"/>
            </w:tcBorders>
            <w:shd w:val="clear" w:color="000000" w:fill="F2CEEF"/>
            <w:vAlign w:val="center"/>
            <w:hideMark/>
          </w:tcPr>
          <w:p w14:paraId="16FC75A1"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xml:space="preserve">         79,350.00 </w:t>
            </w:r>
          </w:p>
        </w:tc>
        <w:tc>
          <w:tcPr>
            <w:tcW w:w="211" w:type="pct"/>
            <w:tcBorders>
              <w:top w:val="nil"/>
              <w:left w:val="nil"/>
              <w:bottom w:val="single" w:sz="4" w:space="0" w:color="auto"/>
              <w:right w:val="single" w:sz="4" w:space="0" w:color="auto"/>
            </w:tcBorders>
            <w:shd w:val="clear" w:color="000000" w:fill="F2CEEF"/>
            <w:vAlign w:val="center"/>
            <w:hideMark/>
          </w:tcPr>
          <w:p w14:paraId="6E3957A9" w14:textId="77777777" w:rsidR="00427DF8" w:rsidRPr="00427DF8" w:rsidRDefault="00427DF8" w:rsidP="00427DF8">
            <w:pPr>
              <w:spacing w:after="0" w:line="240" w:lineRule="auto"/>
              <w:jc w:val="center"/>
              <w:rPr>
                <w:rFonts w:eastAsia="Times New Roman"/>
                <w:i/>
                <w:iCs/>
                <w:color w:val="000000"/>
                <w:sz w:val="18"/>
                <w:szCs w:val="18"/>
                <w:lang w:val="en-US" w:eastAsia="en-US"/>
              </w:rPr>
            </w:pPr>
            <w:r w:rsidRPr="00427DF8">
              <w:rPr>
                <w:rFonts w:eastAsia="Times New Roman"/>
                <w:i/>
                <w:iCs/>
                <w:color w:val="000000"/>
                <w:sz w:val="18"/>
                <w:szCs w:val="18"/>
                <w:lang w:val="en-US" w:eastAsia="en-US"/>
              </w:rPr>
              <w:t> </w:t>
            </w:r>
          </w:p>
        </w:tc>
        <w:tc>
          <w:tcPr>
            <w:tcW w:w="79" w:type="pct"/>
            <w:vAlign w:val="center"/>
            <w:hideMark/>
          </w:tcPr>
          <w:p w14:paraId="28E4D4C0"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0F7D38B4" w14:textId="77777777" w:rsidTr="008D1647">
        <w:trPr>
          <w:trHeight w:val="289"/>
        </w:trPr>
        <w:tc>
          <w:tcPr>
            <w:tcW w:w="383" w:type="pct"/>
            <w:vMerge/>
            <w:tcBorders>
              <w:top w:val="nil"/>
              <w:left w:val="single" w:sz="4" w:space="0" w:color="auto"/>
              <w:bottom w:val="single" w:sz="4" w:space="0" w:color="auto"/>
              <w:right w:val="single" w:sz="4" w:space="0" w:color="auto"/>
            </w:tcBorders>
            <w:vAlign w:val="center"/>
            <w:hideMark/>
          </w:tcPr>
          <w:p w14:paraId="5A02E377" w14:textId="77777777" w:rsidR="00427DF8" w:rsidRPr="00427DF8" w:rsidRDefault="00427DF8" w:rsidP="00427DF8">
            <w:pPr>
              <w:spacing w:after="0" w:line="240" w:lineRule="auto"/>
              <w:rPr>
                <w:rFonts w:eastAsia="Times New Roman"/>
                <w:b/>
                <w:bCs/>
                <w:i/>
                <w:iCs/>
                <w:color w:val="000000"/>
                <w:sz w:val="18"/>
                <w:szCs w:val="18"/>
                <w:lang w:val="en-US" w:eastAsia="en-US"/>
              </w:rPr>
            </w:pPr>
          </w:p>
        </w:tc>
        <w:tc>
          <w:tcPr>
            <w:tcW w:w="370" w:type="pct"/>
            <w:vMerge/>
            <w:tcBorders>
              <w:top w:val="nil"/>
              <w:left w:val="single" w:sz="4" w:space="0" w:color="auto"/>
              <w:bottom w:val="single" w:sz="4" w:space="0" w:color="auto"/>
              <w:right w:val="single" w:sz="4" w:space="0" w:color="auto"/>
            </w:tcBorders>
            <w:vAlign w:val="center"/>
            <w:hideMark/>
          </w:tcPr>
          <w:p w14:paraId="3BDD2A91" w14:textId="77777777" w:rsidR="00427DF8" w:rsidRPr="00427DF8" w:rsidRDefault="00427DF8" w:rsidP="00427DF8">
            <w:pPr>
              <w:spacing w:after="0" w:line="240" w:lineRule="auto"/>
              <w:rPr>
                <w:rFonts w:eastAsia="Times New Roman"/>
                <w:color w:val="000000"/>
                <w:sz w:val="18"/>
                <w:szCs w:val="18"/>
                <w:lang w:val="en-US" w:eastAsia="en-US"/>
              </w:rPr>
            </w:pPr>
          </w:p>
        </w:tc>
        <w:tc>
          <w:tcPr>
            <w:tcW w:w="302" w:type="pct"/>
            <w:vMerge/>
            <w:tcBorders>
              <w:top w:val="nil"/>
              <w:left w:val="single" w:sz="4" w:space="0" w:color="auto"/>
              <w:bottom w:val="single" w:sz="4" w:space="0" w:color="000000"/>
              <w:right w:val="single" w:sz="4" w:space="0" w:color="auto"/>
            </w:tcBorders>
            <w:vAlign w:val="center"/>
            <w:hideMark/>
          </w:tcPr>
          <w:p w14:paraId="2EB6CA74" w14:textId="77777777" w:rsidR="00427DF8" w:rsidRPr="00427DF8" w:rsidRDefault="00427DF8" w:rsidP="00427DF8">
            <w:pPr>
              <w:spacing w:after="0" w:line="240" w:lineRule="auto"/>
              <w:rPr>
                <w:rFonts w:eastAsia="Times New Roman"/>
                <w:color w:val="000000"/>
                <w:sz w:val="18"/>
                <w:szCs w:val="18"/>
                <w:lang w:val="en-US" w:eastAsia="en-US"/>
              </w:rPr>
            </w:pPr>
          </w:p>
        </w:tc>
        <w:tc>
          <w:tcPr>
            <w:tcW w:w="1506" w:type="pct"/>
            <w:gridSpan w:val="4"/>
            <w:tcBorders>
              <w:top w:val="single" w:sz="4" w:space="0" w:color="auto"/>
              <w:left w:val="nil"/>
              <w:bottom w:val="single" w:sz="4" w:space="0" w:color="auto"/>
              <w:right w:val="single" w:sz="4" w:space="0" w:color="auto"/>
            </w:tcBorders>
            <w:shd w:val="clear" w:color="000000" w:fill="FFE699"/>
            <w:vAlign w:val="center"/>
            <w:hideMark/>
          </w:tcPr>
          <w:p w14:paraId="35818C73"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Sub Total PMC</w:t>
            </w:r>
          </w:p>
        </w:tc>
        <w:tc>
          <w:tcPr>
            <w:tcW w:w="283" w:type="pct"/>
            <w:tcBorders>
              <w:top w:val="nil"/>
              <w:left w:val="nil"/>
              <w:bottom w:val="single" w:sz="4" w:space="0" w:color="auto"/>
              <w:right w:val="single" w:sz="4" w:space="0" w:color="auto"/>
            </w:tcBorders>
            <w:shd w:val="clear" w:color="000000" w:fill="FFE699"/>
            <w:vAlign w:val="center"/>
            <w:hideMark/>
          </w:tcPr>
          <w:p w14:paraId="45F5D61E"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120,112.50 </w:t>
            </w:r>
          </w:p>
        </w:tc>
        <w:tc>
          <w:tcPr>
            <w:tcW w:w="283" w:type="pct"/>
            <w:tcBorders>
              <w:top w:val="nil"/>
              <w:left w:val="nil"/>
              <w:bottom w:val="single" w:sz="4" w:space="0" w:color="auto"/>
              <w:right w:val="single" w:sz="4" w:space="0" w:color="auto"/>
            </w:tcBorders>
            <w:shd w:val="clear" w:color="000000" w:fill="FFE699"/>
            <w:vAlign w:val="center"/>
            <w:hideMark/>
          </w:tcPr>
          <w:p w14:paraId="03241B89"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45,050.00 </w:t>
            </w:r>
          </w:p>
        </w:tc>
        <w:tc>
          <w:tcPr>
            <w:tcW w:w="317" w:type="pct"/>
            <w:tcBorders>
              <w:top w:val="nil"/>
              <w:left w:val="nil"/>
              <w:bottom w:val="single" w:sz="4" w:space="0" w:color="auto"/>
              <w:right w:val="single" w:sz="4" w:space="0" w:color="auto"/>
            </w:tcBorders>
            <w:shd w:val="clear" w:color="000000" w:fill="FFE699"/>
            <w:vAlign w:val="center"/>
            <w:hideMark/>
          </w:tcPr>
          <w:p w14:paraId="1B411A0F"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48,050.00 </w:t>
            </w:r>
          </w:p>
        </w:tc>
        <w:tc>
          <w:tcPr>
            <w:tcW w:w="317" w:type="pct"/>
            <w:tcBorders>
              <w:top w:val="nil"/>
              <w:left w:val="nil"/>
              <w:bottom w:val="single" w:sz="4" w:space="0" w:color="auto"/>
              <w:right w:val="single" w:sz="4" w:space="0" w:color="auto"/>
            </w:tcBorders>
            <w:shd w:val="clear" w:color="000000" w:fill="FFE699"/>
            <w:vAlign w:val="center"/>
            <w:hideMark/>
          </w:tcPr>
          <w:p w14:paraId="2B916946"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43,300.00 </w:t>
            </w:r>
          </w:p>
        </w:tc>
        <w:tc>
          <w:tcPr>
            <w:tcW w:w="317" w:type="pct"/>
            <w:tcBorders>
              <w:top w:val="nil"/>
              <w:left w:val="nil"/>
              <w:bottom w:val="single" w:sz="4" w:space="0" w:color="auto"/>
              <w:right w:val="single" w:sz="4" w:space="0" w:color="auto"/>
            </w:tcBorders>
            <w:shd w:val="clear" w:color="000000" w:fill="FFE699"/>
            <w:vAlign w:val="center"/>
            <w:hideMark/>
          </w:tcPr>
          <w:p w14:paraId="04807947"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37,405.00 </w:t>
            </w:r>
          </w:p>
        </w:tc>
        <w:tc>
          <w:tcPr>
            <w:tcW w:w="283" w:type="pct"/>
            <w:tcBorders>
              <w:top w:val="nil"/>
              <w:left w:val="nil"/>
              <w:bottom w:val="single" w:sz="4" w:space="0" w:color="auto"/>
              <w:right w:val="single" w:sz="4" w:space="0" w:color="auto"/>
            </w:tcBorders>
            <w:shd w:val="clear" w:color="000000" w:fill="FFE699"/>
            <w:vAlign w:val="center"/>
            <w:hideMark/>
          </w:tcPr>
          <w:p w14:paraId="4FB939E9"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11,287.50 </w:t>
            </w:r>
          </w:p>
        </w:tc>
        <w:tc>
          <w:tcPr>
            <w:tcW w:w="352" w:type="pct"/>
            <w:tcBorders>
              <w:top w:val="nil"/>
              <w:left w:val="nil"/>
              <w:bottom w:val="single" w:sz="4" w:space="0" w:color="auto"/>
              <w:right w:val="single" w:sz="4" w:space="0" w:color="auto"/>
            </w:tcBorders>
            <w:shd w:val="clear" w:color="000000" w:fill="FFE699"/>
            <w:vAlign w:val="center"/>
            <w:hideMark/>
          </w:tcPr>
          <w:p w14:paraId="0FEF846D"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305,205.00 </w:t>
            </w:r>
          </w:p>
        </w:tc>
        <w:tc>
          <w:tcPr>
            <w:tcW w:w="211" w:type="pct"/>
            <w:tcBorders>
              <w:top w:val="nil"/>
              <w:left w:val="nil"/>
              <w:bottom w:val="single" w:sz="4" w:space="0" w:color="auto"/>
              <w:right w:val="single" w:sz="4" w:space="0" w:color="auto"/>
            </w:tcBorders>
            <w:shd w:val="clear" w:color="000000" w:fill="FFE699"/>
            <w:vAlign w:val="center"/>
            <w:hideMark/>
          </w:tcPr>
          <w:p w14:paraId="72B808D6"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79" w:type="pct"/>
            <w:vAlign w:val="center"/>
            <w:hideMark/>
          </w:tcPr>
          <w:p w14:paraId="1937DF46"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3D021A7D" w14:textId="77777777" w:rsidTr="008D1647">
        <w:trPr>
          <w:trHeight w:val="300"/>
        </w:trPr>
        <w:tc>
          <w:tcPr>
            <w:tcW w:w="2560" w:type="pct"/>
            <w:gridSpan w:val="7"/>
            <w:tcBorders>
              <w:top w:val="single" w:sz="4" w:space="0" w:color="auto"/>
              <w:left w:val="single" w:sz="4" w:space="0" w:color="auto"/>
              <w:bottom w:val="single" w:sz="4" w:space="0" w:color="auto"/>
              <w:right w:val="single" w:sz="4" w:space="0" w:color="000000"/>
            </w:tcBorders>
            <w:shd w:val="clear" w:color="000000" w:fill="595959"/>
            <w:vAlign w:val="center"/>
            <w:hideMark/>
          </w:tcPr>
          <w:p w14:paraId="51F514AD" w14:textId="77777777" w:rsidR="00427DF8" w:rsidRPr="00427DF8" w:rsidRDefault="00427DF8" w:rsidP="00427DF8">
            <w:pPr>
              <w:spacing w:after="0" w:line="240" w:lineRule="auto"/>
              <w:ind w:firstLineChars="200" w:firstLine="361"/>
              <w:jc w:val="right"/>
              <w:rPr>
                <w:rFonts w:eastAsia="Times New Roman"/>
                <w:b/>
                <w:bCs/>
                <w:color w:val="FFFFFF"/>
                <w:sz w:val="18"/>
                <w:szCs w:val="18"/>
                <w:lang w:val="en-US" w:eastAsia="en-US"/>
              </w:rPr>
            </w:pPr>
            <w:r w:rsidRPr="00427DF8">
              <w:rPr>
                <w:rFonts w:eastAsia="Times New Roman"/>
                <w:b/>
                <w:bCs/>
                <w:color w:val="FFFFFF"/>
                <w:sz w:val="18"/>
                <w:szCs w:val="18"/>
                <w:lang w:val="en-US" w:eastAsia="en-US"/>
              </w:rPr>
              <w:t>Total GEF</w:t>
            </w:r>
          </w:p>
        </w:tc>
        <w:tc>
          <w:tcPr>
            <w:tcW w:w="283" w:type="pct"/>
            <w:tcBorders>
              <w:top w:val="nil"/>
              <w:left w:val="nil"/>
              <w:bottom w:val="single" w:sz="4" w:space="0" w:color="auto"/>
              <w:right w:val="single" w:sz="4" w:space="0" w:color="auto"/>
            </w:tcBorders>
            <w:shd w:val="clear" w:color="000000" w:fill="595959"/>
            <w:vAlign w:val="center"/>
            <w:hideMark/>
          </w:tcPr>
          <w:p w14:paraId="42270F08" w14:textId="77777777" w:rsidR="00427DF8" w:rsidRPr="00427DF8" w:rsidRDefault="00427DF8" w:rsidP="00427DF8">
            <w:pPr>
              <w:spacing w:after="0" w:line="240" w:lineRule="auto"/>
              <w:jc w:val="right"/>
              <w:rPr>
                <w:rFonts w:eastAsia="Times New Roman"/>
                <w:b/>
                <w:bCs/>
                <w:color w:val="FFFFFF"/>
                <w:sz w:val="18"/>
                <w:szCs w:val="18"/>
                <w:lang w:val="en-US" w:eastAsia="en-US"/>
              </w:rPr>
            </w:pPr>
            <w:r w:rsidRPr="00427DF8">
              <w:rPr>
                <w:rFonts w:eastAsia="Times New Roman"/>
                <w:b/>
                <w:bCs/>
                <w:color w:val="FFFFFF"/>
                <w:sz w:val="18"/>
                <w:szCs w:val="18"/>
                <w:lang w:val="en-US" w:eastAsia="en-US"/>
              </w:rPr>
              <w:t xml:space="preserve">               156,862.50 </w:t>
            </w:r>
          </w:p>
        </w:tc>
        <w:tc>
          <w:tcPr>
            <w:tcW w:w="283" w:type="pct"/>
            <w:tcBorders>
              <w:top w:val="nil"/>
              <w:left w:val="nil"/>
              <w:bottom w:val="single" w:sz="4" w:space="0" w:color="auto"/>
              <w:right w:val="single" w:sz="4" w:space="0" w:color="auto"/>
            </w:tcBorders>
            <w:shd w:val="clear" w:color="000000" w:fill="595959"/>
            <w:vAlign w:val="center"/>
            <w:hideMark/>
          </w:tcPr>
          <w:p w14:paraId="6F788C1B" w14:textId="77777777" w:rsidR="00427DF8" w:rsidRPr="00427DF8" w:rsidRDefault="00427DF8" w:rsidP="00427DF8">
            <w:pPr>
              <w:spacing w:after="0" w:line="240" w:lineRule="auto"/>
              <w:jc w:val="right"/>
              <w:rPr>
                <w:rFonts w:eastAsia="Times New Roman"/>
                <w:b/>
                <w:bCs/>
                <w:color w:val="FFFFFF"/>
                <w:sz w:val="18"/>
                <w:szCs w:val="18"/>
                <w:lang w:val="en-US" w:eastAsia="en-US"/>
              </w:rPr>
            </w:pPr>
            <w:r w:rsidRPr="00427DF8">
              <w:rPr>
                <w:rFonts w:eastAsia="Times New Roman"/>
                <w:b/>
                <w:bCs/>
                <w:color w:val="FFFFFF"/>
                <w:sz w:val="18"/>
                <w:szCs w:val="18"/>
                <w:lang w:val="en-US" w:eastAsia="en-US"/>
              </w:rPr>
              <w:t xml:space="preserve">             903,750.00 </w:t>
            </w:r>
          </w:p>
        </w:tc>
        <w:tc>
          <w:tcPr>
            <w:tcW w:w="317" w:type="pct"/>
            <w:tcBorders>
              <w:top w:val="nil"/>
              <w:left w:val="nil"/>
              <w:bottom w:val="single" w:sz="4" w:space="0" w:color="auto"/>
              <w:right w:val="single" w:sz="4" w:space="0" w:color="auto"/>
            </w:tcBorders>
            <w:shd w:val="clear" w:color="000000" w:fill="595959"/>
            <w:vAlign w:val="center"/>
            <w:hideMark/>
          </w:tcPr>
          <w:p w14:paraId="7EA3DEB7" w14:textId="77777777" w:rsidR="00427DF8" w:rsidRPr="00427DF8" w:rsidRDefault="00427DF8" w:rsidP="00427DF8">
            <w:pPr>
              <w:spacing w:after="0" w:line="240" w:lineRule="auto"/>
              <w:jc w:val="right"/>
              <w:rPr>
                <w:rFonts w:eastAsia="Times New Roman"/>
                <w:b/>
                <w:bCs/>
                <w:color w:val="FFFFFF"/>
                <w:sz w:val="18"/>
                <w:szCs w:val="18"/>
                <w:lang w:val="en-US" w:eastAsia="en-US"/>
              </w:rPr>
            </w:pPr>
            <w:r w:rsidRPr="00427DF8">
              <w:rPr>
                <w:rFonts w:eastAsia="Times New Roman"/>
                <w:b/>
                <w:bCs/>
                <w:color w:val="FFFFFF"/>
                <w:sz w:val="18"/>
                <w:szCs w:val="18"/>
                <w:lang w:val="en-US" w:eastAsia="en-US"/>
              </w:rPr>
              <w:t xml:space="preserve">            1,228,478.00 </w:t>
            </w:r>
          </w:p>
        </w:tc>
        <w:tc>
          <w:tcPr>
            <w:tcW w:w="317" w:type="pct"/>
            <w:tcBorders>
              <w:top w:val="nil"/>
              <w:left w:val="nil"/>
              <w:bottom w:val="single" w:sz="4" w:space="0" w:color="auto"/>
              <w:right w:val="single" w:sz="4" w:space="0" w:color="auto"/>
            </w:tcBorders>
            <w:shd w:val="clear" w:color="000000" w:fill="595959"/>
            <w:vAlign w:val="center"/>
            <w:hideMark/>
          </w:tcPr>
          <w:p w14:paraId="6FA41CDF" w14:textId="77777777" w:rsidR="00427DF8" w:rsidRPr="00427DF8" w:rsidRDefault="00427DF8" w:rsidP="00427DF8">
            <w:pPr>
              <w:spacing w:after="0" w:line="240" w:lineRule="auto"/>
              <w:jc w:val="right"/>
              <w:rPr>
                <w:rFonts w:eastAsia="Times New Roman"/>
                <w:b/>
                <w:bCs/>
                <w:color w:val="FFFFFF"/>
                <w:sz w:val="18"/>
                <w:szCs w:val="18"/>
                <w:lang w:val="en-US" w:eastAsia="en-US"/>
              </w:rPr>
            </w:pPr>
            <w:r w:rsidRPr="00427DF8">
              <w:rPr>
                <w:rFonts w:eastAsia="Times New Roman"/>
                <w:b/>
                <w:bCs/>
                <w:color w:val="FFFFFF"/>
                <w:sz w:val="18"/>
                <w:szCs w:val="18"/>
                <w:lang w:val="en-US" w:eastAsia="en-US"/>
              </w:rPr>
              <w:t xml:space="preserve">            1,297,907.00 </w:t>
            </w:r>
          </w:p>
        </w:tc>
        <w:tc>
          <w:tcPr>
            <w:tcW w:w="317" w:type="pct"/>
            <w:tcBorders>
              <w:top w:val="nil"/>
              <w:left w:val="nil"/>
              <w:bottom w:val="single" w:sz="4" w:space="0" w:color="auto"/>
              <w:right w:val="single" w:sz="4" w:space="0" w:color="auto"/>
            </w:tcBorders>
            <w:shd w:val="clear" w:color="000000" w:fill="595959"/>
            <w:vAlign w:val="center"/>
            <w:hideMark/>
          </w:tcPr>
          <w:p w14:paraId="05F483BD" w14:textId="77777777" w:rsidR="00427DF8" w:rsidRPr="00427DF8" w:rsidRDefault="00427DF8" w:rsidP="00427DF8">
            <w:pPr>
              <w:spacing w:after="0" w:line="240" w:lineRule="auto"/>
              <w:jc w:val="right"/>
              <w:rPr>
                <w:rFonts w:eastAsia="Times New Roman"/>
                <w:b/>
                <w:bCs/>
                <w:color w:val="FFFFFF"/>
                <w:sz w:val="18"/>
                <w:szCs w:val="18"/>
                <w:lang w:val="en-US" w:eastAsia="en-US"/>
              </w:rPr>
            </w:pPr>
            <w:r w:rsidRPr="00427DF8">
              <w:rPr>
                <w:rFonts w:eastAsia="Times New Roman"/>
                <w:b/>
                <w:bCs/>
                <w:color w:val="FFFFFF"/>
                <w:sz w:val="18"/>
                <w:szCs w:val="18"/>
                <w:lang w:val="en-US" w:eastAsia="en-US"/>
              </w:rPr>
              <w:t xml:space="preserve">      1,026,030.00 </w:t>
            </w:r>
          </w:p>
        </w:tc>
        <w:tc>
          <w:tcPr>
            <w:tcW w:w="283" w:type="pct"/>
            <w:tcBorders>
              <w:top w:val="nil"/>
              <w:left w:val="nil"/>
              <w:bottom w:val="single" w:sz="4" w:space="0" w:color="auto"/>
              <w:right w:val="single" w:sz="4" w:space="0" w:color="auto"/>
            </w:tcBorders>
            <w:shd w:val="clear" w:color="000000" w:fill="595959"/>
            <w:vAlign w:val="center"/>
            <w:hideMark/>
          </w:tcPr>
          <w:p w14:paraId="106E8C5B" w14:textId="77777777" w:rsidR="00427DF8" w:rsidRPr="00427DF8" w:rsidRDefault="00427DF8" w:rsidP="00427DF8">
            <w:pPr>
              <w:spacing w:after="0" w:line="240" w:lineRule="auto"/>
              <w:jc w:val="right"/>
              <w:rPr>
                <w:rFonts w:eastAsia="Times New Roman"/>
                <w:b/>
                <w:bCs/>
                <w:color w:val="FFFFFF"/>
                <w:sz w:val="18"/>
                <w:szCs w:val="18"/>
                <w:lang w:val="en-US" w:eastAsia="en-US"/>
              </w:rPr>
            </w:pPr>
            <w:r w:rsidRPr="00427DF8">
              <w:rPr>
                <w:rFonts w:eastAsia="Times New Roman"/>
                <w:b/>
                <w:bCs/>
                <w:color w:val="FFFFFF"/>
                <w:sz w:val="18"/>
                <w:szCs w:val="18"/>
                <w:lang w:val="en-US" w:eastAsia="en-US"/>
              </w:rPr>
              <w:t xml:space="preserve">             129,937.50 </w:t>
            </w:r>
          </w:p>
        </w:tc>
        <w:tc>
          <w:tcPr>
            <w:tcW w:w="352" w:type="pct"/>
            <w:tcBorders>
              <w:top w:val="nil"/>
              <w:left w:val="nil"/>
              <w:bottom w:val="single" w:sz="4" w:space="0" w:color="auto"/>
              <w:right w:val="single" w:sz="4" w:space="0" w:color="auto"/>
            </w:tcBorders>
            <w:shd w:val="clear" w:color="000000" w:fill="595959"/>
            <w:vAlign w:val="center"/>
            <w:hideMark/>
          </w:tcPr>
          <w:p w14:paraId="7C0B365A" w14:textId="77777777" w:rsidR="00427DF8" w:rsidRPr="00427DF8" w:rsidRDefault="00427DF8" w:rsidP="00427DF8">
            <w:pPr>
              <w:spacing w:after="0" w:line="240" w:lineRule="auto"/>
              <w:jc w:val="right"/>
              <w:rPr>
                <w:rFonts w:eastAsia="Times New Roman"/>
                <w:b/>
                <w:bCs/>
                <w:color w:val="FFFFFF"/>
                <w:sz w:val="18"/>
                <w:szCs w:val="18"/>
                <w:lang w:val="en-US" w:eastAsia="en-US"/>
              </w:rPr>
            </w:pPr>
            <w:r w:rsidRPr="00427DF8">
              <w:rPr>
                <w:rFonts w:eastAsia="Times New Roman"/>
                <w:b/>
                <w:bCs/>
                <w:color w:val="FFFFFF"/>
                <w:sz w:val="18"/>
                <w:szCs w:val="18"/>
                <w:lang w:val="en-US" w:eastAsia="en-US"/>
              </w:rPr>
              <w:t xml:space="preserve">    4,742,965.00 </w:t>
            </w:r>
          </w:p>
        </w:tc>
        <w:tc>
          <w:tcPr>
            <w:tcW w:w="211" w:type="pct"/>
            <w:tcBorders>
              <w:top w:val="nil"/>
              <w:left w:val="nil"/>
              <w:bottom w:val="single" w:sz="4" w:space="0" w:color="auto"/>
              <w:right w:val="single" w:sz="4" w:space="0" w:color="auto"/>
            </w:tcBorders>
            <w:shd w:val="clear" w:color="000000" w:fill="595959"/>
            <w:vAlign w:val="center"/>
            <w:hideMark/>
          </w:tcPr>
          <w:p w14:paraId="55311CD8" w14:textId="77777777" w:rsidR="00427DF8" w:rsidRPr="00427DF8" w:rsidRDefault="00427DF8" w:rsidP="00427DF8">
            <w:pPr>
              <w:spacing w:after="0" w:line="240" w:lineRule="auto"/>
              <w:jc w:val="center"/>
              <w:rPr>
                <w:rFonts w:eastAsia="Times New Roman"/>
                <w:i/>
                <w:iCs/>
                <w:color w:val="FFFFFF"/>
                <w:sz w:val="18"/>
                <w:szCs w:val="18"/>
                <w:lang w:val="en-US" w:eastAsia="en-US"/>
              </w:rPr>
            </w:pPr>
            <w:r w:rsidRPr="00427DF8">
              <w:rPr>
                <w:rFonts w:eastAsia="Times New Roman"/>
                <w:i/>
                <w:iCs/>
                <w:color w:val="FFFFFF"/>
                <w:sz w:val="18"/>
                <w:szCs w:val="18"/>
                <w:lang w:val="en-US" w:eastAsia="en-US"/>
              </w:rPr>
              <w:t>        </w:t>
            </w:r>
            <w:r w:rsidRPr="00427DF8">
              <w:rPr>
                <w:rFonts w:eastAsia="Times New Roman"/>
                <w:color w:val="FFFFFF"/>
                <w:sz w:val="18"/>
                <w:szCs w:val="18"/>
                <w:lang w:val="en-US" w:eastAsia="en-US"/>
              </w:rPr>
              <w:t> </w:t>
            </w:r>
          </w:p>
        </w:tc>
        <w:tc>
          <w:tcPr>
            <w:tcW w:w="79" w:type="pct"/>
            <w:vAlign w:val="center"/>
            <w:hideMark/>
          </w:tcPr>
          <w:p w14:paraId="582C77F0"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4BE2E085" w14:textId="77777777" w:rsidTr="008D1647">
        <w:trPr>
          <w:trHeight w:val="300"/>
        </w:trPr>
        <w:tc>
          <w:tcPr>
            <w:tcW w:w="2560" w:type="pct"/>
            <w:gridSpan w:val="7"/>
            <w:tcBorders>
              <w:top w:val="single" w:sz="4" w:space="0" w:color="auto"/>
              <w:left w:val="single" w:sz="4" w:space="0" w:color="auto"/>
              <w:bottom w:val="single" w:sz="4" w:space="0" w:color="auto"/>
              <w:right w:val="single" w:sz="4" w:space="0" w:color="000000"/>
            </w:tcBorders>
            <w:shd w:val="clear" w:color="000000" w:fill="595959"/>
            <w:vAlign w:val="center"/>
            <w:hideMark/>
          </w:tcPr>
          <w:p w14:paraId="14BF0142" w14:textId="77777777" w:rsidR="00427DF8" w:rsidRPr="00427DF8" w:rsidRDefault="00427DF8" w:rsidP="00427DF8">
            <w:pPr>
              <w:spacing w:after="0" w:line="240" w:lineRule="auto"/>
              <w:ind w:firstLineChars="100" w:firstLine="181"/>
              <w:jc w:val="right"/>
              <w:rPr>
                <w:rFonts w:eastAsia="Times New Roman"/>
                <w:b/>
                <w:bCs/>
                <w:color w:val="FFFFFF"/>
                <w:sz w:val="18"/>
                <w:szCs w:val="18"/>
                <w:lang w:val="en-US" w:eastAsia="en-US"/>
              </w:rPr>
            </w:pPr>
            <w:r w:rsidRPr="00427DF8">
              <w:rPr>
                <w:rFonts w:eastAsia="Times New Roman"/>
                <w:b/>
                <w:bCs/>
                <w:color w:val="FFFFFF"/>
                <w:sz w:val="18"/>
                <w:szCs w:val="18"/>
                <w:lang w:val="en-US" w:eastAsia="en-US"/>
              </w:rPr>
              <w:t>SUB TOTAL UNDP</w:t>
            </w:r>
          </w:p>
        </w:tc>
        <w:tc>
          <w:tcPr>
            <w:tcW w:w="283" w:type="pct"/>
            <w:tcBorders>
              <w:top w:val="nil"/>
              <w:left w:val="nil"/>
              <w:bottom w:val="single" w:sz="4" w:space="0" w:color="auto"/>
              <w:right w:val="single" w:sz="4" w:space="0" w:color="auto"/>
            </w:tcBorders>
            <w:shd w:val="clear" w:color="000000" w:fill="595959"/>
            <w:vAlign w:val="center"/>
            <w:hideMark/>
          </w:tcPr>
          <w:p w14:paraId="7E9FFE44" w14:textId="77777777" w:rsidR="00427DF8" w:rsidRPr="00427DF8" w:rsidRDefault="00427DF8" w:rsidP="00427DF8">
            <w:pPr>
              <w:spacing w:after="0" w:line="240" w:lineRule="auto"/>
              <w:jc w:val="right"/>
              <w:rPr>
                <w:rFonts w:eastAsia="Times New Roman"/>
                <w:b/>
                <w:bCs/>
                <w:color w:val="FFFFFF"/>
                <w:sz w:val="18"/>
                <w:szCs w:val="18"/>
                <w:lang w:val="en-US" w:eastAsia="en-US"/>
              </w:rPr>
            </w:pPr>
            <w:r w:rsidRPr="00427DF8">
              <w:rPr>
                <w:rFonts w:eastAsia="Times New Roman"/>
                <w:b/>
                <w:bCs/>
                <w:color w:val="FFFFFF"/>
                <w:sz w:val="18"/>
                <w:szCs w:val="18"/>
                <w:lang w:val="en-US" w:eastAsia="en-US"/>
              </w:rPr>
              <w:t xml:space="preserve">                 74,512.50 </w:t>
            </w:r>
          </w:p>
        </w:tc>
        <w:tc>
          <w:tcPr>
            <w:tcW w:w="283" w:type="pct"/>
            <w:tcBorders>
              <w:top w:val="nil"/>
              <w:left w:val="nil"/>
              <w:bottom w:val="single" w:sz="4" w:space="0" w:color="auto"/>
              <w:right w:val="single" w:sz="4" w:space="0" w:color="auto"/>
            </w:tcBorders>
            <w:shd w:val="clear" w:color="000000" w:fill="595959"/>
            <w:vAlign w:val="center"/>
            <w:hideMark/>
          </w:tcPr>
          <w:p w14:paraId="5AEA66DF" w14:textId="77777777" w:rsidR="00427DF8" w:rsidRPr="00427DF8" w:rsidRDefault="00427DF8" w:rsidP="00427DF8">
            <w:pPr>
              <w:spacing w:after="0" w:line="240" w:lineRule="auto"/>
              <w:jc w:val="right"/>
              <w:rPr>
                <w:rFonts w:eastAsia="Times New Roman"/>
                <w:b/>
                <w:bCs/>
                <w:color w:val="FFFFFF"/>
                <w:sz w:val="18"/>
                <w:szCs w:val="18"/>
                <w:lang w:val="en-US" w:eastAsia="en-US"/>
              </w:rPr>
            </w:pPr>
            <w:r w:rsidRPr="00427DF8">
              <w:rPr>
                <w:rFonts w:eastAsia="Times New Roman"/>
                <w:b/>
                <w:bCs/>
                <w:color w:val="FFFFFF"/>
                <w:sz w:val="18"/>
                <w:szCs w:val="18"/>
                <w:lang w:val="en-US" w:eastAsia="en-US"/>
              </w:rPr>
              <w:t xml:space="preserve">               30,000.00 </w:t>
            </w:r>
          </w:p>
        </w:tc>
        <w:tc>
          <w:tcPr>
            <w:tcW w:w="317" w:type="pct"/>
            <w:tcBorders>
              <w:top w:val="nil"/>
              <w:left w:val="nil"/>
              <w:bottom w:val="single" w:sz="4" w:space="0" w:color="auto"/>
              <w:right w:val="single" w:sz="4" w:space="0" w:color="auto"/>
            </w:tcBorders>
            <w:shd w:val="clear" w:color="000000" w:fill="595959"/>
            <w:vAlign w:val="center"/>
            <w:hideMark/>
          </w:tcPr>
          <w:p w14:paraId="6D794FB4" w14:textId="77777777" w:rsidR="00427DF8" w:rsidRPr="00427DF8" w:rsidRDefault="00427DF8" w:rsidP="00427DF8">
            <w:pPr>
              <w:spacing w:after="0" w:line="240" w:lineRule="auto"/>
              <w:jc w:val="right"/>
              <w:rPr>
                <w:rFonts w:eastAsia="Times New Roman"/>
                <w:b/>
                <w:bCs/>
                <w:color w:val="FFFFFF"/>
                <w:sz w:val="18"/>
                <w:szCs w:val="18"/>
                <w:lang w:val="en-US" w:eastAsia="en-US"/>
              </w:rPr>
            </w:pPr>
            <w:r w:rsidRPr="00427DF8">
              <w:rPr>
                <w:rFonts w:eastAsia="Times New Roman"/>
                <w:b/>
                <w:bCs/>
                <w:color w:val="FFFFFF"/>
                <w:sz w:val="18"/>
                <w:szCs w:val="18"/>
                <w:lang w:val="en-US" w:eastAsia="en-US"/>
              </w:rPr>
              <w:t xml:space="preserve">                 95,000.00 </w:t>
            </w:r>
          </w:p>
        </w:tc>
        <w:tc>
          <w:tcPr>
            <w:tcW w:w="317" w:type="pct"/>
            <w:tcBorders>
              <w:top w:val="nil"/>
              <w:left w:val="nil"/>
              <w:bottom w:val="single" w:sz="4" w:space="0" w:color="auto"/>
              <w:right w:val="single" w:sz="4" w:space="0" w:color="auto"/>
            </w:tcBorders>
            <w:shd w:val="clear" w:color="000000" w:fill="595959"/>
            <w:vAlign w:val="center"/>
            <w:hideMark/>
          </w:tcPr>
          <w:p w14:paraId="61F38C4C" w14:textId="77777777" w:rsidR="00427DF8" w:rsidRPr="00427DF8" w:rsidRDefault="00427DF8" w:rsidP="00427DF8">
            <w:pPr>
              <w:spacing w:after="0" w:line="240" w:lineRule="auto"/>
              <w:jc w:val="right"/>
              <w:rPr>
                <w:rFonts w:eastAsia="Times New Roman"/>
                <w:b/>
                <w:bCs/>
                <w:color w:val="FFFFFF"/>
                <w:sz w:val="18"/>
                <w:szCs w:val="18"/>
                <w:lang w:val="en-US" w:eastAsia="en-US"/>
              </w:rPr>
            </w:pPr>
            <w:r w:rsidRPr="00427DF8">
              <w:rPr>
                <w:rFonts w:eastAsia="Times New Roman"/>
                <w:b/>
                <w:bCs/>
                <w:color w:val="FFFFFF"/>
                <w:sz w:val="18"/>
                <w:szCs w:val="18"/>
                <w:lang w:val="en-US" w:eastAsia="en-US"/>
              </w:rPr>
              <w:t xml:space="preserve">                 95,650.00 </w:t>
            </w:r>
          </w:p>
        </w:tc>
        <w:tc>
          <w:tcPr>
            <w:tcW w:w="317" w:type="pct"/>
            <w:tcBorders>
              <w:top w:val="nil"/>
              <w:left w:val="nil"/>
              <w:bottom w:val="single" w:sz="4" w:space="0" w:color="auto"/>
              <w:right w:val="single" w:sz="4" w:space="0" w:color="auto"/>
            </w:tcBorders>
            <w:shd w:val="clear" w:color="000000" w:fill="595959"/>
            <w:vAlign w:val="center"/>
            <w:hideMark/>
          </w:tcPr>
          <w:p w14:paraId="575A2CA1" w14:textId="77777777" w:rsidR="00427DF8" w:rsidRPr="00427DF8" w:rsidRDefault="00427DF8" w:rsidP="00427DF8">
            <w:pPr>
              <w:spacing w:after="0" w:line="240" w:lineRule="auto"/>
              <w:jc w:val="right"/>
              <w:rPr>
                <w:rFonts w:eastAsia="Times New Roman"/>
                <w:b/>
                <w:bCs/>
                <w:color w:val="FFFFFF"/>
                <w:sz w:val="18"/>
                <w:szCs w:val="18"/>
                <w:lang w:val="en-US" w:eastAsia="en-US"/>
              </w:rPr>
            </w:pPr>
            <w:r w:rsidRPr="00427DF8">
              <w:rPr>
                <w:rFonts w:eastAsia="Times New Roman"/>
                <w:b/>
                <w:bCs/>
                <w:color w:val="FFFFFF"/>
                <w:sz w:val="18"/>
                <w:szCs w:val="18"/>
                <w:lang w:val="en-US" w:eastAsia="en-US"/>
              </w:rPr>
              <w:t xml:space="preserve">                       -   </w:t>
            </w:r>
          </w:p>
        </w:tc>
        <w:tc>
          <w:tcPr>
            <w:tcW w:w="283" w:type="pct"/>
            <w:tcBorders>
              <w:top w:val="nil"/>
              <w:left w:val="nil"/>
              <w:bottom w:val="single" w:sz="4" w:space="0" w:color="auto"/>
              <w:right w:val="single" w:sz="4" w:space="0" w:color="auto"/>
            </w:tcBorders>
            <w:shd w:val="clear" w:color="000000" w:fill="595959"/>
            <w:vAlign w:val="center"/>
            <w:hideMark/>
          </w:tcPr>
          <w:p w14:paraId="396F0158" w14:textId="77777777" w:rsidR="00427DF8" w:rsidRPr="00427DF8" w:rsidRDefault="00427DF8" w:rsidP="00427DF8">
            <w:pPr>
              <w:spacing w:after="0" w:line="240" w:lineRule="auto"/>
              <w:jc w:val="right"/>
              <w:rPr>
                <w:rFonts w:eastAsia="Times New Roman"/>
                <w:b/>
                <w:bCs/>
                <w:color w:val="FFFFFF"/>
                <w:sz w:val="18"/>
                <w:szCs w:val="18"/>
                <w:lang w:val="en-US" w:eastAsia="en-US"/>
              </w:rPr>
            </w:pPr>
            <w:r w:rsidRPr="00427DF8">
              <w:rPr>
                <w:rFonts w:eastAsia="Times New Roman"/>
                <w:b/>
                <w:bCs/>
                <w:color w:val="FFFFFF"/>
                <w:sz w:val="18"/>
                <w:szCs w:val="18"/>
                <w:lang w:val="en-US" w:eastAsia="en-US"/>
              </w:rPr>
              <w:t xml:space="preserve">                 4,837.50 </w:t>
            </w:r>
          </w:p>
        </w:tc>
        <w:tc>
          <w:tcPr>
            <w:tcW w:w="352" w:type="pct"/>
            <w:tcBorders>
              <w:top w:val="nil"/>
              <w:left w:val="nil"/>
              <w:bottom w:val="single" w:sz="4" w:space="0" w:color="auto"/>
              <w:right w:val="single" w:sz="4" w:space="0" w:color="auto"/>
            </w:tcBorders>
            <w:shd w:val="clear" w:color="000000" w:fill="595959"/>
            <w:vAlign w:val="center"/>
            <w:hideMark/>
          </w:tcPr>
          <w:p w14:paraId="7293532C" w14:textId="77777777" w:rsidR="00427DF8" w:rsidRPr="00427DF8" w:rsidRDefault="00427DF8" w:rsidP="00427DF8">
            <w:pPr>
              <w:spacing w:after="0" w:line="240" w:lineRule="auto"/>
              <w:jc w:val="right"/>
              <w:rPr>
                <w:rFonts w:eastAsia="Times New Roman"/>
                <w:b/>
                <w:bCs/>
                <w:color w:val="FFFFFF"/>
                <w:sz w:val="18"/>
                <w:szCs w:val="18"/>
                <w:lang w:val="en-US" w:eastAsia="en-US"/>
              </w:rPr>
            </w:pPr>
            <w:r w:rsidRPr="00427DF8">
              <w:rPr>
                <w:rFonts w:eastAsia="Times New Roman"/>
                <w:b/>
                <w:bCs/>
                <w:color w:val="FFFFFF"/>
                <w:sz w:val="18"/>
                <w:szCs w:val="18"/>
                <w:lang w:val="en-US" w:eastAsia="en-US"/>
              </w:rPr>
              <w:t xml:space="preserve">       300,000.00 </w:t>
            </w:r>
          </w:p>
        </w:tc>
        <w:tc>
          <w:tcPr>
            <w:tcW w:w="211" w:type="pct"/>
            <w:tcBorders>
              <w:top w:val="nil"/>
              <w:left w:val="nil"/>
              <w:bottom w:val="single" w:sz="4" w:space="0" w:color="auto"/>
              <w:right w:val="single" w:sz="4" w:space="0" w:color="auto"/>
            </w:tcBorders>
            <w:shd w:val="clear" w:color="000000" w:fill="595959"/>
            <w:vAlign w:val="center"/>
            <w:hideMark/>
          </w:tcPr>
          <w:p w14:paraId="18EAC6C2" w14:textId="77777777" w:rsidR="00427DF8" w:rsidRPr="00427DF8" w:rsidRDefault="00427DF8" w:rsidP="00427DF8">
            <w:pPr>
              <w:spacing w:after="0" w:line="240" w:lineRule="auto"/>
              <w:jc w:val="right"/>
              <w:rPr>
                <w:rFonts w:eastAsia="Times New Roman"/>
                <w:color w:val="FFFFFF"/>
                <w:sz w:val="18"/>
                <w:szCs w:val="18"/>
                <w:lang w:val="en-US" w:eastAsia="en-US"/>
              </w:rPr>
            </w:pPr>
            <w:r w:rsidRPr="00427DF8">
              <w:rPr>
                <w:rFonts w:eastAsia="Times New Roman"/>
                <w:color w:val="FFFFFF"/>
                <w:sz w:val="18"/>
                <w:szCs w:val="18"/>
                <w:lang w:val="en-US" w:eastAsia="en-US"/>
              </w:rPr>
              <w:t> </w:t>
            </w:r>
          </w:p>
        </w:tc>
        <w:tc>
          <w:tcPr>
            <w:tcW w:w="79" w:type="pct"/>
            <w:vAlign w:val="center"/>
            <w:hideMark/>
          </w:tcPr>
          <w:p w14:paraId="01D7B90D"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r w:rsidR="00427DF8" w:rsidRPr="00427DF8" w14:paraId="5BC69AA2" w14:textId="77777777" w:rsidTr="008D1647">
        <w:trPr>
          <w:trHeight w:val="300"/>
        </w:trPr>
        <w:tc>
          <w:tcPr>
            <w:tcW w:w="2560" w:type="pct"/>
            <w:gridSpan w:val="7"/>
            <w:tcBorders>
              <w:top w:val="single" w:sz="4" w:space="0" w:color="auto"/>
              <w:left w:val="single" w:sz="4" w:space="0" w:color="auto"/>
              <w:bottom w:val="single" w:sz="4" w:space="0" w:color="auto"/>
              <w:right w:val="single" w:sz="4" w:space="0" w:color="000000"/>
            </w:tcBorders>
            <w:vAlign w:val="center"/>
            <w:hideMark/>
          </w:tcPr>
          <w:p w14:paraId="59CC1C05" w14:textId="77777777" w:rsidR="00427DF8" w:rsidRPr="00427DF8" w:rsidRDefault="00427DF8" w:rsidP="00427DF8">
            <w:pPr>
              <w:spacing w:after="0" w:line="240" w:lineRule="auto"/>
              <w:ind w:firstLineChars="100" w:firstLine="181"/>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PROJECT TOTAL</w:t>
            </w:r>
          </w:p>
        </w:tc>
        <w:tc>
          <w:tcPr>
            <w:tcW w:w="283" w:type="pct"/>
            <w:tcBorders>
              <w:top w:val="nil"/>
              <w:left w:val="nil"/>
              <w:bottom w:val="single" w:sz="4" w:space="0" w:color="auto"/>
              <w:right w:val="single" w:sz="4" w:space="0" w:color="auto"/>
            </w:tcBorders>
            <w:vAlign w:val="center"/>
            <w:hideMark/>
          </w:tcPr>
          <w:p w14:paraId="065BC429"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231,375.00 </w:t>
            </w:r>
          </w:p>
        </w:tc>
        <w:tc>
          <w:tcPr>
            <w:tcW w:w="283" w:type="pct"/>
            <w:tcBorders>
              <w:top w:val="nil"/>
              <w:left w:val="nil"/>
              <w:bottom w:val="single" w:sz="4" w:space="0" w:color="auto"/>
              <w:right w:val="single" w:sz="4" w:space="0" w:color="auto"/>
            </w:tcBorders>
            <w:vAlign w:val="center"/>
            <w:hideMark/>
          </w:tcPr>
          <w:p w14:paraId="0981124B"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933,750.00 </w:t>
            </w:r>
          </w:p>
        </w:tc>
        <w:tc>
          <w:tcPr>
            <w:tcW w:w="317" w:type="pct"/>
            <w:tcBorders>
              <w:top w:val="nil"/>
              <w:left w:val="nil"/>
              <w:bottom w:val="single" w:sz="4" w:space="0" w:color="auto"/>
              <w:right w:val="single" w:sz="4" w:space="0" w:color="auto"/>
            </w:tcBorders>
            <w:vAlign w:val="center"/>
            <w:hideMark/>
          </w:tcPr>
          <w:p w14:paraId="37A77FF8"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1,323,478.00 </w:t>
            </w:r>
          </w:p>
        </w:tc>
        <w:tc>
          <w:tcPr>
            <w:tcW w:w="317" w:type="pct"/>
            <w:tcBorders>
              <w:top w:val="nil"/>
              <w:left w:val="nil"/>
              <w:bottom w:val="single" w:sz="4" w:space="0" w:color="auto"/>
              <w:right w:val="single" w:sz="4" w:space="0" w:color="auto"/>
            </w:tcBorders>
            <w:vAlign w:val="center"/>
            <w:hideMark/>
          </w:tcPr>
          <w:p w14:paraId="2FE513D4"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1,393,557.00 </w:t>
            </w:r>
          </w:p>
        </w:tc>
        <w:tc>
          <w:tcPr>
            <w:tcW w:w="317" w:type="pct"/>
            <w:tcBorders>
              <w:top w:val="nil"/>
              <w:left w:val="nil"/>
              <w:bottom w:val="single" w:sz="4" w:space="0" w:color="auto"/>
              <w:right w:val="single" w:sz="4" w:space="0" w:color="auto"/>
            </w:tcBorders>
            <w:vAlign w:val="center"/>
            <w:hideMark/>
          </w:tcPr>
          <w:p w14:paraId="0236717A"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1,026,030.00 </w:t>
            </w:r>
          </w:p>
        </w:tc>
        <w:tc>
          <w:tcPr>
            <w:tcW w:w="283" w:type="pct"/>
            <w:tcBorders>
              <w:top w:val="nil"/>
              <w:left w:val="nil"/>
              <w:bottom w:val="single" w:sz="4" w:space="0" w:color="auto"/>
              <w:right w:val="single" w:sz="4" w:space="0" w:color="auto"/>
            </w:tcBorders>
            <w:vAlign w:val="center"/>
            <w:hideMark/>
          </w:tcPr>
          <w:p w14:paraId="7DAC1767"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134,775.00 </w:t>
            </w:r>
          </w:p>
        </w:tc>
        <w:tc>
          <w:tcPr>
            <w:tcW w:w="352" w:type="pct"/>
            <w:tcBorders>
              <w:top w:val="nil"/>
              <w:left w:val="nil"/>
              <w:bottom w:val="single" w:sz="4" w:space="0" w:color="auto"/>
              <w:right w:val="single" w:sz="4" w:space="0" w:color="auto"/>
            </w:tcBorders>
            <w:vAlign w:val="center"/>
            <w:hideMark/>
          </w:tcPr>
          <w:p w14:paraId="4E0AD291" w14:textId="77777777" w:rsidR="00427DF8" w:rsidRPr="00427DF8" w:rsidRDefault="00427DF8" w:rsidP="00427DF8">
            <w:pPr>
              <w:spacing w:after="0" w:line="240" w:lineRule="auto"/>
              <w:jc w:val="right"/>
              <w:rPr>
                <w:rFonts w:eastAsia="Times New Roman"/>
                <w:b/>
                <w:bCs/>
                <w:color w:val="000000"/>
                <w:sz w:val="18"/>
                <w:szCs w:val="18"/>
                <w:lang w:val="en-US" w:eastAsia="en-US"/>
              </w:rPr>
            </w:pPr>
            <w:r w:rsidRPr="00427DF8">
              <w:rPr>
                <w:rFonts w:eastAsia="Times New Roman"/>
                <w:b/>
                <w:bCs/>
                <w:color w:val="000000"/>
                <w:sz w:val="18"/>
                <w:szCs w:val="18"/>
                <w:lang w:val="en-US" w:eastAsia="en-US"/>
              </w:rPr>
              <w:t xml:space="preserve">    5,042,965.00 </w:t>
            </w:r>
          </w:p>
        </w:tc>
        <w:tc>
          <w:tcPr>
            <w:tcW w:w="211" w:type="pct"/>
            <w:tcBorders>
              <w:top w:val="nil"/>
              <w:left w:val="nil"/>
              <w:bottom w:val="single" w:sz="4" w:space="0" w:color="auto"/>
              <w:right w:val="single" w:sz="4" w:space="0" w:color="auto"/>
            </w:tcBorders>
            <w:shd w:val="clear" w:color="000000" w:fill="808080"/>
            <w:vAlign w:val="center"/>
            <w:hideMark/>
          </w:tcPr>
          <w:p w14:paraId="103CD0BB" w14:textId="77777777" w:rsidR="00427DF8" w:rsidRPr="00427DF8" w:rsidRDefault="00427DF8" w:rsidP="00427DF8">
            <w:pPr>
              <w:spacing w:after="0" w:line="240" w:lineRule="auto"/>
              <w:jc w:val="right"/>
              <w:rPr>
                <w:rFonts w:eastAsia="Times New Roman"/>
                <w:color w:val="000000"/>
                <w:sz w:val="18"/>
                <w:szCs w:val="18"/>
                <w:lang w:val="en-US" w:eastAsia="en-US"/>
              </w:rPr>
            </w:pPr>
            <w:r w:rsidRPr="00427DF8">
              <w:rPr>
                <w:rFonts w:eastAsia="Times New Roman"/>
                <w:color w:val="000000"/>
                <w:sz w:val="18"/>
                <w:szCs w:val="18"/>
                <w:lang w:val="en-US" w:eastAsia="en-US"/>
              </w:rPr>
              <w:t> </w:t>
            </w:r>
          </w:p>
        </w:tc>
        <w:tc>
          <w:tcPr>
            <w:tcW w:w="79" w:type="pct"/>
            <w:vAlign w:val="center"/>
            <w:hideMark/>
          </w:tcPr>
          <w:p w14:paraId="0820576D" w14:textId="77777777" w:rsidR="00427DF8" w:rsidRPr="00427DF8" w:rsidRDefault="00427DF8" w:rsidP="00427DF8">
            <w:pPr>
              <w:spacing w:after="0" w:line="240" w:lineRule="auto"/>
              <w:rPr>
                <w:rFonts w:ascii="Times New Roman" w:eastAsia="Times New Roman" w:hAnsi="Times New Roman" w:cs="Times New Roman"/>
                <w:sz w:val="20"/>
                <w:szCs w:val="20"/>
                <w:lang w:val="en-US" w:eastAsia="en-US"/>
              </w:rPr>
            </w:pPr>
          </w:p>
        </w:tc>
      </w:tr>
    </w:tbl>
    <w:p w14:paraId="2D221831" w14:textId="77777777" w:rsidR="00427DF8" w:rsidRDefault="00427DF8" w:rsidP="537FA187">
      <w:pPr>
        <w:rPr>
          <w:lang w:val="en-US"/>
        </w:rPr>
      </w:pPr>
    </w:p>
    <w:p w14:paraId="7DFCAADD" w14:textId="77777777" w:rsidR="00114AD8" w:rsidRDefault="00114AD8" w:rsidP="0078100E">
      <w:pPr>
        <w:tabs>
          <w:tab w:val="left" w:pos="1404"/>
        </w:tabs>
        <w:rPr>
          <w:b/>
          <w:smallCaps/>
          <w:spacing w:val="-2"/>
          <w:lang w:val="en-US"/>
        </w:rPr>
      </w:pPr>
    </w:p>
    <w:p w14:paraId="2414C027" w14:textId="77777777" w:rsidR="00114AD8" w:rsidRDefault="00114AD8" w:rsidP="0078100E">
      <w:pPr>
        <w:tabs>
          <w:tab w:val="left" w:pos="1404"/>
        </w:tabs>
        <w:rPr>
          <w:b/>
          <w:smallCaps/>
          <w:spacing w:val="-2"/>
          <w:lang w:val="en-US"/>
        </w:rPr>
      </w:pPr>
    </w:p>
    <w:tbl>
      <w:tblPr>
        <w:tblW w:w="14040" w:type="dxa"/>
        <w:tblLayout w:type="fixed"/>
        <w:tblCellMar>
          <w:left w:w="70" w:type="dxa"/>
          <w:right w:w="70" w:type="dxa"/>
        </w:tblCellMar>
        <w:tblLook w:val="04A0" w:firstRow="1" w:lastRow="0" w:firstColumn="1" w:lastColumn="0" w:noHBand="0" w:noVBand="1"/>
      </w:tblPr>
      <w:tblGrid>
        <w:gridCol w:w="954"/>
        <w:gridCol w:w="12926"/>
        <w:gridCol w:w="160"/>
      </w:tblGrid>
      <w:tr w:rsidR="008631EE" w:rsidRPr="00BB4B25" w14:paraId="2F9C9ECC" w14:textId="77777777" w:rsidTr="00441D01">
        <w:trPr>
          <w:gridAfter w:val="1"/>
          <w:wAfter w:w="160" w:type="dxa"/>
          <w:trHeight w:val="567"/>
        </w:trPr>
        <w:tc>
          <w:tcPr>
            <w:tcW w:w="954"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70399171" w14:textId="77777777" w:rsidR="0078100E" w:rsidRPr="00BB4B25" w:rsidRDefault="0078100E" w:rsidP="00441D01">
            <w:pPr>
              <w:spacing w:after="0" w:line="240" w:lineRule="auto"/>
              <w:rPr>
                <w:rFonts w:eastAsia="Times New Roman"/>
                <w:b/>
                <w:bCs/>
                <w:i/>
                <w:iCs/>
                <w:color w:val="FFFFFF" w:themeColor="background1"/>
                <w:sz w:val="18"/>
                <w:szCs w:val="18"/>
              </w:rPr>
            </w:pPr>
            <w:r>
              <w:rPr>
                <w:rFonts w:eastAsia="Times New Roman"/>
                <w:b/>
                <w:bCs/>
                <w:i/>
                <w:iCs/>
                <w:color w:val="FFFFFF" w:themeColor="background1"/>
                <w:sz w:val="18"/>
                <w:szCs w:val="18"/>
              </w:rPr>
              <w:t>N°</w:t>
            </w:r>
          </w:p>
        </w:tc>
        <w:tc>
          <w:tcPr>
            <w:tcW w:w="12926" w:type="dxa"/>
            <w:tcBorders>
              <w:top w:val="single" w:sz="4" w:space="0" w:color="auto"/>
              <w:left w:val="nil"/>
              <w:bottom w:val="single" w:sz="4" w:space="0" w:color="auto"/>
              <w:right w:val="single" w:sz="4" w:space="0" w:color="auto"/>
            </w:tcBorders>
            <w:shd w:val="clear" w:color="auto" w:fill="000000" w:themeFill="text1"/>
            <w:hideMark/>
          </w:tcPr>
          <w:p w14:paraId="6B8D87B8" w14:textId="77777777" w:rsidR="0078100E" w:rsidRPr="00BB4B25" w:rsidRDefault="0078100E" w:rsidP="00441D01">
            <w:pPr>
              <w:spacing w:after="0" w:line="240" w:lineRule="auto"/>
              <w:rPr>
                <w:rFonts w:eastAsia="Times New Roman"/>
                <w:b/>
                <w:bCs/>
                <w:color w:val="FFFFFF" w:themeColor="background1"/>
                <w:sz w:val="18"/>
                <w:szCs w:val="18"/>
              </w:rPr>
            </w:pPr>
            <w:r w:rsidRPr="00BB4B25">
              <w:rPr>
                <w:rFonts w:eastAsia="Times New Roman"/>
                <w:b/>
                <w:bCs/>
                <w:color w:val="FFFFFF" w:themeColor="background1"/>
                <w:sz w:val="18"/>
                <w:szCs w:val="18"/>
              </w:rPr>
              <w:t>Budget Note</w:t>
            </w:r>
          </w:p>
        </w:tc>
      </w:tr>
      <w:tr w:rsidR="0078100E" w:rsidRPr="00F50786" w14:paraId="02DB3DC2" w14:textId="77777777" w:rsidTr="00441D01">
        <w:trPr>
          <w:gridAfter w:val="1"/>
          <w:wAfter w:w="160" w:type="dxa"/>
          <w:trHeight w:val="510"/>
        </w:trPr>
        <w:tc>
          <w:tcPr>
            <w:tcW w:w="954" w:type="dxa"/>
            <w:tcBorders>
              <w:top w:val="nil"/>
              <w:left w:val="single" w:sz="4" w:space="0" w:color="auto"/>
              <w:bottom w:val="single" w:sz="4" w:space="0" w:color="auto"/>
              <w:right w:val="single" w:sz="4" w:space="0" w:color="auto"/>
            </w:tcBorders>
            <w:hideMark/>
          </w:tcPr>
          <w:p w14:paraId="2684C2D1"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1</w:t>
            </w:r>
          </w:p>
        </w:tc>
        <w:tc>
          <w:tcPr>
            <w:tcW w:w="12926" w:type="dxa"/>
            <w:tcBorders>
              <w:top w:val="nil"/>
              <w:left w:val="single" w:sz="4" w:space="0" w:color="auto"/>
              <w:bottom w:val="single" w:sz="4" w:space="0" w:color="auto"/>
              <w:right w:val="single" w:sz="4" w:space="0" w:color="auto"/>
            </w:tcBorders>
            <w:hideMark/>
          </w:tcPr>
          <w:p w14:paraId="4E328313" w14:textId="77777777" w:rsidR="0078100E" w:rsidRPr="00BB4B25" w:rsidRDefault="0078100E" w:rsidP="00441D01">
            <w:pPr>
              <w:spacing w:after="0" w:line="240" w:lineRule="auto"/>
              <w:rPr>
                <w:rFonts w:eastAsia="Times New Roman"/>
                <w:sz w:val="18"/>
                <w:szCs w:val="18"/>
                <w:lang w:val="en-US"/>
              </w:rPr>
            </w:pPr>
            <w:r w:rsidRPr="00BB4B25">
              <w:rPr>
                <w:rFonts w:eastAsia="Times New Roman"/>
                <w:sz w:val="18"/>
                <w:szCs w:val="18"/>
                <w:lang w:val="en-US"/>
              </w:rPr>
              <w:t>International Consultant to elaborate a Study on guidelines to strengthen the integration of environmental standards and climate risks in territorial urban planning, 60 man/</w:t>
            </w:r>
            <w:proofErr w:type="gramStart"/>
            <w:r w:rsidRPr="00BB4B25">
              <w:rPr>
                <w:rFonts w:eastAsia="Times New Roman"/>
                <w:sz w:val="18"/>
                <w:szCs w:val="18"/>
                <w:lang w:val="en-US"/>
              </w:rPr>
              <w:t>days  x</w:t>
            </w:r>
            <w:proofErr w:type="gramEnd"/>
            <w:r w:rsidRPr="00BB4B25">
              <w:rPr>
                <w:rFonts w:eastAsia="Times New Roman"/>
                <w:sz w:val="18"/>
                <w:szCs w:val="18"/>
                <w:lang w:val="en-US"/>
              </w:rPr>
              <w:t xml:space="preserve"> rate of a man/day 500$ over a 9-month period = 30k$</w:t>
            </w:r>
          </w:p>
        </w:tc>
      </w:tr>
      <w:tr w:rsidR="0078100E" w:rsidRPr="00F50786" w14:paraId="6831ED4E" w14:textId="77777777" w:rsidTr="00441D01">
        <w:trPr>
          <w:gridAfter w:val="1"/>
          <w:wAfter w:w="160" w:type="dxa"/>
          <w:trHeight w:val="1304"/>
        </w:trPr>
        <w:tc>
          <w:tcPr>
            <w:tcW w:w="954" w:type="dxa"/>
            <w:tcBorders>
              <w:top w:val="nil"/>
              <w:left w:val="single" w:sz="4" w:space="0" w:color="auto"/>
              <w:bottom w:val="single" w:sz="4" w:space="0" w:color="auto"/>
              <w:right w:val="single" w:sz="4" w:space="0" w:color="auto"/>
            </w:tcBorders>
            <w:hideMark/>
          </w:tcPr>
          <w:p w14:paraId="2FDCE464"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2</w:t>
            </w:r>
          </w:p>
        </w:tc>
        <w:tc>
          <w:tcPr>
            <w:tcW w:w="12926" w:type="dxa"/>
            <w:tcBorders>
              <w:top w:val="nil"/>
              <w:left w:val="single" w:sz="4" w:space="0" w:color="auto"/>
              <w:bottom w:val="single" w:sz="4" w:space="0" w:color="auto"/>
              <w:right w:val="single" w:sz="4" w:space="0" w:color="auto"/>
            </w:tcBorders>
            <w:hideMark/>
          </w:tcPr>
          <w:p w14:paraId="48328A8D" w14:textId="77777777" w:rsidR="0078100E" w:rsidRDefault="0078100E" w:rsidP="00441D01">
            <w:pPr>
              <w:spacing w:after="0" w:line="240" w:lineRule="auto"/>
              <w:rPr>
                <w:rFonts w:eastAsia="Times New Roman"/>
                <w:sz w:val="18"/>
                <w:szCs w:val="18"/>
                <w:lang w:val="en-US"/>
              </w:rPr>
            </w:pPr>
            <w:r w:rsidRPr="00BB4B25">
              <w:rPr>
                <w:rFonts w:eastAsia="Times New Roman"/>
                <w:sz w:val="18"/>
                <w:szCs w:val="18"/>
                <w:lang w:val="en-US"/>
              </w:rPr>
              <w:br/>
            </w:r>
            <w:r>
              <w:rPr>
                <w:rFonts w:eastAsia="Times New Roman"/>
                <w:sz w:val="18"/>
                <w:szCs w:val="18"/>
                <w:lang w:val="en-US"/>
              </w:rPr>
              <w:t xml:space="preserve">2 </w:t>
            </w:r>
            <w:r w:rsidRPr="00BB4B25">
              <w:rPr>
                <w:rFonts w:eastAsia="Times New Roman"/>
                <w:sz w:val="18"/>
                <w:szCs w:val="18"/>
                <w:lang w:val="en-US"/>
              </w:rPr>
              <w:t xml:space="preserve">national </w:t>
            </w:r>
            <w:proofErr w:type="gramStart"/>
            <w:r w:rsidRPr="00BB4B25">
              <w:rPr>
                <w:rFonts w:eastAsia="Times New Roman"/>
                <w:sz w:val="18"/>
                <w:szCs w:val="18"/>
                <w:lang w:val="en-US"/>
              </w:rPr>
              <w:t>consultant</w:t>
            </w:r>
            <w:r>
              <w:rPr>
                <w:rFonts w:eastAsia="Times New Roman"/>
                <w:sz w:val="18"/>
                <w:szCs w:val="18"/>
                <w:lang w:val="en-US"/>
              </w:rPr>
              <w:t>s :</w:t>
            </w:r>
            <w:proofErr w:type="gramEnd"/>
            <w:r>
              <w:rPr>
                <w:rFonts w:eastAsia="Times New Roman"/>
                <w:sz w:val="18"/>
                <w:szCs w:val="18"/>
                <w:lang w:val="en-US"/>
              </w:rPr>
              <w:t xml:space="preserve"> </w:t>
            </w:r>
            <w:r w:rsidRPr="00BB4B25">
              <w:rPr>
                <w:rFonts w:eastAsia="Times New Roman"/>
                <w:sz w:val="18"/>
                <w:szCs w:val="18"/>
                <w:lang w:val="en-US"/>
              </w:rPr>
              <w:t xml:space="preserve"> </w:t>
            </w:r>
          </w:p>
          <w:p w14:paraId="55FA12DF" w14:textId="77777777" w:rsidR="0078100E" w:rsidRDefault="0078100E" w:rsidP="0078100E">
            <w:pPr>
              <w:pStyle w:val="Paragraphedeliste"/>
              <w:numPr>
                <w:ilvl w:val="0"/>
                <w:numId w:val="932"/>
              </w:numPr>
              <w:spacing w:after="0" w:line="240" w:lineRule="auto"/>
              <w:rPr>
                <w:rFonts w:eastAsia="Times New Roman"/>
                <w:sz w:val="18"/>
                <w:szCs w:val="18"/>
                <w:lang w:val="en-US"/>
              </w:rPr>
            </w:pPr>
            <w:r w:rsidRPr="001E0D0A">
              <w:rPr>
                <w:rFonts w:eastAsia="Times New Roman"/>
                <w:sz w:val="18"/>
                <w:szCs w:val="18"/>
                <w:lang w:val="en-US"/>
              </w:rPr>
              <w:t>to accompany the implementation of Public-private-CSO coordination platform for the city of Bamako, 30</w:t>
            </w:r>
            <w:proofErr w:type="gramStart"/>
            <w:r w:rsidRPr="001E0D0A">
              <w:rPr>
                <w:rFonts w:eastAsia="Times New Roman"/>
                <w:sz w:val="18"/>
                <w:szCs w:val="18"/>
                <w:lang w:val="en-US"/>
              </w:rPr>
              <w:t>man,/</w:t>
            </w:r>
            <w:proofErr w:type="gramEnd"/>
            <w:r w:rsidRPr="001E0D0A">
              <w:rPr>
                <w:rFonts w:eastAsia="Times New Roman"/>
                <w:sz w:val="18"/>
                <w:szCs w:val="18"/>
                <w:lang w:val="en-US"/>
              </w:rPr>
              <w:t>day x 250$</w:t>
            </w:r>
          </w:p>
          <w:p w14:paraId="75B2D212" w14:textId="77777777" w:rsidR="0078100E" w:rsidRPr="001E0D0A" w:rsidRDefault="0078100E" w:rsidP="0078100E">
            <w:pPr>
              <w:pStyle w:val="Paragraphedeliste"/>
              <w:numPr>
                <w:ilvl w:val="0"/>
                <w:numId w:val="932"/>
              </w:numPr>
              <w:spacing w:after="0" w:line="240" w:lineRule="auto"/>
              <w:rPr>
                <w:rFonts w:eastAsia="Times New Roman"/>
                <w:sz w:val="18"/>
                <w:szCs w:val="18"/>
                <w:lang w:val="en-US"/>
              </w:rPr>
            </w:pPr>
            <w:r w:rsidRPr="001E0D0A">
              <w:rPr>
                <w:rFonts w:eastAsia="Times New Roman"/>
                <w:sz w:val="18"/>
                <w:szCs w:val="18"/>
                <w:lang w:val="en-US"/>
              </w:rPr>
              <w:t xml:space="preserve">to support the launch of two Hackathons for young entrepreneurs in Bamako to select innovative projects related to sustainable urban services, </w:t>
            </w:r>
            <w:proofErr w:type="gramStart"/>
            <w:r w:rsidRPr="001E0D0A">
              <w:rPr>
                <w:rFonts w:eastAsia="Times New Roman"/>
                <w:sz w:val="18"/>
                <w:szCs w:val="18"/>
                <w:lang w:val="en-US"/>
              </w:rPr>
              <w:t>40 man</w:t>
            </w:r>
            <w:proofErr w:type="gramEnd"/>
            <w:r w:rsidRPr="001E0D0A">
              <w:rPr>
                <w:rFonts w:eastAsia="Times New Roman"/>
                <w:sz w:val="18"/>
                <w:szCs w:val="18"/>
                <w:lang w:val="en-US"/>
              </w:rPr>
              <w:t xml:space="preserve"> day x 250$</w:t>
            </w:r>
          </w:p>
        </w:tc>
      </w:tr>
      <w:tr w:rsidR="0078100E" w:rsidRPr="00F50786" w14:paraId="6C137B6E" w14:textId="77777777" w:rsidTr="00441D01">
        <w:trPr>
          <w:gridAfter w:val="1"/>
          <w:wAfter w:w="160" w:type="dxa"/>
          <w:trHeight w:val="794"/>
        </w:trPr>
        <w:tc>
          <w:tcPr>
            <w:tcW w:w="954" w:type="dxa"/>
            <w:tcBorders>
              <w:top w:val="nil"/>
              <w:left w:val="single" w:sz="4" w:space="0" w:color="auto"/>
              <w:bottom w:val="single" w:sz="4" w:space="0" w:color="auto"/>
              <w:right w:val="single" w:sz="4" w:space="0" w:color="auto"/>
            </w:tcBorders>
            <w:hideMark/>
          </w:tcPr>
          <w:p w14:paraId="5E69B169"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lastRenderedPageBreak/>
              <w:t>3</w:t>
            </w:r>
          </w:p>
        </w:tc>
        <w:tc>
          <w:tcPr>
            <w:tcW w:w="12926" w:type="dxa"/>
            <w:tcBorders>
              <w:top w:val="nil"/>
              <w:left w:val="single" w:sz="4" w:space="0" w:color="auto"/>
              <w:bottom w:val="single" w:sz="4" w:space="0" w:color="auto"/>
              <w:right w:val="single" w:sz="4" w:space="0" w:color="auto"/>
            </w:tcBorders>
            <w:hideMark/>
          </w:tcPr>
          <w:p w14:paraId="17C7EE73"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This budget is allocated to cover20% PM salary:</w:t>
            </w:r>
            <w:r w:rsidRPr="00BB4B25">
              <w:rPr>
                <w:rFonts w:eastAsia="Times New Roman"/>
                <w:color w:val="000000"/>
                <w:sz w:val="18"/>
                <w:szCs w:val="18"/>
                <w:lang w:val="en-US"/>
              </w:rPr>
              <w:br/>
              <w:t>(</w:t>
            </w:r>
            <w:proofErr w:type="spellStart"/>
            <w:r w:rsidRPr="00BB4B25">
              <w:rPr>
                <w:rFonts w:eastAsia="Times New Roman"/>
                <w:color w:val="000000"/>
                <w:sz w:val="18"/>
                <w:szCs w:val="18"/>
                <w:lang w:val="en-US"/>
              </w:rPr>
              <w:t>i</w:t>
            </w:r>
            <w:proofErr w:type="spellEnd"/>
            <w:r w:rsidRPr="00BB4B25">
              <w:rPr>
                <w:rFonts w:eastAsia="Times New Roman"/>
                <w:color w:val="000000"/>
                <w:sz w:val="18"/>
                <w:szCs w:val="18"/>
                <w:lang w:val="en-US"/>
              </w:rPr>
              <w:t xml:space="preserve">) Pro rata costs of contractual appointment of the Project Manager (20%xthe salary @ US$3225/month over 5 </w:t>
            </w:r>
            <w:proofErr w:type="gramStart"/>
            <w:r w:rsidRPr="00BB4B25">
              <w:rPr>
                <w:rFonts w:eastAsia="Times New Roman"/>
                <w:color w:val="000000"/>
                <w:sz w:val="18"/>
                <w:szCs w:val="18"/>
                <w:lang w:val="en-US"/>
              </w:rPr>
              <w:t>year )</w:t>
            </w:r>
            <w:proofErr w:type="gramEnd"/>
            <w:r w:rsidRPr="00BB4B25">
              <w:rPr>
                <w:rFonts w:eastAsia="Times New Roman"/>
                <w:color w:val="000000"/>
                <w:sz w:val="18"/>
                <w:szCs w:val="18"/>
                <w:lang w:val="en-US"/>
              </w:rPr>
              <w:t xml:space="preserve"> to perform technical assistance to component1 (outcome 1.1) (See Annex 7  for detailed TOR) - U$38,700</w:t>
            </w:r>
          </w:p>
        </w:tc>
      </w:tr>
      <w:tr w:rsidR="008631EE" w:rsidRPr="00D6663F" w14:paraId="6A7E79A1" w14:textId="77777777" w:rsidTr="00441D01">
        <w:trPr>
          <w:gridAfter w:val="1"/>
          <w:wAfter w:w="160" w:type="dxa"/>
          <w:trHeight w:val="2494"/>
        </w:trPr>
        <w:tc>
          <w:tcPr>
            <w:tcW w:w="954" w:type="dxa"/>
            <w:tcBorders>
              <w:top w:val="nil"/>
              <w:left w:val="single" w:sz="4" w:space="0" w:color="auto"/>
              <w:bottom w:val="single" w:sz="4" w:space="0" w:color="auto"/>
              <w:right w:val="single" w:sz="4" w:space="0" w:color="auto"/>
            </w:tcBorders>
            <w:hideMark/>
          </w:tcPr>
          <w:p w14:paraId="42731A01"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4</w:t>
            </w:r>
          </w:p>
        </w:tc>
        <w:tc>
          <w:tcPr>
            <w:tcW w:w="12926" w:type="dxa"/>
            <w:tcBorders>
              <w:top w:val="nil"/>
              <w:left w:val="single" w:sz="4" w:space="0" w:color="auto"/>
              <w:bottom w:val="single" w:sz="4" w:space="0" w:color="auto"/>
              <w:right w:val="single" w:sz="4" w:space="0" w:color="auto"/>
            </w:tcBorders>
            <w:hideMark/>
          </w:tcPr>
          <w:p w14:paraId="54B979B2" w14:textId="77777777" w:rsidR="0078100E" w:rsidRPr="00BB4B25" w:rsidRDefault="0078100E" w:rsidP="00441D01">
            <w:pPr>
              <w:spacing w:after="0" w:line="240" w:lineRule="auto"/>
              <w:rPr>
                <w:rFonts w:eastAsia="Times New Roman"/>
                <w:sz w:val="18"/>
                <w:szCs w:val="18"/>
                <w:lang w:val="en-US"/>
              </w:rPr>
            </w:pPr>
            <w:r w:rsidRPr="00BB4B25">
              <w:rPr>
                <w:rFonts w:eastAsia="Times New Roman"/>
                <w:b/>
                <w:bCs/>
                <w:sz w:val="18"/>
                <w:szCs w:val="18"/>
                <w:lang w:val="en-US"/>
              </w:rPr>
              <w:t>8 Consortium/Consultancy Firms:</w:t>
            </w:r>
            <w:r w:rsidRPr="00BB4B25">
              <w:rPr>
                <w:rFonts w:eastAsia="Times New Roman"/>
                <w:sz w:val="18"/>
                <w:szCs w:val="18"/>
                <w:lang w:val="en-US"/>
              </w:rPr>
              <w:br/>
              <w:t>1- to update national urban policy,  for 10 months $70k</w:t>
            </w:r>
            <w:r w:rsidRPr="00BB4B25">
              <w:rPr>
                <w:rFonts w:eastAsia="Times New Roman"/>
                <w:sz w:val="18"/>
                <w:szCs w:val="18"/>
                <w:lang w:val="en-US"/>
              </w:rPr>
              <w:br/>
              <w:t>2- to develop a Study to Strengthening Spatial Planning and Land Governance in the future Unified District of Bamako  (assess the governance and coherence of spatial planning tools and Elaboration of 4 land use plan for 4 municipalities) over 24 months 131k$</w:t>
            </w:r>
            <w:r w:rsidRPr="00BB4B25">
              <w:rPr>
                <w:rFonts w:eastAsia="Times New Roman"/>
                <w:sz w:val="18"/>
                <w:szCs w:val="18"/>
                <w:lang w:val="en-US"/>
              </w:rPr>
              <w:br/>
              <w:t xml:space="preserve">3- for the development of a Master Plan for the economic attractiveness of Greater Bamako and its territorial marketing plan – $90,000 over 18 months. </w:t>
            </w:r>
            <w:r w:rsidRPr="00BB4B25">
              <w:rPr>
                <w:rFonts w:eastAsia="Times New Roman"/>
                <w:sz w:val="18"/>
                <w:szCs w:val="18"/>
                <w:lang w:val="en-US"/>
              </w:rPr>
              <w:br/>
              <w:t>4-</w:t>
            </w:r>
            <w:r w:rsidRPr="00BB4B25">
              <w:rPr>
                <w:rFonts w:eastAsia="Times New Roman"/>
                <w:color w:val="FF0000"/>
                <w:sz w:val="18"/>
                <w:szCs w:val="18"/>
                <w:lang w:val="en-US"/>
              </w:rPr>
              <w:t xml:space="preserve"> t</w:t>
            </w:r>
            <w:r w:rsidRPr="00BB4B25">
              <w:rPr>
                <w:rFonts w:eastAsia="Times New Roman"/>
                <w:sz w:val="18"/>
                <w:szCs w:val="18"/>
                <w:lang w:val="en-US"/>
              </w:rPr>
              <w:t>o carry out strategic study for the creation of secondary connected urban hubs around Bamako,  $79,350k over 14-month .</w:t>
            </w:r>
            <w:r w:rsidRPr="00BB4B25">
              <w:rPr>
                <w:rFonts w:eastAsia="Times New Roman"/>
                <w:sz w:val="18"/>
                <w:szCs w:val="18"/>
                <w:lang w:val="en-US"/>
              </w:rPr>
              <w:br/>
              <w:t>5-to carry out the National Transport Policy Review over a period of 9 months $50k</w:t>
            </w:r>
            <w:r w:rsidRPr="00BB4B25">
              <w:rPr>
                <w:rFonts w:eastAsia="Times New Roman"/>
                <w:sz w:val="18"/>
                <w:szCs w:val="18"/>
                <w:lang w:val="en-US"/>
              </w:rPr>
              <w:br/>
              <w:t xml:space="preserve">6- to develop a National Sustainable Waste Management Strategy and WEEE Pilot Implementation in Bamako over 16 months, </w:t>
            </w:r>
            <w:r w:rsidRPr="00BB4B25">
              <w:rPr>
                <w:rFonts w:eastAsia="Times New Roman"/>
                <w:color w:val="FF0000"/>
                <w:sz w:val="18"/>
                <w:szCs w:val="18"/>
                <w:lang w:val="en-US"/>
              </w:rPr>
              <w:t>$62.5k</w:t>
            </w:r>
            <w:r w:rsidRPr="00BB4B25">
              <w:rPr>
                <w:rFonts w:eastAsia="Times New Roman"/>
                <w:sz w:val="18"/>
                <w:szCs w:val="18"/>
                <w:lang w:val="en-US"/>
              </w:rPr>
              <w:br/>
              <w:t>7- to  Design and implement a national and territorial capacity-building plan on integrated urban planning for NDUPH and IUDP stakeholders, 70k$ for 36 months</w:t>
            </w:r>
            <w:r w:rsidRPr="00BB4B25">
              <w:rPr>
                <w:rFonts w:eastAsia="Times New Roman"/>
                <w:sz w:val="18"/>
                <w:szCs w:val="18"/>
                <w:lang w:val="en-US"/>
              </w:rPr>
              <w:br/>
              <w:t>8- to conduct a Study on the development of an Information System (Transport and Environment Sector) over 18 months,45k$</w:t>
            </w:r>
            <w:r w:rsidRPr="00BB4B25">
              <w:rPr>
                <w:rFonts w:eastAsia="Times New Roman"/>
                <w:sz w:val="18"/>
                <w:szCs w:val="18"/>
                <w:lang w:val="en-US"/>
              </w:rPr>
              <w:br/>
              <w:t>Total amount 597,850$</w:t>
            </w:r>
          </w:p>
        </w:tc>
      </w:tr>
      <w:tr w:rsidR="0078100E" w:rsidRPr="00F50786" w14:paraId="4001980D" w14:textId="77777777" w:rsidTr="00441D01">
        <w:trPr>
          <w:gridAfter w:val="1"/>
          <w:wAfter w:w="160" w:type="dxa"/>
          <w:trHeight w:val="1757"/>
        </w:trPr>
        <w:tc>
          <w:tcPr>
            <w:tcW w:w="954" w:type="dxa"/>
            <w:tcBorders>
              <w:top w:val="nil"/>
              <w:left w:val="single" w:sz="4" w:space="0" w:color="auto"/>
              <w:bottom w:val="single" w:sz="4" w:space="0" w:color="auto"/>
              <w:right w:val="single" w:sz="4" w:space="0" w:color="auto"/>
            </w:tcBorders>
            <w:hideMark/>
          </w:tcPr>
          <w:p w14:paraId="110CF8C5"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5</w:t>
            </w:r>
          </w:p>
        </w:tc>
        <w:tc>
          <w:tcPr>
            <w:tcW w:w="12926" w:type="dxa"/>
            <w:tcBorders>
              <w:top w:val="nil"/>
              <w:left w:val="single" w:sz="4" w:space="0" w:color="auto"/>
              <w:bottom w:val="single" w:sz="4" w:space="0" w:color="auto"/>
              <w:right w:val="single" w:sz="4" w:space="0" w:color="auto"/>
            </w:tcBorders>
            <w:hideMark/>
          </w:tcPr>
          <w:p w14:paraId="39B06AE5"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b/>
                <w:bCs/>
                <w:color w:val="000000"/>
                <w:sz w:val="18"/>
                <w:szCs w:val="18"/>
                <w:lang w:val="en-US"/>
              </w:rPr>
              <w:t xml:space="preserve">Cost of travel </w:t>
            </w:r>
            <w:proofErr w:type="gramStart"/>
            <w:r w:rsidRPr="00BB4B25">
              <w:rPr>
                <w:rFonts w:eastAsia="Times New Roman"/>
                <w:b/>
                <w:bCs/>
                <w:color w:val="000000"/>
                <w:sz w:val="18"/>
                <w:szCs w:val="18"/>
                <w:lang w:val="en-US"/>
              </w:rPr>
              <w:t>for :</w:t>
            </w:r>
            <w:proofErr w:type="gramEnd"/>
            <w:r w:rsidRPr="00BB4B25">
              <w:rPr>
                <w:rFonts w:eastAsia="Times New Roman"/>
                <w:b/>
                <w:bCs/>
                <w:color w:val="000000"/>
                <w:sz w:val="18"/>
                <w:szCs w:val="18"/>
                <w:lang w:val="en-US"/>
              </w:rPr>
              <w:t xml:space="preserve"> </w:t>
            </w:r>
            <w:r w:rsidRPr="00BB4B25">
              <w:rPr>
                <w:rFonts w:eastAsia="Times New Roman"/>
                <w:b/>
                <w:bCs/>
                <w:color w:val="000000"/>
                <w:sz w:val="18"/>
                <w:szCs w:val="18"/>
                <w:lang w:val="en-US"/>
              </w:rPr>
              <w:br/>
            </w:r>
            <w:r w:rsidRPr="00BB4B25">
              <w:rPr>
                <w:rFonts w:eastAsia="Times New Roman"/>
                <w:color w:val="000000"/>
                <w:sz w:val="18"/>
                <w:szCs w:val="18"/>
                <w:lang w:val="en-US"/>
              </w:rPr>
              <w:t>1-   The study tour destination will be identified by the consultancy firm during the implementation of the national and territorial capacity-building plan on integrated urban planning. 800$* 5 + 2000$*5 = $14k,</w:t>
            </w:r>
            <w:r w:rsidRPr="00BB4B25">
              <w:rPr>
                <w:rFonts w:eastAsia="Times New Roman"/>
                <w:color w:val="000000"/>
                <w:sz w:val="18"/>
                <w:szCs w:val="18"/>
                <w:lang w:val="en-US"/>
              </w:rPr>
              <w:br/>
              <w:t>2- Mission for NDUPH  to operationalize the easement and building permit (DSA 223$ Bamako x3 nights x10 people) x 3 years, total 20,070$</w:t>
            </w:r>
            <w:r w:rsidRPr="00BB4B25">
              <w:rPr>
                <w:rFonts w:eastAsia="Times New Roman"/>
                <w:color w:val="000000"/>
                <w:sz w:val="18"/>
                <w:szCs w:val="18"/>
                <w:lang w:val="en-US"/>
              </w:rPr>
              <w:br/>
              <w:t xml:space="preserve"> 3- study tour in one of the Ouest African or northern African cities on eradicating slum and financing urban planning  800 * 3 + $2000 *3 = $8400 + 1600usd frais divers (visa, </w:t>
            </w:r>
            <w:proofErr w:type="spellStart"/>
            <w:r w:rsidRPr="00BB4B25">
              <w:rPr>
                <w:rFonts w:eastAsia="Times New Roman"/>
                <w:color w:val="000000"/>
                <w:sz w:val="18"/>
                <w:szCs w:val="18"/>
                <w:lang w:val="en-US"/>
              </w:rPr>
              <w:t>etc</w:t>
            </w:r>
            <w:proofErr w:type="spellEnd"/>
            <w:r w:rsidRPr="00BB4B25">
              <w:rPr>
                <w:rFonts w:eastAsia="Times New Roman"/>
                <w:color w:val="000000"/>
                <w:sz w:val="18"/>
                <w:szCs w:val="18"/>
                <w:lang w:val="en-US"/>
              </w:rPr>
              <w:t>) (this study tour will be organized in the framework of the activity Elaboration of an integrated program for urban regeneration and development of eco-neighborhoods in Greater Bamako)</w:t>
            </w:r>
          </w:p>
        </w:tc>
      </w:tr>
      <w:tr w:rsidR="008631EE" w:rsidRPr="00F50786" w14:paraId="478423FB" w14:textId="77777777" w:rsidTr="00441D01">
        <w:trPr>
          <w:gridAfter w:val="1"/>
          <w:wAfter w:w="160" w:type="dxa"/>
          <w:trHeight w:val="1077"/>
        </w:trPr>
        <w:tc>
          <w:tcPr>
            <w:tcW w:w="954" w:type="dxa"/>
            <w:tcBorders>
              <w:top w:val="nil"/>
              <w:left w:val="single" w:sz="4" w:space="0" w:color="auto"/>
              <w:bottom w:val="single" w:sz="4" w:space="0" w:color="auto"/>
              <w:right w:val="single" w:sz="4" w:space="0" w:color="auto"/>
            </w:tcBorders>
            <w:hideMark/>
          </w:tcPr>
          <w:p w14:paraId="183301CB"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6</w:t>
            </w:r>
          </w:p>
        </w:tc>
        <w:tc>
          <w:tcPr>
            <w:tcW w:w="12926" w:type="dxa"/>
            <w:tcBorders>
              <w:top w:val="nil"/>
              <w:left w:val="single" w:sz="4" w:space="0" w:color="auto"/>
              <w:bottom w:val="single" w:sz="4" w:space="0" w:color="auto"/>
              <w:right w:val="single" w:sz="4" w:space="0" w:color="auto"/>
            </w:tcBorders>
            <w:hideMark/>
          </w:tcPr>
          <w:p w14:paraId="77D87EC4" w14:textId="77777777" w:rsidR="0078100E" w:rsidRPr="00BB4B25" w:rsidRDefault="0078100E" w:rsidP="00441D01">
            <w:pPr>
              <w:tabs>
                <w:tab w:val="left" w:pos="9672"/>
              </w:tabs>
              <w:spacing w:after="0" w:line="240" w:lineRule="auto"/>
              <w:rPr>
                <w:rFonts w:eastAsia="Times New Roman"/>
                <w:sz w:val="18"/>
                <w:szCs w:val="18"/>
                <w:lang w:val="en-US"/>
              </w:rPr>
            </w:pPr>
            <w:r w:rsidRPr="00BB4B25">
              <w:rPr>
                <w:rFonts w:eastAsia="Times New Roman"/>
                <w:sz w:val="18"/>
                <w:szCs w:val="18"/>
                <w:lang w:val="en-US"/>
              </w:rPr>
              <w:t xml:space="preserve">2 Grants for </w:t>
            </w:r>
            <w:r w:rsidRPr="00BB4B25">
              <w:rPr>
                <w:rFonts w:eastAsia="Times New Roman"/>
                <w:sz w:val="18"/>
                <w:szCs w:val="18"/>
                <w:lang w:val="en-US"/>
              </w:rPr>
              <w:br/>
              <w:t>1- ENI ABT to initiate a project to capitalize on and scale up the new laboratory for analyzing fuelwood for cooking, 20k$</w:t>
            </w:r>
            <w:r w:rsidRPr="00BB4B25">
              <w:rPr>
                <w:rFonts w:eastAsia="Times New Roman"/>
                <w:sz w:val="18"/>
                <w:szCs w:val="18"/>
                <w:lang w:val="en-US"/>
              </w:rPr>
              <w:br/>
              <w:t>2- The winners of two Hackathon for young entrepreneurs in Bamako on innovative projects related to sustainable urban services,40 k$</w:t>
            </w:r>
          </w:p>
        </w:tc>
      </w:tr>
      <w:tr w:rsidR="008631EE" w:rsidRPr="00F50786" w14:paraId="6F0942C7" w14:textId="77777777" w:rsidTr="00441D01">
        <w:trPr>
          <w:gridAfter w:val="1"/>
          <w:wAfter w:w="160" w:type="dxa"/>
          <w:trHeight w:val="1928"/>
        </w:trPr>
        <w:tc>
          <w:tcPr>
            <w:tcW w:w="954" w:type="dxa"/>
            <w:tcBorders>
              <w:top w:val="nil"/>
              <w:left w:val="single" w:sz="4" w:space="0" w:color="auto"/>
              <w:bottom w:val="single" w:sz="4" w:space="0" w:color="auto"/>
              <w:right w:val="single" w:sz="4" w:space="0" w:color="auto"/>
            </w:tcBorders>
            <w:hideMark/>
          </w:tcPr>
          <w:p w14:paraId="33653AE9"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7</w:t>
            </w:r>
          </w:p>
        </w:tc>
        <w:tc>
          <w:tcPr>
            <w:tcW w:w="12926" w:type="dxa"/>
            <w:tcBorders>
              <w:top w:val="nil"/>
              <w:left w:val="single" w:sz="4" w:space="0" w:color="auto"/>
              <w:bottom w:val="single" w:sz="4" w:space="0" w:color="auto"/>
              <w:right w:val="single" w:sz="4" w:space="0" w:color="auto"/>
            </w:tcBorders>
            <w:hideMark/>
          </w:tcPr>
          <w:p w14:paraId="4D91D79B" w14:textId="77777777" w:rsidR="0078100E" w:rsidRPr="00BB4B25" w:rsidRDefault="0078100E" w:rsidP="00441D01">
            <w:pPr>
              <w:spacing w:after="0" w:line="240" w:lineRule="auto"/>
              <w:rPr>
                <w:rFonts w:eastAsia="Times New Roman"/>
                <w:sz w:val="18"/>
                <w:szCs w:val="18"/>
                <w:lang w:val="en-US"/>
              </w:rPr>
            </w:pPr>
            <w:r w:rsidRPr="00BB4B25">
              <w:rPr>
                <w:rFonts w:eastAsia="Times New Roman"/>
                <w:sz w:val="18"/>
                <w:szCs w:val="18"/>
                <w:lang w:val="en-US"/>
              </w:rPr>
              <w:t xml:space="preserve">36 Training and workshops for the activities divided as following:  </w:t>
            </w:r>
            <w:r w:rsidRPr="00BB4B25">
              <w:rPr>
                <w:rFonts w:eastAsia="Times New Roman"/>
                <w:sz w:val="18"/>
                <w:szCs w:val="18"/>
                <w:lang w:val="en-US"/>
              </w:rPr>
              <w:br/>
              <w:t>the output 1.1.1: 23 workshops</w:t>
            </w:r>
            <w:r w:rsidRPr="00BB4B25">
              <w:rPr>
                <w:rFonts w:eastAsia="Times New Roman"/>
                <w:sz w:val="18"/>
                <w:szCs w:val="18"/>
                <w:lang w:val="en-US"/>
              </w:rPr>
              <w:br/>
              <w:t xml:space="preserve"> the output 1.1.2: 6 training and workshops and </w:t>
            </w:r>
            <w:r w:rsidRPr="00BB4B25">
              <w:rPr>
                <w:rFonts w:eastAsia="Times New Roman"/>
                <w:sz w:val="18"/>
                <w:szCs w:val="18"/>
                <w:lang w:val="en-US"/>
              </w:rPr>
              <w:br/>
              <w:t>The output 1.1.3 7 trainings and workshops</w:t>
            </w:r>
            <w:r w:rsidRPr="00BB4B25">
              <w:rPr>
                <w:rFonts w:eastAsia="Times New Roman"/>
                <w:sz w:val="18"/>
                <w:szCs w:val="18"/>
                <w:lang w:val="en-US"/>
              </w:rPr>
              <w:br/>
              <w:t xml:space="preserve"> The average cost of the workshop is 2500$ for 60pax </w:t>
            </w:r>
            <w:r w:rsidRPr="00BB4B25">
              <w:rPr>
                <w:rFonts w:eastAsia="Times New Roman"/>
                <w:sz w:val="18"/>
                <w:szCs w:val="18"/>
                <w:lang w:val="en-US"/>
              </w:rPr>
              <w:br/>
            </w:r>
            <w:r w:rsidRPr="00BB4B25">
              <w:rPr>
                <w:rFonts w:eastAsia="Times New Roman"/>
                <w:color w:val="FF0000"/>
                <w:sz w:val="18"/>
                <w:szCs w:val="18"/>
                <w:lang w:val="en-US"/>
              </w:rPr>
              <w:t>2 workshops x 6000$ each (Hackathon) for output 1.1.3. for a total amount of 12,000$</w:t>
            </w:r>
            <w:r w:rsidRPr="00BB4B25">
              <w:rPr>
                <w:rFonts w:eastAsia="Times New Roman"/>
                <w:color w:val="FF0000"/>
                <w:sz w:val="18"/>
                <w:szCs w:val="18"/>
                <w:lang w:val="en-US"/>
              </w:rPr>
              <w:br/>
            </w:r>
            <w:r w:rsidRPr="00BB4B25">
              <w:rPr>
                <w:rFonts w:eastAsia="Times New Roman"/>
                <w:sz w:val="18"/>
                <w:szCs w:val="18"/>
                <w:lang w:val="en-US"/>
              </w:rPr>
              <w:t xml:space="preserve"> the 4 meeting </w:t>
            </w:r>
            <w:proofErr w:type="gramStart"/>
            <w:r w:rsidRPr="00BB4B25">
              <w:rPr>
                <w:rFonts w:eastAsia="Times New Roman"/>
                <w:sz w:val="18"/>
                <w:szCs w:val="18"/>
                <w:lang w:val="en-US"/>
              </w:rPr>
              <w:t>( Platform</w:t>
            </w:r>
            <w:proofErr w:type="gramEnd"/>
            <w:r w:rsidRPr="00BB4B25">
              <w:rPr>
                <w:rFonts w:eastAsia="Times New Roman"/>
                <w:sz w:val="18"/>
                <w:szCs w:val="18"/>
                <w:lang w:val="en-US"/>
              </w:rPr>
              <w:t xml:space="preserve"> for coordination 1.1.2) the cost is 600$ x 4</w:t>
            </w:r>
          </w:p>
        </w:tc>
      </w:tr>
      <w:tr w:rsidR="0078100E" w:rsidRPr="00F50786" w14:paraId="329CEC78" w14:textId="77777777" w:rsidTr="00441D01">
        <w:trPr>
          <w:gridAfter w:val="1"/>
          <w:wAfter w:w="160" w:type="dxa"/>
          <w:trHeight w:val="340"/>
        </w:trPr>
        <w:tc>
          <w:tcPr>
            <w:tcW w:w="954" w:type="dxa"/>
            <w:tcBorders>
              <w:top w:val="nil"/>
              <w:left w:val="single" w:sz="4" w:space="0" w:color="auto"/>
              <w:bottom w:val="single" w:sz="4" w:space="0" w:color="auto"/>
              <w:right w:val="single" w:sz="4" w:space="0" w:color="auto"/>
            </w:tcBorders>
            <w:hideMark/>
          </w:tcPr>
          <w:p w14:paraId="5153B498"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8</w:t>
            </w:r>
          </w:p>
        </w:tc>
        <w:tc>
          <w:tcPr>
            <w:tcW w:w="12926" w:type="dxa"/>
            <w:tcBorders>
              <w:top w:val="nil"/>
              <w:left w:val="single" w:sz="4" w:space="0" w:color="auto"/>
              <w:bottom w:val="single" w:sz="4" w:space="0" w:color="auto"/>
              <w:right w:val="single" w:sz="4" w:space="0" w:color="auto"/>
            </w:tcBorders>
            <w:hideMark/>
          </w:tcPr>
          <w:p w14:paraId="1343FF11"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Cost of printing and communication materials for Activity 1.1.1.5 (10k$)</w:t>
            </w:r>
          </w:p>
        </w:tc>
      </w:tr>
      <w:tr w:rsidR="0078100E" w:rsidRPr="00F50786" w14:paraId="38022B6D" w14:textId="77777777" w:rsidTr="00441D01">
        <w:trPr>
          <w:gridAfter w:val="1"/>
          <w:wAfter w:w="160" w:type="dxa"/>
          <w:trHeight w:val="288"/>
        </w:trPr>
        <w:tc>
          <w:tcPr>
            <w:tcW w:w="954" w:type="dxa"/>
            <w:tcBorders>
              <w:top w:val="nil"/>
              <w:left w:val="single" w:sz="4" w:space="0" w:color="auto"/>
              <w:bottom w:val="single" w:sz="4" w:space="0" w:color="auto"/>
              <w:right w:val="single" w:sz="4" w:space="0" w:color="auto"/>
            </w:tcBorders>
            <w:hideMark/>
          </w:tcPr>
          <w:p w14:paraId="49288166"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9</w:t>
            </w:r>
          </w:p>
        </w:tc>
        <w:tc>
          <w:tcPr>
            <w:tcW w:w="12926" w:type="dxa"/>
            <w:tcBorders>
              <w:top w:val="nil"/>
              <w:left w:val="single" w:sz="4" w:space="0" w:color="auto"/>
              <w:bottom w:val="single" w:sz="4" w:space="0" w:color="auto"/>
              <w:right w:val="single" w:sz="4" w:space="0" w:color="auto"/>
            </w:tcBorders>
            <w:hideMark/>
          </w:tcPr>
          <w:p w14:paraId="31F8FCAC"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 xml:space="preserve">Purchase of IT equipment and software for the two municipalities benefitting from the GIS support, for a total of 10k$ </w:t>
            </w:r>
          </w:p>
        </w:tc>
      </w:tr>
      <w:tr w:rsidR="0078100E" w:rsidRPr="00F50786" w14:paraId="65AE2EC9" w14:textId="77777777" w:rsidTr="00441D01">
        <w:trPr>
          <w:gridAfter w:val="1"/>
          <w:wAfter w:w="160" w:type="dxa"/>
          <w:trHeight w:val="1531"/>
        </w:trPr>
        <w:tc>
          <w:tcPr>
            <w:tcW w:w="954" w:type="dxa"/>
            <w:tcBorders>
              <w:top w:val="nil"/>
              <w:left w:val="single" w:sz="4" w:space="0" w:color="auto"/>
              <w:bottom w:val="single" w:sz="4" w:space="0" w:color="auto"/>
              <w:right w:val="single" w:sz="4" w:space="0" w:color="auto"/>
            </w:tcBorders>
            <w:hideMark/>
          </w:tcPr>
          <w:p w14:paraId="4648BF60" w14:textId="77777777" w:rsidR="0078100E" w:rsidRPr="00BB4B25" w:rsidRDefault="0078100E" w:rsidP="00441D01">
            <w:pPr>
              <w:spacing w:after="0" w:line="240" w:lineRule="auto"/>
              <w:rPr>
                <w:rFonts w:eastAsia="Times New Roman"/>
                <w:sz w:val="18"/>
                <w:szCs w:val="18"/>
              </w:rPr>
            </w:pPr>
            <w:r w:rsidRPr="00BB4B25">
              <w:rPr>
                <w:rFonts w:eastAsia="Times New Roman"/>
                <w:sz w:val="18"/>
                <w:szCs w:val="18"/>
              </w:rPr>
              <w:lastRenderedPageBreak/>
              <w:t>10</w:t>
            </w:r>
          </w:p>
        </w:tc>
        <w:tc>
          <w:tcPr>
            <w:tcW w:w="12926" w:type="dxa"/>
            <w:tcBorders>
              <w:top w:val="nil"/>
              <w:left w:val="single" w:sz="4" w:space="0" w:color="auto"/>
              <w:bottom w:val="single" w:sz="4" w:space="0" w:color="auto"/>
              <w:right w:val="single" w:sz="4" w:space="0" w:color="auto"/>
            </w:tcBorders>
            <w:hideMark/>
          </w:tcPr>
          <w:p w14:paraId="6FE2AA5A" w14:textId="77777777" w:rsidR="0078100E" w:rsidRPr="00BB4B25" w:rsidRDefault="0078100E" w:rsidP="00441D01">
            <w:pPr>
              <w:spacing w:after="0" w:line="240" w:lineRule="auto"/>
              <w:rPr>
                <w:rFonts w:eastAsia="Times New Roman"/>
                <w:sz w:val="18"/>
                <w:szCs w:val="18"/>
                <w:lang w:val="en-US"/>
              </w:rPr>
            </w:pPr>
            <w:r w:rsidRPr="00BB4B25">
              <w:rPr>
                <w:rFonts w:eastAsia="Times New Roman"/>
                <w:b/>
                <w:bCs/>
                <w:sz w:val="18"/>
                <w:szCs w:val="18"/>
                <w:lang w:val="en-US"/>
              </w:rPr>
              <w:t xml:space="preserve">4 Consortium or Consultancy Firms </w:t>
            </w:r>
            <w:r w:rsidRPr="00BB4B25">
              <w:rPr>
                <w:rFonts w:eastAsia="Times New Roman"/>
                <w:sz w:val="18"/>
                <w:szCs w:val="18"/>
                <w:lang w:val="en-US"/>
              </w:rPr>
              <w:br/>
              <w:t xml:space="preserve">1- to elaborate the zero slums </w:t>
            </w:r>
            <w:proofErr w:type="spellStart"/>
            <w:r w:rsidRPr="00BB4B25">
              <w:rPr>
                <w:rFonts w:eastAsia="Times New Roman"/>
                <w:sz w:val="18"/>
                <w:szCs w:val="18"/>
                <w:lang w:val="en-US"/>
              </w:rPr>
              <w:t>programme</w:t>
            </w:r>
            <w:proofErr w:type="spellEnd"/>
            <w:r w:rsidRPr="00BB4B25">
              <w:rPr>
                <w:rFonts w:eastAsia="Times New Roman"/>
                <w:sz w:val="18"/>
                <w:szCs w:val="18"/>
                <w:lang w:val="en-US"/>
              </w:rPr>
              <w:t xml:space="preserve"> and prepare feasibility studies (site security, approach, </w:t>
            </w:r>
            <w:proofErr w:type="spellStart"/>
            <w:r w:rsidRPr="00BB4B25">
              <w:rPr>
                <w:rFonts w:eastAsia="Times New Roman"/>
                <w:sz w:val="18"/>
                <w:szCs w:val="18"/>
                <w:lang w:val="en-US"/>
              </w:rPr>
              <w:t>etc</w:t>
            </w:r>
            <w:proofErr w:type="spellEnd"/>
            <w:r w:rsidRPr="00BB4B25">
              <w:rPr>
                <w:rFonts w:eastAsia="Times New Roman"/>
                <w:sz w:val="18"/>
                <w:szCs w:val="18"/>
                <w:lang w:val="en-US"/>
              </w:rPr>
              <w:t>) $70k over 18 months (activity 1,1,1,5)</w:t>
            </w:r>
            <w:r w:rsidRPr="00BB4B25">
              <w:rPr>
                <w:rFonts w:eastAsia="Times New Roman"/>
                <w:sz w:val="18"/>
                <w:szCs w:val="18"/>
                <w:lang w:val="en-US"/>
              </w:rPr>
              <w:br/>
              <w:t>2-  Prepare 4 EIES for the land use plans of the 4 urban municipalities over 18months 60k$ (activity 1.1.1.2)</w:t>
            </w:r>
            <w:r w:rsidRPr="00BB4B25">
              <w:rPr>
                <w:rFonts w:eastAsia="Times New Roman"/>
                <w:sz w:val="18"/>
                <w:szCs w:val="18"/>
                <w:lang w:val="en-US"/>
              </w:rPr>
              <w:br/>
              <w:t xml:space="preserve">3- to carry out a 14-month strategic study for the creation of secondary connected urban hubs (contribution of UNDP of $10,650 to the </w:t>
            </w:r>
            <w:proofErr w:type="spellStart"/>
            <w:r w:rsidRPr="00BB4B25">
              <w:rPr>
                <w:rFonts w:eastAsia="Times New Roman"/>
                <w:sz w:val="18"/>
                <w:szCs w:val="18"/>
                <w:lang w:val="en-US"/>
              </w:rPr>
              <w:t>activit</w:t>
            </w:r>
            <w:proofErr w:type="spellEnd"/>
            <w:r w:rsidRPr="00BB4B25">
              <w:rPr>
                <w:rFonts w:eastAsia="Times New Roman"/>
                <w:sz w:val="18"/>
                <w:szCs w:val="18"/>
                <w:lang w:val="en-US"/>
              </w:rPr>
              <w:t xml:space="preserve"> 1.1.1.4). 4-to carry out the National Transport Policy Review over a period of 9 </w:t>
            </w:r>
            <w:proofErr w:type="gramStart"/>
            <w:r w:rsidRPr="00BB4B25">
              <w:rPr>
                <w:rFonts w:eastAsia="Times New Roman"/>
                <w:sz w:val="18"/>
                <w:szCs w:val="18"/>
                <w:lang w:val="en-US"/>
              </w:rPr>
              <w:t>months  (</w:t>
            </w:r>
            <w:proofErr w:type="gramEnd"/>
            <w:r w:rsidRPr="00BB4B25">
              <w:rPr>
                <w:rFonts w:eastAsia="Times New Roman"/>
                <w:sz w:val="18"/>
                <w:szCs w:val="18"/>
                <w:lang w:val="en-US"/>
              </w:rPr>
              <w:t>contribution of UNDP $30k to the activity 1.1.2.1)</w:t>
            </w:r>
            <w:r w:rsidRPr="00BB4B25">
              <w:rPr>
                <w:rFonts w:eastAsia="Times New Roman"/>
                <w:sz w:val="18"/>
                <w:szCs w:val="18"/>
                <w:lang w:val="en-US"/>
              </w:rPr>
              <w:br/>
              <w:t>Total amount: 170,650$</w:t>
            </w:r>
          </w:p>
        </w:tc>
      </w:tr>
      <w:tr w:rsidR="0078100E" w:rsidRPr="00F50786" w14:paraId="4E32CA7F" w14:textId="77777777" w:rsidTr="00441D01">
        <w:trPr>
          <w:gridAfter w:val="1"/>
          <w:wAfter w:w="160" w:type="dxa"/>
          <w:trHeight w:val="885"/>
        </w:trPr>
        <w:tc>
          <w:tcPr>
            <w:tcW w:w="954" w:type="dxa"/>
            <w:tcBorders>
              <w:top w:val="nil"/>
              <w:left w:val="single" w:sz="4" w:space="0" w:color="auto"/>
              <w:bottom w:val="nil"/>
              <w:right w:val="single" w:sz="4" w:space="0" w:color="auto"/>
            </w:tcBorders>
            <w:hideMark/>
          </w:tcPr>
          <w:p w14:paraId="6645CB08" w14:textId="77777777" w:rsidR="0078100E" w:rsidRPr="00BB4B25" w:rsidRDefault="0078100E" w:rsidP="00441D01">
            <w:pPr>
              <w:spacing w:after="0" w:line="240" w:lineRule="auto"/>
              <w:rPr>
                <w:rFonts w:eastAsia="Times New Roman"/>
                <w:i/>
                <w:iCs/>
                <w:sz w:val="18"/>
                <w:szCs w:val="18"/>
              </w:rPr>
            </w:pPr>
            <w:r w:rsidRPr="00BB4B25">
              <w:rPr>
                <w:rFonts w:eastAsia="Times New Roman"/>
                <w:i/>
                <w:iCs/>
                <w:sz w:val="18"/>
                <w:szCs w:val="18"/>
              </w:rPr>
              <w:t>11</w:t>
            </w:r>
          </w:p>
        </w:tc>
        <w:tc>
          <w:tcPr>
            <w:tcW w:w="12926" w:type="dxa"/>
            <w:tcBorders>
              <w:top w:val="nil"/>
              <w:left w:val="single" w:sz="4" w:space="0" w:color="auto"/>
              <w:bottom w:val="single" w:sz="4" w:space="0" w:color="auto"/>
              <w:right w:val="single" w:sz="4" w:space="0" w:color="auto"/>
            </w:tcBorders>
            <w:hideMark/>
          </w:tcPr>
          <w:p w14:paraId="1E8ACEF8"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 xml:space="preserve">International urban planning expert (60h/d x $700 over 5 years) providing ad hoc support for strategic reviews and important </w:t>
            </w:r>
            <w:proofErr w:type="spellStart"/>
            <w:r w:rsidRPr="00BB4B25">
              <w:rPr>
                <w:rFonts w:eastAsia="Times New Roman"/>
                <w:color w:val="000000"/>
                <w:sz w:val="18"/>
                <w:szCs w:val="18"/>
                <w:lang w:val="en-US"/>
              </w:rPr>
              <w:t>ToRs</w:t>
            </w:r>
            <w:proofErr w:type="spellEnd"/>
            <w:r w:rsidRPr="00BB4B25">
              <w:rPr>
                <w:rFonts w:eastAsia="Times New Roman"/>
                <w:color w:val="000000"/>
                <w:sz w:val="18"/>
                <w:szCs w:val="18"/>
                <w:lang w:val="en-US"/>
              </w:rPr>
              <w:t>.</w:t>
            </w:r>
          </w:p>
        </w:tc>
      </w:tr>
      <w:tr w:rsidR="0078100E" w:rsidRPr="00F50786" w14:paraId="4402AB80" w14:textId="77777777" w:rsidTr="00441D01">
        <w:trPr>
          <w:gridAfter w:val="1"/>
          <w:wAfter w:w="160" w:type="dxa"/>
          <w:trHeight w:val="885"/>
        </w:trPr>
        <w:tc>
          <w:tcPr>
            <w:tcW w:w="954" w:type="dxa"/>
            <w:tcBorders>
              <w:top w:val="single" w:sz="4" w:space="0" w:color="000000"/>
              <w:left w:val="single" w:sz="4" w:space="0" w:color="000000"/>
              <w:bottom w:val="single" w:sz="4" w:space="0" w:color="000000"/>
              <w:right w:val="single" w:sz="4" w:space="0" w:color="000000"/>
            </w:tcBorders>
            <w:hideMark/>
          </w:tcPr>
          <w:p w14:paraId="0D8F5224" w14:textId="77777777" w:rsidR="0078100E" w:rsidRPr="00BB4B25" w:rsidRDefault="0078100E" w:rsidP="00441D01">
            <w:pPr>
              <w:spacing w:after="0" w:line="240" w:lineRule="auto"/>
              <w:rPr>
                <w:rFonts w:eastAsia="Times New Roman"/>
                <w:i/>
                <w:iCs/>
                <w:sz w:val="18"/>
                <w:szCs w:val="18"/>
              </w:rPr>
            </w:pPr>
            <w:r w:rsidRPr="00BB4B25">
              <w:rPr>
                <w:rFonts w:eastAsia="Times New Roman"/>
                <w:i/>
                <w:iCs/>
                <w:sz w:val="18"/>
                <w:szCs w:val="18"/>
              </w:rPr>
              <w:t>12</w:t>
            </w:r>
          </w:p>
        </w:tc>
        <w:tc>
          <w:tcPr>
            <w:tcW w:w="12926" w:type="dxa"/>
            <w:tcBorders>
              <w:top w:val="nil"/>
              <w:left w:val="nil"/>
              <w:bottom w:val="single" w:sz="4" w:space="0" w:color="auto"/>
              <w:right w:val="single" w:sz="4" w:space="0" w:color="auto"/>
            </w:tcBorders>
            <w:hideMark/>
          </w:tcPr>
          <w:p w14:paraId="4E4EE70D"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National consultant to support the Organization of a regional/international conference on financing integrated, green, inclusive and resilient urban development in Bamako, 40 man/day x 250$ </w:t>
            </w:r>
          </w:p>
        </w:tc>
      </w:tr>
      <w:tr w:rsidR="0078100E" w:rsidRPr="00F50786" w14:paraId="4254E0C4" w14:textId="77777777" w:rsidTr="00441D01">
        <w:trPr>
          <w:gridAfter w:val="1"/>
          <w:wAfter w:w="160" w:type="dxa"/>
          <w:trHeight w:val="768"/>
        </w:trPr>
        <w:tc>
          <w:tcPr>
            <w:tcW w:w="954" w:type="dxa"/>
            <w:tcBorders>
              <w:top w:val="nil"/>
              <w:left w:val="single" w:sz="4" w:space="0" w:color="auto"/>
              <w:bottom w:val="single" w:sz="4" w:space="0" w:color="auto"/>
              <w:right w:val="single" w:sz="4" w:space="0" w:color="auto"/>
            </w:tcBorders>
            <w:hideMark/>
          </w:tcPr>
          <w:p w14:paraId="357A15CF" w14:textId="77777777" w:rsidR="0078100E" w:rsidRPr="00BB4B25" w:rsidRDefault="0078100E" w:rsidP="00441D01">
            <w:pPr>
              <w:spacing w:after="0" w:line="240" w:lineRule="auto"/>
              <w:rPr>
                <w:rFonts w:eastAsia="Times New Roman"/>
                <w:i/>
                <w:iCs/>
                <w:sz w:val="18"/>
                <w:szCs w:val="18"/>
              </w:rPr>
            </w:pPr>
            <w:r w:rsidRPr="00BB4B25">
              <w:rPr>
                <w:rFonts w:eastAsia="Times New Roman"/>
                <w:i/>
                <w:iCs/>
                <w:sz w:val="18"/>
                <w:szCs w:val="18"/>
              </w:rPr>
              <w:t>13</w:t>
            </w:r>
          </w:p>
        </w:tc>
        <w:tc>
          <w:tcPr>
            <w:tcW w:w="12926" w:type="dxa"/>
            <w:tcBorders>
              <w:top w:val="nil"/>
              <w:left w:val="single" w:sz="4" w:space="0" w:color="auto"/>
              <w:bottom w:val="single" w:sz="4" w:space="0" w:color="auto"/>
              <w:right w:val="single" w:sz="4" w:space="0" w:color="auto"/>
            </w:tcBorders>
            <w:hideMark/>
          </w:tcPr>
          <w:p w14:paraId="27A3648B" w14:textId="77777777" w:rsidR="0078100E" w:rsidRPr="00BB4B25" w:rsidRDefault="0078100E" w:rsidP="00441D01">
            <w:pPr>
              <w:spacing w:after="0" w:line="240" w:lineRule="auto"/>
              <w:rPr>
                <w:rFonts w:eastAsia="Times New Roman"/>
                <w:sz w:val="18"/>
                <w:szCs w:val="18"/>
                <w:lang w:val="en-US"/>
              </w:rPr>
            </w:pPr>
            <w:r w:rsidRPr="00BB4B25">
              <w:rPr>
                <w:rFonts w:eastAsia="Times New Roman"/>
                <w:sz w:val="18"/>
                <w:szCs w:val="18"/>
                <w:lang w:val="en-US"/>
              </w:rPr>
              <w:t>This budget is allocated to cover10% PM salary:</w:t>
            </w:r>
            <w:r w:rsidRPr="00BB4B25">
              <w:rPr>
                <w:rFonts w:eastAsia="Times New Roman"/>
                <w:sz w:val="18"/>
                <w:szCs w:val="18"/>
                <w:lang w:val="en-US"/>
              </w:rPr>
              <w:br/>
              <w:t>(</w:t>
            </w:r>
            <w:proofErr w:type="spellStart"/>
            <w:r w:rsidRPr="00BB4B25">
              <w:rPr>
                <w:rFonts w:eastAsia="Times New Roman"/>
                <w:sz w:val="18"/>
                <w:szCs w:val="18"/>
                <w:lang w:val="en-US"/>
              </w:rPr>
              <w:t>i</w:t>
            </w:r>
            <w:proofErr w:type="spellEnd"/>
            <w:r w:rsidRPr="00BB4B25">
              <w:rPr>
                <w:rFonts w:eastAsia="Times New Roman"/>
                <w:sz w:val="18"/>
                <w:szCs w:val="18"/>
                <w:lang w:val="en-US"/>
              </w:rPr>
              <w:t>) Pro rata costs of contractual appointment of the Project Manager (10%xthe salary @ US$3225/</w:t>
            </w:r>
            <w:proofErr w:type="gramStart"/>
            <w:r w:rsidRPr="00BB4B25">
              <w:rPr>
                <w:rFonts w:eastAsia="Times New Roman"/>
                <w:sz w:val="18"/>
                <w:szCs w:val="18"/>
                <w:lang w:val="en-US"/>
              </w:rPr>
              <w:t>month  year</w:t>
            </w:r>
            <w:proofErr w:type="gramEnd"/>
            <w:r w:rsidRPr="00BB4B25">
              <w:rPr>
                <w:rFonts w:eastAsia="Times New Roman"/>
                <w:sz w:val="18"/>
                <w:szCs w:val="18"/>
                <w:lang w:val="en-US"/>
              </w:rPr>
              <w:t xml:space="preserve"> 1&amp;5 ) to perform technical assistance to component1 (outcome 1.2) (See Annex 7  for detailed TOR) - U$19,350</w:t>
            </w:r>
          </w:p>
        </w:tc>
      </w:tr>
      <w:tr w:rsidR="0078100E" w:rsidRPr="00BB4B25" w14:paraId="3AFF1C71" w14:textId="77777777" w:rsidTr="00441D01">
        <w:trPr>
          <w:gridAfter w:val="1"/>
          <w:wAfter w:w="160" w:type="dxa"/>
          <w:trHeight w:val="1361"/>
        </w:trPr>
        <w:tc>
          <w:tcPr>
            <w:tcW w:w="954" w:type="dxa"/>
            <w:tcBorders>
              <w:top w:val="nil"/>
              <w:left w:val="single" w:sz="4" w:space="0" w:color="auto"/>
              <w:bottom w:val="single" w:sz="4" w:space="0" w:color="auto"/>
              <w:right w:val="single" w:sz="4" w:space="0" w:color="auto"/>
            </w:tcBorders>
            <w:hideMark/>
          </w:tcPr>
          <w:p w14:paraId="4D3FA8DA"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14</w:t>
            </w:r>
          </w:p>
        </w:tc>
        <w:tc>
          <w:tcPr>
            <w:tcW w:w="12926" w:type="dxa"/>
            <w:tcBorders>
              <w:top w:val="nil"/>
              <w:left w:val="single" w:sz="4" w:space="0" w:color="auto"/>
              <w:bottom w:val="single" w:sz="4" w:space="0" w:color="auto"/>
              <w:right w:val="single" w:sz="4" w:space="0" w:color="auto"/>
            </w:tcBorders>
            <w:hideMark/>
          </w:tcPr>
          <w:p w14:paraId="1E3D9162"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b/>
                <w:bCs/>
                <w:color w:val="000000"/>
                <w:sz w:val="18"/>
                <w:szCs w:val="18"/>
                <w:lang w:val="en-US"/>
              </w:rPr>
              <w:t xml:space="preserve">2 consultancy firms </w:t>
            </w:r>
            <w:r w:rsidRPr="00BB4B25">
              <w:rPr>
                <w:rFonts w:eastAsia="Times New Roman"/>
                <w:color w:val="000000"/>
                <w:sz w:val="18"/>
                <w:szCs w:val="18"/>
                <w:lang w:val="en-US"/>
              </w:rPr>
              <w:t>:</w:t>
            </w:r>
            <w:r w:rsidRPr="00BB4B25">
              <w:rPr>
                <w:rFonts w:eastAsia="Times New Roman"/>
                <w:color w:val="000000"/>
                <w:sz w:val="18"/>
                <w:szCs w:val="18"/>
                <w:lang w:val="en-US"/>
              </w:rPr>
              <w:br/>
              <w:t>1-  to Setting up a digital information and transparency helpdesk for the private sector in Bamako, 50k$ over 9 months (Activity 1,2,1,3)</w:t>
            </w:r>
            <w:r w:rsidRPr="00BB4B25">
              <w:rPr>
                <w:rFonts w:eastAsia="Times New Roman"/>
                <w:color w:val="000000"/>
                <w:sz w:val="18"/>
                <w:szCs w:val="18"/>
                <w:lang w:val="en-US"/>
              </w:rPr>
              <w:br/>
              <w:t>2- to Develop an Enabling Environment and Innovative Financing Mechanism for Private Investment in Sustainable Urban Sectors in Bamako  ) over 20 months 140k$  (Activity 1.2.1.1), including a Communication agency to Publicize the PAAEDC-DB BKO and integrate it into the innovative financing mechanism. Over 9 months for 40k$ (Activity 1,2,1,2)</w:t>
            </w:r>
          </w:p>
        </w:tc>
      </w:tr>
      <w:tr w:rsidR="008631EE" w:rsidRPr="00F50786" w14:paraId="1263DD73" w14:textId="77777777" w:rsidTr="00441D01">
        <w:trPr>
          <w:gridAfter w:val="1"/>
          <w:wAfter w:w="160" w:type="dxa"/>
          <w:trHeight w:val="567"/>
        </w:trPr>
        <w:tc>
          <w:tcPr>
            <w:tcW w:w="954" w:type="dxa"/>
            <w:tcBorders>
              <w:top w:val="nil"/>
              <w:left w:val="single" w:sz="4" w:space="0" w:color="auto"/>
              <w:bottom w:val="single" w:sz="4" w:space="0" w:color="auto"/>
              <w:right w:val="single" w:sz="4" w:space="0" w:color="auto"/>
            </w:tcBorders>
            <w:hideMark/>
          </w:tcPr>
          <w:p w14:paraId="67F2EB99"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15</w:t>
            </w:r>
          </w:p>
        </w:tc>
        <w:tc>
          <w:tcPr>
            <w:tcW w:w="12926" w:type="dxa"/>
            <w:tcBorders>
              <w:top w:val="nil"/>
              <w:left w:val="single" w:sz="4" w:space="0" w:color="auto"/>
              <w:bottom w:val="single" w:sz="4" w:space="0" w:color="auto"/>
              <w:right w:val="single" w:sz="4" w:space="0" w:color="auto"/>
            </w:tcBorders>
            <w:hideMark/>
          </w:tcPr>
          <w:p w14:paraId="6D453089" w14:textId="77777777" w:rsidR="0078100E" w:rsidRPr="00BB4B25" w:rsidRDefault="0078100E" w:rsidP="00441D01">
            <w:pPr>
              <w:spacing w:after="0" w:line="240" w:lineRule="auto"/>
              <w:rPr>
                <w:rFonts w:eastAsia="Times New Roman"/>
                <w:color w:val="FF0000"/>
                <w:sz w:val="18"/>
                <w:szCs w:val="18"/>
                <w:lang w:val="en-US"/>
              </w:rPr>
            </w:pPr>
            <w:r w:rsidRPr="00BB4B25">
              <w:rPr>
                <w:rFonts w:eastAsia="Times New Roman"/>
                <w:color w:val="FF0000"/>
                <w:sz w:val="18"/>
                <w:szCs w:val="18"/>
                <w:lang w:val="en-US"/>
              </w:rPr>
              <w:t xml:space="preserve">7 Trainings and workshop (for 17,500$ = 2500$ x7 (for 60pax approximately per workshop) and Organization of a regional/international </w:t>
            </w:r>
            <w:proofErr w:type="gramStart"/>
            <w:r w:rsidRPr="00BB4B25">
              <w:rPr>
                <w:rFonts w:eastAsia="Times New Roman"/>
                <w:color w:val="FF0000"/>
                <w:sz w:val="18"/>
                <w:szCs w:val="18"/>
                <w:lang w:val="en-US"/>
              </w:rPr>
              <w:t>conference  (</w:t>
            </w:r>
            <w:proofErr w:type="gramEnd"/>
            <w:r w:rsidRPr="00BB4B25">
              <w:rPr>
                <w:rFonts w:eastAsia="Times New Roman"/>
                <w:color w:val="FF0000"/>
                <w:sz w:val="18"/>
                <w:szCs w:val="18"/>
                <w:lang w:val="en-US"/>
              </w:rPr>
              <w:t>40,000$) for Output 1.2.1 ((Activity 1,2,1,4)) for a total amount of 57,500$</w:t>
            </w:r>
          </w:p>
        </w:tc>
      </w:tr>
      <w:tr w:rsidR="0078100E" w:rsidRPr="00F50786" w14:paraId="38D61D93" w14:textId="77777777" w:rsidTr="00441D01">
        <w:trPr>
          <w:gridAfter w:val="1"/>
          <w:wAfter w:w="160" w:type="dxa"/>
          <w:trHeight w:val="1410"/>
        </w:trPr>
        <w:tc>
          <w:tcPr>
            <w:tcW w:w="954" w:type="dxa"/>
            <w:tcBorders>
              <w:top w:val="nil"/>
              <w:left w:val="single" w:sz="4" w:space="0" w:color="auto"/>
              <w:bottom w:val="single" w:sz="4" w:space="0" w:color="auto"/>
              <w:right w:val="single" w:sz="4" w:space="0" w:color="auto"/>
            </w:tcBorders>
            <w:hideMark/>
          </w:tcPr>
          <w:p w14:paraId="1C334AFD"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16</w:t>
            </w:r>
          </w:p>
        </w:tc>
        <w:tc>
          <w:tcPr>
            <w:tcW w:w="12926" w:type="dxa"/>
            <w:tcBorders>
              <w:top w:val="nil"/>
              <w:left w:val="single" w:sz="4" w:space="0" w:color="auto"/>
              <w:bottom w:val="single" w:sz="4" w:space="0" w:color="auto"/>
              <w:right w:val="single" w:sz="4" w:space="0" w:color="auto"/>
            </w:tcBorders>
            <w:hideMark/>
          </w:tcPr>
          <w:p w14:paraId="76D086F3" w14:textId="77777777" w:rsidR="0078100E" w:rsidRPr="00BB4B25" w:rsidRDefault="0078100E" w:rsidP="00441D01">
            <w:pPr>
              <w:spacing w:after="240" w:line="240" w:lineRule="auto"/>
              <w:rPr>
                <w:rFonts w:eastAsia="Times New Roman"/>
                <w:color w:val="000000"/>
                <w:sz w:val="18"/>
                <w:szCs w:val="18"/>
                <w:lang w:val="en-US"/>
              </w:rPr>
            </w:pPr>
            <w:r w:rsidRPr="00BB4B25">
              <w:rPr>
                <w:rFonts w:eastAsia="Times New Roman"/>
                <w:color w:val="000000"/>
                <w:sz w:val="18"/>
                <w:szCs w:val="18"/>
                <w:lang w:val="en-US"/>
              </w:rPr>
              <w:br/>
              <w:t xml:space="preserve">Travel cost for 2 from the Africa region and one from a city belonging to the GPSC to the conference to be held in the 5th year of the project to share their experience in financing integrated urban development. </w:t>
            </w:r>
            <w:r w:rsidRPr="00BB4B25">
              <w:rPr>
                <w:rFonts w:eastAsia="Times New Roman"/>
                <w:color w:val="000000"/>
                <w:sz w:val="18"/>
                <w:szCs w:val="18"/>
                <w:lang w:val="en-US"/>
              </w:rPr>
              <w:br/>
              <w:t>t</w:t>
            </w:r>
            <w:r w:rsidRPr="00BB4B25">
              <w:rPr>
                <w:rFonts w:eastAsia="Times New Roman"/>
                <w:b/>
                <w:bCs/>
                <w:color w:val="000000"/>
                <w:sz w:val="18"/>
                <w:szCs w:val="18"/>
                <w:lang w:val="en-US"/>
              </w:rPr>
              <w:t>hree persons</w:t>
            </w:r>
            <w:r w:rsidRPr="00BB4B25">
              <w:rPr>
                <w:rFonts w:eastAsia="Times New Roman"/>
                <w:color w:val="000000"/>
                <w:sz w:val="18"/>
                <w:szCs w:val="18"/>
                <w:lang w:val="en-US"/>
              </w:rPr>
              <w:t xml:space="preserve">: air ticket: 1500 </w:t>
            </w:r>
            <w:proofErr w:type="spellStart"/>
            <w:r w:rsidRPr="00BB4B25">
              <w:rPr>
                <w:rFonts w:eastAsia="Times New Roman"/>
                <w:color w:val="000000"/>
                <w:sz w:val="18"/>
                <w:szCs w:val="18"/>
                <w:lang w:val="en-US"/>
              </w:rPr>
              <w:t>usd</w:t>
            </w:r>
            <w:proofErr w:type="spellEnd"/>
            <w:r w:rsidRPr="00BB4B25">
              <w:rPr>
                <w:rFonts w:eastAsia="Times New Roman"/>
                <w:color w:val="000000"/>
                <w:sz w:val="18"/>
                <w:szCs w:val="18"/>
                <w:lang w:val="en-US"/>
              </w:rPr>
              <w:t xml:space="preserve"> x 3 persons + 223 </w:t>
            </w:r>
            <w:proofErr w:type="spellStart"/>
            <w:r w:rsidRPr="00BB4B25">
              <w:rPr>
                <w:rFonts w:eastAsia="Times New Roman"/>
                <w:color w:val="000000"/>
                <w:sz w:val="18"/>
                <w:szCs w:val="18"/>
                <w:lang w:val="en-US"/>
              </w:rPr>
              <w:t>usd</w:t>
            </w:r>
            <w:proofErr w:type="spellEnd"/>
            <w:r w:rsidRPr="00BB4B25">
              <w:rPr>
                <w:rFonts w:eastAsia="Times New Roman"/>
                <w:color w:val="000000"/>
                <w:sz w:val="18"/>
                <w:szCs w:val="18"/>
                <w:lang w:val="en-US"/>
              </w:rPr>
              <w:t xml:space="preserve"> DSA Bamako x 4 nights x 3 persons + 499 </w:t>
            </w:r>
            <w:proofErr w:type="spellStart"/>
            <w:r w:rsidRPr="00BB4B25">
              <w:rPr>
                <w:rFonts w:eastAsia="Times New Roman"/>
                <w:color w:val="000000"/>
                <w:sz w:val="18"/>
                <w:szCs w:val="18"/>
                <w:lang w:val="en-US"/>
              </w:rPr>
              <w:t>usd</w:t>
            </w:r>
            <w:proofErr w:type="spellEnd"/>
            <w:r w:rsidRPr="00BB4B25">
              <w:rPr>
                <w:rFonts w:eastAsia="Times New Roman"/>
                <w:color w:val="000000"/>
                <w:sz w:val="18"/>
                <w:szCs w:val="18"/>
                <w:lang w:val="en-US"/>
              </w:rPr>
              <w:t xml:space="preserve"> visa cost / </w:t>
            </w:r>
            <w:proofErr w:type="gramStart"/>
            <w:r w:rsidRPr="00BB4B25">
              <w:rPr>
                <w:rFonts w:eastAsia="Times New Roman"/>
                <w:color w:val="000000"/>
                <w:sz w:val="18"/>
                <w:szCs w:val="18"/>
                <w:lang w:val="en-US"/>
              </w:rPr>
              <w:t>total :</w:t>
            </w:r>
            <w:proofErr w:type="gramEnd"/>
            <w:r w:rsidRPr="00BB4B25">
              <w:rPr>
                <w:rFonts w:eastAsia="Times New Roman"/>
                <w:color w:val="000000"/>
                <w:sz w:val="18"/>
                <w:szCs w:val="18"/>
                <w:lang w:val="en-US"/>
              </w:rPr>
              <w:t xml:space="preserve"> 7,675$.</w:t>
            </w:r>
          </w:p>
        </w:tc>
      </w:tr>
      <w:tr w:rsidR="0078100E" w:rsidRPr="00F50786" w14:paraId="756885AE" w14:textId="77777777" w:rsidTr="00441D01">
        <w:trPr>
          <w:gridAfter w:val="1"/>
          <w:wAfter w:w="160" w:type="dxa"/>
          <w:trHeight w:val="1065"/>
        </w:trPr>
        <w:tc>
          <w:tcPr>
            <w:tcW w:w="954" w:type="dxa"/>
            <w:tcBorders>
              <w:top w:val="nil"/>
              <w:left w:val="single" w:sz="4" w:space="0" w:color="auto"/>
              <w:bottom w:val="single" w:sz="4" w:space="0" w:color="auto"/>
              <w:right w:val="single" w:sz="4" w:space="0" w:color="auto"/>
            </w:tcBorders>
            <w:hideMark/>
          </w:tcPr>
          <w:p w14:paraId="09396FA4"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17</w:t>
            </w:r>
          </w:p>
        </w:tc>
        <w:tc>
          <w:tcPr>
            <w:tcW w:w="12926" w:type="dxa"/>
            <w:tcBorders>
              <w:top w:val="nil"/>
              <w:left w:val="single" w:sz="4" w:space="0" w:color="auto"/>
              <w:bottom w:val="single" w:sz="4" w:space="0" w:color="auto"/>
              <w:right w:val="single" w:sz="4" w:space="0" w:color="auto"/>
            </w:tcBorders>
            <w:hideMark/>
          </w:tcPr>
          <w:p w14:paraId="7B7C94E1"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All cost of printing and communication materials for the activity Organization of a regional/international conference on financing integrated, green, inclusive and resilient urban development in Bamako, 10k$ (Activity 1,2,1,4)</w:t>
            </w:r>
          </w:p>
        </w:tc>
      </w:tr>
      <w:tr w:rsidR="0078100E" w:rsidRPr="00F50786" w14:paraId="50B8F36D" w14:textId="77777777" w:rsidTr="00441D01">
        <w:trPr>
          <w:gridAfter w:val="1"/>
          <w:wAfter w:w="160" w:type="dxa"/>
          <w:trHeight w:val="1080"/>
        </w:trPr>
        <w:tc>
          <w:tcPr>
            <w:tcW w:w="954" w:type="dxa"/>
            <w:tcBorders>
              <w:top w:val="nil"/>
              <w:left w:val="single" w:sz="4" w:space="0" w:color="auto"/>
              <w:bottom w:val="single" w:sz="4" w:space="0" w:color="auto"/>
              <w:right w:val="single" w:sz="4" w:space="0" w:color="auto"/>
            </w:tcBorders>
            <w:hideMark/>
          </w:tcPr>
          <w:p w14:paraId="45DD4D7C"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lastRenderedPageBreak/>
              <w:t>18</w:t>
            </w:r>
          </w:p>
        </w:tc>
        <w:tc>
          <w:tcPr>
            <w:tcW w:w="12926" w:type="dxa"/>
            <w:tcBorders>
              <w:top w:val="nil"/>
              <w:left w:val="single" w:sz="4" w:space="0" w:color="auto"/>
              <w:bottom w:val="single" w:sz="4" w:space="0" w:color="auto"/>
              <w:right w:val="single" w:sz="4" w:space="0" w:color="auto"/>
            </w:tcBorders>
            <w:hideMark/>
          </w:tcPr>
          <w:p w14:paraId="55F26FD4"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 xml:space="preserve">Add hoc sustainable transport and e-mobility senior international expert 80h/j *500$ = 40k$  </w:t>
            </w:r>
            <w:r w:rsidRPr="00BB4B25">
              <w:rPr>
                <w:rFonts w:eastAsia="Times New Roman"/>
                <w:color w:val="000000"/>
                <w:sz w:val="18"/>
                <w:szCs w:val="18"/>
                <w:lang w:val="en-US"/>
              </w:rPr>
              <w:br/>
              <w:t xml:space="preserve">  Implementation of an urban air quality monitoring system: an international consultant to support the capacity of DNCPAN in monitoring environmental quality measurement (guide + training) (70man/day * 600$ ^= $42 </w:t>
            </w:r>
            <w:proofErr w:type="gramStart"/>
            <w:r w:rsidRPr="00BB4B25">
              <w:rPr>
                <w:rFonts w:eastAsia="Times New Roman"/>
                <w:color w:val="000000"/>
                <w:sz w:val="18"/>
                <w:szCs w:val="18"/>
                <w:lang w:val="en-US"/>
              </w:rPr>
              <w:t>k )</w:t>
            </w:r>
            <w:proofErr w:type="gramEnd"/>
            <w:r w:rsidRPr="00BB4B25">
              <w:rPr>
                <w:rFonts w:eastAsia="Times New Roman"/>
                <w:color w:val="000000"/>
                <w:sz w:val="18"/>
                <w:szCs w:val="18"/>
                <w:lang w:val="en-US"/>
              </w:rPr>
              <w:t xml:space="preserve"> over 18 months </w:t>
            </w:r>
          </w:p>
        </w:tc>
      </w:tr>
      <w:tr w:rsidR="0078100E" w:rsidRPr="00F50786" w14:paraId="4780A123" w14:textId="77777777" w:rsidTr="00441D01">
        <w:trPr>
          <w:gridAfter w:val="1"/>
          <w:wAfter w:w="160" w:type="dxa"/>
          <w:trHeight w:val="752"/>
        </w:trPr>
        <w:tc>
          <w:tcPr>
            <w:tcW w:w="954" w:type="dxa"/>
            <w:tcBorders>
              <w:top w:val="nil"/>
              <w:left w:val="single" w:sz="4" w:space="0" w:color="auto"/>
              <w:bottom w:val="single" w:sz="4" w:space="0" w:color="auto"/>
              <w:right w:val="single" w:sz="4" w:space="0" w:color="auto"/>
            </w:tcBorders>
            <w:hideMark/>
          </w:tcPr>
          <w:p w14:paraId="625F8D83"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19</w:t>
            </w:r>
          </w:p>
        </w:tc>
        <w:tc>
          <w:tcPr>
            <w:tcW w:w="12926" w:type="dxa"/>
            <w:tcBorders>
              <w:top w:val="nil"/>
              <w:left w:val="single" w:sz="4" w:space="0" w:color="auto"/>
              <w:bottom w:val="single" w:sz="4" w:space="0" w:color="auto"/>
              <w:right w:val="single" w:sz="4" w:space="0" w:color="auto"/>
            </w:tcBorders>
            <w:hideMark/>
          </w:tcPr>
          <w:p w14:paraId="06C4D088"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b/>
                <w:bCs/>
                <w:color w:val="000000"/>
                <w:sz w:val="18"/>
                <w:szCs w:val="18"/>
                <w:lang w:val="en-US"/>
              </w:rPr>
              <w:t>2 national consultants:</w:t>
            </w:r>
            <w:r w:rsidRPr="00BB4B25">
              <w:rPr>
                <w:rFonts w:eastAsia="Times New Roman"/>
                <w:b/>
                <w:bCs/>
                <w:color w:val="000000"/>
                <w:sz w:val="18"/>
                <w:szCs w:val="18"/>
                <w:lang w:val="en-US"/>
              </w:rPr>
              <w:br/>
            </w:r>
            <w:r w:rsidRPr="00BB4B25">
              <w:rPr>
                <w:rFonts w:eastAsia="Times New Roman"/>
                <w:color w:val="000000"/>
                <w:sz w:val="18"/>
                <w:szCs w:val="18"/>
                <w:lang w:val="en-US"/>
              </w:rPr>
              <w:t xml:space="preserve">1- </w:t>
            </w:r>
            <w:proofErr w:type="spellStart"/>
            <w:proofErr w:type="gramStart"/>
            <w:r w:rsidRPr="00BB4B25">
              <w:rPr>
                <w:rFonts w:eastAsia="Times New Roman"/>
                <w:color w:val="000000"/>
                <w:sz w:val="18"/>
                <w:szCs w:val="18"/>
                <w:lang w:val="en-US"/>
              </w:rPr>
              <w:t>Add</w:t>
            </w:r>
            <w:proofErr w:type="spellEnd"/>
            <w:proofErr w:type="gramEnd"/>
            <w:r w:rsidRPr="00BB4B25">
              <w:rPr>
                <w:rFonts w:eastAsia="Times New Roman"/>
                <w:color w:val="000000"/>
                <w:sz w:val="18"/>
                <w:szCs w:val="18"/>
                <w:lang w:val="en-US"/>
              </w:rPr>
              <w:t xml:space="preserve"> hoc sustainable transport and e-mobility expert 80h/j * rate of a man/day 300$ = 24k$  </w:t>
            </w:r>
            <w:r w:rsidRPr="00BB4B25">
              <w:rPr>
                <w:rFonts w:eastAsia="Times New Roman"/>
                <w:color w:val="000000"/>
                <w:sz w:val="18"/>
                <w:szCs w:val="18"/>
                <w:lang w:val="en-US"/>
              </w:rPr>
              <w:br/>
              <w:t xml:space="preserve"> 2- to Support the organization of transporters into Economic Interest Groups (EIGs), 60man/day x rate of 250$ the man/day over 12 months (15,000$)</w:t>
            </w:r>
            <w:r w:rsidRPr="00BB4B25">
              <w:rPr>
                <w:rFonts w:eastAsia="Times New Roman"/>
                <w:color w:val="000000"/>
                <w:sz w:val="18"/>
                <w:szCs w:val="18"/>
                <w:lang w:val="en-US"/>
              </w:rPr>
              <w:br/>
              <w:t>Total 24,000+15000 = 39,000$</w:t>
            </w:r>
          </w:p>
        </w:tc>
      </w:tr>
      <w:tr w:rsidR="008631EE" w:rsidRPr="00BB4B25" w14:paraId="15DF59E1" w14:textId="77777777" w:rsidTr="00441D01">
        <w:trPr>
          <w:gridAfter w:val="1"/>
          <w:wAfter w:w="160" w:type="dxa"/>
          <w:trHeight w:val="3912"/>
        </w:trPr>
        <w:tc>
          <w:tcPr>
            <w:tcW w:w="954" w:type="dxa"/>
            <w:tcBorders>
              <w:top w:val="nil"/>
              <w:left w:val="single" w:sz="4" w:space="0" w:color="auto"/>
              <w:bottom w:val="single" w:sz="4" w:space="0" w:color="auto"/>
              <w:right w:val="single" w:sz="4" w:space="0" w:color="auto"/>
            </w:tcBorders>
            <w:hideMark/>
          </w:tcPr>
          <w:p w14:paraId="2CB28A3E"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20</w:t>
            </w:r>
          </w:p>
        </w:tc>
        <w:tc>
          <w:tcPr>
            <w:tcW w:w="12926" w:type="dxa"/>
            <w:tcBorders>
              <w:top w:val="nil"/>
              <w:left w:val="single" w:sz="4" w:space="0" w:color="auto"/>
              <w:bottom w:val="single" w:sz="4" w:space="0" w:color="auto"/>
              <w:right w:val="single" w:sz="4" w:space="0" w:color="auto"/>
            </w:tcBorders>
            <w:hideMark/>
          </w:tcPr>
          <w:p w14:paraId="586E2DC9" w14:textId="77777777" w:rsidR="0078100E" w:rsidRPr="00BB4B25" w:rsidRDefault="0078100E" w:rsidP="00441D01">
            <w:pPr>
              <w:spacing w:after="0" w:line="240" w:lineRule="auto"/>
              <w:rPr>
                <w:rFonts w:eastAsia="Times New Roman"/>
                <w:color w:val="000000"/>
                <w:sz w:val="18"/>
                <w:szCs w:val="18"/>
              </w:rPr>
            </w:pPr>
            <w:r w:rsidRPr="00BB4B25">
              <w:rPr>
                <w:rFonts w:eastAsia="Times New Roman"/>
                <w:b/>
                <w:bCs/>
                <w:color w:val="FF0000"/>
                <w:sz w:val="18"/>
                <w:szCs w:val="18"/>
                <w:lang w:val="en-US"/>
              </w:rPr>
              <w:t>10 Consultancy firms:</w:t>
            </w:r>
            <w:r w:rsidRPr="00BB4B25">
              <w:rPr>
                <w:rFonts w:eastAsia="Times New Roman"/>
                <w:color w:val="FF0000"/>
                <w:sz w:val="18"/>
                <w:szCs w:val="18"/>
                <w:lang w:val="en-US"/>
              </w:rPr>
              <w:br/>
              <w:t xml:space="preserve">1-  to design and implement a Capacity-building program for private transport operators (SOTRAMA, Taxi, Tipper trucks, etc.), intercity bus </w:t>
            </w:r>
            <w:proofErr w:type="spellStart"/>
            <w:r w:rsidRPr="00BB4B25">
              <w:rPr>
                <w:rFonts w:eastAsia="Times New Roman"/>
                <w:color w:val="FF0000"/>
                <w:sz w:val="18"/>
                <w:szCs w:val="18"/>
                <w:lang w:val="en-US"/>
              </w:rPr>
              <w:t>campanies</w:t>
            </w:r>
            <w:proofErr w:type="spellEnd"/>
            <w:r w:rsidRPr="00BB4B25">
              <w:rPr>
                <w:rFonts w:eastAsia="Times New Roman"/>
                <w:color w:val="FF0000"/>
                <w:sz w:val="18"/>
                <w:szCs w:val="18"/>
                <w:lang w:val="en-US"/>
              </w:rPr>
              <w:t xml:space="preserve"> and 4 professional centers ( </w:t>
            </w:r>
            <w:proofErr w:type="spellStart"/>
            <w:r w:rsidRPr="00BB4B25">
              <w:rPr>
                <w:rFonts w:eastAsia="Times New Roman"/>
                <w:color w:val="FF0000"/>
                <w:sz w:val="18"/>
                <w:szCs w:val="18"/>
                <w:lang w:val="en-US"/>
              </w:rPr>
              <w:t>Missabougou</w:t>
            </w:r>
            <w:proofErr w:type="spellEnd"/>
            <w:r w:rsidRPr="00BB4B25">
              <w:rPr>
                <w:rFonts w:eastAsia="Times New Roman"/>
                <w:color w:val="FF0000"/>
                <w:sz w:val="18"/>
                <w:szCs w:val="18"/>
                <w:lang w:val="en-US"/>
              </w:rPr>
              <w:t xml:space="preserve">, </w:t>
            </w:r>
            <w:proofErr w:type="spellStart"/>
            <w:r w:rsidRPr="00BB4B25">
              <w:rPr>
                <w:rFonts w:eastAsia="Times New Roman"/>
                <w:color w:val="FF0000"/>
                <w:sz w:val="18"/>
                <w:szCs w:val="18"/>
                <w:lang w:val="en-US"/>
              </w:rPr>
              <w:t>Senou</w:t>
            </w:r>
            <w:proofErr w:type="spellEnd"/>
            <w:r w:rsidRPr="00BB4B25">
              <w:rPr>
                <w:rFonts w:eastAsia="Times New Roman"/>
                <w:color w:val="FF0000"/>
                <w:sz w:val="18"/>
                <w:szCs w:val="18"/>
                <w:lang w:val="en-US"/>
              </w:rPr>
              <w:t xml:space="preserve">, ECICA and INFP/BTP)  to manage innovative, sustainable and inclusive services 150K$ over 36 months </w:t>
            </w:r>
            <w:r w:rsidRPr="00BB4B25">
              <w:rPr>
                <w:rFonts w:eastAsia="Times New Roman"/>
                <w:color w:val="FF0000"/>
                <w:sz w:val="18"/>
                <w:szCs w:val="18"/>
                <w:lang w:val="en-US"/>
              </w:rPr>
              <w:br/>
              <w:t>2- to conduct a feasibility study on relocating and equipping  artisans in outlying professional centers $80k over 9 months</w:t>
            </w:r>
            <w:r w:rsidRPr="00BB4B25">
              <w:rPr>
                <w:rFonts w:eastAsia="Times New Roman"/>
                <w:color w:val="FF0000"/>
                <w:sz w:val="18"/>
                <w:szCs w:val="18"/>
                <w:lang w:val="en-US"/>
              </w:rPr>
              <w:br/>
              <w:t xml:space="preserve">3- </w:t>
            </w:r>
            <w:r w:rsidRPr="00BB4B25">
              <w:rPr>
                <w:rFonts w:eastAsia="Times New Roman"/>
                <w:color w:val="000000"/>
                <w:sz w:val="18"/>
                <w:szCs w:val="18"/>
                <w:lang w:val="en-US"/>
              </w:rPr>
              <w:t>to conduct 2 Technical and feasibility studies on BRT and navigability of the Niger River and exclusive right-of-way for public transport with capacity, and preparation of a detailed feasibility study for exclusive right-of-way for urban transport with capacity. 36 months w</w:t>
            </w:r>
            <w:r w:rsidRPr="00BB4B25">
              <w:rPr>
                <w:rFonts w:eastAsia="Times New Roman"/>
                <w:color w:val="FF0000"/>
                <w:sz w:val="18"/>
                <w:szCs w:val="18"/>
                <w:lang w:val="en-US"/>
              </w:rPr>
              <w:t>ith 250k$</w:t>
            </w:r>
            <w:r w:rsidRPr="00BB4B25">
              <w:rPr>
                <w:rFonts w:eastAsia="Times New Roman"/>
                <w:color w:val="FF0000"/>
                <w:sz w:val="18"/>
                <w:szCs w:val="18"/>
                <w:lang w:val="en-US"/>
              </w:rPr>
              <w:br/>
              <w:t>4</w:t>
            </w:r>
            <w:proofErr w:type="gramStart"/>
            <w:r w:rsidRPr="00BB4B25">
              <w:rPr>
                <w:rFonts w:eastAsia="Times New Roman"/>
                <w:color w:val="FF0000"/>
                <w:sz w:val="18"/>
                <w:szCs w:val="18"/>
                <w:lang w:val="en-US"/>
              </w:rPr>
              <w:t xml:space="preserve">- </w:t>
            </w:r>
            <w:r w:rsidRPr="00BB4B25">
              <w:rPr>
                <w:rFonts w:eastAsia="Times New Roman"/>
                <w:color w:val="000000"/>
                <w:sz w:val="18"/>
                <w:szCs w:val="18"/>
                <w:lang w:val="en-US"/>
              </w:rPr>
              <w:t xml:space="preserve"> to</w:t>
            </w:r>
            <w:proofErr w:type="gramEnd"/>
            <w:r w:rsidRPr="00BB4B25">
              <w:rPr>
                <w:rFonts w:eastAsia="Times New Roman"/>
                <w:color w:val="000000"/>
                <w:sz w:val="18"/>
                <w:szCs w:val="18"/>
                <w:lang w:val="en-US"/>
              </w:rPr>
              <w:t xml:space="preserve"> conduct a study for the renewal of the Bamako fleet, over 14 months 80k$</w:t>
            </w:r>
            <w:r w:rsidRPr="00BB4B25">
              <w:rPr>
                <w:rFonts w:eastAsia="Times New Roman"/>
                <w:color w:val="000000"/>
                <w:sz w:val="18"/>
                <w:szCs w:val="18"/>
                <w:lang w:val="en-US"/>
              </w:rPr>
              <w:br/>
              <w:t>5- to conduct Feasibility study for the installation of 7 prototype charging stations, directly involving local very small enterprises for installation and maintenance,</w:t>
            </w:r>
            <w:r w:rsidRPr="00BB4B25">
              <w:rPr>
                <w:rFonts w:eastAsia="Times New Roman"/>
                <w:color w:val="FF0000"/>
                <w:sz w:val="18"/>
                <w:szCs w:val="18"/>
                <w:lang w:val="en-US"/>
              </w:rPr>
              <w:t>50k</w:t>
            </w:r>
            <w:r w:rsidRPr="00BB4B25">
              <w:rPr>
                <w:rFonts w:eastAsia="Times New Roman"/>
                <w:color w:val="000000"/>
                <w:sz w:val="18"/>
                <w:szCs w:val="18"/>
                <w:lang w:val="en-US"/>
              </w:rPr>
              <w:t xml:space="preserve"> over 4 months. </w:t>
            </w:r>
            <w:r w:rsidRPr="00BB4B25">
              <w:rPr>
                <w:rFonts w:eastAsia="Times New Roman"/>
                <w:color w:val="000000"/>
                <w:sz w:val="18"/>
                <w:szCs w:val="18"/>
                <w:lang w:val="en-US"/>
              </w:rPr>
              <w:br/>
              <w:t>6- Work company to install 7 prototype recharging station</w:t>
            </w:r>
            <w:r w:rsidRPr="00BB4B25">
              <w:rPr>
                <w:rFonts w:eastAsia="Times New Roman"/>
                <w:color w:val="FF0000"/>
                <w:sz w:val="18"/>
                <w:szCs w:val="18"/>
                <w:lang w:val="en-US"/>
              </w:rPr>
              <w:t xml:space="preserve">s,20k$ </w:t>
            </w:r>
            <w:r w:rsidRPr="00BB4B25">
              <w:rPr>
                <w:rFonts w:eastAsia="Times New Roman"/>
                <w:color w:val="000000"/>
                <w:sz w:val="18"/>
                <w:szCs w:val="18"/>
                <w:lang w:val="en-US"/>
              </w:rPr>
              <w:t>over 6 months.</w:t>
            </w:r>
            <w:r w:rsidRPr="00BB4B25">
              <w:rPr>
                <w:rFonts w:eastAsia="Times New Roman"/>
                <w:color w:val="000000"/>
                <w:sz w:val="18"/>
                <w:szCs w:val="18"/>
                <w:lang w:val="en-US"/>
              </w:rPr>
              <w:br/>
              <w:t xml:space="preserve">7- </w:t>
            </w:r>
            <w:r w:rsidRPr="00BB4B25">
              <w:rPr>
                <w:rFonts w:eastAsia="Times New Roman"/>
                <w:color w:val="FF0000"/>
                <w:sz w:val="18"/>
                <w:szCs w:val="18"/>
                <w:lang w:val="en-US"/>
              </w:rPr>
              <w:t xml:space="preserve">to conduct a study on the </w:t>
            </w:r>
            <w:proofErr w:type="spellStart"/>
            <w:r w:rsidRPr="00BB4B25">
              <w:rPr>
                <w:rFonts w:eastAsia="Times New Roman"/>
                <w:color w:val="FF0000"/>
                <w:sz w:val="18"/>
                <w:szCs w:val="18"/>
                <w:lang w:val="en-US"/>
              </w:rPr>
              <w:t>diagnisis</w:t>
            </w:r>
            <w:proofErr w:type="spellEnd"/>
            <w:r w:rsidRPr="00BB4B25">
              <w:rPr>
                <w:rFonts w:eastAsia="Times New Roman"/>
                <w:color w:val="FF0000"/>
                <w:sz w:val="18"/>
                <w:szCs w:val="18"/>
                <w:lang w:val="en-US"/>
              </w:rPr>
              <w:t xml:space="preserve"> of institutional and regulatory </w:t>
            </w:r>
            <w:proofErr w:type="spellStart"/>
            <w:r w:rsidRPr="00BB4B25">
              <w:rPr>
                <w:rFonts w:eastAsia="Times New Roman"/>
                <w:color w:val="FF0000"/>
                <w:sz w:val="18"/>
                <w:szCs w:val="18"/>
                <w:lang w:val="en-US"/>
              </w:rPr>
              <w:t>frmaework</w:t>
            </w:r>
            <w:proofErr w:type="spellEnd"/>
            <w:r w:rsidRPr="00BB4B25">
              <w:rPr>
                <w:rFonts w:eastAsia="Times New Roman"/>
                <w:color w:val="FF0000"/>
                <w:sz w:val="18"/>
                <w:szCs w:val="18"/>
                <w:lang w:val="en-US"/>
              </w:rPr>
              <w:t xml:space="preserve"> and establishment of a regulatory authority and an urban transport council in Bamako over 14months for 120 k$</w:t>
            </w:r>
            <w:r w:rsidRPr="00BB4B25">
              <w:rPr>
                <w:rFonts w:eastAsia="Times New Roman"/>
                <w:color w:val="FF0000"/>
                <w:sz w:val="18"/>
                <w:szCs w:val="18"/>
                <w:lang w:val="en-US"/>
              </w:rPr>
              <w:br/>
              <w:t>8-</w:t>
            </w:r>
            <w:r w:rsidRPr="00BB4B25">
              <w:rPr>
                <w:rFonts w:eastAsia="Times New Roman"/>
                <w:color w:val="000000"/>
                <w:sz w:val="18"/>
                <w:szCs w:val="18"/>
                <w:lang w:val="en-US"/>
              </w:rPr>
              <w:t xml:space="preserve"> to support for the implementation of a national  financing mechanism for sustainable transport and electric mobility,</w:t>
            </w:r>
            <w:r w:rsidRPr="00BB4B25">
              <w:rPr>
                <w:rFonts w:eastAsia="Times New Roman"/>
                <w:color w:val="FF0000"/>
                <w:sz w:val="18"/>
                <w:szCs w:val="18"/>
                <w:lang w:val="en-US"/>
              </w:rPr>
              <w:t xml:space="preserve"> 70k$ </w:t>
            </w:r>
            <w:r w:rsidRPr="00BB4B25">
              <w:rPr>
                <w:rFonts w:eastAsia="Times New Roman"/>
                <w:color w:val="000000"/>
                <w:sz w:val="18"/>
                <w:szCs w:val="18"/>
                <w:lang w:val="en-US"/>
              </w:rPr>
              <w:t>over  12 months</w:t>
            </w:r>
            <w:r w:rsidRPr="00BB4B25">
              <w:rPr>
                <w:rFonts w:eastAsia="Times New Roman"/>
                <w:color w:val="000000"/>
                <w:sz w:val="18"/>
                <w:szCs w:val="18"/>
                <w:lang w:val="en-US"/>
              </w:rPr>
              <w:br/>
              <w:t>9- to  conduct a study to strengthen monitoring and evaluation mechanism within the DGT to measure the impact of electric mobility projects (including training)</w:t>
            </w:r>
            <w:r w:rsidRPr="00BB4B25">
              <w:rPr>
                <w:rFonts w:eastAsia="Times New Roman"/>
                <w:color w:val="FF0000"/>
                <w:sz w:val="18"/>
                <w:szCs w:val="18"/>
                <w:lang w:val="en-US"/>
              </w:rPr>
              <w:t>. 100 k$ over 18</w:t>
            </w:r>
            <w:r w:rsidRPr="00BB4B25">
              <w:rPr>
                <w:rFonts w:eastAsia="Times New Roman"/>
                <w:color w:val="000000"/>
                <w:sz w:val="18"/>
                <w:szCs w:val="18"/>
                <w:lang w:val="en-US"/>
              </w:rPr>
              <w:t xml:space="preserve"> months</w:t>
            </w:r>
            <w:r w:rsidRPr="00BB4B25">
              <w:rPr>
                <w:rFonts w:eastAsia="Times New Roman"/>
                <w:color w:val="000000"/>
                <w:sz w:val="18"/>
                <w:szCs w:val="18"/>
                <w:lang w:val="en-US"/>
              </w:rPr>
              <w:br/>
              <w:t xml:space="preserve">10- to carry out a needs analysis study and strengthen the fuel quality control laboratory at the Office </w:t>
            </w:r>
            <w:proofErr w:type="spellStart"/>
            <w:r w:rsidRPr="00BB4B25">
              <w:rPr>
                <w:rFonts w:eastAsia="Times New Roman"/>
                <w:color w:val="000000"/>
                <w:sz w:val="18"/>
                <w:szCs w:val="18"/>
                <w:lang w:val="en-US"/>
              </w:rPr>
              <w:t>Malien</w:t>
            </w:r>
            <w:proofErr w:type="spellEnd"/>
            <w:r w:rsidRPr="00BB4B25">
              <w:rPr>
                <w:rFonts w:eastAsia="Times New Roman"/>
                <w:color w:val="000000"/>
                <w:sz w:val="18"/>
                <w:szCs w:val="18"/>
                <w:lang w:val="en-US"/>
              </w:rPr>
              <w:t xml:space="preserve"> des Outputs </w:t>
            </w:r>
            <w:proofErr w:type="spellStart"/>
            <w:r w:rsidRPr="00BB4B25">
              <w:rPr>
                <w:rFonts w:eastAsia="Times New Roman"/>
                <w:color w:val="000000"/>
                <w:sz w:val="18"/>
                <w:szCs w:val="18"/>
                <w:lang w:val="en-US"/>
              </w:rPr>
              <w:t>Pétrolier</w:t>
            </w:r>
            <w:proofErr w:type="spellEnd"/>
            <w:r w:rsidRPr="00BB4B25">
              <w:rPr>
                <w:rFonts w:eastAsia="Times New Roman"/>
                <w:color w:val="000000"/>
                <w:sz w:val="18"/>
                <w:szCs w:val="18"/>
                <w:lang w:val="en-US"/>
              </w:rPr>
              <w:t xml:space="preserve"> (OMAP) and the </w:t>
            </w:r>
            <w:proofErr w:type="spellStart"/>
            <w:r w:rsidRPr="00BB4B25">
              <w:rPr>
                <w:rFonts w:eastAsia="Times New Roman"/>
                <w:color w:val="000000"/>
                <w:sz w:val="18"/>
                <w:szCs w:val="18"/>
                <w:lang w:val="en-US"/>
              </w:rPr>
              <w:t>Institut</w:t>
            </w:r>
            <w:proofErr w:type="spellEnd"/>
            <w:r w:rsidRPr="00BB4B25">
              <w:rPr>
                <w:rFonts w:eastAsia="Times New Roman"/>
                <w:color w:val="000000"/>
                <w:sz w:val="18"/>
                <w:szCs w:val="18"/>
                <w:lang w:val="en-US"/>
              </w:rPr>
              <w:t xml:space="preserve"> des Sciences </w:t>
            </w:r>
            <w:proofErr w:type="spellStart"/>
            <w:r w:rsidRPr="00BB4B25">
              <w:rPr>
                <w:rFonts w:eastAsia="Times New Roman"/>
                <w:color w:val="000000"/>
                <w:sz w:val="18"/>
                <w:szCs w:val="18"/>
                <w:lang w:val="en-US"/>
              </w:rPr>
              <w:t>Appliquées</w:t>
            </w:r>
            <w:proofErr w:type="spellEnd"/>
            <w:r w:rsidRPr="00BB4B25">
              <w:rPr>
                <w:rFonts w:eastAsia="Times New Roman"/>
                <w:color w:val="000000"/>
                <w:sz w:val="18"/>
                <w:szCs w:val="18"/>
                <w:lang w:val="en-US"/>
              </w:rPr>
              <w:t xml:space="preserve">, to ensure a better supply of fuel. </w:t>
            </w:r>
            <w:r w:rsidRPr="00BB4B25">
              <w:rPr>
                <w:rFonts w:eastAsia="Times New Roman"/>
                <w:color w:val="000000"/>
                <w:sz w:val="18"/>
                <w:szCs w:val="18"/>
              </w:rPr>
              <w:t xml:space="preserve">50k$ over 9 </w:t>
            </w:r>
            <w:proofErr w:type="spellStart"/>
            <w:r w:rsidRPr="00BB4B25">
              <w:rPr>
                <w:rFonts w:eastAsia="Times New Roman"/>
                <w:color w:val="000000"/>
                <w:sz w:val="18"/>
                <w:szCs w:val="18"/>
              </w:rPr>
              <w:t>months</w:t>
            </w:r>
            <w:proofErr w:type="spellEnd"/>
            <w:r w:rsidRPr="00BB4B25">
              <w:rPr>
                <w:rFonts w:eastAsia="Times New Roman"/>
                <w:color w:val="000000"/>
                <w:sz w:val="18"/>
                <w:szCs w:val="18"/>
              </w:rPr>
              <w:t xml:space="preserve"> </w:t>
            </w:r>
          </w:p>
        </w:tc>
      </w:tr>
      <w:tr w:rsidR="0078100E" w:rsidRPr="00F50786" w14:paraId="64B73A97" w14:textId="77777777" w:rsidTr="00441D01">
        <w:trPr>
          <w:gridAfter w:val="1"/>
          <w:wAfter w:w="160" w:type="dxa"/>
          <w:trHeight w:val="1185"/>
        </w:trPr>
        <w:tc>
          <w:tcPr>
            <w:tcW w:w="954" w:type="dxa"/>
            <w:tcBorders>
              <w:top w:val="nil"/>
              <w:left w:val="single" w:sz="4" w:space="0" w:color="auto"/>
              <w:bottom w:val="single" w:sz="4" w:space="0" w:color="auto"/>
              <w:right w:val="single" w:sz="4" w:space="0" w:color="auto"/>
            </w:tcBorders>
            <w:hideMark/>
          </w:tcPr>
          <w:p w14:paraId="3487C8C2"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21</w:t>
            </w:r>
          </w:p>
        </w:tc>
        <w:tc>
          <w:tcPr>
            <w:tcW w:w="12926" w:type="dxa"/>
            <w:tcBorders>
              <w:top w:val="nil"/>
              <w:left w:val="single" w:sz="4" w:space="0" w:color="auto"/>
              <w:bottom w:val="single" w:sz="4" w:space="0" w:color="auto"/>
              <w:right w:val="single" w:sz="4" w:space="0" w:color="auto"/>
            </w:tcBorders>
            <w:hideMark/>
          </w:tcPr>
          <w:p w14:paraId="582D80E8" w14:textId="77777777" w:rsidR="0078100E" w:rsidRPr="00BB4B25" w:rsidRDefault="0078100E" w:rsidP="00441D01">
            <w:pPr>
              <w:spacing w:after="0" w:line="240" w:lineRule="auto"/>
              <w:rPr>
                <w:rFonts w:eastAsia="Times New Roman"/>
                <w:sz w:val="18"/>
                <w:szCs w:val="18"/>
                <w:lang w:val="en-US"/>
              </w:rPr>
            </w:pPr>
            <w:r w:rsidRPr="00BB4B25">
              <w:rPr>
                <w:rFonts w:eastAsia="Times New Roman"/>
                <w:b/>
                <w:bCs/>
                <w:sz w:val="18"/>
                <w:szCs w:val="18"/>
                <w:lang w:val="en-US"/>
              </w:rPr>
              <w:t xml:space="preserve">Purchase of: </w:t>
            </w:r>
            <w:r w:rsidRPr="00BB4B25">
              <w:rPr>
                <w:rFonts w:eastAsia="Times New Roman"/>
                <w:sz w:val="18"/>
                <w:szCs w:val="18"/>
                <w:lang w:val="en-US"/>
              </w:rPr>
              <w:br/>
              <w:t xml:space="preserve"> laptop x 3000$ pour ESS and Gender </w:t>
            </w:r>
            <w:proofErr w:type="gramStart"/>
            <w:r w:rsidRPr="00BB4B25">
              <w:rPr>
                <w:rFonts w:eastAsia="Times New Roman"/>
                <w:sz w:val="18"/>
                <w:szCs w:val="18"/>
                <w:lang w:val="en-US"/>
              </w:rPr>
              <w:t>specialist ;</w:t>
            </w:r>
            <w:proofErr w:type="gramEnd"/>
            <w:r w:rsidRPr="00BB4B25">
              <w:rPr>
                <w:rFonts w:eastAsia="Times New Roman"/>
                <w:sz w:val="18"/>
                <w:szCs w:val="18"/>
                <w:lang w:val="en-US"/>
              </w:rPr>
              <w:t xml:space="preserve"> </w:t>
            </w:r>
            <w:r w:rsidRPr="00BB4B25">
              <w:rPr>
                <w:rFonts w:eastAsia="Times New Roman"/>
                <w:sz w:val="18"/>
                <w:szCs w:val="18"/>
                <w:lang w:val="en-US"/>
              </w:rPr>
              <w:br/>
              <w:t>7 prototype recharging  stations 42k$ + 20% or +64k US$ contribution to solar panels systems set by the private sector (80%)</w:t>
            </w:r>
            <w:r w:rsidRPr="00BB4B25">
              <w:rPr>
                <w:rFonts w:eastAsia="Times New Roman"/>
                <w:sz w:val="18"/>
                <w:szCs w:val="18"/>
                <w:lang w:val="en-US"/>
              </w:rPr>
              <w:br/>
              <w:t>a set of equipment for the DNAPCN mobile sensor lab for 40k$</w:t>
            </w:r>
          </w:p>
        </w:tc>
      </w:tr>
      <w:tr w:rsidR="0078100E" w:rsidRPr="00F50786" w14:paraId="0A1D1743" w14:textId="77777777" w:rsidTr="00441D01">
        <w:trPr>
          <w:gridAfter w:val="1"/>
          <w:wAfter w:w="160" w:type="dxa"/>
          <w:trHeight w:val="964"/>
        </w:trPr>
        <w:tc>
          <w:tcPr>
            <w:tcW w:w="954" w:type="dxa"/>
            <w:tcBorders>
              <w:top w:val="nil"/>
              <w:left w:val="single" w:sz="4" w:space="0" w:color="auto"/>
              <w:bottom w:val="single" w:sz="4" w:space="0" w:color="auto"/>
              <w:right w:val="single" w:sz="4" w:space="0" w:color="auto"/>
            </w:tcBorders>
            <w:hideMark/>
          </w:tcPr>
          <w:p w14:paraId="644FABCA"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22</w:t>
            </w:r>
          </w:p>
        </w:tc>
        <w:tc>
          <w:tcPr>
            <w:tcW w:w="12926" w:type="dxa"/>
            <w:tcBorders>
              <w:top w:val="nil"/>
              <w:left w:val="single" w:sz="4" w:space="0" w:color="auto"/>
              <w:bottom w:val="single" w:sz="4" w:space="0" w:color="auto"/>
              <w:right w:val="single" w:sz="4" w:space="0" w:color="auto"/>
            </w:tcBorders>
            <w:hideMark/>
          </w:tcPr>
          <w:p w14:paraId="5F7E44AA"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b/>
                <w:bCs/>
                <w:color w:val="000000"/>
                <w:sz w:val="18"/>
                <w:szCs w:val="18"/>
                <w:lang w:val="en-US"/>
              </w:rPr>
              <w:t xml:space="preserve">Travel cost </w:t>
            </w:r>
            <w:proofErr w:type="gramStart"/>
            <w:r w:rsidRPr="00BB4B25">
              <w:rPr>
                <w:rFonts w:eastAsia="Times New Roman"/>
                <w:b/>
                <w:bCs/>
                <w:color w:val="000000"/>
                <w:sz w:val="18"/>
                <w:szCs w:val="18"/>
                <w:lang w:val="en-US"/>
              </w:rPr>
              <w:t xml:space="preserve">for </w:t>
            </w:r>
            <w:r w:rsidRPr="00BB4B25">
              <w:rPr>
                <w:rFonts w:eastAsia="Times New Roman"/>
                <w:color w:val="000000"/>
                <w:sz w:val="18"/>
                <w:szCs w:val="18"/>
                <w:lang w:val="en-US"/>
              </w:rPr>
              <w:t>:</w:t>
            </w:r>
            <w:proofErr w:type="gramEnd"/>
            <w:r w:rsidRPr="00BB4B25">
              <w:rPr>
                <w:rFonts w:eastAsia="Times New Roman"/>
                <w:color w:val="000000"/>
                <w:sz w:val="18"/>
                <w:szCs w:val="18"/>
                <w:lang w:val="en-US"/>
              </w:rPr>
              <w:t xml:space="preserve"> </w:t>
            </w:r>
            <w:r w:rsidRPr="00BB4B25">
              <w:rPr>
                <w:rFonts w:eastAsia="Times New Roman"/>
                <w:color w:val="000000"/>
                <w:sz w:val="18"/>
                <w:szCs w:val="18"/>
                <w:lang w:val="en-US"/>
              </w:rPr>
              <w:br/>
              <w:t>2 guests who will present their experience in the framework of the international workshop to be organized  in the year 4 (cost 2 x 800$ air ticket + 2 guests * 223 $ * 3 nights DSA Bamako = 2,938$)</w:t>
            </w:r>
            <w:r w:rsidRPr="00BB4B25">
              <w:rPr>
                <w:rFonts w:eastAsia="Times New Roman"/>
                <w:color w:val="000000"/>
                <w:sz w:val="18"/>
                <w:szCs w:val="18"/>
                <w:lang w:val="en-US"/>
              </w:rPr>
              <w:br/>
              <w:t>2 persons from transport directorate (DGT) for international conferences 2 participants * 1000$ air ticket + 2 participants x 300$ x 4 nights DSA = 4400$</w:t>
            </w:r>
          </w:p>
        </w:tc>
      </w:tr>
      <w:tr w:rsidR="0078100E" w:rsidRPr="00F50786" w14:paraId="571663F7" w14:textId="77777777" w:rsidTr="00441D01">
        <w:trPr>
          <w:gridAfter w:val="1"/>
          <w:wAfter w:w="160" w:type="dxa"/>
          <w:trHeight w:val="1587"/>
        </w:trPr>
        <w:tc>
          <w:tcPr>
            <w:tcW w:w="954" w:type="dxa"/>
            <w:tcBorders>
              <w:top w:val="nil"/>
              <w:left w:val="single" w:sz="4" w:space="0" w:color="auto"/>
              <w:bottom w:val="single" w:sz="4" w:space="0" w:color="auto"/>
              <w:right w:val="single" w:sz="4" w:space="0" w:color="auto"/>
            </w:tcBorders>
            <w:hideMark/>
          </w:tcPr>
          <w:p w14:paraId="19120F3A"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lastRenderedPageBreak/>
              <w:t>23</w:t>
            </w:r>
          </w:p>
        </w:tc>
        <w:tc>
          <w:tcPr>
            <w:tcW w:w="12926" w:type="dxa"/>
            <w:tcBorders>
              <w:top w:val="nil"/>
              <w:left w:val="single" w:sz="4" w:space="0" w:color="auto"/>
              <w:bottom w:val="single" w:sz="4" w:space="0" w:color="auto"/>
              <w:right w:val="single" w:sz="4" w:space="0" w:color="auto"/>
            </w:tcBorders>
            <w:hideMark/>
          </w:tcPr>
          <w:p w14:paraId="64DEEC26"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b/>
                <w:bCs/>
                <w:color w:val="000000"/>
                <w:sz w:val="18"/>
                <w:szCs w:val="18"/>
                <w:lang w:val="en-US"/>
              </w:rPr>
              <w:t xml:space="preserve">34 Trainings and workshop </w:t>
            </w:r>
            <w:r w:rsidRPr="00BB4B25">
              <w:rPr>
                <w:rFonts w:eastAsia="Times New Roman"/>
                <w:color w:val="000000"/>
                <w:sz w:val="18"/>
                <w:szCs w:val="18"/>
                <w:lang w:val="en-US"/>
              </w:rPr>
              <w:t>over the project life time  with an average of 2500$ per workshop for 30pax each as per the following :</w:t>
            </w:r>
            <w:r w:rsidRPr="00BB4B25">
              <w:rPr>
                <w:rFonts w:eastAsia="Times New Roman"/>
                <w:color w:val="000000"/>
                <w:sz w:val="18"/>
                <w:szCs w:val="18"/>
                <w:lang w:val="en-US"/>
              </w:rPr>
              <w:br/>
              <w:t>9 trainings for output 2.1.1  (22,500$)</w:t>
            </w:r>
            <w:r w:rsidRPr="00BB4B25">
              <w:rPr>
                <w:rFonts w:eastAsia="Times New Roman"/>
                <w:color w:val="000000"/>
                <w:sz w:val="18"/>
                <w:szCs w:val="18"/>
                <w:lang w:val="en-US"/>
              </w:rPr>
              <w:br/>
              <w:t xml:space="preserve"> The international workshop to exchange experience between cities on the sustainable transport (10k$) in year 4</w:t>
            </w:r>
            <w:r w:rsidRPr="00BB4B25">
              <w:rPr>
                <w:rFonts w:eastAsia="Times New Roman"/>
                <w:color w:val="000000"/>
                <w:sz w:val="18"/>
                <w:szCs w:val="18"/>
                <w:lang w:val="en-US"/>
              </w:rPr>
              <w:br/>
              <w:t>5 training and workshop for the output 2.1.2 -(12,500$)</w:t>
            </w:r>
            <w:r w:rsidRPr="00BB4B25">
              <w:rPr>
                <w:rFonts w:eastAsia="Times New Roman"/>
                <w:color w:val="000000"/>
                <w:sz w:val="18"/>
                <w:szCs w:val="18"/>
                <w:lang w:val="en-US"/>
              </w:rPr>
              <w:br/>
              <w:t>15 training and workshop for the output 2.1.3 (37,500$)</w:t>
            </w:r>
            <w:r w:rsidRPr="00BB4B25">
              <w:rPr>
                <w:rFonts w:eastAsia="Times New Roman"/>
                <w:color w:val="000000"/>
                <w:sz w:val="18"/>
                <w:szCs w:val="18"/>
                <w:lang w:val="en-US"/>
              </w:rPr>
              <w:br/>
              <w:t>4 training and workshop for the output 2.1.4 (10,000$)</w:t>
            </w:r>
          </w:p>
        </w:tc>
      </w:tr>
      <w:tr w:rsidR="0078100E" w:rsidRPr="00F50786" w14:paraId="1942F679" w14:textId="77777777" w:rsidTr="00441D01">
        <w:trPr>
          <w:gridAfter w:val="1"/>
          <w:wAfter w:w="160" w:type="dxa"/>
          <w:trHeight w:val="907"/>
        </w:trPr>
        <w:tc>
          <w:tcPr>
            <w:tcW w:w="954" w:type="dxa"/>
            <w:tcBorders>
              <w:top w:val="nil"/>
              <w:left w:val="single" w:sz="4" w:space="0" w:color="auto"/>
              <w:bottom w:val="single" w:sz="4" w:space="0" w:color="auto"/>
              <w:right w:val="single" w:sz="4" w:space="0" w:color="auto"/>
            </w:tcBorders>
            <w:hideMark/>
          </w:tcPr>
          <w:p w14:paraId="1105E5BB"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24</w:t>
            </w:r>
          </w:p>
        </w:tc>
        <w:tc>
          <w:tcPr>
            <w:tcW w:w="12926" w:type="dxa"/>
            <w:tcBorders>
              <w:top w:val="nil"/>
              <w:left w:val="single" w:sz="4" w:space="0" w:color="auto"/>
              <w:bottom w:val="single" w:sz="4" w:space="0" w:color="auto"/>
              <w:right w:val="single" w:sz="4" w:space="0" w:color="auto"/>
            </w:tcBorders>
            <w:hideMark/>
          </w:tcPr>
          <w:p w14:paraId="2A4AF919"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b/>
                <w:bCs/>
                <w:color w:val="000000"/>
                <w:sz w:val="18"/>
                <w:szCs w:val="18"/>
                <w:lang w:val="en-US"/>
              </w:rPr>
              <w:t xml:space="preserve">Cost for communication and printing materials for: </w:t>
            </w:r>
            <w:r w:rsidRPr="00BB4B25">
              <w:rPr>
                <w:rFonts w:eastAsia="Times New Roman"/>
                <w:color w:val="000000"/>
                <w:sz w:val="18"/>
                <w:szCs w:val="18"/>
                <w:lang w:val="en-US"/>
              </w:rPr>
              <w:br/>
              <w:t xml:space="preserve">the Activity 2.1.2.3 Feasibility study for the installation of 7 prototype recharging stations, directly involving local VSEs for installation and maintenance </w:t>
            </w:r>
            <w:r w:rsidRPr="00BB4B25">
              <w:rPr>
                <w:rFonts w:eastAsia="Times New Roman"/>
                <w:color w:val="FF0000"/>
                <w:sz w:val="18"/>
                <w:szCs w:val="18"/>
                <w:lang w:val="en-US"/>
              </w:rPr>
              <w:t>10000</w:t>
            </w:r>
            <w:r w:rsidRPr="00BB4B25">
              <w:rPr>
                <w:rFonts w:eastAsia="Times New Roman"/>
                <w:color w:val="000000"/>
                <w:sz w:val="18"/>
                <w:szCs w:val="18"/>
                <w:lang w:val="en-US"/>
              </w:rPr>
              <w:t>$</w:t>
            </w:r>
            <w:r w:rsidRPr="00BB4B25">
              <w:rPr>
                <w:rFonts w:eastAsia="Times New Roman"/>
                <w:color w:val="000000"/>
                <w:sz w:val="18"/>
                <w:szCs w:val="18"/>
                <w:lang w:val="en-US"/>
              </w:rPr>
              <w:br/>
              <w:t xml:space="preserve"> Activity 2.1.2.2 Elaboration of a study for the renewal of the Bamako fleet, for 6494$</w:t>
            </w:r>
          </w:p>
        </w:tc>
      </w:tr>
      <w:tr w:rsidR="008631EE" w:rsidRPr="00F50786" w14:paraId="3892D1BF" w14:textId="77777777" w:rsidTr="00441D01">
        <w:trPr>
          <w:gridAfter w:val="1"/>
          <w:wAfter w:w="160" w:type="dxa"/>
          <w:trHeight w:val="1247"/>
        </w:trPr>
        <w:tc>
          <w:tcPr>
            <w:tcW w:w="954" w:type="dxa"/>
            <w:tcBorders>
              <w:top w:val="nil"/>
              <w:left w:val="single" w:sz="4" w:space="0" w:color="auto"/>
              <w:bottom w:val="single" w:sz="4" w:space="0" w:color="auto"/>
              <w:right w:val="single" w:sz="4" w:space="0" w:color="auto"/>
            </w:tcBorders>
            <w:hideMark/>
          </w:tcPr>
          <w:p w14:paraId="38F630E3"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25</w:t>
            </w:r>
          </w:p>
        </w:tc>
        <w:tc>
          <w:tcPr>
            <w:tcW w:w="12926" w:type="dxa"/>
            <w:tcBorders>
              <w:top w:val="nil"/>
              <w:left w:val="single" w:sz="4" w:space="0" w:color="auto"/>
              <w:bottom w:val="single" w:sz="4" w:space="0" w:color="auto"/>
              <w:right w:val="single" w:sz="4" w:space="0" w:color="auto"/>
            </w:tcBorders>
            <w:hideMark/>
          </w:tcPr>
          <w:p w14:paraId="57BE3F64"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b/>
                <w:bCs/>
                <w:color w:val="000000"/>
                <w:sz w:val="18"/>
                <w:szCs w:val="18"/>
                <w:lang w:val="en-US"/>
              </w:rPr>
              <w:t xml:space="preserve">8 Grants with Total amount 100,0000: </w:t>
            </w:r>
            <w:r w:rsidRPr="00BB4B25">
              <w:rPr>
                <w:rFonts w:eastAsia="Times New Roman"/>
                <w:color w:val="000000"/>
                <w:sz w:val="18"/>
                <w:szCs w:val="18"/>
                <w:lang w:val="en-US"/>
              </w:rPr>
              <w:br/>
              <w:t xml:space="preserve"> 1- Directorate for social development to collaborate with local NGO in order to raise awareness of local forest population</w:t>
            </w:r>
            <w:r w:rsidRPr="00BB4B25">
              <w:rPr>
                <w:rFonts w:eastAsia="Times New Roman"/>
                <w:color w:val="FF0000"/>
                <w:sz w:val="18"/>
                <w:szCs w:val="18"/>
                <w:lang w:val="en-US"/>
              </w:rPr>
              <w:t xml:space="preserve">  (see Activity 3.1.2.2) over 6 month 50k$</w:t>
            </w:r>
            <w:r w:rsidRPr="00BB4B25">
              <w:rPr>
                <w:rFonts w:eastAsia="Times New Roman"/>
                <w:color w:val="000000"/>
                <w:sz w:val="18"/>
                <w:szCs w:val="18"/>
                <w:lang w:val="en-US"/>
              </w:rPr>
              <w:br/>
              <w:t xml:space="preserve">2- local NGO to accompany  the plan of reforestation to restore the forest areas by </w:t>
            </w:r>
            <w:proofErr w:type="spellStart"/>
            <w:r w:rsidRPr="00BB4B25">
              <w:rPr>
                <w:rFonts w:eastAsia="Times New Roman"/>
                <w:color w:val="000000"/>
                <w:sz w:val="18"/>
                <w:szCs w:val="18"/>
                <w:lang w:val="en-US"/>
              </w:rPr>
              <w:t>interprofession</w:t>
            </w:r>
            <w:proofErr w:type="spellEnd"/>
            <w:r w:rsidRPr="00BB4B25">
              <w:rPr>
                <w:rFonts w:eastAsia="Times New Roman"/>
                <w:color w:val="000000"/>
                <w:sz w:val="18"/>
                <w:szCs w:val="18"/>
                <w:lang w:val="en-US"/>
              </w:rPr>
              <w:t xml:space="preserve"> 20k$ , (total </w:t>
            </w:r>
            <w:r w:rsidRPr="00BB4B25">
              <w:rPr>
                <w:rFonts w:eastAsia="Times New Roman"/>
                <w:color w:val="FF0000"/>
                <w:sz w:val="18"/>
                <w:szCs w:val="18"/>
                <w:lang w:val="en-US"/>
              </w:rPr>
              <w:t>10,000</w:t>
            </w:r>
            <w:r w:rsidRPr="00BB4B25">
              <w:rPr>
                <w:rFonts w:eastAsia="Times New Roman"/>
                <w:color w:val="000000"/>
                <w:sz w:val="18"/>
                <w:szCs w:val="18"/>
                <w:lang w:val="en-US"/>
              </w:rPr>
              <w:t>$)</w:t>
            </w:r>
            <w:r w:rsidRPr="00BB4B25">
              <w:rPr>
                <w:rFonts w:eastAsia="Times New Roman"/>
                <w:color w:val="000000"/>
                <w:sz w:val="18"/>
                <w:szCs w:val="18"/>
                <w:lang w:val="en-US"/>
              </w:rPr>
              <w:br/>
              <w:t>3- With 2 companies $10k each for pilot model of planting / work with the support of 80 vulnerable beneficiaries (total 20,000$)</w:t>
            </w:r>
            <w:r w:rsidRPr="00BB4B25">
              <w:rPr>
                <w:rFonts w:eastAsia="Times New Roman"/>
                <w:color w:val="000000"/>
                <w:sz w:val="18"/>
                <w:szCs w:val="18"/>
                <w:lang w:val="en-US"/>
              </w:rPr>
              <w:br/>
              <w:t>4- With nurserymen, florists or MSEs to provide plants to urban green spaces (4 grants each for 5000$, total 20,000$)</w:t>
            </w:r>
          </w:p>
        </w:tc>
      </w:tr>
      <w:tr w:rsidR="008631EE" w:rsidRPr="00F50786" w14:paraId="6DEC3405" w14:textId="77777777" w:rsidTr="00441D01">
        <w:trPr>
          <w:gridAfter w:val="1"/>
          <w:wAfter w:w="160" w:type="dxa"/>
          <w:trHeight w:val="1644"/>
        </w:trPr>
        <w:tc>
          <w:tcPr>
            <w:tcW w:w="954" w:type="dxa"/>
            <w:tcBorders>
              <w:top w:val="nil"/>
              <w:left w:val="single" w:sz="4" w:space="0" w:color="auto"/>
              <w:bottom w:val="nil"/>
              <w:right w:val="single" w:sz="4" w:space="0" w:color="auto"/>
            </w:tcBorders>
            <w:hideMark/>
          </w:tcPr>
          <w:p w14:paraId="73854DDF"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26</w:t>
            </w:r>
          </w:p>
        </w:tc>
        <w:tc>
          <w:tcPr>
            <w:tcW w:w="12926" w:type="dxa"/>
            <w:tcBorders>
              <w:top w:val="nil"/>
              <w:left w:val="single" w:sz="4" w:space="0" w:color="auto"/>
              <w:bottom w:val="single" w:sz="4" w:space="0" w:color="auto"/>
              <w:right w:val="single" w:sz="4" w:space="0" w:color="auto"/>
            </w:tcBorders>
            <w:hideMark/>
          </w:tcPr>
          <w:p w14:paraId="5C095AC6"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 xml:space="preserve"> </w:t>
            </w:r>
            <w:r w:rsidRPr="00BB4B25">
              <w:rPr>
                <w:rFonts w:eastAsia="Times New Roman"/>
                <w:b/>
                <w:bCs/>
                <w:color w:val="000000"/>
                <w:sz w:val="18"/>
                <w:szCs w:val="18"/>
                <w:lang w:val="en-US"/>
              </w:rPr>
              <w:t xml:space="preserve">3 national consultants for total amount of 25,000$: </w:t>
            </w:r>
            <w:r w:rsidRPr="00BB4B25">
              <w:rPr>
                <w:rFonts w:eastAsia="Times New Roman"/>
                <w:b/>
                <w:bCs/>
                <w:color w:val="000000"/>
                <w:sz w:val="18"/>
                <w:szCs w:val="18"/>
                <w:lang w:val="en-US"/>
              </w:rPr>
              <w:br/>
            </w:r>
            <w:r w:rsidRPr="00BB4B25">
              <w:rPr>
                <w:rFonts w:eastAsia="Times New Roman"/>
                <w:color w:val="000000"/>
                <w:sz w:val="18"/>
                <w:szCs w:val="18"/>
                <w:lang w:val="en-US"/>
              </w:rPr>
              <w:t>1- to support the preparation for registration following the inventory done for the 5 forests and green urban spaces  60 man/days x 250$ over 9 months (total 15,000$)</w:t>
            </w:r>
            <w:r w:rsidRPr="00BB4B25">
              <w:rPr>
                <w:rFonts w:eastAsia="Times New Roman"/>
                <w:color w:val="000000"/>
                <w:sz w:val="18"/>
                <w:szCs w:val="18"/>
                <w:lang w:val="en-US"/>
              </w:rPr>
              <w:br/>
              <w:t>2- to prepare  a memorandum of understanding to set up a multi-stakeholder technical committee to monitor the green belt.30man/days x 250$ over 6 months (total 7,500$)</w:t>
            </w:r>
            <w:r w:rsidRPr="00BB4B25">
              <w:rPr>
                <w:rFonts w:eastAsia="Times New Roman"/>
                <w:color w:val="000000"/>
                <w:sz w:val="18"/>
                <w:szCs w:val="18"/>
                <w:lang w:val="en-US"/>
              </w:rPr>
              <w:br/>
              <w:t xml:space="preserve">3- </w:t>
            </w:r>
            <w:r w:rsidRPr="00BB4B25">
              <w:rPr>
                <w:rFonts w:eastAsia="Times New Roman"/>
                <w:color w:val="FF0000"/>
                <w:sz w:val="18"/>
                <w:szCs w:val="18"/>
                <w:lang w:val="en-US"/>
              </w:rPr>
              <w:t>to prepare the TOR for specialized firms, inter-branch agricultural organizations, and/or local NGOs to implement reforestation, contract-planting models, and community mobilization (activity 3,1,4,1).10man/days x 250$ over 1 month (total 2,500$)</w:t>
            </w:r>
          </w:p>
        </w:tc>
      </w:tr>
      <w:tr w:rsidR="0078100E" w:rsidRPr="00F50786" w14:paraId="15D39050" w14:textId="77777777" w:rsidTr="00441D01">
        <w:trPr>
          <w:gridAfter w:val="1"/>
          <w:wAfter w:w="160" w:type="dxa"/>
          <w:trHeight w:val="737"/>
        </w:trPr>
        <w:tc>
          <w:tcPr>
            <w:tcW w:w="954" w:type="dxa"/>
            <w:tcBorders>
              <w:top w:val="single" w:sz="4" w:space="0" w:color="000000"/>
              <w:left w:val="single" w:sz="4" w:space="0" w:color="000000"/>
              <w:bottom w:val="single" w:sz="4" w:space="0" w:color="000000"/>
              <w:right w:val="single" w:sz="4" w:space="0" w:color="000000"/>
            </w:tcBorders>
            <w:hideMark/>
          </w:tcPr>
          <w:p w14:paraId="199498B5" w14:textId="77777777" w:rsidR="0078100E" w:rsidRPr="00BB4B25" w:rsidRDefault="0078100E" w:rsidP="00441D01">
            <w:pPr>
              <w:spacing w:after="0" w:line="240" w:lineRule="auto"/>
              <w:rPr>
                <w:rFonts w:eastAsia="Times New Roman"/>
                <w:i/>
                <w:iCs/>
                <w:color w:val="FF0000"/>
                <w:sz w:val="18"/>
                <w:szCs w:val="18"/>
              </w:rPr>
            </w:pPr>
            <w:r w:rsidRPr="00BB4B25">
              <w:rPr>
                <w:rFonts w:eastAsia="Times New Roman"/>
                <w:i/>
                <w:iCs/>
                <w:color w:val="FF0000"/>
                <w:sz w:val="18"/>
                <w:szCs w:val="18"/>
              </w:rPr>
              <w:t>27</w:t>
            </w:r>
          </w:p>
        </w:tc>
        <w:tc>
          <w:tcPr>
            <w:tcW w:w="12926" w:type="dxa"/>
            <w:tcBorders>
              <w:top w:val="nil"/>
              <w:left w:val="single" w:sz="4" w:space="0" w:color="auto"/>
              <w:bottom w:val="single" w:sz="4" w:space="0" w:color="auto"/>
              <w:right w:val="single" w:sz="4" w:space="0" w:color="auto"/>
            </w:tcBorders>
            <w:hideMark/>
          </w:tcPr>
          <w:p w14:paraId="74B31903"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This budget is allocated to cover 60% PM salary:</w:t>
            </w:r>
            <w:r w:rsidRPr="00BB4B25">
              <w:rPr>
                <w:rFonts w:eastAsia="Times New Roman"/>
                <w:color w:val="000000"/>
                <w:sz w:val="18"/>
                <w:szCs w:val="18"/>
                <w:lang w:val="en-US"/>
              </w:rPr>
              <w:br/>
              <w:t>(</w:t>
            </w:r>
            <w:proofErr w:type="spellStart"/>
            <w:r w:rsidRPr="00BB4B25">
              <w:rPr>
                <w:rFonts w:eastAsia="Times New Roman"/>
                <w:color w:val="000000"/>
                <w:sz w:val="18"/>
                <w:szCs w:val="18"/>
                <w:lang w:val="en-US"/>
              </w:rPr>
              <w:t>i</w:t>
            </w:r>
            <w:proofErr w:type="spellEnd"/>
            <w:r w:rsidRPr="00BB4B25">
              <w:rPr>
                <w:rFonts w:eastAsia="Times New Roman"/>
                <w:color w:val="000000"/>
                <w:sz w:val="18"/>
                <w:szCs w:val="18"/>
                <w:lang w:val="en-US"/>
              </w:rPr>
              <w:t xml:space="preserve">) Pro rata costs of contractual appointment of the Project Manager (60%xthe salary @ US$3225/month over 5 </w:t>
            </w:r>
            <w:proofErr w:type="gramStart"/>
            <w:r w:rsidRPr="00BB4B25">
              <w:rPr>
                <w:rFonts w:eastAsia="Times New Roman"/>
                <w:color w:val="000000"/>
                <w:sz w:val="18"/>
                <w:szCs w:val="18"/>
                <w:lang w:val="en-US"/>
              </w:rPr>
              <w:t>year )</w:t>
            </w:r>
            <w:proofErr w:type="gramEnd"/>
            <w:r w:rsidRPr="00BB4B25">
              <w:rPr>
                <w:rFonts w:eastAsia="Times New Roman"/>
                <w:color w:val="000000"/>
                <w:sz w:val="18"/>
                <w:szCs w:val="18"/>
                <w:lang w:val="en-US"/>
              </w:rPr>
              <w:t xml:space="preserve"> to perform technical assistance to component1 (outcome 3,1) (See Annex 7  for detailed TOR) - U$116,100</w:t>
            </w:r>
          </w:p>
        </w:tc>
      </w:tr>
      <w:tr w:rsidR="008631EE" w:rsidRPr="00F50786" w14:paraId="1D0CD6B2" w14:textId="77777777" w:rsidTr="00441D01">
        <w:trPr>
          <w:gridAfter w:val="1"/>
          <w:wAfter w:w="160" w:type="dxa"/>
          <w:trHeight w:val="2835"/>
        </w:trPr>
        <w:tc>
          <w:tcPr>
            <w:tcW w:w="954" w:type="dxa"/>
            <w:tcBorders>
              <w:top w:val="nil"/>
              <w:left w:val="single" w:sz="4" w:space="0" w:color="auto"/>
              <w:bottom w:val="single" w:sz="4" w:space="0" w:color="auto"/>
              <w:right w:val="single" w:sz="4" w:space="0" w:color="auto"/>
            </w:tcBorders>
            <w:hideMark/>
          </w:tcPr>
          <w:p w14:paraId="7054093A"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lastRenderedPageBreak/>
              <w:t>28</w:t>
            </w:r>
          </w:p>
        </w:tc>
        <w:tc>
          <w:tcPr>
            <w:tcW w:w="12926" w:type="dxa"/>
            <w:tcBorders>
              <w:top w:val="nil"/>
              <w:left w:val="single" w:sz="4" w:space="0" w:color="auto"/>
              <w:bottom w:val="single" w:sz="4" w:space="0" w:color="auto"/>
              <w:right w:val="single" w:sz="4" w:space="0" w:color="auto"/>
            </w:tcBorders>
            <w:hideMark/>
          </w:tcPr>
          <w:p w14:paraId="62F2F0CD" w14:textId="530094A2" w:rsidR="0078100E" w:rsidRPr="00BB4B25" w:rsidRDefault="0078100E" w:rsidP="00441D01">
            <w:pPr>
              <w:spacing w:after="0" w:line="240" w:lineRule="auto"/>
              <w:rPr>
                <w:rFonts w:eastAsia="Times New Roman"/>
                <w:color w:val="000000"/>
                <w:sz w:val="18"/>
                <w:szCs w:val="18"/>
                <w:lang w:val="en-US"/>
              </w:rPr>
            </w:pPr>
            <w:r w:rsidRPr="00BB4B25">
              <w:rPr>
                <w:rFonts w:eastAsia="Times New Roman"/>
                <w:b/>
                <w:bCs/>
                <w:color w:val="000000"/>
                <w:sz w:val="18"/>
                <w:szCs w:val="18"/>
                <w:lang w:val="en-US"/>
              </w:rPr>
              <w:t>7 consultancy firms for Total amount : 777,500$</w:t>
            </w:r>
            <w:r w:rsidRPr="00BB4B25">
              <w:rPr>
                <w:rFonts w:eastAsia="Times New Roman"/>
                <w:color w:val="000000"/>
                <w:sz w:val="18"/>
                <w:szCs w:val="18"/>
                <w:lang w:val="en-US"/>
              </w:rPr>
              <w:br/>
              <w:t>1-  to prepare a financing plan for the Bamako green belt (BIOFIN), 50k$ over 9 months</w:t>
            </w:r>
            <w:r w:rsidRPr="00BB4B25">
              <w:rPr>
                <w:rFonts w:eastAsia="Times New Roman"/>
                <w:color w:val="000000"/>
                <w:sz w:val="18"/>
                <w:szCs w:val="18"/>
                <w:lang w:val="en-US"/>
              </w:rPr>
              <w:br/>
              <w:t xml:space="preserve">2- </w:t>
            </w:r>
            <w:r w:rsidRPr="00BB4B25">
              <w:rPr>
                <w:rFonts w:eastAsia="Times New Roman"/>
                <w:color w:val="FF0000"/>
                <w:sz w:val="18"/>
                <w:szCs w:val="18"/>
                <w:lang w:val="en-US"/>
              </w:rPr>
              <w:t>to elaborate the forest inventory and green urban spaces in Bamako to +strengthen the SIFOR+ training for 40 GDWF agents + monitoring guide/protocol+  Feasibility study for the management of two forest strips to the south-east and north of Bamako, ,107,5 k$ over 12 months</w:t>
            </w:r>
            <w:r w:rsidRPr="00BB4B25">
              <w:rPr>
                <w:rFonts w:eastAsia="Times New Roman"/>
                <w:color w:val="FF0000"/>
                <w:sz w:val="18"/>
                <w:szCs w:val="18"/>
                <w:lang w:val="en-US"/>
              </w:rPr>
              <w:br/>
              <w:t xml:space="preserve">3- to elaborate a strategy for social </w:t>
            </w:r>
            <w:proofErr w:type="spellStart"/>
            <w:r w:rsidRPr="00BB4B25">
              <w:rPr>
                <w:rFonts w:eastAsia="Times New Roman"/>
                <w:color w:val="FF0000"/>
                <w:sz w:val="18"/>
                <w:szCs w:val="18"/>
                <w:lang w:val="en-US"/>
              </w:rPr>
              <w:t>behaviour</w:t>
            </w:r>
            <w:proofErr w:type="spellEnd"/>
            <w:r w:rsidRPr="00BB4B25">
              <w:rPr>
                <w:rFonts w:eastAsia="Times New Roman"/>
                <w:color w:val="FF0000"/>
                <w:sz w:val="18"/>
                <w:szCs w:val="18"/>
                <w:lang w:val="en-US"/>
              </w:rPr>
              <w:t xml:space="preserve"> change interventions for stakeholders involved in the management of forest areas and green spaces (to be implemented by Directorate for social development see Activity 3.1.2.2 )   over  6 months for $30k</w:t>
            </w:r>
            <w:r w:rsidRPr="00BB4B25">
              <w:rPr>
                <w:rFonts w:eastAsia="Times New Roman"/>
                <w:color w:val="000000"/>
                <w:sz w:val="18"/>
                <w:szCs w:val="18"/>
                <w:lang w:val="en-US"/>
              </w:rPr>
              <w:br/>
              <w:t xml:space="preserve">4- to elaborate 5 development and management plans for classified forests with their 5 EIES, over 18 months 240k$  </w:t>
            </w:r>
            <w:r w:rsidRPr="00BB4B25">
              <w:rPr>
                <w:rFonts w:eastAsia="Times New Roman"/>
                <w:color w:val="000000"/>
                <w:sz w:val="18"/>
                <w:szCs w:val="18"/>
                <w:lang w:val="en-US"/>
              </w:rPr>
              <w:br/>
              <w:t xml:space="preserve">5- to elaborate 7 development and management plans for green urban spaces and their EIES over 18 months  130k$ </w:t>
            </w:r>
            <w:r w:rsidRPr="00BB4B25">
              <w:rPr>
                <w:rFonts w:eastAsia="Times New Roman"/>
                <w:color w:val="000000"/>
                <w:sz w:val="18"/>
                <w:szCs w:val="18"/>
                <w:lang w:val="en-US"/>
              </w:rPr>
              <w:br/>
            </w:r>
            <w:r w:rsidRPr="00BB4B25">
              <w:rPr>
                <w:rFonts w:eastAsia="Times New Roman"/>
                <w:color w:val="FF0000"/>
                <w:sz w:val="18"/>
                <w:szCs w:val="18"/>
                <w:lang w:val="en-US"/>
              </w:rPr>
              <w:t xml:space="preserve">6- to conduct </w:t>
            </w:r>
            <w:proofErr w:type="spellStart"/>
            <w:r w:rsidRPr="00BB4B25">
              <w:rPr>
                <w:rFonts w:eastAsia="Times New Roman"/>
                <w:color w:val="FF0000"/>
                <w:sz w:val="18"/>
                <w:szCs w:val="18"/>
                <w:lang w:val="en-US"/>
              </w:rPr>
              <w:t>i</w:t>
            </w:r>
            <w:proofErr w:type="spellEnd"/>
            <w:r w:rsidRPr="00BB4B25">
              <w:rPr>
                <w:rFonts w:eastAsia="Times New Roman"/>
                <w:color w:val="FF0000"/>
                <w:sz w:val="18"/>
                <w:szCs w:val="18"/>
                <w:lang w:val="en-US"/>
              </w:rPr>
              <w:t xml:space="preserve">) strategy for Reforestation with species of high economic value and management in partnership with inter-professions. ii) to </w:t>
            </w:r>
            <w:r w:rsidR="00B168B9" w:rsidRPr="00BB4B25">
              <w:rPr>
                <w:rFonts w:eastAsia="Times New Roman"/>
                <w:color w:val="FF0000"/>
                <w:sz w:val="18"/>
                <w:szCs w:val="18"/>
                <w:lang w:val="en-US"/>
              </w:rPr>
              <w:t>identify</w:t>
            </w:r>
            <w:r w:rsidRPr="00BB4B25">
              <w:rPr>
                <w:rFonts w:eastAsia="Times New Roman"/>
                <w:color w:val="FF0000"/>
                <w:sz w:val="18"/>
                <w:szCs w:val="18"/>
                <w:lang w:val="en-US"/>
              </w:rPr>
              <w:t xml:space="preserve"> and analyze the two existing ecotourism </w:t>
            </w:r>
            <w:proofErr w:type="gramStart"/>
            <w:r w:rsidRPr="00BB4B25">
              <w:rPr>
                <w:rFonts w:eastAsia="Times New Roman"/>
                <w:color w:val="FF0000"/>
                <w:sz w:val="18"/>
                <w:szCs w:val="18"/>
                <w:lang w:val="en-US"/>
              </w:rPr>
              <w:t>sites,  120</w:t>
            </w:r>
            <w:proofErr w:type="gramEnd"/>
            <w:r w:rsidRPr="00BB4B25">
              <w:rPr>
                <w:rFonts w:eastAsia="Times New Roman"/>
                <w:color w:val="FF0000"/>
                <w:sz w:val="18"/>
                <w:szCs w:val="18"/>
                <w:lang w:val="en-US"/>
              </w:rPr>
              <w:t xml:space="preserve"> K$ over 14 months (activity 3,1,4,1) </w:t>
            </w:r>
            <w:r w:rsidRPr="00BB4B25">
              <w:rPr>
                <w:rFonts w:eastAsia="Times New Roman"/>
                <w:color w:val="FF0000"/>
                <w:sz w:val="18"/>
                <w:szCs w:val="18"/>
                <w:lang w:val="en-US"/>
              </w:rPr>
              <w:br/>
              <w:t xml:space="preserve">7- to develop a strategy and implement </w:t>
            </w:r>
            <w:proofErr w:type="spellStart"/>
            <w:r w:rsidRPr="00BB4B25">
              <w:rPr>
                <w:rFonts w:eastAsia="Times New Roman"/>
                <w:color w:val="FF0000"/>
                <w:sz w:val="18"/>
                <w:szCs w:val="18"/>
                <w:lang w:val="en-US"/>
              </w:rPr>
              <w:t>i</w:t>
            </w:r>
            <w:proofErr w:type="spellEnd"/>
            <w:r w:rsidRPr="00BB4B25">
              <w:rPr>
                <w:rFonts w:eastAsia="Times New Roman"/>
                <w:color w:val="FF0000"/>
                <w:sz w:val="18"/>
                <w:szCs w:val="18"/>
                <w:lang w:val="en-US"/>
              </w:rPr>
              <w:t xml:space="preserve">) </w:t>
            </w:r>
            <w:proofErr w:type="spellStart"/>
            <w:r w:rsidRPr="00BB4B25">
              <w:rPr>
                <w:rFonts w:eastAsia="Times New Roman"/>
                <w:color w:val="FF0000"/>
                <w:sz w:val="18"/>
                <w:szCs w:val="18"/>
                <w:lang w:val="en-US"/>
              </w:rPr>
              <w:t>Agro</w:t>
            </w:r>
            <w:proofErr w:type="spellEnd"/>
            <w:r w:rsidRPr="00BB4B25">
              <w:rPr>
                <w:rFonts w:eastAsia="Times New Roman"/>
                <w:color w:val="FF0000"/>
                <w:sz w:val="18"/>
                <w:szCs w:val="18"/>
                <w:lang w:val="en-US"/>
              </w:rPr>
              <w:t xml:space="preserve">-economy and value chain to Support women entrepreneurs in market-growing areas) ii) to support with the Selection and provision of urban green spaces 100K$ over 18months </w:t>
            </w:r>
          </w:p>
        </w:tc>
      </w:tr>
      <w:tr w:rsidR="0078100E" w:rsidRPr="00F50786" w14:paraId="4840BE51" w14:textId="77777777" w:rsidTr="00441D01">
        <w:trPr>
          <w:gridAfter w:val="1"/>
          <w:wAfter w:w="160" w:type="dxa"/>
          <w:trHeight w:val="680"/>
        </w:trPr>
        <w:tc>
          <w:tcPr>
            <w:tcW w:w="954" w:type="dxa"/>
            <w:tcBorders>
              <w:top w:val="nil"/>
              <w:left w:val="single" w:sz="4" w:space="0" w:color="auto"/>
              <w:bottom w:val="single" w:sz="4" w:space="0" w:color="auto"/>
              <w:right w:val="single" w:sz="4" w:space="0" w:color="auto"/>
            </w:tcBorders>
            <w:hideMark/>
          </w:tcPr>
          <w:p w14:paraId="10952590"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29</w:t>
            </w:r>
          </w:p>
        </w:tc>
        <w:tc>
          <w:tcPr>
            <w:tcW w:w="12926" w:type="dxa"/>
            <w:tcBorders>
              <w:top w:val="nil"/>
              <w:left w:val="single" w:sz="4" w:space="0" w:color="auto"/>
              <w:bottom w:val="single" w:sz="4" w:space="0" w:color="auto"/>
              <w:right w:val="single" w:sz="4" w:space="0" w:color="auto"/>
            </w:tcBorders>
            <w:hideMark/>
          </w:tcPr>
          <w:p w14:paraId="44CEAFF2"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Purchase of sustainable transport light equipment (electric cargo tricycle, shared solar recharging kit, etc.) for women entrepreneurs in market-growing areas for a total of 13500$</w:t>
            </w:r>
          </w:p>
        </w:tc>
      </w:tr>
      <w:tr w:rsidR="0078100E" w:rsidRPr="00BB4B25" w14:paraId="598F2C38" w14:textId="77777777" w:rsidTr="00441D01">
        <w:trPr>
          <w:gridAfter w:val="1"/>
          <w:wAfter w:w="160" w:type="dxa"/>
          <w:trHeight w:val="1512"/>
        </w:trPr>
        <w:tc>
          <w:tcPr>
            <w:tcW w:w="954" w:type="dxa"/>
            <w:tcBorders>
              <w:top w:val="nil"/>
              <w:left w:val="single" w:sz="4" w:space="0" w:color="auto"/>
              <w:bottom w:val="single" w:sz="4" w:space="0" w:color="auto"/>
              <w:right w:val="single" w:sz="4" w:space="0" w:color="auto"/>
            </w:tcBorders>
            <w:hideMark/>
          </w:tcPr>
          <w:p w14:paraId="76D1F660"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30</w:t>
            </w:r>
          </w:p>
        </w:tc>
        <w:tc>
          <w:tcPr>
            <w:tcW w:w="12926" w:type="dxa"/>
            <w:tcBorders>
              <w:top w:val="nil"/>
              <w:left w:val="single" w:sz="4" w:space="0" w:color="auto"/>
              <w:bottom w:val="single" w:sz="4" w:space="0" w:color="auto"/>
              <w:right w:val="single" w:sz="4" w:space="0" w:color="auto"/>
            </w:tcBorders>
            <w:hideMark/>
          </w:tcPr>
          <w:p w14:paraId="6FE5AF9E" w14:textId="77777777" w:rsidR="0078100E" w:rsidRPr="00BB4B25" w:rsidRDefault="0078100E" w:rsidP="00441D01">
            <w:pPr>
              <w:spacing w:after="0" w:line="240" w:lineRule="auto"/>
              <w:rPr>
                <w:rFonts w:eastAsia="Times New Roman"/>
                <w:color w:val="000000"/>
                <w:sz w:val="18"/>
                <w:szCs w:val="18"/>
              </w:rPr>
            </w:pPr>
            <w:r w:rsidRPr="00BB4B25">
              <w:rPr>
                <w:rFonts w:eastAsia="Times New Roman"/>
                <w:b/>
                <w:bCs/>
                <w:color w:val="000000"/>
                <w:sz w:val="18"/>
                <w:szCs w:val="18"/>
                <w:lang w:val="en-US"/>
              </w:rPr>
              <w:t xml:space="preserve">Purchase of : </w:t>
            </w:r>
            <w:r w:rsidRPr="00BB4B25">
              <w:rPr>
                <w:rFonts w:eastAsia="Times New Roman"/>
                <w:color w:val="000000"/>
                <w:sz w:val="18"/>
                <w:szCs w:val="18"/>
                <w:lang w:val="en-US"/>
              </w:rPr>
              <w:br/>
            </w:r>
            <w:r w:rsidRPr="00BB4B25">
              <w:rPr>
                <w:rFonts w:eastAsia="Times New Roman"/>
                <w:color w:val="000000"/>
                <w:sz w:val="18"/>
                <w:szCs w:val="18"/>
                <w:lang w:val="en-US"/>
              </w:rPr>
              <w:br/>
              <w:t>1- marketing support materials (preservation, conditioning, packaging and labelling, kiosk for local sales -</w:t>
            </w:r>
            <w:proofErr w:type="spellStart"/>
            <w:r w:rsidRPr="00BB4B25">
              <w:rPr>
                <w:rFonts w:eastAsia="Times New Roman"/>
                <w:color w:val="000000"/>
                <w:sz w:val="18"/>
                <w:szCs w:val="18"/>
                <w:lang w:val="en-US"/>
              </w:rPr>
              <w:t>etc</w:t>
            </w:r>
            <w:proofErr w:type="spellEnd"/>
            <w:r w:rsidRPr="00BB4B25">
              <w:rPr>
                <w:rFonts w:eastAsia="Times New Roman"/>
                <w:color w:val="000000"/>
                <w:sz w:val="18"/>
                <w:szCs w:val="18"/>
                <w:lang w:val="en-US"/>
              </w:rPr>
              <w:t>,) for a total of 16500$ for women entrepreneurs in market-growing areas.</w:t>
            </w:r>
            <w:r w:rsidRPr="00BB4B25">
              <w:rPr>
                <w:rFonts w:eastAsia="Times New Roman"/>
                <w:color w:val="000000"/>
                <w:sz w:val="18"/>
                <w:szCs w:val="18"/>
                <w:lang w:val="en-US"/>
              </w:rPr>
              <w:br/>
              <w:t xml:space="preserve">2- goods to the 2 sites of ecotourism (Bicycles, Hammocks or hanging tents, educational panels, designer sorting stations, composting, 10 solar kits for bungalows etc..) </w:t>
            </w:r>
            <w:r w:rsidRPr="00BB4B25">
              <w:rPr>
                <w:rFonts w:eastAsia="Times New Roman"/>
                <w:color w:val="000000"/>
                <w:sz w:val="18"/>
                <w:szCs w:val="18"/>
              </w:rPr>
              <w:t>for a total of 20k$</w:t>
            </w:r>
          </w:p>
        </w:tc>
      </w:tr>
      <w:tr w:rsidR="0078100E" w:rsidRPr="00F50786" w14:paraId="64910158" w14:textId="77777777" w:rsidTr="00441D01">
        <w:trPr>
          <w:gridAfter w:val="1"/>
          <w:wAfter w:w="160" w:type="dxa"/>
          <w:trHeight w:val="495"/>
        </w:trPr>
        <w:tc>
          <w:tcPr>
            <w:tcW w:w="954" w:type="dxa"/>
            <w:tcBorders>
              <w:top w:val="nil"/>
              <w:left w:val="single" w:sz="4" w:space="0" w:color="auto"/>
              <w:bottom w:val="single" w:sz="4" w:space="0" w:color="auto"/>
              <w:right w:val="single" w:sz="4" w:space="0" w:color="auto"/>
            </w:tcBorders>
            <w:hideMark/>
          </w:tcPr>
          <w:p w14:paraId="64A048DE"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31</w:t>
            </w:r>
          </w:p>
        </w:tc>
        <w:tc>
          <w:tcPr>
            <w:tcW w:w="12926" w:type="dxa"/>
            <w:tcBorders>
              <w:top w:val="nil"/>
              <w:left w:val="single" w:sz="4" w:space="0" w:color="auto"/>
              <w:bottom w:val="single" w:sz="4" w:space="0" w:color="auto"/>
              <w:right w:val="single" w:sz="4" w:space="0" w:color="auto"/>
            </w:tcBorders>
            <w:hideMark/>
          </w:tcPr>
          <w:p w14:paraId="74185565" w14:textId="77777777" w:rsidR="0078100E" w:rsidRPr="00BB4B25" w:rsidRDefault="0078100E" w:rsidP="00441D01">
            <w:pPr>
              <w:spacing w:after="0" w:line="240" w:lineRule="auto"/>
              <w:rPr>
                <w:rFonts w:eastAsia="Times New Roman"/>
                <w:color w:val="000000"/>
                <w:sz w:val="18"/>
                <w:szCs w:val="18"/>
                <w:lang w:val="en-US"/>
              </w:rPr>
            </w:pPr>
            <w:proofErr w:type="gramStart"/>
            <w:r w:rsidRPr="00BB4B25">
              <w:rPr>
                <w:rFonts w:eastAsia="Times New Roman"/>
                <w:color w:val="000000"/>
                <w:sz w:val="18"/>
                <w:szCs w:val="18"/>
                <w:lang w:val="en-US"/>
              </w:rPr>
              <w:t>Purchase  of</w:t>
            </w:r>
            <w:proofErr w:type="gramEnd"/>
            <w:r w:rsidRPr="00BB4B25">
              <w:rPr>
                <w:rFonts w:eastAsia="Times New Roman"/>
                <w:color w:val="000000"/>
                <w:sz w:val="18"/>
                <w:szCs w:val="18"/>
                <w:lang w:val="en-US"/>
              </w:rPr>
              <w:t xml:space="preserve"> </w:t>
            </w:r>
            <w:proofErr w:type="spellStart"/>
            <w:r w:rsidRPr="00BB4B25">
              <w:rPr>
                <w:rFonts w:eastAsia="Times New Roman"/>
                <w:color w:val="000000"/>
                <w:sz w:val="18"/>
                <w:szCs w:val="18"/>
                <w:lang w:val="en-US"/>
              </w:rPr>
              <w:t>equipemnts</w:t>
            </w:r>
            <w:proofErr w:type="spellEnd"/>
            <w:r w:rsidRPr="00BB4B25">
              <w:rPr>
                <w:rFonts w:eastAsia="Times New Roman"/>
                <w:color w:val="000000"/>
                <w:sz w:val="18"/>
                <w:szCs w:val="18"/>
                <w:lang w:val="en-US"/>
              </w:rPr>
              <w:t xml:space="preserve"> or SIFOR: $3,000 (forestry equipment) + 1 GPS $10,000 + 1 drone $10,000 + software ($5,000) + server $10,000 + 5 * $500 for near-field GPS.</w:t>
            </w:r>
          </w:p>
        </w:tc>
      </w:tr>
      <w:tr w:rsidR="0078100E" w:rsidRPr="00F50786" w14:paraId="07EFFA13" w14:textId="77777777" w:rsidTr="00441D01">
        <w:trPr>
          <w:gridAfter w:val="1"/>
          <w:wAfter w:w="160" w:type="dxa"/>
          <w:trHeight w:val="288"/>
        </w:trPr>
        <w:tc>
          <w:tcPr>
            <w:tcW w:w="954" w:type="dxa"/>
            <w:tcBorders>
              <w:top w:val="nil"/>
              <w:left w:val="single" w:sz="4" w:space="0" w:color="auto"/>
              <w:bottom w:val="single" w:sz="4" w:space="0" w:color="auto"/>
              <w:right w:val="single" w:sz="4" w:space="0" w:color="auto"/>
            </w:tcBorders>
            <w:hideMark/>
          </w:tcPr>
          <w:p w14:paraId="29ED7E56"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32</w:t>
            </w:r>
          </w:p>
        </w:tc>
        <w:tc>
          <w:tcPr>
            <w:tcW w:w="12926" w:type="dxa"/>
            <w:tcBorders>
              <w:top w:val="nil"/>
              <w:left w:val="single" w:sz="4" w:space="0" w:color="auto"/>
              <w:bottom w:val="single" w:sz="4" w:space="0" w:color="auto"/>
              <w:right w:val="single" w:sz="4" w:space="0" w:color="auto"/>
            </w:tcBorders>
            <w:hideMark/>
          </w:tcPr>
          <w:p w14:paraId="17147C44" w14:textId="493CD4EA"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 xml:space="preserve">Communication costs for activities 3.1.4.1, 3.1.4.2 </w:t>
            </w:r>
            <w:r w:rsidRPr="00BB4B25">
              <w:rPr>
                <w:rFonts w:eastAsia="Times New Roman"/>
                <w:color w:val="FF0000"/>
                <w:sz w:val="18"/>
                <w:szCs w:val="18"/>
                <w:lang w:val="en-US"/>
              </w:rPr>
              <w:t>for a total of 41,48</w:t>
            </w:r>
            <w:r w:rsidR="00CB2567">
              <w:rPr>
                <w:rFonts w:eastAsia="Times New Roman"/>
                <w:color w:val="FF0000"/>
                <w:sz w:val="18"/>
                <w:szCs w:val="18"/>
                <w:lang w:val="en-US"/>
              </w:rPr>
              <w:t>2</w:t>
            </w:r>
            <w:r w:rsidRPr="00BB4B25">
              <w:rPr>
                <w:rFonts w:eastAsia="Times New Roman"/>
                <w:color w:val="FF0000"/>
                <w:sz w:val="18"/>
                <w:szCs w:val="18"/>
                <w:lang w:val="en-US"/>
              </w:rPr>
              <w:t xml:space="preserve"> $</w:t>
            </w:r>
          </w:p>
        </w:tc>
      </w:tr>
      <w:tr w:rsidR="0078100E" w:rsidRPr="00F50786" w14:paraId="42C43744" w14:textId="77777777" w:rsidTr="00441D01">
        <w:trPr>
          <w:gridAfter w:val="1"/>
          <w:wAfter w:w="160" w:type="dxa"/>
          <w:trHeight w:val="480"/>
        </w:trPr>
        <w:tc>
          <w:tcPr>
            <w:tcW w:w="954" w:type="dxa"/>
            <w:tcBorders>
              <w:top w:val="nil"/>
              <w:left w:val="single" w:sz="4" w:space="0" w:color="auto"/>
              <w:bottom w:val="single" w:sz="4" w:space="0" w:color="auto"/>
              <w:right w:val="single" w:sz="4" w:space="0" w:color="auto"/>
            </w:tcBorders>
            <w:hideMark/>
          </w:tcPr>
          <w:p w14:paraId="1C595550"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33</w:t>
            </w:r>
          </w:p>
        </w:tc>
        <w:tc>
          <w:tcPr>
            <w:tcW w:w="12926" w:type="dxa"/>
            <w:tcBorders>
              <w:top w:val="nil"/>
              <w:left w:val="single" w:sz="4" w:space="0" w:color="auto"/>
              <w:bottom w:val="single" w:sz="4" w:space="0" w:color="auto"/>
              <w:right w:val="single" w:sz="4" w:space="0" w:color="auto"/>
            </w:tcBorders>
            <w:hideMark/>
          </w:tcPr>
          <w:p w14:paraId="2A2AB08F" w14:textId="77777777" w:rsidR="0078100E" w:rsidRPr="00BB4B25" w:rsidRDefault="0078100E" w:rsidP="00441D01">
            <w:pPr>
              <w:spacing w:after="0" w:line="240" w:lineRule="auto"/>
              <w:rPr>
                <w:rFonts w:eastAsia="Times New Roman"/>
                <w:sz w:val="18"/>
                <w:szCs w:val="18"/>
                <w:lang w:val="en-US"/>
              </w:rPr>
            </w:pPr>
            <w:r w:rsidRPr="00BB4B25">
              <w:rPr>
                <w:rFonts w:eastAsia="Times New Roman"/>
                <w:sz w:val="18"/>
                <w:szCs w:val="18"/>
                <w:lang w:val="en-US"/>
              </w:rPr>
              <w:t xml:space="preserve">Travel expenses for GDWF to carry out Activity 3.1.3.3: 4 staff x $223 (DSA Bamako) x 9 nights: 8,028$; Travel for 2 for COP BD (300$ x 4 nights + 1000 $ air ticket+ 300$ visa cost) x 2 </w:t>
            </w:r>
            <w:proofErr w:type="gramStart"/>
            <w:r w:rsidRPr="00BB4B25">
              <w:rPr>
                <w:rFonts w:eastAsia="Times New Roman"/>
                <w:sz w:val="18"/>
                <w:szCs w:val="18"/>
                <w:lang w:val="en-US"/>
              </w:rPr>
              <w:t>participants :</w:t>
            </w:r>
            <w:proofErr w:type="gramEnd"/>
            <w:r w:rsidRPr="00BB4B25">
              <w:rPr>
                <w:rFonts w:eastAsia="Times New Roman"/>
                <w:sz w:val="18"/>
                <w:szCs w:val="18"/>
                <w:lang w:val="en-US"/>
              </w:rPr>
              <w:t xml:space="preserve"> 5000$; For </w:t>
            </w:r>
            <w:proofErr w:type="spellStart"/>
            <w:r w:rsidRPr="00BB4B25">
              <w:rPr>
                <w:rFonts w:eastAsia="Times New Roman"/>
                <w:sz w:val="18"/>
                <w:szCs w:val="18"/>
                <w:lang w:val="en-US"/>
              </w:rPr>
              <w:t>actotal</w:t>
            </w:r>
            <w:proofErr w:type="spellEnd"/>
            <w:r w:rsidRPr="00BB4B25">
              <w:rPr>
                <w:rFonts w:eastAsia="Times New Roman"/>
                <w:sz w:val="18"/>
                <w:szCs w:val="18"/>
                <w:lang w:val="en-US"/>
              </w:rPr>
              <w:t xml:space="preserve"> amount of 13,028$</w:t>
            </w:r>
          </w:p>
        </w:tc>
      </w:tr>
      <w:tr w:rsidR="0078100E" w:rsidRPr="00F50786" w14:paraId="4BFFF147" w14:textId="77777777" w:rsidTr="00441D01">
        <w:trPr>
          <w:gridAfter w:val="1"/>
          <w:wAfter w:w="160" w:type="dxa"/>
          <w:trHeight w:val="480"/>
        </w:trPr>
        <w:tc>
          <w:tcPr>
            <w:tcW w:w="954" w:type="dxa"/>
            <w:tcBorders>
              <w:top w:val="nil"/>
              <w:left w:val="single" w:sz="4" w:space="0" w:color="auto"/>
              <w:bottom w:val="single" w:sz="4" w:space="0" w:color="auto"/>
              <w:right w:val="single" w:sz="4" w:space="0" w:color="auto"/>
            </w:tcBorders>
            <w:hideMark/>
          </w:tcPr>
          <w:p w14:paraId="7C88F2F5"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34</w:t>
            </w:r>
          </w:p>
        </w:tc>
        <w:tc>
          <w:tcPr>
            <w:tcW w:w="12926" w:type="dxa"/>
            <w:tcBorders>
              <w:top w:val="nil"/>
              <w:left w:val="single" w:sz="4" w:space="0" w:color="auto"/>
              <w:bottom w:val="single" w:sz="4" w:space="0" w:color="auto"/>
              <w:right w:val="single" w:sz="4" w:space="0" w:color="auto"/>
            </w:tcBorders>
            <w:hideMark/>
          </w:tcPr>
          <w:p w14:paraId="2CDD973E"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33 workshops x an average cost of $2500 per workshop among them 8 key workshops maximum with travel expenses for 40pax ($25 x 40pax = $1,000 x 8 workshops) for a total of 90,500$</w:t>
            </w:r>
          </w:p>
        </w:tc>
      </w:tr>
      <w:tr w:rsidR="0078100E" w:rsidRPr="00F50786" w14:paraId="3B49FA4C" w14:textId="77777777" w:rsidTr="00441D01">
        <w:trPr>
          <w:gridAfter w:val="1"/>
          <w:wAfter w:w="160" w:type="dxa"/>
          <w:trHeight w:val="1304"/>
        </w:trPr>
        <w:tc>
          <w:tcPr>
            <w:tcW w:w="954" w:type="dxa"/>
            <w:tcBorders>
              <w:top w:val="nil"/>
              <w:left w:val="single" w:sz="4" w:space="0" w:color="auto"/>
              <w:bottom w:val="single" w:sz="4" w:space="0" w:color="auto"/>
              <w:right w:val="single" w:sz="4" w:space="0" w:color="auto"/>
            </w:tcBorders>
            <w:hideMark/>
          </w:tcPr>
          <w:p w14:paraId="34D7FCC5" w14:textId="77777777" w:rsidR="0078100E" w:rsidRPr="00BB4B25" w:rsidRDefault="0078100E" w:rsidP="00441D01">
            <w:pPr>
              <w:spacing w:after="0" w:line="240" w:lineRule="auto"/>
              <w:rPr>
                <w:rFonts w:eastAsia="Times New Roman"/>
                <w:color w:val="000000"/>
                <w:sz w:val="18"/>
                <w:szCs w:val="18"/>
              </w:rPr>
            </w:pPr>
            <w:r w:rsidRPr="00BB4B25">
              <w:rPr>
                <w:rFonts w:eastAsia="Times New Roman"/>
                <w:color w:val="000000"/>
                <w:sz w:val="18"/>
                <w:szCs w:val="18"/>
              </w:rPr>
              <w:t>35</w:t>
            </w:r>
          </w:p>
        </w:tc>
        <w:tc>
          <w:tcPr>
            <w:tcW w:w="12926" w:type="dxa"/>
            <w:tcBorders>
              <w:top w:val="nil"/>
              <w:left w:val="single" w:sz="4" w:space="0" w:color="auto"/>
              <w:bottom w:val="single" w:sz="4" w:space="0" w:color="auto"/>
              <w:right w:val="single" w:sz="4" w:space="0" w:color="auto"/>
            </w:tcBorders>
            <w:hideMark/>
          </w:tcPr>
          <w:p w14:paraId="5D08F272"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Call for projects for NGOs co-financed by the GEFSGP (Activity 3.1.4.3</w:t>
            </w:r>
            <w:proofErr w:type="gramStart"/>
            <w:r w:rsidRPr="00BB4B25">
              <w:rPr>
                <w:rFonts w:eastAsia="Times New Roman"/>
                <w:color w:val="000000"/>
                <w:sz w:val="18"/>
                <w:szCs w:val="18"/>
                <w:lang w:val="en-US"/>
              </w:rPr>
              <w:t>)  The</w:t>
            </w:r>
            <w:proofErr w:type="gramEnd"/>
            <w:r w:rsidRPr="00BB4B25">
              <w:rPr>
                <w:rFonts w:eastAsia="Times New Roman"/>
                <w:color w:val="000000"/>
                <w:sz w:val="18"/>
                <w:szCs w:val="18"/>
                <w:lang w:val="en-US"/>
              </w:rPr>
              <w:t xml:space="preserve"> project will focus on innovation, community-led solutions that address environmental sustainability, social inclusion, and economic resilience. This includes providing technical assistance, capacity building, and financial support to local groups—especially those led by women, youth, and marginalized populations—to scale up their impactful projects. The project selection criteria will be linked to the main subjects identified in component 1, 2 and 3 to include local population in the efforts of </w:t>
            </w:r>
            <w:proofErr w:type="spellStart"/>
            <w:r w:rsidRPr="00BB4B25">
              <w:rPr>
                <w:rFonts w:eastAsia="Times New Roman"/>
                <w:color w:val="000000"/>
                <w:sz w:val="18"/>
                <w:szCs w:val="18"/>
                <w:lang w:val="en-US"/>
              </w:rPr>
              <w:t>N</w:t>
            </w:r>
            <w:r w:rsidRPr="00BB4B25">
              <w:rPr>
                <w:rFonts w:eastAsia="Times New Roman"/>
                <w:color w:val="FF0000"/>
                <w:sz w:val="18"/>
                <w:szCs w:val="18"/>
                <w:lang w:val="en-US"/>
              </w:rPr>
              <w:t>on Motorized</w:t>
            </w:r>
            <w:proofErr w:type="spellEnd"/>
            <w:r w:rsidRPr="00BB4B25">
              <w:rPr>
                <w:rFonts w:eastAsia="Times New Roman"/>
                <w:color w:val="FF0000"/>
                <w:sz w:val="18"/>
                <w:szCs w:val="18"/>
                <w:lang w:val="en-US"/>
              </w:rPr>
              <w:t xml:space="preserve"> </w:t>
            </w:r>
            <w:proofErr w:type="gramStart"/>
            <w:r w:rsidRPr="00BB4B25">
              <w:rPr>
                <w:rFonts w:eastAsia="Times New Roman"/>
                <w:color w:val="FF0000"/>
                <w:sz w:val="18"/>
                <w:szCs w:val="18"/>
                <w:lang w:val="en-US"/>
              </w:rPr>
              <w:t>Transport ,</w:t>
            </w:r>
            <w:proofErr w:type="gramEnd"/>
            <w:r w:rsidRPr="00BB4B25">
              <w:rPr>
                <w:rFonts w:eastAsia="Times New Roman"/>
                <w:color w:val="FF0000"/>
                <w:sz w:val="18"/>
                <w:szCs w:val="18"/>
                <w:lang w:val="en-US"/>
              </w:rPr>
              <w:t xml:space="preserve"> sustainable building solutions, waste management, building raising awareness among forest communities, water pollution, sustainable urban agriculture, landscaped area management etc.</w:t>
            </w:r>
          </w:p>
        </w:tc>
      </w:tr>
      <w:tr w:rsidR="0078100E" w:rsidRPr="00F50786" w14:paraId="7B626B49" w14:textId="77777777" w:rsidTr="00441D01">
        <w:trPr>
          <w:gridAfter w:val="1"/>
          <w:wAfter w:w="160" w:type="dxa"/>
          <w:trHeight w:val="405"/>
        </w:trPr>
        <w:tc>
          <w:tcPr>
            <w:tcW w:w="954" w:type="dxa"/>
            <w:tcBorders>
              <w:top w:val="nil"/>
              <w:left w:val="single" w:sz="4" w:space="0" w:color="auto"/>
              <w:bottom w:val="single" w:sz="4" w:space="0" w:color="auto"/>
              <w:right w:val="single" w:sz="4" w:space="0" w:color="auto"/>
            </w:tcBorders>
            <w:hideMark/>
          </w:tcPr>
          <w:p w14:paraId="20140B41"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36</w:t>
            </w:r>
          </w:p>
        </w:tc>
        <w:tc>
          <w:tcPr>
            <w:tcW w:w="12926" w:type="dxa"/>
            <w:tcBorders>
              <w:top w:val="nil"/>
              <w:left w:val="single" w:sz="4" w:space="0" w:color="auto"/>
              <w:bottom w:val="single" w:sz="4" w:space="0" w:color="auto"/>
              <w:right w:val="single" w:sz="4" w:space="0" w:color="auto"/>
            </w:tcBorders>
            <w:hideMark/>
          </w:tcPr>
          <w:p w14:paraId="3C0087B1"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 xml:space="preserve">national Expert to develop project exit strategy :48 man/day x $250 = $12k </w:t>
            </w:r>
          </w:p>
        </w:tc>
      </w:tr>
      <w:tr w:rsidR="008631EE" w:rsidRPr="00F50786" w14:paraId="281213B6" w14:textId="77777777" w:rsidTr="00441D01">
        <w:trPr>
          <w:gridAfter w:val="1"/>
          <w:wAfter w:w="160" w:type="dxa"/>
          <w:trHeight w:val="907"/>
        </w:trPr>
        <w:tc>
          <w:tcPr>
            <w:tcW w:w="954" w:type="dxa"/>
            <w:tcBorders>
              <w:top w:val="nil"/>
              <w:left w:val="single" w:sz="4" w:space="0" w:color="auto"/>
              <w:bottom w:val="single" w:sz="4" w:space="0" w:color="auto"/>
              <w:right w:val="single" w:sz="4" w:space="0" w:color="auto"/>
            </w:tcBorders>
            <w:hideMark/>
          </w:tcPr>
          <w:p w14:paraId="09BAD57F"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lastRenderedPageBreak/>
              <w:t>37</w:t>
            </w:r>
          </w:p>
        </w:tc>
        <w:tc>
          <w:tcPr>
            <w:tcW w:w="12926" w:type="dxa"/>
            <w:tcBorders>
              <w:top w:val="nil"/>
              <w:left w:val="single" w:sz="4" w:space="0" w:color="auto"/>
              <w:bottom w:val="single" w:sz="4" w:space="0" w:color="auto"/>
              <w:right w:val="single" w:sz="4" w:space="0" w:color="auto"/>
            </w:tcBorders>
            <w:hideMark/>
          </w:tcPr>
          <w:p w14:paraId="5F9D13EB"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 xml:space="preserve">Consultancy </w:t>
            </w:r>
            <w:proofErr w:type="gramStart"/>
            <w:r w:rsidRPr="00BB4B25">
              <w:rPr>
                <w:rFonts w:eastAsia="Times New Roman"/>
                <w:color w:val="000000"/>
                <w:sz w:val="18"/>
                <w:szCs w:val="18"/>
                <w:lang w:val="en-US"/>
              </w:rPr>
              <w:t>firms :</w:t>
            </w:r>
            <w:proofErr w:type="gramEnd"/>
            <w:r w:rsidRPr="00BB4B25">
              <w:rPr>
                <w:rFonts w:eastAsia="Times New Roman"/>
                <w:color w:val="000000"/>
                <w:sz w:val="18"/>
                <w:szCs w:val="18"/>
                <w:lang w:val="en-US"/>
              </w:rPr>
              <w:t xml:space="preserve"> </w:t>
            </w:r>
            <w:r w:rsidRPr="00BB4B25">
              <w:rPr>
                <w:rFonts w:eastAsia="Times New Roman"/>
                <w:color w:val="000000"/>
                <w:sz w:val="18"/>
                <w:szCs w:val="18"/>
                <w:lang w:val="en-US"/>
              </w:rPr>
              <w:br/>
              <w:t xml:space="preserve">1-  to conduct 2 opinion Polls/surveys to set the baseline and then to measure the change of </w:t>
            </w:r>
            <w:proofErr w:type="spellStart"/>
            <w:r w:rsidRPr="00BB4B25">
              <w:rPr>
                <w:rFonts w:eastAsia="Times New Roman"/>
                <w:color w:val="000000"/>
                <w:sz w:val="18"/>
                <w:szCs w:val="18"/>
                <w:lang w:val="en-US"/>
              </w:rPr>
              <w:t>behaviour</w:t>
            </w:r>
            <w:proofErr w:type="spellEnd"/>
            <w:r w:rsidRPr="00BB4B25">
              <w:rPr>
                <w:rFonts w:eastAsia="Times New Roman"/>
                <w:color w:val="000000"/>
                <w:sz w:val="18"/>
                <w:szCs w:val="18"/>
                <w:lang w:val="en-US"/>
              </w:rPr>
              <w:t xml:space="preserve"> regarding </w:t>
            </w:r>
            <w:proofErr w:type="spellStart"/>
            <w:r w:rsidRPr="00BB4B25">
              <w:rPr>
                <w:rFonts w:eastAsia="Times New Roman"/>
                <w:color w:val="000000"/>
                <w:sz w:val="18"/>
                <w:szCs w:val="18"/>
                <w:lang w:val="en-US"/>
              </w:rPr>
              <w:t>regarding</w:t>
            </w:r>
            <w:proofErr w:type="spellEnd"/>
            <w:r w:rsidRPr="00BB4B25">
              <w:rPr>
                <w:rFonts w:eastAsia="Times New Roman"/>
                <w:color w:val="000000"/>
                <w:sz w:val="18"/>
                <w:szCs w:val="18"/>
                <w:lang w:val="en-US"/>
              </w:rPr>
              <w:t xml:space="preserve"> sustainable practices, 60k$ 2- </w:t>
            </w:r>
            <w:r w:rsidRPr="00BB4B25">
              <w:rPr>
                <w:rFonts w:eastAsia="Times New Roman"/>
                <w:color w:val="FF0000"/>
                <w:sz w:val="18"/>
                <w:szCs w:val="18"/>
                <w:lang w:val="en-US"/>
              </w:rPr>
              <w:t xml:space="preserve">to develop a digital </w:t>
            </w:r>
            <w:proofErr w:type="spellStart"/>
            <w:r w:rsidRPr="00BB4B25">
              <w:rPr>
                <w:rFonts w:eastAsia="Times New Roman"/>
                <w:color w:val="FF0000"/>
                <w:sz w:val="18"/>
                <w:szCs w:val="18"/>
                <w:lang w:val="en-US"/>
              </w:rPr>
              <w:t>knowledgeand</w:t>
            </w:r>
            <w:proofErr w:type="spellEnd"/>
            <w:r w:rsidRPr="00BB4B25">
              <w:rPr>
                <w:rFonts w:eastAsia="Times New Roman"/>
                <w:color w:val="FF0000"/>
                <w:sz w:val="18"/>
                <w:szCs w:val="18"/>
                <w:lang w:val="en-US"/>
              </w:rPr>
              <w:t xml:space="preserve"> gender-responsive data system  section/window  under the Digital platform </w:t>
            </w:r>
            <w:proofErr w:type="spellStart"/>
            <w:r w:rsidRPr="00BB4B25">
              <w:rPr>
                <w:rFonts w:eastAsia="Times New Roman"/>
                <w:color w:val="FF0000"/>
                <w:sz w:val="18"/>
                <w:szCs w:val="18"/>
                <w:lang w:val="en-US"/>
              </w:rPr>
              <w:t>developped</w:t>
            </w:r>
            <w:proofErr w:type="spellEnd"/>
            <w:r w:rsidRPr="00BB4B25">
              <w:rPr>
                <w:rFonts w:eastAsia="Times New Roman"/>
                <w:color w:val="FF0000"/>
                <w:sz w:val="18"/>
                <w:szCs w:val="18"/>
                <w:lang w:val="en-US"/>
              </w:rPr>
              <w:t xml:space="preserve"> by PRUBA for Bamako City :  20K$</w:t>
            </w:r>
          </w:p>
        </w:tc>
      </w:tr>
      <w:tr w:rsidR="0078100E" w:rsidRPr="00F50786" w14:paraId="7F5A3F11" w14:textId="77777777" w:rsidTr="00441D01">
        <w:trPr>
          <w:gridAfter w:val="1"/>
          <w:wAfter w:w="160" w:type="dxa"/>
          <w:trHeight w:val="288"/>
        </w:trPr>
        <w:tc>
          <w:tcPr>
            <w:tcW w:w="954" w:type="dxa"/>
            <w:tcBorders>
              <w:top w:val="nil"/>
              <w:left w:val="single" w:sz="4" w:space="0" w:color="auto"/>
              <w:bottom w:val="single" w:sz="4" w:space="0" w:color="auto"/>
              <w:right w:val="single" w:sz="4" w:space="0" w:color="auto"/>
            </w:tcBorders>
            <w:hideMark/>
          </w:tcPr>
          <w:p w14:paraId="588AF1D3"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38</w:t>
            </w:r>
          </w:p>
        </w:tc>
        <w:tc>
          <w:tcPr>
            <w:tcW w:w="12926" w:type="dxa"/>
            <w:tcBorders>
              <w:top w:val="nil"/>
              <w:left w:val="single" w:sz="4" w:space="0" w:color="auto"/>
              <w:bottom w:val="single" w:sz="4" w:space="0" w:color="auto"/>
              <w:right w:val="single" w:sz="4" w:space="0" w:color="auto"/>
            </w:tcBorders>
            <w:hideMark/>
          </w:tcPr>
          <w:p w14:paraId="656C1B25"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Cost of office + Laptop for Knowledge Management and Communication Specialist, equipment maintenance costs 6,268$</w:t>
            </w:r>
          </w:p>
        </w:tc>
      </w:tr>
      <w:tr w:rsidR="0078100E" w:rsidRPr="00BB4B25" w14:paraId="1E135DF3" w14:textId="77777777" w:rsidTr="00441D01">
        <w:trPr>
          <w:gridAfter w:val="1"/>
          <w:wAfter w:w="160" w:type="dxa"/>
          <w:trHeight w:val="510"/>
        </w:trPr>
        <w:tc>
          <w:tcPr>
            <w:tcW w:w="954" w:type="dxa"/>
            <w:tcBorders>
              <w:top w:val="nil"/>
              <w:left w:val="single" w:sz="4" w:space="0" w:color="auto"/>
              <w:bottom w:val="single" w:sz="4" w:space="0" w:color="auto"/>
              <w:right w:val="single" w:sz="4" w:space="0" w:color="auto"/>
            </w:tcBorders>
            <w:hideMark/>
          </w:tcPr>
          <w:p w14:paraId="44326D35"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39</w:t>
            </w:r>
          </w:p>
        </w:tc>
        <w:tc>
          <w:tcPr>
            <w:tcW w:w="12926" w:type="dxa"/>
            <w:tcBorders>
              <w:top w:val="nil"/>
              <w:left w:val="single" w:sz="4" w:space="0" w:color="auto"/>
              <w:bottom w:val="single" w:sz="4" w:space="0" w:color="auto"/>
              <w:right w:val="single" w:sz="4" w:space="0" w:color="auto"/>
            </w:tcBorders>
            <w:hideMark/>
          </w:tcPr>
          <w:p w14:paraId="5D9451CF"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 xml:space="preserve">Exchange mission costs with the global </w:t>
            </w:r>
            <w:proofErr w:type="spellStart"/>
            <w:r w:rsidRPr="00BB4B25">
              <w:rPr>
                <w:rFonts w:eastAsia="Times New Roman"/>
                <w:color w:val="000000"/>
                <w:sz w:val="18"/>
                <w:szCs w:val="18"/>
                <w:lang w:val="en-US"/>
              </w:rPr>
              <w:t>programme</w:t>
            </w:r>
            <w:proofErr w:type="spellEnd"/>
            <w:r w:rsidRPr="00BB4B25">
              <w:rPr>
                <w:rFonts w:eastAsia="Times New Roman"/>
                <w:color w:val="000000"/>
                <w:sz w:val="18"/>
                <w:szCs w:val="18"/>
                <w:lang w:val="en-US"/>
              </w:rPr>
              <w:t xml:space="preserve"> for sustainable cities (ticket $1500 + 4 nights x 300 DSA x 10 pax$27000) and $1500 cost visa etc... </w:t>
            </w:r>
            <w:proofErr w:type="gramStart"/>
            <w:r w:rsidRPr="00BB4B25">
              <w:rPr>
                <w:rFonts w:eastAsia="Times New Roman"/>
                <w:color w:val="000000"/>
                <w:sz w:val="18"/>
                <w:szCs w:val="18"/>
                <w:lang w:val="en-US"/>
              </w:rPr>
              <w:t xml:space="preserve"> ..</w:t>
            </w:r>
            <w:proofErr w:type="gramEnd"/>
            <w:r w:rsidRPr="00BB4B25">
              <w:rPr>
                <w:rFonts w:eastAsia="Times New Roman"/>
                <w:color w:val="000000"/>
                <w:sz w:val="18"/>
                <w:szCs w:val="18"/>
                <w:lang w:val="en-US"/>
              </w:rPr>
              <w:t xml:space="preserve">  for a total of 28,500$</w:t>
            </w:r>
          </w:p>
        </w:tc>
      </w:tr>
      <w:tr w:rsidR="0078100E" w:rsidRPr="00F50786" w14:paraId="38726842" w14:textId="77777777" w:rsidTr="00441D01">
        <w:trPr>
          <w:gridAfter w:val="1"/>
          <w:wAfter w:w="160" w:type="dxa"/>
          <w:trHeight w:val="480"/>
        </w:trPr>
        <w:tc>
          <w:tcPr>
            <w:tcW w:w="954" w:type="dxa"/>
            <w:vMerge w:val="restart"/>
            <w:tcBorders>
              <w:top w:val="nil"/>
              <w:left w:val="single" w:sz="4" w:space="0" w:color="auto"/>
              <w:bottom w:val="single" w:sz="4" w:space="0" w:color="000000"/>
              <w:right w:val="single" w:sz="4" w:space="0" w:color="auto"/>
            </w:tcBorders>
            <w:hideMark/>
          </w:tcPr>
          <w:p w14:paraId="6807EE65"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40</w:t>
            </w:r>
          </w:p>
        </w:tc>
        <w:tc>
          <w:tcPr>
            <w:tcW w:w="12926" w:type="dxa"/>
            <w:vMerge w:val="restart"/>
            <w:tcBorders>
              <w:top w:val="nil"/>
              <w:left w:val="single" w:sz="4" w:space="0" w:color="auto"/>
              <w:bottom w:val="single" w:sz="4" w:space="0" w:color="auto"/>
              <w:right w:val="single" w:sz="4" w:space="0" w:color="auto"/>
            </w:tcBorders>
            <w:hideMark/>
          </w:tcPr>
          <w:p w14:paraId="13517E99" w14:textId="77777777" w:rsidR="0078100E" w:rsidRPr="00BB4B25" w:rsidRDefault="0078100E" w:rsidP="00441D01">
            <w:pPr>
              <w:spacing w:after="0" w:line="240" w:lineRule="auto"/>
              <w:rPr>
                <w:rFonts w:eastAsia="Times New Roman"/>
                <w:color w:val="000000"/>
                <w:sz w:val="18"/>
                <w:szCs w:val="18"/>
                <w:lang w:val="en-US"/>
              </w:rPr>
            </w:pPr>
            <w:proofErr w:type="spellStart"/>
            <w:r w:rsidRPr="00BB4B25">
              <w:rPr>
                <w:rFonts w:eastAsia="Times New Roman"/>
                <w:color w:val="000000"/>
                <w:sz w:val="18"/>
                <w:szCs w:val="18"/>
                <w:lang w:val="en-US"/>
              </w:rPr>
              <w:t>Prorata</w:t>
            </w:r>
            <w:proofErr w:type="spellEnd"/>
            <w:r w:rsidRPr="00BB4B25">
              <w:rPr>
                <w:rFonts w:eastAsia="Times New Roman"/>
                <w:color w:val="000000"/>
                <w:sz w:val="18"/>
                <w:szCs w:val="18"/>
                <w:lang w:val="en-US"/>
              </w:rPr>
              <w:t xml:space="preserve"> cost of:</w:t>
            </w:r>
            <w:r w:rsidRPr="00BB4B25">
              <w:rPr>
                <w:rFonts w:eastAsia="Times New Roman"/>
                <w:color w:val="000000"/>
                <w:sz w:val="18"/>
                <w:szCs w:val="18"/>
                <w:lang w:val="en-US"/>
              </w:rPr>
              <w:br/>
              <w:t xml:space="preserve">40%VNU cost of Gender and ESS 40%x1250/monthx12months x 5 years -$30,000 - and 100% VNU cost l KM and Communication Specialist -$1250/months x 12 months x 5 years = $75,000 - Total sum </w:t>
            </w:r>
            <w:proofErr w:type="gramStart"/>
            <w:r w:rsidRPr="00BB4B25">
              <w:rPr>
                <w:rFonts w:eastAsia="Times New Roman"/>
                <w:color w:val="000000"/>
                <w:sz w:val="18"/>
                <w:szCs w:val="18"/>
                <w:lang w:val="en-US"/>
              </w:rPr>
              <w:t>of  $</w:t>
            </w:r>
            <w:proofErr w:type="gramEnd"/>
            <w:r w:rsidRPr="00BB4B25">
              <w:rPr>
                <w:rFonts w:eastAsia="Times New Roman"/>
                <w:color w:val="000000"/>
                <w:sz w:val="18"/>
                <w:szCs w:val="18"/>
                <w:lang w:val="en-US"/>
              </w:rPr>
              <w:t>105,000.</w:t>
            </w:r>
          </w:p>
        </w:tc>
      </w:tr>
      <w:tr w:rsidR="0078100E" w:rsidRPr="00F50786" w14:paraId="789EF0D8" w14:textId="77777777" w:rsidTr="00441D01">
        <w:trPr>
          <w:trHeight w:val="285"/>
        </w:trPr>
        <w:tc>
          <w:tcPr>
            <w:tcW w:w="954" w:type="dxa"/>
            <w:vMerge/>
            <w:tcBorders>
              <w:top w:val="nil"/>
              <w:left w:val="single" w:sz="4" w:space="0" w:color="auto"/>
              <w:bottom w:val="single" w:sz="4" w:space="0" w:color="000000"/>
              <w:right w:val="single" w:sz="4" w:space="0" w:color="auto"/>
            </w:tcBorders>
            <w:hideMark/>
          </w:tcPr>
          <w:p w14:paraId="18167A0E" w14:textId="77777777" w:rsidR="0078100E" w:rsidRPr="00BB4B25" w:rsidRDefault="0078100E" w:rsidP="00441D01">
            <w:pPr>
              <w:spacing w:after="0" w:line="240" w:lineRule="auto"/>
              <w:rPr>
                <w:rFonts w:eastAsia="Times New Roman"/>
                <w:i/>
                <w:iCs/>
                <w:color w:val="000000"/>
                <w:sz w:val="18"/>
                <w:szCs w:val="18"/>
                <w:lang w:val="en-US"/>
              </w:rPr>
            </w:pPr>
          </w:p>
        </w:tc>
        <w:tc>
          <w:tcPr>
            <w:tcW w:w="12926" w:type="dxa"/>
            <w:vMerge/>
            <w:tcBorders>
              <w:top w:val="nil"/>
              <w:left w:val="single" w:sz="4" w:space="0" w:color="auto"/>
              <w:bottom w:val="single" w:sz="4" w:space="0" w:color="auto"/>
              <w:right w:val="single" w:sz="4" w:space="0" w:color="auto"/>
            </w:tcBorders>
            <w:hideMark/>
          </w:tcPr>
          <w:p w14:paraId="315528E7" w14:textId="77777777" w:rsidR="0078100E" w:rsidRPr="00BB4B25" w:rsidRDefault="0078100E" w:rsidP="00441D01">
            <w:pPr>
              <w:spacing w:after="0" w:line="240" w:lineRule="auto"/>
              <w:rPr>
                <w:rFonts w:eastAsia="Times New Roman"/>
                <w:color w:val="000000"/>
                <w:sz w:val="18"/>
                <w:szCs w:val="18"/>
                <w:lang w:val="en-US"/>
              </w:rPr>
            </w:pPr>
          </w:p>
        </w:tc>
        <w:tc>
          <w:tcPr>
            <w:tcW w:w="160" w:type="dxa"/>
            <w:tcBorders>
              <w:top w:val="nil"/>
              <w:left w:val="nil"/>
              <w:bottom w:val="nil"/>
              <w:right w:val="nil"/>
            </w:tcBorders>
            <w:noWrap/>
            <w:hideMark/>
          </w:tcPr>
          <w:p w14:paraId="2B0EFA24" w14:textId="77777777" w:rsidR="0078100E" w:rsidRPr="00BB4B25" w:rsidRDefault="0078100E" w:rsidP="00441D01">
            <w:pPr>
              <w:spacing w:after="0" w:line="240" w:lineRule="auto"/>
              <w:rPr>
                <w:rFonts w:eastAsia="Times New Roman"/>
                <w:color w:val="000000"/>
                <w:sz w:val="18"/>
                <w:szCs w:val="18"/>
                <w:lang w:val="en-US"/>
              </w:rPr>
            </w:pPr>
          </w:p>
        </w:tc>
      </w:tr>
      <w:tr w:rsidR="0078100E" w:rsidRPr="00F50786" w14:paraId="7C846D67" w14:textId="77777777" w:rsidTr="00441D01">
        <w:trPr>
          <w:trHeight w:val="510"/>
        </w:trPr>
        <w:tc>
          <w:tcPr>
            <w:tcW w:w="954" w:type="dxa"/>
            <w:tcBorders>
              <w:top w:val="nil"/>
              <w:left w:val="single" w:sz="4" w:space="0" w:color="auto"/>
              <w:bottom w:val="single" w:sz="4" w:space="0" w:color="auto"/>
              <w:right w:val="single" w:sz="4" w:space="0" w:color="auto"/>
            </w:tcBorders>
            <w:hideMark/>
          </w:tcPr>
          <w:p w14:paraId="048A9066"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41</w:t>
            </w:r>
          </w:p>
        </w:tc>
        <w:tc>
          <w:tcPr>
            <w:tcW w:w="12926" w:type="dxa"/>
            <w:tcBorders>
              <w:top w:val="nil"/>
              <w:left w:val="single" w:sz="4" w:space="0" w:color="auto"/>
              <w:bottom w:val="single" w:sz="4" w:space="0" w:color="auto"/>
              <w:right w:val="single" w:sz="4" w:space="0" w:color="auto"/>
            </w:tcBorders>
            <w:hideMark/>
          </w:tcPr>
          <w:p w14:paraId="52D24B55"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Grant for ONE STOP CENTER (Avocats Sans Frontières) $50k to accompany the victims of violence and to train the center personnel</w:t>
            </w:r>
          </w:p>
        </w:tc>
        <w:tc>
          <w:tcPr>
            <w:tcW w:w="160" w:type="dxa"/>
            <w:hideMark/>
          </w:tcPr>
          <w:p w14:paraId="68A0D125" w14:textId="77777777" w:rsidR="0078100E" w:rsidRPr="00BB4B25" w:rsidRDefault="0078100E" w:rsidP="00441D01">
            <w:pPr>
              <w:spacing w:after="0" w:line="240" w:lineRule="auto"/>
              <w:rPr>
                <w:rFonts w:ascii="Times New Roman" w:eastAsia="Times New Roman" w:hAnsi="Times New Roman" w:cs="Times New Roman"/>
                <w:sz w:val="20"/>
                <w:szCs w:val="20"/>
                <w:lang w:val="en-US"/>
              </w:rPr>
            </w:pPr>
          </w:p>
        </w:tc>
      </w:tr>
      <w:tr w:rsidR="0078100E" w:rsidRPr="00D6663F" w14:paraId="11E9DEEE" w14:textId="77777777" w:rsidTr="00441D01">
        <w:trPr>
          <w:trHeight w:val="1474"/>
        </w:trPr>
        <w:tc>
          <w:tcPr>
            <w:tcW w:w="954" w:type="dxa"/>
            <w:tcBorders>
              <w:top w:val="nil"/>
              <w:left w:val="single" w:sz="4" w:space="0" w:color="auto"/>
              <w:bottom w:val="single" w:sz="4" w:space="0" w:color="auto"/>
              <w:right w:val="single" w:sz="4" w:space="0" w:color="auto"/>
            </w:tcBorders>
            <w:hideMark/>
          </w:tcPr>
          <w:p w14:paraId="7F65F702"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42</w:t>
            </w:r>
          </w:p>
        </w:tc>
        <w:tc>
          <w:tcPr>
            <w:tcW w:w="12926" w:type="dxa"/>
            <w:tcBorders>
              <w:top w:val="nil"/>
              <w:left w:val="single" w:sz="4" w:space="0" w:color="auto"/>
              <w:bottom w:val="single" w:sz="4" w:space="0" w:color="auto"/>
              <w:right w:val="single" w:sz="4" w:space="0" w:color="auto"/>
            </w:tcBorders>
            <w:hideMark/>
          </w:tcPr>
          <w:p w14:paraId="05C20BD4" w14:textId="77777777" w:rsidR="0078100E" w:rsidRPr="00BB4B25" w:rsidRDefault="0078100E" w:rsidP="00441D01">
            <w:pPr>
              <w:spacing w:after="0" w:line="240" w:lineRule="auto"/>
              <w:rPr>
                <w:rFonts w:eastAsia="Times New Roman"/>
                <w:sz w:val="18"/>
                <w:szCs w:val="18"/>
                <w:lang w:val="en-US"/>
              </w:rPr>
            </w:pPr>
            <w:r w:rsidRPr="00BB4B25">
              <w:rPr>
                <w:rFonts w:eastAsia="Times New Roman"/>
                <w:sz w:val="18"/>
                <w:szCs w:val="18"/>
                <w:lang w:val="en-US"/>
              </w:rPr>
              <w:t xml:space="preserve">4 Workshop to share best practices 2500$ x </w:t>
            </w:r>
            <w:proofErr w:type="gramStart"/>
            <w:r w:rsidRPr="00BB4B25">
              <w:rPr>
                <w:rFonts w:eastAsia="Times New Roman"/>
                <w:sz w:val="18"/>
                <w:szCs w:val="18"/>
                <w:lang w:val="en-US"/>
              </w:rPr>
              <w:t>4 :</w:t>
            </w:r>
            <w:proofErr w:type="gramEnd"/>
            <w:r w:rsidRPr="00BB4B25">
              <w:rPr>
                <w:rFonts w:eastAsia="Times New Roman"/>
                <w:sz w:val="18"/>
                <w:szCs w:val="18"/>
                <w:lang w:val="en-US"/>
              </w:rPr>
              <w:t xml:space="preserve"> 10K$ (50 pax)</w:t>
            </w:r>
            <w:r w:rsidRPr="00BB4B25">
              <w:rPr>
                <w:rFonts w:eastAsia="Times New Roman"/>
                <w:sz w:val="18"/>
                <w:szCs w:val="18"/>
                <w:lang w:val="en-US"/>
              </w:rPr>
              <w:br/>
              <w:t xml:space="preserve">4 Dialogues . 3000$ + 25$* 80 pax fees of transport per </w:t>
            </w:r>
            <w:proofErr w:type="gramStart"/>
            <w:r w:rsidRPr="00BB4B25">
              <w:rPr>
                <w:rFonts w:eastAsia="Times New Roman"/>
                <w:sz w:val="18"/>
                <w:szCs w:val="18"/>
                <w:lang w:val="en-US"/>
              </w:rPr>
              <w:t>pax :</w:t>
            </w:r>
            <w:proofErr w:type="gramEnd"/>
            <w:r w:rsidRPr="00BB4B25">
              <w:rPr>
                <w:rFonts w:eastAsia="Times New Roman"/>
                <w:sz w:val="18"/>
                <w:szCs w:val="18"/>
                <w:lang w:val="en-US"/>
              </w:rPr>
              <w:t xml:space="preserve"> 5000$ x 4 workshops: 20k$</w:t>
            </w:r>
            <w:r w:rsidRPr="00BB4B25">
              <w:rPr>
                <w:rFonts w:eastAsia="Times New Roman"/>
                <w:sz w:val="18"/>
                <w:szCs w:val="18"/>
                <w:lang w:val="en-US"/>
              </w:rPr>
              <w:br/>
              <w:t xml:space="preserve">2 workshops to present the results of the opinion polls. each workshop 3000$ x </w:t>
            </w:r>
            <w:proofErr w:type="gramStart"/>
            <w:r w:rsidRPr="00BB4B25">
              <w:rPr>
                <w:rFonts w:eastAsia="Times New Roman"/>
                <w:sz w:val="18"/>
                <w:szCs w:val="18"/>
                <w:lang w:val="en-US"/>
              </w:rPr>
              <w:t>2 :</w:t>
            </w:r>
            <w:proofErr w:type="gramEnd"/>
            <w:r w:rsidRPr="00BB4B25">
              <w:rPr>
                <w:rFonts w:eastAsia="Times New Roman"/>
                <w:sz w:val="18"/>
                <w:szCs w:val="18"/>
                <w:lang w:val="en-US"/>
              </w:rPr>
              <w:t xml:space="preserve"> 6000$, estimated at 50 pax to each workshop.</w:t>
            </w:r>
            <w:r w:rsidRPr="00BB4B25">
              <w:rPr>
                <w:rFonts w:eastAsia="Times New Roman"/>
                <w:sz w:val="18"/>
                <w:szCs w:val="18"/>
                <w:lang w:val="en-US"/>
              </w:rPr>
              <w:br/>
              <w:t>2 workshops (average cost 2,000$ +transportation fees 25$x20pax /workshop) to implement Capacity-building program for institutional players on equality mechanisms between man and women: cost of workshop including fees for transport 2500$ x 2 = 5000$</w:t>
            </w:r>
            <w:r w:rsidRPr="00BB4B25">
              <w:rPr>
                <w:rFonts w:eastAsia="Times New Roman"/>
                <w:sz w:val="18"/>
                <w:szCs w:val="18"/>
                <w:lang w:val="en-US"/>
              </w:rPr>
              <w:br/>
              <w:t>For a total amount of 41,000$</w:t>
            </w:r>
          </w:p>
        </w:tc>
        <w:tc>
          <w:tcPr>
            <w:tcW w:w="160" w:type="dxa"/>
            <w:hideMark/>
          </w:tcPr>
          <w:p w14:paraId="004C807D" w14:textId="77777777" w:rsidR="0078100E" w:rsidRPr="00BB4B25" w:rsidRDefault="0078100E" w:rsidP="00441D01">
            <w:pPr>
              <w:spacing w:after="0" w:line="240" w:lineRule="auto"/>
              <w:rPr>
                <w:rFonts w:ascii="Times New Roman" w:eastAsia="Times New Roman" w:hAnsi="Times New Roman" w:cs="Times New Roman"/>
                <w:sz w:val="20"/>
                <w:szCs w:val="20"/>
                <w:lang w:val="en-US"/>
              </w:rPr>
            </w:pPr>
          </w:p>
        </w:tc>
      </w:tr>
      <w:tr w:rsidR="0078100E" w:rsidRPr="00D6663F" w14:paraId="0AB901EF" w14:textId="77777777" w:rsidTr="00441D01">
        <w:trPr>
          <w:trHeight w:val="960"/>
        </w:trPr>
        <w:tc>
          <w:tcPr>
            <w:tcW w:w="954" w:type="dxa"/>
            <w:tcBorders>
              <w:top w:val="nil"/>
              <w:left w:val="single" w:sz="4" w:space="0" w:color="auto"/>
              <w:bottom w:val="single" w:sz="4" w:space="0" w:color="auto"/>
              <w:right w:val="single" w:sz="4" w:space="0" w:color="auto"/>
            </w:tcBorders>
            <w:hideMark/>
          </w:tcPr>
          <w:p w14:paraId="541A07AF"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43</w:t>
            </w:r>
          </w:p>
        </w:tc>
        <w:tc>
          <w:tcPr>
            <w:tcW w:w="12926" w:type="dxa"/>
            <w:tcBorders>
              <w:top w:val="nil"/>
              <w:left w:val="single" w:sz="4" w:space="0" w:color="auto"/>
              <w:bottom w:val="single" w:sz="4" w:space="0" w:color="auto"/>
              <w:right w:val="single" w:sz="4" w:space="0" w:color="auto"/>
            </w:tcBorders>
            <w:hideMark/>
          </w:tcPr>
          <w:p w14:paraId="05A5A7C4"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Cost of printing materials and videos to document good practices and lessons learned (testimonials from the local community, governmental and non-governmental institutions, etc.).</w:t>
            </w:r>
            <w:r w:rsidRPr="00BB4B25">
              <w:rPr>
                <w:rFonts w:eastAsia="Times New Roman"/>
                <w:color w:val="000000"/>
                <w:sz w:val="18"/>
                <w:szCs w:val="18"/>
                <w:lang w:val="en-US"/>
              </w:rPr>
              <w:br/>
              <w:t>Communication Agency to prepare the graphic design for the project (10k$)</w:t>
            </w:r>
          </w:p>
        </w:tc>
        <w:tc>
          <w:tcPr>
            <w:tcW w:w="160" w:type="dxa"/>
            <w:hideMark/>
          </w:tcPr>
          <w:p w14:paraId="3F21B211" w14:textId="77777777" w:rsidR="0078100E" w:rsidRPr="00BB4B25" w:rsidRDefault="0078100E" w:rsidP="00441D01">
            <w:pPr>
              <w:spacing w:after="0" w:line="240" w:lineRule="auto"/>
              <w:rPr>
                <w:rFonts w:ascii="Times New Roman" w:eastAsia="Times New Roman" w:hAnsi="Times New Roman" w:cs="Times New Roman"/>
                <w:sz w:val="20"/>
                <w:szCs w:val="20"/>
                <w:lang w:val="en-US"/>
              </w:rPr>
            </w:pPr>
          </w:p>
        </w:tc>
      </w:tr>
      <w:tr w:rsidR="0078100E" w:rsidRPr="00F50786" w14:paraId="5B40B489" w14:textId="77777777" w:rsidTr="00441D01">
        <w:trPr>
          <w:trHeight w:val="675"/>
        </w:trPr>
        <w:tc>
          <w:tcPr>
            <w:tcW w:w="954" w:type="dxa"/>
            <w:tcBorders>
              <w:top w:val="nil"/>
              <w:left w:val="single" w:sz="4" w:space="0" w:color="auto"/>
              <w:bottom w:val="single" w:sz="4" w:space="0" w:color="auto"/>
              <w:right w:val="single" w:sz="4" w:space="0" w:color="auto"/>
            </w:tcBorders>
            <w:hideMark/>
          </w:tcPr>
          <w:p w14:paraId="768BD36F"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44</w:t>
            </w:r>
          </w:p>
        </w:tc>
        <w:tc>
          <w:tcPr>
            <w:tcW w:w="12926" w:type="dxa"/>
            <w:tcBorders>
              <w:top w:val="nil"/>
              <w:left w:val="single" w:sz="4" w:space="0" w:color="auto"/>
              <w:bottom w:val="single" w:sz="4" w:space="0" w:color="auto"/>
              <w:right w:val="single" w:sz="4" w:space="0" w:color="auto"/>
            </w:tcBorders>
            <w:hideMark/>
          </w:tcPr>
          <w:p w14:paraId="6D3B5091"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 xml:space="preserve">International consultant Mid-term evaluation: Costs 35 h/d x $500 = 17500$ </w:t>
            </w:r>
            <w:r w:rsidRPr="00BB4B25">
              <w:rPr>
                <w:rFonts w:eastAsia="Times New Roman"/>
                <w:color w:val="000000"/>
                <w:sz w:val="18"/>
                <w:szCs w:val="18"/>
                <w:lang w:val="en-US"/>
              </w:rPr>
              <w:br/>
              <w:t xml:space="preserve"> and Terminal Evaluation 50 man/days x $500 = 25,000$) </w:t>
            </w:r>
          </w:p>
        </w:tc>
        <w:tc>
          <w:tcPr>
            <w:tcW w:w="160" w:type="dxa"/>
            <w:hideMark/>
          </w:tcPr>
          <w:p w14:paraId="178EC5A3" w14:textId="77777777" w:rsidR="0078100E" w:rsidRPr="00BB4B25" w:rsidRDefault="0078100E" w:rsidP="00441D01">
            <w:pPr>
              <w:spacing w:after="0" w:line="240" w:lineRule="auto"/>
              <w:rPr>
                <w:rFonts w:ascii="Times New Roman" w:eastAsia="Times New Roman" w:hAnsi="Times New Roman" w:cs="Times New Roman"/>
                <w:sz w:val="20"/>
                <w:szCs w:val="20"/>
                <w:lang w:val="en-US"/>
              </w:rPr>
            </w:pPr>
          </w:p>
        </w:tc>
      </w:tr>
      <w:tr w:rsidR="0078100E" w:rsidRPr="00F50786" w14:paraId="4A238F39" w14:textId="77777777" w:rsidTr="00441D01">
        <w:trPr>
          <w:trHeight w:val="495"/>
        </w:trPr>
        <w:tc>
          <w:tcPr>
            <w:tcW w:w="954" w:type="dxa"/>
            <w:tcBorders>
              <w:top w:val="nil"/>
              <w:left w:val="single" w:sz="4" w:space="0" w:color="auto"/>
              <w:bottom w:val="single" w:sz="4" w:space="0" w:color="auto"/>
              <w:right w:val="single" w:sz="4" w:space="0" w:color="auto"/>
            </w:tcBorders>
            <w:hideMark/>
          </w:tcPr>
          <w:p w14:paraId="5C5AE00F"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45</w:t>
            </w:r>
          </w:p>
        </w:tc>
        <w:tc>
          <w:tcPr>
            <w:tcW w:w="12926" w:type="dxa"/>
            <w:tcBorders>
              <w:top w:val="nil"/>
              <w:left w:val="single" w:sz="4" w:space="0" w:color="auto"/>
              <w:bottom w:val="single" w:sz="4" w:space="0" w:color="auto"/>
              <w:right w:val="single" w:sz="4" w:space="0" w:color="auto"/>
            </w:tcBorders>
            <w:hideMark/>
          </w:tcPr>
          <w:p w14:paraId="255275B2"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 xml:space="preserve">Mid-term evaluation: Costs (national consultant), 30 man/days x $300 (9,000$) and </w:t>
            </w:r>
            <w:proofErr w:type="gramStart"/>
            <w:r w:rsidRPr="00BB4B25">
              <w:rPr>
                <w:rFonts w:eastAsia="Times New Roman"/>
                <w:color w:val="000000"/>
                <w:sz w:val="18"/>
                <w:szCs w:val="18"/>
                <w:lang w:val="en-US"/>
              </w:rPr>
              <w:t>TE  (</w:t>
            </w:r>
            <w:proofErr w:type="gramEnd"/>
            <w:r w:rsidRPr="00BB4B25">
              <w:rPr>
                <w:rFonts w:eastAsia="Times New Roman"/>
                <w:color w:val="000000"/>
                <w:sz w:val="18"/>
                <w:szCs w:val="18"/>
                <w:lang w:val="en-US"/>
              </w:rPr>
              <w:t>45 man/days x $300 : 13,500$).</w:t>
            </w:r>
          </w:p>
        </w:tc>
        <w:tc>
          <w:tcPr>
            <w:tcW w:w="160" w:type="dxa"/>
            <w:hideMark/>
          </w:tcPr>
          <w:p w14:paraId="6779E3C3" w14:textId="77777777" w:rsidR="0078100E" w:rsidRPr="00BB4B25" w:rsidRDefault="0078100E" w:rsidP="00441D01">
            <w:pPr>
              <w:spacing w:after="0" w:line="240" w:lineRule="auto"/>
              <w:rPr>
                <w:rFonts w:ascii="Times New Roman" w:eastAsia="Times New Roman" w:hAnsi="Times New Roman" w:cs="Times New Roman"/>
                <w:sz w:val="20"/>
                <w:szCs w:val="20"/>
                <w:lang w:val="en-US"/>
              </w:rPr>
            </w:pPr>
          </w:p>
        </w:tc>
      </w:tr>
      <w:tr w:rsidR="0078100E" w:rsidRPr="00F50786" w14:paraId="3AFAF90F" w14:textId="77777777" w:rsidTr="00441D01">
        <w:trPr>
          <w:trHeight w:val="945"/>
        </w:trPr>
        <w:tc>
          <w:tcPr>
            <w:tcW w:w="954" w:type="dxa"/>
            <w:tcBorders>
              <w:top w:val="nil"/>
              <w:left w:val="single" w:sz="4" w:space="0" w:color="auto"/>
              <w:bottom w:val="single" w:sz="4" w:space="0" w:color="auto"/>
              <w:right w:val="single" w:sz="4" w:space="0" w:color="auto"/>
            </w:tcBorders>
            <w:hideMark/>
          </w:tcPr>
          <w:p w14:paraId="513A6050"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46</w:t>
            </w:r>
          </w:p>
        </w:tc>
        <w:tc>
          <w:tcPr>
            <w:tcW w:w="12926" w:type="dxa"/>
            <w:tcBorders>
              <w:top w:val="nil"/>
              <w:left w:val="single" w:sz="4" w:space="0" w:color="auto"/>
              <w:bottom w:val="single" w:sz="4" w:space="0" w:color="auto"/>
              <w:right w:val="single" w:sz="4" w:space="0" w:color="auto"/>
            </w:tcBorders>
            <w:hideMark/>
          </w:tcPr>
          <w:p w14:paraId="478DB866"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 xml:space="preserve">Travel expenses for supervision missions (1000$ x 5 years) </w:t>
            </w:r>
            <w:r w:rsidRPr="00BB4B25">
              <w:rPr>
                <w:rFonts w:eastAsia="Times New Roman"/>
                <w:color w:val="000000"/>
                <w:sz w:val="18"/>
                <w:szCs w:val="18"/>
                <w:lang w:val="en-US"/>
              </w:rPr>
              <w:br/>
              <w:t xml:space="preserve">Travel cost for MTR 1108$ air ticket + 223 $ DSA Bamako x 4 </w:t>
            </w:r>
            <w:proofErr w:type="gramStart"/>
            <w:r w:rsidRPr="00BB4B25">
              <w:rPr>
                <w:rFonts w:eastAsia="Times New Roman"/>
                <w:color w:val="000000"/>
                <w:sz w:val="18"/>
                <w:szCs w:val="18"/>
                <w:lang w:val="en-US"/>
              </w:rPr>
              <w:t>nights :</w:t>
            </w:r>
            <w:proofErr w:type="gramEnd"/>
            <w:r w:rsidRPr="00BB4B25">
              <w:rPr>
                <w:rFonts w:eastAsia="Times New Roman"/>
                <w:color w:val="000000"/>
                <w:sz w:val="18"/>
                <w:szCs w:val="18"/>
                <w:lang w:val="en-US"/>
              </w:rPr>
              <w:t xml:space="preserve"> 2000$</w:t>
            </w:r>
            <w:r w:rsidRPr="00BB4B25">
              <w:rPr>
                <w:rFonts w:eastAsia="Times New Roman"/>
                <w:color w:val="000000"/>
                <w:sz w:val="18"/>
                <w:szCs w:val="18"/>
                <w:lang w:val="en-US"/>
              </w:rPr>
              <w:br/>
              <w:t>Travel for TE 1200$ + 250$ DSA x 5 nights = 2450$</w:t>
            </w:r>
          </w:p>
        </w:tc>
        <w:tc>
          <w:tcPr>
            <w:tcW w:w="160" w:type="dxa"/>
            <w:hideMark/>
          </w:tcPr>
          <w:p w14:paraId="22E80B01" w14:textId="77777777" w:rsidR="0078100E" w:rsidRPr="00BB4B25" w:rsidRDefault="0078100E" w:rsidP="00441D01">
            <w:pPr>
              <w:spacing w:after="0" w:line="240" w:lineRule="auto"/>
              <w:rPr>
                <w:rFonts w:ascii="Times New Roman" w:eastAsia="Times New Roman" w:hAnsi="Times New Roman" w:cs="Times New Roman"/>
                <w:sz w:val="20"/>
                <w:szCs w:val="20"/>
                <w:lang w:val="en-US"/>
              </w:rPr>
            </w:pPr>
          </w:p>
        </w:tc>
      </w:tr>
      <w:tr w:rsidR="0078100E" w:rsidRPr="00F50786" w14:paraId="04E797E6" w14:textId="77777777" w:rsidTr="00441D01">
        <w:trPr>
          <w:trHeight w:val="20"/>
        </w:trPr>
        <w:tc>
          <w:tcPr>
            <w:tcW w:w="954" w:type="dxa"/>
            <w:vMerge w:val="restart"/>
            <w:tcBorders>
              <w:top w:val="nil"/>
              <w:left w:val="single" w:sz="4" w:space="0" w:color="auto"/>
              <w:bottom w:val="single" w:sz="4" w:space="0" w:color="000000"/>
              <w:right w:val="single" w:sz="4" w:space="0" w:color="auto"/>
            </w:tcBorders>
            <w:hideMark/>
          </w:tcPr>
          <w:p w14:paraId="49318A2B" w14:textId="77777777" w:rsidR="0078100E" w:rsidRPr="00BB4B25" w:rsidRDefault="0078100E" w:rsidP="00441D01">
            <w:pPr>
              <w:spacing w:after="0" w:line="240" w:lineRule="auto"/>
              <w:rPr>
                <w:rFonts w:eastAsia="Times New Roman"/>
                <w:color w:val="000000"/>
                <w:sz w:val="18"/>
                <w:szCs w:val="18"/>
              </w:rPr>
            </w:pPr>
            <w:r w:rsidRPr="00BB4B25">
              <w:rPr>
                <w:rFonts w:eastAsia="Times New Roman"/>
                <w:color w:val="000000"/>
                <w:sz w:val="18"/>
                <w:szCs w:val="18"/>
              </w:rPr>
              <w:t>47</w:t>
            </w:r>
          </w:p>
        </w:tc>
        <w:tc>
          <w:tcPr>
            <w:tcW w:w="12926" w:type="dxa"/>
            <w:vMerge w:val="restart"/>
            <w:tcBorders>
              <w:top w:val="nil"/>
              <w:left w:val="single" w:sz="4" w:space="0" w:color="auto"/>
              <w:bottom w:val="single" w:sz="4" w:space="0" w:color="auto"/>
              <w:right w:val="single" w:sz="4" w:space="0" w:color="auto"/>
            </w:tcBorders>
            <w:hideMark/>
          </w:tcPr>
          <w:p w14:paraId="0C8E65AC"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 xml:space="preserve">60%VNU cost of Gender and </w:t>
            </w:r>
            <w:proofErr w:type="gramStart"/>
            <w:r w:rsidRPr="00BB4B25">
              <w:rPr>
                <w:rFonts w:eastAsia="Times New Roman"/>
                <w:color w:val="000000"/>
                <w:sz w:val="18"/>
                <w:szCs w:val="18"/>
                <w:lang w:val="en-US"/>
              </w:rPr>
              <w:t>ESS :</w:t>
            </w:r>
            <w:proofErr w:type="gramEnd"/>
            <w:r w:rsidRPr="00BB4B25">
              <w:rPr>
                <w:rFonts w:eastAsia="Times New Roman"/>
                <w:color w:val="000000"/>
                <w:sz w:val="18"/>
                <w:szCs w:val="18"/>
                <w:lang w:val="en-US"/>
              </w:rPr>
              <w:t xml:space="preserve"> 60%x1250/monthx12months x 5 years -$45,000 - and 100% VNU cost </w:t>
            </w:r>
            <w:proofErr w:type="spellStart"/>
            <w:r w:rsidRPr="00BB4B25">
              <w:rPr>
                <w:rFonts w:eastAsia="Times New Roman"/>
                <w:color w:val="000000"/>
                <w:sz w:val="18"/>
                <w:szCs w:val="18"/>
                <w:lang w:val="en-US"/>
              </w:rPr>
              <w:t>ofM&amp;E</w:t>
            </w:r>
            <w:proofErr w:type="spellEnd"/>
            <w:r w:rsidRPr="00BB4B25">
              <w:rPr>
                <w:rFonts w:eastAsia="Times New Roman"/>
                <w:color w:val="000000"/>
                <w:sz w:val="18"/>
                <w:szCs w:val="18"/>
                <w:lang w:val="en-US"/>
              </w:rPr>
              <w:t xml:space="preserve"> Specialist -$1250/months x 12 months x 5 years = $75,000 - Total sum of  $120,000.</w:t>
            </w:r>
          </w:p>
        </w:tc>
        <w:tc>
          <w:tcPr>
            <w:tcW w:w="160" w:type="dxa"/>
            <w:hideMark/>
          </w:tcPr>
          <w:p w14:paraId="4DDF26FD" w14:textId="77777777" w:rsidR="0078100E" w:rsidRPr="00BB4B25" w:rsidRDefault="0078100E" w:rsidP="00441D01">
            <w:pPr>
              <w:spacing w:after="0" w:line="240" w:lineRule="auto"/>
              <w:rPr>
                <w:rFonts w:ascii="Times New Roman" w:eastAsia="Times New Roman" w:hAnsi="Times New Roman" w:cs="Times New Roman"/>
                <w:sz w:val="20"/>
                <w:szCs w:val="20"/>
                <w:lang w:val="en-US"/>
              </w:rPr>
            </w:pPr>
          </w:p>
        </w:tc>
      </w:tr>
      <w:tr w:rsidR="0078100E" w:rsidRPr="00F50786" w14:paraId="048B88DC" w14:textId="77777777" w:rsidTr="00441D01">
        <w:trPr>
          <w:trHeight w:val="645"/>
        </w:trPr>
        <w:tc>
          <w:tcPr>
            <w:tcW w:w="954" w:type="dxa"/>
            <w:vMerge/>
            <w:tcBorders>
              <w:top w:val="nil"/>
              <w:left w:val="single" w:sz="4" w:space="0" w:color="auto"/>
              <w:bottom w:val="single" w:sz="4" w:space="0" w:color="000000"/>
              <w:right w:val="single" w:sz="4" w:space="0" w:color="auto"/>
            </w:tcBorders>
            <w:hideMark/>
          </w:tcPr>
          <w:p w14:paraId="43BAF9D1" w14:textId="77777777" w:rsidR="0078100E" w:rsidRPr="00BB4B25" w:rsidRDefault="0078100E" w:rsidP="00441D01">
            <w:pPr>
              <w:spacing w:after="0" w:line="240" w:lineRule="auto"/>
              <w:rPr>
                <w:rFonts w:eastAsia="Times New Roman"/>
                <w:color w:val="000000"/>
                <w:sz w:val="18"/>
                <w:szCs w:val="18"/>
                <w:lang w:val="en-US"/>
              </w:rPr>
            </w:pPr>
          </w:p>
        </w:tc>
        <w:tc>
          <w:tcPr>
            <w:tcW w:w="12926" w:type="dxa"/>
            <w:vMerge/>
            <w:tcBorders>
              <w:top w:val="nil"/>
              <w:left w:val="single" w:sz="4" w:space="0" w:color="auto"/>
              <w:bottom w:val="single" w:sz="4" w:space="0" w:color="auto"/>
              <w:right w:val="single" w:sz="4" w:space="0" w:color="auto"/>
            </w:tcBorders>
            <w:hideMark/>
          </w:tcPr>
          <w:p w14:paraId="770EA7A8" w14:textId="77777777" w:rsidR="0078100E" w:rsidRPr="00BB4B25" w:rsidRDefault="0078100E" w:rsidP="00441D01">
            <w:pPr>
              <w:spacing w:after="0" w:line="240" w:lineRule="auto"/>
              <w:rPr>
                <w:rFonts w:eastAsia="Times New Roman"/>
                <w:color w:val="000000"/>
                <w:sz w:val="18"/>
                <w:szCs w:val="18"/>
                <w:lang w:val="en-US"/>
              </w:rPr>
            </w:pPr>
          </w:p>
        </w:tc>
        <w:tc>
          <w:tcPr>
            <w:tcW w:w="160" w:type="dxa"/>
            <w:tcBorders>
              <w:top w:val="nil"/>
              <w:left w:val="nil"/>
              <w:bottom w:val="nil"/>
              <w:right w:val="nil"/>
            </w:tcBorders>
            <w:noWrap/>
            <w:hideMark/>
          </w:tcPr>
          <w:p w14:paraId="0842C4FB" w14:textId="77777777" w:rsidR="0078100E" w:rsidRPr="00BB4B25" w:rsidRDefault="0078100E" w:rsidP="00441D01">
            <w:pPr>
              <w:spacing w:after="0" w:line="240" w:lineRule="auto"/>
              <w:rPr>
                <w:rFonts w:eastAsia="Times New Roman"/>
                <w:color w:val="000000"/>
                <w:sz w:val="18"/>
                <w:szCs w:val="18"/>
                <w:lang w:val="en-US"/>
              </w:rPr>
            </w:pPr>
          </w:p>
        </w:tc>
      </w:tr>
      <w:tr w:rsidR="0078100E" w:rsidRPr="00F50786" w14:paraId="2D6D9835" w14:textId="77777777" w:rsidTr="00441D01">
        <w:trPr>
          <w:trHeight w:val="510"/>
        </w:trPr>
        <w:tc>
          <w:tcPr>
            <w:tcW w:w="954" w:type="dxa"/>
            <w:tcBorders>
              <w:top w:val="nil"/>
              <w:left w:val="single" w:sz="4" w:space="0" w:color="auto"/>
              <w:bottom w:val="single" w:sz="4" w:space="0" w:color="auto"/>
              <w:right w:val="single" w:sz="4" w:space="0" w:color="auto"/>
            </w:tcBorders>
            <w:hideMark/>
          </w:tcPr>
          <w:p w14:paraId="780E11D2"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48</w:t>
            </w:r>
          </w:p>
        </w:tc>
        <w:tc>
          <w:tcPr>
            <w:tcW w:w="12926" w:type="dxa"/>
            <w:tcBorders>
              <w:top w:val="nil"/>
              <w:left w:val="single" w:sz="4" w:space="0" w:color="auto"/>
              <w:bottom w:val="single" w:sz="4" w:space="0" w:color="auto"/>
              <w:right w:val="single" w:sz="4" w:space="0" w:color="auto"/>
            </w:tcBorders>
            <w:hideMark/>
          </w:tcPr>
          <w:p w14:paraId="4ECEA471"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Inception workshop $5k + travel expenses ($25/ pax x 80pax) 2000$ and project closing workshop $8000 (for 120 pax) + $3000 pax travel expenses ($25/pax)</w:t>
            </w:r>
            <w:r w:rsidRPr="00BB4B25">
              <w:rPr>
                <w:rFonts w:eastAsia="Times New Roman"/>
                <w:color w:val="000000"/>
                <w:sz w:val="18"/>
                <w:szCs w:val="18"/>
                <w:lang w:val="en-US"/>
              </w:rPr>
              <w:br/>
              <w:t>4 meetings of Steering committee: cost of reimbursement of transportation for 30 pax * 25*$ * 4 meetings = 3000$</w:t>
            </w:r>
          </w:p>
        </w:tc>
        <w:tc>
          <w:tcPr>
            <w:tcW w:w="160" w:type="dxa"/>
            <w:hideMark/>
          </w:tcPr>
          <w:p w14:paraId="68876654" w14:textId="77777777" w:rsidR="0078100E" w:rsidRPr="00BB4B25" w:rsidRDefault="0078100E" w:rsidP="00441D01">
            <w:pPr>
              <w:spacing w:after="0" w:line="240" w:lineRule="auto"/>
              <w:rPr>
                <w:rFonts w:ascii="Times New Roman" w:eastAsia="Times New Roman" w:hAnsi="Times New Roman" w:cs="Times New Roman"/>
                <w:sz w:val="20"/>
                <w:szCs w:val="20"/>
                <w:lang w:val="en-US"/>
              </w:rPr>
            </w:pPr>
          </w:p>
        </w:tc>
      </w:tr>
      <w:tr w:rsidR="0078100E" w:rsidRPr="00F50786" w14:paraId="3431524C" w14:textId="77777777" w:rsidTr="00441D01">
        <w:trPr>
          <w:trHeight w:val="525"/>
        </w:trPr>
        <w:tc>
          <w:tcPr>
            <w:tcW w:w="954" w:type="dxa"/>
            <w:tcBorders>
              <w:top w:val="nil"/>
              <w:left w:val="single" w:sz="4" w:space="0" w:color="auto"/>
              <w:bottom w:val="single" w:sz="4" w:space="0" w:color="auto"/>
              <w:right w:val="single" w:sz="4" w:space="0" w:color="auto"/>
            </w:tcBorders>
            <w:hideMark/>
          </w:tcPr>
          <w:p w14:paraId="6074EE1D"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lastRenderedPageBreak/>
              <w:t>49</w:t>
            </w:r>
          </w:p>
        </w:tc>
        <w:tc>
          <w:tcPr>
            <w:tcW w:w="12926" w:type="dxa"/>
            <w:tcBorders>
              <w:top w:val="nil"/>
              <w:left w:val="single" w:sz="4" w:space="0" w:color="auto"/>
              <w:bottom w:val="single" w:sz="4" w:space="0" w:color="auto"/>
              <w:right w:val="single" w:sz="4" w:space="0" w:color="auto"/>
            </w:tcBorders>
            <w:hideMark/>
          </w:tcPr>
          <w:p w14:paraId="00DFA59B"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 xml:space="preserve">Cost of learning </w:t>
            </w:r>
            <w:proofErr w:type="gramStart"/>
            <w:r w:rsidRPr="00BB4B25">
              <w:rPr>
                <w:rFonts w:eastAsia="Times New Roman"/>
                <w:color w:val="000000"/>
                <w:sz w:val="18"/>
                <w:szCs w:val="18"/>
                <w:lang w:val="en-US"/>
              </w:rPr>
              <w:t>missions :</w:t>
            </w:r>
            <w:proofErr w:type="gramEnd"/>
            <w:r w:rsidRPr="00BB4B25">
              <w:rPr>
                <w:rFonts w:eastAsia="Times New Roman"/>
                <w:color w:val="000000"/>
                <w:sz w:val="18"/>
                <w:szCs w:val="18"/>
                <w:lang w:val="en-US"/>
              </w:rPr>
              <w:t xml:space="preserve"> 5705$</w:t>
            </w:r>
            <w:r w:rsidRPr="00BB4B25">
              <w:rPr>
                <w:rFonts w:eastAsia="Times New Roman"/>
                <w:color w:val="000000"/>
                <w:sz w:val="18"/>
                <w:szCs w:val="18"/>
                <w:lang w:val="en-US"/>
              </w:rPr>
              <w:br/>
              <w:t>Cost of translation for MTR report: 4700$</w:t>
            </w:r>
          </w:p>
        </w:tc>
        <w:tc>
          <w:tcPr>
            <w:tcW w:w="160" w:type="dxa"/>
            <w:hideMark/>
          </w:tcPr>
          <w:p w14:paraId="1EE0E156" w14:textId="77777777" w:rsidR="0078100E" w:rsidRPr="00BB4B25" w:rsidRDefault="0078100E" w:rsidP="00441D01">
            <w:pPr>
              <w:spacing w:after="0" w:line="240" w:lineRule="auto"/>
              <w:rPr>
                <w:rFonts w:ascii="Times New Roman" w:eastAsia="Times New Roman" w:hAnsi="Times New Roman" w:cs="Times New Roman"/>
                <w:sz w:val="20"/>
                <w:szCs w:val="20"/>
                <w:lang w:val="en-US"/>
              </w:rPr>
            </w:pPr>
          </w:p>
        </w:tc>
      </w:tr>
      <w:tr w:rsidR="0078100E" w:rsidRPr="00F50786" w14:paraId="64995B18" w14:textId="77777777" w:rsidTr="00441D01">
        <w:trPr>
          <w:trHeight w:val="975"/>
        </w:trPr>
        <w:tc>
          <w:tcPr>
            <w:tcW w:w="954" w:type="dxa"/>
            <w:tcBorders>
              <w:top w:val="nil"/>
              <w:left w:val="single" w:sz="4" w:space="0" w:color="auto"/>
              <w:bottom w:val="single" w:sz="4" w:space="0" w:color="auto"/>
              <w:right w:val="single" w:sz="4" w:space="0" w:color="auto"/>
            </w:tcBorders>
            <w:hideMark/>
          </w:tcPr>
          <w:p w14:paraId="632EF979" w14:textId="77777777" w:rsidR="0078100E" w:rsidRPr="00BB4B25" w:rsidRDefault="0078100E" w:rsidP="00441D01">
            <w:pPr>
              <w:spacing w:after="0" w:line="240" w:lineRule="auto"/>
              <w:rPr>
                <w:rFonts w:eastAsia="Times New Roman"/>
                <w:sz w:val="18"/>
                <w:szCs w:val="18"/>
              </w:rPr>
            </w:pPr>
            <w:r w:rsidRPr="00BB4B25">
              <w:rPr>
                <w:rFonts w:eastAsia="Times New Roman"/>
                <w:sz w:val="18"/>
                <w:szCs w:val="18"/>
              </w:rPr>
              <w:t>50</w:t>
            </w:r>
          </w:p>
        </w:tc>
        <w:tc>
          <w:tcPr>
            <w:tcW w:w="12926" w:type="dxa"/>
            <w:tcBorders>
              <w:top w:val="nil"/>
              <w:left w:val="single" w:sz="4" w:space="0" w:color="auto"/>
              <w:bottom w:val="single" w:sz="4" w:space="0" w:color="auto"/>
              <w:right w:val="single" w:sz="4" w:space="0" w:color="auto"/>
            </w:tcBorders>
            <w:hideMark/>
          </w:tcPr>
          <w:p w14:paraId="1C258092"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This budget is allocated to cover PMU staff salaries:</w:t>
            </w:r>
            <w:r w:rsidRPr="00BB4B25">
              <w:rPr>
                <w:rFonts w:eastAsia="Times New Roman"/>
                <w:color w:val="000000"/>
                <w:sz w:val="18"/>
                <w:szCs w:val="18"/>
                <w:lang w:val="en-US"/>
              </w:rPr>
              <w:br/>
              <w:t>(</w:t>
            </w:r>
            <w:proofErr w:type="spellStart"/>
            <w:r w:rsidRPr="00BB4B25">
              <w:rPr>
                <w:rFonts w:eastAsia="Times New Roman"/>
                <w:color w:val="000000"/>
                <w:sz w:val="18"/>
                <w:szCs w:val="18"/>
                <w:lang w:val="en-US"/>
              </w:rPr>
              <w:t>i</w:t>
            </w:r>
            <w:proofErr w:type="spellEnd"/>
            <w:r w:rsidRPr="00BB4B25">
              <w:rPr>
                <w:rFonts w:eastAsia="Times New Roman"/>
                <w:color w:val="000000"/>
                <w:sz w:val="18"/>
                <w:szCs w:val="18"/>
                <w:lang w:val="en-US"/>
              </w:rPr>
              <w:t xml:space="preserve">) Finance and Admin Officer (100% of the salary @ US$2,150/month over 5 years) for carrying out all general financial </w:t>
            </w:r>
            <w:proofErr w:type="gramStart"/>
            <w:r w:rsidRPr="00BB4B25">
              <w:rPr>
                <w:rFonts w:eastAsia="Times New Roman"/>
                <w:color w:val="000000"/>
                <w:sz w:val="18"/>
                <w:szCs w:val="18"/>
                <w:lang w:val="en-US"/>
              </w:rPr>
              <w:t>management  functions</w:t>
            </w:r>
            <w:proofErr w:type="gramEnd"/>
            <w:r w:rsidRPr="00BB4B25">
              <w:rPr>
                <w:rFonts w:eastAsia="Times New Roman"/>
                <w:color w:val="000000"/>
                <w:sz w:val="18"/>
                <w:szCs w:val="18"/>
                <w:lang w:val="en-US"/>
              </w:rPr>
              <w:t xml:space="preserve"> (See Annex 7 for details TOR) -total $129,000-  </w:t>
            </w:r>
          </w:p>
        </w:tc>
        <w:tc>
          <w:tcPr>
            <w:tcW w:w="160" w:type="dxa"/>
            <w:hideMark/>
          </w:tcPr>
          <w:p w14:paraId="65C22885" w14:textId="77777777" w:rsidR="0078100E" w:rsidRPr="00BB4B25" w:rsidRDefault="0078100E" w:rsidP="00441D01">
            <w:pPr>
              <w:spacing w:after="0" w:line="240" w:lineRule="auto"/>
              <w:rPr>
                <w:rFonts w:ascii="Times New Roman" w:eastAsia="Times New Roman" w:hAnsi="Times New Roman" w:cs="Times New Roman"/>
                <w:sz w:val="20"/>
                <w:szCs w:val="20"/>
                <w:lang w:val="en-US"/>
              </w:rPr>
            </w:pPr>
          </w:p>
        </w:tc>
      </w:tr>
      <w:tr w:rsidR="0078100E" w:rsidRPr="00F50786" w14:paraId="1179AB61" w14:textId="77777777" w:rsidTr="00441D01">
        <w:trPr>
          <w:trHeight w:val="1814"/>
        </w:trPr>
        <w:tc>
          <w:tcPr>
            <w:tcW w:w="954" w:type="dxa"/>
            <w:tcBorders>
              <w:top w:val="nil"/>
              <w:left w:val="single" w:sz="4" w:space="0" w:color="auto"/>
              <w:bottom w:val="single" w:sz="4" w:space="0" w:color="auto"/>
              <w:right w:val="single" w:sz="4" w:space="0" w:color="auto"/>
            </w:tcBorders>
            <w:hideMark/>
          </w:tcPr>
          <w:p w14:paraId="6A488D52" w14:textId="77777777" w:rsidR="0078100E" w:rsidRPr="00BB4B25" w:rsidRDefault="0078100E" w:rsidP="00441D01">
            <w:pPr>
              <w:spacing w:after="0" w:line="240" w:lineRule="auto"/>
              <w:rPr>
                <w:rFonts w:eastAsia="Times New Roman"/>
                <w:sz w:val="18"/>
                <w:szCs w:val="18"/>
              </w:rPr>
            </w:pPr>
            <w:r w:rsidRPr="00BB4B25">
              <w:rPr>
                <w:rFonts w:eastAsia="Times New Roman"/>
                <w:sz w:val="18"/>
                <w:szCs w:val="18"/>
              </w:rPr>
              <w:t>51</w:t>
            </w:r>
          </w:p>
        </w:tc>
        <w:tc>
          <w:tcPr>
            <w:tcW w:w="12926" w:type="dxa"/>
            <w:tcBorders>
              <w:top w:val="nil"/>
              <w:left w:val="single" w:sz="4" w:space="0" w:color="auto"/>
              <w:bottom w:val="single" w:sz="4" w:space="0" w:color="auto"/>
              <w:right w:val="single" w:sz="4" w:space="0" w:color="auto"/>
            </w:tcBorders>
            <w:hideMark/>
          </w:tcPr>
          <w:p w14:paraId="7C626850"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 xml:space="preserve">Procurement Consultant to support procurement processes during the project implementation: </w:t>
            </w:r>
            <w:r w:rsidRPr="00BB4B25">
              <w:rPr>
                <w:rFonts w:eastAsia="Times New Roman"/>
                <w:color w:val="000000"/>
                <w:sz w:val="18"/>
                <w:szCs w:val="18"/>
                <w:lang w:val="en-US"/>
              </w:rPr>
              <w:br/>
              <w:t xml:space="preserve">the support is expected to be as following :  </w:t>
            </w:r>
            <w:r w:rsidRPr="00BB4B25">
              <w:rPr>
                <w:rFonts w:eastAsia="Times New Roman"/>
                <w:color w:val="000000"/>
                <w:sz w:val="18"/>
                <w:szCs w:val="18"/>
                <w:lang w:val="en-US"/>
              </w:rPr>
              <w:br/>
              <w:t xml:space="preserve">70 man /day support to the component 1  </w:t>
            </w:r>
            <w:r w:rsidRPr="00BB4B25">
              <w:rPr>
                <w:rFonts w:eastAsia="Times New Roman"/>
                <w:color w:val="000000"/>
                <w:sz w:val="18"/>
                <w:szCs w:val="18"/>
                <w:lang w:val="en-US"/>
              </w:rPr>
              <w:br/>
              <w:t>38 man/day support to the component 2</w:t>
            </w:r>
            <w:r w:rsidRPr="00BB4B25">
              <w:rPr>
                <w:rFonts w:eastAsia="Times New Roman"/>
                <w:color w:val="000000"/>
                <w:sz w:val="18"/>
                <w:szCs w:val="18"/>
                <w:lang w:val="en-US"/>
              </w:rPr>
              <w:br/>
              <w:t xml:space="preserve">40 man/day support to the component 3 </w:t>
            </w:r>
            <w:r w:rsidRPr="00BB4B25">
              <w:rPr>
                <w:rFonts w:eastAsia="Times New Roman"/>
                <w:color w:val="000000"/>
                <w:sz w:val="18"/>
                <w:szCs w:val="18"/>
                <w:lang w:val="en-US"/>
              </w:rPr>
              <w:br/>
              <w:t xml:space="preserve">2 man/day support to the component 4 </w:t>
            </w:r>
            <w:r w:rsidRPr="00BB4B25">
              <w:rPr>
                <w:rFonts w:eastAsia="Times New Roman"/>
                <w:color w:val="000000"/>
                <w:sz w:val="18"/>
                <w:szCs w:val="18"/>
                <w:lang w:val="en-US"/>
              </w:rPr>
              <w:br/>
              <w:t xml:space="preserve"> the payments are as following : 10% Y 1 ; 30% Y2; 30% Y3; 20% Y5 10%</w:t>
            </w:r>
            <w:r w:rsidRPr="00BB4B25">
              <w:rPr>
                <w:rFonts w:eastAsia="Times New Roman"/>
                <w:color w:val="000000"/>
                <w:sz w:val="18"/>
                <w:szCs w:val="18"/>
                <w:lang w:val="en-US"/>
              </w:rPr>
              <w:br/>
              <w:t xml:space="preserve">Minimum 150 man days x 250$ =37500$ (see annex 7 in the </w:t>
            </w:r>
            <w:proofErr w:type="spellStart"/>
            <w:r w:rsidRPr="00BB4B25">
              <w:rPr>
                <w:rFonts w:eastAsia="Times New Roman"/>
                <w:color w:val="000000"/>
                <w:sz w:val="18"/>
                <w:szCs w:val="18"/>
                <w:lang w:val="en-US"/>
              </w:rPr>
              <w:t>prodoc</w:t>
            </w:r>
            <w:proofErr w:type="spellEnd"/>
            <w:r w:rsidRPr="00BB4B25">
              <w:rPr>
                <w:rFonts w:eastAsia="Times New Roman"/>
                <w:color w:val="000000"/>
                <w:sz w:val="18"/>
                <w:szCs w:val="18"/>
                <w:lang w:val="en-US"/>
              </w:rPr>
              <w:t xml:space="preserve">  for </w:t>
            </w:r>
            <w:proofErr w:type="spellStart"/>
            <w:r w:rsidRPr="00BB4B25">
              <w:rPr>
                <w:rFonts w:eastAsia="Times New Roman"/>
                <w:color w:val="000000"/>
                <w:sz w:val="18"/>
                <w:szCs w:val="18"/>
                <w:lang w:val="en-US"/>
              </w:rPr>
              <w:t>ToR</w:t>
            </w:r>
            <w:proofErr w:type="spellEnd"/>
            <w:r w:rsidRPr="00BB4B25">
              <w:rPr>
                <w:rFonts w:eastAsia="Times New Roman"/>
                <w:color w:val="000000"/>
                <w:sz w:val="18"/>
                <w:szCs w:val="18"/>
                <w:lang w:val="en-US"/>
              </w:rPr>
              <w:t xml:space="preserve">)  </w:t>
            </w:r>
          </w:p>
        </w:tc>
        <w:tc>
          <w:tcPr>
            <w:tcW w:w="160" w:type="dxa"/>
            <w:hideMark/>
          </w:tcPr>
          <w:p w14:paraId="6648C9FC" w14:textId="77777777" w:rsidR="0078100E" w:rsidRPr="00BB4B25" w:rsidRDefault="0078100E" w:rsidP="00441D01">
            <w:pPr>
              <w:spacing w:after="0" w:line="240" w:lineRule="auto"/>
              <w:rPr>
                <w:rFonts w:ascii="Times New Roman" w:eastAsia="Times New Roman" w:hAnsi="Times New Roman" w:cs="Times New Roman"/>
                <w:sz w:val="20"/>
                <w:szCs w:val="20"/>
                <w:lang w:val="en-US"/>
              </w:rPr>
            </w:pPr>
          </w:p>
        </w:tc>
      </w:tr>
      <w:tr w:rsidR="0078100E" w:rsidRPr="00F50786" w14:paraId="363CAACD" w14:textId="77777777" w:rsidTr="00441D01">
        <w:trPr>
          <w:trHeight w:val="492"/>
        </w:trPr>
        <w:tc>
          <w:tcPr>
            <w:tcW w:w="954" w:type="dxa"/>
            <w:tcBorders>
              <w:top w:val="nil"/>
              <w:left w:val="single" w:sz="4" w:space="0" w:color="auto"/>
              <w:bottom w:val="single" w:sz="4" w:space="0" w:color="auto"/>
              <w:right w:val="single" w:sz="4" w:space="0" w:color="auto"/>
            </w:tcBorders>
            <w:hideMark/>
          </w:tcPr>
          <w:p w14:paraId="03B0721F" w14:textId="77777777" w:rsidR="0078100E" w:rsidRPr="00BB4B25" w:rsidRDefault="0078100E" w:rsidP="00441D01">
            <w:pPr>
              <w:spacing w:after="0" w:line="240" w:lineRule="auto"/>
              <w:rPr>
                <w:rFonts w:eastAsia="Times New Roman"/>
                <w:i/>
                <w:iCs/>
                <w:sz w:val="18"/>
                <w:szCs w:val="18"/>
              </w:rPr>
            </w:pPr>
            <w:r w:rsidRPr="00BB4B25">
              <w:rPr>
                <w:rFonts w:eastAsia="Times New Roman"/>
                <w:i/>
                <w:iCs/>
                <w:sz w:val="18"/>
                <w:szCs w:val="18"/>
              </w:rPr>
              <w:t>52</w:t>
            </w:r>
          </w:p>
        </w:tc>
        <w:tc>
          <w:tcPr>
            <w:tcW w:w="12926" w:type="dxa"/>
            <w:tcBorders>
              <w:top w:val="nil"/>
              <w:left w:val="single" w:sz="4" w:space="0" w:color="auto"/>
              <w:bottom w:val="single" w:sz="4" w:space="0" w:color="auto"/>
              <w:right w:val="single" w:sz="4" w:space="0" w:color="auto"/>
            </w:tcBorders>
            <w:hideMark/>
          </w:tcPr>
          <w:p w14:paraId="2316C67C"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Audit (4000$x 4 years + 3000$ x year 1)</w:t>
            </w:r>
          </w:p>
        </w:tc>
        <w:tc>
          <w:tcPr>
            <w:tcW w:w="160" w:type="dxa"/>
            <w:hideMark/>
          </w:tcPr>
          <w:p w14:paraId="3BC957DE" w14:textId="77777777" w:rsidR="0078100E" w:rsidRPr="00BB4B25" w:rsidRDefault="0078100E" w:rsidP="00441D01">
            <w:pPr>
              <w:spacing w:after="0" w:line="240" w:lineRule="auto"/>
              <w:rPr>
                <w:rFonts w:ascii="Times New Roman" w:eastAsia="Times New Roman" w:hAnsi="Times New Roman" w:cs="Times New Roman"/>
                <w:sz w:val="20"/>
                <w:szCs w:val="20"/>
                <w:lang w:val="en-US"/>
              </w:rPr>
            </w:pPr>
          </w:p>
        </w:tc>
      </w:tr>
      <w:tr w:rsidR="0078100E" w:rsidRPr="00F50786" w14:paraId="6984246C" w14:textId="77777777" w:rsidTr="00441D01">
        <w:trPr>
          <w:trHeight w:val="454"/>
        </w:trPr>
        <w:tc>
          <w:tcPr>
            <w:tcW w:w="954" w:type="dxa"/>
            <w:tcBorders>
              <w:top w:val="nil"/>
              <w:left w:val="single" w:sz="4" w:space="0" w:color="auto"/>
              <w:bottom w:val="single" w:sz="4" w:space="0" w:color="auto"/>
              <w:right w:val="single" w:sz="4" w:space="0" w:color="auto"/>
            </w:tcBorders>
            <w:hideMark/>
          </w:tcPr>
          <w:p w14:paraId="50715B6E" w14:textId="77777777" w:rsidR="0078100E" w:rsidRPr="00BB4B25" w:rsidRDefault="0078100E" w:rsidP="00441D01">
            <w:pPr>
              <w:spacing w:after="0" w:line="240" w:lineRule="auto"/>
              <w:rPr>
                <w:rFonts w:eastAsia="Times New Roman"/>
                <w:i/>
                <w:iCs/>
                <w:sz w:val="18"/>
                <w:szCs w:val="18"/>
              </w:rPr>
            </w:pPr>
            <w:r w:rsidRPr="00BB4B25">
              <w:rPr>
                <w:rFonts w:eastAsia="Times New Roman"/>
                <w:i/>
                <w:iCs/>
                <w:sz w:val="18"/>
                <w:szCs w:val="18"/>
              </w:rPr>
              <w:t>53</w:t>
            </w:r>
          </w:p>
        </w:tc>
        <w:tc>
          <w:tcPr>
            <w:tcW w:w="12926" w:type="dxa"/>
            <w:tcBorders>
              <w:top w:val="nil"/>
              <w:left w:val="single" w:sz="4" w:space="0" w:color="auto"/>
              <w:bottom w:val="single" w:sz="4" w:space="0" w:color="auto"/>
              <w:right w:val="single" w:sz="4" w:space="0" w:color="auto"/>
            </w:tcBorders>
            <w:hideMark/>
          </w:tcPr>
          <w:p w14:paraId="27CD6673" w14:textId="77777777" w:rsidR="0078100E" w:rsidRPr="00BB4B25" w:rsidRDefault="0078100E" w:rsidP="00441D01">
            <w:pPr>
              <w:spacing w:after="0" w:line="240" w:lineRule="auto"/>
              <w:rPr>
                <w:rFonts w:eastAsia="Times New Roman"/>
                <w:sz w:val="18"/>
                <w:szCs w:val="18"/>
                <w:lang w:val="en-US"/>
              </w:rPr>
            </w:pPr>
            <w:r w:rsidRPr="00BB4B25">
              <w:rPr>
                <w:rFonts w:eastAsia="Times New Roman"/>
                <w:sz w:val="18"/>
                <w:szCs w:val="18"/>
                <w:lang w:val="en-US"/>
              </w:rPr>
              <w:t>Laptops, printers, software, etc. for a total of 13,500k$. Year 3,4 and 5 renewal/upgrade of certain equipment for 9,000k$</w:t>
            </w:r>
            <w:proofErr w:type="gramStart"/>
            <w:r w:rsidRPr="00BB4B25">
              <w:rPr>
                <w:rFonts w:eastAsia="Times New Roman"/>
                <w:sz w:val="18"/>
                <w:szCs w:val="18"/>
                <w:lang w:val="en-US"/>
              </w:rPr>
              <w:t>US.(</w:t>
            </w:r>
            <w:proofErr w:type="gramEnd"/>
            <w:r w:rsidRPr="00BB4B25">
              <w:rPr>
                <w:rFonts w:eastAsia="Times New Roman"/>
                <w:sz w:val="18"/>
                <w:szCs w:val="18"/>
                <w:lang w:val="en-US"/>
              </w:rPr>
              <w:t>Total of 22,500$)</w:t>
            </w:r>
          </w:p>
        </w:tc>
        <w:tc>
          <w:tcPr>
            <w:tcW w:w="160" w:type="dxa"/>
            <w:hideMark/>
          </w:tcPr>
          <w:p w14:paraId="0DE01B4D" w14:textId="77777777" w:rsidR="0078100E" w:rsidRPr="00BB4B25" w:rsidRDefault="0078100E" w:rsidP="00441D01">
            <w:pPr>
              <w:spacing w:after="0" w:line="240" w:lineRule="auto"/>
              <w:rPr>
                <w:rFonts w:ascii="Times New Roman" w:eastAsia="Times New Roman" w:hAnsi="Times New Roman" w:cs="Times New Roman"/>
                <w:sz w:val="20"/>
                <w:szCs w:val="20"/>
                <w:lang w:val="en-US"/>
              </w:rPr>
            </w:pPr>
          </w:p>
        </w:tc>
      </w:tr>
      <w:tr w:rsidR="0078100E" w:rsidRPr="00F50786" w14:paraId="3F11F3AA" w14:textId="77777777" w:rsidTr="00441D01">
        <w:trPr>
          <w:trHeight w:val="480"/>
        </w:trPr>
        <w:tc>
          <w:tcPr>
            <w:tcW w:w="954" w:type="dxa"/>
            <w:tcBorders>
              <w:top w:val="nil"/>
              <w:left w:val="single" w:sz="4" w:space="0" w:color="auto"/>
              <w:bottom w:val="single" w:sz="4" w:space="0" w:color="auto"/>
              <w:right w:val="single" w:sz="4" w:space="0" w:color="auto"/>
            </w:tcBorders>
            <w:hideMark/>
          </w:tcPr>
          <w:p w14:paraId="0D764011"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54</w:t>
            </w:r>
          </w:p>
        </w:tc>
        <w:tc>
          <w:tcPr>
            <w:tcW w:w="12926" w:type="dxa"/>
            <w:tcBorders>
              <w:top w:val="nil"/>
              <w:left w:val="single" w:sz="4" w:space="0" w:color="auto"/>
              <w:bottom w:val="single" w:sz="4" w:space="0" w:color="auto"/>
              <w:right w:val="single" w:sz="4" w:space="0" w:color="auto"/>
            </w:tcBorders>
            <w:hideMark/>
          </w:tcPr>
          <w:p w14:paraId="0C84972F"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Other equipment (desks, chairs) for PMU and insurance maintenance of the Vehicle and Gasoline for a total of 8000 $ for the duration of the project.</w:t>
            </w:r>
          </w:p>
        </w:tc>
        <w:tc>
          <w:tcPr>
            <w:tcW w:w="160" w:type="dxa"/>
            <w:hideMark/>
          </w:tcPr>
          <w:p w14:paraId="55A892BB" w14:textId="77777777" w:rsidR="0078100E" w:rsidRPr="00BB4B25" w:rsidRDefault="0078100E" w:rsidP="00441D01">
            <w:pPr>
              <w:spacing w:after="0" w:line="240" w:lineRule="auto"/>
              <w:rPr>
                <w:rFonts w:ascii="Times New Roman" w:eastAsia="Times New Roman" w:hAnsi="Times New Roman" w:cs="Times New Roman"/>
                <w:sz w:val="20"/>
                <w:szCs w:val="20"/>
                <w:lang w:val="en-US"/>
              </w:rPr>
            </w:pPr>
          </w:p>
        </w:tc>
      </w:tr>
      <w:tr w:rsidR="0078100E" w:rsidRPr="00F50786" w14:paraId="69B1E00D" w14:textId="77777777" w:rsidTr="00441D01">
        <w:trPr>
          <w:trHeight w:val="300"/>
        </w:trPr>
        <w:tc>
          <w:tcPr>
            <w:tcW w:w="954" w:type="dxa"/>
            <w:tcBorders>
              <w:top w:val="nil"/>
              <w:left w:val="single" w:sz="4" w:space="0" w:color="auto"/>
              <w:bottom w:val="single" w:sz="4" w:space="0" w:color="auto"/>
              <w:right w:val="single" w:sz="4" w:space="0" w:color="auto"/>
            </w:tcBorders>
            <w:hideMark/>
          </w:tcPr>
          <w:p w14:paraId="2EBD9188"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55</w:t>
            </w:r>
          </w:p>
        </w:tc>
        <w:tc>
          <w:tcPr>
            <w:tcW w:w="12926" w:type="dxa"/>
            <w:tcBorders>
              <w:top w:val="nil"/>
              <w:left w:val="single" w:sz="4" w:space="0" w:color="auto"/>
              <w:bottom w:val="single" w:sz="4" w:space="0" w:color="auto"/>
              <w:right w:val="single" w:sz="4" w:space="0" w:color="auto"/>
            </w:tcBorders>
            <w:hideMark/>
          </w:tcPr>
          <w:p w14:paraId="3984E0E7" w14:textId="77777777" w:rsidR="0078100E" w:rsidRPr="00BB4B25" w:rsidRDefault="0078100E" w:rsidP="00441D01">
            <w:pPr>
              <w:spacing w:after="0" w:line="240" w:lineRule="auto"/>
              <w:rPr>
                <w:rFonts w:eastAsia="Times New Roman"/>
                <w:color w:val="000000"/>
                <w:sz w:val="18"/>
                <w:szCs w:val="18"/>
                <w:lang w:val="en-US"/>
              </w:rPr>
            </w:pPr>
            <w:r w:rsidRPr="00BB4B25">
              <w:rPr>
                <w:rFonts w:eastAsia="Times New Roman"/>
                <w:color w:val="000000"/>
                <w:sz w:val="18"/>
                <w:szCs w:val="18"/>
                <w:lang w:val="en-US"/>
              </w:rPr>
              <w:t>office supplies for a total of $9,855 for the 5 years of the project</w:t>
            </w:r>
          </w:p>
        </w:tc>
        <w:tc>
          <w:tcPr>
            <w:tcW w:w="160" w:type="dxa"/>
            <w:hideMark/>
          </w:tcPr>
          <w:p w14:paraId="39B4D73C" w14:textId="77777777" w:rsidR="0078100E" w:rsidRPr="00BB4B25" w:rsidRDefault="0078100E" w:rsidP="00441D01">
            <w:pPr>
              <w:spacing w:after="0" w:line="240" w:lineRule="auto"/>
              <w:rPr>
                <w:rFonts w:ascii="Times New Roman" w:eastAsia="Times New Roman" w:hAnsi="Times New Roman" w:cs="Times New Roman"/>
                <w:sz w:val="20"/>
                <w:szCs w:val="20"/>
                <w:lang w:val="en-US"/>
              </w:rPr>
            </w:pPr>
          </w:p>
        </w:tc>
      </w:tr>
      <w:tr w:rsidR="0078100E" w:rsidRPr="00F50786" w14:paraId="054A5744" w14:textId="77777777" w:rsidTr="00441D01">
        <w:trPr>
          <w:trHeight w:val="288"/>
        </w:trPr>
        <w:tc>
          <w:tcPr>
            <w:tcW w:w="954" w:type="dxa"/>
            <w:tcBorders>
              <w:top w:val="nil"/>
              <w:left w:val="single" w:sz="4" w:space="0" w:color="auto"/>
              <w:bottom w:val="single" w:sz="4" w:space="0" w:color="auto"/>
              <w:right w:val="single" w:sz="4" w:space="0" w:color="auto"/>
            </w:tcBorders>
            <w:hideMark/>
          </w:tcPr>
          <w:p w14:paraId="67ED48F5" w14:textId="77777777" w:rsidR="0078100E" w:rsidRPr="00BB4B25" w:rsidRDefault="0078100E" w:rsidP="00441D01">
            <w:pPr>
              <w:spacing w:after="0" w:line="240" w:lineRule="auto"/>
              <w:rPr>
                <w:rFonts w:eastAsia="Times New Roman"/>
                <w:i/>
                <w:iCs/>
                <w:color w:val="000000"/>
                <w:sz w:val="18"/>
                <w:szCs w:val="18"/>
              </w:rPr>
            </w:pPr>
            <w:r w:rsidRPr="00BB4B25">
              <w:rPr>
                <w:rFonts w:eastAsia="Times New Roman"/>
                <w:i/>
                <w:iCs/>
                <w:color w:val="000000"/>
                <w:sz w:val="18"/>
                <w:szCs w:val="18"/>
              </w:rPr>
              <w:t>56</w:t>
            </w:r>
          </w:p>
        </w:tc>
        <w:tc>
          <w:tcPr>
            <w:tcW w:w="12926" w:type="dxa"/>
            <w:tcBorders>
              <w:top w:val="nil"/>
              <w:left w:val="single" w:sz="4" w:space="0" w:color="auto"/>
              <w:bottom w:val="single" w:sz="4" w:space="0" w:color="auto"/>
              <w:right w:val="single" w:sz="4" w:space="0" w:color="auto"/>
            </w:tcBorders>
            <w:hideMark/>
          </w:tcPr>
          <w:p w14:paraId="1514D0F9" w14:textId="77777777" w:rsidR="0078100E" w:rsidRPr="00BB4B25" w:rsidRDefault="0078100E" w:rsidP="00441D01">
            <w:pPr>
              <w:spacing w:after="0" w:line="240" w:lineRule="auto"/>
              <w:rPr>
                <w:rFonts w:eastAsia="Times New Roman"/>
                <w:sz w:val="18"/>
                <w:szCs w:val="18"/>
                <w:lang w:val="en-US"/>
              </w:rPr>
            </w:pPr>
            <w:r w:rsidRPr="00BB4B25">
              <w:rPr>
                <w:rFonts w:eastAsia="Times New Roman"/>
                <w:sz w:val="18"/>
                <w:szCs w:val="18"/>
                <w:lang w:val="en-US"/>
              </w:rPr>
              <w:t>Car (electric or Hybrid) for the PMU for a maximum of 60k$</w:t>
            </w:r>
          </w:p>
        </w:tc>
        <w:tc>
          <w:tcPr>
            <w:tcW w:w="160" w:type="dxa"/>
            <w:hideMark/>
          </w:tcPr>
          <w:p w14:paraId="5AA19E7F" w14:textId="77777777" w:rsidR="0078100E" w:rsidRPr="00BB4B25" w:rsidRDefault="0078100E" w:rsidP="00441D01">
            <w:pPr>
              <w:spacing w:after="0" w:line="240" w:lineRule="auto"/>
              <w:rPr>
                <w:rFonts w:ascii="Times New Roman" w:eastAsia="Times New Roman" w:hAnsi="Times New Roman" w:cs="Times New Roman"/>
                <w:sz w:val="20"/>
                <w:szCs w:val="20"/>
                <w:lang w:val="en-US"/>
              </w:rPr>
            </w:pPr>
          </w:p>
        </w:tc>
      </w:tr>
      <w:tr w:rsidR="0078100E" w:rsidRPr="00F50786" w14:paraId="095A4714" w14:textId="77777777" w:rsidTr="00441D01">
        <w:trPr>
          <w:trHeight w:val="720"/>
        </w:trPr>
        <w:tc>
          <w:tcPr>
            <w:tcW w:w="954" w:type="dxa"/>
            <w:tcBorders>
              <w:top w:val="nil"/>
              <w:left w:val="single" w:sz="4" w:space="0" w:color="auto"/>
              <w:bottom w:val="single" w:sz="4" w:space="0" w:color="auto"/>
              <w:right w:val="single" w:sz="4" w:space="0" w:color="auto"/>
            </w:tcBorders>
            <w:hideMark/>
          </w:tcPr>
          <w:p w14:paraId="1002791D" w14:textId="77777777" w:rsidR="0078100E" w:rsidRPr="00BB4B25" w:rsidRDefault="0078100E" w:rsidP="00441D01">
            <w:pPr>
              <w:spacing w:after="0" w:line="240" w:lineRule="auto"/>
              <w:rPr>
                <w:rFonts w:eastAsia="Times New Roman"/>
                <w:i/>
                <w:iCs/>
                <w:sz w:val="18"/>
                <w:szCs w:val="18"/>
              </w:rPr>
            </w:pPr>
            <w:r w:rsidRPr="00BB4B25">
              <w:rPr>
                <w:rFonts w:eastAsia="Times New Roman"/>
                <w:i/>
                <w:iCs/>
                <w:sz w:val="18"/>
                <w:szCs w:val="18"/>
              </w:rPr>
              <w:t>57</w:t>
            </w:r>
          </w:p>
        </w:tc>
        <w:tc>
          <w:tcPr>
            <w:tcW w:w="12926" w:type="dxa"/>
            <w:tcBorders>
              <w:top w:val="nil"/>
              <w:left w:val="single" w:sz="4" w:space="0" w:color="auto"/>
              <w:bottom w:val="single" w:sz="4" w:space="0" w:color="auto"/>
              <w:right w:val="single" w:sz="4" w:space="0" w:color="auto"/>
            </w:tcBorders>
            <w:hideMark/>
          </w:tcPr>
          <w:p w14:paraId="49ED03DC" w14:textId="77777777" w:rsidR="0078100E" w:rsidRPr="00BB4B25" w:rsidRDefault="0078100E" w:rsidP="00441D01">
            <w:pPr>
              <w:spacing w:after="0" w:line="240" w:lineRule="auto"/>
              <w:rPr>
                <w:rFonts w:eastAsia="Times New Roman"/>
                <w:sz w:val="18"/>
                <w:szCs w:val="18"/>
                <w:lang w:val="en-US"/>
              </w:rPr>
            </w:pPr>
            <w:r w:rsidRPr="00BB4B25">
              <w:rPr>
                <w:rFonts w:eastAsia="Times New Roman"/>
                <w:sz w:val="18"/>
                <w:szCs w:val="18"/>
                <w:lang w:val="en-US"/>
              </w:rPr>
              <w:t>This budget is allocated to cover10% PM salary:</w:t>
            </w:r>
            <w:r w:rsidRPr="00BB4B25">
              <w:rPr>
                <w:rFonts w:eastAsia="Times New Roman"/>
                <w:sz w:val="18"/>
                <w:szCs w:val="18"/>
                <w:lang w:val="en-US"/>
              </w:rPr>
              <w:br/>
              <w:t>(</w:t>
            </w:r>
            <w:proofErr w:type="spellStart"/>
            <w:r w:rsidRPr="00BB4B25">
              <w:rPr>
                <w:rFonts w:eastAsia="Times New Roman"/>
                <w:sz w:val="18"/>
                <w:szCs w:val="18"/>
                <w:lang w:val="en-US"/>
              </w:rPr>
              <w:t>i</w:t>
            </w:r>
            <w:proofErr w:type="spellEnd"/>
            <w:r w:rsidRPr="00BB4B25">
              <w:rPr>
                <w:rFonts w:eastAsia="Times New Roman"/>
                <w:sz w:val="18"/>
                <w:szCs w:val="18"/>
                <w:lang w:val="en-US"/>
              </w:rPr>
              <w:t>) Pro rata costs of contractual appointment of the Project Manager (20%xthe salary @ US$3225/</w:t>
            </w:r>
            <w:proofErr w:type="gramStart"/>
            <w:r w:rsidRPr="00BB4B25">
              <w:rPr>
                <w:rFonts w:eastAsia="Times New Roman"/>
                <w:sz w:val="18"/>
                <w:szCs w:val="18"/>
                <w:lang w:val="en-US"/>
              </w:rPr>
              <w:t>month  year</w:t>
            </w:r>
            <w:proofErr w:type="gramEnd"/>
            <w:r w:rsidRPr="00BB4B25">
              <w:rPr>
                <w:rFonts w:eastAsia="Times New Roman"/>
                <w:sz w:val="18"/>
                <w:szCs w:val="18"/>
                <w:lang w:val="en-US"/>
              </w:rPr>
              <w:t xml:space="preserve"> 1&amp;5 ) to perform technical assistance to component1 (outcome 1.2) (See Annex 7  for detailed TOR) - U$19,350</w:t>
            </w:r>
          </w:p>
        </w:tc>
        <w:tc>
          <w:tcPr>
            <w:tcW w:w="160" w:type="dxa"/>
            <w:hideMark/>
          </w:tcPr>
          <w:p w14:paraId="24B9DCD9" w14:textId="77777777" w:rsidR="0078100E" w:rsidRPr="00BB4B25" w:rsidRDefault="0078100E" w:rsidP="00441D01">
            <w:pPr>
              <w:spacing w:after="0" w:line="240" w:lineRule="auto"/>
              <w:rPr>
                <w:rFonts w:ascii="Times New Roman" w:eastAsia="Times New Roman" w:hAnsi="Times New Roman" w:cs="Times New Roman"/>
                <w:sz w:val="20"/>
                <w:szCs w:val="20"/>
                <w:lang w:val="en-US"/>
              </w:rPr>
            </w:pPr>
          </w:p>
        </w:tc>
      </w:tr>
    </w:tbl>
    <w:p w14:paraId="53774940" w14:textId="7CF580A6" w:rsidR="0078100E" w:rsidRDefault="0078100E" w:rsidP="00E86501">
      <w:pPr>
        <w:tabs>
          <w:tab w:val="left" w:pos="1404"/>
        </w:tabs>
        <w:rPr>
          <w:b/>
          <w:smallCaps/>
          <w:spacing w:val="-2"/>
          <w:lang w:val="en-US"/>
        </w:rPr>
      </w:pPr>
    </w:p>
    <w:p w14:paraId="343C1E7C" w14:textId="39217F67" w:rsidR="006D3B57" w:rsidRPr="006D3B57" w:rsidRDefault="0078100E" w:rsidP="00E86501">
      <w:pPr>
        <w:tabs>
          <w:tab w:val="left" w:pos="1404"/>
        </w:tabs>
        <w:rPr>
          <w:b/>
          <w:smallCaps/>
          <w:lang w:val="en-US"/>
        </w:rPr>
        <w:sectPr w:rsidR="006D3B57" w:rsidRPr="006D3B57" w:rsidSect="00EB5C03">
          <w:headerReference w:type="first" r:id="rId50"/>
          <w:pgSz w:w="16838" w:h="11906" w:orient="landscape"/>
          <w:pgMar w:top="1418" w:right="1418" w:bottom="1418" w:left="1418" w:header="709" w:footer="709" w:gutter="0"/>
          <w:cols w:space="720"/>
        </w:sectPr>
      </w:pPr>
      <w:r>
        <w:rPr>
          <w:lang w:val="en-US"/>
        </w:rPr>
        <w:tab/>
      </w:r>
    </w:p>
    <w:p w14:paraId="00000C58" w14:textId="6145BF3C" w:rsidR="004F7DB3" w:rsidRPr="00E03467" w:rsidRDefault="0B9B384C" w:rsidP="5D8904BE">
      <w:pPr>
        <w:pStyle w:val="Heading11"/>
        <w:pBdr>
          <w:top w:val="single" w:sz="4" w:space="0" w:color="auto"/>
        </w:pBdr>
        <w:rPr>
          <w:sz w:val="24"/>
          <w:szCs w:val="24"/>
          <w:lang w:val="en-US"/>
        </w:rPr>
      </w:pPr>
      <w:bookmarkStart w:id="66" w:name="_Toc1698249622"/>
      <w:bookmarkStart w:id="67" w:name="_Toc200477842"/>
      <w:r w:rsidRPr="5D8904BE">
        <w:rPr>
          <w:sz w:val="24"/>
          <w:szCs w:val="24"/>
          <w:lang w:val="en-US"/>
        </w:rPr>
        <w:lastRenderedPageBreak/>
        <w:t xml:space="preserve">LEGAL </w:t>
      </w:r>
      <w:r w:rsidR="3BA9209D" w:rsidRPr="5D8904BE">
        <w:rPr>
          <w:sz w:val="24"/>
          <w:szCs w:val="24"/>
          <w:lang w:val="en-US"/>
        </w:rPr>
        <w:t>CONTEXT</w:t>
      </w:r>
      <w:bookmarkEnd w:id="66"/>
      <w:bookmarkEnd w:id="67"/>
      <w:r w:rsidR="3BA9209D" w:rsidRPr="5D8904BE">
        <w:rPr>
          <w:sz w:val="24"/>
          <w:szCs w:val="24"/>
          <w:lang w:val="en-US"/>
        </w:rPr>
        <w:t xml:space="preserve"> </w:t>
      </w:r>
    </w:p>
    <w:p w14:paraId="3E518C6F" w14:textId="77777777" w:rsidR="009B2ADF" w:rsidRPr="009B2ADF" w:rsidRDefault="009B2ADF" w:rsidP="009B2ADF">
      <w:pPr>
        <w:spacing w:after="60" w:line="240" w:lineRule="auto"/>
        <w:jc w:val="both"/>
        <w:rPr>
          <w:rFonts w:eastAsia="SimSun" w:cs="Times New Roman"/>
          <w:b/>
          <w:sz w:val="20"/>
          <w:szCs w:val="24"/>
          <w:lang w:val="en-US"/>
        </w:rPr>
      </w:pPr>
      <w:bookmarkStart w:id="68" w:name="_heading=h.gdds3nd305w1"/>
      <w:bookmarkStart w:id="69" w:name="_Toc10449642"/>
      <w:bookmarkEnd w:id="68"/>
      <w:r w:rsidRPr="009B2ADF">
        <w:rPr>
          <w:rFonts w:eastAsia="SimSun" w:cs="Times New Roman"/>
          <w:b/>
          <w:sz w:val="20"/>
          <w:szCs w:val="24"/>
          <w:lang w:val="en-US"/>
        </w:rPr>
        <w:t xml:space="preserve">Option a. Where the country has signed the </w:t>
      </w:r>
      <w:r>
        <w:fldChar w:fldCharType="begin"/>
      </w:r>
      <w:r w:rsidRPr="00F50786">
        <w:rPr>
          <w:lang w:val="en-US"/>
          <w:rPrChange w:id="70" w:author="Ali Sambou" w:date="2026-01-06T13:24:00Z" w16du:dateUtc="2026-01-06T13:24:00Z">
            <w:rPr/>
          </w:rPrChange>
        </w:rPr>
        <w:instrText>HYPERLINK "http://intra.undp.org/bdp/archive-programming-manual/docs/reference-centre/chapter6/sbaa.pdf" \o "outbind://44/reference_centre/chapter5/sbaa.pdf"</w:instrText>
      </w:r>
      <w:r>
        <w:fldChar w:fldCharType="separate"/>
      </w:r>
      <w:r w:rsidRPr="009B2ADF">
        <w:rPr>
          <w:rFonts w:eastAsia="SimSun" w:cs="Arial"/>
          <w:b/>
          <w:color w:val="0000FF"/>
          <w:spacing w:val="-3"/>
          <w:sz w:val="20"/>
          <w:szCs w:val="20"/>
          <w:u w:val="single"/>
          <w:lang w:val="en-US"/>
        </w:rPr>
        <w:t>Standard Basic Assistance Agreement (SBAA)</w:t>
      </w:r>
      <w:bookmarkEnd w:id="69"/>
      <w:r>
        <w:fldChar w:fldCharType="end"/>
      </w:r>
      <w:r w:rsidRPr="009B2ADF">
        <w:rPr>
          <w:rFonts w:eastAsia="SimSun" w:cs="Times New Roman"/>
          <w:b/>
          <w:sz w:val="20"/>
          <w:szCs w:val="24"/>
          <w:lang w:val="en-US"/>
        </w:rPr>
        <w:t xml:space="preserve"> </w:t>
      </w:r>
    </w:p>
    <w:p w14:paraId="59854761" w14:textId="305AA16F" w:rsidR="009B2ADF" w:rsidRPr="002C38FE" w:rsidRDefault="009B2ADF" w:rsidP="009B2ADF">
      <w:pPr>
        <w:spacing w:after="0" w:line="240" w:lineRule="auto"/>
        <w:jc w:val="both"/>
        <w:rPr>
          <w:rFonts w:eastAsia="SimSun" w:cs="Arial"/>
          <w:sz w:val="20"/>
          <w:szCs w:val="20"/>
          <w:lang w:val="en-US"/>
        </w:rPr>
      </w:pPr>
      <w:r w:rsidRPr="002C38FE">
        <w:rPr>
          <w:rFonts w:eastAsia="SimSun" w:cs="Arial"/>
          <w:sz w:val="20"/>
          <w:szCs w:val="20"/>
          <w:lang w:val="en-US"/>
        </w:rPr>
        <w:t xml:space="preserve">This project document shall be the instrument referred to as such in Article 1 of the Standard Basic Assistance Agreement between the Government of </w:t>
      </w:r>
      <w:r w:rsidR="00493990" w:rsidRPr="00857B81">
        <w:rPr>
          <w:rFonts w:eastAsia="SimSun" w:cs="Arial"/>
          <w:sz w:val="20"/>
          <w:szCs w:val="20"/>
          <w:highlight w:val="yellow"/>
          <w:lang w:val="en-US"/>
        </w:rPr>
        <w:t>Mali</w:t>
      </w:r>
      <w:r w:rsidRPr="002C38FE">
        <w:rPr>
          <w:rFonts w:eastAsia="SimSun" w:cs="Arial"/>
          <w:sz w:val="20"/>
          <w:szCs w:val="20"/>
          <w:lang w:val="en-US"/>
        </w:rPr>
        <w:t xml:space="preserve"> and UNDP, signed on </w:t>
      </w:r>
      <w:r w:rsidR="008F6DC8" w:rsidRPr="00CD72B6">
        <w:rPr>
          <w:rFonts w:eastAsia="SimSun" w:cs="Arial"/>
          <w:sz w:val="20"/>
          <w:szCs w:val="20"/>
          <w:highlight w:val="yellow"/>
          <w:lang w:val="en-US"/>
        </w:rPr>
        <w:t>June 9th, 1978.</w:t>
      </w:r>
      <w:r w:rsidR="008F6DC8">
        <w:rPr>
          <w:rFonts w:eastAsia="SimSun" w:cs="Arial"/>
          <w:sz w:val="20"/>
          <w:szCs w:val="20"/>
          <w:lang w:val="en-US"/>
        </w:rPr>
        <w:t xml:space="preserve"> </w:t>
      </w:r>
      <w:r w:rsidRPr="002C38FE">
        <w:rPr>
          <w:rFonts w:eastAsia="SimSun" w:cs="Arial"/>
          <w:sz w:val="20"/>
          <w:szCs w:val="20"/>
          <w:lang w:val="en-US"/>
        </w:rPr>
        <w:t>All references in the SBAA to “Executing Agency” shall be deemed to refer to “Implementing Partner.”</w:t>
      </w:r>
    </w:p>
    <w:p w14:paraId="691048E6" w14:textId="77777777" w:rsidR="009B2ADF" w:rsidRPr="002C38FE" w:rsidRDefault="009B2ADF" w:rsidP="009B2ADF">
      <w:pPr>
        <w:spacing w:after="0" w:line="240" w:lineRule="auto"/>
        <w:jc w:val="both"/>
        <w:rPr>
          <w:rFonts w:eastAsia="SimSun" w:cs="Arial"/>
          <w:sz w:val="20"/>
          <w:szCs w:val="20"/>
          <w:lang w:val="en-US"/>
        </w:rPr>
      </w:pPr>
    </w:p>
    <w:p w14:paraId="0F1DD54C" w14:textId="094B5E30" w:rsidR="3C8408A9" w:rsidRDefault="009B2ADF" w:rsidP="009B2ADF">
      <w:pPr>
        <w:spacing w:after="0" w:line="240" w:lineRule="auto"/>
        <w:jc w:val="both"/>
        <w:rPr>
          <w:rFonts w:eastAsia="SimSun" w:cs="Arial"/>
          <w:sz w:val="20"/>
          <w:szCs w:val="20"/>
          <w:lang w:val="en-US"/>
        </w:rPr>
      </w:pPr>
      <w:r w:rsidRPr="002C38FE">
        <w:rPr>
          <w:rFonts w:eastAsia="SimSun" w:cs="Arial"/>
          <w:sz w:val="20"/>
          <w:szCs w:val="20"/>
          <w:lang w:val="en-US"/>
        </w:rPr>
        <w:t xml:space="preserve">This project will be implemented by </w:t>
      </w:r>
      <w:r w:rsidR="004D4C8E" w:rsidRPr="537FA187">
        <w:rPr>
          <w:sz w:val="20"/>
          <w:szCs w:val="20"/>
          <w:lang w:val="en-US"/>
        </w:rPr>
        <w:t xml:space="preserve">National Directorate of Urban Planning and Housing (NDUPH) </w:t>
      </w:r>
      <w:r w:rsidRPr="002C38FE">
        <w:rPr>
          <w:rFonts w:eastAsia="SimSun" w:cs="Arial"/>
          <w:sz w:val="20"/>
          <w:szCs w:val="20"/>
          <w:lang w:val="en-US"/>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sidR="002C38FE" w:rsidRPr="002C38FE">
        <w:rPr>
          <w:rFonts w:eastAsia="SimSun" w:cs="Arial"/>
          <w:sz w:val="20"/>
          <w:szCs w:val="20"/>
          <w:lang w:val="en-US"/>
        </w:rPr>
        <w:t>.</w:t>
      </w:r>
    </w:p>
    <w:p w14:paraId="3F8B8FD0" w14:textId="77777777" w:rsidR="002C38FE" w:rsidRDefault="002C38FE" w:rsidP="009B2ADF">
      <w:pPr>
        <w:spacing w:after="0" w:line="240" w:lineRule="auto"/>
        <w:jc w:val="both"/>
        <w:rPr>
          <w:rFonts w:eastAsia="SimSun" w:cs="Arial"/>
          <w:sz w:val="20"/>
          <w:szCs w:val="20"/>
          <w:lang w:val="en-US"/>
        </w:rPr>
      </w:pPr>
    </w:p>
    <w:p w14:paraId="1FCDA6CD" w14:textId="77777777" w:rsidR="002C38FE" w:rsidRDefault="002C38FE" w:rsidP="009B2ADF">
      <w:pPr>
        <w:spacing w:after="0" w:line="240" w:lineRule="auto"/>
        <w:jc w:val="both"/>
        <w:rPr>
          <w:sz w:val="20"/>
          <w:szCs w:val="20"/>
          <w:lang w:val="en-US"/>
        </w:rPr>
      </w:pPr>
    </w:p>
    <w:p w14:paraId="076BA209" w14:textId="77777777" w:rsidR="002B2737" w:rsidRPr="00E03467" w:rsidRDefault="363D14DB" w:rsidP="5D8904BE">
      <w:pPr>
        <w:pStyle w:val="Heading11"/>
        <w:pBdr>
          <w:top w:val="single" w:sz="4" w:space="0" w:color="auto"/>
        </w:pBdr>
        <w:rPr>
          <w:rFonts w:eastAsia="SimSun" w:cs="Times New Roman"/>
          <w:b w:val="0"/>
          <w:smallCaps w:val="0"/>
          <w:sz w:val="24"/>
          <w:szCs w:val="24"/>
        </w:rPr>
      </w:pPr>
      <w:bookmarkStart w:id="71" w:name="_Toc135389242"/>
      <w:bookmarkStart w:id="72" w:name="_Toc414037180"/>
      <w:bookmarkStart w:id="73" w:name="_Toc200477843"/>
      <w:r w:rsidRPr="5D8904BE">
        <w:rPr>
          <w:sz w:val="24"/>
          <w:szCs w:val="24"/>
          <w:lang w:val="en-US"/>
        </w:rPr>
        <w:t>Risk</w:t>
      </w:r>
      <w:r w:rsidRPr="5D8904BE">
        <w:rPr>
          <w:rFonts w:eastAsia="SimSun" w:cs="Times New Roman"/>
          <w:sz w:val="24"/>
          <w:szCs w:val="24"/>
        </w:rPr>
        <w:t xml:space="preserve"> Management</w:t>
      </w:r>
      <w:bookmarkEnd w:id="71"/>
      <w:bookmarkEnd w:id="72"/>
      <w:bookmarkEnd w:id="73"/>
    </w:p>
    <w:p w14:paraId="78D1104F" w14:textId="77777777" w:rsidR="002B2737" w:rsidRPr="00E03467" w:rsidRDefault="002B2737" w:rsidP="009B2ADF">
      <w:pPr>
        <w:spacing w:after="0" w:line="240" w:lineRule="auto"/>
        <w:jc w:val="both"/>
        <w:rPr>
          <w:sz w:val="18"/>
          <w:szCs w:val="18"/>
          <w:lang w:val="en-US"/>
        </w:rPr>
      </w:pPr>
    </w:p>
    <w:p w14:paraId="22454411" w14:textId="4009394F" w:rsidR="3BE68F49" w:rsidRPr="001F3932" w:rsidRDefault="61AF5F65" w:rsidP="001360BB">
      <w:pPr>
        <w:pStyle w:val="Paragraphedeliste"/>
        <w:numPr>
          <w:ilvl w:val="0"/>
          <w:numId w:val="78"/>
        </w:numPr>
        <w:spacing w:after="0" w:line="240" w:lineRule="auto"/>
        <w:jc w:val="both"/>
        <w:rPr>
          <w:rFonts w:eastAsia="SimSun"/>
          <w:sz w:val="20"/>
          <w:szCs w:val="20"/>
          <w:lang w:val="en-US"/>
        </w:rPr>
      </w:pPr>
      <w:r w:rsidRPr="5D8904BE">
        <w:rPr>
          <w:rFonts w:eastAsia="SimSun"/>
          <w:sz w:val="20"/>
          <w:szCs w:val="20"/>
          <w:lang w:val="en-US"/>
        </w:rPr>
        <w:t>N</w:t>
      </w:r>
      <w:r w:rsidR="174D36F7" w:rsidRPr="5D8904BE">
        <w:rPr>
          <w:rFonts w:eastAsia="SimSun"/>
          <w:sz w:val="20"/>
          <w:szCs w:val="20"/>
          <w:lang w:val="en-US"/>
        </w:rPr>
        <w:t>ational authorities shall actively investigate the same and take appropriate legal action against all individuals found to have participated in the wrongdoing, recover and return any recovered funds to UNDP.</w:t>
      </w:r>
    </w:p>
    <w:p w14:paraId="13DF71C6" w14:textId="06B9A03E" w:rsidR="3BE68F49" w:rsidRPr="001F3932" w:rsidRDefault="174D36F7" w:rsidP="001360BB">
      <w:pPr>
        <w:numPr>
          <w:ilvl w:val="0"/>
          <w:numId w:val="78"/>
        </w:numPr>
        <w:spacing w:after="0" w:line="240" w:lineRule="auto"/>
        <w:jc w:val="both"/>
        <w:rPr>
          <w:rFonts w:eastAsia="SimSun"/>
          <w:lang w:val="en-US"/>
        </w:rPr>
      </w:pPr>
      <w:r w:rsidRPr="5D8904BE">
        <w:rPr>
          <w:rFonts w:eastAsia="SimSun"/>
          <w:sz w:val="20"/>
          <w:szCs w:val="20"/>
          <w:lang w:val="en-US"/>
        </w:rPr>
        <w:t>Each responsible party, subcontractor and sub-recipient shall ensure that all of its obligations set forth under this section entitled “Risk Management” are passed on to its subcontractors and sub-recipients and that all the clauses under this section entitled “Risk Management Standard Clauses” are adequately reflected, mutatis mutandis, in all its sub-contracts or sub-agreements entered into further to this Project Document.</w:t>
      </w:r>
    </w:p>
    <w:p w14:paraId="14325407" w14:textId="2B37F7E3" w:rsidR="3C8408A9" w:rsidRPr="001F3932" w:rsidRDefault="3C8408A9" w:rsidP="5D8904BE">
      <w:pPr>
        <w:spacing w:after="0"/>
        <w:jc w:val="both"/>
        <w:rPr>
          <w:sz w:val="20"/>
          <w:szCs w:val="20"/>
          <w:lang w:val="en-US"/>
        </w:rPr>
      </w:pPr>
    </w:p>
    <w:p w14:paraId="5D358E41" w14:textId="4D921FDD" w:rsidR="000E53F5" w:rsidRPr="00460A37" w:rsidRDefault="5005493B" w:rsidP="001360BB">
      <w:pPr>
        <w:pStyle w:val="Paragraphedeliste"/>
        <w:numPr>
          <w:ilvl w:val="0"/>
          <w:numId w:val="78"/>
        </w:numPr>
        <w:spacing w:after="0" w:line="240" w:lineRule="auto"/>
        <w:jc w:val="both"/>
        <w:rPr>
          <w:rFonts w:eastAsia="SimSun"/>
          <w:lang w:val="en-US"/>
        </w:rPr>
      </w:pPr>
      <w:r w:rsidRPr="5D8904BE">
        <w:rPr>
          <w:rFonts w:eastAsia="SimSun"/>
          <w:sz w:val="20"/>
          <w:szCs w:val="20"/>
          <w:lang w:val="en-US"/>
        </w:rPr>
        <w:t xml:space="preserve">Consistent with the Article III of the SBAA </w:t>
      </w:r>
      <w:r w:rsidRPr="5D8904BE">
        <w:rPr>
          <w:rFonts w:eastAsia="SimSun"/>
          <w:i/>
          <w:iCs/>
          <w:sz w:val="20"/>
          <w:szCs w:val="20"/>
          <w:lang w:val="en-US"/>
        </w:rPr>
        <w:t>[or the Supplemental Provisions to the Project Document]</w:t>
      </w:r>
      <w:r w:rsidRPr="5D8904BE">
        <w:rPr>
          <w:rFonts w:eastAsia="SimSun"/>
          <w:sz w:val="20"/>
          <w:szCs w:val="20"/>
          <w:lang w:val="en-US"/>
        </w:rPr>
        <w:t>, the responsibility for the safety and security of the Implementing Partner and its personnel and property, and of UNDP’s property in the Implementing Partner’s custody, rests with the Implementing Partner. To this end, the Implementing Partner shall:</w:t>
      </w:r>
    </w:p>
    <w:p w14:paraId="6A9F4846" w14:textId="77777777" w:rsidR="000E53F5" w:rsidRPr="001F3932" w:rsidRDefault="060BE776" w:rsidP="001360BB">
      <w:pPr>
        <w:numPr>
          <w:ilvl w:val="0"/>
          <w:numId w:val="285"/>
        </w:numPr>
        <w:spacing w:after="60" w:line="240" w:lineRule="auto"/>
        <w:jc w:val="both"/>
        <w:rPr>
          <w:rFonts w:eastAsia="SimSun"/>
          <w:sz w:val="20"/>
          <w:szCs w:val="20"/>
          <w:lang w:val="en-US"/>
        </w:rPr>
      </w:pPr>
      <w:r w:rsidRPr="5D8904BE">
        <w:rPr>
          <w:rFonts w:eastAsia="SimSun"/>
          <w:sz w:val="20"/>
          <w:szCs w:val="20"/>
          <w:lang w:val="en-US"/>
        </w:rPr>
        <w:t xml:space="preserve">put in place an appropriate security plan and maintain the security plan, taking into account the security situation in the country where the project is being </w:t>
      </w:r>
      <w:proofErr w:type="gramStart"/>
      <w:r w:rsidRPr="5D8904BE">
        <w:rPr>
          <w:rFonts w:eastAsia="SimSun"/>
          <w:sz w:val="20"/>
          <w:szCs w:val="20"/>
          <w:lang w:val="en-US"/>
        </w:rPr>
        <w:t>carried;</w:t>
      </w:r>
      <w:proofErr w:type="gramEnd"/>
    </w:p>
    <w:p w14:paraId="7BA49E83" w14:textId="77777777" w:rsidR="000E53F5" w:rsidRPr="001F3932" w:rsidRDefault="060BE776" w:rsidP="001360BB">
      <w:pPr>
        <w:numPr>
          <w:ilvl w:val="0"/>
          <w:numId w:val="285"/>
        </w:numPr>
        <w:spacing w:after="60" w:line="240" w:lineRule="auto"/>
        <w:jc w:val="both"/>
        <w:rPr>
          <w:rFonts w:eastAsia="SimSun"/>
          <w:sz w:val="20"/>
          <w:szCs w:val="20"/>
          <w:lang w:val="en-US"/>
        </w:rPr>
      </w:pPr>
      <w:r w:rsidRPr="5D8904BE">
        <w:rPr>
          <w:rFonts w:eastAsia="SimSun"/>
          <w:sz w:val="20"/>
          <w:szCs w:val="20"/>
          <w:lang w:val="en-US"/>
        </w:rPr>
        <w:t>assume all risks and liabilities related to the Implementing Partner’s security, and the full implementation of the security plan.</w:t>
      </w:r>
    </w:p>
    <w:p w14:paraId="7561F5CE" w14:textId="77777777" w:rsidR="000E53F5" w:rsidRPr="001F3932" w:rsidRDefault="000E53F5" w:rsidP="000E53F5">
      <w:pPr>
        <w:spacing w:after="60" w:line="240" w:lineRule="auto"/>
        <w:jc w:val="both"/>
        <w:rPr>
          <w:rFonts w:eastAsia="SimSun"/>
          <w:sz w:val="20"/>
          <w:szCs w:val="20"/>
          <w:lang w:val="en-US"/>
        </w:rPr>
      </w:pPr>
    </w:p>
    <w:p w14:paraId="4A1FE788" w14:textId="2BF17E0F" w:rsidR="000E53F5" w:rsidRPr="001F3932" w:rsidRDefault="5005493B" w:rsidP="001360BB">
      <w:pPr>
        <w:pStyle w:val="Paragraphedeliste"/>
        <w:numPr>
          <w:ilvl w:val="0"/>
          <w:numId w:val="78"/>
        </w:numPr>
        <w:spacing w:after="0" w:line="240" w:lineRule="auto"/>
        <w:jc w:val="both"/>
        <w:rPr>
          <w:rFonts w:eastAsia="SimSun"/>
          <w:lang w:val="en-US"/>
        </w:rPr>
      </w:pPr>
      <w:r w:rsidRPr="5D8904BE">
        <w:rPr>
          <w:rFonts w:eastAsia="SimSun"/>
          <w:sz w:val="20"/>
          <w:szCs w:val="20"/>
          <w:lang w:val="en-US"/>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45022472" w14:textId="77777777" w:rsidR="000E53F5" w:rsidRPr="001F3932" w:rsidRDefault="000E53F5" w:rsidP="000E53F5">
      <w:pPr>
        <w:spacing w:after="60" w:line="240" w:lineRule="auto"/>
        <w:ind w:left="360"/>
        <w:jc w:val="both"/>
        <w:rPr>
          <w:rFonts w:eastAsia="SimSun"/>
          <w:sz w:val="20"/>
          <w:szCs w:val="20"/>
          <w:lang w:val="en-US"/>
        </w:rPr>
      </w:pPr>
    </w:p>
    <w:p w14:paraId="7E3D13A9" w14:textId="0AD6CA38" w:rsidR="000E53F5" w:rsidRPr="001F3932" w:rsidRDefault="1B438368" w:rsidP="001360BB">
      <w:pPr>
        <w:pStyle w:val="Paragraphedeliste"/>
        <w:numPr>
          <w:ilvl w:val="0"/>
          <w:numId w:val="78"/>
        </w:numPr>
        <w:spacing w:after="0" w:line="240" w:lineRule="auto"/>
        <w:jc w:val="both"/>
        <w:rPr>
          <w:rFonts w:eastAsia="SimSun"/>
          <w:lang w:val="en-US"/>
        </w:rPr>
      </w:pPr>
      <w:r w:rsidRPr="24AA8F7E">
        <w:rPr>
          <w:rFonts w:eastAsia="SimSun"/>
          <w:sz w:val="20"/>
          <w:szCs w:val="20"/>
          <w:lang w:val="en-US"/>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United Nations Security Council Consolidated Sanctions List, and that no UNDP funds received pursuant to the Project Document are used for money laundering activities. The United Nations Security Council Consolidated Sanctions List can be accessed via </w:t>
      </w:r>
      <w:r>
        <w:fldChar w:fldCharType="begin"/>
      </w:r>
      <w:r w:rsidRPr="00F50786">
        <w:rPr>
          <w:lang w:val="en-US"/>
          <w:rPrChange w:id="74" w:author="Ali Sambou" w:date="2026-01-06T13:25:00Z" w16du:dateUtc="2026-01-06T13:25:00Z">
            <w:rPr/>
          </w:rPrChange>
        </w:rPr>
        <w:instrText>HYPERLINK "https://www.un.org/securitycouncil/content/un-sc-consolidated-list" \h</w:instrText>
      </w:r>
      <w:r>
        <w:fldChar w:fldCharType="separate"/>
      </w:r>
      <w:r w:rsidRPr="24AA8F7E">
        <w:rPr>
          <w:rFonts w:eastAsia="SimSun"/>
          <w:color w:val="0000FF"/>
          <w:sz w:val="20"/>
          <w:szCs w:val="20"/>
          <w:u w:val="single"/>
          <w:lang w:val="en-US"/>
        </w:rPr>
        <w:t>https://www.un.org/securitycouncil/content/un-sc-consolidated-list</w:t>
      </w:r>
      <w:r>
        <w:fldChar w:fldCharType="end"/>
      </w:r>
      <w:r w:rsidRPr="24AA8F7E">
        <w:rPr>
          <w:rFonts w:eastAsia="SimSun"/>
          <w:sz w:val="20"/>
          <w:szCs w:val="20"/>
          <w:lang w:val="en-US"/>
        </w:rPr>
        <w:t>.</w:t>
      </w:r>
    </w:p>
    <w:p w14:paraId="07DEAE0B" w14:textId="3D2C8687" w:rsidR="000E53F5" w:rsidRPr="001F3932" w:rsidRDefault="5005493B" w:rsidP="001360BB">
      <w:pPr>
        <w:numPr>
          <w:ilvl w:val="0"/>
          <w:numId w:val="78"/>
        </w:numPr>
        <w:spacing w:after="0" w:line="240" w:lineRule="auto"/>
        <w:jc w:val="both"/>
        <w:rPr>
          <w:rFonts w:eastAsia="SimSun"/>
          <w:lang w:val="en-US"/>
        </w:rPr>
      </w:pPr>
      <w:r w:rsidRPr="5D8904BE">
        <w:rPr>
          <w:rFonts w:eastAsia="SimSun"/>
          <w:sz w:val="20"/>
          <w:szCs w:val="20"/>
          <w:lang w:val="en-US"/>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04C79026" w14:textId="77777777" w:rsidR="000E53F5" w:rsidRPr="001F3932" w:rsidRDefault="000E53F5" w:rsidP="000E53F5">
      <w:pPr>
        <w:spacing w:after="240" w:line="240" w:lineRule="auto"/>
        <w:ind w:left="360"/>
        <w:jc w:val="both"/>
        <w:rPr>
          <w:rFonts w:eastAsia="SimSun"/>
          <w:sz w:val="20"/>
          <w:szCs w:val="20"/>
          <w:lang w:val="en-US"/>
        </w:rPr>
      </w:pPr>
      <w:r w:rsidRPr="001F3932">
        <w:rPr>
          <w:rFonts w:eastAsia="SimSun"/>
          <w:sz w:val="20"/>
          <w:szCs w:val="20"/>
          <w:lang w:val="en-US"/>
        </w:rPr>
        <w:lastRenderedPageBreak/>
        <w:t xml:space="preserve"> (a)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76F1C576" w14:textId="77777777" w:rsidR="000E53F5" w:rsidRPr="001F3932" w:rsidRDefault="060BE776" w:rsidP="000E53F5">
      <w:pPr>
        <w:spacing w:after="240" w:line="240" w:lineRule="auto"/>
        <w:ind w:left="360"/>
        <w:jc w:val="both"/>
        <w:rPr>
          <w:rFonts w:eastAsia="SimSun"/>
          <w:sz w:val="20"/>
          <w:szCs w:val="20"/>
          <w:lang w:val="en-US"/>
        </w:rPr>
      </w:pPr>
      <w:r w:rsidRPr="5D8904BE">
        <w:rPr>
          <w:rFonts w:eastAsia="SimSun"/>
          <w:sz w:val="20"/>
          <w:szCs w:val="20"/>
          <w:lang w:val="en-US"/>
        </w:rPr>
        <w:t xml:space="preserve">(b)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 </w:t>
      </w:r>
    </w:p>
    <w:p w14:paraId="343140E5" w14:textId="77777777" w:rsidR="000E53F5" w:rsidRPr="001F3932" w:rsidRDefault="5005493B" w:rsidP="24AA8F7E">
      <w:pPr>
        <w:spacing w:after="240" w:line="240" w:lineRule="auto"/>
        <w:ind w:left="360"/>
        <w:jc w:val="both"/>
        <w:rPr>
          <w:rFonts w:eastAsia="SimSun"/>
          <w:sz w:val="20"/>
          <w:szCs w:val="20"/>
          <w:lang w:val="en-US"/>
        </w:rPr>
      </w:pPr>
      <w:r w:rsidRPr="5D8904BE">
        <w:rPr>
          <w:rFonts w:eastAsia="SimSun"/>
          <w:sz w:val="20"/>
          <w:szCs w:val="20"/>
          <w:lang w:val="en-US"/>
        </w:rPr>
        <w:t xml:space="preserve">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w:t>
      </w:r>
      <w:proofErr w:type="gramStart"/>
      <w:r w:rsidRPr="5D8904BE">
        <w:rPr>
          <w:rFonts w:eastAsia="SimSun"/>
          <w:sz w:val="20"/>
          <w:szCs w:val="20"/>
          <w:lang w:val="en-US"/>
        </w:rPr>
        <w:t>include:</w:t>
      </w:r>
      <w:proofErr w:type="gramEnd"/>
      <w:r w:rsidRPr="5D8904BE">
        <w:rPr>
          <w:rFonts w:eastAsia="SimSun"/>
          <w:sz w:val="20"/>
          <w:szCs w:val="20"/>
          <w:lang w:val="en-US"/>
        </w:rPr>
        <w:t xml:space="preserv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609362F0" w14:textId="77777777" w:rsidR="000E53F5" w:rsidRPr="001F3932" w:rsidRDefault="000E53F5" w:rsidP="001360BB">
      <w:pPr>
        <w:numPr>
          <w:ilvl w:val="1"/>
          <w:numId w:val="286"/>
        </w:numPr>
        <w:spacing w:after="240" w:line="240" w:lineRule="auto"/>
        <w:jc w:val="both"/>
        <w:rPr>
          <w:rFonts w:eastAsia="SimSun"/>
          <w:sz w:val="20"/>
          <w:szCs w:val="20"/>
          <w:lang w:val="en-US"/>
        </w:rPr>
      </w:pPr>
      <w:r w:rsidRPr="001F3932">
        <w:rPr>
          <w:rFonts w:eastAsia="SimSun"/>
          <w:sz w:val="20"/>
          <w:szCs w:val="20"/>
          <w:lang w:val="en-US"/>
        </w:rPr>
        <w:t xml:space="preserve">Prevent its employees, agents or any other persons engaged to perform any services under this Project Document, from engaging in SH or </w:t>
      </w:r>
      <w:proofErr w:type="gramStart"/>
      <w:r w:rsidRPr="001F3932">
        <w:rPr>
          <w:rFonts w:eastAsia="SimSun"/>
          <w:sz w:val="20"/>
          <w:szCs w:val="20"/>
          <w:lang w:val="en-US"/>
        </w:rPr>
        <w:t>SEA;</w:t>
      </w:r>
      <w:proofErr w:type="gramEnd"/>
    </w:p>
    <w:p w14:paraId="1147718C" w14:textId="77777777" w:rsidR="000E53F5" w:rsidRPr="001F3932" w:rsidRDefault="000E53F5" w:rsidP="001360BB">
      <w:pPr>
        <w:numPr>
          <w:ilvl w:val="1"/>
          <w:numId w:val="286"/>
        </w:numPr>
        <w:spacing w:after="240" w:line="240" w:lineRule="auto"/>
        <w:jc w:val="both"/>
        <w:rPr>
          <w:rFonts w:eastAsia="SimSun"/>
          <w:sz w:val="20"/>
          <w:szCs w:val="20"/>
          <w:lang w:val="en-US"/>
        </w:rPr>
      </w:pPr>
      <w:r w:rsidRPr="001F3932">
        <w:rPr>
          <w:rFonts w:eastAsia="SimSun"/>
          <w:sz w:val="20"/>
          <w:szCs w:val="20"/>
          <w:lang w:val="en-US"/>
        </w:rPr>
        <w:t xml:space="preserve">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w:t>
      </w:r>
      <w:proofErr w:type="gramStart"/>
      <w:r w:rsidRPr="001F3932">
        <w:rPr>
          <w:rFonts w:eastAsia="SimSun"/>
          <w:sz w:val="20"/>
          <w:szCs w:val="20"/>
          <w:lang w:val="en-US"/>
        </w:rPr>
        <w:t>UNDP;</w:t>
      </w:r>
      <w:proofErr w:type="gramEnd"/>
    </w:p>
    <w:p w14:paraId="7CDBD1F6" w14:textId="77777777" w:rsidR="000E53F5" w:rsidRPr="001F3932" w:rsidRDefault="060BE776" w:rsidP="001360BB">
      <w:pPr>
        <w:numPr>
          <w:ilvl w:val="1"/>
          <w:numId w:val="286"/>
        </w:numPr>
        <w:spacing w:after="240" w:line="240" w:lineRule="auto"/>
        <w:jc w:val="both"/>
        <w:rPr>
          <w:rFonts w:eastAsia="SimSun"/>
          <w:sz w:val="20"/>
          <w:szCs w:val="20"/>
          <w:lang w:val="en-US"/>
        </w:rPr>
      </w:pPr>
      <w:r w:rsidRPr="5D8904BE">
        <w:rPr>
          <w:rFonts w:eastAsia="SimSun"/>
          <w:sz w:val="20"/>
          <w:szCs w:val="20"/>
          <w:lang w:val="en-US"/>
        </w:rPr>
        <w:t xml:space="preserve">Report and monitor allegations of SH and SEA of which the Implementing Partner and its sub-parties referred to in paragraph 4 have been informed or have otherwise become aware, and status </w:t>
      </w:r>
      <w:proofErr w:type="gramStart"/>
      <w:r w:rsidRPr="5D8904BE">
        <w:rPr>
          <w:rFonts w:eastAsia="SimSun"/>
          <w:sz w:val="20"/>
          <w:szCs w:val="20"/>
          <w:lang w:val="en-US"/>
        </w:rPr>
        <w:t>thereof;</w:t>
      </w:r>
      <w:proofErr w:type="gramEnd"/>
      <w:r w:rsidRPr="5D8904BE">
        <w:rPr>
          <w:rFonts w:eastAsia="SimSun"/>
          <w:sz w:val="20"/>
          <w:szCs w:val="20"/>
          <w:lang w:val="en-US"/>
        </w:rPr>
        <w:t xml:space="preserve"> </w:t>
      </w:r>
    </w:p>
    <w:p w14:paraId="1812BCDC" w14:textId="77777777" w:rsidR="000E53F5" w:rsidRPr="001F3932" w:rsidRDefault="060BE776" w:rsidP="001360BB">
      <w:pPr>
        <w:numPr>
          <w:ilvl w:val="1"/>
          <w:numId w:val="286"/>
        </w:numPr>
        <w:spacing w:after="240" w:line="240" w:lineRule="auto"/>
        <w:jc w:val="both"/>
        <w:rPr>
          <w:rFonts w:eastAsia="SimSun"/>
          <w:sz w:val="20"/>
          <w:szCs w:val="20"/>
          <w:lang w:val="en-US"/>
        </w:rPr>
      </w:pPr>
      <w:r w:rsidRPr="5D8904BE">
        <w:rPr>
          <w:rFonts w:eastAsia="SimSun"/>
          <w:sz w:val="20"/>
          <w:szCs w:val="20"/>
          <w:lang w:val="en-US"/>
        </w:rPr>
        <w:t>Refer victims/survivors of SH and SEA to safe and confidential victim assistance; and</w:t>
      </w:r>
    </w:p>
    <w:p w14:paraId="21E40C61" w14:textId="77777777" w:rsidR="000E53F5" w:rsidRPr="001F3932" w:rsidRDefault="060BE776" w:rsidP="001360BB">
      <w:pPr>
        <w:numPr>
          <w:ilvl w:val="1"/>
          <w:numId w:val="286"/>
        </w:numPr>
        <w:spacing w:after="240" w:line="240" w:lineRule="auto"/>
        <w:jc w:val="both"/>
        <w:rPr>
          <w:rFonts w:eastAsia="SimSun"/>
          <w:sz w:val="20"/>
          <w:szCs w:val="20"/>
          <w:lang w:val="en-US"/>
        </w:rPr>
      </w:pPr>
      <w:r w:rsidRPr="5D8904BE">
        <w:rPr>
          <w:rFonts w:eastAsia="SimSun"/>
          <w:sz w:val="20"/>
          <w:szCs w:val="20"/>
          <w:lang w:val="en-US"/>
        </w:rPr>
        <w:t>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w:t>
      </w:r>
      <w:proofErr w:type="spellStart"/>
      <w:r w:rsidRPr="5D8904BE">
        <w:rPr>
          <w:rFonts w:eastAsia="SimSun"/>
          <w:sz w:val="20"/>
          <w:szCs w:val="20"/>
          <w:lang w:val="en-US"/>
        </w:rPr>
        <w:t>i</w:t>
      </w:r>
      <w:proofErr w:type="spellEnd"/>
      <w:r w:rsidRPr="5D8904BE">
        <w:rPr>
          <w:rFonts w:eastAsia="SimSun"/>
          <w:sz w:val="20"/>
          <w:szCs w:val="20"/>
          <w:lang w:val="en-US"/>
        </w:rPr>
        <w:t xml:space="preserve">)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44BBB184" w14:textId="77777777" w:rsidR="000E53F5" w:rsidRPr="001F3932" w:rsidRDefault="060BE776" w:rsidP="001360BB">
      <w:pPr>
        <w:numPr>
          <w:ilvl w:val="0"/>
          <w:numId w:val="287"/>
        </w:numPr>
        <w:spacing w:after="240" w:line="240" w:lineRule="auto"/>
        <w:jc w:val="both"/>
        <w:rPr>
          <w:rFonts w:eastAsia="SimSun"/>
          <w:sz w:val="20"/>
          <w:szCs w:val="20"/>
          <w:lang w:val="en-US"/>
        </w:rPr>
      </w:pPr>
      <w:r w:rsidRPr="5D8904BE">
        <w:rPr>
          <w:rFonts w:eastAsia="SimSun"/>
          <w:sz w:val="20"/>
          <w:szCs w:val="20"/>
          <w:lang w:val="en-US"/>
        </w:rPr>
        <w:t>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6F95EB58" w14:textId="359ED85B" w:rsidR="000E53F5" w:rsidRPr="001F3932" w:rsidRDefault="1B438368" w:rsidP="001360BB">
      <w:pPr>
        <w:pStyle w:val="Paragraphedeliste"/>
        <w:numPr>
          <w:ilvl w:val="0"/>
          <w:numId w:val="78"/>
        </w:numPr>
        <w:spacing w:after="240" w:line="240" w:lineRule="auto"/>
        <w:jc w:val="both"/>
        <w:rPr>
          <w:rFonts w:eastAsia="SimSun"/>
          <w:u w:val="single"/>
          <w:lang w:val="en-US"/>
        </w:rPr>
      </w:pPr>
      <w:r w:rsidRPr="24AA8F7E">
        <w:rPr>
          <w:rFonts w:eastAsia="SimSun"/>
          <w:sz w:val="20"/>
          <w:szCs w:val="20"/>
          <w:lang w:val="en-US"/>
        </w:rPr>
        <w:lastRenderedPageBreak/>
        <w:t>Social and environmental sustainability will be enhanced through application of the UNDP Social and Environmental Standards (</w:t>
      </w:r>
      <w:r>
        <w:fldChar w:fldCharType="begin"/>
      </w:r>
      <w:r w:rsidRPr="00F50786">
        <w:rPr>
          <w:lang w:val="en-US"/>
          <w:rPrChange w:id="75" w:author="Ali Sambou" w:date="2026-01-06T13:25:00Z" w16du:dateUtc="2026-01-06T13:25:00Z">
            <w:rPr/>
          </w:rPrChange>
        </w:rPr>
        <w:instrText>HYPERLINK "http://www.undp.org/ses" \h</w:instrText>
      </w:r>
      <w:r>
        <w:fldChar w:fldCharType="separate"/>
      </w:r>
      <w:r w:rsidRPr="24AA8F7E">
        <w:rPr>
          <w:rFonts w:eastAsia="SimSun"/>
          <w:color w:val="0000FF"/>
          <w:sz w:val="20"/>
          <w:szCs w:val="20"/>
          <w:u w:val="single"/>
          <w:lang w:val="en-US"/>
        </w:rPr>
        <w:t>http://www.undp.org/ses</w:t>
      </w:r>
      <w:r>
        <w:fldChar w:fldCharType="end"/>
      </w:r>
      <w:r w:rsidRPr="24AA8F7E">
        <w:rPr>
          <w:rFonts w:eastAsia="SimSun"/>
          <w:sz w:val="20"/>
          <w:szCs w:val="20"/>
          <w:lang w:val="en-US"/>
        </w:rPr>
        <w:t>) and related Accountability Mechanism (</w:t>
      </w:r>
      <w:r>
        <w:fldChar w:fldCharType="begin"/>
      </w:r>
      <w:r w:rsidRPr="00F50786">
        <w:rPr>
          <w:lang w:val="en-US"/>
          <w:rPrChange w:id="76" w:author="Ali Sambou" w:date="2026-01-06T13:25:00Z" w16du:dateUtc="2026-01-06T13:25:00Z">
            <w:rPr/>
          </w:rPrChange>
        </w:rPr>
        <w:instrText>HYPERLINK "http://www.undp.org/secu-srm" \h</w:instrText>
      </w:r>
      <w:r>
        <w:fldChar w:fldCharType="separate"/>
      </w:r>
      <w:r w:rsidRPr="24AA8F7E">
        <w:rPr>
          <w:rFonts w:eastAsia="SimSun"/>
          <w:color w:val="0000FF"/>
          <w:sz w:val="20"/>
          <w:szCs w:val="20"/>
          <w:u w:val="single"/>
          <w:lang w:val="en-US"/>
        </w:rPr>
        <w:t>http://www.undp.org/secu-srm</w:t>
      </w:r>
      <w:r>
        <w:fldChar w:fldCharType="end"/>
      </w:r>
      <w:r w:rsidRPr="24AA8F7E">
        <w:rPr>
          <w:rFonts w:eastAsia="SimSun"/>
          <w:sz w:val="20"/>
          <w:szCs w:val="20"/>
          <w:lang w:val="en-US"/>
        </w:rPr>
        <w:t xml:space="preserve">). </w:t>
      </w:r>
    </w:p>
    <w:p w14:paraId="6572795D" w14:textId="40A6909C" w:rsidR="000E53F5" w:rsidRPr="001F3932" w:rsidRDefault="5005493B" w:rsidP="001360BB">
      <w:pPr>
        <w:pStyle w:val="Paragraphedeliste"/>
        <w:numPr>
          <w:ilvl w:val="0"/>
          <w:numId w:val="78"/>
        </w:numPr>
        <w:autoSpaceDE w:val="0"/>
        <w:autoSpaceDN w:val="0"/>
        <w:adjustRightInd w:val="0"/>
        <w:spacing w:after="0" w:line="240" w:lineRule="auto"/>
        <w:jc w:val="both"/>
        <w:rPr>
          <w:rFonts w:eastAsia="SimSun"/>
          <w:lang w:val="en-US"/>
        </w:rPr>
      </w:pPr>
      <w:r w:rsidRPr="5D8904BE">
        <w:rPr>
          <w:rFonts w:eastAsia="SimSun"/>
          <w:sz w:val="20"/>
          <w:szCs w:val="20"/>
          <w:lang w:val="en-US"/>
        </w:rPr>
        <w:t xml:space="preserve">The Implementing Partner shall: (a) conduct project and </w:t>
      </w:r>
      <w:proofErr w:type="spellStart"/>
      <w:r w:rsidRPr="5D8904BE">
        <w:rPr>
          <w:rFonts w:eastAsia="SimSun"/>
          <w:sz w:val="20"/>
          <w:szCs w:val="20"/>
          <w:lang w:val="en-US"/>
        </w:rPr>
        <w:t>programme</w:t>
      </w:r>
      <w:proofErr w:type="spellEnd"/>
      <w:r w:rsidRPr="5D8904BE">
        <w:rPr>
          <w:rFonts w:eastAsia="SimSun"/>
          <w:sz w:val="20"/>
          <w:szCs w:val="20"/>
          <w:lang w:val="en-US"/>
        </w:rPr>
        <w:t xml:space="preserve">-related activities in a manner consistent with the UNDP Social and Environmental Standards, (b) implement any management or mitigation plan prepared for the project or </w:t>
      </w:r>
      <w:proofErr w:type="spellStart"/>
      <w:r w:rsidRPr="5D8904BE">
        <w:rPr>
          <w:rFonts w:eastAsia="SimSun"/>
          <w:sz w:val="20"/>
          <w:szCs w:val="20"/>
          <w:lang w:val="en-US"/>
        </w:rPr>
        <w:t>programme</w:t>
      </w:r>
      <w:proofErr w:type="spellEnd"/>
      <w:r w:rsidRPr="5D8904BE">
        <w:rPr>
          <w:rFonts w:eastAsia="SimSun"/>
          <w:sz w:val="20"/>
          <w:szCs w:val="20"/>
          <w:lang w:val="en-US"/>
        </w:rPr>
        <w:t xml:space="preserve"> to comply with such standards, and (c) engage in a constructive and timely manner to address any concerns and complaints raised through the Accountability Mechanism. UNDP will seek to ensure that communities and other project stakeholders are informed of and have access to the Accountability Mechanism. </w:t>
      </w:r>
    </w:p>
    <w:p w14:paraId="73A6E24A" w14:textId="1F6BF528" w:rsidR="000E53F5" w:rsidRPr="001F3932" w:rsidRDefault="1B438368" w:rsidP="001360BB">
      <w:pPr>
        <w:pStyle w:val="Paragraphedeliste"/>
        <w:numPr>
          <w:ilvl w:val="0"/>
          <w:numId w:val="78"/>
        </w:numPr>
        <w:spacing w:before="240" w:after="240" w:line="240" w:lineRule="auto"/>
        <w:jc w:val="both"/>
        <w:rPr>
          <w:rFonts w:eastAsia="SimSun"/>
          <w:lang w:val="en-US"/>
        </w:rPr>
      </w:pPr>
      <w:r w:rsidRPr="24AA8F7E">
        <w:rPr>
          <w:rFonts w:eastAsia="SimSun"/>
          <w:sz w:val="20"/>
          <w:szCs w:val="20"/>
          <w:lang w:val="en-US"/>
        </w:rPr>
        <w:t xml:space="preserve">All signatories to the Project Document shall cooperate in good faith with any exercise to evaluate any </w:t>
      </w:r>
      <w:proofErr w:type="spellStart"/>
      <w:r w:rsidRPr="24AA8F7E">
        <w:rPr>
          <w:rFonts w:eastAsia="SimSun"/>
          <w:sz w:val="20"/>
          <w:szCs w:val="20"/>
          <w:lang w:val="en-US"/>
        </w:rPr>
        <w:t>programme</w:t>
      </w:r>
      <w:proofErr w:type="spellEnd"/>
      <w:r w:rsidRPr="24AA8F7E">
        <w:rPr>
          <w:rFonts w:eastAsia="SimSun"/>
          <w:sz w:val="20"/>
          <w:szCs w:val="20"/>
          <w:lang w:val="en-US"/>
        </w:rPr>
        <w:t xml:space="preserve"> or project-related commitments or compliance with the UNDP Social and Environmental Standards. This includes providing access to project sites, relevant personnel, information, and documentation.</w:t>
      </w:r>
    </w:p>
    <w:p w14:paraId="6444143C" w14:textId="3F3B18C5" w:rsidR="000E53F5" w:rsidRPr="001F3932" w:rsidRDefault="5005493B" w:rsidP="001360BB">
      <w:pPr>
        <w:pStyle w:val="Paragraphedeliste"/>
        <w:numPr>
          <w:ilvl w:val="0"/>
          <w:numId w:val="78"/>
        </w:numPr>
        <w:autoSpaceDE w:val="0"/>
        <w:autoSpaceDN w:val="0"/>
        <w:adjustRightInd w:val="0"/>
        <w:spacing w:after="0" w:line="240" w:lineRule="auto"/>
        <w:jc w:val="both"/>
        <w:rPr>
          <w:color w:val="000000"/>
          <w:lang w:val="en-US"/>
        </w:rPr>
      </w:pPr>
      <w:r w:rsidRPr="5D8904BE">
        <w:rPr>
          <w:color w:val="000000" w:themeColor="text1"/>
          <w:sz w:val="20"/>
          <w:szCs w:val="20"/>
          <w:lang w:val="en-US"/>
        </w:rPr>
        <w:t xml:space="preserve">The Implementing Partner will take appropriate steps to prevent misuse of funds, fraud or corruption, by its officials, consultants, responsible parties, subcontractors and sub-recipients in implementing the project or using UNDP funds. </w:t>
      </w:r>
    </w:p>
    <w:p w14:paraId="22C93C9B" w14:textId="77777777" w:rsidR="000E53F5" w:rsidRPr="001F3932" w:rsidRDefault="000E53F5" w:rsidP="000E53F5">
      <w:pPr>
        <w:autoSpaceDE w:val="0"/>
        <w:autoSpaceDN w:val="0"/>
        <w:adjustRightInd w:val="0"/>
        <w:spacing w:after="0" w:line="240" w:lineRule="auto"/>
        <w:ind w:left="360"/>
        <w:jc w:val="both"/>
        <w:rPr>
          <w:color w:val="000000"/>
          <w:sz w:val="20"/>
          <w:szCs w:val="20"/>
          <w:lang w:val="en-US"/>
        </w:rPr>
      </w:pPr>
    </w:p>
    <w:p w14:paraId="1D26D4FC" w14:textId="3E073049" w:rsidR="000E53F5" w:rsidRPr="001F3932" w:rsidRDefault="1B438368" w:rsidP="001360BB">
      <w:pPr>
        <w:pStyle w:val="Paragraphedeliste"/>
        <w:numPr>
          <w:ilvl w:val="0"/>
          <w:numId w:val="78"/>
        </w:numPr>
        <w:autoSpaceDE w:val="0"/>
        <w:autoSpaceDN w:val="0"/>
        <w:adjustRightInd w:val="0"/>
        <w:spacing w:after="0" w:line="240" w:lineRule="auto"/>
        <w:jc w:val="both"/>
        <w:rPr>
          <w:color w:val="000000"/>
          <w:lang w:val="en-US"/>
        </w:rPr>
      </w:pPr>
      <w:r w:rsidRPr="24AA8F7E">
        <w:rPr>
          <w:color w:val="000000" w:themeColor="text1"/>
          <w:sz w:val="20"/>
          <w:szCs w:val="20"/>
          <w:lang w:val="en-US"/>
        </w:rPr>
        <w:t>In the implementation of the activities under this Project Document, UNDP places reasonable reliance upon the Implementing Partner for it to apply its laws, regulations and processes, and applicable international laws regarding anti money laundering and countering the financing of terrorism, to ensure consistency with the principles of then in force the UNDP Anti-Money Laundering and Countering the Financing of Terrorism Policy.</w:t>
      </w:r>
    </w:p>
    <w:p w14:paraId="75C596BE" w14:textId="77777777" w:rsidR="000E53F5" w:rsidRPr="001F3932" w:rsidRDefault="000E53F5" w:rsidP="000E53F5">
      <w:pPr>
        <w:spacing w:after="0" w:line="240" w:lineRule="auto"/>
        <w:ind w:left="720"/>
        <w:jc w:val="both"/>
        <w:rPr>
          <w:color w:val="000000"/>
          <w:sz w:val="20"/>
          <w:szCs w:val="20"/>
          <w:lang w:val="en-US"/>
        </w:rPr>
      </w:pPr>
    </w:p>
    <w:p w14:paraId="3834F700" w14:textId="7284231D" w:rsidR="000E53F5" w:rsidRPr="001F3932" w:rsidRDefault="5005493B" w:rsidP="001360BB">
      <w:pPr>
        <w:pStyle w:val="Paragraphedeliste"/>
        <w:numPr>
          <w:ilvl w:val="0"/>
          <w:numId w:val="78"/>
        </w:numPr>
        <w:autoSpaceDE w:val="0"/>
        <w:autoSpaceDN w:val="0"/>
        <w:adjustRightInd w:val="0"/>
        <w:spacing w:after="0" w:line="240" w:lineRule="auto"/>
        <w:jc w:val="both"/>
        <w:rPr>
          <w:color w:val="000000"/>
          <w:lang w:val="en-US"/>
        </w:rPr>
      </w:pPr>
      <w:r w:rsidRPr="5D8904BE">
        <w:rPr>
          <w:color w:val="000000" w:themeColor="text1"/>
          <w:sz w:val="20"/>
          <w:szCs w:val="20"/>
          <w:lang w:val="en-US"/>
        </w:rPr>
        <w:t xml:space="preserve">The Implementing Partner will ensure that its financial management, anti-corruption, anti-fraud and anti-money laundering and countering the financing of terrorism policies are in place and enforced for all funding received from or through UNDP. </w:t>
      </w:r>
    </w:p>
    <w:p w14:paraId="62F49E21" w14:textId="77777777" w:rsidR="000E53F5" w:rsidRPr="001F3932" w:rsidRDefault="000E53F5" w:rsidP="000E53F5">
      <w:pPr>
        <w:autoSpaceDE w:val="0"/>
        <w:autoSpaceDN w:val="0"/>
        <w:adjustRightInd w:val="0"/>
        <w:spacing w:after="0" w:line="240" w:lineRule="auto"/>
        <w:ind w:left="360"/>
        <w:jc w:val="both"/>
        <w:rPr>
          <w:color w:val="000000"/>
          <w:sz w:val="20"/>
          <w:szCs w:val="20"/>
          <w:lang w:val="en-US"/>
        </w:rPr>
      </w:pPr>
    </w:p>
    <w:p w14:paraId="5D633DBD" w14:textId="77777777" w:rsidR="000E53F5" w:rsidRPr="001F3932" w:rsidRDefault="5005493B" w:rsidP="001360BB">
      <w:pPr>
        <w:pStyle w:val="Paragraphedeliste"/>
        <w:numPr>
          <w:ilvl w:val="0"/>
          <w:numId w:val="78"/>
        </w:numPr>
        <w:spacing w:after="0" w:line="240" w:lineRule="auto"/>
        <w:jc w:val="both"/>
        <w:rPr>
          <w:color w:val="000000" w:themeColor="text1"/>
          <w:sz w:val="20"/>
          <w:szCs w:val="20"/>
          <w:lang w:val="en-US"/>
        </w:rPr>
      </w:pPr>
      <w:r w:rsidRPr="5D8904BE">
        <w:rPr>
          <w:color w:val="000000" w:themeColor="text1"/>
          <w:sz w:val="20"/>
          <w:szCs w:val="20"/>
          <w:lang w:val="en-US"/>
        </w:rPr>
        <w:t>The requirements of the following documents, then in force at the time of signature of the Project Document, apply to the Implementing Partner: (a)</w:t>
      </w:r>
      <w:r w:rsidRPr="5D8904BE">
        <w:rPr>
          <w:b/>
          <w:bCs/>
          <w:color w:val="000000" w:themeColor="text1"/>
          <w:sz w:val="20"/>
          <w:szCs w:val="20"/>
          <w:lang w:val="en-US"/>
        </w:rPr>
        <w:t xml:space="preserve"> </w:t>
      </w:r>
      <w:r w:rsidRPr="5D8904BE">
        <w:rPr>
          <w:color w:val="000000" w:themeColor="text1"/>
          <w:sz w:val="20"/>
          <w:szCs w:val="20"/>
          <w:lang w:val="en-US"/>
        </w:rPr>
        <w:t>UNDP Policy on Fraud and other Corrupt Practices and (b)</w:t>
      </w:r>
      <w:r w:rsidRPr="5D8904BE">
        <w:rPr>
          <w:b/>
          <w:bCs/>
          <w:color w:val="000000" w:themeColor="text1"/>
          <w:sz w:val="20"/>
          <w:szCs w:val="20"/>
          <w:lang w:val="en-US"/>
        </w:rPr>
        <w:t xml:space="preserve"> </w:t>
      </w:r>
      <w:r w:rsidRPr="5D8904BE">
        <w:rPr>
          <w:color w:val="000000" w:themeColor="text1"/>
          <w:sz w:val="20"/>
          <w:szCs w:val="20"/>
          <w:lang w:val="en-US"/>
        </w:rPr>
        <w:t xml:space="preserve">UNDP Office of Audit and Investigations Investigation Guidelines. </w:t>
      </w:r>
      <w:r w:rsidRPr="5D8904BE">
        <w:rPr>
          <w:sz w:val="20"/>
          <w:szCs w:val="20"/>
          <w:lang w:val="en-US"/>
        </w:rPr>
        <w:t xml:space="preserve">The Implementing Partner agrees to the requirements of the above documents, which are an integral part of this Project Document and are available online at www.undp.org. </w:t>
      </w:r>
    </w:p>
    <w:p w14:paraId="43446F20" w14:textId="77777777" w:rsidR="000E53F5" w:rsidRPr="001F3932" w:rsidRDefault="000E53F5" w:rsidP="000E53F5">
      <w:pPr>
        <w:spacing w:after="0" w:line="240" w:lineRule="auto"/>
        <w:ind w:left="360"/>
        <w:jc w:val="both"/>
        <w:rPr>
          <w:rFonts w:eastAsia="SimSun"/>
          <w:color w:val="000000"/>
          <w:sz w:val="20"/>
          <w:szCs w:val="20"/>
          <w:lang w:val="en-US"/>
        </w:rPr>
      </w:pPr>
    </w:p>
    <w:p w14:paraId="3367F4F2" w14:textId="77777777" w:rsidR="000E53F5" w:rsidRPr="001F3932" w:rsidRDefault="5005493B" w:rsidP="001360BB">
      <w:pPr>
        <w:pStyle w:val="Paragraphedeliste"/>
        <w:numPr>
          <w:ilvl w:val="0"/>
          <w:numId w:val="78"/>
        </w:numPr>
        <w:spacing w:after="0" w:line="240" w:lineRule="auto"/>
        <w:jc w:val="both"/>
        <w:rPr>
          <w:color w:val="000000" w:themeColor="text1"/>
          <w:sz w:val="20"/>
          <w:szCs w:val="20"/>
          <w:lang w:val="en-US"/>
        </w:rPr>
      </w:pPr>
      <w:proofErr w:type="gramStart"/>
      <w:r w:rsidRPr="5D8904BE">
        <w:rPr>
          <w:rFonts w:eastAsia="SimSun"/>
          <w:color w:val="000000" w:themeColor="text1"/>
          <w:sz w:val="20"/>
          <w:szCs w:val="20"/>
          <w:lang w:val="en-US"/>
        </w:rPr>
        <w:t>In the event that</w:t>
      </w:r>
      <w:proofErr w:type="gramEnd"/>
      <w:r w:rsidRPr="5D8904BE">
        <w:rPr>
          <w:rFonts w:eastAsia="SimSun"/>
          <w:color w:val="000000" w:themeColor="text1"/>
          <w:sz w:val="20"/>
          <w:szCs w:val="20"/>
          <w:lang w:val="en-US"/>
        </w:rPr>
        <w:t xml:space="preserve"> an investigation is required, UNDP has the obligation to conduct investigations relating to any aspect of UNDP projects and </w:t>
      </w:r>
      <w:proofErr w:type="spellStart"/>
      <w:r w:rsidRPr="5D8904BE">
        <w:rPr>
          <w:rFonts w:eastAsia="SimSun"/>
          <w:color w:val="000000" w:themeColor="text1"/>
          <w:sz w:val="20"/>
          <w:szCs w:val="20"/>
          <w:lang w:val="en-US"/>
        </w:rPr>
        <w:t>programmes</w:t>
      </w:r>
      <w:proofErr w:type="spellEnd"/>
      <w:r w:rsidRPr="5D8904BE">
        <w:rPr>
          <w:rFonts w:eastAsia="SimSun"/>
          <w:color w:val="000000" w:themeColor="text1"/>
          <w:sz w:val="20"/>
          <w:szCs w:val="20"/>
          <w:lang w:val="en-US"/>
        </w:rPr>
        <w:t xml:space="preserve"> in accordance with UNDP’s regulations, rules, policies and procedures. The Implementing Partner shall provide its full cooperation, including making available personnel, relevant documentation, and granting access to the Implementing Partner’s</w:t>
      </w:r>
      <w:r w:rsidRPr="5D8904BE">
        <w:rPr>
          <w:color w:val="000000" w:themeColor="text1"/>
          <w:sz w:val="20"/>
          <w:szCs w:val="20"/>
          <w:lang w:val="en-US"/>
        </w:rPr>
        <w:t xml:space="preserve"> </w:t>
      </w:r>
      <w:r w:rsidRPr="5D8904BE">
        <w:rPr>
          <w:rFonts w:eastAsia="SimSun"/>
          <w:color w:val="000000" w:themeColor="text1"/>
          <w:sz w:val="20"/>
          <w:szCs w:val="20"/>
          <w:lang w:val="en-US"/>
        </w:rPr>
        <w:t>(and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362CA4FB" w14:textId="77777777" w:rsidR="000E53F5" w:rsidRPr="001F3932" w:rsidRDefault="000E53F5" w:rsidP="000E53F5">
      <w:pPr>
        <w:spacing w:after="0" w:line="240" w:lineRule="auto"/>
        <w:ind w:left="360"/>
        <w:jc w:val="both"/>
        <w:rPr>
          <w:color w:val="000000"/>
          <w:sz w:val="20"/>
          <w:szCs w:val="20"/>
          <w:lang w:val="en-US"/>
        </w:rPr>
      </w:pPr>
    </w:p>
    <w:p w14:paraId="69C20C72" w14:textId="77777777" w:rsidR="000E53F5" w:rsidRPr="001F3932" w:rsidRDefault="5005493B" w:rsidP="001360BB">
      <w:pPr>
        <w:pStyle w:val="Paragraphedeliste"/>
        <w:numPr>
          <w:ilvl w:val="0"/>
          <w:numId w:val="78"/>
        </w:numPr>
        <w:spacing w:after="0" w:line="240" w:lineRule="auto"/>
        <w:jc w:val="both"/>
        <w:rPr>
          <w:rFonts w:eastAsia="SimSun"/>
          <w:color w:val="000000" w:themeColor="text1"/>
          <w:sz w:val="20"/>
          <w:szCs w:val="20"/>
          <w:lang w:val="en-US"/>
        </w:rPr>
      </w:pPr>
      <w:r w:rsidRPr="5D8904BE">
        <w:rPr>
          <w:rFonts w:eastAsia="SimSun"/>
          <w:sz w:val="20"/>
          <w:szCs w:val="20"/>
          <w:lang w:val="en-US"/>
        </w:rPr>
        <w:t>The signatories to this Project Document will promptly inform one another in case of any incidence of inappropriate use of funds, or credible allegation of fraud or corruption with due confidentiality.</w:t>
      </w:r>
    </w:p>
    <w:p w14:paraId="54645465" w14:textId="77777777" w:rsidR="000E53F5" w:rsidRPr="001F3932" w:rsidRDefault="000E53F5" w:rsidP="000E53F5">
      <w:pPr>
        <w:spacing w:after="0" w:line="240" w:lineRule="auto"/>
        <w:ind w:left="360"/>
        <w:jc w:val="both"/>
        <w:rPr>
          <w:rFonts w:eastAsia="SimSun"/>
          <w:sz w:val="20"/>
          <w:szCs w:val="20"/>
          <w:lang w:val="en-US"/>
        </w:rPr>
      </w:pPr>
    </w:p>
    <w:p w14:paraId="28067E82" w14:textId="77777777" w:rsidR="000E53F5" w:rsidRPr="001F3932" w:rsidRDefault="000E53F5" w:rsidP="000E53F5">
      <w:pPr>
        <w:spacing w:after="0" w:line="240" w:lineRule="auto"/>
        <w:ind w:left="360"/>
        <w:jc w:val="both"/>
        <w:rPr>
          <w:rFonts w:eastAsia="SimSun"/>
          <w:sz w:val="20"/>
          <w:szCs w:val="20"/>
          <w:lang w:val="en-US"/>
        </w:rPr>
      </w:pPr>
      <w:r w:rsidRPr="001F3932">
        <w:rPr>
          <w:rFonts w:eastAsia="SimSun"/>
          <w:sz w:val="20"/>
          <w:szCs w:val="20"/>
          <w:lang w:val="en-US"/>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1C301693" w14:textId="77777777" w:rsidR="000E53F5" w:rsidRPr="001F3932" w:rsidRDefault="000E53F5" w:rsidP="000E53F5">
      <w:pPr>
        <w:spacing w:after="0" w:line="240" w:lineRule="auto"/>
        <w:ind w:left="360"/>
        <w:jc w:val="both"/>
        <w:rPr>
          <w:color w:val="000000"/>
          <w:sz w:val="20"/>
          <w:szCs w:val="20"/>
          <w:lang w:val="en-US"/>
        </w:rPr>
      </w:pPr>
    </w:p>
    <w:p w14:paraId="7BDEB49B" w14:textId="77777777" w:rsidR="000E53F5" w:rsidRPr="001F3932" w:rsidRDefault="5005493B" w:rsidP="001360BB">
      <w:pPr>
        <w:pStyle w:val="Paragraphedeliste"/>
        <w:numPr>
          <w:ilvl w:val="0"/>
          <w:numId w:val="78"/>
        </w:numPr>
        <w:spacing w:after="0" w:line="240" w:lineRule="auto"/>
        <w:jc w:val="both"/>
        <w:rPr>
          <w:rFonts w:eastAsia="SimSun"/>
          <w:sz w:val="20"/>
          <w:szCs w:val="20"/>
          <w:lang w:val="en-US"/>
        </w:rPr>
      </w:pPr>
      <w:r w:rsidRPr="5D8904BE">
        <w:rPr>
          <w:rFonts w:eastAsia="SimSun"/>
          <w:sz w:val="20"/>
          <w:szCs w:val="20"/>
          <w:lang w:val="en-US"/>
        </w:rPr>
        <w:t xml:space="preserve">UNDP shall be entitled to a refund from the Implementing Partner of any funds provided that have been used inappropriately, including through fraud, corruption or other financial irregularity, or otherwise paid other than in accordance with the terms and conditions of the Project Document. Such amount may be deducted by UNDP from any payment due to the Implementing Partner under this or any other </w:t>
      </w:r>
      <w:r w:rsidRPr="5D8904BE">
        <w:rPr>
          <w:rFonts w:eastAsia="SimSun"/>
          <w:sz w:val="20"/>
          <w:szCs w:val="20"/>
          <w:lang w:val="en-US"/>
        </w:rPr>
        <w:lastRenderedPageBreak/>
        <w:t>agreement. Recovery of such amount by UNDP shall not diminish or curtail the Implementing Partner’s obligations under this Project Document.</w:t>
      </w:r>
    </w:p>
    <w:p w14:paraId="29C388C9" w14:textId="77777777" w:rsidR="000E53F5" w:rsidRPr="001F3932" w:rsidRDefault="000E53F5" w:rsidP="000E53F5">
      <w:pPr>
        <w:spacing w:after="0" w:line="240" w:lineRule="auto"/>
        <w:ind w:left="360"/>
        <w:jc w:val="both"/>
        <w:rPr>
          <w:rFonts w:eastAsia="SimSun"/>
          <w:sz w:val="20"/>
          <w:szCs w:val="20"/>
          <w:lang w:val="en-US"/>
        </w:rPr>
      </w:pPr>
    </w:p>
    <w:p w14:paraId="4D633ED7" w14:textId="77777777" w:rsidR="000E53F5" w:rsidRPr="001F3932" w:rsidRDefault="000E53F5" w:rsidP="000E53F5">
      <w:pPr>
        <w:spacing w:after="0" w:line="240" w:lineRule="auto"/>
        <w:ind w:left="360"/>
        <w:jc w:val="both"/>
        <w:rPr>
          <w:rFonts w:eastAsia="SimSun"/>
          <w:sz w:val="20"/>
          <w:szCs w:val="20"/>
          <w:lang w:val="en-US"/>
        </w:rPr>
      </w:pPr>
      <w:r w:rsidRPr="001F3932">
        <w:rPr>
          <w:rFonts w:eastAsia="SimSun"/>
          <w:sz w:val="20"/>
          <w:szCs w:val="20"/>
          <w:lang w:val="en-US"/>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corruption</w:t>
      </w:r>
      <w:r w:rsidRPr="001F3932">
        <w:rPr>
          <w:rFonts w:eastAsia="SimSun"/>
          <w:color w:val="0000FF"/>
          <w:sz w:val="20"/>
          <w:szCs w:val="20"/>
          <w:lang w:val="en-GB"/>
        </w:rPr>
        <w:t xml:space="preserve"> </w:t>
      </w:r>
      <w:r w:rsidRPr="001F3932">
        <w:rPr>
          <w:rFonts w:eastAsia="SimSun"/>
          <w:sz w:val="20"/>
          <w:szCs w:val="20"/>
          <w:lang w:val="en-GB"/>
        </w:rPr>
        <w:t>or other financial irregularity</w:t>
      </w:r>
      <w:r w:rsidRPr="001F3932">
        <w:rPr>
          <w:rFonts w:eastAsia="SimSun"/>
          <w:sz w:val="20"/>
          <w:szCs w:val="20"/>
          <w:lang w:val="en-US"/>
        </w:rPr>
        <w:t>, or otherwise paid other than in accordance with the terms and conditions of the Project Document.</w:t>
      </w:r>
    </w:p>
    <w:p w14:paraId="736EA44E" w14:textId="77777777" w:rsidR="000E53F5" w:rsidRPr="001F3932" w:rsidRDefault="000E53F5" w:rsidP="000E53F5">
      <w:pPr>
        <w:spacing w:after="0" w:line="240" w:lineRule="auto"/>
        <w:ind w:left="360"/>
        <w:jc w:val="both"/>
        <w:rPr>
          <w:rFonts w:eastAsia="SimSun"/>
          <w:sz w:val="20"/>
          <w:szCs w:val="20"/>
          <w:lang w:val="en-US"/>
        </w:rPr>
      </w:pPr>
    </w:p>
    <w:p w14:paraId="76A23B3E" w14:textId="77777777" w:rsidR="000E53F5" w:rsidRPr="001F3932" w:rsidRDefault="060BE776" w:rsidP="000E53F5">
      <w:pPr>
        <w:spacing w:after="0" w:line="240" w:lineRule="auto"/>
        <w:ind w:left="360"/>
        <w:jc w:val="both"/>
        <w:rPr>
          <w:color w:val="000000"/>
          <w:sz w:val="20"/>
          <w:szCs w:val="20"/>
          <w:lang w:val="en-US"/>
        </w:rPr>
      </w:pPr>
      <w:r w:rsidRPr="5D8904BE">
        <w:rPr>
          <w:rFonts w:eastAsia="SimSun"/>
          <w:i/>
          <w:iCs/>
          <w:sz w:val="20"/>
          <w:szCs w:val="20"/>
          <w:u w:val="single"/>
          <w:lang w:val="en-US"/>
        </w:rPr>
        <w:t>Note</w:t>
      </w:r>
      <w:r w:rsidRPr="5D8904BE">
        <w:rPr>
          <w:rFonts w:eastAsia="SimSun"/>
          <w:i/>
          <w:iCs/>
          <w:sz w:val="20"/>
          <w:szCs w:val="20"/>
          <w:lang w:val="en-US"/>
        </w:rPr>
        <w:t>:</w:t>
      </w:r>
      <w:r w:rsidRPr="5D8904BE">
        <w:rPr>
          <w:rFonts w:eastAsia="SimSun"/>
          <w:sz w:val="20"/>
          <w:szCs w:val="20"/>
          <w:lang w:val="en-US"/>
        </w:rPr>
        <w:t xml:space="preserve"> The term “Project Document” as used in this clause shall be deemed to include any relevant subsidiary agreement further to the Project Document, including those with responsible parties, subcontractors and sub-recipients.</w:t>
      </w:r>
    </w:p>
    <w:p w14:paraId="48C7C3EA" w14:textId="77777777" w:rsidR="000E53F5" w:rsidRPr="001F3932" w:rsidRDefault="000E53F5" w:rsidP="000E53F5">
      <w:pPr>
        <w:spacing w:after="0" w:line="240" w:lineRule="auto"/>
        <w:ind w:left="360"/>
        <w:jc w:val="both"/>
        <w:rPr>
          <w:rFonts w:eastAsia="SimSun"/>
          <w:sz w:val="20"/>
          <w:szCs w:val="20"/>
          <w:lang w:val="en-US"/>
        </w:rPr>
      </w:pPr>
    </w:p>
    <w:p w14:paraId="32B3D4BB" w14:textId="77777777" w:rsidR="000E53F5" w:rsidRPr="001F3932" w:rsidRDefault="5005493B" w:rsidP="001360BB">
      <w:pPr>
        <w:pStyle w:val="Paragraphedeliste"/>
        <w:numPr>
          <w:ilvl w:val="0"/>
          <w:numId w:val="78"/>
        </w:numPr>
        <w:spacing w:after="0" w:line="240" w:lineRule="auto"/>
        <w:jc w:val="both"/>
        <w:rPr>
          <w:rFonts w:eastAsia="SimSun"/>
          <w:sz w:val="20"/>
          <w:szCs w:val="20"/>
          <w:lang w:val="en-US"/>
        </w:rPr>
      </w:pPr>
      <w:r w:rsidRPr="5D8904BE">
        <w:rPr>
          <w:rFonts w:eastAsia="SimSun"/>
          <w:sz w:val="20"/>
          <w:szCs w:val="20"/>
          <w:lang w:val="en-US"/>
        </w:rP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37F4D2EA" w14:textId="77777777" w:rsidR="000E53F5" w:rsidRPr="001F3932" w:rsidRDefault="000E53F5" w:rsidP="000E53F5">
      <w:pPr>
        <w:spacing w:after="0" w:line="240" w:lineRule="auto"/>
        <w:ind w:left="360"/>
        <w:rPr>
          <w:rFonts w:eastAsia="SimSun"/>
          <w:sz w:val="20"/>
          <w:szCs w:val="20"/>
          <w:lang w:val="en-US"/>
        </w:rPr>
      </w:pPr>
    </w:p>
    <w:p w14:paraId="464C31B3" w14:textId="77777777" w:rsidR="000E53F5" w:rsidRPr="001F3932" w:rsidRDefault="5005493B" w:rsidP="001360BB">
      <w:pPr>
        <w:pStyle w:val="Paragraphedeliste"/>
        <w:numPr>
          <w:ilvl w:val="0"/>
          <w:numId w:val="78"/>
        </w:numPr>
        <w:spacing w:after="0" w:line="240" w:lineRule="auto"/>
        <w:jc w:val="both"/>
        <w:rPr>
          <w:rFonts w:eastAsia="SimSun"/>
          <w:sz w:val="20"/>
          <w:szCs w:val="20"/>
          <w:lang w:val="en-US"/>
        </w:rPr>
      </w:pPr>
      <w:r w:rsidRPr="5D8904BE">
        <w:rPr>
          <w:rFonts w:eastAsia="SimSun"/>
          <w:sz w:val="20"/>
          <w:szCs w:val="20"/>
          <w:lang w:val="en-US"/>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741B7FEF" w14:textId="77777777" w:rsidR="000E53F5" w:rsidRPr="001F3932" w:rsidRDefault="000E53F5" w:rsidP="000E53F5">
      <w:pPr>
        <w:spacing w:after="0" w:line="240" w:lineRule="auto"/>
        <w:ind w:left="360"/>
        <w:rPr>
          <w:rFonts w:eastAsia="SimSun"/>
          <w:sz w:val="20"/>
          <w:szCs w:val="20"/>
          <w:lang w:val="en-US"/>
        </w:rPr>
      </w:pPr>
    </w:p>
    <w:p w14:paraId="5E07E0D8" w14:textId="77777777" w:rsidR="000E53F5" w:rsidRPr="001F3932" w:rsidRDefault="5005493B" w:rsidP="001360BB">
      <w:pPr>
        <w:pStyle w:val="Paragraphedeliste"/>
        <w:numPr>
          <w:ilvl w:val="0"/>
          <w:numId w:val="78"/>
        </w:numPr>
        <w:spacing w:after="0" w:line="240" w:lineRule="auto"/>
        <w:jc w:val="both"/>
        <w:rPr>
          <w:rFonts w:eastAsia="SimSun"/>
          <w:sz w:val="20"/>
          <w:szCs w:val="20"/>
          <w:lang w:val="en-US"/>
        </w:rPr>
      </w:pPr>
      <w:r w:rsidRPr="5D8904BE">
        <w:rPr>
          <w:rFonts w:eastAsia="SimSun"/>
          <w:sz w:val="20"/>
          <w:szCs w:val="20"/>
          <w:lang w:val="en-US"/>
        </w:rPr>
        <w:t xml:space="preserve">The Implementing Partner shall ensure that </w:t>
      </w:r>
      <w:proofErr w:type="gramStart"/>
      <w:r w:rsidRPr="5D8904BE">
        <w:rPr>
          <w:rFonts w:eastAsia="SimSun"/>
          <w:sz w:val="20"/>
          <w:szCs w:val="20"/>
          <w:lang w:val="en-US"/>
        </w:rPr>
        <w:t>all of</w:t>
      </w:r>
      <w:proofErr w:type="gramEnd"/>
      <w:r w:rsidRPr="5D8904BE">
        <w:rPr>
          <w:rFonts w:eastAsia="SimSun"/>
          <w:sz w:val="20"/>
          <w:szCs w:val="20"/>
          <w:lang w:val="en-US"/>
        </w:rPr>
        <w:t xml:space="preserve"> its obligations set forth under this section entitled “Risk Management” are passed on to each responsible party, subcontractor and sub-recipient and that all the clauses under this section entitled “Risk Management Standard Clauses” are included, mutatis mutandis, in all sub-contracts or sub-agreements entered into further to this Project Document.</w:t>
      </w:r>
    </w:p>
    <w:p w14:paraId="6F49A365" w14:textId="77777777" w:rsidR="000E53F5" w:rsidRPr="001F3932" w:rsidRDefault="000E53F5" w:rsidP="000E53F5">
      <w:pPr>
        <w:spacing w:after="60" w:line="240" w:lineRule="auto"/>
        <w:jc w:val="both"/>
        <w:rPr>
          <w:rFonts w:eastAsia="SimSun" w:cs="Arial"/>
          <w:b/>
          <w:sz w:val="20"/>
          <w:szCs w:val="20"/>
          <w:lang w:val="en-US"/>
        </w:rPr>
      </w:pPr>
    </w:p>
    <w:p w14:paraId="00000C81" w14:textId="6EDEAC30" w:rsidR="004F7DB3" w:rsidRPr="00B7771B" w:rsidRDefault="00C00123">
      <w:pPr>
        <w:tabs>
          <w:tab w:val="left" w:pos="-720"/>
        </w:tabs>
        <w:spacing w:after="120" w:line="240" w:lineRule="auto"/>
        <w:jc w:val="both"/>
        <w:rPr>
          <w:lang w:val="en-US"/>
        </w:rPr>
      </w:pPr>
      <w:r w:rsidRPr="00B7771B">
        <w:rPr>
          <w:lang w:val="en-US"/>
        </w:rPr>
        <w:br w:type="page"/>
      </w:r>
    </w:p>
    <w:p w14:paraId="6A513039" w14:textId="54F186FC" w:rsidR="2FADFEDE" w:rsidRPr="00E77B3F" w:rsidRDefault="03966F94" w:rsidP="5D8904BE">
      <w:pPr>
        <w:pStyle w:val="Heading11"/>
        <w:pBdr>
          <w:top w:val="single" w:sz="4" w:space="0" w:color="auto"/>
        </w:pBdr>
        <w:rPr>
          <w:lang w:val="en-US"/>
        </w:rPr>
      </w:pPr>
      <w:bookmarkStart w:id="77" w:name="_Toc200389015"/>
      <w:bookmarkStart w:id="78" w:name="_Toc200471113"/>
      <w:bookmarkStart w:id="79" w:name="_Toc200477844"/>
      <w:bookmarkStart w:id="80" w:name="_Toc200389016"/>
      <w:bookmarkStart w:id="81" w:name="_Toc200471114"/>
      <w:bookmarkStart w:id="82" w:name="_Toc200477845"/>
      <w:bookmarkStart w:id="83" w:name="_Toc1733133675"/>
      <w:bookmarkStart w:id="84" w:name="_Toc200477846"/>
      <w:bookmarkEnd w:id="77"/>
      <w:bookmarkEnd w:id="78"/>
      <w:bookmarkEnd w:id="79"/>
      <w:bookmarkEnd w:id="80"/>
      <w:bookmarkEnd w:id="81"/>
      <w:bookmarkEnd w:id="82"/>
      <w:r w:rsidRPr="5D8904BE">
        <w:rPr>
          <w:lang w:val="en-US"/>
        </w:rPr>
        <w:lastRenderedPageBreak/>
        <w:t>Mandatory Annexes</w:t>
      </w:r>
      <w:bookmarkEnd w:id="83"/>
      <w:bookmarkEnd w:id="84"/>
    </w:p>
    <w:p w14:paraId="26FE228C" w14:textId="5CCB1EC7" w:rsidR="00C627BF" w:rsidRPr="00C627BF" w:rsidRDefault="7E16D106" w:rsidP="001360BB">
      <w:pPr>
        <w:numPr>
          <w:ilvl w:val="0"/>
          <w:numId w:val="288"/>
        </w:numPr>
        <w:spacing w:after="0" w:line="360" w:lineRule="auto"/>
        <w:jc w:val="both"/>
        <w:rPr>
          <w:rFonts w:eastAsia="SimSun" w:cs="Times New Roman"/>
          <w:sz w:val="20"/>
          <w:szCs w:val="20"/>
          <w:lang w:val="en-US"/>
        </w:rPr>
      </w:pPr>
      <w:r w:rsidRPr="5D8904BE">
        <w:rPr>
          <w:rFonts w:eastAsia="SimSun" w:cs="Times New Roman"/>
          <w:sz w:val="20"/>
          <w:szCs w:val="20"/>
          <w:lang w:val="en-US"/>
        </w:rPr>
        <w:t>GEF Budget Template (available from BPPS NCE team)</w:t>
      </w:r>
      <w:r w:rsidR="213E8037" w:rsidRPr="5D8904BE">
        <w:rPr>
          <w:rFonts w:eastAsia="SimSun" w:cs="Times New Roman"/>
          <w:sz w:val="20"/>
          <w:szCs w:val="20"/>
          <w:lang w:val="en-US"/>
        </w:rPr>
        <w:t xml:space="preserve"> </w:t>
      </w:r>
    </w:p>
    <w:p w14:paraId="7E801478" w14:textId="0103679A" w:rsidR="00C627BF" w:rsidRPr="006F5E1D" w:rsidRDefault="7E16D106" w:rsidP="001360BB">
      <w:pPr>
        <w:numPr>
          <w:ilvl w:val="0"/>
          <w:numId w:val="288"/>
        </w:numPr>
        <w:spacing w:after="0" w:line="360" w:lineRule="auto"/>
        <w:jc w:val="both"/>
        <w:rPr>
          <w:rFonts w:eastAsia="SimSun" w:cs="Times New Roman"/>
          <w:b/>
          <w:bCs/>
          <w:color w:val="BFBFBF" w:themeColor="background1" w:themeShade="BF"/>
          <w:sz w:val="20"/>
          <w:szCs w:val="20"/>
          <w:lang w:val="en-US"/>
        </w:rPr>
      </w:pPr>
      <w:r w:rsidRPr="006F5E1D">
        <w:rPr>
          <w:rFonts w:eastAsia="SimSun" w:cs="Times New Roman"/>
          <w:color w:val="BFBFBF" w:themeColor="background1" w:themeShade="BF"/>
          <w:sz w:val="20"/>
          <w:szCs w:val="20"/>
          <w:lang w:val="en-US"/>
        </w:rPr>
        <w:t>GEF Execution Support Lette</w:t>
      </w:r>
      <w:r w:rsidR="72D7766F" w:rsidRPr="006F5E1D">
        <w:rPr>
          <w:rFonts w:eastAsia="SimSun" w:cs="Times New Roman"/>
          <w:color w:val="BFBFBF" w:themeColor="background1" w:themeShade="BF"/>
          <w:sz w:val="20"/>
          <w:szCs w:val="20"/>
          <w:lang w:val="en-US"/>
        </w:rPr>
        <w:t>r</w:t>
      </w:r>
      <w:r w:rsidR="5B802E7A" w:rsidRPr="006F5E1D">
        <w:rPr>
          <w:rFonts w:eastAsia="SimSun" w:cs="Times New Roman"/>
          <w:b/>
          <w:bCs/>
          <w:color w:val="BFBFBF" w:themeColor="background1" w:themeShade="BF"/>
          <w:sz w:val="20"/>
          <w:szCs w:val="20"/>
          <w:lang w:val="en-US"/>
        </w:rPr>
        <w:t xml:space="preserve"> NA</w:t>
      </w:r>
    </w:p>
    <w:p w14:paraId="129E47F7" w14:textId="77777777" w:rsidR="00C627BF" w:rsidRPr="00C627BF" w:rsidRDefault="00C627BF" w:rsidP="001360BB">
      <w:pPr>
        <w:numPr>
          <w:ilvl w:val="0"/>
          <w:numId w:val="288"/>
        </w:numPr>
        <w:spacing w:after="0" w:line="360" w:lineRule="auto"/>
        <w:jc w:val="both"/>
        <w:rPr>
          <w:rFonts w:eastAsia="SimSun" w:cs="Times New Roman"/>
          <w:sz w:val="20"/>
          <w:szCs w:val="24"/>
          <w:lang w:val="en-US"/>
        </w:rPr>
      </w:pPr>
      <w:r w:rsidRPr="00C627BF">
        <w:rPr>
          <w:rFonts w:eastAsia="SimSun" w:cs="Times New Roman"/>
          <w:sz w:val="20"/>
          <w:szCs w:val="24"/>
          <w:lang w:val="en-US"/>
        </w:rPr>
        <w:t>Project Map and geospatial coordinates of the project area</w:t>
      </w:r>
    </w:p>
    <w:p w14:paraId="5D3B98AF" w14:textId="77777777" w:rsidR="00C627BF" w:rsidRPr="00485F0E" w:rsidRDefault="78E8A9D2" w:rsidP="001360BB">
      <w:pPr>
        <w:numPr>
          <w:ilvl w:val="0"/>
          <w:numId w:val="288"/>
        </w:numPr>
        <w:spacing w:after="0" w:line="360" w:lineRule="auto"/>
        <w:jc w:val="both"/>
        <w:rPr>
          <w:rFonts w:eastAsia="SimSun" w:cs="Times New Roman"/>
          <w:sz w:val="20"/>
          <w:szCs w:val="20"/>
        </w:rPr>
      </w:pPr>
      <w:proofErr w:type="spellStart"/>
      <w:r w:rsidRPr="5D8904BE">
        <w:rPr>
          <w:rFonts w:eastAsia="SimSun" w:cs="Times New Roman"/>
          <w:sz w:val="20"/>
          <w:szCs w:val="20"/>
        </w:rPr>
        <w:t>Multiyear</w:t>
      </w:r>
      <w:proofErr w:type="spellEnd"/>
      <w:r w:rsidRPr="5D8904BE">
        <w:rPr>
          <w:rFonts w:eastAsia="SimSun" w:cs="Times New Roman"/>
          <w:sz w:val="20"/>
          <w:szCs w:val="20"/>
        </w:rPr>
        <w:t xml:space="preserve"> </w:t>
      </w:r>
      <w:proofErr w:type="spellStart"/>
      <w:r w:rsidRPr="5D8904BE">
        <w:rPr>
          <w:rFonts w:eastAsia="SimSun" w:cs="Times New Roman"/>
          <w:sz w:val="20"/>
          <w:szCs w:val="20"/>
        </w:rPr>
        <w:t>Workplan</w:t>
      </w:r>
      <w:proofErr w:type="spellEnd"/>
      <w:r w:rsidRPr="5D8904BE">
        <w:rPr>
          <w:rFonts w:eastAsia="SimSun" w:cs="Times New Roman"/>
          <w:sz w:val="20"/>
          <w:szCs w:val="20"/>
        </w:rPr>
        <w:t xml:space="preserve"> </w:t>
      </w:r>
    </w:p>
    <w:p w14:paraId="525D5621" w14:textId="13C569A5" w:rsidR="00C627BF" w:rsidRPr="00C627BF" w:rsidRDefault="00C627BF" w:rsidP="001360BB">
      <w:pPr>
        <w:numPr>
          <w:ilvl w:val="0"/>
          <w:numId w:val="288"/>
        </w:numPr>
        <w:spacing w:after="0" w:line="360" w:lineRule="auto"/>
        <w:jc w:val="both"/>
        <w:rPr>
          <w:rFonts w:eastAsia="SimSun" w:cs="Arial"/>
          <w:sz w:val="20"/>
          <w:szCs w:val="20"/>
          <w:lang w:val="en-US"/>
        </w:rPr>
      </w:pPr>
      <w:r w:rsidRPr="00C627BF">
        <w:rPr>
          <w:rFonts w:eastAsia="SimSun" w:cs="Arial"/>
          <w:sz w:val="20"/>
          <w:szCs w:val="20"/>
          <w:lang w:val="en-US"/>
        </w:rPr>
        <w:t xml:space="preserve">Social and Environmental Screening Procedure (SESP), </w:t>
      </w:r>
    </w:p>
    <w:p w14:paraId="61BE00AF" w14:textId="77777777" w:rsidR="00C627BF" w:rsidRPr="00485F0E" w:rsidRDefault="78E8A9D2" w:rsidP="001360BB">
      <w:pPr>
        <w:numPr>
          <w:ilvl w:val="0"/>
          <w:numId w:val="288"/>
        </w:numPr>
        <w:spacing w:after="0" w:line="360" w:lineRule="auto"/>
        <w:jc w:val="both"/>
        <w:rPr>
          <w:rFonts w:eastAsia="SimSun" w:cs="Times New Roman"/>
          <w:sz w:val="20"/>
          <w:szCs w:val="20"/>
        </w:rPr>
      </w:pPr>
      <w:r w:rsidRPr="5D8904BE">
        <w:rPr>
          <w:rFonts w:eastAsia="SimSun" w:cs="Times New Roman"/>
          <w:sz w:val="20"/>
          <w:szCs w:val="20"/>
        </w:rPr>
        <w:t xml:space="preserve">UNDP Risk </w:t>
      </w:r>
      <w:proofErr w:type="spellStart"/>
      <w:r w:rsidRPr="5D8904BE">
        <w:rPr>
          <w:rFonts w:eastAsia="SimSun" w:cs="Times New Roman"/>
          <w:sz w:val="20"/>
          <w:szCs w:val="20"/>
        </w:rPr>
        <w:t>Register</w:t>
      </w:r>
      <w:proofErr w:type="spellEnd"/>
      <w:r w:rsidRPr="5D8904BE">
        <w:rPr>
          <w:rFonts w:eastAsia="SimSun" w:cs="Times New Roman"/>
          <w:sz w:val="20"/>
          <w:szCs w:val="20"/>
        </w:rPr>
        <w:t xml:space="preserve"> </w:t>
      </w:r>
    </w:p>
    <w:p w14:paraId="512D2B77" w14:textId="77777777" w:rsidR="00C627BF" w:rsidRPr="00485F0E" w:rsidRDefault="78E8A9D2" w:rsidP="001360BB">
      <w:pPr>
        <w:numPr>
          <w:ilvl w:val="0"/>
          <w:numId w:val="288"/>
        </w:numPr>
        <w:spacing w:after="0" w:line="360" w:lineRule="auto"/>
        <w:jc w:val="both"/>
        <w:rPr>
          <w:rFonts w:eastAsia="SimSun" w:cs="Times New Roman"/>
          <w:sz w:val="20"/>
          <w:szCs w:val="20"/>
        </w:rPr>
      </w:pPr>
      <w:proofErr w:type="spellStart"/>
      <w:r w:rsidRPr="5D8904BE">
        <w:rPr>
          <w:rFonts w:eastAsia="SimSun" w:cs="Times New Roman"/>
          <w:sz w:val="20"/>
          <w:szCs w:val="20"/>
        </w:rPr>
        <w:t>Overview</w:t>
      </w:r>
      <w:proofErr w:type="spellEnd"/>
      <w:r w:rsidRPr="5D8904BE">
        <w:rPr>
          <w:rFonts w:eastAsia="SimSun" w:cs="Times New Roman"/>
          <w:sz w:val="20"/>
          <w:szCs w:val="20"/>
        </w:rPr>
        <w:t xml:space="preserve"> of </w:t>
      </w:r>
      <w:proofErr w:type="spellStart"/>
      <w:r w:rsidRPr="5D8904BE">
        <w:rPr>
          <w:rFonts w:eastAsia="SimSun" w:cs="Times New Roman"/>
          <w:sz w:val="20"/>
          <w:szCs w:val="20"/>
        </w:rPr>
        <w:t>technical</w:t>
      </w:r>
      <w:proofErr w:type="spellEnd"/>
      <w:r w:rsidRPr="5D8904BE">
        <w:rPr>
          <w:rFonts w:eastAsia="SimSun" w:cs="Times New Roman"/>
          <w:sz w:val="20"/>
          <w:szCs w:val="20"/>
        </w:rPr>
        <w:t xml:space="preserve"> </w:t>
      </w:r>
      <w:proofErr w:type="spellStart"/>
      <w:r w:rsidRPr="5D8904BE">
        <w:rPr>
          <w:rFonts w:eastAsia="SimSun" w:cs="Times New Roman"/>
          <w:sz w:val="20"/>
          <w:szCs w:val="20"/>
        </w:rPr>
        <w:t>consultancies</w:t>
      </w:r>
      <w:proofErr w:type="spellEnd"/>
      <w:r w:rsidRPr="5D8904BE">
        <w:rPr>
          <w:rFonts w:eastAsia="SimSun" w:cs="Times New Roman"/>
          <w:sz w:val="20"/>
          <w:szCs w:val="20"/>
        </w:rPr>
        <w:t>/</w:t>
      </w:r>
      <w:proofErr w:type="spellStart"/>
      <w:r w:rsidRPr="5D8904BE">
        <w:rPr>
          <w:rFonts w:eastAsia="SimSun" w:cs="Times New Roman"/>
          <w:sz w:val="20"/>
          <w:szCs w:val="20"/>
        </w:rPr>
        <w:t>subcontracts</w:t>
      </w:r>
      <w:proofErr w:type="spellEnd"/>
      <w:r w:rsidRPr="5D8904BE">
        <w:rPr>
          <w:rFonts w:eastAsia="SimSun" w:cs="Times New Roman"/>
          <w:sz w:val="20"/>
          <w:szCs w:val="20"/>
        </w:rPr>
        <w:t xml:space="preserve"> </w:t>
      </w:r>
    </w:p>
    <w:p w14:paraId="4CE951AA" w14:textId="77777777" w:rsidR="00C627BF" w:rsidRPr="00485F0E" w:rsidRDefault="00C627BF" w:rsidP="001360BB">
      <w:pPr>
        <w:numPr>
          <w:ilvl w:val="0"/>
          <w:numId w:val="288"/>
        </w:numPr>
        <w:spacing w:after="0" w:line="360" w:lineRule="auto"/>
        <w:jc w:val="both"/>
        <w:rPr>
          <w:rFonts w:eastAsia="SimSun" w:cs="Times New Roman"/>
          <w:sz w:val="20"/>
          <w:szCs w:val="24"/>
        </w:rPr>
      </w:pPr>
      <w:r w:rsidRPr="00485F0E">
        <w:rPr>
          <w:rFonts w:eastAsia="SimSun" w:cs="Times New Roman"/>
          <w:sz w:val="20"/>
          <w:szCs w:val="24"/>
        </w:rPr>
        <w:t xml:space="preserve">Stakeholder Engagement Plan </w:t>
      </w:r>
    </w:p>
    <w:p w14:paraId="2DEED401" w14:textId="372C13BD" w:rsidR="00C627BF" w:rsidRPr="006F5E1D" w:rsidRDefault="78E8A9D2" w:rsidP="001360BB">
      <w:pPr>
        <w:numPr>
          <w:ilvl w:val="0"/>
          <w:numId w:val="288"/>
        </w:numPr>
        <w:spacing w:after="0" w:line="240" w:lineRule="auto"/>
        <w:jc w:val="both"/>
        <w:rPr>
          <w:rFonts w:eastAsia="SimSun" w:cs="Arial"/>
          <w:color w:val="BFBFBF" w:themeColor="background1" w:themeShade="BF"/>
          <w:sz w:val="20"/>
          <w:szCs w:val="20"/>
          <w:lang w:val="en-US"/>
        </w:rPr>
      </w:pPr>
      <w:r w:rsidRPr="006F5E1D">
        <w:rPr>
          <w:rFonts w:eastAsia="SimSun" w:cs="Arial"/>
          <w:color w:val="BFBFBF" w:themeColor="background1" w:themeShade="BF"/>
          <w:sz w:val="20"/>
          <w:szCs w:val="20"/>
          <w:lang w:val="en-US"/>
        </w:rPr>
        <w:t>Environmental Social Management Framework (ESMF) or other SES frameworks/plans including the Project’s GRM, if required</w:t>
      </w:r>
      <w:r w:rsidR="75DD25D4" w:rsidRPr="006F5E1D">
        <w:rPr>
          <w:rFonts w:eastAsia="SimSun" w:cs="Arial"/>
          <w:color w:val="BFBFBF" w:themeColor="background1" w:themeShade="BF"/>
          <w:sz w:val="20"/>
          <w:szCs w:val="20"/>
          <w:lang w:val="en-US"/>
        </w:rPr>
        <w:t>,</w:t>
      </w:r>
      <w:r w:rsidR="75DD25D4" w:rsidRPr="006F5E1D">
        <w:rPr>
          <w:rFonts w:eastAsia="SimSun" w:cs="Arial"/>
          <w:b/>
          <w:bCs/>
          <w:color w:val="BFBFBF" w:themeColor="background1" w:themeShade="BF"/>
          <w:sz w:val="20"/>
          <w:szCs w:val="20"/>
          <w:lang w:val="en-US"/>
        </w:rPr>
        <w:t xml:space="preserve"> NA</w:t>
      </w:r>
    </w:p>
    <w:p w14:paraId="3E47FDC2" w14:textId="77777777" w:rsidR="00C627BF" w:rsidRPr="00C627BF" w:rsidRDefault="00C627BF" w:rsidP="00C627BF">
      <w:pPr>
        <w:spacing w:after="0" w:line="240" w:lineRule="auto"/>
        <w:ind w:left="360"/>
        <w:jc w:val="both"/>
        <w:rPr>
          <w:rFonts w:eastAsia="SimSun" w:cs="Arial"/>
          <w:sz w:val="20"/>
          <w:szCs w:val="20"/>
          <w:lang w:val="en-US"/>
        </w:rPr>
      </w:pPr>
    </w:p>
    <w:p w14:paraId="029EAB1C" w14:textId="77777777" w:rsidR="00C627BF" w:rsidRPr="00C627BF" w:rsidRDefault="00C627BF" w:rsidP="001360BB">
      <w:pPr>
        <w:numPr>
          <w:ilvl w:val="0"/>
          <w:numId w:val="288"/>
        </w:numPr>
        <w:spacing w:after="0" w:line="360" w:lineRule="auto"/>
        <w:jc w:val="both"/>
        <w:rPr>
          <w:rFonts w:eastAsia="SimSun"/>
          <w:sz w:val="20"/>
          <w:szCs w:val="20"/>
          <w:lang w:val="en-US"/>
        </w:rPr>
      </w:pPr>
      <w:r w:rsidRPr="00C627BF">
        <w:rPr>
          <w:rFonts w:eastAsia="SimSun"/>
          <w:sz w:val="20"/>
          <w:szCs w:val="20"/>
          <w:lang w:val="en-US"/>
        </w:rPr>
        <w:t xml:space="preserve">Gender Analysis and Gender Action Plan </w:t>
      </w:r>
    </w:p>
    <w:p w14:paraId="1C16FF41" w14:textId="77777777" w:rsidR="00C627BF" w:rsidRPr="00C627BF" w:rsidRDefault="78E8A9D2" w:rsidP="001360BB">
      <w:pPr>
        <w:numPr>
          <w:ilvl w:val="0"/>
          <w:numId w:val="288"/>
        </w:numPr>
        <w:spacing w:after="0" w:line="360" w:lineRule="auto"/>
        <w:jc w:val="both"/>
        <w:rPr>
          <w:rFonts w:eastAsia="SimSun"/>
          <w:sz w:val="20"/>
          <w:szCs w:val="20"/>
          <w:lang w:val="en-US"/>
        </w:rPr>
      </w:pPr>
      <w:r w:rsidRPr="5D8904BE">
        <w:rPr>
          <w:rFonts w:eastAsia="SimSun"/>
          <w:sz w:val="20"/>
          <w:szCs w:val="20"/>
          <w:lang w:val="en-US"/>
        </w:rPr>
        <w:t xml:space="preserve">Procurement Plan – for first year of implementation especially GEF focal area specific annexes (e.g. METT, GHG calculations, target landscape profile, feasibility study, other technical reports) </w:t>
      </w:r>
    </w:p>
    <w:p w14:paraId="394B2F4B" w14:textId="44A2CD78" w:rsidR="00C627BF" w:rsidRPr="006F5E1D" w:rsidRDefault="7E16D106" w:rsidP="001360BB">
      <w:pPr>
        <w:numPr>
          <w:ilvl w:val="0"/>
          <w:numId w:val="288"/>
        </w:numPr>
        <w:spacing w:after="0" w:line="360" w:lineRule="auto"/>
        <w:jc w:val="both"/>
        <w:rPr>
          <w:rFonts w:eastAsia="SimSun"/>
          <w:b/>
          <w:bCs/>
          <w:color w:val="BFBFBF" w:themeColor="background1" w:themeShade="BF"/>
          <w:sz w:val="20"/>
          <w:szCs w:val="20"/>
          <w:lang w:val="en-US"/>
        </w:rPr>
      </w:pPr>
      <w:r w:rsidRPr="006F5E1D">
        <w:rPr>
          <w:rFonts w:eastAsia="SimSun"/>
          <w:color w:val="BFBFBF" w:themeColor="background1" w:themeShade="BF"/>
          <w:sz w:val="20"/>
          <w:szCs w:val="20"/>
          <w:lang w:val="en-US"/>
        </w:rPr>
        <w:t xml:space="preserve">Additional agreements: such as cost sharing agreements, project cooperation agreements signed with NGOs (where the NGO is designated as the “executing entity”), letters of financial commitments </w:t>
      </w:r>
      <w:proofErr w:type="gramStart"/>
      <w:r w:rsidRPr="006F5E1D">
        <w:rPr>
          <w:rFonts w:eastAsia="SimSun"/>
          <w:color w:val="BFBFBF" w:themeColor="background1" w:themeShade="BF"/>
          <w:sz w:val="20"/>
          <w:szCs w:val="20"/>
          <w:lang w:val="en-US"/>
        </w:rPr>
        <w:t>etc..</w:t>
      </w:r>
      <w:proofErr w:type="gramEnd"/>
      <w:r w:rsidR="758E854B" w:rsidRPr="006F5E1D">
        <w:rPr>
          <w:rFonts w:eastAsia="SimSun"/>
          <w:color w:val="BFBFBF" w:themeColor="background1" w:themeShade="BF"/>
          <w:sz w:val="20"/>
          <w:szCs w:val="20"/>
          <w:lang w:val="en-US"/>
        </w:rPr>
        <w:t xml:space="preserve"> </w:t>
      </w:r>
      <w:r w:rsidR="758E854B" w:rsidRPr="006F5E1D">
        <w:rPr>
          <w:rFonts w:eastAsia="SimSun"/>
          <w:b/>
          <w:bCs/>
          <w:color w:val="BFBFBF" w:themeColor="background1" w:themeShade="BF"/>
          <w:sz w:val="20"/>
          <w:szCs w:val="20"/>
          <w:lang w:val="en-US"/>
        </w:rPr>
        <w:t>NA</w:t>
      </w:r>
    </w:p>
    <w:p w14:paraId="14621017" w14:textId="5492FBB5" w:rsidR="00C627BF" w:rsidRPr="006F5E1D" w:rsidRDefault="7E16D106" w:rsidP="001360BB">
      <w:pPr>
        <w:numPr>
          <w:ilvl w:val="0"/>
          <w:numId w:val="288"/>
        </w:numPr>
        <w:spacing w:after="0" w:line="360" w:lineRule="auto"/>
        <w:jc w:val="both"/>
        <w:rPr>
          <w:rFonts w:eastAsia="SimSun"/>
          <w:b/>
          <w:bCs/>
          <w:color w:val="BFBFBF" w:themeColor="background1" w:themeShade="BF"/>
          <w:sz w:val="20"/>
          <w:szCs w:val="20"/>
          <w:lang w:val="en-US"/>
        </w:rPr>
      </w:pPr>
      <w:r w:rsidRPr="006F5E1D">
        <w:rPr>
          <w:rFonts w:eastAsia="SimSun"/>
          <w:color w:val="BFBFBF" w:themeColor="background1" w:themeShade="BF"/>
          <w:sz w:val="20"/>
          <w:szCs w:val="20"/>
          <w:lang w:val="en-US"/>
        </w:rPr>
        <w:t>Signed LOA between UNDP and IP requesting UNDP Support Services (if required on exceptional basis and authorized by the GEF)</w:t>
      </w:r>
      <w:r w:rsidR="3EE675D2" w:rsidRPr="006F5E1D">
        <w:rPr>
          <w:rFonts w:eastAsia="SimSun"/>
          <w:color w:val="BFBFBF" w:themeColor="background1" w:themeShade="BF"/>
          <w:sz w:val="20"/>
          <w:szCs w:val="20"/>
          <w:lang w:val="en-US"/>
        </w:rPr>
        <w:t xml:space="preserve"> </w:t>
      </w:r>
      <w:r w:rsidR="3EE675D2" w:rsidRPr="006F5E1D">
        <w:rPr>
          <w:rFonts w:eastAsia="SimSun"/>
          <w:b/>
          <w:bCs/>
          <w:color w:val="BFBFBF" w:themeColor="background1" w:themeShade="BF"/>
          <w:sz w:val="20"/>
          <w:szCs w:val="20"/>
          <w:lang w:val="en-US"/>
        </w:rPr>
        <w:t>NA</w:t>
      </w:r>
    </w:p>
    <w:p w14:paraId="110FEC8B" w14:textId="77777777" w:rsidR="00C627BF" w:rsidRPr="00485F0E" w:rsidRDefault="78E8A9D2" w:rsidP="001360BB">
      <w:pPr>
        <w:numPr>
          <w:ilvl w:val="0"/>
          <w:numId w:val="288"/>
        </w:numPr>
        <w:spacing w:after="0" w:line="360" w:lineRule="auto"/>
        <w:jc w:val="both"/>
        <w:rPr>
          <w:rFonts w:eastAsia="SimSun"/>
          <w:sz w:val="20"/>
          <w:szCs w:val="20"/>
        </w:rPr>
      </w:pPr>
      <w:r w:rsidRPr="5D8904BE">
        <w:rPr>
          <w:rFonts w:eastAsia="SimSun"/>
          <w:sz w:val="20"/>
          <w:szCs w:val="20"/>
        </w:rPr>
        <w:t xml:space="preserve">GEF CEO </w:t>
      </w:r>
      <w:proofErr w:type="spellStart"/>
      <w:r w:rsidRPr="5D8904BE">
        <w:rPr>
          <w:rFonts w:eastAsia="SimSun"/>
          <w:sz w:val="20"/>
          <w:szCs w:val="20"/>
        </w:rPr>
        <w:t>Endorsement</w:t>
      </w:r>
      <w:proofErr w:type="spellEnd"/>
      <w:r w:rsidRPr="5D8904BE">
        <w:rPr>
          <w:rFonts w:eastAsia="SimSun"/>
          <w:sz w:val="20"/>
          <w:szCs w:val="20"/>
        </w:rPr>
        <w:t>/</w:t>
      </w:r>
      <w:proofErr w:type="spellStart"/>
      <w:r w:rsidRPr="5D8904BE">
        <w:rPr>
          <w:rFonts w:eastAsia="SimSun"/>
          <w:sz w:val="20"/>
          <w:szCs w:val="20"/>
        </w:rPr>
        <w:t>Approval</w:t>
      </w:r>
      <w:proofErr w:type="spellEnd"/>
      <w:r w:rsidRPr="5D8904BE">
        <w:rPr>
          <w:rFonts w:eastAsia="SimSun"/>
          <w:sz w:val="20"/>
          <w:szCs w:val="20"/>
        </w:rPr>
        <w:t xml:space="preserve"> </w:t>
      </w:r>
    </w:p>
    <w:p w14:paraId="2AF24E17" w14:textId="135FA0B9" w:rsidR="00C627BF" w:rsidRPr="006F5E1D" w:rsidRDefault="7E16D106" w:rsidP="001360BB">
      <w:pPr>
        <w:numPr>
          <w:ilvl w:val="0"/>
          <w:numId w:val="288"/>
        </w:numPr>
        <w:spacing w:after="0" w:line="360" w:lineRule="auto"/>
        <w:jc w:val="both"/>
        <w:rPr>
          <w:rFonts w:eastAsia="SimSun"/>
          <w:b/>
          <w:bCs/>
          <w:color w:val="BFBFBF" w:themeColor="background1" w:themeShade="BF"/>
          <w:sz w:val="20"/>
          <w:szCs w:val="20"/>
          <w:lang w:val="en-US"/>
        </w:rPr>
      </w:pPr>
      <w:r w:rsidRPr="006F5E1D">
        <w:rPr>
          <w:rFonts w:eastAsia="SimSun"/>
          <w:color w:val="BFBFBF" w:themeColor="background1" w:themeShade="BF"/>
          <w:sz w:val="20"/>
          <w:szCs w:val="20"/>
          <w:lang w:val="en-US"/>
        </w:rPr>
        <w:t>On-Granting Provisions Applicable to the Implementing Partner</w:t>
      </w:r>
      <w:r w:rsidR="212D34C3" w:rsidRPr="006F5E1D">
        <w:rPr>
          <w:rFonts w:eastAsia="SimSun"/>
          <w:color w:val="BFBFBF" w:themeColor="background1" w:themeShade="BF"/>
          <w:sz w:val="20"/>
          <w:szCs w:val="20"/>
          <w:lang w:val="en-US"/>
        </w:rPr>
        <w:t xml:space="preserve"> </w:t>
      </w:r>
      <w:r w:rsidR="212D34C3" w:rsidRPr="006F5E1D">
        <w:rPr>
          <w:rFonts w:eastAsia="SimSun"/>
          <w:b/>
          <w:bCs/>
          <w:color w:val="BFBFBF" w:themeColor="background1" w:themeShade="BF"/>
          <w:sz w:val="20"/>
          <w:szCs w:val="20"/>
          <w:lang w:val="en-US"/>
        </w:rPr>
        <w:t>NA</w:t>
      </w:r>
    </w:p>
    <w:p w14:paraId="2CAA87AC" w14:textId="77777777" w:rsidR="00C627BF" w:rsidRPr="00C627BF" w:rsidRDefault="00C627BF" w:rsidP="001360BB">
      <w:pPr>
        <w:numPr>
          <w:ilvl w:val="0"/>
          <w:numId w:val="288"/>
        </w:numPr>
        <w:spacing w:after="0" w:line="360" w:lineRule="auto"/>
        <w:jc w:val="both"/>
        <w:rPr>
          <w:rFonts w:eastAsia="SimSun"/>
          <w:sz w:val="20"/>
          <w:szCs w:val="20"/>
          <w:lang w:val="en-US"/>
        </w:rPr>
      </w:pPr>
      <w:r w:rsidRPr="00C627BF">
        <w:rPr>
          <w:rFonts w:eastAsia="SimSun"/>
          <w:sz w:val="20"/>
          <w:szCs w:val="20"/>
          <w:lang w:val="en-US"/>
        </w:rPr>
        <w:t>Terms of Reference for Project Board and Project Team</w:t>
      </w:r>
    </w:p>
    <w:p w14:paraId="617C62D6" w14:textId="38FBB483" w:rsidR="00C627BF" w:rsidRPr="00C627BF" w:rsidRDefault="7E16D106" w:rsidP="001360BB">
      <w:pPr>
        <w:numPr>
          <w:ilvl w:val="0"/>
          <w:numId w:val="288"/>
        </w:numPr>
        <w:spacing w:after="120" w:line="240" w:lineRule="auto"/>
        <w:jc w:val="both"/>
        <w:rPr>
          <w:rFonts w:eastAsia="SimSun" w:cs="Arial"/>
          <w:sz w:val="20"/>
          <w:szCs w:val="20"/>
          <w:lang w:val="en-US"/>
        </w:rPr>
      </w:pPr>
      <w:r w:rsidRPr="5D8904BE">
        <w:rPr>
          <w:rFonts w:eastAsia="SimSun" w:cs="Arial"/>
          <w:sz w:val="20"/>
          <w:szCs w:val="20"/>
          <w:lang w:val="en-US"/>
        </w:rPr>
        <w:t xml:space="preserve">GEF F Core indicators </w:t>
      </w:r>
    </w:p>
    <w:p w14:paraId="7BE88ECB" w14:textId="1CA18A2B" w:rsidR="00C627BF" w:rsidRPr="00C627BF" w:rsidRDefault="78E8A9D2" w:rsidP="001360BB">
      <w:pPr>
        <w:numPr>
          <w:ilvl w:val="0"/>
          <w:numId w:val="288"/>
        </w:numPr>
        <w:spacing w:after="120" w:line="240" w:lineRule="auto"/>
        <w:jc w:val="both"/>
        <w:rPr>
          <w:rFonts w:eastAsia="SimSun" w:cs="Arial"/>
          <w:sz w:val="20"/>
          <w:szCs w:val="20"/>
          <w:lang w:val="en-US"/>
        </w:rPr>
      </w:pPr>
      <w:r w:rsidRPr="5D8904BE">
        <w:rPr>
          <w:rFonts w:eastAsia="SimSun" w:cs="Arial"/>
          <w:sz w:val="20"/>
          <w:szCs w:val="20"/>
          <w:lang w:val="en-US"/>
        </w:rPr>
        <w:t xml:space="preserve">GEF Taxonomy </w:t>
      </w:r>
    </w:p>
    <w:p w14:paraId="53D90324" w14:textId="1659E4DA" w:rsidR="001C4DAE" w:rsidRPr="006F5E1D" w:rsidRDefault="00C627BF" w:rsidP="001360BB">
      <w:pPr>
        <w:numPr>
          <w:ilvl w:val="0"/>
          <w:numId w:val="288"/>
        </w:numPr>
        <w:spacing w:after="120" w:line="240" w:lineRule="auto"/>
        <w:jc w:val="both"/>
        <w:rPr>
          <w:lang w:val="en-US"/>
        </w:rPr>
      </w:pPr>
      <w:r w:rsidRPr="001C4DAE">
        <w:rPr>
          <w:rFonts w:eastAsia="SimSun"/>
          <w:sz w:val="20"/>
          <w:szCs w:val="20"/>
          <w:lang w:val="en-US"/>
        </w:rPr>
        <w:t>Results of the</w:t>
      </w:r>
      <w:r w:rsidRPr="001C4DAE">
        <w:rPr>
          <w:rFonts w:ascii="Times New Roman" w:eastAsia="SimSun" w:hAnsi="Times New Roman" w:cs="Times New Roman"/>
          <w:sz w:val="24"/>
          <w:szCs w:val="24"/>
          <w:lang w:val="en-US"/>
        </w:rPr>
        <w:t xml:space="preserve"> </w:t>
      </w:r>
      <w:r>
        <w:fldChar w:fldCharType="begin"/>
      </w:r>
      <w:r w:rsidRPr="00F50786">
        <w:rPr>
          <w:lang w:val="en-US"/>
          <w:rPrChange w:id="85" w:author="Ali Sambou" w:date="2026-01-06T13:25:00Z" w16du:dateUtc="2026-01-06T13:25:00Z">
            <w:rPr/>
          </w:rPrChange>
        </w:rPr>
        <w:instrText>HYPERLINK "https://jtouil-my.sharepoint.com/node/11526" \h</w:instrText>
      </w:r>
      <w:r>
        <w:fldChar w:fldCharType="separate"/>
      </w:r>
      <w:r w:rsidRPr="001C4DAE">
        <w:rPr>
          <w:rFonts w:eastAsia="SimSun" w:cs="Arial"/>
          <w:color w:val="0000FF"/>
          <w:sz w:val="20"/>
          <w:szCs w:val="20"/>
          <w:u w:val="single"/>
          <w:lang w:val="en-US"/>
        </w:rPr>
        <w:t>Partners Capacity Assessment Tool (PCAT) and HACT Micro Assessment</w:t>
      </w:r>
      <w:r>
        <w:fldChar w:fldCharType="end"/>
      </w:r>
      <w:r w:rsidRPr="001C4DAE">
        <w:rPr>
          <w:rFonts w:eastAsia="SimSun" w:cs="Arial"/>
          <w:sz w:val="20"/>
          <w:szCs w:val="20"/>
          <w:u w:val="single"/>
          <w:lang w:val="en-US"/>
        </w:rPr>
        <w:t xml:space="preserve"> </w:t>
      </w:r>
    </w:p>
    <w:p w14:paraId="0984F3E4" w14:textId="5353E084" w:rsidR="3C8408A9" w:rsidRPr="001C4DAE" w:rsidRDefault="00C627BF" w:rsidP="001360BB">
      <w:pPr>
        <w:numPr>
          <w:ilvl w:val="0"/>
          <w:numId w:val="288"/>
        </w:numPr>
        <w:spacing w:after="120" w:line="240" w:lineRule="auto"/>
        <w:jc w:val="both"/>
        <w:rPr>
          <w:lang w:val="en-US"/>
        </w:rPr>
      </w:pPr>
      <w:r w:rsidRPr="001C4DAE">
        <w:rPr>
          <w:rFonts w:eastAsia="SimSun" w:cs="Arial"/>
          <w:sz w:val="20"/>
          <w:szCs w:val="20"/>
          <w:lang w:val="en-US"/>
        </w:rPr>
        <w:t>UNDP Project Quality Assurance Report (to be completed in UNDP online corporate planning system</w:t>
      </w:r>
    </w:p>
    <w:p w14:paraId="1E988CDF" w14:textId="5030E5C5" w:rsidR="3C8408A9" w:rsidRPr="00B7771B" w:rsidRDefault="3C8408A9">
      <w:pPr>
        <w:rPr>
          <w:lang w:val="en-US"/>
        </w:rPr>
      </w:pPr>
    </w:p>
    <w:p w14:paraId="00000CBB" w14:textId="77777777" w:rsidR="004F7DB3" w:rsidRPr="00B7771B" w:rsidRDefault="004F7DB3">
      <w:pPr>
        <w:spacing w:after="240" w:line="240" w:lineRule="auto"/>
        <w:jc w:val="both"/>
        <w:rPr>
          <w:b/>
          <w:i/>
          <w:sz w:val="20"/>
          <w:szCs w:val="20"/>
          <w:u w:val="single"/>
          <w:lang w:val="en-US"/>
        </w:rPr>
        <w:sectPr w:rsidR="004F7DB3" w:rsidRPr="00B7771B">
          <w:headerReference w:type="first" r:id="rId51"/>
          <w:pgSz w:w="11906" w:h="16838"/>
          <w:pgMar w:top="1418" w:right="1418" w:bottom="1418" w:left="1418" w:header="720" w:footer="720" w:gutter="0"/>
          <w:cols w:space="720"/>
        </w:sectPr>
      </w:pPr>
    </w:p>
    <w:p w14:paraId="00000CBC" w14:textId="77777777" w:rsidR="004F7DB3" w:rsidRPr="006F5E1D" w:rsidRDefault="552CE4D7" w:rsidP="006F5E1D">
      <w:pPr>
        <w:pStyle w:val="Titre3"/>
        <w:rPr>
          <w:sz w:val="22"/>
          <w:szCs w:val="22"/>
          <w:lang w:val="en-US"/>
        </w:rPr>
      </w:pPr>
      <w:bookmarkStart w:id="86" w:name="_Toc1793026113"/>
      <w:bookmarkStart w:id="87" w:name="_Toc200477847"/>
      <w:r w:rsidRPr="031F3879">
        <w:rPr>
          <w:sz w:val="22"/>
          <w:szCs w:val="22"/>
          <w:lang w:val="en-US"/>
        </w:rPr>
        <w:lastRenderedPageBreak/>
        <w:t>Annex 1: GEF Budget Template</w:t>
      </w:r>
      <w:bookmarkEnd w:id="86"/>
      <w:bookmarkEnd w:id="87"/>
      <w:r w:rsidRPr="031F3879">
        <w:rPr>
          <w:sz w:val="22"/>
          <w:szCs w:val="22"/>
          <w:lang w:val="en-US"/>
        </w:rPr>
        <w:t xml:space="preserve"> </w:t>
      </w:r>
    </w:p>
    <w:p w14:paraId="74CF5B4B" w14:textId="7C104585" w:rsidR="00B13FBB" w:rsidRDefault="00B13FBB">
      <w:pPr>
        <w:spacing w:after="60" w:line="240" w:lineRule="auto"/>
        <w:jc w:val="both"/>
        <w:rPr>
          <w:sz w:val="20"/>
          <w:szCs w:val="20"/>
          <w:lang w:val="en-US"/>
        </w:rPr>
      </w:pPr>
    </w:p>
    <w:p w14:paraId="1D05E31E" w14:textId="0E12067A" w:rsidR="031F3879" w:rsidRDefault="031F3879" w:rsidP="031F3879">
      <w:pPr>
        <w:spacing w:after="60" w:line="240" w:lineRule="auto"/>
        <w:jc w:val="both"/>
        <w:rPr>
          <w:sz w:val="20"/>
          <w:szCs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6"/>
        <w:gridCol w:w="1850"/>
        <w:gridCol w:w="2543"/>
        <w:gridCol w:w="1775"/>
        <w:gridCol w:w="1779"/>
        <w:gridCol w:w="1775"/>
        <w:gridCol w:w="1347"/>
        <w:gridCol w:w="1485"/>
        <w:gridCol w:w="1859"/>
      </w:tblGrid>
      <w:tr w:rsidR="004A3EAF" w:rsidRPr="00004DA9" w14:paraId="228ADE99" w14:textId="77777777" w:rsidTr="004A3EAF">
        <w:trPr>
          <w:trHeight w:val="915"/>
        </w:trPr>
        <w:tc>
          <w:tcPr>
            <w:tcW w:w="1565" w:type="pct"/>
            <w:vMerge w:val="restart"/>
            <w:shd w:val="clear" w:color="000000" w:fill="DAE9F8"/>
            <w:vAlign w:val="center"/>
            <w:hideMark/>
          </w:tcPr>
          <w:p w14:paraId="3459DBA7" w14:textId="77777777" w:rsidR="004A3EAF" w:rsidRPr="00004DA9" w:rsidRDefault="004A3EAF" w:rsidP="0067547D">
            <w:pPr>
              <w:spacing w:after="0" w:line="240" w:lineRule="auto"/>
              <w:jc w:val="center"/>
              <w:rPr>
                <w:rFonts w:ascii="Aptos Narrow" w:eastAsia="Times New Roman" w:hAnsi="Aptos Narrow" w:cs="Times New Roman"/>
                <w:b/>
                <w:bCs/>
                <w:color w:val="000000"/>
                <w:sz w:val="14"/>
                <w:szCs w:val="14"/>
              </w:rPr>
            </w:pPr>
            <w:proofErr w:type="spellStart"/>
            <w:r w:rsidRPr="00004DA9">
              <w:rPr>
                <w:rFonts w:ascii="Aptos Narrow" w:eastAsia="Times New Roman" w:hAnsi="Aptos Narrow" w:cs="Times New Roman"/>
                <w:b/>
                <w:bCs/>
                <w:color w:val="000000"/>
                <w:sz w:val="14"/>
                <w:szCs w:val="14"/>
              </w:rPr>
              <w:t>Detailed</w:t>
            </w:r>
            <w:proofErr w:type="spellEnd"/>
            <w:r w:rsidRPr="00004DA9">
              <w:rPr>
                <w:rFonts w:ascii="Aptos Narrow" w:eastAsia="Times New Roman" w:hAnsi="Aptos Narrow" w:cs="Times New Roman"/>
                <w:b/>
                <w:bCs/>
                <w:color w:val="000000"/>
                <w:sz w:val="14"/>
                <w:szCs w:val="14"/>
              </w:rPr>
              <w:t xml:space="preserve"> Description</w:t>
            </w:r>
          </w:p>
        </w:tc>
        <w:tc>
          <w:tcPr>
            <w:tcW w:w="1894" w:type="pct"/>
            <w:gridSpan w:val="4"/>
            <w:shd w:val="clear" w:color="000000" w:fill="DAE9F8"/>
            <w:vAlign w:val="center"/>
            <w:hideMark/>
          </w:tcPr>
          <w:p w14:paraId="764C5401" w14:textId="77777777" w:rsidR="004A3EAF" w:rsidRPr="00004DA9" w:rsidRDefault="004A3EAF" w:rsidP="0067547D">
            <w:pPr>
              <w:spacing w:after="0" w:line="240" w:lineRule="auto"/>
              <w:jc w:val="center"/>
              <w:rPr>
                <w:rFonts w:ascii="Aptos Narrow" w:eastAsia="Times New Roman" w:hAnsi="Aptos Narrow" w:cs="Times New Roman"/>
                <w:b/>
                <w:bCs/>
                <w:color w:val="000000"/>
                <w:sz w:val="14"/>
                <w:szCs w:val="14"/>
              </w:rPr>
            </w:pPr>
            <w:r w:rsidRPr="00004DA9">
              <w:rPr>
                <w:rFonts w:ascii="Aptos Narrow" w:eastAsia="Times New Roman" w:hAnsi="Aptos Narrow" w:cs="Times New Roman"/>
                <w:b/>
                <w:bCs/>
                <w:color w:val="000000"/>
                <w:sz w:val="14"/>
                <w:szCs w:val="14"/>
              </w:rPr>
              <w:t> </w:t>
            </w:r>
          </w:p>
        </w:tc>
        <w:tc>
          <w:tcPr>
            <w:tcW w:w="1098" w:type="pct"/>
            <w:gridSpan w:val="3"/>
            <w:shd w:val="clear" w:color="000000" w:fill="DAE9F8"/>
            <w:vAlign w:val="center"/>
            <w:hideMark/>
          </w:tcPr>
          <w:p w14:paraId="693FAF5C" w14:textId="77777777" w:rsidR="004A3EAF" w:rsidRPr="00004DA9" w:rsidRDefault="004A3EAF" w:rsidP="0067547D">
            <w:pPr>
              <w:spacing w:after="0" w:line="240" w:lineRule="auto"/>
              <w:jc w:val="center"/>
              <w:rPr>
                <w:rFonts w:ascii="Aptos Narrow" w:eastAsia="Times New Roman" w:hAnsi="Aptos Narrow" w:cs="Times New Roman"/>
                <w:b/>
                <w:bCs/>
                <w:color w:val="000000"/>
                <w:sz w:val="14"/>
                <w:szCs w:val="14"/>
              </w:rPr>
            </w:pPr>
            <w:r w:rsidRPr="00004DA9">
              <w:rPr>
                <w:rFonts w:ascii="Aptos Narrow" w:eastAsia="Times New Roman" w:hAnsi="Aptos Narrow" w:cs="Times New Roman"/>
                <w:b/>
                <w:bCs/>
                <w:color w:val="000000"/>
                <w:sz w:val="14"/>
                <w:szCs w:val="14"/>
              </w:rPr>
              <w:t> </w:t>
            </w:r>
          </w:p>
        </w:tc>
        <w:tc>
          <w:tcPr>
            <w:tcW w:w="443" w:type="pct"/>
            <w:shd w:val="clear" w:color="000000" w:fill="DAE9F8"/>
            <w:vAlign w:val="center"/>
            <w:hideMark/>
          </w:tcPr>
          <w:p w14:paraId="4B374625" w14:textId="77777777" w:rsidR="004A3EAF" w:rsidRPr="00004DA9" w:rsidRDefault="004A3EAF" w:rsidP="0067547D">
            <w:pPr>
              <w:spacing w:after="0" w:line="240" w:lineRule="auto"/>
              <w:jc w:val="center"/>
              <w:rPr>
                <w:rFonts w:ascii="Aptos Narrow" w:eastAsia="Times New Roman" w:hAnsi="Aptos Narrow" w:cs="Times New Roman"/>
                <w:b/>
                <w:bCs/>
                <w:color w:val="000000"/>
                <w:sz w:val="14"/>
                <w:szCs w:val="14"/>
              </w:rPr>
            </w:pPr>
            <w:proofErr w:type="spellStart"/>
            <w:r w:rsidRPr="00004DA9">
              <w:rPr>
                <w:rFonts w:ascii="Aptos Narrow" w:eastAsia="Times New Roman" w:hAnsi="Aptos Narrow" w:cs="Times New Roman"/>
                <w:b/>
                <w:bCs/>
                <w:color w:val="000000"/>
                <w:sz w:val="14"/>
                <w:szCs w:val="14"/>
              </w:rPr>
              <w:t>Responsible</w:t>
            </w:r>
            <w:proofErr w:type="spellEnd"/>
            <w:r w:rsidRPr="00004DA9">
              <w:rPr>
                <w:rFonts w:ascii="Aptos Narrow" w:eastAsia="Times New Roman" w:hAnsi="Aptos Narrow" w:cs="Times New Roman"/>
                <w:b/>
                <w:bCs/>
                <w:color w:val="000000"/>
                <w:sz w:val="14"/>
                <w:szCs w:val="14"/>
              </w:rPr>
              <w:t xml:space="preserve"> </w:t>
            </w:r>
            <w:proofErr w:type="spellStart"/>
            <w:r w:rsidRPr="00004DA9">
              <w:rPr>
                <w:rFonts w:ascii="Aptos Narrow" w:eastAsia="Times New Roman" w:hAnsi="Aptos Narrow" w:cs="Times New Roman"/>
                <w:b/>
                <w:bCs/>
                <w:color w:val="000000"/>
                <w:sz w:val="14"/>
                <w:szCs w:val="14"/>
              </w:rPr>
              <w:t>Entity</w:t>
            </w:r>
            <w:proofErr w:type="spellEnd"/>
          </w:p>
        </w:tc>
      </w:tr>
      <w:tr w:rsidR="004A3EAF" w:rsidRPr="00F50786" w14:paraId="68F7511B" w14:textId="77777777" w:rsidTr="004A3EAF">
        <w:trPr>
          <w:trHeight w:val="784"/>
        </w:trPr>
        <w:tc>
          <w:tcPr>
            <w:tcW w:w="1565" w:type="pct"/>
            <w:vMerge/>
            <w:vAlign w:val="center"/>
            <w:hideMark/>
          </w:tcPr>
          <w:p w14:paraId="448A4F4D" w14:textId="77777777" w:rsidR="004A3EAF" w:rsidRPr="00004DA9" w:rsidRDefault="004A3EAF" w:rsidP="0067547D">
            <w:pPr>
              <w:spacing w:after="0" w:line="240" w:lineRule="auto"/>
              <w:rPr>
                <w:rFonts w:ascii="Aptos Narrow" w:eastAsia="Times New Roman" w:hAnsi="Aptos Narrow" w:cs="Times New Roman"/>
                <w:b/>
                <w:bCs/>
                <w:color w:val="000000"/>
                <w:sz w:val="14"/>
                <w:szCs w:val="14"/>
              </w:rPr>
            </w:pPr>
          </w:p>
        </w:tc>
        <w:tc>
          <w:tcPr>
            <w:tcW w:w="441" w:type="pct"/>
            <w:shd w:val="clear" w:color="000000" w:fill="DAE9F8"/>
            <w:vAlign w:val="center"/>
            <w:hideMark/>
          </w:tcPr>
          <w:p w14:paraId="09110DE6" w14:textId="77777777" w:rsidR="004A3EAF" w:rsidRPr="00004DA9" w:rsidRDefault="004A3EAF" w:rsidP="0067547D">
            <w:pPr>
              <w:spacing w:after="0" w:line="240" w:lineRule="auto"/>
              <w:rPr>
                <w:rFonts w:ascii="Aptos Narrow" w:eastAsia="Times New Roman" w:hAnsi="Aptos Narrow" w:cs="Times New Roman"/>
                <w:b/>
                <w:bCs/>
                <w:i/>
                <w:iCs/>
                <w:color w:val="000000"/>
                <w:sz w:val="14"/>
                <w:szCs w:val="14"/>
              </w:rPr>
            </w:pPr>
            <w:r w:rsidRPr="00004DA9">
              <w:rPr>
                <w:rFonts w:ascii="Aptos Narrow" w:eastAsia="Times New Roman" w:hAnsi="Aptos Narrow" w:cs="Times New Roman"/>
                <w:b/>
                <w:bCs/>
                <w:i/>
                <w:iCs/>
                <w:color w:val="000000"/>
                <w:sz w:val="14"/>
                <w:szCs w:val="14"/>
              </w:rPr>
              <w:t>Component 1</w:t>
            </w:r>
          </w:p>
        </w:tc>
        <w:tc>
          <w:tcPr>
            <w:tcW w:w="606" w:type="pct"/>
            <w:shd w:val="clear" w:color="000000" w:fill="DAE9F8"/>
            <w:vAlign w:val="center"/>
            <w:hideMark/>
          </w:tcPr>
          <w:p w14:paraId="6E4EEA9F" w14:textId="77777777" w:rsidR="004A3EAF" w:rsidRPr="00004DA9" w:rsidRDefault="004A3EAF" w:rsidP="0067547D">
            <w:pPr>
              <w:spacing w:after="0" w:line="240" w:lineRule="auto"/>
              <w:rPr>
                <w:rFonts w:ascii="Aptos Narrow" w:eastAsia="Times New Roman" w:hAnsi="Aptos Narrow" w:cs="Times New Roman"/>
                <w:b/>
                <w:bCs/>
                <w:i/>
                <w:iCs/>
                <w:color w:val="000000"/>
                <w:sz w:val="14"/>
                <w:szCs w:val="14"/>
              </w:rPr>
            </w:pPr>
            <w:r w:rsidRPr="00004DA9">
              <w:rPr>
                <w:rFonts w:ascii="Aptos Narrow" w:eastAsia="Times New Roman" w:hAnsi="Aptos Narrow" w:cs="Times New Roman"/>
                <w:b/>
                <w:bCs/>
                <w:i/>
                <w:iCs/>
                <w:color w:val="000000"/>
                <w:sz w:val="14"/>
                <w:szCs w:val="14"/>
              </w:rPr>
              <w:t>Component 2</w:t>
            </w:r>
          </w:p>
        </w:tc>
        <w:tc>
          <w:tcPr>
            <w:tcW w:w="423" w:type="pct"/>
            <w:shd w:val="clear" w:color="000000" w:fill="DAE9F8"/>
            <w:vAlign w:val="center"/>
            <w:hideMark/>
          </w:tcPr>
          <w:p w14:paraId="648BCD32" w14:textId="77777777" w:rsidR="004A3EAF" w:rsidRPr="00004DA9" w:rsidRDefault="004A3EAF" w:rsidP="0067547D">
            <w:pPr>
              <w:spacing w:after="0" w:line="240" w:lineRule="auto"/>
              <w:rPr>
                <w:rFonts w:ascii="Aptos Narrow" w:eastAsia="Times New Roman" w:hAnsi="Aptos Narrow" w:cs="Times New Roman"/>
                <w:b/>
                <w:bCs/>
                <w:i/>
                <w:iCs/>
                <w:color w:val="000000"/>
                <w:sz w:val="14"/>
                <w:szCs w:val="14"/>
              </w:rPr>
            </w:pPr>
            <w:r w:rsidRPr="00004DA9">
              <w:rPr>
                <w:rFonts w:ascii="Aptos Narrow" w:eastAsia="Times New Roman" w:hAnsi="Aptos Narrow" w:cs="Times New Roman"/>
                <w:b/>
                <w:bCs/>
                <w:i/>
                <w:iCs/>
                <w:color w:val="000000"/>
                <w:sz w:val="14"/>
                <w:szCs w:val="14"/>
              </w:rPr>
              <w:t>Component 3</w:t>
            </w:r>
          </w:p>
        </w:tc>
        <w:tc>
          <w:tcPr>
            <w:tcW w:w="423" w:type="pct"/>
            <w:shd w:val="clear" w:color="000000" w:fill="DAE9F8"/>
            <w:vAlign w:val="center"/>
            <w:hideMark/>
          </w:tcPr>
          <w:p w14:paraId="624BE5AE" w14:textId="77777777" w:rsidR="004A3EAF" w:rsidRPr="00004DA9" w:rsidRDefault="004A3EAF" w:rsidP="0067547D">
            <w:pPr>
              <w:spacing w:after="0" w:line="240" w:lineRule="auto"/>
              <w:rPr>
                <w:rFonts w:ascii="Aptos Narrow" w:eastAsia="Times New Roman" w:hAnsi="Aptos Narrow" w:cs="Times New Roman"/>
                <w:b/>
                <w:bCs/>
                <w:i/>
                <w:iCs/>
                <w:color w:val="000000"/>
                <w:sz w:val="14"/>
                <w:szCs w:val="14"/>
              </w:rPr>
            </w:pPr>
            <w:r w:rsidRPr="00004DA9">
              <w:rPr>
                <w:rFonts w:ascii="Aptos Narrow" w:eastAsia="Times New Roman" w:hAnsi="Aptos Narrow" w:cs="Times New Roman"/>
                <w:b/>
                <w:bCs/>
                <w:i/>
                <w:iCs/>
                <w:color w:val="000000"/>
                <w:sz w:val="14"/>
                <w:szCs w:val="14"/>
              </w:rPr>
              <w:t>Component 4</w:t>
            </w:r>
          </w:p>
        </w:tc>
        <w:tc>
          <w:tcPr>
            <w:tcW w:w="423" w:type="pct"/>
            <w:shd w:val="clear" w:color="000000" w:fill="DAE9F8"/>
            <w:vAlign w:val="center"/>
            <w:hideMark/>
          </w:tcPr>
          <w:p w14:paraId="14B74158" w14:textId="77777777" w:rsidR="004A3EAF" w:rsidRPr="00004DA9" w:rsidRDefault="004A3EAF" w:rsidP="0067547D">
            <w:pPr>
              <w:spacing w:after="0" w:line="240" w:lineRule="auto"/>
              <w:rPr>
                <w:rFonts w:ascii="Aptos Narrow" w:eastAsia="Times New Roman" w:hAnsi="Aptos Narrow" w:cs="Times New Roman"/>
                <w:b/>
                <w:bCs/>
                <w:i/>
                <w:iCs/>
                <w:color w:val="000000"/>
                <w:sz w:val="14"/>
                <w:szCs w:val="14"/>
              </w:rPr>
            </w:pPr>
            <w:r w:rsidRPr="00004DA9">
              <w:rPr>
                <w:rFonts w:ascii="Aptos Narrow" w:eastAsia="Times New Roman" w:hAnsi="Aptos Narrow" w:cs="Times New Roman"/>
                <w:b/>
                <w:bCs/>
                <w:i/>
                <w:iCs/>
                <w:color w:val="000000"/>
                <w:sz w:val="14"/>
                <w:szCs w:val="14"/>
              </w:rPr>
              <w:t>Component 5 M&amp;E</w:t>
            </w:r>
          </w:p>
        </w:tc>
        <w:tc>
          <w:tcPr>
            <w:tcW w:w="321" w:type="pct"/>
            <w:vMerge w:val="restart"/>
            <w:shd w:val="clear" w:color="000000" w:fill="DAE9F8"/>
            <w:vAlign w:val="center"/>
            <w:hideMark/>
          </w:tcPr>
          <w:p w14:paraId="55528D7B" w14:textId="77777777" w:rsidR="004A3EAF" w:rsidRPr="00004DA9" w:rsidRDefault="004A3EAF" w:rsidP="0067547D">
            <w:pPr>
              <w:spacing w:after="0" w:line="240" w:lineRule="auto"/>
              <w:jc w:val="center"/>
              <w:rPr>
                <w:rFonts w:ascii="Aptos Narrow" w:eastAsia="Times New Roman" w:hAnsi="Aptos Narrow" w:cs="Times New Roman"/>
                <w:b/>
                <w:bCs/>
                <w:i/>
                <w:iCs/>
                <w:color w:val="000000"/>
                <w:sz w:val="14"/>
                <w:szCs w:val="14"/>
              </w:rPr>
            </w:pPr>
            <w:r w:rsidRPr="00004DA9">
              <w:rPr>
                <w:rFonts w:ascii="Aptos Narrow" w:eastAsia="Times New Roman" w:hAnsi="Aptos Narrow" w:cs="Times New Roman"/>
                <w:b/>
                <w:bCs/>
                <w:i/>
                <w:iCs/>
                <w:color w:val="000000"/>
                <w:sz w:val="14"/>
                <w:szCs w:val="14"/>
              </w:rPr>
              <w:t>PMC</w:t>
            </w:r>
          </w:p>
        </w:tc>
        <w:tc>
          <w:tcPr>
            <w:tcW w:w="354" w:type="pct"/>
            <w:vMerge w:val="restart"/>
            <w:shd w:val="clear" w:color="000000" w:fill="DAE9F8"/>
            <w:vAlign w:val="center"/>
            <w:hideMark/>
          </w:tcPr>
          <w:p w14:paraId="5B0A9095" w14:textId="77777777" w:rsidR="004A3EAF" w:rsidRPr="00004DA9" w:rsidRDefault="004A3EAF" w:rsidP="0067547D">
            <w:pPr>
              <w:spacing w:after="0" w:line="240" w:lineRule="auto"/>
              <w:jc w:val="center"/>
              <w:rPr>
                <w:rFonts w:ascii="Aptos Narrow" w:eastAsia="Times New Roman" w:hAnsi="Aptos Narrow" w:cs="Times New Roman"/>
                <w:b/>
                <w:bCs/>
                <w:color w:val="000000"/>
                <w:sz w:val="14"/>
                <w:szCs w:val="14"/>
              </w:rPr>
            </w:pPr>
            <w:r w:rsidRPr="00004DA9">
              <w:rPr>
                <w:rFonts w:ascii="Aptos Narrow" w:eastAsia="Times New Roman" w:hAnsi="Aptos Narrow" w:cs="Times New Roman"/>
                <w:b/>
                <w:bCs/>
                <w:color w:val="000000"/>
                <w:sz w:val="14"/>
                <w:szCs w:val="14"/>
              </w:rPr>
              <w:t>Total (</w:t>
            </w:r>
            <w:proofErr w:type="spellStart"/>
            <w:r w:rsidRPr="00004DA9">
              <w:rPr>
                <w:rFonts w:ascii="Aptos Narrow" w:eastAsia="Times New Roman" w:hAnsi="Aptos Narrow" w:cs="Times New Roman"/>
                <w:b/>
                <w:bCs/>
                <w:color w:val="000000"/>
                <w:sz w:val="14"/>
                <w:szCs w:val="14"/>
              </w:rPr>
              <w:t>USDeq</w:t>
            </w:r>
            <w:proofErr w:type="spellEnd"/>
            <w:r w:rsidRPr="00004DA9">
              <w:rPr>
                <w:rFonts w:ascii="Aptos Narrow" w:eastAsia="Times New Roman" w:hAnsi="Aptos Narrow" w:cs="Times New Roman"/>
                <w:b/>
                <w:bCs/>
                <w:color w:val="000000"/>
                <w:sz w:val="14"/>
                <w:szCs w:val="14"/>
              </w:rPr>
              <w:t>.)</w:t>
            </w:r>
          </w:p>
        </w:tc>
        <w:tc>
          <w:tcPr>
            <w:tcW w:w="443" w:type="pct"/>
            <w:vMerge w:val="restart"/>
            <w:shd w:val="clear" w:color="000000" w:fill="DAE9F8"/>
            <w:vAlign w:val="center"/>
            <w:hideMark/>
          </w:tcPr>
          <w:p w14:paraId="3F59895B" w14:textId="77777777" w:rsidR="004A3EAF" w:rsidRPr="004A3EAF" w:rsidRDefault="004A3EAF" w:rsidP="0067547D">
            <w:pPr>
              <w:spacing w:after="0" w:line="240" w:lineRule="auto"/>
              <w:jc w:val="center"/>
              <w:rPr>
                <w:rFonts w:ascii="Aptos Narrow" w:eastAsia="Times New Roman" w:hAnsi="Aptos Narrow" w:cs="Times New Roman"/>
                <w:color w:val="467886"/>
                <w:u w:val="single"/>
                <w:lang w:val="en-US"/>
              </w:rPr>
            </w:pPr>
            <w:r>
              <w:fldChar w:fldCharType="begin"/>
            </w:r>
            <w:r w:rsidRPr="00F50786">
              <w:rPr>
                <w:lang w:val="en-US"/>
                <w:rPrChange w:id="88" w:author="Ali Sambou" w:date="2026-01-06T13:25:00Z" w16du:dateUtc="2026-01-06T13:25:00Z">
                  <w:rPr/>
                </w:rPrChange>
              </w:rPr>
              <w:instrText>HYPERLINK "file:///C:\\Users\\thurangani.dahanayak\\AppData\\Local\\Microsoft\\Windows\\INetCache\\Content.MSO\\5C0117F9.xlsx" \l "Sheet1!_ftn1"</w:instrText>
            </w:r>
            <w:r>
              <w:fldChar w:fldCharType="separate"/>
            </w:r>
            <w:r w:rsidRPr="004A3EAF">
              <w:rPr>
                <w:rFonts w:ascii="Aptos Narrow" w:eastAsia="Times New Roman" w:hAnsi="Aptos Narrow" w:cs="Times New Roman"/>
                <w:b/>
                <w:bCs/>
                <w:color w:val="000000"/>
                <w:sz w:val="14"/>
                <w:szCs w:val="14"/>
                <w:lang w:val="en-US"/>
              </w:rPr>
              <w:t xml:space="preserve">(Executing Entity receiving funds from the GEF </w:t>
            </w:r>
            <w:proofErr w:type="gramStart"/>
            <w:r w:rsidRPr="004A3EAF">
              <w:rPr>
                <w:rFonts w:ascii="Aptos Narrow" w:eastAsia="Times New Roman" w:hAnsi="Aptos Narrow" w:cs="Times New Roman"/>
                <w:b/>
                <w:bCs/>
                <w:color w:val="000000"/>
                <w:sz w:val="14"/>
                <w:szCs w:val="14"/>
                <w:lang w:val="en-US"/>
              </w:rPr>
              <w:t>Agency)[</w:t>
            </w:r>
            <w:proofErr w:type="gramEnd"/>
            <w:r w:rsidRPr="004A3EAF">
              <w:rPr>
                <w:rFonts w:ascii="Aptos Narrow" w:eastAsia="Times New Roman" w:hAnsi="Aptos Narrow" w:cs="Times New Roman"/>
                <w:b/>
                <w:bCs/>
                <w:color w:val="000000"/>
                <w:sz w:val="14"/>
                <w:szCs w:val="14"/>
                <w:lang w:val="en-US"/>
              </w:rPr>
              <w:t>1]</w:t>
            </w:r>
            <w:r>
              <w:fldChar w:fldCharType="end"/>
            </w:r>
          </w:p>
        </w:tc>
      </w:tr>
      <w:tr w:rsidR="004A3EAF" w:rsidRPr="00004DA9" w14:paraId="2C28A250" w14:textId="77777777" w:rsidTr="004A3EAF">
        <w:trPr>
          <w:trHeight w:val="595"/>
        </w:trPr>
        <w:tc>
          <w:tcPr>
            <w:tcW w:w="1565" w:type="pct"/>
            <w:vMerge/>
            <w:vAlign w:val="center"/>
            <w:hideMark/>
          </w:tcPr>
          <w:p w14:paraId="72EF6BF8" w14:textId="77777777" w:rsidR="004A3EAF" w:rsidRPr="004A3EAF" w:rsidRDefault="004A3EAF" w:rsidP="0067547D">
            <w:pPr>
              <w:spacing w:after="0" w:line="240" w:lineRule="auto"/>
              <w:rPr>
                <w:rFonts w:ascii="Aptos Narrow" w:eastAsia="Times New Roman" w:hAnsi="Aptos Narrow" w:cs="Times New Roman"/>
                <w:b/>
                <w:bCs/>
                <w:color w:val="000000"/>
                <w:sz w:val="14"/>
                <w:szCs w:val="14"/>
                <w:lang w:val="en-US"/>
              </w:rPr>
            </w:pPr>
          </w:p>
        </w:tc>
        <w:tc>
          <w:tcPr>
            <w:tcW w:w="441" w:type="pct"/>
            <w:shd w:val="clear" w:color="000000" w:fill="DAE9F8"/>
            <w:vAlign w:val="center"/>
            <w:hideMark/>
          </w:tcPr>
          <w:p w14:paraId="660E1043" w14:textId="77777777" w:rsidR="004A3EAF" w:rsidRPr="00004DA9" w:rsidRDefault="004A3EAF" w:rsidP="0067547D">
            <w:pPr>
              <w:spacing w:after="0" w:line="240" w:lineRule="auto"/>
              <w:jc w:val="center"/>
              <w:rPr>
                <w:rFonts w:ascii="Aptos Narrow" w:eastAsia="Times New Roman" w:hAnsi="Aptos Narrow" w:cs="Times New Roman"/>
                <w:b/>
                <w:bCs/>
                <w:i/>
                <w:iCs/>
                <w:color w:val="000000"/>
                <w:sz w:val="14"/>
                <w:szCs w:val="14"/>
              </w:rPr>
            </w:pPr>
            <w:proofErr w:type="spellStart"/>
            <w:r w:rsidRPr="00004DA9">
              <w:rPr>
                <w:rFonts w:ascii="Aptos Narrow" w:eastAsia="Times New Roman" w:hAnsi="Aptos Narrow" w:cs="Times New Roman"/>
                <w:b/>
                <w:bCs/>
                <w:i/>
                <w:iCs/>
                <w:color w:val="000000"/>
                <w:sz w:val="14"/>
                <w:szCs w:val="14"/>
              </w:rPr>
              <w:t>Outcome</w:t>
            </w:r>
            <w:proofErr w:type="spellEnd"/>
            <w:r w:rsidRPr="00004DA9">
              <w:rPr>
                <w:rFonts w:ascii="Aptos Narrow" w:eastAsia="Times New Roman" w:hAnsi="Aptos Narrow" w:cs="Times New Roman"/>
                <w:b/>
                <w:bCs/>
                <w:i/>
                <w:iCs/>
                <w:color w:val="000000"/>
                <w:sz w:val="14"/>
                <w:szCs w:val="14"/>
              </w:rPr>
              <w:t xml:space="preserve"> 1.1 and 1.2</w:t>
            </w:r>
          </w:p>
        </w:tc>
        <w:tc>
          <w:tcPr>
            <w:tcW w:w="606" w:type="pct"/>
            <w:shd w:val="clear" w:color="000000" w:fill="DAE9F8"/>
            <w:vAlign w:val="center"/>
            <w:hideMark/>
          </w:tcPr>
          <w:p w14:paraId="4492CE41" w14:textId="77777777" w:rsidR="004A3EAF" w:rsidRPr="00004DA9" w:rsidRDefault="004A3EAF" w:rsidP="0067547D">
            <w:pPr>
              <w:spacing w:after="0" w:line="240" w:lineRule="auto"/>
              <w:rPr>
                <w:rFonts w:ascii="Aptos Narrow" w:eastAsia="Times New Roman" w:hAnsi="Aptos Narrow" w:cs="Times New Roman"/>
                <w:b/>
                <w:bCs/>
                <w:i/>
                <w:iCs/>
                <w:color w:val="000000"/>
                <w:sz w:val="14"/>
                <w:szCs w:val="14"/>
              </w:rPr>
            </w:pPr>
            <w:proofErr w:type="spellStart"/>
            <w:r w:rsidRPr="00004DA9">
              <w:rPr>
                <w:rFonts w:ascii="Aptos Narrow" w:eastAsia="Times New Roman" w:hAnsi="Aptos Narrow" w:cs="Times New Roman"/>
                <w:b/>
                <w:bCs/>
                <w:i/>
                <w:iCs/>
                <w:color w:val="000000"/>
                <w:sz w:val="14"/>
                <w:szCs w:val="14"/>
              </w:rPr>
              <w:t>Outcome</w:t>
            </w:r>
            <w:proofErr w:type="spellEnd"/>
            <w:r w:rsidRPr="00004DA9">
              <w:rPr>
                <w:rFonts w:ascii="Aptos Narrow" w:eastAsia="Times New Roman" w:hAnsi="Aptos Narrow" w:cs="Times New Roman"/>
                <w:b/>
                <w:bCs/>
                <w:i/>
                <w:iCs/>
                <w:color w:val="000000"/>
                <w:sz w:val="14"/>
                <w:szCs w:val="14"/>
              </w:rPr>
              <w:t xml:space="preserve"> 2.1</w:t>
            </w:r>
          </w:p>
        </w:tc>
        <w:tc>
          <w:tcPr>
            <w:tcW w:w="423" w:type="pct"/>
            <w:shd w:val="clear" w:color="000000" w:fill="DAE9F8"/>
            <w:vAlign w:val="center"/>
            <w:hideMark/>
          </w:tcPr>
          <w:p w14:paraId="4EFF6D60" w14:textId="77777777" w:rsidR="004A3EAF" w:rsidRPr="00004DA9" w:rsidRDefault="004A3EAF" w:rsidP="0067547D">
            <w:pPr>
              <w:spacing w:after="0" w:line="240" w:lineRule="auto"/>
              <w:rPr>
                <w:rFonts w:ascii="Aptos Narrow" w:eastAsia="Times New Roman" w:hAnsi="Aptos Narrow" w:cs="Times New Roman"/>
                <w:b/>
                <w:bCs/>
                <w:i/>
                <w:iCs/>
                <w:color w:val="000000"/>
                <w:sz w:val="14"/>
                <w:szCs w:val="14"/>
              </w:rPr>
            </w:pPr>
            <w:proofErr w:type="spellStart"/>
            <w:r w:rsidRPr="00004DA9">
              <w:rPr>
                <w:rFonts w:ascii="Aptos Narrow" w:eastAsia="Times New Roman" w:hAnsi="Aptos Narrow" w:cs="Times New Roman"/>
                <w:b/>
                <w:bCs/>
                <w:i/>
                <w:iCs/>
                <w:color w:val="000000"/>
                <w:sz w:val="14"/>
                <w:szCs w:val="14"/>
              </w:rPr>
              <w:t>Outcome</w:t>
            </w:r>
            <w:proofErr w:type="spellEnd"/>
            <w:r w:rsidRPr="00004DA9">
              <w:rPr>
                <w:rFonts w:ascii="Aptos Narrow" w:eastAsia="Times New Roman" w:hAnsi="Aptos Narrow" w:cs="Times New Roman"/>
                <w:b/>
                <w:bCs/>
                <w:i/>
                <w:iCs/>
                <w:color w:val="000000"/>
                <w:sz w:val="14"/>
                <w:szCs w:val="14"/>
              </w:rPr>
              <w:t xml:space="preserve"> 3.1</w:t>
            </w:r>
          </w:p>
        </w:tc>
        <w:tc>
          <w:tcPr>
            <w:tcW w:w="423" w:type="pct"/>
            <w:shd w:val="clear" w:color="000000" w:fill="DAE9F8"/>
            <w:vAlign w:val="center"/>
            <w:hideMark/>
          </w:tcPr>
          <w:p w14:paraId="3813ECF1" w14:textId="77777777" w:rsidR="004A3EAF" w:rsidRPr="00004DA9" w:rsidRDefault="004A3EAF" w:rsidP="0067547D">
            <w:pPr>
              <w:spacing w:after="0" w:line="240" w:lineRule="auto"/>
              <w:rPr>
                <w:rFonts w:ascii="Aptos Narrow" w:eastAsia="Times New Roman" w:hAnsi="Aptos Narrow" w:cs="Times New Roman"/>
                <w:b/>
                <w:bCs/>
                <w:i/>
                <w:iCs/>
                <w:color w:val="000000"/>
                <w:sz w:val="14"/>
                <w:szCs w:val="14"/>
              </w:rPr>
            </w:pPr>
            <w:proofErr w:type="spellStart"/>
            <w:r w:rsidRPr="00004DA9">
              <w:rPr>
                <w:rFonts w:ascii="Aptos Narrow" w:eastAsia="Times New Roman" w:hAnsi="Aptos Narrow" w:cs="Times New Roman"/>
                <w:b/>
                <w:bCs/>
                <w:i/>
                <w:iCs/>
                <w:color w:val="000000"/>
                <w:sz w:val="14"/>
                <w:szCs w:val="14"/>
              </w:rPr>
              <w:t>Outcome</w:t>
            </w:r>
            <w:proofErr w:type="spellEnd"/>
            <w:r w:rsidRPr="00004DA9">
              <w:rPr>
                <w:rFonts w:ascii="Aptos Narrow" w:eastAsia="Times New Roman" w:hAnsi="Aptos Narrow" w:cs="Times New Roman"/>
                <w:b/>
                <w:bCs/>
                <w:i/>
                <w:iCs/>
                <w:color w:val="000000"/>
                <w:sz w:val="14"/>
                <w:szCs w:val="14"/>
              </w:rPr>
              <w:t xml:space="preserve"> 4.1</w:t>
            </w:r>
          </w:p>
        </w:tc>
        <w:tc>
          <w:tcPr>
            <w:tcW w:w="423" w:type="pct"/>
            <w:shd w:val="clear" w:color="000000" w:fill="DAE9F8"/>
            <w:vAlign w:val="center"/>
            <w:hideMark/>
          </w:tcPr>
          <w:p w14:paraId="6F75B70F" w14:textId="77777777" w:rsidR="004A3EAF" w:rsidRPr="00004DA9" w:rsidRDefault="004A3EAF" w:rsidP="0067547D">
            <w:pPr>
              <w:spacing w:after="0" w:line="240" w:lineRule="auto"/>
              <w:rPr>
                <w:rFonts w:ascii="Aptos Narrow" w:eastAsia="Times New Roman" w:hAnsi="Aptos Narrow" w:cs="Times New Roman"/>
                <w:b/>
                <w:bCs/>
                <w:i/>
                <w:iCs/>
                <w:color w:val="000000"/>
                <w:sz w:val="14"/>
                <w:szCs w:val="14"/>
              </w:rPr>
            </w:pPr>
            <w:proofErr w:type="spellStart"/>
            <w:r w:rsidRPr="00004DA9">
              <w:rPr>
                <w:rFonts w:ascii="Aptos Narrow" w:eastAsia="Times New Roman" w:hAnsi="Aptos Narrow" w:cs="Times New Roman"/>
                <w:b/>
                <w:bCs/>
                <w:i/>
                <w:iCs/>
                <w:color w:val="000000"/>
                <w:sz w:val="14"/>
                <w:szCs w:val="14"/>
              </w:rPr>
              <w:t>Outcome</w:t>
            </w:r>
            <w:proofErr w:type="spellEnd"/>
            <w:r w:rsidRPr="00004DA9">
              <w:rPr>
                <w:rFonts w:ascii="Aptos Narrow" w:eastAsia="Times New Roman" w:hAnsi="Aptos Narrow" w:cs="Times New Roman"/>
                <w:b/>
                <w:bCs/>
                <w:i/>
                <w:iCs/>
                <w:color w:val="000000"/>
                <w:sz w:val="14"/>
                <w:szCs w:val="14"/>
              </w:rPr>
              <w:t xml:space="preserve"> M&amp;E</w:t>
            </w:r>
          </w:p>
        </w:tc>
        <w:tc>
          <w:tcPr>
            <w:tcW w:w="321" w:type="pct"/>
            <w:vMerge/>
            <w:vAlign w:val="center"/>
            <w:hideMark/>
          </w:tcPr>
          <w:p w14:paraId="11FCAEAB" w14:textId="77777777" w:rsidR="004A3EAF" w:rsidRPr="00004DA9" w:rsidRDefault="004A3EAF" w:rsidP="0067547D">
            <w:pPr>
              <w:spacing w:after="0" w:line="240" w:lineRule="auto"/>
              <w:rPr>
                <w:rFonts w:ascii="Aptos Narrow" w:eastAsia="Times New Roman" w:hAnsi="Aptos Narrow" w:cs="Times New Roman"/>
                <w:b/>
                <w:bCs/>
                <w:i/>
                <w:iCs/>
                <w:color w:val="000000"/>
                <w:sz w:val="14"/>
                <w:szCs w:val="14"/>
              </w:rPr>
            </w:pPr>
          </w:p>
        </w:tc>
        <w:tc>
          <w:tcPr>
            <w:tcW w:w="354" w:type="pct"/>
            <w:vMerge/>
            <w:vAlign w:val="center"/>
            <w:hideMark/>
          </w:tcPr>
          <w:p w14:paraId="25C57F1C" w14:textId="77777777" w:rsidR="004A3EAF" w:rsidRPr="00004DA9" w:rsidRDefault="004A3EAF" w:rsidP="0067547D">
            <w:pPr>
              <w:spacing w:after="0" w:line="240" w:lineRule="auto"/>
              <w:rPr>
                <w:rFonts w:ascii="Aptos Narrow" w:eastAsia="Times New Roman" w:hAnsi="Aptos Narrow" w:cs="Times New Roman"/>
                <w:b/>
                <w:bCs/>
                <w:color w:val="000000"/>
                <w:sz w:val="14"/>
                <w:szCs w:val="14"/>
              </w:rPr>
            </w:pPr>
          </w:p>
        </w:tc>
        <w:tc>
          <w:tcPr>
            <w:tcW w:w="443" w:type="pct"/>
            <w:vMerge/>
            <w:vAlign w:val="center"/>
            <w:hideMark/>
          </w:tcPr>
          <w:p w14:paraId="24AA165D" w14:textId="77777777" w:rsidR="004A3EAF" w:rsidRPr="00004DA9" w:rsidRDefault="004A3EAF" w:rsidP="0067547D">
            <w:pPr>
              <w:spacing w:after="0" w:line="240" w:lineRule="auto"/>
              <w:rPr>
                <w:rFonts w:ascii="Aptos Narrow" w:eastAsia="Times New Roman" w:hAnsi="Aptos Narrow" w:cs="Times New Roman"/>
                <w:color w:val="467886"/>
                <w:u w:val="single"/>
              </w:rPr>
            </w:pPr>
          </w:p>
        </w:tc>
      </w:tr>
      <w:tr w:rsidR="004A3EAF" w:rsidRPr="00004DA9" w14:paraId="53F9C659" w14:textId="77777777" w:rsidTr="004A3EAF">
        <w:trPr>
          <w:trHeight w:val="300"/>
        </w:trPr>
        <w:tc>
          <w:tcPr>
            <w:tcW w:w="1565" w:type="pct"/>
            <w:shd w:val="clear" w:color="000000" w:fill="C0E6F5"/>
            <w:vAlign w:val="center"/>
            <w:hideMark/>
          </w:tcPr>
          <w:p w14:paraId="2DE79734" w14:textId="77777777" w:rsidR="004A3EAF" w:rsidRPr="00004DA9" w:rsidRDefault="004A3EAF" w:rsidP="0067547D">
            <w:pPr>
              <w:spacing w:after="0" w:line="240" w:lineRule="auto"/>
              <w:rPr>
                <w:rFonts w:eastAsia="Times New Roman"/>
                <w:b/>
                <w:bCs/>
                <w:color w:val="000000"/>
                <w:sz w:val="14"/>
                <w:szCs w:val="14"/>
              </w:rPr>
            </w:pPr>
            <w:proofErr w:type="spellStart"/>
            <w:r w:rsidRPr="00004DA9">
              <w:rPr>
                <w:rFonts w:eastAsia="Times New Roman"/>
                <w:b/>
                <w:bCs/>
                <w:color w:val="000000"/>
                <w:sz w:val="14"/>
                <w:szCs w:val="14"/>
              </w:rPr>
              <w:t>Contractual</w:t>
            </w:r>
            <w:proofErr w:type="spellEnd"/>
            <w:r w:rsidRPr="00004DA9">
              <w:rPr>
                <w:rFonts w:eastAsia="Times New Roman"/>
                <w:b/>
                <w:bCs/>
                <w:color w:val="000000"/>
                <w:sz w:val="14"/>
                <w:szCs w:val="14"/>
              </w:rPr>
              <w:t xml:space="preserve"> Services </w:t>
            </w:r>
            <w:proofErr w:type="spellStart"/>
            <w:r w:rsidRPr="00004DA9">
              <w:rPr>
                <w:rFonts w:eastAsia="Times New Roman"/>
                <w:b/>
                <w:bCs/>
                <w:color w:val="000000"/>
                <w:sz w:val="14"/>
                <w:szCs w:val="14"/>
              </w:rPr>
              <w:t>Company</w:t>
            </w:r>
            <w:proofErr w:type="spellEnd"/>
          </w:p>
        </w:tc>
        <w:tc>
          <w:tcPr>
            <w:tcW w:w="441" w:type="pct"/>
            <w:shd w:val="clear" w:color="000000" w:fill="C0E6F5"/>
            <w:vAlign w:val="center"/>
            <w:hideMark/>
          </w:tcPr>
          <w:p w14:paraId="28A06BF3"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606" w:type="pct"/>
            <w:shd w:val="clear" w:color="000000" w:fill="C0E6F5"/>
            <w:vAlign w:val="center"/>
            <w:hideMark/>
          </w:tcPr>
          <w:p w14:paraId="2D5A1CC0"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750DB28F"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29881CB9"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65C2B9F3"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321" w:type="pct"/>
            <w:shd w:val="clear" w:color="000000" w:fill="C0E6F5"/>
            <w:vAlign w:val="center"/>
            <w:hideMark/>
          </w:tcPr>
          <w:p w14:paraId="7A6489D2"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354" w:type="pct"/>
            <w:shd w:val="clear" w:color="000000" w:fill="C0E6F5"/>
            <w:vAlign w:val="center"/>
            <w:hideMark/>
          </w:tcPr>
          <w:p w14:paraId="7E0848BA"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43" w:type="pct"/>
            <w:shd w:val="clear" w:color="000000" w:fill="C0E6F5"/>
            <w:vAlign w:val="center"/>
            <w:hideMark/>
          </w:tcPr>
          <w:p w14:paraId="1EDB0920"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r>
      <w:tr w:rsidR="004A3EAF" w:rsidRPr="00004DA9" w14:paraId="00ADD5B0" w14:textId="77777777" w:rsidTr="004A3EAF">
        <w:trPr>
          <w:trHeight w:val="360"/>
        </w:trPr>
        <w:tc>
          <w:tcPr>
            <w:tcW w:w="1565" w:type="pct"/>
            <w:shd w:val="clear" w:color="auto" w:fill="auto"/>
            <w:vAlign w:val="center"/>
            <w:hideMark/>
          </w:tcPr>
          <w:p w14:paraId="303B273D"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Consultancy firm to design and implement a Capacity-building program for private transport operators _ over 36 months</w:t>
            </w:r>
          </w:p>
        </w:tc>
        <w:tc>
          <w:tcPr>
            <w:tcW w:w="441" w:type="pct"/>
            <w:shd w:val="clear" w:color="auto" w:fill="auto"/>
            <w:noWrap/>
            <w:vAlign w:val="bottom"/>
            <w:hideMark/>
          </w:tcPr>
          <w:p w14:paraId="685D2001" w14:textId="77777777" w:rsidR="004A3EAF" w:rsidRPr="004A3EAF" w:rsidRDefault="004A3EAF" w:rsidP="0067547D">
            <w:pPr>
              <w:spacing w:after="0" w:line="240" w:lineRule="auto"/>
              <w:rPr>
                <w:rFonts w:ascii="Aptos Narrow" w:eastAsia="Times New Roman" w:hAnsi="Aptos Narrow" w:cs="Times New Roman"/>
                <w:color w:val="000000"/>
                <w:lang w:val="en-US"/>
              </w:rPr>
            </w:pPr>
            <w:r w:rsidRPr="004A3EAF">
              <w:rPr>
                <w:rFonts w:ascii="Aptos Narrow" w:eastAsia="Times New Roman" w:hAnsi="Aptos Narrow" w:cs="Times New Roman"/>
                <w:color w:val="000000"/>
                <w:lang w:val="en-US"/>
              </w:rPr>
              <w:t> </w:t>
            </w:r>
          </w:p>
        </w:tc>
        <w:tc>
          <w:tcPr>
            <w:tcW w:w="606" w:type="pct"/>
            <w:shd w:val="clear" w:color="auto" w:fill="auto"/>
            <w:noWrap/>
            <w:vAlign w:val="center"/>
            <w:hideMark/>
          </w:tcPr>
          <w:p w14:paraId="57A1C631"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150000</w:t>
            </w:r>
          </w:p>
        </w:tc>
        <w:tc>
          <w:tcPr>
            <w:tcW w:w="423" w:type="pct"/>
            <w:shd w:val="clear" w:color="auto" w:fill="auto"/>
            <w:noWrap/>
            <w:vAlign w:val="center"/>
            <w:hideMark/>
          </w:tcPr>
          <w:p w14:paraId="743D1AF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741704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47CD36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53C78D3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2981F6B6"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150,000</w:t>
            </w:r>
          </w:p>
        </w:tc>
        <w:tc>
          <w:tcPr>
            <w:tcW w:w="443" w:type="pct"/>
            <w:shd w:val="clear" w:color="auto" w:fill="auto"/>
            <w:noWrap/>
            <w:vAlign w:val="center"/>
            <w:hideMark/>
          </w:tcPr>
          <w:p w14:paraId="79E27BA1"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551B7F1E" w14:textId="77777777" w:rsidTr="004A3EAF">
        <w:trPr>
          <w:trHeight w:val="300"/>
        </w:trPr>
        <w:tc>
          <w:tcPr>
            <w:tcW w:w="1565" w:type="pct"/>
            <w:shd w:val="clear" w:color="auto" w:fill="auto"/>
            <w:vAlign w:val="center"/>
            <w:hideMark/>
          </w:tcPr>
          <w:p w14:paraId="27EB80B4"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Consultancy firm to conduct a feasibility study over 9 months</w:t>
            </w:r>
          </w:p>
        </w:tc>
        <w:tc>
          <w:tcPr>
            <w:tcW w:w="441" w:type="pct"/>
            <w:shd w:val="clear" w:color="auto" w:fill="auto"/>
            <w:noWrap/>
            <w:vAlign w:val="bottom"/>
            <w:hideMark/>
          </w:tcPr>
          <w:p w14:paraId="10B542F9" w14:textId="77777777" w:rsidR="004A3EAF" w:rsidRPr="004A3EAF" w:rsidRDefault="004A3EAF" w:rsidP="0067547D">
            <w:pPr>
              <w:spacing w:after="0" w:line="240" w:lineRule="auto"/>
              <w:rPr>
                <w:rFonts w:ascii="Aptos Narrow" w:eastAsia="Times New Roman" w:hAnsi="Aptos Narrow" w:cs="Times New Roman"/>
                <w:color w:val="000000"/>
                <w:lang w:val="en-US"/>
              </w:rPr>
            </w:pPr>
            <w:r w:rsidRPr="004A3EAF">
              <w:rPr>
                <w:rFonts w:ascii="Aptos Narrow" w:eastAsia="Times New Roman" w:hAnsi="Aptos Narrow" w:cs="Times New Roman"/>
                <w:color w:val="000000"/>
                <w:lang w:val="en-US"/>
              </w:rPr>
              <w:t> </w:t>
            </w:r>
          </w:p>
        </w:tc>
        <w:tc>
          <w:tcPr>
            <w:tcW w:w="606" w:type="pct"/>
            <w:shd w:val="clear" w:color="auto" w:fill="auto"/>
            <w:noWrap/>
            <w:vAlign w:val="center"/>
            <w:hideMark/>
          </w:tcPr>
          <w:p w14:paraId="14D717AC"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80000</w:t>
            </w:r>
          </w:p>
        </w:tc>
        <w:tc>
          <w:tcPr>
            <w:tcW w:w="423" w:type="pct"/>
            <w:shd w:val="clear" w:color="auto" w:fill="auto"/>
            <w:noWrap/>
            <w:vAlign w:val="center"/>
            <w:hideMark/>
          </w:tcPr>
          <w:p w14:paraId="1AB3EF1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03E775F9"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1A586E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2635C312"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778955AA"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80,000</w:t>
            </w:r>
          </w:p>
        </w:tc>
        <w:tc>
          <w:tcPr>
            <w:tcW w:w="443" w:type="pct"/>
            <w:shd w:val="clear" w:color="auto" w:fill="auto"/>
            <w:noWrap/>
            <w:vAlign w:val="center"/>
            <w:hideMark/>
          </w:tcPr>
          <w:p w14:paraId="6AA84993"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3196310B" w14:textId="77777777" w:rsidTr="004A3EAF">
        <w:trPr>
          <w:trHeight w:val="720"/>
        </w:trPr>
        <w:tc>
          <w:tcPr>
            <w:tcW w:w="1565" w:type="pct"/>
            <w:shd w:val="clear" w:color="auto" w:fill="auto"/>
            <w:vAlign w:val="center"/>
            <w:hideMark/>
          </w:tcPr>
          <w:p w14:paraId="1AE87F43" w14:textId="77777777" w:rsidR="004A3EAF" w:rsidRPr="00004DA9" w:rsidRDefault="004A3EAF" w:rsidP="0067547D">
            <w:pPr>
              <w:spacing w:after="0" w:line="240" w:lineRule="auto"/>
              <w:rPr>
                <w:rFonts w:eastAsia="Times New Roman"/>
                <w:color w:val="000000"/>
                <w:sz w:val="14"/>
                <w:szCs w:val="14"/>
              </w:rPr>
            </w:pPr>
            <w:r w:rsidRPr="004A3EAF">
              <w:rPr>
                <w:rFonts w:eastAsia="Times New Roman"/>
                <w:color w:val="000000"/>
                <w:sz w:val="14"/>
                <w:szCs w:val="14"/>
                <w:lang w:val="en-US"/>
              </w:rPr>
              <w:t xml:space="preserve">Consultancy firm to conduct 2 Technical and feasibility studies on BRT and navigability of the Niger River and exclusive right-of-way for public transport with capacity, and preparation of a detailed feasibility study for exclusive right-of-way for urban transport with capacity. </w:t>
            </w:r>
            <w:r w:rsidRPr="00004DA9">
              <w:rPr>
                <w:rFonts w:eastAsia="Times New Roman"/>
                <w:color w:val="000000"/>
                <w:sz w:val="14"/>
                <w:szCs w:val="14"/>
              </w:rPr>
              <w:t xml:space="preserve">36 </w:t>
            </w:r>
            <w:proofErr w:type="spellStart"/>
            <w:r w:rsidRPr="00004DA9">
              <w:rPr>
                <w:rFonts w:eastAsia="Times New Roman"/>
                <w:color w:val="000000"/>
                <w:sz w:val="14"/>
                <w:szCs w:val="14"/>
              </w:rPr>
              <w:t>months</w:t>
            </w:r>
            <w:proofErr w:type="spellEnd"/>
            <w:r w:rsidRPr="00004DA9">
              <w:rPr>
                <w:rFonts w:eastAsia="Times New Roman"/>
                <w:color w:val="000000"/>
                <w:sz w:val="14"/>
                <w:szCs w:val="14"/>
              </w:rPr>
              <w:t xml:space="preserve"> </w:t>
            </w:r>
          </w:p>
        </w:tc>
        <w:tc>
          <w:tcPr>
            <w:tcW w:w="441" w:type="pct"/>
            <w:shd w:val="clear" w:color="auto" w:fill="auto"/>
            <w:noWrap/>
            <w:vAlign w:val="bottom"/>
            <w:hideMark/>
          </w:tcPr>
          <w:p w14:paraId="6466ED40" w14:textId="77777777" w:rsidR="004A3EAF" w:rsidRPr="00004DA9" w:rsidRDefault="004A3EAF" w:rsidP="0067547D">
            <w:pPr>
              <w:spacing w:after="0" w:line="240" w:lineRule="auto"/>
              <w:rPr>
                <w:rFonts w:ascii="Aptos Narrow" w:eastAsia="Times New Roman" w:hAnsi="Aptos Narrow" w:cs="Times New Roman"/>
                <w:color w:val="000000"/>
              </w:rPr>
            </w:pPr>
            <w:r w:rsidRPr="00004DA9">
              <w:rPr>
                <w:rFonts w:ascii="Aptos Narrow" w:eastAsia="Times New Roman" w:hAnsi="Aptos Narrow" w:cs="Times New Roman"/>
                <w:color w:val="000000"/>
              </w:rPr>
              <w:t> </w:t>
            </w:r>
          </w:p>
        </w:tc>
        <w:tc>
          <w:tcPr>
            <w:tcW w:w="606" w:type="pct"/>
            <w:shd w:val="clear" w:color="auto" w:fill="auto"/>
            <w:noWrap/>
            <w:vAlign w:val="center"/>
            <w:hideMark/>
          </w:tcPr>
          <w:p w14:paraId="5BA8AE21"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250000</w:t>
            </w:r>
          </w:p>
        </w:tc>
        <w:tc>
          <w:tcPr>
            <w:tcW w:w="423" w:type="pct"/>
            <w:shd w:val="clear" w:color="auto" w:fill="auto"/>
            <w:noWrap/>
            <w:vAlign w:val="center"/>
            <w:hideMark/>
          </w:tcPr>
          <w:p w14:paraId="712D07D2"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791E95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3B197B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2F16B4B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151F3A14"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250,000</w:t>
            </w:r>
          </w:p>
        </w:tc>
        <w:tc>
          <w:tcPr>
            <w:tcW w:w="443" w:type="pct"/>
            <w:shd w:val="clear" w:color="auto" w:fill="auto"/>
            <w:noWrap/>
            <w:vAlign w:val="center"/>
            <w:hideMark/>
          </w:tcPr>
          <w:p w14:paraId="6A03DF30"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6E422E15" w14:textId="77777777" w:rsidTr="004A3EAF">
        <w:trPr>
          <w:trHeight w:val="360"/>
        </w:trPr>
        <w:tc>
          <w:tcPr>
            <w:tcW w:w="1565" w:type="pct"/>
            <w:shd w:val="clear" w:color="auto" w:fill="auto"/>
            <w:vAlign w:val="center"/>
            <w:hideMark/>
          </w:tcPr>
          <w:p w14:paraId="69E44F75"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xml:space="preserve">Consultancy firm to conduct a study for the renewal of the Bamako fleet, over 14 months </w:t>
            </w:r>
          </w:p>
        </w:tc>
        <w:tc>
          <w:tcPr>
            <w:tcW w:w="441" w:type="pct"/>
            <w:shd w:val="clear" w:color="auto" w:fill="auto"/>
            <w:noWrap/>
            <w:vAlign w:val="bottom"/>
            <w:hideMark/>
          </w:tcPr>
          <w:p w14:paraId="76C91AE2" w14:textId="77777777" w:rsidR="004A3EAF" w:rsidRPr="004A3EAF" w:rsidRDefault="004A3EAF" w:rsidP="0067547D">
            <w:pPr>
              <w:spacing w:after="0" w:line="240" w:lineRule="auto"/>
              <w:rPr>
                <w:rFonts w:ascii="Aptos Narrow" w:eastAsia="Times New Roman" w:hAnsi="Aptos Narrow" w:cs="Times New Roman"/>
                <w:color w:val="000000"/>
                <w:lang w:val="en-US"/>
              </w:rPr>
            </w:pPr>
            <w:r w:rsidRPr="004A3EAF">
              <w:rPr>
                <w:rFonts w:ascii="Aptos Narrow" w:eastAsia="Times New Roman" w:hAnsi="Aptos Narrow" w:cs="Times New Roman"/>
                <w:color w:val="000000"/>
                <w:lang w:val="en-US"/>
              </w:rPr>
              <w:t> </w:t>
            </w:r>
          </w:p>
        </w:tc>
        <w:tc>
          <w:tcPr>
            <w:tcW w:w="606" w:type="pct"/>
            <w:shd w:val="clear" w:color="auto" w:fill="auto"/>
            <w:noWrap/>
            <w:vAlign w:val="center"/>
            <w:hideMark/>
          </w:tcPr>
          <w:p w14:paraId="1C195913"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80000</w:t>
            </w:r>
          </w:p>
        </w:tc>
        <w:tc>
          <w:tcPr>
            <w:tcW w:w="423" w:type="pct"/>
            <w:shd w:val="clear" w:color="auto" w:fill="auto"/>
            <w:noWrap/>
            <w:vAlign w:val="center"/>
            <w:hideMark/>
          </w:tcPr>
          <w:p w14:paraId="137AE2E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C5E9552"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039364D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4890AEA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71880923"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80,000</w:t>
            </w:r>
          </w:p>
        </w:tc>
        <w:tc>
          <w:tcPr>
            <w:tcW w:w="443" w:type="pct"/>
            <w:shd w:val="clear" w:color="auto" w:fill="auto"/>
            <w:noWrap/>
            <w:vAlign w:val="center"/>
            <w:hideMark/>
          </w:tcPr>
          <w:p w14:paraId="0AD37BD4"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49C89277" w14:textId="77777777" w:rsidTr="004A3EAF">
        <w:trPr>
          <w:trHeight w:val="300"/>
        </w:trPr>
        <w:tc>
          <w:tcPr>
            <w:tcW w:w="1565" w:type="pct"/>
            <w:shd w:val="clear" w:color="auto" w:fill="auto"/>
            <w:vAlign w:val="center"/>
            <w:hideMark/>
          </w:tcPr>
          <w:p w14:paraId="7BEED310"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Consultancy firm to conduct Feasibility study _over 4 months.</w:t>
            </w:r>
          </w:p>
        </w:tc>
        <w:tc>
          <w:tcPr>
            <w:tcW w:w="441" w:type="pct"/>
            <w:shd w:val="clear" w:color="auto" w:fill="auto"/>
            <w:noWrap/>
            <w:vAlign w:val="bottom"/>
            <w:hideMark/>
          </w:tcPr>
          <w:p w14:paraId="1423FB56" w14:textId="77777777" w:rsidR="004A3EAF" w:rsidRPr="004A3EAF" w:rsidRDefault="004A3EAF" w:rsidP="0067547D">
            <w:pPr>
              <w:spacing w:after="0" w:line="240" w:lineRule="auto"/>
              <w:rPr>
                <w:rFonts w:ascii="Aptos Narrow" w:eastAsia="Times New Roman" w:hAnsi="Aptos Narrow" w:cs="Times New Roman"/>
                <w:color w:val="000000"/>
                <w:lang w:val="en-US"/>
              </w:rPr>
            </w:pPr>
            <w:r w:rsidRPr="004A3EAF">
              <w:rPr>
                <w:rFonts w:ascii="Aptos Narrow" w:eastAsia="Times New Roman" w:hAnsi="Aptos Narrow" w:cs="Times New Roman"/>
                <w:color w:val="000000"/>
                <w:lang w:val="en-US"/>
              </w:rPr>
              <w:t> </w:t>
            </w:r>
          </w:p>
        </w:tc>
        <w:tc>
          <w:tcPr>
            <w:tcW w:w="606" w:type="pct"/>
            <w:shd w:val="clear" w:color="auto" w:fill="auto"/>
            <w:noWrap/>
            <w:vAlign w:val="center"/>
            <w:hideMark/>
          </w:tcPr>
          <w:p w14:paraId="436DC2B9"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50000</w:t>
            </w:r>
          </w:p>
        </w:tc>
        <w:tc>
          <w:tcPr>
            <w:tcW w:w="423" w:type="pct"/>
            <w:shd w:val="clear" w:color="auto" w:fill="auto"/>
            <w:noWrap/>
            <w:vAlign w:val="center"/>
            <w:hideMark/>
          </w:tcPr>
          <w:p w14:paraId="64D3FAB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34516B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7C85501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215E1B29"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3244AC2B"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50,000</w:t>
            </w:r>
          </w:p>
        </w:tc>
        <w:tc>
          <w:tcPr>
            <w:tcW w:w="443" w:type="pct"/>
            <w:shd w:val="clear" w:color="auto" w:fill="auto"/>
            <w:noWrap/>
            <w:vAlign w:val="center"/>
            <w:hideMark/>
          </w:tcPr>
          <w:p w14:paraId="0F8DB0E9"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6200AD37" w14:textId="77777777" w:rsidTr="004A3EAF">
        <w:trPr>
          <w:trHeight w:val="360"/>
        </w:trPr>
        <w:tc>
          <w:tcPr>
            <w:tcW w:w="1565" w:type="pct"/>
            <w:shd w:val="clear" w:color="auto" w:fill="auto"/>
            <w:vAlign w:val="center"/>
            <w:hideMark/>
          </w:tcPr>
          <w:p w14:paraId="2EA7C56F"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Consultancy firm work company to install 7 prototype recharging stations, over 6 months.</w:t>
            </w:r>
          </w:p>
        </w:tc>
        <w:tc>
          <w:tcPr>
            <w:tcW w:w="441" w:type="pct"/>
            <w:shd w:val="clear" w:color="auto" w:fill="auto"/>
            <w:noWrap/>
            <w:vAlign w:val="bottom"/>
            <w:hideMark/>
          </w:tcPr>
          <w:p w14:paraId="754E03DF" w14:textId="77777777" w:rsidR="004A3EAF" w:rsidRPr="004A3EAF" w:rsidRDefault="004A3EAF" w:rsidP="0067547D">
            <w:pPr>
              <w:spacing w:after="0" w:line="240" w:lineRule="auto"/>
              <w:rPr>
                <w:rFonts w:ascii="Aptos Narrow" w:eastAsia="Times New Roman" w:hAnsi="Aptos Narrow" w:cs="Times New Roman"/>
                <w:color w:val="000000"/>
                <w:lang w:val="en-US"/>
              </w:rPr>
            </w:pPr>
            <w:r w:rsidRPr="004A3EAF">
              <w:rPr>
                <w:rFonts w:ascii="Aptos Narrow" w:eastAsia="Times New Roman" w:hAnsi="Aptos Narrow" w:cs="Times New Roman"/>
                <w:color w:val="000000"/>
                <w:lang w:val="en-US"/>
              </w:rPr>
              <w:t> </w:t>
            </w:r>
          </w:p>
        </w:tc>
        <w:tc>
          <w:tcPr>
            <w:tcW w:w="606" w:type="pct"/>
            <w:shd w:val="clear" w:color="auto" w:fill="auto"/>
            <w:noWrap/>
            <w:vAlign w:val="center"/>
            <w:hideMark/>
          </w:tcPr>
          <w:p w14:paraId="4CF765F7"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20000</w:t>
            </w:r>
          </w:p>
        </w:tc>
        <w:tc>
          <w:tcPr>
            <w:tcW w:w="423" w:type="pct"/>
            <w:shd w:val="clear" w:color="auto" w:fill="auto"/>
            <w:noWrap/>
            <w:vAlign w:val="center"/>
            <w:hideMark/>
          </w:tcPr>
          <w:p w14:paraId="4A0F9A8F"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3A9340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D3D760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59E534E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492B0CEF"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20,000</w:t>
            </w:r>
          </w:p>
        </w:tc>
        <w:tc>
          <w:tcPr>
            <w:tcW w:w="443" w:type="pct"/>
            <w:shd w:val="clear" w:color="auto" w:fill="auto"/>
            <w:noWrap/>
            <w:vAlign w:val="center"/>
            <w:hideMark/>
          </w:tcPr>
          <w:p w14:paraId="139BFB34"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06E3EE62" w14:textId="77777777" w:rsidTr="004A3EAF">
        <w:trPr>
          <w:trHeight w:val="540"/>
        </w:trPr>
        <w:tc>
          <w:tcPr>
            <w:tcW w:w="1565" w:type="pct"/>
            <w:shd w:val="clear" w:color="auto" w:fill="auto"/>
            <w:vAlign w:val="center"/>
            <w:hideMark/>
          </w:tcPr>
          <w:p w14:paraId="4F020114"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Consultancy firm to conduct a study on the diagnosis of institutional and regulatory framework and establishment of a regulatory authority and an urban transport council in Bamako over 14months</w:t>
            </w:r>
          </w:p>
        </w:tc>
        <w:tc>
          <w:tcPr>
            <w:tcW w:w="441" w:type="pct"/>
            <w:shd w:val="clear" w:color="auto" w:fill="auto"/>
            <w:noWrap/>
            <w:vAlign w:val="bottom"/>
            <w:hideMark/>
          </w:tcPr>
          <w:p w14:paraId="1AF03DE6" w14:textId="77777777" w:rsidR="004A3EAF" w:rsidRPr="004A3EAF" w:rsidRDefault="004A3EAF" w:rsidP="0067547D">
            <w:pPr>
              <w:spacing w:after="0" w:line="240" w:lineRule="auto"/>
              <w:rPr>
                <w:rFonts w:ascii="Aptos Narrow" w:eastAsia="Times New Roman" w:hAnsi="Aptos Narrow" w:cs="Times New Roman"/>
                <w:color w:val="000000"/>
                <w:lang w:val="en-US"/>
              </w:rPr>
            </w:pPr>
            <w:r w:rsidRPr="004A3EAF">
              <w:rPr>
                <w:rFonts w:ascii="Aptos Narrow" w:eastAsia="Times New Roman" w:hAnsi="Aptos Narrow" w:cs="Times New Roman"/>
                <w:color w:val="000000"/>
                <w:lang w:val="en-US"/>
              </w:rPr>
              <w:t> </w:t>
            </w:r>
          </w:p>
        </w:tc>
        <w:tc>
          <w:tcPr>
            <w:tcW w:w="606" w:type="pct"/>
            <w:shd w:val="clear" w:color="auto" w:fill="auto"/>
            <w:noWrap/>
            <w:vAlign w:val="center"/>
            <w:hideMark/>
          </w:tcPr>
          <w:p w14:paraId="0D836E09"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120000</w:t>
            </w:r>
          </w:p>
        </w:tc>
        <w:tc>
          <w:tcPr>
            <w:tcW w:w="423" w:type="pct"/>
            <w:shd w:val="clear" w:color="auto" w:fill="auto"/>
            <w:noWrap/>
            <w:vAlign w:val="center"/>
            <w:hideMark/>
          </w:tcPr>
          <w:p w14:paraId="0620FBB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A64F73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4E6CD61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405F0E4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19B350F3"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120,000</w:t>
            </w:r>
          </w:p>
        </w:tc>
        <w:tc>
          <w:tcPr>
            <w:tcW w:w="443" w:type="pct"/>
            <w:shd w:val="clear" w:color="auto" w:fill="auto"/>
            <w:noWrap/>
            <w:vAlign w:val="center"/>
            <w:hideMark/>
          </w:tcPr>
          <w:p w14:paraId="0F3532A0"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6DD81D28" w14:textId="77777777" w:rsidTr="004A3EAF">
        <w:trPr>
          <w:trHeight w:val="540"/>
        </w:trPr>
        <w:tc>
          <w:tcPr>
            <w:tcW w:w="1565" w:type="pct"/>
            <w:shd w:val="clear" w:color="auto" w:fill="auto"/>
            <w:vAlign w:val="center"/>
            <w:hideMark/>
          </w:tcPr>
          <w:p w14:paraId="713CD94D"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xml:space="preserve">Consulting firm to support for the implementation of a national financing mechanism for sustainable transport and electric mobility, </w:t>
            </w:r>
            <w:proofErr w:type="gramStart"/>
            <w:r w:rsidRPr="004A3EAF">
              <w:rPr>
                <w:rFonts w:eastAsia="Times New Roman"/>
                <w:color w:val="000000"/>
                <w:sz w:val="14"/>
                <w:szCs w:val="14"/>
                <w:lang w:val="en-US"/>
              </w:rPr>
              <w:t>over  12</w:t>
            </w:r>
            <w:proofErr w:type="gramEnd"/>
            <w:r w:rsidRPr="004A3EAF">
              <w:rPr>
                <w:rFonts w:eastAsia="Times New Roman"/>
                <w:color w:val="000000"/>
                <w:sz w:val="14"/>
                <w:szCs w:val="14"/>
                <w:lang w:val="en-US"/>
              </w:rPr>
              <w:t xml:space="preserve"> months</w:t>
            </w:r>
          </w:p>
        </w:tc>
        <w:tc>
          <w:tcPr>
            <w:tcW w:w="441" w:type="pct"/>
            <w:shd w:val="clear" w:color="auto" w:fill="auto"/>
            <w:noWrap/>
            <w:vAlign w:val="bottom"/>
            <w:hideMark/>
          </w:tcPr>
          <w:p w14:paraId="4669458D" w14:textId="77777777" w:rsidR="004A3EAF" w:rsidRPr="004A3EAF" w:rsidRDefault="004A3EAF" w:rsidP="0067547D">
            <w:pPr>
              <w:spacing w:after="0" w:line="240" w:lineRule="auto"/>
              <w:rPr>
                <w:rFonts w:ascii="Aptos Narrow" w:eastAsia="Times New Roman" w:hAnsi="Aptos Narrow" w:cs="Times New Roman"/>
                <w:color w:val="000000"/>
                <w:lang w:val="en-US"/>
              </w:rPr>
            </w:pPr>
            <w:r w:rsidRPr="004A3EAF">
              <w:rPr>
                <w:rFonts w:ascii="Aptos Narrow" w:eastAsia="Times New Roman" w:hAnsi="Aptos Narrow" w:cs="Times New Roman"/>
                <w:color w:val="000000"/>
                <w:lang w:val="en-US"/>
              </w:rPr>
              <w:t> </w:t>
            </w:r>
          </w:p>
        </w:tc>
        <w:tc>
          <w:tcPr>
            <w:tcW w:w="606" w:type="pct"/>
            <w:shd w:val="clear" w:color="auto" w:fill="auto"/>
            <w:noWrap/>
            <w:vAlign w:val="center"/>
            <w:hideMark/>
          </w:tcPr>
          <w:p w14:paraId="4F9DFF53"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70000</w:t>
            </w:r>
          </w:p>
        </w:tc>
        <w:tc>
          <w:tcPr>
            <w:tcW w:w="423" w:type="pct"/>
            <w:shd w:val="clear" w:color="auto" w:fill="auto"/>
            <w:noWrap/>
            <w:vAlign w:val="center"/>
            <w:hideMark/>
          </w:tcPr>
          <w:p w14:paraId="7B58E97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D01840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E32B58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5A6A72E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40C6DB9D"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70,000</w:t>
            </w:r>
          </w:p>
        </w:tc>
        <w:tc>
          <w:tcPr>
            <w:tcW w:w="443" w:type="pct"/>
            <w:shd w:val="clear" w:color="auto" w:fill="auto"/>
            <w:noWrap/>
            <w:vAlign w:val="center"/>
            <w:hideMark/>
          </w:tcPr>
          <w:p w14:paraId="27E3EBC1"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39680213" w14:textId="77777777" w:rsidTr="004A3EAF">
        <w:trPr>
          <w:trHeight w:val="540"/>
        </w:trPr>
        <w:tc>
          <w:tcPr>
            <w:tcW w:w="1565" w:type="pct"/>
            <w:shd w:val="clear" w:color="auto" w:fill="auto"/>
            <w:vAlign w:val="center"/>
            <w:hideMark/>
          </w:tcPr>
          <w:p w14:paraId="16E383C4"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Consultancy firm to conduct a study to strengthen monitoring and evaluation mechanism within the DGT to measure the impact of electric mobility projects (including training) over 18 months</w:t>
            </w:r>
          </w:p>
        </w:tc>
        <w:tc>
          <w:tcPr>
            <w:tcW w:w="441" w:type="pct"/>
            <w:shd w:val="clear" w:color="auto" w:fill="auto"/>
            <w:noWrap/>
            <w:vAlign w:val="bottom"/>
            <w:hideMark/>
          </w:tcPr>
          <w:p w14:paraId="3142AFF9" w14:textId="77777777" w:rsidR="004A3EAF" w:rsidRPr="004A3EAF" w:rsidRDefault="004A3EAF" w:rsidP="0067547D">
            <w:pPr>
              <w:spacing w:after="0" w:line="240" w:lineRule="auto"/>
              <w:rPr>
                <w:rFonts w:ascii="Aptos Narrow" w:eastAsia="Times New Roman" w:hAnsi="Aptos Narrow" w:cs="Times New Roman"/>
                <w:color w:val="000000"/>
                <w:lang w:val="en-US"/>
              </w:rPr>
            </w:pPr>
            <w:r w:rsidRPr="004A3EAF">
              <w:rPr>
                <w:rFonts w:ascii="Aptos Narrow" w:eastAsia="Times New Roman" w:hAnsi="Aptos Narrow" w:cs="Times New Roman"/>
                <w:color w:val="000000"/>
                <w:lang w:val="en-US"/>
              </w:rPr>
              <w:t> </w:t>
            </w:r>
          </w:p>
        </w:tc>
        <w:tc>
          <w:tcPr>
            <w:tcW w:w="606" w:type="pct"/>
            <w:shd w:val="clear" w:color="auto" w:fill="auto"/>
            <w:noWrap/>
            <w:vAlign w:val="center"/>
            <w:hideMark/>
          </w:tcPr>
          <w:p w14:paraId="6665BF04"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100000</w:t>
            </w:r>
          </w:p>
        </w:tc>
        <w:tc>
          <w:tcPr>
            <w:tcW w:w="423" w:type="pct"/>
            <w:shd w:val="clear" w:color="auto" w:fill="auto"/>
            <w:noWrap/>
            <w:vAlign w:val="center"/>
            <w:hideMark/>
          </w:tcPr>
          <w:p w14:paraId="685DFB4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787ECD0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38C82C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3080C74F"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576AE715"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100,000</w:t>
            </w:r>
          </w:p>
        </w:tc>
        <w:tc>
          <w:tcPr>
            <w:tcW w:w="443" w:type="pct"/>
            <w:shd w:val="clear" w:color="auto" w:fill="auto"/>
            <w:noWrap/>
            <w:vAlign w:val="center"/>
            <w:hideMark/>
          </w:tcPr>
          <w:p w14:paraId="3B2FF21C"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74DF0521" w14:textId="77777777" w:rsidTr="004A3EAF">
        <w:trPr>
          <w:trHeight w:val="720"/>
        </w:trPr>
        <w:tc>
          <w:tcPr>
            <w:tcW w:w="1565" w:type="pct"/>
            <w:shd w:val="clear" w:color="auto" w:fill="auto"/>
            <w:vAlign w:val="center"/>
            <w:hideMark/>
          </w:tcPr>
          <w:p w14:paraId="66246DF0"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xml:space="preserve">Consultancy firm to carry out a needs analysis study and strengthen the fuel quality control laboratory at the Office </w:t>
            </w:r>
            <w:proofErr w:type="spellStart"/>
            <w:r w:rsidRPr="004A3EAF">
              <w:rPr>
                <w:rFonts w:eastAsia="Times New Roman"/>
                <w:color w:val="000000"/>
                <w:sz w:val="14"/>
                <w:szCs w:val="14"/>
                <w:lang w:val="en-US"/>
              </w:rPr>
              <w:t>Malien</w:t>
            </w:r>
            <w:proofErr w:type="spellEnd"/>
            <w:r w:rsidRPr="004A3EAF">
              <w:rPr>
                <w:rFonts w:eastAsia="Times New Roman"/>
                <w:color w:val="000000"/>
                <w:sz w:val="14"/>
                <w:szCs w:val="14"/>
                <w:lang w:val="en-US"/>
              </w:rPr>
              <w:t xml:space="preserve"> des Outputs </w:t>
            </w:r>
            <w:proofErr w:type="spellStart"/>
            <w:r w:rsidRPr="004A3EAF">
              <w:rPr>
                <w:rFonts w:eastAsia="Times New Roman"/>
                <w:color w:val="000000"/>
                <w:sz w:val="14"/>
                <w:szCs w:val="14"/>
                <w:lang w:val="en-US"/>
              </w:rPr>
              <w:t>Pétrolier</w:t>
            </w:r>
            <w:proofErr w:type="spellEnd"/>
            <w:r w:rsidRPr="004A3EAF">
              <w:rPr>
                <w:rFonts w:eastAsia="Times New Roman"/>
                <w:color w:val="000000"/>
                <w:sz w:val="14"/>
                <w:szCs w:val="14"/>
                <w:lang w:val="en-US"/>
              </w:rPr>
              <w:t xml:space="preserve"> (OMAP) and the </w:t>
            </w:r>
            <w:proofErr w:type="spellStart"/>
            <w:r w:rsidRPr="004A3EAF">
              <w:rPr>
                <w:rFonts w:eastAsia="Times New Roman"/>
                <w:color w:val="000000"/>
                <w:sz w:val="14"/>
                <w:szCs w:val="14"/>
                <w:lang w:val="en-US"/>
              </w:rPr>
              <w:t>Institut</w:t>
            </w:r>
            <w:proofErr w:type="spellEnd"/>
            <w:r w:rsidRPr="004A3EAF">
              <w:rPr>
                <w:rFonts w:eastAsia="Times New Roman"/>
                <w:color w:val="000000"/>
                <w:sz w:val="14"/>
                <w:szCs w:val="14"/>
                <w:lang w:val="en-US"/>
              </w:rPr>
              <w:t xml:space="preserve"> des Sciences </w:t>
            </w:r>
            <w:proofErr w:type="spellStart"/>
            <w:r w:rsidRPr="004A3EAF">
              <w:rPr>
                <w:rFonts w:eastAsia="Times New Roman"/>
                <w:color w:val="000000"/>
                <w:sz w:val="14"/>
                <w:szCs w:val="14"/>
                <w:lang w:val="en-US"/>
              </w:rPr>
              <w:t>Appliquées</w:t>
            </w:r>
            <w:proofErr w:type="spellEnd"/>
            <w:r w:rsidRPr="004A3EAF">
              <w:rPr>
                <w:rFonts w:eastAsia="Times New Roman"/>
                <w:color w:val="000000"/>
                <w:sz w:val="14"/>
                <w:szCs w:val="14"/>
                <w:lang w:val="en-US"/>
              </w:rPr>
              <w:t xml:space="preserve">, to ensure a better supply of fuel. over 9 months </w:t>
            </w:r>
          </w:p>
        </w:tc>
        <w:tc>
          <w:tcPr>
            <w:tcW w:w="441" w:type="pct"/>
            <w:shd w:val="clear" w:color="auto" w:fill="auto"/>
            <w:noWrap/>
            <w:vAlign w:val="bottom"/>
            <w:hideMark/>
          </w:tcPr>
          <w:p w14:paraId="1E9A84A1" w14:textId="77777777" w:rsidR="004A3EAF" w:rsidRPr="004A3EAF" w:rsidRDefault="004A3EAF" w:rsidP="0067547D">
            <w:pPr>
              <w:spacing w:after="0" w:line="240" w:lineRule="auto"/>
              <w:rPr>
                <w:rFonts w:ascii="Aptos Narrow" w:eastAsia="Times New Roman" w:hAnsi="Aptos Narrow" w:cs="Times New Roman"/>
                <w:color w:val="000000"/>
                <w:lang w:val="en-US"/>
              </w:rPr>
            </w:pPr>
            <w:r w:rsidRPr="004A3EAF">
              <w:rPr>
                <w:rFonts w:ascii="Aptos Narrow" w:eastAsia="Times New Roman" w:hAnsi="Aptos Narrow" w:cs="Times New Roman"/>
                <w:color w:val="000000"/>
                <w:lang w:val="en-US"/>
              </w:rPr>
              <w:t> </w:t>
            </w:r>
          </w:p>
        </w:tc>
        <w:tc>
          <w:tcPr>
            <w:tcW w:w="606" w:type="pct"/>
            <w:shd w:val="clear" w:color="auto" w:fill="auto"/>
            <w:noWrap/>
            <w:vAlign w:val="center"/>
            <w:hideMark/>
          </w:tcPr>
          <w:p w14:paraId="28DED24E"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50000</w:t>
            </w:r>
          </w:p>
        </w:tc>
        <w:tc>
          <w:tcPr>
            <w:tcW w:w="423" w:type="pct"/>
            <w:shd w:val="clear" w:color="auto" w:fill="auto"/>
            <w:noWrap/>
            <w:vAlign w:val="center"/>
            <w:hideMark/>
          </w:tcPr>
          <w:p w14:paraId="0736CE8F"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C9EFDB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A78576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55BE094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767689C2"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50,000</w:t>
            </w:r>
          </w:p>
        </w:tc>
        <w:tc>
          <w:tcPr>
            <w:tcW w:w="443" w:type="pct"/>
            <w:shd w:val="clear" w:color="auto" w:fill="auto"/>
            <w:noWrap/>
            <w:vAlign w:val="center"/>
            <w:hideMark/>
          </w:tcPr>
          <w:p w14:paraId="3C8FD4AF"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10195949" w14:textId="77777777" w:rsidTr="004A3EAF">
        <w:trPr>
          <w:trHeight w:val="540"/>
        </w:trPr>
        <w:tc>
          <w:tcPr>
            <w:tcW w:w="1565" w:type="pct"/>
            <w:shd w:val="clear" w:color="auto" w:fill="auto"/>
            <w:vAlign w:val="center"/>
            <w:hideMark/>
          </w:tcPr>
          <w:p w14:paraId="2AD4AEBD"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Consulting Firm to set up a digital information and transparency helpdesk for the private sector in Bamako, over 9 months (Activity 1,2,1,3)</w:t>
            </w:r>
          </w:p>
        </w:tc>
        <w:tc>
          <w:tcPr>
            <w:tcW w:w="441" w:type="pct"/>
            <w:shd w:val="clear" w:color="auto" w:fill="auto"/>
            <w:noWrap/>
            <w:vAlign w:val="center"/>
            <w:hideMark/>
          </w:tcPr>
          <w:p w14:paraId="3C4043EE"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50,000</w:t>
            </w:r>
          </w:p>
        </w:tc>
        <w:tc>
          <w:tcPr>
            <w:tcW w:w="606" w:type="pct"/>
            <w:shd w:val="clear" w:color="auto" w:fill="auto"/>
            <w:noWrap/>
            <w:vAlign w:val="center"/>
            <w:hideMark/>
          </w:tcPr>
          <w:p w14:paraId="087ACEF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A619FF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E43555F"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82EFAA6"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7D5283AC"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619267BA"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50,000</w:t>
            </w:r>
          </w:p>
        </w:tc>
        <w:tc>
          <w:tcPr>
            <w:tcW w:w="443" w:type="pct"/>
            <w:shd w:val="clear" w:color="auto" w:fill="auto"/>
            <w:noWrap/>
            <w:vAlign w:val="center"/>
            <w:hideMark/>
          </w:tcPr>
          <w:p w14:paraId="48A2295B"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7D78C876" w14:textId="77777777" w:rsidTr="004A3EAF">
        <w:trPr>
          <w:trHeight w:val="540"/>
        </w:trPr>
        <w:tc>
          <w:tcPr>
            <w:tcW w:w="1565" w:type="pct"/>
            <w:shd w:val="clear" w:color="auto" w:fill="auto"/>
            <w:vAlign w:val="center"/>
            <w:hideMark/>
          </w:tcPr>
          <w:p w14:paraId="3782F51A"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Consulting firm to Develop an Enabling Environment and Innovative Financing Mechanism for Private Investment in Sustainable Urban Sectors in Bamako over 29 months (Activity 1.2.1.1).</w:t>
            </w:r>
          </w:p>
        </w:tc>
        <w:tc>
          <w:tcPr>
            <w:tcW w:w="441" w:type="pct"/>
            <w:shd w:val="clear" w:color="auto" w:fill="auto"/>
            <w:noWrap/>
            <w:vAlign w:val="center"/>
            <w:hideMark/>
          </w:tcPr>
          <w:p w14:paraId="3601A709"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180,000</w:t>
            </w:r>
          </w:p>
        </w:tc>
        <w:tc>
          <w:tcPr>
            <w:tcW w:w="606" w:type="pct"/>
            <w:shd w:val="clear" w:color="auto" w:fill="auto"/>
            <w:noWrap/>
            <w:vAlign w:val="center"/>
            <w:hideMark/>
          </w:tcPr>
          <w:p w14:paraId="7871CDC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40F00609"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32470B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80425F2"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1230811F"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69D62B52"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180,000</w:t>
            </w:r>
          </w:p>
        </w:tc>
        <w:tc>
          <w:tcPr>
            <w:tcW w:w="443" w:type="pct"/>
            <w:shd w:val="clear" w:color="auto" w:fill="auto"/>
            <w:noWrap/>
            <w:vAlign w:val="center"/>
            <w:hideMark/>
          </w:tcPr>
          <w:p w14:paraId="5848D74F"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4D7668FC" w14:textId="77777777" w:rsidTr="004A3EAF">
        <w:trPr>
          <w:trHeight w:val="360"/>
        </w:trPr>
        <w:tc>
          <w:tcPr>
            <w:tcW w:w="1565" w:type="pct"/>
            <w:shd w:val="clear" w:color="auto" w:fill="auto"/>
            <w:vAlign w:val="center"/>
            <w:hideMark/>
          </w:tcPr>
          <w:p w14:paraId="1DAF641C"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Consultancy firm to prepare a financing plan for the Bamako green belt (BIOFIN), over 9 months</w:t>
            </w:r>
          </w:p>
        </w:tc>
        <w:tc>
          <w:tcPr>
            <w:tcW w:w="441" w:type="pct"/>
            <w:shd w:val="clear" w:color="auto" w:fill="auto"/>
            <w:noWrap/>
            <w:vAlign w:val="center"/>
            <w:hideMark/>
          </w:tcPr>
          <w:p w14:paraId="6CA048C8"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606" w:type="pct"/>
            <w:shd w:val="clear" w:color="auto" w:fill="auto"/>
            <w:noWrap/>
            <w:vAlign w:val="center"/>
            <w:hideMark/>
          </w:tcPr>
          <w:p w14:paraId="5C150CDA"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423" w:type="pct"/>
            <w:shd w:val="clear" w:color="auto" w:fill="auto"/>
            <w:noWrap/>
            <w:vAlign w:val="center"/>
            <w:hideMark/>
          </w:tcPr>
          <w:p w14:paraId="2E9AEC20"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50,000</w:t>
            </w:r>
          </w:p>
        </w:tc>
        <w:tc>
          <w:tcPr>
            <w:tcW w:w="423" w:type="pct"/>
            <w:shd w:val="clear" w:color="auto" w:fill="auto"/>
            <w:noWrap/>
            <w:vAlign w:val="center"/>
            <w:hideMark/>
          </w:tcPr>
          <w:p w14:paraId="086154C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8FF19C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0D8C06C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4FED28A8"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50,000</w:t>
            </w:r>
          </w:p>
        </w:tc>
        <w:tc>
          <w:tcPr>
            <w:tcW w:w="443" w:type="pct"/>
            <w:shd w:val="clear" w:color="auto" w:fill="auto"/>
            <w:noWrap/>
            <w:vAlign w:val="center"/>
            <w:hideMark/>
          </w:tcPr>
          <w:p w14:paraId="583D947D"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5F04A960" w14:textId="77777777" w:rsidTr="004A3EAF">
        <w:trPr>
          <w:trHeight w:val="720"/>
        </w:trPr>
        <w:tc>
          <w:tcPr>
            <w:tcW w:w="1565" w:type="pct"/>
            <w:shd w:val="clear" w:color="auto" w:fill="auto"/>
            <w:vAlign w:val="center"/>
            <w:hideMark/>
          </w:tcPr>
          <w:p w14:paraId="52A662C3"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Consultancy firm to elaborate the forest inventory and green urban spaces in Bamako and conduct a feasibility study for the management of two forest strips to the south-east and north of Bamako, over 12 months</w:t>
            </w:r>
          </w:p>
        </w:tc>
        <w:tc>
          <w:tcPr>
            <w:tcW w:w="441" w:type="pct"/>
            <w:shd w:val="clear" w:color="auto" w:fill="auto"/>
            <w:noWrap/>
            <w:vAlign w:val="center"/>
            <w:hideMark/>
          </w:tcPr>
          <w:p w14:paraId="5427BD2A"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606" w:type="pct"/>
            <w:shd w:val="clear" w:color="auto" w:fill="auto"/>
            <w:noWrap/>
            <w:vAlign w:val="center"/>
            <w:hideMark/>
          </w:tcPr>
          <w:p w14:paraId="1390C46F"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423" w:type="pct"/>
            <w:shd w:val="clear" w:color="auto" w:fill="auto"/>
            <w:noWrap/>
            <w:vAlign w:val="center"/>
            <w:hideMark/>
          </w:tcPr>
          <w:p w14:paraId="33CC9770"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107,500</w:t>
            </w:r>
          </w:p>
        </w:tc>
        <w:tc>
          <w:tcPr>
            <w:tcW w:w="423" w:type="pct"/>
            <w:shd w:val="clear" w:color="auto" w:fill="auto"/>
            <w:noWrap/>
            <w:vAlign w:val="center"/>
            <w:hideMark/>
          </w:tcPr>
          <w:p w14:paraId="4ADA779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A2B5FEF"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2D0C1982"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443B6738"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107,500</w:t>
            </w:r>
          </w:p>
        </w:tc>
        <w:tc>
          <w:tcPr>
            <w:tcW w:w="443" w:type="pct"/>
            <w:shd w:val="clear" w:color="auto" w:fill="auto"/>
            <w:noWrap/>
            <w:vAlign w:val="center"/>
            <w:hideMark/>
          </w:tcPr>
          <w:p w14:paraId="35F3A4C3"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298D052A" w14:textId="77777777" w:rsidTr="004A3EAF">
        <w:trPr>
          <w:trHeight w:val="540"/>
        </w:trPr>
        <w:tc>
          <w:tcPr>
            <w:tcW w:w="1565" w:type="pct"/>
            <w:shd w:val="clear" w:color="auto" w:fill="auto"/>
            <w:vAlign w:val="center"/>
            <w:hideMark/>
          </w:tcPr>
          <w:p w14:paraId="50E2AE3A"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xml:space="preserve">Consultancy firm to elaborate a strategy for social behavior change interventions for stakeholders involved in the management of forest areas and green spaces (Activity </w:t>
            </w:r>
            <w:proofErr w:type="gramStart"/>
            <w:r w:rsidRPr="004A3EAF">
              <w:rPr>
                <w:rFonts w:eastAsia="Times New Roman"/>
                <w:color w:val="000000"/>
                <w:sz w:val="14"/>
                <w:szCs w:val="14"/>
                <w:lang w:val="en-US"/>
              </w:rPr>
              <w:t>3.1.2.2 )</w:t>
            </w:r>
            <w:proofErr w:type="gramEnd"/>
            <w:r w:rsidRPr="004A3EAF">
              <w:rPr>
                <w:rFonts w:eastAsia="Times New Roman"/>
                <w:color w:val="000000"/>
                <w:sz w:val="14"/>
                <w:szCs w:val="14"/>
                <w:lang w:val="en-US"/>
              </w:rPr>
              <w:t xml:space="preserve"> over  6 months</w:t>
            </w:r>
          </w:p>
        </w:tc>
        <w:tc>
          <w:tcPr>
            <w:tcW w:w="441" w:type="pct"/>
            <w:shd w:val="clear" w:color="auto" w:fill="auto"/>
            <w:noWrap/>
            <w:vAlign w:val="center"/>
            <w:hideMark/>
          </w:tcPr>
          <w:p w14:paraId="2342C58F"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606" w:type="pct"/>
            <w:shd w:val="clear" w:color="auto" w:fill="auto"/>
            <w:noWrap/>
            <w:vAlign w:val="center"/>
            <w:hideMark/>
          </w:tcPr>
          <w:p w14:paraId="53A1B44C"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423" w:type="pct"/>
            <w:shd w:val="clear" w:color="auto" w:fill="auto"/>
            <w:noWrap/>
            <w:vAlign w:val="center"/>
            <w:hideMark/>
          </w:tcPr>
          <w:p w14:paraId="7D8EAE08"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30,000</w:t>
            </w:r>
          </w:p>
        </w:tc>
        <w:tc>
          <w:tcPr>
            <w:tcW w:w="423" w:type="pct"/>
            <w:shd w:val="clear" w:color="auto" w:fill="auto"/>
            <w:noWrap/>
            <w:vAlign w:val="center"/>
            <w:hideMark/>
          </w:tcPr>
          <w:p w14:paraId="65B774B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4A05B4F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57FB9CA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6AB58C5B"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30,000</w:t>
            </w:r>
          </w:p>
        </w:tc>
        <w:tc>
          <w:tcPr>
            <w:tcW w:w="443" w:type="pct"/>
            <w:shd w:val="clear" w:color="auto" w:fill="auto"/>
            <w:noWrap/>
            <w:vAlign w:val="center"/>
            <w:hideMark/>
          </w:tcPr>
          <w:p w14:paraId="51D66928"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4AA2CF59" w14:textId="77777777" w:rsidTr="004A3EAF">
        <w:trPr>
          <w:trHeight w:val="360"/>
        </w:trPr>
        <w:tc>
          <w:tcPr>
            <w:tcW w:w="1565" w:type="pct"/>
            <w:shd w:val="clear" w:color="auto" w:fill="auto"/>
            <w:vAlign w:val="center"/>
            <w:hideMark/>
          </w:tcPr>
          <w:p w14:paraId="220BE9BC"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xml:space="preserve">Consultancy firm to elaborate 5 development and management plans for classified forests with their 5 EIES, over 18 months </w:t>
            </w:r>
          </w:p>
        </w:tc>
        <w:tc>
          <w:tcPr>
            <w:tcW w:w="441" w:type="pct"/>
            <w:shd w:val="clear" w:color="auto" w:fill="auto"/>
            <w:noWrap/>
            <w:vAlign w:val="center"/>
            <w:hideMark/>
          </w:tcPr>
          <w:p w14:paraId="3E12A418"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606" w:type="pct"/>
            <w:shd w:val="clear" w:color="auto" w:fill="auto"/>
            <w:noWrap/>
            <w:vAlign w:val="center"/>
            <w:hideMark/>
          </w:tcPr>
          <w:p w14:paraId="6C2DFB8A"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423" w:type="pct"/>
            <w:shd w:val="clear" w:color="auto" w:fill="auto"/>
            <w:noWrap/>
            <w:vAlign w:val="center"/>
            <w:hideMark/>
          </w:tcPr>
          <w:p w14:paraId="3B17E0A2"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240,000</w:t>
            </w:r>
          </w:p>
        </w:tc>
        <w:tc>
          <w:tcPr>
            <w:tcW w:w="423" w:type="pct"/>
            <w:shd w:val="clear" w:color="auto" w:fill="auto"/>
            <w:noWrap/>
            <w:vAlign w:val="center"/>
            <w:hideMark/>
          </w:tcPr>
          <w:p w14:paraId="1E11784D"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F40E676"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17D5F11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058EF05A"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240,000</w:t>
            </w:r>
          </w:p>
        </w:tc>
        <w:tc>
          <w:tcPr>
            <w:tcW w:w="443" w:type="pct"/>
            <w:shd w:val="clear" w:color="auto" w:fill="auto"/>
            <w:noWrap/>
            <w:vAlign w:val="center"/>
            <w:hideMark/>
          </w:tcPr>
          <w:p w14:paraId="57A75CE0"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7F95ADA3" w14:textId="77777777" w:rsidTr="004A3EAF">
        <w:trPr>
          <w:trHeight w:val="360"/>
        </w:trPr>
        <w:tc>
          <w:tcPr>
            <w:tcW w:w="1565" w:type="pct"/>
            <w:shd w:val="clear" w:color="auto" w:fill="auto"/>
            <w:vAlign w:val="center"/>
            <w:hideMark/>
          </w:tcPr>
          <w:p w14:paraId="62F9583B"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Consultancy firm to elaborate 7 development and management plans for green urban spaces and their EIES over 18 months</w:t>
            </w:r>
          </w:p>
        </w:tc>
        <w:tc>
          <w:tcPr>
            <w:tcW w:w="441" w:type="pct"/>
            <w:shd w:val="clear" w:color="auto" w:fill="auto"/>
            <w:noWrap/>
            <w:vAlign w:val="center"/>
            <w:hideMark/>
          </w:tcPr>
          <w:p w14:paraId="12BAB38A"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606" w:type="pct"/>
            <w:shd w:val="clear" w:color="auto" w:fill="auto"/>
            <w:noWrap/>
            <w:vAlign w:val="center"/>
            <w:hideMark/>
          </w:tcPr>
          <w:p w14:paraId="1F868263"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423" w:type="pct"/>
            <w:shd w:val="clear" w:color="auto" w:fill="auto"/>
            <w:noWrap/>
            <w:vAlign w:val="center"/>
            <w:hideMark/>
          </w:tcPr>
          <w:p w14:paraId="0644CDDC"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130,000</w:t>
            </w:r>
          </w:p>
        </w:tc>
        <w:tc>
          <w:tcPr>
            <w:tcW w:w="423" w:type="pct"/>
            <w:shd w:val="clear" w:color="auto" w:fill="auto"/>
            <w:noWrap/>
            <w:vAlign w:val="center"/>
            <w:hideMark/>
          </w:tcPr>
          <w:p w14:paraId="189A25C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CA6EC6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5AC7E0F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410F4551"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130,000</w:t>
            </w:r>
          </w:p>
        </w:tc>
        <w:tc>
          <w:tcPr>
            <w:tcW w:w="443" w:type="pct"/>
            <w:shd w:val="clear" w:color="auto" w:fill="auto"/>
            <w:noWrap/>
            <w:vAlign w:val="center"/>
            <w:hideMark/>
          </w:tcPr>
          <w:p w14:paraId="01E3147D"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2C606085" w14:textId="77777777" w:rsidTr="004A3EAF">
        <w:trPr>
          <w:trHeight w:val="540"/>
        </w:trPr>
        <w:tc>
          <w:tcPr>
            <w:tcW w:w="1565" w:type="pct"/>
            <w:shd w:val="clear" w:color="auto" w:fill="auto"/>
            <w:vAlign w:val="center"/>
            <w:hideMark/>
          </w:tcPr>
          <w:p w14:paraId="2C334932"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xml:space="preserve">Consultancy firm to conduct </w:t>
            </w:r>
            <w:proofErr w:type="spellStart"/>
            <w:r w:rsidRPr="004A3EAF">
              <w:rPr>
                <w:rFonts w:eastAsia="Times New Roman"/>
                <w:color w:val="000000"/>
                <w:sz w:val="14"/>
                <w:szCs w:val="14"/>
                <w:lang w:val="en-US"/>
              </w:rPr>
              <w:t>i</w:t>
            </w:r>
            <w:proofErr w:type="spellEnd"/>
            <w:r w:rsidRPr="004A3EAF">
              <w:rPr>
                <w:rFonts w:eastAsia="Times New Roman"/>
                <w:color w:val="000000"/>
                <w:sz w:val="14"/>
                <w:szCs w:val="14"/>
                <w:lang w:val="en-US"/>
              </w:rPr>
              <w:t xml:space="preserve">) strategy for Reforestation and to </w:t>
            </w:r>
            <w:proofErr w:type="spellStart"/>
            <w:r w:rsidRPr="004A3EAF">
              <w:rPr>
                <w:rFonts w:eastAsia="Times New Roman"/>
                <w:color w:val="000000"/>
                <w:sz w:val="14"/>
                <w:szCs w:val="14"/>
                <w:lang w:val="en-US"/>
              </w:rPr>
              <w:t>identidy</w:t>
            </w:r>
            <w:proofErr w:type="spellEnd"/>
            <w:r w:rsidRPr="004A3EAF">
              <w:rPr>
                <w:rFonts w:eastAsia="Times New Roman"/>
                <w:color w:val="000000"/>
                <w:sz w:val="14"/>
                <w:szCs w:val="14"/>
                <w:lang w:val="en-US"/>
              </w:rPr>
              <w:t xml:space="preserve"> and analyze the two existing ecotourism sites, over 14 months (activity 3.1.4.1)</w:t>
            </w:r>
          </w:p>
        </w:tc>
        <w:tc>
          <w:tcPr>
            <w:tcW w:w="441" w:type="pct"/>
            <w:shd w:val="clear" w:color="auto" w:fill="auto"/>
            <w:noWrap/>
            <w:vAlign w:val="center"/>
            <w:hideMark/>
          </w:tcPr>
          <w:p w14:paraId="468BBAD6"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606" w:type="pct"/>
            <w:shd w:val="clear" w:color="auto" w:fill="auto"/>
            <w:noWrap/>
            <w:vAlign w:val="center"/>
            <w:hideMark/>
          </w:tcPr>
          <w:p w14:paraId="798B7C01"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423" w:type="pct"/>
            <w:shd w:val="clear" w:color="auto" w:fill="auto"/>
            <w:noWrap/>
            <w:vAlign w:val="center"/>
            <w:hideMark/>
          </w:tcPr>
          <w:p w14:paraId="77213183"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120,000</w:t>
            </w:r>
          </w:p>
        </w:tc>
        <w:tc>
          <w:tcPr>
            <w:tcW w:w="423" w:type="pct"/>
            <w:shd w:val="clear" w:color="auto" w:fill="auto"/>
            <w:noWrap/>
            <w:vAlign w:val="center"/>
            <w:hideMark/>
          </w:tcPr>
          <w:p w14:paraId="4F75783C"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8926332"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52F4675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052DE102"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120,000</w:t>
            </w:r>
          </w:p>
        </w:tc>
        <w:tc>
          <w:tcPr>
            <w:tcW w:w="443" w:type="pct"/>
            <w:shd w:val="clear" w:color="auto" w:fill="auto"/>
            <w:noWrap/>
            <w:vAlign w:val="center"/>
            <w:hideMark/>
          </w:tcPr>
          <w:p w14:paraId="4C1DC020"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21F3C477" w14:textId="77777777" w:rsidTr="004A3EAF">
        <w:trPr>
          <w:trHeight w:val="540"/>
        </w:trPr>
        <w:tc>
          <w:tcPr>
            <w:tcW w:w="1565" w:type="pct"/>
            <w:shd w:val="clear" w:color="auto" w:fill="auto"/>
            <w:vAlign w:val="center"/>
            <w:hideMark/>
          </w:tcPr>
          <w:p w14:paraId="0863A071"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xml:space="preserve">Consultancy firm to develop a strategy and implement </w:t>
            </w:r>
            <w:proofErr w:type="spellStart"/>
            <w:r w:rsidRPr="004A3EAF">
              <w:rPr>
                <w:rFonts w:eastAsia="Times New Roman"/>
                <w:color w:val="000000"/>
                <w:sz w:val="14"/>
                <w:szCs w:val="14"/>
                <w:lang w:val="en-US"/>
              </w:rPr>
              <w:t>Agro</w:t>
            </w:r>
            <w:proofErr w:type="spellEnd"/>
            <w:r w:rsidRPr="004A3EAF">
              <w:rPr>
                <w:rFonts w:eastAsia="Times New Roman"/>
                <w:color w:val="000000"/>
                <w:sz w:val="14"/>
                <w:szCs w:val="14"/>
                <w:lang w:val="en-US"/>
              </w:rPr>
              <w:t xml:space="preserve">-economy and value chain to Support women entrepreneurs and to support with the selection and provision of urban green spaces over 18months </w:t>
            </w:r>
          </w:p>
        </w:tc>
        <w:tc>
          <w:tcPr>
            <w:tcW w:w="441" w:type="pct"/>
            <w:shd w:val="clear" w:color="auto" w:fill="auto"/>
            <w:noWrap/>
            <w:vAlign w:val="center"/>
            <w:hideMark/>
          </w:tcPr>
          <w:p w14:paraId="710EC585"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606" w:type="pct"/>
            <w:shd w:val="clear" w:color="auto" w:fill="auto"/>
            <w:noWrap/>
            <w:vAlign w:val="center"/>
            <w:hideMark/>
          </w:tcPr>
          <w:p w14:paraId="5EBC818A"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423" w:type="pct"/>
            <w:shd w:val="clear" w:color="auto" w:fill="auto"/>
            <w:noWrap/>
            <w:vAlign w:val="center"/>
            <w:hideMark/>
          </w:tcPr>
          <w:p w14:paraId="00C27FA7"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100,000</w:t>
            </w:r>
          </w:p>
        </w:tc>
        <w:tc>
          <w:tcPr>
            <w:tcW w:w="423" w:type="pct"/>
            <w:shd w:val="clear" w:color="auto" w:fill="auto"/>
            <w:noWrap/>
            <w:vAlign w:val="center"/>
            <w:hideMark/>
          </w:tcPr>
          <w:p w14:paraId="40A7C81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7FB3EA7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3436501D"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22AC38A3"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100,000</w:t>
            </w:r>
          </w:p>
        </w:tc>
        <w:tc>
          <w:tcPr>
            <w:tcW w:w="443" w:type="pct"/>
            <w:shd w:val="clear" w:color="auto" w:fill="auto"/>
            <w:noWrap/>
            <w:vAlign w:val="center"/>
            <w:hideMark/>
          </w:tcPr>
          <w:p w14:paraId="44057F5C"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2C0A8BE9" w14:textId="77777777" w:rsidTr="004A3EAF">
        <w:trPr>
          <w:trHeight w:val="300"/>
        </w:trPr>
        <w:tc>
          <w:tcPr>
            <w:tcW w:w="1565" w:type="pct"/>
            <w:shd w:val="clear" w:color="auto" w:fill="auto"/>
            <w:vAlign w:val="center"/>
            <w:hideMark/>
          </w:tcPr>
          <w:p w14:paraId="1FC4CD1E"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xml:space="preserve">Consultancy firm to update national urban </w:t>
            </w:r>
            <w:proofErr w:type="gramStart"/>
            <w:r w:rsidRPr="004A3EAF">
              <w:rPr>
                <w:rFonts w:eastAsia="Times New Roman"/>
                <w:color w:val="000000"/>
                <w:sz w:val="14"/>
                <w:szCs w:val="14"/>
                <w:lang w:val="en-US"/>
              </w:rPr>
              <w:t>policy,  for</w:t>
            </w:r>
            <w:proofErr w:type="gramEnd"/>
            <w:r w:rsidRPr="004A3EAF">
              <w:rPr>
                <w:rFonts w:eastAsia="Times New Roman"/>
                <w:color w:val="000000"/>
                <w:sz w:val="14"/>
                <w:szCs w:val="14"/>
                <w:lang w:val="en-US"/>
              </w:rPr>
              <w:t xml:space="preserve"> 10 months</w:t>
            </w:r>
          </w:p>
        </w:tc>
        <w:tc>
          <w:tcPr>
            <w:tcW w:w="441" w:type="pct"/>
            <w:shd w:val="clear" w:color="auto" w:fill="auto"/>
            <w:noWrap/>
            <w:vAlign w:val="center"/>
            <w:hideMark/>
          </w:tcPr>
          <w:p w14:paraId="5BFDC11A"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70,000</w:t>
            </w:r>
          </w:p>
        </w:tc>
        <w:tc>
          <w:tcPr>
            <w:tcW w:w="606" w:type="pct"/>
            <w:shd w:val="clear" w:color="auto" w:fill="auto"/>
            <w:noWrap/>
            <w:vAlign w:val="center"/>
            <w:hideMark/>
          </w:tcPr>
          <w:p w14:paraId="30E5EE0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7FE9EF8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4C976F4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894D13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302BA77D"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15C54533"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70,000</w:t>
            </w:r>
          </w:p>
        </w:tc>
        <w:tc>
          <w:tcPr>
            <w:tcW w:w="443" w:type="pct"/>
            <w:shd w:val="clear" w:color="auto" w:fill="auto"/>
            <w:noWrap/>
            <w:vAlign w:val="center"/>
            <w:hideMark/>
          </w:tcPr>
          <w:p w14:paraId="4BFC6063"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580768CE" w14:textId="77777777" w:rsidTr="004A3EAF">
        <w:trPr>
          <w:trHeight w:val="540"/>
        </w:trPr>
        <w:tc>
          <w:tcPr>
            <w:tcW w:w="1565" w:type="pct"/>
            <w:shd w:val="clear" w:color="auto" w:fill="auto"/>
            <w:vAlign w:val="center"/>
            <w:hideMark/>
          </w:tcPr>
          <w:p w14:paraId="2BA62A3C"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lastRenderedPageBreak/>
              <w:t>Consultancy firm to develop a Study to Strengthening Spatial Planning and Land Governance in the future Unified District of Bamako over 24 months</w:t>
            </w:r>
          </w:p>
        </w:tc>
        <w:tc>
          <w:tcPr>
            <w:tcW w:w="441" w:type="pct"/>
            <w:shd w:val="clear" w:color="auto" w:fill="auto"/>
            <w:noWrap/>
            <w:vAlign w:val="center"/>
            <w:hideMark/>
          </w:tcPr>
          <w:p w14:paraId="20AF094E"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131,000</w:t>
            </w:r>
          </w:p>
        </w:tc>
        <w:tc>
          <w:tcPr>
            <w:tcW w:w="606" w:type="pct"/>
            <w:shd w:val="clear" w:color="auto" w:fill="auto"/>
            <w:noWrap/>
            <w:vAlign w:val="center"/>
            <w:hideMark/>
          </w:tcPr>
          <w:p w14:paraId="7604B01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2CE3D8B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BFCC7A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B844B3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4D45D53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0B10A7C6"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131,000</w:t>
            </w:r>
          </w:p>
        </w:tc>
        <w:tc>
          <w:tcPr>
            <w:tcW w:w="443" w:type="pct"/>
            <w:shd w:val="clear" w:color="auto" w:fill="auto"/>
            <w:noWrap/>
            <w:vAlign w:val="center"/>
            <w:hideMark/>
          </w:tcPr>
          <w:p w14:paraId="19010AC8"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1C6462F9" w14:textId="77777777" w:rsidTr="004A3EAF">
        <w:trPr>
          <w:trHeight w:val="540"/>
        </w:trPr>
        <w:tc>
          <w:tcPr>
            <w:tcW w:w="1565" w:type="pct"/>
            <w:shd w:val="clear" w:color="auto" w:fill="auto"/>
            <w:vAlign w:val="center"/>
            <w:hideMark/>
          </w:tcPr>
          <w:p w14:paraId="2F4C91FC"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Consultancy firm for the development of a Master Plan for the economic attractiveness of Greater Bamako and its territorial marketing plan over 18 months</w:t>
            </w:r>
          </w:p>
        </w:tc>
        <w:tc>
          <w:tcPr>
            <w:tcW w:w="441" w:type="pct"/>
            <w:shd w:val="clear" w:color="auto" w:fill="auto"/>
            <w:noWrap/>
            <w:vAlign w:val="center"/>
            <w:hideMark/>
          </w:tcPr>
          <w:p w14:paraId="278940A6"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90,000</w:t>
            </w:r>
          </w:p>
        </w:tc>
        <w:tc>
          <w:tcPr>
            <w:tcW w:w="606" w:type="pct"/>
            <w:shd w:val="clear" w:color="auto" w:fill="auto"/>
            <w:noWrap/>
            <w:vAlign w:val="center"/>
            <w:hideMark/>
          </w:tcPr>
          <w:p w14:paraId="5781DA7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2BA645D2"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24D14D2D"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0C8A808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38728CD2"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1D9127D6"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90,000</w:t>
            </w:r>
          </w:p>
        </w:tc>
        <w:tc>
          <w:tcPr>
            <w:tcW w:w="443" w:type="pct"/>
            <w:shd w:val="clear" w:color="auto" w:fill="auto"/>
            <w:noWrap/>
            <w:vAlign w:val="center"/>
            <w:hideMark/>
          </w:tcPr>
          <w:p w14:paraId="64B20486"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3EA99446" w14:textId="77777777" w:rsidTr="004A3EAF">
        <w:trPr>
          <w:trHeight w:val="360"/>
        </w:trPr>
        <w:tc>
          <w:tcPr>
            <w:tcW w:w="1565" w:type="pct"/>
            <w:shd w:val="clear" w:color="auto" w:fill="auto"/>
            <w:vAlign w:val="center"/>
            <w:hideMark/>
          </w:tcPr>
          <w:p w14:paraId="52359936"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Consultancy firm to carry out strategic study for the creation of secondary connected urban hubs around Bamako, over 14-month</w:t>
            </w:r>
          </w:p>
        </w:tc>
        <w:tc>
          <w:tcPr>
            <w:tcW w:w="441" w:type="pct"/>
            <w:shd w:val="clear" w:color="auto" w:fill="auto"/>
            <w:noWrap/>
            <w:vAlign w:val="center"/>
            <w:hideMark/>
          </w:tcPr>
          <w:p w14:paraId="6D4393A4"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79,350</w:t>
            </w:r>
          </w:p>
        </w:tc>
        <w:tc>
          <w:tcPr>
            <w:tcW w:w="606" w:type="pct"/>
            <w:shd w:val="clear" w:color="auto" w:fill="auto"/>
            <w:noWrap/>
            <w:vAlign w:val="center"/>
            <w:hideMark/>
          </w:tcPr>
          <w:p w14:paraId="5483F16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4D14CA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4C76275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BCF0BF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0109FB4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76F90397"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79,350</w:t>
            </w:r>
          </w:p>
        </w:tc>
        <w:tc>
          <w:tcPr>
            <w:tcW w:w="443" w:type="pct"/>
            <w:shd w:val="clear" w:color="auto" w:fill="auto"/>
            <w:noWrap/>
            <w:vAlign w:val="center"/>
            <w:hideMark/>
          </w:tcPr>
          <w:p w14:paraId="4A0BB849"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798B299E" w14:textId="77777777" w:rsidTr="004A3EAF">
        <w:trPr>
          <w:trHeight w:val="360"/>
        </w:trPr>
        <w:tc>
          <w:tcPr>
            <w:tcW w:w="1565" w:type="pct"/>
            <w:shd w:val="clear" w:color="auto" w:fill="auto"/>
            <w:vAlign w:val="center"/>
            <w:hideMark/>
          </w:tcPr>
          <w:p w14:paraId="0AAA0D69"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Consultancy firm to carry out the National Transport Policy Review over a period of 9 months</w:t>
            </w:r>
          </w:p>
        </w:tc>
        <w:tc>
          <w:tcPr>
            <w:tcW w:w="441" w:type="pct"/>
            <w:shd w:val="clear" w:color="auto" w:fill="auto"/>
            <w:noWrap/>
            <w:vAlign w:val="center"/>
            <w:hideMark/>
          </w:tcPr>
          <w:p w14:paraId="38D12FAA"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50,000</w:t>
            </w:r>
          </w:p>
        </w:tc>
        <w:tc>
          <w:tcPr>
            <w:tcW w:w="606" w:type="pct"/>
            <w:shd w:val="clear" w:color="auto" w:fill="auto"/>
            <w:noWrap/>
            <w:vAlign w:val="center"/>
            <w:hideMark/>
          </w:tcPr>
          <w:p w14:paraId="4C1E614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4486B67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7F11B1C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4DD863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2171E57D"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297D9E2A"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50,000</w:t>
            </w:r>
          </w:p>
        </w:tc>
        <w:tc>
          <w:tcPr>
            <w:tcW w:w="443" w:type="pct"/>
            <w:shd w:val="clear" w:color="auto" w:fill="auto"/>
            <w:noWrap/>
            <w:vAlign w:val="center"/>
            <w:hideMark/>
          </w:tcPr>
          <w:p w14:paraId="53297C1C"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731B8DFD" w14:textId="77777777" w:rsidTr="004A3EAF">
        <w:trPr>
          <w:trHeight w:val="540"/>
        </w:trPr>
        <w:tc>
          <w:tcPr>
            <w:tcW w:w="1565" w:type="pct"/>
            <w:shd w:val="clear" w:color="auto" w:fill="auto"/>
            <w:vAlign w:val="center"/>
            <w:hideMark/>
          </w:tcPr>
          <w:p w14:paraId="6AC87E5E"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Consultancy firm to develop a National Sustainable Waste Management Strategy and WEEE Pilot Implementation in Bamako over 16 months</w:t>
            </w:r>
          </w:p>
        </w:tc>
        <w:tc>
          <w:tcPr>
            <w:tcW w:w="441" w:type="pct"/>
            <w:shd w:val="clear" w:color="auto" w:fill="auto"/>
            <w:noWrap/>
            <w:vAlign w:val="center"/>
            <w:hideMark/>
          </w:tcPr>
          <w:p w14:paraId="28A4D29D"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62,500</w:t>
            </w:r>
          </w:p>
        </w:tc>
        <w:tc>
          <w:tcPr>
            <w:tcW w:w="606" w:type="pct"/>
            <w:shd w:val="clear" w:color="auto" w:fill="auto"/>
            <w:noWrap/>
            <w:vAlign w:val="center"/>
            <w:hideMark/>
          </w:tcPr>
          <w:p w14:paraId="56308B4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F5B1BA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053F88E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71735C6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71ACE9D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11945BF1"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62,500</w:t>
            </w:r>
          </w:p>
        </w:tc>
        <w:tc>
          <w:tcPr>
            <w:tcW w:w="443" w:type="pct"/>
            <w:shd w:val="clear" w:color="auto" w:fill="auto"/>
            <w:noWrap/>
            <w:vAlign w:val="center"/>
            <w:hideMark/>
          </w:tcPr>
          <w:p w14:paraId="0397D6E4"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46A91E07" w14:textId="77777777" w:rsidTr="004A3EAF">
        <w:trPr>
          <w:trHeight w:val="540"/>
        </w:trPr>
        <w:tc>
          <w:tcPr>
            <w:tcW w:w="1565" w:type="pct"/>
            <w:shd w:val="clear" w:color="auto" w:fill="auto"/>
            <w:vAlign w:val="center"/>
            <w:hideMark/>
          </w:tcPr>
          <w:p w14:paraId="032326B7"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Consultancy firm to design and implement a national and territorial capacity-building plan on integrated urban planning for NDUPH and IUDP stakeholders, for 36 months</w:t>
            </w:r>
          </w:p>
        </w:tc>
        <w:tc>
          <w:tcPr>
            <w:tcW w:w="441" w:type="pct"/>
            <w:shd w:val="clear" w:color="auto" w:fill="auto"/>
            <w:noWrap/>
            <w:vAlign w:val="center"/>
            <w:hideMark/>
          </w:tcPr>
          <w:p w14:paraId="7690DB12"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70,000</w:t>
            </w:r>
          </w:p>
        </w:tc>
        <w:tc>
          <w:tcPr>
            <w:tcW w:w="606" w:type="pct"/>
            <w:shd w:val="clear" w:color="auto" w:fill="auto"/>
            <w:noWrap/>
            <w:vAlign w:val="center"/>
            <w:hideMark/>
          </w:tcPr>
          <w:p w14:paraId="2E31424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2C81DD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422EAE7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3E78C0F"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34F4CED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2EB04BE6"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70,000</w:t>
            </w:r>
          </w:p>
        </w:tc>
        <w:tc>
          <w:tcPr>
            <w:tcW w:w="443" w:type="pct"/>
            <w:shd w:val="clear" w:color="auto" w:fill="auto"/>
            <w:noWrap/>
            <w:vAlign w:val="center"/>
            <w:hideMark/>
          </w:tcPr>
          <w:p w14:paraId="3C5C9411"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392FB1A5" w14:textId="77777777" w:rsidTr="004A3EAF">
        <w:trPr>
          <w:trHeight w:val="360"/>
        </w:trPr>
        <w:tc>
          <w:tcPr>
            <w:tcW w:w="1565" w:type="pct"/>
            <w:shd w:val="clear" w:color="auto" w:fill="auto"/>
            <w:vAlign w:val="center"/>
            <w:hideMark/>
          </w:tcPr>
          <w:p w14:paraId="60F1C1D1"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Consultancy firm to conduct a study on the development of an Information System over 18 months</w:t>
            </w:r>
          </w:p>
        </w:tc>
        <w:tc>
          <w:tcPr>
            <w:tcW w:w="441" w:type="pct"/>
            <w:shd w:val="clear" w:color="auto" w:fill="auto"/>
            <w:noWrap/>
            <w:vAlign w:val="center"/>
            <w:hideMark/>
          </w:tcPr>
          <w:p w14:paraId="35A54F82"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45,000</w:t>
            </w:r>
          </w:p>
        </w:tc>
        <w:tc>
          <w:tcPr>
            <w:tcW w:w="606" w:type="pct"/>
            <w:shd w:val="clear" w:color="auto" w:fill="auto"/>
            <w:noWrap/>
            <w:vAlign w:val="center"/>
            <w:hideMark/>
          </w:tcPr>
          <w:p w14:paraId="21E80D3D"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E509CEC"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5A0F9AD"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B9749ED"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15FBC80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7735F149"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45,000</w:t>
            </w:r>
          </w:p>
        </w:tc>
        <w:tc>
          <w:tcPr>
            <w:tcW w:w="443" w:type="pct"/>
            <w:shd w:val="clear" w:color="auto" w:fill="auto"/>
            <w:noWrap/>
            <w:vAlign w:val="center"/>
            <w:hideMark/>
          </w:tcPr>
          <w:p w14:paraId="6B766C90"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12B18A96" w14:textId="77777777" w:rsidTr="004A3EAF">
        <w:trPr>
          <w:trHeight w:val="900"/>
        </w:trPr>
        <w:tc>
          <w:tcPr>
            <w:tcW w:w="1565" w:type="pct"/>
            <w:shd w:val="clear" w:color="auto" w:fill="auto"/>
            <w:vAlign w:val="center"/>
            <w:hideMark/>
          </w:tcPr>
          <w:p w14:paraId="75BEDEFB"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xml:space="preserve">Consultancy firm to </w:t>
            </w:r>
            <w:proofErr w:type="gramStart"/>
            <w:r w:rsidRPr="004A3EAF">
              <w:rPr>
                <w:rFonts w:eastAsia="Times New Roman"/>
                <w:color w:val="000000"/>
                <w:sz w:val="14"/>
                <w:szCs w:val="14"/>
                <w:lang w:val="en-US"/>
              </w:rPr>
              <w:t>conduct  2</w:t>
            </w:r>
            <w:proofErr w:type="gramEnd"/>
            <w:r w:rsidRPr="004A3EAF">
              <w:rPr>
                <w:rFonts w:eastAsia="Times New Roman"/>
                <w:color w:val="000000"/>
                <w:sz w:val="14"/>
                <w:szCs w:val="14"/>
                <w:lang w:val="en-US"/>
              </w:rPr>
              <w:t xml:space="preserve"> opinion Polls/surveys to set the baseline, to measure the change of behavior regarding sustainable practices and to develop a digital knowledge and gender-responsive data system under the Digital platform developed by PRUBA for Bamako City</w:t>
            </w:r>
          </w:p>
        </w:tc>
        <w:tc>
          <w:tcPr>
            <w:tcW w:w="441" w:type="pct"/>
            <w:shd w:val="clear" w:color="auto" w:fill="auto"/>
            <w:noWrap/>
            <w:vAlign w:val="center"/>
            <w:hideMark/>
          </w:tcPr>
          <w:p w14:paraId="367D2D6F"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606" w:type="pct"/>
            <w:shd w:val="clear" w:color="auto" w:fill="auto"/>
            <w:noWrap/>
            <w:vAlign w:val="center"/>
            <w:hideMark/>
          </w:tcPr>
          <w:p w14:paraId="7B44C4AD"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423" w:type="pct"/>
            <w:shd w:val="clear" w:color="auto" w:fill="auto"/>
            <w:noWrap/>
            <w:vAlign w:val="center"/>
            <w:hideMark/>
          </w:tcPr>
          <w:p w14:paraId="183A1A62"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423" w:type="pct"/>
            <w:shd w:val="clear" w:color="auto" w:fill="auto"/>
            <w:noWrap/>
            <w:vAlign w:val="center"/>
            <w:hideMark/>
          </w:tcPr>
          <w:p w14:paraId="0812ED0F"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80,000</w:t>
            </w:r>
          </w:p>
        </w:tc>
        <w:tc>
          <w:tcPr>
            <w:tcW w:w="423" w:type="pct"/>
            <w:shd w:val="clear" w:color="auto" w:fill="auto"/>
            <w:noWrap/>
            <w:vAlign w:val="center"/>
            <w:hideMark/>
          </w:tcPr>
          <w:p w14:paraId="591D088D"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49DDFA9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63E345E0"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80,000</w:t>
            </w:r>
          </w:p>
        </w:tc>
        <w:tc>
          <w:tcPr>
            <w:tcW w:w="443" w:type="pct"/>
            <w:shd w:val="clear" w:color="auto" w:fill="auto"/>
            <w:noWrap/>
            <w:vAlign w:val="center"/>
            <w:hideMark/>
          </w:tcPr>
          <w:p w14:paraId="20FC861B"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63EA5A41" w14:textId="77777777" w:rsidTr="004A3EAF">
        <w:trPr>
          <w:trHeight w:val="300"/>
        </w:trPr>
        <w:tc>
          <w:tcPr>
            <w:tcW w:w="1565" w:type="pct"/>
            <w:shd w:val="clear" w:color="000000" w:fill="C0E6F5"/>
            <w:vAlign w:val="center"/>
            <w:hideMark/>
          </w:tcPr>
          <w:p w14:paraId="401E48A0" w14:textId="77777777" w:rsidR="004A3EAF" w:rsidRPr="00004DA9" w:rsidRDefault="004A3EAF" w:rsidP="0067547D">
            <w:pPr>
              <w:spacing w:after="0" w:line="240" w:lineRule="auto"/>
              <w:rPr>
                <w:rFonts w:eastAsia="Times New Roman"/>
                <w:b/>
                <w:bCs/>
                <w:color w:val="000000"/>
                <w:sz w:val="14"/>
                <w:szCs w:val="14"/>
              </w:rPr>
            </w:pPr>
            <w:proofErr w:type="spellStart"/>
            <w:r w:rsidRPr="00004DA9">
              <w:rPr>
                <w:rFonts w:eastAsia="Times New Roman"/>
                <w:b/>
                <w:bCs/>
                <w:color w:val="000000"/>
                <w:sz w:val="14"/>
                <w:szCs w:val="14"/>
              </w:rPr>
              <w:t>Contractual</w:t>
            </w:r>
            <w:proofErr w:type="spellEnd"/>
            <w:r w:rsidRPr="00004DA9">
              <w:rPr>
                <w:rFonts w:eastAsia="Times New Roman"/>
                <w:b/>
                <w:bCs/>
                <w:color w:val="000000"/>
                <w:sz w:val="14"/>
                <w:szCs w:val="14"/>
              </w:rPr>
              <w:t xml:space="preserve"> Services </w:t>
            </w:r>
            <w:proofErr w:type="spellStart"/>
            <w:r w:rsidRPr="00004DA9">
              <w:rPr>
                <w:rFonts w:eastAsia="Times New Roman"/>
                <w:b/>
                <w:bCs/>
                <w:color w:val="000000"/>
                <w:sz w:val="14"/>
                <w:szCs w:val="14"/>
              </w:rPr>
              <w:t>Individual</w:t>
            </w:r>
            <w:proofErr w:type="spellEnd"/>
          </w:p>
        </w:tc>
        <w:tc>
          <w:tcPr>
            <w:tcW w:w="441" w:type="pct"/>
            <w:shd w:val="clear" w:color="000000" w:fill="C0E6F5"/>
            <w:vAlign w:val="center"/>
            <w:hideMark/>
          </w:tcPr>
          <w:p w14:paraId="64D4FB70"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606" w:type="pct"/>
            <w:shd w:val="clear" w:color="000000" w:fill="C0E6F5"/>
            <w:vAlign w:val="center"/>
            <w:hideMark/>
          </w:tcPr>
          <w:p w14:paraId="59BEE54E"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0B6FD794"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5CADEE01"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179080C5"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321" w:type="pct"/>
            <w:shd w:val="clear" w:color="000000" w:fill="C0E6F5"/>
            <w:vAlign w:val="center"/>
            <w:hideMark/>
          </w:tcPr>
          <w:p w14:paraId="1DA8C854"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354" w:type="pct"/>
            <w:shd w:val="clear" w:color="000000" w:fill="C0E6F5"/>
            <w:vAlign w:val="center"/>
            <w:hideMark/>
          </w:tcPr>
          <w:p w14:paraId="6F1A1248"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43" w:type="pct"/>
            <w:shd w:val="clear" w:color="000000" w:fill="C0E6F5"/>
            <w:vAlign w:val="center"/>
            <w:hideMark/>
          </w:tcPr>
          <w:p w14:paraId="563C5734"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r>
      <w:tr w:rsidR="004A3EAF" w:rsidRPr="00004DA9" w14:paraId="6B41E394" w14:textId="77777777" w:rsidTr="004A3EAF">
        <w:trPr>
          <w:trHeight w:val="1440"/>
        </w:trPr>
        <w:tc>
          <w:tcPr>
            <w:tcW w:w="1565" w:type="pct"/>
            <w:shd w:val="clear" w:color="auto" w:fill="auto"/>
            <w:vAlign w:val="center"/>
            <w:hideMark/>
          </w:tcPr>
          <w:p w14:paraId="30954CD3" w14:textId="77777777" w:rsidR="004A3EAF" w:rsidRPr="004A3EAF" w:rsidRDefault="004A3EAF" w:rsidP="0067547D">
            <w:pPr>
              <w:spacing w:after="0" w:line="240" w:lineRule="auto"/>
              <w:rPr>
                <w:rFonts w:eastAsia="Times New Roman"/>
                <w:sz w:val="14"/>
                <w:szCs w:val="14"/>
                <w:lang w:val="en-US"/>
              </w:rPr>
            </w:pPr>
            <w:r w:rsidRPr="004A3EAF">
              <w:rPr>
                <w:rFonts w:eastAsia="Times New Roman"/>
                <w:sz w:val="14"/>
                <w:szCs w:val="14"/>
                <w:lang w:val="en-US"/>
              </w:rPr>
              <w:t>This budget is allocated to cover 90% PM salary from GEF and 10% Co-finance (See Annex 7  for detailed TOR):</w:t>
            </w:r>
            <w:r w:rsidRPr="004A3EAF">
              <w:rPr>
                <w:rFonts w:eastAsia="Times New Roman"/>
                <w:sz w:val="14"/>
                <w:szCs w:val="14"/>
                <w:lang w:val="en-US"/>
              </w:rPr>
              <w:br/>
              <w:t xml:space="preserve">- 60% the salary @ US$3225/month over 5 year to perform technical assistance to component 3 (outcome 3,1) </w:t>
            </w:r>
            <w:r w:rsidRPr="004A3EAF">
              <w:rPr>
                <w:rFonts w:eastAsia="Times New Roman"/>
                <w:sz w:val="14"/>
                <w:szCs w:val="14"/>
                <w:lang w:val="en-US"/>
              </w:rPr>
              <w:br/>
              <w:t xml:space="preserve">- 10% the salary @ US$3225/month  over 5 years to perform technical assistance to component 1 (outcome 1.2) </w:t>
            </w:r>
            <w:r w:rsidRPr="004A3EAF">
              <w:rPr>
                <w:rFonts w:eastAsia="Times New Roman"/>
                <w:sz w:val="14"/>
                <w:szCs w:val="14"/>
                <w:lang w:val="en-US"/>
              </w:rPr>
              <w:br/>
              <w:t xml:space="preserve">- 20% the salary @ US$3225/month over 5 year to perform technical assistance to component 1 (outcome 1.1) </w:t>
            </w:r>
          </w:p>
        </w:tc>
        <w:tc>
          <w:tcPr>
            <w:tcW w:w="441" w:type="pct"/>
            <w:shd w:val="clear" w:color="auto" w:fill="auto"/>
            <w:noWrap/>
            <w:vAlign w:val="center"/>
            <w:hideMark/>
          </w:tcPr>
          <w:p w14:paraId="6AB112FE" w14:textId="77777777" w:rsidR="004A3EAF" w:rsidRPr="00004DA9" w:rsidRDefault="004A3EAF" w:rsidP="0067547D">
            <w:pPr>
              <w:spacing w:after="0" w:line="240" w:lineRule="auto"/>
              <w:jc w:val="right"/>
              <w:rPr>
                <w:rFonts w:eastAsia="Times New Roman"/>
                <w:sz w:val="14"/>
                <w:szCs w:val="14"/>
              </w:rPr>
            </w:pPr>
            <w:r w:rsidRPr="00004DA9">
              <w:rPr>
                <w:rFonts w:eastAsia="Times New Roman"/>
                <w:sz w:val="14"/>
                <w:szCs w:val="14"/>
              </w:rPr>
              <w:t>58,050</w:t>
            </w:r>
          </w:p>
        </w:tc>
        <w:tc>
          <w:tcPr>
            <w:tcW w:w="606" w:type="pct"/>
            <w:shd w:val="clear" w:color="auto" w:fill="auto"/>
            <w:noWrap/>
            <w:vAlign w:val="center"/>
            <w:hideMark/>
          </w:tcPr>
          <w:p w14:paraId="26327A09" w14:textId="77777777" w:rsidR="004A3EAF" w:rsidRPr="00004DA9" w:rsidRDefault="004A3EAF" w:rsidP="0067547D">
            <w:pPr>
              <w:spacing w:after="0" w:line="240" w:lineRule="auto"/>
              <w:rPr>
                <w:rFonts w:eastAsia="Times New Roman"/>
                <w:sz w:val="14"/>
                <w:szCs w:val="14"/>
              </w:rPr>
            </w:pPr>
            <w:r w:rsidRPr="00004DA9">
              <w:rPr>
                <w:rFonts w:eastAsia="Times New Roman"/>
                <w:sz w:val="14"/>
                <w:szCs w:val="14"/>
              </w:rPr>
              <w:t> </w:t>
            </w:r>
          </w:p>
        </w:tc>
        <w:tc>
          <w:tcPr>
            <w:tcW w:w="423" w:type="pct"/>
            <w:shd w:val="clear" w:color="auto" w:fill="auto"/>
            <w:noWrap/>
            <w:vAlign w:val="center"/>
            <w:hideMark/>
          </w:tcPr>
          <w:p w14:paraId="798063FD" w14:textId="77777777" w:rsidR="004A3EAF" w:rsidRPr="00004DA9" w:rsidRDefault="004A3EAF" w:rsidP="0067547D">
            <w:pPr>
              <w:spacing w:after="0" w:line="240" w:lineRule="auto"/>
              <w:jc w:val="right"/>
              <w:rPr>
                <w:rFonts w:eastAsia="Times New Roman"/>
                <w:sz w:val="14"/>
                <w:szCs w:val="14"/>
              </w:rPr>
            </w:pPr>
            <w:r w:rsidRPr="00004DA9">
              <w:rPr>
                <w:rFonts w:eastAsia="Times New Roman"/>
                <w:sz w:val="14"/>
                <w:szCs w:val="14"/>
              </w:rPr>
              <w:t>116,100</w:t>
            </w:r>
          </w:p>
        </w:tc>
        <w:tc>
          <w:tcPr>
            <w:tcW w:w="423" w:type="pct"/>
            <w:shd w:val="clear" w:color="auto" w:fill="auto"/>
            <w:noWrap/>
            <w:vAlign w:val="center"/>
            <w:hideMark/>
          </w:tcPr>
          <w:p w14:paraId="4D88CE01" w14:textId="77777777" w:rsidR="004A3EAF" w:rsidRPr="00004DA9" w:rsidRDefault="004A3EAF" w:rsidP="0067547D">
            <w:pPr>
              <w:spacing w:after="0" w:line="240" w:lineRule="auto"/>
              <w:rPr>
                <w:rFonts w:eastAsia="Times New Roman"/>
                <w:sz w:val="14"/>
                <w:szCs w:val="14"/>
              </w:rPr>
            </w:pPr>
            <w:r w:rsidRPr="00004DA9">
              <w:rPr>
                <w:rFonts w:eastAsia="Times New Roman"/>
                <w:sz w:val="14"/>
                <w:szCs w:val="14"/>
              </w:rPr>
              <w:t> </w:t>
            </w:r>
          </w:p>
        </w:tc>
        <w:tc>
          <w:tcPr>
            <w:tcW w:w="423" w:type="pct"/>
            <w:shd w:val="clear" w:color="auto" w:fill="auto"/>
            <w:noWrap/>
            <w:vAlign w:val="center"/>
            <w:hideMark/>
          </w:tcPr>
          <w:p w14:paraId="1453E830" w14:textId="77777777" w:rsidR="004A3EAF" w:rsidRPr="00004DA9" w:rsidRDefault="004A3EAF" w:rsidP="0067547D">
            <w:pPr>
              <w:spacing w:after="0" w:line="240" w:lineRule="auto"/>
              <w:rPr>
                <w:rFonts w:eastAsia="Times New Roman"/>
                <w:sz w:val="14"/>
                <w:szCs w:val="14"/>
              </w:rPr>
            </w:pPr>
            <w:r w:rsidRPr="00004DA9">
              <w:rPr>
                <w:rFonts w:eastAsia="Times New Roman"/>
                <w:sz w:val="14"/>
                <w:szCs w:val="14"/>
              </w:rPr>
              <w:t> </w:t>
            </w:r>
          </w:p>
        </w:tc>
        <w:tc>
          <w:tcPr>
            <w:tcW w:w="321" w:type="pct"/>
            <w:shd w:val="clear" w:color="auto" w:fill="auto"/>
            <w:noWrap/>
            <w:vAlign w:val="center"/>
            <w:hideMark/>
          </w:tcPr>
          <w:p w14:paraId="71FF3B86" w14:textId="77777777" w:rsidR="004A3EAF" w:rsidRPr="00004DA9" w:rsidRDefault="004A3EAF" w:rsidP="0067547D">
            <w:pPr>
              <w:spacing w:after="0" w:line="240" w:lineRule="auto"/>
              <w:rPr>
                <w:rFonts w:eastAsia="Times New Roman"/>
                <w:sz w:val="14"/>
                <w:szCs w:val="14"/>
              </w:rPr>
            </w:pPr>
            <w:r w:rsidRPr="00004DA9">
              <w:rPr>
                <w:rFonts w:eastAsia="Times New Roman"/>
                <w:sz w:val="14"/>
                <w:szCs w:val="14"/>
              </w:rPr>
              <w:t> </w:t>
            </w:r>
          </w:p>
        </w:tc>
        <w:tc>
          <w:tcPr>
            <w:tcW w:w="354" w:type="pct"/>
            <w:shd w:val="clear" w:color="auto" w:fill="auto"/>
            <w:noWrap/>
            <w:vAlign w:val="center"/>
            <w:hideMark/>
          </w:tcPr>
          <w:p w14:paraId="679B6576" w14:textId="77777777" w:rsidR="004A3EAF" w:rsidRPr="00004DA9" w:rsidRDefault="004A3EAF" w:rsidP="0067547D">
            <w:pPr>
              <w:spacing w:after="0" w:line="240" w:lineRule="auto"/>
              <w:jc w:val="right"/>
              <w:rPr>
                <w:rFonts w:eastAsia="Times New Roman"/>
                <w:sz w:val="14"/>
                <w:szCs w:val="14"/>
              </w:rPr>
            </w:pPr>
            <w:r w:rsidRPr="00004DA9">
              <w:rPr>
                <w:rFonts w:eastAsia="Times New Roman"/>
                <w:sz w:val="14"/>
                <w:szCs w:val="14"/>
              </w:rPr>
              <w:t>174,150</w:t>
            </w:r>
          </w:p>
        </w:tc>
        <w:tc>
          <w:tcPr>
            <w:tcW w:w="443" w:type="pct"/>
            <w:shd w:val="clear" w:color="auto" w:fill="auto"/>
            <w:noWrap/>
            <w:vAlign w:val="center"/>
            <w:hideMark/>
          </w:tcPr>
          <w:p w14:paraId="4F903B5B" w14:textId="77777777" w:rsidR="004A3EAF" w:rsidRPr="00004DA9" w:rsidRDefault="004A3EAF" w:rsidP="0067547D">
            <w:pPr>
              <w:spacing w:after="0" w:line="240" w:lineRule="auto"/>
              <w:rPr>
                <w:rFonts w:eastAsia="Times New Roman"/>
                <w:sz w:val="12"/>
                <w:szCs w:val="12"/>
              </w:rPr>
            </w:pPr>
            <w:r w:rsidRPr="00004DA9">
              <w:rPr>
                <w:rFonts w:eastAsia="Times New Roman"/>
                <w:sz w:val="12"/>
                <w:szCs w:val="12"/>
              </w:rPr>
              <w:t>NDUPH</w:t>
            </w:r>
          </w:p>
        </w:tc>
      </w:tr>
      <w:tr w:rsidR="004A3EAF" w:rsidRPr="00004DA9" w14:paraId="048DFC7F" w14:textId="77777777" w:rsidTr="004A3EAF">
        <w:trPr>
          <w:trHeight w:val="540"/>
        </w:trPr>
        <w:tc>
          <w:tcPr>
            <w:tcW w:w="1565" w:type="pct"/>
            <w:shd w:val="clear" w:color="auto" w:fill="auto"/>
            <w:vAlign w:val="center"/>
            <w:hideMark/>
          </w:tcPr>
          <w:p w14:paraId="59C49695"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xml:space="preserve">Finance and Admin Officer (100% of the salary @ US$2,150/month over 5 years) for carrying out all general financial </w:t>
            </w:r>
            <w:proofErr w:type="gramStart"/>
            <w:r w:rsidRPr="004A3EAF">
              <w:rPr>
                <w:rFonts w:eastAsia="Times New Roman"/>
                <w:color w:val="000000"/>
                <w:sz w:val="14"/>
                <w:szCs w:val="14"/>
                <w:lang w:val="en-US"/>
              </w:rPr>
              <w:t>management  functions</w:t>
            </w:r>
            <w:proofErr w:type="gramEnd"/>
            <w:r w:rsidRPr="004A3EAF">
              <w:rPr>
                <w:rFonts w:eastAsia="Times New Roman"/>
                <w:color w:val="000000"/>
                <w:sz w:val="14"/>
                <w:szCs w:val="14"/>
                <w:lang w:val="en-US"/>
              </w:rPr>
              <w:t xml:space="preserve"> (See Annex 7 for details TOR) </w:t>
            </w:r>
          </w:p>
        </w:tc>
        <w:tc>
          <w:tcPr>
            <w:tcW w:w="441" w:type="pct"/>
            <w:shd w:val="clear" w:color="auto" w:fill="auto"/>
            <w:noWrap/>
            <w:vAlign w:val="center"/>
            <w:hideMark/>
          </w:tcPr>
          <w:p w14:paraId="65D1A8AB"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606" w:type="pct"/>
            <w:shd w:val="clear" w:color="auto" w:fill="auto"/>
            <w:noWrap/>
            <w:vAlign w:val="center"/>
            <w:hideMark/>
          </w:tcPr>
          <w:p w14:paraId="3740A075"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423" w:type="pct"/>
            <w:shd w:val="clear" w:color="auto" w:fill="auto"/>
            <w:noWrap/>
            <w:vAlign w:val="center"/>
            <w:hideMark/>
          </w:tcPr>
          <w:p w14:paraId="45587767"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423" w:type="pct"/>
            <w:shd w:val="clear" w:color="auto" w:fill="auto"/>
            <w:noWrap/>
            <w:vAlign w:val="center"/>
            <w:hideMark/>
          </w:tcPr>
          <w:p w14:paraId="6DE98E85"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423" w:type="pct"/>
            <w:shd w:val="clear" w:color="auto" w:fill="auto"/>
            <w:noWrap/>
            <w:vAlign w:val="center"/>
            <w:hideMark/>
          </w:tcPr>
          <w:p w14:paraId="340D77EF"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w:t>
            </w:r>
          </w:p>
        </w:tc>
        <w:tc>
          <w:tcPr>
            <w:tcW w:w="321" w:type="pct"/>
            <w:shd w:val="clear" w:color="auto" w:fill="auto"/>
            <w:noWrap/>
            <w:vAlign w:val="center"/>
            <w:hideMark/>
          </w:tcPr>
          <w:p w14:paraId="03BEC9CB"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129,000</w:t>
            </w:r>
          </w:p>
        </w:tc>
        <w:tc>
          <w:tcPr>
            <w:tcW w:w="354" w:type="pct"/>
            <w:shd w:val="clear" w:color="auto" w:fill="auto"/>
            <w:noWrap/>
            <w:vAlign w:val="center"/>
            <w:hideMark/>
          </w:tcPr>
          <w:p w14:paraId="49502C8A"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129,000</w:t>
            </w:r>
          </w:p>
        </w:tc>
        <w:tc>
          <w:tcPr>
            <w:tcW w:w="443" w:type="pct"/>
            <w:shd w:val="clear" w:color="auto" w:fill="auto"/>
            <w:noWrap/>
            <w:vAlign w:val="center"/>
            <w:hideMark/>
          </w:tcPr>
          <w:p w14:paraId="23C98207"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12C80F18" w14:textId="77777777" w:rsidTr="004A3EAF">
        <w:trPr>
          <w:trHeight w:val="540"/>
        </w:trPr>
        <w:tc>
          <w:tcPr>
            <w:tcW w:w="1565" w:type="pct"/>
            <w:shd w:val="clear" w:color="auto" w:fill="auto"/>
            <w:vAlign w:val="center"/>
            <w:hideMark/>
          </w:tcPr>
          <w:p w14:paraId="561C3F38" w14:textId="77777777" w:rsidR="004A3EAF" w:rsidRPr="004A3EAF" w:rsidRDefault="004A3EAF" w:rsidP="0067547D">
            <w:pPr>
              <w:spacing w:after="0" w:line="240" w:lineRule="auto"/>
              <w:rPr>
                <w:rFonts w:eastAsia="Times New Roman"/>
                <w:color w:val="000000"/>
                <w:sz w:val="14"/>
                <w:szCs w:val="14"/>
                <w:lang w:val="en-US"/>
              </w:rPr>
            </w:pPr>
            <w:r w:rsidRPr="004A3EAF">
              <w:rPr>
                <w:rFonts w:eastAsia="Times New Roman"/>
                <w:color w:val="000000"/>
                <w:sz w:val="14"/>
                <w:szCs w:val="14"/>
                <w:lang w:val="en-US"/>
              </w:rPr>
              <w:t xml:space="preserve">60%VNU cost of Gender and </w:t>
            </w:r>
            <w:proofErr w:type="gramStart"/>
            <w:r w:rsidRPr="004A3EAF">
              <w:rPr>
                <w:rFonts w:eastAsia="Times New Roman"/>
                <w:color w:val="000000"/>
                <w:sz w:val="14"/>
                <w:szCs w:val="14"/>
                <w:lang w:val="en-US"/>
              </w:rPr>
              <w:t>ESS :</w:t>
            </w:r>
            <w:proofErr w:type="gramEnd"/>
            <w:r w:rsidRPr="004A3EAF">
              <w:rPr>
                <w:rFonts w:eastAsia="Times New Roman"/>
                <w:color w:val="000000"/>
                <w:sz w:val="14"/>
                <w:szCs w:val="14"/>
                <w:lang w:val="en-US"/>
              </w:rPr>
              <w:t xml:space="preserve"> 60%x1250/monthx12months x 5 years  - and 100% VNU cost </w:t>
            </w:r>
            <w:proofErr w:type="spellStart"/>
            <w:r w:rsidRPr="004A3EAF">
              <w:rPr>
                <w:rFonts w:eastAsia="Times New Roman"/>
                <w:color w:val="000000"/>
                <w:sz w:val="14"/>
                <w:szCs w:val="14"/>
                <w:lang w:val="en-US"/>
              </w:rPr>
              <w:t>ofM&amp;E</w:t>
            </w:r>
            <w:proofErr w:type="spellEnd"/>
            <w:r w:rsidRPr="004A3EAF">
              <w:rPr>
                <w:rFonts w:eastAsia="Times New Roman"/>
                <w:color w:val="000000"/>
                <w:sz w:val="14"/>
                <w:szCs w:val="14"/>
                <w:lang w:val="en-US"/>
              </w:rPr>
              <w:t xml:space="preserve"> Specialist -$1250/months x 12 months x 5 years </w:t>
            </w:r>
          </w:p>
        </w:tc>
        <w:tc>
          <w:tcPr>
            <w:tcW w:w="441" w:type="pct"/>
            <w:shd w:val="clear" w:color="auto" w:fill="auto"/>
            <w:noWrap/>
            <w:vAlign w:val="center"/>
            <w:hideMark/>
          </w:tcPr>
          <w:p w14:paraId="14B23232" w14:textId="77777777" w:rsidR="004A3EAF" w:rsidRPr="00004DA9" w:rsidRDefault="004A3EAF" w:rsidP="0067547D">
            <w:pPr>
              <w:spacing w:after="0" w:line="240" w:lineRule="auto"/>
              <w:rPr>
                <w:rFonts w:eastAsia="Times New Roman"/>
                <w:color w:val="000000"/>
                <w:sz w:val="14"/>
                <w:szCs w:val="14"/>
              </w:rPr>
            </w:pPr>
            <w:r w:rsidRPr="004A3EAF">
              <w:rPr>
                <w:rFonts w:eastAsia="Times New Roman"/>
                <w:color w:val="000000"/>
                <w:sz w:val="14"/>
                <w:szCs w:val="14"/>
                <w:lang w:val="en-US"/>
              </w:rPr>
              <w:t xml:space="preserve">                  </w:t>
            </w:r>
            <w:r w:rsidRPr="00004DA9">
              <w:rPr>
                <w:rFonts w:eastAsia="Times New Roman"/>
                <w:color w:val="000000"/>
                <w:sz w:val="14"/>
                <w:szCs w:val="14"/>
              </w:rPr>
              <w:t xml:space="preserve">-   </w:t>
            </w:r>
          </w:p>
        </w:tc>
        <w:tc>
          <w:tcPr>
            <w:tcW w:w="606" w:type="pct"/>
            <w:shd w:val="clear" w:color="auto" w:fill="auto"/>
            <w:noWrap/>
            <w:vAlign w:val="center"/>
            <w:hideMark/>
          </w:tcPr>
          <w:p w14:paraId="133C5C6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0DB132F6"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1FCB78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71A47D5" w14:textId="77777777" w:rsidR="004A3EAF" w:rsidRPr="00004DA9" w:rsidRDefault="004A3EAF" w:rsidP="0067547D">
            <w:pPr>
              <w:spacing w:after="0" w:line="240" w:lineRule="auto"/>
              <w:jc w:val="center"/>
              <w:rPr>
                <w:rFonts w:eastAsia="Times New Roman"/>
                <w:color w:val="000000"/>
                <w:sz w:val="14"/>
                <w:szCs w:val="14"/>
              </w:rPr>
            </w:pPr>
            <w:r w:rsidRPr="00004DA9">
              <w:rPr>
                <w:rFonts w:eastAsia="Times New Roman"/>
                <w:color w:val="000000"/>
                <w:sz w:val="14"/>
                <w:szCs w:val="14"/>
              </w:rPr>
              <w:t>####</w:t>
            </w:r>
          </w:p>
        </w:tc>
        <w:tc>
          <w:tcPr>
            <w:tcW w:w="321" w:type="pct"/>
            <w:shd w:val="clear" w:color="auto" w:fill="auto"/>
            <w:noWrap/>
            <w:vAlign w:val="center"/>
            <w:hideMark/>
          </w:tcPr>
          <w:p w14:paraId="0642854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40FFD8E6"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120,000</w:t>
            </w:r>
          </w:p>
        </w:tc>
        <w:tc>
          <w:tcPr>
            <w:tcW w:w="443" w:type="pct"/>
            <w:shd w:val="clear" w:color="auto" w:fill="auto"/>
            <w:noWrap/>
            <w:vAlign w:val="center"/>
            <w:hideMark/>
          </w:tcPr>
          <w:p w14:paraId="3230BCCF"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22CE60AD" w14:textId="77777777" w:rsidTr="004A3EAF">
        <w:trPr>
          <w:trHeight w:val="540"/>
        </w:trPr>
        <w:tc>
          <w:tcPr>
            <w:tcW w:w="1565" w:type="pct"/>
            <w:shd w:val="clear" w:color="auto" w:fill="auto"/>
            <w:vAlign w:val="center"/>
            <w:hideMark/>
          </w:tcPr>
          <w:p w14:paraId="1FF7C08C" w14:textId="77777777" w:rsidR="004A3EAF" w:rsidRPr="00F50786" w:rsidRDefault="004A3EAF" w:rsidP="0067547D">
            <w:pPr>
              <w:spacing w:after="0" w:line="240" w:lineRule="auto"/>
              <w:rPr>
                <w:rFonts w:eastAsia="Times New Roman"/>
                <w:color w:val="000000"/>
                <w:sz w:val="14"/>
                <w:szCs w:val="14"/>
                <w:lang w:val="en-US"/>
                <w:rPrChange w:id="89"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90" w:author="Ali Sambou" w:date="2026-01-06T13:25:00Z" w16du:dateUtc="2026-01-06T13:25:00Z">
                  <w:rPr>
                    <w:rFonts w:eastAsia="Times New Roman"/>
                    <w:color w:val="000000"/>
                    <w:sz w:val="14"/>
                    <w:szCs w:val="14"/>
                  </w:rPr>
                </w:rPrChange>
              </w:rPr>
              <w:t xml:space="preserve">Prorata cost </w:t>
            </w:r>
            <w:proofErr w:type="gramStart"/>
            <w:r w:rsidRPr="00F50786">
              <w:rPr>
                <w:rFonts w:eastAsia="Times New Roman"/>
                <w:color w:val="000000"/>
                <w:sz w:val="14"/>
                <w:szCs w:val="14"/>
                <w:lang w:val="en-US"/>
                <w:rPrChange w:id="91" w:author="Ali Sambou" w:date="2026-01-06T13:25:00Z" w16du:dateUtc="2026-01-06T13:25:00Z">
                  <w:rPr>
                    <w:rFonts w:eastAsia="Times New Roman"/>
                    <w:color w:val="000000"/>
                    <w:sz w:val="14"/>
                    <w:szCs w:val="14"/>
                  </w:rPr>
                </w:rPrChange>
              </w:rPr>
              <w:t>of:</w:t>
            </w:r>
            <w:proofErr w:type="gramEnd"/>
            <w:r w:rsidRPr="00F50786">
              <w:rPr>
                <w:rFonts w:eastAsia="Times New Roman"/>
                <w:color w:val="000000"/>
                <w:sz w:val="14"/>
                <w:szCs w:val="14"/>
                <w:lang w:val="en-US"/>
                <w:rPrChange w:id="92" w:author="Ali Sambou" w:date="2026-01-06T13:25:00Z" w16du:dateUtc="2026-01-06T13:25:00Z">
                  <w:rPr>
                    <w:rFonts w:eastAsia="Times New Roman"/>
                    <w:color w:val="000000"/>
                    <w:sz w:val="14"/>
                    <w:szCs w:val="14"/>
                  </w:rPr>
                </w:rPrChange>
              </w:rPr>
              <w:t xml:space="preserve"> 40%VNU cost of Gender and ESS 40%x1250/monthx12months x 5 years - and 100% VNU cost l KM and Communication Specialist -$1250/months x 12 months x 5 years</w:t>
            </w:r>
          </w:p>
        </w:tc>
        <w:tc>
          <w:tcPr>
            <w:tcW w:w="441" w:type="pct"/>
            <w:shd w:val="clear" w:color="auto" w:fill="auto"/>
            <w:noWrap/>
            <w:vAlign w:val="center"/>
            <w:hideMark/>
          </w:tcPr>
          <w:p w14:paraId="7EA27081" w14:textId="77777777" w:rsidR="004A3EAF" w:rsidRPr="00F50786" w:rsidRDefault="004A3EAF" w:rsidP="0067547D">
            <w:pPr>
              <w:spacing w:after="0" w:line="240" w:lineRule="auto"/>
              <w:rPr>
                <w:rFonts w:eastAsia="Times New Roman"/>
                <w:color w:val="000000"/>
                <w:sz w:val="14"/>
                <w:szCs w:val="14"/>
                <w:lang w:val="en-US"/>
                <w:rPrChange w:id="93"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94"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38C3072A" w14:textId="77777777" w:rsidR="004A3EAF" w:rsidRPr="00F50786" w:rsidRDefault="004A3EAF" w:rsidP="0067547D">
            <w:pPr>
              <w:spacing w:after="0" w:line="240" w:lineRule="auto"/>
              <w:rPr>
                <w:rFonts w:eastAsia="Times New Roman"/>
                <w:color w:val="000000"/>
                <w:sz w:val="14"/>
                <w:szCs w:val="14"/>
                <w:lang w:val="en-US"/>
                <w:rPrChange w:id="95"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96" w:author="Ali Sambou" w:date="2026-01-06T13:25:00Z" w16du:dateUtc="2026-01-06T13:25:00Z">
                  <w:rPr>
                    <w:rFonts w:eastAsia="Times New Roman"/>
                    <w:color w:val="000000"/>
                    <w:sz w:val="14"/>
                    <w:szCs w:val="14"/>
                  </w:rPr>
                </w:rPrChange>
              </w:rPr>
              <w:t> </w:t>
            </w:r>
          </w:p>
        </w:tc>
        <w:tc>
          <w:tcPr>
            <w:tcW w:w="423" w:type="pct"/>
            <w:shd w:val="clear" w:color="auto" w:fill="auto"/>
            <w:noWrap/>
            <w:vAlign w:val="center"/>
            <w:hideMark/>
          </w:tcPr>
          <w:p w14:paraId="2CF6AB4E" w14:textId="77777777" w:rsidR="004A3EAF" w:rsidRPr="00F50786" w:rsidRDefault="004A3EAF" w:rsidP="0067547D">
            <w:pPr>
              <w:spacing w:after="0" w:line="240" w:lineRule="auto"/>
              <w:rPr>
                <w:rFonts w:eastAsia="Times New Roman"/>
                <w:color w:val="000000"/>
                <w:sz w:val="14"/>
                <w:szCs w:val="14"/>
                <w:lang w:val="en-US"/>
                <w:rPrChange w:id="97"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98" w:author="Ali Sambou" w:date="2026-01-06T13:25:00Z" w16du:dateUtc="2026-01-06T13:25:00Z">
                  <w:rPr>
                    <w:rFonts w:eastAsia="Times New Roman"/>
                    <w:color w:val="000000"/>
                    <w:sz w:val="14"/>
                    <w:szCs w:val="14"/>
                  </w:rPr>
                </w:rPrChange>
              </w:rPr>
              <w:t> </w:t>
            </w:r>
          </w:p>
        </w:tc>
        <w:tc>
          <w:tcPr>
            <w:tcW w:w="423" w:type="pct"/>
            <w:shd w:val="clear" w:color="auto" w:fill="auto"/>
            <w:noWrap/>
            <w:vAlign w:val="center"/>
            <w:hideMark/>
          </w:tcPr>
          <w:p w14:paraId="0E168909"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105,000</w:t>
            </w:r>
          </w:p>
        </w:tc>
        <w:tc>
          <w:tcPr>
            <w:tcW w:w="423" w:type="pct"/>
            <w:shd w:val="clear" w:color="auto" w:fill="auto"/>
            <w:noWrap/>
            <w:vAlign w:val="center"/>
            <w:hideMark/>
          </w:tcPr>
          <w:p w14:paraId="1193CC8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6E19271C"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55FE4A7E"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105,000</w:t>
            </w:r>
          </w:p>
        </w:tc>
        <w:tc>
          <w:tcPr>
            <w:tcW w:w="443" w:type="pct"/>
            <w:shd w:val="clear" w:color="auto" w:fill="auto"/>
            <w:noWrap/>
            <w:vAlign w:val="center"/>
            <w:hideMark/>
          </w:tcPr>
          <w:p w14:paraId="177C9E37"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666CFC94" w14:textId="77777777" w:rsidTr="004A3EAF">
        <w:trPr>
          <w:trHeight w:val="300"/>
        </w:trPr>
        <w:tc>
          <w:tcPr>
            <w:tcW w:w="1565" w:type="pct"/>
            <w:shd w:val="clear" w:color="000000" w:fill="C0E6F5"/>
            <w:vAlign w:val="center"/>
            <w:hideMark/>
          </w:tcPr>
          <w:p w14:paraId="625F8544"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Equipment</w:t>
            </w:r>
          </w:p>
        </w:tc>
        <w:tc>
          <w:tcPr>
            <w:tcW w:w="441" w:type="pct"/>
            <w:shd w:val="clear" w:color="000000" w:fill="C0E6F5"/>
            <w:vAlign w:val="center"/>
            <w:hideMark/>
          </w:tcPr>
          <w:p w14:paraId="0588794B"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606" w:type="pct"/>
            <w:shd w:val="clear" w:color="000000" w:fill="C0E6F5"/>
            <w:vAlign w:val="center"/>
            <w:hideMark/>
          </w:tcPr>
          <w:p w14:paraId="5FA1E1D3"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6061429A"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0E44FDD1"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07C9F5AC"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321" w:type="pct"/>
            <w:shd w:val="clear" w:color="000000" w:fill="C0E6F5"/>
            <w:vAlign w:val="center"/>
            <w:hideMark/>
          </w:tcPr>
          <w:p w14:paraId="69E28A8B"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354" w:type="pct"/>
            <w:shd w:val="clear" w:color="000000" w:fill="C0E6F5"/>
            <w:vAlign w:val="center"/>
            <w:hideMark/>
          </w:tcPr>
          <w:p w14:paraId="32E9E624"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43" w:type="pct"/>
            <w:shd w:val="clear" w:color="000000" w:fill="C0E6F5"/>
            <w:vAlign w:val="center"/>
            <w:hideMark/>
          </w:tcPr>
          <w:p w14:paraId="522EBF48"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r>
      <w:tr w:rsidR="004A3EAF" w:rsidRPr="00004DA9" w14:paraId="2B71C23C" w14:textId="77777777" w:rsidTr="004A3EAF">
        <w:trPr>
          <w:trHeight w:val="540"/>
        </w:trPr>
        <w:tc>
          <w:tcPr>
            <w:tcW w:w="1565" w:type="pct"/>
            <w:shd w:val="clear" w:color="auto" w:fill="auto"/>
            <w:vAlign w:val="center"/>
            <w:hideMark/>
          </w:tcPr>
          <w:p w14:paraId="7E22A848" w14:textId="77777777" w:rsidR="004A3EAF" w:rsidRPr="00F50786" w:rsidRDefault="004A3EAF" w:rsidP="0067547D">
            <w:pPr>
              <w:spacing w:after="0" w:line="240" w:lineRule="auto"/>
              <w:rPr>
                <w:rFonts w:eastAsia="Times New Roman"/>
                <w:color w:val="000000"/>
                <w:sz w:val="14"/>
                <w:szCs w:val="14"/>
                <w:lang w:val="en-US"/>
                <w:rPrChange w:id="99"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00" w:author="Ali Sambou" w:date="2026-01-06T13:25:00Z" w16du:dateUtc="2026-01-06T13:25:00Z">
                  <w:rPr>
                    <w:rFonts w:eastAsia="Times New Roman"/>
                    <w:color w:val="000000"/>
                    <w:sz w:val="14"/>
                    <w:szCs w:val="14"/>
                  </w:rPr>
                </w:rPrChange>
              </w:rPr>
              <w:t>Marketing support materials (preservation, conditioning, packaging and labelling, kiosk for local sales -etc,) for women entrepreneurs in market-growing areas.</w:t>
            </w:r>
          </w:p>
        </w:tc>
        <w:tc>
          <w:tcPr>
            <w:tcW w:w="441" w:type="pct"/>
            <w:shd w:val="clear" w:color="auto" w:fill="auto"/>
            <w:noWrap/>
            <w:vAlign w:val="center"/>
            <w:hideMark/>
          </w:tcPr>
          <w:p w14:paraId="129ECF4A" w14:textId="77777777" w:rsidR="004A3EAF" w:rsidRPr="00F50786" w:rsidRDefault="004A3EAF" w:rsidP="0067547D">
            <w:pPr>
              <w:spacing w:after="0" w:line="240" w:lineRule="auto"/>
              <w:rPr>
                <w:rFonts w:eastAsia="Times New Roman"/>
                <w:color w:val="000000"/>
                <w:sz w:val="14"/>
                <w:szCs w:val="14"/>
                <w:lang w:val="en-US"/>
                <w:rPrChange w:id="101"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02"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71830A8B" w14:textId="77777777" w:rsidR="004A3EAF" w:rsidRPr="00F50786" w:rsidRDefault="004A3EAF" w:rsidP="0067547D">
            <w:pPr>
              <w:spacing w:after="0" w:line="240" w:lineRule="auto"/>
              <w:rPr>
                <w:rFonts w:eastAsia="Times New Roman"/>
                <w:color w:val="000000"/>
                <w:sz w:val="14"/>
                <w:szCs w:val="14"/>
                <w:lang w:val="en-US"/>
                <w:rPrChange w:id="103"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04" w:author="Ali Sambou" w:date="2026-01-06T13:25:00Z" w16du:dateUtc="2026-01-06T13:25:00Z">
                  <w:rPr>
                    <w:rFonts w:eastAsia="Times New Roman"/>
                    <w:color w:val="000000"/>
                    <w:sz w:val="14"/>
                    <w:szCs w:val="14"/>
                  </w:rPr>
                </w:rPrChange>
              </w:rPr>
              <w:t> </w:t>
            </w:r>
          </w:p>
        </w:tc>
        <w:tc>
          <w:tcPr>
            <w:tcW w:w="423" w:type="pct"/>
            <w:shd w:val="clear" w:color="auto" w:fill="auto"/>
            <w:noWrap/>
            <w:vAlign w:val="center"/>
            <w:hideMark/>
          </w:tcPr>
          <w:p w14:paraId="4B386D55"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16,500</w:t>
            </w:r>
          </w:p>
        </w:tc>
        <w:tc>
          <w:tcPr>
            <w:tcW w:w="423" w:type="pct"/>
            <w:shd w:val="clear" w:color="auto" w:fill="auto"/>
            <w:noWrap/>
            <w:vAlign w:val="center"/>
            <w:hideMark/>
          </w:tcPr>
          <w:p w14:paraId="4EC7330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4AFCF1D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64D60F8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031EB31F"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16,500</w:t>
            </w:r>
          </w:p>
        </w:tc>
        <w:tc>
          <w:tcPr>
            <w:tcW w:w="443" w:type="pct"/>
            <w:shd w:val="clear" w:color="auto" w:fill="auto"/>
            <w:noWrap/>
            <w:vAlign w:val="center"/>
            <w:hideMark/>
          </w:tcPr>
          <w:p w14:paraId="4BCA5027"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1B60D869" w14:textId="77777777" w:rsidTr="004A3EAF">
        <w:trPr>
          <w:trHeight w:val="540"/>
        </w:trPr>
        <w:tc>
          <w:tcPr>
            <w:tcW w:w="1565" w:type="pct"/>
            <w:shd w:val="clear" w:color="auto" w:fill="auto"/>
            <w:vAlign w:val="center"/>
            <w:hideMark/>
          </w:tcPr>
          <w:p w14:paraId="46354F03" w14:textId="77777777" w:rsidR="004A3EAF" w:rsidRPr="00F50786" w:rsidRDefault="004A3EAF" w:rsidP="0067547D">
            <w:pPr>
              <w:spacing w:after="0" w:line="240" w:lineRule="auto"/>
              <w:rPr>
                <w:rFonts w:eastAsia="Times New Roman"/>
                <w:color w:val="000000"/>
                <w:sz w:val="14"/>
                <w:szCs w:val="14"/>
                <w:lang w:val="en-US"/>
                <w:rPrChange w:id="105"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06" w:author="Ali Sambou" w:date="2026-01-06T13:25:00Z" w16du:dateUtc="2026-01-06T13:25:00Z">
                  <w:rPr>
                    <w:rFonts w:eastAsia="Times New Roman"/>
                    <w:color w:val="000000"/>
                    <w:sz w:val="14"/>
                    <w:szCs w:val="14"/>
                  </w:rPr>
                </w:rPrChange>
              </w:rPr>
              <w:t>Goods to the 2 sites of ecotourism (Bicycles, Hammocks or hanging tents, educational panels, designer sorting stations, composting, 10 solar kits for bungalows etc..)</w:t>
            </w:r>
          </w:p>
        </w:tc>
        <w:tc>
          <w:tcPr>
            <w:tcW w:w="441" w:type="pct"/>
            <w:shd w:val="clear" w:color="auto" w:fill="auto"/>
            <w:noWrap/>
            <w:vAlign w:val="center"/>
            <w:hideMark/>
          </w:tcPr>
          <w:p w14:paraId="0625106B" w14:textId="77777777" w:rsidR="004A3EAF" w:rsidRPr="00F50786" w:rsidRDefault="004A3EAF" w:rsidP="0067547D">
            <w:pPr>
              <w:spacing w:after="0" w:line="240" w:lineRule="auto"/>
              <w:rPr>
                <w:rFonts w:eastAsia="Times New Roman"/>
                <w:color w:val="000000"/>
                <w:sz w:val="14"/>
                <w:szCs w:val="14"/>
                <w:lang w:val="en-US"/>
                <w:rPrChange w:id="107"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08"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56F382AE" w14:textId="77777777" w:rsidR="004A3EAF" w:rsidRPr="00F50786" w:rsidRDefault="004A3EAF" w:rsidP="0067547D">
            <w:pPr>
              <w:spacing w:after="0" w:line="240" w:lineRule="auto"/>
              <w:rPr>
                <w:rFonts w:eastAsia="Times New Roman"/>
                <w:color w:val="000000"/>
                <w:sz w:val="14"/>
                <w:szCs w:val="14"/>
                <w:lang w:val="en-US"/>
                <w:rPrChange w:id="109"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10" w:author="Ali Sambou" w:date="2026-01-06T13:25:00Z" w16du:dateUtc="2026-01-06T13:25:00Z">
                  <w:rPr>
                    <w:rFonts w:eastAsia="Times New Roman"/>
                    <w:color w:val="000000"/>
                    <w:sz w:val="14"/>
                    <w:szCs w:val="14"/>
                  </w:rPr>
                </w:rPrChange>
              </w:rPr>
              <w:t> </w:t>
            </w:r>
          </w:p>
        </w:tc>
        <w:tc>
          <w:tcPr>
            <w:tcW w:w="423" w:type="pct"/>
            <w:shd w:val="clear" w:color="auto" w:fill="auto"/>
            <w:noWrap/>
            <w:vAlign w:val="center"/>
            <w:hideMark/>
          </w:tcPr>
          <w:p w14:paraId="56E934B0"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20,000</w:t>
            </w:r>
          </w:p>
        </w:tc>
        <w:tc>
          <w:tcPr>
            <w:tcW w:w="423" w:type="pct"/>
            <w:shd w:val="clear" w:color="auto" w:fill="auto"/>
            <w:noWrap/>
            <w:vAlign w:val="center"/>
            <w:hideMark/>
          </w:tcPr>
          <w:p w14:paraId="4B9717D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7E7B172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53352BC2"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39DC889E"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20,000</w:t>
            </w:r>
          </w:p>
        </w:tc>
        <w:tc>
          <w:tcPr>
            <w:tcW w:w="443" w:type="pct"/>
            <w:shd w:val="clear" w:color="auto" w:fill="auto"/>
            <w:noWrap/>
            <w:vAlign w:val="center"/>
            <w:hideMark/>
          </w:tcPr>
          <w:p w14:paraId="5C71F8C0"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45F16832" w14:textId="77777777" w:rsidTr="004A3EAF">
        <w:trPr>
          <w:trHeight w:val="360"/>
        </w:trPr>
        <w:tc>
          <w:tcPr>
            <w:tcW w:w="1565" w:type="pct"/>
            <w:shd w:val="clear" w:color="auto" w:fill="auto"/>
            <w:vAlign w:val="center"/>
            <w:hideMark/>
          </w:tcPr>
          <w:p w14:paraId="6D5AF4E1" w14:textId="77777777" w:rsidR="004A3EAF" w:rsidRPr="00F50786" w:rsidRDefault="004A3EAF" w:rsidP="0067547D">
            <w:pPr>
              <w:spacing w:after="0" w:line="240" w:lineRule="auto"/>
              <w:rPr>
                <w:rFonts w:eastAsia="Times New Roman"/>
                <w:color w:val="000000"/>
                <w:sz w:val="14"/>
                <w:szCs w:val="14"/>
                <w:lang w:val="en-US"/>
                <w:rPrChange w:id="111"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12" w:author="Ali Sambou" w:date="2026-01-06T13:25:00Z" w16du:dateUtc="2026-01-06T13:25:00Z">
                  <w:rPr>
                    <w:rFonts w:eastAsia="Times New Roman"/>
                    <w:color w:val="000000"/>
                    <w:sz w:val="14"/>
                    <w:szCs w:val="14"/>
                  </w:rPr>
                </w:rPrChange>
              </w:rPr>
              <w:t>Cost of office + Laptop for Knowledge Management and Communication Specialist, equipment maintenance costs</w:t>
            </w:r>
          </w:p>
        </w:tc>
        <w:tc>
          <w:tcPr>
            <w:tcW w:w="441" w:type="pct"/>
            <w:shd w:val="clear" w:color="auto" w:fill="auto"/>
            <w:noWrap/>
            <w:vAlign w:val="center"/>
            <w:hideMark/>
          </w:tcPr>
          <w:p w14:paraId="5571598B" w14:textId="77777777" w:rsidR="004A3EAF" w:rsidRPr="00004DA9" w:rsidRDefault="004A3EAF" w:rsidP="0067547D">
            <w:pPr>
              <w:spacing w:after="0" w:line="240" w:lineRule="auto"/>
              <w:rPr>
                <w:rFonts w:eastAsia="Times New Roman"/>
                <w:color w:val="000000"/>
                <w:sz w:val="14"/>
                <w:szCs w:val="14"/>
              </w:rPr>
            </w:pPr>
            <w:r w:rsidRPr="00F50786">
              <w:rPr>
                <w:rFonts w:eastAsia="Times New Roman"/>
                <w:color w:val="000000"/>
                <w:sz w:val="14"/>
                <w:szCs w:val="14"/>
                <w:lang w:val="en-US"/>
                <w:rPrChange w:id="113" w:author="Ali Sambou" w:date="2026-01-06T13:25:00Z" w16du:dateUtc="2026-01-06T13:25:00Z">
                  <w:rPr>
                    <w:rFonts w:eastAsia="Times New Roman"/>
                    <w:color w:val="000000"/>
                    <w:sz w:val="14"/>
                    <w:szCs w:val="14"/>
                  </w:rPr>
                </w:rPrChange>
              </w:rPr>
              <w:t xml:space="preserve">                  </w:t>
            </w:r>
            <w:r w:rsidRPr="00004DA9">
              <w:rPr>
                <w:rFonts w:eastAsia="Times New Roman"/>
                <w:color w:val="000000"/>
                <w:sz w:val="14"/>
                <w:szCs w:val="14"/>
              </w:rPr>
              <w:t xml:space="preserve">-   </w:t>
            </w:r>
          </w:p>
        </w:tc>
        <w:tc>
          <w:tcPr>
            <w:tcW w:w="606" w:type="pct"/>
            <w:shd w:val="clear" w:color="auto" w:fill="auto"/>
            <w:noWrap/>
            <w:vAlign w:val="center"/>
            <w:hideMark/>
          </w:tcPr>
          <w:p w14:paraId="7885026F"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21BB4D7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2997B2DC"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6,268</w:t>
            </w:r>
          </w:p>
        </w:tc>
        <w:tc>
          <w:tcPr>
            <w:tcW w:w="423" w:type="pct"/>
            <w:shd w:val="clear" w:color="auto" w:fill="auto"/>
            <w:noWrap/>
            <w:vAlign w:val="center"/>
            <w:hideMark/>
          </w:tcPr>
          <w:p w14:paraId="3BB5799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3C065D4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5B34B126"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6,268</w:t>
            </w:r>
          </w:p>
        </w:tc>
        <w:tc>
          <w:tcPr>
            <w:tcW w:w="443" w:type="pct"/>
            <w:shd w:val="clear" w:color="auto" w:fill="auto"/>
            <w:noWrap/>
            <w:vAlign w:val="center"/>
            <w:hideMark/>
          </w:tcPr>
          <w:p w14:paraId="0F7CE888"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01EA20B4" w14:textId="77777777" w:rsidTr="004A3EAF">
        <w:trPr>
          <w:trHeight w:val="300"/>
        </w:trPr>
        <w:tc>
          <w:tcPr>
            <w:tcW w:w="1565" w:type="pct"/>
            <w:shd w:val="clear" w:color="auto" w:fill="auto"/>
            <w:vAlign w:val="center"/>
            <w:hideMark/>
          </w:tcPr>
          <w:p w14:paraId="5937283E" w14:textId="77777777" w:rsidR="004A3EAF" w:rsidRPr="00F50786" w:rsidRDefault="004A3EAF" w:rsidP="0067547D">
            <w:pPr>
              <w:spacing w:after="0" w:line="240" w:lineRule="auto"/>
              <w:rPr>
                <w:rFonts w:eastAsia="Times New Roman"/>
                <w:color w:val="000000"/>
                <w:sz w:val="14"/>
                <w:szCs w:val="14"/>
                <w:lang w:val="en-US"/>
                <w:rPrChange w:id="114"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15" w:author="Ali Sambou" w:date="2026-01-06T13:25:00Z" w16du:dateUtc="2026-01-06T13:25:00Z">
                  <w:rPr>
                    <w:rFonts w:eastAsia="Times New Roman"/>
                    <w:color w:val="000000"/>
                    <w:sz w:val="14"/>
                    <w:szCs w:val="14"/>
                  </w:rPr>
                </w:rPrChange>
              </w:rPr>
              <w:t>Laptops, printers, software, renewal/upgrade of certain equipment.</w:t>
            </w:r>
          </w:p>
        </w:tc>
        <w:tc>
          <w:tcPr>
            <w:tcW w:w="441" w:type="pct"/>
            <w:shd w:val="clear" w:color="auto" w:fill="auto"/>
            <w:noWrap/>
            <w:vAlign w:val="center"/>
            <w:hideMark/>
          </w:tcPr>
          <w:p w14:paraId="340FC9CF" w14:textId="77777777" w:rsidR="004A3EAF" w:rsidRPr="00004DA9" w:rsidRDefault="004A3EAF" w:rsidP="0067547D">
            <w:pPr>
              <w:spacing w:after="0" w:line="240" w:lineRule="auto"/>
              <w:rPr>
                <w:rFonts w:eastAsia="Times New Roman"/>
                <w:color w:val="000000"/>
                <w:sz w:val="14"/>
                <w:szCs w:val="14"/>
              </w:rPr>
            </w:pPr>
            <w:r w:rsidRPr="00F50786">
              <w:rPr>
                <w:rFonts w:eastAsia="Times New Roman"/>
                <w:color w:val="000000"/>
                <w:sz w:val="14"/>
                <w:szCs w:val="14"/>
                <w:lang w:val="en-US"/>
                <w:rPrChange w:id="116" w:author="Ali Sambou" w:date="2026-01-06T13:25:00Z" w16du:dateUtc="2026-01-06T13:25:00Z">
                  <w:rPr>
                    <w:rFonts w:eastAsia="Times New Roman"/>
                    <w:color w:val="000000"/>
                    <w:sz w:val="14"/>
                    <w:szCs w:val="14"/>
                  </w:rPr>
                </w:rPrChange>
              </w:rPr>
              <w:t xml:space="preserve">                  </w:t>
            </w:r>
            <w:r w:rsidRPr="00004DA9">
              <w:rPr>
                <w:rFonts w:eastAsia="Times New Roman"/>
                <w:color w:val="000000"/>
                <w:sz w:val="14"/>
                <w:szCs w:val="14"/>
              </w:rPr>
              <w:t xml:space="preserve">-   </w:t>
            </w:r>
          </w:p>
        </w:tc>
        <w:tc>
          <w:tcPr>
            <w:tcW w:w="606" w:type="pct"/>
            <w:shd w:val="clear" w:color="auto" w:fill="auto"/>
            <w:noWrap/>
            <w:vAlign w:val="center"/>
            <w:hideMark/>
          </w:tcPr>
          <w:p w14:paraId="5CBDEAA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7CDF19EC"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5F2611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0E8411B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7BA86933"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22,500</w:t>
            </w:r>
          </w:p>
        </w:tc>
        <w:tc>
          <w:tcPr>
            <w:tcW w:w="354" w:type="pct"/>
            <w:shd w:val="clear" w:color="auto" w:fill="auto"/>
            <w:noWrap/>
            <w:vAlign w:val="center"/>
            <w:hideMark/>
          </w:tcPr>
          <w:p w14:paraId="06D8D3EC"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22,500</w:t>
            </w:r>
          </w:p>
        </w:tc>
        <w:tc>
          <w:tcPr>
            <w:tcW w:w="443" w:type="pct"/>
            <w:shd w:val="clear" w:color="auto" w:fill="auto"/>
            <w:noWrap/>
            <w:vAlign w:val="center"/>
            <w:hideMark/>
          </w:tcPr>
          <w:p w14:paraId="4746CB18"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77569AC6" w14:textId="77777777" w:rsidTr="004A3EAF">
        <w:trPr>
          <w:trHeight w:val="300"/>
        </w:trPr>
        <w:tc>
          <w:tcPr>
            <w:tcW w:w="1565" w:type="pct"/>
            <w:shd w:val="clear" w:color="auto" w:fill="auto"/>
            <w:vAlign w:val="center"/>
            <w:hideMark/>
          </w:tcPr>
          <w:p w14:paraId="0DF549B9" w14:textId="77777777" w:rsidR="004A3EAF" w:rsidRPr="00F50786" w:rsidRDefault="004A3EAF" w:rsidP="0067547D">
            <w:pPr>
              <w:spacing w:after="0" w:line="240" w:lineRule="auto"/>
              <w:rPr>
                <w:rFonts w:eastAsia="Times New Roman"/>
                <w:color w:val="000000"/>
                <w:sz w:val="14"/>
                <w:szCs w:val="14"/>
                <w:lang w:val="en-US"/>
                <w:rPrChange w:id="117"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18" w:author="Ali Sambou" w:date="2026-01-06T13:25:00Z" w16du:dateUtc="2026-01-06T13:25:00Z">
                  <w:rPr>
                    <w:rFonts w:eastAsia="Times New Roman"/>
                    <w:color w:val="000000"/>
                    <w:sz w:val="14"/>
                    <w:szCs w:val="14"/>
                  </w:rPr>
                </w:rPrChange>
              </w:rPr>
              <w:t>Purchase of equipemnts or SIFOR</w:t>
            </w:r>
          </w:p>
        </w:tc>
        <w:tc>
          <w:tcPr>
            <w:tcW w:w="441" w:type="pct"/>
            <w:shd w:val="clear" w:color="auto" w:fill="auto"/>
            <w:noWrap/>
            <w:vAlign w:val="center"/>
            <w:hideMark/>
          </w:tcPr>
          <w:p w14:paraId="1619F7C2" w14:textId="77777777" w:rsidR="004A3EAF" w:rsidRPr="00004DA9" w:rsidRDefault="004A3EAF" w:rsidP="0067547D">
            <w:pPr>
              <w:spacing w:after="0" w:line="240" w:lineRule="auto"/>
              <w:rPr>
                <w:rFonts w:eastAsia="Times New Roman"/>
                <w:color w:val="000000"/>
                <w:sz w:val="14"/>
                <w:szCs w:val="14"/>
              </w:rPr>
            </w:pPr>
            <w:r w:rsidRPr="00F50786">
              <w:rPr>
                <w:rFonts w:eastAsia="Times New Roman"/>
                <w:color w:val="000000"/>
                <w:sz w:val="14"/>
                <w:szCs w:val="14"/>
                <w:lang w:val="en-US"/>
                <w:rPrChange w:id="119" w:author="Ali Sambou" w:date="2026-01-06T13:25:00Z" w16du:dateUtc="2026-01-06T13:25:00Z">
                  <w:rPr>
                    <w:rFonts w:eastAsia="Times New Roman"/>
                    <w:color w:val="000000"/>
                    <w:sz w:val="14"/>
                    <w:szCs w:val="14"/>
                  </w:rPr>
                </w:rPrChange>
              </w:rPr>
              <w:t xml:space="preserve">                  </w:t>
            </w:r>
            <w:r w:rsidRPr="00004DA9">
              <w:rPr>
                <w:rFonts w:eastAsia="Times New Roman"/>
                <w:color w:val="000000"/>
                <w:sz w:val="14"/>
                <w:szCs w:val="14"/>
              </w:rPr>
              <w:t xml:space="preserve">-   </w:t>
            </w:r>
          </w:p>
        </w:tc>
        <w:tc>
          <w:tcPr>
            <w:tcW w:w="606" w:type="pct"/>
            <w:shd w:val="clear" w:color="auto" w:fill="auto"/>
            <w:noWrap/>
            <w:vAlign w:val="center"/>
            <w:hideMark/>
          </w:tcPr>
          <w:p w14:paraId="7D4284C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7BEC7BB7"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40,500</w:t>
            </w:r>
          </w:p>
        </w:tc>
        <w:tc>
          <w:tcPr>
            <w:tcW w:w="423" w:type="pct"/>
            <w:shd w:val="clear" w:color="auto" w:fill="auto"/>
            <w:noWrap/>
            <w:vAlign w:val="center"/>
            <w:hideMark/>
          </w:tcPr>
          <w:p w14:paraId="3A5308F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E8B3AA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5E55F37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226A9538"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40,500</w:t>
            </w:r>
          </w:p>
        </w:tc>
        <w:tc>
          <w:tcPr>
            <w:tcW w:w="443" w:type="pct"/>
            <w:shd w:val="clear" w:color="auto" w:fill="auto"/>
            <w:noWrap/>
            <w:vAlign w:val="center"/>
            <w:hideMark/>
          </w:tcPr>
          <w:p w14:paraId="6DEB4F85"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47A74B62" w14:textId="77777777" w:rsidTr="004A3EAF">
        <w:trPr>
          <w:trHeight w:val="360"/>
        </w:trPr>
        <w:tc>
          <w:tcPr>
            <w:tcW w:w="1565" w:type="pct"/>
            <w:shd w:val="clear" w:color="auto" w:fill="auto"/>
            <w:vAlign w:val="center"/>
            <w:hideMark/>
          </w:tcPr>
          <w:p w14:paraId="507C88B4" w14:textId="77777777" w:rsidR="004A3EAF" w:rsidRPr="00F50786" w:rsidRDefault="004A3EAF" w:rsidP="0067547D">
            <w:pPr>
              <w:spacing w:after="0" w:line="240" w:lineRule="auto"/>
              <w:rPr>
                <w:rFonts w:eastAsia="Times New Roman"/>
                <w:color w:val="000000"/>
                <w:sz w:val="14"/>
                <w:szCs w:val="14"/>
                <w:lang w:val="en-US"/>
                <w:rPrChange w:id="120"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21" w:author="Ali Sambou" w:date="2026-01-06T13:25:00Z" w16du:dateUtc="2026-01-06T13:25:00Z">
                  <w:rPr>
                    <w:rFonts w:eastAsia="Times New Roman"/>
                    <w:color w:val="000000"/>
                    <w:sz w:val="14"/>
                    <w:szCs w:val="14"/>
                  </w:rPr>
                </w:rPrChange>
              </w:rPr>
              <w:t>Purchase of IT equipment and software for the two municipalities benefitting from the GIS support</w:t>
            </w:r>
          </w:p>
        </w:tc>
        <w:tc>
          <w:tcPr>
            <w:tcW w:w="441" w:type="pct"/>
            <w:shd w:val="clear" w:color="auto" w:fill="auto"/>
            <w:noWrap/>
            <w:vAlign w:val="center"/>
            <w:hideMark/>
          </w:tcPr>
          <w:p w14:paraId="54953516"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10,000</w:t>
            </w:r>
          </w:p>
        </w:tc>
        <w:tc>
          <w:tcPr>
            <w:tcW w:w="606" w:type="pct"/>
            <w:shd w:val="clear" w:color="auto" w:fill="auto"/>
            <w:noWrap/>
            <w:vAlign w:val="center"/>
            <w:hideMark/>
          </w:tcPr>
          <w:p w14:paraId="7B2262B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7131B229"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A8CCB3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265C4A8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3DA4FA0F"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7D19EE6F"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10,000</w:t>
            </w:r>
          </w:p>
        </w:tc>
        <w:tc>
          <w:tcPr>
            <w:tcW w:w="443" w:type="pct"/>
            <w:shd w:val="clear" w:color="auto" w:fill="auto"/>
            <w:noWrap/>
            <w:vAlign w:val="center"/>
            <w:hideMark/>
          </w:tcPr>
          <w:p w14:paraId="66DD021F"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20DDE6ED" w14:textId="77777777" w:rsidTr="004A3EAF">
        <w:trPr>
          <w:trHeight w:val="300"/>
        </w:trPr>
        <w:tc>
          <w:tcPr>
            <w:tcW w:w="1565" w:type="pct"/>
            <w:shd w:val="clear" w:color="auto" w:fill="auto"/>
            <w:vAlign w:val="center"/>
            <w:hideMark/>
          </w:tcPr>
          <w:p w14:paraId="7803CC8F"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xml:space="preserve"> </w:t>
            </w:r>
            <w:proofErr w:type="gramStart"/>
            <w:r w:rsidRPr="00004DA9">
              <w:rPr>
                <w:rFonts w:eastAsia="Times New Roman"/>
                <w:color w:val="000000"/>
                <w:sz w:val="14"/>
                <w:szCs w:val="14"/>
              </w:rPr>
              <w:t>laptop</w:t>
            </w:r>
            <w:proofErr w:type="gramEnd"/>
            <w:r w:rsidRPr="00004DA9">
              <w:rPr>
                <w:rFonts w:eastAsia="Times New Roman"/>
                <w:color w:val="000000"/>
                <w:sz w:val="14"/>
                <w:szCs w:val="14"/>
              </w:rPr>
              <w:t xml:space="preserve"> pour ESS and </w:t>
            </w:r>
            <w:proofErr w:type="spellStart"/>
            <w:r w:rsidRPr="00004DA9">
              <w:rPr>
                <w:rFonts w:eastAsia="Times New Roman"/>
                <w:color w:val="000000"/>
                <w:sz w:val="14"/>
                <w:szCs w:val="14"/>
              </w:rPr>
              <w:t>Gender</w:t>
            </w:r>
            <w:proofErr w:type="spellEnd"/>
            <w:r w:rsidRPr="00004DA9">
              <w:rPr>
                <w:rFonts w:eastAsia="Times New Roman"/>
                <w:color w:val="000000"/>
                <w:sz w:val="14"/>
                <w:szCs w:val="14"/>
              </w:rPr>
              <w:t xml:space="preserve"> </w:t>
            </w:r>
            <w:proofErr w:type="spellStart"/>
            <w:r w:rsidRPr="00004DA9">
              <w:rPr>
                <w:rFonts w:eastAsia="Times New Roman"/>
                <w:color w:val="000000"/>
                <w:sz w:val="14"/>
                <w:szCs w:val="14"/>
              </w:rPr>
              <w:t>specialist</w:t>
            </w:r>
            <w:proofErr w:type="spellEnd"/>
          </w:p>
        </w:tc>
        <w:tc>
          <w:tcPr>
            <w:tcW w:w="441" w:type="pct"/>
            <w:shd w:val="clear" w:color="auto" w:fill="auto"/>
            <w:noWrap/>
            <w:vAlign w:val="center"/>
            <w:hideMark/>
          </w:tcPr>
          <w:p w14:paraId="44CB819C"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606" w:type="pct"/>
            <w:shd w:val="clear" w:color="auto" w:fill="auto"/>
            <w:noWrap/>
            <w:vAlign w:val="center"/>
            <w:hideMark/>
          </w:tcPr>
          <w:p w14:paraId="4E381AA8"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3,000</w:t>
            </w:r>
          </w:p>
        </w:tc>
        <w:tc>
          <w:tcPr>
            <w:tcW w:w="423" w:type="pct"/>
            <w:shd w:val="clear" w:color="auto" w:fill="auto"/>
            <w:noWrap/>
            <w:vAlign w:val="center"/>
            <w:hideMark/>
          </w:tcPr>
          <w:p w14:paraId="596388D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A85192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F2231AD"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1DD88B26"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175EE75B"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3,000</w:t>
            </w:r>
          </w:p>
        </w:tc>
        <w:tc>
          <w:tcPr>
            <w:tcW w:w="443" w:type="pct"/>
            <w:shd w:val="clear" w:color="auto" w:fill="auto"/>
            <w:noWrap/>
            <w:vAlign w:val="center"/>
            <w:hideMark/>
          </w:tcPr>
          <w:p w14:paraId="2EDE4A87"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0F7D053A" w14:textId="77777777" w:rsidTr="004A3EAF">
        <w:trPr>
          <w:trHeight w:val="360"/>
        </w:trPr>
        <w:tc>
          <w:tcPr>
            <w:tcW w:w="1565" w:type="pct"/>
            <w:shd w:val="clear" w:color="auto" w:fill="auto"/>
            <w:vAlign w:val="center"/>
            <w:hideMark/>
          </w:tcPr>
          <w:p w14:paraId="7BF0C951" w14:textId="77777777" w:rsidR="004A3EAF" w:rsidRPr="00F50786" w:rsidRDefault="004A3EAF" w:rsidP="0067547D">
            <w:pPr>
              <w:spacing w:after="0" w:line="240" w:lineRule="auto"/>
              <w:rPr>
                <w:rFonts w:eastAsia="Times New Roman"/>
                <w:color w:val="000000"/>
                <w:sz w:val="14"/>
                <w:szCs w:val="14"/>
                <w:lang w:val="en-US"/>
                <w:rPrChange w:id="122"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23" w:author="Ali Sambou" w:date="2026-01-06T13:25:00Z" w16du:dateUtc="2026-01-06T13:25:00Z">
                  <w:rPr>
                    <w:rFonts w:eastAsia="Times New Roman"/>
                    <w:color w:val="000000"/>
                    <w:sz w:val="14"/>
                    <w:szCs w:val="14"/>
                  </w:rPr>
                </w:rPrChange>
              </w:rPr>
              <w:t>7 prototype recharging stations, contribution to solar panels systems set by the private sector (80%)</w:t>
            </w:r>
          </w:p>
        </w:tc>
        <w:tc>
          <w:tcPr>
            <w:tcW w:w="441" w:type="pct"/>
            <w:shd w:val="clear" w:color="auto" w:fill="auto"/>
            <w:noWrap/>
            <w:vAlign w:val="center"/>
            <w:hideMark/>
          </w:tcPr>
          <w:p w14:paraId="5F68239B" w14:textId="77777777" w:rsidR="004A3EAF" w:rsidRPr="00F50786" w:rsidRDefault="004A3EAF" w:rsidP="0067547D">
            <w:pPr>
              <w:spacing w:after="0" w:line="240" w:lineRule="auto"/>
              <w:rPr>
                <w:rFonts w:eastAsia="Times New Roman"/>
                <w:color w:val="000000"/>
                <w:sz w:val="14"/>
                <w:szCs w:val="14"/>
                <w:lang w:val="en-US"/>
                <w:rPrChange w:id="124"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25"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392AE2D3"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106,000</w:t>
            </w:r>
          </w:p>
        </w:tc>
        <w:tc>
          <w:tcPr>
            <w:tcW w:w="423" w:type="pct"/>
            <w:shd w:val="clear" w:color="auto" w:fill="auto"/>
            <w:noWrap/>
            <w:vAlign w:val="center"/>
            <w:hideMark/>
          </w:tcPr>
          <w:p w14:paraId="3D4C999C"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EADD129"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2D3DE36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3A4A4B5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4F38859E"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106,000</w:t>
            </w:r>
          </w:p>
        </w:tc>
        <w:tc>
          <w:tcPr>
            <w:tcW w:w="443" w:type="pct"/>
            <w:shd w:val="clear" w:color="auto" w:fill="auto"/>
            <w:noWrap/>
            <w:vAlign w:val="center"/>
            <w:hideMark/>
          </w:tcPr>
          <w:p w14:paraId="466AEFC4"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7DA308C9" w14:textId="77777777" w:rsidTr="004A3EAF">
        <w:trPr>
          <w:trHeight w:val="300"/>
        </w:trPr>
        <w:tc>
          <w:tcPr>
            <w:tcW w:w="1565" w:type="pct"/>
            <w:shd w:val="clear" w:color="auto" w:fill="auto"/>
            <w:vAlign w:val="center"/>
            <w:hideMark/>
          </w:tcPr>
          <w:p w14:paraId="4A3E3F70" w14:textId="77777777" w:rsidR="004A3EAF" w:rsidRPr="00F50786" w:rsidRDefault="004A3EAF" w:rsidP="0067547D">
            <w:pPr>
              <w:spacing w:after="0" w:line="240" w:lineRule="auto"/>
              <w:rPr>
                <w:rFonts w:eastAsia="Times New Roman"/>
                <w:color w:val="000000"/>
                <w:sz w:val="14"/>
                <w:szCs w:val="14"/>
                <w:lang w:val="en-US"/>
                <w:rPrChange w:id="126"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27" w:author="Ali Sambou" w:date="2026-01-06T13:25:00Z" w16du:dateUtc="2026-01-06T13:25:00Z">
                  <w:rPr>
                    <w:rFonts w:eastAsia="Times New Roman"/>
                    <w:color w:val="000000"/>
                    <w:sz w:val="14"/>
                    <w:szCs w:val="14"/>
                  </w:rPr>
                </w:rPrChange>
              </w:rPr>
              <w:t>a set of equipment for the DNAPCN mobile sensor lab</w:t>
            </w:r>
          </w:p>
        </w:tc>
        <w:tc>
          <w:tcPr>
            <w:tcW w:w="441" w:type="pct"/>
            <w:shd w:val="clear" w:color="auto" w:fill="auto"/>
            <w:noWrap/>
            <w:vAlign w:val="center"/>
            <w:hideMark/>
          </w:tcPr>
          <w:p w14:paraId="51147C76" w14:textId="77777777" w:rsidR="004A3EAF" w:rsidRPr="00F50786" w:rsidRDefault="004A3EAF" w:rsidP="0067547D">
            <w:pPr>
              <w:spacing w:after="0" w:line="240" w:lineRule="auto"/>
              <w:rPr>
                <w:rFonts w:eastAsia="Times New Roman"/>
                <w:color w:val="000000"/>
                <w:sz w:val="14"/>
                <w:szCs w:val="14"/>
                <w:lang w:val="en-US"/>
                <w:rPrChange w:id="128"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29"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19F78D5E"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40,000</w:t>
            </w:r>
          </w:p>
        </w:tc>
        <w:tc>
          <w:tcPr>
            <w:tcW w:w="423" w:type="pct"/>
            <w:shd w:val="clear" w:color="auto" w:fill="auto"/>
            <w:noWrap/>
            <w:vAlign w:val="center"/>
            <w:hideMark/>
          </w:tcPr>
          <w:p w14:paraId="48F70219"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471866B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0E28D74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4FD7174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09A5EFBE"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40,000</w:t>
            </w:r>
          </w:p>
        </w:tc>
        <w:tc>
          <w:tcPr>
            <w:tcW w:w="443" w:type="pct"/>
            <w:shd w:val="clear" w:color="auto" w:fill="auto"/>
            <w:noWrap/>
            <w:vAlign w:val="center"/>
            <w:hideMark/>
          </w:tcPr>
          <w:p w14:paraId="3DEB0EC9"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450540B3" w14:textId="77777777" w:rsidTr="004A3EAF">
        <w:trPr>
          <w:trHeight w:val="360"/>
        </w:trPr>
        <w:tc>
          <w:tcPr>
            <w:tcW w:w="1565" w:type="pct"/>
            <w:shd w:val="clear" w:color="auto" w:fill="auto"/>
            <w:vAlign w:val="center"/>
            <w:hideMark/>
          </w:tcPr>
          <w:p w14:paraId="72950A11" w14:textId="77777777" w:rsidR="004A3EAF" w:rsidRPr="00F50786" w:rsidRDefault="004A3EAF" w:rsidP="0067547D">
            <w:pPr>
              <w:spacing w:after="0" w:line="240" w:lineRule="auto"/>
              <w:rPr>
                <w:rFonts w:eastAsia="Times New Roman"/>
                <w:color w:val="000000"/>
                <w:sz w:val="14"/>
                <w:szCs w:val="14"/>
                <w:lang w:val="en-US"/>
                <w:rPrChange w:id="130"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31" w:author="Ali Sambou" w:date="2026-01-06T13:25:00Z" w16du:dateUtc="2026-01-06T13:25:00Z">
                  <w:rPr>
                    <w:rFonts w:eastAsia="Times New Roman"/>
                    <w:color w:val="000000"/>
                    <w:sz w:val="14"/>
                    <w:szCs w:val="14"/>
                  </w:rPr>
                </w:rPrChange>
              </w:rPr>
              <w:t>Other equipment (desks, chairs) for PMU and insurance maintenance of the Vehicle and Gasoline for the duration of the project.</w:t>
            </w:r>
          </w:p>
        </w:tc>
        <w:tc>
          <w:tcPr>
            <w:tcW w:w="441" w:type="pct"/>
            <w:shd w:val="clear" w:color="auto" w:fill="auto"/>
            <w:noWrap/>
            <w:vAlign w:val="center"/>
            <w:hideMark/>
          </w:tcPr>
          <w:p w14:paraId="5AB0228A" w14:textId="77777777" w:rsidR="004A3EAF" w:rsidRPr="00004DA9" w:rsidRDefault="004A3EAF" w:rsidP="0067547D">
            <w:pPr>
              <w:spacing w:after="0" w:line="240" w:lineRule="auto"/>
              <w:rPr>
                <w:rFonts w:eastAsia="Times New Roman"/>
                <w:color w:val="000000"/>
                <w:sz w:val="14"/>
                <w:szCs w:val="14"/>
              </w:rPr>
            </w:pPr>
            <w:r w:rsidRPr="00F50786">
              <w:rPr>
                <w:rFonts w:eastAsia="Times New Roman"/>
                <w:color w:val="000000"/>
                <w:sz w:val="14"/>
                <w:szCs w:val="14"/>
                <w:lang w:val="en-US"/>
                <w:rPrChange w:id="132" w:author="Ali Sambou" w:date="2026-01-06T13:25:00Z" w16du:dateUtc="2026-01-06T13:25:00Z">
                  <w:rPr>
                    <w:rFonts w:eastAsia="Times New Roman"/>
                    <w:color w:val="000000"/>
                    <w:sz w:val="14"/>
                    <w:szCs w:val="14"/>
                  </w:rPr>
                </w:rPrChange>
              </w:rPr>
              <w:t xml:space="preserve">                  </w:t>
            </w:r>
            <w:r w:rsidRPr="00004DA9">
              <w:rPr>
                <w:rFonts w:eastAsia="Times New Roman"/>
                <w:color w:val="000000"/>
                <w:sz w:val="14"/>
                <w:szCs w:val="14"/>
              </w:rPr>
              <w:t xml:space="preserve">-   </w:t>
            </w:r>
          </w:p>
        </w:tc>
        <w:tc>
          <w:tcPr>
            <w:tcW w:w="606" w:type="pct"/>
            <w:shd w:val="clear" w:color="auto" w:fill="auto"/>
            <w:noWrap/>
            <w:vAlign w:val="center"/>
            <w:hideMark/>
          </w:tcPr>
          <w:p w14:paraId="3229E56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0C53192F"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AF9D559"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0D7A96C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32F7AD1C"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8,000</w:t>
            </w:r>
          </w:p>
        </w:tc>
        <w:tc>
          <w:tcPr>
            <w:tcW w:w="354" w:type="pct"/>
            <w:shd w:val="clear" w:color="auto" w:fill="auto"/>
            <w:noWrap/>
            <w:vAlign w:val="center"/>
            <w:hideMark/>
          </w:tcPr>
          <w:p w14:paraId="62B8C9F6"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8,000</w:t>
            </w:r>
          </w:p>
        </w:tc>
        <w:tc>
          <w:tcPr>
            <w:tcW w:w="443" w:type="pct"/>
            <w:shd w:val="clear" w:color="auto" w:fill="auto"/>
            <w:noWrap/>
            <w:vAlign w:val="center"/>
            <w:hideMark/>
          </w:tcPr>
          <w:p w14:paraId="6628C472"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74344D0F" w14:textId="77777777" w:rsidTr="004A3EAF">
        <w:trPr>
          <w:trHeight w:val="540"/>
        </w:trPr>
        <w:tc>
          <w:tcPr>
            <w:tcW w:w="1565" w:type="pct"/>
            <w:shd w:val="clear" w:color="auto" w:fill="auto"/>
            <w:vAlign w:val="center"/>
            <w:hideMark/>
          </w:tcPr>
          <w:p w14:paraId="758FF375" w14:textId="77777777" w:rsidR="004A3EAF" w:rsidRPr="00F50786" w:rsidRDefault="004A3EAF" w:rsidP="0067547D">
            <w:pPr>
              <w:spacing w:after="0" w:line="240" w:lineRule="auto"/>
              <w:rPr>
                <w:rFonts w:eastAsia="Times New Roman"/>
                <w:color w:val="000000"/>
                <w:sz w:val="14"/>
                <w:szCs w:val="14"/>
                <w:lang w:val="en-US"/>
                <w:rPrChange w:id="133"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34" w:author="Ali Sambou" w:date="2026-01-06T13:25:00Z" w16du:dateUtc="2026-01-06T13:25:00Z">
                  <w:rPr>
                    <w:rFonts w:eastAsia="Times New Roman"/>
                    <w:color w:val="000000"/>
                    <w:sz w:val="14"/>
                    <w:szCs w:val="14"/>
                  </w:rPr>
                </w:rPrChange>
              </w:rPr>
              <w:t>Purchase of sustainable transport light equipment (electric cargo tricycle, shared solar recharging kit, etc.) for women entrepreneurs in market-growing areas</w:t>
            </w:r>
          </w:p>
        </w:tc>
        <w:tc>
          <w:tcPr>
            <w:tcW w:w="441" w:type="pct"/>
            <w:shd w:val="clear" w:color="auto" w:fill="auto"/>
            <w:noWrap/>
            <w:vAlign w:val="center"/>
            <w:hideMark/>
          </w:tcPr>
          <w:p w14:paraId="2E7BC6F1" w14:textId="77777777" w:rsidR="004A3EAF" w:rsidRPr="00004DA9" w:rsidRDefault="004A3EAF" w:rsidP="0067547D">
            <w:pPr>
              <w:spacing w:after="0" w:line="240" w:lineRule="auto"/>
              <w:rPr>
                <w:rFonts w:eastAsia="Times New Roman"/>
                <w:color w:val="000000"/>
                <w:sz w:val="14"/>
                <w:szCs w:val="14"/>
              </w:rPr>
            </w:pPr>
            <w:r w:rsidRPr="00F50786">
              <w:rPr>
                <w:rFonts w:eastAsia="Times New Roman"/>
                <w:color w:val="000000"/>
                <w:sz w:val="14"/>
                <w:szCs w:val="14"/>
                <w:lang w:val="en-US"/>
                <w:rPrChange w:id="135" w:author="Ali Sambou" w:date="2026-01-06T13:25:00Z" w16du:dateUtc="2026-01-06T13:25:00Z">
                  <w:rPr>
                    <w:rFonts w:eastAsia="Times New Roman"/>
                    <w:color w:val="000000"/>
                    <w:sz w:val="14"/>
                    <w:szCs w:val="14"/>
                  </w:rPr>
                </w:rPrChange>
              </w:rPr>
              <w:t xml:space="preserve">                  </w:t>
            </w:r>
            <w:r w:rsidRPr="00004DA9">
              <w:rPr>
                <w:rFonts w:eastAsia="Times New Roman"/>
                <w:color w:val="000000"/>
                <w:sz w:val="14"/>
                <w:szCs w:val="14"/>
              </w:rPr>
              <w:t xml:space="preserve">-   </w:t>
            </w:r>
          </w:p>
        </w:tc>
        <w:tc>
          <w:tcPr>
            <w:tcW w:w="606" w:type="pct"/>
            <w:shd w:val="clear" w:color="auto" w:fill="auto"/>
            <w:noWrap/>
            <w:vAlign w:val="center"/>
            <w:hideMark/>
          </w:tcPr>
          <w:p w14:paraId="5D8BD3B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8459D85"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13,500</w:t>
            </w:r>
          </w:p>
        </w:tc>
        <w:tc>
          <w:tcPr>
            <w:tcW w:w="423" w:type="pct"/>
            <w:shd w:val="clear" w:color="auto" w:fill="auto"/>
            <w:noWrap/>
            <w:vAlign w:val="center"/>
            <w:hideMark/>
          </w:tcPr>
          <w:p w14:paraId="01B8DE32"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2C30E6B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6B0F464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44072BAA"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13,500</w:t>
            </w:r>
          </w:p>
        </w:tc>
        <w:tc>
          <w:tcPr>
            <w:tcW w:w="443" w:type="pct"/>
            <w:shd w:val="clear" w:color="auto" w:fill="auto"/>
            <w:noWrap/>
            <w:vAlign w:val="center"/>
            <w:hideMark/>
          </w:tcPr>
          <w:p w14:paraId="622302EE"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2DFA76CA" w14:textId="77777777" w:rsidTr="004A3EAF">
        <w:trPr>
          <w:trHeight w:val="300"/>
        </w:trPr>
        <w:tc>
          <w:tcPr>
            <w:tcW w:w="1565" w:type="pct"/>
            <w:shd w:val="clear" w:color="000000" w:fill="C0E6F5"/>
            <w:vAlign w:val="center"/>
            <w:hideMark/>
          </w:tcPr>
          <w:p w14:paraId="157D282C"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Grants</w:t>
            </w:r>
          </w:p>
        </w:tc>
        <w:tc>
          <w:tcPr>
            <w:tcW w:w="441" w:type="pct"/>
            <w:shd w:val="clear" w:color="000000" w:fill="C0E6F5"/>
            <w:vAlign w:val="center"/>
            <w:hideMark/>
          </w:tcPr>
          <w:p w14:paraId="7D7ACCDD"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606" w:type="pct"/>
            <w:shd w:val="clear" w:color="000000" w:fill="C0E6F5"/>
            <w:vAlign w:val="center"/>
            <w:hideMark/>
          </w:tcPr>
          <w:p w14:paraId="6B1232EB"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34384C4B"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6ED3BAE0"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4BB51737"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321" w:type="pct"/>
            <w:shd w:val="clear" w:color="000000" w:fill="C0E6F5"/>
            <w:vAlign w:val="center"/>
            <w:hideMark/>
          </w:tcPr>
          <w:p w14:paraId="7D486BEC"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354" w:type="pct"/>
            <w:shd w:val="clear" w:color="000000" w:fill="C0E6F5"/>
            <w:vAlign w:val="center"/>
            <w:hideMark/>
          </w:tcPr>
          <w:p w14:paraId="5E613FDB"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43" w:type="pct"/>
            <w:shd w:val="clear" w:color="000000" w:fill="C0E6F5"/>
            <w:vAlign w:val="center"/>
            <w:hideMark/>
          </w:tcPr>
          <w:p w14:paraId="53DBAFF7"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r>
      <w:tr w:rsidR="004A3EAF" w:rsidRPr="00004DA9" w14:paraId="56A38841" w14:textId="77777777" w:rsidTr="004A3EAF">
        <w:trPr>
          <w:trHeight w:val="360"/>
        </w:trPr>
        <w:tc>
          <w:tcPr>
            <w:tcW w:w="1565" w:type="pct"/>
            <w:shd w:val="clear" w:color="auto" w:fill="auto"/>
            <w:vAlign w:val="center"/>
            <w:hideMark/>
          </w:tcPr>
          <w:p w14:paraId="7CABF7F9" w14:textId="77777777" w:rsidR="004A3EAF" w:rsidRPr="00F50786" w:rsidRDefault="004A3EAF" w:rsidP="0067547D">
            <w:pPr>
              <w:spacing w:after="0" w:line="240" w:lineRule="auto"/>
              <w:rPr>
                <w:rFonts w:eastAsia="Times New Roman"/>
                <w:color w:val="000000"/>
                <w:sz w:val="14"/>
                <w:szCs w:val="14"/>
                <w:lang w:val="en-US"/>
                <w:rPrChange w:id="136"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37" w:author="Ali Sambou" w:date="2026-01-06T13:25:00Z" w16du:dateUtc="2026-01-06T13:25:00Z">
                  <w:rPr>
                    <w:rFonts w:eastAsia="Times New Roman"/>
                    <w:color w:val="000000"/>
                    <w:sz w:val="14"/>
                    <w:szCs w:val="14"/>
                  </w:rPr>
                </w:rPrChange>
              </w:rPr>
              <w:t xml:space="preserve"> ENI ABT to initiate a project to capitalize on and scale up the new laboratory for analyzing fuelwood for cooking</w:t>
            </w:r>
          </w:p>
        </w:tc>
        <w:tc>
          <w:tcPr>
            <w:tcW w:w="441" w:type="pct"/>
            <w:shd w:val="clear" w:color="auto" w:fill="auto"/>
            <w:noWrap/>
            <w:vAlign w:val="center"/>
            <w:hideMark/>
          </w:tcPr>
          <w:p w14:paraId="6C550E6E"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20,000</w:t>
            </w:r>
          </w:p>
        </w:tc>
        <w:tc>
          <w:tcPr>
            <w:tcW w:w="606" w:type="pct"/>
            <w:shd w:val="clear" w:color="auto" w:fill="auto"/>
            <w:noWrap/>
            <w:vAlign w:val="center"/>
            <w:hideMark/>
          </w:tcPr>
          <w:p w14:paraId="16177F49"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E7AC799"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747F546"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4E995D3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6C99D83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650818D5"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20,000</w:t>
            </w:r>
          </w:p>
        </w:tc>
        <w:tc>
          <w:tcPr>
            <w:tcW w:w="443" w:type="pct"/>
            <w:shd w:val="clear" w:color="auto" w:fill="auto"/>
            <w:noWrap/>
            <w:vAlign w:val="center"/>
            <w:hideMark/>
          </w:tcPr>
          <w:p w14:paraId="02AD8A69"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5BB11037" w14:textId="77777777" w:rsidTr="004A3EAF">
        <w:trPr>
          <w:trHeight w:val="360"/>
        </w:trPr>
        <w:tc>
          <w:tcPr>
            <w:tcW w:w="1565" w:type="pct"/>
            <w:shd w:val="clear" w:color="auto" w:fill="auto"/>
            <w:vAlign w:val="center"/>
            <w:hideMark/>
          </w:tcPr>
          <w:p w14:paraId="5AAF029A" w14:textId="77777777" w:rsidR="004A3EAF" w:rsidRPr="00F50786" w:rsidRDefault="004A3EAF" w:rsidP="0067547D">
            <w:pPr>
              <w:spacing w:after="0" w:line="240" w:lineRule="auto"/>
              <w:rPr>
                <w:rFonts w:eastAsia="Times New Roman"/>
                <w:color w:val="000000"/>
                <w:sz w:val="14"/>
                <w:szCs w:val="14"/>
                <w:lang w:val="en-US"/>
                <w:rPrChange w:id="138"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39" w:author="Ali Sambou" w:date="2026-01-06T13:25:00Z" w16du:dateUtc="2026-01-06T13:25:00Z">
                  <w:rPr>
                    <w:rFonts w:eastAsia="Times New Roman"/>
                    <w:color w:val="000000"/>
                    <w:sz w:val="14"/>
                    <w:szCs w:val="14"/>
                  </w:rPr>
                </w:rPrChange>
              </w:rPr>
              <w:t>The winners of two Hackathon for young entrepreneurs in Bamako on innovative projects related to sustainable urban services</w:t>
            </w:r>
          </w:p>
        </w:tc>
        <w:tc>
          <w:tcPr>
            <w:tcW w:w="441" w:type="pct"/>
            <w:shd w:val="clear" w:color="auto" w:fill="auto"/>
            <w:noWrap/>
            <w:vAlign w:val="center"/>
            <w:hideMark/>
          </w:tcPr>
          <w:p w14:paraId="0703A863"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40,000</w:t>
            </w:r>
          </w:p>
        </w:tc>
        <w:tc>
          <w:tcPr>
            <w:tcW w:w="606" w:type="pct"/>
            <w:shd w:val="clear" w:color="auto" w:fill="auto"/>
            <w:noWrap/>
            <w:vAlign w:val="center"/>
            <w:hideMark/>
          </w:tcPr>
          <w:p w14:paraId="325F9AA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8BCFDD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25620C26"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D78E3BF"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61C5FD56"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0394BC1D"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40,000</w:t>
            </w:r>
          </w:p>
        </w:tc>
        <w:tc>
          <w:tcPr>
            <w:tcW w:w="443" w:type="pct"/>
            <w:shd w:val="clear" w:color="auto" w:fill="auto"/>
            <w:noWrap/>
            <w:vAlign w:val="center"/>
            <w:hideMark/>
          </w:tcPr>
          <w:p w14:paraId="7C015F47"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279A7109" w14:textId="77777777" w:rsidTr="004A3EAF">
        <w:trPr>
          <w:trHeight w:val="540"/>
        </w:trPr>
        <w:tc>
          <w:tcPr>
            <w:tcW w:w="1565" w:type="pct"/>
            <w:shd w:val="clear" w:color="auto" w:fill="auto"/>
            <w:vAlign w:val="center"/>
            <w:hideMark/>
          </w:tcPr>
          <w:p w14:paraId="32C7FDB3" w14:textId="77777777" w:rsidR="004A3EAF" w:rsidRPr="00F50786" w:rsidRDefault="004A3EAF" w:rsidP="0067547D">
            <w:pPr>
              <w:spacing w:after="0" w:line="240" w:lineRule="auto"/>
              <w:rPr>
                <w:rFonts w:eastAsia="Times New Roman"/>
                <w:color w:val="000000"/>
                <w:sz w:val="14"/>
                <w:szCs w:val="14"/>
                <w:lang w:val="en-US"/>
                <w:rPrChange w:id="140"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41" w:author="Ali Sambou" w:date="2026-01-06T13:25:00Z" w16du:dateUtc="2026-01-06T13:25:00Z">
                  <w:rPr>
                    <w:rFonts w:eastAsia="Times New Roman"/>
                    <w:color w:val="000000"/>
                    <w:sz w:val="14"/>
                    <w:szCs w:val="14"/>
                  </w:rPr>
                </w:rPrChange>
              </w:rPr>
              <w:lastRenderedPageBreak/>
              <w:t xml:space="preserve">Directorate for social development to collaborate with local NGO </w:t>
            </w:r>
            <w:proofErr w:type="gramStart"/>
            <w:r w:rsidRPr="00F50786">
              <w:rPr>
                <w:rFonts w:eastAsia="Times New Roman"/>
                <w:color w:val="000000"/>
                <w:sz w:val="14"/>
                <w:szCs w:val="14"/>
                <w:lang w:val="en-US"/>
                <w:rPrChange w:id="142" w:author="Ali Sambou" w:date="2026-01-06T13:25:00Z" w16du:dateUtc="2026-01-06T13:25:00Z">
                  <w:rPr>
                    <w:rFonts w:eastAsia="Times New Roman"/>
                    <w:color w:val="000000"/>
                    <w:sz w:val="14"/>
                    <w:szCs w:val="14"/>
                  </w:rPr>
                </w:rPrChange>
              </w:rPr>
              <w:t>in order to</w:t>
            </w:r>
            <w:proofErr w:type="gramEnd"/>
            <w:r w:rsidRPr="00F50786">
              <w:rPr>
                <w:rFonts w:eastAsia="Times New Roman"/>
                <w:color w:val="000000"/>
                <w:sz w:val="14"/>
                <w:szCs w:val="14"/>
                <w:lang w:val="en-US"/>
                <w:rPrChange w:id="143" w:author="Ali Sambou" w:date="2026-01-06T13:25:00Z" w16du:dateUtc="2026-01-06T13:25:00Z">
                  <w:rPr>
                    <w:rFonts w:eastAsia="Times New Roman"/>
                    <w:color w:val="000000"/>
                    <w:sz w:val="14"/>
                    <w:szCs w:val="14"/>
                  </w:rPr>
                </w:rPrChange>
              </w:rPr>
              <w:t xml:space="preserve"> raise awareness of local forest population (see Activity 3.1.2.2) over 6 months</w:t>
            </w:r>
          </w:p>
        </w:tc>
        <w:tc>
          <w:tcPr>
            <w:tcW w:w="441" w:type="pct"/>
            <w:shd w:val="clear" w:color="auto" w:fill="auto"/>
            <w:noWrap/>
            <w:vAlign w:val="center"/>
            <w:hideMark/>
          </w:tcPr>
          <w:p w14:paraId="3D5C8F33" w14:textId="77777777" w:rsidR="004A3EAF" w:rsidRPr="00F50786" w:rsidRDefault="004A3EAF" w:rsidP="0067547D">
            <w:pPr>
              <w:spacing w:after="0" w:line="240" w:lineRule="auto"/>
              <w:rPr>
                <w:rFonts w:eastAsia="Times New Roman"/>
                <w:color w:val="000000"/>
                <w:sz w:val="14"/>
                <w:szCs w:val="14"/>
                <w:lang w:val="en-US"/>
                <w:rPrChange w:id="144"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45"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22EE62D5" w14:textId="77777777" w:rsidR="004A3EAF" w:rsidRPr="00F50786" w:rsidRDefault="004A3EAF" w:rsidP="0067547D">
            <w:pPr>
              <w:spacing w:after="0" w:line="240" w:lineRule="auto"/>
              <w:rPr>
                <w:rFonts w:eastAsia="Times New Roman"/>
                <w:color w:val="000000"/>
                <w:sz w:val="14"/>
                <w:szCs w:val="14"/>
                <w:lang w:val="en-US"/>
                <w:rPrChange w:id="146"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47" w:author="Ali Sambou" w:date="2026-01-06T13:25:00Z" w16du:dateUtc="2026-01-06T13:25:00Z">
                  <w:rPr>
                    <w:rFonts w:eastAsia="Times New Roman"/>
                    <w:color w:val="000000"/>
                    <w:sz w:val="14"/>
                    <w:szCs w:val="14"/>
                  </w:rPr>
                </w:rPrChange>
              </w:rPr>
              <w:t> </w:t>
            </w:r>
          </w:p>
        </w:tc>
        <w:tc>
          <w:tcPr>
            <w:tcW w:w="423" w:type="pct"/>
            <w:shd w:val="clear" w:color="auto" w:fill="auto"/>
            <w:noWrap/>
            <w:vAlign w:val="center"/>
            <w:hideMark/>
          </w:tcPr>
          <w:p w14:paraId="2E524DE9"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50,000</w:t>
            </w:r>
          </w:p>
        </w:tc>
        <w:tc>
          <w:tcPr>
            <w:tcW w:w="423" w:type="pct"/>
            <w:shd w:val="clear" w:color="auto" w:fill="auto"/>
            <w:noWrap/>
            <w:vAlign w:val="center"/>
            <w:hideMark/>
          </w:tcPr>
          <w:p w14:paraId="2683B6E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260C1B1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397878D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5DC13D2D"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50,000</w:t>
            </w:r>
          </w:p>
        </w:tc>
        <w:tc>
          <w:tcPr>
            <w:tcW w:w="443" w:type="pct"/>
            <w:shd w:val="clear" w:color="auto" w:fill="auto"/>
            <w:noWrap/>
            <w:vAlign w:val="center"/>
            <w:hideMark/>
          </w:tcPr>
          <w:p w14:paraId="5954DC76"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607DAEED" w14:textId="77777777" w:rsidTr="004A3EAF">
        <w:trPr>
          <w:trHeight w:val="360"/>
        </w:trPr>
        <w:tc>
          <w:tcPr>
            <w:tcW w:w="1565" w:type="pct"/>
            <w:shd w:val="clear" w:color="auto" w:fill="auto"/>
            <w:vAlign w:val="center"/>
            <w:hideMark/>
          </w:tcPr>
          <w:p w14:paraId="6AEF3BC3" w14:textId="77777777" w:rsidR="004A3EAF" w:rsidRPr="00F50786" w:rsidRDefault="004A3EAF" w:rsidP="0067547D">
            <w:pPr>
              <w:spacing w:after="0" w:line="240" w:lineRule="auto"/>
              <w:rPr>
                <w:rFonts w:eastAsia="Times New Roman"/>
                <w:color w:val="000000"/>
                <w:sz w:val="14"/>
                <w:szCs w:val="14"/>
                <w:lang w:val="en-US"/>
                <w:rPrChange w:id="148"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49" w:author="Ali Sambou" w:date="2026-01-06T13:25:00Z" w16du:dateUtc="2026-01-06T13:25:00Z">
                  <w:rPr>
                    <w:rFonts w:eastAsia="Times New Roman"/>
                    <w:color w:val="000000"/>
                    <w:sz w:val="14"/>
                    <w:szCs w:val="14"/>
                  </w:rPr>
                </w:rPrChange>
              </w:rPr>
              <w:t>Local NGO to accompany the plan of reforestation to restore the forest areas by interprofession</w:t>
            </w:r>
          </w:p>
        </w:tc>
        <w:tc>
          <w:tcPr>
            <w:tcW w:w="441" w:type="pct"/>
            <w:shd w:val="clear" w:color="auto" w:fill="auto"/>
            <w:noWrap/>
            <w:vAlign w:val="center"/>
            <w:hideMark/>
          </w:tcPr>
          <w:p w14:paraId="76D48B57" w14:textId="77777777" w:rsidR="004A3EAF" w:rsidRPr="00F50786" w:rsidRDefault="004A3EAF" w:rsidP="0067547D">
            <w:pPr>
              <w:spacing w:after="0" w:line="240" w:lineRule="auto"/>
              <w:rPr>
                <w:rFonts w:eastAsia="Times New Roman"/>
                <w:color w:val="000000"/>
                <w:sz w:val="14"/>
                <w:szCs w:val="14"/>
                <w:lang w:val="en-US"/>
                <w:rPrChange w:id="150"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51"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52F29133" w14:textId="77777777" w:rsidR="004A3EAF" w:rsidRPr="00F50786" w:rsidRDefault="004A3EAF" w:rsidP="0067547D">
            <w:pPr>
              <w:spacing w:after="0" w:line="240" w:lineRule="auto"/>
              <w:rPr>
                <w:rFonts w:eastAsia="Times New Roman"/>
                <w:color w:val="000000"/>
                <w:sz w:val="14"/>
                <w:szCs w:val="14"/>
                <w:lang w:val="en-US"/>
                <w:rPrChange w:id="152"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53" w:author="Ali Sambou" w:date="2026-01-06T13:25:00Z" w16du:dateUtc="2026-01-06T13:25:00Z">
                  <w:rPr>
                    <w:rFonts w:eastAsia="Times New Roman"/>
                    <w:color w:val="000000"/>
                    <w:sz w:val="14"/>
                    <w:szCs w:val="14"/>
                  </w:rPr>
                </w:rPrChange>
              </w:rPr>
              <w:t> </w:t>
            </w:r>
          </w:p>
        </w:tc>
        <w:tc>
          <w:tcPr>
            <w:tcW w:w="423" w:type="pct"/>
            <w:shd w:val="clear" w:color="auto" w:fill="auto"/>
            <w:noWrap/>
            <w:vAlign w:val="center"/>
            <w:hideMark/>
          </w:tcPr>
          <w:p w14:paraId="3EB93076"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10,000</w:t>
            </w:r>
          </w:p>
        </w:tc>
        <w:tc>
          <w:tcPr>
            <w:tcW w:w="423" w:type="pct"/>
            <w:shd w:val="clear" w:color="auto" w:fill="auto"/>
            <w:noWrap/>
            <w:vAlign w:val="center"/>
            <w:hideMark/>
          </w:tcPr>
          <w:p w14:paraId="6184FE06"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4612203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406BD239"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036CBD89"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10,000</w:t>
            </w:r>
          </w:p>
        </w:tc>
        <w:tc>
          <w:tcPr>
            <w:tcW w:w="443" w:type="pct"/>
            <w:shd w:val="clear" w:color="auto" w:fill="auto"/>
            <w:noWrap/>
            <w:vAlign w:val="center"/>
            <w:hideMark/>
          </w:tcPr>
          <w:p w14:paraId="7DAFE8AA"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12539765" w14:textId="77777777" w:rsidTr="004A3EAF">
        <w:trPr>
          <w:trHeight w:val="360"/>
        </w:trPr>
        <w:tc>
          <w:tcPr>
            <w:tcW w:w="1565" w:type="pct"/>
            <w:shd w:val="clear" w:color="auto" w:fill="auto"/>
            <w:vAlign w:val="center"/>
            <w:hideMark/>
          </w:tcPr>
          <w:p w14:paraId="50ACACF6" w14:textId="77777777" w:rsidR="004A3EAF" w:rsidRPr="00F50786" w:rsidRDefault="004A3EAF" w:rsidP="0067547D">
            <w:pPr>
              <w:spacing w:after="0" w:line="240" w:lineRule="auto"/>
              <w:rPr>
                <w:rFonts w:eastAsia="Times New Roman"/>
                <w:color w:val="000000"/>
                <w:sz w:val="14"/>
                <w:szCs w:val="14"/>
                <w:lang w:val="en-US"/>
                <w:rPrChange w:id="154"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55" w:author="Ali Sambou" w:date="2026-01-06T13:25:00Z" w16du:dateUtc="2026-01-06T13:25:00Z">
                  <w:rPr>
                    <w:rFonts w:eastAsia="Times New Roman"/>
                    <w:color w:val="000000"/>
                    <w:sz w:val="14"/>
                    <w:szCs w:val="14"/>
                  </w:rPr>
                </w:rPrChange>
              </w:rPr>
              <w:t>With 2 companies for pilot model of planting / work with the support of 80 vulnerable beneficiaries.</w:t>
            </w:r>
          </w:p>
        </w:tc>
        <w:tc>
          <w:tcPr>
            <w:tcW w:w="441" w:type="pct"/>
            <w:shd w:val="clear" w:color="auto" w:fill="auto"/>
            <w:noWrap/>
            <w:vAlign w:val="center"/>
            <w:hideMark/>
          </w:tcPr>
          <w:p w14:paraId="0B7444AB" w14:textId="77777777" w:rsidR="004A3EAF" w:rsidRPr="00F50786" w:rsidRDefault="004A3EAF" w:rsidP="0067547D">
            <w:pPr>
              <w:spacing w:after="0" w:line="240" w:lineRule="auto"/>
              <w:rPr>
                <w:rFonts w:eastAsia="Times New Roman"/>
                <w:color w:val="000000"/>
                <w:sz w:val="14"/>
                <w:szCs w:val="14"/>
                <w:lang w:val="en-US"/>
                <w:rPrChange w:id="156"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57"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067B0BCC" w14:textId="77777777" w:rsidR="004A3EAF" w:rsidRPr="00F50786" w:rsidRDefault="004A3EAF" w:rsidP="0067547D">
            <w:pPr>
              <w:spacing w:after="0" w:line="240" w:lineRule="auto"/>
              <w:rPr>
                <w:rFonts w:eastAsia="Times New Roman"/>
                <w:color w:val="000000"/>
                <w:sz w:val="14"/>
                <w:szCs w:val="14"/>
                <w:lang w:val="en-US"/>
                <w:rPrChange w:id="158"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59" w:author="Ali Sambou" w:date="2026-01-06T13:25:00Z" w16du:dateUtc="2026-01-06T13:25:00Z">
                  <w:rPr>
                    <w:rFonts w:eastAsia="Times New Roman"/>
                    <w:color w:val="000000"/>
                    <w:sz w:val="14"/>
                    <w:szCs w:val="14"/>
                  </w:rPr>
                </w:rPrChange>
              </w:rPr>
              <w:t> </w:t>
            </w:r>
          </w:p>
        </w:tc>
        <w:tc>
          <w:tcPr>
            <w:tcW w:w="423" w:type="pct"/>
            <w:shd w:val="clear" w:color="auto" w:fill="auto"/>
            <w:noWrap/>
            <w:vAlign w:val="center"/>
            <w:hideMark/>
          </w:tcPr>
          <w:p w14:paraId="39804303"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20,000</w:t>
            </w:r>
          </w:p>
        </w:tc>
        <w:tc>
          <w:tcPr>
            <w:tcW w:w="423" w:type="pct"/>
            <w:shd w:val="clear" w:color="auto" w:fill="auto"/>
            <w:noWrap/>
            <w:vAlign w:val="center"/>
            <w:hideMark/>
          </w:tcPr>
          <w:p w14:paraId="0897A2E2"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C5074F2"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75A32E4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1032FC6A"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20,000</w:t>
            </w:r>
          </w:p>
        </w:tc>
        <w:tc>
          <w:tcPr>
            <w:tcW w:w="443" w:type="pct"/>
            <w:shd w:val="clear" w:color="auto" w:fill="auto"/>
            <w:noWrap/>
            <w:vAlign w:val="center"/>
            <w:hideMark/>
          </w:tcPr>
          <w:p w14:paraId="0F0A1EFD"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2FD06122" w14:textId="77777777" w:rsidTr="004A3EAF">
        <w:trPr>
          <w:trHeight w:val="360"/>
        </w:trPr>
        <w:tc>
          <w:tcPr>
            <w:tcW w:w="1565" w:type="pct"/>
            <w:shd w:val="clear" w:color="auto" w:fill="auto"/>
            <w:vAlign w:val="center"/>
            <w:hideMark/>
          </w:tcPr>
          <w:p w14:paraId="2BE3BC1C" w14:textId="77777777" w:rsidR="004A3EAF" w:rsidRPr="00F50786" w:rsidRDefault="004A3EAF" w:rsidP="0067547D">
            <w:pPr>
              <w:spacing w:after="0" w:line="240" w:lineRule="auto"/>
              <w:rPr>
                <w:rFonts w:eastAsia="Times New Roman"/>
                <w:color w:val="000000"/>
                <w:sz w:val="14"/>
                <w:szCs w:val="14"/>
                <w:lang w:val="en-US"/>
                <w:rPrChange w:id="160"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61" w:author="Ali Sambou" w:date="2026-01-06T13:25:00Z" w16du:dateUtc="2026-01-06T13:25:00Z">
                  <w:rPr>
                    <w:rFonts w:eastAsia="Times New Roman"/>
                    <w:color w:val="000000"/>
                    <w:sz w:val="14"/>
                    <w:szCs w:val="14"/>
                  </w:rPr>
                </w:rPrChange>
              </w:rPr>
              <w:t>With nurserymen, florists or MSEs to provide plants to urban green space</w:t>
            </w:r>
          </w:p>
        </w:tc>
        <w:tc>
          <w:tcPr>
            <w:tcW w:w="441" w:type="pct"/>
            <w:shd w:val="clear" w:color="auto" w:fill="auto"/>
            <w:noWrap/>
            <w:vAlign w:val="center"/>
            <w:hideMark/>
          </w:tcPr>
          <w:p w14:paraId="5AB43D69" w14:textId="77777777" w:rsidR="004A3EAF" w:rsidRPr="00F50786" w:rsidRDefault="004A3EAF" w:rsidP="0067547D">
            <w:pPr>
              <w:spacing w:after="0" w:line="240" w:lineRule="auto"/>
              <w:rPr>
                <w:rFonts w:eastAsia="Times New Roman"/>
                <w:color w:val="000000"/>
                <w:sz w:val="14"/>
                <w:szCs w:val="14"/>
                <w:lang w:val="en-US"/>
                <w:rPrChange w:id="162"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63"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4FA4CAAC" w14:textId="77777777" w:rsidR="004A3EAF" w:rsidRPr="00F50786" w:rsidRDefault="004A3EAF" w:rsidP="0067547D">
            <w:pPr>
              <w:spacing w:after="0" w:line="240" w:lineRule="auto"/>
              <w:rPr>
                <w:rFonts w:eastAsia="Times New Roman"/>
                <w:color w:val="000000"/>
                <w:sz w:val="14"/>
                <w:szCs w:val="14"/>
                <w:lang w:val="en-US"/>
                <w:rPrChange w:id="164"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65" w:author="Ali Sambou" w:date="2026-01-06T13:25:00Z" w16du:dateUtc="2026-01-06T13:25:00Z">
                  <w:rPr>
                    <w:rFonts w:eastAsia="Times New Roman"/>
                    <w:color w:val="000000"/>
                    <w:sz w:val="14"/>
                    <w:szCs w:val="14"/>
                  </w:rPr>
                </w:rPrChange>
              </w:rPr>
              <w:t> </w:t>
            </w:r>
          </w:p>
        </w:tc>
        <w:tc>
          <w:tcPr>
            <w:tcW w:w="423" w:type="pct"/>
            <w:shd w:val="clear" w:color="auto" w:fill="auto"/>
            <w:noWrap/>
            <w:vAlign w:val="center"/>
            <w:hideMark/>
          </w:tcPr>
          <w:p w14:paraId="0000070C"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20,000</w:t>
            </w:r>
          </w:p>
        </w:tc>
        <w:tc>
          <w:tcPr>
            <w:tcW w:w="423" w:type="pct"/>
            <w:shd w:val="clear" w:color="auto" w:fill="auto"/>
            <w:noWrap/>
            <w:vAlign w:val="center"/>
            <w:hideMark/>
          </w:tcPr>
          <w:p w14:paraId="1C1B13A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5CEB62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762EE9C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00CB81EA"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20,000</w:t>
            </w:r>
          </w:p>
        </w:tc>
        <w:tc>
          <w:tcPr>
            <w:tcW w:w="443" w:type="pct"/>
            <w:shd w:val="clear" w:color="auto" w:fill="auto"/>
            <w:noWrap/>
            <w:vAlign w:val="center"/>
            <w:hideMark/>
          </w:tcPr>
          <w:p w14:paraId="1A43A2FC"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0E042B31" w14:textId="77777777" w:rsidTr="004A3EAF">
        <w:trPr>
          <w:trHeight w:val="360"/>
        </w:trPr>
        <w:tc>
          <w:tcPr>
            <w:tcW w:w="1565" w:type="pct"/>
            <w:shd w:val="clear" w:color="auto" w:fill="auto"/>
            <w:vAlign w:val="center"/>
            <w:hideMark/>
          </w:tcPr>
          <w:p w14:paraId="682B348C" w14:textId="77777777" w:rsidR="004A3EAF" w:rsidRPr="00F50786" w:rsidRDefault="004A3EAF" w:rsidP="0067547D">
            <w:pPr>
              <w:spacing w:after="0" w:line="240" w:lineRule="auto"/>
              <w:rPr>
                <w:rFonts w:eastAsia="Times New Roman"/>
                <w:color w:val="000000"/>
                <w:sz w:val="14"/>
                <w:szCs w:val="14"/>
                <w:lang w:val="en-US"/>
                <w:rPrChange w:id="166"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67" w:author="Ali Sambou" w:date="2026-01-06T13:25:00Z" w16du:dateUtc="2026-01-06T13:25:00Z">
                  <w:rPr>
                    <w:rFonts w:eastAsia="Times New Roman"/>
                    <w:color w:val="000000"/>
                    <w:sz w:val="14"/>
                    <w:szCs w:val="14"/>
                  </w:rPr>
                </w:rPrChange>
              </w:rPr>
              <w:t>Grant for ONE STOP CENTER (Avocats Sans Frontières) to accompany the victims of violence and to train the center personnel</w:t>
            </w:r>
          </w:p>
        </w:tc>
        <w:tc>
          <w:tcPr>
            <w:tcW w:w="441" w:type="pct"/>
            <w:shd w:val="clear" w:color="auto" w:fill="auto"/>
            <w:noWrap/>
            <w:vAlign w:val="center"/>
            <w:hideMark/>
          </w:tcPr>
          <w:p w14:paraId="5C8BC339" w14:textId="77777777" w:rsidR="004A3EAF" w:rsidRPr="00004DA9" w:rsidRDefault="004A3EAF" w:rsidP="0067547D">
            <w:pPr>
              <w:spacing w:after="0" w:line="240" w:lineRule="auto"/>
              <w:rPr>
                <w:rFonts w:eastAsia="Times New Roman"/>
                <w:color w:val="000000"/>
                <w:sz w:val="14"/>
                <w:szCs w:val="14"/>
              </w:rPr>
            </w:pPr>
            <w:r w:rsidRPr="00F50786">
              <w:rPr>
                <w:rFonts w:eastAsia="Times New Roman"/>
                <w:color w:val="000000"/>
                <w:sz w:val="14"/>
                <w:szCs w:val="14"/>
                <w:lang w:val="en-US"/>
                <w:rPrChange w:id="168" w:author="Ali Sambou" w:date="2026-01-06T13:25:00Z" w16du:dateUtc="2026-01-06T13:25:00Z">
                  <w:rPr>
                    <w:rFonts w:eastAsia="Times New Roman"/>
                    <w:color w:val="000000"/>
                    <w:sz w:val="14"/>
                    <w:szCs w:val="14"/>
                  </w:rPr>
                </w:rPrChange>
              </w:rPr>
              <w:t xml:space="preserve">                  </w:t>
            </w:r>
            <w:r w:rsidRPr="00004DA9">
              <w:rPr>
                <w:rFonts w:eastAsia="Times New Roman"/>
                <w:color w:val="000000"/>
                <w:sz w:val="14"/>
                <w:szCs w:val="14"/>
              </w:rPr>
              <w:t xml:space="preserve">-   </w:t>
            </w:r>
          </w:p>
        </w:tc>
        <w:tc>
          <w:tcPr>
            <w:tcW w:w="606" w:type="pct"/>
            <w:shd w:val="clear" w:color="auto" w:fill="auto"/>
            <w:noWrap/>
            <w:vAlign w:val="center"/>
            <w:hideMark/>
          </w:tcPr>
          <w:p w14:paraId="78CD5A7D"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7915661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44FB7EB7"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50,000</w:t>
            </w:r>
          </w:p>
        </w:tc>
        <w:tc>
          <w:tcPr>
            <w:tcW w:w="423" w:type="pct"/>
            <w:shd w:val="clear" w:color="auto" w:fill="auto"/>
            <w:noWrap/>
            <w:vAlign w:val="center"/>
            <w:hideMark/>
          </w:tcPr>
          <w:p w14:paraId="7F39090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4A1BFD2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2ECB9038"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50,000</w:t>
            </w:r>
          </w:p>
        </w:tc>
        <w:tc>
          <w:tcPr>
            <w:tcW w:w="443" w:type="pct"/>
            <w:shd w:val="clear" w:color="auto" w:fill="auto"/>
            <w:noWrap/>
            <w:vAlign w:val="center"/>
            <w:hideMark/>
          </w:tcPr>
          <w:p w14:paraId="52688005"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295BA42F" w14:textId="77777777" w:rsidTr="004A3EAF">
        <w:trPr>
          <w:trHeight w:val="300"/>
        </w:trPr>
        <w:tc>
          <w:tcPr>
            <w:tcW w:w="1565" w:type="pct"/>
            <w:shd w:val="clear" w:color="000000" w:fill="C0E6F5"/>
            <w:vAlign w:val="center"/>
            <w:hideMark/>
          </w:tcPr>
          <w:p w14:paraId="50F9B571"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International Consultants</w:t>
            </w:r>
          </w:p>
        </w:tc>
        <w:tc>
          <w:tcPr>
            <w:tcW w:w="441" w:type="pct"/>
            <w:shd w:val="clear" w:color="000000" w:fill="C0E6F5"/>
            <w:vAlign w:val="center"/>
            <w:hideMark/>
          </w:tcPr>
          <w:p w14:paraId="16B28433"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606" w:type="pct"/>
            <w:shd w:val="clear" w:color="000000" w:fill="C0E6F5"/>
            <w:vAlign w:val="center"/>
            <w:hideMark/>
          </w:tcPr>
          <w:p w14:paraId="59864B54"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1004B534"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1FA83DA5"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1451ADCC"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321" w:type="pct"/>
            <w:shd w:val="clear" w:color="000000" w:fill="C0E6F5"/>
            <w:vAlign w:val="center"/>
            <w:hideMark/>
          </w:tcPr>
          <w:p w14:paraId="1C853032"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354" w:type="pct"/>
            <w:shd w:val="clear" w:color="000000" w:fill="C0E6F5"/>
            <w:vAlign w:val="center"/>
            <w:hideMark/>
          </w:tcPr>
          <w:p w14:paraId="3C96B3C6"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43" w:type="pct"/>
            <w:shd w:val="clear" w:color="000000" w:fill="C0E6F5"/>
            <w:vAlign w:val="center"/>
            <w:hideMark/>
          </w:tcPr>
          <w:p w14:paraId="7C7B82F3"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r>
      <w:tr w:rsidR="004A3EAF" w:rsidRPr="00004DA9" w14:paraId="4299AD8B" w14:textId="77777777" w:rsidTr="004A3EAF">
        <w:trPr>
          <w:trHeight w:val="300"/>
        </w:trPr>
        <w:tc>
          <w:tcPr>
            <w:tcW w:w="1565" w:type="pct"/>
            <w:shd w:val="clear" w:color="auto" w:fill="auto"/>
            <w:vAlign w:val="center"/>
            <w:hideMark/>
          </w:tcPr>
          <w:p w14:paraId="3BB654F3" w14:textId="77777777" w:rsidR="004A3EAF" w:rsidRPr="00F50786" w:rsidRDefault="004A3EAF" w:rsidP="0067547D">
            <w:pPr>
              <w:spacing w:after="0" w:line="240" w:lineRule="auto"/>
              <w:rPr>
                <w:rFonts w:eastAsia="Times New Roman"/>
                <w:color w:val="000000"/>
                <w:sz w:val="14"/>
                <w:szCs w:val="14"/>
                <w:lang w:val="en-US"/>
                <w:rPrChange w:id="169" w:author="Ali Sambou" w:date="2026-01-06T13:25:00Z" w16du:dateUtc="2026-01-06T13:25:00Z">
                  <w:rPr>
                    <w:rFonts w:eastAsia="Times New Roman"/>
                    <w:color w:val="000000"/>
                    <w:sz w:val="14"/>
                    <w:szCs w:val="14"/>
                  </w:rPr>
                </w:rPrChange>
              </w:rPr>
            </w:pPr>
            <w:proofErr w:type="gramStart"/>
            <w:r w:rsidRPr="00F50786">
              <w:rPr>
                <w:rFonts w:eastAsia="Times New Roman"/>
                <w:color w:val="000000"/>
                <w:sz w:val="14"/>
                <w:szCs w:val="14"/>
                <w:lang w:val="en-US"/>
                <w:rPrChange w:id="170" w:author="Ali Sambou" w:date="2026-01-06T13:25:00Z" w16du:dateUtc="2026-01-06T13:25:00Z">
                  <w:rPr>
                    <w:rFonts w:eastAsia="Times New Roman"/>
                    <w:color w:val="000000"/>
                    <w:sz w:val="14"/>
                    <w:szCs w:val="14"/>
                  </w:rPr>
                </w:rPrChange>
              </w:rPr>
              <w:t>Add</w:t>
            </w:r>
            <w:proofErr w:type="gramEnd"/>
            <w:r w:rsidRPr="00F50786">
              <w:rPr>
                <w:rFonts w:eastAsia="Times New Roman"/>
                <w:color w:val="000000"/>
                <w:sz w:val="14"/>
                <w:szCs w:val="14"/>
                <w:lang w:val="en-US"/>
                <w:rPrChange w:id="171" w:author="Ali Sambou" w:date="2026-01-06T13:25:00Z" w16du:dateUtc="2026-01-06T13:25:00Z">
                  <w:rPr>
                    <w:rFonts w:eastAsia="Times New Roman"/>
                    <w:color w:val="000000"/>
                    <w:sz w:val="14"/>
                    <w:szCs w:val="14"/>
                  </w:rPr>
                </w:rPrChange>
              </w:rPr>
              <w:t xml:space="preserve"> hoc sustainable transport and e-mobility senior international expert</w:t>
            </w:r>
          </w:p>
        </w:tc>
        <w:tc>
          <w:tcPr>
            <w:tcW w:w="441" w:type="pct"/>
            <w:shd w:val="clear" w:color="auto" w:fill="auto"/>
            <w:noWrap/>
            <w:vAlign w:val="center"/>
            <w:hideMark/>
          </w:tcPr>
          <w:p w14:paraId="5CE5B8C1" w14:textId="77777777" w:rsidR="004A3EAF" w:rsidRPr="00004DA9" w:rsidRDefault="004A3EAF" w:rsidP="0067547D">
            <w:pPr>
              <w:spacing w:after="0" w:line="240" w:lineRule="auto"/>
              <w:rPr>
                <w:rFonts w:eastAsia="Times New Roman"/>
                <w:color w:val="000000"/>
                <w:sz w:val="14"/>
                <w:szCs w:val="14"/>
              </w:rPr>
            </w:pPr>
            <w:r w:rsidRPr="00F50786">
              <w:rPr>
                <w:rFonts w:eastAsia="Times New Roman"/>
                <w:color w:val="000000"/>
                <w:sz w:val="14"/>
                <w:szCs w:val="14"/>
                <w:lang w:val="en-US"/>
                <w:rPrChange w:id="172" w:author="Ali Sambou" w:date="2026-01-06T13:25:00Z" w16du:dateUtc="2026-01-06T13:25:00Z">
                  <w:rPr>
                    <w:rFonts w:eastAsia="Times New Roman"/>
                    <w:color w:val="000000"/>
                    <w:sz w:val="14"/>
                    <w:szCs w:val="14"/>
                  </w:rPr>
                </w:rPrChange>
              </w:rPr>
              <w:t xml:space="preserve">                  </w:t>
            </w:r>
            <w:r w:rsidRPr="00004DA9">
              <w:rPr>
                <w:rFonts w:eastAsia="Times New Roman"/>
                <w:color w:val="000000"/>
                <w:sz w:val="14"/>
                <w:szCs w:val="14"/>
              </w:rPr>
              <w:t xml:space="preserve">-   </w:t>
            </w:r>
          </w:p>
        </w:tc>
        <w:tc>
          <w:tcPr>
            <w:tcW w:w="606" w:type="pct"/>
            <w:shd w:val="clear" w:color="auto" w:fill="auto"/>
            <w:noWrap/>
            <w:vAlign w:val="center"/>
            <w:hideMark/>
          </w:tcPr>
          <w:p w14:paraId="73EDB314"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40,000</w:t>
            </w:r>
          </w:p>
        </w:tc>
        <w:tc>
          <w:tcPr>
            <w:tcW w:w="423" w:type="pct"/>
            <w:shd w:val="clear" w:color="auto" w:fill="auto"/>
            <w:noWrap/>
            <w:vAlign w:val="center"/>
            <w:hideMark/>
          </w:tcPr>
          <w:p w14:paraId="00FC06D9"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F9F5A9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7F644A8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458CB86C"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428BDFE0"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40,000</w:t>
            </w:r>
          </w:p>
        </w:tc>
        <w:tc>
          <w:tcPr>
            <w:tcW w:w="443" w:type="pct"/>
            <w:shd w:val="clear" w:color="auto" w:fill="auto"/>
            <w:noWrap/>
            <w:vAlign w:val="center"/>
            <w:hideMark/>
          </w:tcPr>
          <w:p w14:paraId="0B1869A6"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172608DB" w14:textId="77777777" w:rsidTr="004A3EAF">
        <w:trPr>
          <w:trHeight w:val="720"/>
        </w:trPr>
        <w:tc>
          <w:tcPr>
            <w:tcW w:w="1565" w:type="pct"/>
            <w:shd w:val="clear" w:color="auto" w:fill="auto"/>
            <w:vAlign w:val="center"/>
            <w:hideMark/>
          </w:tcPr>
          <w:p w14:paraId="1CA375BB" w14:textId="77777777" w:rsidR="004A3EAF" w:rsidRPr="00F50786" w:rsidRDefault="004A3EAF" w:rsidP="0067547D">
            <w:pPr>
              <w:spacing w:after="0" w:line="240" w:lineRule="auto"/>
              <w:rPr>
                <w:rFonts w:eastAsia="Times New Roman"/>
                <w:color w:val="000000"/>
                <w:sz w:val="14"/>
                <w:szCs w:val="14"/>
                <w:lang w:val="en-US"/>
                <w:rPrChange w:id="173"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74" w:author="Ali Sambou" w:date="2026-01-06T13:25:00Z" w16du:dateUtc="2026-01-06T13:25:00Z">
                  <w:rPr>
                    <w:rFonts w:eastAsia="Times New Roman"/>
                    <w:color w:val="000000"/>
                    <w:sz w:val="14"/>
                    <w:szCs w:val="14"/>
                  </w:rPr>
                </w:rPrChange>
              </w:rPr>
              <w:t>Implementation of an urban air quality monitoring system: an international consultant to support the capacity of DNCPAN in monitoring environmental quality measurement (guide + training) (70man/day * 600</w:t>
            </w:r>
            <w:proofErr w:type="gramStart"/>
            <w:r w:rsidRPr="00F50786">
              <w:rPr>
                <w:rFonts w:eastAsia="Times New Roman"/>
                <w:color w:val="000000"/>
                <w:sz w:val="14"/>
                <w:szCs w:val="14"/>
                <w:lang w:val="en-US"/>
                <w:rPrChange w:id="175" w:author="Ali Sambou" w:date="2026-01-06T13:25:00Z" w16du:dateUtc="2026-01-06T13:25:00Z">
                  <w:rPr>
                    <w:rFonts w:eastAsia="Times New Roman"/>
                    <w:color w:val="000000"/>
                    <w:sz w:val="14"/>
                    <w:szCs w:val="14"/>
                  </w:rPr>
                </w:rPrChange>
              </w:rPr>
              <w:t>$ )</w:t>
            </w:r>
            <w:proofErr w:type="gramEnd"/>
            <w:r w:rsidRPr="00F50786">
              <w:rPr>
                <w:rFonts w:eastAsia="Times New Roman"/>
                <w:color w:val="000000"/>
                <w:sz w:val="14"/>
                <w:szCs w:val="14"/>
                <w:lang w:val="en-US"/>
                <w:rPrChange w:id="176" w:author="Ali Sambou" w:date="2026-01-06T13:25:00Z" w16du:dateUtc="2026-01-06T13:25:00Z">
                  <w:rPr>
                    <w:rFonts w:eastAsia="Times New Roman"/>
                    <w:color w:val="000000"/>
                    <w:sz w:val="14"/>
                    <w:szCs w:val="14"/>
                  </w:rPr>
                </w:rPrChange>
              </w:rPr>
              <w:t xml:space="preserve"> over 18 months </w:t>
            </w:r>
          </w:p>
        </w:tc>
        <w:tc>
          <w:tcPr>
            <w:tcW w:w="441" w:type="pct"/>
            <w:shd w:val="clear" w:color="auto" w:fill="auto"/>
            <w:noWrap/>
            <w:vAlign w:val="center"/>
            <w:hideMark/>
          </w:tcPr>
          <w:p w14:paraId="45E83E4E" w14:textId="77777777" w:rsidR="004A3EAF" w:rsidRPr="00F50786" w:rsidRDefault="004A3EAF" w:rsidP="0067547D">
            <w:pPr>
              <w:spacing w:after="0" w:line="240" w:lineRule="auto"/>
              <w:rPr>
                <w:rFonts w:eastAsia="Times New Roman"/>
                <w:color w:val="000000"/>
                <w:sz w:val="14"/>
                <w:szCs w:val="14"/>
                <w:lang w:val="en-US"/>
                <w:rPrChange w:id="177"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78"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79AB1917"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42,000</w:t>
            </w:r>
          </w:p>
        </w:tc>
        <w:tc>
          <w:tcPr>
            <w:tcW w:w="423" w:type="pct"/>
            <w:shd w:val="clear" w:color="auto" w:fill="auto"/>
            <w:noWrap/>
            <w:vAlign w:val="center"/>
            <w:hideMark/>
          </w:tcPr>
          <w:p w14:paraId="33EE70A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D63B24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4BADC7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1FA9253D"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370664BC"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42,000</w:t>
            </w:r>
          </w:p>
        </w:tc>
        <w:tc>
          <w:tcPr>
            <w:tcW w:w="443" w:type="pct"/>
            <w:shd w:val="clear" w:color="auto" w:fill="auto"/>
            <w:noWrap/>
            <w:vAlign w:val="center"/>
            <w:hideMark/>
          </w:tcPr>
          <w:p w14:paraId="0B535665"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6F4675A1" w14:textId="77777777" w:rsidTr="004A3EAF">
        <w:trPr>
          <w:trHeight w:val="720"/>
        </w:trPr>
        <w:tc>
          <w:tcPr>
            <w:tcW w:w="1565" w:type="pct"/>
            <w:shd w:val="clear" w:color="auto" w:fill="auto"/>
            <w:vAlign w:val="center"/>
            <w:hideMark/>
          </w:tcPr>
          <w:p w14:paraId="292E7AD3" w14:textId="77777777" w:rsidR="004A3EAF" w:rsidRPr="00F50786" w:rsidRDefault="004A3EAF" w:rsidP="0067547D">
            <w:pPr>
              <w:spacing w:after="0" w:line="240" w:lineRule="auto"/>
              <w:rPr>
                <w:rFonts w:eastAsia="Times New Roman"/>
                <w:color w:val="000000"/>
                <w:sz w:val="14"/>
                <w:szCs w:val="14"/>
                <w:lang w:val="en-US"/>
                <w:rPrChange w:id="179"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80" w:author="Ali Sambou" w:date="2026-01-06T13:25:00Z" w16du:dateUtc="2026-01-06T13:25:00Z">
                  <w:rPr>
                    <w:rFonts w:eastAsia="Times New Roman"/>
                    <w:color w:val="000000"/>
                    <w:sz w:val="14"/>
                    <w:szCs w:val="14"/>
                  </w:rPr>
                </w:rPrChange>
              </w:rPr>
              <w:t>International Consultant to elaborate a Study on guidelines to strengthen the integration of environmental standards and climate risks in territorial urban planning, 60 man/</w:t>
            </w:r>
            <w:proofErr w:type="gramStart"/>
            <w:r w:rsidRPr="00F50786">
              <w:rPr>
                <w:rFonts w:eastAsia="Times New Roman"/>
                <w:color w:val="000000"/>
                <w:sz w:val="14"/>
                <w:szCs w:val="14"/>
                <w:lang w:val="en-US"/>
                <w:rPrChange w:id="181" w:author="Ali Sambou" w:date="2026-01-06T13:25:00Z" w16du:dateUtc="2026-01-06T13:25:00Z">
                  <w:rPr>
                    <w:rFonts w:eastAsia="Times New Roman"/>
                    <w:color w:val="000000"/>
                    <w:sz w:val="14"/>
                    <w:szCs w:val="14"/>
                  </w:rPr>
                </w:rPrChange>
              </w:rPr>
              <w:t>days  x</w:t>
            </w:r>
            <w:proofErr w:type="gramEnd"/>
            <w:r w:rsidRPr="00F50786">
              <w:rPr>
                <w:rFonts w:eastAsia="Times New Roman"/>
                <w:color w:val="000000"/>
                <w:sz w:val="14"/>
                <w:szCs w:val="14"/>
                <w:lang w:val="en-US"/>
                <w:rPrChange w:id="182" w:author="Ali Sambou" w:date="2026-01-06T13:25:00Z" w16du:dateUtc="2026-01-06T13:25:00Z">
                  <w:rPr>
                    <w:rFonts w:eastAsia="Times New Roman"/>
                    <w:color w:val="000000"/>
                    <w:sz w:val="14"/>
                    <w:szCs w:val="14"/>
                  </w:rPr>
                </w:rPrChange>
              </w:rPr>
              <w:t xml:space="preserve"> rate of a man/day 500$ over a 9-month period</w:t>
            </w:r>
          </w:p>
        </w:tc>
        <w:tc>
          <w:tcPr>
            <w:tcW w:w="441" w:type="pct"/>
            <w:shd w:val="clear" w:color="auto" w:fill="auto"/>
            <w:noWrap/>
            <w:vAlign w:val="center"/>
            <w:hideMark/>
          </w:tcPr>
          <w:p w14:paraId="772AAC24"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30,000</w:t>
            </w:r>
          </w:p>
        </w:tc>
        <w:tc>
          <w:tcPr>
            <w:tcW w:w="606" w:type="pct"/>
            <w:shd w:val="clear" w:color="auto" w:fill="auto"/>
            <w:noWrap/>
            <w:vAlign w:val="center"/>
            <w:hideMark/>
          </w:tcPr>
          <w:p w14:paraId="3B1AE9D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2890A2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2E579DD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724E0302"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35D66AC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7DCA0783"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30,000</w:t>
            </w:r>
          </w:p>
        </w:tc>
        <w:tc>
          <w:tcPr>
            <w:tcW w:w="443" w:type="pct"/>
            <w:shd w:val="clear" w:color="auto" w:fill="auto"/>
            <w:noWrap/>
            <w:vAlign w:val="center"/>
            <w:hideMark/>
          </w:tcPr>
          <w:p w14:paraId="4A8F1C88"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4BA9A6CF" w14:textId="77777777" w:rsidTr="004A3EAF">
        <w:trPr>
          <w:trHeight w:val="360"/>
        </w:trPr>
        <w:tc>
          <w:tcPr>
            <w:tcW w:w="1565" w:type="pct"/>
            <w:shd w:val="clear" w:color="auto" w:fill="auto"/>
            <w:vAlign w:val="center"/>
            <w:hideMark/>
          </w:tcPr>
          <w:p w14:paraId="7D1B94B9" w14:textId="77777777" w:rsidR="004A3EAF" w:rsidRPr="00F50786" w:rsidRDefault="004A3EAF" w:rsidP="0067547D">
            <w:pPr>
              <w:spacing w:after="0" w:line="240" w:lineRule="auto"/>
              <w:rPr>
                <w:rFonts w:eastAsia="Times New Roman"/>
                <w:color w:val="000000"/>
                <w:sz w:val="14"/>
                <w:szCs w:val="14"/>
                <w:lang w:val="en-US"/>
                <w:rPrChange w:id="183"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84" w:author="Ali Sambou" w:date="2026-01-06T13:25:00Z" w16du:dateUtc="2026-01-06T13:25:00Z">
                  <w:rPr>
                    <w:rFonts w:eastAsia="Times New Roman"/>
                    <w:color w:val="000000"/>
                    <w:sz w:val="14"/>
                    <w:szCs w:val="14"/>
                  </w:rPr>
                </w:rPrChange>
              </w:rPr>
              <w:t>International urban planning expert (60h/d x $700 over 5 years) providing ad hoc support for strategic reviews and important ToRs.</w:t>
            </w:r>
          </w:p>
        </w:tc>
        <w:tc>
          <w:tcPr>
            <w:tcW w:w="441" w:type="pct"/>
            <w:shd w:val="clear" w:color="auto" w:fill="auto"/>
            <w:noWrap/>
            <w:vAlign w:val="center"/>
            <w:hideMark/>
          </w:tcPr>
          <w:p w14:paraId="26258B7F"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42,000</w:t>
            </w:r>
          </w:p>
        </w:tc>
        <w:tc>
          <w:tcPr>
            <w:tcW w:w="606" w:type="pct"/>
            <w:shd w:val="clear" w:color="auto" w:fill="auto"/>
            <w:noWrap/>
            <w:vAlign w:val="center"/>
            <w:hideMark/>
          </w:tcPr>
          <w:p w14:paraId="09655E9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0EA2CA2"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02BF06A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756F69F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4E4224F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5A920E72"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42,000</w:t>
            </w:r>
          </w:p>
        </w:tc>
        <w:tc>
          <w:tcPr>
            <w:tcW w:w="443" w:type="pct"/>
            <w:shd w:val="clear" w:color="auto" w:fill="auto"/>
            <w:noWrap/>
            <w:vAlign w:val="center"/>
            <w:hideMark/>
          </w:tcPr>
          <w:p w14:paraId="30411404"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42EF7C73" w14:textId="77777777" w:rsidTr="004A3EAF">
        <w:trPr>
          <w:trHeight w:val="360"/>
        </w:trPr>
        <w:tc>
          <w:tcPr>
            <w:tcW w:w="1565" w:type="pct"/>
            <w:shd w:val="clear" w:color="auto" w:fill="auto"/>
            <w:vAlign w:val="center"/>
            <w:hideMark/>
          </w:tcPr>
          <w:p w14:paraId="4671265F" w14:textId="77777777" w:rsidR="004A3EAF" w:rsidRPr="00F50786" w:rsidRDefault="004A3EAF" w:rsidP="0067547D">
            <w:pPr>
              <w:spacing w:after="0" w:line="240" w:lineRule="auto"/>
              <w:rPr>
                <w:rFonts w:eastAsia="Times New Roman"/>
                <w:color w:val="000000"/>
                <w:sz w:val="14"/>
                <w:szCs w:val="14"/>
                <w:lang w:val="en-US"/>
                <w:rPrChange w:id="185"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86" w:author="Ali Sambou" w:date="2026-01-06T13:25:00Z" w16du:dateUtc="2026-01-06T13:25:00Z">
                  <w:rPr>
                    <w:rFonts w:eastAsia="Times New Roman"/>
                    <w:color w:val="000000"/>
                    <w:sz w:val="14"/>
                    <w:szCs w:val="14"/>
                  </w:rPr>
                </w:rPrChange>
              </w:rPr>
              <w:t>International consultant Mid-term evaluation: Costs (35 h/d x $500</w:t>
            </w:r>
            <w:proofErr w:type="gramStart"/>
            <w:r w:rsidRPr="00F50786">
              <w:rPr>
                <w:rFonts w:eastAsia="Times New Roman"/>
                <w:color w:val="000000"/>
                <w:sz w:val="14"/>
                <w:szCs w:val="14"/>
                <w:lang w:val="en-US"/>
                <w:rPrChange w:id="187" w:author="Ali Sambou" w:date="2026-01-06T13:25:00Z" w16du:dateUtc="2026-01-06T13:25:00Z">
                  <w:rPr>
                    <w:rFonts w:eastAsia="Times New Roman"/>
                    <w:color w:val="000000"/>
                    <w:sz w:val="14"/>
                    <w:szCs w:val="14"/>
                  </w:rPr>
                </w:rPrChange>
              </w:rPr>
              <w:t>)  and</w:t>
            </w:r>
            <w:proofErr w:type="gramEnd"/>
            <w:r w:rsidRPr="00F50786">
              <w:rPr>
                <w:rFonts w:eastAsia="Times New Roman"/>
                <w:color w:val="000000"/>
                <w:sz w:val="14"/>
                <w:szCs w:val="14"/>
                <w:lang w:val="en-US"/>
                <w:rPrChange w:id="188" w:author="Ali Sambou" w:date="2026-01-06T13:25:00Z" w16du:dateUtc="2026-01-06T13:25:00Z">
                  <w:rPr>
                    <w:rFonts w:eastAsia="Times New Roman"/>
                    <w:color w:val="000000"/>
                    <w:sz w:val="14"/>
                    <w:szCs w:val="14"/>
                  </w:rPr>
                </w:rPrChange>
              </w:rPr>
              <w:t xml:space="preserve"> Terminal Evaluation (50 man/days x $500) </w:t>
            </w:r>
          </w:p>
        </w:tc>
        <w:tc>
          <w:tcPr>
            <w:tcW w:w="441" w:type="pct"/>
            <w:shd w:val="clear" w:color="auto" w:fill="auto"/>
            <w:noWrap/>
            <w:vAlign w:val="center"/>
            <w:hideMark/>
          </w:tcPr>
          <w:p w14:paraId="7DD9D5D0" w14:textId="77777777" w:rsidR="004A3EAF" w:rsidRPr="00004DA9" w:rsidRDefault="004A3EAF" w:rsidP="0067547D">
            <w:pPr>
              <w:spacing w:after="0" w:line="240" w:lineRule="auto"/>
              <w:rPr>
                <w:rFonts w:eastAsia="Times New Roman"/>
                <w:color w:val="000000"/>
                <w:sz w:val="14"/>
                <w:szCs w:val="14"/>
              </w:rPr>
            </w:pPr>
            <w:r w:rsidRPr="00F50786">
              <w:rPr>
                <w:rFonts w:eastAsia="Times New Roman"/>
                <w:color w:val="000000"/>
                <w:sz w:val="14"/>
                <w:szCs w:val="14"/>
                <w:lang w:val="en-US"/>
                <w:rPrChange w:id="189" w:author="Ali Sambou" w:date="2026-01-06T13:25:00Z" w16du:dateUtc="2026-01-06T13:25:00Z">
                  <w:rPr>
                    <w:rFonts w:eastAsia="Times New Roman"/>
                    <w:color w:val="000000"/>
                    <w:sz w:val="14"/>
                    <w:szCs w:val="14"/>
                  </w:rPr>
                </w:rPrChange>
              </w:rPr>
              <w:t xml:space="preserve">                  </w:t>
            </w:r>
            <w:r w:rsidRPr="00004DA9">
              <w:rPr>
                <w:rFonts w:eastAsia="Times New Roman"/>
                <w:color w:val="000000"/>
                <w:sz w:val="14"/>
                <w:szCs w:val="14"/>
              </w:rPr>
              <w:t xml:space="preserve">-   </w:t>
            </w:r>
          </w:p>
        </w:tc>
        <w:tc>
          <w:tcPr>
            <w:tcW w:w="606" w:type="pct"/>
            <w:shd w:val="clear" w:color="auto" w:fill="auto"/>
            <w:noWrap/>
            <w:vAlign w:val="center"/>
            <w:hideMark/>
          </w:tcPr>
          <w:p w14:paraId="28EC7B7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3490AC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742E3A0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2C74BC97"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42,500</w:t>
            </w:r>
          </w:p>
        </w:tc>
        <w:tc>
          <w:tcPr>
            <w:tcW w:w="321" w:type="pct"/>
            <w:shd w:val="clear" w:color="auto" w:fill="auto"/>
            <w:noWrap/>
            <w:vAlign w:val="center"/>
            <w:hideMark/>
          </w:tcPr>
          <w:p w14:paraId="1573C08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14AEB6F2"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42,500</w:t>
            </w:r>
          </w:p>
        </w:tc>
        <w:tc>
          <w:tcPr>
            <w:tcW w:w="443" w:type="pct"/>
            <w:shd w:val="clear" w:color="auto" w:fill="auto"/>
            <w:noWrap/>
            <w:vAlign w:val="center"/>
            <w:hideMark/>
          </w:tcPr>
          <w:p w14:paraId="0DAD0D9A"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UNDP</w:t>
            </w:r>
          </w:p>
        </w:tc>
      </w:tr>
      <w:tr w:rsidR="004A3EAF" w:rsidRPr="00004DA9" w14:paraId="15A93407" w14:textId="77777777" w:rsidTr="004A3EAF">
        <w:trPr>
          <w:trHeight w:val="300"/>
        </w:trPr>
        <w:tc>
          <w:tcPr>
            <w:tcW w:w="1565" w:type="pct"/>
            <w:shd w:val="clear" w:color="000000" w:fill="C0E6F5"/>
            <w:vAlign w:val="center"/>
            <w:hideMark/>
          </w:tcPr>
          <w:p w14:paraId="788627C2"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Local consultants</w:t>
            </w:r>
          </w:p>
        </w:tc>
        <w:tc>
          <w:tcPr>
            <w:tcW w:w="441" w:type="pct"/>
            <w:shd w:val="clear" w:color="000000" w:fill="C0E6F5"/>
            <w:vAlign w:val="center"/>
            <w:hideMark/>
          </w:tcPr>
          <w:p w14:paraId="4DB03177"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606" w:type="pct"/>
            <w:shd w:val="clear" w:color="000000" w:fill="C0E6F5"/>
            <w:vAlign w:val="center"/>
            <w:hideMark/>
          </w:tcPr>
          <w:p w14:paraId="7B6682F6"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26BB0451"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6FA14F18"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1A644A5A"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321" w:type="pct"/>
            <w:shd w:val="clear" w:color="000000" w:fill="C0E6F5"/>
            <w:vAlign w:val="center"/>
            <w:hideMark/>
          </w:tcPr>
          <w:p w14:paraId="14851146"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354" w:type="pct"/>
            <w:shd w:val="clear" w:color="000000" w:fill="C0E6F5"/>
            <w:vAlign w:val="center"/>
            <w:hideMark/>
          </w:tcPr>
          <w:p w14:paraId="4FF47535"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43" w:type="pct"/>
            <w:shd w:val="clear" w:color="000000" w:fill="C0E6F5"/>
            <w:vAlign w:val="center"/>
            <w:hideMark/>
          </w:tcPr>
          <w:p w14:paraId="704156BB"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r>
      <w:tr w:rsidR="004A3EAF" w:rsidRPr="00004DA9" w14:paraId="7865B5DE" w14:textId="77777777" w:rsidTr="004A3EAF">
        <w:trPr>
          <w:trHeight w:val="540"/>
        </w:trPr>
        <w:tc>
          <w:tcPr>
            <w:tcW w:w="1565" w:type="pct"/>
            <w:shd w:val="clear" w:color="auto" w:fill="auto"/>
            <w:vAlign w:val="center"/>
            <w:hideMark/>
          </w:tcPr>
          <w:p w14:paraId="173DC032" w14:textId="77777777" w:rsidR="004A3EAF" w:rsidRPr="00F50786" w:rsidRDefault="004A3EAF" w:rsidP="0067547D">
            <w:pPr>
              <w:spacing w:after="0" w:line="240" w:lineRule="auto"/>
              <w:rPr>
                <w:rFonts w:eastAsia="Times New Roman"/>
                <w:color w:val="000000"/>
                <w:sz w:val="14"/>
                <w:szCs w:val="14"/>
                <w:lang w:val="en-US"/>
                <w:rPrChange w:id="190"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91" w:author="Ali Sambou" w:date="2026-01-06T13:25:00Z" w16du:dateUtc="2026-01-06T13:25:00Z">
                  <w:rPr>
                    <w:rFonts w:eastAsia="Times New Roman"/>
                    <w:color w:val="000000"/>
                    <w:sz w:val="14"/>
                    <w:szCs w:val="14"/>
                  </w:rPr>
                </w:rPrChange>
              </w:rPr>
              <w:t>Local Consultant to support the preparation for registration following the inventory done for the 5 forests and green urban spaces 60 man/days x 250$ over 9 months</w:t>
            </w:r>
          </w:p>
        </w:tc>
        <w:tc>
          <w:tcPr>
            <w:tcW w:w="441" w:type="pct"/>
            <w:shd w:val="clear" w:color="auto" w:fill="auto"/>
            <w:noWrap/>
            <w:vAlign w:val="center"/>
            <w:hideMark/>
          </w:tcPr>
          <w:p w14:paraId="3702F4DD" w14:textId="77777777" w:rsidR="004A3EAF" w:rsidRPr="00F50786" w:rsidRDefault="004A3EAF" w:rsidP="0067547D">
            <w:pPr>
              <w:spacing w:after="0" w:line="240" w:lineRule="auto"/>
              <w:rPr>
                <w:rFonts w:eastAsia="Times New Roman"/>
                <w:color w:val="000000"/>
                <w:sz w:val="14"/>
                <w:szCs w:val="14"/>
                <w:lang w:val="en-US"/>
                <w:rPrChange w:id="192"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93"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07788CB1" w14:textId="77777777" w:rsidR="004A3EAF" w:rsidRPr="00F50786" w:rsidRDefault="004A3EAF" w:rsidP="0067547D">
            <w:pPr>
              <w:spacing w:after="0" w:line="240" w:lineRule="auto"/>
              <w:rPr>
                <w:rFonts w:eastAsia="Times New Roman"/>
                <w:color w:val="000000"/>
                <w:sz w:val="14"/>
                <w:szCs w:val="14"/>
                <w:lang w:val="en-US"/>
                <w:rPrChange w:id="194"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95" w:author="Ali Sambou" w:date="2026-01-06T13:25:00Z" w16du:dateUtc="2026-01-06T13:25:00Z">
                  <w:rPr>
                    <w:rFonts w:eastAsia="Times New Roman"/>
                    <w:color w:val="000000"/>
                    <w:sz w:val="14"/>
                    <w:szCs w:val="14"/>
                  </w:rPr>
                </w:rPrChange>
              </w:rPr>
              <w:t> </w:t>
            </w:r>
          </w:p>
        </w:tc>
        <w:tc>
          <w:tcPr>
            <w:tcW w:w="423" w:type="pct"/>
            <w:shd w:val="clear" w:color="auto" w:fill="auto"/>
            <w:noWrap/>
            <w:vAlign w:val="center"/>
            <w:hideMark/>
          </w:tcPr>
          <w:p w14:paraId="36BA23F0"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15,000</w:t>
            </w:r>
          </w:p>
        </w:tc>
        <w:tc>
          <w:tcPr>
            <w:tcW w:w="423" w:type="pct"/>
            <w:shd w:val="clear" w:color="auto" w:fill="auto"/>
            <w:noWrap/>
            <w:vAlign w:val="center"/>
            <w:hideMark/>
          </w:tcPr>
          <w:p w14:paraId="1E018C86"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C78BE7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7F2F56C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562227E7"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15,000</w:t>
            </w:r>
          </w:p>
        </w:tc>
        <w:tc>
          <w:tcPr>
            <w:tcW w:w="443" w:type="pct"/>
            <w:shd w:val="clear" w:color="auto" w:fill="auto"/>
            <w:noWrap/>
            <w:vAlign w:val="center"/>
            <w:hideMark/>
          </w:tcPr>
          <w:p w14:paraId="7761A78D"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118E5BA6" w14:textId="77777777" w:rsidTr="004A3EAF">
        <w:trPr>
          <w:trHeight w:val="540"/>
        </w:trPr>
        <w:tc>
          <w:tcPr>
            <w:tcW w:w="1565" w:type="pct"/>
            <w:shd w:val="clear" w:color="auto" w:fill="auto"/>
            <w:vAlign w:val="center"/>
            <w:hideMark/>
          </w:tcPr>
          <w:p w14:paraId="70FF0A58" w14:textId="77777777" w:rsidR="004A3EAF" w:rsidRPr="00F50786" w:rsidRDefault="004A3EAF" w:rsidP="0067547D">
            <w:pPr>
              <w:spacing w:after="0" w:line="240" w:lineRule="auto"/>
              <w:rPr>
                <w:rFonts w:eastAsia="Times New Roman"/>
                <w:color w:val="000000"/>
                <w:sz w:val="14"/>
                <w:szCs w:val="14"/>
                <w:lang w:val="en-US"/>
                <w:rPrChange w:id="196"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97" w:author="Ali Sambou" w:date="2026-01-06T13:25:00Z" w16du:dateUtc="2026-01-06T13:25:00Z">
                  <w:rPr>
                    <w:rFonts w:eastAsia="Times New Roman"/>
                    <w:color w:val="000000"/>
                    <w:sz w:val="14"/>
                    <w:szCs w:val="14"/>
                  </w:rPr>
                </w:rPrChange>
              </w:rPr>
              <w:t>Local consultant to prepare a memorandum of understanding to set up a multi-stakeholder technical committee to monitor the green belt.30man/days x 250$ over 6 months</w:t>
            </w:r>
          </w:p>
        </w:tc>
        <w:tc>
          <w:tcPr>
            <w:tcW w:w="441" w:type="pct"/>
            <w:shd w:val="clear" w:color="auto" w:fill="auto"/>
            <w:noWrap/>
            <w:vAlign w:val="center"/>
            <w:hideMark/>
          </w:tcPr>
          <w:p w14:paraId="033CC630" w14:textId="77777777" w:rsidR="004A3EAF" w:rsidRPr="00F50786" w:rsidRDefault="004A3EAF" w:rsidP="0067547D">
            <w:pPr>
              <w:spacing w:after="0" w:line="240" w:lineRule="auto"/>
              <w:rPr>
                <w:rFonts w:eastAsia="Times New Roman"/>
                <w:color w:val="000000"/>
                <w:sz w:val="14"/>
                <w:szCs w:val="14"/>
                <w:lang w:val="en-US"/>
                <w:rPrChange w:id="198"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199"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4D8BC86C" w14:textId="77777777" w:rsidR="004A3EAF" w:rsidRPr="00F50786" w:rsidRDefault="004A3EAF" w:rsidP="0067547D">
            <w:pPr>
              <w:spacing w:after="0" w:line="240" w:lineRule="auto"/>
              <w:rPr>
                <w:rFonts w:eastAsia="Times New Roman"/>
                <w:color w:val="000000"/>
                <w:sz w:val="14"/>
                <w:szCs w:val="14"/>
                <w:lang w:val="en-US"/>
                <w:rPrChange w:id="200"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01" w:author="Ali Sambou" w:date="2026-01-06T13:25:00Z" w16du:dateUtc="2026-01-06T13:25:00Z">
                  <w:rPr>
                    <w:rFonts w:eastAsia="Times New Roman"/>
                    <w:color w:val="000000"/>
                    <w:sz w:val="14"/>
                    <w:szCs w:val="14"/>
                  </w:rPr>
                </w:rPrChange>
              </w:rPr>
              <w:t> </w:t>
            </w:r>
          </w:p>
        </w:tc>
        <w:tc>
          <w:tcPr>
            <w:tcW w:w="423" w:type="pct"/>
            <w:shd w:val="clear" w:color="auto" w:fill="auto"/>
            <w:noWrap/>
            <w:vAlign w:val="center"/>
            <w:hideMark/>
          </w:tcPr>
          <w:p w14:paraId="0694BECB"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7,500</w:t>
            </w:r>
          </w:p>
        </w:tc>
        <w:tc>
          <w:tcPr>
            <w:tcW w:w="423" w:type="pct"/>
            <w:shd w:val="clear" w:color="auto" w:fill="auto"/>
            <w:noWrap/>
            <w:vAlign w:val="center"/>
            <w:hideMark/>
          </w:tcPr>
          <w:p w14:paraId="136816E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B43C61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1212DA8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7855A6FB"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7,500</w:t>
            </w:r>
          </w:p>
        </w:tc>
        <w:tc>
          <w:tcPr>
            <w:tcW w:w="443" w:type="pct"/>
            <w:shd w:val="clear" w:color="auto" w:fill="auto"/>
            <w:noWrap/>
            <w:vAlign w:val="center"/>
            <w:hideMark/>
          </w:tcPr>
          <w:p w14:paraId="08F3F1C2"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2626F05E" w14:textId="77777777" w:rsidTr="004A3EAF">
        <w:trPr>
          <w:trHeight w:val="720"/>
        </w:trPr>
        <w:tc>
          <w:tcPr>
            <w:tcW w:w="1565" w:type="pct"/>
            <w:shd w:val="clear" w:color="auto" w:fill="auto"/>
            <w:vAlign w:val="center"/>
            <w:hideMark/>
          </w:tcPr>
          <w:p w14:paraId="1D5E9D50" w14:textId="77777777" w:rsidR="004A3EAF" w:rsidRPr="00F50786" w:rsidRDefault="004A3EAF" w:rsidP="0067547D">
            <w:pPr>
              <w:spacing w:after="0" w:line="240" w:lineRule="auto"/>
              <w:rPr>
                <w:rFonts w:eastAsia="Times New Roman"/>
                <w:color w:val="000000"/>
                <w:sz w:val="14"/>
                <w:szCs w:val="14"/>
                <w:lang w:val="en-US"/>
                <w:rPrChange w:id="202"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03" w:author="Ali Sambou" w:date="2026-01-06T13:25:00Z" w16du:dateUtc="2026-01-06T13:25:00Z">
                  <w:rPr>
                    <w:rFonts w:eastAsia="Times New Roman"/>
                    <w:color w:val="000000"/>
                    <w:sz w:val="14"/>
                    <w:szCs w:val="14"/>
                  </w:rPr>
                </w:rPrChange>
              </w:rPr>
              <w:t>Local consultant to prepare the TOR for specialized firms, inter-branch agricultural organizations, and/or local NGOs to implement reforestation, contract-planting models, and community mobilization (activity 3,1,4,1).10man/days x 250$ over 1 month</w:t>
            </w:r>
          </w:p>
        </w:tc>
        <w:tc>
          <w:tcPr>
            <w:tcW w:w="441" w:type="pct"/>
            <w:shd w:val="clear" w:color="auto" w:fill="auto"/>
            <w:noWrap/>
            <w:vAlign w:val="center"/>
            <w:hideMark/>
          </w:tcPr>
          <w:p w14:paraId="51C5CDC5" w14:textId="77777777" w:rsidR="004A3EAF" w:rsidRPr="00F50786" w:rsidRDefault="004A3EAF" w:rsidP="0067547D">
            <w:pPr>
              <w:spacing w:after="0" w:line="240" w:lineRule="auto"/>
              <w:rPr>
                <w:rFonts w:eastAsia="Times New Roman"/>
                <w:color w:val="000000"/>
                <w:sz w:val="14"/>
                <w:szCs w:val="14"/>
                <w:lang w:val="en-US"/>
                <w:rPrChange w:id="204"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05"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2C73D1E3" w14:textId="77777777" w:rsidR="004A3EAF" w:rsidRPr="00F50786" w:rsidRDefault="004A3EAF" w:rsidP="0067547D">
            <w:pPr>
              <w:spacing w:after="0" w:line="240" w:lineRule="auto"/>
              <w:rPr>
                <w:rFonts w:eastAsia="Times New Roman"/>
                <w:color w:val="000000"/>
                <w:sz w:val="14"/>
                <w:szCs w:val="14"/>
                <w:lang w:val="en-US"/>
                <w:rPrChange w:id="206"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07" w:author="Ali Sambou" w:date="2026-01-06T13:25:00Z" w16du:dateUtc="2026-01-06T13:25:00Z">
                  <w:rPr>
                    <w:rFonts w:eastAsia="Times New Roman"/>
                    <w:color w:val="000000"/>
                    <w:sz w:val="14"/>
                    <w:szCs w:val="14"/>
                  </w:rPr>
                </w:rPrChange>
              </w:rPr>
              <w:t> </w:t>
            </w:r>
          </w:p>
        </w:tc>
        <w:tc>
          <w:tcPr>
            <w:tcW w:w="423" w:type="pct"/>
            <w:shd w:val="clear" w:color="auto" w:fill="auto"/>
            <w:noWrap/>
            <w:vAlign w:val="center"/>
            <w:hideMark/>
          </w:tcPr>
          <w:p w14:paraId="7247CAB4"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2,500</w:t>
            </w:r>
          </w:p>
        </w:tc>
        <w:tc>
          <w:tcPr>
            <w:tcW w:w="423" w:type="pct"/>
            <w:shd w:val="clear" w:color="auto" w:fill="auto"/>
            <w:noWrap/>
            <w:vAlign w:val="center"/>
            <w:hideMark/>
          </w:tcPr>
          <w:p w14:paraId="4738420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44A742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4756623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5803C435"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2,500</w:t>
            </w:r>
          </w:p>
        </w:tc>
        <w:tc>
          <w:tcPr>
            <w:tcW w:w="443" w:type="pct"/>
            <w:shd w:val="clear" w:color="auto" w:fill="auto"/>
            <w:noWrap/>
            <w:vAlign w:val="center"/>
            <w:hideMark/>
          </w:tcPr>
          <w:p w14:paraId="238AFD5F"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5A59CB77" w14:textId="77777777" w:rsidTr="004A3EAF">
        <w:trPr>
          <w:trHeight w:val="360"/>
        </w:trPr>
        <w:tc>
          <w:tcPr>
            <w:tcW w:w="1565" w:type="pct"/>
            <w:shd w:val="clear" w:color="auto" w:fill="auto"/>
            <w:vAlign w:val="center"/>
            <w:hideMark/>
          </w:tcPr>
          <w:p w14:paraId="3EE00B3C" w14:textId="77777777" w:rsidR="004A3EAF" w:rsidRPr="00F50786" w:rsidRDefault="004A3EAF" w:rsidP="0067547D">
            <w:pPr>
              <w:spacing w:after="0" w:line="240" w:lineRule="auto"/>
              <w:rPr>
                <w:rFonts w:eastAsia="Times New Roman"/>
                <w:color w:val="000000"/>
                <w:sz w:val="14"/>
                <w:szCs w:val="14"/>
                <w:lang w:val="en-US"/>
                <w:rPrChange w:id="208"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09" w:author="Ali Sambou" w:date="2026-01-06T13:25:00Z" w16du:dateUtc="2026-01-06T13:25:00Z">
                  <w:rPr>
                    <w:rFonts w:eastAsia="Times New Roman"/>
                    <w:color w:val="000000"/>
                    <w:sz w:val="14"/>
                    <w:szCs w:val="14"/>
                  </w:rPr>
                </w:rPrChange>
              </w:rPr>
              <w:t>National consultant to accompany the implementation of Public-private-CSO coordination platform for the city of Bamako, 30man, /day x 250$</w:t>
            </w:r>
          </w:p>
        </w:tc>
        <w:tc>
          <w:tcPr>
            <w:tcW w:w="441" w:type="pct"/>
            <w:shd w:val="clear" w:color="auto" w:fill="auto"/>
            <w:noWrap/>
            <w:vAlign w:val="center"/>
            <w:hideMark/>
          </w:tcPr>
          <w:p w14:paraId="341BC268"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7,500</w:t>
            </w:r>
          </w:p>
        </w:tc>
        <w:tc>
          <w:tcPr>
            <w:tcW w:w="606" w:type="pct"/>
            <w:shd w:val="clear" w:color="auto" w:fill="auto"/>
            <w:noWrap/>
            <w:vAlign w:val="center"/>
            <w:hideMark/>
          </w:tcPr>
          <w:p w14:paraId="27FDDFC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17FBB6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2C442E0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4EA6F92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76B0CD2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77BBC475"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7,500</w:t>
            </w:r>
          </w:p>
        </w:tc>
        <w:tc>
          <w:tcPr>
            <w:tcW w:w="443" w:type="pct"/>
            <w:shd w:val="clear" w:color="auto" w:fill="auto"/>
            <w:noWrap/>
            <w:vAlign w:val="center"/>
            <w:hideMark/>
          </w:tcPr>
          <w:p w14:paraId="796CB49C"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43D80FBA" w14:textId="77777777" w:rsidTr="004A3EAF">
        <w:trPr>
          <w:trHeight w:val="540"/>
        </w:trPr>
        <w:tc>
          <w:tcPr>
            <w:tcW w:w="1565" w:type="pct"/>
            <w:shd w:val="clear" w:color="auto" w:fill="auto"/>
            <w:vAlign w:val="center"/>
            <w:hideMark/>
          </w:tcPr>
          <w:p w14:paraId="41DF8BBE" w14:textId="77777777" w:rsidR="004A3EAF" w:rsidRPr="00F50786" w:rsidRDefault="004A3EAF" w:rsidP="0067547D">
            <w:pPr>
              <w:spacing w:after="0" w:line="240" w:lineRule="auto"/>
              <w:rPr>
                <w:rFonts w:eastAsia="Times New Roman"/>
                <w:color w:val="000000"/>
                <w:sz w:val="14"/>
                <w:szCs w:val="14"/>
                <w:lang w:val="en-US"/>
                <w:rPrChange w:id="210"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11" w:author="Ali Sambou" w:date="2026-01-06T13:25:00Z" w16du:dateUtc="2026-01-06T13:25:00Z">
                  <w:rPr>
                    <w:rFonts w:eastAsia="Times New Roman"/>
                    <w:color w:val="000000"/>
                    <w:sz w:val="14"/>
                    <w:szCs w:val="14"/>
                  </w:rPr>
                </w:rPrChange>
              </w:rPr>
              <w:t xml:space="preserve">National consultant to support the launch of two Hackathons for young entrepreneurs in Bamako to select innovative projects related to sustainable urban services, </w:t>
            </w:r>
            <w:proofErr w:type="gramStart"/>
            <w:r w:rsidRPr="00F50786">
              <w:rPr>
                <w:rFonts w:eastAsia="Times New Roman"/>
                <w:color w:val="000000"/>
                <w:sz w:val="14"/>
                <w:szCs w:val="14"/>
                <w:lang w:val="en-US"/>
                <w:rPrChange w:id="212" w:author="Ali Sambou" w:date="2026-01-06T13:25:00Z" w16du:dateUtc="2026-01-06T13:25:00Z">
                  <w:rPr>
                    <w:rFonts w:eastAsia="Times New Roman"/>
                    <w:color w:val="000000"/>
                    <w:sz w:val="14"/>
                    <w:szCs w:val="14"/>
                  </w:rPr>
                </w:rPrChange>
              </w:rPr>
              <w:t>40 man</w:t>
            </w:r>
            <w:proofErr w:type="gramEnd"/>
            <w:r w:rsidRPr="00F50786">
              <w:rPr>
                <w:rFonts w:eastAsia="Times New Roman"/>
                <w:color w:val="000000"/>
                <w:sz w:val="14"/>
                <w:szCs w:val="14"/>
                <w:lang w:val="en-US"/>
                <w:rPrChange w:id="213" w:author="Ali Sambou" w:date="2026-01-06T13:25:00Z" w16du:dateUtc="2026-01-06T13:25:00Z">
                  <w:rPr>
                    <w:rFonts w:eastAsia="Times New Roman"/>
                    <w:color w:val="000000"/>
                    <w:sz w:val="14"/>
                    <w:szCs w:val="14"/>
                  </w:rPr>
                </w:rPrChange>
              </w:rPr>
              <w:t xml:space="preserve"> day x 250$</w:t>
            </w:r>
          </w:p>
        </w:tc>
        <w:tc>
          <w:tcPr>
            <w:tcW w:w="441" w:type="pct"/>
            <w:shd w:val="clear" w:color="auto" w:fill="auto"/>
            <w:noWrap/>
            <w:vAlign w:val="center"/>
            <w:hideMark/>
          </w:tcPr>
          <w:p w14:paraId="3800C700"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10,000</w:t>
            </w:r>
          </w:p>
        </w:tc>
        <w:tc>
          <w:tcPr>
            <w:tcW w:w="606" w:type="pct"/>
            <w:shd w:val="clear" w:color="auto" w:fill="auto"/>
            <w:noWrap/>
            <w:vAlign w:val="center"/>
            <w:hideMark/>
          </w:tcPr>
          <w:p w14:paraId="10DF0FB6"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86A823F"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09138F8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4E75929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0F86A52C"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3B7B406F"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10,000</w:t>
            </w:r>
          </w:p>
        </w:tc>
        <w:tc>
          <w:tcPr>
            <w:tcW w:w="443" w:type="pct"/>
            <w:shd w:val="clear" w:color="auto" w:fill="auto"/>
            <w:noWrap/>
            <w:vAlign w:val="center"/>
            <w:hideMark/>
          </w:tcPr>
          <w:p w14:paraId="0263A5B0"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24E4F948" w14:textId="77777777" w:rsidTr="004A3EAF">
        <w:trPr>
          <w:trHeight w:val="360"/>
        </w:trPr>
        <w:tc>
          <w:tcPr>
            <w:tcW w:w="1565" w:type="pct"/>
            <w:shd w:val="clear" w:color="auto" w:fill="auto"/>
            <w:vAlign w:val="center"/>
            <w:hideMark/>
          </w:tcPr>
          <w:p w14:paraId="52E034A7" w14:textId="77777777" w:rsidR="004A3EAF" w:rsidRPr="00F50786" w:rsidRDefault="004A3EAF" w:rsidP="0067547D">
            <w:pPr>
              <w:spacing w:after="0" w:line="240" w:lineRule="auto"/>
              <w:rPr>
                <w:rFonts w:eastAsia="Times New Roman"/>
                <w:color w:val="000000"/>
                <w:sz w:val="14"/>
                <w:szCs w:val="14"/>
                <w:lang w:val="en-US"/>
                <w:rPrChange w:id="214" w:author="Ali Sambou" w:date="2026-01-06T13:25:00Z" w16du:dateUtc="2026-01-06T13:25:00Z">
                  <w:rPr>
                    <w:rFonts w:eastAsia="Times New Roman"/>
                    <w:color w:val="000000"/>
                    <w:sz w:val="14"/>
                    <w:szCs w:val="14"/>
                  </w:rPr>
                </w:rPrChange>
              </w:rPr>
            </w:pPr>
            <w:proofErr w:type="gramStart"/>
            <w:r w:rsidRPr="00F50786">
              <w:rPr>
                <w:rFonts w:eastAsia="Times New Roman"/>
                <w:color w:val="000000"/>
                <w:sz w:val="14"/>
                <w:szCs w:val="14"/>
                <w:lang w:val="en-US"/>
                <w:rPrChange w:id="215" w:author="Ali Sambou" w:date="2026-01-06T13:25:00Z" w16du:dateUtc="2026-01-06T13:25:00Z">
                  <w:rPr>
                    <w:rFonts w:eastAsia="Times New Roman"/>
                    <w:color w:val="000000"/>
                    <w:sz w:val="14"/>
                    <w:szCs w:val="14"/>
                  </w:rPr>
                </w:rPrChange>
              </w:rPr>
              <w:t>Add</w:t>
            </w:r>
            <w:proofErr w:type="gramEnd"/>
            <w:r w:rsidRPr="00F50786">
              <w:rPr>
                <w:rFonts w:eastAsia="Times New Roman"/>
                <w:color w:val="000000"/>
                <w:sz w:val="14"/>
                <w:szCs w:val="14"/>
                <w:lang w:val="en-US"/>
                <w:rPrChange w:id="216" w:author="Ali Sambou" w:date="2026-01-06T13:25:00Z" w16du:dateUtc="2026-01-06T13:25:00Z">
                  <w:rPr>
                    <w:rFonts w:eastAsia="Times New Roman"/>
                    <w:color w:val="000000"/>
                    <w:sz w:val="14"/>
                    <w:szCs w:val="14"/>
                  </w:rPr>
                </w:rPrChange>
              </w:rPr>
              <w:t xml:space="preserve"> hoc sustainable transport and e-mobility expert 80h/j * rate of a man/day 300$ </w:t>
            </w:r>
          </w:p>
        </w:tc>
        <w:tc>
          <w:tcPr>
            <w:tcW w:w="441" w:type="pct"/>
            <w:shd w:val="clear" w:color="auto" w:fill="auto"/>
            <w:noWrap/>
            <w:vAlign w:val="center"/>
            <w:hideMark/>
          </w:tcPr>
          <w:p w14:paraId="7E50D297" w14:textId="77777777" w:rsidR="004A3EAF" w:rsidRPr="00F50786" w:rsidRDefault="004A3EAF" w:rsidP="0067547D">
            <w:pPr>
              <w:spacing w:after="0" w:line="240" w:lineRule="auto"/>
              <w:rPr>
                <w:rFonts w:eastAsia="Times New Roman"/>
                <w:color w:val="000000"/>
                <w:sz w:val="14"/>
                <w:szCs w:val="14"/>
                <w:lang w:val="en-US"/>
                <w:rPrChange w:id="217"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18"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7DABE895"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24,000</w:t>
            </w:r>
          </w:p>
        </w:tc>
        <w:tc>
          <w:tcPr>
            <w:tcW w:w="423" w:type="pct"/>
            <w:shd w:val="clear" w:color="auto" w:fill="auto"/>
            <w:noWrap/>
            <w:vAlign w:val="center"/>
            <w:hideMark/>
          </w:tcPr>
          <w:p w14:paraId="4706948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27D481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7B42E7D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50C5861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44B4F4FF"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24,000</w:t>
            </w:r>
          </w:p>
        </w:tc>
        <w:tc>
          <w:tcPr>
            <w:tcW w:w="443" w:type="pct"/>
            <w:shd w:val="clear" w:color="auto" w:fill="auto"/>
            <w:noWrap/>
            <w:vAlign w:val="center"/>
            <w:hideMark/>
          </w:tcPr>
          <w:p w14:paraId="6D27A4AA"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16523D2D" w14:textId="77777777" w:rsidTr="004A3EAF">
        <w:trPr>
          <w:trHeight w:val="540"/>
        </w:trPr>
        <w:tc>
          <w:tcPr>
            <w:tcW w:w="1565" w:type="pct"/>
            <w:shd w:val="clear" w:color="auto" w:fill="auto"/>
            <w:vAlign w:val="center"/>
            <w:hideMark/>
          </w:tcPr>
          <w:p w14:paraId="7F3C0BCE" w14:textId="77777777" w:rsidR="004A3EAF" w:rsidRPr="00F50786" w:rsidRDefault="004A3EAF" w:rsidP="0067547D">
            <w:pPr>
              <w:spacing w:after="0" w:line="240" w:lineRule="auto"/>
              <w:rPr>
                <w:rFonts w:eastAsia="Times New Roman"/>
                <w:color w:val="000000"/>
                <w:sz w:val="14"/>
                <w:szCs w:val="14"/>
                <w:lang w:val="en-US"/>
                <w:rPrChange w:id="219"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20" w:author="Ali Sambou" w:date="2026-01-06T13:25:00Z" w16du:dateUtc="2026-01-06T13:25:00Z">
                  <w:rPr>
                    <w:rFonts w:eastAsia="Times New Roman"/>
                    <w:color w:val="000000"/>
                    <w:sz w:val="14"/>
                    <w:szCs w:val="14"/>
                  </w:rPr>
                </w:rPrChange>
              </w:rPr>
              <w:t>Local consultant to Support the organization of transporters into Economic Interest Groups (EIGs), 60man/day x rate of 250$ the man/day over 12 months</w:t>
            </w:r>
          </w:p>
        </w:tc>
        <w:tc>
          <w:tcPr>
            <w:tcW w:w="441" w:type="pct"/>
            <w:shd w:val="clear" w:color="auto" w:fill="auto"/>
            <w:noWrap/>
            <w:vAlign w:val="center"/>
            <w:hideMark/>
          </w:tcPr>
          <w:p w14:paraId="3D9DD712" w14:textId="77777777" w:rsidR="004A3EAF" w:rsidRPr="00F50786" w:rsidRDefault="004A3EAF" w:rsidP="0067547D">
            <w:pPr>
              <w:spacing w:after="0" w:line="240" w:lineRule="auto"/>
              <w:rPr>
                <w:rFonts w:eastAsia="Times New Roman"/>
                <w:color w:val="000000"/>
                <w:sz w:val="14"/>
                <w:szCs w:val="14"/>
                <w:lang w:val="en-US"/>
                <w:rPrChange w:id="221"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22"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6B50A37B"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15,000</w:t>
            </w:r>
          </w:p>
        </w:tc>
        <w:tc>
          <w:tcPr>
            <w:tcW w:w="423" w:type="pct"/>
            <w:shd w:val="clear" w:color="auto" w:fill="auto"/>
            <w:noWrap/>
            <w:vAlign w:val="center"/>
            <w:hideMark/>
          </w:tcPr>
          <w:p w14:paraId="0F9C8CA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03CC12E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46FCBDB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6906107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28B32F14"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15,000</w:t>
            </w:r>
          </w:p>
        </w:tc>
        <w:tc>
          <w:tcPr>
            <w:tcW w:w="443" w:type="pct"/>
            <w:shd w:val="clear" w:color="auto" w:fill="auto"/>
            <w:noWrap/>
            <w:vAlign w:val="center"/>
            <w:hideMark/>
          </w:tcPr>
          <w:p w14:paraId="7D21D76C"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2D8362DB" w14:textId="77777777" w:rsidTr="004A3EAF">
        <w:trPr>
          <w:trHeight w:val="720"/>
        </w:trPr>
        <w:tc>
          <w:tcPr>
            <w:tcW w:w="1565" w:type="pct"/>
            <w:shd w:val="clear" w:color="auto" w:fill="auto"/>
            <w:vAlign w:val="center"/>
            <w:hideMark/>
          </w:tcPr>
          <w:p w14:paraId="6C01B366" w14:textId="77777777" w:rsidR="004A3EAF" w:rsidRPr="00F50786" w:rsidRDefault="004A3EAF" w:rsidP="0067547D">
            <w:pPr>
              <w:spacing w:after="0" w:line="240" w:lineRule="auto"/>
              <w:rPr>
                <w:rFonts w:eastAsia="Times New Roman"/>
                <w:color w:val="000000"/>
                <w:sz w:val="14"/>
                <w:szCs w:val="14"/>
                <w:lang w:val="en-US"/>
                <w:rPrChange w:id="223"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24" w:author="Ali Sambou" w:date="2026-01-06T13:25:00Z" w16du:dateUtc="2026-01-06T13:25:00Z">
                  <w:rPr>
                    <w:rFonts w:eastAsia="Times New Roman"/>
                    <w:color w:val="000000"/>
                    <w:sz w:val="14"/>
                    <w:szCs w:val="14"/>
                  </w:rPr>
                </w:rPrChange>
              </w:rPr>
              <w:t>National consultant to support the Organization of a regional/international conference on financing integrated, green, inclusive and resilient urban development in Bamako, 40 man/day x 250$ </w:t>
            </w:r>
          </w:p>
        </w:tc>
        <w:tc>
          <w:tcPr>
            <w:tcW w:w="441" w:type="pct"/>
            <w:shd w:val="clear" w:color="auto" w:fill="auto"/>
            <w:noWrap/>
            <w:vAlign w:val="center"/>
            <w:hideMark/>
          </w:tcPr>
          <w:p w14:paraId="184C37E8"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10,000</w:t>
            </w:r>
          </w:p>
        </w:tc>
        <w:tc>
          <w:tcPr>
            <w:tcW w:w="606" w:type="pct"/>
            <w:shd w:val="clear" w:color="auto" w:fill="auto"/>
            <w:noWrap/>
            <w:vAlign w:val="center"/>
            <w:hideMark/>
          </w:tcPr>
          <w:p w14:paraId="3F098FD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CDF9BF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96F5EC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2093982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5940581F"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14817C33"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10,000</w:t>
            </w:r>
          </w:p>
        </w:tc>
        <w:tc>
          <w:tcPr>
            <w:tcW w:w="443" w:type="pct"/>
            <w:shd w:val="clear" w:color="auto" w:fill="auto"/>
            <w:noWrap/>
            <w:vAlign w:val="center"/>
            <w:hideMark/>
          </w:tcPr>
          <w:p w14:paraId="46866953"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74389805" w14:textId="77777777" w:rsidTr="004A3EAF">
        <w:trPr>
          <w:trHeight w:val="300"/>
        </w:trPr>
        <w:tc>
          <w:tcPr>
            <w:tcW w:w="1565" w:type="pct"/>
            <w:shd w:val="clear" w:color="auto" w:fill="auto"/>
            <w:vAlign w:val="center"/>
            <w:hideMark/>
          </w:tcPr>
          <w:p w14:paraId="24742CE6" w14:textId="77777777" w:rsidR="004A3EAF" w:rsidRPr="00F50786" w:rsidRDefault="004A3EAF" w:rsidP="0067547D">
            <w:pPr>
              <w:spacing w:after="0" w:line="240" w:lineRule="auto"/>
              <w:rPr>
                <w:rFonts w:eastAsia="Times New Roman"/>
                <w:color w:val="000000"/>
                <w:sz w:val="14"/>
                <w:szCs w:val="14"/>
                <w:lang w:val="en-US"/>
                <w:rPrChange w:id="225"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26" w:author="Ali Sambou" w:date="2026-01-06T13:25:00Z" w16du:dateUtc="2026-01-06T13:25:00Z">
                  <w:rPr>
                    <w:rFonts w:eastAsia="Times New Roman"/>
                    <w:color w:val="000000"/>
                    <w:sz w:val="14"/>
                    <w:szCs w:val="14"/>
                  </w:rPr>
                </w:rPrChange>
              </w:rPr>
              <w:t>National Expert to develop project exit strategy :48 man/day x $250</w:t>
            </w:r>
          </w:p>
        </w:tc>
        <w:tc>
          <w:tcPr>
            <w:tcW w:w="441" w:type="pct"/>
            <w:shd w:val="clear" w:color="auto" w:fill="auto"/>
            <w:noWrap/>
            <w:vAlign w:val="center"/>
            <w:hideMark/>
          </w:tcPr>
          <w:p w14:paraId="17EB3605" w14:textId="77777777" w:rsidR="004A3EAF" w:rsidRPr="00004DA9" w:rsidRDefault="004A3EAF" w:rsidP="0067547D">
            <w:pPr>
              <w:spacing w:after="0" w:line="240" w:lineRule="auto"/>
              <w:rPr>
                <w:rFonts w:eastAsia="Times New Roman"/>
                <w:color w:val="000000"/>
                <w:sz w:val="14"/>
                <w:szCs w:val="14"/>
              </w:rPr>
            </w:pPr>
            <w:r w:rsidRPr="00F50786">
              <w:rPr>
                <w:rFonts w:eastAsia="Times New Roman"/>
                <w:color w:val="000000"/>
                <w:sz w:val="14"/>
                <w:szCs w:val="14"/>
                <w:lang w:val="en-US"/>
                <w:rPrChange w:id="227" w:author="Ali Sambou" w:date="2026-01-06T13:25:00Z" w16du:dateUtc="2026-01-06T13:25:00Z">
                  <w:rPr>
                    <w:rFonts w:eastAsia="Times New Roman"/>
                    <w:color w:val="000000"/>
                    <w:sz w:val="14"/>
                    <w:szCs w:val="14"/>
                  </w:rPr>
                </w:rPrChange>
              </w:rPr>
              <w:t xml:space="preserve">                  </w:t>
            </w:r>
            <w:r w:rsidRPr="00004DA9">
              <w:rPr>
                <w:rFonts w:eastAsia="Times New Roman"/>
                <w:color w:val="000000"/>
                <w:sz w:val="14"/>
                <w:szCs w:val="14"/>
              </w:rPr>
              <w:t xml:space="preserve">-   </w:t>
            </w:r>
          </w:p>
        </w:tc>
        <w:tc>
          <w:tcPr>
            <w:tcW w:w="606" w:type="pct"/>
            <w:shd w:val="clear" w:color="auto" w:fill="auto"/>
            <w:noWrap/>
            <w:vAlign w:val="center"/>
            <w:hideMark/>
          </w:tcPr>
          <w:p w14:paraId="358415B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2741D44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2379E750"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12,000</w:t>
            </w:r>
          </w:p>
        </w:tc>
        <w:tc>
          <w:tcPr>
            <w:tcW w:w="423" w:type="pct"/>
            <w:shd w:val="clear" w:color="auto" w:fill="auto"/>
            <w:noWrap/>
            <w:vAlign w:val="center"/>
            <w:hideMark/>
          </w:tcPr>
          <w:p w14:paraId="16ABA60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520D3CB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60DE76EB"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12,000</w:t>
            </w:r>
          </w:p>
        </w:tc>
        <w:tc>
          <w:tcPr>
            <w:tcW w:w="443" w:type="pct"/>
            <w:shd w:val="clear" w:color="auto" w:fill="auto"/>
            <w:noWrap/>
            <w:vAlign w:val="center"/>
            <w:hideMark/>
          </w:tcPr>
          <w:p w14:paraId="5184F1AF"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57548F38" w14:textId="77777777" w:rsidTr="004A3EAF">
        <w:trPr>
          <w:trHeight w:val="540"/>
        </w:trPr>
        <w:tc>
          <w:tcPr>
            <w:tcW w:w="1565" w:type="pct"/>
            <w:shd w:val="clear" w:color="auto" w:fill="auto"/>
            <w:vAlign w:val="center"/>
            <w:hideMark/>
          </w:tcPr>
          <w:p w14:paraId="3A2CE2AA" w14:textId="77777777" w:rsidR="004A3EAF" w:rsidRPr="00F50786" w:rsidRDefault="004A3EAF" w:rsidP="0067547D">
            <w:pPr>
              <w:spacing w:after="0" w:line="240" w:lineRule="auto"/>
              <w:rPr>
                <w:rFonts w:eastAsia="Times New Roman"/>
                <w:color w:val="000000"/>
                <w:sz w:val="14"/>
                <w:szCs w:val="14"/>
                <w:lang w:val="en-US"/>
                <w:rPrChange w:id="228"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29" w:author="Ali Sambou" w:date="2026-01-06T13:25:00Z" w16du:dateUtc="2026-01-06T13:25:00Z">
                  <w:rPr>
                    <w:rFonts w:eastAsia="Times New Roman"/>
                    <w:color w:val="000000"/>
                    <w:sz w:val="14"/>
                    <w:szCs w:val="14"/>
                  </w:rPr>
                </w:rPrChange>
              </w:rPr>
              <w:t xml:space="preserve">Procurement Consultant to support procurement processes during the project implementation: 10% Y </w:t>
            </w:r>
            <w:proofErr w:type="gramStart"/>
            <w:r w:rsidRPr="00F50786">
              <w:rPr>
                <w:rFonts w:eastAsia="Times New Roman"/>
                <w:color w:val="000000"/>
                <w:sz w:val="14"/>
                <w:szCs w:val="14"/>
                <w:lang w:val="en-US"/>
                <w:rPrChange w:id="230" w:author="Ali Sambou" w:date="2026-01-06T13:25:00Z" w16du:dateUtc="2026-01-06T13:25:00Z">
                  <w:rPr>
                    <w:rFonts w:eastAsia="Times New Roman"/>
                    <w:color w:val="000000"/>
                    <w:sz w:val="14"/>
                    <w:szCs w:val="14"/>
                  </w:rPr>
                </w:rPrChange>
              </w:rPr>
              <w:t>1 ;</w:t>
            </w:r>
            <w:proofErr w:type="gramEnd"/>
            <w:r w:rsidRPr="00F50786">
              <w:rPr>
                <w:rFonts w:eastAsia="Times New Roman"/>
                <w:color w:val="000000"/>
                <w:sz w:val="14"/>
                <w:szCs w:val="14"/>
                <w:lang w:val="en-US"/>
                <w:rPrChange w:id="231" w:author="Ali Sambou" w:date="2026-01-06T13:25:00Z" w16du:dateUtc="2026-01-06T13:25:00Z">
                  <w:rPr>
                    <w:rFonts w:eastAsia="Times New Roman"/>
                    <w:color w:val="000000"/>
                    <w:sz w:val="14"/>
                    <w:szCs w:val="14"/>
                  </w:rPr>
                </w:rPrChange>
              </w:rPr>
              <w:t xml:space="preserve"> 30% Y2; 30% Y3; 20% Y5 10% _( 150 man days x 250$) (see annex 7 in the product  for ToR)  </w:t>
            </w:r>
          </w:p>
        </w:tc>
        <w:tc>
          <w:tcPr>
            <w:tcW w:w="441" w:type="pct"/>
            <w:shd w:val="clear" w:color="auto" w:fill="auto"/>
            <w:noWrap/>
            <w:vAlign w:val="center"/>
            <w:hideMark/>
          </w:tcPr>
          <w:p w14:paraId="67006E7E" w14:textId="77777777" w:rsidR="004A3EAF" w:rsidRPr="00004DA9" w:rsidRDefault="004A3EAF" w:rsidP="0067547D">
            <w:pPr>
              <w:spacing w:after="0" w:line="240" w:lineRule="auto"/>
              <w:rPr>
                <w:rFonts w:eastAsia="Times New Roman"/>
                <w:color w:val="000000"/>
                <w:sz w:val="14"/>
                <w:szCs w:val="14"/>
              </w:rPr>
            </w:pPr>
            <w:r w:rsidRPr="00F50786">
              <w:rPr>
                <w:rFonts w:eastAsia="Times New Roman"/>
                <w:color w:val="000000"/>
                <w:sz w:val="14"/>
                <w:szCs w:val="14"/>
                <w:lang w:val="en-US"/>
                <w:rPrChange w:id="232" w:author="Ali Sambou" w:date="2026-01-06T13:25:00Z" w16du:dateUtc="2026-01-06T13:25:00Z">
                  <w:rPr>
                    <w:rFonts w:eastAsia="Times New Roman"/>
                    <w:color w:val="000000"/>
                    <w:sz w:val="14"/>
                    <w:szCs w:val="14"/>
                  </w:rPr>
                </w:rPrChange>
              </w:rPr>
              <w:t xml:space="preserve">                  </w:t>
            </w:r>
            <w:r w:rsidRPr="00004DA9">
              <w:rPr>
                <w:rFonts w:eastAsia="Times New Roman"/>
                <w:color w:val="000000"/>
                <w:sz w:val="14"/>
                <w:szCs w:val="14"/>
              </w:rPr>
              <w:t xml:space="preserve">-   </w:t>
            </w:r>
          </w:p>
        </w:tc>
        <w:tc>
          <w:tcPr>
            <w:tcW w:w="606" w:type="pct"/>
            <w:shd w:val="clear" w:color="auto" w:fill="auto"/>
            <w:noWrap/>
            <w:vAlign w:val="center"/>
            <w:hideMark/>
          </w:tcPr>
          <w:p w14:paraId="169BD6B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738885B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77DAA0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0AF0700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4506EA87"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37,500</w:t>
            </w:r>
          </w:p>
        </w:tc>
        <w:tc>
          <w:tcPr>
            <w:tcW w:w="354" w:type="pct"/>
            <w:shd w:val="clear" w:color="auto" w:fill="auto"/>
            <w:noWrap/>
            <w:vAlign w:val="center"/>
            <w:hideMark/>
          </w:tcPr>
          <w:p w14:paraId="35600E0B"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37,500</w:t>
            </w:r>
          </w:p>
        </w:tc>
        <w:tc>
          <w:tcPr>
            <w:tcW w:w="443" w:type="pct"/>
            <w:shd w:val="clear" w:color="auto" w:fill="auto"/>
            <w:noWrap/>
            <w:vAlign w:val="center"/>
            <w:hideMark/>
          </w:tcPr>
          <w:p w14:paraId="41077D09"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5FF26977" w14:textId="77777777" w:rsidTr="004A3EAF">
        <w:trPr>
          <w:trHeight w:val="360"/>
        </w:trPr>
        <w:tc>
          <w:tcPr>
            <w:tcW w:w="1565" w:type="pct"/>
            <w:shd w:val="clear" w:color="auto" w:fill="auto"/>
            <w:vAlign w:val="center"/>
            <w:hideMark/>
          </w:tcPr>
          <w:p w14:paraId="62074616" w14:textId="77777777" w:rsidR="004A3EAF" w:rsidRPr="00F50786" w:rsidRDefault="004A3EAF" w:rsidP="0067547D">
            <w:pPr>
              <w:spacing w:after="0" w:line="240" w:lineRule="auto"/>
              <w:rPr>
                <w:rFonts w:eastAsia="Times New Roman"/>
                <w:color w:val="000000"/>
                <w:sz w:val="14"/>
                <w:szCs w:val="14"/>
                <w:lang w:val="en-US"/>
                <w:rPrChange w:id="233"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34" w:author="Ali Sambou" w:date="2026-01-06T13:25:00Z" w16du:dateUtc="2026-01-06T13:25:00Z">
                  <w:rPr>
                    <w:rFonts w:eastAsia="Times New Roman"/>
                    <w:color w:val="000000"/>
                    <w:sz w:val="14"/>
                    <w:szCs w:val="14"/>
                  </w:rPr>
                </w:rPrChange>
              </w:rPr>
              <w:t xml:space="preserve">Mid-term evaluation: Costs (national consultant), 30 man/days x $300 and </w:t>
            </w:r>
            <w:proofErr w:type="gramStart"/>
            <w:r w:rsidRPr="00F50786">
              <w:rPr>
                <w:rFonts w:eastAsia="Times New Roman"/>
                <w:color w:val="000000"/>
                <w:sz w:val="14"/>
                <w:szCs w:val="14"/>
                <w:lang w:val="en-US"/>
                <w:rPrChange w:id="235" w:author="Ali Sambou" w:date="2026-01-06T13:25:00Z" w16du:dateUtc="2026-01-06T13:25:00Z">
                  <w:rPr>
                    <w:rFonts w:eastAsia="Times New Roman"/>
                    <w:color w:val="000000"/>
                    <w:sz w:val="14"/>
                    <w:szCs w:val="14"/>
                  </w:rPr>
                </w:rPrChange>
              </w:rPr>
              <w:t>TE  (</w:t>
            </w:r>
            <w:proofErr w:type="gramEnd"/>
            <w:r w:rsidRPr="00F50786">
              <w:rPr>
                <w:rFonts w:eastAsia="Times New Roman"/>
                <w:color w:val="000000"/>
                <w:sz w:val="14"/>
                <w:szCs w:val="14"/>
                <w:lang w:val="en-US"/>
                <w:rPrChange w:id="236" w:author="Ali Sambou" w:date="2026-01-06T13:25:00Z" w16du:dateUtc="2026-01-06T13:25:00Z">
                  <w:rPr>
                    <w:rFonts w:eastAsia="Times New Roman"/>
                    <w:color w:val="000000"/>
                    <w:sz w:val="14"/>
                    <w:szCs w:val="14"/>
                  </w:rPr>
                </w:rPrChange>
              </w:rPr>
              <w:t>45 man/days x $300).</w:t>
            </w:r>
          </w:p>
        </w:tc>
        <w:tc>
          <w:tcPr>
            <w:tcW w:w="441" w:type="pct"/>
            <w:shd w:val="clear" w:color="auto" w:fill="auto"/>
            <w:noWrap/>
            <w:vAlign w:val="center"/>
            <w:hideMark/>
          </w:tcPr>
          <w:p w14:paraId="4C18A5AA" w14:textId="77777777" w:rsidR="004A3EAF" w:rsidRPr="00004DA9" w:rsidRDefault="004A3EAF" w:rsidP="0067547D">
            <w:pPr>
              <w:spacing w:after="0" w:line="240" w:lineRule="auto"/>
              <w:rPr>
                <w:rFonts w:eastAsia="Times New Roman"/>
                <w:color w:val="000000"/>
                <w:sz w:val="14"/>
                <w:szCs w:val="14"/>
              </w:rPr>
            </w:pPr>
            <w:r w:rsidRPr="00F50786">
              <w:rPr>
                <w:rFonts w:eastAsia="Times New Roman"/>
                <w:color w:val="000000"/>
                <w:sz w:val="14"/>
                <w:szCs w:val="14"/>
                <w:lang w:val="en-US"/>
                <w:rPrChange w:id="237" w:author="Ali Sambou" w:date="2026-01-06T13:25:00Z" w16du:dateUtc="2026-01-06T13:25:00Z">
                  <w:rPr>
                    <w:rFonts w:eastAsia="Times New Roman"/>
                    <w:color w:val="000000"/>
                    <w:sz w:val="14"/>
                    <w:szCs w:val="14"/>
                  </w:rPr>
                </w:rPrChange>
              </w:rPr>
              <w:t xml:space="preserve">                  </w:t>
            </w:r>
            <w:r w:rsidRPr="00004DA9">
              <w:rPr>
                <w:rFonts w:eastAsia="Times New Roman"/>
                <w:color w:val="000000"/>
                <w:sz w:val="14"/>
                <w:szCs w:val="14"/>
              </w:rPr>
              <w:t xml:space="preserve">-   </w:t>
            </w:r>
          </w:p>
        </w:tc>
        <w:tc>
          <w:tcPr>
            <w:tcW w:w="606" w:type="pct"/>
            <w:shd w:val="clear" w:color="auto" w:fill="auto"/>
            <w:noWrap/>
            <w:vAlign w:val="center"/>
            <w:hideMark/>
          </w:tcPr>
          <w:p w14:paraId="6898454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4A6521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BA8170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2A87EC6A"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22,500</w:t>
            </w:r>
          </w:p>
        </w:tc>
        <w:tc>
          <w:tcPr>
            <w:tcW w:w="321" w:type="pct"/>
            <w:shd w:val="clear" w:color="auto" w:fill="auto"/>
            <w:noWrap/>
            <w:vAlign w:val="center"/>
            <w:hideMark/>
          </w:tcPr>
          <w:p w14:paraId="3B85710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094D0CAE"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22,500</w:t>
            </w:r>
          </w:p>
        </w:tc>
        <w:tc>
          <w:tcPr>
            <w:tcW w:w="443" w:type="pct"/>
            <w:shd w:val="clear" w:color="auto" w:fill="auto"/>
            <w:noWrap/>
            <w:vAlign w:val="center"/>
            <w:hideMark/>
          </w:tcPr>
          <w:p w14:paraId="6BEC3677"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UNDP</w:t>
            </w:r>
          </w:p>
        </w:tc>
      </w:tr>
      <w:tr w:rsidR="004A3EAF" w:rsidRPr="00004DA9" w14:paraId="3DB8B558" w14:textId="77777777" w:rsidTr="004A3EAF">
        <w:trPr>
          <w:trHeight w:val="300"/>
        </w:trPr>
        <w:tc>
          <w:tcPr>
            <w:tcW w:w="1565" w:type="pct"/>
            <w:shd w:val="clear" w:color="000000" w:fill="C0E6F5"/>
            <w:vAlign w:val="center"/>
            <w:hideMark/>
          </w:tcPr>
          <w:p w14:paraId="71C4EC58"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Office Supplies</w:t>
            </w:r>
          </w:p>
        </w:tc>
        <w:tc>
          <w:tcPr>
            <w:tcW w:w="441" w:type="pct"/>
            <w:shd w:val="clear" w:color="000000" w:fill="C0E6F5"/>
            <w:vAlign w:val="center"/>
            <w:hideMark/>
          </w:tcPr>
          <w:p w14:paraId="2AABDE50"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606" w:type="pct"/>
            <w:shd w:val="clear" w:color="000000" w:fill="C0E6F5"/>
            <w:vAlign w:val="center"/>
            <w:hideMark/>
          </w:tcPr>
          <w:p w14:paraId="1E7C5DBC"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2424B164"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2EB616BB"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1A92CFC3"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321" w:type="pct"/>
            <w:shd w:val="clear" w:color="000000" w:fill="C0E6F5"/>
            <w:vAlign w:val="center"/>
            <w:hideMark/>
          </w:tcPr>
          <w:p w14:paraId="0D393ECA"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354" w:type="pct"/>
            <w:shd w:val="clear" w:color="000000" w:fill="C0E6F5"/>
            <w:vAlign w:val="center"/>
            <w:hideMark/>
          </w:tcPr>
          <w:p w14:paraId="682A81C7"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43" w:type="pct"/>
            <w:shd w:val="clear" w:color="000000" w:fill="C0E6F5"/>
            <w:vAlign w:val="center"/>
            <w:hideMark/>
          </w:tcPr>
          <w:p w14:paraId="41C1AA8D"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r>
      <w:tr w:rsidR="004A3EAF" w:rsidRPr="00004DA9" w14:paraId="0AD5909E" w14:textId="77777777" w:rsidTr="004A3EAF">
        <w:trPr>
          <w:trHeight w:val="300"/>
        </w:trPr>
        <w:tc>
          <w:tcPr>
            <w:tcW w:w="1565" w:type="pct"/>
            <w:shd w:val="clear" w:color="auto" w:fill="auto"/>
            <w:vAlign w:val="center"/>
            <w:hideMark/>
          </w:tcPr>
          <w:p w14:paraId="7211CDCD" w14:textId="77777777" w:rsidR="004A3EAF" w:rsidRPr="00F50786" w:rsidRDefault="004A3EAF" w:rsidP="0067547D">
            <w:pPr>
              <w:spacing w:after="0" w:line="240" w:lineRule="auto"/>
              <w:rPr>
                <w:rFonts w:eastAsia="Times New Roman"/>
                <w:color w:val="000000"/>
                <w:sz w:val="14"/>
                <w:szCs w:val="14"/>
                <w:lang w:val="en-US"/>
                <w:rPrChange w:id="238"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39" w:author="Ali Sambou" w:date="2026-01-06T13:25:00Z" w16du:dateUtc="2026-01-06T13:25:00Z">
                  <w:rPr>
                    <w:rFonts w:eastAsia="Times New Roman"/>
                    <w:color w:val="000000"/>
                    <w:sz w:val="14"/>
                    <w:szCs w:val="14"/>
                  </w:rPr>
                </w:rPrChange>
              </w:rPr>
              <w:t>office supplies for a total of $9,855 for the 5 years of the project</w:t>
            </w:r>
          </w:p>
        </w:tc>
        <w:tc>
          <w:tcPr>
            <w:tcW w:w="441" w:type="pct"/>
            <w:shd w:val="clear" w:color="auto" w:fill="auto"/>
            <w:noWrap/>
            <w:vAlign w:val="center"/>
            <w:hideMark/>
          </w:tcPr>
          <w:p w14:paraId="301133B3" w14:textId="77777777" w:rsidR="004A3EAF" w:rsidRPr="00004DA9" w:rsidRDefault="004A3EAF" w:rsidP="0067547D">
            <w:pPr>
              <w:spacing w:after="0" w:line="240" w:lineRule="auto"/>
              <w:rPr>
                <w:rFonts w:eastAsia="Times New Roman"/>
                <w:color w:val="000000"/>
                <w:sz w:val="14"/>
                <w:szCs w:val="14"/>
              </w:rPr>
            </w:pPr>
            <w:r w:rsidRPr="00F50786">
              <w:rPr>
                <w:rFonts w:eastAsia="Times New Roman"/>
                <w:color w:val="000000"/>
                <w:sz w:val="14"/>
                <w:szCs w:val="14"/>
                <w:lang w:val="en-US"/>
                <w:rPrChange w:id="240" w:author="Ali Sambou" w:date="2026-01-06T13:25:00Z" w16du:dateUtc="2026-01-06T13:25:00Z">
                  <w:rPr>
                    <w:rFonts w:eastAsia="Times New Roman"/>
                    <w:color w:val="000000"/>
                    <w:sz w:val="14"/>
                    <w:szCs w:val="14"/>
                  </w:rPr>
                </w:rPrChange>
              </w:rPr>
              <w:t xml:space="preserve">                  </w:t>
            </w:r>
            <w:r w:rsidRPr="00004DA9">
              <w:rPr>
                <w:rFonts w:eastAsia="Times New Roman"/>
                <w:color w:val="000000"/>
                <w:sz w:val="14"/>
                <w:szCs w:val="14"/>
              </w:rPr>
              <w:t xml:space="preserve">-   </w:t>
            </w:r>
          </w:p>
        </w:tc>
        <w:tc>
          <w:tcPr>
            <w:tcW w:w="606" w:type="pct"/>
            <w:shd w:val="clear" w:color="auto" w:fill="auto"/>
            <w:noWrap/>
            <w:vAlign w:val="center"/>
            <w:hideMark/>
          </w:tcPr>
          <w:p w14:paraId="1EF9282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787317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7882A53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4709CF4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5E62BB60"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9,855</w:t>
            </w:r>
          </w:p>
        </w:tc>
        <w:tc>
          <w:tcPr>
            <w:tcW w:w="354" w:type="pct"/>
            <w:shd w:val="clear" w:color="auto" w:fill="auto"/>
            <w:noWrap/>
            <w:vAlign w:val="center"/>
            <w:hideMark/>
          </w:tcPr>
          <w:p w14:paraId="0CBB3C20"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9,855</w:t>
            </w:r>
          </w:p>
        </w:tc>
        <w:tc>
          <w:tcPr>
            <w:tcW w:w="443" w:type="pct"/>
            <w:shd w:val="clear" w:color="auto" w:fill="auto"/>
            <w:noWrap/>
            <w:vAlign w:val="center"/>
            <w:hideMark/>
          </w:tcPr>
          <w:p w14:paraId="05FE60D5"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76D12E0D" w14:textId="77777777" w:rsidTr="004A3EAF">
        <w:trPr>
          <w:trHeight w:val="300"/>
        </w:trPr>
        <w:tc>
          <w:tcPr>
            <w:tcW w:w="1565" w:type="pct"/>
            <w:shd w:val="clear" w:color="000000" w:fill="C0E6F5"/>
            <w:vAlign w:val="center"/>
            <w:hideMark/>
          </w:tcPr>
          <w:p w14:paraId="3E19AA95" w14:textId="77777777" w:rsidR="004A3EAF" w:rsidRPr="00004DA9" w:rsidRDefault="004A3EAF" w:rsidP="0067547D">
            <w:pPr>
              <w:spacing w:after="0" w:line="240" w:lineRule="auto"/>
              <w:rPr>
                <w:rFonts w:eastAsia="Times New Roman"/>
                <w:b/>
                <w:bCs/>
                <w:color w:val="000000"/>
                <w:sz w:val="14"/>
                <w:szCs w:val="14"/>
              </w:rPr>
            </w:pPr>
            <w:proofErr w:type="spellStart"/>
            <w:r w:rsidRPr="00004DA9">
              <w:rPr>
                <w:rFonts w:eastAsia="Times New Roman"/>
                <w:b/>
                <w:bCs/>
                <w:color w:val="000000"/>
                <w:sz w:val="14"/>
                <w:szCs w:val="14"/>
              </w:rPr>
              <w:t>Other</w:t>
            </w:r>
            <w:proofErr w:type="spellEnd"/>
            <w:r w:rsidRPr="00004DA9">
              <w:rPr>
                <w:rFonts w:eastAsia="Times New Roman"/>
                <w:b/>
                <w:bCs/>
                <w:color w:val="000000"/>
                <w:sz w:val="14"/>
                <w:szCs w:val="14"/>
              </w:rPr>
              <w:t xml:space="preserve"> Operating </w:t>
            </w:r>
            <w:proofErr w:type="spellStart"/>
            <w:r w:rsidRPr="00004DA9">
              <w:rPr>
                <w:rFonts w:eastAsia="Times New Roman"/>
                <w:b/>
                <w:bCs/>
                <w:color w:val="000000"/>
                <w:sz w:val="14"/>
                <w:szCs w:val="14"/>
              </w:rPr>
              <w:t>Cost</w:t>
            </w:r>
            <w:proofErr w:type="spellEnd"/>
          </w:p>
        </w:tc>
        <w:tc>
          <w:tcPr>
            <w:tcW w:w="441" w:type="pct"/>
            <w:shd w:val="clear" w:color="000000" w:fill="C0E6F5"/>
            <w:vAlign w:val="center"/>
            <w:hideMark/>
          </w:tcPr>
          <w:p w14:paraId="79B1DDE8"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606" w:type="pct"/>
            <w:shd w:val="clear" w:color="000000" w:fill="C0E6F5"/>
            <w:vAlign w:val="center"/>
            <w:hideMark/>
          </w:tcPr>
          <w:p w14:paraId="379B0DEF"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52725F04"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08B40A74"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7E01AA20"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321" w:type="pct"/>
            <w:shd w:val="clear" w:color="000000" w:fill="C0E6F5"/>
            <w:vAlign w:val="center"/>
            <w:hideMark/>
          </w:tcPr>
          <w:p w14:paraId="20E8915A"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354" w:type="pct"/>
            <w:shd w:val="clear" w:color="000000" w:fill="C0E6F5"/>
            <w:vAlign w:val="center"/>
            <w:hideMark/>
          </w:tcPr>
          <w:p w14:paraId="151CE9C3"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43" w:type="pct"/>
            <w:shd w:val="clear" w:color="000000" w:fill="C0E6F5"/>
            <w:vAlign w:val="center"/>
            <w:hideMark/>
          </w:tcPr>
          <w:p w14:paraId="11409CEF"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r>
      <w:tr w:rsidR="004A3EAF" w:rsidRPr="00004DA9" w14:paraId="49FCC33C" w14:textId="77777777" w:rsidTr="004A3EAF">
        <w:trPr>
          <w:trHeight w:val="300"/>
        </w:trPr>
        <w:tc>
          <w:tcPr>
            <w:tcW w:w="1565" w:type="pct"/>
            <w:shd w:val="clear" w:color="auto" w:fill="auto"/>
            <w:vAlign w:val="center"/>
            <w:hideMark/>
          </w:tcPr>
          <w:p w14:paraId="51E08F86" w14:textId="77777777" w:rsidR="004A3EAF" w:rsidRPr="00F50786" w:rsidRDefault="004A3EAF" w:rsidP="0067547D">
            <w:pPr>
              <w:spacing w:after="0" w:line="240" w:lineRule="auto"/>
              <w:rPr>
                <w:rFonts w:eastAsia="Times New Roman"/>
                <w:color w:val="000000"/>
                <w:sz w:val="14"/>
                <w:szCs w:val="14"/>
                <w:lang w:val="en-US"/>
                <w:rPrChange w:id="241"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42" w:author="Ali Sambou" w:date="2026-01-06T13:25:00Z" w16du:dateUtc="2026-01-06T13:25:00Z">
                  <w:rPr>
                    <w:rFonts w:eastAsia="Times New Roman"/>
                    <w:color w:val="000000"/>
                    <w:sz w:val="14"/>
                    <w:szCs w:val="14"/>
                  </w:rPr>
                </w:rPrChange>
              </w:rPr>
              <w:t>Audit (4000$x 4 years + 3000$ x year 1)</w:t>
            </w:r>
          </w:p>
        </w:tc>
        <w:tc>
          <w:tcPr>
            <w:tcW w:w="441" w:type="pct"/>
            <w:shd w:val="clear" w:color="auto" w:fill="auto"/>
            <w:noWrap/>
            <w:vAlign w:val="center"/>
            <w:hideMark/>
          </w:tcPr>
          <w:p w14:paraId="2EEEE99D" w14:textId="77777777" w:rsidR="004A3EAF" w:rsidRPr="00004DA9" w:rsidRDefault="004A3EAF" w:rsidP="0067547D">
            <w:pPr>
              <w:spacing w:after="0" w:line="240" w:lineRule="auto"/>
              <w:rPr>
                <w:rFonts w:eastAsia="Times New Roman"/>
                <w:color w:val="000000"/>
                <w:sz w:val="14"/>
                <w:szCs w:val="14"/>
              </w:rPr>
            </w:pPr>
            <w:r w:rsidRPr="00F50786">
              <w:rPr>
                <w:rFonts w:eastAsia="Times New Roman"/>
                <w:color w:val="000000"/>
                <w:sz w:val="14"/>
                <w:szCs w:val="14"/>
                <w:lang w:val="en-US"/>
                <w:rPrChange w:id="243" w:author="Ali Sambou" w:date="2026-01-06T13:25:00Z" w16du:dateUtc="2026-01-06T13:25:00Z">
                  <w:rPr>
                    <w:rFonts w:eastAsia="Times New Roman"/>
                    <w:color w:val="000000"/>
                    <w:sz w:val="14"/>
                    <w:szCs w:val="14"/>
                  </w:rPr>
                </w:rPrChange>
              </w:rPr>
              <w:t xml:space="preserve">                  </w:t>
            </w:r>
            <w:r w:rsidRPr="00004DA9">
              <w:rPr>
                <w:rFonts w:eastAsia="Times New Roman"/>
                <w:color w:val="000000"/>
                <w:sz w:val="14"/>
                <w:szCs w:val="14"/>
              </w:rPr>
              <w:t xml:space="preserve">-   </w:t>
            </w:r>
          </w:p>
        </w:tc>
        <w:tc>
          <w:tcPr>
            <w:tcW w:w="606" w:type="pct"/>
            <w:shd w:val="clear" w:color="auto" w:fill="auto"/>
            <w:noWrap/>
            <w:vAlign w:val="center"/>
            <w:hideMark/>
          </w:tcPr>
          <w:p w14:paraId="1E84EF06"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CD27B7D"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1D8611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4511CB22"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56AAA307"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19,000</w:t>
            </w:r>
          </w:p>
        </w:tc>
        <w:tc>
          <w:tcPr>
            <w:tcW w:w="354" w:type="pct"/>
            <w:shd w:val="clear" w:color="auto" w:fill="auto"/>
            <w:noWrap/>
            <w:vAlign w:val="center"/>
            <w:hideMark/>
          </w:tcPr>
          <w:p w14:paraId="6B3D2EEA"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19,000</w:t>
            </w:r>
          </w:p>
        </w:tc>
        <w:tc>
          <w:tcPr>
            <w:tcW w:w="443" w:type="pct"/>
            <w:shd w:val="clear" w:color="auto" w:fill="auto"/>
            <w:noWrap/>
            <w:vAlign w:val="center"/>
            <w:hideMark/>
          </w:tcPr>
          <w:p w14:paraId="253DAC03"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UNDP</w:t>
            </w:r>
          </w:p>
        </w:tc>
      </w:tr>
      <w:tr w:rsidR="004A3EAF" w:rsidRPr="00004DA9" w14:paraId="41F5060D" w14:textId="77777777" w:rsidTr="004A3EAF">
        <w:trPr>
          <w:trHeight w:val="720"/>
        </w:trPr>
        <w:tc>
          <w:tcPr>
            <w:tcW w:w="1565" w:type="pct"/>
            <w:shd w:val="clear" w:color="auto" w:fill="auto"/>
            <w:vAlign w:val="center"/>
            <w:hideMark/>
          </w:tcPr>
          <w:p w14:paraId="00DAADF7" w14:textId="77777777" w:rsidR="004A3EAF" w:rsidRPr="00F50786" w:rsidRDefault="004A3EAF" w:rsidP="0067547D">
            <w:pPr>
              <w:spacing w:after="0" w:line="240" w:lineRule="auto"/>
              <w:rPr>
                <w:rFonts w:eastAsia="Times New Roman"/>
                <w:color w:val="000000"/>
                <w:sz w:val="14"/>
                <w:szCs w:val="14"/>
                <w:lang w:val="en-US"/>
                <w:rPrChange w:id="244"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45" w:author="Ali Sambou" w:date="2026-01-06T13:25:00Z" w16du:dateUtc="2026-01-06T13:25:00Z">
                  <w:rPr>
                    <w:rFonts w:eastAsia="Times New Roman"/>
                    <w:color w:val="000000"/>
                    <w:sz w:val="14"/>
                    <w:szCs w:val="14"/>
                  </w:rPr>
                </w:rPrChange>
              </w:rPr>
              <w:t>All cost of printing and communication materials for the activity Organization of a regional/international conference on financing integrated, green, inclusive and resilient urban development in Bamako (Activity 1,2,1,4)</w:t>
            </w:r>
          </w:p>
        </w:tc>
        <w:tc>
          <w:tcPr>
            <w:tcW w:w="441" w:type="pct"/>
            <w:shd w:val="clear" w:color="auto" w:fill="auto"/>
            <w:noWrap/>
            <w:vAlign w:val="center"/>
            <w:hideMark/>
          </w:tcPr>
          <w:p w14:paraId="6050960D"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10,000</w:t>
            </w:r>
          </w:p>
        </w:tc>
        <w:tc>
          <w:tcPr>
            <w:tcW w:w="606" w:type="pct"/>
            <w:shd w:val="clear" w:color="auto" w:fill="auto"/>
            <w:noWrap/>
            <w:vAlign w:val="center"/>
            <w:hideMark/>
          </w:tcPr>
          <w:p w14:paraId="0E9948D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298C366D"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0310B0A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2564506"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32A2B3CD"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26D887EE"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10,000</w:t>
            </w:r>
          </w:p>
        </w:tc>
        <w:tc>
          <w:tcPr>
            <w:tcW w:w="443" w:type="pct"/>
            <w:shd w:val="clear" w:color="auto" w:fill="auto"/>
            <w:noWrap/>
            <w:vAlign w:val="center"/>
            <w:hideMark/>
          </w:tcPr>
          <w:p w14:paraId="5BE381BD"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65FE5EFA" w14:textId="77777777" w:rsidTr="004A3EAF">
        <w:trPr>
          <w:trHeight w:val="300"/>
        </w:trPr>
        <w:tc>
          <w:tcPr>
            <w:tcW w:w="1565" w:type="pct"/>
            <w:shd w:val="clear" w:color="auto" w:fill="auto"/>
            <w:vAlign w:val="center"/>
            <w:hideMark/>
          </w:tcPr>
          <w:p w14:paraId="6FF60B1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xml:space="preserve">Communication </w:t>
            </w:r>
            <w:proofErr w:type="spellStart"/>
            <w:r w:rsidRPr="00004DA9">
              <w:rPr>
                <w:rFonts w:eastAsia="Times New Roman"/>
                <w:color w:val="000000"/>
                <w:sz w:val="14"/>
                <w:szCs w:val="14"/>
              </w:rPr>
              <w:t>costs</w:t>
            </w:r>
            <w:proofErr w:type="spellEnd"/>
            <w:r w:rsidRPr="00004DA9">
              <w:rPr>
                <w:rFonts w:eastAsia="Times New Roman"/>
                <w:color w:val="000000"/>
                <w:sz w:val="14"/>
                <w:szCs w:val="14"/>
              </w:rPr>
              <w:t xml:space="preserve"> for </w:t>
            </w:r>
            <w:proofErr w:type="spellStart"/>
            <w:r w:rsidRPr="00004DA9">
              <w:rPr>
                <w:rFonts w:eastAsia="Times New Roman"/>
                <w:color w:val="000000"/>
                <w:sz w:val="14"/>
                <w:szCs w:val="14"/>
              </w:rPr>
              <w:t>activities</w:t>
            </w:r>
            <w:proofErr w:type="spellEnd"/>
            <w:r w:rsidRPr="00004DA9">
              <w:rPr>
                <w:rFonts w:eastAsia="Times New Roman"/>
                <w:color w:val="000000"/>
                <w:sz w:val="14"/>
                <w:szCs w:val="14"/>
              </w:rPr>
              <w:t xml:space="preserve"> 3.1.4.1, 3.1.4.2</w:t>
            </w:r>
          </w:p>
        </w:tc>
        <w:tc>
          <w:tcPr>
            <w:tcW w:w="441" w:type="pct"/>
            <w:shd w:val="clear" w:color="auto" w:fill="auto"/>
            <w:noWrap/>
            <w:vAlign w:val="center"/>
            <w:hideMark/>
          </w:tcPr>
          <w:p w14:paraId="4D157B6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xml:space="preserve">                  -   </w:t>
            </w:r>
          </w:p>
        </w:tc>
        <w:tc>
          <w:tcPr>
            <w:tcW w:w="606" w:type="pct"/>
            <w:shd w:val="clear" w:color="auto" w:fill="auto"/>
            <w:noWrap/>
            <w:vAlign w:val="center"/>
            <w:hideMark/>
          </w:tcPr>
          <w:p w14:paraId="4C2C01D9"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4F4FBD18"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41,482</w:t>
            </w:r>
          </w:p>
        </w:tc>
        <w:tc>
          <w:tcPr>
            <w:tcW w:w="423" w:type="pct"/>
            <w:shd w:val="clear" w:color="auto" w:fill="auto"/>
            <w:noWrap/>
            <w:vAlign w:val="center"/>
            <w:hideMark/>
          </w:tcPr>
          <w:p w14:paraId="411624B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098ABED9"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2AC839D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5E5EB621"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41,482</w:t>
            </w:r>
          </w:p>
        </w:tc>
        <w:tc>
          <w:tcPr>
            <w:tcW w:w="443" w:type="pct"/>
            <w:shd w:val="clear" w:color="auto" w:fill="auto"/>
            <w:noWrap/>
            <w:vAlign w:val="center"/>
            <w:hideMark/>
          </w:tcPr>
          <w:p w14:paraId="727DFA75"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7298B35C" w14:textId="77777777" w:rsidTr="004A3EAF">
        <w:trPr>
          <w:trHeight w:val="540"/>
        </w:trPr>
        <w:tc>
          <w:tcPr>
            <w:tcW w:w="1565" w:type="pct"/>
            <w:shd w:val="clear" w:color="auto" w:fill="auto"/>
            <w:vAlign w:val="center"/>
            <w:hideMark/>
          </w:tcPr>
          <w:p w14:paraId="6A8E7C0D" w14:textId="77777777" w:rsidR="004A3EAF" w:rsidRPr="00F50786" w:rsidRDefault="004A3EAF" w:rsidP="0067547D">
            <w:pPr>
              <w:spacing w:after="0" w:line="240" w:lineRule="auto"/>
              <w:rPr>
                <w:rFonts w:eastAsia="Times New Roman"/>
                <w:color w:val="000000"/>
                <w:sz w:val="14"/>
                <w:szCs w:val="14"/>
                <w:lang w:val="en-US"/>
                <w:rPrChange w:id="246"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47" w:author="Ali Sambou" w:date="2026-01-06T13:25:00Z" w16du:dateUtc="2026-01-06T13:25:00Z">
                  <w:rPr>
                    <w:rFonts w:eastAsia="Times New Roman"/>
                    <w:color w:val="000000"/>
                    <w:sz w:val="14"/>
                    <w:szCs w:val="14"/>
                  </w:rPr>
                </w:rPrChange>
              </w:rPr>
              <w:t xml:space="preserve">Cost for communication and printing materials for_the Activity 2.1.2.3 Feasibility study for the installation of 7 prototype recharging stations, directly involving local VSEs for installation and maintenance </w:t>
            </w:r>
          </w:p>
        </w:tc>
        <w:tc>
          <w:tcPr>
            <w:tcW w:w="441" w:type="pct"/>
            <w:shd w:val="clear" w:color="auto" w:fill="auto"/>
            <w:noWrap/>
            <w:vAlign w:val="center"/>
            <w:hideMark/>
          </w:tcPr>
          <w:p w14:paraId="7739F9C0" w14:textId="77777777" w:rsidR="004A3EAF" w:rsidRPr="00F50786" w:rsidRDefault="004A3EAF" w:rsidP="0067547D">
            <w:pPr>
              <w:spacing w:after="0" w:line="240" w:lineRule="auto"/>
              <w:rPr>
                <w:rFonts w:eastAsia="Times New Roman"/>
                <w:color w:val="000000"/>
                <w:sz w:val="14"/>
                <w:szCs w:val="14"/>
                <w:lang w:val="en-US"/>
                <w:rPrChange w:id="248"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49"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062F44B2"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10,000</w:t>
            </w:r>
          </w:p>
        </w:tc>
        <w:tc>
          <w:tcPr>
            <w:tcW w:w="423" w:type="pct"/>
            <w:shd w:val="clear" w:color="auto" w:fill="auto"/>
            <w:noWrap/>
            <w:vAlign w:val="center"/>
            <w:hideMark/>
          </w:tcPr>
          <w:p w14:paraId="5E6B239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4F40A01C"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7D4B269D"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47154A1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16C78A41"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10,000</w:t>
            </w:r>
          </w:p>
        </w:tc>
        <w:tc>
          <w:tcPr>
            <w:tcW w:w="443" w:type="pct"/>
            <w:shd w:val="clear" w:color="auto" w:fill="auto"/>
            <w:noWrap/>
            <w:vAlign w:val="center"/>
            <w:hideMark/>
          </w:tcPr>
          <w:p w14:paraId="000FA0CE"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08EC767C" w14:textId="77777777" w:rsidTr="004A3EAF">
        <w:trPr>
          <w:trHeight w:val="360"/>
        </w:trPr>
        <w:tc>
          <w:tcPr>
            <w:tcW w:w="1565" w:type="pct"/>
            <w:shd w:val="clear" w:color="auto" w:fill="auto"/>
            <w:vAlign w:val="center"/>
            <w:hideMark/>
          </w:tcPr>
          <w:p w14:paraId="6725B6EC" w14:textId="77777777" w:rsidR="004A3EAF" w:rsidRPr="00F50786" w:rsidRDefault="004A3EAF" w:rsidP="0067547D">
            <w:pPr>
              <w:spacing w:after="0" w:line="240" w:lineRule="auto"/>
              <w:rPr>
                <w:rFonts w:eastAsia="Times New Roman"/>
                <w:color w:val="000000"/>
                <w:sz w:val="14"/>
                <w:szCs w:val="14"/>
                <w:lang w:val="en-US"/>
                <w:rPrChange w:id="250"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51" w:author="Ali Sambou" w:date="2026-01-06T13:25:00Z" w16du:dateUtc="2026-01-06T13:25:00Z">
                  <w:rPr>
                    <w:rFonts w:eastAsia="Times New Roman"/>
                    <w:color w:val="000000"/>
                    <w:sz w:val="14"/>
                    <w:szCs w:val="14"/>
                  </w:rPr>
                </w:rPrChange>
              </w:rPr>
              <w:lastRenderedPageBreak/>
              <w:t>Cost for communication and printing materials for Activity 2.1.2.2 Elaboration of a study for the renewal of the Bamako fleet</w:t>
            </w:r>
          </w:p>
        </w:tc>
        <w:tc>
          <w:tcPr>
            <w:tcW w:w="441" w:type="pct"/>
            <w:shd w:val="clear" w:color="auto" w:fill="auto"/>
            <w:noWrap/>
            <w:vAlign w:val="center"/>
            <w:hideMark/>
          </w:tcPr>
          <w:p w14:paraId="2CE775F2" w14:textId="77777777" w:rsidR="004A3EAF" w:rsidRPr="00F50786" w:rsidRDefault="004A3EAF" w:rsidP="0067547D">
            <w:pPr>
              <w:spacing w:after="0" w:line="240" w:lineRule="auto"/>
              <w:rPr>
                <w:rFonts w:eastAsia="Times New Roman"/>
                <w:color w:val="000000"/>
                <w:sz w:val="14"/>
                <w:szCs w:val="14"/>
                <w:lang w:val="en-US"/>
                <w:rPrChange w:id="252"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53"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46A48235"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6,494</w:t>
            </w:r>
          </w:p>
        </w:tc>
        <w:tc>
          <w:tcPr>
            <w:tcW w:w="423" w:type="pct"/>
            <w:shd w:val="clear" w:color="auto" w:fill="auto"/>
            <w:noWrap/>
            <w:vAlign w:val="center"/>
            <w:hideMark/>
          </w:tcPr>
          <w:p w14:paraId="3023F50F"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E7D171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4FEAC01D"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7BD909C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5057F632"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6,494</w:t>
            </w:r>
          </w:p>
        </w:tc>
        <w:tc>
          <w:tcPr>
            <w:tcW w:w="443" w:type="pct"/>
            <w:shd w:val="clear" w:color="auto" w:fill="auto"/>
            <w:noWrap/>
            <w:vAlign w:val="center"/>
            <w:hideMark/>
          </w:tcPr>
          <w:p w14:paraId="598CC849"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0CD3A5EA" w14:textId="77777777" w:rsidTr="004A3EAF">
        <w:trPr>
          <w:trHeight w:val="300"/>
        </w:trPr>
        <w:tc>
          <w:tcPr>
            <w:tcW w:w="1565" w:type="pct"/>
            <w:shd w:val="clear" w:color="auto" w:fill="auto"/>
            <w:vAlign w:val="center"/>
            <w:hideMark/>
          </w:tcPr>
          <w:p w14:paraId="728A1DFA" w14:textId="77777777" w:rsidR="004A3EAF" w:rsidRPr="00004DA9" w:rsidRDefault="004A3EAF" w:rsidP="0067547D">
            <w:pPr>
              <w:spacing w:after="0" w:line="240" w:lineRule="auto"/>
              <w:rPr>
                <w:rFonts w:eastAsia="Times New Roman"/>
                <w:color w:val="000000"/>
                <w:sz w:val="14"/>
                <w:szCs w:val="14"/>
              </w:rPr>
            </w:pPr>
            <w:proofErr w:type="spellStart"/>
            <w:r w:rsidRPr="00004DA9">
              <w:rPr>
                <w:rFonts w:eastAsia="Times New Roman"/>
                <w:color w:val="000000"/>
                <w:sz w:val="14"/>
                <w:szCs w:val="14"/>
              </w:rPr>
              <w:t>Cost</w:t>
            </w:r>
            <w:proofErr w:type="spellEnd"/>
            <w:r w:rsidRPr="00004DA9">
              <w:rPr>
                <w:rFonts w:eastAsia="Times New Roman"/>
                <w:color w:val="000000"/>
                <w:sz w:val="14"/>
                <w:szCs w:val="14"/>
              </w:rPr>
              <w:t xml:space="preserve"> of </w:t>
            </w:r>
            <w:proofErr w:type="spellStart"/>
            <w:r w:rsidRPr="00004DA9">
              <w:rPr>
                <w:rFonts w:eastAsia="Times New Roman"/>
                <w:color w:val="000000"/>
                <w:sz w:val="14"/>
                <w:szCs w:val="14"/>
              </w:rPr>
              <w:t>learning</w:t>
            </w:r>
            <w:proofErr w:type="spellEnd"/>
            <w:r w:rsidRPr="00004DA9">
              <w:rPr>
                <w:rFonts w:eastAsia="Times New Roman"/>
                <w:color w:val="000000"/>
                <w:sz w:val="14"/>
                <w:szCs w:val="14"/>
              </w:rPr>
              <w:t xml:space="preserve"> missions</w:t>
            </w:r>
          </w:p>
        </w:tc>
        <w:tc>
          <w:tcPr>
            <w:tcW w:w="441" w:type="pct"/>
            <w:shd w:val="clear" w:color="auto" w:fill="auto"/>
            <w:noWrap/>
            <w:vAlign w:val="center"/>
            <w:hideMark/>
          </w:tcPr>
          <w:p w14:paraId="37AD031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xml:space="preserve">                  -   </w:t>
            </w:r>
          </w:p>
        </w:tc>
        <w:tc>
          <w:tcPr>
            <w:tcW w:w="606" w:type="pct"/>
            <w:shd w:val="clear" w:color="auto" w:fill="auto"/>
            <w:noWrap/>
            <w:vAlign w:val="center"/>
            <w:hideMark/>
          </w:tcPr>
          <w:p w14:paraId="035C928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16EF51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8BDC40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3163BB9"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5,705</w:t>
            </w:r>
          </w:p>
        </w:tc>
        <w:tc>
          <w:tcPr>
            <w:tcW w:w="321" w:type="pct"/>
            <w:shd w:val="clear" w:color="auto" w:fill="auto"/>
            <w:noWrap/>
            <w:vAlign w:val="center"/>
            <w:hideMark/>
          </w:tcPr>
          <w:p w14:paraId="16FE19B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2D2DAF2A"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5,705</w:t>
            </w:r>
          </w:p>
        </w:tc>
        <w:tc>
          <w:tcPr>
            <w:tcW w:w="443" w:type="pct"/>
            <w:shd w:val="clear" w:color="auto" w:fill="auto"/>
            <w:noWrap/>
            <w:vAlign w:val="center"/>
            <w:hideMark/>
          </w:tcPr>
          <w:p w14:paraId="4CA5B9BF"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7564474C" w14:textId="77777777" w:rsidTr="004A3EAF">
        <w:trPr>
          <w:trHeight w:val="300"/>
        </w:trPr>
        <w:tc>
          <w:tcPr>
            <w:tcW w:w="1565" w:type="pct"/>
            <w:shd w:val="clear" w:color="auto" w:fill="auto"/>
            <w:vAlign w:val="center"/>
            <w:hideMark/>
          </w:tcPr>
          <w:p w14:paraId="2E90A719" w14:textId="77777777" w:rsidR="004A3EAF" w:rsidRPr="00F50786" w:rsidRDefault="004A3EAF" w:rsidP="0067547D">
            <w:pPr>
              <w:spacing w:after="0" w:line="240" w:lineRule="auto"/>
              <w:rPr>
                <w:rFonts w:eastAsia="Times New Roman"/>
                <w:color w:val="000000"/>
                <w:sz w:val="14"/>
                <w:szCs w:val="14"/>
                <w:lang w:val="en-US"/>
                <w:rPrChange w:id="254"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55" w:author="Ali Sambou" w:date="2026-01-06T13:25:00Z" w16du:dateUtc="2026-01-06T13:25:00Z">
                  <w:rPr>
                    <w:rFonts w:eastAsia="Times New Roman"/>
                    <w:color w:val="000000"/>
                    <w:sz w:val="14"/>
                    <w:szCs w:val="14"/>
                  </w:rPr>
                </w:rPrChange>
              </w:rPr>
              <w:t>Cost of translation for MTR report</w:t>
            </w:r>
          </w:p>
        </w:tc>
        <w:tc>
          <w:tcPr>
            <w:tcW w:w="441" w:type="pct"/>
            <w:shd w:val="clear" w:color="auto" w:fill="auto"/>
            <w:noWrap/>
            <w:vAlign w:val="center"/>
            <w:hideMark/>
          </w:tcPr>
          <w:p w14:paraId="7E67408C" w14:textId="77777777" w:rsidR="004A3EAF" w:rsidRPr="00F50786" w:rsidRDefault="004A3EAF" w:rsidP="0067547D">
            <w:pPr>
              <w:spacing w:after="0" w:line="240" w:lineRule="auto"/>
              <w:rPr>
                <w:rFonts w:eastAsia="Times New Roman"/>
                <w:color w:val="000000"/>
                <w:sz w:val="14"/>
                <w:szCs w:val="14"/>
                <w:lang w:val="en-US"/>
                <w:rPrChange w:id="256"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57"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5A242C3A" w14:textId="77777777" w:rsidR="004A3EAF" w:rsidRPr="00F50786" w:rsidRDefault="004A3EAF" w:rsidP="0067547D">
            <w:pPr>
              <w:spacing w:after="0" w:line="240" w:lineRule="auto"/>
              <w:rPr>
                <w:rFonts w:eastAsia="Times New Roman"/>
                <w:color w:val="000000"/>
                <w:sz w:val="14"/>
                <w:szCs w:val="14"/>
                <w:lang w:val="en-US"/>
                <w:rPrChange w:id="258"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59" w:author="Ali Sambou" w:date="2026-01-06T13:25:00Z" w16du:dateUtc="2026-01-06T13:25:00Z">
                  <w:rPr>
                    <w:rFonts w:eastAsia="Times New Roman"/>
                    <w:color w:val="000000"/>
                    <w:sz w:val="14"/>
                    <w:szCs w:val="14"/>
                  </w:rPr>
                </w:rPrChange>
              </w:rPr>
              <w:t> </w:t>
            </w:r>
          </w:p>
        </w:tc>
        <w:tc>
          <w:tcPr>
            <w:tcW w:w="423" w:type="pct"/>
            <w:shd w:val="clear" w:color="auto" w:fill="auto"/>
            <w:noWrap/>
            <w:vAlign w:val="center"/>
            <w:hideMark/>
          </w:tcPr>
          <w:p w14:paraId="38C1802B" w14:textId="77777777" w:rsidR="004A3EAF" w:rsidRPr="00F50786" w:rsidRDefault="004A3EAF" w:rsidP="0067547D">
            <w:pPr>
              <w:spacing w:after="0" w:line="240" w:lineRule="auto"/>
              <w:rPr>
                <w:rFonts w:eastAsia="Times New Roman"/>
                <w:color w:val="000000"/>
                <w:sz w:val="14"/>
                <w:szCs w:val="14"/>
                <w:lang w:val="en-US"/>
                <w:rPrChange w:id="260"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61" w:author="Ali Sambou" w:date="2026-01-06T13:25:00Z" w16du:dateUtc="2026-01-06T13:25:00Z">
                  <w:rPr>
                    <w:rFonts w:eastAsia="Times New Roman"/>
                    <w:color w:val="000000"/>
                    <w:sz w:val="14"/>
                    <w:szCs w:val="14"/>
                  </w:rPr>
                </w:rPrChange>
              </w:rPr>
              <w:t> </w:t>
            </w:r>
          </w:p>
        </w:tc>
        <w:tc>
          <w:tcPr>
            <w:tcW w:w="423" w:type="pct"/>
            <w:shd w:val="clear" w:color="auto" w:fill="auto"/>
            <w:noWrap/>
            <w:vAlign w:val="center"/>
            <w:hideMark/>
          </w:tcPr>
          <w:p w14:paraId="725EB5F4" w14:textId="77777777" w:rsidR="004A3EAF" w:rsidRPr="00F50786" w:rsidRDefault="004A3EAF" w:rsidP="0067547D">
            <w:pPr>
              <w:spacing w:after="0" w:line="240" w:lineRule="auto"/>
              <w:rPr>
                <w:rFonts w:eastAsia="Times New Roman"/>
                <w:color w:val="000000"/>
                <w:sz w:val="14"/>
                <w:szCs w:val="14"/>
                <w:lang w:val="en-US"/>
                <w:rPrChange w:id="262"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63" w:author="Ali Sambou" w:date="2026-01-06T13:25:00Z" w16du:dateUtc="2026-01-06T13:25:00Z">
                  <w:rPr>
                    <w:rFonts w:eastAsia="Times New Roman"/>
                    <w:color w:val="000000"/>
                    <w:sz w:val="14"/>
                    <w:szCs w:val="14"/>
                  </w:rPr>
                </w:rPrChange>
              </w:rPr>
              <w:t> </w:t>
            </w:r>
          </w:p>
        </w:tc>
        <w:tc>
          <w:tcPr>
            <w:tcW w:w="423" w:type="pct"/>
            <w:shd w:val="clear" w:color="auto" w:fill="auto"/>
            <w:noWrap/>
            <w:vAlign w:val="center"/>
            <w:hideMark/>
          </w:tcPr>
          <w:p w14:paraId="367744A8"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4,700</w:t>
            </w:r>
          </w:p>
        </w:tc>
        <w:tc>
          <w:tcPr>
            <w:tcW w:w="321" w:type="pct"/>
            <w:shd w:val="clear" w:color="auto" w:fill="auto"/>
            <w:noWrap/>
            <w:vAlign w:val="center"/>
            <w:hideMark/>
          </w:tcPr>
          <w:p w14:paraId="1891B3F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28B25A95"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4,700</w:t>
            </w:r>
          </w:p>
        </w:tc>
        <w:tc>
          <w:tcPr>
            <w:tcW w:w="443" w:type="pct"/>
            <w:shd w:val="clear" w:color="auto" w:fill="auto"/>
            <w:noWrap/>
            <w:vAlign w:val="center"/>
            <w:hideMark/>
          </w:tcPr>
          <w:p w14:paraId="5D49DB05"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0A75890E" w14:textId="77777777" w:rsidTr="004A3EAF">
        <w:trPr>
          <w:trHeight w:val="300"/>
        </w:trPr>
        <w:tc>
          <w:tcPr>
            <w:tcW w:w="1565" w:type="pct"/>
            <w:shd w:val="clear" w:color="auto" w:fill="auto"/>
            <w:vAlign w:val="center"/>
            <w:hideMark/>
          </w:tcPr>
          <w:p w14:paraId="231031D0" w14:textId="77777777" w:rsidR="004A3EAF" w:rsidRPr="00F50786" w:rsidRDefault="004A3EAF" w:rsidP="0067547D">
            <w:pPr>
              <w:spacing w:after="0" w:line="240" w:lineRule="auto"/>
              <w:rPr>
                <w:rFonts w:eastAsia="Times New Roman"/>
                <w:color w:val="000000"/>
                <w:sz w:val="14"/>
                <w:szCs w:val="14"/>
                <w:lang w:val="en-US"/>
                <w:rPrChange w:id="264"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65" w:author="Ali Sambou" w:date="2026-01-06T13:25:00Z" w16du:dateUtc="2026-01-06T13:25:00Z">
                  <w:rPr>
                    <w:rFonts w:eastAsia="Times New Roman"/>
                    <w:color w:val="000000"/>
                    <w:sz w:val="14"/>
                    <w:szCs w:val="14"/>
                  </w:rPr>
                </w:rPrChange>
              </w:rPr>
              <w:t>Cost of printing and communication materials for Activity 1.1.1.5</w:t>
            </w:r>
          </w:p>
        </w:tc>
        <w:tc>
          <w:tcPr>
            <w:tcW w:w="441" w:type="pct"/>
            <w:shd w:val="clear" w:color="auto" w:fill="auto"/>
            <w:noWrap/>
            <w:vAlign w:val="center"/>
            <w:hideMark/>
          </w:tcPr>
          <w:p w14:paraId="3F53AE23"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10,000</w:t>
            </w:r>
          </w:p>
        </w:tc>
        <w:tc>
          <w:tcPr>
            <w:tcW w:w="606" w:type="pct"/>
            <w:shd w:val="clear" w:color="auto" w:fill="auto"/>
            <w:noWrap/>
            <w:vAlign w:val="center"/>
            <w:hideMark/>
          </w:tcPr>
          <w:p w14:paraId="084C49B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71B397A9"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1CE2D7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2DB35732"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5424E3A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263DF98C"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10,000</w:t>
            </w:r>
          </w:p>
        </w:tc>
        <w:tc>
          <w:tcPr>
            <w:tcW w:w="443" w:type="pct"/>
            <w:shd w:val="clear" w:color="auto" w:fill="auto"/>
            <w:noWrap/>
            <w:vAlign w:val="center"/>
            <w:hideMark/>
          </w:tcPr>
          <w:p w14:paraId="329B4A13"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029369D0" w14:textId="77777777" w:rsidTr="004A3EAF">
        <w:trPr>
          <w:trHeight w:val="540"/>
        </w:trPr>
        <w:tc>
          <w:tcPr>
            <w:tcW w:w="1565" w:type="pct"/>
            <w:shd w:val="clear" w:color="auto" w:fill="auto"/>
            <w:vAlign w:val="center"/>
            <w:hideMark/>
          </w:tcPr>
          <w:p w14:paraId="5A17A2DE" w14:textId="77777777" w:rsidR="004A3EAF" w:rsidRPr="00F50786" w:rsidRDefault="004A3EAF" w:rsidP="0067547D">
            <w:pPr>
              <w:spacing w:after="0" w:line="240" w:lineRule="auto"/>
              <w:rPr>
                <w:rFonts w:eastAsia="Times New Roman"/>
                <w:sz w:val="14"/>
                <w:szCs w:val="14"/>
                <w:lang w:val="en-US"/>
                <w:rPrChange w:id="266" w:author="Ali Sambou" w:date="2026-01-06T13:24:00Z" w16du:dateUtc="2026-01-06T13:24:00Z">
                  <w:rPr>
                    <w:rFonts w:eastAsia="Times New Roman"/>
                    <w:sz w:val="14"/>
                    <w:szCs w:val="14"/>
                  </w:rPr>
                </w:rPrChange>
              </w:rPr>
            </w:pPr>
            <w:r w:rsidRPr="00F50786">
              <w:rPr>
                <w:rFonts w:eastAsia="Times New Roman"/>
                <w:sz w:val="14"/>
                <w:szCs w:val="14"/>
                <w:lang w:val="en-US"/>
                <w:rPrChange w:id="267" w:author="Ali Sambou" w:date="2026-01-06T13:24:00Z" w16du:dateUtc="2026-01-06T13:24:00Z">
                  <w:rPr>
                    <w:rFonts w:eastAsia="Times New Roman"/>
                    <w:sz w:val="14"/>
                    <w:szCs w:val="14"/>
                  </w:rPr>
                </w:rPrChange>
              </w:rPr>
              <w:t>Cost of printing materials and videos to document good practices and lessons learned (testimonials from the local community, governmental and non-governmental institutions, etc.).</w:t>
            </w:r>
          </w:p>
        </w:tc>
        <w:tc>
          <w:tcPr>
            <w:tcW w:w="441" w:type="pct"/>
            <w:shd w:val="clear" w:color="auto" w:fill="auto"/>
            <w:noWrap/>
            <w:vAlign w:val="center"/>
            <w:hideMark/>
          </w:tcPr>
          <w:p w14:paraId="57D0151C" w14:textId="77777777" w:rsidR="004A3EAF" w:rsidRPr="00004DA9" w:rsidRDefault="004A3EAF" w:rsidP="0067547D">
            <w:pPr>
              <w:spacing w:after="0" w:line="240" w:lineRule="auto"/>
              <w:rPr>
                <w:rFonts w:eastAsia="Times New Roman"/>
                <w:sz w:val="14"/>
                <w:szCs w:val="14"/>
              </w:rPr>
            </w:pPr>
            <w:r w:rsidRPr="00F50786">
              <w:rPr>
                <w:rFonts w:eastAsia="Times New Roman"/>
                <w:sz w:val="14"/>
                <w:szCs w:val="14"/>
                <w:lang w:val="en-US"/>
                <w:rPrChange w:id="268" w:author="Ali Sambou" w:date="2026-01-06T13:24:00Z" w16du:dateUtc="2026-01-06T13:24:00Z">
                  <w:rPr>
                    <w:rFonts w:eastAsia="Times New Roman"/>
                    <w:sz w:val="14"/>
                    <w:szCs w:val="14"/>
                  </w:rPr>
                </w:rPrChange>
              </w:rPr>
              <w:t xml:space="preserve">                  </w:t>
            </w:r>
            <w:r w:rsidRPr="00004DA9">
              <w:rPr>
                <w:rFonts w:eastAsia="Times New Roman"/>
                <w:sz w:val="14"/>
                <w:szCs w:val="14"/>
              </w:rPr>
              <w:t xml:space="preserve">-   </w:t>
            </w:r>
          </w:p>
        </w:tc>
        <w:tc>
          <w:tcPr>
            <w:tcW w:w="606" w:type="pct"/>
            <w:shd w:val="clear" w:color="auto" w:fill="auto"/>
            <w:noWrap/>
            <w:vAlign w:val="center"/>
            <w:hideMark/>
          </w:tcPr>
          <w:p w14:paraId="64C6B3AD" w14:textId="77777777" w:rsidR="004A3EAF" w:rsidRPr="00004DA9" w:rsidRDefault="004A3EAF" w:rsidP="0067547D">
            <w:pPr>
              <w:spacing w:after="0" w:line="240" w:lineRule="auto"/>
              <w:rPr>
                <w:rFonts w:eastAsia="Times New Roman"/>
                <w:sz w:val="14"/>
                <w:szCs w:val="14"/>
              </w:rPr>
            </w:pPr>
            <w:r w:rsidRPr="00004DA9">
              <w:rPr>
                <w:rFonts w:eastAsia="Times New Roman"/>
                <w:sz w:val="14"/>
                <w:szCs w:val="14"/>
              </w:rPr>
              <w:t> </w:t>
            </w:r>
          </w:p>
        </w:tc>
        <w:tc>
          <w:tcPr>
            <w:tcW w:w="423" w:type="pct"/>
            <w:shd w:val="clear" w:color="auto" w:fill="auto"/>
            <w:noWrap/>
            <w:vAlign w:val="center"/>
            <w:hideMark/>
          </w:tcPr>
          <w:p w14:paraId="35E7F241" w14:textId="77777777" w:rsidR="004A3EAF" w:rsidRPr="00004DA9" w:rsidRDefault="004A3EAF" w:rsidP="0067547D">
            <w:pPr>
              <w:spacing w:after="0" w:line="240" w:lineRule="auto"/>
              <w:rPr>
                <w:rFonts w:eastAsia="Times New Roman"/>
                <w:sz w:val="14"/>
                <w:szCs w:val="14"/>
              </w:rPr>
            </w:pPr>
            <w:r w:rsidRPr="00004DA9">
              <w:rPr>
                <w:rFonts w:eastAsia="Times New Roman"/>
                <w:sz w:val="14"/>
                <w:szCs w:val="14"/>
              </w:rPr>
              <w:t> </w:t>
            </w:r>
          </w:p>
        </w:tc>
        <w:tc>
          <w:tcPr>
            <w:tcW w:w="423" w:type="pct"/>
            <w:shd w:val="clear" w:color="auto" w:fill="auto"/>
            <w:noWrap/>
            <w:vAlign w:val="center"/>
            <w:hideMark/>
          </w:tcPr>
          <w:p w14:paraId="1E456B80" w14:textId="77777777" w:rsidR="004A3EAF" w:rsidRPr="00004DA9" w:rsidRDefault="004A3EAF" w:rsidP="0067547D">
            <w:pPr>
              <w:spacing w:after="0" w:line="240" w:lineRule="auto"/>
              <w:jc w:val="right"/>
              <w:rPr>
                <w:rFonts w:eastAsia="Times New Roman"/>
                <w:sz w:val="14"/>
                <w:szCs w:val="14"/>
              </w:rPr>
            </w:pPr>
            <w:r w:rsidRPr="00004DA9">
              <w:rPr>
                <w:rFonts w:eastAsia="Times New Roman"/>
                <w:sz w:val="14"/>
                <w:szCs w:val="14"/>
              </w:rPr>
              <w:t>59,000</w:t>
            </w:r>
          </w:p>
        </w:tc>
        <w:tc>
          <w:tcPr>
            <w:tcW w:w="423" w:type="pct"/>
            <w:shd w:val="clear" w:color="auto" w:fill="auto"/>
            <w:noWrap/>
            <w:vAlign w:val="center"/>
            <w:hideMark/>
          </w:tcPr>
          <w:p w14:paraId="6839D6B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0DEEA2F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16EF9775"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59,000</w:t>
            </w:r>
          </w:p>
        </w:tc>
        <w:tc>
          <w:tcPr>
            <w:tcW w:w="443" w:type="pct"/>
            <w:shd w:val="clear" w:color="auto" w:fill="auto"/>
            <w:noWrap/>
            <w:vAlign w:val="center"/>
            <w:hideMark/>
          </w:tcPr>
          <w:p w14:paraId="00922B4A"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135F2CA5" w14:textId="77777777" w:rsidTr="004A3EAF">
        <w:trPr>
          <w:trHeight w:val="360"/>
        </w:trPr>
        <w:tc>
          <w:tcPr>
            <w:tcW w:w="1565" w:type="pct"/>
            <w:shd w:val="clear" w:color="auto" w:fill="auto"/>
            <w:vAlign w:val="center"/>
            <w:hideMark/>
          </w:tcPr>
          <w:p w14:paraId="6C4EFF51" w14:textId="77777777" w:rsidR="004A3EAF" w:rsidRPr="00F50786" w:rsidRDefault="004A3EAF" w:rsidP="0067547D">
            <w:pPr>
              <w:spacing w:after="0" w:line="240" w:lineRule="auto"/>
              <w:rPr>
                <w:rFonts w:eastAsia="Times New Roman"/>
                <w:sz w:val="14"/>
                <w:szCs w:val="14"/>
                <w:lang w:val="en-US"/>
                <w:rPrChange w:id="269" w:author="Ali Sambou" w:date="2026-01-06T13:24:00Z" w16du:dateUtc="2026-01-06T13:24:00Z">
                  <w:rPr>
                    <w:rFonts w:eastAsia="Times New Roman"/>
                    <w:sz w:val="14"/>
                    <w:szCs w:val="14"/>
                  </w:rPr>
                </w:rPrChange>
              </w:rPr>
            </w:pPr>
            <w:r w:rsidRPr="00F50786">
              <w:rPr>
                <w:rFonts w:eastAsia="Times New Roman"/>
                <w:sz w:val="14"/>
                <w:szCs w:val="14"/>
                <w:lang w:val="en-US"/>
                <w:rPrChange w:id="270" w:author="Ali Sambou" w:date="2026-01-06T13:24:00Z" w16du:dateUtc="2026-01-06T13:24:00Z">
                  <w:rPr>
                    <w:rFonts w:eastAsia="Times New Roman"/>
                    <w:sz w:val="14"/>
                    <w:szCs w:val="14"/>
                  </w:rPr>
                </w:rPrChange>
              </w:rPr>
              <w:t>Communication Agency to prepare the graphic design for the project (10k$)</w:t>
            </w:r>
          </w:p>
        </w:tc>
        <w:tc>
          <w:tcPr>
            <w:tcW w:w="441" w:type="pct"/>
            <w:shd w:val="clear" w:color="auto" w:fill="auto"/>
            <w:noWrap/>
            <w:vAlign w:val="center"/>
            <w:hideMark/>
          </w:tcPr>
          <w:p w14:paraId="2DA5B8F4" w14:textId="77777777" w:rsidR="004A3EAF" w:rsidRPr="00F50786" w:rsidRDefault="004A3EAF" w:rsidP="0067547D">
            <w:pPr>
              <w:spacing w:after="0" w:line="240" w:lineRule="auto"/>
              <w:rPr>
                <w:rFonts w:eastAsia="Times New Roman"/>
                <w:sz w:val="14"/>
                <w:szCs w:val="14"/>
                <w:lang w:val="en-US"/>
                <w:rPrChange w:id="271" w:author="Ali Sambou" w:date="2026-01-06T13:24:00Z" w16du:dateUtc="2026-01-06T13:24:00Z">
                  <w:rPr>
                    <w:rFonts w:eastAsia="Times New Roman"/>
                    <w:sz w:val="14"/>
                    <w:szCs w:val="14"/>
                  </w:rPr>
                </w:rPrChange>
              </w:rPr>
            </w:pPr>
            <w:r w:rsidRPr="00F50786">
              <w:rPr>
                <w:rFonts w:eastAsia="Times New Roman"/>
                <w:sz w:val="14"/>
                <w:szCs w:val="14"/>
                <w:lang w:val="en-US"/>
                <w:rPrChange w:id="272" w:author="Ali Sambou" w:date="2026-01-06T13:24:00Z" w16du:dateUtc="2026-01-06T13:24:00Z">
                  <w:rPr>
                    <w:rFonts w:eastAsia="Times New Roman"/>
                    <w:sz w:val="14"/>
                    <w:szCs w:val="14"/>
                  </w:rPr>
                </w:rPrChange>
              </w:rPr>
              <w:t> </w:t>
            </w:r>
          </w:p>
        </w:tc>
        <w:tc>
          <w:tcPr>
            <w:tcW w:w="606" w:type="pct"/>
            <w:shd w:val="clear" w:color="auto" w:fill="auto"/>
            <w:noWrap/>
            <w:vAlign w:val="center"/>
            <w:hideMark/>
          </w:tcPr>
          <w:p w14:paraId="49B530CC" w14:textId="77777777" w:rsidR="004A3EAF" w:rsidRPr="00F50786" w:rsidRDefault="004A3EAF" w:rsidP="0067547D">
            <w:pPr>
              <w:spacing w:after="0" w:line="240" w:lineRule="auto"/>
              <w:rPr>
                <w:rFonts w:eastAsia="Times New Roman"/>
                <w:sz w:val="14"/>
                <w:szCs w:val="14"/>
                <w:lang w:val="en-US"/>
                <w:rPrChange w:id="273" w:author="Ali Sambou" w:date="2026-01-06T13:24:00Z" w16du:dateUtc="2026-01-06T13:24:00Z">
                  <w:rPr>
                    <w:rFonts w:eastAsia="Times New Roman"/>
                    <w:sz w:val="14"/>
                    <w:szCs w:val="14"/>
                  </w:rPr>
                </w:rPrChange>
              </w:rPr>
            </w:pPr>
            <w:r w:rsidRPr="00F50786">
              <w:rPr>
                <w:rFonts w:eastAsia="Times New Roman"/>
                <w:sz w:val="14"/>
                <w:szCs w:val="14"/>
                <w:lang w:val="en-US"/>
                <w:rPrChange w:id="274" w:author="Ali Sambou" w:date="2026-01-06T13:24:00Z" w16du:dateUtc="2026-01-06T13:24:00Z">
                  <w:rPr>
                    <w:rFonts w:eastAsia="Times New Roman"/>
                    <w:sz w:val="14"/>
                    <w:szCs w:val="14"/>
                  </w:rPr>
                </w:rPrChange>
              </w:rPr>
              <w:t> </w:t>
            </w:r>
          </w:p>
        </w:tc>
        <w:tc>
          <w:tcPr>
            <w:tcW w:w="423" w:type="pct"/>
            <w:shd w:val="clear" w:color="auto" w:fill="auto"/>
            <w:noWrap/>
            <w:vAlign w:val="center"/>
            <w:hideMark/>
          </w:tcPr>
          <w:p w14:paraId="471DD8E0" w14:textId="77777777" w:rsidR="004A3EAF" w:rsidRPr="00F50786" w:rsidRDefault="004A3EAF" w:rsidP="0067547D">
            <w:pPr>
              <w:spacing w:after="0" w:line="240" w:lineRule="auto"/>
              <w:rPr>
                <w:rFonts w:eastAsia="Times New Roman"/>
                <w:sz w:val="14"/>
                <w:szCs w:val="14"/>
                <w:lang w:val="en-US"/>
                <w:rPrChange w:id="275" w:author="Ali Sambou" w:date="2026-01-06T13:24:00Z" w16du:dateUtc="2026-01-06T13:24:00Z">
                  <w:rPr>
                    <w:rFonts w:eastAsia="Times New Roman"/>
                    <w:sz w:val="14"/>
                    <w:szCs w:val="14"/>
                  </w:rPr>
                </w:rPrChange>
              </w:rPr>
            </w:pPr>
            <w:r w:rsidRPr="00F50786">
              <w:rPr>
                <w:rFonts w:eastAsia="Times New Roman"/>
                <w:sz w:val="14"/>
                <w:szCs w:val="14"/>
                <w:lang w:val="en-US"/>
                <w:rPrChange w:id="276" w:author="Ali Sambou" w:date="2026-01-06T13:24:00Z" w16du:dateUtc="2026-01-06T13:24:00Z">
                  <w:rPr>
                    <w:rFonts w:eastAsia="Times New Roman"/>
                    <w:sz w:val="14"/>
                    <w:szCs w:val="14"/>
                  </w:rPr>
                </w:rPrChange>
              </w:rPr>
              <w:t> </w:t>
            </w:r>
          </w:p>
        </w:tc>
        <w:tc>
          <w:tcPr>
            <w:tcW w:w="423" w:type="pct"/>
            <w:shd w:val="clear" w:color="auto" w:fill="auto"/>
            <w:noWrap/>
            <w:vAlign w:val="center"/>
            <w:hideMark/>
          </w:tcPr>
          <w:p w14:paraId="5F15F040" w14:textId="77777777" w:rsidR="004A3EAF" w:rsidRPr="00004DA9" w:rsidRDefault="004A3EAF" w:rsidP="0067547D">
            <w:pPr>
              <w:spacing w:after="0" w:line="240" w:lineRule="auto"/>
              <w:jc w:val="right"/>
              <w:rPr>
                <w:rFonts w:eastAsia="Times New Roman"/>
                <w:sz w:val="14"/>
                <w:szCs w:val="14"/>
              </w:rPr>
            </w:pPr>
            <w:r w:rsidRPr="00004DA9">
              <w:rPr>
                <w:rFonts w:eastAsia="Times New Roman"/>
                <w:sz w:val="14"/>
                <w:szCs w:val="14"/>
              </w:rPr>
              <w:t>10,000</w:t>
            </w:r>
          </w:p>
        </w:tc>
        <w:tc>
          <w:tcPr>
            <w:tcW w:w="423" w:type="pct"/>
            <w:shd w:val="clear" w:color="auto" w:fill="auto"/>
            <w:noWrap/>
            <w:vAlign w:val="center"/>
            <w:hideMark/>
          </w:tcPr>
          <w:p w14:paraId="67AEB026"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33A88709"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635126F4"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10,000</w:t>
            </w:r>
          </w:p>
        </w:tc>
        <w:tc>
          <w:tcPr>
            <w:tcW w:w="443" w:type="pct"/>
            <w:shd w:val="clear" w:color="auto" w:fill="auto"/>
            <w:noWrap/>
            <w:vAlign w:val="center"/>
            <w:hideMark/>
          </w:tcPr>
          <w:p w14:paraId="3B5051CE"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1774D696" w14:textId="77777777" w:rsidTr="004A3EAF">
        <w:trPr>
          <w:trHeight w:val="300"/>
        </w:trPr>
        <w:tc>
          <w:tcPr>
            <w:tcW w:w="1565" w:type="pct"/>
            <w:shd w:val="clear" w:color="000000" w:fill="C0E6F5"/>
            <w:vAlign w:val="center"/>
            <w:hideMark/>
          </w:tcPr>
          <w:p w14:paraId="4540837E"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Training, Workshops, Meetings</w:t>
            </w:r>
          </w:p>
        </w:tc>
        <w:tc>
          <w:tcPr>
            <w:tcW w:w="441" w:type="pct"/>
            <w:shd w:val="clear" w:color="000000" w:fill="C0E6F5"/>
            <w:vAlign w:val="center"/>
            <w:hideMark/>
          </w:tcPr>
          <w:p w14:paraId="57015289"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606" w:type="pct"/>
            <w:shd w:val="clear" w:color="000000" w:fill="C0E6F5"/>
            <w:vAlign w:val="center"/>
            <w:hideMark/>
          </w:tcPr>
          <w:p w14:paraId="68C842D6"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65B8E940"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01D93078"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04251482"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321" w:type="pct"/>
            <w:shd w:val="clear" w:color="000000" w:fill="C0E6F5"/>
            <w:vAlign w:val="center"/>
            <w:hideMark/>
          </w:tcPr>
          <w:p w14:paraId="1D907973"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354" w:type="pct"/>
            <w:shd w:val="clear" w:color="000000" w:fill="C0E6F5"/>
            <w:vAlign w:val="center"/>
            <w:hideMark/>
          </w:tcPr>
          <w:p w14:paraId="4A90006B"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43" w:type="pct"/>
            <w:shd w:val="clear" w:color="000000" w:fill="C0E6F5"/>
            <w:vAlign w:val="center"/>
            <w:hideMark/>
          </w:tcPr>
          <w:p w14:paraId="116CD6B0"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r>
      <w:tr w:rsidR="004A3EAF" w:rsidRPr="00004DA9" w14:paraId="223B2496" w14:textId="77777777" w:rsidTr="004A3EAF">
        <w:trPr>
          <w:trHeight w:val="540"/>
        </w:trPr>
        <w:tc>
          <w:tcPr>
            <w:tcW w:w="1565" w:type="pct"/>
            <w:shd w:val="clear" w:color="auto" w:fill="auto"/>
            <w:vAlign w:val="center"/>
            <w:hideMark/>
          </w:tcPr>
          <w:p w14:paraId="7858F841" w14:textId="77777777" w:rsidR="004A3EAF" w:rsidRPr="00F50786" w:rsidRDefault="004A3EAF" w:rsidP="0067547D">
            <w:pPr>
              <w:spacing w:after="0" w:line="240" w:lineRule="auto"/>
              <w:rPr>
                <w:rFonts w:eastAsia="Times New Roman"/>
                <w:color w:val="000000"/>
                <w:sz w:val="14"/>
                <w:szCs w:val="14"/>
                <w:lang w:val="en-US"/>
                <w:rPrChange w:id="277" w:author="Ali Sambou" w:date="2026-01-06T13:24:00Z" w16du:dateUtc="2026-01-06T13:24:00Z">
                  <w:rPr>
                    <w:rFonts w:eastAsia="Times New Roman"/>
                    <w:color w:val="000000"/>
                    <w:sz w:val="14"/>
                    <w:szCs w:val="14"/>
                  </w:rPr>
                </w:rPrChange>
              </w:rPr>
            </w:pPr>
            <w:r w:rsidRPr="00F50786">
              <w:rPr>
                <w:rFonts w:eastAsia="Times New Roman"/>
                <w:color w:val="000000"/>
                <w:sz w:val="14"/>
                <w:szCs w:val="14"/>
                <w:lang w:val="en-US"/>
                <w:rPrChange w:id="278" w:author="Ali Sambou" w:date="2026-01-06T13:24:00Z" w16du:dateUtc="2026-01-06T13:24:00Z">
                  <w:rPr>
                    <w:rFonts w:eastAsia="Times New Roman"/>
                    <w:color w:val="000000"/>
                    <w:sz w:val="14"/>
                    <w:szCs w:val="14"/>
                  </w:rPr>
                </w:rPrChange>
              </w:rPr>
              <w:t>33 workshops x an average cost of $2500 per workshop among them 8 key workshops maximum with travel expenses for 40pax ($25 x 40pax = $1,000 x 8 workshops)</w:t>
            </w:r>
          </w:p>
        </w:tc>
        <w:tc>
          <w:tcPr>
            <w:tcW w:w="441" w:type="pct"/>
            <w:shd w:val="clear" w:color="auto" w:fill="auto"/>
            <w:noWrap/>
            <w:vAlign w:val="center"/>
            <w:hideMark/>
          </w:tcPr>
          <w:p w14:paraId="0838C58F" w14:textId="77777777" w:rsidR="004A3EAF" w:rsidRPr="00004DA9" w:rsidRDefault="004A3EAF" w:rsidP="0067547D">
            <w:pPr>
              <w:spacing w:after="0" w:line="240" w:lineRule="auto"/>
              <w:rPr>
                <w:rFonts w:eastAsia="Times New Roman"/>
                <w:color w:val="000000"/>
                <w:sz w:val="14"/>
                <w:szCs w:val="14"/>
              </w:rPr>
            </w:pPr>
            <w:r w:rsidRPr="00F50786">
              <w:rPr>
                <w:rFonts w:eastAsia="Times New Roman"/>
                <w:color w:val="000000"/>
                <w:sz w:val="14"/>
                <w:szCs w:val="14"/>
                <w:lang w:val="en-US"/>
                <w:rPrChange w:id="279" w:author="Ali Sambou" w:date="2026-01-06T13:24:00Z" w16du:dateUtc="2026-01-06T13:24:00Z">
                  <w:rPr>
                    <w:rFonts w:eastAsia="Times New Roman"/>
                    <w:color w:val="000000"/>
                    <w:sz w:val="14"/>
                    <w:szCs w:val="14"/>
                  </w:rPr>
                </w:rPrChange>
              </w:rPr>
              <w:t xml:space="preserve">                  </w:t>
            </w:r>
            <w:r w:rsidRPr="00004DA9">
              <w:rPr>
                <w:rFonts w:eastAsia="Times New Roman"/>
                <w:color w:val="000000"/>
                <w:sz w:val="14"/>
                <w:szCs w:val="14"/>
              </w:rPr>
              <w:t xml:space="preserve">-   </w:t>
            </w:r>
          </w:p>
        </w:tc>
        <w:tc>
          <w:tcPr>
            <w:tcW w:w="606" w:type="pct"/>
            <w:shd w:val="clear" w:color="auto" w:fill="auto"/>
            <w:noWrap/>
            <w:vAlign w:val="center"/>
            <w:hideMark/>
          </w:tcPr>
          <w:p w14:paraId="04FFC0D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294B870"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90,500</w:t>
            </w:r>
          </w:p>
        </w:tc>
        <w:tc>
          <w:tcPr>
            <w:tcW w:w="423" w:type="pct"/>
            <w:shd w:val="clear" w:color="auto" w:fill="auto"/>
            <w:noWrap/>
            <w:vAlign w:val="center"/>
            <w:hideMark/>
          </w:tcPr>
          <w:p w14:paraId="7E748876"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7A406A9"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4AA05B8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04E45DF5"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90,500</w:t>
            </w:r>
          </w:p>
        </w:tc>
        <w:tc>
          <w:tcPr>
            <w:tcW w:w="443" w:type="pct"/>
            <w:shd w:val="clear" w:color="auto" w:fill="auto"/>
            <w:noWrap/>
            <w:vAlign w:val="center"/>
            <w:hideMark/>
          </w:tcPr>
          <w:p w14:paraId="47F5228C"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17716B81" w14:textId="77777777" w:rsidTr="004A3EAF">
        <w:trPr>
          <w:trHeight w:val="300"/>
        </w:trPr>
        <w:tc>
          <w:tcPr>
            <w:tcW w:w="1565" w:type="pct"/>
            <w:shd w:val="clear" w:color="auto" w:fill="auto"/>
            <w:vAlign w:val="center"/>
            <w:hideMark/>
          </w:tcPr>
          <w:p w14:paraId="51F74C28" w14:textId="77777777" w:rsidR="004A3EAF" w:rsidRPr="00F50786" w:rsidRDefault="004A3EAF" w:rsidP="0067547D">
            <w:pPr>
              <w:spacing w:after="0" w:line="240" w:lineRule="auto"/>
              <w:rPr>
                <w:rFonts w:eastAsia="Times New Roman"/>
                <w:color w:val="000000"/>
                <w:sz w:val="14"/>
                <w:szCs w:val="14"/>
                <w:lang w:val="en-US"/>
                <w:rPrChange w:id="280" w:author="Ali Sambou" w:date="2026-01-06T13:24:00Z" w16du:dateUtc="2026-01-06T13:24:00Z">
                  <w:rPr>
                    <w:rFonts w:eastAsia="Times New Roman"/>
                    <w:color w:val="000000"/>
                    <w:sz w:val="14"/>
                    <w:szCs w:val="14"/>
                  </w:rPr>
                </w:rPrChange>
              </w:rPr>
            </w:pPr>
            <w:r w:rsidRPr="00F50786">
              <w:rPr>
                <w:rFonts w:eastAsia="Times New Roman"/>
                <w:color w:val="000000"/>
                <w:sz w:val="14"/>
                <w:szCs w:val="14"/>
                <w:lang w:val="en-US"/>
                <w:rPrChange w:id="281" w:author="Ali Sambou" w:date="2026-01-06T13:24:00Z" w16du:dateUtc="2026-01-06T13:24:00Z">
                  <w:rPr>
                    <w:rFonts w:eastAsia="Times New Roman"/>
                    <w:color w:val="000000"/>
                    <w:sz w:val="14"/>
                    <w:szCs w:val="14"/>
                  </w:rPr>
                </w:rPrChange>
              </w:rPr>
              <w:t>34 Trainings and workshop over the project lifetime for 30pax.</w:t>
            </w:r>
          </w:p>
        </w:tc>
        <w:tc>
          <w:tcPr>
            <w:tcW w:w="441" w:type="pct"/>
            <w:shd w:val="clear" w:color="auto" w:fill="auto"/>
            <w:noWrap/>
            <w:vAlign w:val="center"/>
            <w:hideMark/>
          </w:tcPr>
          <w:p w14:paraId="1731872E" w14:textId="77777777" w:rsidR="004A3EAF" w:rsidRPr="00004DA9" w:rsidRDefault="004A3EAF" w:rsidP="0067547D">
            <w:pPr>
              <w:spacing w:after="0" w:line="240" w:lineRule="auto"/>
              <w:rPr>
                <w:rFonts w:eastAsia="Times New Roman"/>
                <w:color w:val="000000"/>
                <w:sz w:val="14"/>
                <w:szCs w:val="14"/>
              </w:rPr>
            </w:pPr>
            <w:r w:rsidRPr="00F50786">
              <w:rPr>
                <w:rFonts w:eastAsia="Times New Roman"/>
                <w:color w:val="000000"/>
                <w:sz w:val="14"/>
                <w:szCs w:val="14"/>
                <w:lang w:val="en-US"/>
                <w:rPrChange w:id="282" w:author="Ali Sambou" w:date="2026-01-06T13:24:00Z" w16du:dateUtc="2026-01-06T13:24:00Z">
                  <w:rPr>
                    <w:rFonts w:eastAsia="Times New Roman"/>
                    <w:color w:val="000000"/>
                    <w:sz w:val="14"/>
                    <w:szCs w:val="14"/>
                  </w:rPr>
                </w:rPrChange>
              </w:rPr>
              <w:t xml:space="preserve">                  </w:t>
            </w:r>
            <w:r w:rsidRPr="00004DA9">
              <w:rPr>
                <w:rFonts w:eastAsia="Times New Roman"/>
                <w:color w:val="000000"/>
                <w:sz w:val="14"/>
                <w:szCs w:val="14"/>
              </w:rPr>
              <w:t xml:space="preserve">-   </w:t>
            </w:r>
          </w:p>
        </w:tc>
        <w:tc>
          <w:tcPr>
            <w:tcW w:w="606" w:type="pct"/>
            <w:shd w:val="clear" w:color="auto" w:fill="auto"/>
            <w:noWrap/>
            <w:vAlign w:val="center"/>
            <w:hideMark/>
          </w:tcPr>
          <w:p w14:paraId="621BB1B9"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92,500</w:t>
            </w:r>
          </w:p>
        </w:tc>
        <w:tc>
          <w:tcPr>
            <w:tcW w:w="423" w:type="pct"/>
            <w:shd w:val="clear" w:color="auto" w:fill="auto"/>
            <w:noWrap/>
            <w:vAlign w:val="center"/>
            <w:hideMark/>
          </w:tcPr>
          <w:p w14:paraId="5B7DE10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072E5C5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899B2E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5B700E7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74E7FC4A"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92,500</w:t>
            </w:r>
          </w:p>
        </w:tc>
        <w:tc>
          <w:tcPr>
            <w:tcW w:w="443" w:type="pct"/>
            <w:shd w:val="clear" w:color="auto" w:fill="auto"/>
            <w:noWrap/>
            <w:vAlign w:val="center"/>
            <w:hideMark/>
          </w:tcPr>
          <w:p w14:paraId="02C695E7"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69ACB818" w14:textId="77777777" w:rsidTr="004A3EAF">
        <w:trPr>
          <w:trHeight w:val="540"/>
        </w:trPr>
        <w:tc>
          <w:tcPr>
            <w:tcW w:w="1565" w:type="pct"/>
            <w:shd w:val="clear" w:color="auto" w:fill="auto"/>
            <w:vAlign w:val="center"/>
            <w:hideMark/>
          </w:tcPr>
          <w:p w14:paraId="7535EA43" w14:textId="77777777" w:rsidR="004A3EAF" w:rsidRPr="00F50786" w:rsidRDefault="004A3EAF" w:rsidP="0067547D">
            <w:pPr>
              <w:spacing w:after="0" w:line="240" w:lineRule="auto"/>
              <w:rPr>
                <w:rFonts w:eastAsia="Times New Roman"/>
                <w:color w:val="000000"/>
                <w:sz w:val="14"/>
                <w:szCs w:val="14"/>
                <w:lang w:val="en-US"/>
                <w:rPrChange w:id="283"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84" w:author="Ali Sambou" w:date="2026-01-06T13:25:00Z" w16du:dateUtc="2026-01-06T13:25:00Z">
                  <w:rPr>
                    <w:rFonts w:eastAsia="Times New Roman"/>
                    <w:color w:val="000000"/>
                    <w:sz w:val="14"/>
                    <w:szCs w:val="14"/>
                  </w:rPr>
                </w:rPrChange>
              </w:rPr>
              <w:t>36 Training and workshops @ 2500$/per workshop (the output 1.1.1 to 1.1.3), 2 workshops x 6000$ each (Hackathon) for output 1.1.3 and the 4 meetings (Platform for coordination 1.1.2) @ 600$/meeting</w:t>
            </w:r>
          </w:p>
        </w:tc>
        <w:tc>
          <w:tcPr>
            <w:tcW w:w="441" w:type="pct"/>
            <w:shd w:val="clear" w:color="auto" w:fill="auto"/>
            <w:noWrap/>
            <w:vAlign w:val="center"/>
            <w:hideMark/>
          </w:tcPr>
          <w:p w14:paraId="3068F83D"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104,400</w:t>
            </w:r>
          </w:p>
        </w:tc>
        <w:tc>
          <w:tcPr>
            <w:tcW w:w="606" w:type="pct"/>
            <w:shd w:val="clear" w:color="auto" w:fill="auto"/>
            <w:noWrap/>
            <w:vAlign w:val="center"/>
            <w:hideMark/>
          </w:tcPr>
          <w:p w14:paraId="4608053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CBCECA4"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6CF2B5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44BF7C2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010BD20C"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3D85C7F6"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104,400</w:t>
            </w:r>
          </w:p>
        </w:tc>
        <w:tc>
          <w:tcPr>
            <w:tcW w:w="443" w:type="pct"/>
            <w:shd w:val="clear" w:color="auto" w:fill="auto"/>
            <w:noWrap/>
            <w:vAlign w:val="center"/>
            <w:hideMark/>
          </w:tcPr>
          <w:p w14:paraId="50550BA6"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2CC8BED6" w14:textId="77777777" w:rsidTr="004A3EAF">
        <w:trPr>
          <w:trHeight w:val="1080"/>
        </w:trPr>
        <w:tc>
          <w:tcPr>
            <w:tcW w:w="1565" w:type="pct"/>
            <w:shd w:val="clear" w:color="auto" w:fill="auto"/>
            <w:vAlign w:val="center"/>
            <w:hideMark/>
          </w:tcPr>
          <w:p w14:paraId="221F53ED" w14:textId="77777777" w:rsidR="004A3EAF" w:rsidRPr="00F50786" w:rsidRDefault="004A3EAF" w:rsidP="0067547D">
            <w:pPr>
              <w:spacing w:after="0" w:line="240" w:lineRule="auto"/>
              <w:rPr>
                <w:rFonts w:eastAsia="Times New Roman"/>
                <w:color w:val="000000"/>
                <w:sz w:val="14"/>
                <w:szCs w:val="14"/>
                <w:lang w:val="en-US"/>
                <w:rPrChange w:id="285"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86" w:author="Ali Sambou" w:date="2026-01-06T13:25:00Z" w16du:dateUtc="2026-01-06T13:25:00Z">
                  <w:rPr>
                    <w:rFonts w:eastAsia="Times New Roman"/>
                    <w:color w:val="000000"/>
                    <w:sz w:val="14"/>
                    <w:szCs w:val="14"/>
                  </w:rPr>
                </w:rPrChange>
              </w:rPr>
              <w:t xml:space="preserve">4 Workshops to share best practices @ 2500$/workshop, 4 Dialogues @ 5000/dialogue, </w:t>
            </w:r>
            <w:r w:rsidRPr="00F50786">
              <w:rPr>
                <w:rFonts w:eastAsia="Times New Roman"/>
                <w:color w:val="000000"/>
                <w:sz w:val="14"/>
                <w:szCs w:val="14"/>
                <w:lang w:val="en-US"/>
                <w:rPrChange w:id="287" w:author="Ali Sambou" w:date="2026-01-06T13:25:00Z" w16du:dateUtc="2026-01-06T13:25:00Z">
                  <w:rPr>
                    <w:rFonts w:eastAsia="Times New Roman"/>
                    <w:color w:val="000000"/>
                    <w:sz w:val="14"/>
                    <w:szCs w:val="14"/>
                  </w:rPr>
                </w:rPrChange>
              </w:rPr>
              <w:br/>
              <w:t xml:space="preserve">2 workshops to present the results of the opinion polls @ 3000/workshop, </w:t>
            </w:r>
            <w:r w:rsidRPr="00F50786">
              <w:rPr>
                <w:rFonts w:eastAsia="Times New Roman"/>
                <w:color w:val="000000"/>
                <w:sz w:val="14"/>
                <w:szCs w:val="14"/>
                <w:lang w:val="en-US"/>
                <w:rPrChange w:id="288" w:author="Ali Sambou" w:date="2026-01-06T13:25:00Z" w16du:dateUtc="2026-01-06T13:25:00Z">
                  <w:rPr>
                    <w:rFonts w:eastAsia="Times New Roman"/>
                    <w:color w:val="000000"/>
                    <w:sz w:val="14"/>
                    <w:szCs w:val="14"/>
                  </w:rPr>
                </w:rPrChange>
              </w:rPr>
              <w:br/>
              <w:t>2 workshops to implement Capacity-building program on equality mechanisms @3000$/workshop.</w:t>
            </w:r>
          </w:p>
        </w:tc>
        <w:tc>
          <w:tcPr>
            <w:tcW w:w="441" w:type="pct"/>
            <w:shd w:val="clear" w:color="auto" w:fill="auto"/>
            <w:noWrap/>
            <w:vAlign w:val="center"/>
            <w:hideMark/>
          </w:tcPr>
          <w:p w14:paraId="26E37175" w14:textId="77777777" w:rsidR="004A3EAF" w:rsidRPr="00004DA9" w:rsidRDefault="004A3EAF" w:rsidP="0067547D">
            <w:pPr>
              <w:spacing w:after="0" w:line="240" w:lineRule="auto"/>
              <w:rPr>
                <w:rFonts w:eastAsia="Times New Roman"/>
                <w:color w:val="000000"/>
                <w:sz w:val="14"/>
                <w:szCs w:val="14"/>
              </w:rPr>
            </w:pPr>
            <w:r w:rsidRPr="00F50786">
              <w:rPr>
                <w:rFonts w:eastAsia="Times New Roman"/>
                <w:color w:val="000000"/>
                <w:sz w:val="14"/>
                <w:szCs w:val="14"/>
                <w:lang w:val="en-US"/>
                <w:rPrChange w:id="289" w:author="Ali Sambou" w:date="2026-01-06T13:25:00Z" w16du:dateUtc="2026-01-06T13:25:00Z">
                  <w:rPr>
                    <w:rFonts w:eastAsia="Times New Roman"/>
                    <w:color w:val="000000"/>
                    <w:sz w:val="14"/>
                    <w:szCs w:val="14"/>
                  </w:rPr>
                </w:rPrChange>
              </w:rPr>
              <w:t xml:space="preserve">                  </w:t>
            </w:r>
            <w:r w:rsidRPr="00004DA9">
              <w:rPr>
                <w:rFonts w:eastAsia="Times New Roman"/>
                <w:color w:val="000000"/>
                <w:sz w:val="14"/>
                <w:szCs w:val="14"/>
              </w:rPr>
              <w:t xml:space="preserve">-   </w:t>
            </w:r>
          </w:p>
        </w:tc>
        <w:tc>
          <w:tcPr>
            <w:tcW w:w="606" w:type="pct"/>
            <w:shd w:val="clear" w:color="auto" w:fill="auto"/>
            <w:noWrap/>
            <w:vAlign w:val="center"/>
            <w:hideMark/>
          </w:tcPr>
          <w:p w14:paraId="7E845E7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72991BD"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0C8DFA5"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41,000</w:t>
            </w:r>
          </w:p>
        </w:tc>
        <w:tc>
          <w:tcPr>
            <w:tcW w:w="423" w:type="pct"/>
            <w:shd w:val="clear" w:color="auto" w:fill="auto"/>
            <w:noWrap/>
            <w:vAlign w:val="center"/>
            <w:hideMark/>
          </w:tcPr>
          <w:p w14:paraId="45388A9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2528BD69"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26F72BBB"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41,000</w:t>
            </w:r>
          </w:p>
        </w:tc>
        <w:tc>
          <w:tcPr>
            <w:tcW w:w="443" w:type="pct"/>
            <w:shd w:val="clear" w:color="auto" w:fill="auto"/>
            <w:noWrap/>
            <w:vAlign w:val="center"/>
            <w:hideMark/>
          </w:tcPr>
          <w:p w14:paraId="73555C74"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1251B8D9" w14:textId="77777777" w:rsidTr="004A3EAF">
        <w:trPr>
          <w:trHeight w:val="720"/>
        </w:trPr>
        <w:tc>
          <w:tcPr>
            <w:tcW w:w="1565" w:type="pct"/>
            <w:shd w:val="clear" w:color="auto" w:fill="auto"/>
            <w:vAlign w:val="center"/>
            <w:hideMark/>
          </w:tcPr>
          <w:p w14:paraId="2C4DD26A" w14:textId="77777777" w:rsidR="004A3EAF" w:rsidRPr="00F50786" w:rsidRDefault="004A3EAF" w:rsidP="0067547D">
            <w:pPr>
              <w:spacing w:after="0" w:line="240" w:lineRule="auto"/>
              <w:rPr>
                <w:rFonts w:eastAsia="Times New Roman"/>
                <w:color w:val="000000"/>
                <w:sz w:val="14"/>
                <w:szCs w:val="14"/>
                <w:lang w:val="en-US"/>
                <w:rPrChange w:id="290"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91" w:author="Ali Sambou" w:date="2026-01-06T13:25:00Z" w16du:dateUtc="2026-01-06T13:25:00Z">
                  <w:rPr>
                    <w:rFonts w:eastAsia="Times New Roman"/>
                    <w:color w:val="000000"/>
                    <w:sz w:val="14"/>
                    <w:szCs w:val="14"/>
                  </w:rPr>
                </w:rPrChange>
              </w:rPr>
              <w:t>7 Trainings and workshop (for 17,500$ = 2500$ x7 (for 60pax approximately per workshop) and Organization of a regional/international conference (40,000$) for Output 1.2.1 ((Activity 1,2,1,4))</w:t>
            </w:r>
          </w:p>
        </w:tc>
        <w:tc>
          <w:tcPr>
            <w:tcW w:w="441" w:type="pct"/>
            <w:shd w:val="clear" w:color="auto" w:fill="auto"/>
            <w:noWrap/>
            <w:vAlign w:val="center"/>
            <w:hideMark/>
          </w:tcPr>
          <w:p w14:paraId="408DE89A"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57,500</w:t>
            </w:r>
          </w:p>
        </w:tc>
        <w:tc>
          <w:tcPr>
            <w:tcW w:w="606" w:type="pct"/>
            <w:shd w:val="clear" w:color="auto" w:fill="auto"/>
            <w:noWrap/>
            <w:vAlign w:val="center"/>
            <w:hideMark/>
          </w:tcPr>
          <w:p w14:paraId="1F212959"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63C0729"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7EB82D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01074EDF"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10696F8C"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37E8F99F"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57,500</w:t>
            </w:r>
          </w:p>
        </w:tc>
        <w:tc>
          <w:tcPr>
            <w:tcW w:w="443" w:type="pct"/>
            <w:shd w:val="clear" w:color="auto" w:fill="auto"/>
            <w:noWrap/>
            <w:vAlign w:val="center"/>
            <w:hideMark/>
          </w:tcPr>
          <w:p w14:paraId="7FBD0ABC"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29F49B84" w14:textId="77777777" w:rsidTr="004A3EAF">
        <w:trPr>
          <w:trHeight w:val="720"/>
        </w:trPr>
        <w:tc>
          <w:tcPr>
            <w:tcW w:w="1565" w:type="pct"/>
            <w:shd w:val="clear" w:color="auto" w:fill="auto"/>
            <w:vAlign w:val="center"/>
            <w:hideMark/>
          </w:tcPr>
          <w:p w14:paraId="642D1BB2" w14:textId="77777777" w:rsidR="004A3EAF" w:rsidRPr="00F50786" w:rsidRDefault="004A3EAF" w:rsidP="0067547D">
            <w:pPr>
              <w:spacing w:after="0" w:line="240" w:lineRule="auto"/>
              <w:rPr>
                <w:rFonts w:eastAsia="Times New Roman"/>
                <w:color w:val="000000"/>
                <w:sz w:val="14"/>
                <w:szCs w:val="14"/>
                <w:lang w:val="en-US"/>
                <w:rPrChange w:id="292"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93" w:author="Ali Sambou" w:date="2026-01-06T13:25:00Z" w16du:dateUtc="2026-01-06T13:25:00Z">
                  <w:rPr>
                    <w:rFonts w:eastAsia="Times New Roman"/>
                    <w:color w:val="000000"/>
                    <w:sz w:val="14"/>
                    <w:szCs w:val="14"/>
                  </w:rPr>
                </w:rPrChange>
              </w:rPr>
              <w:t>Inception workshop + travel expenses ($25/ pax x 80pax) and project closing workshop (for 120 pax) + pax travel expenses ($25/pax)</w:t>
            </w:r>
            <w:r w:rsidRPr="00F50786">
              <w:rPr>
                <w:rFonts w:eastAsia="Times New Roman"/>
                <w:color w:val="000000"/>
                <w:sz w:val="14"/>
                <w:szCs w:val="14"/>
                <w:lang w:val="en-US"/>
                <w:rPrChange w:id="294" w:author="Ali Sambou" w:date="2026-01-06T13:25:00Z" w16du:dateUtc="2026-01-06T13:25:00Z">
                  <w:rPr>
                    <w:rFonts w:eastAsia="Times New Roman"/>
                    <w:color w:val="000000"/>
                    <w:sz w:val="14"/>
                    <w:szCs w:val="14"/>
                  </w:rPr>
                </w:rPrChange>
              </w:rPr>
              <w:br/>
              <w:t>4 meetings of Steering committee: cost of reimbursement of transportation for 30 pax * 25*$ * 4 meetings</w:t>
            </w:r>
          </w:p>
        </w:tc>
        <w:tc>
          <w:tcPr>
            <w:tcW w:w="441" w:type="pct"/>
            <w:shd w:val="clear" w:color="auto" w:fill="auto"/>
            <w:noWrap/>
            <w:vAlign w:val="center"/>
            <w:hideMark/>
          </w:tcPr>
          <w:p w14:paraId="318C64B7" w14:textId="77777777" w:rsidR="004A3EAF" w:rsidRPr="00004DA9" w:rsidRDefault="004A3EAF" w:rsidP="0067547D">
            <w:pPr>
              <w:spacing w:after="0" w:line="240" w:lineRule="auto"/>
              <w:rPr>
                <w:rFonts w:eastAsia="Times New Roman"/>
                <w:color w:val="000000"/>
                <w:sz w:val="14"/>
                <w:szCs w:val="14"/>
              </w:rPr>
            </w:pPr>
            <w:r w:rsidRPr="00F50786">
              <w:rPr>
                <w:rFonts w:eastAsia="Times New Roman"/>
                <w:color w:val="000000"/>
                <w:sz w:val="14"/>
                <w:szCs w:val="14"/>
                <w:lang w:val="en-US"/>
                <w:rPrChange w:id="295" w:author="Ali Sambou" w:date="2026-01-06T13:25:00Z" w16du:dateUtc="2026-01-06T13:25:00Z">
                  <w:rPr>
                    <w:rFonts w:eastAsia="Times New Roman"/>
                    <w:color w:val="000000"/>
                    <w:sz w:val="14"/>
                    <w:szCs w:val="14"/>
                  </w:rPr>
                </w:rPrChange>
              </w:rPr>
              <w:t xml:space="preserve">                  </w:t>
            </w:r>
            <w:r w:rsidRPr="00004DA9">
              <w:rPr>
                <w:rFonts w:eastAsia="Times New Roman"/>
                <w:color w:val="000000"/>
                <w:sz w:val="14"/>
                <w:szCs w:val="14"/>
              </w:rPr>
              <w:t xml:space="preserve">-   </w:t>
            </w:r>
          </w:p>
        </w:tc>
        <w:tc>
          <w:tcPr>
            <w:tcW w:w="606" w:type="pct"/>
            <w:shd w:val="clear" w:color="auto" w:fill="auto"/>
            <w:noWrap/>
            <w:vAlign w:val="center"/>
            <w:hideMark/>
          </w:tcPr>
          <w:p w14:paraId="72008D4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A38E3F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38E4849"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477CBEB"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21,000</w:t>
            </w:r>
          </w:p>
        </w:tc>
        <w:tc>
          <w:tcPr>
            <w:tcW w:w="321" w:type="pct"/>
            <w:shd w:val="clear" w:color="auto" w:fill="auto"/>
            <w:noWrap/>
            <w:vAlign w:val="center"/>
            <w:hideMark/>
          </w:tcPr>
          <w:p w14:paraId="12D6E77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59799132"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21,000</w:t>
            </w:r>
          </w:p>
        </w:tc>
        <w:tc>
          <w:tcPr>
            <w:tcW w:w="443" w:type="pct"/>
            <w:shd w:val="clear" w:color="auto" w:fill="auto"/>
            <w:noWrap/>
            <w:vAlign w:val="center"/>
            <w:hideMark/>
          </w:tcPr>
          <w:p w14:paraId="27C41F61"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1A996F89" w14:textId="77777777" w:rsidTr="004A3EAF">
        <w:trPr>
          <w:trHeight w:val="300"/>
        </w:trPr>
        <w:tc>
          <w:tcPr>
            <w:tcW w:w="1565" w:type="pct"/>
            <w:shd w:val="clear" w:color="000000" w:fill="C0E6F5"/>
            <w:vAlign w:val="center"/>
            <w:hideMark/>
          </w:tcPr>
          <w:p w14:paraId="27FED12D" w14:textId="77777777" w:rsidR="004A3EAF" w:rsidRPr="00004DA9" w:rsidRDefault="004A3EAF" w:rsidP="0067547D">
            <w:pPr>
              <w:spacing w:after="0" w:line="240" w:lineRule="auto"/>
              <w:rPr>
                <w:rFonts w:eastAsia="Times New Roman"/>
                <w:b/>
                <w:bCs/>
                <w:color w:val="000000"/>
                <w:sz w:val="14"/>
                <w:szCs w:val="14"/>
              </w:rPr>
            </w:pPr>
            <w:proofErr w:type="spellStart"/>
            <w:r w:rsidRPr="00004DA9">
              <w:rPr>
                <w:rFonts w:eastAsia="Times New Roman"/>
                <w:b/>
                <w:bCs/>
                <w:color w:val="000000"/>
                <w:sz w:val="14"/>
                <w:szCs w:val="14"/>
              </w:rPr>
              <w:t>Travel</w:t>
            </w:r>
            <w:proofErr w:type="spellEnd"/>
          </w:p>
        </w:tc>
        <w:tc>
          <w:tcPr>
            <w:tcW w:w="441" w:type="pct"/>
            <w:shd w:val="clear" w:color="000000" w:fill="C0E6F5"/>
            <w:vAlign w:val="center"/>
            <w:hideMark/>
          </w:tcPr>
          <w:p w14:paraId="75AB63FE"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606" w:type="pct"/>
            <w:shd w:val="clear" w:color="000000" w:fill="C0E6F5"/>
            <w:vAlign w:val="center"/>
            <w:hideMark/>
          </w:tcPr>
          <w:p w14:paraId="4B27ED66"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55CB5212"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74186B94"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23" w:type="pct"/>
            <w:shd w:val="clear" w:color="000000" w:fill="C0E6F5"/>
            <w:vAlign w:val="center"/>
            <w:hideMark/>
          </w:tcPr>
          <w:p w14:paraId="67E4144F"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321" w:type="pct"/>
            <w:shd w:val="clear" w:color="000000" w:fill="C0E6F5"/>
            <w:vAlign w:val="center"/>
            <w:hideMark/>
          </w:tcPr>
          <w:p w14:paraId="33EC0B2B"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354" w:type="pct"/>
            <w:shd w:val="clear" w:color="000000" w:fill="C0E6F5"/>
            <w:vAlign w:val="center"/>
            <w:hideMark/>
          </w:tcPr>
          <w:p w14:paraId="01753CC1"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c>
          <w:tcPr>
            <w:tcW w:w="443" w:type="pct"/>
            <w:shd w:val="clear" w:color="000000" w:fill="C0E6F5"/>
            <w:vAlign w:val="center"/>
            <w:hideMark/>
          </w:tcPr>
          <w:p w14:paraId="09A85A36" w14:textId="77777777" w:rsidR="004A3EAF" w:rsidRPr="00004DA9" w:rsidRDefault="004A3EAF" w:rsidP="0067547D">
            <w:pPr>
              <w:spacing w:after="0" w:line="240" w:lineRule="auto"/>
              <w:rPr>
                <w:rFonts w:eastAsia="Times New Roman"/>
                <w:b/>
                <w:bCs/>
                <w:color w:val="000000"/>
                <w:sz w:val="14"/>
                <w:szCs w:val="14"/>
              </w:rPr>
            </w:pPr>
            <w:r w:rsidRPr="00004DA9">
              <w:rPr>
                <w:rFonts w:eastAsia="Times New Roman"/>
                <w:b/>
                <w:bCs/>
                <w:color w:val="000000"/>
                <w:sz w:val="14"/>
                <w:szCs w:val="14"/>
              </w:rPr>
              <w:t> </w:t>
            </w:r>
          </w:p>
        </w:tc>
      </w:tr>
      <w:tr w:rsidR="004A3EAF" w:rsidRPr="00004DA9" w14:paraId="2C1CEE9F" w14:textId="77777777" w:rsidTr="004A3EAF">
        <w:trPr>
          <w:trHeight w:val="720"/>
        </w:trPr>
        <w:tc>
          <w:tcPr>
            <w:tcW w:w="1565" w:type="pct"/>
            <w:shd w:val="clear" w:color="auto" w:fill="auto"/>
            <w:vAlign w:val="center"/>
            <w:hideMark/>
          </w:tcPr>
          <w:p w14:paraId="0B58964E" w14:textId="77777777" w:rsidR="004A3EAF" w:rsidRPr="00F50786" w:rsidRDefault="004A3EAF" w:rsidP="0067547D">
            <w:pPr>
              <w:spacing w:after="0" w:line="240" w:lineRule="auto"/>
              <w:rPr>
                <w:rFonts w:eastAsia="Times New Roman"/>
                <w:color w:val="000000"/>
                <w:sz w:val="14"/>
                <w:szCs w:val="14"/>
                <w:lang w:val="en-US"/>
                <w:rPrChange w:id="296"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297" w:author="Ali Sambou" w:date="2026-01-06T13:25:00Z" w16du:dateUtc="2026-01-06T13:25:00Z">
                  <w:rPr>
                    <w:rFonts w:eastAsia="Times New Roman"/>
                    <w:color w:val="000000"/>
                    <w:sz w:val="14"/>
                    <w:szCs w:val="14"/>
                  </w:rPr>
                </w:rPrChange>
              </w:rPr>
              <w:t>Ticket costs (1500 usd x 3 persons) to participate to the conference (223 usd DSA Bamako x 4 nights x 3 persons) to be held in the 5th year of the project to share their experience in financing integrated urban developmen including $499 usd visa cost</w:t>
            </w:r>
          </w:p>
        </w:tc>
        <w:tc>
          <w:tcPr>
            <w:tcW w:w="441" w:type="pct"/>
            <w:shd w:val="clear" w:color="auto" w:fill="auto"/>
            <w:noWrap/>
            <w:vAlign w:val="center"/>
            <w:hideMark/>
          </w:tcPr>
          <w:p w14:paraId="608ADAA8"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7,675</w:t>
            </w:r>
          </w:p>
        </w:tc>
        <w:tc>
          <w:tcPr>
            <w:tcW w:w="606" w:type="pct"/>
            <w:shd w:val="clear" w:color="auto" w:fill="auto"/>
            <w:noWrap/>
            <w:vAlign w:val="center"/>
            <w:hideMark/>
          </w:tcPr>
          <w:p w14:paraId="49F33696"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281E8A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CC7A93C"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2B436B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46A3F51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1AFED27F"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7,675</w:t>
            </w:r>
          </w:p>
        </w:tc>
        <w:tc>
          <w:tcPr>
            <w:tcW w:w="443" w:type="pct"/>
            <w:shd w:val="clear" w:color="auto" w:fill="auto"/>
            <w:noWrap/>
            <w:vAlign w:val="center"/>
            <w:hideMark/>
          </w:tcPr>
          <w:p w14:paraId="3CDE02C4"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231FE1DC" w14:textId="77777777" w:rsidTr="004A3EAF">
        <w:trPr>
          <w:trHeight w:val="540"/>
        </w:trPr>
        <w:tc>
          <w:tcPr>
            <w:tcW w:w="1565" w:type="pct"/>
            <w:shd w:val="clear" w:color="auto" w:fill="auto"/>
            <w:vAlign w:val="center"/>
            <w:hideMark/>
          </w:tcPr>
          <w:p w14:paraId="6CFB264C" w14:textId="77777777" w:rsidR="004A3EAF" w:rsidRPr="00004DA9" w:rsidRDefault="004A3EAF" w:rsidP="0067547D">
            <w:pPr>
              <w:spacing w:after="0" w:line="240" w:lineRule="auto"/>
              <w:rPr>
                <w:rFonts w:eastAsia="Times New Roman"/>
                <w:color w:val="000000"/>
                <w:sz w:val="14"/>
                <w:szCs w:val="14"/>
              </w:rPr>
            </w:pPr>
            <w:r w:rsidRPr="00F50786">
              <w:rPr>
                <w:rFonts w:eastAsia="Times New Roman"/>
                <w:color w:val="000000"/>
                <w:sz w:val="14"/>
                <w:szCs w:val="14"/>
                <w:lang w:val="en-US"/>
                <w:rPrChange w:id="298" w:author="Ali Sambou" w:date="2026-01-06T13:25:00Z" w16du:dateUtc="2026-01-06T13:25:00Z">
                  <w:rPr>
                    <w:rFonts w:eastAsia="Times New Roman"/>
                    <w:color w:val="000000"/>
                    <w:sz w:val="14"/>
                    <w:szCs w:val="14"/>
                  </w:rPr>
                </w:rPrChange>
              </w:rPr>
              <w:t xml:space="preserve">Cost of travel for the study tour destination will be identified by the consultancy firm during the implementation of the national and territorial capacity-building plan on integrated urban planning. </w:t>
            </w:r>
            <w:r w:rsidRPr="00004DA9">
              <w:rPr>
                <w:rFonts w:eastAsia="Times New Roman"/>
                <w:color w:val="000000"/>
                <w:sz w:val="14"/>
                <w:szCs w:val="14"/>
              </w:rPr>
              <w:t>800$* 5 + 2000$*5</w:t>
            </w:r>
          </w:p>
        </w:tc>
        <w:tc>
          <w:tcPr>
            <w:tcW w:w="441" w:type="pct"/>
            <w:shd w:val="clear" w:color="auto" w:fill="auto"/>
            <w:noWrap/>
            <w:vAlign w:val="center"/>
            <w:hideMark/>
          </w:tcPr>
          <w:p w14:paraId="79F917F5"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14,000</w:t>
            </w:r>
          </w:p>
        </w:tc>
        <w:tc>
          <w:tcPr>
            <w:tcW w:w="606" w:type="pct"/>
            <w:shd w:val="clear" w:color="auto" w:fill="auto"/>
            <w:noWrap/>
            <w:vAlign w:val="center"/>
            <w:hideMark/>
          </w:tcPr>
          <w:p w14:paraId="6419170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19444B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201D525D"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FED758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73C1A6C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67284D73"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14,000</w:t>
            </w:r>
          </w:p>
        </w:tc>
        <w:tc>
          <w:tcPr>
            <w:tcW w:w="443" w:type="pct"/>
            <w:shd w:val="clear" w:color="auto" w:fill="auto"/>
            <w:noWrap/>
            <w:vAlign w:val="center"/>
            <w:hideMark/>
          </w:tcPr>
          <w:p w14:paraId="10302C4B"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2B3193D4" w14:textId="77777777" w:rsidTr="004A3EAF">
        <w:trPr>
          <w:trHeight w:val="360"/>
        </w:trPr>
        <w:tc>
          <w:tcPr>
            <w:tcW w:w="1565" w:type="pct"/>
            <w:shd w:val="clear" w:color="auto" w:fill="auto"/>
            <w:vAlign w:val="center"/>
            <w:hideMark/>
          </w:tcPr>
          <w:p w14:paraId="192879A2" w14:textId="77777777" w:rsidR="004A3EAF" w:rsidRPr="00F50786" w:rsidRDefault="004A3EAF" w:rsidP="0067547D">
            <w:pPr>
              <w:spacing w:after="0" w:line="240" w:lineRule="auto"/>
              <w:rPr>
                <w:rFonts w:eastAsia="Times New Roman"/>
                <w:color w:val="000000"/>
                <w:sz w:val="14"/>
                <w:szCs w:val="14"/>
                <w:lang w:val="en-US"/>
                <w:rPrChange w:id="299"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300" w:author="Ali Sambou" w:date="2026-01-06T13:25:00Z" w16du:dateUtc="2026-01-06T13:25:00Z">
                  <w:rPr>
                    <w:rFonts w:eastAsia="Times New Roman"/>
                    <w:color w:val="000000"/>
                    <w:sz w:val="14"/>
                    <w:szCs w:val="14"/>
                  </w:rPr>
                </w:rPrChange>
              </w:rPr>
              <w:t xml:space="preserve">Cost of travel for mission for </w:t>
            </w:r>
            <w:proofErr w:type="gramStart"/>
            <w:r w:rsidRPr="00F50786">
              <w:rPr>
                <w:rFonts w:eastAsia="Times New Roman"/>
                <w:color w:val="000000"/>
                <w:sz w:val="14"/>
                <w:szCs w:val="14"/>
                <w:lang w:val="en-US"/>
                <w:rPrChange w:id="301" w:author="Ali Sambou" w:date="2026-01-06T13:25:00Z" w16du:dateUtc="2026-01-06T13:25:00Z">
                  <w:rPr>
                    <w:rFonts w:eastAsia="Times New Roman"/>
                    <w:color w:val="000000"/>
                    <w:sz w:val="14"/>
                    <w:szCs w:val="14"/>
                  </w:rPr>
                </w:rPrChange>
              </w:rPr>
              <w:t>NDUPH  to</w:t>
            </w:r>
            <w:proofErr w:type="gramEnd"/>
            <w:r w:rsidRPr="00F50786">
              <w:rPr>
                <w:rFonts w:eastAsia="Times New Roman"/>
                <w:color w:val="000000"/>
                <w:sz w:val="14"/>
                <w:szCs w:val="14"/>
                <w:lang w:val="en-US"/>
                <w:rPrChange w:id="302" w:author="Ali Sambou" w:date="2026-01-06T13:25:00Z" w16du:dateUtc="2026-01-06T13:25:00Z">
                  <w:rPr>
                    <w:rFonts w:eastAsia="Times New Roman"/>
                    <w:color w:val="000000"/>
                    <w:sz w:val="14"/>
                    <w:szCs w:val="14"/>
                  </w:rPr>
                </w:rPrChange>
              </w:rPr>
              <w:t xml:space="preserve"> operationalize the easement and building permit (DSA 223$ Bamako x3 nights x10 people) x 3 years</w:t>
            </w:r>
          </w:p>
        </w:tc>
        <w:tc>
          <w:tcPr>
            <w:tcW w:w="441" w:type="pct"/>
            <w:shd w:val="clear" w:color="auto" w:fill="auto"/>
            <w:noWrap/>
            <w:vAlign w:val="center"/>
            <w:hideMark/>
          </w:tcPr>
          <w:p w14:paraId="40CF04FB"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20,070</w:t>
            </w:r>
          </w:p>
        </w:tc>
        <w:tc>
          <w:tcPr>
            <w:tcW w:w="606" w:type="pct"/>
            <w:shd w:val="clear" w:color="auto" w:fill="auto"/>
            <w:noWrap/>
            <w:vAlign w:val="center"/>
            <w:hideMark/>
          </w:tcPr>
          <w:p w14:paraId="60FEF5D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029043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09412D7"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BA39FE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0F3ABDBC"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5B8D9416"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20,070</w:t>
            </w:r>
          </w:p>
        </w:tc>
        <w:tc>
          <w:tcPr>
            <w:tcW w:w="443" w:type="pct"/>
            <w:shd w:val="clear" w:color="auto" w:fill="auto"/>
            <w:noWrap/>
            <w:vAlign w:val="center"/>
            <w:hideMark/>
          </w:tcPr>
          <w:p w14:paraId="6176F212"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0D818A14" w14:textId="77777777" w:rsidTr="004A3EAF">
        <w:trPr>
          <w:trHeight w:val="1080"/>
        </w:trPr>
        <w:tc>
          <w:tcPr>
            <w:tcW w:w="1565" w:type="pct"/>
            <w:shd w:val="clear" w:color="auto" w:fill="auto"/>
            <w:vAlign w:val="center"/>
            <w:hideMark/>
          </w:tcPr>
          <w:p w14:paraId="2800E616" w14:textId="77777777" w:rsidR="004A3EAF" w:rsidRPr="00F50786" w:rsidRDefault="004A3EAF" w:rsidP="0067547D">
            <w:pPr>
              <w:spacing w:after="0" w:line="240" w:lineRule="auto"/>
              <w:rPr>
                <w:rFonts w:eastAsia="Times New Roman"/>
                <w:color w:val="000000"/>
                <w:sz w:val="14"/>
                <w:szCs w:val="14"/>
                <w:lang w:val="en-US"/>
                <w:rPrChange w:id="303"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304" w:author="Ali Sambou" w:date="2026-01-06T13:25:00Z" w16du:dateUtc="2026-01-06T13:25:00Z">
                  <w:rPr>
                    <w:rFonts w:eastAsia="Times New Roman"/>
                    <w:color w:val="000000"/>
                    <w:sz w:val="14"/>
                    <w:szCs w:val="14"/>
                  </w:rPr>
                </w:rPrChange>
              </w:rPr>
              <w:t xml:space="preserve">Cost of travel for the study tour in one of the Ouest African or northern African cities on eradicating slum and financing urban </w:t>
            </w:r>
            <w:proofErr w:type="gramStart"/>
            <w:r w:rsidRPr="00F50786">
              <w:rPr>
                <w:rFonts w:eastAsia="Times New Roman"/>
                <w:color w:val="000000"/>
                <w:sz w:val="14"/>
                <w:szCs w:val="14"/>
                <w:lang w:val="en-US"/>
                <w:rPrChange w:id="305" w:author="Ali Sambou" w:date="2026-01-06T13:25:00Z" w16du:dateUtc="2026-01-06T13:25:00Z">
                  <w:rPr>
                    <w:rFonts w:eastAsia="Times New Roman"/>
                    <w:color w:val="000000"/>
                    <w:sz w:val="14"/>
                    <w:szCs w:val="14"/>
                  </w:rPr>
                </w:rPrChange>
              </w:rPr>
              <w:t>planning  800</w:t>
            </w:r>
            <w:proofErr w:type="gramEnd"/>
            <w:r w:rsidRPr="00F50786">
              <w:rPr>
                <w:rFonts w:eastAsia="Times New Roman"/>
                <w:color w:val="000000"/>
                <w:sz w:val="14"/>
                <w:szCs w:val="14"/>
                <w:lang w:val="en-US"/>
                <w:rPrChange w:id="306" w:author="Ali Sambou" w:date="2026-01-06T13:25:00Z" w16du:dateUtc="2026-01-06T13:25:00Z">
                  <w:rPr>
                    <w:rFonts w:eastAsia="Times New Roman"/>
                    <w:color w:val="000000"/>
                    <w:sz w:val="14"/>
                    <w:szCs w:val="14"/>
                  </w:rPr>
                </w:rPrChange>
              </w:rPr>
              <w:t xml:space="preserve"> * 3 + $2000 *3 = $8400 + 1600usd frais divers (visa, etc) (this study tour will be organized in the framework of the activity Elaboration of an integrated program for urban regeneration and development of eco-neighborhoods in Greater Bamako)</w:t>
            </w:r>
          </w:p>
        </w:tc>
        <w:tc>
          <w:tcPr>
            <w:tcW w:w="441" w:type="pct"/>
            <w:shd w:val="clear" w:color="auto" w:fill="auto"/>
            <w:noWrap/>
            <w:vAlign w:val="center"/>
            <w:hideMark/>
          </w:tcPr>
          <w:p w14:paraId="4587AB11"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10,000</w:t>
            </w:r>
          </w:p>
        </w:tc>
        <w:tc>
          <w:tcPr>
            <w:tcW w:w="606" w:type="pct"/>
            <w:shd w:val="clear" w:color="auto" w:fill="auto"/>
            <w:noWrap/>
            <w:vAlign w:val="center"/>
            <w:hideMark/>
          </w:tcPr>
          <w:p w14:paraId="00BA733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0BE19AE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9007F09"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3166FEC"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1ED08541"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4094E442"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10,000</w:t>
            </w:r>
          </w:p>
        </w:tc>
        <w:tc>
          <w:tcPr>
            <w:tcW w:w="443" w:type="pct"/>
            <w:shd w:val="clear" w:color="auto" w:fill="auto"/>
            <w:noWrap/>
            <w:vAlign w:val="center"/>
            <w:hideMark/>
          </w:tcPr>
          <w:p w14:paraId="2B05830E"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74455691" w14:textId="77777777" w:rsidTr="004A3EAF">
        <w:trPr>
          <w:trHeight w:val="540"/>
        </w:trPr>
        <w:tc>
          <w:tcPr>
            <w:tcW w:w="1565" w:type="pct"/>
            <w:shd w:val="clear" w:color="auto" w:fill="auto"/>
            <w:vAlign w:val="center"/>
            <w:hideMark/>
          </w:tcPr>
          <w:p w14:paraId="3D9ADA83" w14:textId="77777777" w:rsidR="004A3EAF" w:rsidRPr="00F50786" w:rsidRDefault="004A3EAF" w:rsidP="0067547D">
            <w:pPr>
              <w:spacing w:after="0" w:line="240" w:lineRule="auto"/>
              <w:rPr>
                <w:rFonts w:eastAsia="Times New Roman"/>
                <w:color w:val="000000"/>
                <w:sz w:val="14"/>
                <w:szCs w:val="14"/>
                <w:lang w:val="en-US"/>
                <w:rPrChange w:id="307"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308" w:author="Ali Sambou" w:date="2026-01-06T13:25:00Z" w16du:dateUtc="2026-01-06T13:25:00Z">
                  <w:rPr>
                    <w:rFonts w:eastAsia="Times New Roman"/>
                    <w:color w:val="000000"/>
                    <w:sz w:val="14"/>
                    <w:szCs w:val="14"/>
                  </w:rPr>
                </w:rPrChange>
              </w:rPr>
              <w:t>Exchange mission costs with the global programme for sustainable cities (ticket $1500 + 4 nights x 300 DSA x 10 pax$27000) and $1500 cost visa etc…</w:t>
            </w:r>
          </w:p>
        </w:tc>
        <w:tc>
          <w:tcPr>
            <w:tcW w:w="441" w:type="pct"/>
            <w:shd w:val="clear" w:color="auto" w:fill="auto"/>
            <w:noWrap/>
            <w:vAlign w:val="center"/>
            <w:hideMark/>
          </w:tcPr>
          <w:p w14:paraId="78BDA4BC" w14:textId="77777777" w:rsidR="004A3EAF" w:rsidRPr="00004DA9" w:rsidRDefault="004A3EAF" w:rsidP="0067547D">
            <w:pPr>
              <w:spacing w:after="0" w:line="240" w:lineRule="auto"/>
              <w:rPr>
                <w:rFonts w:eastAsia="Times New Roman"/>
                <w:color w:val="000000"/>
                <w:sz w:val="14"/>
                <w:szCs w:val="14"/>
              </w:rPr>
            </w:pPr>
            <w:r w:rsidRPr="00F50786">
              <w:rPr>
                <w:rFonts w:eastAsia="Times New Roman"/>
                <w:color w:val="000000"/>
                <w:sz w:val="14"/>
                <w:szCs w:val="14"/>
                <w:lang w:val="en-US"/>
                <w:rPrChange w:id="309" w:author="Ali Sambou" w:date="2026-01-06T13:25:00Z" w16du:dateUtc="2026-01-06T13:25:00Z">
                  <w:rPr>
                    <w:rFonts w:eastAsia="Times New Roman"/>
                    <w:color w:val="000000"/>
                    <w:sz w:val="14"/>
                    <w:szCs w:val="14"/>
                  </w:rPr>
                </w:rPrChange>
              </w:rPr>
              <w:t xml:space="preserve">                  </w:t>
            </w:r>
            <w:r w:rsidRPr="00004DA9">
              <w:rPr>
                <w:rFonts w:eastAsia="Times New Roman"/>
                <w:color w:val="000000"/>
                <w:sz w:val="14"/>
                <w:szCs w:val="14"/>
              </w:rPr>
              <w:t xml:space="preserve">-   </w:t>
            </w:r>
          </w:p>
        </w:tc>
        <w:tc>
          <w:tcPr>
            <w:tcW w:w="606" w:type="pct"/>
            <w:shd w:val="clear" w:color="auto" w:fill="auto"/>
            <w:noWrap/>
            <w:vAlign w:val="center"/>
            <w:hideMark/>
          </w:tcPr>
          <w:p w14:paraId="1E65B5A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EF5F31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7C7AF6F7"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28,500</w:t>
            </w:r>
          </w:p>
        </w:tc>
        <w:tc>
          <w:tcPr>
            <w:tcW w:w="423" w:type="pct"/>
            <w:shd w:val="clear" w:color="auto" w:fill="auto"/>
            <w:noWrap/>
            <w:vAlign w:val="center"/>
            <w:hideMark/>
          </w:tcPr>
          <w:p w14:paraId="1461647C"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77589B2C"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1D45D4AF"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28,500</w:t>
            </w:r>
          </w:p>
        </w:tc>
        <w:tc>
          <w:tcPr>
            <w:tcW w:w="443" w:type="pct"/>
            <w:shd w:val="clear" w:color="auto" w:fill="auto"/>
            <w:noWrap/>
            <w:vAlign w:val="center"/>
            <w:hideMark/>
          </w:tcPr>
          <w:p w14:paraId="1AFCEE0E"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3BA5027D" w14:textId="77777777" w:rsidTr="004A3EAF">
        <w:trPr>
          <w:trHeight w:val="540"/>
        </w:trPr>
        <w:tc>
          <w:tcPr>
            <w:tcW w:w="1565" w:type="pct"/>
            <w:shd w:val="clear" w:color="auto" w:fill="auto"/>
            <w:vAlign w:val="center"/>
            <w:hideMark/>
          </w:tcPr>
          <w:p w14:paraId="2316DD75" w14:textId="77777777" w:rsidR="004A3EAF" w:rsidRPr="00F50786" w:rsidRDefault="004A3EAF" w:rsidP="0067547D">
            <w:pPr>
              <w:spacing w:after="0" w:line="240" w:lineRule="auto"/>
              <w:rPr>
                <w:rFonts w:eastAsia="Times New Roman"/>
                <w:color w:val="000000"/>
                <w:sz w:val="14"/>
                <w:szCs w:val="14"/>
                <w:lang w:val="en-US"/>
                <w:rPrChange w:id="310"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311" w:author="Ali Sambou" w:date="2026-01-06T13:25:00Z" w16du:dateUtc="2026-01-06T13:25:00Z">
                  <w:rPr>
                    <w:rFonts w:eastAsia="Times New Roman"/>
                    <w:color w:val="000000"/>
                    <w:sz w:val="14"/>
                    <w:szCs w:val="14"/>
                  </w:rPr>
                </w:rPrChange>
              </w:rPr>
              <w:t xml:space="preserve">Travel cost for 2 guests who will present their experience in the framework of the international workshop to be </w:t>
            </w:r>
            <w:proofErr w:type="gramStart"/>
            <w:r w:rsidRPr="00F50786">
              <w:rPr>
                <w:rFonts w:eastAsia="Times New Roman"/>
                <w:color w:val="000000"/>
                <w:sz w:val="14"/>
                <w:szCs w:val="14"/>
                <w:lang w:val="en-US"/>
                <w:rPrChange w:id="312" w:author="Ali Sambou" w:date="2026-01-06T13:25:00Z" w16du:dateUtc="2026-01-06T13:25:00Z">
                  <w:rPr>
                    <w:rFonts w:eastAsia="Times New Roman"/>
                    <w:color w:val="000000"/>
                    <w:sz w:val="14"/>
                    <w:szCs w:val="14"/>
                  </w:rPr>
                </w:rPrChange>
              </w:rPr>
              <w:t>organized  in</w:t>
            </w:r>
            <w:proofErr w:type="gramEnd"/>
            <w:r w:rsidRPr="00F50786">
              <w:rPr>
                <w:rFonts w:eastAsia="Times New Roman"/>
                <w:color w:val="000000"/>
                <w:sz w:val="14"/>
                <w:szCs w:val="14"/>
                <w:lang w:val="en-US"/>
                <w:rPrChange w:id="313" w:author="Ali Sambou" w:date="2026-01-06T13:25:00Z" w16du:dateUtc="2026-01-06T13:25:00Z">
                  <w:rPr>
                    <w:rFonts w:eastAsia="Times New Roman"/>
                    <w:color w:val="000000"/>
                    <w:sz w:val="14"/>
                    <w:szCs w:val="14"/>
                  </w:rPr>
                </w:rPrChange>
              </w:rPr>
              <w:t xml:space="preserve"> the year 4 (cost 2 x 800$ air ticket + 2 guests * 223 $ * 3 nights DSA Bamako)</w:t>
            </w:r>
          </w:p>
        </w:tc>
        <w:tc>
          <w:tcPr>
            <w:tcW w:w="441" w:type="pct"/>
            <w:shd w:val="clear" w:color="auto" w:fill="auto"/>
            <w:noWrap/>
            <w:vAlign w:val="center"/>
            <w:hideMark/>
          </w:tcPr>
          <w:p w14:paraId="3F3A90D2" w14:textId="77777777" w:rsidR="004A3EAF" w:rsidRPr="00F50786" w:rsidRDefault="004A3EAF" w:rsidP="0067547D">
            <w:pPr>
              <w:spacing w:after="0" w:line="240" w:lineRule="auto"/>
              <w:rPr>
                <w:rFonts w:eastAsia="Times New Roman"/>
                <w:color w:val="000000"/>
                <w:sz w:val="14"/>
                <w:szCs w:val="14"/>
                <w:lang w:val="en-US"/>
                <w:rPrChange w:id="314"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315"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44D28E6C"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2,938</w:t>
            </w:r>
          </w:p>
        </w:tc>
        <w:tc>
          <w:tcPr>
            <w:tcW w:w="423" w:type="pct"/>
            <w:shd w:val="clear" w:color="auto" w:fill="auto"/>
            <w:noWrap/>
            <w:vAlign w:val="center"/>
            <w:hideMark/>
          </w:tcPr>
          <w:p w14:paraId="5CAE9FAC"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32306C8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06C0C8EC"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2CE8B09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75CB8D29"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2,938</w:t>
            </w:r>
          </w:p>
        </w:tc>
        <w:tc>
          <w:tcPr>
            <w:tcW w:w="443" w:type="pct"/>
            <w:shd w:val="clear" w:color="auto" w:fill="auto"/>
            <w:noWrap/>
            <w:vAlign w:val="center"/>
            <w:hideMark/>
          </w:tcPr>
          <w:p w14:paraId="1CF344D9"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081FCCCC" w14:textId="77777777" w:rsidTr="004A3EAF">
        <w:trPr>
          <w:trHeight w:val="540"/>
        </w:trPr>
        <w:tc>
          <w:tcPr>
            <w:tcW w:w="1565" w:type="pct"/>
            <w:shd w:val="clear" w:color="auto" w:fill="auto"/>
            <w:vAlign w:val="center"/>
            <w:hideMark/>
          </w:tcPr>
          <w:p w14:paraId="445D3E17" w14:textId="77777777" w:rsidR="004A3EAF" w:rsidRPr="00F50786" w:rsidRDefault="004A3EAF" w:rsidP="0067547D">
            <w:pPr>
              <w:spacing w:after="0" w:line="240" w:lineRule="auto"/>
              <w:rPr>
                <w:rFonts w:eastAsia="Times New Roman"/>
                <w:color w:val="000000"/>
                <w:sz w:val="14"/>
                <w:szCs w:val="14"/>
                <w:lang w:val="en-US"/>
                <w:rPrChange w:id="316"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317" w:author="Ali Sambou" w:date="2026-01-06T13:25:00Z" w16du:dateUtc="2026-01-06T13:25:00Z">
                  <w:rPr>
                    <w:rFonts w:eastAsia="Times New Roman"/>
                    <w:color w:val="000000"/>
                    <w:sz w:val="14"/>
                    <w:szCs w:val="14"/>
                  </w:rPr>
                </w:rPrChange>
              </w:rPr>
              <w:t>Travel cost for 2 persons from transport directorate (DGT) for international conferences 2 participants * 1000$ air ticket + 2 participants x 300$ x 4 nights DSA</w:t>
            </w:r>
          </w:p>
        </w:tc>
        <w:tc>
          <w:tcPr>
            <w:tcW w:w="441" w:type="pct"/>
            <w:shd w:val="clear" w:color="auto" w:fill="auto"/>
            <w:noWrap/>
            <w:vAlign w:val="center"/>
            <w:hideMark/>
          </w:tcPr>
          <w:p w14:paraId="4823D98A" w14:textId="77777777" w:rsidR="004A3EAF" w:rsidRPr="00F50786" w:rsidRDefault="004A3EAF" w:rsidP="0067547D">
            <w:pPr>
              <w:spacing w:after="0" w:line="240" w:lineRule="auto"/>
              <w:rPr>
                <w:rFonts w:eastAsia="Times New Roman"/>
                <w:color w:val="000000"/>
                <w:sz w:val="14"/>
                <w:szCs w:val="14"/>
                <w:lang w:val="en-US"/>
                <w:rPrChange w:id="318"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319"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225D4D2A"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4,400</w:t>
            </w:r>
          </w:p>
        </w:tc>
        <w:tc>
          <w:tcPr>
            <w:tcW w:w="423" w:type="pct"/>
            <w:shd w:val="clear" w:color="auto" w:fill="auto"/>
            <w:noWrap/>
            <w:vAlign w:val="center"/>
            <w:hideMark/>
          </w:tcPr>
          <w:p w14:paraId="7066096A"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5841A7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07F779D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3C09A1D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5893920C"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4,400</w:t>
            </w:r>
          </w:p>
        </w:tc>
        <w:tc>
          <w:tcPr>
            <w:tcW w:w="443" w:type="pct"/>
            <w:shd w:val="clear" w:color="auto" w:fill="auto"/>
            <w:noWrap/>
            <w:vAlign w:val="center"/>
            <w:hideMark/>
          </w:tcPr>
          <w:p w14:paraId="3056AC61"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58B140BE" w14:textId="77777777" w:rsidTr="004A3EAF">
        <w:trPr>
          <w:trHeight w:val="540"/>
        </w:trPr>
        <w:tc>
          <w:tcPr>
            <w:tcW w:w="1565" w:type="pct"/>
            <w:shd w:val="clear" w:color="auto" w:fill="auto"/>
            <w:vAlign w:val="center"/>
            <w:hideMark/>
          </w:tcPr>
          <w:p w14:paraId="4700737E" w14:textId="77777777" w:rsidR="004A3EAF" w:rsidRPr="00F50786" w:rsidRDefault="004A3EAF" w:rsidP="0067547D">
            <w:pPr>
              <w:spacing w:after="0" w:line="240" w:lineRule="auto"/>
              <w:rPr>
                <w:rFonts w:eastAsia="Times New Roman"/>
                <w:color w:val="000000"/>
                <w:sz w:val="14"/>
                <w:szCs w:val="14"/>
                <w:lang w:val="en-US"/>
                <w:rPrChange w:id="320"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321" w:author="Ali Sambou" w:date="2026-01-06T13:25:00Z" w16du:dateUtc="2026-01-06T13:25:00Z">
                  <w:rPr>
                    <w:rFonts w:eastAsia="Times New Roman"/>
                    <w:color w:val="000000"/>
                    <w:sz w:val="14"/>
                    <w:szCs w:val="14"/>
                  </w:rPr>
                </w:rPrChange>
              </w:rPr>
              <w:t>Travel expenses for GDWF to carry out Activity 3.1.3.3: 4 staff x $223 (DSA Bamako) x 9 nights; Travel for 2 for COP BD (300$ x 4 nights + 1000 $ air ticket+ 300$ visa cost) x 2 participants</w:t>
            </w:r>
          </w:p>
        </w:tc>
        <w:tc>
          <w:tcPr>
            <w:tcW w:w="441" w:type="pct"/>
            <w:shd w:val="clear" w:color="auto" w:fill="auto"/>
            <w:noWrap/>
            <w:vAlign w:val="center"/>
            <w:hideMark/>
          </w:tcPr>
          <w:p w14:paraId="775B8A41" w14:textId="77777777" w:rsidR="004A3EAF" w:rsidRPr="00004DA9" w:rsidRDefault="004A3EAF" w:rsidP="0067547D">
            <w:pPr>
              <w:spacing w:after="0" w:line="240" w:lineRule="auto"/>
              <w:rPr>
                <w:rFonts w:eastAsia="Times New Roman"/>
                <w:color w:val="000000"/>
                <w:sz w:val="14"/>
                <w:szCs w:val="14"/>
              </w:rPr>
            </w:pPr>
            <w:r w:rsidRPr="00F50786">
              <w:rPr>
                <w:rFonts w:eastAsia="Times New Roman"/>
                <w:color w:val="000000"/>
                <w:sz w:val="14"/>
                <w:szCs w:val="14"/>
                <w:lang w:val="en-US"/>
                <w:rPrChange w:id="322" w:author="Ali Sambou" w:date="2026-01-06T13:25:00Z" w16du:dateUtc="2026-01-06T13:25:00Z">
                  <w:rPr>
                    <w:rFonts w:eastAsia="Times New Roman"/>
                    <w:color w:val="000000"/>
                    <w:sz w:val="14"/>
                    <w:szCs w:val="14"/>
                  </w:rPr>
                </w:rPrChange>
              </w:rPr>
              <w:t xml:space="preserve">                  </w:t>
            </w:r>
            <w:r w:rsidRPr="00004DA9">
              <w:rPr>
                <w:rFonts w:eastAsia="Times New Roman"/>
                <w:color w:val="000000"/>
                <w:sz w:val="14"/>
                <w:szCs w:val="14"/>
              </w:rPr>
              <w:t xml:space="preserve">-   </w:t>
            </w:r>
          </w:p>
        </w:tc>
        <w:tc>
          <w:tcPr>
            <w:tcW w:w="606" w:type="pct"/>
            <w:shd w:val="clear" w:color="auto" w:fill="auto"/>
            <w:noWrap/>
            <w:vAlign w:val="center"/>
            <w:hideMark/>
          </w:tcPr>
          <w:p w14:paraId="0DD3C585"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104D33FF"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13,028</w:t>
            </w:r>
          </w:p>
        </w:tc>
        <w:tc>
          <w:tcPr>
            <w:tcW w:w="423" w:type="pct"/>
            <w:shd w:val="clear" w:color="auto" w:fill="auto"/>
            <w:noWrap/>
            <w:vAlign w:val="center"/>
            <w:hideMark/>
          </w:tcPr>
          <w:p w14:paraId="7CD06558"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61CCEB82"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21" w:type="pct"/>
            <w:shd w:val="clear" w:color="auto" w:fill="auto"/>
            <w:noWrap/>
            <w:vAlign w:val="center"/>
            <w:hideMark/>
          </w:tcPr>
          <w:p w14:paraId="0D73D4E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2FBAC934"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13,028</w:t>
            </w:r>
          </w:p>
        </w:tc>
        <w:tc>
          <w:tcPr>
            <w:tcW w:w="443" w:type="pct"/>
            <w:shd w:val="clear" w:color="auto" w:fill="auto"/>
            <w:noWrap/>
            <w:vAlign w:val="center"/>
            <w:hideMark/>
          </w:tcPr>
          <w:p w14:paraId="2BC5A755"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0E5D623B" w14:textId="77777777" w:rsidTr="004A3EAF">
        <w:trPr>
          <w:trHeight w:val="300"/>
        </w:trPr>
        <w:tc>
          <w:tcPr>
            <w:tcW w:w="1565" w:type="pct"/>
            <w:shd w:val="clear" w:color="auto" w:fill="auto"/>
            <w:vAlign w:val="center"/>
            <w:hideMark/>
          </w:tcPr>
          <w:p w14:paraId="230DA333" w14:textId="77777777" w:rsidR="004A3EAF" w:rsidRPr="00F50786" w:rsidRDefault="004A3EAF" w:rsidP="0067547D">
            <w:pPr>
              <w:spacing w:after="0" w:line="240" w:lineRule="auto"/>
              <w:rPr>
                <w:rFonts w:eastAsia="Times New Roman"/>
                <w:color w:val="000000"/>
                <w:sz w:val="14"/>
                <w:szCs w:val="14"/>
                <w:lang w:val="en-US"/>
                <w:rPrChange w:id="323"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324" w:author="Ali Sambou" w:date="2026-01-06T13:25:00Z" w16du:dateUtc="2026-01-06T13:25:00Z">
                  <w:rPr>
                    <w:rFonts w:eastAsia="Times New Roman"/>
                    <w:color w:val="000000"/>
                    <w:sz w:val="14"/>
                    <w:szCs w:val="14"/>
                  </w:rPr>
                </w:rPrChange>
              </w:rPr>
              <w:t>Travel expenses for supervision missions (1000$ x 5 years)</w:t>
            </w:r>
          </w:p>
        </w:tc>
        <w:tc>
          <w:tcPr>
            <w:tcW w:w="441" w:type="pct"/>
            <w:shd w:val="clear" w:color="auto" w:fill="auto"/>
            <w:noWrap/>
            <w:vAlign w:val="center"/>
            <w:hideMark/>
          </w:tcPr>
          <w:p w14:paraId="5D3A9DC3" w14:textId="77777777" w:rsidR="004A3EAF" w:rsidRPr="00004DA9" w:rsidRDefault="004A3EAF" w:rsidP="0067547D">
            <w:pPr>
              <w:spacing w:after="0" w:line="240" w:lineRule="auto"/>
              <w:rPr>
                <w:rFonts w:eastAsia="Times New Roman"/>
                <w:color w:val="000000"/>
                <w:sz w:val="14"/>
                <w:szCs w:val="14"/>
              </w:rPr>
            </w:pPr>
            <w:r w:rsidRPr="00F50786">
              <w:rPr>
                <w:rFonts w:eastAsia="Times New Roman"/>
                <w:color w:val="000000"/>
                <w:sz w:val="14"/>
                <w:szCs w:val="14"/>
                <w:lang w:val="en-US"/>
                <w:rPrChange w:id="325" w:author="Ali Sambou" w:date="2026-01-06T13:25:00Z" w16du:dateUtc="2026-01-06T13:25:00Z">
                  <w:rPr>
                    <w:rFonts w:eastAsia="Times New Roman"/>
                    <w:color w:val="000000"/>
                    <w:sz w:val="14"/>
                    <w:szCs w:val="14"/>
                  </w:rPr>
                </w:rPrChange>
              </w:rPr>
              <w:t xml:space="preserve">                  </w:t>
            </w:r>
            <w:r w:rsidRPr="00004DA9">
              <w:rPr>
                <w:rFonts w:eastAsia="Times New Roman"/>
                <w:color w:val="000000"/>
                <w:sz w:val="14"/>
                <w:szCs w:val="14"/>
              </w:rPr>
              <w:t xml:space="preserve">-   </w:t>
            </w:r>
          </w:p>
        </w:tc>
        <w:tc>
          <w:tcPr>
            <w:tcW w:w="606" w:type="pct"/>
            <w:shd w:val="clear" w:color="auto" w:fill="auto"/>
            <w:noWrap/>
            <w:vAlign w:val="center"/>
            <w:hideMark/>
          </w:tcPr>
          <w:p w14:paraId="2CC3318F"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7510E1E"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B97869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423" w:type="pct"/>
            <w:shd w:val="clear" w:color="auto" w:fill="auto"/>
            <w:noWrap/>
            <w:vAlign w:val="center"/>
            <w:hideMark/>
          </w:tcPr>
          <w:p w14:paraId="5F123134"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5,000</w:t>
            </w:r>
          </w:p>
        </w:tc>
        <w:tc>
          <w:tcPr>
            <w:tcW w:w="321" w:type="pct"/>
            <w:shd w:val="clear" w:color="auto" w:fill="auto"/>
            <w:noWrap/>
            <w:vAlign w:val="center"/>
            <w:hideMark/>
          </w:tcPr>
          <w:p w14:paraId="57F69180"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2938ADC6"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5,000</w:t>
            </w:r>
          </w:p>
        </w:tc>
        <w:tc>
          <w:tcPr>
            <w:tcW w:w="443" w:type="pct"/>
            <w:shd w:val="clear" w:color="auto" w:fill="auto"/>
            <w:noWrap/>
            <w:vAlign w:val="center"/>
            <w:hideMark/>
          </w:tcPr>
          <w:p w14:paraId="7E6F4956"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7AA23EE2" w14:textId="77777777" w:rsidTr="004A3EAF">
        <w:trPr>
          <w:trHeight w:val="300"/>
        </w:trPr>
        <w:tc>
          <w:tcPr>
            <w:tcW w:w="1565" w:type="pct"/>
            <w:shd w:val="clear" w:color="auto" w:fill="auto"/>
            <w:vAlign w:val="center"/>
            <w:hideMark/>
          </w:tcPr>
          <w:p w14:paraId="2F8E19D2" w14:textId="77777777" w:rsidR="004A3EAF" w:rsidRPr="00F50786" w:rsidRDefault="004A3EAF" w:rsidP="0067547D">
            <w:pPr>
              <w:spacing w:after="0" w:line="240" w:lineRule="auto"/>
              <w:rPr>
                <w:rFonts w:eastAsia="Times New Roman"/>
                <w:color w:val="000000"/>
                <w:sz w:val="14"/>
                <w:szCs w:val="14"/>
                <w:lang w:val="en-US"/>
                <w:rPrChange w:id="326"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327" w:author="Ali Sambou" w:date="2026-01-06T13:25:00Z" w16du:dateUtc="2026-01-06T13:25:00Z">
                  <w:rPr>
                    <w:rFonts w:eastAsia="Times New Roman"/>
                    <w:color w:val="000000"/>
                    <w:sz w:val="14"/>
                    <w:szCs w:val="14"/>
                  </w:rPr>
                </w:rPrChange>
              </w:rPr>
              <w:t>Travel cost for MTR 1108$ air ticket + 223 $ DSA Bamako x 4 nights</w:t>
            </w:r>
          </w:p>
        </w:tc>
        <w:tc>
          <w:tcPr>
            <w:tcW w:w="441" w:type="pct"/>
            <w:shd w:val="clear" w:color="auto" w:fill="auto"/>
            <w:noWrap/>
            <w:vAlign w:val="center"/>
            <w:hideMark/>
          </w:tcPr>
          <w:p w14:paraId="79816374" w14:textId="77777777" w:rsidR="004A3EAF" w:rsidRPr="00F50786" w:rsidRDefault="004A3EAF" w:rsidP="0067547D">
            <w:pPr>
              <w:spacing w:after="0" w:line="240" w:lineRule="auto"/>
              <w:rPr>
                <w:rFonts w:eastAsia="Times New Roman"/>
                <w:color w:val="000000"/>
                <w:sz w:val="14"/>
                <w:szCs w:val="14"/>
                <w:lang w:val="en-US"/>
                <w:rPrChange w:id="328"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329"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73D154FF" w14:textId="77777777" w:rsidR="004A3EAF" w:rsidRPr="00F50786" w:rsidRDefault="004A3EAF" w:rsidP="0067547D">
            <w:pPr>
              <w:spacing w:after="0" w:line="240" w:lineRule="auto"/>
              <w:rPr>
                <w:rFonts w:eastAsia="Times New Roman"/>
                <w:color w:val="000000"/>
                <w:sz w:val="14"/>
                <w:szCs w:val="14"/>
                <w:lang w:val="en-US"/>
                <w:rPrChange w:id="330"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331" w:author="Ali Sambou" w:date="2026-01-06T13:25:00Z" w16du:dateUtc="2026-01-06T13:25:00Z">
                  <w:rPr>
                    <w:rFonts w:eastAsia="Times New Roman"/>
                    <w:color w:val="000000"/>
                    <w:sz w:val="14"/>
                    <w:szCs w:val="14"/>
                  </w:rPr>
                </w:rPrChange>
              </w:rPr>
              <w:t> </w:t>
            </w:r>
          </w:p>
        </w:tc>
        <w:tc>
          <w:tcPr>
            <w:tcW w:w="423" w:type="pct"/>
            <w:shd w:val="clear" w:color="auto" w:fill="auto"/>
            <w:noWrap/>
            <w:vAlign w:val="center"/>
            <w:hideMark/>
          </w:tcPr>
          <w:p w14:paraId="40B69E37" w14:textId="77777777" w:rsidR="004A3EAF" w:rsidRPr="00F50786" w:rsidRDefault="004A3EAF" w:rsidP="0067547D">
            <w:pPr>
              <w:spacing w:after="0" w:line="240" w:lineRule="auto"/>
              <w:rPr>
                <w:rFonts w:eastAsia="Times New Roman"/>
                <w:color w:val="000000"/>
                <w:sz w:val="14"/>
                <w:szCs w:val="14"/>
                <w:lang w:val="en-US"/>
                <w:rPrChange w:id="332"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333" w:author="Ali Sambou" w:date="2026-01-06T13:25:00Z" w16du:dateUtc="2026-01-06T13:25:00Z">
                  <w:rPr>
                    <w:rFonts w:eastAsia="Times New Roman"/>
                    <w:color w:val="000000"/>
                    <w:sz w:val="14"/>
                    <w:szCs w:val="14"/>
                  </w:rPr>
                </w:rPrChange>
              </w:rPr>
              <w:t> </w:t>
            </w:r>
          </w:p>
        </w:tc>
        <w:tc>
          <w:tcPr>
            <w:tcW w:w="423" w:type="pct"/>
            <w:shd w:val="clear" w:color="auto" w:fill="auto"/>
            <w:noWrap/>
            <w:vAlign w:val="center"/>
            <w:hideMark/>
          </w:tcPr>
          <w:p w14:paraId="38E08D41" w14:textId="77777777" w:rsidR="004A3EAF" w:rsidRPr="00F50786" w:rsidRDefault="004A3EAF" w:rsidP="0067547D">
            <w:pPr>
              <w:spacing w:after="0" w:line="240" w:lineRule="auto"/>
              <w:rPr>
                <w:rFonts w:eastAsia="Times New Roman"/>
                <w:color w:val="000000"/>
                <w:sz w:val="14"/>
                <w:szCs w:val="14"/>
                <w:lang w:val="en-US"/>
                <w:rPrChange w:id="334"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335" w:author="Ali Sambou" w:date="2026-01-06T13:25:00Z" w16du:dateUtc="2026-01-06T13:25:00Z">
                  <w:rPr>
                    <w:rFonts w:eastAsia="Times New Roman"/>
                    <w:color w:val="000000"/>
                    <w:sz w:val="14"/>
                    <w:szCs w:val="14"/>
                  </w:rPr>
                </w:rPrChange>
              </w:rPr>
              <w:t> </w:t>
            </w:r>
          </w:p>
        </w:tc>
        <w:tc>
          <w:tcPr>
            <w:tcW w:w="423" w:type="pct"/>
            <w:shd w:val="clear" w:color="auto" w:fill="auto"/>
            <w:noWrap/>
            <w:vAlign w:val="center"/>
            <w:hideMark/>
          </w:tcPr>
          <w:p w14:paraId="1997D853"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2,000</w:t>
            </w:r>
          </w:p>
        </w:tc>
        <w:tc>
          <w:tcPr>
            <w:tcW w:w="321" w:type="pct"/>
            <w:shd w:val="clear" w:color="auto" w:fill="auto"/>
            <w:noWrap/>
            <w:vAlign w:val="center"/>
            <w:hideMark/>
          </w:tcPr>
          <w:p w14:paraId="7152963B"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085A4A7A"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2,000</w:t>
            </w:r>
          </w:p>
        </w:tc>
        <w:tc>
          <w:tcPr>
            <w:tcW w:w="443" w:type="pct"/>
            <w:shd w:val="clear" w:color="auto" w:fill="auto"/>
            <w:noWrap/>
            <w:vAlign w:val="center"/>
            <w:hideMark/>
          </w:tcPr>
          <w:p w14:paraId="0AE7D34F"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6206F61F" w14:textId="77777777" w:rsidTr="004A3EAF">
        <w:trPr>
          <w:trHeight w:val="300"/>
        </w:trPr>
        <w:tc>
          <w:tcPr>
            <w:tcW w:w="1565" w:type="pct"/>
            <w:shd w:val="clear" w:color="auto" w:fill="auto"/>
            <w:vAlign w:val="center"/>
            <w:hideMark/>
          </w:tcPr>
          <w:p w14:paraId="3D53655A" w14:textId="77777777" w:rsidR="004A3EAF" w:rsidRPr="00F50786" w:rsidRDefault="004A3EAF" w:rsidP="0067547D">
            <w:pPr>
              <w:spacing w:after="0" w:line="240" w:lineRule="auto"/>
              <w:rPr>
                <w:rFonts w:eastAsia="Times New Roman"/>
                <w:color w:val="000000"/>
                <w:sz w:val="14"/>
                <w:szCs w:val="14"/>
                <w:lang w:val="en-US"/>
                <w:rPrChange w:id="336"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337" w:author="Ali Sambou" w:date="2026-01-06T13:25:00Z" w16du:dateUtc="2026-01-06T13:25:00Z">
                  <w:rPr>
                    <w:rFonts w:eastAsia="Times New Roman"/>
                    <w:color w:val="000000"/>
                    <w:sz w:val="14"/>
                    <w:szCs w:val="14"/>
                  </w:rPr>
                </w:rPrChange>
              </w:rPr>
              <w:t xml:space="preserve">Travel for TE 1200$ + 250$ DSA x 5 nights </w:t>
            </w:r>
          </w:p>
        </w:tc>
        <w:tc>
          <w:tcPr>
            <w:tcW w:w="441" w:type="pct"/>
            <w:shd w:val="clear" w:color="auto" w:fill="auto"/>
            <w:noWrap/>
            <w:vAlign w:val="center"/>
            <w:hideMark/>
          </w:tcPr>
          <w:p w14:paraId="43641446" w14:textId="77777777" w:rsidR="004A3EAF" w:rsidRPr="00F50786" w:rsidRDefault="004A3EAF" w:rsidP="0067547D">
            <w:pPr>
              <w:spacing w:after="0" w:line="240" w:lineRule="auto"/>
              <w:rPr>
                <w:rFonts w:eastAsia="Times New Roman"/>
                <w:color w:val="000000"/>
                <w:sz w:val="14"/>
                <w:szCs w:val="14"/>
                <w:lang w:val="en-US"/>
                <w:rPrChange w:id="338"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339" w:author="Ali Sambou" w:date="2026-01-06T13:25:00Z" w16du:dateUtc="2026-01-06T13:25:00Z">
                  <w:rPr>
                    <w:rFonts w:eastAsia="Times New Roman"/>
                    <w:color w:val="000000"/>
                    <w:sz w:val="14"/>
                    <w:szCs w:val="14"/>
                  </w:rPr>
                </w:rPrChange>
              </w:rPr>
              <w:t> </w:t>
            </w:r>
          </w:p>
        </w:tc>
        <w:tc>
          <w:tcPr>
            <w:tcW w:w="606" w:type="pct"/>
            <w:shd w:val="clear" w:color="auto" w:fill="auto"/>
            <w:noWrap/>
            <w:vAlign w:val="center"/>
            <w:hideMark/>
          </w:tcPr>
          <w:p w14:paraId="716A8E74" w14:textId="77777777" w:rsidR="004A3EAF" w:rsidRPr="00F50786" w:rsidRDefault="004A3EAF" w:rsidP="0067547D">
            <w:pPr>
              <w:spacing w:after="0" w:line="240" w:lineRule="auto"/>
              <w:rPr>
                <w:rFonts w:eastAsia="Times New Roman"/>
                <w:color w:val="000000"/>
                <w:sz w:val="14"/>
                <w:szCs w:val="14"/>
                <w:lang w:val="en-US"/>
                <w:rPrChange w:id="340"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341" w:author="Ali Sambou" w:date="2026-01-06T13:25:00Z" w16du:dateUtc="2026-01-06T13:25:00Z">
                  <w:rPr>
                    <w:rFonts w:eastAsia="Times New Roman"/>
                    <w:color w:val="000000"/>
                    <w:sz w:val="14"/>
                    <w:szCs w:val="14"/>
                  </w:rPr>
                </w:rPrChange>
              </w:rPr>
              <w:t> </w:t>
            </w:r>
          </w:p>
        </w:tc>
        <w:tc>
          <w:tcPr>
            <w:tcW w:w="423" w:type="pct"/>
            <w:shd w:val="clear" w:color="auto" w:fill="auto"/>
            <w:noWrap/>
            <w:vAlign w:val="center"/>
            <w:hideMark/>
          </w:tcPr>
          <w:p w14:paraId="1FE7EDDB" w14:textId="77777777" w:rsidR="004A3EAF" w:rsidRPr="00F50786" w:rsidRDefault="004A3EAF" w:rsidP="0067547D">
            <w:pPr>
              <w:spacing w:after="0" w:line="240" w:lineRule="auto"/>
              <w:rPr>
                <w:rFonts w:eastAsia="Times New Roman"/>
                <w:color w:val="000000"/>
                <w:sz w:val="14"/>
                <w:szCs w:val="14"/>
                <w:lang w:val="en-US"/>
                <w:rPrChange w:id="342"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343" w:author="Ali Sambou" w:date="2026-01-06T13:25:00Z" w16du:dateUtc="2026-01-06T13:25:00Z">
                  <w:rPr>
                    <w:rFonts w:eastAsia="Times New Roman"/>
                    <w:color w:val="000000"/>
                    <w:sz w:val="14"/>
                    <w:szCs w:val="14"/>
                  </w:rPr>
                </w:rPrChange>
              </w:rPr>
              <w:t> </w:t>
            </w:r>
          </w:p>
        </w:tc>
        <w:tc>
          <w:tcPr>
            <w:tcW w:w="423" w:type="pct"/>
            <w:shd w:val="clear" w:color="auto" w:fill="auto"/>
            <w:noWrap/>
            <w:vAlign w:val="center"/>
            <w:hideMark/>
          </w:tcPr>
          <w:p w14:paraId="1F9CABD3" w14:textId="77777777" w:rsidR="004A3EAF" w:rsidRPr="00F50786" w:rsidRDefault="004A3EAF" w:rsidP="0067547D">
            <w:pPr>
              <w:spacing w:after="0" w:line="240" w:lineRule="auto"/>
              <w:rPr>
                <w:rFonts w:eastAsia="Times New Roman"/>
                <w:color w:val="000000"/>
                <w:sz w:val="14"/>
                <w:szCs w:val="14"/>
                <w:lang w:val="en-US"/>
                <w:rPrChange w:id="344" w:author="Ali Sambou" w:date="2026-01-06T13:25:00Z" w16du:dateUtc="2026-01-06T13:25:00Z">
                  <w:rPr>
                    <w:rFonts w:eastAsia="Times New Roman"/>
                    <w:color w:val="000000"/>
                    <w:sz w:val="14"/>
                    <w:szCs w:val="14"/>
                  </w:rPr>
                </w:rPrChange>
              </w:rPr>
            </w:pPr>
            <w:r w:rsidRPr="00F50786">
              <w:rPr>
                <w:rFonts w:eastAsia="Times New Roman"/>
                <w:color w:val="000000"/>
                <w:sz w:val="14"/>
                <w:szCs w:val="14"/>
                <w:lang w:val="en-US"/>
                <w:rPrChange w:id="345" w:author="Ali Sambou" w:date="2026-01-06T13:25:00Z" w16du:dateUtc="2026-01-06T13:25:00Z">
                  <w:rPr>
                    <w:rFonts w:eastAsia="Times New Roman"/>
                    <w:color w:val="000000"/>
                    <w:sz w:val="14"/>
                    <w:szCs w:val="14"/>
                  </w:rPr>
                </w:rPrChange>
              </w:rPr>
              <w:t> </w:t>
            </w:r>
          </w:p>
        </w:tc>
        <w:tc>
          <w:tcPr>
            <w:tcW w:w="423" w:type="pct"/>
            <w:shd w:val="clear" w:color="auto" w:fill="auto"/>
            <w:noWrap/>
            <w:vAlign w:val="center"/>
            <w:hideMark/>
          </w:tcPr>
          <w:p w14:paraId="58787925"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2,450</w:t>
            </w:r>
          </w:p>
        </w:tc>
        <w:tc>
          <w:tcPr>
            <w:tcW w:w="321" w:type="pct"/>
            <w:shd w:val="clear" w:color="auto" w:fill="auto"/>
            <w:noWrap/>
            <w:vAlign w:val="center"/>
            <w:hideMark/>
          </w:tcPr>
          <w:p w14:paraId="20CC62D3" w14:textId="77777777" w:rsidR="004A3EAF" w:rsidRPr="00004DA9" w:rsidRDefault="004A3EAF" w:rsidP="0067547D">
            <w:pPr>
              <w:spacing w:after="0" w:line="240" w:lineRule="auto"/>
              <w:rPr>
                <w:rFonts w:eastAsia="Times New Roman"/>
                <w:color w:val="000000"/>
                <w:sz w:val="14"/>
                <w:szCs w:val="14"/>
              </w:rPr>
            </w:pPr>
            <w:r w:rsidRPr="00004DA9">
              <w:rPr>
                <w:rFonts w:eastAsia="Times New Roman"/>
                <w:color w:val="000000"/>
                <w:sz w:val="14"/>
                <w:szCs w:val="14"/>
              </w:rPr>
              <w:t> </w:t>
            </w:r>
          </w:p>
        </w:tc>
        <w:tc>
          <w:tcPr>
            <w:tcW w:w="354" w:type="pct"/>
            <w:shd w:val="clear" w:color="auto" w:fill="auto"/>
            <w:noWrap/>
            <w:vAlign w:val="center"/>
            <w:hideMark/>
          </w:tcPr>
          <w:p w14:paraId="5BF7FF15" w14:textId="77777777" w:rsidR="004A3EAF" w:rsidRPr="00004DA9" w:rsidRDefault="004A3EAF" w:rsidP="0067547D">
            <w:pPr>
              <w:spacing w:after="0" w:line="240" w:lineRule="auto"/>
              <w:jc w:val="right"/>
              <w:rPr>
                <w:rFonts w:eastAsia="Times New Roman"/>
                <w:color w:val="000000"/>
                <w:sz w:val="14"/>
                <w:szCs w:val="14"/>
              </w:rPr>
            </w:pPr>
            <w:r w:rsidRPr="00004DA9">
              <w:rPr>
                <w:rFonts w:eastAsia="Times New Roman"/>
                <w:color w:val="000000"/>
                <w:sz w:val="14"/>
                <w:szCs w:val="14"/>
              </w:rPr>
              <w:t>2,450</w:t>
            </w:r>
          </w:p>
        </w:tc>
        <w:tc>
          <w:tcPr>
            <w:tcW w:w="443" w:type="pct"/>
            <w:shd w:val="clear" w:color="auto" w:fill="auto"/>
            <w:noWrap/>
            <w:vAlign w:val="center"/>
            <w:hideMark/>
          </w:tcPr>
          <w:p w14:paraId="5401BEF1" w14:textId="77777777" w:rsidR="004A3EAF" w:rsidRPr="00004DA9" w:rsidRDefault="004A3EAF" w:rsidP="0067547D">
            <w:pPr>
              <w:spacing w:after="0" w:line="240" w:lineRule="auto"/>
              <w:rPr>
                <w:rFonts w:eastAsia="Times New Roman"/>
                <w:color w:val="000000"/>
                <w:sz w:val="12"/>
                <w:szCs w:val="12"/>
              </w:rPr>
            </w:pPr>
            <w:r w:rsidRPr="00004DA9">
              <w:rPr>
                <w:rFonts w:eastAsia="Times New Roman"/>
                <w:color w:val="000000"/>
                <w:sz w:val="12"/>
                <w:szCs w:val="12"/>
              </w:rPr>
              <w:t>NDUPH</w:t>
            </w:r>
          </w:p>
        </w:tc>
      </w:tr>
      <w:tr w:rsidR="004A3EAF" w:rsidRPr="00004DA9" w14:paraId="6057918C" w14:textId="77777777" w:rsidTr="004A3EAF">
        <w:trPr>
          <w:trHeight w:val="300"/>
        </w:trPr>
        <w:tc>
          <w:tcPr>
            <w:tcW w:w="1565" w:type="pct"/>
            <w:shd w:val="clear" w:color="000000" w:fill="DAE9F8"/>
            <w:vAlign w:val="center"/>
            <w:hideMark/>
          </w:tcPr>
          <w:p w14:paraId="401CE38B" w14:textId="77777777" w:rsidR="004A3EAF" w:rsidRPr="00004DA9" w:rsidRDefault="004A3EAF" w:rsidP="0067547D">
            <w:pPr>
              <w:spacing w:after="0" w:line="240" w:lineRule="auto"/>
              <w:rPr>
                <w:rFonts w:eastAsia="Times New Roman"/>
                <w:b/>
                <w:bCs/>
                <w:color w:val="000000"/>
                <w:sz w:val="13"/>
                <w:szCs w:val="13"/>
              </w:rPr>
            </w:pPr>
            <w:r w:rsidRPr="00004DA9">
              <w:rPr>
                <w:rFonts w:eastAsia="Times New Roman"/>
                <w:b/>
                <w:bCs/>
                <w:color w:val="000000"/>
                <w:sz w:val="13"/>
                <w:szCs w:val="13"/>
              </w:rPr>
              <w:t xml:space="preserve"> Project total  </w:t>
            </w:r>
          </w:p>
        </w:tc>
        <w:tc>
          <w:tcPr>
            <w:tcW w:w="441" w:type="pct"/>
            <w:shd w:val="clear" w:color="000000" w:fill="DAE9F8"/>
            <w:vAlign w:val="center"/>
            <w:hideMark/>
          </w:tcPr>
          <w:p w14:paraId="2F5234FF" w14:textId="77777777" w:rsidR="004A3EAF" w:rsidRPr="00004DA9" w:rsidRDefault="004A3EAF" w:rsidP="0067547D">
            <w:pPr>
              <w:spacing w:after="0" w:line="240" w:lineRule="auto"/>
              <w:jc w:val="right"/>
              <w:rPr>
                <w:rFonts w:eastAsia="Times New Roman"/>
                <w:b/>
                <w:bCs/>
                <w:color w:val="000000"/>
                <w:sz w:val="13"/>
                <w:szCs w:val="13"/>
              </w:rPr>
            </w:pPr>
            <w:r>
              <w:rPr>
                <w:b/>
                <w:bCs/>
                <w:color w:val="000000"/>
                <w:sz w:val="13"/>
                <w:szCs w:val="13"/>
              </w:rPr>
              <w:t>1,289,045</w:t>
            </w:r>
          </w:p>
        </w:tc>
        <w:tc>
          <w:tcPr>
            <w:tcW w:w="606" w:type="pct"/>
            <w:shd w:val="clear" w:color="000000" w:fill="DAE9F8"/>
            <w:vAlign w:val="center"/>
            <w:hideMark/>
          </w:tcPr>
          <w:p w14:paraId="7FC7EAE2" w14:textId="77777777" w:rsidR="004A3EAF" w:rsidRPr="00004DA9" w:rsidRDefault="004A3EAF" w:rsidP="0067547D">
            <w:pPr>
              <w:spacing w:after="0" w:line="240" w:lineRule="auto"/>
              <w:jc w:val="center"/>
              <w:rPr>
                <w:rFonts w:eastAsia="Times New Roman"/>
                <w:b/>
                <w:bCs/>
                <w:color w:val="000000"/>
                <w:sz w:val="13"/>
                <w:szCs w:val="13"/>
              </w:rPr>
            </w:pPr>
            <w:r>
              <w:rPr>
                <w:b/>
                <w:bCs/>
                <w:color w:val="000000"/>
                <w:sz w:val="13"/>
                <w:szCs w:val="13"/>
              </w:rPr>
              <w:t>1,356,332</w:t>
            </w:r>
          </w:p>
        </w:tc>
        <w:tc>
          <w:tcPr>
            <w:tcW w:w="423" w:type="pct"/>
            <w:shd w:val="clear" w:color="000000" w:fill="DAE9F8"/>
            <w:vAlign w:val="center"/>
            <w:hideMark/>
          </w:tcPr>
          <w:p w14:paraId="338ACE8C" w14:textId="77777777" w:rsidR="004A3EAF" w:rsidRPr="00004DA9" w:rsidRDefault="004A3EAF" w:rsidP="0067547D">
            <w:pPr>
              <w:spacing w:after="0" w:line="240" w:lineRule="auto"/>
              <w:jc w:val="center"/>
              <w:rPr>
                <w:rFonts w:eastAsia="Times New Roman"/>
                <w:b/>
                <w:bCs/>
                <w:color w:val="000000"/>
                <w:sz w:val="13"/>
                <w:szCs w:val="13"/>
              </w:rPr>
            </w:pPr>
            <w:r>
              <w:rPr>
                <w:b/>
                <w:bCs/>
                <w:color w:val="000000"/>
                <w:sz w:val="13"/>
                <w:szCs w:val="13"/>
              </w:rPr>
              <w:t>1,254,110</w:t>
            </w:r>
          </w:p>
        </w:tc>
        <w:tc>
          <w:tcPr>
            <w:tcW w:w="423" w:type="pct"/>
            <w:shd w:val="clear" w:color="000000" w:fill="DAE9F8"/>
            <w:vAlign w:val="center"/>
            <w:hideMark/>
          </w:tcPr>
          <w:p w14:paraId="6F22A0CE" w14:textId="77777777" w:rsidR="004A3EAF" w:rsidRPr="00004DA9" w:rsidRDefault="004A3EAF" w:rsidP="0067547D">
            <w:pPr>
              <w:spacing w:after="0" w:line="240" w:lineRule="auto"/>
              <w:jc w:val="center"/>
              <w:rPr>
                <w:rFonts w:eastAsia="Times New Roman"/>
                <w:b/>
                <w:bCs/>
                <w:color w:val="000000"/>
                <w:sz w:val="13"/>
                <w:szCs w:val="13"/>
              </w:rPr>
            </w:pPr>
            <w:r>
              <w:rPr>
                <w:b/>
                <w:bCs/>
                <w:color w:val="000000"/>
                <w:sz w:val="13"/>
                <w:szCs w:val="13"/>
              </w:rPr>
              <w:t>391,768</w:t>
            </w:r>
          </w:p>
        </w:tc>
        <w:tc>
          <w:tcPr>
            <w:tcW w:w="423" w:type="pct"/>
            <w:shd w:val="clear" w:color="000000" w:fill="DAE9F8"/>
            <w:vAlign w:val="center"/>
            <w:hideMark/>
          </w:tcPr>
          <w:p w14:paraId="1E7FF7C6" w14:textId="77777777" w:rsidR="004A3EAF" w:rsidRPr="00004DA9" w:rsidRDefault="004A3EAF" w:rsidP="0067547D">
            <w:pPr>
              <w:spacing w:after="0" w:line="240" w:lineRule="auto"/>
              <w:jc w:val="center"/>
              <w:rPr>
                <w:rFonts w:eastAsia="Times New Roman"/>
                <w:b/>
                <w:bCs/>
                <w:color w:val="000000"/>
                <w:sz w:val="13"/>
                <w:szCs w:val="13"/>
              </w:rPr>
            </w:pPr>
            <w:r>
              <w:rPr>
                <w:b/>
                <w:bCs/>
                <w:color w:val="000000"/>
                <w:sz w:val="13"/>
                <w:szCs w:val="13"/>
              </w:rPr>
              <w:t>225,855</w:t>
            </w:r>
          </w:p>
        </w:tc>
        <w:tc>
          <w:tcPr>
            <w:tcW w:w="321" w:type="pct"/>
            <w:shd w:val="clear" w:color="000000" w:fill="DAE9F8"/>
            <w:vAlign w:val="center"/>
            <w:hideMark/>
          </w:tcPr>
          <w:p w14:paraId="2E512100" w14:textId="77777777" w:rsidR="004A3EAF" w:rsidRPr="00004DA9" w:rsidRDefault="004A3EAF" w:rsidP="0067547D">
            <w:pPr>
              <w:spacing w:after="0" w:line="240" w:lineRule="auto"/>
              <w:jc w:val="center"/>
              <w:rPr>
                <w:rFonts w:eastAsia="Times New Roman"/>
                <w:b/>
                <w:bCs/>
                <w:color w:val="000000"/>
                <w:sz w:val="13"/>
                <w:szCs w:val="13"/>
              </w:rPr>
            </w:pPr>
            <w:r>
              <w:rPr>
                <w:b/>
                <w:bCs/>
                <w:color w:val="000000"/>
                <w:sz w:val="13"/>
                <w:szCs w:val="13"/>
              </w:rPr>
              <w:t>225,855</w:t>
            </w:r>
          </w:p>
        </w:tc>
        <w:tc>
          <w:tcPr>
            <w:tcW w:w="354" w:type="pct"/>
            <w:shd w:val="clear" w:color="000000" w:fill="DAE9F8"/>
            <w:vAlign w:val="center"/>
            <w:hideMark/>
          </w:tcPr>
          <w:p w14:paraId="796BCE12" w14:textId="77777777" w:rsidR="004A3EAF" w:rsidRPr="00004DA9" w:rsidRDefault="004A3EAF" w:rsidP="0067547D">
            <w:pPr>
              <w:spacing w:after="0" w:line="240" w:lineRule="auto"/>
              <w:jc w:val="center"/>
              <w:rPr>
                <w:rFonts w:eastAsia="Times New Roman"/>
                <w:b/>
                <w:bCs/>
                <w:color w:val="000000"/>
                <w:sz w:val="13"/>
                <w:szCs w:val="13"/>
              </w:rPr>
            </w:pPr>
            <w:r>
              <w:rPr>
                <w:b/>
                <w:bCs/>
                <w:color w:val="000000"/>
                <w:sz w:val="13"/>
                <w:szCs w:val="13"/>
              </w:rPr>
              <w:t>4,742,965</w:t>
            </w:r>
          </w:p>
        </w:tc>
        <w:tc>
          <w:tcPr>
            <w:tcW w:w="443" w:type="pct"/>
            <w:shd w:val="clear" w:color="auto" w:fill="auto"/>
            <w:noWrap/>
            <w:vAlign w:val="center"/>
            <w:hideMark/>
          </w:tcPr>
          <w:p w14:paraId="37CD76E9" w14:textId="77777777" w:rsidR="004A3EAF" w:rsidRPr="00004DA9" w:rsidRDefault="004A3EAF" w:rsidP="0067547D">
            <w:pPr>
              <w:spacing w:after="0" w:line="240" w:lineRule="auto"/>
              <w:rPr>
                <w:rFonts w:eastAsia="Times New Roman"/>
                <w:color w:val="000000"/>
                <w:sz w:val="13"/>
                <w:szCs w:val="13"/>
              </w:rPr>
            </w:pPr>
            <w:r w:rsidRPr="00004DA9">
              <w:rPr>
                <w:rFonts w:eastAsia="Times New Roman"/>
                <w:color w:val="000000"/>
                <w:sz w:val="13"/>
                <w:szCs w:val="13"/>
              </w:rPr>
              <w:t> </w:t>
            </w:r>
          </w:p>
        </w:tc>
      </w:tr>
    </w:tbl>
    <w:p w14:paraId="1A779DF3" w14:textId="77777777" w:rsidR="004A3EAF" w:rsidRDefault="004A3EAF" w:rsidP="004A3EAF"/>
    <w:p w14:paraId="173DF37D" w14:textId="77777777" w:rsidR="00CD0188" w:rsidRDefault="00CD0188">
      <w:pPr>
        <w:spacing w:after="60" w:line="240" w:lineRule="auto"/>
        <w:jc w:val="both"/>
        <w:rPr>
          <w:sz w:val="20"/>
          <w:szCs w:val="20"/>
          <w:lang w:val="en-US"/>
        </w:rPr>
        <w:sectPr w:rsidR="00CD0188" w:rsidSect="00B13FBB">
          <w:headerReference w:type="first" r:id="rId52"/>
          <w:pgSz w:w="23811" w:h="16838" w:orient="landscape" w:code="8"/>
          <w:pgMar w:top="1411" w:right="1411" w:bottom="1411" w:left="1411" w:header="706" w:footer="706" w:gutter="0"/>
          <w:cols w:space="720"/>
          <w:docGrid w:linePitch="299"/>
        </w:sectPr>
      </w:pPr>
    </w:p>
    <w:p w14:paraId="00000CBD" w14:textId="4246ABFE" w:rsidR="004F7DB3" w:rsidRPr="00C00123" w:rsidRDefault="004F7DB3">
      <w:pPr>
        <w:spacing w:after="60" w:line="240" w:lineRule="auto"/>
        <w:jc w:val="both"/>
        <w:rPr>
          <w:sz w:val="20"/>
          <w:szCs w:val="20"/>
          <w:lang w:val="en-US"/>
        </w:rPr>
      </w:pPr>
    </w:p>
    <w:p w14:paraId="00000CE0" w14:textId="1A41B4E8" w:rsidR="004F7DB3" w:rsidRPr="00D769BD" w:rsidRDefault="552CE4D7" w:rsidP="00857B81">
      <w:pPr>
        <w:pStyle w:val="Titre3"/>
        <w:rPr>
          <w:lang w:val="en-US"/>
        </w:rPr>
      </w:pPr>
      <w:bookmarkStart w:id="346" w:name="_Toc200477848"/>
      <w:r w:rsidRPr="00857B81">
        <w:rPr>
          <w:sz w:val="22"/>
          <w:szCs w:val="22"/>
          <w:lang w:val="en-US"/>
        </w:rPr>
        <w:t>Annex 3: Project map and Geospatial Coordinates of project sites</w:t>
      </w:r>
      <w:bookmarkEnd w:id="346"/>
    </w:p>
    <w:p w14:paraId="00000CE1" w14:textId="77777777" w:rsidR="004F7DB3" w:rsidRPr="00C00123" w:rsidRDefault="004F7DB3">
      <w:pPr>
        <w:spacing w:after="60" w:line="240" w:lineRule="auto"/>
        <w:jc w:val="both"/>
        <w:rPr>
          <w:sz w:val="20"/>
          <w:szCs w:val="20"/>
          <w:lang w:val="en-US"/>
        </w:rPr>
      </w:pPr>
    </w:p>
    <w:p w14:paraId="00000CE2" w14:textId="77777777" w:rsidR="004F7DB3" w:rsidRPr="00C00123" w:rsidRDefault="00C00123">
      <w:pPr>
        <w:spacing w:after="0" w:line="240" w:lineRule="auto"/>
        <w:jc w:val="both"/>
        <w:rPr>
          <w:sz w:val="20"/>
          <w:szCs w:val="20"/>
          <w:lang w:val="en-US"/>
        </w:rPr>
      </w:pPr>
      <w:r w:rsidRPr="00C00123">
        <w:rPr>
          <w:sz w:val="20"/>
          <w:szCs w:val="20"/>
          <w:lang w:val="en-US"/>
        </w:rPr>
        <w:t xml:space="preserve">Any maps included in this project document must conform to maps accepted by the UN Geospatial Information Section (see </w:t>
      </w:r>
      <w:r>
        <w:fldChar w:fldCharType="begin"/>
      </w:r>
      <w:r w:rsidRPr="00F50786">
        <w:rPr>
          <w:lang w:val="en-US"/>
          <w:rPrChange w:id="347" w:author="Ali Sambou" w:date="2026-01-06T13:25:00Z" w16du:dateUtc="2026-01-06T13:25:00Z">
            <w:rPr/>
          </w:rPrChange>
        </w:rPr>
        <w:instrText>HYPERLINK "https://www.un.org/geospatial/mapsgeo" \h</w:instrText>
      </w:r>
      <w:r>
        <w:fldChar w:fldCharType="separate"/>
      </w:r>
      <w:r w:rsidRPr="00C00123">
        <w:rPr>
          <w:color w:val="0000FF"/>
          <w:sz w:val="20"/>
          <w:szCs w:val="20"/>
          <w:u w:val="single"/>
          <w:lang w:val="en-US"/>
        </w:rPr>
        <w:t>https://www.un.org/geospatial/mapsgeo</w:t>
      </w:r>
      <w:r>
        <w:fldChar w:fldCharType="end"/>
      </w:r>
      <w:r w:rsidRPr="00C00123">
        <w:rPr>
          <w:sz w:val="20"/>
          <w:szCs w:val="20"/>
          <w:lang w:val="en-US"/>
        </w:rPr>
        <w:t>)</w:t>
      </w:r>
    </w:p>
    <w:p w14:paraId="00000CE3" w14:textId="77777777" w:rsidR="004F7DB3" w:rsidRDefault="004F7DB3">
      <w:pPr>
        <w:keepNext/>
        <w:spacing w:after="60" w:line="240" w:lineRule="auto"/>
        <w:jc w:val="both"/>
        <w:rPr>
          <w:b/>
          <w:sz w:val="20"/>
          <w:szCs w:val="20"/>
          <w:lang w:val="en-US"/>
        </w:rPr>
      </w:pPr>
    </w:p>
    <w:p w14:paraId="3B3DFB06" w14:textId="77777777" w:rsidR="00A350E0" w:rsidRDefault="00E12D2B" w:rsidP="00A350E0">
      <w:pPr>
        <w:keepNext/>
        <w:spacing w:after="60" w:line="240" w:lineRule="auto"/>
        <w:jc w:val="both"/>
      </w:pPr>
      <w:r w:rsidRPr="007F4912">
        <w:rPr>
          <w:noProof/>
          <w:sz w:val="20"/>
          <w:szCs w:val="20"/>
        </w:rPr>
        <w:drawing>
          <wp:inline distT="0" distB="0" distL="0" distR="0" wp14:anchorId="59C9E0B0" wp14:editId="30BDB50D">
            <wp:extent cx="3524250" cy="2723387"/>
            <wp:effectExtent l="0" t="0" r="0" b="0"/>
            <wp:docPr id="1530875245" name="image11.jpg" descr="An image containing text, map, diagram, atla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1.jpg"/>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3524250" cy="2723387"/>
                    </a:xfrm>
                    <a:prstGeom prst="rect">
                      <a:avLst/>
                    </a:prstGeom>
                    <a:ln/>
                  </pic:spPr>
                </pic:pic>
              </a:graphicData>
            </a:graphic>
          </wp:inline>
        </w:drawing>
      </w:r>
    </w:p>
    <w:p w14:paraId="6366EBE8" w14:textId="273BBA32" w:rsidR="00CF56D5" w:rsidRPr="00A350E0" w:rsidRDefault="00A350E0" w:rsidP="00A350E0">
      <w:pPr>
        <w:pStyle w:val="Lgende"/>
        <w:jc w:val="both"/>
        <w:rPr>
          <w:rFonts w:ascii="Calibri" w:hAnsi="Calibri" w:cs="Calibri"/>
          <w:b w:val="0"/>
          <w:sz w:val="16"/>
          <w:szCs w:val="16"/>
          <w:lang w:val="en-US"/>
        </w:rPr>
      </w:pPr>
      <w:bookmarkStart w:id="348" w:name="_Toc199131207"/>
      <w:r w:rsidRPr="00A350E0">
        <w:rPr>
          <w:rFonts w:ascii="Calibri" w:hAnsi="Calibri" w:cs="Calibri"/>
          <w:sz w:val="22"/>
          <w:szCs w:val="20"/>
          <w:lang w:val="en-US"/>
        </w:rPr>
        <w:t xml:space="preserve">Figure </w:t>
      </w:r>
      <w:r w:rsidRPr="00A350E0">
        <w:rPr>
          <w:rFonts w:ascii="Calibri" w:hAnsi="Calibri" w:cs="Calibri"/>
          <w:sz w:val="22"/>
          <w:szCs w:val="20"/>
        </w:rPr>
        <w:fldChar w:fldCharType="begin"/>
      </w:r>
      <w:r w:rsidRPr="00A350E0">
        <w:rPr>
          <w:rFonts w:ascii="Calibri" w:hAnsi="Calibri" w:cs="Calibri"/>
          <w:sz w:val="22"/>
          <w:szCs w:val="20"/>
          <w:lang w:val="en-US"/>
        </w:rPr>
        <w:instrText xml:space="preserve"> SEQ Figure \* ARABIC </w:instrText>
      </w:r>
      <w:r w:rsidRPr="00A350E0">
        <w:rPr>
          <w:rFonts w:ascii="Calibri" w:hAnsi="Calibri" w:cs="Calibri"/>
          <w:sz w:val="22"/>
          <w:szCs w:val="20"/>
        </w:rPr>
        <w:fldChar w:fldCharType="separate"/>
      </w:r>
      <w:r>
        <w:rPr>
          <w:rFonts w:ascii="Calibri" w:hAnsi="Calibri" w:cs="Calibri"/>
          <w:noProof/>
          <w:sz w:val="22"/>
          <w:szCs w:val="20"/>
          <w:lang w:val="en-US"/>
        </w:rPr>
        <w:t>6</w:t>
      </w:r>
      <w:r w:rsidRPr="00A350E0">
        <w:rPr>
          <w:rFonts w:ascii="Calibri" w:hAnsi="Calibri" w:cs="Calibri"/>
          <w:sz w:val="22"/>
          <w:szCs w:val="20"/>
        </w:rPr>
        <w:fldChar w:fldCharType="end"/>
      </w:r>
      <w:r w:rsidRPr="00A350E0">
        <w:rPr>
          <w:rFonts w:ascii="Calibri" w:hAnsi="Calibri" w:cs="Calibri"/>
          <w:sz w:val="22"/>
          <w:szCs w:val="20"/>
          <w:lang w:val="en-US"/>
        </w:rPr>
        <w:t xml:space="preserve"> The six strategic road corridors of Bamako</w:t>
      </w:r>
      <w:bookmarkEnd w:id="348"/>
    </w:p>
    <w:p w14:paraId="193D4579" w14:textId="77777777" w:rsidR="00B07EF5" w:rsidRDefault="00B07EF5">
      <w:pPr>
        <w:keepNext/>
        <w:spacing w:after="60" w:line="240" w:lineRule="auto"/>
        <w:jc w:val="both"/>
        <w:rPr>
          <w:b/>
          <w:sz w:val="20"/>
          <w:szCs w:val="20"/>
          <w:lang w:val="en-US"/>
        </w:rPr>
      </w:pPr>
    </w:p>
    <w:p w14:paraId="64CBBB56" w14:textId="77777777" w:rsidR="00B07EF5" w:rsidRDefault="00B07EF5">
      <w:pPr>
        <w:keepNext/>
        <w:spacing w:after="60" w:line="240" w:lineRule="auto"/>
        <w:jc w:val="both"/>
        <w:rPr>
          <w:b/>
          <w:sz w:val="20"/>
          <w:szCs w:val="20"/>
          <w:lang w:val="en-US"/>
        </w:rPr>
      </w:pPr>
    </w:p>
    <w:p w14:paraId="22CA6D13" w14:textId="77777777" w:rsidR="00A350E0" w:rsidRDefault="00B07EF5" w:rsidP="00A350E0">
      <w:pPr>
        <w:keepNext/>
        <w:spacing w:after="60" w:line="240" w:lineRule="auto"/>
        <w:jc w:val="both"/>
      </w:pPr>
      <w:r w:rsidRPr="007F4912">
        <w:rPr>
          <w:noProof/>
          <w:sz w:val="20"/>
          <w:szCs w:val="20"/>
        </w:rPr>
        <w:drawing>
          <wp:inline distT="0" distB="0" distL="0" distR="0" wp14:anchorId="2C46BB71" wp14:editId="6062C9D9">
            <wp:extent cx="3960892" cy="3062904"/>
            <wp:effectExtent l="0" t="0" r="0" b="0"/>
            <wp:docPr id="1638167887" name="image16.jpg" descr="Une image contenant texte, carte, atlas, diagramme&#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8167887" name="image16.jpg" descr="Une image contenant texte, carte, atlas, diagramme&#10;&#10;Le contenu généré par l’IA peut être incorrect."/>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3960892" cy="3062904"/>
                    </a:xfrm>
                    <a:prstGeom prst="rect">
                      <a:avLst/>
                    </a:prstGeom>
                    <a:ln/>
                  </pic:spPr>
                </pic:pic>
              </a:graphicData>
            </a:graphic>
          </wp:inline>
        </w:drawing>
      </w:r>
    </w:p>
    <w:p w14:paraId="58204BEE" w14:textId="642919A8" w:rsidR="00B07EF5" w:rsidRPr="00A350E0" w:rsidRDefault="00A350E0" w:rsidP="00A350E0">
      <w:pPr>
        <w:pStyle w:val="Lgende"/>
        <w:jc w:val="both"/>
        <w:rPr>
          <w:rFonts w:ascii="Calibri" w:hAnsi="Calibri" w:cs="Calibri"/>
          <w:b w:val="0"/>
          <w:sz w:val="14"/>
          <w:szCs w:val="14"/>
          <w:lang w:val="en-US"/>
        </w:rPr>
      </w:pPr>
      <w:bookmarkStart w:id="349" w:name="_Toc199131208"/>
      <w:r w:rsidRPr="00A350E0">
        <w:rPr>
          <w:rFonts w:ascii="Calibri" w:hAnsi="Calibri" w:cs="Calibri"/>
          <w:sz w:val="20"/>
          <w:szCs w:val="18"/>
          <w:lang w:val="en-US"/>
        </w:rPr>
        <w:t xml:space="preserve">Figure </w:t>
      </w:r>
      <w:r w:rsidRPr="00A350E0">
        <w:rPr>
          <w:rFonts w:ascii="Calibri" w:hAnsi="Calibri" w:cs="Calibri"/>
          <w:sz w:val="20"/>
          <w:szCs w:val="18"/>
        </w:rPr>
        <w:fldChar w:fldCharType="begin"/>
      </w:r>
      <w:r w:rsidRPr="00A350E0">
        <w:rPr>
          <w:rFonts w:ascii="Calibri" w:hAnsi="Calibri" w:cs="Calibri"/>
          <w:sz w:val="20"/>
          <w:szCs w:val="18"/>
          <w:lang w:val="en-US"/>
        </w:rPr>
        <w:instrText xml:space="preserve"> SEQ Figure \* ARABIC </w:instrText>
      </w:r>
      <w:r w:rsidRPr="00A350E0">
        <w:rPr>
          <w:rFonts w:ascii="Calibri" w:hAnsi="Calibri" w:cs="Calibri"/>
          <w:sz w:val="20"/>
          <w:szCs w:val="18"/>
        </w:rPr>
        <w:fldChar w:fldCharType="separate"/>
      </w:r>
      <w:r w:rsidRPr="00A350E0">
        <w:rPr>
          <w:rFonts w:ascii="Calibri" w:hAnsi="Calibri" w:cs="Calibri"/>
          <w:noProof/>
          <w:sz w:val="20"/>
          <w:szCs w:val="18"/>
          <w:lang w:val="en-US"/>
        </w:rPr>
        <w:t>7</w:t>
      </w:r>
      <w:r w:rsidRPr="00A350E0">
        <w:rPr>
          <w:rFonts w:ascii="Calibri" w:hAnsi="Calibri" w:cs="Calibri"/>
          <w:sz w:val="20"/>
          <w:szCs w:val="18"/>
        </w:rPr>
        <w:fldChar w:fldCharType="end"/>
      </w:r>
      <w:r w:rsidRPr="00A350E0">
        <w:rPr>
          <w:rFonts w:ascii="Calibri" w:hAnsi="Calibri" w:cs="Calibri"/>
          <w:sz w:val="20"/>
          <w:szCs w:val="18"/>
          <w:lang w:val="en-US"/>
        </w:rPr>
        <w:t xml:space="preserve"> The identified Green Belt</w:t>
      </w:r>
      <w:bookmarkEnd w:id="349"/>
    </w:p>
    <w:p w14:paraId="71546BC7" w14:textId="77777777" w:rsidR="00E12D2B" w:rsidRDefault="00E12D2B">
      <w:pPr>
        <w:keepNext/>
        <w:spacing w:after="60" w:line="240" w:lineRule="auto"/>
        <w:jc w:val="both"/>
        <w:rPr>
          <w:b/>
          <w:sz w:val="20"/>
          <w:szCs w:val="20"/>
          <w:lang w:val="en-US"/>
        </w:rPr>
      </w:pPr>
    </w:p>
    <w:p w14:paraId="616AFA51" w14:textId="77777777" w:rsidR="00E12D2B" w:rsidRPr="00C00123" w:rsidRDefault="00E12D2B">
      <w:pPr>
        <w:keepNext/>
        <w:spacing w:after="60" w:line="240" w:lineRule="auto"/>
        <w:jc w:val="both"/>
        <w:rPr>
          <w:b/>
          <w:sz w:val="20"/>
          <w:szCs w:val="20"/>
          <w:lang w:val="en-US"/>
        </w:rPr>
      </w:pPr>
    </w:p>
    <w:p w14:paraId="00000CE4" w14:textId="77777777" w:rsidR="004F7DB3" w:rsidRPr="00C00123" w:rsidRDefault="00C00123">
      <w:pPr>
        <w:keepNext/>
        <w:spacing w:after="60" w:line="240" w:lineRule="auto"/>
        <w:jc w:val="both"/>
        <w:rPr>
          <w:b/>
          <w:sz w:val="20"/>
          <w:szCs w:val="20"/>
          <w:lang w:val="en-US"/>
        </w:rPr>
        <w:sectPr w:rsidR="004F7DB3" w:rsidRPr="00C00123">
          <w:pgSz w:w="11906" w:h="16838"/>
          <w:pgMar w:top="1418" w:right="1418" w:bottom="1418" w:left="1418" w:header="709" w:footer="709" w:gutter="0"/>
          <w:cols w:space="720"/>
        </w:sectPr>
      </w:pPr>
      <w:r w:rsidRPr="00C00123">
        <w:rPr>
          <w:lang w:val="en-US"/>
        </w:rPr>
        <w:br w:type="page"/>
      </w:r>
    </w:p>
    <w:p w14:paraId="00000CE5" w14:textId="6CC8DF45" w:rsidR="004F7DB3" w:rsidRPr="00A350E0" w:rsidRDefault="2B95EE72" w:rsidP="006F5E1D">
      <w:pPr>
        <w:pStyle w:val="Titre3"/>
        <w:rPr>
          <w:lang w:val="en-US"/>
        </w:rPr>
      </w:pPr>
      <w:bookmarkStart w:id="350" w:name="_heading=h.f7lor3pioe9m"/>
      <w:bookmarkStart w:id="351" w:name="_Toc904490859"/>
      <w:bookmarkStart w:id="352" w:name="_Toc200477849"/>
      <w:bookmarkEnd w:id="350"/>
      <w:r w:rsidRPr="1A8B662A">
        <w:rPr>
          <w:sz w:val="22"/>
          <w:szCs w:val="22"/>
          <w:lang w:val="en-US"/>
        </w:rPr>
        <w:lastRenderedPageBreak/>
        <w:t xml:space="preserve">Annex 4: </w:t>
      </w:r>
      <w:r w:rsidR="1FA797BF" w:rsidRPr="1A8B662A">
        <w:rPr>
          <w:sz w:val="22"/>
          <w:szCs w:val="22"/>
          <w:lang w:val="en-US"/>
        </w:rPr>
        <w:t>Multiye</w:t>
      </w:r>
      <w:r w:rsidR="49605E99" w:rsidRPr="1A8B662A">
        <w:rPr>
          <w:sz w:val="22"/>
          <w:szCs w:val="22"/>
          <w:lang w:val="en-US"/>
        </w:rPr>
        <w:t>ar</w:t>
      </w:r>
      <w:r w:rsidR="1FA797BF" w:rsidRPr="1A8B662A">
        <w:rPr>
          <w:sz w:val="22"/>
          <w:szCs w:val="22"/>
          <w:lang w:val="en-US"/>
        </w:rPr>
        <w:t xml:space="preserve"> </w:t>
      </w:r>
      <w:r w:rsidR="6DF325E7" w:rsidRPr="1A8B662A">
        <w:rPr>
          <w:sz w:val="22"/>
          <w:szCs w:val="22"/>
          <w:lang w:val="en-US"/>
        </w:rPr>
        <w:t>Work Plan</w:t>
      </w:r>
      <w:bookmarkEnd w:id="351"/>
      <w:bookmarkEnd w:id="352"/>
    </w:p>
    <w:p w14:paraId="00000CE6" w14:textId="740F3DC8" w:rsidR="004F7DB3" w:rsidRPr="00A350E0" w:rsidRDefault="004F7DB3">
      <w:pPr>
        <w:spacing w:after="60" w:line="240" w:lineRule="auto"/>
        <w:jc w:val="both"/>
        <w:rPr>
          <w:sz w:val="20"/>
          <w:szCs w:val="20"/>
          <w:lang w:val="en-US"/>
        </w:rPr>
      </w:pPr>
    </w:p>
    <w:tbl>
      <w:tblPr>
        <w:tblW w:w="14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600"/>
        <w:gridCol w:w="919"/>
        <w:gridCol w:w="1279"/>
        <w:gridCol w:w="1533"/>
        <w:gridCol w:w="412"/>
        <w:gridCol w:w="412"/>
        <w:gridCol w:w="412"/>
        <w:gridCol w:w="413"/>
        <w:gridCol w:w="413"/>
        <w:gridCol w:w="413"/>
        <w:gridCol w:w="405"/>
        <w:gridCol w:w="421"/>
        <w:gridCol w:w="413"/>
        <w:gridCol w:w="413"/>
        <w:gridCol w:w="413"/>
        <w:gridCol w:w="413"/>
        <w:gridCol w:w="413"/>
        <w:gridCol w:w="413"/>
        <w:gridCol w:w="413"/>
        <w:gridCol w:w="413"/>
        <w:gridCol w:w="413"/>
        <w:gridCol w:w="413"/>
        <w:gridCol w:w="465"/>
        <w:gridCol w:w="361"/>
        <w:gridCol w:w="413"/>
      </w:tblGrid>
      <w:tr w:rsidR="004F7DB3" w14:paraId="2A8811B4" w14:textId="77777777" w:rsidTr="00714C21">
        <w:trPr>
          <w:trHeight w:val="300"/>
          <w:tblHeader/>
          <w:jc w:val="center"/>
        </w:trPr>
        <w:tc>
          <w:tcPr>
            <w:tcW w:w="3798" w:type="dxa"/>
            <w:gridSpan w:val="3"/>
            <w:vMerge w:val="restart"/>
            <w:tcMar>
              <w:top w:w="0" w:type="dxa"/>
              <w:left w:w="80" w:type="dxa"/>
              <w:bottom w:w="0" w:type="dxa"/>
              <w:right w:w="80" w:type="dxa"/>
            </w:tcMar>
            <w:vAlign w:val="bottom"/>
          </w:tcPr>
          <w:p w14:paraId="00000CE7" w14:textId="77777777" w:rsidR="004F7DB3" w:rsidRPr="00A350E0" w:rsidRDefault="00C00123">
            <w:pPr>
              <w:spacing w:before="240" w:after="0" w:line="276" w:lineRule="auto"/>
              <w:jc w:val="center"/>
              <w:rPr>
                <w:rFonts w:ascii="Arial" w:eastAsia="Arial" w:hAnsi="Arial" w:cs="Arial"/>
                <w:sz w:val="20"/>
                <w:szCs w:val="20"/>
                <w:lang w:val="en-US"/>
              </w:rPr>
            </w:pPr>
            <w:r w:rsidRPr="00A350E0">
              <w:rPr>
                <w:rFonts w:ascii="Arial" w:eastAsia="Arial" w:hAnsi="Arial" w:cs="Arial"/>
                <w:sz w:val="20"/>
                <w:szCs w:val="20"/>
                <w:lang w:val="en-US"/>
              </w:rPr>
              <w:t xml:space="preserve"> </w:t>
            </w:r>
          </w:p>
        </w:tc>
        <w:tc>
          <w:tcPr>
            <w:tcW w:w="1533" w:type="dxa"/>
            <w:vMerge w:val="restart"/>
            <w:tcMar>
              <w:top w:w="0" w:type="dxa"/>
              <w:left w:w="80" w:type="dxa"/>
              <w:bottom w:w="0" w:type="dxa"/>
              <w:right w:w="80" w:type="dxa"/>
            </w:tcMar>
            <w:vAlign w:val="bottom"/>
          </w:tcPr>
          <w:p w14:paraId="00000CEA" w14:textId="3F2D4027" w:rsidR="004F7DB3" w:rsidRDefault="2795E525">
            <w:pPr>
              <w:spacing w:before="240" w:after="0" w:line="276" w:lineRule="auto"/>
              <w:jc w:val="both"/>
              <w:rPr>
                <w:rFonts w:ascii="Arial" w:eastAsia="Arial" w:hAnsi="Arial" w:cs="Arial"/>
                <w:sz w:val="20"/>
                <w:szCs w:val="20"/>
              </w:rPr>
            </w:pPr>
            <w:r w:rsidRPr="5D8904BE">
              <w:rPr>
                <w:rFonts w:ascii="Arial" w:eastAsia="Arial" w:hAnsi="Arial" w:cs="Arial"/>
                <w:sz w:val="20"/>
                <w:szCs w:val="20"/>
              </w:rPr>
              <w:t>ACTIVITY</w:t>
            </w:r>
          </w:p>
          <w:p w14:paraId="00000CEB" w14:textId="77777777" w:rsidR="004F7DB3" w:rsidRDefault="00C00123">
            <w:pPr>
              <w:spacing w:before="240" w:after="0" w:line="276" w:lineRule="auto"/>
              <w:jc w:val="both"/>
              <w:rPr>
                <w:rFonts w:ascii="Arial" w:eastAsia="Arial" w:hAnsi="Arial" w:cs="Arial"/>
                <w:sz w:val="20"/>
                <w:szCs w:val="20"/>
              </w:rPr>
            </w:pPr>
            <w:r>
              <w:rPr>
                <w:rFonts w:ascii="Arial" w:eastAsia="Arial" w:hAnsi="Arial" w:cs="Arial"/>
                <w:sz w:val="20"/>
                <w:szCs w:val="20"/>
              </w:rPr>
              <w:t xml:space="preserve"> </w:t>
            </w:r>
          </w:p>
        </w:tc>
        <w:tc>
          <w:tcPr>
            <w:tcW w:w="1236" w:type="dxa"/>
            <w:gridSpan w:val="3"/>
            <w:tcMar>
              <w:top w:w="0" w:type="dxa"/>
              <w:left w:w="80" w:type="dxa"/>
              <w:bottom w:w="0" w:type="dxa"/>
              <w:right w:w="80" w:type="dxa"/>
            </w:tcMar>
            <w:vAlign w:val="bottom"/>
          </w:tcPr>
          <w:p w14:paraId="00000CEC"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2026</w:t>
            </w:r>
          </w:p>
        </w:tc>
        <w:tc>
          <w:tcPr>
            <w:tcW w:w="1644" w:type="dxa"/>
            <w:gridSpan w:val="4"/>
            <w:tcMar>
              <w:top w:w="0" w:type="dxa"/>
              <w:left w:w="80" w:type="dxa"/>
              <w:bottom w:w="0" w:type="dxa"/>
              <w:right w:w="80" w:type="dxa"/>
            </w:tcMar>
            <w:vAlign w:val="bottom"/>
          </w:tcPr>
          <w:p w14:paraId="00000CEF" w14:textId="77777777" w:rsidR="004F7DB3" w:rsidRDefault="00C00123">
            <w:pPr>
              <w:spacing w:before="240" w:after="0" w:line="276" w:lineRule="auto"/>
              <w:jc w:val="center"/>
              <w:rPr>
                <w:rFonts w:ascii="Arial" w:eastAsia="Arial" w:hAnsi="Arial" w:cs="Arial"/>
                <w:b/>
                <w:sz w:val="20"/>
                <w:szCs w:val="20"/>
              </w:rPr>
            </w:pPr>
            <w:r>
              <w:rPr>
                <w:rFonts w:ascii="Arial" w:eastAsia="Arial" w:hAnsi="Arial" w:cs="Arial"/>
                <w:b/>
                <w:sz w:val="20"/>
                <w:szCs w:val="20"/>
              </w:rPr>
              <w:t>2027</w:t>
            </w:r>
          </w:p>
        </w:tc>
        <w:tc>
          <w:tcPr>
            <w:tcW w:w="1660" w:type="dxa"/>
            <w:gridSpan w:val="4"/>
            <w:tcMar>
              <w:top w:w="0" w:type="dxa"/>
              <w:left w:w="80" w:type="dxa"/>
              <w:bottom w:w="0" w:type="dxa"/>
              <w:right w:w="80" w:type="dxa"/>
            </w:tcMar>
            <w:vAlign w:val="bottom"/>
          </w:tcPr>
          <w:p w14:paraId="00000CF3" w14:textId="77777777" w:rsidR="004F7DB3" w:rsidRDefault="00C00123">
            <w:pPr>
              <w:spacing w:before="240" w:after="0" w:line="276" w:lineRule="auto"/>
              <w:jc w:val="center"/>
              <w:rPr>
                <w:rFonts w:ascii="Arial" w:eastAsia="Arial" w:hAnsi="Arial" w:cs="Arial"/>
                <w:b/>
                <w:sz w:val="20"/>
                <w:szCs w:val="20"/>
              </w:rPr>
            </w:pPr>
            <w:r>
              <w:rPr>
                <w:rFonts w:ascii="Arial" w:eastAsia="Arial" w:hAnsi="Arial" w:cs="Arial"/>
                <w:b/>
                <w:sz w:val="20"/>
                <w:szCs w:val="20"/>
              </w:rPr>
              <w:t>2028</w:t>
            </w:r>
          </w:p>
        </w:tc>
        <w:tc>
          <w:tcPr>
            <w:tcW w:w="1652" w:type="dxa"/>
            <w:gridSpan w:val="4"/>
            <w:tcMar>
              <w:top w:w="0" w:type="dxa"/>
              <w:left w:w="80" w:type="dxa"/>
              <w:bottom w:w="0" w:type="dxa"/>
              <w:right w:w="80" w:type="dxa"/>
            </w:tcMar>
            <w:vAlign w:val="bottom"/>
          </w:tcPr>
          <w:p w14:paraId="00000CF7" w14:textId="77777777" w:rsidR="004F7DB3" w:rsidRDefault="00C00123">
            <w:pPr>
              <w:spacing w:before="240" w:after="0" w:line="276" w:lineRule="auto"/>
              <w:jc w:val="center"/>
              <w:rPr>
                <w:rFonts w:ascii="Arial" w:eastAsia="Arial" w:hAnsi="Arial" w:cs="Arial"/>
                <w:b/>
                <w:sz w:val="20"/>
                <w:szCs w:val="20"/>
              </w:rPr>
            </w:pPr>
            <w:r>
              <w:rPr>
                <w:rFonts w:ascii="Arial" w:eastAsia="Arial" w:hAnsi="Arial" w:cs="Arial"/>
                <w:b/>
                <w:sz w:val="20"/>
                <w:szCs w:val="20"/>
              </w:rPr>
              <w:t>2029</w:t>
            </w:r>
          </w:p>
        </w:tc>
        <w:tc>
          <w:tcPr>
            <w:tcW w:w="1704" w:type="dxa"/>
            <w:gridSpan w:val="4"/>
            <w:tcMar>
              <w:top w:w="0" w:type="dxa"/>
              <w:left w:w="80" w:type="dxa"/>
              <w:bottom w:w="0" w:type="dxa"/>
              <w:right w:w="80" w:type="dxa"/>
            </w:tcMar>
            <w:vAlign w:val="bottom"/>
          </w:tcPr>
          <w:p w14:paraId="00000CFB" w14:textId="77777777" w:rsidR="004F7DB3" w:rsidRDefault="00C00123">
            <w:pPr>
              <w:spacing w:before="240" w:after="0" w:line="276" w:lineRule="auto"/>
              <w:jc w:val="center"/>
              <w:rPr>
                <w:rFonts w:ascii="Arial" w:eastAsia="Arial" w:hAnsi="Arial" w:cs="Arial"/>
                <w:b/>
                <w:sz w:val="20"/>
                <w:szCs w:val="20"/>
              </w:rPr>
            </w:pPr>
            <w:r>
              <w:rPr>
                <w:rFonts w:ascii="Arial" w:eastAsia="Arial" w:hAnsi="Arial" w:cs="Arial"/>
                <w:b/>
                <w:sz w:val="20"/>
                <w:szCs w:val="20"/>
              </w:rPr>
              <w:t>2030</w:t>
            </w:r>
          </w:p>
        </w:tc>
        <w:tc>
          <w:tcPr>
            <w:tcW w:w="774" w:type="dxa"/>
            <w:gridSpan w:val="2"/>
            <w:tcMar>
              <w:top w:w="0" w:type="dxa"/>
              <w:left w:w="80" w:type="dxa"/>
              <w:bottom w:w="0" w:type="dxa"/>
              <w:right w:w="80" w:type="dxa"/>
            </w:tcMar>
          </w:tcPr>
          <w:p w14:paraId="00000CFF" w14:textId="77777777" w:rsidR="004F7DB3" w:rsidRDefault="00C00123">
            <w:pPr>
              <w:spacing w:before="240" w:after="0" w:line="276" w:lineRule="auto"/>
              <w:jc w:val="center"/>
              <w:rPr>
                <w:rFonts w:ascii="Arial" w:eastAsia="Arial" w:hAnsi="Arial" w:cs="Arial"/>
                <w:b/>
                <w:sz w:val="20"/>
                <w:szCs w:val="20"/>
              </w:rPr>
            </w:pPr>
            <w:r>
              <w:rPr>
                <w:rFonts w:ascii="Arial" w:eastAsia="Arial" w:hAnsi="Arial" w:cs="Arial"/>
                <w:b/>
                <w:sz w:val="20"/>
                <w:szCs w:val="20"/>
              </w:rPr>
              <w:t>2031</w:t>
            </w:r>
          </w:p>
        </w:tc>
      </w:tr>
      <w:tr w:rsidR="004F7DB3" w14:paraId="411BF404" w14:textId="77777777" w:rsidTr="00714C21">
        <w:trPr>
          <w:trHeight w:val="300"/>
          <w:tblHeader/>
          <w:jc w:val="center"/>
        </w:trPr>
        <w:tc>
          <w:tcPr>
            <w:tcW w:w="3798" w:type="dxa"/>
            <w:gridSpan w:val="3"/>
            <w:vMerge/>
            <w:tcMar>
              <w:top w:w="100" w:type="dxa"/>
              <w:left w:w="100" w:type="dxa"/>
              <w:bottom w:w="100" w:type="dxa"/>
              <w:right w:w="100" w:type="dxa"/>
            </w:tcMar>
          </w:tcPr>
          <w:p w14:paraId="00000D01" w14:textId="77777777" w:rsidR="004F7DB3" w:rsidRDefault="004F7DB3">
            <w:pPr>
              <w:spacing w:after="60" w:line="240" w:lineRule="auto"/>
              <w:jc w:val="both"/>
              <w:rPr>
                <w:sz w:val="20"/>
                <w:szCs w:val="20"/>
              </w:rPr>
            </w:pPr>
          </w:p>
        </w:tc>
        <w:tc>
          <w:tcPr>
            <w:tcW w:w="1533" w:type="dxa"/>
            <w:vMerge/>
            <w:tcMar>
              <w:top w:w="100" w:type="dxa"/>
              <w:left w:w="100" w:type="dxa"/>
              <w:bottom w:w="100" w:type="dxa"/>
              <w:right w:w="100" w:type="dxa"/>
            </w:tcMar>
          </w:tcPr>
          <w:p w14:paraId="00000D04" w14:textId="77777777" w:rsidR="004F7DB3" w:rsidRDefault="004F7DB3">
            <w:pPr>
              <w:spacing w:after="60" w:line="240" w:lineRule="auto"/>
              <w:jc w:val="both"/>
              <w:rPr>
                <w:sz w:val="20"/>
                <w:szCs w:val="20"/>
              </w:rPr>
            </w:pPr>
          </w:p>
        </w:tc>
        <w:tc>
          <w:tcPr>
            <w:tcW w:w="412" w:type="dxa"/>
            <w:tcMar>
              <w:top w:w="0" w:type="dxa"/>
              <w:left w:w="80" w:type="dxa"/>
              <w:bottom w:w="0" w:type="dxa"/>
              <w:right w:w="80" w:type="dxa"/>
            </w:tcMar>
            <w:vAlign w:val="bottom"/>
          </w:tcPr>
          <w:p w14:paraId="00000D05"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Q2</w:t>
            </w:r>
          </w:p>
        </w:tc>
        <w:tc>
          <w:tcPr>
            <w:tcW w:w="412" w:type="dxa"/>
            <w:tcMar>
              <w:top w:w="0" w:type="dxa"/>
              <w:left w:w="80" w:type="dxa"/>
              <w:bottom w:w="0" w:type="dxa"/>
              <w:right w:w="80" w:type="dxa"/>
            </w:tcMar>
            <w:vAlign w:val="bottom"/>
          </w:tcPr>
          <w:p w14:paraId="00000D06"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Q3</w:t>
            </w:r>
          </w:p>
        </w:tc>
        <w:tc>
          <w:tcPr>
            <w:tcW w:w="412" w:type="dxa"/>
            <w:tcMar>
              <w:top w:w="0" w:type="dxa"/>
              <w:left w:w="80" w:type="dxa"/>
              <w:bottom w:w="0" w:type="dxa"/>
              <w:right w:w="80" w:type="dxa"/>
            </w:tcMar>
            <w:vAlign w:val="bottom"/>
          </w:tcPr>
          <w:p w14:paraId="00000D07"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Q4</w:t>
            </w:r>
          </w:p>
        </w:tc>
        <w:tc>
          <w:tcPr>
            <w:tcW w:w="413" w:type="dxa"/>
            <w:tcMar>
              <w:top w:w="0" w:type="dxa"/>
              <w:left w:w="80" w:type="dxa"/>
              <w:bottom w:w="0" w:type="dxa"/>
              <w:right w:w="80" w:type="dxa"/>
            </w:tcMar>
            <w:vAlign w:val="bottom"/>
          </w:tcPr>
          <w:p w14:paraId="00000D08"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Q1</w:t>
            </w:r>
          </w:p>
        </w:tc>
        <w:tc>
          <w:tcPr>
            <w:tcW w:w="413" w:type="dxa"/>
            <w:tcMar>
              <w:top w:w="0" w:type="dxa"/>
              <w:left w:w="80" w:type="dxa"/>
              <w:bottom w:w="0" w:type="dxa"/>
              <w:right w:w="80" w:type="dxa"/>
            </w:tcMar>
            <w:vAlign w:val="bottom"/>
          </w:tcPr>
          <w:p w14:paraId="00000D09"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Q2</w:t>
            </w:r>
          </w:p>
        </w:tc>
        <w:tc>
          <w:tcPr>
            <w:tcW w:w="413" w:type="dxa"/>
            <w:tcMar>
              <w:top w:w="0" w:type="dxa"/>
              <w:left w:w="80" w:type="dxa"/>
              <w:bottom w:w="0" w:type="dxa"/>
              <w:right w:w="80" w:type="dxa"/>
            </w:tcMar>
            <w:vAlign w:val="bottom"/>
          </w:tcPr>
          <w:p w14:paraId="00000D0A"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Q3</w:t>
            </w:r>
          </w:p>
        </w:tc>
        <w:tc>
          <w:tcPr>
            <w:tcW w:w="405" w:type="dxa"/>
            <w:tcMar>
              <w:top w:w="0" w:type="dxa"/>
              <w:left w:w="80" w:type="dxa"/>
              <w:bottom w:w="0" w:type="dxa"/>
              <w:right w:w="80" w:type="dxa"/>
            </w:tcMar>
            <w:vAlign w:val="bottom"/>
          </w:tcPr>
          <w:p w14:paraId="00000D0B"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Q4</w:t>
            </w:r>
          </w:p>
        </w:tc>
        <w:tc>
          <w:tcPr>
            <w:tcW w:w="421" w:type="dxa"/>
            <w:tcMar>
              <w:top w:w="0" w:type="dxa"/>
              <w:left w:w="80" w:type="dxa"/>
              <w:bottom w:w="0" w:type="dxa"/>
              <w:right w:w="80" w:type="dxa"/>
            </w:tcMar>
            <w:vAlign w:val="bottom"/>
          </w:tcPr>
          <w:p w14:paraId="00000D0C"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Q1</w:t>
            </w:r>
          </w:p>
        </w:tc>
        <w:tc>
          <w:tcPr>
            <w:tcW w:w="413" w:type="dxa"/>
            <w:tcMar>
              <w:top w:w="0" w:type="dxa"/>
              <w:left w:w="80" w:type="dxa"/>
              <w:bottom w:w="0" w:type="dxa"/>
              <w:right w:w="80" w:type="dxa"/>
            </w:tcMar>
            <w:vAlign w:val="bottom"/>
          </w:tcPr>
          <w:p w14:paraId="00000D0D"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Q2</w:t>
            </w:r>
          </w:p>
        </w:tc>
        <w:tc>
          <w:tcPr>
            <w:tcW w:w="413" w:type="dxa"/>
            <w:tcMar>
              <w:top w:w="0" w:type="dxa"/>
              <w:left w:w="80" w:type="dxa"/>
              <w:bottom w:w="0" w:type="dxa"/>
              <w:right w:w="80" w:type="dxa"/>
            </w:tcMar>
            <w:vAlign w:val="bottom"/>
          </w:tcPr>
          <w:p w14:paraId="00000D0E"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Q3</w:t>
            </w:r>
          </w:p>
        </w:tc>
        <w:tc>
          <w:tcPr>
            <w:tcW w:w="413" w:type="dxa"/>
            <w:tcMar>
              <w:top w:w="0" w:type="dxa"/>
              <w:left w:w="80" w:type="dxa"/>
              <w:bottom w:w="0" w:type="dxa"/>
              <w:right w:w="80" w:type="dxa"/>
            </w:tcMar>
            <w:vAlign w:val="bottom"/>
          </w:tcPr>
          <w:p w14:paraId="00000D0F"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Q4</w:t>
            </w:r>
          </w:p>
        </w:tc>
        <w:tc>
          <w:tcPr>
            <w:tcW w:w="413" w:type="dxa"/>
            <w:tcMar>
              <w:top w:w="0" w:type="dxa"/>
              <w:left w:w="80" w:type="dxa"/>
              <w:bottom w:w="0" w:type="dxa"/>
              <w:right w:w="80" w:type="dxa"/>
            </w:tcMar>
            <w:vAlign w:val="bottom"/>
          </w:tcPr>
          <w:p w14:paraId="00000D10"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Q1</w:t>
            </w:r>
          </w:p>
        </w:tc>
        <w:tc>
          <w:tcPr>
            <w:tcW w:w="413" w:type="dxa"/>
            <w:tcMar>
              <w:top w:w="0" w:type="dxa"/>
              <w:left w:w="80" w:type="dxa"/>
              <w:bottom w:w="0" w:type="dxa"/>
              <w:right w:w="80" w:type="dxa"/>
            </w:tcMar>
            <w:vAlign w:val="bottom"/>
          </w:tcPr>
          <w:p w14:paraId="00000D11"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Q2</w:t>
            </w:r>
          </w:p>
        </w:tc>
        <w:tc>
          <w:tcPr>
            <w:tcW w:w="413" w:type="dxa"/>
            <w:tcMar>
              <w:top w:w="0" w:type="dxa"/>
              <w:left w:w="80" w:type="dxa"/>
              <w:bottom w:w="0" w:type="dxa"/>
              <w:right w:w="80" w:type="dxa"/>
            </w:tcMar>
            <w:vAlign w:val="bottom"/>
          </w:tcPr>
          <w:p w14:paraId="00000D12"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Q3</w:t>
            </w:r>
          </w:p>
        </w:tc>
        <w:tc>
          <w:tcPr>
            <w:tcW w:w="413" w:type="dxa"/>
            <w:tcMar>
              <w:top w:w="0" w:type="dxa"/>
              <w:left w:w="80" w:type="dxa"/>
              <w:bottom w:w="0" w:type="dxa"/>
              <w:right w:w="80" w:type="dxa"/>
            </w:tcMar>
            <w:vAlign w:val="bottom"/>
          </w:tcPr>
          <w:p w14:paraId="00000D13"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Q4</w:t>
            </w:r>
          </w:p>
        </w:tc>
        <w:tc>
          <w:tcPr>
            <w:tcW w:w="413" w:type="dxa"/>
            <w:tcMar>
              <w:top w:w="0" w:type="dxa"/>
              <w:left w:w="80" w:type="dxa"/>
              <w:bottom w:w="0" w:type="dxa"/>
              <w:right w:w="80" w:type="dxa"/>
            </w:tcMar>
            <w:vAlign w:val="bottom"/>
          </w:tcPr>
          <w:p w14:paraId="00000D14"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Q1</w:t>
            </w:r>
          </w:p>
        </w:tc>
        <w:tc>
          <w:tcPr>
            <w:tcW w:w="413" w:type="dxa"/>
            <w:tcMar>
              <w:top w:w="0" w:type="dxa"/>
              <w:left w:w="80" w:type="dxa"/>
              <w:bottom w:w="0" w:type="dxa"/>
              <w:right w:w="80" w:type="dxa"/>
            </w:tcMar>
            <w:vAlign w:val="bottom"/>
          </w:tcPr>
          <w:p w14:paraId="00000D15"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Q2</w:t>
            </w:r>
          </w:p>
        </w:tc>
        <w:tc>
          <w:tcPr>
            <w:tcW w:w="413" w:type="dxa"/>
            <w:tcMar>
              <w:top w:w="0" w:type="dxa"/>
              <w:left w:w="80" w:type="dxa"/>
              <w:bottom w:w="0" w:type="dxa"/>
              <w:right w:w="80" w:type="dxa"/>
            </w:tcMar>
            <w:vAlign w:val="bottom"/>
          </w:tcPr>
          <w:p w14:paraId="00000D16"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Q3</w:t>
            </w:r>
          </w:p>
        </w:tc>
        <w:tc>
          <w:tcPr>
            <w:tcW w:w="465" w:type="dxa"/>
            <w:tcMar>
              <w:top w:w="0" w:type="dxa"/>
              <w:left w:w="80" w:type="dxa"/>
              <w:bottom w:w="0" w:type="dxa"/>
              <w:right w:w="80" w:type="dxa"/>
            </w:tcMar>
            <w:vAlign w:val="bottom"/>
          </w:tcPr>
          <w:p w14:paraId="00000D17"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Q4</w:t>
            </w:r>
          </w:p>
        </w:tc>
        <w:tc>
          <w:tcPr>
            <w:tcW w:w="361" w:type="dxa"/>
            <w:tcMar>
              <w:top w:w="0" w:type="dxa"/>
              <w:left w:w="80" w:type="dxa"/>
              <w:bottom w:w="0" w:type="dxa"/>
              <w:right w:w="80" w:type="dxa"/>
            </w:tcMar>
            <w:vAlign w:val="bottom"/>
          </w:tcPr>
          <w:p w14:paraId="00000D18"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Q1</w:t>
            </w:r>
          </w:p>
        </w:tc>
        <w:tc>
          <w:tcPr>
            <w:tcW w:w="413" w:type="dxa"/>
            <w:tcMar>
              <w:top w:w="0" w:type="dxa"/>
              <w:left w:w="80" w:type="dxa"/>
              <w:bottom w:w="0" w:type="dxa"/>
              <w:right w:w="80" w:type="dxa"/>
            </w:tcMar>
            <w:vAlign w:val="bottom"/>
          </w:tcPr>
          <w:p w14:paraId="00000D19" w14:textId="77777777" w:rsidR="004F7DB3" w:rsidRDefault="00C00123">
            <w:pPr>
              <w:spacing w:before="240" w:after="0" w:line="276" w:lineRule="auto"/>
              <w:jc w:val="center"/>
              <w:rPr>
                <w:rFonts w:ascii="Arial" w:eastAsia="Arial" w:hAnsi="Arial" w:cs="Arial"/>
                <w:b/>
                <w:color w:val="595959"/>
                <w:sz w:val="20"/>
                <w:szCs w:val="20"/>
              </w:rPr>
            </w:pPr>
            <w:r>
              <w:rPr>
                <w:rFonts w:ascii="Arial" w:eastAsia="Arial" w:hAnsi="Arial" w:cs="Arial"/>
                <w:b/>
                <w:color w:val="595959"/>
                <w:sz w:val="20"/>
                <w:szCs w:val="20"/>
              </w:rPr>
              <w:t>Q2</w:t>
            </w:r>
          </w:p>
        </w:tc>
      </w:tr>
      <w:tr w:rsidR="004568FE" w14:paraId="686D1E2F" w14:textId="77777777" w:rsidTr="00714C21">
        <w:trPr>
          <w:trHeight w:val="300"/>
          <w:jc w:val="center"/>
        </w:trPr>
        <w:tc>
          <w:tcPr>
            <w:tcW w:w="1600" w:type="dxa"/>
            <w:vMerge w:val="restart"/>
            <w:tcMar>
              <w:top w:w="0" w:type="dxa"/>
              <w:left w:w="80" w:type="dxa"/>
              <w:bottom w:w="0" w:type="dxa"/>
              <w:right w:w="80" w:type="dxa"/>
            </w:tcMar>
          </w:tcPr>
          <w:p w14:paraId="00000D1A" w14:textId="5D722D7D" w:rsidR="004568FE" w:rsidRDefault="004568FE" w:rsidP="5D8904BE">
            <w:pPr>
              <w:spacing w:before="240" w:after="0" w:line="276" w:lineRule="auto"/>
              <w:jc w:val="center"/>
              <w:rPr>
                <w:rFonts w:ascii="Arial" w:eastAsia="Arial" w:hAnsi="Arial" w:cs="Arial"/>
                <w:b/>
                <w:bCs/>
                <w:sz w:val="20"/>
                <w:szCs w:val="20"/>
              </w:rPr>
            </w:pPr>
            <w:proofErr w:type="gramStart"/>
            <w:r w:rsidRPr="5D8904BE">
              <w:rPr>
                <w:rFonts w:ascii="Arial" w:eastAsia="Arial" w:hAnsi="Arial" w:cs="Arial"/>
                <w:b/>
                <w:bCs/>
                <w:sz w:val="20"/>
                <w:szCs w:val="20"/>
              </w:rPr>
              <w:t>Component  1</w:t>
            </w:r>
            <w:proofErr w:type="gramEnd"/>
          </w:p>
        </w:tc>
        <w:tc>
          <w:tcPr>
            <w:tcW w:w="919" w:type="dxa"/>
            <w:vMerge w:val="restart"/>
            <w:tcMar>
              <w:top w:w="0" w:type="dxa"/>
              <w:left w:w="80" w:type="dxa"/>
              <w:bottom w:w="0" w:type="dxa"/>
              <w:right w:w="80" w:type="dxa"/>
            </w:tcMar>
          </w:tcPr>
          <w:p w14:paraId="00000D1B" w14:textId="6A011671" w:rsidR="004568FE" w:rsidRDefault="004568FE">
            <w:pPr>
              <w:spacing w:before="240" w:after="0" w:line="276" w:lineRule="auto"/>
              <w:jc w:val="center"/>
              <w:rPr>
                <w:sz w:val="20"/>
                <w:szCs w:val="20"/>
              </w:rPr>
            </w:pPr>
            <w:proofErr w:type="spellStart"/>
            <w:r w:rsidRPr="5D8904BE">
              <w:rPr>
                <w:sz w:val="20"/>
                <w:szCs w:val="20"/>
              </w:rPr>
              <w:t>Outcome</w:t>
            </w:r>
            <w:proofErr w:type="spellEnd"/>
            <w:r w:rsidRPr="5D8904BE">
              <w:rPr>
                <w:sz w:val="20"/>
                <w:szCs w:val="20"/>
              </w:rPr>
              <w:t xml:space="preserve"> 1.1</w:t>
            </w:r>
          </w:p>
        </w:tc>
        <w:tc>
          <w:tcPr>
            <w:tcW w:w="1279" w:type="dxa"/>
            <w:vMerge w:val="restart"/>
            <w:tcMar>
              <w:top w:w="0" w:type="dxa"/>
              <w:left w:w="80" w:type="dxa"/>
              <w:bottom w:w="0" w:type="dxa"/>
              <w:right w:w="80" w:type="dxa"/>
            </w:tcMar>
          </w:tcPr>
          <w:p w14:paraId="00000D1C" w14:textId="7C17586C" w:rsidR="004568FE" w:rsidRDefault="004568FE" w:rsidP="5D8904BE">
            <w:pPr>
              <w:spacing w:before="240" w:after="0" w:line="276" w:lineRule="auto"/>
              <w:jc w:val="both"/>
              <w:rPr>
                <w:rFonts w:ascii="Arial" w:eastAsia="Arial" w:hAnsi="Arial" w:cs="Arial"/>
                <w:b/>
                <w:bCs/>
                <w:sz w:val="20"/>
                <w:szCs w:val="20"/>
              </w:rPr>
            </w:pPr>
            <w:r w:rsidRPr="5D8904BE">
              <w:rPr>
                <w:rFonts w:ascii="Arial" w:eastAsia="Arial" w:hAnsi="Arial" w:cs="Arial"/>
                <w:b/>
                <w:bCs/>
                <w:sz w:val="20"/>
                <w:szCs w:val="20"/>
              </w:rPr>
              <w:t>Output 1.1.1</w:t>
            </w:r>
          </w:p>
        </w:tc>
        <w:tc>
          <w:tcPr>
            <w:tcW w:w="1533" w:type="dxa"/>
            <w:tcMar>
              <w:top w:w="0" w:type="dxa"/>
              <w:left w:w="80" w:type="dxa"/>
              <w:bottom w:w="0" w:type="dxa"/>
              <w:right w:w="80" w:type="dxa"/>
            </w:tcMar>
            <w:vAlign w:val="bottom"/>
          </w:tcPr>
          <w:p w14:paraId="00000D1D" w14:textId="25AAC2FA" w:rsidR="004568FE" w:rsidRDefault="004568FE">
            <w:pPr>
              <w:spacing w:before="240" w:after="0" w:line="276" w:lineRule="auto"/>
              <w:jc w:val="both"/>
              <w:rPr>
                <w:sz w:val="20"/>
                <w:szCs w:val="20"/>
              </w:rPr>
            </w:pPr>
            <w:r w:rsidRPr="5D8904BE">
              <w:rPr>
                <w:sz w:val="20"/>
                <w:szCs w:val="20"/>
              </w:rPr>
              <w:t>Activity 1.1.1.1</w:t>
            </w:r>
          </w:p>
        </w:tc>
        <w:tc>
          <w:tcPr>
            <w:tcW w:w="412" w:type="dxa"/>
            <w:tcMar>
              <w:top w:w="0" w:type="dxa"/>
              <w:left w:w="80" w:type="dxa"/>
              <w:bottom w:w="0" w:type="dxa"/>
              <w:right w:w="80" w:type="dxa"/>
            </w:tcMar>
            <w:vAlign w:val="bottom"/>
          </w:tcPr>
          <w:p w14:paraId="00000D1E" w14:textId="77777777" w:rsidR="004568FE" w:rsidRDefault="004568FE">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D1F" w14:textId="77777777" w:rsidR="004568FE" w:rsidRDefault="004568FE">
            <w:pPr>
              <w:spacing w:before="240" w:after="0" w:line="276" w:lineRule="auto"/>
              <w:jc w:val="both"/>
              <w:rPr>
                <w:sz w:val="20"/>
                <w:szCs w:val="20"/>
              </w:rPr>
            </w:pPr>
            <w:r>
              <w:rPr>
                <w:sz w:val="20"/>
                <w:szCs w:val="20"/>
              </w:rPr>
              <w:t xml:space="preserve"> </w:t>
            </w:r>
          </w:p>
        </w:tc>
        <w:tc>
          <w:tcPr>
            <w:tcW w:w="412" w:type="dxa"/>
            <w:shd w:val="clear" w:color="auto" w:fill="215C98"/>
            <w:tcMar>
              <w:top w:w="0" w:type="dxa"/>
              <w:left w:w="80" w:type="dxa"/>
              <w:bottom w:w="0" w:type="dxa"/>
              <w:right w:w="80" w:type="dxa"/>
            </w:tcMar>
            <w:vAlign w:val="bottom"/>
          </w:tcPr>
          <w:p w14:paraId="00000D20"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D21"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D22"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D23" w14:textId="77777777" w:rsidR="004568FE" w:rsidRDefault="004568FE">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0D24" w14:textId="77777777" w:rsidR="004568FE" w:rsidRDefault="004568FE">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0D25"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26"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27"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28"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29"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2A"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2B"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2C"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2D"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2E"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2F" w14:textId="77777777" w:rsidR="004568FE" w:rsidRDefault="004568FE">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0D30" w14:textId="77777777" w:rsidR="004568FE" w:rsidRDefault="004568FE">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0D31"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32" w14:textId="77777777" w:rsidR="004568FE" w:rsidRDefault="004568FE">
            <w:pPr>
              <w:spacing w:before="240" w:after="0" w:line="276" w:lineRule="auto"/>
              <w:jc w:val="both"/>
              <w:rPr>
                <w:sz w:val="20"/>
                <w:szCs w:val="20"/>
              </w:rPr>
            </w:pPr>
            <w:r>
              <w:rPr>
                <w:sz w:val="20"/>
                <w:szCs w:val="20"/>
              </w:rPr>
              <w:t xml:space="preserve"> </w:t>
            </w:r>
          </w:p>
        </w:tc>
      </w:tr>
      <w:tr w:rsidR="004568FE" w14:paraId="3D2BDE05" w14:textId="77777777" w:rsidTr="00714C21">
        <w:trPr>
          <w:trHeight w:val="300"/>
          <w:jc w:val="center"/>
        </w:trPr>
        <w:tc>
          <w:tcPr>
            <w:tcW w:w="1600" w:type="dxa"/>
            <w:vMerge/>
            <w:tcMar>
              <w:top w:w="100" w:type="dxa"/>
              <w:left w:w="100" w:type="dxa"/>
              <w:bottom w:w="100" w:type="dxa"/>
              <w:right w:w="100" w:type="dxa"/>
            </w:tcMar>
          </w:tcPr>
          <w:p w14:paraId="00000D33" w14:textId="77777777" w:rsidR="004568FE" w:rsidRDefault="004568FE">
            <w:pPr>
              <w:spacing w:after="60" w:line="240" w:lineRule="auto"/>
              <w:jc w:val="both"/>
              <w:rPr>
                <w:sz w:val="20"/>
                <w:szCs w:val="20"/>
              </w:rPr>
            </w:pPr>
          </w:p>
        </w:tc>
        <w:tc>
          <w:tcPr>
            <w:tcW w:w="919" w:type="dxa"/>
            <w:vMerge/>
            <w:tcMar>
              <w:top w:w="100" w:type="dxa"/>
              <w:left w:w="100" w:type="dxa"/>
              <w:bottom w:w="100" w:type="dxa"/>
              <w:right w:w="100" w:type="dxa"/>
            </w:tcMar>
          </w:tcPr>
          <w:p w14:paraId="00000D34" w14:textId="77777777" w:rsidR="004568FE" w:rsidRDefault="004568FE">
            <w:pPr>
              <w:spacing w:after="60" w:line="240" w:lineRule="auto"/>
              <w:jc w:val="both"/>
              <w:rPr>
                <w:sz w:val="20"/>
                <w:szCs w:val="20"/>
              </w:rPr>
            </w:pPr>
          </w:p>
        </w:tc>
        <w:tc>
          <w:tcPr>
            <w:tcW w:w="1279" w:type="dxa"/>
            <w:vMerge/>
            <w:tcMar>
              <w:top w:w="100" w:type="dxa"/>
              <w:left w:w="100" w:type="dxa"/>
              <w:bottom w:w="100" w:type="dxa"/>
              <w:right w:w="100" w:type="dxa"/>
            </w:tcMar>
          </w:tcPr>
          <w:p w14:paraId="00000D35" w14:textId="77777777" w:rsidR="004568FE" w:rsidRDefault="004568FE">
            <w:pPr>
              <w:spacing w:after="60" w:line="240" w:lineRule="auto"/>
              <w:jc w:val="both"/>
              <w:rPr>
                <w:sz w:val="20"/>
                <w:szCs w:val="20"/>
              </w:rPr>
            </w:pPr>
          </w:p>
        </w:tc>
        <w:tc>
          <w:tcPr>
            <w:tcW w:w="1533" w:type="dxa"/>
            <w:tcMar>
              <w:top w:w="0" w:type="dxa"/>
              <w:left w:w="80" w:type="dxa"/>
              <w:bottom w:w="0" w:type="dxa"/>
              <w:right w:w="80" w:type="dxa"/>
            </w:tcMar>
            <w:vAlign w:val="bottom"/>
          </w:tcPr>
          <w:p w14:paraId="00000D36" w14:textId="78FCE053" w:rsidR="004568FE" w:rsidRDefault="004568FE">
            <w:pPr>
              <w:spacing w:before="240" w:after="0" w:line="276" w:lineRule="auto"/>
              <w:jc w:val="both"/>
              <w:rPr>
                <w:sz w:val="20"/>
                <w:szCs w:val="20"/>
              </w:rPr>
            </w:pPr>
            <w:r w:rsidRPr="5D8904BE">
              <w:rPr>
                <w:sz w:val="20"/>
                <w:szCs w:val="20"/>
              </w:rPr>
              <w:t>Activity 1.1.1.2</w:t>
            </w:r>
          </w:p>
        </w:tc>
        <w:tc>
          <w:tcPr>
            <w:tcW w:w="412" w:type="dxa"/>
            <w:tcMar>
              <w:top w:w="0" w:type="dxa"/>
              <w:left w:w="80" w:type="dxa"/>
              <w:bottom w:w="0" w:type="dxa"/>
              <w:right w:w="80" w:type="dxa"/>
            </w:tcMar>
            <w:vAlign w:val="bottom"/>
          </w:tcPr>
          <w:p w14:paraId="00000D37" w14:textId="77777777" w:rsidR="004568FE" w:rsidRDefault="004568FE">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D38" w14:textId="77777777" w:rsidR="004568FE" w:rsidRDefault="004568FE">
            <w:pPr>
              <w:spacing w:before="240" w:after="0" w:line="276" w:lineRule="auto"/>
              <w:jc w:val="both"/>
              <w:rPr>
                <w:sz w:val="20"/>
                <w:szCs w:val="20"/>
              </w:rPr>
            </w:pPr>
            <w:r>
              <w:rPr>
                <w:sz w:val="20"/>
                <w:szCs w:val="20"/>
              </w:rPr>
              <w:t xml:space="preserve"> </w:t>
            </w:r>
          </w:p>
        </w:tc>
        <w:tc>
          <w:tcPr>
            <w:tcW w:w="412" w:type="dxa"/>
            <w:shd w:val="clear" w:color="auto" w:fill="215E99" w:themeFill="text2" w:themeFillTint="BF"/>
            <w:tcMar>
              <w:top w:w="0" w:type="dxa"/>
              <w:left w:w="80" w:type="dxa"/>
              <w:bottom w:w="0" w:type="dxa"/>
              <w:right w:w="80" w:type="dxa"/>
            </w:tcMar>
            <w:vAlign w:val="bottom"/>
          </w:tcPr>
          <w:p w14:paraId="00000D39"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E99" w:themeFill="text2" w:themeFillTint="BF"/>
            <w:tcMar>
              <w:top w:w="0" w:type="dxa"/>
              <w:left w:w="80" w:type="dxa"/>
              <w:bottom w:w="0" w:type="dxa"/>
              <w:right w:w="80" w:type="dxa"/>
            </w:tcMar>
            <w:vAlign w:val="bottom"/>
          </w:tcPr>
          <w:p w14:paraId="00000D3A"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E99" w:themeFill="text2" w:themeFillTint="BF"/>
            <w:tcMar>
              <w:top w:w="0" w:type="dxa"/>
              <w:left w:w="80" w:type="dxa"/>
              <w:bottom w:w="0" w:type="dxa"/>
              <w:right w:w="80" w:type="dxa"/>
            </w:tcMar>
            <w:vAlign w:val="bottom"/>
          </w:tcPr>
          <w:p w14:paraId="00000D3B"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E99" w:themeFill="text2" w:themeFillTint="BF"/>
            <w:tcMar>
              <w:top w:w="0" w:type="dxa"/>
              <w:left w:w="80" w:type="dxa"/>
              <w:bottom w:w="0" w:type="dxa"/>
              <w:right w:w="80" w:type="dxa"/>
            </w:tcMar>
            <w:vAlign w:val="bottom"/>
          </w:tcPr>
          <w:p w14:paraId="00000D3C" w14:textId="77777777" w:rsidR="004568FE" w:rsidRDefault="004568FE">
            <w:pPr>
              <w:spacing w:before="240" w:after="0" w:line="276" w:lineRule="auto"/>
              <w:jc w:val="both"/>
              <w:rPr>
                <w:sz w:val="20"/>
                <w:szCs w:val="20"/>
              </w:rPr>
            </w:pPr>
            <w:r>
              <w:rPr>
                <w:sz w:val="20"/>
                <w:szCs w:val="20"/>
              </w:rPr>
              <w:t xml:space="preserve"> </w:t>
            </w:r>
          </w:p>
        </w:tc>
        <w:tc>
          <w:tcPr>
            <w:tcW w:w="405" w:type="dxa"/>
            <w:shd w:val="clear" w:color="auto" w:fill="215E99" w:themeFill="text2" w:themeFillTint="BF"/>
            <w:tcMar>
              <w:top w:w="0" w:type="dxa"/>
              <w:left w:w="80" w:type="dxa"/>
              <w:bottom w:w="0" w:type="dxa"/>
              <w:right w:w="80" w:type="dxa"/>
            </w:tcMar>
            <w:vAlign w:val="bottom"/>
          </w:tcPr>
          <w:p w14:paraId="00000D3D" w14:textId="77777777" w:rsidR="004568FE" w:rsidRDefault="004568FE">
            <w:pPr>
              <w:spacing w:before="240" w:after="0" w:line="276" w:lineRule="auto"/>
              <w:jc w:val="both"/>
              <w:rPr>
                <w:sz w:val="20"/>
                <w:szCs w:val="20"/>
              </w:rPr>
            </w:pPr>
            <w:r>
              <w:rPr>
                <w:sz w:val="20"/>
                <w:szCs w:val="20"/>
              </w:rPr>
              <w:t xml:space="preserve"> </w:t>
            </w:r>
          </w:p>
        </w:tc>
        <w:tc>
          <w:tcPr>
            <w:tcW w:w="421" w:type="dxa"/>
            <w:shd w:val="clear" w:color="auto" w:fill="215E99" w:themeFill="text2" w:themeFillTint="BF"/>
            <w:tcMar>
              <w:top w:w="0" w:type="dxa"/>
              <w:left w:w="80" w:type="dxa"/>
              <w:bottom w:w="0" w:type="dxa"/>
              <w:right w:w="80" w:type="dxa"/>
            </w:tcMar>
            <w:vAlign w:val="bottom"/>
          </w:tcPr>
          <w:p w14:paraId="00000D3E"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E99" w:themeFill="text2" w:themeFillTint="BF"/>
            <w:tcMar>
              <w:top w:w="0" w:type="dxa"/>
              <w:left w:w="80" w:type="dxa"/>
              <w:bottom w:w="0" w:type="dxa"/>
              <w:right w:w="80" w:type="dxa"/>
            </w:tcMar>
            <w:vAlign w:val="bottom"/>
          </w:tcPr>
          <w:p w14:paraId="00000D3F"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E99" w:themeFill="text2" w:themeFillTint="BF"/>
            <w:tcMar>
              <w:top w:w="0" w:type="dxa"/>
              <w:left w:w="80" w:type="dxa"/>
              <w:bottom w:w="0" w:type="dxa"/>
              <w:right w:w="80" w:type="dxa"/>
            </w:tcMar>
            <w:vAlign w:val="bottom"/>
          </w:tcPr>
          <w:p w14:paraId="00000D40"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41"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42"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43"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44"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45"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46"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47"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48" w14:textId="77777777" w:rsidR="004568FE" w:rsidRDefault="004568FE">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0D49" w14:textId="77777777" w:rsidR="004568FE" w:rsidRDefault="004568FE">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0D4A"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4B" w14:textId="77777777" w:rsidR="004568FE" w:rsidRDefault="004568FE">
            <w:pPr>
              <w:spacing w:before="240" w:after="0" w:line="276" w:lineRule="auto"/>
              <w:jc w:val="both"/>
              <w:rPr>
                <w:sz w:val="20"/>
                <w:szCs w:val="20"/>
              </w:rPr>
            </w:pPr>
            <w:r>
              <w:rPr>
                <w:sz w:val="20"/>
                <w:szCs w:val="20"/>
              </w:rPr>
              <w:t xml:space="preserve"> </w:t>
            </w:r>
          </w:p>
        </w:tc>
      </w:tr>
      <w:tr w:rsidR="004568FE" w14:paraId="56F143B3" w14:textId="77777777" w:rsidTr="00714C21">
        <w:trPr>
          <w:trHeight w:val="300"/>
          <w:jc w:val="center"/>
        </w:trPr>
        <w:tc>
          <w:tcPr>
            <w:tcW w:w="1600" w:type="dxa"/>
            <w:vMerge/>
            <w:tcMar>
              <w:top w:w="100" w:type="dxa"/>
              <w:left w:w="100" w:type="dxa"/>
              <w:bottom w:w="100" w:type="dxa"/>
              <w:right w:w="100" w:type="dxa"/>
            </w:tcMar>
          </w:tcPr>
          <w:p w14:paraId="00000D4C" w14:textId="77777777" w:rsidR="004568FE" w:rsidRDefault="004568FE">
            <w:pPr>
              <w:spacing w:after="60" w:line="240" w:lineRule="auto"/>
              <w:jc w:val="both"/>
              <w:rPr>
                <w:sz w:val="20"/>
                <w:szCs w:val="20"/>
              </w:rPr>
            </w:pPr>
          </w:p>
        </w:tc>
        <w:tc>
          <w:tcPr>
            <w:tcW w:w="919" w:type="dxa"/>
            <w:vMerge/>
            <w:tcMar>
              <w:top w:w="100" w:type="dxa"/>
              <w:left w:w="100" w:type="dxa"/>
              <w:bottom w:w="100" w:type="dxa"/>
              <w:right w:w="100" w:type="dxa"/>
            </w:tcMar>
          </w:tcPr>
          <w:p w14:paraId="00000D4D" w14:textId="77777777" w:rsidR="004568FE" w:rsidRDefault="004568FE">
            <w:pPr>
              <w:spacing w:after="60" w:line="240" w:lineRule="auto"/>
              <w:jc w:val="both"/>
              <w:rPr>
                <w:sz w:val="20"/>
                <w:szCs w:val="20"/>
              </w:rPr>
            </w:pPr>
          </w:p>
        </w:tc>
        <w:tc>
          <w:tcPr>
            <w:tcW w:w="1279" w:type="dxa"/>
            <w:vMerge/>
            <w:tcMar>
              <w:top w:w="100" w:type="dxa"/>
              <w:left w:w="100" w:type="dxa"/>
              <w:bottom w:w="100" w:type="dxa"/>
              <w:right w:w="100" w:type="dxa"/>
            </w:tcMar>
          </w:tcPr>
          <w:p w14:paraId="00000D4E" w14:textId="77777777" w:rsidR="004568FE" w:rsidRDefault="004568FE">
            <w:pPr>
              <w:spacing w:after="60" w:line="240" w:lineRule="auto"/>
              <w:jc w:val="both"/>
              <w:rPr>
                <w:sz w:val="20"/>
                <w:szCs w:val="20"/>
              </w:rPr>
            </w:pPr>
          </w:p>
        </w:tc>
        <w:tc>
          <w:tcPr>
            <w:tcW w:w="1533" w:type="dxa"/>
            <w:tcMar>
              <w:top w:w="0" w:type="dxa"/>
              <w:left w:w="80" w:type="dxa"/>
              <w:bottom w:w="0" w:type="dxa"/>
              <w:right w:w="80" w:type="dxa"/>
            </w:tcMar>
            <w:vAlign w:val="bottom"/>
          </w:tcPr>
          <w:p w14:paraId="00000D4F" w14:textId="59B81A43" w:rsidR="004568FE" w:rsidRDefault="004568FE">
            <w:pPr>
              <w:spacing w:before="240" w:after="0" w:line="276" w:lineRule="auto"/>
              <w:jc w:val="both"/>
              <w:rPr>
                <w:sz w:val="20"/>
                <w:szCs w:val="20"/>
              </w:rPr>
            </w:pPr>
            <w:r w:rsidRPr="5D8904BE">
              <w:rPr>
                <w:sz w:val="20"/>
                <w:szCs w:val="20"/>
              </w:rPr>
              <w:t>Activity 1.1.1.3</w:t>
            </w:r>
          </w:p>
        </w:tc>
        <w:tc>
          <w:tcPr>
            <w:tcW w:w="412" w:type="dxa"/>
            <w:tcMar>
              <w:top w:w="0" w:type="dxa"/>
              <w:left w:w="80" w:type="dxa"/>
              <w:bottom w:w="0" w:type="dxa"/>
              <w:right w:w="80" w:type="dxa"/>
            </w:tcMar>
            <w:vAlign w:val="bottom"/>
          </w:tcPr>
          <w:p w14:paraId="00000D50" w14:textId="77777777" w:rsidR="004568FE" w:rsidRDefault="004568FE">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D51" w14:textId="77777777" w:rsidR="004568FE" w:rsidRDefault="004568FE">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D52"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53"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E99" w:themeFill="text2" w:themeFillTint="BF"/>
            <w:tcMar>
              <w:top w:w="0" w:type="dxa"/>
              <w:left w:w="80" w:type="dxa"/>
              <w:bottom w:w="0" w:type="dxa"/>
              <w:right w:w="80" w:type="dxa"/>
            </w:tcMar>
            <w:vAlign w:val="bottom"/>
          </w:tcPr>
          <w:p w14:paraId="00000D54"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E99" w:themeFill="text2" w:themeFillTint="BF"/>
            <w:tcMar>
              <w:top w:w="0" w:type="dxa"/>
              <w:left w:w="80" w:type="dxa"/>
              <w:bottom w:w="0" w:type="dxa"/>
              <w:right w:w="80" w:type="dxa"/>
            </w:tcMar>
            <w:vAlign w:val="bottom"/>
          </w:tcPr>
          <w:p w14:paraId="00000D55" w14:textId="77777777" w:rsidR="004568FE" w:rsidRDefault="004568FE">
            <w:pPr>
              <w:spacing w:before="240" w:after="0" w:line="276" w:lineRule="auto"/>
              <w:jc w:val="both"/>
              <w:rPr>
                <w:sz w:val="20"/>
                <w:szCs w:val="20"/>
              </w:rPr>
            </w:pPr>
            <w:r>
              <w:rPr>
                <w:sz w:val="20"/>
                <w:szCs w:val="20"/>
              </w:rPr>
              <w:t xml:space="preserve"> </w:t>
            </w:r>
          </w:p>
        </w:tc>
        <w:tc>
          <w:tcPr>
            <w:tcW w:w="405" w:type="dxa"/>
            <w:shd w:val="clear" w:color="auto" w:fill="215E99" w:themeFill="text2" w:themeFillTint="BF"/>
            <w:tcMar>
              <w:top w:w="0" w:type="dxa"/>
              <w:left w:w="80" w:type="dxa"/>
              <w:bottom w:w="0" w:type="dxa"/>
              <w:right w:w="80" w:type="dxa"/>
            </w:tcMar>
            <w:vAlign w:val="bottom"/>
          </w:tcPr>
          <w:p w14:paraId="00000D56" w14:textId="77777777" w:rsidR="004568FE" w:rsidRDefault="004568FE">
            <w:pPr>
              <w:spacing w:before="240" w:after="0" w:line="276" w:lineRule="auto"/>
              <w:jc w:val="both"/>
              <w:rPr>
                <w:sz w:val="20"/>
                <w:szCs w:val="20"/>
              </w:rPr>
            </w:pPr>
            <w:r>
              <w:rPr>
                <w:sz w:val="20"/>
                <w:szCs w:val="20"/>
              </w:rPr>
              <w:t xml:space="preserve"> </w:t>
            </w:r>
          </w:p>
        </w:tc>
        <w:tc>
          <w:tcPr>
            <w:tcW w:w="421" w:type="dxa"/>
            <w:shd w:val="clear" w:color="auto" w:fill="215E99" w:themeFill="text2" w:themeFillTint="BF"/>
            <w:tcMar>
              <w:top w:w="0" w:type="dxa"/>
              <w:left w:w="80" w:type="dxa"/>
              <w:bottom w:w="0" w:type="dxa"/>
              <w:right w:w="80" w:type="dxa"/>
            </w:tcMar>
            <w:vAlign w:val="bottom"/>
          </w:tcPr>
          <w:p w14:paraId="00000D57"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E99" w:themeFill="text2" w:themeFillTint="BF"/>
            <w:tcMar>
              <w:top w:w="0" w:type="dxa"/>
              <w:left w:w="80" w:type="dxa"/>
              <w:bottom w:w="0" w:type="dxa"/>
              <w:right w:w="80" w:type="dxa"/>
            </w:tcMar>
            <w:vAlign w:val="bottom"/>
          </w:tcPr>
          <w:p w14:paraId="00000D58"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E99" w:themeFill="text2" w:themeFillTint="BF"/>
            <w:tcMar>
              <w:top w:w="0" w:type="dxa"/>
              <w:left w:w="80" w:type="dxa"/>
              <w:bottom w:w="0" w:type="dxa"/>
              <w:right w:w="80" w:type="dxa"/>
            </w:tcMar>
            <w:vAlign w:val="bottom"/>
          </w:tcPr>
          <w:p w14:paraId="00000D59"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5A"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5B"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5C"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5D"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5E"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5F"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60"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61" w14:textId="77777777" w:rsidR="004568FE" w:rsidRDefault="004568FE">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0D62" w14:textId="77777777" w:rsidR="004568FE" w:rsidRDefault="004568FE">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0D63"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64" w14:textId="77777777" w:rsidR="004568FE" w:rsidRDefault="004568FE">
            <w:pPr>
              <w:spacing w:before="240" w:after="0" w:line="276" w:lineRule="auto"/>
              <w:jc w:val="both"/>
              <w:rPr>
                <w:sz w:val="20"/>
                <w:szCs w:val="20"/>
              </w:rPr>
            </w:pPr>
            <w:r>
              <w:rPr>
                <w:sz w:val="20"/>
                <w:szCs w:val="20"/>
              </w:rPr>
              <w:t xml:space="preserve"> </w:t>
            </w:r>
          </w:p>
        </w:tc>
      </w:tr>
      <w:tr w:rsidR="004568FE" w14:paraId="0C2FA4D6" w14:textId="77777777" w:rsidTr="00714C21">
        <w:trPr>
          <w:trHeight w:val="300"/>
          <w:jc w:val="center"/>
        </w:trPr>
        <w:tc>
          <w:tcPr>
            <w:tcW w:w="1600" w:type="dxa"/>
            <w:vMerge/>
            <w:tcMar>
              <w:top w:w="100" w:type="dxa"/>
              <w:left w:w="100" w:type="dxa"/>
              <w:bottom w:w="100" w:type="dxa"/>
              <w:right w:w="100" w:type="dxa"/>
            </w:tcMar>
          </w:tcPr>
          <w:p w14:paraId="00000D97" w14:textId="77777777" w:rsidR="004568FE" w:rsidRDefault="004568FE">
            <w:pPr>
              <w:spacing w:after="60" w:line="240" w:lineRule="auto"/>
              <w:jc w:val="both"/>
              <w:rPr>
                <w:sz w:val="20"/>
                <w:szCs w:val="20"/>
              </w:rPr>
            </w:pPr>
          </w:p>
        </w:tc>
        <w:tc>
          <w:tcPr>
            <w:tcW w:w="919" w:type="dxa"/>
            <w:vMerge/>
            <w:tcMar>
              <w:top w:w="100" w:type="dxa"/>
              <w:left w:w="100" w:type="dxa"/>
              <w:bottom w:w="100" w:type="dxa"/>
              <w:right w:w="100" w:type="dxa"/>
            </w:tcMar>
          </w:tcPr>
          <w:p w14:paraId="00000D98" w14:textId="77777777" w:rsidR="004568FE" w:rsidRDefault="004568FE">
            <w:pPr>
              <w:spacing w:after="60" w:line="240" w:lineRule="auto"/>
              <w:jc w:val="both"/>
              <w:rPr>
                <w:sz w:val="20"/>
                <w:szCs w:val="20"/>
              </w:rPr>
            </w:pPr>
          </w:p>
        </w:tc>
        <w:tc>
          <w:tcPr>
            <w:tcW w:w="1279" w:type="dxa"/>
            <w:vMerge/>
            <w:tcMar>
              <w:top w:w="100" w:type="dxa"/>
              <w:left w:w="100" w:type="dxa"/>
              <w:bottom w:w="100" w:type="dxa"/>
              <w:right w:w="100" w:type="dxa"/>
            </w:tcMar>
          </w:tcPr>
          <w:p w14:paraId="00000D99" w14:textId="77777777" w:rsidR="004568FE" w:rsidRDefault="004568FE">
            <w:pPr>
              <w:spacing w:after="60" w:line="240" w:lineRule="auto"/>
              <w:jc w:val="both"/>
              <w:rPr>
                <w:sz w:val="20"/>
                <w:szCs w:val="20"/>
              </w:rPr>
            </w:pPr>
          </w:p>
        </w:tc>
        <w:tc>
          <w:tcPr>
            <w:tcW w:w="1533" w:type="dxa"/>
            <w:tcMar>
              <w:top w:w="0" w:type="dxa"/>
              <w:left w:w="80" w:type="dxa"/>
              <w:bottom w:w="0" w:type="dxa"/>
              <w:right w:w="80" w:type="dxa"/>
            </w:tcMar>
            <w:vAlign w:val="bottom"/>
          </w:tcPr>
          <w:p w14:paraId="00000D9A" w14:textId="4A4007E7" w:rsidR="004568FE" w:rsidRDefault="004568FE">
            <w:pPr>
              <w:spacing w:before="240" w:after="0" w:line="276" w:lineRule="auto"/>
              <w:jc w:val="both"/>
              <w:rPr>
                <w:sz w:val="20"/>
                <w:szCs w:val="20"/>
              </w:rPr>
            </w:pPr>
            <w:r w:rsidRPr="1A8B662A">
              <w:rPr>
                <w:sz w:val="20"/>
                <w:szCs w:val="20"/>
              </w:rPr>
              <w:t>Activity 1.1.1.4</w:t>
            </w:r>
          </w:p>
        </w:tc>
        <w:tc>
          <w:tcPr>
            <w:tcW w:w="412" w:type="dxa"/>
            <w:tcMar>
              <w:top w:w="0" w:type="dxa"/>
              <w:left w:w="80" w:type="dxa"/>
              <w:bottom w:w="0" w:type="dxa"/>
              <w:right w:w="80" w:type="dxa"/>
            </w:tcMar>
            <w:vAlign w:val="bottom"/>
          </w:tcPr>
          <w:p w14:paraId="00000D9B" w14:textId="77777777" w:rsidR="004568FE" w:rsidRDefault="004568FE">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D9C" w14:textId="77777777" w:rsidR="004568FE" w:rsidRDefault="004568FE">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D9D"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9E"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9F"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A0" w14:textId="77777777" w:rsidR="004568FE" w:rsidRDefault="004568FE">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0DA1" w14:textId="77777777" w:rsidR="004568FE" w:rsidRDefault="004568FE">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0DA2"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DA3"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DA4"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DA5"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DA6"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DA7"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A8"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A9"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AA"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AB"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AC" w14:textId="77777777" w:rsidR="004568FE" w:rsidRDefault="004568FE">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0DAD" w14:textId="77777777" w:rsidR="004568FE" w:rsidRDefault="004568FE">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0DAE"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AF" w14:textId="77777777" w:rsidR="004568FE" w:rsidRDefault="004568FE">
            <w:pPr>
              <w:spacing w:before="240" w:after="0" w:line="276" w:lineRule="auto"/>
              <w:jc w:val="both"/>
              <w:rPr>
                <w:sz w:val="20"/>
                <w:szCs w:val="20"/>
              </w:rPr>
            </w:pPr>
            <w:r>
              <w:rPr>
                <w:sz w:val="20"/>
                <w:szCs w:val="20"/>
              </w:rPr>
              <w:t xml:space="preserve"> </w:t>
            </w:r>
          </w:p>
        </w:tc>
      </w:tr>
      <w:tr w:rsidR="004568FE" w14:paraId="38ED2CB3" w14:textId="77777777" w:rsidTr="00714C21">
        <w:trPr>
          <w:trHeight w:val="300"/>
          <w:jc w:val="center"/>
        </w:trPr>
        <w:tc>
          <w:tcPr>
            <w:tcW w:w="1600" w:type="dxa"/>
            <w:vMerge/>
            <w:tcMar>
              <w:top w:w="100" w:type="dxa"/>
              <w:left w:w="100" w:type="dxa"/>
              <w:bottom w:w="100" w:type="dxa"/>
              <w:right w:w="100" w:type="dxa"/>
            </w:tcMar>
          </w:tcPr>
          <w:p w14:paraId="00000DC9" w14:textId="77777777" w:rsidR="004568FE" w:rsidRDefault="004568FE">
            <w:pPr>
              <w:spacing w:after="60" w:line="240" w:lineRule="auto"/>
              <w:jc w:val="both"/>
              <w:rPr>
                <w:sz w:val="20"/>
                <w:szCs w:val="20"/>
              </w:rPr>
            </w:pPr>
          </w:p>
        </w:tc>
        <w:tc>
          <w:tcPr>
            <w:tcW w:w="919" w:type="dxa"/>
            <w:vMerge/>
            <w:tcMar>
              <w:top w:w="100" w:type="dxa"/>
              <w:left w:w="100" w:type="dxa"/>
              <w:bottom w:w="100" w:type="dxa"/>
              <w:right w:w="100" w:type="dxa"/>
            </w:tcMar>
          </w:tcPr>
          <w:p w14:paraId="00000DCA" w14:textId="77777777" w:rsidR="004568FE" w:rsidRDefault="004568FE">
            <w:pPr>
              <w:spacing w:after="60" w:line="240" w:lineRule="auto"/>
              <w:jc w:val="both"/>
              <w:rPr>
                <w:sz w:val="20"/>
                <w:szCs w:val="20"/>
              </w:rPr>
            </w:pPr>
          </w:p>
        </w:tc>
        <w:tc>
          <w:tcPr>
            <w:tcW w:w="1279" w:type="dxa"/>
            <w:vMerge/>
            <w:tcMar>
              <w:top w:w="100" w:type="dxa"/>
              <w:left w:w="100" w:type="dxa"/>
              <w:bottom w:w="100" w:type="dxa"/>
              <w:right w:w="100" w:type="dxa"/>
            </w:tcMar>
          </w:tcPr>
          <w:p w14:paraId="00000DCB" w14:textId="77777777" w:rsidR="004568FE" w:rsidRDefault="004568FE">
            <w:pPr>
              <w:spacing w:after="60" w:line="240" w:lineRule="auto"/>
              <w:jc w:val="both"/>
              <w:rPr>
                <w:sz w:val="20"/>
                <w:szCs w:val="20"/>
              </w:rPr>
            </w:pPr>
          </w:p>
        </w:tc>
        <w:tc>
          <w:tcPr>
            <w:tcW w:w="1533" w:type="dxa"/>
            <w:tcMar>
              <w:top w:w="0" w:type="dxa"/>
              <w:left w:w="80" w:type="dxa"/>
              <w:bottom w:w="0" w:type="dxa"/>
              <w:right w:w="80" w:type="dxa"/>
            </w:tcMar>
            <w:vAlign w:val="bottom"/>
          </w:tcPr>
          <w:p w14:paraId="00000DCC" w14:textId="5940A93C" w:rsidR="004568FE" w:rsidRDefault="004568FE">
            <w:pPr>
              <w:spacing w:before="240" w:after="0" w:line="276" w:lineRule="auto"/>
              <w:jc w:val="both"/>
              <w:rPr>
                <w:sz w:val="20"/>
                <w:szCs w:val="20"/>
              </w:rPr>
            </w:pPr>
            <w:r w:rsidRPr="1A8B662A">
              <w:rPr>
                <w:sz w:val="20"/>
                <w:szCs w:val="20"/>
              </w:rPr>
              <w:t>Activity 1.1.1.5</w:t>
            </w:r>
          </w:p>
        </w:tc>
        <w:tc>
          <w:tcPr>
            <w:tcW w:w="412" w:type="dxa"/>
            <w:tcMar>
              <w:top w:w="0" w:type="dxa"/>
              <w:left w:w="80" w:type="dxa"/>
              <w:bottom w:w="0" w:type="dxa"/>
              <w:right w:w="80" w:type="dxa"/>
            </w:tcMar>
            <w:vAlign w:val="bottom"/>
          </w:tcPr>
          <w:p w14:paraId="00000DCD" w14:textId="77777777" w:rsidR="004568FE" w:rsidRDefault="004568FE">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DCE" w14:textId="77777777" w:rsidR="004568FE" w:rsidRDefault="004568FE">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DCF"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D0"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D1"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D2" w14:textId="77777777" w:rsidR="004568FE" w:rsidRDefault="004568FE">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0DD3" w14:textId="77777777" w:rsidR="004568FE" w:rsidRDefault="004568FE">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0DD4"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D5"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DD6"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DD7"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DD8"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DD9"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DDA"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DDB"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DC"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DD"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DE" w14:textId="77777777" w:rsidR="004568FE" w:rsidRDefault="004568FE">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0DDF" w14:textId="77777777" w:rsidR="004568FE" w:rsidRDefault="004568FE">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0DE0"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E1" w14:textId="77777777" w:rsidR="004568FE" w:rsidRDefault="004568FE">
            <w:pPr>
              <w:spacing w:before="240" w:after="0" w:line="276" w:lineRule="auto"/>
              <w:jc w:val="both"/>
              <w:rPr>
                <w:sz w:val="20"/>
                <w:szCs w:val="20"/>
              </w:rPr>
            </w:pPr>
            <w:r>
              <w:rPr>
                <w:sz w:val="20"/>
                <w:szCs w:val="20"/>
              </w:rPr>
              <w:t xml:space="preserve"> </w:t>
            </w:r>
          </w:p>
        </w:tc>
      </w:tr>
      <w:tr w:rsidR="004568FE" w14:paraId="7DD89143" w14:textId="77777777" w:rsidTr="00714C21">
        <w:trPr>
          <w:trHeight w:val="300"/>
          <w:jc w:val="center"/>
        </w:trPr>
        <w:tc>
          <w:tcPr>
            <w:tcW w:w="1600" w:type="dxa"/>
            <w:vMerge/>
            <w:tcMar>
              <w:top w:w="100" w:type="dxa"/>
              <w:left w:w="100" w:type="dxa"/>
              <w:bottom w:w="100" w:type="dxa"/>
              <w:right w:w="100" w:type="dxa"/>
            </w:tcMar>
          </w:tcPr>
          <w:p w14:paraId="00000DE2" w14:textId="77777777" w:rsidR="004568FE" w:rsidRDefault="004568FE">
            <w:pPr>
              <w:spacing w:after="60" w:line="240" w:lineRule="auto"/>
              <w:jc w:val="both"/>
              <w:rPr>
                <w:sz w:val="20"/>
                <w:szCs w:val="20"/>
              </w:rPr>
            </w:pPr>
          </w:p>
        </w:tc>
        <w:tc>
          <w:tcPr>
            <w:tcW w:w="919" w:type="dxa"/>
            <w:vMerge/>
            <w:tcMar>
              <w:top w:w="100" w:type="dxa"/>
              <w:left w:w="100" w:type="dxa"/>
              <w:bottom w:w="100" w:type="dxa"/>
              <w:right w:w="100" w:type="dxa"/>
            </w:tcMar>
          </w:tcPr>
          <w:p w14:paraId="00000DE3" w14:textId="77777777" w:rsidR="004568FE" w:rsidRDefault="004568FE">
            <w:pPr>
              <w:spacing w:after="60" w:line="240" w:lineRule="auto"/>
              <w:jc w:val="both"/>
              <w:rPr>
                <w:sz w:val="20"/>
                <w:szCs w:val="20"/>
              </w:rPr>
            </w:pPr>
          </w:p>
        </w:tc>
        <w:tc>
          <w:tcPr>
            <w:tcW w:w="1279" w:type="dxa"/>
            <w:vMerge/>
            <w:tcMar>
              <w:top w:w="100" w:type="dxa"/>
              <w:left w:w="100" w:type="dxa"/>
              <w:bottom w:w="100" w:type="dxa"/>
              <w:right w:w="100" w:type="dxa"/>
            </w:tcMar>
          </w:tcPr>
          <w:p w14:paraId="00000DE4" w14:textId="77777777" w:rsidR="004568FE" w:rsidRDefault="004568FE">
            <w:pPr>
              <w:spacing w:after="60" w:line="240" w:lineRule="auto"/>
              <w:jc w:val="both"/>
              <w:rPr>
                <w:sz w:val="20"/>
                <w:szCs w:val="20"/>
              </w:rPr>
            </w:pPr>
          </w:p>
        </w:tc>
        <w:tc>
          <w:tcPr>
            <w:tcW w:w="1533" w:type="dxa"/>
            <w:tcMar>
              <w:top w:w="0" w:type="dxa"/>
              <w:left w:w="80" w:type="dxa"/>
              <w:bottom w:w="0" w:type="dxa"/>
              <w:right w:w="80" w:type="dxa"/>
            </w:tcMar>
            <w:vAlign w:val="bottom"/>
          </w:tcPr>
          <w:p w14:paraId="00000DE5" w14:textId="20A93E70" w:rsidR="004568FE" w:rsidRDefault="004568FE">
            <w:pPr>
              <w:spacing w:before="240" w:after="0" w:line="276" w:lineRule="auto"/>
              <w:jc w:val="both"/>
              <w:rPr>
                <w:sz w:val="20"/>
                <w:szCs w:val="20"/>
              </w:rPr>
            </w:pPr>
            <w:r w:rsidRPr="1A8B662A">
              <w:rPr>
                <w:sz w:val="20"/>
                <w:szCs w:val="20"/>
              </w:rPr>
              <w:t>Activity 1.1.1.6</w:t>
            </w:r>
          </w:p>
        </w:tc>
        <w:tc>
          <w:tcPr>
            <w:tcW w:w="412" w:type="dxa"/>
            <w:tcMar>
              <w:top w:w="0" w:type="dxa"/>
              <w:left w:w="80" w:type="dxa"/>
              <w:bottom w:w="0" w:type="dxa"/>
              <w:right w:w="80" w:type="dxa"/>
            </w:tcMar>
            <w:vAlign w:val="bottom"/>
          </w:tcPr>
          <w:p w14:paraId="00000DE6" w14:textId="77777777" w:rsidR="004568FE" w:rsidRDefault="004568FE">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DE7" w14:textId="77777777" w:rsidR="004568FE" w:rsidRDefault="004568FE">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DE8"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E9"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DEA" w14:textId="77777777" w:rsidR="004568FE" w:rsidRDefault="004568FE">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DEB" w14:textId="77777777" w:rsidR="004568FE" w:rsidRDefault="004568FE">
            <w:pPr>
              <w:spacing w:before="240" w:after="0" w:line="276" w:lineRule="auto"/>
              <w:jc w:val="both"/>
              <w:rPr>
                <w:sz w:val="20"/>
                <w:szCs w:val="20"/>
              </w:rPr>
            </w:pPr>
            <w:r>
              <w:rPr>
                <w:sz w:val="20"/>
                <w:szCs w:val="20"/>
              </w:rPr>
              <w:t xml:space="preserve"> </w:t>
            </w:r>
          </w:p>
        </w:tc>
        <w:tc>
          <w:tcPr>
            <w:tcW w:w="405" w:type="dxa"/>
            <w:shd w:val="clear" w:color="auto" w:fill="215C98"/>
            <w:tcMar>
              <w:top w:w="0" w:type="dxa"/>
              <w:left w:w="80" w:type="dxa"/>
              <w:bottom w:w="0" w:type="dxa"/>
              <w:right w:w="80" w:type="dxa"/>
            </w:tcMar>
            <w:vAlign w:val="bottom"/>
          </w:tcPr>
          <w:p w14:paraId="00000DEC" w14:textId="77777777" w:rsidR="004568FE" w:rsidRDefault="004568FE">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0DED"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EE"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EF"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F0"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F1"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F2"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F3"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F4"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F5"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F6"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F7" w14:textId="77777777" w:rsidR="004568FE" w:rsidRDefault="004568FE">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0DF8" w14:textId="77777777" w:rsidR="004568FE" w:rsidRDefault="004568FE">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0DF9" w14:textId="77777777" w:rsidR="004568FE" w:rsidRDefault="004568FE">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DFA" w14:textId="77777777" w:rsidR="004568FE" w:rsidRDefault="004568FE">
            <w:pPr>
              <w:spacing w:before="240" w:after="0" w:line="276" w:lineRule="auto"/>
              <w:jc w:val="both"/>
              <w:rPr>
                <w:sz w:val="20"/>
                <w:szCs w:val="20"/>
              </w:rPr>
            </w:pPr>
            <w:r>
              <w:rPr>
                <w:sz w:val="20"/>
                <w:szCs w:val="20"/>
              </w:rPr>
              <w:t xml:space="preserve"> </w:t>
            </w:r>
          </w:p>
        </w:tc>
      </w:tr>
      <w:tr w:rsidR="004568FE" w14:paraId="39ABFCE5" w14:textId="77777777" w:rsidTr="00714C21">
        <w:trPr>
          <w:trHeight w:val="300"/>
          <w:jc w:val="center"/>
        </w:trPr>
        <w:tc>
          <w:tcPr>
            <w:tcW w:w="1600" w:type="dxa"/>
            <w:vMerge/>
            <w:tcMar>
              <w:top w:w="100" w:type="dxa"/>
              <w:left w:w="100" w:type="dxa"/>
              <w:bottom w:w="100" w:type="dxa"/>
              <w:right w:w="100" w:type="dxa"/>
            </w:tcMar>
          </w:tcPr>
          <w:p w14:paraId="57EAF469" w14:textId="77777777" w:rsidR="004568FE" w:rsidRDefault="004568FE">
            <w:pPr>
              <w:spacing w:after="60" w:line="240" w:lineRule="auto"/>
              <w:jc w:val="both"/>
              <w:rPr>
                <w:sz w:val="20"/>
                <w:szCs w:val="20"/>
              </w:rPr>
            </w:pPr>
          </w:p>
        </w:tc>
        <w:tc>
          <w:tcPr>
            <w:tcW w:w="919" w:type="dxa"/>
            <w:vMerge/>
            <w:tcMar>
              <w:top w:w="100" w:type="dxa"/>
              <w:left w:w="100" w:type="dxa"/>
              <w:bottom w:w="100" w:type="dxa"/>
              <w:right w:w="100" w:type="dxa"/>
            </w:tcMar>
          </w:tcPr>
          <w:p w14:paraId="6BAF3795" w14:textId="77777777" w:rsidR="004568FE" w:rsidRDefault="004568FE">
            <w:pPr>
              <w:spacing w:after="60" w:line="240" w:lineRule="auto"/>
              <w:jc w:val="both"/>
              <w:rPr>
                <w:sz w:val="20"/>
                <w:szCs w:val="20"/>
              </w:rPr>
            </w:pPr>
          </w:p>
        </w:tc>
        <w:tc>
          <w:tcPr>
            <w:tcW w:w="1279" w:type="dxa"/>
            <w:vMerge/>
            <w:tcMar>
              <w:top w:w="100" w:type="dxa"/>
              <w:left w:w="100" w:type="dxa"/>
              <w:bottom w:w="100" w:type="dxa"/>
              <w:right w:w="100" w:type="dxa"/>
            </w:tcMar>
          </w:tcPr>
          <w:p w14:paraId="3BF44E5C" w14:textId="77777777" w:rsidR="004568FE" w:rsidRDefault="004568FE">
            <w:pPr>
              <w:spacing w:after="60" w:line="240" w:lineRule="auto"/>
              <w:jc w:val="both"/>
              <w:rPr>
                <w:sz w:val="20"/>
                <w:szCs w:val="20"/>
              </w:rPr>
            </w:pPr>
          </w:p>
        </w:tc>
        <w:tc>
          <w:tcPr>
            <w:tcW w:w="1533" w:type="dxa"/>
            <w:tcMar>
              <w:top w:w="0" w:type="dxa"/>
              <w:left w:w="80" w:type="dxa"/>
              <w:bottom w:w="0" w:type="dxa"/>
              <w:right w:w="80" w:type="dxa"/>
            </w:tcMar>
            <w:vAlign w:val="bottom"/>
          </w:tcPr>
          <w:p w14:paraId="266EE362" w14:textId="17CD07C9" w:rsidR="004568FE" w:rsidRDefault="004568FE">
            <w:pPr>
              <w:spacing w:before="240" w:after="0" w:line="276" w:lineRule="auto"/>
              <w:jc w:val="both"/>
              <w:rPr>
                <w:sz w:val="20"/>
                <w:szCs w:val="20"/>
              </w:rPr>
            </w:pPr>
            <w:r w:rsidRPr="1A8B662A">
              <w:rPr>
                <w:sz w:val="20"/>
                <w:szCs w:val="20"/>
              </w:rPr>
              <w:t>Activity1.1.1.7</w:t>
            </w:r>
          </w:p>
        </w:tc>
        <w:tc>
          <w:tcPr>
            <w:tcW w:w="412" w:type="dxa"/>
            <w:tcMar>
              <w:top w:w="0" w:type="dxa"/>
              <w:left w:w="80" w:type="dxa"/>
              <w:bottom w:w="0" w:type="dxa"/>
              <w:right w:w="80" w:type="dxa"/>
            </w:tcMar>
            <w:vAlign w:val="bottom"/>
          </w:tcPr>
          <w:p w14:paraId="0715F6C7" w14:textId="77777777" w:rsidR="004568FE" w:rsidRDefault="004568FE">
            <w:pPr>
              <w:spacing w:before="240" w:after="0" w:line="276" w:lineRule="auto"/>
              <w:jc w:val="both"/>
              <w:rPr>
                <w:sz w:val="20"/>
                <w:szCs w:val="20"/>
              </w:rPr>
            </w:pPr>
          </w:p>
        </w:tc>
        <w:tc>
          <w:tcPr>
            <w:tcW w:w="412" w:type="dxa"/>
            <w:tcMar>
              <w:top w:w="0" w:type="dxa"/>
              <w:left w:w="80" w:type="dxa"/>
              <w:bottom w:w="0" w:type="dxa"/>
              <w:right w:w="80" w:type="dxa"/>
            </w:tcMar>
            <w:vAlign w:val="bottom"/>
          </w:tcPr>
          <w:p w14:paraId="70A8F167" w14:textId="77777777" w:rsidR="004568FE" w:rsidRDefault="004568FE">
            <w:pPr>
              <w:spacing w:before="240" w:after="0" w:line="276" w:lineRule="auto"/>
              <w:jc w:val="both"/>
              <w:rPr>
                <w:sz w:val="20"/>
                <w:szCs w:val="20"/>
              </w:rPr>
            </w:pPr>
          </w:p>
        </w:tc>
        <w:tc>
          <w:tcPr>
            <w:tcW w:w="412" w:type="dxa"/>
            <w:shd w:val="clear" w:color="auto" w:fill="215E99" w:themeFill="text2" w:themeFillTint="BF"/>
            <w:tcMar>
              <w:top w:w="0" w:type="dxa"/>
              <w:left w:w="80" w:type="dxa"/>
              <w:bottom w:w="0" w:type="dxa"/>
              <w:right w:w="80" w:type="dxa"/>
            </w:tcMar>
            <w:vAlign w:val="bottom"/>
          </w:tcPr>
          <w:p w14:paraId="1C41F6B4" w14:textId="77777777" w:rsidR="004568FE" w:rsidRDefault="004568FE">
            <w:pPr>
              <w:spacing w:before="240" w:after="0" w:line="276" w:lineRule="auto"/>
              <w:jc w:val="both"/>
              <w:rPr>
                <w:sz w:val="20"/>
                <w:szCs w:val="20"/>
              </w:rPr>
            </w:pPr>
          </w:p>
        </w:tc>
        <w:tc>
          <w:tcPr>
            <w:tcW w:w="413" w:type="dxa"/>
            <w:shd w:val="clear" w:color="auto" w:fill="215E99" w:themeFill="text2" w:themeFillTint="BF"/>
            <w:tcMar>
              <w:top w:w="0" w:type="dxa"/>
              <w:left w:w="80" w:type="dxa"/>
              <w:bottom w:w="0" w:type="dxa"/>
              <w:right w:w="80" w:type="dxa"/>
            </w:tcMar>
            <w:vAlign w:val="bottom"/>
          </w:tcPr>
          <w:p w14:paraId="29A21BA7" w14:textId="77777777" w:rsidR="004568FE" w:rsidRDefault="004568FE">
            <w:pPr>
              <w:spacing w:before="240" w:after="0" w:line="276" w:lineRule="auto"/>
              <w:jc w:val="both"/>
              <w:rPr>
                <w:sz w:val="20"/>
                <w:szCs w:val="20"/>
              </w:rPr>
            </w:pPr>
          </w:p>
        </w:tc>
        <w:tc>
          <w:tcPr>
            <w:tcW w:w="413" w:type="dxa"/>
            <w:shd w:val="clear" w:color="auto" w:fill="215E99" w:themeFill="text2" w:themeFillTint="BF"/>
            <w:tcMar>
              <w:top w:w="0" w:type="dxa"/>
              <w:left w:w="80" w:type="dxa"/>
              <w:bottom w:w="0" w:type="dxa"/>
              <w:right w:w="80" w:type="dxa"/>
            </w:tcMar>
            <w:vAlign w:val="bottom"/>
          </w:tcPr>
          <w:p w14:paraId="4B0B9B5A" w14:textId="77777777" w:rsidR="004568FE" w:rsidRDefault="004568FE">
            <w:pPr>
              <w:spacing w:before="240" w:after="0" w:line="276" w:lineRule="auto"/>
              <w:jc w:val="both"/>
              <w:rPr>
                <w:sz w:val="20"/>
                <w:szCs w:val="20"/>
              </w:rPr>
            </w:pPr>
          </w:p>
        </w:tc>
        <w:tc>
          <w:tcPr>
            <w:tcW w:w="413" w:type="dxa"/>
            <w:shd w:val="clear" w:color="auto" w:fill="215E99" w:themeFill="text2" w:themeFillTint="BF"/>
            <w:tcMar>
              <w:top w:w="0" w:type="dxa"/>
              <w:left w:w="80" w:type="dxa"/>
              <w:bottom w:w="0" w:type="dxa"/>
              <w:right w:w="80" w:type="dxa"/>
            </w:tcMar>
            <w:vAlign w:val="bottom"/>
          </w:tcPr>
          <w:p w14:paraId="1753A2B1" w14:textId="77777777" w:rsidR="004568FE" w:rsidRDefault="004568FE">
            <w:pPr>
              <w:spacing w:before="240" w:after="0" w:line="276" w:lineRule="auto"/>
              <w:jc w:val="both"/>
              <w:rPr>
                <w:sz w:val="20"/>
                <w:szCs w:val="20"/>
              </w:rPr>
            </w:pPr>
          </w:p>
        </w:tc>
        <w:tc>
          <w:tcPr>
            <w:tcW w:w="405" w:type="dxa"/>
            <w:shd w:val="clear" w:color="auto" w:fill="215E99" w:themeFill="text2" w:themeFillTint="BF"/>
            <w:tcMar>
              <w:top w:w="0" w:type="dxa"/>
              <w:left w:w="80" w:type="dxa"/>
              <w:bottom w:w="0" w:type="dxa"/>
              <w:right w:w="80" w:type="dxa"/>
            </w:tcMar>
            <w:vAlign w:val="bottom"/>
          </w:tcPr>
          <w:p w14:paraId="7E950F5A" w14:textId="77777777" w:rsidR="004568FE" w:rsidRDefault="004568FE">
            <w:pPr>
              <w:spacing w:before="240" w:after="0" w:line="276" w:lineRule="auto"/>
              <w:jc w:val="both"/>
              <w:rPr>
                <w:sz w:val="20"/>
                <w:szCs w:val="20"/>
              </w:rPr>
            </w:pPr>
          </w:p>
        </w:tc>
        <w:tc>
          <w:tcPr>
            <w:tcW w:w="421" w:type="dxa"/>
            <w:shd w:val="clear" w:color="auto" w:fill="215E99" w:themeFill="text2" w:themeFillTint="BF"/>
            <w:tcMar>
              <w:top w:w="0" w:type="dxa"/>
              <w:left w:w="80" w:type="dxa"/>
              <w:bottom w:w="0" w:type="dxa"/>
              <w:right w:w="80" w:type="dxa"/>
            </w:tcMar>
            <w:vAlign w:val="bottom"/>
          </w:tcPr>
          <w:p w14:paraId="377AF299" w14:textId="77777777" w:rsidR="004568FE" w:rsidRDefault="004568FE">
            <w:pPr>
              <w:spacing w:before="240" w:after="0" w:line="276" w:lineRule="auto"/>
              <w:jc w:val="both"/>
              <w:rPr>
                <w:sz w:val="20"/>
                <w:szCs w:val="20"/>
              </w:rPr>
            </w:pPr>
          </w:p>
        </w:tc>
        <w:tc>
          <w:tcPr>
            <w:tcW w:w="413" w:type="dxa"/>
            <w:shd w:val="clear" w:color="auto" w:fill="215E99" w:themeFill="text2" w:themeFillTint="BF"/>
            <w:tcMar>
              <w:top w:w="0" w:type="dxa"/>
              <w:left w:w="80" w:type="dxa"/>
              <w:bottom w:w="0" w:type="dxa"/>
              <w:right w:w="80" w:type="dxa"/>
            </w:tcMar>
            <w:vAlign w:val="bottom"/>
          </w:tcPr>
          <w:p w14:paraId="02B997A6" w14:textId="77777777" w:rsidR="004568FE" w:rsidRDefault="004568FE">
            <w:pPr>
              <w:spacing w:before="240" w:after="0" w:line="276" w:lineRule="auto"/>
              <w:jc w:val="both"/>
              <w:rPr>
                <w:sz w:val="20"/>
                <w:szCs w:val="20"/>
              </w:rPr>
            </w:pPr>
          </w:p>
        </w:tc>
        <w:tc>
          <w:tcPr>
            <w:tcW w:w="413" w:type="dxa"/>
            <w:shd w:val="clear" w:color="auto" w:fill="215E99" w:themeFill="text2" w:themeFillTint="BF"/>
            <w:tcMar>
              <w:top w:w="0" w:type="dxa"/>
              <w:left w:w="80" w:type="dxa"/>
              <w:bottom w:w="0" w:type="dxa"/>
              <w:right w:w="80" w:type="dxa"/>
            </w:tcMar>
            <w:vAlign w:val="bottom"/>
          </w:tcPr>
          <w:p w14:paraId="24FB7A65" w14:textId="77777777" w:rsidR="004568FE" w:rsidRDefault="004568FE">
            <w:pPr>
              <w:spacing w:before="240" w:after="0" w:line="276" w:lineRule="auto"/>
              <w:jc w:val="both"/>
              <w:rPr>
                <w:sz w:val="20"/>
                <w:szCs w:val="20"/>
              </w:rPr>
            </w:pPr>
          </w:p>
        </w:tc>
        <w:tc>
          <w:tcPr>
            <w:tcW w:w="413" w:type="dxa"/>
            <w:shd w:val="clear" w:color="auto" w:fill="215E99" w:themeFill="text2" w:themeFillTint="BF"/>
            <w:tcMar>
              <w:top w:w="0" w:type="dxa"/>
              <w:left w:w="80" w:type="dxa"/>
              <w:bottom w:w="0" w:type="dxa"/>
              <w:right w:w="80" w:type="dxa"/>
            </w:tcMar>
            <w:vAlign w:val="bottom"/>
          </w:tcPr>
          <w:p w14:paraId="5E934C49" w14:textId="77777777" w:rsidR="004568FE" w:rsidRDefault="004568FE">
            <w:pPr>
              <w:spacing w:before="240" w:after="0" w:line="276" w:lineRule="auto"/>
              <w:jc w:val="both"/>
              <w:rPr>
                <w:sz w:val="20"/>
                <w:szCs w:val="20"/>
              </w:rPr>
            </w:pPr>
          </w:p>
        </w:tc>
        <w:tc>
          <w:tcPr>
            <w:tcW w:w="413" w:type="dxa"/>
            <w:shd w:val="clear" w:color="auto" w:fill="215E99" w:themeFill="text2" w:themeFillTint="BF"/>
            <w:tcMar>
              <w:top w:w="0" w:type="dxa"/>
              <w:left w:w="80" w:type="dxa"/>
              <w:bottom w:w="0" w:type="dxa"/>
              <w:right w:w="80" w:type="dxa"/>
            </w:tcMar>
            <w:vAlign w:val="bottom"/>
          </w:tcPr>
          <w:p w14:paraId="53E263F6" w14:textId="77777777" w:rsidR="004568FE" w:rsidRDefault="004568FE">
            <w:pPr>
              <w:spacing w:before="240" w:after="0" w:line="276" w:lineRule="auto"/>
              <w:jc w:val="both"/>
              <w:rPr>
                <w:sz w:val="20"/>
                <w:szCs w:val="20"/>
              </w:rPr>
            </w:pPr>
          </w:p>
        </w:tc>
        <w:tc>
          <w:tcPr>
            <w:tcW w:w="413" w:type="dxa"/>
            <w:shd w:val="clear" w:color="auto" w:fill="215E99" w:themeFill="text2" w:themeFillTint="BF"/>
            <w:tcMar>
              <w:top w:w="0" w:type="dxa"/>
              <w:left w:w="80" w:type="dxa"/>
              <w:bottom w:w="0" w:type="dxa"/>
              <w:right w:w="80" w:type="dxa"/>
            </w:tcMar>
            <w:vAlign w:val="bottom"/>
          </w:tcPr>
          <w:p w14:paraId="2F21AD3C" w14:textId="77777777" w:rsidR="004568FE" w:rsidRDefault="004568FE">
            <w:pPr>
              <w:spacing w:before="240" w:after="0" w:line="276" w:lineRule="auto"/>
              <w:jc w:val="both"/>
              <w:rPr>
                <w:sz w:val="20"/>
                <w:szCs w:val="20"/>
              </w:rPr>
            </w:pPr>
          </w:p>
        </w:tc>
        <w:tc>
          <w:tcPr>
            <w:tcW w:w="413" w:type="dxa"/>
            <w:shd w:val="clear" w:color="auto" w:fill="215E99" w:themeFill="text2" w:themeFillTint="BF"/>
            <w:tcMar>
              <w:top w:w="0" w:type="dxa"/>
              <w:left w:w="80" w:type="dxa"/>
              <w:bottom w:w="0" w:type="dxa"/>
              <w:right w:w="80" w:type="dxa"/>
            </w:tcMar>
            <w:vAlign w:val="bottom"/>
          </w:tcPr>
          <w:p w14:paraId="39FF9A9C" w14:textId="77777777" w:rsidR="004568FE" w:rsidRDefault="004568FE">
            <w:pPr>
              <w:spacing w:before="240" w:after="0" w:line="276" w:lineRule="auto"/>
              <w:jc w:val="both"/>
              <w:rPr>
                <w:sz w:val="20"/>
                <w:szCs w:val="20"/>
              </w:rPr>
            </w:pPr>
          </w:p>
        </w:tc>
        <w:tc>
          <w:tcPr>
            <w:tcW w:w="413" w:type="dxa"/>
            <w:shd w:val="clear" w:color="auto" w:fill="215E99" w:themeFill="text2" w:themeFillTint="BF"/>
            <w:tcMar>
              <w:top w:w="0" w:type="dxa"/>
              <w:left w:w="80" w:type="dxa"/>
              <w:bottom w:w="0" w:type="dxa"/>
              <w:right w:w="80" w:type="dxa"/>
            </w:tcMar>
            <w:vAlign w:val="bottom"/>
          </w:tcPr>
          <w:p w14:paraId="1DDB14E9" w14:textId="77777777" w:rsidR="004568FE" w:rsidRDefault="004568FE">
            <w:pPr>
              <w:spacing w:before="240" w:after="0" w:line="276" w:lineRule="auto"/>
              <w:jc w:val="both"/>
              <w:rPr>
                <w:sz w:val="20"/>
                <w:szCs w:val="20"/>
              </w:rPr>
            </w:pPr>
          </w:p>
        </w:tc>
        <w:tc>
          <w:tcPr>
            <w:tcW w:w="413" w:type="dxa"/>
            <w:shd w:val="clear" w:color="auto" w:fill="215E99" w:themeFill="text2" w:themeFillTint="BF"/>
            <w:tcMar>
              <w:top w:w="0" w:type="dxa"/>
              <w:left w:w="80" w:type="dxa"/>
              <w:bottom w:w="0" w:type="dxa"/>
              <w:right w:w="80" w:type="dxa"/>
            </w:tcMar>
            <w:vAlign w:val="bottom"/>
          </w:tcPr>
          <w:p w14:paraId="78BDF7FF" w14:textId="77777777" w:rsidR="004568FE" w:rsidRDefault="004568FE">
            <w:pPr>
              <w:spacing w:before="240" w:after="0" w:line="276" w:lineRule="auto"/>
              <w:jc w:val="both"/>
              <w:rPr>
                <w:sz w:val="20"/>
                <w:szCs w:val="20"/>
              </w:rPr>
            </w:pPr>
          </w:p>
        </w:tc>
        <w:tc>
          <w:tcPr>
            <w:tcW w:w="413" w:type="dxa"/>
            <w:shd w:val="clear" w:color="auto" w:fill="215E99" w:themeFill="text2" w:themeFillTint="BF"/>
            <w:tcMar>
              <w:top w:w="0" w:type="dxa"/>
              <w:left w:w="80" w:type="dxa"/>
              <w:bottom w:w="0" w:type="dxa"/>
              <w:right w:w="80" w:type="dxa"/>
            </w:tcMar>
            <w:vAlign w:val="bottom"/>
          </w:tcPr>
          <w:p w14:paraId="2ADFEB2C" w14:textId="77777777" w:rsidR="004568FE" w:rsidRDefault="004568FE">
            <w:pPr>
              <w:spacing w:before="240" w:after="0" w:line="276" w:lineRule="auto"/>
              <w:jc w:val="both"/>
              <w:rPr>
                <w:sz w:val="20"/>
                <w:szCs w:val="20"/>
              </w:rPr>
            </w:pPr>
          </w:p>
        </w:tc>
        <w:tc>
          <w:tcPr>
            <w:tcW w:w="413" w:type="dxa"/>
            <w:shd w:val="clear" w:color="auto" w:fill="215E99" w:themeFill="text2" w:themeFillTint="BF"/>
            <w:tcMar>
              <w:top w:w="0" w:type="dxa"/>
              <w:left w:w="80" w:type="dxa"/>
              <w:bottom w:w="0" w:type="dxa"/>
              <w:right w:w="80" w:type="dxa"/>
            </w:tcMar>
            <w:vAlign w:val="bottom"/>
          </w:tcPr>
          <w:p w14:paraId="6B4DC26F" w14:textId="77777777" w:rsidR="004568FE" w:rsidRDefault="004568FE">
            <w:pPr>
              <w:spacing w:before="240" w:after="0" w:line="276" w:lineRule="auto"/>
              <w:jc w:val="both"/>
              <w:rPr>
                <w:sz w:val="20"/>
                <w:szCs w:val="20"/>
              </w:rPr>
            </w:pPr>
          </w:p>
        </w:tc>
        <w:tc>
          <w:tcPr>
            <w:tcW w:w="465" w:type="dxa"/>
            <w:tcMar>
              <w:top w:w="0" w:type="dxa"/>
              <w:left w:w="80" w:type="dxa"/>
              <w:bottom w:w="0" w:type="dxa"/>
              <w:right w:w="80" w:type="dxa"/>
            </w:tcMar>
            <w:vAlign w:val="bottom"/>
          </w:tcPr>
          <w:p w14:paraId="21291928" w14:textId="77777777" w:rsidR="004568FE" w:rsidRDefault="004568FE">
            <w:pPr>
              <w:spacing w:before="240" w:after="0" w:line="276" w:lineRule="auto"/>
              <w:jc w:val="both"/>
              <w:rPr>
                <w:sz w:val="20"/>
                <w:szCs w:val="20"/>
              </w:rPr>
            </w:pPr>
          </w:p>
        </w:tc>
        <w:tc>
          <w:tcPr>
            <w:tcW w:w="361" w:type="dxa"/>
            <w:tcMar>
              <w:top w:w="0" w:type="dxa"/>
              <w:left w:w="80" w:type="dxa"/>
              <w:bottom w:w="0" w:type="dxa"/>
              <w:right w:w="80" w:type="dxa"/>
            </w:tcMar>
            <w:vAlign w:val="bottom"/>
          </w:tcPr>
          <w:p w14:paraId="40B6DEAF" w14:textId="77777777" w:rsidR="004568FE" w:rsidRDefault="004568FE">
            <w:pPr>
              <w:spacing w:before="240" w:after="0" w:line="276" w:lineRule="auto"/>
              <w:jc w:val="both"/>
              <w:rPr>
                <w:sz w:val="20"/>
                <w:szCs w:val="20"/>
              </w:rPr>
            </w:pPr>
          </w:p>
        </w:tc>
        <w:tc>
          <w:tcPr>
            <w:tcW w:w="413" w:type="dxa"/>
            <w:tcMar>
              <w:top w:w="0" w:type="dxa"/>
              <w:left w:w="80" w:type="dxa"/>
              <w:bottom w:w="0" w:type="dxa"/>
              <w:right w:w="80" w:type="dxa"/>
            </w:tcMar>
            <w:vAlign w:val="bottom"/>
          </w:tcPr>
          <w:p w14:paraId="4289C088" w14:textId="77777777" w:rsidR="004568FE" w:rsidRDefault="004568FE">
            <w:pPr>
              <w:spacing w:before="240" w:after="0" w:line="276" w:lineRule="auto"/>
              <w:jc w:val="both"/>
              <w:rPr>
                <w:sz w:val="20"/>
                <w:szCs w:val="20"/>
              </w:rPr>
            </w:pPr>
          </w:p>
        </w:tc>
      </w:tr>
      <w:tr w:rsidR="00294CCF" w14:paraId="7849A70E" w14:textId="77777777" w:rsidTr="00714C21">
        <w:trPr>
          <w:trHeight w:val="300"/>
          <w:jc w:val="center"/>
        </w:trPr>
        <w:tc>
          <w:tcPr>
            <w:tcW w:w="1600" w:type="dxa"/>
            <w:vMerge/>
            <w:tcMar>
              <w:top w:w="100" w:type="dxa"/>
              <w:left w:w="100" w:type="dxa"/>
              <w:bottom w:w="100" w:type="dxa"/>
              <w:right w:w="100" w:type="dxa"/>
            </w:tcMar>
          </w:tcPr>
          <w:p w14:paraId="00000DFB" w14:textId="77777777" w:rsidR="004F7DB3" w:rsidRDefault="004F7DB3">
            <w:pPr>
              <w:spacing w:after="60" w:line="240" w:lineRule="auto"/>
              <w:jc w:val="both"/>
              <w:rPr>
                <w:sz w:val="20"/>
                <w:szCs w:val="20"/>
              </w:rPr>
            </w:pPr>
          </w:p>
        </w:tc>
        <w:tc>
          <w:tcPr>
            <w:tcW w:w="919" w:type="dxa"/>
            <w:vMerge/>
            <w:tcMar>
              <w:top w:w="100" w:type="dxa"/>
              <w:left w:w="100" w:type="dxa"/>
              <w:bottom w:w="100" w:type="dxa"/>
              <w:right w:w="100" w:type="dxa"/>
            </w:tcMar>
          </w:tcPr>
          <w:p w14:paraId="00000DFC" w14:textId="77777777" w:rsidR="004F7DB3" w:rsidRDefault="004F7DB3">
            <w:pPr>
              <w:spacing w:after="60" w:line="240" w:lineRule="auto"/>
              <w:jc w:val="both"/>
              <w:rPr>
                <w:sz w:val="20"/>
                <w:szCs w:val="20"/>
              </w:rPr>
            </w:pPr>
          </w:p>
        </w:tc>
        <w:tc>
          <w:tcPr>
            <w:tcW w:w="1279" w:type="dxa"/>
            <w:vMerge w:val="restart"/>
            <w:tcMar>
              <w:top w:w="0" w:type="dxa"/>
              <w:left w:w="80" w:type="dxa"/>
              <w:bottom w:w="0" w:type="dxa"/>
              <w:right w:w="80" w:type="dxa"/>
            </w:tcMar>
          </w:tcPr>
          <w:p w14:paraId="00000DFD" w14:textId="5C8EE618" w:rsidR="004F7DB3" w:rsidRDefault="2795E525" w:rsidP="5D8904BE">
            <w:pPr>
              <w:spacing w:before="240" w:after="0" w:line="276" w:lineRule="auto"/>
              <w:jc w:val="both"/>
              <w:rPr>
                <w:rFonts w:ascii="Arial" w:eastAsia="Arial" w:hAnsi="Arial" w:cs="Arial"/>
                <w:b/>
                <w:bCs/>
                <w:sz w:val="20"/>
                <w:szCs w:val="20"/>
              </w:rPr>
            </w:pPr>
            <w:r w:rsidRPr="5D8904BE">
              <w:rPr>
                <w:rFonts w:ascii="Arial" w:eastAsia="Arial" w:hAnsi="Arial" w:cs="Arial"/>
                <w:b/>
                <w:bCs/>
                <w:sz w:val="20"/>
                <w:szCs w:val="20"/>
              </w:rPr>
              <w:t>Output</w:t>
            </w:r>
            <w:r w:rsidR="552CE4D7" w:rsidRPr="5D8904BE">
              <w:rPr>
                <w:rFonts w:ascii="Arial" w:eastAsia="Arial" w:hAnsi="Arial" w:cs="Arial"/>
                <w:b/>
                <w:bCs/>
                <w:sz w:val="20"/>
                <w:szCs w:val="20"/>
              </w:rPr>
              <w:t xml:space="preserve"> 1.1.2</w:t>
            </w:r>
          </w:p>
        </w:tc>
        <w:tc>
          <w:tcPr>
            <w:tcW w:w="1533" w:type="dxa"/>
            <w:tcMar>
              <w:top w:w="0" w:type="dxa"/>
              <w:left w:w="80" w:type="dxa"/>
              <w:bottom w:w="0" w:type="dxa"/>
              <w:right w:w="80" w:type="dxa"/>
            </w:tcMar>
            <w:vAlign w:val="bottom"/>
          </w:tcPr>
          <w:p w14:paraId="00000DFE" w14:textId="42C38336" w:rsidR="004F7DB3" w:rsidRDefault="2795E525">
            <w:pPr>
              <w:spacing w:before="240" w:after="0" w:line="276" w:lineRule="auto"/>
              <w:jc w:val="both"/>
              <w:rPr>
                <w:sz w:val="20"/>
                <w:szCs w:val="20"/>
              </w:rPr>
            </w:pPr>
            <w:r w:rsidRPr="5D8904BE">
              <w:rPr>
                <w:sz w:val="20"/>
                <w:szCs w:val="20"/>
              </w:rPr>
              <w:t>Activity</w:t>
            </w:r>
            <w:r w:rsidR="552CE4D7" w:rsidRPr="5D8904BE">
              <w:rPr>
                <w:sz w:val="20"/>
                <w:szCs w:val="20"/>
              </w:rPr>
              <w:t xml:space="preserve"> 1.1.2.1</w:t>
            </w:r>
          </w:p>
        </w:tc>
        <w:tc>
          <w:tcPr>
            <w:tcW w:w="412" w:type="dxa"/>
            <w:tcMar>
              <w:top w:w="0" w:type="dxa"/>
              <w:left w:w="80" w:type="dxa"/>
              <w:bottom w:w="0" w:type="dxa"/>
              <w:right w:w="80" w:type="dxa"/>
            </w:tcMar>
            <w:vAlign w:val="bottom"/>
          </w:tcPr>
          <w:p w14:paraId="00000DFF" w14:textId="77777777" w:rsidR="004F7DB3" w:rsidRDefault="00C00123">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E00" w14:textId="77777777" w:rsidR="004F7DB3" w:rsidRDefault="00C00123">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E01"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02"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03"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04" w14:textId="77777777" w:rsidR="004F7DB3" w:rsidRDefault="00C00123">
            <w:pPr>
              <w:spacing w:before="240" w:after="0" w:line="276" w:lineRule="auto"/>
              <w:jc w:val="both"/>
              <w:rPr>
                <w:sz w:val="20"/>
                <w:szCs w:val="20"/>
              </w:rPr>
            </w:pPr>
            <w:r>
              <w:rPr>
                <w:sz w:val="20"/>
                <w:szCs w:val="20"/>
              </w:rPr>
              <w:t xml:space="preserve"> </w:t>
            </w:r>
          </w:p>
        </w:tc>
        <w:tc>
          <w:tcPr>
            <w:tcW w:w="405" w:type="dxa"/>
            <w:shd w:val="clear" w:color="auto" w:fill="156082" w:themeFill="accent1"/>
            <w:tcMar>
              <w:top w:w="0" w:type="dxa"/>
              <w:left w:w="80" w:type="dxa"/>
              <w:bottom w:w="0" w:type="dxa"/>
              <w:right w:w="80" w:type="dxa"/>
            </w:tcMar>
            <w:vAlign w:val="bottom"/>
          </w:tcPr>
          <w:p w14:paraId="00000E05" w14:textId="77777777" w:rsidR="004F7DB3" w:rsidRDefault="00C00123">
            <w:pPr>
              <w:spacing w:before="240" w:after="0" w:line="276" w:lineRule="auto"/>
              <w:jc w:val="both"/>
              <w:rPr>
                <w:sz w:val="20"/>
                <w:szCs w:val="20"/>
              </w:rPr>
            </w:pPr>
            <w:r>
              <w:rPr>
                <w:sz w:val="20"/>
                <w:szCs w:val="20"/>
              </w:rPr>
              <w:t xml:space="preserve"> </w:t>
            </w:r>
          </w:p>
        </w:tc>
        <w:tc>
          <w:tcPr>
            <w:tcW w:w="421" w:type="dxa"/>
            <w:shd w:val="clear" w:color="auto" w:fill="156082" w:themeFill="accent1"/>
            <w:tcMar>
              <w:top w:w="0" w:type="dxa"/>
              <w:left w:w="80" w:type="dxa"/>
              <w:bottom w:w="0" w:type="dxa"/>
              <w:right w:w="80" w:type="dxa"/>
            </w:tcMar>
            <w:vAlign w:val="bottom"/>
          </w:tcPr>
          <w:p w14:paraId="00000E06"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0E07"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0E08"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09"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0A"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0B"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0C"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0D"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0E"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0F"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10" w14:textId="77777777" w:rsidR="004F7DB3" w:rsidRDefault="00C00123">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0E11" w14:textId="77777777" w:rsidR="004F7DB3" w:rsidRDefault="00C00123">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0E12"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13" w14:textId="77777777" w:rsidR="004F7DB3" w:rsidRDefault="00C00123">
            <w:pPr>
              <w:spacing w:before="240" w:after="0" w:line="276" w:lineRule="auto"/>
              <w:jc w:val="both"/>
              <w:rPr>
                <w:sz w:val="20"/>
                <w:szCs w:val="20"/>
              </w:rPr>
            </w:pPr>
            <w:r>
              <w:rPr>
                <w:sz w:val="20"/>
                <w:szCs w:val="20"/>
              </w:rPr>
              <w:t xml:space="preserve"> </w:t>
            </w:r>
          </w:p>
        </w:tc>
      </w:tr>
      <w:tr w:rsidR="00294CCF" w14:paraId="3C9ABDB2" w14:textId="77777777" w:rsidTr="00714C21">
        <w:trPr>
          <w:trHeight w:val="300"/>
          <w:jc w:val="center"/>
        </w:trPr>
        <w:tc>
          <w:tcPr>
            <w:tcW w:w="1600" w:type="dxa"/>
            <w:vMerge/>
            <w:tcMar>
              <w:top w:w="100" w:type="dxa"/>
              <w:left w:w="100" w:type="dxa"/>
              <w:bottom w:w="100" w:type="dxa"/>
              <w:right w:w="100" w:type="dxa"/>
            </w:tcMar>
          </w:tcPr>
          <w:p w14:paraId="00000E14" w14:textId="77777777" w:rsidR="004F7DB3" w:rsidRDefault="004F7DB3">
            <w:pPr>
              <w:spacing w:after="60" w:line="240" w:lineRule="auto"/>
              <w:jc w:val="both"/>
              <w:rPr>
                <w:sz w:val="20"/>
                <w:szCs w:val="20"/>
              </w:rPr>
            </w:pPr>
          </w:p>
        </w:tc>
        <w:tc>
          <w:tcPr>
            <w:tcW w:w="919" w:type="dxa"/>
            <w:vMerge/>
            <w:tcMar>
              <w:top w:w="100" w:type="dxa"/>
              <w:left w:w="100" w:type="dxa"/>
              <w:bottom w:w="100" w:type="dxa"/>
              <w:right w:w="100" w:type="dxa"/>
            </w:tcMar>
          </w:tcPr>
          <w:p w14:paraId="00000E15" w14:textId="77777777" w:rsidR="004F7DB3" w:rsidRDefault="004F7DB3">
            <w:pPr>
              <w:spacing w:after="60" w:line="240" w:lineRule="auto"/>
              <w:jc w:val="both"/>
              <w:rPr>
                <w:sz w:val="20"/>
                <w:szCs w:val="20"/>
              </w:rPr>
            </w:pPr>
          </w:p>
        </w:tc>
        <w:tc>
          <w:tcPr>
            <w:tcW w:w="1279" w:type="dxa"/>
            <w:vMerge/>
            <w:tcMar>
              <w:top w:w="100" w:type="dxa"/>
              <w:left w:w="100" w:type="dxa"/>
              <w:bottom w:w="100" w:type="dxa"/>
              <w:right w:w="100" w:type="dxa"/>
            </w:tcMar>
          </w:tcPr>
          <w:p w14:paraId="00000E16" w14:textId="77777777" w:rsidR="004F7DB3" w:rsidRDefault="004F7DB3">
            <w:pPr>
              <w:spacing w:after="60" w:line="240" w:lineRule="auto"/>
              <w:jc w:val="both"/>
              <w:rPr>
                <w:sz w:val="20"/>
                <w:szCs w:val="20"/>
              </w:rPr>
            </w:pPr>
          </w:p>
        </w:tc>
        <w:tc>
          <w:tcPr>
            <w:tcW w:w="1533" w:type="dxa"/>
            <w:tcMar>
              <w:top w:w="0" w:type="dxa"/>
              <w:left w:w="80" w:type="dxa"/>
              <w:bottom w:w="0" w:type="dxa"/>
              <w:right w:w="80" w:type="dxa"/>
            </w:tcMar>
            <w:vAlign w:val="bottom"/>
          </w:tcPr>
          <w:p w14:paraId="00000E17" w14:textId="671611D6" w:rsidR="004F7DB3" w:rsidRDefault="2795E525">
            <w:pPr>
              <w:spacing w:before="240" w:after="0" w:line="276" w:lineRule="auto"/>
              <w:jc w:val="both"/>
              <w:rPr>
                <w:sz w:val="20"/>
                <w:szCs w:val="20"/>
              </w:rPr>
            </w:pPr>
            <w:r w:rsidRPr="5D8904BE">
              <w:rPr>
                <w:sz w:val="20"/>
                <w:szCs w:val="20"/>
              </w:rPr>
              <w:t>Activity</w:t>
            </w:r>
            <w:r w:rsidR="552CE4D7" w:rsidRPr="5D8904BE">
              <w:rPr>
                <w:sz w:val="20"/>
                <w:szCs w:val="20"/>
              </w:rPr>
              <w:t xml:space="preserve"> 1.1.2.2</w:t>
            </w:r>
          </w:p>
        </w:tc>
        <w:tc>
          <w:tcPr>
            <w:tcW w:w="412" w:type="dxa"/>
            <w:tcMar>
              <w:top w:w="0" w:type="dxa"/>
              <w:left w:w="80" w:type="dxa"/>
              <w:bottom w:w="0" w:type="dxa"/>
              <w:right w:w="80" w:type="dxa"/>
            </w:tcMar>
            <w:vAlign w:val="bottom"/>
          </w:tcPr>
          <w:p w14:paraId="00000E18" w14:textId="77777777" w:rsidR="004F7DB3" w:rsidRDefault="00C00123">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E19" w14:textId="77777777" w:rsidR="004F7DB3" w:rsidRDefault="00C00123">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E1A"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1B"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1C"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1D" w14:textId="77777777" w:rsidR="004F7DB3" w:rsidRDefault="00C00123">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0E1E" w14:textId="77777777" w:rsidR="004F7DB3" w:rsidRDefault="00C00123">
            <w:pPr>
              <w:spacing w:before="240" w:after="0" w:line="276" w:lineRule="auto"/>
              <w:jc w:val="both"/>
              <w:rPr>
                <w:sz w:val="20"/>
                <w:szCs w:val="20"/>
              </w:rPr>
            </w:pPr>
            <w:r>
              <w:rPr>
                <w:sz w:val="20"/>
                <w:szCs w:val="20"/>
              </w:rPr>
              <w:t xml:space="preserve"> </w:t>
            </w:r>
          </w:p>
        </w:tc>
        <w:tc>
          <w:tcPr>
            <w:tcW w:w="421" w:type="dxa"/>
            <w:shd w:val="clear" w:color="auto" w:fill="156082" w:themeFill="accent1"/>
            <w:tcMar>
              <w:top w:w="0" w:type="dxa"/>
              <w:left w:w="80" w:type="dxa"/>
              <w:bottom w:w="0" w:type="dxa"/>
              <w:right w:w="80" w:type="dxa"/>
            </w:tcMar>
            <w:vAlign w:val="bottom"/>
          </w:tcPr>
          <w:p w14:paraId="00000E1F"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20"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21"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22"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23"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24"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25"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215E99" w:themeFill="text2" w:themeFillTint="BF"/>
            <w:tcMar>
              <w:top w:w="0" w:type="dxa"/>
              <w:left w:w="80" w:type="dxa"/>
              <w:bottom w:w="0" w:type="dxa"/>
              <w:right w:w="80" w:type="dxa"/>
            </w:tcMar>
            <w:vAlign w:val="bottom"/>
          </w:tcPr>
          <w:p w14:paraId="00000E26"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215E99" w:themeFill="text2" w:themeFillTint="BF"/>
            <w:tcMar>
              <w:top w:w="0" w:type="dxa"/>
              <w:left w:w="80" w:type="dxa"/>
              <w:bottom w:w="0" w:type="dxa"/>
              <w:right w:w="80" w:type="dxa"/>
            </w:tcMar>
            <w:vAlign w:val="bottom"/>
          </w:tcPr>
          <w:p w14:paraId="00000E27"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215E99" w:themeFill="text2" w:themeFillTint="BF"/>
            <w:tcMar>
              <w:top w:w="0" w:type="dxa"/>
              <w:left w:w="80" w:type="dxa"/>
              <w:bottom w:w="0" w:type="dxa"/>
              <w:right w:w="80" w:type="dxa"/>
            </w:tcMar>
            <w:vAlign w:val="bottom"/>
          </w:tcPr>
          <w:p w14:paraId="00000E28"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29" w14:textId="77777777" w:rsidR="004F7DB3" w:rsidRDefault="00C00123">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0E2A" w14:textId="77777777" w:rsidR="004F7DB3" w:rsidRDefault="00C00123">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0E2B"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2C" w14:textId="77777777" w:rsidR="004F7DB3" w:rsidRDefault="00C00123">
            <w:pPr>
              <w:spacing w:before="240" w:after="0" w:line="276" w:lineRule="auto"/>
              <w:jc w:val="both"/>
              <w:rPr>
                <w:sz w:val="20"/>
                <w:szCs w:val="20"/>
              </w:rPr>
            </w:pPr>
            <w:r>
              <w:rPr>
                <w:sz w:val="20"/>
                <w:szCs w:val="20"/>
              </w:rPr>
              <w:t xml:space="preserve"> </w:t>
            </w:r>
          </w:p>
        </w:tc>
      </w:tr>
      <w:tr w:rsidR="00294CCF" w14:paraId="2B47C678" w14:textId="77777777" w:rsidTr="00714C21">
        <w:trPr>
          <w:trHeight w:val="300"/>
          <w:jc w:val="center"/>
        </w:trPr>
        <w:tc>
          <w:tcPr>
            <w:tcW w:w="1600" w:type="dxa"/>
            <w:vMerge/>
            <w:tcMar>
              <w:top w:w="100" w:type="dxa"/>
              <w:left w:w="100" w:type="dxa"/>
              <w:bottom w:w="100" w:type="dxa"/>
              <w:right w:w="100" w:type="dxa"/>
            </w:tcMar>
          </w:tcPr>
          <w:p w14:paraId="00000E46" w14:textId="77777777" w:rsidR="004F7DB3" w:rsidRDefault="004F7DB3">
            <w:pPr>
              <w:spacing w:after="60" w:line="240" w:lineRule="auto"/>
              <w:jc w:val="both"/>
              <w:rPr>
                <w:sz w:val="20"/>
                <w:szCs w:val="20"/>
              </w:rPr>
            </w:pPr>
          </w:p>
        </w:tc>
        <w:tc>
          <w:tcPr>
            <w:tcW w:w="919" w:type="dxa"/>
            <w:vMerge/>
            <w:tcMar>
              <w:top w:w="100" w:type="dxa"/>
              <w:left w:w="100" w:type="dxa"/>
              <w:bottom w:w="100" w:type="dxa"/>
              <w:right w:w="100" w:type="dxa"/>
            </w:tcMar>
          </w:tcPr>
          <w:p w14:paraId="00000E47" w14:textId="77777777" w:rsidR="004F7DB3" w:rsidRDefault="004F7DB3">
            <w:pPr>
              <w:spacing w:after="60" w:line="240" w:lineRule="auto"/>
              <w:jc w:val="both"/>
              <w:rPr>
                <w:sz w:val="20"/>
                <w:szCs w:val="20"/>
              </w:rPr>
            </w:pPr>
          </w:p>
        </w:tc>
        <w:tc>
          <w:tcPr>
            <w:tcW w:w="1279" w:type="dxa"/>
            <w:vMerge w:val="restart"/>
            <w:tcMar>
              <w:top w:w="0" w:type="dxa"/>
              <w:left w:w="80" w:type="dxa"/>
              <w:bottom w:w="0" w:type="dxa"/>
              <w:right w:w="80" w:type="dxa"/>
            </w:tcMar>
          </w:tcPr>
          <w:p w14:paraId="00000E48" w14:textId="401AE69D" w:rsidR="004F7DB3" w:rsidRDefault="2795E525" w:rsidP="5D8904BE">
            <w:pPr>
              <w:spacing w:before="240" w:after="0" w:line="276" w:lineRule="auto"/>
              <w:jc w:val="both"/>
              <w:rPr>
                <w:b/>
                <w:bCs/>
                <w:sz w:val="20"/>
                <w:szCs w:val="20"/>
              </w:rPr>
            </w:pPr>
            <w:r w:rsidRPr="5D8904BE">
              <w:rPr>
                <w:b/>
                <w:bCs/>
                <w:sz w:val="20"/>
                <w:szCs w:val="20"/>
              </w:rPr>
              <w:t>Output</w:t>
            </w:r>
            <w:r w:rsidR="552CE4D7" w:rsidRPr="5D8904BE">
              <w:rPr>
                <w:b/>
                <w:bCs/>
                <w:sz w:val="20"/>
                <w:szCs w:val="20"/>
              </w:rPr>
              <w:t xml:space="preserve"> 1.1.3</w:t>
            </w:r>
          </w:p>
        </w:tc>
        <w:tc>
          <w:tcPr>
            <w:tcW w:w="1533" w:type="dxa"/>
            <w:tcMar>
              <w:top w:w="0" w:type="dxa"/>
              <w:left w:w="80" w:type="dxa"/>
              <w:bottom w:w="0" w:type="dxa"/>
              <w:right w:w="80" w:type="dxa"/>
            </w:tcMar>
            <w:vAlign w:val="bottom"/>
          </w:tcPr>
          <w:p w14:paraId="00000E49" w14:textId="4753373B" w:rsidR="004F7DB3" w:rsidRDefault="2795E525">
            <w:pPr>
              <w:spacing w:before="240" w:after="0" w:line="276" w:lineRule="auto"/>
              <w:jc w:val="both"/>
              <w:rPr>
                <w:sz w:val="20"/>
                <w:szCs w:val="20"/>
              </w:rPr>
            </w:pPr>
            <w:r w:rsidRPr="5D8904BE">
              <w:rPr>
                <w:sz w:val="20"/>
                <w:szCs w:val="20"/>
              </w:rPr>
              <w:t>Activity</w:t>
            </w:r>
            <w:r w:rsidR="552CE4D7" w:rsidRPr="5D8904BE">
              <w:rPr>
                <w:sz w:val="20"/>
                <w:szCs w:val="20"/>
              </w:rPr>
              <w:t xml:space="preserve"> 1.1.3.1</w:t>
            </w:r>
          </w:p>
        </w:tc>
        <w:tc>
          <w:tcPr>
            <w:tcW w:w="412" w:type="dxa"/>
            <w:tcMar>
              <w:top w:w="0" w:type="dxa"/>
              <w:left w:w="80" w:type="dxa"/>
              <w:bottom w:w="0" w:type="dxa"/>
              <w:right w:w="80" w:type="dxa"/>
            </w:tcMar>
            <w:vAlign w:val="bottom"/>
          </w:tcPr>
          <w:p w14:paraId="00000E4A" w14:textId="77777777" w:rsidR="004F7DB3" w:rsidRDefault="00C00123">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E4B" w14:textId="77777777" w:rsidR="004F7DB3" w:rsidRDefault="00C00123">
            <w:pPr>
              <w:spacing w:before="240" w:after="0" w:line="276" w:lineRule="auto"/>
              <w:jc w:val="both"/>
              <w:rPr>
                <w:sz w:val="20"/>
                <w:szCs w:val="20"/>
              </w:rPr>
            </w:pPr>
            <w:r>
              <w:rPr>
                <w:sz w:val="20"/>
                <w:szCs w:val="20"/>
              </w:rPr>
              <w:t xml:space="preserve"> </w:t>
            </w:r>
          </w:p>
        </w:tc>
        <w:tc>
          <w:tcPr>
            <w:tcW w:w="412" w:type="dxa"/>
            <w:shd w:val="clear" w:color="auto" w:fill="215C98"/>
            <w:tcMar>
              <w:top w:w="0" w:type="dxa"/>
              <w:left w:w="80" w:type="dxa"/>
              <w:bottom w:w="0" w:type="dxa"/>
              <w:right w:w="80" w:type="dxa"/>
            </w:tcMar>
            <w:vAlign w:val="bottom"/>
          </w:tcPr>
          <w:p w14:paraId="00000E4C"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4D"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4E"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4F" w14:textId="77777777" w:rsidR="004F7DB3" w:rsidRDefault="00C00123">
            <w:pPr>
              <w:spacing w:before="240" w:after="0" w:line="276" w:lineRule="auto"/>
              <w:jc w:val="both"/>
              <w:rPr>
                <w:sz w:val="20"/>
                <w:szCs w:val="20"/>
              </w:rPr>
            </w:pPr>
            <w:r>
              <w:rPr>
                <w:sz w:val="20"/>
                <w:szCs w:val="20"/>
              </w:rPr>
              <w:t xml:space="preserve"> </w:t>
            </w:r>
          </w:p>
        </w:tc>
        <w:tc>
          <w:tcPr>
            <w:tcW w:w="405" w:type="dxa"/>
            <w:shd w:val="clear" w:color="auto" w:fill="215C98"/>
            <w:tcMar>
              <w:top w:w="0" w:type="dxa"/>
              <w:left w:w="80" w:type="dxa"/>
              <w:bottom w:w="0" w:type="dxa"/>
              <w:right w:w="80" w:type="dxa"/>
            </w:tcMar>
            <w:vAlign w:val="bottom"/>
          </w:tcPr>
          <w:p w14:paraId="00000E50" w14:textId="77777777" w:rsidR="004F7DB3" w:rsidRDefault="00C00123">
            <w:pPr>
              <w:spacing w:before="240" w:after="0" w:line="276" w:lineRule="auto"/>
              <w:jc w:val="both"/>
              <w:rPr>
                <w:sz w:val="20"/>
                <w:szCs w:val="20"/>
              </w:rPr>
            </w:pPr>
            <w:r>
              <w:rPr>
                <w:sz w:val="20"/>
                <w:szCs w:val="20"/>
              </w:rPr>
              <w:t xml:space="preserve"> </w:t>
            </w:r>
          </w:p>
        </w:tc>
        <w:tc>
          <w:tcPr>
            <w:tcW w:w="421" w:type="dxa"/>
            <w:shd w:val="clear" w:color="auto" w:fill="215C98"/>
            <w:tcMar>
              <w:top w:w="0" w:type="dxa"/>
              <w:left w:w="80" w:type="dxa"/>
              <w:bottom w:w="0" w:type="dxa"/>
              <w:right w:w="80" w:type="dxa"/>
            </w:tcMar>
            <w:vAlign w:val="bottom"/>
          </w:tcPr>
          <w:p w14:paraId="00000E51"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52"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53"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54"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55"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56"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57"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58"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59"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5A"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5B" w14:textId="77777777" w:rsidR="004F7DB3" w:rsidRDefault="00C00123">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0E5C" w14:textId="77777777" w:rsidR="004F7DB3" w:rsidRDefault="00C00123">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0E5D"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5E" w14:textId="77777777" w:rsidR="004F7DB3" w:rsidRDefault="00C00123">
            <w:pPr>
              <w:spacing w:before="240" w:after="0" w:line="276" w:lineRule="auto"/>
              <w:jc w:val="both"/>
              <w:rPr>
                <w:sz w:val="20"/>
                <w:szCs w:val="20"/>
              </w:rPr>
            </w:pPr>
            <w:r>
              <w:rPr>
                <w:sz w:val="20"/>
                <w:szCs w:val="20"/>
              </w:rPr>
              <w:t xml:space="preserve"> </w:t>
            </w:r>
          </w:p>
        </w:tc>
      </w:tr>
      <w:tr w:rsidR="004F7DB3" w14:paraId="7B95B917" w14:textId="77777777" w:rsidTr="00714C21">
        <w:trPr>
          <w:trHeight w:val="300"/>
          <w:jc w:val="center"/>
        </w:trPr>
        <w:tc>
          <w:tcPr>
            <w:tcW w:w="1600" w:type="dxa"/>
            <w:vMerge/>
            <w:tcMar>
              <w:top w:w="100" w:type="dxa"/>
              <w:left w:w="100" w:type="dxa"/>
              <w:bottom w:w="100" w:type="dxa"/>
              <w:right w:w="100" w:type="dxa"/>
            </w:tcMar>
          </w:tcPr>
          <w:p w14:paraId="00000E5F" w14:textId="77777777" w:rsidR="004F7DB3" w:rsidRDefault="004F7DB3">
            <w:pPr>
              <w:spacing w:after="60" w:line="240" w:lineRule="auto"/>
              <w:jc w:val="both"/>
              <w:rPr>
                <w:sz w:val="20"/>
                <w:szCs w:val="20"/>
              </w:rPr>
            </w:pPr>
          </w:p>
        </w:tc>
        <w:tc>
          <w:tcPr>
            <w:tcW w:w="919" w:type="dxa"/>
            <w:vMerge/>
            <w:tcMar>
              <w:top w:w="100" w:type="dxa"/>
              <w:left w:w="100" w:type="dxa"/>
              <w:bottom w:w="100" w:type="dxa"/>
              <w:right w:w="100" w:type="dxa"/>
            </w:tcMar>
          </w:tcPr>
          <w:p w14:paraId="00000E60" w14:textId="77777777" w:rsidR="004F7DB3" w:rsidRDefault="004F7DB3">
            <w:pPr>
              <w:spacing w:after="60" w:line="240" w:lineRule="auto"/>
              <w:jc w:val="both"/>
              <w:rPr>
                <w:sz w:val="20"/>
                <w:szCs w:val="20"/>
              </w:rPr>
            </w:pPr>
          </w:p>
        </w:tc>
        <w:tc>
          <w:tcPr>
            <w:tcW w:w="1279" w:type="dxa"/>
            <w:vMerge/>
            <w:tcMar>
              <w:top w:w="100" w:type="dxa"/>
              <w:left w:w="100" w:type="dxa"/>
              <w:bottom w:w="100" w:type="dxa"/>
              <w:right w:w="100" w:type="dxa"/>
            </w:tcMar>
          </w:tcPr>
          <w:p w14:paraId="00000E61" w14:textId="77777777" w:rsidR="004F7DB3" w:rsidRDefault="004F7DB3">
            <w:pPr>
              <w:spacing w:after="60" w:line="240" w:lineRule="auto"/>
              <w:jc w:val="both"/>
              <w:rPr>
                <w:sz w:val="20"/>
                <w:szCs w:val="20"/>
              </w:rPr>
            </w:pPr>
          </w:p>
        </w:tc>
        <w:tc>
          <w:tcPr>
            <w:tcW w:w="1533" w:type="dxa"/>
            <w:tcMar>
              <w:top w:w="0" w:type="dxa"/>
              <w:left w:w="80" w:type="dxa"/>
              <w:bottom w:w="0" w:type="dxa"/>
              <w:right w:w="80" w:type="dxa"/>
            </w:tcMar>
            <w:vAlign w:val="bottom"/>
          </w:tcPr>
          <w:p w14:paraId="00000E62" w14:textId="2A287D4F" w:rsidR="004F7DB3" w:rsidRDefault="2795E525">
            <w:pPr>
              <w:spacing w:before="240" w:after="0" w:line="276" w:lineRule="auto"/>
              <w:jc w:val="both"/>
              <w:rPr>
                <w:sz w:val="20"/>
                <w:szCs w:val="20"/>
              </w:rPr>
            </w:pPr>
            <w:r w:rsidRPr="5D8904BE">
              <w:rPr>
                <w:sz w:val="20"/>
                <w:szCs w:val="20"/>
              </w:rPr>
              <w:t>Activity</w:t>
            </w:r>
            <w:r w:rsidR="552CE4D7" w:rsidRPr="5D8904BE">
              <w:rPr>
                <w:sz w:val="20"/>
                <w:szCs w:val="20"/>
              </w:rPr>
              <w:t xml:space="preserve"> 1.1.3.2</w:t>
            </w:r>
          </w:p>
        </w:tc>
        <w:tc>
          <w:tcPr>
            <w:tcW w:w="412" w:type="dxa"/>
            <w:tcMar>
              <w:top w:w="0" w:type="dxa"/>
              <w:left w:w="80" w:type="dxa"/>
              <w:bottom w:w="0" w:type="dxa"/>
              <w:right w:w="80" w:type="dxa"/>
            </w:tcMar>
            <w:vAlign w:val="bottom"/>
          </w:tcPr>
          <w:p w14:paraId="00000E63" w14:textId="77777777" w:rsidR="004F7DB3" w:rsidRDefault="00C00123">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E64" w14:textId="77777777" w:rsidR="004F7DB3" w:rsidRDefault="00C00123">
            <w:pPr>
              <w:spacing w:before="240" w:after="0" w:line="276" w:lineRule="auto"/>
              <w:jc w:val="both"/>
              <w:rPr>
                <w:sz w:val="20"/>
                <w:szCs w:val="20"/>
              </w:rPr>
            </w:pPr>
            <w:r>
              <w:rPr>
                <w:sz w:val="20"/>
                <w:szCs w:val="20"/>
              </w:rPr>
              <w:t xml:space="preserve"> </w:t>
            </w:r>
          </w:p>
        </w:tc>
        <w:tc>
          <w:tcPr>
            <w:tcW w:w="412" w:type="dxa"/>
            <w:shd w:val="clear" w:color="auto" w:fill="215C98"/>
            <w:tcMar>
              <w:top w:w="0" w:type="dxa"/>
              <w:left w:w="80" w:type="dxa"/>
              <w:bottom w:w="0" w:type="dxa"/>
              <w:right w:w="80" w:type="dxa"/>
            </w:tcMar>
            <w:vAlign w:val="bottom"/>
          </w:tcPr>
          <w:p w14:paraId="00000E65" w14:textId="77777777" w:rsidR="004F7DB3" w:rsidRDefault="00C00123">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66"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67"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68" w14:textId="77777777" w:rsidR="004F7DB3" w:rsidRDefault="00C00123">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0E69" w14:textId="77777777" w:rsidR="004F7DB3" w:rsidRDefault="00C00123">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0E6A"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6B"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6C"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6D"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6E"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6F"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70"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71"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72"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73"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74" w14:textId="77777777" w:rsidR="004F7DB3" w:rsidRDefault="00C00123">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0E75" w14:textId="77777777" w:rsidR="004F7DB3" w:rsidRDefault="00C00123">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0E76" w14:textId="77777777" w:rsidR="004F7DB3" w:rsidRDefault="00C00123">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77" w14:textId="77777777" w:rsidR="004F7DB3" w:rsidRDefault="00C00123">
            <w:pPr>
              <w:spacing w:before="240" w:after="0" w:line="276" w:lineRule="auto"/>
              <w:jc w:val="both"/>
              <w:rPr>
                <w:sz w:val="20"/>
                <w:szCs w:val="20"/>
              </w:rPr>
            </w:pPr>
            <w:r>
              <w:rPr>
                <w:sz w:val="20"/>
                <w:szCs w:val="20"/>
              </w:rPr>
              <w:t xml:space="preserve"> </w:t>
            </w:r>
          </w:p>
        </w:tc>
      </w:tr>
      <w:tr w:rsidR="00BD6D5D" w14:paraId="688E4826" w14:textId="77777777" w:rsidTr="00613722">
        <w:trPr>
          <w:trHeight w:val="300"/>
          <w:jc w:val="center"/>
        </w:trPr>
        <w:tc>
          <w:tcPr>
            <w:tcW w:w="1600" w:type="dxa"/>
            <w:vMerge/>
            <w:tcMar>
              <w:top w:w="100" w:type="dxa"/>
              <w:left w:w="100" w:type="dxa"/>
              <w:bottom w:w="100" w:type="dxa"/>
              <w:right w:w="100" w:type="dxa"/>
            </w:tcMar>
          </w:tcPr>
          <w:p w14:paraId="1B1D0D35"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44905BA2"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71182439"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46329EC2" w14:textId="34CB11D7" w:rsidR="00750464" w:rsidRPr="5D8904BE" w:rsidRDefault="00750464" w:rsidP="00750464">
            <w:pPr>
              <w:spacing w:before="240" w:after="0" w:line="276" w:lineRule="auto"/>
              <w:jc w:val="both"/>
              <w:rPr>
                <w:sz w:val="20"/>
                <w:szCs w:val="20"/>
              </w:rPr>
            </w:pPr>
            <w:r w:rsidRPr="5D8904BE">
              <w:rPr>
                <w:sz w:val="20"/>
                <w:szCs w:val="20"/>
              </w:rPr>
              <w:t>Activity 1.1.3.3</w:t>
            </w:r>
          </w:p>
        </w:tc>
        <w:tc>
          <w:tcPr>
            <w:tcW w:w="412" w:type="dxa"/>
            <w:tcMar>
              <w:top w:w="0" w:type="dxa"/>
              <w:left w:w="80" w:type="dxa"/>
              <w:bottom w:w="0" w:type="dxa"/>
              <w:right w:w="80" w:type="dxa"/>
            </w:tcMar>
            <w:vAlign w:val="bottom"/>
          </w:tcPr>
          <w:p w14:paraId="1F0162A7" w14:textId="77777777" w:rsidR="00750464" w:rsidRDefault="00750464" w:rsidP="00750464">
            <w:pPr>
              <w:spacing w:before="240" w:after="0" w:line="276" w:lineRule="auto"/>
              <w:jc w:val="both"/>
              <w:rPr>
                <w:sz w:val="20"/>
                <w:szCs w:val="20"/>
              </w:rPr>
            </w:pPr>
          </w:p>
        </w:tc>
        <w:tc>
          <w:tcPr>
            <w:tcW w:w="412" w:type="dxa"/>
            <w:tcMar>
              <w:top w:w="0" w:type="dxa"/>
              <w:left w:w="80" w:type="dxa"/>
              <w:bottom w:w="0" w:type="dxa"/>
              <w:right w:w="80" w:type="dxa"/>
            </w:tcMar>
            <w:vAlign w:val="bottom"/>
          </w:tcPr>
          <w:p w14:paraId="133262E8" w14:textId="77777777" w:rsidR="00750464" w:rsidRDefault="00750464" w:rsidP="00750464">
            <w:pPr>
              <w:spacing w:before="240" w:after="0" w:line="276" w:lineRule="auto"/>
              <w:jc w:val="both"/>
              <w:rPr>
                <w:sz w:val="20"/>
                <w:szCs w:val="20"/>
              </w:rPr>
            </w:pPr>
          </w:p>
        </w:tc>
        <w:tc>
          <w:tcPr>
            <w:tcW w:w="412" w:type="dxa"/>
            <w:tcMar>
              <w:top w:w="0" w:type="dxa"/>
              <w:left w:w="80" w:type="dxa"/>
              <w:bottom w:w="0" w:type="dxa"/>
              <w:right w:w="80" w:type="dxa"/>
            </w:tcMar>
            <w:vAlign w:val="bottom"/>
          </w:tcPr>
          <w:p w14:paraId="0F0927A4" w14:textId="77777777" w:rsidR="00750464" w:rsidRDefault="00750464" w:rsidP="00750464">
            <w:pPr>
              <w:spacing w:before="240" w:after="0" w:line="276" w:lineRule="auto"/>
              <w:jc w:val="both"/>
              <w:rPr>
                <w:sz w:val="20"/>
                <w:szCs w:val="20"/>
              </w:rPr>
            </w:pPr>
          </w:p>
        </w:tc>
        <w:tc>
          <w:tcPr>
            <w:tcW w:w="413" w:type="dxa"/>
            <w:tcMar>
              <w:top w:w="0" w:type="dxa"/>
              <w:left w:w="80" w:type="dxa"/>
              <w:bottom w:w="0" w:type="dxa"/>
              <w:right w:w="80" w:type="dxa"/>
            </w:tcMar>
            <w:vAlign w:val="bottom"/>
          </w:tcPr>
          <w:p w14:paraId="6D426B62" w14:textId="77777777" w:rsidR="00750464" w:rsidRDefault="00750464" w:rsidP="00750464">
            <w:pPr>
              <w:spacing w:before="240" w:after="0" w:line="276" w:lineRule="auto"/>
              <w:jc w:val="both"/>
              <w:rPr>
                <w:sz w:val="20"/>
                <w:szCs w:val="20"/>
              </w:rPr>
            </w:pPr>
          </w:p>
        </w:tc>
        <w:tc>
          <w:tcPr>
            <w:tcW w:w="413" w:type="dxa"/>
            <w:tcMar>
              <w:top w:w="0" w:type="dxa"/>
              <w:left w:w="80" w:type="dxa"/>
              <w:bottom w:w="0" w:type="dxa"/>
              <w:right w:w="80" w:type="dxa"/>
            </w:tcMar>
            <w:vAlign w:val="bottom"/>
          </w:tcPr>
          <w:p w14:paraId="281E8045" w14:textId="77777777" w:rsidR="00750464" w:rsidRDefault="00750464" w:rsidP="00750464">
            <w:pPr>
              <w:spacing w:before="240" w:after="0" w:line="276" w:lineRule="auto"/>
              <w:jc w:val="both"/>
              <w:rPr>
                <w:sz w:val="20"/>
                <w:szCs w:val="20"/>
              </w:rPr>
            </w:pPr>
          </w:p>
        </w:tc>
        <w:tc>
          <w:tcPr>
            <w:tcW w:w="413" w:type="dxa"/>
            <w:tcMar>
              <w:top w:w="0" w:type="dxa"/>
              <w:left w:w="80" w:type="dxa"/>
              <w:bottom w:w="0" w:type="dxa"/>
              <w:right w:w="80" w:type="dxa"/>
            </w:tcMar>
            <w:vAlign w:val="bottom"/>
          </w:tcPr>
          <w:p w14:paraId="352B9FAC" w14:textId="77777777" w:rsidR="00750464" w:rsidRDefault="00750464" w:rsidP="00750464">
            <w:pPr>
              <w:spacing w:before="240" w:after="0" w:line="276" w:lineRule="auto"/>
              <w:jc w:val="both"/>
              <w:rPr>
                <w:sz w:val="20"/>
                <w:szCs w:val="20"/>
              </w:rPr>
            </w:pPr>
          </w:p>
        </w:tc>
        <w:tc>
          <w:tcPr>
            <w:tcW w:w="405" w:type="dxa"/>
            <w:tcMar>
              <w:top w:w="0" w:type="dxa"/>
              <w:left w:w="80" w:type="dxa"/>
              <w:bottom w:w="0" w:type="dxa"/>
              <w:right w:w="80" w:type="dxa"/>
            </w:tcMar>
            <w:vAlign w:val="bottom"/>
          </w:tcPr>
          <w:p w14:paraId="659963B2" w14:textId="77777777" w:rsidR="00750464" w:rsidRDefault="00750464" w:rsidP="00750464">
            <w:pPr>
              <w:spacing w:before="240" w:after="0" w:line="276" w:lineRule="auto"/>
              <w:jc w:val="both"/>
              <w:rPr>
                <w:sz w:val="20"/>
                <w:szCs w:val="20"/>
              </w:rPr>
            </w:pPr>
          </w:p>
        </w:tc>
        <w:tc>
          <w:tcPr>
            <w:tcW w:w="421" w:type="dxa"/>
            <w:tcMar>
              <w:top w:w="0" w:type="dxa"/>
              <w:left w:w="80" w:type="dxa"/>
              <w:bottom w:w="0" w:type="dxa"/>
              <w:right w:w="80" w:type="dxa"/>
            </w:tcMar>
            <w:vAlign w:val="bottom"/>
          </w:tcPr>
          <w:p w14:paraId="4892982D" w14:textId="77777777" w:rsidR="00750464" w:rsidRDefault="00750464" w:rsidP="00750464">
            <w:pPr>
              <w:spacing w:before="240" w:after="0" w:line="276" w:lineRule="auto"/>
              <w:jc w:val="both"/>
              <w:rPr>
                <w:sz w:val="20"/>
                <w:szCs w:val="20"/>
              </w:rPr>
            </w:pPr>
          </w:p>
        </w:tc>
        <w:tc>
          <w:tcPr>
            <w:tcW w:w="413" w:type="dxa"/>
            <w:tcMar>
              <w:top w:w="0" w:type="dxa"/>
              <w:left w:w="80" w:type="dxa"/>
              <w:bottom w:w="0" w:type="dxa"/>
              <w:right w:w="80" w:type="dxa"/>
            </w:tcMar>
            <w:vAlign w:val="bottom"/>
          </w:tcPr>
          <w:p w14:paraId="3AE4E17F" w14:textId="77777777" w:rsidR="00750464" w:rsidRDefault="00750464" w:rsidP="00750464">
            <w:pPr>
              <w:spacing w:before="240" w:after="0" w:line="276" w:lineRule="auto"/>
              <w:jc w:val="both"/>
              <w:rPr>
                <w:sz w:val="20"/>
                <w:szCs w:val="20"/>
              </w:rPr>
            </w:pPr>
          </w:p>
        </w:tc>
        <w:tc>
          <w:tcPr>
            <w:tcW w:w="413" w:type="dxa"/>
            <w:tcMar>
              <w:top w:w="0" w:type="dxa"/>
              <w:left w:w="80" w:type="dxa"/>
              <w:bottom w:w="0" w:type="dxa"/>
              <w:right w:w="80" w:type="dxa"/>
            </w:tcMar>
            <w:vAlign w:val="bottom"/>
          </w:tcPr>
          <w:p w14:paraId="79AB953B" w14:textId="77777777" w:rsidR="00750464" w:rsidRDefault="00750464" w:rsidP="00750464">
            <w:pPr>
              <w:spacing w:before="240" w:after="0" w:line="276" w:lineRule="auto"/>
              <w:jc w:val="both"/>
              <w:rPr>
                <w:sz w:val="20"/>
                <w:szCs w:val="20"/>
              </w:rPr>
            </w:pPr>
          </w:p>
        </w:tc>
        <w:tc>
          <w:tcPr>
            <w:tcW w:w="413" w:type="dxa"/>
            <w:tcMar>
              <w:top w:w="0" w:type="dxa"/>
              <w:left w:w="80" w:type="dxa"/>
              <w:bottom w:w="0" w:type="dxa"/>
              <w:right w:w="80" w:type="dxa"/>
            </w:tcMar>
            <w:vAlign w:val="bottom"/>
          </w:tcPr>
          <w:p w14:paraId="4688FF4E" w14:textId="77777777" w:rsidR="00750464" w:rsidRDefault="00750464" w:rsidP="00750464">
            <w:pPr>
              <w:spacing w:before="240" w:after="0" w:line="276" w:lineRule="auto"/>
              <w:jc w:val="both"/>
              <w:rPr>
                <w:sz w:val="20"/>
                <w:szCs w:val="20"/>
              </w:rPr>
            </w:pPr>
          </w:p>
        </w:tc>
        <w:tc>
          <w:tcPr>
            <w:tcW w:w="413" w:type="dxa"/>
            <w:tcMar>
              <w:top w:w="0" w:type="dxa"/>
              <w:left w:w="80" w:type="dxa"/>
              <w:bottom w:w="0" w:type="dxa"/>
              <w:right w:w="80" w:type="dxa"/>
            </w:tcMar>
            <w:vAlign w:val="bottom"/>
          </w:tcPr>
          <w:p w14:paraId="10B72B61" w14:textId="77777777" w:rsidR="00750464" w:rsidRDefault="00750464" w:rsidP="00750464">
            <w:pPr>
              <w:spacing w:before="240" w:after="0" w:line="276" w:lineRule="auto"/>
              <w:jc w:val="both"/>
              <w:rPr>
                <w:sz w:val="20"/>
                <w:szCs w:val="20"/>
              </w:rPr>
            </w:pPr>
          </w:p>
        </w:tc>
        <w:tc>
          <w:tcPr>
            <w:tcW w:w="413" w:type="dxa"/>
            <w:shd w:val="clear" w:color="auto" w:fill="156082" w:themeFill="accent1"/>
            <w:tcMar>
              <w:top w:w="0" w:type="dxa"/>
              <w:left w:w="80" w:type="dxa"/>
              <w:bottom w:w="0" w:type="dxa"/>
              <w:right w:w="80" w:type="dxa"/>
            </w:tcMar>
            <w:vAlign w:val="bottom"/>
          </w:tcPr>
          <w:p w14:paraId="5E07EC1F" w14:textId="77777777" w:rsidR="00750464" w:rsidRDefault="00750464" w:rsidP="00750464">
            <w:pPr>
              <w:spacing w:before="240" w:after="0" w:line="276" w:lineRule="auto"/>
              <w:jc w:val="both"/>
              <w:rPr>
                <w:sz w:val="20"/>
                <w:szCs w:val="20"/>
              </w:rPr>
            </w:pPr>
          </w:p>
        </w:tc>
        <w:tc>
          <w:tcPr>
            <w:tcW w:w="413" w:type="dxa"/>
            <w:shd w:val="clear" w:color="auto" w:fill="156082" w:themeFill="accent1"/>
            <w:tcMar>
              <w:top w:w="0" w:type="dxa"/>
              <w:left w:w="80" w:type="dxa"/>
              <w:bottom w:w="0" w:type="dxa"/>
              <w:right w:w="80" w:type="dxa"/>
            </w:tcMar>
            <w:vAlign w:val="bottom"/>
          </w:tcPr>
          <w:p w14:paraId="70FA50D4" w14:textId="77777777" w:rsidR="00750464" w:rsidRDefault="00750464" w:rsidP="00750464">
            <w:pPr>
              <w:spacing w:before="240" w:after="0" w:line="276" w:lineRule="auto"/>
              <w:jc w:val="both"/>
              <w:rPr>
                <w:sz w:val="20"/>
                <w:szCs w:val="20"/>
              </w:rPr>
            </w:pPr>
          </w:p>
        </w:tc>
        <w:tc>
          <w:tcPr>
            <w:tcW w:w="413" w:type="dxa"/>
            <w:shd w:val="clear" w:color="auto" w:fill="156082" w:themeFill="accent1"/>
            <w:tcMar>
              <w:top w:w="0" w:type="dxa"/>
              <w:left w:w="80" w:type="dxa"/>
              <w:bottom w:w="0" w:type="dxa"/>
              <w:right w:w="80" w:type="dxa"/>
            </w:tcMar>
            <w:vAlign w:val="bottom"/>
          </w:tcPr>
          <w:p w14:paraId="4DFBC09D" w14:textId="77777777" w:rsidR="00750464" w:rsidRDefault="00750464" w:rsidP="00750464">
            <w:pPr>
              <w:spacing w:before="240" w:after="0" w:line="276" w:lineRule="auto"/>
              <w:jc w:val="both"/>
              <w:rPr>
                <w:sz w:val="20"/>
                <w:szCs w:val="20"/>
              </w:rPr>
            </w:pPr>
          </w:p>
        </w:tc>
        <w:tc>
          <w:tcPr>
            <w:tcW w:w="413" w:type="dxa"/>
            <w:shd w:val="clear" w:color="auto" w:fill="156082" w:themeFill="accent1"/>
            <w:tcMar>
              <w:top w:w="0" w:type="dxa"/>
              <w:left w:w="80" w:type="dxa"/>
              <w:bottom w:w="0" w:type="dxa"/>
              <w:right w:w="80" w:type="dxa"/>
            </w:tcMar>
            <w:vAlign w:val="bottom"/>
          </w:tcPr>
          <w:p w14:paraId="4E191A94" w14:textId="77777777" w:rsidR="00750464" w:rsidRDefault="00750464" w:rsidP="00750464">
            <w:pPr>
              <w:spacing w:before="240" w:after="0" w:line="276" w:lineRule="auto"/>
              <w:jc w:val="both"/>
              <w:rPr>
                <w:sz w:val="20"/>
                <w:szCs w:val="20"/>
              </w:rPr>
            </w:pPr>
          </w:p>
        </w:tc>
        <w:tc>
          <w:tcPr>
            <w:tcW w:w="413" w:type="dxa"/>
            <w:shd w:val="clear" w:color="auto" w:fill="156082" w:themeFill="accent1"/>
            <w:tcMar>
              <w:top w:w="0" w:type="dxa"/>
              <w:left w:w="80" w:type="dxa"/>
              <w:bottom w:w="0" w:type="dxa"/>
              <w:right w:w="80" w:type="dxa"/>
            </w:tcMar>
            <w:vAlign w:val="bottom"/>
          </w:tcPr>
          <w:p w14:paraId="341D8DE9" w14:textId="77777777" w:rsidR="00750464" w:rsidRDefault="00750464" w:rsidP="00750464">
            <w:pPr>
              <w:spacing w:before="240" w:after="0" w:line="276" w:lineRule="auto"/>
              <w:jc w:val="both"/>
              <w:rPr>
                <w:sz w:val="20"/>
                <w:szCs w:val="20"/>
              </w:rPr>
            </w:pPr>
          </w:p>
        </w:tc>
        <w:tc>
          <w:tcPr>
            <w:tcW w:w="413" w:type="dxa"/>
            <w:shd w:val="clear" w:color="auto" w:fill="156082" w:themeFill="accent1"/>
            <w:tcMar>
              <w:top w:w="0" w:type="dxa"/>
              <w:left w:w="80" w:type="dxa"/>
              <w:bottom w:w="0" w:type="dxa"/>
              <w:right w:w="80" w:type="dxa"/>
            </w:tcMar>
            <w:vAlign w:val="bottom"/>
          </w:tcPr>
          <w:p w14:paraId="6CD9FDEE" w14:textId="77777777" w:rsidR="00750464" w:rsidRDefault="00750464" w:rsidP="00750464">
            <w:pPr>
              <w:spacing w:before="240" w:after="0" w:line="276" w:lineRule="auto"/>
              <w:jc w:val="both"/>
              <w:rPr>
                <w:sz w:val="20"/>
                <w:szCs w:val="20"/>
              </w:rPr>
            </w:pPr>
          </w:p>
        </w:tc>
        <w:tc>
          <w:tcPr>
            <w:tcW w:w="465" w:type="dxa"/>
            <w:tcMar>
              <w:top w:w="0" w:type="dxa"/>
              <w:left w:w="80" w:type="dxa"/>
              <w:bottom w:w="0" w:type="dxa"/>
              <w:right w:w="80" w:type="dxa"/>
            </w:tcMar>
            <w:vAlign w:val="bottom"/>
          </w:tcPr>
          <w:p w14:paraId="01EF8EF2" w14:textId="77777777" w:rsidR="00750464" w:rsidRDefault="00750464" w:rsidP="00750464">
            <w:pPr>
              <w:spacing w:before="240" w:after="0" w:line="276" w:lineRule="auto"/>
              <w:jc w:val="both"/>
              <w:rPr>
                <w:sz w:val="20"/>
                <w:szCs w:val="20"/>
              </w:rPr>
            </w:pPr>
          </w:p>
        </w:tc>
        <w:tc>
          <w:tcPr>
            <w:tcW w:w="361" w:type="dxa"/>
            <w:tcMar>
              <w:top w:w="0" w:type="dxa"/>
              <w:left w:w="80" w:type="dxa"/>
              <w:bottom w:w="0" w:type="dxa"/>
              <w:right w:w="80" w:type="dxa"/>
            </w:tcMar>
            <w:vAlign w:val="bottom"/>
          </w:tcPr>
          <w:p w14:paraId="5E4B9A93" w14:textId="77777777" w:rsidR="00750464" w:rsidRDefault="00750464" w:rsidP="00750464">
            <w:pPr>
              <w:spacing w:before="240" w:after="0" w:line="276" w:lineRule="auto"/>
              <w:jc w:val="both"/>
              <w:rPr>
                <w:sz w:val="20"/>
                <w:szCs w:val="20"/>
              </w:rPr>
            </w:pPr>
          </w:p>
        </w:tc>
        <w:tc>
          <w:tcPr>
            <w:tcW w:w="413" w:type="dxa"/>
            <w:tcMar>
              <w:top w:w="0" w:type="dxa"/>
              <w:left w:w="80" w:type="dxa"/>
              <w:bottom w:w="0" w:type="dxa"/>
              <w:right w:w="80" w:type="dxa"/>
            </w:tcMar>
            <w:vAlign w:val="bottom"/>
          </w:tcPr>
          <w:p w14:paraId="1575F03E" w14:textId="77777777" w:rsidR="00750464" w:rsidRDefault="00750464" w:rsidP="00750464">
            <w:pPr>
              <w:spacing w:before="240" w:after="0" w:line="276" w:lineRule="auto"/>
              <w:jc w:val="both"/>
              <w:rPr>
                <w:sz w:val="20"/>
                <w:szCs w:val="20"/>
              </w:rPr>
            </w:pPr>
          </w:p>
        </w:tc>
      </w:tr>
      <w:tr w:rsidR="00BD6D5D" w14:paraId="39EA9CD8" w14:textId="77777777" w:rsidTr="00C766FA">
        <w:trPr>
          <w:trHeight w:val="300"/>
          <w:jc w:val="center"/>
        </w:trPr>
        <w:tc>
          <w:tcPr>
            <w:tcW w:w="1600" w:type="dxa"/>
            <w:vMerge/>
            <w:tcMar>
              <w:top w:w="100" w:type="dxa"/>
              <w:left w:w="100" w:type="dxa"/>
              <w:bottom w:w="100" w:type="dxa"/>
              <w:right w:w="100" w:type="dxa"/>
            </w:tcMar>
          </w:tcPr>
          <w:p w14:paraId="00000E78"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0E79"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0E7A"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0E7B" w14:textId="6D7BFF31" w:rsidR="00750464" w:rsidRDefault="00750464" w:rsidP="00750464">
            <w:pPr>
              <w:spacing w:before="240" w:after="0" w:line="276" w:lineRule="auto"/>
              <w:jc w:val="both"/>
              <w:rPr>
                <w:sz w:val="20"/>
                <w:szCs w:val="20"/>
              </w:rPr>
            </w:pPr>
            <w:r w:rsidRPr="5D8904BE">
              <w:rPr>
                <w:sz w:val="20"/>
                <w:szCs w:val="20"/>
              </w:rPr>
              <w:t>Activity 1.1.3.</w:t>
            </w:r>
            <w:r>
              <w:rPr>
                <w:sz w:val="20"/>
                <w:szCs w:val="20"/>
              </w:rPr>
              <w:t>4</w:t>
            </w:r>
          </w:p>
        </w:tc>
        <w:tc>
          <w:tcPr>
            <w:tcW w:w="412" w:type="dxa"/>
            <w:tcMar>
              <w:top w:w="0" w:type="dxa"/>
              <w:left w:w="80" w:type="dxa"/>
              <w:bottom w:w="0" w:type="dxa"/>
              <w:right w:w="80" w:type="dxa"/>
            </w:tcMar>
            <w:vAlign w:val="bottom"/>
          </w:tcPr>
          <w:p w14:paraId="00000E7C"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E7D"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E7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7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8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81"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0E82"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0E8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8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0E8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8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8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8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8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8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8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8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8D"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shd w:val="clear" w:color="auto" w:fill="156082" w:themeFill="accent1"/>
            <w:tcMar>
              <w:top w:w="0" w:type="dxa"/>
              <w:left w:w="80" w:type="dxa"/>
              <w:bottom w:w="0" w:type="dxa"/>
              <w:right w:w="80" w:type="dxa"/>
            </w:tcMar>
            <w:vAlign w:val="bottom"/>
          </w:tcPr>
          <w:p w14:paraId="00000E8E"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0E8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90"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788FDD1D" w14:textId="77777777" w:rsidTr="00714C21">
        <w:trPr>
          <w:trHeight w:val="300"/>
          <w:jc w:val="center"/>
        </w:trPr>
        <w:tc>
          <w:tcPr>
            <w:tcW w:w="1600" w:type="dxa"/>
            <w:vMerge/>
            <w:tcMar>
              <w:top w:w="100" w:type="dxa"/>
              <w:left w:w="100" w:type="dxa"/>
              <w:bottom w:w="100" w:type="dxa"/>
              <w:right w:w="100" w:type="dxa"/>
            </w:tcMar>
          </w:tcPr>
          <w:p w14:paraId="00000E91" w14:textId="77777777" w:rsidR="00750464" w:rsidRDefault="00750464" w:rsidP="00750464">
            <w:pPr>
              <w:spacing w:after="60" w:line="240" w:lineRule="auto"/>
              <w:jc w:val="both"/>
              <w:rPr>
                <w:sz w:val="20"/>
                <w:szCs w:val="20"/>
              </w:rPr>
            </w:pPr>
          </w:p>
        </w:tc>
        <w:tc>
          <w:tcPr>
            <w:tcW w:w="919" w:type="dxa"/>
            <w:vMerge w:val="restart"/>
            <w:tcMar>
              <w:top w:w="0" w:type="dxa"/>
              <w:left w:w="80" w:type="dxa"/>
              <w:bottom w:w="0" w:type="dxa"/>
              <w:right w:w="80" w:type="dxa"/>
            </w:tcMar>
          </w:tcPr>
          <w:p w14:paraId="00000E92" w14:textId="40FFAF4A" w:rsidR="00750464" w:rsidRDefault="00750464" w:rsidP="00750464">
            <w:pPr>
              <w:spacing w:before="240" w:after="0" w:line="276" w:lineRule="auto"/>
              <w:jc w:val="center"/>
              <w:rPr>
                <w:b/>
                <w:bCs/>
                <w:sz w:val="20"/>
                <w:szCs w:val="20"/>
              </w:rPr>
            </w:pPr>
            <w:proofErr w:type="spellStart"/>
            <w:r w:rsidRPr="5D8904BE">
              <w:rPr>
                <w:b/>
                <w:bCs/>
                <w:sz w:val="20"/>
                <w:szCs w:val="20"/>
              </w:rPr>
              <w:t>Outcome</w:t>
            </w:r>
            <w:proofErr w:type="spellEnd"/>
            <w:r w:rsidRPr="5D8904BE">
              <w:rPr>
                <w:b/>
                <w:bCs/>
                <w:sz w:val="20"/>
                <w:szCs w:val="20"/>
              </w:rPr>
              <w:t xml:space="preserve"> 1.2</w:t>
            </w:r>
          </w:p>
        </w:tc>
        <w:tc>
          <w:tcPr>
            <w:tcW w:w="1279" w:type="dxa"/>
            <w:vMerge w:val="restart"/>
            <w:tcMar>
              <w:top w:w="0" w:type="dxa"/>
              <w:left w:w="80" w:type="dxa"/>
              <w:bottom w:w="0" w:type="dxa"/>
              <w:right w:w="80" w:type="dxa"/>
            </w:tcMar>
          </w:tcPr>
          <w:p w14:paraId="00000E93" w14:textId="6C605BCD" w:rsidR="00750464" w:rsidRDefault="00750464" w:rsidP="00750464">
            <w:pPr>
              <w:spacing w:before="240" w:after="0" w:line="276" w:lineRule="auto"/>
              <w:jc w:val="both"/>
              <w:rPr>
                <w:b/>
                <w:bCs/>
                <w:sz w:val="20"/>
                <w:szCs w:val="20"/>
              </w:rPr>
            </w:pPr>
            <w:r w:rsidRPr="5D8904BE">
              <w:rPr>
                <w:b/>
                <w:bCs/>
                <w:sz w:val="20"/>
                <w:szCs w:val="20"/>
              </w:rPr>
              <w:t>Output 1.2.1</w:t>
            </w:r>
          </w:p>
        </w:tc>
        <w:tc>
          <w:tcPr>
            <w:tcW w:w="1533" w:type="dxa"/>
            <w:tcMar>
              <w:top w:w="0" w:type="dxa"/>
              <w:left w:w="80" w:type="dxa"/>
              <w:bottom w:w="0" w:type="dxa"/>
              <w:right w:w="80" w:type="dxa"/>
            </w:tcMar>
            <w:vAlign w:val="bottom"/>
          </w:tcPr>
          <w:p w14:paraId="00000E94" w14:textId="72E3E870" w:rsidR="00750464" w:rsidRDefault="00750464" w:rsidP="00750464">
            <w:pPr>
              <w:spacing w:before="240" w:after="0" w:line="276" w:lineRule="auto"/>
              <w:jc w:val="both"/>
              <w:rPr>
                <w:sz w:val="20"/>
                <w:szCs w:val="20"/>
              </w:rPr>
            </w:pPr>
            <w:r w:rsidRPr="5D8904BE">
              <w:rPr>
                <w:sz w:val="20"/>
                <w:szCs w:val="20"/>
              </w:rPr>
              <w:t>Activity 1.2.1.1</w:t>
            </w:r>
          </w:p>
        </w:tc>
        <w:tc>
          <w:tcPr>
            <w:tcW w:w="412" w:type="dxa"/>
            <w:tcMar>
              <w:top w:w="0" w:type="dxa"/>
              <w:left w:w="80" w:type="dxa"/>
              <w:bottom w:w="0" w:type="dxa"/>
              <w:right w:w="80" w:type="dxa"/>
            </w:tcMar>
            <w:vAlign w:val="bottom"/>
          </w:tcPr>
          <w:p w14:paraId="00000E95"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E96"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E9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9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9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E99" w:themeFill="text2" w:themeFillTint="BF"/>
            <w:tcMar>
              <w:top w:w="0" w:type="dxa"/>
              <w:left w:w="80" w:type="dxa"/>
              <w:bottom w:w="0" w:type="dxa"/>
              <w:right w:w="80" w:type="dxa"/>
            </w:tcMar>
            <w:vAlign w:val="bottom"/>
          </w:tcPr>
          <w:p w14:paraId="00000E9A"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shd w:val="clear" w:color="auto" w:fill="215E99" w:themeFill="text2" w:themeFillTint="BF"/>
            <w:tcMar>
              <w:top w:w="0" w:type="dxa"/>
              <w:left w:w="80" w:type="dxa"/>
              <w:bottom w:w="0" w:type="dxa"/>
              <w:right w:w="80" w:type="dxa"/>
            </w:tcMar>
            <w:vAlign w:val="bottom"/>
          </w:tcPr>
          <w:p w14:paraId="00000E9B"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shd w:val="clear" w:color="auto" w:fill="215E99" w:themeFill="text2" w:themeFillTint="BF"/>
            <w:tcMar>
              <w:top w:w="0" w:type="dxa"/>
              <w:left w:w="80" w:type="dxa"/>
              <w:bottom w:w="0" w:type="dxa"/>
              <w:right w:w="80" w:type="dxa"/>
            </w:tcMar>
            <w:vAlign w:val="bottom"/>
          </w:tcPr>
          <w:p w14:paraId="00000E9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E99" w:themeFill="text2" w:themeFillTint="BF"/>
            <w:tcMar>
              <w:top w:w="0" w:type="dxa"/>
              <w:left w:w="80" w:type="dxa"/>
              <w:bottom w:w="0" w:type="dxa"/>
              <w:right w:w="80" w:type="dxa"/>
            </w:tcMar>
            <w:vAlign w:val="bottom"/>
          </w:tcPr>
          <w:p w14:paraId="00000E9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9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9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A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A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A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A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A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A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A6"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0EA7"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0EA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A9"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41E66C66" w14:textId="77777777" w:rsidTr="00714C21">
        <w:trPr>
          <w:trHeight w:val="300"/>
          <w:jc w:val="center"/>
        </w:trPr>
        <w:tc>
          <w:tcPr>
            <w:tcW w:w="1600" w:type="dxa"/>
            <w:vMerge/>
            <w:tcMar>
              <w:top w:w="100" w:type="dxa"/>
              <w:left w:w="100" w:type="dxa"/>
              <w:bottom w:w="100" w:type="dxa"/>
              <w:right w:w="100" w:type="dxa"/>
            </w:tcMar>
          </w:tcPr>
          <w:p w14:paraId="00000EC3"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0EC4"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0EC5"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0EC6" w14:textId="27009D19" w:rsidR="00750464" w:rsidRDefault="00750464" w:rsidP="00750464">
            <w:pPr>
              <w:spacing w:before="240" w:after="0" w:line="276" w:lineRule="auto"/>
              <w:jc w:val="both"/>
              <w:rPr>
                <w:sz w:val="20"/>
                <w:szCs w:val="20"/>
              </w:rPr>
            </w:pPr>
            <w:r w:rsidRPr="1A8B662A">
              <w:rPr>
                <w:sz w:val="20"/>
                <w:szCs w:val="20"/>
              </w:rPr>
              <w:t>Activity 1.2.1.2</w:t>
            </w:r>
          </w:p>
        </w:tc>
        <w:tc>
          <w:tcPr>
            <w:tcW w:w="412" w:type="dxa"/>
            <w:tcMar>
              <w:top w:w="0" w:type="dxa"/>
              <w:left w:w="80" w:type="dxa"/>
              <w:bottom w:w="0" w:type="dxa"/>
              <w:right w:w="80" w:type="dxa"/>
            </w:tcMar>
            <w:vAlign w:val="bottom"/>
          </w:tcPr>
          <w:p w14:paraId="00000EC7"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EC8"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EC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C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C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CC"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shd w:val="clear" w:color="auto" w:fill="215C98"/>
            <w:tcMar>
              <w:top w:w="0" w:type="dxa"/>
              <w:left w:w="80" w:type="dxa"/>
              <w:bottom w:w="0" w:type="dxa"/>
              <w:right w:w="80" w:type="dxa"/>
            </w:tcMar>
            <w:vAlign w:val="bottom"/>
          </w:tcPr>
          <w:p w14:paraId="00000ECD"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shd w:val="clear" w:color="auto" w:fill="215C98"/>
            <w:tcMar>
              <w:top w:w="0" w:type="dxa"/>
              <w:left w:w="80" w:type="dxa"/>
              <w:bottom w:w="0" w:type="dxa"/>
              <w:right w:w="80" w:type="dxa"/>
            </w:tcMar>
            <w:vAlign w:val="bottom"/>
          </w:tcPr>
          <w:p w14:paraId="00000EC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C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D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D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D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D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D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D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D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D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D8"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0ED9"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0ED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DB"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3FD955AE" w14:textId="77777777" w:rsidTr="00714C21">
        <w:trPr>
          <w:trHeight w:val="300"/>
          <w:jc w:val="center"/>
        </w:trPr>
        <w:tc>
          <w:tcPr>
            <w:tcW w:w="1600" w:type="dxa"/>
            <w:vMerge/>
            <w:tcMar>
              <w:top w:w="100" w:type="dxa"/>
              <w:left w:w="100" w:type="dxa"/>
              <w:bottom w:w="100" w:type="dxa"/>
              <w:right w:w="100" w:type="dxa"/>
            </w:tcMar>
          </w:tcPr>
          <w:p w14:paraId="00000EDC"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0EDD"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0EDE"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0EDF" w14:textId="5D978C91" w:rsidR="00750464" w:rsidRDefault="00750464" w:rsidP="00750464">
            <w:pPr>
              <w:spacing w:before="240" w:after="0" w:line="276" w:lineRule="auto"/>
              <w:jc w:val="both"/>
              <w:rPr>
                <w:sz w:val="20"/>
                <w:szCs w:val="20"/>
              </w:rPr>
            </w:pPr>
            <w:r w:rsidRPr="1A8B662A">
              <w:rPr>
                <w:sz w:val="20"/>
                <w:szCs w:val="20"/>
              </w:rPr>
              <w:t>Activity 1.2.1.3</w:t>
            </w:r>
          </w:p>
        </w:tc>
        <w:tc>
          <w:tcPr>
            <w:tcW w:w="412" w:type="dxa"/>
            <w:tcMar>
              <w:top w:w="0" w:type="dxa"/>
              <w:left w:w="80" w:type="dxa"/>
              <w:bottom w:w="0" w:type="dxa"/>
              <w:right w:w="80" w:type="dxa"/>
            </w:tcMar>
            <w:vAlign w:val="bottom"/>
          </w:tcPr>
          <w:p w14:paraId="00000EE0"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EE1"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EE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E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E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E5"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0EE6"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0EE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E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E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E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E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E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E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E99" w:themeFill="text2" w:themeFillTint="BF"/>
            <w:tcMar>
              <w:top w:w="0" w:type="dxa"/>
              <w:left w:w="80" w:type="dxa"/>
              <w:bottom w:w="0" w:type="dxa"/>
              <w:right w:w="80" w:type="dxa"/>
            </w:tcMar>
            <w:vAlign w:val="bottom"/>
          </w:tcPr>
          <w:p w14:paraId="00000EE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E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F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EF1"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0EF2"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0EF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F4"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0FB8B8C6" w14:textId="77777777" w:rsidTr="00714C21">
        <w:trPr>
          <w:trHeight w:val="300"/>
          <w:jc w:val="center"/>
        </w:trPr>
        <w:tc>
          <w:tcPr>
            <w:tcW w:w="1600" w:type="dxa"/>
            <w:vMerge/>
            <w:tcMar>
              <w:top w:w="100" w:type="dxa"/>
              <w:left w:w="100" w:type="dxa"/>
              <w:bottom w:w="100" w:type="dxa"/>
              <w:right w:w="100" w:type="dxa"/>
            </w:tcMar>
          </w:tcPr>
          <w:p w14:paraId="00000EF5"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0EF6"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0EF7"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0EF8" w14:textId="19F87144" w:rsidR="00750464" w:rsidRDefault="00750464" w:rsidP="00750464">
            <w:pPr>
              <w:spacing w:before="240" w:after="0" w:line="276" w:lineRule="auto"/>
              <w:jc w:val="both"/>
              <w:rPr>
                <w:sz w:val="20"/>
                <w:szCs w:val="20"/>
              </w:rPr>
            </w:pPr>
            <w:r w:rsidRPr="1A8B662A">
              <w:rPr>
                <w:sz w:val="20"/>
                <w:szCs w:val="20"/>
              </w:rPr>
              <w:t>Activity 1.2.1.4</w:t>
            </w:r>
          </w:p>
        </w:tc>
        <w:tc>
          <w:tcPr>
            <w:tcW w:w="412" w:type="dxa"/>
            <w:tcMar>
              <w:top w:w="0" w:type="dxa"/>
              <w:left w:w="80" w:type="dxa"/>
              <w:bottom w:w="0" w:type="dxa"/>
              <w:right w:w="80" w:type="dxa"/>
            </w:tcMar>
            <w:vAlign w:val="bottom"/>
          </w:tcPr>
          <w:p w14:paraId="00000EF9"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EFA"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EF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F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F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EFE"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0EFF"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0F0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0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0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0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0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0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0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0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0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0F0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0A"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0F0B"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0F0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0D" w14:textId="77777777" w:rsidR="00750464" w:rsidRDefault="00750464" w:rsidP="00750464">
            <w:pPr>
              <w:spacing w:before="240" w:after="0" w:line="276" w:lineRule="auto"/>
              <w:jc w:val="both"/>
              <w:rPr>
                <w:sz w:val="20"/>
                <w:szCs w:val="20"/>
              </w:rPr>
            </w:pPr>
            <w:r>
              <w:rPr>
                <w:sz w:val="20"/>
                <w:szCs w:val="20"/>
              </w:rPr>
              <w:t xml:space="preserve"> </w:t>
            </w:r>
          </w:p>
        </w:tc>
      </w:tr>
      <w:tr w:rsidR="00BD6D5D" w14:paraId="76CCD583" w14:textId="77777777" w:rsidTr="00862932">
        <w:trPr>
          <w:trHeight w:val="300"/>
          <w:jc w:val="center"/>
        </w:trPr>
        <w:tc>
          <w:tcPr>
            <w:tcW w:w="1600" w:type="dxa"/>
            <w:vMerge w:val="restart"/>
            <w:tcMar>
              <w:top w:w="0" w:type="dxa"/>
              <w:left w:w="80" w:type="dxa"/>
              <w:bottom w:w="0" w:type="dxa"/>
              <w:right w:w="80" w:type="dxa"/>
            </w:tcMar>
          </w:tcPr>
          <w:p w14:paraId="00000F59" w14:textId="6B342526" w:rsidR="00750464" w:rsidRDefault="00750464" w:rsidP="00750464">
            <w:pPr>
              <w:spacing w:before="240" w:after="0" w:line="276" w:lineRule="auto"/>
              <w:jc w:val="center"/>
              <w:rPr>
                <w:sz w:val="20"/>
                <w:szCs w:val="20"/>
              </w:rPr>
            </w:pPr>
            <w:proofErr w:type="gramStart"/>
            <w:r w:rsidRPr="5D8904BE">
              <w:rPr>
                <w:sz w:val="20"/>
                <w:szCs w:val="20"/>
              </w:rPr>
              <w:t>Component  2</w:t>
            </w:r>
            <w:proofErr w:type="gramEnd"/>
          </w:p>
        </w:tc>
        <w:tc>
          <w:tcPr>
            <w:tcW w:w="919" w:type="dxa"/>
            <w:vMerge w:val="restart"/>
            <w:tcMar>
              <w:top w:w="0" w:type="dxa"/>
              <w:left w:w="80" w:type="dxa"/>
              <w:bottom w:w="0" w:type="dxa"/>
              <w:right w:w="80" w:type="dxa"/>
            </w:tcMar>
          </w:tcPr>
          <w:p w14:paraId="00000F5A" w14:textId="102860E0" w:rsidR="00750464" w:rsidRDefault="00750464" w:rsidP="00750464">
            <w:pPr>
              <w:spacing w:before="240" w:after="0" w:line="276" w:lineRule="auto"/>
              <w:jc w:val="center"/>
              <w:rPr>
                <w:b/>
                <w:bCs/>
                <w:sz w:val="20"/>
                <w:szCs w:val="20"/>
              </w:rPr>
            </w:pPr>
            <w:proofErr w:type="spellStart"/>
            <w:r w:rsidRPr="5D8904BE">
              <w:rPr>
                <w:b/>
                <w:bCs/>
                <w:sz w:val="20"/>
                <w:szCs w:val="20"/>
              </w:rPr>
              <w:t>Outcome</w:t>
            </w:r>
            <w:proofErr w:type="spellEnd"/>
            <w:r w:rsidRPr="5D8904BE">
              <w:rPr>
                <w:b/>
                <w:bCs/>
                <w:sz w:val="20"/>
                <w:szCs w:val="20"/>
              </w:rPr>
              <w:t xml:space="preserve"> 2.1</w:t>
            </w:r>
          </w:p>
        </w:tc>
        <w:tc>
          <w:tcPr>
            <w:tcW w:w="1279" w:type="dxa"/>
            <w:vMerge w:val="restart"/>
            <w:tcMar>
              <w:top w:w="0" w:type="dxa"/>
              <w:left w:w="80" w:type="dxa"/>
              <w:bottom w:w="0" w:type="dxa"/>
              <w:right w:w="80" w:type="dxa"/>
            </w:tcMar>
          </w:tcPr>
          <w:p w14:paraId="00000F5B" w14:textId="104646F2" w:rsidR="00750464" w:rsidRDefault="00750464" w:rsidP="00750464">
            <w:pPr>
              <w:spacing w:before="240" w:after="0" w:line="276" w:lineRule="auto"/>
              <w:jc w:val="both"/>
              <w:rPr>
                <w:b/>
                <w:bCs/>
                <w:sz w:val="20"/>
                <w:szCs w:val="20"/>
              </w:rPr>
            </w:pPr>
            <w:r w:rsidRPr="5D8904BE">
              <w:rPr>
                <w:b/>
                <w:bCs/>
                <w:sz w:val="20"/>
                <w:szCs w:val="20"/>
              </w:rPr>
              <w:t>Output 2.1.1</w:t>
            </w:r>
          </w:p>
        </w:tc>
        <w:tc>
          <w:tcPr>
            <w:tcW w:w="1533" w:type="dxa"/>
            <w:tcMar>
              <w:top w:w="0" w:type="dxa"/>
              <w:left w:w="80" w:type="dxa"/>
              <w:bottom w:w="0" w:type="dxa"/>
              <w:right w:w="80" w:type="dxa"/>
            </w:tcMar>
            <w:vAlign w:val="bottom"/>
          </w:tcPr>
          <w:p w14:paraId="00000F5C" w14:textId="3A5FCA24" w:rsidR="00750464" w:rsidRDefault="00750464" w:rsidP="00750464">
            <w:pPr>
              <w:spacing w:before="240" w:after="0" w:line="276" w:lineRule="auto"/>
              <w:jc w:val="both"/>
              <w:rPr>
                <w:sz w:val="20"/>
                <w:szCs w:val="20"/>
              </w:rPr>
            </w:pPr>
            <w:r w:rsidRPr="5D8904BE">
              <w:rPr>
                <w:sz w:val="20"/>
                <w:szCs w:val="20"/>
              </w:rPr>
              <w:t>Activity 2.1.1.1</w:t>
            </w:r>
          </w:p>
        </w:tc>
        <w:tc>
          <w:tcPr>
            <w:tcW w:w="412" w:type="dxa"/>
            <w:tcMar>
              <w:top w:w="0" w:type="dxa"/>
              <w:left w:w="80" w:type="dxa"/>
              <w:bottom w:w="0" w:type="dxa"/>
              <w:right w:w="80" w:type="dxa"/>
            </w:tcMar>
            <w:vAlign w:val="bottom"/>
          </w:tcPr>
          <w:p w14:paraId="00000F5D"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F5E"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F5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6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6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62"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shd w:val="clear" w:color="auto" w:fill="0C769E"/>
            <w:tcMar>
              <w:top w:w="0" w:type="dxa"/>
              <w:left w:w="80" w:type="dxa"/>
              <w:bottom w:w="0" w:type="dxa"/>
              <w:right w:w="80" w:type="dxa"/>
            </w:tcMar>
            <w:vAlign w:val="bottom"/>
          </w:tcPr>
          <w:p w14:paraId="00000F63"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shd w:val="clear" w:color="auto" w:fill="0C769E"/>
            <w:tcMar>
              <w:top w:w="0" w:type="dxa"/>
              <w:left w:w="80" w:type="dxa"/>
              <w:bottom w:w="0" w:type="dxa"/>
              <w:right w:w="80" w:type="dxa"/>
            </w:tcMar>
            <w:vAlign w:val="bottom"/>
          </w:tcPr>
          <w:p w14:paraId="00000F6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0F6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0F6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0F6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0F6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0F6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0F6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0F6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0F6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6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6E"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0F6F"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0F7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71"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01CB4151" w14:textId="77777777" w:rsidTr="00714C21">
        <w:trPr>
          <w:trHeight w:val="300"/>
          <w:jc w:val="center"/>
        </w:trPr>
        <w:tc>
          <w:tcPr>
            <w:tcW w:w="1600" w:type="dxa"/>
            <w:vMerge/>
            <w:tcMar>
              <w:top w:w="100" w:type="dxa"/>
              <w:left w:w="100" w:type="dxa"/>
              <w:bottom w:w="100" w:type="dxa"/>
              <w:right w:w="100" w:type="dxa"/>
            </w:tcMar>
          </w:tcPr>
          <w:p w14:paraId="00000FA4"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0FA5"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0FA6"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0FA7" w14:textId="48F9E86C" w:rsidR="00750464" w:rsidRDefault="00750464" w:rsidP="00750464">
            <w:pPr>
              <w:spacing w:before="240" w:after="0" w:line="276" w:lineRule="auto"/>
              <w:jc w:val="both"/>
              <w:rPr>
                <w:sz w:val="20"/>
                <w:szCs w:val="20"/>
              </w:rPr>
            </w:pPr>
            <w:r w:rsidRPr="5D8904BE">
              <w:rPr>
                <w:sz w:val="20"/>
                <w:szCs w:val="20"/>
              </w:rPr>
              <w:t>Activity 2.1.1.</w:t>
            </w:r>
            <w:r w:rsidR="00862932">
              <w:rPr>
                <w:sz w:val="20"/>
                <w:szCs w:val="20"/>
              </w:rPr>
              <w:t>2</w:t>
            </w:r>
          </w:p>
        </w:tc>
        <w:tc>
          <w:tcPr>
            <w:tcW w:w="412" w:type="dxa"/>
            <w:tcMar>
              <w:top w:w="0" w:type="dxa"/>
              <w:left w:w="80" w:type="dxa"/>
              <w:bottom w:w="0" w:type="dxa"/>
              <w:right w:w="80" w:type="dxa"/>
            </w:tcMar>
            <w:vAlign w:val="bottom"/>
          </w:tcPr>
          <w:p w14:paraId="00000FA8"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FA9"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FA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A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A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AD"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0FAE"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0FA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B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B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B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B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B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B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B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B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B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B9"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0FBA"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0FB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BC"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6D956404" w14:textId="77777777" w:rsidTr="00714C21">
        <w:trPr>
          <w:trHeight w:val="300"/>
          <w:jc w:val="center"/>
        </w:trPr>
        <w:tc>
          <w:tcPr>
            <w:tcW w:w="1600" w:type="dxa"/>
            <w:vMerge/>
            <w:tcMar>
              <w:top w:w="100" w:type="dxa"/>
              <w:left w:w="100" w:type="dxa"/>
              <w:bottom w:w="100" w:type="dxa"/>
              <w:right w:w="100" w:type="dxa"/>
            </w:tcMar>
          </w:tcPr>
          <w:p w14:paraId="00000FBD"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0FBE" w14:textId="77777777" w:rsidR="00750464" w:rsidRDefault="00750464" w:rsidP="00750464">
            <w:pPr>
              <w:spacing w:after="60" w:line="240" w:lineRule="auto"/>
              <w:jc w:val="both"/>
              <w:rPr>
                <w:sz w:val="20"/>
                <w:szCs w:val="20"/>
              </w:rPr>
            </w:pPr>
          </w:p>
        </w:tc>
        <w:tc>
          <w:tcPr>
            <w:tcW w:w="1279" w:type="dxa"/>
            <w:vMerge w:val="restart"/>
            <w:tcMar>
              <w:top w:w="0" w:type="dxa"/>
              <w:left w:w="80" w:type="dxa"/>
              <w:bottom w:w="0" w:type="dxa"/>
              <w:right w:w="80" w:type="dxa"/>
            </w:tcMar>
          </w:tcPr>
          <w:p w14:paraId="00000FBF" w14:textId="5858A16A" w:rsidR="00750464" w:rsidRDefault="00750464" w:rsidP="00750464">
            <w:pPr>
              <w:spacing w:before="240" w:after="0" w:line="276" w:lineRule="auto"/>
              <w:jc w:val="both"/>
              <w:rPr>
                <w:b/>
                <w:bCs/>
                <w:sz w:val="20"/>
                <w:szCs w:val="20"/>
              </w:rPr>
            </w:pPr>
            <w:r w:rsidRPr="5D8904BE">
              <w:rPr>
                <w:b/>
                <w:bCs/>
                <w:sz w:val="20"/>
                <w:szCs w:val="20"/>
              </w:rPr>
              <w:t>Output 2.1.2</w:t>
            </w:r>
          </w:p>
        </w:tc>
        <w:tc>
          <w:tcPr>
            <w:tcW w:w="1533" w:type="dxa"/>
            <w:tcMar>
              <w:top w:w="0" w:type="dxa"/>
              <w:left w:w="80" w:type="dxa"/>
              <w:bottom w:w="0" w:type="dxa"/>
              <w:right w:w="80" w:type="dxa"/>
            </w:tcMar>
            <w:vAlign w:val="bottom"/>
          </w:tcPr>
          <w:p w14:paraId="00000FC0" w14:textId="1CEA62E3" w:rsidR="00750464" w:rsidRDefault="00750464" w:rsidP="00750464">
            <w:pPr>
              <w:spacing w:before="240" w:after="0" w:line="276" w:lineRule="auto"/>
              <w:jc w:val="both"/>
              <w:rPr>
                <w:sz w:val="20"/>
                <w:szCs w:val="20"/>
              </w:rPr>
            </w:pPr>
            <w:r w:rsidRPr="5D8904BE">
              <w:rPr>
                <w:sz w:val="20"/>
                <w:szCs w:val="20"/>
              </w:rPr>
              <w:t>Activity 2.1.2.1</w:t>
            </w:r>
          </w:p>
        </w:tc>
        <w:tc>
          <w:tcPr>
            <w:tcW w:w="412" w:type="dxa"/>
            <w:tcMar>
              <w:top w:w="0" w:type="dxa"/>
              <w:left w:w="80" w:type="dxa"/>
              <w:bottom w:w="0" w:type="dxa"/>
              <w:right w:w="80" w:type="dxa"/>
            </w:tcMar>
            <w:vAlign w:val="bottom"/>
          </w:tcPr>
          <w:p w14:paraId="00000FC1"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FC2"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shd w:val="clear" w:color="auto" w:fill="0C769E"/>
            <w:tcMar>
              <w:top w:w="0" w:type="dxa"/>
              <w:left w:w="80" w:type="dxa"/>
              <w:bottom w:w="0" w:type="dxa"/>
              <w:right w:w="80" w:type="dxa"/>
            </w:tcMar>
            <w:vAlign w:val="bottom"/>
          </w:tcPr>
          <w:p w14:paraId="00000FC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C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C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C6"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shd w:val="clear" w:color="auto" w:fill="0C769E"/>
            <w:tcMar>
              <w:top w:w="0" w:type="dxa"/>
              <w:left w:w="80" w:type="dxa"/>
              <w:bottom w:w="0" w:type="dxa"/>
              <w:right w:w="80" w:type="dxa"/>
            </w:tcMar>
            <w:vAlign w:val="bottom"/>
          </w:tcPr>
          <w:p w14:paraId="00000FC7"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shd w:val="clear" w:color="auto" w:fill="0C769E"/>
            <w:tcMar>
              <w:top w:w="0" w:type="dxa"/>
              <w:left w:w="80" w:type="dxa"/>
              <w:bottom w:w="0" w:type="dxa"/>
              <w:right w:w="80" w:type="dxa"/>
            </w:tcMar>
            <w:vAlign w:val="bottom"/>
          </w:tcPr>
          <w:p w14:paraId="00000FC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C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C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C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C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C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C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C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D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D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D2"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0FD3"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0FD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D5"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172AD203" w14:textId="77777777" w:rsidTr="00714C21">
        <w:trPr>
          <w:trHeight w:val="300"/>
          <w:jc w:val="center"/>
        </w:trPr>
        <w:tc>
          <w:tcPr>
            <w:tcW w:w="1600" w:type="dxa"/>
            <w:vMerge/>
            <w:tcMar>
              <w:top w:w="100" w:type="dxa"/>
              <w:left w:w="100" w:type="dxa"/>
              <w:bottom w:w="100" w:type="dxa"/>
              <w:right w:w="100" w:type="dxa"/>
            </w:tcMar>
          </w:tcPr>
          <w:p w14:paraId="00000FD6"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0FD7"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0FD8"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0FD9" w14:textId="2E9BE7D4" w:rsidR="00750464" w:rsidRDefault="00750464" w:rsidP="00750464">
            <w:pPr>
              <w:spacing w:before="240" w:after="0" w:line="276" w:lineRule="auto"/>
              <w:jc w:val="both"/>
              <w:rPr>
                <w:sz w:val="20"/>
                <w:szCs w:val="20"/>
              </w:rPr>
            </w:pPr>
            <w:r w:rsidRPr="5D8904BE">
              <w:rPr>
                <w:sz w:val="20"/>
                <w:szCs w:val="20"/>
              </w:rPr>
              <w:t>Activity 2.1.2.2</w:t>
            </w:r>
          </w:p>
        </w:tc>
        <w:tc>
          <w:tcPr>
            <w:tcW w:w="412" w:type="dxa"/>
            <w:tcMar>
              <w:top w:w="0" w:type="dxa"/>
              <w:left w:w="80" w:type="dxa"/>
              <w:bottom w:w="0" w:type="dxa"/>
              <w:right w:w="80" w:type="dxa"/>
            </w:tcMar>
            <w:vAlign w:val="bottom"/>
          </w:tcPr>
          <w:p w14:paraId="00000FDA"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FDB"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FD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D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D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DF"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shd w:val="clear" w:color="auto" w:fill="0C769E"/>
            <w:tcMar>
              <w:top w:w="0" w:type="dxa"/>
              <w:left w:w="80" w:type="dxa"/>
              <w:bottom w:w="0" w:type="dxa"/>
              <w:right w:w="80" w:type="dxa"/>
            </w:tcMar>
            <w:vAlign w:val="bottom"/>
          </w:tcPr>
          <w:p w14:paraId="00000FE0"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shd w:val="clear" w:color="auto" w:fill="0C769E"/>
            <w:tcMar>
              <w:top w:w="0" w:type="dxa"/>
              <w:left w:w="80" w:type="dxa"/>
              <w:bottom w:w="0" w:type="dxa"/>
              <w:right w:w="80" w:type="dxa"/>
            </w:tcMar>
            <w:vAlign w:val="bottom"/>
          </w:tcPr>
          <w:p w14:paraId="00000FE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E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E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E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E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E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E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E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E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E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EB"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0FEC"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0FE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EE"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60C77E5A" w14:textId="77777777" w:rsidTr="00714C21">
        <w:trPr>
          <w:trHeight w:val="300"/>
          <w:jc w:val="center"/>
        </w:trPr>
        <w:tc>
          <w:tcPr>
            <w:tcW w:w="1600" w:type="dxa"/>
            <w:vMerge/>
            <w:tcMar>
              <w:top w:w="100" w:type="dxa"/>
              <w:left w:w="100" w:type="dxa"/>
              <w:bottom w:w="100" w:type="dxa"/>
              <w:right w:w="100" w:type="dxa"/>
            </w:tcMar>
          </w:tcPr>
          <w:p w14:paraId="00000FEF"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0FF0"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0FF1"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0FF2" w14:textId="6149FD86" w:rsidR="00750464" w:rsidRDefault="00750464" w:rsidP="00750464">
            <w:pPr>
              <w:spacing w:before="240" w:after="0" w:line="276" w:lineRule="auto"/>
              <w:jc w:val="both"/>
              <w:rPr>
                <w:sz w:val="20"/>
                <w:szCs w:val="20"/>
              </w:rPr>
            </w:pPr>
            <w:r w:rsidRPr="5D8904BE">
              <w:rPr>
                <w:sz w:val="20"/>
                <w:szCs w:val="20"/>
              </w:rPr>
              <w:t>Activity 2.1.2.3</w:t>
            </w:r>
          </w:p>
        </w:tc>
        <w:tc>
          <w:tcPr>
            <w:tcW w:w="412" w:type="dxa"/>
            <w:tcMar>
              <w:top w:w="0" w:type="dxa"/>
              <w:left w:w="80" w:type="dxa"/>
              <w:bottom w:w="0" w:type="dxa"/>
              <w:right w:w="80" w:type="dxa"/>
            </w:tcMar>
            <w:vAlign w:val="bottom"/>
          </w:tcPr>
          <w:p w14:paraId="00000FF3"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FF4"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0FF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F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F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0FF8"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0FF9"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0FF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F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F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F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F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0FF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100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0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0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0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04"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1005"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00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07" w14:textId="77777777" w:rsidR="00750464" w:rsidRDefault="00750464" w:rsidP="00750464">
            <w:pPr>
              <w:spacing w:before="240" w:after="0" w:line="276" w:lineRule="auto"/>
              <w:jc w:val="both"/>
              <w:rPr>
                <w:sz w:val="20"/>
                <w:szCs w:val="20"/>
              </w:rPr>
            </w:pPr>
            <w:r>
              <w:rPr>
                <w:sz w:val="20"/>
                <w:szCs w:val="20"/>
              </w:rPr>
              <w:t xml:space="preserve"> </w:t>
            </w:r>
          </w:p>
        </w:tc>
      </w:tr>
      <w:tr w:rsidR="00032D04" w14:paraId="6047248D" w14:textId="77777777" w:rsidTr="005F76E7">
        <w:trPr>
          <w:trHeight w:val="300"/>
          <w:jc w:val="center"/>
        </w:trPr>
        <w:tc>
          <w:tcPr>
            <w:tcW w:w="1600" w:type="dxa"/>
            <w:vMerge/>
            <w:tcMar>
              <w:top w:w="100" w:type="dxa"/>
              <w:left w:w="100" w:type="dxa"/>
              <w:bottom w:w="100" w:type="dxa"/>
              <w:right w:w="100" w:type="dxa"/>
            </w:tcMar>
          </w:tcPr>
          <w:p w14:paraId="00001008"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009" w14:textId="77777777" w:rsidR="00750464" w:rsidRDefault="00750464" w:rsidP="00750464">
            <w:pPr>
              <w:spacing w:after="60" w:line="240" w:lineRule="auto"/>
              <w:jc w:val="both"/>
              <w:rPr>
                <w:sz w:val="20"/>
                <w:szCs w:val="20"/>
              </w:rPr>
            </w:pPr>
          </w:p>
        </w:tc>
        <w:tc>
          <w:tcPr>
            <w:tcW w:w="1279" w:type="dxa"/>
            <w:vMerge w:val="restart"/>
            <w:tcMar>
              <w:top w:w="0" w:type="dxa"/>
              <w:left w:w="80" w:type="dxa"/>
              <w:bottom w:w="0" w:type="dxa"/>
              <w:right w:w="80" w:type="dxa"/>
            </w:tcMar>
          </w:tcPr>
          <w:p w14:paraId="0000100A" w14:textId="124277F3" w:rsidR="00750464" w:rsidRDefault="00750464" w:rsidP="00750464">
            <w:pPr>
              <w:spacing w:before="240" w:after="0" w:line="276" w:lineRule="auto"/>
              <w:jc w:val="both"/>
              <w:rPr>
                <w:b/>
                <w:bCs/>
                <w:sz w:val="20"/>
                <w:szCs w:val="20"/>
              </w:rPr>
            </w:pPr>
            <w:r w:rsidRPr="5D8904BE">
              <w:rPr>
                <w:b/>
                <w:bCs/>
                <w:sz w:val="20"/>
                <w:szCs w:val="20"/>
              </w:rPr>
              <w:t>Output 2.1.3</w:t>
            </w:r>
          </w:p>
        </w:tc>
        <w:tc>
          <w:tcPr>
            <w:tcW w:w="1533" w:type="dxa"/>
            <w:tcMar>
              <w:top w:w="0" w:type="dxa"/>
              <w:left w:w="80" w:type="dxa"/>
              <w:bottom w:w="0" w:type="dxa"/>
              <w:right w:w="80" w:type="dxa"/>
            </w:tcMar>
            <w:vAlign w:val="bottom"/>
          </w:tcPr>
          <w:p w14:paraId="0000100B" w14:textId="5D260467" w:rsidR="00750464" w:rsidRDefault="00750464" w:rsidP="00750464">
            <w:pPr>
              <w:spacing w:before="240" w:after="0" w:line="276" w:lineRule="auto"/>
              <w:jc w:val="both"/>
              <w:rPr>
                <w:sz w:val="20"/>
                <w:szCs w:val="20"/>
              </w:rPr>
            </w:pPr>
            <w:r w:rsidRPr="5D8904BE">
              <w:rPr>
                <w:sz w:val="20"/>
                <w:szCs w:val="20"/>
              </w:rPr>
              <w:t>Activity 2.1.3.1</w:t>
            </w:r>
          </w:p>
        </w:tc>
        <w:tc>
          <w:tcPr>
            <w:tcW w:w="412" w:type="dxa"/>
            <w:tcMar>
              <w:top w:w="0" w:type="dxa"/>
              <w:left w:w="80" w:type="dxa"/>
              <w:bottom w:w="0" w:type="dxa"/>
              <w:right w:w="80" w:type="dxa"/>
            </w:tcMar>
            <w:vAlign w:val="bottom"/>
          </w:tcPr>
          <w:p w14:paraId="0000100C"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00D"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00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0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1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11"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shd w:val="clear" w:color="auto" w:fill="0C769E"/>
            <w:tcMar>
              <w:top w:w="0" w:type="dxa"/>
              <w:left w:w="80" w:type="dxa"/>
              <w:bottom w:w="0" w:type="dxa"/>
              <w:right w:w="80" w:type="dxa"/>
            </w:tcMar>
            <w:vAlign w:val="bottom"/>
          </w:tcPr>
          <w:p w14:paraId="00001012"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shd w:val="clear" w:color="auto" w:fill="0C769E"/>
            <w:tcMar>
              <w:top w:w="0" w:type="dxa"/>
              <w:left w:w="80" w:type="dxa"/>
              <w:bottom w:w="0" w:type="dxa"/>
              <w:right w:w="80" w:type="dxa"/>
            </w:tcMar>
            <w:vAlign w:val="bottom"/>
          </w:tcPr>
          <w:p w14:paraId="0000101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101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101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01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01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1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1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1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1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1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1D"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101E"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01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20"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7C605BBD" w14:textId="77777777" w:rsidTr="00714C21">
        <w:trPr>
          <w:trHeight w:val="300"/>
          <w:jc w:val="center"/>
        </w:trPr>
        <w:tc>
          <w:tcPr>
            <w:tcW w:w="1600" w:type="dxa"/>
            <w:vMerge/>
            <w:tcMar>
              <w:top w:w="100" w:type="dxa"/>
              <w:left w:w="100" w:type="dxa"/>
              <w:bottom w:w="100" w:type="dxa"/>
              <w:right w:w="100" w:type="dxa"/>
            </w:tcMar>
          </w:tcPr>
          <w:p w14:paraId="0000103A"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03B"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103C"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103D" w14:textId="3656472F" w:rsidR="00750464" w:rsidRDefault="00750464" w:rsidP="00750464">
            <w:pPr>
              <w:spacing w:before="240" w:after="0" w:line="276" w:lineRule="auto"/>
              <w:jc w:val="both"/>
              <w:rPr>
                <w:sz w:val="20"/>
                <w:szCs w:val="20"/>
              </w:rPr>
            </w:pPr>
            <w:r w:rsidRPr="5D8904BE">
              <w:rPr>
                <w:sz w:val="20"/>
                <w:szCs w:val="20"/>
              </w:rPr>
              <w:t>Activity 2.1.3.</w:t>
            </w:r>
            <w:r w:rsidR="005F76E7">
              <w:rPr>
                <w:sz w:val="20"/>
                <w:szCs w:val="20"/>
              </w:rPr>
              <w:t>2</w:t>
            </w:r>
          </w:p>
        </w:tc>
        <w:tc>
          <w:tcPr>
            <w:tcW w:w="412" w:type="dxa"/>
            <w:tcMar>
              <w:top w:w="0" w:type="dxa"/>
              <w:left w:w="80" w:type="dxa"/>
              <w:bottom w:w="0" w:type="dxa"/>
              <w:right w:w="80" w:type="dxa"/>
            </w:tcMar>
            <w:vAlign w:val="bottom"/>
          </w:tcPr>
          <w:p w14:paraId="0000103E"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03F"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04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4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4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43"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1044"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104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4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4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4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104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104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104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4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4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4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4F"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1050"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05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52"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49B7BE1A" w14:textId="77777777" w:rsidTr="00714C21">
        <w:trPr>
          <w:trHeight w:val="300"/>
          <w:jc w:val="center"/>
        </w:trPr>
        <w:tc>
          <w:tcPr>
            <w:tcW w:w="1600" w:type="dxa"/>
            <w:vMerge/>
            <w:tcMar>
              <w:top w:w="100" w:type="dxa"/>
              <w:left w:w="100" w:type="dxa"/>
              <w:bottom w:w="100" w:type="dxa"/>
              <w:right w:w="100" w:type="dxa"/>
            </w:tcMar>
          </w:tcPr>
          <w:p w14:paraId="0000106C"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06D"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106E"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106F" w14:textId="26F5A8A6" w:rsidR="00750464" w:rsidRDefault="00750464" w:rsidP="00750464">
            <w:pPr>
              <w:spacing w:before="240" w:after="0" w:line="276" w:lineRule="auto"/>
              <w:jc w:val="both"/>
              <w:rPr>
                <w:sz w:val="20"/>
                <w:szCs w:val="20"/>
              </w:rPr>
            </w:pPr>
            <w:r w:rsidRPr="1A8B662A">
              <w:rPr>
                <w:sz w:val="20"/>
                <w:szCs w:val="20"/>
              </w:rPr>
              <w:t>Activity 2.1.3.</w:t>
            </w:r>
            <w:r w:rsidR="005F76E7">
              <w:rPr>
                <w:sz w:val="20"/>
                <w:szCs w:val="20"/>
              </w:rPr>
              <w:t>3</w:t>
            </w:r>
          </w:p>
        </w:tc>
        <w:tc>
          <w:tcPr>
            <w:tcW w:w="412" w:type="dxa"/>
            <w:tcMar>
              <w:top w:w="0" w:type="dxa"/>
              <w:left w:w="80" w:type="dxa"/>
              <w:bottom w:w="0" w:type="dxa"/>
              <w:right w:w="80" w:type="dxa"/>
            </w:tcMar>
            <w:vAlign w:val="bottom"/>
          </w:tcPr>
          <w:p w14:paraId="00001070"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071"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07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7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7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75"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shd w:val="clear" w:color="auto" w:fill="0C769E"/>
            <w:tcMar>
              <w:top w:w="0" w:type="dxa"/>
              <w:left w:w="80" w:type="dxa"/>
              <w:bottom w:w="0" w:type="dxa"/>
              <w:right w:w="80" w:type="dxa"/>
            </w:tcMar>
            <w:vAlign w:val="bottom"/>
          </w:tcPr>
          <w:p w14:paraId="00001076"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shd w:val="clear" w:color="auto" w:fill="0C769E"/>
            <w:tcMar>
              <w:top w:w="0" w:type="dxa"/>
              <w:left w:w="80" w:type="dxa"/>
              <w:bottom w:w="0" w:type="dxa"/>
              <w:right w:w="80" w:type="dxa"/>
            </w:tcMar>
            <w:vAlign w:val="bottom"/>
          </w:tcPr>
          <w:p w14:paraId="0000107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0C769E"/>
            <w:tcMar>
              <w:top w:w="0" w:type="dxa"/>
              <w:left w:w="80" w:type="dxa"/>
              <w:bottom w:w="0" w:type="dxa"/>
              <w:right w:w="80" w:type="dxa"/>
            </w:tcMar>
            <w:vAlign w:val="bottom"/>
          </w:tcPr>
          <w:p w14:paraId="0000107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7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7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7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7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7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7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7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8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81"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1082"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08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84"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2904D2B3" w14:textId="77777777" w:rsidTr="00714C21">
        <w:trPr>
          <w:trHeight w:val="300"/>
          <w:jc w:val="center"/>
        </w:trPr>
        <w:tc>
          <w:tcPr>
            <w:tcW w:w="1600" w:type="dxa"/>
            <w:vMerge/>
            <w:tcMar>
              <w:top w:w="100" w:type="dxa"/>
              <w:left w:w="100" w:type="dxa"/>
              <w:bottom w:w="100" w:type="dxa"/>
              <w:right w:w="100" w:type="dxa"/>
            </w:tcMar>
          </w:tcPr>
          <w:p w14:paraId="00001085"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086"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1087"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1088" w14:textId="3953A23A" w:rsidR="00750464" w:rsidRDefault="00750464" w:rsidP="00750464">
            <w:pPr>
              <w:spacing w:before="240" w:after="0" w:line="276" w:lineRule="auto"/>
              <w:jc w:val="both"/>
              <w:rPr>
                <w:sz w:val="20"/>
                <w:szCs w:val="20"/>
              </w:rPr>
            </w:pPr>
            <w:r w:rsidRPr="1A8B662A">
              <w:rPr>
                <w:sz w:val="20"/>
                <w:szCs w:val="20"/>
              </w:rPr>
              <w:t>Activity 2.1.3.</w:t>
            </w:r>
            <w:r w:rsidR="005F76E7">
              <w:rPr>
                <w:sz w:val="20"/>
                <w:szCs w:val="20"/>
              </w:rPr>
              <w:t>4</w:t>
            </w:r>
          </w:p>
        </w:tc>
        <w:tc>
          <w:tcPr>
            <w:tcW w:w="412" w:type="dxa"/>
            <w:tcMar>
              <w:top w:w="0" w:type="dxa"/>
              <w:left w:w="80" w:type="dxa"/>
              <w:bottom w:w="0" w:type="dxa"/>
              <w:right w:w="80" w:type="dxa"/>
            </w:tcMar>
            <w:vAlign w:val="bottom"/>
          </w:tcPr>
          <w:p w14:paraId="00001089"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08A"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08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8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8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8E"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108F"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109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9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9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9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9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9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9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9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9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9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9A"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109B"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09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9D"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3913DC0B" w14:textId="77777777" w:rsidTr="00714C21">
        <w:trPr>
          <w:trHeight w:val="300"/>
          <w:jc w:val="center"/>
        </w:trPr>
        <w:tc>
          <w:tcPr>
            <w:tcW w:w="1600" w:type="dxa"/>
            <w:vMerge/>
            <w:tcMar>
              <w:top w:w="100" w:type="dxa"/>
              <w:left w:w="100" w:type="dxa"/>
              <w:bottom w:w="100" w:type="dxa"/>
              <w:right w:w="100" w:type="dxa"/>
            </w:tcMar>
          </w:tcPr>
          <w:p w14:paraId="0000109E"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09F" w14:textId="77777777" w:rsidR="00750464" w:rsidRDefault="00750464" w:rsidP="00750464">
            <w:pPr>
              <w:spacing w:after="60" w:line="240" w:lineRule="auto"/>
              <w:jc w:val="both"/>
              <w:rPr>
                <w:sz w:val="20"/>
                <w:szCs w:val="20"/>
              </w:rPr>
            </w:pPr>
          </w:p>
        </w:tc>
        <w:tc>
          <w:tcPr>
            <w:tcW w:w="1279" w:type="dxa"/>
            <w:vMerge w:val="restart"/>
            <w:tcMar>
              <w:top w:w="0" w:type="dxa"/>
              <w:left w:w="80" w:type="dxa"/>
              <w:bottom w:w="0" w:type="dxa"/>
              <w:right w:w="80" w:type="dxa"/>
            </w:tcMar>
          </w:tcPr>
          <w:p w14:paraId="000010A0" w14:textId="22155499" w:rsidR="00750464" w:rsidRDefault="00750464" w:rsidP="00750464">
            <w:pPr>
              <w:spacing w:before="240" w:after="0" w:line="276" w:lineRule="auto"/>
              <w:jc w:val="both"/>
              <w:rPr>
                <w:b/>
                <w:bCs/>
                <w:sz w:val="20"/>
                <w:szCs w:val="20"/>
              </w:rPr>
            </w:pPr>
            <w:r w:rsidRPr="5D8904BE">
              <w:rPr>
                <w:b/>
                <w:bCs/>
                <w:sz w:val="20"/>
                <w:szCs w:val="20"/>
              </w:rPr>
              <w:t>Output 2.1.4</w:t>
            </w:r>
          </w:p>
        </w:tc>
        <w:tc>
          <w:tcPr>
            <w:tcW w:w="1533" w:type="dxa"/>
            <w:tcMar>
              <w:top w:w="0" w:type="dxa"/>
              <w:left w:w="80" w:type="dxa"/>
              <w:bottom w:w="0" w:type="dxa"/>
              <w:right w:w="80" w:type="dxa"/>
            </w:tcMar>
            <w:vAlign w:val="bottom"/>
          </w:tcPr>
          <w:p w14:paraId="000010A1" w14:textId="243B54B2" w:rsidR="00750464" w:rsidRDefault="00750464" w:rsidP="00750464">
            <w:pPr>
              <w:spacing w:before="240" w:after="0" w:line="276" w:lineRule="auto"/>
              <w:jc w:val="both"/>
              <w:rPr>
                <w:sz w:val="20"/>
                <w:szCs w:val="20"/>
              </w:rPr>
            </w:pPr>
            <w:r w:rsidRPr="5D8904BE">
              <w:rPr>
                <w:sz w:val="20"/>
                <w:szCs w:val="20"/>
              </w:rPr>
              <w:t>Activity 2.1.4.1</w:t>
            </w:r>
          </w:p>
        </w:tc>
        <w:tc>
          <w:tcPr>
            <w:tcW w:w="412" w:type="dxa"/>
            <w:tcMar>
              <w:top w:w="0" w:type="dxa"/>
              <w:left w:w="80" w:type="dxa"/>
              <w:bottom w:w="0" w:type="dxa"/>
              <w:right w:w="80" w:type="dxa"/>
            </w:tcMar>
            <w:vAlign w:val="bottom"/>
          </w:tcPr>
          <w:p w14:paraId="000010A2"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0A3"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0A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A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A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A7"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10A8"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10A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A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A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A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A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A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A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B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B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B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B3"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10B4"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0B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B6"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49ED629E" w14:textId="77777777" w:rsidTr="00714C21">
        <w:trPr>
          <w:trHeight w:val="300"/>
          <w:jc w:val="center"/>
        </w:trPr>
        <w:tc>
          <w:tcPr>
            <w:tcW w:w="1600" w:type="dxa"/>
            <w:vMerge/>
            <w:tcMar>
              <w:top w:w="100" w:type="dxa"/>
              <w:left w:w="100" w:type="dxa"/>
              <w:bottom w:w="100" w:type="dxa"/>
              <w:right w:w="100" w:type="dxa"/>
            </w:tcMar>
          </w:tcPr>
          <w:p w14:paraId="000010B7"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0B8"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10B9"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10BA" w14:textId="4B561633" w:rsidR="00750464" w:rsidRDefault="00750464" w:rsidP="00750464">
            <w:pPr>
              <w:spacing w:before="240" w:after="0" w:line="276" w:lineRule="auto"/>
              <w:jc w:val="both"/>
              <w:rPr>
                <w:sz w:val="20"/>
                <w:szCs w:val="20"/>
              </w:rPr>
            </w:pPr>
            <w:r w:rsidRPr="5D8904BE">
              <w:rPr>
                <w:sz w:val="20"/>
                <w:szCs w:val="20"/>
              </w:rPr>
              <w:t>Activity 2.1.4.2</w:t>
            </w:r>
          </w:p>
        </w:tc>
        <w:tc>
          <w:tcPr>
            <w:tcW w:w="412" w:type="dxa"/>
            <w:tcMar>
              <w:top w:w="0" w:type="dxa"/>
              <w:left w:w="80" w:type="dxa"/>
              <w:bottom w:w="0" w:type="dxa"/>
              <w:right w:w="80" w:type="dxa"/>
            </w:tcMar>
            <w:vAlign w:val="bottom"/>
          </w:tcPr>
          <w:p w14:paraId="000010BB"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0BC"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0B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B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B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C0"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10C1"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10C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C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C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C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C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C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C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C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C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C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CC"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10CD"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0C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CF"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32ED3252" w14:textId="77777777" w:rsidTr="00714C21">
        <w:trPr>
          <w:trHeight w:val="300"/>
          <w:jc w:val="center"/>
        </w:trPr>
        <w:tc>
          <w:tcPr>
            <w:tcW w:w="1600" w:type="dxa"/>
            <w:vMerge w:val="restart"/>
            <w:tcMar>
              <w:top w:w="0" w:type="dxa"/>
              <w:left w:w="80" w:type="dxa"/>
              <w:bottom w:w="0" w:type="dxa"/>
              <w:right w:w="80" w:type="dxa"/>
            </w:tcMar>
          </w:tcPr>
          <w:p w14:paraId="000010D0" w14:textId="599279BE" w:rsidR="00750464" w:rsidRDefault="00750464" w:rsidP="00750464">
            <w:pPr>
              <w:spacing w:before="240" w:after="0" w:line="276" w:lineRule="auto"/>
              <w:jc w:val="center"/>
              <w:rPr>
                <w:sz w:val="20"/>
                <w:szCs w:val="20"/>
              </w:rPr>
            </w:pPr>
            <w:proofErr w:type="gramStart"/>
            <w:r w:rsidRPr="5D8904BE">
              <w:rPr>
                <w:sz w:val="20"/>
                <w:szCs w:val="20"/>
              </w:rPr>
              <w:t>Component  3</w:t>
            </w:r>
            <w:proofErr w:type="gramEnd"/>
          </w:p>
        </w:tc>
        <w:tc>
          <w:tcPr>
            <w:tcW w:w="919" w:type="dxa"/>
            <w:vMerge w:val="restart"/>
            <w:tcMar>
              <w:top w:w="0" w:type="dxa"/>
              <w:left w:w="80" w:type="dxa"/>
              <w:bottom w:w="0" w:type="dxa"/>
              <w:right w:w="80" w:type="dxa"/>
            </w:tcMar>
          </w:tcPr>
          <w:p w14:paraId="000010D1" w14:textId="549C188A" w:rsidR="00750464" w:rsidRDefault="00750464" w:rsidP="00750464">
            <w:pPr>
              <w:spacing w:before="240" w:after="0" w:line="276" w:lineRule="auto"/>
              <w:jc w:val="center"/>
              <w:rPr>
                <w:b/>
                <w:bCs/>
                <w:sz w:val="20"/>
                <w:szCs w:val="20"/>
              </w:rPr>
            </w:pPr>
            <w:proofErr w:type="spellStart"/>
            <w:r w:rsidRPr="5D8904BE">
              <w:rPr>
                <w:b/>
                <w:bCs/>
                <w:sz w:val="20"/>
                <w:szCs w:val="20"/>
              </w:rPr>
              <w:t>Outcome</w:t>
            </w:r>
            <w:proofErr w:type="spellEnd"/>
            <w:r w:rsidRPr="5D8904BE">
              <w:rPr>
                <w:b/>
                <w:bCs/>
                <w:sz w:val="20"/>
                <w:szCs w:val="20"/>
              </w:rPr>
              <w:t xml:space="preserve"> 3.1</w:t>
            </w:r>
          </w:p>
        </w:tc>
        <w:tc>
          <w:tcPr>
            <w:tcW w:w="1279" w:type="dxa"/>
            <w:vMerge w:val="restart"/>
            <w:tcMar>
              <w:top w:w="0" w:type="dxa"/>
              <w:left w:w="80" w:type="dxa"/>
              <w:bottom w:w="0" w:type="dxa"/>
              <w:right w:w="80" w:type="dxa"/>
            </w:tcMar>
          </w:tcPr>
          <w:p w14:paraId="000010D2" w14:textId="61CA490D" w:rsidR="00750464" w:rsidRDefault="00750464" w:rsidP="00750464">
            <w:pPr>
              <w:spacing w:before="240" w:after="0" w:line="276" w:lineRule="auto"/>
              <w:jc w:val="both"/>
              <w:rPr>
                <w:b/>
                <w:bCs/>
                <w:sz w:val="20"/>
                <w:szCs w:val="20"/>
              </w:rPr>
            </w:pPr>
            <w:r w:rsidRPr="5D8904BE">
              <w:rPr>
                <w:b/>
                <w:bCs/>
                <w:sz w:val="20"/>
                <w:szCs w:val="20"/>
              </w:rPr>
              <w:t>Output 3.1.1</w:t>
            </w:r>
          </w:p>
        </w:tc>
        <w:tc>
          <w:tcPr>
            <w:tcW w:w="1533" w:type="dxa"/>
            <w:tcMar>
              <w:top w:w="0" w:type="dxa"/>
              <w:left w:w="80" w:type="dxa"/>
              <w:bottom w:w="0" w:type="dxa"/>
              <w:right w:w="80" w:type="dxa"/>
            </w:tcMar>
            <w:vAlign w:val="bottom"/>
          </w:tcPr>
          <w:p w14:paraId="000010D3" w14:textId="1B33CCE8" w:rsidR="00750464" w:rsidRDefault="00750464" w:rsidP="00750464">
            <w:pPr>
              <w:spacing w:before="240" w:after="0" w:line="276" w:lineRule="auto"/>
              <w:jc w:val="both"/>
              <w:rPr>
                <w:sz w:val="20"/>
                <w:szCs w:val="20"/>
              </w:rPr>
            </w:pPr>
            <w:r w:rsidRPr="5D8904BE">
              <w:rPr>
                <w:sz w:val="20"/>
                <w:szCs w:val="20"/>
              </w:rPr>
              <w:t>Activity 3.1.1.1</w:t>
            </w:r>
          </w:p>
        </w:tc>
        <w:tc>
          <w:tcPr>
            <w:tcW w:w="412" w:type="dxa"/>
            <w:tcMar>
              <w:top w:w="0" w:type="dxa"/>
              <w:left w:w="80" w:type="dxa"/>
              <w:bottom w:w="0" w:type="dxa"/>
              <w:right w:w="80" w:type="dxa"/>
            </w:tcMar>
            <w:vAlign w:val="bottom"/>
          </w:tcPr>
          <w:p w14:paraId="000010D4"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0D5"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0D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D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D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D9"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10DA"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10D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D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D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D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D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E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E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E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E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E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E5"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10E6"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0E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E8"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50B05558" w14:textId="77777777" w:rsidTr="00714C21">
        <w:trPr>
          <w:trHeight w:val="300"/>
          <w:jc w:val="center"/>
        </w:trPr>
        <w:tc>
          <w:tcPr>
            <w:tcW w:w="1600" w:type="dxa"/>
            <w:vMerge/>
            <w:tcMar>
              <w:top w:w="100" w:type="dxa"/>
              <w:left w:w="100" w:type="dxa"/>
              <w:bottom w:w="100" w:type="dxa"/>
              <w:right w:w="100" w:type="dxa"/>
            </w:tcMar>
          </w:tcPr>
          <w:p w14:paraId="000010E9"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0EA"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10EB"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10EC" w14:textId="7EF89061" w:rsidR="00750464" w:rsidRDefault="00750464" w:rsidP="00750464">
            <w:pPr>
              <w:spacing w:before="240" w:after="0" w:line="276" w:lineRule="auto"/>
              <w:jc w:val="both"/>
              <w:rPr>
                <w:sz w:val="20"/>
                <w:szCs w:val="20"/>
              </w:rPr>
            </w:pPr>
            <w:proofErr w:type="gramStart"/>
            <w:r w:rsidRPr="5D8904BE">
              <w:rPr>
                <w:sz w:val="20"/>
                <w:szCs w:val="20"/>
              </w:rPr>
              <w:t>Activity  3</w:t>
            </w:r>
            <w:proofErr w:type="gramEnd"/>
            <w:r w:rsidRPr="5D8904BE">
              <w:rPr>
                <w:sz w:val="20"/>
                <w:szCs w:val="20"/>
              </w:rPr>
              <w:t>.1.1.2</w:t>
            </w:r>
          </w:p>
        </w:tc>
        <w:tc>
          <w:tcPr>
            <w:tcW w:w="412" w:type="dxa"/>
            <w:tcMar>
              <w:top w:w="0" w:type="dxa"/>
              <w:left w:w="80" w:type="dxa"/>
              <w:bottom w:w="0" w:type="dxa"/>
              <w:right w:w="80" w:type="dxa"/>
            </w:tcMar>
            <w:vAlign w:val="bottom"/>
          </w:tcPr>
          <w:p w14:paraId="000010ED"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0EE"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0E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F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F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F2"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10F3"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10F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F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F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F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F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F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0F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F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F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F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0FE"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10FF"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10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01"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17C6FDD8" w14:textId="77777777" w:rsidTr="00714C21">
        <w:trPr>
          <w:trHeight w:val="300"/>
          <w:jc w:val="center"/>
        </w:trPr>
        <w:tc>
          <w:tcPr>
            <w:tcW w:w="1600" w:type="dxa"/>
            <w:vMerge/>
            <w:tcMar>
              <w:top w:w="100" w:type="dxa"/>
              <w:left w:w="100" w:type="dxa"/>
              <w:bottom w:w="100" w:type="dxa"/>
              <w:right w:w="100" w:type="dxa"/>
            </w:tcMar>
          </w:tcPr>
          <w:p w14:paraId="00001102"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103"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1104"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1105" w14:textId="736F172F" w:rsidR="00750464" w:rsidRDefault="00750464" w:rsidP="00750464">
            <w:pPr>
              <w:spacing w:before="240" w:after="0" w:line="276" w:lineRule="auto"/>
              <w:jc w:val="both"/>
              <w:rPr>
                <w:sz w:val="20"/>
                <w:szCs w:val="20"/>
              </w:rPr>
            </w:pPr>
            <w:proofErr w:type="gramStart"/>
            <w:r w:rsidRPr="5D8904BE">
              <w:rPr>
                <w:sz w:val="20"/>
                <w:szCs w:val="20"/>
              </w:rPr>
              <w:t>Activity  3</w:t>
            </w:r>
            <w:proofErr w:type="gramEnd"/>
            <w:r w:rsidRPr="5D8904BE">
              <w:rPr>
                <w:sz w:val="20"/>
                <w:szCs w:val="20"/>
              </w:rPr>
              <w:t>.1.1.3</w:t>
            </w:r>
          </w:p>
        </w:tc>
        <w:tc>
          <w:tcPr>
            <w:tcW w:w="412" w:type="dxa"/>
            <w:tcMar>
              <w:top w:w="0" w:type="dxa"/>
              <w:left w:w="80" w:type="dxa"/>
              <w:bottom w:w="0" w:type="dxa"/>
              <w:right w:w="80" w:type="dxa"/>
            </w:tcMar>
            <w:vAlign w:val="bottom"/>
          </w:tcPr>
          <w:p w14:paraId="00001106"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107"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10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0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0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0B"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shd w:val="clear" w:color="auto" w:fill="215C98"/>
            <w:tcMar>
              <w:top w:w="0" w:type="dxa"/>
              <w:left w:w="80" w:type="dxa"/>
              <w:bottom w:w="0" w:type="dxa"/>
              <w:right w:w="80" w:type="dxa"/>
            </w:tcMar>
            <w:vAlign w:val="bottom"/>
          </w:tcPr>
          <w:p w14:paraId="0000110C"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110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0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0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1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1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1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1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1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1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1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17"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1118"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11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1A"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4804F806" w14:textId="77777777" w:rsidTr="00714C21">
        <w:trPr>
          <w:trHeight w:val="300"/>
          <w:jc w:val="center"/>
        </w:trPr>
        <w:tc>
          <w:tcPr>
            <w:tcW w:w="1600" w:type="dxa"/>
            <w:vMerge/>
            <w:tcMar>
              <w:top w:w="100" w:type="dxa"/>
              <w:left w:w="100" w:type="dxa"/>
              <w:bottom w:w="100" w:type="dxa"/>
              <w:right w:w="100" w:type="dxa"/>
            </w:tcMar>
          </w:tcPr>
          <w:p w14:paraId="0000111B"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11C"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111D"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111E" w14:textId="2511EBD0" w:rsidR="00750464" w:rsidRDefault="00750464" w:rsidP="00750464">
            <w:pPr>
              <w:spacing w:before="240" w:after="0" w:line="276" w:lineRule="auto"/>
              <w:jc w:val="both"/>
              <w:rPr>
                <w:sz w:val="20"/>
                <w:szCs w:val="20"/>
              </w:rPr>
            </w:pPr>
            <w:r w:rsidRPr="5D8904BE">
              <w:rPr>
                <w:sz w:val="20"/>
                <w:szCs w:val="20"/>
              </w:rPr>
              <w:t>Activity 3.1.1.4</w:t>
            </w:r>
          </w:p>
        </w:tc>
        <w:tc>
          <w:tcPr>
            <w:tcW w:w="412" w:type="dxa"/>
            <w:tcMar>
              <w:top w:w="0" w:type="dxa"/>
              <w:left w:w="80" w:type="dxa"/>
              <w:bottom w:w="0" w:type="dxa"/>
              <w:right w:w="80" w:type="dxa"/>
            </w:tcMar>
            <w:vAlign w:val="bottom"/>
          </w:tcPr>
          <w:p w14:paraId="0000111F"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120"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12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2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2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24"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1125"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112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2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2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2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2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2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2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2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2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2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30"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1131"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13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33" w14:textId="77777777" w:rsidR="00750464" w:rsidRDefault="00750464" w:rsidP="00750464">
            <w:pPr>
              <w:spacing w:before="240" w:after="0" w:line="276" w:lineRule="auto"/>
              <w:jc w:val="both"/>
              <w:rPr>
                <w:sz w:val="20"/>
                <w:szCs w:val="20"/>
              </w:rPr>
            </w:pPr>
            <w:r>
              <w:rPr>
                <w:sz w:val="20"/>
                <w:szCs w:val="20"/>
              </w:rPr>
              <w:t xml:space="preserve"> </w:t>
            </w:r>
          </w:p>
        </w:tc>
      </w:tr>
      <w:tr w:rsidR="00032D04" w14:paraId="01ABCCA2" w14:textId="77777777" w:rsidTr="003A08E8">
        <w:trPr>
          <w:trHeight w:val="300"/>
          <w:jc w:val="center"/>
        </w:trPr>
        <w:tc>
          <w:tcPr>
            <w:tcW w:w="1600" w:type="dxa"/>
            <w:vMerge/>
            <w:tcMar>
              <w:top w:w="100" w:type="dxa"/>
              <w:left w:w="100" w:type="dxa"/>
              <w:bottom w:w="100" w:type="dxa"/>
              <w:right w:w="100" w:type="dxa"/>
            </w:tcMar>
          </w:tcPr>
          <w:p w14:paraId="00001134"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135" w14:textId="77777777" w:rsidR="00750464" w:rsidRDefault="00750464" w:rsidP="00750464">
            <w:pPr>
              <w:spacing w:after="60" w:line="240" w:lineRule="auto"/>
              <w:jc w:val="both"/>
              <w:rPr>
                <w:sz w:val="20"/>
                <w:szCs w:val="20"/>
              </w:rPr>
            </w:pPr>
          </w:p>
        </w:tc>
        <w:tc>
          <w:tcPr>
            <w:tcW w:w="1279" w:type="dxa"/>
            <w:vMerge w:val="restart"/>
            <w:tcMar>
              <w:top w:w="0" w:type="dxa"/>
              <w:left w:w="80" w:type="dxa"/>
              <w:bottom w:w="0" w:type="dxa"/>
              <w:right w:w="80" w:type="dxa"/>
            </w:tcMar>
          </w:tcPr>
          <w:p w14:paraId="00001136" w14:textId="5EAAC6D2" w:rsidR="00750464" w:rsidRDefault="00750464" w:rsidP="00750464">
            <w:pPr>
              <w:spacing w:before="240" w:after="0" w:line="276" w:lineRule="auto"/>
              <w:jc w:val="both"/>
              <w:rPr>
                <w:b/>
                <w:bCs/>
                <w:sz w:val="20"/>
                <w:szCs w:val="20"/>
              </w:rPr>
            </w:pPr>
            <w:r w:rsidRPr="5D8904BE">
              <w:rPr>
                <w:b/>
                <w:bCs/>
                <w:sz w:val="20"/>
                <w:szCs w:val="20"/>
              </w:rPr>
              <w:t>Output 3.1.2:</w:t>
            </w:r>
          </w:p>
        </w:tc>
        <w:tc>
          <w:tcPr>
            <w:tcW w:w="1533" w:type="dxa"/>
            <w:tcMar>
              <w:top w:w="0" w:type="dxa"/>
              <w:left w:w="80" w:type="dxa"/>
              <w:bottom w:w="0" w:type="dxa"/>
              <w:right w:w="80" w:type="dxa"/>
            </w:tcMar>
            <w:vAlign w:val="bottom"/>
          </w:tcPr>
          <w:p w14:paraId="00001137" w14:textId="5E74A94A" w:rsidR="00750464" w:rsidRDefault="00750464" w:rsidP="00750464">
            <w:pPr>
              <w:spacing w:before="240" w:after="0" w:line="276" w:lineRule="auto"/>
              <w:jc w:val="both"/>
              <w:rPr>
                <w:sz w:val="20"/>
                <w:szCs w:val="20"/>
              </w:rPr>
            </w:pPr>
            <w:r w:rsidRPr="5D8904BE">
              <w:rPr>
                <w:sz w:val="20"/>
                <w:szCs w:val="20"/>
              </w:rPr>
              <w:t>Activity 3.1.2.1</w:t>
            </w:r>
          </w:p>
        </w:tc>
        <w:tc>
          <w:tcPr>
            <w:tcW w:w="412" w:type="dxa"/>
            <w:tcMar>
              <w:top w:w="0" w:type="dxa"/>
              <w:left w:w="80" w:type="dxa"/>
              <w:bottom w:w="0" w:type="dxa"/>
              <w:right w:w="80" w:type="dxa"/>
            </w:tcMar>
            <w:vAlign w:val="bottom"/>
          </w:tcPr>
          <w:p w14:paraId="00001138"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139"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13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3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3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3D"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shd w:val="clear" w:color="auto" w:fill="215C98"/>
            <w:tcMar>
              <w:top w:w="0" w:type="dxa"/>
              <w:left w:w="80" w:type="dxa"/>
              <w:bottom w:w="0" w:type="dxa"/>
              <w:right w:w="80" w:type="dxa"/>
            </w:tcMar>
            <w:vAlign w:val="bottom"/>
          </w:tcPr>
          <w:p w14:paraId="0000113E"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shd w:val="clear" w:color="auto" w:fill="156082" w:themeFill="accent1"/>
            <w:tcMar>
              <w:top w:w="0" w:type="dxa"/>
              <w:left w:w="80" w:type="dxa"/>
              <w:bottom w:w="0" w:type="dxa"/>
              <w:right w:w="80" w:type="dxa"/>
            </w:tcMar>
            <w:vAlign w:val="bottom"/>
          </w:tcPr>
          <w:p w14:paraId="0000113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14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4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4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4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4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4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4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4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4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49"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114A"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14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4C"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36D61D26" w14:textId="77777777" w:rsidTr="00714C21">
        <w:trPr>
          <w:trHeight w:val="300"/>
          <w:jc w:val="center"/>
        </w:trPr>
        <w:tc>
          <w:tcPr>
            <w:tcW w:w="1600" w:type="dxa"/>
            <w:vMerge/>
            <w:tcMar>
              <w:top w:w="100" w:type="dxa"/>
              <w:left w:w="100" w:type="dxa"/>
              <w:bottom w:w="100" w:type="dxa"/>
              <w:right w:w="100" w:type="dxa"/>
            </w:tcMar>
          </w:tcPr>
          <w:p w14:paraId="0000114D"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14E"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114F"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1150" w14:textId="4DE6938E" w:rsidR="00750464" w:rsidRDefault="00750464" w:rsidP="00750464">
            <w:pPr>
              <w:spacing w:before="240" w:after="0" w:line="276" w:lineRule="auto"/>
              <w:jc w:val="both"/>
              <w:rPr>
                <w:sz w:val="20"/>
                <w:szCs w:val="20"/>
              </w:rPr>
            </w:pPr>
            <w:r w:rsidRPr="5D8904BE">
              <w:rPr>
                <w:sz w:val="20"/>
                <w:szCs w:val="20"/>
              </w:rPr>
              <w:t>Activity 3.1.2.2</w:t>
            </w:r>
          </w:p>
        </w:tc>
        <w:tc>
          <w:tcPr>
            <w:tcW w:w="412" w:type="dxa"/>
            <w:tcMar>
              <w:top w:w="0" w:type="dxa"/>
              <w:left w:w="80" w:type="dxa"/>
              <w:bottom w:w="0" w:type="dxa"/>
              <w:right w:w="80" w:type="dxa"/>
            </w:tcMar>
            <w:vAlign w:val="bottom"/>
          </w:tcPr>
          <w:p w14:paraId="00001151"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152"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15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5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5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56"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shd w:val="clear" w:color="auto" w:fill="215C98"/>
            <w:tcMar>
              <w:top w:w="0" w:type="dxa"/>
              <w:left w:w="80" w:type="dxa"/>
              <w:bottom w:w="0" w:type="dxa"/>
              <w:right w:w="80" w:type="dxa"/>
            </w:tcMar>
            <w:vAlign w:val="bottom"/>
          </w:tcPr>
          <w:p w14:paraId="00001157"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shd w:val="clear" w:color="auto" w:fill="215C98"/>
            <w:tcMar>
              <w:top w:w="0" w:type="dxa"/>
              <w:left w:w="80" w:type="dxa"/>
              <w:bottom w:w="0" w:type="dxa"/>
              <w:right w:w="80" w:type="dxa"/>
            </w:tcMar>
            <w:vAlign w:val="bottom"/>
          </w:tcPr>
          <w:p w14:paraId="0000115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5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5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5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5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5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5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5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6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6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62"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1163"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16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65"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4F28FA6C" w14:textId="77777777" w:rsidTr="00714C21">
        <w:trPr>
          <w:trHeight w:val="300"/>
          <w:jc w:val="center"/>
        </w:trPr>
        <w:tc>
          <w:tcPr>
            <w:tcW w:w="1600" w:type="dxa"/>
            <w:vMerge/>
            <w:tcMar>
              <w:top w:w="100" w:type="dxa"/>
              <w:left w:w="100" w:type="dxa"/>
              <w:bottom w:w="100" w:type="dxa"/>
              <w:right w:w="100" w:type="dxa"/>
            </w:tcMar>
          </w:tcPr>
          <w:p w14:paraId="00001166"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167" w14:textId="77777777" w:rsidR="00750464" w:rsidRDefault="00750464" w:rsidP="00750464">
            <w:pPr>
              <w:spacing w:after="60" w:line="240" w:lineRule="auto"/>
              <w:jc w:val="both"/>
              <w:rPr>
                <w:sz w:val="20"/>
                <w:szCs w:val="20"/>
              </w:rPr>
            </w:pPr>
          </w:p>
        </w:tc>
        <w:tc>
          <w:tcPr>
            <w:tcW w:w="1279" w:type="dxa"/>
            <w:vMerge w:val="restart"/>
            <w:tcMar>
              <w:top w:w="0" w:type="dxa"/>
              <w:left w:w="80" w:type="dxa"/>
              <w:bottom w:w="0" w:type="dxa"/>
              <w:right w:w="80" w:type="dxa"/>
            </w:tcMar>
          </w:tcPr>
          <w:p w14:paraId="00001168" w14:textId="50BB9D75" w:rsidR="00750464" w:rsidRDefault="00750464" w:rsidP="00750464">
            <w:pPr>
              <w:spacing w:before="240" w:after="0" w:line="276" w:lineRule="auto"/>
              <w:jc w:val="both"/>
              <w:rPr>
                <w:b/>
                <w:bCs/>
                <w:sz w:val="20"/>
                <w:szCs w:val="20"/>
              </w:rPr>
            </w:pPr>
            <w:r w:rsidRPr="5D8904BE">
              <w:rPr>
                <w:b/>
                <w:bCs/>
                <w:sz w:val="20"/>
                <w:szCs w:val="20"/>
              </w:rPr>
              <w:t>Output 3.1.3</w:t>
            </w:r>
          </w:p>
        </w:tc>
        <w:tc>
          <w:tcPr>
            <w:tcW w:w="1533" w:type="dxa"/>
            <w:tcMar>
              <w:top w:w="0" w:type="dxa"/>
              <w:left w:w="80" w:type="dxa"/>
              <w:bottom w:w="0" w:type="dxa"/>
              <w:right w:w="80" w:type="dxa"/>
            </w:tcMar>
            <w:vAlign w:val="bottom"/>
          </w:tcPr>
          <w:p w14:paraId="00001169" w14:textId="340D9A2A" w:rsidR="00750464" w:rsidRDefault="00750464" w:rsidP="00750464">
            <w:pPr>
              <w:spacing w:before="240" w:after="0" w:line="276" w:lineRule="auto"/>
              <w:jc w:val="both"/>
              <w:rPr>
                <w:sz w:val="20"/>
                <w:szCs w:val="20"/>
              </w:rPr>
            </w:pPr>
            <w:r w:rsidRPr="5D8904BE">
              <w:rPr>
                <w:sz w:val="20"/>
                <w:szCs w:val="20"/>
              </w:rPr>
              <w:t>Activity 3.1.3.1</w:t>
            </w:r>
          </w:p>
        </w:tc>
        <w:tc>
          <w:tcPr>
            <w:tcW w:w="412" w:type="dxa"/>
            <w:tcMar>
              <w:top w:w="0" w:type="dxa"/>
              <w:left w:w="80" w:type="dxa"/>
              <w:bottom w:w="0" w:type="dxa"/>
              <w:right w:w="80" w:type="dxa"/>
            </w:tcMar>
            <w:vAlign w:val="bottom"/>
          </w:tcPr>
          <w:p w14:paraId="0000116A"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16B"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16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6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6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6F"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1170"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117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7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7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7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7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7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7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7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7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7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7B"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117C"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17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7E"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721BD3E1" w14:textId="77777777" w:rsidTr="00714C21">
        <w:trPr>
          <w:trHeight w:val="300"/>
          <w:jc w:val="center"/>
        </w:trPr>
        <w:tc>
          <w:tcPr>
            <w:tcW w:w="1600" w:type="dxa"/>
            <w:vMerge/>
            <w:tcMar>
              <w:top w:w="100" w:type="dxa"/>
              <w:left w:w="100" w:type="dxa"/>
              <w:bottom w:w="100" w:type="dxa"/>
              <w:right w:w="100" w:type="dxa"/>
            </w:tcMar>
          </w:tcPr>
          <w:p w14:paraId="0000117F"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180"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1181"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1182" w14:textId="3C5AF0C1" w:rsidR="00750464" w:rsidRDefault="00750464" w:rsidP="00750464">
            <w:pPr>
              <w:spacing w:before="240" w:after="0" w:line="276" w:lineRule="auto"/>
              <w:jc w:val="both"/>
              <w:rPr>
                <w:sz w:val="20"/>
                <w:szCs w:val="20"/>
              </w:rPr>
            </w:pPr>
            <w:r w:rsidRPr="5D8904BE">
              <w:rPr>
                <w:sz w:val="20"/>
                <w:szCs w:val="20"/>
              </w:rPr>
              <w:t>Activity 3.1.3.2</w:t>
            </w:r>
          </w:p>
        </w:tc>
        <w:tc>
          <w:tcPr>
            <w:tcW w:w="412" w:type="dxa"/>
            <w:tcMar>
              <w:top w:w="0" w:type="dxa"/>
              <w:left w:w="80" w:type="dxa"/>
              <w:bottom w:w="0" w:type="dxa"/>
              <w:right w:w="80" w:type="dxa"/>
            </w:tcMar>
            <w:vAlign w:val="bottom"/>
          </w:tcPr>
          <w:p w14:paraId="00001183"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184"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18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8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8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88"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1189"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118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8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8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8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8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8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9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9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9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9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94"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1195"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19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97"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7635E049" w14:textId="77777777" w:rsidTr="00714C21">
        <w:trPr>
          <w:trHeight w:val="300"/>
          <w:jc w:val="center"/>
        </w:trPr>
        <w:tc>
          <w:tcPr>
            <w:tcW w:w="1600" w:type="dxa"/>
            <w:vMerge/>
            <w:tcMar>
              <w:top w:w="100" w:type="dxa"/>
              <w:left w:w="100" w:type="dxa"/>
              <w:bottom w:w="100" w:type="dxa"/>
              <w:right w:w="100" w:type="dxa"/>
            </w:tcMar>
          </w:tcPr>
          <w:p w14:paraId="000011B1"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1B2" w14:textId="77777777" w:rsidR="00750464" w:rsidRDefault="00750464" w:rsidP="00750464">
            <w:pPr>
              <w:spacing w:after="60" w:line="240" w:lineRule="auto"/>
              <w:jc w:val="both"/>
              <w:rPr>
                <w:sz w:val="20"/>
                <w:szCs w:val="20"/>
              </w:rPr>
            </w:pPr>
          </w:p>
        </w:tc>
        <w:tc>
          <w:tcPr>
            <w:tcW w:w="1279" w:type="dxa"/>
            <w:vMerge w:val="restart"/>
            <w:tcMar>
              <w:top w:w="0" w:type="dxa"/>
              <w:left w:w="80" w:type="dxa"/>
              <w:bottom w:w="0" w:type="dxa"/>
              <w:right w:w="80" w:type="dxa"/>
            </w:tcMar>
          </w:tcPr>
          <w:p w14:paraId="000011B3" w14:textId="2EA50AD1" w:rsidR="00750464" w:rsidRDefault="00750464" w:rsidP="00750464">
            <w:pPr>
              <w:spacing w:before="240" w:after="0" w:line="276" w:lineRule="auto"/>
              <w:jc w:val="both"/>
              <w:rPr>
                <w:b/>
                <w:bCs/>
                <w:sz w:val="20"/>
                <w:szCs w:val="20"/>
              </w:rPr>
            </w:pPr>
            <w:r w:rsidRPr="5D8904BE">
              <w:rPr>
                <w:b/>
                <w:bCs/>
                <w:sz w:val="20"/>
                <w:szCs w:val="20"/>
              </w:rPr>
              <w:t>Output 3.1.4</w:t>
            </w:r>
          </w:p>
        </w:tc>
        <w:tc>
          <w:tcPr>
            <w:tcW w:w="1533" w:type="dxa"/>
            <w:tcMar>
              <w:top w:w="0" w:type="dxa"/>
              <w:left w:w="80" w:type="dxa"/>
              <w:bottom w:w="0" w:type="dxa"/>
              <w:right w:w="80" w:type="dxa"/>
            </w:tcMar>
            <w:vAlign w:val="bottom"/>
          </w:tcPr>
          <w:p w14:paraId="000011B4" w14:textId="6E6869DE" w:rsidR="00750464" w:rsidRDefault="00750464" w:rsidP="00750464">
            <w:pPr>
              <w:spacing w:before="240" w:after="0" w:line="276" w:lineRule="auto"/>
              <w:jc w:val="both"/>
              <w:rPr>
                <w:sz w:val="20"/>
                <w:szCs w:val="20"/>
              </w:rPr>
            </w:pPr>
            <w:r w:rsidRPr="5D8904BE">
              <w:rPr>
                <w:sz w:val="20"/>
                <w:szCs w:val="20"/>
              </w:rPr>
              <w:t>Activity 3.1.4.1</w:t>
            </w:r>
          </w:p>
        </w:tc>
        <w:tc>
          <w:tcPr>
            <w:tcW w:w="412" w:type="dxa"/>
            <w:tcMar>
              <w:top w:w="0" w:type="dxa"/>
              <w:left w:w="80" w:type="dxa"/>
              <w:bottom w:w="0" w:type="dxa"/>
              <w:right w:w="80" w:type="dxa"/>
            </w:tcMar>
            <w:vAlign w:val="bottom"/>
          </w:tcPr>
          <w:p w14:paraId="000011B5"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1B6"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1B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B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B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BA"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11BB"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11B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B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B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B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C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C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C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C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C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C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1C6"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11C7"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1C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1C9" w14:textId="77777777" w:rsidR="00750464" w:rsidRDefault="00750464" w:rsidP="00750464">
            <w:pPr>
              <w:spacing w:before="240" w:after="0" w:line="276" w:lineRule="auto"/>
              <w:jc w:val="both"/>
              <w:rPr>
                <w:sz w:val="20"/>
                <w:szCs w:val="20"/>
              </w:rPr>
            </w:pPr>
            <w:r>
              <w:rPr>
                <w:sz w:val="20"/>
                <w:szCs w:val="20"/>
              </w:rPr>
              <w:t xml:space="preserve"> </w:t>
            </w:r>
          </w:p>
        </w:tc>
      </w:tr>
      <w:tr w:rsidR="00BD6D5D" w14:paraId="0998A294" w14:textId="77777777" w:rsidTr="00B76284">
        <w:trPr>
          <w:trHeight w:val="300"/>
          <w:jc w:val="center"/>
        </w:trPr>
        <w:tc>
          <w:tcPr>
            <w:tcW w:w="1600" w:type="dxa"/>
            <w:vMerge/>
            <w:tcMar>
              <w:top w:w="100" w:type="dxa"/>
              <w:left w:w="100" w:type="dxa"/>
              <w:bottom w:w="100" w:type="dxa"/>
              <w:right w:w="100" w:type="dxa"/>
            </w:tcMar>
          </w:tcPr>
          <w:p w14:paraId="000011FC"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1FD"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11FE"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11FF" w14:textId="58834E34" w:rsidR="00750464" w:rsidRDefault="00750464" w:rsidP="00750464">
            <w:pPr>
              <w:spacing w:before="240" w:after="0" w:line="276" w:lineRule="auto"/>
              <w:jc w:val="both"/>
              <w:rPr>
                <w:sz w:val="20"/>
                <w:szCs w:val="20"/>
              </w:rPr>
            </w:pPr>
            <w:r w:rsidRPr="5D8904BE">
              <w:rPr>
                <w:sz w:val="20"/>
                <w:szCs w:val="20"/>
              </w:rPr>
              <w:t>Activity 3.1.4.</w:t>
            </w:r>
            <w:r w:rsidR="00F477BC">
              <w:rPr>
                <w:sz w:val="20"/>
                <w:szCs w:val="20"/>
              </w:rPr>
              <w:t>2</w:t>
            </w:r>
          </w:p>
        </w:tc>
        <w:tc>
          <w:tcPr>
            <w:tcW w:w="412" w:type="dxa"/>
            <w:tcMar>
              <w:top w:w="0" w:type="dxa"/>
              <w:left w:w="80" w:type="dxa"/>
              <w:bottom w:w="0" w:type="dxa"/>
              <w:right w:w="80" w:type="dxa"/>
            </w:tcMar>
            <w:vAlign w:val="bottom"/>
          </w:tcPr>
          <w:p w14:paraId="00001200"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201"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20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0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0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05"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1206"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120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0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0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0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0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0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0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0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20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21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211" w14:textId="57346E3F" w:rsidR="00750464" w:rsidRDefault="00750464" w:rsidP="00750464">
            <w:pPr>
              <w:spacing w:before="240" w:after="0" w:line="276" w:lineRule="auto"/>
              <w:jc w:val="both"/>
              <w:rPr>
                <w:sz w:val="20"/>
                <w:szCs w:val="20"/>
              </w:rPr>
            </w:pPr>
            <w:r>
              <w:rPr>
                <w:sz w:val="20"/>
                <w:szCs w:val="20"/>
              </w:rPr>
              <w:t xml:space="preserve"> </w:t>
            </w:r>
          </w:p>
        </w:tc>
        <w:tc>
          <w:tcPr>
            <w:tcW w:w="465" w:type="dxa"/>
            <w:shd w:val="clear" w:color="auto" w:fill="215C98"/>
            <w:tcMar>
              <w:top w:w="0" w:type="dxa"/>
              <w:left w:w="80" w:type="dxa"/>
              <w:bottom w:w="0" w:type="dxa"/>
              <w:right w:w="80" w:type="dxa"/>
            </w:tcMar>
            <w:vAlign w:val="bottom"/>
          </w:tcPr>
          <w:p w14:paraId="00001212"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21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14" w14:textId="77777777" w:rsidR="00750464" w:rsidRDefault="00750464" w:rsidP="00750464">
            <w:pPr>
              <w:spacing w:before="240" w:after="0" w:line="276" w:lineRule="auto"/>
              <w:jc w:val="both"/>
              <w:rPr>
                <w:sz w:val="20"/>
                <w:szCs w:val="20"/>
              </w:rPr>
            </w:pPr>
            <w:r>
              <w:rPr>
                <w:sz w:val="20"/>
                <w:szCs w:val="20"/>
              </w:rPr>
              <w:t xml:space="preserve"> </w:t>
            </w:r>
          </w:p>
        </w:tc>
      </w:tr>
      <w:tr w:rsidR="00BD6D5D" w14:paraId="3D732A59" w14:textId="77777777" w:rsidTr="0087425E">
        <w:trPr>
          <w:trHeight w:val="300"/>
          <w:jc w:val="center"/>
        </w:trPr>
        <w:tc>
          <w:tcPr>
            <w:tcW w:w="1600" w:type="dxa"/>
            <w:vMerge/>
            <w:tcMar>
              <w:top w:w="100" w:type="dxa"/>
              <w:left w:w="100" w:type="dxa"/>
              <w:bottom w:w="100" w:type="dxa"/>
              <w:right w:w="100" w:type="dxa"/>
            </w:tcMar>
          </w:tcPr>
          <w:p w14:paraId="0000122E"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22F"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1230"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1231" w14:textId="405C1781" w:rsidR="00750464" w:rsidRDefault="00750464" w:rsidP="00750464">
            <w:pPr>
              <w:spacing w:before="240" w:after="0" w:line="276" w:lineRule="auto"/>
              <w:jc w:val="both"/>
              <w:rPr>
                <w:sz w:val="20"/>
                <w:szCs w:val="20"/>
              </w:rPr>
            </w:pPr>
            <w:r w:rsidRPr="5D8904BE">
              <w:rPr>
                <w:sz w:val="20"/>
                <w:szCs w:val="20"/>
              </w:rPr>
              <w:t>Activity 3.1.4.</w:t>
            </w:r>
            <w:r w:rsidR="0012676E">
              <w:rPr>
                <w:sz w:val="20"/>
                <w:szCs w:val="20"/>
              </w:rPr>
              <w:t>3</w:t>
            </w:r>
          </w:p>
        </w:tc>
        <w:tc>
          <w:tcPr>
            <w:tcW w:w="412" w:type="dxa"/>
            <w:tcMar>
              <w:top w:w="0" w:type="dxa"/>
              <w:left w:w="80" w:type="dxa"/>
              <w:bottom w:w="0" w:type="dxa"/>
              <w:right w:w="80" w:type="dxa"/>
            </w:tcMar>
            <w:vAlign w:val="bottom"/>
          </w:tcPr>
          <w:p w14:paraId="00001232"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233"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23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3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3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37"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1238"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123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3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23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23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23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23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23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24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4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4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43"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1244"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24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46" w14:textId="77777777" w:rsidR="00750464" w:rsidRDefault="00750464" w:rsidP="00750464">
            <w:pPr>
              <w:spacing w:before="240" w:after="0" w:line="276" w:lineRule="auto"/>
              <w:jc w:val="both"/>
              <w:rPr>
                <w:sz w:val="20"/>
                <w:szCs w:val="20"/>
              </w:rPr>
            </w:pPr>
            <w:r>
              <w:rPr>
                <w:sz w:val="20"/>
                <w:szCs w:val="20"/>
              </w:rPr>
              <w:t xml:space="preserve"> </w:t>
            </w:r>
          </w:p>
        </w:tc>
      </w:tr>
      <w:tr w:rsidR="00032D04" w14:paraId="062C66C9" w14:textId="77777777" w:rsidTr="008E3548">
        <w:trPr>
          <w:trHeight w:val="300"/>
          <w:jc w:val="center"/>
        </w:trPr>
        <w:tc>
          <w:tcPr>
            <w:tcW w:w="1600" w:type="dxa"/>
            <w:vMerge w:val="restart"/>
            <w:tcMar>
              <w:top w:w="0" w:type="dxa"/>
              <w:left w:w="80" w:type="dxa"/>
              <w:bottom w:w="0" w:type="dxa"/>
              <w:right w:w="80" w:type="dxa"/>
            </w:tcMar>
          </w:tcPr>
          <w:p w14:paraId="00001247" w14:textId="2EA01129" w:rsidR="00750464" w:rsidRDefault="00750464" w:rsidP="00750464">
            <w:pPr>
              <w:spacing w:before="240" w:after="0" w:line="276" w:lineRule="auto"/>
              <w:jc w:val="center"/>
              <w:rPr>
                <w:sz w:val="20"/>
                <w:szCs w:val="20"/>
              </w:rPr>
            </w:pPr>
            <w:proofErr w:type="gramStart"/>
            <w:r w:rsidRPr="5D8904BE">
              <w:rPr>
                <w:sz w:val="20"/>
                <w:szCs w:val="20"/>
              </w:rPr>
              <w:lastRenderedPageBreak/>
              <w:t>Component  4</w:t>
            </w:r>
            <w:proofErr w:type="gramEnd"/>
          </w:p>
        </w:tc>
        <w:tc>
          <w:tcPr>
            <w:tcW w:w="919" w:type="dxa"/>
            <w:vMerge w:val="restart"/>
            <w:tcMar>
              <w:top w:w="0" w:type="dxa"/>
              <w:left w:w="80" w:type="dxa"/>
              <w:bottom w:w="0" w:type="dxa"/>
              <w:right w:w="80" w:type="dxa"/>
            </w:tcMar>
          </w:tcPr>
          <w:p w14:paraId="00001248" w14:textId="1BD9F67D" w:rsidR="00750464" w:rsidRDefault="00750464" w:rsidP="00750464">
            <w:pPr>
              <w:spacing w:before="240" w:after="0" w:line="276" w:lineRule="auto"/>
              <w:jc w:val="center"/>
              <w:rPr>
                <w:b/>
                <w:bCs/>
                <w:sz w:val="20"/>
                <w:szCs w:val="20"/>
              </w:rPr>
            </w:pPr>
            <w:proofErr w:type="spellStart"/>
            <w:r w:rsidRPr="5D8904BE">
              <w:rPr>
                <w:b/>
                <w:bCs/>
                <w:sz w:val="20"/>
                <w:szCs w:val="20"/>
              </w:rPr>
              <w:t>Outcome</w:t>
            </w:r>
            <w:proofErr w:type="spellEnd"/>
            <w:r w:rsidRPr="5D8904BE">
              <w:rPr>
                <w:b/>
                <w:bCs/>
                <w:sz w:val="20"/>
                <w:szCs w:val="20"/>
              </w:rPr>
              <w:t xml:space="preserve"> 4.1</w:t>
            </w:r>
          </w:p>
        </w:tc>
        <w:tc>
          <w:tcPr>
            <w:tcW w:w="1279" w:type="dxa"/>
            <w:vMerge w:val="restart"/>
            <w:tcMar>
              <w:top w:w="0" w:type="dxa"/>
              <w:left w:w="80" w:type="dxa"/>
              <w:bottom w:w="0" w:type="dxa"/>
              <w:right w:w="80" w:type="dxa"/>
            </w:tcMar>
          </w:tcPr>
          <w:p w14:paraId="00001249" w14:textId="59A707BF" w:rsidR="00750464" w:rsidRDefault="00750464" w:rsidP="00750464">
            <w:pPr>
              <w:spacing w:before="240" w:after="0" w:line="276" w:lineRule="auto"/>
              <w:jc w:val="center"/>
              <w:rPr>
                <w:b/>
                <w:bCs/>
                <w:sz w:val="20"/>
                <w:szCs w:val="20"/>
              </w:rPr>
            </w:pPr>
            <w:r w:rsidRPr="5D8904BE">
              <w:rPr>
                <w:b/>
                <w:bCs/>
                <w:sz w:val="20"/>
                <w:szCs w:val="20"/>
              </w:rPr>
              <w:t>Output 4.1.1</w:t>
            </w:r>
          </w:p>
        </w:tc>
        <w:tc>
          <w:tcPr>
            <w:tcW w:w="1533" w:type="dxa"/>
            <w:tcMar>
              <w:top w:w="0" w:type="dxa"/>
              <w:left w:w="80" w:type="dxa"/>
              <w:bottom w:w="0" w:type="dxa"/>
              <w:right w:w="80" w:type="dxa"/>
            </w:tcMar>
            <w:vAlign w:val="bottom"/>
          </w:tcPr>
          <w:p w14:paraId="0000124A" w14:textId="1BA502A0" w:rsidR="00750464" w:rsidRDefault="00750464" w:rsidP="00750464">
            <w:pPr>
              <w:spacing w:before="240" w:after="0" w:line="276" w:lineRule="auto"/>
              <w:jc w:val="both"/>
              <w:rPr>
                <w:sz w:val="20"/>
                <w:szCs w:val="20"/>
              </w:rPr>
            </w:pPr>
            <w:r w:rsidRPr="5D8904BE">
              <w:rPr>
                <w:sz w:val="20"/>
                <w:szCs w:val="20"/>
              </w:rPr>
              <w:t>Activity 4.1.1,1</w:t>
            </w:r>
          </w:p>
        </w:tc>
        <w:tc>
          <w:tcPr>
            <w:tcW w:w="412" w:type="dxa"/>
            <w:tcMar>
              <w:top w:w="0" w:type="dxa"/>
              <w:left w:w="80" w:type="dxa"/>
              <w:bottom w:w="0" w:type="dxa"/>
              <w:right w:w="80" w:type="dxa"/>
            </w:tcMar>
            <w:vAlign w:val="bottom"/>
          </w:tcPr>
          <w:p w14:paraId="0000124B"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24C"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shd w:val="clear" w:color="auto" w:fill="215C98"/>
            <w:tcMar>
              <w:top w:w="0" w:type="dxa"/>
              <w:left w:w="80" w:type="dxa"/>
              <w:bottom w:w="0" w:type="dxa"/>
              <w:right w:w="80" w:type="dxa"/>
            </w:tcMar>
            <w:vAlign w:val="bottom"/>
          </w:tcPr>
          <w:p w14:paraId="0000124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24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24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50"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shd w:val="clear" w:color="auto" w:fill="156082" w:themeFill="accent1"/>
            <w:tcMar>
              <w:top w:w="0" w:type="dxa"/>
              <w:left w:w="80" w:type="dxa"/>
              <w:bottom w:w="0" w:type="dxa"/>
              <w:right w:w="80" w:type="dxa"/>
            </w:tcMar>
            <w:vAlign w:val="bottom"/>
          </w:tcPr>
          <w:p w14:paraId="00001251"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shd w:val="clear" w:color="auto" w:fill="156082" w:themeFill="accent1"/>
            <w:tcMar>
              <w:top w:w="0" w:type="dxa"/>
              <w:left w:w="80" w:type="dxa"/>
              <w:bottom w:w="0" w:type="dxa"/>
              <w:right w:w="80" w:type="dxa"/>
            </w:tcMar>
            <w:vAlign w:val="bottom"/>
          </w:tcPr>
          <w:p w14:paraId="0000125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5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5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5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5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5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5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5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5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5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5C"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125D"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25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5F" w14:textId="77777777" w:rsidR="00750464" w:rsidRDefault="00750464" w:rsidP="00750464">
            <w:pPr>
              <w:spacing w:before="240" w:after="0" w:line="276" w:lineRule="auto"/>
              <w:jc w:val="both"/>
              <w:rPr>
                <w:sz w:val="20"/>
                <w:szCs w:val="20"/>
              </w:rPr>
            </w:pPr>
            <w:r>
              <w:rPr>
                <w:sz w:val="20"/>
                <w:szCs w:val="20"/>
              </w:rPr>
              <w:t xml:space="preserve"> </w:t>
            </w:r>
          </w:p>
        </w:tc>
      </w:tr>
      <w:tr w:rsidR="00BD6D5D" w14:paraId="706FE750" w14:textId="77777777" w:rsidTr="008E3548">
        <w:trPr>
          <w:trHeight w:val="300"/>
          <w:jc w:val="center"/>
        </w:trPr>
        <w:tc>
          <w:tcPr>
            <w:tcW w:w="1600" w:type="dxa"/>
            <w:vMerge/>
            <w:tcMar>
              <w:top w:w="100" w:type="dxa"/>
              <w:left w:w="100" w:type="dxa"/>
              <w:bottom w:w="100" w:type="dxa"/>
              <w:right w:w="100" w:type="dxa"/>
            </w:tcMar>
          </w:tcPr>
          <w:p w14:paraId="00001260"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261"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1262"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1263" w14:textId="0ADB9A74" w:rsidR="00750464" w:rsidRDefault="00750464" w:rsidP="00750464">
            <w:pPr>
              <w:spacing w:before="240" w:after="0" w:line="276" w:lineRule="auto"/>
              <w:jc w:val="both"/>
              <w:rPr>
                <w:color w:val="0F4761"/>
                <w:sz w:val="20"/>
                <w:szCs w:val="20"/>
              </w:rPr>
            </w:pPr>
            <w:r w:rsidRPr="5D8904BE">
              <w:rPr>
                <w:color w:val="0F4761" w:themeColor="accent1" w:themeShade="BF"/>
                <w:sz w:val="20"/>
                <w:szCs w:val="20"/>
              </w:rPr>
              <w:t>Activity 4.1.1.2</w:t>
            </w:r>
          </w:p>
        </w:tc>
        <w:tc>
          <w:tcPr>
            <w:tcW w:w="412" w:type="dxa"/>
            <w:tcMar>
              <w:top w:w="0" w:type="dxa"/>
              <w:left w:w="80" w:type="dxa"/>
              <w:bottom w:w="0" w:type="dxa"/>
              <w:right w:w="80" w:type="dxa"/>
            </w:tcMar>
            <w:vAlign w:val="bottom"/>
          </w:tcPr>
          <w:p w14:paraId="00001264"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265"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26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6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6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69"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shd w:val="clear" w:color="auto" w:fill="156082" w:themeFill="accent1"/>
            <w:tcMar>
              <w:top w:w="0" w:type="dxa"/>
              <w:left w:w="80" w:type="dxa"/>
              <w:bottom w:w="0" w:type="dxa"/>
              <w:right w:w="80" w:type="dxa"/>
            </w:tcMar>
            <w:vAlign w:val="bottom"/>
          </w:tcPr>
          <w:p w14:paraId="0000126A"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shd w:val="clear" w:color="auto" w:fill="156082" w:themeFill="accent1"/>
            <w:tcMar>
              <w:top w:w="0" w:type="dxa"/>
              <w:left w:w="80" w:type="dxa"/>
              <w:bottom w:w="0" w:type="dxa"/>
              <w:right w:w="80" w:type="dxa"/>
            </w:tcMar>
            <w:vAlign w:val="bottom"/>
          </w:tcPr>
          <w:p w14:paraId="0000126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6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6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6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6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7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7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7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7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7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75"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shd w:val="clear" w:color="auto" w:fill="156082" w:themeFill="accent1"/>
            <w:tcMar>
              <w:top w:w="0" w:type="dxa"/>
              <w:left w:w="80" w:type="dxa"/>
              <w:bottom w:w="0" w:type="dxa"/>
              <w:right w:w="80" w:type="dxa"/>
            </w:tcMar>
            <w:vAlign w:val="bottom"/>
          </w:tcPr>
          <w:p w14:paraId="00001276"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27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78" w14:textId="77777777" w:rsidR="00750464" w:rsidRDefault="00750464" w:rsidP="00750464">
            <w:pPr>
              <w:spacing w:before="240" w:after="0" w:line="276" w:lineRule="auto"/>
              <w:jc w:val="both"/>
              <w:rPr>
                <w:sz w:val="20"/>
                <w:szCs w:val="20"/>
              </w:rPr>
            </w:pPr>
            <w:r>
              <w:rPr>
                <w:sz w:val="20"/>
                <w:szCs w:val="20"/>
              </w:rPr>
              <w:t xml:space="preserve"> </w:t>
            </w:r>
          </w:p>
        </w:tc>
      </w:tr>
      <w:tr w:rsidR="00BD6D5D" w14:paraId="1009CE0B" w14:textId="77777777" w:rsidTr="00965525">
        <w:trPr>
          <w:trHeight w:val="300"/>
          <w:jc w:val="center"/>
        </w:trPr>
        <w:tc>
          <w:tcPr>
            <w:tcW w:w="1600" w:type="dxa"/>
            <w:vMerge/>
            <w:tcMar>
              <w:top w:w="100" w:type="dxa"/>
              <w:left w:w="100" w:type="dxa"/>
              <w:bottom w:w="100" w:type="dxa"/>
              <w:right w:w="100" w:type="dxa"/>
            </w:tcMar>
          </w:tcPr>
          <w:p w14:paraId="00001279"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27A"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127B"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127C" w14:textId="1AAA322B" w:rsidR="00750464" w:rsidRDefault="00750464" w:rsidP="00750464">
            <w:pPr>
              <w:spacing w:before="240" w:after="0" w:line="276" w:lineRule="auto"/>
              <w:jc w:val="both"/>
              <w:rPr>
                <w:color w:val="0F4761"/>
                <w:sz w:val="20"/>
                <w:szCs w:val="20"/>
              </w:rPr>
            </w:pPr>
            <w:r w:rsidRPr="5D8904BE">
              <w:rPr>
                <w:color w:val="0F4761" w:themeColor="accent1" w:themeShade="BF"/>
                <w:sz w:val="20"/>
                <w:szCs w:val="20"/>
              </w:rPr>
              <w:t>Activity 4.1.1.3</w:t>
            </w:r>
          </w:p>
        </w:tc>
        <w:tc>
          <w:tcPr>
            <w:tcW w:w="412" w:type="dxa"/>
            <w:tcMar>
              <w:top w:w="0" w:type="dxa"/>
              <w:left w:w="80" w:type="dxa"/>
              <w:bottom w:w="0" w:type="dxa"/>
              <w:right w:w="80" w:type="dxa"/>
            </w:tcMar>
            <w:vAlign w:val="bottom"/>
          </w:tcPr>
          <w:p w14:paraId="0000127D"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27E"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27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8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8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82"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shd w:val="clear" w:color="auto" w:fill="215C98"/>
            <w:tcMar>
              <w:top w:w="0" w:type="dxa"/>
              <w:left w:w="80" w:type="dxa"/>
              <w:bottom w:w="0" w:type="dxa"/>
              <w:right w:w="80" w:type="dxa"/>
            </w:tcMar>
            <w:vAlign w:val="bottom"/>
          </w:tcPr>
          <w:p w14:paraId="00001283"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shd w:val="clear" w:color="auto" w:fill="215C98"/>
            <w:tcMar>
              <w:top w:w="0" w:type="dxa"/>
              <w:left w:w="80" w:type="dxa"/>
              <w:bottom w:w="0" w:type="dxa"/>
              <w:right w:w="80" w:type="dxa"/>
            </w:tcMar>
            <w:vAlign w:val="bottom"/>
          </w:tcPr>
          <w:p w14:paraId="0000128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28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28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28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28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28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28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28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28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28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28E"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shd w:val="clear" w:color="auto" w:fill="215C98"/>
            <w:tcMar>
              <w:top w:w="0" w:type="dxa"/>
              <w:left w:w="80" w:type="dxa"/>
              <w:bottom w:w="0" w:type="dxa"/>
              <w:right w:w="80" w:type="dxa"/>
            </w:tcMar>
            <w:vAlign w:val="bottom"/>
          </w:tcPr>
          <w:p w14:paraId="0000128F"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29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91" w14:textId="77777777" w:rsidR="00750464" w:rsidRDefault="00750464" w:rsidP="00750464">
            <w:pPr>
              <w:spacing w:before="240" w:after="0" w:line="276" w:lineRule="auto"/>
              <w:jc w:val="both"/>
              <w:rPr>
                <w:sz w:val="20"/>
                <w:szCs w:val="20"/>
              </w:rPr>
            </w:pPr>
            <w:r>
              <w:rPr>
                <w:sz w:val="20"/>
                <w:szCs w:val="20"/>
              </w:rPr>
              <w:t xml:space="preserve"> </w:t>
            </w:r>
          </w:p>
        </w:tc>
      </w:tr>
      <w:tr w:rsidR="00BD6D5D" w14:paraId="633237B6" w14:textId="77777777" w:rsidTr="00276405">
        <w:trPr>
          <w:trHeight w:val="300"/>
          <w:jc w:val="center"/>
        </w:trPr>
        <w:tc>
          <w:tcPr>
            <w:tcW w:w="1600" w:type="dxa"/>
            <w:vMerge/>
            <w:tcMar>
              <w:top w:w="100" w:type="dxa"/>
              <w:left w:w="100" w:type="dxa"/>
              <w:bottom w:w="100" w:type="dxa"/>
              <w:right w:w="100" w:type="dxa"/>
            </w:tcMar>
          </w:tcPr>
          <w:p w14:paraId="00001292"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293"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1294"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1295" w14:textId="7059F895" w:rsidR="00750464" w:rsidRDefault="00750464" w:rsidP="00750464">
            <w:pPr>
              <w:spacing w:before="240" w:after="0" w:line="276" w:lineRule="auto"/>
              <w:jc w:val="both"/>
              <w:rPr>
                <w:color w:val="0F4761"/>
                <w:sz w:val="20"/>
                <w:szCs w:val="20"/>
              </w:rPr>
            </w:pPr>
            <w:r w:rsidRPr="5D8904BE">
              <w:rPr>
                <w:color w:val="0F4761" w:themeColor="accent1" w:themeShade="BF"/>
                <w:sz w:val="20"/>
                <w:szCs w:val="20"/>
              </w:rPr>
              <w:t>Activity 4.1.1.4</w:t>
            </w:r>
          </w:p>
        </w:tc>
        <w:tc>
          <w:tcPr>
            <w:tcW w:w="412" w:type="dxa"/>
            <w:tcMar>
              <w:top w:w="0" w:type="dxa"/>
              <w:left w:w="80" w:type="dxa"/>
              <w:bottom w:w="0" w:type="dxa"/>
              <w:right w:w="80" w:type="dxa"/>
            </w:tcMar>
            <w:vAlign w:val="bottom"/>
          </w:tcPr>
          <w:p w14:paraId="00001296"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297"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29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9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9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9B"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shd w:val="clear" w:color="auto" w:fill="156082" w:themeFill="accent1"/>
            <w:tcMar>
              <w:top w:w="0" w:type="dxa"/>
              <w:left w:w="80" w:type="dxa"/>
              <w:bottom w:w="0" w:type="dxa"/>
              <w:right w:w="80" w:type="dxa"/>
            </w:tcMar>
            <w:vAlign w:val="bottom"/>
          </w:tcPr>
          <w:p w14:paraId="0000129C"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shd w:val="clear" w:color="auto" w:fill="156082" w:themeFill="accent1"/>
            <w:tcMar>
              <w:top w:w="0" w:type="dxa"/>
              <w:left w:w="80" w:type="dxa"/>
              <w:bottom w:w="0" w:type="dxa"/>
              <w:right w:w="80" w:type="dxa"/>
            </w:tcMar>
            <w:vAlign w:val="bottom"/>
          </w:tcPr>
          <w:p w14:paraId="0000129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9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9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A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A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A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A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A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A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A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156082" w:themeFill="accent1"/>
            <w:tcMar>
              <w:top w:w="0" w:type="dxa"/>
              <w:left w:w="80" w:type="dxa"/>
              <w:bottom w:w="0" w:type="dxa"/>
              <w:right w:w="80" w:type="dxa"/>
            </w:tcMar>
            <w:vAlign w:val="bottom"/>
          </w:tcPr>
          <w:p w14:paraId="000012A7"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shd w:val="clear" w:color="auto" w:fill="156082" w:themeFill="accent1"/>
            <w:tcMar>
              <w:top w:w="0" w:type="dxa"/>
              <w:left w:w="80" w:type="dxa"/>
              <w:bottom w:w="0" w:type="dxa"/>
              <w:right w:w="80" w:type="dxa"/>
            </w:tcMar>
            <w:vAlign w:val="bottom"/>
          </w:tcPr>
          <w:p w14:paraId="000012A8"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2A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2AA"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291DAD73" w14:textId="77777777" w:rsidTr="00714C21">
        <w:trPr>
          <w:trHeight w:val="300"/>
          <w:jc w:val="center"/>
        </w:trPr>
        <w:tc>
          <w:tcPr>
            <w:tcW w:w="1600" w:type="dxa"/>
            <w:vMerge w:val="restart"/>
            <w:tcMar>
              <w:top w:w="0" w:type="dxa"/>
              <w:left w:w="80" w:type="dxa"/>
              <w:bottom w:w="0" w:type="dxa"/>
              <w:right w:w="80" w:type="dxa"/>
            </w:tcMar>
          </w:tcPr>
          <w:p w14:paraId="000013BE" w14:textId="6404AF94" w:rsidR="00750464" w:rsidRDefault="00750464" w:rsidP="00750464">
            <w:pPr>
              <w:spacing w:before="240" w:after="0" w:line="276" w:lineRule="auto"/>
              <w:jc w:val="center"/>
              <w:rPr>
                <w:sz w:val="20"/>
                <w:szCs w:val="20"/>
              </w:rPr>
            </w:pPr>
            <w:proofErr w:type="gramStart"/>
            <w:r w:rsidRPr="5D8904BE">
              <w:rPr>
                <w:sz w:val="20"/>
                <w:szCs w:val="20"/>
              </w:rPr>
              <w:t>Component  5</w:t>
            </w:r>
            <w:proofErr w:type="gramEnd"/>
          </w:p>
        </w:tc>
        <w:tc>
          <w:tcPr>
            <w:tcW w:w="919" w:type="dxa"/>
            <w:vMerge w:val="restart"/>
            <w:tcMar>
              <w:top w:w="0" w:type="dxa"/>
              <w:left w:w="80" w:type="dxa"/>
              <w:bottom w:w="0" w:type="dxa"/>
              <w:right w:w="80" w:type="dxa"/>
            </w:tcMar>
          </w:tcPr>
          <w:p w14:paraId="000013BF" w14:textId="3C9E7111" w:rsidR="00750464" w:rsidRDefault="00750464" w:rsidP="00750464">
            <w:pPr>
              <w:spacing w:before="240" w:after="0" w:line="276" w:lineRule="auto"/>
              <w:jc w:val="center"/>
              <w:rPr>
                <w:b/>
                <w:bCs/>
                <w:sz w:val="20"/>
                <w:szCs w:val="20"/>
              </w:rPr>
            </w:pPr>
            <w:proofErr w:type="spellStart"/>
            <w:r w:rsidRPr="5D8904BE">
              <w:rPr>
                <w:b/>
                <w:bCs/>
                <w:sz w:val="20"/>
                <w:szCs w:val="20"/>
              </w:rPr>
              <w:t>Outcome</w:t>
            </w:r>
            <w:proofErr w:type="spellEnd"/>
            <w:r w:rsidRPr="5D8904BE">
              <w:rPr>
                <w:b/>
                <w:bCs/>
                <w:sz w:val="20"/>
                <w:szCs w:val="20"/>
              </w:rPr>
              <w:t xml:space="preserve"> 5.1</w:t>
            </w:r>
          </w:p>
        </w:tc>
        <w:tc>
          <w:tcPr>
            <w:tcW w:w="1279" w:type="dxa"/>
            <w:vMerge w:val="restart"/>
            <w:tcMar>
              <w:top w:w="0" w:type="dxa"/>
              <w:left w:w="80" w:type="dxa"/>
              <w:bottom w:w="0" w:type="dxa"/>
              <w:right w:w="80" w:type="dxa"/>
            </w:tcMar>
          </w:tcPr>
          <w:p w14:paraId="000013C0" w14:textId="3866A236" w:rsidR="00750464" w:rsidRDefault="00750464" w:rsidP="00750464">
            <w:pPr>
              <w:spacing w:before="240" w:after="0" w:line="276" w:lineRule="auto"/>
              <w:jc w:val="center"/>
              <w:rPr>
                <w:b/>
                <w:bCs/>
                <w:i/>
                <w:iCs/>
                <w:sz w:val="20"/>
                <w:szCs w:val="20"/>
              </w:rPr>
            </w:pPr>
            <w:r w:rsidRPr="5D8904BE">
              <w:rPr>
                <w:b/>
                <w:bCs/>
                <w:i/>
                <w:iCs/>
                <w:sz w:val="20"/>
                <w:szCs w:val="20"/>
              </w:rPr>
              <w:t>Output 5.1.1</w:t>
            </w:r>
          </w:p>
        </w:tc>
        <w:tc>
          <w:tcPr>
            <w:tcW w:w="1533" w:type="dxa"/>
            <w:tcMar>
              <w:top w:w="0" w:type="dxa"/>
              <w:left w:w="80" w:type="dxa"/>
              <w:bottom w:w="0" w:type="dxa"/>
              <w:right w:w="80" w:type="dxa"/>
            </w:tcMar>
            <w:vAlign w:val="bottom"/>
          </w:tcPr>
          <w:p w14:paraId="000013C1" w14:textId="64A2A95D" w:rsidR="00750464" w:rsidRDefault="00750464" w:rsidP="00750464">
            <w:pPr>
              <w:spacing w:before="240" w:after="0" w:line="276" w:lineRule="auto"/>
              <w:jc w:val="both"/>
              <w:rPr>
                <w:sz w:val="20"/>
                <w:szCs w:val="20"/>
              </w:rPr>
            </w:pPr>
            <w:r w:rsidRPr="5D8904BE">
              <w:rPr>
                <w:sz w:val="20"/>
                <w:szCs w:val="20"/>
              </w:rPr>
              <w:t>Activity 5.1.1.1</w:t>
            </w:r>
          </w:p>
        </w:tc>
        <w:tc>
          <w:tcPr>
            <w:tcW w:w="412" w:type="dxa"/>
            <w:shd w:val="clear" w:color="auto" w:fill="215C98"/>
            <w:tcMar>
              <w:top w:w="0" w:type="dxa"/>
              <w:left w:w="80" w:type="dxa"/>
              <w:bottom w:w="0" w:type="dxa"/>
              <w:right w:w="80" w:type="dxa"/>
            </w:tcMar>
            <w:vAlign w:val="bottom"/>
          </w:tcPr>
          <w:p w14:paraId="000013C2"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3C3"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3C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3C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3C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3C7"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13C8"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13C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3C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3C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3C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3C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3C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3C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3D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3D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3D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3D3"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13D4"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3D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3D6"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7293DBCE" w14:textId="77777777" w:rsidTr="00714C21">
        <w:trPr>
          <w:trHeight w:val="300"/>
          <w:jc w:val="center"/>
        </w:trPr>
        <w:tc>
          <w:tcPr>
            <w:tcW w:w="1600" w:type="dxa"/>
            <w:vMerge/>
            <w:tcMar>
              <w:top w:w="100" w:type="dxa"/>
              <w:left w:w="100" w:type="dxa"/>
              <w:bottom w:w="100" w:type="dxa"/>
              <w:right w:w="100" w:type="dxa"/>
            </w:tcMar>
          </w:tcPr>
          <w:p w14:paraId="000013D7"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3D8"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13D9"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13DA" w14:textId="6E4B3C84" w:rsidR="00750464" w:rsidRDefault="00750464" w:rsidP="00750464">
            <w:pPr>
              <w:spacing w:before="240" w:after="0" w:line="276" w:lineRule="auto"/>
              <w:jc w:val="both"/>
              <w:rPr>
                <w:sz w:val="20"/>
                <w:szCs w:val="20"/>
              </w:rPr>
            </w:pPr>
            <w:r w:rsidRPr="5D8904BE">
              <w:rPr>
                <w:sz w:val="20"/>
                <w:szCs w:val="20"/>
              </w:rPr>
              <w:t>Activity 5.1.1.2</w:t>
            </w:r>
          </w:p>
        </w:tc>
        <w:tc>
          <w:tcPr>
            <w:tcW w:w="412" w:type="dxa"/>
            <w:shd w:val="clear" w:color="auto" w:fill="215C98"/>
            <w:tcMar>
              <w:top w:w="0" w:type="dxa"/>
              <w:left w:w="80" w:type="dxa"/>
              <w:bottom w:w="0" w:type="dxa"/>
              <w:right w:w="80" w:type="dxa"/>
            </w:tcMar>
            <w:vAlign w:val="bottom"/>
          </w:tcPr>
          <w:p w14:paraId="000013DB"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shd w:val="clear" w:color="auto" w:fill="215C98"/>
            <w:tcMar>
              <w:top w:w="0" w:type="dxa"/>
              <w:left w:w="80" w:type="dxa"/>
              <w:bottom w:w="0" w:type="dxa"/>
              <w:right w:w="80" w:type="dxa"/>
            </w:tcMar>
            <w:vAlign w:val="bottom"/>
          </w:tcPr>
          <w:p w14:paraId="000013DC"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shd w:val="clear" w:color="auto" w:fill="215C98"/>
            <w:tcMar>
              <w:top w:w="0" w:type="dxa"/>
              <w:left w:w="80" w:type="dxa"/>
              <w:bottom w:w="0" w:type="dxa"/>
              <w:right w:w="80" w:type="dxa"/>
            </w:tcMar>
            <w:vAlign w:val="bottom"/>
          </w:tcPr>
          <w:p w14:paraId="000013D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3D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3D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3E0"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shd w:val="clear" w:color="auto" w:fill="215C98"/>
            <w:tcMar>
              <w:top w:w="0" w:type="dxa"/>
              <w:left w:w="80" w:type="dxa"/>
              <w:bottom w:w="0" w:type="dxa"/>
              <w:right w:w="80" w:type="dxa"/>
            </w:tcMar>
            <w:vAlign w:val="bottom"/>
          </w:tcPr>
          <w:p w14:paraId="000013E1"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shd w:val="clear" w:color="auto" w:fill="215C98"/>
            <w:tcMar>
              <w:top w:w="0" w:type="dxa"/>
              <w:left w:w="80" w:type="dxa"/>
              <w:bottom w:w="0" w:type="dxa"/>
              <w:right w:w="80" w:type="dxa"/>
            </w:tcMar>
            <w:vAlign w:val="bottom"/>
          </w:tcPr>
          <w:p w14:paraId="000013E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3E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3E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3E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3E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3E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3E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3E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3E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3E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3EC"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shd w:val="clear" w:color="auto" w:fill="215C98"/>
            <w:tcMar>
              <w:top w:w="0" w:type="dxa"/>
              <w:left w:w="80" w:type="dxa"/>
              <w:bottom w:w="0" w:type="dxa"/>
              <w:right w:w="80" w:type="dxa"/>
            </w:tcMar>
            <w:vAlign w:val="bottom"/>
          </w:tcPr>
          <w:p w14:paraId="000013ED"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shd w:val="clear" w:color="auto" w:fill="215C98"/>
            <w:tcMar>
              <w:top w:w="0" w:type="dxa"/>
              <w:left w:w="80" w:type="dxa"/>
              <w:bottom w:w="0" w:type="dxa"/>
              <w:right w:w="80" w:type="dxa"/>
            </w:tcMar>
            <w:vAlign w:val="bottom"/>
          </w:tcPr>
          <w:p w14:paraId="000013E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3EF"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2D647588" w14:textId="77777777" w:rsidTr="00714C21">
        <w:trPr>
          <w:trHeight w:val="300"/>
          <w:jc w:val="center"/>
        </w:trPr>
        <w:tc>
          <w:tcPr>
            <w:tcW w:w="1600" w:type="dxa"/>
            <w:vMerge/>
            <w:tcMar>
              <w:top w:w="100" w:type="dxa"/>
              <w:left w:w="100" w:type="dxa"/>
              <w:bottom w:w="100" w:type="dxa"/>
              <w:right w:w="100" w:type="dxa"/>
            </w:tcMar>
          </w:tcPr>
          <w:p w14:paraId="000013F0"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3F1"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13F2"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13F3" w14:textId="15651A18" w:rsidR="00750464" w:rsidRDefault="00750464" w:rsidP="00750464">
            <w:pPr>
              <w:spacing w:before="240" w:after="0" w:line="276" w:lineRule="auto"/>
              <w:jc w:val="both"/>
              <w:rPr>
                <w:color w:val="0F4761"/>
                <w:sz w:val="20"/>
                <w:szCs w:val="20"/>
              </w:rPr>
            </w:pPr>
            <w:r w:rsidRPr="5D8904BE">
              <w:rPr>
                <w:color w:val="0F4761" w:themeColor="accent1" w:themeShade="BF"/>
                <w:sz w:val="20"/>
                <w:szCs w:val="20"/>
              </w:rPr>
              <w:t>Activity 5.1.1.3</w:t>
            </w:r>
          </w:p>
        </w:tc>
        <w:tc>
          <w:tcPr>
            <w:tcW w:w="412" w:type="dxa"/>
            <w:tcMar>
              <w:top w:w="0" w:type="dxa"/>
              <w:left w:w="80" w:type="dxa"/>
              <w:bottom w:w="0" w:type="dxa"/>
              <w:right w:w="80" w:type="dxa"/>
            </w:tcMar>
            <w:vAlign w:val="bottom"/>
          </w:tcPr>
          <w:p w14:paraId="000013F4"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3F5"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3F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3F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3F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3F9"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shd w:val="clear" w:color="auto" w:fill="215C98"/>
            <w:tcMar>
              <w:top w:w="0" w:type="dxa"/>
              <w:left w:w="80" w:type="dxa"/>
              <w:bottom w:w="0" w:type="dxa"/>
              <w:right w:w="80" w:type="dxa"/>
            </w:tcMar>
            <w:vAlign w:val="bottom"/>
          </w:tcPr>
          <w:p w14:paraId="000013FA"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shd w:val="clear" w:color="auto" w:fill="215C98"/>
            <w:tcMar>
              <w:top w:w="0" w:type="dxa"/>
              <w:left w:w="80" w:type="dxa"/>
              <w:bottom w:w="0" w:type="dxa"/>
              <w:right w:w="80" w:type="dxa"/>
            </w:tcMar>
            <w:vAlign w:val="bottom"/>
          </w:tcPr>
          <w:p w14:paraId="000013F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3F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3F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3FE"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3F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40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40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402"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403"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40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405"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1406"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40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408" w14:textId="77777777" w:rsidR="00750464" w:rsidRDefault="00750464" w:rsidP="00750464">
            <w:pPr>
              <w:spacing w:before="240" w:after="0" w:line="276" w:lineRule="auto"/>
              <w:jc w:val="both"/>
              <w:rPr>
                <w:sz w:val="20"/>
                <w:szCs w:val="20"/>
              </w:rPr>
            </w:pPr>
            <w:r>
              <w:rPr>
                <w:sz w:val="20"/>
                <w:szCs w:val="20"/>
              </w:rPr>
              <w:t xml:space="preserve"> </w:t>
            </w:r>
          </w:p>
        </w:tc>
      </w:tr>
      <w:tr w:rsidR="00750464" w14:paraId="01FDBA73" w14:textId="77777777" w:rsidTr="00714C21">
        <w:trPr>
          <w:trHeight w:val="300"/>
          <w:jc w:val="center"/>
        </w:trPr>
        <w:tc>
          <w:tcPr>
            <w:tcW w:w="1600" w:type="dxa"/>
            <w:vMerge/>
            <w:tcMar>
              <w:top w:w="100" w:type="dxa"/>
              <w:left w:w="100" w:type="dxa"/>
              <w:bottom w:w="100" w:type="dxa"/>
              <w:right w:w="100" w:type="dxa"/>
            </w:tcMar>
          </w:tcPr>
          <w:p w14:paraId="00001409" w14:textId="77777777" w:rsidR="00750464" w:rsidRDefault="00750464" w:rsidP="00750464">
            <w:pPr>
              <w:spacing w:after="60" w:line="240" w:lineRule="auto"/>
              <w:jc w:val="both"/>
              <w:rPr>
                <w:sz w:val="20"/>
                <w:szCs w:val="20"/>
              </w:rPr>
            </w:pPr>
          </w:p>
        </w:tc>
        <w:tc>
          <w:tcPr>
            <w:tcW w:w="919" w:type="dxa"/>
            <w:vMerge/>
            <w:tcMar>
              <w:top w:w="100" w:type="dxa"/>
              <w:left w:w="100" w:type="dxa"/>
              <w:bottom w:w="100" w:type="dxa"/>
              <w:right w:w="100" w:type="dxa"/>
            </w:tcMar>
          </w:tcPr>
          <w:p w14:paraId="0000140A" w14:textId="77777777" w:rsidR="00750464" w:rsidRDefault="00750464" w:rsidP="00750464">
            <w:pPr>
              <w:spacing w:after="60" w:line="240" w:lineRule="auto"/>
              <w:jc w:val="both"/>
              <w:rPr>
                <w:sz w:val="20"/>
                <w:szCs w:val="20"/>
              </w:rPr>
            </w:pPr>
          </w:p>
        </w:tc>
        <w:tc>
          <w:tcPr>
            <w:tcW w:w="1279" w:type="dxa"/>
            <w:vMerge/>
            <w:tcMar>
              <w:top w:w="100" w:type="dxa"/>
              <w:left w:w="100" w:type="dxa"/>
              <w:bottom w:w="100" w:type="dxa"/>
              <w:right w:w="100" w:type="dxa"/>
            </w:tcMar>
          </w:tcPr>
          <w:p w14:paraId="0000140B" w14:textId="77777777" w:rsidR="00750464" w:rsidRDefault="00750464" w:rsidP="00750464">
            <w:pPr>
              <w:spacing w:after="60" w:line="240" w:lineRule="auto"/>
              <w:jc w:val="both"/>
              <w:rPr>
                <w:sz w:val="20"/>
                <w:szCs w:val="20"/>
              </w:rPr>
            </w:pPr>
          </w:p>
        </w:tc>
        <w:tc>
          <w:tcPr>
            <w:tcW w:w="1533" w:type="dxa"/>
            <w:tcMar>
              <w:top w:w="0" w:type="dxa"/>
              <w:left w:w="80" w:type="dxa"/>
              <w:bottom w:w="0" w:type="dxa"/>
              <w:right w:w="80" w:type="dxa"/>
            </w:tcMar>
            <w:vAlign w:val="bottom"/>
          </w:tcPr>
          <w:p w14:paraId="0000140C" w14:textId="572BE1D2" w:rsidR="00750464" w:rsidRDefault="00750464" w:rsidP="00750464">
            <w:pPr>
              <w:spacing w:before="240" w:after="0" w:line="276" w:lineRule="auto"/>
              <w:jc w:val="both"/>
              <w:rPr>
                <w:color w:val="0F4761"/>
                <w:sz w:val="20"/>
                <w:szCs w:val="20"/>
              </w:rPr>
            </w:pPr>
            <w:r w:rsidRPr="5D8904BE">
              <w:rPr>
                <w:color w:val="0F4761" w:themeColor="accent1" w:themeShade="BF"/>
                <w:sz w:val="20"/>
                <w:szCs w:val="20"/>
              </w:rPr>
              <w:t>Activity 5.1.1.4</w:t>
            </w:r>
          </w:p>
        </w:tc>
        <w:tc>
          <w:tcPr>
            <w:tcW w:w="412" w:type="dxa"/>
            <w:tcMar>
              <w:top w:w="0" w:type="dxa"/>
              <w:left w:w="80" w:type="dxa"/>
              <w:bottom w:w="0" w:type="dxa"/>
              <w:right w:w="80" w:type="dxa"/>
            </w:tcMar>
            <w:vAlign w:val="bottom"/>
          </w:tcPr>
          <w:p w14:paraId="0000140D"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40E" w14:textId="77777777" w:rsidR="00750464" w:rsidRDefault="00750464" w:rsidP="00750464">
            <w:pPr>
              <w:spacing w:before="240" w:after="0" w:line="276" w:lineRule="auto"/>
              <w:jc w:val="both"/>
              <w:rPr>
                <w:sz w:val="20"/>
                <w:szCs w:val="20"/>
              </w:rPr>
            </w:pPr>
            <w:r>
              <w:rPr>
                <w:sz w:val="20"/>
                <w:szCs w:val="20"/>
              </w:rPr>
              <w:t xml:space="preserve"> </w:t>
            </w:r>
          </w:p>
        </w:tc>
        <w:tc>
          <w:tcPr>
            <w:tcW w:w="412" w:type="dxa"/>
            <w:tcMar>
              <w:top w:w="0" w:type="dxa"/>
              <w:left w:w="80" w:type="dxa"/>
              <w:bottom w:w="0" w:type="dxa"/>
              <w:right w:w="80" w:type="dxa"/>
            </w:tcMar>
            <w:vAlign w:val="bottom"/>
          </w:tcPr>
          <w:p w14:paraId="0000140F"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41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411"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412" w14:textId="77777777" w:rsidR="00750464" w:rsidRDefault="00750464" w:rsidP="00750464">
            <w:pPr>
              <w:spacing w:before="240" w:after="0" w:line="276" w:lineRule="auto"/>
              <w:jc w:val="both"/>
              <w:rPr>
                <w:sz w:val="20"/>
                <w:szCs w:val="20"/>
              </w:rPr>
            </w:pPr>
            <w:r>
              <w:rPr>
                <w:sz w:val="20"/>
                <w:szCs w:val="20"/>
              </w:rPr>
              <w:t xml:space="preserve"> </w:t>
            </w:r>
          </w:p>
        </w:tc>
        <w:tc>
          <w:tcPr>
            <w:tcW w:w="405" w:type="dxa"/>
            <w:tcMar>
              <w:top w:w="0" w:type="dxa"/>
              <w:left w:w="80" w:type="dxa"/>
              <w:bottom w:w="0" w:type="dxa"/>
              <w:right w:w="80" w:type="dxa"/>
            </w:tcMar>
            <w:vAlign w:val="bottom"/>
          </w:tcPr>
          <w:p w14:paraId="00001413" w14:textId="77777777" w:rsidR="00750464" w:rsidRDefault="00750464" w:rsidP="00750464">
            <w:pPr>
              <w:spacing w:before="240" w:after="0" w:line="276" w:lineRule="auto"/>
              <w:jc w:val="both"/>
              <w:rPr>
                <w:sz w:val="20"/>
                <w:szCs w:val="20"/>
              </w:rPr>
            </w:pPr>
            <w:r>
              <w:rPr>
                <w:sz w:val="20"/>
                <w:szCs w:val="20"/>
              </w:rPr>
              <w:t xml:space="preserve"> </w:t>
            </w:r>
          </w:p>
        </w:tc>
        <w:tc>
          <w:tcPr>
            <w:tcW w:w="421" w:type="dxa"/>
            <w:tcMar>
              <w:top w:w="0" w:type="dxa"/>
              <w:left w:w="80" w:type="dxa"/>
              <w:bottom w:w="0" w:type="dxa"/>
              <w:right w:w="80" w:type="dxa"/>
            </w:tcMar>
            <w:vAlign w:val="bottom"/>
          </w:tcPr>
          <w:p w14:paraId="00001414"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415"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416"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417"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418"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419"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41A"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41B"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41C"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shd w:val="clear" w:color="auto" w:fill="215C98"/>
            <w:tcMar>
              <w:top w:w="0" w:type="dxa"/>
              <w:left w:w="80" w:type="dxa"/>
              <w:bottom w:w="0" w:type="dxa"/>
              <w:right w:w="80" w:type="dxa"/>
            </w:tcMar>
            <w:vAlign w:val="bottom"/>
          </w:tcPr>
          <w:p w14:paraId="0000141D"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41E" w14:textId="77777777" w:rsidR="00750464" w:rsidRDefault="00750464" w:rsidP="00750464">
            <w:pPr>
              <w:spacing w:before="240" w:after="0" w:line="276" w:lineRule="auto"/>
              <w:jc w:val="both"/>
              <w:rPr>
                <w:sz w:val="20"/>
                <w:szCs w:val="20"/>
              </w:rPr>
            </w:pPr>
            <w:r>
              <w:rPr>
                <w:sz w:val="20"/>
                <w:szCs w:val="20"/>
              </w:rPr>
              <w:t xml:space="preserve"> </w:t>
            </w:r>
          </w:p>
        </w:tc>
        <w:tc>
          <w:tcPr>
            <w:tcW w:w="465" w:type="dxa"/>
            <w:tcMar>
              <w:top w:w="0" w:type="dxa"/>
              <w:left w:w="80" w:type="dxa"/>
              <w:bottom w:w="0" w:type="dxa"/>
              <w:right w:w="80" w:type="dxa"/>
            </w:tcMar>
            <w:vAlign w:val="bottom"/>
          </w:tcPr>
          <w:p w14:paraId="0000141F" w14:textId="77777777" w:rsidR="00750464" w:rsidRDefault="00750464" w:rsidP="00750464">
            <w:pPr>
              <w:spacing w:before="240" w:after="0" w:line="276" w:lineRule="auto"/>
              <w:jc w:val="both"/>
              <w:rPr>
                <w:sz w:val="20"/>
                <w:szCs w:val="20"/>
              </w:rPr>
            </w:pPr>
            <w:r>
              <w:rPr>
                <w:sz w:val="20"/>
                <w:szCs w:val="20"/>
              </w:rPr>
              <w:t xml:space="preserve"> </w:t>
            </w:r>
          </w:p>
        </w:tc>
        <w:tc>
          <w:tcPr>
            <w:tcW w:w="361" w:type="dxa"/>
            <w:tcMar>
              <w:top w:w="0" w:type="dxa"/>
              <w:left w:w="80" w:type="dxa"/>
              <w:bottom w:w="0" w:type="dxa"/>
              <w:right w:w="80" w:type="dxa"/>
            </w:tcMar>
            <w:vAlign w:val="bottom"/>
          </w:tcPr>
          <w:p w14:paraId="00001420" w14:textId="77777777" w:rsidR="00750464" w:rsidRDefault="00750464" w:rsidP="00750464">
            <w:pPr>
              <w:spacing w:before="240" w:after="0" w:line="276" w:lineRule="auto"/>
              <w:jc w:val="both"/>
              <w:rPr>
                <w:sz w:val="20"/>
                <w:szCs w:val="20"/>
              </w:rPr>
            </w:pPr>
            <w:r>
              <w:rPr>
                <w:sz w:val="20"/>
                <w:szCs w:val="20"/>
              </w:rPr>
              <w:t xml:space="preserve"> </w:t>
            </w:r>
          </w:p>
        </w:tc>
        <w:tc>
          <w:tcPr>
            <w:tcW w:w="413" w:type="dxa"/>
            <w:tcMar>
              <w:top w:w="0" w:type="dxa"/>
              <w:left w:w="80" w:type="dxa"/>
              <w:bottom w:w="0" w:type="dxa"/>
              <w:right w:w="80" w:type="dxa"/>
            </w:tcMar>
            <w:vAlign w:val="bottom"/>
          </w:tcPr>
          <w:p w14:paraId="00001421" w14:textId="77777777" w:rsidR="00750464" w:rsidRDefault="00750464" w:rsidP="00750464">
            <w:pPr>
              <w:spacing w:before="240" w:after="0" w:line="276" w:lineRule="auto"/>
              <w:jc w:val="both"/>
              <w:rPr>
                <w:sz w:val="20"/>
                <w:szCs w:val="20"/>
              </w:rPr>
            </w:pPr>
            <w:r>
              <w:rPr>
                <w:sz w:val="20"/>
                <w:szCs w:val="20"/>
              </w:rPr>
              <w:t xml:space="preserve"> </w:t>
            </w:r>
          </w:p>
        </w:tc>
      </w:tr>
    </w:tbl>
    <w:p w14:paraId="00001422" w14:textId="77777777" w:rsidR="004F7DB3" w:rsidRDefault="004F7DB3">
      <w:pPr>
        <w:spacing w:after="60" w:line="240" w:lineRule="auto"/>
        <w:jc w:val="both"/>
        <w:rPr>
          <w:sz w:val="20"/>
          <w:szCs w:val="20"/>
        </w:rPr>
      </w:pPr>
    </w:p>
    <w:p w14:paraId="00001423" w14:textId="77777777" w:rsidR="004F7DB3" w:rsidRDefault="004F7DB3">
      <w:pPr>
        <w:spacing w:after="60" w:line="240" w:lineRule="auto"/>
        <w:jc w:val="both"/>
        <w:rPr>
          <w:sz w:val="20"/>
          <w:szCs w:val="20"/>
        </w:rPr>
        <w:sectPr w:rsidR="004F7DB3">
          <w:headerReference w:type="first" r:id="rId55"/>
          <w:pgSz w:w="16838" w:h="11906" w:orient="landscape"/>
          <w:pgMar w:top="1418" w:right="1418" w:bottom="1418" w:left="1418" w:header="709" w:footer="709" w:gutter="0"/>
          <w:cols w:space="720"/>
        </w:sectPr>
      </w:pPr>
    </w:p>
    <w:p w14:paraId="00001428" w14:textId="6A443425" w:rsidR="004F7DB3" w:rsidRDefault="552CE4D7" w:rsidP="006F5E1D">
      <w:pPr>
        <w:pStyle w:val="Titre3"/>
        <w:rPr>
          <w:lang w:val="en-US"/>
        </w:rPr>
      </w:pPr>
      <w:bookmarkStart w:id="353" w:name="_Toc200477850"/>
      <w:r w:rsidRPr="006F5E1D">
        <w:rPr>
          <w:sz w:val="22"/>
          <w:szCs w:val="22"/>
          <w:lang w:val="en-US"/>
        </w:rPr>
        <w:lastRenderedPageBreak/>
        <w:t>Annex 5: UNDP Social and Environmental Screening Procedure (SESP)</w:t>
      </w:r>
      <w:bookmarkEnd w:id="353"/>
    </w:p>
    <w:p w14:paraId="03872C65" w14:textId="6AEE0B21" w:rsidR="00D602DF" w:rsidRPr="006F5E1D" w:rsidRDefault="118FF905" w:rsidP="00D602DF">
      <w:pPr>
        <w:rPr>
          <w:b/>
          <w:bCs/>
          <w:lang w:val="en-US"/>
        </w:rPr>
      </w:pPr>
      <w:r w:rsidRPr="5D8904BE">
        <w:rPr>
          <w:rFonts w:eastAsiaTheme="majorEastAsia"/>
          <w:b/>
          <w:bCs/>
          <w:sz w:val="20"/>
          <w:szCs w:val="20"/>
          <w:lang w:val="en-US"/>
        </w:rPr>
        <w:t>This annex is submitted separately.</w:t>
      </w:r>
    </w:p>
    <w:p w14:paraId="00DC8B5F" w14:textId="0633287C" w:rsidR="00D3664D" w:rsidRDefault="00D3664D" w:rsidP="5D8904BE">
      <w:pPr>
        <w:keepNext/>
        <w:spacing w:after="60" w:line="240" w:lineRule="auto"/>
        <w:rPr>
          <w:lang w:val="en-US"/>
        </w:rPr>
        <w:sectPr w:rsidR="00D3664D">
          <w:headerReference w:type="first" r:id="rId56"/>
          <w:pgSz w:w="11906" w:h="16838"/>
          <w:pgMar w:top="1418" w:right="1418" w:bottom="1418" w:left="1418" w:header="709" w:footer="709" w:gutter="0"/>
          <w:cols w:space="720"/>
        </w:sectPr>
      </w:pPr>
    </w:p>
    <w:p w14:paraId="0000142A" w14:textId="77777777" w:rsidR="004F7DB3" w:rsidRPr="00633089" w:rsidRDefault="00C00123" w:rsidP="006F5E1D">
      <w:pPr>
        <w:pStyle w:val="Titre3"/>
        <w:rPr>
          <w:lang w:val="en-US"/>
        </w:rPr>
      </w:pPr>
      <w:bookmarkStart w:id="354" w:name="_Toc200477851"/>
      <w:r w:rsidRPr="006F5E1D">
        <w:rPr>
          <w:sz w:val="22"/>
          <w:szCs w:val="22"/>
          <w:lang w:val="en-US"/>
        </w:rPr>
        <w:lastRenderedPageBreak/>
        <w:t>Annex 6: UNDP Risk Register</w:t>
      </w:r>
      <w:bookmarkEnd w:id="354"/>
    </w:p>
    <w:p w14:paraId="0000142C" w14:textId="136C0F11" w:rsidR="004F7DB3" w:rsidRPr="00C00123" w:rsidRDefault="004F7DB3" w:rsidP="5D8904BE">
      <w:pPr>
        <w:pBdr>
          <w:top w:val="single" w:sz="4" w:space="1" w:color="000000"/>
        </w:pBdr>
        <w:rPr>
          <w:lang w:val="en-US"/>
        </w:rPr>
      </w:pPr>
    </w:p>
    <w:p w14:paraId="381896C6" w14:textId="77777777" w:rsidR="00D3664D" w:rsidRDefault="00D3664D" w:rsidP="5D8904BE">
      <w:pPr>
        <w:pBdr>
          <w:top w:val="single" w:sz="4" w:space="1" w:color="000000"/>
        </w:pBdr>
        <w:rPr>
          <w:lang w:val="en-US"/>
        </w:rPr>
      </w:pPr>
    </w:p>
    <w:tbl>
      <w:tblPr>
        <w:tblW w:w="13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8"/>
        <w:gridCol w:w="1455"/>
        <w:gridCol w:w="1395"/>
        <w:gridCol w:w="1583"/>
        <w:gridCol w:w="1863"/>
        <w:gridCol w:w="1693"/>
        <w:gridCol w:w="1401"/>
        <w:gridCol w:w="1282"/>
        <w:gridCol w:w="2982"/>
      </w:tblGrid>
      <w:tr w:rsidR="0004246E" w:rsidRPr="00F50786" w14:paraId="59D5842E" w14:textId="77777777" w:rsidTr="00857B81">
        <w:trPr>
          <w:trHeight w:val="300"/>
          <w:tblHeader/>
          <w:jc w:val="center"/>
        </w:trPr>
        <w:tc>
          <w:tcPr>
            <w:tcW w:w="353" w:type="dxa"/>
            <w:shd w:val="clear" w:color="auto" w:fill="FFCC00"/>
            <w:hideMark/>
          </w:tcPr>
          <w:p w14:paraId="1E52BC16" w14:textId="77777777" w:rsidR="00D3664D" w:rsidRPr="006F5E1D" w:rsidRDefault="580A2AAB" w:rsidP="5D8904BE">
            <w:pPr>
              <w:pBdr>
                <w:top w:val="single" w:sz="4" w:space="1" w:color="000000"/>
              </w:pBdr>
              <w:rPr>
                <w:sz w:val="18"/>
                <w:szCs w:val="18"/>
              </w:rPr>
            </w:pPr>
            <w:r w:rsidRPr="5D8904BE">
              <w:rPr>
                <w:b/>
                <w:bCs/>
                <w:sz w:val="18"/>
                <w:szCs w:val="18"/>
              </w:rPr>
              <w:t>#</w:t>
            </w:r>
            <w:r w:rsidRPr="5D8904BE">
              <w:rPr>
                <w:sz w:val="18"/>
                <w:szCs w:val="18"/>
              </w:rPr>
              <w:t> </w:t>
            </w:r>
          </w:p>
        </w:tc>
        <w:tc>
          <w:tcPr>
            <w:tcW w:w="1472" w:type="dxa"/>
            <w:shd w:val="clear" w:color="auto" w:fill="FFCC00"/>
            <w:hideMark/>
          </w:tcPr>
          <w:p w14:paraId="67066B9C" w14:textId="77777777" w:rsidR="00D3664D" w:rsidRPr="006F5E1D" w:rsidRDefault="580A2AAB" w:rsidP="5D8904BE">
            <w:pPr>
              <w:pBdr>
                <w:top w:val="single" w:sz="4" w:space="1" w:color="000000"/>
              </w:pBdr>
              <w:rPr>
                <w:sz w:val="18"/>
                <w:szCs w:val="18"/>
              </w:rPr>
            </w:pPr>
            <w:r w:rsidRPr="5D8904BE">
              <w:rPr>
                <w:b/>
                <w:bCs/>
                <w:sz w:val="18"/>
                <w:szCs w:val="18"/>
              </w:rPr>
              <w:t>Event</w:t>
            </w:r>
            <w:r w:rsidRPr="5D8904BE">
              <w:rPr>
                <w:sz w:val="18"/>
                <w:szCs w:val="18"/>
              </w:rPr>
              <w:t> </w:t>
            </w:r>
          </w:p>
        </w:tc>
        <w:tc>
          <w:tcPr>
            <w:tcW w:w="1412" w:type="dxa"/>
            <w:shd w:val="clear" w:color="auto" w:fill="FFCC00"/>
            <w:hideMark/>
          </w:tcPr>
          <w:p w14:paraId="7C5B34C8" w14:textId="77777777" w:rsidR="00D3664D" w:rsidRPr="006F5E1D" w:rsidRDefault="580A2AAB" w:rsidP="5D8904BE">
            <w:pPr>
              <w:pBdr>
                <w:top w:val="single" w:sz="4" w:space="1" w:color="000000"/>
              </w:pBdr>
              <w:rPr>
                <w:sz w:val="18"/>
                <w:szCs w:val="18"/>
              </w:rPr>
            </w:pPr>
            <w:r w:rsidRPr="5D8904BE">
              <w:rPr>
                <w:b/>
                <w:bCs/>
                <w:sz w:val="18"/>
                <w:szCs w:val="18"/>
              </w:rPr>
              <w:t>Cause</w:t>
            </w:r>
            <w:r w:rsidRPr="5D8904BE">
              <w:rPr>
                <w:sz w:val="18"/>
                <w:szCs w:val="18"/>
              </w:rPr>
              <w:t> </w:t>
            </w:r>
          </w:p>
        </w:tc>
        <w:tc>
          <w:tcPr>
            <w:tcW w:w="1616" w:type="dxa"/>
            <w:shd w:val="clear" w:color="auto" w:fill="FFCC00"/>
            <w:hideMark/>
          </w:tcPr>
          <w:p w14:paraId="5204D930" w14:textId="77777777" w:rsidR="00D3664D" w:rsidRPr="006F5E1D" w:rsidRDefault="580A2AAB" w:rsidP="5D8904BE">
            <w:pPr>
              <w:pBdr>
                <w:top w:val="single" w:sz="4" w:space="1" w:color="000000"/>
              </w:pBdr>
              <w:rPr>
                <w:sz w:val="18"/>
                <w:szCs w:val="18"/>
              </w:rPr>
            </w:pPr>
            <w:r w:rsidRPr="5D8904BE">
              <w:rPr>
                <w:b/>
                <w:bCs/>
                <w:sz w:val="18"/>
                <w:szCs w:val="18"/>
              </w:rPr>
              <w:t>Impact(s)</w:t>
            </w:r>
            <w:r w:rsidRPr="5D8904BE">
              <w:rPr>
                <w:sz w:val="18"/>
                <w:szCs w:val="18"/>
              </w:rPr>
              <w:t> </w:t>
            </w:r>
          </w:p>
        </w:tc>
        <w:tc>
          <w:tcPr>
            <w:tcW w:w="1863" w:type="dxa"/>
            <w:shd w:val="clear" w:color="auto" w:fill="FFCC00"/>
            <w:hideMark/>
          </w:tcPr>
          <w:p w14:paraId="1F0CDC15" w14:textId="77777777" w:rsidR="00D3664D" w:rsidRPr="00857B81" w:rsidRDefault="580A2AAB" w:rsidP="40E7FE84">
            <w:pPr>
              <w:pBdr>
                <w:top w:val="single" w:sz="4" w:space="1" w:color="000000"/>
              </w:pBdr>
              <w:rPr>
                <w:sz w:val="18"/>
                <w:szCs w:val="18"/>
                <w:lang w:val="en-US"/>
              </w:rPr>
            </w:pPr>
            <w:r w:rsidRPr="00857B81">
              <w:rPr>
                <w:b/>
                <w:bCs/>
                <w:sz w:val="18"/>
                <w:szCs w:val="18"/>
                <w:lang w:val="en-US"/>
              </w:rPr>
              <w:t>Risk Category and Sub-category         </w:t>
            </w:r>
            <w:proofErr w:type="gramStart"/>
            <w:r w:rsidRPr="00857B81">
              <w:rPr>
                <w:b/>
                <w:bCs/>
                <w:sz w:val="18"/>
                <w:szCs w:val="18"/>
                <w:lang w:val="en-US"/>
              </w:rPr>
              <w:t xml:space="preserve">   </w:t>
            </w:r>
            <w:r w:rsidRPr="00857B81">
              <w:rPr>
                <w:i/>
                <w:iCs/>
                <w:sz w:val="18"/>
                <w:szCs w:val="18"/>
                <w:lang w:val="en-US"/>
              </w:rPr>
              <w:t>(</w:t>
            </w:r>
            <w:proofErr w:type="gramEnd"/>
            <w:r w:rsidRPr="00857B81">
              <w:rPr>
                <w:i/>
                <w:iCs/>
                <w:sz w:val="18"/>
                <w:szCs w:val="18"/>
                <w:lang w:val="en-US"/>
              </w:rPr>
              <w:t>including Risk Appetite) </w:t>
            </w:r>
            <w:r w:rsidRPr="00857B81">
              <w:rPr>
                <w:sz w:val="18"/>
                <w:szCs w:val="18"/>
                <w:lang w:val="en-US"/>
              </w:rPr>
              <w:t> </w:t>
            </w:r>
          </w:p>
        </w:tc>
        <w:tc>
          <w:tcPr>
            <w:tcW w:w="1719" w:type="dxa"/>
            <w:shd w:val="clear" w:color="auto" w:fill="FFCC00"/>
            <w:hideMark/>
          </w:tcPr>
          <w:p w14:paraId="4B63DCB5" w14:textId="77777777" w:rsidR="00D3664D" w:rsidRPr="006F5E1D" w:rsidRDefault="580A2AAB" w:rsidP="5D8904BE">
            <w:pPr>
              <w:pBdr>
                <w:top w:val="single" w:sz="4" w:space="1" w:color="000000"/>
              </w:pBdr>
              <w:rPr>
                <w:sz w:val="18"/>
                <w:szCs w:val="18"/>
                <w:lang w:val="en-US"/>
              </w:rPr>
            </w:pPr>
            <w:r w:rsidRPr="5D8904BE">
              <w:rPr>
                <w:b/>
                <w:bCs/>
                <w:sz w:val="18"/>
                <w:szCs w:val="18"/>
                <w:lang w:val="en-US"/>
              </w:rPr>
              <w:t xml:space="preserve">Impact, </w:t>
            </w:r>
            <w:proofErr w:type="gramStart"/>
            <w:r w:rsidRPr="5D8904BE">
              <w:rPr>
                <w:b/>
                <w:bCs/>
                <w:sz w:val="18"/>
                <w:szCs w:val="18"/>
                <w:lang w:val="en-US"/>
              </w:rPr>
              <w:t>Likelihood  &amp;</w:t>
            </w:r>
            <w:proofErr w:type="gramEnd"/>
            <w:r w:rsidRPr="5D8904BE">
              <w:rPr>
                <w:b/>
                <w:bCs/>
                <w:sz w:val="18"/>
                <w:szCs w:val="18"/>
                <w:lang w:val="en-US"/>
              </w:rPr>
              <w:t xml:space="preserve"> Risk Level</w:t>
            </w:r>
            <w:r w:rsidRPr="5D8904BE">
              <w:rPr>
                <w:sz w:val="18"/>
                <w:szCs w:val="18"/>
                <w:lang w:val="en-US"/>
              </w:rPr>
              <w:t> </w:t>
            </w:r>
          </w:p>
          <w:p w14:paraId="5116E5BE" w14:textId="77777777" w:rsidR="00D3664D" w:rsidRPr="006F5E1D" w:rsidRDefault="580A2AAB" w:rsidP="5D8904BE">
            <w:pPr>
              <w:pBdr>
                <w:top w:val="single" w:sz="4" w:space="1" w:color="000000"/>
              </w:pBdr>
              <w:rPr>
                <w:sz w:val="18"/>
                <w:szCs w:val="18"/>
                <w:lang w:val="en-US"/>
              </w:rPr>
            </w:pPr>
            <w:r w:rsidRPr="5D8904BE">
              <w:rPr>
                <w:i/>
                <w:iCs/>
                <w:sz w:val="18"/>
                <w:szCs w:val="18"/>
                <w:lang w:val="en-US"/>
              </w:rPr>
              <w:t>(see Annex 3 Risk Matrix)</w:t>
            </w:r>
            <w:r w:rsidRPr="5D8904BE">
              <w:rPr>
                <w:sz w:val="18"/>
                <w:szCs w:val="18"/>
                <w:lang w:val="en-US"/>
              </w:rPr>
              <w:t> </w:t>
            </w:r>
          </w:p>
        </w:tc>
        <w:tc>
          <w:tcPr>
            <w:tcW w:w="1419" w:type="dxa"/>
            <w:shd w:val="clear" w:color="auto" w:fill="FFCC00"/>
            <w:hideMark/>
          </w:tcPr>
          <w:p w14:paraId="767889A1" w14:textId="77777777" w:rsidR="00D3664D" w:rsidRPr="006F5E1D" w:rsidRDefault="580A2AAB" w:rsidP="5D8904BE">
            <w:pPr>
              <w:pBdr>
                <w:top w:val="single" w:sz="4" w:space="1" w:color="000000"/>
              </w:pBdr>
              <w:rPr>
                <w:sz w:val="18"/>
                <w:szCs w:val="18"/>
              </w:rPr>
            </w:pPr>
            <w:r w:rsidRPr="5D8904BE">
              <w:rPr>
                <w:b/>
                <w:bCs/>
                <w:sz w:val="18"/>
                <w:szCs w:val="18"/>
              </w:rPr>
              <w:t xml:space="preserve">Risk </w:t>
            </w:r>
            <w:proofErr w:type="spellStart"/>
            <w:r w:rsidRPr="5D8904BE">
              <w:rPr>
                <w:b/>
                <w:bCs/>
                <w:sz w:val="18"/>
                <w:szCs w:val="18"/>
              </w:rPr>
              <w:t>Valid</w:t>
            </w:r>
            <w:proofErr w:type="spellEnd"/>
            <w:r w:rsidRPr="5D8904BE">
              <w:rPr>
                <w:b/>
                <w:bCs/>
                <w:sz w:val="18"/>
                <w:szCs w:val="18"/>
              </w:rPr>
              <w:t xml:space="preserve"> </w:t>
            </w:r>
            <w:proofErr w:type="spellStart"/>
            <w:r w:rsidRPr="5D8904BE">
              <w:rPr>
                <w:b/>
                <w:bCs/>
                <w:sz w:val="18"/>
                <w:szCs w:val="18"/>
              </w:rPr>
              <w:t>From</w:t>
            </w:r>
            <w:proofErr w:type="spellEnd"/>
            <w:r w:rsidRPr="5D8904BE">
              <w:rPr>
                <w:b/>
                <w:bCs/>
                <w:sz w:val="18"/>
                <w:szCs w:val="18"/>
              </w:rPr>
              <w:t>/To</w:t>
            </w:r>
            <w:r w:rsidRPr="5D8904BE">
              <w:rPr>
                <w:sz w:val="18"/>
                <w:szCs w:val="18"/>
              </w:rPr>
              <w:t> </w:t>
            </w:r>
          </w:p>
        </w:tc>
        <w:tc>
          <w:tcPr>
            <w:tcW w:w="1071" w:type="dxa"/>
            <w:shd w:val="clear" w:color="auto" w:fill="FFCC00"/>
            <w:hideMark/>
          </w:tcPr>
          <w:p w14:paraId="0944DD01" w14:textId="77777777" w:rsidR="00D3664D" w:rsidRPr="006F5E1D" w:rsidRDefault="580A2AAB" w:rsidP="5D8904BE">
            <w:pPr>
              <w:pBdr>
                <w:top w:val="single" w:sz="4" w:space="1" w:color="000000"/>
              </w:pBdr>
              <w:rPr>
                <w:sz w:val="18"/>
                <w:szCs w:val="18"/>
                <w:lang w:val="en-US"/>
              </w:rPr>
            </w:pPr>
            <w:r w:rsidRPr="5D8904BE">
              <w:rPr>
                <w:b/>
                <w:bCs/>
                <w:sz w:val="18"/>
                <w:szCs w:val="18"/>
                <w:lang w:val="en-US"/>
              </w:rPr>
              <w:t>Risk Owner</w:t>
            </w:r>
            <w:r w:rsidRPr="5D8904BE">
              <w:rPr>
                <w:sz w:val="18"/>
                <w:szCs w:val="18"/>
                <w:lang w:val="en-US"/>
              </w:rPr>
              <w:t> </w:t>
            </w:r>
          </w:p>
          <w:p w14:paraId="31DF180D" w14:textId="77777777" w:rsidR="00D3664D" w:rsidRPr="006F5E1D" w:rsidRDefault="580A2AAB" w:rsidP="5D8904BE">
            <w:pPr>
              <w:pBdr>
                <w:top w:val="single" w:sz="4" w:space="1" w:color="000000"/>
              </w:pBdr>
              <w:rPr>
                <w:sz w:val="18"/>
                <w:szCs w:val="18"/>
                <w:lang w:val="en-US"/>
              </w:rPr>
            </w:pPr>
            <w:r w:rsidRPr="5D8904BE">
              <w:rPr>
                <w:i/>
                <w:iCs/>
                <w:sz w:val="18"/>
                <w:szCs w:val="18"/>
                <w:lang w:val="en-US"/>
              </w:rPr>
              <w:t>(individual accountable for managing the risk)</w:t>
            </w:r>
            <w:r w:rsidRPr="5D8904BE">
              <w:rPr>
                <w:sz w:val="18"/>
                <w:szCs w:val="18"/>
                <w:lang w:val="en-US"/>
              </w:rPr>
              <w:t> </w:t>
            </w:r>
          </w:p>
        </w:tc>
        <w:tc>
          <w:tcPr>
            <w:tcW w:w="3067" w:type="dxa"/>
            <w:shd w:val="clear" w:color="auto" w:fill="FFCC00"/>
            <w:hideMark/>
          </w:tcPr>
          <w:p w14:paraId="56AA7666" w14:textId="77777777" w:rsidR="00D3664D" w:rsidRPr="006F5E1D" w:rsidRDefault="580A2AAB" w:rsidP="5D8904BE">
            <w:pPr>
              <w:pBdr>
                <w:top w:val="single" w:sz="4" w:space="1" w:color="000000"/>
              </w:pBdr>
              <w:rPr>
                <w:sz w:val="18"/>
                <w:szCs w:val="18"/>
                <w:lang w:val="en-US"/>
              </w:rPr>
            </w:pPr>
            <w:r w:rsidRPr="5D8904BE">
              <w:rPr>
                <w:b/>
                <w:bCs/>
                <w:sz w:val="18"/>
                <w:szCs w:val="18"/>
                <w:lang w:val="en-US"/>
              </w:rPr>
              <w:t>Risk Treatment and Treatment Owner</w:t>
            </w:r>
            <w:r w:rsidRPr="5D8904BE">
              <w:rPr>
                <w:sz w:val="18"/>
                <w:szCs w:val="18"/>
                <w:lang w:val="en-US"/>
              </w:rPr>
              <w:t> </w:t>
            </w:r>
          </w:p>
        </w:tc>
      </w:tr>
      <w:tr w:rsidR="00D3664D" w:rsidRPr="00F50786" w14:paraId="58ACA6AC" w14:textId="77777777" w:rsidTr="00857B81">
        <w:trPr>
          <w:trHeight w:val="300"/>
          <w:jc w:val="center"/>
        </w:trPr>
        <w:tc>
          <w:tcPr>
            <w:tcW w:w="353" w:type="dxa"/>
            <w:vMerge w:val="restart"/>
            <w:hideMark/>
          </w:tcPr>
          <w:p w14:paraId="1308C49B" w14:textId="77777777" w:rsidR="00D3664D" w:rsidRPr="006F5E1D" w:rsidRDefault="580A2AAB" w:rsidP="5D8904BE">
            <w:pPr>
              <w:pBdr>
                <w:top w:val="single" w:sz="4" w:space="1" w:color="000000"/>
              </w:pBdr>
              <w:rPr>
                <w:sz w:val="18"/>
                <w:szCs w:val="18"/>
              </w:rPr>
            </w:pPr>
            <w:r w:rsidRPr="5D8904BE">
              <w:rPr>
                <w:sz w:val="18"/>
                <w:szCs w:val="18"/>
              </w:rPr>
              <w:t>1 </w:t>
            </w:r>
          </w:p>
        </w:tc>
        <w:tc>
          <w:tcPr>
            <w:tcW w:w="1472" w:type="dxa"/>
            <w:vMerge w:val="restart"/>
            <w:hideMark/>
          </w:tcPr>
          <w:p w14:paraId="785E0E28" w14:textId="048B5360" w:rsidR="00D3664D" w:rsidRPr="00CD72B6" w:rsidRDefault="04D465B4" w:rsidP="3585F9A1">
            <w:pPr>
              <w:pBdr>
                <w:top w:val="single" w:sz="4" w:space="1" w:color="000000"/>
              </w:pBdr>
              <w:rPr>
                <w:lang w:val="en-US"/>
              </w:rPr>
            </w:pPr>
            <w:r w:rsidRPr="00857B81">
              <w:rPr>
                <w:sz w:val="18"/>
                <w:szCs w:val="18"/>
                <w:highlight w:val="yellow"/>
                <w:lang w:val="en-US"/>
              </w:rPr>
              <w:t xml:space="preserve">Risks linked to the broader context of fragility and security are mainly associated with compliance with the </w:t>
            </w:r>
            <w:r w:rsidRPr="00857B81">
              <w:rPr>
                <w:b/>
                <w:bCs/>
                <w:sz w:val="18"/>
                <w:szCs w:val="18"/>
                <w:highlight w:val="yellow"/>
                <w:lang w:val="en-US"/>
              </w:rPr>
              <w:t xml:space="preserve">fundamental and cross-cutting principles of sovereignty and </w:t>
            </w:r>
            <w:proofErr w:type="gramStart"/>
            <w:r w:rsidRPr="00857B81">
              <w:rPr>
                <w:b/>
                <w:bCs/>
                <w:sz w:val="18"/>
                <w:szCs w:val="18"/>
                <w:highlight w:val="yellow"/>
                <w:lang w:val="en-US"/>
              </w:rPr>
              <w:t>emergence</w:t>
            </w:r>
            <w:r w:rsidRPr="3585F9A1">
              <w:rPr>
                <w:sz w:val="18"/>
                <w:szCs w:val="18"/>
                <w:lang w:val="en-US"/>
              </w:rPr>
              <w:t xml:space="preserve"> .</w:t>
            </w:r>
            <w:proofErr w:type="gramEnd"/>
            <w:r w:rsidRPr="3585F9A1">
              <w:rPr>
                <w:sz w:val="18"/>
                <w:szCs w:val="18"/>
                <w:lang w:val="en-US"/>
              </w:rPr>
              <w:t xml:space="preserve"> </w:t>
            </w:r>
            <w:r w:rsidR="78BF8E7E" w:rsidRPr="3585F9A1">
              <w:rPr>
                <w:sz w:val="18"/>
                <w:szCs w:val="18"/>
                <w:lang w:val="en-US"/>
              </w:rPr>
              <w:t>d.</w:t>
            </w:r>
          </w:p>
          <w:p w14:paraId="169AF75C" w14:textId="1B765AC0" w:rsidR="00D3664D" w:rsidRPr="006F5E1D" w:rsidRDefault="4D99FA3E" w:rsidP="00857B81">
            <w:pPr>
              <w:spacing w:before="240" w:after="240"/>
              <w:rPr>
                <w:sz w:val="18"/>
                <w:szCs w:val="18"/>
                <w:lang w:val="en-US"/>
              </w:rPr>
            </w:pPr>
            <w:r w:rsidRPr="3585F9A1">
              <w:rPr>
                <w:sz w:val="18"/>
                <w:szCs w:val="18"/>
                <w:lang w:val="en-US"/>
              </w:rPr>
              <w:t xml:space="preserve">. </w:t>
            </w:r>
          </w:p>
          <w:p w14:paraId="526B1C17" w14:textId="700A4F7B" w:rsidR="00D3664D" w:rsidRPr="006F5E1D" w:rsidRDefault="00D3664D" w:rsidP="3585F9A1">
            <w:pPr>
              <w:pBdr>
                <w:top w:val="single" w:sz="4" w:space="1" w:color="000000"/>
              </w:pBdr>
              <w:rPr>
                <w:b/>
                <w:bCs/>
                <w:sz w:val="18"/>
                <w:szCs w:val="18"/>
                <w:lang w:val="en-US"/>
              </w:rPr>
            </w:pPr>
          </w:p>
        </w:tc>
        <w:tc>
          <w:tcPr>
            <w:tcW w:w="1412" w:type="dxa"/>
            <w:vMerge w:val="restart"/>
            <w:hideMark/>
          </w:tcPr>
          <w:p w14:paraId="72217784" w14:textId="56981812" w:rsidR="00D3664D" w:rsidRPr="006F5E1D" w:rsidRDefault="78BF8E7E" w:rsidP="3585F9A1">
            <w:pPr>
              <w:pBdr>
                <w:top w:val="single" w:sz="4" w:space="1" w:color="000000"/>
              </w:pBdr>
              <w:rPr>
                <w:sz w:val="18"/>
                <w:szCs w:val="18"/>
                <w:lang w:val="en-US"/>
              </w:rPr>
            </w:pPr>
            <w:r w:rsidRPr="3585F9A1">
              <w:rPr>
                <w:sz w:val="18"/>
                <w:szCs w:val="18"/>
                <w:lang w:val="en-US"/>
              </w:rPr>
              <w:t xml:space="preserve">Due to the isolated action taken in a verifiable manner by at least one member of the project development or implementation team, and likely not to respect the principles </w:t>
            </w:r>
            <w:r w:rsidR="55677B30" w:rsidRPr="3585F9A1">
              <w:rPr>
                <w:sz w:val="18"/>
                <w:szCs w:val="18"/>
                <w:lang w:val="en-US"/>
              </w:rPr>
              <w:t xml:space="preserve">of </w:t>
            </w:r>
            <w:proofErr w:type="spellStart"/>
            <w:r w:rsidR="55677B30" w:rsidRPr="3585F9A1">
              <w:rPr>
                <w:sz w:val="18"/>
                <w:szCs w:val="18"/>
                <w:lang w:val="en-US"/>
              </w:rPr>
              <w:t>Sovereignity</w:t>
            </w:r>
            <w:proofErr w:type="spellEnd"/>
          </w:p>
        </w:tc>
        <w:tc>
          <w:tcPr>
            <w:tcW w:w="1616" w:type="dxa"/>
            <w:vMerge w:val="restart"/>
            <w:hideMark/>
          </w:tcPr>
          <w:p w14:paraId="08F30901" w14:textId="77777777" w:rsidR="00D3664D" w:rsidRPr="006F5E1D" w:rsidRDefault="580A2AAB" w:rsidP="5D8904BE">
            <w:pPr>
              <w:pBdr>
                <w:top w:val="single" w:sz="4" w:space="1" w:color="000000"/>
              </w:pBdr>
              <w:rPr>
                <w:sz w:val="18"/>
                <w:szCs w:val="18"/>
                <w:lang w:val="en-US"/>
              </w:rPr>
            </w:pPr>
            <w:r w:rsidRPr="5D8904BE">
              <w:rPr>
                <w:sz w:val="18"/>
                <w:szCs w:val="18"/>
                <w:lang w:val="en-US"/>
              </w:rPr>
              <w:t>which will have an impact on the development or implementation of the project which may be delayed or deeply affected or stopped abruptly </w:t>
            </w:r>
          </w:p>
        </w:tc>
        <w:tc>
          <w:tcPr>
            <w:tcW w:w="1863" w:type="dxa"/>
            <w:vMerge w:val="restart"/>
            <w:hideMark/>
          </w:tcPr>
          <w:p w14:paraId="6EAD1D30" w14:textId="2B314EF3" w:rsidR="00D3664D" w:rsidRPr="006F5E1D" w:rsidRDefault="78BF8E7E" w:rsidP="3585F9A1">
            <w:pPr>
              <w:pBdr>
                <w:top w:val="single" w:sz="4" w:space="1" w:color="000000"/>
              </w:pBdr>
              <w:rPr>
                <w:sz w:val="18"/>
                <w:szCs w:val="18"/>
              </w:rPr>
            </w:pPr>
            <w:r w:rsidRPr="3585F9A1">
              <w:rPr>
                <w:i/>
                <w:iCs/>
                <w:sz w:val="18"/>
                <w:szCs w:val="18"/>
              </w:rPr>
              <w:t xml:space="preserve">Strategic </w:t>
            </w:r>
            <w:proofErr w:type="spellStart"/>
            <w:r w:rsidRPr="3585F9A1">
              <w:rPr>
                <w:i/>
                <w:iCs/>
                <w:sz w:val="18"/>
                <w:szCs w:val="18"/>
              </w:rPr>
              <w:t>Polical</w:t>
            </w:r>
            <w:proofErr w:type="spellEnd"/>
            <w:r w:rsidRPr="3585F9A1">
              <w:rPr>
                <w:sz w:val="18"/>
                <w:szCs w:val="18"/>
              </w:rPr>
              <w:t> </w:t>
            </w:r>
            <w:r w:rsidR="45F95CAB" w:rsidRPr="3585F9A1">
              <w:rPr>
                <w:sz w:val="18"/>
                <w:szCs w:val="18"/>
              </w:rPr>
              <w:t>/Security</w:t>
            </w:r>
          </w:p>
        </w:tc>
        <w:tc>
          <w:tcPr>
            <w:tcW w:w="1719" w:type="dxa"/>
            <w:vMerge w:val="restart"/>
            <w:hideMark/>
          </w:tcPr>
          <w:p w14:paraId="0245B2A0" w14:textId="3CCAF9F9" w:rsidR="00D3664D" w:rsidRPr="006F5E1D" w:rsidRDefault="78BF8E7E" w:rsidP="3585F9A1">
            <w:pPr>
              <w:pBdr>
                <w:top w:val="single" w:sz="4" w:space="1" w:color="000000"/>
              </w:pBdr>
              <w:rPr>
                <w:sz w:val="18"/>
                <w:szCs w:val="18"/>
                <w:lang w:val="en-US"/>
              </w:rPr>
            </w:pPr>
            <w:r w:rsidRPr="3585F9A1">
              <w:rPr>
                <w:sz w:val="18"/>
                <w:szCs w:val="18"/>
                <w:lang w:val="en-US"/>
              </w:rPr>
              <w:t>Likelihood: 3 </w:t>
            </w:r>
          </w:p>
          <w:p w14:paraId="46E26516" w14:textId="77777777" w:rsidR="00D3664D" w:rsidRPr="006F5E1D" w:rsidRDefault="580A2AAB" w:rsidP="5D8904BE">
            <w:pPr>
              <w:pBdr>
                <w:top w:val="single" w:sz="4" w:space="1" w:color="000000"/>
              </w:pBdr>
              <w:rPr>
                <w:sz w:val="18"/>
                <w:szCs w:val="18"/>
                <w:lang w:val="en-US"/>
              </w:rPr>
            </w:pPr>
            <w:r w:rsidRPr="5D8904BE">
              <w:rPr>
                <w:sz w:val="18"/>
                <w:szCs w:val="18"/>
                <w:lang w:val="en-US"/>
              </w:rPr>
              <w:t>Impact: 3 </w:t>
            </w:r>
          </w:p>
          <w:p w14:paraId="764CE956" w14:textId="77777777" w:rsidR="00D3664D" w:rsidRPr="006F5E1D" w:rsidRDefault="580A2AAB" w:rsidP="5D8904BE">
            <w:pPr>
              <w:pBdr>
                <w:top w:val="single" w:sz="4" w:space="1" w:color="000000"/>
              </w:pBdr>
              <w:rPr>
                <w:sz w:val="18"/>
                <w:szCs w:val="18"/>
                <w:lang w:val="en-US"/>
              </w:rPr>
            </w:pPr>
            <w:r w:rsidRPr="5D8904BE">
              <w:rPr>
                <w:sz w:val="18"/>
                <w:szCs w:val="18"/>
                <w:lang w:val="en-US"/>
              </w:rPr>
              <w:t>Risk level: Moderate  </w:t>
            </w:r>
          </w:p>
        </w:tc>
        <w:tc>
          <w:tcPr>
            <w:tcW w:w="1419" w:type="dxa"/>
            <w:vMerge w:val="restart"/>
            <w:hideMark/>
          </w:tcPr>
          <w:p w14:paraId="7FA0921B" w14:textId="77777777" w:rsidR="00D3664D" w:rsidRPr="006F5E1D" w:rsidRDefault="580A2AAB" w:rsidP="5D8904BE">
            <w:pPr>
              <w:pBdr>
                <w:top w:val="single" w:sz="4" w:space="1" w:color="000000"/>
              </w:pBdr>
              <w:rPr>
                <w:sz w:val="18"/>
                <w:szCs w:val="18"/>
                <w:lang w:val="en-US"/>
              </w:rPr>
            </w:pPr>
            <w:r w:rsidRPr="5D8904BE">
              <w:rPr>
                <w:sz w:val="18"/>
                <w:szCs w:val="18"/>
                <w:lang w:val="en-US"/>
              </w:rPr>
              <w:t>From: Project design (</w:t>
            </w:r>
            <w:proofErr w:type="spellStart"/>
            <w:r w:rsidRPr="5D8904BE">
              <w:rPr>
                <w:sz w:val="18"/>
                <w:szCs w:val="18"/>
                <w:lang w:val="en-US"/>
              </w:rPr>
              <w:t>february</w:t>
            </w:r>
            <w:proofErr w:type="spellEnd"/>
            <w:r w:rsidRPr="5D8904BE">
              <w:rPr>
                <w:sz w:val="18"/>
                <w:szCs w:val="18"/>
                <w:lang w:val="en-US"/>
              </w:rPr>
              <w:t>, 2025) </w:t>
            </w:r>
          </w:p>
          <w:p w14:paraId="4E121E67"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2825345B" w14:textId="1E6374B9" w:rsidR="00D3664D" w:rsidRPr="006F5E1D" w:rsidRDefault="580A2AAB" w:rsidP="5D8904BE">
            <w:pPr>
              <w:pBdr>
                <w:top w:val="single" w:sz="4" w:space="1" w:color="000000"/>
              </w:pBdr>
              <w:rPr>
                <w:sz w:val="18"/>
                <w:szCs w:val="18"/>
                <w:lang w:val="en-US"/>
              </w:rPr>
            </w:pPr>
            <w:r w:rsidRPr="5D8904BE">
              <w:rPr>
                <w:sz w:val="18"/>
                <w:szCs w:val="18"/>
                <w:lang w:val="en-US"/>
              </w:rPr>
              <w:t xml:space="preserve">To: end of implementation of </w:t>
            </w:r>
            <w:r w:rsidR="124D35CF" w:rsidRPr="5D8904BE">
              <w:rPr>
                <w:sz w:val="18"/>
                <w:szCs w:val="18"/>
                <w:u w:val="single"/>
                <w:lang w:val="en-US"/>
              </w:rPr>
              <w:t>IUDP</w:t>
            </w:r>
            <w:r w:rsidRPr="5D8904BE">
              <w:rPr>
                <w:sz w:val="18"/>
                <w:szCs w:val="18"/>
                <w:lang w:val="en-US"/>
              </w:rPr>
              <w:t>-Bamako for 5 years (2032-2033) </w:t>
            </w:r>
          </w:p>
          <w:p w14:paraId="36563FDB"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tc>
        <w:tc>
          <w:tcPr>
            <w:tcW w:w="1071" w:type="dxa"/>
            <w:vMerge w:val="restart"/>
            <w:hideMark/>
          </w:tcPr>
          <w:p w14:paraId="25DC8243" w14:textId="77777777" w:rsidR="00D3664D" w:rsidRPr="006F5E1D" w:rsidRDefault="580A2AAB" w:rsidP="5D8904BE">
            <w:pPr>
              <w:pBdr>
                <w:top w:val="single" w:sz="4" w:space="1" w:color="000000"/>
              </w:pBdr>
              <w:rPr>
                <w:sz w:val="18"/>
                <w:szCs w:val="18"/>
                <w:lang w:val="en-US"/>
              </w:rPr>
            </w:pPr>
            <w:r w:rsidRPr="5D8904BE">
              <w:rPr>
                <w:sz w:val="18"/>
                <w:szCs w:val="18"/>
                <w:lang w:val="en-US"/>
              </w:rPr>
              <w:t>UNDP Resident Representative or Project Manager </w:t>
            </w:r>
          </w:p>
        </w:tc>
        <w:tc>
          <w:tcPr>
            <w:tcW w:w="3067" w:type="dxa"/>
            <w:hideMark/>
          </w:tcPr>
          <w:p w14:paraId="6E081467" w14:textId="3E123348" w:rsidR="00D3664D" w:rsidRPr="006F5E1D" w:rsidRDefault="78BF8E7E" w:rsidP="3585F9A1">
            <w:pPr>
              <w:pBdr>
                <w:top w:val="single" w:sz="4" w:space="1" w:color="000000"/>
              </w:pBdr>
              <w:rPr>
                <w:sz w:val="18"/>
                <w:szCs w:val="18"/>
                <w:lang w:val="en-US"/>
              </w:rPr>
            </w:pPr>
            <w:r w:rsidRPr="3585F9A1">
              <w:rPr>
                <w:sz w:val="18"/>
                <w:szCs w:val="18"/>
                <w:lang w:val="en-US"/>
              </w:rPr>
              <w:t>UNDP to confirm compliance with the cross-cutting principles of governance through verbal note to the government of the country to confirm</w:t>
            </w:r>
          </w:p>
          <w:p w14:paraId="177E05AE" w14:textId="78E966AC" w:rsidR="00D3664D" w:rsidRPr="006F5E1D" w:rsidRDefault="78BF8E7E" w:rsidP="3585F9A1">
            <w:pPr>
              <w:pBdr>
                <w:top w:val="single" w:sz="4" w:space="1" w:color="000000"/>
              </w:pBdr>
              <w:rPr>
                <w:sz w:val="18"/>
                <w:szCs w:val="18"/>
                <w:lang w:val="en-US"/>
              </w:rPr>
            </w:pPr>
            <w:r w:rsidRPr="3585F9A1">
              <w:rPr>
                <w:sz w:val="18"/>
                <w:szCs w:val="18"/>
                <w:lang w:val="en-US"/>
              </w:rPr>
              <w:t xml:space="preserve"> Risk Treatment Owner</w:t>
            </w:r>
            <w:r w:rsidR="14E46EF3" w:rsidRPr="3585F9A1">
              <w:rPr>
                <w:sz w:val="18"/>
                <w:szCs w:val="18"/>
                <w:lang w:val="en-US"/>
              </w:rPr>
              <w:t xml:space="preserve"> 1.1</w:t>
            </w:r>
            <w:r w:rsidRPr="3585F9A1">
              <w:rPr>
                <w:sz w:val="18"/>
                <w:szCs w:val="18"/>
                <w:lang w:val="en-US"/>
              </w:rPr>
              <w:t>: UNDP Resident Representative </w:t>
            </w:r>
            <w:r w:rsidR="7A8CCBDF" w:rsidRPr="3585F9A1">
              <w:rPr>
                <w:sz w:val="18"/>
                <w:szCs w:val="18"/>
                <w:lang w:val="en-US"/>
              </w:rPr>
              <w:t>and Project Manager</w:t>
            </w:r>
          </w:p>
        </w:tc>
      </w:tr>
      <w:tr w:rsidR="00D3664D" w:rsidRPr="001E7173" w14:paraId="63B2A466" w14:textId="77777777" w:rsidTr="00857B81">
        <w:trPr>
          <w:trHeight w:val="300"/>
          <w:jc w:val="center"/>
        </w:trPr>
        <w:tc>
          <w:tcPr>
            <w:tcW w:w="353" w:type="dxa"/>
            <w:vMerge/>
            <w:vAlign w:val="center"/>
            <w:hideMark/>
          </w:tcPr>
          <w:p w14:paraId="25AB703C" w14:textId="77777777" w:rsidR="00D3664D" w:rsidRPr="006F5E1D" w:rsidRDefault="00D3664D" w:rsidP="00D3664D">
            <w:pPr>
              <w:pBdr>
                <w:top w:val="single" w:sz="4" w:space="1" w:color="000000"/>
              </w:pBdr>
              <w:rPr>
                <w:sz w:val="18"/>
                <w:szCs w:val="18"/>
                <w:lang w:val="en-US"/>
              </w:rPr>
            </w:pPr>
          </w:p>
        </w:tc>
        <w:tc>
          <w:tcPr>
            <w:tcW w:w="1472" w:type="dxa"/>
            <w:vMerge/>
            <w:vAlign w:val="center"/>
            <w:hideMark/>
          </w:tcPr>
          <w:p w14:paraId="3CFD66BE" w14:textId="77777777" w:rsidR="00D3664D" w:rsidRPr="006F5E1D" w:rsidRDefault="00D3664D" w:rsidP="00D3664D">
            <w:pPr>
              <w:pBdr>
                <w:top w:val="single" w:sz="4" w:space="1" w:color="000000"/>
              </w:pBdr>
              <w:rPr>
                <w:sz w:val="18"/>
                <w:szCs w:val="18"/>
                <w:lang w:val="en-US"/>
              </w:rPr>
            </w:pPr>
          </w:p>
        </w:tc>
        <w:tc>
          <w:tcPr>
            <w:tcW w:w="1412" w:type="dxa"/>
            <w:vMerge/>
            <w:vAlign w:val="center"/>
            <w:hideMark/>
          </w:tcPr>
          <w:p w14:paraId="605B62A9" w14:textId="77777777" w:rsidR="00D3664D" w:rsidRPr="006F5E1D" w:rsidRDefault="00D3664D" w:rsidP="00D3664D">
            <w:pPr>
              <w:pBdr>
                <w:top w:val="single" w:sz="4" w:space="1" w:color="000000"/>
              </w:pBdr>
              <w:rPr>
                <w:sz w:val="18"/>
                <w:szCs w:val="18"/>
                <w:lang w:val="en-US"/>
              </w:rPr>
            </w:pPr>
          </w:p>
        </w:tc>
        <w:tc>
          <w:tcPr>
            <w:tcW w:w="1616" w:type="dxa"/>
            <w:vMerge/>
            <w:vAlign w:val="center"/>
            <w:hideMark/>
          </w:tcPr>
          <w:p w14:paraId="2CE4CCDB" w14:textId="77777777" w:rsidR="00D3664D" w:rsidRPr="006F5E1D" w:rsidRDefault="00D3664D" w:rsidP="00D3664D">
            <w:pPr>
              <w:pBdr>
                <w:top w:val="single" w:sz="4" w:space="1" w:color="000000"/>
              </w:pBdr>
              <w:rPr>
                <w:sz w:val="18"/>
                <w:szCs w:val="18"/>
                <w:lang w:val="en-US"/>
              </w:rPr>
            </w:pPr>
          </w:p>
        </w:tc>
        <w:tc>
          <w:tcPr>
            <w:tcW w:w="1863" w:type="dxa"/>
            <w:vMerge/>
            <w:vAlign w:val="center"/>
            <w:hideMark/>
          </w:tcPr>
          <w:p w14:paraId="6093B0C5" w14:textId="77777777" w:rsidR="00D3664D" w:rsidRPr="006F5E1D" w:rsidRDefault="00D3664D" w:rsidP="00D3664D">
            <w:pPr>
              <w:pBdr>
                <w:top w:val="single" w:sz="4" w:space="1" w:color="000000"/>
              </w:pBdr>
              <w:rPr>
                <w:sz w:val="18"/>
                <w:szCs w:val="18"/>
                <w:lang w:val="en-US"/>
              </w:rPr>
            </w:pPr>
          </w:p>
        </w:tc>
        <w:tc>
          <w:tcPr>
            <w:tcW w:w="1719" w:type="dxa"/>
            <w:vMerge/>
            <w:vAlign w:val="center"/>
            <w:hideMark/>
          </w:tcPr>
          <w:p w14:paraId="1CF14CC9" w14:textId="77777777" w:rsidR="00D3664D" w:rsidRPr="006F5E1D" w:rsidRDefault="00D3664D" w:rsidP="00D3664D">
            <w:pPr>
              <w:pBdr>
                <w:top w:val="single" w:sz="4" w:space="1" w:color="000000"/>
              </w:pBdr>
              <w:rPr>
                <w:sz w:val="18"/>
                <w:szCs w:val="18"/>
                <w:lang w:val="en-US"/>
              </w:rPr>
            </w:pPr>
          </w:p>
        </w:tc>
        <w:tc>
          <w:tcPr>
            <w:tcW w:w="1419" w:type="dxa"/>
            <w:vMerge/>
            <w:vAlign w:val="center"/>
            <w:hideMark/>
          </w:tcPr>
          <w:p w14:paraId="701B7EFA" w14:textId="77777777" w:rsidR="00D3664D" w:rsidRPr="006F5E1D" w:rsidRDefault="00D3664D" w:rsidP="00D3664D">
            <w:pPr>
              <w:pBdr>
                <w:top w:val="single" w:sz="4" w:space="1" w:color="000000"/>
              </w:pBdr>
              <w:rPr>
                <w:sz w:val="18"/>
                <w:szCs w:val="18"/>
                <w:lang w:val="en-US"/>
              </w:rPr>
            </w:pPr>
          </w:p>
        </w:tc>
        <w:tc>
          <w:tcPr>
            <w:tcW w:w="1071" w:type="dxa"/>
            <w:vMerge/>
            <w:vAlign w:val="center"/>
            <w:hideMark/>
          </w:tcPr>
          <w:p w14:paraId="69E3335B" w14:textId="77777777" w:rsidR="00D3664D" w:rsidRPr="006F5E1D" w:rsidRDefault="00D3664D" w:rsidP="00D3664D">
            <w:pPr>
              <w:pBdr>
                <w:top w:val="single" w:sz="4" w:space="1" w:color="000000"/>
              </w:pBdr>
              <w:rPr>
                <w:sz w:val="18"/>
                <w:szCs w:val="18"/>
                <w:lang w:val="en-US"/>
              </w:rPr>
            </w:pPr>
          </w:p>
        </w:tc>
        <w:tc>
          <w:tcPr>
            <w:tcW w:w="3067" w:type="dxa"/>
            <w:hideMark/>
          </w:tcPr>
          <w:p w14:paraId="019DAB21" w14:textId="738A5749" w:rsidR="00D3664D" w:rsidRPr="00857B81" w:rsidRDefault="78BF8E7E" w:rsidP="3585F9A1">
            <w:pPr>
              <w:spacing w:before="240" w:after="240"/>
              <w:rPr>
                <w:sz w:val="18"/>
                <w:szCs w:val="18"/>
                <w:highlight w:val="yellow"/>
                <w:lang w:val="en-US"/>
              </w:rPr>
            </w:pPr>
            <w:r w:rsidRPr="00857B81">
              <w:rPr>
                <w:sz w:val="18"/>
                <w:szCs w:val="18"/>
                <w:highlight w:val="yellow"/>
                <w:lang w:val="en-US"/>
              </w:rPr>
              <w:t>Risk Treatment 1.</w:t>
            </w:r>
            <w:r w:rsidR="1E30BB70" w:rsidRPr="00857B81">
              <w:rPr>
                <w:sz w:val="18"/>
                <w:szCs w:val="18"/>
                <w:highlight w:val="yellow"/>
                <w:lang w:val="en-US"/>
              </w:rPr>
              <w:t>2 To mitigate risk of Fragility and Security, the IUDP emphasizes:</w:t>
            </w:r>
          </w:p>
          <w:p w14:paraId="4BAA9367" w14:textId="4FDA8C28" w:rsidR="00D3664D" w:rsidRPr="00857B81" w:rsidRDefault="1E30BB70" w:rsidP="3585F9A1">
            <w:pPr>
              <w:pStyle w:val="Paragraphedeliste"/>
              <w:numPr>
                <w:ilvl w:val="0"/>
                <w:numId w:val="3"/>
              </w:numPr>
              <w:spacing w:before="240" w:after="240"/>
              <w:rPr>
                <w:sz w:val="18"/>
                <w:szCs w:val="18"/>
                <w:highlight w:val="yellow"/>
                <w:lang w:val="en-US"/>
              </w:rPr>
            </w:pPr>
            <w:r w:rsidRPr="00857B81">
              <w:rPr>
                <w:sz w:val="18"/>
                <w:szCs w:val="18"/>
                <w:highlight w:val="yellow"/>
                <w:lang w:val="en-US"/>
              </w:rPr>
              <w:t>strict adherence to national sovereignty principles by UNDP and international partners,</w:t>
            </w:r>
          </w:p>
          <w:p w14:paraId="7FEEF7AD" w14:textId="25C44B9C" w:rsidR="00D3664D" w:rsidRPr="00857B81" w:rsidRDefault="1E30BB70" w:rsidP="3585F9A1">
            <w:pPr>
              <w:pStyle w:val="Paragraphedeliste"/>
              <w:numPr>
                <w:ilvl w:val="0"/>
                <w:numId w:val="3"/>
              </w:numPr>
              <w:spacing w:before="240" w:after="240"/>
              <w:rPr>
                <w:sz w:val="18"/>
                <w:szCs w:val="18"/>
                <w:highlight w:val="yellow"/>
                <w:lang w:val="en-US"/>
              </w:rPr>
            </w:pPr>
            <w:r w:rsidRPr="00857B81">
              <w:rPr>
                <w:sz w:val="18"/>
                <w:szCs w:val="18"/>
                <w:highlight w:val="yellow"/>
                <w:lang w:val="en-US"/>
              </w:rPr>
              <w:t>continuous monitoring of the security situation in collaboration with the Department of Safety and Security (UNDSS), and</w:t>
            </w:r>
          </w:p>
          <w:p w14:paraId="09757786" w14:textId="62C22061" w:rsidR="00D3664D" w:rsidRPr="00857B81" w:rsidRDefault="1E30BB70" w:rsidP="3585F9A1">
            <w:pPr>
              <w:pStyle w:val="Paragraphedeliste"/>
              <w:numPr>
                <w:ilvl w:val="0"/>
                <w:numId w:val="3"/>
              </w:numPr>
              <w:spacing w:before="240" w:after="240"/>
              <w:rPr>
                <w:sz w:val="18"/>
                <w:szCs w:val="18"/>
                <w:highlight w:val="yellow"/>
                <w:lang w:val="en-US"/>
              </w:rPr>
            </w:pPr>
            <w:r w:rsidRPr="00857B81">
              <w:rPr>
                <w:sz w:val="18"/>
                <w:szCs w:val="18"/>
                <w:highlight w:val="yellow"/>
                <w:lang w:val="en-US"/>
              </w:rPr>
              <w:lastRenderedPageBreak/>
              <w:t>adaptive management measures to ensure smooth project implementation.</w:t>
            </w:r>
          </w:p>
          <w:p w14:paraId="539AC56B" w14:textId="3D750E1D" w:rsidR="00D3664D" w:rsidRPr="006F5E1D" w:rsidRDefault="00D3664D" w:rsidP="00857B81">
            <w:pPr>
              <w:pStyle w:val="Titre3"/>
              <w:spacing w:before="281" w:after="281"/>
              <w:rPr>
                <w:b/>
                <w:bCs/>
                <w:sz w:val="18"/>
                <w:szCs w:val="18"/>
                <w:lang w:val="en-US"/>
              </w:rPr>
            </w:pPr>
          </w:p>
          <w:p w14:paraId="4C3611AF" w14:textId="71A546FB" w:rsidR="00D3664D" w:rsidRPr="006F5E1D" w:rsidRDefault="78BF8E7E" w:rsidP="3585F9A1">
            <w:pPr>
              <w:pBdr>
                <w:top w:val="single" w:sz="4" w:space="1" w:color="000000"/>
              </w:pBdr>
              <w:rPr>
                <w:sz w:val="18"/>
                <w:szCs w:val="18"/>
                <w:lang w:val="en-US"/>
              </w:rPr>
            </w:pPr>
            <w:r w:rsidRPr="3585F9A1">
              <w:rPr>
                <w:sz w:val="18"/>
                <w:szCs w:val="18"/>
                <w:lang w:val="en-US"/>
              </w:rPr>
              <w:t>3:</w:t>
            </w:r>
          </w:p>
          <w:p w14:paraId="5151486E"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36548658" w14:textId="77777777" w:rsidR="00D3664D" w:rsidRPr="006F5E1D" w:rsidRDefault="580A2AAB" w:rsidP="5D8904BE">
            <w:pPr>
              <w:pBdr>
                <w:top w:val="single" w:sz="4" w:space="1" w:color="000000"/>
              </w:pBdr>
              <w:rPr>
                <w:sz w:val="18"/>
                <w:szCs w:val="18"/>
                <w:lang w:val="en-US"/>
              </w:rPr>
            </w:pPr>
            <w:r w:rsidRPr="5D8904BE">
              <w:rPr>
                <w:sz w:val="18"/>
                <w:szCs w:val="18"/>
                <w:lang w:val="en-US"/>
              </w:rPr>
              <w:t>Risk Treatment Owner: … </w:t>
            </w:r>
          </w:p>
        </w:tc>
      </w:tr>
      <w:tr w:rsidR="00D3664D" w:rsidRPr="006F649A" w14:paraId="11DBFF6B" w14:textId="77777777" w:rsidTr="00857B81">
        <w:trPr>
          <w:trHeight w:val="300"/>
          <w:jc w:val="center"/>
        </w:trPr>
        <w:tc>
          <w:tcPr>
            <w:tcW w:w="353" w:type="dxa"/>
            <w:vMerge w:val="restart"/>
            <w:hideMark/>
          </w:tcPr>
          <w:p w14:paraId="5759D35E" w14:textId="77777777" w:rsidR="00D3664D" w:rsidRPr="006F5E1D" w:rsidRDefault="580A2AAB" w:rsidP="5D8904BE">
            <w:pPr>
              <w:pBdr>
                <w:top w:val="single" w:sz="4" w:space="1" w:color="000000"/>
              </w:pBdr>
              <w:rPr>
                <w:sz w:val="18"/>
                <w:szCs w:val="18"/>
              </w:rPr>
            </w:pPr>
            <w:r w:rsidRPr="5D8904BE">
              <w:rPr>
                <w:sz w:val="18"/>
                <w:szCs w:val="18"/>
              </w:rPr>
              <w:lastRenderedPageBreak/>
              <w:t>2 </w:t>
            </w:r>
          </w:p>
        </w:tc>
        <w:tc>
          <w:tcPr>
            <w:tcW w:w="1472" w:type="dxa"/>
            <w:vMerge w:val="restart"/>
            <w:hideMark/>
          </w:tcPr>
          <w:p w14:paraId="2C0E8FB9" w14:textId="77777777" w:rsidR="00D3664D" w:rsidRPr="006F5E1D" w:rsidRDefault="580A2AAB" w:rsidP="5D8904BE">
            <w:pPr>
              <w:pBdr>
                <w:top w:val="single" w:sz="4" w:space="1" w:color="000000"/>
              </w:pBdr>
              <w:rPr>
                <w:sz w:val="18"/>
                <w:szCs w:val="18"/>
                <w:lang w:val="en-US"/>
              </w:rPr>
            </w:pPr>
            <w:r w:rsidRPr="5D8904BE">
              <w:rPr>
                <w:sz w:val="18"/>
                <w:szCs w:val="18"/>
                <w:lang w:val="en-US"/>
              </w:rPr>
              <w:t xml:space="preserve">There is a risk that PRUBA could again be deeply restructured along with its activities and </w:t>
            </w:r>
            <w:proofErr w:type="gramStart"/>
            <w:r w:rsidRPr="5D8904BE">
              <w:rPr>
                <w:sz w:val="18"/>
                <w:szCs w:val="18"/>
                <w:lang w:val="en-US"/>
              </w:rPr>
              <w:t>resources .</w:t>
            </w:r>
            <w:proofErr w:type="gramEnd"/>
            <w:r w:rsidRPr="5D8904BE">
              <w:rPr>
                <w:sz w:val="18"/>
                <w:szCs w:val="18"/>
                <w:lang w:val="en-US"/>
              </w:rPr>
              <w:t> </w:t>
            </w:r>
          </w:p>
        </w:tc>
        <w:tc>
          <w:tcPr>
            <w:tcW w:w="1412" w:type="dxa"/>
            <w:vMerge w:val="restart"/>
            <w:hideMark/>
          </w:tcPr>
          <w:p w14:paraId="45AC6620" w14:textId="77777777" w:rsidR="00D3664D" w:rsidRPr="006F5E1D" w:rsidRDefault="580A2AAB" w:rsidP="5D8904BE">
            <w:pPr>
              <w:pBdr>
                <w:top w:val="single" w:sz="4" w:space="1" w:color="000000"/>
              </w:pBdr>
              <w:rPr>
                <w:sz w:val="18"/>
                <w:szCs w:val="18"/>
                <w:lang w:val="en-US"/>
              </w:rPr>
            </w:pPr>
            <w:r w:rsidRPr="5D8904BE">
              <w:rPr>
                <w:sz w:val="18"/>
                <w:szCs w:val="18"/>
                <w:lang w:val="en-US"/>
              </w:rPr>
              <w:t xml:space="preserve">Due to the emergencies formulated by the Government of Mali and its insufficient financial resources to ensure resettlement plans within the framework of environmental and social safeguards linked to the achievements </w:t>
            </w:r>
            <w:r w:rsidRPr="5D8904BE">
              <w:rPr>
                <w:sz w:val="18"/>
                <w:szCs w:val="18"/>
                <w:lang w:val="en-US"/>
              </w:rPr>
              <w:lastRenderedPageBreak/>
              <w:t>already made by PRUBA </w:t>
            </w:r>
          </w:p>
        </w:tc>
        <w:tc>
          <w:tcPr>
            <w:tcW w:w="1616" w:type="dxa"/>
            <w:vMerge w:val="restart"/>
            <w:hideMark/>
          </w:tcPr>
          <w:p w14:paraId="01D6C321" w14:textId="77777777" w:rsidR="00D3664D" w:rsidRPr="006F5E1D" w:rsidRDefault="580A2AAB" w:rsidP="5D8904BE">
            <w:pPr>
              <w:pBdr>
                <w:top w:val="single" w:sz="4" w:space="1" w:color="000000"/>
              </w:pBdr>
              <w:rPr>
                <w:sz w:val="18"/>
                <w:szCs w:val="18"/>
                <w:lang w:val="en-US"/>
              </w:rPr>
            </w:pPr>
            <w:r w:rsidRPr="5D8904BE">
              <w:rPr>
                <w:sz w:val="18"/>
                <w:szCs w:val="18"/>
                <w:lang w:val="en-US"/>
              </w:rPr>
              <w:lastRenderedPageBreak/>
              <w:t xml:space="preserve">which will have an impact on the reduction of initial synergy capacities and capitalization potential </w:t>
            </w:r>
            <w:proofErr w:type="gramStart"/>
            <w:r w:rsidRPr="5D8904BE">
              <w:rPr>
                <w:sz w:val="18"/>
                <w:szCs w:val="18"/>
                <w:lang w:val="en-US"/>
              </w:rPr>
              <w:t>in particular with</w:t>
            </w:r>
            <w:proofErr w:type="gramEnd"/>
            <w:r w:rsidRPr="5D8904BE">
              <w:rPr>
                <w:sz w:val="18"/>
                <w:szCs w:val="18"/>
                <w:lang w:val="en-US"/>
              </w:rPr>
              <w:t xml:space="preserve"> the IUDP in-Bamako </w:t>
            </w:r>
          </w:p>
        </w:tc>
        <w:tc>
          <w:tcPr>
            <w:tcW w:w="1863" w:type="dxa"/>
            <w:vMerge w:val="restart"/>
            <w:hideMark/>
          </w:tcPr>
          <w:p w14:paraId="270872E0" w14:textId="77777777" w:rsidR="00D3664D" w:rsidRPr="006F5E1D" w:rsidRDefault="580A2AAB" w:rsidP="5D8904BE">
            <w:pPr>
              <w:pBdr>
                <w:top w:val="single" w:sz="4" w:space="1" w:color="000000"/>
              </w:pBdr>
              <w:rPr>
                <w:sz w:val="18"/>
                <w:szCs w:val="18"/>
              </w:rPr>
            </w:pPr>
            <w:r w:rsidRPr="5D8904BE">
              <w:rPr>
                <w:sz w:val="18"/>
                <w:szCs w:val="18"/>
              </w:rPr>
              <w:t>Strategic    </w:t>
            </w:r>
          </w:p>
          <w:p w14:paraId="0A2BC376" w14:textId="77777777" w:rsidR="00D3664D" w:rsidRPr="006F5E1D" w:rsidRDefault="580A2AAB" w:rsidP="5D8904BE">
            <w:pPr>
              <w:pBdr>
                <w:top w:val="single" w:sz="4" w:space="1" w:color="000000"/>
              </w:pBdr>
              <w:rPr>
                <w:sz w:val="18"/>
                <w:szCs w:val="18"/>
              </w:rPr>
            </w:pPr>
            <w:proofErr w:type="spellStart"/>
            <w:r w:rsidRPr="5D8904BE">
              <w:rPr>
                <w:sz w:val="18"/>
                <w:szCs w:val="18"/>
              </w:rPr>
              <w:t>Political</w:t>
            </w:r>
            <w:proofErr w:type="spellEnd"/>
            <w:r w:rsidRPr="5D8904BE">
              <w:rPr>
                <w:sz w:val="18"/>
                <w:szCs w:val="18"/>
              </w:rPr>
              <w:t>/</w:t>
            </w:r>
            <w:proofErr w:type="spellStart"/>
            <w:r w:rsidRPr="5D8904BE">
              <w:rPr>
                <w:sz w:val="18"/>
                <w:szCs w:val="18"/>
              </w:rPr>
              <w:t>Institutional</w:t>
            </w:r>
            <w:proofErr w:type="spellEnd"/>
            <w:r w:rsidRPr="5D8904BE">
              <w:rPr>
                <w:sz w:val="18"/>
                <w:szCs w:val="18"/>
              </w:rPr>
              <w:t> </w:t>
            </w:r>
          </w:p>
          <w:p w14:paraId="4BF6464E" w14:textId="77777777" w:rsidR="00D3664D" w:rsidRPr="006F5E1D" w:rsidRDefault="580A2AAB" w:rsidP="5D8904BE">
            <w:pPr>
              <w:pBdr>
                <w:top w:val="single" w:sz="4" w:space="1" w:color="000000"/>
              </w:pBdr>
              <w:rPr>
                <w:sz w:val="18"/>
                <w:szCs w:val="18"/>
              </w:rPr>
            </w:pPr>
            <w:r w:rsidRPr="5D8904BE">
              <w:rPr>
                <w:sz w:val="18"/>
                <w:szCs w:val="18"/>
              </w:rPr>
              <w:t> </w:t>
            </w:r>
          </w:p>
        </w:tc>
        <w:tc>
          <w:tcPr>
            <w:tcW w:w="1719" w:type="dxa"/>
            <w:vMerge w:val="restart"/>
            <w:hideMark/>
          </w:tcPr>
          <w:p w14:paraId="41F40044" w14:textId="77777777" w:rsidR="00D3664D" w:rsidRPr="006F5E1D" w:rsidRDefault="580A2AAB" w:rsidP="5D8904BE">
            <w:pPr>
              <w:pBdr>
                <w:top w:val="single" w:sz="4" w:space="1" w:color="000000"/>
              </w:pBdr>
              <w:rPr>
                <w:sz w:val="18"/>
                <w:szCs w:val="18"/>
                <w:lang w:val="en-US"/>
              </w:rPr>
            </w:pPr>
            <w:r w:rsidRPr="5D8904BE">
              <w:rPr>
                <w:sz w:val="18"/>
                <w:szCs w:val="18"/>
                <w:lang w:val="en-US"/>
              </w:rPr>
              <w:t>Likelihood:  2 </w:t>
            </w:r>
          </w:p>
          <w:p w14:paraId="48BB1A0D" w14:textId="77777777" w:rsidR="00D3664D" w:rsidRPr="006F5E1D" w:rsidRDefault="580A2AAB" w:rsidP="5D8904BE">
            <w:pPr>
              <w:pBdr>
                <w:top w:val="single" w:sz="4" w:space="1" w:color="000000"/>
              </w:pBdr>
              <w:rPr>
                <w:sz w:val="18"/>
                <w:szCs w:val="18"/>
                <w:lang w:val="en-US"/>
              </w:rPr>
            </w:pPr>
            <w:r w:rsidRPr="5D8904BE">
              <w:rPr>
                <w:sz w:val="18"/>
                <w:szCs w:val="18"/>
                <w:lang w:val="en-US"/>
              </w:rPr>
              <w:t>Impact: 3 </w:t>
            </w:r>
          </w:p>
          <w:p w14:paraId="4CE34D66" w14:textId="77777777" w:rsidR="00D3664D" w:rsidRPr="006F5E1D" w:rsidRDefault="580A2AAB" w:rsidP="5D8904BE">
            <w:pPr>
              <w:pBdr>
                <w:top w:val="single" w:sz="4" w:space="1" w:color="000000"/>
              </w:pBdr>
              <w:rPr>
                <w:sz w:val="18"/>
                <w:szCs w:val="18"/>
                <w:lang w:val="en-US"/>
              </w:rPr>
            </w:pPr>
            <w:r w:rsidRPr="5D8904BE">
              <w:rPr>
                <w:sz w:val="18"/>
                <w:szCs w:val="18"/>
                <w:lang w:val="en-US"/>
              </w:rPr>
              <w:t>Risk level: Moderate </w:t>
            </w:r>
          </w:p>
        </w:tc>
        <w:tc>
          <w:tcPr>
            <w:tcW w:w="1419" w:type="dxa"/>
            <w:vMerge w:val="restart"/>
            <w:hideMark/>
          </w:tcPr>
          <w:p w14:paraId="471D1261" w14:textId="77777777" w:rsidR="00D3664D" w:rsidRPr="006F5E1D" w:rsidRDefault="580A2AAB" w:rsidP="5D8904BE">
            <w:pPr>
              <w:pBdr>
                <w:top w:val="single" w:sz="4" w:space="1" w:color="000000"/>
              </w:pBdr>
              <w:rPr>
                <w:sz w:val="18"/>
                <w:szCs w:val="18"/>
                <w:lang w:val="en-US"/>
              </w:rPr>
            </w:pPr>
            <w:r w:rsidRPr="5D8904BE">
              <w:rPr>
                <w:sz w:val="18"/>
                <w:szCs w:val="18"/>
                <w:lang w:val="en-US"/>
              </w:rPr>
              <w:t>From: Project design (</w:t>
            </w:r>
            <w:proofErr w:type="spellStart"/>
            <w:r w:rsidRPr="5D8904BE">
              <w:rPr>
                <w:sz w:val="18"/>
                <w:szCs w:val="18"/>
                <w:lang w:val="en-US"/>
              </w:rPr>
              <w:t>february</w:t>
            </w:r>
            <w:proofErr w:type="spellEnd"/>
            <w:r w:rsidRPr="5D8904BE">
              <w:rPr>
                <w:sz w:val="18"/>
                <w:szCs w:val="18"/>
                <w:lang w:val="en-US"/>
              </w:rPr>
              <w:t>, 2025) </w:t>
            </w:r>
          </w:p>
          <w:p w14:paraId="4156E24A"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3D33FC90" w14:textId="37E4306C" w:rsidR="00D3664D" w:rsidRPr="006F5E1D" w:rsidRDefault="580A2AAB" w:rsidP="5D8904BE">
            <w:pPr>
              <w:pBdr>
                <w:top w:val="single" w:sz="4" w:space="1" w:color="000000"/>
              </w:pBdr>
              <w:rPr>
                <w:sz w:val="18"/>
                <w:szCs w:val="18"/>
                <w:lang w:val="en-US"/>
              </w:rPr>
            </w:pPr>
            <w:r w:rsidRPr="5D8904BE">
              <w:rPr>
                <w:sz w:val="18"/>
                <w:szCs w:val="18"/>
                <w:lang w:val="en-US"/>
              </w:rPr>
              <w:t xml:space="preserve">To: end of implementation of </w:t>
            </w:r>
            <w:r w:rsidR="124D35CF" w:rsidRPr="5D8904BE">
              <w:rPr>
                <w:sz w:val="18"/>
                <w:szCs w:val="18"/>
                <w:lang w:val="en-US"/>
              </w:rPr>
              <w:t>IUDP</w:t>
            </w:r>
            <w:r w:rsidRPr="5D8904BE">
              <w:rPr>
                <w:sz w:val="18"/>
                <w:szCs w:val="18"/>
                <w:lang w:val="en-US"/>
              </w:rPr>
              <w:t>-Bamako for 5 years (2032-2033) </w:t>
            </w:r>
          </w:p>
          <w:p w14:paraId="0E6CE553"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tc>
        <w:tc>
          <w:tcPr>
            <w:tcW w:w="1071" w:type="dxa"/>
            <w:vMerge w:val="restart"/>
            <w:hideMark/>
          </w:tcPr>
          <w:p w14:paraId="02A65FCC" w14:textId="1D9F82AC" w:rsidR="00D3664D" w:rsidRPr="006F5E1D" w:rsidRDefault="580A2AAB" w:rsidP="5D8904BE">
            <w:pPr>
              <w:pBdr>
                <w:top w:val="single" w:sz="4" w:space="1" w:color="000000"/>
              </w:pBdr>
              <w:rPr>
                <w:sz w:val="18"/>
                <w:szCs w:val="18"/>
                <w:lang w:val="en-US"/>
              </w:rPr>
            </w:pPr>
            <w:r w:rsidRPr="5D8904BE">
              <w:rPr>
                <w:i/>
                <w:iCs/>
                <w:sz w:val="18"/>
                <w:szCs w:val="18"/>
                <w:lang w:val="en-US"/>
              </w:rPr>
              <w:t xml:space="preserve"> the </w:t>
            </w:r>
            <w:r w:rsidR="2795E525" w:rsidRPr="5D8904BE">
              <w:rPr>
                <w:i/>
                <w:iCs/>
                <w:sz w:val="18"/>
                <w:szCs w:val="18"/>
                <w:lang w:val="en-US"/>
              </w:rPr>
              <w:t>IUDP</w:t>
            </w:r>
            <w:r w:rsidR="05235FBF" w:rsidRPr="5D8904BE">
              <w:rPr>
                <w:i/>
                <w:iCs/>
                <w:sz w:val="18"/>
                <w:szCs w:val="18"/>
                <w:lang w:val="en-US"/>
              </w:rPr>
              <w:t xml:space="preserve"> in</w:t>
            </w:r>
            <w:r w:rsidRPr="5D8904BE">
              <w:rPr>
                <w:i/>
                <w:iCs/>
                <w:sz w:val="18"/>
                <w:szCs w:val="18"/>
                <w:lang w:val="en-US"/>
              </w:rPr>
              <w:t>-Bamako Project Manager</w:t>
            </w:r>
            <w:r w:rsidRPr="5D8904BE">
              <w:rPr>
                <w:sz w:val="18"/>
                <w:szCs w:val="18"/>
                <w:lang w:val="en-US"/>
              </w:rPr>
              <w:t> </w:t>
            </w:r>
          </w:p>
        </w:tc>
        <w:tc>
          <w:tcPr>
            <w:tcW w:w="3067" w:type="dxa"/>
            <w:hideMark/>
          </w:tcPr>
          <w:p w14:paraId="43B5C2E4" w14:textId="32A85D90" w:rsidR="00D3664D" w:rsidRPr="006F5E1D" w:rsidRDefault="5ED9FCA2" w:rsidP="537FA187">
            <w:pPr>
              <w:pBdr>
                <w:top w:val="single" w:sz="4" w:space="1" w:color="000000"/>
              </w:pBdr>
              <w:rPr>
                <w:sz w:val="18"/>
                <w:szCs w:val="18"/>
                <w:lang w:val="en-US"/>
              </w:rPr>
            </w:pPr>
            <w:r w:rsidRPr="537FA187">
              <w:rPr>
                <w:sz w:val="18"/>
                <w:szCs w:val="18"/>
                <w:lang w:val="en-US"/>
              </w:rPr>
              <w:t xml:space="preserve">Risk Treatment 2.1: The </w:t>
            </w:r>
            <w:r w:rsidR="69663027" w:rsidRPr="537FA187">
              <w:rPr>
                <w:sz w:val="18"/>
                <w:szCs w:val="18"/>
                <w:lang w:val="en-US"/>
              </w:rPr>
              <w:t>NDUPH</w:t>
            </w:r>
            <w:r w:rsidRPr="537FA187">
              <w:rPr>
                <w:sz w:val="18"/>
                <w:szCs w:val="18"/>
                <w:lang w:val="en-US"/>
              </w:rPr>
              <w:t xml:space="preserve"> Implementation Partner of </w:t>
            </w:r>
            <w:r w:rsidR="2AAB7448" w:rsidRPr="537FA187">
              <w:rPr>
                <w:sz w:val="18"/>
                <w:szCs w:val="18"/>
                <w:lang w:val="en-US"/>
              </w:rPr>
              <w:t xml:space="preserve">IUDP in </w:t>
            </w:r>
            <w:r w:rsidRPr="537FA187">
              <w:rPr>
                <w:sz w:val="18"/>
                <w:szCs w:val="18"/>
                <w:lang w:val="en-US"/>
              </w:rPr>
              <w:t xml:space="preserve">Bamako ensures the creation of better conditions for collaboration and active synergy between the PRUBA and </w:t>
            </w:r>
            <w:r w:rsidR="004C79B7" w:rsidRPr="537FA187">
              <w:rPr>
                <w:sz w:val="18"/>
                <w:szCs w:val="18"/>
                <w:lang w:val="en-US"/>
              </w:rPr>
              <w:t>IUDP In</w:t>
            </w:r>
            <w:r w:rsidRPr="537FA187">
              <w:rPr>
                <w:sz w:val="18"/>
                <w:szCs w:val="18"/>
                <w:lang w:val="en-US"/>
              </w:rPr>
              <w:t xml:space="preserve">-Bamako teams to enable the ongoing characterization of the nature and depth of the restructuring of PRUBA and its implications for </w:t>
            </w:r>
            <w:r w:rsidR="1A808D7A" w:rsidRPr="537FA187">
              <w:rPr>
                <w:sz w:val="18"/>
                <w:szCs w:val="18"/>
                <w:lang w:val="en-US"/>
              </w:rPr>
              <w:t>IUDP in</w:t>
            </w:r>
            <w:r w:rsidRPr="537FA187">
              <w:rPr>
                <w:sz w:val="18"/>
                <w:szCs w:val="18"/>
                <w:lang w:val="en-US"/>
              </w:rPr>
              <w:t>-Bamako. </w:t>
            </w:r>
          </w:p>
          <w:p w14:paraId="2F027DFF"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0DA86FF7" w14:textId="3B052927" w:rsidR="00D3664D" w:rsidRPr="006F5E1D" w:rsidRDefault="5ED9FCA2" w:rsidP="537FA187">
            <w:pPr>
              <w:pBdr>
                <w:top w:val="single" w:sz="4" w:space="1" w:color="000000"/>
              </w:pBdr>
              <w:rPr>
                <w:sz w:val="18"/>
                <w:szCs w:val="18"/>
              </w:rPr>
            </w:pPr>
            <w:r w:rsidRPr="537FA187">
              <w:rPr>
                <w:sz w:val="18"/>
                <w:szCs w:val="18"/>
              </w:rPr>
              <w:t xml:space="preserve">Risk </w:t>
            </w:r>
            <w:proofErr w:type="spellStart"/>
            <w:r w:rsidRPr="537FA187">
              <w:rPr>
                <w:sz w:val="18"/>
                <w:szCs w:val="18"/>
              </w:rPr>
              <w:t>Treatment</w:t>
            </w:r>
            <w:proofErr w:type="spellEnd"/>
            <w:r w:rsidRPr="537FA187">
              <w:rPr>
                <w:sz w:val="18"/>
                <w:szCs w:val="18"/>
              </w:rPr>
              <w:t xml:space="preserve"> </w:t>
            </w:r>
            <w:proofErr w:type="spellStart"/>
            <w:proofErr w:type="gramStart"/>
            <w:r w:rsidRPr="537FA187">
              <w:rPr>
                <w:sz w:val="18"/>
                <w:szCs w:val="18"/>
              </w:rPr>
              <w:t>Owner</w:t>
            </w:r>
            <w:proofErr w:type="spellEnd"/>
            <w:r w:rsidRPr="537FA187">
              <w:rPr>
                <w:sz w:val="18"/>
                <w:szCs w:val="18"/>
              </w:rPr>
              <w:t>:</w:t>
            </w:r>
            <w:proofErr w:type="gramEnd"/>
            <w:r w:rsidRPr="537FA187">
              <w:rPr>
                <w:sz w:val="18"/>
                <w:szCs w:val="18"/>
              </w:rPr>
              <w:t xml:space="preserve"> </w:t>
            </w:r>
            <w:r w:rsidR="69663027" w:rsidRPr="537FA187">
              <w:rPr>
                <w:sz w:val="18"/>
                <w:szCs w:val="18"/>
              </w:rPr>
              <w:t>NDUPH</w:t>
            </w:r>
            <w:r w:rsidRPr="537FA187">
              <w:rPr>
                <w:sz w:val="18"/>
                <w:szCs w:val="18"/>
              </w:rPr>
              <w:t> </w:t>
            </w:r>
          </w:p>
        </w:tc>
      </w:tr>
      <w:tr w:rsidR="00D3664D" w:rsidRPr="006F649A" w14:paraId="0A0486E8" w14:textId="77777777" w:rsidTr="00857B81">
        <w:trPr>
          <w:trHeight w:val="300"/>
          <w:jc w:val="center"/>
        </w:trPr>
        <w:tc>
          <w:tcPr>
            <w:tcW w:w="353" w:type="dxa"/>
            <w:vMerge/>
            <w:vAlign w:val="center"/>
            <w:hideMark/>
          </w:tcPr>
          <w:p w14:paraId="3FE2778D" w14:textId="77777777" w:rsidR="00D3664D" w:rsidRPr="006F5E1D" w:rsidRDefault="00D3664D" w:rsidP="00D3664D">
            <w:pPr>
              <w:pBdr>
                <w:top w:val="single" w:sz="4" w:space="1" w:color="000000"/>
              </w:pBdr>
              <w:rPr>
                <w:sz w:val="18"/>
                <w:szCs w:val="18"/>
              </w:rPr>
            </w:pPr>
          </w:p>
        </w:tc>
        <w:tc>
          <w:tcPr>
            <w:tcW w:w="1472" w:type="dxa"/>
            <w:vMerge/>
            <w:vAlign w:val="center"/>
            <w:hideMark/>
          </w:tcPr>
          <w:p w14:paraId="6E11213B" w14:textId="77777777" w:rsidR="00D3664D" w:rsidRPr="006F5E1D" w:rsidRDefault="00D3664D" w:rsidP="00D3664D">
            <w:pPr>
              <w:pBdr>
                <w:top w:val="single" w:sz="4" w:space="1" w:color="000000"/>
              </w:pBdr>
              <w:rPr>
                <w:sz w:val="18"/>
                <w:szCs w:val="18"/>
              </w:rPr>
            </w:pPr>
          </w:p>
        </w:tc>
        <w:tc>
          <w:tcPr>
            <w:tcW w:w="1412" w:type="dxa"/>
            <w:vMerge/>
            <w:vAlign w:val="center"/>
            <w:hideMark/>
          </w:tcPr>
          <w:p w14:paraId="2234B970" w14:textId="77777777" w:rsidR="00D3664D" w:rsidRPr="006F5E1D" w:rsidRDefault="00D3664D" w:rsidP="00D3664D">
            <w:pPr>
              <w:pBdr>
                <w:top w:val="single" w:sz="4" w:space="1" w:color="000000"/>
              </w:pBdr>
              <w:rPr>
                <w:sz w:val="18"/>
                <w:szCs w:val="18"/>
              </w:rPr>
            </w:pPr>
          </w:p>
        </w:tc>
        <w:tc>
          <w:tcPr>
            <w:tcW w:w="1616" w:type="dxa"/>
            <w:vMerge/>
            <w:vAlign w:val="center"/>
            <w:hideMark/>
          </w:tcPr>
          <w:p w14:paraId="5BBAD1D5" w14:textId="77777777" w:rsidR="00D3664D" w:rsidRPr="006F5E1D" w:rsidRDefault="00D3664D" w:rsidP="00D3664D">
            <w:pPr>
              <w:pBdr>
                <w:top w:val="single" w:sz="4" w:space="1" w:color="000000"/>
              </w:pBdr>
              <w:rPr>
                <w:sz w:val="18"/>
                <w:szCs w:val="18"/>
              </w:rPr>
            </w:pPr>
          </w:p>
        </w:tc>
        <w:tc>
          <w:tcPr>
            <w:tcW w:w="1863" w:type="dxa"/>
            <w:vMerge/>
            <w:vAlign w:val="center"/>
            <w:hideMark/>
          </w:tcPr>
          <w:p w14:paraId="2910B18C" w14:textId="77777777" w:rsidR="00D3664D" w:rsidRPr="006F5E1D" w:rsidRDefault="00D3664D" w:rsidP="00D3664D">
            <w:pPr>
              <w:pBdr>
                <w:top w:val="single" w:sz="4" w:space="1" w:color="000000"/>
              </w:pBdr>
              <w:rPr>
                <w:sz w:val="18"/>
                <w:szCs w:val="18"/>
              </w:rPr>
            </w:pPr>
          </w:p>
        </w:tc>
        <w:tc>
          <w:tcPr>
            <w:tcW w:w="1719" w:type="dxa"/>
            <w:vMerge/>
            <w:vAlign w:val="center"/>
            <w:hideMark/>
          </w:tcPr>
          <w:p w14:paraId="0078012F" w14:textId="77777777" w:rsidR="00D3664D" w:rsidRPr="006F5E1D" w:rsidRDefault="00D3664D" w:rsidP="00D3664D">
            <w:pPr>
              <w:pBdr>
                <w:top w:val="single" w:sz="4" w:space="1" w:color="000000"/>
              </w:pBdr>
              <w:rPr>
                <w:sz w:val="18"/>
                <w:szCs w:val="18"/>
              </w:rPr>
            </w:pPr>
          </w:p>
        </w:tc>
        <w:tc>
          <w:tcPr>
            <w:tcW w:w="1419" w:type="dxa"/>
            <w:vMerge/>
            <w:vAlign w:val="center"/>
            <w:hideMark/>
          </w:tcPr>
          <w:p w14:paraId="16D219D4" w14:textId="77777777" w:rsidR="00D3664D" w:rsidRPr="006F5E1D" w:rsidRDefault="00D3664D" w:rsidP="00D3664D">
            <w:pPr>
              <w:pBdr>
                <w:top w:val="single" w:sz="4" w:space="1" w:color="000000"/>
              </w:pBdr>
              <w:rPr>
                <w:sz w:val="18"/>
                <w:szCs w:val="18"/>
              </w:rPr>
            </w:pPr>
          </w:p>
        </w:tc>
        <w:tc>
          <w:tcPr>
            <w:tcW w:w="1071" w:type="dxa"/>
            <w:vMerge/>
            <w:vAlign w:val="center"/>
            <w:hideMark/>
          </w:tcPr>
          <w:p w14:paraId="1535A4E0" w14:textId="77777777" w:rsidR="00D3664D" w:rsidRPr="006F5E1D" w:rsidRDefault="00D3664D" w:rsidP="00D3664D">
            <w:pPr>
              <w:pBdr>
                <w:top w:val="single" w:sz="4" w:space="1" w:color="000000"/>
              </w:pBdr>
              <w:rPr>
                <w:sz w:val="18"/>
                <w:szCs w:val="18"/>
              </w:rPr>
            </w:pPr>
          </w:p>
        </w:tc>
        <w:tc>
          <w:tcPr>
            <w:tcW w:w="3067" w:type="dxa"/>
            <w:hideMark/>
          </w:tcPr>
          <w:p w14:paraId="4602CF99" w14:textId="6AE192EC" w:rsidR="00D3664D" w:rsidRPr="006F5E1D" w:rsidRDefault="580A2AAB" w:rsidP="5D8904BE">
            <w:pPr>
              <w:pBdr>
                <w:top w:val="single" w:sz="4" w:space="1" w:color="000000"/>
              </w:pBdr>
              <w:rPr>
                <w:sz w:val="18"/>
                <w:szCs w:val="18"/>
                <w:lang w:val="en-US"/>
              </w:rPr>
            </w:pPr>
            <w:r w:rsidRPr="5D8904BE">
              <w:rPr>
                <w:sz w:val="18"/>
                <w:szCs w:val="18"/>
                <w:lang w:val="en-US"/>
              </w:rPr>
              <w:t xml:space="preserve">Risk Treatment 2.2: the </w:t>
            </w:r>
            <w:r w:rsidR="7960FE6C" w:rsidRPr="5D8904BE">
              <w:rPr>
                <w:sz w:val="18"/>
                <w:szCs w:val="18"/>
                <w:lang w:val="en-US"/>
              </w:rPr>
              <w:t>IUDP</w:t>
            </w:r>
            <w:r w:rsidRPr="5D8904BE">
              <w:rPr>
                <w:sz w:val="18"/>
                <w:szCs w:val="18"/>
                <w:lang w:val="en-US"/>
              </w:rPr>
              <w:t xml:space="preserve">-Bamako the identification of relevant activities, the nature or type of specific collaboration </w:t>
            </w:r>
            <w:proofErr w:type="gramStart"/>
            <w:r w:rsidRPr="5D8904BE">
              <w:rPr>
                <w:sz w:val="18"/>
                <w:szCs w:val="18"/>
                <w:lang w:val="en-US"/>
              </w:rPr>
              <w:t>in order to</w:t>
            </w:r>
            <w:proofErr w:type="gramEnd"/>
            <w:r w:rsidRPr="5D8904BE">
              <w:rPr>
                <w:sz w:val="18"/>
                <w:szCs w:val="18"/>
                <w:lang w:val="en-US"/>
              </w:rPr>
              <w:t xml:space="preserve"> minimize any </w:t>
            </w:r>
            <w:r w:rsidRPr="5D8904BE">
              <w:rPr>
                <w:sz w:val="18"/>
                <w:szCs w:val="18"/>
                <w:lang w:val="en-US"/>
              </w:rPr>
              <w:lastRenderedPageBreak/>
              <w:t xml:space="preserve">systematic dependence of the </w:t>
            </w:r>
            <w:r w:rsidR="124D35CF" w:rsidRPr="5D8904BE">
              <w:rPr>
                <w:sz w:val="18"/>
                <w:szCs w:val="18"/>
                <w:lang w:val="en-US"/>
              </w:rPr>
              <w:t>IUDP</w:t>
            </w:r>
            <w:r w:rsidRPr="5D8904BE">
              <w:rPr>
                <w:sz w:val="18"/>
                <w:szCs w:val="18"/>
                <w:lang w:val="en-US"/>
              </w:rPr>
              <w:t>-Bamako (over its duration) on PRUBA </w:t>
            </w:r>
          </w:p>
          <w:p w14:paraId="74E2F4D6"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41D7AC94" w14:textId="3CDAB063" w:rsidR="00D3664D" w:rsidRPr="006F5E1D" w:rsidRDefault="5ED9FCA2" w:rsidP="537FA187">
            <w:pPr>
              <w:pBdr>
                <w:top w:val="single" w:sz="4" w:space="1" w:color="000000"/>
              </w:pBdr>
              <w:rPr>
                <w:sz w:val="18"/>
                <w:szCs w:val="18"/>
              </w:rPr>
            </w:pPr>
            <w:r w:rsidRPr="537FA187">
              <w:rPr>
                <w:sz w:val="18"/>
                <w:szCs w:val="18"/>
                <w:lang w:val="en-US"/>
              </w:rPr>
              <w:t xml:space="preserve">Risk Treatment Owner: </w:t>
            </w:r>
            <w:r w:rsidR="69663027" w:rsidRPr="537FA187">
              <w:rPr>
                <w:sz w:val="18"/>
                <w:szCs w:val="18"/>
              </w:rPr>
              <w:t>NDUPH</w:t>
            </w:r>
            <w:r w:rsidRPr="537FA187">
              <w:rPr>
                <w:sz w:val="18"/>
                <w:szCs w:val="18"/>
              </w:rPr>
              <w:t> </w:t>
            </w:r>
          </w:p>
        </w:tc>
      </w:tr>
      <w:tr w:rsidR="00D3664D" w:rsidRPr="006F649A" w14:paraId="3987A3B7" w14:textId="77777777" w:rsidTr="00857B81">
        <w:trPr>
          <w:trHeight w:val="300"/>
          <w:jc w:val="center"/>
        </w:trPr>
        <w:tc>
          <w:tcPr>
            <w:tcW w:w="353" w:type="dxa"/>
            <w:vMerge/>
            <w:vAlign w:val="center"/>
            <w:hideMark/>
          </w:tcPr>
          <w:p w14:paraId="6AB81D4A" w14:textId="77777777" w:rsidR="00D3664D" w:rsidRPr="006F5E1D" w:rsidRDefault="00D3664D" w:rsidP="00D3664D">
            <w:pPr>
              <w:pBdr>
                <w:top w:val="single" w:sz="4" w:space="1" w:color="000000"/>
              </w:pBdr>
              <w:rPr>
                <w:sz w:val="18"/>
                <w:szCs w:val="18"/>
              </w:rPr>
            </w:pPr>
          </w:p>
        </w:tc>
        <w:tc>
          <w:tcPr>
            <w:tcW w:w="1472" w:type="dxa"/>
            <w:vMerge/>
            <w:vAlign w:val="center"/>
            <w:hideMark/>
          </w:tcPr>
          <w:p w14:paraId="344883C3" w14:textId="77777777" w:rsidR="00D3664D" w:rsidRPr="006F5E1D" w:rsidRDefault="00D3664D" w:rsidP="00D3664D">
            <w:pPr>
              <w:pBdr>
                <w:top w:val="single" w:sz="4" w:space="1" w:color="000000"/>
              </w:pBdr>
              <w:rPr>
                <w:sz w:val="18"/>
                <w:szCs w:val="18"/>
              </w:rPr>
            </w:pPr>
          </w:p>
        </w:tc>
        <w:tc>
          <w:tcPr>
            <w:tcW w:w="1412" w:type="dxa"/>
            <w:vMerge/>
            <w:vAlign w:val="center"/>
            <w:hideMark/>
          </w:tcPr>
          <w:p w14:paraId="5CF3AE8C" w14:textId="77777777" w:rsidR="00D3664D" w:rsidRPr="006F5E1D" w:rsidRDefault="00D3664D" w:rsidP="00D3664D">
            <w:pPr>
              <w:pBdr>
                <w:top w:val="single" w:sz="4" w:space="1" w:color="000000"/>
              </w:pBdr>
              <w:rPr>
                <w:sz w:val="18"/>
                <w:szCs w:val="18"/>
              </w:rPr>
            </w:pPr>
          </w:p>
        </w:tc>
        <w:tc>
          <w:tcPr>
            <w:tcW w:w="1616" w:type="dxa"/>
            <w:vMerge/>
            <w:vAlign w:val="center"/>
            <w:hideMark/>
          </w:tcPr>
          <w:p w14:paraId="0B7C217B" w14:textId="77777777" w:rsidR="00D3664D" w:rsidRPr="006F5E1D" w:rsidRDefault="00D3664D" w:rsidP="00D3664D">
            <w:pPr>
              <w:pBdr>
                <w:top w:val="single" w:sz="4" w:space="1" w:color="000000"/>
              </w:pBdr>
              <w:rPr>
                <w:sz w:val="18"/>
                <w:szCs w:val="18"/>
              </w:rPr>
            </w:pPr>
          </w:p>
        </w:tc>
        <w:tc>
          <w:tcPr>
            <w:tcW w:w="1863" w:type="dxa"/>
            <w:vMerge/>
            <w:vAlign w:val="center"/>
            <w:hideMark/>
          </w:tcPr>
          <w:p w14:paraId="341D1F63" w14:textId="77777777" w:rsidR="00D3664D" w:rsidRPr="006F5E1D" w:rsidRDefault="00D3664D" w:rsidP="00D3664D">
            <w:pPr>
              <w:pBdr>
                <w:top w:val="single" w:sz="4" w:space="1" w:color="000000"/>
              </w:pBdr>
              <w:rPr>
                <w:sz w:val="18"/>
                <w:szCs w:val="18"/>
              </w:rPr>
            </w:pPr>
          </w:p>
        </w:tc>
        <w:tc>
          <w:tcPr>
            <w:tcW w:w="1719" w:type="dxa"/>
            <w:vMerge/>
            <w:vAlign w:val="center"/>
            <w:hideMark/>
          </w:tcPr>
          <w:p w14:paraId="5C49D92D" w14:textId="77777777" w:rsidR="00D3664D" w:rsidRPr="006F5E1D" w:rsidRDefault="00D3664D" w:rsidP="00D3664D">
            <w:pPr>
              <w:pBdr>
                <w:top w:val="single" w:sz="4" w:space="1" w:color="000000"/>
              </w:pBdr>
              <w:rPr>
                <w:sz w:val="18"/>
                <w:szCs w:val="18"/>
              </w:rPr>
            </w:pPr>
          </w:p>
        </w:tc>
        <w:tc>
          <w:tcPr>
            <w:tcW w:w="1419" w:type="dxa"/>
            <w:vMerge/>
            <w:vAlign w:val="center"/>
            <w:hideMark/>
          </w:tcPr>
          <w:p w14:paraId="181D86BD" w14:textId="77777777" w:rsidR="00D3664D" w:rsidRPr="006F5E1D" w:rsidRDefault="00D3664D" w:rsidP="00D3664D">
            <w:pPr>
              <w:pBdr>
                <w:top w:val="single" w:sz="4" w:space="1" w:color="000000"/>
              </w:pBdr>
              <w:rPr>
                <w:sz w:val="18"/>
                <w:szCs w:val="18"/>
              </w:rPr>
            </w:pPr>
          </w:p>
        </w:tc>
        <w:tc>
          <w:tcPr>
            <w:tcW w:w="1071" w:type="dxa"/>
            <w:vMerge/>
            <w:vAlign w:val="center"/>
            <w:hideMark/>
          </w:tcPr>
          <w:p w14:paraId="3FC6D002" w14:textId="77777777" w:rsidR="00D3664D" w:rsidRPr="006F5E1D" w:rsidRDefault="00D3664D" w:rsidP="00D3664D">
            <w:pPr>
              <w:pBdr>
                <w:top w:val="single" w:sz="4" w:space="1" w:color="000000"/>
              </w:pBdr>
              <w:rPr>
                <w:sz w:val="18"/>
                <w:szCs w:val="18"/>
              </w:rPr>
            </w:pPr>
          </w:p>
        </w:tc>
        <w:tc>
          <w:tcPr>
            <w:tcW w:w="3067" w:type="dxa"/>
            <w:hideMark/>
          </w:tcPr>
          <w:p w14:paraId="4926C447" w14:textId="77777777" w:rsidR="00D3664D" w:rsidRPr="006F5E1D" w:rsidRDefault="580A2AAB" w:rsidP="5D8904BE">
            <w:pPr>
              <w:pBdr>
                <w:top w:val="single" w:sz="4" w:space="1" w:color="000000"/>
              </w:pBdr>
              <w:rPr>
                <w:sz w:val="18"/>
                <w:szCs w:val="18"/>
              </w:rPr>
            </w:pPr>
            <w:r w:rsidRPr="5D8904BE">
              <w:rPr>
                <w:sz w:val="18"/>
                <w:szCs w:val="18"/>
              </w:rPr>
              <w:t> </w:t>
            </w:r>
          </w:p>
          <w:p w14:paraId="6F44B2AE" w14:textId="77777777" w:rsidR="00D3664D" w:rsidRPr="006F5E1D" w:rsidRDefault="580A2AAB" w:rsidP="5D8904BE">
            <w:pPr>
              <w:pBdr>
                <w:top w:val="single" w:sz="4" w:space="1" w:color="000000"/>
              </w:pBdr>
              <w:rPr>
                <w:sz w:val="18"/>
                <w:szCs w:val="18"/>
              </w:rPr>
            </w:pPr>
            <w:r w:rsidRPr="5D8904BE">
              <w:rPr>
                <w:sz w:val="18"/>
                <w:szCs w:val="18"/>
              </w:rPr>
              <w:t>Project manager  </w:t>
            </w:r>
          </w:p>
        </w:tc>
      </w:tr>
      <w:tr w:rsidR="00D3664D" w:rsidRPr="00F50786" w14:paraId="6D7A252B" w14:textId="77777777" w:rsidTr="00857B81">
        <w:trPr>
          <w:trHeight w:val="300"/>
          <w:jc w:val="center"/>
        </w:trPr>
        <w:tc>
          <w:tcPr>
            <w:tcW w:w="353" w:type="dxa"/>
            <w:vMerge w:val="restart"/>
            <w:hideMark/>
          </w:tcPr>
          <w:p w14:paraId="23A0698A" w14:textId="77777777" w:rsidR="00D3664D" w:rsidRPr="006F5E1D" w:rsidRDefault="580A2AAB" w:rsidP="5D8904BE">
            <w:pPr>
              <w:pBdr>
                <w:top w:val="single" w:sz="4" w:space="1" w:color="000000"/>
              </w:pBdr>
              <w:rPr>
                <w:sz w:val="18"/>
                <w:szCs w:val="18"/>
              </w:rPr>
            </w:pPr>
            <w:r w:rsidRPr="5D8904BE">
              <w:rPr>
                <w:sz w:val="18"/>
                <w:szCs w:val="18"/>
              </w:rPr>
              <w:t>3 </w:t>
            </w:r>
          </w:p>
        </w:tc>
        <w:tc>
          <w:tcPr>
            <w:tcW w:w="1472" w:type="dxa"/>
            <w:vMerge w:val="restart"/>
            <w:hideMark/>
          </w:tcPr>
          <w:p w14:paraId="5BFDA69A" w14:textId="1812B307" w:rsidR="00D3664D" w:rsidRPr="006F5E1D" w:rsidRDefault="764C5370" w:rsidP="3585F9A1">
            <w:pPr>
              <w:pBdr>
                <w:top w:val="single" w:sz="4" w:space="1" w:color="000000"/>
              </w:pBdr>
              <w:rPr>
                <w:sz w:val="18"/>
                <w:szCs w:val="18"/>
                <w:lang w:val="en-US"/>
              </w:rPr>
            </w:pPr>
            <w:r w:rsidRPr="3585F9A1">
              <w:rPr>
                <w:sz w:val="18"/>
                <w:szCs w:val="18"/>
                <w:lang w:val="en-US"/>
              </w:rPr>
              <w:t xml:space="preserve">There is a risk that the implementation of the </w:t>
            </w:r>
            <w:r w:rsidR="1F6BF10A" w:rsidRPr="3585F9A1">
              <w:rPr>
                <w:sz w:val="18"/>
                <w:szCs w:val="18"/>
                <w:lang w:val="en-US"/>
              </w:rPr>
              <w:t>IUDP</w:t>
            </w:r>
            <w:r w:rsidR="4ABC4BB2" w:rsidRPr="3585F9A1">
              <w:rPr>
                <w:sz w:val="18"/>
                <w:szCs w:val="18"/>
                <w:lang w:val="en-US"/>
              </w:rPr>
              <w:t xml:space="preserve"> </w:t>
            </w:r>
            <w:r w:rsidRPr="3585F9A1">
              <w:rPr>
                <w:sz w:val="18"/>
                <w:szCs w:val="18"/>
                <w:lang w:val="en-US"/>
              </w:rPr>
              <w:t xml:space="preserve">Bamako will begin before the completion of the development and availability of the new </w:t>
            </w:r>
            <w:r w:rsidR="537643F5" w:rsidRPr="3585F9A1">
              <w:rPr>
                <w:sz w:val="18"/>
                <w:szCs w:val="18"/>
                <w:lang w:val="en-US"/>
              </w:rPr>
              <w:t xml:space="preserve">Urban Master plan </w:t>
            </w:r>
            <w:r w:rsidRPr="3585F9A1">
              <w:rPr>
                <w:sz w:val="18"/>
                <w:szCs w:val="18"/>
                <w:lang w:val="en-US"/>
              </w:rPr>
              <w:t>and Zone Plan respectively for Bamako and Greater Bamako. </w:t>
            </w:r>
          </w:p>
        </w:tc>
        <w:tc>
          <w:tcPr>
            <w:tcW w:w="1412" w:type="dxa"/>
            <w:vMerge w:val="restart"/>
            <w:hideMark/>
          </w:tcPr>
          <w:p w14:paraId="2CED4920" w14:textId="77777777" w:rsidR="00D3664D" w:rsidRPr="006F5E1D" w:rsidRDefault="580A2AAB" w:rsidP="5D8904BE">
            <w:pPr>
              <w:pBdr>
                <w:top w:val="single" w:sz="4" w:space="1" w:color="000000"/>
              </w:pBdr>
              <w:rPr>
                <w:sz w:val="18"/>
                <w:szCs w:val="18"/>
                <w:lang w:val="en-US"/>
              </w:rPr>
            </w:pPr>
            <w:r w:rsidRPr="5D8904BE">
              <w:rPr>
                <w:sz w:val="18"/>
                <w:szCs w:val="18"/>
                <w:lang w:val="en-US"/>
              </w:rPr>
              <w:t>Due to the potential delay in the proper execution of these particularly important activities in relation to the adhesion, appropriation and mobilization of national stakeholders and their subsequent adoption of the said spatial planning documents </w:t>
            </w:r>
          </w:p>
        </w:tc>
        <w:tc>
          <w:tcPr>
            <w:tcW w:w="1616" w:type="dxa"/>
            <w:vMerge w:val="restart"/>
            <w:hideMark/>
          </w:tcPr>
          <w:p w14:paraId="261B08AC" w14:textId="322D9042" w:rsidR="00D3664D" w:rsidRPr="006F5E1D" w:rsidRDefault="580A2AAB" w:rsidP="5D8904BE">
            <w:pPr>
              <w:pBdr>
                <w:top w:val="single" w:sz="4" w:space="1" w:color="000000"/>
              </w:pBdr>
              <w:rPr>
                <w:sz w:val="18"/>
                <w:szCs w:val="18"/>
                <w:lang w:val="en-US"/>
              </w:rPr>
            </w:pPr>
            <w:r w:rsidRPr="5D8904BE">
              <w:rPr>
                <w:sz w:val="18"/>
                <w:szCs w:val="18"/>
                <w:lang w:val="en-US"/>
              </w:rPr>
              <w:t xml:space="preserve">This will have the impact of multiple uncertainties that are created on the strategic and operational anchoring of the activities of </w:t>
            </w:r>
            <w:r w:rsidR="124D35CF" w:rsidRPr="5D8904BE">
              <w:rPr>
                <w:sz w:val="18"/>
                <w:szCs w:val="18"/>
                <w:lang w:val="en-US"/>
              </w:rPr>
              <w:t>IUDP</w:t>
            </w:r>
            <w:r w:rsidRPr="5D8904BE">
              <w:rPr>
                <w:sz w:val="18"/>
                <w:szCs w:val="18"/>
                <w:lang w:val="en-US"/>
              </w:rPr>
              <w:t>-Bamako to monitor the synergies, measurable impacts and additionalities produced for the benefit of the integrated urban development of the city as well as the inter-community. </w:t>
            </w:r>
          </w:p>
        </w:tc>
        <w:tc>
          <w:tcPr>
            <w:tcW w:w="1863" w:type="dxa"/>
            <w:vMerge w:val="restart"/>
            <w:hideMark/>
          </w:tcPr>
          <w:p w14:paraId="7628833A" w14:textId="77777777" w:rsidR="00D3664D" w:rsidRPr="006F5E1D" w:rsidRDefault="580A2AAB" w:rsidP="5D8904BE">
            <w:pPr>
              <w:pBdr>
                <w:top w:val="single" w:sz="4" w:space="1" w:color="000000"/>
              </w:pBdr>
              <w:rPr>
                <w:sz w:val="18"/>
                <w:szCs w:val="18"/>
              </w:rPr>
            </w:pPr>
            <w:proofErr w:type="spellStart"/>
            <w:r w:rsidRPr="5D8904BE">
              <w:rPr>
                <w:b/>
                <w:bCs/>
                <w:sz w:val="18"/>
                <w:szCs w:val="18"/>
              </w:rPr>
              <w:t>Organisatinal</w:t>
            </w:r>
            <w:proofErr w:type="spellEnd"/>
            <w:r w:rsidRPr="5D8904BE">
              <w:rPr>
                <w:b/>
                <w:bCs/>
                <w:sz w:val="18"/>
                <w:szCs w:val="18"/>
              </w:rPr>
              <w:t> </w:t>
            </w:r>
            <w:r w:rsidRPr="5D8904BE">
              <w:rPr>
                <w:sz w:val="18"/>
                <w:szCs w:val="18"/>
              </w:rPr>
              <w:t> </w:t>
            </w:r>
          </w:p>
          <w:p w14:paraId="0B3F329F" w14:textId="77777777" w:rsidR="00D3664D" w:rsidRPr="006F5E1D" w:rsidRDefault="580A2AAB" w:rsidP="5D8904BE">
            <w:pPr>
              <w:pBdr>
                <w:top w:val="single" w:sz="4" w:space="1" w:color="000000"/>
              </w:pBdr>
              <w:rPr>
                <w:sz w:val="18"/>
                <w:szCs w:val="18"/>
              </w:rPr>
            </w:pPr>
            <w:r w:rsidRPr="5D8904BE">
              <w:rPr>
                <w:sz w:val="18"/>
                <w:szCs w:val="18"/>
              </w:rPr>
              <w:t> </w:t>
            </w:r>
          </w:p>
        </w:tc>
        <w:tc>
          <w:tcPr>
            <w:tcW w:w="1719" w:type="dxa"/>
            <w:vMerge w:val="restart"/>
            <w:hideMark/>
          </w:tcPr>
          <w:p w14:paraId="1285BCA1" w14:textId="77777777" w:rsidR="00D3664D" w:rsidRPr="006F5E1D" w:rsidRDefault="580A2AAB" w:rsidP="5D8904BE">
            <w:pPr>
              <w:pBdr>
                <w:top w:val="single" w:sz="4" w:space="1" w:color="000000"/>
              </w:pBdr>
              <w:rPr>
                <w:sz w:val="18"/>
                <w:szCs w:val="18"/>
                <w:lang w:val="en-US"/>
              </w:rPr>
            </w:pPr>
            <w:r w:rsidRPr="5D8904BE">
              <w:rPr>
                <w:sz w:val="18"/>
                <w:szCs w:val="18"/>
                <w:lang w:val="en-US"/>
              </w:rPr>
              <w:t>Likelihood: 32 </w:t>
            </w:r>
          </w:p>
          <w:p w14:paraId="2FA22F2D"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7BF89E25" w14:textId="77777777" w:rsidR="00D3664D" w:rsidRPr="006F5E1D" w:rsidRDefault="580A2AAB" w:rsidP="5D8904BE">
            <w:pPr>
              <w:pBdr>
                <w:top w:val="single" w:sz="4" w:space="1" w:color="000000"/>
              </w:pBdr>
              <w:rPr>
                <w:sz w:val="18"/>
                <w:szCs w:val="18"/>
                <w:lang w:val="en-US"/>
              </w:rPr>
            </w:pPr>
            <w:r w:rsidRPr="5D8904BE">
              <w:rPr>
                <w:sz w:val="18"/>
                <w:szCs w:val="18"/>
                <w:lang w:val="en-US"/>
              </w:rPr>
              <w:t>Impact: 4 </w:t>
            </w:r>
          </w:p>
          <w:p w14:paraId="0BD7F89E"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77696C95" w14:textId="77777777" w:rsidR="00D3664D" w:rsidRPr="006F5E1D" w:rsidRDefault="580A2AAB" w:rsidP="5D8904BE">
            <w:pPr>
              <w:pBdr>
                <w:top w:val="single" w:sz="4" w:space="1" w:color="000000"/>
              </w:pBdr>
              <w:rPr>
                <w:sz w:val="18"/>
                <w:szCs w:val="18"/>
                <w:lang w:val="en-US"/>
              </w:rPr>
            </w:pPr>
            <w:r w:rsidRPr="5D8904BE">
              <w:rPr>
                <w:sz w:val="18"/>
                <w:szCs w:val="18"/>
                <w:lang w:val="en-US"/>
              </w:rPr>
              <w:t>Risk level:  Substantial  </w:t>
            </w:r>
          </w:p>
        </w:tc>
        <w:tc>
          <w:tcPr>
            <w:tcW w:w="1419" w:type="dxa"/>
            <w:vMerge w:val="restart"/>
            <w:hideMark/>
          </w:tcPr>
          <w:p w14:paraId="22779042" w14:textId="77777777" w:rsidR="00D3664D" w:rsidRPr="006F5E1D" w:rsidRDefault="580A2AAB" w:rsidP="5D8904BE">
            <w:pPr>
              <w:pBdr>
                <w:top w:val="single" w:sz="4" w:space="1" w:color="000000"/>
              </w:pBdr>
              <w:rPr>
                <w:sz w:val="18"/>
                <w:szCs w:val="18"/>
                <w:lang w:val="en-US"/>
              </w:rPr>
            </w:pPr>
            <w:r w:rsidRPr="5D8904BE">
              <w:rPr>
                <w:sz w:val="18"/>
                <w:szCs w:val="18"/>
                <w:lang w:val="en-US"/>
              </w:rPr>
              <w:t>From: Project design (</w:t>
            </w:r>
            <w:proofErr w:type="spellStart"/>
            <w:r w:rsidRPr="5D8904BE">
              <w:rPr>
                <w:sz w:val="18"/>
                <w:szCs w:val="18"/>
                <w:lang w:val="en-US"/>
              </w:rPr>
              <w:t>february</w:t>
            </w:r>
            <w:proofErr w:type="spellEnd"/>
            <w:r w:rsidRPr="5D8904BE">
              <w:rPr>
                <w:sz w:val="18"/>
                <w:szCs w:val="18"/>
                <w:lang w:val="en-US"/>
              </w:rPr>
              <w:t>, 2025) </w:t>
            </w:r>
          </w:p>
          <w:p w14:paraId="5FE5FED4"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156DF677" w14:textId="1E544CFF" w:rsidR="00D3664D" w:rsidRPr="006F5E1D" w:rsidRDefault="580A2AAB" w:rsidP="5D8904BE">
            <w:pPr>
              <w:pBdr>
                <w:top w:val="single" w:sz="4" w:space="1" w:color="000000"/>
              </w:pBdr>
              <w:rPr>
                <w:sz w:val="18"/>
                <w:szCs w:val="18"/>
                <w:lang w:val="en-US"/>
              </w:rPr>
            </w:pPr>
            <w:r w:rsidRPr="5D8904BE">
              <w:rPr>
                <w:sz w:val="18"/>
                <w:szCs w:val="18"/>
                <w:lang w:val="en-US"/>
              </w:rPr>
              <w:t xml:space="preserve">To: end of implementation of </w:t>
            </w:r>
            <w:r w:rsidR="7960FE6C" w:rsidRPr="5D8904BE">
              <w:rPr>
                <w:sz w:val="18"/>
                <w:szCs w:val="18"/>
                <w:lang w:val="en-US"/>
              </w:rPr>
              <w:t>IUDP</w:t>
            </w:r>
            <w:r w:rsidRPr="5D8904BE">
              <w:rPr>
                <w:sz w:val="18"/>
                <w:szCs w:val="18"/>
                <w:lang w:val="en-US"/>
              </w:rPr>
              <w:t>-Bamako for 5 years (2032-2033) </w:t>
            </w:r>
          </w:p>
          <w:p w14:paraId="3694F8D7"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tc>
        <w:tc>
          <w:tcPr>
            <w:tcW w:w="1071" w:type="dxa"/>
            <w:vMerge w:val="restart"/>
            <w:hideMark/>
          </w:tcPr>
          <w:p w14:paraId="0C1B2022" w14:textId="5BB731A9" w:rsidR="00D3664D" w:rsidRPr="006F5E1D" w:rsidRDefault="7960FE6C" w:rsidP="5D8904BE">
            <w:pPr>
              <w:pBdr>
                <w:top w:val="single" w:sz="4" w:space="1" w:color="000000"/>
              </w:pBdr>
              <w:rPr>
                <w:sz w:val="18"/>
                <w:szCs w:val="18"/>
                <w:lang w:val="en-US"/>
              </w:rPr>
            </w:pPr>
            <w:r w:rsidRPr="5D8904BE">
              <w:rPr>
                <w:i/>
                <w:iCs/>
                <w:sz w:val="18"/>
                <w:szCs w:val="18"/>
                <w:lang w:val="en-US"/>
              </w:rPr>
              <w:t>IUDP</w:t>
            </w:r>
            <w:r w:rsidR="580A2AAB" w:rsidRPr="5D8904BE">
              <w:rPr>
                <w:i/>
                <w:iCs/>
                <w:sz w:val="18"/>
                <w:szCs w:val="18"/>
                <w:lang w:val="en-US"/>
              </w:rPr>
              <w:t>-Bamako design or implementation team; Government of Mali and UNDP</w:t>
            </w:r>
            <w:r w:rsidR="580A2AAB" w:rsidRPr="5D8904BE">
              <w:rPr>
                <w:sz w:val="18"/>
                <w:szCs w:val="18"/>
                <w:lang w:val="en-US"/>
              </w:rPr>
              <w:t> </w:t>
            </w:r>
          </w:p>
          <w:p w14:paraId="07AC6B88"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tc>
        <w:tc>
          <w:tcPr>
            <w:tcW w:w="3067" w:type="dxa"/>
            <w:hideMark/>
          </w:tcPr>
          <w:p w14:paraId="7CA5F634" w14:textId="1806EAFD" w:rsidR="00D3664D" w:rsidRPr="006F5E1D" w:rsidRDefault="580A2AAB" w:rsidP="5D8904BE">
            <w:pPr>
              <w:pBdr>
                <w:top w:val="single" w:sz="4" w:space="1" w:color="000000"/>
              </w:pBdr>
              <w:rPr>
                <w:sz w:val="18"/>
                <w:szCs w:val="18"/>
                <w:lang w:val="en-US"/>
              </w:rPr>
            </w:pPr>
            <w:r w:rsidRPr="5D8904BE">
              <w:rPr>
                <w:sz w:val="18"/>
                <w:szCs w:val="18"/>
                <w:lang w:val="en-US"/>
              </w:rPr>
              <w:t xml:space="preserve">Risk Treatment 3.1: ensure a consistent and ambitious definition or implementation of </w:t>
            </w:r>
            <w:r w:rsidR="7960FE6C" w:rsidRPr="5D8904BE">
              <w:rPr>
                <w:sz w:val="18"/>
                <w:szCs w:val="18"/>
                <w:lang w:val="en-US"/>
              </w:rPr>
              <w:t>IUDP</w:t>
            </w:r>
            <w:r w:rsidRPr="5D8904BE">
              <w:rPr>
                <w:sz w:val="18"/>
                <w:szCs w:val="18"/>
                <w:lang w:val="en-US"/>
              </w:rPr>
              <w:t>-Bamako activities by protecting their independence from the expected achievements of the Bamako SDU and the Greater Bamako Zone Plan, while supporting any relevant complementarity or synergy co-guaranteed with PRUBA </w:t>
            </w:r>
          </w:p>
          <w:p w14:paraId="05E312C5"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7353B600" w14:textId="77777777" w:rsidR="00D3664D" w:rsidRPr="006F5E1D" w:rsidRDefault="580A2AAB" w:rsidP="5D8904BE">
            <w:pPr>
              <w:pBdr>
                <w:top w:val="single" w:sz="4" w:space="1" w:color="000000"/>
              </w:pBdr>
              <w:rPr>
                <w:sz w:val="18"/>
                <w:szCs w:val="18"/>
                <w:lang w:val="en-US"/>
              </w:rPr>
            </w:pPr>
            <w:r w:rsidRPr="5D8904BE">
              <w:rPr>
                <w:sz w:val="18"/>
                <w:szCs w:val="18"/>
                <w:lang w:val="en-US"/>
              </w:rPr>
              <w:t>Risk Treatment Owner: DPUI-Bamako Project Manager (design or implementation) </w:t>
            </w:r>
          </w:p>
        </w:tc>
      </w:tr>
      <w:tr w:rsidR="00D3664D" w:rsidRPr="00F50786" w14:paraId="5AB90FF9" w14:textId="77777777" w:rsidTr="00857B81">
        <w:trPr>
          <w:trHeight w:val="300"/>
          <w:jc w:val="center"/>
        </w:trPr>
        <w:tc>
          <w:tcPr>
            <w:tcW w:w="353" w:type="dxa"/>
            <w:vMerge/>
            <w:vAlign w:val="center"/>
            <w:hideMark/>
          </w:tcPr>
          <w:p w14:paraId="01F0D68A" w14:textId="77777777" w:rsidR="00D3664D" w:rsidRPr="006F5E1D" w:rsidRDefault="00D3664D" w:rsidP="00D3664D">
            <w:pPr>
              <w:pBdr>
                <w:top w:val="single" w:sz="4" w:space="1" w:color="000000"/>
              </w:pBdr>
              <w:rPr>
                <w:sz w:val="18"/>
                <w:szCs w:val="18"/>
                <w:lang w:val="en-US"/>
              </w:rPr>
            </w:pPr>
          </w:p>
        </w:tc>
        <w:tc>
          <w:tcPr>
            <w:tcW w:w="1472" w:type="dxa"/>
            <w:vMerge/>
            <w:vAlign w:val="center"/>
            <w:hideMark/>
          </w:tcPr>
          <w:p w14:paraId="0F631F9D" w14:textId="77777777" w:rsidR="00D3664D" w:rsidRPr="006F5E1D" w:rsidRDefault="00D3664D" w:rsidP="00D3664D">
            <w:pPr>
              <w:pBdr>
                <w:top w:val="single" w:sz="4" w:space="1" w:color="000000"/>
              </w:pBdr>
              <w:rPr>
                <w:sz w:val="18"/>
                <w:szCs w:val="18"/>
                <w:lang w:val="en-US"/>
              </w:rPr>
            </w:pPr>
          </w:p>
        </w:tc>
        <w:tc>
          <w:tcPr>
            <w:tcW w:w="1412" w:type="dxa"/>
            <w:vMerge/>
            <w:vAlign w:val="center"/>
            <w:hideMark/>
          </w:tcPr>
          <w:p w14:paraId="68C07558" w14:textId="77777777" w:rsidR="00D3664D" w:rsidRPr="006F5E1D" w:rsidRDefault="00D3664D" w:rsidP="00D3664D">
            <w:pPr>
              <w:pBdr>
                <w:top w:val="single" w:sz="4" w:space="1" w:color="000000"/>
              </w:pBdr>
              <w:rPr>
                <w:sz w:val="18"/>
                <w:szCs w:val="18"/>
                <w:lang w:val="en-US"/>
              </w:rPr>
            </w:pPr>
          </w:p>
        </w:tc>
        <w:tc>
          <w:tcPr>
            <w:tcW w:w="1616" w:type="dxa"/>
            <w:vMerge/>
            <w:vAlign w:val="center"/>
            <w:hideMark/>
          </w:tcPr>
          <w:p w14:paraId="3A62A15D" w14:textId="77777777" w:rsidR="00D3664D" w:rsidRPr="006F5E1D" w:rsidRDefault="00D3664D" w:rsidP="00D3664D">
            <w:pPr>
              <w:pBdr>
                <w:top w:val="single" w:sz="4" w:space="1" w:color="000000"/>
              </w:pBdr>
              <w:rPr>
                <w:sz w:val="18"/>
                <w:szCs w:val="18"/>
                <w:lang w:val="en-US"/>
              </w:rPr>
            </w:pPr>
          </w:p>
        </w:tc>
        <w:tc>
          <w:tcPr>
            <w:tcW w:w="1863" w:type="dxa"/>
            <w:vMerge/>
            <w:vAlign w:val="center"/>
            <w:hideMark/>
          </w:tcPr>
          <w:p w14:paraId="74D531F1" w14:textId="77777777" w:rsidR="00D3664D" w:rsidRPr="006F5E1D" w:rsidRDefault="00D3664D" w:rsidP="00D3664D">
            <w:pPr>
              <w:pBdr>
                <w:top w:val="single" w:sz="4" w:space="1" w:color="000000"/>
              </w:pBdr>
              <w:rPr>
                <w:sz w:val="18"/>
                <w:szCs w:val="18"/>
                <w:lang w:val="en-US"/>
              </w:rPr>
            </w:pPr>
          </w:p>
        </w:tc>
        <w:tc>
          <w:tcPr>
            <w:tcW w:w="1719" w:type="dxa"/>
            <w:vMerge/>
            <w:vAlign w:val="center"/>
            <w:hideMark/>
          </w:tcPr>
          <w:p w14:paraId="31E9DD7E" w14:textId="77777777" w:rsidR="00D3664D" w:rsidRPr="006F5E1D" w:rsidRDefault="00D3664D" w:rsidP="00D3664D">
            <w:pPr>
              <w:pBdr>
                <w:top w:val="single" w:sz="4" w:space="1" w:color="000000"/>
              </w:pBdr>
              <w:rPr>
                <w:sz w:val="18"/>
                <w:szCs w:val="18"/>
                <w:lang w:val="en-US"/>
              </w:rPr>
            </w:pPr>
          </w:p>
        </w:tc>
        <w:tc>
          <w:tcPr>
            <w:tcW w:w="1419" w:type="dxa"/>
            <w:vMerge/>
            <w:vAlign w:val="center"/>
            <w:hideMark/>
          </w:tcPr>
          <w:p w14:paraId="73E2F6D3" w14:textId="77777777" w:rsidR="00D3664D" w:rsidRPr="006F5E1D" w:rsidRDefault="00D3664D" w:rsidP="00D3664D">
            <w:pPr>
              <w:pBdr>
                <w:top w:val="single" w:sz="4" w:space="1" w:color="000000"/>
              </w:pBdr>
              <w:rPr>
                <w:sz w:val="18"/>
                <w:szCs w:val="18"/>
                <w:lang w:val="en-US"/>
              </w:rPr>
            </w:pPr>
          </w:p>
        </w:tc>
        <w:tc>
          <w:tcPr>
            <w:tcW w:w="1071" w:type="dxa"/>
            <w:vMerge/>
            <w:vAlign w:val="center"/>
            <w:hideMark/>
          </w:tcPr>
          <w:p w14:paraId="6523E480" w14:textId="77777777" w:rsidR="00D3664D" w:rsidRPr="006F5E1D" w:rsidRDefault="00D3664D" w:rsidP="00D3664D">
            <w:pPr>
              <w:pBdr>
                <w:top w:val="single" w:sz="4" w:space="1" w:color="000000"/>
              </w:pBdr>
              <w:rPr>
                <w:sz w:val="18"/>
                <w:szCs w:val="18"/>
                <w:lang w:val="en-US"/>
              </w:rPr>
            </w:pPr>
          </w:p>
        </w:tc>
        <w:tc>
          <w:tcPr>
            <w:tcW w:w="3067" w:type="dxa"/>
            <w:hideMark/>
          </w:tcPr>
          <w:p w14:paraId="2D01F96A" w14:textId="34C02DCA" w:rsidR="00D3664D" w:rsidRPr="006F5E1D" w:rsidRDefault="5ED9FCA2" w:rsidP="537FA187">
            <w:pPr>
              <w:pBdr>
                <w:top w:val="single" w:sz="4" w:space="1" w:color="000000"/>
              </w:pBdr>
              <w:rPr>
                <w:sz w:val="18"/>
                <w:szCs w:val="18"/>
                <w:lang w:val="en-US"/>
              </w:rPr>
            </w:pPr>
            <w:r w:rsidRPr="537FA187">
              <w:rPr>
                <w:sz w:val="18"/>
                <w:szCs w:val="18"/>
                <w:lang w:val="en-US"/>
              </w:rPr>
              <w:t xml:space="preserve">Risk Treatment 3.2: ensure regular institutional communication between the Government, UNDP, the World Bank, PRUBA and </w:t>
            </w:r>
            <w:r w:rsidR="78A7FAF5" w:rsidRPr="537FA187">
              <w:rPr>
                <w:sz w:val="18"/>
                <w:szCs w:val="18"/>
                <w:lang w:val="en-US"/>
              </w:rPr>
              <w:t>IUDP</w:t>
            </w:r>
            <w:r w:rsidRPr="537FA187">
              <w:rPr>
                <w:sz w:val="18"/>
                <w:szCs w:val="18"/>
                <w:lang w:val="en-US"/>
              </w:rPr>
              <w:t xml:space="preserve">-Bamako under the aegis of </w:t>
            </w:r>
            <w:r w:rsidR="69663027" w:rsidRPr="537FA187">
              <w:rPr>
                <w:sz w:val="18"/>
                <w:szCs w:val="18"/>
                <w:lang w:val="en-US"/>
              </w:rPr>
              <w:t>NDUPH</w:t>
            </w:r>
            <w:r w:rsidRPr="537FA187">
              <w:rPr>
                <w:sz w:val="18"/>
                <w:szCs w:val="18"/>
                <w:lang w:val="en-US"/>
              </w:rPr>
              <w:t xml:space="preserve">, which makes it </w:t>
            </w:r>
            <w:r w:rsidRPr="537FA187">
              <w:rPr>
                <w:sz w:val="18"/>
                <w:szCs w:val="18"/>
                <w:lang w:val="en-US"/>
              </w:rPr>
              <w:lastRenderedPageBreak/>
              <w:t xml:space="preserve">possible to identify the best actions or synergies to ensure that the design and implementation of </w:t>
            </w:r>
            <w:r w:rsidR="2AAB7448" w:rsidRPr="537FA187">
              <w:rPr>
                <w:sz w:val="18"/>
                <w:szCs w:val="18"/>
                <w:lang w:val="en-US"/>
              </w:rPr>
              <w:t>IUDP</w:t>
            </w:r>
            <w:r w:rsidRPr="537FA187">
              <w:rPr>
                <w:sz w:val="18"/>
                <w:szCs w:val="18"/>
                <w:lang w:val="en-US"/>
              </w:rPr>
              <w:t xml:space="preserve">-Bamako integrate harmoniously and effectively into the expected new SDU and Zone Plan. Failing this, the specific activities of </w:t>
            </w:r>
            <w:r w:rsidR="465924C1" w:rsidRPr="537FA187">
              <w:rPr>
                <w:sz w:val="18"/>
                <w:szCs w:val="18"/>
                <w:lang w:val="en-US"/>
              </w:rPr>
              <w:t>IUDP</w:t>
            </w:r>
            <w:r w:rsidRPr="537FA187">
              <w:rPr>
                <w:sz w:val="18"/>
                <w:szCs w:val="18"/>
                <w:lang w:val="en-US"/>
              </w:rPr>
              <w:t>-Bamako are defined and implemented adequately </w:t>
            </w:r>
          </w:p>
          <w:p w14:paraId="3FCA1519"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469845C2" w14:textId="40A7E3F5" w:rsidR="00D3664D" w:rsidRPr="006F5E1D" w:rsidRDefault="5ED9FCA2" w:rsidP="537FA187">
            <w:pPr>
              <w:pBdr>
                <w:top w:val="single" w:sz="4" w:space="1" w:color="000000"/>
              </w:pBdr>
              <w:rPr>
                <w:sz w:val="18"/>
                <w:szCs w:val="18"/>
                <w:lang w:val="en-US"/>
              </w:rPr>
            </w:pPr>
            <w:r w:rsidRPr="537FA187">
              <w:rPr>
                <w:sz w:val="18"/>
                <w:szCs w:val="18"/>
                <w:lang w:val="en-US"/>
              </w:rPr>
              <w:t xml:space="preserve">Risk Treatment Owner: </w:t>
            </w:r>
            <w:r w:rsidR="69663027" w:rsidRPr="537FA187">
              <w:rPr>
                <w:sz w:val="18"/>
                <w:szCs w:val="18"/>
                <w:lang w:val="en-US"/>
              </w:rPr>
              <w:t>NDUPH</w:t>
            </w:r>
            <w:r w:rsidRPr="537FA187">
              <w:rPr>
                <w:sz w:val="18"/>
                <w:szCs w:val="18"/>
                <w:lang w:val="en-US"/>
              </w:rPr>
              <w:t xml:space="preserve"> under the supervision of the Ministry responsible for Urban Planning, Housing and Regional Development. </w:t>
            </w:r>
          </w:p>
        </w:tc>
      </w:tr>
      <w:tr w:rsidR="00D3664D" w:rsidRPr="006F649A" w14:paraId="651F60E3" w14:textId="77777777" w:rsidTr="00857B81">
        <w:trPr>
          <w:trHeight w:val="300"/>
          <w:jc w:val="center"/>
        </w:trPr>
        <w:tc>
          <w:tcPr>
            <w:tcW w:w="353" w:type="dxa"/>
            <w:vMerge/>
            <w:vAlign w:val="center"/>
            <w:hideMark/>
          </w:tcPr>
          <w:p w14:paraId="08A69DE6" w14:textId="77777777" w:rsidR="00D3664D" w:rsidRPr="006F5E1D" w:rsidRDefault="00D3664D" w:rsidP="00D3664D">
            <w:pPr>
              <w:pBdr>
                <w:top w:val="single" w:sz="4" w:space="1" w:color="000000"/>
              </w:pBdr>
              <w:rPr>
                <w:sz w:val="18"/>
                <w:szCs w:val="18"/>
                <w:lang w:val="en-US"/>
              </w:rPr>
            </w:pPr>
          </w:p>
        </w:tc>
        <w:tc>
          <w:tcPr>
            <w:tcW w:w="1472" w:type="dxa"/>
            <w:vMerge/>
            <w:vAlign w:val="center"/>
            <w:hideMark/>
          </w:tcPr>
          <w:p w14:paraId="7B043D3E" w14:textId="77777777" w:rsidR="00D3664D" w:rsidRPr="006F5E1D" w:rsidRDefault="00D3664D" w:rsidP="00D3664D">
            <w:pPr>
              <w:pBdr>
                <w:top w:val="single" w:sz="4" w:space="1" w:color="000000"/>
              </w:pBdr>
              <w:rPr>
                <w:sz w:val="18"/>
                <w:szCs w:val="18"/>
                <w:lang w:val="en-US"/>
              </w:rPr>
            </w:pPr>
          </w:p>
        </w:tc>
        <w:tc>
          <w:tcPr>
            <w:tcW w:w="1412" w:type="dxa"/>
            <w:vMerge/>
            <w:vAlign w:val="center"/>
            <w:hideMark/>
          </w:tcPr>
          <w:p w14:paraId="6CAE78AB" w14:textId="77777777" w:rsidR="00D3664D" w:rsidRPr="006F5E1D" w:rsidRDefault="00D3664D" w:rsidP="00D3664D">
            <w:pPr>
              <w:pBdr>
                <w:top w:val="single" w:sz="4" w:space="1" w:color="000000"/>
              </w:pBdr>
              <w:rPr>
                <w:sz w:val="18"/>
                <w:szCs w:val="18"/>
                <w:lang w:val="en-US"/>
              </w:rPr>
            </w:pPr>
          </w:p>
        </w:tc>
        <w:tc>
          <w:tcPr>
            <w:tcW w:w="1616" w:type="dxa"/>
            <w:vMerge/>
            <w:vAlign w:val="center"/>
            <w:hideMark/>
          </w:tcPr>
          <w:p w14:paraId="7C582FC7" w14:textId="77777777" w:rsidR="00D3664D" w:rsidRPr="006F5E1D" w:rsidRDefault="00D3664D" w:rsidP="00D3664D">
            <w:pPr>
              <w:pBdr>
                <w:top w:val="single" w:sz="4" w:space="1" w:color="000000"/>
              </w:pBdr>
              <w:rPr>
                <w:sz w:val="18"/>
                <w:szCs w:val="18"/>
                <w:lang w:val="en-US"/>
              </w:rPr>
            </w:pPr>
          </w:p>
        </w:tc>
        <w:tc>
          <w:tcPr>
            <w:tcW w:w="1863" w:type="dxa"/>
            <w:vMerge/>
            <w:vAlign w:val="center"/>
            <w:hideMark/>
          </w:tcPr>
          <w:p w14:paraId="5E2DE8A4" w14:textId="77777777" w:rsidR="00D3664D" w:rsidRPr="006F5E1D" w:rsidRDefault="00D3664D" w:rsidP="00D3664D">
            <w:pPr>
              <w:pBdr>
                <w:top w:val="single" w:sz="4" w:space="1" w:color="000000"/>
              </w:pBdr>
              <w:rPr>
                <w:sz w:val="18"/>
                <w:szCs w:val="18"/>
                <w:lang w:val="en-US"/>
              </w:rPr>
            </w:pPr>
          </w:p>
        </w:tc>
        <w:tc>
          <w:tcPr>
            <w:tcW w:w="1719" w:type="dxa"/>
            <w:vMerge/>
            <w:vAlign w:val="center"/>
            <w:hideMark/>
          </w:tcPr>
          <w:p w14:paraId="2242C574" w14:textId="77777777" w:rsidR="00D3664D" w:rsidRPr="006F5E1D" w:rsidRDefault="00D3664D" w:rsidP="00D3664D">
            <w:pPr>
              <w:pBdr>
                <w:top w:val="single" w:sz="4" w:space="1" w:color="000000"/>
              </w:pBdr>
              <w:rPr>
                <w:sz w:val="18"/>
                <w:szCs w:val="18"/>
                <w:lang w:val="en-US"/>
              </w:rPr>
            </w:pPr>
          </w:p>
        </w:tc>
        <w:tc>
          <w:tcPr>
            <w:tcW w:w="1419" w:type="dxa"/>
            <w:vMerge/>
            <w:vAlign w:val="center"/>
            <w:hideMark/>
          </w:tcPr>
          <w:p w14:paraId="769DBFDD" w14:textId="77777777" w:rsidR="00D3664D" w:rsidRPr="006F5E1D" w:rsidRDefault="00D3664D" w:rsidP="00D3664D">
            <w:pPr>
              <w:pBdr>
                <w:top w:val="single" w:sz="4" w:space="1" w:color="000000"/>
              </w:pBdr>
              <w:rPr>
                <w:sz w:val="18"/>
                <w:szCs w:val="18"/>
                <w:lang w:val="en-US"/>
              </w:rPr>
            </w:pPr>
          </w:p>
        </w:tc>
        <w:tc>
          <w:tcPr>
            <w:tcW w:w="1071" w:type="dxa"/>
            <w:vMerge/>
            <w:vAlign w:val="center"/>
            <w:hideMark/>
          </w:tcPr>
          <w:p w14:paraId="1CD6817D" w14:textId="77777777" w:rsidR="00D3664D" w:rsidRPr="006F5E1D" w:rsidRDefault="00D3664D" w:rsidP="00D3664D">
            <w:pPr>
              <w:pBdr>
                <w:top w:val="single" w:sz="4" w:space="1" w:color="000000"/>
              </w:pBdr>
              <w:rPr>
                <w:sz w:val="18"/>
                <w:szCs w:val="18"/>
                <w:lang w:val="en-US"/>
              </w:rPr>
            </w:pPr>
          </w:p>
        </w:tc>
        <w:tc>
          <w:tcPr>
            <w:tcW w:w="3067" w:type="dxa"/>
            <w:hideMark/>
          </w:tcPr>
          <w:p w14:paraId="6C326A28" w14:textId="77777777" w:rsidR="00D3664D" w:rsidRPr="006F5E1D" w:rsidRDefault="580A2AAB" w:rsidP="5D8904BE">
            <w:pPr>
              <w:pBdr>
                <w:top w:val="single" w:sz="4" w:space="1" w:color="000000"/>
              </w:pBdr>
              <w:rPr>
                <w:sz w:val="18"/>
                <w:szCs w:val="18"/>
              </w:rPr>
            </w:pPr>
            <w:r w:rsidRPr="5D8904BE">
              <w:rPr>
                <w:sz w:val="18"/>
                <w:szCs w:val="18"/>
                <w:lang w:val="en-US"/>
              </w:rPr>
              <w:t> …</w:t>
            </w:r>
            <w:r w:rsidRPr="5D8904BE">
              <w:rPr>
                <w:sz w:val="18"/>
                <w:szCs w:val="18"/>
              </w:rPr>
              <w:t> </w:t>
            </w:r>
          </w:p>
        </w:tc>
      </w:tr>
      <w:tr w:rsidR="00D3664D" w:rsidRPr="00F50786" w14:paraId="0358B7F4" w14:textId="77777777" w:rsidTr="00857B81">
        <w:trPr>
          <w:trHeight w:val="300"/>
          <w:jc w:val="center"/>
        </w:trPr>
        <w:tc>
          <w:tcPr>
            <w:tcW w:w="353" w:type="dxa"/>
            <w:vMerge w:val="restart"/>
            <w:hideMark/>
          </w:tcPr>
          <w:p w14:paraId="7FD4D514" w14:textId="77777777" w:rsidR="00D3664D" w:rsidRPr="006F5E1D" w:rsidRDefault="580A2AAB" w:rsidP="5D8904BE">
            <w:pPr>
              <w:pBdr>
                <w:top w:val="single" w:sz="4" w:space="1" w:color="000000"/>
              </w:pBdr>
              <w:rPr>
                <w:sz w:val="18"/>
                <w:szCs w:val="18"/>
              </w:rPr>
            </w:pPr>
            <w:r w:rsidRPr="5D8904BE">
              <w:rPr>
                <w:sz w:val="18"/>
                <w:szCs w:val="18"/>
              </w:rPr>
              <w:t>4 </w:t>
            </w:r>
          </w:p>
        </w:tc>
        <w:tc>
          <w:tcPr>
            <w:tcW w:w="1472" w:type="dxa"/>
            <w:vMerge w:val="restart"/>
            <w:hideMark/>
          </w:tcPr>
          <w:p w14:paraId="22FF60B2" w14:textId="77777777" w:rsidR="00D3664D" w:rsidRPr="006F5E1D" w:rsidRDefault="580A2AAB" w:rsidP="5D8904BE">
            <w:pPr>
              <w:pBdr>
                <w:top w:val="single" w:sz="4" w:space="1" w:color="000000"/>
              </w:pBdr>
              <w:rPr>
                <w:sz w:val="18"/>
                <w:szCs w:val="18"/>
                <w:lang w:val="en-US"/>
              </w:rPr>
            </w:pPr>
            <w:r w:rsidRPr="5D8904BE">
              <w:rPr>
                <w:sz w:val="18"/>
                <w:szCs w:val="18"/>
                <w:lang w:val="en-US"/>
              </w:rPr>
              <w:t xml:space="preserve">There is a risk of scarcity of international co-financing or other capital from domestic investors (debt and equity) for nature-based and climate-based development solutions, and lack of familiarity of </w:t>
            </w:r>
            <w:r w:rsidRPr="5D8904BE">
              <w:rPr>
                <w:sz w:val="18"/>
                <w:szCs w:val="18"/>
                <w:lang w:val="en-US"/>
              </w:rPr>
              <w:lastRenderedPageBreak/>
              <w:t>domestic investors with appropriate financing structures. </w:t>
            </w:r>
          </w:p>
          <w:p w14:paraId="3A2D4D07"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tc>
        <w:tc>
          <w:tcPr>
            <w:tcW w:w="1412" w:type="dxa"/>
            <w:vMerge w:val="restart"/>
            <w:hideMark/>
          </w:tcPr>
          <w:p w14:paraId="76F0E081" w14:textId="3C2363D6" w:rsidR="00D3664D" w:rsidRPr="006F5E1D" w:rsidRDefault="580A2AAB" w:rsidP="5D8904BE">
            <w:pPr>
              <w:pBdr>
                <w:top w:val="single" w:sz="4" w:space="1" w:color="000000"/>
              </w:pBdr>
              <w:rPr>
                <w:sz w:val="18"/>
                <w:szCs w:val="18"/>
                <w:lang w:val="en-US"/>
              </w:rPr>
            </w:pPr>
            <w:r w:rsidRPr="5D8904BE">
              <w:rPr>
                <w:sz w:val="18"/>
                <w:szCs w:val="18"/>
                <w:lang w:val="en-US"/>
              </w:rPr>
              <w:lastRenderedPageBreak/>
              <w:t xml:space="preserve">Due to the commitment not yet acquired by PRUBA and PRTD, all financed by the World Bank, for the co-financing of the </w:t>
            </w:r>
            <w:r w:rsidR="124D35CF" w:rsidRPr="5D8904BE">
              <w:rPr>
                <w:sz w:val="18"/>
                <w:szCs w:val="18"/>
                <w:lang w:val="en-US"/>
              </w:rPr>
              <w:t>IUDP</w:t>
            </w:r>
            <w:r w:rsidRPr="5D8904BE">
              <w:rPr>
                <w:sz w:val="18"/>
                <w:szCs w:val="18"/>
                <w:lang w:val="en-US"/>
              </w:rPr>
              <w:t xml:space="preserve">-Bamako; the unproven viability at this stage of the activities included </w:t>
            </w:r>
            <w:r w:rsidRPr="5D8904BE">
              <w:rPr>
                <w:sz w:val="18"/>
                <w:szCs w:val="18"/>
                <w:lang w:val="en-US"/>
              </w:rPr>
              <w:lastRenderedPageBreak/>
              <w:t xml:space="preserve">in the </w:t>
            </w:r>
            <w:r w:rsidR="124D35CF" w:rsidRPr="5D8904BE">
              <w:rPr>
                <w:sz w:val="18"/>
                <w:szCs w:val="18"/>
                <w:lang w:val="en-US"/>
              </w:rPr>
              <w:t>IUDP</w:t>
            </w:r>
            <w:r w:rsidRPr="5D8904BE">
              <w:rPr>
                <w:sz w:val="18"/>
                <w:szCs w:val="18"/>
                <w:lang w:val="en-US"/>
              </w:rPr>
              <w:t>-Bamako, the perception of the country internationally, the business environment that is still unattractive for investment (particularly private), mainly fueling this risk </w:t>
            </w:r>
          </w:p>
        </w:tc>
        <w:tc>
          <w:tcPr>
            <w:tcW w:w="1616" w:type="dxa"/>
            <w:vMerge w:val="restart"/>
            <w:hideMark/>
          </w:tcPr>
          <w:p w14:paraId="11E1A256" w14:textId="2DCF5F3D" w:rsidR="00D3664D" w:rsidRPr="006F5E1D" w:rsidRDefault="580A2AAB" w:rsidP="5D8904BE">
            <w:pPr>
              <w:pBdr>
                <w:top w:val="single" w:sz="4" w:space="1" w:color="000000"/>
              </w:pBdr>
              <w:rPr>
                <w:sz w:val="18"/>
                <w:szCs w:val="18"/>
                <w:lang w:val="en-US"/>
              </w:rPr>
            </w:pPr>
            <w:r w:rsidRPr="5D8904BE">
              <w:rPr>
                <w:sz w:val="18"/>
                <w:szCs w:val="18"/>
                <w:lang w:val="en-US"/>
              </w:rPr>
              <w:lastRenderedPageBreak/>
              <w:t xml:space="preserve">This will have an impact on </w:t>
            </w:r>
            <w:r w:rsidR="124D35CF" w:rsidRPr="5D8904BE">
              <w:rPr>
                <w:sz w:val="18"/>
                <w:szCs w:val="18"/>
                <w:lang w:val="en-US"/>
              </w:rPr>
              <w:t>IUDP</w:t>
            </w:r>
            <w:r w:rsidRPr="5D8904BE">
              <w:rPr>
                <w:sz w:val="18"/>
                <w:szCs w:val="18"/>
                <w:lang w:val="en-US"/>
              </w:rPr>
              <w:t xml:space="preserve">-Bamako's own financial resources, which are mainly limited to the GEF catalytic grant of USD 4.7 million and the modest in-kind contribution from the Malian Government. As it </w:t>
            </w:r>
            <w:r w:rsidRPr="5D8904BE">
              <w:rPr>
                <w:sz w:val="18"/>
                <w:szCs w:val="18"/>
                <w:lang w:val="en-US"/>
              </w:rPr>
              <w:lastRenderedPageBreak/>
              <w:t xml:space="preserve">stands, </w:t>
            </w:r>
            <w:r w:rsidR="124D35CF" w:rsidRPr="5D8904BE">
              <w:rPr>
                <w:sz w:val="18"/>
                <w:szCs w:val="18"/>
                <w:lang w:val="en-US"/>
              </w:rPr>
              <w:t>IUDP</w:t>
            </w:r>
            <w:r w:rsidRPr="5D8904BE">
              <w:rPr>
                <w:sz w:val="18"/>
                <w:szCs w:val="18"/>
                <w:lang w:val="en-US"/>
              </w:rPr>
              <w:t>-Bamako has few concrete synergies and will generate few measurable positive impacts. </w:t>
            </w:r>
          </w:p>
        </w:tc>
        <w:tc>
          <w:tcPr>
            <w:tcW w:w="1863" w:type="dxa"/>
            <w:vMerge w:val="restart"/>
            <w:hideMark/>
          </w:tcPr>
          <w:p w14:paraId="181D7F42" w14:textId="77777777" w:rsidR="00D3664D" w:rsidRPr="00857B81" w:rsidRDefault="78BF8E7E" w:rsidP="3585F9A1">
            <w:pPr>
              <w:pBdr>
                <w:top w:val="single" w:sz="4" w:space="1" w:color="000000"/>
              </w:pBdr>
              <w:rPr>
                <w:b/>
                <w:bCs/>
                <w:sz w:val="18"/>
                <w:szCs w:val="18"/>
              </w:rPr>
            </w:pPr>
            <w:r w:rsidRPr="00857B81">
              <w:rPr>
                <w:b/>
                <w:bCs/>
                <w:sz w:val="18"/>
                <w:szCs w:val="18"/>
              </w:rPr>
              <w:lastRenderedPageBreak/>
              <w:t>Financial  </w:t>
            </w:r>
          </w:p>
        </w:tc>
        <w:tc>
          <w:tcPr>
            <w:tcW w:w="1719" w:type="dxa"/>
            <w:vMerge w:val="restart"/>
            <w:hideMark/>
          </w:tcPr>
          <w:p w14:paraId="3EA7BB6D" w14:textId="77777777" w:rsidR="00D3664D" w:rsidRPr="006F5E1D" w:rsidRDefault="580A2AAB" w:rsidP="5D8904BE">
            <w:pPr>
              <w:pBdr>
                <w:top w:val="single" w:sz="4" w:space="1" w:color="000000"/>
              </w:pBdr>
              <w:rPr>
                <w:sz w:val="18"/>
                <w:szCs w:val="18"/>
                <w:lang w:val="en-US"/>
              </w:rPr>
            </w:pPr>
            <w:r w:rsidRPr="5D8904BE">
              <w:rPr>
                <w:sz w:val="18"/>
                <w:szCs w:val="18"/>
                <w:lang w:val="en-US"/>
              </w:rPr>
              <w:t>Likelihood: 3 </w:t>
            </w:r>
          </w:p>
          <w:p w14:paraId="43CE2422"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564CF688" w14:textId="77777777" w:rsidR="00D3664D" w:rsidRPr="006F5E1D" w:rsidRDefault="580A2AAB" w:rsidP="5D8904BE">
            <w:pPr>
              <w:pBdr>
                <w:top w:val="single" w:sz="4" w:space="1" w:color="000000"/>
              </w:pBdr>
              <w:rPr>
                <w:sz w:val="18"/>
                <w:szCs w:val="18"/>
                <w:lang w:val="en-US"/>
              </w:rPr>
            </w:pPr>
            <w:r w:rsidRPr="5D8904BE">
              <w:rPr>
                <w:sz w:val="18"/>
                <w:szCs w:val="18"/>
                <w:lang w:val="en-US"/>
              </w:rPr>
              <w:t>Impact: 3 </w:t>
            </w:r>
          </w:p>
          <w:p w14:paraId="619A9280"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01F32334" w14:textId="77777777" w:rsidR="00D3664D" w:rsidRPr="006F5E1D" w:rsidRDefault="580A2AAB" w:rsidP="5D8904BE">
            <w:pPr>
              <w:pBdr>
                <w:top w:val="single" w:sz="4" w:space="1" w:color="000000"/>
              </w:pBdr>
              <w:rPr>
                <w:sz w:val="18"/>
                <w:szCs w:val="18"/>
                <w:lang w:val="en-US"/>
              </w:rPr>
            </w:pPr>
            <w:r w:rsidRPr="5D8904BE">
              <w:rPr>
                <w:sz w:val="18"/>
                <w:szCs w:val="18"/>
                <w:lang w:val="en-US"/>
              </w:rPr>
              <w:t>Risk level: Moderate  </w:t>
            </w:r>
          </w:p>
        </w:tc>
        <w:tc>
          <w:tcPr>
            <w:tcW w:w="1419" w:type="dxa"/>
            <w:vMerge w:val="restart"/>
            <w:hideMark/>
          </w:tcPr>
          <w:p w14:paraId="679A282D" w14:textId="77777777" w:rsidR="00D3664D" w:rsidRPr="006F5E1D" w:rsidRDefault="580A2AAB" w:rsidP="5D8904BE">
            <w:pPr>
              <w:pBdr>
                <w:top w:val="single" w:sz="4" w:space="1" w:color="000000"/>
              </w:pBdr>
              <w:rPr>
                <w:sz w:val="18"/>
                <w:szCs w:val="18"/>
                <w:lang w:val="en-US"/>
              </w:rPr>
            </w:pPr>
            <w:r w:rsidRPr="5D8904BE">
              <w:rPr>
                <w:sz w:val="18"/>
                <w:szCs w:val="18"/>
                <w:lang w:val="en-US"/>
              </w:rPr>
              <w:t>From: Project design (</w:t>
            </w:r>
            <w:proofErr w:type="spellStart"/>
            <w:r w:rsidRPr="5D8904BE">
              <w:rPr>
                <w:sz w:val="18"/>
                <w:szCs w:val="18"/>
                <w:lang w:val="en-US"/>
              </w:rPr>
              <w:t>february</w:t>
            </w:r>
            <w:proofErr w:type="spellEnd"/>
            <w:r w:rsidRPr="5D8904BE">
              <w:rPr>
                <w:sz w:val="18"/>
                <w:szCs w:val="18"/>
                <w:lang w:val="en-US"/>
              </w:rPr>
              <w:t>, 2025) </w:t>
            </w:r>
          </w:p>
          <w:p w14:paraId="20043F96"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5E0823EC" w14:textId="57E50D7C" w:rsidR="00D3664D" w:rsidRPr="006F5E1D" w:rsidRDefault="580A2AAB" w:rsidP="5D8904BE">
            <w:pPr>
              <w:pBdr>
                <w:top w:val="single" w:sz="4" w:space="1" w:color="000000"/>
              </w:pBdr>
              <w:rPr>
                <w:sz w:val="18"/>
                <w:szCs w:val="18"/>
                <w:lang w:val="en-US"/>
              </w:rPr>
            </w:pPr>
            <w:r w:rsidRPr="5D8904BE">
              <w:rPr>
                <w:sz w:val="18"/>
                <w:szCs w:val="18"/>
                <w:lang w:val="en-US"/>
              </w:rPr>
              <w:t xml:space="preserve">To: end of implementation of </w:t>
            </w:r>
            <w:r w:rsidR="124D35CF" w:rsidRPr="5D8904BE">
              <w:rPr>
                <w:sz w:val="18"/>
                <w:szCs w:val="18"/>
                <w:lang w:val="en-US"/>
              </w:rPr>
              <w:t>IUDP</w:t>
            </w:r>
            <w:r w:rsidRPr="5D8904BE">
              <w:rPr>
                <w:sz w:val="18"/>
                <w:szCs w:val="18"/>
                <w:lang w:val="en-US"/>
              </w:rPr>
              <w:t>-Bamako for 5 years (2032-2033) </w:t>
            </w:r>
          </w:p>
          <w:p w14:paraId="79570B0B" w14:textId="77777777" w:rsidR="00D3664D" w:rsidRPr="006F5E1D" w:rsidRDefault="580A2AAB" w:rsidP="5D8904BE">
            <w:pPr>
              <w:pBdr>
                <w:top w:val="single" w:sz="4" w:space="1" w:color="000000"/>
              </w:pBdr>
              <w:rPr>
                <w:sz w:val="18"/>
                <w:szCs w:val="18"/>
                <w:lang w:val="en-US"/>
              </w:rPr>
            </w:pPr>
            <w:r w:rsidRPr="5D8904BE">
              <w:rPr>
                <w:sz w:val="18"/>
                <w:szCs w:val="18"/>
                <w:lang w:val="en-US"/>
              </w:rPr>
              <w:lastRenderedPageBreak/>
              <w:t> </w:t>
            </w:r>
          </w:p>
        </w:tc>
        <w:tc>
          <w:tcPr>
            <w:tcW w:w="1071" w:type="dxa"/>
            <w:vMerge w:val="restart"/>
            <w:hideMark/>
          </w:tcPr>
          <w:p w14:paraId="1B4F9DEF" w14:textId="05CCB568" w:rsidR="00D3664D" w:rsidRPr="006F5E1D" w:rsidRDefault="7E913590" w:rsidP="5D8904BE">
            <w:pPr>
              <w:pBdr>
                <w:top w:val="single" w:sz="4" w:space="1" w:color="000000"/>
              </w:pBdr>
              <w:rPr>
                <w:sz w:val="18"/>
                <w:szCs w:val="18"/>
                <w:lang w:val="en-US"/>
              </w:rPr>
            </w:pPr>
            <w:r w:rsidRPr="5D8904BE">
              <w:rPr>
                <w:i/>
                <w:iCs/>
                <w:sz w:val="18"/>
                <w:szCs w:val="18"/>
                <w:lang w:val="en-US"/>
              </w:rPr>
              <w:lastRenderedPageBreak/>
              <w:t>IUDP</w:t>
            </w:r>
            <w:r w:rsidR="580A2AAB" w:rsidRPr="5D8904BE">
              <w:rPr>
                <w:i/>
                <w:iCs/>
                <w:sz w:val="18"/>
                <w:szCs w:val="18"/>
                <w:lang w:val="en-US"/>
              </w:rPr>
              <w:t>-Bamako Team (design and implementation), UNDP, Government of Mali</w:t>
            </w:r>
            <w:r w:rsidR="580A2AAB" w:rsidRPr="5D8904BE">
              <w:rPr>
                <w:sz w:val="18"/>
                <w:szCs w:val="18"/>
                <w:lang w:val="en-US"/>
              </w:rPr>
              <w:t> </w:t>
            </w:r>
          </w:p>
          <w:p w14:paraId="586A93E4"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tc>
        <w:tc>
          <w:tcPr>
            <w:tcW w:w="3067" w:type="dxa"/>
            <w:hideMark/>
          </w:tcPr>
          <w:p w14:paraId="0BB88944" w14:textId="77777777" w:rsidR="00D3664D" w:rsidRPr="006F5E1D" w:rsidRDefault="580A2AAB" w:rsidP="5D8904BE">
            <w:pPr>
              <w:pBdr>
                <w:top w:val="single" w:sz="4" w:space="1" w:color="000000"/>
              </w:pBdr>
              <w:rPr>
                <w:sz w:val="18"/>
                <w:szCs w:val="18"/>
                <w:lang w:val="en-US"/>
              </w:rPr>
            </w:pPr>
            <w:r w:rsidRPr="5D8904BE">
              <w:rPr>
                <w:sz w:val="18"/>
                <w:szCs w:val="18"/>
                <w:lang w:val="en-US"/>
              </w:rPr>
              <w:t>The Government of Mali, in agreement with the UNDP, is requesting the PRUBA, PRTD, MERIT and PDAZAM projects, via their respective supervisory ministries, an individual co-financing letter for identified consensual activities </w:t>
            </w:r>
          </w:p>
          <w:p w14:paraId="4176BDB6" w14:textId="0482B75C" w:rsidR="00D3664D" w:rsidRPr="006F5E1D" w:rsidRDefault="580A2AAB" w:rsidP="5D8904BE">
            <w:pPr>
              <w:pBdr>
                <w:top w:val="single" w:sz="4" w:space="1" w:color="000000"/>
              </w:pBdr>
              <w:rPr>
                <w:sz w:val="18"/>
                <w:szCs w:val="18"/>
                <w:lang w:val="en-US"/>
              </w:rPr>
            </w:pPr>
            <w:r w:rsidRPr="5D8904BE">
              <w:rPr>
                <w:sz w:val="18"/>
                <w:szCs w:val="18"/>
                <w:lang w:val="en-US"/>
              </w:rPr>
              <w:t xml:space="preserve">Risk Treatment Owner; DUNH as an Implementation Partner under the aegis of its supervisory ministry and with the facilitation of the </w:t>
            </w:r>
            <w:r w:rsidR="124D35CF" w:rsidRPr="5D8904BE">
              <w:rPr>
                <w:sz w:val="18"/>
                <w:szCs w:val="18"/>
                <w:lang w:val="en-US"/>
              </w:rPr>
              <w:t>IUDP</w:t>
            </w:r>
            <w:r w:rsidRPr="5D8904BE">
              <w:rPr>
                <w:sz w:val="18"/>
                <w:szCs w:val="18"/>
                <w:lang w:val="en-US"/>
              </w:rPr>
              <w:t>-Bamako team </w:t>
            </w:r>
          </w:p>
        </w:tc>
      </w:tr>
      <w:tr w:rsidR="00D3664D" w:rsidRPr="00F50786" w14:paraId="7C6DFB48" w14:textId="77777777" w:rsidTr="00857B81">
        <w:trPr>
          <w:trHeight w:val="300"/>
          <w:jc w:val="center"/>
        </w:trPr>
        <w:tc>
          <w:tcPr>
            <w:tcW w:w="353" w:type="dxa"/>
            <w:vMerge/>
            <w:vAlign w:val="center"/>
            <w:hideMark/>
          </w:tcPr>
          <w:p w14:paraId="7D95AE07" w14:textId="77777777" w:rsidR="00D3664D" w:rsidRPr="006F5E1D" w:rsidRDefault="00D3664D" w:rsidP="00D3664D">
            <w:pPr>
              <w:pBdr>
                <w:top w:val="single" w:sz="4" w:space="1" w:color="000000"/>
              </w:pBdr>
              <w:rPr>
                <w:sz w:val="18"/>
                <w:szCs w:val="18"/>
                <w:lang w:val="en-US"/>
              </w:rPr>
            </w:pPr>
          </w:p>
        </w:tc>
        <w:tc>
          <w:tcPr>
            <w:tcW w:w="1472" w:type="dxa"/>
            <w:vMerge/>
            <w:vAlign w:val="center"/>
            <w:hideMark/>
          </w:tcPr>
          <w:p w14:paraId="7242510E" w14:textId="77777777" w:rsidR="00D3664D" w:rsidRPr="006F5E1D" w:rsidRDefault="00D3664D" w:rsidP="00D3664D">
            <w:pPr>
              <w:pBdr>
                <w:top w:val="single" w:sz="4" w:space="1" w:color="000000"/>
              </w:pBdr>
              <w:rPr>
                <w:sz w:val="18"/>
                <w:szCs w:val="18"/>
                <w:lang w:val="en-US"/>
              </w:rPr>
            </w:pPr>
          </w:p>
        </w:tc>
        <w:tc>
          <w:tcPr>
            <w:tcW w:w="1412" w:type="dxa"/>
            <w:vMerge/>
            <w:vAlign w:val="center"/>
            <w:hideMark/>
          </w:tcPr>
          <w:p w14:paraId="752C7281" w14:textId="77777777" w:rsidR="00D3664D" w:rsidRPr="006F5E1D" w:rsidRDefault="00D3664D" w:rsidP="00D3664D">
            <w:pPr>
              <w:pBdr>
                <w:top w:val="single" w:sz="4" w:space="1" w:color="000000"/>
              </w:pBdr>
              <w:rPr>
                <w:sz w:val="18"/>
                <w:szCs w:val="18"/>
                <w:lang w:val="en-US"/>
              </w:rPr>
            </w:pPr>
          </w:p>
        </w:tc>
        <w:tc>
          <w:tcPr>
            <w:tcW w:w="1616" w:type="dxa"/>
            <w:vMerge/>
            <w:vAlign w:val="center"/>
            <w:hideMark/>
          </w:tcPr>
          <w:p w14:paraId="4531B8C6" w14:textId="77777777" w:rsidR="00D3664D" w:rsidRPr="006F5E1D" w:rsidRDefault="00D3664D" w:rsidP="00D3664D">
            <w:pPr>
              <w:pBdr>
                <w:top w:val="single" w:sz="4" w:space="1" w:color="000000"/>
              </w:pBdr>
              <w:rPr>
                <w:sz w:val="18"/>
                <w:szCs w:val="18"/>
                <w:lang w:val="en-US"/>
              </w:rPr>
            </w:pPr>
          </w:p>
        </w:tc>
        <w:tc>
          <w:tcPr>
            <w:tcW w:w="1863" w:type="dxa"/>
            <w:vMerge/>
            <w:vAlign w:val="center"/>
            <w:hideMark/>
          </w:tcPr>
          <w:p w14:paraId="1F8A4BCA" w14:textId="77777777" w:rsidR="00D3664D" w:rsidRPr="006F5E1D" w:rsidRDefault="00D3664D" w:rsidP="00D3664D">
            <w:pPr>
              <w:pBdr>
                <w:top w:val="single" w:sz="4" w:space="1" w:color="000000"/>
              </w:pBdr>
              <w:rPr>
                <w:sz w:val="18"/>
                <w:szCs w:val="18"/>
                <w:lang w:val="en-US"/>
              </w:rPr>
            </w:pPr>
          </w:p>
        </w:tc>
        <w:tc>
          <w:tcPr>
            <w:tcW w:w="1719" w:type="dxa"/>
            <w:vMerge/>
            <w:vAlign w:val="center"/>
            <w:hideMark/>
          </w:tcPr>
          <w:p w14:paraId="178A3F47" w14:textId="77777777" w:rsidR="00D3664D" w:rsidRPr="006F5E1D" w:rsidRDefault="00D3664D" w:rsidP="00D3664D">
            <w:pPr>
              <w:pBdr>
                <w:top w:val="single" w:sz="4" w:space="1" w:color="000000"/>
              </w:pBdr>
              <w:rPr>
                <w:sz w:val="18"/>
                <w:szCs w:val="18"/>
                <w:lang w:val="en-US"/>
              </w:rPr>
            </w:pPr>
          </w:p>
        </w:tc>
        <w:tc>
          <w:tcPr>
            <w:tcW w:w="1419" w:type="dxa"/>
            <w:vMerge/>
            <w:vAlign w:val="center"/>
            <w:hideMark/>
          </w:tcPr>
          <w:p w14:paraId="2DAA57CB" w14:textId="77777777" w:rsidR="00D3664D" w:rsidRPr="006F5E1D" w:rsidRDefault="00D3664D" w:rsidP="00D3664D">
            <w:pPr>
              <w:pBdr>
                <w:top w:val="single" w:sz="4" w:space="1" w:color="000000"/>
              </w:pBdr>
              <w:rPr>
                <w:sz w:val="18"/>
                <w:szCs w:val="18"/>
                <w:lang w:val="en-US"/>
              </w:rPr>
            </w:pPr>
          </w:p>
        </w:tc>
        <w:tc>
          <w:tcPr>
            <w:tcW w:w="1071" w:type="dxa"/>
            <w:vMerge/>
            <w:vAlign w:val="center"/>
            <w:hideMark/>
          </w:tcPr>
          <w:p w14:paraId="7AF6C7C8" w14:textId="77777777" w:rsidR="00D3664D" w:rsidRPr="006F5E1D" w:rsidRDefault="00D3664D" w:rsidP="00D3664D">
            <w:pPr>
              <w:pBdr>
                <w:top w:val="single" w:sz="4" w:space="1" w:color="000000"/>
              </w:pBdr>
              <w:rPr>
                <w:sz w:val="18"/>
                <w:szCs w:val="18"/>
                <w:lang w:val="en-US"/>
              </w:rPr>
            </w:pPr>
          </w:p>
        </w:tc>
        <w:tc>
          <w:tcPr>
            <w:tcW w:w="3067" w:type="dxa"/>
            <w:hideMark/>
          </w:tcPr>
          <w:p w14:paraId="685B36F8" w14:textId="77777777" w:rsidR="00D3664D" w:rsidRPr="006F5E1D" w:rsidRDefault="580A2AAB" w:rsidP="5D8904BE">
            <w:pPr>
              <w:pBdr>
                <w:top w:val="single" w:sz="4" w:space="1" w:color="000000"/>
              </w:pBdr>
              <w:rPr>
                <w:sz w:val="18"/>
                <w:szCs w:val="18"/>
                <w:lang w:val="en-US"/>
              </w:rPr>
            </w:pPr>
            <w:r w:rsidRPr="5D8904BE">
              <w:rPr>
                <w:sz w:val="18"/>
                <w:szCs w:val="18"/>
                <w:lang w:val="en-US"/>
              </w:rPr>
              <w:t>Risk Treatment 4.2: The UNDP has already initiated facilitation discussions with the national coordination of the PRUBA and PRTD projects. These discussions will have to be extended for the UNDP, directly to the World Bank which finances them and to the various ministries concerned. </w:t>
            </w:r>
          </w:p>
          <w:p w14:paraId="0E58B6EB" w14:textId="77777777" w:rsidR="00D3664D" w:rsidRPr="006F5E1D" w:rsidRDefault="580A2AAB" w:rsidP="5D8904BE">
            <w:pPr>
              <w:pBdr>
                <w:top w:val="single" w:sz="4" w:space="1" w:color="000000"/>
              </w:pBdr>
              <w:rPr>
                <w:sz w:val="18"/>
                <w:szCs w:val="18"/>
                <w:lang w:val="en-US"/>
              </w:rPr>
            </w:pPr>
            <w:r w:rsidRPr="5D8904BE">
              <w:rPr>
                <w:sz w:val="18"/>
                <w:szCs w:val="18"/>
                <w:lang w:val="en-US"/>
              </w:rPr>
              <w:t xml:space="preserve">Risk Treatment Owner: Chief of </w:t>
            </w:r>
            <w:proofErr w:type="spellStart"/>
            <w:r w:rsidRPr="5D8904BE">
              <w:rPr>
                <w:sz w:val="18"/>
                <w:szCs w:val="18"/>
                <w:lang w:val="en-US"/>
              </w:rPr>
              <w:t>Programme</w:t>
            </w:r>
            <w:proofErr w:type="spellEnd"/>
            <w:r w:rsidRPr="5D8904BE">
              <w:rPr>
                <w:sz w:val="18"/>
                <w:szCs w:val="18"/>
                <w:lang w:val="en-US"/>
              </w:rPr>
              <w:t xml:space="preserve"> and Resident Representative of UNDP in Mali </w:t>
            </w:r>
          </w:p>
        </w:tc>
      </w:tr>
      <w:tr w:rsidR="00D3664D" w:rsidRPr="00F50786" w14:paraId="5D92B3C3" w14:textId="77777777" w:rsidTr="00857B81">
        <w:trPr>
          <w:trHeight w:val="300"/>
          <w:jc w:val="center"/>
        </w:trPr>
        <w:tc>
          <w:tcPr>
            <w:tcW w:w="353" w:type="dxa"/>
            <w:vMerge/>
            <w:vAlign w:val="center"/>
            <w:hideMark/>
          </w:tcPr>
          <w:p w14:paraId="224DF5EA" w14:textId="77777777" w:rsidR="00D3664D" w:rsidRPr="006F5E1D" w:rsidRDefault="00D3664D" w:rsidP="00D3664D">
            <w:pPr>
              <w:pBdr>
                <w:top w:val="single" w:sz="4" w:space="1" w:color="000000"/>
              </w:pBdr>
              <w:rPr>
                <w:sz w:val="18"/>
                <w:szCs w:val="18"/>
                <w:lang w:val="en-US"/>
              </w:rPr>
            </w:pPr>
          </w:p>
        </w:tc>
        <w:tc>
          <w:tcPr>
            <w:tcW w:w="1472" w:type="dxa"/>
            <w:vMerge/>
            <w:vAlign w:val="center"/>
            <w:hideMark/>
          </w:tcPr>
          <w:p w14:paraId="23DFD61F" w14:textId="77777777" w:rsidR="00D3664D" w:rsidRPr="006F5E1D" w:rsidRDefault="00D3664D" w:rsidP="00D3664D">
            <w:pPr>
              <w:pBdr>
                <w:top w:val="single" w:sz="4" w:space="1" w:color="000000"/>
              </w:pBdr>
              <w:rPr>
                <w:sz w:val="18"/>
                <w:szCs w:val="18"/>
                <w:lang w:val="en-US"/>
              </w:rPr>
            </w:pPr>
          </w:p>
        </w:tc>
        <w:tc>
          <w:tcPr>
            <w:tcW w:w="1412" w:type="dxa"/>
            <w:vMerge/>
            <w:vAlign w:val="center"/>
            <w:hideMark/>
          </w:tcPr>
          <w:p w14:paraId="5D261B02" w14:textId="77777777" w:rsidR="00D3664D" w:rsidRPr="006F5E1D" w:rsidRDefault="00D3664D" w:rsidP="00D3664D">
            <w:pPr>
              <w:pBdr>
                <w:top w:val="single" w:sz="4" w:space="1" w:color="000000"/>
              </w:pBdr>
              <w:rPr>
                <w:sz w:val="18"/>
                <w:szCs w:val="18"/>
                <w:lang w:val="en-US"/>
              </w:rPr>
            </w:pPr>
          </w:p>
        </w:tc>
        <w:tc>
          <w:tcPr>
            <w:tcW w:w="1616" w:type="dxa"/>
            <w:vMerge/>
            <w:vAlign w:val="center"/>
            <w:hideMark/>
          </w:tcPr>
          <w:p w14:paraId="19E6FAF7" w14:textId="77777777" w:rsidR="00D3664D" w:rsidRPr="006F5E1D" w:rsidRDefault="00D3664D" w:rsidP="00D3664D">
            <w:pPr>
              <w:pBdr>
                <w:top w:val="single" w:sz="4" w:space="1" w:color="000000"/>
              </w:pBdr>
              <w:rPr>
                <w:sz w:val="18"/>
                <w:szCs w:val="18"/>
                <w:lang w:val="en-US"/>
              </w:rPr>
            </w:pPr>
          </w:p>
        </w:tc>
        <w:tc>
          <w:tcPr>
            <w:tcW w:w="1863" w:type="dxa"/>
            <w:vMerge/>
            <w:vAlign w:val="center"/>
            <w:hideMark/>
          </w:tcPr>
          <w:p w14:paraId="4D368409" w14:textId="77777777" w:rsidR="00D3664D" w:rsidRPr="006F5E1D" w:rsidRDefault="00D3664D" w:rsidP="00D3664D">
            <w:pPr>
              <w:pBdr>
                <w:top w:val="single" w:sz="4" w:space="1" w:color="000000"/>
              </w:pBdr>
              <w:rPr>
                <w:sz w:val="18"/>
                <w:szCs w:val="18"/>
                <w:lang w:val="en-US"/>
              </w:rPr>
            </w:pPr>
          </w:p>
        </w:tc>
        <w:tc>
          <w:tcPr>
            <w:tcW w:w="1719" w:type="dxa"/>
            <w:vMerge/>
            <w:vAlign w:val="center"/>
            <w:hideMark/>
          </w:tcPr>
          <w:p w14:paraId="3F7430D9" w14:textId="77777777" w:rsidR="00D3664D" w:rsidRPr="006F5E1D" w:rsidRDefault="00D3664D" w:rsidP="00D3664D">
            <w:pPr>
              <w:pBdr>
                <w:top w:val="single" w:sz="4" w:space="1" w:color="000000"/>
              </w:pBdr>
              <w:rPr>
                <w:sz w:val="18"/>
                <w:szCs w:val="18"/>
                <w:lang w:val="en-US"/>
              </w:rPr>
            </w:pPr>
          </w:p>
        </w:tc>
        <w:tc>
          <w:tcPr>
            <w:tcW w:w="1419" w:type="dxa"/>
            <w:vMerge/>
            <w:vAlign w:val="center"/>
            <w:hideMark/>
          </w:tcPr>
          <w:p w14:paraId="6782DE07" w14:textId="77777777" w:rsidR="00D3664D" w:rsidRPr="006F5E1D" w:rsidRDefault="00D3664D" w:rsidP="00D3664D">
            <w:pPr>
              <w:pBdr>
                <w:top w:val="single" w:sz="4" w:space="1" w:color="000000"/>
              </w:pBdr>
              <w:rPr>
                <w:sz w:val="18"/>
                <w:szCs w:val="18"/>
                <w:lang w:val="en-US"/>
              </w:rPr>
            </w:pPr>
          </w:p>
        </w:tc>
        <w:tc>
          <w:tcPr>
            <w:tcW w:w="1071" w:type="dxa"/>
            <w:vMerge/>
            <w:vAlign w:val="center"/>
            <w:hideMark/>
          </w:tcPr>
          <w:p w14:paraId="228CB3A6" w14:textId="77777777" w:rsidR="00D3664D" w:rsidRPr="006F5E1D" w:rsidRDefault="00D3664D" w:rsidP="00D3664D">
            <w:pPr>
              <w:pBdr>
                <w:top w:val="single" w:sz="4" w:space="1" w:color="000000"/>
              </w:pBdr>
              <w:rPr>
                <w:sz w:val="18"/>
                <w:szCs w:val="18"/>
                <w:lang w:val="en-US"/>
              </w:rPr>
            </w:pPr>
          </w:p>
        </w:tc>
        <w:tc>
          <w:tcPr>
            <w:tcW w:w="3067" w:type="dxa"/>
            <w:hideMark/>
          </w:tcPr>
          <w:p w14:paraId="1911DE88" w14:textId="3A70CEDD" w:rsidR="00D3664D" w:rsidRPr="006F5E1D" w:rsidRDefault="00D3664D" w:rsidP="3585F9A1">
            <w:pPr>
              <w:pBdr>
                <w:top w:val="single" w:sz="4" w:space="1" w:color="000000"/>
              </w:pBdr>
              <w:rPr>
                <w:sz w:val="18"/>
                <w:szCs w:val="18"/>
                <w:lang w:val="en-US"/>
              </w:rPr>
            </w:pPr>
          </w:p>
        </w:tc>
      </w:tr>
      <w:tr w:rsidR="00D3664D" w:rsidRPr="00F50786" w14:paraId="59F5F7D3" w14:textId="77777777" w:rsidTr="00857B81">
        <w:trPr>
          <w:trHeight w:val="3798"/>
          <w:jc w:val="center"/>
        </w:trPr>
        <w:tc>
          <w:tcPr>
            <w:tcW w:w="353" w:type="dxa"/>
            <w:vMerge w:val="restart"/>
            <w:hideMark/>
          </w:tcPr>
          <w:p w14:paraId="60072E0F" w14:textId="77777777" w:rsidR="00D3664D" w:rsidRPr="006F5E1D" w:rsidRDefault="580A2AAB" w:rsidP="5D8904BE">
            <w:pPr>
              <w:pBdr>
                <w:top w:val="single" w:sz="4" w:space="1" w:color="000000"/>
              </w:pBdr>
              <w:rPr>
                <w:sz w:val="18"/>
                <w:szCs w:val="18"/>
              </w:rPr>
            </w:pPr>
            <w:r w:rsidRPr="5D8904BE">
              <w:rPr>
                <w:sz w:val="18"/>
                <w:szCs w:val="18"/>
              </w:rPr>
              <w:t>5 </w:t>
            </w:r>
          </w:p>
        </w:tc>
        <w:tc>
          <w:tcPr>
            <w:tcW w:w="1472" w:type="dxa"/>
            <w:vMerge w:val="restart"/>
            <w:hideMark/>
          </w:tcPr>
          <w:p w14:paraId="0E7ED6B6" w14:textId="7C35CB50" w:rsidR="00D3664D" w:rsidRPr="006F5E1D" w:rsidRDefault="580A2AAB" w:rsidP="5D8904BE">
            <w:pPr>
              <w:pBdr>
                <w:top w:val="single" w:sz="4" w:space="1" w:color="000000"/>
              </w:pBdr>
              <w:rPr>
                <w:sz w:val="18"/>
                <w:szCs w:val="18"/>
                <w:lang w:val="en-US"/>
              </w:rPr>
            </w:pPr>
            <w:r w:rsidRPr="5D8904BE">
              <w:rPr>
                <w:sz w:val="18"/>
                <w:szCs w:val="18"/>
                <w:lang w:val="en-US"/>
              </w:rPr>
              <w:t xml:space="preserve">There is a risk that the </w:t>
            </w:r>
            <w:r w:rsidR="124D35CF" w:rsidRPr="5D8904BE">
              <w:rPr>
                <w:sz w:val="18"/>
                <w:szCs w:val="18"/>
                <w:lang w:val="en-US"/>
              </w:rPr>
              <w:t>IUDP</w:t>
            </w:r>
            <w:r w:rsidRPr="5D8904BE">
              <w:rPr>
                <w:sz w:val="18"/>
                <w:szCs w:val="18"/>
                <w:lang w:val="en-US"/>
              </w:rPr>
              <w:t>-Bamako, which provides solutions based on nature, climate, and model citizenship, faces market limitations and uncertainty regarding market prospects, access, price, and competition. </w:t>
            </w:r>
          </w:p>
        </w:tc>
        <w:tc>
          <w:tcPr>
            <w:tcW w:w="1412" w:type="dxa"/>
            <w:vMerge w:val="restart"/>
            <w:hideMark/>
          </w:tcPr>
          <w:p w14:paraId="32FFAEC1" w14:textId="77777777" w:rsidR="00D3664D" w:rsidRPr="006F5E1D" w:rsidRDefault="580A2AAB" w:rsidP="5D8904BE">
            <w:pPr>
              <w:pBdr>
                <w:top w:val="single" w:sz="4" w:space="1" w:color="000000"/>
              </w:pBdr>
              <w:rPr>
                <w:sz w:val="18"/>
                <w:szCs w:val="18"/>
                <w:lang w:val="en-US"/>
              </w:rPr>
            </w:pPr>
            <w:r w:rsidRPr="5D8904BE">
              <w:rPr>
                <w:sz w:val="18"/>
                <w:szCs w:val="18"/>
                <w:lang w:val="en-US"/>
              </w:rPr>
              <w:t xml:space="preserve">Due to the lack of specific national regulations, specific city incentives, and uncertainty about the country's standards for nature-based, climate-based, and model citizenship development </w:t>
            </w:r>
            <w:proofErr w:type="gramStart"/>
            <w:r w:rsidRPr="5D8904BE">
              <w:rPr>
                <w:sz w:val="18"/>
                <w:szCs w:val="18"/>
                <w:lang w:val="en-US"/>
              </w:rPr>
              <w:t>solutions;</w:t>
            </w:r>
            <w:proofErr w:type="gramEnd"/>
            <w:r w:rsidRPr="5D8904BE">
              <w:rPr>
                <w:sz w:val="18"/>
                <w:szCs w:val="18"/>
                <w:lang w:val="en-US"/>
              </w:rPr>
              <w:t> </w:t>
            </w:r>
          </w:p>
          <w:p w14:paraId="15DFE327" w14:textId="77777777" w:rsidR="00D3664D" w:rsidRPr="006F5E1D" w:rsidRDefault="580A2AAB" w:rsidP="5D8904BE">
            <w:pPr>
              <w:pBdr>
                <w:top w:val="single" w:sz="4" w:space="1" w:color="000000"/>
              </w:pBdr>
              <w:rPr>
                <w:sz w:val="18"/>
                <w:szCs w:val="18"/>
                <w:lang w:val="en-US"/>
              </w:rPr>
            </w:pPr>
            <w:r w:rsidRPr="5D8904BE">
              <w:rPr>
                <w:sz w:val="18"/>
                <w:szCs w:val="18"/>
                <w:lang w:val="en-US"/>
              </w:rPr>
              <w:lastRenderedPageBreak/>
              <w:t>Uncertainty about specific national incentives and certifications for nature-based, climate-based, and model citizenship development solutions </w:t>
            </w:r>
          </w:p>
        </w:tc>
        <w:tc>
          <w:tcPr>
            <w:tcW w:w="1616" w:type="dxa"/>
            <w:vMerge w:val="restart"/>
            <w:hideMark/>
          </w:tcPr>
          <w:p w14:paraId="491A1C1E" w14:textId="1640C5E9" w:rsidR="00D3664D" w:rsidRPr="006F5E1D" w:rsidRDefault="580A2AAB" w:rsidP="5D8904BE">
            <w:pPr>
              <w:pBdr>
                <w:top w:val="single" w:sz="4" w:space="1" w:color="000000"/>
              </w:pBdr>
              <w:rPr>
                <w:sz w:val="18"/>
                <w:szCs w:val="18"/>
                <w:lang w:val="en-US"/>
              </w:rPr>
            </w:pPr>
            <w:r w:rsidRPr="5D8904BE">
              <w:rPr>
                <w:sz w:val="18"/>
                <w:szCs w:val="18"/>
                <w:lang w:val="en-US"/>
              </w:rPr>
              <w:lastRenderedPageBreak/>
              <w:t xml:space="preserve">This will have the impact of weak mobilization and interest from the private sector and commercial banks; and </w:t>
            </w:r>
            <w:proofErr w:type="gramStart"/>
            <w:r w:rsidRPr="5D8904BE">
              <w:rPr>
                <w:sz w:val="18"/>
                <w:szCs w:val="18"/>
                <w:lang w:val="en-US"/>
              </w:rPr>
              <w:t>also</w:t>
            </w:r>
            <w:proofErr w:type="gramEnd"/>
            <w:r w:rsidRPr="5D8904BE">
              <w:rPr>
                <w:sz w:val="18"/>
                <w:szCs w:val="18"/>
                <w:lang w:val="en-US"/>
              </w:rPr>
              <w:t xml:space="preserve"> weak local initiatives from the populations in favor of the </w:t>
            </w:r>
            <w:r w:rsidR="124D35CF" w:rsidRPr="5D8904BE">
              <w:rPr>
                <w:sz w:val="18"/>
                <w:szCs w:val="18"/>
                <w:lang w:val="en-US"/>
              </w:rPr>
              <w:t>IUDP</w:t>
            </w:r>
            <w:r w:rsidRPr="5D8904BE">
              <w:rPr>
                <w:sz w:val="18"/>
                <w:szCs w:val="18"/>
                <w:lang w:val="en-US"/>
              </w:rPr>
              <w:t>-Bamako </w:t>
            </w:r>
          </w:p>
        </w:tc>
        <w:tc>
          <w:tcPr>
            <w:tcW w:w="1863" w:type="dxa"/>
            <w:vMerge w:val="restart"/>
            <w:hideMark/>
          </w:tcPr>
          <w:p w14:paraId="09B599A5" w14:textId="77777777" w:rsidR="00D3664D" w:rsidRPr="006F5E1D" w:rsidRDefault="580A2AAB" w:rsidP="5D8904BE">
            <w:pPr>
              <w:pBdr>
                <w:top w:val="single" w:sz="4" w:space="1" w:color="000000"/>
              </w:pBdr>
              <w:rPr>
                <w:sz w:val="18"/>
                <w:szCs w:val="18"/>
              </w:rPr>
            </w:pPr>
            <w:r w:rsidRPr="5D8904BE">
              <w:rPr>
                <w:b/>
                <w:bCs/>
                <w:sz w:val="18"/>
                <w:szCs w:val="18"/>
              </w:rPr>
              <w:t>Financial </w:t>
            </w:r>
            <w:r w:rsidRPr="5D8904BE">
              <w:rPr>
                <w:sz w:val="18"/>
                <w:szCs w:val="18"/>
              </w:rPr>
              <w:t> </w:t>
            </w:r>
          </w:p>
          <w:p w14:paraId="16D41441" w14:textId="77777777" w:rsidR="00D3664D" w:rsidRPr="006F5E1D" w:rsidRDefault="580A2AAB" w:rsidP="5D8904BE">
            <w:pPr>
              <w:pBdr>
                <w:top w:val="single" w:sz="4" w:space="1" w:color="000000"/>
              </w:pBdr>
              <w:rPr>
                <w:sz w:val="18"/>
                <w:szCs w:val="18"/>
              </w:rPr>
            </w:pPr>
            <w:proofErr w:type="spellStart"/>
            <w:r w:rsidRPr="5D8904BE">
              <w:rPr>
                <w:b/>
                <w:bCs/>
                <w:sz w:val="18"/>
                <w:szCs w:val="18"/>
              </w:rPr>
              <w:t>Market</w:t>
            </w:r>
            <w:proofErr w:type="spellEnd"/>
            <w:r w:rsidRPr="5D8904BE">
              <w:rPr>
                <w:b/>
                <w:bCs/>
                <w:sz w:val="18"/>
                <w:szCs w:val="18"/>
              </w:rPr>
              <w:t xml:space="preserve"> </w:t>
            </w:r>
            <w:proofErr w:type="spellStart"/>
            <w:r w:rsidRPr="5D8904BE">
              <w:rPr>
                <w:b/>
                <w:bCs/>
                <w:sz w:val="18"/>
                <w:szCs w:val="18"/>
              </w:rPr>
              <w:t>risk</w:t>
            </w:r>
            <w:proofErr w:type="spellEnd"/>
            <w:r w:rsidRPr="5D8904BE">
              <w:rPr>
                <w:sz w:val="18"/>
                <w:szCs w:val="18"/>
              </w:rPr>
              <w:t> </w:t>
            </w:r>
          </w:p>
        </w:tc>
        <w:tc>
          <w:tcPr>
            <w:tcW w:w="1719" w:type="dxa"/>
            <w:vMerge w:val="restart"/>
            <w:hideMark/>
          </w:tcPr>
          <w:p w14:paraId="6119B5C3" w14:textId="77777777" w:rsidR="00D3664D" w:rsidRPr="006F5E1D" w:rsidRDefault="580A2AAB" w:rsidP="5D8904BE">
            <w:pPr>
              <w:pBdr>
                <w:top w:val="single" w:sz="4" w:space="1" w:color="000000"/>
              </w:pBdr>
              <w:rPr>
                <w:sz w:val="18"/>
                <w:szCs w:val="18"/>
                <w:lang w:val="en-US"/>
              </w:rPr>
            </w:pPr>
            <w:r w:rsidRPr="5D8904BE">
              <w:rPr>
                <w:sz w:val="18"/>
                <w:szCs w:val="18"/>
                <w:lang w:val="en-US"/>
              </w:rPr>
              <w:t>Likelihood: 4 </w:t>
            </w:r>
          </w:p>
          <w:p w14:paraId="325EE3DD"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7D586FF2" w14:textId="77777777" w:rsidR="00D3664D" w:rsidRPr="006F5E1D" w:rsidRDefault="580A2AAB" w:rsidP="5D8904BE">
            <w:pPr>
              <w:pBdr>
                <w:top w:val="single" w:sz="4" w:space="1" w:color="000000"/>
              </w:pBdr>
              <w:rPr>
                <w:sz w:val="18"/>
                <w:szCs w:val="18"/>
                <w:lang w:val="en-US"/>
              </w:rPr>
            </w:pPr>
            <w:r w:rsidRPr="5D8904BE">
              <w:rPr>
                <w:sz w:val="18"/>
                <w:szCs w:val="18"/>
                <w:lang w:val="en-US"/>
              </w:rPr>
              <w:t>Impact: 3 </w:t>
            </w:r>
          </w:p>
          <w:p w14:paraId="44CB8EE0"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5034F9DF" w14:textId="77777777" w:rsidR="00D3664D" w:rsidRPr="006F5E1D" w:rsidRDefault="580A2AAB" w:rsidP="5D8904BE">
            <w:pPr>
              <w:pBdr>
                <w:top w:val="single" w:sz="4" w:space="1" w:color="000000"/>
              </w:pBdr>
              <w:rPr>
                <w:sz w:val="18"/>
                <w:szCs w:val="18"/>
                <w:lang w:val="en-US"/>
              </w:rPr>
            </w:pPr>
            <w:r w:rsidRPr="5D8904BE">
              <w:rPr>
                <w:sz w:val="18"/>
                <w:szCs w:val="18"/>
                <w:lang w:val="en-US"/>
              </w:rPr>
              <w:t>Risk level: moderate </w:t>
            </w:r>
          </w:p>
        </w:tc>
        <w:tc>
          <w:tcPr>
            <w:tcW w:w="1419" w:type="dxa"/>
            <w:vMerge w:val="restart"/>
            <w:hideMark/>
          </w:tcPr>
          <w:p w14:paraId="1B62B954" w14:textId="77777777" w:rsidR="00D3664D" w:rsidRPr="006F5E1D" w:rsidRDefault="580A2AAB" w:rsidP="5D8904BE">
            <w:pPr>
              <w:pBdr>
                <w:top w:val="single" w:sz="4" w:space="1" w:color="000000"/>
              </w:pBdr>
              <w:rPr>
                <w:sz w:val="18"/>
                <w:szCs w:val="18"/>
                <w:lang w:val="en-US"/>
              </w:rPr>
            </w:pPr>
            <w:r w:rsidRPr="5D8904BE">
              <w:rPr>
                <w:sz w:val="18"/>
                <w:szCs w:val="18"/>
                <w:lang w:val="en-US"/>
              </w:rPr>
              <w:t>From: Project design (</w:t>
            </w:r>
            <w:proofErr w:type="spellStart"/>
            <w:r w:rsidRPr="5D8904BE">
              <w:rPr>
                <w:sz w:val="18"/>
                <w:szCs w:val="18"/>
                <w:lang w:val="en-US"/>
              </w:rPr>
              <w:t>february</w:t>
            </w:r>
            <w:proofErr w:type="spellEnd"/>
            <w:r w:rsidRPr="5D8904BE">
              <w:rPr>
                <w:sz w:val="18"/>
                <w:szCs w:val="18"/>
                <w:lang w:val="en-US"/>
              </w:rPr>
              <w:t>, 2025) </w:t>
            </w:r>
          </w:p>
          <w:p w14:paraId="356C92C6"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214785CE" w14:textId="75957E53" w:rsidR="00D3664D" w:rsidRPr="006F5E1D" w:rsidRDefault="580A2AAB" w:rsidP="5D8904BE">
            <w:pPr>
              <w:pBdr>
                <w:top w:val="single" w:sz="4" w:space="1" w:color="000000"/>
              </w:pBdr>
              <w:rPr>
                <w:sz w:val="18"/>
                <w:szCs w:val="18"/>
                <w:lang w:val="en-US"/>
              </w:rPr>
            </w:pPr>
            <w:r w:rsidRPr="5D8904BE">
              <w:rPr>
                <w:sz w:val="18"/>
                <w:szCs w:val="18"/>
                <w:lang w:val="en-US"/>
              </w:rPr>
              <w:t xml:space="preserve">To: end of implementation of </w:t>
            </w:r>
            <w:r w:rsidR="124D35CF" w:rsidRPr="5D8904BE">
              <w:rPr>
                <w:sz w:val="18"/>
                <w:szCs w:val="18"/>
                <w:lang w:val="en-US"/>
              </w:rPr>
              <w:t>IUDP</w:t>
            </w:r>
            <w:r w:rsidRPr="5D8904BE">
              <w:rPr>
                <w:sz w:val="18"/>
                <w:szCs w:val="18"/>
                <w:lang w:val="en-US"/>
              </w:rPr>
              <w:t>-Bamako for 5 years (2032-2033) </w:t>
            </w:r>
          </w:p>
          <w:p w14:paraId="4FE4FB70"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tc>
        <w:tc>
          <w:tcPr>
            <w:tcW w:w="1071" w:type="dxa"/>
            <w:vMerge w:val="restart"/>
            <w:hideMark/>
          </w:tcPr>
          <w:p w14:paraId="1E8EDC18" w14:textId="3991E733" w:rsidR="00D3664D" w:rsidRPr="006F5E1D" w:rsidRDefault="124D35CF" w:rsidP="5D8904BE">
            <w:pPr>
              <w:pBdr>
                <w:top w:val="single" w:sz="4" w:space="1" w:color="000000"/>
              </w:pBdr>
              <w:rPr>
                <w:sz w:val="18"/>
                <w:szCs w:val="18"/>
                <w:lang w:val="en-US"/>
              </w:rPr>
            </w:pPr>
            <w:r w:rsidRPr="5D8904BE">
              <w:rPr>
                <w:sz w:val="18"/>
                <w:szCs w:val="18"/>
                <w:lang w:val="en-US"/>
              </w:rPr>
              <w:t>IUDP</w:t>
            </w:r>
            <w:r w:rsidR="580A2AAB" w:rsidRPr="5D8904BE">
              <w:rPr>
                <w:sz w:val="18"/>
                <w:szCs w:val="18"/>
                <w:lang w:val="en-US"/>
              </w:rPr>
              <w:t>-Bamako project team (design or implementation) </w:t>
            </w:r>
          </w:p>
        </w:tc>
        <w:tc>
          <w:tcPr>
            <w:tcW w:w="3067" w:type="dxa"/>
            <w:hideMark/>
          </w:tcPr>
          <w:p w14:paraId="699E477A" w14:textId="77777777" w:rsidR="00D3664D" w:rsidRPr="00F94F94" w:rsidRDefault="580A2AAB" w:rsidP="5D8904BE">
            <w:pPr>
              <w:pBdr>
                <w:top w:val="single" w:sz="4" w:space="1" w:color="000000"/>
              </w:pBdr>
              <w:rPr>
                <w:sz w:val="18"/>
                <w:szCs w:val="18"/>
                <w:lang w:val="en-US"/>
              </w:rPr>
            </w:pPr>
            <w:r w:rsidRPr="00F94F94">
              <w:rPr>
                <w:sz w:val="18"/>
                <w:szCs w:val="18"/>
                <w:lang w:val="en-US"/>
              </w:rPr>
              <w:t>Risk Treatment 5.1: Faced with the precariousness and unavailability of electricity supply, the access costs of which remain high in the city, in a context of regular heat waves, communication, awareness-raising and mobilization for the popularization of “energy performance contracts”, “startups of solutions based on nature, climate and model citizenship”, “calls for projects for specific levers of financing or green subsidies” </w:t>
            </w:r>
          </w:p>
          <w:p w14:paraId="78290D73" w14:textId="1E561E73" w:rsidR="00D3664D" w:rsidRPr="00F94F94" w:rsidRDefault="5ED9FCA2" w:rsidP="537FA187">
            <w:pPr>
              <w:pBdr>
                <w:top w:val="single" w:sz="4" w:space="1" w:color="000000"/>
              </w:pBdr>
              <w:rPr>
                <w:sz w:val="18"/>
                <w:szCs w:val="18"/>
                <w:lang w:val="en-US"/>
              </w:rPr>
            </w:pPr>
            <w:r w:rsidRPr="00F94F94">
              <w:rPr>
                <w:sz w:val="18"/>
                <w:szCs w:val="18"/>
                <w:lang w:val="en-US"/>
              </w:rPr>
              <w:t xml:space="preserve">Risk Treatment Owner: </w:t>
            </w:r>
            <w:r w:rsidR="69663027" w:rsidRPr="00F94F94">
              <w:rPr>
                <w:sz w:val="18"/>
                <w:szCs w:val="18"/>
                <w:lang w:val="en-US"/>
              </w:rPr>
              <w:t>NDUPH</w:t>
            </w:r>
            <w:r w:rsidRPr="00F94F94">
              <w:rPr>
                <w:sz w:val="18"/>
                <w:szCs w:val="18"/>
                <w:lang w:val="en-US"/>
              </w:rPr>
              <w:t xml:space="preserve"> as Implementation Partner in collaboration </w:t>
            </w:r>
            <w:r w:rsidRPr="00F94F94">
              <w:rPr>
                <w:sz w:val="18"/>
                <w:szCs w:val="18"/>
                <w:lang w:val="en-US"/>
              </w:rPr>
              <w:lastRenderedPageBreak/>
              <w:t>with Responsible Parties and other relevant sectoral stakeholders </w:t>
            </w:r>
          </w:p>
        </w:tc>
      </w:tr>
      <w:tr w:rsidR="00D3664D" w:rsidRPr="00F50786" w14:paraId="070FF6F1" w14:textId="77777777" w:rsidTr="00857B81">
        <w:trPr>
          <w:trHeight w:val="300"/>
          <w:jc w:val="center"/>
        </w:trPr>
        <w:tc>
          <w:tcPr>
            <w:tcW w:w="353" w:type="dxa"/>
            <w:vMerge/>
            <w:vAlign w:val="center"/>
            <w:hideMark/>
          </w:tcPr>
          <w:p w14:paraId="4C314E04" w14:textId="77777777" w:rsidR="00D3664D" w:rsidRPr="006F5E1D" w:rsidRDefault="00D3664D" w:rsidP="00D3664D">
            <w:pPr>
              <w:pBdr>
                <w:top w:val="single" w:sz="4" w:space="1" w:color="000000"/>
              </w:pBdr>
              <w:rPr>
                <w:sz w:val="18"/>
                <w:szCs w:val="18"/>
                <w:lang w:val="en-US"/>
              </w:rPr>
            </w:pPr>
          </w:p>
        </w:tc>
        <w:tc>
          <w:tcPr>
            <w:tcW w:w="1472" w:type="dxa"/>
            <w:vMerge/>
            <w:vAlign w:val="center"/>
            <w:hideMark/>
          </w:tcPr>
          <w:p w14:paraId="1A8ACCAB" w14:textId="77777777" w:rsidR="00D3664D" w:rsidRPr="006F5E1D" w:rsidRDefault="00D3664D" w:rsidP="00D3664D">
            <w:pPr>
              <w:pBdr>
                <w:top w:val="single" w:sz="4" w:space="1" w:color="000000"/>
              </w:pBdr>
              <w:rPr>
                <w:sz w:val="18"/>
                <w:szCs w:val="18"/>
                <w:lang w:val="en-US"/>
              </w:rPr>
            </w:pPr>
          </w:p>
        </w:tc>
        <w:tc>
          <w:tcPr>
            <w:tcW w:w="1412" w:type="dxa"/>
            <w:vMerge/>
            <w:vAlign w:val="center"/>
            <w:hideMark/>
          </w:tcPr>
          <w:p w14:paraId="59DA6E19" w14:textId="77777777" w:rsidR="00D3664D" w:rsidRPr="006F5E1D" w:rsidRDefault="00D3664D" w:rsidP="00D3664D">
            <w:pPr>
              <w:pBdr>
                <w:top w:val="single" w:sz="4" w:space="1" w:color="000000"/>
              </w:pBdr>
              <w:rPr>
                <w:sz w:val="18"/>
                <w:szCs w:val="18"/>
                <w:lang w:val="en-US"/>
              </w:rPr>
            </w:pPr>
          </w:p>
        </w:tc>
        <w:tc>
          <w:tcPr>
            <w:tcW w:w="1616" w:type="dxa"/>
            <w:vMerge/>
            <w:vAlign w:val="center"/>
            <w:hideMark/>
          </w:tcPr>
          <w:p w14:paraId="2BBE94D8" w14:textId="77777777" w:rsidR="00D3664D" w:rsidRPr="006F5E1D" w:rsidRDefault="00D3664D" w:rsidP="00D3664D">
            <w:pPr>
              <w:pBdr>
                <w:top w:val="single" w:sz="4" w:space="1" w:color="000000"/>
              </w:pBdr>
              <w:rPr>
                <w:sz w:val="18"/>
                <w:szCs w:val="18"/>
                <w:lang w:val="en-US"/>
              </w:rPr>
            </w:pPr>
          </w:p>
        </w:tc>
        <w:tc>
          <w:tcPr>
            <w:tcW w:w="1863" w:type="dxa"/>
            <w:vMerge/>
            <w:vAlign w:val="center"/>
            <w:hideMark/>
          </w:tcPr>
          <w:p w14:paraId="4960DB30" w14:textId="77777777" w:rsidR="00D3664D" w:rsidRPr="006F5E1D" w:rsidRDefault="00D3664D" w:rsidP="00D3664D">
            <w:pPr>
              <w:pBdr>
                <w:top w:val="single" w:sz="4" w:space="1" w:color="000000"/>
              </w:pBdr>
              <w:rPr>
                <w:sz w:val="18"/>
                <w:szCs w:val="18"/>
                <w:lang w:val="en-US"/>
              </w:rPr>
            </w:pPr>
          </w:p>
        </w:tc>
        <w:tc>
          <w:tcPr>
            <w:tcW w:w="1719" w:type="dxa"/>
            <w:vMerge/>
            <w:vAlign w:val="center"/>
            <w:hideMark/>
          </w:tcPr>
          <w:p w14:paraId="23C5AD89" w14:textId="77777777" w:rsidR="00D3664D" w:rsidRPr="006F5E1D" w:rsidRDefault="00D3664D" w:rsidP="00D3664D">
            <w:pPr>
              <w:pBdr>
                <w:top w:val="single" w:sz="4" w:space="1" w:color="000000"/>
              </w:pBdr>
              <w:rPr>
                <w:sz w:val="18"/>
                <w:szCs w:val="18"/>
                <w:lang w:val="en-US"/>
              </w:rPr>
            </w:pPr>
          </w:p>
        </w:tc>
        <w:tc>
          <w:tcPr>
            <w:tcW w:w="1419" w:type="dxa"/>
            <w:vMerge/>
            <w:vAlign w:val="center"/>
            <w:hideMark/>
          </w:tcPr>
          <w:p w14:paraId="719F263A" w14:textId="77777777" w:rsidR="00D3664D" w:rsidRPr="006F5E1D" w:rsidRDefault="00D3664D" w:rsidP="00D3664D">
            <w:pPr>
              <w:pBdr>
                <w:top w:val="single" w:sz="4" w:space="1" w:color="000000"/>
              </w:pBdr>
              <w:rPr>
                <w:sz w:val="18"/>
                <w:szCs w:val="18"/>
                <w:lang w:val="en-US"/>
              </w:rPr>
            </w:pPr>
          </w:p>
        </w:tc>
        <w:tc>
          <w:tcPr>
            <w:tcW w:w="1071" w:type="dxa"/>
            <w:vMerge/>
            <w:vAlign w:val="center"/>
            <w:hideMark/>
          </w:tcPr>
          <w:p w14:paraId="018A6786" w14:textId="77777777" w:rsidR="00D3664D" w:rsidRPr="006F5E1D" w:rsidRDefault="00D3664D" w:rsidP="00D3664D">
            <w:pPr>
              <w:pBdr>
                <w:top w:val="single" w:sz="4" w:space="1" w:color="000000"/>
              </w:pBdr>
              <w:rPr>
                <w:sz w:val="18"/>
                <w:szCs w:val="18"/>
                <w:lang w:val="en-US"/>
              </w:rPr>
            </w:pPr>
          </w:p>
        </w:tc>
        <w:tc>
          <w:tcPr>
            <w:tcW w:w="3067" w:type="dxa"/>
            <w:hideMark/>
          </w:tcPr>
          <w:p w14:paraId="5B417028" w14:textId="765D2FA2" w:rsidR="3585F9A1" w:rsidRPr="00DC2CA1" w:rsidRDefault="3585F9A1" w:rsidP="00857B81">
            <w:pPr>
              <w:pBdr>
                <w:top w:val="single" w:sz="4" w:space="1" w:color="000000"/>
              </w:pBdr>
              <w:rPr>
                <w:color w:val="000000" w:themeColor="text1"/>
                <w:sz w:val="18"/>
                <w:szCs w:val="18"/>
                <w:highlight w:val="yellow"/>
                <w:lang w:val="en-US"/>
              </w:rPr>
            </w:pPr>
            <w:r w:rsidRPr="00DC2CA1">
              <w:rPr>
                <w:color w:val="000000" w:themeColor="text1"/>
                <w:sz w:val="18"/>
                <w:szCs w:val="18"/>
                <w:highlight w:val="yellow"/>
                <w:lang w:val="en-US"/>
              </w:rPr>
              <w:t>Risk Treatment 5.2: Co-financing by the private sector to reduce risks associated with the development of electric mobility infrastructure can be mobilized primarily through two stages:</w:t>
            </w:r>
          </w:p>
          <w:p w14:paraId="70C2BA90" w14:textId="2FF48E73" w:rsidR="075A7A8D" w:rsidRPr="00DC2CA1" w:rsidRDefault="075A7A8D" w:rsidP="00857B81">
            <w:pPr>
              <w:pStyle w:val="Paragraphedeliste"/>
              <w:numPr>
                <w:ilvl w:val="0"/>
                <w:numId w:val="4"/>
              </w:numPr>
              <w:spacing w:before="240" w:after="240" w:line="278" w:lineRule="auto"/>
              <w:rPr>
                <w:color w:val="000000" w:themeColor="text1"/>
                <w:sz w:val="18"/>
                <w:szCs w:val="18"/>
                <w:highlight w:val="yellow"/>
                <w:lang w:val="en-US"/>
              </w:rPr>
            </w:pPr>
            <w:r w:rsidRPr="00DC2CA1">
              <w:rPr>
                <w:b/>
                <w:bCs/>
                <w:color w:val="000000" w:themeColor="text1"/>
                <w:sz w:val="18"/>
                <w:szCs w:val="18"/>
                <w:highlight w:val="yellow"/>
                <w:lang w:val="en-US"/>
              </w:rPr>
              <w:t>Acquisition of taxis or motorcycle taxis by transport operators</w:t>
            </w:r>
            <w:r w:rsidRPr="00DC2CA1">
              <w:rPr>
                <w:color w:val="000000" w:themeColor="text1"/>
                <w:sz w:val="18"/>
                <w:szCs w:val="18"/>
                <w:highlight w:val="yellow"/>
                <w:lang w:val="en-US"/>
              </w:rPr>
              <w:br/>
              <w:t xml:space="preserve"> Public transport organizations, cooperatives, or economic interest groups can play a leading role in purchasing or leasing taxis and </w:t>
            </w:r>
            <w:r w:rsidRPr="00DC2CA1">
              <w:rPr>
                <w:color w:val="000000" w:themeColor="text1"/>
                <w:sz w:val="18"/>
                <w:szCs w:val="18"/>
                <w:highlight w:val="yellow"/>
                <w:lang w:val="en-US"/>
              </w:rPr>
              <w:lastRenderedPageBreak/>
              <w:t xml:space="preserve">motorcycle taxis. Public-private partnerships, supported by the national framework and with the involvement of local commercial banks, create tangible opportunities for private sector co-financing in fleet renewal and electrification. To reduce the perceived risk for private operators, the project will promote </w:t>
            </w:r>
            <w:r w:rsidRPr="00DC2CA1">
              <w:rPr>
                <w:b/>
                <w:bCs/>
                <w:color w:val="000000" w:themeColor="text1"/>
                <w:sz w:val="18"/>
                <w:szCs w:val="18"/>
                <w:highlight w:val="yellow"/>
                <w:lang w:val="en-US"/>
              </w:rPr>
              <w:t>de-risking instruments such as concessional loans, credit guarantees, and pilot subsidies</w:t>
            </w:r>
            <w:r w:rsidRPr="00DC2CA1">
              <w:rPr>
                <w:color w:val="000000" w:themeColor="text1"/>
                <w:sz w:val="18"/>
                <w:szCs w:val="18"/>
                <w:highlight w:val="yellow"/>
                <w:lang w:val="en-US"/>
              </w:rPr>
              <w:t>, ensuring that early adopters can invest with reduced exposure while building a viable market model.</w:t>
            </w:r>
          </w:p>
          <w:p w14:paraId="6296B257" w14:textId="3C027E91" w:rsidR="075A7A8D" w:rsidRPr="00DC2CA1" w:rsidRDefault="075A7A8D" w:rsidP="00857B81">
            <w:pPr>
              <w:pStyle w:val="Paragraphedeliste"/>
              <w:numPr>
                <w:ilvl w:val="0"/>
                <w:numId w:val="4"/>
              </w:numPr>
              <w:spacing w:before="240" w:after="240" w:line="278" w:lineRule="auto"/>
              <w:rPr>
                <w:color w:val="000000" w:themeColor="text1"/>
                <w:sz w:val="18"/>
                <w:szCs w:val="18"/>
                <w:highlight w:val="yellow"/>
                <w:lang w:val="en-US"/>
              </w:rPr>
            </w:pPr>
            <w:r w:rsidRPr="00DC2CA1">
              <w:rPr>
                <w:b/>
                <w:bCs/>
                <w:color w:val="000000" w:themeColor="text1"/>
                <w:sz w:val="18"/>
                <w:szCs w:val="18"/>
                <w:highlight w:val="yellow"/>
                <w:lang w:val="en-US"/>
              </w:rPr>
              <w:t>Development of private charging stations</w:t>
            </w:r>
            <w:r w:rsidRPr="00DC2CA1">
              <w:rPr>
                <w:color w:val="000000" w:themeColor="text1"/>
                <w:sz w:val="18"/>
                <w:szCs w:val="18"/>
                <w:highlight w:val="yellow"/>
                <w:lang w:val="en-US"/>
              </w:rPr>
              <w:br/>
              <w:t xml:space="preserve"> The self-production of electricity from distributed energy resources—particularly solar photovoltaic systems—is rapidly expanding in the </w:t>
            </w:r>
            <w:r w:rsidRPr="00DC2CA1">
              <w:rPr>
                <w:color w:val="000000" w:themeColor="text1"/>
                <w:sz w:val="18"/>
                <w:szCs w:val="18"/>
                <w:highlight w:val="yellow"/>
                <w:lang w:val="en-US"/>
              </w:rPr>
              <w:lastRenderedPageBreak/>
              <w:t xml:space="preserve">country. With government backing and an enabling regulatory framework, both businesses and industries have advanced in self-consumption and complementary supply to the national grid. At the same time, households are increasingly adopting solar energy, making them active contributors to decentralized energy solutions. This growing expertise and acceptance of solar systems offers strong potential for scaling up charging infrastructure. The transition is further motivated by the high costs and import dependency of conventional fossil fuels compared to locally generated solar power. Together with the use of </w:t>
            </w:r>
            <w:r w:rsidRPr="00DC2CA1">
              <w:rPr>
                <w:b/>
                <w:bCs/>
                <w:color w:val="000000" w:themeColor="text1"/>
                <w:sz w:val="18"/>
                <w:szCs w:val="18"/>
                <w:highlight w:val="yellow"/>
                <w:lang w:val="en-US"/>
              </w:rPr>
              <w:t>blended finance and PPP models for charging infrastructure</w:t>
            </w:r>
            <w:r w:rsidRPr="00DC2CA1">
              <w:rPr>
                <w:color w:val="000000" w:themeColor="text1"/>
                <w:sz w:val="18"/>
                <w:szCs w:val="18"/>
                <w:highlight w:val="yellow"/>
                <w:lang w:val="en-US"/>
              </w:rPr>
              <w:t xml:space="preserve">, these dynamics establish a solid and sustainable foundation for </w:t>
            </w:r>
            <w:r w:rsidRPr="00DC2CA1">
              <w:rPr>
                <w:color w:val="000000" w:themeColor="text1"/>
                <w:sz w:val="18"/>
                <w:szCs w:val="18"/>
                <w:highlight w:val="yellow"/>
                <w:lang w:val="en-US"/>
              </w:rPr>
              <w:lastRenderedPageBreak/>
              <w:t>private sector co-financing in the rapid growth of electric mobility.</w:t>
            </w:r>
          </w:p>
          <w:p w14:paraId="41797724" w14:textId="5925E241" w:rsidR="3585F9A1" w:rsidRPr="00DC2CA1" w:rsidRDefault="3585F9A1" w:rsidP="3585F9A1">
            <w:pPr>
              <w:pBdr>
                <w:top w:val="single" w:sz="4" w:space="1" w:color="000000"/>
              </w:pBdr>
              <w:rPr>
                <w:color w:val="000000" w:themeColor="text1"/>
                <w:sz w:val="18"/>
                <w:szCs w:val="18"/>
                <w:highlight w:val="yellow"/>
                <w:lang w:val="en-US"/>
              </w:rPr>
            </w:pPr>
          </w:p>
          <w:p w14:paraId="269C171B" w14:textId="36167A4C" w:rsidR="3585F9A1" w:rsidRPr="00DC2CA1" w:rsidRDefault="3585F9A1" w:rsidP="3585F9A1">
            <w:pPr>
              <w:pBdr>
                <w:top w:val="single" w:sz="4" w:space="1" w:color="000000"/>
              </w:pBdr>
              <w:rPr>
                <w:color w:val="000000" w:themeColor="text1"/>
                <w:sz w:val="18"/>
                <w:szCs w:val="18"/>
                <w:highlight w:val="yellow"/>
                <w:lang w:val="en-US"/>
              </w:rPr>
            </w:pPr>
          </w:p>
          <w:p w14:paraId="51ADC118" w14:textId="59FC9844" w:rsidR="3585F9A1" w:rsidRPr="00DC2CA1" w:rsidRDefault="3585F9A1" w:rsidP="3585F9A1">
            <w:pPr>
              <w:pBdr>
                <w:top w:val="single" w:sz="4" w:space="1" w:color="000000"/>
              </w:pBdr>
              <w:rPr>
                <w:color w:val="000000" w:themeColor="text1"/>
                <w:sz w:val="18"/>
                <w:szCs w:val="18"/>
                <w:highlight w:val="yellow"/>
                <w:lang w:val="en-US"/>
              </w:rPr>
            </w:pPr>
          </w:p>
          <w:p w14:paraId="6A39AA26" w14:textId="2337B9CF" w:rsidR="00D3664D" w:rsidRPr="00DC2CA1" w:rsidRDefault="78BF8E7E" w:rsidP="3585F9A1">
            <w:pPr>
              <w:rPr>
                <w:color w:val="000000" w:themeColor="text1"/>
                <w:sz w:val="18"/>
                <w:szCs w:val="18"/>
                <w:highlight w:val="yellow"/>
                <w:lang w:val="en-US"/>
              </w:rPr>
            </w:pPr>
            <w:r w:rsidRPr="00DC2CA1">
              <w:rPr>
                <w:color w:val="000000" w:themeColor="text1"/>
                <w:sz w:val="18"/>
                <w:szCs w:val="18"/>
                <w:highlight w:val="yellow"/>
                <w:lang w:val="en-US"/>
              </w:rPr>
              <w:t xml:space="preserve">Risk Treatment Owner: </w:t>
            </w:r>
            <w:proofErr w:type="spellStart"/>
            <w:r w:rsidR="3585F9A1" w:rsidRPr="00DC2CA1">
              <w:rPr>
                <w:color w:val="000000" w:themeColor="text1"/>
                <w:sz w:val="18"/>
                <w:szCs w:val="18"/>
                <w:highlight w:val="yellow"/>
                <w:lang w:val="en-US"/>
              </w:rPr>
              <w:t>NDPH</w:t>
            </w:r>
            <w:r w:rsidR="6C50C330" w:rsidRPr="00DC2CA1">
              <w:rPr>
                <w:color w:val="000000" w:themeColor="text1"/>
                <w:sz w:val="18"/>
                <w:szCs w:val="18"/>
                <w:highlight w:val="yellow"/>
                <w:lang w:val="en-US"/>
              </w:rPr>
              <w:t>with</w:t>
            </w:r>
            <w:proofErr w:type="spellEnd"/>
            <w:r w:rsidR="6C50C330" w:rsidRPr="00DC2CA1">
              <w:rPr>
                <w:color w:val="000000" w:themeColor="text1"/>
                <w:sz w:val="18"/>
                <w:szCs w:val="18"/>
                <w:highlight w:val="yellow"/>
                <w:lang w:val="en-US"/>
              </w:rPr>
              <w:t xml:space="preserve"> </w:t>
            </w:r>
            <w:r w:rsidR="3585F9A1" w:rsidRPr="00DC2CA1">
              <w:rPr>
                <w:color w:val="000000" w:themeColor="text1"/>
                <w:sz w:val="18"/>
                <w:szCs w:val="18"/>
                <w:highlight w:val="yellow"/>
                <w:lang w:val="en-US"/>
              </w:rPr>
              <w:t>GDT</w:t>
            </w:r>
            <w:r w:rsidR="63154F17" w:rsidRPr="00DC2CA1">
              <w:rPr>
                <w:color w:val="000000" w:themeColor="text1"/>
                <w:sz w:val="18"/>
                <w:szCs w:val="18"/>
                <w:highlight w:val="yellow"/>
                <w:lang w:val="en-US"/>
              </w:rPr>
              <w:t xml:space="preserve"> as responsible party for component 2</w:t>
            </w:r>
          </w:p>
          <w:p w14:paraId="1197C93D" w14:textId="7725D98C" w:rsidR="00D3664D" w:rsidRPr="00DC2CA1" w:rsidRDefault="3585F9A1" w:rsidP="3585F9A1">
            <w:pPr>
              <w:rPr>
                <w:color w:val="000000" w:themeColor="text1"/>
                <w:sz w:val="18"/>
                <w:szCs w:val="18"/>
                <w:highlight w:val="yellow"/>
                <w:lang w:val="en-US"/>
              </w:rPr>
            </w:pPr>
            <w:r w:rsidRPr="00DC2CA1">
              <w:rPr>
                <w:color w:val="000000" w:themeColor="text1"/>
                <w:sz w:val="18"/>
                <w:szCs w:val="18"/>
                <w:highlight w:val="yellow"/>
                <w:lang w:val="en-US"/>
              </w:rPr>
              <w:t xml:space="preserve"> </w:t>
            </w:r>
          </w:p>
        </w:tc>
      </w:tr>
      <w:tr w:rsidR="00D3664D" w:rsidRPr="00F50786" w14:paraId="637BDE45" w14:textId="77777777" w:rsidTr="00857B81">
        <w:trPr>
          <w:trHeight w:val="300"/>
          <w:jc w:val="center"/>
        </w:trPr>
        <w:tc>
          <w:tcPr>
            <w:tcW w:w="353" w:type="dxa"/>
            <w:vMerge/>
            <w:vAlign w:val="center"/>
            <w:hideMark/>
          </w:tcPr>
          <w:p w14:paraId="0A811D7F" w14:textId="77777777" w:rsidR="00D3664D" w:rsidRPr="006F5E1D" w:rsidRDefault="00D3664D" w:rsidP="00D3664D">
            <w:pPr>
              <w:pBdr>
                <w:top w:val="single" w:sz="4" w:space="1" w:color="000000"/>
              </w:pBdr>
              <w:rPr>
                <w:sz w:val="18"/>
                <w:szCs w:val="18"/>
                <w:lang w:val="en-US"/>
              </w:rPr>
            </w:pPr>
          </w:p>
        </w:tc>
        <w:tc>
          <w:tcPr>
            <w:tcW w:w="1472" w:type="dxa"/>
            <w:vMerge/>
            <w:vAlign w:val="center"/>
            <w:hideMark/>
          </w:tcPr>
          <w:p w14:paraId="16554F7B" w14:textId="77777777" w:rsidR="00D3664D" w:rsidRPr="006F5E1D" w:rsidRDefault="00D3664D" w:rsidP="00D3664D">
            <w:pPr>
              <w:pBdr>
                <w:top w:val="single" w:sz="4" w:space="1" w:color="000000"/>
              </w:pBdr>
              <w:rPr>
                <w:sz w:val="18"/>
                <w:szCs w:val="18"/>
                <w:lang w:val="en-US"/>
              </w:rPr>
            </w:pPr>
          </w:p>
        </w:tc>
        <w:tc>
          <w:tcPr>
            <w:tcW w:w="1412" w:type="dxa"/>
            <w:vMerge/>
            <w:vAlign w:val="center"/>
            <w:hideMark/>
          </w:tcPr>
          <w:p w14:paraId="61D6D9F4" w14:textId="77777777" w:rsidR="00D3664D" w:rsidRPr="006F5E1D" w:rsidRDefault="00D3664D" w:rsidP="00D3664D">
            <w:pPr>
              <w:pBdr>
                <w:top w:val="single" w:sz="4" w:space="1" w:color="000000"/>
              </w:pBdr>
              <w:rPr>
                <w:sz w:val="18"/>
                <w:szCs w:val="18"/>
                <w:lang w:val="en-US"/>
              </w:rPr>
            </w:pPr>
          </w:p>
        </w:tc>
        <w:tc>
          <w:tcPr>
            <w:tcW w:w="1616" w:type="dxa"/>
            <w:vMerge/>
            <w:vAlign w:val="center"/>
            <w:hideMark/>
          </w:tcPr>
          <w:p w14:paraId="0A744F4B" w14:textId="77777777" w:rsidR="00D3664D" w:rsidRPr="006F5E1D" w:rsidRDefault="00D3664D" w:rsidP="00D3664D">
            <w:pPr>
              <w:pBdr>
                <w:top w:val="single" w:sz="4" w:space="1" w:color="000000"/>
              </w:pBdr>
              <w:rPr>
                <w:sz w:val="18"/>
                <w:szCs w:val="18"/>
                <w:lang w:val="en-US"/>
              </w:rPr>
            </w:pPr>
          </w:p>
        </w:tc>
        <w:tc>
          <w:tcPr>
            <w:tcW w:w="1863" w:type="dxa"/>
            <w:vMerge/>
            <w:vAlign w:val="center"/>
            <w:hideMark/>
          </w:tcPr>
          <w:p w14:paraId="2B12A812" w14:textId="77777777" w:rsidR="00D3664D" w:rsidRPr="006F5E1D" w:rsidRDefault="00D3664D" w:rsidP="00D3664D">
            <w:pPr>
              <w:pBdr>
                <w:top w:val="single" w:sz="4" w:space="1" w:color="000000"/>
              </w:pBdr>
              <w:rPr>
                <w:sz w:val="18"/>
                <w:szCs w:val="18"/>
                <w:lang w:val="en-US"/>
              </w:rPr>
            </w:pPr>
          </w:p>
        </w:tc>
        <w:tc>
          <w:tcPr>
            <w:tcW w:w="1719" w:type="dxa"/>
            <w:vMerge/>
            <w:vAlign w:val="center"/>
            <w:hideMark/>
          </w:tcPr>
          <w:p w14:paraId="05C67A62" w14:textId="77777777" w:rsidR="00D3664D" w:rsidRPr="006F5E1D" w:rsidRDefault="00D3664D" w:rsidP="00D3664D">
            <w:pPr>
              <w:pBdr>
                <w:top w:val="single" w:sz="4" w:space="1" w:color="000000"/>
              </w:pBdr>
              <w:rPr>
                <w:sz w:val="18"/>
                <w:szCs w:val="18"/>
                <w:lang w:val="en-US"/>
              </w:rPr>
            </w:pPr>
          </w:p>
        </w:tc>
        <w:tc>
          <w:tcPr>
            <w:tcW w:w="1419" w:type="dxa"/>
            <w:vMerge/>
            <w:vAlign w:val="center"/>
            <w:hideMark/>
          </w:tcPr>
          <w:p w14:paraId="2A51ABCA" w14:textId="77777777" w:rsidR="00D3664D" w:rsidRPr="006F5E1D" w:rsidRDefault="00D3664D" w:rsidP="00D3664D">
            <w:pPr>
              <w:pBdr>
                <w:top w:val="single" w:sz="4" w:space="1" w:color="000000"/>
              </w:pBdr>
              <w:rPr>
                <w:sz w:val="18"/>
                <w:szCs w:val="18"/>
                <w:lang w:val="en-US"/>
              </w:rPr>
            </w:pPr>
          </w:p>
        </w:tc>
        <w:tc>
          <w:tcPr>
            <w:tcW w:w="1071" w:type="dxa"/>
            <w:vMerge/>
            <w:vAlign w:val="center"/>
            <w:hideMark/>
          </w:tcPr>
          <w:p w14:paraId="1A3821FA" w14:textId="77777777" w:rsidR="00D3664D" w:rsidRPr="006F5E1D" w:rsidRDefault="00D3664D" w:rsidP="00D3664D">
            <w:pPr>
              <w:pBdr>
                <w:top w:val="single" w:sz="4" w:space="1" w:color="000000"/>
              </w:pBdr>
              <w:rPr>
                <w:sz w:val="18"/>
                <w:szCs w:val="18"/>
                <w:lang w:val="en-US"/>
              </w:rPr>
            </w:pPr>
          </w:p>
        </w:tc>
        <w:tc>
          <w:tcPr>
            <w:tcW w:w="3067" w:type="dxa"/>
            <w:hideMark/>
          </w:tcPr>
          <w:p w14:paraId="767C3322" w14:textId="77777777" w:rsidR="00D3664D" w:rsidRPr="00857B81" w:rsidRDefault="78BF8E7E" w:rsidP="3585F9A1">
            <w:pPr>
              <w:pBdr>
                <w:top w:val="single" w:sz="4" w:space="1" w:color="000000"/>
              </w:pBdr>
              <w:rPr>
                <w:sz w:val="16"/>
                <w:szCs w:val="16"/>
                <w:lang w:val="en-US"/>
              </w:rPr>
            </w:pPr>
            <w:r w:rsidRPr="00857B81">
              <w:rPr>
                <w:sz w:val="16"/>
                <w:szCs w:val="16"/>
                <w:lang w:val="en-US"/>
              </w:rPr>
              <w:t>Risk Treatment 5.3: … </w:t>
            </w:r>
          </w:p>
          <w:p w14:paraId="15C28BDA" w14:textId="77777777" w:rsidR="00D3664D" w:rsidRPr="00857B81" w:rsidRDefault="78BF8E7E" w:rsidP="3585F9A1">
            <w:pPr>
              <w:pBdr>
                <w:top w:val="single" w:sz="4" w:space="1" w:color="000000"/>
              </w:pBdr>
              <w:rPr>
                <w:sz w:val="16"/>
                <w:szCs w:val="16"/>
                <w:lang w:val="en-US"/>
              </w:rPr>
            </w:pPr>
            <w:r w:rsidRPr="00857B81">
              <w:rPr>
                <w:sz w:val="16"/>
                <w:szCs w:val="16"/>
                <w:lang w:val="en-US"/>
              </w:rPr>
              <w:t>Risk Treatment Owner: … </w:t>
            </w:r>
          </w:p>
        </w:tc>
      </w:tr>
      <w:tr w:rsidR="00D3664D" w:rsidRPr="00F50786" w14:paraId="59249237" w14:textId="77777777" w:rsidTr="00857B81">
        <w:trPr>
          <w:trHeight w:val="300"/>
          <w:jc w:val="center"/>
        </w:trPr>
        <w:tc>
          <w:tcPr>
            <w:tcW w:w="353" w:type="dxa"/>
            <w:vMerge w:val="restart"/>
            <w:hideMark/>
          </w:tcPr>
          <w:p w14:paraId="220AE020" w14:textId="77777777" w:rsidR="00D3664D" w:rsidRPr="006F5E1D" w:rsidRDefault="580A2AAB" w:rsidP="5D8904BE">
            <w:pPr>
              <w:pBdr>
                <w:top w:val="single" w:sz="4" w:space="1" w:color="000000"/>
              </w:pBdr>
              <w:rPr>
                <w:sz w:val="18"/>
                <w:szCs w:val="18"/>
              </w:rPr>
            </w:pPr>
            <w:r w:rsidRPr="5D8904BE">
              <w:rPr>
                <w:sz w:val="18"/>
                <w:szCs w:val="18"/>
              </w:rPr>
              <w:t>6 </w:t>
            </w:r>
          </w:p>
        </w:tc>
        <w:tc>
          <w:tcPr>
            <w:tcW w:w="1472" w:type="dxa"/>
            <w:vMerge w:val="restart"/>
            <w:hideMark/>
          </w:tcPr>
          <w:p w14:paraId="1644E40D" w14:textId="77777777" w:rsidR="00D3664D" w:rsidRPr="006F5E1D" w:rsidRDefault="580A2AAB" w:rsidP="5D8904BE">
            <w:pPr>
              <w:pBdr>
                <w:top w:val="single" w:sz="4" w:space="1" w:color="000000"/>
              </w:pBdr>
              <w:rPr>
                <w:sz w:val="18"/>
                <w:szCs w:val="18"/>
                <w:lang w:val="en-US"/>
              </w:rPr>
            </w:pPr>
            <w:r w:rsidRPr="5D8904BE">
              <w:rPr>
                <w:sz w:val="18"/>
                <w:szCs w:val="18"/>
                <w:lang w:val="en-US"/>
              </w:rPr>
              <w:t xml:space="preserve">There is a risk related to the lack of awareness and resistance to studies, engineering, etc. of development solutions based on nature, climate and model citizenship among the beneficiary </w:t>
            </w:r>
            <w:r w:rsidRPr="5D8904BE">
              <w:rPr>
                <w:sz w:val="18"/>
                <w:szCs w:val="18"/>
                <w:lang w:val="en-US"/>
              </w:rPr>
              <w:lastRenderedPageBreak/>
              <w:t>populations of the city. </w:t>
            </w:r>
          </w:p>
        </w:tc>
        <w:tc>
          <w:tcPr>
            <w:tcW w:w="1412" w:type="dxa"/>
            <w:vMerge w:val="restart"/>
            <w:hideMark/>
          </w:tcPr>
          <w:p w14:paraId="6BED7194" w14:textId="32187495" w:rsidR="00D3664D" w:rsidRPr="006F5E1D" w:rsidRDefault="78BF8E7E" w:rsidP="3585F9A1">
            <w:pPr>
              <w:pBdr>
                <w:top w:val="single" w:sz="4" w:space="1" w:color="000000"/>
              </w:pBdr>
              <w:rPr>
                <w:sz w:val="18"/>
                <w:szCs w:val="18"/>
                <w:lang w:val="en-US"/>
              </w:rPr>
            </w:pPr>
            <w:r w:rsidRPr="3585F9A1">
              <w:rPr>
                <w:sz w:val="18"/>
                <w:szCs w:val="18"/>
                <w:lang w:val="en-US"/>
              </w:rPr>
              <w:lastRenderedPageBreak/>
              <w:t xml:space="preserve">Because the beneficiaries of the </w:t>
            </w:r>
            <w:r w:rsidR="42E81CE8" w:rsidRPr="3585F9A1">
              <w:rPr>
                <w:sz w:val="18"/>
                <w:szCs w:val="18"/>
                <w:lang w:val="en-US"/>
              </w:rPr>
              <w:t>IUDP</w:t>
            </w:r>
            <w:r w:rsidRPr="3585F9A1">
              <w:rPr>
                <w:sz w:val="18"/>
                <w:szCs w:val="18"/>
                <w:lang w:val="en-US"/>
              </w:rPr>
              <w:t xml:space="preserve">-Bamako's sustainable solutions are local authorities and populations. The inadequacy of their skills or organizations in meeting the prerequisites </w:t>
            </w:r>
            <w:r w:rsidRPr="3585F9A1">
              <w:rPr>
                <w:sz w:val="18"/>
                <w:szCs w:val="18"/>
                <w:lang w:val="en-US"/>
              </w:rPr>
              <w:lastRenderedPageBreak/>
              <w:t>necessary for the appropriation and use of sustainable solutions can constitute a barrier to their better anchoring in the city. </w:t>
            </w:r>
            <w:r w:rsidR="21AC7208" w:rsidRPr="00857B81">
              <w:rPr>
                <w:sz w:val="18"/>
                <w:szCs w:val="18"/>
                <w:highlight w:val="yellow"/>
                <w:lang w:val="en-US"/>
              </w:rPr>
              <w:t>In addition, specific risk relates to the sustainability of investments in restored forests, green spaces, and the green belt around Bamako.</w:t>
            </w:r>
          </w:p>
        </w:tc>
        <w:tc>
          <w:tcPr>
            <w:tcW w:w="1616" w:type="dxa"/>
            <w:vMerge w:val="restart"/>
            <w:hideMark/>
          </w:tcPr>
          <w:p w14:paraId="0F2B3713" w14:textId="3BB4EFFD" w:rsidR="00D3664D" w:rsidRPr="006F5E1D" w:rsidRDefault="580A2AAB" w:rsidP="5D8904BE">
            <w:pPr>
              <w:pBdr>
                <w:top w:val="single" w:sz="4" w:space="1" w:color="000000"/>
              </w:pBdr>
              <w:rPr>
                <w:sz w:val="18"/>
                <w:szCs w:val="18"/>
                <w:lang w:val="en-US"/>
              </w:rPr>
            </w:pPr>
            <w:r w:rsidRPr="5D8904BE">
              <w:rPr>
                <w:sz w:val="18"/>
                <w:szCs w:val="18"/>
                <w:lang w:val="en-US"/>
              </w:rPr>
              <w:lastRenderedPageBreak/>
              <w:t xml:space="preserve">The impact of this will be that the </w:t>
            </w:r>
            <w:r w:rsidR="124D35CF" w:rsidRPr="5D8904BE">
              <w:rPr>
                <w:sz w:val="18"/>
                <w:szCs w:val="18"/>
                <w:lang w:val="en-US"/>
              </w:rPr>
              <w:t>IUDP</w:t>
            </w:r>
            <w:r w:rsidRPr="5D8904BE">
              <w:rPr>
                <w:sz w:val="18"/>
                <w:szCs w:val="18"/>
                <w:lang w:val="en-US"/>
              </w:rPr>
              <w:t xml:space="preserve">-Bamako will generate little support and will only </w:t>
            </w:r>
            <w:proofErr w:type="spellStart"/>
            <w:r w:rsidRPr="5D8904BE">
              <w:rPr>
                <w:sz w:val="18"/>
                <w:szCs w:val="18"/>
                <w:lang w:val="en-US"/>
              </w:rPr>
              <w:t>mobilise</w:t>
            </w:r>
            <w:proofErr w:type="spellEnd"/>
            <w:r w:rsidRPr="5D8904BE">
              <w:rPr>
                <w:sz w:val="18"/>
                <w:szCs w:val="18"/>
                <w:lang w:val="en-US"/>
              </w:rPr>
              <w:t xml:space="preserve"> to a lesser extent with communities that are inadequately involved. </w:t>
            </w:r>
          </w:p>
        </w:tc>
        <w:tc>
          <w:tcPr>
            <w:tcW w:w="1863" w:type="dxa"/>
            <w:vMerge w:val="restart"/>
            <w:hideMark/>
          </w:tcPr>
          <w:p w14:paraId="07EC9492" w14:textId="6CA10A7C" w:rsidR="00D3664D" w:rsidRPr="006F5E1D" w:rsidRDefault="00F94F94" w:rsidP="5D8904BE">
            <w:pPr>
              <w:pBdr>
                <w:top w:val="single" w:sz="4" w:space="1" w:color="000000"/>
              </w:pBdr>
              <w:rPr>
                <w:sz w:val="18"/>
                <w:szCs w:val="18"/>
              </w:rPr>
            </w:pPr>
            <w:r w:rsidRPr="5D8904BE">
              <w:rPr>
                <w:b/>
                <w:bCs/>
                <w:sz w:val="18"/>
                <w:szCs w:val="18"/>
              </w:rPr>
              <w:t>Environnemental</w:t>
            </w:r>
            <w:r w:rsidR="580A2AAB" w:rsidRPr="5D8904BE">
              <w:rPr>
                <w:b/>
                <w:bCs/>
                <w:sz w:val="18"/>
                <w:szCs w:val="18"/>
              </w:rPr>
              <w:t xml:space="preserve"> and Social </w:t>
            </w:r>
            <w:proofErr w:type="spellStart"/>
            <w:r w:rsidR="580A2AAB" w:rsidRPr="5D8904BE">
              <w:rPr>
                <w:b/>
                <w:bCs/>
                <w:sz w:val="18"/>
                <w:szCs w:val="18"/>
              </w:rPr>
              <w:t>Social</w:t>
            </w:r>
            <w:proofErr w:type="spellEnd"/>
            <w:r w:rsidR="580A2AAB" w:rsidRPr="5D8904BE">
              <w:rPr>
                <w:b/>
                <w:bCs/>
                <w:sz w:val="18"/>
                <w:szCs w:val="18"/>
              </w:rPr>
              <w:t xml:space="preserve"> acceptance</w:t>
            </w:r>
            <w:r w:rsidR="580A2AAB" w:rsidRPr="5D8904BE">
              <w:rPr>
                <w:sz w:val="18"/>
                <w:szCs w:val="18"/>
              </w:rPr>
              <w:t> </w:t>
            </w:r>
          </w:p>
          <w:p w14:paraId="1A0C4F27" w14:textId="77777777" w:rsidR="00D3664D" w:rsidRPr="006F5E1D" w:rsidRDefault="580A2AAB" w:rsidP="5D8904BE">
            <w:pPr>
              <w:pBdr>
                <w:top w:val="single" w:sz="4" w:space="1" w:color="000000"/>
              </w:pBdr>
              <w:rPr>
                <w:sz w:val="18"/>
                <w:szCs w:val="18"/>
              </w:rPr>
            </w:pPr>
            <w:r w:rsidRPr="5D8904BE">
              <w:rPr>
                <w:sz w:val="18"/>
                <w:szCs w:val="18"/>
              </w:rPr>
              <w:t> </w:t>
            </w:r>
          </w:p>
        </w:tc>
        <w:tc>
          <w:tcPr>
            <w:tcW w:w="1719" w:type="dxa"/>
            <w:vMerge w:val="restart"/>
            <w:hideMark/>
          </w:tcPr>
          <w:p w14:paraId="654541CA" w14:textId="77777777" w:rsidR="00D3664D" w:rsidRPr="006F5E1D" w:rsidRDefault="580A2AAB" w:rsidP="5D8904BE">
            <w:pPr>
              <w:pBdr>
                <w:top w:val="single" w:sz="4" w:space="1" w:color="000000"/>
              </w:pBdr>
              <w:rPr>
                <w:sz w:val="18"/>
                <w:szCs w:val="18"/>
                <w:lang w:val="en-US"/>
              </w:rPr>
            </w:pPr>
            <w:r w:rsidRPr="5D8904BE">
              <w:rPr>
                <w:sz w:val="18"/>
                <w:szCs w:val="18"/>
                <w:lang w:val="en-US"/>
              </w:rPr>
              <w:t>Likelihood:  3 </w:t>
            </w:r>
          </w:p>
          <w:p w14:paraId="2CF9CC2F" w14:textId="77777777" w:rsidR="00D3664D" w:rsidRPr="006F5E1D" w:rsidRDefault="580A2AAB" w:rsidP="5D8904BE">
            <w:pPr>
              <w:pBdr>
                <w:top w:val="single" w:sz="4" w:space="1" w:color="000000"/>
              </w:pBdr>
              <w:rPr>
                <w:sz w:val="18"/>
                <w:szCs w:val="18"/>
                <w:lang w:val="en-US"/>
              </w:rPr>
            </w:pPr>
            <w:r w:rsidRPr="5D8904BE">
              <w:rPr>
                <w:sz w:val="18"/>
                <w:szCs w:val="18"/>
                <w:lang w:val="en-US"/>
              </w:rPr>
              <w:t>Impact: 2 </w:t>
            </w:r>
          </w:p>
          <w:p w14:paraId="061AECD6"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51FC8557"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5F942BE7" w14:textId="77777777" w:rsidR="00D3664D" w:rsidRPr="006F5E1D" w:rsidRDefault="580A2AAB" w:rsidP="5D8904BE">
            <w:pPr>
              <w:pBdr>
                <w:top w:val="single" w:sz="4" w:space="1" w:color="000000"/>
              </w:pBdr>
              <w:rPr>
                <w:sz w:val="18"/>
                <w:szCs w:val="18"/>
                <w:lang w:val="en-US"/>
              </w:rPr>
            </w:pPr>
            <w:r w:rsidRPr="5D8904BE">
              <w:rPr>
                <w:sz w:val="18"/>
                <w:szCs w:val="18"/>
                <w:lang w:val="en-US"/>
              </w:rPr>
              <w:t>Risk level: low  </w:t>
            </w:r>
          </w:p>
        </w:tc>
        <w:tc>
          <w:tcPr>
            <w:tcW w:w="1419" w:type="dxa"/>
            <w:vMerge w:val="restart"/>
            <w:hideMark/>
          </w:tcPr>
          <w:p w14:paraId="526519D4" w14:textId="77777777" w:rsidR="00D3664D" w:rsidRPr="006F5E1D" w:rsidRDefault="580A2AAB" w:rsidP="5D8904BE">
            <w:pPr>
              <w:pBdr>
                <w:top w:val="single" w:sz="4" w:space="1" w:color="000000"/>
              </w:pBdr>
              <w:rPr>
                <w:sz w:val="18"/>
                <w:szCs w:val="18"/>
                <w:lang w:val="en-US"/>
              </w:rPr>
            </w:pPr>
            <w:r w:rsidRPr="5D8904BE">
              <w:rPr>
                <w:sz w:val="18"/>
                <w:szCs w:val="18"/>
                <w:lang w:val="en-US"/>
              </w:rPr>
              <w:t>From: Project design (</w:t>
            </w:r>
            <w:proofErr w:type="spellStart"/>
            <w:r w:rsidRPr="5D8904BE">
              <w:rPr>
                <w:sz w:val="18"/>
                <w:szCs w:val="18"/>
                <w:lang w:val="en-US"/>
              </w:rPr>
              <w:t>february</w:t>
            </w:r>
            <w:proofErr w:type="spellEnd"/>
            <w:r w:rsidRPr="5D8904BE">
              <w:rPr>
                <w:sz w:val="18"/>
                <w:szCs w:val="18"/>
                <w:lang w:val="en-US"/>
              </w:rPr>
              <w:t>, 2025) </w:t>
            </w:r>
          </w:p>
          <w:p w14:paraId="0B9CBCD9"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17059AB7" w14:textId="15CB7FCE" w:rsidR="00D3664D" w:rsidRPr="006F5E1D" w:rsidRDefault="580A2AAB" w:rsidP="5D8904BE">
            <w:pPr>
              <w:pBdr>
                <w:top w:val="single" w:sz="4" w:space="1" w:color="000000"/>
              </w:pBdr>
              <w:rPr>
                <w:sz w:val="18"/>
                <w:szCs w:val="18"/>
                <w:lang w:val="en-US"/>
              </w:rPr>
            </w:pPr>
            <w:r w:rsidRPr="5D8904BE">
              <w:rPr>
                <w:sz w:val="18"/>
                <w:szCs w:val="18"/>
                <w:lang w:val="en-US"/>
              </w:rPr>
              <w:t xml:space="preserve">To: end of implementation of </w:t>
            </w:r>
            <w:r w:rsidR="124D35CF" w:rsidRPr="5D8904BE">
              <w:rPr>
                <w:sz w:val="18"/>
                <w:szCs w:val="18"/>
                <w:lang w:val="en-US"/>
              </w:rPr>
              <w:t>IUDP</w:t>
            </w:r>
            <w:r w:rsidRPr="5D8904BE">
              <w:rPr>
                <w:sz w:val="18"/>
                <w:szCs w:val="18"/>
                <w:lang w:val="en-US"/>
              </w:rPr>
              <w:t>-Bamako for 5 years (2032-2033) </w:t>
            </w:r>
          </w:p>
          <w:p w14:paraId="4D0D15B4"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0A066F37" w14:textId="77777777" w:rsidR="00D3664D" w:rsidRPr="006F5E1D" w:rsidRDefault="580A2AAB" w:rsidP="5D8904BE">
            <w:pPr>
              <w:pBdr>
                <w:top w:val="single" w:sz="4" w:space="1" w:color="000000"/>
              </w:pBdr>
              <w:rPr>
                <w:sz w:val="18"/>
                <w:szCs w:val="18"/>
                <w:lang w:val="en-US"/>
              </w:rPr>
            </w:pPr>
            <w:r w:rsidRPr="5D8904BE">
              <w:rPr>
                <w:sz w:val="18"/>
                <w:szCs w:val="18"/>
                <w:lang w:val="en-US"/>
              </w:rPr>
              <w:lastRenderedPageBreak/>
              <w:t> </w:t>
            </w:r>
          </w:p>
        </w:tc>
        <w:tc>
          <w:tcPr>
            <w:tcW w:w="1071" w:type="dxa"/>
            <w:vMerge w:val="restart"/>
            <w:hideMark/>
          </w:tcPr>
          <w:p w14:paraId="33E535C5" w14:textId="13376294" w:rsidR="00D3664D" w:rsidRPr="006F5E1D" w:rsidRDefault="580A2AAB" w:rsidP="5D8904BE">
            <w:pPr>
              <w:pBdr>
                <w:top w:val="single" w:sz="4" w:space="1" w:color="000000"/>
              </w:pBdr>
              <w:rPr>
                <w:sz w:val="18"/>
                <w:szCs w:val="18"/>
              </w:rPr>
            </w:pPr>
            <w:proofErr w:type="spellStart"/>
            <w:r w:rsidRPr="5D8904BE">
              <w:rPr>
                <w:sz w:val="18"/>
                <w:szCs w:val="18"/>
              </w:rPr>
              <w:lastRenderedPageBreak/>
              <w:t>Government</w:t>
            </w:r>
            <w:proofErr w:type="spellEnd"/>
            <w:r w:rsidRPr="5D8904BE">
              <w:rPr>
                <w:sz w:val="18"/>
                <w:szCs w:val="18"/>
              </w:rPr>
              <w:t xml:space="preserve">, </w:t>
            </w:r>
            <w:r w:rsidR="124D35CF" w:rsidRPr="5D8904BE">
              <w:rPr>
                <w:sz w:val="18"/>
                <w:szCs w:val="18"/>
              </w:rPr>
              <w:t>IUDP</w:t>
            </w:r>
            <w:r w:rsidRPr="5D8904BE">
              <w:rPr>
                <w:sz w:val="18"/>
                <w:szCs w:val="18"/>
              </w:rPr>
              <w:t xml:space="preserve">-Bamako </w:t>
            </w:r>
            <w:proofErr w:type="gramStart"/>
            <w:r w:rsidRPr="5D8904BE">
              <w:rPr>
                <w:sz w:val="18"/>
                <w:szCs w:val="18"/>
              </w:rPr>
              <w:t>team</w:t>
            </w:r>
            <w:proofErr w:type="gramEnd"/>
            <w:r w:rsidRPr="5D8904BE">
              <w:rPr>
                <w:sz w:val="18"/>
                <w:szCs w:val="18"/>
              </w:rPr>
              <w:t> </w:t>
            </w:r>
          </w:p>
        </w:tc>
        <w:tc>
          <w:tcPr>
            <w:tcW w:w="3067" w:type="dxa"/>
            <w:hideMark/>
          </w:tcPr>
          <w:p w14:paraId="7B4CA785" w14:textId="01FAD2FA" w:rsidR="00D3664D" w:rsidRPr="00857B81" w:rsidRDefault="78BF8E7E" w:rsidP="3585F9A1">
            <w:pPr>
              <w:pBdr>
                <w:top w:val="single" w:sz="4" w:space="1" w:color="000000"/>
              </w:pBdr>
              <w:rPr>
                <w:sz w:val="16"/>
                <w:szCs w:val="16"/>
                <w:lang w:val="en-US"/>
              </w:rPr>
            </w:pPr>
            <w:r w:rsidRPr="00857B81">
              <w:rPr>
                <w:sz w:val="16"/>
                <w:szCs w:val="16"/>
                <w:lang w:val="en-US"/>
              </w:rPr>
              <w:t xml:space="preserve">Risk Treatment 6.1: encourage all construction or service companies involved in the implementation of the </w:t>
            </w:r>
            <w:r w:rsidR="42E81CE8" w:rsidRPr="00857B81">
              <w:rPr>
                <w:sz w:val="16"/>
                <w:szCs w:val="16"/>
                <w:lang w:val="en-US"/>
              </w:rPr>
              <w:t>IUDP</w:t>
            </w:r>
            <w:r w:rsidRPr="00857B81">
              <w:rPr>
                <w:sz w:val="16"/>
                <w:szCs w:val="16"/>
                <w:lang w:val="en-US"/>
              </w:rPr>
              <w:t>-Bamako to integrate CSR activities based on nature, climate and model citizenship </w:t>
            </w:r>
          </w:p>
          <w:p w14:paraId="46C39B2B" w14:textId="6D351E7A" w:rsidR="00D3664D" w:rsidRPr="00857B81" w:rsidRDefault="764C5370" w:rsidP="3585F9A1">
            <w:pPr>
              <w:pBdr>
                <w:top w:val="single" w:sz="4" w:space="1" w:color="000000"/>
              </w:pBdr>
              <w:rPr>
                <w:sz w:val="16"/>
                <w:szCs w:val="16"/>
                <w:lang w:val="en-US"/>
              </w:rPr>
            </w:pPr>
            <w:r w:rsidRPr="00857B81">
              <w:rPr>
                <w:sz w:val="16"/>
                <w:szCs w:val="16"/>
                <w:lang w:val="en-US"/>
              </w:rPr>
              <w:t xml:space="preserve">Risk Treatment Owner: </w:t>
            </w:r>
            <w:r w:rsidR="5F827312" w:rsidRPr="00857B81">
              <w:rPr>
                <w:sz w:val="16"/>
                <w:szCs w:val="16"/>
                <w:lang w:val="en-US"/>
              </w:rPr>
              <w:t>NDUPH</w:t>
            </w:r>
            <w:r w:rsidRPr="00857B81">
              <w:rPr>
                <w:sz w:val="16"/>
                <w:szCs w:val="16"/>
                <w:lang w:val="en-US"/>
              </w:rPr>
              <w:t xml:space="preserve"> as Implementation Partner in agreement with the other Responsible Parties </w:t>
            </w:r>
          </w:p>
        </w:tc>
      </w:tr>
      <w:tr w:rsidR="00D3664D" w:rsidRPr="00F50786" w14:paraId="3BAA6936" w14:textId="77777777" w:rsidTr="00857B81">
        <w:trPr>
          <w:trHeight w:val="300"/>
          <w:jc w:val="center"/>
        </w:trPr>
        <w:tc>
          <w:tcPr>
            <w:tcW w:w="353" w:type="dxa"/>
            <w:vMerge/>
            <w:vAlign w:val="center"/>
            <w:hideMark/>
          </w:tcPr>
          <w:p w14:paraId="6B0A40C3" w14:textId="77777777" w:rsidR="00D3664D" w:rsidRPr="006F5E1D" w:rsidRDefault="00D3664D" w:rsidP="00D3664D">
            <w:pPr>
              <w:pBdr>
                <w:top w:val="single" w:sz="4" w:space="1" w:color="000000"/>
              </w:pBdr>
              <w:rPr>
                <w:sz w:val="18"/>
                <w:szCs w:val="18"/>
                <w:lang w:val="en-US"/>
              </w:rPr>
            </w:pPr>
          </w:p>
        </w:tc>
        <w:tc>
          <w:tcPr>
            <w:tcW w:w="1472" w:type="dxa"/>
            <w:vMerge/>
            <w:vAlign w:val="center"/>
            <w:hideMark/>
          </w:tcPr>
          <w:p w14:paraId="0363718E" w14:textId="77777777" w:rsidR="00D3664D" w:rsidRPr="006F5E1D" w:rsidRDefault="00D3664D" w:rsidP="00D3664D">
            <w:pPr>
              <w:pBdr>
                <w:top w:val="single" w:sz="4" w:space="1" w:color="000000"/>
              </w:pBdr>
              <w:rPr>
                <w:sz w:val="18"/>
                <w:szCs w:val="18"/>
                <w:lang w:val="en-US"/>
              </w:rPr>
            </w:pPr>
          </w:p>
        </w:tc>
        <w:tc>
          <w:tcPr>
            <w:tcW w:w="1412" w:type="dxa"/>
            <w:vMerge/>
            <w:vAlign w:val="center"/>
            <w:hideMark/>
          </w:tcPr>
          <w:p w14:paraId="1907F9AE" w14:textId="77777777" w:rsidR="00D3664D" w:rsidRPr="006F5E1D" w:rsidRDefault="00D3664D" w:rsidP="00D3664D">
            <w:pPr>
              <w:pBdr>
                <w:top w:val="single" w:sz="4" w:space="1" w:color="000000"/>
              </w:pBdr>
              <w:rPr>
                <w:sz w:val="18"/>
                <w:szCs w:val="18"/>
                <w:lang w:val="en-US"/>
              </w:rPr>
            </w:pPr>
          </w:p>
        </w:tc>
        <w:tc>
          <w:tcPr>
            <w:tcW w:w="1616" w:type="dxa"/>
            <w:vMerge/>
            <w:vAlign w:val="center"/>
            <w:hideMark/>
          </w:tcPr>
          <w:p w14:paraId="62023850" w14:textId="77777777" w:rsidR="00D3664D" w:rsidRPr="006F5E1D" w:rsidRDefault="00D3664D" w:rsidP="00D3664D">
            <w:pPr>
              <w:pBdr>
                <w:top w:val="single" w:sz="4" w:space="1" w:color="000000"/>
              </w:pBdr>
              <w:rPr>
                <w:sz w:val="18"/>
                <w:szCs w:val="18"/>
                <w:lang w:val="en-US"/>
              </w:rPr>
            </w:pPr>
          </w:p>
        </w:tc>
        <w:tc>
          <w:tcPr>
            <w:tcW w:w="1863" w:type="dxa"/>
            <w:vMerge/>
            <w:vAlign w:val="center"/>
            <w:hideMark/>
          </w:tcPr>
          <w:p w14:paraId="0A37466F" w14:textId="77777777" w:rsidR="00D3664D" w:rsidRPr="006F5E1D" w:rsidRDefault="00D3664D" w:rsidP="00D3664D">
            <w:pPr>
              <w:pBdr>
                <w:top w:val="single" w:sz="4" w:space="1" w:color="000000"/>
              </w:pBdr>
              <w:rPr>
                <w:sz w:val="18"/>
                <w:szCs w:val="18"/>
                <w:lang w:val="en-US"/>
              </w:rPr>
            </w:pPr>
          </w:p>
        </w:tc>
        <w:tc>
          <w:tcPr>
            <w:tcW w:w="1719" w:type="dxa"/>
            <w:vMerge/>
            <w:vAlign w:val="center"/>
            <w:hideMark/>
          </w:tcPr>
          <w:p w14:paraId="0595BCFC" w14:textId="77777777" w:rsidR="00D3664D" w:rsidRPr="006F5E1D" w:rsidRDefault="00D3664D" w:rsidP="00D3664D">
            <w:pPr>
              <w:pBdr>
                <w:top w:val="single" w:sz="4" w:space="1" w:color="000000"/>
              </w:pBdr>
              <w:rPr>
                <w:sz w:val="18"/>
                <w:szCs w:val="18"/>
                <w:lang w:val="en-US"/>
              </w:rPr>
            </w:pPr>
          </w:p>
        </w:tc>
        <w:tc>
          <w:tcPr>
            <w:tcW w:w="1419" w:type="dxa"/>
            <w:vMerge/>
            <w:vAlign w:val="center"/>
            <w:hideMark/>
          </w:tcPr>
          <w:p w14:paraId="5C7FCCE9" w14:textId="77777777" w:rsidR="00D3664D" w:rsidRPr="006F5E1D" w:rsidRDefault="00D3664D" w:rsidP="00D3664D">
            <w:pPr>
              <w:pBdr>
                <w:top w:val="single" w:sz="4" w:space="1" w:color="000000"/>
              </w:pBdr>
              <w:rPr>
                <w:sz w:val="18"/>
                <w:szCs w:val="18"/>
                <w:lang w:val="en-US"/>
              </w:rPr>
            </w:pPr>
          </w:p>
        </w:tc>
        <w:tc>
          <w:tcPr>
            <w:tcW w:w="1071" w:type="dxa"/>
            <w:vMerge/>
            <w:vAlign w:val="center"/>
            <w:hideMark/>
          </w:tcPr>
          <w:p w14:paraId="2DE4FDC8" w14:textId="77777777" w:rsidR="00D3664D" w:rsidRPr="006F5E1D" w:rsidRDefault="00D3664D" w:rsidP="00D3664D">
            <w:pPr>
              <w:pBdr>
                <w:top w:val="single" w:sz="4" w:space="1" w:color="000000"/>
              </w:pBdr>
              <w:rPr>
                <w:sz w:val="18"/>
                <w:szCs w:val="18"/>
                <w:lang w:val="en-US"/>
              </w:rPr>
            </w:pPr>
          </w:p>
        </w:tc>
        <w:tc>
          <w:tcPr>
            <w:tcW w:w="3067" w:type="dxa"/>
            <w:hideMark/>
          </w:tcPr>
          <w:p w14:paraId="44E8B427" w14:textId="77777777" w:rsidR="00D3664D" w:rsidRPr="00DC2CA1" w:rsidRDefault="78BF8E7E" w:rsidP="3585F9A1">
            <w:pPr>
              <w:pBdr>
                <w:top w:val="single" w:sz="4" w:space="1" w:color="000000"/>
              </w:pBdr>
              <w:rPr>
                <w:sz w:val="18"/>
                <w:szCs w:val="18"/>
                <w:lang w:val="en-US"/>
              </w:rPr>
            </w:pPr>
            <w:r w:rsidRPr="00DC2CA1">
              <w:rPr>
                <w:sz w:val="18"/>
                <w:szCs w:val="18"/>
                <w:lang w:val="en-US"/>
              </w:rPr>
              <w:t xml:space="preserve">Risk Treatment 6.2: Intensify the training of local authorities and support their active contributions to the intensification of institutional communication, public awareness and </w:t>
            </w:r>
            <w:r w:rsidRPr="00DC2CA1">
              <w:rPr>
                <w:sz w:val="18"/>
                <w:szCs w:val="18"/>
                <w:lang w:val="en-US"/>
              </w:rPr>
              <w:lastRenderedPageBreak/>
              <w:t>on-site demonstration sessions on solutions based on nature, climate and model citizenship </w:t>
            </w:r>
          </w:p>
          <w:p w14:paraId="2E54157C" w14:textId="77777777" w:rsidR="00D3664D" w:rsidRPr="00DC2CA1" w:rsidRDefault="78BF8E7E" w:rsidP="3585F9A1">
            <w:pPr>
              <w:pBdr>
                <w:top w:val="single" w:sz="4" w:space="1" w:color="000000"/>
              </w:pBdr>
              <w:rPr>
                <w:sz w:val="18"/>
                <w:szCs w:val="18"/>
                <w:lang w:val="en-US"/>
              </w:rPr>
            </w:pPr>
            <w:r w:rsidRPr="00DC2CA1">
              <w:rPr>
                <w:sz w:val="18"/>
                <w:szCs w:val="18"/>
                <w:lang w:val="en-US"/>
              </w:rPr>
              <w:t> </w:t>
            </w:r>
          </w:p>
          <w:p w14:paraId="6AC8FD4D" w14:textId="32195BBD" w:rsidR="00D3664D" w:rsidRPr="00DC2CA1" w:rsidRDefault="764C5370" w:rsidP="3585F9A1">
            <w:pPr>
              <w:pBdr>
                <w:top w:val="single" w:sz="4" w:space="1" w:color="000000"/>
              </w:pBdr>
              <w:rPr>
                <w:sz w:val="18"/>
                <w:szCs w:val="18"/>
                <w:lang w:val="en-US"/>
              </w:rPr>
            </w:pPr>
            <w:r w:rsidRPr="00DC2CA1">
              <w:rPr>
                <w:sz w:val="18"/>
                <w:szCs w:val="18"/>
                <w:lang w:val="en-US"/>
              </w:rPr>
              <w:t xml:space="preserve">Risk Treatment Owner: </w:t>
            </w:r>
            <w:r w:rsidR="5F827312" w:rsidRPr="00DC2CA1">
              <w:rPr>
                <w:sz w:val="18"/>
                <w:szCs w:val="18"/>
                <w:lang w:val="en-US"/>
              </w:rPr>
              <w:t>NDUPH</w:t>
            </w:r>
            <w:r w:rsidRPr="00DC2CA1">
              <w:rPr>
                <w:sz w:val="18"/>
                <w:szCs w:val="18"/>
                <w:lang w:val="en-US"/>
              </w:rPr>
              <w:t xml:space="preserve"> as Implementation Partner in agreement with the other Responsible Parties </w:t>
            </w:r>
          </w:p>
        </w:tc>
      </w:tr>
      <w:tr w:rsidR="00D3664D" w:rsidRPr="00F50786" w14:paraId="26703F6E" w14:textId="77777777" w:rsidTr="00857B81">
        <w:trPr>
          <w:trHeight w:val="300"/>
          <w:jc w:val="center"/>
        </w:trPr>
        <w:tc>
          <w:tcPr>
            <w:tcW w:w="353" w:type="dxa"/>
            <w:vMerge/>
            <w:vAlign w:val="center"/>
            <w:hideMark/>
          </w:tcPr>
          <w:p w14:paraId="1393085F" w14:textId="77777777" w:rsidR="00D3664D" w:rsidRPr="006F5E1D" w:rsidRDefault="00D3664D" w:rsidP="00D3664D">
            <w:pPr>
              <w:pBdr>
                <w:top w:val="single" w:sz="4" w:space="1" w:color="000000"/>
              </w:pBdr>
              <w:rPr>
                <w:sz w:val="18"/>
                <w:szCs w:val="18"/>
                <w:lang w:val="en-US"/>
              </w:rPr>
            </w:pPr>
          </w:p>
        </w:tc>
        <w:tc>
          <w:tcPr>
            <w:tcW w:w="1472" w:type="dxa"/>
            <w:vMerge/>
            <w:vAlign w:val="center"/>
            <w:hideMark/>
          </w:tcPr>
          <w:p w14:paraId="0AB4F07E" w14:textId="77777777" w:rsidR="00D3664D" w:rsidRPr="006F5E1D" w:rsidRDefault="00D3664D" w:rsidP="00D3664D">
            <w:pPr>
              <w:pBdr>
                <w:top w:val="single" w:sz="4" w:space="1" w:color="000000"/>
              </w:pBdr>
              <w:rPr>
                <w:sz w:val="18"/>
                <w:szCs w:val="18"/>
                <w:lang w:val="en-US"/>
              </w:rPr>
            </w:pPr>
          </w:p>
        </w:tc>
        <w:tc>
          <w:tcPr>
            <w:tcW w:w="1412" w:type="dxa"/>
            <w:vMerge/>
            <w:vAlign w:val="center"/>
            <w:hideMark/>
          </w:tcPr>
          <w:p w14:paraId="5A7ACC4B" w14:textId="77777777" w:rsidR="00D3664D" w:rsidRPr="006F5E1D" w:rsidRDefault="00D3664D" w:rsidP="00D3664D">
            <w:pPr>
              <w:pBdr>
                <w:top w:val="single" w:sz="4" w:space="1" w:color="000000"/>
              </w:pBdr>
              <w:rPr>
                <w:sz w:val="18"/>
                <w:szCs w:val="18"/>
                <w:lang w:val="en-US"/>
              </w:rPr>
            </w:pPr>
          </w:p>
        </w:tc>
        <w:tc>
          <w:tcPr>
            <w:tcW w:w="1616" w:type="dxa"/>
            <w:vMerge/>
            <w:vAlign w:val="center"/>
            <w:hideMark/>
          </w:tcPr>
          <w:p w14:paraId="33FC2DC4" w14:textId="77777777" w:rsidR="00D3664D" w:rsidRPr="006F5E1D" w:rsidRDefault="00D3664D" w:rsidP="00D3664D">
            <w:pPr>
              <w:pBdr>
                <w:top w:val="single" w:sz="4" w:space="1" w:color="000000"/>
              </w:pBdr>
              <w:rPr>
                <w:sz w:val="18"/>
                <w:szCs w:val="18"/>
                <w:lang w:val="en-US"/>
              </w:rPr>
            </w:pPr>
          </w:p>
        </w:tc>
        <w:tc>
          <w:tcPr>
            <w:tcW w:w="1863" w:type="dxa"/>
            <w:vMerge/>
            <w:vAlign w:val="center"/>
            <w:hideMark/>
          </w:tcPr>
          <w:p w14:paraId="6C748DD8" w14:textId="77777777" w:rsidR="00D3664D" w:rsidRPr="006F5E1D" w:rsidRDefault="00D3664D" w:rsidP="00D3664D">
            <w:pPr>
              <w:pBdr>
                <w:top w:val="single" w:sz="4" w:space="1" w:color="000000"/>
              </w:pBdr>
              <w:rPr>
                <w:sz w:val="18"/>
                <w:szCs w:val="18"/>
                <w:lang w:val="en-US"/>
              </w:rPr>
            </w:pPr>
          </w:p>
        </w:tc>
        <w:tc>
          <w:tcPr>
            <w:tcW w:w="1719" w:type="dxa"/>
            <w:vMerge/>
            <w:vAlign w:val="center"/>
            <w:hideMark/>
          </w:tcPr>
          <w:p w14:paraId="4E7288E9" w14:textId="77777777" w:rsidR="00D3664D" w:rsidRPr="006F5E1D" w:rsidRDefault="00D3664D" w:rsidP="00D3664D">
            <w:pPr>
              <w:pBdr>
                <w:top w:val="single" w:sz="4" w:space="1" w:color="000000"/>
              </w:pBdr>
              <w:rPr>
                <w:sz w:val="18"/>
                <w:szCs w:val="18"/>
                <w:lang w:val="en-US"/>
              </w:rPr>
            </w:pPr>
          </w:p>
        </w:tc>
        <w:tc>
          <w:tcPr>
            <w:tcW w:w="1419" w:type="dxa"/>
            <w:vMerge/>
            <w:vAlign w:val="center"/>
            <w:hideMark/>
          </w:tcPr>
          <w:p w14:paraId="1AFB2CC9" w14:textId="77777777" w:rsidR="00D3664D" w:rsidRPr="006F5E1D" w:rsidRDefault="00D3664D" w:rsidP="00D3664D">
            <w:pPr>
              <w:pBdr>
                <w:top w:val="single" w:sz="4" w:space="1" w:color="000000"/>
              </w:pBdr>
              <w:rPr>
                <w:sz w:val="18"/>
                <w:szCs w:val="18"/>
                <w:lang w:val="en-US"/>
              </w:rPr>
            </w:pPr>
          </w:p>
        </w:tc>
        <w:tc>
          <w:tcPr>
            <w:tcW w:w="1071" w:type="dxa"/>
            <w:vMerge/>
            <w:vAlign w:val="center"/>
            <w:hideMark/>
          </w:tcPr>
          <w:p w14:paraId="30F1E234" w14:textId="77777777" w:rsidR="00D3664D" w:rsidRPr="006F5E1D" w:rsidRDefault="00D3664D" w:rsidP="00D3664D">
            <w:pPr>
              <w:pBdr>
                <w:top w:val="single" w:sz="4" w:space="1" w:color="000000"/>
              </w:pBdr>
              <w:rPr>
                <w:sz w:val="18"/>
                <w:szCs w:val="18"/>
                <w:lang w:val="en-US"/>
              </w:rPr>
            </w:pPr>
          </w:p>
        </w:tc>
        <w:tc>
          <w:tcPr>
            <w:tcW w:w="3067" w:type="dxa"/>
            <w:hideMark/>
          </w:tcPr>
          <w:p w14:paraId="469CFDC0" w14:textId="38A2A264" w:rsidR="00D3664D" w:rsidRPr="00F94F94" w:rsidRDefault="78BF8E7E" w:rsidP="3585F9A1">
            <w:pPr>
              <w:spacing w:before="281" w:after="281"/>
              <w:rPr>
                <w:sz w:val="18"/>
                <w:szCs w:val="18"/>
                <w:highlight w:val="yellow"/>
                <w:lang w:val="en-US"/>
              </w:rPr>
            </w:pPr>
            <w:r w:rsidRPr="00DC2CA1">
              <w:rPr>
                <w:sz w:val="18"/>
                <w:szCs w:val="18"/>
                <w:highlight w:val="yellow"/>
                <w:lang w:val="en-US"/>
              </w:rPr>
              <w:t>Risk Treatment 6.3:</w:t>
            </w:r>
            <w:r w:rsidR="061B188E" w:rsidRPr="00DC2CA1">
              <w:rPr>
                <w:b/>
                <w:bCs/>
                <w:sz w:val="18"/>
                <w:szCs w:val="18"/>
                <w:highlight w:val="yellow"/>
                <w:lang w:val="en-US"/>
              </w:rPr>
              <w:t xml:space="preserve"> </w:t>
            </w:r>
            <w:r w:rsidR="6D09744E" w:rsidRPr="00DC2CA1">
              <w:rPr>
                <w:sz w:val="18"/>
                <w:szCs w:val="18"/>
                <w:highlight w:val="yellow"/>
                <w:lang w:val="en-US"/>
              </w:rPr>
              <w:t xml:space="preserve">Elaborate a Contingency </w:t>
            </w:r>
            <w:r w:rsidR="061B188E" w:rsidRPr="00F94F94">
              <w:rPr>
                <w:sz w:val="18"/>
                <w:szCs w:val="18"/>
                <w:highlight w:val="yellow"/>
                <w:lang w:val="en-US"/>
              </w:rPr>
              <w:t>Planning for Long-Term Maintenance of Restored Green Spaces</w:t>
            </w:r>
            <w:r w:rsidR="64586088" w:rsidRPr="00F94F94">
              <w:rPr>
                <w:sz w:val="18"/>
                <w:szCs w:val="18"/>
                <w:highlight w:val="yellow"/>
                <w:lang w:val="en-US"/>
              </w:rPr>
              <w:t xml:space="preserve">: </w:t>
            </w:r>
            <w:r w:rsidR="061B188E" w:rsidRPr="00F94F94">
              <w:rPr>
                <w:sz w:val="18"/>
                <w:szCs w:val="18"/>
                <w:highlight w:val="yellow"/>
                <w:lang w:val="en-US"/>
              </w:rPr>
              <w:t>the project will:</w:t>
            </w:r>
          </w:p>
          <w:p w14:paraId="4DAC8AEC" w14:textId="0BC3D938" w:rsidR="00D3664D" w:rsidRPr="00F94F94" w:rsidRDefault="061B188E" w:rsidP="3585F9A1">
            <w:pPr>
              <w:pStyle w:val="Paragraphedeliste"/>
              <w:numPr>
                <w:ilvl w:val="0"/>
                <w:numId w:val="2"/>
              </w:numPr>
              <w:spacing w:before="240" w:after="240"/>
              <w:rPr>
                <w:sz w:val="18"/>
                <w:szCs w:val="18"/>
                <w:highlight w:val="yellow"/>
                <w:lang w:val="en-US"/>
              </w:rPr>
            </w:pPr>
            <w:r w:rsidRPr="00F94F94">
              <w:rPr>
                <w:sz w:val="18"/>
                <w:szCs w:val="18"/>
                <w:highlight w:val="yellow"/>
                <w:lang w:val="en-US"/>
              </w:rPr>
              <w:t>integrate maintenance costs into municipal development and investment budgets,</w:t>
            </w:r>
          </w:p>
          <w:p w14:paraId="7F798E91" w14:textId="5497F7ED" w:rsidR="00D3664D" w:rsidRPr="00F94F94" w:rsidRDefault="061B188E" w:rsidP="3585F9A1">
            <w:pPr>
              <w:pStyle w:val="Paragraphedeliste"/>
              <w:numPr>
                <w:ilvl w:val="0"/>
                <w:numId w:val="2"/>
              </w:numPr>
              <w:spacing w:before="240" w:after="240"/>
              <w:rPr>
                <w:sz w:val="18"/>
                <w:szCs w:val="18"/>
                <w:highlight w:val="yellow"/>
                <w:lang w:val="en-US"/>
              </w:rPr>
            </w:pPr>
            <w:r w:rsidRPr="00F94F94">
              <w:rPr>
                <w:sz w:val="18"/>
                <w:szCs w:val="18"/>
                <w:highlight w:val="yellow"/>
                <w:lang w:val="en-US"/>
              </w:rPr>
              <w:t xml:space="preserve">establish </w:t>
            </w:r>
            <w:r w:rsidRPr="00F94F94">
              <w:rPr>
                <w:b/>
                <w:bCs/>
                <w:sz w:val="18"/>
                <w:szCs w:val="18"/>
                <w:highlight w:val="yellow"/>
                <w:lang w:val="en-US"/>
              </w:rPr>
              <w:t>community-based contracts</w:t>
            </w:r>
            <w:r w:rsidRPr="00F94F94">
              <w:rPr>
                <w:sz w:val="18"/>
                <w:szCs w:val="18"/>
                <w:highlight w:val="yellow"/>
                <w:lang w:val="en-US"/>
              </w:rPr>
              <w:t xml:space="preserve"> for planting, management, and upkeep of reforested areas,</w:t>
            </w:r>
          </w:p>
          <w:p w14:paraId="38412573" w14:textId="1B5F8B63" w:rsidR="00D3664D" w:rsidRPr="00F94F94" w:rsidRDefault="061B188E" w:rsidP="3585F9A1">
            <w:pPr>
              <w:pStyle w:val="Paragraphedeliste"/>
              <w:numPr>
                <w:ilvl w:val="0"/>
                <w:numId w:val="2"/>
              </w:numPr>
              <w:spacing w:before="240" w:after="240"/>
              <w:rPr>
                <w:sz w:val="18"/>
                <w:szCs w:val="18"/>
                <w:highlight w:val="yellow"/>
                <w:lang w:val="en-US"/>
              </w:rPr>
            </w:pPr>
            <w:r w:rsidRPr="00F94F94">
              <w:rPr>
                <w:sz w:val="18"/>
                <w:szCs w:val="18"/>
                <w:highlight w:val="yellow"/>
                <w:lang w:val="en-US"/>
              </w:rPr>
              <w:t xml:space="preserve">create local economic incentives through </w:t>
            </w:r>
            <w:r w:rsidRPr="00F94F94">
              <w:rPr>
                <w:b/>
                <w:bCs/>
                <w:sz w:val="18"/>
                <w:szCs w:val="18"/>
                <w:highlight w:val="yellow"/>
                <w:lang w:val="en-US"/>
              </w:rPr>
              <w:t>ecotourism, urban agriculture, and agroforestry value chains</w:t>
            </w:r>
            <w:r w:rsidRPr="00F94F94">
              <w:rPr>
                <w:sz w:val="18"/>
                <w:szCs w:val="18"/>
                <w:highlight w:val="yellow"/>
                <w:lang w:val="en-US"/>
              </w:rPr>
              <w:t>, and</w:t>
            </w:r>
          </w:p>
          <w:p w14:paraId="5AD3E651" w14:textId="06E7ACEF" w:rsidR="00D3664D" w:rsidRPr="00F94F94" w:rsidRDefault="061B188E" w:rsidP="3585F9A1">
            <w:pPr>
              <w:pStyle w:val="Paragraphedeliste"/>
              <w:numPr>
                <w:ilvl w:val="0"/>
                <w:numId w:val="2"/>
              </w:numPr>
              <w:spacing w:before="240" w:after="240"/>
              <w:rPr>
                <w:sz w:val="18"/>
                <w:szCs w:val="18"/>
                <w:highlight w:val="yellow"/>
                <w:lang w:val="en-US"/>
              </w:rPr>
            </w:pPr>
            <w:r w:rsidRPr="00F94F94">
              <w:rPr>
                <w:sz w:val="18"/>
                <w:szCs w:val="18"/>
                <w:highlight w:val="yellow"/>
                <w:lang w:val="en-US"/>
              </w:rPr>
              <w:t xml:space="preserve">leverage </w:t>
            </w:r>
            <w:r w:rsidRPr="00F94F94">
              <w:rPr>
                <w:b/>
                <w:bCs/>
                <w:sz w:val="18"/>
                <w:szCs w:val="18"/>
                <w:highlight w:val="yellow"/>
                <w:lang w:val="en-US"/>
              </w:rPr>
              <w:t>BIOFIN-supported financing mechanisms</w:t>
            </w:r>
            <w:r w:rsidRPr="00F94F94">
              <w:rPr>
                <w:sz w:val="18"/>
                <w:szCs w:val="18"/>
                <w:highlight w:val="yellow"/>
                <w:lang w:val="en-US"/>
              </w:rPr>
              <w:t xml:space="preserve"> to </w:t>
            </w:r>
            <w:r w:rsidRPr="00F94F94">
              <w:rPr>
                <w:sz w:val="18"/>
                <w:szCs w:val="18"/>
                <w:highlight w:val="yellow"/>
                <w:lang w:val="en-US"/>
              </w:rPr>
              <w:lastRenderedPageBreak/>
              <w:t>provide long-term funding streams.</w:t>
            </w:r>
          </w:p>
          <w:p w14:paraId="0BD16C36" w14:textId="56927B8E" w:rsidR="00D3664D" w:rsidRPr="00F94F94" w:rsidRDefault="061B188E" w:rsidP="3585F9A1">
            <w:pPr>
              <w:spacing w:before="240" w:after="240"/>
              <w:rPr>
                <w:sz w:val="18"/>
                <w:szCs w:val="18"/>
                <w:highlight w:val="yellow"/>
                <w:lang w:val="en-US"/>
              </w:rPr>
            </w:pPr>
            <w:r w:rsidRPr="00F94F94">
              <w:rPr>
                <w:sz w:val="18"/>
                <w:szCs w:val="18"/>
                <w:highlight w:val="yellow"/>
                <w:lang w:val="en-US"/>
              </w:rPr>
              <w:t>These measures will ensure that restored green spaces remain productive, resilient, and socially inclusive well beyond the project’s lifespan.</w:t>
            </w:r>
          </w:p>
          <w:p w14:paraId="6A7EE5F6" w14:textId="31DBA271" w:rsidR="00D3664D" w:rsidRPr="00F94F94" w:rsidRDefault="00D3664D" w:rsidP="3585F9A1">
            <w:pPr>
              <w:spacing w:before="240" w:after="240"/>
              <w:rPr>
                <w:sz w:val="18"/>
                <w:szCs w:val="18"/>
                <w:highlight w:val="yellow"/>
                <w:lang w:val="en-US"/>
              </w:rPr>
            </w:pPr>
          </w:p>
          <w:p w14:paraId="4A7FADCC" w14:textId="2BDFF997" w:rsidR="00D3664D" w:rsidRPr="00DC2CA1" w:rsidRDefault="00D3664D" w:rsidP="3585F9A1">
            <w:pPr>
              <w:pBdr>
                <w:top w:val="single" w:sz="4" w:space="1" w:color="000000"/>
              </w:pBdr>
              <w:rPr>
                <w:sz w:val="18"/>
                <w:szCs w:val="18"/>
                <w:highlight w:val="yellow"/>
                <w:lang w:val="en-US"/>
              </w:rPr>
            </w:pPr>
          </w:p>
          <w:p w14:paraId="1F3B3AD6" w14:textId="4A76E2F5" w:rsidR="00D3664D" w:rsidRPr="00DC2CA1" w:rsidRDefault="78BF8E7E" w:rsidP="3585F9A1">
            <w:pPr>
              <w:pBdr>
                <w:top w:val="single" w:sz="4" w:space="1" w:color="000000"/>
              </w:pBdr>
              <w:rPr>
                <w:sz w:val="18"/>
                <w:szCs w:val="18"/>
                <w:highlight w:val="yellow"/>
                <w:lang w:val="en-US"/>
              </w:rPr>
            </w:pPr>
            <w:r w:rsidRPr="00DC2CA1">
              <w:rPr>
                <w:sz w:val="18"/>
                <w:szCs w:val="18"/>
                <w:highlight w:val="yellow"/>
                <w:lang w:val="en-US"/>
              </w:rPr>
              <w:t xml:space="preserve">Risk Treatment Owner: </w:t>
            </w:r>
            <w:r w:rsidR="2EE2F602" w:rsidRPr="00DC2CA1">
              <w:rPr>
                <w:sz w:val="18"/>
                <w:szCs w:val="18"/>
                <w:highlight w:val="yellow"/>
                <w:lang w:val="en-US"/>
              </w:rPr>
              <w:t xml:space="preserve">NDPH with responsible parties Bamako City Hall </w:t>
            </w:r>
            <w:proofErr w:type="gramStart"/>
            <w:r w:rsidR="2EE2F602" w:rsidRPr="00DC2CA1">
              <w:rPr>
                <w:sz w:val="18"/>
                <w:szCs w:val="18"/>
                <w:highlight w:val="yellow"/>
                <w:lang w:val="en-US"/>
              </w:rPr>
              <w:t>and  GDWF</w:t>
            </w:r>
            <w:proofErr w:type="gramEnd"/>
          </w:p>
          <w:p w14:paraId="3E4CE169" w14:textId="77777777" w:rsidR="00D3664D" w:rsidRPr="00DC2CA1" w:rsidRDefault="78BF8E7E" w:rsidP="3585F9A1">
            <w:pPr>
              <w:pBdr>
                <w:top w:val="single" w:sz="4" w:space="1" w:color="000000"/>
              </w:pBdr>
              <w:rPr>
                <w:sz w:val="18"/>
                <w:szCs w:val="18"/>
                <w:highlight w:val="yellow"/>
                <w:lang w:val="en-US"/>
              </w:rPr>
            </w:pPr>
            <w:r w:rsidRPr="00DC2CA1">
              <w:rPr>
                <w:sz w:val="18"/>
                <w:szCs w:val="18"/>
                <w:highlight w:val="yellow"/>
                <w:lang w:val="en-US"/>
              </w:rPr>
              <w:t> </w:t>
            </w:r>
          </w:p>
        </w:tc>
      </w:tr>
      <w:tr w:rsidR="00D3664D" w:rsidRPr="00F50786" w14:paraId="76D85D22" w14:textId="77777777" w:rsidTr="00857B81">
        <w:trPr>
          <w:trHeight w:val="300"/>
          <w:jc w:val="center"/>
        </w:trPr>
        <w:tc>
          <w:tcPr>
            <w:tcW w:w="353" w:type="dxa"/>
            <w:vMerge/>
            <w:vAlign w:val="center"/>
            <w:hideMark/>
          </w:tcPr>
          <w:p w14:paraId="3B3E20F9" w14:textId="77777777" w:rsidR="00D3664D" w:rsidRPr="006F5E1D" w:rsidRDefault="00D3664D" w:rsidP="00D3664D">
            <w:pPr>
              <w:pBdr>
                <w:top w:val="single" w:sz="4" w:space="1" w:color="000000"/>
              </w:pBdr>
              <w:rPr>
                <w:sz w:val="18"/>
                <w:szCs w:val="18"/>
                <w:lang w:val="en-US"/>
              </w:rPr>
            </w:pPr>
          </w:p>
        </w:tc>
        <w:tc>
          <w:tcPr>
            <w:tcW w:w="1472" w:type="dxa"/>
            <w:vMerge/>
            <w:vAlign w:val="center"/>
            <w:hideMark/>
          </w:tcPr>
          <w:p w14:paraId="5983CB45" w14:textId="77777777" w:rsidR="00D3664D" w:rsidRPr="006F5E1D" w:rsidRDefault="00D3664D" w:rsidP="00D3664D">
            <w:pPr>
              <w:pBdr>
                <w:top w:val="single" w:sz="4" w:space="1" w:color="000000"/>
              </w:pBdr>
              <w:rPr>
                <w:sz w:val="18"/>
                <w:szCs w:val="18"/>
                <w:lang w:val="en-US"/>
              </w:rPr>
            </w:pPr>
          </w:p>
        </w:tc>
        <w:tc>
          <w:tcPr>
            <w:tcW w:w="1412" w:type="dxa"/>
            <w:vMerge/>
            <w:vAlign w:val="center"/>
            <w:hideMark/>
          </w:tcPr>
          <w:p w14:paraId="3019F59A" w14:textId="77777777" w:rsidR="00D3664D" w:rsidRPr="006F5E1D" w:rsidRDefault="00D3664D" w:rsidP="00D3664D">
            <w:pPr>
              <w:pBdr>
                <w:top w:val="single" w:sz="4" w:space="1" w:color="000000"/>
              </w:pBdr>
              <w:rPr>
                <w:sz w:val="18"/>
                <w:szCs w:val="18"/>
                <w:lang w:val="en-US"/>
              </w:rPr>
            </w:pPr>
          </w:p>
        </w:tc>
        <w:tc>
          <w:tcPr>
            <w:tcW w:w="1616" w:type="dxa"/>
            <w:vMerge/>
            <w:vAlign w:val="center"/>
            <w:hideMark/>
          </w:tcPr>
          <w:p w14:paraId="6EEFDF1F" w14:textId="77777777" w:rsidR="00D3664D" w:rsidRPr="006F5E1D" w:rsidRDefault="00D3664D" w:rsidP="00D3664D">
            <w:pPr>
              <w:pBdr>
                <w:top w:val="single" w:sz="4" w:space="1" w:color="000000"/>
              </w:pBdr>
              <w:rPr>
                <w:sz w:val="18"/>
                <w:szCs w:val="18"/>
                <w:lang w:val="en-US"/>
              </w:rPr>
            </w:pPr>
          </w:p>
        </w:tc>
        <w:tc>
          <w:tcPr>
            <w:tcW w:w="1863" w:type="dxa"/>
            <w:vMerge/>
            <w:vAlign w:val="center"/>
            <w:hideMark/>
          </w:tcPr>
          <w:p w14:paraId="034FA1B9" w14:textId="77777777" w:rsidR="00D3664D" w:rsidRPr="006F5E1D" w:rsidRDefault="00D3664D" w:rsidP="00D3664D">
            <w:pPr>
              <w:pBdr>
                <w:top w:val="single" w:sz="4" w:space="1" w:color="000000"/>
              </w:pBdr>
              <w:rPr>
                <w:sz w:val="18"/>
                <w:szCs w:val="18"/>
                <w:lang w:val="en-US"/>
              </w:rPr>
            </w:pPr>
          </w:p>
        </w:tc>
        <w:tc>
          <w:tcPr>
            <w:tcW w:w="1719" w:type="dxa"/>
            <w:vMerge/>
            <w:vAlign w:val="center"/>
            <w:hideMark/>
          </w:tcPr>
          <w:p w14:paraId="20FBFA9E" w14:textId="77777777" w:rsidR="00D3664D" w:rsidRPr="006F5E1D" w:rsidRDefault="00D3664D" w:rsidP="00D3664D">
            <w:pPr>
              <w:pBdr>
                <w:top w:val="single" w:sz="4" w:space="1" w:color="000000"/>
              </w:pBdr>
              <w:rPr>
                <w:sz w:val="18"/>
                <w:szCs w:val="18"/>
                <w:lang w:val="en-US"/>
              </w:rPr>
            </w:pPr>
          </w:p>
        </w:tc>
        <w:tc>
          <w:tcPr>
            <w:tcW w:w="1419" w:type="dxa"/>
            <w:vMerge/>
            <w:vAlign w:val="center"/>
            <w:hideMark/>
          </w:tcPr>
          <w:p w14:paraId="7DCA5304" w14:textId="77777777" w:rsidR="00D3664D" w:rsidRPr="006F5E1D" w:rsidRDefault="00D3664D" w:rsidP="00D3664D">
            <w:pPr>
              <w:pBdr>
                <w:top w:val="single" w:sz="4" w:space="1" w:color="000000"/>
              </w:pBdr>
              <w:rPr>
                <w:sz w:val="18"/>
                <w:szCs w:val="18"/>
                <w:lang w:val="en-US"/>
              </w:rPr>
            </w:pPr>
          </w:p>
        </w:tc>
        <w:tc>
          <w:tcPr>
            <w:tcW w:w="1071" w:type="dxa"/>
            <w:vMerge/>
            <w:vAlign w:val="center"/>
            <w:hideMark/>
          </w:tcPr>
          <w:p w14:paraId="55DFCC91" w14:textId="77777777" w:rsidR="00D3664D" w:rsidRPr="006F5E1D" w:rsidRDefault="00D3664D" w:rsidP="00D3664D">
            <w:pPr>
              <w:pBdr>
                <w:top w:val="single" w:sz="4" w:space="1" w:color="000000"/>
              </w:pBdr>
              <w:rPr>
                <w:sz w:val="18"/>
                <w:szCs w:val="18"/>
                <w:lang w:val="en-US"/>
              </w:rPr>
            </w:pPr>
          </w:p>
        </w:tc>
        <w:tc>
          <w:tcPr>
            <w:tcW w:w="3067" w:type="dxa"/>
            <w:hideMark/>
          </w:tcPr>
          <w:p w14:paraId="05B7CA4B" w14:textId="77777777" w:rsidR="00D3664D" w:rsidRPr="00857B81" w:rsidRDefault="78BF8E7E" w:rsidP="3585F9A1">
            <w:pPr>
              <w:pBdr>
                <w:top w:val="single" w:sz="4" w:space="1" w:color="000000"/>
              </w:pBdr>
              <w:rPr>
                <w:sz w:val="16"/>
                <w:szCs w:val="16"/>
                <w:lang w:val="en-US"/>
              </w:rPr>
            </w:pPr>
            <w:r w:rsidRPr="00857B81">
              <w:rPr>
                <w:sz w:val="16"/>
                <w:szCs w:val="16"/>
                <w:lang w:val="en-US"/>
              </w:rPr>
              <w:t> </w:t>
            </w:r>
          </w:p>
        </w:tc>
      </w:tr>
      <w:tr w:rsidR="00D3664D" w:rsidRPr="00F50786" w14:paraId="55DF7B41" w14:textId="77777777" w:rsidTr="00857B81">
        <w:trPr>
          <w:trHeight w:val="300"/>
          <w:jc w:val="center"/>
        </w:trPr>
        <w:tc>
          <w:tcPr>
            <w:tcW w:w="353" w:type="dxa"/>
            <w:vMerge w:val="restart"/>
            <w:hideMark/>
          </w:tcPr>
          <w:p w14:paraId="6579E2E7" w14:textId="77777777" w:rsidR="00D3664D" w:rsidRPr="006F5E1D" w:rsidRDefault="580A2AAB" w:rsidP="5D8904BE">
            <w:pPr>
              <w:pBdr>
                <w:top w:val="single" w:sz="4" w:space="1" w:color="000000"/>
              </w:pBdr>
              <w:rPr>
                <w:sz w:val="18"/>
                <w:szCs w:val="18"/>
              </w:rPr>
            </w:pPr>
            <w:r w:rsidRPr="5D8904BE">
              <w:rPr>
                <w:sz w:val="18"/>
                <w:szCs w:val="18"/>
              </w:rPr>
              <w:t>7 </w:t>
            </w:r>
          </w:p>
        </w:tc>
        <w:tc>
          <w:tcPr>
            <w:tcW w:w="1472" w:type="dxa"/>
            <w:vMerge w:val="restart"/>
            <w:hideMark/>
          </w:tcPr>
          <w:p w14:paraId="10029402" w14:textId="77777777" w:rsidR="00D3664D" w:rsidRPr="006F5E1D" w:rsidRDefault="580A2AAB" w:rsidP="5D8904BE">
            <w:pPr>
              <w:pBdr>
                <w:top w:val="single" w:sz="4" w:space="1" w:color="000000"/>
              </w:pBdr>
              <w:rPr>
                <w:sz w:val="18"/>
                <w:szCs w:val="18"/>
                <w:lang w:val="en-US"/>
              </w:rPr>
            </w:pPr>
            <w:r w:rsidRPr="5D8904BE">
              <w:rPr>
                <w:sz w:val="18"/>
                <w:szCs w:val="18"/>
                <w:lang w:val="en-US"/>
              </w:rPr>
              <w:t>There is a risk linked mainly to extreme climatic phenomena (drought, heat wave, flooding, change in rainfall patterns, etc.) </w:t>
            </w:r>
          </w:p>
        </w:tc>
        <w:tc>
          <w:tcPr>
            <w:tcW w:w="1412" w:type="dxa"/>
            <w:vMerge w:val="restart"/>
            <w:hideMark/>
          </w:tcPr>
          <w:p w14:paraId="4DF4CD45" w14:textId="77777777" w:rsidR="00D3664D" w:rsidRPr="006F5E1D" w:rsidRDefault="580A2AAB" w:rsidP="5D8904BE">
            <w:pPr>
              <w:pBdr>
                <w:top w:val="single" w:sz="4" w:space="1" w:color="000000"/>
              </w:pBdr>
              <w:rPr>
                <w:sz w:val="18"/>
                <w:szCs w:val="18"/>
                <w:lang w:val="en-US"/>
              </w:rPr>
            </w:pPr>
            <w:r w:rsidRPr="5D8904BE">
              <w:rPr>
                <w:sz w:val="18"/>
                <w:szCs w:val="18"/>
                <w:lang w:val="en-US"/>
              </w:rPr>
              <w:t xml:space="preserve">Due to the fact that biodiversity and ecosystems in the city are already suffering significant adverse effects such as increased loss of forested areas, the </w:t>
            </w:r>
            <w:r w:rsidRPr="5D8904BE">
              <w:rPr>
                <w:sz w:val="18"/>
                <w:szCs w:val="18"/>
                <w:lang w:val="en-US"/>
              </w:rPr>
              <w:lastRenderedPageBreak/>
              <w:t xml:space="preserve">distance from the groundwater table, the gradual depletion of surface water, exacerbation of agricultural land degradation, significant growth in cooling needs, </w:t>
            </w:r>
            <w:proofErr w:type="gramStart"/>
            <w:r w:rsidRPr="5D8904BE">
              <w:rPr>
                <w:sz w:val="18"/>
                <w:szCs w:val="18"/>
                <w:lang w:val="en-US"/>
              </w:rPr>
              <w:t>etc.;</w:t>
            </w:r>
            <w:proofErr w:type="gramEnd"/>
            <w:r w:rsidRPr="5D8904BE">
              <w:rPr>
                <w:sz w:val="18"/>
                <w:szCs w:val="18"/>
                <w:lang w:val="en-US"/>
              </w:rPr>
              <w:t> </w:t>
            </w:r>
          </w:p>
          <w:p w14:paraId="4373A0EA" w14:textId="77777777" w:rsidR="00D3664D" w:rsidRPr="006F5E1D" w:rsidRDefault="580A2AAB" w:rsidP="5D8904BE">
            <w:pPr>
              <w:pBdr>
                <w:top w:val="single" w:sz="4" w:space="1" w:color="000000"/>
              </w:pBdr>
              <w:rPr>
                <w:sz w:val="18"/>
                <w:szCs w:val="18"/>
                <w:lang w:val="en-US"/>
              </w:rPr>
            </w:pPr>
            <w:r w:rsidRPr="5D8904BE">
              <w:rPr>
                <w:sz w:val="18"/>
                <w:szCs w:val="18"/>
                <w:lang w:val="en-US"/>
              </w:rPr>
              <w:t xml:space="preserve">The increased density of tropospheric ozone gas and intense urban smog severely affecting infrastructure, human health, and the </w:t>
            </w:r>
            <w:proofErr w:type="gramStart"/>
            <w:r w:rsidRPr="5D8904BE">
              <w:rPr>
                <w:sz w:val="18"/>
                <w:szCs w:val="18"/>
                <w:lang w:val="en-US"/>
              </w:rPr>
              <w:t>environment;</w:t>
            </w:r>
            <w:proofErr w:type="gramEnd"/>
            <w:r w:rsidRPr="5D8904BE">
              <w:rPr>
                <w:sz w:val="18"/>
                <w:szCs w:val="18"/>
                <w:lang w:val="en-US"/>
              </w:rPr>
              <w:t> </w:t>
            </w:r>
          </w:p>
          <w:p w14:paraId="45F10A79" w14:textId="77777777" w:rsidR="00D3664D" w:rsidRPr="006F5E1D" w:rsidRDefault="580A2AAB" w:rsidP="5D8904BE">
            <w:pPr>
              <w:pBdr>
                <w:top w:val="single" w:sz="4" w:space="1" w:color="000000"/>
              </w:pBdr>
              <w:rPr>
                <w:sz w:val="18"/>
                <w:szCs w:val="18"/>
                <w:lang w:val="en-US"/>
              </w:rPr>
            </w:pPr>
            <w:r w:rsidRPr="5D8904BE">
              <w:rPr>
                <w:sz w:val="18"/>
                <w:szCs w:val="18"/>
                <w:lang w:val="en-US"/>
              </w:rPr>
              <w:t xml:space="preserve">The lack of effective mechanisms for monitoring and protecting nature and the climate among communities and </w:t>
            </w:r>
            <w:r w:rsidRPr="5D8904BE">
              <w:rPr>
                <w:sz w:val="18"/>
                <w:szCs w:val="18"/>
                <w:lang w:val="en-US"/>
              </w:rPr>
              <w:lastRenderedPageBreak/>
              <w:t>resident populations in general. </w:t>
            </w:r>
          </w:p>
          <w:p w14:paraId="4B2B9926"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tc>
        <w:tc>
          <w:tcPr>
            <w:tcW w:w="1616" w:type="dxa"/>
            <w:vMerge w:val="restart"/>
            <w:hideMark/>
          </w:tcPr>
          <w:p w14:paraId="629F34CC" w14:textId="1AD7488A" w:rsidR="00D3664D" w:rsidRPr="006F5E1D" w:rsidRDefault="580A2AAB" w:rsidP="5D8904BE">
            <w:pPr>
              <w:pBdr>
                <w:top w:val="single" w:sz="4" w:space="1" w:color="000000"/>
              </w:pBdr>
              <w:rPr>
                <w:sz w:val="18"/>
                <w:szCs w:val="18"/>
                <w:lang w:val="en-US"/>
              </w:rPr>
            </w:pPr>
            <w:r w:rsidRPr="5D8904BE">
              <w:rPr>
                <w:sz w:val="18"/>
                <w:szCs w:val="18"/>
                <w:lang w:val="en-US"/>
              </w:rPr>
              <w:lastRenderedPageBreak/>
              <w:t xml:space="preserve">This will have the impact of an accelerated reduction in the resilience capacities of populations and increased degradation of natural resources in </w:t>
            </w:r>
            <w:r w:rsidRPr="5D8904BE">
              <w:rPr>
                <w:sz w:val="18"/>
                <w:szCs w:val="18"/>
                <w:lang w:val="en-US"/>
              </w:rPr>
              <w:lastRenderedPageBreak/>
              <w:t xml:space="preserve">the city, consequently contributing to the emergence of local conditions which severely affect the expected positive impacts of </w:t>
            </w:r>
            <w:r w:rsidR="124D35CF" w:rsidRPr="5D8904BE">
              <w:rPr>
                <w:sz w:val="18"/>
                <w:szCs w:val="18"/>
                <w:lang w:val="en-US"/>
              </w:rPr>
              <w:t>IUDP</w:t>
            </w:r>
            <w:r w:rsidRPr="5D8904BE">
              <w:rPr>
                <w:sz w:val="18"/>
                <w:szCs w:val="18"/>
                <w:lang w:val="en-US"/>
              </w:rPr>
              <w:t>-Bamako. </w:t>
            </w:r>
          </w:p>
        </w:tc>
        <w:tc>
          <w:tcPr>
            <w:tcW w:w="1863" w:type="dxa"/>
            <w:vMerge w:val="restart"/>
            <w:hideMark/>
          </w:tcPr>
          <w:p w14:paraId="10B968D4" w14:textId="77777777" w:rsidR="00D3664D" w:rsidRPr="006F5E1D" w:rsidRDefault="580A2AAB" w:rsidP="5D8904BE">
            <w:pPr>
              <w:pBdr>
                <w:top w:val="single" w:sz="4" w:space="1" w:color="000000"/>
              </w:pBdr>
              <w:rPr>
                <w:sz w:val="18"/>
                <w:szCs w:val="18"/>
              </w:rPr>
            </w:pPr>
            <w:proofErr w:type="spellStart"/>
            <w:r w:rsidRPr="5D8904BE">
              <w:rPr>
                <w:b/>
                <w:bCs/>
                <w:sz w:val="18"/>
                <w:szCs w:val="18"/>
              </w:rPr>
              <w:lastRenderedPageBreak/>
              <w:t>Environmental</w:t>
            </w:r>
            <w:proofErr w:type="spellEnd"/>
            <w:r w:rsidRPr="5D8904BE">
              <w:rPr>
                <w:b/>
                <w:bCs/>
                <w:sz w:val="18"/>
                <w:szCs w:val="18"/>
              </w:rPr>
              <w:t xml:space="preserve"> and social </w:t>
            </w:r>
            <w:r w:rsidRPr="5D8904BE">
              <w:rPr>
                <w:sz w:val="18"/>
                <w:szCs w:val="18"/>
              </w:rPr>
              <w:t> </w:t>
            </w:r>
          </w:p>
          <w:p w14:paraId="33F74404" w14:textId="77777777" w:rsidR="00D3664D" w:rsidRPr="006F5E1D" w:rsidRDefault="580A2AAB" w:rsidP="5D8904BE">
            <w:pPr>
              <w:pBdr>
                <w:top w:val="single" w:sz="4" w:space="1" w:color="000000"/>
              </w:pBdr>
              <w:rPr>
                <w:sz w:val="18"/>
                <w:szCs w:val="18"/>
              </w:rPr>
            </w:pPr>
            <w:r w:rsidRPr="5D8904BE">
              <w:rPr>
                <w:sz w:val="18"/>
                <w:szCs w:val="18"/>
              </w:rPr>
              <w:t> </w:t>
            </w:r>
          </w:p>
        </w:tc>
        <w:tc>
          <w:tcPr>
            <w:tcW w:w="1719" w:type="dxa"/>
            <w:vMerge w:val="restart"/>
            <w:hideMark/>
          </w:tcPr>
          <w:p w14:paraId="2FF90D5E" w14:textId="77777777" w:rsidR="00D3664D" w:rsidRPr="006F5E1D" w:rsidRDefault="580A2AAB" w:rsidP="5D8904BE">
            <w:pPr>
              <w:pBdr>
                <w:top w:val="single" w:sz="4" w:space="1" w:color="000000"/>
              </w:pBdr>
              <w:rPr>
                <w:sz w:val="18"/>
                <w:szCs w:val="18"/>
                <w:lang w:val="en-US"/>
              </w:rPr>
            </w:pPr>
            <w:r w:rsidRPr="5D8904BE">
              <w:rPr>
                <w:sz w:val="18"/>
                <w:szCs w:val="18"/>
                <w:lang w:val="en-US"/>
              </w:rPr>
              <w:t>Likelihood: 4 </w:t>
            </w:r>
          </w:p>
          <w:p w14:paraId="0082A6AB"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2F40A798" w14:textId="77777777" w:rsidR="00D3664D" w:rsidRPr="006F5E1D" w:rsidRDefault="580A2AAB" w:rsidP="5D8904BE">
            <w:pPr>
              <w:pBdr>
                <w:top w:val="single" w:sz="4" w:space="1" w:color="000000"/>
              </w:pBdr>
              <w:rPr>
                <w:sz w:val="18"/>
                <w:szCs w:val="18"/>
                <w:lang w:val="en-US"/>
              </w:rPr>
            </w:pPr>
            <w:r w:rsidRPr="5D8904BE">
              <w:rPr>
                <w:sz w:val="18"/>
                <w:szCs w:val="18"/>
                <w:lang w:val="en-US"/>
              </w:rPr>
              <w:t>Impact: 3 </w:t>
            </w:r>
          </w:p>
          <w:p w14:paraId="5E6A31E8"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2B0985C2" w14:textId="77777777" w:rsidR="00D3664D" w:rsidRPr="006F5E1D" w:rsidRDefault="580A2AAB" w:rsidP="5D8904BE">
            <w:pPr>
              <w:pBdr>
                <w:top w:val="single" w:sz="4" w:space="1" w:color="000000"/>
              </w:pBdr>
              <w:rPr>
                <w:sz w:val="18"/>
                <w:szCs w:val="18"/>
                <w:lang w:val="en-US"/>
              </w:rPr>
            </w:pPr>
            <w:r w:rsidRPr="5D8904BE">
              <w:rPr>
                <w:sz w:val="18"/>
                <w:szCs w:val="18"/>
                <w:lang w:val="en-US"/>
              </w:rPr>
              <w:t xml:space="preserve">Risk level: </w:t>
            </w:r>
            <w:proofErr w:type="spellStart"/>
            <w:r w:rsidRPr="5D8904BE">
              <w:rPr>
                <w:sz w:val="18"/>
                <w:szCs w:val="18"/>
                <w:lang w:val="en-US"/>
              </w:rPr>
              <w:t>Modreate</w:t>
            </w:r>
            <w:proofErr w:type="spellEnd"/>
            <w:r w:rsidRPr="5D8904BE">
              <w:rPr>
                <w:sz w:val="18"/>
                <w:szCs w:val="18"/>
                <w:lang w:val="en-US"/>
              </w:rPr>
              <w:t xml:space="preserve"> (SESP) </w:t>
            </w:r>
          </w:p>
        </w:tc>
        <w:tc>
          <w:tcPr>
            <w:tcW w:w="1419" w:type="dxa"/>
            <w:vMerge w:val="restart"/>
            <w:hideMark/>
          </w:tcPr>
          <w:p w14:paraId="275D37FF" w14:textId="77777777" w:rsidR="00D3664D" w:rsidRPr="006F5E1D" w:rsidRDefault="580A2AAB" w:rsidP="5D8904BE">
            <w:pPr>
              <w:pBdr>
                <w:top w:val="single" w:sz="4" w:space="1" w:color="000000"/>
              </w:pBdr>
              <w:rPr>
                <w:sz w:val="18"/>
                <w:szCs w:val="18"/>
                <w:lang w:val="en-US"/>
              </w:rPr>
            </w:pPr>
            <w:r w:rsidRPr="5D8904BE">
              <w:rPr>
                <w:sz w:val="18"/>
                <w:szCs w:val="18"/>
                <w:lang w:val="en-US"/>
              </w:rPr>
              <w:t>From: Project design (</w:t>
            </w:r>
            <w:proofErr w:type="spellStart"/>
            <w:r w:rsidRPr="5D8904BE">
              <w:rPr>
                <w:sz w:val="18"/>
                <w:szCs w:val="18"/>
                <w:lang w:val="en-US"/>
              </w:rPr>
              <w:t>february</w:t>
            </w:r>
            <w:proofErr w:type="spellEnd"/>
            <w:r w:rsidRPr="5D8904BE">
              <w:rPr>
                <w:sz w:val="18"/>
                <w:szCs w:val="18"/>
                <w:lang w:val="en-US"/>
              </w:rPr>
              <w:t>, 2025) </w:t>
            </w:r>
          </w:p>
          <w:p w14:paraId="3E3A0748"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5336203C" w14:textId="1FB0B77B" w:rsidR="00D3664D" w:rsidRPr="006F5E1D" w:rsidRDefault="580A2AAB" w:rsidP="5D8904BE">
            <w:pPr>
              <w:pBdr>
                <w:top w:val="single" w:sz="4" w:space="1" w:color="000000"/>
              </w:pBdr>
              <w:rPr>
                <w:sz w:val="18"/>
                <w:szCs w:val="18"/>
                <w:lang w:val="en-US"/>
              </w:rPr>
            </w:pPr>
            <w:r w:rsidRPr="5D8904BE">
              <w:rPr>
                <w:sz w:val="18"/>
                <w:szCs w:val="18"/>
                <w:lang w:val="en-US"/>
              </w:rPr>
              <w:t xml:space="preserve">To: end of implementation of </w:t>
            </w:r>
            <w:r w:rsidR="124D35CF" w:rsidRPr="5D8904BE">
              <w:rPr>
                <w:sz w:val="18"/>
                <w:szCs w:val="18"/>
                <w:lang w:val="en-US"/>
              </w:rPr>
              <w:t>IUDP</w:t>
            </w:r>
            <w:r w:rsidRPr="5D8904BE">
              <w:rPr>
                <w:sz w:val="18"/>
                <w:szCs w:val="18"/>
                <w:lang w:val="en-US"/>
              </w:rPr>
              <w:t xml:space="preserve">-Bamako for </w:t>
            </w:r>
            <w:r w:rsidRPr="5D8904BE">
              <w:rPr>
                <w:sz w:val="18"/>
                <w:szCs w:val="18"/>
                <w:lang w:val="en-US"/>
              </w:rPr>
              <w:lastRenderedPageBreak/>
              <w:t>5 years (2032-2033) </w:t>
            </w:r>
          </w:p>
          <w:p w14:paraId="5E7F77C9"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5B2339A0"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7166A6A2"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tc>
        <w:tc>
          <w:tcPr>
            <w:tcW w:w="1071" w:type="dxa"/>
            <w:vMerge w:val="restart"/>
            <w:hideMark/>
          </w:tcPr>
          <w:p w14:paraId="0A138A31" w14:textId="1BED4995" w:rsidR="00D3664D" w:rsidRPr="006F5E1D" w:rsidRDefault="580A2AAB" w:rsidP="5D8904BE">
            <w:pPr>
              <w:pBdr>
                <w:top w:val="single" w:sz="4" w:space="1" w:color="000000"/>
              </w:pBdr>
              <w:rPr>
                <w:sz w:val="18"/>
                <w:szCs w:val="18"/>
                <w:lang w:val="en-US"/>
              </w:rPr>
            </w:pPr>
            <w:r w:rsidRPr="5D8904BE">
              <w:rPr>
                <w:sz w:val="18"/>
                <w:szCs w:val="18"/>
                <w:lang w:val="en-US"/>
              </w:rPr>
              <w:lastRenderedPageBreak/>
              <w:t xml:space="preserve">Government, </w:t>
            </w:r>
            <w:r w:rsidR="124D35CF" w:rsidRPr="5D8904BE">
              <w:rPr>
                <w:sz w:val="18"/>
                <w:szCs w:val="18"/>
                <w:lang w:val="en-US"/>
              </w:rPr>
              <w:t>IUDP</w:t>
            </w:r>
            <w:r w:rsidRPr="5D8904BE">
              <w:rPr>
                <w:sz w:val="18"/>
                <w:szCs w:val="18"/>
                <w:lang w:val="en-US"/>
              </w:rPr>
              <w:t>-Bamako Project Team </w:t>
            </w:r>
          </w:p>
        </w:tc>
        <w:tc>
          <w:tcPr>
            <w:tcW w:w="3067" w:type="dxa"/>
            <w:hideMark/>
          </w:tcPr>
          <w:p w14:paraId="2AA93EA9" w14:textId="77777777" w:rsidR="00D3664D" w:rsidRPr="00857B81" w:rsidRDefault="78BF8E7E" w:rsidP="3585F9A1">
            <w:pPr>
              <w:pBdr>
                <w:top w:val="single" w:sz="4" w:space="1" w:color="000000"/>
              </w:pBdr>
              <w:rPr>
                <w:sz w:val="16"/>
                <w:szCs w:val="16"/>
                <w:lang w:val="en-US"/>
              </w:rPr>
            </w:pPr>
            <w:r w:rsidRPr="00857B81">
              <w:rPr>
                <w:sz w:val="16"/>
                <w:szCs w:val="16"/>
                <w:lang w:val="en-US"/>
              </w:rPr>
              <w:t xml:space="preserve">Risk Treatment 7.1: Identify corresponding projects and sites for which a characteristic assessment including knowledge of the sociology of local populations can be quickly carried out to ensure the relevance of the site and the accompanying measures necessary to support the proper implementation of the Project </w:t>
            </w:r>
            <w:proofErr w:type="gramStart"/>
            <w:r w:rsidRPr="00857B81">
              <w:rPr>
                <w:sz w:val="16"/>
                <w:szCs w:val="16"/>
                <w:lang w:val="en-US"/>
              </w:rPr>
              <w:t>activities;</w:t>
            </w:r>
            <w:proofErr w:type="gramEnd"/>
            <w:r w:rsidRPr="00857B81">
              <w:rPr>
                <w:sz w:val="16"/>
                <w:szCs w:val="16"/>
                <w:lang w:val="en-US"/>
              </w:rPr>
              <w:t> </w:t>
            </w:r>
          </w:p>
          <w:p w14:paraId="39D5B076" w14:textId="7A477382" w:rsidR="00D3664D" w:rsidRPr="00857B81" w:rsidRDefault="764C5370" w:rsidP="3585F9A1">
            <w:pPr>
              <w:pBdr>
                <w:top w:val="single" w:sz="4" w:space="1" w:color="000000"/>
              </w:pBdr>
              <w:rPr>
                <w:sz w:val="16"/>
                <w:szCs w:val="16"/>
                <w:lang w:val="en-US"/>
              </w:rPr>
            </w:pPr>
            <w:r w:rsidRPr="00857B81">
              <w:rPr>
                <w:sz w:val="16"/>
                <w:szCs w:val="16"/>
                <w:lang w:val="en-US"/>
              </w:rPr>
              <w:t xml:space="preserve">Risk Treatment Owner: </w:t>
            </w:r>
            <w:r w:rsidR="1F6BF10A" w:rsidRPr="00857B81">
              <w:rPr>
                <w:sz w:val="16"/>
                <w:szCs w:val="16"/>
                <w:lang w:val="en-US"/>
              </w:rPr>
              <w:t>IUDP</w:t>
            </w:r>
            <w:r w:rsidRPr="00857B81">
              <w:rPr>
                <w:sz w:val="16"/>
                <w:szCs w:val="16"/>
                <w:lang w:val="en-US"/>
              </w:rPr>
              <w:t xml:space="preserve">-Bamako Team under the aegis of </w:t>
            </w:r>
            <w:r w:rsidR="5F827312" w:rsidRPr="00857B81">
              <w:rPr>
                <w:sz w:val="16"/>
                <w:szCs w:val="16"/>
                <w:lang w:val="en-US"/>
              </w:rPr>
              <w:t>NDUPH</w:t>
            </w:r>
            <w:r w:rsidRPr="00857B81">
              <w:rPr>
                <w:sz w:val="16"/>
                <w:szCs w:val="16"/>
                <w:lang w:val="en-US"/>
              </w:rPr>
              <w:t xml:space="preserve"> as Implementation </w:t>
            </w:r>
            <w:r w:rsidRPr="00857B81">
              <w:rPr>
                <w:sz w:val="16"/>
                <w:szCs w:val="16"/>
                <w:lang w:val="en-US"/>
              </w:rPr>
              <w:lastRenderedPageBreak/>
              <w:t>Partner with the collaboration of the Responsible Parties </w:t>
            </w:r>
          </w:p>
        </w:tc>
      </w:tr>
      <w:tr w:rsidR="00D3664D" w:rsidRPr="00F50786" w14:paraId="66EDC333" w14:textId="77777777" w:rsidTr="00857B81">
        <w:trPr>
          <w:trHeight w:val="300"/>
          <w:jc w:val="center"/>
        </w:trPr>
        <w:tc>
          <w:tcPr>
            <w:tcW w:w="353" w:type="dxa"/>
            <w:vMerge/>
            <w:vAlign w:val="center"/>
            <w:hideMark/>
          </w:tcPr>
          <w:p w14:paraId="79884507" w14:textId="77777777" w:rsidR="00D3664D" w:rsidRPr="006F5E1D" w:rsidRDefault="00D3664D" w:rsidP="00D3664D">
            <w:pPr>
              <w:pBdr>
                <w:top w:val="single" w:sz="4" w:space="1" w:color="000000"/>
              </w:pBdr>
              <w:rPr>
                <w:sz w:val="18"/>
                <w:szCs w:val="18"/>
                <w:lang w:val="en-US"/>
              </w:rPr>
            </w:pPr>
          </w:p>
        </w:tc>
        <w:tc>
          <w:tcPr>
            <w:tcW w:w="1472" w:type="dxa"/>
            <w:vMerge/>
            <w:vAlign w:val="center"/>
            <w:hideMark/>
          </w:tcPr>
          <w:p w14:paraId="7BCD0444" w14:textId="77777777" w:rsidR="00D3664D" w:rsidRPr="006F5E1D" w:rsidRDefault="00D3664D" w:rsidP="00D3664D">
            <w:pPr>
              <w:pBdr>
                <w:top w:val="single" w:sz="4" w:space="1" w:color="000000"/>
              </w:pBdr>
              <w:rPr>
                <w:sz w:val="18"/>
                <w:szCs w:val="18"/>
                <w:lang w:val="en-US"/>
              </w:rPr>
            </w:pPr>
          </w:p>
        </w:tc>
        <w:tc>
          <w:tcPr>
            <w:tcW w:w="1412" w:type="dxa"/>
            <w:vMerge/>
            <w:vAlign w:val="center"/>
            <w:hideMark/>
          </w:tcPr>
          <w:p w14:paraId="0329A61C" w14:textId="77777777" w:rsidR="00D3664D" w:rsidRPr="006F5E1D" w:rsidRDefault="00D3664D" w:rsidP="00D3664D">
            <w:pPr>
              <w:pBdr>
                <w:top w:val="single" w:sz="4" w:space="1" w:color="000000"/>
              </w:pBdr>
              <w:rPr>
                <w:sz w:val="18"/>
                <w:szCs w:val="18"/>
                <w:lang w:val="en-US"/>
              </w:rPr>
            </w:pPr>
          </w:p>
        </w:tc>
        <w:tc>
          <w:tcPr>
            <w:tcW w:w="1616" w:type="dxa"/>
            <w:vMerge/>
            <w:vAlign w:val="center"/>
            <w:hideMark/>
          </w:tcPr>
          <w:p w14:paraId="6FD627F5" w14:textId="77777777" w:rsidR="00D3664D" w:rsidRPr="006F5E1D" w:rsidRDefault="00D3664D" w:rsidP="00D3664D">
            <w:pPr>
              <w:pBdr>
                <w:top w:val="single" w:sz="4" w:space="1" w:color="000000"/>
              </w:pBdr>
              <w:rPr>
                <w:sz w:val="18"/>
                <w:szCs w:val="18"/>
                <w:lang w:val="en-US"/>
              </w:rPr>
            </w:pPr>
          </w:p>
        </w:tc>
        <w:tc>
          <w:tcPr>
            <w:tcW w:w="1863" w:type="dxa"/>
            <w:vMerge/>
            <w:vAlign w:val="center"/>
            <w:hideMark/>
          </w:tcPr>
          <w:p w14:paraId="05C7CD28" w14:textId="77777777" w:rsidR="00D3664D" w:rsidRPr="006F5E1D" w:rsidRDefault="00D3664D" w:rsidP="00D3664D">
            <w:pPr>
              <w:pBdr>
                <w:top w:val="single" w:sz="4" w:space="1" w:color="000000"/>
              </w:pBdr>
              <w:rPr>
                <w:sz w:val="18"/>
                <w:szCs w:val="18"/>
                <w:lang w:val="en-US"/>
              </w:rPr>
            </w:pPr>
          </w:p>
        </w:tc>
        <w:tc>
          <w:tcPr>
            <w:tcW w:w="1719" w:type="dxa"/>
            <w:vMerge/>
            <w:vAlign w:val="center"/>
            <w:hideMark/>
          </w:tcPr>
          <w:p w14:paraId="5D163858" w14:textId="77777777" w:rsidR="00D3664D" w:rsidRPr="006F5E1D" w:rsidRDefault="00D3664D" w:rsidP="00D3664D">
            <w:pPr>
              <w:pBdr>
                <w:top w:val="single" w:sz="4" w:space="1" w:color="000000"/>
              </w:pBdr>
              <w:rPr>
                <w:sz w:val="18"/>
                <w:szCs w:val="18"/>
                <w:lang w:val="en-US"/>
              </w:rPr>
            </w:pPr>
          </w:p>
        </w:tc>
        <w:tc>
          <w:tcPr>
            <w:tcW w:w="1419" w:type="dxa"/>
            <w:vMerge/>
            <w:vAlign w:val="center"/>
            <w:hideMark/>
          </w:tcPr>
          <w:p w14:paraId="387C6661" w14:textId="77777777" w:rsidR="00D3664D" w:rsidRPr="006F5E1D" w:rsidRDefault="00D3664D" w:rsidP="00D3664D">
            <w:pPr>
              <w:pBdr>
                <w:top w:val="single" w:sz="4" w:space="1" w:color="000000"/>
              </w:pBdr>
              <w:rPr>
                <w:sz w:val="18"/>
                <w:szCs w:val="18"/>
                <w:lang w:val="en-US"/>
              </w:rPr>
            </w:pPr>
          </w:p>
        </w:tc>
        <w:tc>
          <w:tcPr>
            <w:tcW w:w="1071" w:type="dxa"/>
            <w:vMerge/>
            <w:vAlign w:val="center"/>
            <w:hideMark/>
          </w:tcPr>
          <w:p w14:paraId="17706BFC" w14:textId="77777777" w:rsidR="00D3664D" w:rsidRPr="006F5E1D" w:rsidRDefault="00D3664D" w:rsidP="00D3664D">
            <w:pPr>
              <w:pBdr>
                <w:top w:val="single" w:sz="4" w:space="1" w:color="000000"/>
              </w:pBdr>
              <w:rPr>
                <w:sz w:val="18"/>
                <w:szCs w:val="18"/>
                <w:lang w:val="en-US"/>
              </w:rPr>
            </w:pPr>
          </w:p>
        </w:tc>
        <w:tc>
          <w:tcPr>
            <w:tcW w:w="3067" w:type="dxa"/>
            <w:hideMark/>
          </w:tcPr>
          <w:p w14:paraId="4EEB66BB" w14:textId="77777777" w:rsidR="00D3664D" w:rsidRPr="006F5E1D" w:rsidRDefault="580A2AAB" w:rsidP="5D8904BE">
            <w:pPr>
              <w:pBdr>
                <w:top w:val="single" w:sz="4" w:space="1" w:color="000000"/>
              </w:pBdr>
              <w:rPr>
                <w:sz w:val="18"/>
                <w:szCs w:val="18"/>
                <w:lang w:val="en-US"/>
              </w:rPr>
            </w:pPr>
            <w:r w:rsidRPr="5D8904BE">
              <w:rPr>
                <w:sz w:val="18"/>
                <w:szCs w:val="18"/>
                <w:lang w:val="en-US"/>
              </w:rPr>
              <w:t>Risk Treatment 7.2: Promote solutions that also encourage systematic inclusion of populations residing or surrounding Project sites who have demonstrated established links with Project activities. </w:t>
            </w:r>
          </w:p>
          <w:p w14:paraId="37D0F903" w14:textId="52093E98" w:rsidR="00D3664D" w:rsidRPr="006F5E1D" w:rsidRDefault="5ED9FCA2" w:rsidP="537FA187">
            <w:pPr>
              <w:pBdr>
                <w:top w:val="single" w:sz="4" w:space="1" w:color="000000"/>
              </w:pBdr>
              <w:rPr>
                <w:sz w:val="18"/>
                <w:szCs w:val="18"/>
                <w:lang w:val="en-US"/>
              </w:rPr>
            </w:pPr>
            <w:r w:rsidRPr="537FA187">
              <w:rPr>
                <w:sz w:val="18"/>
                <w:szCs w:val="18"/>
                <w:lang w:val="en-US"/>
              </w:rPr>
              <w:t xml:space="preserve">Risk Treatment Owner: </w:t>
            </w:r>
            <w:r w:rsidR="78A7FAF5" w:rsidRPr="537FA187">
              <w:rPr>
                <w:sz w:val="18"/>
                <w:szCs w:val="18"/>
                <w:lang w:val="en-US"/>
              </w:rPr>
              <w:t>IUDP</w:t>
            </w:r>
            <w:r w:rsidRPr="537FA187">
              <w:rPr>
                <w:sz w:val="18"/>
                <w:szCs w:val="18"/>
                <w:lang w:val="en-US"/>
              </w:rPr>
              <w:t xml:space="preserve">-Bamako team under the aegis of </w:t>
            </w:r>
            <w:r w:rsidR="69663027" w:rsidRPr="537FA187">
              <w:rPr>
                <w:sz w:val="18"/>
                <w:szCs w:val="18"/>
                <w:lang w:val="en-US"/>
              </w:rPr>
              <w:t>NDUPH</w:t>
            </w:r>
            <w:r w:rsidRPr="537FA187">
              <w:rPr>
                <w:sz w:val="18"/>
                <w:szCs w:val="18"/>
                <w:lang w:val="en-US"/>
              </w:rPr>
              <w:t xml:space="preserve"> as Implementation Partner with the collaboration of the Responsible Parties l </w:t>
            </w:r>
          </w:p>
        </w:tc>
      </w:tr>
      <w:tr w:rsidR="00D3664D" w:rsidRPr="00F50786" w14:paraId="029C9B59" w14:textId="77777777" w:rsidTr="00857B81">
        <w:trPr>
          <w:trHeight w:val="300"/>
          <w:jc w:val="center"/>
        </w:trPr>
        <w:tc>
          <w:tcPr>
            <w:tcW w:w="353" w:type="dxa"/>
            <w:vMerge/>
            <w:vAlign w:val="center"/>
            <w:hideMark/>
          </w:tcPr>
          <w:p w14:paraId="4A6676EF" w14:textId="77777777" w:rsidR="00D3664D" w:rsidRPr="006F5E1D" w:rsidRDefault="00D3664D" w:rsidP="00D3664D">
            <w:pPr>
              <w:pBdr>
                <w:top w:val="single" w:sz="4" w:space="1" w:color="000000"/>
              </w:pBdr>
              <w:rPr>
                <w:sz w:val="18"/>
                <w:szCs w:val="18"/>
                <w:lang w:val="en-US"/>
              </w:rPr>
            </w:pPr>
          </w:p>
        </w:tc>
        <w:tc>
          <w:tcPr>
            <w:tcW w:w="1472" w:type="dxa"/>
            <w:vMerge/>
            <w:vAlign w:val="center"/>
            <w:hideMark/>
          </w:tcPr>
          <w:p w14:paraId="57ED8EE2" w14:textId="77777777" w:rsidR="00D3664D" w:rsidRPr="006F5E1D" w:rsidRDefault="00D3664D" w:rsidP="00D3664D">
            <w:pPr>
              <w:pBdr>
                <w:top w:val="single" w:sz="4" w:space="1" w:color="000000"/>
              </w:pBdr>
              <w:rPr>
                <w:sz w:val="18"/>
                <w:szCs w:val="18"/>
                <w:lang w:val="en-US"/>
              </w:rPr>
            </w:pPr>
          </w:p>
        </w:tc>
        <w:tc>
          <w:tcPr>
            <w:tcW w:w="1412" w:type="dxa"/>
            <w:vMerge/>
            <w:vAlign w:val="center"/>
            <w:hideMark/>
          </w:tcPr>
          <w:p w14:paraId="4F8F48B2" w14:textId="77777777" w:rsidR="00D3664D" w:rsidRPr="006F5E1D" w:rsidRDefault="00D3664D" w:rsidP="00D3664D">
            <w:pPr>
              <w:pBdr>
                <w:top w:val="single" w:sz="4" w:space="1" w:color="000000"/>
              </w:pBdr>
              <w:rPr>
                <w:sz w:val="18"/>
                <w:szCs w:val="18"/>
                <w:lang w:val="en-US"/>
              </w:rPr>
            </w:pPr>
          </w:p>
        </w:tc>
        <w:tc>
          <w:tcPr>
            <w:tcW w:w="1616" w:type="dxa"/>
            <w:vMerge/>
            <w:vAlign w:val="center"/>
            <w:hideMark/>
          </w:tcPr>
          <w:p w14:paraId="46E4B146" w14:textId="77777777" w:rsidR="00D3664D" w:rsidRPr="006F5E1D" w:rsidRDefault="00D3664D" w:rsidP="00D3664D">
            <w:pPr>
              <w:pBdr>
                <w:top w:val="single" w:sz="4" w:space="1" w:color="000000"/>
              </w:pBdr>
              <w:rPr>
                <w:sz w:val="18"/>
                <w:szCs w:val="18"/>
                <w:lang w:val="en-US"/>
              </w:rPr>
            </w:pPr>
          </w:p>
        </w:tc>
        <w:tc>
          <w:tcPr>
            <w:tcW w:w="1863" w:type="dxa"/>
            <w:vMerge/>
            <w:vAlign w:val="center"/>
            <w:hideMark/>
          </w:tcPr>
          <w:p w14:paraId="4E71B7C0" w14:textId="77777777" w:rsidR="00D3664D" w:rsidRPr="006F5E1D" w:rsidRDefault="00D3664D" w:rsidP="00D3664D">
            <w:pPr>
              <w:pBdr>
                <w:top w:val="single" w:sz="4" w:space="1" w:color="000000"/>
              </w:pBdr>
              <w:rPr>
                <w:sz w:val="18"/>
                <w:szCs w:val="18"/>
                <w:lang w:val="en-US"/>
              </w:rPr>
            </w:pPr>
          </w:p>
        </w:tc>
        <w:tc>
          <w:tcPr>
            <w:tcW w:w="1719" w:type="dxa"/>
            <w:vMerge/>
            <w:vAlign w:val="center"/>
            <w:hideMark/>
          </w:tcPr>
          <w:p w14:paraId="7BA31B1C" w14:textId="77777777" w:rsidR="00D3664D" w:rsidRPr="006F5E1D" w:rsidRDefault="00D3664D" w:rsidP="00D3664D">
            <w:pPr>
              <w:pBdr>
                <w:top w:val="single" w:sz="4" w:space="1" w:color="000000"/>
              </w:pBdr>
              <w:rPr>
                <w:sz w:val="18"/>
                <w:szCs w:val="18"/>
                <w:lang w:val="en-US"/>
              </w:rPr>
            </w:pPr>
          </w:p>
        </w:tc>
        <w:tc>
          <w:tcPr>
            <w:tcW w:w="1419" w:type="dxa"/>
            <w:vMerge/>
            <w:vAlign w:val="center"/>
            <w:hideMark/>
          </w:tcPr>
          <w:p w14:paraId="3B54039F" w14:textId="77777777" w:rsidR="00D3664D" w:rsidRPr="006F5E1D" w:rsidRDefault="00D3664D" w:rsidP="00D3664D">
            <w:pPr>
              <w:pBdr>
                <w:top w:val="single" w:sz="4" w:space="1" w:color="000000"/>
              </w:pBdr>
              <w:rPr>
                <w:sz w:val="18"/>
                <w:szCs w:val="18"/>
                <w:lang w:val="en-US"/>
              </w:rPr>
            </w:pPr>
          </w:p>
        </w:tc>
        <w:tc>
          <w:tcPr>
            <w:tcW w:w="1071" w:type="dxa"/>
            <w:vMerge/>
            <w:vAlign w:val="center"/>
            <w:hideMark/>
          </w:tcPr>
          <w:p w14:paraId="211BCDBF" w14:textId="77777777" w:rsidR="00D3664D" w:rsidRPr="006F5E1D" w:rsidRDefault="00D3664D" w:rsidP="00D3664D">
            <w:pPr>
              <w:pBdr>
                <w:top w:val="single" w:sz="4" w:space="1" w:color="000000"/>
              </w:pBdr>
              <w:rPr>
                <w:sz w:val="18"/>
                <w:szCs w:val="18"/>
                <w:lang w:val="en-US"/>
              </w:rPr>
            </w:pPr>
          </w:p>
        </w:tc>
        <w:tc>
          <w:tcPr>
            <w:tcW w:w="3067" w:type="dxa"/>
            <w:hideMark/>
          </w:tcPr>
          <w:p w14:paraId="42B0C9D7" w14:textId="77777777" w:rsidR="00D3664D" w:rsidRPr="006F5E1D" w:rsidRDefault="580A2AAB" w:rsidP="5D8904BE">
            <w:pPr>
              <w:pBdr>
                <w:top w:val="single" w:sz="4" w:space="1" w:color="000000"/>
              </w:pBdr>
              <w:rPr>
                <w:sz w:val="18"/>
                <w:szCs w:val="18"/>
                <w:lang w:val="en-US"/>
              </w:rPr>
            </w:pPr>
            <w:r w:rsidRPr="5D8904BE">
              <w:rPr>
                <w:sz w:val="18"/>
                <w:szCs w:val="18"/>
                <w:lang w:val="en-US"/>
              </w:rPr>
              <w:t>Risk Treatment 7.3: … </w:t>
            </w:r>
          </w:p>
          <w:p w14:paraId="133C1274" w14:textId="77777777" w:rsidR="00D3664D" w:rsidRPr="006F5E1D" w:rsidRDefault="580A2AAB" w:rsidP="5D8904BE">
            <w:pPr>
              <w:pBdr>
                <w:top w:val="single" w:sz="4" w:space="1" w:color="000000"/>
              </w:pBdr>
              <w:rPr>
                <w:sz w:val="18"/>
                <w:szCs w:val="18"/>
                <w:lang w:val="en-US"/>
              </w:rPr>
            </w:pPr>
            <w:r w:rsidRPr="5D8904BE">
              <w:rPr>
                <w:sz w:val="18"/>
                <w:szCs w:val="18"/>
                <w:lang w:val="en-US"/>
              </w:rPr>
              <w:t>Risk Treatment Owner: … </w:t>
            </w:r>
          </w:p>
        </w:tc>
      </w:tr>
      <w:tr w:rsidR="00D3664D" w:rsidRPr="00F50786" w14:paraId="7520D33D" w14:textId="77777777" w:rsidTr="00857B81">
        <w:trPr>
          <w:trHeight w:val="300"/>
          <w:jc w:val="center"/>
        </w:trPr>
        <w:tc>
          <w:tcPr>
            <w:tcW w:w="353" w:type="dxa"/>
            <w:vMerge w:val="restart"/>
            <w:hideMark/>
          </w:tcPr>
          <w:p w14:paraId="4D006971" w14:textId="77777777" w:rsidR="00D3664D" w:rsidRPr="006F5E1D" w:rsidRDefault="580A2AAB" w:rsidP="5D8904BE">
            <w:pPr>
              <w:pBdr>
                <w:top w:val="single" w:sz="4" w:space="1" w:color="000000"/>
              </w:pBdr>
              <w:rPr>
                <w:sz w:val="18"/>
                <w:szCs w:val="18"/>
              </w:rPr>
            </w:pPr>
            <w:r w:rsidRPr="5D8904BE">
              <w:rPr>
                <w:sz w:val="18"/>
                <w:szCs w:val="18"/>
              </w:rPr>
              <w:t>8 </w:t>
            </w:r>
          </w:p>
        </w:tc>
        <w:tc>
          <w:tcPr>
            <w:tcW w:w="1472" w:type="dxa"/>
            <w:vMerge w:val="restart"/>
            <w:hideMark/>
          </w:tcPr>
          <w:p w14:paraId="23D9F22A" w14:textId="03E0F2A4" w:rsidR="00D3664D" w:rsidRPr="006F5E1D" w:rsidRDefault="5ED9FCA2" w:rsidP="537FA187">
            <w:pPr>
              <w:pBdr>
                <w:top w:val="single" w:sz="4" w:space="1" w:color="000000"/>
              </w:pBdr>
              <w:rPr>
                <w:sz w:val="18"/>
                <w:szCs w:val="18"/>
                <w:lang w:val="en-US"/>
              </w:rPr>
            </w:pPr>
            <w:r w:rsidRPr="537FA187">
              <w:rPr>
                <w:sz w:val="18"/>
                <w:szCs w:val="18"/>
                <w:lang w:val="en-US"/>
              </w:rPr>
              <w:t xml:space="preserve">There is a risk that the project developer, </w:t>
            </w:r>
            <w:r w:rsidR="69663027" w:rsidRPr="537FA187">
              <w:rPr>
                <w:sz w:val="18"/>
                <w:szCs w:val="18"/>
                <w:lang w:val="en-US"/>
              </w:rPr>
              <w:t>NDUPH</w:t>
            </w:r>
            <w:r w:rsidRPr="537FA187">
              <w:rPr>
                <w:sz w:val="18"/>
                <w:szCs w:val="18"/>
                <w:lang w:val="en-US"/>
              </w:rPr>
              <w:t xml:space="preserve"> as an Implementation Partner, does not have the management capacity, solvency and cash flow. </w:t>
            </w:r>
          </w:p>
        </w:tc>
        <w:tc>
          <w:tcPr>
            <w:tcW w:w="1412" w:type="dxa"/>
            <w:vMerge w:val="restart"/>
            <w:hideMark/>
          </w:tcPr>
          <w:p w14:paraId="7B2C0521" w14:textId="77777777" w:rsidR="00D3664D" w:rsidRPr="006F5E1D" w:rsidRDefault="580A2AAB" w:rsidP="5D8904BE">
            <w:pPr>
              <w:pBdr>
                <w:top w:val="single" w:sz="4" w:space="1" w:color="000000"/>
              </w:pBdr>
              <w:rPr>
                <w:sz w:val="18"/>
                <w:szCs w:val="18"/>
                <w:lang w:val="en-US"/>
              </w:rPr>
            </w:pPr>
            <w:r w:rsidRPr="5D8904BE">
              <w:rPr>
                <w:sz w:val="18"/>
                <w:szCs w:val="18"/>
                <w:lang w:val="en-US"/>
              </w:rPr>
              <w:t>Due to the lack of project management skills and software tools for design, engineering and evaluation of development projects, particularly urban ones </w:t>
            </w:r>
          </w:p>
        </w:tc>
        <w:tc>
          <w:tcPr>
            <w:tcW w:w="1616" w:type="dxa"/>
            <w:vMerge w:val="restart"/>
            <w:hideMark/>
          </w:tcPr>
          <w:p w14:paraId="62CDB4F4" w14:textId="77777777" w:rsidR="00D3664D" w:rsidRPr="006F5E1D" w:rsidRDefault="580A2AAB" w:rsidP="5D8904BE">
            <w:pPr>
              <w:pBdr>
                <w:top w:val="single" w:sz="4" w:space="1" w:color="000000"/>
              </w:pBdr>
              <w:rPr>
                <w:sz w:val="18"/>
                <w:szCs w:val="18"/>
                <w:lang w:val="en-US"/>
              </w:rPr>
            </w:pPr>
            <w:r w:rsidRPr="5D8904BE">
              <w:rPr>
                <w:sz w:val="18"/>
                <w:szCs w:val="18"/>
                <w:lang w:val="en-US"/>
              </w:rPr>
              <w:t>This will have the impact of frequent delays or inefficiency or non-compliance in the implementation of project activities, including those carried out by private companies or consulting firms. </w:t>
            </w:r>
          </w:p>
        </w:tc>
        <w:tc>
          <w:tcPr>
            <w:tcW w:w="1863" w:type="dxa"/>
            <w:vMerge w:val="restart"/>
            <w:hideMark/>
          </w:tcPr>
          <w:p w14:paraId="08A3D920" w14:textId="77777777" w:rsidR="00D3664D" w:rsidRPr="006F5E1D" w:rsidRDefault="580A2AAB" w:rsidP="5D8904BE">
            <w:pPr>
              <w:pBdr>
                <w:top w:val="single" w:sz="4" w:space="1" w:color="000000"/>
              </w:pBdr>
              <w:rPr>
                <w:sz w:val="18"/>
                <w:szCs w:val="18"/>
              </w:rPr>
            </w:pPr>
            <w:proofErr w:type="spellStart"/>
            <w:r w:rsidRPr="5D8904BE">
              <w:rPr>
                <w:b/>
                <w:bCs/>
                <w:sz w:val="18"/>
                <w:szCs w:val="18"/>
              </w:rPr>
              <w:t>Organizational</w:t>
            </w:r>
            <w:proofErr w:type="spellEnd"/>
            <w:r w:rsidRPr="5D8904BE">
              <w:rPr>
                <w:b/>
                <w:bCs/>
                <w:sz w:val="18"/>
                <w:szCs w:val="18"/>
              </w:rPr>
              <w:t xml:space="preserve"> </w:t>
            </w:r>
            <w:proofErr w:type="spellStart"/>
            <w:r w:rsidRPr="5D8904BE">
              <w:rPr>
                <w:b/>
                <w:bCs/>
                <w:sz w:val="18"/>
                <w:szCs w:val="18"/>
              </w:rPr>
              <w:t>Developer</w:t>
            </w:r>
            <w:proofErr w:type="spellEnd"/>
            <w:r w:rsidRPr="5D8904BE">
              <w:rPr>
                <w:b/>
                <w:bCs/>
                <w:sz w:val="18"/>
                <w:szCs w:val="18"/>
              </w:rPr>
              <w:t xml:space="preserve"> </w:t>
            </w:r>
            <w:proofErr w:type="spellStart"/>
            <w:r w:rsidRPr="5D8904BE">
              <w:rPr>
                <w:b/>
                <w:bCs/>
                <w:sz w:val="18"/>
                <w:szCs w:val="18"/>
              </w:rPr>
              <w:t>risk</w:t>
            </w:r>
            <w:proofErr w:type="spellEnd"/>
            <w:r w:rsidRPr="5D8904BE">
              <w:rPr>
                <w:sz w:val="18"/>
                <w:szCs w:val="18"/>
              </w:rPr>
              <w:t> </w:t>
            </w:r>
          </w:p>
          <w:p w14:paraId="10CD43FF" w14:textId="77777777" w:rsidR="00D3664D" w:rsidRPr="006F5E1D" w:rsidRDefault="580A2AAB" w:rsidP="5D8904BE">
            <w:pPr>
              <w:pBdr>
                <w:top w:val="single" w:sz="4" w:space="1" w:color="000000"/>
              </w:pBdr>
              <w:rPr>
                <w:sz w:val="18"/>
                <w:szCs w:val="18"/>
              </w:rPr>
            </w:pPr>
            <w:r w:rsidRPr="5D8904BE">
              <w:rPr>
                <w:sz w:val="18"/>
                <w:szCs w:val="18"/>
              </w:rPr>
              <w:t> </w:t>
            </w:r>
          </w:p>
        </w:tc>
        <w:tc>
          <w:tcPr>
            <w:tcW w:w="1719" w:type="dxa"/>
            <w:vMerge w:val="restart"/>
            <w:hideMark/>
          </w:tcPr>
          <w:p w14:paraId="2DB636EC" w14:textId="77777777" w:rsidR="00D3664D" w:rsidRPr="006F5E1D" w:rsidRDefault="580A2AAB" w:rsidP="5D8904BE">
            <w:pPr>
              <w:pBdr>
                <w:top w:val="single" w:sz="4" w:space="1" w:color="000000"/>
              </w:pBdr>
              <w:rPr>
                <w:sz w:val="18"/>
                <w:szCs w:val="18"/>
                <w:lang w:val="en-US"/>
              </w:rPr>
            </w:pPr>
            <w:r w:rsidRPr="5D8904BE">
              <w:rPr>
                <w:sz w:val="18"/>
                <w:szCs w:val="18"/>
                <w:lang w:val="en-US"/>
              </w:rPr>
              <w:t>Likelihood: 3 </w:t>
            </w:r>
          </w:p>
          <w:p w14:paraId="4265D8CC"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583AD483" w14:textId="77777777" w:rsidR="00D3664D" w:rsidRPr="006F5E1D" w:rsidRDefault="580A2AAB" w:rsidP="5D8904BE">
            <w:pPr>
              <w:pBdr>
                <w:top w:val="single" w:sz="4" w:space="1" w:color="000000"/>
              </w:pBdr>
              <w:rPr>
                <w:sz w:val="18"/>
                <w:szCs w:val="18"/>
                <w:lang w:val="en-US"/>
              </w:rPr>
            </w:pPr>
            <w:r w:rsidRPr="5D8904BE">
              <w:rPr>
                <w:sz w:val="18"/>
                <w:szCs w:val="18"/>
                <w:lang w:val="en-US"/>
              </w:rPr>
              <w:t>Impact: 4 </w:t>
            </w:r>
          </w:p>
          <w:p w14:paraId="63F78D97"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2AFFB831" w14:textId="77777777" w:rsidR="00D3664D" w:rsidRPr="006F5E1D" w:rsidRDefault="580A2AAB" w:rsidP="5D8904BE">
            <w:pPr>
              <w:pBdr>
                <w:top w:val="single" w:sz="4" w:space="1" w:color="000000"/>
              </w:pBdr>
              <w:rPr>
                <w:sz w:val="18"/>
                <w:szCs w:val="18"/>
                <w:lang w:val="en-US"/>
              </w:rPr>
            </w:pPr>
            <w:r w:rsidRPr="5D8904BE">
              <w:rPr>
                <w:sz w:val="18"/>
                <w:szCs w:val="18"/>
                <w:lang w:val="en-US"/>
              </w:rPr>
              <w:t>Risk level: substantial  </w:t>
            </w:r>
          </w:p>
        </w:tc>
        <w:tc>
          <w:tcPr>
            <w:tcW w:w="1419" w:type="dxa"/>
            <w:vMerge w:val="restart"/>
            <w:hideMark/>
          </w:tcPr>
          <w:p w14:paraId="2F49FD94" w14:textId="77777777" w:rsidR="00D3664D" w:rsidRPr="006F5E1D" w:rsidRDefault="580A2AAB" w:rsidP="5D8904BE">
            <w:pPr>
              <w:pBdr>
                <w:top w:val="single" w:sz="4" w:space="1" w:color="000000"/>
              </w:pBdr>
              <w:rPr>
                <w:sz w:val="18"/>
                <w:szCs w:val="18"/>
                <w:lang w:val="en-US"/>
              </w:rPr>
            </w:pPr>
            <w:r w:rsidRPr="5D8904BE">
              <w:rPr>
                <w:sz w:val="18"/>
                <w:szCs w:val="18"/>
                <w:lang w:val="en-US"/>
              </w:rPr>
              <w:t>From: Project design (</w:t>
            </w:r>
            <w:proofErr w:type="spellStart"/>
            <w:r w:rsidRPr="5D8904BE">
              <w:rPr>
                <w:sz w:val="18"/>
                <w:szCs w:val="18"/>
                <w:lang w:val="en-US"/>
              </w:rPr>
              <w:t>february</w:t>
            </w:r>
            <w:proofErr w:type="spellEnd"/>
            <w:r w:rsidRPr="5D8904BE">
              <w:rPr>
                <w:sz w:val="18"/>
                <w:szCs w:val="18"/>
                <w:lang w:val="en-US"/>
              </w:rPr>
              <w:t>, 2025) </w:t>
            </w:r>
          </w:p>
          <w:p w14:paraId="4491DF12"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2B279A3F" w14:textId="7E1DEEED" w:rsidR="00D3664D" w:rsidRPr="006F5E1D" w:rsidRDefault="580A2AAB" w:rsidP="5D8904BE">
            <w:pPr>
              <w:pBdr>
                <w:top w:val="single" w:sz="4" w:space="1" w:color="000000"/>
              </w:pBdr>
              <w:rPr>
                <w:sz w:val="18"/>
                <w:szCs w:val="18"/>
                <w:lang w:val="en-US"/>
              </w:rPr>
            </w:pPr>
            <w:r w:rsidRPr="5D8904BE">
              <w:rPr>
                <w:sz w:val="18"/>
                <w:szCs w:val="18"/>
                <w:lang w:val="en-US"/>
              </w:rPr>
              <w:t xml:space="preserve">To: end of implementation of </w:t>
            </w:r>
            <w:r w:rsidR="124D35CF" w:rsidRPr="5D8904BE">
              <w:rPr>
                <w:sz w:val="18"/>
                <w:szCs w:val="18"/>
                <w:lang w:val="en-US"/>
              </w:rPr>
              <w:t>IUDP</w:t>
            </w:r>
            <w:r w:rsidRPr="5D8904BE">
              <w:rPr>
                <w:sz w:val="18"/>
                <w:szCs w:val="18"/>
                <w:lang w:val="en-US"/>
              </w:rPr>
              <w:t>-Bamako for 5 years (2032-2033) </w:t>
            </w:r>
          </w:p>
          <w:p w14:paraId="29551B29"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tc>
        <w:tc>
          <w:tcPr>
            <w:tcW w:w="1071" w:type="dxa"/>
            <w:vMerge w:val="restart"/>
            <w:hideMark/>
          </w:tcPr>
          <w:p w14:paraId="40FFB72E" w14:textId="0E860FBB" w:rsidR="00D3664D" w:rsidRPr="006F5E1D" w:rsidRDefault="580A2AAB" w:rsidP="5D8904BE">
            <w:pPr>
              <w:pBdr>
                <w:top w:val="single" w:sz="4" w:space="1" w:color="000000"/>
              </w:pBdr>
              <w:rPr>
                <w:sz w:val="18"/>
                <w:szCs w:val="18"/>
                <w:lang w:val="en-US"/>
              </w:rPr>
            </w:pPr>
            <w:r w:rsidRPr="5D8904BE">
              <w:rPr>
                <w:sz w:val="18"/>
                <w:szCs w:val="18"/>
                <w:lang w:val="en-US"/>
              </w:rPr>
              <w:t xml:space="preserve">Government, </w:t>
            </w:r>
            <w:r w:rsidR="124D35CF" w:rsidRPr="5D8904BE">
              <w:rPr>
                <w:sz w:val="18"/>
                <w:szCs w:val="18"/>
                <w:lang w:val="en-US"/>
              </w:rPr>
              <w:t>IUDP</w:t>
            </w:r>
            <w:r w:rsidRPr="5D8904BE">
              <w:rPr>
                <w:sz w:val="18"/>
                <w:szCs w:val="18"/>
                <w:lang w:val="en-US"/>
              </w:rPr>
              <w:t>-Bamako Project Team and UNDP </w:t>
            </w:r>
          </w:p>
        </w:tc>
        <w:tc>
          <w:tcPr>
            <w:tcW w:w="3067" w:type="dxa"/>
            <w:hideMark/>
          </w:tcPr>
          <w:p w14:paraId="2D233DE6" w14:textId="77777777" w:rsidR="00D3664D" w:rsidRPr="006F5E1D" w:rsidRDefault="580A2AAB" w:rsidP="5D8904BE">
            <w:pPr>
              <w:pBdr>
                <w:top w:val="single" w:sz="4" w:space="1" w:color="000000"/>
              </w:pBdr>
              <w:rPr>
                <w:sz w:val="18"/>
                <w:szCs w:val="18"/>
                <w:lang w:val="en-US"/>
              </w:rPr>
            </w:pPr>
            <w:r w:rsidRPr="5D8904BE">
              <w:rPr>
                <w:sz w:val="18"/>
                <w:szCs w:val="18"/>
                <w:lang w:val="en-US"/>
              </w:rPr>
              <w:t> Ensure the recruitment of staff within the project team with skills or initial training (profiles) compatible with the professional requirements expected within the framework of the project, and then identify and mobilize (ensure adequate staffing) the relevant software or hardware tools to secure compliant execution of the project </w:t>
            </w:r>
          </w:p>
          <w:p w14:paraId="3C0A6065" w14:textId="2E8215DB" w:rsidR="00D3664D" w:rsidRPr="006F5E1D" w:rsidRDefault="5ED9FCA2" w:rsidP="537FA187">
            <w:pPr>
              <w:pBdr>
                <w:top w:val="single" w:sz="4" w:space="1" w:color="000000"/>
              </w:pBdr>
              <w:rPr>
                <w:sz w:val="18"/>
                <w:szCs w:val="18"/>
                <w:lang w:val="en-US"/>
              </w:rPr>
            </w:pPr>
            <w:r w:rsidRPr="537FA187">
              <w:rPr>
                <w:sz w:val="18"/>
                <w:szCs w:val="18"/>
                <w:lang w:val="en-US"/>
              </w:rPr>
              <w:t xml:space="preserve">Risk Treatment Owner: Government, in particular the supervisory ministry of the </w:t>
            </w:r>
            <w:r w:rsidR="69663027" w:rsidRPr="537FA187">
              <w:rPr>
                <w:sz w:val="18"/>
                <w:szCs w:val="18"/>
                <w:lang w:val="en-US"/>
              </w:rPr>
              <w:t>NDUPH</w:t>
            </w:r>
            <w:r w:rsidRPr="537FA187">
              <w:rPr>
                <w:sz w:val="18"/>
                <w:szCs w:val="18"/>
                <w:lang w:val="en-US"/>
              </w:rPr>
              <w:t xml:space="preserve"> implementation partner </w:t>
            </w:r>
          </w:p>
        </w:tc>
      </w:tr>
      <w:tr w:rsidR="00D3664D" w:rsidRPr="00F50786" w14:paraId="22C5809E" w14:textId="77777777" w:rsidTr="00857B81">
        <w:trPr>
          <w:trHeight w:val="300"/>
          <w:jc w:val="center"/>
        </w:trPr>
        <w:tc>
          <w:tcPr>
            <w:tcW w:w="353" w:type="dxa"/>
            <w:vMerge/>
            <w:vAlign w:val="center"/>
            <w:hideMark/>
          </w:tcPr>
          <w:p w14:paraId="0754AF1E" w14:textId="77777777" w:rsidR="00D3664D" w:rsidRPr="006F5E1D" w:rsidRDefault="00D3664D" w:rsidP="00D3664D">
            <w:pPr>
              <w:pBdr>
                <w:top w:val="single" w:sz="4" w:space="1" w:color="000000"/>
              </w:pBdr>
              <w:rPr>
                <w:sz w:val="18"/>
                <w:szCs w:val="18"/>
                <w:lang w:val="en-US"/>
              </w:rPr>
            </w:pPr>
          </w:p>
        </w:tc>
        <w:tc>
          <w:tcPr>
            <w:tcW w:w="1472" w:type="dxa"/>
            <w:vMerge/>
            <w:vAlign w:val="center"/>
            <w:hideMark/>
          </w:tcPr>
          <w:p w14:paraId="56CED15D" w14:textId="77777777" w:rsidR="00D3664D" w:rsidRPr="006F5E1D" w:rsidRDefault="00D3664D" w:rsidP="00D3664D">
            <w:pPr>
              <w:pBdr>
                <w:top w:val="single" w:sz="4" w:space="1" w:color="000000"/>
              </w:pBdr>
              <w:rPr>
                <w:sz w:val="18"/>
                <w:szCs w:val="18"/>
                <w:lang w:val="en-US"/>
              </w:rPr>
            </w:pPr>
          </w:p>
        </w:tc>
        <w:tc>
          <w:tcPr>
            <w:tcW w:w="1412" w:type="dxa"/>
            <w:vMerge/>
            <w:vAlign w:val="center"/>
            <w:hideMark/>
          </w:tcPr>
          <w:p w14:paraId="5742B0DB" w14:textId="77777777" w:rsidR="00D3664D" w:rsidRPr="006F5E1D" w:rsidRDefault="00D3664D" w:rsidP="00D3664D">
            <w:pPr>
              <w:pBdr>
                <w:top w:val="single" w:sz="4" w:space="1" w:color="000000"/>
              </w:pBdr>
              <w:rPr>
                <w:sz w:val="18"/>
                <w:szCs w:val="18"/>
                <w:lang w:val="en-US"/>
              </w:rPr>
            </w:pPr>
          </w:p>
        </w:tc>
        <w:tc>
          <w:tcPr>
            <w:tcW w:w="1616" w:type="dxa"/>
            <w:vMerge/>
            <w:vAlign w:val="center"/>
            <w:hideMark/>
          </w:tcPr>
          <w:p w14:paraId="348793C2" w14:textId="77777777" w:rsidR="00D3664D" w:rsidRPr="006F5E1D" w:rsidRDefault="00D3664D" w:rsidP="00D3664D">
            <w:pPr>
              <w:pBdr>
                <w:top w:val="single" w:sz="4" w:space="1" w:color="000000"/>
              </w:pBdr>
              <w:rPr>
                <w:sz w:val="18"/>
                <w:szCs w:val="18"/>
                <w:lang w:val="en-US"/>
              </w:rPr>
            </w:pPr>
          </w:p>
        </w:tc>
        <w:tc>
          <w:tcPr>
            <w:tcW w:w="1863" w:type="dxa"/>
            <w:vMerge/>
            <w:vAlign w:val="center"/>
            <w:hideMark/>
          </w:tcPr>
          <w:p w14:paraId="503C36EB" w14:textId="77777777" w:rsidR="00D3664D" w:rsidRPr="006F5E1D" w:rsidRDefault="00D3664D" w:rsidP="00D3664D">
            <w:pPr>
              <w:pBdr>
                <w:top w:val="single" w:sz="4" w:space="1" w:color="000000"/>
              </w:pBdr>
              <w:rPr>
                <w:sz w:val="18"/>
                <w:szCs w:val="18"/>
                <w:lang w:val="en-US"/>
              </w:rPr>
            </w:pPr>
          </w:p>
        </w:tc>
        <w:tc>
          <w:tcPr>
            <w:tcW w:w="1719" w:type="dxa"/>
            <w:vMerge/>
            <w:vAlign w:val="center"/>
            <w:hideMark/>
          </w:tcPr>
          <w:p w14:paraId="3113AD1D" w14:textId="77777777" w:rsidR="00D3664D" w:rsidRPr="006F5E1D" w:rsidRDefault="00D3664D" w:rsidP="00D3664D">
            <w:pPr>
              <w:pBdr>
                <w:top w:val="single" w:sz="4" w:space="1" w:color="000000"/>
              </w:pBdr>
              <w:rPr>
                <w:sz w:val="18"/>
                <w:szCs w:val="18"/>
                <w:lang w:val="en-US"/>
              </w:rPr>
            </w:pPr>
          </w:p>
        </w:tc>
        <w:tc>
          <w:tcPr>
            <w:tcW w:w="1419" w:type="dxa"/>
            <w:vMerge/>
            <w:vAlign w:val="center"/>
            <w:hideMark/>
          </w:tcPr>
          <w:p w14:paraId="5AE4FFE9" w14:textId="77777777" w:rsidR="00D3664D" w:rsidRPr="006F5E1D" w:rsidRDefault="00D3664D" w:rsidP="00D3664D">
            <w:pPr>
              <w:pBdr>
                <w:top w:val="single" w:sz="4" w:space="1" w:color="000000"/>
              </w:pBdr>
              <w:rPr>
                <w:sz w:val="18"/>
                <w:szCs w:val="18"/>
                <w:lang w:val="en-US"/>
              </w:rPr>
            </w:pPr>
          </w:p>
        </w:tc>
        <w:tc>
          <w:tcPr>
            <w:tcW w:w="1071" w:type="dxa"/>
            <w:vMerge/>
            <w:vAlign w:val="center"/>
            <w:hideMark/>
          </w:tcPr>
          <w:p w14:paraId="1E3A6756" w14:textId="77777777" w:rsidR="00D3664D" w:rsidRPr="006F5E1D" w:rsidRDefault="00D3664D" w:rsidP="00D3664D">
            <w:pPr>
              <w:pBdr>
                <w:top w:val="single" w:sz="4" w:space="1" w:color="000000"/>
              </w:pBdr>
              <w:rPr>
                <w:sz w:val="18"/>
                <w:szCs w:val="18"/>
                <w:lang w:val="en-US"/>
              </w:rPr>
            </w:pPr>
          </w:p>
        </w:tc>
        <w:tc>
          <w:tcPr>
            <w:tcW w:w="3067" w:type="dxa"/>
            <w:hideMark/>
          </w:tcPr>
          <w:p w14:paraId="419B11FA" w14:textId="77777777" w:rsidR="00D3664D" w:rsidRPr="006F5E1D" w:rsidRDefault="580A2AAB" w:rsidP="5D8904BE">
            <w:pPr>
              <w:pBdr>
                <w:top w:val="single" w:sz="4" w:space="1" w:color="000000"/>
              </w:pBdr>
              <w:rPr>
                <w:sz w:val="18"/>
                <w:szCs w:val="18"/>
                <w:lang w:val="en-US"/>
              </w:rPr>
            </w:pPr>
            <w:r w:rsidRPr="5D8904BE">
              <w:rPr>
                <w:sz w:val="18"/>
                <w:szCs w:val="18"/>
                <w:lang w:val="en-US"/>
              </w:rPr>
              <w:t>: Ensure for the project team staff the development and implementation of a specific training and study trip program to strengthen operational project management capacities and the promotion of best practices by promoting relevant networking. </w:t>
            </w:r>
          </w:p>
          <w:p w14:paraId="750D8573" w14:textId="67C93FBD" w:rsidR="00D3664D" w:rsidRPr="006F5E1D" w:rsidRDefault="5ED9FCA2" w:rsidP="537FA187">
            <w:pPr>
              <w:pBdr>
                <w:top w:val="single" w:sz="4" w:space="1" w:color="000000"/>
              </w:pBdr>
              <w:rPr>
                <w:sz w:val="18"/>
                <w:szCs w:val="18"/>
                <w:lang w:val="en-US"/>
              </w:rPr>
            </w:pPr>
            <w:r w:rsidRPr="537FA187">
              <w:rPr>
                <w:sz w:val="18"/>
                <w:szCs w:val="18"/>
                <w:lang w:val="en-US"/>
              </w:rPr>
              <w:t xml:space="preserve">Risk Treatment Owner: Government, in particular the supervisory ministry of the </w:t>
            </w:r>
            <w:r w:rsidR="69663027" w:rsidRPr="537FA187">
              <w:rPr>
                <w:sz w:val="18"/>
                <w:szCs w:val="18"/>
                <w:lang w:val="en-US"/>
              </w:rPr>
              <w:t>NDUPH</w:t>
            </w:r>
            <w:r w:rsidRPr="537FA187">
              <w:rPr>
                <w:sz w:val="18"/>
                <w:szCs w:val="18"/>
                <w:lang w:val="en-US"/>
              </w:rPr>
              <w:t xml:space="preserve"> implementation partner </w:t>
            </w:r>
          </w:p>
        </w:tc>
      </w:tr>
      <w:tr w:rsidR="00D3664D" w:rsidRPr="00F50786" w14:paraId="627EF76A" w14:textId="77777777" w:rsidTr="00857B81">
        <w:trPr>
          <w:trHeight w:val="300"/>
          <w:jc w:val="center"/>
        </w:trPr>
        <w:tc>
          <w:tcPr>
            <w:tcW w:w="353" w:type="dxa"/>
            <w:vMerge/>
            <w:vAlign w:val="center"/>
            <w:hideMark/>
          </w:tcPr>
          <w:p w14:paraId="0DE40059" w14:textId="77777777" w:rsidR="00D3664D" w:rsidRPr="006F5E1D" w:rsidRDefault="00D3664D" w:rsidP="00D3664D">
            <w:pPr>
              <w:pBdr>
                <w:top w:val="single" w:sz="4" w:space="1" w:color="000000"/>
              </w:pBdr>
              <w:rPr>
                <w:sz w:val="18"/>
                <w:szCs w:val="18"/>
                <w:lang w:val="en-US"/>
              </w:rPr>
            </w:pPr>
          </w:p>
        </w:tc>
        <w:tc>
          <w:tcPr>
            <w:tcW w:w="1472" w:type="dxa"/>
            <w:vMerge/>
            <w:vAlign w:val="center"/>
            <w:hideMark/>
          </w:tcPr>
          <w:p w14:paraId="7EEE0CBA" w14:textId="77777777" w:rsidR="00D3664D" w:rsidRPr="006F5E1D" w:rsidRDefault="00D3664D" w:rsidP="00D3664D">
            <w:pPr>
              <w:pBdr>
                <w:top w:val="single" w:sz="4" w:space="1" w:color="000000"/>
              </w:pBdr>
              <w:rPr>
                <w:sz w:val="18"/>
                <w:szCs w:val="18"/>
                <w:lang w:val="en-US"/>
              </w:rPr>
            </w:pPr>
          </w:p>
        </w:tc>
        <w:tc>
          <w:tcPr>
            <w:tcW w:w="1412" w:type="dxa"/>
            <w:vMerge/>
            <w:vAlign w:val="center"/>
            <w:hideMark/>
          </w:tcPr>
          <w:p w14:paraId="0D6B36D5" w14:textId="77777777" w:rsidR="00D3664D" w:rsidRPr="006F5E1D" w:rsidRDefault="00D3664D" w:rsidP="00D3664D">
            <w:pPr>
              <w:pBdr>
                <w:top w:val="single" w:sz="4" w:space="1" w:color="000000"/>
              </w:pBdr>
              <w:rPr>
                <w:sz w:val="18"/>
                <w:szCs w:val="18"/>
                <w:lang w:val="en-US"/>
              </w:rPr>
            </w:pPr>
          </w:p>
        </w:tc>
        <w:tc>
          <w:tcPr>
            <w:tcW w:w="1616" w:type="dxa"/>
            <w:vMerge/>
            <w:vAlign w:val="center"/>
            <w:hideMark/>
          </w:tcPr>
          <w:p w14:paraId="65233536" w14:textId="77777777" w:rsidR="00D3664D" w:rsidRPr="006F5E1D" w:rsidRDefault="00D3664D" w:rsidP="00D3664D">
            <w:pPr>
              <w:pBdr>
                <w:top w:val="single" w:sz="4" w:space="1" w:color="000000"/>
              </w:pBdr>
              <w:rPr>
                <w:sz w:val="18"/>
                <w:szCs w:val="18"/>
                <w:lang w:val="en-US"/>
              </w:rPr>
            </w:pPr>
          </w:p>
        </w:tc>
        <w:tc>
          <w:tcPr>
            <w:tcW w:w="1863" w:type="dxa"/>
            <w:vMerge/>
            <w:vAlign w:val="center"/>
            <w:hideMark/>
          </w:tcPr>
          <w:p w14:paraId="12BD3C6D" w14:textId="77777777" w:rsidR="00D3664D" w:rsidRPr="006F5E1D" w:rsidRDefault="00D3664D" w:rsidP="00D3664D">
            <w:pPr>
              <w:pBdr>
                <w:top w:val="single" w:sz="4" w:space="1" w:color="000000"/>
              </w:pBdr>
              <w:rPr>
                <w:sz w:val="18"/>
                <w:szCs w:val="18"/>
                <w:lang w:val="en-US"/>
              </w:rPr>
            </w:pPr>
          </w:p>
        </w:tc>
        <w:tc>
          <w:tcPr>
            <w:tcW w:w="1719" w:type="dxa"/>
            <w:vMerge/>
            <w:vAlign w:val="center"/>
            <w:hideMark/>
          </w:tcPr>
          <w:p w14:paraId="00C3D2FB" w14:textId="77777777" w:rsidR="00D3664D" w:rsidRPr="006F5E1D" w:rsidRDefault="00D3664D" w:rsidP="00D3664D">
            <w:pPr>
              <w:pBdr>
                <w:top w:val="single" w:sz="4" w:space="1" w:color="000000"/>
              </w:pBdr>
              <w:rPr>
                <w:sz w:val="18"/>
                <w:szCs w:val="18"/>
                <w:lang w:val="en-US"/>
              </w:rPr>
            </w:pPr>
          </w:p>
        </w:tc>
        <w:tc>
          <w:tcPr>
            <w:tcW w:w="1419" w:type="dxa"/>
            <w:vMerge/>
            <w:vAlign w:val="center"/>
            <w:hideMark/>
          </w:tcPr>
          <w:p w14:paraId="73818F31" w14:textId="77777777" w:rsidR="00D3664D" w:rsidRPr="006F5E1D" w:rsidRDefault="00D3664D" w:rsidP="00D3664D">
            <w:pPr>
              <w:pBdr>
                <w:top w:val="single" w:sz="4" w:space="1" w:color="000000"/>
              </w:pBdr>
              <w:rPr>
                <w:sz w:val="18"/>
                <w:szCs w:val="18"/>
                <w:lang w:val="en-US"/>
              </w:rPr>
            </w:pPr>
          </w:p>
        </w:tc>
        <w:tc>
          <w:tcPr>
            <w:tcW w:w="1071" w:type="dxa"/>
            <w:vMerge/>
            <w:vAlign w:val="center"/>
            <w:hideMark/>
          </w:tcPr>
          <w:p w14:paraId="4C5F4ADB" w14:textId="77777777" w:rsidR="00D3664D" w:rsidRPr="006F5E1D" w:rsidRDefault="00D3664D" w:rsidP="00D3664D">
            <w:pPr>
              <w:pBdr>
                <w:top w:val="single" w:sz="4" w:space="1" w:color="000000"/>
              </w:pBdr>
              <w:rPr>
                <w:sz w:val="18"/>
                <w:szCs w:val="18"/>
                <w:lang w:val="en-US"/>
              </w:rPr>
            </w:pPr>
          </w:p>
        </w:tc>
        <w:tc>
          <w:tcPr>
            <w:tcW w:w="3067" w:type="dxa"/>
            <w:hideMark/>
          </w:tcPr>
          <w:p w14:paraId="7EC782E7" w14:textId="77777777" w:rsidR="00D3664D" w:rsidRPr="006F5E1D" w:rsidRDefault="580A2AAB" w:rsidP="5D8904BE">
            <w:pPr>
              <w:pBdr>
                <w:top w:val="single" w:sz="4" w:space="1" w:color="000000"/>
              </w:pBdr>
              <w:rPr>
                <w:sz w:val="18"/>
                <w:szCs w:val="18"/>
                <w:lang w:val="en-US"/>
              </w:rPr>
            </w:pPr>
            <w:r w:rsidRPr="5D8904BE">
              <w:rPr>
                <w:sz w:val="18"/>
                <w:szCs w:val="18"/>
                <w:lang w:val="en-US"/>
              </w:rPr>
              <w:t xml:space="preserve">Risk Treatment 8.3: support the synergy or integration of the project with other existing or future initiatives of UNDP or other agencies of the United Nations System in Mali and other international partners in Mali </w:t>
            </w:r>
            <w:proofErr w:type="gramStart"/>
            <w:r w:rsidRPr="5D8904BE">
              <w:rPr>
                <w:sz w:val="18"/>
                <w:szCs w:val="18"/>
                <w:lang w:val="en-US"/>
              </w:rPr>
              <w:t>in order to</w:t>
            </w:r>
            <w:proofErr w:type="gramEnd"/>
            <w:r w:rsidRPr="5D8904BE">
              <w:rPr>
                <w:sz w:val="18"/>
                <w:szCs w:val="18"/>
                <w:lang w:val="en-US"/>
              </w:rPr>
              <w:t xml:space="preserve"> support the integration and relevance of the management of the project </w:t>
            </w:r>
          </w:p>
          <w:p w14:paraId="46F5E5D5" w14:textId="77777777" w:rsidR="00D3664D" w:rsidRPr="006F5E1D" w:rsidRDefault="580A2AAB" w:rsidP="5D8904BE">
            <w:pPr>
              <w:pBdr>
                <w:top w:val="single" w:sz="4" w:space="1" w:color="000000"/>
              </w:pBdr>
              <w:rPr>
                <w:sz w:val="18"/>
                <w:szCs w:val="18"/>
                <w:lang w:val="en-US"/>
              </w:rPr>
            </w:pPr>
            <w:r w:rsidRPr="5D8904BE">
              <w:rPr>
                <w:sz w:val="18"/>
                <w:szCs w:val="18"/>
                <w:lang w:val="en-US"/>
              </w:rPr>
              <w:t>Risk Treatment Owner: Key facilitation by UNDP in collaboration with the project team and the Government of Mali </w:t>
            </w:r>
          </w:p>
        </w:tc>
      </w:tr>
      <w:tr w:rsidR="00D3664D" w:rsidRPr="00F50786" w14:paraId="4930FC0B" w14:textId="77777777" w:rsidTr="00857B81">
        <w:trPr>
          <w:trHeight w:val="300"/>
          <w:jc w:val="center"/>
        </w:trPr>
        <w:tc>
          <w:tcPr>
            <w:tcW w:w="353" w:type="dxa"/>
            <w:hideMark/>
          </w:tcPr>
          <w:p w14:paraId="3BE691F2" w14:textId="77777777" w:rsidR="00D3664D" w:rsidRPr="006F5E1D" w:rsidRDefault="580A2AAB" w:rsidP="5D8904BE">
            <w:pPr>
              <w:pBdr>
                <w:top w:val="single" w:sz="4" w:space="1" w:color="000000"/>
              </w:pBdr>
              <w:rPr>
                <w:sz w:val="18"/>
                <w:szCs w:val="18"/>
              </w:rPr>
            </w:pPr>
            <w:r w:rsidRPr="5D8904BE">
              <w:rPr>
                <w:sz w:val="18"/>
                <w:szCs w:val="18"/>
              </w:rPr>
              <w:t>9 </w:t>
            </w:r>
          </w:p>
        </w:tc>
        <w:tc>
          <w:tcPr>
            <w:tcW w:w="1472" w:type="dxa"/>
            <w:hideMark/>
          </w:tcPr>
          <w:p w14:paraId="1779D519" w14:textId="77777777" w:rsidR="00D3664D" w:rsidRPr="006F5E1D" w:rsidRDefault="580A2AAB" w:rsidP="5D8904BE">
            <w:pPr>
              <w:pBdr>
                <w:top w:val="single" w:sz="4" w:space="1" w:color="000000"/>
              </w:pBdr>
              <w:rPr>
                <w:sz w:val="18"/>
                <w:szCs w:val="18"/>
                <w:lang w:val="en-US"/>
              </w:rPr>
            </w:pPr>
            <w:r w:rsidRPr="5D8904BE">
              <w:rPr>
                <w:sz w:val="18"/>
                <w:szCs w:val="18"/>
                <w:lang w:val="en-US"/>
              </w:rPr>
              <w:t>There is a risk of harm to women and girls, failure to reduce existing gender gaps and/or disproportionate benefits of the project accruing to men </w:t>
            </w:r>
          </w:p>
        </w:tc>
        <w:tc>
          <w:tcPr>
            <w:tcW w:w="1412" w:type="dxa"/>
            <w:hideMark/>
          </w:tcPr>
          <w:p w14:paraId="37F0CDF0" w14:textId="77777777" w:rsidR="00D3664D" w:rsidRPr="006F5E1D" w:rsidRDefault="580A2AAB" w:rsidP="5D8904BE">
            <w:pPr>
              <w:pBdr>
                <w:top w:val="single" w:sz="4" w:space="1" w:color="000000"/>
              </w:pBdr>
              <w:rPr>
                <w:sz w:val="18"/>
                <w:szCs w:val="18"/>
                <w:lang w:val="en-US"/>
              </w:rPr>
            </w:pPr>
            <w:r w:rsidRPr="5D8904BE">
              <w:rPr>
                <w:sz w:val="18"/>
                <w:szCs w:val="18"/>
                <w:lang w:val="en-US"/>
              </w:rPr>
              <w:t xml:space="preserve">Due to the legislation that supports a representation of at least 30% of women in public office, both nominative and elective, without including the formal or informal private sector where a large majority of women, young people and people living with </w:t>
            </w:r>
            <w:r w:rsidRPr="5D8904BE">
              <w:rPr>
                <w:sz w:val="18"/>
                <w:szCs w:val="18"/>
                <w:lang w:val="en-US"/>
              </w:rPr>
              <w:lastRenderedPageBreak/>
              <w:t>disabilities are active in the city's socio-economic activities. Also, the poverty rate in the city results in high inequality and chronic vulnerability of women, young people and disabled populations. The environment preceding the project indicates a major challenge for gender integration in the city's development projects. </w:t>
            </w:r>
          </w:p>
        </w:tc>
        <w:tc>
          <w:tcPr>
            <w:tcW w:w="1616" w:type="dxa"/>
            <w:hideMark/>
          </w:tcPr>
          <w:p w14:paraId="2C195052" w14:textId="49F8F4F2" w:rsidR="00D3664D" w:rsidRPr="006F5E1D" w:rsidRDefault="580A2AAB" w:rsidP="5D8904BE">
            <w:pPr>
              <w:pBdr>
                <w:top w:val="single" w:sz="4" w:space="1" w:color="000000"/>
              </w:pBdr>
              <w:rPr>
                <w:sz w:val="18"/>
                <w:szCs w:val="18"/>
                <w:lang w:val="en-US"/>
              </w:rPr>
            </w:pPr>
            <w:r w:rsidRPr="5D8904BE">
              <w:rPr>
                <w:sz w:val="18"/>
                <w:szCs w:val="18"/>
                <w:lang w:val="en-US"/>
              </w:rPr>
              <w:lastRenderedPageBreak/>
              <w:t xml:space="preserve">This will have the impact of making the implementation of the </w:t>
            </w:r>
            <w:r w:rsidR="124D35CF" w:rsidRPr="5D8904BE">
              <w:rPr>
                <w:sz w:val="18"/>
                <w:szCs w:val="18"/>
                <w:lang w:val="en-US"/>
              </w:rPr>
              <w:t>IUDP</w:t>
            </w:r>
            <w:r w:rsidRPr="5D8904BE">
              <w:rPr>
                <w:sz w:val="18"/>
                <w:szCs w:val="18"/>
                <w:lang w:val="en-US"/>
              </w:rPr>
              <w:t>-Bamako project gender insensitive and producing poorly structured statistics to integrate aspects of gender inclusion and inequalities, ultimately affecting any positive valuation of the project's impacts and their scaling up. </w:t>
            </w:r>
          </w:p>
        </w:tc>
        <w:tc>
          <w:tcPr>
            <w:tcW w:w="1863" w:type="dxa"/>
            <w:hideMark/>
          </w:tcPr>
          <w:p w14:paraId="622B355A" w14:textId="77777777" w:rsidR="00D3664D" w:rsidRPr="006F5E1D" w:rsidRDefault="580A2AAB" w:rsidP="5D8904BE">
            <w:pPr>
              <w:pBdr>
                <w:top w:val="single" w:sz="4" w:space="1" w:color="000000"/>
              </w:pBdr>
              <w:rPr>
                <w:sz w:val="18"/>
                <w:szCs w:val="18"/>
                <w:lang w:val="en-US"/>
              </w:rPr>
            </w:pPr>
            <w:r w:rsidRPr="5D8904BE">
              <w:rPr>
                <w:b/>
                <w:bCs/>
                <w:sz w:val="18"/>
                <w:szCs w:val="18"/>
                <w:lang w:val="en-US"/>
              </w:rPr>
              <w:t>Social and Environmental Gender-related risk</w:t>
            </w:r>
            <w:r w:rsidRPr="5D8904BE">
              <w:rPr>
                <w:sz w:val="18"/>
                <w:szCs w:val="18"/>
                <w:lang w:val="en-US"/>
              </w:rPr>
              <w:t> </w:t>
            </w:r>
          </w:p>
        </w:tc>
        <w:tc>
          <w:tcPr>
            <w:tcW w:w="1719" w:type="dxa"/>
            <w:hideMark/>
          </w:tcPr>
          <w:p w14:paraId="2EAA9630" w14:textId="77777777" w:rsidR="00D3664D" w:rsidRPr="006F5E1D" w:rsidRDefault="580A2AAB" w:rsidP="5D8904BE">
            <w:pPr>
              <w:pBdr>
                <w:top w:val="single" w:sz="4" w:space="1" w:color="000000"/>
              </w:pBdr>
              <w:rPr>
                <w:sz w:val="18"/>
                <w:szCs w:val="18"/>
                <w:lang w:val="en-US"/>
              </w:rPr>
            </w:pPr>
            <w:r w:rsidRPr="5D8904BE">
              <w:rPr>
                <w:sz w:val="18"/>
                <w:szCs w:val="18"/>
                <w:lang w:val="en-US"/>
              </w:rPr>
              <w:t>Likelihood: 3 </w:t>
            </w:r>
          </w:p>
          <w:p w14:paraId="615076C4"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66E93A68" w14:textId="77777777" w:rsidR="00D3664D" w:rsidRPr="006F5E1D" w:rsidRDefault="580A2AAB" w:rsidP="5D8904BE">
            <w:pPr>
              <w:pBdr>
                <w:top w:val="single" w:sz="4" w:space="1" w:color="000000"/>
              </w:pBdr>
              <w:rPr>
                <w:sz w:val="18"/>
                <w:szCs w:val="18"/>
                <w:lang w:val="en-US"/>
              </w:rPr>
            </w:pPr>
            <w:r w:rsidRPr="5D8904BE">
              <w:rPr>
                <w:sz w:val="18"/>
                <w:szCs w:val="18"/>
                <w:lang w:val="en-US"/>
              </w:rPr>
              <w:t>Impact: 3 </w:t>
            </w:r>
          </w:p>
          <w:p w14:paraId="1C7295A1"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72E2FFE7" w14:textId="77777777" w:rsidR="00D3664D" w:rsidRPr="006F5E1D" w:rsidRDefault="580A2AAB" w:rsidP="5D8904BE">
            <w:pPr>
              <w:pBdr>
                <w:top w:val="single" w:sz="4" w:space="1" w:color="000000"/>
              </w:pBdr>
              <w:rPr>
                <w:sz w:val="18"/>
                <w:szCs w:val="18"/>
                <w:lang w:val="en-US"/>
              </w:rPr>
            </w:pPr>
            <w:r w:rsidRPr="5D8904BE">
              <w:rPr>
                <w:sz w:val="18"/>
                <w:szCs w:val="18"/>
                <w:lang w:val="en-US"/>
              </w:rPr>
              <w:t>Risk level: Moderate </w:t>
            </w:r>
          </w:p>
        </w:tc>
        <w:tc>
          <w:tcPr>
            <w:tcW w:w="1419" w:type="dxa"/>
            <w:hideMark/>
          </w:tcPr>
          <w:p w14:paraId="09802686" w14:textId="77777777" w:rsidR="00D3664D" w:rsidRPr="006F5E1D" w:rsidRDefault="580A2AAB" w:rsidP="5D8904BE">
            <w:pPr>
              <w:pBdr>
                <w:top w:val="single" w:sz="4" w:space="1" w:color="000000"/>
              </w:pBdr>
              <w:rPr>
                <w:sz w:val="18"/>
                <w:szCs w:val="18"/>
                <w:lang w:val="en-US"/>
              </w:rPr>
            </w:pPr>
            <w:r w:rsidRPr="5D8904BE">
              <w:rPr>
                <w:sz w:val="18"/>
                <w:szCs w:val="18"/>
                <w:lang w:val="en-US"/>
              </w:rPr>
              <w:t>From: Project design (</w:t>
            </w:r>
            <w:proofErr w:type="spellStart"/>
            <w:r w:rsidRPr="5D8904BE">
              <w:rPr>
                <w:sz w:val="18"/>
                <w:szCs w:val="18"/>
                <w:lang w:val="en-US"/>
              </w:rPr>
              <w:t>february</w:t>
            </w:r>
            <w:proofErr w:type="spellEnd"/>
            <w:r w:rsidRPr="5D8904BE">
              <w:rPr>
                <w:sz w:val="18"/>
                <w:szCs w:val="18"/>
                <w:lang w:val="en-US"/>
              </w:rPr>
              <w:t>, 2025) </w:t>
            </w:r>
          </w:p>
          <w:p w14:paraId="1452A1D9"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4117BA07" w14:textId="24695C8F" w:rsidR="00D3664D" w:rsidRPr="006F5E1D" w:rsidRDefault="580A2AAB" w:rsidP="5D8904BE">
            <w:pPr>
              <w:pBdr>
                <w:top w:val="single" w:sz="4" w:space="1" w:color="000000"/>
              </w:pBdr>
              <w:rPr>
                <w:sz w:val="18"/>
                <w:szCs w:val="18"/>
                <w:lang w:val="en-US"/>
              </w:rPr>
            </w:pPr>
            <w:r w:rsidRPr="5D8904BE">
              <w:rPr>
                <w:sz w:val="18"/>
                <w:szCs w:val="18"/>
                <w:lang w:val="en-US"/>
              </w:rPr>
              <w:t xml:space="preserve">To: end of implementation of </w:t>
            </w:r>
            <w:r w:rsidR="124D35CF" w:rsidRPr="5D8904BE">
              <w:rPr>
                <w:sz w:val="18"/>
                <w:szCs w:val="18"/>
                <w:lang w:val="en-US"/>
              </w:rPr>
              <w:t>IUDP</w:t>
            </w:r>
            <w:r w:rsidRPr="5D8904BE">
              <w:rPr>
                <w:sz w:val="18"/>
                <w:szCs w:val="18"/>
                <w:lang w:val="en-US"/>
              </w:rPr>
              <w:t>-Bamako for 5 years (2032-2033) </w:t>
            </w:r>
          </w:p>
          <w:p w14:paraId="46488139"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tc>
        <w:tc>
          <w:tcPr>
            <w:tcW w:w="1071" w:type="dxa"/>
            <w:hideMark/>
          </w:tcPr>
          <w:p w14:paraId="66924A03"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p w14:paraId="152E3AEC" w14:textId="09FFF5B7" w:rsidR="00D3664D" w:rsidRPr="006F5E1D" w:rsidRDefault="580A2AAB" w:rsidP="5D8904BE">
            <w:pPr>
              <w:pBdr>
                <w:top w:val="single" w:sz="4" w:space="1" w:color="000000"/>
              </w:pBdr>
              <w:rPr>
                <w:sz w:val="18"/>
                <w:szCs w:val="18"/>
                <w:lang w:val="en-US"/>
              </w:rPr>
            </w:pPr>
            <w:r w:rsidRPr="5D8904BE">
              <w:rPr>
                <w:sz w:val="18"/>
                <w:szCs w:val="18"/>
                <w:lang w:val="en-US"/>
              </w:rPr>
              <w:t xml:space="preserve">Government, </w:t>
            </w:r>
            <w:r w:rsidR="124D35CF" w:rsidRPr="5D8904BE">
              <w:rPr>
                <w:sz w:val="18"/>
                <w:szCs w:val="18"/>
                <w:lang w:val="en-US"/>
              </w:rPr>
              <w:t>IUDP</w:t>
            </w:r>
            <w:r w:rsidRPr="5D8904BE">
              <w:rPr>
                <w:sz w:val="18"/>
                <w:szCs w:val="18"/>
                <w:lang w:val="en-US"/>
              </w:rPr>
              <w:t>-Bamako Project Team and UNDP </w:t>
            </w:r>
          </w:p>
          <w:p w14:paraId="29971D71" w14:textId="77777777" w:rsidR="00D3664D" w:rsidRPr="006F5E1D" w:rsidRDefault="580A2AAB" w:rsidP="5D8904BE">
            <w:pPr>
              <w:pBdr>
                <w:top w:val="single" w:sz="4" w:space="1" w:color="000000"/>
              </w:pBdr>
              <w:rPr>
                <w:sz w:val="18"/>
                <w:szCs w:val="18"/>
                <w:lang w:val="en-US"/>
              </w:rPr>
            </w:pPr>
            <w:r w:rsidRPr="5D8904BE">
              <w:rPr>
                <w:sz w:val="18"/>
                <w:szCs w:val="18"/>
                <w:lang w:val="en-US"/>
              </w:rPr>
              <w:t> </w:t>
            </w:r>
          </w:p>
        </w:tc>
        <w:tc>
          <w:tcPr>
            <w:tcW w:w="3067" w:type="dxa"/>
            <w:hideMark/>
          </w:tcPr>
          <w:p w14:paraId="25514A40" w14:textId="77777777" w:rsidR="00D3664D" w:rsidRPr="006F5E1D" w:rsidRDefault="580A2AAB" w:rsidP="5D8904BE">
            <w:pPr>
              <w:pBdr>
                <w:top w:val="single" w:sz="4" w:space="1" w:color="000000"/>
              </w:pBdr>
              <w:rPr>
                <w:sz w:val="18"/>
                <w:szCs w:val="18"/>
                <w:lang w:val="en-US"/>
              </w:rPr>
            </w:pPr>
            <w:r w:rsidRPr="5D8904BE">
              <w:rPr>
                <w:sz w:val="18"/>
                <w:szCs w:val="18"/>
                <w:lang w:val="en-US"/>
              </w:rPr>
              <w:t>Risk Treatment 9.1:  ensure systematic gender integration in the implementation of all operational activities of the project team and all implementation activities of service providers </w:t>
            </w:r>
          </w:p>
          <w:p w14:paraId="3A9A36B1" w14:textId="4522F84D" w:rsidR="00D3664D" w:rsidRPr="006F5E1D" w:rsidRDefault="5ED9FCA2" w:rsidP="537FA187">
            <w:pPr>
              <w:pBdr>
                <w:top w:val="single" w:sz="4" w:space="1" w:color="000000"/>
              </w:pBdr>
              <w:rPr>
                <w:sz w:val="18"/>
                <w:szCs w:val="18"/>
                <w:lang w:val="en-US"/>
              </w:rPr>
            </w:pPr>
            <w:r w:rsidRPr="537FA187">
              <w:rPr>
                <w:sz w:val="18"/>
                <w:szCs w:val="18"/>
                <w:lang w:val="en-US"/>
              </w:rPr>
              <w:t xml:space="preserve">Risk Treatment Owner: Government, in particular the supervisory ministry of the </w:t>
            </w:r>
            <w:r w:rsidR="69663027" w:rsidRPr="537FA187">
              <w:rPr>
                <w:sz w:val="18"/>
                <w:szCs w:val="18"/>
                <w:lang w:val="en-US"/>
              </w:rPr>
              <w:t>NDUPH</w:t>
            </w:r>
            <w:r w:rsidRPr="537FA187">
              <w:rPr>
                <w:sz w:val="18"/>
                <w:szCs w:val="18"/>
                <w:lang w:val="en-US"/>
              </w:rPr>
              <w:t xml:space="preserve"> implementation partner </w:t>
            </w:r>
          </w:p>
        </w:tc>
      </w:tr>
    </w:tbl>
    <w:p w14:paraId="27DB7EB9" w14:textId="42C358BF" w:rsidR="00D3664D" w:rsidRDefault="00D3664D" w:rsidP="5D8904BE">
      <w:pPr>
        <w:pBdr>
          <w:top w:val="single" w:sz="4" w:space="1" w:color="000000"/>
        </w:pBdr>
        <w:rPr>
          <w:lang w:val="en-US"/>
        </w:rPr>
        <w:sectPr w:rsidR="00D3664D" w:rsidSect="006F5E1D">
          <w:pgSz w:w="16838" w:h="11906" w:orient="landscape"/>
          <w:pgMar w:top="1418" w:right="1418" w:bottom="1418" w:left="1418" w:header="709" w:footer="709" w:gutter="0"/>
          <w:cols w:space="720"/>
        </w:sectPr>
      </w:pPr>
    </w:p>
    <w:p w14:paraId="00001430" w14:textId="77777777" w:rsidR="004F7DB3" w:rsidRPr="009804E6" w:rsidRDefault="552CE4D7" w:rsidP="006F5E1D">
      <w:pPr>
        <w:pStyle w:val="Titre3"/>
        <w:rPr>
          <w:rFonts w:asciiTheme="majorHAnsi" w:hAnsiTheme="majorHAnsi"/>
          <w:sz w:val="24"/>
          <w:szCs w:val="24"/>
          <w:lang w:val="en-US"/>
        </w:rPr>
      </w:pPr>
      <w:bookmarkStart w:id="355" w:name="_Toc200477852"/>
      <w:r w:rsidRPr="006F5E1D">
        <w:rPr>
          <w:sz w:val="22"/>
          <w:szCs w:val="22"/>
          <w:lang w:val="en-US"/>
        </w:rPr>
        <w:lastRenderedPageBreak/>
        <w:t>Annex 7: Overview of Technical Consultancies/Subcontracts</w:t>
      </w:r>
      <w:bookmarkEnd w:id="355"/>
    </w:p>
    <w:p w14:paraId="00001432" w14:textId="062A81D2" w:rsidR="004F7DB3" w:rsidRPr="006F5E1D" w:rsidRDefault="004F7DB3">
      <w:pPr>
        <w:spacing w:after="60" w:line="240" w:lineRule="auto"/>
        <w:jc w:val="both"/>
        <w:rPr>
          <w:lang w:val="en-US"/>
        </w:rPr>
      </w:pPr>
      <w:r w:rsidRPr="006F5E1D">
        <w:rPr>
          <w:lang w:val="en-US"/>
        </w:rPr>
        <w:br/>
      </w:r>
    </w:p>
    <w:tbl>
      <w:tblPr>
        <w:tblW w:w="14022"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980"/>
        <w:gridCol w:w="1423"/>
        <w:gridCol w:w="10619"/>
      </w:tblGrid>
      <w:tr w:rsidR="004F7DB3" w:rsidRPr="00A00D87" w14:paraId="7DE691A9" w14:textId="77777777" w:rsidTr="00857B81">
        <w:trPr>
          <w:trHeight w:val="300"/>
          <w:tblHeader/>
          <w:jc w:val="center"/>
        </w:trPr>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DE9D9"/>
          </w:tcPr>
          <w:p w14:paraId="00001433" w14:textId="77777777" w:rsidR="004F7DB3" w:rsidRPr="006F5E1D" w:rsidRDefault="552CE4D7" w:rsidP="006F5E1D">
            <w:pPr>
              <w:spacing w:after="0"/>
              <w:rPr>
                <w:sz w:val="18"/>
                <w:szCs w:val="18"/>
              </w:rPr>
            </w:pPr>
            <w:r w:rsidRPr="006F5E1D">
              <w:rPr>
                <w:sz w:val="18"/>
                <w:szCs w:val="18"/>
              </w:rPr>
              <w:t>Consultant</w:t>
            </w: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DE9D9"/>
          </w:tcPr>
          <w:p w14:paraId="00001434" w14:textId="77777777" w:rsidR="004F7DB3" w:rsidRPr="006F5E1D" w:rsidRDefault="552CE4D7" w:rsidP="006F5E1D">
            <w:pPr>
              <w:spacing w:after="0"/>
              <w:rPr>
                <w:sz w:val="18"/>
                <w:szCs w:val="18"/>
              </w:rPr>
            </w:pPr>
            <w:r w:rsidRPr="006F5E1D">
              <w:rPr>
                <w:sz w:val="18"/>
                <w:szCs w:val="18"/>
              </w:rPr>
              <w:t>Time Input</w:t>
            </w:r>
          </w:p>
        </w:tc>
        <w:tc>
          <w:tcPr>
            <w:tcW w:w="106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DE9D9"/>
          </w:tcPr>
          <w:p w14:paraId="00001435" w14:textId="77777777" w:rsidR="004F7DB3" w:rsidRPr="006F5E1D" w:rsidRDefault="4A5A56E3" w:rsidP="006F5E1D">
            <w:pPr>
              <w:spacing w:after="0"/>
              <w:rPr>
                <w:sz w:val="18"/>
                <w:szCs w:val="18"/>
              </w:rPr>
            </w:pPr>
            <w:proofErr w:type="spellStart"/>
            <w:r w:rsidRPr="006F5E1D">
              <w:rPr>
                <w:sz w:val="18"/>
                <w:szCs w:val="18"/>
              </w:rPr>
              <w:t>Tasks</w:t>
            </w:r>
            <w:proofErr w:type="spellEnd"/>
            <w:r w:rsidRPr="006F5E1D">
              <w:rPr>
                <w:sz w:val="18"/>
                <w:szCs w:val="18"/>
              </w:rPr>
              <w:t>, Inputs and Outputs</w:t>
            </w:r>
          </w:p>
        </w:tc>
      </w:tr>
      <w:tr w:rsidR="004F7DB3" w:rsidRPr="00A00D87" w14:paraId="116EEFF8" w14:textId="77777777" w:rsidTr="40E7FE84">
        <w:trPr>
          <w:trHeight w:val="300"/>
          <w:jc w:val="center"/>
        </w:trPr>
        <w:tc>
          <w:tcPr>
            <w:tcW w:w="1402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cPr>
          <w:p w14:paraId="00001436" w14:textId="77777777" w:rsidR="004F7DB3" w:rsidRPr="006F5E1D" w:rsidRDefault="552CE4D7" w:rsidP="006F5E1D">
            <w:pPr>
              <w:spacing w:after="0"/>
              <w:rPr>
                <w:sz w:val="18"/>
                <w:szCs w:val="18"/>
              </w:rPr>
            </w:pPr>
            <w:r w:rsidRPr="006F5E1D">
              <w:rPr>
                <w:sz w:val="18"/>
                <w:szCs w:val="18"/>
              </w:rPr>
              <w:t>For Project Management</w:t>
            </w:r>
          </w:p>
        </w:tc>
      </w:tr>
      <w:tr w:rsidR="004F7DB3" w:rsidRPr="00A00D87" w14:paraId="67F8B2F7" w14:textId="77777777" w:rsidTr="40E7FE84">
        <w:trPr>
          <w:trHeight w:val="300"/>
          <w:jc w:val="center"/>
        </w:trPr>
        <w:tc>
          <w:tcPr>
            <w:tcW w:w="1402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cPr>
          <w:p w14:paraId="00001439" w14:textId="77777777" w:rsidR="004F7DB3" w:rsidRPr="006F5E1D" w:rsidRDefault="4A5A56E3" w:rsidP="006F5E1D">
            <w:pPr>
              <w:spacing w:after="0"/>
              <w:rPr>
                <w:sz w:val="18"/>
                <w:szCs w:val="18"/>
              </w:rPr>
            </w:pPr>
            <w:r w:rsidRPr="006F5E1D">
              <w:rPr>
                <w:sz w:val="18"/>
                <w:szCs w:val="18"/>
              </w:rPr>
              <w:t xml:space="preserve">Local / National </w:t>
            </w:r>
            <w:proofErr w:type="spellStart"/>
            <w:r w:rsidRPr="006F5E1D">
              <w:rPr>
                <w:sz w:val="18"/>
                <w:szCs w:val="18"/>
              </w:rPr>
              <w:t>contracting</w:t>
            </w:r>
            <w:proofErr w:type="spellEnd"/>
          </w:p>
        </w:tc>
      </w:tr>
      <w:tr w:rsidR="004F7DB3" w:rsidRPr="00F50786" w14:paraId="4AF69E92" w14:textId="77777777" w:rsidTr="00857B81">
        <w:trPr>
          <w:trHeight w:val="300"/>
          <w:jc w:val="center"/>
        </w:trPr>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143C" w14:textId="4820A097" w:rsidR="004F7DB3" w:rsidRPr="006F5E1D" w:rsidRDefault="352EB93F" w:rsidP="006F5E1D">
            <w:pPr>
              <w:spacing w:after="0"/>
              <w:rPr>
                <w:sz w:val="18"/>
                <w:szCs w:val="18"/>
                <w:lang w:val="en-US"/>
              </w:rPr>
            </w:pPr>
            <w:r w:rsidRPr="006F5E1D">
              <w:rPr>
                <w:sz w:val="18"/>
                <w:szCs w:val="18"/>
                <w:lang w:val="en-US"/>
              </w:rPr>
              <w:t>Project Manager</w:t>
            </w:r>
          </w:p>
          <w:p w14:paraId="0000143D" w14:textId="77777777" w:rsidR="004F7DB3" w:rsidRPr="006F5E1D" w:rsidRDefault="004F7DB3" w:rsidP="006F5E1D">
            <w:pPr>
              <w:spacing w:after="0"/>
              <w:rPr>
                <w:sz w:val="18"/>
                <w:szCs w:val="18"/>
                <w:lang w:val="en-US"/>
              </w:rPr>
            </w:pPr>
          </w:p>
          <w:p w14:paraId="375D141A" w14:textId="034E63D9" w:rsidR="004F7DB3" w:rsidRPr="006F5E1D" w:rsidRDefault="1F7125A8" w:rsidP="006F5E1D">
            <w:pPr>
              <w:spacing w:after="0"/>
              <w:rPr>
                <w:sz w:val="18"/>
                <w:szCs w:val="18"/>
                <w:lang w:val="en-US"/>
              </w:rPr>
            </w:pPr>
            <w:r w:rsidRPr="006F5E1D">
              <w:rPr>
                <w:sz w:val="18"/>
                <w:szCs w:val="18"/>
                <w:lang w:val="en-US"/>
              </w:rPr>
              <w:t>Rate: $</w:t>
            </w:r>
            <w:r w:rsidR="60ECE153" w:rsidRPr="006F5E1D">
              <w:rPr>
                <w:sz w:val="18"/>
                <w:szCs w:val="18"/>
                <w:lang w:val="en-US"/>
              </w:rPr>
              <w:t>3225/month</w:t>
            </w:r>
          </w:p>
          <w:p w14:paraId="3C858DE5" w14:textId="4DFE7C61" w:rsidR="004F7DB3" w:rsidRPr="006F5E1D" w:rsidRDefault="004F7DB3" w:rsidP="006F5E1D">
            <w:pPr>
              <w:spacing w:after="0"/>
              <w:rPr>
                <w:sz w:val="18"/>
                <w:szCs w:val="18"/>
                <w:lang w:val="en-US"/>
              </w:rPr>
            </w:pPr>
          </w:p>
          <w:p w14:paraId="0000143E" w14:textId="2378139C" w:rsidR="004F7DB3" w:rsidRPr="006F5E1D" w:rsidRDefault="7E437AF7" w:rsidP="006F5E1D">
            <w:pPr>
              <w:spacing w:after="0"/>
              <w:rPr>
                <w:sz w:val="18"/>
                <w:szCs w:val="18"/>
                <w:lang w:val="en-US"/>
              </w:rPr>
            </w:pPr>
            <w:r w:rsidRPr="006F5E1D">
              <w:rPr>
                <w:sz w:val="18"/>
                <w:szCs w:val="18"/>
                <w:lang w:val="en-US"/>
              </w:rPr>
              <w:t>See budget notes</w:t>
            </w:r>
            <w:r w:rsidR="00AE5131" w:rsidRPr="006F5E1D">
              <w:rPr>
                <w:sz w:val="18"/>
                <w:szCs w:val="18"/>
                <w:lang w:val="en-US"/>
              </w:rPr>
              <w:t>:</w:t>
            </w:r>
            <w:r w:rsidR="00C72CFC">
              <w:rPr>
                <w:sz w:val="18"/>
                <w:szCs w:val="18"/>
                <w:lang w:val="en-US"/>
              </w:rPr>
              <w:t>3</w:t>
            </w:r>
            <w:r w:rsidR="00AE5131" w:rsidRPr="006F5E1D">
              <w:rPr>
                <w:sz w:val="18"/>
                <w:szCs w:val="18"/>
                <w:lang w:val="en-US"/>
              </w:rPr>
              <w:t>, 12</w:t>
            </w:r>
            <w:r w:rsidR="002C2FCF">
              <w:rPr>
                <w:sz w:val="18"/>
                <w:szCs w:val="18"/>
                <w:lang w:val="en-US"/>
              </w:rPr>
              <w:t>,</w:t>
            </w:r>
            <w:r w:rsidR="00AE5131" w:rsidRPr="006F5E1D">
              <w:rPr>
                <w:sz w:val="18"/>
                <w:szCs w:val="18"/>
                <w:lang w:val="en-US"/>
              </w:rPr>
              <w:t xml:space="preserve"> 27</w:t>
            </w:r>
            <w:r w:rsidR="002C2FCF">
              <w:rPr>
                <w:sz w:val="18"/>
                <w:szCs w:val="18"/>
                <w:lang w:val="en-US"/>
              </w:rPr>
              <w:t xml:space="preserve"> </w:t>
            </w:r>
            <w:r w:rsidR="002C2FCF" w:rsidRPr="006F5E1D">
              <w:rPr>
                <w:sz w:val="18"/>
                <w:szCs w:val="18"/>
                <w:lang w:val="en-US"/>
              </w:rPr>
              <w:t>and</w:t>
            </w:r>
            <w:r w:rsidR="002C2FCF">
              <w:rPr>
                <w:sz w:val="18"/>
                <w:szCs w:val="18"/>
                <w:lang w:val="en-US"/>
              </w:rPr>
              <w:t xml:space="preserve"> 57</w:t>
            </w:r>
            <w:r w:rsidRPr="006F5E1D">
              <w:rPr>
                <w:sz w:val="18"/>
                <w:szCs w:val="18"/>
                <w:lang w:val="en-US"/>
              </w:rPr>
              <w:t xml:space="preserve"> </w:t>
            </w: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143F" w14:textId="3F5E50BC" w:rsidR="004F7DB3" w:rsidRPr="006F5E1D" w:rsidRDefault="3E3EC52D" w:rsidP="006F5E1D">
            <w:pPr>
              <w:spacing w:after="0"/>
              <w:rPr>
                <w:sz w:val="18"/>
                <w:szCs w:val="18"/>
              </w:rPr>
            </w:pPr>
            <w:r w:rsidRPr="006F5E1D">
              <w:rPr>
                <w:sz w:val="18"/>
                <w:szCs w:val="18"/>
              </w:rPr>
              <w:t xml:space="preserve">5 </w:t>
            </w:r>
            <w:proofErr w:type="spellStart"/>
            <w:r w:rsidRPr="006F5E1D">
              <w:rPr>
                <w:sz w:val="18"/>
                <w:szCs w:val="18"/>
              </w:rPr>
              <w:t>years</w:t>
            </w:r>
            <w:proofErr w:type="spellEnd"/>
          </w:p>
        </w:tc>
        <w:tc>
          <w:tcPr>
            <w:tcW w:w="10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E66C0F" w14:textId="4C43BCC6" w:rsidR="00D6663F" w:rsidRPr="004A3EAF" w:rsidRDefault="00D6663F" w:rsidP="00D6663F">
            <w:pPr>
              <w:spacing w:after="0"/>
              <w:rPr>
                <w:sz w:val="18"/>
                <w:szCs w:val="18"/>
                <w:highlight w:val="cyan"/>
                <w:lang w:val="en-US"/>
              </w:rPr>
            </w:pPr>
            <w:r w:rsidRPr="004A3EAF">
              <w:rPr>
                <w:sz w:val="18"/>
                <w:szCs w:val="18"/>
                <w:highlight w:val="cyan"/>
                <w:lang w:val="en-US"/>
              </w:rPr>
              <w:t>The Project Manager (PM) will also serve as the Technical Advisor for Components 1 and 3 and will coordinate with national and international technical consultants supporting Component 2. The PM is responsible for the overall management of the project, including mobilizing project inputs and supervising project staff, consultants, and subcontractors.</w:t>
            </w:r>
          </w:p>
          <w:p w14:paraId="0BCC8219" w14:textId="77777777" w:rsidR="00D6663F" w:rsidRPr="004A3EAF" w:rsidRDefault="00D6663F" w:rsidP="00D6663F">
            <w:pPr>
              <w:spacing w:after="0"/>
              <w:rPr>
                <w:sz w:val="18"/>
                <w:szCs w:val="18"/>
                <w:highlight w:val="cyan"/>
                <w:lang w:val="en-US"/>
              </w:rPr>
            </w:pPr>
            <w:r w:rsidRPr="004A3EAF">
              <w:rPr>
                <w:sz w:val="18"/>
                <w:szCs w:val="18"/>
                <w:highlight w:val="cyan"/>
                <w:lang w:val="en-US"/>
              </w:rPr>
              <w:t>The PM’s time is allocated as follows:</w:t>
            </w:r>
          </w:p>
          <w:p w14:paraId="3FA7BC4B" w14:textId="77777777" w:rsidR="00D6663F" w:rsidRPr="004A3EAF" w:rsidRDefault="00D6663F" w:rsidP="00D6663F">
            <w:pPr>
              <w:numPr>
                <w:ilvl w:val="0"/>
                <w:numId w:val="937"/>
              </w:numPr>
              <w:spacing w:after="0"/>
              <w:rPr>
                <w:sz w:val="18"/>
                <w:szCs w:val="18"/>
                <w:highlight w:val="cyan"/>
                <w:lang w:val="en-US"/>
              </w:rPr>
            </w:pPr>
            <w:r w:rsidRPr="004A3EAF">
              <w:rPr>
                <w:b/>
                <w:bCs/>
                <w:sz w:val="18"/>
                <w:szCs w:val="18"/>
                <w:highlight w:val="cyan"/>
                <w:lang w:val="en-US"/>
              </w:rPr>
              <w:t>10%</w:t>
            </w:r>
            <w:r w:rsidRPr="004A3EAF">
              <w:rPr>
                <w:sz w:val="18"/>
                <w:szCs w:val="18"/>
                <w:highlight w:val="cyan"/>
                <w:lang w:val="en-US"/>
              </w:rPr>
              <w:t xml:space="preserve"> of the PM’s time relates strictly to project management duties and will therefore be covered through co-financing.</w:t>
            </w:r>
          </w:p>
          <w:p w14:paraId="20EF6077" w14:textId="77777777" w:rsidR="00D6663F" w:rsidRPr="004A3EAF" w:rsidRDefault="00D6663F" w:rsidP="00D6663F">
            <w:pPr>
              <w:numPr>
                <w:ilvl w:val="0"/>
                <w:numId w:val="937"/>
              </w:numPr>
              <w:spacing w:after="0"/>
              <w:rPr>
                <w:sz w:val="18"/>
                <w:szCs w:val="18"/>
                <w:highlight w:val="cyan"/>
                <w:lang w:val="en-US"/>
              </w:rPr>
            </w:pPr>
            <w:r w:rsidRPr="004A3EAF">
              <w:rPr>
                <w:b/>
                <w:bCs/>
                <w:sz w:val="18"/>
                <w:szCs w:val="18"/>
                <w:highlight w:val="cyan"/>
                <w:lang w:val="en-US"/>
              </w:rPr>
              <w:t>90%</w:t>
            </w:r>
            <w:r w:rsidRPr="004A3EAF">
              <w:rPr>
                <w:sz w:val="18"/>
                <w:szCs w:val="18"/>
                <w:highlight w:val="cyan"/>
                <w:lang w:val="en-US"/>
              </w:rPr>
              <w:t xml:space="preserve"> of the PM’s time is budgeted under Components 1 and 3, as this work involves technical support to responsible parties</w:t>
            </w:r>
          </w:p>
          <w:p w14:paraId="4C902AC5" w14:textId="40B5DDFF" w:rsidR="003B56EF" w:rsidRPr="004A3EAF" w:rsidRDefault="003B56EF" w:rsidP="003B56EF">
            <w:pPr>
              <w:spacing w:after="0"/>
              <w:rPr>
                <w:sz w:val="18"/>
                <w:szCs w:val="18"/>
                <w:highlight w:val="cyan"/>
                <w:lang w:val="en-US"/>
              </w:rPr>
            </w:pPr>
            <w:r w:rsidRPr="004A3EAF">
              <w:rPr>
                <w:b/>
                <w:bCs/>
                <w:sz w:val="18"/>
                <w:szCs w:val="18"/>
                <w:highlight w:val="cyan"/>
                <w:lang w:val="en-US"/>
              </w:rPr>
              <w:t>The 10% of the Project Manager’s time dedicated to project management corresponds to a substantive set of tasks required by UNDP-GEF. These include:</w:t>
            </w:r>
          </w:p>
          <w:p w14:paraId="51C5945E" w14:textId="77777777" w:rsidR="003B56EF" w:rsidRPr="004A3EAF" w:rsidRDefault="003B56EF" w:rsidP="003B56EF">
            <w:pPr>
              <w:numPr>
                <w:ilvl w:val="0"/>
                <w:numId w:val="934"/>
              </w:numPr>
              <w:spacing w:after="0"/>
              <w:rPr>
                <w:sz w:val="18"/>
                <w:szCs w:val="18"/>
                <w:highlight w:val="cyan"/>
                <w:lang w:val="en-US"/>
              </w:rPr>
            </w:pPr>
            <w:r w:rsidRPr="004A3EAF">
              <w:rPr>
                <w:sz w:val="18"/>
                <w:szCs w:val="18"/>
                <w:highlight w:val="cyan"/>
                <w:lang w:val="en-US"/>
              </w:rPr>
              <w:t xml:space="preserve">Overall project oversight, planning, and monitoring of workplan </w:t>
            </w:r>
            <w:proofErr w:type="gramStart"/>
            <w:r w:rsidRPr="004A3EAF">
              <w:rPr>
                <w:sz w:val="18"/>
                <w:szCs w:val="18"/>
                <w:highlight w:val="cyan"/>
                <w:lang w:val="en-US"/>
              </w:rPr>
              <w:t>implementation;</w:t>
            </w:r>
            <w:proofErr w:type="gramEnd"/>
          </w:p>
          <w:p w14:paraId="23D9BAF5" w14:textId="77777777" w:rsidR="003B56EF" w:rsidRPr="004A3EAF" w:rsidRDefault="003B56EF" w:rsidP="003B56EF">
            <w:pPr>
              <w:numPr>
                <w:ilvl w:val="0"/>
                <w:numId w:val="934"/>
              </w:numPr>
              <w:spacing w:after="0"/>
              <w:rPr>
                <w:sz w:val="18"/>
                <w:szCs w:val="18"/>
                <w:highlight w:val="cyan"/>
                <w:lang w:val="en-US"/>
              </w:rPr>
            </w:pPr>
            <w:r w:rsidRPr="004A3EAF">
              <w:rPr>
                <w:sz w:val="18"/>
                <w:szCs w:val="18"/>
                <w:highlight w:val="cyan"/>
                <w:lang w:val="en-US"/>
              </w:rPr>
              <w:t xml:space="preserve">Management of personnel, procurement, services, training, and </w:t>
            </w:r>
            <w:proofErr w:type="gramStart"/>
            <w:r w:rsidRPr="004A3EAF">
              <w:rPr>
                <w:sz w:val="18"/>
                <w:szCs w:val="18"/>
                <w:highlight w:val="cyan"/>
                <w:lang w:val="en-US"/>
              </w:rPr>
              <w:t>contracts;</w:t>
            </w:r>
            <w:proofErr w:type="gramEnd"/>
          </w:p>
          <w:p w14:paraId="72E6168D" w14:textId="77777777" w:rsidR="003B56EF" w:rsidRPr="004A3EAF" w:rsidRDefault="003B56EF" w:rsidP="003B56EF">
            <w:pPr>
              <w:numPr>
                <w:ilvl w:val="0"/>
                <w:numId w:val="934"/>
              </w:numPr>
              <w:spacing w:after="0"/>
              <w:rPr>
                <w:sz w:val="18"/>
                <w:szCs w:val="18"/>
                <w:highlight w:val="cyan"/>
                <w:lang w:val="en-US"/>
              </w:rPr>
            </w:pPr>
            <w:r w:rsidRPr="004A3EAF">
              <w:rPr>
                <w:sz w:val="18"/>
                <w:szCs w:val="18"/>
                <w:highlight w:val="cyan"/>
                <w:lang w:val="en-US"/>
              </w:rPr>
              <w:t>Financial management (funding requests, monitoring expenditures, ensuring reporting accuracy, quarterly financial reporting</w:t>
            </w:r>
            <w:proofErr w:type="gramStart"/>
            <w:r w:rsidRPr="004A3EAF">
              <w:rPr>
                <w:sz w:val="18"/>
                <w:szCs w:val="18"/>
                <w:highlight w:val="cyan"/>
                <w:lang w:val="en-US"/>
              </w:rPr>
              <w:t>);</w:t>
            </w:r>
            <w:proofErr w:type="gramEnd"/>
          </w:p>
          <w:p w14:paraId="7FFC1F59" w14:textId="77777777" w:rsidR="003B56EF" w:rsidRPr="004A3EAF" w:rsidRDefault="003B56EF" w:rsidP="003B56EF">
            <w:pPr>
              <w:numPr>
                <w:ilvl w:val="0"/>
                <w:numId w:val="934"/>
              </w:numPr>
              <w:spacing w:after="0"/>
              <w:rPr>
                <w:sz w:val="18"/>
                <w:szCs w:val="18"/>
                <w:highlight w:val="cyan"/>
                <w:lang w:val="en-US"/>
              </w:rPr>
            </w:pPr>
            <w:r w:rsidRPr="004A3EAF">
              <w:rPr>
                <w:sz w:val="18"/>
                <w:szCs w:val="18"/>
                <w:highlight w:val="cyan"/>
                <w:lang w:val="en-US"/>
              </w:rPr>
              <w:t xml:space="preserve">Monitoring and updating of the project risk log, including social and environmental </w:t>
            </w:r>
            <w:proofErr w:type="gramStart"/>
            <w:r w:rsidRPr="004A3EAF">
              <w:rPr>
                <w:sz w:val="18"/>
                <w:szCs w:val="18"/>
                <w:highlight w:val="cyan"/>
                <w:lang w:val="en-US"/>
              </w:rPr>
              <w:t>risks;</w:t>
            </w:r>
            <w:proofErr w:type="gramEnd"/>
          </w:p>
          <w:p w14:paraId="064B8A8D" w14:textId="77777777" w:rsidR="003B56EF" w:rsidRPr="004A3EAF" w:rsidRDefault="003B56EF" w:rsidP="003B56EF">
            <w:pPr>
              <w:numPr>
                <w:ilvl w:val="0"/>
                <w:numId w:val="934"/>
              </w:numPr>
              <w:spacing w:after="0"/>
              <w:rPr>
                <w:sz w:val="18"/>
                <w:szCs w:val="18"/>
                <w:highlight w:val="cyan"/>
                <w:lang w:val="en-US"/>
              </w:rPr>
            </w:pPr>
            <w:r w:rsidRPr="004A3EAF">
              <w:rPr>
                <w:sz w:val="18"/>
                <w:szCs w:val="18"/>
                <w:highlight w:val="cyan"/>
                <w:lang w:val="en-US"/>
              </w:rPr>
              <w:t xml:space="preserve">Preparation of annual, quarterly, and multi-year workplans, as well as </w:t>
            </w:r>
            <w:proofErr w:type="gramStart"/>
            <w:r w:rsidRPr="004A3EAF">
              <w:rPr>
                <w:sz w:val="18"/>
                <w:szCs w:val="18"/>
                <w:highlight w:val="cyan"/>
                <w:lang w:val="en-US"/>
              </w:rPr>
              <w:t>revisions;</w:t>
            </w:r>
            <w:proofErr w:type="gramEnd"/>
          </w:p>
          <w:p w14:paraId="1B0F0862" w14:textId="77777777" w:rsidR="003B56EF" w:rsidRPr="004A3EAF" w:rsidRDefault="003B56EF" w:rsidP="003B56EF">
            <w:pPr>
              <w:numPr>
                <w:ilvl w:val="0"/>
                <w:numId w:val="934"/>
              </w:numPr>
              <w:spacing w:after="0"/>
              <w:rPr>
                <w:sz w:val="18"/>
                <w:szCs w:val="18"/>
                <w:highlight w:val="cyan"/>
                <w:lang w:val="en-US"/>
              </w:rPr>
            </w:pPr>
            <w:r w:rsidRPr="004A3EAF">
              <w:rPr>
                <w:sz w:val="18"/>
                <w:szCs w:val="18"/>
                <w:highlight w:val="cyan"/>
                <w:lang w:val="en-US"/>
              </w:rPr>
              <w:t xml:space="preserve">Preparation of the inception report, GEF PIR, and other mandatory UNDP-GEF </w:t>
            </w:r>
            <w:proofErr w:type="gramStart"/>
            <w:r w:rsidRPr="004A3EAF">
              <w:rPr>
                <w:sz w:val="18"/>
                <w:szCs w:val="18"/>
                <w:highlight w:val="cyan"/>
                <w:lang w:val="en-US"/>
              </w:rPr>
              <w:t>reports;</w:t>
            </w:r>
            <w:proofErr w:type="gramEnd"/>
          </w:p>
          <w:p w14:paraId="2AC1642E" w14:textId="77777777" w:rsidR="003B56EF" w:rsidRPr="004A3EAF" w:rsidRDefault="003B56EF" w:rsidP="003B56EF">
            <w:pPr>
              <w:numPr>
                <w:ilvl w:val="0"/>
                <w:numId w:val="934"/>
              </w:numPr>
              <w:spacing w:after="0"/>
              <w:rPr>
                <w:sz w:val="18"/>
                <w:szCs w:val="18"/>
                <w:highlight w:val="cyan"/>
                <w:lang w:val="en-US"/>
              </w:rPr>
            </w:pPr>
            <w:r w:rsidRPr="004A3EAF">
              <w:rPr>
                <w:sz w:val="18"/>
                <w:szCs w:val="18"/>
                <w:highlight w:val="cyan"/>
                <w:lang w:val="en-US"/>
              </w:rPr>
              <w:t xml:space="preserve">Oversight of M&amp;E requirements, including follow-up on indicators, GEF Core Indicators, and implementation of the Gender Action Plan, Stakeholder Engagement Plan, and any Environmental &amp; Social Management </w:t>
            </w:r>
            <w:proofErr w:type="gramStart"/>
            <w:r w:rsidRPr="004A3EAF">
              <w:rPr>
                <w:sz w:val="18"/>
                <w:szCs w:val="18"/>
                <w:highlight w:val="cyan"/>
                <w:lang w:val="en-US"/>
              </w:rPr>
              <w:t>Plans;</w:t>
            </w:r>
            <w:proofErr w:type="gramEnd"/>
          </w:p>
          <w:p w14:paraId="582D049D" w14:textId="77777777" w:rsidR="003B56EF" w:rsidRPr="004A3EAF" w:rsidRDefault="003B56EF" w:rsidP="003B56EF">
            <w:pPr>
              <w:numPr>
                <w:ilvl w:val="0"/>
                <w:numId w:val="934"/>
              </w:numPr>
              <w:spacing w:after="0"/>
              <w:rPr>
                <w:sz w:val="18"/>
                <w:szCs w:val="18"/>
                <w:highlight w:val="cyan"/>
                <w:lang w:val="en-US"/>
              </w:rPr>
            </w:pPr>
            <w:r w:rsidRPr="004A3EAF">
              <w:rPr>
                <w:sz w:val="18"/>
                <w:szCs w:val="18"/>
                <w:highlight w:val="cyan"/>
                <w:lang w:val="en-US"/>
              </w:rPr>
              <w:t xml:space="preserve">Regular reporting to the Project Board and addressing deviations, challenges, and corrective </w:t>
            </w:r>
            <w:proofErr w:type="gramStart"/>
            <w:r w:rsidRPr="004A3EAF">
              <w:rPr>
                <w:sz w:val="18"/>
                <w:szCs w:val="18"/>
                <w:highlight w:val="cyan"/>
                <w:lang w:val="en-US"/>
              </w:rPr>
              <w:t>actions;</w:t>
            </w:r>
            <w:proofErr w:type="gramEnd"/>
          </w:p>
          <w:p w14:paraId="5216D4F3" w14:textId="77777777" w:rsidR="003B56EF" w:rsidRPr="004A3EAF" w:rsidRDefault="003B56EF" w:rsidP="003B56EF">
            <w:pPr>
              <w:numPr>
                <w:ilvl w:val="0"/>
                <w:numId w:val="934"/>
              </w:numPr>
              <w:spacing w:after="0"/>
              <w:rPr>
                <w:sz w:val="18"/>
                <w:szCs w:val="18"/>
                <w:highlight w:val="cyan"/>
                <w:lang w:val="en-US"/>
              </w:rPr>
            </w:pPr>
            <w:r w:rsidRPr="004A3EAF">
              <w:rPr>
                <w:sz w:val="18"/>
                <w:szCs w:val="18"/>
                <w:highlight w:val="cyan"/>
                <w:lang w:val="en-US"/>
              </w:rPr>
              <w:t>Support to audits, spot checks, the Mid-Term Review, and the Terminal Evaluation.</w:t>
            </w:r>
          </w:p>
          <w:p w14:paraId="2508726F" w14:textId="77777777" w:rsidR="00CE4BB0" w:rsidRPr="004A3EAF" w:rsidRDefault="00CE4BB0" w:rsidP="00CE4BB0">
            <w:pPr>
              <w:spacing w:after="0"/>
              <w:rPr>
                <w:b/>
                <w:bCs/>
                <w:sz w:val="18"/>
                <w:szCs w:val="18"/>
                <w:highlight w:val="cyan"/>
                <w:lang w:val="en-US"/>
              </w:rPr>
            </w:pPr>
            <w:r w:rsidRPr="004A3EAF">
              <w:rPr>
                <w:b/>
                <w:bCs/>
                <w:sz w:val="18"/>
                <w:szCs w:val="18"/>
                <w:highlight w:val="cyan"/>
                <w:lang w:val="en-US"/>
              </w:rPr>
              <w:t>Technical Tasks Under Components 1 and 3 (covering 90% of PM time)</w:t>
            </w:r>
          </w:p>
          <w:p w14:paraId="501ACD70" w14:textId="77777777" w:rsidR="00CE4BB0" w:rsidRPr="004A3EAF" w:rsidRDefault="00CE4BB0" w:rsidP="00CE4BB0">
            <w:pPr>
              <w:spacing w:after="0"/>
              <w:rPr>
                <w:sz w:val="18"/>
                <w:szCs w:val="18"/>
                <w:highlight w:val="cyan"/>
                <w:lang w:val="en-US"/>
              </w:rPr>
            </w:pPr>
            <w:r w:rsidRPr="004A3EAF">
              <w:rPr>
                <w:b/>
                <w:bCs/>
                <w:sz w:val="18"/>
                <w:szCs w:val="18"/>
                <w:highlight w:val="cyan"/>
                <w:lang w:val="en-US"/>
              </w:rPr>
              <w:t>Component 1 – Inclusive and Resilient Urban Governance</w:t>
            </w:r>
            <w:r w:rsidRPr="004A3EAF">
              <w:rPr>
                <w:sz w:val="18"/>
                <w:szCs w:val="18"/>
                <w:highlight w:val="cyan"/>
                <w:lang w:val="en-US"/>
              </w:rPr>
              <w:br/>
              <w:t>The PM’s technical responsibilities under Component 1 include:</w:t>
            </w:r>
          </w:p>
          <w:p w14:paraId="2F48159C" w14:textId="77777777" w:rsidR="00CE4BB0" w:rsidRPr="004A3EAF" w:rsidRDefault="00CE4BB0" w:rsidP="00CE4BB0">
            <w:pPr>
              <w:numPr>
                <w:ilvl w:val="0"/>
                <w:numId w:val="935"/>
              </w:numPr>
              <w:spacing w:after="0"/>
              <w:rPr>
                <w:sz w:val="18"/>
                <w:szCs w:val="18"/>
                <w:highlight w:val="cyan"/>
                <w:lang w:val="en-US"/>
              </w:rPr>
            </w:pPr>
            <w:r w:rsidRPr="004A3EAF">
              <w:rPr>
                <w:sz w:val="18"/>
                <w:szCs w:val="18"/>
                <w:highlight w:val="cyan"/>
                <w:lang w:val="en-US"/>
              </w:rPr>
              <w:t xml:space="preserve">Drafting TORs and technical specifications for all activities, in consultation with NDUPH and responsible </w:t>
            </w:r>
            <w:proofErr w:type="gramStart"/>
            <w:r w:rsidRPr="004A3EAF">
              <w:rPr>
                <w:sz w:val="18"/>
                <w:szCs w:val="18"/>
                <w:highlight w:val="cyan"/>
                <w:lang w:val="en-US"/>
              </w:rPr>
              <w:t>parties;</w:t>
            </w:r>
            <w:proofErr w:type="gramEnd"/>
          </w:p>
          <w:p w14:paraId="7B71C5EE" w14:textId="014BF9EA" w:rsidR="00CE4BB0" w:rsidRPr="004A3EAF" w:rsidRDefault="00E96215" w:rsidP="00CE4BB0">
            <w:pPr>
              <w:numPr>
                <w:ilvl w:val="0"/>
                <w:numId w:val="935"/>
              </w:numPr>
              <w:spacing w:after="0"/>
              <w:rPr>
                <w:sz w:val="18"/>
                <w:szCs w:val="18"/>
                <w:highlight w:val="cyan"/>
                <w:lang w:val="en-US"/>
              </w:rPr>
            </w:pPr>
            <w:r w:rsidRPr="004A3EAF">
              <w:rPr>
                <w:sz w:val="18"/>
                <w:szCs w:val="18"/>
                <w:highlight w:val="cyan"/>
                <w:lang w:val="en-US"/>
              </w:rPr>
              <w:t xml:space="preserve">Support Responsible parties to </w:t>
            </w:r>
            <w:r w:rsidR="00CE4BB0" w:rsidRPr="004A3EAF">
              <w:rPr>
                <w:sz w:val="18"/>
                <w:szCs w:val="18"/>
                <w:highlight w:val="cyan"/>
                <w:lang w:val="en-US"/>
              </w:rPr>
              <w:t>coordinating baseline assessments and diagnostics (urban governance, infrastructure, transport, housing, resilience, etc.</w:t>
            </w:r>
            <w:proofErr w:type="gramStart"/>
            <w:r w:rsidR="00CE4BB0" w:rsidRPr="004A3EAF">
              <w:rPr>
                <w:sz w:val="18"/>
                <w:szCs w:val="18"/>
                <w:highlight w:val="cyan"/>
                <w:lang w:val="en-US"/>
              </w:rPr>
              <w:t>);</w:t>
            </w:r>
            <w:proofErr w:type="gramEnd"/>
          </w:p>
          <w:p w14:paraId="56C32782" w14:textId="77777777" w:rsidR="00CE4BB0" w:rsidRPr="004A3EAF" w:rsidRDefault="00CE4BB0" w:rsidP="00CE4BB0">
            <w:pPr>
              <w:numPr>
                <w:ilvl w:val="0"/>
                <w:numId w:val="935"/>
              </w:numPr>
              <w:spacing w:after="0"/>
              <w:rPr>
                <w:sz w:val="18"/>
                <w:szCs w:val="18"/>
                <w:highlight w:val="cyan"/>
                <w:lang w:val="en-US"/>
              </w:rPr>
            </w:pPr>
            <w:r w:rsidRPr="004A3EAF">
              <w:rPr>
                <w:sz w:val="18"/>
                <w:szCs w:val="18"/>
                <w:highlight w:val="cyan"/>
                <w:lang w:val="en-US"/>
              </w:rPr>
              <w:t xml:space="preserve">Facilitating institutional and governance diagnostics implemented by consultancy </w:t>
            </w:r>
            <w:proofErr w:type="gramStart"/>
            <w:r w:rsidRPr="004A3EAF">
              <w:rPr>
                <w:sz w:val="18"/>
                <w:szCs w:val="18"/>
                <w:highlight w:val="cyan"/>
                <w:lang w:val="en-US"/>
              </w:rPr>
              <w:t>firms;</w:t>
            </w:r>
            <w:proofErr w:type="gramEnd"/>
          </w:p>
          <w:p w14:paraId="17CF7D5F" w14:textId="71D4F37B" w:rsidR="00CE4BB0" w:rsidRPr="004A3EAF" w:rsidRDefault="00CE4BB0" w:rsidP="00CE4BB0">
            <w:pPr>
              <w:numPr>
                <w:ilvl w:val="0"/>
                <w:numId w:val="935"/>
              </w:numPr>
              <w:spacing w:after="0"/>
              <w:rPr>
                <w:sz w:val="18"/>
                <w:szCs w:val="18"/>
                <w:highlight w:val="cyan"/>
                <w:lang w:val="en-US"/>
              </w:rPr>
            </w:pPr>
            <w:r w:rsidRPr="004A3EAF">
              <w:rPr>
                <w:sz w:val="18"/>
                <w:szCs w:val="18"/>
                <w:highlight w:val="cyan"/>
                <w:lang w:val="en-US"/>
              </w:rPr>
              <w:t>Overseeing technical studies and reviewing all deliverables</w:t>
            </w:r>
            <w:r w:rsidR="006F7817" w:rsidRPr="004A3EAF">
              <w:rPr>
                <w:sz w:val="18"/>
                <w:szCs w:val="18"/>
                <w:highlight w:val="cyan"/>
                <w:lang w:val="en-US"/>
              </w:rPr>
              <w:t xml:space="preserve"> in support to responsible </w:t>
            </w:r>
            <w:proofErr w:type="gramStart"/>
            <w:r w:rsidR="006F7817" w:rsidRPr="004A3EAF">
              <w:rPr>
                <w:sz w:val="18"/>
                <w:szCs w:val="18"/>
                <w:highlight w:val="cyan"/>
                <w:lang w:val="en-US"/>
              </w:rPr>
              <w:t>parties</w:t>
            </w:r>
            <w:r w:rsidRPr="004A3EAF">
              <w:rPr>
                <w:sz w:val="18"/>
                <w:szCs w:val="18"/>
                <w:highlight w:val="cyan"/>
                <w:lang w:val="en-US"/>
              </w:rPr>
              <w:t>;</w:t>
            </w:r>
            <w:proofErr w:type="gramEnd"/>
          </w:p>
          <w:p w14:paraId="0E096282" w14:textId="77777777" w:rsidR="00CE4BB0" w:rsidRPr="004A3EAF" w:rsidRDefault="00CE4BB0" w:rsidP="00CE4BB0">
            <w:pPr>
              <w:numPr>
                <w:ilvl w:val="0"/>
                <w:numId w:val="935"/>
              </w:numPr>
              <w:spacing w:after="0"/>
              <w:rPr>
                <w:sz w:val="18"/>
                <w:szCs w:val="18"/>
                <w:highlight w:val="cyan"/>
                <w:lang w:val="en-US"/>
              </w:rPr>
            </w:pPr>
            <w:r w:rsidRPr="004A3EAF">
              <w:rPr>
                <w:sz w:val="18"/>
                <w:szCs w:val="18"/>
                <w:highlight w:val="cyan"/>
                <w:lang w:val="en-US"/>
              </w:rPr>
              <w:t>Updating the stakeholder and institutional mapping (ministries, municipalities, utilities, civil society, private sector</w:t>
            </w:r>
            <w:proofErr w:type="gramStart"/>
            <w:r w:rsidRPr="004A3EAF">
              <w:rPr>
                <w:sz w:val="18"/>
                <w:szCs w:val="18"/>
                <w:highlight w:val="cyan"/>
                <w:lang w:val="en-US"/>
              </w:rPr>
              <w:t>);</w:t>
            </w:r>
            <w:proofErr w:type="gramEnd"/>
          </w:p>
          <w:p w14:paraId="1914C329" w14:textId="4D25B182" w:rsidR="00CE4BB0" w:rsidRPr="004A3EAF" w:rsidRDefault="00CE4BB0" w:rsidP="00CE4BB0">
            <w:pPr>
              <w:numPr>
                <w:ilvl w:val="0"/>
                <w:numId w:val="935"/>
              </w:numPr>
              <w:spacing w:after="0"/>
              <w:rPr>
                <w:sz w:val="18"/>
                <w:szCs w:val="18"/>
                <w:highlight w:val="cyan"/>
                <w:lang w:val="en-US"/>
              </w:rPr>
            </w:pPr>
            <w:r w:rsidRPr="004A3EAF">
              <w:rPr>
                <w:sz w:val="18"/>
                <w:szCs w:val="18"/>
                <w:highlight w:val="cyan"/>
                <w:lang w:val="en-US"/>
              </w:rPr>
              <w:lastRenderedPageBreak/>
              <w:t>Ensuring integration of gender-responsive and inclusive governance mechanisms (youth, women, vulnerable groups)</w:t>
            </w:r>
            <w:r w:rsidR="006F7817" w:rsidRPr="004A3EAF">
              <w:rPr>
                <w:sz w:val="18"/>
                <w:szCs w:val="18"/>
                <w:highlight w:val="cyan"/>
                <w:lang w:val="en-US"/>
              </w:rPr>
              <w:t xml:space="preserve"> in collaboration with Gender </w:t>
            </w:r>
            <w:r w:rsidR="00D23B6D" w:rsidRPr="004A3EAF">
              <w:rPr>
                <w:sz w:val="18"/>
                <w:szCs w:val="18"/>
                <w:highlight w:val="cyan"/>
                <w:lang w:val="en-US"/>
              </w:rPr>
              <w:t xml:space="preserve">&amp; ESS </w:t>
            </w:r>
            <w:proofErr w:type="gramStart"/>
            <w:r w:rsidR="00895235" w:rsidRPr="004A3EAF">
              <w:rPr>
                <w:sz w:val="18"/>
                <w:szCs w:val="18"/>
                <w:highlight w:val="cyan"/>
                <w:lang w:val="en-US"/>
              </w:rPr>
              <w:t>specialist</w:t>
            </w:r>
            <w:r w:rsidRPr="004A3EAF">
              <w:rPr>
                <w:sz w:val="18"/>
                <w:szCs w:val="18"/>
                <w:highlight w:val="cyan"/>
                <w:lang w:val="en-US"/>
              </w:rPr>
              <w:t>;</w:t>
            </w:r>
            <w:proofErr w:type="gramEnd"/>
          </w:p>
          <w:p w14:paraId="4C8FBCA2" w14:textId="77777777" w:rsidR="00CE4BB0" w:rsidRPr="004A3EAF" w:rsidRDefault="00CE4BB0" w:rsidP="00CE4BB0">
            <w:pPr>
              <w:numPr>
                <w:ilvl w:val="0"/>
                <w:numId w:val="935"/>
              </w:numPr>
              <w:spacing w:after="0"/>
              <w:rPr>
                <w:sz w:val="18"/>
                <w:szCs w:val="18"/>
                <w:highlight w:val="cyan"/>
                <w:lang w:val="en-US"/>
              </w:rPr>
            </w:pPr>
            <w:r w:rsidRPr="004A3EAF">
              <w:rPr>
                <w:sz w:val="18"/>
                <w:szCs w:val="18"/>
                <w:highlight w:val="cyan"/>
                <w:lang w:val="en-US"/>
              </w:rPr>
              <w:t xml:space="preserve">Providing technical contributions to policy briefs, white papers, and reform proposals relevant to urban governance and </w:t>
            </w:r>
            <w:proofErr w:type="gramStart"/>
            <w:r w:rsidRPr="004A3EAF">
              <w:rPr>
                <w:sz w:val="18"/>
                <w:szCs w:val="18"/>
                <w:highlight w:val="cyan"/>
                <w:lang w:val="en-US"/>
              </w:rPr>
              <w:t>planning;</w:t>
            </w:r>
            <w:proofErr w:type="gramEnd"/>
          </w:p>
          <w:p w14:paraId="41446A4B" w14:textId="77777777" w:rsidR="00CE4BB0" w:rsidRPr="004A3EAF" w:rsidRDefault="00CE4BB0" w:rsidP="00CE4BB0">
            <w:pPr>
              <w:numPr>
                <w:ilvl w:val="0"/>
                <w:numId w:val="935"/>
              </w:numPr>
              <w:spacing w:after="0"/>
              <w:rPr>
                <w:sz w:val="18"/>
                <w:szCs w:val="18"/>
                <w:highlight w:val="cyan"/>
                <w:lang w:val="en-US"/>
              </w:rPr>
            </w:pPr>
            <w:r w:rsidRPr="004A3EAF">
              <w:rPr>
                <w:sz w:val="18"/>
                <w:szCs w:val="18"/>
                <w:highlight w:val="cyan"/>
                <w:lang w:val="en-US"/>
              </w:rPr>
              <w:t>Contributing to community engagement strategies, especially for neighborhood upgrading and informal settlement integration.</w:t>
            </w:r>
          </w:p>
          <w:p w14:paraId="78AE981C" w14:textId="77777777" w:rsidR="00CE4BB0" w:rsidRPr="004A3EAF" w:rsidRDefault="00CE4BB0" w:rsidP="00CE4BB0">
            <w:pPr>
              <w:spacing w:after="0"/>
              <w:rPr>
                <w:sz w:val="18"/>
                <w:szCs w:val="18"/>
                <w:highlight w:val="cyan"/>
                <w:lang w:val="en-US"/>
              </w:rPr>
            </w:pPr>
            <w:r w:rsidRPr="004A3EAF">
              <w:rPr>
                <w:b/>
                <w:bCs/>
                <w:sz w:val="18"/>
                <w:szCs w:val="18"/>
                <w:highlight w:val="cyan"/>
                <w:lang w:val="en-US"/>
              </w:rPr>
              <w:t>Component 3 – Green Belt Development and Climate-Resilient Green Spaces</w:t>
            </w:r>
            <w:r w:rsidRPr="004A3EAF">
              <w:rPr>
                <w:sz w:val="18"/>
                <w:szCs w:val="18"/>
                <w:highlight w:val="cyan"/>
                <w:lang w:val="en-US"/>
              </w:rPr>
              <w:br/>
              <w:t>The PM’s responsibilities under Component 3 include:</w:t>
            </w:r>
          </w:p>
          <w:p w14:paraId="5D0E5458" w14:textId="77777777" w:rsidR="00CE4BB0" w:rsidRPr="004A3EAF" w:rsidRDefault="00CE4BB0" w:rsidP="00CE4BB0">
            <w:pPr>
              <w:numPr>
                <w:ilvl w:val="0"/>
                <w:numId w:val="936"/>
              </w:numPr>
              <w:spacing w:after="0"/>
              <w:rPr>
                <w:sz w:val="18"/>
                <w:szCs w:val="18"/>
                <w:highlight w:val="cyan"/>
                <w:lang w:val="en-US"/>
              </w:rPr>
            </w:pPr>
            <w:r w:rsidRPr="004A3EAF">
              <w:rPr>
                <w:sz w:val="18"/>
                <w:szCs w:val="18"/>
                <w:highlight w:val="cyan"/>
                <w:lang w:val="en-US"/>
              </w:rPr>
              <w:t xml:space="preserve">Drafting key TORs for the component in coordination with </w:t>
            </w:r>
            <w:proofErr w:type="gramStart"/>
            <w:r w:rsidRPr="004A3EAF">
              <w:rPr>
                <w:sz w:val="18"/>
                <w:szCs w:val="18"/>
                <w:highlight w:val="cyan"/>
                <w:lang w:val="en-US"/>
              </w:rPr>
              <w:t>GDWF;</w:t>
            </w:r>
            <w:proofErr w:type="gramEnd"/>
          </w:p>
          <w:p w14:paraId="09C69CA6" w14:textId="6966A499" w:rsidR="00CE4BB0" w:rsidRPr="004A3EAF" w:rsidRDefault="00CE4BB0" w:rsidP="00CE4BB0">
            <w:pPr>
              <w:numPr>
                <w:ilvl w:val="0"/>
                <w:numId w:val="936"/>
              </w:numPr>
              <w:spacing w:after="0"/>
              <w:rPr>
                <w:sz w:val="18"/>
                <w:szCs w:val="18"/>
                <w:highlight w:val="cyan"/>
                <w:lang w:val="en-US"/>
              </w:rPr>
            </w:pPr>
            <w:r w:rsidRPr="004A3EAF">
              <w:rPr>
                <w:sz w:val="18"/>
                <w:szCs w:val="18"/>
                <w:highlight w:val="cyan"/>
                <w:lang w:val="en-US"/>
              </w:rPr>
              <w:t>Overseeing and reviewing all technical studies and related deliverables</w:t>
            </w:r>
            <w:r w:rsidR="00223602" w:rsidRPr="004A3EAF">
              <w:rPr>
                <w:sz w:val="18"/>
                <w:szCs w:val="18"/>
                <w:highlight w:val="cyan"/>
                <w:lang w:val="en-US"/>
              </w:rPr>
              <w:t xml:space="preserve"> in support to the responsible </w:t>
            </w:r>
            <w:proofErr w:type="gramStart"/>
            <w:r w:rsidR="00223602" w:rsidRPr="004A3EAF">
              <w:rPr>
                <w:sz w:val="18"/>
                <w:szCs w:val="18"/>
                <w:highlight w:val="cyan"/>
                <w:lang w:val="en-US"/>
              </w:rPr>
              <w:t>parties</w:t>
            </w:r>
            <w:r w:rsidRPr="004A3EAF">
              <w:rPr>
                <w:sz w:val="18"/>
                <w:szCs w:val="18"/>
                <w:highlight w:val="cyan"/>
                <w:lang w:val="en-US"/>
              </w:rPr>
              <w:t>;</w:t>
            </w:r>
            <w:proofErr w:type="gramEnd"/>
          </w:p>
          <w:p w14:paraId="23743644" w14:textId="77777777" w:rsidR="00CE4BB0" w:rsidRPr="004A3EAF" w:rsidRDefault="00CE4BB0" w:rsidP="00CE4BB0">
            <w:pPr>
              <w:numPr>
                <w:ilvl w:val="0"/>
                <w:numId w:val="936"/>
              </w:numPr>
              <w:spacing w:after="0"/>
              <w:rPr>
                <w:sz w:val="18"/>
                <w:szCs w:val="18"/>
                <w:highlight w:val="cyan"/>
                <w:lang w:val="en-US"/>
              </w:rPr>
            </w:pPr>
            <w:r w:rsidRPr="004A3EAF">
              <w:rPr>
                <w:sz w:val="18"/>
                <w:szCs w:val="18"/>
                <w:highlight w:val="cyan"/>
                <w:lang w:val="en-US"/>
              </w:rPr>
              <w:t xml:space="preserve">Ensuring that green belt planning aligns with climate adaptation, disaster risk reduction, and biodiversity conservation </w:t>
            </w:r>
            <w:proofErr w:type="gramStart"/>
            <w:r w:rsidRPr="004A3EAF">
              <w:rPr>
                <w:sz w:val="18"/>
                <w:szCs w:val="18"/>
                <w:highlight w:val="cyan"/>
                <w:lang w:val="en-US"/>
              </w:rPr>
              <w:t>objectives;</w:t>
            </w:r>
            <w:proofErr w:type="gramEnd"/>
          </w:p>
          <w:p w14:paraId="3C529DC1" w14:textId="0B0834C0" w:rsidR="00CE4BB0" w:rsidRPr="004A3EAF" w:rsidRDefault="00223602" w:rsidP="00CE4BB0">
            <w:pPr>
              <w:numPr>
                <w:ilvl w:val="0"/>
                <w:numId w:val="936"/>
              </w:numPr>
              <w:spacing w:after="0"/>
              <w:rPr>
                <w:sz w:val="18"/>
                <w:szCs w:val="18"/>
                <w:highlight w:val="cyan"/>
                <w:lang w:val="en-US"/>
              </w:rPr>
            </w:pPr>
            <w:r w:rsidRPr="004A3EAF">
              <w:rPr>
                <w:sz w:val="18"/>
                <w:szCs w:val="18"/>
                <w:highlight w:val="cyan"/>
                <w:lang w:val="en-US"/>
              </w:rPr>
              <w:t xml:space="preserve">Support GDWF in the </w:t>
            </w:r>
            <w:r w:rsidR="004F1661" w:rsidRPr="004A3EAF">
              <w:rPr>
                <w:sz w:val="18"/>
                <w:szCs w:val="18"/>
                <w:highlight w:val="cyan"/>
                <w:lang w:val="en-US"/>
              </w:rPr>
              <w:t xml:space="preserve">supervision of </w:t>
            </w:r>
            <w:r w:rsidR="00CE4BB0" w:rsidRPr="004A3EAF">
              <w:rPr>
                <w:sz w:val="18"/>
                <w:szCs w:val="18"/>
                <w:highlight w:val="cyan"/>
                <w:lang w:val="en-US"/>
              </w:rPr>
              <w:t>baseline ecological studies and environmental assessments (flora, fauna, ecosystems, land degradation)</w:t>
            </w:r>
            <w:r w:rsidR="004F1661" w:rsidRPr="004A3EAF">
              <w:rPr>
                <w:sz w:val="18"/>
                <w:szCs w:val="18"/>
                <w:highlight w:val="cyan"/>
                <w:lang w:val="en-US"/>
              </w:rPr>
              <w:t xml:space="preserve"> in collaboration the Gender and ES</w:t>
            </w:r>
            <w:r w:rsidR="00D23B6D" w:rsidRPr="004A3EAF">
              <w:rPr>
                <w:sz w:val="18"/>
                <w:szCs w:val="18"/>
                <w:highlight w:val="cyan"/>
                <w:lang w:val="en-US"/>
              </w:rPr>
              <w:t xml:space="preserve">S Specialist </w:t>
            </w:r>
          </w:p>
          <w:p w14:paraId="487AC0CA" w14:textId="12E6E1AC" w:rsidR="00CE4BB0" w:rsidRPr="004A3EAF" w:rsidRDefault="0073425E" w:rsidP="00CE4BB0">
            <w:pPr>
              <w:numPr>
                <w:ilvl w:val="0"/>
                <w:numId w:val="936"/>
              </w:numPr>
              <w:spacing w:after="0"/>
              <w:rPr>
                <w:sz w:val="18"/>
                <w:szCs w:val="18"/>
                <w:highlight w:val="cyan"/>
                <w:lang w:val="en-US"/>
              </w:rPr>
            </w:pPr>
            <w:r w:rsidRPr="004A3EAF">
              <w:rPr>
                <w:sz w:val="18"/>
                <w:szCs w:val="18"/>
                <w:highlight w:val="cyan"/>
                <w:lang w:val="en-US"/>
              </w:rPr>
              <w:t>Support the development of</w:t>
            </w:r>
            <w:r w:rsidR="00CE4BB0" w:rsidRPr="004A3EAF">
              <w:rPr>
                <w:sz w:val="18"/>
                <w:szCs w:val="18"/>
                <w:highlight w:val="cyan"/>
                <w:lang w:val="en-US"/>
              </w:rPr>
              <w:t xml:space="preserve"> a community engagement strategy for the seven priority green spaces.</w:t>
            </w:r>
          </w:p>
          <w:p w14:paraId="3F37EB62" w14:textId="77777777" w:rsidR="00CE4BB0" w:rsidRPr="004A3EAF" w:rsidRDefault="00CE4BB0" w:rsidP="00CE4BB0">
            <w:pPr>
              <w:spacing w:after="0"/>
              <w:rPr>
                <w:sz w:val="18"/>
                <w:szCs w:val="18"/>
                <w:highlight w:val="cyan"/>
                <w:lang w:val="en-US"/>
              </w:rPr>
            </w:pPr>
          </w:p>
          <w:p w14:paraId="00001458" w14:textId="548ACBC1" w:rsidR="00EE39D3" w:rsidRPr="004A3EAF" w:rsidRDefault="00EE39D3" w:rsidP="00CE4BB0">
            <w:pPr>
              <w:spacing w:after="0"/>
              <w:rPr>
                <w:sz w:val="18"/>
                <w:szCs w:val="18"/>
                <w:highlight w:val="cyan"/>
                <w:lang w:val="en-US"/>
              </w:rPr>
            </w:pPr>
          </w:p>
        </w:tc>
      </w:tr>
      <w:tr w:rsidR="006007E8" w:rsidRPr="00F50786" w14:paraId="774F31D7" w14:textId="77777777" w:rsidTr="00857B81">
        <w:trPr>
          <w:trHeight w:val="300"/>
          <w:jc w:val="center"/>
        </w:trPr>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797AB5" w14:textId="77777777" w:rsidR="006007E8" w:rsidRPr="00857B81" w:rsidRDefault="006007E8" w:rsidP="006007E8">
            <w:pPr>
              <w:spacing w:after="0"/>
              <w:rPr>
                <w:sz w:val="18"/>
                <w:szCs w:val="18"/>
                <w:highlight w:val="yellow"/>
                <w:lang w:val="en-US"/>
              </w:rPr>
            </w:pPr>
            <w:r w:rsidRPr="00857B81">
              <w:rPr>
                <w:sz w:val="18"/>
                <w:szCs w:val="18"/>
                <w:highlight w:val="yellow"/>
                <w:lang w:val="en-US"/>
              </w:rPr>
              <w:lastRenderedPageBreak/>
              <w:t xml:space="preserve">Procurement Consultant </w:t>
            </w:r>
          </w:p>
          <w:p w14:paraId="6165351D" w14:textId="77777777" w:rsidR="006007E8" w:rsidRPr="00857B81" w:rsidRDefault="006007E8" w:rsidP="006007E8">
            <w:pPr>
              <w:spacing w:after="0"/>
              <w:rPr>
                <w:sz w:val="18"/>
                <w:szCs w:val="18"/>
                <w:highlight w:val="yellow"/>
                <w:lang w:val="en-US"/>
              </w:rPr>
            </w:pPr>
            <w:r w:rsidRPr="00857B81">
              <w:rPr>
                <w:sz w:val="18"/>
                <w:szCs w:val="18"/>
                <w:highlight w:val="yellow"/>
                <w:lang w:val="en-US"/>
              </w:rPr>
              <w:t xml:space="preserve"> Rate: 250$/day </w:t>
            </w:r>
          </w:p>
          <w:p w14:paraId="02B37EB1" w14:textId="77777777" w:rsidR="006007E8" w:rsidRPr="00857B81" w:rsidRDefault="006007E8" w:rsidP="006007E8">
            <w:pPr>
              <w:spacing w:after="0"/>
              <w:rPr>
                <w:sz w:val="18"/>
                <w:szCs w:val="18"/>
                <w:highlight w:val="yellow"/>
                <w:lang w:val="en-US"/>
              </w:rPr>
            </w:pPr>
            <w:proofErr w:type="gramStart"/>
            <w:r w:rsidRPr="00857B81">
              <w:rPr>
                <w:sz w:val="18"/>
                <w:szCs w:val="18"/>
                <w:highlight w:val="yellow"/>
                <w:lang w:val="en-US"/>
              </w:rPr>
              <w:t>Contract :</w:t>
            </w:r>
            <w:proofErr w:type="gramEnd"/>
            <w:r w:rsidRPr="00857B81">
              <w:rPr>
                <w:sz w:val="18"/>
                <w:szCs w:val="18"/>
                <w:highlight w:val="yellow"/>
                <w:lang w:val="en-US"/>
              </w:rPr>
              <w:t xml:space="preserve"> IC</w:t>
            </w:r>
          </w:p>
          <w:p w14:paraId="4170E753" w14:textId="301BD619" w:rsidR="006007E8" w:rsidRPr="00857B81" w:rsidRDefault="006007E8" w:rsidP="006007E8">
            <w:pPr>
              <w:spacing w:after="0"/>
              <w:rPr>
                <w:sz w:val="18"/>
                <w:szCs w:val="18"/>
                <w:highlight w:val="yellow"/>
                <w:lang w:val="en-US"/>
              </w:rPr>
            </w:pPr>
            <w:r w:rsidRPr="00857B81">
              <w:rPr>
                <w:sz w:val="18"/>
                <w:szCs w:val="18"/>
                <w:highlight w:val="yellow"/>
                <w:lang w:val="en-US"/>
              </w:rPr>
              <w:t xml:space="preserve">See budget notes </w:t>
            </w:r>
            <w:r w:rsidR="00DD7193" w:rsidRPr="00857B81">
              <w:rPr>
                <w:sz w:val="18"/>
                <w:szCs w:val="18"/>
                <w:highlight w:val="yellow"/>
                <w:lang w:val="en-US"/>
              </w:rPr>
              <w:t>51</w:t>
            </w: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67263C" w14:textId="6C2BBE23" w:rsidR="006007E8" w:rsidRPr="00857B81" w:rsidRDefault="006007E8" w:rsidP="006007E8">
            <w:pPr>
              <w:spacing w:after="0"/>
              <w:rPr>
                <w:sz w:val="18"/>
                <w:szCs w:val="18"/>
                <w:highlight w:val="yellow"/>
              </w:rPr>
            </w:pPr>
            <w:r w:rsidRPr="00857B81">
              <w:rPr>
                <w:sz w:val="18"/>
                <w:szCs w:val="18"/>
                <w:highlight w:val="yellow"/>
              </w:rPr>
              <w:t>1</w:t>
            </w:r>
            <w:r w:rsidR="00793368" w:rsidRPr="00857B81">
              <w:rPr>
                <w:sz w:val="18"/>
                <w:szCs w:val="18"/>
                <w:highlight w:val="yellow"/>
              </w:rPr>
              <w:t>50</w:t>
            </w:r>
            <w:r w:rsidRPr="00857B81">
              <w:rPr>
                <w:sz w:val="18"/>
                <w:szCs w:val="18"/>
                <w:highlight w:val="yellow"/>
              </w:rPr>
              <w:t xml:space="preserve"> man/</w:t>
            </w:r>
            <w:proofErr w:type="spellStart"/>
            <w:r w:rsidRPr="00857B81">
              <w:rPr>
                <w:sz w:val="18"/>
                <w:szCs w:val="18"/>
                <w:highlight w:val="yellow"/>
              </w:rPr>
              <w:t>days</w:t>
            </w:r>
            <w:proofErr w:type="spellEnd"/>
            <w:r w:rsidRPr="00857B81">
              <w:rPr>
                <w:sz w:val="18"/>
                <w:szCs w:val="18"/>
                <w:highlight w:val="yellow"/>
              </w:rPr>
              <w:t xml:space="preserve">/ over 5 </w:t>
            </w:r>
            <w:proofErr w:type="spellStart"/>
            <w:r w:rsidRPr="00857B81">
              <w:rPr>
                <w:sz w:val="18"/>
                <w:szCs w:val="18"/>
                <w:highlight w:val="yellow"/>
              </w:rPr>
              <w:t>years</w:t>
            </w:r>
            <w:proofErr w:type="spellEnd"/>
          </w:p>
        </w:tc>
        <w:tc>
          <w:tcPr>
            <w:tcW w:w="10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F4E219" w14:textId="39ADFABB" w:rsidR="006007E8" w:rsidRPr="00857B81" w:rsidRDefault="00E82DE4" w:rsidP="006007E8">
            <w:pPr>
              <w:spacing w:after="0"/>
              <w:rPr>
                <w:sz w:val="18"/>
                <w:szCs w:val="18"/>
                <w:highlight w:val="yellow"/>
                <w:lang w:val="en-US"/>
              </w:rPr>
            </w:pPr>
            <w:r>
              <w:rPr>
                <w:sz w:val="18"/>
                <w:szCs w:val="18"/>
                <w:highlight w:val="yellow"/>
                <w:lang w:val="en-US"/>
              </w:rPr>
              <w:t>Under the direction supervision of the PM, a</w:t>
            </w:r>
            <w:r w:rsidR="006007E8" w:rsidRPr="00857B81">
              <w:rPr>
                <w:sz w:val="18"/>
                <w:szCs w:val="18"/>
                <w:highlight w:val="yellow"/>
                <w:lang w:val="en-US"/>
              </w:rPr>
              <w:t xml:space="preserve"> national procurement consultant will be hired to provide support </w:t>
            </w:r>
            <w:r w:rsidR="008F61A9">
              <w:rPr>
                <w:sz w:val="18"/>
                <w:szCs w:val="18"/>
                <w:highlight w:val="yellow"/>
                <w:lang w:val="en-US"/>
              </w:rPr>
              <w:t xml:space="preserve">to the national implementation partner and the </w:t>
            </w:r>
            <w:r>
              <w:rPr>
                <w:sz w:val="18"/>
                <w:szCs w:val="18"/>
                <w:highlight w:val="yellow"/>
                <w:lang w:val="en-US"/>
              </w:rPr>
              <w:t>responsible parties</w:t>
            </w:r>
            <w:r w:rsidR="008F61A9">
              <w:rPr>
                <w:sz w:val="18"/>
                <w:szCs w:val="18"/>
                <w:highlight w:val="yellow"/>
                <w:lang w:val="en-US"/>
              </w:rPr>
              <w:t xml:space="preserve"> </w:t>
            </w:r>
            <w:r w:rsidR="006007E8" w:rsidRPr="00857B81">
              <w:rPr>
                <w:sz w:val="18"/>
                <w:szCs w:val="18"/>
                <w:highlight w:val="yellow"/>
                <w:lang w:val="en-US"/>
              </w:rPr>
              <w:t>in the following:</w:t>
            </w:r>
          </w:p>
          <w:p w14:paraId="1092A13E" w14:textId="77777777" w:rsidR="006007E8" w:rsidRPr="00857B81" w:rsidRDefault="006007E8" w:rsidP="006007E8">
            <w:pPr>
              <w:spacing w:after="0"/>
              <w:rPr>
                <w:sz w:val="18"/>
                <w:szCs w:val="18"/>
                <w:highlight w:val="yellow"/>
                <w:lang w:val="en-US"/>
              </w:rPr>
            </w:pPr>
          </w:p>
          <w:p w14:paraId="644077ED" w14:textId="77777777" w:rsidR="006007E8" w:rsidRPr="00857B81" w:rsidRDefault="006007E8" w:rsidP="006007E8">
            <w:pPr>
              <w:pStyle w:val="Paragraphedeliste"/>
              <w:numPr>
                <w:ilvl w:val="0"/>
                <w:numId w:val="289"/>
              </w:numPr>
              <w:spacing w:after="0"/>
              <w:rPr>
                <w:sz w:val="18"/>
                <w:szCs w:val="18"/>
                <w:highlight w:val="yellow"/>
                <w:lang w:val="en-US"/>
              </w:rPr>
            </w:pPr>
            <w:r w:rsidRPr="00857B81">
              <w:rPr>
                <w:sz w:val="18"/>
                <w:szCs w:val="18"/>
                <w:highlight w:val="yellow"/>
                <w:lang w:val="en-US"/>
              </w:rPr>
              <w:t xml:space="preserve">Develop annual procurement plans aligned with organizational or project goals over the 5 </w:t>
            </w:r>
            <w:proofErr w:type="gramStart"/>
            <w:r w:rsidRPr="00857B81">
              <w:rPr>
                <w:sz w:val="18"/>
                <w:szCs w:val="18"/>
                <w:highlight w:val="yellow"/>
                <w:lang w:val="en-US"/>
              </w:rPr>
              <w:t>year</w:t>
            </w:r>
            <w:proofErr w:type="gramEnd"/>
            <w:r w:rsidRPr="00857B81">
              <w:rPr>
                <w:sz w:val="18"/>
                <w:szCs w:val="18"/>
                <w:highlight w:val="yellow"/>
                <w:lang w:val="en-US"/>
              </w:rPr>
              <w:t xml:space="preserve">. The plans </w:t>
            </w:r>
            <w:proofErr w:type="spellStart"/>
            <w:r w:rsidRPr="00857B81">
              <w:rPr>
                <w:sz w:val="18"/>
                <w:szCs w:val="18"/>
                <w:highlight w:val="yellow"/>
                <w:lang w:val="en-US"/>
              </w:rPr>
              <w:t>sould</w:t>
            </w:r>
            <w:proofErr w:type="spellEnd"/>
            <w:r w:rsidRPr="00857B81">
              <w:rPr>
                <w:sz w:val="18"/>
                <w:szCs w:val="18"/>
                <w:highlight w:val="yellow"/>
                <w:lang w:val="en-US"/>
              </w:rPr>
              <w:t xml:space="preserve"> be aligned to the timeline and budget of the project</w:t>
            </w:r>
          </w:p>
          <w:p w14:paraId="1845A5FA" w14:textId="77777777" w:rsidR="006007E8" w:rsidRPr="00857B81" w:rsidRDefault="006007E8" w:rsidP="006007E8">
            <w:pPr>
              <w:pStyle w:val="Paragraphedeliste"/>
              <w:numPr>
                <w:ilvl w:val="0"/>
                <w:numId w:val="289"/>
              </w:numPr>
              <w:spacing w:after="0"/>
              <w:rPr>
                <w:sz w:val="18"/>
                <w:szCs w:val="18"/>
                <w:highlight w:val="yellow"/>
                <w:lang w:val="en-US"/>
              </w:rPr>
            </w:pPr>
            <w:r w:rsidRPr="00857B81">
              <w:rPr>
                <w:sz w:val="18"/>
                <w:szCs w:val="18"/>
                <w:highlight w:val="yellow"/>
                <w:lang w:val="en-US"/>
              </w:rPr>
              <w:t>Assessing supplier markets to optimize sourcing decisions and supplier selection.</w:t>
            </w:r>
          </w:p>
          <w:p w14:paraId="42FD2A5B" w14:textId="77777777" w:rsidR="006007E8" w:rsidRPr="00857B81" w:rsidRDefault="006007E8" w:rsidP="006007E8">
            <w:pPr>
              <w:pStyle w:val="Paragraphedeliste"/>
              <w:numPr>
                <w:ilvl w:val="0"/>
                <w:numId w:val="289"/>
              </w:numPr>
              <w:spacing w:after="0"/>
              <w:rPr>
                <w:sz w:val="18"/>
                <w:szCs w:val="18"/>
                <w:highlight w:val="yellow"/>
                <w:lang w:val="en-US"/>
              </w:rPr>
            </w:pPr>
            <w:r w:rsidRPr="00857B81">
              <w:rPr>
                <w:sz w:val="18"/>
                <w:szCs w:val="18"/>
                <w:highlight w:val="yellow"/>
                <w:lang w:val="en-US"/>
              </w:rPr>
              <w:t>Ensure environmental, social, and gender considerations are integrated into procurement processes.</w:t>
            </w:r>
          </w:p>
          <w:p w14:paraId="054ECA4A" w14:textId="77777777" w:rsidR="006007E8" w:rsidRPr="00857B81" w:rsidRDefault="006007E8" w:rsidP="006007E8">
            <w:pPr>
              <w:pStyle w:val="Paragraphedeliste"/>
              <w:numPr>
                <w:ilvl w:val="0"/>
                <w:numId w:val="289"/>
              </w:numPr>
              <w:spacing w:after="0"/>
              <w:rPr>
                <w:sz w:val="18"/>
                <w:szCs w:val="18"/>
                <w:highlight w:val="yellow"/>
                <w:lang w:val="en-US"/>
              </w:rPr>
            </w:pPr>
            <w:r w:rsidRPr="00857B81">
              <w:rPr>
                <w:sz w:val="18"/>
                <w:szCs w:val="18"/>
                <w:highlight w:val="yellow"/>
                <w:lang w:val="en-US"/>
              </w:rPr>
              <w:t>Prepare bidding documents: Drafting Requests for Proposals (RFPs), Invitations to Bid (ITBs), Requests for Quotations (RFQs), etc., including evaluation criteria.</w:t>
            </w:r>
          </w:p>
          <w:p w14:paraId="3AB33B92" w14:textId="77777777" w:rsidR="006007E8" w:rsidRPr="00857B81" w:rsidRDefault="006007E8" w:rsidP="006007E8">
            <w:pPr>
              <w:pStyle w:val="Paragraphedeliste"/>
              <w:numPr>
                <w:ilvl w:val="0"/>
                <w:numId w:val="289"/>
              </w:numPr>
              <w:spacing w:after="0"/>
              <w:rPr>
                <w:sz w:val="18"/>
                <w:szCs w:val="18"/>
                <w:highlight w:val="yellow"/>
                <w:lang w:val="en-US"/>
              </w:rPr>
            </w:pPr>
            <w:r w:rsidRPr="00857B81">
              <w:rPr>
                <w:sz w:val="18"/>
                <w:szCs w:val="18"/>
                <w:highlight w:val="yellow"/>
                <w:lang w:val="en-US"/>
              </w:rPr>
              <w:t>Managing the tendering process, advertising opportunities, receiving proposals, and coordinating clarifications.</w:t>
            </w:r>
          </w:p>
          <w:p w14:paraId="09011CD8" w14:textId="77777777" w:rsidR="006007E8" w:rsidRPr="00857B81" w:rsidRDefault="006007E8" w:rsidP="006007E8">
            <w:pPr>
              <w:pStyle w:val="Paragraphedeliste"/>
              <w:numPr>
                <w:ilvl w:val="0"/>
                <w:numId w:val="289"/>
              </w:numPr>
              <w:spacing w:after="0"/>
              <w:rPr>
                <w:sz w:val="18"/>
                <w:szCs w:val="18"/>
                <w:highlight w:val="yellow"/>
                <w:lang w:val="en-US"/>
              </w:rPr>
            </w:pPr>
            <w:r w:rsidRPr="00857B81">
              <w:rPr>
                <w:sz w:val="18"/>
                <w:szCs w:val="18"/>
                <w:highlight w:val="yellow"/>
                <w:lang w:val="en-US"/>
              </w:rPr>
              <w:t>Supporting or facilitating technical and financial evaluations according to established criteria and best practices.</w:t>
            </w:r>
          </w:p>
          <w:p w14:paraId="0ABC44EB" w14:textId="77777777" w:rsidR="006007E8" w:rsidRPr="00857B81" w:rsidRDefault="006007E8" w:rsidP="006007E8">
            <w:pPr>
              <w:pStyle w:val="Paragraphedeliste"/>
              <w:numPr>
                <w:ilvl w:val="0"/>
                <w:numId w:val="289"/>
              </w:numPr>
              <w:spacing w:after="0"/>
              <w:rPr>
                <w:sz w:val="18"/>
                <w:szCs w:val="18"/>
                <w:highlight w:val="yellow"/>
                <w:lang w:val="en-US"/>
              </w:rPr>
            </w:pPr>
            <w:r w:rsidRPr="00857B81">
              <w:rPr>
                <w:sz w:val="18"/>
                <w:szCs w:val="18"/>
                <w:highlight w:val="yellow"/>
                <w:lang w:val="en-US"/>
              </w:rPr>
              <w:t>Assisting in negotiations to ensure fair and compliant contractual arrangements.</w:t>
            </w:r>
          </w:p>
          <w:p w14:paraId="73AC928E" w14:textId="77777777" w:rsidR="006007E8" w:rsidRPr="00857B81" w:rsidRDefault="006007E8" w:rsidP="006007E8">
            <w:pPr>
              <w:pStyle w:val="Paragraphedeliste"/>
              <w:numPr>
                <w:ilvl w:val="0"/>
                <w:numId w:val="289"/>
              </w:numPr>
              <w:spacing w:after="0"/>
              <w:rPr>
                <w:sz w:val="18"/>
                <w:szCs w:val="18"/>
                <w:highlight w:val="yellow"/>
                <w:lang w:val="en-US"/>
              </w:rPr>
            </w:pPr>
            <w:r w:rsidRPr="00857B81">
              <w:rPr>
                <w:sz w:val="18"/>
                <w:szCs w:val="18"/>
                <w:highlight w:val="yellow"/>
                <w:lang w:val="en-US"/>
              </w:rPr>
              <w:t>Providing tools and frameworks for performance monitoring, change management, and conflict resolution</w:t>
            </w:r>
          </w:p>
          <w:p w14:paraId="3E7F51B7" w14:textId="77777777" w:rsidR="006007E8" w:rsidRPr="00857B81" w:rsidRDefault="006007E8" w:rsidP="006007E8">
            <w:pPr>
              <w:pStyle w:val="Paragraphedeliste"/>
              <w:numPr>
                <w:ilvl w:val="0"/>
                <w:numId w:val="289"/>
              </w:numPr>
              <w:spacing w:after="0"/>
              <w:rPr>
                <w:sz w:val="18"/>
                <w:szCs w:val="18"/>
                <w:highlight w:val="yellow"/>
                <w:lang w:val="en-US"/>
              </w:rPr>
            </w:pPr>
            <w:r w:rsidRPr="00857B81">
              <w:rPr>
                <w:sz w:val="18"/>
                <w:szCs w:val="18"/>
                <w:highlight w:val="yellow"/>
                <w:lang w:val="en-US"/>
              </w:rPr>
              <w:t xml:space="preserve">Helping optimize procurement workflows, document management, and decision-making </w:t>
            </w:r>
            <w:proofErr w:type="gramStart"/>
            <w:r w:rsidRPr="00857B81">
              <w:rPr>
                <w:sz w:val="18"/>
                <w:szCs w:val="18"/>
                <w:highlight w:val="yellow"/>
                <w:lang w:val="en-US"/>
              </w:rPr>
              <w:t>structures..</w:t>
            </w:r>
            <w:proofErr w:type="gramEnd"/>
          </w:p>
          <w:p w14:paraId="356EA456" w14:textId="77777777" w:rsidR="006007E8" w:rsidRPr="00857B81" w:rsidRDefault="006007E8" w:rsidP="006007E8">
            <w:pPr>
              <w:pStyle w:val="Paragraphedeliste"/>
              <w:numPr>
                <w:ilvl w:val="0"/>
                <w:numId w:val="289"/>
              </w:numPr>
              <w:spacing w:after="0"/>
              <w:rPr>
                <w:sz w:val="18"/>
                <w:szCs w:val="18"/>
                <w:highlight w:val="yellow"/>
                <w:lang w:val="en-US"/>
              </w:rPr>
            </w:pPr>
            <w:r w:rsidRPr="00857B81">
              <w:rPr>
                <w:sz w:val="18"/>
                <w:szCs w:val="18"/>
                <w:highlight w:val="yellow"/>
                <w:lang w:val="en-US"/>
              </w:rPr>
              <w:t>Ensuring procurement activities comply with national regulations, donor requirements and anti-corruption standards. Support documentation and justification processes for audits or supervision missions.</w:t>
            </w:r>
          </w:p>
          <w:p w14:paraId="70A33C53" w14:textId="77777777" w:rsidR="006007E8" w:rsidRPr="00857B81" w:rsidRDefault="006007E8" w:rsidP="006007E8">
            <w:pPr>
              <w:pStyle w:val="Paragraphedeliste"/>
              <w:numPr>
                <w:ilvl w:val="0"/>
                <w:numId w:val="289"/>
              </w:numPr>
              <w:spacing w:after="0"/>
              <w:rPr>
                <w:sz w:val="18"/>
                <w:szCs w:val="18"/>
                <w:highlight w:val="yellow"/>
                <w:lang w:val="en-US"/>
              </w:rPr>
            </w:pPr>
            <w:r w:rsidRPr="00857B81">
              <w:rPr>
                <w:sz w:val="18"/>
                <w:szCs w:val="18"/>
                <w:highlight w:val="yellow"/>
                <w:lang w:val="en-US"/>
              </w:rPr>
              <w:t>Risk analysis and mitigation: Identifying procurement risks and developing mitigation plans.</w:t>
            </w:r>
          </w:p>
          <w:p w14:paraId="414E2820" w14:textId="77777777" w:rsidR="006007E8" w:rsidRPr="00857B81" w:rsidRDefault="006007E8" w:rsidP="006007E8">
            <w:pPr>
              <w:spacing w:after="0"/>
              <w:rPr>
                <w:sz w:val="18"/>
                <w:szCs w:val="18"/>
                <w:highlight w:val="yellow"/>
                <w:lang w:val="en-US"/>
              </w:rPr>
            </w:pPr>
          </w:p>
          <w:p w14:paraId="6E6623B9" w14:textId="77777777" w:rsidR="006007E8" w:rsidRPr="00857B81" w:rsidRDefault="006007E8" w:rsidP="006007E8">
            <w:pPr>
              <w:spacing w:after="0"/>
              <w:rPr>
                <w:sz w:val="18"/>
                <w:szCs w:val="18"/>
                <w:highlight w:val="yellow"/>
                <w:lang w:val="en-US"/>
              </w:rPr>
            </w:pPr>
            <w:r w:rsidRPr="00857B81">
              <w:rPr>
                <w:sz w:val="18"/>
                <w:szCs w:val="18"/>
                <w:highlight w:val="yellow"/>
                <w:lang w:val="en-US"/>
              </w:rPr>
              <w:t xml:space="preserve">The support is expected to be as </w:t>
            </w:r>
            <w:proofErr w:type="gramStart"/>
            <w:r w:rsidRPr="00857B81">
              <w:rPr>
                <w:sz w:val="18"/>
                <w:szCs w:val="18"/>
                <w:highlight w:val="yellow"/>
                <w:lang w:val="en-US"/>
              </w:rPr>
              <w:t>following :</w:t>
            </w:r>
            <w:proofErr w:type="gramEnd"/>
            <w:r w:rsidRPr="00857B81">
              <w:rPr>
                <w:sz w:val="18"/>
                <w:szCs w:val="18"/>
                <w:highlight w:val="yellow"/>
                <w:lang w:val="en-US"/>
              </w:rPr>
              <w:t xml:space="preserve"> </w:t>
            </w:r>
          </w:p>
          <w:p w14:paraId="0A1D6494" w14:textId="49C43F7E" w:rsidR="00BF1D61" w:rsidRPr="00857B81" w:rsidRDefault="00BF1D61" w:rsidP="00BF1D61">
            <w:pPr>
              <w:spacing w:after="0"/>
              <w:rPr>
                <w:sz w:val="18"/>
                <w:szCs w:val="18"/>
                <w:highlight w:val="yellow"/>
                <w:lang w:val="en-US"/>
              </w:rPr>
            </w:pPr>
            <w:r w:rsidRPr="00857B81">
              <w:rPr>
                <w:sz w:val="18"/>
                <w:szCs w:val="18"/>
                <w:highlight w:val="yellow"/>
                <w:lang w:val="en-US"/>
              </w:rPr>
              <w:t xml:space="preserve">70 man /day support to the component 1 </w:t>
            </w:r>
          </w:p>
          <w:p w14:paraId="116E1F03" w14:textId="77777777" w:rsidR="00BF1D61" w:rsidRPr="00857B81" w:rsidRDefault="00BF1D61" w:rsidP="00BF1D61">
            <w:pPr>
              <w:spacing w:after="0"/>
              <w:rPr>
                <w:sz w:val="18"/>
                <w:szCs w:val="18"/>
                <w:highlight w:val="yellow"/>
                <w:lang w:val="en-US"/>
              </w:rPr>
            </w:pPr>
            <w:r w:rsidRPr="00857B81">
              <w:rPr>
                <w:sz w:val="18"/>
                <w:szCs w:val="18"/>
                <w:highlight w:val="yellow"/>
                <w:lang w:val="en-US"/>
              </w:rPr>
              <w:t xml:space="preserve">38 man/day support to the component 2 </w:t>
            </w:r>
          </w:p>
          <w:p w14:paraId="6237F267" w14:textId="778FA009" w:rsidR="00BF1D61" w:rsidRPr="00857B81" w:rsidRDefault="00BF1D61" w:rsidP="00BF1D61">
            <w:pPr>
              <w:spacing w:after="0"/>
              <w:rPr>
                <w:sz w:val="18"/>
                <w:szCs w:val="18"/>
                <w:highlight w:val="yellow"/>
                <w:lang w:val="en-US"/>
              </w:rPr>
            </w:pPr>
            <w:r w:rsidRPr="00857B81">
              <w:rPr>
                <w:sz w:val="18"/>
                <w:szCs w:val="18"/>
                <w:highlight w:val="yellow"/>
                <w:lang w:val="en-US"/>
              </w:rPr>
              <w:t xml:space="preserve">40 man/day support to the component 3 </w:t>
            </w:r>
          </w:p>
          <w:p w14:paraId="6A78B44E" w14:textId="20D4742E" w:rsidR="00BF1D61" w:rsidRPr="00857B81" w:rsidRDefault="00BF1D61" w:rsidP="00BF1D61">
            <w:pPr>
              <w:spacing w:after="0"/>
              <w:rPr>
                <w:sz w:val="18"/>
                <w:szCs w:val="18"/>
                <w:highlight w:val="yellow"/>
                <w:lang w:val="en-US"/>
              </w:rPr>
            </w:pPr>
            <w:r w:rsidRPr="00857B81">
              <w:rPr>
                <w:sz w:val="18"/>
                <w:szCs w:val="18"/>
                <w:highlight w:val="yellow"/>
                <w:lang w:val="en-US"/>
              </w:rPr>
              <w:lastRenderedPageBreak/>
              <w:t xml:space="preserve">2 man/day support to the component 4  </w:t>
            </w:r>
          </w:p>
          <w:p w14:paraId="47327F6C" w14:textId="74227F40" w:rsidR="006007E8" w:rsidRPr="00857B81" w:rsidRDefault="006007E8" w:rsidP="00BF1D61">
            <w:pPr>
              <w:spacing w:after="0"/>
              <w:rPr>
                <w:sz w:val="18"/>
                <w:szCs w:val="18"/>
                <w:highlight w:val="yellow"/>
                <w:u w:val="single"/>
                <w:lang w:val="en-US"/>
              </w:rPr>
            </w:pPr>
            <w:r w:rsidRPr="00857B81">
              <w:rPr>
                <w:sz w:val="18"/>
                <w:szCs w:val="18"/>
                <w:highlight w:val="yellow"/>
                <w:lang w:val="en-US"/>
              </w:rPr>
              <w:t xml:space="preserve">Efforts may be extended to a maximum of 250 cumulative man-days, if needed and depends of </w:t>
            </w:r>
            <w:proofErr w:type="gramStart"/>
            <w:r w:rsidRPr="00857B81">
              <w:rPr>
                <w:sz w:val="18"/>
                <w:szCs w:val="18"/>
                <w:highlight w:val="yellow"/>
                <w:lang w:val="en-US"/>
              </w:rPr>
              <w:t>budget  availability</w:t>
            </w:r>
            <w:proofErr w:type="gramEnd"/>
            <w:r w:rsidRPr="00857B81">
              <w:rPr>
                <w:sz w:val="18"/>
                <w:szCs w:val="18"/>
                <w:highlight w:val="yellow"/>
                <w:lang w:val="en-US"/>
              </w:rPr>
              <w:t>.</w:t>
            </w:r>
          </w:p>
        </w:tc>
      </w:tr>
      <w:tr w:rsidR="004F7DB3" w:rsidRPr="00F50786" w14:paraId="722E3601" w14:textId="77777777" w:rsidTr="00857B81">
        <w:trPr>
          <w:trHeight w:val="300"/>
          <w:jc w:val="center"/>
        </w:trPr>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1459" w14:textId="6CAF5684" w:rsidR="004F7DB3" w:rsidRPr="006F5E1D" w:rsidRDefault="5C6EF691" w:rsidP="006F5E1D">
            <w:pPr>
              <w:spacing w:after="0"/>
              <w:rPr>
                <w:sz w:val="18"/>
                <w:szCs w:val="18"/>
              </w:rPr>
            </w:pPr>
            <w:r w:rsidRPr="006F5E1D">
              <w:rPr>
                <w:sz w:val="18"/>
                <w:szCs w:val="18"/>
              </w:rPr>
              <w:lastRenderedPageBreak/>
              <w:t>Project</w:t>
            </w:r>
            <w:r w:rsidR="58EE76B4" w:rsidRPr="006F5E1D">
              <w:rPr>
                <w:sz w:val="18"/>
                <w:szCs w:val="18"/>
              </w:rPr>
              <w:t xml:space="preserve"> Admin &amp; Finance</w:t>
            </w:r>
            <w:r w:rsidRPr="006F5E1D">
              <w:rPr>
                <w:sz w:val="18"/>
                <w:szCs w:val="18"/>
              </w:rPr>
              <w:t xml:space="preserve"> Assistant</w:t>
            </w:r>
            <w:r w:rsidR="0078727F">
              <w:rPr>
                <w:sz w:val="18"/>
                <w:szCs w:val="18"/>
              </w:rPr>
              <w:t xml:space="preserve"> (PAFA)</w:t>
            </w:r>
          </w:p>
          <w:p w14:paraId="7CF3A247" w14:textId="19137574" w:rsidR="004F7DB3" w:rsidRPr="006F5E1D" w:rsidRDefault="66B52ECA" w:rsidP="006F5E1D">
            <w:pPr>
              <w:spacing w:after="0"/>
              <w:rPr>
                <w:sz w:val="18"/>
                <w:szCs w:val="18"/>
              </w:rPr>
            </w:pPr>
            <w:r w:rsidRPr="006F5E1D">
              <w:rPr>
                <w:sz w:val="18"/>
                <w:szCs w:val="18"/>
              </w:rPr>
              <w:t>2,150$/mois</w:t>
            </w:r>
          </w:p>
          <w:p w14:paraId="0000145A" w14:textId="204C0DF9" w:rsidR="004F7DB3" w:rsidRPr="006F5E1D" w:rsidRDefault="1B0FAA5A" w:rsidP="006F5E1D">
            <w:pPr>
              <w:spacing w:after="0"/>
              <w:rPr>
                <w:sz w:val="18"/>
                <w:szCs w:val="18"/>
              </w:rPr>
            </w:pPr>
            <w:proofErr w:type="spellStart"/>
            <w:r w:rsidRPr="006F5E1D">
              <w:rPr>
                <w:sz w:val="18"/>
                <w:szCs w:val="18"/>
              </w:rPr>
              <w:t>See</w:t>
            </w:r>
            <w:proofErr w:type="spellEnd"/>
            <w:r w:rsidRPr="006F5E1D">
              <w:rPr>
                <w:sz w:val="18"/>
                <w:szCs w:val="18"/>
              </w:rPr>
              <w:t xml:space="preserve"> budget note 5</w:t>
            </w:r>
            <w:r w:rsidR="006A5C67" w:rsidRPr="006F5E1D">
              <w:rPr>
                <w:sz w:val="18"/>
                <w:szCs w:val="18"/>
              </w:rPr>
              <w:t>0</w:t>
            </w: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646CF1" w14:textId="20C0BC7C" w:rsidR="004F7DB3" w:rsidRPr="006F5E1D" w:rsidRDefault="66B52ECA" w:rsidP="006F5E1D">
            <w:pPr>
              <w:spacing w:after="0"/>
              <w:rPr>
                <w:sz w:val="18"/>
                <w:szCs w:val="18"/>
              </w:rPr>
            </w:pPr>
            <w:r w:rsidRPr="006F5E1D">
              <w:rPr>
                <w:sz w:val="18"/>
                <w:szCs w:val="18"/>
              </w:rPr>
              <w:t xml:space="preserve">5 </w:t>
            </w:r>
            <w:proofErr w:type="spellStart"/>
            <w:r w:rsidRPr="006F5E1D">
              <w:rPr>
                <w:sz w:val="18"/>
                <w:szCs w:val="18"/>
              </w:rPr>
              <w:t>years</w:t>
            </w:r>
            <w:proofErr w:type="spellEnd"/>
          </w:p>
          <w:p w14:paraId="0000145B" w14:textId="3A0A312D" w:rsidR="004F7DB3" w:rsidRPr="006F5E1D" w:rsidRDefault="004F7DB3" w:rsidP="006F5E1D">
            <w:pPr>
              <w:spacing w:after="0"/>
              <w:rPr>
                <w:sz w:val="18"/>
                <w:szCs w:val="18"/>
              </w:rPr>
            </w:pPr>
          </w:p>
        </w:tc>
        <w:tc>
          <w:tcPr>
            <w:tcW w:w="10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145C" w14:textId="77777777" w:rsidR="004F7DB3" w:rsidRPr="006F5E1D" w:rsidRDefault="4A5A56E3" w:rsidP="006F5E1D">
            <w:pPr>
              <w:spacing w:after="0"/>
              <w:rPr>
                <w:sz w:val="18"/>
                <w:szCs w:val="18"/>
                <w:u w:val="single"/>
                <w:lang w:val="en-US"/>
              </w:rPr>
            </w:pPr>
            <w:r w:rsidRPr="006F5E1D">
              <w:rPr>
                <w:sz w:val="18"/>
                <w:szCs w:val="18"/>
                <w:u w:val="single"/>
                <w:lang w:val="en-US"/>
              </w:rPr>
              <w:t>Duties and Responsibilities</w:t>
            </w:r>
          </w:p>
          <w:p w14:paraId="0000145D" w14:textId="66BEC30D" w:rsidR="004F7DB3" w:rsidRPr="006F5E1D" w:rsidRDefault="1F7125A8" w:rsidP="006F5E1D">
            <w:pPr>
              <w:spacing w:after="0"/>
              <w:rPr>
                <w:sz w:val="18"/>
                <w:szCs w:val="18"/>
                <w:lang w:val="en-US"/>
              </w:rPr>
            </w:pPr>
            <w:r w:rsidRPr="006F5E1D">
              <w:rPr>
                <w:sz w:val="18"/>
                <w:szCs w:val="18"/>
                <w:lang w:val="en-US"/>
              </w:rPr>
              <w:t xml:space="preserve">Under the guidance and supervision of the Project Manager, the </w:t>
            </w:r>
            <w:r w:rsidR="00E91E71">
              <w:rPr>
                <w:sz w:val="18"/>
                <w:szCs w:val="18"/>
                <w:lang w:val="en-US"/>
              </w:rPr>
              <w:t>PAFA</w:t>
            </w:r>
            <w:r w:rsidRPr="006F5E1D">
              <w:rPr>
                <w:sz w:val="18"/>
                <w:szCs w:val="18"/>
                <w:lang w:val="en-US"/>
              </w:rPr>
              <w:t xml:space="preserve"> will carry out the following tasks:</w:t>
            </w:r>
          </w:p>
          <w:p w14:paraId="0000145E" w14:textId="77777777" w:rsidR="004F7DB3" w:rsidRPr="006F5E1D" w:rsidRDefault="552CE4D7" w:rsidP="001360BB">
            <w:pPr>
              <w:pStyle w:val="Paragraphedeliste"/>
              <w:numPr>
                <w:ilvl w:val="0"/>
                <w:numId w:val="290"/>
              </w:numPr>
              <w:spacing w:after="0"/>
              <w:rPr>
                <w:sz w:val="18"/>
                <w:szCs w:val="18"/>
                <w:lang w:val="en-US"/>
              </w:rPr>
            </w:pPr>
            <w:r w:rsidRPr="006F5E1D">
              <w:rPr>
                <w:sz w:val="18"/>
                <w:szCs w:val="18"/>
                <w:lang w:val="en-US"/>
              </w:rPr>
              <w:t xml:space="preserve">Assist the Project Manager in day-to-day management and oversight of project </w:t>
            </w:r>
            <w:proofErr w:type="gramStart"/>
            <w:r w:rsidRPr="006F5E1D">
              <w:rPr>
                <w:sz w:val="18"/>
                <w:szCs w:val="18"/>
                <w:lang w:val="en-US"/>
              </w:rPr>
              <w:t>activities;</w:t>
            </w:r>
            <w:proofErr w:type="gramEnd"/>
          </w:p>
          <w:p w14:paraId="0000145F" w14:textId="77777777" w:rsidR="004F7DB3" w:rsidRPr="006F5E1D" w:rsidRDefault="552CE4D7" w:rsidP="001360BB">
            <w:pPr>
              <w:pStyle w:val="Paragraphedeliste"/>
              <w:numPr>
                <w:ilvl w:val="0"/>
                <w:numId w:val="290"/>
              </w:numPr>
              <w:spacing w:after="0"/>
              <w:rPr>
                <w:sz w:val="18"/>
                <w:szCs w:val="18"/>
                <w:lang w:val="en-US"/>
              </w:rPr>
            </w:pPr>
            <w:r w:rsidRPr="006F5E1D">
              <w:rPr>
                <w:sz w:val="18"/>
                <w:szCs w:val="18"/>
                <w:lang w:val="en-US"/>
              </w:rPr>
              <w:t xml:space="preserve">Assist the M&amp;E officer in matters related to M&amp;E and knowledge resources </w:t>
            </w:r>
            <w:proofErr w:type="gramStart"/>
            <w:r w:rsidRPr="006F5E1D">
              <w:rPr>
                <w:sz w:val="18"/>
                <w:szCs w:val="18"/>
                <w:lang w:val="en-US"/>
              </w:rPr>
              <w:t>management;</w:t>
            </w:r>
            <w:proofErr w:type="gramEnd"/>
          </w:p>
          <w:p w14:paraId="00001460" w14:textId="77777777" w:rsidR="004F7DB3" w:rsidRPr="006F5E1D" w:rsidRDefault="1F7125A8" w:rsidP="001360BB">
            <w:pPr>
              <w:pStyle w:val="Paragraphedeliste"/>
              <w:numPr>
                <w:ilvl w:val="0"/>
                <w:numId w:val="290"/>
              </w:numPr>
              <w:spacing w:after="0"/>
              <w:rPr>
                <w:sz w:val="18"/>
                <w:szCs w:val="18"/>
                <w:lang w:val="en-US"/>
              </w:rPr>
            </w:pPr>
            <w:r w:rsidRPr="006F5E1D">
              <w:rPr>
                <w:sz w:val="18"/>
                <w:szCs w:val="18"/>
                <w:lang w:val="en-US"/>
              </w:rPr>
              <w:t xml:space="preserve">Assist in the preparation of progress </w:t>
            </w:r>
            <w:proofErr w:type="gramStart"/>
            <w:r w:rsidRPr="006F5E1D">
              <w:rPr>
                <w:sz w:val="18"/>
                <w:szCs w:val="18"/>
                <w:lang w:val="en-US"/>
              </w:rPr>
              <w:t>reports;</w:t>
            </w:r>
            <w:proofErr w:type="gramEnd"/>
          </w:p>
          <w:p w14:paraId="00001461" w14:textId="068EADBE" w:rsidR="004F7DB3" w:rsidRPr="006F5E1D" w:rsidRDefault="1F7125A8" w:rsidP="001360BB">
            <w:pPr>
              <w:pStyle w:val="Paragraphedeliste"/>
              <w:numPr>
                <w:ilvl w:val="0"/>
                <w:numId w:val="290"/>
              </w:numPr>
              <w:spacing w:after="0"/>
              <w:rPr>
                <w:sz w:val="18"/>
                <w:szCs w:val="18"/>
                <w:lang w:val="en-US"/>
              </w:rPr>
            </w:pPr>
            <w:r w:rsidRPr="006F5E1D">
              <w:rPr>
                <w:sz w:val="18"/>
                <w:szCs w:val="18"/>
                <w:lang w:val="en-US"/>
              </w:rPr>
              <w:t>Ensure all project documentation (progress reports, consulting and other technical reports, minutes of meetings, etc.) are properly maintained in hard and electronic copies in an efficient and readily accessible filing system, for when required by P</w:t>
            </w:r>
            <w:r w:rsidR="348A1A9C" w:rsidRPr="006F5E1D">
              <w:rPr>
                <w:sz w:val="18"/>
                <w:szCs w:val="18"/>
                <w:lang w:val="en-US"/>
              </w:rPr>
              <w:t xml:space="preserve">roject </w:t>
            </w:r>
            <w:r w:rsidRPr="006F5E1D">
              <w:rPr>
                <w:sz w:val="18"/>
                <w:szCs w:val="18"/>
                <w:lang w:val="en-US"/>
              </w:rPr>
              <w:t>B</w:t>
            </w:r>
            <w:r w:rsidR="23639B98" w:rsidRPr="006F5E1D">
              <w:rPr>
                <w:sz w:val="18"/>
                <w:szCs w:val="18"/>
                <w:lang w:val="en-US"/>
              </w:rPr>
              <w:t>oard</w:t>
            </w:r>
            <w:r w:rsidRPr="006F5E1D">
              <w:rPr>
                <w:sz w:val="18"/>
                <w:szCs w:val="18"/>
                <w:lang w:val="en-US"/>
              </w:rPr>
              <w:t xml:space="preserve">, project consultants and other PMU </w:t>
            </w:r>
            <w:proofErr w:type="gramStart"/>
            <w:r w:rsidRPr="006F5E1D">
              <w:rPr>
                <w:sz w:val="18"/>
                <w:szCs w:val="18"/>
                <w:lang w:val="en-US"/>
              </w:rPr>
              <w:t>staff;</w:t>
            </w:r>
            <w:proofErr w:type="gramEnd"/>
          </w:p>
          <w:p w14:paraId="00001462" w14:textId="77777777" w:rsidR="004F7DB3" w:rsidRPr="006F5E1D" w:rsidRDefault="1F7125A8" w:rsidP="001360BB">
            <w:pPr>
              <w:pStyle w:val="Paragraphedeliste"/>
              <w:numPr>
                <w:ilvl w:val="0"/>
                <w:numId w:val="290"/>
              </w:numPr>
              <w:spacing w:after="0"/>
              <w:rPr>
                <w:sz w:val="18"/>
                <w:szCs w:val="18"/>
                <w:lang w:val="en-US"/>
              </w:rPr>
            </w:pPr>
            <w:r w:rsidRPr="006F5E1D">
              <w:rPr>
                <w:sz w:val="18"/>
                <w:szCs w:val="18"/>
                <w:lang w:val="en-US"/>
              </w:rPr>
              <w:t>Provide PMU-related administrative and logistical assistance.</w:t>
            </w:r>
          </w:p>
          <w:p w14:paraId="2638478E" w14:textId="77777777" w:rsidR="3F7D15F2" w:rsidRPr="006F5E1D" w:rsidRDefault="305160F4" w:rsidP="001360BB">
            <w:pPr>
              <w:pStyle w:val="Paragraphedeliste"/>
              <w:numPr>
                <w:ilvl w:val="0"/>
                <w:numId w:val="290"/>
              </w:numPr>
              <w:spacing w:after="0"/>
              <w:rPr>
                <w:sz w:val="18"/>
                <w:szCs w:val="18"/>
                <w:lang w:val="en-US"/>
              </w:rPr>
            </w:pPr>
            <w:r w:rsidRPr="006F5E1D">
              <w:rPr>
                <w:sz w:val="18"/>
                <w:szCs w:val="18"/>
                <w:lang w:val="en-US"/>
              </w:rPr>
              <w:t xml:space="preserve">Keep records of project funds and expenditures, and ensure all project-related financial documentation are well maintained and readily available when required by the Project </w:t>
            </w:r>
            <w:proofErr w:type="gramStart"/>
            <w:r w:rsidRPr="006F5E1D">
              <w:rPr>
                <w:sz w:val="18"/>
                <w:szCs w:val="18"/>
                <w:lang w:val="en-US"/>
              </w:rPr>
              <w:t>Manager;</w:t>
            </w:r>
            <w:proofErr w:type="gramEnd"/>
          </w:p>
          <w:p w14:paraId="1DA2C5B9" w14:textId="77777777" w:rsidR="3F7D15F2" w:rsidRPr="006F5E1D" w:rsidRDefault="305160F4" w:rsidP="001360BB">
            <w:pPr>
              <w:pStyle w:val="Paragraphedeliste"/>
              <w:numPr>
                <w:ilvl w:val="0"/>
                <w:numId w:val="290"/>
              </w:numPr>
              <w:spacing w:after="0"/>
              <w:rPr>
                <w:sz w:val="18"/>
                <w:szCs w:val="18"/>
                <w:lang w:val="en-US"/>
              </w:rPr>
            </w:pPr>
            <w:r w:rsidRPr="006F5E1D">
              <w:rPr>
                <w:sz w:val="18"/>
                <w:szCs w:val="18"/>
                <w:lang w:val="en-US"/>
              </w:rPr>
              <w:t xml:space="preserve">Review project expenditures and ensure that project funds are used in compliance with the Project Document and </w:t>
            </w:r>
            <w:proofErr w:type="spellStart"/>
            <w:r w:rsidRPr="006F5E1D">
              <w:rPr>
                <w:sz w:val="18"/>
                <w:szCs w:val="18"/>
                <w:lang w:val="en-US"/>
              </w:rPr>
              <w:t>GoI</w:t>
            </w:r>
            <w:proofErr w:type="spellEnd"/>
            <w:r w:rsidRPr="006F5E1D">
              <w:rPr>
                <w:sz w:val="18"/>
                <w:szCs w:val="18"/>
                <w:lang w:val="en-US"/>
              </w:rPr>
              <w:t xml:space="preserve"> financial rules and </w:t>
            </w:r>
            <w:proofErr w:type="gramStart"/>
            <w:r w:rsidRPr="006F5E1D">
              <w:rPr>
                <w:sz w:val="18"/>
                <w:szCs w:val="18"/>
                <w:lang w:val="en-US"/>
              </w:rPr>
              <w:t>procedures;</w:t>
            </w:r>
            <w:proofErr w:type="gramEnd"/>
          </w:p>
          <w:p w14:paraId="602814E4" w14:textId="77777777" w:rsidR="3F7D15F2" w:rsidRPr="006F5E1D" w:rsidRDefault="6FF57CE9" w:rsidP="001360BB">
            <w:pPr>
              <w:pStyle w:val="Paragraphedeliste"/>
              <w:numPr>
                <w:ilvl w:val="0"/>
                <w:numId w:val="290"/>
              </w:numPr>
              <w:spacing w:after="0"/>
              <w:rPr>
                <w:sz w:val="18"/>
                <w:szCs w:val="18"/>
                <w:lang w:val="en-US"/>
              </w:rPr>
            </w:pPr>
            <w:r w:rsidRPr="006F5E1D">
              <w:rPr>
                <w:sz w:val="18"/>
                <w:szCs w:val="18"/>
                <w:lang w:val="en-US"/>
              </w:rPr>
              <w:t xml:space="preserve">Validate and certify FACE forms before submission to </w:t>
            </w:r>
            <w:proofErr w:type="gramStart"/>
            <w:r w:rsidRPr="006F5E1D">
              <w:rPr>
                <w:sz w:val="18"/>
                <w:szCs w:val="18"/>
                <w:lang w:val="en-US"/>
              </w:rPr>
              <w:t>UNDP;</w:t>
            </w:r>
            <w:proofErr w:type="gramEnd"/>
          </w:p>
          <w:p w14:paraId="3C0E8EA2" w14:textId="77777777" w:rsidR="3F7D15F2" w:rsidRPr="006F5E1D" w:rsidRDefault="305160F4" w:rsidP="001360BB">
            <w:pPr>
              <w:pStyle w:val="Paragraphedeliste"/>
              <w:numPr>
                <w:ilvl w:val="0"/>
                <w:numId w:val="290"/>
              </w:numPr>
              <w:spacing w:after="0"/>
              <w:rPr>
                <w:sz w:val="18"/>
                <w:szCs w:val="18"/>
                <w:lang w:val="en-US"/>
              </w:rPr>
            </w:pPr>
            <w:r w:rsidRPr="006F5E1D">
              <w:rPr>
                <w:sz w:val="18"/>
                <w:szCs w:val="18"/>
                <w:lang w:val="en-US"/>
              </w:rPr>
              <w:t xml:space="preserve">Provide necessary financial information as and when required for project management </w:t>
            </w:r>
            <w:proofErr w:type="gramStart"/>
            <w:r w:rsidRPr="006F5E1D">
              <w:rPr>
                <w:sz w:val="18"/>
                <w:szCs w:val="18"/>
                <w:lang w:val="en-US"/>
              </w:rPr>
              <w:t>decisions;</w:t>
            </w:r>
            <w:proofErr w:type="gramEnd"/>
          </w:p>
          <w:p w14:paraId="0D436C02" w14:textId="77777777" w:rsidR="3F7D15F2" w:rsidRPr="00857B81" w:rsidRDefault="5358EFD8" w:rsidP="40E7FE84">
            <w:pPr>
              <w:pStyle w:val="Paragraphedeliste"/>
              <w:numPr>
                <w:ilvl w:val="0"/>
                <w:numId w:val="290"/>
              </w:numPr>
              <w:spacing w:after="0"/>
              <w:rPr>
                <w:sz w:val="18"/>
                <w:szCs w:val="18"/>
                <w:lang w:val="en-US"/>
              </w:rPr>
            </w:pPr>
            <w:r w:rsidRPr="00857B81">
              <w:rPr>
                <w:sz w:val="18"/>
                <w:szCs w:val="18"/>
                <w:lang w:val="en-US"/>
              </w:rPr>
              <w:t>Provide necessary financial information during project audit(s</w:t>
            </w:r>
            <w:proofErr w:type="gramStart"/>
            <w:r w:rsidRPr="00857B81">
              <w:rPr>
                <w:sz w:val="18"/>
                <w:szCs w:val="18"/>
                <w:lang w:val="en-US"/>
              </w:rPr>
              <w:t>);</w:t>
            </w:r>
            <w:proofErr w:type="gramEnd"/>
          </w:p>
          <w:p w14:paraId="0240B49B" w14:textId="77777777" w:rsidR="3F7D15F2" w:rsidRPr="006F5E1D" w:rsidRDefault="6FF57CE9" w:rsidP="001360BB">
            <w:pPr>
              <w:pStyle w:val="Paragraphedeliste"/>
              <w:numPr>
                <w:ilvl w:val="0"/>
                <w:numId w:val="290"/>
              </w:numPr>
              <w:spacing w:after="0"/>
              <w:rPr>
                <w:sz w:val="18"/>
                <w:szCs w:val="18"/>
                <w:lang w:val="en-US"/>
              </w:rPr>
            </w:pPr>
            <w:r w:rsidRPr="006F5E1D">
              <w:rPr>
                <w:sz w:val="18"/>
                <w:szCs w:val="18"/>
                <w:lang w:val="en-US"/>
              </w:rPr>
              <w:t xml:space="preserve">Review annual budgets and project expenditure reports, and notify the Project Manager if there are any discrepancies or </w:t>
            </w:r>
            <w:proofErr w:type="gramStart"/>
            <w:r w:rsidRPr="006F5E1D">
              <w:rPr>
                <w:sz w:val="18"/>
                <w:szCs w:val="18"/>
                <w:lang w:val="en-US"/>
              </w:rPr>
              <w:t>issues;</w:t>
            </w:r>
            <w:proofErr w:type="gramEnd"/>
          </w:p>
          <w:p w14:paraId="6B490085" w14:textId="77777777" w:rsidR="3F7D15F2" w:rsidRPr="006F5E1D" w:rsidRDefault="305160F4" w:rsidP="001360BB">
            <w:pPr>
              <w:pStyle w:val="Paragraphedeliste"/>
              <w:numPr>
                <w:ilvl w:val="0"/>
                <w:numId w:val="290"/>
              </w:numPr>
              <w:spacing w:after="0"/>
              <w:rPr>
                <w:sz w:val="18"/>
                <w:szCs w:val="18"/>
                <w:lang w:val="en-US"/>
              </w:rPr>
            </w:pPr>
            <w:r w:rsidRPr="006F5E1D">
              <w:rPr>
                <w:sz w:val="18"/>
                <w:szCs w:val="18"/>
                <w:lang w:val="en-US"/>
              </w:rPr>
              <w:t xml:space="preserve">Consolidate financial progress reports submitted by the responsible parties for implementation of project </w:t>
            </w:r>
            <w:proofErr w:type="gramStart"/>
            <w:r w:rsidRPr="006F5E1D">
              <w:rPr>
                <w:sz w:val="18"/>
                <w:szCs w:val="18"/>
                <w:lang w:val="en-US"/>
              </w:rPr>
              <w:t>activities;</w:t>
            </w:r>
            <w:proofErr w:type="gramEnd"/>
          </w:p>
          <w:p w14:paraId="00001463" w14:textId="2196D0D4" w:rsidR="004F7DB3" w:rsidRPr="006F5E1D" w:rsidRDefault="305160F4" w:rsidP="006F5E1D">
            <w:pPr>
              <w:spacing w:after="0"/>
              <w:rPr>
                <w:sz w:val="18"/>
                <w:szCs w:val="18"/>
                <w:lang w:val="en-US"/>
              </w:rPr>
            </w:pPr>
            <w:r w:rsidRPr="006F5E1D">
              <w:rPr>
                <w:sz w:val="18"/>
                <w:szCs w:val="18"/>
                <w:lang w:val="en-US"/>
              </w:rPr>
              <w:t>Liaise and follow up with the responsible parties for implementation of project activities in matters related to project funds and financial progress reports.</w:t>
            </w:r>
          </w:p>
        </w:tc>
      </w:tr>
      <w:tr w:rsidR="004F7DB3" w:rsidRPr="00A00D87" w14:paraId="5907CB64" w14:textId="77777777" w:rsidTr="40E7FE84">
        <w:trPr>
          <w:trHeight w:val="300"/>
          <w:jc w:val="center"/>
        </w:trPr>
        <w:tc>
          <w:tcPr>
            <w:tcW w:w="1402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cPr>
          <w:p w14:paraId="00001476" w14:textId="77777777" w:rsidR="004F7DB3" w:rsidRPr="006F5E1D" w:rsidRDefault="4A5A56E3" w:rsidP="006F5E1D">
            <w:pPr>
              <w:spacing w:after="0"/>
              <w:rPr>
                <w:sz w:val="18"/>
                <w:szCs w:val="18"/>
              </w:rPr>
            </w:pPr>
            <w:r w:rsidRPr="006F5E1D">
              <w:rPr>
                <w:sz w:val="18"/>
                <w:szCs w:val="18"/>
              </w:rPr>
              <w:t xml:space="preserve">For </w:t>
            </w:r>
            <w:proofErr w:type="spellStart"/>
            <w:r w:rsidRPr="006F5E1D">
              <w:rPr>
                <w:sz w:val="18"/>
                <w:szCs w:val="18"/>
              </w:rPr>
              <w:t>Technical</w:t>
            </w:r>
            <w:proofErr w:type="spellEnd"/>
            <w:r w:rsidRPr="006F5E1D">
              <w:rPr>
                <w:sz w:val="18"/>
                <w:szCs w:val="18"/>
              </w:rPr>
              <w:t xml:space="preserve"> Assistance</w:t>
            </w:r>
          </w:p>
        </w:tc>
      </w:tr>
      <w:tr w:rsidR="004F7DB3" w:rsidRPr="00A00D87" w14:paraId="345E73DF" w14:textId="77777777" w:rsidTr="40E7FE84">
        <w:trPr>
          <w:trHeight w:val="300"/>
          <w:jc w:val="center"/>
        </w:trPr>
        <w:tc>
          <w:tcPr>
            <w:tcW w:w="1402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cPr>
          <w:p w14:paraId="0000147C" w14:textId="77777777" w:rsidR="004F7DB3" w:rsidRPr="006F5E1D" w:rsidRDefault="4A5A56E3" w:rsidP="006F5E1D">
            <w:pPr>
              <w:spacing w:after="0"/>
              <w:rPr>
                <w:sz w:val="18"/>
                <w:szCs w:val="18"/>
              </w:rPr>
            </w:pPr>
            <w:r w:rsidRPr="006F5E1D">
              <w:rPr>
                <w:sz w:val="18"/>
                <w:szCs w:val="18"/>
              </w:rPr>
              <w:t xml:space="preserve">Local / National </w:t>
            </w:r>
            <w:proofErr w:type="spellStart"/>
            <w:r w:rsidRPr="006F5E1D">
              <w:rPr>
                <w:sz w:val="18"/>
                <w:szCs w:val="18"/>
              </w:rPr>
              <w:t>contracting</w:t>
            </w:r>
            <w:proofErr w:type="spellEnd"/>
          </w:p>
        </w:tc>
      </w:tr>
      <w:tr w:rsidR="00DC4F44" w:rsidRPr="00F50786" w14:paraId="13E3C7F4" w14:textId="77777777" w:rsidTr="40E7FE84">
        <w:trPr>
          <w:trHeight w:val="300"/>
          <w:jc w:val="center"/>
        </w:trPr>
        <w:tc>
          <w:tcPr>
            <w:tcW w:w="1402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5C9EB" w:themeFill="text2" w:themeFillTint="40"/>
          </w:tcPr>
          <w:p w14:paraId="171175E0" w14:textId="6396B6B5" w:rsidR="00DC4F44" w:rsidRPr="006F5E1D" w:rsidRDefault="16D68770" w:rsidP="006F5E1D">
            <w:pPr>
              <w:spacing w:after="0"/>
              <w:rPr>
                <w:sz w:val="18"/>
                <w:szCs w:val="18"/>
                <w:lang w:val="en-US"/>
              </w:rPr>
            </w:pPr>
            <w:r w:rsidRPr="006F5E1D">
              <w:rPr>
                <w:sz w:val="18"/>
                <w:szCs w:val="18"/>
                <w:lang w:val="en-US"/>
              </w:rPr>
              <w:t>Outcome 2</w:t>
            </w:r>
            <w:r w:rsidR="2145C7D4" w:rsidRPr="006F5E1D">
              <w:rPr>
                <w:sz w:val="18"/>
                <w:szCs w:val="18"/>
                <w:lang w:val="en-US"/>
              </w:rPr>
              <w:t>.1</w:t>
            </w:r>
            <w:r w:rsidRPr="006F5E1D">
              <w:rPr>
                <w:sz w:val="18"/>
                <w:szCs w:val="18"/>
                <w:lang w:val="en-US"/>
              </w:rPr>
              <w:t xml:space="preserve">: </w:t>
            </w:r>
            <w:r w:rsidR="79D1A4A3" w:rsidRPr="006F5E1D">
              <w:rPr>
                <w:sz w:val="18"/>
                <w:szCs w:val="18"/>
                <w:lang w:val="en-US"/>
              </w:rPr>
              <w:t>Decarbonizing the transport sector</w:t>
            </w:r>
          </w:p>
        </w:tc>
      </w:tr>
      <w:tr w:rsidR="0063100D" w:rsidRPr="00F50786" w14:paraId="5C497827" w14:textId="77777777" w:rsidTr="00857B81">
        <w:trPr>
          <w:trHeight w:val="300"/>
          <w:jc w:val="center"/>
        </w:trPr>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741150" w14:textId="77777777" w:rsidR="0063100D" w:rsidRPr="006F5E1D" w:rsidRDefault="78BC0D85" w:rsidP="006F5E1D">
            <w:pPr>
              <w:spacing w:after="0"/>
              <w:rPr>
                <w:sz w:val="18"/>
                <w:szCs w:val="18"/>
                <w:lang w:val="en-US"/>
              </w:rPr>
            </w:pPr>
            <w:r w:rsidRPr="006F5E1D">
              <w:rPr>
                <w:sz w:val="18"/>
                <w:szCs w:val="18"/>
                <w:lang w:val="en-US"/>
              </w:rPr>
              <w:t xml:space="preserve">International consultant in sustainable transport and </w:t>
            </w:r>
            <w:proofErr w:type="spellStart"/>
            <w:r w:rsidRPr="006F5E1D">
              <w:rPr>
                <w:sz w:val="18"/>
                <w:szCs w:val="18"/>
                <w:lang w:val="en-US"/>
              </w:rPr>
              <w:t>e_mobility</w:t>
            </w:r>
            <w:proofErr w:type="spellEnd"/>
          </w:p>
          <w:p w14:paraId="01DB7A46" w14:textId="35A8CCC7" w:rsidR="0038615A" w:rsidRPr="006F5E1D" w:rsidRDefault="3FA9FAAA" w:rsidP="006F5E1D">
            <w:pPr>
              <w:spacing w:after="0"/>
              <w:rPr>
                <w:sz w:val="18"/>
                <w:szCs w:val="18"/>
                <w:lang w:val="en-US"/>
              </w:rPr>
            </w:pPr>
            <w:r w:rsidRPr="006F5E1D">
              <w:rPr>
                <w:sz w:val="18"/>
                <w:szCs w:val="18"/>
                <w:lang w:val="en-US"/>
              </w:rPr>
              <w:t>80</w:t>
            </w:r>
            <w:r w:rsidR="01E29E86" w:rsidRPr="006F5E1D">
              <w:rPr>
                <w:sz w:val="18"/>
                <w:szCs w:val="18"/>
                <w:lang w:val="en-US"/>
              </w:rPr>
              <w:t xml:space="preserve"> </w:t>
            </w:r>
            <w:r w:rsidR="13117CE0" w:rsidRPr="006F5E1D">
              <w:rPr>
                <w:sz w:val="18"/>
                <w:szCs w:val="18"/>
                <w:lang w:val="en-US"/>
              </w:rPr>
              <w:t xml:space="preserve">h/j </w:t>
            </w:r>
            <w:r w:rsidR="01E29E86" w:rsidRPr="006F5E1D">
              <w:rPr>
                <w:sz w:val="18"/>
                <w:szCs w:val="18"/>
                <w:lang w:val="en-US"/>
              </w:rPr>
              <w:t>* 6</w:t>
            </w:r>
            <w:r w:rsidR="13117CE0" w:rsidRPr="006F5E1D">
              <w:rPr>
                <w:sz w:val="18"/>
                <w:szCs w:val="18"/>
                <w:lang w:val="en-US"/>
              </w:rPr>
              <w:t>00$</w:t>
            </w:r>
          </w:p>
          <w:p w14:paraId="4BF39E09" w14:textId="77777777" w:rsidR="0063100D" w:rsidRPr="006F5E1D" w:rsidRDefault="78BC0D85" w:rsidP="006F5E1D">
            <w:pPr>
              <w:spacing w:after="0"/>
              <w:rPr>
                <w:sz w:val="18"/>
                <w:szCs w:val="18"/>
                <w:lang w:val="en-US"/>
              </w:rPr>
            </w:pPr>
            <w:proofErr w:type="spellStart"/>
            <w:r w:rsidRPr="006F5E1D">
              <w:rPr>
                <w:sz w:val="18"/>
                <w:szCs w:val="18"/>
                <w:lang w:val="en-US"/>
              </w:rPr>
              <w:t>Contrat</w:t>
            </w:r>
            <w:proofErr w:type="spellEnd"/>
            <w:r w:rsidRPr="006F5E1D">
              <w:rPr>
                <w:sz w:val="18"/>
                <w:szCs w:val="18"/>
                <w:lang w:val="en-US"/>
              </w:rPr>
              <w:t xml:space="preserve"> type: IC</w:t>
            </w:r>
          </w:p>
          <w:p w14:paraId="3C68458F" w14:textId="15A40D51" w:rsidR="002151C7" w:rsidRPr="006F5E1D" w:rsidRDefault="7E0D28C1" w:rsidP="006F5E1D">
            <w:pPr>
              <w:spacing w:after="0"/>
              <w:rPr>
                <w:sz w:val="18"/>
                <w:szCs w:val="18"/>
                <w:lang w:val="en-US"/>
              </w:rPr>
            </w:pPr>
            <w:r w:rsidRPr="006F5E1D">
              <w:rPr>
                <w:sz w:val="18"/>
                <w:szCs w:val="18"/>
                <w:lang w:val="en-US"/>
              </w:rPr>
              <w:t xml:space="preserve">See budget </w:t>
            </w:r>
            <w:proofErr w:type="gramStart"/>
            <w:r w:rsidRPr="006F5E1D">
              <w:rPr>
                <w:sz w:val="18"/>
                <w:szCs w:val="18"/>
                <w:lang w:val="en-US"/>
              </w:rPr>
              <w:t>note :</w:t>
            </w:r>
            <w:proofErr w:type="gramEnd"/>
            <w:r w:rsidRPr="006F5E1D">
              <w:rPr>
                <w:sz w:val="18"/>
                <w:szCs w:val="18"/>
                <w:lang w:val="en-US"/>
              </w:rPr>
              <w:t xml:space="preserve"> </w:t>
            </w:r>
            <w:r w:rsidR="386027FB" w:rsidRPr="006F5E1D">
              <w:rPr>
                <w:sz w:val="18"/>
                <w:szCs w:val="18"/>
                <w:lang w:val="en-US"/>
              </w:rPr>
              <w:t>18</w:t>
            </w: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414682" w14:textId="1BF5430E" w:rsidR="0063100D" w:rsidRPr="006F5E1D" w:rsidRDefault="3FA9FAAA" w:rsidP="006F5E1D">
            <w:pPr>
              <w:spacing w:after="0"/>
              <w:rPr>
                <w:sz w:val="18"/>
                <w:szCs w:val="18"/>
                <w:lang w:val="en-US"/>
              </w:rPr>
            </w:pPr>
            <w:r w:rsidRPr="006F5E1D">
              <w:rPr>
                <w:sz w:val="18"/>
                <w:szCs w:val="18"/>
                <w:lang w:val="en-US"/>
              </w:rPr>
              <w:t>48</w:t>
            </w:r>
            <w:r w:rsidR="13117CE0" w:rsidRPr="006F5E1D">
              <w:rPr>
                <w:sz w:val="18"/>
                <w:szCs w:val="18"/>
                <w:lang w:val="en-US"/>
              </w:rPr>
              <w:t>k$</w:t>
            </w:r>
          </w:p>
        </w:tc>
        <w:tc>
          <w:tcPr>
            <w:tcW w:w="10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5C477A" w14:textId="413AE2D8" w:rsidR="00842371" w:rsidRPr="006F5E1D" w:rsidRDefault="00BB3B44" w:rsidP="006F5E1D">
            <w:pPr>
              <w:spacing w:after="0"/>
              <w:rPr>
                <w:sz w:val="18"/>
                <w:szCs w:val="18"/>
                <w:lang w:val="en-US"/>
              </w:rPr>
            </w:pPr>
            <w:r w:rsidRPr="009E2F85">
              <w:rPr>
                <w:b/>
                <w:bCs/>
                <w:sz w:val="18"/>
                <w:szCs w:val="18"/>
                <w:lang w:val="en-US"/>
              </w:rPr>
              <w:t xml:space="preserve">Under the supervision of GDT and in collaboration with Project </w:t>
            </w:r>
            <w:proofErr w:type="gramStart"/>
            <w:r w:rsidRPr="009E2F85">
              <w:rPr>
                <w:b/>
                <w:bCs/>
                <w:sz w:val="18"/>
                <w:szCs w:val="18"/>
                <w:lang w:val="en-US"/>
              </w:rPr>
              <w:t>Manager</w:t>
            </w:r>
            <w:r w:rsidRPr="537FA187">
              <w:rPr>
                <w:sz w:val="18"/>
                <w:szCs w:val="18"/>
                <w:lang w:val="en-US"/>
              </w:rPr>
              <w:t xml:space="preserve">  </w:t>
            </w:r>
            <w:r>
              <w:rPr>
                <w:sz w:val="18"/>
                <w:szCs w:val="18"/>
                <w:lang w:val="en-US"/>
              </w:rPr>
              <w:t>,</w:t>
            </w:r>
            <w:proofErr w:type="gramEnd"/>
            <w:r>
              <w:rPr>
                <w:sz w:val="18"/>
                <w:szCs w:val="18"/>
                <w:lang w:val="en-US"/>
              </w:rPr>
              <w:t xml:space="preserve"> </w:t>
            </w:r>
            <w:r w:rsidR="6275B840" w:rsidRPr="537FA187">
              <w:rPr>
                <w:sz w:val="18"/>
                <w:szCs w:val="18"/>
                <w:lang w:val="en-US"/>
              </w:rPr>
              <w:t xml:space="preserve">the </w:t>
            </w:r>
            <w:r w:rsidR="1F5C5D0C" w:rsidRPr="537FA187">
              <w:rPr>
                <w:sz w:val="18"/>
                <w:szCs w:val="18"/>
                <w:lang w:val="en-US"/>
              </w:rPr>
              <w:t xml:space="preserve">ad hoc Senior Sustainable Transport and E-Mobility International Expert </w:t>
            </w:r>
            <w:r w:rsidR="19A61C11" w:rsidRPr="537FA187">
              <w:rPr>
                <w:sz w:val="18"/>
                <w:szCs w:val="18"/>
                <w:lang w:val="en-US"/>
              </w:rPr>
              <w:t xml:space="preserve">will </w:t>
            </w:r>
            <w:r w:rsidR="1F5C5D0C" w:rsidRPr="537FA187">
              <w:rPr>
                <w:sz w:val="18"/>
                <w:szCs w:val="18"/>
                <w:lang w:val="en-US"/>
              </w:rPr>
              <w:t>provide high-level technical assistance to the Directorate General of Transport (</w:t>
            </w:r>
            <w:r w:rsidR="58315770" w:rsidRPr="537FA187">
              <w:rPr>
                <w:sz w:val="18"/>
                <w:szCs w:val="18"/>
                <w:lang w:val="en-US"/>
              </w:rPr>
              <w:t>GDT</w:t>
            </w:r>
            <w:r w:rsidR="1F5C5D0C" w:rsidRPr="537FA187">
              <w:rPr>
                <w:sz w:val="18"/>
                <w:szCs w:val="18"/>
                <w:lang w:val="en-US"/>
              </w:rPr>
              <w:t>) in several strategic areas.</w:t>
            </w:r>
          </w:p>
          <w:p w14:paraId="2A6D0250" w14:textId="77777777" w:rsidR="000A6068" w:rsidRPr="006F5E1D" w:rsidRDefault="5937D185" w:rsidP="006F5E1D">
            <w:pPr>
              <w:spacing w:after="0"/>
              <w:rPr>
                <w:sz w:val="18"/>
                <w:szCs w:val="18"/>
                <w:lang w:val="en-US"/>
              </w:rPr>
            </w:pPr>
            <w:r w:rsidRPr="006F5E1D">
              <w:rPr>
                <w:sz w:val="18"/>
                <w:szCs w:val="18"/>
                <w:lang w:val="en-US"/>
              </w:rPr>
              <w:t>1. Strategic Advisory and Policy Support</w:t>
            </w:r>
          </w:p>
          <w:p w14:paraId="32FE7ED8" w14:textId="34E75FBC" w:rsidR="000A6068" w:rsidRPr="006F5E1D" w:rsidRDefault="5937D185" w:rsidP="006F5E1D">
            <w:pPr>
              <w:spacing w:after="0"/>
              <w:rPr>
                <w:sz w:val="18"/>
                <w:szCs w:val="18"/>
                <w:lang w:val="en-US"/>
              </w:rPr>
            </w:pPr>
            <w:r w:rsidRPr="006F5E1D">
              <w:rPr>
                <w:sz w:val="18"/>
                <w:szCs w:val="18"/>
                <w:lang w:val="en-US"/>
              </w:rPr>
              <w:t>Review and provide technical inputs on national transport policies, strateg</w:t>
            </w:r>
            <w:r w:rsidR="7D674413" w:rsidRPr="006F5E1D">
              <w:rPr>
                <w:sz w:val="18"/>
                <w:szCs w:val="18"/>
                <w:lang w:val="en-US"/>
              </w:rPr>
              <w:t>y</w:t>
            </w:r>
            <w:r w:rsidRPr="006F5E1D">
              <w:rPr>
                <w:sz w:val="18"/>
                <w:szCs w:val="18"/>
                <w:lang w:val="en-US"/>
              </w:rPr>
              <w:t>, and regulatory frameworks to integrate sustainable mobility and e-mobility dimensions.</w:t>
            </w:r>
          </w:p>
          <w:p w14:paraId="71CE3430" w14:textId="76568633" w:rsidR="00094BCD" w:rsidRPr="006F5E1D" w:rsidRDefault="5937D185" w:rsidP="006F5E1D">
            <w:pPr>
              <w:spacing w:after="0"/>
              <w:rPr>
                <w:sz w:val="18"/>
                <w:szCs w:val="18"/>
                <w:lang w:val="en-US"/>
              </w:rPr>
            </w:pPr>
            <w:r w:rsidRPr="006F5E1D">
              <w:rPr>
                <w:sz w:val="18"/>
                <w:szCs w:val="18"/>
                <w:lang w:val="en-US"/>
              </w:rPr>
              <w:t xml:space="preserve">Support the </w:t>
            </w:r>
            <w:r w:rsidR="0A583DAF" w:rsidRPr="006F5E1D">
              <w:rPr>
                <w:sz w:val="18"/>
                <w:szCs w:val="18"/>
                <w:lang w:val="en-US"/>
              </w:rPr>
              <w:t>operationalization</w:t>
            </w:r>
            <w:r w:rsidRPr="006F5E1D">
              <w:rPr>
                <w:sz w:val="18"/>
                <w:szCs w:val="18"/>
                <w:lang w:val="en-US"/>
              </w:rPr>
              <w:t xml:space="preserve"> of urban mobility plan</w:t>
            </w:r>
            <w:r w:rsidR="33BDF288" w:rsidRPr="006F5E1D">
              <w:rPr>
                <w:sz w:val="18"/>
                <w:szCs w:val="18"/>
                <w:lang w:val="en-US"/>
              </w:rPr>
              <w:t xml:space="preserve"> in Bamako</w:t>
            </w:r>
            <w:r w:rsidRPr="006F5E1D">
              <w:rPr>
                <w:sz w:val="18"/>
                <w:szCs w:val="18"/>
                <w:lang w:val="en-US"/>
              </w:rPr>
              <w:t xml:space="preserve"> with sustainability, accessibility, and resilience principles</w:t>
            </w:r>
            <w:r w:rsidR="508264A7" w:rsidRPr="006F5E1D">
              <w:rPr>
                <w:sz w:val="18"/>
                <w:szCs w:val="18"/>
                <w:lang w:val="en-US"/>
              </w:rPr>
              <w:t xml:space="preserve"> </w:t>
            </w:r>
            <w:r w:rsidR="2F4CB138" w:rsidRPr="006F5E1D">
              <w:rPr>
                <w:sz w:val="18"/>
                <w:szCs w:val="18"/>
                <w:lang w:val="en-US"/>
              </w:rPr>
              <w:t xml:space="preserve">through </w:t>
            </w:r>
            <w:r w:rsidR="508264A7" w:rsidRPr="006F5E1D">
              <w:rPr>
                <w:sz w:val="18"/>
                <w:szCs w:val="18"/>
                <w:lang w:val="en-US"/>
              </w:rPr>
              <w:t xml:space="preserve">the development of an e-mobility roadmap for Bamako </w:t>
            </w:r>
          </w:p>
          <w:p w14:paraId="5DE8073E" w14:textId="0673E0A2" w:rsidR="000A6068" w:rsidRPr="006F5E1D" w:rsidRDefault="6008AE61" w:rsidP="006F5E1D">
            <w:pPr>
              <w:spacing w:after="0"/>
              <w:rPr>
                <w:sz w:val="18"/>
                <w:szCs w:val="18"/>
                <w:lang w:val="en-US"/>
              </w:rPr>
            </w:pPr>
            <w:r w:rsidRPr="537FA187">
              <w:rPr>
                <w:sz w:val="18"/>
                <w:szCs w:val="18"/>
                <w:lang w:val="en-US"/>
              </w:rPr>
              <w:t xml:space="preserve">Assist the </w:t>
            </w:r>
            <w:r w:rsidR="58315770" w:rsidRPr="537FA187">
              <w:rPr>
                <w:sz w:val="18"/>
                <w:szCs w:val="18"/>
                <w:lang w:val="en-US"/>
              </w:rPr>
              <w:t>GDT</w:t>
            </w:r>
            <w:r w:rsidRPr="537FA187">
              <w:rPr>
                <w:sz w:val="18"/>
                <w:szCs w:val="18"/>
                <w:lang w:val="en-US"/>
              </w:rPr>
              <w:t xml:space="preserve"> in aligning transport policies with NDCs, the National Strategy for Low-Carbon Development, and the Bamako Energy and Climate Plan (PAAEDC-BKO).</w:t>
            </w:r>
          </w:p>
          <w:p w14:paraId="296ACC5D" w14:textId="77777777" w:rsidR="000A6068" w:rsidRPr="006F5E1D" w:rsidRDefault="5937D185" w:rsidP="006F5E1D">
            <w:pPr>
              <w:spacing w:after="0"/>
              <w:rPr>
                <w:sz w:val="18"/>
                <w:szCs w:val="18"/>
                <w:lang w:val="en-US"/>
              </w:rPr>
            </w:pPr>
            <w:r w:rsidRPr="006F5E1D">
              <w:rPr>
                <w:sz w:val="18"/>
                <w:szCs w:val="18"/>
                <w:lang w:val="en-US"/>
              </w:rPr>
              <w:t>2. Institutional Strengthening and Capacity Building</w:t>
            </w:r>
          </w:p>
          <w:p w14:paraId="012EC269" w14:textId="77777777" w:rsidR="000A6068" w:rsidRPr="006F5E1D" w:rsidRDefault="5937D185" w:rsidP="006F5E1D">
            <w:pPr>
              <w:spacing w:after="0"/>
              <w:rPr>
                <w:sz w:val="18"/>
                <w:szCs w:val="18"/>
                <w:lang w:val="en-US"/>
              </w:rPr>
            </w:pPr>
            <w:r w:rsidRPr="006F5E1D">
              <w:rPr>
                <w:sz w:val="18"/>
                <w:szCs w:val="18"/>
                <w:lang w:val="en-US"/>
              </w:rPr>
              <w:t>Assess institutional gaps in the governance of sustainable transport and propose improvements (e.g., roles, mandates, coordination).</w:t>
            </w:r>
          </w:p>
          <w:p w14:paraId="79E4F994" w14:textId="267D50E3" w:rsidR="000A6068" w:rsidRPr="006F5E1D" w:rsidRDefault="6008AE61" w:rsidP="006F5E1D">
            <w:pPr>
              <w:spacing w:after="0"/>
              <w:rPr>
                <w:sz w:val="18"/>
                <w:szCs w:val="18"/>
                <w:lang w:val="en-US"/>
              </w:rPr>
            </w:pPr>
            <w:r w:rsidRPr="537FA187">
              <w:rPr>
                <w:sz w:val="18"/>
                <w:szCs w:val="18"/>
                <w:lang w:val="en-US"/>
              </w:rPr>
              <w:lastRenderedPageBreak/>
              <w:t>Design and facilitate capacity-building workshop</w:t>
            </w:r>
            <w:r w:rsidR="5751DC52" w:rsidRPr="537FA187">
              <w:rPr>
                <w:sz w:val="18"/>
                <w:szCs w:val="18"/>
                <w:lang w:val="en-US"/>
              </w:rPr>
              <w:t>s</w:t>
            </w:r>
            <w:r w:rsidRPr="537FA187">
              <w:rPr>
                <w:sz w:val="18"/>
                <w:szCs w:val="18"/>
                <w:lang w:val="en-US"/>
              </w:rPr>
              <w:t xml:space="preserve"> or training sessions for </w:t>
            </w:r>
            <w:r w:rsidR="58315770" w:rsidRPr="537FA187">
              <w:rPr>
                <w:sz w:val="18"/>
                <w:szCs w:val="18"/>
                <w:lang w:val="en-US"/>
              </w:rPr>
              <w:t>GDT</w:t>
            </w:r>
            <w:r w:rsidRPr="537FA187">
              <w:rPr>
                <w:sz w:val="18"/>
                <w:szCs w:val="18"/>
                <w:lang w:val="en-US"/>
              </w:rPr>
              <w:t xml:space="preserve"> staff and other stakeholders (on e-mobility, integrated mobility planning, green infrastructure, etc.).</w:t>
            </w:r>
          </w:p>
          <w:p w14:paraId="16BF914B" w14:textId="3094EA7C" w:rsidR="00205BAD" w:rsidRPr="006F5E1D" w:rsidRDefault="6008AE61" w:rsidP="006F5E1D">
            <w:pPr>
              <w:spacing w:after="0"/>
              <w:rPr>
                <w:sz w:val="18"/>
                <w:szCs w:val="18"/>
                <w:lang w:val="en-US"/>
              </w:rPr>
            </w:pPr>
            <w:r w:rsidRPr="537FA187">
              <w:rPr>
                <w:sz w:val="18"/>
                <w:szCs w:val="18"/>
                <w:lang w:val="en-US"/>
              </w:rPr>
              <w:t xml:space="preserve">Support the </w:t>
            </w:r>
            <w:r w:rsidR="58315770" w:rsidRPr="537FA187">
              <w:rPr>
                <w:sz w:val="18"/>
                <w:szCs w:val="18"/>
                <w:lang w:val="en-US"/>
              </w:rPr>
              <w:t>GDT</w:t>
            </w:r>
            <w:r w:rsidRPr="537FA187">
              <w:rPr>
                <w:sz w:val="18"/>
                <w:szCs w:val="18"/>
                <w:lang w:val="en-US"/>
              </w:rPr>
              <w:t xml:space="preserve"> in establishing a mobility monitoring system (in coordination with </w:t>
            </w:r>
            <w:r w:rsidR="6166D3FA" w:rsidRPr="537FA187">
              <w:rPr>
                <w:sz w:val="18"/>
                <w:szCs w:val="18"/>
                <w:lang w:val="en-US"/>
              </w:rPr>
              <w:t>activity 2.1.</w:t>
            </w:r>
            <w:r w:rsidR="1C487E08" w:rsidRPr="537FA187">
              <w:rPr>
                <w:sz w:val="18"/>
                <w:szCs w:val="18"/>
                <w:lang w:val="en-US"/>
              </w:rPr>
              <w:t>3.6</w:t>
            </w:r>
            <w:r w:rsidRPr="537FA187">
              <w:rPr>
                <w:sz w:val="18"/>
                <w:szCs w:val="18"/>
                <w:lang w:val="en-US"/>
              </w:rPr>
              <w:t>)</w:t>
            </w:r>
          </w:p>
          <w:p w14:paraId="692B321C" w14:textId="588B1DDA" w:rsidR="000A6068" w:rsidRPr="006F5E1D" w:rsidRDefault="5937D185" w:rsidP="006F5E1D">
            <w:pPr>
              <w:spacing w:after="0"/>
              <w:rPr>
                <w:sz w:val="18"/>
                <w:szCs w:val="18"/>
                <w:lang w:val="en-US"/>
              </w:rPr>
            </w:pPr>
            <w:r w:rsidRPr="006F5E1D">
              <w:rPr>
                <w:sz w:val="18"/>
                <w:szCs w:val="18"/>
                <w:lang w:val="en-US"/>
              </w:rPr>
              <w:t>Facilitate dialogue with private sector actors and utilities on e-mobility models.</w:t>
            </w:r>
          </w:p>
          <w:p w14:paraId="392E4B5E" w14:textId="54C35774" w:rsidR="000A6068" w:rsidRPr="006F5E1D" w:rsidRDefault="5937D185" w:rsidP="006F5E1D">
            <w:pPr>
              <w:spacing w:after="0"/>
              <w:rPr>
                <w:sz w:val="18"/>
                <w:szCs w:val="18"/>
                <w:lang w:val="en-US"/>
              </w:rPr>
            </w:pPr>
            <w:r w:rsidRPr="006F5E1D">
              <w:rPr>
                <w:sz w:val="18"/>
                <w:szCs w:val="18"/>
                <w:lang w:val="en-US"/>
              </w:rPr>
              <w:t>5. Technical Review</w:t>
            </w:r>
          </w:p>
          <w:p w14:paraId="400E1DE7" w14:textId="77777777" w:rsidR="000A6068" w:rsidRPr="006F5E1D" w:rsidRDefault="5937D185" w:rsidP="006F5E1D">
            <w:pPr>
              <w:spacing w:after="0"/>
              <w:rPr>
                <w:sz w:val="18"/>
                <w:szCs w:val="18"/>
                <w:lang w:val="en-US"/>
              </w:rPr>
            </w:pPr>
            <w:r w:rsidRPr="006F5E1D">
              <w:rPr>
                <w:sz w:val="18"/>
                <w:szCs w:val="18"/>
                <w:lang w:val="en-US"/>
              </w:rPr>
              <w:t>Provide expert review of technical studies and feasibility assessments related to urban mobility and e-mobility under the IUDP.</w:t>
            </w:r>
          </w:p>
          <w:p w14:paraId="789E0F11" w14:textId="77777777" w:rsidR="000A6068" w:rsidRPr="006F5E1D" w:rsidRDefault="5937D185" w:rsidP="006F5E1D">
            <w:pPr>
              <w:spacing w:after="0"/>
              <w:rPr>
                <w:sz w:val="18"/>
                <w:szCs w:val="18"/>
                <w:lang w:val="en-US"/>
              </w:rPr>
            </w:pPr>
            <w:r w:rsidRPr="006F5E1D">
              <w:rPr>
                <w:sz w:val="18"/>
                <w:szCs w:val="18"/>
                <w:lang w:val="en-US"/>
              </w:rPr>
              <w:t>Identify potential public-private partnerships (PPPs) and financing mechanisms for transport infrastructure and e-mobility projects.</w:t>
            </w:r>
          </w:p>
          <w:p w14:paraId="51B96063" w14:textId="5574C6E6" w:rsidR="000A6068" w:rsidRPr="006F5E1D" w:rsidRDefault="5937D185" w:rsidP="006F5E1D">
            <w:pPr>
              <w:spacing w:after="0"/>
              <w:rPr>
                <w:sz w:val="18"/>
                <w:szCs w:val="18"/>
                <w:lang w:val="en-US"/>
              </w:rPr>
            </w:pPr>
            <w:r w:rsidRPr="006F5E1D">
              <w:rPr>
                <w:sz w:val="18"/>
                <w:szCs w:val="18"/>
                <w:lang w:val="en-US"/>
              </w:rPr>
              <w:t>Contribute to the design of pilot demonstration projects with strong gender and inclusion dimensions</w:t>
            </w:r>
            <w:r w:rsidR="10E6281A" w:rsidRPr="006F5E1D">
              <w:rPr>
                <w:sz w:val="18"/>
                <w:szCs w:val="18"/>
                <w:lang w:val="en-US"/>
              </w:rPr>
              <w:t xml:space="preserve"> (Activity </w:t>
            </w:r>
            <w:r w:rsidR="37F7F1C1" w:rsidRPr="006F5E1D">
              <w:rPr>
                <w:sz w:val="18"/>
                <w:szCs w:val="18"/>
                <w:lang w:val="en-US"/>
              </w:rPr>
              <w:t>2.1.2.3)</w:t>
            </w:r>
            <w:r w:rsidRPr="006F5E1D">
              <w:rPr>
                <w:sz w:val="18"/>
                <w:szCs w:val="18"/>
                <w:lang w:val="en-US"/>
              </w:rPr>
              <w:t>.</w:t>
            </w:r>
          </w:p>
          <w:p w14:paraId="4FB385FD" w14:textId="77777777" w:rsidR="000A6068" w:rsidRPr="006F5E1D" w:rsidRDefault="5937D185" w:rsidP="006F5E1D">
            <w:pPr>
              <w:spacing w:after="0"/>
              <w:rPr>
                <w:sz w:val="18"/>
                <w:szCs w:val="18"/>
                <w:lang w:val="en-US"/>
              </w:rPr>
            </w:pPr>
            <w:r w:rsidRPr="006F5E1D">
              <w:rPr>
                <w:sz w:val="18"/>
                <w:szCs w:val="18"/>
                <w:lang w:val="en-US"/>
              </w:rPr>
              <w:t>6. Stakeholder Engagement and Partnerships</w:t>
            </w:r>
          </w:p>
          <w:p w14:paraId="5DA55BF0" w14:textId="77777777" w:rsidR="000A6068" w:rsidRPr="006F5E1D" w:rsidRDefault="5937D185" w:rsidP="006F5E1D">
            <w:pPr>
              <w:spacing w:after="0"/>
              <w:rPr>
                <w:sz w:val="18"/>
                <w:szCs w:val="18"/>
                <w:lang w:val="en-US"/>
              </w:rPr>
            </w:pPr>
            <w:r w:rsidRPr="006F5E1D">
              <w:rPr>
                <w:sz w:val="18"/>
                <w:szCs w:val="18"/>
                <w:lang w:val="en-US"/>
              </w:rPr>
              <w:t>Advise on the setup of urban mobility platforms or roundtables to enhance coordination and inclusive decision-making.</w:t>
            </w:r>
          </w:p>
          <w:p w14:paraId="3D3A628A" w14:textId="34E196EB" w:rsidR="000A6068" w:rsidRPr="006F5E1D" w:rsidRDefault="5937D185" w:rsidP="006F5E1D">
            <w:pPr>
              <w:spacing w:after="0"/>
              <w:rPr>
                <w:sz w:val="18"/>
                <w:szCs w:val="18"/>
                <w:lang w:val="en-US"/>
              </w:rPr>
            </w:pPr>
            <w:r w:rsidRPr="006F5E1D">
              <w:rPr>
                <w:sz w:val="18"/>
                <w:szCs w:val="18"/>
                <w:lang w:val="en-US"/>
              </w:rPr>
              <w:t>Support the organization of a knowledge exchange visit or regional workshop on sustainable and electric mobility.</w:t>
            </w:r>
          </w:p>
          <w:p w14:paraId="03E321FA" w14:textId="77777777" w:rsidR="000A6068" w:rsidRPr="006F5E1D" w:rsidRDefault="5937D185" w:rsidP="006F5E1D">
            <w:pPr>
              <w:spacing w:after="0"/>
              <w:rPr>
                <w:sz w:val="18"/>
                <w:szCs w:val="18"/>
                <w:lang w:val="en-US"/>
              </w:rPr>
            </w:pPr>
            <w:r w:rsidRPr="006F5E1D">
              <w:rPr>
                <w:sz w:val="18"/>
                <w:szCs w:val="18"/>
                <w:lang w:val="en-US"/>
              </w:rPr>
              <w:t>7. Reporting and Knowledge Products</w:t>
            </w:r>
          </w:p>
          <w:p w14:paraId="3B9B1F21" w14:textId="77777777" w:rsidR="000A6068" w:rsidRPr="006F5E1D" w:rsidRDefault="5937D185" w:rsidP="006F5E1D">
            <w:pPr>
              <w:spacing w:after="0"/>
              <w:rPr>
                <w:sz w:val="18"/>
                <w:szCs w:val="18"/>
                <w:lang w:val="en-US"/>
              </w:rPr>
            </w:pPr>
            <w:r w:rsidRPr="006F5E1D">
              <w:rPr>
                <w:sz w:val="18"/>
                <w:szCs w:val="18"/>
                <w:lang w:val="en-US"/>
              </w:rPr>
              <w:t>Prepare technical reports, policy briefs, and guidance notes on sustainable transport and e-mobility.</w:t>
            </w:r>
          </w:p>
          <w:p w14:paraId="6E3AAE9C" w14:textId="62CBDF3C" w:rsidR="000A6068" w:rsidRPr="006F5E1D" w:rsidRDefault="5937D185" w:rsidP="006F5E1D">
            <w:pPr>
              <w:spacing w:after="0"/>
              <w:rPr>
                <w:sz w:val="18"/>
                <w:szCs w:val="18"/>
                <w:lang w:val="en-US"/>
              </w:rPr>
            </w:pPr>
            <w:r w:rsidRPr="006F5E1D">
              <w:rPr>
                <w:sz w:val="18"/>
                <w:szCs w:val="18"/>
                <w:lang w:val="en-US"/>
              </w:rPr>
              <w:t xml:space="preserve">Contribute to the documentation and capitalization of lessons learned for replication in other Malian cities </w:t>
            </w:r>
          </w:p>
        </w:tc>
      </w:tr>
      <w:tr w:rsidR="00757560" w:rsidRPr="00F50786" w14:paraId="78B7B0CC" w14:textId="77777777" w:rsidTr="00857B81">
        <w:trPr>
          <w:trHeight w:val="300"/>
          <w:jc w:val="center"/>
        </w:trPr>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897971" w14:textId="05416AF1" w:rsidR="00760B96" w:rsidRPr="006F5E1D" w:rsidRDefault="6656176C" w:rsidP="006F5E1D">
            <w:pPr>
              <w:spacing w:after="0"/>
              <w:rPr>
                <w:sz w:val="18"/>
                <w:szCs w:val="18"/>
                <w:lang w:val="en-US"/>
              </w:rPr>
            </w:pPr>
            <w:r w:rsidRPr="006F5E1D">
              <w:rPr>
                <w:sz w:val="18"/>
                <w:szCs w:val="18"/>
                <w:lang w:val="en-US"/>
              </w:rPr>
              <w:lastRenderedPageBreak/>
              <w:t xml:space="preserve">National </w:t>
            </w:r>
            <w:r w:rsidR="45CD142B" w:rsidRPr="006F5E1D">
              <w:rPr>
                <w:sz w:val="18"/>
                <w:szCs w:val="18"/>
                <w:lang w:val="en-US"/>
              </w:rPr>
              <w:t xml:space="preserve">consultant in sustainable transport and </w:t>
            </w:r>
            <w:proofErr w:type="spellStart"/>
            <w:r w:rsidR="45CD142B" w:rsidRPr="006F5E1D">
              <w:rPr>
                <w:sz w:val="18"/>
                <w:szCs w:val="18"/>
                <w:lang w:val="en-US"/>
              </w:rPr>
              <w:t>e_mobility</w:t>
            </w:r>
            <w:proofErr w:type="spellEnd"/>
          </w:p>
          <w:p w14:paraId="7204D617" w14:textId="4AEAD7EC" w:rsidR="00760B96" w:rsidRPr="006F5E1D" w:rsidRDefault="45CD142B" w:rsidP="006F5E1D">
            <w:pPr>
              <w:spacing w:after="0"/>
              <w:rPr>
                <w:sz w:val="18"/>
                <w:szCs w:val="18"/>
                <w:lang w:val="en-US"/>
              </w:rPr>
            </w:pPr>
            <w:r w:rsidRPr="006F5E1D">
              <w:rPr>
                <w:sz w:val="18"/>
                <w:szCs w:val="18"/>
                <w:lang w:val="en-US"/>
              </w:rPr>
              <w:t xml:space="preserve">80 h/j * </w:t>
            </w:r>
            <w:r w:rsidR="4A5DF8B2" w:rsidRPr="006F5E1D">
              <w:rPr>
                <w:sz w:val="18"/>
                <w:szCs w:val="18"/>
                <w:lang w:val="en-US"/>
              </w:rPr>
              <w:t>3</w:t>
            </w:r>
            <w:r w:rsidRPr="006F5E1D">
              <w:rPr>
                <w:sz w:val="18"/>
                <w:szCs w:val="18"/>
                <w:lang w:val="en-US"/>
              </w:rPr>
              <w:t>00$</w:t>
            </w:r>
          </w:p>
          <w:p w14:paraId="1FB293A7" w14:textId="77777777" w:rsidR="00760B96" w:rsidRPr="006F5E1D" w:rsidRDefault="45CD142B" w:rsidP="006F5E1D">
            <w:pPr>
              <w:spacing w:after="0"/>
              <w:rPr>
                <w:sz w:val="18"/>
                <w:szCs w:val="18"/>
                <w:lang w:val="en-US"/>
              </w:rPr>
            </w:pPr>
            <w:proofErr w:type="spellStart"/>
            <w:r w:rsidRPr="006F5E1D">
              <w:rPr>
                <w:sz w:val="18"/>
                <w:szCs w:val="18"/>
                <w:lang w:val="en-US"/>
              </w:rPr>
              <w:t>Contrat</w:t>
            </w:r>
            <w:proofErr w:type="spellEnd"/>
            <w:r w:rsidRPr="006F5E1D">
              <w:rPr>
                <w:sz w:val="18"/>
                <w:szCs w:val="18"/>
                <w:lang w:val="en-US"/>
              </w:rPr>
              <w:t xml:space="preserve"> type: IC</w:t>
            </w:r>
          </w:p>
          <w:p w14:paraId="05F16C45" w14:textId="6B7AA199" w:rsidR="00757560" w:rsidRPr="006F5E1D" w:rsidRDefault="45CD142B" w:rsidP="006F5E1D">
            <w:pPr>
              <w:spacing w:after="0"/>
              <w:rPr>
                <w:sz w:val="18"/>
                <w:szCs w:val="18"/>
                <w:lang w:val="en-US"/>
              </w:rPr>
            </w:pPr>
            <w:r w:rsidRPr="006F5E1D">
              <w:rPr>
                <w:sz w:val="18"/>
                <w:szCs w:val="18"/>
                <w:lang w:val="en-US"/>
              </w:rPr>
              <w:t xml:space="preserve">See budget </w:t>
            </w:r>
            <w:proofErr w:type="gramStart"/>
            <w:r w:rsidRPr="006F5E1D">
              <w:rPr>
                <w:sz w:val="18"/>
                <w:szCs w:val="18"/>
                <w:lang w:val="en-US"/>
              </w:rPr>
              <w:t>note :</w:t>
            </w:r>
            <w:proofErr w:type="gramEnd"/>
            <w:r w:rsidRPr="006F5E1D">
              <w:rPr>
                <w:sz w:val="18"/>
                <w:szCs w:val="18"/>
                <w:lang w:val="en-US"/>
              </w:rPr>
              <w:t xml:space="preserve"> 1</w:t>
            </w:r>
            <w:r w:rsidR="51DF8C26" w:rsidRPr="006F5E1D">
              <w:rPr>
                <w:sz w:val="18"/>
                <w:szCs w:val="18"/>
                <w:lang w:val="en-US"/>
              </w:rPr>
              <w:t>9</w:t>
            </w: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D338FC" w14:textId="5B2BC322" w:rsidR="00757560" w:rsidRPr="006F5E1D" w:rsidRDefault="1477F3C4" w:rsidP="006F5E1D">
            <w:pPr>
              <w:spacing w:after="0"/>
              <w:rPr>
                <w:sz w:val="18"/>
                <w:szCs w:val="18"/>
                <w:lang w:val="en-US"/>
              </w:rPr>
            </w:pPr>
            <w:r w:rsidRPr="006F5E1D">
              <w:rPr>
                <w:sz w:val="18"/>
                <w:szCs w:val="18"/>
                <w:lang w:val="en-US"/>
              </w:rPr>
              <w:t>24k$</w:t>
            </w:r>
          </w:p>
        </w:tc>
        <w:tc>
          <w:tcPr>
            <w:tcW w:w="10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3EE30D" w14:textId="25454359" w:rsidR="00757560" w:rsidRPr="006F5E1D" w:rsidRDefault="226640AA" w:rsidP="006F5E1D">
            <w:pPr>
              <w:spacing w:after="0"/>
              <w:rPr>
                <w:sz w:val="18"/>
                <w:szCs w:val="18"/>
                <w:lang w:val="en-US"/>
              </w:rPr>
            </w:pPr>
            <w:r w:rsidRPr="004A3EAF">
              <w:rPr>
                <w:b/>
                <w:bCs/>
                <w:sz w:val="18"/>
                <w:szCs w:val="18"/>
                <w:lang w:val="en-US"/>
              </w:rPr>
              <w:t xml:space="preserve">Under </w:t>
            </w:r>
            <w:r w:rsidR="00BB3B44" w:rsidRPr="004A3EAF">
              <w:rPr>
                <w:b/>
                <w:bCs/>
                <w:sz w:val="18"/>
                <w:szCs w:val="18"/>
                <w:lang w:val="en-US"/>
              </w:rPr>
              <w:t>the</w:t>
            </w:r>
            <w:r w:rsidRPr="004A3EAF">
              <w:rPr>
                <w:b/>
                <w:bCs/>
                <w:sz w:val="18"/>
                <w:szCs w:val="18"/>
                <w:lang w:val="en-US"/>
              </w:rPr>
              <w:t xml:space="preserve"> </w:t>
            </w:r>
            <w:r w:rsidR="00BB3B44" w:rsidRPr="004A3EAF">
              <w:rPr>
                <w:b/>
                <w:bCs/>
                <w:sz w:val="18"/>
                <w:szCs w:val="18"/>
                <w:lang w:val="en-US"/>
              </w:rPr>
              <w:t>supervision</w:t>
            </w:r>
            <w:r w:rsidRPr="004A3EAF">
              <w:rPr>
                <w:b/>
                <w:bCs/>
                <w:sz w:val="18"/>
                <w:szCs w:val="18"/>
                <w:lang w:val="en-US"/>
              </w:rPr>
              <w:t xml:space="preserve"> of </w:t>
            </w:r>
            <w:r w:rsidR="58315770" w:rsidRPr="004A3EAF">
              <w:rPr>
                <w:b/>
                <w:bCs/>
                <w:sz w:val="18"/>
                <w:szCs w:val="18"/>
                <w:lang w:val="en-US"/>
              </w:rPr>
              <w:t>GDT</w:t>
            </w:r>
            <w:r w:rsidR="11F6624F" w:rsidRPr="004A3EAF">
              <w:rPr>
                <w:b/>
                <w:bCs/>
                <w:sz w:val="18"/>
                <w:szCs w:val="18"/>
                <w:lang w:val="en-US"/>
              </w:rPr>
              <w:t xml:space="preserve"> </w:t>
            </w:r>
            <w:r w:rsidRPr="004A3EAF">
              <w:rPr>
                <w:b/>
                <w:bCs/>
                <w:sz w:val="18"/>
                <w:szCs w:val="18"/>
                <w:lang w:val="en-US"/>
              </w:rPr>
              <w:t xml:space="preserve">and </w:t>
            </w:r>
            <w:r w:rsidR="00BB3B44" w:rsidRPr="004A3EAF">
              <w:rPr>
                <w:b/>
                <w:bCs/>
                <w:sz w:val="18"/>
                <w:szCs w:val="18"/>
                <w:lang w:val="en-US"/>
              </w:rPr>
              <w:t xml:space="preserve">in collaboration with </w:t>
            </w:r>
            <w:r w:rsidRPr="004A3EAF">
              <w:rPr>
                <w:b/>
                <w:bCs/>
                <w:sz w:val="18"/>
                <w:szCs w:val="18"/>
                <w:lang w:val="en-US"/>
              </w:rPr>
              <w:t xml:space="preserve">Project </w:t>
            </w:r>
            <w:proofErr w:type="gramStart"/>
            <w:r w:rsidRPr="004A3EAF">
              <w:rPr>
                <w:b/>
                <w:bCs/>
                <w:sz w:val="18"/>
                <w:szCs w:val="18"/>
                <w:lang w:val="en-US"/>
              </w:rPr>
              <w:t>Manager</w:t>
            </w:r>
            <w:r w:rsidRPr="537FA187">
              <w:rPr>
                <w:sz w:val="18"/>
                <w:szCs w:val="18"/>
                <w:lang w:val="en-US"/>
              </w:rPr>
              <w:t xml:space="preserve">  t</w:t>
            </w:r>
            <w:r w:rsidR="3FD622ED" w:rsidRPr="537FA187">
              <w:rPr>
                <w:sz w:val="18"/>
                <w:szCs w:val="18"/>
                <w:lang w:val="en-US"/>
              </w:rPr>
              <w:t>his</w:t>
            </w:r>
            <w:proofErr w:type="gramEnd"/>
            <w:r w:rsidR="3FD622ED" w:rsidRPr="537FA187">
              <w:rPr>
                <w:sz w:val="18"/>
                <w:szCs w:val="18"/>
                <w:lang w:val="en-US"/>
              </w:rPr>
              <w:t xml:space="preserve"> consultant would serve as an essential technical liaison, supporting both strategic and operational work at the national and local levels and ensuring effective coordination with national policies and stakeholders.</w:t>
            </w:r>
          </w:p>
          <w:p w14:paraId="31F65490" w14:textId="77777777" w:rsidR="00476E53" w:rsidRPr="006F5E1D" w:rsidRDefault="54E3A3E8" w:rsidP="006F5E1D">
            <w:pPr>
              <w:spacing w:after="0"/>
              <w:rPr>
                <w:sz w:val="18"/>
                <w:szCs w:val="18"/>
                <w:lang w:val="en-US"/>
              </w:rPr>
            </w:pPr>
            <w:r w:rsidRPr="006F5E1D">
              <w:rPr>
                <w:sz w:val="18"/>
                <w:szCs w:val="18"/>
                <w:lang w:val="en-US"/>
              </w:rPr>
              <w:t>1. Technical and Policy Support</w:t>
            </w:r>
          </w:p>
          <w:p w14:paraId="5216F359" w14:textId="77777777" w:rsidR="00476E53" w:rsidRPr="006F5E1D" w:rsidRDefault="54E3A3E8" w:rsidP="006F5E1D">
            <w:pPr>
              <w:spacing w:after="0"/>
              <w:rPr>
                <w:sz w:val="18"/>
                <w:szCs w:val="18"/>
                <w:lang w:val="en-US"/>
              </w:rPr>
            </w:pPr>
            <w:r w:rsidRPr="006F5E1D">
              <w:rPr>
                <w:sz w:val="18"/>
                <w:szCs w:val="18"/>
                <w:lang w:val="en-US"/>
              </w:rPr>
              <w:t>Provide technical input on the integration of sustainable transport principles into national and local urban development policies and strategies.</w:t>
            </w:r>
          </w:p>
          <w:p w14:paraId="0D1F16C0" w14:textId="0D58D8C9" w:rsidR="00476E53" w:rsidRPr="006F5E1D" w:rsidRDefault="3D1EB539" w:rsidP="006F5E1D">
            <w:pPr>
              <w:spacing w:after="0"/>
              <w:rPr>
                <w:sz w:val="18"/>
                <w:szCs w:val="18"/>
                <w:lang w:val="en-US"/>
              </w:rPr>
            </w:pPr>
            <w:r w:rsidRPr="537FA187">
              <w:rPr>
                <w:sz w:val="18"/>
                <w:szCs w:val="18"/>
                <w:lang w:val="en-US"/>
              </w:rPr>
              <w:t xml:space="preserve">Support the </w:t>
            </w:r>
            <w:r w:rsidR="58315770" w:rsidRPr="537FA187">
              <w:rPr>
                <w:sz w:val="18"/>
                <w:szCs w:val="18"/>
                <w:lang w:val="en-US"/>
              </w:rPr>
              <w:t>GDT</w:t>
            </w:r>
            <w:r w:rsidRPr="537FA187">
              <w:rPr>
                <w:sz w:val="18"/>
                <w:szCs w:val="18"/>
                <w:lang w:val="en-US"/>
              </w:rPr>
              <w:t xml:space="preserve"> in aligning transport initiatives with the Bamako Energy and Climate Plan (PAAEDC-BKO) and national climate commitments (e.g., NDCs).</w:t>
            </w:r>
          </w:p>
          <w:p w14:paraId="41486A5C" w14:textId="77777777" w:rsidR="008859B6" w:rsidRPr="006F5E1D" w:rsidRDefault="5954CFD9" w:rsidP="006F5E1D">
            <w:pPr>
              <w:spacing w:after="0"/>
              <w:rPr>
                <w:sz w:val="18"/>
                <w:szCs w:val="18"/>
                <w:lang w:val="en-US"/>
              </w:rPr>
            </w:pPr>
            <w:r w:rsidRPr="006F5E1D">
              <w:rPr>
                <w:sz w:val="18"/>
                <w:szCs w:val="18"/>
                <w:lang w:val="en-US"/>
              </w:rPr>
              <w:t>2. Coordination and Liaison with Stakeholders</w:t>
            </w:r>
          </w:p>
          <w:p w14:paraId="122517C7" w14:textId="10E286FE" w:rsidR="008859B6" w:rsidRPr="006F5E1D" w:rsidRDefault="7BDEEC77" w:rsidP="006F5E1D">
            <w:pPr>
              <w:spacing w:after="0"/>
              <w:rPr>
                <w:sz w:val="18"/>
                <w:szCs w:val="18"/>
                <w:lang w:val="en-US"/>
              </w:rPr>
            </w:pPr>
            <w:r w:rsidRPr="537FA187">
              <w:rPr>
                <w:sz w:val="18"/>
                <w:szCs w:val="18"/>
                <w:lang w:val="en-US"/>
              </w:rPr>
              <w:t xml:space="preserve">Ensure regular coordination with the IUDP team, the </w:t>
            </w:r>
            <w:r w:rsidR="58315770" w:rsidRPr="537FA187">
              <w:rPr>
                <w:sz w:val="18"/>
                <w:szCs w:val="18"/>
                <w:lang w:val="en-US"/>
              </w:rPr>
              <w:t>GDT</w:t>
            </w:r>
            <w:r w:rsidR="27DF4AAA" w:rsidRPr="537FA187">
              <w:rPr>
                <w:sz w:val="18"/>
                <w:szCs w:val="18"/>
                <w:lang w:val="en-US"/>
              </w:rPr>
              <w:t>GDT</w:t>
            </w:r>
            <w:r w:rsidRPr="537FA187">
              <w:rPr>
                <w:sz w:val="18"/>
                <w:szCs w:val="18"/>
                <w:lang w:val="en-US"/>
              </w:rPr>
              <w:t>, municipalities, and other relevant ministries (e.g., Environment, Finance, Energy, Infrastructure).</w:t>
            </w:r>
          </w:p>
          <w:p w14:paraId="340DE44B" w14:textId="5D6165FC" w:rsidR="008859B6" w:rsidRPr="006F5E1D" w:rsidRDefault="7BDEEC77" w:rsidP="006F5E1D">
            <w:pPr>
              <w:spacing w:after="0"/>
              <w:rPr>
                <w:sz w:val="18"/>
                <w:szCs w:val="18"/>
                <w:lang w:val="en-US"/>
              </w:rPr>
            </w:pPr>
            <w:r w:rsidRPr="537FA187">
              <w:rPr>
                <w:sz w:val="18"/>
                <w:szCs w:val="18"/>
                <w:lang w:val="en-US"/>
              </w:rPr>
              <w:t xml:space="preserve">Facilitate dialogue between the </w:t>
            </w:r>
            <w:r w:rsidR="58315770" w:rsidRPr="537FA187">
              <w:rPr>
                <w:sz w:val="18"/>
                <w:szCs w:val="18"/>
                <w:lang w:val="en-US"/>
              </w:rPr>
              <w:t>GDT</w:t>
            </w:r>
            <w:r w:rsidRPr="537FA187">
              <w:rPr>
                <w:sz w:val="18"/>
                <w:szCs w:val="18"/>
                <w:lang w:val="en-US"/>
              </w:rPr>
              <w:t xml:space="preserve"> and transport operators, civil society organizations, and local communities, especially in the context of pilot interventions.</w:t>
            </w:r>
          </w:p>
          <w:p w14:paraId="13FBD12A" w14:textId="77777777" w:rsidR="008859B6" w:rsidRPr="006F5E1D" w:rsidRDefault="5954CFD9" w:rsidP="006F5E1D">
            <w:pPr>
              <w:spacing w:after="0"/>
              <w:rPr>
                <w:sz w:val="18"/>
                <w:szCs w:val="18"/>
                <w:lang w:val="en-US"/>
              </w:rPr>
            </w:pPr>
            <w:r w:rsidRPr="006F5E1D">
              <w:rPr>
                <w:sz w:val="18"/>
                <w:szCs w:val="18"/>
                <w:lang w:val="en-US"/>
              </w:rPr>
              <w:t>Assist in organizing and reporting on working sessions, technical committees, and consultations.</w:t>
            </w:r>
          </w:p>
          <w:p w14:paraId="6B7CF117" w14:textId="77777777" w:rsidR="006E10E5" w:rsidRPr="006F5E1D" w:rsidRDefault="6786EAE3" w:rsidP="006F5E1D">
            <w:pPr>
              <w:spacing w:after="0"/>
              <w:rPr>
                <w:sz w:val="18"/>
                <w:szCs w:val="18"/>
                <w:lang w:val="en-US"/>
              </w:rPr>
            </w:pPr>
            <w:r w:rsidRPr="00A00D87">
              <w:rPr>
                <w:rStyle w:val="lev"/>
                <w:rFonts w:cs="Calibri"/>
                <w:b w:val="0"/>
                <w:bCs w:val="0"/>
                <w:sz w:val="18"/>
                <w:szCs w:val="18"/>
                <w:lang w:val="en-US"/>
              </w:rPr>
              <w:t xml:space="preserve">4. </w:t>
            </w:r>
            <w:r w:rsidRPr="006F5E1D">
              <w:rPr>
                <w:rStyle w:val="lev"/>
                <w:rFonts w:cs="Calibri"/>
                <w:b w:val="0"/>
                <w:bCs w:val="0"/>
                <w:sz w:val="18"/>
                <w:szCs w:val="18"/>
                <w:lang w:val="en-US"/>
              </w:rPr>
              <w:t>Support to E-Mobility and Innovation</w:t>
            </w:r>
          </w:p>
          <w:p w14:paraId="3339FEBC" w14:textId="77777777" w:rsidR="006E10E5" w:rsidRPr="006F5E1D" w:rsidRDefault="6786EAE3" w:rsidP="006F5E1D">
            <w:pPr>
              <w:spacing w:after="0"/>
              <w:rPr>
                <w:sz w:val="18"/>
                <w:szCs w:val="18"/>
                <w:lang w:val="en-US"/>
              </w:rPr>
            </w:pPr>
            <w:r w:rsidRPr="006F5E1D">
              <w:rPr>
                <w:sz w:val="18"/>
                <w:szCs w:val="18"/>
                <w:lang w:val="en-US"/>
              </w:rPr>
              <w:t xml:space="preserve">Collaborate with the international expert in contextualizing the </w:t>
            </w:r>
            <w:r w:rsidRPr="00A00D87">
              <w:rPr>
                <w:rStyle w:val="lev"/>
                <w:rFonts w:cs="Calibri"/>
                <w:b w:val="0"/>
                <w:bCs w:val="0"/>
                <w:sz w:val="18"/>
                <w:szCs w:val="18"/>
                <w:lang w:val="en-US"/>
              </w:rPr>
              <w:t>e-mobility roadmap</w:t>
            </w:r>
            <w:r w:rsidRPr="006F5E1D">
              <w:rPr>
                <w:sz w:val="18"/>
                <w:szCs w:val="18"/>
                <w:lang w:val="en-US"/>
              </w:rPr>
              <w:t xml:space="preserve"> to the Malian context.</w:t>
            </w:r>
          </w:p>
          <w:p w14:paraId="52EE440B" w14:textId="5D820D9B" w:rsidR="006E10E5" w:rsidRPr="006F5E1D" w:rsidRDefault="6786EAE3" w:rsidP="006F5E1D">
            <w:pPr>
              <w:spacing w:after="0"/>
              <w:rPr>
                <w:sz w:val="18"/>
                <w:szCs w:val="18"/>
                <w:lang w:val="en-US"/>
              </w:rPr>
            </w:pPr>
            <w:r w:rsidRPr="006F5E1D">
              <w:rPr>
                <w:sz w:val="18"/>
                <w:szCs w:val="18"/>
                <w:lang w:val="en-US"/>
              </w:rPr>
              <w:t xml:space="preserve">Map the </w:t>
            </w:r>
            <w:r w:rsidRPr="00A00D87">
              <w:rPr>
                <w:rStyle w:val="lev"/>
                <w:rFonts w:cs="Calibri"/>
                <w:b w:val="0"/>
                <w:bCs w:val="0"/>
                <w:sz w:val="18"/>
                <w:szCs w:val="18"/>
                <w:lang w:val="en-US"/>
              </w:rPr>
              <w:t>local ecosystem for electric mobility</w:t>
            </w:r>
            <w:r w:rsidRPr="006F5E1D">
              <w:rPr>
                <w:sz w:val="18"/>
                <w:szCs w:val="18"/>
                <w:lang w:val="en-US"/>
              </w:rPr>
              <w:t xml:space="preserve"> </w:t>
            </w:r>
            <w:r w:rsidR="2AA7B0AF" w:rsidRPr="006F5E1D">
              <w:rPr>
                <w:sz w:val="18"/>
                <w:szCs w:val="18"/>
                <w:lang w:val="en-US"/>
              </w:rPr>
              <w:t>in Bamako</w:t>
            </w:r>
            <w:r w:rsidR="7D450CFB" w:rsidRPr="006F5E1D">
              <w:rPr>
                <w:sz w:val="18"/>
                <w:szCs w:val="18"/>
                <w:lang w:val="en-US"/>
              </w:rPr>
              <w:t xml:space="preserve"> </w:t>
            </w:r>
            <w:r w:rsidRPr="006F5E1D">
              <w:rPr>
                <w:sz w:val="18"/>
                <w:szCs w:val="18"/>
                <w:lang w:val="en-US"/>
              </w:rPr>
              <w:t>(e.g., suppliers, technicians, energy providers, relevant policies).</w:t>
            </w:r>
          </w:p>
          <w:p w14:paraId="5BD222AB" w14:textId="77777777" w:rsidR="00301EAD" w:rsidRPr="006F5E1D" w:rsidRDefault="6786EAE3" w:rsidP="006F5E1D">
            <w:pPr>
              <w:spacing w:after="0"/>
              <w:rPr>
                <w:sz w:val="18"/>
                <w:szCs w:val="18"/>
                <w:lang w:val="en-US"/>
              </w:rPr>
            </w:pPr>
            <w:r w:rsidRPr="006F5E1D">
              <w:rPr>
                <w:sz w:val="18"/>
                <w:szCs w:val="18"/>
                <w:lang w:val="en-US"/>
              </w:rPr>
              <w:t xml:space="preserve">Support the design and preparation of </w:t>
            </w:r>
            <w:r w:rsidRPr="00A00D87">
              <w:rPr>
                <w:rStyle w:val="lev"/>
                <w:rFonts w:cs="Calibri"/>
                <w:b w:val="0"/>
                <w:bCs w:val="0"/>
                <w:sz w:val="18"/>
                <w:szCs w:val="18"/>
                <w:lang w:val="en-US"/>
              </w:rPr>
              <w:t>pilot initiatives</w:t>
            </w:r>
            <w:r w:rsidRPr="006F5E1D">
              <w:rPr>
                <w:sz w:val="18"/>
                <w:szCs w:val="18"/>
                <w:lang w:val="en-US"/>
              </w:rPr>
              <w:t xml:space="preserve"> in e-mobility (e.g., electric moto-taxis, charging stations in key nodes).</w:t>
            </w:r>
          </w:p>
          <w:p w14:paraId="12C3E156" w14:textId="77777777" w:rsidR="00301EAD" w:rsidRPr="006F5E1D" w:rsidRDefault="0DAA0FA3" w:rsidP="006F5E1D">
            <w:pPr>
              <w:spacing w:after="0"/>
              <w:rPr>
                <w:sz w:val="18"/>
                <w:szCs w:val="18"/>
                <w:lang w:val="en-US"/>
              </w:rPr>
            </w:pPr>
            <w:r w:rsidRPr="006F5E1D">
              <w:rPr>
                <w:sz w:val="18"/>
                <w:szCs w:val="18"/>
                <w:lang w:val="en-US"/>
              </w:rPr>
              <w:t>Support the development of technical notes, concept papers, and terms of reference for studies and consultancies related to sustainable transport.</w:t>
            </w:r>
          </w:p>
          <w:p w14:paraId="573DCB93" w14:textId="4B487E9A" w:rsidR="00301EAD" w:rsidRPr="006F5E1D" w:rsidRDefault="0DAA0FA3" w:rsidP="006F5E1D">
            <w:pPr>
              <w:spacing w:after="0"/>
              <w:rPr>
                <w:sz w:val="18"/>
                <w:szCs w:val="18"/>
                <w:lang w:val="en-US"/>
              </w:rPr>
            </w:pPr>
            <w:r w:rsidRPr="006F5E1D">
              <w:rPr>
                <w:sz w:val="18"/>
                <w:szCs w:val="18"/>
                <w:lang w:val="en-US"/>
              </w:rPr>
              <w:t>Assist in the review of technical deliverables produced by external consultants</w:t>
            </w:r>
            <w:r w:rsidR="104D7AC3" w:rsidRPr="006F5E1D">
              <w:rPr>
                <w:sz w:val="18"/>
                <w:szCs w:val="18"/>
                <w:lang w:val="en-US"/>
              </w:rPr>
              <w:t>.</w:t>
            </w:r>
          </w:p>
        </w:tc>
      </w:tr>
      <w:tr w:rsidR="004F7DB3" w:rsidRPr="00A00D87" w14:paraId="7B608730" w14:textId="77777777" w:rsidTr="40E7FE84">
        <w:trPr>
          <w:trHeight w:val="300"/>
          <w:jc w:val="center"/>
        </w:trPr>
        <w:tc>
          <w:tcPr>
            <w:tcW w:w="1402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cPr>
          <w:p w14:paraId="0000148D" w14:textId="044F2938" w:rsidR="004F7DB3" w:rsidRPr="006F5E1D" w:rsidRDefault="1F7125A8" w:rsidP="006F5E1D">
            <w:pPr>
              <w:spacing w:after="0"/>
              <w:rPr>
                <w:sz w:val="18"/>
                <w:szCs w:val="18"/>
                <w:lang w:val="en-US"/>
              </w:rPr>
            </w:pPr>
            <w:r w:rsidRPr="006F5E1D">
              <w:rPr>
                <w:sz w:val="18"/>
                <w:szCs w:val="18"/>
                <w:lang w:val="en-US"/>
              </w:rPr>
              <w:t>Outcome 4</w:t>
            </w:r>
            <w:r w:rsidR="0A0CA23E" w:rsidRPr="006F5E1D">
              <w:rPr>
                <w:sz w:val="18"/>
                <w:szCs w:val="18"/>
                <w:lang w:val="en-US"/>
              </w:rPr>
              <w:t>.1</w:t>
            </w:r>
            <w:r w:rsidRPr="006F5E1D">
              <w:rPr>
                <w:sz w:val="18"/>
                <w:szCs w:val="18"/>
                <w:lang w:val="en-US"/>
              </w:rPr>
              <w:t xml:space="preserve">: KM and </w:t>
            </w:r>
            <w:r w:rsidR="3FA51E23" w:rsidRPr="006F5E1D">
              <w:rPr>
                <w:sz w:val="18"/>
                <w:szCs w:val="18"/>
                <w:lang w:val="en-US"/>
              </w:rPr>
              <w:t>Communication</w:t>
            </w:r>
          </w:p>
        </w:tc>
      </w:tr>
      <w:tr w:rsidR="004F7DB3" w:rsidRPr="00F50786" w14:paraId="412F3BAA" w14:textId="77777777" w:rsidTr="00857B81">
        <w:trPr>
          <w:trHeight w:val="300"/>
          <w:jc w:val="center"/>
        </w:trPr>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287817" w14:textId="3973B9C5" w:rsidR="24AA8F7E" w:rsidRPr="006F5E1D" w:rsidRDefault="0DC35CF7" w:rsidP="006F5E1D">
            <w:pPr>
              <w:spacing w:after="0"/>
              <w:rPr>
                <w:sz w:val="18"/>
                <w:szCs w:val="18"/>
                <w:lang w:val="en-US"/>
              </w:rPr>
            </w:pPr>
            <w:r w:rsidRPr="006F5E1D">
              <w:rPr>
                <w:sz w:val="18"/>
                <w:szCs w:val="18"/>
                <w:lang w:val="en-US"/>
              </w:rPr>
              <w:lastRenderedPageBreak/>
              <w:t>Gender and ESS specialist 1,250 $ /month</w:t>
            </w:r>
          </w:p>
          <w:p w14:paraId="0A9DCD72" w14:textId="25FA3DD7" w:rsidR="24AA8F7E" w:rsidRPr="006F5E1D" w:rsidRDefault="60DD739D" w:rsidP="006F5E1D">
            <w:pPr>
              <w:spacing w:after="0"/>
              <w:rPr>
                <w:sz w:val="18"/>
                <w:szCs w:val="18"/>
                <w:lang w:val="en-US"/>
              </w:rPr>
            </w:pPr>
            <w:proofErr w:type="spellStart"/>
            <w:r w:rsidRPr="006F5E1D">
              <w:rPr>
                <w:sz w:val="18"/>
                <w:szCs w:val="18"/>
                <w:lang w:val="en-US"/>
              </w:rPr>
              <w:t>Contrat</w:t>
            </w:r>
            <w:proofErr w:type="spellEnd"/>
            <w:r w:rsidRPr="006F5E1D">
              <w:rPr>
                <w:sz w:val="18"/>
                <w:szCs w:val="18"/>
                <w:lang w:val="en-US"/>
              </w:rPr>
              <w:t xml:space="preserve"> type: VNU</w:t>
            </w:r>
          </w:p>
          <w:p w14:paraId="04DF492D" w14:textId="1745ED9C" w:rsidR="24AA8F7E" w:rsidRPr="006F5E1D" w:rsidRDefault="60DD739D" w:rsidP="006F5E1D">
            <w:pPr>
              <w:spacing w:after="0"/>
              <w:rPr>
                <w:sz w:val="18"/>
                <w:szCs w:val="18"/>
                <w:lang w:val="en-US"/>
              </w:rPr>
            </w:pPr>
            <w:r w:rsidRPr="006F5E1D">
              <w:rPr>
                <w:sz w:val="18"/>
                <w:szCs w:val="18"/>
                <w:lang w:val="en-US"/>
              </w:rPr>
              <w:t>See budget note:</w:t>
            </w:r>
            <w:r w:rsidR="04AE6EBC" w:rsidRPr="006F5E1D">
              <w:rPr>
                <w:sz w:val="18"/>
                <w:szCs w:val="18"/>
                <w:lang w:val="en-US"/>
              </w:rPr>
              <w:t xml:space="preserve"> 40 and 4</w:t>
            </w:r>
            <w:r w:rsidR="00C179AD" w:rsidRPr="006F5E1D">
              <w:rPr>
                <w:sz w:val="18"/>
                <w:szCs w:val="18"/>
                <w:lang w:val="en-US"/>
              </w:rPr>
              <w:t>7</w:t>
            </w: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B92C8B" w14:textId="382D6332" w:rsidR="24AA8F7E" w:rsidRPr="006F5E1D" w:rsidRDefault="0DC35CF7" w:rsidP="006F5E1D">
            <w:pPr>
              <w:spacing w:after="0"/>
              <w:rPr>
                <w:sz w:val="18"/>
                <w:szCs w:val="18"/>
              </w:rPr>
            </w:pPr>
            <w:r w:rsidRPr="006F5E1D">
              <w:rPr>
                <w:sz w:val="18"/>
                <w:szCs w:val="18"/>
              </w:rPr>
              <w:t xml:space="preserve">12 </w:t>
            </w:r>
            <w:proofErr w:type="spellStart"/>
            <w:r w:rsidRPr="006F5E1D">
              <w:rPr>
                <w:sz w:val="18"/>
                <w:szCs w:val="18"/>
              </w:rPr>
              <w:t>months</w:t>
            </w:r>
            <w:proofErr w:type="spellEnd"/>
            <w:r w:rsidRPr="006F5E1D">
              <w:rPr>
                <w:sz w:val="18"/>
                <w:szCs w:val="18"/>
              </w:rPr>
              <w:t xml:space="preserve"> over 5 </w:t>
            </w:r>
            <w:proofErr w:type="spellStart"/>
            <w:r w:rsidRPr="006F5E1D">
              <w:rPr>
                <w:sz w:val="18"/>
                <w:szCs w:val="18"/>
              </w:rPr>
              <w:t>years</w:t>
            </w:r>
            <w:proofErr w:type="spellEnd"/>
          </w:p>
          <w:p w14:paraId="2873902F" w14:textId="68C9E451" w:rsidR="24AA8F7E" w:rsidRPr="006F5E1D" w:rsidRDefault="24AA8F7E" w:rsidP="006F5E1D">
            <w:pPr>
              <w:spacing w:after="0"/>
              <w:rPr>
                <w:sz w:val="18"/>
                <w:szCs w:val="18"/>
              </w:rPr>
            </w:pPr>
          </w:p>
        </w:tc>
        <w:tc>
          <w:tcPr>
            <w:tcW w:w="10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6677E6" w14:textId="1C79A977" w:rsidR="24AA8F7E" w:rsidRPr="006F5E1D" w:rsidRDefault="0DC35CF7" w:rsidP="006F5E1D">
            <w:pPr>
              <w:spacing w:after="0"/>
              <w:rPr>
                <w:sz w:val="18"/>
                <w:szCs w:val="18"/>
                <w:lang w:val="en-US"/>
              </w:rPr>
            </w:pPr>
            <w:r w:rsidRPr="006F5E1D">
              <w:rPr>
                <w:sz w:val="18"/>
                <w:szCs w:val="18"/>
                <w:lang w:val="en-US"/>
              </w:rPr>
              <w:t xml:space="preserve">Under the </w:t>
            </w:r>
            <w:r w:rsidRPr="004A3EAF">
              <w:rPr>
                <w:b/>
                <w:bCs/>
                <w:sz w:val="18"/>
                <w:szCs w:val="18"/>
                <w:lang w:val="en-US"/>
              </w:rPr>
              <w:t>direct supervision of the Project Manager</w:t>
            </w:r>
            <w:r w:rsidRPr="006F5E1D">
              <w:rPr>
                <w:sz w:val="18"/>
                <w:szCs w:val="18"/>
                <w:lang w:val="en-US"/>
              </w:rPr>
              <w:t>, the incumbent will:</w:t>
            </w:r>
          </w:p>
          <w:p w14:paraId="70D48F7F" w14:textId="1BDBA4D3" w:rsidR="24AA8F7E" w:rsidRPr="006F5E1D" w:rsidRDefault="52B30581" w:rsidP="006F5E1D">
            <w:pPr>
              <w:spacing w:after="0"/>
              <w:rPr>
                <w:sz w:val="18"/>
                <w:szCs w:val="18"/>
                <w:lang w:val="en-US"/>
              </w:rPr>
            </w:pPr>
            <w:bookmarkStart w:id="356" w:name="_Toc538073882"/>
            <w:r w:rsidRPr="006F5E1D">
              <w:rPr>
                <w:sz w:val="18"/>
                <w:szCs w:val="18"/>
                <w:lang w:val="en-US"/>
              </w:rPr>
              <w:t>Mainstreaming Gender Equality and Social Inclusion (GESI)</w:t>
            </w:r>
            <w:bookmarkEnd w:id="356"/>
          </w:p>
          <w:p w14:paraId="587A9EAF" w14:textId="624DCC5F" w:rsidR="24AA8F7E" w:rsidRPr="006F5E1D" w:rsidRDefault="0DC35CF7" w:rsidP="006F5E1D">
            <w:pPr>
              <w:spacing w:after="0"/>
              <w:rPr>
                <w:sz w:val="18"/>
                <w:szCs w:val="18"/>
                <w:lang w:val="en-US"/>
              </w:rPr>
            </w:pPr>
            <w:r w:rsidRPr="006F5E1D">
              <w:rPr>
                <w:sz w:val="18"/>
                <w:szCs w:val="18"/>
                <w:lang w:val="en-US"/>
              </w:rPr>
              <w:t xml:space="preserve">Update and implement the Gender Action Plan (Annex 10 of the </w:t>
            </w:r>
            <w:proofErr w:type="spellStart"/>
            <w:r w:rsidRPr="006F5E1D">
              <w:rPr>
                <w:sz w:val="18"/>
                <w:szCs w:val="18"/>
                <w:lang w:val="en-US"/>
              </w:rPr>
              <w:t>ProDoc</w:t>
            </w:r>
            <w:proofErr w:type="spellEnd"/>
            <w:r w:rsidRPr="006F5E1D">
              <w:rPr>
                <w:sz w:val="18"/>
                <w:szCs w:val="18"/>
                <w:lang w:val="en-US"/>
              </w:rPr>
              <w:t>) and ensure its integration into work plans and budgets of all components.</w:t>
            </w:r>
          </w:p>
          <w:p w14:paraId="47637302" w14:textId="6B2DA9CD" w:rsidR="24AA8F7E" w:rsidRPr="006F5E1D" w:rsidRDefault="0DC35CF7" w:rsidP="006F5E1D">
            <w:pPr>
              <w:spacing w:after="0"/>
              <w:rPr>
                <w:sz w:val="18"/>
                <w:szCs w:val="18"/>
                <w:lang w:val="en-US"/>
              </w:rPr>
            </w:pPr>
            <w:r w:rsidRPr="006F5E1D">
              <w:rPr>
                <w:sz w:val="18"/>
                <w:szCs w:val="18"/>
                <w:lang w:val="en-US"/>
              </w:rPr>
              <w:t>Provide technical guidance to project teams, implementing partners, and local stakeholders on gender-responsive and inclusive approaches to urban development, transport, green spaces, governance, and economic empowerment.</w:t>
            </w:r>
          </w:p>
          <w:p w14:paraId="2F6F0D89" w14:textId="449464FB" w:rsidR="24AA8F7E" w:rsidRPr="006F5E1D" w:rsidRDefault="0DC35CF7" w:rsidP="006F5E1D">
            <w:pPr>
              <w:spacing w:after="0"/>
              <w:rPr>
                <w:sz w:val="18"/>
                <w:szCs w:val="18"/>
                <w:lang w:val="en-US"/>
              </w:rPr>
            </w:pPr>
            <w:r w:rsidRPr="006F5E1D">
              <w:rPr>
                <w:sz w:val="18"/>
                <w:szCs w:val="18"/>
                <w:lang w:val="en-US"/>
              </w:rPr>
              <w:t xml:space="preserve">Ensure the disaggregation of data by sex, age, and other relevant factors, and support gender-responsive monitoring and </w:t>
            </w:r>
            <w:proofErr w:type="spellStart"/>
            <w:proofErr w:type="gramStart"/>
            <w:r w:rsidRPr="006F5E1D">
              <w:rPr>
                <w:sz w:val="18"/>
                <w:szCs w:val="18"/>
                <w:lang w:val="en-US"/>
              </w:rPr>
              <w:t>reporting.Facilitate</w:t>
            </w:r>
            <w:proofErr w:type="spellEnd"/>
            <w:proofErr w:type="gramEnd"/>
            <w:r w:rsidRPr="006F5E1D">
              <w:rPr>
                <w:sz w:val="18"/>
                <w:szCs w:val="18"/>
                <w:lang w:val="en-US"/>
              </w:rPr>
              <w:t xml:space="preserve"> gender analyses and consultations with women’s groups, youth, and marginalized communities during project implementation and evaluations.</w:t>
            </w:r>
          </w:p>
          <w:p w14:paraId="4624F496" w14:textId="379D493E" w:rsidR="24AA8F7E" w:rsidRPr="006F5E1D" w:rsidRDefault="0DC35CF7" w:rsidP="006F5E1D">
            <w:pPr>
              <w:spacing w:after="0"/>
              <w:rPr>
                <w:sz w:val="18"/>
                <w:szCs w:val="18"/>
                <w:lang w:val="en-US"/>
              </w:rPr>
            </w:pPr>
            <w:r w:rsidRPr="006F5E1D">
              <w:rPr>
                <w:sz w:val="18"/>
                <w:szCs w:val="18"/>
                <w:lang w:val="en-US"/>
              </w:rPr>
              <w:t>Identify gender-related capacity gaps and organize training workshops on gender mainstreaming, inclusive governance, and intersectionality for the PMU and partners.</w:t>
            </w:r>
          </w:p>
          <w:p w14:paraId="16AE91A0" w14:textId="021A312D" w:rsidR="24AA8F7E" w:rsidRPr="006F5E1D" w:rsidRDefault="52B30581" w:rsidP="006F5E1D">
            <w:pPr>
              <w:spacing w:after="0"/>
              <w:rPr>
                <w:sz w:val="18"/>
                <w:szCs w:val="18"/>
                <w:lang w:val="en-US"/>
              </w:rPr>
            </w:pPr>
            <w:bookmarkStart w:id="357" w:name="_Toc870029844"/>
            <w:r w:rsidRPr="006F5E1D">
              <w:rPr>
                <w:sz w:val="18"/>
                <w:szCs w:val="18"/>
                <w:lang w:val="en-US"/>
              </w:rPr>
              <w:t>Environmental and Social Safeguards (ESS)</w:t>
            </w:r>
            <w:bookmarkEnd w:id="357"/>
          </w:p>
          <w:p w14:paraId="082D6B13" w14:textId="2968644B" w:rsidR="24AA8F7E" w:rsidRPr="006F5E1D" w:rsidRDefault="0DC35CF7" w:rsidP="006F5E1D">
            <w:pPr>
              <w:spacing w:after="0"/>
              <w:rPr>
                <w:sz w:val="18"/>
                <w:szCs w:val="18"/>
                <w:lang w:val="en-US"/>
              </w:rPr>
            </w:pPr>
            <w:r w:rsidRPr="006F5E1D">
              <w:rPr>
                <w:sz w:val="18"/>
                <w:szCs w:val="18"/>
                <w:lang w:val="en-US"/>
              </w:rPr>
              <w:t>Update and operationalize the Environmental and Social Safeguards Plan (including the SESP) in accordance with UNDP’s Social and Environmental Standards and GEF requirements.</w:t>
            </w:r>
          </w:p>
          <w:p w14:paraId="1DAA2F79" w14:textId="75C3F25D" w:rsidR="24AA8F7E" w:rsidRPr="006F5E1D" w:rsidRDefault="0DC35CF7" w:rsidP="006F5E1D">
            <w:pPr>
              <w:spacing w:after="0"/>
              <w:rPr>
                <w:sz w:val="18"/>
                <w:szCs w:val="18"/>
                <w:lang w:val="en-US"/>
              </w:rPr>
            </w:pPr>
            <w:r w:rsidRPr="006F5E1D">
              <w:rPr>
                <w:sz w:val="18"/>
                <w:szCs w:val="18"/>
                <w:lang w:val="en-US"/>
              </w:rPr>
              <w:t>Monitor and report on compliance with safeguards, including mitigation measures for potential risks related to land use, community displacement, biodiversity impacts, and labor standards.</w:t>
            </w:r>
          </w:p>
          <w:p w14:paraId="75059593" w14:textId="0A2C279E" w:rsidR="24AA8F7E" w:rsidRPr="006F5E1D" w:rsidRDefault="0DC35CF7" w:rsidP="006F5E1D">
            <w:pPr>
              <w:spacing w:after="0"/>
              <w:rPr>
                <w:sz w:val="18"/>
                <w:szCs w:val="18"/>
                <w:lang w:val="en-US"/>
              </w:rPr>
            </w:pPr>
            <w:r w:rsidRPr="006F5E1D">
              <w:rPr>
                <w:sz w:val="18"/>
                <w:szCs w:val="18"/>
                <w:lang w:val="en-US"/>
              </w:rPr>
              <w:t>Lead the screening of all project activities for ESS risks using UNDP’s SESP checklist and ensure the inclusion of mitigation measures in procurement and implementation plans.</w:t>
            </w:r>
          </w:p>
          <w:p w14:paraId="6366E387" w14:textId="40F90A72" w:rsidR="24AA8F7E" w:rsidRPr="006F5E1D" w:rsidRDefault="0DC35CF7" w:rsidP="006F5E1D">
            <w:pPr>
              <w:spacing w:after="0"/>
              <w:rPr>
                <w:sz w:val="18"/>
                <w:szCs w:val="18"/>
                <w:lang w:val="en-US"/>
              </w:rPr>
            </w:pPr>
            <w:r w:rsidRPr="006F5E1D">
              <w:rPr>
                <w:sz w:val="18"/>
                <w:szCs w:val="18"/>
                <w:lang w:val="en-US"/>
              </w:rPr>
              <w:t>Liaise with communities, municipal authorities, and civil society to ensure that project implementation respects FPIC (Free, Prior and Informed Consent) principles where required.</w:t>
            </w:r>
          </w:p>
          <w:p w14:paraId="7325251A" w14:textId="24D3274F" w:rsidR="24AA8F7E" w:rsidRPr="006F5E1D" w:rsidRDefault="0DC35CF7" w:rsidP="006F5E1D">
            <w:pPr>
              <w:spacing w:after="0"/>
              <w:rPr>
                <w:sz w:val="18"/>
                <w:szCs w:val="18"/>
                <w:lang w:val="en-US"/>
              </w:rPr>
            </w:pPr>
            <w:r w:rsidRPr="006F5E1D">
              <w:rPr>
                <w:sz w:val="18"/>
                <w:szCs w:val="18"/>
                <w:lang w:val="en-US"/>
              </w:rPr>
              <w:t>Develop grievance redress mechanisms to address potential social and environmental complaints and ensure accessibility and responsiveness.</w:t>
            </w:r>
          </w:p>
          <w:p w14:paraId="1AD952C8" w14:textId="4C2D2C0A" w:rsidR="24AA8F7E" w:rsidRPr="006F5E1D" w:rsidRDefault="52B30581" w:rsidP="006F5E1D">
            <w:pPr>
              <w:spacing w:after="0"/>
              <w:rPr>
                <w:sz w:val="18"/>
                <w:szCs w:val="18"/>
                <w:lang w:val="en-US"/>
              </w:rPr>
            </w:pPr>
            <w:bookmarkStart w:id="358" w:name="_Toc2041138097"/>
            <w:r w:rsidRPr="006F5E1D">
              <w:rPr>
                <w:sz w:val="18"/>
                <w:szCs w:val="18"/>
                <w:lang w:val="en-US"/>
              </w:rPr>
              <w:t>Oversight, Monitoring, and Reporting</w:t>
            </w:r>
            <w:bookmarkEnd w:id="358"/>
          </w:p>
          <w:p w14:paraId="7CDA427B" w14:textId="2371CF99" w:rsidR="24AA8F7E" w:rsidRPr="006F5E1D" w:rsidRDefault="0DC35CF7" w:rsidP="006F5E1D">
            <w:pPr>
              <w:spacing w:after="0"/>
              <w:rPr>
                <w:sz w:val="18"/>
                <w:szCs w:val="18"/>
                <w:lang w:val="en-US"/>
              </w:rPr>
            </w:pPr>
            <w:r w:rsidRPr="006F5E1D">
              <w:rPr>
                <w:sz w:val="18"/>
                <w:szCs w:val="18"/>
                <w:lang w:val="en-US"/>
              </w:rPr>
              <w:t>Contribute to the monitoring and evaluation system, ensuring integration of GESI and safeguards indicators.</w:t>
            </w:r>
          </w:p>
          <w:p w14:paraId="17197CB4" w14:textId="29F8A45F" w:rsidR="24AA8F7E" w:rsidRPr="006F5E1D" w:rsidRDefault="0DC35CF7" w:rsidP="006F5E1D">
            <w:pPr>
              <w:spacing w:after="0"/>
              <w:rPr>
                <w:sz w:val="18"/>
                <w:szCs w:val="18"/>
                <w:lang w:val="en-US"/>
              </w:rPr>
            </w:pPr>
            <w:r w:rsidRPr="006F5E1D">
              <w:rPr>
                <w:sz w:val="18"/>
                <w:szCs w:val="18"/>
                <w:lang w:val="en-US"/>
              </w:rPr>
              <w:t>Provide technical inputs for the Project Implementation Report (PIR), quarterly and annual reports, and mid-term and final evaluations.</w:t>
            </w:r>
          </w:p>
          <w:p w14:paraId="48EEE574" w14:textId="277B93C2" w:rsidR="24AA8F7E" w:rsidRPr="006F5E1D" w:rsidRDefault="0DC35CF7" w:rsidP="006F5E1D">
            <w:pPr>
              <w:spacing w:after="0"/>
              <w:rPr>
                <w:sz w:val="18"/>
                <w:szCs w:val="18"/>
                <w:lang w:val="en-US"/>
              </w:rPr>
            </w:pPr>
            <w:r w:rsidRPr="006F5E1D">
              <w:rPr>
                <w:sz w:val="18"/>
                <w:szCs w:val="18"/>
                <w:lang w:val="en-US"/>
              </w:rPr>
              <w:t>Document and disseminate good practices, lessons learned, and case studies on gender-responsive and socially responsible urban development.</w:t>
            </w:r>
          </w:p>
          <w:p w14:paraId="7B346C5F" w14:textId="35CC85B2" w:rsidR="24AA8F7E" w:rsidRPr="006F5E1D" w:rsidRDefault="0DC35CF7" w:rsidP="006F5E1D">
            <w:pPr>
              <w:spacing w:after="0"/>
              <w:rPr>
                <w:sz w:val="18"/>
                <w:szCs w:val="18"/>
                <w:lang w:val="en-US"/>
              </w:rPr>
            </w:pPr>
            <w:r w:rsidRPr="006F5E1D">
              <w:rPr>
                <w:sz w:val="18"/>
                <w:szCs w:val="18"/>
                <w:lang w:val="en-US"/>
              </w:rPr>
              <w:t>Prepare safeguards compliance reports for UNDP, GEF, and national partners, including updates on risk ratings, mitigation actions, and stakeholder engagement outcomes.</w:t>
            </w:r>
          </w:p>
          <w:p w14:paraId="6F22364F" w14:textId="5D036758" w:rsidR="24AA8F7E" w:rsidRPr="006F5E1D" w:rsidRDefault="52B30581" w:rsidP="006F5E1D">
            <w:pPr>
              <w:spacing w:after="0"/>
              <w:rPr>
                <w:sz w:val="18"/>
                <w:szCs w:val="18"/>
                <w:lang w:val="en-US"/>
              </w:rPr>
            </w:pPr>
            <w:bookmarkStart w:id="359" w:name="_Toc772023451"/>
            <w:r w:rsidRPr="006F5E1D">
              <w:rPr>
                <w:sz w:val="18"/>
                <w:szCs w:val="18"/>
                <w:lang w:val="en-US"/>
              </w:rPr>
              <w:t>Capacity Building and Institutional Strengthening</w:t>
            </w:r>
            <w:bookmarkEnd w:id="359"/>
          </w:p>
          <w:p w14:paraId="41EC5218" w14:textId="182584D3" w:rsidR="24AA8F7E" w:rsidRPr="006F5E1D" w:rsidRDefault="0DC35CF7" w:rsidP="006F5E1D">
            <w:pPr>
              <w:spacing w:after="0"/>
              <w:rPr>
                <w:sz w:val="18"/>
                <w:szCs w:val="18"/>
                <w:lang w:val="en-US"/>
              </w:rPr>
            </w:pPr>
            <w:r w:rsidRPr="006F5E1D">
              <w:rPr>
                <w:sz w:val="18"/>
                <w:szCs w:val="18"/>
                <w:lang w:val="en-US"/>
              </w:rPr>
              <w:t>Deliver trainings and mentoring for project partners and municipal actors on gender, human rights-based approaches, and environmental and social safeguards.</w:t>
            </w:r>
          </w:p>
          <w:p w14:paraId="37D463D4" w14:textId="49B038FD" w:rsidR="24AA8F7E" w:rsidRPr="006F5E1D" w:rsidRDefault="0DC35CF7" w:rsidP="006F5E1D">
            <w:pPr>
              <w:spacing w:after="0"/>
              <w:rPr>
                <w:sz w:val="18"/>
                <w:szCs w:val="18"/>
                <w:lang w:val="en-US"/>
              </w:rPr>
            </w:pPr>
            <w:r w:rsidRPr="006F5E1D">
              <w:rPr>
                <w:sz w:val="18"/>
                <w:szCs w:val="18"/>
                <w:lang w:val="en-US"/>
              </w:rPr>
              <w:t>Strengthen local capacities for the implementation of safeguard standards, especially in land use planning, green belt restoration, and informal settlement upgrading.</w:t>
            </w:r>
          </w:p>
          <w:p w14:paraId="7C573215" w14:textId="59F2006C" w:rsidR="24AA8F7E" w:rsidRPr="006F5E1D" w:rsidRDefault="0DC35CF7" w:rsidP="006F5E1D">
            <w:pPr>
              <w:spacing w:after="0"/>
              <w:rPr>
                <w:sz w:val="18"/>
                <w:szCs w:val="18"/>
                <w:lang w:val="en-US"/>
              </w:rPr>
            </w:pPr>
            <w:r w:rsidRPr="006F5E1D">
              <w:rPr>
                <w:sz w:val="18"/>
                <w:szCs w:val="18"/>
                <w:lang w:val="en-US"/>
              </w:rPr>
              <w:t>Support institutional stakeholders to integrate Gender and safeguards into local development plans.</w:t>
            </w:r>
          </w:p>
        </w:tc>
      </w:tr>
      <w:tr w:rsidR="004F7DB3" w:rsidRPr="00F50786" w14:paraId="4C10D2EE" w14:textId="77777777" w:rsidTr="00857B81">
        <w:trPr>
          <w:trHeight w:val="300"/>
          <w:jc w:val="center"/>
        </w:trPr>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16F479" w14:textId="0D7315C7" w:rsidR="24AA8F7E" w:rsidRPr="006F5E1D" w:rsidRDefault="0DC35CF7" w:rsidP="006F5E1D">
            <w:pPr>
              <w:spacing w:after="0"/>
              <w:rPr>
                <w:sz w:val="18"/>
                <w:szCs w:val="18"/>
                <w:lang w:val="en-US"/>
              </w:rPr>
            </w:pPr>
            <w:r w:rsidRPr="006F5E1D">
              <w:rPr>
                <w:sz w:val="18"/>
                <w:szCs w:val="18"/>
                <w:lang w:val="en-US"/>
              </w:rPr>
              <w:t xml:space="preserve">Knowledge and Communication specialist </w:t>
            </w:r>
          </w:p>
          <w:p w14:paraId="41ABFA85" w14:textId="6D4BA09A" w:rsidR="24AA8F7E" w:rsidRPr="006F5E1D" w:rsidRDefault="0DC35CF7" w:rsidP="006F5E1D">
            <w:pPr>
              <w:spacing w:after="0"/>
              <w:rPr>
                <w:sz w:val="18"/>
                <w:szCs w:val="18"/>
                <w:lang w:val="en-US"/>
              </w:rPr>
            </w:pPr>
            <w:r w:rsidRPr="006F5E1D">
              <w:rPr>
                <w:sz w:val="18"/>
                <w:szCs w:val="18"/>
                <w:lang w:val="en-US"/>
              </w:rPr>
              <w:lastRenderedPageBreak/>
              <w:t>1,250 $ / month</w:t>
            </w:r>
            <w:r w:rsidR="494D3FCD" w:rsidRPr="006F5E1D">
              <w:rPr>
                <w:sz w:val="18"/>
                <w:szCs w:val="18"/>
                <w:lang w:val="en-US"/>
              </w:rPr>
              <w:t xml:space="preserve"> </w:t>
            </w:r>
          </w:p>
          <w:p w14:paraId="34348DC3" w14:textId="04E25E52" w:rsidR="24AA8F7E" w:rsidRPr="006F5E1D" w:rsidRDefault="24AA8F7E" w:rsidP="006F5E1D">
            <w:pPr>
              <w:spacing w:after="0"/>
              <w:rPr>
                <w:sz w:val="18"/>
                <w:szCs w:val="18"/>
                <w:lang w:val="en-US"/>
              </w:rPr>
            </w:pPr>
          </w:p>
          <w:p w14:paraId="0BDF2079" w14:textId="1607F581" w:rsidR="24AA8F7E" w:rsidRPr="006F5E1D" w:rsidRDefault="494D3FCD" w:rsidP="006F5E1D">
            <w:pPr>
              <w:spacing w:after="0"/>
              <w:rPr>
                <w:sz w:val="18"/>
                <w:szCs w:val="18"/>
                <w:lang w:val="en-US"/>
              </w:rPr>
            </w:pPr>
            <w:proofErr w:type="gramStart"/>
            <w:r w:rsidRPr="006F5E1D">
              <w:rPr>
                <w:sz w:val="18"/>
                <w:szCs w:val="18"/>
                <w:lang w:val="en-US"/>
              </w:rPr>
              <w:t>Contract :</w:t>
            </w:r>
            <w:proofErr w:type="gramEnd"/>
            <w:r w:rsidRPr="006F5E1D">
              <w:rPr>
                <w:sz w:val="18"/>
                <w:szCs w:val="18"/>
                <w:lang w:val="en-US"/>
              </w:rPr>
              <w:t xml:space="preserve"> VNU</w:t>
            </w:r>
          </w:p>
          <w:p w14:paraId="67F77C1C" w14:textId="0ABA4CD8" w:rsidR="24AA8F7E" w:rsidRPr="006F5E1D" w:rsidRDefault="24AA8F7E" w:rsidP="006F5E1D">
            <w:pPr>
              <w:spacing w:after="0"/>
              <w:rPr>
                <w:sz w:val="18"/>
                <w:szCs w:val="18"/>
                <w:lang w:val="en-US"/>
              </w:rPr>
            </w:pPr>
          </w:p>
          <w:p w14:paraId="402319D7" w14:textId="38A60E8D" w:rsidR="24AA8F7E" w:rsidRPr="006F5E1D" w:rsidRDefault="494D3FCD" w:rsidP="006F5E1D">
            <w:pPr>
              <w:spacing w:after="0"/>
              <w:rPr>
                <w:sz w:val="18"/>
                <w:szCs w:val="18"/>
                <w:lang w:val="en-US"/>
              </w:rPr>
            </w:pPr>
            <w:r w:rsidRPr="006F5E1D">
              <w:rPr>
                <w:sz w:val="18"/>
                <w:szCs w:val="18"/>
                <w:lang w:val="en-US"/>
              </w:rPr>
              <w:t xml:space="preserve">See budget </w:t>
            </w:r>
            <w:proofErr w:type="gramStart"/>
            <w:r w:rsidRPr="006F5E1D">
              <w:rPr>
                <w:sz w:val="18"/>
                <w:szCs w:val="18"/>
                <w:lang w:val="en-US"/>
              </w:rPr>
              <w:t>note :</w:t>
            </w:r>
            <w:proofErr w:type="gramEnd"/>
            <w:r w:rsidRPr="006F5E1D">
              <w:rPr>
                <w:sz w:val="18"/>
                <w:szCs w:val="18"/>
                <w:lang w:val="en-US"/>
              </w:rPr>
              <w:t xml:space="preserve"> 40</w:t>
            </w: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D2DEF7" w14:textId="382D6332" w:rsidR="24AA8F7E" w:rsidRPr="006F5E1D" w:rsidRDefault="0DC35CF7" w:rsidP="006F5E1D">
            <w:pPr>
              <w:spacing w:after="0"/>
              <w:rPr>
                <w:sz w:val="18"/>
                <w:szCs w:val="18"/>
              </w:rPr>
            </w:pPr>
            <w:r w:rsidRPr="006F5E1D">
              <w:rPr>
                <w:sz w:val="18"/>
                <w:szCs w:val="18"/>
              </w:rPr>
              <w:lastRenderedPageBreak/>
              <w:t xml:space="preserve">12 </w:t>
            </w:r>
            <w:proofErr w:type="spellStart"/>
            <w:r w:rsidRPr="006F5E1D">
              <w:rPr>
                <w:sz w:val="18"/>
                <w:szCs w:val="18"/>
              </w:rPr>
              <w:t>months</w:t>
            </w:r>
            <w:proofErr w:type="spellEnd"/>
            <w:r w:rsidRPr="006F5E1D">
              <w:rPr>
                <w:sz w:val="18"/>
                <w:szCs w:val="18"/>
              </w:rPr>
              <w:t xml:space="preserve"> over 5 </w:t>
            </w:r>
            <w:proofErr w:type="spellStart"/>
            <w:r w:rsidRPr="006F5E1D">
              <w:rPr>
                <w:sz w:val="18"/>
                <w:szCs w:val="18"/>
              </w:rPr>
              <w:t>years</w:t>
            </w:r>
            <w:proofErr w:type="spellEnd"/>
          </w:p>
          <w:p w14:paraId="4F1FAD8B" w14:textId="472857FB" w:rsidR="24AA8F7E" w:rsidRPr="006F5E1D" w:rsidRDefault="24AA8F7E" w:rsidP="006F5E1D">
            <w:pPr>
              <w:spacing w:after="0"/>
              <w:rPr>
                <w:sz w:val="18"/>
                <w:szCs w:val="18"/>
              </w:rPr>
            </w:pPr>
          </w:p>
        </w:tc>
        <w:tc>
          <w:tcPr>
            <w:tcW w:w="10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B4DD1D" w14:textId="1C79A977" w:rsidR="24AA8F7E" w:rsidRPr="006F5E1D" w:rsidRDefault="0DC35CF7" w:rsidP="006F5E1D">
            <w:pPr>
              <w:spacing w:after="0"/>
              <w:rPr>
                <w:sz w:val="18"/>
                <w:szCs w:val="18"/>
                <w:lang w:val="en-US"/>
              </w:rPr>
            </w:pPr>
            <w:r w:rsidRPr="006F5E1D">
              <w:rPr>
                <w:sz w:val="18"/>
                <w:szCs w:val="18"/>
                <w:lang w:val="en-US"/>
              </w:rPr>
              <w:t xml:space="preserve">Under the </w:t>
            </w:r>
            <w:r w:rsidRPr="004A3EAF">
              <w:rPr>
                <w:b/>
                <w:bCs/>
                <w:sz w:val="18"/>
                <w:szCs w:val="18"/>
                <w:lang w:val="en-US"/>
              </w:rPr>
              <w:t>direct supervision of the Project Manager,</w:t>
            </w:r>
            <w:r w:rsidRPr="006F5E1D">
              <w:rPr>
                <w:sz w:val="18"/>
                <w:szCs w:val="18"/>
                <w:lang w:val="en-US"/>
              </w:rPr>
              <w:t xml:space="preserve"> the incumbent will:</w:t>
            </w:r>
          </w:p>
          <w:p w14:paraId="37863C78" w14:textId="29DFC3D0" w:rsidR="24AA8F7E" w:rsidRPr="006F5E1D" w:rsidRDefault="0DC35CF7" w:rsidP="006F5E1D">
            <w:pPr>
              <w:spacing w:after="0"/>
              <w:rPr>
                <w:sz w:val="18"/>
                <w:szCs w:val="18"/>
                <w:lang w:val="en-US"/>
              </w:rPr>
            </w:pPr>
            <w:r w:rsidRPr="006F5E1D">
              <w:rPr>
                <w:sz w:val="18"/>
                <w:szCs w:val="18"/>
                <w:lang w:val="en-US"/>
              </w:rPr>
              <w:t>Communication (External &amp; Internal)</w:t>
            </w:r>
          </w:p>
          <w:p w14:paraId="7EC435DF" w14:textId="4AB2B83C" w:rsidR="24AA8F7E" w:rsidRPr="006F5E1D" w:rsidRDefault="0DC35CF7" w:rsidP="006F5E1D">
            <w:pPr>
              <w:spacing w:after="0"/>
              <w:rPr>
                <w:sz w:val="18"/>
                <w:szCs w:val="18"/>
                <w:lang w:val="en-US"/>
              </w:rPr>
            </w:pPr>
            <w:r w:rsidRPr="006F5E1D">
              <w:rPr>
                <w:sz w:val="18"/>
                <w:szCs w:val="18"/>
                <w:lang w:val="en-US"/>
              </w:rPr>
              <w:t>Develop and implement the project’s communication and visibility strategy, in line with UNDP and GEF guidelines.</w:t>
            </w:r>
          </w:p>
          <w:p w14:paraId="42C81A0F" w14:textId="65604041" w:rsidR="24AA8F7E" w:rsidRPr="006F5E1D" w:rsidRDefault="0DC35CF7" w:rsidP="006F5E1D">
            <w:pPr>
              <w:spacing w:after="0"/>
              <w:rPr>
                <w:sz w:val="18"/>
                <w:szCs w:val="18"/>
                <w:lang w:val="en-US"/>
              </w:rPr>
            </w:pPr>
            <w:r w:rsidRPr="006F5E1D">
              <w:rPr>
                <w:sz w:val="18"/>
                <w:szCs w:val="18"/>
                <w:lang w:val="en-US"/>
              </w:rPr>
              <w:lastRenderedPageBreak/>
              <w:t>Draft communication products: brochures, briefs, social media content, press releases, success stories, newsletters.</w:t>
            </w:r>
          </w:p>
          <w:p w14:paraId="34A8D84A" w14:textId="6E57520F" w:rsidR="24AA8F7E" w:rsidRPr="006F5E1D" w:rsidRDefault="0DC35CF7" w:rsidP="006F5E1D">
            <w:pPr>
              <w:spacing w:after="0"/>
              <w:rPr>
                <w:sz w:val="18"/>
                <w:szCs w:val="18"/>
                <w:lang w:val="en-US"/>
              </w:rPr>
            </w:pPr>
            <w:r w:rsidRPr="006F5E1D">
              <w:rPr>
                <w:sz w:val="18"/>
                <w:szCs w:val="18"/>
                <w:lang w:val="en-US"/>
              </w:rPr>
              <w:t>Ensure branding and visibility in all project events and materials (including PNUD, GEF, and Government logos).</w:t>
            </w:r>
          </w:p>
          <w:p w14:paraId="03515159" w14:textId="3D51A151" w:rsidR="24AA8F7E" w:rsidRPr="006F5E1D" w:rsidRDefault="0DC35CF7" w:rsidP="006F5E1D">
            <w:pPr>
              <w:spacing w:after="0"/>
              <w:rPr>
                <w:sz w:val="18"/>
                <w:szCs w:val="18"/>
                <w:lang w:val="en-US"/>
              </w:rPr>
            </w:pPr>
            <w:r w:rsidRPr="006F5E1D">
              <w:rPr>
                <w:sz w:val="18"/>
                <w:szCs w:val="18"/>
                <w:lang w:val="en-US"/>
              </w:rPr>
              <w:t>Coordinate media engagement and press coverage for major events (e.g., workshops, launches).</w:t>
            </w:r>
          </w:p>
          <w:p w14:paraId="52373D5F" w14:textId="6DF4D340" w:rsidR="24AA8F7E" w:rsidRPr="006F5E1D" w:rsidRDefault="0DC35CF7" w:rsidP="006F5E1D">
            <w:pPr>
              <w:spacing w:after="0"/>
              <w:rPr>
                <w:sz w:val="18"/>
                <w:szCs w:val="18"/>
                <w:lang w:val="en-US"/>
              </w:rPr>
            </w:pPr>
            <w:r w:rsidRPr="006F5E1D">
              <w:rPr>
                <w:sz w:val="18"/>
                <w:szCs w:val="18"/>
                <w:lang w:val="en-US"/>
              </w:rPr>
              <w:t>Manage project communications on digital platforms, including the potential development of a dedicated webpage or online portal.</w:t>
            </w:r>
          </w:p>
          <w:p w14:paraId="785F2872" w14:textId="0FF63F46" w:rsidR="24AA8F7E" w:rsidRPr="006F5E1D" w:rsidRDefault="0DC35CF7" w:rsidP="006F5E1D">
            <w:pPr>
              <w:spacing w:after="0"/>
              <w:rPr>
                <w:sz w:val="18"/>
                <w:szCs w:val="18"/>
                <w:lang w:val="en-US"/>
              </w:rPr>
            </w:pPr>
            <w:r w:rsidRPr="006F5E1D">
              <w:rPr>
                <w:sz w:val="18"/>
                <w:szCs w:val="18"/>
                <w:lang w:val="en-US"/>
              </w:rPr>
              <w:t>Knowledge Management &amp; Learning</w:t>
            </w:r>
          </w:p>
          <w:p w14:paraId="14B16E62" w14:textId="427AF85D" w:rsidR="24AA8F7E" w:rsidRPr="006F5E1D" w:rsidRDefault="0DC35CF7" w:rsidP="006F5E1D">
            <w:pPr>
              <w:spacing w:after="0"/>
              <w:rPr>
                <w:sz w:val="18"/>
                <w:szCs w:val="18"/>
                <w:lang w:val="en-US"/>
              </w:rPr>
            </w:pPr>
            <w:r w:rsidRPr="006F5E1D">
              <w:rPr>
                <w:sz w:val="18"/>
                <w:szCs w:val="18"/>
                <w:lang w:val="en-US"/>
              </w:rPr>
              <w:t>Design and maintain a knowledge management system to track and organize project outputs, publications, tools, and case studies.</w:t>
            </w:r>
          </w:p>
          <w:p w14:paraId="55998344" w14:textId="79961731" w:rsidR="24AA8F7E" w:rsidRPr="006F5E1D" w:rsidRDefault="0DC35CF7" w:rsidP="006F5E1D">
            <w:pPr>
              <w:spacing w:after="0"/>
              <w:rPr>
                <w:sz w:val="18"/>
                <w:szCs w:val="18"/>
                <w:lang w:val="en-US"/>
              </w:rPr>
            </w:pPr>
            <w:r w:rsidRPr="006F5E1D">
              <w:rPr>
                <w:sz w:val="18"/>
                <w:szCs w:val="18"/>
                <w:lang w:val="en-US"/>
              </w:rPr>
              <w:t>Document lessons learned and best practices from pilot activities and stakeholder processes.</w:t>
            </w:r>
            <w:r w:rsidR="00E019B2">
              <w:rPr>
                <w:sz w:val="18"/>
                <w:szCs w:val="18"/>
                <w:lang w:val="en-US"/>
              </w:rPr>
              <w:t xml:space="preserve"> </w:t>
            </w:r>
            <w:r w:rsidRPr="006F5E1D">
              <w:rPr>
                <w:sz w:val="18"/>
                <w:szCs w:val="18"/>
                <w:lang w:val="en-US"/>
              </w:rPr>
              <w:t>Coordinate production of technical knowledge products (e.g., policy briefs, guidance notes).</w:t>
            </w:r>
          </w:p>
          <w:p w14:paraId="121678A8" w14:textId="3C011039" w:rsidR="24AA8F7E" w:rsidRPr="006F5E1D" w:rsidRDefault="0DC35CF7" w:rsidP="006F5E1D">
            <w:pPr>
              <w:spacing w:after="0"/>
              <w:rPr>
                <w:sz w:val="18"/>
                <w:szCs w:val="18"/>
                <w:lang w:val="en-US"/>
              </w:rPr>
            </w:pPr>
            <w:r w:rsidRPr="006F5E1D">
              <w:rPr>
                <w:sz w:val="18"/>
                <w:szCs w:val="18"/>
                <w:lang w:val="en-US"/>
              </w:rPr>
              <w:t>Support learning exchange initiatives: South-South exchanges, webinars, study tours, etc.</w:t>
            </w:r>
          </w:p>
          <w:p w14:paraId="018AEE84" w14:textId="6243A3C9" w:rsidR="24AA8F7E" w:rsidRPr="006F5E1D" w:rsidRDefault="0DC35CF7" w:rsidP="006F5E1D">
            <w:pPr>
              <w:spacing w:after="0"/>
              <w:rPr>
                <w:sz w:val="18"/>
                <w:szCs w:val="18"/>
                <w:lang w:val="en-US"/>
              </w:rPr>
            </w:pPr>
            <w:r w:rsidRPr="006F5E1D">
              <w:rPr>
                <w:sz w:val="18"/>
                <w:szCs w:val="18"/>
                <w:lang w:val="en-US"/>
              </w:rPr>
              <w:t>Facilitate the integration of knowledge generated into policy dialogues and urban planning processes.</w:t>
            </w:r>
          </w:p>
          <w:p w14:paraId="4A8466A0" w14:textId="50676511" w:rsidR="24AA8F7E" w:rsidRPr="006F5E1D" w:rsidRDefault="0C641498" w:rsidP="006F5E1D">
            <w:pPr>
              <w:spacing w:after="0"/>
              <w:rPr>
                <w:sz w:val="18"/>
                <w:szCs w:val="18"/>
                <w:lang w:val="en-US"/>
              </w:rPr>
            </w:pPr>
            <w:r w:rsidRPr="006F5E1D">
              <w:rPr>
                <w:sz w:val="18"/>
                <w:szCs w:val="18"/>
                <w:lang w:val="en-US"/>
              </w:rPr>
              <w:t>Support to Monitoring &amp; Evaluation</w:t>
            </w:r>
          </w:p>
          <w:p w14:paraId="08587435" w14:textId="7258F2E0" w:rsidR="24AA8F7E" w:rsidRPr="006F5E1D" w:rsidRDefault="0DC35CF7" w:rsidP="006F5E1D">
            <w:pPr>
              <w:spacing w:after="0"/>
              <w:rPr>
                <w:sz w:val="18"/>
                <w:szCs w:val="18"/>
                <w:lang w:val="en-US"/>
              </w:rPr>
            </w:pPr>
            <w:r w:rsidRPr="006F5E1D">
              <w:rPr>
                <w:sz w:val="18"/>
                <w:szCs w:val="18"/>
                <w:lang w:val="en-US"/>
              </w:rPr>
              <w:t>Contribute to the preparation of Project Implementation Reports (PIRs) and donor reports with knowledge and communication inputs.</w:t>
            </w:r>
          </w:p>
          <w:p w14:paraId="475486DF" w14:textId="1D0FDDB3" w:rsidR="24AA8F7E" w:rsidRPr="006F5E1D" w:rsidRDefault="0DC35CF7" w:rsidP="006F5E1D">
            <w:pPr>
              <w:spacing w:after="0"/>
              <w:rPr>
                <w:sz w:val="18"/>
                <w:szCs w:val="18"/>
                <w:lang w:val="en-US"/>
              </w:rPr>
            </w:pPr>
            <w:r w:rsidRPr="006F5E1D">
              <w:rPr>
                <w:sz w:val="18"/>
                <w:szCs w:val="18"/>
                <w:lang w:val="en-US"/>
              </w:rPr>
              <w:t>Provide communication support for M&amp;E events (inception, mid-term review, final evaluation).</w:t>
            </w:r>
          </w:p>
          <w:p w14:paraId="063D83B1" w14:textId="434BB300" w:rsidR="24AA8F7E" w:rsidRPr="006F5E1D" w:rsidRDefault="0DC35CF7" w:rsidP="006F5E1D">
            <w:pPr>
              <w:spacing w:after="0"/>
              <w:rPr>
                <w:sz w:val="18"/>
                <w:szCs w:val="18"/>
                <w:lang w:val="en-US"/>
              </w:rPr>
            </w:pPr>
            <w:r w:rsidRPr="006F5E1D">
              <w:rPr>
                <w:sz w:val="18"/>
                <w:szCs w:val="18"/>
                <w:lang w:val="en-US"/>
              </w:rPr>
              <w:t>Coordinate visual documentation (photo/video) of project activities for results-based reporting.</w:t>
            </w:r>
          </w:p>
          <w:p w14:paraId="7776E0E6" w14:textId="664EBD22" w:rsidR="24AA8F7E" w:rsidRPr="006F5E1D" w:rsidRDefault="0DC35CF7" w:rsidP="006F5E1D">
            <w:pPr>
              <w:spacing w:after="0"/>
              <w:rPr>
                <w:sz w:val="18"/>
                <w:szCs w:val="18"/>
                <w:lang w:val="en-US"/>
              </w:rPr>
            </w:pPr>
            <w:r w:rsidRPr="006F5E1D">
              <w:rPr>
                <w:sz w:val="18"/>
                <w:szCs w:val="18"/>
                <w:lang w:val="en-US"/>
              </w:rPr>
              <w:t>Stakeholder Engagement &amp; Capacity Development</w:t>
            </w:r>
          </w:p>
          <w:p w14:paraId="35707D24" w14:textId="223DDE2D" w:rsidR="24AA8F7E" w:rsidRPr="006F5E1D" w:rsidRDefault="0DC35CF7" w:rsidP="006F5E1D">
            <w:pPr>
              <w:spacing w:after="0"/>
              <w:rPr>
                <w:sz w:val="18"/>
                <w:szCs w:val="18"/>
                <w:lang w:val="en-US"/>
              </w:rPr>
            </w:pPr>
            <w:r w:rsidRPr="006F5E1D">
              <w:rPr>
                <w:sz w:val="18"/>
                <w:szCs w:val="18"/>
                <w:lang w:val="en-US"/>
              </w:rPr>
              <w:t>Support participatory events and learning workshops with local governments, CSOs, youth, private sector, and communities.</w:t>
            </w:r>
          </w:p>
          <w:p w14:paraId="162408A5" w14:textId="4171B189" w:rsidR="24AA8F7E" w:rsidRPr="006F5E1D" w:rsidRDefault="0DC35CF7" w:rsidP="006F5E1D">
            <w:pPr>
              <w:spacing w:after="0"/>
              <w:rPr>
                <w:sz w:val="18"/>
                <w:szCs w:val="18"/>
                <w:lang w:val="en-US"/>
              </w:rPr>
            </w:pPr>
            <w:r w:rsidRPr="006F5E1D">
              <w:rPr>
                <w:sz w:val="18"/>
                <w:szCs w:val="18"/>
                <w:lang w:val="en-US"/>
              </w:rPr>
              <w:t>Develop accessible knowledge materials (infographics, toolkits, FAQs) tailored to diverse audiences.</w:t>
            </w:r>
          </w:p>
          <w:p w14:paraId="05DA7358" w14:textId="5A5F802E" w:rsidR="24AA8F7E" w:rsidRPr="006F5E1D" w:rsidRDefault="0DC35CF7" w:rsidP="006F5E1D">
            <w:pPr>
              <w:spacing w:after="0"/>
              <w:rPr>
                <w:sz w:val="18"/>
                <w:szCs w:val="18"/>
                <w:lang w:val="en-US"/>
              </w:rPr>
            </w:pPr>
            <w:r w:rsidRPr="006F5E1D">
              <w:rPr>
                <w:sz w:val="18"/>
                <w:szCs w:val="18"/>
                <w:lang w:val="en-US"/>
              </w:rPr>
              <w:t>Coordinate knowledge sharing among components and contribute to the project's community of practice</w:t>
            </w:r>
          </w:p>
        </w:tc>
      </w:tr>
      <w:tr w:rsidR="004F7DB3" w:rsidRPr="00A00D87" w14:paraId="3C78DD10" w14:textId="77777777" w:rsidTr="40E7FE84">
        <w:trPr>
          <w:trHeight w:val="300"/>
          <w:jc w:val="center"/>
        </w:trPr>
        <w:tc>
          <w:tcPr>
            <w:tcW w:w="1402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cPr>
          <w:p w14:paraId="000014A4" w14:textId="568992EB" w:rsidR="004F7DB3" w:rsidRPr="006F5E1D" w:rsidRDefault="1F7125A8" w:rsidP="006F5E1D">
            <w:pPr>
              <w:spacing w:after="0"/>
              <w:rPr>
                <w:sz w:val="18"/>
                <w:szCs w:val="18"/>
              </w:rPr>
            </w:pPr>
            <w:proofErr w:type="spellStart"/>
            <w:r w:rsidRPr="006F5E1D">
              <w:rPr>
                <w:sz w:val="18"/>
                <w:szCs w:val="18"/>
              </w:rPr>
              <w:lastRenderedPageBreak/>
              <w:t>Outcome</w:t>
            </w:r>
            <w:proofErr w:type="spellEnd"/>
            <w:r w:rsidRPr="006F5E1D">
              <w:rPr>
                <w:sz w:val="18"/>
                <w:szCs w:val="18"/>
              </w:rPr>
              <w:t xml:space="preserve"> </w:t>
            </w:r>
            <w:r w:rsidR="42DD18A0" w:rsidRPr="006F5E1D">
              <w:rPr>
                <w:sz w:val="18"/>
                <w:szCs w:val="18"/>
              </w:rPr>
              <w:t>5.1</w:t>
            </w:r>
          </w:p>
        </w:tc>
      </w:tr>
      <w:tr w:rsidR="004F7DB3" w:rsidRPr="00F50786" w14:paraId="03C5782C" w14:textId="77777777" w:rsidTr="00857B81">
        <w:trPr>
          <w:trHeight w:val="300"/>
          <w:jc w:val="center"/>
        </w:trPr>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69278D" w14:textId="11B77FFE" w:rsidR="24AA8F7E" w:rsidRPr="006F5E1D" w:rsidRDefault="0DC35CF7" w:rsidP="006F5E1D">
            <w:pPr>
              <w:spacing w:after="0"/>
              <w:rPr>
                <w:sz w:val="18"/>
                <w:szCs w:val="18"/>
                <w:lang w:val="en-US"/>
              </w:rPr>
            </w:pPr>
            <w:r w:rsidRPr="006F5E1D">
              <w:rPr>
                <w:sz w:val="18"/>
                <w:szCs w:val="18"/>
                <w:lang w:val="en-US"/>
              </w:rPr>
              <w:t xml:space="preserve">M&amp;E specialist (VNU) </w:t>
            </w:r>
          </w:p>
          <w:p w14:paraId="6D4D30D4" w14:textId="2ED59BFB" w:rsidR="24AA8F7E" w:rsidRPr="006F5E1D" w:rsidRDefault="0DC35CF7" w:rsidP="006F5E1D">
            <w:pPr>
              <w:spacing w:after="0"/>
              <w:rPr>
                <w:sz w:val="18"/>
                <w:szCs w:val="18"/>
                <w:lang w:val="en-US"/>
              </w:rPr>
            </w:pPr>
            <w:r w:rsidRPr="006F5E1D">
              <w:rPr>
                <w:sz w:val="18"/>
                <w:szCs w:val="18"/>
                <w:lang w:val="en-US"/>
              </w:rPr>
              <w:t>1,250$/month</w:t>
            </w:r>
          </w:p>
          <w:p w14:paraId="050D07F8" w14:textId="19977BBF" w:rsidR="24AA8F7E" w:rsidRPr="006F5E1D" w:rsidRDefault="0D24F2AA" w:rsidP="006F5E1D">
            <w:pPr>
              <w:spacing w:after="0"/>
              <w:rPr>
                <w:sz w:val="18"/>
                <w:szCs w:val="18"/>
                <w:lang w:val="en-US"/>
              </w:rPr>
            </w:pPr>
            <w:proofErr w:type="spellStart"/>
            <w:r w:rsidRPr="006F5E1D">
              <w:rPr>
                <w:sz w:val="18"/>
                <w:szCs w:val="18"/>
                <w:lang w:val="en-US"/>
              </w:rPr>
              <w:t>Contrat</w:t>
            </w:r>
            <w:proofErr w:type="spellEnd"/>
            <w:r w:rsidRPr="006F5E1D">
              <w:rPr>
                <w:sz w:val="18"/>
                <w:szCs w:val="18"/>
                <w:lang w:val="en-US"/>
              </w:rPr>
              <w:t xml:space="preserve"> type: VNU</w:t>
            </w:r>
          </w:p>
          <w:p w14:paraId="476005DA" w14:textId="266557EC" w:rsidR="24AA8F7E" w:rsidRPr="00F50786" w:rsidRDefault="0D24F2AA" w:rsidP="006F5E1D">
            <w:pPr>
              <w:spacing w:after="0"/>
              <w:rPr>
                <w:sz w:val="18"/>
                <w:szCs w:val="18"/>
                <w:lang w:val="en-US"/>
                <w:rPrChange w:id="360" w:author="Ali Sambou" w:date="2026-01-06T13:23:00Z" w16du:dateUtc="2026-01-06T13:23:00Z">
                  <w:rPr>
                    <w:sz w:val="18"/>
                    <w:szCs w:val="18"/>
                  </w:rPr>
                </w:rPrChange>
              </w:rPr>
            </w:pPr>
            <w:r w:rsidRPr="00F50786">
              <w:rPr>
                <w:sz w:val="18"/>
                <w:szCs w:val="18"/>
                <w:lang w:val="en-US"/>
                <w:rPrChange w:id="361" w:author="Ali Sambou" w:date="2026-01-06T13:23:00Z" w16du:dateUtc="2026-01-06T13:23:00Z">
                  <w:rPr>
                    <w:sz w:val="18"/>
                    <w:szCs w:val="18"/>
                  </w:rPr>
                </w:rPrChange>
              </w:rPr>
              <w:t>See budget note : 4</w:t>
            </w:r>
            <w:r w:rsidR="006C5795" w:rsidRPr="00F50786">
              <w:rPr>
                <w:sz w:val="18"/>
                <w:szCs w:val="18"/>
                <w:lang w:val="en-US"/>
                <w:rPrChange w:id="362" w:author="Ali Sambou" w:date="2026-01-06T13:23:00Z" w16du:dateUtc="2026-01-06T13:23:00Z">
                  <w:rPr>
                    <w:sz w:val="18"/>
                    <w:szCs w:val="18"/>
                  </w:rPr>
                </w:rPrChange>
              </w:rPr>
              <w:t>7</w:t>
            </w:r>
          </w:p>
        </w:tc>
        <w:tc>
          <w:tcPr>
            <w:tcW w:w="14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1F58E7" w14:textId="382D6332" w:rsidR="24AA8F7E" w:rsidRPr="006F5E1D" w:rsidRDefault="0DC35CF7" w:rsidP="006F5E1D">
            <w:pPr>
              <w:spacing w:after="0"/>
              <w:rPr>
                <w:sz w:val="18"/>
                <w:szCs w:val="18"/>
              </w:rPr>
            </w:pPr>
            <w:r w:rsidRPr="006F5E1D">
              <w:rPr>
                <w:sz w:val="18"/>
                <w:szCs w:val="18"/>
              </w:rPr>
              <w:t xml:space="preserve">12 </w:t>
            </w:r>
            <w:proofErr w:type="spellStart"/>
            <w:r w:rsidRPr="006F5E1D">
              <w:rPr>
                <w:sz w:val="18"/>
                <w:szCs w:val="18"/>
              </w:rPr>
              <w:t>months</w:t>
            </w:r>
            <w:proofErr w:type="spellEnd"/>
            <w:r w:rsidRPr="006F5E1D">
              <w:rPr>
                <w:sz w:val="18"/>
                <w:szCs w:val="18"/>
              </w:rPr>
              <w:t xml:space="preserve"> over 5 </w:t>
            </w:r>
            <w:proofErr w:type="spellStart"/>
            <w:r w:rsidRPr="006F5E1D">
              <w:rPr>
                <w:sz w:val="18"/>
                <w:szCs w:val="18"/>
              </w:rPr>
              <w:t>years</w:t>
            </w:r>
            <w:proofErr w:type="spellEnd"/>
          </w:p>
        </w:tc>
        <w:tc>
          <w:tcPr>
            <w:tcW w:w="10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68F5B9" w14:textId="1C79A977" w:rsidR="24AA8F7E" w:rsidRPr="006F5E1D" w:rsidRDefault="0DC35CF7" w:rsidP="006F5E1D">
            <w:pPr>
              <w:spacing w:after="0"/>
              <w:rPr>
                <w:sz w:val="18"/>
                <w:szCs w:val="18"/>
                <w:lang w:val="en-US"/>
              </w:rPr>
            </w:pPr>
            <w:r w:rsidRPr="006F5E1D">
              <w:rPr>
                <w:sz w:val="18"/>
                <w:szCs w:val="18"/>
                <w:lang w:val="en-US"/>
              </w:rPr>
              <w:t xml:space="preserve">Under the </w:t>
            </w:r>
            <w:r w:rsidRPr="004A3EAF">
              <w:rPr>
                <w:b/>
                <w:bCs/>
                <w:sz w:val="18"/>
                <w:szCs w:val="18"/>
                <w:lang w:val="en-US"/>
              </w:rPr>
              <w:t>direct supervision of the Project Manager</w:t>
            </w:r>
            <w:r w:rsidRPr="006F5E1D">
              <w:rPr>
                <w:sz w:val="18"/>
                <w:szCs w:val="18"/>
                <w:lang w:val="en-US"/>
              </w:rPr>
              <w:t>, the incumbent will:</w:t>
            </w:r>
          </w:p>
          <w:p w14:paraId="3CC600C9" w14:textId="74307E2C" w:rsidR="24AA8F7E" w:rsidRPr="006F5E1D" w:rsidRDefault="0DC35CF7" w:rsidP="006F5E1D">
            <w:pPr>
              <w:spacing w:after="0"/>
              <w:rPr>
                <w:sz w:val="18"/>
                <w:szCs w:val="18"/>
                <w:lang w:val="en-US"/>
              </w:rPr>
            </w:pPr>
            <w:r w:rsidRPr="006F5E1D">
              <w:rPr>
                <w:sz w:val="18"/>
                <w:szCs w:val="18"/>
                <w:lang w:val="en-US"/>
              </w:rPr>
              <w:t>Design and update the Monitoring and Evaluation Plan, aligned with the project's Results Framework, Theory of Change, and GEF Core Indicators.</w:t>
            </w:r>
          </w:p>
          <w:p w14:paraId="7851234B" w14:textId="1D39ED5B" w:rsidR="24AA8F7E" w:rsidRPr="006F5E1D" w:rsidRDefault="0DC35CF7" w:rsidP="006F5E1D">
            <w:pPr>
              <w:spacing w:after="0"/>
              <w:rPr>
                <w:sz w:val="18"/>
                <w:szCs w:val="18"/>
                <w:lang w:val="en-US"/>
              </w:rPr>
            </w:pPr>
            <w:r w:rsidRPr="006F5E1D">
              <w:rPr>
                <w:sz w:val="18"/>
                <w:szCs w:val="18"/>
                <w:lang w:val="en-US"/>
              </w:rPr>
              <w:t>Establish data collection methodologies, baselines, and performance targets for all outcome and output indicators.</w:t>
            </w:r>
          </w:p>
          <w:p w14:paraId="3F1536B0" w14:textId="44DB9DED" w:rsidR="24AA8F7E" w:rsidRPr="006F5E1D" w:rsidRDefault="0DC35CF7" w:rsidP="006F5E1D">
            <w:pPr>
              <w:spacing w:after="0"/>
              <w:rPr>
                <w:sz w:val="18"/>
                <w:szCs w:val="18"/>
                <w:lang w:val="en-US"/>
              </w:rPr>
            </w:pPr>
            <w:r w:rsidRPr="006F5E1D">
              <w:rPr>
                <w:sz w:val="18"/>
                <w:szCs w:val="18"/>
                <w:lang w:val="en-US"/>
              </w:rPr>
              <w:t>Define responsibilities and timelines for M&amp;E activities in coordination with the PMU and partners.</w:t>
            </w:r>
          </w:p>
          <w:p w14:paraId="6A8C816B" w14:textId="3181B3E2" w:rsidR="24AA8F7E" w:rsidRPr="006F5E1D" w:rsidRDefault="0DC35CF7" w:rsidP="006F5E1D">
            <w:pPr>
              <w:spacing w:after="0"/>
              <w:rPr>
                <w:sz w:val="18"/>
                <w:szCs w:val="18"/>
                <w:lang w:val="en-US"/>
              </w:rPr>
            </w:pPr>
            <w:r w:rsidRPr="006F5E1D">
              <w:rPr>
                <w:sz w:val="18"/>
                <w:szCs w:val="18"/>
                <w:lang w:val="en-US"/>
              </w:rPr>
              <w:t>Ensure the alignment of the M&amp;E plan with UNDP-GEF monitoring requirements and standards.</w:t>
            </w:r>
          </w:p>
          <w:p w14:paraId="55BA2D92" w14:textId="2063FADC" w:rsidR="24AA8F7E" w:rsidRPr="006F5E1D" w:rsidRDefault="0DC35CF7" w:rsidP="006F5E1D">
            <w:pPr>
              <w:spacing w:after="0"/>
              <w:rPr>
                <w:sz w:val="18"/>
                <w:szCs w:val="18"/>
                <w:lang w:val="en-US"/>
              </w:rPr>
            </w:pPr>
            <w:r w:rsidRPr="006F5E1D">
              <w:rPr>
                <w:sz w:val="18"/>
                <w:szCs w:val="18"/>
                <w:lang w:val="en-US"/>
              </w:rPr>
              <w:t>Coordinate the systematic collection, verification, and analysis of project performance data from partners and implementing agencies.</w:t>
            </w:r>
          </w:p>
          <w:p w14:paraId="7FF946DB" w14:textId="787CB763" w:rsidR="24AA8F7E" w:rsidRPr="006F5E1D" w:rsidRDefault="0DC35CF7" w:rsidP="006F5E1D">
            <w:pPr>
              <w:spacing w:after="0"/>
              <w:rPr>
                <w:sz w:val="18"/>
                <w:szCs w:val="18"/>
                <w:lang w:val="en-US"/>
              </w:rPr>
            </w:pPr>
            <w:r w:rsidRPr="006F5E1D">
              <w:rPr>
                <w:sz w:val="18"/>
                <w:szCs w:val="18"/>
                <w:lang w:val="en-US"/>
              </w:rPr>
              <w:t>Maintain the project M&amp;E database, ensuring timely updates and data integrity.</w:t>
            </w:r>
          </w:p>
          <w:p w14:paraId="7D9E5DAE" w14:textId="4B5F6763" w:rsidR="24AA8F7E" w:rsidRPr="006F5E1D" w:rsidRDefault="0DC35CF7" w:rsidP="006F5E1D">
            <w:pPr>
              <w:spacing w:after="0"/>
              <w:rPr>
                <w:sz w:val="18"/>
                <w:szCs w:val="18"/>
                <w:lang w:val="en-US"/>
              </w:rPr>
            </w:pPr>
            <w:r w:rsidRPr="006F5E1D">
              <w:rPr>
                <w:sz w:val="18"/>
                <w:szCs w:val="18"/>
                <w:lang w:val="en-US"/>
              </w:rPr>
              <w:t>Produce quarterly and annual progress reports, contributing M&amp;E inputs to the Project Implementation Report (PIR) and reporting against GEF core indicators.</w:t>
            </w:r>
          </w:p>
          <w:p w14:paraId="5AB29661" w14:textId="06B55A69" w:rsidR="24AA8F7E" w:rsidRPr="006F5E1D" w:rsidRDefault="0DC35CF7" w:rsidP="006F5E1D">
            <w:pPr>
              <w:spacing w:after="0"/>
              <w:rPr>
                <w:sz w:val="18"/>
                <w:szCs w:val="18"/>
                <w:lang w:val="en-US"/>
              </w:rPr>
            </w:pPr>
            <w:r w:rsidRPr="006F5E1D">
              <w:rPr>
                <w:sz w:val="18"/>
                <w:szCs w:val="18"/>
                <w:lang w:val="en-US"/>
              </w:rPr>
              <w:t xml:space="preserve">Track cross-cutting indicators (gender, inclusion, climate resilience) and ensure data disaggregation as </w:t>
            </w:r>
            <w:proofErr w:type="spellStart"/>
            <w:proofErr w:type="gramStart"/>
            <w:r w:rsidRPr="006F5E1D">
              <w:rPr>
                <w:sz w:val="18"/>
                <w:szCs w:val="18"/>
                <w:lang w:val="en-US"/>
              </w:rPr>
              <w:t>required.Provide</w:t>
            </w:r>
            <w:proofErr w:type="spellEnd"/>
            <w:proofErr w:type="gramEnd"/>
            <w:r w:rsidRPr="006F5E1D">
              <w:rPr>
                <w:sz w:val="18"/>
                <w:szCs w:val="18"/>
                <w:lang w:val="en-US"/>
              </w:rPr>
              <w:t xml:space="preserve"> evidence-based insights to support adaptive management, flagging implementation risks or underperformance.</w:t>
            </w:r>
          </w:p>
          <w:p w14:paraId="4B04FD43" w14:textId="5F29AF1F" w:rsidR="24AA8F7E" w:rsidRPr="006F5E1D" w:rsidRDefault="0DC35CF7" w:rsidP="006F5E1D">
            <w:pPr>
              <w:spacing w:after="0"/>
              <w:rPr>
                <w:sz w:val="18"/>
                <w:szCs w:val="18"/>
                <w:lang w:val="en-US"/>
              </w:rPr>
            </w:pPr>
            <w:r w:rsidRPr="006F5E1D">
              <w:rPr>
                <w:sz w:val="18"/>
                <w:szCs w:val="18"/>
                <w:lang w:val="en-US"/>
              </w:rPr>
              <w:t>Participate in project coordination meetings and strategic planning sessions to advise on performance trends and improvements.</w:t>
            </w:r>
          </w:p>
          <w:p w14:paraId="696C0685" w14:textId="20D82197" w:rsidR="24AA8F7E" w:rsidRPr="006F5E1D" w:rsidRDefault="0DC35CF7" w:rsidP="006F5E1D">
            <w:pPr>
              <w:spacing w:after="0"/>
              <w:rPr>
                <w:sz w:val="18"/>
                <w:szCs w:val="18"/>
                <w:lang w:val="en-US"/>
              </w:rPr>
            </w:pPr>
            <w:r w:rsidRPr="006F5E1D">
              <w:rPr>
                <w:sz w:val="18"/>
                <w:szCs w:val="18"/>
                <w:lang w:val="en-US"/>
              </w:rPr>
              <w:t>Produce M&amp;E dashboards or summaries for decision-makers, including the National Directorate of Urban Planning, UNDP, and other stakeholders.</w:t>
            </w:r>
          </w:p>
          <w:p w14:paraId="4191F37B" w14:textId="41585BF5" w:rsidR="24AA8F7E" w:rsidRPr="006F5E1D" w:rsidRDefault="0DC35CF7" w:rsidP="006F5E1D">
            <w:pPr>
              <w:spacing w:after="0"/>
              <w:rPr>
                <w:sz w:val="18"/>
                <w:szCs w:val="18"/>
                <w:lang w:val="en-US"/>
              </w:rPr>
            </w:pPr>
            <w:r w:rsidRPr="006F5E1D">
              <w:rPr>
                <w:sz w:val="18"/>
                <w:szCs w:val="18"/>
                <w:lang w:val="en-US"/>
              </w:rPr>
              <w:t xml:space="preserve">Coordinate and support mid-term review and final independent evaluations, including preparation of </w:t>
            </w:r>
            <w:proofErr w:type="spellStart"/>
            <w:r w:rsidRPr="006F5E1D">
              <w:rPr>
                <w:sz w:val="18"/>
                <w:szCs w:val="18"/>
                <w:lang w:val="en-US"/>
              </w:rPr>
              <w:t>ToRs</w:t>
            </w:r>
            <w:proofErr w:type="spellEnd"/>
            <w:r w:rsidRPr="006F5E1D">
              <w:rPr>
                <w:sz w:val="18"/>
                <w:szCs w:val="18"/>
                <w:lang w:val="en-US"/>
              </w:rPr>
              <w:t>, stakeholder coordination, logistics, and information provision.</w:t>
            </w:r>
          </w:p>
          <w:p w14:paraId="3C26E2D9" w14:textId="6BEA38AB" w:rsidR="24AA8F7E" w:rsidRPr="006F5E1D" w:rsidRDefault="0DC35CF7" w:rsidP="006F5E1D">
            <w:pPr>
              <w:spacing w:after="0"/>
              <w:rPr>
                <w:sz w:val="18"/>
                <w:szCs w:val="18"/>
                <w:lang w:val="en-US"/>
              </w:rPr>
            </w:pPr>
            <w:r w:rsidRPr="006F5E1D">
              <w:rPr>
                <w:sz w:val="18"/>
                <w:szCs w:val="18"/>
                <w:lang w:val="en-US"/>
              </w:rPr>
              <w:t>Ensure the timely submission of all evaluation deliverables and GEF evaluation deadlines are met.</w:t>
            </w:r>
          </w:p>
          <w:p w14:paraId="5642D79A" w14:textId="63241224" w:rsidR="24AA8F7E" w:rsidRPr="006F5E1D" w:rsidRDefault="0DC35CF7" w:rsidP="006F5E1D">
            <w:pPr>
              <w:spacing w:after="0"/>
              <w:rPr>
                <w:sz w:val="18"/>
                <w:szCs w:val="18"/>
                <w:lang w:val="en-US"/>
              </w:rPr>
            </w:pPr>
            <w:r w:rsidRPr="006F5E1D">
              <w:rPr>
                <w:sz w:val="18"/>
                <w:szCs w:val="18"/>
                <w:lang w:val="en-US"/>
              </w:rPr>
              <w:lastRenderedPageBreak/>
              <w:t>Facilitate the use of evaluation findings through dissemination workshops and learning sessions.</w:t>
            </w:r>
          </w:p>
          <w:p w14:paraId="05E03553" w14:textId="2AC4E829" w:rsidR="24AA8F7E" w:rsidRPr="006F5E1D" w:rsidRDefault="0DC35CF7" w:rsidP="006F5E1D">
            <w:pPr>
              <w:spacing w:after="0"/>
              <w:rPr>
                <w:sz w:val="18"/>
                <w:szCs w:val="18"/>
                <w:lang w:val="en-US"/>
              </w:rPr>
            </w:pPr>
            <w:r w:rsidRPr="006F5E1D">
              <w:rPr>
                <w:sz w:val="18"/>
                <w:szCs w:val="18"/>
                <w:lang w:val="en-US"/>
              </w:rPr>
              <w:t>Train project team members and partners (e.g., municipalities, line ministries, CSOs) on results-based management and data collection tools.</w:t>
            </w:r>
          </w:p>
          <w:p w14:paraId="1711DEA2" w14:textId="79763F62" w:rsidR="24AA8F7E" w:rsidRPr="006F5E1D" w:rsidRDefault="0DC35CF7" w:rsidP="006F5E1D">
            <w:pPr>
              <w:spacing w:after="0"/>
              <w:rPr>
                <w:sz w:val="18"/>
                <w:szCs w:val="18"/>
                <w:lang w:val="en-US"/>
              </w:rPr>
            </w:pPr>
            <w:r w:rsidRPr="006F5E1D">
              <w:rPr>
                <w:sz w:val="18"/>
                <w:szCs w:val="18"/>
                <w:lang w:val="en-US"/>
              </w:rPr>
              <w:t>Develop simple data collection templates and field guides to facilitate community-level monitoring (especially for green belt and governance pilot activities).</w:t>
            </w:r>
          </w:p>
          <w:p w14:paraId="56378526" w14:textId="79337E33" w:rsidR="24AA8F7E" w:rsidRPr="006F5E1D" w:rsidRDefault="0DC35CF7" w:rsidP="006F5E1D">
            <w:pPr>
              <w:spacing w:after="0"/>
              <w:rPr>
                <w:sz w:val="18"/>
                <w:szCs w:val="18"/>
                <w:lang w:val="en-US"/>
              </w:rPr>
            </w:pPr>
            <w:r w:rsidRPr="006F5E1D">
              <w:rPr>
                <w:sz w:val="18"/>
                <w:szCs w:val="18"/>
                <w:lang w:val="en-US"/>
              </w:rPr>
              <w:t>Foster a learning and performance culture, encouraging adaptive practices based on evidence.</w:t>
            </w:r>
          </w:p>
          <w:p w14:paraId="2A70C22A" w14:textId="5FC513CA" w:rsidR="24AA8F7E" w:rsidRPr="006F5E1D" w:rsidRDefault="0DC35CF7" w:rsidP="006F5E1D">
            <w:pPr>
              <w:spacing w:after="0"/>
              <w:rPr>
                <w:sz w:val="18"/>
                <w:szCs w:val="18"/>
                <w:lang w:val="en-US"/>
              </w:rPr>
            </w:pPr>
            <w:r w:rsidRPr="006F5E1D">
              <w:rPr>
                <w:sz w:val="18"/>
                <w:szCs w:val="18"/>
                <w:lang w:val="en-US"/>
              </w:rPr>
              <w:t>Work closely with the Knowledge Management and Communication Specialist Gender and ESS specialist to:</w:t>
            </w:r>
          </w:p>
          <w:p w14:paraId="1653F49A" w14:textId="109F7B99" w:rsidR="24AA8F7E" w:rsidRPr="006F5E1D" w:rsidRDefault="0DC35CF7" w:rsidP="006F5E1D">
            <w:pPr>
              <w:spacing w:after="0"/>
              <w:rPr>
                <w:sz w:val="18"/>
                <w:szCs w:val="18"/>
                <w:lang w:val="en-US"/>
              </w:rPr>
            </w:pPr>
            <w:r w:rsidRPr="006F5E1D">
              <w:rPr>
                <w:sz w:val="18"/>
                <w:szCs w:val="18"/>
                <w:lang w:val="en-US"/>
              </w:rPr>
              <w:t>Translate M&amp;E data into knowledge products and stories of change.</w:t>
            </w:r>
          </w:p>
          <w:p w14:paraId="0BCAB72D" w14:textId="05B90DFD" w:rsidR="24AA8F7E" w:rsidRPr="006F5E1D" w:rsidRDefault="0DC35CF7" w:rsidP="006F5E1D">
            <w:pPr>
              <w:spacing w:after="0"/>
              <w:rPr>
                <w:sz w:val="18"/>
                <w:szCs w:val="18"/>
                <w:lang w:val="en-US"/>
              </w:rPr>
            </w:pPr>
            <w:r w:rsidRPr="006F5E1D">
              <w:rPr>
                <w:sz w:val="18"/>
                <w:szCs w:val="18"/>
                <w:lang w:val="en-US"/>
              </w:rPr>
              <w:t>Ensure visibility of results through infographics and briefs.</w:t>
            </w:r>
          </w:p>
          <w:p w14:paraId="665B102B" w14:textId="6CC3834B" w:rsidR="24AA8F7E" w:rsidRPr="006F5E1D" w:rsidRDefault="0DC35CF7" w:rsidP="006F5E1D">
            <w:pPr>
              <w:spacing w:after="0"/>
              <w:rPr>
                <w:sz w:val="18"/>
                <w:szCs w:val="18"/>
                <w:lang w:val="en-US"/>
              </w:rPr>
            </w:pPr>
            <w:r w:rsidRPr="006F5E1D">
              <w:rPr>
                <w:sz w:val="18"/>
                <w:szCs w:val="18"/>
                <w:lang w:val="en-US"/>
              </w:rPr>
              <w:t>Incorporate M&amp;E findings into policy dialogues and urban planning decisions</w:t>
            </w:r>
          </w:p>
          <w:p w14:paraId="403B0B26" w14:textId="7F6CF34F" w:rsidR="24AA8F7E" w:rsidRPr="006F5E1D" w:rsidRDefault="0DC35CF7" w:rsidP="006F5E1D">
            <w:pPr>
              <w:spacing w:after="0"/>
              <w:rPr>
                <w:sz w:val="18"/>
                <w:szCs w:val="18"/>
                <w:u w:val="single"/>
                <w:lang w:val="en-US"/>
              </w:rPr>
            </w:pPr>
            <w:r w:rsidRPr="006F5E1D">
              <w:rPr>
                <w:sz w:val="18"/>
                <w:szCs w:val="18"/>
                <w:lang w:val="en-US"/>
              </w:rPr>
              <w:t xml:space="preserve">Collect </w:t>
            </w:r>
            <w:proofErr w:type="spellStart"/>
            <w:r w:rsidRPr="006F5E1D">
              <w:rPr>
                <w:sz w:val="18"/>
                <w:szCs w:val="18"/>
                <w:lang w:val="en-US"/>
              </w:rPr>
              <w:t>desagregated</w:t>
            </w:r>
            <w:proofErr w:type="spellEnd"/>
            <w:r w:rsidRPr="006F5E1D">
              <w:rPr>
                <w:sz w:val="18"/>
                <w:szCs w:val="18"/>
                <w:lang w:val="en-US"/>
              </w:rPr>
              <w:t xml:space="preserve"> data and indicators</w:t>
            </w:r>
          </w:p>
        </w:tc>
      </w:tr>
    </w:tbl>
    <w:p w14:paraId="30D8A84D" w14:textId="529244F9" w:rsidR="5D8904BE" w:rsidRPr="006F5E1D" w:rsidRDefault="5D8904BE">
      <w:pPr>
        <w:rPr>
          <w:lang w:val="en-US"/>
        </w:rPr>
      </w:pPr>
    </w:p>
    <w:p w14:paraId="000014CD" w14:textId="77777777" w:rsidR="004F7DB3" w:rsidRPr="006F5E1D" w:rsidRDefault="00C00123" w:rsidP="5D8904BE">
      <w:pPr>
        <w:spacing w:after="0" w:line="240" w:lineRule="auto"/>
        <w:jc w:val="both"/>
        <w:rPr>
          <w:b/>
          <w:bCs/>
          <w:sz w:val="20"/>
          <w:szCs w:val="20"/>
          <w:lang w:val="en-US"/>
        </w:rPr>
        <w:sectPr w:rsidR="004F7DB3" w:rsidRPr="006F5E1D">
          <w:headerReference w:type="first" r:id="rId57"/>
          <w:pgSz w:w="16838" w:h="11906" w:orient="landscape"/>
          <w:pgMar w:top="720" w:right="720" w:bottom="720" w:left="720" w:header="720" w:footer="720" w:gutter="0"/>
          <w:cols w:space="720"/>
        </w:sectPr>
      </w:pPr>
      <w:r w:rsidRPr="006F5E1D">
        <w:rPr>
          <w:lang w:val="en-US"/>
        </w:rPr>
        <w:br w:type="page"/>
      </w:r>
    </w:p>
    <w:p w14:paraId="000014CE" w14:textId="77777777" w:rsidR="004F7DB3" w:rsidRPr="009804E6" w:rsidRDefault="00C00123" w:rsidP="006F5E1D">
      <w:pPr>
        <w:pStyle w:val="Titre3"/>
        <w:rPr>
          <w:lang w:val="en-US"/>
        </w:rPr>
      </w:pPr>
      <w:bookmarkStart w:id="363" w:name="_Toc200477853"/>
      <w:r w:rsidRPr="006F5E1D">
        <w:rPr>
          <w:sz w:val="22"/>
          <w:szCs w:val="22"/>
          <w:lang w:val="en-US"/>
        </w:rPr>
        <w:lastRenderedPageBreak/>
        <w:t>Annex 8: Stakeholder Engagement Plan</w:t>
      </w:r>
      <w:bookmarkEnd w:id="363"/>
      <w:r w:rsidRPr="006F5E1D">
        <w:rPr>
          <w:sz w:val="22"/>
          <w:szCs w:val="22"/>
          <w:lang w:val="en-US"/>
        </w:rPr>
        <w:t xml:space="preserve"> </w:t>
      </w:r>
    </w:p>
    <w:p w14:paraId="4C681A3F" w14:textId="2DF2DF21" w:rsidR="00D95663" w:rsidRPr="00D95663" w:rsidRDefault="00D95663" w:rsidP="37FF86E9">
      <w:pPr>
        <w:keepNext/>
        <w:spacing w:after="60" w:line="240" w:lineRule="auto"/>
        <w:jc w:val="both"/>
        <w:rPr>
          <w:rFonts w:eastAsiaTheme="majorEastAsia"/>
          <w:b/>
          <w:bCs/>
          <w:sz w:val="20"/>
          <w:szCs w:val="20"/>
          <w:lang w:val="en-US"/>
        </w:rPr>
      </w:pPr>
      <w:r w:rsidRPr="37FF86E9">
        <w:rPr>
          <w:rFonts w:eastAsiaTheme="majorEastAsia"/>
          <w:b/>
          <w:bCs/>
          <w:sz w:val="20"/>
          <w:szCs w:val="20"/>
          <w:lang w:val="en-US"/>
        </w:rPr>
        <w:t>This annex is submitted separately.</w:t>
      </w:r>
      <w:r w:rsidR="00E335E7">
        <w:rPr>
          <w:rFonts w:eastAsiaTheme="majorEastAsia"/>
          <w:b/>
          <w:bCs/>
          <w:sz w:val="20"/>
          <w:szCs w:val="20"/>
          <w:lang w:val="en-US"/>
        </w:rPr>
        <w:t xml:space="preserve"> See attached.</w:t>
      </w:r>
    </w:p>
    <w:p w14:paraId="000014D0" w14:textId="44A2C658" w:rsidR="004F7DB3" w:rsidRPr="00C00123" w:rsidRDefault="004F7DB3" w:rsidP="5D8904BE">
      <w:pPr>
        <w:spacing w:after="0" w:line="240" w:lineRule="auto"/>
        <w:rPr>
          <w:b/>
          <w:bCs/>
          <w:sz w:val="20"/>
          <w:szCs w:val="20"/>
          <w:lang w:val="en-US"/>
        </w:rPr>
      </w:pPr>
      <w:r w:rsidRPr="5D8904BE">
        <w:rPr>
          <w:lang w:val="en-US"/>
        </w:rPr>
        <w:br w:type="page"/>
      </w:r>
    </w:p>
    <w:p w14:paraId="00001505" w14:textId="77777777" w:rsidR="004F7DB3" w:rsidRPr="006F5E1D" w:rsidRDefault="00C00123" w:rsidP="006F5E1D">
      <w:pPr>
        <w:pStyle w:val="Titre3"/>
        <w:rPr>
          <w:sz w:val="22"/>
          <w:szCs w:val="22"/>
          <w:lang w:val="en-US"/>
        </w:rPr>
      </w:pPr>
      <w:bookmarkStart w:id="364" w:name="_Toc200477854"/>
      <w:r w:rsidRPr="006F5E1D">
        <w:rPr>
          <w:rFonts w:cs="Calibri"/>
          <w:sz w:val="22"/>
          <w:szCs w:val="22"/>
          <w:lang w:val="en-US"/>
        </w:rPr>
        <w:lastRenderedPageBreak/>
        <w:t>Annex 10: Gender Analysis and Gender Action Plan</w:t>
      </w:r>
      <w:bookmarkEnd w:id="364"/>
      <w:r w:rsidRPr="006F5E1D">
        <w:rPr>
          <w:rFonts w:cs="Calibri"/>
          <w:sz w:val="22"/>
          <w:szCs w:val="22"/>
          <w:lang w:val="en-US"/>
        </w:rPr>
        <w:t xml:space="preserve"> </w:t>
      </w:r>
    </w:p>
    <w:p w14:paraId="6D46EACF" w14:textId="1C827D2D" w:rsidR="00E963E7" w:rsidRPr="00D95663" w:rsidRDefault="5FB43019" w:rsidP="5D8904BE">
      <w:pPr>
        <w:keepNext/>
        <w:spacing w:after="60" w:line="240" w:lineRule="auto"/>
        <w:jc w:val="both"/>
        <w:rPr>
          <w:rFonts w:eastAsiaTheme="majorEastAsia"/>
          <w:b/>
          <w:bCs/>
          <w:sz w:val="20"/>
          <w:szCs w:val="20"/>
          <w:lang w:val="en-US"/>
        </w:rPr>
      </w:pPr>
      <w:r w:rsidRPr="5D8904BE">
        <w:rPr>
          <w:rFonts w:eastAsiaTheme="majorEastAsia"/>
          <w:b/>
          <w:bCs/>
          <w:sz w:val="20"/>
          <w:szCs w:val="20"/>
          <w:lang w:val="en-US"/>
        </w:rPr>
        <w:t xml:space="preserve">This annex is </w:t>
      </w:r>
      <w:r w:rsidR="29902D19" w:rsidRPr="5D8904BE">
        <w:rPr>
          <w:rFonts w:eastAsiaTheme="majorEastAsia"/>
          <w:b/>
          <w:bCs/>
          <w:sz w:val="20"/>
          <w:szCs w:val="20"/>
          <w:lang w:val="en-US"/>
        </w:rPr>
        <w:t>submitted separately.</w:t>
      </w:r>
      <w:r w:rsidR="00BE2FC2">
        <w:rPr>
          <w:rFonts w:eastAsiaTheme="majorEastAsia"/>
          <w:b/>
          <w:bCs/>
          <w:sz w:val="20"/>
          <w:szCs w:val="20"/>
          <w:lang w:val="en-US"/>
        </w:rPr>
        <w:t xml:space="preserve"> See attached</w:t>
      </w:r>
      <w:r w:rsidR="002C0BAD">
        <w:rPr>
          <w:rFonts w:eastAsiaTheme="majorEastAsia"/>
          <w:b/>
          <w:bCs/>
          <w:sz w:val="20"/>
          <w:szCs w:val="20"/>
          <w:lang w:val="en-US"/>
        </w:rPr>
        <w:t>.</w:t>
      </w:r>
    </w:p>
    <w:p w14:paraId="00001506" w14:textId="77777777" w:rsidR="004F7DB3" w:rsidRPr="00D95663" w:rsidRDefault="00C00123" w:rsidP="24AA8F7E">
      <w:pPr>
        <w:spacing w:after="0" w:line="240" w:lineRule="auto"/>
        <w:rPr>
          <w:b/>
          <w:bCs/>
          <w:sz w:val="20"/>
          <w:szCs w:val="20"/>
          <w:lang w:val="en-US"/>
        </w:rPr>
      </w:pPr>
      <w:r w:rsidRPr="006F5E1D">
        <w:rPr>
          <w:b/>
          <w:bCs/>
          <w:lang w:val="en-US"/>
        </w:rPr>
        <w:br w:type="page"/>
      </w:r>
    </w:p>
    <w:p w14:paraId="00001507" w14:textId="6E847256" w:rsidR="004F7DB3" w:rsidRPr="00633089" w:rsidRDefault="00C00123" w:rsidP="006F5E1D">
      <w:pPr>
        <w:pStyle w:val="Titre3"/>
        <w:rPr>
          <w:lang w:val="en-US"/>
        </w:rPr>
      </w:pPr>
      <w:bookmarkStart w:id="365" w:name="_Toc200477855"/>
      <w:r w:rsidRPr="006F5E1D">
        <w:rPr>
          <w:sz w:val="22"/>
          <w:szCs w:val="22"/>
          <w:lang w:val="en-US"/>
        </w:rPr>
        <w:lastRenderedPageBreak/>
        <w:t>Annex 11: Procurement Plan</w:t>
      </w:r>
      <w:bookmarkEnd w:id="365"/>
      <w:r w:rsidR="006F5E1D">
        <w:rPr>
          <w:sz w:val="22"/>
          <w:szCs w:val="22"/>
          <w:lang w:val="en-US"/>
        </w:rPr>
        <w:t>²</w:t>
      </w:r>
    </w:p>
    <w:tbl>
      <w:tblPr>
        <w:tblW w:w="1047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3"/>
        <w:gridCol w:w="931"/>
        <w:gridCol w:w="3005"/>
        <w:gridCol w:w="962"/>
        <w:gridCol w:w="1376"/>
        <w:gridCol w:w="680"/>
        <w:gridCol w:w="885"/>
        <w:gridCol w:w="1539"/>
      </w:tblGrid>
      <w:tr w:rsidR="002D4F22" w:rsidRPr="002D4F22" w14:paraId="5FAC0F18" w14:textId="77777777" w:rsidTr="00857B81">
        <w:trPr>
          <w:trHeight w:val="300"/>
        </w:trPr>
        <w:tc>
          <w:tcPr>
            <w:tcW w:w="1093" w:type="dxa"/>
            <w:shd w:val="clear" w:color="auto" w:fill="F7CAAC"/>
            <w:hideMark/>
          </w:tcPr>
          <w:p w14:paraId="5184125F"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b/>
                <w:bCs/>
                <w:color w:val="0F4761" w:themeColor="accent1" w:themeShade="BF"/>
                <w:sz w:val="18"/>
                <w:szCs w:val="18"/>
                <w:lang w:val="en-US"/>
              </w:rPr>
              <w:lastRenderedPageBreak/>
              <w:t>Component</w:t>
            </w:r>
            <w:r w:rsidRPr="002D4F22">
              <w:rPr>
                <w:rFonts w:eastAsiaTheme="majorEastAsia"/>
                <w:color w:val="0F4761" w:themeColor="accent1" w:themeShade="BF"/>
                <w:sz w:val="18"/>
                <w:szCs w:val="18"/>
                <w:lang w:val="en-US"/>
              </w:rPr>
              <w:t> </w:t>
            </w:r>
            <w:r w:rsidRPr="002D4F22">
              <w:rPr>
                <w:rFonts w:eastAsiaTheme="majorEastAsia"/>
                <w:color w:val="0F4761" w:themeColor="accent1" w:themeShade="BF"/>
                <w:sz w:val="18"/>
                <w:szCs w:val="18"/>
              </w:rPr>
              <w:t> </w:t>
            </w:r>
          </w:p>
        </w:tc>
        <w:tc>
          <w:tcPr>
            <w:tcW w:w="931" w:type="dxa"/>
            <w:shd w:val="clear" w:color="auto" w:fill="F7CAAC"/>
            <w:vAlign w:val="center"/>
            <w:hideMark/>
          </w:tcPr>
          <w:p w14:paraId="52C19D21"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b/>
                <w:bCs/>
                <w:color w:val="0F4761" w:themeColor="accent1" w:themeShade="BF"/>
                <w:sz w:val="18"/>
                <w:szCs w:val="18"/>
                <w:lang w:val="en-US"/>
              </w:rPr>
              <w:t>Output</w:t>
            </w:r>
            <w:r w:rsidRPr="002D4F22">
              <w:rPr>
                <w:rFonts w:eastAsiaTheme="majorEastAsia"/>
                <w:color w:val="0F4761" w:themeColor="accent1" w:themeShade="BF"/>
                <w:sz w:val="18"/>
                <w:szCs w:val="18"/>
                <w:lang w:val="en-US"/>
              </w:rPr>
              <w:t> </w:t>
            </w:r>
            <w:r w:rsidRPr="002D4F22">
              <w:rPr>
                <w:rFonts w:eastAsiaTheme="majorEastAsia"/>
                <w:color w:val="0F4761" w:themeColor="accent1" w:themeShade="BF"/>
                <w:sz w:val="18"/>
                <w:szCs w:val="18"/>
              </w:rPr>
              <w:t> </w:t>
            </w:r>
          </w:p>
        </w:tc>
        <w:tc>
          <w:tcPr>
            <w:tcW w:w="3005" w:type="dxa"/>
            <w:shd w:val="clear" w:color="auto" w:fill="F7CAAC"/>
            <w:vAlign w:val="center"/>
            <w:hideMark/>
          </w:tcPr>
          <w:p w14:paraId="68B5D3ED"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b/>
                <w:bCs/>
                <w:color w:val="0F4761" w:themeColor="accent1" w:themeShade="BF"/>
                <w:sz w:val="18"/>
                <w:szCs w:val="18"/>
                <w:lang w:val="en-US"/>
              </w:rPr>
              <w:t>Description</w:t>
            </w:r>
            <w:r w:rsidRPr="002D4F22">
              <w:rPr>
                <w:rFonts w:eastAsiaTheme="majorEastAsia"/>
                <w:color w:val="0F4761" w:themeColor="accent1" w:themeShade="BF"/>
                <w:sz w:val="18"/>
                <w:szCs w:val="18"/>
                <w:lang w:val="en-US"/>
              </w:rPr>
              <w:t> </w:t>
            </w:r>
            <w:r w:rsidRPr="002D4F22">
              <w:rPr>
                <w:rFonts w:eastAsiaTheme="majorEastAsia"/>
                <w:color w:val="0F4761" w:themeColor="accent1" w:themeShade="BF"/>
                <w:sz w:val="18"/>
                <w:szCs w:val="18"/>
              </w:rPr>
              <w:t> </w:t>
            </w:r>
          </w:p>
        </w:tc>
        <w:tc>
          <w:tcPr>
            <w:tcW w:w="962" w:type="dxa"/>
            <w:shd w:val="clear" w:color="auto" w:fill="F7CAAC"/>
            <w:vAlign w:val="center"/>
            <w:hideMark/>
          </w:tcPr>
          <w:p w14:paraId="22901C3E"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b/>
                <w:bCs/>
                <w:color w:val="0F4761" w:themeColor="accent1" w:themeShade="BF"/>
                <w:sz w:val="18"/>
                <w:szCs w:val="18"/>
                <w:lang w:val="en-US"/>
              </w:rPr>
              <w:t>Contract Type</w:t>
            </w:r>
            <w:r w:rsidRPr="002D4F22">
              <w:rPr>
                <w:rFonts w:eastAsiaTheme="majorEastAsia"/>
                <w:color w:val="0F4761" w:themeColor="accent1" w:themeShade="BF"/>
                <w:sz w:val="18"/>
                <w:szCs w:val="18"/>
              </w:rPr>
              <w:t> </w:t>
            </w:r>
          </w:p>
        </w:tc>
        <w:tc>
          <w:tcPr>
            <w:tcW w:w="1376" w:type="dxa"/>
            <w:shd w:val="clear" w:color="auto" w:fill="F7CAAC"/>
            <w:vAlign w:val="center"/>
            <w:hideMark/>
          </w:tcPr>
          <w:p w14:paraId="0D9834A4" w14:textId="77777777" w:rsidR="002D4F22" w:rsidRPr="002D4F22" w:rsidRDefault="002D4F22" w:rsidP="002D4F22">
            <w:pPr>
              <w:keepNext/>
              <w:spacing w:after="60" w:line="240" w:lineRule="auto"/>
              <w:jc w:val="both"/>
              <w:rPr>
                <w:rFonts w:eastAsiaTheme="majorEastAsia"/>
                <w:color w:val="0F4761" w:themeColor="accent1" w:themeShade="BF"/>
                <w:sz w:val="18"/>
                <w:szCs w:val="18"/>
                <w:lang w:val="en-US"/>
              </w:rPr>
            </w:pPr>
            <w:r w:rsidRPr="002D4F22">
              <w:rPr>
                <w:rFonts w:eastAsiaTheme="majorEastAsia"/>
                <w:b/>
                <w:bCs/>
                <w:color w:val="0F4761" w:themeColor="accent1" w:themeShade="BF"/>
                <w:sz w:val="18"/>
                <w:szCs w:val="18"/>
                <w:lang w:val="en-US"/>
              </w:rPr>
              <w:t>Amount of the contract [USD]</w:t>
            </w:r>
            <w:r w:rsidRPr="002D4F22">
              <w:rPr>
                <w:rFonts w:eastAsiaTheme="majorEastAsia"/>
                <w:color w:val="0F4761" w:themeColor="accent1" w:themeShade="BF"/>
                <w:sz w:val="18"/>
                <w:szCs w:val="18"/>
                <w:lang w:val="en-US"/>
              </w:rPr>
              <w:t> </w:t>
            </w:r>
          </w:p>
        </w:tc>
        <w:tc>
          <w:tcPr>
            <w:tcW w:w="680" w:type="dxa"/>
            <w:shd w:val="clear" w:color="auto" w:fill="F7CAAC"/>
            <w:vAlign w:val="center"/>
            <w:hideMark/>
          </w:tcPr>
          <w:p w14:paraId="2328414F"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b/>
                <w:bCs/>
                <w:color w:val="0F4761" w:themeColor="accent1" w:themeShade="BF"/>
                <w:sz w:val="18"/>
                <w:szCs w:val="18"/>
                <w:lang w:val="en-US"/>
              </w:rPr>
              <w:t>2026</w:t>
            </w:r>
            <w:r w:rsidRPr="002D4F22">
              <w:rPr>
                <w:rFonts w:eastAsiaTheme="majorEastAsia"/>
                <w:color w:val="0F4761" w:themeColor="accent1" w:themeShade="BF"/>
                <w:sz w:val="18"/>
                <w:szCs w:val="18"/>
              </w:rPr>
              <w:t> </w:t>
            </w:r>
          </w:p>
        </w:tc>
        <w:tc>
          <w:tcPr>
            <w:tcW w:w="885" w:type="dxa"/>
            <w:shd w:val="clear" w:color="auto" w:fill="F7CAAC"/>
            <w:vAlign w:val="center"/>
            <w:hideMark/>
          </w:tcPr>
          <w:p w14:paraId="5A5E4359"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b/>
                <w:bCs/>
                <w:color w:val="0F4761" w:themeColor="accent1" w:themeShade="BF"/>
                <w:sz w:val="18"/>
                <w:szCs w:val="18"/>
                <w:lang w:val="en-US"/>
              </w:rPr>
              <w:t>2027</w:t>
            </w:r>
            <w:r w:rsidRPr="002D4F22">
              <w:rPr>
                <w:rFonts w:eastAsiaTheme="majorEastAsia"/>
                <w:color w:val="0F4761" w:themeColor="accent1" w:themeShade="BF"/>
                <w:sz w:val="18"/>
                <w:szCs w:val="18"/>
              </w:rPr>
              <w:t> </w:t>
            </w:r>
          </w:p>
        </w:tc>
        <w:tc>
          <w:tcPr>
            <w:tcW w:w="1539" w:type="dxa"/>
            <w:shd w:val="clear" w:color="auto" w:fill="F7CAAC"/>
            <w:vAlign w:val="center"/>
            <w:hideMark/>
          </w:tcPr>
          <w:p w14:paraId="6D4A8A64"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b/>
                <w:bCs/>
                <w:color w:val="0F4761" w:themeColor="accent1" w:themeShade="BF"/>
                <w:sz w:val="18"/>
                <w:szCs w:val="18"/>
                <w:lang w:val="en-US"/>
              </w:rPr>
              <w:t>Procurement method</w:t>
            </w:r>
            <w:r w:rsidRPr="002D4F22">
              <w:rPr>
                <w:rFonts w:eastAsiaTheme="majorEastAsia"/>
                <w:color w:val="0F4761" w:themeColor="accent1" w:themeShade="BF"/>
                <w:sz w:val="18"/>
                <w:szCs w:val="18"/>
              </w:rPr>
              <w:t> </w:t>
            </w:r>
          </w:p>
        </w:tc>
      </w:tr>
      <w:tr w:rsidR="002D4F22" w:rsidRPr="002D4F22" w14:paraId="03EE7304" w14:textId="77777777" w:rsidTr="00857B81">
        <w:trPr>
          <w:trHeight w:val="300"/>
        </w:trPr>
        <w:tc>
          <w:tcPr>
            <w:tcW w:w="1093" w:type="dxa"/>
            <w:vMerge w:val="restart"/>
            <w:hideMark/>
          </w:tcPr>
          <w:p w14:paraId="66CBF3CB"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b/>
                <w:bCs/>
                <w:color w:val="0F4761" w:themeColor="accent1" w:themeShade="BF"/>
                <w:sz w:val="18"/>
                <w:szCs w:val="18"/>
                <w:lang w:val="en-US"/>
              </w:rPr>
              <w:t>Component 1: </w:t>
            </w:r>
            <w:r w:rsidRPr="002D4F22">
              <w:rPr>
                <w:rFonts w:eastAsiaTheme="majorEastAsia"/>
                <w:color w:val="0F4761" w:themeColor="accent1" w:themeShade="BF"/>
                <w:sz w:val="18"/>
                <w:szCs w:val="18"/>
              </w:rPr>
              <w:t> </w:t>
            </w:r>
          </w:p>
          <w:p w14:paraId="3954980D"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c>
          <w:tcPr>
            <w:tcW w:w="931" w:type="dxa"/>
            <w:vMerge w:val="restart"/>
            <w:hideMark/>
          </w:tcPr>
          <w:p w14:paraId="7D59F460"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1.1.1</w:t>
            </w:r>
            <w:r w:rsidRPr="002D4F22">
              <w:rPr>
                <w:rFonts w:eastAsiaTheme="majorEastAsia"/>
                <w:color w:val="0F4761" w:themeColor="accent1" w:themeShade="BF"/>
                <w:sz w:val="18"/>
                <w:szCs w:val="18"/>
              </w:rPr>
              <w:t> </w:t>
            </w:r>
          </w:p>
        </w:tc>
        <w:tc>
          <w:tcPr>
            <w:tcW w:w="3005" w:type="dxa"/>
            <w:vAlign w:val="center"/>
            <w:hideMark/>
          </w:tcPr>
          <w:p w14:paraId="7F00F5EA" w14:textId="77777777" w:rsidR="002D4F22" w:rsidRPr="002D4F22" w:rsidRDefault="002D4F22" w:rsidP="002D4F22">
            <w:pPr>
              <w:keepNext/>
              <w:spacing w:after="60" w:line="240" w:lineRule="auto"/>
              <w:jc w:val="both"/>
              <w:rPr>
                <w:rFonts w:eastAsiaTheme="majorEastAsia"/>
                <w:color w:val="0F4761" w:themeColor="accent1" w:themeShade="BF"/>
                <w:sz w:val="18"/>
                <w:szCs w:val="18"/>
                <w:lang w:val="en-US"/>
              </w:rPr>
            </w:pPr>
            <w:r w:rsidRPr="002D4F22">
              <w:rPr>
                <w:rFonts w:eastAsiaTheme="majorEastAsia"/>
                <w:color w:val="0F4761" w:themeColor="accent1" w:themeShade="BF"/>
                <w:sz w:val="18"/>
                <w:szCs w:val="18"/>
                <w:lang w:val="en-US"/>
              </w:rPr>
              <w:t>Recruitment of a consultancy firm to update of the National Cities Policy and elaboration of its implementation strategy </w:t>
            </w:r>
          </w:p>
        </w:tc>
        <w:tc>
          <w:tcPr>
            <w:tcW w:w="962" w:type="dxa"/>
            <w:vAlign w:val="center"/>
            <w:hideMark/>
          </w:tcPr>
          <w:p w14:paraId="62E719B3"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Contractual service </w:t>
            </w:r>
            <w:r w:rsidRPr="002D4F22">
              <w:rPr>
                <w:rFonts w:eastAsiaTheme="majorEastAsia"/>
                <w:color w:val="0F4761" w:themeColor="accent1" w:themeShade="BF"/>
                <w:sz w:val="18"/>
                <w:szCs w:val="18"/>
              </w:rPr>
              <w:t> </w:t>
            </w:r>
          </w:p>
        </w:tc>
        <w:tc>
          <w:tcPr>
            <w:tcW w:w="1376" w:type="dxa"/>
            <w:vAlign w:val="center"/>
            <w:hideMark/>
          </w:tcPr>
          <w:p w14:paraId="56D1E66E" w14:textId="05DE1C2C" w:rsidR="002D4F22" w:rsidRPr="002D4F22" w:rsidRDefault="003F3D1F" w:rsidP="002D4F22">
            <w:pPr>
              <w:keepNext/>
              <w:spacing w:after="60" w:line="240" w:lineRule="auto"/>
              <w:jc w:val="both"/>
              <w:rPr>
                <w:rFonts w:eastAsiaTheme="majorEastAsia"/>
                <w:color w:val="0F4761" w:themeColor="accent1" w:themeShade="BF"/>
                <w:sz w:val="18"/>
                <w:szCs w:val="18"/>
              </w:rPr>
            </w:pPr>
            <w:r w:rsidRPr="00857B81">
              <w:rPr>
                <w:rFonts w:eastAsiaTheme="majorEastAsia"/>
                <w:color w:val="0F4761" w:themeColor="accent1" w:themeShade="BF"/>
                <w:sz w:val="18"/>
                <w:szCs w:val="18"/>
                <w:highlight w:val="yellow"/>
                <w:lang w:val="en-US"/>
              </w:rPr>
              <w:t>7</w:t>
            </w:r>
            <w:r w:rsidR="002D4F22" w:rsidRPr="00857B81">
              <w:rPr>
                <w:rFonts w:eastAsiaTheme="majorEastAsia"/>
                <w:color w:val="0F4761" w:themeColor="accent1" w:themeShade="BF"/>
                <w:sz w:val="18"/>
                <w:szCs w:val="18"/>
                <w:highlight w:val="yellow"/>
                <w:lang w:val="en-US"/>
              </w:rPr>
              <w:t>0,000</w:t>
            </w:r>
            <w:r w:rsidR="002D4F22" w:rsidRPr="002D4F22">
              <w:rPr>
                <w:rFonts w:eastAsiaTheme="majorEastAsia"/>
                <w:color w:val="0F4761" w:themeColor="accent1" w:themeShade="BF"/>
                <w:sz w:val="18"/>
                <w:szCs w:val="18"/>
              </w:rPr>
              <w:t> </w:t>
            </w:r>
          </w:p>
        </w:tc>
        <w:tc>
          <w:tcPr>
            <w:tcW w:w="680" w:type="dxa"/>
            <w:vAlign w:val="center"/>
            <w:hideMark/>
          </w:tcPr>
          <w:p w14:paraId="4D81F435"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x</w:t>
            </w:r>
            <w:r w:rsidRPr="002D4F22">
              <w:rPr>
                <w:rFonts w:eastAsiaTheme="majorEastAsia"/>
                <w:color w:val="0F4761" w:themeColor="accent1" w:themeShade="BF"/>
                <w:sz w:val="18"/>
                <w:szCs w:val="18"/>
              </w:rPr>
              <w:t> </w:t>
            </w:r>
          </w:p>
        </w:tc>
        <w:tc>
          <w:tcPr>
            <w:tcW w:w="885" w:type="dxa"/>
            <w:vAlign w:val="center"/>
            <w:hideMark/>
          </w:tcPr>
          <w:p w14:paraId="0D8284D3"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c>
          <w:tcPr>
            <w:tcW w:w="1539" w:type="dxa"/>
            <w:vAlign w:val="center"/>
            <w:hideMark/>
          </w:tcPr>
          <w:p w14:paraId="632E57E2"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Request for Proposal</w:t>
            </w:r>
            <w:r w:rsidRPr="002D4F22">
              <w:rPr>
                <w:rFonts w:eastAsiaTheme="majorEastAsia"/>
                <w:color w:val="0F4761" w:themeColor="accent1" w:themeShade="BF"/>
                <w:sz w:val="18"/>
                <w:szCs w:val="18"/>
              </w:rPr>
              <w:t> </w:t>
            </w:r>
          </w:p>
        </w:tc>
      </w:tr>
      <w:tr w:rsidR="002D4F22" w:rsidRPr="002D4F22" w14:paraId="776587FB" w14:textId="77777777" w:rsidTr="00857B81">
        <w:trPr>
          <w:trHeight w:val="300"/>
        </w:trPr>
        <w:tc>
          <w:tcPr>
            <w:tcW w:w="1093" w:type="dxa"/>
            <w:vMerge/>
            <w:vAlign w:val="center"/>
            <w:hideMark/>
          </w:tcPr>
          <w:p w14:paraId="6DBF01DE"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p>
        </w:tc>
        <w:tc>
          <w:tcPr>
            <w:tcW w:w="931" w:type="dxa"/>
            <w:vMerge/>
            <w:vAlign w:val="center"/>
            <w:hideMark/>
          </w:tcPr>
          <w:p w14:paraId="53B7A24D"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p>
        </w:tc>
        <w:tc>
          <w:tcPr>
            <w:tcW w:w="3005" w:type="dxa"/>
            <w:vAlign w:val="center"/>
            <w:hideMark/>
          </w:tcPr>
          <w:p w14:paraId="46DA392B" w14:textId="46CEACFF" w:rsidR="002D4F22" w:rsidRPr="00857B81" w:rsidRDefault="002D4F22" w:rsidP="002D4F22">
            <w:pPr>
              <w:keepNext/>
              <w:spacing w:after="60" w:line="240" w:lineRule="auto"/>
              <w:jc w:val="both"/>
              <w:rPr>
                <w:rFonts w:eastAsiaTheme="majorEastAsia"/>
                <w:color w:val="0F4761" w:themeColor="accent1" w:themeShade="BF"/>
                <w:sz w:val="18"/>
                <w:szCs w:val="18"/>
                <w:highlight w:val="yellow"/>
                <w:lang w:val="en-US"/>
              </w:rPr>
            </w:pPr>
            <w:r w:rsidRPr="00857B81">
              <w:rPr>
                <w:rFonts w:eastAsiaTheme="majorEastAsia"/>
                <w:color w:val="0F4761" w:themeColor="accent1" w:themeShade="BF"/>
                <w:sz w:val="18"/>
                <w:szCs w:val="18"/>
                <w:highlight w:val="yellow"/>
                <w:lang w:val="en-US"/>
              </w:rPr>
              <w:t xml:space="preserve">Recruitment of a Consultancy Firm </w:t>
            </w:r>
            <w:proofErr w:type="gramStart"/>
            <w:r w:rsidRPr="00857B81">
              <w:rPr>
                <w:rFonts w:eastAsiaTheme="majorEastAsia"/>
                <w:color w:val="0F4761" w:themeColor="accent1" w:themeShade="BF"/>
                <w:sz w:val="18"/>
                <w:szCs w:val="18"/>
                <w:highlight w:val="yellow"/>
                <w:lang w:val="en-US"/>
              </w:rPr>
              <w:t xml:space="preserve">to </w:t>
            </w:r>
            <w:r w:rsidR="00FE72AA" w:rsidRPr="00857B81">
              <w:rPr>
                <w:rFonts w:eastAsiaTheme="majorEastAsia"/>
                <w:color w:val="0F4761" w:themeColor="accent1" w:themeShade="BF"/>
                <w:sz w:val="18"/>
                <w:szCs w:val="18"/>
                <w:highlight w:val="yellow"/>
                <w:lang w:val="en-US"/>
              </w:rPr>
              <w:t xml:space="preserve"> Strengthen</w:t>
            </w:r>
            <w:proofErr w:type="gramEnd"/>
            <w:r w:rsidR="00FE72AA" w:rsidRPr="00857B81">
              <w:rPr>
                <w:rFonts w:eastAsiaTheme="majorEastAsia"/>
                <w:color w:val="0F4761" w:themeColor="accent1" w:themeShade="BF"/>
                <w:sz w:val="18"/>
                <w:szCs w:val="18"/>
                <w:highlight w:val="yellow"/>
                <w:lang w:val="en-US"/>
              </w:rPr>
              <w:t xml:space="preserve"> Spatial Planning and Land Governance in the future Unified District of Bamako</w:t>
            </w:r>
            <w:r w:rsidR="00F219D3" w:rsidRPr="00857B81">
              <w:rPr>
                <w:rFonts w:eastAsiaTheme="majorEastAsia"/>
                <w:color w:val="0F4761" w:themeColor="accent1" w:themeShade="BF"/>
                <w:sz w:val="18"/>
                <w:szCs w:val="18"/>
                <w:highlight w:val="yellow"/>
                <w:lang w:val="en-US"/>
              </w:rPr>
              <w:t xml:space="preserve"> (including elaborate four the land use plans for Municipalities of </w:t>
            </w:r>
            <w:proofErr w:type="spellStart"/>
            <w:r w:rsidR="00F219D3" w:rsidRPr="00857B81">
              <w:rPr>
                <w:rFonts w:eastAsiaTheme="majorEastAsia"/>
                <w:color w:val="0F4761" w:themeColor="accent1" w:themeShade="BF"/>
                <w:sz w:val="18"/>
                <w:szCs w:val="18"/>
                <w:highlight w:val="yellow"/>
                <w:lang w:val="en-US"/>
              </w:rPr>
              <w:t>Dialakorodji</w:t>
            </w:r>
            <w:proofErr w:type="spellEnd"/>
            <w:r w:rsidR="00F219D3" w:rsidRPr="00857B81">
              <w:rPr>
                <w:rFonts w:eastAsiaTheme="majorEastAsia"/>
                <w:color w:val="0F4761" w:themeColor="accent1" w:themeShade="BF"/>
                <w:sz w:val="18"/>
                <w:szCs w:val="18"/>
                <w:highlight w:val="yellow"/>
                <w:lang w:val="en-US"/>
              </w:rPr>
              <w:t xml:space="preserve">, </w:t>
            </w:r>
            <w:proofErr w:type="spellStart"/>
            <w:r w:rsidR="00F219D3" w:rsidRPr="00857B81">
              <w:rPr>
                <w:rFonts w:eastAsiaTheme="majorEastAsia"/>
                <w:color w:val="0F4761" w:themeColor="accent1" w:themeShade="BF"/>
                <w:sz w:val="18"/>
                <w:szCs w:val="18"/>
                <w:highlight w:val="yellow"/>
                <w:lang w:val="en-US"/>
              </w:rPr>
              <w:t>Dogodouma</w:t>
            </w:r>
            <w:proofErr w:type="spellEnd"/>
            <w:r w:rsidR="00F219D3" w:rsidRPr="00857B81">
              <w:rPr>
                <w:rFonts w:eastAsiaTheme="majorEastAsia"/>
                <w:color w:val="0F4761" w:themeColor="accent1" w:themeShade="BF"/>
                <w:sz w:val="18"/>
                <w:szCs w:val="18"/>
                <w:highlight w:val="yellow"/>
                <w:lang w:val="en-US"/>
              </w:rPr>
              <w:t xml:space="preserve">, </w:t>
            </w:r>
            <w:proofErr w:type="spellStart"/>
            <w:r w:rsidR="00F219D3" w:rsidRPr="00857B81">
              <w:rPr>
                <w:rFonts w:eastAsiaTheme="majorEastAsia"/>
                <w:color w:val="0F4761" w:themeColor="accent1" w:themeShade="BF"/>
                <w:sz w:val="18"/>
                <w:szCs w:val="18"/>
                <w:highlight w:val="yellow"/>
                <w:lang w:val="en-US"/>
              </w:rPr>
              <w:t>Moribabougou</w:t>
            </w:r>
            <w:proofErr w:type="spellEnd"/>
            <w:r w:rsidR="00F219D3" w:rsidRPr="00857B81">
              <w:rPr>
                <w:rFonts w:eastAsiaTheme="majorEastAsia"/>
                <w:color w:val="0F4761" w:themeColor="accent1" w:themeShade="BF"/>
                <w:sz w:val="18"/>
                <w:szCs w:val="18"/>
                <w:highlight w:val="yellow"/>
                <w:lang w:val="en-US"/>
              </w:rPr>
              <w:t xml:space="preserve">, N'Gabacoro Droit and </w:t>
            </w:r>
            <w:proofErr w:type="spellStart"/>
            <w:r w:rsidR="00F219D3" w:rsidRPr="00857B81">
              <w:rPr>
                <w:rFonts w:eastAsiaTheme="majorEastAsia"/>
                <w:color w:val="0F4761" w:themeColor="accent1" w:themeShade="BF"/>
                <w:sz w:val="18"/>
                <w:szCs w:val="18"/>
                <w:highlight w:val="yellow"/>
                <w:lang w:val="en-US"/>
              </w:rPr>
              <w:t>Sangarébougou</w:t>
            </w:r>
            <w:proofErr w:type="spellEnd"/>
            <w:r w:rsidR="00F219D3" w:rsidRPr="00857B81">
              <w:rPr>
                <w:rFonts w:eastAsiaTheme="majorEastAsia"/>
                <w:color w:val="0F4761" w:themeColor="accent1" w:themeShade="BF"/>
                <w:sz w:val="18"/>
                <w:szCs w:val="18"/>
                <w:highlight w:val="yellow"/>
                <w:lang w:val="en-US"/>
              </w:rPr>
              <w:t xml:space="preserve"> in coherence with the future</w:t>
            </w:r>
            <w:r w:rsidR="003E47B1" w:rsidRPr="00857B81">
              <w:rPr>
                <w:rFonts w:eastAsiaTheme="majorEastAsia"/>
                <w:color w:val="0F4761" w:themeColor="accent1" w:themeShade="BF"/>
                <w:sz w:val="18"/>
                <w:szCs w:val="18"/>
                <w:highlight w:val="yellow"/>
                <w:lang w:val="en-US"/>
              </w:rPr>
              <w:t xml:space="preserve"> </w:t>
            </w:r>
            <w:r w:rsidR="00E467EF" w:rsidRPr="00857B81">
              <w:rPr>
                <w:rFonts w:eastAsiaTheme="majorEastAsia"/>
                <w:color w:val="0F4761" w:themeColor="accent1" w:themeShade="BF"/>
                <w:sz w:val="18"/>
                <w:szCs w:val="18"/>
                <w:highlight w:val="yellow"/>
                <w:lang w:val="en-US"/>
              </w:rPr>
              <w:t>Greater Bamako Areas</w:t>
            </w:r>
            <w:r w:rsidR="00F219D3" w:rsidRPr="00857B81">
              <w:rPr>
                <w:rFonts w:eastAsiaTheme="majorEastAsia"/>
                <w:color w:val="0F4761" w:themeColor="accent1" w:themeShade="BF"/>
                <w:sz w:val="18"/>
                <w:szCs w:val="18"/>
                <w:highlight w:val="yellow"/>
                <w:lang w:val="en-US"/>
              </w:rPr>
              <w:t xml:space="preserve"> and scale up </w:t>
            </w:r>
            <w:r w:rsidR="001D4720" w:rsidRPr="00857B81">
              <w:rPr>
                <w:rFonts w:eastAsiaTheme="majorEastAsia"/>
                <w:color w:val="0F4761" w:themeColor="accent1" w:themeShade="BF"/>
                <w:sz w:val="18"/>
                <w:szCs w:val="18"/>
                <w:highlight w:val="yellow"/>
                <w:lang w:val="en-US"/>
              </w:rPr>
              <w:t xml:space="preserve"> </w:t>
            </w:r>
            <w:r w:rsidR="00197AE5" w:rsidRPr="00857B81">
              <w:rPr>
                <w:rFonts w:eastAsiaTheme="majorEastAsia"/>
                <w:color w:val="0F4761" w:themeColor="accent1" w:themeShade="BF"/>
                <w:sz w:val="18"/>
                <w:szCs w:val="18"/>
                <w:highlight w:val="yellow"/>
                <w:lang w:val="en-US"/>
              </w:rPr>
              <w:t xml:space="preserve">systematic registration in Bamako) </w:t>
            </w:r>
            <w:r w:rsidR="001D4720" w:rsidRPr="00857B81">
              <w:rPr>
                <w:rFonts w:eastAsiaTheme="majorEastAsia"/>
                <w:color w:val="0F4761" w:themeColor="accent1" w:themeShade="BF"/>
                <w:sz w:val="18"/>
                <w:szCs w:val="18"/>
                <w:highlight w:val="yellow"/>
                <w:lang w:val="en-US"/>
              </w:rPr>
              <w:t>(</w:t>
            </w:r>
          </w:p>
        </w:tc>
        <w:tc>
          <w:tcPr>
            <w:tcW w:w="962" w:type="dxa"/>
            <w:vAlign w:val="center"/>
            <w:hideMark/>
          </w:tcPr>
          <w:p w14:paraId="3CCFEE41" w14:textId="77777777" w:rsidR="002D4F22" w:rsidRPr="00857B81" w:rsidRDefault="002D4F22" w:rsidP="002D4F22">
            <w:pPr>
              <w:keepNext/>
              <w:spacing w:after="60" w:line="240" w:lineRule="auto"/>
              <w:jc w:val="both"/>
              <w:rPr>
                <w:rFonts w:eastAsiaTheme="majorEastAsia"/>
                <w:color w:val="0F4761" w:themeColor="accent1" w:themeShade="BF"/>
                <w:sz w:val="18"/>
                <w:szCs w:val="18"/>
                <w:highlight w:val="yellow"/>
              </w:rPr>
            </w:pPr>
            <w:r w:rsidRPr="00857B81">
              <w:rPr>
                <w:rFonts w:eastAsiaTheme="majorEastAsia"/>
                <w:color w:val="0F4761" w:themeColor="accent1" w:themeShade="BF"/>
                <w:sz w:val="18"/>
                <w:szCs w:val="18"/>
                <w:highlight w:val="yellow"/>
                <w:lang w:val="en-US"/>
              </w:rPr>
              <w:t>Contractual service</w:t>
            </w:r>
            <w:r w:rsidRPr="00857B81">
              <w:rPr>
                <w:rFonts w:eastAsiaTheme="majorEastAsia"/>
                <w:color w:val="0F4761" w:themeColor="accent1" w:themeShade="BF"/>
                <w:sz w:val="18"/>
                <w:szCs w:val="18"/>
                <w:highlight w:val="yellow"/>
              </w:rPr>
              <w:t> </w:t>
            </w:r>
          </w:p>
        </w:tc>
        <w:tc>
          <w:tcPr>
            <w:tcW w:w="1376" w:type="dxa"/>
            <w:vAlign w:val="center"/>
            <w:hideMark/>
          </w:tcPr>
          <w:p w14:paraId="0FF3FFF8" w14:textId="01CF9F49" w:rsidR="002D4F22" w:rsidRPr="00857B81" w:rsidRDefault="001D4720" w:rsidP="002D4F22">
            <w:pPr>
              <w:keepNext/>
              <w:spacing w:after="60" w:line="240" w:lineRule="auto"/>
              <w:jc w:val="both"/>
              <w:rPr>
                <w:rFonts w:eastAsiaTheme="majorEastAsia"/>
                <w:color w:val="0F4761" w:themeColor="accent1" w:themeShade="BF"/>
                <w:sz w:val="18"/>
                <w:szCs w:val="18"/>
                <w:highlight w:val="yellow"/>
              </w:rPr>
            </w:pPr>
            <w:r w:rsidRPr="00857B81">
              <w:rPr>
                <w:rFonts w:eastAsiaTheme="majorEastAsia"/>
                <w:color w:val="0F4761" w:themeColor="accent1" w:themeShade="BF"/>
                <w:sz w:val="18"/>
                <w:szCs w:val="18"/>
                <w:highlight w:val="yellow"/>
                <w:lang w:val="en-US"/>
              </w:rPr>
              <w:t>1</w:t>
            </w:r>
            <w:r w:rsidR="00EF306A" w:rsidRPr="00857B81">
              <w:rPr>
                <w:rFonts w:eastAsiaTheme="majorEastAsia"/>
                <w:color w:val="0F4761" w:themeColor="accent1" w:themeShade="BF"/>
                <w:sz w:val="18"/>
                <w:szCs w:val="18"/>
                <w:highlight w:val="yellow"/>
                <w:lang w:val="en-US"/>
              </w:rPr>
              <w:t>3</w:t>
            </w:r>
            <w:r w:rsidR="003F3D1F" w:rsidRPr="00857B81">
              <w:rPr>
                <w:rFonts w:eastAsiaTheme="majorEastAsia"/>
                <w:color w:val="0F4761" w:themeColor="accent1" w:themeShade="BF"/>
                <w:sz w:val="18"/>
                <w:szCs w:val="18"/>
                <w:highlight w:val="yellow"/>
                <w:lang w:val="en-US"/>
              </w:rPr>
              <w:t>1</w:t>
            </w:r>
            <w:r w:rsidR="002D4F22" w:rsidRPr="00857B81">
              <w:rPr>
                <w:rFonts w:eastAsiaTheme="majorEastAsia"/>
                <w:color w:val="0F4761" w:themeColor="accent1" w:themeShade="BF"/>
                <w:sz w:val="18"/>
                <w:szCs w:val="18"/>
                <w:highlight w:val="yellow"/>
                <w:lang w:val="en-US"/>
              </w:rPr>
              <w:t>,000</w:t>
            </w:r>
            <w:r w:rsidR="002D4F22" w:rsidRPr="00857B81">
              <w:rPr>
                <w:rFonts w:eastAsiaTheme="majorEastAsia"/>
                <w:color w:val="0F4761" w:themeColor="accent1" w:themeShade="BF"/>
                <w:sz w:val="18"/>
                <w:szCs w:val="18"/>
                <w:highlight w:val="yellow"/>
              </w:rPr>
              <w:t> </w:t>
            </w:r>
          </w:p>
        </w:tc>
        <w:tc>
          <w:tcPr>
            <w:tcW w:w="680" w:type="dxa"/>
            <w:vAlign w:val="center"/>
            <w:hideMark/>
          </w:tcPr>
          <w:p w14:paraId="1EAF8418"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c>
          <w:tcPr>
            <w:tcW w:w="885" w:type="dxa"/>
            <w:vAlign w:val="center"/>
            <w:hideMark/>
          </w:tcPr>
          <w:p w14:paraId="4E6B4CA2"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x</w:t>
            </w:r>
            <w:r w:rsidRPr="002D4F22">
              <w:rPr>
                <w:rFonts w:eastAsiaTheme="majorEastAsia"/>
                <w:color w:val="0F4761" w:themeColor="accent1" w:themeShade="BF"/>
                <w:sz w:val="18"/>
                <w:szCs w:val="18"/>
              </w:rPr>
              <w:t> </w:t>
            </w:r>
          </w:p>
        </w:tc>
        <w:tc>
          <w:tcPr>
            <w:tcW w:w="1539" w:type="dxa"/>
            <w:vAlign w:val="center"/>
            <w:hideMark/>
          </w:tcPr>
          <w:p w14:paraId="0567BA5F"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Request for Proposal</w:t>
            </w:r>
            <w:r w:rsidRPr="002D4F22">
              <w:rPr>
                <w:rFonts w:eastAsiaTheme="majorEastAsia"/>
                <w:color w:val="0F4761" w:themeColor="accent1" w:themeShade="BF"/>
                <w:sz w:val="18"/>
                <w:szCs w:val="18"/>
              </w:rPr>
              <w:t> </w:t>
            </w:r>
          </w:p>
        </w:tc>
      </w:tr>
      <w:tr w:rsidR="002D4F22" w:rsidRPr="002D4F22" w14:paraId="7CA65714" w14:textId="77777777" w:rsidTr="00857B81">
        <w:trPr>
          <w:trHeight w:val="300"/>
        </w:trPr>
        <w:tc>
          <w:tcPr>
            <w:tcW w:w="1093" w:type="dxa"/>
            <w:vMerge/>
            <w:vAlign w:val="center"/>
            <w:hideMark/>
          </w:tcPr>
          <w:p w14:paraId="58E49548"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p>
        </w:tc>
        <w:tc>
          <w:tcPr>
            <w:tcW w:w="931" w:type="dxa"/>
            <w:vMerge/>
            <w:vAlign w:val="center"/>
            <w:hideMark/>
          </w:tcPr>
          <w:p w14:paraId="543FE271"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p>
        </w:tc>
        <w:tc>
          <w:tcPr>
            <w:tcW w:w="3005" w:type="dxa"/>
            <w:vAlign w:val="center"/>
            <w:hideMark/>
          </w:tcPr>
          <w:p w14:paraId="31DEE97C" w14:textId="77777777" w:rsidR="002D4F22" w:rsidRPr="002D4F22" w:rsidRDefault="002D4F22" w:rsidP="002D4F22">
            <w:pPr>
              <w:keepNext/>
              <w:spacing w:after="60" w:line="240" w:lineRule="auto"/>
              <w:jc w:val="both"/>
              <w:rPr>
                <w:rFonts w:eastAsiaTheme="majorEastAsia"/>
                <w:color w:val="0F4761" w:themeColor="accent1" w:themeShade="BF"/>
                <w:sz w:val="18"/>
                <w:szCs w:val="18"/>
                <w:lang w:val="en-US"/>
              </w:rPr>
            </w:pPr>
            <w:r w:rsidRPr="002D4F22">
              <w:rPr>
                <w:rFonts w:eastAsiaTheme="majorEastAsia"/>
                <w:color w:val="0F4761" w:themeColor="accent1" w:themeShade="BF"/>
                <w:sz w:val="18"/>
                <w:szCs w:val="18"/>
                <w:lang w:val="en-US"/>
              </w:rPr>
              <w:t>Recruitment of consultancy firm to elaboration environmental impact assessment for the 4-land use planning   </w:t>
            </w:r>
          </w:p>
        </w:tc>
        <w:tc>
          <w:tcPr>
            <w:tcW w:w="962" w:type="dxa"/>
            <w:vAlign w:val="center"/>
            <w:hideMark/>
          </w:tcPr>
          <w:p w14:paraId="4FB00B1E"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Contractual service</w:t>
            </w:r>
            <w:r w:rsidRPr="002D4F22">
              <w:rPr>
                <w:rFonts w:eastAsiaTheme="majorEastAsia"/>
                <w:color w:val="0F4761" w:themeColor="accent1" w:themeShade="BF"/>
                <w:sz w:val="18"/>
                <w:szCs w:val="18"/>
              </w:rPr>
              <w:t> </w:t>
            </w:r>
          </w:p>
          <w:p w14:paraId="2FA76C45"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c>
          <w:tcPr>
            <w:tcW w:w="1376" w:type="dxa"/>
            <w:vAlign w:val="center"/>
            <w:hideMark/>
          </w:tcPr>
          <w:p w14:paraId="44F15BE6" w14:textId="1BA423B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60,000</w:t>
            </w:r>
            <w:r w:rsidRPr="002D4F22">
              <w:rPr>
                <w:rFonts w:eastAsiaTheme="majorEastAsia"/>
                <w:color w:val="0F4761" w:themeColor="accent1" w:themeShade="BF"/>
                <w:sz w:val="18"/>
                <w:szCs w:val="18"/>
              </w:rPr>
              <w:t> </w:t>
            </w:r>
          </w:p>
        </w:tc>
        <w:tc>
          <w:tcPr>
            <w:tcW w:w="680" w:type="dxa"/>
            <w:vAlign w:val="center"/>
            <w:hideMark/>
          </w:tcPr>
          <w:p w14:paraId="7A5F4F4F"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c>
          <w:tcPr>
            <w:tcW w:w="885" w:type="dxa"/>
            <w:vAlign w:val="center"/>
            <w:hideMark/>
          </w:tcPr>
          <w:p w14:paraId="357271DA"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x</w:t>
            </w:r>
            <w:r w:rsidRPr="002D4F22">
              <w:rPr>
                <w:rFonts w:eastAsiaTheme="majorEastAsia"/>
                <w:color w:val="0F4761" w:themeColor="accent1" w:themeShade="BF"/>
                <w:sz w:val="18"/>
                <w:szCs w:val="18"/>
              </w:rPr>
              <w:t> </w:t>
            </w:r>
          </w:p>
        </w:tc>
        <w:tc>
          <w:tcPr>
            <w:tcW w:w="1539" w:type="dxa"/>
            <w:vAlign w:val="center"/>
            <w:hideMark/>
          </w:tcPr>
          <w:p w14:paraId="02867E42"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Request for proposal</w:t>
            </w:r>
            <w:r w:rsidRPr="002D4F22">
              <w:rPr>
                <w:rFonts w:eastAsiaTheme="majorEastAsia"/>
                <w:color w:val="0F4761" w:themeColor="accent1" w:themeShade="BF"/>
                <w:sz w:val="18"/>
                <w:szCs w:val="18"/>
              </w:rPr>
              <w:t> </w:t>
            </w:r>
          </w:p>
        </w:tc>
      </w:tr>
      <w:tr w:rsidR="002D4F22" w:rsidRPr="002D4F22" w14:paraId="6BA90FAB" w14:textId="77777777" w:rsidTr="00857B81">
        <w:trPr>
          <w:trHeight w:val="300"/>
        </w:trPr>
        <w:tc>
          <w:tcPr>
            <w:tcW w:w="1093" w:type="dxa"/>
            <w:vMerge/>
            <w:vAlign w:val="center"/>
            <w:hideMark/>
          </w:tcPr>
          <w:p w14:paraId="03CFC1D4"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p>
        </w:tc>
        <w:tc>
          <w:tcPr>
            <w:tcW w:w="931" w:type="dxa"/>
            <w:vMerge/>
            <w:vAlign w:val="center"/>
            <w:hideMark/>
          </w:tcPr>
          <w:p w14:paraId="544BA719"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p>
        </w:tc>
        <w:tc>
          <w:tcPr>
            <w:tcW w:w="3005" w:type="dxa"/>
            <w:vAlign w:val="center"/>
            <w:hideMark/>
          </w:tcPr>
          <w:p w14:paraId="7556560D" w14:textId="77777777" w:rsidR="002D4F22" w:rsidRPr="002D4F22" w:rsidRDefault="002D4F22" w:rsidP="002D4F22">
            <w:pPr>
              <w:keepNext/>
              <w:spacing w:after="60" w:line="240" w:lineRule="auto"/>
              <w:jc w:val="both"/>
              <w:rPr>
                <w:rFonts w:eastAsiaTheme="majorEastAsia"/>
                <w:color w:val="0F4761" w:themeColor="accent1" w:themeShade="BF"/>
                <w:sz w:val="18"/>
                <w:szCs w:val="18"/>
                <w:lang w:val="en-US"/>
              </w:rPr>
            </w:pPr>
            <w:r w:rsidRPr="002D4F22">
              <w:rPr>
                <w:rFonts w:eastAsiaTheme="majorEastAsia"/>
                <w:color w:val="0F4761" w:themeColor="accent1" w:themeShade="BF"/>
                <w:sz w:val="18"/>
                <w:szCs w:val="18"/>
                <w:lang w:val="en-US"/>
              </w:rPr>
              <w:t>Recruitment of international consultant to conduct a Study on guidelines to strengthen the integration of environmental standards and climate risks into territorial urban planning  </w:t>
            </w:r>
          </w:p>
        </w:tc>
        <w:tc>
          <w:tcPr>
            <w:tcW w:w="962" w:type="dxa"/>
            <w:vAlign w:val="center"/>
            <w:hideMark/>
          </w:tcPr>
          <w:p w14:paraId="0C30271D"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International consultant</w:t>
            </w:r>
            <w:r w:rsidRPr="002D4F22">
              <w:rPr>
                <w:rFonts w:eastAsiaTheme="majorEastAsia"/>
                <w:color w:val="0F4761" w:themeColor="accent1" w:themeShade="BF"/>
                <w:sz w:val="18"/>
                <w:szCs w:val="18"/>
              </w:rPr>
              <w:t> </w:t>
            </w:r>
          </w:p>
        </w:tc>
        <w:tc>
          <w:tcPr>
            <w:tcW w:w="1376" w:type="dxa"/>
            <w:vAlign w:val="center"/>
            <w:hideMark/>
          </w:tcPr>
          <w:p w14:paraId="2E5936B6"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30,000</w:t>
            </w:r>
            <w:r w:rsidRPr="002D4F22">
              <w:rPr>
                <w:rFonts w:eastAsiaTheme="majorEastAsia"/>
                <w:color w:val="0F4761" w:themeColor="accent1" w:themeShade="BF"/>
                <w:sz w:val="18"/>
                <w:szCs w:val="18"/>
              </w:rPr>
              <w:t> </w:t>
            </w:r>
          </w:p>
        </w:tc>
        <w:tc>
          <w:tcPr>
            <w:tcW w:w="680" w:type="dxa"/>
            <w:vAlign w:val="center"/>
            <w:hideMark/>
          </w:tcPr>
          <w:p w14:paraId="2F94C048"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c>
          <w:tcPr>
            <w:tcW w:w="885" w:type="dxa"/>
            <w:vAlign w:val="center"/>
            <w:hideMark/>
          </w:tcPr>
          <w:p w14:paraId="78A14DAA"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x</w:t>
            </w:r>
            <w:r w:rsidRPr="002D4F22">
              <w:rPr>
                <w:rFonts w:eastAsiaTheme="majorEastAsia"/>
                <w:color w:val="0F4761" w:themeColor="accent1" w:themeShade="BF"/>
                <w:sz w:val="18"/>
                <w:szCs w:val="18"/>
              </w:rPr>
              <w:t> </w:t>
            </w:r>
          </w:p>
        </w:tc>
        <w:tc>
          <w:tcPr>
            <w:tcW w:w="1539" w:type="dxa"/>
            <w:vAlign w:val="center"/>
            <w:hideMark/>
          </w:tcPr>
          <w:p w14:paraId="5F2D65D9"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International consultant</w:t>
            </w:r>
            <w:r w:rsidRPr="002D4F22">
              <w:rPr>
                <w:rFonts w:eastAsiaTheme="majorEastAsia"/>
                <w:color w:val="0F4761" w:themeColor="accent1" w:themeShade="BF"/>
                <w:sz w:val="18"/>
                <w:szCs w:val="18"/>
              </w:rPr>
              <w:t> </w:t>
            </w:r>
          </w:p>
        </w:tc>
      </w:tr>
      <w:tr w:rsidR="002D4F22" w:rsidRPr="002D4F22" w14:paraId="3E47B19C" w14:textId="77777777" w:rsidTr="00857B81">
        <w:trPr>
          <w:trHeight w:val="300"/>
        </w:trPr>
        <w:tc>
          <w:tcPr>
            <w:tcW w:w="1093" w:type="dxa"/>
            <w:vMerge/>
            <w:vAlign w:val="center"/>
            <w:hideMark/>
          </w:tcPr>
          <w:p w14:paraId="4FCB0B28"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p>
        </w:tc>
        <w:tc>
          <w:tcPr>
            <w:tcW w:w="931" w:type="dxa"/>
            <w:vMerge w:val="restart"/>
            <w:hideMark/>
          </w:tcPr>
          <w:p w14:paraId="3B77D712"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p w14:paraId="7F82A9B3"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1.1.3</w:t>
            </w:r>
            <w:r w:rsidRPr="002D4F22">
              <w:rPr>
                <w:rFonts w:eastAsiaTheme="majorEastAsia"/>
                <w:color w:val="0F4761" w:themeColor="accent1" w:themeShade="BF"/>
                <w:sz w:val="18"/>
                <w:szCs w:val="18"/>
              </w:rPr>
              <w:t> </w:t>
            </w:r>
          </w:p>
        </w:tc>
        <w:tc>
          <w:tcPr>
            <w:tcW w:w="3005" w:type="dxa"/>
            <w:vAlign w:val="center"/>
            <w:hideMark/>
          </w:tcPr>
          <w:p w14:paraId="52B521E6" w14:textId="77777777" w:rsidR="002D4F22" w:rsidRPr="002D4F22" w:rsidRDefault="002D4F22" w:rsidP="002D4F22">
            <w:pPr>
              <w:keepNext/>
              <w:spacing w:after="60" w:line="240" w:lineRule="auto"/>
              <w:jc w:val="both"/>
              <w:rPr>
                <w:rFonts w:eastAsiaTheme="majorEastAsia"/>
                <w:color w:val="0F4761" w:themeColor="accent1" w:themeShade="BF"/>
                <w:sz w:val="18"/>
                <w:szCs w:val="18"/>
                <w:lang w:val="en-US"/>
              </w:rPr>
            </w:pPr>
            <w:r w:rsidRPr="002D4F22">
              <w:rPr>
                <w:rFonts w:eastAsiaTheme="majorEastAsia"/>
                <w:color w:val="0F4761" w:themeColor="accent1" w:themeShade="BF"/>
                <w:sz w:val="18"/>
                <w:szCs w:val="18"/>
                <w:lang w:val="en-US"/>
              </w:rPr>
              <w:t>Recruitment of a consultancy bureau to develop and Implement a National and Territorial Capacity-Building Plan for Integrated Urban Planning </w:t>
            </w:r>
          </w:p>
          <w:p w14:paraId="09E267B9" w14:textId="77777777" w:rsidR="002D4F22" w:rsidRPr="002D4F22" w:rsidRDefault="002D4F22" w:rsidP="002D4F22">
            <w:pPr>
              <w:keepNext/>
              <w:spacing w:after="60" w:line="240" w:lineRule="auto"/>
              <w:jc w:val="both"/>
              <w:rPr>
                <w:rFonts w:eastAsiaTheme="majorEastAsia"/>
                <w:color w:val="0F4761" w:themeColor="accent1" w:themeShade="BF"/>
                <w:sz w:val="18"/>
                <w:szCs w:val="18"/>
                <w:lang w:val="en-US"/>
              </w:rPr>
            </w:pPr>
            <w:r w:rsidRPr="002D4F22">
              <w:rPr>
                <w:rFonts w:eastAsiaTheme="majorEastAsia"/>
                <w:color w:val="0F4761" w:themeColor="accent1" w:themeShade="BF"/>
                <w:sz w:val="18"/>
                <w:szCs w:val="18"/>
                <w:lang w:val="en-US"/>
              </w:rPr>
              <w:t> </w:t>
            </w:r>
          </w:p>
          <w:p w14:paraId="4DB1DEA7" w14:textId="77777777" w:rsidR="002D4F22" w:rsidRPr="002D4F22" w:rsidRDefault="002D4F22" w:rsidP="002D4F22">
            <w:pPr>
              <w:keepNext/>
              <w:spacing w:after="60" w:line="240" w:lineRule="auto"/>
              <w:jc w:val="both"/>
              <w:rPr>
                <w:rFonts w:eastAsiaTheme="majorEastAsia"/>
                <w:color w:val="0F4761" w:themeColor="accent1" w:themeShade="BF"/>
                <w:sz w:val="18"/>
                <w:szCs w:val="18"/>
                <w:lang w:val="en-US"/>
              </w:rPr>
            </w:pPr>
            <w:r w:rsidRPr="002D4F22">
              <w:rPr>
                <w:rFonts w:eastAsiaTheme="majorEastAsia"/>
                <w:color w:val="0F4761" w:themeColor="accent1" w:themeShade="BF"/>
                <w:sz w:val="18"/>
                <w:szCs w:val="18"/>
                <w:lang w:val="en-US"/>
              </w:rPr>
              <w:t> </w:t>
            </w:r>
          </w:p>
        </w:tc>
        <w:tc>
          <w:tcPr>
            <w:tcW w:w="962" w:type="dxa"/>
            <w:vAlign w:val="center"/>
            <w:hideMark/>
          </w:tcPr>
          <w:p w14:paraId="3BB77A38"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Contractual service</w:t>
            </w:r>
            <w:r w:rsidRPr="002D4F22">
              <w:rPr>
                <w:rFonts w:eastAsiaTheme="majorEastAsia"/>
                <w:color w:val="0F4761" w:themeColor="accent1" w:themeShade="BF"/>
                <w:sz w:val="18"/>
                <w:szCs w:val="18"/>
              </w:rPr>
              <w:t> </w:t>
            </w:r>
          </w:p>
          <w:p w14:paraId="08D8901D"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c>
          <w:tcPr>
            <w:tcW w:w="1376" w:type="dxa"/>
            <w:vAlign w:val="center"/>
            <w:hideMark/>
          </w:tcPr>
          <w:p w14:paraId="771D4CDF" w14:textId="151E7589" w:rsidR="002D4F22" w:rsidRPr="002D4F22" w:rsidRDefault="002D4F22" w:rsidP="002D4F22">
            <w:pPr>
              <w:keepNext/>
              <w:spacing w:after="60" w:line="240" w:lineRule="auto"/>
              <w:jc w:val="both"/>
              <w:rPr>
                <w:rFonts w:eastAsiaTheme="majorEastAsia"/>
                <w:color w:val="0F4761" w:themeColor="accent1" w:themeShade="BF"/>
                <w:sz w:val="18"/>
                <w:szCs w:val="18"/>
              </w:rPr>
            </w:pPr>
            <w:r w:rsidRPr="00857B81">
              <w:rPr>
                <w:rFonts w:eastAsiaTheme="majorEastAsia"/>
                <w:color w:val="0F4761" w:themeColor="accent1" w:themeShade="BF"/>
                <w:sz w:val="18"/>
                <w:szCs w:val="18"/>
                <w:highlight w:val="yellow"/>
                <w:lang w:val="en-US"/>
              </w:rPr>
              <w:t>80</w:t>
            </w:r>
            <w:r w:rsidR="0057604D" w:rsidRPr="00857B81">
              <w:rPr>
                <w:rFonts w:eastAsiaTheme="majorEastAsia"/>
                <w:color w:val="0F4761" w:themeColor="accent1" w:themeShade="BF"/>
                <w:sz w:val="18"/>
                <w:szCs w:val="18"/>
                <w:highlight w:val="yellow"/>
                <w:lang w:val="en-US"/>
              </w:rPr>
              <w:t>,000</w:t>
            </w:r>
            <w:r w:rsidRPr="002D4F22">
              <w:rPr>
                <w:rFonts w:eastAsiaTheme="majorEastAsia"/>
                <w:color w:val="0F4761" w:themeColor="accent1" w:themeShade="BF"/>
                <w:sz w:val="18"/>
                <w:szCs w:val="18"/>
              </w:rPr>
              <w:t> </w:t>
            </w:r>
          </w:p>
        </w:tc>
        <w:tc>
          <w:tcPr>
            <w:tcW w:w="680" w:type="dxa"/>
            <w:vAlign w:val="center"/>
            <w:hideMark/>
          </w:tcPr>
          <w:p w14:paraId="3A1B0AE3"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c>
          <w:tcPr>
            <w:tcW w:w="885" w:type="dxa"/>
            <w:vAlign w:val="center"/>
            <w:hideMark/>
          </w:tcPr>
          <w:p w14:paraId="3A7D7451"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x</w:t>
            </w:r>
            <w:r w:rsidRPr="002D4F22">
              <w:rPr>
                <w:rFonts w:eastAsiaTheme="majorEastAsia"/>
                <w:color w:val="0F4761" w:themeColor="accent1" w:themeShade="BF"/>
                <w:sz w:val="18"/>
                <w:szCs w:val="18"/>
              </w:rPr>
              <w:t> </w:t>
            </w:r>
          </w:p>
        </w:tc>
        <w:tc>
          <w:tcPr>
            <w:tcW w:w="1539" w:type="dxa"/>
            <w:vAlign w:val="center"/>
            <w:hideMark/>
          </w:tcPr>
          <w:p w14:paraId="79E416B2"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Request for proposal</w:t>
            </w:r>
            <w:r w:rsidRPr="002D4F22">
              <w:rPr>
                <w:rFonts w:eastAsiaTheme="majorEastAsia"/>
                <w:color w:val="0F4761" w:themeColor="accent1" w:themeShade="BF"/>
                <w:sz w:val="18"/>
                <w:szCs w:val="18"/>
              </w:rPr>
              <w:t> </w:t>
            </w:r>
          </w:p>
        </w:tc>
      </w:tr>
      <w:tr w:rsidR="002D4F22" w:rsidRPr="002D4F22" w14:paraId="42D862C7" w14:textId="77777777" w:rsidTr="00857B81">
        <w:trPr>
          <w:trHeight w:val="300"/>
        </w:trPr>
        <w:tc>
          <w:tcPr>
            <w:tcW w:w="1093" w:type="dxa"/>
            <w:vMerge/>
            <w:vAlign w:val="center"/>
            <w:hideMark/>
          </w:tcPr>
          <w:p w14:paraId="5F758CC1"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p>
        </w:tc>
        <w:tc>
          <w:tcPr>
            <w:tcW w:w="931" w:type="dxa"/>
            <w:vMerge/>
            <w:vAlign w:val="center"/>
            <w:hideMark/>
          </w:tcPr>
          <w:p w14:paraId="3BA5B536"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p>
        </w:tc>
        <w:tc>
          <w:tcPr>
            <w:tcW w:w="3005" w:type="dxa"/>
            <w:vAlign w:val="center"/>
            <w:hideMark/>
          </w:tcPr>
          <w:p w14:paraId="5F259E13" w14:textId="77777777" w:rsidR="002D4F22" w:rsidRPr="002D4F22" w:rsidRDefault="002D4F22" w:rsidP="002D4F22">
            <w:pPr>
              <w:keepNext/>
              <w:spacing w:after="60" w:line="240" w:lineRule="auto"/>
              <w:jc w:val="both"/>
              <w:rPr>
                <w:rFonts w:eastAsiaTheme="majorEastAsia"/>
                <w:color w:val="0F4761" w:themeColor="accent1" w:themeShade="BF"/>
                <w:sz w:val="18"/>
                <w:szCs w:val="18"/>
                <w:lang w:val="en-US"/>
              </w:rPr>
            </w:pPr>
            <w:r w:rsidRPr="002D4F22">
              <w:rPr>
                <w:rFonts w:eastAsiaTheme="majorEastAsia"/>
                <w:color w:val="0F4761" w:themeColor="accent1" w:themeShade="BF"/>
                <w:sz w:val="18"/>
                <w:szCs w:val="18"/>
                <w:lang w:val="en-US"/>
              </w:rPr>
              <w:t>Recruitment of national consultant to accompany the set-up of a Public-Private-Civil Society Coordination Platform for Sustainable urban development in Bamako  </w:t>
            </w:r>
          </w:p>
          <w:p w14:paraId="412E275A" w14:textId="77777777" w:rsidR="002D4F22" w:rsidRPr="002D4F22" w:rsidRDefault="002D4F22" w:rsidP="002D4F22">
            <w:pPr>
              <w:keepNext/>
              <w:spacing w:after="60" w:line="240" w:lineRule="auto"/>
              <w:jc w:val="both"/>
              <w:rPr>
                <w:rFonts w:eastAsiaTheme="majorEastAsia"/>
                <w:color w:val="0F4761" w:themeColor="accent1" w:themeShade="BF"/>
                <w:sz w:val="18"/>
                <w:szCs w:val="18"/>
                <w:lang w:val="en-US"/>
              </w:rPr>
            </w:pPr>
            <w:r w:rsidRPr="002D4F22">
              <w:rPr>
                <w:rFonts w:eastAsiaTheme="majorEastAsia"/>
                <w:color w:val="0F4761" w:themeColor="accent1" w:themeShade="BF"/>
                <w:sz w:val="18"/>
                <w:szCs w:val="18"/>
                <w:lang w:val="en-US"/>
              </w:rPr>
              <w:t> </w:t>
            </w:r>
          </w:p>
          <w:p w14:paraId="22A8897B" w14:textId="77777777" w:rsidR="002D4F22" w:rsidRPr="002D4F22" w:rsidRDefault="002D4F22" w:rsidP="002D4F22">
            <w:pPr>
              <w:keepNext/>
              <w:spacing w:after="60" w:line="240" w:lineRule="auto"/>
              <w:jc w:val="both"/>
              <w:rPr>
                <w:rFonts w:eastAsiaTheme="majorEastAsia"/>
                <w:color w:val="0F4761" w:themeColor="accent1" w:themeShade="BF"/>
                <w:sz w:val="18"/>
                <w:szCs w:val="18"/>
                <w:lang w:val="en-US"/>
              </w:rPr>
            </w:pPr>
            <w:r w:rsidRPr="002D4F22">
              <w:rPr>
                <w:rFonts w:eastAsiaTheme="majorEastAsia"/>
                <w:color w:val="0F4761" w:themeColor="accent1" w:themeShade="BF"/>
                <w:sz w:val="18"/>
                <w:szCs w:val="18"/>
                <w:lang w:val="en-US"/>
              </w:rPr>
              <w:t> </w:t>
            </w:r>
          </w:p>
        </w:tc>
        <w:tc>
          <w:tcPr>
            <w:tcW w:w="962" w:type="dxa"/>
            <w:vAlign w:val="center"/>
            <w:hideMark/>
          </w:tcPr>
          <w:p w14:paraId="36AEE8BC"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National consultant</w:t>
            </w:r>
            <w:r w:rsidRPr="002D4F22">
              <w:rPr>
                <w:rFonts w:eastAsiaTheme="majorEastAsia"/>
                <w:color w:val="0F4761" w:themeColor="accent1" w:themeShade="BF"/>
                <w:sz w:val="18"/>
                <w:szCs w:val="18"/>
              </w:rPr>
              <w:t> </w:t>
            </w:r>
          </w:p>
        </w:tc>
        <w:tc>
          <w:tcPr>
            <w:tcW w:w="1376" w:type="dxa"/>
            <w:vAlign w:val="center"/>
            <w:hideMark/>
          </w:tcPr>
          <w:p w14:paraId="6F233ED9"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5,000</w:t>
            </w:r>
            <w:r w:rsidRPr="002D4F22">
              <w:rPr>
                <w:rFonts w:eastAsiaTheme="majorEastAsia"/>
                <w:color w:val="0F4761" w:themeColor="accent1" w:themeShade="BF"/>
                <w:sz w:val="18"/>
                <w:szCs w:val="18"/>
              </w:rPr>
              <w:t> </w:t>
            </w:r>
          </w:p>
        </w:tc>
        <w:tc>
          <w:tcPr>
            <w:tcW w:w="680" w:type="dxa"/>
            <w:vAlign w:val="center"/>
            <w:hideMark/>
          </w:tcPr>
          <w:p w14:paraId="362F00C5"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x</w:t>
            </w:r>
            <w:r w:rsidRPr="002D4F22">
              <w:rPr>
                <w:rFonts w:eastAsiaTheme="majorEastAsia"/>
                <w:color w:val="0F4761" w:themeColor="accent1" w:themeShade="BF"/>
                <w:sz w:val="18"/>
                <w:szCs w:val="18"/>
              </w:rPr>
              <w:t> </w:t>
            </w:r>
          </w:p>
        </w:tc>
        <w:tc>
          <w:tcPr>
            <w:tcW w:w="885" w:type="dxa"/>
            <w:vAlign w:val="center"/>
            <w:hideMark/>
          </w:tcPr>
          <w:p w14:paraId="443D5BCF"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c>
          <w:tcPr>
            <w:tcW w:w="1539" w:type="dxa"/>
            <w:vAlign w:val="center"/>
            <w:hideMark/>
          </w:tcPr>
          <w:p w14:paraId="00F7F0AA"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Individual contract</w:t>
            </w:r>
            <w:r w:rsidRPr="002D4F22">
              <w:rPr>
                <w:rFonts w:eastAsiaTheme="majorEastAsia"/>
                <w:color w:val="0F4761" w:themeColor="accent1" w:themeShade="BF"/>
                <w:sz w:val="18"/>
                <w:szCs w:val="18"/>
              </w:rPr>
              <w:t> </w:t>
            </w:r>
          </w:p>
        </w:tc>
      </w:tr>
      <w:tr w:rsidR="002D4F22" w:rsidRPr="002D4F22" w14:paraId="35C8177A" w14:textId="77777777" w:rsidTr="00857B81">
        <w:trPr>
          <w:trHeight w:val="300"/>
        </w:trPr>
        <w:tc>
          <w:tcPr>
            <w:tcW w:w="1093" w:type="dxa"/>
            <w:vMerge/>
            <w:vAlign w:val="center"/>
            <w:hideMark/>
          </w:tcPr>
          <w:p w14:paraId="37C596A2"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p>
        </w:tc>
        <w:tc>
          <w:tcPr>
            <w:tcW w:w="931" w:type="dxa"/>
            <w:vMerge/>
            <w:vAlign w:val="center"/>
            <w:hideMark/>
          </w:tcPr>
          <w:p w14:paraId="32308C42"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p>
        </w:tc>
        <w:tc>
          <w:tcPr>
            <w:tcW w:w="3005" w:type="dxa"/>
            <w:vAlign w:val="center"/>
            <w:hideMark/>
          </w:tcPr>
          <w:p w14:paraId="0B819DCA" w14:textId="77777777" w:rsidR="002D4F22" w:rsidRPr="002D4F22" w:rsidRDefault="002D4F22" w:rsidP="002D4F22">
            <w:pPr>
              <w:keepNext/>
              <w:spacing w:after="60" w:line="240" w:lineRule="auto"/>
              <w:jc w:val="both"/>
              <w:rPr>
                <w:rFonts w:eastAsiaTheme="majorEastAsia"/>
                <w:color w:val="0F4761" w:themeColor="accent1" w:themeShade="BF"/>
                <w:sz w:val="18"/>
                <w:szCs w:val="18"/>
                <w:lang w:val="en-US"/>
              </w:rPr>
            </w:pPr>
            <w:r w:rsidRPr="002D4F22">
              <w:rPr>
                <w:rFonts w:eastAsiaTheme="majorEastAsia"/>
                <w:color w:val="0F4761" w:themeColor="accent1" w:themeShade="BF"/>
                <w:sz w:val="18"/>
                <w:szCs w:val="18"/>
                <w:lang w:val="en-US"/>
              </w:rPr>
              <w:t>Recruitment of an international urban planning specialist to support the project strategic planning and orientation for 60 man/day over four-year period  </w:t>
            </w:r>
          </w:p>
        </w:tc>
        <w:tc>
          <w:tcPr>
            <w:tcW w:w="962" w:type="dxa"/>
            <w:vAlign w:val="center"/>
            <w:hideMark/>
          </w:tcPr>
          <w:p w14:paraId="068F11BF"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International Consultant</w:t>
            </w:r>
            <w:r w:rsidRPr="002D4F22">
              <w:rPr>
                <w:rFonts w:eastAsiaTheme="majorEastAsia"/>
                <w:color w:val="0F4761" w:themeColor="accent1" w:themeShade="BF"/>
                <w:sz w:val="18"/>
                <w:szCs w:val="18"/>
              </w:rPr>
              <w:t> </w:t>
            </w:r>
          </w:p>
        </w:tc>
        <w:tc>
          <w:tcPr>
            <w:tcW w:w="1376" w:type="dxa"/>
            <w:vAlign w:val="center"/>
            <w:hideMark/>
          </w:tcPr>
          <w:p w14:paraId="39A88B2D"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35,000</w:t>
            </w:r>
            <w:r w:rsidRPr="002D4F22">
              <w:rPr>
                <w:rFonts w:eastAsiaTheme="majorEastAsia"/>
                <w:color w:val="0F4761" w:themeColor="accent1" w:themeShade="BF"/>
                <w:sz w:val="18"/>
                <w:szCs w:val="18"/>
              </w:rPr>
              <w:t> </w:t>
            </w:r>
          </w:p>
        </w:tc>
        <w:tc>
          <w:tcPr>
            <w:tcW w:w="680" w:type="dxa"/>
            <w:vAlign w:val="center"/>
            <w:hideMark/>
          </w:tcPr>
          <w:p w14:paraId="11F01F6F"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c>
          <w:tcPr>
            <w:tcW w:w="885" w:type="dxa"/>
            <w:vAlign w:val="center"/>
            <w:hideMark/>
          </w:tcPr>
          <w:p w14:paraId="43F28FE2"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x</w:t>
            </w:r>
            <w:r w:rsidRPr="002D4F22">
              <w:rPr>
                <w:rFonts w:eastAsiaTheme="majorEastAsia"/>
                <w:color w:val="0F4761" w:themeColor="accent1" w:themeShade="BF"/>
                <w:sz w:val="18"/>
                <w:szCs w:val="18"/>
              </w:rPr>
              <w:t> </w:t>
            </w:r>
          </w:p>
          <w:p w14:paraId="4B86B189"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c>
          <w:tcPr>
            <w:tcW w:w="1539" w:type="dxa"/>
            <w:vAlign w:val="center"/>
            <w:hideMark/>
          </w:tcPr>
          <w:p w14:paraId="0955A5D8"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Individual contract</w:t>
            </w:r>
            <w:r w:rsidRPr="002D4F22">
              <w:rPr>
                <w:rFonts w:eastAsiaTheme="majorEastAsia"/>
                <w:color w:val="0F4761" w:themeColor="accent1" w:themeShade="BF"/>
                <w:sz w:val="18"/>
                <w:szCs w:val="18"/>
              </w:rPr>
              <w:t> </w:t>
            </w:r>
          </w:p>
        </w:tc>
      </w:tr>
      <w:tr w:rsidR="0056042A" w:rsidRPr="002D4F22" w14:paraId="3940A4DD" w14:textId="77777777" w:rsidTr="00857B81">
        <w:trPr>
          <w:trHeight w:val="300"/>
        </w:trPr>
        <w:tc>
          <w:tcPr>
            <w:tcW w:w="1093" w:type="dxa"/>
            <w:vMerge w:val="restart"/>
            <w:hideMark/>
          </w:tcPr>
          <w:p w14:paraId="482B6C23" w14:textId="77777777" w:rsidR="0056042A" w:rsidRPr="002D4F22" w:rsidRDefault="0056042A" w:rsidP="002D4F22">
            <w:pPr>
              <w:keepNext/>
              <w:spacing w:after="60" w:line="240" w:lineRule="auto"/>
              <w:jc w:val="both"/>
              <w:rPr>
                <w:rFonts w:eastAsiaTheme="majorEastAsia"/>
                <w:color w:val="0F4761" w:themeColor="accent1" w:themeShade="BF"/>
                <w:sz w:val="18"/>
                <w:szCs w:val="18"/>
              </w:rPr>
            </w:pPr>
            <w:r w:rsidRPr="002D4F22">
              <w:rPr>
                <w:rFonts w:eastAsiaTheme="majorEastAsia"/>
                <w:b/>
                <w:bCs/>
                <w:color w:val="0F4761" w:themeColor="accent1" w:themeShade="BF"/>
                <w:sz w:val="18"/>
                <w:szCs w:val="18"/>
                <w:lang w:val="mk-MK"/>
              </w:rPr>
              <w:t>Component 2. </w:t>
            </w:r>
            <w:r w:rsidRPr="002D4F22">
              <w:rPr>
                <w:rFonts w:eastAsiaTheme="majorEastAsia"/>
                <w:b/>
                <w:bCs/>
                <w:color w:val="0F4761" w:themeColor="accent1" w:themeShade="BF"/>
                <w:sz w:val="18"/>
                <w:szCs w:val="18"/>
                <w:lang w:val="en-US"/>
              </w:rPr>
              <w:t> </w:t>
            </w:r>
            <w:r w:rsidRPr="002D4F22">
              <w:rPr>
                <w:rFonts w:eastAsiaTheme="majorEastAsia"/>
                <w:color w:val="0F4761" w:themeColor="accent1" w:themeShade="BF"/>
                <w:sz w:val="18"/>
                <w:szCs w:val="18"/>
              </w:rPr>
              <w:t> </w:t>
            </w:r>
          </w:p>
          <w:p w14:paraId="44E052AE" w14:textId="77777777" w:rsidR="0056042A" w:rsidRPr="002D4F22" w:rsidRDefault="0056042A"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c>
          <w:tcPr>
            <w:tcW w:w="931" w:type="dxa"/>
            <w:vMerge w:val="restart"/>
            <w:hideMark/>
          </w:tcPr>
          <w:p w14:paraId="6CD0C07D" w14:textId="77777777" w:rsidR="0056042A" w:rsidRPr="002D4F22" w:rsidRDefault="0056042A"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2.1.1</w:t>
            </w:r>
            <w:r w:rsidRPr="002D4F22">
              <w:rPr>
                <w:rFonts w:eastAsiaTheme="majorEastAsia"/>
                <w:color w:val="0F4761" w:themeColor="accent1" w:themeShade="BF"/>
                <w:sz w:val="18"/>
                <w:szCs w:val="18"/>
              </w:rPr>
              <w:t> </w:t>
            </w:r>
          </w:p>
        </w:tc>
        <w:tc>
          <w:tcPr>
            <w:tcW w:w="3005" w:type="dxa"/>
            <w:vAlign w:val="center"/>
            <w:hideMark/>
          </w:tcPr>
          <w:p w14:paraId="1F756F1A" w14:textId="684C4EB6" w:rsidR="0056042A" w:rsidRPr="00E86501" w:rsidRDefault="0056042A" w:rsidP="002D4F22">
            <w:pPr>
              <w:keepNext/>
              <w:spacing w:after="60" w:line="240" w:lineRule="auto"/>
              <w:jc w:val="both"/>
              <w:rPr>
                <w:rFonts w:eastAsiaTheme="majorEastAsia"/>
                <w:color w:val="0F4761" w:themeColor="accent1" w:themeShade="BF"/>
                <w:sz w:val="18"/>
                <w:szCs w:val="18"/>
                <w:highlight w:val="cyan"/>
                <w:lang w:val="en-US"/>
              </w:rPr>
            </w:pPr>
            <w:r w:rsidRPr="00E86501">
              <w:rPr>
                <w:rFonts w:eastAsiaTheme="majorEastAsia"/>
                <w:color w:val="0F4761" w:themeColor="accent1" w:themeShade="BF"/>
                <w:sz w:val="18"/>
                <w:szCs w:val="18"/>
                <w:highlight w:val="cyan"/>
                <w:lang w:val="en-US"/>
              </w:rPr>
              <w:t xml:space="preserve">Recruit a consultancy firm to Design and implement a comprehensive capacity-building </w:t>
            </w:r>
            <w:proofErr w:type="spellStart"/>
            <w:r w:rsidRPr="00E86501">
              <w:rPr>
                <w:rFonts w:eastAsiaTheme="majorEastAsia"/>
                <w:color w:val="0F4761" w:themeColor="accent1" w:themeShade="BF"/>
                <w:sz w:val="18"/>
                <w:szCs w:val="18"/>
                <w:highlight w:val="cyan"/>
                <w:lang w:val="en-US"/>
              </w:rPr>
              <w:t>programme</w:t>
            </w:r>
            <w:proofErr w:type="spellEnd"/>
            <w:r w:rsidRPr="00E86501">
              <w:rPr>
                <w:rFonts w:eastAsiaTheme="majorEastAsia"/>
                <w:color w:val="0F4761" w:themeColor="accent1" w:themeShade="BF"/>
                <w:sz w:val="18"/>
                <w:szCs w:val="18"/>
                <w:highlight w:val="cyan"/>
                <w:lang w:val="en-US"/>
              </w:rPr>
              <w:t xml:space="preserve"> on sustainable and electric mobility for private operators, intercity transport companies, and national training institutions</w:t>
            </w:r>
          </w:p>
        </w:tc>
        <w:tc>
          <w:tcPr>
            <w:tcW w:w="962" w:type="dxa"/>
            <w:vAlign w:val="center"/>
            <w:hideMark/>
          </w:tcPr>
          <w:p w14:paraId="7733FD4D" w14:textId="77777777" w:rsidR="0056042A" w:rsidRPr="00E86501" w:rsidRDefault="0056042A" w:rsidP="002D4F22">
            <w:pPr>
              <w:keepNext/>
              <w:spacing w:after="60" w:line="240" w:lineRule="auto"/>
              <w:jc w:val="both"/>
              <w:rPr>
                <w:rFonts w:eastAsiaTheme="majorEastAsia"/>
                <w:color w:val="0F4761" w:themeColor="accent1" w:themeShade="BF"/>
                <w:sz w:val="18"/>
                <w:szCs w:val="18"/>
                <w:highlight w:val="cyan"/>
              </w:rPr>
            </w:pPr>
            <w:r w:rsidRPr="00E86501">
              <w:rPr>
                <w:rFonts w:eastAsiaTheme="majorEastAsia"/>
                <w:color w:val="0F4761" w:themeColor="accent1" w:themeShade="BF"/>
                <w:sz w:val="18"/>
                <w:szCs w:val="18"/>
                <w:highlight w:val="cyan"/>
                <w:lang w:val="en-US"/>
              </w:rPr>
              <w:t>Contractual service</w:t>
            </w:r>
            <w:r w:rsidRPr="00E86501">
              <w:rPr>
                <w:rFonts w:eastAsiaTheme="majorEastAsia"/>
                <w:color w:val="0F4761" w:themeColor="accent1" w:themeShade="BF"/>
                <w:sz w:val="18"/>
                <w:szCs w:val="18"/>
                <w:highlight w:val="cyan"/>
              </w:rPr>
              <w:t> </w:t>
            </w:r>
          </w:p>
          <w:p w14:paraId="20897068" w14:textId="77777777" w:rsidR="0056042A" w:rsidRPr="00E86501" w:rsidRDefault="0056042A" w:rsidP="002D4F22">
            <w:pPr>
              <w:keepNext/>
              <w:spacing w:after="60" w:line="240" w:lineRule="auto"/>
              <w:jc w:val="both"/>
              <w:rPr>
                <w:rFonts w:eastAsiaTheme="majorEastAsia"/>
                <w:color w:val="0F4761" w:themeColor="accent1" w:themeShade="BF"/>
                <w:sz w:val="18"/>
                <w:szCs w:val="18"/>
                <w:highlight w:val="cyan"/>
              </w:rPr>
            </w:pPr>
            <w:r w:rsidRPr="00E86501">
              <w:rPr>
                <w:rFonts w:eastAsiaTheme="majorEastAsia"/>
                <w:color w:val="0F4761" w:themeColor="accent1" w:themeShade="BF"/>
                <w:sz w:val="18"/>
                <w:szCs w:val="18"/>
                <w:highlight w:val="cyan"/>
              </w:rPr>
              <w:t> </w:t>
            </w:r>
          </w:p>
        </w:tc>
        <w:tc>
          <w:tcPr>
            <w:tcW w:w="1376" w:type="dxa"/>
            <w:vAlign w:val="center"/>
            <w:hideMark/>
          </w:tcPr>
          <w:p w14:paraId="53A9FBF4" w14:textId="5274871D" w:rsidR="0056042A" w:rsidRPr="00E86501" w:rsidRDefault="0056042A" w:rsidP="002D4F22">
            <w:pPr>
              <w:keepNext/>
              <w:spacing w:after="60" w:line="240" w:lineRule="auto"/>
              <w:jc w:val="both"/>
              <w:rPr>
                <w:rFonts w:eastAsiaTheme="majorEastAsia"/>
                <w:color w:val="0F4761" w:themeColor="accent1" w:themeShade="BF"/>
                <w:sz w:val="18"/>
                <w:szCs w:val="18"/>
                <w:highlight w:val="cyan"/>
              </w:rPr>
            </w:pPr>
            <w:r w:rsidRPr="00E86501">
              <w:rPr>
                <w:rFonts w:eastAsiaTheme="majorEastAsia"/>
                <w:color w:val="0F4761" w:themeColor="accent1" w:themeShade="BF"/>
                <w:sz w:val="18"/>
                <w:szCs w:val="18"/>
                <w:highlight w:val="cyan"/>
                <w:lang w:val="en-US"/>
              </w:rPr>
              <w:t>130,000</w:t>
            </w:r>
            <w:r w:rsidRPr="00E86501">
              <w:rPr>
                <w:rFonts w:eastAsiaTheme="majorEastAsia"/>
                <w:color w:val="0F4761" w:themeColor="accent1" w:themeShade="BF"/>
                <w:sz w:val="18"/>
                <w:szCs w:val="18"/>
                <w:highlight w:val="cyan"/>
              </w:rPr>
              <w:t> </w:t>
            </w:r>
          </w:p>
        </w:tc>
        <w:tc>
          <w:tcPr>
            <w:tcW w:w="680" w:type="dxa"/>
            <w:vAlign w:val="center"/>
            <w:hideMark/>
          </w:tcPr>
          <w:p w14:paraId="3B33A5FE" w14:textId="77777777" w:rsidR="0056042A" w:rsidRPr="002D4F22" w:rsidRDefault="0056042A"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c>
          <w:tcPr>
            <w:tcW w:w="885" w:type="dxa"/>
            <w:vAlign w:val="center"/>
            <w:hideMark/>
          </w:tcPr>
          <w:p w14:paraId="4773DFC2" w14:textId="77777777" w:rsidR="0056042A" w:rsidRPr="002D4F22" w:rsidRDefault="0056042A"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X</w:t>
            </w:r>
            <w:r w:rsidRPr="002D4F22">
              <w:rPr>
                <w:rFonts w:eastAsiaTheme="majorEastAsia"/>
                <w:color w:val="0F4761" w:themeColor="accent1" w:themeShade="BF"/>
                <w:sz w:val="18"/>
                <w:szCs w:val="18"/>
              </w:rPr>
              <w:t> </w:t>
            </w:r>
          </w:p>
        </w:tc>
        <w:tc>
          <w:tcPr>
            <w:tcW w:w="1539" w:type="dxa"/>
            <w:vAlign w:val="center"/>
            <w:hideMark/>
          </w:tcPr>
          <w:p w14:paraId="435BF130" w14:textId="77777777" w:rsidR="0056042A" w:rsidRPr="002D4F22" w:rsidRDefault="0056042A"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Request for Proposal</w:t>
            </w:r>
            <w:r w:rsidRPr="002D4F22">
              <w:rPr>
                <w:rFonts w:eastAsiaTheme="majorEastAsia"/>
                <w:color w:val="0F4761" w:themeColor="accent1" w:themeShade="BF"/>
                <w:sz w:val="18"/>
                <w:szCs w:val="18"/>
              </w:rPr>
              <w:t> </w:t>
            </w:r>
          </w:p>
        </w:tc>
      </w:tr>
      <w:tr w:rsidR="0056042A" w:rsidRPr="0037578D" w14:paraId="2685FACE" w14:textId="77777777" w:rsidTr="00857B81">
        <w:trPr>
          <w:trHeight w:val="300"/>
        </w:trPr>
        <w:tc>
          <w:tcPr>
            <w:tcW w:w="1093" w:type="dxa"/>
            <w:vMerge/>
            <w:vAlign w:val="center"/>
          </w:tcPr>
          <w:p w14:paraId="24BEEC32" w14:textId="77777777" w:rsidR="0056042A" w:rsidRPr="002D4F22" w:rsidRDefault="0056042A" w:rsidP="002D4F22">
            <w:pPr>
              <w:keepNext/>
              <w:spacing w:after="60" w:line="240" w:lineRule="auto"/>
              <w:jc w:val="both"/>
              <w:rPr>
                <w:rFonts w:eastAsiaTheme="majorEastAsia"/>
                <w:color w:val="0F4761" w:themeColor="accent1" w:themeShade="BF"/>
                <w:sz w:val="18"/>
                <w:szCs w:val="18"/>
              </w:rPr>
            </w:pPr>
          </w:p>
        </w:tc>
        <w:tc>
          <w:tcPr>
            <w:tcW w:w="931" w:type="dxa"/>
            <w:vMerge/>
            <w:vAlign w:val="center"/>
          </w:tcPr>
          <w:p w14:paraId="4B77F116" w14:textId="75CB85BF" w:rsidR="0056042A" w:rsidRPr="002D4F22" w:rsidRDefault="0056042A" w:rsidP="002D4F22">
            <w:pPr>
              <w:keepNext/>
              <w:spacing w:after="60" w:line="240" w:lineRule="auto"/>
              <w:jc w:val="both"/>
              <w:rPr>
                <w:rFonts w:eastAsiaTheme="majorEastAsia"/>
                <w:color w:val="0F4761" w:themeColor="accent1" w:themeShade="BF"/>
                <w:sz w:val="18"/>
                <w:szCs w:val="18"/>
              </w:rPr>
            </w:pPr>
          </w:p>
        </w:tc>
        <w:tc>
          <w:tcPr>
            <w:tcW w:w="3005" w:type="dxa"/>
            <w:vAlign w:val="center"/>
          </w:tcPr>
          <w:p w14:paraId="5368B84D" w14:textId="6528EA6E" w:rsidR="0056042A" w:rsidRPr="00E86501" w:rsidRDefault="0056042A" w:rsidP="002D4F22">
            <w:pPr>
              <w:keepNext/>
              <w:spacing w:after="60" w:line="240" w:lineRule="auto"/>
              <w:jc w:val="both"/>
              <w:rPr>
                <w:rFonts w:eastAsiaTheme="majorEastAsia"/>
                <w:color w:val="0F4761" w:themeColor="accent1" w:themeShade="BF"/>
                <w:sz w:val="18"/>
                <w:szCs w:val="18"/>
                <w:highlight w:val="cyan"/>
                <w:lang w:val="en-US"/>
              </w:rPr>
            </w:pPr>
            <w:r w:rsidRPr="00E86501">
              <w:rPr>
                <w:rFonts w:eastAsiaTheme="majorEastAsia"/>
                <w:color w:val="0F4761" w:themeColor="accent1" w:themeShade="BF"/>
                <w:sz w:val="18"/>
                <w:szCs w:val="18"/>
                <w:highlight w:val="cyan"/>
                <w:lang w:val="en-US"/>
              </w:rPr>
              <w:t xml:space="preserve">Recruit Consultancy firm to conduct </w:t>
            </w:r>
            <w:proofErr w:type="gramStart"/>
            <w:r w:rsidRPr="00E86501">
              <w:rPr>
                <w:rFonts w:eastAsiaTheme="majorEastAsia"/>
                <w:color w:val="0F4761" w:themeColor="accent1" w:themeShade="BF"/>
                <w:sz w:val="18"/>
                <w:szCs w:val="18"/>
                <w:highlight w:val="cyan"/>
                <w:lang w:val="en-US"/>
              </w:rPr>
              <w:t>a  Feasibility</w:t>
            </w:r>
            <w:proofErr w:type="gramEnd"/>
            <w:r w:rsidRPr="00E86501">
              <w:rPr>
                <w:rFonts w:eastAsiaTheme="majorEastAsia"/>
                <w:color w:val="0F4761" w:themeColor="accent1" w:themeShade="BF"/>
                <w:sz w:val="18"/>
                <w:szCs w:val="18"/>
                <w:highlight w:val="cyan"/>
                <w:lang w:val="en-US"/>
              </w:rPr>
              <w:t xml:space="preserve"> study for relocation and equipment of craftsmen in peripheral professional </w:t>
            </w:r>
            <w:proofErr w:type="spellStart"/>
            <w:r w:rsidRPr="00E86501">
              <w:rPr>
                <w:rFonts w:eastAsiaTheme="majorEastAsia"/>
                <w:color w:val="0F4761" w:themeColor="accent1" w:themeShade="BF"/>
                <w:sz w:val="18"/>
                <w:szCs w:val="18"/>
                <w:highlight w:val="cyan"/>
                <w:lang w:val="en-US"/>
              </w:rPr>
              <w:t>centres</w:t>
            </w:r>
            <w:proofErr w:type="spellEnd"/>
            <w:r w:rsidRPr="00E86501">
              <w:rPr>
                <w:rFonts w:eastAsiaTheme="majorEastAsia"/>
                <w:color w:val="0F4761" w:themeColor="accent1" w:themeShade="BF"/>
                <w:sz w:val="18"/>
                <w:szCs w:val="18"/>
                <w:highlight w:val="cyan"/>
                <w:lang w:val="en-US"/>
              </w:rPr>
              <w:t xml:space="preserve"> and the facilitation of access to public procurement and credit</w:t>
            </w:r>
            <w:r w:rsidR="00E6531C">
              <w:rPr>
                <w:rFonts w:eastAsiaTheme="majorEastAsia"/>
                <w:color w:val="0F4761" w:themeColor="accent1" w:themeShade="BF"/>
                <w:sz w:val="18"/>
                <w:szCs w:val="18"/>
                <w:highlight w:val="cyan"/>
                <w:lang w:val="en-US"/>
              </w:rPr>
              <w:t>s</w:t>
            </w:r>
          </w:p>
        </w:tc>
        <w:tc>
          <w:tcPr>
            <w:tcW w:w="962" w:type="dxa"/>
            <w:vAlign w:val="center"/>
          </w:tcPr>
          <w:p w14:paraId="73733D9B" w14:textId="64606E52" w:rsidR="0056042A" w:rsidRPr="00E86501" w:rsidRDefault="0056042A" w:rsidP="002D4F22">
            <w:pPr>
              <w:keepNext/>
              <w:spacing w:after="60" w:line="240" w:lineRule="auto"/>
              <w:jc w:val="both"/>
              <w:rPr>
                <w:rFonts w:eastAsiaTheme="majorEastAsia"/>
                <w:color w:val="0F4761" w:themeColor="accent1" w:themeShade="BF"/>
                <w:sz w:val="18"/>
                <w:szCs w:val="18"/>
                <w:highlight w:val="cyan"/>
                <w:lang w:val="en-US"/>
              </w:rPr>
            </w:pPr>
            <w:r w:rsidRPr="00E86501">
              <w:rPr>
                <w:rFonts w:eastAsiaTheme="majorEastAsia"/>
                <w:color w:val="0F4761" w:themeColor="accent1" w:themeShade="BF"/>
                <w:sz w:val="18"/>
                <w:szCs w:val="18"/>
                <w:highlight w:val="cyan"/>
                <w:lang w:val="en-US"/>
              </w:rPr>
              <w:t>Contractual service</w:t>
            </w:r>
            <w:r w:rsidRPr="00E86501">
              <w:rPr>
                <w:rFonts w:eastAsiaTheme="majorEastAsia"/>
                <w:color w:val="0F4761" w:themeColor="accent1" w:themeShade="BF"/>
                <w:sz w:val="18"/>
                <w:szCs w:val="18"/>
                <w:highlight w:val="cyan"/>
              </w:rPr>
              <w:t> </w:t>
            </w:r>
          </w:p>
        </w:tc>
        <w:tc>
          <w:tcPr>
            <w:tcW w:w="1376" w:type="dxa"/>
            <w:vAlign w:val="center"/>
          </w:tcPr>
          <w:p w14:paraId="270F6922" w14:textId="6DB67518" w:rsidR="0056042A" w:rsidRPr="00E86501" w:rsidRDefault="0056042A" w:rsidP="002D4F22">
            <w:pPr>
              <w:keepNext/>
              <w:spacing w:after="60" w:line="240" w:lineRule="auto"/>
              <w:jc w:val="both"/>
              <w:rPr>
                <w:rFonts w:eastAsiaTheme="majorEastAsia"/>
                <w:color w:val="0F4761" w:themeColor="accent1" w:themeShade="BF"/>
                <w:sz w:val="18"/>
                <w:szCs w:val="18"/>
                <w:highlight w:val="cyan"/>
                <w:lang w:val="en-US"/>
              </w:rPr>
            </w:pPr>
            <w:r w:rsidRPr="00E86501">
              <w:rPr>
                <w:rFonts w:eastAsiaTheme="majorEastAsia"/>
                <w:color w:val="0F4761" w:themeColor="accent1" w:themeShade="BF"/>
                <w:sz w:val="18"/>
                <w:szCs w:val="18"/>
                <w:highlight w:val="cyan"/>
                <w:lang w:val="en-US"/>
              </w:rPr>
              <w:t>60,000</w:t>
            </w:r>
          </w:p>
        </w:tc>
        <w:tc>
          <w:tcPr>
            <w:tcW w:w="680" w:type="dxa"/>
            <w:vAlign w:val="center"/>
          </w:tcPr>
          <w:p w14:paraId="154100B7" w14:textId="77777777" w:rsidR="0056042A" w:rsidRPr="00857B81" w:rsidRDefault="0056042A" w:rsidP="002D4F22">
            <w:pPr>
              <w:keepNext/>
              <w:spacing w:after="60" w:line="240" w:lineRule="auto"/>
              <w:jc w:val="both"/>
              <w:rPr>
                <w:rFonts w:eastAsiaTheme="majorEastAsia"/>
                <w:color w:val="0F4761" w:themeColor="accent1" w:themeShade="BF"/>
                <w:sz w:val="18"/>
                <w:szCs w:val="18"/>
                <w:highlight w:val="yellow"/>
                <w:lang w:val="en-US"/>
              </w:rPr>
            </w:pPr>
          </w:p>
        </w:tc>
        <w:tc>
          <w:tcPr>
            <w:tcW w:w="885" w:type="dxa"/>
            <w:vAlign w:val="center"/>
          </w:tcPr>
          <w:p w14:paraId="79C52B44" w14:textId="2EAFFC7A" w:rsidR="0056042A" w:rsidRPr="00857B81" w:rsidRDefault="0056042A" w:rsidP="002D4F22">
            <w:pPr>
              <w:keepNext/>
              <w:spacing w:after="60" w:line="240" w:lineRule="auto"/>
              <w:jc w:val="both"/>
              <w:rPr>
                <w:rFonts w:eastAsiaTheme="majorEastAsia"/>
                <w:color w:val="0F4761" w:themeColor="accent1" w:themeShade="BF"/>
                <w:sz w:val="18"/>
                <w:szCs w:val="18"/>
                <w:highlight w:val="yellow"/>
                <w:lang w:val="en-US"/>
              </w:rPr>
            </w:pPr>
            <w:r w:rsidRPr="00857B81">
              <w:rPr>
                <w:rFonts w:eastAsiaTheme="majorEastAsia"/>
                <w:color w:val="0F4761" w:themeColor="accent1" w:themeShade="BF"/>
                <w:sz w:val="18"/>
                <w:szCs w:val="18"/>
                <w:highlight w:val="yellow"/>
                <w:lang w:val="en-US"/>
              </w:rPr>
              <w:t>x</w:t>
            </w:r>
          </w:p>
        </w:tc>
        <w:tc>
          <w:tcPr>
            <w:tcW w:w="1539" w:type="dxa"/>
            <w:vAlign w:val="center"/>
          </w:tcPr>
          <w:p w14:paraId="1C19D826" w14:textId="24091900" w:rsidR="0056042A" w:rsidRPr="00857B81" w:rsidRDefault="0056042A" w:rsidP="002D4F22">
            <w:pPr>
              <w:keepNext/>
              <w:spacing w:after="60" w:line="240" w:lineRule="auto"/>
              <w:jc w:val="both"/>
              <w:rPr>
                <w:rFonts w:eastAsiaTheme="majorEastAsia"/>
                <w:color w:val="0F4761" w:themeColor="accent1" w:themeShade="BF"/>
                <w:sz w:val="18"/>
                <w:szCs w:val="18"/>
                <w:highlight w:val="yellow"/>
                <w:lang w:val="en-US"/>
              </w:rPr>
            </w:pPr>
            <w:r w:rsidRPr="00857B81">
              <w:rPr>
                <w:rFonts w:eastAsiaTheme="majorEastAsia"/>
                <w:color w:val="0F4761" w:themeColor="accent1" w:themeShade="BF"/>
                <w:sz w:val="18"/>
                <w:szCs w:val="18"/>
                <w:highlight w:val="yellow"/>
                <w:lang w:val="en-US"/>
              </w:rPr>
              <w:t>Request for proposal</w:t>
            </w:r>
            <w:r w:rsidRPr="00857B81">
              <w:rPr>
                <w:rFonts w:eastAsiaTheme="majorEastAsia"/>
                <w:color w:val="0F4761" w:themeColor="accent1" w:themeShade="BF"/>
                <w:sz w:val="18"/>
                <w:szCs w:val="18"/>
                <w:highlight w:val="yellow"/>
              </w:rPr>
              <w:t> </w:t>
            </w:r>
          </w:p>
        </w:tc>
      </w:tr>
      <w:tr w:rsidR="00411054" w:rsidRPr="002D4F22" w14:paraId="0B407E65" w14:textId="77777777" w:rsidTr="00857B81">
        <w:trPr>
          <w:trHeight w:val="300"/>
        </w:trPr>
        <w:tc>
          <w:tcPr>
            <w:tcW w:w="1093" w:type="dxa"/>
            <w:vMerge/>
            <w:vAlign w:val="center"/>
            <w:hideMark/>
          </w:tcPr>
          <w:p w14:paraId="62B2FEB0" w14:textId="77777777" w:rsidR="00411054" w:rsidRPr="00857B81" w:rsidRDefault="00411054" w:rsidP="002D4F22">
            <w:pPr>
              <w:keepNext/>
              <w:spacing w:after="60" w:line="240" w:lineRule="auto"/>
              <w:jc w:val="both"/>
              <w:rPr>
                <w:rFonts w:eastAsiaTheme="majorEastAsia"/>
                <w:color w:val="0F4761" w:themeColor="accent1" w:themeShade="BF"/>
                <w:sz w:val="18"/>
                <w:szCs w:val="18"/>
                <w:lang w:val="en-US"/>
              </w:rPr>
            </w:pPr>
          </w:p>
        </w:tc>
        <w:tc>
          <w:tcPr>
            <w:tcW w:w="931" w:type="dxa"/>
            <w:vMerge w:val="restart"/>
            <w:hideMark/>
          </w:tcPr>
          <w:p w14:paraId="07E180D4" w14:textId="77777777" w:rsidR="00411054" w:rsidRPr="002D4F22" w:rsidRDefault="00411054"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2.1.2</w:t>
            </w:r>
            <w:r w:rsidRPr="002D4F22">
              <w:rPr>
                <w:rFonts w:eastAsiaTheme="majorEastAsia"/>
                <w:color w:val="0F4761" w:themeColor="accent1" w:themeShade="BF"/>
                <w:sz w:val="18"/>
                <w:szCs w:val="18"/>
              </w:rPr>
              <w:t> </w:t>
            </w:r>
          </w:p>
        </w:tc>
        <w:tc>
          <w:tcPr>
            <w:tcW w:w="3005" w:type="dxa"/>
            <w:vAlign w:val="center"/>
            <w:hideMark/>
          </w:tcPr>
          <w:p w14:paraId="71180527" w14:textId="77777777" w:rsidR="00411054" w:rsidRPr="002D4F22" w:rsidRDefault="00411054" w:rsidP="002D4F22">
            <w:pPr>
              <w:keepNext/>
              <w:spacing w:after="60" w:line="240" w:lineRule="auto"/>
              <w:jc w:val="both"/>
              <w:rPr>
                <w:rFonts w:eastAsiaTheme="majorEastAsia"/>
                <w:color w:val="0F4761" w:themeColor="accent1" w:themeShade="BF"/>
                <w:sz w:val="18"/>
                <w:szCs w:val="18"/>
                <w:lang w:val="en-US"/>
              </w:rPr>
            </w:pPr>
            <w:r w:rsidRPr="002D4F22">
              <w:rPr>
                <w:rFonts w:eastAsiaTheme="majorEastAsia"/>
                <w:color w:val="0F4761" w:themeColor="accent1" w:themeShade="BF"/>
                <w:sz w:val="18"/>
                <w:szCs w:val="18"/>
                <w:lang w:val="en-US"/>
              </w:rPr>
              <w:t>Recruit a consultancy firm to carry out technical and feasibility studies on the BRT the navigability of the Niger River and dedicated sites for high-capacity public transport and drawing up a detailed preliminary project for the feasibility of sites specific to urban capacity transport: </w:t>
            </w:r>
          </w:p>
        </w:tc>
        <w:tc>
          <w:tcPr>
            <w:tcW w:w="962" w:type="dxa"/>
            <w:vAlign w:val="center"/>
            <w:hideMark/>
          </w:tcPr>
          <w:p w14:paraId="418A9597" w14:textId="77777777" w:rsidR="00411054" w:rsidRPr="002D4F22" w:rsidRDefault="00411054"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Contractual service</w:t>
            </w:r>
            <w:r w:rsidRPr="002D4F22">
              <w:rPr>
                <w:rFonts w:eastAsiaTheme="majorEastAsia"/>
                <w:color w:val="0F4761" w:themeColor="accent1" w:themeShade="BF"/>
                <w:sz w:val="18"/>
                <w:szCs w:val="18"/>
              </w:rPr>
              <w:t> </w:t>
            </w:r>
          </w:p>
          <w:p w14:paraId="7C999566" w14:textId="77777777" w:rsidR="00411054" w:rsidRPr="002D4F22" w:rsidRDefault="00411054"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c>
          <w:tcPr>
            <w:tcW w:w="1376" w:type="dxa"/>
            <w:vAlign w:val="center"/>
            <w:hideMark/>
          </w:tcPr>
          <w:p w14:paraId="2B055833" w14:textId="59B27436" w:rsidR="00411054" w:rsidRPr="002D4F22" w:rsidRDefault="485711D8" w:rsidP="031F3879">
            <w:pPr>
              <w:keepNext/>
              <w:spacing w:after="60" w:line="240" w:lineRule="auto"/>
              <w:jc w:val="both"/>
              <w:rPr>
                <w:rFonts w:eastAsiaTheme="majorEastAsia"/>
                <w:color w:val="0F4761" w:themeColor="accent1" w:themeShade="BF"/>
                <w:sz w:val="18"/>
                <w:szCs w:val="18"/>
              </w:rPr>
            </w:pPr>
            <w:r w:rsidRPr="031F3879">
              <w:rPr>
                <w:rFonts w:eastAsiaTheme="majorEastAsia"/>
                <w:color w:val="0F4761" w:themeColor="accent1" w:themeShade="BF"/>
                <w:sz w:val="18"/>
                <w:szCs w:val="18"/>
                <w:lang w:val="en-US"/>
              </w:rPr>
              <w:t>250,000</w:t>
            </w:r>
            <w:r w:rsidRPr="031F3879">
              <w:rPr>
                <w:rFonts w:eastAsiaTheme="majorEastAsia"/>
                <w:color w:val="0F4761" w:themeColor="accent1" w:themeShade="BF"/>
                <w:sz w:val="18"/>
                <w:szCs w:val="18"/>
              </w:rPr>
              <w:t> </w:t>
            </w:r>
          </w:p>
        </w:tc>
        <w:tc>
          <w:tcPr>
            <w:tcW w:w="680" w:type="dxa"/>
            <w:vAlign w:val="center"/>
            <w:hideMark/>
          </w:tcPr>
          <w:p w14:paraId="071576F8" w14:textId="77777777" w:rsidR="00411054" w:rsidRPr="002D4F22" w:rsidRDefault="00411054"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c>
          <w:tcPr>
            <w:tcW w:w="885" w:type="dxa"/>
            <w:vAlign w:val="center"/>
            <w:hideMark/>
          </w:tcPr>
          <w:p w14:paraId="5D81C4C9" w14:textId="77777777" w:rsidR="00411054" w:rsidRPr="002D4F22" w:rsidRDefault="00411054"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x</w:t>
            </w:r>
            <w:r w:rsidRPr="002D4F22">
              <w:rPr>
                <w:rFonts w:eastAsiaTheme="majorEastAsia"/>
                <w:color w:val="0F4761" w:themeColor="accent1" w:themeShade="BF"/>
                <w:sz w:val="18"/>
                <w:szCs w:val="18"/>
              </w:rPr>
              <w:t> </w:t>
            </w:r>
          </w:p>
        </w:tc>
        <w:tc>
          <w:tcPr>
            <w:tcW w:w="1539" w:type="dxa"/>
            <w:vAlign w:val="center"/>
            <w:hideMark/>
          </w:tcPr>
          <w:p w14:paraId="566731CE" w14:textId="77777777" w:rsidR="00411054" w:rsidRPr="002D4F22" w:rsidRDefault="00411054"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Request for proposal</w:t>
            </w:r>
            <w:r w:rsidRPr="002D4F22">
              <w:rPr>
                <w:rFonts w:eastAsiaTheme="majorEastAsia"/>
                <w:color w:val="0F4761" w:themeColor="accent1" w:themeShade="BF"/>
                <w:sz w:val="18"/>
                <w:szCs w:val="18"/>
              </w:rPr>
              <w:t> </w:t>
            </w:r>
          </w:p>
          <w:p w14:paraId="4FEE7D0F" w14:textId="77777777" w:rsidR="00411054" w:rsidRPr="002D4F22" w:rsidRDefault="00411054"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r>
      <w:tr w:rsidR="00411054" w:rsidRPr="002D4F22" w14:paraId="4EC9CD45" w14:textId="77777777" w:rsidTr="00857B81">
        <w:trPr>
          <w:trHeight w:val="300"/>
        </w:trPr>
        <w:tc>
          <w:tcPr>
            <w:tcW w:w="1093" w:type="dxa"/>
            <w:vMerge/>
            <w:vAlign w:val="center"/>
          </w:tcPr>
          <w:p w14:paraId="2CC16DBB" w14:textId="77777777" w:rsidR="00411054" w:rsidRPr="00BD66A6" w:rsidRDefault="00411054" w:rsidP="002D4F22">
            <w:pPr>
              <w:keepNext/>
              <w:spacing w:after="60" w:line="240" w:lineRule="auto"/>
              <w:jc w:val="both"/>
              <w:rPr>
                <w:rFonts w:eastAsiaTheme="majorEastAsia"/>
                <w:color w:val="0F4761" w:themeColor="accent1" w:themeShade="BF"/>
                <w:sz w:val="18"/>
                <w:szCs w:val="18"/>
                <w:lang w:val="en-US"/>
              </w:rPr>
            </w:pPr>
          </w:p>
        </w:tc>
        <w:tc>
          <w:tcPr>
            <w:tcW w:w="931" w:type="dxa"/>
            <w:vMerge/>
          </w:tcPr>
          <w:p w14:paraId="139B6F8F" w14:textId="77777777" w:rsidR="00411054" w:rsidRPr="002D4F22" w:rsidRDefault="00411054" w:rsidP="002D4F22">
            <w:pPr>
              <w:keepNext/>
              <w:spacing w:after="60" w:line="240" w:lineRule="auto"/>
              <w:jc w:val="both"/>
              <w:rPr>
                <w:rFonts w:eastAsiaTheme="majorEastAsia"/>
                <w:color w:val="0F4761" w:themeColor="accent1" w:themeShade="BF"/>
                <w:sz w:val="18"/>
                <w:szCs w:val="18"/>
                <w:lang w:val="en-US"/>
              </w:rPr>
            </w:pPr>
          </w:p>
        </w:tc>
        <w:tc>
          <w:tcPr>
            <w:tcW w:w="3005" w:type="dxa"/>
            <w:vAlign w:val="center"/>
          </w:tcPr>
          <w:p w14:paraId="4D138582" w14:textId="5326CAA7" w:rsidR="00411054" w:rsidRPr="00857B81" w:rsidRDefault="00411054" w:rsidP="002D4F22">
            <w:pPr>
              <w:keepNext/>
              <w:spacing w:after="60" w:line="240" w:lineRule="auto"/>
              <w:jc w:val="both"/>
              <w:rPr>
                <w:rFonts w:eastAsiaTheme="majorEastAsia"/>
                <w:color w:val="0F4761" w:themeColor="accent1" w:themeShade="BF"/>
                <w:sz w:val="18"/>
                <w:szCs w:val="18"/>
                <w:highlight w:val="yellow"/>
                <w:lang w:val="en-US"/>
              </w:rPr>
            </w:pPr>
            <w:r w:rsidRPr="00857B81">
              <w:rPr>
                <w:rFonts w:eastAsiaTheme="majorEastAsia"/>
                <w:color w:val="0F4761" w:themeColor="accent1" w:themeShade="BF"/>
                <w:sz w:val="18"/>
                <w:szCs w:val="18"/>
                <w:highlight w:val="yellow"/>
                <w:lang w:val="en-US"/>
              </w:rPr>
              <w:t xml:space="preserve">Recruit </w:t>
            </w:r>
            <w:proofErr w:type="spellStart"/>
            <w:proofErr w:type="gramStart"/>
            <w:r w:rsidRPr="00857B81">
              <w:rPr>
                <w:rFonts w:eastAsiaTheme="majorEastAsia"/>
                <w:color w:val="0F4761" w:themeColor="accent1" w:themeShade="BF"/>
                <w:sz w:val="18"/>
                <w:szCs w:val="18"/>
                <w:highlight w:val="yellow"/>
                <w:lang w:val="en-US"/>
              </w:rPr>
              <w:t>Add</w:t>
            </w:r>
            <w:proofErr w:type="spellEnd"/>
            <w:proofErr w:type="gramEnd"/>
            <w:r w:rsidRPr="00857B81">
              <w:rPr>
                <w:rFonts w:eastAsiaTheme="majorEastAsia"/>
                <w:color w:val="0F4761" w:themeColor="accent1" w:themeShade="BF"/>
                <w:sz w:val="18"/>
                <w:szCs w:val="18"/>
                <w:highlight w:val="yellow"/>
                <w:lang w:val="en-US"/>
              </w:rPr>
              <w:t xml:space="preserve"> hoc sustainable transport and e-mobility senior international expert</w:t>
            </w:r>
          </w:p>
        </w:tc>
        <w:tc>
          <w:tcPr>
            <w:tcW w:w="962" w:type="dxa"/>
            <w:vAlign w:val="center"/>
          </w:tcPr>
          <w:p w14:paraId="00F5ADCA" w14:textId="6DE2D3BE" w:rsidR="00411054" w:rsidRPr="00857B81" w:rsidRDefault="00411054" w:rsidP="002D4F22">
            <w:pPr>
              <w:keepNext/>
              <w:spacing w:after="60" w:line="240" w:lineRule="auto"/>
              <w:jc w:val="both"/>
              <w:rPr>
                <w:rFonts w:eastAsiaTheme="majorEastAsia"/>
                <w:color w:val="0F4761" w:themeColor="accent1" w:themeShade="BF"/>
                <w:sz w:val="18"/>
                <w:szCs w:val="18"/>
                <w:highlight w:val="yellow"/>
                <w:lang w:val="en-US"/>
              </w:rPr>
            </w:pPr>
            <w:r w:rsidRPr="00857B81">
              <w:rPr>
                <w:rFonts w:eastAsiaTheme="majorEastAsia"/>
                <w:color w:val="0F4761" w:themeColor="accent1" w:themeShade="BF"/>
                <w:sz w:val="18"/>
                <w:szCs w:val="18"/>
                <w:highlight w:val="yellow"/>
                <w:lang w:val="en-US"/>
              </w:rPr>
              <w:t>Individual contract</w:t>
            </w:r>
          </w:p>
        </w:tc>
        <w:tc>
          <w:tcPr>
            <w:tcW w:w="1376" w:type="dxa"/>
            <w:vAlign w:val="center"/>
          </w:tcPr>
          <w:p w14:paraId="6C18BE86" w14:textId="5F1C9E97" w:rsidR="00411054" w:rsidRPr="00857B81" w:rsidRDefault="00411054" w:rsidP="002D4F22">
            <w:pPr>
              <w:keepNext/>
              <w:spacing w:after="60" w:line="240" w:lineRule="auto"/>
              <w:jc w:val="both"/>
              <w:rPr>
                <w:rFonts w:eastAsiaTheme="majorEastAsia"/>
                <w:color w:val="0F4761" w:themeColor="accent1" w:themeShade="BF"/>
                <w:sz w:val="18"/>
                <w:szCs w:val="18"/>
                <w:highlight w:val="yellow"/>
                <w:lang w:val="en-US"/>
              </w:rPr>
            </w:pPr>
            <w:r w:rsidRPr="00857B81">
              <w:rPr>
                <w:rFonts w:eastAsiaTheme="majorEastAsia"/>
                <w:color w:val="0F4761" w:themeColor="accent1" w:themeShade="BF"/>
                <w:sz w:val="18"/>
                <w:szCs w:val="18"/>
                <w:highlight w:val="yellow"/>
                <w:lang w:val="en-US"/>
              </w:rPr>
              <w:t>40,000</w:t>
            </w:r>
          </w:p>
        </w:tc>
        <w:tc>
          <w:tcPr>
            <w:tcW w:w="680" w:type="dxa"/>
            <w:vAlign w:val="center"/>
          </w:tcPr>
          <w:p w14:paraId="0C5217F7" w14:textId="77777777" w:rsidR="00411054" w:rsidRPr="00857B81" w:rsidRDefault="00411054" w:rsidP="002D4F22">
            <w:pPr>
              <w:keepNext/>
              <w:spacing w:after="60" w:line="240" w:lineRule="auto"/>
              <w:jc w:val="both"/>
              <w:rPr>
                <w:rFonts w:eastAsiaTheme="majorEastAsia"/>
                <w:color w:val="0F4761" w:themeColor="accent1" w:themeShade="BF"/>
                <w:sz w:val="18"/>
                <w:szCs w:val="18"/>
                <w:highlight w:val="yellow"/>
              </w:rPr>
            </w:pPr>
          </w:p>
        </w:tc>
        <w:tc>
          <w:tcPr>
            <w:tcW w:w="885" w:type="dxa"/>
            <w:vAlign w:val="center"/>
          </w:tcPr>
          <w:p w14:paraId="446E125B" w14:textId="5772982A" w:rsidR="00411054" w:rsidRPr="00857B81" w:rsidRDefault="00411054" w:rsidP="002D4F22">
            <w:pPr>
              <w:keepNext/>
              <w:spacing w:after="60" w:line="240" w:lineRule="auto"/>
              <w:jc w:val="both"/>
              <w:rPr>
                <w:rFonts w:eastAsiaTheme="majorEastAsia"/>
                <w:color w:val="0F4761" w:themeColor="accent1" w:themeShade="BF"/>
                <w:sz w:val="18"/>
                <w:szCs w:val="18"/>
                <w:highlight w:val="yellow"/>
                <w:lang w:val="en-US"/>
              </w:rPr>
            </w:pPr>
            <w:r w:rsidRPr="00857B81">
              <w:rPr>
                <w:rFonts w:eastAsiaTheme="majorEastAsia"/>
                <w:color w:val="0F4761" w:themeColor="accent1" w:themeShade="BF"/>
                <w:sz w:val="18"/>
                <w:szCs w:val="18"/>
                <w:highlight w:val="yellow"/>
                <w:lang w:val="en-US"/>
              </w:rPr>
              <w:t>x</w:t>
            </w:r>
          </w:p>
        </w:tc>
        <w:tc>
          <w:tcPr>
            <w:tcW w:w="1539" w:type="dxa"/>
            <w:vAlign w:val="center"/>
          </w:tcPr>
          <w:p w14:paraId="4DC30CAB" w14:textId="5FBF550E" w:rsidR="00411054" w:rsidRPr="00857B81" w:rsidRDefault="00411054" w:rsidP="002D4F22">
            <w:pPr>
              <w:keepNext/>
              <w:spacing w:after="60" w:line="240" w:lineRule="auto"/>
              <w:jc w:val="both"/>
              <w:rPr>
                <w:rFonts w:eastAsiaTheme="majorEastAsia"/>
                <w:color w:val="0F4761" w:themeColor="accent1" w:themeShade="BF"/>
                <w:sz w:val="18"/>
                <w:szCs w:val="18"/>
                <w:highlight w:val="yellow"/>
                <w:lang w:val="en-US"/>
              </w:rPr>
            </w:pPr>
            <w:r w:rsidRPr="00857B81">
              <w:rPr>
                <w:rFonts w:eastAsiaTheme="majorEastAsia"/>
                <w:color w:val="0F4761" w:themeColor="accent1" w:themeShade="BF"/>
                <w:sz w:val="18"/>
                <w:szCs w:val="18"/>
                <w:highlight w:val="yellow"/>
                <w:lang w:val="en-US"/>
              </w:rPr>
              <w:t>Individual contract</w:t>
            </w:r>
          </w:p>
        </w:tc>
      </w:tr>
      <w:tr w:rsidR="00411054" w:rsidRPr="00411054" w14:paraId="5232CC7A" w14:textId="77777777" w:rsidTr="00857B81">
        <w:trPr>
          <w:trHeight w:val="300"/>
        </w:trPr>
        <w:tc>
          <w:tcPr>
            <w:tcW w:w="1093" w:type="dxa"/>
            <w:vMerge/>
            <w:vAlign w:val="center"/>
          </w:tcPr>
          <w:p w14:paraId="04779ED6" w14:textId="77777777" w:rsidR="00411054" w:rsidRPr="005E5D0E" w:rsidRDefault="00411054" w:rsidP="002D4F22">
            <w:pPr>
              <w:keepNext/>
              <w:spacing w:after="60" w:line="240" w:lineRule="auto"/>
              <w:jc w:val="both"/>
              <w:rPr>
                <w:rFonts w:eastAsiaTheme="majorEastAsia"/>
                <w:color w:val="0F4761" w:themeColor="accent1" w:themeShade="BF"/>
                <w:sz w:val="18"/>
                <w:szCs w:val="18"/>
                <w:lang w:val="en-US"/>
              </w:rPr>
            </w:pPr>
          </w:p>
        </w:tc>
        <w:tc>
          <w:tcPr>
            <w:tcW w:w="931" w:type="dxa"/>
            <w:vMerge/>
          </w:tcPr>
          <w:p w14:paraId="7C151E7A" w14:textId="77777777" w:rsidR="00411054" w:rsidRPr="002D4F22" w:rsidRDefault="00411054" w:rsidP="002D4F22">
            <w:pPr>
              <w:keepNext/>
              <w:spacing w:after="60" w:line="240" w:lineRule="auto"/>
              <w:jc w:val="both"/>
              <w:rPr>
                <w:rFonts w:eastAsiaTheme="majorEastAsia"/>
                <w:color w:val="0F4761" w:themeColor="accent1" w:themeShade="BF"/>
                <w:sz w:val="18"/>
                <w:szCs w:val="18"/>
                <w:lang w:val="en-US"/>
              </w:rPr>
            </w:pPr>
          </w:p>
        </w:tc>
        <w:tc>
          <w:tcPr>
            <w:tcW w:w="3005" w:type="dxa"/>
            <w:vAlign w:val="center"/>
          </w:tcPr>
          <w:p w14:paraId="513F2B00" w14:textId="55BF8B24" w:rsidR="00411054" w:rsidRPr="00857B81" w:rsidRDefault="00411054" w:rsidP="002D4F22">
            <w:pPr>
              <w:keepNext/>
              <w:spacing w:after="60" w:line="240" w:lineRule="auto"/>
              <w:jc w:val="both"/>
              <w:rPr>
                <w:rFonts w:eastAsiaTheme="majorEastAsia"/>
                <w:color w:val="0F4761" w:themeColor="accent1" w:themeShade="BF"/>
                <w:sz w:val="18"/>
                <w:szCs w:val="18"/>
                <w:highlight w:val="yellow"/>
                <w:lang w:val="en-US"/>
              </w:rPr>
            </w:pPr>
            <w:r w:rsidRPr="00857B81">
              <w:rPr>
                <w:rFonts w:eastAsiaTheme="majorEastAsia"/>
                <w:color w:val="0F4761" w:themeColor="accent1" w:themeShade="BF"/>
                <w:sz w:val="18"/>
                <w:szCs w:val="18"/>
                <w:highlight w:val="yellow"/>
                <w:lang w:val="en-US"/>
              </w:rPr>
              <w:t xml:space="preserve">Recruit </w:t>
            </w:r>
            <w:proofErr w:type="spellStart"/>
            <w:proofErr w:type="gramStart"/>
            <w:r w:rsidRPr="00857B81">
              <w:rPr>
                <w:rFonts w:eastAsiaTheme="majorEastAsia"/>
                <w:color w:val="0F4761" w:themeColor="accent1" w:themeShade="BF"/>
                <w:sz w:val="18"/>
                <w:szCs w:val="18"/>
                <w:highlight w:val="yellow"/>
                <w:lang w:val="en-US"/>
              </w:rPr>
              <w:t>Add</w:t>
            </w:r>
            <w:proofErr w:type="spellEnd"/>
            <w:proofErr w:type="gramEnd"/>
            <w:r w:rsidRPr="00857B81">
              <w:rPr>
                <w:rFonts w:eastAsiaTheme="majorEastAsia"/>
                <w:color w:val="0F4761" w:themeColor="accent1" w:themeShade="BF"/>
                <w:sz w:val="18"/>
                <w:szCs w:val="18"/>
                <w:highlight w:val="yellow"/>
                <w:lang w:val="en-US"/>
              </w:rPr>
              <w:t xml:space="preserve"> hoc sustainable transport and e-mobility national expert</w:t>
            </w:r>
          </w:p>
        </w:tc>
        <w:tc>
          <w:tcPr>
            <w:tcW w:w="962" w:type="dxa"/>
            <w:vAlign w:val="center"/>
          </w:tcPr>
          <w:p w14:paraId="7F61826D" w14:textId="2A3C3B87" w:rsidR="00411054" w:rsidRPr="00857B81" w:rsidRDefault="00411054" w:rsidP="002D4F22">
            <w:pPr>
              <w:keepNext/>
              <w:spacing w:after="60" w:line="240" w:lineRule="auto"/>
              <w:jc w:val="both"/>
              <w:rPr>
                <w:rFonts w:eastAsiaTheme="majorEastAsia"/>
                <w:color w:val="0F4761" w:themeColor="accent1" w:themeShade="BF"/>
                <w:sz w:val="18"/>
                <w:szCs w:val="18"/>
                <w:highlight w:val="yellow"/>
                <w:lang w:val="en-US"/>
              </w:rPr>
            </w:pPr>
            <w:r w:rsidRPr="00857B81">
              <w:rPr>
                <w:rFonts w:eastAsiaTheme="majorEastAsia"/>
                <w:color w:val="0F4761" w:themeColor="accent1" w:themeShade="BF"/>
                <w:sz w:val="18"/>
                <w:szCs w:val="18"/>
                <w:highlight w:val="yellow"/>
                <w:lang w:val="en-US"/>
              </w:rPr>
              <w:t>Individual contract</w:t>
            </w:r>
          </w:p>
        </w:tc>
        <w:tc>
          <w:tcPr>
            <w:tcW w:w="1376" w:type="dxa"/>
            <w:vAlign w:val="center"/>
          </w:tcPr>
          <w:p w14:paraId="5AD59139" w14:textId="3EAD1165" w:rsidR="00411054" w:rsidRPr="00857B81" w:rsidRDefault="00411054" w:rsidP="002D4F22">
            <w:pPr>
              <w:keepNext/>
              <w:spacing w:after="60" w:line="240" w:lineRule="auto"/>
              <w:jc w:val="both"/>
              <w:rPr>
                <w:rFonts w:eastAsiaTheme="majorEastAsia"/>
                <w:color w:val="0F4761" w:themeColor="accent1" w:themeShade="BF"/>
                <w:sz w:val="18"/>
                <w:szCs w:val="18"/>
                <w:highlight w:val="yellow"/>
                <w:lang w:val="en-US"/>
              </w:rPr>
            </w:pPr>
            <w:r w:rsidRPr="00857B81">
              <w:rPr>
                <w:rFonts w:eastAsiaTheme="majorEastAsia"/>
                <w:color w:val="0F4761" w:themeColor="accent1" w:themeShade="BF"/>
                <w:sz w:val="18"/>
                <w:szCs w:val="18"/>
                <w:highlight w:val="yellow"/>
                <w:lang w:val="en-US"/>
              </w:rPr>
              <w:t>24,000</w:t>
            </w:r>
          </w:p>
        </w:tc>
        <w:tc>
          <w:tcPr>
            <w:tcW w:w="680" w:type="dxa"/>
            <w:vAlign w:val="center"/>
          </w:tcPr>
          <w:p w14:paraId="4E311AD6" w14:textId="67EB7A2C" w:rsidR="00411054" w:rsidRPr="00857B81" w:rsidRDefault="00411054" w:rsidP="002D4F22">
            <w:pPr>
              <w:keepNext/>
              <w:spacing w:after="60" w:line="240" w:lineRule="auto"/>
              <w:jc w:val="both"/>
              <w:rPr>
                <w:rFonts w:eastAsiaTheme="majorEastAsia"/>
                <w:color w:val="0F4761" w:themeColor="accent1" w:themeShade="BF"/>
                <w:sz w:val="18"/>
                <w:szCs w:val="18"/>
                <w:highlight w:val="yellow"/>
                <w:lang w:val="en-US"/>
              </w:rPr>
            </w:pPr>
            <w:r w:rsidRPr="00857B81">
              <w:rPr>
                <w:rFonts w:eastAsiaTheme="majorEastAsia"/>
                <w:color w:val="0F4761" w:themeColor="accent1" w:themeShade="BF"/>
                <w:sz w:val="18"/>
                <w:szCs w:val="18"/>
                <w:highlight w:val="yellow"/>
                <w:lang w:val="en-US"/>
              </w:rPr>
              <w:t>x</w:t>
            </w:r>
          </w:p>
        </w:tc>
        <w:tc>
          <w:tcPr>
            <w:tcW w:w="885" w:type="dxa"/>
            <w:vAlign w:val="center"/>
          </w:tcPr>
          <w:p w14:paraId="4CDF697F" w14:textId="77777777" w:rsidR="00411054" w:rsidRPr="00857B81" w:rsidRDefault="00411054" w:rsidP="002D4F22">
            <w:pPr>
              <w:keepNext/>
              <w:spacing w:after="60" w:line="240" w:lineRule="auto"/>
              <w:jc w:val="both"/>
              <w:rPr>
                <w:rFonts w:eastAsiaTheme="majorEastAsia"/>
                <w:color w:val="0F4761" w:themeColor="accent1" w:themeShade="BF"/>
                <w:sz w:val="18"/>
                <w:szCs w:val="18"/>
                <w:highlight w:val="yellow"/>
                <w:lang w:val="en-US"/>
              </w:rPr>
            </w:pPr>
          </w:p>
        </w:tc>
        <w:tc>
          <w:tcPr>
            <w:tcW w:w="1539" w:type="dxa"/>
            <w:vAlign w:val="center"/>
          </w:tcPr>
          <w:p w14:paraId="31DEFA3D" w14:textId="1213D2C3" w:rsidR="00411054" w:rsidRPr="00857B81" w:rsidRDefault="00411054" w:rsidP="002D4F22">
            <w:pPr>
              <w:keepNext/>
              <w:spacing w:after="60" w:line="240" w:lineRule="auto"/>
              <w:jc w:val="both"/>
              <w:rPr>
                <w:rFonts w:eastAsiaTheme="majorEastAsia"/>
                <w:color w:val="0F4761" w:themeColor="accent1" w:themeShade="BF"/>
                <w:sz w:val="18"/>
                <w:szCs w:val="18"/>
                <w:highlight w:val="yellow"/>
                <w:lang w:val="en-US"/>
              </w:rPr>
            </w:pPr>
            <w:r w:rsidRPr="00857B81">
              <w:rPr>
                <w:rFonts w:eastAsiaTheme="majorEastAsia"/>
                <w:color w:val="0F4761" w:themeColor="accent1" w:themeShade="BF"/>
                <w:sz w:val="18"/>
                <w:szCs w:val="18"/>
                <w:highlight w:val="yellow"/>
                <w:lang w:val="en-US"/>
              </w:rPr>
              <w:t>Individual contract</w:t>
            </w:r>
          </w:p>
        </w:tc>
      </w:tr>
      <w:tr w:rsidR="002D4F22" w:rsidRPr="002D4F22" w14:paraId="0149C4BE" w14:textId="77777777" w:rsidTr="00857B81">
        <w:trPr>
          <w:trHeight w:val="300"/>
        </w:trPr>
        <w:tc>
          <w:tcPr>
            <w:tcW w:w="1093" w:type="dxa"/>
            <w:vMerge/>
            <w:vAlign w:val="center"/>
            <w:hideMark/>
          </w:tcPr>
          <w:p w14:paraId="443DA948" w14:textId="77777777" w:rsidR="002D4F22" w:rsidRPr="00857B81" w:rsidRDefault="002D4F22" w:rsidP="002D4F22">
            <w:pPr>
              <w:keepNext/>
              <w:spacing w:after="60" w:line="240" w:lineRule="auto"/>
              <w:jc w:val="both"/>
              <w:rPr>
                <w:rFonts w:eastAsiaTheme="majorEastAsia"/>
                <w:color w:val="0F4761" w:themeColor="accent1" w:themeShade="BF"/>
                <w:sz w:val="18"/>
                <w:szCs w:val="18"/>
                <w:lang w:val="en-US"/>
              </w:rPr>
            </w:pPr>
          </w:p>
        </w:tc>
        <w:tc>
          <w:tcPr>
            <w:tcW w:w="931" w:type="dxa"/>
            <w:vMerge w:val="restart"/>
            <w:hideMark/>
          </w:tcPr>
          <w:p w14:paraId="0C93F8AA" w14:textId="77777777" w:rsidR="002D4F22" w:rsidRPr="002D4F22" w:rsidRDefault="002D4F22" w:rsidP="002D4F22">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2.1.3</w:t>
            </w:r>
            <w:r w:rsidRPr="002D4F22">
              <w:rPr>
                <w:rFonts w:eastAsiaTheme="majorEastAsia"/>
                <w:color w:val="0F4761" w:themeColor="accent1" w:themeShade="BF"/>
                <w:sz w:val="18"/>
                <w:szCs w:val="18"/>
              </w:rPr>
              <w:t> </w:t>
            </w:r>
          </w:p>
        </w:tc>
        <w:tc>
          <w:tcPr>
            <w:tcW w:w="3005" w:type="dxa"/>
            <w:vAlign w:val="center"/>
            <w:hideMark/>
          </w:tcPr>
          <w:p w14:paraId="23B74C81" w14:textId="0BB71295" w:rsidR="002D4F22" w:rsidRPr="00E86501" w:rsidRDefault="002D4F22" w:rsidP="002D4F22">
            <w:pPr>
              <w:keepNext/>
              <w:spacing w:after="60" w:line="240" w:lineRule="auto"/>
              <w:jc w:val="both"/>
              <w:rPr>
                <w:rFonts w:eastAsiaTheme="majorEastAsia"/>
                <w:color w:val="0F4761" w:themeColor="accent1" w:themeShade="BF"/>
                <w:sz w:val="18"/>
                <w:szCs w:val="18"/>
                <w:highlight w:val="cyan"/>
                <w:lang w:val="en-US"/>
              </w:rPr>
            </w:pPr>
            <w:r w:rsidRPr="00E86501">
              <w:rPr>
                <w:rFonts w:eastAsiaTheme="majorEastAsia"/>
                <w:color w:val="0F4761" w:themeColor="accent1" w:themeShade="BF"/>
                <w:sz w:val="18"/>
                <w:szCs w:val="18"/>
                <w:highlight w:val="cyan"/>
                <w:lang w:val="en-US"/>
              </w:rPr>
              <w:t xml:space="preserve">Recruit a consultancy firm </w:t>
            </w:r>
            <w:r w:rsidR="0076348D" w:rsidRPr="00E86501">
              <w:rPr>
                <w:rFonts w:eastAsiaTheme="majorEastAsia"/>
                <w:color w:val="0F4761" w:themeColor="accent1" w:themeShade="BF"/>
                <w:sz w:val="18"/>
                <w:szCs w:val="18"/>
                <w:highlight w:val="cyan"/>
                <w:lang w:val="en-US"/>
              </w:rPr>
              <w:t xml:space="preserve">to conduct </w:t>
            </w:r>
            <w:proofErr w:type="gramStart"/>
            <w:r w:rsidR="0076348D" w:rsidRPr="00E86501">
              <w:rPr>
                <w:rFonts w:eastAsiaTheme="majorEastAsia"/>
                <w:color w:val="0F4761" w:themeColor="accent1" w:themeShade="BF"/>
                <w:sz w:val="18"/>
                <w:szCs w:val="18"/>
                <w:highlight w:val="cyan"/>
                <w:lang w:val="en-US"/>
              </w:rPr>
              <w:t xml:space="preserve">an </w:t>
            </w:r>
            <w:r w:rsidR="005D3782" w:rsidRPr="00E86501">
              <w:rPr>
                <w:rFonts w:eastAsiaTheme="majorEastAsia"/>
                <w:color w:val="0F4761" w:themeColor="accent1" w:themeShade="BF"/>
                <w:sz w:val="18"/>
                <w:szCs w:val="18"/>
                <w:highlight w:val="cyan"/>
                <w:lang w:val="en-US"/>
              </w:rPr>
              <w:t xml:space="preserve"> Institutional</w:t>
            </w:r>
            <w:proofErr w:type="gramEnd"/>
            <w:r w:rsidR="005D3782" w:rsidRPr="00E86501">
              <w:rPr>
                <w:rFonts w:eastAsiaTheme="majorEastAsia"/>
                <w:color w:val="0F4761" w:themeColor="accent1" w:themeShade="BF"/>
                <w:sz w:val="18"/>
                <w:szCs w:val="18"/>
                <w:highlight w:val="cyan"/>
                <w:lang w:val="en-US"/>
              </w:rPr>
              <w:t xml:space="preserve"> diagnosis and establishment of </w:t>
            </w:r>
            <w:r w:rsidR="00E6531C" w:rsidRPr="00363AE8">
              <w:rPr>
                <w:rFonts w:eastAsiaTheme="majorEastAsia"/>
                <w:color w:val="0F4761" w:themeColor="accent1" w:themeShade="BF"/>
                <w:sz w:val="18"/>
                <w:szCs w:val="18"/>
                <w:highlight w:val="cyan"/>
                <w:lang w:val="en-US"/>
              </w:rPr>
              <w:t>regulatory</w:t>
            </w:r>
            <w:r w:rsidR="005D3782" w:rsidRPr="00E86501">
              <w:rPr>
                <w:rFonts w:eastAsiaTheme="majorEastAsia"/>
                <w:color w:val="0F4761" w:themeColor="accent1" w:themeShade="BF"/>
                <w:sz w:val="18"/>
                <w:szCs w:val="18"/>
                <w:highlight w:val="cyan"/>
                <w:lang w:val="en-US"/>
              </w:rPr>
              <w:t xml:space="preserve"> Authority and Urban Council to strengthen governance of urban transport in Bamako</w:t>
            </w:r>
          </w:p>
        </w:tc>
        <w:tc>
          <w:tcPr>
            <w:tcW w:w="962" w:type="dxa"/>
            <w:vAlign w:val="center"/>
            <w:hideMark/>
          </w:tcPr>
          <w:p w14:paraId="49FEB3EC" w14:textId="77777777" w:rsidR="002D4F22" w:rsidRPr="00E86501" w:rsidRDefault="002D4F22" w:rsidP="002D4F22">
            <w:pPr>
              <w:keepNext/>
              <w:spacing w:after="60" w:line="240" w:lineRule="auto"/>
              <w:jc w:val="both"/>
              <w:rPr>
                <w:rFonts w:eastAsiaTheme="majorEastAsia"/>
                <w:color w:val="0F4761" w:themeColor="accent1" w:themeShade="BF"/>
                <w:sz w:val="18"/>
                <w:szCs w:val="18"/>
                <w:highlight w:val="cyan"/>
              </w:rPr>
            </w:pPr>
            <w:r w:rsidRPr="00E86501">
              <w:rPr>
                <w:rFonts w:eastAsiaTheme="majorEastAsia"/>
                <w:color w:val="0F4761" w:themeColor="accent1" w:themeShade="BF"/>
                <w:sz w:val="18"/>
                <w:szCs w:val="18"/>
                <w:highlight w:val="cyan"/>
                <w:lang w:val="en-US"/>
              </w:rPr>
              <w:t>Contractual service</w:t>
            </w:r>
            <w:r w:rsidRPr="00E86501">
              <w:rPr>
                <w:rFonts w:eastAsiaTheme="majorEastAsia"/>
                <w:color w:val="0F4761" w:themeColor="accent1" w:themeShade="BF"/>
                <w:sz w:val="18"/>
                <w:szCs w:val="18"/>
                <w:highlight w:val="cyan"/>
              </w:rPr>
              <w:t> </w:t>
            </w:r>
          </w:p>
        </w:tc>
        <w:tc>
          <w:tcPr>
            <w:tcW w:w="1376" w:type="dxa"/>
            <w:vAlign w:val="center"/>
            <w:hideMark/>
          </w:tcPr>
          <w:p w14:paraId="4B495461" w14:textId="72DD79C1" w:rsidR="002D4F22" w:rsidRPr="00E86501" w:rsidRDefault="00D22D45" w:rsidP="002D4F22">
            <w:pPr>
              <w:keepNext/>
              <w:spacing w:after="60" w:line="240" w:lineRule="auto"/>
              <w:jc w:val="both"/>
              <w:rPr>
                <w:rFonts w:eastAsiaTheme="majorEastAsia"/>
                <w:color w:val="0F4761" w:themeColor="accent1" w:themeShade="BF"/>
                <w:sz w:val="18"/>
                <w:szCs w:val="18"/>
                <w:highlight w:val="cyan"/>
              </w:rPr>
            </w:pPr>
            <w:r w:rsidRPr="00E86501">
              <w:rPr>
                <w:rFonts w:eastAsiaTheme="majorEastAsia"/>
                <w:color w:val="0F4761" w:themeColor="accent1" w:themeShade="BF"/>
                <w:sz w:val="18"/>
                <w:szCs w:val="18"/>
                <w:highlight w:val="cyan"/>
              </w:rPr>
              <w:t>115,000</w:t>
            </w:r>
          </w:p>
        </w:tc>
        <w:tc>
          <w:tcPr>
            <w:tcW w:w="680" w:type="dxa"/>
            <w:vAlign w:val="center"/>
            <w:hideMark/>
          </w:tcPr>
          <w:p w14:paraId="5736D970" w14:textId="77777777" w:rsidR="002D4F22" w:rsidRPr="00E86501" w:rsidRDefault="002D4F22" w:rsidP="002D4F22">
            <w:pPr>
              <w:keepNext/>
              <w:spacing w:after="60" w:line="240" w:lineRule="auto"/>
              <w:jc w:val="both"/>
              <w:rPr>
                <w:rFonts w:eastAsiaTheme="majorEastAsia"/>
                <w:color w:val="0F4761" w:themeColor="accent1" w:themeShade="BF"/>
                <w:sz w:val="18"/>
                <w:szCs w:val="18"/>
                <w:highlight w:val="cyan"/>
              </w:rPr>
            </w:pPr>
            <w:r w:rsidRPr="00E86501">
              <w:rPr>
                <w:rFonts w:eastAsiaTheme="majorEastAsia"/>
                <w:color w:val="0F4761" w:themeColor="accent1" w:themeShade="BF"/>
                <w:sz w:val="18"/>
                <w:szCs w:val="18"/>
                <w:highlight w:val="cyan"/>
              </w:rPr>
              <w:t> </w:t>
            </w:r>
          </w:p>
        </w:tc>
        <w:tc>
          <w:tcPr>
            <w:tcW w:w="885" w:type="dxa"/>
            <w:vAlign w:val="center"/>
            <w:hideMark/>
          </w:tcPr>
          <w:p w14:paraId="6E409379" w14:textId="77777777" w:rsidR="002D4F22" w:rsidRPr="00E86501" w:rsidRDefault="002D4F22" w:rsidP="002D4F22">
            <w:pPr>
              <w:keepNext/>
              <w:spacing w:after="60" w:line="240" w:lineRule="auto"/>
              <w:jc w:val="both"/>
              <w:rPr>
                <w:rFonts w:eastAsiaTheme="majorEastAsia"/>
                <w:color w:val="0F4761" w:themeColor="accent1" w:themeShade="BF"/>
                <w:sz w:val="18"/>
                <w:szCs w:val="18"/>
                <w:highlight w:val="cyan"/>
              </w:rPr>
            </w:pPr>
            <w:r w:rsidRPr="00E86501">
              <w:rPr>
                <w:rFonts w:eastAsiaTheme="majorEastAsia"/>
                <w:color w:val="0F4761" w:themeColor="accent1" w:themeShade="BF"/>
                <w:sz w:val="18"/>
                <w:szCs w:val="18"/>
                <w:highlight w:val="cyan"/>
                <w:lang w:val="en-US"/>
              </w:rPr>
              <w:t>x</w:t>
            </w:r>
            <w:r w:rsidRPr="00E86501">
              <w:rPr>
                <w:rFonts w:eastAsiaTheme="majorEastAsia"/>
                <w:color w:val="0F4761" w:themeColor="accent1" w:themeShade="BF"/>
                <w:sz w:val="18"/>
                <w:szCs w:val="18"/>
                <w:highlight w:val="cyan"/>
              </w:rPr>
              <w:t> </w:t>
            </w:r>
          </w:p>
        </w:tc>
        <w:tc>
          <w:tcPr>
            <w:tcW w:w="1539" w:type="dxa"/>
            <w:vAlign w:val="center"/>
            <w:hideMark/>
          </w:tcPr>
          <w:p w14:paraId="3E66777A" w14:textId="77777777" w:rsidR="002D4F22" w:rsidRPr="00E86501" w:rsidRDefault="002D4F22" w:rsidP="002D4F22">
            <w:pPr>
              <w:keepNext/>
              <w:spacing w:after="60" w:line="240" w:lineRule="auto"/>
              <w:jc w:val="both"/>
              <w:rPr>
                <w:rFonts w:eastAsiaTheme="majorEastAsia"/>
                <w:color w:val="0F4761" w:themeColor="accent1" w:themeShade="BF"/>
                <w:sz w:val="18"/>
                <w:szCs w:val="18"/>
                <w:highlight w:val="cyan"/>
              </w:rPr>
            </w:pPr>
            <w:r w:rsidRPr="00E86501">
              <w:rPr>
                <w:rFonts w:eastAsiaTheme="majorEastAsia"/>
                <w:color w:val="0F4761" w:themeColor="accent1" w:themeShade="BF"/>
                <w:sz w:val="18"/>
                <w:szCs w:val="18"/>
                <w:highlight w:val="cyan"/>
                <w:lang w:val="en-US"/>
              </w:rPr>
              <w:t>Request for proposal</w:t>
            </w:r>
            <w:r w:rsidRPr="00E86501">
              <w:rPr>
                <w:rFonts w:eastAsiaTheme="majorEastAsia"/>
                <w:color w:val="0F4761" w:themeColor="accent1" w:themeShade="BF"/>
                <w:sz w:val="18"/>
                <w:szCs w:val="18"/>
                <w:highlight w:val="cyan"/>
              </w:rPr>
              <w:t> </w:t>
            </w:r>
          </w:p>
          <w:p w14:paraId="7C025A29" w14:textId="77777777" w:rsidR="002D4F22" w:rsidRPr="00E86501" w:rsidRDefault="002D4F22" w:rsidP="002D4F22">
            <w:pPr>
              <w:keepNext/>
              <w:spacing w:after="60" w:line="240" w:lineRule="auto"/>
              <w:jc w:val="both"/>
              <w:rPr>
                <w:rFonts w:eastAsiaTheme="majorEastAsia"/>
                <w:color w:val="0F4761" w:themeColor="accent1" w:themeShade="BF"/>
                <w:sz w:val="18"/>
                <w:szCs w:val="18"/>
                <w:highlight w:val="cyan"/>
              </w:rPr>
            </w:pPr>
            <w:r w:rsidRPr="00E86501">
              <w:rPr>
                <w:rFonts w:eastAsiaTheme="majorEastAsia"/>
                <w:color w:val="0F4761" w:themeColor="accent1" w:themeShade="BF"/>
                <w:sz w:val="18"/>
                <w:szCs w:val="18"/>
                <w:highlight w:val="cyan"/>
              </w:rPr>
              <w:t> </w:t>
            </w:r>
          </w:p>
        </w:tc>
      </w:tr>
      <w:tr w:rsidR="00FA24ED" w:rsidRPr="002D4F22" w14:paraId="73F52F9C" w14:textId="77777777" w:rsidTr="00857B81">
        <w:trPr>
          <w:trHeight w:val="300"/>
        </w:trPr>
        <w:tc>
          <w:tcPr>
            <w:tcW w:w="1093" w:type="dxa"/>
            <w:vMerge/>
            <w:vAlign w:val="center"/>
            <w:hideMark/>
          </w:tcPr>
          <w:p w14:paraId="060D6B98" w14:textId="77777777" w:rsidR="00FA24ED" w:rsidRPr="00857B81" w:rsidRDefault="00FA24ED" w:rsidP="00FA24ED">
            <w:pPr>
              <w:keepNext/>
              <w:spacing w:after="60" w:line="240" w:lineRule="auto"/>
              <w:jc w:val="both"/>
              <w:rPr>
                <w:rFonts w:eastAsiaTheme="majorEastAsia"/>
                <w:color w:val="0F4761" w:themeColor="accent1" w:themeShade="BF"/>
                <w:sz w:val="18"/>
                <w:szCs w:val="18"/>
                <w:lang w:val="en-US"/>
              </w:rPr>
            </w:pPr>
          </w:p>
        </w:tc>
        <w:tc>
          <w:tcPr>
            <w:tcW w:w="931" w:type="dxa"/>
            <w:vMerge/>
            <w:vAlign w:val="center"/>
            <w:hideMark/>
          </w:tcPr>
          <w:p w14:paraId="4BE54D08" w14:textId="77777777" w:rsidR="00FA24ED" w:rsidRPr="00857B81" w:rsidRDefault="00FA24ED" w:rsidP="00FA24ED">
            <w:pPr>
              <w:keepNext/>
              <w:spacing w:after="60" w:line="240" w:lineRule="auto"/>
              <w:jc w:val="both"/>
              <w:rPr>
                <w:rFonts w:eastAsiaTheme="majorEastAsia"/>
                <w:color w:val="0F4761" w:themeColor="accent1" w:themeShade="BF"/>
                <w:sz w:val="18"/>
                <w:szCs w:val="18"/>
                <w:lang w:val="en-US"/>
              </w:rPr>
            </w:pPr>
          </w:p>
        </w:tc>
        <w:tc>
          <w:tcPr>
            <w:tcW w:w="3005" w:type="dxa"/>
            <w:vAlign w:val="center"/>
            <w:hideMark/>
          </w:tcPr>
          <w:p w14:paraId="36C914B1" w14:textId="77777777" w:rsidR="00FA24ED" w:rsidRPr="002D4F22" w:rsidRDefault="00FA24ED" w:rsidP="00FA24ED">
            <w:pPr>
              <w:keepNext/>
              <w:spacing w:after="60" w:line="240" w:lineRule="auto"/>
              <w:jc w:val="both"/>
              <w:rPr>
                <w:rFonts w:eastAsiaTheme="majorEastAsia"/>
                <w:color w:val="0F4761" w:themeColor="accent1" w:themeShade="BF"/>
                <w:sz w:val="18"/>
                <w:szCs w:val="18"/>
                <w:lang w:val="en-US"/>
              </w:rPr>
            </w:pPr>
            <w:r w:rsidRPr="002D4F22">
              <w:rPr>
                <w:rFonts w:eastAsiaTheme="majorEastAsia"/>
                <w:color w:val="0F4761" w:themeColor="accent1" w:themeShade="BF"/>
                <w:sz w:val="18"/>
                <w:szCs w:val="18"/>
                <w:lang w:val="en-US"/>
              </w:rPr>
              <w:t>Recruitment of a national consultant to organize carriers into Economic Interest Groupings (EIGs) </w:t>
            </w:r>
          </w:p>
        </w:tc>
        <w:tc>
          <w:tcPr>
            <w:tcW w:w="962" w:type="dxa"/>
            <w:vAlign w:val="center"/>
            <w:hideMark/>
          </w:tcPr>
          <w:p w14:paraId="5B2B8A4A"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National Consultant</w:t>
            </w:r>
            <w:r w:rsidRPr="002D4F22">
              <w:rPr>
                <w:rFonts w:eastAsiaTheme="majorEastAsia"/>
                <w:color w:val="0F4761" w:themeColor="accent1" w:themeShade="BF"/>
                <w:sz w:val="18"/>
                <w:szCs w:val="18"/>
              </w:rPr>
              <w:t> </w:t>
            </w:r>
          </w:p>
        </w:tc>
        <w:tc>
          <w:tcPr>
            <w:tcW w:w="1376" w:type="dxa"/>
            <w:vAlign w:val="center"/>
            <w:hideMark/>
          </w:tcPr>
          <w:p w14:paraId="3065175E"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15,000</w:t>
            </w:r>
            <w:r w:rsidRPr="002D4F22">
              <w:rPr>
                <w:rFonts w:eastAsiaTheme="majorEastAsia"/>
                <w:color w:val="0F4761" w:themeColor="accent1" w:themeShade="BF"/>
                <w:sz w:val="18"/>
                <w:szCs w:val="18"/>
              </w:rPr>
              <w:t> </w:t>
            </w:r>
          </w:p>
        </w:tc>
        <w:tc>
          <w:tcPr>
            <w:tcW w:w="680" w:type="dxa"/>
            <w:vAlign w:val="center"/>
            <w:hideMark/>
          </w:tcPr>
          <w:p w14:paraId="313E4CDD"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c>
          <w:tcPr>
            <w:tcW w:w="885" w:type="dxa"/>
            <w:vAlign w:val="center"/>
            <w:hideMark/>
          </w:tcPr>
          <w:p w14:paraId="3E177A59"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x</w:t>
            </w:r>
            <w:r w:rsidRPr="002D4F22">
              <w:rPr>
                <w:rFonts w:eastAsiaTheme="majorEastAsia"/>
                <w:color w:val="0F4761" w:themeColor="accent1" w:themeShade="BF"/>
                <w:sz w:val="18"/>
                <w:szCs w:val="18"/>
              </w:rPr>
              <w:t> </w:t>
            </w:r>
          </w:p>
        </w:tc>
        <w:tc>
          <w:tcPr>
            <w:tcW w:w="1539" w:type="dxa"/>
            <w:vAlign w:val="center"/>
            <w:hideMark/>
          </w:tcPr>
          <w:p w14:paraId="25BD8DC9"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Individual consultant</w:t>
            </w:r>
            <w:r w:rsidRPr="002D4F22">
              <w:rPr>
                <w:rFonts w:eastAsiaTheme="majorEastAsia"/>
                <w:color w:val="0F4761" w:themeColor="accent1" w:themeShade="BF"/>
                <w:sz w:val="18"/>
                <w:szCs w:val="18"/>
              </w:rPr>
              <w:t> </w:t>
            </w:r>
          </w:p>
        </w:tc>
      </w:tr>
      <w:tr w:rsidR="00FA24ED" w:rsidRPr="002D4F22" w14:paraId="749232CD" w14:textId="77777777" w:rsidTr="00857B81">
        <w:trPr>
          <w:trHeight w:val="300"/>
        </w:trPr>
        <w:tc>
          <w:tcPr>
            <w:tcW w:w="1093" w:type="dxa"/>
            <w:vMerge w:val="restart"/>
            <w:hideMark/>
          </w:tcPr>
          <w:p w14:paraId="20305A7A"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b/>
                <w:bCs/>
                <w:color w:val="0F4761" w:themeColor="accent1" w:themeShade="BF"/>
                <w:sz w:val="18"/>
                <w:szCs w:val="18"/>
                <w:lang w:val="en-US"/>
              </w:rPr>
              <w:t>Component 3.  </w:t>
            </w:r>
            <w:r w:rsidRPr="002D4F22">
              <w:rPr>
                <w:rFonts w:eastAsiaTheme="majorEastAsia"/>
                <w:color w:val="0F4761" w:themeColor="accent1" w:themeShade="BF"/>
                <w:sz w:val="18"/>
                <w:szCs w:val="18"/>
              </w:rPr>
              <w:t> </w:t>
            </w:r>
          </w:p>
          <w:p w14:paraId="7A0BB5E3"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c>
          <w:tcPr>
            <w:tcW w:w="931" w:type="dxa"/>
            <w:vMerge w:val="restart"/>
            <w:hideMark/>
          </w:tcPr>
          <w:p w14:paraId="2E4DAED1"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3.1.1</w:t>
            </w:r>
            <w:r w:rsidRPr="002D4F22">
              <w:rPr>
                <w:rFonts w:eastAsiaTheme="majorEastAsia"/>
                <w:color w:val="0F4761" w:themeColor="accent1" w:themeShade="BF"/>
                <w:sz w:val="18"/>
                <w:szCs w:val="18"/>
              </w:rPr>
              <w:t> </w:t>
            </w:r>
          </w:p>
        </w:tc>
        <w:tc>
          <w:tcPr>
            <w:tcW w:w="3005" w:type="dxa"/>
            <w:vAlign w:val="center"/>
            <w:hideMark/>
          </w:tcPr>
          <w:p w14:paraId="75384A62" w14:textId="37D0BA2A" w:rsidR="00FA24ED" w:rsidRPr="002D4F22" w:rsidRDefault="00FA24ED" w:rsidP="00FA24ED">
            <w:pPr>
              <w:keepNext/>
              <w:spacing w:after="60" w:line="240" w:lineRule="auto"/>
              <w:jc w:val="both"/>
              <w:rPr>
                <w:rFonts w:eastAsiaTheme="majorEastAsia"/>
                <w:color w:val="0F4761" w:themeColor="accent1" w:themeShade="BF"/>
                <w:sz w:val="18"/>
                <w:szCs w:val="18"/>
                <w:lang w:val="en-US"/>
              </w:rPr>
            </w:pPr>
            <w:r w:rsidRPr="002D4F22">
              <w:rPr>
                <w:rFonts w:eastAsiaTheme="majorEastAsia"/>
                <w:color w:val="0F4761" w:themeColor="accent1" w:themeShade="BF"/>
                <w:sz w:val="18"/>
                <w:szCs w:val="18"/>
                <w:lang w:val="en-US"/>
              </w:rPr>
              <w:t xml:space="preserve">Recruitment of a national consultant to Prepare and </w:t>
            </w:r>
            <w:r w:rsidR="00375450" w:rsidRPr="00857B81">
              <w:rPr>
                <w:rFonts w:eastAsiaTheme="majorEastAsia"/>
                <w:color w:val="0F4761" w:themeColor="accent1" w:themeShade="BF"/>
                <w:sz w:val="18"/>
                <w:szCs w:val="18"/>
                <w:highlight w:val="yellow"/>
                <w:lang w:val="en-US"/>
              </w:rPr>
              <w:t>set up</w:t>
            </w:r>
            <w:r w:rsidR="00375450" w:rsidRPr="002D4F22">
              <w:rPr>
                <w:rFonts w:eastAsiaTheme="majorEastAsia"/>
                <w:color w:val="0F4761" w:themeColor="accent1" w:themeShade="BF"/>
                <w:sz w:val="18"/>
                <w:szCs w:val="18"/>
                <w:lang w:val="en-US"/>
              </w:rPr>
              <w:t xml:space="preserve"> </w:t>
            </w:r>
            <w:r w:rsidRPr="002D4F22">
              <w:rPr>
                <w:rFonts w:eastAsiaTheme="majorEastAsia"/>
                <w:color w:val="0F4761" w:themeColor="accent1" w:themeShade="BF"/>
                <w:sz w:val="18"/>
                <w:szCs w:val="18"/>
                <w:lang w:val="en-US"/>
              </w:rPr>
              <w:t>a memorandum of understanding for the establishment of an inclusive multi-stakeholder technical committee for monitoring the green belt </w:t>
            </w:r>
          </w:p>
        </w:tc>
        <w:tc>
          <w:tcPr>
            <w:tcW w:w="962" w:type="dxa"/>
            <w:vAlign w:val="center"/>
            <w:hideMark/>
          </w:tcPr>
          <w:p w14:paraId="0B8A963A"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National Consultant</w:t>
            </w:r>
            <w:r w:rsidRPr="002D4F22">
              <w:rPr>
                <w:rFonts w:eastAsiaTheme="majorEastAsia"/>
                <w:color w:val="0F4761" w:themeColor="accent1" w:themeShade="BF"/>
                <w:sz w:val="18"/>
                <w:szCs w:val="18"/>
              </w:rPr>
              <w:t> </w:t>
            </w:r>
          </w:p>
        </w:tc>
        <w:tc>
          <w:tcPr>
            <w:tcW w:w="1376" w:type="dxa"/>
            <w:vAlign w:val="center"/>
            <w:hideMark/>
          </w:tcPr>
          <w:p w14:paraId="5EB1F607"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10,000</w:t>
            </w:r>
            <w:r w:rsidRPr="002D4F22">
              <w:rPr>
                <w:rFonts w:eastAsiaTheme="majorEastAsia"/>
                <w:color w:val="0F4761" w:themeColor="accent1" w:themeShade="BF"/>
                <w:sz w:val="18"/>
                <w:szCs w:val="18"/>
              </w:rPr>
              <w:t> </w:t>
            </w:r>
          </w:p>
        </w:tc>
        <w:tc>
          <w:tcPr>
            <w:tcW w:w="680" w:type="dxa"/>
            <w:vAlign w:val="center"/>
            <w:hideMark/>
          </w:tcPr>
          <w:p w14:paraId="6C3844E7"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c>
          <w:tcPr>
            <w:tcW w:w="885" w:type="dxa"/>
            <w:vAlign w:val="center"/>
            <w:hideMark/>
          </w:tcPr>
          <w:p w14:paraId="45B8545E"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x</w:t>
            </w:r>
            <w:r w:rsidRPr="002D4F22">
              <w:rPr>
                <w:rFonts w:eastAsiaTheme="majorEastAsia"/>
                <w:color w:val="0F4761" w:themeColor="accent1" w:themeShade="BF"/>
                <w:sz w:val="18"/>
                <w:szCs w:val="18"/>
              </w:rPr>
              <w:t> </w:t>
            </w:r>
          </w:p>
        </w:tc>
        <w:tc>
          <w:tcPr>
            <w:tcW w:w="1539" w:type="dxa"/>
            <w:vAlign w:val="center"/>
            <w:hideMark/>
          </w:tcPr>
          <w:p w14:paraId="4B897D21"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Individual Contracts</w:t>
            </w:r>
            <w:r w:rsidRPr="002D4F22">
              <w:rPr>
                <w:rFonts w:eastAsiaTheme="majorEastAsia"/>
                <w:color w:val="0F4761" w:themeColor="accent1" w:themeShade="BF"/>
                <w:sz w:val="18"/>
                <w:szCs w:val="18"/>
              </w:rPr>
              <w:t> </w:t>
            </w:r>
          </w:p>
        </w:tc>
      </w:tr>
      <w:tr w:rsidR="00FA24ED" w:rsidRPr="002D4F22" w14:paraId="6D611EC2" w14:textId="77777777" w:rsidTr="00857B81">
        <w:trPr>
          <w:trHeight w:val="300"/>
        </w:trPr>
        <w:tc>
          <w:tcPr>
            <w:tcW w:w="1093" w:type="dxa"/>
            <w:vMerge/>
            <w:vAlign w:val="center"/>
            <w:hideMark/>
          </w:tcPr>
          <w:p w14:paraId="27B3DE2E"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p>
        </w:tc>
        <w:tc>
          <w:tcPr>
            <w:tcW w:w="931" w:type="dxa"/>
            <w:vMerge/>
            <w:vAlign w:val="center"/>
            <w:hideMark/>
          </w:tcPr>
          <w:p w14:paraId="3A5F605B"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p>
        </w:tc>
        <w:tc>
          <w:tcPr>
            <w:tcW w:w="3005" w:type="dxa"/>
            <w:vAlign w:val="center"/>
            <w:hideMark/>
          </w:tcPr>
          <w:p w14:paraId="441DCF13" w14:textId="34C62DA6" w:rsidR="00FA24ED" w:rsidRPr="00E86501" w:rsidRDefault="00FA24ED" w:rsidP="00FA24ED">
            <w:pPr>
              <w:keepNext/>
              <w:spacing w:after="60" w:line="240" w:lineRule="auto"/>
              <w:jc w:val="both"/>
              <w:rPr>
                <w:rFonts w:eastAsiaTheme="majorEastAsia"/>
                <w:color w:val="0F4761" w:themeColor="accent1" w:themeShade="BF"/>
                <w:sz w:val="18"/>
                <w:szCs w:val="18"/>
                <w:highlight w:val="cyan"/>
                <w:lang w:val="en-US"/>
              </w:rPr>
            </w:pPr>
            <w:r w:rsidRPr="00E86501">
              <w:rPr>
                <w:rFonts w:eastAsiaTheme="majorEastAsia"/>
                <w:color w:val="0F4761" w:themeColor="accent1" w:themeShade="BF"/>
                <w:sz w:val="18"/>
                <w:szCs w:val="18"/>
                <w:highlight w:val="cyan"/>
                <w:lang w:val="en-GB"/>
              </w:rPr>
              <w:t xml:space="preserve">Recruitment of consultancy firm to </w:t>
            </w:r>
            <w:proofErr w:type="gramStart"/>
            <w:r w:rsidRPr="00E86501">
              <w:rPr>
                <w:rFonts w:eastAsiaTheme="majorEastAsia"/>
                <w:color w:val="0F4761" w:themeColor="accent1" w:themeShade="BF"/>
                <w:sz w:val="18"/>
                <w:szCs w:val="18"/>
                <w:highlight w:val="cyan"/>
                <w:lang w:val="en-GB"/>
              </w:rPr>
              <w:t xml:space="preserve">conduct </w:t>
            </w:r>
            <w:r w:rsidR="00363AE8" w:rsidRPr="00E86501">
              <w:rPr>
                <w:rFonts w:eastAsiaTheme="majorEastAsia"/>
                <w:color w:val="0F4761" w:themeColor="accent1" w:themeShade="BF"/>
                <w:sz w:val="18"/>
                <w:szCs w:val="18"/>
                <w:highlight w:val="cyan"/>
                <w:lang w:val="en-GB"/>
              </w:rPr>
              <w:t xml:space="preserve"> Participatory</w:t>
            </w:r>
            <w:proofErr w:type="gramEnd"/>
            <w:r w:rsidR="00363AE8" w:rsidRPr="00E86501">
              <w:rPr>
                <w:rFonts w:eastAsiaTheme="majorEastAsia"/>
                <w:color w:val="0F4761" w:themeColor="accent1" w:themeShade="BF"/>
                <w:sz w:val="18"/>
                <w:szCs w:val="18"/>
                <w:highlight w:val="cyan"/>
                <w:lang w:val="en-GB"/>
              </w:rPr>
              <w:t xml:space="preserve"> inventory and feasibility analysis for the development and monitoring</w:t>
            </w:r>
            <w:r w:rsidR="00F429EC" w:rsidRPr="00E86501">
              <w:rPr>
                <w:rFonts w:eastAsiaTheme="majorEastAsia"/>
                <w:color w:val="0F4761" w:themeColor="accent1" w:themeShade="BF"/>
                <w:sz w:val="18"/>
                <w:szCs w:val="18"/>
                <w:highlight w:val="cyan"/>
                <w:lang w:val="en-GB"/>
              </w:rPr>
              <w:t xml:space="preserve"> </w:t>
            </w:r>
            <w:r w:rsidR="00363AE8" w:rsidRPr="00E86501">
              <w:rPr>
                <w:rFonts w:eastAsiaTheme="majorEastAsia"/>
                <w:color w:val="0F4761" w:themeColor="accent1" w:themeShade="BF"/>
                <w:sz w:val="18"/>
                <w:szCs w:val="18"/>
                <w:highlight w:val="cyan"/>
                <w:lang w:val="en-GB"/>
              </w:rPr>
              <w:t>of Bamako’s forests and green spaces</w:t>
            </w:r>
            <w:r w:rsidRPr="00E86501">
              <w:rPr>
                <w:rFonts w:eastAsiaTheme="majorEastAsia"/>
                <w:color w:val="0F4761" w:themeColor="accent1" w:themeShade="BF"/>
                <w:sz w:val="18"/>
                <w:szCs w:val="18"/>
                <w:highlight w:val="cyan"/>
                <w:lang w:val="en-US"/>
              </w:rPr>
              <w:t> </w:t>
            </w:r>
          </w:p>
          <w:p w14:paraId="469DE405" w14:textId="77777777" w:rsidR="00FA24ED" w:rsidRPr="00E86501" w:rsidRDefault="00FA24ED" w:rsidP="00FA24ED">
            <w:pPr>
              <w:keepNext/>
              <w:spacing w:after="60" w:line="240" w:lineRule="auto"/>
              <w:jc w:val="both"/>
              <w:rPr>
                <w:rFonts w:eastAsiaTheme="majorEastAsia"/>
                <w:color w:val="0F4761" w:themeColor="accent1" w:themeShade="BF"/>
                <w:sz w:val="18"/>
                <w:szCs w:val="18"/>
                <w:highlight w:val="cyan"/>
                <w:lang w:val="en-US"/>
              </w:rPr>
            </w:pPr>
            <w:r w:rsidRPr="00E86501">
              <w:rPr>
                <w:rFonts w:eastAsiaTheme="majorEastAsia"/>
                <w:color w:val="0F4761" w:themeColor="accent1" w:themeShade="BF"/>
                <w:sz w:val="18"/>
                <w:szCs w:val="18"/>
                <w:highlight w:val="cyan"/>
                <w:lang w:val="en-US"/>
              </w:rPr>
              <w:t> </w:t>
            </w:r>
          </w:p>
        </w:tc>
        <w:tc>
          <w:tcPr>
            <w:tcW w:w="962" w:type="dxa"/>
            <w:vAlign w:val="center"/>
            <w:hideMark/>
          </w:tcPr>
          <w:p w14:paraId="32415EAC" w14:textId="77777777" w:rsidR="00FA24ED" w:rsidRPr="00E86501" w:rsidRDefault="00FA24ED" w:rsidP="00FA24ED">
            <w:pPr>
              <w:keepNext/>
              <w:spacing w:after="60" w:line="240" w:lineRule="auto"/>
              <w:jc w:val="both"/>
              <w:rPr>
                <w:rFonts w:eastAsiaTheme="majorEastAsia"/>
                <w:color w:val="0F4761" w:themeColor="accent1" w:themeShade="BF"/>
                <w:sz w:val="18"/>
                <w:szCs w:val="18"/>
                <w:highlight w:val="cyan"/>
              </w:rPr>
            </w:pPr>
            <w:r w:rsidRPr="00E86501">
              <w:rPr>
                <w:rFonts w:eastAsiaTheme="majorEastAsia"/>
                <w:color w:val="0F4761" w:themeColor="accent1" w:themeShade="BF"/>
                <w:sz w:val="18"/>
                <w:szCs w:val="18"/>
                <w:highlight w:val="cyan"/>
                <w:lang w:val="en-US"/>
              </w:rPr>
              <w:t>Contractual service</w:t>
            </w:r>
            <w:r w:rsidRPr="00E86501">
              <w:rPr>
                <w:rFonts w:eastAsiaTheme="majorEastAsia"/>
                <w:color w:val="0F4761" w:themeColor="accent1" w:themeShade="BF"/>
                <w:sz w:val="18"/>
                <w:szCs w:val="18"/>
                <w:highlight w:val="cyan"/>
              </w:rPr>
              <w:t> </w:t>
            </w:r>
          </w:p>
          <w:p w14:paraId="10D9B192" w14:textId="77777777" w:rsidR="00FA24ED" w:rsidRPr="00E86501" w:rsidRDefault="00FA24ED" w:rsidP="00FA24ED">
            <w:pPr>
              <w:keepNext/>
              <w:spacing w:after="60" w:line="240" w:lineRule="auto"/>
              <w:jc w:val="both"/>
              <w:rPr>
                <w:rFonts w:eastAsiaTheme="majorEastAsia"/>
                <w:color w:val="0F4761" w:themeColor="accent1" w:themeShade="BF"/>
                <w:sz w:val="18"/>
                <w:szCs w:val="18"/>
                <w:highlight w:val="cyan"/>
              </w:rPr>
            </w:pPr>
            <w:r w:rsidRPr="00E86501">
              <w:rPr>
                <w:rFonts w:eastAsiaTheme="majorEastAsia"/>
                <w:color w:val="0F4761" w:themeColor="accent1" w:themeShade="BF"/>
                <w:sz w:val="18"/>
                <w:szCs w:val="18"/>
                <w:highlight w:val="cyan"/>
              </w:rPr>
              <w:t> </w:t>
            </w:r>
          </w:p>
        </w:tc>
        <w:tc>
          <w:tcPr>
            <w:tcW w:w="1376" w:type="dxa"/>
            <w:vAlign w:val="center"/>
            <w:hideMark/>
          </w:tcPr>
          <w:p w14:paraId="0A7DF3A7" w14:textId="6171F86A" w:rsidR="00FA24ED" w:rsidRPr="00E86501" w:rsidRDefault="00FA24ED" w:rsidP="00FA24ED">
            <w:pPr>
              <w:keepNext/>
              <w:spacing w:after="60" w:line="240" w:lineRule="auto"/>
              <w:jc w:val="both"/>
              <w:rPr>
                <w:rFonts w:eastAsiaTheme="majorEastAsia"/>
                <w:color w:val="0F4761" w:themeColor="accent1" w:themeShade="BF"/>
                <w:sz w:val="18"/>
                <w:szCs w:val="18"/>
                <w:highlight w:val="cyan"/>
              </w:rPr>
            </w:pPr>
            <w:r w:rsidRPr="00E86501">
              <w:rPr>
                <w:rFonts w:eastAsiaTheme="majorEastAsia"/>
                <w:color w:val="0F4761" w:themeColor="accent1" w:themeShade="BF"/>
                <w:sz w:val="18"/>
                <w:szCs w:val="18"/>
                <w:highlight w:val="cyan"/>
                <w:lang w:val="en-US"/>
              </w:rPr>
              <w:t>8</w:t>
            </w:r>
            <w:r w:rsidR="005445EF">
              <w:rPr>
                <w:rFonts w:eastAsiaTheme="majorEastAsia"/>
                <w:color w:val="0F4761" w:themeColor="accent1" w:themeShade="BF"/>
                <w:sz w:val="18"/>
                <w:szCs w:val="18"/>
                <w:highlight w:val="cyan"/>
                <w:lang w:val="en-US"/>
              </w:rPr>
              <w:t>7</w:t>
            </w:r>
            <w:r w:rsidRPr="00E86501">
              <w:rPr>
                <w:rFonts w:eastAsiaTheme="majorEastAsia"/>
                <w:color w:val="0F4761" w:themeColor="accent1" w:themeShade="BF"/>
                <w:sz w:val="18"/>
                <w:szCs w:val="18"/>
                <w:highlight w:val="cyan"/>
                <w:lang w:val="en-US"/>
              </w:rPr>
              <w:t>,</w:t>
            </w:r>
            <w:r w:rsidR="005445EF">
              <w:rPr>
                <w:rFonts w:eastAsiaTheme="majorEastAsia"/>
                <w:color w:val="0F4761" w:themeColor="accent1" w:themeShade="BF"/>
                <w:sz w:val="18"/>
                <w:szCs w:val="18"/>
                <w:highlight w:val="cyan"/>
                <w:lang w:val="en-US"/>
              </w:rPr>
              <w:t>5</w:t>
            </w:r>
            <w:r w:rsidRPr="00E86501">
              <w:rPr>
                <w:rFonts w:eastAsiaTheme="majorEastAsia"/>
                <w:color w:val="0F4761" w:themeColor="accent1" w:themeShade="BF"/>
                <w:sz w:val="18"/>
                <w:szCs w:val="18"/>
                <w:highlight w:val="cyan"/>
                <w:lang w:val="en-US"/>
              </w:rPr>
              <w:t>00</w:t>
            </w:r>
            <w:r w:rsidRPr="00E86501">
              <w:rPr>
                <w:rFonts w:eastAsiaTheme="majorEastAsia"/>
                <w:color w:val="0F4761" w:themeColor="accent1" w:themeShade="BF"/>
                <w:sz w:val="18"/>
                <w:szCs w:val="18"/>
                <w:highlight w:val="cyan"/>
              </w:rPr>
              <w:t> </w:t>
            </w:r>
          </w:p>
        </w:tc>
        <w:tc>
          <w:tcPr>
            <w:tcW w:w="680" w:type="dxa"/>
            <w:vAlign w:val="center"/>
            <w:hideMark/>
          </w:tcPr>
          <w:p w14:paraId="1CF8F755" w14:textId="77777777" w:rsidR="00FA24ED" w:rsidRPr="00E86501" w:rsidRDefault="00FA24ED" w:rsidP="00FA24ED">
            <w:pPr>
              <w:keepNext/>
              <w:spacing w:after="60" w:line="240" w:lineRule="auto"/>
              <w:jc w:val="both"/>
              <w:rPr>
                <w:rFonts w:eastAsiaTheme="majorEastAsia"/>
                <w:color w:val="0F4761" w:themeColor="accent1" w:themeShade="BF"/>
                <w:sz w:val="18"/>
                <w:szCs w:val="18"/>
                <w:highlight w:val="cyan"/>
              </w:rPr>
            </w:pPr>
            <w:r w:rsidRPr="00E86501">
              <w:rPr>
                <w:rFonts w:eastAsiaTheme="majorEastAsia"/>
                <w:color w:val="0F4761" w:themeColor="accent1" w:themeShade="BF"/>
                <w:sz w:val="18"/>
                <w:szCs w:val="18"/>
                <w:highlight w:val="cyan"/>
              </w:rPr>
              <w:t> </w:t>
            </w:r>
          </w:p>
        </w:tc>
        <w:tc>
          <w:tcPr>
            <w:tcW w:w="885" w:type="dxa"/>
            <w:vAlign w:val="center"/>
            <w:hideMark/>
          </w:tcPr>
          <w:p w14:paraId="16352B0F" w14:textId="77777777" w:rsidR="00FA24ED" w:rsidRPr="00E86501" w:rsidRDefault="00FA24ED" w:rsidP="00FA24ED">
            <w:pPr>
              <w:keepNext/>
              <w:spacing w:after="60" w:line="240" w:lineRule="auto"/>
              <w:jc w:val="both"/>
              <w:rPr>
                <w:rFonts w:eastAsiaTheme="majorEastAsia"/>
                <w:color w:val="0F4761" w:themeColor="accent1" w:themeShade="BF"/>
                <w:sz w:val="18"/>
                <w:szCs w:val="18"/>
                <w:highlight w:val="cyan"/>
              </w:rPr>
            </w:pPr>
            <w:r w:rsidRPr="00E86501">
              <w:rPr>
                <w:rFonts w:eastAsiaTheme="majorEastAsia"/>
                <w:color w:val="0F4761" w:themeColor="accent1" w:themeShade="BF"/>
                <w:sz w:val="18"/>
                <w:szCs w:val="18"/>
                <w:highlight w:val="cyan"/>
                <w:lang w:val="en-US"/>
              </w:rPr>
              <w:t>x</w:t>
            </w:r>
            <w:r w:rsidRPr="00E86501">
              <w:rPr>
                <w:rFonts w:eastAsiaTheme="majorEastAsia"/>
                <w:color w:val="0F4761" w:themeColor="accent1" w:themeShade="BF"/>
                <w:sz w:val="18"/>
                <w:szCs w:val="18"/>
                <w:highlight w:val="cyan"/>
              </w:rPr>
              <w:t> </w:t>
            </w:r>
          </w:p>
        </w:tc>
        <w:tc>
          <w:tcPr>
            <w:tcW w:w="1539" w:type="dxa"/>
            <w:vAlign w:val="center"/>
            <w:hideMark/>
          </w:tcPr>
          <w:p w14:paraId="10C19440" w14:textId="2DD1C2A1" w:rsidR="00FA24ED" w:rsidRPr="00E86501" w:rsidRDefault="00FA24ED" w:rsidP="00FA24ED">
            <w:pPr>
              <w:keepNext/>
              <w:spacing w:after="60" w:line="240" w:lineRule="auto"/>
              <w:jc w:val="both"/>
              <w:rPr>
                <w:rFonts w:eastAsiaTheme="majorEastAsia"/>
                <w:color w:val="0F4761" w:themeColor="accent1" w:themeShade="BF"/>
                <w:sz w:val="18"/>
                <w:szCs w:val="18"/>
                <w:highlight w:val="cyan"/>
              </w:rPr>
            </w:pPr>
            <w:r w:rsidRPr="00E86501">
              <w:rPr>
                <w:rFonts w:eastAsiaTheme="majorEastAsia"/>
                <w:color w:val="0F4761" w:themeColor="accent1" w:themeShade="BF"/>
                <w:sz w:val="18"/>
                <w:szCs w:val="18"/>
                <w:highlight w:val="cyan"/>
                <w:lang w:val="en-US"/>
              </w:rPr>
              <w:t>Request for proposa</w:t>
            </w:r>
            <w:r w:rsidR="00C5502B" w:rsidRPr="00E86501">
              <w:rPr>
                <w:rFonts w:eastAsiaTheme="majorEastAsia"/>
                <w:color w:val="0F4761" w:themeColor="accent1" w:themeShade="BF"/>
                <w:sz w:val="18"/>
                <w:szCs w:val="18"/>
                <w:highlight w:val="cyan"/>
                <w:lang w:val="en-US"/>
              </w:rPr>
              <w:t>l</w:t>
            </w:r>
            <w:r w:rsidRPr="00E86501">
              <w:rPr>
                <w:rFonts w:eastAsiaTheme="majorEastAsia"/>
                <w:color w:val="0F4761" w:themeColor="accent1" w:themeShade="BF"/>
                <w:sz w:val="18"/>
                <w:szCs w:val="18"/>
                <w:highlight w:val="cyan"/>
              </w:rPr>
              <w:t> </w:t>
            </w:r>
          </w:p>
        </w:tc>
      </w:tr>
      <w:tr w:rsidR="00FA24ED" w:rsidRPr="002D4F22" w14:paraId="2462FAA3" w14:textId="77777777" w:rsidTr="00857B81">
        <w:trPr>
          <w:trHeight w:val="300"/>
        </w:trPr>
        <w:tc>
          <w:tcPr>
            <w:tcW w:w="1093" w:type="dxa"/>
            <w:vMerge/>
            <w:vAlign w:val="center"/>
            <w:hideMark/>
          </w:tcPr>
          <w:p w14:paraId="30561E39"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p>
        </w:tc>
        <w:tc>
          <w:tcPr>
            <w:tcW w:w="931" w:type="dxa"/>
            <w:vMerge w:val="restart"/>
            <w:hideMark/>
          </w:tcPr>
          <w:p w14:paraId="72D23C88"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p w14:paraId="066926B8"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3.1.2</w:t>
            </w:r>
            <w:r w:rsidRPr="002D4F22">
              <w:rPr>
                <w:rFonts w:eastAsiaTheme="majorEastAsia"/>
                <w:color w:val="0F4761" w:themeColor="accent1" w:themeShade="BF"/>
                <w:sz w:val="18"/>
                <w:szCs w:val="18"/>
              </w:rPr>
              <w:t> </w:t>
            </w:r>
          </w:p>
        </w:tc>
        <w:tc>
          <w:tcPr>
            <w:tcW w:w="3005" w:type="dxa"/>
            <w:vAlign w:val="center"/>
            <w:hideMark/>
          </w:tcPr>
          <w:p w14:paraId="0AFF1752" w14:textId="05654485" w:rsidR="00FA24ED" w:rsidRPr="002D4F22" w:rsidRDefault="00FA24ED" w:rsidP="00FA24ED">
            <w:pPr>
              <w:keepNext/>
              <w:spacing w:after="60" w:line="240" w:lineRule="auto"/>
              <w:jc w:val="both"/>
              <w:rPr>
                <w:rFonts w:eastAsiaTheme="majorEastAsia"/>
                <w:color w:val="0F4761" w:themeColor="accent1" w:themeShade="BF"/>
                <w:sz w:val="18"/>
                <w:szCs w:val="18"/>
                <w:lang w:val="en-US"/>
              </w:rPr>
            </w:pPr>
            <w:r w:rsidRPr="537FA187">
              <w:rPr>
                <w:rFonts w:eastAsiaTheme="majorEastAsia"/>
                <w:color w:val="0F4761" w:themeColor="accent1" w:themeShade="BF"/>
                <w:sz w:val="18"/>
                <w:szCs w:val="18"/>
                <w:lang w:val="en-GB"/>
              </w:rPr>
              <w:t>Procurement of equipment for GDWF to strengthen SIFOR </w:t>
            </w:r>
            <w:r w:rsidRPr="537FA187">
              <w:rPr>
                <w:rFonts w:eastAsiaTheme="majorEastAsia"/>
                <w:color w:val="0F4761" w:themeColor="accent1" w:themeShade="BF"/>
                <w:sz w:val="18"/>
                <w:szCs w:val="18"/>
                <w:lang w:val="en-US"/>
              </w:rPr>
              <w:t> </w:t>
            </w:r>
          </w:p>
        </w:tc>
        <w:tc>
          <w:tcPr>
            <w:tcW w:w="962" w:type="dxa"/>
            <w:vAlign w:val="center"/>
            <w:hideMark/>
          </w:tcPr>
          <w:p w14:paraId="772E5A49"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Service</w:t>
            </w:r>
            <w:r w:rsidRPr="002D4F22">
              <w:rPr>
                <w:rFonts w:eastAsiaTheme="majorEastAsia"/>
                <w:color w:val="0F4761" w:themeColor="accent1" w:themeShade="BF"/>
                <w:sz w:val="18"/>
                <w:szCs w:val="18"/>
              </w:rPr>
              <w:t> </w:t>
            </w:r>
          </w:p>
        </w:tc>
        <w:tc>
          <w:tcPr>
            <w:tcW w:w="1376" w:type="dxa"/>
            <w:vAlign w:val="center"/>
            <w:hideMark/>
          </w:tcPr>
          <w:p w14:paraId="484A96E2"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40,500</w:t>
            </w:r>
            <w:r w:rsidRPr="002D4F22">
              <w:rPr>
                <w:rFonts w:eastAsiaTheme="majorEastAsia"/>
                <w:color w:val="0F4761" w:themeColor="accent1" w:themeShade="BF"/>
                <w:sz w:val="18"/>
                <w:szCs w:val="18"/>
              </w:rPr>
              <w:t> </w:t>
            </w:r>
          </w:p>
        </w:tc>
        <w:tc>
          <w:tcPr>
            <w:tcW w:w="680" w:type="dxa"/>
            <w:vAlign w:val="center"/>
            <w:hideMark/>
          </w:tcPr>
          <w:p w14:paraId="708B3962"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c>
          <w:tcPr>
            <w:tcW w:w="885" w:type="dxa"/>
            <w:vAlign w:val="center"/>
            <w:hideMark/>
          </w:tcPr>
          <w:p w14:paraId="28256A47"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x</w:t>
            </w:r>
            <w:r w:rsidRPr="002D4F22">
              <w:rPr>
                <w:rFonts w:eastAsiaTheme="majorEastAsia"/>
                <w:color w:val="0F4761" w:themeColor="accent1" w:themeShade="BF"/>
                <w:sz w:val="18"/>
                <w:szCs w:val="18"/>
              </w:rPr>
              <w:t> </w:t>
            </w:r>
          </w:p>
        </w:tc>
        <w:tc>
          <w:tcPr>
            <w:tcW w:w="1539" w:type="dxa"/>
            <w:vAlign w:val="center"/>
            <w:hideMark/>
          </w:tcPr>
          <w:p w14:paraId="3E6ADB11"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Request for Quotation</w:t>
            </w:r>
            <w:r w:rsidRPr="002D4F22">
              <w:rPr>
                <w:rFonts w:eastAsiaTheme="majorEastAsia"/>
                <w:color w:val="0F4761" w:themeColor="accent1" w:themeShade="BF"/>
                <w:sz w:val="18"/>
                <w:szCs w:val="18"/>
              </w:rPr>
              <w:t> </w:t>
            </w:r>
          </w:p>
        </w:tc>
      </w:tr>
      <w:tr w:rsidR="00FA24ED" w:rsidRPr="002D4F22" w14:paraId="4D49C1CE" w14:textId="77777777" w:rsidTr="00857B81">
        <w:trPr>
          <w:trHeight w:val="300"/>
        </w:trPr>
        <w:tc>
          <w:tcPr>
            <w:tcW w:w="1093" w:type="dxa"/>
            <w:vMerge/>
            <w:vAlign w:val="center"/>
            <w:hideMark/>
          </w:tcPr>
          <w:p w14:paraId="0436026E"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p>
        </w:tc>
        <w:tc>
          <w:tcPr>
            <w:tcW w:w="931" w:type="dxa"/>
            <w:vMerge/>
            <w:vAlign w:val="center"/>
            <w:hideMark/>
          </w:tcPr>
          <w:p w14:paraId="2707E6D1"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p>
        </w:tc>
        <w:tc>
          <w:tcPr>
            <w:tcW w:w="3005" w:type="dxa"/>
            <w:vAlign w:val="center"/>
            <w:hideMark/>
          </w:tcPr>
          <w:p w14:paraId="752EA3E2" w14:textId="77777777" w:rsidR="00FA24ED" w:rsidRPr="002D4F22" w:rsidRDefault="00FA24ED" w:rsidP="00FA24ED">
            <w:pPr>
              <w:keepNext/>
              <w:spacing w:after="60" w:line="240" w:lineRule="auto"/>
              <w:jc w:val="both"/>
              <w:rPr>
                <w:rFonts w:eastAsiaTheme="majorEastAsia"/>
                <w:color w:val="0F4761" w:themeColor="accent1" w:themeShade="BF"/>
                <w:sz w:val="18"/>
                <w:szCs w:val="18"/>
                <w:lang w:val="en-US"/>
              </w:rPr>
            </w:pPr>
            <w:r w:rsidRPr="002D4F22">
              <w:rPr>
                <w:rFonts w:eastAsiaTheme="majorEastAsia"/>
                <w:color w:val="0F4761" w:themeColor="accent1" w:themeShade="BF"/>
                <w:sz w:val="18"/>
                <w:szCs w:val="18"/>
                <w:lang w:val="en-GB"/>
              </w:rPr>
              <w:t>Recruitment of consultancy firm to develop and implement social behaviour change interventions for stakeholders involved in the management of forest areas and green spaces</w:t>
            </w:r>
            <w:r w:rsidRPr="002D4F22">
              <w:rPr>
                <w:rFonts w:eastAsiaTheme="majorEastAsia"/>
                <w:color w:val="0F4761" w:themeColor="accent1" w:themeShade="BF"/>
                <w:sz w:val="18"/>
                <w:szCs w:val="18"/>
                <w:lang w:val="en-US"/>
              </w:rPr>
              <w:t> </w:t>
            </w:r>
          </w:p>
        </w:tc>
        <w:tc>
          <w:tcPr>
            <w:tcW w:w="962" w:type="dxa"/>
            <w:vAlign w:val="center"/>
            <w:hideMark/>
          </w:tcPr>
          <w:p w14:paraId="19520BA4"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National Consultant </w:t>
            </w:r>
            <w:r w:rsidRPr="002D4F22">
              <w:rPr>
                <w:rFonts w:eastAsiaTheme="majorEastAsia"/>
                <w:color w:val="0F4761" w:themeColor="accent1" w:themeShade="BF"/>
                <w:sz w:val="18"/>
                <w:szCs w:val="18"/>
              </w:rPr>
              <w:t> </w:t>
            </w:r>
          </w:p>
        </w:tc>
        <w:tc>
          <w:tcPr>
            <w:tcW w:w="1376" w:type="dxa"/>
            <w:vAlign w:val="center"/>
            <w:hideMark/>
          </w:tcPr>
          <w:p w14:paraId="7B9553D6" w14:textId="5BC738EE" w:rsidR="00FA24ED" w:rsidRPr="00857B81" w:rsidRDefault="007E58A1" w:rsidP="00FA24ED">
            <w:pPr>
              <w:keepNext/>
              <w:spacing w:after="60" w:line="240" w:lineRule="auto"/>
              <w:jc w:val="both"/>
              <w:rPr>
                <w:rFonts w:eastAsiaTheme="majorEastAsia"/>
                <w:color w:val="0F4761" w:themeColor="accent1" w:themeShade="BF"/>
                <w:sz w:val="18"/>
                <w:szCs w:val="18"/>
                <w:highlight w:val="yellow"/>
              </w:rPr>
            </w:pPr>
            <w:r w:rsidRPr="00857B81">
              <w:rPr>
                <w:rFonts w:eastAsiaTheme="majorEastAsia"/>
                <w:color w:val="0F4761" w:themeColor="accent1" w:themeShade="BF"/>
                <w:sz w:val="18"/>
                <w:szCs w:val="18"/>
                <w:highlight w:val="yellow"/>
                <w:lang w:val="en-US"/>
              </w:rPr>
              <w:t>40</w:t>
            </w:r>
            <w:r w:rsidR="00FA24ED" w:rsidRPr="00857B81">
              <w:rPr>
                <w:rFonts w:eastAsiaTheme="majorEastAsia"/>
                <w:color w:val="0F4761" w:themeColor="accent1" w:themeShade="BF"/>
                <w:sz w:val="18"/>
                <w:szCs w:val="18"/>
                <w:highlight w:val="yellow"/>
                <w:lang w:val="en-US"/>
              </w:rPr>
              <w:t>000</w:t>
            </w:r>
            <w:r w:rsidR="00FA24ED" w:rsidRPr="00857B81">
              <w:rPr>
                <w:rFonts w:eastAsiaTheme="majorEastAsia"/>
                <w:color w:val="0F4761" w:themeColor="accent1" w:themeShade="BF"/>
                <w:sz w:val="18"/>
                <w:szCs w:val="18"/>
                <w:highlight w:val="yellow"/>
              </w:rPr>
              <w:t> </w:t>
            </w:r>
          </w:p>
        </w:tc>
        <w:tc>
          <w:tcPr>
            <w:tcW w:w="680" w:type="dxa"/>
            <w:vAlign w:val="center"/>
            <w:hideMark/>
          </w:tcPr>
          <w:p w14:paraId="2ABE40F7"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c>
          <w:tcPr>
            <w:tcW w:w="885" w:type="dxa"/>
            <w:vAlign w:val="center"/>
            <w:hideMark/>
          </w:tcPr>
          <w:p w14:paraId="5FCEFFE5"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x</w:t>
            </w:r>
            <w:r w:rsidRPr="002D4F22">
              <w:rPr>
                <w:rFonts w:eastAsiaTheme="majorEastAsia"/>
                <w:color w:val="0F4761" w:themeColor="accent1" w:themeShade="BF"/>
                <w:sz w:val="18"/>
                <w:szCs w:val="18"/>
              </w:rPr>
              <w:t> </w:t>
            </w:r>
          </w:p>
        </w:tc>
        <w:tc>
          <w:tcPr>
            <w:tcW w:w="1539" w:type="dxa"/>
            <w:vAlign w:val="center"/>
            <w:hideMark/>
          </w:tcPr>
          <w:p w14:paraId="233BEEED"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Request for proposal</w:t>
            </w:r>
            <w:r w:rsidRPr="002D4F22">
              <w:rPr>
                <w:rFonts w:eastAsiaTheme="majorEastAsia"/>
                <w:color w:val="0F4761" w:themeColor="accent1" w:themeShade="BF"/>
                <w:sz w:val="18"/>
                <w:szCs w:val="18"/>
              </w:rPr>
              <w:t> </w:t>
            </w:r>
          </w:p>
        </w:tc>
      </w:tr>
      <w:tr w:rsidR="00FA24ED" w:rsidRPr="002D4F22" w14:paraId="5A8A05E3" w14:textId="77777777" w:rsidTr="00857B81">
        <w:trPr>
          <w:trHeight w:val="300"/>
        </w:trPr>
        <w:tc>
          <w:tcPr>
            <w:tcW w:w="1093" w:type="dxa"/>
            <w:hideMark/>
          </w:tcPr>
          <w:p w14:paraId="219CCF29"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b/>
                <w:bCs/>
                <w:color w:val="0F4761" w:themeColor="accent1" w:themeShade="BF"/>
                <w:sz w:val="18"/>
                <w:szCs w:val="18"/>
                <w:lang w:val="en-US"/>
              </w:rPr>
              <w:t>Component 4 </w:t>
            </w:r>
            <w:r w:rsidRPr="002D4F22">
              <w:rPr>
                <w:rFonts w:eastAsiaTheme="majorEastAsia"/>
                <w:color w:val="0F4761" w:themeColor="accent1" w:themeShade="BF"/>
                <w:sz w:val="18"/>
                <w:szCs w:val="18"/>
              </w:rPr>
              <w:t> </w:t>
            </w:r>
          </w:p>
        </w:tc>
        <w:tc>
          <w:tcPr>
            <w:tcW w:w="931" w:type="dxa"/>
            <w:hideMark/>
          </w:tcPr>
          <w:p w14:paraId="17C40AC6"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4.1.2</w:t>
            </w:r>
            <w:r w:rsidRPr="002D4F22">
              <w:rPr>
                <w:rFonts w:eastAsiaTheme="majorEastAsia"/>
                <w:color w:val="0F4761" w:themeColor="accent1" w:themeShade="BF"/>
                <w:sz w:val="18"/>
                <w:szCs w:val="18"/>
              </w:rPr>
              <w:t> </w:t>
            </w:r>
          </w:p>
        </w:tc>
        <w:tc>
          <w:tcPr>
            <w:tcW w:w="3005" w:type="dxa"/>
            <w:vAlign w:val="center"/>
            <w:hideMark/>
          </w:tcPr>
          <w:p w14:paraId="56DE0E38" w14:textId="77777777" w:rsidR="00FA24ED" w:rsidRPr="002D4F22" w:rsidRDefault="00FA24ED" w:rsidP="00FA24ED">
            <w:pPr>
              <w:keepNext/>
              <w:spacing w:after="60" w:line="240" w:lineRule="auto"/>
              <w:jc w:val="both"/>
              <w:rPr>
                <w:rFonts w:eastAsiaTheme="majorEastAsia"/>
                <w:color w:val="0F4761" w:themeColor="accent1" w:themeShade="BF"/>
                <w:sz w:val="18"/>
                <w:szCs w:val="18"/>
                <w:lang w:val="en-US"/>
              </w:rPr>
            </w:pPr>
            <w:r w:rsidRPr="002D4F22">
              <w:rPr>
                <w:rFonts w:eastAsiaTheme="majorEastAsia"/>
                <w:color w:val="0F4761" w:themeColor="accent1" w:themeShade="BF"/>
                <w:sz w:val="18"/>
                <w:szCs w:val="18"/>
                <w:lang w:val="en-GB"/>
              </w:rPr>
              <w:t>Recruitment of communication agency to create project-specific graphic identity</w:t>
            </w:r>
            <w:r w:rsidRPr="002D4F22">
              <w:rPr>
                <w:rFonts w:eastAsiaTheme="majorEastAsia"/>
                <w:color w:val="0F4761" w:themeColor="accent1" w:themeShade="BF"/>
                <w:sz w:val="18"/>
                <w:szCs w:val="18"/>
                <w:lang w:val="en-US"/>
              </w:rPr>
              <w:t> </w:t>
            </w:r>
          </w:p>
        </w:tc>
        <w:tc>
          <w:tcPr>
            <w:tcW w:w="962" w:type="dxa"/>
            <w:vAlign w:val="center"/>
            <w:hideMark/>
          </w:tcPr>
          <w:p w14:paraId="1FD44E57"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Service</w:t>
            </w:r>
            <w:r w:rsidRPr="002D4F22">
              <w:rPr>
                <w:rFonts w:eastAsiaTheme="majorEastAsia"/>
                <w:color w:val="0F4761" w:themeColor="accent1" w:themeShade="BF"/>
                <w:sz w:val="18"/>
                <w:szCs w:val="18"/>
              </w:rPr>
              <w:t> </w:t>
            </w:r>
          </w:p>
        </w:tc>
        <w:tc>
          <w:tcPr>
            <w:tcW w:w="1376" w:type="dxa"/>
            <w:vAlign w:val="center"/>
            <w:hideMark/>
          </w:tcPr>
          <w:p w14:paraId="2ECE2AD6"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10,000</w:t>
            </w:r>
            <w:r w:rsidRPr="002D4F22">
              <w:rPr>
                <w:rFonts w:eastAsiaTheme="majorEastAsia"/>
                <w:color w:val="0F4761" w:themeColor="accent1" w:themeShade="BF"/>
                <w:sz w:val="18"/>
                <w:szCs w:val="18"/>
              </w:rPr>
              <w:t> </w:t>
            </w:r>
          </w:p>
        </w:tc>
        <w:tc>
          <w:tcPr>
            <w:tcW w:w="680" w:type="dxa"/>
            <w:vAlign w:val="center"/>
            <w:hideMark/>
          </w:tcPr>
          <w:p w14:paraId="364E154E"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lang w:val="en-US"/>
              </w:rPr>
              <w:t>x</w:t>
            </w:r>
            <w:r w:rsidRPr="002D4F22">
              <w:rPr>
                <w:rFonts w:eastAsiaTheme="majorEastAsia"/>
                <w:color w:val="0F4761" w:themeColor="accent1" w:themeShade="BF"/>
                <w:sz w:val="18"/>
                <w:szCs w:val="18"/>
              </w:rPr>
              <w:t> </w:t>
            </w:r>
          </w:p>
        </w:tc>
        <w:tc>
          <w:tcPr>
            <w:tcW w:w="885" w:type="dxa"/>
            <w:vAlign w:val="center"/>
            <w:hideMark/>
          </w:tcPr>
          <w:p w14:paraId="6C9428B3"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c>
          <w:tcPr>
            <w:tcW w:w="1539" w:type="dxa"/>
            <w:vAlign w:val="center"/>
            <w:hideMark/>
          </w:tcPr>
          <w:p w14:paraId="0AEA534A" w14:textId="77777777" w:rsidR="00FA24ED" w:rsidRPr="002D4F22" w:rsidRDefault="00FA24ED" w:rsidP="00FA24ED">
            <w:pPr>
              <w:keepNext/>
              <w:spacing w:after="60" w:line="240" w:lineRule="auto"/>
              <w:jc w:val="both"/>
              <w:rPr>
                <w:rFonts w:eastAsiaTheme="majorEastAsia"/>
                <w:color w:val="0F4761" w:themeColor="accent1" w:themeShade="BF"/>
                <w:sz w:val="18"/>
                <w:szCs w:val="18"/>
              </w:rPr>
            </w:pPr>
            <w:r w:rsidRPr="002D4F22">
              <w:rPr>
                <w:rFonts w:eastAsiaTheme="majorEastAsia"/>
                <w:color w:val="0F4761" w:themeColor="accent1" w:themeShade="BF"/>
                <w:sz w:val="18"/>
                <w:szCs w:val="18"/>
              </w:rPr>
              <w:t> </w:t>
            </w:r>
          </w:p>
        </w:tc>
      </w:tr>
      <w:tr w:rsidR="00BE4485" w:rsidRPr="002D4F22" w14:paraId="6CD23AC7" w14:textId="77777777" w:rsidTr="00857B81">
        <w:trPr>
          <w:trHeight w:val="300"/>
        </w:trPr>
        <w:tc>
          <w:tcPr>
            <w:tcW w:w="2024" w:type="dxa"/>
            <w:gridSpan w:val="2"/>
          </w:tcPr>
          <w:p w14:paraId="5A5E57E5" w14:textId="497E3847" w:rsidR="00BE4485" w:rsidRPr="00857B81" w:rsidRDefault="00BE4485" w:rsidP="00FA24ED">
            <w:pPr>
              <w:keepNext/>
              <w:spacing w:after="60" w:line="240" w:lineRule="auto"/>
              <w:jc w:val="both"/>
              <w:rPr>
                <w:rFonts w:eastAsiaTheme="majorEastAsia"/>
                <w:color w:val="0F4761" w:themeColor="accent1" w:themeShade="BF"/>
                <w:sz w:val="18"/>
                <w:szCs w:val="18"/>
                <w:highlight w:val="yellow"/>
                <w:lang w:val="en-US"/>
              </w:rPr>
            </w:pPr>
            <w:r w:rsidRPr="00857B81">
              <w:rPr>
                <w:rFonts w:eastAsiaTheme="majorEastAsia"/>
                <w:color w:val="0F4761" w:themeColor="accent1" w:themeShade="BF"/>
                <w:sz w:val="18"/>
                <w:szCs w:val="18"/>
                <w:highlight w:val="yellow"/>
                <w:lang w:val="en-US"/>
              </w:rPr>
              <w:t>PMC</w:t>
            </w:r>
          </w:p>
        </w:tc>
        <w:tc>
          <w:tcPr>
            <w:tcW w:w="3005" w:type="dxa"/>
            <w:vAlign w:val="center"/>
          </w:tcPr>
          <w:p w14:paraId="705EC042" w14:textId="34BEC0FD" w:rsidR="00BE4485" w:rsidRPr="00857B81" w:rsidRDefault="00BE4485" w:rsidP="00FA24ED">
            <w:pPr>
              <w:keepNext/>
              <w:spacing w:after="60" w:line="240" w:lineRule="auto"/>
              <w:jc w:val="both"/>
              <w:rPr>
                <w:rFonts w:eastAsiaTheme="majorEastAsia"/>
                <w:color w:val="0F4761" w:themeColor="accent1" w:themeShade="BF"/>
                <w:sz w:val="18"/>
                <w:szCs w:val="18"/>
                <w:highlight w:val="yellow"/>
                <w:lang w:val="en-GB"/>
              </w:rPr>
            </w:pPr>
            <w:r w:rsidRPr="00857B81">
              <w:rPr>
                <w:rFonts w:eastAsiaTheme="majorEastAsia"/>
                <w:color w:val="0F4761" w:themeColor="accent1" w:themeShade="BF"/>
                <w:sz w:val="18"/>
                <w:szCs w:val="18"/>
                <w:highlight w:val="yellow"/>
                <w:lang w:val="en-GB"/>
              </w:rPr>
              <w:t xml:space="preserve">Purchase of electric car </w:t>
            </w:r>
          </w:p>
        </w:tc>
        <w:tc>
          <w:tcPr>
            <w:tcW w:w="962" w:type="dxa"/>
            <w:vAlign w:val="center"/>
          </w:tcPr>
          <w:p w14:paraId="7E029C88" w14:textId="75BA250A" w:rsidR="00BE4485" w:rsidRPr="00857B81" w:rsidRDefault="00BE4485" w:rsidP="00FA24ED">
            <w:pPr>
              <w:keepNext/>
              <w:spacing w:after="60" w:line="240" w:lineRule="auto"/>
              <w:jc w:val="both"/>
              <w:rPr>
                <w:rFonts w:eastAsiaTheme="majorEastAsia"/>
                <w:color w:val="0F4761" w:themeColor="accent1" w:themeShade="BF"/>
                <w:sz w:val="18"/>
                <w:szCs w:val="18"/>
                <w:highlight w:val="yellow"/>
                <w:lang w:val="en-US"/>
              </w:rPr>
            </w:pPr>
            <w:r w:rsidRPr="00857B81">
              <w:rPr>
                <w:rFonts w:eastAsiaTheme="majorEastAsia"/>
                <w:color w:val="0F4761" w:themeColor="accent1" w:themeShade="BF"/>
                <w:sz w:val="18"/>
                <w:szCs w:val="18"/>
                <w:highlight w:val="yellow"/>
                <w:lang w:val="en-US"/>
              </w:rPr>
              <w:t>Equipment</w:t>
            </w:r>
          </w:p>
        </w:tc>
        <w:tc>
          <w:tcPr>
            <w:tcW w:w="1376" w:type="dxa"/>
            <w:vAlign w:val="center"/>
          </w:tcPr>
          <w:p w14:paraId="453C17A6" w14:textId="1039D51D" w:rsidR="00BE4485" w:rsidRPr="00857B81" w:rsidRDefault="00BE4485" w:rsidP="00FA24ED">
            <w:pPr>
              <w:keepNext/>
              <w:spacing w:after="60" w:line="240" w:lineRule="auto"/>
              <w:jc w:val="both"/>
              <w:rPr>
                <w:rFonts w:eastAsiaTheme="majorEastAsia"/>
                <w:color w:val="0F4761" w:themeColor="accent1" w:themeShade="BF"/>
                <w:sz w:val="18"/>
                <w:szCs w:val="18"/>
                <w:highlight w:val="yellow"/>
                <w:lang w:val="en-US"/>
              </w:rPr>
            </w:pPr>
            <w:r w:rsidRPr="00857B81">
              <w:rPr>
                <w:rFonts w:eastAsiaTheme="majorEastAsia"/>
                <w:color w:val="0F4761" w:themeColor="accent1" w:themeShade="BF"/>
                <w:sz w:val="18"/>
                <w:szCs w:val="18"/>
                <w:highlight w:val="yellow"/>
                <w:lang w:val="en-US"/>
              </w:rPr>
              <w:t>60,000</w:t>
            </w:r>
          </w:p>
        </w:tc>
        <w:tc>
          <w:tcPr>
            <w:tcW w:w="680" w:type="dxa"/>
            <w:vAlign w:val="center"/>
          </w:tcPr>
          <w:p w14:paraId="2D641A17" w14:textId="015D2A14" w:rsidR="00BE4485" w:rsidRPr="00857B81" w:rsidRDefault="00BE4485" w:rsidP="00FA24ED">
            <w:pPr>
              <w:keepNext/>
              <w:spacing w:after="60" w:line="240" w:lineRule="auto"/>
              <w:jc w:val="both"/>
              <w:rPr>
                <w:rFonts w:eastAsiaTheme="majorEastAsia"/>
                <w:color w:val="0F4761" w:themeColor="accent1" w:themeShade="BF"/>
                <w:sz w:val="18"/>
                <w:szCs w:val="18"/>
                <w:highlight w:val="yellow"/>
                <w:lang w:val="en-US"/>
              </w:rPr>
            </w:pPr>
            <w:r w:rsidRPr="00857B81">
              <w:rPr>
                <w:rFonts w:eastAsiaTheme="majorEastAsia"/>
                <w:color w:val="0F4761" w:themeColor="accent1" w:themeShade="BF"/>
                <w:sz w:val="18"/>
                <w:szCs w:val="18"/>
                <w:highlight w:val="yellow"/>
                <w:lang w:val="en-US"/>
              </w:rPr>
              <w:t>X</w:t>
            </w:r>
          </w:p>
        </w:tc>
        <w:tc>
          <w:tcPr>
            <w:tcW w:w="885" w:type="dxa"/>
            <w:vAlign w:val="center"/>
          </w:tcPr>
          <w:p w14:paraId="7449B593" w14:textId="77777777" w:rsidR="00BE4485" w:rsidRPr="00857B81" w:rsidRDefault="00BE4485" w:rsidP="00FA24ED">
            <w:pPr>
              <w:keepNext/>
              <w:spacing w:after="60" w:line="240" w:lineRule="auto"/>
              <w:jc w:val="both"/>
              <w:rPr>
                <w:rFonts w:eastAsiaTheme="majorEastAsia"/>
                <w:color w:val="0F4761" w:themeColor="accent1" w:themeShade="BF"/>
                <w:sz w:val="18"/>
                <w:szCs w:val="18"/>
                <w:highlight w:val="yellow"/>
              </w:rPr>
            </w:pPr>
          </w:p>
        </w:tc>
        <w:tc>
          <w:tcPr>
            <w:tcW w:w="1539" w:type="dxa"/>
            <w:vAlign w:val="center"/>
          </w:tcPr>
          <w:p w14:paraId="4AC7C4B5" w14:textId="3FDEDDFB" w:rsidR="00BE4485" w:rsidRPr="00857B81" w:rsidRDefault="00BE4485" w:rsidP="00FA24ED">
            <w:pPr>
              <w:keepNext/>
              <w:spacing w:after="60" w:line="240" w:lineRule="auto"/>
              <w:jc w:val="both"/>
              <w:rPr>
                <w:rFonts w:eastAsiaTheme="majorEastAsia"/>
                <w:color w:val="0F4761" w:themeColor="accent1" w:themeShade="BF"/>
                <w:sz w:val="18"/>
                <w:szCs w:val="18"/>
                <w:highlight w:val="yellow"/>
              </w:rPr>
            </w:pPr>
            <w:proofErr w:type="spellStart"/>
            <w:r w:rsidRPr="00857B81">
              <w:rPr>
                <w:rFonts w:eastAsiaTheme="majorEastAsia"/>
                <w:color w:val="0F4761" w:themeColor="accent1" w:themeShade="BF"/>
                <w:sz w:val="18"/>
                <w:szCs w:val="18"/>
                <w:highlight w:val="yellow"/>
              </w:rPr>
              <w:t>Request</w:t>
            </w:r>
            <w:proofErr w:type="spellEnd"/>
            <w:r w:rsidRPr="00857B81">
              <w:rPr>
                <w:rFonts w:eastAsiaTheme="majorEastAsia"/>
                <w:color w:val="0F4761" w:themeColor="accent1" w:themeShade="BF"/>
                <w:sz w:val="18"/>
                <w:szCs w:val="18"/>
                <w:highlight w:val="yellow"/>
              </w:rPr>
              <w:t xml:space="preserve"> For </w:t>
            </w:r>
            <w:proofErr w:type="spellStart"/>
            <w:r w:rsidRPr="00857B81">
              <w:rPr>
                <w:rFonts w:eastAsiaTheme="majorEastAsia"/>
                <w:color w:val="0F4761" w:themeColor="accent1" w:themeShade="BF"/>
                <w:sz w:val="18"/>
                <w:szCs w:val="18"/>
                <w:highlight w:val="yellow"/>
              </w:rPr>
              <w:t>quotation</w:t>
            </w:r>
            <w:proofErr w:type="spellEnd"/>
          </w:p>
        </w:tc>
      </w:tr>
      <w:tr w:rsidR="00FA24ED" w:rsidRPr="002D4F22" w14:paraId="1CB7C1C9" w14:textId="77777777" w:rsidTr="00857B81">
        <w:trPr>
          <w:trHeight w:val="300"/>
        </w:trPr>
        <w:tc>
          <w:tcPr>
            <w:tcW w:w="5991" w:type="dxa"/>
            <w:gridSpan w:val="4"/>
            <w:shd w:val="clear" w:color="auto" w:fill="F7CAAC"/>
            <w:vAlign w:val="center"/>
            <w:hideMark/>
          </w:tcPr>
          <w:p w14:paraId="7C10C4A8" w14:textId="77777777" w:rsidR="00FA24ED" w:rsidRPr="00857B81" w:rsidRDefault="00FA24ED" w:rsidP="00FA24ED">
            <w:pPr>
              <w:keepNext/>
              <w:spacing w:after="60" w:line="240" w:lineRule="auto"/>
              <w:jc w:val="both"/>
              <w:rPr>
                <w:rFonts w:eastAsiaTheme="majorEastAsia"/>
                <w:color w:val="0F4761" w:themeColor="accent1" w:themeShade="BF"/>
                <w:sz w:val="18"/>
                <w:szCs w:val="18"/>
                <w:highlight w:val="yellow"/>
              </w:rPr>
            </w:pPr>
            <w:r w:rsidRPr="00857B81">
              <w:rPr>
                <w:rFonts w:eastAsiaTheme="majorEastAsia"/>
                <w:b/>
                <w:bCs/>
                <w:color w:val="0F4761" w:themeColor="accent1" w:themeShade="BF"/>
                <w:sz w:val="18"/>
                <w:szCs w:val="18"/>
                <w:highlight w:val="yellow"/>
                <w:lang w:val="hu-HU"/>
              </w:rPr>
              <w:t>Total</w:t>
            </w:r>
            <w:r w:rsidRPr="00857B81">
              <w:rPr>
                <w:rFonts w:eastAsiaTheme="majorEastAsia"/>
                <w:color w:val="0F4761" w:themeColor="accent1" w:themeShade="BF"/>
                <w:sz w:val="18"/>
                <w:szCs w:val="18"/>
                <w:highlight w:val="yellow"/>
              </w:rPr>
              <w:t> </w:t>
            </w:r>
          </w:p>
        </w:tc>
        <w:tc>
          <w:tcPr>
            <w:tcW w:w="1376" w:type="dxa"/>
            <w:shd w:val="clear" w:color="auto" w:fill="F7CAAC"/>
            <w:vAlign w:val="center"/>
            <w:hideMark/>
          </w:tcPr>
          <w:p w14:paraId="2A555027" w14:textId="1BFEFD0B" w:rsidR="00FA24ED" w:rsidRPr="00857B81" w:rsidRDefault="79C68FE2" w:rsidP="031F3879">
            <w:pPr>
              <w:keepNext/>
              <w:spacing w:after="60" w:line="240" w:lineRule="auto"/>
              <w:jc w:val="both"/>
              <w:rPr>
                <w:rFonts w:eastAsiaTheme="majorEastAsia"/>
                <w:color w:val="0F4761" w:themeColor="accent1" w:themeShade="BF"/>
                <w:sz w:val="18"/>
                <w:szCs w:val="18"/>
                <w:highlight w:val="yellow"/>
              </w:rPr>
            </w:pPr>
            <w:r w:rsidRPr="00857B81">
              <w:rPr>
                <w:rFonts w:eastAsiaTheme="majorEastAsia"/>
                <w:b/>
                <w:bCs/>
                <w:color w:val="0F4761" w:themeColor="accent1" w:themeShade="BF"/>
                <w:sz w:val="18"/>
                <w:szCs w:val="18"/>
                <w:highlight w:val="yellow"/>
                <w:lang w:val="en-US"/>
              </w:rPr>
              <w:t>1</w:t>
            </w:r>
            <w:r w:rsidR="668C2821" w:rsidRPr="00857B81">
              <w:rPr>
                <w:rFonts w:eastAsiaTheme="majorEastAsia"/>
                <w:b/>
                <w:bCs/>
                <w:color w:val="0F4761" w:themeColor="accent1" w:themeShade="BF"/>
                <w:sz w:val="18"/>
                <w:szCs w:val="18"/>
                <w:highlight w:val="yellow"/>
                <w:lang w:val="en-US"/>
              </w:rPr>
              <w:t xml:space="preserve"> 1,</w:t>
            </w:r>
            <w:r w:rsidR="2A5F8110" w:rsidRPr="00857B81">
              <w:rPr>
                <w:rFonts w:eastAsiaTheme="majorEastAsia"/>
                <w:b/>
                <w:bCs/>
                <w:color w:val="0F4761" w:themeColor="accent1" w:themeShade="BF"/>
                <w:sz w:val="18"/>
                <w:szCs w:val="18"/>
                <w:highlight w:val="yellow"/>
                <w:lang w:val="en-US"/>
              </w:rPr>
              <w:t>293</w:t>
            </w:r>
            <w:r w:rsidR="668C2821" w:rsidRPr="00857B81">
              <w:rPr>
                <w:rFonts w:eastAsiaTheme="majorEastAsia"/>
                <w:b/>
                <w:bCs/>
                <w:color w:val="0F4761" w:themeColor="accent1" w:themeShade="BF"/>
                <w:sz w:val="18"/>
                <w:szCs w:val="18"/>
                <w:highlight w:val="yellow"/>
                <w:lang w:val="en-US"/>
              </w:rPr>
              <w:t>,000</w:t>
            </w:r>
          </w:p>
        </w:tc>
        <w:tc>
          <w:tcPr>
            <w:tcW w:w="3104" w:type="dxa"/>
            <w:gridSpan w:val="3"/>
            <w:shd w:val="clear" w:color="auto" w:fill="F7CAAC"/>
            <w:vAlign w:val="center"/>
            <w:hideMark/>
          </w:tcPr>
          <w:p w14:paraId="25F0AA08" w14:textId="77777777" w:rsidR="00FA24ED" w:rsidRPr="00857B81" w:rsidRDefault="00FA24ED" w:rsidP="00FA24ED">
            <w:pPr>
              <w:keepNext/>
              <w:spacing w:after="60" w:line="240" w:lineRule="auto"/>
              <w:jc w:val="both"/>
              <w:rPr>
                <w:rFonts w:eastAsiaTheme="majorEastAsia"/>
                <w:color w:val="0F4761" w:themeColor="accent1" w:themeShade="BF"/>
                <w:sz w:val="18"/>
                <w:szCs w:val="18"/>
                <w:highlight w:val="yellow"/>
              </w:rPr>
            </w:pPr>
            <w:r w:rsidRPr="00857B81">
              <w:rPr>
                <w:rFonts w:eastAsiaTheme="majorEastAsia"/>
                <w:color w:val="0F4761" w:themeColor="accent1" w:themeShade="BF"/>
                <w:sz w:val="18"/>
                <w:szCs w:val="18"/>
                <w:highlight w:val="yellow"/>
              </w:rPr>
              <w:t> </w:t>
            </w:r>
          </w:p>
        </w:tc>
      </w:tr>
    </w:tbl>
    <w:p w14:paraId="4E0B7808" w14:textId="77777777" w:rsidR="00787023" w:rsidRPr="002208D8" w:rsidRDefault="00787023">
      <w:pPr>
        <w:keepNext/>
        <w:spacing w:after="60" w:line="240" w:lineRule="auto"/>
        <w:jc w:val="both"/>
        <w:rPr>
          <w:rFonts w:eastAsiaTheme="majorEastAsia"/>
          <w:color w:val="0F4761" w:themeColor="accent1" w:themeShade="BF"/>
          <w:sz w:val="20"/>
          <w:szCs w:val="20"/>
          <w:lang w:val="en-US"/>
        </w:rPr>
      </w:pPr>
    </w:p>
    <w:p w14:paraId="00001508" w14:textId="77777777" w:rsidR="004F7DB3" w:rsidRPr="00C00123" w:rsidRDefault="00C00123">
      <w:pPr>
        <w:spacing w:after="0" w:line="240" w:lineRule="auto"/>
        <w:ind w:left="360"/>
        <w:jc w:val="both"/>
        <w:rPr>
          <w:lang w:val="en-US"/>
        </w:rPr>
      </w:pPr>
      <w:r w:rsidRPr="00C00123">
        <w:rPr>
          <w:lang w:val="en-US"/>
        </w:rPr>
        <w:br w:type="page"/>
      </w:r>
    </w:p>
    <w:p w14:paraId="0000150D" w14:textId="7BF3432C" w:rsidR="004F7DB3" w:rsidRPr="006F5E1D" w:rsidRDefault="552CE4D7" w:rsidP="006F5E1D">
      <w:pPr>
        <w:pStyle w:val="Titre3"/>
        <w:rPr>
          <w:sz w:val="22"/>
          <w:szCs w:val="22"/>
          <w:lang w:val="en-US"/>
        </w:rPr>
      </w:pPr>
      <w:bookmarkStart w:id="366" w:name="_Toc200477856"/>
      <w:r w:rsidRPr="006F5E1D">
        <w:rPr>
          <w:sz w:val="22"/>
          <w:szCs w:val="22"/>
          <w:lang w:val="en-US"/>
        </w:rPr>
        <w:lastRenderedPageBreak/>
        <w:t>Annex 14: GEF CEO Endorsement/Approval</w:t>
      </w:r>
      <w:bookmarkEnd w:id="366"/>
    </w:p>
    <w:p w14:paraId="0B55CE90" w14:textId="2D265AC9" w:rsidR="5D8904BE" w:rsidRDefault="5D8904BE" w:rsidP="5D8904BE">
      <w:pPr>
        <w:rPr>
          <w:b/>
          <w:bCs/>
          <w:sz w:val="20"/>
          <w:szCs w:val="20"/>
          <w:lang w:val="en-US"/>
        </w:rPr>
      </w:pPr>
    </w:p>
    <w:p w14:paraId="0000150E" w14:textId="5CAD0AE0" w:rsidR="004F7DB3" w:rsidRPr="00C00123" w:rsidRDefault="04C560A1" w:rsidP="24AA8F7E">
      <w:pPr>
        <w:rPr>
          <w:b/>
          <w:bCs/>
          <w:sz w:val="20"/>
          <w:szCs w:val="20"/>
          <w:lang w:val="en-US"/>
        </w:rPr>
      </w:pPr>
      <w:r w:rsidRPr="5D8904BE">
        <w:rPr>
          <w:b/>
          <w:bCs/>
          <w:sz w:val="20"/>
          <w:szCs w:val="20"/>
          <w:lang w:val="en-US"/>
        </w:rPr>
        <w:t>This annex is submitted separately</w:t>
      </w:r>
      <w:r w:rsidR="00140B08">
        <w:rPr>
          <w:b/>
          <w:bCs/>
          <w:sz w:val="20"/>
          <w:szCs w:val="20"/>
          <w:lang w:val="en-US"/>
        </w:rPr>
        <w:t>. See attached</w:t>
      </w:r>
      <w:r w:rsidRPr="5D8904BE">
        <w:rPr>
          <w:b/>
          <w:bCs/>
          <w:sz w:val="20"/>
          <w:szCs w:val="20"/>
          <w:lang w:val="en-US"/>
        </w:rPr>
        <w:t xml:space="preserve"> </w:t>
      </w:r>
      <w:r w:rsidR="38EC70A4" w:rsidRPr="5D8904BE">
        <w:rPr>
          <w:lang w:val="en-US"/>
        </w:rPr>
        <w:br w:type="page"/>
      </w:r>
    </w:p>
    <w:p w14:paraId="00001512" w14:textId="7C62D77A" w:rsidR="004F7DB3" w:rsidRPr="00633089" w:rsidRDefault="00C00123" w:rsidP="006F5E1D">
      <w:pPr>
        <w:pStyle w:val="Titre3"/>
        <w:rPr>
          <w:lang w:val="en-US"/>
        </w:rPr>
      </w:pPr>
      <w:bookmarkStart w:id="367" w:name="_Toc200477857"/>
      <w:r w:rsidRPr="006F5E1D">
        <w:rPr>
          <w:sz w:val="22"/>
          <w:szCs w:val="22"/>
          <w:lang w:val="en-US"/>
        </w:rPr>
        <w:lastRenderedPageBreak/>
        <w:t>Annex 16: Terms of Reference for Project Board and Project Team</w:t>
      </w:r>
      <w:bookmarkEnd w:id="367"/>
    </w:p>
    <w:p w14:paraId="5247011C" w14:textId="77777777" w:rsidR="00D85463" w:rsidRPr="00742BFD" w:rsidRDefault="00D85463" w:rsidP="00D85463">
      <w:pPr>
        <w:spacing w:after="60" w:line="240" w:lineRule="auto"/>
        <w:jc w:val="both"/>
        <w:rPr>
          <w:b/>
          <w:bCs/>
          <w:sz w:val="20"/>
          <w:szCs w:val="20"/>
          <w:lang w:val="en-US"/>
        </w:rPr>
      </w:pPr>
      <w:r w:rsidRPr="5D8904BE">
        <w:rPr>
          <w:b/>
          <w:bCs/>
          <w:sz w:val="20"/>
          <w:szCs w:val="20"/>
          <w:lang w:val="en-US"/>
        </w:rPr>
        <w:t>This annex is submitted separately</w:t>
      </w:r>
      <w:r>
        <w:rPr>
          <w:b/>
          <w:bCs/>
          <w:sz w:val="20"/>
          <w:szCs w:val="20"/>
          <w:lang w:val="en-US"/>
        </w:rPr>
        <w:t>,</w:t>
      </w:r>
      <w:r w:rsidRPr="5D8904BE">
        <w:rPr>
          <w:b/>
          <w:bCs/>
          <w:sz w:val="20"/>
          <w:szCs w:val="20"/>
          <w:lang w:val="en-US"/>
        </w:rPr>
        <w:t xml:space="preserve"> </w:t>
      </w:r>
      <w:r>
        <w:rPr>
          <w:b/>
          <w:bCs/>
          <w:sz w:val="20"/>
          <w:szCs w:val="20"/>
          <w:lang w:val="en-US"/>
        </w:rPr>
        <w:t>see attached.</w:t>
      </w:r>
    </w:p>
    <w:p w14:paraId="00001530" w14:textId="77777777" w:rsidR="004F7DB3" w:rsidRPr="006F5E1D" w:rsidRDefault="004F7DB3">
      <w:pPr>
        <w:spacing w:after="60" w:line="240" w:lineRule="auto"/>
        <w:jc w:val="both"/>
        <w:rPr>
          <w:sz w:val="20"/>
          <w:szCs w:val="20"/>
          <w:lang w:val="en-US"/>
        </w:rPr>
      </w:pPr>
      <w:bookmarkStart w:id="368" w:name="_heading=h.i5irf6i898vh"/>
      <w:bookmarkStart w:id="369" w:name="_heading=h.1tq7zhvf0nk8" w:colFirst="0" w:colLast="0"/>
      <w:bookmarkStart w:id="370" w:name="_heading=h.hb4spwtiofoh" w:colFirst="0" w:colLast="0"/>
      <w:bookmarkStart w:id="371" w:name="_heading=h.383z7oj34cln" w:colFirst="0" w:colLast="0"/>
      <w:bookmarkStart w:id="372" w:name="_heading=h.6bqfnq2ntyqf" w:colFirst="0" w:colLast="0"/>
      <w:bookmarkStart w:id="373" w:name="_heading=h.ucsef8a9au2r" w:colFirst="0" w:colLast="0"/>
      <w:bookmarkStart w:id="374" w:name="_heading=h.heqgimwze0ws" w:colFirst="0" w:colLast="0"/>
      <w:bookmarkEnd w:id="368"/>
      <w:bookmarkEnd w:id="369"/>
      <w:bookmarkEnd w:id="370"/>
      <w:bookmarkEnd w:id="371"/>
      <w:bookmarkEnd w:id="372"/>
      <w:bookmarkEnd w:id="373"/>
      <w:bookmarkEnd w:id="374"/>
    </w:p>
    <w:p w14:paraId="00001531" w14:textId="77777777" w:rsidR="004F7DB3" w:rsidRPr="006F5E1D" w:rsidRDefault="00C00123">
      <w:pPr>
        <w:spacing w:after="0" w:line="240" w:lineRule="auto"/>
        <w:rPr>
          <w:b/>
          <w:sz w:val="20"/>
          <w:szCs w:val="20"/>
          <w:lang w:val="en-US"/>
        </w:rPr>
      </w:pPr>
      <w:r w:rsidRPr="006F5E1D">
        <w:rPr>
          <w:lang w:val="en-US"/>
        </w:rPr>
        <w:br w:type="page"/>
      </w:r>
    </w:p>
    <w:p w14:paraId="00001532" w14:textId="77777777" w:rsidR="004F7DB3" w:rsidRPr="00C00123" w:rsidRDefault="00C00123" w:rsidP="00417FB5">
      <w:pPr>
        <w:pStyle w:val="Titre8"/>
        <w:rPr>
          <w:lang w:val="en-US"/>
        </w:rPr>
      </w:pPr>
      <w:r w:rsidRPr="00C00123">
        <w:rPr>
          <w:lang w:val="en-US"/>
        </w:rPr>
        <w:lastRenderedPageBreak/>
        <w:t>Annex 17: GEF Core indicators</w:t>
      </w:r>
    </w:p>
    <w:p w14:paraId="0000153C" w14:textId="53F6F888" w:rsidR="004F7DB3" w:rsidRPr="00742BFD" w:rsidRDefault="41FD2F7A" w:rsidP="24AA8F7E">
      <w:pPr>
        <w:spacing w:after="60" w:line="240" w:lineRule="auto"/>
        <w:jc w:val="both"/>
        <w:rPr>
          <w:b/>
          <w:bCs/>
          <w:sz w:val="20"/>
          <w:szCs w:val="20"/>
          <w:lang w:val="en-US"/>
        </w:rPr>
      </w:pPr>
      <w:r w:rsidRPr="5D8904BE">
        <w:rPr>
          <w:b/>
          <w:bCs/>
          <w:sz w:val="20"/>
          <w:szCs w:val="20"/>
          <w:lang w:val="en-US"/>
        </w:rPr>
        <w:t xml:space="preserve">This annex is </w:t>
      </w:r>
      <w:r w:rsidR="3CE68E9D" w:rsidRPr="5D8904BE">
        <w:rPr>
          <w:b/>
          <w:bCs/>
          <w:sz w:val="20"/>
          <w:szCs w:val="20"/>
          <w:lang w:val="en-US"/>
        </w:rPr>
        <w:t xml:space="preserve">submitted </w:t>
      </w:r>
      <w:r w:rsidR="00D85463" w:rsidRPr="5D8904BE">
        <w:rPr>
          <w:b/>
          <w:bCs/>
          <w:sz w:val="20"/>
          <w:szCs w:val="20"/>
          <w:lang w:val="en-US"/>
        </w:rPr>
        <w:t>separately</w:t>
      </w:r>
      <w:r w:rsidR="00D85463">
        <w:rPr>
          <w:b/>
          <w:bCs/>
          <w:sz w:val="20"/>
          <w:szCs w:val="20"/>
          <w:lang w:val="en-US"/>
        </w:rPr>
        <w:t>,</w:t>
      </w:r>
      <w:r w:rsidR="00D85463" w:rsidRPr="5D8904BE">
        <w:rPr>
          <w:b/>
          <w:bCs/>
          <w:sz w:val="20"/>
          <w:szCs w:val="20"/>
          <w:lang w:val="en-US"/>
        </w:rPr>
        <w:t xml:space="preserve"> </w:t>
      </w:r>
      <w:r w:rsidR="00D85463">
        <w:rPr>
          <w:b/>
          <w:bCs/>
          <w:sz w:val="20"/>
          <w:szCs w:val="20"/>
          <w:lang w:val="en-US"/>
        </w:rPr>
        <w:t>see</w:t>
      </w:r>
      <w:r w:rsidR="007B7E3B">
        <w:rPr>
          <w:b/>
          <w:bCs/>
          <w:sz w:val="20"/>
          <w:szCs w:val="20"/>
          <w:lang w:val="en-US"/>
        </w:rPr>
        <w:t xml:space="preserve"> attached.</w:t>
      </w:r>
    </w:p>
    <w:p w14:paraId="0000153D" w14:textId="77777777" w:rsidR="004F7DB3" w:rsidRPr="00C00123" w:rsidRDefault="00C00123" w:rsidP="24AA8F7E">
      <w:pPr>
        <w:keepNext/>
        <w:spacing w:after="60" w:line="240" w:lineRule="auto"/>
        <w:jc w:val="both"/>
        <w:rPr>
          <w:b/>
          <w:bCs/>
          <w:sz w:val="20"/>
          <w:szCs w:val="20"/>
          <w:lang w:val="en-US"/>
        </w:rPr>
        <w:sectPr w:rsidR="004F7DB3" w:rsidRPr="00C00123">
          <w:headerReference w:type="first" r:id="rId58"/>
          <w:pgSz w:w="11906" w:h="16838"/>
          <w:pgMar w:top="720" w:right="720" w:bottom="720" w:left="720" w:header="720" w:footer="720" w:gutter="0"/>
          <w:cols w:space="720"/>
        </w:sectPr>
      </w:pPr>
      <w:r w:rsidRPr="006F5E1D">
        <w:rPr>
          <w:b/>
          <w:bCs/>
          <w:lang w:val="en-US"/>
        </w:rPr>
        <w:br w:type="page"/>
      </w:r>
    </w:p>
    <w:p w14:paraId="0000153E" w14:textId="77777777" w:rsidR="004F7DB3" w:rsidRPr="00633089" w:rsidRDefault="00C00123" w:rsidP="006F5E1D">
      <w:pPr>
        <w:pStyle w:val="Titre3"/>
        <w:rPr>
          <w:lang w:val="en-US"/>
        </w:rPr>
      </w:pPr>
      <w:bookmarkStart w:id="375" w:name="_Toc200477858"/>
      <w:r w:rsidRPr="008C0D80">
        <w:rPr>
          <w:sz w:val="22"/>
          <w:szCs w:val="22"/>
          <w:lang w:val="en-US"/>
        </w:rPr>
        <w:lastRenderedPageBreak/>
        <w:t>Annex 18: GEF Taxonomy</w:t>
      </w:r>
      <w:bookmarkEnd w:id="375"/>
      <w:r w:rsidRPr="008C0D80">
        <w:rPr>
          <w:sz w:val="22"/>
          <w:szCs w:val="22"/>
          <w:lang w:val="en-US"/>
        </w:rPr>
        <w:t xml:space="preserve"> </w:t>
      </w:r>
    </w:p>
    <w:p w14:paraId="0000153F" w14:textId="504AE503" w:rsidR="004F7DB3" w:rsidRPr="00C00123" w:rsidRDefault="004F7DB3">
      <w:pPr>
        <w:spacing w:after="60" w:line="240" w:lineRule="auto"/>
        <w:jc w:val="both"/>
        <w:rPr>
          <w:color w:val="000000"/>
          <w:sz w:val="20"/>
          <w:szCs w:val="20"/>
          <w:lang w:val="en-US"/>
        </w:rPr>
      </w:pPr>
    </w:p>
    <w:tbl>
      <w:tblPr>
        <w:tblStyle w:val="1"/>
        <w:tblW w:w="10800" w:type="dxa"/>
        <w:tblInd w:w="0" w:type="dxa"/>
        <w:tblLayout w:type="fixed"/>
        <w:tblLook w:val="0400" w:firstRow="0" w:lastRow="0" w:firstColumn="0" w:lastColumn="0" w:noHBand="0" w:noVBand="1"/>
      </w:tblPr>
      <w:tblGrid>
        <w:gridCol w:w="2222"/>
        <w:gridCol w:w="3286"/>
        <w:gridCol w:w="2541"/>
        <w:gridCol w:w="2751"/>
      </w:tblGrid>
      <w:tr w:rsidR="004F7DB3" w14:paraId="0CBAFADD" w14:textId="77777777" w:rsidTr="5D8904BE">
        <w:trPr>
          <w:trHeight w:val="342"/>
        </w:trPr>
        <w:tc>
          <w:tcPr>
            <w:tcW w:w="2222" w:type="dxa"/>
            <w:tcBorders>
              <w:top w:val="nil"/>
              <w:left w:val="nil"/>
              <w:bottom w:val="single" w:sz="12" w:space="0" w:color="4472C4"/>
              <w:right w:val="nil"/>
            </w:tcBorders>
          </w:tcPr>
          <w:p w14:paraId="00001540" w14:textId="77777777" w:rsidR="004F7DB3" w:rsidRDefault="552CE4D7" w:rsidP="5D8904BE">
            <w:pPr>
              <w:spacing w:after="0" w:line="240" w:lineRule="auto"/>
              <w:jc w:val="both"/>
              <w:rPr>
                <w:b/>
                <w:bCs/>
                <w:color w:val="000000"/>
                <w:sz w:val="16"/>
                <w:szCs w:val="16"/>
              </w:rPr>
            </w:pPr>
            <w:proofErr w:type="spellStart"/>
            <w:r w:rsidRPr="5D8904BE">
              <w:rPr>
                <w:b/>
                <w:bCs/>
                <w:color w:val="000000" w:themeColor="text1"/>
                <w:sz w:val="16"/>
                <w:szCs w:val="16"/>
              </w:rPr>
              <w:t>Level</w:t>
            </w:r>
            <w:proofErr w:type="spellEnd"/>
            <w:r w:rsidRPr="5D8904BE">
              <w:rPr>
                <w:b/>
                <w:bCs/>
                <w:color w:val="000000" w:themeColor="text1"/>
                <w:sz w:val="16"/>
                <w:szCs w:val="16"/>
              </w:rPr>
              <w:t xml:space="preserve"> 1</w:t>
            </w:r>
          </w:p>
        </w:tc>
        <w:tc>
          <w:tcPr>
            <w:tcW w:w="3286" w:type="dxa"/>
            <w:tcBorders>
              <w:top w:val="nil"/>
              <w:left w:val="nil"/>
              <w:bottom w:val="single" w:sz="12" w:space="0" w:color="4472C4"/>
              <w:right w:val="nil"/>
            </w:tcBorders>
          </w:tcPr>
          <w:p w14:paraId="00001541" w14:textId="77777777" w:rsidR="004F7DB3" w:rsidRDefault="552CE4D7" w:rsidP="5D8904BE">
            <w:pPr>
              <w:spacing w:after="0" w:line="240" w:lineRule="auto"/>
              <w:jc w:val="both"/>
              <w:rPr>
                <w:b/>
                <w:bCs/>
                <w:color w:val="000000"/>
                <w:sz w:val="16"/>
                <w:szCs w:val="16"/>
              </w:rPr>
            </w:pPr>
            <w:proofErr w:type="spellStart"/>
            <w:r w:rsidRPr="5D8904BE">
              <w:rPr>
                <w:b/>
                <w:bCs/>
                <w:color w:val="000000" w:themeColor="text1"/>
                <w:sz w:val="16"/>
                <w:szCs w:val="16"/>
              </w:rPr>
              <w:t>Level</w:t>
            </w:r>
            <w:proofErr w:type="spellEnd"/>
            <w:r w:rsidRPr="5D8904BE">
              <w:rPr>
                <w:b/>
                <w:bCs/>
                <w:color w:val="000000" w:themeColor="text1"/>
                <w:sz w:val="16"/>
                <w:szCs w:val="16"/>
              </w:rPr>
              <w:t xml:space="preserve"> 2</w:t>
            </w:r>
          </w:p>
        </w:tc>
        <w:tc>
          <w:tcPr>
            <w:tcW w:w="2541" w:type="dxa"/>
            <w:tcBorders>
              <w:top w:val="nil"/>
              <w:left w:val="nil"/>
              <w:bottom w:val="single" w:sz="12" w:space="0" w:color="4472C4"/>
              <w:right w:val="nil"/>
            </w:tcBorders>
          </w:tcPr>
          <w:p w14:paraId="00001542" w14:textId="77777777" w:rsidR="004F7DB3" w:rsidRDefault="552CE4D7" w:rsidP="5D8904BE">
            <w:pPr>
              <w:spacing w:after="0" w:line="240" w:lineRule="auto"/>
              <w:jc w:val="both"/>
              <w:rPr>
                <w:b/>
                <w:bCs/>
                <w:color w:val="000000"/>
                <w:sz w:val="16"/>
                <w:szCs w:val="16"/>
              </w:rPr>
            </w:pPr>
            <w:proofErr w:type="spellStart"/>
            <w:r w:rsidRPr="5D8904BE">
              <w:rPr>
                <w:b/>
                <w:bCs/>
                <w:color w:val="000000" w:themeColor="text1"/>
                <w:sz w:val="16"/>
                <w:szCs w:val="16"/>
              </w:rPr>
              <w:t>Level</w:t>
            </w:r>
            <w:proofErr w:type="spellEnd"/>
            <w:r w:rsidRPr="5D8904BE">
              <w:rPr>
                <w:b/>
                <w:bCs/>
                <w:color w:val="000000" w:themeColor="text1"/>
                <w:sz w:val="16"/>
                <w:szCs w:val="16"/>
              </w:rPr>
              <w:t xml:space="preserve"> 3</w:t>
            </w:r>
          </w:p>
        </w:tc>
        <w:tc>
          <w:tcPr>
            <w:tcW w:w="2751" w:type="dxa"/>
            <w:tcBorders>
              <w:top w:val="nil"/>
              <w:left w:val="nil"/>
              <w:bottom w:val="single" w:sz="12" w:space="0" w:color="4472C4"/>
              <w:right w:val="nil"/>
            </w:tcBorders>
          </w:tcPr>
          <w:p w14:paraId="00001543" w14:textId="77777777" w:rsidR="004F7DB3" w:rsidRDefault="552CE4D7" w:rsidP="5D8904BE">
            <w:pPr>
              <w:spacing w:after="0" w:line="240" w:lineRule="auto"/>
              <w:jc w:val="both"/>
              <w:rPr>
                <w:b/>
                <w:bCs/>
                <w:color w:val="000000"/>
                <w:sz w:val="16"/>
                <w:szCs w:val="16"/>
              </w:rPr>
            </w:pPr>
            <w:proofErr w:type="spellStart"/>
            <w:r w:rsidRPr="5D8904BE">
              <w:rPr>
                <w:b/>
                <w:bCs/>
                <w:color w:val="000000" w:themeColor="text1"/>
                <w:sz w:val="16"/>
                <w:szCs w:val="16"/>
              </w:rPr>
              <w:t>Level</w:t>
            </w:r>
            <w:proofErr w:type="spellEnd"/>
            <w:r w:rsidRPr="5D8904BE">
              <w:rPr>
                <w:b/>
                <w:bCs/>
                <w:color w:val="000000" w:themeColor="text1"/>
                <w:sz w:val="16"/>
                <w:szCs w:val="16"/>
              </w:rPr>
              <w:t xml:space="preserve"> 4</w:t>
            </w:r>
          </w:p>
        </w:tc>
      </w:tr>
      <w:tr w:rsidR="004F7DB3" w14:paraId="2F575119" w14:textId="77777777" w:rsidTr="5D8904BE">
        <w:trPr>
          <w:trHeight w:val="51"/>
        </w:trPr>
        <w:tc>
          <w:tcPr>
            <w:tcW w:w="22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1544" w14:textId="77777777" w:rsidR="004F7DB3" w:rsidRDefault="00000000" w:rsidP="5D8904BE">
            <w:pPr>
              <w:spacing w:after="0" w:line="240" w:lineRule="auto"/>
              <w:jc w:val="both"/>
              <w:rPr>
                <w:b/>
                <w:bCs/>
                <w:color w:val="000000"/>
                <w:sz w:val="16"/>
                <w:szCs w:val="16"/>
              </w:rPr>
            </w:pPr>
            <w:sdt>
              <w:sdtPr>
                <w:tag w:val="goog_rdk_15"/>
                <w:id w:val="-127095771"/>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sidRPr="5D8904BE">
              <w:rPr>
                <w:b/>
                <w:bCs/>
                <w:color w:val="000000"/>
                <w:sz w:val="16"/>
                <w:szCs w:val="16"/>
              </w:rPr>
              <w:t>Influencing</w:t>
            </w:r>
            <w:proofErr w:type="spellEnd"/>
            <w:r w:rsidR="552CE4D7" w:rsidRPr="5D8904BE">
              <w:rPr>
                <w:b/>
                <w:bCs/>
                <w:color w:val="000000"/>
                <w:sz w:val="16"/>
                <w:szCs w:val="16"/>
              </w:rPr>
              <w:t xml:space="preserve"> </w:t>
            </w:r>
            <w:proofErr w:type="spellStart"/>
            <w:r w:rsidR="552CE4D7" w:rsidRPr="5D8904BE">
              <w:rPr>
                <w:b/>
                <w:bCs/>
                <w:color w:val="000000"/>
                <w:sz w:val="16"/>
                <w:szCs w:val="16"/>
              </w:rPr>
              <w:t>models</w:t>
            </w:r>
            <w:proofErr w:type="spellEnd"/>
          </w:p>
        </w:tc>
        <w:tc>
          <w:tcPr>
            <w:tcW w:w="3286" w:type="dxa"/>
            <w:tcBorders>
              <w:top w:val="nil"/>
              <w:left w:val="nil"/>
              <w:bottom w:val="nil"/>
              <w:right w:val="nil"/>
            </w:tcBorders>
            <w:vAlign w:val="bottom"/>
          </w:tcPr>
          <w:p w14:paraId="0000154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154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single" w:sz="4" w:space="0" w:color="000000" w:themeColor="text1"/>
              <w:left w:val="nil"/>
              <w:bottom w:val="single" w:sz="4" w:space="0" w:color="000000" w:themeColor="text1"/>
              <w:right w:val="single" w:sz="4" w:space="0" w:color="000000" w:themeColor="text1"/>
            </w:tcBorders>
          </w:tcPr>
          <w:p w14:paraId="00001547" w14:textId="77777777" w:rsidR="004F7DB3" w:rsidRDefault="00C00123">
            <w:pPr>
              <w:spacing w:after="0" w:line="240" w:lineRule="auto"/>
              <w:jc w:val="both"/>
              <w:rPr>
                <w:color w:val="000000"/>
                <w:sz w:val="16"/>
                <w:szCs w:val="16"/>
              </w:rPr>
            </w:pPr>
            <w:r>
              <w:rPr>
                <w:color w:val="000000"/>
                <w:sz w:val="16"/>
                <w:szCs w:val="16"/>
              </w:rPr>
              <w:t> </w:t>
            </w:r>
          </w:p>
        </w:tc>
      </w:tr>
      <w:tr w:rsidR="004F7DB3" w:rsidRPr="00F50786" w14:paraId="40B2AF2F" w14:textId="77777777" w:rsidTr="5D8904BE">
        <w:trPr>
          <w:trHeight w:val="233"/>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4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single" w:sz="4" w:space="0" w:color="000000" w:themeColor="text1"/>
              <w:left w:val="nil"/>
              <w:bottom w:val="single" w:sz="4" w:space="0" w:color="000000" w:themeColor="text1"/>
              <w:right w:val="single" w:sz="4" w:space="0" w:color="000000" w:themeColor="text1"/>
            </w:tcBorders>
          </w:tcPr>
          <w:p w14:paraId="00001549" w14:textId="685D5AAD" w:rsidR="004F7DB3" w:rsidRPr="00C00123" w:rsidRDefault="00000000" w:rsidP="24AA8F7E">
            <w:pPr>
              <w:spacing w:after="0" w:line="240" w:lineRule="auto"/>
              <w:ind w:left="204" w:hanging="204"/>
              <w:jc w:val="both"/>
              <w:rPr>
                <w:b/>
                <w:bCs/>
                <w:color w:val="000000"/>
                <w:sz w:val="16"/>
                <w:szCs w:val="16"/>
                <w:lang w:val="en-US"/>
              </w:rPr>
            </w:pPr>
            <w:sdt>
              <w:sdtPr>
                <w:tag w:val="goog_rdk_16"/>
                <w:id w:val="-2019692792"/>
              </w:sdtPr>
              <w:sdtContent>
                <w:proofErr w:type="spellStart"/>
                <w:r w:rsidR="32789B03" w:rsidRPr="00C00123">
                  <w:rPr>
                    <w:rFonts w:ascii="Arial Unicode MS" w:eastAsia="Arial Unicode MS" w:hAnsi="Arial Unicode MS" w:cs="Arial Unicode MS"/>
                    <w:color w:val="000000"/>
                    <w:sz w:val="16"/>
                    <w:szCs w:val="16"/>
                    <w:shd w:val="clear" w:color="auto" w:fill="E6E6E6"/>
                    <w:lang w:val="en-US"/>
                  </w:rPr>
                  <w:t>X</w:t>
                </w:r>
              </w:sdtContent>
            </w:sdt>
            <w:r w:rsidR="352EB93F" w:rsidRPr="24AA8F7E">
              <w:rPr>
                <w:b/>
                <w:bCs/>
                <w:color w:val="000000"/>
                <w:sz w:val="16"/>
                <w:szCs w:val="16"/>
                <w:lang w:val="en-US"/>
              </w:rPr>
              <w:t>Transform</w:t>
            </w:r>
            <w:proofErr w:type="spellEnd"/>
            <w:r w:rsidR="352EB93F" w:rsidRPr="24AA8F7E">
              <w:rPr>
                <w:b/>
                <w:bCs/>
                <w:color w:val="000000"/>
                <w:sz w:val="16"/>
                <w:szCs w:val="16"/>
                <w:lang w:val="en-US"/>
              </w:rPr>
              <w:t xml:space="preserve"> policy and regulatory environments</w:t>
            </w:r>
          </w:p>
        </w:tc>
        <w:tc>
          <w:tcPr>
            <w:tcW w:w="2541" w:type="dxa"/>
            <w:tcBorders>
              <w:top w:val="nil"/>
              <w:left w:val="nil"/>
              <w:bottom w:val="single" w:sz="4" w:space="0" w:color="000000" w:themeColor="text1"/>
              <w:right w:val="single" w:sz="4" w:space="0" w:color="000000" w:themeColor="text1"/>
            </w:tcBorders>
          </w:tcPr>
          <w:p w14:paraId="0000154A"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54B"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r>
      <w:tr w:rsidR="004F7DB3" w:rsidRPr="00F50786" w14:paraId="10CD60A3" w14:textId="77777777" w:rsidTr="5D8904BE">
        <w:trPr>
          <w:trHeight w:val="386"/>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4C"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54D" w14:textId="39C67ACC" w:rsidR="004F7DB3" w:rsidRPr="00C00123" w:rsidRDefault="00000000" w:rsidP="24AA8F7E">
            <w:pPr>
              <w:spacing w:after="0" w:line="240" w:lineRule="auto"/>
              <w:ind w:left="204" w:hanging="204"/>
              <w:jc w:val="both"/>
              <w:rPr>
                <w:b/>
                <w:bCs/>
                <w:color w:val="000000"/>
                <w:sz w:val="16"/>
                <w:szCs w:val="16"/>
                <w:lang w:val="en-US"/>
              </w:rPr>
            </w:pPr>
            <w:sdt>
              <w:sdtPr>
                <w:tag w:val="goog_rdk_17"/>
                <w:id w:val="1139694935"/>
                <w:showingPlcHdr/>
              </w:sdtPr>
              <w:sdtContent>
                <w:r w:rsidR="22DF90A5" w:rsidRPr="006F5E1D">
                  <w:rPr>
                    <w:rStyle w:val="Textedelespacerserv"/>
                    <w:lang w:val="en-US"/>
                  </w:rPr>
                  <w:t xml:space="preserve">     </w:t>
                </w:r>
              </w:sdtContent>
            </w:sdt>
            <w:proofErr w:type="spellStart"/>
            <w:r w:rsidR="15DEB970" w:rsidRPr="5D8904BE">
              <w:rPr>
                <w:b/>
                <w:bCs/>
                <w:color w:val="000000" w:themeColor="text1"/>
                <w:sz w:val="16"/>
                <w:szCs w:val="16"/>
                <w:lang w:val="en-US"/>
              </w:rPr>
              <w:t>X</w:t>
            </w:r>
            <w:r w:rsidR="352EB93F" w:rsidRPr="5D8904BE">
              <w:rPr>
                <w:b/>
                <w:bCs/>
                <w:color w:val="000000" w:themeColor="text1"/>
                <w:sz w:val="16"/>
                <w:szCs w:val="16"/>
                <w:lang w:val="en-US"/>
              </w:rPr>
              <w:t>Strengthen</w:t>
            </w:r>
            <w:proofErr w:type="spellEnd"/>
            <w:r w:rsidR="352EB93F" w:rsidRPr="5D8904BE">
              <w:rPr>
                <w:b/>
                <w:bCs/>
                <w:color w:val="000000" w:themeColor="text1"/>
                <w:sz w:val="16"/>
                <w:szCs w:val="16"/>
                <w:lang w:val="en-US"/>
              </w:rPr>
              <w:t xml:space="preserve"> institutional capacity and decision-making</w:t>
            </w:r>
          </w:p>
        </w:tc>
        <w:tc>
          <w:tcPr>
            <w:tcW w:w="2541" w:type="dxa"/>
            <w:tcBorders>
              <w:top w:val="nil"/>
              <w:left w:val="nil"/>
              <w:bottom w:val="single" w:sz="4" w:space="0" w:color="000000" w:themeColor="text1"/>
              <w:right w:val="single" w:sz="4" w:space="0" w:color="000000" w:themeColor="text1"/>
            </w:tcBorders>
          </w:tcPr>
          <w:p w14:paraId="0000154E"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54F"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r>
      <w:tr w:rsidR="004F7DB3" w:rsidRPr="004A3EAF" w14:paraId="27533EF8" w14:textId="77777777" w:rsidTr="5D8904BE">
        <w:trPr>
          <w:trHeight w:val="89"/>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50"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551" w14:textId="1B4746C9" w:rsidR="004F7DB3" w:rsidRPr="006B3FCE" w:rsidRDefault="00000000" w:rsidP="24AA8F7E">
            <w:pPr>
              <w:spacing w:after="0" w:line="240" w:lineRule="auto"/>
              <w:ind w:left="204" w:hanging="204"/>
              <w:jc w:val="both"/>
              <w:rPr>
                <w:b/>
                <w:bCs/>
                <w:color w:val="000000"/>
                <w:sz w:val="16"/>
                <w:szCs w:val="16"/>
                <w:lang w:val="en-US"/>
              </w:rPr>
            </w:pPr>
            <w:sdt>
              <w:sdtPr>
                <w:tag w:val="goog_rdk_18"/>
                <w:id w:val="1677843649"/>
              </w:sdtPr>
              <w:sdtContent>
                <w:proofErr w:type="spellStart"/>
                <w:r w:rsidR="03FE98FA" w:rsidRPr="006B3FCE">
                  <w:rPr>
                    <w:rFonts w:ascii="Arial Unicode MS" w:eastAsia="Arial Unicode MS" w:hAnsi="Arial Unicode MS" w:cs="Arial Unicode MS"/>
                    <w:color w:val="000000"/>
                    <w:sz w:val="16"/>
                    <w:szCs w:val="16"/>
                    <w:shd w:val="clear" w:color="auto" w:fill="E6E6E6"/>
                    <w:lang w:val="en-US"/>
                  </w:rPr>
                  <w:t>X</w:t>
                </w:r>
              </w:sdtContent>
            </w:sdt>
            <w:r w:rsidR="352EB93F" w:rsidRPr="006B3FCE">
              <w:rPr>
                <w:b/>
                <w:bCs/>
                <w:color w:val="000000"/>
                <w:sz w:val="16"/>
                <w:szCs w:val="16"/>
                <w:lang w:val="en-US"/>
              </w:rPr>
              <w:t>Convene</w:t>
            </w:r>
            <w:proofErr w:type="spellEnd"/>
            <w:r w:rsidR="352EB93F" w:rsidRPr="006B3FCE">
              <w:rPr>
                <w:b/>
                <w:bCs/>
                <w:color w:val="000000"/>
                <w:sz w:val="16"/>
                <w:szCs w:val="16"/>
                <w:lang w:val="en-US"/>
              </w:rPr>
              <w:t xml:space="preserve"> multi-stakeholder alliances</w:t>
            </w:r>
          </w:p>
        </w:tc>
        <w:tc>
          <w:tcPr>
            <w:tcW w:w="2541" w:type="dxa"/>
            <w:tcBorders>
              <w:top w:val="nil"/>
              <w:left w:val="nil"/>
              <w:bottom w:val="single" w:sz="4" w:space="0" w:color="000000" w:themeColor="text1"/>
              <w:right w:val="single" w:sz="4" w:space="0" w:color="000000" w:themeColor="text1"/>
            </w:tcBorders>
          </w:tcPr>
          <w:p w14:paraId="00001552" w14:textId="77777777" w:rsidR="004F7DB3" w:rsidRPr="006B3FCE" w:rsidRDefault="00C00123">
            <w:pPr>
              <w:spacing w:after="0" w:line="240" w:lineRule="auto"/>
              <w:jc w:val="both"/>
              <w:rPr>
                <w:color w:val="000000"/>
                <w:sz w:val="16"/>
                <w:szCs w:val="16"/>
                <w:lang w:val="en-US"/>
              </w:rPr>
            </w:pPr>
            <w:r w:rsidRPr="006B3FCE">
              <w:rPr>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vAlign w:val="bottom"/>
          </w:tcPr>
          <w:p w14:paraId="00001553" w14:textId="77777777" w:rsidR="004F7DB3" w:rsidRPr="006B3FCE" w:rsidRDefault="00C00123">
            <w:pPr>
              <w:spacing w:after="0" w:line="240" w:lineRule="auto"/>
              <w:jc w:val="both"/>
              <w:rPr>
                <w:color w:val="000000"/>
                <w:sz w:val="16"/>
                <w:szCs w:val="16"/>
                <w:lang w:val="en-US"/>
              </w:rPr>
            </w:pPr>
            <w:r w:rsidRPr="006B3FCE">
              <w:rPr>
                <w:color w:val="000000"/>
                <w:sz w:val="16"/>
                <w:szCs w:val="16"/>
                <w:lang w:val="en-US"/>
              </w:rPr>
              <w:t> </w:t>
            </w:r>
          </w:p>
        </w:tc>
      </w:tr>
      <w:tr w:rsidR="004F7DB3" w14:paraId="6BF63A02" w14:textId="77777777" w:rsidTr="5D8904BE">
        <w:trPr>
          <w:trHeight w:val="323"/>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54" w14:textId="77777777" w:rsidR="004F7DB3" w:rsidRPr="006B3FCE" w:rsidRDefault="00C00123">
            <w:pPr>
              <w:spacing w:after="0" w:line="240" w:lineRule="auto"/>
              <w:jc w:val="both"/>
              <w:rPr>
                <w:b/>
                <w:color w:val="000000"/>
                <w:sz w:val="16"/>
                <w:szCs w:val="16"/>
                <w:lang w:val="en-US"/>
              </w:rPr>
            </w:pPr>
            <w:r w:rsidRPr="006B3FCE">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555" w14:textId="6945A555" w:rsidR="004F7DB3" w:rsidRDefault="00000000" w:rsidP="24AA8F7E">
            <w:pPr>
              <w:spacing w:after="0" w:line="240" w:lineRule="auto"/>
              <w:ind w:left="114" w:hanging="114"/>
              <w:jc w:val="both"/>
              <w:rPr>
                <w:b/>
                <w:bCs/>
                <w:color w:val="000000"/>
                <w:sz w:val="16"/>
                <w:szCs w:val="16"/>
              </w:rPr>
            </w:pPr>
            <w:sdt>
              <w:sdtPr>
                <w:tag w:val="goog_rdk_19"/>
                <w:id w:val="2135357062"/>
              </w:sdtPr>
              <w:sdtContent>
                <w:proofErr w:type="spellStart"/>
                <w:r w:rsidR="49F95292">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Demonstrate</w:t>
            </w:r>
            <w:proofErr w:type="spellEnd"/>
            <w:r w:rsidR="352EB93F" w:rsidRPr="24AA8F7E">
              <w:rPr>
                <w:b/>
                <w:bCs/>
                <w:color w:val="000000"/>
                <w:sz w:val="16"/>
                <w:szCs w:val="16"/>
              </w:rPr>
              <w:t xml:space="preserve"> innovative </w:t>
            </w:r>
            <w:proofErr w:type="spellStart"/>
            <w:r w:rsidR="352EB93F" w:rsidRPr="24AA8F7E">
              <w:rPr>
                <w:b/>
                <w:bCs/>
                <w:color w:val="000000"/>
                <w:sz w:val="16"/>
                <w:szCs w:val="16"/>
              </w:rPr>
              <w:t>approaches</w:t>
            </w:r>
            <w:proofErr w:type="spellEnd"/>
          </w:p>
        </w:tc>
        <w:tc>
          <w:tcPr>
            <w:tcW w:w="2541" w:type="dxa"/>
            <w:tcBorders>
              <w:top w:val="nil"/>
              <w:left w:val="nil"/>
              <w:bottom w:val="single" w:sz="4" w:space="0" w:color="000000" w:themeColor="text1"/>
              <w:right w:val="single" w:sz="4" w:space="0" w:color="000000" w:themeColor="text1"/>
            </w:tcBorders>
          </w:tcPr>
          <w:p w14:paraId="0000155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557" w14:textId="77777777" w:rsidR="004F7DB3" w:rsidRDefault="00C00123">
            <w:pPr>
              <w:spacing w:after="0" w:line="240" w:lineRule="auto"/>
              <w:jc w:val="both"/>
              <w:rPr>
                <w:color w:val="000000"/>
                <w:sz w:val="16"/>
                <w:szCs w:val="16"/>
              </w:rPr>
            </w:pPr>
            <w:r>
              <w:rPr>
                <w:color w:val="000000"/>
                <w:sz w:val="16"/>
                <w:szCs w:val="16"/>
              </w:rPr>
              <w:t> </w:t>
            </w:r>
          </w:p>
        </w:tc>
      </w:tr>
      <w:tr w:rsidR="004F7DB3" w14:paraId="189CBBF3" w14:textId="77777777" w:rsidTr="5D8904BE">
        <w:trPr>
          <w:trHeight w:val="315"/>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5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59" w14:textId="77777777" w:rsidR="004F7DB3" w:rsidRDefault="00000000" w:rsidP="5D8904BE">
            <w:pPr>
              <w:spacing w:after="0" w:line="240" w:lineRule="auto"/>
              <w:ind w:left="114" w:hanging="114"/>
              <w:jc w:val="both"/>
              <w:rPr>
                <w:b/>
                <w:bCs/>
                <w:color w:val="000000"/>
                <w:sz w:val="16"/>
                <w:szCs w:val="16"/>
              </w:rPr>
            </w:pPr>
            <w:sdt>
              <w:sdtPr>
                <w:tag w:val="goog_rdk_20"/>
                <w:id w:val="-1070107977"/>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sidRPr="5D8904BE">
              <w:rPr>
                <w:b/>
                <w:bCs/>
                <w:color w:val="000000"/>
                <w:sz w:val="16"/>
                <w:szCs w:val="16"/>
              </w:rPr>
              <w:t>Deploy</w:t>
            </w:r>
            <w:proofErr w:type="spellEnd"/>
            <w:r w:rsidR="552CE4D7" w:rsidRPr="5D8904BE">
              <w:rPr>
                <w:b/>
                <w:bCs/>
                <w:color w:val="000000"/>
                <w:sz w:val="16"/>
                <w:szCs w:val="16"/>
              </w:rPr>
              <w:t xml:space="preserve"> innovative </w:t>
            </w:r>
            <w:proofErr w:type="spellStart"/>
            <w:r w:rsidR="552CE4D7" w:rsidRPr="5D8904BE">
              <w:rPr>
                <w:b/>
                <w:bCs/>
                <w:color w:val="000000"/>
                <w:sz w:val="16"/>
                <w:szCs w:val="16"/>
              </w:rPr>
              <w:t>financial</w:t>
            </w:r>
            <w:proofErr w:type="spellEnd"/>
            <w:r w:rsidR="552CE4D7" w:rsidRPr="5D8904BE">
              <w:rPr>
                <w:b/>
                <w:bCs/>
                <w:color w:val="000000"/>
                <w:sz w:val="16"/>
                <w:szCs w:val="16"/>
              </w:rPr>
              <w:t xml:space="preserve"> instruments</w:t>
            </w:r>
          </w:p>
        </w:tc>
        <w:tc>
          <w:tcPr>
            <w:tcW w:w="2541" w:type="dxa"/>
            <w:tcBorders>
              <w:top w:val="nil"/>
              <w:left w:val="nil"/>
              <w:bottom w:val="single" w:sz="4" w:space="0" w:color="000000" w:themeColor="text1"/>
              <w:right w:val="single" w:sz="4" w:space="0" w:color="000000" w:themeColor="text1"/>
            </w:tcBorders>
          </w:tcPr>
          <w:p w14:paraId="0000155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55B" w14:textId="77777777" w:rsidR="004F7DB3" w:rsidRDefault="00C00123">
            <w:pPr>
              <w:spacing w:after="0" w:line="240" w:lineRule="auto"/>
              <w:jc w:val="both"/>
              <w:rPr>
                <w:color w:val="000000"/>
                <w:sz w:val="16"/>
                <w:szCs w:val="16"/>
              </w:rPr>
            </w:pPr>
            <w:r>
              <w:rPr>
                <w:color w:val="000000"/>
                <w:sz w:val="16"/>
                <w:szCs w:val="16"/>
              </w:rPr>
              <w:t> </w:t>
            </w:r>
          </w:p>
        </w:tc>
      </w:tr>
      <w:tr w:rsidR="004F7DB3" w14:paraId="0D6EDA1D" w14:textId="77777777" w:rsidTr="5D8904BE">
        <w:trPr>
          <w:trHeight w:val="188"/>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5C" w14:textId="2DB009BF" w:rsidR="004F7DB3" w:rsidRDefault="00000000" w:rsidP="24AA8F7E">
            <w:pPr>
              <w:spacing w:after="0" w:line="240" w:lineRule="auto"/>
              <w:jc w:val="both"/>
              <w:rPr>
                <w:b/>
                <w:bCs/>
                <w:color w:val="000000"/>
                <w:sz w:val="16"/>
                <w:szCs w:val="16"/>
              </w:rPr>
            </w:pPr>
            <w:sdt>
              <w:sdtPr>
                <w:tag w:val="goog_rdk_21"/>
                <w:id w:val="-1614433858"/>
              </w:sdtPr>
              <w:sdtContent>
                <w:proofErr w:type="spellStart"/>
                <w:r w:rsidR="2C90A707">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Stakeholders</w:t>
            </w:r>
            <w:proofErr w:type="spellEnd"/>
          </w:p>
        </w:tc>
        <w:tc>
          <w:tcPr>
            <w:tcW w:w="3286" w:type="dxa"/>
            <w:tcBorders>
              <w:top w:val="nil"/>
              <w:left w:val="nil"/>
              <w:bottom w:val="single" w:sz="4" w:space="0" w:color="000000" w:themeColor="text1"/>
              <w:right w:val="single" w:sz="4" w:space="0" w:color="000000" w:themeColor="text1"/>
            </w:tcBorders>
          </w:tcPr>
          <w:p w14:paraId="0000155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55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55F" w14:textId="77777777" w:rsidR="004F7DB3" w:rsidRDefault="00C00123">
            <w:pPr>
              <w:spacing w:after="0" w:line="240" w:lineRule="auto"/>
              <w:jc w:val="both"/>
              <w:rPr>
                <w:color w:val="000000"/>
                <w:sz w:val="16"/>
                <w:szCs w:val="16"/>
              </w:rPr>
            </w:pPr>
            <w:r>
              <w:rPr>
                <w:color w:val="000000"/>
                <w:sz w:val="16"/>
                <w:szCs w:val="16"/>
              </w:rPr>
              <w:t> </w:t>
            </w:r>
          </w:p>
        </w:tc>
      </w:tr>
      <w:tr w:rsidR="004F7DB3" w14:paraId="3A49FEB5" w14:textId="77777777" w:rsidTr="5D8904BE">
        <w:trPr>
          <w:trHeight w:val="161"/>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6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61" w14:textId="4AEEB100" w:rsidR="004F7DB3" w:rsidRDefault="00000000" w:rsidP="24AA8F7E">
            <w:pPr>
              <w:spacing w:after="0" w:line="240" w:lineRule="auto"/>
              <w:jc w:val="both"/>
              <w:rPr>
                <w:b/>
                <w:bCs/>
                <w:color w:val="000000"/>
                <w:sz w:val="16"/>
                <w:szCs w:val="16"/>
              </w:rPr>
            </w:pPr>
            <w:sdt>
              <w:sdtPr>
                <w:tag w:val="goog_rdk_22"/>
                <w:id w:val="-513603455"/>
                <w:showingPlcHdr/>
              </w:sdtPr>
              <w:sdtContent>
                <w:r w:rsidR="22DF90A5" w:rsidRPr="5D8904BE">
                  <w:rPr>
                    <w:rStyle w:val="Textedelespacerserv"/>
                  </w:rPr>
                  <w:t xml:space="preserve">     </w:t>
                </w:r>
              </w:sdtContent>
            </w:sdt>
            <w:proofErr w:type="spellStart"/>
            <w:r w:rsidR="0D7DE007" w:rsidRPr="5D8904BE">
              <w:rPr>
                <w:b/>
                <w:bCs/>
                <w:color w:val="000000" w:themeColor="text1"/>
                <w:sz w:val="16"/>
                <w:szCs w:val="16"/>
              </w:rPr>
              <w:t>X</w:t>
            </w:r>
            <w:r w:rsidR="352EB93F" w:rsidRPr="5D8904BE">
              <w:rPr>
                <w:b/>
                <w:bCs/>
                <w:color w:val="000000" w:themeColor="text1"/>
                <w:sz w:val="16"/>
                <w:szCs w:val="16"/>
              </w:rPr>
              <w:t>ndigenous</w:t>
            </w:r>
            <w:proofErr w:type="spellEnd"/>
            <w:r w:rsidR="352EB93F" w:rsidRPr="5D8904BE">
              <w:rPr>
                <w:b/>
                <w:bCs/>
                <w:color w:val="000000" w:themeColor="text1"/>
                <w:sz w:val="16"/>
                <w:szCs w:val="16"/>
              </w:rPr>
              <w:t xml:space="preserve"> Peoples </w:t>
            </w:r>
          </w:p>
        </w:tc>
        <w:tc>
          <w:tcPr>
            <w:tcW w:w="2541" w:type="dxa"/>
            <w:tcBorders>
              <w:top w:val="nil"/>
              <w:left w:val="nil"/>
              <w:bottom w:val="single" w:sz="4" w:space="0" w:color="000000" w:themeColor="text1"/>
              <w:right w:val="single" w:sz="4" w:space="0" w:color="000000" w:themeColor="text1"/>
            </w:tcBorders>
          </w:tcPr>
          <w:p w14:paraId="0000156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563" w14:textId="77777777" w:rsidR="004F7DB3" w:rsidRDefault="00C00123">
            <w:pPr>
              <w:spacing w:after="0" w:line="240" w:lineRule="auto"/>
              <w:jc w:val="both"/>
              <w:rPr>
                <w:color w:val="000000"/>
                <w:sz w:val="16"/>
                <w:szCs w:val="16"/>
              </w:rPr>
            </w:pPr>
            <w:r>
              <w:rPr>
                <w:color w:val="000000"/>
                <w:sz w:val="16"/>
                <w:szCs w:val="16"/>
              </w:rPr>
              <w:t> </w:t>
            </w:r>
          </w:p>
        </w:tc>
      </w:tr>
      <w:tr w:rsidR="004F7DB3" w14:paraId="3FB169F2" w14:textId="77777777" w:rsidTr="5D8904BE">
        <w:trPr>
          <w:trHeight w:val="152"/>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6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65" w14:textId="49AE9AA3" w:rsidR="004F7DB3" w:rsidRDefault="00000000" w:rsidP="24AA8F7E">
            <w:pPr>
              <w:spacing w:after="0" w:line="240" w:lineRule="auto"/>
              <w:jc w:val="both"/>
              <w:rPr>
                <w:b/>
                <w:bCs/>
                <w:color w:val="000000"/>
                <w:sz w:val="16"/>
                <w:szCs w:val="16"/>
              </w:rPr>
            </w:pPr>
            <w:sdt>
              <w:sdtPr>
                <w:tag w:val="goog_rdk_23"/>
                <w:id w:val="-2022074102"/>
              </w:sdtPr>
              <w:sdtContent>
                <w:proofErr w:type="spellStart"/>
                <w:r w:rsidR="1881C000">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Private</w:t>
            </w:r>
            <w:proofErr w:type="spellEnd"/>
            <w:r w:rsidR="352EB93F" w:rsidRPr="24AA8F7E">
              <w:rPr>
                <w:b/>
                <w:bCs/>
                <w:color w:val="000000"/>
                <w:sz w:val="16"/>
                <w:szCs w:val="16"/>
              </w:rPr>
              <w:t xml:space="preserve"> </w:t>
            </w:r>
            <w:proofErr w:type="spellStart"/>
            <w:r w:rsidR="352EB93F" w:rsidRPr="24AA8F7E">
              <w:rPr>
                <w:b/>
                <w:bCs/>
                <w:color w:val="000000"/>
                <w:sz w:val="16"/>
                <w:szCs w:val="16"/>
              </w:rPr>
              <w:t>Sector</w:t>
            </w:r>
            <w:proofErr w:type="spellEnd"/>
          </w:p>
        </w:tc>
        <w:tc>
          <w:tcPr>
            <w:tcW w:w="2541" w:type="dxa"/>
            <w:tcBorders>
              <w:top w:val="nil"/>
              <w:left w:val="nil"/>
              <w:bottom w:val="single" w:sz="4" w:space="0" w:color="000000" w:themeColor="text1"/>
              <w:right w:val="single" w:sz="4" w:space="0" w:color="000000" w:themeColor="text1"/>
            </w:tcBorders>
          </w:tcPr>
          <w:p w14:paraId="0000156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567" w14:textId="77777777" w:rsidR="004F7DB3" w:rsidRDefault="00C00123">
            <w:pPr>
              <w:spacing w:after="0" w:line="240" w:lineRule="auto"/>
              <w:jc w:val="both"/>
              <w:rPr>
                <w:color w:val="000000"/>
                <w:sz w:val="16"/>
                <w:szCs w:val="16"/>
              </w:rPr>
            </w:pPr>
            <w:r>
              <w:rPr>
                <w:color w:val="000000"/>
                <w:sz w:val="16"/>
                <w:szCs w:val="16"/>
              </w:rPr>
              <w:t> </w:t>
            </w:r>
          </w:p>
        </w:tc>
      </w:tr>
      <w:tr w:rsidR="004F7DB3" w14:paraId="1A75780A"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6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6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single" w:sz="4" w:space="0" w:color="000000" w:themeColor="text1"/>
              <w:left w:val="nil"/>
              <w:bottom w:val="single" w:sz="4" w:space="0" w:color="000000" w:themeColor="text1"/>
              <w:right w:val="single" w:sz="4" w:space="0" w:color="000000" w:themeColor="text1"/>
            </w:tcBorders>
          </w:tcPr>
          <w:p w14:paraId="0000156A" w14:textId="77777777" w:rsidR="004F7DB3" w:rsidRDefault="00000000">
            <w:pPr>
              <w:spacing w:after="0" w:line="240" w:lineRule="auto"/>
              <w:jc w:val="both"/>
              <w:rPr>
                <w:color w:val="000000"/>
                <w:sz w:val="16"/>
                <w:szCs w:val="16"/>
              </w:rPr>
            </w:pPr>
            <w:sdt>
              <w:sdtPr>
                <w:tag w:val="goog_rdk_24"/>
                <w:id w:val="678704789"/>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Capital providers</w:t>
            </w:r>
          </w:p>
        </w:tc>
        <w:tc>
          <w:tcPr>
            <w:tcW w:w="2751" w:type="dxa"/>
            <w:tcBorders>
              <w:top w:val="single" w:sz="4" w:space="0" w:color="000000" w:themeColor="text1"/>
              <w:left w:val="nil"/>
              <w:bottom w:val="single" w:sz="4" w:space="0" w:color="000000" w:themeColor="text1"/>
              <w:right w:val="single" w:sz="4" w:space="0" w:color="000000" w:themeColor="text1"/>
            </w:tcBorders>
          </w:tcPr>
          <w:p w14:paraId="0000156B" w14:textId="77777777" w:rsidR="004F7DB3" w:rsidRDefault="00C00123">
            <w:pPr>
              <w:spacing w:after="0" w:line="240" w:lineRule="auto"/>
              <w:jc w:val="both"/>
              <w:rPr>
                <w:color w:val="000000"/>
                <w:sz w:val="16"/>
                <w:szCs w:val="16"/>
              </w:rPr>
            </w:pPr>
            <w:r>
              <w:rPr>
                <w:color w:val="000000"/>
                <w:sz w:val="16"/>
                <w:szCs w:val="16"/>
              </w:rPr>
              <w:t> </w:t>
            </w:r>
          </w:p>
        </w:tc>
      </w:tr>
      <w:tr w:rsidR="004F7DB3" w:rsidRPr="00F50786" w14:paraId="2A0AABF4" w14:textId="77777777" w:rsidTr="5D8904BE">
        <w:trPr>
          <w:trHeight w:val="179"/>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6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6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single" w:sz="4" w:space="0" w:color="000000" w:themeColor="text1"/>
              <w:left w:val="nil"/>
              <w:bottom w:val="single" w:sz="4" w:space="0" w:color="000000" w:themeColor="text1"/>
              <w:right w:val="single" w:sz="4" w:space="0" w:color="000000" w:themeColor="text1"/>
            </w:tcBorders>
          </w:tcPr>
          <w:p w14:paraId="0000156E" w14:textId="4CC383D7" w:rsidR="004F7DB3" w:rsidRPr="00C00123" w:rsidRDefault="00000000">
            <w:pPr>
              <w:spacing w:after="0" w:line="240" w:lineRule="auto"/>
              <w:ind w:left="150" w:hanging="150"/>
              <w:jc w:val="both"/>
              <w:rPr>
                <w:color w:val="000000"/>
                <w:sz w:val="16"/>
                <w:szCs w:val="16"/>
                <w:lang w:val="en-US"/>
              </w:rPr>
            </w:pPr>
            <w:sdt>
              <w:sdtPr>
                <w:tag w:val="goog_rdk_25"/>
                <w:id w:val="1326787951"/>
              </w:sdtPr>
              <w:sdtContent>
                <w:proofErr w:type="spellStart"/>
                <w:r w:rsidR="140FF5B7" w:rsidRPr="00C00123">
                  <w:rPr>
                    <w:rFonts w:ascii="Arial Unicode MS" w:eastAsia="Arial Unicode MS" w:hAnsi="Arial Unicode MS" w:cs="Arial Unicode MS"/>
                    <w:color w:val="000000"/>
                    <w:sz w:val="16"/>
                    <w:szCs w:val="16"/>
                    <w:shd w:val="clear" w:color="auto" w:fill="E6E6E6"/>
                    <w:lang w:val="en-US"/>
                  </w:rPr>
                  <w:t>X</w:t>
                </w:r>
              </w:sdtContent>
            </w:sdt>
            <w:r w:rsidR="352EB93F" w:rsidRPr="00C00123">
              <w:rPr>
                <w:color w:val="000000"/>
                <w:sz w:val="16"/>
                <w:szCs w:val="16"/>
                <w:lang w:val="en-US"/>
              </w:rPr>
              <w:t>Financial</w:t>
            </w:r>
            <w:proofErr w:type="spellEnd"/>
            <w:r w:rsidR="352EB93F" w:rsidRPr="00C00123">
              <w:rPr>
                <w:color w:val="000000"/>
                <w:sz w:val="16"/>
                <w:szCs w:val="16"/>
                <w:lang w:val="en-US"/>
              </w:rPr>
              <w:t xml:space="preserve"> intermediaries and market facilitators</w:t>
            </w:r>
          </w:p>
        </w:tc>
        <w:tc>
          <w:tcPr>
            <w:tcW w:w="2751" w:type="dxa"/>
            <w:tcBorders>
              <w:top w:val="single" w:sz="4" w:space="0" w:color="000000" w:themeColor="text1"/>
              <w:left w:val="nil"/>
              <w:bottom w:val="single" w:sz="4" w:space="0" w:color="000000" w:themeColor="text1"/>
              <w:right w:val="single" w:sz="4" w:space="0" w:color="000000" w:themeColor="text1"/>
            </w:tcBorders>
          </w:tcPr>
          <w:p w14:paraId="0000156F"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r>
      <w:tr w:rsidR="004F7DB3" w14:paraId="48D7F2C7" w14:textId="77777777" w:rsidTr="5D8904BE">
        <w:trPr>
          <w:trHeight w:val="197"/>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70"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571"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single" w:sz="4" w:space="0" w:color="000000" w:themeColor="text1"/>
              <w:left w:val="nil"/>
              <w:bottom w:val="single" w:sz="4" w:space="0" w:color="000000" w:themeColor="text1"/>
              <w:right w:val="single" w:sz="4" w:space="0" w:color="000000" w:themeColor="text1"/>
            </w:tcBorders>
          </w:tcPr>
          <w:p w14:paraId="00001572" w14:textId="77777777" w:rsidR="004F7DB3" w:rsidRDefault="00000000">
            <w:pPr>
              <w:spacing w:after="0" w:line="240" w:lineRule="auto"/>
              <w:jc w:val="both"/>
              <w:rPr>
                <w:color w:val="000000"/>
                <w:sz w:val="16"/>
                <w:szCs w:val="16"/>
              </w:rPr>
            </w:pPr>
            <w:sdt>
              <w:sdtPr>
                <w:tag w:val="goog_rdk_26"/>
                <w:id w:val="-320501154"/>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Large corporations</w:t>
            </w:r>
          </w:p>
        </w:tc>
        <w:tc>
          <w:tcPr>
            <w:tcW w:w="2751" w:type="dxa"/>
            <w:tcBorders>
              <w:top w:val="single" w:sz="4" w:space="0" w:color="000000" w:themeColor="text1"/>
              <w:left w:val="nil"/>
              <w:bottom w:val="single" w:sz="4" w:space="0" w:color="000000" w:themeColor="text1"/>
              <w:right w:val="single" w:sz="4" w:space="0" w:color="000000" w:themeColor="text1"/>
            </w:tcBorders>
          </w:tcPr>
          <w:p w14:paraId="00001573" w14:textId="77777777" w:rsidR="004F7DB3" w:rsidRDefault="00C00123">
            <w:pPr>
              <w:spacing w:after="0" w:line="240" w:lineRule="auto"/>
              <w:jc w:val="both"/>
              <w:rPr>
                <w:color w:val="000000"/>
                <w:sz w:val="16"/>
                <w:szCs w:val="16"/>
              </w:rPr>
            </w:pPr>
            <w:r>
              <w:rPr>
                <w:color w:val="000000"/>
                <w:sz w:val="16"/>
                <w:szCs w:val="16"/>
              </w:rPr>
              <w:t> </w:t>
            </w:r>
          </w:p>
        </w:tc>
      </w:tr>
      <w:tr w:rsidR="004F7DB3" w14:paraId="24E3C53E" w14:textId="77777777" w:rsidTr="5D8904BE">
        <w:trPr>
          <w:trHeight w:val="179"/>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7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7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single" w:sz="4" w:space="0" w:color="000000" w:themeColor="text1"/>
              <w:left w:val="nil"/>
              <w:bottom w:val="single" w:sz="4" w:space="0" w:color="000000" w:themeColor="text1"/>
              <w:right w:val="single" w:sz="4" w:space="0" w:color="000000" w:themeColor="text1"/>
            </w:tcBorders>
          </w:tcPr>
          <w:p w14:paraId="00001576" w14:textId="26DA906D" w:rsidR="004F7DB3" w:rsidRDefault="00000000">
            <w:pPr>
              <w:spacing w:after="0" w:line="240" w:lineRule="auto"/>
              <w:jc w:val="both"/>
              <w:rPr>
                <w:color w:val="000000"/>
                <w:sz w:val="16"/>
                <w:szCs w:val="16"/>
              </w:rPr>
            </w:pPr>
            <w:sdt>
              <w:sdtPr>
                <w:tag w:val="goog_rdk_27"/>
                <w:id w:val="1058207923"/>
                <w:showingPlcHdr/>
              </w:sdtPr>
              <w:sdtContent>
                <w:r w:rsidR="22DF90A5" w:rsidRPr="5D8904BE">
                  <w:rPr>
                    <w:rStyle w:val="Textedelespacerserv"/>
                  </w:rPr>
                  <w:t xml:space="preserve">     </w:t>
                </w:r>
              </w:sdtContent>
            </w:sdt>
            <w:r w:rsidR="7D73DECB" w:rsidRPr="5D8904BE">
              <w:rPr>
                <w:rFonts w:ascii="Arial Unicode MS" w:eastAsia="Arial Unicode MS" w:hAnsi="Arial Unicode MS" w:cs="Arial Unicode MS"/>
                <w:color w:val="000000" w:themeColor="text1"/>
                <w:sz w:val="16"/>
                <w:szCs w:val="16"/>
              </w:rPr>
              <w:t xml:space="preserve"> X</w:t>
            </w:r>
            <w:r w:rsidR="7D73DECB" w:rsidRPr="5D8904BE">
              <w:rPr>
                <w:color w:val="000000" w:themeColor="text1"/>
                <w:sz w:val="16"/>
                <w:szCs w:val="16"/>
              </w:rPr>
              <w:t xml:space="preserve"> </w:t>
            </w:r>
            <w:proofErr w:type="spellStart"/>
            <w:r w:rsidR="7FDE7063" w:rsidRPr="5D8904BE">
              <w:rPr>
                <w:color w:val="000000" w:themeColor="text1"/>
                <w:sz w:val="16"/>
                <w:szCs w:val="16"/>
              </w:rPr>
              <w:t>S</w:t>
            </w:r>
            <w:r w:rsidR="352EB93F" w:rsidRPr="5D8904BE">
              <w:rPr>
                <w:color w:val="000000" w:themeColor="text1"/>
                <w:sz w:val="16"/>
                <w:szCs w:val="16"/>
              </w:rPr>
              <w:t>MEs</w:t>
            </w:r>
            <w:proofErr w:type="spellEnd"/>
          </w:p>
        </w:tc>
        <w:tc>
          <w:tcPr>
            <w:tcW w:w="2751" w:type="dxa"/>
            <w:tcBorders>
              <w:top w:val="single" w:sz="4" w:space="0" w:color="000000" w:themeColor="text1"/>
              <w:left w:val="nil"/>
              <w:bottom w:val="single" w:sz="4" w:space="0" w:color="000000" w:themeColor="text1"/>
              <w:right w:val="single" w:sz="4" w:space="0" w:color="000000" w:themeColor="text1"/>
            </w:tcBorders>
          </w:tcPr>
          <w:p w14:paraId="00001577" w14:textId="77777777" w:rsidR="004F7DB3" w:rsidRDefault="00C00123">
            <w:pPr>
              <w:spacing w:after="0" w:line="240" w:lineRule="auto"/>
              <w:jc w:val="both"/>
              <w:rPr>
                <w:color w:val="000000"/>
                <w:sz w:val="16"/>
                <w:szCs w:val="16"/>
              </w:rPr>
            </w:pPr>
            <w:r>
              <w:rPr>
                <w:color w:val="000000"/>
                <w:sz w:val="16"/>
                <w:szCs w:val="16"/>
              </w:rPr>
              <w:t> </w:t>
            </w:r>
          </w:p>
        </w:tc>
      </w:tr>
      <w:tr w:rsidR="004F7DB3" w14:paraId="204BB334" w14:textId="77777777" w:rsidTr="5D8904BE">
        <w:trPr>
          <w:trHeight w:val="152"/>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7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7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single" w:sz="4" w:space="0" w:color="000000" w:themeColor="text1"/>
              <w:left w:val="nil"/>
              <w:bottom w:val="single" w:sz="4" w:space="0" w:color="000000" w:themeColor="text1"/>
              <w:right w:val="single" w:sz="4" w:space="0" w:color="000000" w:themeColor="text1"/>
            </w:tcBorders>
          </w:tcPr>
          <w:p w14:paraId="0000157A" w14:textId="0363F9E8" w:rsidR="004F7DB3" w:rsidRDefault="00000000">
            <w:pPr>
              <w:spacing w:after="0" w:line="240" w:lineRule="auto"/>
              <w:jc w:val="both"/>
              <w:rPr>
                <w:color w:val="000000"/>
                <w:sz w:val="16"/>
                <w:szCs w:val="16"/>
              </w:rPr>
            </w:pPr>
            <w:sdt>
              <w:sdtPr>
                <w:tag w:val="goog_rdk_28"/>
                <w:id w:val="-1574655901"/>
              </w:sdtPr>
              <w:sdtContent>
                <w:proofErr w:type="spellStart"/>
                <w:r w:rsidR="3A9DFFD1">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Individuals</w:t>
            </w:r>
            <w:proofErr w:type="spellEnd"/>
            <w:r w:rsidR="352EB93F">
              <w:rPr>
                <w:color w:val="000000"/>
                <w:sz w:val="16"/>
                <w:szCs w:val="16"/>
              </w:rPr>
              <w:t>/Entrepreneurs</w:t>
            </w:r>
          </w:p>
        </w:tc>
        <w:tc>
          <w:tcPr>
            <w:tcW w:w="2751" w:type="dxa"/>
            <w:tcBorders>
              <w:top w:val="single" w:sz="4" w:space="0" w:color="000000" w:themeColor="text1"/>
              <w:left w:val="nil"/>
              <w:bottom w:val="single" w:sz="4" w:space="0" w:color="000000" w:themeColor="text1"/>
              <w:right w:val="single" w:sz="4" w:space="0" w:color="000000" w:themeColor="text1"/>
            </w:tcBorders>
          </w:tcPr>
          <w:p w14:paraId="0000157B" w14:textId="77777777" w:rsidR="004F7DB3" w:rsidRDefault="00C00123">
            <w:pPr>
              <w:spacing w:after="0" w:line="240" w:lineRule="auto"/>
              <w:jc w:val="both"/>
              <w:rPr>
                <w:color w:val="000000"/>
                <w:sz w:val="16"/>
                <w:szCs w:val="16"/>
              </w:rPr>
            </w:pPr>
            <w:r>
              <w:rPr>
                <w:color w:val="000000"/>
                <w:sz w:val="16"/>
                <w:szCs w:val="16"/>
              </w:rPr>
              <w:t> </w:t>
            </w:r>
          </w:p>
        </w:tc>
      </w:tr>
      <w:tr w:rsidR="004F7DB3" w14:paraId="73279133"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7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7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single" w:sz="4" w:space="0" w:color="000000" w:themeColor="text1"/>
              <w:left w:val="single" w:sz="4" w:space="0" w:color="7F7F7F" w:themeColor="text1" w:themeTint="80"/>
              <w:bottom w:val="single" w:sz="4" w:space="0" w:color="000000" w:themeColor="text1"/>
              <w:right w:val="single" w:sz="4" w:space="0" w:color="000000" w:themeColor="text1"/>
            </w:tcBorders>
          </w:tcPr>
          <w:p w14:paraId="0000157E" w14:textId="77777777" w:rsidR="004F7DB3" w:rsidRDefault="00000000">
            <w:pPr>
              <w:spacing w:after="0" w:line="240" w:lineRule="auto"/>
              <w:jc w:val="both"/>
              <w:rPr>
                <w:color w:val="000000"/>
                <w:sz w:val="16"/>
                <w:szCs w:val="16"/>
              </w:rPr>
            </w:pPr>
            <w:sdt>
              <w:sdtPr>
                <w:tag w:val="goog_rdk_29"/>
                <w:id w:val="642552697"/>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Non-Grant Pilot</w:t>
            </w:r>
          </w:p>
        </w:tc>
        <w:tc>
          <w:tcPr>
            <w:tcW w:w="27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157F" w14:textId="77777777" w:rsidR="004F7DB3" w:rsidRDefault="00C00123">
            <w:pPr>
              <w:spacing w:after="0" w:line="240" w:lineRule="auto"/>
              <w:jc w:val="both"/>
              <w:rPr>
                <w:color w:val="000000"/>
                <w:sz w:val="16"/>
                <w:szCs w:val="16"/>
              </w:rPr>
            </w:pPr>
            <w:r>
              <w:rPr>
                <w:color w:val="000000"/>
                <w:sz w:val="16"/>
                <w:szCs w:val="16"/>
              </w:rPr>
              <w:t> </w:t>
            </w:r>
          </w:p>
        </w:tc>
      </w:tr>
      <w:tr w:rsidR="004F7DB3" w14:paraId="315F8017" w14:textId="77777777" w:rsidTr="5D8904BE">
        <w:trPr>
          <w:trHeight w:val="161"/>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8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8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single" w:sz="4" w:space="0" w:color="000000" w:themeColor="text1"/>
              <w:left w:val="single" w:sz="4" w:space="0" w:color="7F7F7F" w:themeColor="text1" w:themeTint="80"/>
              <w:bottom w:val="single" w:sz="4" w:space="0" w:color="000000" w:themeColor="text1"/>
              <w:right w:val="single" w:sz="4" w:space="0" w:color="000000" w:themeColor="text1"/>
            </w:tcBorders>
          </w:tcPr>
          <w:p w14:paraId="00001582" w14:textId="77777777" w:rsidR="004F7DB3" w:rsidRDefault="00000000">
            <w:pPr>
              <w:spacing w:after="0" w:line="240" w:lineRule="auto"/>
              <w:jc w:val="both"/>
              <w:rPr>
                <w:color w:val="000000"/>
                <w:sz w:val="16"/>
                <w:szCs w:val="16"/>
              </w:rPr>
            </w:pPr>
            <w:sdt>
              <w:sdtPr>
                <w:tag w:val="goog_rdk_30"/>
                <w:id w:val="-1611425093"/>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Project </w:t>
            </w:r>
            <w:proofErr w:type="spellStart"/>
            <w:r w:rsidR="552CE4D7">
              <w:rPr>
                <w:color w:val="000000"/>
                <w:sz w:val="16"/>
                <w:szCs w:val="16"/>
              </w:rPr>
              <w:t>Reflow</w:t>
            </w:r>
            <w:proofErr w:type="spellEnd"/>
          </w:p>
        </w:tc>
        <w:tc>
          <w:tcPr>
            <w:tcW w:w="27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1583" w14:textId="77777777" w:rsidR="004F7DB3" w:rsidRDefault="00C00123">
            <w:pPr>
              <w:spacing w:after="0" w:line="240" w:lineRule="auto"/>
              <w:jc w:val="both"/>
              <w:rPr>
                <w:color w:val="000000"/>
                <w:sz w:val="16"/>
                <w:szCs w:val="16"/>
              </w:rPr>
            </w:pPr>
            <w:r>
              <w:rPr>
                <w:color w:val="000000"/>
                <w:sz w:val="16"/>
                <w:szCs w:val="16"/>
              </w:rPr>
              <w:t> </w:t>
            </w:r>
          </w:p>
        </w:tc>
      </w:tr>
      <w:tr w:rsidR="004F7DB3" w14:paraId="556E7FBE"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8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85" w14:textId="770B8267" w:rsidR="004F7DB3" w:rsidRDefault="00000000" w:rsidP="24AA8F7E">
            <w:pPr>
              <w:spacing w:after="0" w:line="240" w:lineRule="auto"/>
              <w:jc w:val="both"/>
              <w:rPr>
                <w:b/>
                <w:bCs/>
                <w:color w:val="000000"/>
                <w:sz w:val="16"/>
                <w:szCs w:val="16"/>
              </w:rPr>
            </w:pPr>
            <w:sdt>
              <w:sdtPr>
                <w:tag w:val="goog_rdk_31"/>
                <w:id w:val="1870805452"/>
              </w:sdtPr>
              <w:sdtContent>
                <w:proofErr w:type="spellStart"/>
                <w:r w:rsidR="05D0F9A2">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Beneficiaries</w:t>
            </w:r>
            <w:proofErr w:type="spellEnd"/>
          </w:p>
        </w:tc>
        <w:tc>
          <w:tcPr>
            <w:tcW w:w="2541" w:type="dxa"/>
            <w:tcBorders>
              <w:top w:val="single" w:sz="4" w:space="0" w:color="000000" w:themeColor="text1"/>
              <w:left w:val="nil"/>
              <w:bottom w:val="single" w:sz="4" w:space="0" w:color="000000" w:themeColor="text1"/>
              <w:right w:val="single" w:sz="4" w:space="0" w:color="000000" w:themeColor="text1"/>
            </w:tcBorders>
          </w:tcPr>
          <w:p w14:paraId="0000158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single" w:sz="4" w:space="0" w:color="000000" w:themeColor="text1"/>
              <w:left w:val="nil"/>
              <w:bottom w:val="single" w:sz="4" w:space="0" w:color="000000" w:themeColor="text1"/>
              <w:right w:val="single" w:sz="4" w:space="0" w:color="000000" w:themeColor="text1"/>
            </w:tcBorders>
          </w:tcPr>
          <w:p w14:paraId="00001587" w14:textId="77777777" w:rsidR="004F7DB3" w:rsidRDefault="00C00123">
            <w:pPr>
              <w:spacing w:after="0" w:line="240" w:lineRule="auto"/>
              <w:jc w:val="both"/>
              <w:rPr>
                <w:color w:val="000000"/>
                <w:sz w:val="16"/>
                <w:szCs w:val="16"/>
              </w:rPr>
            </w:pPr>
            <w:r>
              <w:rPr>
                <w:color w:val="000000"/>
                <w:sz w:val="16"/>
                <w:szCs w:val="16"/>
              </w:rPr>
              <w:t> </w:t>
            </w:r>
          </w:p>
        </w:tc>
      </w:tr>
      <w:tr w:rsidR="004F7DB3" w14:paraId="004CCF7B" w14:textId="77777777" w:rsidTr="5D8904BE">
        <w:trPr>
          <w:trHeight w:val="161"/>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8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89" w14:textId="770715E6" w:rsidR="004F7DB3" w:rsidRDefault="00000000" w:rsidP="24AA8F7E">
            <w:pPr>
              <w:spacing w:after="0" w:line="240" w:lineRule="auto"/>
              <w:jc w:val="both"/>
              <w:rPr>
                <w:b/>
                <w:bCs/>
                <w:color w:val="000000"/>
                <w:sz w:val="16"/>
                <w:szCs w:val="16"/>
              </w:rPr>
            </w:pPr>
            <w:sdt>
              <w:sdtPr>
                <w:tag w:val="goog_rdk_32"/>
                <w:id w:val="374213541"/>
              </w:sdtPr>
              <w:sdtContent>
                <w:proofErr w:type="spellStart"/>
                <w:r w:rsidR="4E0F03F3">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Local</w:t>
            </w:r>
            <w:proofErr w:type="spellEnd"/>
            <w:r w:rsidR="352EB93F" w:rsidRPr="24AA8F7E">
              <w:rPr>
                <w:b/>
                <w:bCs/>
                <w:color w:val="000000"/>
                <w:sz w:val="16"/>
                <w:szCs w:val="16"/>
              </w:rPr>
              <w:t xml:space="preserve"> </w:t>
            </w:r>
            <w:proofErr w:type="spellStart"/>
            <w:r w:rsidR="352EB93F" w:rsidRPr="24AA8F7E">
              <w:rPr>
                <w:b/>
                <w:bCs/>
                <w:color w:val="000000"/>
                <w:sz w:val="16"/>
                <w:szCs w:val="16"/>
              </w:rPr>
              <w:t>Communities</w:t>
            </w:r>
            <w:proofErr w:type="spellEnd"/>
          </w:p>
        </w:tc>
        <w:tc>
          <w:tcPr>
            <w:tcW w:w="2541" w:type="dxa"/>
            <w:tcBorders>
              <w:top w:val="nil"/>
              <w:left w:val="nil"/>
              <w:bottom w:val="single" w:sz="4" w:space="0" w:color="000000" w:themeColor="text1"/>
              <w:right w:val="single" w:sz="4" w:space="0" w:color="000000" w:themeColor="text1"/>
            </w:tcBorders>
          </w:tcPr>
          <w:p w14:paraId="0000158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58B" w14:textId="77777777" w:rsidR="004F7DB3" w:rsidRDefault="00C00123">
            <w:pPr>
              <w:spacing w:after="0" w:line="240" w:lineRule="auto"/>
              <w:jc w:val="both"/>
              <w:rPr>
                <w:color w:val="000000"/>
                <w:sz w:val="16"/>
                <w:szCs w:val="16"/>
              </w:rPr>
            </w:pPr>
            <w:r>
              <w:rPr>
                <w:color w:val="000000"/>
                <w:sz w:val="16"/>
                <w:szCs w:val="16"/>
              </w:rPr>
              <w:t> </w:t>
            </w:r>
          </w:p>
        </w:tc>
      </w:tr>
      <w:tr w:rsidR="004F7DB3" w14:paraId="51C3A3CD"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8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8D" w14:textId="21C5C211" w:rsidR="004F7DB3" w:rsidRDefault="00000000" w:rsidP="24AA8F7E">
            <w:pPr>
              <w:spacing w:after="0" w:line="240" w:lineRule="auto"/>
              <w:jc w:val="both"/>
              <w:rPr>
                <w:b/>
                <w:bCs/>
                <w:color w:val="000000"/>
                <w:sz w:val="16"/>
                <w:szCs w:val="16"/>
              </w:rPr>
            </w:pPr>
            <w:sdt>
              <w:sdtPr>
                <w:tag w:val="goog_rdk_33"/>
                <w:id w:val="998306193"/>
              </w:sdtPr>
              <w:sdtContent>
                <w:proofErr w:type="spellStart"/>
                <w:r w:rsidR="5B83238F">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Civil</w:t>
            </w:r>
            <w:proofErr w:type="spellEnd"/>
            <w:r w:rsidR="352EB93F" w:rsidRPr="24AA8F7E">
              <w:rPr>
                <w:b/>
                <w:bCs/>
                <w:color w:val="000000"/>
                <w:sz w:val="16"/>
                <w:szCs w:val="16"/>
              </w:rPr>
              <w:t xml:space="preserve"> Society</w:t>
            </w:r>
          </w:p>
        </w:tc>
        <w:tc>
          <w:tcPr>
            <w:tcW w:w="2541" w:type="dxa"/>
            <w:tcBorders>
              <w:top w:val="nil"/>
              <w:left w:val="nil"/>
              <w:bottom w:val="single" w:sz="4" w:space="0" w:color="000000" w:themeColor="text1"/>
              <w:right w:val="single" w:sz="4" w:space="0" w:color="000000" w:themeColor="text1"/>
            </w:tcBorders>
          </w:tcPr>
          <w:p w14:paraId="0000158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58F" w14:textId="77777777" w:rsidR="004F7DB3" w:rsidRDefault="00C00123">
            <w:pPr>
              <w:spacing w:after="0" w:line="240" w:lineRule="auto"/>
              <w:jc w:val="both"/>
              <w:rPr>
                <w:color w:val="000000"/>
                <w:sz w:val="16"/>
                <w:szCs w:val="16"/>
              </w:rPr>
            </w:pPr>
            <w:r>
              <w:rPr>
                <w:color w:val="000000"/>
                <w:sz w:val="16"/>
                <w:szCs w:val="16"/>
              </w:rPr>
              <w:t> </w:t>
            </w:r>
          </w:p>
        </w:tc>
      </w:tr>
      <w:tr w:rsidR="004F7DB3" w14:paraId="586D3842"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9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9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592" w14:textId="138673B0" w:rsidR="004F7DB3" w:rsidRDefault="00000000">
            <w:pPr>
              <w:spacing w:after="0" w:line="240" w:lineRule="auto"/>
              <w:jc w:val="both"/>
              <w:rPr>
                <w:color w:val="000000"/>
                <w:sz w:val="16"/>
                <w:szCs w:val="16"/>
              </w:rPr>
            </w:pPr>
            <w:sdt>
              <w:sdtPr>
                <w:tag w:val="goog_rdk_34"/>
                <w:id w:val="-1293981973"/>
              </w:sdtPr>
              <w:sdtContent>
                <w:proofErr w:type="spellStart"/>
                <w:r w:rsidR="693A9E24">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Community</w:t>
            </w:r>
            <w:proofErr w:type="spellEnd"/>
            <w:r w:rsidR="352EB93F">
              <w:rPr>
                <w:color w:val="000000"/>
                <w:sz w:val="16"/>
                <w:szCs w:val="16"/>
              </w:rPr>
              <w:t xml:space="preserve"> </w:t>
            </w:r>
            <w:proofErr w:type="spellStart"/>
            <w:r w:rsidR="352EB93F">
              <w:rPr>
                <w:color w:val="000000"/>
                <w:sz w:val="16"/>
                <w:szCs w:val="16"/>
              </w:rPr>
              <w:t>Based</w:t>
            </w:r>
            <w:proofErr w:type="spellEnd"/>
            <w:r w:rsidR="352EB93F">
              <w:rPr>
                <w:color w:val="000000"/>
                <w:sz w:val="16"/>
                <w:szCs w:val="16"/>
              </w:rPr>
              <w:t xml:space="preserve"> </w:t>
            </w:r>
            <w:proofErr w:type="spellStart"/>
            <w:r w:rsidR="352EB93F">
              <w:rPr>
                <w:color w:val="000000"/>
                <w:sz w:val="16"/>
                <w:szCs w:val="16"/>
              </w:rPr>
              <w:t>Organization</w:t>
            </w:r>
            <w:proofErr w:type="spellEnd"/>
            <w:r w:rsidR="352EB93F">
              <w:rPr>
                <w:color w:val="000000"/>
                <w:sz w:val="16"/>
                <w:szCs w:val="16"/>
              </w:rPr>
              <w:t xml:space="preserve"> </w:t>
            </w:r>
          </w:p>
        </w:tc>
        <w:tc>
          <w:tcPr>
            <w:tcW w:w="2751" w:type="dxa"/>
            <w:tcBorders>
              <w:top w:val="nil"/>
              <w:left w:val="nil"/>
              <w:bottom w:val="single" w:sz="4" w:space="0" w:color="000000" w:themeColor="text1"/>
              <w:right w:val="single" w:sz="4" w:space="0" w:color="000000" w:themeColor="text1"/>
            </w:tcBorders>
          </w:tcPr>
          <w:p w14:paraId="00001593" w14:textId="77777777" w:rsidR="004F7DB3" w:rsidRDefault="00C00123">
            <w:pPr>
              <w:spacing w:after="0" w:line="240" w:lineRule="auto"/>
              <w:jc w:val="both"/>
              <w:rPr>
                <w:color w:val="000000"/>
                <w:sz w:val="16"/>
                <w:szCs w:val="16"/>
              </w:rPr>
            </w:pPr>
            <w:r>
              <w:rPr>
                <w:color w:val="000000"/>
                <w:sz w:val="16"/>
                <w:szCs w:val="16"/>
              </w:rPr>
              <w:t> </w:t>
            </w:r>
          </w:p>
        </w:tc>
      </w:tr>
      <w:tr w:rsidR="004F7DB3" w14:paraId="6DEC07D0"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9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9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596" w14:textId="7E4165A3" w:rsidR="004F7DB3" w:rsidRDefault="00000000">
            <w:pPr>
              <w:spacing w:after="0" w:line="240" w:lineRule="auto"/>
              <w:jc w:val="both"/>
              <w:rPr>
                <w:color w:val="000000"/>
                <w:sz w:val="16"/>
                <w:szCs w:val="16"/>
              </w:rPr>
            </w:pPr>
            <w:sdt>
              <w:sdtPr>
                <w:tag w:val="goog_rdk_35"/>
                <w:id w:val="-500738078"/>
              </w:sdtPr>
              <w:sdtContent>
                <w:proofErr w:type="spellStart"/>
                <w:r w:rsidR="14FAB852">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Non-Governmental</w:t>
            </w:r>
            <w:proofErr w:type="spellEnd"/>
            <w:r w:rsidR="352EB93F">
              <w:rPr>
                <w:color w:val="000000"/>
                <w:sz w:val="16"/>
                <w:szCs w:val="16"/>
              </w:rPr>
              <w:t xml:space="preserve"> </w:t>
            </w:r>
            <w:proofErr w:type="spellStart"/>
            <w:r w:rsidR="352EB93F">
              <w:rPr>
                <w:color w:val="000000"/>
                <w:sz w:val="16"/>
                <w:szCs w:val="16"/>
              </w:rPr>
              <w:t>Organization</w:t>
            </w:r>
            <w:proofErr w:type="spellEnd"/>
          </w:p>
        </w:tc>
        <w:tc>
          <w:tcPr>
            <w:tcW w:w="2751" w:type="dxa"/>
            <w:tcBorders>
              <w:top w:val="nil"/>
              <w:left w:val="nil"/>
              <w:bottom w:val="single" w:sz="4" w:space="0" w:color="000000" w:themeColor="text1"/>
              <w:right w:val="single" w:sz="4" w:space="0" w:color="000000" w:themeColor="text1"/>
            </w:tcBorders>
          </w:tcPr>
          <w:p w14:paraId="00001597" w14:textId="77777777" w:rsidR="004F7DB3" w:rsidRDefault="00C00123">
            <w:pPr>
              <w:spacing w:after="0" w:line="240" w:lineRule="auto"/>
              <w:jc w:val="both"/>
              <w:rPr>
                <w:color w:val="000000"/>
                <w:sz w:val="16"/>
                <w:szCs w:val="16"/>
              </w:rPr>
            </w:pPr>
            <w:r>
              <w:rPr>
                <w:color w:val="000000"/>
                <w:sz w:val="16"/>
                <w:szCs w:val="16"/>
              </w:rPr>
              <w:t> </w:t>
            </w:r>
          </w:p>
        </w:tc>
      </w:tr>
      <w:tr w:rsidR="004F7DB3" w14:paraId="6DA9935F"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9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9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59A" w14:textId="0EECE604" w:rsidR="004F7DB3" w:rsidRDefault="00000000">
            <w:pPr>
              <w:spacing w:after="0" w:line="240" w:lineRule="auto"/>
              <w:jc w:val="both"/>
              <w:rPr>
                <w:color w:val="000000"/>
                <w:sz w:val="16"/>
                <w:szCs w:val="16"/>
              </w:rPr>
            </w:pPr>
            <w:sdt>
              <w:sdtPr>
                <w:tag w:val="goog_rdk_36"/>
                <w:id w:val="636068570"/>
              </w:sdtPr>
              <w:sdtContent>
                <w:proofErr w:type="spellStart"/>
                <w:r w:rsidR="7D43459B">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Academia</w:t>
            </w:r>
            <w:proofErr w:type="spellEnd"/>
          </w:p>
        </w:tc>
        <w:tc>
          <w:tcPr>
            <w:tcW w:w="2751" w:type="dxa"/>
            <w:tcBorders>
              <w:top w:val="nil"/>
              <w:left w:val="nil"/>
              <w:bottom w:val="single" w:sz="4" w:space="0" w:color="000000" w:themeColor="text1"/>
              <w:right w:val="single" w:sz="4" w:space="0" w:color="000000" w:themeColor="text1"/>
            </w:tcBorders>
          </w:tcPr>
          <w:p w14:paraId="0000159B" w14:textId="77777777" w:rsidR="004F7DB3" w:rsidRDefault="00C00123">
            <w:pPr>
              <w:spacing w:after="0" w:line="240" w:lineRule="auto"/>
              <w:jc w:val="both"/>
              <w:rPr>
                <w:color w:val="000000"/>
                <w:sz w:val="16"/>
                <w:szCs w:val="16"/>
              </w:rPr>
            </w:pPr>
            <w:r>
              <w:rPr>
                <w:color w:val="000000"/>
                <w:sz w:val="16"/>
                <w:szCs w:val="16"/>
              </w:rPr>
              <w:t> </w:t>
            </w:r>
          </w:p>
        </w:tc>
      </w:tr>
      <w:tr w:rsidR="004F7DB3" w:rsidRPr="00F50786" w14:paraId="61BE126D" w14:textId="77777777" w:rsidTr="5D8904BE">
        <w:trPr>
          <w:trHeight w:val="71"/>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9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9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59E" w14:textId="258C8BFD" w:rsidR="004F7DB3" w:rsidRPr="00C00123" w:rsidRDefault="00000000">
            <w:pPr>
              <w:spacing w:after="0" w:line="240" w:lineRule="auto"/>
              <w:ind w:left="150" w:hanging="150"/>
              <w:jc w:val="both"/>
              <w:rPr>
                <w:color w:val="000000"/>
                <w:sz w:val="16"/>
                <w:szCs w:val="16"/>
                <w:lang w:val="en-US"/>
              </w:rPr>
            </w:pPr>
            <w:sdt>
              <w:sdtPr>
                <w:tag w:val="goog_rdk_37"/>
                <w:id w:val="990900031"/>
              </w:sdtPr>
              <w:sdtContent>
                <w:proofErr w:type="spellStart"/>
                <w:r w:rsidR="678A30DE" w:rsidRPr="00C00123">
                  <w:rPr>
                    <w:rFonts w:ascii="Arial Unicode MS" w:eastAsia="Arial Unicode MS" w:hAnsi="Arial Unicode MS" w:cs="Arial Unicode MS"/>
                    <w:color w:val="000000"/>
                    <w:sz w:val="16"/>
                    <w:szCs w:val="16"/>
                    <w:shd w:val="clear" w:color="auto" w:fill="E6E6E6"/>
                    <w:lang w:val="en-US"/>
                  </w:rPr>
                  <w:t>X</w:t>
                </w:r>
              </w:sdtContent>
            </w:sdt>
            <w:r w:rsidR="352EB93F" w:rsidRPr="00C00123">
              <w:rPr>
                <w:color w:val="000000"/>
                <w:sz w:val="16"/>
                <w:szCs w:val="16"/>
                <w:lang w:val="en-US"/>
              </w:rPr>
              <w:t>Trade</w:t>
            </w:r>
            <w:proofErr w:type="spellEnd"/>
            <w:r w:rsidR="352EB93F" w:rsidRPr="00C00123">
              <w:rPr>
                <w:color w:val="000000"/>
                <w:sz w:val="16"/>
                <w:szCs w:val="16"/>
                <w:lang w:val="en-US"/>
              </w:rPr>
              <w:t xml:space="preserve"> Unions and Workers Unions</w:t>
            </w:r>
          </w:p>
        </w:tc>
        <w:tc>
          <w:tcPr>
            <w:tcW w:w="2751" w:type="dxa"/>
            <w:tcBorders>
              <w:top w:val="nil"/>
              <w:left w:val="nil"/>
              <w:bottom w:val="single" w:sz="4" w:space="0" w:color="000000" w:themeColor="text1"/>
              <w:right w:val="single" w:sz="4" w:space="0" w:color="000000" w:themeColor="text1"/>
            </w:tcBorders>
          </w:tcPr>
          <w:p w14:paraId="0000159F"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r>
      <w:tr w:rsidR="004F7DB3" w14:paraId="142BC0CB" w14:textId="77777777" w:rsidTr="5D8904BE">
        <w:trPr>
          <w:trHeight w:val="197"/>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A0"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5A1" w14:textId="01DC1A34" w:rsidR="004F7DB3" w:rsidRDefault="00000000" w:rsidP="24AA8F7E">
            <w:pPr>
              <w:spacing w:after="0" w:line="240" w:lineRule="auto"/>
              <w:jc w:val="both"/>
              <w:rPr>
                <w:b/>
                <w:bCs/>
                <w:color w:val="000000"/>
                <w:sz w:val="16"/>
                <w:szCs w:val="16"/>
              </w:rPr>
            </w:pPr>
            <w:sdt>
              <w:sdtPr>
                <w:tag w:val="goog_rdk_38"/>
                <w:id w:val="-1481991881"/>
              </w:sdtPr>
              <w:sdtContent>
                <w:proofErr w:type="spellStart"/>
                <w:r w:rsidR="1631ED5C">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Type</w:t>
            </w:r>
            <w:proofErr w:type="spellEnd"/>
            <w:r w:rsidR="352EB93F" w:rsidRPr="24AA8F7E">
              <w:rPr>
                <w:b/>
                <w:bCs/>
                <w:color w:val="000000"/>
                <w:sz w:val="16"/>
                <w:szCs w:val="16"/>
              </w:rPr>
              <w:t xml:space="preserve"> of Engagement</w:t>
            </w:r>
          </w:p>
        </w:tc>
        <w:tc>
          <w:tcPr>
            <w:tcW w:w="2541" w:type="dxa"/>
            <w:tcBorders>
              <w:top w:val="nil"/>
              <w:left w:val="nil"/>
              <w:bottom w:val="single" w:sz="4" w:space="0" w:color="000000" w:themeColor="text1"/>
              <w:right w:val="single" w:sz="4" w:space="0" w:color="000000" w:themeColor="text1"/>
            </w:tcBorders>
          </w:tcPr>
          <w:p w14:paraId="000015A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5A3" w14:textId="77777777" w:rsidR="004F7DB3" w:rsidRDefault="00C00123">
            <w:pPr>
              <w:spacing w:after="0" w:line="240" w:lineRule="auto"/>
              <w:jc w:val="both"/>
              <w:rPr>
                <w:color w:val="000000"/>
                <w:sz w:val="16"/>
                <w:szCs w:val="16"/>
              </w:rPr>
            </w:pPr>
            <w:r>
              <w:rPr>
                <w:color w:val="000000"/>
                <w:sz w:val="16"/>
                <w:szCs w:val="16"/>
              </w:rPr>
              <w:t> </w:t>
            </w:r>
          </w:p>
        </w:tc>
      </w:tr>
      <w:tr w:rsidR="004F7DB3" w14:paraId="5129CF83" w14:textId="77777777" w:rsidTr="5D8904BE">
        <w:trPr>
          <w:trHeight w:val="161"/>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A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A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5A6" w14:textId="713EE88B" w:rsidR="004F7DB3" w:rsidRDefault="00000000">
            <w:pPr>
              <w:spacing w:after="0" w:line="240" w:lineRule="auto"/>
              <w:jc w:val="both"/>
              <w:rPr>
                <w:color w:val="000000"/>
                <w:sz w:val="16"/>
                <w:szCs w:val="16"/>
              </w:rPr>
            </w:pPr>
            <w:sdt>
              <w:sdtPr>
                <w:tag w:val="goog_rdk_39"/>
                <w:id w:val="-618688939"/>
              </w:sdtPr>
              <w:sdtContent>
                <w:proofErr w:type="spellStart"/>
                <w:r w:rsidR="52A6E7EF">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Information</w:t>
            </w:r>
            <w:proofErr w:type="spellEnd"/>
            <w:r w:rsidR="352EB93F">
              <w:rPr>
                <w:color w:val="000000"/>
                <w:sz w:val="16"/>
                <w:szCs w:val="16"/>
              </w:rPr>
              <w:t xml:space="preserve"> </w:t>
            </w:r>
            <w:proofErr w:type="spellStart"/>
            <w:r w:rsidR="352EB93F">
              <w:rPr>
                <w:color w:val="000000"/>
                <w:sz w:val="16"/>
                <w:szCs w:val="16"/>
              </w:rPr>
              <w:t>Dissemination</w:t>
            </w:r>
            <w:proofErr w:type="spellEnd"/>
          </w:p>
        </w:tc>
        <w:tc>
          <w:tcPr>
            <w:tcW w:w="2751" w:type="dxa"/>
            <w:tcBorders>
              <w:top w:val="nil"/>
              <w:left w:val="nil"/>
              <w:bottom w:val="single" w:sz="4" w:space="0" w:color="000000" w:themeColor="text1"/>
              <w:right w:val="single" w:sz="4" w:space="0" w:color="000000" w:themeColor="text1"/>
            </w:tcBorders>
          </w:tcPr>
          <w:p w14:paraId="000015A7" w14:textId="77777777" w:rsidR="004F7DB3" w:rsidRDefault="00C00123">
            <w:pPr>
              <w:spacing w:after="0" w:line="240" w:lineRule="auto"/>
              <w:jc w:val="both"/>
              <w:rPr>
                <w:color w:val="000000"/>
                <w:sz w:val="16"/>
                <w:szCs w:val="16"/>
              </w:rPr>
            </w:pPr>
            <w:r>
              <w:rPr>
                <w:color w:val="000000"/>
                <w:sz w:val="16"/>
                <w:szCs w:val="16"/>
              </w:rPr>
              <w:t> </w:t>
            </w:r>
          </w:p>
        </w:tc>
      </w:tr>
      <w:tr w:rsidR="004F7DB3" w14:paraId="44BE4B02" w14:textId="77777777" w:rsidTr="5D8904BE">
        <w:trPr>
          <w:trHeight w:val="143"/>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A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A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5AA" w14:textId="149600A3" w:rsidR="004F7DB3" w:rsidRDefault="00000000">
            <w:pPr>
              <w:spacing w:after="0" w:line="240" w:lineRule="auto"/>
              <w:jc w:val="both"/>
              <w:rPr>
                <w:color w:val="000000"/>
                <w:sz w:val="16"/>
                <w:szCs w:val="16"/>
              </w:rPr>
            </w:pPr>
            <w:sdt>
              <w:sdtPr>
                <w:tag w:val="goog_rdk_40"/>
                <w:id w:val="-1743478036"/>
              </w:sdtPr>
              <w:sdtContent>
                <w:proofErr w:type="spellStart"/>
                <w:r w:rsidR="657721B5">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Partnership</w:t>
            </w:r>
            <w:proofErr w:type="spellEnd"/>
          </w:p>
        </w:tc>
        <w:tc>
          <w:tcPr>
            <w:tcW w:w="2751" w:type="dxa"/>
            <w:tcBorders>
              <w:top w:val="nil"/>
              <w:left w:val="nil"/>
              <w:bottom w:val="single" w:sz="4" w:space="0" w:color="000000" w:themeColor="text1"/>
              <w:right w:val="single" w:sz="4" w:space="0" w:color="000000" w:themeColor="text1"/>
            </w:tcBorders>
          </w:tcPr>
          <w:p w14:paraId="000015AB" w14:textId="77777777" w:rsidR="004F7DB3" w:rsidRDefault="00C00123">
            <w:pPr>
              <w:spacing w:after="0" w:line="240" w:lineRule="auto"/>
              <w:jc w:val="both"/>
              <w:rPr>
                <w:color w:val="000000"/>
                <w:sz w:val="16"/>
                <w:szCs w:val="16"/>
              </w:rPr>
            </w:pPr>
            <w:r>
              <w:rPr>
                <w:color w:val="000000"/>
                <w:sz w:val="16"/>
                <w:szCs w:val="16"/>
              </w:rPr>
              <w:t> </w:t>
            </w:r>
          </w:p>
        </w:tc>
      </w:tr>
      <w:tr w:rsidR="004F7DB3" w14:paraId="36E11E82"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A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A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5AE" w14:textId="080EFE9F" w:rsidR="004F7DB3" w:rsidRDefault="00000000">
            <w:pPr>
              <w:spacing w:after="0" w:line="240" w:lineRule="auto"/>
              <w:jc w:val="both"/>
              <w:rPr>
                <w:color w:val="000000"/>
                <w:sz w:val="16"/>
                <w:szCs w:val="16"/>
              </w:rPr>
            </w:pPr>
            <w:sdt>
              <w:sdtPr>
                <w:tag w:val="goog_rdk_41"/>
                <w:id w:val="-1499422827"/>
              </w:sdtPr>
              <w:sdtContent>
                <w:proofErr w:type="spellStart"/>
                <w:r w:rsidR="68E0FDBC">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Consultation</w:t>
            </w:r>
            <w:proofErr w:type="spellEnd"/>
          </w:p>
        </w:tc>
        <w:tc>
          <w:tcPr>
            <w:tcW w:w="2751" w:type="dxa"/>
            <w:tcBorders>
              <w:top w:val="nil"/>
              <w:left w:val="nil"/>
              <w:bottom w:val="single" w:sz="4" w:space="0" w:color="000000" w:themeColor="text1"/>
              <w:right w:val="single" w:sz="4" w:space="0" w:color="000000" w:themeColor="text1"/>
            </w:tcBorders>
          </w:tcPr>
          <w:p w14:paraId="000015AF" w14:textId="77777777" w:rsidR="004F7DB3" w:rsidRDefault="00C00123">
            <w:pPr>
              <w:spacing w:after="0" w:line="240" w:lineRule="auto"/>
              <w:jc w:val="both"/>
              <w:rPr>
                <w:color w:val="000000"/>
                <w:sz w:val="16"/>
                <w:szCs w:val="16"/>
              </w:rPr>
            </w:pPr>
            <w:r>
              <w:rPr>
                <w:color w:val="000000"/>
                <w:sz w:val="16"/>
                <w:szCs w:val="16"/>
              </w:rPr>
              <w:t> </w:t>
            </w:r>
          </w:p>
        </w:tc>
      </w:tr>
      <w:tr w:rsidR="004F7DB3" w14:paraId="26DC7228"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B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B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5B2" w14:textId="47D7C6FD" w:rsidR="004F7DB3" w:rsidRDefault="00000000">
            <w:pPr>
              <w:spacing w:after="0" w:line="240" w:lineRule="auto"/>
              <w:jc w:val="both"/>
              <w:rPr>
                <w:color w:val="000000"/>
                <w:sz w:val="16"/>
                <w:szCs w:val="16"/>
              </w:rPr>
            </w:pPr>
            <w:sdt>
              <w:sdtPr>
                <w:tag w:val="goog_rdk_42"/>
                <w:id w:val="-357049277"/>
              </w:sdtPr>
              <w:sdtContent>
                <w:proofErr w:type="spellStart"/>
                <w:r w:rsidR="5B4B5DD0">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Participation</w:t>
            </w:r>
            <w:proofErr w:type="spellEnd"/>
          </w:p>
        </w:tc>
        <w:tc>
          <w:tcPr>
            <w:tcW w:w="2751" w:type="dxa"/>
            <w:tcBorders>
              <w:top w:val="nil"/>
              <w:left w:val="nil"/>
              <w:bottom w:val="single" w:sz="4" w:space="0" w:color="000000" w:themeColor="text1"/>
              <w:right w:val="single" w:sz="4" w:space="0" w:color="000000" w:themeColor="text1"/>
            </w:tcBorders>
          </w:tcPr>
          <w:p w14:paraId="000015B3" w14:textId="77777777" w:rsidR="004F7DB3" w:rsidRDefault="00C00123">
            <w:pPr>
              <w:spacing w:after="0" w:line="240" w:lineRule="auto"/>
              <w:jc w:val="both"/>
              <w:rPr>
                <w:color w:val="000000"/>
                <w:sz w:val="16"/>
                <w:szCs w:val="16"/>
              </w:rPr>
            </w:pPr>
            <w:r>
              <w:rPr>
                <w:color w:val="000000"/>
                <w:sz w:val="16"/>
                <w:szCs w:val="16"/>
              </w:rPr>
              <w:t> </w:t>
            </w:r>
          </w:p>
        </w:tc>
      </w:tr>
      <w:tr w:rsidR="004F7DB3" w14:paraId="5875686D"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B4"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tcPr>
          <w:p w14:paraId="000015B5" w14:textId="5E18AE8A" w:rsidR="004F7DB3" w:rsidRDefault="00000000" w:rsidP="24AA8F7E">
            <w:pPr>
              <w:spacing w:after="0" w:line="240" w:lineRule="auto"/>
              <w:jc w:val="both"/>
              <w:rPr>
                <w:b/>
                <w:bCs/>
                <w:color w:val="000000"/>
                <w:sz w:val="16"/>
                <w:szCs w:val="16"/>
              </w:rPr>
            </w:pPr>
            <w:sdt>
              <w:sdtPr>
                <w:tag w:val="goog_rdk_43"/>
                <w:id w:val="-467199682"/>
              </w:sdtPr>
              <w:sdtContent>
                <w:proofErr w:type="spellStart"/>
                <w:r w:rsidR="3BCEFA57">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Communications</w:t>
            </w:r>
            <w:proofErr w:type="spellEnd"/>
          </w:p>
        </w:tc>
        <w:tc>
          <w:tcPr>
            <w:tcW w:w="2541" w:type="dxa"/>
            <w:tcBorders>
              <w:top w:val="nil"/>
              <w:left w:val="nil"/>
              <w:bottom w:val="single" w:sz="4" w:space="0" w:color="000000" w:themeColor="text1"/>
              <w:right w:val="single" w:sz="4" w:space="0" w:color="000000" w:themeColor="text1"/>
            </w:tcBorders>
          </w:tcPr>
          <w:p w14:paraId="000015B6" w14:textId="77777777" w:rsidR="004F7DB3" w:rsidRDefault="004F7DB3">
            <w:pPr>
              <w:spacing w:after="0" w:line="240" w:lineRule="auto"/>
              <w:jc w:val="both"/>
              <w:rPr>
                <w:color w:val="000000"/>
                <w:sz w:val="16"/>
                <w:szCs w:val="16"/>
              </w:rPr>
            </w:pPr>
          </w:p>
        </w:tc>
        <w:tc>
          <w:tcPr>
            <w:tcW w:w="2751" w:type="dxa"/>
            <w:tcBorders>
              <w:top w:val="nil"/>
              <w:left w:val="nil"/>
              <w:bottom w:val="single" w:sz="4" w:space="0" w:color="000000" w:themeColor="text1"/>
              <w:right w:val="single" w:sz="4" w:space="0" w:color="000000" w:themeColor="text1"/>
            </w:tcBorders>
          </w:tcPr>
          <w:p w14:paraId="000015B7" w14:textId="77777777" w:rsidR="004F7DB3" w:rsidRDefault="004F7DB3">
            <w:pPr>
              <w:spacing w:after="0" w:line="240" w:lineRule="auto"/>
              <w:jc w:val="both"/>
              <w:rPr>
                <w:color w:val="000000"/>
                <w:sz w:val="16"/>
                <w:szCs w:val="16"/>
              </w:rPr>
            </w:pPr>
          </w:p>
        </w:tc>
      </w:tr>
      <w:tr w:rsidR="004F7DB3" w14:paraId="4C1B029D"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B8"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tcPr>
          <w:p w14:paraId="000015B9" w14:textId="77777777" w:rsidR="004F7DB3" w:rsidRDefault="004F7DB3">
            <w:pPr>
              <w:spacing w:after="0" w:line="240" w:lineRule="auto"/>
              <w:jc w:val="both"/>
              <w:rPr>
                <w:color w:val="000000"/>
                <w:sz w:val="16"/>
                <w:szCs w:val="16"/>
              </w:rPr>
            </w:pPr>
          </w:p>
        </w:tc>
        <w:tc>
          <w:tcPr>
            <w:tcW w:w="2541" w:type="dxa"/>
            <w:tcBorders>
              <w:top w:val="nil"/>
              <w:left w:val="nil"/>
              <w:bottom w:val="single" w:sz="4" w:space="0" w:color="000000" w:themeColor="text1"/>
              <w:right w:val="single" w:sz="4" w:space="0" w:color="000000" w:themeColor="text1"/>
            </w:tcBorders>
          </w:tcPr>
          <w:p w14:paraId="000015BA" w14:textId="671DA65B" w:rsidR="004F7DB3" w:rsidRDefault="00000000">
            <w:pPr>
              <w:spacing w:after="0" w:line="240" w:lineRule="auto"/>
              <w:jc w:val="both"/>
              <w:rPr>
                <w:color w:val="000000"/>
                <w:sz w:val="16"/>
                <w:szCs w:val="16"/>
              </w:rPr>
            </w:pPr>
            <w:sdt>
              <w:sdtPr>
                <w:tag w:val="goog_rdk_44"/>
                <w:id w:val="1449593455"/>
              </w:sdtPr>
              <w:sdtContent>
                <w:proofErr w:type="spellStart"/>
                <w:r w:rsidR="14C587C8">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Awareness</w:t>
            </w:r>
            <w:proofErr w:type="spellEnd"/>
            <w:r w:rsidR="352EB93F">
              <w:rPr>
                <w:color w:val="000000"/>
                <w:sz w:val="16"/>
                <w:szCs w:val="16"/>
              </w:rPr>
              <w:t xml:space="preserve"> </w:t>
            </w:r>
            <w:proofErr w:type="spellStart"/>
            <w:r w:rsidR="352EB93F">
              <w:rPr>
                <w:color w:val="000000"/>
                <w:sz w:val="16"/>
                <w:szCs w:val="16"/>
              </w:rPr>
              <w:t>Raising</w:t>
            </w:r>
            <w:proofErr w:type="spellEnd"/>
          </w:p>
        </w:tc>
        <w:tc>
          <w:tcPr>
            <w:tcW w:w="2751" w:type="dxa"/>
            <w:tcBorders>
              <w:top w:val="nil"/>
              <w:left w:val="nil"/>
              <w:bottom w:val="single" w:sz="4" w:space="0" w:color="000000" w:themeColor="text1"/>
              <w:right w:val="single" w:sz="4" w:space="0" w:color="000000" w:themeColor="text1"/>
            </w:tcBorders>
          </w:tcPr>
          <w:p w14:paraId="000015BB" w14:textId="77777777" w:rsidR="004F7DB3" w:rsidRDefault="004F7DB3">
            <w:pPr>
              <w:spacing w:after="0" w:line="240" w:lineRule="auto"/>
              <w:jc w:val="both"/>
              <w:rPr>
                <w:color w:val="000000"/>
                <w:sz w:val="16"/>
                <w:szCs w:val="16"/>
              </w:rPr>
            </w:pPr>
          </w:p>
        </w:tc>
      </w:tr>
      <w:tr w:rsidR="004F7DB3" w14:paraId="73D49BAF"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BC"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tcPr>
          <w:p w14:paraId="000015BD" w14:textId="77777777" w:rsidR="004F7DB3" w:rsidRDefault="004F7DB3">
            <w:pPr>
              <w:spacing w:after="0" w:line="240" w:lineRule="auto"/>
              <w:jc w:val="both"/>
              <w:rPr>
                <w:b/>
                <w:color w:val="000000"/>
                <w:sz w:val="16"/>
                <w:szCs w:val="16"/>
              </w:rPr>
            </w:pPr>
          </w:p>
        </w:tc>
        <w:tc>
          <w:tcPr>
            <w:tcW w:w="2541" w:type="dxa"/>
            <w:tcBorders>
              <w:top w:val="nil"/>
              <w:left w:val="nil"/>
              <w:bottom w:val="single" w:sz="4" w:space="0" w:color="000000" w:themeColor="text1"/>
              <w:right w:val="single" w:sz="4" w:space="0" w:color="000000" w:themeColor="text1"/>
            </w:tcBorders>
          </w:tcPr>
          <w:p w14:paraId="000015BE" w14:textId="77777777" w:rsidR="004F7DB3" w:rsidRDefault="00000000">
            <w:pPr>
              <w:spacing w:after="0" w:line="240" w:lineRule="auto"/>
              <w:jc w:val="both"/>
              <w:rPr>
                <w:color w:val="000000"/>
                <w:sz w:val="16"/>
                <w:szCs w:val="16"/>
              </w:rPr>
            </w:pPr>
            <w:sdt>
              <w:sdtPr>
                <w:tag w:val="goog_rdk_45"/>
                <w:id w:val="-2038490296"/>
              </w:sdtPr>
              <w:sdtContent>
                <w:r w:rsidR="3EE7157C">
                  <w:rPr>
                    <w:rFonts w:ascii="Arial Unicode MS" w:eastAsia="Arial Unicode MS" w:hAnsi="Arial Unicode MS" w:cs="Arial Unicode MS"/>
                    <w:color w:val="000000"/>
                    <w:sz w:val="16"/>
                    <w:szCs w:val="16"/>
                    <w:shd w:val="clear" w:color="auto" w:fill="E6E6E6"/>
                  </w:rPr>
                  <w:t>☐</w:t>
                </w:r>
              </w:sdtContent>
            </w:sdt>
            <w:r w:rsidR="3EE7157C">
              <w:rPr>
                <w:color w:val="000000"/>
                <w:sz w:val="16"/>
                <w:szCs w:val="16"/>
              </w:rPr>
              <w:t>Education</w:t>
            </w:r>
          </w:p>
        </w:tc>
        <w:tc>
          <w:tcPr>
            <w:tcW w:w="2751" w:type="dxa"/>
            <w:tcBorders>
              <w:top w:val="nil"/>
              <w:left w:val="nil"/>
              <w:bottom w:val="single" w:sz="4" w:space="0" w:color="000000" w:themeColor="text1"/>
              <w:right w:val="single" w:sz="4" w:space="0" w:color="000000" w:themeColor="text1"/>
            </w:tcBorders>
          </w:tcPr>
          <w:p w14:paraId="000015BF" w14:textId="77777777" w:rsidR="004F7DB3" w:rsidRDefault="004F7DB3">
            <w:pPr>
              <w:spacing w:after="0" w:line="240" w:lineRule="auto"/>
              <w:jc w:val="both"/>
              <w:rPr>
                <w:color w:val="000000"/>
                <w:sz w:val="16"/>
                <w:szCs w:val="16"/>
              </w:rPr>
            </w:pPr>
          </w:p>
        </w:tc>
      </w:tr>
      <w:tr w:rsidR="004F7DB3" w14:paraId="42E0A7C3"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C0"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tcPr>
          <w:p w14:paraId="000015C1" w14:textId="77777777" w:rsidR="004F7DB3" w:rsidRDefault="004F7DB3">
            <w:pPr>
              <w:spacing w:after="0" w:line="240" w:lineRule="auto"/>
              <w:jc w:val="both"/>
              <w:rPr>
                <w:b/>
                <w:color w:val="000000"/>
                <w:sz w:val="16"/>
                <w:szCs w:val="16"/>
              </w:rPr>
            </w:pPr>
          </w:p>
        </w:tc>
        <w:tc>
          <w:tcPr>
            <w:tcW w:w="2541" w:type="dxa"/>
            <w:tcBorders>
              <w:top w:val="nil"/>
              <w:left w:val="nil"/>
              <w:bottom w:val="single" w:sz="4" w:space="0" w:color="000000" w:themeColor="text1"/>
              <w:right w:val="single" w:sz="4" w:space="0" w:color="000000" w:themeColor="text1"/>
            </w:tcBorders>
          </w:tcPr>
          <w:p w14:paraId="000015C2" w14:textId="6A16CDBC" w:rsidR="004F7DB3" w:rsidRDefault="00000000">
            <w:pPr>
              <w:spacing w:after="0" w:line="240" w:lineRule="auto"/>
              <w:jc w:val="both"/>
              <w:rPr>
                <w:color w:val="000000"/>
                <w:sz w:val="16"/>
                <w:szCs w:val="16"/>
              </w:rPr>
            </w:pPr>
            <w:sdt>
              <w:sdtPr>
                <w:tag w:val="goog_rdk_46"/>
                <w:id w:val="2093658147"/>
              </w:sdtPr>
              <w:sdtContent>
                <w:proofErr w:type="spellStart"/>
                <w:r w:rsidR="17B25CF6">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Public</w:t>
            </w:r>
            <w:proofErr w:type="spellEnd"/>
            <w:r w:rsidR="352EB93F">
              <w:rPr>
                <w:color w:val="000000"/>
                <w:sz w:val="16"/>
                <w:szCs w:val="16"/>
              </w:rPr>
              <w:t xml:space="preserve"> </w:t>
            </w:r>
            <w:proofErr w:type="spellStart"/>
            <w:r w:rsidR="352EB93F">
              <w:rPr>
                <w:color w:val="000000"/>
                <w:sz w:val="16"/>
                <w:szCs w:val="16"/>
              </w:rPr>
              <w:t>Campaigns</w:t>
            </w:r>
            <w:proofErr w:type="spellEnd"/>
          </w:p>
        </w:tc>
        <w:tc>
          <w:tcPr>
            <w:tcW w:w="2751" w:type="dxa"/>
            <w:tcBorders>
              <w:top w:val="nil"/>
              <w:left w:val="nil"/>
              <w:bottom w:val="single" w:sz="4" w:space="0" w:color="000000" w:themeColor="text1"/>
              <w:right w:val="single" w:sz="4" w:space="0" w:color="000000" w:themeColor="text1"/>
            </w:tcBorders>
          </w:tcPr>
          <w:p w14:paraId="000015C3" w14:textId="77777777" w:rsidR="004F7DB3" w:rsidRDefault="004F7DB3">
            <w:pPr>
              <w:spacing w:after="0" w:line="240" w:lineRule="auto"/>
              <w:jc w:val="both"/>
              <w:rPr>
                <w:color w:val="000000"/>
                <w:sz w:val="16"/>
                <w:szCs w:val="16"/>
              </w:rPr>
            </w:pPr>
          </w:p>
        </w:tc>
      </w:tr>
      <w:tr w:rsidR="004F7DB3" w14:paraId="7211CDA3"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C4"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tcPr>
          <w:p w14:paraId="000015C5" w14:textId="77777777" w:rsidR="004F7DB3" w:rsidRDefault="004F7DB3">
            <w:pPr>
              <w:spacing w:after="0" w:line="240" w:lineRule="auto"/>
              <w:jc w:val="both"/>
              <w:rPr>
                <w:b/>
                <w:color w:val="000000"/>
                <w:sz w:val="16"/>
                <w:szCs w:val="16"/>
              </w:rPr>
            </w:pPr>
          </w:p>
        </w:tc>
        <w:tc>
          <w:tcPr>
            <w:tcW w:w="2541" w:type="dxa"/>
            <w:tcBorders>
              <w:top w:val="nil"/>
              <w:left w:val="nil"/>
              <w:bottom w:val="single" w:sz="4" w:space="0" w:color="000000" w:themeColor="text1"/>
              <w:right w:val="single" w:sz="4" w:space="0" w:color="000000" w:themeColor="text1"/>
            </w:tcBorders>
          </w:tcPr>
          <w:p w14:paraId="000015C6" w14:textId="0C28290B" w:rsidR="004F7DB3" w:rsidRDefault="00000000">
            <w:pPr>
              <w:spacing w:after="0" w:line="240" w:lineRule="auto"/>
              <w:jc w:val="both"/>
              <w:rPr>
                <w:color w:val="000000"/>
                <w:sz w:val="16"/>
                <w:szCs w:val="16"/>
              </w:rPr>
            </w:pPr>
            <w:sdt>
              <w:sdtPr>
                <w:tag w:val="goog_rdk_47"/>
                <w:id w:val="2132826216"/>
              </w:sdtPr>
              <w:sdtContent>
                <w:proofErr w:type="spellStart"/>
                <w:r w:rsidR="4BE50256">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Behavior</w:t>
            </w:r>
            <w:proofErr w:type="spellEnd"/>
            <w:r w:rsidR="352EB93F">
              <w:rPr>
                <w:color w:val="000000"/>
                <w:sz w:val="16"/>
                <w:szCs w:val="16"/>
              </w:rPr>
              <w:t xml:space="preserve"> Change</w:t>
            </w:r>
          </w:p>
        </w:tc>
        <w:tc>
          <w:tcPr>
            <w:tcW w:w="2751" w:type="dxa"/>
            <w:tcBorders>
              <w:top w:val="nil"/>
              <w:left w:val="nil"/>
              <w:bottom w:val="single" w:sz="4" w:space="0" w:color="000000" w:themeColor="text1"/>
              <w:right w:val="single" w:sz="4" w:space="0" w:color="000000" w:themeColor="text1"/>
            </w:tcBorders>
          </w:tcPr>
          <w:p w14:paraId="000015C7" w14:textId="77777777" w:rsidR="004F7DB3" w:rsidRDefault="004F7DB3">
            <w:pPr>
              <w:spacing w:after="0" w:line="240" w:lineRule="auto"/>
              <w:jc w:val="both"/>
              <w:rPr>
                <w:color w:val="000000"/>
                <w:sz w:val="16"/>
                <w:szCs w:val="16"/>
              </w:rPr>
            </w:pPr>
          </w:p>
        </w:tc>
      </w:tr>
      <w:tr w:rsidR="004F7DB3" w:rsidRPr="00F50786" w14:paraId="100B3A9D"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C8" w14:textId="1CDD1874" w:rsidR="004F7DB3" w:rsidRPr="006F5E1D" w:rsidRDefault="00000000" w:rsidP="24AA8F7E">
            <w:pPr>
              <w:spacing w:after="0" w:line="240" w:lineRule="auto"/>
              <w:ind w:left="162" w:hanging="162"/>
              <w:jc w:val="both"/>
              <w:rPr>
                <w:b/>
                <w:bCs/>
                <w:color w:val="000000"/>
                <w:sz w:val="16"/>
                <w:szCs w:val="16"/>
                <w:lang w:val="en-US"/>
              </w:rPr>
            </w:pPr>
            <w:sdt>
              <w:sdtPr>
                <w:tag w:val="goog_rdk_48"/>
                <w:id w:val="1612010525"/>
              </w:sdtPr>
              <w:sdtContent>
                <w:proofErr w:type="spellStart"/>
                <w:r w:rsidR="77F5C222" w:rsidRPr="00D3664D">
                  <w:rPr>
                    <w:rFonts w:ascii="Arial Unicode MS" w:eastAsia="Arial Unicode MS" w:hAnsi="Arial Unicode MS" w:cs="Arial Unicode MS"/>
                    <w:color w:val="000000"/>
                    <w:sz w:val="16"/>
                    <w:szCs w:val="16"/>
                    <w:shd w:val="clear" w:color="auto" w:fill="E6E6E6"/>
                    <w:lang w:val="en-US"/>
                  </w:rPr>
                  <w:t>X</w:t>
                </w:r>
              </w:sdtContent>
            </w:sdt>
            <w:r w:rsidR="352EB93F" w:rsidRPr="00D3664D">
              <w:rPr>
                <w:b/>
                <w:bCs/>
                <w:color w:val="000000"/>
                <w:sz w:val="16"/>
                <w:szCs w:val="16"/>
                <w:lang w:val="en-US"/>
              </w:rPr>
              <w:t>Capacity</w:t>
            </w:r>
            <w:proofErr w:type="spellEnd"/>
            <w:r w:rsidR="352EB93F" w:rsidRPr="00D3664D">
              <w:rPr>
                <w:b/>
                <w:bCs/>
                <w:color w:val="000000"/>
                <w:sz w:val="16"/>
                <w:szCs w:val="16"/>
                <w:lang w:val="en-US"/>
              </w:rPr>
              <w:t>, Knowledge and Research</w:t>
            </w:r>
          </w:p>
        </w:tc>
        <w:tc>
          <w:tcPr>
            <w:tcW w:w="3286" w:type="dxa"/>
            <w:tcBorders>
              <w:top w:val="nil"/>
              <w:left w:val="nil"/>
              <w:bottom w:val="single" w:sz="4" w:space="0" w:color="000000" w:themeColor="text1"/>
              <w:right w:val="single" w:sz="4" w:space="0" w:color="000000" w:themeColor="text1"/>
            </w:tcBorders>
          </w:tcPr>
          <w:p w14:paraId="000015C9" w14:textId="77777777" w:rsidR="004F7DB3" w:rsidRPr="006F5E1D" w:rsidRDefault="004F7DB3" w:rsidP="5D8904BE">
            <w:pPr>
              <w:spacing w:after="0" w:line="240" w:lineRule="auto"/>
              <w:jc w:val="both"/>
              <w:rPr>
                <w:b/>
                <w:bCs/>
                <w:color w:val="000000"/>
                <w:sz w:val="16"/>
                <w:szCs w:val="16"/>
                <w:lang w:val="en-US"/>
              </w:rPr>
            </w:pPr>
          </w:p>
        </w:tc>
        <w:tc>
          <w:tcPr>
            <w:tcW w:w="2541" w:type="dxa"/>
            <w:tcBorders>
              <w:top w:val="nil"/>
              <w:left w:val="nil"/>
              <w:bottom w:val="single" w:sz="4" w:space="0" w:color="000000" w:themeColor="text1"/>
              <w:right w:val="single" w:sz="4" w:space="0" w:color="000000" w:themeColor="text1"/>
            </w:tcBorders>
          </w:tcPr>
          <w:p w14:paraId="000015CA" w14:textId="77777777" w:rsidR="004F7DB3" w:rsidRPr="006F5E1D" w:rsidRDefault="004F7DB3">
            <w:pPr>
              <w:spacing w:after="0" w:line="240" w:lineRule="auto"/>
              <w:jc w:val="both"/>
              <w:rPr>
                <w:color w:val="000000"/>
                <w:sz w:val="16"/>
                <w:szCs w:val="16"/>
                <w:lang w:val="en-US"/>
              </w:rPr>
            </w:pPr>
          </w:p>
        </w:tc>
        <w:tc>
          <w:tcPr>
            <w:tcW w:w="2751" w:type="dxa"/>
            <w:tcBorders>
              <w:top w:val="nil"/>
              <w:left w:val="nil"/>
              <w:bottom w:val="single" w:sz="4" w:space="0" w:color="000000" w:themeColor="text1"/>
              <w:right w:val="single" w:sz="4" w:space="0" w:color="000000" w:themeColor="text1"/>
            </w:tcBorders>
          </w:tcPr>
          <w:p w14:paraId="000015CB" w14:textId="77777777" w:rsidR="004F7DB3" w:rsidRPr="006F5E1D" w:rsidRDefault="004F7DB3">
            <w:pPr>
              <w:spacing w:after="0" w:line="240" w:lineRule="auto"/>
              <w:jc w:val="both"/>
              <w:rPr>
                <w:color w:val="000000"/>
                <w:sz w:val="16"/>
                <w:szCs w:val="16"/>
                <w:lang w:val="en-US"/>
              </w:rPr>
            </w:pPr>
          </w:p>
        </w:tc>
      </w:tr>
      <w:tr w:rsidR="004F7DB3" w14:paraId="2824695B"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CC" w14:textId="77777777" w:rsidR="004F7DB3" w:rsidRPr="006F5E1D" w:rsidRDefault="004F7DB3">
            <w:pPr>
              <w:spacing w:after="0" w:line="240" w:lineRule="auto"/>
              <w:jc w:val="both"/>
              <w:rPr>
                <w:color w:val="000000"/>
                <w:sz w:val="16"/>
                <w:szCs w:val="16"/>
                <w:lang w:val="en-US"/>
              </w:rPr>
            </w:pPr>
          </w:p>
        </w:tc>
        <w:tc>
          <w:tcPr>
            <w:tcW w:w="3286" w:type="dxa"/>
            <w:tcBorders>
              <w:top w:val="nil"/>
              <w:left w:val="nil"/>
              <w:bottom w:val="single" w:sz="4" w:space="0" w:color="000000" w:themeColor="text1"/>
              <w:right w:val="single" w:sz="4" w:space="0" w:color="000000" w:themeColor="text1"/>
            </w:tcBorders>
          </w:tcPr>
          <w:p w14:paraId="000015CD" w14:textId="2F7C018E" w:rsidR="004F7DB3" w:rsidRDefault="00000000">
            <w:pPr>
              <w:spacing w:after="0" w:line="240" w:lineRule="auto"/>
              <w:jc w:val="both"/>
              <w:rPr>
                <w:color w:val="000000"/>
                <w:sz w:val="16"/>
                <w:szCs w:val="16"/>
              </w:rPr>
            </w:pPr>
            <w:sdt>
              <w:sdtPr>
                <w:tag w:val="goog_rdk_49"/>
                <w:id w:val="866648198"/>
              </w:sdtPr>
              <w:sdtContent>
                <w:proofErr w:type="spellStart"/>
                <w:r w:rsidR="566F939F">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Enabling</w:t>
            </w:r>
            <w:proofErr w:type="spellEnd"/>
            <w:r w:rsidR="352EB93F" w:rsidRPr="24AA8F7E">
              <w:rPr>
                <w:b/>
                <w:bCs/>
                <w:color w:val="000000"/>
                <w:sz w:val="16"/>
                <w:szCs w:val="16"/>
              </w:rPr>
              <w:t xml:space="preserve"> </w:t>
            </w:r>
            <w:proofErr w:type="spellStart"/>
            <w:r w:rsidR="352EB93F" w:rsidRPr="24AA8F7E">
              <w:rPr>
                <w:b/>
                <w:bCs/>
                <w:color w:val="000000"/>
                <w:sz w:val="16"/>
                <w:szCs w:val="16"/>
              </w:rPr>
              <w:t>Activities</w:t>
            </w:r>
            <w:proofErr w:type="spellEnd"/>
          </w:p>
        </w:tc>
        <w:tc>
          <w:tcPr>
            <w:tcW w:w="2541" w:type="dxa"/>
            <w:tcBorders>
              <w:top w:val="nil"/>
              <w:left w:val="nil"/>
              <w:bottom w:val="single" w:sz="4" w:space="0" w:color="000000" w:themeColor="text1"/>
              <w:right w:val="single" w:sz="4" w:space="0" w:color="000000" w:themeColor="text1"/>
            </w:tcBorders>
          </w:tcPr>
          <w:p w14:paraId="000015CE" w14:textId="77777777" w:rsidR="004F7DB3" w:rsidRDefault="004F7DB3">
            <w:pPr>
              <w:spacing w:after="0" w:line="240" w:lineRule="auto"/>
              <w:jc w:val="both"/>
              <w:rPr>
                <w:color w:val="000000"/>
                <w:sz w:val="16"/>
                <w:szCs w:val="16"/>
              </w:rPr>
            </w:pPr>
          </w:p>
        </w:tc>
        <w:tc>
          <w:tcPr>
            <w:tcW w:w="2751" w:type="dxa"/>
            <w:tcBorders>
              <w:top w:val="nil"/>
              <w:left w:val="nil"/>
              <w:bottom w:val="single" w:sz="4" w:space="0" w:color="000000" w:themeColor="text1"/>
              <w:right w:val="single" w:sz="4" w:space="0" w:color="000000" w:themeColor="text1"/>
            </w:tcBorders>
          </w:tcPr>
          <w:p w14:paraId="000015CF" w14:textId="77777777" w:rsidR="004F7DB3" w:rsidRDefault="004F7DB3">
            <w:pPr>
              <w:spacing w:after="0" w:line="240" w:lineRule="auto"/>
              <w:jc w:val="both"/>
              <w:rPr>
                <w:color w:val="000000"/>
                <w:sz w:val="16"/>
                <w:szCs w:val="16"/>
              </w:rPr>
            </w:pPr>
          </w:p>
        </w:tc>
      </w:tr>
      <w:tr w:rsidR="004F7DB3" w14:paraId="2BB29FB3" w14:textId="77777777" w:rsidTr="5D8904BE">
        <w:trPr>
          <w:trHeight w:val="215"/>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D0"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tcPr>
          <w:p w14:paraId="000015D1" w14:textId="1C831320" w:rsidR="004F7DB3" w:rsidRDefault="00000000" w:rsidP="24AA8F7E">
            <w:pPr>
              <w:spacing w:after="0" w:line="240" w:lineRule="auto"/>
              <w:jc w:val="both"/>
              <w:rPr>
                <w:b/>
                <w:bCs/>
                <w:color w:val="000000"/>
                <w:sz w:val="16"/>
                <w:szCs w:val="16"/>
              </w:rPr>
            </w:pPr>
            <w:sdt>
              <w:sdtPr>
                <w:tag w:val="goog_rdk_50"/>
                <w:id w:val="802437238"/>
              </w:sdtPr>
              <w:sdtContent>
                <w:proofErr w:type="spellStart"/>
                <w:r w:rsidR="3BEC9265">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Capacity</w:t>
            </w:r>
            <w:proofErr w:type="spellEnd"/>
            <w:r w:rsidR="352EB93F" w:rsidRPr="24AA8F7E">
              <w:rPr>
                <w:b/>
                <w:bCs/>
                <w:color w:val="000000"/>
                <w:sz w:val="16"/>
                <w:szCs w:val="16"/>
              </w:rPr>
              <w:t xml:space="preserve"> </w:t>
            </w:r>
            <w:proofErr w:type="spellStart"/>
            <w:r w:rsidR="352EB93F" w:rsidRPr="24AA8F7E">
              <w:rPr>
                <w:b/>
                <w:bCs/>
                <w:color w:val="000000"/>
                <w:sz w:val="16"/>
                <w:szCs w:val="16"/>
              </w:rPr>
              <w:t>Development</w:t>
            </w:r>
            <w:proofErr w:type="spellEnd"/>
          </w:p>
        </w:tc>
        <w:tc>
          <w:tcPr>
            <w:tcW w:w="2541" w:type="dxa"/>
            <w:tcBorders>
              <w:top w:val="nil"/>
              <w:left w:val="nil"/>
              <w:bottom w:val="single" w:sz="4" w:space="0" w:color="000000" w:themeColor="text1"/>
              <w:right w:val="single" w:sz="4" w:space="0" w:color="000000" w:themeColor="text1"/>
            </w:tcBorders>
          </w:tcPr>
          <w:p w14:paraId="000015D2" w14:textId="77777777" w:rsidR="004F7DB3" w:rsidRDefault="004F7DB3">
            <w:pPr>
              <w:spacing w:after="0" w:line="240" w:lineRule="auto"/>
              <w:jc w:val="both"/>
              <w:rPr>
                <w:color w:val="000000"/>
                <w:sz w:val="16"/>
                <w:szCs w:val="16"/>
              </w:rPr>
            </w:pPr>
          </w:p>
        </w:tc>
        <w:tc>
          <w:tcPr>
            <w:tcW w:w="2751" w:type="dxa"/>
            <w:tcBorders>
              <w:top w:val="nil"/>
              <w:left w:val="nil"/>
              <w:bottom w:val="single" w:sz="4" w:space="0" w:color="000000" w:themeColor="text1"/>
              <w:right w:val="single" w:sz="4" w:space="0" w:color="000000" w:themeColor="text1"/>
            </w:tcBorders>
          </w:tcPr>
          <w:p w14:paraId="000015D3" w14:textId="77777777" w:rsidR="004F7DB3" w:rsidRDefault="004F7DB3">
            <w:pPr>
              <w:spacing w:after="0" w:line="240" w:lineRule="auto"/>
              <w:jc w:val="both"/>
              <w:rPr>
                <w:color w:val="000000"/>
                <w:sz w:val="16"/>
                <w:szCs w:val="16"/>
              </w:rPr>
            </w:pPr>
          </w:p>
        </w:tc>
      </w:tr>
      <w:tr w:rsidR="004F7DB3" w:rsidRPr="00F50786" w14:paraId="73946682"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D4"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tcPr>
          <w:p w14:paraId="000015D5" w14:textId="1DAAC016" w:rsidR="004F7DB3" w:rsidRPr="006F5E1D" w:rsidRDefault="00000000" w:rsidP="24AA8F7E">
            <w:pPr>
              <w:spacing w:after="0" w:line="240" w:lineRule="auto"/>
              <w:ind w:left="204" w:hanging="204"/>
              <w:jc w:val="both"/>
              <w:rPr>
                <w:b/>
                <w:bCs/>
                <w:color w:val="000000"/>
                <w:sz w:val="16"/>
                <w:szCs w:val="16"/>
                <w:lang w:val="en-US"/>
              </w:rPr>
            </w:pPr>
            <w:sdt>
              <w:sdtPr>
                <w:tag w:val="goog_rdk_51"/>
                <w:id w:val="-45526923"/>
              </w:sdtPr>
              <w:sdtContent>
                <w:proofErr w:type="spellStart"/>
                <w:r w:rsidR="3E73B133" w:rsidRPr="00D3664D">
                  <w:rPr>
                    <w:rFonts w:ascii="Arial Unicode MS" w:eastAsia="Arial Unicode MS" w:hAnsi="Arial Unicode MS" w:cs="Arial Unicode MS"/>
                    <w:color w:val="000000"/>
                    <w:sz w:val="16"/>
                    <w:szCs w:val="16"/>
                    <w:shd w:val="clear" w:color="auto" w:fill="E6E6E6"/>
                    <w:lang w:val="en-US"/>
                  </w:rPr>
                  <w:t>X</w:t>
                </w:r>
              </w:sdtContent>
            </w:sdt>
            <w:r w:rsidR="352EB93F" w:rsidRPr="00D3664D">
              <w:rPr>
                <w:b/>
                <w:bCs/>
                <w:color w:val="000000"/>
                <w:sz w:val="16"/>
                <w:szCs w:val="16"/>
                <w:lang w:val="en-US"/>
              </w:rPr>
              <w:t>Knowledge</w:t>
            </w:r>
            <w:proofErr w:type="spellEnd"/>
            <w:r w:rsidR="352EB93F" w:rsidRPr="00D3664D">
              <w:rPr>
                <w:b/>
                <w:bCs/>
                <w:color w:val="000000"/>
                <w:sz w:val="16"/>
                <w:szCs w:val="16"/>
                <w:lang w:val="en-US"/>
              </w:rPr>
              <w:t xml:space="preserve"> Generation and Exchange</w:t>
            </w:r>
          </w:p>
        </w:tc>
        <w:tc>
          <w:tcPr>
            <w:tcW w:w="2541" w:type="dxa"/>
            <w:tcBorders>
              <w:top w:val="nil"/>
              <w:left w:val="nil"/>
              <w:bottom w:val="single" w:sz="4" w:space="0" w:color="000000" w:themeColor="text1"/>
              <w:right w:val="single" w:sz="4" w:space="0" w:color="000000" w:themeColor="text1"/>
            </w:tcBorders>
          </w:tcPr>
          <w:p w14:paraId="000015D6" w14:textId="77777777" w:rsidR="004F7DB3" w:rsidRPr="006F5E1D" w:rsidRDefault="004F7DB3">
            <w:pPr>
              <w:spacing w:after="0" w:line="240" w:lineRule="auto"/>
              <w:jc w:val="both"/>
              <w:rPr>
                <w:color w:val="000000"/>
                <w:sz w:val="16"/>
                <w:szCs w:val="16"/>
                <w:lang w:val="en-US"/>
              </w:rPr>
            </w:pPr>
          </w:p>
        </w:tc>
        <w:tc>
          <w:tcPr>
            <w:tcW w:w="2751" w:type="dxa"/>
            <w:tcBorders>
              <w:top w:val="nil"/>
              <w:left w:val="nil"/>
              <w:bottom w:val="single" w:sz="4" w:space="0" w:color="000000" w:themeColor="text1"/>
              <w:right w:val="single" w:sz="4" w:space="0" w:color="000000" w:themeColor="text1"/>
            </w:tcBorders>
          </w:tcPr>
          <w:p w14:paraId="000015D7" w14:textId="77777777" w:rsidR="004F7DB3" w:rsidRPr="006F5E1D" w:rsidRDefault="004F7DB3">
            <w:pPr>
              <w:spacing w:after="0" w:line="240" w:lineRule="auto"/>
              <w:jc w:val="both"/>
              <w:rPr>
                <w:color w:val="000000"/>
                <w:sz w:val="16"/>
                <w:szCs w:val="16"/>
                <w:lang w:val="en-US"/>
              </w:rPr>
            </w:pPr>
          </w:p>
        </w:tc>
      </w:tr>
      <w:tr w:rsidR="004F7DB3" w14:paraId="34217CE8"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D8" w14:textId="77777777" w:rsidR="004F7DB3" w:rsidRPr="006F5E1D" w:rsidRDefault="004F7DB3" w:rsidP="5D8904BE">
            <w:pPr>
              <w:spacing w:after="0" w:line="240" w:lineRule="auto"/>
              <w:jc w:val="both"/>
              <w:rPr>
                <w:b/>
                <w:bCs/>
                <w:color w:val="000000"/>
                <w:sz w:val="16"/>
                <w:szCs w:val="16"/>
                <w:lang w:val="en-US"/>
              </w:rPr>
            </w:pPr>
          </w:p>
        </w:tc>
        <w:tc>
          <w:tcPr>
            <w:tcW w:w="3286" w:type="dxa"/>
            <w:tcBorders>
              <w:top w:val="nil"/>
              <w:left w:val="nil"/>
              <w:bottom w:val="single" w:sz="4" w:space="0" w:color="000000" w:themeColor="text1"/>
              <w:right w:val="single" w:sz="4" w:space="0" w:color="000000" w:themeColor="text1"/>
            </w:tcBorders>
          </w:tcPr>
          <w:p w14:paraId="000015D9" w14:textId="581CAD10" w:rsidR="004F7DB3" w:rsidRDefault="00000000" w:rsidP="24AA8F7E">
            <w:pPr>
              <w:spacing w:after="0" w:line="240" w:lineRule="auto"/>
              <w:jc w:val="both"/>
              <w:rPr>
                <w:b/>
                <w:bCs/>
                <w:color w:val="000000"/>
                <w:sz w:val="16"/>
                <w:szCs w:val="16"/>
              </w:rPr>
            </w:pPr>
            <w:sdt>
              <w:sdtPr>
                <w:tag w:val="goog_rdk_52"/>
                <w:id w:val="1046109629"/>
              </w:sdtPr>
              <w:sdtContent>
                <w:proofErr w:type="spellStart"/>
                <w:r w:rsidR="75D097AF">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Targeted</w:t>
            </w:r>
            <w:proofErr w:type="spellEnd"/>
            <w:r w:rsidR="352EB93F" w:rsidRPr="24AA8F7E">
              <w:rPr>
                <w:b/>
                <w:bCs/>
                <w:color w:val="000000"/>
                <w:sz w:val="16"/>
                <w:szCs w:val="16"/>
              </w:rPr>
              <w:t xml:space="preserve"> </w:t>
            </w:r>
            <w:proofErr w:type="spellStart"/>
            <w:r w:rsidR="352EB93F" w:rsidRPr="24AA8F7E">
              <w:rPr>
                <w:b/>
                <w:bCs/>
                <w:color w:val="000000"/>
                <w:sz w:val="16"/>
                <w:szCs w:val="16"/>
              </w:rPr>
              <w:t>Research</w:t>
            </w:r>
            <w:proofErr w:type="spellEnd"/>
          </w:p>
        </w:tc>
        <w:tc>
          <w:tcPr>
            <w:tcW w:w="2541" w:type="dxa"/>
            <w:tcBorders>
              <w:top w:val="nil"/>
              <w:left w:val="nil"/>
              <w:bottom w:val="single" w:sz="4" w:space="0" w:color="000000" w:themeColor="text1"/>
              <w:right w:val="single" w:sz="4" w:space="0" w:color="000000" w:themeColor="text1"/>
            </w:tcBorders>
          </w:tcPr>
          <w:p w14:paraId="000015DA" w14:textId="77777777" w:rsidR="004F7DB3" w:rsidRDefault="004F7DB3">
            <w:pPr>
              <w:spacing w:after="0" w:line="240" w:lineRule="auto"/>
              <w:jc w:val="both"/>
              <w:rPr>
                <w:color w:val="000000"/>
                <w:sz w:val="16"/>
                <w:szCs w:val="16"/>
              </w:rPr>
            </w:pPr>
          </w:p>
        </w:tc>
        <w:tc>
          <w:tcPr>
            <w:tcW w:w="2751" w:type="dxa"/>
            <w:tcBorders>
              <w:top w:val="nil"/>
              <w:left w:val="nil"/>
              <w:bottom w:val="single" w:sz="4" w:space="0" w:color="000000" w:themeColor="text1"/>
              <w:right w:val="single" w:sz="4" w:space="0" w:color="000000" w:themeColor="text1"/>
            </w:tcBorders>
          </w:tcPr>
          <w:p w14:paraId="000015DB" w14:textId="77777777" w:rsidR="004F7DB3" w:rsidRDefault="004F7DB3">
            <w:pPr>
              <w:spacing w:after="0" w:line="240" w:lineRule="auto"/>
              <w:jc w:val="both"/>
              <w:rPr>
                <w:color w:val="000000"/>
                <w:sz w:val="16"/>
                <w:szCs w:val="16"/>
              </w:rPr>
            </w:pPr>
          </w:p>
        </w:tc>
      </w:tr>
      <w:tr w:rsidR="004F7DB3" w14:paraId="0EB59287"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DC"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tcPr>
          <w:p w14:paraId="000015DD" w14:textId="0CA925FF" w:rsidR="004F7DB3" w:rsidRDefault="00000000" w:rsidP="24AA8F7E">
            <w:pPr>
              <w:spacing w:after="0" w:line="240" w:lineRule="auto"/>
              <w:jc w:val="both"/>
              <w:rPr>
                <w:b/>
                <w:bCs/>
                <w:color w:val="000000"/>
                <w:sz w:val="16"/>
                <w:szCs w:val="16"/>
              </w:rPr>
            </w:pPr>
            <w:sdt>
              <w:sdtPr>
                <w:tag w:val="goog_rdk_53"/>
                <w:id w:val="126053787"/>
              </w:sdtPr>
              <w:sdtContent>
                <w:proofErr w:type="spellStart"/>
                <w:r w:rsidR="74F2AA18">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Learning</w:t>
            </w:r>
            <w:proofErr w:type="spellEnd"/>
          </w:p>
        </w:tc>
        <w:tc>
          <w:tcPr>
            <w:tcW w:w="2541" w:type="dxa"/>
            <w:tcBorders>
              <w:top w:val="nil"/>
              <w:left w:val="nil"/>
              <w:bottom w:val="single" w:sz="4" w:space="0" w:color="000000" w:themeColor="text1"/>
              <w:right w:val="single" w:sz="4" w:space="0" w:color="000000" w:themeColor="text1"/>
            </w:tcBorders>
          </w:tcPr>
          <w:p w14:paraId="000015DE" w14:textId="77777777" w:rsidR="004F7DB3" w:rsidRDefault="004F7DB3">
            <w:pPr>
              <w:spacing w:after="0" w:line="240" w:lineRule="auto"/>
              <w:jc w:val="both"/>
              <w:rPr>
                <w:color w:val="000000"/>
                <w:sz w:val="16"/>
                <w:szCs w:val="16"/>
              </w:rPr>
            </w:pPr>
          </w:p>
        </w:tc>
        <w:tc>
          <w:tcPr>
            <w:tcW w:w="2751" w:type="dxa"/>
            <w:tcBorders>
              <w:top w:val="nil"/>
              <w:left w:val="nil"/>
              <w:bottom w:val="single" w:sz="4" w:space="0" w:color="000000" w:themeColor="text1"/>
              <w:right w:val="single" w:sz="4" w:space="0" w:color="000000" w:themeColor="text1"/>
            </w:tcBorders>
          </w:tcPr>
          <w:p w14:paraId="000015DF" w14:textId="77777777" w:rsidR="004F7DB3" w:rsidRDefault="004F7DB3">
            <w:pPr>
              <w:spacing w:after="0" w:line="240" w:lineRule="auto"/>
              <w:jc w:val="both"/>
              <w:rPr>
                <w:color w:val="000000"/>
                <w:sz w:val="16"/>
                <w:szCs w:val="16"/>
              </w:rPr>
            </w:pPr>
          </w:p>
        </w:tc>
      </w:tr>
      <w:tr w:rsidR="004F7DB3" w14:paraId="124B5AD1"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E0"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tcPr>
          <w:p w14:paraId="000015E1" w14:textId="77777777" w:rsidR="004F7DB3" w:rsidRDefault="004F7DB3">
            <w:pPr>
              <w:spacing w:after="0" w:line="240" w:lineRule="auto"/>
              <w:jc w:val="both"/>
              <w:rPr>
                <w:color w:val="000000"/>
                <w:sz w:val="16"/>
                <w:szCs w:val="16"/>
              </w:rPr>
            </w:pPr>
          </w:p>
        </w:tc>
        <w:tc>
          <w:tcPr>
            <w:tcW w:w="2541" w:type="dxa"/>
            <w:tcBorders>
              <w:top w:val="nil"/>
              <w:left w:val="nil"/>
              <w:bottom w:val="single" w:sz="4" w:space="0" w:color="000000" w:themeColor="text1"/>
              <w:right w:val="single" w:sz="4" w:space="0" w:color="000000" w:themeColor="text1"/>
            </w:tcBorders>
          </w:tcPr>
          <w:p w14:paraId="000015E2" w14:textId="4E761888" w:rsidR="004F7DB3" w:rsidRDefault="00000000">
            <w:pPr>
              <w:spacing w:after="0" w:line="240" w:lineRule="auto"/>
              <w:jc w:val="both"/>
              <w:rPr>
                <w:color w:val="000000"/>
                <w:sz w:val="16"/>
                <w:szCs w:val="16"/>
              </w:rPr>
            </w:pPr>
            <w:sdt>
              <w:sdtPr>
                <w:tag w:val="goog_rdk_54"/>
                <w:id w:val="-846872316"/>
              </w:sdtPr>
              <w:sdtContent>
                <w:proofErr w:type="spellStart"/>
                <w:r w:rsidR="4AB78013">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Theory</w:t>
            </w:r>
            <w:proofErr w:type="spellEnd"/>
            <w:r w:rsidR="352EB93F">
              <w:rPr>
                <w:color w:val="000000"/>
                <w:sz w:val="16"/>
                <w:szCs w:val="16"/>
              </w:rPr>
              <w:t xml:space="preserve"> of Change</w:t>
            </w:r>
          </w:p>
        </w:tc>
        <w:tc>
          <w:tcPr>
            <w:tcW w:w="2751" w:type="dxa"/>
            <w:tcBorders>
              <w:top w:val="nil"/>
              <w:left w:val="nil"/>
              <w:bottom w:val="single" w:sz="4" w:space="0" w:color="000000" w:themeColor="text1"/>
              <w:right w:val="single" w:sz="4" w:space="0" w:color="000000" w:themeColor="text1"/>
            </w:tcBorders>
          </w:tcPr>
          <w:p w14:paraId="000015E3" w14:textId="77777777" w:rsidR="004F7DB3" w:rsidRDefault="004F7DB3">
            <w:pPr>
              <w:spacing w:after="0" w:line="240" w:lineRule="auto"/>
              <w:jc w:val="both"/>
              <w:rPr>
                <w:color w:val="000000"/>
                <w:sz w:val="16"/>
                <w:szCs w:val="16"/>
              </w:rPr>
            </w:pPr>
          </w:p>
        </w:tc>
      </w:tr>
      <w:tr w:rsidR="004F7DB3" w14:paraId="5C93B149"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E4"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tcPr>
          <w:p w14:paraId="000015E5" w14:textId="77777777" w:rsidR="004F7DB3" w:rsidRDefault="004F7DB3">
            <w:pPr>
              <w:spacing w:after="0" w:line="240" w:lineRule="auto"/>
              <w:jc w:val="both"/>
              <w:rPr>
                <w:b/>
                <w:color w:val="000000"/>
                <w:sz w:val="16"/>
                <w:szCs w:val="16"/>
              </w:rPr>
            </w:pPr>
          </w:p>
        </w:tc>
        <w:tc>
          <w:tcPr>
            <w:tcW w:w="2541" w:type="dxa"/>
            <w:tcBorders>
              <w:top w:val="nil"/>
              <w:left w:val="nil"/>
              <w:bottom w:val="single" w:sz="4" w:space="0" w:color="000000" w:themeColor="text1"/>
              <w:right w:val="single" w:sz="4" w:space="0" w:color="000000" w:themeColor="text1"/>
            </w:tcBorders>
          </w:tcPr>
          <w:p w14:paraId="000015E6" w14:textId="71B703FC" w:rsidR="004F7DB3" w:rsidRDefault="00000000">
            <w:pPr>
              <w:spacing w:after="0" w:line="240" w:lineRule="auto"/>
              <w:jc w:val="both"/>
              <w:rPr>
                <w:color w:val="000000"/>
                <w:sz w:val="16"/>
                <w:szCs w:val="16"/>
              </w:rPr>
            </w:pPr>
            <w:sdt>
              <w:sdtPr>
                <w:tag w:val="goog_rdk_55"/>
                <w:id w:val="-540126122"/>
              </w:sdtPr>
              <w:sdtContent>
                <w:proofErr w:type="spellStart"/>
                <w:r w:rsidR="47A4FF8B">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Adaptive</w:t>
            </w:r>
            <w:proofErr w:type="spellEnd"/>
            <w:r w:rsidR="352EB93F">
              <w:rPr>
                <w:color w:val="000000"/>
                <w:sz w:val="16"/>
                <w:szCs w:val="16"/>
              </w:rPr>
              <w:t xml:space="preserve"> Management</w:t>
            </w:r>
          </w:p>
        </w:tc>
        <w:tc>
          <w:tcPr>
            <w:tcW w:w="2751" w:type="dxa"/>
            <w:tcBorders>
              <w:top w:val="nil"/>
              <w:left w:val="nil"/>
              <w:bottom w:val="single" w:sz="4" w:space="0" w:color="000000" w:themeColor="text1"/>
              <w:right w:val="single" w:sz="4" w:space="0" w:color="000000" w:themeColor="text1"/>
            </w:tcBorders>
          </w:tcPr>
          <w:p w14:paraId="000015E7" w14:textId="77777777" w:rsidR="004F7DB3" w:rsidRDefault="004F7DB3">
            <w:pPr>
              <w:spacing w:after="0" w:line="240" w:lineRule="auto"/>
              <w:jc w:val="both"/>
              <w:rPr>
                <w:color w:val="000000"/>
                <w:sz w:val="16"/>
                <w:szCs w:val="16"/>
              </w:rPr>
            </w:pPr>
          </w:p>
        </w:tc>
      </w:tr>
      <w:tr w:rsidR="004F7DB3" w:rsidRPr="00F50786" w14:paraId="613DA2B8"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E8"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tcPr>
          <w:p w14:paraId="000015E9" w14:textId="77777777" w:rsidR="004F7DB3" w:rsidRDefault="004F7DB3">
            <w:pPr>
              <w:spacing w:after="0" w:line="240" w:lineRule="auto"/>
              <w:jc w:val="both"/>
              <w:rPr>
                <w:b/>
                <w:color w:val="000000"/>
                <w:sz w:val="16"/>
                <w:szCs w:val="16"/>
              </w:rPr>
            </w:pPr>
          </w:p>
        </w:tc>
        <w:tc>
          <w:tcPr>
            <w:tcW w:w="2541" w:type="dxa"/>
            <w:tcBorders>
              <w:top w:val="nil"/>
              <w:left w:val="nil"/>
              <w:bottom w:val="single" w:sz="4" w:space="0" w:color="000000" w:themeColor="text1"/>
              <w:right w:val="single" w:sz="4" w:space="0" w:color="000000" w:themeColor="text1"/>
            </w:tcBorders>
          </w:tcPr>
          <w:p w14:paraId="000015EA" w14:textId="6771E5A2" w:rsidR="004F7DB3" w:rsidRPr="006F5E1D" w:rsidRDefault="00000000">
            <w:pPr>
              <w:spacing w:after="0" w:line="240" w:lineRule="auto"/>
              <w:jc w:val="both"/>
              <w:rPr>
                <w:color w:val="000000"/>
                <w:sz w:val="16"/>
                <w:szCs w:val="16"/>
                <w:lang w:val="en-US"/>
              </w:rPr>
            </w:pPr>
            <w:sdt>
              <w:sdtPr>
                <w:tag w:val="goog_rdk_56"/>
                <w:id w:val="1376356205"/>
              </w:sdtPr>
              <w:sdtContent>
                <w:proofErr w:type="spellStart"/>
                <w:r w:rsidR="666BA440" w:rsidRPr="00D3664D">
                  <w:rPr>
                    <w:rFonts w:ascii="Arial Unicode MS" w:eastAsia="Arial Unicode MS" w:hAnsi="Arial Unicode MS" w:cs="Arial Unicode MS"/>
                    <w:color w:val="000000"/>
                    <w:sz w:val="16"/>
                    <w:szCs w:val="16"/>
                    <w:shd w:val="clear" w:color="auto" w:fill="E6E6E6"/>
                    <w:lang w:val="en-US"/>
                  </w:rPr>
                  <w:t>X</w:t>
                </w:r>
              </w:sdtContent>
            </w:sdt>
            <w:r w:rsidR="352EB93F" w:rsidRPr="00D3664D">
              <w:rPr>
                <w:color w:val="000000"/>
                <w:sz w:val="16"/>
                <w:szCs w:val="16"/>
                <w:lang w:val="en-US"/>
              </w:rPr>
              <w:t>Indicators</w:t>
            </w:r>
            <w:proofErr w:type="spellEnd"/>
            <w:r w:rsidR="352EB93F" w:rsidRPr="00D3664D">
              <w:rPr>
                <w:color w:val="000000"/>
                <w:sz w:val="16"/>
                <w:szCs w:val="16"/>
                <w:lang w:val="en-US"/>
              </w:rPr>
              <w:t xml:space="preserve"> to Measure Change</w:t>
            </w:r>
          </w:p>
        </w:tc>
        <w:tc>
          <w:tcPr>
            <w:tcW w:w="2751" w:type="dxa"/>
            <w:tcBorders>
              <w:top w:val="nil"/>
              <w:left w:val="nil"/>
              <w:bottom w:val="single" w:sz="4" w:space="0" w:color="000000" w:themeColor="text1"/>
              <w:right w:val="single" w:sz="4" w:space="0" w:color="000000" w:themeColor="text1"/>
            </w:tcBorders>
          </w:tcPr>
          <w:p w14:paraId="000015EB" w14:textId="77777777" w:rsidR="004F7DB3" w:rsidRPr="006F5E1D" w:rsidRDefault="004F7DB3">
            <w:pPr>
              <w:spacing w:after="0" w:line="240" w:lineRule="auto"/>
              <w:jc w:val="both"/>
              <w:rPr>
                <w:color w:val="000000"/>
                <w:sz w:val="16"/>
                <w:szCs w:val="16"/>
                <w:lang w:val="en-US"/>
              </w:rPr>
            </w:pPr>
          </w:p>
        </w:tc>
      </w:tr>
      <w:tr w:rsidR="004F7DB3" w14:paraId="15243F47"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EC" w14:textId="77777777" w:rsidR="004F7DB3" w:rsidRPr="006F5E1D" w:rsidRDefault="004F7DB3" w:rsidP="5D8904BE">
            <w:pPr>
              <w:spacing w:after="0" w:line="240" w:lineRule="auto"/>
              <w:jc w:val="both"/>
              <w:rPr>
                <w:b/>
                <w:bCs/>
                <w:color w:val="000000"/>
                <w:sz w:val="16"/>
                <w:szCs w:val="16"/>
                <w:lang w:val="en-US"/>
              </w:rPr>
            </w:pPr>
          </w:p>
        </w:tc>
        <w:tc>
          <w:tcPr>
            <w:tcW w:w="3286" w:type="dxa"/>
            <w:tcBorders>
              <w:top w:val="nil"/>
              <w:left w:val="nil"/>
              <w:bottom w:val="single" w:sz="4" w:space="0" w:color="000000" w:themeColor="text1"/>
              <w:right w:val="single" w:sz="4" w:space="0" w:color="000000" w:themeColor="text1"/>
            </w:tcBorders>
          </w:tcPr>
          <w:p w14:paraId="000015ED" w14:textId="77777777" w:rsidR="004F7DB3" w:rsidRDefault="00000000" w:rsidP="24AA8F7E">
            <w:pPr>
              <w:spacing w:after="0" w:line="240" w:lineRule="auto"/>
              <w:jc w:val="both"/>
              <w:rPr>
                <w:b/>
                <w:bCs/>
                <w:color w:val="000000"/>
                <w:sz w:val="16"/>
                <w:szCs w:val="16"/>
              </w:rPr>
            </w:pPr>
            <w:sdt>
              <w:sdtPr>
                <w:tag w:val="goog_rdk_57"/>
                <w:id w:val="691036600"/>
              </w:sdtPr>
              <w:sdtContent>
                <w:r w:rsidR="3EE7157C">
                  <w:rPr>
                    <w:rFonts w:ascii="Arial Unicode MS" w:eastAsia="Arial Unicode MS" w:hAnsi="Arial Unicode MS" w:cs="Arial Unicode MS"/>
                    <w:color w:val="000000"/>
                    <w:sz w:val="16"/>
                    <w:szCs w:val="16"/>
                    <w:shd w:val="clear" w:color="auto" w:fill="E6E6E6"/>
                  </w:rPr>
                  <w:t>☐</w:t>
                </w:r>
              </w:sdtContent>
            </w:sdt>
            <w:r w:rsidR="3EE7157C" w:rsidRPr="24AA8F7E">
              <w:rPr>
                <w:b/>
                <w:bCs/>
                <w:color w:val="000000"/>
                <w:sz w:val="16"/>
                <w:szCs w:val="16"/>
              </w:rPr>
              <w:t>Innovation</w:t>
            </w:r>
          </w:p>
        </w:tc>
        <w:tc>
          <w:tcPr>
            <w:tcW w:w="2541" w:type="dxa"/>
            <w:tcBorders>
              <w:top w:val="nil"/>
              <w:left w:val="nil"/>
              <w:bottom w:val="single" w:sz="4" w:space="0" w:color="000000" w:themeColor="text1"/>
              <w:right w:val="single" w:sz="4" w:space="0" w:color="000000" w:themeColor="text1"/>
            </w:tcBorders>
          </w:tcPr>
          <w:p w14:paraId="000015EE" w14:textId="77777777" w:rsidR="004F7DB3" w:rsidRDefault="004F7DB3">
            <w:pPr>
              <w:spacing w:after="0" w:line="240" w:lineRule="auto"/>
              <w:jc w:val="both"/>
              <w:rPr>
                <w:color w:val="000000"/>
                <w:sz w:val="16"/>
                <w:szCs w:val="16"/>
              </w:rPr>
            </w:pPr>
          </w:p>
        </w:tc>
        <w:tc>
          <w:tcPr>
            <w:tcW w:w="2751" w:type="dxa"/>
            <w:tcBorders>
              <w:top w:val="nil"/>
              <w:left w:val="nil"/>
              <w:bottom w:val="single" w:sz="4" w:space="0" w:color="000000" w:themeColor="text1"/>
              <w:right w:val="single" w:sz="4" w:space="0" w:color="000000" w:themeColor="text1"/>
            </w:tcBorders>
          </w:tcPr>
          <w:p w14:paraId="000015EF" w14:textId="77777777" w:rsidR="004F7DB3" w:rsidRDefault="004F7DB3">
            <w:pPr>
              <w:spacing w:after="0" w:line="240" w:lineRule="auto"/>
              <w:jc w:val="both"/>
              <w:rPr>
                <w:color w:val="000000"/>
                <w:sz w:val="16"/>
                <w:szCs w:val="16"/>
              </w:rPr>
            </w:pPr>
          </w:p>
        </w:tc>
      </w:tr>
      <w:tr w:rsidR="004F7DB3" w14:paraId="3C2FE904"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F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F1" w14:textId="3C18ACD1" w:rsidR="004F7DB3" w:rsidRDefault="00000000" w:rsidP="24AA8F7E">
            <w:pPr>
              <w:spacing w:after="0" w:line="240" w:lineRule="auto"/>
              <w:ind w:left="204" w:hanging="204"/>
              <w:jc w:val="both"/>
              <w:rPr>
                <w:b/>
                <w:bCs/>
                <w:color w:val="000000"/>
                <w:sz w:val="16"/>
                <w:szCs w:val="16"/>
              </w:rPr>
            </w:pPr>
            <w:sdt>
              <w:sdtPr>
                <w:tag w:val="goog_rdk_58"/>
                <w:id w:val="1429771500"/>
              </w:sdtPr>
              <w:sdtContent>
                <w:proofErr w:type="spellStart"/>
                <w:r w:rsidR="2FFD3728">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Knowledge</w:t>
            </w:r>
            <w:proofErr w:type="spellEnd"/>
            <w:r w:rsidR="352EB93F" w:rsidRPr="24AA8F7E">
              <w:rPr>
                <w:b/>
                <w:bCs/>
                <w:color w:val="000000"/>
                <w:sz w:val="16"/>
                <w:szCs w:val="16"/>
              </w:rPr>
              <w:t xml:space="preserve"> and Learning</w:t>
            </w:r>
          </w:p>
        </w:tc>
        <w:tc>
          <w:tcPr>
            <w:tcW w:w="2541" w:type="dxa"/>
            <w:tcBorders>
              <w:top w:val="nil"/>
              <w:left w:val="nil"/>
              <w:bottom w:val="single" w:sz="4" w:space="0" w:color="000000" w:themeColor="text1"/>
              <w:right w:val="single" w:sz="4" w:space="0" w:color="000000" w:themeColor="text1"/>
            </w:tcBorders>
          </w:tcPr>
          <w:p w14:paraId="000015F2" w14:textId="77777777" w:rsidR="004F7DB3" w:rsidRDefault="004F7DB3">
            <w:pPr>
              <w:spacing w:after="0" w:line="240" w:lineRule="auto"/>
              <w:jc w:val="both"/>
              <w:rPr>
                <w:color w:val="000000"/>
                <w:sz w:val="16"/>
                <w:szCs w:val="16"/>
              </w:rPr>
            </w:pPr>
          </w:p>
        </w:tc>
        <w:tc>
          <w:tcPr>
            <w:tcW w:w="2751" w:type="dxa"/>
            <w:tcBorders>
              <w:top w:val="nil"/>
              <w:left w:val="nil"/>
              <w:bottom w:val="single" w:sz="4" w:space="0" w:color="000000" w:themeColor="text1"/>
              <w:right w:val="single" w:sz="4" w:space="0" w:color="000000" w:themeColor="text1"/>
            </w:tcBorders>
          </w:tcPr>
          <w:p w14:paraId="000015F3" w14:textId="77777777" w:rsidR="004F7DB3" w:rsidRDefault="00C00123">
            <w:pPr>
              <w:spacing w:after="0" w:line="240" w:lineRule="auto"/>
              <w:jc w:val="both"/>
              <w:rPr>
                <w:color w:val="000000"/>
                <w:sz w:val="16"/>
                <w:szCs w:val="16"/>
              </w:rPr>
            </w:pPr>
            <w:r>
              <w:rPr>
                <w:color w:val="000000"/>
                <w:sz w:val="16"/>
                <w:szCs w:val="16"/>
              </w:rPr>
              <w:t> </w:t>
            </w:r>
          </w:p>
        </w:tc>
      </w:tr>
      <w:tr w:rsidR="004F7DB3" w14:paraId="2149E07C"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F4"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tcPr>
          <w:p w14:paraId="000015F5" w14:textId="77777777" w:rsidR="004F7DB3" w:rsidRDefault="004F7DB3">
            <w:pPr>
              <w:spacing w:after="0" w:line="240" w:lineRule="auto"/>
              <w:jc w:val="both"/>
              <w:rPr>
                <w:color w:val="000000"/>
                <w:sz w:val="16"/>
                <w:szCs w:val="16"/>
              </w:rPr>
            </w:pPr>
          </w:p>
        </w:tc>
        <w:tc>
          <w:tcPr>
            <w:tcW w:w="2541" w:type="dxa"/>
            <w:tcBorders>
              <w:top w:val="nil"/>
              <w:left w:val="nil"/>
              <w:bottom w:val="single" w:sz="4" w:space="0" w:color="000000" w:themeColor="text1"/>
              <w:right w:val="single" w:sz="4" w:space="0" w:color="000000" w:themeColor="text1"/>
            </w:tcBorders>
          </w:tcPr>
          <w:p w14:paraId="000015F6" w14:textId="49726850" w:rsidR="004F7DB3" w:rsidRDefault="00000000">
            <w:pPr>
              <w:spacing w:after="0" w:line="240" w:lineRule="auto"/>
              <w:jc w:val="both"/>
              <w:rPr>
                <w:color w:val="000000"/>
                <w:sz w:val="16"/>
                <w:szCs w:val="16"/>
              </w:rPr>
            </w:pPr>
            <w:sdt>
              <w:sdtPr>
                <w:tag w:val="goog_rdk_59"/>
                <w:id w:val="706137467"/>
              </w:sdtPr>
              <w:sdtContent>
                <w:proofErr w:type="spellStart"/>
                <w:r w:rsidR="23B18C9E">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Knowledge</w:t>
            </w:r>
            <w:proofErr w:type="spellEnd"/>
            <w:r w:rsidR="352EB93F">
              <w:rPr>
                <w:color w:val="000000"/>
                <w:sz w:val="16"/>
                <w:szCs w:val="16"/>
              </w:rPr>
              <w:t xml:space="preserve"> Management</w:t>
            </w:r>
          </w:p>
        </w:tc>
        <w:tc>
          <w:tcPr>
            <w:tcW w:w="2751" w:type="dxa"/>
            <w:tcBorders>
              <w:top w:val="nil"/>
              <w:left w:val="nil"/>
              <w:bottom w:val="single" w:sz="4" w:space="0" w:color="000000" w:themeColor="text1"/>
              <w:right w:val="single" w:sz="4" w:space="0" w:color="000000" w:themeColor="text1"/>
            </w:tcBorders>
          </w:tcPr>
          <w:p w14:paraId="000015F7" w14:textId="77777777" w:rsidR="004F7DB3" w:rsidRDefault="004F7DB3">
            <w:pPr>
              <w:spacing w:after="0" w:line="240" w:lineRule="auto"/>
              <w:jc w:val="both"/>
              <w:rPr>
                <w:color w:val="000000"/>
                <w:sz w:val="16"/>
                <w:szCs w:val="16"/>
              </w:rPr>
            </w:pPr>
          </w:p>
        </w:tc>
      </w:tr>
      <w:tr w:rsidR="004F7DB3" w14:paraId="21FF17A5"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F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F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5FA" w14:textId="7665148E" w:rsidR="004F7DB3" w:rsidRDefault="00000000">
            <w:pPr>
              <w:spacing w:after="0" w:line="240" w:lineRule="auto"/>
              <w:jc w:val="both"/>
              <w:rPr>
                <w:color w:val="000000"/>
                <w:sz w:val="16"/>
                <w:szCs w:val="16"/>
              </w:rPr>
            </w:pPr>
            <w:sdt>
              <w:sdtPr>
                <w:tag w:val="goog_rdk_60"/>
                <w:id w:val="1416353327"/>
              </w:sdtPr>
              <w:sdtContent>
                <w:proofErr w:type="spellStart"/>
                <w:r w:rsidR="326AFF97">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Innovation</w:t>
            </w:r>
            <w:proofErr w:type="spellEnd"/>
          </w:p>
        </w:tc>
        <w:tc>
          <w:tcPr>
            <w:tcW w:w="2751" w:type="dxa"/>
            <w:tcBorders>
              <w:top w:val="nil"/>
              <w:left w:val="nil"/>
              <w:bottom w:val="single" w:sz="4" w:space="0" w:color="000000" w:themeColor="text1"/>
              <w:right w:val="single" w:sz="4" w:space="0" w:color="000000" w:themeColor="text1"/>
            </w:tcBorders>
          </w:tcPr>
          <w:p w14:paraId="000015FB" w14:textId="77777777" w:rsidR="004F7DB3" w:rsidRDefault="00C00123">
            <w:pPr>
              <w:spacing w:after="0" w:line="240" w:lineRule="auto"/>
              <w:jc w:val="both"/>
              <w:rPr>
                <w:color w:val="000000"/>
                <w:sz w:val="16"/>
                <w:szCs w:val="16"/>
              </w:rPr>
            </w:pPr>
            <w:r>
              <w:rPr>
                <w:color w:val="000000"/>
                <w:sz w:val="16"/>
                <w:szCs w:val="16"/>
              </w:rPr>
              <w:t> </w:t>
            </w:r>
          </w:p>
        </w:tc>
      </w:tr>
      <w:tr w:rsidR="004F7DB3" w14:paraId="7FB3B496" w14:textId="77777777" w:rsidTr="5D8904BE">
        <w:trPr>
          <w:trHeight w:val="161"/>
        </w:trPr>
        <w:tc>
          <w:tcPr>
            <w:tcW w:w="2222" w:type="dxa"/>
            <w:tcBorders>
              <w:top w:val="nil"/>
              <w:left w:val="single" w:sz="4" w:space="0" w:color="000000" w:themeColor="text1"/>
              <w:bottom w:val="single" w:sz="4" w:space="0" w:color="000000" w:themeColor="text1"/>
              <w:right w:val="single" w:sz="4" w:space="0" w:color="000000" w:themeColor="text1"/>
            </w:tcBorders>
          </w:tcPr>
          <w:p w14:paraId="000015F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5F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5FE" w14:textId="679F4E77" w:rsidR="004F7DB3" w:rsidRDefault="00000000">
            <w:pPr>
              <w:spacing w:after="0" w:line="240" w:lineRule="auto"/>
              <w:jc w:val="both"/>
              <w:rPr>
                <w:color w:val="000000"/>
                <w:sz w:val="16"/>
                <w:szCs w:val="16"/>
              </w:rPr>
            </w:pPr>
            <w:sdt>
              <w:sdtPr>
                <w:tag w:val="goog_rdk_61"/>
                <w:id w:val="-1535807181"/>
              </w:sdtPr>
              <w:sdtContent>
                <w:proofErr w:type="spellStart"/>
                <w:r w:rsidR="5FF75F35">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Capacity</w:t>
            </w:r>
            <w:proofErr w:type="spellEnd"/>
            <w:r w:rsidR="352EB93F">
              <w:rPr>
                <w:color w:val="000000"/>
                <w:sz w:val="16"/>
                <w:szCs w:val="16"/>
              </w:rPr>
              <w:t xml:space="preserve"> </w:t>
            </w:r>
            <w:proofErr w:type="spellStart"/>
            <w:r w:rsidR="352EB93F">
              <w:rPr>
                <w:color w:val="000000"/>
                <w:sz w:val="16"/>
                <w:szCs w:val="16"/>
              </w:rPr>
              <w:t>Development</w:t>
            </w:r>
            <w:proofErr w:type="spellEnd"/>
          </w:p>
        </w:tc>
        <w:tc>
          <w:tcPr>
            <w:tcW w:w="2751" w:type="dxa"/>
            <w:tcBorders>
              <w:top w:val="nil"/>
              <w:left w:val="nil"/>
              <w:bottom w:val="single" w:sz="4" w:space="0" w:color="000000" w:themeColor="text1"/>
              <w:right w:val="single" w:sz="4" w:space="0" w:color="000000" w:themeColor="text1"/>
            </w:tcBorders>
          </w:tcPr>
          <w:p w14:paraId="000015FF" w14:textId="77777777" w:rsidR="004F7DB3" w:rsidRDefault="00C00123">
            <w:pPr>
              <w:spacing w:after="0" w:line="240" w:lineRule="auto"/>
              <w:jc w:val="both"/>
              <w:rPr>
                <w:color w:val="000000"/>
                <w:sz w:val="16"/>
                <w:szCs w:val="16"/>
              </w:rPr>
            </w:pPr>
            <w:r>
              <w:rPr>
                <w:color w:val="000000"/>
                <w:sz w:val="16"/>
                <w:szCs w:val="16"/>
              </w:rPr>
              <w:t> </w:t>
            </w:r>
          </w:p>
        </w:tc>
      </w:tr>
      <w:tr w:rsidR="004F7DB3" w14:paraId="0ADF9304"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tcPr>
          <w:p w14:paraId="0000160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0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02" w14:textId="5C247298" w:rsidR="004F7DB3" w:rsidRDefault="00000000">
            <w:pPr>
              <w:spacing w:after="0" w:line="240" w:lineRule="auto"/>
              <w:jc w:val="both"/>
              <w:rPr>
                <w:color w:val="000000"/>
                <w:sz w:val="16"/>
                <w:szCs w:val="16"/>
              </w:rPr>
            </w:pPr>
            <w:sdt>
              <w:sdtPr>
                <w:tag w:val="goog_rdk_62"/>
                <w:id w:val="1481107779"/>
              </w:sdtPr>
              <w:sdtContent>
                <w:proofErr w:type="spellStart"/>
                <w:r w:rsidR="1B51FE50">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Learning</w:t>
            </w:r>
            <w:proofErr w:type="spellEnd"/>
          </w:p>
        </w:tc>
        <w:tc>
          <w:tcPr>
            <w:tcW w:w="2751" w:type="dxa"/>
            <w:tcBorders>
              <w:top w:val="nil"/>
              <w:left w:val="nil"/>
              <w:bottom w:val="single" w:sz="4" w:space="0" w:color="000000" w:themeColor="text1"/>
              <w:right w:val="single" w:sz="4" w:space="0" w:color="000000" w:themeColor="text1"/>
            </w:tcBorders>
          </w:tcPr>
          <w:p w14:paraId="00001603" w14:textId="77777777" w:rsidR="004F7DB3" w:rsidRDefault="00C00123">
            <w:pPr>
              <w:spacing w:after="0" w:line="240" w:lineRule="auto"/>
              <w:jc w:val="both"/>
              <w:rPr>
                <w:color w:val="000000"/>
                <w:sz w:val="16"/>
                <w:szCs w:val="16"/>
              </w:rPr>
            </w:pPr>
            <w:r>
              <w:rPr>
                <w:color w:val="000000"/>
                <w:sz w:val="16"/>
                <w:szCs w:val="16"/>
              </w:rPr>
              <w:t> </w:t>
            </w:r>
          </w:p>
        </w:tc>
      </w:tr>
      <w:tr w:rsidR="004F7DB3" w14:paraId="10038FA9" w14:textId="77777777" w:rsidTr="5D8904BE">
        <w:trPr>
          <w:trHeight w:val="359"/>
        </w:trPr>
        <w:tc>
          <w:tcPr>
            <w:tcW w:w="2222" w:type="dxa"/>
            <w:tcBorders>
              <w:top w:val="nil"/>
              <w:left w:val="single" w:sz="4" w:space="0" w:color="000000" w:themeColor="text1"/>
              <w:bottom w:val="single" w:sz="4" w:space="0" w:color="000000" w:themeColor="text1"/>
              <w:right w:val="single" w:sz="4" w:space="0" w:color="000000" w:themeColor="text1"/>
            </w:tcBorders>
          </w:tcPr>
          <w:p w14:paraId="0000160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05" w14:textId="4D36532B" w:rsidR="004F7DB3" w:rsidRDefault="00000000" w:rsidP="24AA8F7E">
            <w:pPr>
              <w:spacing w:after="0" w:line="240" w:lineRule="auto"/>
              <w:ind w:left="114" w:hanging="114"/>
              <w:jc w:val="both"/>
              <w:rPr>
                <w:b/>
                <w:bCs/>
                <w:color w:val="000000"/>
                <w:sz w:val="16"/>
                <w:szCs w:val="16"/>
              </w:rPr>
            </w:pPr>
            <w:sdt>
              <w:sdtPr>
                <w:tag w:val="goog_rdk_63"/>
                <w:id w:val="2083480245"/>
              </w:sdtPr>
              <w:sdtContent>
                <w:proofErr w:type="spellStart"/>
                <w:r w:rsidR="25207A52">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Stakeholder</w:t>
            </w:r>
            <w:proofErr w:type="spellEnd"/>
            <w:r w:rsidR="352EB93F" w:rsidRPr="24AA8F7E">
              <w:rPr>
                <w:b/>
                <w:bCs/>
                <w:color w:val="000000"/>
                <w:sz w:val="16"/>
                <w:szCs w:val="16"/>
              </w:rPr>
              <w:t xml:space="preserve"> Engagement Plan</w:t>
            </w:r>
          </w:p>
        </w:tc>
        <w:tc>
          <w:tcPr>
            <w:tcW w:w="2541" w:type="dxa"/>
            <w:tcBorders>
              <w:top w:val="single" w:sz="4" w:space="0" w:color="000000" w:themeColor="text1"/>
              <w:left w:val="nil"/>
              <w:bottom w:val="single" w:sz="4" w:space="0" w:color="000000" w:themeColor="text1"/>
              <w:right w:val="single" w:sz="4" w:space="0" w:color="000000" w:themeColor="text1"/>
            </w:tcBorders>
          </w:tcPr>
          <w:p w14:paraId="0000160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07" w14:textId="77777777" w:rsidR="004F7DB3" w:rsidRDefault="00C00123">
            <w:pPr>
              <w:spacing w:after="0" w:line="240" w:lineRule="auto"/>
              <w:jc w:val="both"/>
              <w:rPr>
                <w:color w:val="000000"/>
                <w:sz w:val="16"/>
                <w:szCs w:val="16"/>
              </w:rPr>
            </w:pPr>
            <w:r>
              <w:rPr>
                <w:color w:val="000000"/>
                <w:sz w:val="16"/>
                <w:szCs w:val="16"/>
              </w:rPr>
              <w:t> </w:t>
            </w:r>
          </w:p>
        </w:tc>
      </w:tr>
      <w:tr w:rsidR="004F7DB3" w14:paraId="3575D588"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tcPr>
          <w:p w14:paraId="00001608" w14:textId="09ADF1E6" w:rsidR="004F7DB3" w:rsidRDefault="00000000" w:rsidP="24AA8F7E">
            <w:pPr>
              <w:spacing w:after="0" w:line="240" w:lineRule="auto"/>
              <w:jc w:val="both"/>
              <w:rPr>
                <w:b/>
                <w:bCs/>
                <w:color w:val="000000"/>
                <w:sz w:val="16"/>
                <w:szCs w:val="16"/>
              </w:rPr>
            </w:pPr>
            <w:sdt>
              <w:sdtPr>
                <w:tag w:val="goog_rdk_64"/>
                <w:id w:val="-413858331"/>
              </w:sdtPr>
              <w:sdtContent>
                <w:proofErr w:type="spellStart"/>
                <w:r w:rsidR="2C437DCA">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Gender</w:t>
            </w:r>
            <w:proofErr w:type="spellEnd"/>
            <w:r w:rsidR="352EB93F" w:rsidRPr="24AA8F7E">
              <w:rPr>
                <w:b/>
                <w:bCs/>
                <w:color w:val="000000"/>
                <w:sz w:val="16"/>
                <w:szCs w:val="16"/>
              </w:rPr>
              <w:t xml:space="preserve"> </w:t>
            </w:r>
            <w:proofErr w:type="spellStart"/>
            <w:r w:rsidR="352EB93F" w:rsidRPr="24AA8F7E">
              <w:rPr>
                <w:b/>
                <w:bCs/>
                <w:color w:val="000000"/>
                <w:sz w:val="16"/>
                <w:szCs w:val="16"/>
              </w:rPr>
              <w:t>Equality</w:t>
            </w:r>
            <w:proofErr w:type="spellEnd"/>
            <w:r w:rsidR="352EB93F" w:rsidRPr="24AA8F7E">
              <w:rPr>
                <w:b/>
                <w:bCs/>
                <w:color w:val="000000"/>
                <w:sz w:val="16"/>
                <w:szCs w:val="16"/>
              </w:rPr>
              <w:t xml:space="preserve"> </w:t>
            </w:r>
          </w:p>
        </w:tc>
        <w:tc>
          <w:tcPr>
            <w:tcW w:w="3286" w:type="dxa"/>
            <w:tcBorders>
              <w:top w:val="nil"/>
              <w:left w:val="nil"/>
              <w:bottom w:val="single" w:sz="4" w:space="0" w:color="000000" w:themeColor="text1"/>
              <w:right w:val="single" w:sz="4" w:space="0" w:color="000000" w:themeColor="text1"/>
            </w:tcBorders>
          </w:tcPr>
          <w:p w14:paraId="0000160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0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0B" w14:textId="77777777" w:rsidR="004F7DB3" w:rsidRDefault="00C00123">
            <w:pPr>
              <w:spacing w:after="0" w:line="240" w:lineRule="auto"/>
              <w:jc w:val="both"/>
              <w:rPr>
                <w:color w:val="000000"/>
                <w:sz w:val="16"/>
                <w:szCs w:val="16"/>
              </w:rPr>
            </w:pPr>
            <w:r>
              <w:rPr>
                <w:color w:val="000000"/>
                <w:sz w:val="16"/>
                <w:szCs w:val="16"/>
              </w:rPr>
              <w:t> </w:t>
            </w:r>
          </w:p>
        </w:tc>
      </w:tr>
      <w:tr w:rsidR="004F7DB3" w14:paraId="31C74BD4"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tcPr>
          <w:p w14:paraId="0000160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0D" w14:textId="37452BA0" w:rsidR="004F7DB3" w:rsidRDefault="00000000" w:rsidP="24AA8F7E">
            <w:pPr>
              <w:spacing w:after="0" w:line="240" w:lineRule="auto"/>
              <w:jc w:val="both"/>
              <w:rPr>
                <w:b/>
                <w:bCs/>
                <w:color w:val="000000"/>
                <w:sz w:val="16"/>
                <w:szCs w:val="16"/>
              </w:rPr>
            </w:pPr>
            <w:sdt>
              <w:sdtPr>
                <w:tag w:val="goog_rdk_65"/>
                <w:id w:val="152733680"/>
              </w:sdtPr>
              <w:sdtContent>
                <w:proofErr w:type="spellStart"/>
                <w:r w:rsidR="29013B5E">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Gender</w:t>
            </w:r>
            <w:proofErr w:type="spellEnd"/>
            <w:r w:rsidR="352EB93F" w:rsidRPr="24AA8F7E">
              <w:rPr>
                <w:b/>
                <w:bCs/>
                <w:color w:val="000000"/>
                <w:sz w:val="16"/>
                <w:szCs w:val="16"/>
              </w:rPr>
              <w:t xml:space="preserve"> </w:t>
            </w:r>
            <w:proofErr w:type="spellStart"/>
            <w:r w:rsidR="352EB93F" w:rsidRPr="24AA8F7E">
              <w:rPr>
                <w:b/>
                <w:bCs/>
                <w:color w:val="000000"/>
                <w:sz w:val="16"/>
                <w:szCs w:val="16"/>
              </w:rPr>
              <w:t>Mainstreaming</w:t>
            </w:r>
            <w:proofErr w:type="spellEnd"/>
          </w:p>
        </w:tc>
        <w:tc>
          <w:tcPr>
            <w:tcW w:w="2541" w:type="dxa"/>
            <w:tcBorders>
              <w:top w:val="nil"/>
              <w:left w:val="nil"/>
              <w:bottom w:val="single" w:sz="4" w:space="0" w:color="000000" w:themeColor="text1"/>
              <w:right w:val="single" w:sz="4" w:space="0" w:color="000000" w:themeColor="text1"/>
            </w:tcBorders>
          </w:tcPr>
          <w:p w14:paraId="0000160E" w14:textId="77777777" w:rsidR="004F7DB3" w:rsidRDefault="004F7DB3">
            <w:pPr>
              <w:spacing w:after="0" w:line="240" w:lineRule="auto"/>
              <w:jc w:val="both"/>
              <w:rPr>
                <w:color w:val="000000"/>
                <w:sz w:val="16"/>
                <w:szCs w:val="16"/>
              </w:rPr>
            </w:pPr>
          </w:p>
        </w:tc>
        <w:tc>
          <w:tcPr>
            <w:tcW w:w="2751" w:type="dxa"/>
            <w:tcBorders>
              <w:top w:val="nil"/>
              <w:left w:val="nil"/>
              <w:bottom w:val="single" w:sz="4" w:space="0" w:color="000000" w:themeColor="text1"/>
              <w:right w:val="single" w:sz="4" w:space="0" w:color="000000" w:themeColor="text1"/>
            </w:tcBorders>
          </w:tcPr>
          <w:p w14:paraId="0000160F" w14:textId="77777777" w:rsidR="004F7DB3" w:rsidRDefault="00C00123">
            <w:pPr>
              <w:spacing w:after="0" w:line="240" w:lineRule="auto"/>
              <w:jc w:val="both"/>
              <w:rPr>
                <w:color w:val="000000"/>
                <w:sz w:val="16"/>
                <w:szCs w:val="16"/>
              </w:rPr>
            </w:pPr>
            <w:r>
              <w:rPr>
                <w:color w:val="000000"/>
                <w:sz w:val="16"/>
                <w:szCs w:val="16"/>
              </w:rPr>
              <w:t> </w:t>
            </w:r>
          </w:p>
        </w:tc>
      </w:tr>
      <w:tr w:rsidR="004F7DB3" w14:paraId="1BAFA395"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tcPr>
          <w:p w14:paraId="00001610"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tcPr>
          <w:p w14:paraId="00001611" w14:textId="77777777" w:rsidR="004F7DB3" w:rsidRDefault="004F7DB3">
            <w:pPr>
              <w:spacing w:after="0" w:line="240" w:lineRule="auto"/>
              <w:jc w:val="both"/>
              <w:rPr>
                <w:color w:val="000000"/>
                <w:sz w:val="16"/>
                <w:szCs w:val="16"/>
              </w:rPr>
            </w:pPr>
          </w:p>
        </w:tc>
        <w:tc>
          <w:tcPr>
            <w:tcW w:w="2541" w:type="dxa"/>
            <w:tcBorders>
              <w:top w:val="nil"/>
              <w:left w:val="nil"/>
              <w:bottom w:val="single" w:sz="4" w:space="0" w:color="000000" w:themeColor="text1"/>
              <w:right w:val="single" w:sz="4" w:space="0" w:color="000000" w:themeColor="text1"/>
            </w:tcBorders>
          </w:tcPr>
          <w:p w14:paraId="00001612" w14:textId="2AFF7556" w:rsidR="004F7DB3" w:rsidRDefault="352EB93F">
            <w:pPr>
              <w:spacing w:after="0" w:line="240" w:lineRule="auto"/>
              <w:jc w:val="both"/>
              <w:rPr>
                <w:color w:val="000000"/>
                <w:sz w:val="16"/>
                <w:szCs w:val="16"/>
              </w:rPr>
            </w:pPr>
            <w:r>
              <w:rPr>
                <w:color w:val="000000"/>
                <w:sz w:val="16"/>
                <w:szCs w:val="16"/>
              </w:rPr>
              <w:t xml:space="preserve"> </w:t>
            </w:r>
            <w:sdt>
              <w:sdtPr>
                <w:tag w:val="goog_rdk_66"/>
                <w:id w:val="-1956018313"/>
              </w:sdtPr>
              <w:sdtContent>
                <w:proofErr w:type="spellStart"/>
                <w:r w:rsidR="756DC8AB">
                  <w:rPr>
                    <w:rFonts w:ascii="Arial Unicode MS" w:eastAsia="Arial Unicode MS" w:hAnsi="Arial Unicode MS" w:cs="Arial Unicode MS"/>
                    <w:color w:val="000000"/>
                    <w:sz w:val="16"/>
                    <w:szCs w:val="16"/>
                    <w:shd w:val="clear" w:color="auto" w:fill="E6E6E6"/>
                  </w:rPr>
                  <w:t>X</w:t>
                </w:r>
              </w:sdtContent>
            </w:sdt>
            <w:r>
              <w:rPr>
                <w:color w:val="000000"/>
                <w:sz w:val="16"/>
                <w:szCs w:val="16"/>
              </w:rPr>
              <w:t>Beneficiaries</w:t>
            </w:r>
            <w:proofErr w:type="spellEnd"/>
          </w:p>
        </w:tc>
        <w:tc>
          <w:tcPr>
            <w:tcW w:w="2751" w:type="dxa"/>
            <w:tcBorders>
              <w:top w:val="nil"/>
              <w:left w:val="nil"/>
              <w:bottom w:val="single" w:sz="4" w:space="0" w:color="000000" w:themeColor="text1"/>
              <w:right w:val="single" w:sz="4" w:space="0" w:color="000000" w:themeColor="text1"/>
            </w:tcBorders>
          </w:tcPr>
          <w:p w14:paraId="00001613" w14:textId="77777777" w:rsidR="004F7DB3" w:rsidRDefault="004F7DB3">
            <w:pPr>
              <w:spacing w:after="0" w:line="240" w:lineRule="auto"/>
              <w:jc w:val="both"/>
              <w:rPr>
                <w:color w:val="000000"/>
                <w:sz w:val="16"/>
                <w:szCs w:val="16"/>
              </w:rPr>
            </w:pPr>
          </w:p>
        </w:tc>
      </w:tr>
      <w:tr w:rsidR="004F7DB3" w14:paraId="3D85705B" w14:textId="77777777" w:rsidTr="5D8904BE">
        <w:trPr>
          <w:trHeight w:val="143"/>
        </w:trPr>
        <w:tc>
          <w:tcPr>
            <w:tcW w:w="2222" w:type="dxa"/>
            <w:tcBorders>
              <w:top w:val="nil"/>
              <w:left w:val="single" w:sz="4" w:space="0" w:color="000000" w:themeColor="text1"/>
              <w:bottom w:val="single" w:sz="4" w:space="0" w:color="000000" w:themeColor="text1"/>
              <w:right w:val="single" w:sz="4" w:space="0" w:color="000000" w:themeColor="text1"/>
            </w:tcBorders>
          </w:tcPr>
          <w:p w14:paraId="0000161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1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16" w14:textId="6366B9BD" w:rsidR="004F7DB3" w:rsidRDefault="352EB93F">
            <w:pPr>
              <w:spacing w:after="0" w:line="240" w:lineRule="auto"/>
              <w:jc w:val="both"/>
              <w:rPr>
                <w:color w:val="000000"/>
                <w:sz w:val="16"/>
                <w:szCs w:val="16"/>
              </w:rPr>
            </w:pPr>
            <w:r>
              <w:rPr>
                <w:color w:val="000000"/>
                <w:sz w:val="16"/>
                <w:szCs w:val="16"/>
              </w:rPr>
              <w:t xml:space="preserve"> </w:t>
            </w:r>
            <w:sdt>
              <w:sdtPr>
                <w:tag w:val="goog_rdk_67"/>
                <w:id w:val="2017877958"/>
              </w:sdtPr>
              <w:sdtContent>
                <w:proofErr w:type="spellStart"/>
                <w:r w:rsidR="47DFF8EE">
                  <w:rPr>
                    <w:rFonts w:ascii="Arial Unicode MS" w:eastAsia="Arial Unicode MS" w:hAnsi="Arial Unicode MS" w:cs="Arial Unicode MS"/>
                    <w:color w:val="000000"/>
                    <w:sz w:val="16"/>
                    <w:szCs w:val="16"/>
                    <w:shd w:val="clear" w:color="auto" w:fill="E6E6E6"/>
                  </w:rPr>
                  <w:t>X</w:t>
                </w:r>
              </w:sdtContent>
            </w:sdt>
            <w:r>
              <w:rPr>
                <w:color w:val="000000"/>
                <w:sz w:val="16"/>
                <w:szCs w:val="16"/>
              </w:rPr>
              <w:t>Women</w:t>
            </w:r>
            <w:proofErr w:type="spellEnd"/>
            <w:r>
              <w:rPr>
                <w:color w:val="000000"/>
                <w:sz w:val="16"/>
                <w:szCs w:val="16"/>
              </w:rPr>
              <w:t xml:space="preserve"> groups</w:t>
            </w:r>
          </w:p>
        </w:tc>
        <w:tc>
          <w:tcPr>
            <w:tcW w:w="2751" w:type="dxa"/>
            <w:tcBorders>
              <w:top w:val="nil"/>
              <w:left w:val="nil"/>
              <w:bottom w:val="single" w:sz="4" w:space="0" w:color="000000" w:themeColor="text1"/>
              <w:right w:val="single" w:sz="4" w:space="0" w:color="000000" w:themeColor="text1"/>
            </w:tcBorders>
          </w:tcPr>
          <w:p w14:paraId="00001617" w14:textId="77777777" w:rsidR="004F7DB3" w:rsidRDefault="00C00123">
            <w:pPr>
              <w:spacing w:after="0" w:line="240" w:lineRule="auto"/>
              <w:jc w:val="both"/>
              <w:rPr>
                <w:color w:val="000000"/>
                <w:sz w:val="16"/>
                <w:szCs w:val="16"/>
              </w:rPr>
            </w:pPr>
            <w:r>
              <w:rPr>
                <w:color w:val="000000"/>
                <w:sz w:val="16"/>
                <w:szCs w:val="16"/>
              </w:rPr>
              <w:t> </w:t>
            </w:r>
          </w:p>
        </w:tc>
      </w:tr>
      <w:tr w:rsidR="004F7DB3" w14:paraId="7EADFE53" w14:textId="77777777" w:rsidTr="5D8904BE">
        <w:trPr>
          <w:trHeight w:val="125"/>
        </w:trPr>
        <w:tc>
          <w:tcPr>
            <w:tcW w:w="2222" w:type="dxa"/>
            <w:tcBorders>
              <w:top w:val="nil"/>
              <w:left w:val="single" w:sz="4" w:space="0" w:color="000000" w:themeColor="text1"/>
              <w:bottom w:val="single" w:sz="4" w:space="0" w:color="000000" w:themeColor="text1"/>
              <w:right w:val="single" w:sz="4" w:space="0" w:color="000000" w:themeColor="text1"/>
            </w:tcBorders>
          </w:tcPr>
          <w:p w14:paraId="00001618" w14:textId="77777777" w:rsidR="004F7DB3" w:rsidRDefault="00C00123">
            <w:pPr>
              <w:spacing w:after="0" w:line="240" w:lineRule="auto"/>
              <w:jc w:val="both"/>
              <w:rPr>
                <w:b/>
                <w:color w:val="000000"/>
                <w:sz w:val="16"/>
                <w:szCs w:val="16"/>
              </w:rPr>
            </w:pPr>
            <w:r>
              <w:rPr>
                <w:b/>
                <w:color w:val="000000"/>
                <w:sz w:val="16"/>
                <w:szCs w:val="16"/>
              </w:rPr>
              <w:lastRenderedPageBreak/>
              <w:t> </w:t>
            </w:r>
          </w:p>
        </w:tc>
        <w:tc>
          <w:tcPr>
            <w:tcW w:w="3286" w:type="dxa"/>
            <w:tcBorders>
              <w:top w:val="nil"/>
              <w:left w:val="nil"/>
              <w:bottom w:val="single" w:sz="4" w:space="0" w:color="000000" w:themeColor="text1"/>
              <w:right w:val="single" w:sz="4" w:space="0" w:color="000000" w:themeColor="text1"/>
            </w:tcBorders>
          </w:tcPr>
          <w:p w14:paraId="0000161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1A" w14:textId="49C04DA5" w:rsidR="004F7DB3" w:rsidRDefault="352EB93F">
            <w:pPr>
              <w:spacing w:after="0" w:line="240" w:lineRule="auto"/>
              <w:jc w:val="both"/>
              <w:rPr>
                <w:color w:val="000000"/>
                <w:sz w:val="16"/>
                <w:szCs w:val="16"/>
              </w:rPr>
            </w:pPr>
            <w:r>
              <w:rPr>
                <w:color w:val="000000"/>
                <w:sz w:val="16"/>
                <w:szCs w:val="16"/>
              </w:rPr>
              <w:t xml:space="preserve"> </w:t>
            </w:r>
            <w:sdt>
              <w:sdtPr>
                <w:tag w:val="goog_rdk_68"/>
                <w:id w:val="-2040034492"/>
              </w:sdtPr>
              <w:sdtContent>
                <w:proofErr w:type="spellStart"/>
                <w:r w:rsidR="73E7A8DC">
                  <w:rPr>
                    <w:rFonts w:ascii="Arial Unicode MS" w:eastAsia="Arial Unicode MS" w:hAnsi="Arial Unicode MS" w:cs="Arial Unicode MS"/>
                    <w:color w:val="000000"/>
                    <w:sz w:val="16"/>
                    <w:szCs w:val="16"/>
                    <w:shd w:val="clear" w:color="auto" w:fill="E6E6E6"/>
                  </w:rPr>
                  <w:t>X</w:t>
                </w:r>
              </w:sdtContent>
            </w:sdt>
            <w:r>
              <w:rPr>
                <w:color w:val="000000"/>
                <w:sz w:val="16"/>
                <w:szCs w:val="16"/>
              </w:rPr>
              <w:t>Sex-disaggregated</w:t>
            </w:r>
            <w:proofErr w:type="spellEnd"/>
            <w:r>
              <w:rPr>
                <w:color w:val="000000"/>
                <w:sz w:val="16"/>
                <w:szCs w:val="16"/>
              </w:rPr>
              <w:t xml:space="preserve"> </w:t>
            </w:r>
            <w:proofErr w:type="spellStart"/>
            <w:r>
              <w:rPr>
                <w:color w:val="000000"/>
                <w:sz w:val="16"/>
                <w:szCs w:val="16"/>
              </w:rPr>
              <w:t>indicators</w:t>
            </w:r>
            <w:proofErr w:type="spellEnd"/>
          </w:p>
        </w:tc>
        <w:tc>
          <w:tcPr>
            <w:tcW w:w="2751" w:type="dxa"/>
            <w:tcBorders>
              <w:top w:val="nil"/>
              <w:left w:val="nil"/>
              <w:bottom w:val="single" w:sz="4" w:space="0" w:color="000000" w:themeColor="text1"/>
              <w:right w:val="single" w:sz="4" w:space="0" w:color="000000" w:themeColor="text1"/>
            </w:tcBorders>
          </w:tcPr>
          <w:p w14:paraId="0000161B" w14:textId="77777777" w:rsidR="004F7DB3" w:rsidRDefault="00C00123">
            <w:pPr>
              <w:spacing w:after="0" w:line="240" w:lineRule="auto"/>
              <w:jc w:val="both"/>
              <w:rPr>
                <w:color w:val="000000"/>
                <w:sz w:val="16"/>
                <w:szCs w:val="16"/>
              </w:rPr>
            </w:pPr>
            <w:r>
              <w:rPr>
                <w:color w:val="000000"/>
                <w:sz w:val="16"/>
                <w:szCs w:val="16"/>
              </w:rPr>
              <w:t> </w:t>
            </w:r>
          </w:p>
        </w:tc>
      </w:tr>
      <w:tr w:rsidR="004F7DB3" w14:paraId="4DE10A82"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tcPr>
          <w:p w14:paraId="0000161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1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1E" w14:textId="6586F712" w:rsidR="004F7DB3" w:rsidRDefault="352EB93F">
            <w:pPr>
              <w:spacing w:after="0" w:line="240" w:lineRule="auto"/>
              <w:jc w:val="both"/>
              <w:rPr>
                <w:color w:val="000000"/>
                <w:sz w:val="16"/>
                <w:szCs w:val="16"/>
              </w:rPr>
            </w:pPr>
            <w:r>
              <w:rPr>
                <w:color w:val="000000"/>
                <w:sz w:val="16"/>
                <w:szCs w:val="16"/>
              </w:rPr>
              <w:t xml:space="preserve"> </w:t>
            </w:r>
            <w:sdt>
              <w:sdtPr>
                <w:tag w:val="goog_rdk_69"/>
                <w:id w:val="-402372767"/>
              </w:sdtPr>
              <w:sdtContent>
                <w:proofErr w:type="spellStart"/>
                <w:r w:rsidR="591308FC">
                  <w:rPr>
                    <w:rFonts w:ascii="Arial Unicode MS" w:eastAsia="Arial Unicode MS" w:hAnsi="Arial Unicode MS" w:cs="Arial Unicode MS"/>
                    <w:color w:val="000000"/>
                    <w:sz w:val="16"/>
                    <w:szCs w:val="16"/>
                    <w:shd w:val="clear" w:color="auto" w:fill="E6E6E6"/>
                  </w:rPr>
                  <w:t>X</w:t>
                </w:r>
              </w:sdtContent>
            </w:sdt>
            <w:r>
              <w:rPr>
                <w:color w:val="000000"/>
                <w:sz w:val="16"/>
                <w:szCs w:val="16"/>
              </w:rPr>
              <w:t>Gender</w:t>
            </w:r>
            <w:proofErr w:type="spellEnd"/>
            <w:r>
              <w:rPr>
                <w:color w:val="000000"/>
                <w:sz w:val="16"/>
                <w:szCs w:val="16"/>
              </w:rPr>
              <w:t xml:space="preserve">-sensitive </w:t>
            </w:r>
            <w:proofErr w:type="spellStart"/>
            <w:r>
              <w:rPr>
                <w:color w:val="000000"/>
                <w:sz w:val="16"/>
                <w:szCs w:val="16"/>
              </w:rPr>
              <w:t>indicators</w:t>
            </w:r>
            <w:proofErr w:type="spellEnd"/>
          </w:p>
        </w:tc>
        <w:tc>
          <w:tcPr>
            <w:tcW w:w="2751" w:type="dxa"/>
            <w:tcBorders>
              <w:top w:val="nil"/>
              <w:left w:val="nil"/>
              <w:bottom w:val="single" w:sz="4" w:space="0" w:color="000000" w:themeColor="text1"/>
              <w:right w:val="single" w:sz="4" w:space="0" w:color="000000" w:themeColor="text1"/>
            </w:tcBorders>
          </w:tcPr>
          <w:p w14:paraId="0000161F" w14:textId="77777777" w:rsidR="004F7DB3" w:rsidRDefault="00C00123">
            <w:pPr>
              <w:spacing w:after="0" w:line="240" w:lineRule="auto"/>
              <w:jc w:val="both"/>
              <w:rPr>
                <w:color w:val="000000"/>
                <w:sz w:val="16"/>
                <w:szCs w:val="16"/>
              </w:rPr>
            </w:pPr>
            <w:r>
              <w:rPr>
                <w:color w:val="000000"/>
                <w:sz w:val="16"/>
                <w:szCs w:val="16"/>
              </w:rPr>
              <w:t> </w:t>
            </w:r>
          </w:p>
        </w:tc>
      </w:tr>
      <w:tr w:rsidR="004F7DB3" w14:paraId="5F214F43" w14:textId="77777777" w:rsidTr="5D8904BE">
        <w:trPr>
          <w:trHeight w:val="143"/>
        </w:trPr>
        <w:tc>
          <w:tcPr>
            <w:tcW w:w="2222" w:type="dxa"/>
            <w:tcBorders>
              <w:top w:val="nil"/>
              <w:left w:val="single" w:sz="4" w:space="0" w:color="000000" w:themeColor="text1"/>
              <w:bottom w:val="single" w:sz="4" w:space="0" w:color="000000" w:themeColor="text1"/>
              <w:right w:val="single" w:sz="4" w:space="0" w:color="000000" w:themeColor="text1"/>
            </w:tcBorders>
          </w:tcPr>
          <w:p w14:paraId="0000162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21" w14:textId="4B740B50" w:rsidR="004F7DB3" w:rsidRDefault="00000000" w:rsidP="24AA8F7E">
            <w:pPr>
              <w:spacing w:after="0" w:line="240" w:lineRule="auto"/>
              <w:jc w:val="both"/>
              <w:rPr>
                <w:b/>
                <w:bCs/>
                <w:color w:val="000000"/>
                <w:sz w:val="16"/>
                <w:szCs w:val="16"/>
              </w:rPr>
            </w:pPr>
            <w:sdt>
              <w:sdtPr>
                <w:tag w:val="goog_rdk_70"/>
                <w:id w:val="-1699151175"/>
              </w:sdtPr>
              <w:sdtContent>
                <w:proofErr w:type="spellStart"/>
                <w:r w:rsidR="015C8ACE">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Gender</w:t>
            </w:r>
            <w:proofErr w:type="spellEnd"/>
            <w:r w:rsidR="352EB93F" w:rsidRPr="24AA8F7E">
              <w:rPr>
                <w:b/>
                <w:bCs/>
                <w:color w:val="000000"/>
                <w:sz w:val="16"/>
                <w:szCs w:val="16"/>
              </w:rPr>
              <w:t xml:space="preserve"> </w:t>
            </w:r>
            <w:proofErr w:type="spellStart"/>
            <w:r w:rsidR="352EB93F" w:rsidRPr="24AA8F7E">
              <w:rPr>
                <w:b/>
                <w:bCs/>
                <w:color w:val="000000"/>
                <w:sz w:val="16"/>
                <w:szCs w:val="16"/>
              </w:rPr>
              <w:t>results</w:t>
            </w:r>
            <w:proofErr w:type="spellEnd"/>
            <w:r w:rsidR="352EB93F" w:rsidRPr="24AA8F7E">
              <w:rPr>
                <w:b/>
                <w:bCs/>
                <w:color w:val="000000"/>
                <w:sz w:val="16"/>
                <w:szCs w:val="16"/>
              </w:rPr>
              <w:t xml:space="preserve"> areas</w:t>
            </w:r>
          </w:p>
        </w:tc>
        <w:tc>
          <w:tcPr>
            <w:tcW w:w="2541" w:type="dxa"/>
            <w:tcBorders>
              <w:top w:val="nil"/>
              <w:left w:val="nil"/>
              <w:bottom w:val="single" w:sz="4" w:space="0" w:color="000000" w:themeColor="text1"/>
              <w:right w:val="single" w:sz="4" w:space="0" w:color="000000" w:themeColor="text1"/>
            </w:tcBorders>
          </w:tcPr>
          <w:p w14:paraId="00001622" w14:textId="77777777" w:rsidR="004F7DB3" w:rsidRDefault="004F7DB3">
            <w:pPr>
              <w:spacing w:after="0" w:line="240" w:lineRule="auto"/>
              <w:jc w:val="both"/>
              <w:rPr>
                <w:color w:val="000000"/>
                <w:sz w:val="16"/>
                <w:szCs w:val="16"/>
              </w:rPr>
            </w:pPr>
          </w:p>
        </w:tc>
        <w:tc>
          <w:tcPr>
            <w:tcW w:w="2751" w:type="dxa"/>
            <w:tcBorders>
              <w:top w:val="nil"/>
              <w:left w:val="nil"/>
              <w:bottom w:val="single" w:sz="4" w:space="0" w:color="000000" w:themeColor="text1"/>
              <w:right w:val="single" w:sz="4" w:space="0" w:color="000000" w:themeColor="text1"/>
            </w:tcBorders>
          </w:tcPr>
          <w:p w14:paraId="00001623" w14:textId="77777777" w:rsidR="004F7DB3" w:rsidRDefault="00C00123">
            <w:pPr>
              <w:spacing w:after="0" w:line="240" w:lineRule="auto"/>
              <w:jc w:val="both"/>
              <w:rPr>
                <w:color w:val="000000"/>
                <w:sz w:val="16"/>
                <w:szCs w:val="16"/>
              </w:rPr>
            </w:pPr>
            <w:r>
              <w:rPr>
                <w:color w:val="000000"/>
                <w:sz w:val="16"/>
                <w:szCs w:val="16"/>
              </w:rPr>
              <w:t> </w:t>
            </w:r>
          </w:p>
        </w:tc>
      </w:tr>
      <w:tr w:rsidR="004F7DB3" w:rsidRPr="00F50786" w14:paraId="71CA9267" w14:textId="77777777" w:rsidTr="5D8904BE">
        <w:trPr>
          <w:trHeight w:val="143"/>
        </w:trPr>
        <w:tc>
          <w:tcPr>
            <w:tcW w:w="2222" w:type="dxa"/>
            <w:tcBorders>
              <w:top w:val="nil"/>
              <w:left w:val="single" w:sz="4" w:space="0" w:color="000000" w:themeColor="text1"/>
              <w:bottom w:val="single" w:sz="4" w:space="0" w:color="000000" w:themeColor="text1"/>
              <w:right w:val="single" w:sz="4" w:space="0" w:color="000000" w:themeColor="text1"/>
            </w:tcBorders>
          </w:tcPr>
          <w:p w14:paraId="00001624"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tcPr>
          <w:p w14:paraId="00001625" w14:textId="77777777" w:rsidR="004F7DB3" w:rsidRDefault="004F7DB3">
            <w:pPr>
              <w:spacing w:after="0" w:line="240" w:lineRule="auto"/>
              <w:jc w:val="both"/>
              <w:rPr>
                <w:color w:val="000000"/>
                <w:sz w:val="16"/>
                <w:szCs w:val="16"/>
              </w:rPr>
            </w:pPr>
          </w:p>
        </w:tc>
        <w:tc>
          <w:tcPr>
            <w:tcW w:w="2541" w:type="dxa"/>
            <w:tcBorders>
              <w:top w:val="nil"/>
              <w:left w:val="nil"/>
              <w:bottom w:val="single" w:sz="4" w:space="0" w:color="000000" w:themeColor="text1"/>
              <w:right w:val="single" w:sz="4" w:space="0" w:color="000000" w:themeColor="text1"/>
            </w:tcBorders>
          </w:tcPr>
          <w:p w14:paraId="00001626" w14:textId="77C83CC6" w:rsidR="004F7DB3" w:rsidRPr="00C00123" w:rsidRDefault="00000000">
            <w:pPr>
              <w:spacing w:after="0" w:line="240" w:lineRule="auto"/>
              <w:ind w:left="150" w:hanging="150"/>
              <w:jc w:val="both"/>
              <w:rPr>
                <w:color w:val="000000"/>
                <w:sz w:val="16"/>
                <w:szCs w:val="16"/>
                <w:lang w:val="en-US"/>
              </w:rPr>
            </w:pPr>
            <w:sdt>
              <w:sdtPr>
                <w:tag w:val="goog_rdk_71"/>
                <w:id w:val="936717209"/>
              </w:sdtPr>
              <w:sdtContent>
                <w:proofErr w:type="spellStart"/>
                <w:r w:rsidR="12CB9F5D" w:rsidRPr="00C00123">
                  <w:rPr>
                    <w:rFonts w:ascii="Arial Unicode MS" w:eastAsia="Arial Unicode MS" w:hAnsi="Arial Unicode MS" w:cs="Arial Unicode MS"/>
                    <w:color w:val="000000"/>
                    <w:sz w:val="16"/>
                    <w:szCs w:val="16"/>
                    <w:shd w:val="clear" w:color="auto" w:fill="E6E6E6"/>
                    <w:lang w:val="en-US"/>
                  </w:rPr>
                  <w:t>X</w:t>
                </w:r>
              </w:sdtContent>
            </w:sdt>
            <w:r w:rsidR="352EB93F" w:rsidRPr="00C00123">
              <w:rPr>
                <w:color w:val="000000"/>
                <w:sz w:val="16"/>
                <w:szCs w:val="16"/>
                <w:lang w:val="en-US"/>
              </w:rPr>
              <w:t>Access</w:t>
            </w:r>
            <w:proofErr w:type="spellEnd"/>
            <w:r w:rsidR="352EB93F" w:rsidRPr="00C00123">
              <w:rPr>
                <w:color w:val="000000"/>
                <w:sz w:val="16"/>
                <w:szCs w:val="16"/>
                <w:lang w:val="en-US"/>
              </w:rPr>
              <w:t xml:space="preserve"> and control over natural resources</w:t>
            </w:r>
          </w:p>
        </w:tc>
        <w:tc>
          <w:tcPr>
            <w:tcW w:w="2751" w:type="dxa"/>
            <w:tcBorders>
              <w:top w:val="nil"/>
              <w:left w:val="nil"/>
              <w:bottom w:val="single" w:sz="4" w:space="0" w:color="000000" w:themeColor="text1"/>
              <w:right w:val="single" w:sz="4" w:space="0" w:color="000000" w:themeColor="text1"/>
            </w:tcBorders>
          </w:tcPr>
          <w:p w14:paraId="00001627" w14:textId="77777777" w:rsidR="004F7DB3" w:rsidRPr="00C00123" w:rsidRDefault="004F7DB3">
            <w:pPr>
              <w:spacing w:after="0" w:line="240" w:lineRule="auto"/>
              <w:jc w:val="both"/>
              <w:rPr>
                <w:color w:val="000000"/>
                <w:sz w:val="16"/>
                <w:szCs w:val="16"/>
                <w:lang w:val="en-US"/>
              </w:rPr>
            </w:pPr>
          </w:p>
        </w:tc>
      </w:tr>
      <w:tr w:rsidR="004F7DB3" w14:paraId="535E6BDC" w14:textId="77777777" w:rsidTr="5D8904BE">
        <w:trPr>
          <w:trHeight w:val="143"/>
        </w:trPr>
        <w:tc>
          <w:tcPr>
            <w:tcW w:w="2222" w:type="dxa"/>
            <w:tcBorders>
              <w:top w:val="nil"/>
              <w:left w:val="single" w:sz="4" w:space="0" w:color="000000" w:themeColor="text1"/>
              <w:bottom w:val="single" w:sz="4" w:space="0" w:color="000000" w:themeColor="text1"/>
              <w:right w:val="single" w:sz="4" w:space="0" w:color="000000" w:themeColor="text1"/>
            </w:tcBorders>
          </w:tcPr>
          <w:p w14:paraId="00001628"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629"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62A" w14:textId="64837A8C" w:rsidR="004F7DB3" w:rsidRDefault="00000000">
            <w:pPr>
              <w:spacing w:after="0" w:line="240" w:lineRule="auto"/>
              <w:jc w:val="both"/>
              <w:rPr>
                <w:color w:val="000000"/>
                <w:sz w:val="16"/>
                <w:szCs w:val="16"/>
              </w:rPr>
            </w:pPr>
            <w:sdt>
              <w:sdtPr>
                <w:tag w:val="goog_rdk_72"/>
                <w:id w:val="113180533"/>
              </w:sdtPr>
              <w:sdtContent>
                <w:proofErr w:type="spellStart"/>
                <w:r w:rsidR="23FC5011">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Participation</w:t>
            </w:r>
            <w:proofErr w:type="spellEnd"/>
            <w:r w:rsidR="352EB93F">
              <w:rPr>
                <w:color w:val="000000"/>
                <w:sz w:val="16"/>
                <w:szCs w:val="16"/>
              </w:rPr>
              <w:t xml:space="preserve"> and leadership</w:t>
            </w:r>
          </w:p>
        </w:tc>
        <w:tc>
          <w:tcPr>
            <w:tcW w:w="2751" w:type="dxa"/>
            <w:tcBorders>
              <w:top w:val="nil"/>
              <w:left w:val="nil"/>
              <w:bottom w:val="single" w:sz="4" w:space="0" w:color="000000" w:themeColor="text1"/>
              <w:right w:val="single" w:sz="4" w:space="0" w:color="000000" w:themeColor="text1"/>
            </w:tcBorders>
          </w:tcPr>
          <w:p w14:paraId="0000162B" w14:textId="77777777" w:rsidR="004F7DB3" w:rsidRDefault="00C00123">
            <w:pPr>
              <w:spacing w:after="0" w:line="240" w:lineRule="auto"/>
              <w:jc w:val="both"/>
              <w:rPr>
                <w:color w:val="000000"/>
                <w:sz w:val="16"/>
                <w:szCs w:val="16"/>
              </w:rPr>
            </w:pPr>
            <w:r>
              <w:rPr>
                <w:color w:val="000000"/>
                <w:sz w:val="16"/>
                <w:szCs w:val="16"/>
              </w:rPr>
              <w:t> </w:t>
            </w:r>
          </w:p>
        </w:tc>
      </w:tr>
      <w:tr w:rsidR="004F7DB3" w:rsidRPr="00F50786" w14:paraId="1436975F"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tcPr>
          <w:p w14:paraId="0000162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2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2E" w14:textId="6D65EAD2" w:rsidR="004F7DB3" w:rsidRPr="00C00123" w:rsidRDefault="00000000">
            <w:pPr>
              <w:spacing w:after="0" w:line="240" w:lineRule="auto"/>
              <w:jc w:val="both"/>
              <w:rPr>
                <w:color w:val="000000"/>
                <w:sz w:val="16"/>
                <w:szCs w:val="16"/>
                <w:lang w:val="en-US"/>
              </w:rPr>
            </w:pPr>
            <w:sdt>
              <w:sdtPr>
                <w:tag w:val="goog_rdk_73"/>
                <w:id w:val="-793209435"/>
              </w:sdtPr>
              <w:sdtContent>
                <w:proofErr w:type="spellStart"/>
                <w:r w:rsidR="09DD61C1" w:rsidRPr="00C00123">
                  <w:rPr>
                    <w:rFonts w:ascii="Arial Unicode MS" w:eastAsia="Arial Unicode MS" w:hAnsi="Arial Unicode MS" w:cs="Arial Unicode MS"/>
                    <w:color w:val="000000"/>
                    <w:sz w:val="16"/>
                    <w:szCs w:val="16"/>
                    <w:shd w:val="clear" w:color="auto" w:fill="E6E6E6"/>
                    <w:lang w:val="en-US"/>
                  </w:rPr>
                  <w:t>X</w:t>
                </w:r>
              </w:sdtContent>
            </w:sdt>
            <w:r w:rsidR="352EB93F" w:rsidRPr="00C00123">
              <w:rPr>
                <w:color w:val="000000"/>
                <w:sz w:val="16"/>
                <w:szCs w:val="16"/>
                <w:lang w:val="en-US"/>
              </w:rPr>
              <w:t>Access</w:t>
            </w:r>
            <w:proofErr w:type="spellEnd"/>
            <w:r w:rsidR="352EB93F" w:rsidRPr="00C00123">
              <w:rPr>
                <w:color w:val="000000"/>
                <w:sz w:val="16"/>
                <w:szCs w:val="16"/>
                <w:lang w:val="en-US"/>
              </w:rPr>
              <w:t xml:space="preserve"> to benefits and services</w:t>
            </w:r>
          </w:p>
        </w:tc>
        <w:tc>
          <w:tcPr>
            <w:tcW w:w="2751" w:type="dxa"/>
            <w:tcBorders>
              <w:top w:val="nil"/>
              <w:left w:val="nil"/>
              <w:bottom w:val="single" w:sz="4" w:space="0" w:color="000000" w:themeColor="text1"/>
              <w:right w:val="single" w:sz="4" w:space="0" w:color="000000" w:themeColor="text1"/>
            </w:tcBorders>
          </w:tcPr>
          <w:p w14:paraId="0000162F"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r>
      <w:tr w:rsidR="004F7DB3" w14:paraId="7DEEB558"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tcPr>
          <w:p w14:paraId="00001630"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631"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632" w14:textId="5F7AFA78" w:rsidR="004F7DB3" w:rsidRDefault="00000000">
            <w:pPr>
              <w:spacing w:after="0" w:line="240" w:lineRule="auto"/>
              <w:jc w:val="both"/>
              <w:rPr>
                <w:color w:val="000000"/>
                <w:sz w:val="16"/>
                <w:szCs w:val="16"/>
              </w:rPr>
            </w:pPr>
            <w:sdt>
              <w:sdtPr>
                <w:tag w:val="goog_rdk_74"/>
                <w:id w:val="447976000"/>
              </w:sdtPr>
              <w:sdtContent>
                <w:proofErr w:type="spellStart"/>
                <w:r w:rsidR="52C157A6">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Capacity</w:t>
            </w:r>
            <w:proofErr w:type="spellEnd"/>
            <w:r w:rsidR="352EB93F">
              <w:rPr>
                <w:color w:val="000000"/>
                <w:sz w:val="16"/>
                <w:szCs w:val="16"/>
              </w:rPr>
              <w:t xml:space="preserve"> </w:t>
            </w:r>
            <w:proofErr w:type="spellStart"/>
            <w:r w:rsidR="352EB93F">
              <w:rPr>
                <w:color w:val="000000"/>
                <w:sz w:val="16"/>
                <w:szCs w:val="16"/>
              </w:rPr>
              <w:t>development</w:t>
            </w:r>
            <w:proofErr w:type="spellEnd"/>
          </w:p>
        </w:tc>
        <w:tc>
          <w:tcPr>
            <w:tcW w:w="2751" w:type="dxa"/>
            <w:tcBorders>
              <w:top w:val="nil"/>
              <w:left w:val="nil"/>
              <w:bottom w:val="single" w:sz="4" w:space="0" w:color="000000" w:themeColor="text1"/>
              <w:right w:val="single" w:sz="4" w:space="0" w:color="000000" w:themeColor="text1"/>
            </w:tcBorders>
          </w:tcPr>
          <w:p w14:paraId="00001633" w14:textId="77777777" w:rsidR="004F7DB3" w:rsidRDefault="00C00123">
            <w:pPr>
              <w:spacing w:after="0" w:line="240" w:lineRule="auto"/>
              <w:jc w:val="both"/>
              <w:rPr>
                <w:color w:val="000000"/>
                <w:sz w:val="16"/>
                <w:szCs w:val="16"/>
              </w:rPr>
            </w:pPr>
            <w:r>
              <w:rPr>
                <w:color w:val="000000"/>
                <w:sz w:val="16"/>
                <w:szCs w:val="16"/>
              </w:rPr>
              <w:t> </w:t>
            </w:r>
          </w:p>
        </w:tc>
      </w:tr>
      <w:tr w:rsidR="004F7DB3" w14:paraId="131D2163" w14:textId="77777777" w:rsidTr="5D8904BE">
        <w:trPr>
          <w:trHeight w:val="143"/>
        </w:trPr>
        <w:tc>
          <w:tcPr>
            <w:tcW w:w="2222" w:type="dxa"/>
            <w:tcBorders>
              <w:top w:val="nil"/>
              <w:left w:val="single" w:sz="4" w:space="0" w:color="000000" w:themeColor="text1"/>
              <w:bottom w:val="single" w:sz="4" w:space="0" w:color="000000" w:themeColor="text1"/>
              <w:right w:val="single" w:sz="4" w:space="0" w:color="000000" w:themeColor="text1"/>
            </w:tcBorders>
          </w:tcPr>
          <w:p w14:paraId="0000163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3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0001636" w14:textId="0177853D" w:rsidR="004F7DB3" w:rsidRDefault="00000000">
            <w:pPr>
              <w:spacing w:after="0" w:line="240" w:lineRule="auto"/>
              <w:jc w:val="both"/>
              <w:rPr>
                <w:color w:val="000000"/>
                <w:sz w:val="16"/>
                <w:szCs w:val="16"/>
              </w:rPr>
            </w:pPr>
            <w:sdt>
              <w:sdtPr>
                <w:tag w:val="goog_rdk_75"/>
                <w:id w:val="-1822426291"/>
              </w:sdtPr>
              <w:sdtContent>
                <w:proofErr w:type="spellStart"/>
                <w:r w:rsidR="17E12439">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Awareness</w:t>
            </w:r>
            <w:proofErr w:type="spellEnd"/>
            <w:r w:rsidR="352EB93F">
              <w:rPr>
                <w:color w:val="000000"/>
                <w:sz w:val="16"/>
                <w:szCs w:val="16"/>
              </w:rPr>
              <w:t xml:space="preserve"> </w:t>
            </w:r>
            <w:proofErr w:type="spellStart"/>
            <w:r w:rsidR="352EB93F">
              <w:rPr>
                <w:color w:val="000000"/>
                <w:sz w:val="16"/>
                <w:szCs w:val="16"/>
              </w:rPr>
              <w:t>raising</w:t>
            </w:r>
            <w:proofErr w:type="spellEnd"/>
          </w:p>
        </w:tc>
        <w:tc>
          <w:tcPr>
            <w:tcW w:w="2751" w:type="dxa"/>
            <w:tcBorders>
              <w:top w:val="nil"/>
              <w:left w:val="nil"/>
              <w:bottom w:val="nil"/>
              <w:right w:val="nil"/>
            </w:tcBorders>
          </w:tcPr>
          <w:p w14:paraId="00001637" w14:textId="77777777" w:rsidR="004F7DB3" w:rsidRDefault="00C00123">
            <w:pPr>
              <w:spacing w:after="0" w:line="240" w:lineRule="auto"/>
              <w:jc w:val="both"/>
              <w:rPr>
                <w:color w:val="000000"/>
                <w:sz w:val="16"/>
                <w:szCs w:val="16"/>
              </w:rPr>
            </w:pPr>
            <w:r>
              <w:rPr>
                <w:color w:val="000000"/>
                <w:sz w:val="16"/>
                <w:szCs w:val="16"/>
              </w:rPr>
              <w:t> </w:t>
            </w:r>
          </w:p>
        </w:tc>
      </w:tr>
      <w:tr w:rsidR="004F7DB3" w14:paraId="14E4C50C" w14:textId="77777777" w:rsidTr="5D8904BE">
        <w:trPr>
          <w:trHeight w:val="125"/>
        </w:trPr>
        <w:tc>
          <w:tcPr>
            <w:tcW w:w="2222" w:type="dxa"/>
            <w:tcBorders>
              <w:top w:val="nil"/>
              <w:left w:val="single" w:sz="4" w:space="0" w:color="000000" w:themeColor="text1"/>
              <w:bottom w:val="single" w:sz="4" w:space="0" w:color="000000" w:themeColor="text1"/>
              <w:right w:val="single" w:sz="4" w:space="0" w:color="000000" w:themeColor="text1"/>
            </w:tcBorders>
          </w:tcPr>
          <w:p w14:paraId="0000163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3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single" w:sz="4" w:space="0" w:color="7F7F7F" w:themeColor="text1" w:themeTint="80"/>
              <w:bottom w:val="single" w:sz="4" w:space="0" w:color="7F7F7F" w:themeColor="text1" w:themeTint="80"/>
              <w:right w:val="single" w:sz="4" w:space="0" w:color="7F7F7F" w:themeColor="text1" w:themeTint="80"/>
            </w:tcBorders>
          </w:tcPr>
          <w:p w14:paraId="0000163A" w14:textId="720CFECF" w:rsidR="004F7DB3" w:rsidRDefault="00000000">
            <w:pPr>
              <w:spacing w:after="0" w:line="240" w:lineRule="auto"/>
              <w:jc w:val="both"/>
              <w:rPr>
                <w:color w:val="000000"/>
                <w:sz w:val="16"/>
                <w:szCs w:val="16"/>
              </w:rPr>
            </w:pPr>
            <w:sdt>
              <w:sdtPr>
                <w:tag w:val="goog_rdk_76"/>
                <w:id w:val="-1087611127"/>
              </w:sdtPr>
              <w:sdtContent>
                <w:proofErr w:type="spellStart"/>
                <w:r w:rsidR="3DC7D7B1">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Knowledge</w:t>
            </w:r>
            <w:proofErr w:type="spellEnd"/>
            <w:r w:rsidR="352EB93F">
              <w:rPr>
                <w:color w:val="000000"/>
                <w:sz w:val="16"/>
                <w:szCs w:val="16"/>
              </w:rPr>
              <w:t xml:space="preserve"> </w:t>
            </w:r>
            <w:proofErr w:type="spellStart"/>
            <w:r w:rsidR="352EB93F">
              <w:rPr>
                <w:color w:val="000000"/>
                <w:sz w:val="16"/>
                <w:szCs w:val="16"/>
              </w:rPr>
              <w:t>generation</w:t>
            </w:r>
            <w:proofErr w:type="spellEnd"/>
          </w:p>
        </w:tc>
        <w:tc>
          <w:tcPr>
            <w:tcW w:w="2751" w:type="dxa"/>
            <w:tcBorders>
              <w:top w:val="nil"/>
              <w:left w:val="nil"/>
              <w:bottom w:val="nil"/>
              <w:right w:val="nil"/>
            </w:tcBorders>
          </w:tcPr>
          <w:p w14:paraId="0000163B" w14:textId="77777777" w:rsidR="004F7DB3" w:rsidRDefault="00C00123">
            <w:pPr>
              <w:spacing w:after="0" w:line="240" w:lineRule="auto"/>
              <w:jc w:val="both"/>
              <w:rPr>
                <w:color w:val="000000"/>
                <w:sz w:val="16"/>
                <w:szCs w:val="16"/>
              </w:rPr>
            </w:pPr>
            <w:r>
              <w:rPr>
                <w:color w:val="000000"/>
                <w:sz w:val="16"/>
                <w:szCs w:val="16"/>
              </w:rPr>
              <w:t> </w:t>
            </w:r>
          </w:p>
        </w:tc>
      </w:tr>
      <w:tr w:rsidR="004F7DB3" w14:paraId="3CE9440B" w14:textId="77777777" w:rsidTr="5D8904BE">
        <w:trPr>
          <w:trHeight w:val="179"/>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3C" w14:textId="034FD1E7" w:rsidR="004F7DB3" w:rsidRDefault="00000000" w:rsidP="24AA8F7E">
            <w:pPr>
              <w:spacing w:after="0" w:line="240" w:lineRule="auto"/>
              <w:jc w:val="both"/>
              <w:rPr>
                <w:b/>
                <w:bCs/>
                <w:color w:val="000000"/>
                <w:sz w:val="16"/>
                <w:szCs w:val="16"/>
              </w:rPr>
            </w:pPr>
            <w:sdt>
              <w:sdtPr>
                <w:tag w:val="goog_rdk_77"/>
                <w:id w:val="1322237574"/>
              </w:sdtPr>
              <w:sdtContent>
                <w:proofErr w:type="spellStart"/>
                <w:r w:rsidR="2EEC5E5E">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Focal</w:t>
            </w:r>
            <w:proofErr w:type="spellEnd"/>
            <w:r w:rsidR="352EB93F" w:rsidRPr="24AA8F7E">
              <w:rPr>
                <w:b/>
                <w:bCs/>
                <w:color w:val="000000"/>
                <w:sz w:val="16"/>
                <w:szCs w:val="16"/>
              </w:rPr>
              <w:t xml:space="preserve"> Areas/</w:t>
            </w:r>
            <w:proofErr w:type="spellStart"/>
            <w:r w:rsidR="352EB93F" w:rsidRPr="24AA8F7E">
              <w:rPr>
                <w:b/>
                <w:bCs/>
                <w:color w:val="000000"/>
                <w:sz w:val="16"/>
                <w:szCs w:val="16"/>
              </w:rPr>
              <w:t>Theme</w:t>
            </w:r>
            <w:proofErr w:type="spellEnd"/>
          </w:p>
        </w:tc>
        <w:tc>
          <w:tcPr>
            <w:tcW w:w="3286" w:type="dxa"/>
            <w:tcBorders>
              <w:top w:val="nil"/>
              <w:left w:val="nil"/>
              <w:bottom w:val="single" w:sz="4" w:space="0" w:color="000000" w:themeColor="text1"/>
              <w:right w:val="single" w:sz="4" w:space="0" w:color="000000" w:themeColor="text1"/>
            </w:tcBorders>
          </w:tcPr>
          <w:p w14:paraId="0000163D" w14:textId="77777777" w:rsidR="004F7DB3" w:rsidRDefault="004F7DB3">
            <w:pPr>
              <w:spacing w:after="0" w:line="240" w:lineRule="auto"/>
              <w:jc w:val="both"/>
              <w:rPr>
                <w:b/>
                <w:color w:val="000000"/>
                <w:sz w:val="16"/>
                <w:szCs w:val="16"/>
              </w:rPr>
            </w:pPr>
          </w:p>
        </w:tc>
        <w:tc>
          <w:tcPr>
            <w:tcW w:w="2541" w:type="dxa"/>
            <w:tcBorders>
              <w:top w:val="single" w:sz="4" w:space="0" w:color="000000" w:themeColor="text1"/>
              <w:left w:val="nil"/>
              <w:bottom w:val="single" w:sz="4" w:space="0" w:color="000000" w:themeColor="text1"/>
              <w:right w:val="single" w:sz="4" w:space="0" w:color="000000" w:themeColor="text1"/>
            </w:tcBorders>
          </w:tcPr>
          <w:p w14:paraId="0000163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single" w:sz="4" w:space="0" w:color="000000" w:themeColor="text1"/>
              <w:left w:val="nil"/>
              <w:bottom w:val="single" w:sz="4" w:space="0" w:color="000000" w:themeColor="text1"/>
              <w:right w:val="single" w:sz="4" w:space="0" w:color="000000" w:themeColor="text1"/>
            </w:tcBorders>
          </w:tcPr>
          <w:p w14:paraId="0000163F" w14:textId="77777777" w:rsidR="004F7DB3" w:rsidRDefault="00C00123">
            <w:pPr>
              <w:spacing w:after="0" w:line="240" w:lineRule="auto"/>
              <w:jc w:val="both"/>
              <w:rPr>
                <w:color w:val="000000"/>
                <w:sz w:val="16"/>
                <w:szCs w:val="16"/>
              </w:rPr>
            </w:pPr>
            <w:r>
              <w:rPr>
                <w:color w:val="000000"/>
                <w:sz w:val="16"/>
                <w:szCs w:val="16"/>
              </w:rPr>
              <w:t> </w:t>
            </w:r>
          </w:p>
        </w:tc>
      </w:tr>
      <w:tr w:rsidR="004F7DB3" w14:paraId="74DFDE8A" w14:textId="77777777" w:rsidTr="5D8904BE">
        <w:trPr>
          <w:trHeight w:val="179"/>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40" w14:textId="77777777" w:rsidR="004F7DB3" w:rsidRDefault="004F7DB3">
            <w:pPr>
              <w:spacing w:after="0" w:line="240" w:lineRule="auto"/>
              <w:jc w:val="both"/>
              <w:rPr>
                <w:color w:val="000000"/>
                <w:sz w:val="16"/>
                <w:szCs w:val="16"/>
              </w:rPr>
            </w:pPr>
          </w:p>
        </w:tc>
        <w:tc>
          <w:tcPr>
            <w:tcW w:w="3286" w:type="dxa"/>
            <w:tcBorders>
              <w:top w:val="nil"/>
              <w:left w:val="nil"/>
              <w:bottom w:val="single" w:sz="4" w:space="0" w:color="000000" w:themeColor="text1"/>
              <w:right w:val="single" w:sz="4" w:space="0" w:color="000000" w:themeColor="text1"/>
            </w:tcBorders>
          </w:tcPr>
          <w:p w14:paraId="00001641" w14:textId="423E7D1E" w:rsidR="004F7DB3" w:rsidRDefault="00000000">
            <w:pPr>
              <w:spacing w:after="0" w:line="240" w:lineRule="auto"/>
              <w:jc w:val="both"/>
              <w:rPr>
                <w:color w:val="000000"/>
                <w:sz w:val="16"/>
                <w:szCs w:val="16"/>
              </w:rPr>
            </w:pPr>
            <w:sdt>
              <w:sdtPr>
                <w:tag w:val="goog_rdk_78"/>
                <w:id w:val="-1211649177"/>
              </w:sdtPr>
              <w:sdtContent>
                <w:proofErr w:type="spellStart"/>
                <w:r w:rsidR="6DF6FF73">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Integrated</w:t>
            </w:r>
            <w:proofErr w:type="spellEnd"/>
            <w:r w:rsidR="352EB93F" w:rsidRPr="24AA8F7E">
              <w:rPr>
                <w:b/>
                <w:bCs/>
                <w:color w:val="000000"/>
                <w:sz w:val="16"/>
                <w:szCs w:val="16"/>
              </w:rPr>
              <w:t xml:space="preserve"> Programs</w:t>
            </w:r>
          </w:p>
        </w:tc>
        <w:tc>
          <w:tcPr>
            <w:tcW w:w="2541" w:type="dxa"/>
            <w:tcBorders>
              <w:top w:val="single" w:sz="4" w:space="0" w:color="000000" w:themeColor="text1"/>
              <w:left w:val="nil"/>
              <w:bottom w:val="single" w:sz="4" w:space="0" w:color="000000" w:themeColor="text1"/>
              <w:right w:val="single" w:sz="4" w:space="0" w:color="000000" w:themeColor="text1"/>
            </w:tcBorders>
          </w:tcPr>
          <w:p w14:paraId="00001642" w14:textId="77777777" w:rsidR="004F7DB3" w:rsidRDefault="004F7DB3">
            <w:pPr>
              <w:spacing w:after="0" w:line="240" w:lineRule="auto"/>
              <w:jc w:val="both"/>
              <w:rPr>
                <w:color w:val="000000"/>
                <w:sz w:val="16"/>
                <w:szCs w:val="16"/>
              </w:rPr>
            </w:pPr>
          </w:p>
        </w:tc>
        <w:tc>
          <w:tcPr>
            <w:tcW w:w="2751" w:type="dxa"/>
            <w:tcBorders>
              <w:top w:val="single" w:sz="4" w:space="0" w:color="000000" w:themeColor="text1"/>
              <w:left w:val="nil"/>
              <w:bottom w:val="single" w:sz="4" w:space="0" w:color="000000" w:themeColor="text1"/>
              <w:right w:val="single" w:sz="4" w:space="0" w:color="000000" w:themeColor="text1"/>
            </w:tcBorders>
          </w:tcPr>
          <w:p w14:paraId="00001643" w14:textId="77777777" w:rsidR="004F7DB3" w:rsidRDefault="004F7DB3">
            <w:pPr>
              <w:spacing w:after="0" w:line="240" w:lineRule="auto"/>
              <w:jc w:val="both"/>
              <w:rPr>
                <w:color w:val="000000"/>
                <w:sz w:val="16"/>
                <w:szCs w:val="16"/>
              </w:rPr>
            </w:pPr>
          </w:p>
        </w:tc>
      </w:tr>
      <w:tr w:rsidR="004F7DB3" w:rsidRPr="00F50786" w14:paraId="7E7CA0A2" w14:textId="77777777" w:rsidTr="5D8904BE">
        <w:trPr>
          <w:trHeight w:val="224"/>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4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4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46" w14:textId="77777777" w:rsidR="004F7DB3" w:rsidRPr="00C00123" w:rsidRDefault="00000000">
            <w:pPr>
              <w:spacing w:after="0" w:line="240" w:lineRule="auto"/>
              <w:ind w:left="150" w:hanging="150"/>
              <w:jc w:val="both"/>
              <w:rPr>
                <w:color w:val="000000"/>
                <w:sz w:val="16"/>
                <w:szCs w:val="16"/>
                <w:lang w:val="en-US"/>
              </w:rPr>
            </w:pPr>
            <w:sdt>
              <w:sdtPr>
                <w:tag w:val="goog_rdk_79"/>
                <w:id w:val="-1764604094"/>
              </w:sdtPr>
              <w:sdtContent>
                <w:r w:rsidR="00C00123" w:rsidRPr="00C00123">
                  <w:rPr>
                    <w:rFonts w:ascii="Arial Unicode MS" w:eastAsia="Arial Unicode MS" w:hAnsi="Arial Unicode MS" w:cs="Arial Unicode MS"/>
                    <w:color w:val="000000"/>
                    <w:sz w:val="16"/>
                    <w:szCs w:val="16"/>
                    <w:shd w:val="clear" w:color="auto" w:fill="E6E6E6"/>
                    <w:lang w:val="en-US"/>
                  </w:rPr>
                  <w:t>☐</w:t>
                </w:r>
              </w:sdtContent>
            </w:sdt>
            <w:r w:rsidR="00C00123" w:rsidRPr="00C00123">
              <w:rPr>
                <w:color w:val="000000"/>
                <w:sz w:val="16"/>
                <w:szCs w:val="16"/>
                <w:lang w:val="en-US"/>
              </w:rPr>
              <w:t xml:space="preserve">Commodity Supply Chains (Good Growth Partnership) </w:t>
            </w:r>
          </w:p>
        </w:tc>
        <w:tc>
          <w:tcPr>
            <w:tcW w:w="2751" w:type="dxa"/>
            <w:tcBorders>
              <w:top w:val="nil"/>
              <w:left w:val="nil"/>
              <w:bottom w:val="single" w:sz="4" w:space="0" w:color="000000" w:themeColor="text1"/>
              <w:right w:val="single" w:sz="4" w:space="0" w:color="000000" w:themeColor="text1"/>
            </w:tcBorders>
          </w:tcPr>
          <w:p w14:paraId="00001647"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r>
      <w:tr w:rsidR="004F7DB3" w14:paraId="44A19EDA" w14:textId="77777777" w:rsidTr="5D8904BE">
        <w:trPr>
          <w:trHeight w:val="233"/>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48"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649"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64A"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64B" w14:textId="77777777" w:rsidR="004F7DB3" w:rsidRDefault="00000000">
            <w:pPr>
              <w:spacing w:after="0" w:line="240" w:lineRule="auto"/>
              <w:ind w:left="192" w:hanging="192"/>
              <w:jc w:val="both"/>
              <w:rPr>
                <w:color w:val="000000"/>
                <w:sz w:val="16"/>
                <w:szCs w:val="16"/>
              </w:rPr>
            </w:pPr>
            <w:sdt>
              <w:sdtPr>
                <w:tag w:val="goog_rdk_80"/>
                <w:id w:val="475422008"/>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Sustainable</w:t>
            </w:r>
            <w:proofErr w:type="spellEnd"/>
            <w:r w:rsidR="552CE4D7">
              <w:rPr>
                <w:color w:val="000000"/>
                <w:sz w:val="16"/>
                <w:szCs w:val="16"/>
              </w:rPr>
              <w:t xml:space="preserve"> </w:t>
            </w:r>
            <w:proofErr w:type="spellStart"/>
            <w:r w:rsidR="552CE4D7">
              <w:rPr>
                <w:color w:val="000000"/>
                <w:sz w:val="16"/>
                <w:szCs w:val="16"/>
              </w:rPr>
              <w:t>Commodities</w:t>
            </w:r>
            <w:proofErr w:type="spellEnd"/>
            <w:r w:rsidR="552CE4D7">
              <w:rPr>
                <w:color w:val="000000"/>
                <w:sz w:val="16"/>
                <w:szCs w:val="16"/>
              </w:rPr>
              <w:t xml:space="preserve"> Production</w:t>
            </w:r>
          </w:p>
        </w:tc>
      </w:tr>
      <w:tr w:rsidR="004F7DB3" w14:paraId="3EBBF187" w14:textId="77777777" w:rsidTr="5D8904BE">
        <w:trPr>
          <w:trHeight w:val="89"/>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4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4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4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4F" w14:textId="77777777" w:rsidR="004F7DB3" w:rsidRDefault="00000000">
            <w:pPr>
              <w:spacing w:after="0" w:line="240" w:lineRule="auto"/>
              <w:jc w:val="both"/>
              <w:rPr>
                <w:color w:val="000000"/>
                <w:sz w:val="16"/>
                <w:szCs w:val="16"/>
              </w:rPr>
            </w:pPr>
            <w:sdt>
              <w:sdtPr>
                <w:tag w:val="goog_rdk_81"/>
                <w:id w:val="246390911"/>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Deforestation</w:t>
            </w:r>
            <w:proofErr w:type="spellEnd"/>
            <w:r w:rsidR="552CE4D7">
              <w:rPr>
                <w:color w:val="000000"/>
                <w:sz w:val="16"/>
                <w:szCs w:val="16"/>
              </w:rPr>
              <w:t xml:space="preserve">-free </w:t>
            </w:r>
            <w:proofErr w:type="spellStart"/>
            <w:r w:rsidR="552CE4D7">
              <w:rPr>
                <w:color w:val="000000"/>
                <w:sz w:val="16"/>
                <w:szCs w:val="16"/>
              </w:rPr>
              <w:t>Sourcing</w:t>
            </w:r>
            <w:proofErr w:type="spellEnd"/>
          </w:p>
        </w:tc>
      </w:tr>
      <w:tr w:rsidR="004F7DB3" w14:paraId="1600003B" w14:textId="77777777" w:rsidTr="5D8904BE">
        <w:trPr>
          <w:trHeight w:val="161"/>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5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5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5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53" w14:textId="77777777" w:rsidR="004F7DB3" w:rsidRDefault="00000000">
            <w:pPr>
              <w:spacing w:after="0" w:line="240" w:lineRule="auto"/>
              <w:jc w:val="both"/>
              <w:rPr>
                <w:color w:val="000000"/>
                <w:sz w:val="16"/>
                <w:szCs w:val="16"/>
              </w:rPr>
            </w:pPr>
            <w:sdt>
              <w:sdtPr>
                <w:tag w:val="goog_rdk_82"/>
                <w:id w:val="-1772463475"/>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Financial Screening Tools</w:t>
            </w:r>
          </w:p>
        </w:tc>
      </w:tr>
      <w:tr w:rsidR="004F7DB3" w14:paraId="42DC2065" w14:textId="77777777" w:rsidTr="5D8904BE">
        <w:trPr>
          <w:trHeight w:val="9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5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5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5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57" w14:textId="77777777" w:rsidR="004F7DB3" w:rsidRDefault="00000000">
            <w:pPr>
              <w:spacing w:after="0" w:line="240" w:lineRule="auto"/>
              <w:jc w:val="both"/>
              <w:rPr>
                <w:color w:val="000000"/>
                <w:sz w:val="16"/>
                <w:szCs w:val="16"/>
              </w:rPr>
            </w:pPr>
            <w:sdt>
              <w:sdtPr>
                <w:tag w:val="goog_rdk_83"/>
                <w:id w:val="841735603"/>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High Conservation Value </w:t>
            </w:r>
            <w:proofErr w:type="spellStart"/>
            <w:r w:rsidR="552CE4D7">
              <w:rPr>
                <w:color w:val="000000"/>
                <w:sz w:val="16"/>
                <w:szCs w:val="16"/>
              </w:rPr>
              <w:t>Forests</w:t>
            </w:r>
            <w:proofErr w:type="spellEnd"/>
          </w:p>
        </w:tc>
      </w:tr>
      <w:tr w:rsidR="004F7DB3" w14:paraId="24F27C4E"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5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5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5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5B" w14:textId="77777777" w:rsidR="004F7DB3" w:rsidRDefault="00000000">
            <w:pPr>
              <w:spacing w:after="0" w:line="240" w:lineRule="auto"/>
              <w:jc w:val="both"/>
              <w:rPr>
                <w:color w:val="000000"/>
                <w:sz w:val="16"/>
                <w:szCs w:val="16"/>
              </w:rPr>
            </w:pPr>
            <w:sdt>
              <w:sdtPr>
                <w:tag w:val="goog_rdk_84"/>
                <w:id w:val="598144622"/>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High Carbon Stocks </w:t>
            </w:r>
            <w:proofErr w:type="spellStart"/>
            <w:r w:rsidR="552CE4D7">
              <w:rPr>
                <w:color w:val="000000"/>
                <w:sz w:val="16"/>
                <w:szCs w:val="16"/>
              </w:rPr>
              <w:t>Forests</w:t>
            </w:r>
            <w:proofErr w:type="spellEnd"/>
          </w:p>
        </w:tc>
      </w:tr>
      <w:tr w:rsidR="004F7DB3" w14:paraId="0745AF51" w14:textId="77777777" w:rsidTr="5D8904BE">
        <w:trPr>
          <w:trHeight w:val="143"/>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5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5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5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5F" w14:textId="77777777" w:rsidR="004F7DB3" w:rsidRDefault="00000000">
            <w:pPr>
              <w:spacing w:after="0" w:line="240" w:lineRule="auto"/>
              <w:jc w:val="both"/>
              <w:rPr>
                <w:color w:val="000000"/>
                <w:sz w:val="16"/>
                <w:szCs w:val="16"/>
              </w:rPr>
            </w:pPr>
            <w:sdt>
              <w:sdtPr>
                <w:tag w:val="goog_rdk_85"/>
                <w:id w:val="187579632"/>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Soybean</w:t>
            </w:r>
            <w:proofErr w:type="spellEnd"/>
            <w:r w:rsidR="552CE4D7">
              <w:rPr>
                <w:color w:val="000000"/>
                <w:sz w:val="16"/>
                <w:szCs w:val="16"/>
              </w:rPr>
              <w:t xml:space="preserve"> </w:t>
            </w:r>
            <w:proofErr w:type="spellStart"/>
            <w:r w:rsidR="552CE4D7">
              <w:rPr>
                <w:color w:val="000000"/>
                <w:sz w:val="16"/>
                <w:szCs w:val="16"/>
              </w:rPr>
              <w:t>Supply</w:t>
            </w:r>
            <w:proofErr w:type="spellEnd"/>
            <w:r w:rsidR="552CE4D7">
              <w:rPr>
                <w:color w:val="000000"/>
                <w:sz w:val="16"/>
                <w:szCs w:val="16"/>
              </w:rPr>
              <w:t xml:space="preserve"> Chain</w:t>
            </w:r>
          </w:p>
        </w:tc>
      </w:tr>
      <w:tr w:rsidR="004F7DB3" w14:paraId="6CCE09D4"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6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6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6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63" w14:textId="77777777" w:rsidR="004F7DB3" w:rsidRDefault="00000000">
            <w:pPr>
              <w:spacing w:after="0" w:line="240" w:lineRule="auto"/>
              <w:jc w:val="both"/>
              <w:rPr>
                <w:color w:val="000000"/>
                <w:sz w:val="16"/>
                <w:szCs w:val="16"/>
              </w:rPr>
            </w:pPr>
            <w:sdt>
              <w:sdtPr>
                <w:tag w:val="goog_rdk_86"/>
                <w:id w:val="784776286"/>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Oil</w:t>
            </w:r>
            <w:proofErr w:type="spellEnd"/>
            <w:r w:rsidR="552CE4D7">
              <w:rPr>
                <w:color w:val="000000"/>
                <w:sz w:val="16"/>
                <w:szCs w:val="16"/>
              </w:rPr>
              <w:t xml:space="preserve"> Palm </w:t>
            </w:r>
            <w:proofErr w:type="spellStart"/>
            <w:r w:rsidR="552CE4D7">
              <w:rPr>
                <w:color w:val="000000"/>
                <w:sz w:val="16"/>
                <w:szCs w:val="16"/>
              </w:rPr>
              <w:t>Supply</w:t>
            </w:r>
            <w:proofErr w:type="spellEnd"/>
            <w:r w:rsidR="552CE4D7">
              <w:rPr>
                <w:color w:val="000000"/>
                <w:sz w:val="16"/>
                <w:szCs w:val="16"/>
              </w:rPr>
              <w:t xml:space="preserve"> Chain</w:t>
            </w:r>
          </w:p>
        </w:tc>
      </w:tr>
      <w:tr w:rsidR="004F7DB3" w14:paraId="2213178E" w14:textId="77777777" w:rsidTr="5D8904BE">
        <w:trPr>
          <w:trHeight w:val="161"/>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6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6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6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67" w14:textId="77777777" w:rsidR="004F7DB3" w:rsidRDefault="00000000">
            <w:pPr>
              <w:spacing w:after="0" w:line="240" w:lineRule="auto"/>
              <w:jc w:val="both"/>
              <w:rPr>
                <w:color w:val="000000"/>
                <w:sz w:val="16"/>
                <w:szCs w:val="16"/>
              </w:rPr>
            </w:pPr>
            <w:sdt>
              <w:sdtPr>
                <w:tag w:val="goog_rdk_87"/>
                <w:id w:val="1857535627"/>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Beef</w:t>
            </w:r>
            <w:proofErr w:type="spellEnd"/>
            <w:r w:rsidR="552CE4D7">
              <w:rPr>
                <w:color w:val="000000"/>
                <w:sz w:val="16"/>
                <w:szCs w:val="16"/>
              </w:rPr>
              <w:t xml:space="preserve"> </w:t>
            </w:r>
            <w:proofErr w:type="spellStart"/>
            <w:r w:rsidR="552CE4D7">
              <w:rPr>
                <w:color w:val="000000"/>
                <w:sz w:val="16"/>
                <w:szCs w:val="16"/>
              </w:rPr>
              <w:t>Supply</w:t>
            </w:r>
            <w:proofErr w:type="spellEnd"/>
            <w:r w:rsidR="552CE4D7">
              <w:rPr>
                <w:color w:val="000000"/>
                <w:sz w:val="16"/>
                <w:szCs w:val="16"/>
              </w:rPr>
              <w:t xml:space="preserve"> Chain</w:t>
            </w:r>
          </w:p>
        </w:tc>
      </w:tr>
      <w:tr w:rsidR="004F7DB3" w14:paraId="583F22A0" w14:textId="77777777" w:rsidTr="5D8904BE">
        <w:trPr>
          <w:trHeight w:val="89"/>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6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6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6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6B" w14:textId="77777777" w:rsidR="004F7DB3" w:rsidRDefault="00000000">
            <w:pPr>
              <w:spacing w:after="0" w:line="240" w:lineRule="auto"/>
              <w:jc w:val="both"/>
              <w:rPr>
                <w:color w:val="000000"/>
                <w:sz w:val="16"/>
                <w:szCs w:val="16"/>
              </w:rPr>
            </w:pPr>
            <w:sdt>
              <w:sdtPr>
                <w:tag w:val="goog_rdk_88"/>
                <w:id w:val="-1560934337"/>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Smallholder</w:t>
            </w:r>
            <w:proofErr w:type="spellEnd"/>
            <w:r w:rsidR="552CE4D7">
              <w:rPr>
                <w:color w:val="000000"/>
                <w:sz w:val="16"/>
                <w:szCs w:val="16"/>
              </w:rPr>
              <w:t xml:space="preserve"> Farmers</w:t>
            </w:r>
          </w:p>
        </w:tc>
      </w:tr>
      <w:tr w:rsidR="004F7DB3" w14:paraId="6031E1B3"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6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6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6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6F" w14:textId="77777777" w:rsidR="004F7DB3" w:rsidRDefault="00000000">
            <w:pPr>
              <w:spacing w:after="0" w:line="240" w:lineRule="auto"/>
              <w:jc w:val="both"/>
              <w:rPr>
                <w:color w:val="000000"/>
                <w:sz w:val="16"/>
                <w:szCs w:val="16"/>
              </w:rPr>
            </w:pPr>
            <w:sdt>
              <w:sdtPr>
                <w:tag w:val="goog_rdk_89"/>
                <w:id w:val="306210453"/>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Adaptive Management</w:t>
            </w:r>
          </w:p>
        </w:tc>
      </w:tr>
      <w:tr w:rsidR="004F7DB3" w:rsidRPr="00F50786" w14:paraId="48C0E397"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7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7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72" w14:textId="77777777" w:rsidR="004F7DB3" w:rsidRPr="00C00123" w:rsidRDefault="00000000">
            <w:pPr>
              <w:spacing w:after="0" w:line="240" w:lineRule="auto"/>
              <w:ind w:left="150" w:hanging="150"/>
              <w:jc w:val="both"/>
              <w:rPr>
                <w:color w:val="000000"/>
                <w:sz w:val="16"/>
                <w:szCs w:val="16"/>
                <w:lang w:val="en-US"/>
              </w:rPr>
            </w:pPr>
            <w:sdt>
              <w:sdtPr>
                <w:tag w:val="goog_rdk_90"/>
                <w:id w:val="-380096867"/>
              </w:sdtPr>
              <w:sdtContent>
                <w:r w:rsidR="00C00123" w:rsidRPr="00C00123">
                  <w:rPr>
                    <w:rFonts w:ascii="Arial Unicode MS" w:eastAsia="Arial Unicode MS" w:hAnsi="Arial Unicode MS" w:cs="Arial Unicode MS"/>
                    <w:color w:val="000000"/>
                    <w:sz w:val="16"/>
                    <w:szCs w:val="16"/>
                    <w:shd w:val="clear" w:color="auto" w:fill="E6E6E6"/>
                    <w:lang w:val="en-US"/>
                  </w:rPr>
                  <w:t>☐</w:t>
                </w:r>
              </w:sdtContent>
            </w:sdt>
            <w:r w:rsidR="00C00123" w:rsidRPr="00C00123">
              <w:rPr>
                <w:color w:val="000000"/>
                <w:sz w:val="16"/>
                <w:szCs w:val="16"/>
                <w:lang w:val="en-US"/>
              </w:rPr>
              <w:t xml:space="preserve">Food Security in Sub-Sahara Africa </w:t>
            </w:r>
          </w:p>
        </w:tc>
        <w:tc>
          <w:tcPr>
            <w:tcW w:w="2751" w:type="dxa"/>
            <w:tcBorders>
              <w:top w:val="nil"/>
              <w:left w:val="nil"/>
              <w:bottom w:val="single" w:sz="4" w:space="0" w:color="000000" w:themeColor="text1"/>
              <w:right w:val="single" w:sz="4" w:space="0" w:color="000000" w:themeColor="text1"/>
            </w:tcBorders>
          </w:tcPr>
          <w:p w14:paraId="00001673"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r>
      <w:tr w:rsidR="004F7DB3" w14:paraId="65856D9F"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74"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675"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676"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677" w14:textId="77777777" w:rsidR="004F7DB3" w:rsidRDefault="00000000">
            <w:pPr>
              <w:spacing w:after="0" w:line="240" w:lineRule="auto"/>
              <w:jc w:val="both"/>
              <w:rPr>
                <w:color w:val="000000"/>
                <w:sz w:val="16"/>
                <w:szCs w:val="16"/>
              </w:rPr>
            </w:pPr>
            <w:sdt>
              <w:sdtPr>
                <w:tag w:val="goog_rdk_91"/>
                <w:id w:val="1439646331"/>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Resilience</w:t>
            </w:r>
            <w:proofErr w:type="spellEnd"/>
            <w:r w:rsidR="552CE4D7">
              <w:rPr>
                <w:color w:val="000000"/>
                <w:sz w:val="16"/>
                <w:szCs w:val="16"/>
              </w:rPr>
              <w:t xml:space="preserve"> (</w:t>
            </w:r>
            <w:proofErr w:type="spellStart"/>
            <w:r w:rsidR="552CE4D7">
              <w:rPr>
                <w:color w:val="000000"/>
                <w:sz w:val="16"/>
                <w:szCs w:val="16"/>
              </w:rPr>
              <w:t>climate</w:t>
            </w:r>
            <w:proofErr w:type="spellEnd"/>
            <w:r w:rsidR="552CE4D7">
              <w:rPr>
                <w:color w:val="000000"/>
                <w:sz w:val="16"/>
                <w:szCs w:val="16"/>
              </w:rPr>
              <w:t xml:space="preserve"> and </w:t>
            </w:r>
            <w:proofErr w:type="spellStart"/>
            <w:r w:rsidR="552CE4D7">
              <w:rPr>
                <w:color w:val="000000"/>
                <w:sz w:val="16"/>
                <w:szCs w:val="16"/>
              </w:rPr>
              <w:t>shocks</w:t>
            </w:r>
            <w:proofErr w:type="spellEnd"/>
            <w:r w:rsidR="552CE4D7">
              <w:rPr>
                <w:color w:val="000000"/>
                <w:sz w:val="16"/>
                <w:szCs w:val="16"/>
              </w:rPr>
              <w:t>)</w:t>
            </w:r>
          </w:p>
        </w:tc>
      </w:tr>
      <w:tr w:rsidR="004F7DB3" w14:paraId="25AB42AD" w14:textId="77777777" w:rsidTr="5D8904BE">
        <w:trPr>
          <w:trHeight w:val="161"/>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7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7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7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7B" w14:textId="77777777" w:rsidR="004F7DB3" w:rsidRDefault="00000000">
            <w:pPr>
              <w:spacing w:after="0" w:line="240" w:lineRule="auto"/>
              <w:jc w:val="both"/>
              <w:rPr>
                <w:color w:val="000000"/>
                <w:sz w:val="16"/>
                <w:szCs w:val="16"/>
              </w:rPr>
            </w:pPr>
            <w:sdt>
              <w:sdtPr>
                <w:tag w:val="goog_rdk_92"/>
                <w:id w:val="-1785271215"/>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Sustainable</w:t>
            </w:r>
            <w:proofErr w:type="spellEnd"/>
            <w:r w:rsidR="552CE4D7">
              <w:rPr>
                <w:color w:val="000000"/>
                <w:sz w:val="16"/>
                <w:szCs w:val="16"/>
              </w:rPr>
              <w:t xml:space="preserve"> Production </w:t>
            </w:r>
            <w:proofErr w:type="spellStart"/>
            <w:r w:rsidR="552CE4D7">
              <w:rPr>
                <w:color w:val="000000"/>
                <w:sz w:val="16"/>
                <w:szCs w:val="16"/>
              </w:rPr>
              <w:t>Systems</w:t>
            </w:r>
            <w:proofErr w:type="spellEnd"/>
          </w:p>
        </w:tc>
      </w:tr>
      <w:tr w:rsidR="004F7DB3" w14:paraId="0B68A444" w14:textId="77777777" w:rsidTr="5D8904BE">
        <w:trPr>
          <w:trHeight w:val="143"/>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7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7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7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7F" w14:textId="77777777" w:rsidR="004F7DB3" w:rsidRDefault="00000000">
            <w:pPr>
              <w:spacing w:after="0" w:line="240" w:lineRule="auto"/>
              <w:jc w:val="both"/>
              <w:rPr>
                <w:color w:val="000000"/>
                <w:sz w:val="16"/>
                <w:szCs w:val="16"/>
              </w:rPr>
            </w:pPr>
            <w:sdt>
              <w:sdtPr>
                <w:tag w:val="goog_rdk_93"/>
                <w:id w:val="1817373575"/>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Agroecosystems</w:t>
            </w:r>
            <w:proofErr w:type="spellEnd"/>
          </w:p>
        </w:tc>
      </w:tr>
      <w:tr w:rsidR="004F7DB3" w14:paraId="7DA965EE" w14:textId="77777777" w:rsidTr="5D8904BE">
        <w:trPr>
          <w:trHeight w:val="125"/>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8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8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8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83" w14:textId="77777777" w:rsidR="004F7DB3" w:rsidRDefault="00000000">
            <w:pPr>
              <w:spacing w:after="0" w:line="240" w:lineRule="auto"/>
              <w:jc w:val="both"/>
              <w:rPr>
                <w:color w:val="000000"/>
                <w:sz w:val="16"/>
                <w:szCs w:val="16"/>
              </w:rPr>
            </w:pPr>
            <w:sdt>
              <w:sdtPr>
                <w:tag w:val="goog_rdk_94"/>
                <w:id w:val="-1864050574"/>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Land and </w:t>
            </w:r>
            <w:proofErr w:type="spellStart"/>
            <w:r w:rsidR="552CE4D7">
              <w:rPr>
                <w:color w:val="000000"/>
                <w:sz w:val="16"/>
                <w:szCs w:val="16"/>
              </w:rPr>
              <w:t>Soil</w:t>
            </w:r>
            <w:proofErr w:type="spellEnd"/>
            <w:r w:rsidR="552CE4D7">
              <w:rPr>
                <w:color w:val="000000"/>
                <w:sz w:val="16"/>
                <w:szCs w:val="16"/>
              </w:rPr>
              <w:t xml:space="preserve"> </w:t>
            </w:r>
            <w:proofErr w:type="spellStart"/>
            <w:r w:rsidR="552CE4D7">
              <w:rPr>
                <w:color w:val="000000"/>
                <w:sz w:val="16"/>
                <w:szCs w:val="16"/>
              </w:rPr>
              <w:t>Health</w:t>
            </w:r>
            <w:proofErr w:type="spellEnd"/>
          </w:p>
        </w:tc>
      </w:tr>
      <w:tr w:rsidR="004F7DB3" w14:paraId="69750EC1" w14:textId="77777777" w:rsidTr="5D8904BE">
        <w:trPr>
          <w:trHeight w:val="107"/>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8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8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8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87" w14:textId="77777777" w:rsidR="004F7DB3" w:rsidRDefault="00000000">
            <w:pPr>
              <w:spacing w:after="0" w:line="240" w:lineRule="auto"/>
              <w:jc w:val="both"/>
              <w:rPr>
                <w:color w:val="000000"/>
                <w:sz w:val="16"/>
                <w:szCs w:val="16"/>
              </w:rPr>
            </w:pPr>
            <w:sdt>
              <w:sdtPr>
                <w:tag w:val="goog_rdk_95"/>
                <w:id w:val="-848325167"/>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Diversified</w:t>
            </w:r>
            <w:proofErr w:type="spellEnd"/>
            <w:r w:rsidR="552CE4D7">
              <w:rPr>
                <w:color w:val="000000"/>
                <w:sz w:val="16"/>
                <w:szCs w:val="16"/>
              </w:rPr>
              <w:t xml:space="preserve"> </w:t>
            </w:r>
            <w:proofErr w:type="spellStart"/>
            <w:r w:rsidR="552CE4D7">
              <w:rPr>
                <w:color w:val="000000"/>
                <w:sz w:val="16"/>
                <w:szCs w:val="16"/>
              </w:rPr>
              <w:t>Farming</w:t>
            </w:r>
            <w:proofErr w:type="spellEnd"/>
          </w:p>
        </w:tc>
      </w:tr>
      <w:tr w:rsidR="004F7DB3" w:rsidRPr="00F50786" w14:paraId="15104C18" w14:textId="77777777" w:rsidTr="5D8904BE">
        <w:trPr>
          <w:trHeight w:val="143"/>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8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8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8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8B" w14:textId="77777777" w:rsidR="004F7DB3" w:rsidRPr="00C00123" w:rsidRDefault="00000000">
            <w:pPr>
              <w:spacing w:after="0" w:line="240" w:lineRule="auto"/>
              <w:ind w:left="192" w:hanging="192"/>
              <w:jc w:val="both"/>
              <w:rPr>
                <w:color w:val="000000"/>
                <w:sz w:val="16"/>
                <w:szCs w:val="16"/>
                <w:lang w:val="en-US"/>
              </w:rPr>
            </w:pPr>
            <w:sdt>
              <w:sdtPr>
                <w:tag w:val="goog_rdk_96"/>
                <w:id w:val="-1786268216"/>
              </w:sdtPr>
              <w:sdtContent>
                <w:r w:rsidR="00C00123" w:rsidRPr="00C00123">
                  <w:rPr>
                    <w:rFonts w:ascii="Arial Unicode MS" w:eastAsia="Arial Unicode MS" w:hAnsi="Arial Unicode MS" w:cs="Arial Unicode MS"/>
                    <w:color w:val="000000"/>
                    <w:sz w:val="16"/>
                    <w:szCs w:val="16"/>
                    <w:shd w:val="clear" w:color="auto" w:fill="E6E6E6"/>
                    <w:lang w:val="en-US"/>
                  </w:rPr>
                  <w:t>☐</w:t>
                </w:r>
              </w:sdtContent>
            </w:sdt>
            <w:r w:rsidR="00C00123" w:rsidRPr="00C00123">
              <w:rPr>
                <w:color w:val="000000"/>
                <w:sz w:val="16"/>
                <w:szCs w:val="16"/>
                <w:lang w:val="en-US"/>
              </w:rPr>
              <w:t>Integrated Land and Water Management</w:t>
            </w:r>
          </w:p>
        </w:tc>
      </w:tr>
      <w:tr w:rsidR="004F7DB3" w14:paraId="2DDBDC37" w14:textId="77777777" w:rsidTr="5D8904BE">
        <w:trPr>
          <w:trHeight w:val="116"/>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8C"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68D"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68E"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68F" w14:textId="77777777" w:rsidR="004F7DB3" w:rsidRDefault="00000000">
            <w:pPr>
              <w:spacing w:after="0" w:line="240" w:lineRule="auto"/>
              <w:jc w:val="both"/>
              <w:rPr>
                <w:color w:val="000000"/>
                <w:sz w:val="16"/>
                <w:szCs w:val="16"/>
              </w:rPr>
            </w:pPr>
            <w:sdt>
              <w:sdtPr>
                <w:tag w:val="goog_rdk_97"/>
                <w:id w:val="1518814417"/>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Smallholder</w:t>
            </w:r>
            <w:proofErr w:type="spellEnd"/>
            <w:r w:rsidR="552CE4D7">
              <w:rPr>
                <w:color w:val="000000"/>
                <w:sz w:val="16"/>
                <w:szCs w:val="16"/>
              </w:rPr>
              <w:t xml:space="preserve"> </w:t>
            </w:r>
            <w:proofErr w:type="spellStart"/>
            <w:r w:rsidR="552CE4D7">
              <w:rPr>
                <w:color w:val="000000"/>
                <w:sz w:val="16"/>
                <w:szCs w:val="16"/>
              </w:rPr>
              <w:t>Farming</w:t>
            </w:r>
            <w:proofErr w:type="spellEnd"/>
          </w:p>
        </w:tc>
      </w:tr>
      <w:tr w:rsidR="004F7DB3" w14:paraId="7B452018"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9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9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9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93" w14:textId="77777777" w:rsidR="004F7DB3" w:rsidRDefault="00000000">
            <w:pPr>
              <w:spacing w:after="0" w:line="240" w:lineRule="auto"/>
              <w:jc w:val="both"/>
              <w:rPr>
                <w:color w:val="000000"/>
                <w:sz w:val="16"/>
                <w:szCs w:val="16"/>
              </w:rPr>
            </w:pPr>
            <w:sdt>
              <w:sdtPr>
                <w:tag w:val="goog_rdk_98"/>
                <w:id w:val="-852028967"/>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Small and Medium </w:t>
            </w:r>
            <w:proofErr w:type="spellStart"/>
            <w:r w:rsidR="552CE4D7">
              <w:rPr>
                <w:color w:val="000000"/>
                <w:sz w:val="16"/>
                <w:szCs w:val="16"/>
              </w:rPr>
              <w:t>Enterprises</w:t>
            </w:r>
            <w:proofErr w:type="spellEnd"/>
          </w:p>
        </w:tc>
      </w:tr>
      <w:tr w:rsidR="004F7DB3" w14:paraId="6D3D1777" w14:textId="77777777" w:rsidTr="5D8904BE">
        <w:trPr>
          <w:trHeight w:val="143"/>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9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9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9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97" w14:textId="77777777" w:rsidR="004F7DB3" w:rsidRDefault="00000000">
            <w:pPr>
              <w:spacing w:after="0" w:line="240" w:lineRule="auto"/>
              <w:jc w:val="both"/>
              <w:rPr>
                <w:color w:val="000000"/>
                <w:sz w:val="16"/>
                <w:szCs w:val="16"/>
              </w:rPr>
            </w:pPr>
            <w:sdt>
              <w:sdtPr>
                <w:tag w:val="goog_rdk_99"/>
                <w:id w:val="859477624"/>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Crop</w:t>
            </w:r>
            <w:proofErr w:type="spellEnd"/>
            <w:r w:rsidR="552CE4D7">
              <w:rPr>
                <w:color w:val="000000"/>
                <w:sz w:val="16"/>
                <w:szCs w:val="16"/>
              </w:rPr>
              <w:t xml:space="preserve"> </w:t>
            </w:r>
            <w:proofErr w:type="spellStart"/>
            <w:r w:rsidR="552CE4D7">
              <w:rPr>
                <w:color w:val="000000"/>
                <w:sz w:val="16"/>
                <w:szCs w:val="16"/>
              </w:rPr>
              <w:t>Genetic</w:t>
            </w:r>
            <w:proofErr w:type="spellEnd"/>
            <w:r w:rsidR="552CE4D7">
              <w:rPr>
                <w:color w:val="000000"/>
                <w:sz w:val="16"/>
                <w:szCs w:val="16"/>
              </w:rPr>
              <w:t xml:space="preserve"> Diversity</w:t>
            </w:r>
          </w:p>
        </w:tc>
      </w:tr>
      <w:tr w:rsidR="004F7DB3" w14:paraId="5BDC4E09" w14:textId="77777777" w:rsidTr="5D8904BE">
        <w:trPr>
          <w:trHeight w:val="134"/>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9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9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9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9B" w14:textId="77777777" w:rsidR="004F7DB3" w:rsidRDefault="00000000">
            <w:pPr>
              <w:spacing w:after="0" w:line="240" w:lineRule="auto"/>
              <w:jc w:val="both"/>
              <w:rPr>
                <w:color w:val="000000"/>
                <w:sz w:val="16"/>
                <w:szCs w:val="16"/>
              </w:rPr>
            </w:pPr>
            <w:sdt>
              <w:sdtPr>
                <w:tag w:val="goog_rdk_100"/>
                <w:id w:val="-1217192171"/>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Food Value </w:t>
            </w:r>
            <w:proofErr w:type="spellStart"/>
            <w:r w:rsidR="552CE4D7">
              <w:rPr>
                <w:color w:val="000000"/>
                <w:sz w:val="16"/>
                <w:szCs w:val="16"/>
              </w:rPr>
              <w:t>Chains</w:t>
            </w:r>
            <w:proofErr w:type="spellEnd"/>
          </w:p>
        </w:tc>
      </w:tr>
      <w:tr w:rsidR="004F7DB3" w14:paraId="773535E6"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9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9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9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9F" w14:textId="77777777" w:rsidR="004F7DB3" w:rsidRDefault="00000000">
            <w:pPr>
              <w:spacing w:after="0" w:line="240" w:lineRule="auto"/>
              <w:jc w:val="both"/>
              <w:rPr>
                <w:color w:val="000000"/>
                <w:sz w:val="16"/>
                <w:szCs w:val="16"/>
              </w:rPr>
            </w:pPr>
            <w:sdt>
              <w:sdtPr>
                <w:tag w:val="goog_rdk_101"/>
                <w:id w:val="1532234460"/>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Gender</w:t>
            </w:r>
            <w:proofErr w:type="spellEnd"/>
            <w:r w:rsidR="552CE4D7">
              <w:rPr>
                <w:color w:val="000000"/>
                <w:sz w:val="16"/>
                <w:szCs w:val="16"/>
              </w:rPr>
              <w:t xml:space="preserve"> Dimensions</w:t>
            </w:r>
          </w:p>
        </w:tc>
      </w:tr>
      <w:tr w:rsidR="004F7DB3" w14:paraId="2B69104B" w14:textId="77777777" w:rsidTr="5D8904BE">
        <w:trPr>
          <w:trHeight w:val="179"/>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A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A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A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A3" w14:textId="77777777" w:rsidR="004F7DB3" w:rsidRDefault="00000000">
            <w:pPr>
              <w:spacing w:after="0" w:line="240" w:lineRule="auto"/>
              <w:jc w:val="both"/>
              <w:rPr>
                <w:color w:val="000000"/>
                <w:sz w:val="16"/>
                <w:szCs w:val="16"/>
              </w:rPr>
            </w:pPr>
            <w:sdt>
              <w:sdtPr>
                <w:tag w:val="goog_rdk_102"/>
                <w:id w:val="-1631396163"/>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Multi-stakeholder Platforms</w:t>
            </w:r>
          </w:p>
        </w:tc>
      </w:tr>
      <w:tr w:rsidR="004F7DB3" w:rsidRPr="00F50786" w14:paraId="2C2493A4" w14:textId="77777777" w:rsidTr="5D8904BE">
        <w:trPr>
          <w:trHeight w:val="341"/>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A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A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A6" w14:textId="77777777" w:rsidR="004F7DB3" w:rsidRPr="00C00123" w:rsidRDefault="00000000">
            <w:pPr>
              <w:spacing w:after="0" w:line="240" w:lineRule="auto"/>
              <w:ind w:left="150" w:hanging="150"/>
              <w:jc w:val="both"/>
              <w:rPr>
                <w:color w:val="000000"/>
                <w:sz w:val="16"/>
                <w:szCs w:val="16"/>
                <w:lang w:val="en-US"/>
              </w:rPr>
            </w:pPr>
            <w:sdt>
              <w:sdtPr>
                <w:tag w:val="goog_rdk_103"/>
                <w:id w:val="-247188472"/>
              </w:sdtPr>
              <w:sdtContent>
                <w:r w:rsidR="00C00123" w:rsidRPr="00C00123">
                  <w:rPr>
                    <w:rFonts w:ascii="Arial Unicode MS" w:eastAsia="Arial Unicode MS" w:hAnsi="Arial Unicode MS" w:cs="Arial Unicode MS"/>
                    <w:color w:val="000000"/>
                    <w:sz w:val="16"/>
                    <w:szCs w:val="16"/>
                    <w:shd w:val="clear" w:color="auto" w:fill="E6E6E6"/>
                    <w:lang w:val="en-US"/>
                  </w:rPr>
                  <w:t>☐</w:t>
                </w:r>
              </w:sdtContent>
            </w:sdt>
            <w:r w:rsidR="00C00123" w:rsidRPr="00C00123">
              <w:rPr>
                <w:color w:val="000000"/>
                <w:sz w:val="16"/>
                <w:szCs w:val="16"/>
                <w:lang w:val="en-US"/>
              </w:rPr>
              <w:t>Food Systems, Land Use and Restoration</w:t>
            </w:r>
          </w:p>
        </w:tc>
        <w:tc>
          <w:tcPr>
            <w:tcW w:w="2751" w:type="dxa"/>
            <w:tcBorders>
              <w:top w:val="nil"/>
              <w:left w:val="nil"/>
              <w:bottom w:val="single" w:sz="4" w:space="0" w:color="000000" w:themeColor="text1"/>
              <w:right w:val="single" w:sz="4" w:space="0" w:color="000000" w:themeColor="text1"/>
            </w:tcBorders>
          </w:tcPr>
          <w:p w14:paraId="000016A7"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r>
      <w:tr w:rsidR="004F7DB3" w14:paraId="7B598153"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A8"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6A9"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6AA"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6AB" w14:textId="77777777" w:rsidR="004F7DB3" w:rsidRDefault="00000000">
            <w:pPr>
              <w:spacing w:after="0" w:line="240" w:lineRule="auto"/>
              <w:jc w:val="both"/>
              <w:rPr>
                <w:color w:val="000000"/>
                <w:sz w:val="16"/>
                <w:szCs w:val="16"/>
              </w:rPr>
            </w:pPr>
            <w:sdt>
              <w:sdtPr>
                <w:tag w:val="goog_rdk_104"/>
                <w:id w:val="612479648"/>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Sustainable</w:t>
            </w:r>
            <w:proofErr w:type="spellEnd"/>
            <w:r w:rsidR="552CE4D7">
              <w:rPr>
                <w:color w:val="000000"/>
                <w:sz w:val="16"/>
                <w:szCs w:val="16"/>
              </w:rPr>
              <w:t xml:space="preserve"> Food </w:t>
            </w:r>
            <w:proofErr w:type="spellStart"/>
            <w:r w:rsidR="552CE4D7">
              <w:rPr>
                <w:color w:val="000000"/>
                <w:sz w:val="16"/>
                <w:szCs w:val="16"/>
              </w:rPr>
              <w:t>Systems</w:t>
            </w:r>
            <w:proofErr w:type="spellEnd"/>
          </w:p>
        </w:tc>
      </w:tr>
      <w:tr w:rsidR="004F7DB3" w14:paraId="6ED8766A" w14:textId="77777777" w:rsidTr="5D8904BE">
        <w:trPr>
          <w:trHeight w:val="179"/>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A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A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A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AF" w14:textId="77777777" w:rsidR="004F7DB3" w:rsidRDefault="00000000">
            <w:pPr>
              <w:spacing w:after="0" w:line="240" w:lineRule="auto"/>
              <w:jc w:val="both"/>
              <w:rPr>
                <w:color w:val="000000"/>
                <w:sz w:val="16"/>
                <w:szCs w:val="16"/>
              </w:rPr>
            </w:pPr>
            <w:sdt>
              <w:sdtPr>
                <w:tag w:val="goog_rdk_105"/>
                <w:id w:val="1736888266"/>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Landscape</w:t>
            </w:r>
            <w:proofErr w:type="spellEnd"/>
            <w:r w:rsidR="552CE4D7">
              <w:rPr>
                <w:color w:val="000000"/>
                <w:sz w:val="16"/>
                <w:szCs w:val="16"/>
              </w:rPr>
              <w:t xml:space="preserve"> </w:t>
            </w:r>
            <w:proofErr w:type="spellStart"/>
            <w:r w:rsidR="552CE4D7">
              <w:rPr>
                <w:color w:val="000000"/>
                <w:sz w:val="16"/>
                <w:szCs w:val="16"/>
              </w:rPr>
              <w:t>Restoration</w:t>
            </w:r>
            <w:proofErr w:type="spellEnd"/>
          </w:p>
        </w:tc>
      </w:tr>
      <w:tr w:rsidR="004F7DB3" w14:paraId="0DCC0BB5"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B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B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B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B3" w14:textId="77777777" w:rsidR="004F7DB3" w:rsidRDefault="00000000">
            <w:pPr>
              <w:spacing w:after="0" w:line="240" w:lineRule="auto"/>
              <w:ind w:left="192" w:hanging="192"/>
              <w:jc w:val="both"/>
              <w:rPr>
                <w:color w:val="000000"/>
                <w:sz w:val="16"/>
                <w:szCs w:val="16"/>
              </w:rPr>
            </w:pPr>
            <w:sdt>
              <w:sdtPr>
                <w:tag w:val="goog_rdk_106"/>
                <w:id w:val="42417272"/>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Sustainable</w:t>
            </w:r>
            <w:proofErr w:type="spellEnd"/>
            <w:r w:rsidR="552CE4D7">
              <w:rPr>
                <w:color w:val="000000"/>
                <w:sz w:val="16"/>
                <w:szCs w:val="16"/>
              </w:rPr>
              <w:t xml:space="preserve"> </w:t>
            </w:r>
            <w:proofErr w:type="spellStart"/>
            <w:r w:rsidR="552CE4D7">
              <w:rPr>
                <w:color w:val="000000"/>
                <w:sz w:val="16"/>
                <w:szCs w:val="16"/>
              </w:rPr>
              <w:t>Commodity</w:t>
            </w:r>
            <w:proofErr w:type="spellEnd"/>
            <w:r w:rsidR="552CE4D7">
              <w:rPr>
                <w:color w:val="000000"/>
                <w:sz w:val="16"/>
                <w:szCs w:val="16"/>
              </w:rPr>
              <w:t xml:space="preserve"> Production</w:t>
            </w:r>
          </w:p>
        </w:tc>
      </w:tr>
      <w:tr w:rsidR="004F7DB3" w14:paraId="1D684FBB" w14:textId="77777777" w:rsidTr="5D8904BE">
        <w:trPr>
          <w:trHeight w:val="179"/>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B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B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B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B7" w14:textId="77777777" w:rsidR="004F7DB3" w:rsidRDefault="00000000">
            <w:pPr>
              <w:spacing w:after="0" w:line="240" w:lineRule="auto"/>
              <w:ind w:left="192" w:hanging="192"/>
              <w:jc w:val="both"/>
              <w:rPr>
                <w:color w:val="000000"/>
                <w:sz w:val="16"/>
                <w:szCs w:val="16"/>
              </w:rPr>
            </w:pPr>
            <w:sdt>
              <w:sdtPr>
                <w:tag w:val="goog_rdk_107"/>
                <w:id w:val="-808312757"/>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Comprehensive</w:t>
            </w:r>
            <w:proofErr w:type="spellEnd"/>
            <w:r w:rsidR="552CE4D7">
              <w:rPr>
                <w:color w:val="000000"/>
                <w:sz w:val="16"/>
                <w:szCs w:val="16"/>
              </w:rPr>
              <w:t xml:space="preserve"> Land Use Planning</w:t>
            </w:r>
          </w:p>
        </w:tc>
      </w:tr>
      <w:tr w:rsidR="004F7DB3" w14:paraId="222AE4A6" w14:textId="77777777" w:rsidTr="5D8904BE">
        <w:trPr>
          <w:trHeight w:val="62"/>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B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B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B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BB" w14:textId="77777777" w:rsidR="004F7DB3" w:rsidRDefault="00000000">
            <w:pPr>
              <w:spacing w:after="0" w:line="240" w:lineRule="auto"/>
              <w:jc w:val="both"/>
              <w:rPr>
                <w:color w:val="000000"/>
                <w:sz w:val="16"/>
                <w:szCs w:val="16"/>
              </w:rPr>
            </w:pPr>
            <w:sdt>
              <w:sdtPr>
                <w:tag w:val="goog_rdk_108"/>
                <w:id w:val="-1953619972"/>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Integrated </w:t>
            </w:r>
            <w:proofErr w:type="spellStart"/>
            <w:r w:rsidR="552CE4D7">
              <w:rPr>
                <w:color w:val="000000"/>
                <w:sz w:val="16"/>
                <w:szCs w:val="16"/>
              </w:rPr>
              <w:t>Landscapes</w:t>
            </w:r>
            <w:proofErr w:type="spellEnd"/>
          </w:p>
        </w:tc>
      </w:tr>
      <w:tr w:rsidR="004F7DB3" w14:paraId="1CE51985"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B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B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B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BF" w14:textId="77777777" w:rsidR="004F7DB3" w:rsidRDefault="00000000">
            <w:pPr>
              <w:spacing w:after="0" w:line="240" w:lineRule="auto"/>
              <w:jc w:val="both"/>
              <w:rPr>
                <w:color w:val="000000"/>
                <w:sz w:val="16"/>
                <w:szCs w:val="16"/>
              </w:rPr>
            </w:pPr>
            <w:sdt>
              <w:sdtPr>
                <w:tag w:val="goog_rdk_109"/>
                <w:id w:val="-987474474"/>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Food Value </w:t>
            </w:r>
            <w:proofErr w:type="spellStart"/>
            <w:r w:rsidR="552CE4D7">
              <w:rPr>
                <w:color w:val="000000"/>
                <w:sz w:val="16"/>
                <w:szCs w:val="16"/>
              </w:rPr>
              <w:t>Chains</w:t>
            </w:r>
            <w:proofErr w:type="spellEnd"/>
          </w:p>
        </w:tc>
      </w:tr>
      <w:tr w:rsidR="004F7DB3" w14:paraId="60CBBF30" w14:textId="77777777" w:rsidTr="5D8904BE">
        <w:trPr>
          <w:trHeight w:val="161"/>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C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C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C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C3" w14:textId="77777777" w:rsidR="004F7DB3" w:rsidRDefault="00000000">
            <w:pPr>
              <w:spacing w:after="0" w:line="240" w:lineRule="auto"/>
              <w:jc w:val="both"/>
              <w:rPr>
                <w:color w:val="000000"/>
                <w:sz w:val="16"/>
                <w:szCs w:val="16"/>
              </w:rPr>
            </w:pPr>
            <w:sdt>
              <w:sdtPr>
                <w:tag w:val="goog_rdk_110"/>
                <w:id w:val="941724623"/>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Deforestation</w:t>
            </w:r>
            <w:proofErr w:type="spellEnd"/>
            <w:r w:rsidR="552CE4D7">
              <w:rPr>
                <w:color w:val="000000"/>
                <w:sz w:val="16"/>
                <w:szCs w:val="16"/>
              </w:rPr>
              <w:t xml:space="preserve">-free </w:t>
            </w:r>
            <w:proofErr w:type="spellStart"/>
            <w:r w:rsidR="552CE4D7">
              <w:rPr>
                <w:color w:val="000000"/>
                <w:sz w:val="16"/>
                <w:szCs w:val="16"/>
              </w:rPr>
              <w:t>Sourcing</w:t>
            </w:r>
            <w:proofErr w:type="spellEnd"/>
          </w:p>
        </w:tc>
      </w:tr>
      <w:tr w:rsidR="004F7DB3" w14:paraId="7AC4AE2F" w14:textId="77777777" w:rsidTr="5D8904BE">
        <w:trPr>
          <w:trHeight w:val="143"/>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C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C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C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C7" w14:textId="77777777" w:rsidR="004F7DB3" w:rsidRDefault="00000000">
            <w:pPr>
              <w:spacing w:after="0" w:line="240" w:lineRule="auto"/>
              <w:jc w:val="both"/>
              <w:rPr>
                <w:color w:val="000000"/>
                <w:sz w:val="16"/>
                <w:szCs w:val="16"/>
              </w:rPr>
            </w:pPr>
            <w:sdt>
              <w:sdtPr>
                <w:tag w:val="goog_rdk_111"/>
                <w:id w:val="115650945"/>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Smallholder</w:t>
            </w:r>
            <w:proofErr w:type="spellEnd"/>
            <w:r w:rsidR="552CE4D7">
              <w:rPr>
                <w:color w:val="000000"/>
                <w:sz w:val="16"/>
                <w:szCs w:val="16"/>
              </w:rPr>
              <w:t xml:space="preserve"> Farmers</w:t>
            </w:r>
          </w:p>
        </w:tc>
      </w:tr>
      <w:tr w:rsidR="004F7DB3" w14:paraId="4DB3F65F"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C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C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CA" w14:textId="52583E41" w:rsidR="004F7DB3" w:rsidRDefault="00000000">
            <w:pPr>
              <w:spacing w:after="0" w:line="240" w:lineRule="auto"/>
              <w:jc w:val="both"/>
              <w:rPr>
                <w:color w:val="000000"/>
                <w:sz w:val="16"/>
                <w:szCs w:val="16"/>
              </w:rPr>
            </w:pPr>
            <w:sdt>
              <w:sdtPr>
                <w:tag w:val="goog_rdk_112"/>
                <w:id w:val="-860511121"/>
              </w:sdtPr>
              <w:sdtContent>
                <w:proofErr w:type="spellStart"/>
                <w:r w:rsidR="54BA33F9">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Sustainable</w:t>
            </w:r>
            <w:proofErr w:type="spellEnd"/>
            <w:r w:rsidR="352EB93F">
              <w:rPr>
                <w:color w:val="000000"/>
                <w:sz w:val="16"/>
                <w:szCs w:val="16"/>
              </w:rPr>
              <w:t xml:space="preserve"> Cities</w:t>
            </w:r>
          </w:p>
        </w:tc>
        <w:tc>
          <w:tcPr>
            <w:tcW w:w="2751" w:type="dxa"/>
            <w:tcBorders>
              <w:top w:val="nil"/>
              <w:left w:val="nil"/>
              <w:bottom w:val="single" w:sz="4" w:space="0" w:color="000000" w:themeColor="text1"/>
              <w:right w:val="single" w:sz="4" w:space="0" w:color="000000" w:themeColor="text1"/>
            </w:tcBorders>
          </w:tcPr>
          <w:p w14:paraId="000016CB" w14:textId="77777777" w:rsidR="004F7DB3" w:rsidRDefault="00C00123">
            <w:pPr>
              <w:spacing w:after="0" w:line="240" w:lineRule="auto"/>
              <w:jc w:val="both"/>
              <w:rPr>
                <w:color w:val="000000"/>
                <w:sz w:val="16"/>
                <w:szCs w:val="16"/>
              </w:rPr>
            </w:pPr>
            <w:r>
              <w:rPr>
                <w:color w:val="000000"/>
                <w:sz w:val="16"/>
                <w:szCs w:val="16"/>
              </w:rPr>
              <w:t> </w:t>
            </w:r>
          </w:p>
        </w:tc>
      </w:tr>
      <w:tr w:rsidR="004F7DB3" w14:paraId="0E6A1155" w14:textId="77777777" w:rsidTr="5D8904BE">
        <w:trPr>
          <w:trHeight w:val="179"/>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C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C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C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CF" w14:textId="45D7BF92" w:rsidR="004F7DB3" w:rsidRDefault="00000000">
            <w:pPr>
              <w:spacing w:after="0" w:line="240" w:lineRule="auto"/>
              <w:jc w:val="both"/>
              <w:rPr>
                <w:color w:val="000000"/>
                <w:sz w:val="16"/>
                <w:szCs w:val="16"/>
              </w:rPr>
            </w:pPr>
            <w:sdt>
              <w:sdtPr>
                <w:tag w:val="goog_rdk_113"/>
                <w:id w:val="402573833"/>
              </w:sdtPr>
              <w:sdtContent>
                <w:proofErr w:type="spellStart"/>
                <w:r w:rsidR="7CAA5D17">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Integrated</w:t>
            </w:r>
            <w:proofErr w:type="spellEnd"/>
            <w:r w:rsidR="352EB93F">
              <w:rPr>
                <w:color w:val="000000"/>
                <w:sz w:val="16"/>
                <w:szCs w:val="16"/>
              </w:rPr>
              <w:t xml:space="preserve"> </w:t>
            </w:r>
            <w:proofErr w:type="spellStart"/>
            <w:r w:rsidR="352EB93F">
              <w:rPr>
                <w:color w:val="000000"/>
                <w:sz w:val="16"/>
                <w:szCs w:val="16"/>
              </w:rPr>
              <w:t>urban</w:t>
            </w:r>
            <w:proofErr w:type="spellEnd"/>
            <w:r w:rsidR="352EB93F">
              <w:rPr>
                <w:color w:val="000000"/>
                <w:sz w:val="16"/>
                <w:szCs w:val="16"/>
              </w:rPr>
              <w:t xml:space="preserve"> planning</w:t>
            </w:r>
          </w:p>
        </w:tc>
      </w:tr>
      <w:tr w:rsidR="004F7DB3" w14:paraId="7888322F" w14:textId="77777777" w:rsidTr="5D8904BE">
        <w:trPr>
          <w:trHeight w:val="62"/>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D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D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D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D3" w14:textId="0CF76D0F" w:rsidR="004F7DB3" w:rsidRDefault="00000000">
            <w:pPr>
              <w:spacing w:after="0" w:line="240" w:lineRule="auto"/>
              <w:jc w:val="both"/>
              <w:rPr>
                <w:color w:val="000000"/>
                <w:sz w:val="16"/>
                <w:szCs w:val="16"/>
              </w:rPr>
            </w:pPr>
            <w:sdt>
              <w:sdtPr>
                <w:tag w:val="goog_rdk_114"/>
                <w:id w:val="743379991"/>
              </w:sdtPr>
              <w:sdtContent>
                <w:proofErr w:type="spellStart"/>
                <w:r w:rsidR="7342E2E8">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Urban</w:t>
            </w:r>
            <w:proofErr w:type="spellEnd"/>
            <w:r w:rsidR="352EB93F">
              <w:rPr>
                <w:color w:val="000000"/>
                <w:sz w:val="16"/>
                <w:szCs w:val="16"/>
              </w:rPr>
              <w:t xml:space="preserve"> </w:t>
            </w:r>
            <w:proofErr w:type="spellStart"/>
            <w:r w:rsidR="352EB93F">
              <w:rPr>
                <w:color w:val="000000"/>
                <w:sz w:val="16"/>
                <w:szCs w:val="16"/>
              </w:rPr>
              <w:t>sustainability</w:t>
            </w:r>
            <w:proofErr w:type="spellEnd"/>
            <w:r w:rsidR="352EB93F">
              <w:rPr>
                <w:color w:val="000000"/>
                <w:sz w:val="16"/>
                <w:szCs w:val="16"/>
              </w:rPr>
              <w:t xml:space="preserve"> </w:t>
            </w:r>
            <w:proofErr w:type="spellStart"/>
            <w:r w:rsidR="352EB93F">
              <w:rPr>
                <w:color w:val="000000"/>
                <w:sz w:val="16"/>
                <w:szCs w:val="16"/>
              </w:rPr>
              <w:t>framework</w:t>
            </w:r>
            <w:proofErr w:type="spellEnd"/>
          </w:p>
        </w:tc>
      </w:tr>
      <w:tr w:rsidR="004F7DB3" w14:paraId="6ACB58BC"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D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D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D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D7" w14:textId="3D770C98" w:rsidR="004F7DB3" w:rsidRDefault="00000000">
            <w:pPr>
              <w:spacing w:after="0" w:line="240" w:lineRule="auto"/>
              <w:jc w:val="both"/>
              <w:rPr>
                <w:color w:val="000000"/>
                <w:sz w:val="16"/>
                <w:szCs w:val="16"/>
              </w:rPr>
            </w:pPr>
            <w:sdt>
              <w:sdtPr>
                <w:tag w:val="goog_rdk_115"/>
                <w:id w:val="938790704"/>
              </w:sdtPr>
              <w:sdtContent>
                <w:proofErr w:type="spellStart"/>
                <w:r w:rsidR="2838AA89">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Transport</w:t>
            </w:r>
            <w:proofErr w:type="spellEnd"/>
            <w:r w:rsidR="352EB93F">
              <w:rPr>
                <w:color w:val="000000"/>
                <w:sz w:val="16"/>
                <w:szCs w:val="16"/>
              </w:rPr>
              <w:t xml:space="preserve"> and </w:t>
            </w:r>
            <w:proofErr w:type="spellStart"/>
            <w:r w:rsidR="352EB93F">
              <w:rPr>
                <w:color w:val="000000"/>
                <w:sz w:val="16"/>
                <w:szCs w:val="16"/>
              </w:rPr>
              <w:t>Mobility</w:t>
            </w:r>
            <w:proofErr w:type="spellEnd"/>
          </w:p>
        </w:tc>
      </w:tr>
      <w:tr w:rsidR="004F7DB3" w14:paraId="1A47DD75" w14:textId="77777777" w:rsidTr="5D8904BE">
        <w:trPr>
          <w:trHeight w:val="116"/>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D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D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D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DB" w14:textId="77777777" w:rsidR="004F7DB3" w:rsidRDefault="00000000">
            <w:pPr>
              <w:spacing w:after="0" w:line="240" w:lineRule="auto"/>
              <w:jc w:val="both"/>
              <w:rPr>
                <w:color w:val="000000"/>
                <w:sz w:val="16"/>
                <w:szCs w:val="16"/>
              </w:rPr>
            </w:pPr>
            <w:sdt>
              <w:sdtPr>
                <w:tag w:val="goog_rdk_116"/>
                <w:id w:val="741304494"/>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Buildings</w:t>
            </w:r>
          </w:p>
        </w:tc>
      </w:tr>
      <w:tr w:rsidR="004F7DB3" w14:paraId="6B152902" w14:textId="77777777" w:rsidTr="5D8904BE">
        <w:trPr>
          <w:trHeight w:val="107"/>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D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D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D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DF" w14:textId="16F59316" w:rsidR="004F7DB3" w:rsidRDefault="00000000">
            <w:pPr>
              <w:spacing w:after="0" w:line="240" w:lineRule="auto"/>
              <w:jc w:val="both"/>
              <w:rPr>
                <w:color w:val="000000"/>
                <w:sz w:val="16"/>
                <w:szCs w:val="16"/>
              </w:rPr>
            </w:pPr>
            <w:sdt>
              <w:sdtPr>
                <w:tag w:val="goog_rdk_117"/>
                <w:id w:val="-1542583335"/>
              </w:sdtPr>
              <w:sdtContent>
                <w:proofErr w:type="spellStart"/>
                <w:r w:rsidR="5C406AC0">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Municipal</w:t>
            </w:r>
            <w:proofErr w:type="spellEnd"/>
            <w:r w:rsidR="352EB93F">
              <w:rPr>
                <w:color w:val="000000"/>
                <w:sz w:val="16"/>
                <w:szCs w:val="16"/>
              </w:rPr>
              <w:t xml:space="preserve"> </w:t>
            </w:r>
            <w:proofErr w:type="spellStart"/>
            <w:r w:rsidR="352EB93F">
              <w:rPr>
                <w:color w:val="000000"/>
                <w:sz w:val="16"/>
                <w:szCs w:val="16"/>
              </w:rPr>
              <w:t>waste</w:t>
            </w:r>
            <w:proofErr w:type="spellEnd"/>
            <w:r w:rsidR="352EB93F">
              <w:rPr>
                <w:color w:val="000000"/>
                <w:sz w:val="16"/>
                <w:szCs w:val="16"/>
              </w:rPr>
              <w:t xml:space="preserve"> management</w:t>
            </w:r>
          </w:p>
        </w:tc>
      </w:tr>
      <w:tr w:rsidR="004F7DB3" w14:paraId="1FF5CE03"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E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E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E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E3" w14:textId="7EC42194" w:rsidR="004F7DB3" w:rsidRDefault="00000000">
            <w:pPr>
              <w:spacing w:after="0" w:line="240" w:lineRule="auto"/>
              <w:jc w:val="both"/>
              <w:rPr>
                <w:color w:val="000000"/>
                <w:sz w:val="16"/>
                <w:szCs w:val="16"/>
              </w:rPr>
            </w:pPr>
            <w:sdt>
              <w:sdtPr>
                <w:tag w:val="goog_rdk_118"/>
                <w:id w:val="1269196013"/>
              </w:sdtPr>
              <w:sdtContent>
                <w:proofErr w:type="spellStart"/>
                <w:r w:rsidR="1E2C98D7">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Green</w:t>
            </w:r>
            <w:proofErr w:type="spellEnd"/>
            <w:r w:rsidR="352EB93F">
              <w:rPr>
                <w:color w:val="000000"/>
                <w:sz w:val="16"/>
                <w:szCs w:val="16"/>
              </w:rPr>
              <w:t xml:space="preserve"> </w:t>
            </w:r>
            <w:proofErr w:type="spellStart"/>
            <w:r w:rsidR="352EB93F">
              <w:rPr>
                <w:color w:val="000000"/>
                <w:sz w:val="16"/>
                <w:szCs w:val="16"/>
              </w:rPr>
              <w:t>space</w:t>
            </w:r>
            <w:proofErr w:type="spellEnd"/>
          </w:p>
        </w:tc>
      </w:tr>
      <w:tr w:rsidR="004F7DB3" w14:paraId="6A4C7F00" w14:textId="77777777" w:rsidTr="5D8904BE">
        <w:trPr>
          <w:trHeight w:val="71"/>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E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E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E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E7" w14:textId="1692DEFA" w:rsidR="004F7DB3" w:rsidRDefault="00000000">
            <w:pPr>
              <w:spacing w:after="0" w:line="240" w:lineRule="auto"/>
              <w:jc w:val="both"/>
              <w:rPr>
                <w:color w:val="000000"/>
                <w:sz w:val="16"/>
                <w:szCs w:val="16"/>
              </w:rPr>
            </w:pPr>
            <w:sdt>
              <w:sdtPr>
                <w:tag w:val="goog_rdk_119"/>
                <w:id w:val="1742293655"/>
              </w:sdtPr>
              <w:sdtContent>
                <w:proofErr w:type="spellStart"/>
                <w:r w:rsidR="308F795D">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Urban</w:t>
            </w:r>
            <w:proofErr w:type="spellEnd"/>
            <w:r w:rsidR="352EB93F">
              <w:rPr>
                <w:color w:val="000000"/>
                <w:sz w:val="16"/>
                <w:szCs w:val="16"/>
              </w:rPr>
              <w:t xml:space="preserve"> </w:t>
            </w:r>
            <w:proofErr w:type="spellStart"/>
            <w:r w:rsidR="352EB93F">
              <w:rPr>
                <w:color w:val="000000"/>
                <w:sz w:val="16"/>
                <w:szCs w:val="16"/>
              </w:rPr>
              <w:t>Biodiversity</w:t>
            </w:r>
            <w:proofErr w:type="spellEnd"/>
          </w:p>
        </w:tc>
      </w:tr>
      <w:tr w:rsidR="004F7DB3" w14:paraId="78CE6C0C" w14:textId="77777777" w:rsidTr="5D8904BE">
        <w:trPr>
          <w:trHeight w:val="134"/>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E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E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E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EB" w14:textId="77777777" w:rsidR="004F7DB3" w:rsidRDefault="00000000">
            <w:pPr>
              <w:spacing w:after="0" w:line="240" w:lineRule="auto"/>
              <w:jc w:val="both"/>
              <w:rPr>
                <w:color w:val="000000"/>
                <w:sz w:val="16"/>
                <w:szCs w:val="16"/>
              </w:rPr>
            </w:pPr>
            <w:sdt>
              <w:sdtPr>
                <w:tag w:val="goog_rdk_120"/>
                <w:id w:val="660673639"/>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Urban Food </w:t>
            </w:r>
            <w:proofErr w:type="spellStart"/>
            <w:r w:rsidR="552CE4D7">
              <w:rPr>
                <w:color w:val="000000"/>
                <w:sz w:val="16"/>
                <w:szCs w:val="16"/>
              </w:rPr>
              <w:t>Systems</w:t>
            </w:r>
            <w:proofErr w:type="spellEnd"/>
          </w:p>
        </w:tc>
      </w:tr>
      <w:tr w:rsidR="004F7DB3" w14:paraId="0DB8E58E" w14:textId="77777777" w:rsidTr="5D8904BE">
        <w:trPr>
          <w:trHeight w:val="125"/>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E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E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E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EF" w14:textId="43D5932E" w:rsidR="004F7DB3" w:rsidRDefault="00000000">
            <w:pPr>
              <w:spacing w:after="0" w:line="240" w:lineRule="auto"/>
              <w:jc w:val="both"/>
              <w:rPr>
                <w:color w:val="000000"/>
                <w:sz w:val="16"/>
                <w:szCs w:val="16"/>
              </w:rPr>
            </w:pPr>
            <w:sdt>
              <w:sdtPr>
                <w:tag w:val="goog_rdk_121"/>
                <w:id w:val="1143465973"/>
              </w:sdtPr>
              <w:sdtContent>
                <w:proofErr w:type="spellStart"/>
                <w:r w:rsidR="4EE8D615">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Energy</w:t>
            </w:r>
            <w:proofErr w:type="spellEnd"/>
            <w:r w:rsidR="352EB93F">
              <w:rPr>
                <w:color w:val="000000"/>
                <w:sz w:val="16"/>
                <w:szCs w:val="16"/>
              </w:rPr>
              <w:t xml:space="preserve"> </w:t>
            </w:r>
            <w:proofErr w:type="spellStart"/>
            <w:r w:rsidR="352EB93F">
              <w:rPr>
                <w:color w:val="000000"/>
                <w:sz w:val="16"/>
                <w:szCs w:val="16"/>
              </w:rPr>
              <w:t>efficiency</w:t>
            </w:r>
            <w:proofErr w:type="spellEnd"/>
          </w:p>
        </w:tc>
      </w:tr>
      <w:tr w:rsidR="004F7DB3" w14:paraId="4F2CD728" w14:textId="77777777" w:rsidTr="5D8904BE">
        <w:trPr>
          <w:trHeight w:val="18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F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F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F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F3" w14:textId="77777777" w:rsidR="004F7DB3" w:rsidRDefault="00000000">
            <w:pPr>
              <w:spacing w:after="0" w:line="240" w:lineRule="auto"/>
              <w:jc w:val="both"/>
              <w:rPr>
                <w:color w:val="000000"/>
                <w:sz w:val="16"/>
                <w:szCs w:val="16"/>
              </w:rPr>
            </w:pPr>
            <w:sdt>
              <w:sdtPr>
                <w:tag w:val="goog_rdk_122"/>
                <w:id w:val="311839208"/>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Municipal </w:t>
            </w:r>
            <w:proofErr w:type="spellStart"/>
            <w:r w:rsidR="552CE4D7">
              <w:rPr>
                <w:color w:val="000000"/>
                <w:sz w:val="16"/>
                <w:szCs w:val="16"/>
              </w:rPr>
              <w:t>Financing</w:t>
            </w:r>
            <w:proofErr w:type="spellEnd"/>
          </w:p>
        </w:tc>
      </w:tr>
      <w:tr w:rsidR="004F7DB3" w:rsidRPr="00F50786" w14:paraId="44BC1106" w14:textId="77777777" w:rsidTr="5D8904BE">
        <w:trPr>
          <w:trHeight w:val="179"/>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F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F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6F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F7" w14:textId="563D86F0" w:rsidR="004F7DB3" w:rsidRPr="00C00123" w:rsidRDefault="00000000">
            <w:pPr>
              <w:spacing w:after="0" w:line="240" w:lineRule="auto"/>
              <w:ind w:left="192" w:hanging="180"/>
              <w:jc w:val="both"/>
              <w:rPr>
                <w:color w:val="000000"/>
                <w:sz w:val="16"/>
                <w:szCs w:val="16"/>
                <w:lang w:val="en-US"/>
              </w:rPr>
            </w:pPr>
            <w:sdt>
              <w:sdtPr>
                <w:tag w:val="goog_rdk_123"/>
                <w:id w:val="210689272"/>
              </w:sdtPr>
              <w:sdtContent>
                <w:proofErr w:type="spellStart"/>
                <w:r w:rsidR="1DB171CE" w:rsidRPr="00C00123">
                  <w:rPr>
                    <w:rFonts w:ascii="Arial Unicode MS" w:eastAsia="Arial Unicode MS" w:hAnsi="Arial Unicode MS" w:cs="Arial Unicode MS"/>
                    <w:color w:val="000000"/>
                    <w:sz w:val="16"/>
                    <w:szCs w:val="16"/>
                    <w:shd w:val="clear" w:color="auto" w:fill="E6E6E6"/>
                    <w:lang w:val="en-US"/>
                  </w:rPr>
                  <w:t>X</w:t>
                </w:r>
              </w:sdtContent>
            </w:sdt>
            <w:r w:rsidR="352EB93F" w:rsidRPr="00C00123">
              <w:rPr>
                <w:color w:val="000000"/>
                <w:sz w:val="16"/>
                <w:szCs w:val="16"/>
                <w:lang w:val="en-US"/>
              </w:rPr>
              <w:t>Global</w:t>
            </w:r>
            <w:proofErr w:type="spellEnd"/>
            <w:r w:rsidR="352EB93F" w:rsidRPr="00C00123">
              <w:rPr>
                <w:color w:val="000000"/>
                <w:sz w:val="16"/>
                <w:szCs w:val="16"/>
                <w:lang w:val="en-US"/>
              </w:rPr>
              <w:t xml:space="preserve"> Platform for Sustainable Cities</w:t>
            </w:r>
          </w:p>
        </w:tc>
      </w:tr>
      <w:tr w:rsidR="004F7DB3" w14:paraId="672B5B7B"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F8"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6F9"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6FA"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6FB" w14:textId="2E5BA1ED" w:rsidR="004F7DB3" w:rsidRDefault="00000000">
            <w:pPr>
              <w:spacing w:after="0" w:line="240" w:lineRule="auto"/>
              <w:jc w:val="both"/>
              <w:rPr>
                <w:color w:val="000000"/>
                <w:sz w:val="16"/>
                <w:szCs w:val="16"/>
              </w:rPr>
            </w:pPr>
            <w:sdt>
              <w:sdtPr>
                <w:tag w:val="goog_rdk_124"/>
                <w:id w:val="-70586647"/>
              </w:sdtPr>
              <w:sdtContent>
                <w:proofErr w:type="spellStart"/>
                <w:r w:rsidR="7E08F072">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Urban</w:t>
            </w:r>
            <w:proofErr w:type="spellEnd"/>
            <w:r w:rsidR="352EB93F">
              <w:rPr>
                <w:color w:val="000000"/>
                <w:sz w:val="16"/>
                <w:szCs w:val="16"/>
              </w:rPr>
              <w:t xml:space="preserve"> </w:t>
            </w:r>
            <w:proofErr w:type="spellStart"/>
            <w:r w:rsidR="352EB93F">
              <w:rPr>
                <w:color w:val="000000"/>
                <w:sz w:val="16"/>
                <w:szCs w:val="16"/>
              </w:rPr>
              <w:t>Resilience</w:t>
            </w:r>
            <w:proofErr w:type="spellEnd"/>
          </w:p>
        </w:tc>
      </w:tr>
      <w:tr w:rsidR="004F7DB3" w14:paraId="439E2761"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6F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6FD" w14:textId="5F5E5D64" w:rsidR="004F7DB3" w:rsidRDefault="00000000" w:rsidP="24AA8F7E">
            <w:pPr>
              <w:spacing w:after="0" w:line="240" w:lineRule="auto"/>
              <w:jc w:val="both"/>
              <w:rPr>
                <w:b/>
                <w:bCs/>
                <w:color w:val="000000"/>
                <w:sz w:val="16"/>
                <w:szCs w:val="16"/>
              </w:rPr>
            </w:pPr>
            <w:sdt>
              <w:sdtPr>
                <w:tag w:val="goog_rdk_125"/>
                <w:id w:val="180489042"/>
              </w:sdtPr>
              <w:sdtContent>
                <w:proofErr w:type="spellStart"/>
                <w:r w:rsidR="718F3033">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Biodiversity</w:t>
            </w:r>
            <w:proofErr w:type="spellEnd"/>
          </w:p>
        </w:tc>
        <w:tc>
          <w:tcPr>
            <w:tcW w:w="2541" w:type="dxa"/>
            <w:tcBorders>
              <w:top w:val="nil"/>
              <w:left w:val="nil"/>
              <w:bottom w:val="single" w:sz="4" w:space="0" w:color="000000" w:themeColor="text1"/>
              <w:right w:val="single" w:sz="4" w:space="0" w:color="000000" w:themeColor="text1"/>
            </w:tcBorders>
          </w:tcPr>
          <w:p w14:paraId="000016F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6FF" w14:textId="77777777" w:rsidR="004F7DB3" w:rsidRDefault="00C00123">
            <w:pPr>
              <w:spacing w:after="0" w:line="240" w:lineRule="auto"/>
              <w:jc w:val="both"/>
              <w:rPr>
                <w:color w:val="000000"/>
                <w:sz w:val="16"/>
                <w:szCs w:val="16"/>
              </w:rPr>
            </w:pPr>
            <w:r>
              <w:rPr>
                <w:color w:val="000000"/>
                <w:sz w:val="16"/>
                <w:szCs w:val="16"/>
              </w:rPr>
              <w:t> </w:t>
            </w:r>
          </w:p>
        </w:tc>
      </w:tr>
      <w:tr w:rsidR="004F7DB3" w:rsidRPr="00F50786" w14:paraId="5BAC2EED"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0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0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02" w14:textId="080C43AB" w:rsidR="004F7DB3" w:rsidRPr="006F5E1D" w:rsidRDefault="00000000">
            <w:pPr>
              <w:spacing w:after="0" w:line="240" w:lineRule="auto"/>
              <w:jc w:val="both"/>
              <w:rPr>
                <w:color w:val="000000"/>
                <w:sz w:val="16"/>
                <w:szCs w:val="16"/>
                <w:lang w:val="en-US"/>
              </w:rPr>
            </w:pPr>
            <w:sdt>
              <w:sdtPr>
                <w:tag w:val="goog_rdk_126"/>
                <w:id w:val="1253239278"/>
              </w:sdtPr>
              <w:sdtContent>
                <w:proofErr w:type="spellStart"/>
                <w:r w:rsidR="26D49E49" w:rsidRPr="00C73E26">
                  <w:rPr>
                    <w:rFonts w:ascii="Arial Unicode MS" w:eastAsia="Arial Unicode MS" w:hAnsi="Arial Unicode MS" w:cs="Arial Unicode MS"/>
                    <w:color w:val="000000"/>
                    <w:sz w:val="16"/>
                    <w:szCs w:val="16"/>
                    <w:shd w:val="clear" w:color="auto" w:fill="E6E6E6"/>
                    <w:lang w:val="en-US"/>
                  </w:rPr>
                  <w:t>X</w:t>
                </w:r>
              </w:sdtContent>
            </w:sdt>
            <w:r w:rsidR="352EB93F" w:rsidRPr="00C73E26">
              <w:rPr>
                <w:color w:val="000000"/>
                <w:sz w:val="16"/>
                <w:szCs w:val="16"/>
                <w:lang w:val="en-US"/>
              </w:rPr>
              <w:t>Protected</w:t>
            </w:r>
            <w:proofErr w:type="spellEnd"/>
            <w:r w:rsidR="352EB93F" w:rsidRPr="00C73E26">
              <w:rPr>
                <w:color w:val="000000"/>
                <w:sz w:val="16"/>
                <w:szCs w:val="16"/>
                <w:lang w:val="en-US"/>
              </w:rPr>
              <w:t xml:space="preserve"> Areas and Landscapes</w:t>
            </w:r>
          </w:p>
        </w:tc>
        <w:tc>
          <w:tcPr>
            <w:tcW w:w="2751" w:type="dxa"/>
            <w:tcBorders>
              <w:top w:val="nil"/>
              <w:left w:val="nil"/>
              <w:bottom w:val="single" w:sz="4" w:space="0" w:color="000000" w:themeColor="text1"/>
              <w:right w:val="single" w:sz="4" w:space="0" w:color="000000" w:themeColor="text1"/>
            </w:tcBorders>
          </w:tcPr>
          <w:p w14:paraId="00001703" w14:textId="77777777" w:rsidR="004F7DB3" w:rsidRPr="006F5E1D" w:rsidRDefault="552CE4D7">
            <w:pPr>
              <w:spacing w:after="0" w:line="240" w:lineRule="auto"/>
              <w:jc w:val="both"/>
              <w:rPr>
                <w:color w:val="000000"/>
                <w:sz w:val="16"/>
                <w:szCs w:val="16"/>
                <w:lang w:val="en-US"/>
              </w:rPr>
            </w:pPr>
            <w:r w:rsidRPr="5D8904BE">
              <w:rPr>
                <w:color w:val="000000" w:themeColor="text1"/>
                <w:sz w:val="16"/>
                <w:szCs w:val="16"/>
                <w:lang w:val="en-US"/>
              </w:rPr>
              <w:t> </w:t>
            </w:r>
          </w:p>
        </w:tc>
      </w:tr>
      <w:tr w:rsidR="004F7DB3" w14:paraId="32EE3112"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04" w14:textId="77777777" w:rsidR="004F7DB3" w:rsidRPr="006F5E1D" w:rsidRDefault="552CE4D7" w:rsidP="5D8904BE">
            <w:pPr>
              <w:spacing w:after="0" w:line="240" w:lineRule="auto"/>
              <w:jc w:val="both"/>
              <w:rPr>
                <w:b/>
                <w:bCs/>
                <w:color w:val="000000"/>
                <w:sz w:val="16"/>
                <w:szCs w:val="16"/>
                <w:lang w:val="en-US"/>
              </w:rPr>
            </w:pPr>
            <w:r w:rsidRPr="5D8904BE">
              <w:rPr>
                <w:b/>
                <w:bCs/>
                <w:color w:val="000000" w:themeColor="text1"/>
                <w:sz w:val="16"/>
                <w:szCs w:val="16"/>
                <w:lang w:val="en-US"/>
              </w:rPr>
              <w:lastRenderedPageBreak/>
              <w:t> </w:t>
            </w:r>
          </w:p>
        </w:tc>
        <w:tc>
          <w:tcPr>
            <w:tcW w:w="3286" w:type="dxa"/>
            <w:tcBorders>
              <w:top w:val="nil"/>
              <w:left w:val="nil"/>
              <w:bottom w:val="single" w:sz="4" w:space="0" w:color="000000" w:themeColor="text1"/>
              <w:right w:val="single" w:sz="4" w:space="0" w:color="000000" w:themeColor="text1"/>
            </w:tcBorders>
          </w:tcPr>
          <w:p w14:paraId="00001705" w14:textId="77777777" w:rsidR="004F7DB3" w:rsidRPr="006F5E1D" w:rsidRDefault="552CE4D7" w:rsidP="5D8904BE">
            <w:pPr>
              <w:spacing w:after="0" w:line="240" w:lineRule="auto"/>
              <w:jc w:val="both"/>
              <w:rPr>
                <w:b/>
                <w:bCs/>
                <w:color w:val="000000"/>
                <w:sz w:val="16"/>
                <w:szCs w:val="16"/>
                <w:lang w:val="en-US"/>
              </w:rPr>
            </w:pPr>
            <w:r w:rsidRPr="5D8904BE">
              <w:rPr>
                <w:b/>
                <w:bCs/>
                <w:color w:val="000000" w:themeColor="text1"/>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706" w14:textId="77777777" w:rsidR="004F7DB3" w:rsidRPr="006F5E1D" w:rsidRDefault="552CE4D7">
            <w:pPr>
              <w:spacing w:after="0" w:line="240" w:lineRule="auto"/>
              <w:jc w:val="both"/>
              <w:rPr>
                <w:color w:val="000000"/>
                <w:sz w:val="16"/>
                <w:szCs w:val="16"/>
                <w:lang w:val="en-US"/>
              </w:rPr>
            </w:pPr>
            <w:r w:rsidRPr="5D8904BE">
              <w:rPr>
                <w:color w:val="000000" w:themeColor="text1"/>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707" w14:textId="77777777" w:rsidR="004F7DB3" w:rsidRDefault="00000000">
            <w:pPr>
              <w:spacing w:after="0" w:line="240" w:lineRule="auto"/>
              <w:jc w:val="both"/>
              <w:rPr>
                <w:color w:val="000000"/>
                <w:sz w:val="16"/>
                <w:szCs w:val="16"/>
              </w:rPr>
            </w:pPr>
            <w:sdt>
              <w:sdtPr>
                <w:tag w:val="goog_rdk_127"/>
                <w:id w:val="-283038879"/>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Terrestrial</w:t>
            </w:r>
            <w:proofErr w:type="spellEnd"/>
            <w:r w:rsidR="552CE4D7">
              <w:rPr>
                <w:color w:val="000000"/>
                <w:sz w:val="16"/>
                <w:szCs w:val="16"/>
              </w:rPr>
              <w:t xml:space="preserve"> </w:t>
            </w:r>
            <w:proofErr w:type="spellStart"/>
            <w:r w:rsidR="552CE4D7">
              <w:rPr>
                <w:color w:val="000000"/>
                <w:sz w:val="16"/>
                <w:szCs w:val="16"/>
              </w:rPr>
              <w:t>Protected</w:t>
            </w:r>
            <w:proofErr w:type="spellEnd"/>
            <w:r w:rsidR="552CE4D7">
              <w:rPr>
                <w:color w:val="000000"/>
                <w:sz w:val="16"/>
                <w:szCs w:val="16"/>
              </w:rPr>
              <w:t xml:space="preserve"> Areas</w:t>
            </w:r>
          </w:p>
        </w:tc>
      </w:tr>
      <w:tr w:rsidR="004F7DB3" w:rsidRPr="00F50786" w14:paraId="5CBDA9CD"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0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0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0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0B" w14:textId="77777777" w:rsidR="004F7DB3" w:rsidRPr="00C00123" w:rsidRDefault="00000000">
            <w:pPr>
              <w:spacing w:after="0" w:line="240" w:lineRule="auto"/>
              <w:ind w:left="192" w:hanging="192"/>
              <w:jc w:val="both"/>
              <w:rPr>
                <w:color w:val="000000"/>
                <w:sz w:val="16"/>
                <w:szCs w:val="16"/>
                <w:lang w:val="en-US"/>
              </w:rPr>
            </w:pPr>
            <w:sdt>
              <w:sdtPr>
                <w:tag w:val="goog_rdk_128"/>
                <w:id w:val="-306625858"/>
              </w:sdtPr>
              <w:sdtContent>
                <w:r w:rsidR="00C00123" w:rsidRPr="00C00123">
                  <w:rPr>
                    <w:rFonts w:ascii="Arial Unicode MS" w:eastAsia="Arial Unicode MS" w:hAnsi="Arial Unicode MS" w:cs="Arial Unicode MS"/>
                    <w:color w:val="000000"/>
                    <w:sz w:val="16"/>
                    <w:szCs w:val="16"/>
                    <w:shd w:val="clear" w:color="auto" w:fill="E6E6E6"/>
                    <w:lang w:val="en-US"/>
                  </w:rPr>
                  <w:t>☐</w:t>
                </w:r>
              </w:sdtContent>
            </w:sdt>
            <w:r w:rsidR="00C00123" w:rsidRPr="00C00123">
              <w:rPr>
                <w:color w:val="000000"/>
                <w:sz w:val="16"/>
                <w:szCs w:val="16"/>
                <w:lang w:val="en-US"/>
              </w:rPr>
              <w:t>Coastal and Marine Protected Areas</w:t>
            </w:r>
          </w:p>
        </w:tc>
      </w:tr>
      <w:tr w:rsidR="004F7DB3" w14:paraId="4AB51B0F"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0C"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70D"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70E"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70F" w14:textId="77777777" w:rsidR="004F7DB3" w:rsidRDefault="00000000">
            <w:pPr>
              <w:spacing w:after="0" w:line="240" w:lineRule="auto"/>
              <w:jc w:val="both"/>
              <w:rPr>
                <w:color w:val="000000"/>
                <w:sz w:val="16"/>
                <w:szCs w:val="16"/>
              </w:rPr>
            </w:pPr>
            <w:sdt>
              <w:sdtPr>
                <w:tag w:val="goog_rdk_129"/>
                <w:id w:val="-430981611"/>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Productive </w:t>
            </w:r>
            <w:proofErr w:type="spellStart"/>
            <w:r w:rsidR="552CE4D7">
              <w:rPr>
                <w:color w:val="000000"/>
                <w:sz w:val="16"/>
                <w:szCs w:val="16"/>
              </w:rPr>
              <w:t>Landscapes</w:t>
            </w:r>
            <w:proofErr w:type="spellEnd"/>
          </w:p>
        </w:tc>
      </w:tr>
      <w:tr w:rsidR="004F7DB3" w14:paraId="4E437D3C"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1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1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1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13" w14:textId="77777777" w:rsidR="004F7DB3" w:rsidRDefault="00000000">
            <w:pPr>
              <w:spacing w:after="0" w:line="240" w:lineRule="auto"/>
              <w:jc w:val="both"/>
              <w:rPr>
                <w:color w:val="000000"/>
                <w:sz w:val="16"/>
                <w:szCs w:val="16"/>
              </w:rPr>
            </w:pPr>
            <w:sdt>
              <w:sdtPr>
                <w:tag w:val="goog_rdk_130"/>
                <w:id w:val="1102535445"/>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Productive </w:t>
            </w:r>
            <w:proofErr w:type="spellStart"/>
            <w:r w:rsidR="552CE4D7">
              <w:rPr>
                <w:color w:val="000000"/>
                <w:sz w:val="16"/>
                <w:szCs w:val="16"/>
              </w:rPr>
              <w:t>Seascapes</w:t>
            </w:r>
            <w:proofErr w:type="spellEnd"/>
          </w:p>
        </w:tc>
      </w:tr>
      <w:tr w:rsidR="004F7DB3" w:rsidRPr="00F50786" w14:paraId="391EB423" w14:textId="77777777" w:rsidTr="5D8904BE">
        <w:trPr>
          <w:trHeight w:val="251"/>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1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1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1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17" w14:textId="4F4818F8" w:rsidR="004F7DB3" w:rsidRPr="00C00123" w:rsidRDefault="00000000">
            <w:pPr>
              <w:spacing w:after="0" w:line="240" w:lineRule="auto"/>
              <w:ind w:left="192" w:hanging="192"/>
              <w:jc w:val="both"/>
              <w:rPr>
                <w:color w:val="000000"/>
                <w:sz w:val="16"/>
                <w:szCs w:val="16"/>
                <w:lang w:val="en-US"/>
              </w:rPr>
            </w:pPr>
            <w:sdt>
              <w:sdtPr>
                <w:tag w:val="goog_rdk_131"/>
                <w:id w:val="475034444"/>
              </w:sdtPr>
              <w:sdtContent>
                <w:proofErr w:type="spellStart"/>
                <w:r w:rsidR="56226303" w:rsidRPr="00C00123">
                  <w:rPr>
                    <w:rFonts w:ascii="Arial Unicode MS" w:eastAsia="Arial Unicode MS" w:hAnsi="Arial Unicode MS" w:cs="Arial Unicode MS"/>
                    <w:color w:val="000000"/>
                    <w:sz w:val="16"/>
                    <w:szCs w:val="16"/>
                    <w:shd w:val="clear" w:color="auto" w:fill="E6E6E6"/>
                    <w:lang w:val="en-US"/>
                  </w:rPr>
                  <w:t>X</w:t>
                </w:r>
              </w:sdtContent>
            </w:sdt>
            <w:r w:rsidR="352EB93F" w:rsidRPr="00C00123">
              <w:rPr>
                <w:color w:val="000000"/>
                <w:sz w:val="16"/>
                <w:szCs w:val="16"/>
                <w:lang w:val="en-US"/>
              </w:rPr>
              <w:t>Community</w:t>
            </w:r>
            <w:proofErr w:type="spellEnd"/>
            <w:r w:rsidR="352EB93F" w:rsidRPr="00C00123">
              <w:rPr>
                <w:color w:val="000000"/>
                <w:sz w:val="16"/>
                <w:szCs w:val="16"/>
                <w:lang w:val="en-US"/>
              </w:rPr>
              <w:t xml:space="preserve"> Based Natural Resource Management</w:t>
            </w:r>
          </w:p>
        </w:tc>
      </w:tr>
      <w:tr w:rsidR="004F7DB3" w14:paraId="777662B9" w14:textId="77777777" w:rsidTr="5D8904BE">
        <w:trPr>
          <w:trHeight w:val="71"/>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18"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719"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71A" w14:textId="672C239D" w:rsidR="004F7DB3" w:rsidRDefault="00000000">
            <w:pPr>
              <w:spacing w:after="0" w:line="240" w:lineRule="auto"/>
              <w:jc w:val="both"/>
              <w:rPr>
                <w:color w:val="000000"/>
                <w:sz w:val="16"/>
                <w:szCs w:val="16"/>
              </w:rPr>
            </w:pPr>
            <w:sdt>
              <w:sdtPr>
                <w:tag w:val="goog_rdk_132"/>
                <w:id w:val="-740106019"/>
              </w:sdtPr>
              <w:sdtContent>
                <w:proofErr w:type="spellStart"/>
                <w:r w:rsidR="2A868FAF">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Mainstreaming</w:t>
            </w:r>
            <w:proofErr w:type="spellEnd"/>
          </w:p>
        </w:tc>
        <w:tc>
          <w:tcPr>
            <w:tcW w:w="2751" w:type="dxa"/>
            <w:tcBorders>
              <w:top w:val="nil"/>
              <w:left w:val="nil"/>
              <w:bottom w:val="single" w:sz="4" w:space="0" w:color="000000" w:themeColor="text1"/>
              <w:right w:val="single" w:sz="4" w:space="0" w:color="000000" w:themeColor="text1"/>
            </w:tcBorders>
          </w:tcPr>
          <w:p w14:paraId="0000171B" w14:textId="77777777" w:rsidR="004F7DB3" w:rsidRDefault="00C00123">
            <w:pPr>
              <w:spacing w:after="0" w:line="240" w:lineRule="auto"/>
              <w:jc w:val="both"/>
              <w:rPr>
                <w:color w:val="000000"/>
                <w:sz w:val="16"/>
                <w:szCs w:val="16"/>
              </w:rPr>
            </w:pPr>
            <w:r>
              <w:rPr>
                <w:color w:val="000000"/>
                <w:sz w:val="16"/>
                <w:szCs w:val="16"/>
              </w:rPr>
              <w:t> </w:t>
            </w:r>
          </w:p>
        </w:tc>
      </w:tr>
      <w:tr w:rsidR="004F7DB3" w:rsidRPr="00F50786" w14:paraId="3DE957EF"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1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1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1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1F" w14:textId="77777777" w:rsidR="004F7DB3" w:rsidRPr="00C00123" w:rsidRDefault="00000000">
            <w:pPr>
              <w:spacing w:after="0" w:line="240" w:lineRule="auto"/>
              <w:ind w:left="192" w:hanging="192"/>
              <w:jc w:val="both"/>
              <w:rPr>
                <w:color w:val="000000"/>
                <w:sz w:val="16"/>
                <w:szCs w:val="16"/>
                <w:lang w:val="en-US"/>
              </w:rPr>
            </w:pPr>
            <w:sdt>
              <w:sdtPr>
                <w:tag w:val="goog_rdk_133"/>
                <w:id w:val="661432200"/>
              </w:sdtPr>
              <w:sdtContent>
                <w:r w:rsidR="00C00123" w:rsidRPr="00C00123">
                  <w:rPr>
                    <w:rFonts w:ascii="Arial Unicode MS" w:eastAsia="Arial Unicode MS" w:hAnsi="Arial Unicode MS" w:cs="Arial Unicode MS"/>
                    <w:color w:val="000000"/>
                    <w:sz w:val="16"/>
                    <w:szCs w:val="16"/>
                    <w:shd w:val="clear" w:color="auto" w:fill="E6E6E6"/>
                    <w:lang w:val="en-US"/>
                  </w:rPr>
                  <w:t>☐</w:t>
                </w:r>
              </w:sdtContent>
            </w:sdt>
            <w:r w:rsidR="00C00123" w:rsidRPr="00C00123">
              <w:rPr>
                <w:color w:val="000000"/>
                <w:sz w:val="16"/>
                <w:szCs w:val="16"/>
                <w:lang w:val="en-US"/>
              </w:rPr>
              <w:t>Extractive Industries (oil, gas, mining)</w:t>
            </w:r>
          </w:p>
        </w:tc>
      </w:tr>
      <w:tr w:rsidR="004F7DB3" w:rsidRPr="00F50786" w14:paraId="43723811" w14:textId="77777777" w:rsidTr="5D8904BE">
        <w:trPr>
          <w:trHeight w:val="125"/>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20"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721"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722"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723" w14:textId="77777777" w:rsidR="004F7DB3" w:rsidRPr="00C00123" w:rsidRDefault="00000000">
            <w:pPr>
              <w:spacing w:after="0" w:line="240" w:lineRule="auto"/>
              <w:ind w:left="192" w:hanging="192"/>
              <w:jc w:val="both"/>
              <w:rPr>
                <w:color w:val="000000"/>
                <w:sz w:val="16"/>
                <w:szCs w:val="16"/>
                <w:lang w:val="en-US"/>
              </w:rPr>
            </w:pPr>
            <w:sdt>
              <w:sdtPr>
                <w:tag w:val="goog_rdk_134"/>
                <w:id w:val="2009005260"/>
              </w:sdtPr>
              <w:sdtContent>
                <w:r w:rsidR="00C00123" w:rsidRPr="00C00123">
                  <w:rPr>
                    <w:rFonts w:ascii="Arial Unicode MS" w:eastAsia="Arial Unicode MS" w:hAnsi="Arial Unicode MS" w:cs="Arial Unicode MS"/>
                    <w:color w:val="000000"/>
                    <w:sz w:val="16"/>
                    <w:szCs w:val="16"/>
                    <w:shd w:val="clear" w:color="auto" w:fill="E6E6E6"/>
                    <w:lang w:val="en-US"/>
                  </w:rPr>
                  <w:t>☐</w:t>
                </w:r>
              </w:sdtContent>
            </w:sdt>
            <w:r w:rsidR="00C00123" w:rsidRPr="00C00123">
              <w:rPr>
                <w:color w:val="000000"/>
                <w:sz w:val="16"/>
                <w:szCs w:val="16"/>
                <w:lang w:val="en-US"/>
              </w:rPr>
              <w:t>Forestry (Including HCVF and REDD+)</w:t>
            </w:r>
          </w:p>
        </w:tc>
      </w:tr>
      <w:tr w:rsidR="004F7DB3" w14:paraId="7CE51872"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24"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725"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726"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727" w14:textId="066BFC10" w:rsidR="004F7DB3" w:rsidRDefault="00000000">
            <w:pPr>
              <w:spacing w:after="0" w:line="240" w:lineRule="auto"/>
              <w:jc w:val="both"/>
              <w:rPr>
                <w:color w:val="000000"/>
                <w:sz w:val="16"/>
                <w:szCs w:val="16"/>
              </w:rPr>
            </w:pPr>
            <w:sdt>
              <w:sdtPr>
                <w:tag w:val="goog_rdk_135"/>
                <w:id w:val="532385447"/>
              </w:sdtPr>
              <w:sdtContent>
                <w:proofErr w:type="spellStart"/>
                <w:r w:rsidR="66D228FE">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Tourism</w:t>
            </w:r>
            <w:proofErr w:type="spellEnd"/>
          </w:p>
        </w:tc>
      </w:tr>
      <w:tr w:rsidR="004F7DB3" w14:paraId="3B2D4F22" w14:textId="77777777" w:rsidTr="5D8904BE">
        <w:trPr>
          <w:trHeight w:val="89"/>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2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2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2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2B" w14:textId="2A90D2EB" w:rsidR="004F7DB3" w:rsidRDefault="00000000">
            <w:pPr>
              <w:spacing w:after="0" w:line="240" w:lineRule="auto"/>
              <w:jc w:val="both"/>
              <w:rPr>
                <w:color w:val="000000"/>
                <w:sz w:val="16"/>
                <w:szCs w:val="16"/>
              </w:rPr>
            </w:pPr>
            <w:sdt>
              <w:sdtPr>
                <w:tag w:val="goog_rdk_136"/>
                <w:id w:val="-137492799"/>
              </w:sdtPr>
              <w:sdtContent>
                <w:proofErr w:type="spellStart"/>
                <w:r w:rsidR="7147BE6F">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Agriculture</w:t>
            </w:r>
            <w:proofErr w:type="spellEnd"/>
            <w:r w:rsidR="352EB93F">
              <w:rPr>
                <w:color w:val="000000"/>
                <w:sz w:val="16"/>
                <w:szCs w:val="16"/>
              </w:rPr>
              <w:t xml:space="preserve"> &amp; </w:t>
            </w:r>
            <w:proofErr w:type="spellStart"/>
            <w:r w:rsidR="352EB93F">
              <w:rPr>
                <w:color w:val="000000"/>
                <w:sz w:val="16"/>
                <w:szCs w:val="16"/>
              </w:rPr>
              <w:t>agrobiodiversity</w:t>
            </w:r>
            <w:proofErr w:type="spellEnd"/>
          </w:p>
        </w:tc>
      </w:tr>
      <w:tr w:rsidR="004F7DB3" w14:paraId="7F9C77D3" w14:textId="77777777" w:rsidTr="5D8904BE">
        <w:trPr>
          <w:trHeight w:val="161"/>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2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2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2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2F" w14:textId="77777777" w:rsidR="004F7DB3" w:rsidRDefault="00000000">
            <w:pPr>
              <w:spacing w:after="0" w:line="240" w:lineRule="auto"/>
              <w:jc w:val="both"/>
              <w:rPr>
                <w:color w:val="000000"/>
                <w:sz w:val="16"/>
                <w:szCs w:val="16"/>
              </w:rPr>
            </w:pPr>
            <w:sdt>
              <w:sdtPr>
                <w:tag w:val="goog_rdk_137"/>
                <w:id w:val="-1467815447"/>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Fisheries</w:t>
            </w:r>
            <w:proofErr w:type="spellEnd"/>
          </w:p>
        </w:tc>
      </w:tr>
      <w:tr w:rsidR="004F7DB3" w14:paraId="33620813" w14:textId="77777777" w:rsidTr="5D8904BE">
        <w:trPr>
          <w:trHeight w:val="143"/>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3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3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3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33" w14:textId="77777777" w:rsidR="004F7DB3" w:rsidRDefault="00000000">
            <w:pPr>
              <w:spacing w:after="0" w:line="240" w:lineRule="auto"/>
              <w:jc w:val="both"/>
              <w:rPr>
                <w:color w:val="000000"/>
                <w:sz w:val="16"/>
                <w:szCs w:val="16"/>
              </w:rPr>
            </w:pPr>
            <w:sdt>
              <w:sdtPr>
                <w:tag w:val="goog_rdk_138"/>
                <w:id w:val="1633367168"/>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Infrastructure</w:t>
            </w:r>
          </w:p>
        </w:tc>
      </w:tr>
      <w:tr w:rsidR="004F7DB3" w14:paraId="4B7E09E6" w14:textId="77777777" w:rsidTr="5D8904BE">
        <w:trPr>
          <w:trHeight w:val="125"/>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3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3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3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37" w14:textId="77777777" w:rsidR="004F7DB3" w:rsidRDefault="00000000">
            <w:pPr>
              <w:spacing w:after="0" w:line="240" w:lineRule="auto"/>
              <w:ind w:left="192" w:hanging="192"/>
              <w:jc w:val="both"/>
              <w:rPr>
                <w:color w:val="000000"/>
                <w:sz w:val="16"/>
                <w:szCs w:val="16"/>
              </w:rPr>
            </w:pPr>
            <w:sdt>
              <w:sdtPr>
                <w:tag w:val="goog_rdk_139"/>
                <w:id w:val="-1514608340"/>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Certification (National Standards)</w:t>
            </w:r>
          </w:p>
        </w:tc>
      </w:tr>
      <w:tr w:rsidR="004F7DB3" w14:paraId="2DD3173D" w14:textId="77777777" w:rsidTr="5D8904BE">
        <w:trPr>
          <w:trHeight w:val="251"/>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3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3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3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3B" w14:textId="77777777" w:rsidR="004F7DB3" w:rsidRDefault="00000000">
            <w:pPr>
              <w:spacing w:after="0" w:line="240" w:lineRule="auto"/>
              <w:ind w:left="192" w:hanging="192"/>
              <w:jc w:val="both"/>
              <w:rPr>
                <w:color w:val="000000"/>
                <w:sz w:val="16"/>
                <w:szCs w:val="16"/>
              </w:rPr>
            </w:pPr>
            <w:sdt>
              <w:sdtPr>
                <w:tag w:val="goog_rdk_140"/>
                <w:id w:val="2057049767"/>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Certification (International Standards)</w:t>
            </w:r>
          </w:p>
        </w:tc>
      </w:tr>
      <w:tr w:rsidR="004F7DB3" w14:paraId="6196C524" w14:textId="77777777" w:rsidTr="5D8904BE">
        <w:trPr>
          <w:trHeight w:val="125"/>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3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3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3E" w14:textId="77777777" w:rsidR="004F7DB3" w:rsidRDefault="00000000">
            <w:pPr>
              <w:spacing w:after="0" w:line="240" w:lineRule="auto"/>
              <w:jc w:val="both"/>
              <w:rPr>
                <w:color w:val="000000"/>
                <w:sz w:val="16"/>
                <w:szCs w:val="16"/>
              </w:rPr>
            </w:pPr>
            <w:sdt>
              <w:sdtPr>
                <w:tag w:val="goog_rdk_141"/>
                <w:id w:val="744383355"/>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Species</w:t>
            </w:r>
            <w:proofErr w:type="spellEnd"/>
            <w:r w:rsidR="552CE4D7">
              <w:rPr>
                <w:color w:val="000000"/>
                <w:sz w:val="16"/>
                <w:szCs w:val="16"/>
              </w:rPr>
              <w:t xml:space="preserve"> </w:t>
            </w:r>
          </w:p>
        </w:tc>
        <w:tc>
          <w:tcPr>
            <w:tcW w:w="2751" w:type="dxa"/>
            <w:tcBorders>
              <w:top w:val="nil"/>
              <w:left w:val="nil"/>
              <w:bottom w:val="single" w:sz="4" w:space="0" w:color="000000" w:themeColor="text1"/>
              <w:right w:val="single" w:sz="4" w:space="0" w:color="000000" w:themeColor="text1"/>
            </w:tcBorders>
          </w:tcPr>
          <w:p w14:paraId="0000173F" w14:textId="77777777" w:rsidR="004F7DB3" w:rsidRDefault="00C00123">
            <w:pPr>
              <w:spacing w:after="0" w:line="240" w:lineRule="auto"/>
              <w:jc w:val="both"/>
              <w:rPr>
                <w:color w:val="000000"/>
                <w:sz w:val="16"/>
                <w:szCs w:val="16"/>
              </w:rPr>
            </w:pPr>
            <w:r>
              <w:rPr>
                <w:color w:val="000000"/>
                <w:sz w:val="16"/>
                <w:szCs w:val="16"/>
              </w:rPr>
              <w:t> </w:t>
            </w:r>
          </w:p>
        </w:tc>
      </w:tr>
      <w:tr w:rsidR="004F7DB3" w14:paraId="3C89E2AB" w14:textId="77777777" w:rsidTr="5D8904BE">
        <w:trPr>
          <w:trHeight w:val="197"/>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4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4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4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43" w14:textId="77777777" w:rsidR="004F7DB3" w:rsidRDefault="00000000">
            <w:pPr>
              <w:spacing w:after="0" w:line="240" w:lineRule="auto"/>
              <w:jc w:val="both"/>
              <w:rPr>
                <w:color w:val="000000"/>
                <w:sz w:val="16"/>
                <w:szCs w:val="16"/>
              </w:rPr>
            </w:pPr>
            <w:sdt>
              <w:sdtPr>
                <w:tag w:val="goog_rdk_142"/>
                <w:id w:val="-534110465"/>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Illegal</w:t>
            </w:r>
            <w:proofErr w:type="spellEnd"/>
            <w:r w:rsidR="552CE4D7">
              <w:rPr>
                <w:color w:val="000000"/>
                <w:sz w:val="16"/>
                <w:szCs w:val="16"/>
              </w:rPr>
              <w:t xml:space="preserve"> </w:t>
            </w:r>
            <w:proofErr w:type="spellStart"/>
            <w:r w:rsidR="552CE4D7">
              <w:rPr>
                <w:color w:val="000000"/>
                <w:sz w:val="16"/>
                <w:szCs w:val="16"/>
              </w:rPr>
              <w:t>Wildlife</w:t>
            </w:r>
            <w:proofErr w:type="spellEnd"/>
            <w:r w:rsidR="552CE4D7">
              <w:rPr>
                <w:color w:val="000000"/>
                <w:sz w:val="16"/>
                <w:szCs w:val="16"/>
              </w:rPr>
              <w:t xml:space="preserve"> Trade</w:t>
            </w:r>
          </w:p>
        </w:tc>
      </w:tr>
      <w:tr w:rsidR="004F7DB3" w14:paraId="26FC2E5F" w14:textId="77777777" w:rsidTr="5D8904BE">
        <w:trPr>
          <w:trHeight w:val="89"/>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4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4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4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47" w14:textId="77777777" w:rsidR="004F7DB3" w:rsidRDefault="00000000">
            <w:pPr>
              <w:spacing w:after="0" w:line="240" w:lineRule="auto"/>
              <w:jc w:val="both"/>
              <w:rPr>
                <w:color w:val="000000"/>
                <w:sz w:val="16"/>
                <w:szCs w:val="16"/>
              </w:rPr>
            </w:pPr>
            <w:sdt>
              <w:sdtPr>
                <w:tag w:val="goog_rdk_143"/>
                <w:id w:val="563231138"/>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Threatened</w:t>
            </w:r>
            <w:proofErr w:type="spellEnd"/>
            <w:r w:rsidR="552CE4D7">
              <w:rPr>
                <w:color w:val="000000"/>
                <w:sz w:val="16"/>
                <w:szCs w:val="16"/>
              </w:rPr>
              <w:t xml:space="preserve"> </w:t>
            </w:r>
            <w:proofErr w:type="spellStart"/>
            <w:r w:rsidR="552CE4D7">
              <w:rPr>
                <w:color w:val="000000"/>
                <w:sz w:val="16"/>
                <w:szCs w:val="16"/>
              </w:rPr>
              <w:t>Species</w:t>
            </w:r>
            <w:proofErr w:type="spellEnd"/>
            <w:r w:rsidR="552CE4D7">
              <w:rPr>
                <w:color w:val="000000"/>
                <w:sz w:val="16"/>
                <w:szCs w:val="16"/>
              </w:rPr>
              <w:t xml:space="preserve"> </w:t>
            </w:r>
          </w:p>
        </w:tc>
      </w:tr>
      <w:tr w:rsidR="004F7DB3" w14:paraId="3600E149" w14:textId="77777777" w:rsidTr="5D8904BE">
        <w:trPr>
          <w:trHeight w:val="152"/>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4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4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4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4B" w14:textId="77777777" w:rsidR="004F7DB3" w:rsidRDefault="00000000">
            <w:pPr>
              <w:spacing w:after="0" w:line="240" w:lineRule="auto"/>
              <w:ind w:left="192" w:hanging="192"/>
              <w:jc w:val="both"/>
              <w:rPr>
                <w:color w:val="000000"/>
                <w:sz w:val="16"/>
                <w:szCs w:val="16"/>
              </w:rPr>
            </w:pPr>
            <w:sdt>
              <w:sdtPr>
                <w:tag w:val="goog_rdk_144"/>
                <w:id w:val="1729570586"/>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Wildlife</w:t>
            </w:r>
            <w:proofErr w:type="spellEnd"/>
            <w:r w:rsidR="552CE4D7">
              <w:rPr>
                <w:color w:val="000000"/>
                <w:sz w:val="16"/>
                <w:szCs w:val="16"/>
              </w:rPr>
              <w:t xml:space="preserve"> for </w:t>
            </w:r>
            <w:proofErr w:type="spellStart"/>
            <w:r w:rsidR="552CE4D7">
              <w:rPr>
                <w:color w:val="000000"/>
                <w:sz w:val="16"/>
                <w:szCs w:val="16"/>
              </w:rPr>
              <w:t>Sustainable</w:t>
            </w:r>
            <w:proofErr w:type="spellEnd"/>
            <w:r w:rsidR="552CE4D7">
              <w:rPr>
                <w:color w:val="000000"/>
                <w:sz w:val="16"/>
                <w:szCs w:val="16"/>
              </w:rPr>
              <w:t xml:space="preserve"> </w:t>
            </w:r>
            <w:proofErr w:type="spellStart"/>
            <w:r w:rsidR="552CE4D7">
              <w:rPr>
                <w:color w:val="000000"/>
                <w:sz w:val="16"/>
                <w:szCs w:val="16"/>
              </w:rPr>
              <w:t>Development</w:t>
            </w:r>
            <w:proofErr w:type="spellEnd"/>
          </w:p>
        </w:tc>
      </w:tr>
      <w:tr w:rsidR="004F7DB3" w14:paraId="458099CC" w14:textId="77777777" w:rsidTr="5D8904BE">
        <w:trPr>
          <w:trHeight w:val="233"/>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4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4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4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4F" w14:textId="77777777" w:rsidR="004F7DB3" w:rsidRDefault="00000000">
            <w:pPr>
              <w:spacing w:after="0" w:line="240" w:lineRule="auto"/>
              <w:jc w:val="both"/>
              <w:rPr>
                <w:color w:val="000000"/>
                <w:sz w:val="16"/>
                <w:szCs w:val="16"/>
              </w:rPr>
            </w:pPr>
            <w:sdt>
              <w:sdtPr>
                <w:tag w:val="goog_rdk_145"/>
                <w:id w:val="-1247886103"/>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Crop</w:t>
            </w:r>
            <w:proofErr w:type="spellEnd"/>
            <w:r w:rsidR="552CE4D7">
              <w:rPr>
                <w:color w:val="000000"/>
                <w:sz w:val="16"/>
                <w:szCs w:val="16"/>
              </w:rPr>
              <w:t xml:space="preserve"> Wild Relatives</w:t>
            </w:r>
          </w:p>
        </w:tc>
      </w:tr>
      <w:tr w:rsidR="004F7DB3" w14:paraId="0A6AF624"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5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5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5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53" w14:textId="77777777" w:rsidR="004F7DB3" w:rsidRDefault="00000000">
            <w:pPr>
              <w:spacing w:after="0" w:line="240" w:lineRule="auto"/>
              <w:jc w:val="both"/>
              <w:rPr>
                <w:color w:val="000000"/>
                <w:sz w:val="16"/>
                <w:szCs w:val="16"/>
              </w:rPr>
            </w:pPr>
            <w:sdt>
              <w:sdtPr>
                <w:tag w:val="goog_rdk_146"/>
                <w:id w:val="-483316404"/>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Plant </w:t>
            </w:r>
            <w:proofErr w:type="spellStart"/>
            <w:r w:rsidR="552CE4D7">
              <w:rPr>
                <w:color w:val="000000"/>
                <w:sz w:val="16"/>
                <w:szCs w:val="16"/>
              </w:rPr>
              <w:t>Genetic</w:t>
            </w:r>
            <w:proofErr w:type="spellEnd"/>
            <w:r w:rsidR="552CE4D7">
              <w:rPr>
                <w:color w:val="000000"/>
                <w:sz w:val="16"/>
                <w:szCs w:val="16"/>
              </w:rPr>
              <w:t xml:space="preserve"> </w:t>
            </w:r>
            <w:proofErr w:type="spellStart"/>
            <w:r w:rsidR="552CE4D7">
              <w:rPr>
                <w:color w:val="000000"/>
                <w:sz w:val="16"/>
                <w:szCs w:val="16"/>
              </w:rPr>
              <w:t>Resources</w:t>
            </w:r>
            <w:proofErr w:type="spellEnd"/>
          </w:p>
        </w:tc>
      </w:tr>
      <w:tr w:rsidR="004F7DB3" w14:paraId="4C06ACAC" w14:textId="77777777" w:rsidTr="5D8904BE">
        <w:trPr>
          <w:trHeight w:val="143"/>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5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5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5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57" w14:textId="77777777" w:rsidR="004F7DB3" w:rsidRDefault="00000000">
            <w:pPr>
              <w:spacing w:after="0" w:line="240" w:lineRule="auto"/>
              <w:jc w:val="both"/>
              <w:rPr>
                <w:color w:val="000000"/>
                <w:sz w:val="16"/>
                <w:szCs w:val="16"/>
              </w:rPr>
            </w:pPr>
            <w:sdt>
              <w:sdtPr>
                <w:tag w:val="goog_rdk_147"/>
                <w:id w:val="-1998412542"/>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Animal </w:t>
            </w:r>
            <w:proofErr w:type="spellStart"/>
            <w:r w:rsidR="552CE4D7">
              <w:rPr>
                <w:color w:val="000000"/>
                <w:sz w:val="16"/>
                <w:szCs w:val="16"/>
              </w:rPr>
              <w:t>Genetic</w:t>
            </w:r>
            <w:proofErr w:type="spellEnd"/>
            <w:r w:rsidR="552CE4D7">
              <w:rPr>
                <w:color w:val="000000"/>
                <w:sz w:val="16"/>
                <w:szCs w:val="16"/>
              </w:rPr>
              <w:t xml:space="preserve"> </w:t>
            </w:r>
            <w:proofErr w:type="spellStart"/>
            <w:r w:rsidR="552CE4D7">
              <w:rPr>
                <w:color w:val="000000"/>
                <w:sz w:val="16"/>
                <w:szCs w:val="16"/>
              </w:rPr>
              <w:t>Resources</w:t>
            </w:r>
            <w:proofErr w:type="spellEnd"/>
          </w:p>
        </w:tc>
      </w:tr>
      <w:tr w:rsidR="004F7DB3" w14:paraId="25DA697B" w14:textId="77777777" w:rsidTr="5D8904BE">
        <w:trPr>
          <w:trHeight w:val="134"/>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5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5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5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5B" w14:textId="77777777" w:rsidR="004F7DB3" w:rsidRDefault="00000000">
            <w:pPr>
              <w:spacing w:after="0" w:line="240" w:lineRule="auto"/>
              <w:jc w:val="both"/>
              <w:rPr>
                <w:color w:val="000000"/>
                <w:sz w:val="16"/>
                <w:szCs w:val="16"/>
              </w:rPr>
            </w:pPr>
            <w:sdt>
              <w:sdtPr>
                <w:tag w:val="goog_rdk_148"/>
                <w:id w:val="1848986653"/>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Livestock</w:t>
            </w:r>
            <w:proofErr w:type="spellEnd"/>
            <w:r w:rsidR="552CE4D7">
              <w:rPr>
                <w:color w:val="000000"/>
                <w:sz w:val="16"/>
                <w:szCs w:val="16"/>
              </w:rPr>
              <w:t xml:space="preserve"> Wild Relatives</w:t>
            </w:r>
          </w:p>
        </w:tc>
      </w:tr>
      <w:tr w:rsidR="004F7DB3" w14:paraId="7C131637" w14:textId="77777777" w:rsidTr="5D8904BE">
        <w:trPr>
          <w:trHeight w:val="107"/>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5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5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5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5F" w14:textId="77777777" w:rsidR="004F7DB3" w:rsidRDefault="00000000">
            <w:pPr>
              <w:spacing w:after="0" w:line="240" w:lineRule="auto"/>
              <w:jc w:val="both"/>
              <w:rPr>
                <w:color w:val="000000"/>
                <w:sz w:val="16"/>
                <w:szCs w:val="16"/>
              </w:rPr>
            </w:pPr>
            <w:sdt>
              <w:sdtPr>
                <w:tag w:val="goog_rdk_149"/>
                <w:id w:val="-1910845840"/>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Invasive Alien </w:t>
            </w:r>
            <w:proofErr w:type="spellStart"/>
            <w:r w:rsidR="552CE4D7">
              <w:rPr>
                <w:color w:val="000000"/>
                <w:sz w:val="16"/>
                <w:szCs w:val="16"/>
              </w:rPr>
              <w:t>Species</w:t>
            </w:r>
            <w:proofErr w:type="spellEnd"/>
            <w:r w:rsidR="552CE4D7">
              <w:rPr>
                <w:color w:val="000000"/>
                <w:sz w:val="16"/>
                <w:szCs w:val="16"/>
              </w:rPr>
              <w:t xml:space="preserve"> (IAS)</w:t>
            </w:r>
          </w:p>
        </w:tc>
      </w:tr>
      <w:tr w:rsidR="004F7DB3" w14:paraId="7A67E54D" w14:textId="77777777" w:rsidTr="5D8904BE">
        <w:trPr>
          <w:trHeight w:val="9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6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6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62" w14:textId="08E18F81" w:rsidR="004F7DB3" w:rsidRDefault="00000000">
            <w:pPr>
              <w:spacing w:after="0" w:line="240" w:lineRule="auto"/>
              <w:jc w:val="both"/>
              <w:rPr>
                <w:color w:val="000000"/>
                <w:sz w:val="16"/>
                <w:szCs w:val="16"/>
              </w:rPr>
            </w:pPr>
            <w:sdt>
              <w:sdtPr>
                <w:tag w:val="goog_rdk_150"/>
                <w:id w:val="110103120"/>
              </w:sdtPr>
              <w:sdtContent>
                <w:proofErr w:type="spellStart"/>
                <w:r w:rsidR="087B4970">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Biomes</w:t>
            </w:r>
            <w:proofErr w:type="spellEnd"/>
          </w:p>
        </w:tc>
        <w:tc>
          <w:tcPr>
            <w:tcW w:w="2751" w:type="dxa"/>
            <w:tcBorders>
              <w:top w:val="nil"/>
              <w:left w:val="nil"/>
              <w:bottom w:val="single" w:sz="4" w:space="0" w:color="000000" w:themeColor="text1"/>
              <w:right w:val="single" w:sz="4" w:space="0" w:color="000000" w:themeColor="text1"/>
            </w:tcBorders>
          </w:tcPr>
          <w:p w14:paraId="00001763" w14:textId="77777777" w:rsidR="004F7DB3" w:rsidRDefault="00C00123">
            <w:pPr>
              <w:spacing w:after="0" w:line="240" w:lineRule="auto"/>
              <w:jc w:val="both"/>
              <w:rPr>
                <w:color w:val="000000"/>
                <w:sz w:val="16"/>
                <w:szCs w:val="16"/>
              </w:rPr>
            </w:pPr>
            <w:r>
              <w:rPr>
                <w:color w:val="000000"/>
                <w:sz w:val="16"/>
                <w:szCs w:val="16"/>
              </w:rPr>
              <w:t> </w:t>
            </w:r>
          </w:p>
        </w:tc>
      </w:tr>
      <w:tr w:rsidR="004F7DB3" w14:paraId="5627825C"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6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6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6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67" w14:textId="77777777" w:rsidR="004F7DB3" w:rsidRDefault="00000000">
            <w:pPr>
              <w:spacing w:after="0" w:line="240" w:lineRule="auto"/>
              <w:jc w:val="both"/>
              <w:rPr>
                <w:color w:val="000000"/>
                <w:sz w:val="16"/>
                <w:szCs w:val="16"/>
              </w:rPr>
            </w:pPr>
            <w:sdt>
              <w:sdtPr>
                <w:tag w:val="goog_rdk_151"/>
                <w:id w:val="-39287365"/>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Mangroves</w:t>
            </w:r>
          </w:p>
        </w:tc>
      </w:tr>
      <w:tr w:rsidR="004F7DB3" w14:paraId="37A39009"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6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6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6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6B" w14:textId="77777777" w:rsidR="004F7DB3" w:rsidRDefault="00000000">
            <w:pPr>
              <w:spacing w:after="0" w:line="240" w:lineRule="auto"/>
              <w:jc w:val="both"/>
              <w:rPr>
                <w:color w:val="000000"/>
                <w:sz w:val="16"/>
                <w:szCs w:val="16"/>
              </w:rPr>
            </w:pPr>
            <w:sdt>
              <w:sdtPr>
                <w:tag w:val="goog_rdk_152"/>
                <w:id w:val="-1988005492"/>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Coral </w:t>
            </w:r>
            <w:proofErr w:type="spellStart"/>
            <w:r w:rsidR="552CE4D7">
              <w:rPr>
                <w:color w:val="000000"/>
                <w:sz w:val="16"/>
                <w:szCs w:val="16"/>
              </w:rPr>
              <w:t>Reefs</w:t>
            </w:r>
            <w:proofErr w:type="spellEnd"/>
          </w:p>
        </w:tc>
      </w:tr>
      <w:tr w:rsidR="004F7DB3" w14:paraId="0933998D"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6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6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6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6F" w14:textId="77777777" w:rsidR="004F7DB3" w:rsidRDefault="00000000">
            <w:pPr>
              <w:spacing w:after="0" w:line="240" w:lineRule="auto"/>
              <w:jc w:val="both"/>
              <w:rPr>
                <w:color w:val="000000"/>
                <w:sz w:val="16"/>
                <w:szCs w:val="16"/>
              </w:rPr>
            </w:pPr>
            <w:sdt>
              <w:sdtPr>
                <w:tag w:val="goog_rdk_153"/>
                <w:id w:val="833804483"/>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Sea</w:t>
            </w:r>
            <w:proofErr w:type="spellEnd"/>
            <w:r w:rsidR="552CE4D7">
              <w:rPr>
                <w:color w:val="000000"/>
                <w:sz w:val="16"/>
                <w:szCs w:val="16"/>
              </w:rPr>
              <w:t xml:space="preserve"> Grasses</w:t>
            </w:r>
          </w:p>
        </w:tc>
      </w:tr>
      <w:tr w:rsidR="004F7DB3" w14:paraId="40AD2CB5"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7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7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7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73" w14:textId="77777777" w:rsidR="004F7DB3" w:rsidRDefault="00000000">
            <w:pPr>
              <w:spacing w:after="0" w:line="240" w:lineRule="auto"/>
              <w:jc w:val="both"/>
              <w:rPr>
                <w:color w:val="000000"/>
                <w:sz w:val="16"/>
                <w:szCs w:val="16"/>
              </w:rPr>
            </w:pPr>
            <w:sdt>
              <w:sdtPr>
                <w:tag w:val="goog_rdk_154"/>
                <w:id w:val="925691349"/>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Wetlands</w:t>
            </w:r>
            <w:proofErr w:type="spellEnd"/>
          </w:p>
        </w:tc>
      </w:tr>
      <w:tr w:rsidR="004F7DB3" w14:paraId="0072BE78" w14:textId="77777777" w:rsidTr="5D8904BE">
        <w:trPr>
          <w:trHeight w:val="179"/>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7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7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7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77" w14:textId="77777777" w:rsidR="004F7DB3" w:rsidRDefault="00000000">
            <w:pPr>
              <w:spacing w:after="0" w:line="240" w:lineRule="auto"/>
              <w:jc w:val="both"/>
              <w:rPr>
                <w:color w:val="000000"/>
                <w:sz w:val="16"/>
                <w:szCs w:val="16"/>
              </w:rPr>
            </w:pPr>
            <w:sdt>
              <w:sdtPr>
                <w:tag w:val="goog_rdk_155"/>
                <w:id w:val="-1657685744"/>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Rivers</w:t>
            </w:r>
          </w:p>
        </w:tc>
      </w:tr>
      <w:tr w:rsidR="004F7DB3" w14:paraId="677672AD" w14:textId="77777777" w:rsidTr="5D8904BE">
        <w:trPr>
          <w:trHeight w:val="170"/>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7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7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7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7B" w14:textId="77777777" w:rsidR="004F7DB3" w:rsidRDefault="00000000">
            <w:pPr>
              <w:spacing w:after="0" w:line="240" w:lineRule="auto"/>
              <w:jc w:val="both"/>
              <w:rPr>
                <w:color w:val="000000"/>
                <w:sz w:val="16"/>
                <w:szCs w:val="16"/>
              </w:rPr>
            </w:pPr>
            <w:sdt>
              <w:sdtPr>
                <w:tag w:val="goog_rdk_156"/>
                <w:id w:val="-1711100488"/>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Lakes</w:t>
            </w:r>
            <w:proofErr w:type="spellEnd"/>
          </w:p>
        </w:tc>
      </w:tr>
      <w:tr w:rsidR="004F7DB3" w14:paraId="1C7E51BF"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7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7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7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7F" w14:textId="77777777" w:rsidR="004F7DB3" w:rsidRDefault="00000000">
            <w:pPr>
              <w:spacing w:after="0" w:line="240" w:lineRule="auto"/>
              <w:jc w:val="both"/>
              <w:rPr>
                <w:color w:val="000000"/>
                <w:sz w:val="16"/>
                <w:szCs w:val="16"/>
              </w:rPr>
            </w:pPr>
            <w:sdt>
              <w:sdtPr>
                <w:tag w:val="goog_rdk_157"/>
                <w:id w:val="-1942687019"/>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Tropical Rain </w:t>
            </w:r>
            <w:proofErr w:type="spellStart"/>
            <w:r w:rsidR="552CE4D7">
              <w:rPr>
                <w:color w:val="000000"/>
                <w:sz w:val="16"/>
                <w:szCs w:val="16"/>
              </w:rPr>
              <w:t>Forests</w:t>
            </w:r>
            <w:proofErr w:type="spellEnd"/>
          </w:p>
        </w:tc>
      </w:tr>
      <w:tr w:rsidR="004F7DB3" w14:paraId="2002B2BA"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8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8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8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83" w14:textId="41DD68B9" w:rsidR="004F7DB3" w:rsidRDefault="00000000">
            <w:pPr>
              <w:spacing w:after="0" w:line="240" w:lineRule="auto"/>
              <w:jc w:val="both"/>
              <w:rPr>
                <w:color w:val="000000"/>
                <w:sz w:val="16"/>
                <w:szCs w:val="16"/>
              </w:rPr>
            </w:pPr>
            <w:sdt>
              <w:sdtPr>
                <w:tag w:val="goog_rdk_158"/>
                <w:id w:val="1780834424"/>
              </w:sdtPr>
              <w:sdtContent>
                <w:proofErr w:type="spellStart"/>
                <w:r w:rsidR="484D5806">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Tropical</w:t>
            </w:r>
            <w:proofErr w:type="spellEnd"/>
            <w:r w:rsidR="352EB93F">
              <w:rPr>
                <w:color w:val="000000"/>
                <w:sz w:val="16"/>
                <w:szCs w:val="16"/>
              </w:rPr>
              <w:t xml:space="preserve"> Dry </w:t>
            </w:r>
            <w:proofErr w:type="spellStart"/>
            <w:r w:rsidR="352EB93F">
              <w:rPr>
                <w:color w:val="000000"/>
                <w:sz w:val="16"/>
                <w:szCs w:val="16"/>
              </w:rPr>
              <w:t>Forests</w:t>
            </w:r>
            <w:proofErr w:type="spellEnd"/>
          </w:p>
        </w:tc>
      </w:tr>
      <w:tr w:rsidR="004F7DB3" w14:paraId="17FDD3D0" w14:textId="77777777" w:rsidTr="5D8904BE">
        <w:trPr>
          <w:trHeight w:val="125"/>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8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8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8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87" w14:textId="77777777" w:rsidR="004F7DB3" w:rsidRDefault="00000000">
            <w:pPr>
              <w:spacing w:after="0" w:line="240" w:lineRule="auto"/>
              <w:jc w:val="both"/>
              <w:rPr>
                <w:color w:val="000000"/>
                <w:sz w:val="16"/>
                <w:szCs w:val="16"/>
              </w:rPr>
            </w:pPr>
            <w:sdt>
              <w:sdtPr>
                <w:tag w:val="goog_rdk_159"/>
                <w:id w:val="1159649222"/>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Temperate</w:t>
            </w:r>
            <w:proofErr w:type="spellEnd"/>
            <w:r w:rsidR="552CE4D7">
              <w:rPr>
                <w:color w:val="000000"/>
                <w:sz w:val="16"/>
                <w:szCs w:val="16"/>
              </w:rPr>
              <w:t xml:space="preserve"> </w:t>
            </w:r>
            <w:proofErr w:type="spellStart"/>
            <w:r w:rsidR="552CE4D7">
              <w:rPr>
                <w:color w:val="000000"/>
                <w:sz w:val="16"/>
                <w:szCs w:val="16"/>
              </w:rPr>
              <w:t>Forests</w:t>
            </w:r>
            <w:proofErr w:type="spellEnd"/>
          </w:p>
        </w:tc>
      </w:tr>
      <w:tr w:rsidR="004F7DB3" w14:paraId="15C44645"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8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8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8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8B" w14:textId="77777777" w:rsidR="004F7DB3" w:rsidRDefault="00000000">
            <w:pPr>
              <w:spacing w:after="0" w:line="240" w:lineRule="auto"/>
              <w:jc w:val="both"/>
              <w:rPr>
                <w:color w:val="000000"/>
                <w:sz w:val="16"/>
                <w:szCs w:val="16"/>
              </w:rPr>
            </w:pPr>
            <w:sdt>
              <w:sdtPr>
                <w:tag w:val="goog_rdk_160"/>
                <w:id w:val="-10072126"/>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Grasslands</w:t>
            </w:r>
            <w:proofErr w:type="spellEnd"/>
            <w:r w:rsidR="552CE4D7">
              <w:rPr>
                <w:color w:val="000000"/>
                <w:sz w:val="16"/>
                <w:szCs w:val="16"/>
              </w:rPr>
              <w:t xml:space="preserve"> </w:t>
            </w:r>
          </w:p>
        </w:tc>
      </w:tr>
      <w:tr w:rsidR="004F7DB3" w14:paraId="0275A3A0" w14:textId="77777777" w:rsidTr="5D8904BE">
        <w:trPr>
          <w:trHeight w:val="89"/>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8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8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8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8F" w14:textId="77777777" w:rsidR="004F7DB3" w:rsidRDefault="00000000">
            <w:pPr>
              <w:spacing w:after="0" w:line="240" w:lineRule="auto"/>
              <w:jc w:val="both"/>
              <w:rPr>
                <w:color w:val="000000"/>
                <w:sz w:val="16"/>
                <w:szCs w:val="16"/>
              </w:rPr>
            </w:pPr>
            <w:sdt>
              <w:sdtPr>
                <w:tag w:val="goog_rdk_161"/>
                <w:id w:val="1267740220"/>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Paramo</w:t>
            </w:r>
            <w:proofErr w:type="spellEnd"/>
          </w:p>
        </w:tc>
      </w:tr>
      <w:tr w:rsidR="004F7DB3" w14:paraId="0E55D2B8" w14:textId="77777777" w:rsidTr="5D8904BE">
        <w:trPr>
          <w:trHeight w:val="152"/>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9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9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9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93" w14:textId="77777777" w:rsidR="004F7DB3" w:rsidRDefault="00000000">
            <w:pPr>
              <w:spacing w:after="0" w:line="240" w:lineRule="auto"/>
              <w:jc w:val="both"/>
              <w:rPr>
                <w:color w:val="000000"/>
                <w:sz w:val="16"/>
                <w:szCs w:val="16"/>
              </w:rPr>
            </w:pPr>
            <w:sdt>
              <w:sdtPr>
                <w:tag w:val="goog_rdk_162"/>
                <w:id w:val="-333145168"/>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Desert</w:t>
            </w:r>
            <w:proofErr w:type="spellEnd"/>
          </w:p>
        </w:tc>
      </w:tr>
      <w:tr w:rsidR="004F7DB3" w14:paraId="789E8D9E" w14:textId="77777777" w:rsidTr="5D8904BE">
        <w:trPr>
          <w:trHeight w:val="233"/>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9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9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96" w14:textId="77777777" w:rsidR="004F7DB3" w:rsidRDefault="00000000">
            <w:pPr>
              <w:spacing w:after="0" w:line="240" w:lineRule="auto"/>
              <w:jc w:val="both"/>
              <w:rPr>
                <w:color w:val="000000"/>
                <w:sz w:val="16"/>
                <w:szCs w:val="16"/>
              </w:rPr>
            </w:pPr>
            <w:sdt>
              <w:sdtPr>
                <w:tag w:val="goog_rdk_163"/>
                <w:id w:val="453214282"/>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Financial and </w:t>
            </w:r>
            <w:proofErr w:type="spellStart"/>
            <w:r w:rsidR="552CE4D7">
              <w:rPr>
                <w:color w:val="000000"/>
                <w:sz w:val="16"/>
                <w:szCs w:val="16"/>
              </w:rPr>
              <w:t>Accounting</w:t>
            </w:r>
            <w:proofErr w:type="spellEnd"/>
          </w:p>
        </w:tc>
        <w:tc>
          <w:tcPr>
            <w:tcW w:w="2751" w:type="dxa"/>
            <w:tcBorders>
              <w:top w:val="nil"/>
              <w:left w:val="nil"/>
              <w:bottom w:val="single" w:sz="4" w:space="0" w:color="000000" w:themeColor="text1"/>
              <w:right w:val="single" w:sz="4" w:space="0" w:color="000000" w:themeColor="text1"/>
            </w:tcBorders>
          </w:tcPr>
          <w:p w14:paraId="00001797" w14:textId="77777777" w:rsidR="004F7DB3" w:rsidRDefault="00C00123">
            <w:pPr>
              <w:spacing w:after="0" w:line="240" w:lineRule="auto"/>
              <w:jc w:val="both"/>
              <w:rPr>
                <w:color w:val="000000"/>
                <w:sz w:val="16"/>
                <w:szCs w:val="16"/>
              </w:rPr>
            </w:pPr>
            <w:r>
              <w:rPr>
                <w:color w:val="000000"/>
                <w:sz w:val="16"/>
                <w:szCs w:val="16"/>
              </w:rPr>
              <w:t> </w:t>
            </w:r>
          </w:p>
        </w:tc>
      </w:tr>
      <w:tr w:rsidR="004F7DB3" w14:paraId="5F29087C" w14:textId="77777777" w:rsidTr="5D8904BE">
        <w:trPr>
          <w:trHeight w:val="161"/>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9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9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9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9B" w14:textId="77777777" w:rsidR="004F7DB3" w:rsidRDefault="00000000">
            <w:pPr>
              <w:spacing w:after="0" w:line="240" w:lineRule="auto"/>
              <w:jc w:val="both"/>
              <w:rPr>
                <w:color w:val="000000"/>
                <w:sz w:val="16"/>
                <w:szCs w:val="16"/>
              </w:rPr>
            </w:pPr>
            <w:sdt>
              <w:sdtPr>
                <w:tag w:val="goog_rdk_164"/>
                <w:id w:val="-346636664"/>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Payment</w:t>
            </w:r>
            <w:proofErr w:type="spellEnd"/>
            <w:r w:rsidR="552CE4D7">
              <w:rPr>
                <w:color w:val="000000"/>
                <w:sz w:val="16"/>
                <w:szCs w:val="16"/>
              </w:rPr>
              <w:t xml:space="preserve"> for </w:t>
            </w:r>
            <w:proofErr w:type="spellStart"/>
            <w:r w:rsidR="552CE4D7">
              <w:rPr>
                <w:color w:val="000000"/>
                <w:sz w:val="16"/>
                <w:szCs w:val="16"/>
              </w:rPr>
              <w:t>Ecosystem</w:t>
            </w:r>
            <w:proofErr w:type="spellEnd"/>
            <w:r w:rsidR="552CE4D7">
              <w:rPr>
                <w:color w:val="000000"/>
                <w:sz w:val="16"/>
                <w:szCs w:val="16"/>
              </w:rPr>
              <w:t xml:space="preserve"> Services </w:t>
            </w:r>
          </w:p>
        </w:tc>
      </w:tr>
      <w:tr w:rsidR="004F7DB3" w:rsidRPr="00F50786" w14:paraId="7E9F3CA7" w14:textId="77777777" w:rsidTr="5D8904BE">
        <w:trPr>
          <w:trHeight w:val="420"/>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9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9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9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9F" w14:textId="77777777" w:rsidR="004F7DB3" w:rsidRPr="00C00123" w:rsidRDefault="00000000">
            <w:pPr>
              <w:spacing w:after="0" w:line="240" w:lineRule="auto"/>
              <w:ind w:left="192" w:hanging="192"/>
              <w:jc w:val="both"/>
              <w:rPr>
                <w:color w:val="000000"/>
                <w:sz w:val="16"/>
                <w:szCs w:val="16"/>
                <w:lang w:val="en-US"/>
              </w:rPr>
            </w:pPr>
            <w:sdt>
              <w:sdtPr>
                <w:tag w:val="goog_rdk_165"/>
                <w:id w:val="-2006042915"/>
              </w:sdtPr>
              <w:sdtContent>
                <w:r w:rsidR="00C00123" w:rsidRPr="00C00123">
                  <w:rPr>
                    <w:rFonts w:ascii="Arial Unicode MS" w:eastAsia="Arial Unicode MS" w:hAnsi="Arial Unicode MS" w:cs="Arial Unicode MS"/>
                    <w:color w:val="000000"/>
                    <w:sz w:val="16"/>
                    <w:szCs w:val="16"/>
                    <w:shd w:val="clear" w:color="auto" w:fill="E6E6E6"/>
                    <w:lang w:val="en-US"/>
                  </w:rPr>
                  <w:t>☐</w:t>
                </w:r>
              </w:sdtContent>
            </w:sdt>
            <w:r w:rsidR="00C00123" w:rsidRPr="00C00123">
              <w:rPr>
                <w:color w:val="000000"/>
                <w:sz w:val="16"/>
                <w:szCs w:val="16"/>
                <w:lang w:val="en-US"/>
              </w:rPr>
              <w:t>Natural Capital Assessment and Accounting</w:t>
            </w:r>
          </w:p>
        </w:tc>
      </w:tr>
      <w:tr w:rsidR="004F7DB3" w14:paraId="22D51E86"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A0"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7A1"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7A2"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7A3" w14:textId="77777777" w:rsidR="004F7DB3" w:rsidRDefault="00000000">
            <w:pPr>
              <w:spacing w:after="0" w:line="240" w:lineRule="auto"/>
              <w:jc w:val="both"/>
              <w:rPr>
                <w:color w:val="000000"/>
                <w:sz w:val="16"/>
                <w:szCs w:val="16"/>
              </w:rPr>
            </w:pPr>
            <w:sdt>
              <w:sdtPr>
                <w:tag w:val="goog_rdk_166"/>
                <w:id w:val="2077078845"/>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Conservation Trust Funds</w:t>
            </w:r>
          </w:p>
        </w:tc>
      </w:tr>
      <w:tr w:rsidR="004F7DB3" w14:paraId="735631AF" w14:textId="77777777" w:rsidTr="5D8904BE">
        <w:trPr>
          <w:trHeight w:val="80"/>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A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A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A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A7" w14:textId="77777777" w:rsidR="004F7DB3" w:rsidRDefault="00000000">
            <w:pPr>
              <w:spacing w:after="0" w:line="240" w:lineRule="auto"/>
              <w:jc w:val="both"/>
              <w:rPr>
                <w:color w:val="000000"/>
                <w:sz w:val="16"/>
                <w:szCs w:val="16"/>
              </w:rPr>
            </w:pPr>
            <w:sdt>
              <w:sdtPr>
                <w:tag w:val="goog_rdk_167"/>
                <w:id w:val="-905917124"/>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Conservation Finance</w:t>
            </w:r>
          </w:p>
        </w:tc>
      </w:tr>
      <w:tr w:rsidR="004F7DB3" w:rsidRPr="00F50786" w14:paraId="46D98A1B"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A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A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AA" w14:textId="77777777" w:rsidR="004F7DB3" w:rsidRPr="00C00123" w:rsidRDefault="00000000">
            <w:pPr>
              <w:spacing w:after="0" w:line="240" w:lineRule="auto"/>
              <w:ind w:left="150" w:hanging="150"/>
              <w:jc w:val="both"/>
              <w:rPr>
                <w:color w:val="000000"/>
                <w:sz w:val="16"/>
                <w:szCs w:val="16"/>
                <w:lang w:val="en-US"/>
              </w:rPr>
            </w:pPr>
            <w:sdt>
              <w:sdtPr>
                <w:tag w:val="goog_rdk_168"/>
                <w:id w:val="-1720117585"/>
              </w:sdtPr>
              <w:sdtContent>
                <w:r w:rsidR="00C00123" w:rsidRPr="00C00123">
                  <w:rPr>
                    <w:rFonts w:ascii="Arial Unicode MS" w:eastAsia="Arial Unicode MS" w:hAnsi="Arial Unicode MS" w:cs="Arial Unicode MS"/>
                    <w:color w:val="000000"/>
                    <w:sz w:val="16"/>
                    <w:szCs w:val="16"/>
                    <w:shd w:val="clear" w:color="auto" w:fill="E6E6E6"/>
                    <w:lang w:val="en-US"/>
                  </w:rPr>
                  <w:t>☐</w:t>
                </w:r>
              </w:sdtContent>
            </w:sdt>
            <w:r w:rsidR="00C00123" w:rsidRPr="00C00123">
              <w:rPr>
                <w:color w:val="000000"/>
                <w:sz w:val="16"/>
                <w:szCs w:val="16"/>
                <w:lang w:val="en-US"/>
              </w:rPr>
              <w:t>Supplementary Protocol to the CBD</w:t>
            </w:r>
          </w:p>
        </w:tc>
        <w:tc>
          <w:tcPr>
            <w:tcW w:w="2751" w:type="dxa"/>
            <w:tcBorders>
              <w:top w:val="nil"/>
              <w:left w:val="nil"/>
              <w:bottom w:val="single" w:sz="4" w:space="0" w:color="000000" w:themeColor="text1"/>
              <w:right w:val="single" w:sz="4" w:space="0" w:color="000000" w:themeColor="text1"/>
            </w:tcBorders>
          </w:tcPr>
          <w:p w14:paraId="000017AB"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r>
      <w:tr w:rsidR="004F7DB3" w14:paraId="698FBF16" w14:textId="77777777" w:rsidTr="5D8904BE">
        <w:trPr>
          <w:trHeight w:val="9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AC"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7AD"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7AE"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7AF" w14:textId="77777777" w:rsidR="004F7DB3" w:rsidRDefault="00000000">
            <w:pPr>
              <w:spacing w:after="0" w:line="240" w:lineRule="auto"/>
              <w:jc w:val="both"/>
              <w:rPr>
                <w:color w:val="000000"/>
                <w:sz w:val="16"/>
                <w:szCs w:val="16"/>
              </w:rPr>
            </w:pPr>
            <w:sdt>
              <w:sdtPr>
                <w:tag w:val="goog_rdk_169"/>
                <w:id w:val="1160202910"/>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Biosafety</w:t>
            </w:r>
            <w:proofErr w:type="spellEnd"/>
          </w:p>
        </w:tc>
      </w:tr>
      <w:tr w:rsidR="004F7DB3" w:rsidRPr="00F50786" w14:paraId="5EC84E75"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B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B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B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B3" w14:textId="77777777" w:rsidR="004F7DB3" w:rsidRPr="00C00123" w:rsidRDefault="00000000">
            <w:pPr>
              <w:spacing w:after="0" w:line="240" w:lineRule="auto"/>
              <w:ind w:left="192" w:hanging="192"/>
              <w:jc w:val="both"/>
              <w:rPr>
                <w:color w:val="000000"/>
                <w:sz w:val="16"/>
                <w:szCs w:val="16"/>
                <w:lang w:val="en-US"/>
              </w:rPr>
            </w:pPr>
            <w:sdt>
              <w:sdtPr>
                <w:tag w:val="goog_rdk_170"/>
                <w:id w:val="-1790657843"/>
              </w:sdtPr>
              <w:sdtContent>
                <w:r w:rsidR="00C00123" w:rsidRPr="00C00123">
                  <w:rPr>
                    <w:rFonts w:ascii="Arial Unicode MS" w:eastAsia="Arial Unicode MS" w:hAnsi="Arial Unicode MS" w:cs="Arial Unicode MS"/>
                    <w:color w:val="000000"/>
                    <w:sz w:val="16"/>
                    <w:szCs w:val="16"/>
                    <w:shd w:val="clear" w:color="auto" w:fill="E6E6E6"/>
                    <w:lang w:val="en-US"/>
                  </w:rPr>
                  <w:t>☐</w:t>
                </w:r>
              </w:sdtContent>
            </w:sdt>
            <w:r w:rsidR="00C00123" w:rsidRPr="00C00123">
              <w:rPr>
                <w:color w:val="000000"/>
                <w:sz w:val="16"/>
                <w:szCs w:val="16"/>
                <w:lang w:val="en-US"/>
              </w:rPr>
              <w:t>Access to Genetic Resources Benefit Sharing</w:t>
            </w:r>
          </w:p>
        </w:tc>
      </w:tr>
      <w:tr w:rsidR="004F7DB3" w14:paraId="41D95B90" w14:textId="77777777" w:rsidTr="5D8904BE">
        <w:trPr>
          <w:trHeight w:val="179"/>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B4"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7B5" w14:textId="77777777" w:rsidR="004F7DB3" w:rsidRDefault="00000000">
            <w:pPr>
              <w:spacing w:after="0" w:line="240" w:lineRule="auto"/>
              <w:jc w:val="both"/>
              <w:rPr>
                <w:b/>
                <w:color w:val="000000"/>
                <w:sz w:val="16"/>
                <w:szCs w:val="16"/>
              </w:rPr>
            </w:pPr>
            <w:sdt>
              <w:sdtPr>
                <w:tag w:val="goog_rdk_171"/>
                <w:id w:val="-1964184173"/>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b/>
                <w:color w:val="000000"/>
                <w:sz w:val="16"/>
                <w:szCs w:val="16"/>
              </w:rPr>
              <w:t>Forests</w:t>
            </w:r>
            <w:proofErr w:type="spellEnd"/>
          </w:p>
        </w:tc>
        <w:tc>
          <w:tcPr>
            <w:tcW w:w="2541" w:type="dxa"/>
            <w:tcBorders>
              <w:top w:val="nil"/>
              <w:left w:val="nil"/>
              <w:bottom w:val="single" w:sz="4" w:space="0" w:color="000000" w:themeColor="text1"/>
              <w:right w:val="single" w:sz="4" w:space="0" w:color="000000" w:themeColor="text1"/>
            </w:tcBorders>
          </w:tcPr>
          <w:p w14:paraId="000017B6" w14:textId="77777777" w:rsidR="004F7DB3" w:rsidRDefault="004F7DB3">
            <w:pPr>
              <w:spacing w:after="0" w:line="240" w:lineRule="auto"/>
              <w:jc w:val="both"/>
              <w:rPr>
                <w:color w:val="000000"/>
                <w:sz w:val="16"/>
                <w:szCs w:val="16"/>
              </w:rPr>
            </w:pPr>
          </w:p>
        </w:tc>
        <w:tc>
          <w:tcPr>
            <w:tcW w:w="2751" w:type="dxa"/>
            <w:tcBorders>
              <w:top w:val="nil"/>
              <w:left w:val="nil"/>
              <w:bottom w:val="single" w:sz="4" w:space="0" w:color="000000" w:themeColor="text1"/>
              <w:right w:val="single" w:sz="4" w:space="0" w:color="000000" w:themeColor="text1"/>
            </w:tcBorders>
          </w:tcPr>
          <w:p w14:paraId="000017B7" w14:textId="77777777" w:rsidR="004F7DB3" w:rsidRDefault="00C00123">
            <w:pPr>
              <w:spacing w:after="0" w:line="240" w:lineRule="auto"/>
              <w:jc w:val="both"/>
              <w:rPr>
                <w:color w:val="000000"/>
                <w:sz w:val="16"/>
                <w:szCs w:val="16"/>
              </w:rPr>
            </w:pPr>
            <w:r>
              <w:rPr>
                <w:color w:val="000000"/>
                <w:sz w:val="16"/>
                <w:szCs w:val="16"/>
              </w:rPr>
              <w:t> </w:t>
            </w:r>
          </w:p>
        </w:tc>
      </w:tr>
      <w:tr w:rsidR="004F7DB3" w14:paraId="2685684F"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B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B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BA" w14:textId="77777777" w:rsidR="004F7DB3" w:rsidRDefault="00000000">
            <w:pPr>
              <w:spacing w:after="0" w:line="240" w:lineRule="auto"/>
              <w:ind w:left="150" w:hanging="150"/>
              <w:jc w:val="both"/>
              <w:rPr>
                <w:color w:val="000000"/>
                <w:sz w:val="16"/>
                <w:szCs w:val="16"/>
              </w:rPr>
            </w:pPr>
            <w:sdt>
              <w:sdtPr>
                <w:tag w:val="goog_rdk_172"/>
                <w:id w:val="-1791736190"/>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Forest and </w:t>
            </w:r>
            <w:proofErr w:type="spellStart"/>
            <w:r w:rsidR="552CE4D7">
              <w:rPr>
                <w:color w:val="000000"/>
                <w:sz w:val="16"/>
                <w:szCs w:val="16"/>
              </w:rPr>
              <w:t>Landscape</w:t>
            </w:r>
            <w:proofErr w:type="spellEnd"/>
            <w:r w:rsidR="552CE4D7">
              <w:rPr>
                <w:color w:val="000000"/>
                <w:sz w:val="16"/>
                <w:szCs w:val="16"/>
              </w:rPr>
              <w:t xml:space="preserve"> </w:t>
            </w:r>
            <w:proofErr w:type="spellStart"/>
            <w:r w:rsidR="552CE4D7">
              <w:rPr>
                <w:color w:val="000000"/>
                <w:sz w:val="16"/>
                <w:szCs w:val="16"/>
              </w:rPr>
              <w:t>Restoration</w:t>
            </w:r>
            <w:proofErr w:type="spellEnd"/>
          </w:p>
        </w:tc>
        <w:tc>
          <w:tcPr>
            <w:tcW w:w="2751" w:type="dxa"/>
            <w:tcBorders>
              <w:top w:val="nil"/>
              <w:left w:val="nil"/>
              <w:bottom w:val="single" w:sz="4" w:space="0" w:color="000000" w:themeColor="text1"/>
              <w:right w:val="single" w:sz="4" w:space="0" w:color="000000" w:themeColor="text1"/>
            </w:tcBorders>
          </w:tcPr>
          <w:p w14:paraId="000017BB" w14:textId="77777777" w:rsidR="004F7DB3" w:rsidRDefault="004F7DB3">
            <w:pPr>
              <w:spacing w:after="0" w:line="240" w:lineRule="auto"/>
              <w:jc w:val="both"/>
              <w:rPr>
                <w:color w:val="000000"/>
                <w:sz w:val="16"/>
                <w:szCs w:val="16"/>
              </w:rPr>
            </w:pPr>
          </w:p>
        </w:tc>
      </w:tr>
      <w:tr w:rsidR="004F7DB3" w14:paraId="6838F639"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BC"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tcPr>
          <w:p w14:paraId="000017BD" w14:textId="77777777" w:rsidR="004F7DB3" w:rsidRDefault="004F7DB3">
            <w:pPr>
              <w:spacing w:after="0" w:line="240" w:lineRule="auto"/>
              <w:jc w:val="both"/>
              <w:rPr>
                <w:b/>
                <w:color w:val="000000"/>
                <w:sz w:val="16"/>
                <w:szCs w:val="16"/>
              </w:rPr>
            </w:pPr>
          </w:p>
        </w:tc>
        <w:tc>
          <w:tcPr>
            <w:tcW w:w="2541" w:type="dxa"/>
            <w:tcBorders>
              <w:top w:val="nil"/>
              <w:left w:val="nil"/>
              <w:bottom w:val="single" w:sz="4" w:space="0" w:color="000000" w:themeColor="text1"/>
              <w:right w:val="single" w:sz="4" w:space="0" w:color="000000" w:themeColor="text1"/>
            </w:tcBorders>
          </w:tcPr>
          <w:p w14:paraId="000017BE" w14:textId="77777777" w:rsidR="004F7DB3" w:rsidRDefault="004F7DB3">
            <w:pPr>
              <w:spacing w:after="0" w:line="240" w:lineRule="auto"/>
              <w:jc w:val="both"/>
              <w:rPr>
                <w:color w:val="000000"/>
                <w:sz w:val="16"/>
                <w:szCs w:val="16"/>
              </w:rPr>
            </w:pPr>
          </w:p>
        </w:tc>
        <w:tc>
          <w:tcPr>
            <w:tcW w:w="2751" w:type="dxa"/>
            <w:tcBorders>
              <w:top w:val="nil"/>
              <w:left w:val="nil"/>
              <w:bottom w:val="single" w:sz="4" w:space="0" w:color="000000" w:themeColor="text1"/>
              <w:right w:val="single" w:sz="4" w:space="0" w:color="000000" w:themeColor="text1"/>
            </w:tcBorders>
          </w:tcPr>
          <w:p w14:paraId="000017BF" w14:textId="77777777" w:rsidR="004F7DB3" w:rsidRDefault="00000000">
            <w:pPr>
              <w:spacing w:after="0" w:line="240" w:lineRule="auto"/>
              <w:jc w:val="both"/>
              <w:rPr>
                <w:color w:val="000000"/>
                <w:sz w:val="16"/>
                <w:szCs w:val="16"/>
              </w:rPr>
            </w:pPr>
            <w:sdt>
              <w:sdtPr>
                <w:tag w:val="goog_rdk_173"/>
                <w:id w:val="-839001325"/>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REDD/REDD+</w:t>
            </w:r>
          </w:p>
        </w:tc>
      </w:tr>
      <w:tr w:rsidR="004F7DB3" w14:paraId="3E63E2D9" w14:textId="77777777" w:rsidTr="5D8904BE">
        <w:trPr>
          <w:trHeight w:val="18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C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C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C2" w14:textId="77777777" w:rsidR="004F7DB3" w:rsidRDefault="00000000">
            <w:pPr>
              <w:spacing w:after="0" w:line="240" w:lineRule="auto"/>
              <w:jc w:val="both"/>
              <w:rPr>
                <w:color w:val="000000"/>
                <w:sz w:val="16"/>
                <w:szCs w:val="16"/>
              </w:rPr>
            </w:pPr>
            <w:sdt>
              <w:sdtPr>
                <w:tag w:val="goog_rdk_174"/>
                <w:id w:val="-661380589"/>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Forest</w:t>
            </w:r>
          </w:p>
        </w:tc>
        <w:tc>
          <w:tcPr>
            <w:tcW w:w="2751" w:type="dxa"/>
            <w:tcBorders>
              <w:top w:val="nil"/>
              <w:left w:val="nil"/>
              <w:bottom w:val="single" w:sz="4" w:space="0" w:color="000000" w:themeColor="text1"/>
              <w:right w:val="single" w:sz="4" w:space="0" w:color="000000" w:themeColor="text1"/>
            </w:tcBorders>
          </w:tcPr>
          <w:p w14:paraId="000017C3" w14:textId="77777777" w:rsidR="004F7DB3" w:rsidRDefault="00C00123">
            <w:pPr>
              <w:spacing w:after="0" w:line="240" w:lineRule="auto"/>
              <w:jc w:val="both"/>
              <w:rPr>
                <w:color w:val="000000"/>
                <w:sz w:val="16"/>
                <w:szCs w:val="16"/>
              </w:rPr>
            </w:pPr>
            <w:r>
              <w:rPr>
                <w:color w:val="000000"/>
                <w:sz w:val="16"/>
                <w:szCs w:val="16"/>
              </w:rPr>
              <w:t> </w:t>
            </w:r>
          </w:p>
        </w:tc>
      </w:tr>
      <w:tr w:rsidR="004F7DB3" w14:paraId="304F6507" w14:textId="77777777" w:rsidTr="5D8904BE">
        <w:trPr>
          <w:trHeight w:val="161"/>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C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C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C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C7" w14:textId="77777777" w:rsidR="004F7DB3" w:rsidRDefault="00000000">
            <w:pPr>
              <w:spacing w:after="0" w:line="240" w:lineRule="auto"/>
              <w:jc w:val="both"/>
              <w:rPr>
                <w:color w:val="000000"/>
                <w:sz w:val="16"/>
                <w:szCs w:val="16"/>
              </w:rPr>
            </w:pPr>
            <w:sdt>
              <w:sdtPr>
                <w:tag w:val="goog_rdk_175"/>
                <w:id w:val="839130178"/>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Amazon</w:t>
            </w:r>
          </w:p>
        </w:tc>
      </w:tr>
      <w:tr w:rsidR="004F7DB3" w14:paraId="2434FF53" w14:textId="77777777" w:rsidTr="5D8904BE">
        <w:trPr>
          <w:trHeight w:val="107"/>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C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C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C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CB" w14:textId="77777777" w:rsidR="004F7DB3" w:rsidRDefault="00000000">
            <w:pPr>
              <w:spacing w:after="0" w:line="240" w:lineRule="auto"/>
              <w:jc w:val="both"/>
              <w:rPr>
                <w:color w:val="000000"/>
                <w:sz w:val="16"/>
                <w:szCs w:val="16"/>
              </w:rPr>
            </w:pPr>
            <w:sdt>
              <w:sdtPr>
                <w:tag w:val="goog_rdk_176"/>
                <w:id w:val="-507065059"/>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Congo</w:t>
            </w:r>
          </w:p>
        </w:tc>
      </w:tr>
      <w:tr w:rsidR="004F7DB3" w14:paraId="569F6FBC"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C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C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C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CF" w14:textId="77777777" w:rsidR="004F7DB3" w:rsidRDefault="00000000">
            <w:pPr>
              <w:spacing w:after="0" w:line="240" w:lineRule="auto"/>
              <w:jc w:val="both"/>
              <w:rPr>
                <w:color w:val="000000"/>
                <w:sz w:val="16"/>
                <w:szCs w:val="16"/>
              </w:rPr>
            </w:pPr>
            <w:sdt>
              <w:sdtPr>
                <w:tag w:val="goog_rdk_177"/>
                <w:id w:val="1080556235"/>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Drylands</w:t>
            </w:r>
            <w:proofErr w:type="spellEnd"/>
          </w:p>
        </w:tc>
      </w:tr>
      <w:tr w:rsidR="004F7DB3" w14:paraId="7F966296" w14:textId="77777777" w:rsidTr="5D8904BE">
        <w:trPr>
          <w:trHeight w:val="161"/>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D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D1" w14:textId="5304CD8D" w:rsidR="004F7DB3" w:rsidRDefault="00000000" w:rsidP="24AA8F7E">
            <w:pPr>
              <w:spacing w:after="0" w:line="240" w:lineRule="auto"/>
              <w:jc w:val="both"/>
              <w:rPr>
                <w:b/>
                <w:bCs/>
                <w:color w:val="000000"/>
                <w:sz w:val="16"/>
                <w:szCs w:val="16"/>
              </w:rPr>
            </w:pPr>
            <w:sdt>
              <w:sdtPr>
                <w:tag w:val="goog_rdk_178"/>
                <w:id w:val="2065447568"/>
              </w:sdtPr>
              <w:sdtContent>
                <w:proofErr w:type="spellStart"/>
                <w:r w:rsidR="2AD6A53C">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Land</w:t>
            </w:r>
            <w:proofErr w:type="spellEnd"/>
            <w:r w:rsidR="352EB93F" w:rsidRPr="24AA8F7E">
              <w:rPr>
                <w:b/>
                <w:bCs/>
                <w:color w:val="000000"/>
                <w:sz w:val="16"/>
                <w:szCs w:val="16"/>
              </w:rPr>
              <w:t xml:space="preserve"> </w:t>
            </w:r>
            <w:proofErr w:type="spellStart"/>
            <w:r w:rsidR="352EB93F" w:rsidRPr="24AA8F7E">
              <w:rPr>
                <w:b/>
                <w:bCs/>
                <w:color w:val="000000"/>
                <w:sz w:val="16"/>
                <w:szCs w:val="16"/>
              </w:rPr>
              <w:t>Degradation</w:t>
            </w:r>
            <w:proofErr w:type="spellEnd"/>
          </w:p>
        </w:tc>
        <w:tc>
          <w:tcPr>
            <w:tcW w:w="2541" w:type="dxa"/>
            <w:tcBorders>
              <w:top w:val="nil"/>
              <w:left w:val="nil"/>
              <w:bottom w:val="single" w:sz="4" w:space="0" w:color="000000" w:themeColor="text1"/>
              <w:right w:val="single" w:sz="4" w:space="0" w:color="000000" w:themeColor="text1"/>
            </w:tcBorders>
          </w:tcPr>
          <w:p w14:paraId="000017D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D3" w14:textId="77777777" w:rsidR="004F7DB3" w:rsidRDefault="00C00123">
            <w:pPr>
              <w:spacing w:after="0" w:line="240" w:lineRule="auto"/>
              <w:jc w:val="both"/>
              <w:rPr>
                <w:color w:val="000000"/>
                <w:sz w:val="16"/>
                <w:szCs w:val="16"/>
              </w:rPr>
            </w:pPr>
            <w:r>
              <w:rPr>
                <w:color w:val="000000"/>
                <w:sz w:val="16"/>
                <w:szCs w:val="16"/>
              </w:rPr>
              <w:t> </w:t>
            </w:r>
          </w:p>
        </w:tc>
      </w:tr>
      <w:tr w:rsidR="004F7DB3" w14:paraId="64FC04AA"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D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D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D6" w14:textId="70C024F8" w:rsidR="004F7DB3" w:rsidRDefault="00000000">
            <w:pPr>
              <w:spacing w:after="0" w:line="240" w:lineRule="auto"/>
              <w:jc w:val="both"/>
              <w:rPr>
                <w:color w:val="000000"/>
                <w:sz w:val="16"/>
                <w:szCs w:val="16"/>
              </w:rPr>
            </w:pPr>
            <w:sdt>
              <w:sdtPr>
                <w:tag w:val="goog_rdk_179"/>
                <w:id w:val="-1902046574"/>
              </w:sdtPr>
              <w:sdtContent>
                <w:proofErr w:type="spellStart"/>
                <w:r w:rsidR="533B37E6">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Sustainable</w:t>
            </w:r>
            <w:proofErr w:type="spellEnd"/>
            <w:r w:rsidR="352EB93F">
              <w:rPr>
                <w:color w:val="000000"/>
                <w:sz w:val="16"/>
                <w:szCs w:val="16"/>
              </w:rPr>
              <w:t xml:space="preserve"> Land Management</w:t>
            </w:r>
          </w:p>
        </w:tc>
        <w:tc>
          <w:tcPr>
            <w:tcW w:w="2751" w:type="dxa"/>
            <w:tcBorders>
              <w:top w:val="nil"/>
              <w:left w:val="nil"/>
              <w:bottom w:val="single" w:sz="4" w:space="0" w:color="000000" w:themeColor="text1"/>
              <w:right w:val="single" w:sz="4" w:space="0" w:color="000000" w:themeColor="text1"/>
            </w:tcBorders>
          </w:tcPr>
          <w:p w14:paraId="000017D7" w14:textId="77777777" w:rsidR="004F7DB3" w:rsidRDefault="00C00123">
            <w:pPr>
              <w:spacing w:after="0" w:line="240" w:lineRule="auto"/>
              <w:jc w:val="both"/>
              <w:rPr>
                <w:color w:val="000000"/>
                <w:sz w:val="16"/>
                <w:szCs w:val="16"/>
              </w:rPr>
            </w:pPr>
            <w:r>
              <w:rPr>
                <w:color w:val="000000"/>
                <w:sz w:val="16"/>
                <w:szCs w:val="16"/>
              </w:rPr>
              <w:t> </w:t>
            </w:r>
          </w:p>
        </w:tc>
      </w:tr>
      <w:tr w:rsidR="004F7DB3" w:rsidRPr="00F50786" w14:paraId="54904235" w14:textId="77777777" w:rsidTr="5D8904BE">
        <w:trPr>
          <w:trHeight w:val="420"/>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D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D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D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DB" w14:textId="76B51318" w:rsidR="004F7DB3" w:rsidRPr="00C00123" w:rsidRDefault="00000000">
            <w:pPr>
              <w:spacing w:after="0" w:line="240" w:lineRule="auto"/>
              <w:ind w:left="192" w:hanging="192"/>
              <w:jc w:val="both"/>
              <w:rPr>
                <w:color w:val="000000"/>
                <w:sz w:val="16"/>
                <w:szCs w:val="16"/>
                <w:lang w:val="en-US"/>
              </w:rPr>
            </w:pPr>
            <w:sdt>
              <w:sdtPr>
                <w:tag w:val="goog_rdk_180"/>
                <w:id w:val="1721172998"/>
              </w:sdtPr>
              <w:sdtContent>
                <w:proofErr w:type="spellStart"/>
                <w:r w:rsidR="651A38B0" w:rsidRPr="00C00123">
                  <w:rPr>
                    <w:rFonts w:ascii="Arial Unicode MS" w:eastAsia="Arial Unicode MS" w:hAnsi="Arial Unicode MS" w:cs="Arial Unicode MS"/>
                    <w:color w:val="000000"/>
                    <w:sz w:val="16"/>
                    <w:szCs w:val="16"/>
                    <w:shd w:val="clear" w:color="auto" w:fill="E6E6E6"/>
                    <w:lang w:val="en-US"/>
                  </w:rPr>
                  <w:t>X</w:t>
                </w:r>
              </w:sdtContent>
            </w:sdt>
            <w:r w:rsidR="352EB93F" w:rsidRPr="00C00123">
              <w:rPr>
                <w:color w:val="000000"/>
                <w:sz w:val="16"/>
                <w:szCs w:val="16"/>
                <w:lang w:val="en-US"/>
              </w:rPr>
              <w:t>Restoration</w:t>
            </w:r>
            <w:proofErr w:type="spellEnd"/>
            <w:r w:rsidR="352EB93F" w:rsidRPr="00C00123">
              <w:rPr>
                <w:color w:val="000000"/>
                <w:sz w:val="16"/>
                <w:szCs w:val="16"/>
                <w:lang w:val="en-US"/>
              </w:rPr>
              <w:t xml:space="preserve"> and Rehabilitation of Degraded Lands </w:t>
            </w:r>
          </w:p>
        </w:tc>
      </w:tr>
      <w:tr w:rsidR="004F7DB3" w14:paraId="12806DE8" w14:textId="77777777" w:rsidTr="5D8904BE">
        <w:trPr>
          <w:trHeight w:val="18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DC"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vAlign w:val="bottom"/>
          </w:tcPr>
          <w:p w14:paraId="000017DD"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7DE"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7DF" w14:textId="77777777" w:rsidR="004F7DB3" w:rsidRDefault="00000000">
            <w:pPr>
              <w:spacing w:after="0" w:line="240" w:lineRule="auto"/>
              <w:jc w:val="both"/>
              <w:rPr>
                <w:color w:val="000000"/>
                <w:sz w:val="16"/>
                <w:szCs w:val="16"/>
              </w:rPr>
            </w:pPr>
            <w:sdt>
              <w:sdtPr>
                <w:tag w:val="goog_rdk_181"/>
                <w:id w:val="2056345105"/>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Ecosystem</w:t>
            </w:r>
            <w:proofErr w:type="spellEnd"/>
            <w:r w:rsidR="552CE4D7">
              <w:rPr>
                <w:color w:val="000000"/>
                <w:sz w:val="16"/>
                <w:szCs w:val="16"/>
              </w:rPr>
              <w:t xml:space="preserve"> </w:t>
            </w:r>
            <w:proofErr w:type="spellStart"/>
            <w:r w:rsidR="552CE4D7">
              <w:rPr>
                <w:color w:val="000000"/>
                <w:sz w:val="16"/>
                <w:szCs w:val="16"/>
              </w:rPr>
              <w:t>Approach</w:t>
            </w:r>
            <w:proofErr w:type="spellEnd"/>
          </w:p>
        </w:tc>
      </w:tr>
      <w:tr w:rsidR="004F7DB3" w:rsidRPr="00F50786" w14:paraId="3A7FDB66" w14:textId="77777777" w:rsidTr="5D8904BE">
        <w:trPr>
          <w:trHeight w:val="251"/>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E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E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E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E3" w14:textId="77777777" w:rsidR="004F7DB3" w:rsidRPr="00C00123" w:rsidRDefault="00000000">
            <w:pPr>
              <w:spacing w:after="0" w:line="240" w:lineRule="auto"/>
              <w:ind w:left="192" w:hanging="192"/>
              <w:jc w:val="both"/>
              <w:rPr>
                <w:color w:val="000000"/>
                <w:sz w:val="16"/>
                <w:szCs w:val="16"/>
                <w:lang w:val="en-US"/>
              </w:rPr>
            </w:pPr>
            <w:sdt>
              <w:sdtPr>
                <w:tag w:val="goog_rdk_182"/>
                <w:id w:val="-938908687"/>
              </w:sdtPr>
              <w:sdtContent>
                <w:r w:rsidR="00C00123" w:rsidRPr="00C00123">
                  <w:rPr>
                    <w:rFonts w:ascii="Arial Unicode MS" w:eastAsia="Arial Unicode MS" w:hAnsi="Arial Unicode MS" w:cs="Arial Unicode MS"/>
                    <w:color w:val="000000"/>
                    <w:sz w:val="16"/>
                    <w:szCs w:val="16"/>
                    <w:shd w:val="clear" w:color="auto" w:fill="E6E6E6"/>
                    <w:lang w:val="en-US"/>
                  </w:rPr>
                  <w:t>☐</w:t>
                </w:r>
              </w:sdtContent>
            </w:sdt>
            <w:r w:rsidR="00C00123" w:rsidRPr="00C00123">
              <w:rPr>
                <w:color w:val="000000"/>
                <w:sz w:val="16"/>
                <w:szCs w:val="16"/>
                <w:lang w:val="en-US"/>
              </w:rPr>
              <w:t>Integrated and Cross-sectoral approach</w:t>
            </w:r>
          </w:p>
        </w:tc>
      </w:tr>
      <w:tr w:rsidR="004F7DB3" w14:paraId="5162CAA6"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E4"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7E5"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7E6"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7E7" w14:textId="5463E30B" w:rsidR="004F7DB3" w:rsidRDefault="00000000">
            <w:pPr>
              <w:spacing w:after="0" w:line="240" w:lineRule="auto"/>
              <w:jc w:val="both"/>
              <w:rPr>
                <w:color w:val="000000"/>
                <w:sz w:val="16"/>
                <w:szCs w:val="16"/>
              </w:rPr>
            </w:pPr>
            <w:sdt>
              <w:sdtPr>
                <w:tag w:val="goog_rdk_183"/>
                <w:id w:val="-1407142526"/>
              </w:sdtPr>
              <w:sdtContent>
                <w:proofErr w:type="spellStart"/>
                <w:r w:rsidR="1617E94A">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Community-Based</w:t>
            </w:r>
            <w:proofErr w:type="spellEnd"/>
            <w:r w:rsidR="352EB93F">
              <w:rPr>
                <w:color w:val="000000"/>
                <w:sz w:val="16"/>
                <w:szCs w:val="16"/>
              </w:rPr>
              <w:t xml:space="preserve"> NRM</w:t>
            </w:r>
          </w:p>
        </w:tc>
      </w:tr>
      <w:tr w:rsidR="004F7DB3" w14:paraId="780B91B7"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E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E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E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EB" w14:textId="371702AC" w:rsidR="004F7DB3" w:rsidRDefault="00000000">
            <w:pPr>
              <w:spacing w:after="0" w:line="240" w:lineRule="auto"/>
              <w:jc w:val="both"/>
              <w:rPr>
                <w:color w:val="000000"/>
                <w:sz w:val="16"/>
                <w:szCs w:val="16"/>
              </w:rPr>
            </w:pPr>
            <w:sdt>
              <w:sdtPr>
                <w:tag w:val="goog_rdk_184"/>
                <w:id w:val="-1408682102"/>
              </w:sdtPr>
              <w:sdtContent>
                <w:proofErr w:type="spellStart"/>
                <w:r w:rsidR="468C3E9D">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Sustainable</w:t>
            </w:r>
            <w:proofErr w:type="spellEnd"/>
            <w:r w:rsidR="352EB93F">
              <w:rPr>
                <w:color w:val="000000"/>
                <w:sz w:val="16"/>
                <w:szCs w:val="16"/>
              </w:rPr>
              <w:t xml:space="preserve"> </w:t>
            </w:r>
            <w:proofErr w:type="spellStart"/>
            <w:r w:rsidR="352EB93F">
              <w:rPr>
                <w:color w:val="000000"/>
                <w:sz w:val="16"/>
                <w:szCs w:val="16"/>
              </w:rPr>
              <w:t>Livelihoods</w:t>
            </w:r>
            <w:proofErr w:type="spellEnd"/>
          </w:p>
        </w:tc>
      </w:tr>
      <w:tr w:rsidR="004F7DB3" w14:paraId="302E7B27"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E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E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E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EF" w14:textId="30480AB0" w:rsidR="004F7DB3" w:rsidRDefault="00000000">
            <w:pPr>
              <w:spacing w:after="0" w:line="240" w:lineRule="auto"/>
              <w:jc w:val="both"/>
              <w:rPr>
                <w:color w:val="000000"/>
                <w:sz w:val="16"/>
                <w:szCs w:val="16"/>
              </w:rPr>
            </w:pPr>
            <w:sdt>
              <w:sdtPr>
                <w:tag w:val="goog_rdk_185"/>
                <w:id w:val="-574365472"/>
              </w:sdtPr>
              <w:sdtContent>
                <w:proofErr w:type="spellStart"/>
                <w:r w:rsidR="00EBAC84">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Income</w:t>
            </w:r>
            <w:proofErr w:type="spellEnd"/>
            <w:r w:rsidR="352EB93F">
              <w:rPr>
                <w:color w:val="000000"/>
                <w:sz w:val="16"/>
                <w:szCs w:val="16"/>
              </w:rPr>
              <w:t xml:space="preserve"> </w:t>
            </w:r>
            <w:proofErr w:type="spellStart"/>
            <w:r w:rsidR="352EB93F">
              <w:rPr>
                <w:color w:val="000000"/>
                <w:sz w:val="16"/>
                <w:szCs w:val="16"/>
              </w:rPr>
              <w:t>Generating</w:t>
            </w:r>
            <w:proofErr w:type="spellEnd"/>
            <w:r w:rsidR="352EB93F">
              <w:rPr>
                <w:color w:val="000000"/>
                <w:sz w:val="16"/>
                <w:szCs w:val="16"/>
              </w:rPr>
              <w:t xml:space="preserve"> </w:t>
            </w:r>
            <w:proofErr w:type="spellStart"/>
            <w:r w:rsidR="352EB93F">
              <w:rPr>
                <w:color w:val="000000"/>
                <w:sz w:val="16"/>
                <w:szCs w:val="16"/>
              </w:rPr>
              <w:t>Activities</w:t>
            </w:r>
            <w:proofErr w:type="spellEnd"/>
          </w:p>
        </w:tc>
      </w:tr>
      <w:tr w:rsidR="004F7DB3" w14:paraId="709C3ACF" w14:textId="77777777" w:rsidTr="5D8904BE">
        <w:trPr>
          <w:trHeight w:val="134"/>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F0" w14:textId="77777777" w:rsidR="004F7DB3" w:rsidRDefault="00C00123">
            <w:pPr>
              <w:spacing w:after="0" w:line="240" w:lineRule="auto"/>
              <w:jc w:val="both"/>
              <w:rPr>
                <w:b/>
                <w:color w:val="000000"/>
                <w:sz w:val="16"/>
                <w:szCs w:val="16"/>
              </w:rPr>
            </w:pPr>
            <w:r>
              <w:rPr>
                <w:b/>
                <w:color w:val="000000"/>
                <w:sz w:val="16"/>
                <w:szCs w:val="16"/>
              </w:rPr>
              <w:lastRenderedPageBreak/>
              <w:t> </w:t>
            </w:r>
          </w:p>
        </w:tc>
        <w:tc>
          <w:tcPr>
            <w:tcW w:w="3286" w:type="dxa"/>
            <w:tcBorders>
              <w:top w:val="nil"/>
              <w:left w:val="nil"/>
              <w:bottom w:val="single" w:sz="4" w:space="0" w:color="000000" w:themeColor="text1"/>
              <w:right w:val="single" w:sz="4" w:space="0" w:color="000000" w:themeColor="text1"/>
            </w:tcBorders>
          </w:tcPr>
          <w:p w14:paraId="000017F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F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F3" w14:textId="11AB3ED0" w:rsidR="004F7DB3" w:rsidRDefault="00000000">
            <w:pPr>
              <w:spacing w:after="0" w:line="240" w:lineRule="auto"/>
              <w:jc w:val="both"/>
              <w:rPr>
                <w:color w:val="000000"/>
                <w:sz w:val="16"/>
                <w:szCs w:val="16"/>
              </w:rPr>
            </w:pPr>
            <w:sdt>
              <w:sdtPr>
                <w:tag w:val="goog_rdk_186"/>
                <w:id w:val="74333676"/>
              </w:sdtPr>
              <w:sdtContent>
                <w:proofErr w:type="spellStart"/>
                <w:r w:rsidR="521A1833">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Sustainable</w:t>
            </w:r>
            <w:proofErr w:type="spellEnd"/>
            <w:r w:rsidR="352EB93F">
              <w:rPr>
                <w:color w:val="000000"/>
                <w:sz w:val="16"/>
                <w:szCs w:val="16"/>
              </w:rPr>
              <w:t xml:space="preserve"> Agriculture</w:t>
            </w:r>
          </w:p>
        </w:tc>
      </w:tr>
      <w:tr w:rsidR="004F7DB3" w14:paraId="290175DE" w14:textId="77777777" w:rsidTr="5D8904BE">
        <w:trPr>
          <w:trHeight w:val="107"/>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F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F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F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F7" w14:textId="77777777" w:rsidR="004F7DB3" w:rsidRDefault="00000000">
            <w:pPr>
              <w:spacing w:after="0" w:line="240" w:lineRule="auto"/>
              <w:ind w:left="192" w:hanging="192"/>
              <w:jc w:val="both"/>
              <w:rPr>
                <w:color w:val="000000"/>
                <w:sz w:val="16"/>
                <w:szCs w:val="16"/>
              </w:rPr>
            </w:pPr>
            <w:sdt>
              <w:sdtPr>
                <w:tag w:val="goog_rdk_187"/>
                <w:id w:val="1762727171"/>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Sustainable</w:t>
            </w:r>
            <w:proofErr w:type="spellEnd"/>
            <w:r w:rsidR="552CE4D7">
              <w:rPr>
                <w:color w:val="000000"/>
                <w:sz w:val="16"/>
                <w:szCs w:val="16"/>
              </w:rPr>
              <w:t xml:space="preserve"> Pasture Management</w:t>
            </w:r>
          </w:p>
        </w:tc>
      </w:tr>
      <w:tr w:rsidR="004F7DB3" w:rsidRPr="00F50786" w14:paraId="497D493B" w14:textId="77777777" w:rsidTr="5D8904BE">
        <w:trPr>
          <w:trHeight w:val="420"/>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F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7F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7F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7FB" w14:textId="0102DDE6" w:rsidR="004F7DB3" w:rsidRPr="006F5E1D" w:rsidRDefault="00000000">
            <w:pPr>
              <w:spacing w:after="0" w:line="240" w:lineRule="auto"/>
              <w:ind w:left="192" w:hanging="192"/>
              <w:jc w:val="both"/>
              <w:rPr>
                <w:color w:val="000000"/>
                <w:sz w:val="16"/>
                <w:szCs w:val="16"/>
                <w:lang w:val="en-US"/>
              </w:rPr>
            </w:pPr>
            <w:sdt>
              <w:sdtPr>
                <w:tag w:val="goog_rdk_188"/>
                <w:id w:val="1881588936"/>
              </w:sdtPr>
              <w:sdtContent>
                <w:proofErr w:type="spellStart"/>
                <w:r w:rsidR="1CB42CE0" w:rsidRPr="00C73E26">
                  <w:rPr>
                    <w:rFonts w:ascii="Arial Unicode MS" w:eastAsia="Arial Unicode MS" w:hAnsi="Arial Unicode MS" w:cs="Arial Unicode MS"/>
                    <w:color w:val="000000"/>
                    <w:sz w:val="16"/>
                    <w:szCs w:val="16"/>
                    <w:shd w:val="clear" w:color="auto" w:fill="E6E6E6"/>
                    <w:lang w:val="en-US"/>
                  </w:rPr>
                  <w:t>X</w:t>
                </w:r>
              </w:sdtContent>
            </w:sdt>
            <w:r w:rsidR="352EB93F" w:rsidRPr="00C73E26">
              <w:rPr>
                <w:color w:val="000000"/>
                <w:sz w:val="16"/>
                <w:szCs w:val="16"/>
                <w:lang w:val="en-US"/>
              </w:rPr>
              <w:t>Sustainable</w:t>
            </w:r>
            <w:proofErr w:type="spellEnd"/>
            <w:r w:rsidR="352EB93F" w:rsidRPr="00C73E26">
              <w:rPr>
                <w:color w:val="000000"/>
                <w:sz w:val="16"/>
                <w:szCs w:val="16"/>
                <w:lang w:val="en-US"/>
              </w:rPr>
              <w:t xml:space="preserve"> Forest/Woodland Management</w:t>
            </w:r>
          </w:p>
        </w:tc>
      </w:tr>
      <w:tr w:rsidR="004F7DB3" w:rsidRPr="00F50786" w14:paraId="10AE6DE5" w14:textId="77777777" w:rsidTr="5D8904BE">
        <w:trPr>
          <w:trHeight w:val="420"/>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7FC" w14:textId="77777777" w:rsidR="004F7DB3" w:rsidRPr="006F5E1D" w:rsidRDefault="552CE4D7" w:rsidP="5D8904BE">
            <w:pPr>
              <w:spacing w:after="0" w:line="240" w:lineRule="auto"/>
              <w:jc w:val="both"/>
              <w:rPr>
                <w:b/>
                <w:bCs/>
                <w:color w:val="000000"/>
                <w:sz w:val="16"/>
                <w:szCs w:val="16"/>
                <w:lang w:val="en-US"/>
              </w:rPr>
            </w:pPr>
            <w:r w:rsidRPr="5D8904BE">
              <w:rPr>
                <w:b/>
                <w:bCs/>
                <w:color w:val="000000" w:themeColor="text1"/>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7FD" w14:textId="77777777" w:rsidR="004F7DB3" w:rsidRPr="006F5E1D" w:rsidRDefault="552CE4D7" w:rsidP="5D8904BE">
            <w:pPr>
              <w:spacing w:after="0" w:line="240" w:lineRule="auto"/>
              <w:jc w:val="both"/>
              <w:rPr>
                <w:b/>
                <w:bCs/>
                <w:color w:val="000000"/>
                <w:sz w:val="16"/>
                <w:szCs w:val="16"/>
                <w:lang w:val="en-US"/>
              </w:rPr>
            </w:pPr>
            <w:r w:rsidRPr="5D8904BE">
              <w:rPr>
                <w:b/>
                <w:bCs/>
                <w:color w:val="000000" w:themeColor="text1"/>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7FE" w14:textId="77777777" w:rsidR="004F7DB3" w:rsidRPr="006F5E1D" w:rsidRDefault="552CE4D7">
            <w:pPr>
              <w:spacing w:after="0" w:line="240" w:lineRule="auto"/>
              <w:jc w:val="both"/>
              <w:rPr>
                <w:color w:val="000000"/>
                <w:sz w:val="16"/>
                <w:szCs w:val="16"/>
                <w:lang w:val="en-US"/>
              </w:rPr>
            </w:pPr>
            <w:r w:rsidRPr="5D8904BE">
              <w:rPr>
                <w:color w:val="000000" w:themeColor="text1"/>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7FF" w14:textId="77777777" w:rsidR="004F7DB3" w:rsidRPr="00C00123" w:rsidRDefault="00000000">
            <w:pPr>
              <w:spacing w:after="0" w:line="240" w:lineRule="auto"/>
              <w:ind w:left="192" w:hanging="192"/>
              <w:jc w:val="both"/>
              <w:rPr>
                <w:color w:val="000000"/>
                <w:sz w:val="16"/>
                <w:szCs w:val="16"/>
                <w:lang w:val="en-US"/>
              </w:rPr>
            </w:pPr>
            <w:sdt>
              <w:sdtPr>
                <w:tag w:val="goog_rdk_189"/>
                <w:id w:val="-857887762"/>
              </w:sdtPr>
              <w:sdtContent>
                <w:r w:rsidR="00C00123" w:rsidRPr="00C00123">
                  <w:rPr>
                    <w:rFonts w:ascii="Arial Unicode MS" w:eastAsia="Arial Unicode MS" w:hAnsi="Arial Unicode MS" w:cs="Arial Unicode MS"/>
                    <w:color w:val="000000"/>
                    <w:sz w:val="16"/>
                    <w:szCs w:val="16"/>
                    <w:shd w:val="clear" w:color="auto" w:fill="E6E6E6"/>
                    <w:lang w:val="en-US"/>
                  </w:rPr>
                  <w:t>☐</w:t>
                </w:r>
              </w:sdtContent>
            </w:sdt>
            <w:r w:rsidR="00C00123" w:rsidRPr="00C00123">
              <w:rPr>
                <w:color w:val="000000"/>
                <w:sz w:val="16"/>
                <w:szCs w:val="16"/>
                <w:lang w:val="en-US"/>
              </w:rPr>
              <w:t>Improved Soil and Water Management Techniques</w:t>
            </w:r>
          </w:p>
        </w:tc>
      </w:tr>
      <w:tr w:rsidR="004F7DB3" w14:paraId="773BD851"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00"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801"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802"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803" w14:textId="77777777" w:rsidR="004F7DB3" w:rsidRDefault="00000000">
            <w:pPr>
              <w:spacing w:after="0" w:line="240" w:lineRule="auto"/>
              <w:jc w:val="both"/>
              <w:rPr>
                <w:color w:val="000000"/>
                <w:sz w:val="16"/>
                <w:szCs w:val="16"/>
              </w:rPr>
            </w:pPr>
            <w:sdt>
              <w:sdtPr>
                <w:tag w:val="goog_rdk_190"/>
                <w:id w:val="494227099"/>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Sustainable</w:t>
            </w:r>
            <w:proofErr w:type="spellEnd"/>
            <w:r w:rsidR="552CE4D7">
              <w:rPr>
                <w:color w:val="000000"/>
                <w:sz w:val="16"/>
                <w:szCs w:val="16"/>
              </w:rPr>
              <w:t xml:space="preserve"> Fire Management</w:t>
            </w:r>
          </w:p>
        </w:tc>
      </w:tr>
      <w:tr w:rsidR="004F7DB3" w14:paraId="5F958C2C" w14:textId="77777777" w:rsidTr="5D8904BE">
        <w:trPr>
          <w:trHeight w:val="125"/>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0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0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0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807" w14:textId="77777777" w:rsidR="004F7DB3" w:rsidRDefault="00000000">
            <w:pPr>
              <w:spacing w:after="0" w:line="240" w:lineRule="auto"/>
              <w:ind w:left="192" w:hanging="192"/>
              <w:jc w:val="both"/>
              <w:rPr>
                <w:color w:val="000000"/>
                <w:sz w:val="16"/>
                <w:szCs w:val="16"/>
              </w:rPr>
            </w:pPr>
            <w:sdt>
              <w:sdtPr>
                <w:tag w:val="goog_rdk_191"/>
                <w:id w:val="-1681111952"/>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Drought</w:t>
            </w:r>
            <w:proofErr w:type="spellEnd"/>
            <w:r w:rsidR="552CE4D7">
              <w:rPr>
                <w:color w:val="000000"/>
                <w:sz w:val="16"/>
                <w:szCs w:val="16"/>
              </w:rPr>
              <w:t xml:space="preserve"> Mitigation/</w:t>
            </w:r>
            <w:proofErr w:type="spellStart"/>
            <w:r w:rsidR="552CE4D7">
              <w:rPr>
                <w:color w:val="000000"/>
                <w:sz w:val="16"/>
                <w:szCs w:val="16"/>
              </w:rPr>
              <w:t>Early</w:t>
            </w:r>
            <w:proofErr w:type="spellEnd"/>
            <w:r w:rsidR="552CE4D7">
              <w:rPr>
                <w:color w:val="000000"/>
                <w:sz w:val="16"/>
                <w:szCs w:val="16"/>
              </w:rPr>
              <w:t xml:space="preserve"> Warning</w:t>
            </w:r>
          </w:p>
        </w:tc>
      </w:tr>
      <w:tr w:rsidR="004F7DB3" w14:paraId="2D67CDF3" w14:textId="77777777" w:rsidTr="5D8904BE">
        <w:trPr>
          <w:trHeight w:val="143"/>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0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0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0A" w14:textId="193B33CC" w:rsidR="004F7DB3" w:rsidRDefault="00000000">
            <w:pPr>
              <w:spacing w:after="0" w:line="240" w:lineRule="auto"/>
              <w:jc w:val="both"/>
              <w:rPr>
                <w:color w:val="000000"/>
                <w:sz w:val="16"/>
                <w:szCs w:val="16"/>
              </w:rPr>
            </w:pPr>
            <w:sdt>
              <w:sdtPr>
                <w:tag w:val="goog_rdk_192"/>
                <w:id w:val="241072771"/>
              </w:sdtPr>
              <w:sdtContent>
                <w:proofErr w:type="spellStart"/>
                <w:r w:rsidR="71629744">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Land</w:t>
            </w:r>
            <w:proofErr w:type="spellEnd"/>
            <w:r w:rsidR="352EB93F">
              <w:rPr>
                <w:color w:val="000000"/>
                <w:sz w:val="16"/>
                <w:szCs w:val="16"/>
              </w:rPr>
              <w:t xml:space="preserve"> </w:t>
            </w:r>
            <w:proofErr w:type="spellStart"/>
            <w:r w:rsidR="352EB93F">
              <w:rPr>
                <w:color w:val="000000"/>
                <w:sz w:val="16"/>
                <w:szCs w:val="16"/>
              </w:rPr>
              <w:t>Degradation</w:t>
            </w:r>
            <w:proofErr w:type="spellEnd"/>
            <w:r w:rsidR="352EB93F">
              <w:rPr>
                <w:color w:val="000000"/>
                <w:sz w:val="16"/>
                <w:szCs w:val="16"/>
              </w:rPr>
              <w:t xml:space="preserve"> </w:t>
            </w:r>
            <w:proofErr w:type="spellStart"/>
            <w:r w:rsidR="352EB93F">
              <w:rPr>
                <w:color w:val="000000"/>
                <w:sz w:val="16"/>
                <w:szCs w:val="16"/>
              </w:rPr>
              <w:t>Neutrality</w:t>
            </w:r>
            <w:proofErr w:type="spellEnd"/>
          </w:p>
        </w:tc>
        <w:tc>
          <w:tcPr>
            <w:tcW w:w="2751" w:type="dxa"/>
            <w:tcBorders>
              <w:top w:val="nil"/>
              <w:left w:val="nil"/>
              <w:bottom w:val="single" w:sz="4" w:space="0" w:color="000000" w:themeColor="text1"/>
              <w:right w:val="single" w:sz="4" w:space="0" w:color="000000" w:themeColor="text1"/>
            </w:tcBorders>
          </w:tcPr>
          <w:p w14:paraId="0000180B" w14:textId="77777777" w:rsidR="004F7DB3" w:rsidRDefault="00C00123">
            <w:pPr>
              <w:spacing w:after="0" w:line="240" w:lineRule="auto"/>
              <w:jc w:val="both"/>
              <w:rPr>
                <w:color w:val="000000"/>
                <w:sz w:val="16"/>
                <w:szCs w:val="16"/>
              </w:rPr>
            </w:pPr>
            <w:r>
              <w:rPr>
                <w:color w:val="000000"/>
                <w:sz w:val="16"/>
                <w:szCs w:val="16"/>
              </w:rPr>
              <w:t> </w:t>
            </w:r>
          </w:p>
        </w:tc>
      </w:tr>
      <w:tr w:rsidR="004F7DB3" w14:paraId="1A7EEF6C"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0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0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0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80F" w14:textId="77777777" w:rsidR="004F7DB3" w:rsidRDefault="00000000">
            <w:pPr>
              <w:spacing w:after="0" w:line="240" w:lineRule="auto"/>
              <w:jc w:val="both"/>
              <w:rPr>
                <w:color w:val="000000"/>
                <w:sz w:val="16"/>
                <w:szCs w:val="16"/>
              </w:rPr>
            </w:pPr>
            <w:sdt>
              <w:sdtPr>
                <w:tag w:val="goog_rdk_193"/>
                <w:id w:val="78188812"/>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Land </w:t>
            </w:r>
            <w:proofErr w:type="spellStart"/>
            <w:r w:rsidR="552CE4D7">
              <w:rPr>
                <w:color w:val="000000"/>
                <w:sz w:val="16"/>
                <w:szCs w:val="16"/>
              </w:rPr>
              <w:t>Productivity</w:t>
            </w:r>
            <w:proofErr w:type="spellEnd"/>
          </w:p>
        </w:tc>
      </w:tr>
      <w:tr w:rsidR="004F7DB3" w:rsidRPr="00F50786" w14:paraId="27B5FCD1" w14:textId="77777777" w:rsidTr="5D8904BE">
        <w:trPr>
          <w:trHeight w:val="107"/>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1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1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1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813" w14:textId="296B0989" w:rsidR="004F7DB3" w:rsidRPr="00C00123" w:rsidRDefault="00000000">
            <w:pPr>
              <w:spacing w:after="0" w:line="240" w:lineRule="auto"/>
              <w:ind w:left="192" w:hanging="192"/>
              <w:jc w:val="both"/>
              <w:rPr>
                <w:color w:val="000000"/>
                <w:sz w:val="16"/>
                <w:szCs w:val="16"/>
                <w:lang w:val="en-US"/>
              </w:rPr>
            </w:pPr>
            <w:sdt>
              <w:sdtPr>
                <w:tag w:val="goog_rdk_194"/>
                <w:id w:val="627516596"/>
              </w:sdtPr>
              <w:sdtContent>
                <w:proofErr w:type="spellStart"/>
                <w:r w:rsidR="3F97CEA7" w:rsidRPr="00C00123">
                  <w:rPr>
                    <w:rFonts w:ascii="Arial Unicode MS" w:eastAsia="Arial Unicode MS" w:hAnsi="Arial Unicode MS" w:cs="Arial Unicode MS"/>
                    <w:color w:val="000000"/>
                    <w:sz w:val="16"/>
                    <w:szCs w:val="16"/>
                    <w:shd w:val="clear" w:color="auto" w:fill="E6E6E6"/>
                    <w:lang w:val="en-US"/>
                  </w:rPr>
                  <w:t>X</w:t>
                </w:r>
              </w:sdtContent>
            </w:sdt>
            <w:r w:rsidR="352EB93F" w:rsidRPr="00C00123">
              <w:rPr>
                <w:color w:val="000000"/>
                <w:sz w:val="16"/>
                <w:szCs w:val="16"/>
                <w:lang w:val="en-US"/>
              </w:rPr>
              <w:t>Land</w:t>
            </w:r>
            <w:proofErr w:type="spellEnd"/>
            <w:r w:rsidR="352EB93F" w:rsidRPr="00C00123">
              <w:rPr>
                <w:color w:val="000000"/>
                <w:sz w:val="16"/>
                <w:szCs w:val="16"/>
                <w:lang w:val="en-US"/>
              </w:rPr>
              <w:t xml:space="preserve"> Cover and Land cover change</w:t>
            </w:r>
          </w:p>
        </w:tc>
      </w:tr>
      <w:tr w:rsidR="004F7DB3" w:rsidRPr="00F50786" w14:paraId="0CB3F203" w14:textId="77777777" w:rsidTr="5D8904BE">
        <w:trPr>
          <w:trHeight w:val="179"/>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14"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815"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816"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817" w14:textId="77777777" w:rsidR="004F7DB3" w:rsidRPr="00C00123" w:rsidRDefault="00000000">
            <w:pPr>
              <w:spacing w:after="0" w:line="240" w:lineRule="auto"/>
              <w:ind w:left="192" w:hanging="192"/>
              <w:jc w:val="both"/>
              <w:rPr>
                <w:color w:val="000000"/>
                <w:sz w:val="16"/>
                <w:szCs w:val="16"/>
                <w:lang w:val="en-US"/>
              </w:rPr>
            </w:pPr>
            <w:sdt>
              <w:sdtPr>
                <w:tag w:val="goog_rdk_195"/>
                <w:id w:val="392241707"/>
              </w:sdtPr>
              <w:sdtContent>
                <w:r w:rsidR="00C00123" w:rsidRPr="00C00123">
                  <w:rPr>
                    <w:rFonts w:ascii="Arial Unicode MS" w:eastAsia="Arial Unicode MS" w:hAnsi="Arial Unicode MS" w:cs="Arial Unicode MS"/>
                    <w:color w:val="000000"/>
                    <w:sz w:val="16"/>
                    <w:szCs w:val="16"/>
                    <w:shd w:val="clear" w:color="auto" w:fill="E6E6E6"/>
                    <w:lang w:val="en-US"/>
                  </w:rPr>
                  <w:t>☐</w:t>
                </w:r>
              </w:sdtContent>
            </w:sdt>
            <w:r w:rsidR="00C00123" w:rsidRPr="00C00123">
              <w:rPr>
                <w:color w:val="000000"/>
                <w:sz w:val="16"/>
                <w:szCs w:val="16"/>
                <w:lang w:val="en-US"/>
              </w:rPr>
              <w:t>Carbon stocks above or below ground</w:t>
            </w:r>
          </w:p>
        </w:tc>
      </w:tr>
      <w:tr w:rsidR="004F7DB3" w14:paraId="4825A7FF"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18"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819"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81A" w14:textId="77777777" w:rsidR="004F7DB3" w:rsidRDefault="00000000">
            <w:pPr>
              <w:spacing w:after="0" w:line="240" w:lineRule="auto"/>
              <w:jc w:val="both"/>
              <w:rPr>
                <w:color w:val="000000"/>
                <w:sz w:val="16"/>
                <w:szCs w:val="16"/>
              </w:rPr>
            </w:pPr>
            <w:sdt>
              <w:sdtPr>
                <w:tag w:val="goog_rdk_196"/>
                <w:id w:val="-592476902"/>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Food Security</w:t>
            </w:r>
          </w:p>
        </w:tc>
        <w:tc>
          <w:tcPr>
            <w:tcW w:w="2751" w:type="dxa"/>
            <w:tcBorders>
              <w:top w:val="nil"/>
              <w:left w:val="nil"/>
              <w:bottom w:val="single" w:sz="4" w:space="0" w:color="000000" w:themeColor="text1"/>
              <w:right w:val="single" w:sz="4" w:space="0" w:color="000000" w:themeColor="text1"/>
            </w:tcBorders>
          </w:tcPr>
          <w:p w14:paraId="0000181B" w14:textId="77777777" w:rsidR="004F7DB3" w:rsidRDefault="00C00123">
            <w:pPr>
              <w:spacing w:after="0" w:line="240" w:lineRule="auto"/>
              <w:jc w:val="both"/>
              <w:rPr>
                <w:color w:val="000000"/>
                <w:sz w:val="16"/>
                <w:szCs w:val="16"/>
              </w:rPr>
            </w:pPr>
            <w:r>
              <w:rPr>
                <w:color w:val="000000"/>
                <w:sz w:val="16"/>
                <w:szCs w:val="16"/>
              </w:rPr>
              <w:t> </w:t>
            </w:r>
          </w:p>
        </w:tc>
      </w:tr>
      <w:tr w:rsidR="004F7DB3" w14:paraId="2080D9C1" w14:textId="77777777" w:rsidTr="5D8904BE">
        <w:trPr>
          <w:trHeight w:val="143"/>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1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1D" w14:textId="77777777" w:rsidR="004F7DB3" w:rsidRDefault="00000000">
            <w:pPr>
              <w:spacing w:after="0" w:line="240" w:lineRule="auto"/>
              <w:jc w:val="both"/>
              <w:rPr>
                <w:b/>
                <w:color w:val="000000"/>
                <w:sz w:val="16"/>
                <w:szCs w:val="16"/>
              </w:rPr>
            </w:pPr>
            <w:sdt>
              <w:sdtPr>
                <w:tag w:val="goog_rdk_197"/>
                <w:id w:val="-816562912"/>
              </w:sdtPr>
              <w:sdtContent>
                <w:r w:rsidR="00C00123">
                  <w:rPr>
                    <w:rFonts w:ascii="Arial Unicode MS" w:eastAsia="Arial Unicode MS" w:hAnsi="Arial Unicode MS" w:cs="Arial Unicode MS"/>
                    <w:color w:val="000000"/>
                    <w:sz w:val="16"/>
                    <w:szCs w:val="16"/>
                    <w:shd w:val="clear" w:color="auto" w:fill="E6E6E6"/>
                  </w:rPr>
                  <w:t>☐</w:t>
                </w:r>
              </w:sdtContent>
            </w:sdt>
            <w:r w:rsidR="00C00123">
              <w:rPr>
                <w:b/>
                <w:color w:val="000000"/>
                <w:sz w:val="16"/>
                <w:szCs w:val="16"/>
              </w:rPr>
              <w:t>International Waters</w:t>
            </w:r>
          </w:p>
        </w:tc>
        <w:tc>
          <w:tcPr>
            <w:tcW w:w="2541" w:type="dxa"/>
            <w:tcBorders>
              <w:top w:val="nil"/>
              <w:left w:val="nil"/>
              <w:bottom w:val="single" w:sz="4" w:space="0" w:color="000000" w:themeColor="text1"/>
              <w:right w:val="single" w:sz="4" w:space="0" w:color="000000" w:themeColor="text1"/>
            </w:tcBorders>
            <w:vAlign w:val="bottom"/>
          </w:tcPr>
          <w:p w14:paraId="0000181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vAlign w:val="bottom"/>
          </w:tcPr>
          <w:p w14:paraId="0000181F" w14:textId="77777777" w:rsidR="004F7DB3" w:rsidRDefault="00C00123">
            <w:pPr>
              <w:spacing w:after="0" w:line="240" w:lineRule="auto"/>
              <w:jc w:val="both"/>
              <w:rPr>
                <w:color w:val="000000"/>
                <w:sz w:val="16"/>
                <w:szCs w:val="16"/>
              </w:rPr>
            </w:pPr>
            <w:r>
              <w:rPr>
                <w:color w:val="000000"/>
                <w:sz w:val="16"/>
                <w:szCs w:val="16"/>
              </w:rPr>
              <w:t> </w:t>
            </w:r>
          </w:p>
        </w:tc>
      </w:tr>
      <w:tr w:rsidR="004F7DB3" w14:paraId="25B10DC7"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2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2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22" w14:textId="77777777" w:rsidR="004F7DB3" w:rsidRDefault="00000000">
            <w:pPr>
              <w:spacing w:after="0" w:line="240" w:lineRule="auto"/>
              <w:jc w:val="both"/>
              <w:rPr>
                <w:color w:val="000000"/>
                <w:sz w:val="16"/>
                <w:szCs w:val="16"/>
              </w:rPr>
            </w:pPr>
            <w:sdt>
              <w:sdtPr>
                <w:tag w:val="goog_rdk_198"/>
                <w:id w:val="341599897"/>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Ship</w:t>
            </w:r>
            <w:proofErr w:type="spellEnd"/>
            <w:r w:rsidR="552CE4D7">
              <w:rPr>
                <w:color w:val="000000"/>
                <w:sz w:val="16"/>
                <w:szCs w:val="16"/>
              </w:rPr>
              <w:t xml:space="preserve"> </w:t>
            </w:r>
          </w:p>
        </w:tc>
        <w:tc>
          <w:tcPr>
            <w:tcW w:w="2751" w:type="dxa"/>
            <w:tcBorders>
              <w:top w:val="nil"/>
              <w:left w:val="nil"/>
              <w:bottom w:val="single" w:sz="4" w:space="0" w:color="000000" w:themeColor="text1"/>
              <w:right w:val="single" w:sz="4" w:space="0" w:color="000000" w:themeColor="text1"/>
            </w:tcBorders>
          </w:tcPr>
          <w:p w14:paraId="00001823" w14:textId="77777777" w:rsidR="004F7DB3" w:rsidRDefault="00C00123">
            <w:pPr>
              <w:spacing w:after="0" w:line="240" w:lineRule="auto"/>
              <w:jc w:val="both"/>
              <w:rPr>
                <w:color w:val="000000"/>
                <w:sz w:val="16"/>
                <w:szCs w:val="16"/>
              </w:rPr>
            </w:pPr>
            <w:r>
              <w:rPr>
                <w:color w:val="000000"/>
                <w:sz w:val="16"/>
                <w:szCs w:val="16"/>
              </w:rPr>
              <w:t> </w:t>
            </w:r>
          </w:p>
        </w:tc>
      </w:tr>
      <w:tr w:rsidR="004F7DB3" w14:paraId="6FE0B5DF"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2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2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26" w14:textId="77777777" w:rsidR="004F7DB3" w:rsidRDefault="00000000">
            <w:pPr>
              <w:spacing w:after="0" w:line="240" w:lineRule="auto"/>
              <w:jc w:val="both"/>
              <w:rPr>
                <w:color w:val="000000"/>
                <w:sz w:val="16"/>
                <w:szCs w:val="16"/>
              </w:rPr>
            </w:pPr>
            <w:sdt>
              <w:sdtPr>
                <w:tag w:val="goog_rdk_199"/>
                <w:id w:val="1945874963"/>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Coastal</w:t>
            </w:r>
          </w:p>
        </w:tc>
        <w:tc>
          <w:tcPr>
            <w:tcW w:w="2751" w:type="dxa"/>
            <w:tcBorders>
              <w:top w:val="nil"/>
              <w:left w:val="nil"/>
              <w:bottom w:val="single" w:sz="4" w:space="0" w:color="000000" w:themeColor="text1"/>
              <w:right w:val="single" w:sz="4" w:space="0" w:color="000000" w:themeColor="text1"/>
            </w:tcBorders>
          </w:tcPr>
          <w:p w14:paraId="00001827" w14:textId="77777777" w:rsidR="004F7DB3" w:rsidRDefault="00C00123">
            <w:pPr>
              <w:spacing w:after="0" w:line="240" w:lineRule="auto"/>
              <w:jc w:val="both"/>
              <w:rPr>
                <w:color w:val="000000"/>
                <w:sz w:val="16"/>
                <w:szCs w:val="16"/>
              </w:rPr>
            </w:pPr>
            <w:r>
              <w:rPr>
                <w:color w:val="000000"/>
                <w:sz w:val="16"/>
                <w:szCs w:val="16"/>
              </w:rPr>
              <w:t> </w:t>
            </w:r>
          </w:p>
        </w:tc>
      </w:tr>
      <w:tr w:rsidR="004F7DB3" w14:paraId="661DC20F"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28"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tcPr>
          <w:p w14:paraId="00001829" w14:textId="77777777" w:rsidR="004F7DB3" w:rsidRDefault="004F7DB3">
            <w:pPr>
              <w:spacing w:after="0" w:line="240" w:lineRule="auto"/>
              <w:jc w:val="both"/>
              <w:rPr>
                <w:b/>
                <w:color w:val="000000"/>
                <w:sz w:val="16"/>
                <w:szCs w:val="16"/>
              </w:rPr>
            </w:pPr>
          </w:p>
        </w:tc>
        <w:tc>
          <w:tcPr>
            <w:tcW w:w="2541" w:type="dxa"/>
            <w:tcBorders>
              <w:top w:val="nil"/>
              <w:left w:val="nil"/>
              <w:bottom w:val="single" w:sz="4" w:space="0" w:color="000000" w:themeColor="text1"/>
              <w:right w:val="single" w:sz="4" w:space="0" w:color="000000" w:themeColor="text1"/>
            </w:tcBorders>
            <w:vAlign w:val="center"/>
          </w:tcPr>
          <w:p w14:paraId="0000182A" w14:textId="77777777" w:rsidR="004F7DB3" w:rsidRDefault="00000000">
            <w:pPr>
              <w:spacing w:after="0" w:line="240" w:lineRule="auto"/>
              <w:jc w:val="both"/>
              <w:rPr>
                <w:color w:val="000000"/>
                <w:sz w:val="16"/>
                <w:szCs w:val="16"/>
              </w:rPr>
            </w:pPr>
            <w:sdt>
              <w:sdtPr>
                <w:tag w:val="goog_rdk_200"/>
                <w:id w:val="895173977"/>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Freshwater</w:t>
            </w:r>
            <w:proofErr w:type="spellEnd"/>
          </w:p>
        </w:tc>
        <w:tc>
          <w:tcPr>
            <w:tcW w:w="2751" w:type="dxa"/>
            <w:tcBorders>
              <w:top w:val="nil"/>
              <w:left w:val="nil"/>
              <w:bottom w:val="single" w:sz="4" w:space="0" w:color="000000" w:themeColor="text1"/>
              <w:right w:val="single" w:sz="4" w:space="0" w:color="000000" w:themeColor="text1"/>
            </w:tcBorders>
          </w:tcPr>
          <w:p w14:paraId="0000182B" w14:textId="77777777" w:rsidR="004F7DB3" w:rsidRDefault="004F7DB3">
            <w:pPr>
              <w:spacing w:after="0" w:line="240" w:lineRule="auto"/>
              <w:jc w:val="both"/>
              <w:rPr>
                <w:color w:val="000000"/>
                <w:sz w:val="16"/>
                <w:szCs w:val="16"/>
              </w:rPr>
            </w:pPr>
          </w:p>
        </w:tc>
      </w:tr>
      <w:tr w:rsidR="004F7DB3" w14:paraId="6FA94601" w14:textId="77777777" w:rsidTr="5D8904BE">
        <w:trPr>
          <w:trHeight w:val="80"/>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2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2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2E" w14:textId="77777777" w:rsidR="004F7DB3" w:rsidRDefault="004F7DB3">
            <w:pPr>
              <w:spacing w:after="0" w:line="240" w:lineRule="auto"/>
              <w:jc w:val="both"/>
              <w:rPr>
                <w:color w:val="000000"/>
                <w:sz w:val="16"/>
                <w:szCs w:val="16"/>
              </w:rPr>
            </w:pPr>
          </w:p>
        </w:tc>
        <w:tc>
          <w:tcPr>
            <w:tcW w:w="2751" w:type="dxa"/>
            <w:tcBorders>
              <w:top w:val="nil"/>
              <w:left w:val="nil"/>
              <w:bottom w:val="single" w:sz="4" w:space="0" w:color="000000" w:themeColor="text1"/>
              <w:right w:val="single" w:sz="4" w:space="0" w:color="000000" w:themeColor="text1"/>
            </w:tcBorders>
            <w:vAlign w:val="center"/>
          </w:tcPr>
          <w:p w14:paraId="0000182F" w14:textId="77777777" w:rsidR="004F7DB3" w:rsidRDefault="00000000">
            <w:pPr>
              <w:spacing w:after="0" w:line="240" w:lineRule="auto"/>
              <w:jc w:val="both"/>
              <w:rPr>
                <w:color w:val="000000"/>
                <w:sz w:val="16"/>
                <w:szCs w:val="16"/>
              </w:rPr>
            </w:pPr>
            <w:sdt>
              <w:sdtPr>
                <w:tag w:val="goog_rdk_201"/>
                <w:id w:val="1028923945"/>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Aquifer</w:t>
            </w:r>
            <w:proofErr w:type="spellEnd"/>
          </w:p>
        </w:tc>
      </w:tr>
      <w:tr w:rsidR="004F7DB3" w14:paraId="02ED5CD5"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3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83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32" w14:textId="77777777" w:rsidR="004F7DB3" w:rsidRDefault="004F7DB3">
            <w:pPr>
              <w:spacing w:after="0" w:line="240" w:lineRule="auto"/>
              <w:jc w:val="both"/>
              <w:rPr>
                <w:color w:val="000000"/>
                <w:sz w:val="16"/>
                <w:szCs w:val="16"/>
              </w:rPr>
            </w:pPr>
          </w:p>
        </w:tc>
        <w:tc>
          <w:tcPr>
            <w:tcW w:w="2751" w:type="dxa"/>
            <w:tcBorders>
              <w:top w:val="nil"/>
              <w:left w:val="nil"/>
              <w:bottom w:val="single" w:sz="4" w:space="0" w:color="000000" w:themeColor="text1"/>
              <w:right w:val="single" w:sz="4" w:space="0" w:color="000000" w:themeColor="text1"/>
            </w:tcBorders>
            <w:vAlign w:val="center"/>
          </w:tcPr>
          <w:p w14:paraId="00001833" w14:textId="77777777" w:rsidR="004F7DB3" w:rsidRDefault="00000000">
            <w:pPr>
              <w:spacing w:after="0" w:line="240" w:lineRule="auto"/>
              <w:jc w:val="both"/>
              <w:rPr>
                <w:color w:val="000000"/>
                <w:sz w:val="16"/>
                <w:szCs w:val="16"/>
              </w:rPr>
            </w:pPr>
            <w:sdt>
              <w:sdtPr>
                <w:tag w:val="goog_rdk_202"/>
                <w:id w:val="-1747025712"/>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River Basin</w:t>
            </w:r>
          </w:p>
        </w:tc>
      </w:tr>
      <w:tr w:rsidR="004F7DB3" w14:paraId="04DA1555"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3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3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36" w14:textId="77777777" w:rsidR="004F7DB3" w:rsidRDefault="004F7DB3">
            <w:pPr>
              <w:spacing w:after="0" w:line="240" w:lineRule="auto"/>
              <w:jc w:val="both"/>
              <w:rPr>
                <w:color w:val="000000"/>
                <w:sz w:val="16"/>
                <w:szCs w:val="16"/>
              </w:rPr>
            </w:pPr>
          </w:p>
        </w:tc>
        <w:tc>
          <w:tcPr>
            <w:tcW w:w="2751" w:type="dxa"/>
            <w:tcBorders>
              <w:top w:val="nil"/>
              <w:left w:val="nil"/>
              <w:bottom w:val="single" w:sz="4" w:space="0" w:color="000000" w:themeColor="text1"/>
              <w:right w:val="single" w:sz="4" w:space="0" w:color="000000" w:themeColor="text1"/>
            </w:tcBorders>
            <w:vAlign w:val="center"/>
          </w:tcPr>
          <w:p w14:paraId="00001837" w14:textId="77777777" w:rsidR="004F7DB3" w:rsidRDefault="00000000">
            <w:pPr>
              <w:spacing w:after="0" w:line="240" w:lineRule="auto"/>
              <w:jc w:val="both"/>
              <w:rPr>
                <w:color w:val="000000"/>
                <w:sz w:val="16"/>
                <w:szCs w:val="16"/>
              </w:rPr>
            </w:pPr>
            <w:sdt>
              <w:sdtPr>
                <w:tag w:val="goog_rdk_203"/>
                <w:id w:val="-836923657"/>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Lake Basin</w:t>
            </w:r>
          </w:p>
        </w:tc>
      </w:tr>
      <w:tr w:rsidR="004F7DB3" w14:paraId="4F686101"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3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3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3A" w14:textId="77777777" w:rsidR="004F7DB3" w:rsidRDefault="00000000">
            <w:pPr>
              <w:spacing w:after="0" w:line="240" w:lineRule="auto"/>
              <w:jc w:val="both"/>
              <w:rPr>
                <w:color w:val="000000"/>
                <w:sz w:val="16"/>
                <w:szCs w:val="16"/>
              </w:rPr>
            </w:pPr>
            <w:sdt>
              <w:sdtPr>
                <w:tag w:val="goog_rdk_204"/>
                <w:id w:val="2061592779"/>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Learning</w:t>
            </w:r>
          </w:p>
        </w:tc>
        <w:tc>
          <w:tcPr>
            <w:tcW w:w="2751" w:type="dxa"/>
            <w:tcBorders>
              <w:top w:val="nil"/>
              <w:left w:val="nil"/>
              <w:bottom w:val="single" w:sz="4" w:space="0" w:color="000000" w:themeColor="text1"/>
              <w:right w:val="single" w:sz="4" w:space="0" w:color="000000" w:themeColor="text1"/>
            </w:tcBorders>
          </w:tcPr>
          <w:p w14:paraId="0000183B" w14:textId="77777777" w:rsidR="004F7DB3" w:rsidRDefault="00C00123">
            <w:pPr>
              <w:spacing w:after="0" w:line="240" w:lineRule="auto"/>
              <w:jc w:val="both"/>
              <w:rPr>
                <w:color w:val="000000"/>
                <w:sz w:val="16"/>
                <w:szCs w:val="16"/>
              </w:rPr>
            </w:pPr>
            <w:r>
              <w:rPr>
                <w:color w:val="000000"/>
                <w:sz w:val="16"/>
                <w:szCs w:val="16"/>
              </w:rPr>
              <w:t> </w:t>
            </w:r>
          </w:p>
        </w:tc>
      </w:tr>
      <w:tr w:rsidR="004F7DB3" w14:paraId="604B892D"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3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3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3E" w14:textId="77777777" w:rsidR="004F7DB3" w:rsidRDefault="00000000">
            <w:pPr>
              <w:spacing w:after="0" w:line="240" w:lineRule="auto"/>
              <w:jc w:val="both"/>
              <w:rPr>
                <w:color w:val="000000"/>
                <w:sz w:val="16"/>
                <w:szCs w:val="16"/>
              </w:rPr>
            </w:pPr>
            <w:sdt>
              <w:sdtPr>
                <w:tag w:val="goog_rdk_205"/>
                <w:id w:val="-457486534"/>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Fisheries</w:t>
            </w:r>
            <w:proofErr w:type="spellEnd"/>
          </w:p>
        </w:tc>
        <w:tc>
          <w:tcPr>
            <w:tcW w:w="2751" w:type="dxa"/>
            <w:tcBorders>
              <w:top w:val="nil"/>
              <w:left w:val="nil"/>
              <w:bottom w:val="single" w:sz="4" w:space="0" w:color="000000" w:themeColor="text1"/>
              <w:right w:val="single" w:sz="4" w:space="0" w:color="000000" w:themeColor="text1"/>
            </w:tcBorders>
          </w:tcPr>
          <w:p w14:paraId="0000183F" w14:textId="77777777" w:rsidR="004F7DB3" w:rsidRDefault="00C00123">
            <w:pPr>
              <w:spacing w:after="0" w:line="240" w:lineRule="auto"/>
              <w:jc w:val="both"/>
              <w:rPr>
                <w:color w:val="000000"/>
                <w:sz w:val="16"/>
                <w:szCs w:val="16"/>
              </w:rPr>
            </w:pPr>
            <w:r>
              <w:rPr>
                <w:color w:val="000000"/>
                <w:sz w:val="16"/>
                <w:szCs w:val="16"/>
              </w:rPr>
              <w:t> </w:t>
            </w:r>
          </w:p>
        </w:tc>
      </w:tr>
      <w:tr w:rsidR="004F7DB3" w14:paraId="7FA2A64E"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4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4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42" w14:textId="77777777" w:rsidR="004F7DB3" w:rsidRDefault="00000000">
            <w:pPr>
              <w:spacing w:after="0" w:line="240" w:lineRule="auto"/>
              <w:jc w:val="both"/>
              <w:rPr>
                <w:color w:val="000000"/>
                <w:sz w:val="16"/>
                <w:szCs w:val="16"/>
              </w:rPr>
            </w:pPr>
            <w:sdt>
              <w:sdtPr>
                <w:tag w:val="goog_rdk_206"/>
                <w:id w:val="-1716197254"/>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Persistent </w:t>
            </w:r>
            <w:proofErr w:type="spellStart"/>
            <w:r w:rsidR="552CE4D7">
              <w:rPr>
                <w:color w:val="000000"/>
                <w:sz w:val="16"/>
                <w:szCs w:val="16"/>
              </w:rPr>
              <w:t>toxic</w:t>
            </w:r>
            <w:proofErr w:type="spellEnd"/>
            <w:r w:rsidR="552CE4D7">
              <w:rPr>
                <w:color w:val="000000"/>
                <w:sz w:val="16"/>
                <w:szCs w:val="16"/>
              </w:rPr>
              <w:t xml:space="preserve"> substances</w:t>
            </w:r>
          </w:p>
        </w:tc>
        <w:tc>
          <w:tcPr>
            <w:tcW w:w="2751" w:type="dxa"/>
            <w:tcBorders>
              <w:top w:val="nil"/>
              <w:left w:val="nil"/>
              <w:bottom w:val="single" w:sz="4" w:space="0" w:color="000000" w:themeColor="text1"/>
              <w:right w:val="single" w:sz="4" w:space="0" w:color="000000" w:themeColor="text1"/>
            </w:tcBorders>
          </w:tcPr>
          <w:p w14:paraId="00001843" w14:textId="77777777" w:rsidR="004F7DB3" w:rsidRDefault="00C00123">
            <w:pPr>
              <w:spacing w:after="0" w:line="240" w:lineRule="auto"/>
              <w:jc w:val="both"/>
              <w:rPr>
                <w:color w:val="000000"/>
                <w:sz w:val="16"/>
                <w:szCs w:val="16"/>
              </w:rPr>
            </w:pPr>
            <w:r>
              <w:rPr>
                <w:color w:val="000000"/>
                <w:sz w:val="16"/>
                <w:szCs w:val="16"/>
              </w:rPr>
              <w:t> </w:t>
            </w:r>
          </w:p>
        </w:tc>
      </w:tr>
      <w:tr w:rsidR="004F7DB3" w:rsidRPr="00F50786" w14:paraId="6DFE2DB9"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4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4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46" w14:textId="77777777" w:rsidR="004F7DB3" w:rsidRPr="00C00123" w:rsidRDefault="00000000">
            <w:pPr>
              <w:spacing w:after="0" w:line="240" w:lineRule="auto"/>
              <w:jc w:val="both"/>
              <w:rPr>
                <w:color w:val="000000"/>
                <w:sz w:val="16"/>
                <w:szCs w:val="16"/>
                <w:lang w:val="en-US"/>
              </w:rPr>
            </w:pPr>
            <w:sdt>
              <w:sdtPr>
                <w:tag w:val="goog_rdk_207"/>
                <w:id w:val="1000703820"/>
              </w:sdtPr>
              <w:sdtContent>
                <w:r w:rsidR="552CE4D7" w:rsidRPr="00C00123">
                  <w:rPr>
                    <w:rFonts w:ascii="Arial Unicode MS" w:eastAsia="Arial Unicode MS" w:hAnsi="Arial Unicode MS" w:cs="Arial Unicode MS"/>
                    <w:color w:val="000000"/>
                    <w:sz w:val="16"/>
                    <w:szCs w:val="16"/>
                    <w:shd w:val="clear" w:color="auto" w:fill="E6E6E6"/>
                    <w:lang w:val="en-US"/>
                  </w:rPr>
                  <w:t>☐</w:t>
                </w:r>
              </w:sdtContent>
            </w:sdt>
            <w:proofErr w:type="gramStart"/>
            <w:r w:rsidR="552CE4D7" w:rsidRPr="00C00123">
              <w:rPr>
                <w:color w:val="000000"/>
                <w:sz w:val="16"/>
                <w:szCs w:val="16"/>
                <w:lang w:val="en-US"/>
              </w:rPr>
              <w:t>SIDS :</w:t>
            </w:r>
            <w:proofErr w:type="gramEnd"/>
            <w:r w:rsidR="552CE4D7" w:rsidRPr="00C00123">
              <w:rPr>
                <w:color w:val="000000"/>
                <w:sz w:val="16"/>
                <w:szCs w:val="16"/>
                <w:lang w:val="en-US"/>
              </w:rPr>
              <w:t xml:space="preserve"> Small Island Dev States</w:t>
            </w:r>
          </w:p>
        </w:tc>
        <w:tc>
          <w:tcPr>
            <w:tcW w:w="2751" w:type="dxa"/>
            <w:tcBorders>
              <w:top w:val="nil"/>
              <w:left w:val="nil"/>
              <w:bottom w:val="single" w:sz="4" w:space="0" w:color="000000" w:themeColor="text1"/>
              <w:right w:val="single" w:sz="4" w:space="0" w:color="000000" w:themeColor="text1"/>
            </w:tcBorders>
          </w:tcPr>
          <w:p w14:paraId="00001847"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r>
      <w:tr w:rsidR="004F7DB3" w14:paraId="6899D845"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48"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849"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vAlign w:val="center"/>
          </w:tcPr>
          <w:p w14:paraId="0000184A" w14:textId="77777777" w:rsidR="004F7DB3" w:rsidRDefault="00000000">
            <w:pPr>
              <w:spacing w:after="0" w:line="240" w:lineRule="auto"/>
              <w:jc w:val="both"/>
              <w:rPr>
                <w:color w:val="000000"/>
                <w:sz w:val="16"/>
                <w:szCs w:val="16"/>
              </w:rPr>
            </w:pPr>
            <w:sdt>
              <w:sdtPr>
                <w:tag w:val="goog_rdk_208"/>
                <w:id w:val="-1772539450"/>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Targeted</w:t>
            </w:r>
            <w:proofErr w:type="spellEnd"/>
            <w:r w:rsidR="552CE4D7">
              <w:rPr>
                <w:color w:val="000000"/>
                <w:sz w:val="16"/>
                <w:szCs w:val="16"/>
              </w:rPr>
              <w:t xml:space="preserve"> </w:t>
            </w:r>
            <w:proofErr w:type="spellStart"/>
            <w:r w:rsidR="552CE4D7">
              <w:rPr>
                <w:color w:val="000000"/>
                <w:sz w:val="16"/>
                <w:szCs w:val="16"/>
              </w:rPr>
              <w:t>Research</w:t>
            </w:r>
            <w:proofErr w:type="spellEnd"/>
          </w:p>
        </w:tc>
        <w:tc>
          <w:tcPr>
            <w:tcW w:w="2751" w:type="dxa"/>
            <w:tcBorders>
              <w:top w:val="nil"/>
              <w:left w:val="nil"/>
              <w:bottom w:val="single" w:sz="4" w:space="0" w:color="000000" w:themeColor="text1"/>
              <w:right w:val="single" w:sz="4" w:space="0" w:color="000000" w:themeColor="text1"/>
            </w:tcBorders>
          </w:tcPr>
          <w:p w14:paraId="0000184B" w14:textId="77777777" w:rsidR="004F7DB3" w:rsidRDefault="00C00123">
            <w:pPr>
              <w:spacing w:after="0" w:line="240" w:lineRule="auto"/>
              <w:jc w:val="both"/>
              <w:rPr>
                <w:color w:val="000000"/>
                <w:sz w:val="16"/>
                <w:szCs w:val="16"/>
              </w:rPr>
            </w:pPr>
            <w:r>
              <w:rPr>
                <w:color w:val="000000"/>
                <w:sz w:val="16"/>
                <w:szCs w:val="16"/>
              </w:rPr>
              <w:t> </w:t>
            </w:r>
          </w:p>
        </w:tc>
      </w:tr>
      <w:tr w:rsidR="004F7DB3" w14:paraId="21E9287B"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4C"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tcPr>
          <w:p w14:paraId="0000184D" w14:textId="77777777" w:rsidR="004F7DB3" w:rsidRDefault="004F7DB3">
            <w:pPr>
              <w:spacing w:after="0" w:line="240" w:lineRule="auto"/>
              <w:jc w:val="both"/>
              <w:rPr>
                <w:b/>
                <w:color w:val="000000"/>
                <w:sz w:val="16"/>
                <w:szCs w:val="16"/>
              </w:rPr>
            </w:pPr>
          </w:p>
        </w:tc>
        <w:tc>
          <w:tcPr>
            <w:tcW w:w="2541" w:type="dxa"/>
            <w:tcBorders>
              <w:top w:val="nil"/>
              <w:left w:val="nil"/>
              <w:bottom w:val="single" w:sz="4" w:space="0" w:color="000000" w:themeColor="text1"/>
              <w:right w:val="single" w:sz="4" w:space="0" w:color="000000" w:themeColor="text1"/>
            </w:tcBorders>
            <w:vAlign w:val="center"/>
          </w:tcPr>
          <w:p w14:paraId="0000184E" w14:textId="77777777" w:rsidR="004F7DB3" w:rsidRDefault="00000000">
            <w:pPr>
              <w:spacing w:after="0" w:line="240" w:lineRule="auto"/>
              <w:jc w:val="both"/>
              <w:rPr>
                <w:color w:val="000000"/>
                <w:sz w:val="16"/>
                <w:szCs w:val="16"/>
              </w:rPr>
            </w:pPr>
            <w:sdt>
              <w:sdtPr>
                <w:tag w:val="goog_rdk_209"/>
                <w:id w:val="-501970667"/>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Pollution</w:t>
            </w:r>
          </w:p>
        </w:tc>
        <w:tc>
          <w:tcPr>
            <w:tcW w:w="2751" w:type="dxa"/>
            <w:tcBorders>
              <w:top w:val="nil"/>
              <w:left w:val="nil"/>
              <w:bottom w:val="single" w:sz="4" w:space="0" w:color="000000" w:themeColor="text1"/>
              <w:right w:val="single" w:sz="4" w:space="0" w:color="000000" w:themeColor="text1"/>
            </w:tcBorders>
          </w:tcPr>
          <w:p w14:paraId="0000184F" w14:textId="77777777" w:rsidR="004F7DB3" w:rsidRDefault="004F7DB3">
            <w:pPr>
              <w:spacing w:after="0" w:line="240" w:lineRule="auto"/>
              <w:jc w:val="both"/>
              <w:rPr>
                <w:color w:val="000000"/>
                <w:sz w:val="16"/>
                <w:szCs w:val="16"/>
              </w:rPr>
            </w:pPr>
          </w:p>
        </w:tc>
      </w:tr>
      <w:tr w:rsidR="004F7DB3" w14:paraId="6C2F4A38"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50"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tcPr>
          <w:p w14:paraId="00001851" w14:textId="77777777" w:rsidR="004F7DB3" w:rsidRDefault="004F7DB3">
            <w:pPr>
              <w:spacing w:after="0" w:line="240" w:lineRule="auto"/>
              <w:jc w:val="both"/>
              <w:rPr>
                <w:b/>
                <w:color w:val="000000"/>
                <w:sz w:val="16"/>
                <w:szCs w:val="16"/>
              </w:rPr>
            </w:pPr>
          </w:p>
        </w:tc>
        <w:tc>
          <w:tcPr>
            <w:tcW w:w="2541" w:type="dxa"/>
            <w:tcBorders>
              <w:top w:val="nil"/>
              <w:left w:val="nil"/>
              <w:bottom w:val="single" w:sz="4" w:space="0" w:color="000000" w:themeColor="text1"/>
              <w:right w:val="single" w:sz="4" w:space="0" w:color="000000" w:themeColor="text1"/>
            </w:tcBorders>
            <w:vAlign w:val="center"/>
          </w:tcPr>
          <w:p w14:paraId="00001852" w14:textId="77777777" w:rsidR="004F7DB3" w:rsidRDefault="004F7DB3">
            <w:pPr>
              <w:spacing w:after="0" w:line="240" w:lineRule="auto"/>
              <w:jc w:val="both"/>
              <w:rPr>
                <w:color w:val="000000"/>
                <w:sz w:val="16"/>
                <w:szCs w:val="16"/>
              </w:rPr>
            </w:pPr>
          </w:p>
        </w:tc>
        <w:tc>
          <w:tcPr>
            <w:tcW w:w="2751" w:type="dxa"/>
            <w:tcBorders>
              <w:top w:val="nil"/>
              <w:left w:val="nil"/>
              <w:bottom w:val="single" w:sz="4" w:space="0" w:color="000000" w:themeColor="text1"/>
              <w:right w:val="single" w:sz="4" w:space="0" w:color="000000" w:themeColor="text1"/>
            </w:tcBorders>
          </w:tcPr>
          <w:p w14:paraId="00001853" w14:textId="77777777" w:rsidR="004F7DB3" w:rsidRDefault="00000000">
            <w:pPr>
              <w:spacing w:after="0" w:line="240" w:lineRule="auto"/>
              <w:jc w:val="both"/>
              <w:rPr>
                <w:color w:val="000000"/>
                <w:sz w:val="16"/>
                <w:szCs w:val="16"/>
              </w:rPr>
            </w:pPr>
            <w:sdt>
              <w:sdtPr>
                <w:tag w:val="goog_rdk_210"/>
                <w:id w:val="293955342"/>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Persistent </w:t>
            </w:r>
            <w:proofErr w:type="spellStart"/>
            <w:r w:rsidR="552CE4D7">
              <w:rPr>
                <w:color w:val="000000"/>
                <w:sz w:val="16"/>
                <w:szCs w:val="16"/>
              </w:rPr>
              <w:t>toxic</w:t>
            </w:r>
            <w:proofErr w:type="spellEnd"/>
            <w:r w:rsidR="552CE4D7">
              <w:rPr>
                <w:color w:val="000000"/>
                <w:sz w:val="16"/>
                <w:szCs w:val="16"/>
              </w:rPr>
              <w:t xml:space="preserve"> substances</w:t>
            </w:r>
          </w:p>
        </w:tc>
      </w:tr>
      <w:tr w:rsidR="004F7DB3" w14:paraId="67994663"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5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5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56" w14:textId="77777777" w:rsidR="004F7DB3" w:rsidRDefault="004F7DB3">
            <w:pPr>
              <w:spacing w:after="0" w:line="240" w:lineRule="auto"/>
              <w:jc w:val="both"/>
              <w:rPr>
                <w:color w:val="000000"/>
                <w:sz w:val="16"/>
                <w:szCs w:val="16"/>
              </w:rPr>
            </w:pPr>
          </w:p>
        </w:tc>
        <w:tc>
          <w:tcPr>
            <w:tcW w:w="2751" w:type="dxa"/>
            <w:tcBorders>
              <w:top w:val="nil"/>
              <w:left w:val="nil"/>
              <w:bottom w:val="single" w:sz="4" w:space="0" w:color="000000" w:themeColor="text1"/>
              <w:right w:val="single" w:sz="4" w:space="0" w:color="000000" w:themeColor="text1"/>
            </w:tcBorders>
          </w:tcPr>
          <w:p w14:paraId="00001857" w14:textId="77777777" w:rsidR="004F7DB3" w:rsidRDefault="00000000">
            <w:pPr>
              <w:spacing w:after="0" w:line="240" w:lineRule="auto"/>
              <w:jc w:val="both"/>
              <w:rPr>
                <w:color w:val="000000"/>
                <w:sz w:val="16"/>
                <w:szCs w:val="16"/>
              </w:rPr>
            </w:pPr>
            <w:sdt>
              <w:sdtPr>
                <w:tag w:val="goog_rdk_211"/>
                <w:id w:val="-629319023"/>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Plastics</w:t>
            </w:r>
          </w:p>
        </w:tc>
      </w:tr>
      <w:tr w:rsidR="004F7DB3" w:rsidRPr="00F50786" w14:paraId="02BC7CCA" w14:textId="77777777" w:rsidTr="5D8904BE">
        <w:trPr>
          <w:trHeight w:val="40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5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5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5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85B" w14:textId="77777777" w:rsidR="004F7DB3" w:rsidRPr="00C00123" w:rsidRDefault="00000000">
            <w:pPr>
              <w:spacing w:after="0" w:line="240" w:lineRule="auto"/>
              <w:ind w:left="192" w:hanging="192"/>
              <w:jc w:val="both"/>
              <w:rPr>
                <w:color w:val="000000"/>
                <w:sz w:val="16"/>
                <w:szCs w:val="16"/>
                <w:lang w:val="en-US"/>
              </w:rPr>
            </w:pPr>
            <w:sdt>
              <w:sdtPr>
                <w:tag w:val="goog_rdk_212"/>
                <w:id w:val="-61104618"/>
              </w:sdtPr>
              <w:sdtContent>
                <w:r w:rsidR="00C00123" w:rsidRPr="00C00123">
                  <w:rPr>
                    <w:rFonts w:ascii="Arial Unicode MS" w:eastAsia="Arial Unicode MS" w:hAnsi="Arial Unicode MS" w:cs="Arial Unicode MS"/>
                    <w:color w:val="000000"/>
                    <w:sz w:val="16"/>
                    <w:szCs w:val="16"/>
                    <w:shd w:val="clear" w:color="auto" w:fill="E6E6E6"/>
                    <w:lang w:val="en-US"/>
                  </w:rPr>
                  <w:t>☐</w:t>
                </w:r>
              </w:sdtContent>
            </w:sdt>
            <w:r w:rsidR="00C00123" w:rsidRPr="00C00123">
              <w:rPr>
                <w:color w:val="000000"/>
                <w:sz w:val="16"/>
                <w:szCs w:val="16"/>
                <w:lang w:val="en-US"/>
              </w:rPr>
              <w:t>Nutrient pollution from all sectors except wastewater</w:t>
            </w:r>
          </w:p>
        </w:tc>
      </w:tr>
      <w:tr w:rsidR="004F7DB3" w14:paraId="729F5AC8"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5C"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85D"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vAlign w:val="center"/>
          </w:tcPr>
          <w:p w14:paraId="0000185E"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85F" w14:textId="77777777" w:rsidR="004F7DB3" w:rsidRDefault="00000000">
            <w:pPr>
              <w:spacing w:after="0" w:line="240" w:lineRule="auto"/>
              <w:ind w:left="192" w:hanging="192"/>
              <w:jc w:val="both"/>
              <w:rPr>
                <w:color w:val="000000"/>
                <w:sz w:val="16"/>
                <w:szCs w:val="16"/>
              </w:rPr>
            </w:pPr>
            <w:sdt>
              <w:sdtPr>
                <w:tag w:val="goog_rdk_213"/>
                <w:id w:val="672618767"/>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Nutrient</w:t>
            </w:r>
            <w:proofErr w:type="spellEnd"/>
            <w:r w:rsidR="552CE4D7">
              <w:rPr>
                <w:color w:val="000000"/>
                <w:sz w:val="16"/>
                <w:szCs w:val="16"/>
              </w:rPr>
              <w:t xml:space="preserve"> pollution </w:t>
            </w:r>
            <w:proofErr w:type="spellStart"/>
            <w:r w:rsidR="552CE4D7">
              <w:rPr>
                <w:color w:val="000000"/>
                <w:sz w:val="16"/>
                <w:szCs w:val="16"/>
              </w:rPr>
              <w:t>from</w:t>
            </w:r>
            <w:proofErr w:type="spellEnd"/>
            <w:r w:rsidR="552CE4D7">
              <w:rPr>
                <w:color w:val="000000"/>
                <w:sz w:val="16"/>
                <w:szCs w:val="16"/>
              </w:rPr>
              <w:t xml:space="preserve"> </w:t>
            </w:r>
            <w:proofErr w:type="spellStart"/>
            <w:r w:rsidR="552CE4D7">
              <w:rPr>
                <w:color w:val="000000"/>
                <w:sz w:val="16"/>
                <w:szCs w:val="16"/>
              </w:rPr>
              <w:t>Wastewater</w:t>
            </w:r>
            <w:proofErr w:type="spellEnd"/>
          </w:p>
        </w:tc>
      </w:tr>
      <w:tr w:rsidR="004F7DB3" w:rsidRPr="00F50786" w14:paraId="441558A7" w14:textId="77777777" w:rsidTr="5D8904BE">
        <w:trPr>
          <w:trHeight w:val="36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6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6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62" w14:textId="77777777" w:rsidR="004F7DB3" w:rsidRPr="00C00123" w:rsidRDefault="00000000">
            <w:pPr>
              <w:spacing w:after="0" w:line="240" w:lineRule="auto"/>
              <w:ind w:left="150" w:hanging="150"/>
              <w:jc w:val="both"/>
              <w:rPr>
                <w:color w:val="000000"/>
                <w:sz w:val="16"/>
                <w:szCs w:val="16"/>
                <w:lang w:val="en-US"/>
              </w:rPr>
            </w:pPr>
            <w:sdt>
              <w:sdtPr>
                <w:tag w:val="goog_rdk_214"/>
                <w:id w:val="-858503154"/>
              </w:sdtPr>
              <w:sdtContent>
                <w:r w:rsidR="00C00123" w:rsidRPr="00C00123">
                  <w:rPr>
                    <w:rFonts w:ascii="Arial Unicode MS" w:eastAsia="Arial Unicode MS" w:hAnsi="Arial Unicode MS" w:cs="Arial Unicode MS"/>
                    <w:color w:val="000000"/>
                    <w:sz w:val="16"/>
                    <w:szCs w:val="16"/>
                    <w:shd w:val="clear" w:color="auto" w:fill="E6E6E6"/>
                    <w:lang w:val="en-US"/>
                  </w:rPr>
                  <w:t>☐</w:t>
                </w:r>
              </w:sdtContent>
            </w:sdt>
            <w:r w:rsidR="00C00123" w:rsidRPr="00C00123">
              <w:rPr>
                <w:color w:val="000000"/>
                <w:sz w:val="16"/>
                <w:szCs w:val="16"/>
                <w:lang w:val="en-US"/>
              </w:rPr>
              <w:t>Transboundary Diagnostic Analysis and Strategic Action Plan preparation</w:t>
            </w:r>
          </w:p>
        </w:tc>
        <w:tc>
          <w:tcPr>
            <w:tcW w:w="2751" w:type="dxa"/>
            <w:tcBorders>
              <w:top w:val="nil"/>
              <w:left w:val="nil"/>
              <w:bottom w:val="single" w:sz="4" w:space="0" w:color="000000" w:themeColor="text1"/>
              <w:right w:val="single" w:sz="4" w:space="0" w:color="000000" w:themeColor="text1"/>
            </w:tcBorders>
          </w:tcPr>
          <w:p w14:paraId="00001863"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r>
      <w:tr w:rsidR="004F7DB3" w14:paraId="70C54D20" w14:textId="77777777" w:rsidTr="5D8904BE">
        <w:trPr>
          <w:trHeight w:val="161"/>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64"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865"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vAlign w:val="center"/>
          </w:tcPr>
          <w:p w14:paraId="00001866" w14:textId="77777777" w:rsidR="004F7DB3" w:rsidRDefault="00000000">
            <w:pPr>
              <w:spacing w:after="0" w:line="240" w:lineRule="auto"/>
              <w:ind w:left="150" w:hanging="150"/>
              <w:jc w:val="both"/>
              <w:rPr>
                <w:color w:val="000000"/>
                <w:sz w:val="16"/>
                <w:szCs w:val="16"/>
              </w:rPr>
            </w:pPr>
            <w:sdt>
              <w:sdtPr>
                <w:tag w:val="goog_rdk_215"/>
                <w:id w:val="65923173"/>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 xml:space="preserve">Strategic Action Plan </w:t>
            </w:r>
            <w:proofErr w:type="spellStart"/>
            <w:r w:rsidR="00C00123">
              <w:rPr>
                <w:color w:val="000000"/>
                <w:sz w:val="16"/>
                <w:szCs w:val="16"/>
              </w:rPr>
              <w:t>Implementation</w:t>
            </w:r>
            <w:proofErr w:type="spellEnd"/>
          </w:p>
        </w:tc>
        <w:tc>
          <w:tcPr>
            <w:tcW w:w="2751" w:type="dxa"/>
            <w:tcBorders>
              <w:top w:val="nil"/>
              <w:left w:val="nil"/>
              <w:bottom w:val="single" w:sz="4" w:space="0" w:color="000000" w:themeColor="text1"/>
              <w:right w:val="single" w:sz="4" w:space="0" w:color="000000" w:themeColor="text1"/>
            </w:tcBorders>
          </w:tcPr>
          <w:p w14:paraId="00001867" w14:textId="77777777" w:rsidR="004F7DB3" w:rsidRDefault="00C00123">
            <w:pPr>
              <w:spacing w:after="0" w:line="240" w:lineRule="auto"/>
              <w:jc w:val="both"/>
              <w:rPr>
                <w:color w:val="000000"/>
                <w:sz w:val="16"/>
                <w:szCs w:val="16"/>
              </w:rPr>
            </w:pPr>
            <w:r>
              <w:rPr>
                <w:color w:val="000000"/>
                <w:sz w:val="16"/>
                <w:szCs w:val="16"/>
              </w:rPr>
              <w:t> </w:t>
            </w:r>
          </w:p>
        </w:tc>
      </w:tr>
      <w:tr w:rsidR="004F7DB3" w14:paraId="03930B83"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6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6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6A" w14:textId="77777777" w:rsidR="004F7DB3" w:rsidRDefault="00000000">
            <w:pPr>
              <w:spacing w:after="0" w:line="240" w:lineRule="auto"/>
              <w:ind w:left="150" w:hanging="150"/>
              <w:jc w:val="both"/>
              <w:rPr>
                <w:color w:val="000000"/>
                <w:sz w:val="16"/>
                <w:szCs w:val="16"/>
              </w:rPr>
            </w:pPr>
            <w:sdt>
              <w:sdtPr>
                <w:tag w:val="goog_rdk_216"/>
                <w:id w:val="-1202161830"/>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Areas Beyond National </w:t>
            </w:r>
            <w:proofErr w:type="spellStart"/>
            <w:r w:rsidR="552CE4D7">
              <w:rPr>
                <w:color w:val="000000"/>
                <w:sz w:val="16"/>
                <w:szCs w:val="16"/>
              </w:rPr>
              <w:t>Jurisdiction</w:t>
            </w:r>
            <w:proofErr w:type="spellEnd"/>
          </w:p>
        </w:tc>
        <w:tc>
          <w:tcPr>
            <w:tcW w:w="2751" w:type="dxa"/>
            <w:tcBorders>
              <w:top w:val="nil"/>
              <w:left w:val="nil"/>
              <w:bottom w:val="single" w:sz="4" w:space="0" w:color="000000" w:themeColor="text1"/>
              <w:right w:val="single" w:sz="4" w:space="0" w:color="000000" w:themeColor="text1"/>
            </w:tcBorders>
          </w:tcPr>
          <w:p w14:paraId="0000186B" w14:textId="77777777" w:rsidR="004F7DB3" w:rsidRDefault="00C00123">
            <w:pPr>
              <w:spacing w:after="0" w:line="240" w:lineRule="auto"/>
              <w:jc w:val="both"/>
              <w:rPr>
                <w:color w:val="000000"/>
                <w:sz w:val="16"/>
                <w:szCs w:val="16"/>
              </w:rPr>
            </w:pPr>
            <w:r>
              <w:rPr>
                <w:color w:val="000000"/>
                <w:sz w:val="16"/>
                <w:szCs w:val="16"/>
              </w:rPr>
              <w:t> </w:t>
            </w:r>
          </w:p>
        </w:tc>
      </w:tr>
      <w:tr w:rsidR="004F7DB3" w14:paraId="37B6D7C0"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6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6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6E" w14:textId="77777777" w:rsidR="004F7DB3" w:rsidRDefault="00000000">
            <w:pPr>
              <w:spacing w:after="0" w:line="240" w:lineRule="auto"/>
              <w:jc w:val="both"/>
              <w:rPr>
                <w:color w:val="000000"/>
                <w:sz w:val="16"/>
                <w:szCs w:val="16"/>
              </w:rPr>
            </w:pPr>
            <w:sdt>
              <w:sdtPr>
                <w:tag w:val="goog_rdk_217"/>
                <w:id w:val="1985652796"/>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Large Marine </w:t>
            </w:r>
            <w:proofErr w:type="spellStart"/>
            <w:r w:rsidR="552CE4D7">
              <w:rPr>
                <w:color w:val="000000"/>
                <w:sz w:val="16"/>
                <w:szCs w:val="16"/>
              </w:rPr>
              <w:t>Ecosystems</w:t>
            </w:r>
            <w:proofErr w:type="spellEnd"/>
          </w:p>
        </w:tc>
        <w:tc>
          <w:tcPr>
            <w:tcW w:w="2751" w:type="dxa"/>
            <w:tcBorders>
              <w:top w:val="nil"/>
              <w:left w:val="nil"/>
              <w:bottom w:val="single" w:sz="4" w:space="0" w:color="000000" w:themeColor="text1"/>
              <w:right w:val="single" w:sz="4" w:space="0" w:color="000000" w:themeColor="text1"/>
            </w:tcBorders>
          </w:tcPr>
          <w:p w14:paraId="0000186F" w14:textId="77777777" w:rsidR="004F7DB3" w:rsidRDefault="00C00123">
            <w:pPr>
              <w:spacing w:after="0" w:line="240" w:lineRule="auto"/>
              <w:jc w:val="both"/>
              <w:rPr>
                <w:color w:val="000000"/>
                <w:sz w:val="16"/>
                <w:szCs w:val="16"/>
              </w:rPr>
            </w:pPr>
            <w:r>
              <w:rPr>
                <w:color w:val="000000"/>
                <w:sz w:val="16"/>
                <w:szCs w:val="16"/>
              </w:rPr>
              <w:t> </w:t>
            </w:r>
          </w:p>
        </w:tc>
      </w:tr>
      <w:tr w:rsidR="004F7DB3" w14:paraId="5574E21D"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7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7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72" w14:textId="77777777" w:rsidR="004F7DB3" w:rsidRDefault="00000000">
            <w:pPr>
              <w:spacing w:after="0" w:line="240" w:lineRule="auto"/>
              <w:jc w:val="both"/>
              <w:rPr>
                <w:color w:val="000000"/>
                <w:sz w:val="16"/>
                <w:szCs w:val="16"/>
              </w:rPr>
            </w:pPr>
            <w:sdt>
              <w:sdtPr>
                <w:tag w:val="goog_rdk_218"/>
                <w:id w:val="-117533299"/>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Private</w:t>
            </w:r>
            <w:proofErr w:type="spellEnd"/>
            <w:r w:rsidR="552CE4D7">
              <w:rPr>
                <w:color w:val="000000"/>
                <w:sz w:val="16"/>
                <w:szCs w:val="16"/>
              </w:rPr>
              <w:t xml:space="preserve"> </w:t>
            </w:r>
            <w:proofErr w:type="spellStart"/>
            <w:r w:rsidR="552CE4D7">
              <w:rPr>
                <w:color w:val="000000"/>
                <w:sz w:val="16"/>
                <w:szCs w:val="16"/>
              </w:rPr>
              <w:t>Sector</w:t>
            </w:r>
            <w:proofErr w:type="spellEnd"/>
          </w:p>
        </w:tc>
        <w:tc>
          <w:tcPr>
            <w:tcW w:w="2751" w:type="dxa"/>
            <w:tcBorders>
              <w:top w:val="nil"/>
              <w:left w:val="nil"/>
              <w:bottom w:val="single" w:sz="4" w:space="0" w:color="000000" w:themeColor="text1"/>
              <w:right w:val="single" w:sz="4" w:space="0" w:color="000000" w:themeColor="text1"/>
            </w:tcBorders>
          </w:tcPr>
          <w:p w14:paraId="00001873" w14:textId="77777777" w:rsidR="004F7DB3" w:rsidRDefault="00C00123">
            <w:pPr>
              <w:spacing w:after="0" w:line="240" w:lineRule="auto"/>
              <w:jc w:val="both"/>
              <w:rPr>
                <w:color w:val="000000"/>
                <w:sz w:val="16"/>
                <w:szCs w:val="16"/>
              </w:rPr>
            </w:pPr>
            <w:r>
              <w:rPr>
                <w:color w:val="000000"/>
                <w:sz w:val="16"/>
                <w:szCs w:val="16"/>
              </w:rPr>
              <w:t> </w:t>
            </w:r>
          </w:p>
        </w:tc>
      </w:tr>
      <w:tr w:rsidR="004F7DB3" w14:paraId="44624717"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7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7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76" w14:textId="77777777" w:rsidR="004F7DB3" w:rsidRDefault="00000000">
            <w:pPr>
              <w:spacing w:after="0" w:line="240" w:lineRule="auto"/>
              <w:jc w:val="both"/>
              <w:rPr>
                <w:color w:val="000000"/>
                <w:sz w:val="16"/>
                <w:szCs w:val="16"/>
              </w:rPr>
            </w:pPr>
            <w:sdt>
              <w:sdtPr>
                <w:tag w:val="goog_rdk_219"/>
                <w:id w:val="2491698"/>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Aquaculture</w:t>
            </w:r>
          </w:p>
        </w:tc>
        <w:tc>
          <w:tcPr>
            <w:tcW w:w="2751" w:type="dxa"/>
            <w:tcBorders>
              <w:top w:val="nil"/>
              <w:left w:val="nil"/>
              <w:bottom w:val="single" w:sz="4" w:space="0" w:color="000000" w:themeColor="text1"/>
              <w:right w:val="single" w:sz="4" w:space="0" w:color="000000" w:themeColor="text1"/>
            </w:tcBorders>
          </w:tcPr>
          <w:p w14:paraId="00001877" w14:textId="77777777" w:rsidR="004F7DB3" w:rsidRDefault="00C00123">
            <w:pPr>
              <w:spacing w:after="0" w:line="240" w:lineRule="auto"/>
              <w:jc w:val="both"/>
              <w:rPr>
                <w:color w:val="000000"/>
                <w:sz w:val="16"/>
                <w:szCs w:val="16"/>
              </w:rPr>
            </w:pPr>
            <w:r>
              <w:rPr>
                <w:color w:val="000000"/>
                <w:sz w:val="16"/>
                <w:szCs w:val="16"/>
              </w:rPr>
              <w:t> </w:t>
            </w:r>
          </w:p>
        </w:tc>
      </w:tr>
      <w:tr w:rsidR="004F7DB3" w14:paraId="0008D0D3"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7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7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7A" w14:textId="77777777" w:rsidR="004F7DB3" w:rsidRDefault="00000000">
            <w:pPr>
              <w:spacing w:after="0" w:line="240" w:lineRule="auto"/>
              <w:jc w:val="both"/>
              <w:rPr>
                <w:color w:val="000000"/>
                <w:sz w:val="16"/>
                <w:szCs w:val="16"/>
              </w:rPr>
            </w:pPr>
            <w:sdt>
              <w:sdtPr>
                <w:tag w:val="goog_rdk_220"/>
                <w:id w:val="312223191"/>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Marine </w:t>
            </w:r>
            <w:proofErr w:type="spellStart"/>
            <w:r w:rsidR="552CE4D7">
              <w:rPr>
                <w:color w:val="000000"/>
                <w:sz w:val="16"/>
                <w:szCs w:val="16"/>
              </w:rPr>
              <w:t>Protected</w:t>
            </w:r>
            <w:proofErr w:type="spellEnd"/>
            <w:r w:rsidR="552CE4D7">
              <w:rPr>
                <w:color w:val="000000"/>
                <w:sz w:val="16"/>
                <w:szCs w:val="16"/>
              </w:rPr>
              <w:t xml:space="preserve"> Area</w:t>
            </w:r>
          </w:p>
        </w:tc>
        <w:tc>
          <w:tcPr>
            <w:tcW w:w="2751" w:type="dxa"/>
            <w:tcBorders>
              <w:top w:val="nil"/>
              <w:left w:val="nil"/>
              <w:bottom w:val="single" w:sz="4" w:space="0" w:color="000000" w:themeColor="text1"/>
              <w:right w:val="single" w:sz="4" w:space="0" w:color="000000" w:themeColor="text1"/>
            </w:tcBorders>
          </w:tcPr>
          <w:p w14:paraId="0000187B" w14:textId="77777777" w:rsidR="004F7DB3" w:rsidRDefault="00C00123">
            <w:pPr>
              <w:spacing w:after="0" w:line="240" w:lineRule="auto"/>
              <w:jc w:val="both"/>
              <w:rPr>
                <w:color w:val="000000"/>
                <w:sz w:val="16"/>
                <w:szCs w:val="16"/>
              </w:rPr>
            </w:pPr>
            <w:r>
              <w:rPr>
                <w:color w:val="000000"/>
                <w:sz w:val="16"/>
                <w:szCs w:val="16"/>
              </w:rPr>
              <w:t> </w:t>
            </w:r>
          </w:p>
        </w:tc>
      </w:tr>
      <w:tr w:rsidR="004F7DB3" w14:paraId="188F9AAD"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7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7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7E" w14:textId="77777777" w:rsidR="004F7DB3" w:rsidRDefault="00000000">
            <w:pPr>
              <w:spacing w:after="0" w:line="240" w:lineRule="auto"/>
              <w:jc w:val="both"/>
              <w:rPr>
                <w:color w:val="000000"/>
                <w:sz w:val="16"/>
                <w:szCs w:val="16"/>
              </w:rPr>
            </w:pPr>
            <w:sdt>
              <w:sdtPr>
                <w:tag w:val="goog_rdk_221"/>
                <w:id w:val="-629239951"/>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Biomes</w:t>
            </w:r>
          </w:p>
        </w:tc>
        <w:tc>
          <w:tcPr>
            <w:tcW w:w="2751" w:type="dxa"/>
            <w:tcBorders>
              <w:top w:val="nil"/>
              <w:left w:val="nil"/>
              <w:bottom w:val="single" w:sz="4" w:space="0" w:color="000000" w:themeColor="text1"/>
              <w:right w:val="single" w:sz="4" w:space="0" w:color="000000" w:themeColor="text1"/>
            </w:tcBorders>
          </w:tcPr>
          <w:p w14:paraId="0000187F" w14:textId="77777777" w:rsidR="004F7DB3" w:rsidRDefault="00C00123">
            <w:pPr>
              <w:spacing w:after="0" w:line="240" w:lineRule="auto"/>
              <w:jc w:val="both"/>
              <w:rPr>
                <w:color w:val="000000"/>
                <w:sz w:val="16"/>
                <w:szCs w:val="16"/>
              </w:rPr>
            </w:pPr>
            <w:r>
              <w:rPr>
                <w:color w:val="000000"/>
                <w:sz w:val="16"/>
                <w:szCs w:val="16"/>
              </w:rPr>
              <w:t> </w:t>
            </w:r>
          </w:p>
        </w:tc>
      </w:tr>
      <w:tr w:rsidR="004F7DB3" w14:paraId="773476F9"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8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8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8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vAlign w:val="center"/>
          </w:tcPr>
          <w:p w14:paraId="00001883" w14:textId="77777777" w:rsidR="004F7DB3" w:rsidRDefault="00000000">
            <w:pPr>
              <w:spacing w:after="0" w:line="240" w:lineRule="auto"/>
              <w:jc w:val="both"/>
              <w:rPr>
                <w:color w:val="000000"/>
                <w:sz w:val="16"/>
                <w:szCs w:val="16"/>
              </w:rPr>
            </w:pPr>
            <w:sdt>
              <w:sdtPr>
                <w:tag w:val="goog_rdk_222"/>
                <w:id w:val="-1336224558"/>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Mangrove</w:t>
            </w:r>
          </w:p>
        </w:tc>
      </w:tr>
      <w:tr w:rsidR="004F7DB3" w14:paraId="44481EFD"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8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8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8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vAlign w:val="center"/>
          </w:tcPr>
          <w:p w14:paraId="00001887" w14:textId="77777777" w:rsidR="004F7DB3" w:rsidRDefault="00000000">
            <w:pPr>
              <w:spacing w:after="0" w:line="240" w:lineRule="auto"/>
              <w:jc w:val="both"/>
              <w:rPr>
                <w:color w:val="000000"/>
                <w:sz w:val="16"/>
                <w:szCs w:val="16"/>
              </w:rPr>
            </w:pPr>
            <w:sdt>
              <w:sdtPr>
                <w:tag w:val="goog_rdk_223"/>
                <w:id w:val="1703517214"/>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Coral </w:t>
            </w:r>
            <w:proofErr w:type="spellStart"/>
            <w:r w:rsidR="552CE4D7">
              <w:rPr>
                <w:color w:val="000000"/>
                <w:sz w:val="16"/>
                <w:szCs w:val="16"/>
              </w:rPr>
              <w:t>Reefs</w:t>
            </w:r>
            <w:proofErr w:type="spellEnd"/>
          </w:p>
        </w:tc>
      </w:tr>
      <w:tr w:rsidR="004F7DB3" w14:paraId="74708464"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8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8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8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vAlign w:val="center"/>
          </w:tcPr>
          <w:p w14:paraId="0000188B" w14:textId="77777777" w:rsidR="004F7DB3" w:rsidRDefault="00000000">
            <w:pPr>
              <w:spacing w:after="0" w:line="240" w:lineRule="auto"/>
              <w:jc w:val="both"/>
              <w:rPr>
                <w:color w:val="000000"/>
                <w:sz w:val="16"/>
                <w:szCs w:val="16"/>
              </w:rPr>
            </w:pPr>
            <w:sdt>
              <w:sdtPr>
                <w:tag w:val="goog_rdk_224"/>
                <w:id w:val="1001553647"/>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Seagrasses</w:t>
            </w:r>
            <w:proofErr w:type="spellEnd"/>
          </w:p>
        </w:tc>
      </w:tr>
      <w:tr w:rsidR="004F7DB3" w14:paraId="2390B985"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8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8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8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vAlign w:val="center"/>
          </w:tcPr>
          <w:p w14:paraId="0000188F" w14:textId="77777777" w:rsidR="004F7DB3" w:rsidRDefault="00000000">
            <w:pPr>
              <w:spacing w:after="0" w:line="240" w:lineRule="auto"/>
              <w:jc w:val="both"/>
              <w:rPr>
                <w:color w:val="000000"/>
                <w:sz w:val="16"/>
                <w:szCs w:val="16"/>
              </w:rPr>
            </w:pPr>
            <w:sdt>
              <w:sdtPr>
                <w:tag w:val="goog_rdk_225"/>
                <w:id w:val="925314428"/>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Polar </w:t>
            </w:r>
            <w:proofErr w:type="spellStart"/>
            <w:r w:rsidR="552CE4D7">
              <w:rPr>
                <w:color w:val="000000"/>
                <w:sz w:val="16"/>
                <w:szCs w:val="16"/>
              </w:rPr>
              <w:t>Ecosystems</w:t>
            </w:r>
            <w:proofErr w:type="spellEnd"/>
          </w:p>
        </w:tc>
      </w:tr>
      <w:tr w:rsidR="004F7DB3" w14:paraId="72BC8586"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9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9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center"/>
          </w:tcPr>
          <w:p w14:paraId="0000189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vAlign w:val="center"/>
          </w:tcPr>
          <w:p w14:paraId="00001893" w14:textId="77777777" w:rsidR="004F7DB3" w:rsidRDefault="00000000">
            <w:pPr>
              <w:spacing w:after="0" w:line="240" w:lineRule="auto"/>
              <w:jc w:val="both"/>
              <w:rPr>
                <w:color w:val="000000"/>
                <w:sz w:val="16"/>
                <w:szCs w:val="16"/>
              </w:rPr>
            </w:pPr>
            <w:sdt>
              <w:sdtPr>
                <w:tag w:val="goog_rdk_226"/>
                <w:id w:val="72564031"/>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Constructed</w:t>
            </w:r>
            <w:proofErr w:type="spellEnd"/>
            <w:r w:rsidR="552CE4D7">
              <w:rPr>
                <w:color w:val="000000"/>
                <w:sz w:val="16"/>
                <w:szCs w:val="16"/>
              </w:rPr>
              <w:t xml:space="preserve"> </w:t>
            </w:r>
            <w:proofErr w:type="spellStart"/>
            <w:r w:rsidR="552CE4D7">
              <w:rPr>
                <w:color w:val="000000"/>
                <w:sz w:val="16"/>
                <w:szCs w:val="16"/>
              </w:rPr>
              <w:t>Wetlands</w:t>
            </w:r>
            <w:proofErr w:type="spellEnd"/>
          </w:p>
        </w:tc>
      </w:tr>
      <w:tr w:rsidR="004F7DB3" w14:paraId="7F0B49D1"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9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95" w14:textId="77777777" w:rsidR="004F7DB3" w:rsidRDefault="00000000">
            <w:pPr>
              <w:spacing w:after="0" w:line="240" w:lineRule="auto"/>
              <w:jc w:val="both"/>
              <w:rPr>
                <w:b/>
                <w:color w:val="000000"/>
                <w:sz w:val="16"/>
                <w:szCs w:val="16"/>
              </w:rPr>
            </w:pPr>
            <w:sdt>
              <w:sdtPr>
                <w:tag w:val="goog_rdk_227"/>
                <w:id w:val="-1967735019"/>
              </w:sdtPr>
              <w:sdtContent>
                <w:r w:rsidR="00C00123">
                  <w:rPr>
                    <w:rFonts w:ascii="Arial Unicode MS" w:eastAsia="Arial Unicode MS" w:hAnsi="Arial Unicode MS" w:cs="Arial Unicode MS"/>
                    <w:color w:val="000000"/>
                    <w:sz w:val="16"/>
                    <w:szCs w:val="16"/>
                    <w:shd w:val="clear" w:color="auto" w:fill="E6E6E6"/>
                  </w:rPr>
                  <w:t>☐</w:t>
                </w:r>
              </w:sdtContent>
            </w:sdt>
            <w:r w:rsidR="00C00123">
              <w:rPr>
                <w:b/>
                <w:color w:val="000000"/>
                <w:sz w:val="16"/>
                <w:szCs w:val="16"/>
              </w:rPr>
              <w:t>Chemicals and Waste</w:t>
            </w:r>
          </w:p>
        </w:tc>
        <w:tc>
          <w:tcPr>
            <w:tcW w:w="2541" w:type="dxa"/>
            <w:tcBorders>
              <w:top w:val="nil"/>
              <w:left w:val="nil"/>
              <w:bottom w:val="single" w:sz="4" w:space="0" w:color="000000" w:themeColor="text1"/>
              <w:right w:val="single" w:sz="4" w:space="0" w:color="000000" w:themeColor="text1"/>
            </w:tcBorders>
          </w:tcPr>
          <w:p w14:paraId="00001896" w14:textId="77777777" w:rsidR="004F7DB3" w:rsidRDefault="004F7DB3">
            <w:pPr>
              <w:spacing w:after="0" w:line="240" w:lineRule="auto"/>
              <w:jc w:val="both"/>
              <w:rPr>
                <w:color w:val="000000"/>
                <w:sz w:val="16"/>
                <w:szCs w:val="16"/>
              </w:rPr>
            </w:pPr>
          </w:p>
        </w:tc>
        <w:tc>
          <w:tcPr>
            <w:tcW w:w="2751" w:type="dxa"/>
            <w:tcBorders>
              <w:top w:val="nil"/>
              <w:left w:val="nil"/>
              <w:bottom w:val="single" w:sz="4" w:space="0" w:color="000000" w:themeColor="text1"/>
              <w:right w:val="single" w:sz="4" w:space="0" w:color="000000" w:themeColor="text1"/>
            </w:tcBorders>
          </w:tcPr>
          <w:p w14:paraId="00001897" w14:textId="77777777" w:rsidR="004F7DB3" w:rsidRDefault="00C00123">
            <w:pPr>
              <w:spacing w:after="0" w:line="240" w:lineRule="auto"/>
              <w:jc w:val="both"/>
              <w:rPr>
                <w:color w:val="000000"/>
                <w:sz w:val="16"/>
                <w:szCs w:val="16"/>
              </w:rPr>
            </w:pPr>
            <w:r>
              <w:rPr>
                <w:color w:val="000000"/>
                <w:sz w:val="16"/>
                <w:szCs w:val="16"/>
              </w:rPr>
              <w:t> </w:t>
            </w:r>
          </w:p>
        </w:tc>
      </w:tr>
      <w:tr w:rsidR="004F7DB3" w14:paraId="439624D1"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98"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tcPr>
          <w:p w14:paraId="00001899" w14:textId="77777777" w:rsidR="004F7DB3" w:rsidRDefault="004F7DB3">
            <w:pPr>
              <w:spacing w:after="0" w:line="240" w:lineRule="auto"/>
              <w:jc w:val="both"/>
              <w:rPr>
                <w:color w:val="000000"/>
                <w:sz w:val="16"/>
                <w:szCs w:val="16"/>
              </w:rPr>
            </w:pPr>
          </w:p>
        </w:tc>
        <w:tc>
          <w:tcPr>
            <w:tcW w:w="2541" w:type="dxa"/>
            <w:tcBorders>
              <w:top w:val="nil"/>
              <w:left w:val="nil"/>
              <w:bottom w:val="single" w:sz="4" w:space="0" w:color="000000" w:themeColor="text1"/>
              <w:right w:val="single" w:sz="4" w:space="0" w:color="000000" w:themeColor="text1"/>
            </w:tcBorders>
          </w:tcPr>
          <w:p w14:paraId="0000189A" w14:textId="77777777" w:rsidR="004F7DB3" w:rsidRDefault="00000000">
            <w:pPr>
              <w:spacing w:after="0" w:line="240" w:lineRule="auto"/>
              <w:jc w:val="both"/>
              <w:rPr>
                <w:color w:val="000000"/>
                <w:sz w:val="16"/>
                <w:szCs w:val="16"/>
              </w:rPr>
            </w:pPr>
            <w:sdt>
              <w:sdtPr>
                <w:tag w:val="goog_rdk_228"/>
                <w:id w:val="-566874200"/>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Mercury</w:t>
            </w:r>
          </w:p>
        </w:tc>
        <w:tc>
          <w:tcPr>
            <w:tcW w:w="2751" w:type="dxa"/>
            <w:tcBorders>
              <w:top w:val="nil"/>
              <w:left w:val="nil"/>
              <w:bottom w:val="single" w:sz="4" w:space="0" w:color="000000" w:themeColor="text1"/>
              <w:right w:val="single" w:sz="4" w:space="0" w:color="000000" w:themeColor="text1"/>
            </w:tcBorders>
          </w:tcPr>
          <w:p w14:paraId="0000189B" w14:textId="77777777" w:rsidR="004F7DB3" w:rsidRDefault="004F7DB3">
            <w:pPr>
              <w:spacing w:after="0" w:line="240" w:lineRule="auto"/>
              <w:jc w:val="both"/>
              <w:rPr>
                <w:color w:val="000000"/>
                <w:sz w:val="16"/>
                <w:szCs w:val="16"/>
              </w:rPr>
            </w:pPr>
          </w:p>
        </w:tc>
      </w:tr>
      <w:tr w:rsidR="004F7DB3" w:rsidRPr="00F50786" w14:paraId="2EC8B71A"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9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9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9E" w14:textId="77777777" w:rsidR="004F7DB3" w:rsidRPr="00C00123" w:rsidRDefault="00000000">
            <w:pPr>
              <w:spacing w:after="0" w:line="240" w:lineRule="auto"/>
              <w:jc w:val="both"/>
              <w:rPr>
                <w:color w:val="000000"/>
                <w:sz w:val="16"/>
                <w:szCs w:val="16"/>
                <w:lang w:val="en-US"/>
              </w:rPr>
            </w:pPr>
            <w:sdt>
              <w:sdtPr>
                <w:tag w:val="goog_rdk_229"/>
                <w:id w:val="-467822133"/>
              </w:sdtPr>
              <w:sdtContent>
                <w:r w:rsidR="00C00123" w:rsidRPr="00C00123">
                  <w:rPr>
                    <w:rFonts w:ascii="Arial Unicode MS" w:eastAsia="Arial Unicode MS" w:hAnsi="Arial Unicode MS" w:cs="Arial Unicode MS"/>
                    <w:color w:val="000000"/>
                    <w:sz w:val="16"/>
                    <w:szCs w:val="16"/>
                    <w:shd w:val="clear" w:color="auto" w:fill="E6E6E6"/>
                    <w:lang w:val="en-US"/>
                  </w:rPr>
                  <w:t>☐</w:t>
                </w:r>
              </w:sdtContent>
            </w:sdt>
            <w:r w:rsidR="00C00123" w:rsidRPr="00C00123">
              <w:rPr>
                <w:color w:val="000000"/>
                <w:sz w:val="16"/>
                <w:szCs w:val="16"/>
                <w:lang w:val="en-US"/>
              </w:rPr>
              <w:t>Artisanal and Scale Gold Mining</w:t>
            </w:r>
          </w:p>
        </w:tc>
        <w:tc>
          <w:tcPr>
            <w:tcW w:w="2751" w:type="dxa"/>
            <w:tcBorders>
              <w:top w:val="nil"/>
              <w:left w:val="nil"/>
              <w:bottom w:val="single" w:sz="4" w:space="0" w:color="000000" w:themeColor="text1"/>
              <w:right w:val="single" w:sz="4" w:space="0" w:color="000000" w:themeColor="text1"/>
            </w:tcBorders>
          </w:tcPr>
          <w:p w14:paraId="0000189F"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r>
      <w:tr w:rsidR="004F7DB3" w14:paraId="25AD524D"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A0"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8A1"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8A2" w14:textId="77777777" w:rsidR="004F7DB3" w:rsidRDefault="00000000">
            <w:pPr>
              <w:spacing w:after="0" w:line="240" w:lineRule="auto"/>
              <w:jc w:val="both"/>
              <w:rPr>
                <w:color w:val="000000"/>
                <w:sz w:val="16"/>
                <w:szCs w:val="16"/>
              </w:rPr>
            </w:pPr>
            <w:sdt>
              <w:sdtPr>
                <w:tag w:val="goog_rdk_230"/>
                <w:id w:val="-901136643"/>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Coal </w:t>
            </w:r>
            <w:proofErr w:type="spellStart"/>
            <w:r w:rsidR="552CE4D7">
              <w:rPr>
                <w:color w:val="000000"/>
                <w:sz w:val="16"/>
                <w:szCs w:val="16"/>
              </w:rPr>
              <w:t>Fired</w:t>
            </w:r>
            <w:proofErr w:type="spellEnd"/>
            <w:r w:rsidR="552CE4D7">
              <w:rPr>
                <w:color w:val="000000"/>
                <w:sz w:val="16"/>
                <w:szCs w:val="16"/>
              </w:rPr>
              <w:t xml:space="preserve"> Power Plants</w:t>
            </w:r>
          </w:p>
        </w:tc>
        <w:tc>
          <w:tcPr>
            <w:tcW w:w="2751" w:type="dxa"/>
            <w:tcBorders>
              <w:top w:val="nil"/>
              <w:left w:val="nil"/>
              <w:bottom w:val="single" w:sz="4" w:space="0" w:color="000000" w:themeColor="text1"/>
              <w:right w:val="single" w:sz="4" w:space="0" w:color="000000" w:themeColor="text1"/>
            </w:tcBorders>
          </w:tcPr>
          <w:p w14:paraId="000018A3" w14:textId="77777777" w:rsidR="004F7DB3" w:rsidRDefault="00C00123">
            <w:pPr>
              <w:spacing w:after="0" w:line="240" w:lineRule="auto"/>
              <w:jc w:val="both"/>
              <w:rPr>
                <w:color w:val="000000"/>
                <w:sz w:val="16"/>
                <w:szCs w:val="16"/>
              </w:rPr>
            </w:pPr>
            <w:r>
              <w:rPr>
                <w:color w:val="000000"/>
                <w:sz w:val="16"/>
                <w:szCs w:val="16"/>
              </w:rPr>
              <w:t> </w:t>
            </w:r>
          </w:p>
        </w:tc>
      </w:tr>
      <w:tr w:rsidR="004F7DB3" w14:paraId="1C4789AC"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A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A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A6" w14:textId="77777777" w:rsidR="004F7DB3" w:rsidRDefault="00000000">
            <w:pPr>
              <w:spacing w:after="0" w:line="240" w:lineRule="auto"/>
              <w:jc w:val="both"/>
              <w:rPr>
                <w:color w:val="000000"/>
                <w:sz w:val="16"/>
                <w:szCs w:val="16"/>
              </w:rPr>
            </w:pPr>
            <w:sdt>
              <w:sdtPr>
                <w:tag w:val="goog_rdk_231"/>
                <w:id w:val="175540714"/>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Coal </w:t>
            </w:r>
            <w:proofErr w:type="spellStart"/>
            <w:r w:rsidR="552CE4D7">
              <w:rPr>
                <w:color w:val="000000"/>
                <w:sz w:val="16"/>
                <w:szCs w:val="16"/>
              </w:rPr>
              <w:t>Fired</w:t>
            </w:r>
            <w:proofErr w:type="spellEnd"/>
            <w:r w:rsidR="552CE4D7">
              <w:rPr>
                <w:color w:val="000000"/>
                <w:sz w:val="16"/>
                <w:szCs w:val="16"/>
              </w:rPr>
              <w:t xml:space="preserve"> </w:t>
            </w:r>
            <w:proofErr w:type="spellStart"/>
            <w:r w:rsidR="552CE4D7">
              <w:rPr>
                <w:color w:val="000000"/>
                <w:sz w:val="16"/>
                <w:szCs w:val="16"/>
              </w:rPr>
              <w:t>Industrial</w:t>
            </w:r>
            <w:proofErr w:type="spellEnd"/>
            <w:r w:rsidR="552CE4D7">
              <w:rPr>
                <w:color w:val="000000"/>
                <w:sz w:val="16"/>
                <w:szCs w:val="16"/>
              </w:rPr>
              <w:t xml:space="preserve"> Boilers</w:t>
            </w:r>
          </w:p>
        </w:tc>
        <w:tc>
          <w:tcPr>
            <w:tcW w:w="2751" w:type="dxa"/>
            <w:tcBorders>
              <w:top w:val="nil"/>
              <w:left w:val="nil"/>
              <w:bottom w:val="single" w:sz="4" w:space="0" w:color="000000" w:themeColor="text1"/>
              <w:right w:val="single" w:sz="4" w:space="0" w:color="000000" w:themeColor="text1"/>
            </w:tcBorders>
          </w:tcPr>
          <w:p w14:paraId="000018A7" w14:textId="77777777" w:rsidR="004F7DB3" w:rsidRDefault="00C00123">
            <w:pPr>
              <w:spacing w:after="0" w:line="240" w:lineRule="auto"/>
              <w:jc w:val="both"/>
              <w:rPr>
                <w:color w:val="000000"/>
                <w:sz w:val="16"/>
                <w:szCs w:val="16"/>
              </w:rPr>
            </w:pPr>
            <w:r>
              <w:rPr>
                <w:color w:val="000000"/>
                <w:sz w:val="16"/>
                <w:szCs w:val="16"/>
              </w:rPr>
              <w:t> </w:t>
            </w:r>
          </w:p>
        </w:tc>
      </w:tr>
      <w:tr w:rsidR="004F7DB3" w14:paraId="5E6CAB8D"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A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A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AA" w14:textId="77777777" w:rsidR="004F7DB3" w:rsidRDefault="00000000">
            <w:pPr>
              <w:spacing w:after="0" w:line="240" w:lineRule="auto"/>
              <w:jc w:val="both"/>
              <w:rPr>
                <w:color w:val="000000"/>
                <w:sz w:val="16"/>
                <w:szCs w:val="16"/>
              </w:rPr>
            </w:pPr>
            <w:sdt>
              <w:sdtPr>
                <w:tag w:val="goog_rdk_232"/>
                <w:id w:val="-17706242"/>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Cement</w:t>
            </w:r>
          </w:p>
        </w:tc>
        <w:tc>
          <w:tcPr>
            <w:tcW w:w="2751" w:type="dxa"/>
            <w:tcBorders>
              <w:top w:val="nil"/>
              <w:left w:val="nil"/>
              <w:bottom w:val="single" w:sz="4" w:space="0" w:color="000000" w:themeColor="text1"/>
              <w:right w:val="single" w:sz="4" w:space="0" w:color="000000" w:themeColor="text1"/>
            </w:tcBorders>
          </w:tcPr>
          <w:p w14:paraId="000018AB" w14:textId="77777777" w:rsidR="004F7DB3" w:rsidRDefault="00C00123">
            <w:pPr>
              <w:spacing w:after="0" w:line="240" w:lineRule="auto"/>
              <w:jc w:val="both"/>
              <w:rPr>
                <w:color w:val="000000"/>
                <w:sz w:val="16"/>
                <w:szCs w:val="16"/>
              </w:rPr>
            </w:pPr>
            <w:r>
              <w:rPr>
                <w:color w:val="000000"/>
                <w:sz w:val="16"/>
                <w:szCs w:val="16"/>
              </w:rPr>
              <w:t> </w:t>
            </w:r>
          </w:p>
        </w:tc>
      </w:tr>
      <w:tr w:rsidR="004F7DB3" w14:paraId="1957857C"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A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A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AE" w14:textId="77777777" w:rsidR="004F7DB3" w:rsidRDefault="00000000">
            <w:pPr>
              <w:spacing w:after="0" w:line="240" w:lineRule="auto"/>
              <w:jc w:val="both"/>
              <w:rPr>
                <w:color w:val="000000"/>
                <w:sz w:val="16"/>
                <w:szCs w:val="16"/>
              </w:rPr>
            </w:pPr>
            <w:sdt>
              <w:sdtPr>
                <w:tag w:val="goog_rdk_233"/>
                <w:id w:val="335341471"/>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Non-</w:t>
            </w:r>
            <w:proofErr w:type="spellStart"/>
            <w:r w:rsidR="552CE4D7">
              <w:rPr>
                <w:color w:val="000000"/>
                <w:sz w:val="16"/>
                <w:szCs w:val="16"/>
              </w:rPr>
              <w:t>Ferrous</w:t>
            </w:r>
            <w:proofErr w:type="spellEnd"/>
            <w:r w:rsidR="552CE4D7">
              <w:rPr>
                <w:color w:val="000000"/>
                <w:sz w:val="16"/>
                <w:szCs w:val="16"/>
              </w:rPr>
              <w:t xml:space="preserve"> </w:t>
            </w:r>
            <w:proofErr w:type="spellStart"/>
            <w:r w:rsidR="552CE4D7">
              <w:rPr>
                <w:color w:val="000000"/>
                <w:sz w:val="16"/>
                <w:szCs w:val="16"/>
              </w:rPr>
              <w:t>Metals</w:t>
            </w:r>
            <w:proofErr w:type="spellEnd"/>
            <w:r w:rsidR="552CE4D7">
              <w:rPr>
                <w:color w:val="000000"/>
                <w:sz w:val="16"/>
                <w:szCs w:val="16"/>
              </w:rPr>
              <w:t xml:space="preserve"> Production </w:t>
            </w:r>
          </w:p>
        </w:tc>
        <w:tc>
          <w:tcPr>
            <w:tcW w:w="2751" w:type="dxa"/>
            <w:tcBorders>
              <w:top w:val="nil"/>
              <w:left w:val="nil"/>
              <w:bottom w:val="single" w:sz="4" w:space="0" w:color="000000" w:themeColor="text1"/>
              <w:right w:val="single" w:sz="4" w:space="0" w:color="000000" w:themeColor="text1"/>
            </w:tcBorders>
          </w:tcPr>
          <w:p w14:paraId="000018AF" w14:textId="77777777" w:rsidR="004F7DB3" w:rsidRDefault="00C00123">
            <w:pPr>
              <w:spacing w:after="0" w:line="240" w:lineRule="auto"/>
              <w:jc w:val="both"/>
              <w:rPr>
                <w:color w:val="000000"/>
                <w:sz w:val="16"/>
                <w:szCs w:val="16"/>
              </w:rPr>
            </w:pPr>
            <w:r>
              <w:rPr>
                <w:color w:val="000000"/>
                <w:sz w:val="16"/>
                <w:szCs w:val="16"/>
              </w:rPr>
              <w:t> </w:t>
            </w:r>
          </w:p>
        </w:tc>
      </w:tr>
      <w:tr w:rsidR="004F7DB3" w14:paraId="08D62A48" w14:textId="77777777" w:rsidTr="5D8904BE">
        <w:trPr>
          <w:trHeight w:val="71"/>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B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B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B2" w14:textId="77777777" w:rsidR="004F7DB3" w:rsidRDefault="00000000">
            <w:pPr>
              <w:spacing w:after="0" w:line="240" w:lineRule="auto"/>
              <w:jc w:val="both"/>
              <w:rPr>
                <w:color w:val="000000"/>
                <w:sz w:val="16"/>
                <w:szCs w:val="16"/>
              </w:rPr>
            </w:pPr>
            <w:sdt>
              <w:sdtPr>
                <w:tag w:val="goog_rdk_234"/>
                <w:id w:val="-1689209847"/>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Ozone</w:t>
            </w:r>
          </w:p>
        </w:tc>
        <w:tc>
          <w:tcPr>
            <w:tcW w:w="2751" w:type="dxa"/>
            <w:tcBorders>
              <w:top w:val="nil"/>
              <w:left w:val="nil"/>
              <w:bottom w:val="single" w:sz="4" w:space="0" w:color="000000" w:themeColor="text1"/>
              <w:right w:val="single" w:sz="4" w:space="0" w:color="000000" w:themeColor="text1"/>
            </w:tcBorders>
          </w:tcPr>
          <w:p w14:paraId="000018B3" w14:textId="77777777" w:rsidR="004F7DB3" w:rsidRDefault="00C00123">
            <w:pPr>
              <w:spacing w:after="0" w:line="240" w:lineRule="auto"/>
              <w:jc w:val="both"/>
              <w:rPr>
                <w:color w:val="000000"/>
                <w:sz w:val="16"/>
                <w:szCs w:val="16"/>
              </w:rPr>
            </w:pPr>
            <w:r>
              <w:rPr>
                <w:color w:val="000000"/>
                <w:sz w:val="16"/>
                <w:szCs w:val="16"/>
              </w:rPr>
              <w:t> </w:t>
            </w:r>
          </w:p>
        </w:tc>
      </w:tr>
      <w:tr w:rsidR="004F7DB3" w14:paraId="16F971F8"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B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B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B6" w14:textId="77777777" w:rsidR="004F7DB3" w:rsidRDefault="00000000">
            <w:pPr>
              <w:spacing w:after="0" w:line="240" w:lineRule="auto"/>
              <w:jc w:val="both"/>
              <w:rPr>
                <w:color w:val="000000"/>
                <w:sz w:val="16"/>
                <w:szCs w:val="16"/>
              </w:rPr>
            </w:pPr>
            <w:sdt>
              <w:sdtPr>
                <w:tag w:val="goog_rdk_235"/>
                <w:id w:val="910272797"/>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Persistent </w:t>
            </w:r>
            <w:proofErr w:type="spellStart"/>
            <w:r w:rsidR="552CE4D7">
              <w:rPr>
                <w:color w:val="000000"/>
                <w:sz w:val="16"/>
                <w:szCs w:val="16"/>
              </w:rPr>
              <w:t>Organic</w:t>
            </w:r>
            <w:proofErr w:type="spellEnd"/>
            <w:r w:rsidR="552CE4D7">
              <w:rPr>
                <w:color w:val="000000"/>
                <w:sz w:val="16"/>
                <w:szCs w:val="16"/>
              </w:rPr>
              <w:t xml:space="preserve"> </w:t>
            </w:r>
            <w:proofErr w:type="spellStart"/>
            <w:r w:rsidR="552CE4D7">
              <w:rPr>
                <w:color w:val="000000"/>
                <w:sz w:val="16"/>
                <w:szCs w:val="16"/>
              </w:rPr>
              <w:t>Pollutants</w:t>
            </w:r>
            <w:proofErr w:type="spellEnd"/>
          </w:p>
        </w:tc>
        <w:tc>
          <w:tcPr>
            <w:tcW w:w="2751" w:type="dxa"/>
            <w:tcBorders>
              <w:top w:val="nil"/>
              <w:left w:val="nil"/>
              <w:bottom w:val="single" w:sz="4" w:space="0" w:color="000000" w:themeColor="text1"/>
              <w:right w:val="single" w:sz="4" w:space="0" w:color="000000" w:themeColor="text1"/>
            </w:tcBorders>
          </w:tcPr>
          <w:p w14:paraId="000018B7" w14:textId="77777777" w:rsidR="004F7DB3" w:rsidRDefault="00C00123">
            <w:pPr>
              <w:spacing w:after="0" w:line="240" w:lineRule="auto"/>
              <w:jc w:val="both"/>
              <w:rPr>
                <w:color w:val="000000"/>
                <w:sz w:val="16"/>
                <w:szCs w:val="16"/>
              </w:rPr>
            </w:pPr>
            <w:r>
              <w:rPr>
                <w:color w:val="000000"/>
                <w:sz w:val="16"/>
                <w:szCs w:val="16"/>
              </w:rPr>
              <w:t> </w:t>
            </w:r>
          </w:p>
        </w:tc>
      </w:tr>
      <w:tr w:rsidR="004F7DB3" w14:paraId="7E9CC6EC" w14:textId="77777777" w:rsidTr="5D8904BE">
        <w:trPr>
          <w:trHeight w:val="125"/>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B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B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BA" w14:textId="77777777" w:rsidR="004F7DB3" w:rsidRDefault="00000000">
            <w:pPr>
              <w:spacing w:after="0" w:line="240" w:lineRule="auto"/>
              <w:ind w:left="150" w:hanging="150"/>
              <w:jc w:val="both"/>
              <w:rPr>
                <w:color w:val="000000"/>
                <w:sz w:val="16"/>
                <w:szCs w:val="16"/>
              </w:rPr>
            </w:pPr>
            <w:sdt>
              <w:sdtPr>
                <w:tag w:val="goog_rdk_236"/>
                <w:id w:val="-181678247"/>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Unintentional</w:t>
            </w:r>
            <w:proofErr w:type="spellEnd"/>
            <w:r w:rsidR="552CE4D7">
              <w:rPr>
                <w:color w:val="000000"/>
                <w:sz w:val="16"/>
                <w:szCs w:val="16"/>
              </w:rPr>
              <w:t xml:space="preserve"> Persistent </w:t>
            </w:r>
            <w:proofErr w:type="spellStart"/>
            <w:r w:rsidR="552CE4D7">
              <w:rPr>
                <w:color w:val="000000"/>
                <w:sz w:val="16"/>
                <w:szCs w:val="16"/>
              </w:rPr>
              <w:t>Organic</w:t>
            </w:r>
            <w:proofErr w:type="spellEnd"/>
            <w:r w:rsidR="552CE4D7">
              <w:rPr>
                <w:color w:val="000000"/>
                <w:sz w:val="16"/>
                <w:szCs w:val="16"/>
              </w:rPr>
              <w:t xml:space="preserve"> </w:t>
            </w:r>
            <w:proofErr w:type="spellStart"/>
            <w:r w:rsidR="552CE4D7">
              <w:rPr>
                <w:color w:val="000000"/>
                <w:sz w:val="16"/>
                <w:szCs w:val="16"/>
              </w:rPr>
              <w:t>Pollutants</w:t>
            </w:r>
            <w:proofErr w:type="spellEnd"/>
          </w:p>
        </w:tc>
        <w:tc>
          <w:tcPr>
            <w:tcW w:w="2751" w:type="dxa"/>
            <w:tcBorders>
              <w:top w:val="nil"/>
              <w:left w:val="nil"/>
              <w:bottom w:val="single" w:sz="4" w:space="0" w:color="000000" w:themeColor="text1"/>
              <w:right w:val="single" w:sz="4" w:space="0" w:color="000000" w:themeColor="text1"/>
            </w:tcBorders>
          </w:tcPr>
          <w:p w14:paraId="000018BB" w14:textId="77777777" w:rsidR="004F7DB3" w:rsidRDefault="00C00123">
            <w:pPr>
              <w:spacing w:after="0" w:line="240" w:lineRule="auto"/>
              <w:jc w:val="both"/>
              <w:rPr>
                <w:color w:val="000000"/>
                <w:sz w:val="16"/>
                <w:szCs w:val="16"/>
              </w:rPr>
            </w:pPr>
            <w:r>
              <w:rPr>
                <w:color w:val="000000"/>
                <w:sz w:val="16"/>
                <w:szCs w:val="16"/>
              </w:rPr>
              <w:t> </w:t>
            </w:r>
          </w:p>
        </w:tc>
      </w:tr>
      <w:tr w:rsidR="004F7DB3" w:rsidRPr="00F50786" w14:paraId="3AAF384A"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B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B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BE" w14:textId="77777777" w:rsidR="004F7DB3" w:rsidRPr="00C00123" w:rsidRDefault="00000000">
            <w:pPr>
              <w:spacing w:after="0" w:line="240" w:lineRule="auto"/>
              <w:ind w:left="150" w:hanging="150"/>
              <w:jc w:val="both"/>
              <w:rPr>
                <w:color w:val="000000"/>
                <w:sz w:val="16"/>
                <w:szCs w:val="16"/>
                <w:lang w:val="en-US"/>
              </w:rPr>
            </w:pPr>
            <w:sdt>
              <w:sdtPr>
                <w:tag w:val="goog_rdk_237"/>
                <w:id w:val="-1089531608"/>
              </w:sdtPr>
              <w:sdtContent>
                <w:r w:rsidR="00C00123" w:rsidRPr="00C00123">
                  <w:rPr>
                    <w:rFonts w:ascii="Arial Unicode MS" w:eastAsia="Arial Unicode MS" w:hAnsi="Arial Unicode MS" w:cs="Arial Unicode MS"/>
                    <w:color w:val="000000"/>
                    <w:sz w:val="16"/>
                    <w:szCs w:val="16"/>
                    <w:shd w:val="clear" w:color="auto" w:fill="E6E6E6"/>
                    <w:lang w:val="en-US"/>
                  </w:rPr>
                  <w:t>☐</w:t>
                </w:r>
              </w:sdtContent>
            </w:sdt>
            <w:r w:rsidR="00C00123" w:rsidRPr="00C00123">
              <w:rPr>
                <w:color w:val="000000"/>
                <w:sz w:val="16"/>
                <w:szCs w:val="16"/>
                <w:lang w:val="en-US"/>
              </w:rPr>
              <w:t>Sound Management of chemicals and Waste</w:t>
            </w:r>
          </w:p>
        </w:tc>
        <w:tc>
          <w:tcPr>
            <w:tcW w:w="2751" w:type="dxa"/>
            <w:tcBorders>
              <w:top w:val="nil"/>
              <w:left w:val="nil"/>
              <w:bottom w:val="single" w:sz="4" w:space="0" w:color="000000" w:themeColor="text1"/>
              <w:right w:val="single" w:sz="4" w:space="0" w:color="000000" w:themeColor="text1"/>
            </w:tcBorders>
          </w:tcPr>
          <w:p w14:paraId="000018BF"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r>
      <w:tr w:rsidR="004F7DB3" w14:paraId="1B23FA00"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C0"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vAlign w:val="bottom"/>
          </w:tcPr>
          <w:p w14:paraId="000018C1"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8C2" w14:textId="77777777" w:rsidR="004F7DB3" w:rsidRDefault="00000000">
            <w:pPr>
              <w:spacing w:after="0" w:line="240" w:lineRule="auto"/>
              <w:jc w:val="both"/>
              <w:rPr>
                <w:color w:val="000000"/>
                <w:sz w:val="16"/>
                <w:szCs w:val="16"/>
              </w:rPr>
            </w:pPr>
            <w:sdt>
              <w:sdtPr>
                <w:tag w:val="goog_rdk_238"/>
                <w:id w:val="-568496707"/>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Waste Management</w:t>
            </w:r>
          </w:p>
        </w:tc>
        <w:tc>
          <w:tcPr>
            <w:tcW w:w="2751" w:type="dxa"/>
            <w:tcBorders>
              <w:top w:val="nil"/>
              <w:left w:val="nil"/>
              <w:bottom w:val="single" w:sz="4" w:space="0" w:color="000000" w:themeColor="text1"/>
              <w:right w:val="single" w:sz="4" w:space="0" w:color="000000" w:themeColor="text1"/>
            </w:tcBorders>
          </w:tcPr>
          <w:p w14:paraId="000018C3" w14:textId="77777777" w:rsidR="004F7DB3" w:rsidRDefault="00C00123">
            <w:pPr>
              <w:spacing w:after="0" w:line="240" w:lineRule="auto"/>
              <w:jc w:val="both"/>
              <w:rPr>
                <w:color w:val="000000"/>
                <w:sz w:val="16"/>
                <w:szCs w:val="16"/>
              </w:rPr>
            </w:pPr>
            <w:r>
              <w:rPr>
                <w:color w:val="000000"/>
                <w:sz w:val="16"/>
                <w:szCs w:val="16"/>
              </w:rPr>
              <w:t> </w:t>
            </w:r>
          </w:p>
        </w:tc>
      </w:tr>
      <w:tr w:rsidR="004F7DB3" w14:paraId="585498FF"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C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C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C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8C7" w14:textId="77777777" w:rsidR="004F7DB3" w:rsidRDefault="00000000">
            <w:pPr>
              <w:spacing w:after="0" w:line="240" w:lineRule="auto"/>
              <w:jc w:val="both"/>
              <w:rPr>
                <w:color w:val="000000"/>
                <w:sz w:val="16"/>
                <w:szCs w:val="16"/>
              </w:rPr>
            </w:pPr>
            <w:sdt>
              <w:sdtPr>
                <w:tag w:val="goog_rdk_239"/>
                <w:id w:val="-1670090628"/>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Hazardous</w:t>
            </w:r>
            <w:proofErr w:type="spellEnd"/>
            <w:r w:rsidR="552CE4D7">
              <w:rPr>
                <w:color w:val="000000"/>
                <w:sz w:val="16"/>
                <w:szCs w:val="16"/>
              </w:rPr>
              <w:t xml:space="preserve"> Waste Management</w:t>
            </w:r>
          </w:p>
        </w:tc>
      </w:tr>
      <w:tr w:rsidR="004F7DB3" w14:paraId="69FA8444"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C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C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CA"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8CB" w14:textId="77777777" w:rsidR="004F7DB3" w:rsidRDefault="00000000">
            <w:pPr>
              <w:spacing w:after="0" w:line="240" w:lineRule="auto"/>
              <w:jc w:val="both"/>
              <w:rPr>
                <w:color w:val="000000"/>
                <w:sz w:val="16"/>
                <w:szCs w:val="16"/>
              </w:rPr>
            </w:pPr>
            <w:sdt>
              <w:sdtPr>
                <w:tag w:val="goog_rdk_240"/>
                <w:id w:val="-2130930276"/>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Industrial</w:t>
            </w:r>
            <w:proofErr w:type="spellEnd"/>
            <w:r w:rsidR="552CE4D7">
              <w:rPr>
                <w:color w:val="000000"/>
                <w:sz w:val="16"/>
                <w:szCs w:val="16"/>
              </w:rPr>
              <w:t xml:space="preserve"> Waste</w:t>
            </w:r>
          </w:p>
        </w:tc>
      </w:tr>
      <w:tr w:rsidR="004F7DB3" w14:paraId="2B774DF1"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C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C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C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8CF" w14:textId="77777777" w:rsidR="004F7DB3" w:rsidRDefault="00000000">
            <w:pPr>
              <w:spacing w:after="0" w:line="240" w:lineRule="auto"/>
              <w:jc w:val="both"/>
              <w:rPr>
                <w:color w:val="000000"/>
                <w:sz w:val="16"/>
                <w:szCs w:val="16"/>
              </w:rPr>
            </w:pPr>
            <w:sdt>
              <w:sdtPr>
                <w:tag w:val="goog_rdk_241"/>
                <w:id w:val="-1788802304"/>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e-Waste</w:t>
            </w:r>
          </w:p>
        </w:tc>
      </w:tr>
      <w:tr w:rsidR="004F7DB3" w14:paraId="77E8D4F2"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D0" w14:textId="77777777" w:rsidR="004F7DB3" w:rsidRDefault="00C00123">
            <w:pPr>
              <w:spacing w:after="0" w:line="240" w:lineRule="auto"/>
              <w:jc w:val="both"/>
              <w:rPr>
                <w:b/>
                <w:color w:val="000000"/>
                <w:sz w:val="16"/>
                <w:szCs w:val="16"/>
              </w:rPr>
            </w:pPr>
            <w:r>
              <w:rPr>
                <w:b/>
                <w:color w:val="000000"/>
                <w:sz w:val="16"/>
                <w:szCs w:val="16"/>
              </w:rPr>
              <w:lastRenderedPageBreak/>
              <w:t> </w:t>
            </w:r>
          </w:p>
        </w:tc>
        <w:tc>
          <w:tcPr>
            <w:tcW w:w="3286" w:type="dxa"/>
            <w:tcBorders>
              <w:top w:val="nil"/>
              <w:left w:val="nil"/>
              <w:bottom w:val="single" w:sz="4" w:space="0" w:color="000000" w:themeColor="text1"/>
              <w:right w:val="single" w:sz="4" w:space="0" w:color="000000" w:themeColor="text1"/>
            </w:tcBorders>
          </w:tcPr>
          <w:p w14:paraId="000018D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D2" w14:textId="77777777" w:rsidR="004F7DB3" w:rsidRDefault="00000000">
            <w:pPr>
              <w:spacing w:after="0" w:line="240" w:lineRule="auto"/>
              <w:jc w:val="both"/>
              <w:rPr>
                <w:color w:val="000000"/>
                <w:sz w:val="16"/>
                <w:szCs w:val="16"/>
              </w:rPr>
            </w:pPr>
            <w:sdt>
              <w:sdtPr>
                <w:tag w:val="goog_rdk_242"/>
                <w:id w:val="904645982"/>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Emissions</w:t>
            </w:r>
          </w:p>
        </w:tc>
        <w:tc>
          <w:tcPr>
            <w:tcW w:w="2751" w:type="dxa"/>
            <w:tcBorders>
              <w:top w:val="nil"/>
              <w:left w:val="nil"/>
              <w:bottom w:val="single" w:sz="4" w:space="0" w:color="000000" w:themeColor="text1"/>
              <w:right w:val="single" w:sz="4" w:space="0" w:color="000000" w:themeColor="text1"/>
            </w:tcBorders>
          </w:tcPr>
          <w:p w14:paraId="000018D3" w14:textId="77777777" w:rsidR="004F7DB3" w:rsidRDefault="00C00123">
            <w:pPr>
              <w:spacing w:after="0" w:line="240" w:lineRule="auto"/>
              <w:jc w:val="both"/>
              <w:rPr>
                <w:color w:val="000000"/>
                <w:sz w:val="16"/>
                <w:szCs w:val="16"/>
              </w:rPr>
            </w:pPr>
            <w:r>
              <w:rPr>
                <w:color w:val="000000"/>
                <w:sz w:val="16"/>
                <w:szCs w:val="16"/>
              </w:rPr>
              <w:t> </w:t>
            </w:r>
          </w:p>
        </w:tc>
      </w:tr>
      <w:tr w:rsidR="004F7DB3" w14:paraId="26048930"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D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D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D6" w14:textId="77777777" w:rsidR="004F7DB3" w:rsidRDefault="00000000">
            <w:pPr>
              <w:spacing w:after="0" w:line="240" w:lineRule="auto"/>
              <w:jc w:val="both"/>
              <w:rPr>
                <w:color w:val="000000"/>
                <w:sz w:val="16"/>
                <w:szCs w:val="16"/>
              </w:rPr>
            </w:pPr>
            <w:sdt>
              <w:sdtPr>
                <w:tag w:val="goog_rdk_243"/>
                <w:id w:val="1954283225"/>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Disposal</w:t>
            </w:r>
            <w:proofErr w:type="spellEnd"/>
          </w:p>
        </w:tc>
        <w:tc>
          <w:tcPr>
            <w:tcW w:w="2751" w:type="dxa"/>
            <w:tcBorders>
              <w:top w:val="nil"/>
              <w:left w:val="nil"/>
              <w:bottom w:val="single" w:sz="4" w:space="0" w:color="000000" w:themeColor="text1"/>
              <w:right w:val="single" w:sz="4" w:space="0" w:color="000000" w:themeColor="text1"/>
            </w:tcBorders>
          </w:tcPr>
          <w:p w14:paraId="000018D7" w14:textId="77777777" w:rsidR="004F7DB3" w:rsidRDefault="00C00123">
            <w:pPr>
              <w:spacing w:after="0" w:line="240" w:lineRule="auto"/>
              <w:jc w:val="both"/>
              <w:rPr>
                <w:color w:val="000000"/>
                <w:sz w:val="16"/>
                <w:szCs w:val="16"/>
              </w:rPr>
            </w:pPr>
            <w:r>
              <w:rPr>
                <w:color w:val="000000"/>
                <w:sz w:val="16"/>
                <w:szCs w:val="16"/>
              </w:rPr>
              <w:t> </w:t>
            </w:r>
          </w:p>
        </w:tc>
      </w:tr>
      <w:tr w:rsidR="004F7DB3" w14:paraId="47500462"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D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D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DA" w14:textId="77777777" w:rsidR="004F7DB3" w:rsidRDefault="00000000">
            <w:pPr>
              <w:spacing w:after="0" w:line="240" w:lineRule="auto"/>
              <w:ind w:left="150" w:hanging="150"/>
              <w:jc w:val="both"/>
              <w:rPr>
                <w:color w:val="000000"/>
                <w:sz w:val="16"/>
                <w:szCs w:val="16"/>
              </w:rPr>
            </w:pPr>
            <w:sdt>
              <w:sdtPr>
                <w:tag w:val="goog_rdk_244"/>
                <w:id w:val="773824359"/>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New Persistent </w:t>
            </w:r>
            <w:proofErr w:type="spellStart"/>
            <w:r w:rsidR="552CE4D7">
              <w:rPr>
                <w:color w:val="000000"/>
                <w:sz w:val="16"/>
                <w:szCs w:val="16"/>
              </w:rPr>
              <w:t>Organic</w:t>
            </w:r>
            <w:proofErr w:type="spellEnd"/>
            <w:r w:rsidR="552CE4D7">
              <w:rPr>
                <w:color w:val="000000"/>
                <w:sz w:val="16"/>
                <w:szCs w:val="16"/>
              </w:rPr>
              <w:t xml:space="preserve"> </w:t>
            </w:r>
            <w:proofErr w:type="spellStart"/>
            <w:r w:rsidR="552CE4D7">
              <w:rPr>
                <w:color w:val="000000"/>
                <w:sz w:val="16"/>
                <w:szCs w:val="16"/>
              </w:rPr>
              <w:t>Pollutants</w:t>
            </w:r>
            <w:proofErr w:type="spellEnd"/>
          </w:p>
        </w:tc>
        <w:tc>
          <w:tcPr>
            <w:tcW w:w="2751" w:type="dxa"/>
            <w:tcBorders>
              <w:top w:val="nil"/>
              <w:left w:val="nil"/>
              <w:bottom w:val="single" w:sz="4" w:space="0" w:color="000000" w:themeColor="text1"/>
              <w:right w:val="single" w:sz="4" w:space="0" w:color="000000" w:themeColor="text1"/>
            </w:tcBorders>
          </w:tcPr>
          <w:p w14:paraId="000018DB" w14:textId="77777777" w:rsidR="004F7DB3" w:rsidRDefault="00C00123">
            <w:pPr>
              <w:spacing w:after="0" w:line="240" w:lineRule="auto"/>
              <w:jc w:val="both"/>
              <w:rPr>
                <w:color w:val="000000"/>
                <w:sz w:val="16"/>
                <w:szCs w:val="16"/>
              </w:rPr>
            </w:pPr>
            <w:r>
              <w:rPr>
                <w:color w:val="000000"/>
                <w:sz w:val="16"/>
                <w:szCs w:val="16"/>
              </w:rPr>
              <w:t> </w:t>
            </w:r>
          </w:p>
        </w:tc>
      </w:tr>
      <w:tr w:rsidR="004F7DB3" w14:paraId="490D5A76"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D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D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DE" w14:textId="77777777" w:rsidR="004F7DB3" w:rsidRDefault="00000000">
            <w:pPr>
              <w:spacing w:after="0" w:line="240" w:lineRule="auto"/>
              <w:jc w:val="both"/>
              <w:rPr>
                <w:color w:val="000000"/>
                <w:sz w:val="16"/>
                <w:szCs w:val="16"/>
              </w:rPr>
            </w:pPr>
            <w:sdt>
              <w:sdtPr>
                <w:tag w:val="goog_rdk_245"/>
                <w:id w:val="-947309979"/>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Polychlorinated</w:t>
            </w:r>
            <w:proofErr w:type="spellEnd"/>
            <w:r w:rsidR="552CE4D7">
              <w:rPr>
                <w:color w:val="000000"/>
                <w:sz w:val="16"/>
                <w:szCs w:val="16"/>
              </w:rPr>
              <w:t xml:space="preserve"> </w:t>
            </w:r>
            <w:proofErr w:type="spellStart"/>
            <w:r w:rsidR="552CE4D7">
              <w:rPr>
                <w:color w:val="000000"/>
                <w:sz w:val="16"/>
                <w:szCs w:val="16"/>
              </w:rPr>
              <w:t>Biphenyls</w:t>
            </w:r>
            <w:proofErr w:type="spellEnd"/>
          </w:p>
        </w:tc>
        <w:tc>
          <w:tcPr>
            <w:tcW w:w="2751" w:type="dxa"/>
            <w:tcBorders>
              <w:top w:val="nil"/>
              <w:left w:val="nil"/>
              <w:bottom w:val="single" w:sz="4" w:space="0" w:color="000000" w:themeColor="text1"/>
              <w:right w:val="single" w:sz="4" w:space="0" w:color="000000" w:themeColor="text1"/>
            </w:tcBorders>
          </w:tcPr>
          <w:p w14:paraId="000018DF" w14:textId="77777777" w:rsidR="004F7DB3" w:rsidRDefault="00C00123">
            <w:pPr>
              <w:spacing w:after="0" w:line="240" w:lineRule="auto"/>
              <w:jc w:val="both"/>
              <w:rPr>
                <w:color w:val="000000"/>
                <w:sz w:val="16"/>
                <w:szCs w:val="16"/>
              </w:rPr>
            </w:pPr>
            <w:r>
              <w:rPr>
                <w:color w:val="000000"/>
                <w:sz w:val="16"/>
                <w:szCs w:val="16"/>
              </w:rPr>
              <w:t> </w:t>
            </w:r>
          </w:p>
        </w:tc>
      </w:tr>
      <w:tr w:rsidR="004F7DB3" w14:paraId="568F4F3E"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E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E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E2" w14:textId="77777777" w:rsidR="004F7DB3" w:rsidRDefault="00000000">
            <w:pPr>
              <w:spacing w:after="0" w:line="240" w:lineRule="auto"/>
              <w:jc w:val="both"/>
              <w:rPr>
                <w:color w:val="000000"/>
                <w:sz w:val="16"/>
                <w:szCs w:val="16"/>
              </w:rPr>
            </w:pPr>
            <w:sdt>
              <w:sdtPr>
                <w:tag w:val="goog_rdk_246"/>
                <w:id w:val="1084799333"/>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Plastics</w:t>
            </w:r>
          </w:p>
        </w:tc>
        <w:tc>
          <w:tcPr>
            <w:tcW w:w="2751" w:type="dxa"/>
            <w:tcBorders>
              <w:top w:val="nil"/>
              <w:left w:val="nil"/>
              <w:bottom w:val="single" w:sz="4" w:space="0" w:color="000000" w:themeColor="text1"/>
              <w:right w:val="single" w:sz="4" w:space="0" w:color="000000" w:themeColor="text1"/>
            </w:tcBorders>
          </w:tcPr>
          <w:p w14:paraId="000018E3" w14:textId="77777777" w:rsidR="004F7DB3" w:rsidRDefault="00C00123">
            <w:pPr>
              <w:spacing w:after="0" w:line="240" w:lineRule="auto"/>
              <w:jc w:val="both"/>
              <w:rPr>
                <w:color w:val="000000"/>
                <w:sz w:val="16"/>
                <w:szCs w:val="16"/>
              </w:rPr>
            </w:pPr>
            <w:r>
              <w:rPr>
                <w:color w:val="000000"/>
                <w:sz w:val="16"/>
                <w:szCs w:val="16"/>
              </w:rPr>
              <w:t> </w:t>
            </w:r>
          </w:p>
        </w:tc>
      </w:tr>
      <w:tr w:rsidR="004F7DB3" w14:paraId="558F971C"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E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E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E6" w14:textId="77777777" w:rsidR="004F7DB3" w:rsidRDefault="00000000">
            <w:pPr>
              <w:spacing w:after="0" w:line="240" w:lineRule="auto"/>
              <w:jc w:val="both"/>
              <w:rPr>
                <w:color w:val="000000"/>
                <w:sz w:val="16"/>
                <w:szCs w:val="16"/>
              </w:rPr>
            </w:pPr>
            <w:sdt>
              <w:sdtPr>
                <w:tag w:val="goog_rdk_247"/>
                <w:id w:val="-1514149621"/>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Eco-</w:t>
            </w:r>
            <w:proofErr w:type="spellStart"/>
            <w:r w:rsidR="552CE4D7">
              <w:rPr>
                <w:color w:val="000000"/>
                <w:sz w:val="16"/>
                <w:szCs w:val="16"/>
              </w:rPr>
              <w:t>Efficiency</w:t>
            </w:r>
            <w:proofErr w:type="spellEnd"/>
          </w:p>
        </w:tc>
        <w:tc>
          <w:tcPr>
            <w:tcW w:w="2751" w:type="dxa"/>
            <w:tcBorders>
              <w:top w:val="nil"/>
              <w:left w:val="nil"/>
              <w:bottom w:val="single" w:sz="4" w:space="0" w:color="000000" w:themeColor="text1"/>
              <w:right w:val="single" w:sz="4" w:space="0" w:color="000000" w:themeColor="text1"/>
            </w:tcBorders>
          </w:tcPr>
          <w:p w14:paraId="000018E7" w14:textId="77777777" w:rsidR="004F7DB3" w:rsidRDefault="00C00123">
            <w:pPr>
              <w:spacing w:after="0" w:line="240" w:lineRule="auto"/>
              <w:jc w:val="both"/>
              <w:rPr>
                <w:color w:val="000000"/>
                <w:sz w:val="16"/>
                <w:szCs w:val="16"/>
              </w:rPr>
            </w:pPr>
            <w:r>
              <w:rPr>
                <w:color w:val="000000"/>
                <w:sz w:val="16"/>
                <w:szCs w:val="16"/>
              </w:rPr>
              <w:t> </w:t>
            </w:r>
          </w:p>
        </w:tc>
      </w:tr>
      <w:tr w:rsidR="004F7DB3" w14:paraId="73F41E34"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E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E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EA" w14:textId="77777777" w:rsidR="004F7DB3" w:rsidRDefault="00000000">
            <w:pPr>
              <w:spacing w:after="0" w:line="240" w:lineRule="auto"/>
              <w:jc w:val="both"/>
              <w:rPr>
                <w:color w:val="000000"/>
                <w:sz w:val="16"/>
                <w:szCs w:val="16"/>
              </w:rPr>
            </w:pPr>
            <w:sdt>
              <w:sdtPr>
                <w:tag w:val="goog_rdk_248"/>
                <w:id w:val="21603942"/>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Pesticides</w:t>
            </w:r>
          </w:p>
        </w:tc>
        <w:tc>
          <w:tcPr>
            <w:tcW w:w="2751" w:type="dxa"/>
            <w:tcBorders>
              <w:top w:val="nil"/>
              <w:left w:val="nil"/>
              <w:bottom w:val="single" w:sz="4" w:space="0" w:color="000000" w:themeColor="text1"/>
              <w:right w:val="single" w:sz="4" w:space="0" w:color="000000" w:themeColor="text1"/>
            </w:tcBorders>
          </w:tcPr>
          <w:p w14:paraId="000018EB" w14:textId="77777777" w:rsidR="004F7DB3" w:rsidRDefault="00C00123">
            <w:pPr>
              <w:spacing w:after="0" w:line="240" w:lineRule="auto"/>
              <w:jc w:val="both"/>
              <w:rPr>
                <w:color w:val="000000"/>
                <w:sz w:val="16"/>
                <w:szCs w:val="16"/>
              </w:rPr>
            </w:pPr>
            <w:r>
              <w:rPr>
                <w:color w:val="000000"/>
                <w:sz w:val="16"/>
                <w:szCs w:val="16"/>
              </w:rPr>
              <w:t> </w:t>
            </w:r>
          </w:p>
        </w:tc>
      </w:tr>
      <w:tr w:rsidR="004F7DB3" w14:paraId="744FA9B8"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E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E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EE" w14:textId="77777777" w:rsidR="004F7DB3" w:rsidRDefault="00000000">
            <w:pPr>
              <w:spacing w:after="0" w:line="240" w:lineRule="auto"/>
              <w:jc w:val="both"/>
              <w:rPr>
                <w:color w:val="000000"/>
                <w:sz w:val="16"/>
                <w:szCs w:val="16"/>
              </w:rPr>
            </w:pPr>
            <w:sdt>
              <w:sdtPr>
                <w:tag w:val="goog_rdk_249"/>
                <w:id w:val="-294757982"/>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DDT - </w:t>
            </w:r>
            <w:proofErr w:type="spellStart"/>
            <w:r w:rsidR="552CE4D7">
              <w:rPr>
                <w:color w:val="000000"/>
                <w:sz w:val="16"/>
                <w:szCs w:val="16"/>
              </w:rPr>
              <w:t>Vector</w:t>
            </w:r>
            <w:proofErr w:type="spellEnd"/>
            <w:r w:rsidR="552CE4D7">
              <w:rPr>
                <w:color w:val="000000"/>
                <w:sz w:val="16"/>
                <w:szCs w:val="16"/>
              </w:rPr>
              <w:t xml:space="preserve"> Management</w:t>
            </w:r>
          </w:p>
        </w:tc>
        <w:tc>
          <w:tcPr>
            <w:tcW w:w="2751" w:type="dxa"/>
            <w:tcBorders>
              <w:top w:val="nil"/>
              <w:left w:val="nil"/>
              <w:bottom w:val="single" w:sz="4" w:space="0" w:color="000000" w:themeColor="text1"/>
              <w:right w:val="single" w:sz="4" w:space="0" w:color="000000" w:themeColor="text1"/>
            </w:tcBorders>
          </w:tcPr>
          <w:p w14:paraId="000018EF" w14:textId="77777777" w:rsidR="004F7DB3" w:rsidRDefault="00C00123">
            <w:pPr>
              <w:spacing w:after="0" w:line="240" w:lineRule="auto"/>
              <w:jc w:val="both"/>
              <w:rPr>
                <w:color w:val="000000"/>
                <w:sz w:val="16"/>
                <w:szCs w:val="16"/>
              </w:rPr>
            </w:pPr>
            <w:r>
              <w:rPr>
                <w:color w:val="000000"/>
                <w:sz w:val="16"/>
                <w:szCs w:val="16"/>
              </w:rPr>
              <w:t> </w:t>
            </w:r>
          </w:p>
        </w:tc>
      </w:tr>
      <w:tr w:rsidR="004F7DB3" w14:paraId="03E4EA65"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F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F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F2" w14:textId="77777777" w:rsidR="004F7DB3" w:rsidRDefault="00000000">
            <w:pPr>
              <w:spacing w:after="0" w:line="240" w:lineRule="auto"/>
              <w:jc w:val="both"/>
              <w:rPr>
                <w:color w:val="000000"/>
                <w:sz w:val="16"/>
                <w:szCs w:val="16"/>
              </w:rPr>
            </w:pPr>
            <w:sdt>
              <w:sdtPr>
                <w:tag w:val="goog_rdk_250"/>
                <w:id w:val="1583179575"/>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DDT - </w:t>
            </w:r>
            <w:proofErr w:type="spellStart"/>
            <w:r w:rsidR="552CE4D7">
              <w:rPr>
                <w:color w:val="000000"/>
                <w:sz w:val="16"/>
                <w:szCs w:val="16"/>
              </w:rPr>
              <w:t>Other</w:t>
            </w:r>
            <w:proofErr w:type="spellEnd"/>
          </w:p>
        </w:tc>
        <w:tc>
          <w:tcPr>
            <w:tcW w:w="2751" w:type="dxa"/>
            <w:tcBorders>
              <w:top w:val="nil"/>
              <w:left w:val="nil"/>
              <w:bottom w:val="single" w:sz="4" w:space="0" w:color="000000" w:themeColor="text1"/>
              <w:right w:val="single" w:sz="4" w:space="0" w:color="000000" w:themeColor="text1"/>
            </w:tcBorders>
          </w:tcPr>
          <w:p w14:paraId="000018F3" w14:textId="77777777" w:rsidR="004F7DB3" w:rsidRDefault="00C00123">
            <w:pPr>
              <w:spacing w:after="0" w:line="240" w:lineRule="auto"/>
              <w:jc w:val="both"/>
              <w:rPr>
                <w:color w:val="000000"/>
                <w:sz w:val="16"/>
                <w:szCs w:val="16"/>
              </w:rPr>
            </w:pPr>
            <w:r>
              <w:rPr>
                <w:color w:val="000000"/>
                <w:sz w:val="16"/>
                <w:szCs w:val="16"/>
              </w:rPr>
              <w:t> </w:t>
            </w:r>
          </w:p>
        </w:tc>
      </w:tr>
      <w:tr w:rsidR="004F7DB3" w14:paraId="4C5DC923"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F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F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F6" w14:textId="77777777" w:rsidR="004F7DB3" w:rsidRDefault="00000000">
            <w:pPr>
              <w:spacing w:after="0" w:line="240" w:lineRule="auto"/>
              <w:jc w:val="both"/>
              <w:rPr>
                <w:color w:val="000000"/>
                <w:sz w:val="16"/>
                <w:szCs w:val="16"/>
              </w:rPr>
            </w:pPr>
            <w:sdt>
              <w:sdtPr>
                <w:tag w:val="goog_rdk_251"/>
                <w:id w:val="95787"/>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Industrial</w:t>
            </w:r>
            <w:proofErr w:type="spellEnd"/>
            <w:r w:rsidR="552CE4D7">
              <w:rPr>
                <w:color w:val="000000"/>
                <w:sz w:val="16"/>
                <w:szCs w:val="16"/>
              </w:rPr>
              <w:t xml:space="preserve"> Emissions</w:t>
            </w:r>
          </w:p>
        </w:tc>
        <w:tc>
          <w:tcPr>
            <w:tcW w:w="2751" w:type="dxa"/>
            <w:tcBorders>
              <w:top w:val="nil"/>
              <w:left w:val="nil"/>
              <w:bottom w:val="single" w:sz="4" w:space="0" w:color="000000" w:themeColor="text1"/>
              <w:right w:val="single" w:sz="4" w:space="0" w:color="000000" w:themeColor="text1"/>
            </w:tcBorders>
          </w:tcPr>
          <w:p w14:paraId="000018F7" w14:textId="77777777" w:rsidR="004F7DB3" w:rsidRDefault="00C00123">
            <w:pPr>
              <w:spacing w:after="0" w:line="240" w:lineRule="auto"/>
              <w:jc w:val="both"/>
              <w:rPr>
                <w:color w:val="000000"/>
                <w:sz w:val="16"/>
                <w:szCs w:val="16"/>
              </w:rPr>
            </w:pPr>
            <w:r>
              <w:rPr>
                <w:color w:val="000000"/>
                <w:sz w:val="16"/>
                <w:szCs w:val="16"/>
              </w:rPr>
              <w:t> </w:t>
            </w:r>
          </w:p>
        </w:tc>
      </w:tr>
      <w:tr w:rsidR="004F7DB3" w14:paraId="0AF167B1"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F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F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FA" w14:textId="77777777" w:rsidR="004F7DB3" w:rsidRDefault="00000000">
            <w:pPr>
              <w:spacing w:after="0" w:line="240" w:lineRule="auto"/>
              <w:jc w:val="both"/>
              <w:rPr>
                <w:color w:val="000000"/>
                <w:sz w:val="16"/>
                <w:szCs w:val="16"/>
              </w:rPr>
            </w:pPr>
            <w:sdt>
              <w:sdtPr>
                <w:tag w:val="goog_rdk_252"/>
                <w:id w:val="-1980526169"/>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Open Burning</w:t>
            </w:r>
          </w:p>
        </w:tc>
        <w:tc>
          <w:tcPr>
            <w:tcW w:w="2751" w:type="dxa"/>
            <w:tcBorders>
              <w:top w:val="nil"/>
              <w:left w:val="nil"/>
              <w:bottom w:val="single" w:sz="4" w:space="0" w:color="000000" w:themeColor="text1"/>
              <w:right w:val="single" w:sz="4" w:space="0" w:color="000000" w:themeColor="text1"/>
            </w:tcBorders>
          </w:tcPr>
          <w:p w14:paraId="000018FB" w14:textId="77777777" w:rsidR="004F7DB3" w:rsidRDefault="00C00123">
            <w:pPr>
              <w:spacing w:after="0" w:line="240" w:lineRule="auto"/>
              <w:jc w:val="both"/>
              <w:rPr>
                <w:color w:val="000000"/>
                <w:sz w:val="16"/>
                <w:szCs w:val="16"/>
              </w:rPr>
            </w:pPr>
            <w:r>
              <w:rPr>
                <w:color w:val="000000"/>
                <w:sz w:val="16"/>
                <w:szCs w:val="16"/>
              </w:rPr>
              <w:t> </w:t>
            </w:r>
          </w:p>
        </w:tc>
      </w:tr>
      <w:tr w:rsidR="004F7DB3" w:rsidRPr="00F50786" w14:paraId="7ECD5CB8" w14:textId="77777777" w:rsidTr="5D8904BE">
        <w:trPr>
          <w:trHeight w:val="152"/>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8F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tcPr>
          <w:p w14:paraId="000018F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8FE" w14:textId="77777777" w:rsidR="004F7DB3" w:rsidRPr="00C00123" w:rsidRDefault="00000000">
            <w:pPr>
              <w:spacing w:after="0" w:line="240" w:lineRule="auto"/>
              <w:ind w:left="150" w:hanging="150"/>
              <w:jc w:val="both"/>
              <w:rPr>
                <w:color w:val="000000"/>
                <w:sz w:val="16"/>
                <w:szCs w:val="16"/>
                <w:lang w:val="en-US"/>
              </w:rPr>
            </w:pPr>
            <w:sdt>
              <w:sdtPr>
                <w:tag w:val="goog_rdk_253"/>
                <w:id w:val="-733549129"/>
              </w:sdtPr>
              <w:sdtContent>
                <w:r w:rsidR="00C00123" w:rsidRPr="00C00123">
                  <w:rPr>
                    <w:rFonts w:ascii="Arial Unicode MS" w:eastAsia="Arial Unicode MS" w:hAnsi="Arial Unicode MS" w:cs="Arial Unicode MS"/>
                    <w:color w:val="000000"/>
                    <w:sz w:val="16"/>
                    <w:szCs w:val="16"/>
                    <w:shd w:val="clear" w:color="auto" w:fill="E6E6E6"/>
                    <w:lang w:val="en-US"/>
                  </w:rPr>
                  <w:t>☐</w:t>
                </w:r>
              </w:sdtContent>
            </w:sdt>
            <w:r w:rsidR="00C00123" w:rsidRPr="00C00123">
              <w:rPr>
                <w:color w:val="000000"/>
                <w:sz w:val="16"/>
                <w:szCs w:val="16"/>
                <w:lang w:val="en-US"/>
              </w:rPr>
              <w:t>Best Available Technology / Best Environmental Practices</w:t>
            </w:r>
          </w:p>
        </w:tc>
        <w:tc>
          <w:tcPr>
            <w:tcW w:w="2751" w:type="dxa"/>
            <w:tcBorders>
              <w:top w:val="nil"/>
              <w:left w:val="nil"/>
              <w:bottom w:val="single" w:sz="4" w:space="0" w:color="000000" w:themeColor="text1"/>
              <w:right w:val="single" w:sz="4" w:space="0" w:color="000000" w:themeColor="text1"/>
            </w:tcBorders>
          </w:tcPr>
          <w:p w14:paraId="000018FF"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r>
      <w:tr w:rsidR="004F7DB3" w14:paraId="4764DCFA"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00"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tcPr>
          <w:p w14:paraId="00001901"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902" w14:textId="77777777" w:rsidR="004F7DB3" w:rsidRDefault="00000000">
            <w:pPr>
              <w:spacing w:after="0" w:line="240" w:lineRule="auto"/>
              <w:jc w:val="both"/>
              <w:rPr>
                <w:color w:val="000000"/>
                <w:sz w:val="16"/>
                <w:szCs w:val="16"/>
              </w:rPr>
            </w:pPr>
            <w:sdt>
              <w:sdtPr>
                <w:tag w:val="goog_rdk_254"/>
                <w:id w:val="1322621729"/>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Green Chemistry</w:t>
            </w:r>
          </w:p>
        </w:tc>
        <w:tc>
          <w:tcPr>
            <w:tcW w:w="2751" w:type="dxa"/>
            <w:tcBorders>
              <w:top w:val="nil"/>
              <w:left w:val="nil"/>
              <w:bottom w:val="single" w:sz="4" w:space="0" w:color="000000" w:themeColor="text1"/>
              <w:right w:val="single" w:sz="4" w:space="0" w:color="000000" w:themeColor="text1"/>
            </w:tcBorders>
          </w:tcPr>
          <w:p w14:paraId="00001903" w14:textId="77777777" w:rsidR="004F7DB3" w:rsidRDefault="00C00123">
            <w:pPr>
              <w:spacing w:after="0" w:line="240" w:lineRule="auto"/>
              <w:jc w:val="both"/>
              <w:rPr>
                <w:color w:val="000000"/>
                <w:sz w:val="16"/>
                <w:szCs w:val="16"/>
              </w:rPr>
            </w:pPr>
            <w:r>
              <w:rPr>
                <w:color w:val="000000"/>
                <w:sz w:val="16"/>
                <w:szCs w:val="16"/>
              </w:rPr>
              <w:t> </w:t>
            </w:r>
          </w:p>
        </w:tc>
      </w:tr>
      <w:tr w:rsidR="004F7DB3" w14:paraId="505B8096"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0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05" w14:textId="628DAC59" w:rsidR="004F7DB3" w:rsidRDefault="00000000" w:rsidP="24AA8F7E">
            <w:pPr>
              <w:spacing w:after="0" w:line="240" w:lineRule="auto"/>
              <w:jc w:val="both"/>
              <w:rPr>
                <w:b/>
                <w:bCs/>
                <w:color w:val="000000"/>
                <w:sz w:val="16"/>
                <w:szCs w:val="16"/>
              </w:rPr>
            </w:pPr>
            <w:sdt>
              <w:sdtPr>
                <w:tag w:val="goog_rdk_255"/>
                <w:id w:val="117191803"/>
              </w:sdtPr>
              <w:sdtContent>
                <w:proofErr w:type="spellStart"/>
                <w:r w:rsidR="28B38664">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Climate</w:t>
            </w:r>
            <w:proofErr w:type="spellEnd"/>
            <w:r w:rsidR="352EB93F" w:rsidRPr="24AA8F7E">
              <w:rPr>
                <w:b/>
                <w:bCs/>
                <w:color w:val="000000"/>
                <w:sz w:val="16"/>
                <w:szCs w:val="16"/>
              </w:rPr>
              <w:t xml:space="preserve"> Change</w:t>
            </w:r>
          </w:p>
        </w:tc>
        <w:tc>
          <w:tcPr>
            <w:tcW w:w="2541" w:type="dxa"/>
            <w:tcBorders>
              <w:top w:val="nil"/>
              <w:left w:val="nil"/>
              <w:bottom w:val="single" w:sz="4" w:space="0" w:color="000000" w:themeColor="text1"/>
              <w:right w:val="single" w:sz="4" w:space="0" w:color="000000" w:themeColor="text1"/>
            </w:tcBorders>
          </w:tcPr>
          <w:p w14:paraId="00001906" w14:textId="77777777" w:rsidR="004F7DB3" w:rsidRDefault="004F7DB3">
            <w:pPr>
              <w:spacing w:after="0" w:line="240" w:lineRule="auto"/>
              <w:jc w:val="both"/>
              <w:rPr>
                <w:b/>
                <w:color w:val="000000"/>
                <w:sz w:val="16"/>
                <w:szCs w:val="16"/>
              </w:rPr>
            </w:pPr>
          </w:p>
        </w:tc>
        <w:tc>
          <w:tcPr>
            <w:tcW w:w="2751" w:type="dxa"/>
            <w:tcBorders>
              <w:top w:val="nil"/>
              <w:left w:val="nil"/>
              <w:bottom w:val="single" w:sz="4" w:space="0" w:color="000000" w:themeColor="text1"/>
              <w:right w:val="single" w:sz="4" w:space="0" w:color="000000" w:themeColor="text1"/>
            </w:tcBorders>
          </w:tcPr>
          <w:p w14:paraId="00001907" w14:textId="77777777" w:rsidR="004F7DB3" w:rsidRDefault="004F7DB3">
            <w:pPr>
              <w:spacing w:after="0" w:line="240" w:lineRule="auto"/>
              <w:jc w:val="both"/>
              <w:rPr>
                <w:color w:val="000000"/>
                <w:sz w:val="16"/>
                <w:szCs w:val="16"/>
              </w:rPr>
            </w:pPr>
          </w:p>
        </w:tc>
      </w:tr>
      <w:tr w:rsidR="004F7DB3" w14:paraId="229205BB"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08"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vAlign w:val="bottom"/>
          </w:tcPr>
          <w:p w14:paraId="00001909" w14:textId="77777777" w:rsidR="004F7DB3" w:rsidRDefault="004F7DB3">
            <w:pPr>
              <w:spacing w:after="0" w:line="240" w:lineRule="auto"/>
              <w:jc w:val="both"/>
              <w:rPr>
                <w:color w:val="000000"/>
                <w:sz w:val="16"/>
                <w:szCs w:val="16"/>
              </w:rPr>
            </w:pPr>
          </w:p>
        </w:tc>
        <w:tc>
          <w:tcPr>
            <w:tcW w:w="2541" w:type="dxa"/>
            <w:tcBorders>
              <w:top w:val="nil"/>
              <w:left w:val="nil"/>
              <w:bottom w:val="single" w:sz="4" w:space="0" w:color="000000" w:themeColor="text1"/>
              <w:right w:val="single" w:sz="4" w:space="0" w:color="000000" w:themeColor="text1"/>
            </w:tcBorders>
          </w:tcPr>
          <w:p w14:paraId="0000190A" w14:textId="13209D0A" w:rsidR="004F7DB3" w:rsidRDefault="00000000" w:rsidP="24AA8F7E">
            <w:pPr>
              <w:spacing w:after="0" w:line="240" w:lineRule="auto"/>
              <w:jc w:val="both"/>
              <w:rPr>
                <w:b/>
                <w:bCs/>
                <w:color w:val="000000"/>
                <w:sz w:val="16"/>
                <w:szCs w:val="16"/>
              </w:rPr>
            </w:pPr>
            <w:sdt>
              <w:sdtPr>
                <w:tag w:val="goog_rdk_256"/>
                <w:id w:val="-1027491386"/>
              </w:sdtPr>
              <w:sdtContent>
                <w:proofErr w:type="spellStart"/>
                <w:r w:rsidR="4849E60A" w:rsidRPr="24AA8F7E">
                  <w:rPr>
                    <w:rFonts w:ascii="Arial Unicode MS" w:eastAsia="Arial Unicode MS" w:hAnsi="Arial Unicode MS" w:cs="Arial Unicode MS"/>
                    <w:b/>
                    <w:bCs/>
                    <w:color w:val="000000"/>
                    <w:sz w:val="16"/>
                    <w:szCs w:val="16"/>
                    <w:shd w:val="clear" w:color="auto" w:fill="E6E6E6"/>
                  </w:rPr>
                  <w:t>X</w:t>
                </w:r>
              </w:sdtContent>
            </w:sdt>
            <w:r w:rsidR="352EB93F" w:rsidRPr="24AA8F7E">
              <w:rPr>
                <w:b/>
                <w:bCs/>
                <w:color w:val="000000"/>
                <w:sz w:val="16"/>
                <w:szCs w:val="16"/>
              </w:rPr>
              <w:t>Climate</w:t>
            </w:r>
            <w:proofErr w:type="spellEnd"/>
            <w:r w:rsidR="352EB93F" w:rsidRPr="24AA8F7E">
              <w:rPr>
                <w:b/>
                <w:bCs/>
                <w:color w:val="000000"/>
                <w:sz w:val="16"/>
                <w:szCs w:val="16"/>
              </w:rPr>
              <w:t xml:space="preserve"> Change Adaptation</w:t>
            </w:r>
          </w:p>
        </w:tc>
        <w:tc>
          <w:tcPr>
            <w:tcW w:w="2751" w:type="dxa"/>
            <w:tcBorders>
              <w:top w:val="nil"/>
              <w:left w:val="nil"/>
              <w:bottom w:val="single" w:sz="4" w:space="0" w:color="000000" w:themeColor="text1"/>
              <w:right w:val="single" w:sz="4" w:space="0" w:color="000000" w:themeColor="text1"/>
            </w:tcBorders>
          </w:tcPr>
          <w:p w14:paraId="0000190B" w14:textId="77777777" w:rsidR="004F7DB3" w:rsidRDefault="004F7DB3">
            <w:pPr>
              <w:spacing w:after="0" w:line="240" w:lineRule="auto"/>
              <w:jc w:val="both"/>
              <w:rPr>
                <w:color w:val="000000"/>
                <w:sz w:val="16"/>
                <w:szCs w:val="16"/>
              </w:rPr>
            </w:pPr>
          </w:p>
        </w:tc>
      </w:tr>
      <w:tr w:rsidR="004F7DB3" w14:paraId="0B00DED4"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0C"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vAlign w:val="bottom"/>
          </w:tcPr>
          <w:p w14:paraId="0000190D" w14:textId="77777777" w:rsidR="004F7DB3" w:rsidRDefault="004F7DB3">
            <w:pPr>
              <w:spacing w:after="0" w:line="240" w:lineRule="auto"/>
              <w:jc w:val="both"/>
              <w:rPr>
                <w:color w:val="000000"/>
                <w:sz w:val="16"/>
                <w:szCs w:val="16"/>
              </w:rPr>
            </w:pPr>
          </w:p>
        </w:tc>
        <w:tc>
          <w:tcPr>
            <w:tcW w:w="2541" w:type="dxa"/>
            <w:tcBorders>
              <w:top w:val="nil"/>
              <w:left w:val="nil"/>
              <w:bottom w:val="single" w:sz="4" w:space="0" w:color="000000" w:themeColor="text1"/>
              <w:right w:val="single" w:sz="4" w:space="0" w:color="000000" w:themeColor="text1"/>
            </w:tcBorders>
          </w:tcPr>
          <w:p w14:paraId="0000190E" w14:textId="77777777" w:rsidR="004F7DB3" w:rsidRDefault="004F7DB3">
            <w:pPr>
              <w:spacing w:after="0" w:line="240" w:lineRule="auto"/>
              <w:jc w:val="both"/>
              <w:rPr>
                <w:color w:val="000000"/>
                <w:sz w:val="16"/>
                <w:szCs w:val="16"/>
              </w:rPr>
            </w:pPr>
          </w:p>
        </w:tc>
        <w:tc>
          <w:tcPr>
            <w:tcW w:w="2751" w:type="dxa"/>
            <w:tcBorders>
              <w:top w:val="nil"/>
              <w:left w:val="nil"/>
              <w:bottom w:val="single" w:sz="4" w:space="0" w:color="000000" w:themeColor="text1"/>
              <w:right w:val="single" w:sz="4" w:space="0" w:color="000000" w:themeColor="text1"/>
            </w:tcBorders>
          </w:tcPr>
          <w:p w14:paraId="0000190F" w14:textId="77777777" w:rsidR="004F7DB3" w:rsidRDefault="00000000">
            <w:pPr>
              <w:spacing w:after="0" w:line="240" w:lineRule="auto"/>
              <w:jc w:val="both"/>
              <w:rPr>
                <w:color w:val="000000"/>
                <w:sz w:val="16"/>
                <w:szCs w:val="16"/>
              </w:rPr>
            </w:pPr>
            <w:sdt>
              <w:sdtPr>
                <w:tag w:val="goog_rdk_257"/>
                <w:id w:val="-1377539616"/>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Climate</w:t>
            </w:r>
            <w:proofErr w:type="spellEnd"/>
            <w:r w:rsidR="00C00123">
              <w:rPr>
                <w:color w:val="000000"/>
                <w:sz w:val="16"/>
                <w:szCs w:val="16"/>
              </w:rPr>
              <w:t xml:space="preserve"> Finance</w:t>
            </w:r>
          </w:p>
        </w:tc>
      </w:tr>
      <w:tr w:rsidR="004F7DB3" w14:paraId="28F47945"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1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1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12" w14:textId="77777777" w:rsidR="004F7DB3" w:rsidRDefault="00C00123">
            <w:pPr>
              <w:spacing w:after="0" w:line="240" w:lineRule="auto"/>
              <w:jc w:val="both"/>
              <w:rPr>
                <w:b/>
                <w:color w:val="000000"/>
                <w:sz w:val="16"/>
                <w:szCs w:val="16"/>
              </w:rPr>
            </w:pPr>
            <w:r>
              <w:rPr>
                <w:b/>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13" w14:textId="77777777" w:rsidR="004F7DB3" w:rsidRDefault="00000000">
            <w:pPr>
              <w:spacing w:after="0" w:line="240" w:lineRule="auto"/>
              <w:jc w:val="both"/>
              <w:rPr>
                <w:color w:val="000000"/>
                <w:sz w:val="16"/>
                <w:szCs w:val="16"/>
              </w:rPr>
            </w:pPr>
            <w:sdt>
              <w:sdtPr>
                <w:tag w:val="goog_rdk_258"/>
                <w:id w:val="1994457395"/>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Least </w:t>
            </w:r>
            <w:proofErr w:type="spellStart"/>
            <w:r w:rsidR="552CE4D7">
              <w:rPr>
                <w:color w:val="000000"/>
                <w:sz w:val="16"/>
                <w:szCs w:val="16"/>
              </w:rPr>
              <w:t>Developed</w:t>
            </w:r>
            <w:proofErr w:type="spellEnd"/>
            <w:r w:rsidR="552CE4D7">
              <w:rPr>
                <w:color w:val="000000"/>
                <w:sz w:val="16"/>
                <w:szCs w:val="16"/>
              </w:rPr>
              <w:t xml:space="preserve"> Countries</w:t>
            </w:r>
          </w:p>
        </w:tc>
      </w:tr>
      <w:tr w:rsidR="004F7DB3" w14:paraId="01192A6D"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1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1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16" w14:textId="77777777" w:rsidR="004F7DB3" w:rsidRDefault="00C00123">
            <w:pPr>
              <w:spacing w:after="0" w:line="240" w:lineRule="auto"/>
              <w:jc w:val="both"/>
              <w:rPr>
                <w:b/>
                <w:color w:val="000000"/>
                <w:sz w:val="16"/>
                <w:szCs w:val="16"/>
              </w:rPr>
            </w:pPr>
            <w:r>
              <w:rPr>
                <w:b/>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17" w14:textId="77777777" w:rsidR="004F7DB3" w:rsidRDefault="00000000">
            <w:pPr>
              <w:spacing w:after="0" w:line="240" w:lineRule="auto"/>
              <w:jc w:val="both"/>
              <w:rPr>
                <w:color w:val="000000"/>
                <w:sz w:val="16"/>
                <w:szCs w:val="16"/>
              </w:rPr>
            </w:pPr>
            <w:sdt>
              <w:sdtPr>
                <w:tag w:val="goog_rdk_259"/>
                <w:id w:val="-1950771364"/>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Small Island </w:t>
            </w:r>
            <w:proofErr w:type="spellStart"/>
            <w:r w:rsidR="552CE4D7">
              <w:rPr>
                <w:color w:val="000000"/>
                <w:sz w:val="16"/>
                <w:szCs w:val="16"/>
              </w:rPr>
              <w:t>Developing</w:t>
            </w:r>
            <w:proofErr w:type="spellEnd"/>
            <w:r w:rsidR="552CE4D7">
              <w:rPr>
                <w:color w:val="000000"/>
                <w:sz w:val="16"/>
                <w:szCs w:val="16"/>
              </w:rPr>
              <w:t xml:space="preserve"> States</w:t>
            </w:r>
          </w:p>
        </w:tc>
      </w:tr>
      <w:tr w:rsidR="004F7DB3" w14:paraId="2F84E19B" w14:textId="77777777" w:rsidTr="5D8904BE">
        <w:trPr>
          <w:trHeight w:val="89"/>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1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1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1A" w14:textId="77777777" w:rsidR="004F7DB3" w:rsidRDefault="00C00123">
            <w:pPr>
              <w:spacing w:after="0" w:line="240" w:lineRule="auto"/>
              <w:jc w:val="both"/>
              <w:rPr>
                <w:b/>
                <w:color w:val="000000"/>
                <w:sz w:val="16"/>
                <w:szCs w:val="16"/>
              </w:rPr>
            </w:pPr>
            <w:r>
              <w:rPr>
                <w:b/>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1B" w14:textId="77777777" w:rsidR="004F7DB3" w:rsidRDefault="00000000">
            <w:pPr>
              <w:spacing w:after="0" w:line="240" w:lineRule="auto"/>
              <w:jc w:val="both"/>
              <w:rPr>
                <w:color w:val="000000"/>
                <w:sz w:val="16"/>
                <w:szCs w:val="16"/>
              </w:rPr>
            </w:pPr>
            <w:sdt>
              <w:sdtPr>
                <w:tag w:val="goog_rdk_260"/>
                <w:id w:val="2063142914"/>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Disaster</w:t>
            </w:r>
            <w:proofErr w:type="spellEnd"/>
            <w:r w:rsidR="00C00123">
              <w:rPr>
                <w:color w:val="000000"/>
                <w:sz w:val="16"/>
                <w:szCs w:val="16"/>
              </w:rPr>
              <w:t xml:space="preserve"> Risk Management</w:t>
            </w:r>
          </w:p>
        </w:tc>
      </w:tr>
      <w:tr w:rsidR="004F7DB3" w14:paraId="77BD5C2A"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1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1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1E" w14:textId="77777777" w:rsidR="004F7DB3" w:rsidRDefault="00C00123">
            <w:pPr>
              <w:spacing w:after="0" w:line="240" w:lineRule="auto"/>
              <w:jc w:val="both"/>
              <w:rPr>
                <w:b/>
                <w:color w:val="000000"/>
                <w:sz w:val="16"/>
                <w:szCs w:val="16"/>
              </w:rPr>
            </w:pPr>
            <w:r>
              <w:rPr>
                <w:b/>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1F" w14:textId="77777777" w:rsidR="004F7DB3" w:rsidRDefault="00000000">
            <w:pPr>
              <w:spacing w:after="0" w:line="240" w:lineRule="auto"/>
              <w:jc w:val="both"/>
              <w:rPr>
                <w:color w:val="000000"/>
                <w:sz w:val="16"/>
                <w:szCs w:val="16"/>
              </w:rPr>
            </w:pPr>
            <w:sdt>
              <w:sdtPr>
                <w:tag w:val="goog_rdk_261"/>
                <w:id w:val="798963387"/>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Sea-level</w:t>
            </w:r>
            <w:proofErr w:type="spellEnd"/>
            <w:r w:rsidR="552CE4D7">
              <w:rPr>
                <w:color w:val="000000"/>
                <w:sz w:val="16"/>
                <w:szCs w:val="16"/>
              </w:rPr>
              <w:t xml:space="preserve"> </w:t>
            </w:r>
            <w:proofErr w:type="spellStart"/>
            <w:r w:rsidR="552CE4D7">
              <w:rPr>
                <w:color w:val="000000"/>
                <w:sz w:val="16"/>
                <w:szCs w:val="16"/>
              </w:rPr>
              <w:t>rise</w:t>
            </w:r>
            <w:proofErr w:type="spellEnd"/>
          </w:p>
        </w:tc>
      </w:tr>
      <w:tr w:rsidR="004F7DB3" w14:paraId="57BF6599"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20"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vAlign w:val="bottom"/>
          </w:tcPr>
          <w:p w14:paraId="00001921" w14:textId="77777777" w:rsidR="004F7DB3" w:rsidRDefault="004F7DB3">
            <w:pPr>
              <w:spacing w:after="0" w:line="240" w:lineRule="auto"/>
              <w:jc w:val="both"/>
              <w:rPr>
                <w:b/>
                <w:color w:val="000000"/>
                <w:sz w:val="16"/>
                <w:szCs w:val="16"/>
              </w:rPr>
            </w:pPr>
          </w:p>
        </w:tc>
        <w:tc>
          <w:tcPr>
            <w:tcW w:w="2541" w:type="dxa"/>
            <w:tcBorders>
              <w:top w:val="nil"/>
              <w:left w:val="nil"/>
              <w:bottom w:val="single" w:sz="4" w:space="0" w:color="000000" w:themeColor="text1"/>
              <w:right w:val="single" w:sz="4" w:space="0" w:color="000000" w:themeColor="text1"/>
            </w:tcBorders>
          </w:tcPr>
          <w:p w14:paraId="00001922" w14:textId="77777777" w:rsidR="004F7DB3" w:rsidRDefault="004F7DB3">
            <w:pPr>
              <w:spacing w:after="0" w:line="240" w:lineRule="auto"/>
              <w:jc w:val="both"/>
              <w:rPr>
                <w:b/>
                <w:color w:val="000000"/>
                <w:sz w:val="16"/>
                <w:szCs w:val="16"/>
              </w:rPr>
            </w:pPr>
          </w:p>
        </w:tc>
        <w:tc>
          <w:tcPr>
            <w:tcW w:w="2751" w:type="dxa"/>
            <w:tcBorders>
              <w:top w:val="nil"/>
              <w:left w:val="nil"/>
              <w:bottom w:val="single" w:sz="4" w:space="0" w:color="000000" w:themeColor="text1"/>
              <w:right w:val="single" w:sz="4" w:space="0" w:color="000000" w:themeColor="text1"/>
            </w:tcBorders>
          </w:tcPr>
          <w:p w14:paraId="00001923" w14:textId="2991A51D" w:rsidR="004F7DB3" w:rsidRDefault="00000000">
            <w:pPr>
              <w:spacing w:after="0" w:line="240" w:lineRule="auto"/>
              <w:jc w:val="both"/>
              <w:rPr>
                <w:color w:val="000000"/>
                <w:sz w:val="16"/>
                <w:szCs w:val="16"/>
              </w:rPr>
            </w:pPr>
            <w:sdt>
              <w:sdtPr>
                <w:tag w:val="goog_rdk_262"/>
                <w:id w:val="1829404284"/>
              </w:sdtPr>
              <w:sdtContent>
                <w:proofErr w:type="spellStart"/>
                <w:r w:rsidR="28569BB8">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Climate</w:t>
            </w:r>
            <w:proofErr w:type="spellEnd"/>
            <w:r w:rsidR="352EB93F">
              <w:rPr>
                <w:color w:val="000000"/>
                <w:sz w:val="16"/>
                <w:szCs w:val="16"/>
              </w:rPr>
              <w:t xml:space="preserve"> </w:t>
            </w:r>
            <w:proofErr w:type="spellStart"/>
            <w:r w:rsidR="352EB93F">
              <w:rPr>
                <w:color w:val="000000"/>
                <w:sz w:val="16"/>
                <w:szCs w:val="16"/>
              </w:rPr>
              <w:t>Resilience</w:t>
            </w:r>
            <w:proofErr w:type="spellEnd"/>
          </w:p>
        </w:tc>
      </w:tr>
      <w:tr w:rsidR="004F7DB3" w14:paraId="281624BE"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2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2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26" w14:textId="77777777" w:rsidR="004F7DB3" w:rsidRDefault="00C00123">
            <w:pPr>
              <w:spacing w:after="0" w:line="240" w:lineRule="auto"/>
              <w:jc w:val="both"/>
              <w:rPr>
                <w:b/>
                <w:color w:val="000000"/>
                <w:sz w:val="16"/>
                <w:szCs w:val="16"/>
              </w:rPr>
            </w:pPr>
            <w:r>
              <w:rPr>
                <w:b/>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27" w14:textId="77777777" w:rsidR="004F7DB3" w:rsidRDefault="00000000">
            <w:pPr>
              <w:spacing w:after="0" w:line="240" w:lineRule="auto"/>
              <w:jc w:val="both"/>
              <w:rPr>
                <w:color w:val="000000"/>
                <w:sz w:val="16"/>
                <w:szCs w:val="16"/>
              </w:rPr>
            </w:pPr>
            <w:sdt>
              <w:sdtPr>
                <w:tag w:val="goog_rdk_263"/>
                <w:id w:val="-917328359"/>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Climate</w:t>
            </w:r>
            <w:proofErr w:type="spellEnd"/>
            <w:r w:rsidR="00C00123">
              <w:rPr>
                <w:color w:val="000000"/>
                <w:sz w:val="16"/>
                <w:szCs w:val="16"/>
              </w:rPr>
              <w:t xml:space="preserve"> information</w:t>
            </w:r>
          </w:p>
        </w:tc>
      </w:tr>
      <w:tr w:rsidR="004F7DB3" w14:paraId="432B57BC"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2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2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2A" w14:textId="77777777" w:rsidR="004F7DB3" w:rsidRDefault="00C00123">
            <w:pPr>
              <w:spacing w:after="0" w:line="240" w:lineRule="auto"/>
              <w:jc w:val="both"/>
              <w:rPr>
                <w:b/>
                <w:color w:val="000000"/>
                <w:sz w:val="16"/>
                <w:szCs w:val="16"/>
              </w:rPr>
            </w:pPr>
            <w:r>
              <w:rPr>
                <w:b/>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2B" w14:textId="77777777" w:rsidR="004F7DB3" w:rsidRDefault="00000000">
            <w:pPr>
              <w:spacing w:after="0" w:line="240" w:lineRule="auto"/>
              <w:jc w:val="both"/>
              <w:rPr>
                <w:color w:val="000000"/>
                <w:sz w:val="16"/>
                <w:szCs w:val="16"/>
              </w:rPr>
            </w:pPr>
            <w:sdt>
              <w:sdtPr>
                <w:tag w:val="goog_rdk_264"/>
                <w:id w:val="-384331323"/>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Ecosystem-based</w:t>
            </w:r>
            <w:proofErr w:type="spellEnd"/>
            <w:r w:rsidR="552CE4D7">
              <w:rPr>
                <w:color w:val="000000"/>
                <w:sz w:val="16"/>
                <w:szCs w:val="16"/>
              </w:rPr>
              <w:t xml:space="preserve"> Adaptation</w:t>
            </w:r>
          </w:p>
        </w:tc>
      </w:tr>
      <w:tr w:rsidR="004F7DB3" w14:paraId="61CF9A87"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2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2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2E" w14:textId="77777777" w:rsidR="004F7DB3" w:rsidRDefault="00C00123">
            <w:pPr>
              <w:spacing w:after="0" w:line="240" w:lineRule="auto"/>
              <w:jc w:val="both"/>
              <w:rPr>
                <w:b/>
                <w:color w:val="000000"/>
                <w:sz w:val="16"/>
                <w:szCs w:val="16"/>
              </w:rPr>
            </w:pPr>
            <w:r>
              <w:rPr>
                <w:b/>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2F" w14:textId="77777777" w:rsidR="004F7DB3" w:rsidRDefault="00000000">
            <w:pPr>
              <w:spacing w:after="0" w:line="240" w:lineRule="auto"/>
              <w:jc w:val="both"/>
              <w:rPr>
                <w:color w:val="000000"/>
                <w:sz w:val="16"/>
                <w:szCs w:val="16"/>
              </w:rPr>
            </w:pPr>
            <w:sdt>
              <w:sdtPr>
                <w:tag w:val="goog_rdk_265"/>
                <w:id w:val="-509451143"/>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Adaptation Tech Transfer</w:t>
            </w:r>
          </w:p>
        </w:tc>
      </w:tr>
      <w:tr w:rsidR="004F7DB3" w14:paraId="7F30FBBA"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3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3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32" w14:textId="77777777" w:rsidR="004F7DB3" w:rsidRDefault="00C00123">
            <w:pPr>
              <w:spacing w:after="0" w:line="240" w:lineRule="auto"/>
              <w:jc w:val="both"/>
              <w:rPr>
                <w:b/>
                <w:color w:val="000000"/>
                <w:sz w:val="16"/>
                <w:szCs w:val="16"/>
              </w:rPr>
            </w:pPr>
            <w:r>
              <w:rPr>
                <w:b/>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33" w14:textId="77777777" w:rsidR="004F7DB3" w:rsidRDefault="00000000">
            <w:pPr>
              <w:spacing w:after="0" w:line="240" w:lineRule="auto"/>
              <w:ind w:left="192" w:hanging="192"/>
              <w:jc w:val="both"/>
              <w:rPr>
                <w:color w:val="000000"/>
                <w:sz w:val="16"/>
                <w:szCs w:val="16"/>
              </w:rPr>
            </w:pPr>
            <w:sdt>
              <w:sdtPr>
                <w:tag w:val="goog_rdk_266"/>
                <w:id w:val="-389042185"/>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National Adaptation Programme of Action</w:t>
            </w:r>
          </w:p>
        </w:tc>
      </w:tr>
      <w:tr w:rsidR="004F7DB3" w14:paraId="0D2001C1"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3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3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36" w14:textId="77777777" w:rsidR="004F7DB3" w:rsidRDefault="00C00123">
            <w:pPr>
              <w:spacing w:after="0" w:line="240" w:lineRule="auto"/>
              <w:jc w:val="both"/>
              <w:rPr>
                <w:b/>
                <w:color w:val="000000"/>
                <w:sz w:val="16"/>
                <w:szCs w:val="16"/>
              </w:rPr>
            </w:pPr>
            <w:r>
              <w:rPr>
                <w:b/>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37" w14:textId="77777777" w:rsidR="004F7DB3" w:rsidRDefault="00000000">
            <w:pPr>
              <w:spacing w:after="0" w:line="240" w:lineRule="auto"/>
              <w:jc w:val="both"/>
              <w:rPr>
                <w:color w:val="000000"/>
                <w:sz w:val="16"/>
                <w:szCs w:val="16"/>
              </w:rPr>
            </w:pPr>
            <w:sdt>
              <w:sdtPr>
                <w:tag w:val="goog_rdk_267"/>
                <w:id w:val="711698583"/>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National Adaptation Plan</w:t>
            </w:r>
          </w:p>
        </w:tc>
      </w:tr>
      <w:tr w:rsidR="004F7DB3" w14:paraId="23823081"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3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3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3A" w14:textId="77777777" w:rsidR="004F7DB3" w:rsidRDefault="00C00123">
            <w:pPr>
              <w:spacing w:after="0" w:line="240" w:lineRule="auto"/>
              <w:jc w:val="both"/>
              <w:rPr>
                <w:b/>
                <w:color w:val="000000"/>
                <w:sz w:val="16"/>
                <w:szCs w:val="16"/>
              </w:rPr>
            </w:pPr>
            <w:r>
              <w:rPr>
                <w:b/>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3B" w14:textId="77777777" w:rsidR="004F7DB3" w:rsidRDefault="00000000">
            <w:pPr>
              <w:spacing w:after="0" w:line="240" w:lineRule="auto"/>
              <w:jc w:val="both"/>
              <w:rPr>
                <w:color w:val="000000"/>
                <w:sz w:val="16"/>
                <w:szCs w:val="16"/>
              </w:rPr>
            </w:pPr>
            <w:sdt>
              <w:sdtPr>
                <w:tag w:val="goog_rdk_268"/>
                <w:id w:val="1071623458"/>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Mainstreaming</w:t>
            </w:r>
            <w:proofErr w:type="spellEnd"/>
            <w:r w:rsidR="552CE4D7">
              <w:rPr>
                <w:color w:val="000000"/>
                <w:sz w:val="16"/>
                <w:szCs w:val="16"/>
              </w:rPr>
              <w:t xml:space="preserve"> Adaptation</w:t>
            </w:r>
          </w:p>
        </w:tc>
      </w:tr>
      <w:tr w:rsidR="004F7DB3" w14:paraId="132C8D75"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3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3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3E" w14:textId="77777777" w:rsidR="004F7DB3" w:rsidRDefault="00C00123">
            <w:pPr>
              <w:spacing w:after="0" w:line="240" w:lineRule="auto"/>
              <w:jc w:val="both"/>
              <w:rPr>
                <w:b/>
                <w:color w:val="000000"/>
                <w:sz w:val="16"/>
                <w:szCs w:val="16"/>
              </w:rPr>
            </w:pPr>
            <w:r>
              <w:rPr>
                <w:b/>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3F" w14:textId="77777777" w:rsidR="004F7DB3" w:rsidRDefault="00000000">
            <w:pPr>
              <w:spacing w:after="0" w:line="240" w:lineRule="auto"/>
              <w:jc w:val="both"/>
              <w:rPr>
                <w:color w:val="000000"/>
                <w:sz w:val="16"/>
                <w:szCs w:val="16"/>
              </w:rPr>
            </w:pPr>
            <w:sdt>
              <w:sdtPr>
                <w:tag w:val="goog_rdk_269"/>
                <w:id w:val="-1458172264"/>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Private</w:t>
            </w:r>
            <w:proofErr w:type="spellEnd"/>
            <w:r w:rsidR="552CE4D7">
              <w:rPr>
                <w:color w:val="000000"/>
                <w:sz w:val="16"/>
                <w:szCs w:val="16"/>
              </w:rPr>
              <w:t xml:space="preserve"> </w:t>
            </w:r>
            <w:proofErr w:type="spellStart"/>
            <w:r w:rsidR="552CE4D7">
              <w:rPr>
                <w:color w:val="000000"/>
                <w:sz w:val="16"/>
                <w:szCs w:val="16"/>
              </w:rPr>
              <w:t>Sector</w:t>
            </w:r>
            <w:proofErr w:type="spellEnd"/>
          </w:p>
        </w:tc>
      </w:tr>
      <w:tr w:rsidR="004F7DB3" w14:paraId="361A3E3C"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4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4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42" w14:textId="77777777" w:rsidR="004F7DB3" w:rsidRDefault="00C00123">
            <w:pPr>
              <w:spacing w:after="0" w:line="240" w:lineRule="auto"/>
              <w:jc w:val="both"/>
              <w:rPr>
                <w:b/>
                <w:color w:val="000000"/>
                <w:sz w:val="16"/>
                <w:szCs w:val="16"/>
              </w:rPr>
            </w:pPr>
            <w:r>
              <w:rPr>
                <w:b/>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43" w14:textId="77777777" w:rsidR="004F7DB3" w:rsidRDefault="00000000">
            <w:pPr>
              <w:spacing w:after="0" w:line="240" w:lineRule="auto"/>
              <w:jc w:val="both"/>
              <w:rPr>
                <w:color w:val="000000"/>
                <w:sz w:val="16"/>
                <w:szCs w:val="16"/>
              </w:rPr>
            </w:pPr>
            <w:sdt>
              <w:sdtPr>
                <w:tag w:val="goog_rdk_270"/>
                <w:id w:val="1584803898"/>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Innovation</w:t>
            </w:r>
          </w:p>
        </w:tc>
      </w:tr>
      <w:tr w:rsidR="004F7DB3" w14:paraId="360F3235"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4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4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46" w14:textId="77777777" w:rsidR="004F7DB3" w:rsidRDefault="00C00123">
            <w:pPr>
              <w:spacing w:after="0" w:line="240" w:lineRule="auto"/>
              <w:jc w:val="both"/>
              <w:rPr>
                <w:b/>
                <w:color w:val="000000"/>
                <w:sz w:val="16"/>
                <w:szCs w:val="16"/>
              </w:rPr>
            </w:pPr>
            <w:r>
              <w:rPr>
                <w:b/>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47" w14:textId="77777777" w:rsidR="004F7DB3" w:rsidRDefault="00000000">
            <w:pPr>
              <w:spacing w:after="0" w:line="240" w:lineRule="auto"/>
              <w:jc w:val="both"/>
              <w:rPr>
                <w:color w:val="000000"/>
                <w:sz w:val="16"/>
                <w:szCs w:val="16"/>
              </w:rPr>
            </w:pPr>
            <w:sdt>
              <w:sdtPr>
                <w:tag w:val="goog_rdk_271"/>
                <w:id w:val="1336186051"/>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Complementarity</w:t>
            </w:r>
            <w:proofErr w:type="spellEnd"/>
          </w:p>
        </w:tc>
      </w:tr>
      <w:tr w:rsidR="004F7DB3" w14:paraId="30F61678"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4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4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4A" w14:textId="77777777" w:rsidR="004F7DB3" w:rsidRDefault="00C00123">
            <w:pPr>
              <w:spacing w:after="0" w:line="240" w:lineRule="auto"/>
              <w:jc w:val="both"/>
              <w:rPr>
                <w:b/>
                <w:color w:val="000000"/>
                <w:sz w:val="16"/>
                <w:szCs w:val="16"/>
              </w:rPr>
            </w:pPr>
            <w:r>
              <w:rPr>
                <w:b/>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4B" w14:textId="6A68D76E" w:rsidR="004F7DB3" w:rsidRDefault="00000000">
            <w:pPr>
              <w:spacing w:after="0" w:line="240" w:lineRule="auto"/>
              <w:jc w:val="both"/>
              <w:rPr>
                <w:color w:val="000000"/>
                <w:sz w:val="16"/>
                <w:szCs w:val="16"/>
              </w:rPr>
            </w:pPr>
            <w:sdt>
              <w:sdtPr>
                <w:tag w:val="goog_rdk_272"/>
                <w:id w:val="786131"/>
              </w:sdtPr>
              <w:sdtContent>
                <w:proofErr w:type="spellStart"/>
                <w:r w:rsidR="0179220A">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Community-based</w:t>
            </w:r>
            <w:proofErr w:type="spellEnd"/>
            <w:r w:rsidR="352EB93F">
              <w:rPr>
                <w:color w:val="000000"/>
                <w:sz w:val="16"/>
                <w:szCs w:val="16"/>
              </w:rPr>
              <w:t xml:space="preserve"> Adaptation</w:t>
            </w:r>
          </w:p>
        </w:tc>
      </w:tr>
      <w:tr w:rsidR="004F7DB3" w14:paraId="1BABD37F"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4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4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4E" w14:textId="77777777" w:rsidR="004F7DB3" w:rsidRDefault="00C00123">
            <w:pPr>
              <w:spacing w:after="0" w:line="240" w:lineRule="auto"/>
              <w:jc w:val="both"/>
              <w:rPr>
                <w:b/>
                <w:color w:val="000000"/>
                <w:sz w:val="16"/>
                <w:szCs w:val="16"/>
              </w:rPr>
            </w:pPr>
            <w:r>
              <w:rPr>
                <w:b/>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4F" w14:textId="6DD7B992" w:rsidR="004F7DB3" w:rsidRDefault="00000000">
            <w:pPr>
              <w:spacing w:after="0" w:line="240" w:lineRule="auto"/>
              <w:jc w:val="both"/>
              <w:rPr>
                <w:color w:val="000000"/>
                <w:sz w:val="16"/>
                <w:szCs w:val="16"/>
              </w:rPr>
            </w:pPr>
            <w:sdt>
              <w:sdtPr>
                <w:tag w:val="goog_rdk_273"/>
                <w:id w:val="-678419544"/>
              </w:sdtPr>
              <w:sdtContent>
                <w:proofErr w:type="spellStart"/>
                <w:r w:rsidR="235D629C">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Livelihoods</w:t>
            </w:r>
            <w:proofErr w:type="spellEnd"/>
          </w:p>
        </w:tc>
      </w:tr>
      <w:tr w:rsidR="004F7DB3" w14:paraId="62062571" w14:textId="77777777" w:rsidTr="5D8904BE">
        <w:trPr>
          <w:trHeight w:val="134"/>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5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5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52" w14:textId="0A045165" w:rsidR="004F7DB3" w:rsidRDefault="00000000" w:rsidP="24AA8F7E">
            <w:pPr>
              <w:spacing w:after="0" w:line="240" w:lineRule="auto"/>
              <w:jc w:val="both"/>
              <w:rPr>
                <w:b/>
                <w:bCs/>
                <w:color w:val="000000"/>
                <w:sz w:val="16"/>
                <w:szCs w:val="16"/>
              </w:rPr>
            </w:pPr>
            <w:sdt>
              <w:sdtPr>
                <w:tag w:val="goog_rdk_274"/>
                <w:id w:val="1404722336"/>
              </w:sdtPr>
              <w:sdtContent>
                <w:proofErr w:type="spellStart"/>
                <w:r w:rsidR="53FDABB3">
                  <w:rPr>
                    <w:rFonts w:ascii="Arial Unicode MS" w:eastAsia="Arial Unicode MS" w:hAnsi="Arial Unicode MS" w:cs="Arial Unicode MS"/>
                    <w:color w:val="000000"/>
                    <w:sz w:val="16"/>
                    <w:szCs w:val="16"/>
                    <w:shd w:val="clear" w:color="auto" w:fill="E6E6E6"/>
                  </w:rPr>
                  <w:t>X</w:t>
                </w:r>
              </w:sdtContent>
            </w:sdt>
            <w:r w:rsidR="352EB93F" w:rsidRPr="24AA8F7E">
              <w:rPr>
                <w:b/>
                <w:bCs/>
                <w:color w:val="000000"/>
                <w:sz w:val="16"/>
                <w:szCs w:val="16"/>
              </w:rPr>
              <w:t>Climate</w:t>
            </w:r>
            <w:proofErr w:type="spellEnd"/>
            <w:r w:rsidR="352EB93F" w:rsidRPr="24AA8F7E">
              <w:rPr>
                <w:b/>
                <w:bCs/>
                <w:color w:val="000000"/>
                <w:sz w:val="16"/>
                <w:szCs w:val="16"/>
              </w:rPr>
              <w:t xml:space="preserve"> Change Mitigation</w:t>
            </w:r>
          </w:p>
        </w:tc>
        <w:tc>
          <w:tcPr>
            <w:tcW w:w="2751" w:type="dxa"/>
            <w:tcBorders>
              <w:top w:val="nil"/>
              <w:left w:val="nil"/>
              <w:bottom w:val="single" w:sz="4" w:space="0" w:color="000000" w:themeColor="text1"/>
              <w:right w:val="single" w:sz="4" w:space="0" w:color="000000" w:themeColor="text1"/>
            </w:tcBorders>
          </w:tcPr>
          <w:p w14:paraId="00001953" w14:textId="77777777" w:rsidR="004F7DB3" w:rsidRDefault="004F7DB3">
            <w:pPr>
              <w:spacing w:after="0" w:line="240" w:lineRule="auto"/>
              <w:jc w:val="both"/>
              <w:rPr>
                <w:color w:val="000000"/>
                <w:sz w:val="16"/>
                <w:szCs w:val="16"/>
              </w:rPr>
            </w:pPr>
          </w:p>
        </w:tc>
      </w:tr>
      <w:tr w:rsidR="004F7DB3" w:rsidRPr="00F50786" w14:paraId="5A2F8357" w14:textId="77777777" w:rsidTr="5D8904BE">
        <w:trPr>
          <w:trHeight w:val="134"/>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54"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vAlign w:val="bottom"/>
          </w:tcPr>
          <w:p w14:paraId="00001955" w14:textId="77777777" w:rsidR="004F7DB3" w:rsidRDefault="004F7DB3">
            <w:pPr>
              <w:spacing w:after="0" w:line="240" w:lineRule="auto"/>
              <w:jc w:val="both"/>
              <w:rPr>
                <w:b/>
                <w:color w:val="000000"/>
                <w:sz w:val="16"/>
                <w:szCs w:val="16"/>
              </w:rPr>
            </w:pPr>
          </w:p>
        </w:tc>
        <w:tc>
          <w:tcPr>
            <w:tcW w:w="2541" w:type="dxa"/>
            <w:tcBorders>
              <w:top w:val="nil"/>
              <w:left w:val="nil"/>
              <w:bottom w:val="single" w:sz="4" w:space="0" w:color="000000" w:themeColor="text1"/>
              <w:right w:val="single" w:sz="4" w:space="0" w:color="000000" w:themeColor="text1"/>
            </w:tcBorders>
          </w:tcPr>
          <w:p w14:paraId="00001956" w14:textId="77777777" w:rsidR="004F7DB3" w:rsidRDefault="004F7DB3">
            <w:pPr>
              <w:spacing w:after="0" w:line="240" w:lineRule="auto"/>
              <w:jc w:val="both"/>
              <w:rPr>
                <w:color w:val="000000"/>
                <w:sz w:val="16"/>
                <w:szCs w:val="16"/>
              </w:rPr>
            </w:pPr>
          </w:p>
        </w:tc>
        <w:tc>
          <w:tcPr>
            <w:tcW w:w="2751" w:type="dxa"/>
            <w:tcBorders>
              <w:top w:val="nil"/>
              <w:left w:val="nil"/>
              <w:bottom w:val="single" w:sz="4" w:space="0" w:color="000000" w:themeColor="text1"/>
              <w:right w:val="single" w:sz="4" w:space="0" w:color="000000" w:themeColor="text1"/>
            </w:tcBorders>
          </w:tcPr>
          <w:p w14:paraId="00001957" w14:textId="294035BC" w:rsidR="004F7DB3" w:rsidRPr="00C00123" w:rsidRDefault="00000000">
            <w:pPr>
              <w:spacing w:after="0" w:line="240" w:lineRule="auto"/>
              <w:ind w:left="192" w:hanging="192"/>
              <w:jc w:val="both"/>
              <w:rPr>
                <w:color w:val="000000"/>
                <w:sz w:val="16"/>
                <w:szCs w:val="16"/>
                <w:lang w:val="en-US"/>
              </w:rPr>
            </w:pPr>
            <w:sdt>
              <w:sdtPr>
                <w:tag w:val="goog_rdk_275"/>
                <w:id w:val="1101922354"/>
              </w:sdtPr>
              <w:sdtContent>
                <w:proofErr w:type="spellStart"/>
                <w:r w:rsidR="48A0BEC2" w:rsidRPr="00C00123">
                  <w:rPr>
                    <w:rFonts w:ascii="Arial Unicode MS" w:eastAsia="Arial Unicode MS" w:hAnsi="Arial Unicode MS" w:cs="Arial Unicode MS"/>
                    <w:color w:val="000000"/>
                    <w:sz w:val="16"/>
                    <w:szCs w:val="16"/>
                    <w:shd w:val="clear" w:color="auto" w:fill="E6E6E6"/>
                    <w:lang w:val="en-US"/>
                  </w:rPr>
                  <w:t>X</w:t>
                </w:r>
              </w:sdtContent>
            </w:sdt>
            <w:r w:rsidR="352EB93F" w:rsidRPr="00C00123">
              <w:rPr>
                <w:color w:val="000000"/>
                <w:sz w:val="16"/>
                <w:szCs w:val="16"/>
                <w:lang w:val="en-US"/>
              </w:rPr>
              <w:t>Agriculture</w:t>
            </w:r>
            <w:proofErr w:type="spellEnd"/>
            <w:r w:rsidR="352EB93F" w:rsidRPr="00C00123">
              <w:rPr>
                <w:color w:val="000000"/>
                <w:sz w:val="16"/>
                <w:szCs w:val="16"/>
                <w:lang w:val="en-US"/>
              </w:rPr>
              <w:t>, Forestry, and other Land Use</w:t>
            </w:r>
          </w:p>
        </w:tc>
      </w:tr>
      <w:tr w:rsidR="004F7DB3" w14:paraId="09EE7612"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58"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vAlign w:val="bottom"/>
          </w:tcPr>
          <w:p w14:paraId="00001959"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95A"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95B" w14:textId="77777777" w:rsidR="004F7DB3" w:rsidRDefault="00000000">
            <w:pPr>
              <w:spacing w:after="0" w:line="240" w:lineRule="auto"/>
              <w:jc w:val="both"/>
              <w:rPr>
                <w:color w:val="000000"/>
                <w:sz w:val="16"/>
                <w:szCs w:val="16"/>
              </w:rPr>
            </w:pPr>
            <w:sdt>
              <w:sdtPr>
                <w:tag w:val="goog_rdk_276"/>
                <w:id w:val="-677586135"/>
              </w:sdtPr>
              <w:sdtContent>
                <w:r w:rsidR="552CE4D7">
                  <w:rPr>
                    <w:rFonts w:ascii="Arial Unicode MS" w:eastAsia="Arial Unicode MS" w:hAnsi="Arial Unicode MS" w:cs="Arial Unicode MS"/>
                    <w:color w:val="000000"/>
                    <w:sz w:val="16"/>
                    <w:szCs w:val="16"/>
                    <w:shd w:val="clear" w:color="auto" w:fill="E6E6E6"/>
                  </w:rPr>
                  <w:t>☐</w:t>
                </w:r>
              </w:sdtContent>
            </w:sdt>
            <w:r w:rsidR="552CE4D7">
              <w:rPr>
                <w:color w:val="000000"/>
                <w:sz w:val="16"/>
                <w:szCs w:val="16"/>
              </w:rPr>
              <w:t xml:space="preserve">Energy </w:t>
            </w:r>
            <w:proofErr w:type="spellStart"/>
            <w:r w:rsidR="552CE4D7">
              <w:rPr>
                <w:color w:val="000000"/>
                <w:sz w:val="16"/>
                <w:szCs w:val="16"/>
              </w:rPr>
              <w:t>Efficiency</w:t>
            </w:r>
            <w:proofErr w:type="spellEnd"/>
          </w:p>
        </w:tc>
      </w:tr>
      <w:tr w:rsidR="004F7DB3" w:rsidRPr="00F50786" w14:paraId="3C537F3E" w14:textId="77777777" w:rsidTr="5D8904BE">
        <w:trPr>
          <w:trHeight w:val="215"/>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5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5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5E" w14:textId="77777777" w:rsidR="004F7DB3" w:rsidRDefault="00C00123">
            <w:pPr>
              <w:spacing w:after="0" w:line="240" w:lineRule="auto"/>
              <w:jc w:val="both"/>
              <w:rPr>
                <w:b/>
                <w:color w:val="000000"/>
                <w:sz w:val="16"/>
                <w:szCs w:val="16"/>
              </w:rPr>
            </w:pPr>
            <w:r>
              <w:rPr>
                <w:b/>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5F" w14:textId="7BECBD1C" w:rsidR="004F7DB3" w:rsidRPr="00C00123" w:rsidRDefault="00000000">
            <w:pPr>
              <w:spacing w:after="0" w:line="240" w:lineRule="auto"/>
              <w:ind w:left="192" w:hanging="192"/>
              <w:jc w:val="both"/>
              <w:rPr>
                <w:color w:val="000000"/>
                <w:sz w:val="16"/>
                <w:szCs w:val="16"/>
                <w:lang w:val="en-US"/>
              </w:rPr>
            </w:pPr>
            <w:sdt>
              <w:sdtPr>
                <w:tag w:val="goog_rdk_277"/>
                <w:id w:val="946355336"/>
              </w:sdtPr>
              <w:sdtContent>
                <w:proofErr w:type="spellStart"/>
                <w:r w:rsidR="358076FE" w:rsidRPr="00C00123">
                  <w:rPr>
                    <w:rFonts w:ascii="Arial Unicode MS" w:eastAsia="Arial Unicode MS" w:hAnsi="Arial Unicode MS" w:cs="Arial Unicode MS"/>
                    <w:color w:val="000000"/>
                    <w:sz w:val="16"/>
                    <w:szCs w:val="16"/>
                    <w:shd w:val="clear" w:color="auto" w:fill="E6E6E6"/>
                    <w:lang w:val="en-US"/>
                  </w:rPr>
                  <w:t>X</w:t>
                </w:r>
              </w:sdtContent>
            </w:sdt>
            <w:r w:rsidR="352EB93F" w:rsidRPr="00C00123">
              <w:rPr>
                <w:color w:val="000000"/>
                <w:sz w:val="16"/>
                <w:szCs w:val="16"/>
                <w:lang w:val="en-US"/>
              </w:rPr>
              <w:t>Sustainable</w:t>
            </w:r>
            <w:proofErr w:type="spellEnd"/>
            <w:r w:rsidR="352EB93F" w:rsidRPr="00C00123">
              <w:rPr>
                <w:color w:val="000000"/>
                <w:sz w:val="16"/>
                <w:szCs w:val="16"/>
                <w:lang w:val="en-US"/>
              </w:rPr>
              <w:t xml:space="preserve"> Urban Systems and Transport</w:t>
            </w:r>
          </w:p>
        </w:tc>
      </w:tr>
      <w:tr w:rsidR="004F7DB3" w14:paraId="564F84EE"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60"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vAlign w:val="bottom"/>
          </w:tcPr>
          <w:p w14:paraId="00001961"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962"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963" w14:textId="77777777" w:rsidR="004F7DB3" w:rsidRDefault="00000000">
            <w:pPr>
              <w:spacing w:after="0" w:line="240" w:lineRule="auto"/>
              <w:jc w:val="both"/>
              <w:rPr>
                <w:color w:val="000000"/>
                <w:sz w:val="16"/>
                <w:szCs w:val="16"/>
              </w:rPr>
            </w:pPr>
            <w:sdt>
              <w:sdtPr>
                <w:tag w:val="goog_rdk_278"/>
                <w:id w:val="-729155463"/>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Technology</w:t>
            </w:r>
            <w:proofErr w:type="spellEnd"/>
            <w:r w:rsidR="552CE4D7">
              <w:rPr>
                <w:color w:val="000000"/>
                <w:sz w:val="16"/>
                <w:szCs w:val="16"/>
              </w:rPr>
              <w:t xml:space="preserve"> Transfer</w:t>
            </w:r>
          </w:p>
        </w:tc>
      </w:tr>
      <w:tr w:rsidR="004F7DB3" w14:paraId="7AA37886"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6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6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66" w14:textId="77777777" w:rsidR="004F7DB3" w:rsidRDefault="00C00123">
            <w:pPr>
              <w:spacing w:after="0" w:line="240" w:lineRule="auto"/>
              <w:jc w:val="both"/>
              <w:rPr>
                <w:b/>
                <w:color w:val="000000"/>
                <w:sz w:val="16"/>
                <w:szCs w:val="16"/>
              </w:rPr>
            </w:pPr>
            <w:r>
              <w:rPr>
                <w:b/>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67" w14:textId="148667AA" w:rsidR="004F7DB3" w:rsidRDefault="00000000">
            <w:pPr>
              <w:spacing w:after="0" w:line="240" w:lineRule="auto"/>
              <w:jc w:val="both"/>
              <w:rPr>
                <w:color w:val="000000"/>
                <w:sz w:val="16"/>
                <w:szCs w:val="16"/>
              </w:rPr>
            </w:pPr>
            <w:sdt>
              <w:sdtPr>
                <w:tag w:val="goog_rdk_279"/>
                <w:id w:val="-2024387150"/>
              </w:sdtPr>
              <w:sdtContent>
                <w:proofErr w:type="spellStart"/>
                <w:r w:rsidR="1E44E1D9">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Renewable</w:t>
            </w:r>
            <w:proofErr w:type="spellEnd"/>
            <w:r w:rsidR="352EB93F">
              <w:rPr>
                <w:color w:val="000000"/>
                <w:sz w:val="16"/>
                <w:szCs w:val="16"/>
              </w:rPr>
              <w:t xml:space="preserve"> Energy</w:t>
            </w:r>
          </w:p>
        </w:tc>
      </w:tr>
      <w:tr w:rsidR="004F7DB3" w14:paraId="7F0E8E48"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6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6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6A" w14:textId="77777777" w:rsidR="004F7DB3" w:rsidRDefault="00C00123">
            <w:pPr>
              <w:spacing w:after="0" w:line="240" w:lineRule="auto"/>
              <w:jc w:val="both"/>
              <w:rPr>
                <w:b/>
                <w:color w:val="000000"/>
                <w:sz w:val="16"/>
                <w:szCs w:val="16"/>
              </w:rPr>
            </w:pPr>
            <w:r>
              <w:rPr>
                <w:b/>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6B" w14:textId="77777777" w:rsidR="004F7DB3" w:rsidRDefault="00000000">
            <w:pPr>
              <w:spacing w:after="0" w:line="240" w:lineRule="auto"/>
              <w:jc w:val="both"/>
              <w:rPr>
                <w:color w:val="000000"/>
                <w:sz w:val="16"/>
                <w:szCs w:val="16"/>
              </w:rPr>
            </w:pPr>
            <w:sdt>
              <w:sdtPr>
                <w:tag w:val="goog_rdk_280"/>
                <w:id w:val="-660159939"/>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Financing</w:t>
            </w:r>
            <w:proofErr w:type="spellEnd"/>
          </w:p>
        </w:tc>
      </w:tr>
      <w:tr w:rsidR="004F7DB3" w14:paraId="49178D6A"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6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6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6E" w14:textId="77777777" w:rsidR="004F7DB3" w:rsidRDefault="00C00123">
            <w:pPr>
              <w:spacing w:after="0" w:line="240" w:lineRule="auto"/>
              <w:jc w:val="both"/>
              <w:rPr>
                <w:b/>
                <w:color w:val="000000"/>
                <w:sz w:val="16"/>
                <w:szCs w:val="16"/>
              </w:rPr>
            </w:pPr>
            <w:r>
              <w:rPr>
                <w:b/>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6F" w14:textId="77777777" w:rsidR="004F7DB3" w:rsidRDefault="00000000">
            <w:pPr>
              <w:spacing w:after="0" w:line="240" w:lineRule="auto"/>
              <w:jc w:val="both"/>
              <w:rPr>
                <w:color w:val="000000"/>
                <w:sz w:val="16"/>
                <w:szCs w:val="16"/>
              </w:rPr>
            </w:pPr>
            <w:sdt>
              <w:sdtPr>
                <w:tag w:val="goog_rdk_281"/>
                <w:id w:val="-655762764"/>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Enabling</w:t>
            </w:r>
            <w:proofErr w:type="spellEnd"/>
            <w:r w:rsidR="552CE4D7">
              <w:rPr>
                <w:color w:val="000000"/>
                <w:sz w:val="16"/>
                <w:szCs w:val="16"/>
              </w:rPr>
              <w:t xml:space="preserve"> </w:t>
            </w:r>
            <w:proofErr w:type="spellStart"/>
            <w:r w:rsidR="552CE4D7">
              <w:rPr>
                <w:color w:val="000000"/>
                <w:sz w:val="16"/>
                <w:szCs w:val="16"/>
              </w:rPr>
              <w:t>Activities</w:t>
            </w:r>
            <w:proofErr w:type="spellEnd"/>
          </w:p>
        </w:tc>
      </w:tr>
      <w:tr w:rsidR="004F7DB3" w14:paraId="261F8E9B"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7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7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72" w14:textId="77777777" w:rsidR="004F7DB3" w:rsidRDefault="00000000" w:rsidP="5D8904BE">
            <w:pPr>
              <w:spacing w:after="0" w:line="240" w:lineRule="auto"/>
              <w:jc w:val="both"/>
              <w:rPr>
                <w:b/>
                <w:bCs/>
                <w:color w:val="000000"/>
                <w:sz w:val="16"/>
                <w:szCs w:val="16"/>
              </w:rPr>
            </w:pPr>
            <w:sdt>
              <w:sdtPr>
                <w:tag w:val="goog_rdk_282"/>
                <w:id w:val="1328637900"/>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sidRPr="5D8904BE">
              <w:rPr>
                <w:b/>
                <w:bCs/>
                <w:color w:val="000000"/>
                <w:sz w:val="16"/>
                <w:szCs w:val="16"/>
              </w:rPr>
              <w:t>Technology</w:t>
            </w:r>
            <w:proofErr w:type="spellEnd"/>
            <w:r w:rsidR="552CE4D7" w:rsidRPr="5D8904BE">
              <w:rPr>
                <w:b/>
                <w:bCs/>
                <w:color w:val="000000"/>
                <w:sz w:val="16"/>
                <w:szCs w:val="16"/>
              </w:rPr>
              <w:t xml:space="preserve"> Transfer</w:t>
            </w:r>
          </w:p>
        </w:tc>
        <w:tc>
          <w:tcPr>
            <w:tcW w:w="2751" w:type="dxa"/>
            <w:tcBorders>
              <w:top w:val="nil"/>
              <w:left w:val="nil"/>
              <w:bottom w:val="single" w:sz="4" w:space="0" w:color="000000" w:themeColor="text1"/>
              <w:right w:val="single" w:sz="4" w:space="0" w:color="000000" w:themeColor="text1"/>
            </w:tcBorders>
          </w:tcPr>
          <w:p w14:paraId="00001973" w14:textId="77777777" w:rsidR="004F7DB3" w:rsidRDefault="00C00123">
            <w:pPr>
              <w:spacing w:after="0" w:line="240" w:lineRule="auto"/>
              <w:jc w:val="both"/>
              <w:rPr>
                <w:color w:val="000000"/>
                <w:sz w:val="16"/>
                <w:szCs w:val="16"/>
              </w:rPr>
            </w:pPr>
            <w:r>
              <w:rPr>
                <w:color w:val="000000"/>
                <w:sz w:val="16"/>
                <w:szCs w:val="16"/>
              </w:rPr>
              <w:t> </w:t>
            </w:r>
          </w:p>
        </w:tc>
      </w:tr>
      <w:tr w:rsidR="004F7DB3" w:rsidRPr="00F50786" w14:paraId="27F1D6DF" w14:textId="77777777" w:rsidTr="5D8904BE">
        <w:trPr>
          <w:trHeight w:val="420"/>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7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7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76"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77" w14:textId="77777777" w:rsidR="004F7DB3" w:rsidRPr="00C00123" w:rsidRDefault="00000000">
            <w:pPr>
              <w:spacing w:after="0" w:line="240" w:lineRule="auto"/>
              <w:jc w:val="both"/>
              <w:rPr>
                <w:color w:val="000000"/>
                <w:sz w:val="16"/>
                <w:szCs w:val="16"/>
                <w:lang w:val="en-US"/>
              </w:rPr>
            </w:pPr>
            <w:sdt>
              <w:sdtPr>
                <w:tag w:val="goog_rdk_283"/>
                <w:id w:val="1197274541"/>
              </w:sdtPr>
              <w:sdtContent>
                <w:r w:rsidR="00C00123" w:rsidRPr="00C00123">
                  <w:rPr>
                    <w:rFonts w:ascii="Arial Unicode MS" w:eastAsia="Arial Unicode MS" w:hAnsi="Arial Unicode MS" w:cs="Arial Unicode MS"/>
                    <w:color w:val="000000"/>
                    <w:sz w:val="16"/>
                    <w:szCs w:val="16"/>
                    <w:shd w:val="clear" w:color="auto" w:fill="E6E6E6"/>
                    <w:lang w:val="en-US"/>
                  </w:rPr>
                  <w:t>☐</w:t>
                </w:r>
              </w:sdtContent>
            </w:sdt>
            <w:r w:rsidR="00C00123" w:rsidRPr="00C00123">
              <w:rPr>
                <w:color w:val="000000"/>
                <w:sz w:val="16"/>
                <w:szCs w:val="16"/>
                <w:lang w:val="en-US"/>
              </w:rPr>
              <w:t xml:space="preserve">Poznan Strategic </w:t>
            </w:r>
            <w:proofErr w:type="spellStart"/>
            <w:r w:rsidR="00C00123" w:rsidRPr="00C00123">
              <w:rPr>
                <w:color w:val="000000"/>
                <w:sz w:val="16"/>
                <w:szCs w:val="16"/>
                <w:lang w:val="en-US"/>
              </w:rPr>
              <w:t>Programme</w:t>
            </w:r>
            <w:proofErr w:type="spellEnd"/>
            <w:r w:rsidR="00C00123" w:rsidRPr="00C00123">
              <w:rPr>
                <w:color w:val="000000"/>
                <w:sz w:val="16"/>
                <w:szCs w:val="16"/>
                <w:lang w:val="en-US"/>
              </w:rPr>
              <w:t xml:space="preserve"> on Technology Transfer</w:t>
            </w:r>
          </w:p>
        </w:tc>
      </w:tr>
      <w:tr w:rsidR="004F7DB3" w:rsidRPr="00F50786" w14:paraId="436E2BD6" w14:textId="77777777" w:rsidTr="5D8904BE">
        <w:trPr>
          <w:trHeight w:val="420"/>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78"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vAlign w:val="bottom"/>
          </w:tcPr>
          <w:p w14:paraId="00001979"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97A"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97B" w14:textId="77777777" w:rsidR="004F7DB3" w:rsidRPr="00C00123" w:rsidRDefault="00000000">
            <w:pPr>
              <w:spacing w:after="0" w:line="240" w:lineRule="auto"/>
              <w:jc w:val="both"/>
              <w:rPr>
                <w:color w:val="000000"/>
                <w:sz w:val="16"/>
                <w:szCs w:val="16"/>
                <w:lang w:val="en-US"/>
              </w:rPr>
            </w:pPr>
            <w:sdt>
              <w:sdtPr>
                <w:tag w:val="goog_rdk_284"/>
                <w:id w:val="127520184"/>
              </w:sdtPr>
              <w:sdtContent>
                <w:r w:rsidR="00C00123" w:rsidRPr="00C00123">
                  <w:rPr>
                    <w:rFonts w:ascii="Arial Unicode MS" w:eastAsia="Arial Unicode MS" w:hAnsi="Arial Unicode MS" w:cs="Arial Unicode MS"/>
                    <w:color w:val="000000"/>
                    <w:sz w:val="16"/>
                    <w:szCs w:val="16"/>
                    <w:shd w:val="clear" w:color="auto" w:fill="E6E6E6"/>
                    <w:lang w:val="en-US"/>
                  </w:rPr>
                  <w:t>☐</w:t>
                </w:r>
              </w:sdtContent>
            </w:sdt>
            <w:r w:rsidR="00C00123" w:rsidRPr="00C00123">
              <w:rPr>
                <w:color w:val="000000"/>
                <w:sz w:val="16"/>
                <w:szCs w:val="16"/>
                <w:lang w:val="en-US"/>
              </w:rPr>
              <w:t>Climate Technology Centre &amp; Network (CTCN)</w:t>
            </w:r>
          </w:p>
        </w:tc>
      </w:tr>
      <w:tr w:rsidR="004F7DB3" w14:paraId="49048EF5"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7C"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3286" w:type="dxa"/>
            <w:tcBorders>
              <w:top w:val="nil"/>
              <w:left w:val="nil"/>
              <w:bottom w:val="single" w:sz="4" w:space="0" w:color="000000" w:themeColor="text1"/>
              <w:right w:val="single" w:sz="4" w:space="0" w:color="000000" w:themeColor="text1"/>
            </w:tcBorders>
            <w:vAlign w:val="bottom"/>
          </w:tcPr>
          <w:p w14:paraId="0000197D" w14:textId="77777777" w:rsidR="004F7DB3" w:rsidRPr="00C00123" w:rsidRDefault="00C00123">
            <w:pPr>
              <w:spacing w:after="0" w:line="240" w:lineRule="auto"/>
              <w:jc w:val="both"/>
              <w:rPr>
                <w:b/>
                <w:color w:val="000000"/>
                <w:sz w:val="16"/>
                <w:szCs w:val="16"/>
                <w:lang w:val="en-US"/>
              </w:rPr>
            </w:pPr>
            <w:r w:rsidRPr="00C00123">
              <w:rPr>
                <w:b/>
                <w:color w:val="000000"/>
                <w:sz w:val="16"/>
                <w:szCs w:val="16"/>
                <w:lang w:val="en-US"/>
              </w:rPr>
              <w:t> </w:t>
            </w:r>
          </w:p>
        </w:tc>
        <w:tc>
          <w:tcPr>
            <w:tcW w:w="2541" w:type="dxa"/>
            <w:tcBorders>
              <w:top w:val="nil"/>
              <w:left w:val="nil"/>
              <w:bottom w:val="single" w:sz="4" w:space="0" w:color="000000" w:themeColor="text1"/>
              <w:right w:val="single" w:sz="4" w:space="0" w:color="000000" w:themeColor="text1"/>
            </w:tcBorders>
          </w:tcPr>
          <w:p w14:paraId="0000197E" w14:textId="77777777" w:rsidR="004F7DB3" w:rsidRPr="00C00123" w:rsidRDefault="00C00123">
            <w:pPr>
              <w:spacing w:after="0" w:line="240" w:lineRule="auto"/>
              <w:jc w:val="both"/>
              <w:rPr>
                <w:color w:val="000000"/>
                <w:sz w:val="16"/>
                <w:szCs w:val="16"/>
                <w:lang w:val="en-US"/>
              </w:rPr>
            </w:pPr>
            <w:r w:rsidRPr="00C00123">
              <w:rPr>
                <w:color w:val="000000"/>
                <w:sz w:val="16"/>
                <w:szCs w:val="16"/>
                <w:lang w:val="en-US"/>
              </w:rPr>
              <w:t> </w:t>
            </w:r>
          </w:p>
        </w:tc>
        <w:tc>
          <w:tcPr>
            <w:tcW w:w="2751" w:type="dxa"/>
            <w:tcBorders>
              <w:top w:val="nil"/>
              <w:left w:val="nil"/>
              <w:bottom w:val="single" w:sz="4" w:space="0" w:color="000000" w:themeColor="text1"/>
              <w:right w:val="single" w:sz="4" w:space="0" w:color="000000" w:themeColor="text1"/>
            </w:tcBorders>
          </w:tcPr>
          <w:p w14:paraId="0000197F" w14:textId="77777777" w:rsidR="004F7DB3" w:rsidRDefault="00000000">
            <w:pPr>
              <w:spacing w:after="0" w:line="240" w:lineRule="auto"/>
              <w:jc w:val="both"/>
              <w:rPr>
                <w:color w:val="000000"/>
                <w:sz w:val="16"/>
                <w:szCs w:val="16"/>
              </w:rPr>
            </w:pPr>
            <w:sdt>
              <w:sdtPr>
                <w:tag w:val="goog_rdk_285"/>
                <w:id w:val="-383253298"/>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Endogenous</w:t>
            </w:r>
            <w:proofErr w:type="spellEnd"/>
            <w:r w:rsidR="552CE4D7">
              <w:rPr>
                <w:color w:val="000000"/>
                <w:sz w:val="16"/>
                <w:szCs w:val="16"/>
              </w:rPr>
              <w:t xml:space="preserve"> </w:t>
            </w:r>
            <w:proofErr w:type="spellStart"/>
            <w:r w:rsidR="552CE4D7">
              <w:rPr>
                <w:color w:val="000000"/>
                <w:sz w:val="16"/>
                <w:szCs w:val="16"/>
              </w:rPr>
              <w:t>technology</w:t>
            </w:r>
            <w:proofErr w:type="spellEnd"/>
          </w:p>
        </w:tc>
      </w:tr>
      <w:tr w:rsidR="004F7DB3" w14:paraId="12D3899E"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80"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81"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8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83" w14:textId="77777777" w:rsidR="004F7DB3" w:rsidRDefault="00000000">
            <w:pPr>
              <w:spacing w:after="0" w:line="240" w:lineRule="auto"/>
              <w:jc w:val="both"/>
              <w:rPr>
                <w:color w:val="000000"/>
                <w:sz w:val="16"/>
                <w:szCs w:val="16"/>
              </w:rPr>
            </w:pPr>
            <w:sdt>
              <w:sdtPr>
                <w:tag w:val="goog_rdk_286"/>
                <w:id w:val="-1646661315"/>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Technology</w:t>
            </w:r>
            <w:proofErr w:type="spellEnd"/>
            <w:r w:rsidR="552CE4D7">
              <w:rPr>
                <w:color w:val="000000"/>
                <w:sz w:val="16"/>
                <w:szCs w:val="16"/>
              </w:rPr>
              <w:t xml:space="preserve"> </w:t>
            </w:r>
            <w:proofErr w:type="spellStart"/>
            <w:r w:rsidR="552CE4D7">
              <w:rPr>
                <w:color w:val="000000"/>
                <w:sz w:val="16"/>
                <w:szCs w:val="16"/>
              </w:rPr>
              <w:t>Needs</w:t>
            </w:r>
            <w:proofErr w:type="spellEnd"/>
            <w:r w:rsidR="552CE4D7">
              <w:rPr>
                <w:color w:val="000000"/>
                <w:sz w:val="16"/>
                <w:szCs w:val="16"/>
              </w:rPr>
              <w:t xml:space="preserve"> </w:t>
            </w:r>
            <w:proofErr w:type="spellStart"/>
            <w:r w:rsidR="552CE4D7">
              <w:rPr>
                <w:color w:val="000000"/>
                <w:sz w:val="16"/>
                <w:szCs w:val="16"/>
              </w:rPr>
              <w:t>Assessment</w:t>
            </w:r>
            <w:proofErr w:type="spellEnd"/>
          </w:p>
        </w:tc>
      </w:tr>
      <w:tr w:rsidR="004F7DB3" w14:paraId="1BEB9BB4"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84"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85"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vAlign w:val="bottom"/>
          </w:tcPr>
          <w:p w14:paraId="00001986" w14:textId="77777777" w:rsidR="004F7DB3" w:rsidRDefault="00C00123">
            <w:pPr>
              <w:spacing w:after="0" w:line="240" w:lineRule="auto"/>
              <w:jc w:val="both"/>
              <w:rPr>
                <w:b/>
                <w:color w:val="000000"/>
                <w:sz w:val="16"/>
                <w:szCs w:val="16"/>
              </w:rPr>
            </w:pPr>
            <w:r>
              <w:rPr>
                <w:b/>
                <w:color w:val="000000"/>
                <w:sz w:val="16"/>
                <w:szCs w:val="16"/>
              </w:rPr>
              <w:t> </w:t>
            </w:r>
          </w:p>
        </w:tc>
        <w:tc>
          <w:tcPr>
            <w:tcW w:w="2751" w:type="dxa"/>
            <w:tcBorders>
              <w:top w:val="nil"/>
              <w:left w:val="nil"/>
              <w:bottom w:val="single" w:sz="4" w:space="0" w:color="000000" w:themeColor="text1"/>
              <w:right w:val="single" w:sz="4" w:space="0" w:color="000000" w:themeColor="text1"/>
            </w:tcBorders>
            <w:vAlign w:val="bottom"/>
          </w:tcPr>
          <w:p w14:paraId="00001987" w14:textId="77777777" w:rsidR="004F7DB3" w:rsidRDefault="00000000">
            <w:pPr>
              <w:spacing w:after="0" w:line="240" w:lineRule="auto"/>
              <w:jc w:val="both"/>
              <w:rPr>
                <w:color w:val="000000"/>
                <w:sz w:val="16"/>
                <w:szCs w:val="16"/>
              </w:rPr>
            </w:pPr>
            <w:sdt>
              <w:sdtPr>
                <w:tag w:val="goog_rdk_287"/>
                <w:id w:val="-1331357294"/>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Adaptation Tech Transfer</w:t>
            </w:r>
          </w:p>
        </w:tc>
      </w:tr>
      <w:tr w:rsidR="004F7DB3" w14:paraId="1AC17A06" w14:textId="77777777" w:rsidTr="5D8904BE">
        <w:trPr>
          <w:trHeight w:val="89"/>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88"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single" w:sz="4" w:space="0" w:color="000000" w:themeColor="text1"/>
              <w:right w:val="single" w:sz="4" w:space="0" w:color="000000" w:themeColor="text1"/>
            </w:tcBorders>
            <w:vAlign w:val="bottom"/>
          </w:tcPr>
          <w:p w14:paraId="00001989"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single" w:sz="4" w:space="0" w:color="000000" w:themeColor="text1"/>
              <w:right w:val="single" w:sz="4" w:space="0" w:color="000000" w:themeColor="text1"/>
            </w:tcBorders>
          </w:tcPr>
          <w:p w14:paraId="0000198A" w14:textId="77777777" w:rsidR="004F7DB3" w:rsidRPr="00C00123" w:rsidRDefault="00000000">
            <w:pPr>
              <w:spacing w:after="0" w:line="240" w:lineRule="auto"/>
              <w:ind w:left="150" w:hanging="150"/>
              <w:jc w:val="both"/>
              <w:rPr>
                <w:b/>
                <w:color w:val="000000"/>
                <w:sz w:val="16"/>
                <w:szCs w:val="16"/>
                <w:lang w:val="en-US"/>
              </w:rPr>
            </w:pPr>
            <w:sdt>
              <w:sdtPr>
                <w:tag w:val="goog_rdk_288"/>
                <w:id w:val="1904328239"/>
              </w:sdtPr>
              <w:sdtContent>
                <w:r w:rsidR="00C00123" w:rsidRPr="00C00123">
                  <w:rPr>
                    <w:rFonts w:ascii="Arial Unicode MS" w:eastAsia="Arial Unicode MS" w:hAnsi="Arial Unicode MS" w:cs="Arial Unicode MS"/>
                    <w:color w:val="000000"/>
                    <w:sz w:val="16"/>
                    <w:szCs w:val="16"/>
                    <w:shd w:val="clear" w:color="auto" w:fill="E6E6E6"/>
                    <w:lang w:val="en-US"/>
                  </w:rPr>
                  <w:t>☐</w:t>
                </w:r>
              </w:sdtContent>
            </w:sdt>
            <w:r w:rsidR="00C00123" w:rsidRPr="00C00123">
              <w:rPr>
                <w:b/>
                <w:color w:val="000000"/>
                <w:sz w:val="16"/>
                <w:szCs w:val="16"/>
                <w:lang w:val="en-US"/>
              </w:rPr>
              <w:t>United Nations Framework on Climate Change</w:t>
            </w:r>
          </w:p>
        </w:tc>
        <w:tc>
          <w:tcPr>
            <w:tcW w:w="2751" w:type="dxa"/>
            <w:tcBorders>
              <w:top w:val="nil"/>
              <w:left w:val="nil"/>
              <w:bottom w:val="single" w:sz="4" w:space="0" w:color="000000" w:themeColor="text1"/>
              <w:right w:val="single" w:sz="4" w:space="0" w:color="000000" w:themeColor="text1"/>
            </w:tcBorders>
            <w:vAlign w:val="bottom"/>
          </w:tcPr>
          <w:p w14:paraId="0000198B" w14:textId="77777777" w:rsidR="004F7DB3" w:rsidRDefault="00000000">
            <w:pPr>
              <w:spacing w:after="0" w:line="240" w:lineRule="auto"/>
              <w:jc w:val="both"/>
              <w:rPr>
                <w:color w:val="000000"/>
                <w:sz w:val="16"/>
                <w:szCs w:val="16"/>
              </w:rPr>
            </w:pPr>
            <w:sdt>
              <w:sdtPr>
                <w:tag w:val="goog_rdk_289"/>
                <w:id w:val="1993519257"/>
              </w:sdtPr>
              <w:sdtContent>
                <w:r w:rsidR="552CE4D7">
                  <w:rPr>
                    <w:rFonts w:ascii="Arial Unicode MS" w:eastAsia="Arial Unicode MS" w:hAnsi="Arial Unicode MS" w:cs="Arial Unicode MS"/>
                    <w:color w:val="000000"/>
                    <w:sz w:val="16"/>
                    <w:szCs w:val="16"/>
                    <w:shd w:val="clear" w:color="auto" w:fill="E6E6E6"/>
                  </w:rPr>
                  <w:t>☐</w:t>
                </w:r>
                <w:proofErr w:type="spellStart"/>
              </w:sdtContent>
            </w:sdt>
            <w:r w:rsidR="552CE4D7">
              <w:rPr>
                <w:color w:val="000000"/>
                <w:sz w:val="16"/>
                <w:szCs w:val="16"/>
              </w:rPr>
              <w:t>Nationally</w:t>
            </w:r>
            <w:proofErr w:type="spellEnd"/>
            <w:r w:rsidR="552CE4D7">
              <w:rPr>
                <w:color w:val="000000"/>
                <w:sz w:val="16"/>
                <w:szCs w:val="16"/>
              </w:rPr>
              <w:t xml:space="preserve"> </w:t>
            </w:r>
            <w:proofErr w:type="spellStart"/>
            <w:r w:rsidR="552CE4D7">
              <w:rPr>
                <w:color w:val="000000"/>
                <w:sz w:val="16"/>
                <w:szCs w:val="16"/>
              </w:rPr>
              <w:t>Determined</w:t>
            </w:r>
            <w:proofErr w:type="spellEnd"/>
            <w:r w:rsidR="552CE4D7">
              <w:rPr>
                <w:color w:val="000000"/>
                <w:sz w:val="16"/>
                <w:szCs w:val="16"/>
              </w:rPr>
              <w:t xml:space="preserve"> Contribution</w:t>
            </w:r>
          </w:p>
        </w:tc>
      </w:tr>
      <w:tr w:rsidR="004F7DB3" w14:paraId="0B72F7F2" w14:textId="77777777" w:rsidTr="5D8904BE">
        <w:trPr>
          <w:trHeight w:val="58"/>
        </w:trPr>
        <w:tc>
          <w:tcPr>
            <w:tcW w:w="2222" w:type="dxa"/>
            <w:tcBorders>
              <w:top w:val="nil"/>
              <w:left w:val="single" w:sz="4" w:space="0" w:color="000000" w:themeColor="text1"/>
              <w:bottom w:val="nil"/>
              <w:right w:val="single" w:sz="4" w:space="0" w:color="000000" w:themeColor="text1"/>
            </w:tcBorders>
            <w:vAlign w:val="bottom"/>
          </w:tcPr>
          <w:p w14:paraId="0000198C" w14:textId="77777777" w:rsidR="004F7DB3" w:rsidRDefault="00C00123">
            <w:pPr>
              <w:spacing w:after="0" w:line="240" w:lineRule="auto"/>
              <w:jc w:val="both"/>
              <w:rPr>
                <w:b/>
                <w:color w:val="000000"/>
                <w:sz w:val="16"/>
                <w:szCs w:val="16"/>
              </w:rPr>
            </w:pPr>
            <w:r>
              <w:rPr>
                <w:b/>
                <w:color w:val="000000"/>
                <w:sz w:val="16"/>
                <w:szCs w:val="16"/>
              </w:rPr>
              <w:t> </w:t>
            </w:r>
          </w:p>
        </w:tc>
        <w:tc>
          <w:tcPr>
            <w:tcW w:w="3286" w:type="dxa"/>
            <w:tcBorders>
              <w:top w:val="nil"/>
              <w:left w:val="nil"/>
              <w:bottom w:val="nil"/>
              <w:right w:val="single" w:sz="4" w:space="0" w:color="000000" w:themeColor="text1"/>
            </w:tcBorders>
            <w:vAlign w:val="bottom"/>
          </w:tcPr>
          <w:p w14:paraId="0000198D" w14:textId="77777777" w:rsidR="004F7DB3" w:rsidRDefault="00C00123">
            <w:pPr>
              <w:spacing w:after="0" w:line="240" w:lineRule="auto"/>
              <w:jc w:val="both"/>
              <w:rPr>
                <w:b/>
                <w:color w:val="000000"/>
                <w:sz w:val="16"/>
                <w:szCs w:val="16"/>
              </w:rPr>
            </w:pPr>
            <w:r>
              <w:rPr>
                <w:b/>
                <w:color w:val="000000"/>
                <w:sz w:val="16"/>
                <w:szCs w:val="16"/>
              </w:rPr>
              <w:t> </w:t>
            </w:r>
          </w:p>
        </w:tc>
        <w:tc>
          <w:tcPr>
            <w:tcW w:w="2541" w:type="dxa"/>
            <w:tcBorders>
              <w:top w:val="nil"/>
              <w:left w:val="nil"/>
              <w:bottom w:val="nil"/>
              <w:right w:val="single" w:sz="4" w:space="0" w:color="000000" w:themeColor="text1"/>
            </w:tcBorders>
            <w:vAlign w:val="bottom"/>
          </w:tcPr>
          <w:p w14:paraId="0000198E"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nil"/>
              <w:right w:val="single" w:sz="4" w:space="0" w:color="000000" w:themeColor="text1"/>
            </w:tcBorders>
          </w:tcPr>
          <w:p w14:paraId="0000198F" w14:textId="77777777" w:rsidR="004F7DB3" w:rsidRDefault="004F7DB3">
            <w:pPr>
              <w:spacing w:after="0" w:line="240" w:lineRule="auto"/>
              <w:ind w:left="192" w:hanging="192"/>
              <w:jc w:val="both"/>
              <w:rPr>
                <w:color w:val="000000"/>
                <w:sz w:val="16"/>
                <w:szCs w:val="16"/>
              </w:rPr>
            </w:pPr>
          </w:p>
        </w:tc>
      </w:tr>
      <w:tr w:rsidR="004F7DB3" w14:paraId="0FE27723" w14:textId="77777777" w:rsidTr="5D8904BE">
        <w:trPr>
          <w:trHeight w:val="58"/>
        </w:trPr>
        <w:tc>
          <w:tcPr>
            <w:tcW w:w="2222" w:type="dxa"/>
            <w:tcBorders>
              <w:top w:val="nil"/>
              <w:left w:val="single" w:sz="4" w:space="0" w:color="000000" w:themeColor="text1"/>
              <w:bottom w:val="single" w:sz="4" w:space="0" w:color="000000" w:themeColor="text1"/>
              <w:right w:val="single" w:sz="4" w:space="0" w:color="000000" w:themeColor="text1"/>
            </w:tcBorders>
            <w:vAlign w:val="bottom"/>
          </w:tcPr>
          <w:p w14:paraId="00001990" w14:textId="77777777" w:rsidR="004F7DB3" w:rsidRDefault="004F7DB3">
            <w:pPr>
              <w:spacing w:after="0" w:line="240" w:lineRule="auto"/>
              <w:jc w:val="both"/>
              <w:rPr>
                <w:b/>
                <w:color w:val="000000"/>
                <w:sz w:val="16"/>
                <w:szCs w:val="16"/>
              </w:rPr>
            </w:pPr>
            <w:bookmarkStart w:id="376" w:name="_heading=h.b7bclbffa0qc" w:colFirst="0" w:colLast="0"/>
            <w:bookmarkEnd w:id="376"/>
          </w:p>
        </w:tc>
        <w:tc>
          <w:tcPr>
            <w:tcW w:w="3286" w:type="dxa"/>
            <w:tcBorders>
              <w:top w:val="nil"/>
              <w:left w:val="nil"/>
              <w:bottom w:val="single" w:sz="4" w:space="0" w:color="000000" w:themeColor="text1"/>
              <w:right w:val="single" w:sz="4" w:space="0" w:color="000000" w:themeColor="text1"/>
            </w:tcBorders>
            <w:vAlign w:val="bottom"/>
          </w:tcPr>
          <w:p w14:paraId="00001991" w14:textId="77777777" w:rsidR="004F7DB3" w:rsidRDefault="00000000">
            <w:pPr>
              <w:spacing w:after="0" w:line="240" w:lineRule="auto"/>
              <w:jc w:val="both"/>
              <w:rPr>
                <w:b/>
                <w:color w:val="000000"/>
                <w:sz w:val="16"/>
                <w:szCs w:val="16"/>
              </w:rPr>
            </w:pPr>
            <w:sdt>
              <w:sdtPr>
                <w:tag w:val="goog_rdk_290"/>
                <w:id w:val="-1455631108"/>
              </w:sdtPr>
              <w:sdtContent>
                <w:r w:rsidR="00C00123">
                  <w:rPr>
                    <w:rFonts w:ascii="Arial Unicode MS" w:eastAsia="Arial Unicode MS" w:hAnsi="Arial Unicode MS" w:cs="Arial Unicode MS"/>
                    <w:b/>
                    <w:color w:val="000000"/>
                    <w:sz w:val="16"/>
                    <w:szCs w:val="16"/>
                    <w:shd w:val="clear" w:color="auto" w:fill="E6E6E6"/>
                  </w:rPr>
                  <w:t>☒</w:t>
                </w:r>
              </w:sdtContent>
            </w:sdt>
            <w:r w:rsidR="00C00123">
              <w:rPr>
                <w:b/>
                <w:color w:val="000000"/>
                <w:sz w:val="16"/>
                <w:szCs w:val="16"/>
              </w:rPr>
              <w:t xml:space="preserve"> Rio Markers</w:t>
            </w:r>
          </w:p>
        </w:tc>
        <w:tc>
          <w:tcPr>
            <w:tcW w:w="2541" w:type="dxa"/>
            <w:tcBorders>
              <w:top w:val="nil"/>
              <w:left w:val="nil"/>
              <w:bottom w:val="single" w:sz="4" w:space="0" w:color="000000" w:themeColor="text1"/>
              <w:right w:val="single" w:sz="4" w:space="0" w:color="000000" w:themeColor="text1"/>
            </w:tcBorders>
            <w:vAlign w:val="bottom"/>
          </w:tcPr>
          <w:p w14:paraId="00001992" w14:textId="77777777" w:rsidR="004F7DB3" w:rsidRDefault="00C00123">
            <w:pPr>
              <w:spacing w:after="0" w:line="240" w:lineRule="auto"/>
              <w:jc w:val="both"/>
              <w:rPr>
                <w:color w:val="000000"/>
                <w:sz w:val="16"/>
                <w:szCs w:val="16"/>
              </w:rPr>
            </w:pPr>
            <w:r>
              <w:rPr>
                <w:color w:val="000000"/>
                <w:sz w:val="16"/>
                <w:szCs w:val="16"/>
              </w:rPr>
              <w:t> </w:t>
            </w:r>
          </w:p>
        </w:tc>
        <w:tc>
          <w:tcPr>
            <w:tcW w:w="2751" w:type="dxa"/>
            <w:tcBorders>
              <w:top w:val="nil"/>
              <w:left w:val="nil"/>
              <w:bottom w:val="single" w:sz="4" w:space="0" w:color="000000" w:themeColor="text1"/>
              <w:right w:val="single" w:sz="4" w:space="0" w:color="000000" w:themeColor="text1"/>
            </w:tcBorders>
          </w:tcPr>
          <w:p w14:paraId="00001993" w14:textId="77777777" w:rsidR="004F7DB3" w:rsidRDefault="004F7DB3">
            <w:pPr>
              <w:spacing w:after="0" w:line="240" w:lineRule="auto"/>
              <w:jc w:val="both"/>
              <w:rPr>
                <w:color w:val="000000"/>
                <w:sz w:val="16"/>
                <w:szCs w:val="16"/>
              </w:rPr>
            </w:pPr>
          </w:p>
        </w:tc>
      </w:tr>
      <w:tr w:rsidR="004F7DB3" w14:paraId="5117A4FB" w14:textId="77777777" w:rsidTr="5D8904BE">
        <w:trPr>
          <w:trHeight w:val="62"/>
        </w:trPr>
        <w:tc>
          <w:tcPr>
            <w:tcW w:w="22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1994" w14:textId="77777777" w:rsidR="004F7DB3" w:rsidRDefault="004F7DB3">
            <w:pPr>
              <w:spacing w:after="0" w:line="240" w:lineRule="auto"/>
              <w:jc w:val="both"/>
              <w:rPr>
                <w:b/>
                <w:color w:val="000000"/>
                <w:sz w:val="16"/>
                <w:szCs w:val="16"/>
              </w:rPr>
            </w:pPr>
          </w:p>
        </w:tc>
        <w:tc>
          <w:tcPr>
            <w:tcW w:w="3286" w:type="dxa"/>
            <w:tcBorders>
              <w:top w:val="single" w:sz="4" w:space="0" w:color="000000" w:themeColor="text1"/>
              <w:left w:val="nil"/>
              <w:bottom w:val="single" w:sz="4" w:space="0" w:color="000000" w:themeColor="text1"/>
              <w:right w:val="single" w:sz="4" w:space="0" w:color="000000" w:themeColor="text1"/>
            </w:tcBorders>
          </w:tcPr>
          <w:p w14:paraId="00001995" w14:textId="77777777" w:rsidR="004F7DB3" w:rsidRDefault="004F7DB3">
            <w:pPr>
              <w:spacing w:after="0" w:line="240" w:lineRule="auto"/>
              <w:jc w:val="both"/>
              <w:rPr>
                <w:color w:val="000000"/>
                <w:sz w:val="16"/>
                <w:szCs w:val="16"/>
              </w:rPr>
            </w:pPr>
          </w:p>
        </w:tc>
        <w:tc>
          <w:tcPr>
            <w:tcW w:w="2541" w:type="dxa"/>
            <w:tcBorders>
              <w:top w:val="single" w:sz="4" w:space="0" w:color="000000" w:themeColor="text1"/>
              <w:left w:val="nil"/>
              <w:bottom w:val="single" w:sz="4" w:space="0" w:color="000000" w:themeColor="text1"/>
              <w:right w:val="single" w:sz="4" w:space="0" w:color="000000" w:themeColor="text1"/>
            </w:tcBorders>
          </w:tcPr>
          <w:p w14:paraId="00001996" w14:textId="77777777" w:rsidR="004F7DB3" w:rsidRDefault="00000000">
            <w:pPr>
              <w:spacing w:after="0" w:line="240" w:lineRule="auto"/>
              <w:jc w:val="both"/>
              <w:rPr>
                <w:color w:val="000000"/>
                <w:sz w:val="16"/>
                <w:szCs w:val="16"/>
              </w:rPr>
            </w:pPr>
            <w:sdt>
              <w:sdtPr>
                <w:tag w:val="goog_rdk_291"/>
                <w:id w:val="-67034364"/>
              </w:sdtPr>
              <w:sdtContent>
                <w:r w:rsidR="00C00123">
                  <w:rPr>
                    <w:rFonts w:ascii="Arial Unicode MS" w:eastAsia="Arial Unicode MS" w:hAnsi="Arial Unicode MS" w:cs="Arial Unicode MS"/>
                    <w:color w:val="000000"/>
                    <w:sz w:val="16"/>
                    <w:szCs w:val="16"/>
                    <w:shd w:val="clear" w:color="auto" w:fill="E6E6E6"/>
                  </w:rPr>
                  <w:t>☐</w:t>
                </w:r>
              </w:sdtContent>
            </w:sdt>
            <w:r w:rsidR="00C00123">
              <w:rPr>
                <w:color w:val="000000"/>
                <w:sz w:val="16"/>
                <w:szCs w:val="16"/>
              </w:rPr>
              <w:t>Paris Agreement</w:t>
            </w:r>
          </w:p>
        </w:tc>
        <w:tc>
          <w:tcPr>
            <w:tcW w:w="2751" w:type="dxa"/>
            <w:tcBorders>
              <w:top w:val="single" w:sz="4" w:space="0" w:color="000000" w:themeColor="text1"/>
              <w:left w:val="nil"/>
              <w:bottom w:val="single" w:sz="4" w:space="0" w:color="000000" w:themeColor="text1"/>
              <w:right w:val="single" w:sz="4" w:space="0" w:color="000000" w:themeColor="text1"/>
            </w:tcBorders>
          </w:tcPr>
          <w:p w14:paraId="00001997" w14:textId="77777777" w:rsidR="004F7DB3" w:rsidRDefault="004F7DB3">
            <w:pPr>
              <w:spacing w:after="0" w:line="240" w:lineRule="auto"/>
              <w:jc w:val="both"/>
              <w:rPr>
                <w:color w:val="000000"/>
                <w:sz w:val="16"/>
                <w:szCs w:val="16"/>
              </w:rPr>
            </w:pPr>
          </w:p>
        </w:tc>
      </w:tr>
      <w:tr w:rsidR="004F7DB3" w14:paraId="402E23AD" w14:textId="77777777" w:rsidTr="5D8904BE">
        <w:trPr>
          <w:trHeight w:val="62"/>
        </w:trPr>
        <w:tc>
          <w:tcPr>
            <w:tcW w:w="22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1998" w14:textId="77777777" w:rsidR="004F7DB3" w:rsidRDefault="004F7DB3">
            <w:pPr>
              <w:spacing w:after="0" w:line="240" w:lineRule="auto"/>
              <w:jc w:val="both"/>
              <w:rPr>
                <w:b/>
                <w:color w:val="000000"/>
                <w:sz w:val="16"/>
                <w:szCs w:val="16"/>
              </w:rPr>
            </w:pPr>
          </w:p>
        </w:tc>
        <w:tc>
          <w:tcPr>
            <w:tcW w:w="3286" w:type="dxa"/>
            <w:tcBorders>
              <w:top w:val="single" w:sz="4" w:space="0" w:color="000000" w:themeColor="text1"/>
              <w:left w:val="nil"/>
              <w:bottom w:val="single" w:sz="4" w:space="0" w:color="000000" w:themeColor="text1"/>
              <w:right w:val="single" w:sz="4" w:space="0" w:color="000000" w:themeColor="text1"/>
            </w:tcBorders>
          </w:tcPr>
          <w:p w14:paraId="00001999" w14:textId="77777777" w:rsidR="004F7DB3" w:rsidRDefault="004F7DB3">
            <w:pPr>
              <w:spacing w:after="0" w:line="240" w:lineRule="auto"/>
              <w:jc w:val="both"/>
              <w:rPr>
                <w:color w:val="000000"/>
                <w:sz w:val="16"/>
                <w:szCs w:val="16"/>
              </w:rPr>
            </w:pPr>
          </w:p>
        </w:tc>
        <w:tc>
          <w:tcPr>
            <w:tcW w:w="2541" w:type="dxa"/>
            <w:tcBorders>
              <w:top w:val="single" w:sz="4" w:space="0" w:color="000000" w:themeColor="text1"/>
              <w:left w:val="nil"/>
              <w:bottom w:val="single" w:sz="4" w:space="0" w:color="000000" w:themeColor="text1"/>
              <w:right w:val="single" w:sz="4" w:space="0" w:color="000000" w:themeColor="text1"/>
            </w:tcBorders>
          </w:tcPr>
          <w:p w14:paraId="0000199A" w14:textId="75549582" w:rsidR="004F7DB3" w:rsidRDefault="00000000">
            <w:pPr>
              <w:spacing w:after="0" w:line="240" w:lineRule="auto"/>
              <w:jc w:val="both"/>
              <w:rPr>
                <w:color w:val="000000"/>
                <w:sz w:val="16"/>
                <w:szCs w:val="16"/>
              </w:rPr>
            </w:pPr>
            <w:sdt>
              <w:sdtPr>
                <w:tag w:val="goog_rdk_292"/>
                <w:id w:val="641921570"/>
              </w:sdtPr>
              <w:sdtContent>
                <w:proofErr w:type="spellStart"/>
                <w:r w:rsidR="3FA6CF05">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Sustainable</w:t>
            </w:r>
            <w:proofErr w:type="spellEnd"/>
            <w:r w:rsidR="352EB93F">
              <w:rPr>
                <w:color w:val="000000"/>
                <w:sz w:val="16"/>
                <w:szCs w:val="16"/>
              </w:rPr>
              <w:t xml:space="preserve"> </w:t>
            </w:r>
            <w:proofErr w:type="spellStart"/>
            <w:r w:rsidR="352EB93F">
              <w:rPr>
                <w:color w:val="000000"/>
                <w:sz w:val="16"/>
                <w:szCs w:val="16"/>
              </w:rPr>
              <w:t>Development</w:t>
            </w:r>
            <w:proofErr w:type="spellEnd"/>
            <w:r w:rsidR="352EB93F">
              <w:rPr>
                <w:color w:val="000000"/>
                <w:sz w:val="16"/>
                <w:szCs w:val="16"/>
              </w:rPr>
              <w:t xml:space="preserve"> Goals</w:t>
            </w:r>
          </w:p>
        </w:tc>
        <w:tc>
          <w:tcPr>
            <w:tcW w:w="2751" w:type="dxa"/>
            <w:tcBorders>
              <w:top w:val="single" w:sz="4" w:space="0" w:color="000000" w:themeColor="text1"/>
              <w:left w:val="nil"/>
              <w:bottom w:val="single" w:sz="4" w:space="0" w:color="000000" w:themeColor="text1"/>
              <w:right w:val="single" w:sz="4" w:space="0" w:color="000000" w:themeColor="text1"/>
            </w:tcBorders>
          </w:tcPr>
          <w:p w14:paraId="0000199B" w14:textId="77777777" w:rsidR="004F7DB3" w:rsidRDefault="004F7DB3">
            <w:pPr>
              <w:spacing w:after="0" w:line="240" w:lineRule="auto"/>
              <w:jc w:val="both"/>
              <w:rPr>
                <w:color w:val="000000"/>
                <w:sz w:val="16"/>
                <w:szCs w:val="16"/>
              </w:rPr>
            </w:pPr>
          </w:p>
        </w:tc>
      </w:tr>
      <w:tr w:rsidR="004F7DB3" w14:paraId="7B5C3C65" w14:textId="77777777" w:rsidTr="5D8904BE">
        <w:trPr>
          <w:trHeight w:val="62"/>
        </w:trPr>
        <w:tc>
          <w:tcPr>
            <w:tcW w:w="22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199C" w14:textId="77777777" w:rsidR="004F7DB3" w:rsidRDefault="004F7DB3">
            <w:pPr>
              <w:spacing w:after="0" w:line="240" w:lineRule="auto"/>
              <w:jc w:val="both"/>
              <w:rPr>
                <w:b/>
                <w:color w:val="000000"/>
                <w:sz w:val="16"/>
                <w:szCs w:val="16"/>
              </w:rPr>
            </w:pPr>
          </w:p>
        </w:tc>
        <w:tc>
          <w:tcPr>
            <w:tcW w:w="3286" w:type="dxa"/>
            <w:tcBorders>
              <w:top w:val="single" w:sz="4" w:space="0" w:color="000000" w:themeColor="text1"/>
              <w:left w:val="nil"/>
              <w:bottom w:val="single" w:sz="4" w:space="0" w:color="000000" w:themeColor="text1"/>
              <w:right w:val="single" w:sz="4" w:space="0" w:color="000000" w:themeColor="text1"/>
            </w:tcBorders>
          </w:tcPr>
          <w:p w14:paraId="0000199D" w14:textId="77777777" w:rsidR="004F7DB3" w:rsidRDefault="004F7DB3">
            <w:pPr>
              <w:spacing w:after="0" w:line="240" w:lineRule="auto"/>
              <w:jc w:val="both"/>
              <w:rPr>
                <w:color w:val="000000"/>
                <w:sz w:val="16"/>
                <w:szCs w:val="16"/>
              </w:rPr>
            </w:pPr>
          </w:p>
        </w:tc>
        <w:tc>
          <w:tcPr>
            <w:tcW w:w="2541" w:type="dxa"/>
            <w:tcBorders>
              <w:top w:val="single" w:sz="4" w:space="0" w:color="000000" w:themeColor="text1"/>
              <w:left w:val="nil"/>
              <w:bottom w:val="single" w:sz="4" w:space="0" w:color="000000" w:themeColor="text1"/>
              <w:right w:val="single" w:sz="4" w:space="0" w:color="000000" w:themeColor="text1"/>
            </w:tcBorders>
          </w:tcPr>
          <w:p w14:paraId="0000199E" w14:textId="77777777" w:rsidR="004F7DB3" w:rsidRDefault="00000000">
            <w:pPr>
              <w:spacing w:after="0" w:line="240" w:lineRule="auto"/>
              <w:jc w:val="both"/>
              <w:rPr>
                <w:b/>
                <w:color w:val="000000"/>
                <w:sz w:val="16"/>
                <w:szCs w:val="16"/>
              </w:rPr>
            </w:pPr>
            <w:sdt>
              <w:sdtPr>
                <w:tag w:val="goog_rdk_293"/>
                <w:id w:val="-1976135371"/>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Climate</w:t>
            </w:r>
            <w:proofErr w:type="spellEnd"/>
            <w:r w:rsidR="00C00123">
              <w:rPr>
                <w:color w:val="000000"/>
                <w:sz w:val="16"/>
                <w:szCs w:val="16"/>
              </w:rPr>
              <w:t xml:space="preserve"> Change Mitigation 0</w:t>
            </w:r>
          </w:p>
        </w:tc>
        <w:tc>
          <w:tcPr>
            <w:tcW w:w="2751" w:type="dxa"/>
            <w:tcBorders>
              <w:top w:val="single" w:sz="4" w:space="0" w:color="000000" w:themeColor="text1"/>
              <w:left w:val="nil"/>
              <w:bottom w:val="single" w:sz="4" w:space="0" w:color="000000" w:themeColor="text1"/>
              <w:right w:val="single" w:sz="4" w:space="0" w:color="000000" w:themeColor="text1"/>
            </w:tcBorders>
          </w:tcPr>
          <w:p w14:paraId="0000199F" w14:textId="77777777" w:rsidR="004F7DB3" w:rsidRDefault="004F7DB3">
            <w:pPr>
              <w:spacing w:after="0" w:line="240" w:lineRule="auto"/>
              <w:jc w:val="both"/>
              <w:rPr>
                <w:color w:val="000000"/>
                <w:sz w:val="16"/>
                <w:szCs w:val="16"/>
              </w:rPr>
            </w:pPr>
          </w:p>
        </w:tc>
      </w:tr>
      <w:tr w:rsidR="004F7DB3" w14:paraId="0B6FF459" w14:textId="77777777" w:rsidTr="5D8904BE">
        <w:trPr>
          <w:trHeight w:val="62"/>
        </w:trPr>
        <w:tc>
          <w:tcPr>
            <w:tcW w:w="22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19A0" w14:textId="77777777" w:rsidR="004F7DB3" w:rsidRDefault="004F7DB3">
            <w:pPr>
              <w:spacing w:after="0" w:line="240" w:lineRule="auto"/>
              <w:jc w:val="both"/>
              <w:rPr>
                <w:b/>
                <w:color w:val="000000"/>
                <w:sz w:val="16"/>
                <w:szCs w:val="16"/>
              </w:rPr>
            </w:pPr>
          </w:p>
        </w:tc>
        <w:tc>
          <w:tcPr>
            <w:tcW w:w="3286" w:type="dxa"/>
            <w:tcBorders>
              <w:top w:val="single" w:sz="4" w:space="0" w:color="000000" w:themeColor="text1"/>
              <w:left w:val="nil"/>
              <w:bottom w:val="single" w:sz="4" w:space="0" w:color="000000" w:themeColor="text1"/>
              <w:right w:val="single" w:sz="4" w:space="0" w:color="000000" w:themeColor="text1"/>
            </w:tcBorders>
          </w:tcPr>
          <w:p w14:paraId="000019A1" w14:textId="77777777" w:rsidR="004F7DB3" w:rsidRDefault="004F7DB3">
            <w:pPr>
              <w:spacing w:after="0" w:line="240" w:lineRule="auto"/>
              <w:jc w:val="both"/>
              <w:rPr>
                <w:color w:val="000000"/>
                <w:sz w:val="16"/>
                <w:szCs w:val="16"/>
              </w:rPr>
            </w:pPr>
          </w:p>
        </w:tc>
        <w:tc>
          <w:tcPr>
            <w:tcW w:w="2541" w:type="dxa"/>
            <w:tcBorders>
              <w:top w:val="single" w:sz="4" w:space="0" w:color="000000" w:themeColor="text1"/>
              <w:left w:val="nil"/>
              <w:bottom w:val="single" w:sz="4" w:space="0" w:color="000000" w:themeColor="text1"/>
              <w:right w:val="single" w:sz="4" w:space="0" w:color="000000" w:themeColor="text1"/>
            </w:tcBorders>
          </w:tcPr>
          <w:p w14:paraId="000019A2" w14:textId="77777777" w:rsidR="004F7DB3" w:rsidRDefault="00000000">
            <w:pPr>
              <w:spacing w:after="0" w:line="240" w:lineRule="auto"/>
              <w:jc w:val="both"/>
              <w:rPr>
                <w:b/>
                <w:color w:val="000000"/>
                <w:sz w:val="16"/>
                <w:szCs w:val="16"/>
              </w:rPr>
            </w:pPr>
            <w:sdt>
              <w:sdtPr>
                <w:tag w:val="goog_rdk_294"/>
                <w:id w:val="957067509"/>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Climate</w:t>
            </w:r>
            <w:proofErr w:type="spellEnd"/>
            <w:r w:rsidR="00C00123">
              <w:rPr>
                <w:color w:val="000000"/>
                <w:sz w:val="16"/>
                <w:szCs w:val="16"/>
              </w:rPr>
              <w:t xml:space="preserve"> Change Mitigation 1</w:t>
            </w:r>
          </w:p>
        </w:tc>
        <w:tc>
          <w:tcPr>
            <w:tcW w:w="2751" w:type="dxa"/>
            <w:tcBorders>
              <w:top w:val="single" w:sz="4" w:space="0" w:color="000000" w:themeColor="text1"/>
              <w:left w:val="nil"/>
              <w:bottom w:val="single" w:sz="4" w:space="0" w:color="000000" w:themeColor="text1"/>
              <w:right w:val="single" w:sz="4" w:space="0" w:color="000000" w:themeColor="text1"/>
            </w:tcBorders>
          </w:tcPr>
          <w:p w14:paraId="000019A3" w14:textId="77777777" w:rsidR="004F7DB3" w:rsidRDefault="004F7DB3">
            <w:pPr>
              <w:spacing w:after="0" w:line="240" w:lineRule="auto"/>
              <w:jc w:val="both"/>
              <w:rPr>
                <w:color w:val="000000"/>
                <w:sz w:val="16"/>
                <w:szCs w:val="16"/>
              </w:rPr>
            </w:pPr>
          </w:p>
        </w:tc>
      </w:tr>
      <w:tr w:rsidR="004F7DB3" w14:paraId="651259B7" w14:textId="77777777" w:rsidTr="5D8904BE">
        <w:trPr>
          <w:trHeight w:val="62"/>
        </w:trPr>
        <w:tc>
          <w:tcPr>
            <w:tcW w:w="22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19A4" w14:textId="77777777" w:rsidR="004F7DB3" w:rsidRDefault="004F7DB3">
            <w:pPr>
              <w:spacing w:after="0" w:line="240" w:lineRule="auto"/>
              <w:jc w:val="both"/>
              <w:rPr>
                <w:b/>
                <w:color w:val="000000"/>
                <w:sz w:val="16"/>
                <w:szCs w:val="16"/>
              </w:rPr>
            </w:pPr>
          </w:p>
        </w:tc>
        <w:tc>
          <w:tcPr>
            <w:tcW w:w="3286" w:type="dxa"/>
            <w:tcBorders>
              <w:top w:val="single" w:sz="4" w:space="0" w:color="000000" w:themeColor="text1"/>
              <w:left w:val="nil"/>
              <w:bottom w:val="single" w:sz="4" w:space="0" w:color="000000" w:themeColor="text1"/>
              <w:right w:val="single" w:sz="4" w:space="0" w:color="000000" w:themeColor="text1"/>
            </w:tcBorders>
          </w:tcPr>
          <w:p w14:paraId="000019A5" w14:textId="77777777" w:rsidR="004F7DB3" w:rsidRDefault="004F7DB3">
            <w:pPr>
              <w:spacing w:after="0" w:line="240" w:lineRule="auto"/>
              <w:jc w:val="both"/>
              <w:rPr>
                <w:color w:val="000000"/>
                <w:sz w:val="16"/>
                <w:szCs w:val="16"/>
              </w:rPr>
            </w:pPr>
          </w:p>
        </w:tc>
        <w:tc>
          <w:tcPr>
            <w:tcW w:w="2541" w:type="dxa"/>
            <w:tcBorders>
              <w:top w:val="single" w:sz="4" w:space="0" w:color="000000" w:themeColor="text1"/>
              <w:left w:val="nil"/>
              <w:bottom w:val="single" w:sz="4" w:space="0" w:color="000000" w:themeColor="text1"/>
              <w:right w:val="single" w:sz="4" w:space="0" w:color="000000" w:themeColor="text1"/>
            </w:tcBorders>
          </w:tcPr>
          <w:p w14:paraId="000019A6" w14:textId="2B7342CD" w:rsidR="004F7DB3" w:rsidRDefault="00000000">
            <w:pPr>
              <w:spacing w:after="0" w:line="240" w:lineRule="auto"/>
              <w:jc w:val="both"/>
              <w:rPr>
                <w:color w:val="000000"/>
                <w:sz w:val="16"/>
                <w:szCs w:val="16"/>
              </w:rPr>
            </w:pPr>
            <w:sdt>
              <w:sdtPr>
                <w:tag w:val="goog_rdk_295"/>
                <w:id w:val="-1040515283"/>
              </w:sdtPr>
              <w:sdtContent>
                <w:proofErr w:type="spellStart"/>
                <w:r w:rsidR="640CAF86">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Climate</w:t>
            </w:r>
            <w:proofErr w:type="spellEnd"/>
            <w:r w:rsidR="352EB93F">
              <w:rPr>
                <w:color w:val="000000"/>
                <w:sz w:val="16"/>
                <w:szCs w:val="16"/>
              </w:rPr>
              <w:t xml:space="preserve"> Change Mitigation 2</w:t>
            </w:r>
          </w:p>
        </w:tc>
        <w:tc>
          <w:tcPr>
            <w:tcW w:w="2751" w:type="dxa"/>
            <w:tcBorders>
              <w:top w:val="single" w:sz="4" w:space="0" w:color="000000" w:themeColor="text1"/>
              <w:left w:val="nil"/>
              <w:bottom w:val="single" w:sz="4" w:space="0" w:color="000000" w:themeColor="text1"/>
              <w:right w:val="single" w:sz="4" w:space="0" w:color="000000" w:themeColor="text1"/>
            </w:tcBorders>
          </w:tcPr>
          <w:p w14:paraId="000019A7" w14:textId="77777777" w:rsidR="004F7DB3" w:rsidRDefault="004F7DB3">
            <w:pPr>
              <w:spacing w:after="0" w:line="240" w:lineRule="auto"/>
              <w:jc w:val="both"/>
              <w:rPr>
                <w:color w:val="000000"/>
                <w:sz w:val="16"/>
                <w:szCs w:val="16"/>
              </w:rPr>
            </w:pPr>
          </w:p>
        </w:tc>
      </w:tr>
      <w:tr w:rsidR="004F7DB3" w14:paraId="4897E2AB" w14:textId="77777777" w:rsidTr="5D8904BE">
        <w:trPr>
          <w:trHeight w:val="62"/>
        </w:trPr>
        <w:tc>
          <w:tcPr>
            <w:tcW w:w="22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19A8" w14:textId="77777777" w:rsidR="004F7DB3" w:rsidRDefault="004F7DB3">
            <w:pPr>
              <w:spacing w:after="0" w:line="240" w:lineRule="auto"/>
              <w:jc w:val="both"/>
              <w:rPr>
                <w:b/>
                <w:color w:val="000000"/>
                <w:sz w:val="16"/>
                <w:szCs w:val="16"/>
              </w:rPr>
            </w:pPr>
          </w:p>
        </w:tc>
        <w:tc>
          <w:tcPr>
            <w:tcW w:w="3286" w:type="dxa"/>
            <w:tcBorders>
              <w:top w:val="single" w:sz="4" w:space="0" w:color="000000" w:themeColor="text1"/>
              <w:left w:val="nil"/>
              <w:bottom w:val="single" w:sz="4" w:space="0" w:color="000000" w:themeColor="text1"/>
              <w:right w:val="single" w:sz="4" w:space="0" w:color="000000" w:themeColor="text1"/>
            </w:tcBorders>
          </w:tcPr>
          <w:p w14:paraId="000019A9" w14:textId="77777777" w:rsidR="004F7DB3" w:rsidRDefault="004F7DB3">
            <w:pPr>
              <w:spacing w:after="0" w:line="240" w:lineRule="auto"/>
              <w:jc w:val="both"/>
              <w:rPr>
                <w:color w:val="000000"/>
                <w:sz w:val="16"/>
                <w:szCs w:val="16"/>
              </w:rPr>
            </w:pPr>
          </w:p>
        </w:tc>
        <w:tc>
          <w:tcPr>
            <w:tcW w:w="2541" w:type="dxa"/>
            <w:tcBorders>
              <w:top w:val="single" w:sz="4" w:space="0" w:color="000000" w:themeColor="text1"/>
              <w:left w:val="nil"/>
              <w:bottom w:val="single" w:sz="4" w:space="0" w:color="000000" w:themeColor="text1"/>
              <w:right w:val="single" w:sz="4" w:space="0" w:color="000000" w:themeColor="text1"/>
            </w:tcBorders>
          </w:tcPr>
          <w:p w14:paraId="000019AA" w14:textId="77777777" w:rsidR="004F7DB3" w:rsidRDefault="00000000">
            <w:pPr>
              <w:spacing w:after="0" w:line="240" w:lineRule="auto"/>
              <w:jc w:val="both"/>
              <w:rPr>
                <w:color w:val="000000"/>
                <w:sz w:val="16"/>
                <w:szCs w:val="16"/>
              </w:rPr>
            </w:pPr>
            <w:sdt>
              <w:sdtPr>
                <w:tag w:val="goog_rdk_296"/>
                <w:id w:val="403801303"/>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Climate</w:t>
            </w:r>
            <w:proofErr w:type="spellEnd"/>
            <w:r w:rsidR="00C00123">
              <w:rPr>
                <w:color w:val="000000"/>
                <w:sz w:val="16"/>
                <w:szCs w:val="16"/>
              </w:rPr>
              <w:t xml:space="preserve"> Change Adaptation 0</w:t>
            </w:r>
          </w:p>
        </w:tc>
        <w:tc>
          <w:tcPr>
            <w:tcW w:w="2751" w:type="dxa"/>
            <w:tcBorders>
              <w:top w:val="single" w:sz="4" w:space="0" w:color="000000" w:themeColor="text1"/>
              <w:left w:val="nil"/>
              <w:bottom w:val="single" w:sz="4" w:space="0" w:color="000000" w:themeColor="text1"/>
              <w:right w:val="single" w:sz="4" w:space="0" w:color="000000" w:themeColor="text1"/>
            </w:tcBorders>
          </w:tcPr>
          <w:p w14:paraId="000019AB" w14:textId="77777777" w:rsidR="004F7DB3" w:rsidRDefault="004F7DB3">
            <w:pPr>
              <w:spacing w:after="0" w:line="240" w:lineRule="auto"/>
              <w:jc w:val="both"/>
              <w:rPr>
                <w:color w:val="000000"/>
                <w:sz w:val="16"/>
                <w:szCs w:val="16"/>
              </w:rPr>
            </w:pPr>
          </w:p>
        </w:tc>
      </w:tr>
      <w:tr w:rsidR="004F7DB3" w14:paraId="3177AC01" w14:textId="77777777" w:rsidTr="5D8904BE">
        <w:trPr>
          <w:trHeight w:val="62"/>
        </w:trPr>
        <w:tc>
          <w:tcPr>
            <w:tcW w:w="22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19AC" w14:textId="77777777" w:rsidR="004F7DB3" w:rsidRDefault="004F7DB3">
            <w:pPr>
              <w:spacing w:after="0" w:line="240" w:lineRule="auto"/>
              <w:jc w:val="both"/>
              <w:rPr>
                <w:b/>
                <w:color w:val="000000"/>
                <w:sz w:val="16"/>
                <w:szCs w:val="16"/>
              </w:rPr>
            </w:pPr>
          </w:p>
        </w:tc>
        <w:tc>
          <w:tcPr>
            <w:tcW w:w="3286" w:type="dxa"/>
            <w:tcBorders>
              <w:top w:val="single" w:sz="4" w:space="0" w:color="000000" w:themeColor="text1"/>
              <w:left w:val="nil"/>
              <w:bottom w:val="single" w:sz="4" w:space="0" w:color="000000" w:themeColor="text1"/>
              <w:right w:val="single" w:sz="4" w:space="0" w:color="000000" w:themeColor="text1"/>
            </w:tcBorders>
          </w:tcPr>
          <w:p w14:paraId="000019AD" w14:textId="77777777" w:rsidR="004F7DB3" w:rsidRDefault="004F7DB3">
            <w:pPr>
              <w:spacing w:after="0" w:line="240" w:lineRule="auto"/>
              <w:jc w:val="both"/>
              <w:rPr>
                <w:color w:val="000000"/>
                <w:sz w:val="16"/>
                <w:szCs w:val="16"/>
              </w:rPr>
            </w:pPr>
          </w:p>
        </w:tc>
        <w:tc>
          <w:tcPr>
            <w:tcW w:w="2541" w:type="dxa"/>
            <w:tcBorders>
              <w:top w:val="single" w:sz="4" w:space="0" w:color="000000" w:themeColor="text1"/>
              <w:left w:val="nil"/>
              <w:bottom w:val="single" w:sz="4" w:space="0" w:color="000000" w:themeColor="text1"/>
              <w:right w:val="single" w:sz="4" w:space="0" w:color="000000" w:themeColor="text1"/>
            </w:tcBorders>
          </w:tcPr>
          <w:p w14:paraId="000019AE" w14:textId="77777777" w:rsidR="004F7DB3" w:rsidRDefault="00000000">
            <w:pPr>
              <w:spacing w:after="0" w:line="240" w:lineRule="auto"/>
              <w:jc w:val="both"/>
              <w:rPr>
                <w:color w:val="000000"/>
                <w:sz w:val="16"/>
                <w:szCs w:val="16"/>
              </w:rPr>
            </w:pPr>
            <w:sdt>
              <w:sdtPr>
                <w:tag w:val="goog_rdk_297"/>
                <w:id w:val="197121891"/>
              </w:sdtPr>
              <w:sdtContent>
                <w:r w:rsidR="00C00123">
                  <w:rPr>
                    <w:rFonts w:ascii="Arial Unicode MS" w:eastAsia="Arial Unicode MS" w:hAnsi="Arial Unicode MS" w:cs="Arial Unicode MS"/>
                    <w:color w:val="000000"/>
                    <w:sz w:val="16"/>
                    <w:szCs w:val="16"/>
                    <w:shd w:val="clear" w:color="auto" w:fill="E6E6E6"/>
                  </w:rPr>
                  <w:t>☐</w:t>
                </w:r>
                <w:proofErr w:type="spellStart"/>
              </w:sdtContent>
            </w:sdt>
            <w:r w:rsidR="00C00123">
              <w:rPr>
                <w:color w:val="000000"/>
                <w:sz w:val="16"/>
                <w:szCs w:val="16"/>
              </w:rPr>
              <w:t>Climate</w:t>
            </w:r>
            <w:proofErr w:type="spellEnd"/>
            <w:r w:rsidR="00C00123">
              <w:rPr>
                <w:color w:val="000000"/>
                <w:sz w:val="16"/>
                <w:szCs w:val="16"/>
              </w:rPr>
              <w:t xml:space="preserve"> Change Adaptation 1</w:t>
            </w:r>
          </w:p>
        </w:tc>
        <w:tc>
          <w:tcPr>
            <w:tcW w:w="2751" w:type="dxa"/>
            <w:tcBorders>
              <w:top w:val="single" w:sz="4" w:space="0" w:color="000000" w:themeColor="text1"/>
              <w:left w:val="nil"/>
              <w:bottom w:val="single" w:sz="4" w:space="0" w:color="000000" w:themeColor="text1"/>
              <w:right w:val="single" w:sz="4" w:space="0" w:color="000000" w:themeColor="text1"/>
            </w:tcBorders>
          </w:tcPr>
          <w:p w14:paraId="000019AF" w14:textId="77777777" w:rsidR="004F7DB3" w:rsidRDefault="004F7DB3">
            <w:pPr>
              <w:spacing w:after="0" w:line="240" w:lineRule="auto"/>
              <w:jc w:val="both"/>
              <w:rPr>
                <w:color w:val="000000"/>
                <w:sz w:val="16"/>
                <w:szCs w:val="16"/>
              </w:rPr>
            </w:pPr>
          </w:p>
        </w:tc>
      </w:tr>
      <w:tr w:rsidR="004F7DB3" w14:paraId="467AC990" w14:textId="77777777" w:rsidTr="5D8904BE">
        <w:trPr>
          <w:trHeight w:val="62"/>
        </w:trPr>
        <w:tc>
          <w:tcPr>
            <w:tcW w:w="22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19B0" w14:textId="77777777" w:rsidR="004F7DB3" w:rsidRDefault="004F7DB3">
            <w:pPr>
              <w:spacing w:after="0" w:line="240" w:lineRule="auto"/>
              <w:jc w:val="both"/>
              <w:rPr>
                <w:b/>
                <w:color w:val="000000"/>
                <w:sz w:val="16"/>
                <w:szCs w:val="16"/>
              </w:rPr>
            </w:pPr>
          </w:p>
        </w:tc>
        <w:tc>
          <w:tcPr>
            <w:tcW w:w="3286" w:type="dxa"/>
            <w:tcBorders>
              <w:top w:val="single" w:sz="4" w:space="0" w:color="000000" w:themeColor="text1"/>
              <w:left w:val="nil"/>
              <w:bottom w:val="single" w:sz="4" w:space="0" w:color="000000" w:themeColor="text1"/>
              <w:right w:val="single" w:sz="4" w:space="0" w:color="000000" w:themeColor="text1"/>
            </w:tcBorders>
          </w:tcPr>
          <w:p w14:paraId="000019B1" w14:textId="77777777" w:rsidR="004F7DB3" w:rsidRDefault="004F7DB3">
            <w:pPr>
              <w:spacing w:after="0" w:line="240" w:lineRule="auto"/>
              <w:jc w:val="both"/>
              <w:rPr>
                <w:color w:val="000000"/>
                <w:sz w:val="16"/>
                <w:szCs w:val="16"/>
              </w:rPr>
            </w:pPr>
          </w:p>
        </w:tc>
        <w:tc>
          <w:tcPr>
            <w:tcW w:w="2541" w:type="dxa"/>
            <w:tcBorders>
              <w:top w:val="single" w:sz="4" w:space="0" w:color="000000" w:themeColor="text1"/>
              <w:left w:val="nil"/>
              <w:bottom w:val="single" w:sz="4" w:space="0" w:color="000000" w:themeColor="text1"/>
              <w:right w:val="single" w:sz="4" w:space="0" w:color="000000" w:themeColor="text1"/>
            </w:tcBorders>
          </w:tcPr>
          <w:p w14:paraId="000019B2" w14:textId="6BD26A0E" w:rsidR="004F7DB3" w:rsidRDefault="00000000">
            <w:pPr>
              <w:spacing w:after="0" w:line="240" w:lineRule="auto"/>
              <w:jc w:val="both"/>
              <w:rPr>
                <w:color w:val="000000"/>
                <w:sz w:val="16"/>
                <w:szCs w:val="16"/>
              </w:rPr>
            </w:pPr>
            <w:sdt>
              <w:sdtPr>
                <w:tag w:val="goog_rdk_298"/>
                <w:id w:val="-1373848544"/>
              </w:sdtPr>
              <w:sdtContent>
                <w:proofErr w:type="spellStart"/>
                <w:r w:rsidR="7C384489">
                  <w:rPr>
                    <w:rFonts w:ascii="Arial Unicode MS" w:eastAsia="Arial Unicode MS" w:hAnsi="Arial Unicode MS" w:cs="Arial Unicode MS"/>
                    <w:color w:val="000000"/>
                    <w:sz w:val="16"/>
                    <w:szCs w:val="16"/>
                    <w:shd w:val="clear" w:color="auto" w:fill="E6E6E6"/>
                  </w:rPr>
                  <w:t>X</w:t>
                </w:r>
              </w:sdtContent>
            </w:sdt>
            <w:r w:rsidR="352EB93F">
              <w:rPr>
                <w:color w:val="000000"/>
                <w:sz w:val="16"/>
                <w:szCs w:val="16"/>
              </w:rPr>
              <w:t>Climate</w:t>
            </w:r>
            <w:proofErr w:type="spellEnd"/>
            <w:r w:rsidR="352EB93F">
              <w:rPr>
                <w:color w:val="000000"/>
                <w:sz w:val="16"/>
                <w:szCs w:val="16"/>
              </w:rPr>
              <w:t xml:space="preserve"> Change Adaptation 2</w:t>
            </w:r>
          </w:p>
        </w:tc>
        <w:tc>
          <w:tcPr>
            <w:tcW w:w="2751" w:type="dxa"/>
            <w:tcBorders>
              <w:top w:val="single" w:sz="4" w:space="0" w:color="000000" w:themeColor="text1"/>
              <w:left w:val="nil"/>
              <w:bottom w:val="single" w:sz="4" w:space="0" w:color="000000" w:themeColor="text1"/>
              <w:right w:val="single" w:sz="4" w:space="0" w:color="000000" w:themeColor="text1"/>
            </w:tcBorders>
          </w:tcPr>
          <w:p w14:paraId="000019B3" w14:textId="77777777" w:rsidR="004F7DB3" w:rsidRDefault="004F7DB3">
            <w:pPr>
              <w:spacing w:after="0" w:line="240" w:lineRule="auto"/>
              <w:jc w:val="both"/>
              <w:rPr>
                <w:color w:val="000000"/>
                <w:sz w:val="16"/>
                <w:szCs w:val="16"/>
              </w:rPr>
            </w:pPr>
          </w:p>
        </w:tc>
      </w:tr>
      <w:tr w:rsidR="004F7DB3" w14:paraId="6F93861B" w14:textId="77777777" w:rsidTr="5D8904BE">
        <w:trPr>
          <w:trHeight w:val="58"/>
        </w:trPr>
        <w:tc>
          <w:tcPr>
            <w:tcW w:w="22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00019B4" w14:textId="77777777" w:rsidR="004F7DB3" w:rsidRDefault="004F7DB3">
            <w:pPr>
              <w:spacing w:after="0" w:line="240" w:lineRule="auto"/>
              <w:jc w:val="both"/>
              <w:rPr>
                <w:b/>
                <w:color w:val="000000"/>
                <w:sz w:val="16"/>
                <w:szCs w:val="16"/>
              </w:rPr>
            </w:pPr>
          </w:p>
        </w:tc>
        <w:tc>
          <w:tcPr>
            <w:tcW w:w="3286" w:type="dxa"/>
            <w:tcBorders>
              <w:top w:val="nil"/>
              <w:left w:val="nil"/>
              <w:bottom w:val="single" w:sz="4" w:space="0" w:color="000000" w:themeColor="text1"/>
              <w:right w:val="single" w:sz="4" w:space="0" w:color="000000" w:themeColor="text1"/>
            </w:tcBorders>
            <w:vAlign w:val="bottom"/>
          </w:tcPr>
          <w:p w14:paraId="000019B5" w14:textId="77777777" w:rsidR="004F7DB3" w:rsidRDefault="004F7DB3">
            <w:pPr>
              <w:spacing w:after="0" w:line="240" w:lineRule="auto"/>
              <w:jc w:val="both"/>
              <w:rPr>
                <w:b/>
                <w:color w:val="000000"/>
                <w:sz w:val="16"/>
                <w:szCs w:val="16"/>
              </w:rPr>
            </w:pPr>
          </w:p>
        </w:tc>
        <w:tc>
          <w:tcPr>
            <w:tcW w:w="2541" w:type="dxa"/>
            <w:tcBorders>
              <w:top w:val="nil"/>
              <w:left w:val="nil"/>
              <w:bottom w:val="single" w:sz="4" w:space="0" w:color="000000" w:themeColor="text1"/>
              <w:right w:val="single" w:sz="4" w:space="0" w:color="000000" w:themeColor="text1"/>
            </w:tcBorders>
            <w:vAlign w:val="bottom"/>
          </w:tcPr>
          <w:p w14:paraId="000019B6" w14:textId="77777777" w:rsidR="004F7DB3" w:rsidRDefault="004F7DB3">
            <w:pPr>
              <w:spacing w:after="0" w:line="240" w:lineRule="auto"/>
              <w:jc w:val="both"/>
              <w:rPr>
                <w:color w:val="000000"/>
                <w:sz w:val="16"/>
                <w:szCs w:val="16"/>
              </w:rPr>
            </w:pPr>
          </w:p>
        </w:tc>
        <w:tc>
          <w:tcPr>
            <w:tcW w:w="2751" w:type="dxa"/>
            <w:tcBorders>
              <w:top w:val="nil"/>
              <w:left w:val="nil"/>
              <w:bottom w:val="single" w:sz="4" w:space="0" w:color="000000" w:themeColor="text1"/>
              <w:right w:val="single" w:sz="4" w:space="0" w:color="000000" w:themeColor="text1"/>
            </w:tcBorders>
          </w:tcPr>
          <w:p w14:paraId="000019B7" w14:textId="77777777" w:rsidR="004F7DB3" w:rsidRDefault="004F7DB3">
            <w:pPr>
              <w:spacing w:after="0" w:line="240" w:lineRule="auto"/>
              <w:ind w:left="192" w:hanging="192"/>
              <w:jc w:val="both"/>
              <w:rPr>
                <w:color w:val="000000"/>
                <w:sz w:val="16"/>
                <w:szCs w:val="16"/>
              </w:rPr>
            </w:pPr>
          </w:p>
        </w:tc>
      </w:tr>
    </w:tbl>
    <w:p w14:paraId="000019B8" w14:textId="77777777" w:rsidR="004F7DB3" w:rsidRDefault="004F7DB3">
      <w:pPr>
        <w:spacing w:after="60" w:line="240" w:lineRule="auto"/>
        <w:jc w:val="both"/>
        <w:rPr>
          <w:color w:val="000000"/>
          <w:sz w:val="20"/>
          <w:szCs w:val="20"/>
        </w:rPr>
      </w:pPr>
    </w:p>
    <w:p w14:paraId="000019B9" w14:textId="77777777" w:rsidR="004F7DB3" w:rsidRPr="00633089" w:rsidRDefault="00C00123" w:rsidP="006F5E1D">
      <w:pPr>
        <w:pStyle w:val="Titre3"/>
        <w:rPr>
          <w:shd w:val="clear" w:color="auto" w:fill="E6E6E6"/>
          <w:lang w:val="en-US"/>
        </w:rPr>
      </w:pPr>
      <w:r w:rsidRPr="00C00123">
        <w:rPr>
          <w:lang w:val="en-US"/>
        </w:rPr>
        <w:br w:type="page"/>
      </w:r>
      <w:bookmarkStart w:id="377" w:name="_Toc200477859"/>
      <w:r w:rsidRPr="006F5E1D">
        <w:rPr>
          <w:sz w:val="22"/>
          <w:szCs w:val="22"/>
          <w:shd w:val="clear" w:color="auto" w:fill="E6E6E6"/>
          <w:lang w:val="en-US"/>
        </w:rPr>
        <w:lastRenderedPageBreak/>
        <w:t>Annex 1</w:t>
      </w:r>
      <w:r w:rsidRPr="006F5E1D">
        <w:rPr>
          <w:sz w:val="22"/>
          <w:szCs w:val="22"/>
          <w:lang w:val="en-US"/>
        </w:rPr>
        <w:t>9</w:t>
      </w:r>
      <w:r w:rsidRPr="006F5E1D">
        <w:rPr>
          <w:sz w:val="22"/>
          <w:szCs w:val="22"/>
          <w:shd w:val="clear" w:color="auto" w:fill="E6E6E6"/>
          <w:lang w:val="en-US"/>
        </w:rPr>
        <w:t>: Results of the Partners Capacity Assessment Tool (PACT) and HACT Micro Assessment</w:t>
      </w:r>
      <w:bookmarkEnd w:id="377"/>
      <w:r w:rsidRPr="006F5E1D">
        <w:rPr>
          <w:sz w:val="22"/>
          <w:szCs w:val="22"/>
          <w:shd w:val="clear" w:color="auto" w:fill="E6E6E6"/>
          <w:lang w:val="en-US"/>
        </w:rPr>
        <w:t xml:space="preserve"> </w:t>
      </w:r>
    </w:p>
    <w:p w14:paraId="000019BA" w14:textId="77777777" w:rsidR="004F7DB3" w:rsidRPr="00C00123" w:rsidRDefault="004F7DB3">
      <w:pPr>
        <w:spacing w:after="0" w:line="240" w:lineRule="auto"/>
        <w:rPr>
          <w:b/>
          <w:sz w:val="20"/>
          <w:szCs w:val="20"/>
          <w:lang w:val="en-US"/>
        </w:rPr>
      </w:pPr>
    </w:p>
    <w:p w14:paraId="000019BB" w14:textId="6BA1F016" w:rsidR="004F7DB3" w:rsidRPr="006F5E1D" w:rsidRDefault="00057757">
      <w:pPr>
        <w:rPr>
          <w:b/>
          <w:bCs/>
          <w:lang w:val="en-US"/>
        </w:rPr>
      </w:pPr>
      <w:r w:rsidRPr="006F5E1D">
        <w:rPr>
          <w:b/>
          <w:bCs/>
          <w:lang w:val="en-US"/>
        </w:rPr>
        <w:t xml:space="preserve">See attached. </w:t>
      </w:r>
    </w:p>
    <w:p w14:paraId="000019BC" w14:textId="5AB703AE" w:rsidR="004F7DB3" w:rsidRPr="00C00123" w:rsidRDefault="004F7DB3">
      <w:pPr>
        <w:pBdr>
          <w:top w:val="single" w:sz="4" w:space="1" w:color="000000"/>
        </w:pBdr>
        <w:rPr>
          <w:lang w:val="en-US"/>
        </w:rPr>
      </w:pPr>
    </w:p>
    <w:sectPr w:rsidR="004F7DB3" w:rsidRPr="00C00123">
      <w:headerReference w:type="default" r:id="rId59"/>
      <w:footerReference w:type="default" r:id="rId60"/>
      <w:headerReference w:type="first" r:id="rId61"/>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F4012" w14:textId="77777777" w:rsidR="00585E7A" w:rsidRDefault="00585E7A">
      <w:pPr>
        <w:spacing w:after="0" w:line="240" w:lineRule="auto"/>
      </w:pPr>
      <w:r>
        <w:separator/>
      </w:r>
    </w:p>
  </w:endnote>
  <w:endnote w:type="continuationSeparator" w:id="0">
    <w:p w14:paraId="1771DB54" w14:textId="77777777" w:rsidR="00585E7A" w:rsidRDefault="00585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38747BC4-A1EE-40F0-A713-C49005E20E83}"/>
    <w:embedBold r:id="rId2" w:fontKey="{8411C90C-D4E5-4D64-B3AA-83A7A51ECFA1}"/>
    <w:embedItalic r:id="rId3" w:fontKey="{4ED240CC-5E21-4DB0-B6A0-DDD35E20A2AE}"/>
    <w:embedBoldItalic r:id="rId4" w:fontKey="{DF307FDF-E0FE-4BC8-8CDF-44F4BD582FAD}"/>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5" w:fontKey="{10FF717A-A6D8-4502-8324-6893A1FDEE33}"/>
    <w:embedBold r:id="rId6" w:fontKey="{E7984558-0B0A-4816-A1BB-2FD5D39D9AEE}"/>
    <w:embedItalic r:id="rId7" w:fontKey="{1599F319-DB7B-4FC5-BB30-9150A6FD4B8E}"/>
    <w:embedBoldItalic r:id="rId8" w:fontKey="{6988C411-A7B7-4474-9905-D5C7C41E633A}"/>
  </w:font>
  <w:font w:name="Roboto">
    <w:charset w:val="00"/>
    <w:family w:val="auto"/>
    <w:pitch w:val="variable"/>
    <w:sig w:usb0="E0000AFF" w:usb1="5000217F" w:usb2="00000021" w:usb3="00000000" w:csb0="0000019F" w:csb1="00000000"/>
    <w:embedRegular r:id="rId9" w:fontKey="{F1DA8E32-D093-4BCB-9DB9-73242386B918}"/>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10" w:fontKey="{9CBEFF7B-DC52-478A-90CC-3F0A680BB3E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embedRegular r:id="rId11" w:fontKey="{0A0E755A-9333-441B-A012-1BEB5ADB4936}"/>
  </w:font>
  <w:font w:name="Tahoma">
    <w:panose1 w:val="020B0604030504040204"/>
    <w:charset w:val="00"/>
    <w:family w:val="swiss"/>
    <w:pitch w:val="variable"/>
    <w:sig w:usb0="E1002EFF" w:usb1="C000605B" w:usb2="00000029" w:usb3="00000000" w:csb0="000101FF" w:csb1="00000000"/>
    <w:embedRegular r:id="rId12" w:fontKey="{CBD7A35E-0E44-42AE-8F3A-D3427F0348A7}"/>
    <w:embedBold r:id="rId13" w:fontKey="{C14CAB82-0E29-4436-93E8-C6A76A909BCA}"/>
  </w:font>
  <w:font w:name="Arial Narrow">
    <w:panose1 w:val="020B0606020202030204"/>
    <w:charset w:val="00"/>
    <w:family w:val="swiss"/>
    <w:pitch w:val="variable"/>
    <w:sig w:usb0="00000287" w:usb1="00000800" w:usb2="00000000" w:usb3="00000000" w:csb0="0000009F" w:csb1="00000000"/>
    <w:embedRegular r:id="rId14" w:fontKey="{1C13571D-EF4A-4B26-BB8F-D04A1AC4815D}"/>
    <w:embedItalic r:id="rId15" w:fontKey="{32D64D0B-93AD-419F-8C4F-3D227140D973}"/>
  </w:font>
  <w:font w:name="MS Mincho">
    <w:altName w:val="ＭＳ 明朝"/>
    <w:panose1 w:val="02020609040205080304"/>
    <w:charset w:val="80"/>
    <w:family w:val="modern"/>
    <w:pitch w:val="fixed"/>
    <w:sig w:usb0="E00002FF" w:usb1="6AC7FDFB" w:usb2="08000012" w:usb3="00000000" w:csb0="0002009F" w:csb1="00000000"/>
  </w:font>
  <w:font w:name="Adobe Garamond Pro">
    <w:charset w:val="00"/>
    <w:family w:val="roman"/>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embedRegular r:id="rId16" w:fontKey="{0DF264D0-4EC3-49C0-977D-B1D6966C162C}"/>
  </w:font>
  <w:font w:name="Arial Unicode MS">
    <w:panose1 w:val="020B0604020202020204"/>
    <w:charset w:val="00"/>
    <w:family w:val="roman"/>
    <w:pitch w:val="variable"/>
    <w:sig w:usb0="00000003" w:usb1="00000000" w:usb2="00000000" w:usb3="00000000" w:csb0="00000001" w:csb1="00000000"/>
    <w:embedRegular r:id="rId17" w:fontKey="{50F5448A-E12A-45DD-A85C-164141AB1140}"/>
    <w:embedBold r:id="rId18" w:fontKey="{9D14E77F-E5B8-402A-9CC0-90606DEE8FA2}"/>
  </w:font>
  <w:font w:name="Consolas">
    <w:panose1 w:val="020B0609020204030204"/>
    <w:charset w:val="00"/>
    <w:family w:val="modern"/>
    <w:pitch w:val="fixed"/>
    <w:sig w:usb0="E00006FF" w:usb1="0000FCFF" w:usb2="00000001" w:usb3="00000000" w:csb0="0000019F" w:csb1="00000000"/>
    <w:embedRegular r:id="rId19" w:fontKey="{5D6D9DF2-C7AD-449F-9EB2-3000C7431FC1}"/>
  </w:font>
  <w:font w:name="Cambria">
    <w:panose1 w:val="02040503050406030204"/>
    <w:charset w:val="00"/>
    <w:family w:val="roman"/>
    <w:pitch w:val="variable"/>
    <w:sig w:usb0="E00006FF" w:usb1="420024FF" w:usb2="02000000" w:usb3="00000000" w:csb0="0000019F" w:csb1="00000000"/>
    <w:embedBold r:id="rId20" w:fontKey="{806161AC-086C-4EEE-BD0B-EEA3624FD262}"/>
    <w:embedItalic r:id="rId21" w:fontKey="{78C9BEEB-E32D-467D-BD7B-C718F3A097A5}"/>
  </w:font>
  <w:font w:name="Times">
    <w:panose1 w:val="02020603050405020304"/>
    <w:charset w:val="00"/>
    <w:family w:val="roman"/>
    <w:pitch w:val="variable"/>
    <w:sig w:usb0="E0002EFF" w:usb1="C000785B" w:usb2="00000009" w:usb3="00000000" w:csb0="000001FF" w:csb1="00000000"/>
    <w:embedRegular r:id="rId22" w:fontKey="{73BFC42F-BBB0-4D34-AC6D-D85CE11A0F42}"/>
  </w:font>
  <w:font w:name="Book Antiqua">
    <w:panose1 w:val="02040602050305030304"/>
    <w:charset w:val="00"/>
    <w:family w:val="roman"/>
    <w:pitch w:val="variable"/>
    <w:sig w:usb0="00000287" w:usb1="00000000" w:usb2="00000000" w:usb3="00000000" w:csb0="0000009F" w:csb1="00000000"/>
    <w:embedBoldItalic r:id="rId23" w:fontKey="{68A5A672-2F9E-4091-9783-F7D715392188}"/>
  </w:font>
  <w:font w:name="Times New Roman Bold">
    <w:altName w:val="Times New Roman"/>
    <w:charset w:val="00"/>
    <w:family w:val="roman"/>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24" w:fontKey="{BB341179-3297-4484-93D3-FA66359D5712}"/>
  </w:font>
  <w:font w:name="Segoe UI">
    <w:panose1 w:val="020B0502040204020203"/>
    <w:charset w:val="00"/>
    <w:family w:val="swiss"/>
    <w:pitch w:val="variable"/>
    <w:sig w:usb0="E4002EFF" w:usb1="C000E47F" w:usb2="00000009" w:usb3="00000000" w:csb0="000001FF" w:csb1="00000000"/>
    <w:embedRegular r:id="rId25" w:fontKey="{1A5ED53C-C294-4B65-8703-D8C548678D79}"/>
  </w:font>
  <w:font w:name="Aptos Narrow">
    <w:charset w:val="00"/>
    <w:family w:val="swiss"/>
    <w:pitch w:val="variable"/>
    <w:sig w:usb0="20000287" w:usb1="00000003" w:usb2="00000000" w:usb3="00000000" w:csb0="0000019F" w:csb1="00000000"/>
    <w:embedRegular r:id="rId26" w:fontKey="{A6BF08F1-2433-4C99-BEAA-B8BF15772A83}"/>
    <w:embedBold r:id="rId27" w:fontKey="{9C5BCD56-C91F-4929-BB7B-105C4B98F676}"/>
    <w:embedBoldItalic r:id="rId28" w:fontKey="{E8ED2D31-8F0A-4B42-87DA-6AE7C3146B2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1A06" w14:textId="6D45AF3F" w:rsidR="004F7DB3" w:rsidRDefault="00C00123">
    <w:pPr>
      <w:tabs>
        <w:tab w:val="center" w:pos="4153"/>
        <w:tab w:val="right" w:pos="8306"/>
      </w:tabs>
      <w:spacing w:after="60" w:line="240" w:lineRule="auto"/>
      <w:jc w:val="right"/>
      <w:rPr>
        <w:i/>
        <w:sz w:val="20"/>
        <w:szCs w:val="20"/>
        <w:highlight w:val="white"/>
      </w:rPr>
    </w:pPr>
    <w:r>
      <w:rPr>
        <w:i/>
        <w:sz w:val="20"/>
        <w:szCs w:val="20"/>
        <w:highlight w:val="white"/>
      </w:rPr>
      <w:fldChar w:fldCharType="begin"/>
    </w:r>
    <w:r>
      <w:rPr>
        <w:i/>
        <w:sz w:val="20"/>
        <w:szCs w:val="20"/>
        <w:highlight w:val="white"/>
      </w:rPr>
      <w:instrText>PAGE</w:instrText>
    </w:r>
    <w:r>
      <w:rPr>
        <w:i/>
        <w:sz w:val="20"/>
        <w:szCs w:val="20"/>
        <w:highlight w:val="white"/>
      </w:rPr>
      <w:fldChar w:fldCharType="separate"/>
    </w:r>
    <w:r>
      <w:rPr>
        <w:i/>
        <w:noProof/>
        <w:sz w:val="20"/>
        <w:szCs w:val="20"/>
        <w:highlight w:val="white"/>
      </w:rPr>
      <w:t>2</w:t>
    </w:r>
    <w:r>
      <w:rPr>
        <w:i/>
        <w:sz w:val="20"/>
        <w:szCs w:val="20"/>
        <w:highlight w:val="whit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1A07" w14:textId="557D0804" w:rsidR="004F7DB3" w:rsidRDefault="00C00123">
    <w:pPr>
      <w:pBdr>
        <w:top w:val="single" w:sz="4" w:space="1" w:color="D9D9D9"/>
        <w:left w:val="nil"/>
        <w:bottom w:val="nil"/>
        <w:right w:val="nil"/>
        <w:between w:val="nil"/>
      </w:pBdr>
      <w:tabs>
        <w:tab w:val="center" w:pos="4153"/>
        <w:tab w:val="right" w:pos="8306"/>
        <w:tab w:val="left" w:pos="345"/>
        <w:tab w:val="right" w:pos="9360"/>
      </w:tabs>
      <w:spacing w:after="60" w:line="240" w:lineRule="auto"/>
      <w:jc w:val="right"/>
      <w:rPr>
        <w:color w:val="000000"/>
        <w:sz w:val="18"/>
        <w:szCs w:val="18"/>
      </w:rPr>
    </w:pPr>
    <w:r>
      <w:rPr>
        <w:color w:val="000000"/>
        <w:sz w:val="18"/>
        <w:szCs w:val="18"/>
      </w:rPr>
      <w:tab/>
    </w:r>
    <w:r>
      <w:rPr>
        <w:color w:val="000000"/>
        <w:sz w:val="18"/>
        <w:szCs w:val="18"/>
      </w:rPr>
      <w:tab/>
    </w:r>
    <w:r>
      <w:rPr>
        <w:color w:val="000000"/>
        <w:sz w:val="18"/>
        <w:szCs w:val="18"/>
      </w:rPr>
      <w:tab/>
    </w:r>
    <w:r>
      <w:rPr>
        <w:color w:val="000000"/>
        <w:sz w:val="18"/>
        <w:szCs w:val="18"/>
      </w:rPr>
      <w:tab/>
    </w:r>
    <w:r>
      <w:rPr>
        <w:color w:val="2B579A"/>
        <w:sz w:val="18"/>
        <w:szCs w:val="18"/>
        <w:shd w:val="clear" w:color="auto" w:fill="E6E6E6"/>
      </w:rPr>
      <w:fldChar w:fldCharType="begin"/>
    </w:r>
    <w:r>
      <w:rPr>
        <w:color w:val="2B579A"/>
        <w:sz w:val="18"/>
        <w:szCs w:val="18"/>
        <w:shd w:val="clear" w:color="auto" w:fill="E6E6E6"/>
      </w:rPr>
      <w:instrText>PAGE</w:instrText>
    </w:r>
    <w:r>
      <w:rPr>
        <w:color w:val="2B579A"/>
        <w:sz w:val="18"/>
        <w:szCs w:val="18"/>
        <w:shd w:val="clear" w:color="auto" w:fill="E6E6E6"/>
      </w:rPr>
      <w:fldChar w:fldCharType="separate"/>
    </w:r>
    <w:r>
      <w:rPr>
        <w:noProof/>
        <w:color w:val="2B579A"/>
        <w:sz w:val="18"/>
        <w:szCs w:val="18"/>
        <w:shd w:val="clear" w:color="auto" w:fill="E6E6E6"/>
      </w:rPr>
      <w:t>1</w:t>
    </w:r>
    <w:r>
      <w:rPr>
        <w:color w:val="2B579A"/>
        <w:sz w:val="18"/>
        <w:szCs w:val="18"/>
        <w:shd w:val="clear" w:color="auto" w:fill="E6E6E6"/>
      </w:rPr>
      <w:fldChar w:fldCharType="end"/>
    </w:r>
    <w:r>
      <w:rPr>
        <w:color w:val="000000"/>
        <w:sz w:val="18"/>
        <w:szCs w:val="18"/>
      </w:rPr>
      <w:t xml:space="preserve"> | </w:t>
    </w:r>
    <w:r>
      <w:rPr>
        <w:color w:val="7F7F7F"/>
        <w:sz w:val="18"/>
        <w:szCs w:val="18"/>
      </w:rPr>
      <w:t>Page</w:t>
    </w:r>
  </w:p>
  <w:p w14:paraId="00001A08" w14:textId="77777777" w:rsidR="004F7DB3" w:rsidRDefault="004F7DB3">
    <w:pPr>
      <w:pBdr>
        <w:top w:val="nil"/>
        <w:left w:val="nil"/>
        <w:bottom w:val="nil"/>
        <w:right w:val="nil"/>
        <w:between w:val="nil"/>
      </w:pBdr>
      <w:tabs>
        <w:tab w:val="center" w:pos="4153"/>
        <w:tab w:val="right" w:pos="8306"/>
      </w:tabs>
      <w:spacing w:after="60" w:line="240" w:lineRule="auto"/>
      <w:jc w:val="both"/>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1A09" w14:textId="77777777" w:rsidR="004F7DB3" w:rsidRDefault="004F7DB3">
    <w:pPr>
      <w:pBdr>
        <w:top w:val="nil"/>
        <w:left w:val="nil"/>
        <w:bottom w:val="nil"/>
        <w:right w:val="nil"/>
        <w:between w:val="nil"/>
      </w:pBdr>
      <w:tabs>
        <w:tab w:val="center" w:pos="4153"/>
        <w:tab w:val="right" w:pos="8306"/>
      </w:tabs>
      <w:spacing w:after="60" w:line="240" w:lineRule="auto"/>
      <w:jc w:val="both"/>
      <w:rPr>
        <w:color w:val="000000"/>
        <w:sz w:val="20"/>
        <w:szCs w:val="20"/>
      </w:rPr>
    </w:pPr>
  </w:p>
  <w:p w14:paraId="00001A0A" w14:textId="2560FDB9" w:rsidR="004F7DB3" w:rsidRDefault="00C00123">
    <w:pPr>
      <w:pBdr>
        <w:top w:val="single" w:sz="4" w:space="1" w:color="D9D9D9"/>
        <w:left w:val="nil"/>
        <w:bottom w:val="nil"/>
        <w:right w:val="nil"/>
        <w:between w:val="nil"/>
      </w:pBdr>
      <w:tabs>
        <w:tab w:val="center" w:pos="4153"/>
        <w:tab w:val="right" w:pos="8306"/>
      </w:tabs>
      <w:spacing w:after="60" w:line="240" w:lineRule="auto"/>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213</w:t>
    </w:r>
    <w:r>
      <w:rPr>
        <w:color w:val="000000"/>
        <w:sz w:val="20"/>
        <w:szCs w:val="20"/>
      </w:rPr>
      <w:fldChar w:fldCharType="end"/>
    </w:r>
    <w:r>
      <w:rPr>
        <w:color w:val="000000"/>
        <w:sz w:val="20"/>
        <w:szCs w:val="20"/>
      </w:rPr>
      <w:t xml:space="preserve"> | </w:t>
    </w:r>
    <w:r>
      <w:rPr>
        <w:color w:val="7F7F7F"/>
        <w:sz w:val="20"/>
        <w:szCs w:val="20"/>
      </w:rPr>
      <w:t>Page</w:t>
    </w:r>
  </w:p>
  <w:p w14:paraId="00001A0B" w14:textId="77777777" w:rsidR="004F7DB3" w:rsidRDefault="004F7DB3">
    <w:pPr>
      <w:pBdr>
        <w:top w:val="nil"/>
        <w:left w:val="nil"/>
        <w:bottom w:val="nil"/>
        <w:right w:val="nil"/>
        <w:between w:val="nil"/>
      </w:pBdr>
      <w:tabs>
        <w:tab w:val="center" w:pos="4153"/>
        <w:tab w:val="right" w:pos="8306"/>
      </w:tabs>
      <w:spacing w:after="60" w:line="240" w:lineRule="auto"/>
      <w:jc w:val="both"/>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4594A" w14:textId="77777777" w:rsidR="00585E7A" w:rsidRDefault="00585E7A">
      <w:pPr>
        <w:spacing w:after="0" w:line="240" w:lineRule="auto"/>
      </w:pPr>
      <w:r>
        <w:separator/>
      </w:r>
    </w:p>
  </w:footnote>
  <w:footnote w:type="continuationSeparator" w:id="0">
    <w:p w14:paraId="6E0A2EF6" w14:textId="77777777" w:rsidR="00585E7A" w:rsidRDefault="00585E7A">
      <w:pPr>
        <w:spacing w:after="0" w:line="240" w:lineRule="auto"/>
      </w:pPr>
      <w:r>
        <w:continuationSeparator/>
      </w:r>
    </w:p>
  </w:footnote>
  <w:footnote w:id="1">
    <w:p w14:paraId="000019BE" w14:textId="77777777" w:rsidR="004F7DB3" w:rsidRPr="006F5E1D" w:rsidRDefault="00C00123">
      <w:pPr>
        <w:spacing w:after="0" w:line="240" w:lineRule="auto"/>
        <w:rPr>
          <w:sz w:val="16"/>
          <w:szCs w:val="16"/>
          <w:lang w:val="en-US"/>
        </w:rPr>
      </w:pPr>
      <w:r w:rsidRPr="006F5E1D">
        <w:rPr>
          <w:sz w:val="16"/>
          <w:szCs w:val="16"/>
          <w:vertAlign w:val="superscript"/>
        </w:rPr>
        <w:footnoteRef/>
      </w:r>
      <w:r w:rsidRPr="006F5E1D">
        <w:rPr>
          <w:sz w:val="16"/>
          <w:szCs w:val="16"/>
          <w:lang w:val="en-US"/>
        </w:rPr>
        <w:t xml:space="preserve"> Source: World Bank, 2024. "Bamako Urban Sector Review - An Engine of Growth and Service Delivery"</w:t>
      </w:r>
    </w:p>
  </w:footnote>
  <w:footnote w:id="2">
    <w:p w14:paraId="000019BF" w14:textId="77777777" w:rsidR="004F7DB3" w:rsidRPr="006F5E1D" w:rsidRDefault="00C00123">
      <w:pPr>
        <w:spacing w:after="0" w:line="240" w:lineRule="auto"/>
        <w:rPr>
          <w:sz w:val="16"/>
          <w:szCs w:val="16"/>
        </w:rPr>
      </w:pPr>
      <w:r w:rsidRPr="006F5E1D">
        <w:rPr>
          <w:sz w:val="16"/>
          <w:szCs w:val="16"/>
          <w:vertAlign w:val="superscript"/>
        </w:rPr>
        <w:footnoteRef/>
      </w:r>
      <w:r w:rsidRPr="006F5E1D">
        <w:rPr>
          <w:sz w:val="16"/>
          <w:szCs w:val="16"/>
        </w:rPr>
        <w:t xml:space="preserve"> Source: Idem</w:t>
      </w:r>
    </w:p>
  </w:footnote>
  <w:footnote w:id="3">
    <w:p w14:paraId="000019C0" w14:textId="77777777" w:rsidR="004F7DB3" w:rsidRPr="006F5E1D" w:rsidRDefault="00C00123">
      <w:pPr>
        <w:spacing w:after="0" w:line="240" w:lineRule="auto"/>
        <w:rPr>
          <w:sz w:val="16"/>
          <w:szCs w:val="16"/>
        </w:rPr>
      </w:pPr>
      <w:r w:rsidRPr="006F5E1D">
        <w:rPr>
          <w:sz w:val="16"/>
          <w:szCs w:val="16"/>
          <w:vertAlign w:val="superscript"/>
        </w:rPr>
        <w:footnoteRef/>
      </w:r>
      <w:r w:rsidRPr="006F5E1D">
        <w:rPr>
          <w:sz w:val="16"/>
          <w:szCs w:val="16"/>
        </w:rPr>
        <w:t xml:space="preserve"> Source: </w:t>
      </w:r>
      <w:hyperlink r:id="rId1">
        <w:r w:rsidRPr="006F5E1D">
          <w:rPr>
            <w:color w:val="1155CC"/>
            <w:sz w:val="16"/>
            <w:szCs w:val="16"/>
            <w:u w:val="single"/>
          </w:rPr>
          <w:t>rapport-situation-jeunes-rgph5_rgph.pdf</w:t>
        </w:r>
      </w:hyperlink>
    </w:p>
  </w:footnote>
  <w:footnote w:id="4">
    <w:p w14:paraId="000019C1" w14:textId="77777777" w:rsidR="004F7DB3" w:rsidRPr="006F5E1D" w:rsidRDefault="00C00123">
      <w:pPr>
        <w:spacing w:after="0" w:line="240" w:lineRule="auto"/>
        <w:rPr>
          <w:sz w:val="16"/>
          <w:szCs w:val="16"/>
        </w:rPr>
      </w:pPr>
      <w:r w:rsidRPr="006F5E1D">
        <w:rPr>
          <w:sz w:val="16"/>
          <w:szCs w:val="16"/>
          <w:vertAlign w:val="superscript"/>
        </w:rPr>
        <w:footnoteRef/>
      </w:r>
      <w:r w:rsidRPr="006F5E1D">
        <w:rPr>
          <w:sz w:val="16"/>
          <w:szCs w:val="16"/>
        </w:rPr>
        <w:t xml:space="preserve"> </w:t>
      </w:r>
      <w:hyperlink r:id="rId2">
        <w:r w:rsidRPr="006F5E1D">
          <w:rPr>
            <w:color w:val="1155CC"/>
            <w:sz w:val="16"/>
            <w:szCs w:val="16"/>
            <w:u w:val="single"/>
          </w:rPr>
          <w:t>Rapport_DTM_SEPTEMBRE_2024</w:t>
        </w:r>
      </w:hyperlink>
    </w:p>
  </w:footnote>
  <w:footnote w:id="5">
    <w:p w14:paraId="000019C2" w14:textId="77777777" w:rsidR="004F7DB3" w:rsidRPr="006F5E1D" w:rsidRDefault="00C00123">
      <w:pPr>
        <w:spacing w:after="0" w:line="240" w:lineRule="auto"/>
        <w:rPr>
          <w:sz w:val="16"/>
          <w:szCs w:val="16"/>
        </w:rPr>
      </w:pPr>
      <w:r w:rsidRPr="006F5E1D">
        <w:rPr>
          <w:sz w:val="16"/>
          <w:szCs w:val="16"/>
          <w:vertAlign w:val="superscript"/>
        </w:rPr>
        <w:footnoteRef/>
      </w:r>
      <w:r w:rsidRPr="006F5E1D">
        <w:rPr>
          <w:sz w:val="16"/>
          <w:szCs w:val="16"/>
        </w:rPr>
        <w:t xml:space="preserve"> Source: </w:t>
      </w:r>
      <w:hyperlink r:id="rId3">
        <w:r w:rsidRPr="006F5E1D">
          <w:rPr>
            <w:color w:val="1155CC"/>
            <w:sz w:val="16"/>
            <w:szCs w:val="16"/>
            <w:u w:val="single"/>
          </w:rPr>
          <w:t>odhd-mali.org/uploads/38f9d225d0816a393146028f03b29c66a1e80b63.pdf</w:t>
        </w:r>
      </w:hyperlink>
    </w:p>
  </w:footnote>
  <w:footnote w:id="6">
    <w:p w14:paraId="000019C3" w14:textId="77777777" w:rsidR="004F7DB3" w:rsidRPr="006F5E1D" w:rsidRDefault="00C00123">
      <w:pPr>
        <w:spacing w:after="0" w:line="240" w:lineRule="auto"/>
        <w:rPr>
          <w:sz w:val="16"/>
          <w:szCs w:val="16"/>
        </w:rPr>
      </w:pPr>
      <w:r w:rsidRPr="006F5E1D">
        <w:rPr>
          <w:sz w:val="16"/>
          <w:szCs w:val="16"/>
          <w:vertAlign w:val="superscript"/>
        </w:rPr>
        <w:footnoteRef/>
      </w:r>
      <w:r w:rsidRPr="006F5E1D">
        <w:rPr>
          <w:sz w:val="16"/>
          <w:szCs w:val="16"/>
        </w:rPr>
        <w:t xml:space="preserve">  Source: </w:t>
      </w:r>
      <w:hyperlink r:id="rId4">
        <w:r w:rsidRPr="006F5E1D">
          <w:rPr>
            <w:color w:val="1155CC"/>
            <w:sz w:val="16"/>
            <w:szCs w:val="16"/>
            <w:u w:val="single"/>
          </w:rPr>
          <w:t>ranuel23_eq.pdf</w:t>
        </w:r>
      </w:hyperlink>
    </w:p>
  </w:footnote>
  <w:footnote w:id="7">
    <w:p w14:paraId="000019C4" w14:textId="77777777" w:rsidR="004F7DB3" w:rsidRPr="006F5E1D" w:rsidRDefault="00C00123">
      <w:pPr>
        <w:spacing w:after="0" w:line="240" w:lineRule="auto"/>
        <w:rPr>
          <w:sz w:val="16"/>
          <w:szCs w:val="16"/>
        </w:rPr>
      </w:pPr>
      <w:r w:rsidRPr="006F5E1D">
        <w:rPr>
          <w:sz w:val="16"/>
          <w:szCs w:val="16"/>
          <w:vertAlign w:val="superscript"/>
        </w:rPr>
        <w:footnoteRef/>
      </w:r>
      <w:r w:rsidRPr="006F5E1D">
        <w:rPr>
          <w:sz w:val="16"/>
          <w:szCs w:val="16"/>
        </w:rPr>
        <w:t xml:space="preserve">  Source: Stratégie de Jeunesse des Nations Unies au Mali (2020-2024)</w:t>
      </w:r>
    </w:p>
  </w:footnote>
  <w:footnote w:id="8">
    <w:p w14:paraId="000019C5" w14:textId="77777777" w:rsidR="004F7DB3" w:rsidRPr="006F5E1D" w:rsidRDefault="00C00123">
      <w:pPr>
        <w:spacing w:after="0" w:line="240" w:lineRule="auto"/>
        <w:rPr>
          <w:sz w:val="16"/>
          <w:szCs w:val="16"/>
          <w:lang w:val="en-US"/>
        </w:rPr>
      </w:pPr>
      <w:r w:rsidRPr="006F5E1D">
        <w:rPr>
          <w:sz w:val="16"/>
          <w:szCs w:val="16"/>
          <w:vertAlign w:val="superscript"/>
        </w:rPr>
        <w:footnoteRef/>
      </w:r>
      <w:r w:rsidRPr="006F5E1D">
        <w:rPr>
          <w:sz w:val="16"/>
          <w:szCs w:val="16"/>
          <w:lang w:val="en-US"/>
        </w:rPr>
        <w:t xml:space="preserve"> Source: World Bank, 2024. "Bamako Urban Sector Review - An Engine of Growth and Service Delivery"</w:t>
      </w:r>
    </w:p>
  </w:footnote>
  <w:footnote w:id="9">
    <w:p w14:paraId="000019C7" w14:textId="681B6EC0" w:rsidR="004F7DB3" w:rsidRPr="006F5E1D" w:rsidRDefault="00C00123" w:rsidP="00B0130E">
      <w:pPr>
        <w:spacing w:after="0" w:line="240" w:lineRule="auto"/>
        <w:rPr>
          <w:sz w:val="16"/>
          <w:szCs w:val="16"/>
          <w:lang w:val="en-US"/>
        </w:rPr>
      </w:pPr>
      <w:r w:rsidRPr="006F5E1D">
        <w:rPr>
          <w:sz w:val="16"/>
          <w:szCs w:val="16"/>
          <w:vertAlign w:val="superscript"/>
        </w:rPr>
        <w:footnoteRef/>
      </w:r>
      <w:r w:rsidRPr="006F5E1D">
        <w:rPr>
          <w:sz w:val="16"/>
          <w:szCs w:val="16"/>
          <w:lang w:val="en-US"/>
        </w:rPr>
        <w:t xml:space="preserve"> Source: World Bank, 2024. "Bamako Urban Sector Review - An Engine of Growth and Service Delivery"</w:t>
      </w:r>
    </w:p>
  </w:footnote>
  <w:footnote w:id="10">
    <w:p w14:paraId="000019C8" w14:textId="77777777" w:rsidR="004F7DB3" w:rsidRPr="006F5E1D" w:rsidRDefault="00C00123">
      <w:pPr>
        <w:spacing w:after="0" w:line="240" w:lineRule="auto"/>
        <w:rPr>
          <w:sz w:val="16"/>
          <w:szCs w:val="16"/>
        </w:rPr>
      </w:pPr>
      <w:r w:rsidRPr="006F5E1D">
        <w:rPr>
          <w:sz w:val="16"/>
          <w:szCs w:val="16"/>
          <w:vertAlign w:val="superscript"/>
        </w:rPr>
        <w:footnoteRef/>
      </w:r>
      <w:r w:rsidRPr="006F5E1D">
        <w:rPr>
          <w:sz w:val="16"/>
          <w:szCs w:val="16"/>
        </w:rPr>
        <w:t xml:space="preserve"> Idem</w:t>
      </w:r>
    </w:p>
  </w:footnote>
  <w:footnote w:id="11">
    <w:p w14:paraId="000019C9" w14:textId="77777777" w:rsidR="004F7DB3" w:rsidRPr="006F5E1D" w:rsidRDefault="00C00123">
      <w:pPr>
        <w:spacing w:after="0" w:line="240" w:lineRule="auto"/>
        <w:rPr>
          <w:sz w:val="16"/>
          <w:szCs w:val="16"/>
        </w:rPr>
      </w:pPr>
      <w:r w:rsidRPr="006F5E1D">
        <w:rPr>
          <w:sz w:val="16"/>
          <w:szCs w:val="16"/>
          <w:vertAlign w:val="superscript"/>
        </w:rPr>
        <w:footnoteRef/>
      </w:r>
      <w:r w:rsidRPr="006F5E1D">
        <w:rPr>
          <w:sz w:val="16"/>
          <w:szCs w:val="16"/>
        </w:rPr>
        <w:t xml:space="preserve"> Idem</w:t>
      </w:r>
    </w:p>
  </w:footnote>
  <w:footnote w:id="12">
    <w:p w14:paraId="000019CA" w14:textId="77777777" w:rsidR="004F7DB3" w:rsidRDefault="00C00123">
      <w:pPr>
        <w:spacing w:after="0" w:line="240" w:lineRule="auto"/>
        <w:rPr>
          <w:sz w:val="20"/>
          <w:szCs w:val="20"/>
        </w:rPr>
      </w:pPr>
      <w:r w:rsidRPr="006F5E1D">
        <w:rPr>
          <w:sz w:val="16"/>
          <w:szCs w:val="16"/>
          <w:vertAlign w:val="superscript"/>
        </w:rPr>
        <w:footnoteRef/>
      </w:r>
      <w:r w:rsidRPr="006F5E1D">
        <w:rPr>
          <w:sz w:val="16"/>
          <w:szCs w:val="16"/>
        </w:rPr>
        <w:t xml:space="preserve"> Idem</w:t>
      </w:r>
    </w:p>
  </w:footnote>
  <w:footnote w:id="13">
    <w:p w14:paraId="7CFDE834" w14:textId="77777777" w:rsidR="00CB7C54" w:rsidRPr="00CB7C54" w:rsidRDefault="00CB7C54" w:rsidP="00CB7C54">
      <w:pPr>
        <w:spacing w:after="0" w:line="257" w:lineRule="auto"/>
        <w:jc w:val="both"/>
        <w:rPr>
          <w:sz w:val="18"/>
          <w:szCs w:val="18"/>
        </w:rPr>
      </w:pPr>
      <w:r w:rsidRPr="00CB7C54">
        <w:rPr>
          <w:rStyle w:val="Appelnotedebasdep"/>
          <w:rFonts w:ascii="Calibri" w:hAnsi="Calibri"/>
          <w:szCs w:val="18"/>
        </w:rPr>
        <w:footnoteRef/>
      </w:r>
      <w:r w:rsidRPr="00CB7C54">
        <w:rPr>
          <w:sz w:val="18"/>
          <w:szCs w:val="18"/>
        </w:rPr>
        <w:t xml:space="preserve"> </w:t>
      </w:r>
      <w:r w:rsidRPr="003657F0">
        <w:rPr>
          <w:sz w:val="16"/>
          <w:szCs w:val="16"/>
        </w:rPr>
        <w:t>Journal officiel de la République du Mali du 17 mars 2017 : PNTITD</w:t>
      </w:r>
    </w:p>
    <w:p w14:paraId="0611A2D6" w14:textId="33C208D4" w:rsidR="00CB7C54" w:rsidRDefault="00CB7C54">
      <w:pPr>
        <w:pStyle w:val="Notedebasdepage"/>
      </w:pPr>
    </w:p>
  </w:footnote>
  <w:footnote w:id="14">
    <w:p w14:paraId="39AD55F1" w14:textId="2E48E5E8" w:rsidR="00CB7C54" w:rsidRPr="003657F0" w:rsidRDefault="00CB7C54">
      <w:pPr>
        <w:pStyle w:val="Notedebasdepage"/>
        <w:rPr>
          <w:sz w:val="16"/>
          <w:szCs w:val="16"/>
        </w:rPr>
      </w:pPr>
      <w:r>
        <w:rPr>
          <w:rStyle w:val="Appelnotedebasdep"/>
        </w:rPr>
        <w:footnoteRef/>
      </w:r>
      <w:r>
        <w:t xml:space="preserve"> </w:t>
      </w:r>
      <w:r w:rsidR="008303C2" w:rsidRPr="003657F0">
        <w:rPr>
          <w:rFonts w:eastAsia="Aptos"/>
          <w:sz w:val="16"/>
          <w:szCs w:val="16"/>
        </w:rPr>
        <w:t xml:space="preserve">Rapport d’évaluation de la Politique Nationales des Transports des Infrastructures de Transport et du Désenclavement. </w:t>
      </w:r>
      <w:r w:rsidR="008303C2" w:rsidRPr="009344DA">
        <w:rPr>
          <w:rFonts w:eastAsia="Aptos"/>
          <w:sz w:val="16"/>
          <w:szCs w:val="16"/>
        </w:rPr>
        <w:t>1er Plan d’actions 2015 6 2019</w:t>
      </w:r>
    </w:p>
  </w:footnote>
  <w:footnote w:id="15">
    <w:p w14:paraId="526FCB3B" w14:textId="77777777" w:rsidR="00EC4E8A" w:rsidRPr="006F5E1D" w:rsidRDefault="00EC4E8A" w:rsidP="00EC4E8A">
      <w:pPr>
        <w:pStyle w:val="Notedebasdepage"/>
        <w:rPr>
          <w:sz w:val="16"/>
          <w:szCs w:val="16"/>
        </w:rPr>
      </w:pPr>
      <w:r>
        <w:rPr>
          <w:rStyle w:val="Appelnotedebasdep"/>
        </w:rPr>
        <w:footnoteRef/>
      </w:r>
      <w:r w:rsidRPr="006F5E1D">
        <w:t xml:space="preserve"> </w:t>
      </w:r>
      <w:r w:rsidRPr="006F5E1D">
        <w:rPr>
          <w:sz w:val="16"/>
          <w:szCs w:val="16"/>
        </w:rPr>
        <w:t>Governance, operational effectiveness, operational efficiency, effects, sustainability</w:t>
      </w:r>
    </w:p>
    <w:p w14:paraId="41E1AFF5" w14:textId="25D4706D" w:rsidR="00EC4E8A" w:rsidRPr="006F5E1D" w:rsidRDefault="00EC4E8A">
      <w:pPr>
        <w:pStyle w:val="Notedebasdepage"/>
      </w:pPr>
    </w:p>
  </w:footnote>
  <w:footnote w:id="16">
    <w:p w14:paraId="595751EF" w14:textId="27AD259D" w:rsidR="00B44144" w:rsidRPr="00B44144" w:rsidRDefault="00B44144">
      <w:pPr>
        <w:pStyle w:val="Notedebasdepage"/>
      </w:pPr>
      <w:r>
        <w:rPr>
          <w:rStyle w:val="Appelnotedebasdep"/>
        </w:rPr>
        <w:footnoteRef/>
      </w:r>
      <w:r w:rsidRPr="00B44144">
        <w:t xml:space="preserve"> </w:t>
      </w:r>
      <w:r w:rsidRPr="00C078AC">
        <w:rPr>
          <w:sz w:val="16"/>
          <w:szCs w:val="16"/>
        </w:rPr>
        <w:t>Plan stratégique de renouvellement du parc de transport commercial, 2020, Ministère des Transports et des Infrastructures</w:t>
      </w:r>
    </w:p>
  </w:footnote>
  <w:footnote w:id="17">
    <w:p w14:paraId="686B4139" w14:textId="0EF0F037" w:rsidR="00B44144" w:rsidRPr="00C01B32" w:rsidRDefault="00B44144">
      <w:pPr>
        <w:pStyle w:val="Notedebasdepage"/>
        <w:rPr>
          <w:sz w:val="16"/>
          <w:szCs w:val="16"/>
          <w:lang w:val="en-US"/>
        </w:rPr>
      </w:pPr>
      <w:r>
        <w:rPr>
          <w:rStyle w:val="Appelnotedebasdep"/>
        </w:rPr>
        <w:footnoteRef/>
      </w:r>
      <w:r w:rsidRPr="00C01B32">
        <w:rPr>
          <w:lang w:val="en-US"/>
        </w:rPr>
        <w:t xml:space="preserve"> </w:t>
      </w:r>
      <w:r w:rsidR="00594976" w:rsidRPr="00C01B32">
        <w:rPr>
          <w:sz w:val="16"/>
          <w:szCs w:val="16"/>
          <w:lang w:val="en-US"/>
        </w:rPr>
        <w:t>Idem</w:t>
      </w:r>
    </w:p>
  </w:footnote>
  <w:footnote w:id="18">
    <w:p w14:paraId="35F432E3" w14:textId="4B8684DD" w:rsidR="00C01B32" w:rsidRPr="00C01B32" w:rsidRDefault="00C01B32">
      <w:pPr>
        <w:pStyle w:val="Notedebasdepage"/>
        <w:rPr>
          <w:lang w:val="en-US"/>
        </w:rPr>
      </w:pPr>
      <w:r>
        <w:rPr>
          <w:rStyle w:val="Appelnotedebasdep"/>
        </w:rPr>
        <w:footnoteRef/>
      </w:r>
      <w:r w:rsidRPr="00C01B32">
        <w:rPr>
          <w:lang w:val="en-US"/>
        </w:rPr>
        <w:t xml:space="preserve"> </w:t>
      </w:r>
      <w:r w:rsidRPr="004E46EF">
        <w:rPr>
          <w:sz w:val="16"/>
          <w:szCs w:val="16"/>
          <w:lang w:val="en-US"/>
        </w:rPr>
        <w:t>Energy Access and Climate Action Plan (PAAEDC-DB</w:t>
      </w:r>
      <w:r w:rsidRPr="00AC0000">
        <w:rPr>
          <w:sz w:val="16"/>
          <w:szCs w:val="16"/>
          <w:lang w:val="en-US"/>
        </w:rPr>
        <w:t>), 2023</w:t>
      </w:r>
    </w:p>
  </w:footnote>
  <w:footnote w:id="19">
    <w:p w14:paraId="000019CE" w14:textId="77777777" w:rsidR="004F7DB3" w:rsidRPr="006F5E1D" w:rsidRDefault="00C00123">
      <w:pPr>
        <w:spacing w:after="0" w:line="240" w:lineRule="auto"/>
        <w:rPr>
          <w:sz w:val="16"/>
          <w:szCs w:val="16"/>
        </w:rPr>
      </w:pPr>
      <w:r w:rsidRPr="006F5E1D">
        <w:rPr>
          <w:sz w:val="16"/>
          <w:szCs w:val="16"/>
          <w:vertAlign w:val="superscript"/>
        </w:rPr>
        <w:footnoteRef/>
      </w:r>
      <w:r w:rsidRPr="006F5E1D">
        <w:rPr>
          <w:sz w:val="16"/>
          <w:szCs w:val="16"/>
        </w:rPr>
        <w:t xml:space="preserve"> Revue-IRS, MOBILITE URBAINE ET QUALITE DE L’AIR A BAMAKO, ISSN : 2958-8413 Vol. 2, No. 3, Mai 2024 </w:t>
      </w:r>
    </w:p>
  </w:footnote>
  <w:footnote w:id="20">
    <w:p w14:paraId="000019CF" w14:textId="7F74ADA3" w:rsidR="004F7DB3" w:rsidRPr="006F5E1D" w:rsidRDefault="00C00123">
      <w:pPr>
        <w:spacing w:after="0" w:line="240" w:lineRule="auto"/>
        <w:rPr>
          <w:sz w:val="16"/>
          <w:szCs w:val="16"/>
        </w:rPr>
      </w:pPr>
      <w:r w:rsidRPr="006F5E1D">
        <w:rPr>
          <w:sz w:val="16"/>
          <w:szCs w:val="16"/>
          <w:vertAlign w:val="superscript"/>
        </w:rPr>
        <w:footnoteRef/>
      </w:r>
      <w:r w:rsidRPr="006F5E1D">
        <w:rPr>
          <w:sz w:val="16"/>
          <w:szCs w:val="16"/>
        </w:rPr>
        <w:t xml:space="preserve"> RAPPORT ANNUEL D'</w:t>
      </w:r>
      <w:r w:rsidR="0014735A" w:rsidRPr="006F5E1D">
        <w:rPr>
          <w:sz w:val="16"/>
          <w:szCs w:val="16"/>
        </w:rPr>
        <w:t>ACTIVITY</w:t>
      </w:r>
      <w:r w:rsidRPr="006F5E1D">
        <w:rPr>
          <w:sz w:val="16"/>
          <w:szCs w:val="16"/>
        </w:rPr>
        <w:t>S 2023, SOMAGEP</w:t>
      </w:r>
    </w:p>
    <w:p w14:paraId="000019D0" w14:textId="77777777" w:rsidR="004F7DB3" w:rsidRDefault="004F7DB3">
      <w:pPr>
        <w:spacing w:after="0" w:line="240" w:lineRule="auto"/>
        <w:rPr>
          <w:sz w:val="20"/>
          <w:szCs w:val="20"/>
        </w:rPr>
      </w:pPr>
    </w:p>
  </w:footnote>
  <w:footnote w:id="21">
    <w:p w14:paraId="000019D1" w14:textId="77777777" w:rsidR="004F7DB3" w:rsidRPr="006F5E1D" w:rsidRDefault="00C00123">
      <w:pPr>
        <w:spacing w:after="0" w:line="240" w:lineRule="auto"/>
        <w:rPr>
          <w:sz w:val="18"/>
          <w:szCs w:val="18"/>
        </w:rPr>
      </w:pPr>
      <w:r w:rsidRPr="006F5E1D">
        <w:rPr>
          <w:sz w:val="18"/>
          <w:szCs w:val="18"/>
          <w:vertAlign w:val="superscript"/>
        </w:rPr>
        <w:footnoteRef/>
      </w:r>
      <w:r w:rsidRPr="006F5E1D">
        <w:rPr>
          <w:sz w:val="18"/>
          <w:szCs w:val="18"/>
        </w:rPr>
        <w:t xml:space="preserve"> Source: MEA, 2009</w:t>
      </w:r>
    </w:p>
  </w:footnote>
  <w:footnote w:id="22">
    <w:p w14:paraId="000019D2" w14:textId="77777777" w:rsidR="004F7DB3" w:rsidRPr="006F5E1D" w:rsidRDefault="00C00123">
      <w:pPr>
        <w:spacing w:after="0" w:line="240" w:lineRule="auto"/>
        <w:rPr>
          <w:sz w:val="20"/>
          <w:szCs w:val="20"/>
          <w:lang w:val="en-US"/>
        </w:rPr>
      </w:pPr>
      <w:r w:rsidRPr="006F5E1D">
        <w:rPr>
          <w:sz w:val="18"/>
          <w:szCs w:val="18"/>
          <w:vertAlign w:val="superscript"/>
        </w:rPr>
        <w:footnoteRef/>
      </w:r>
      <w:r w:rsidRPr="006F5E1D">
        <w:rPr>
          <w:sz w:val="18"/>
          <w:szCs w:val="18"/>
          <w:lang w:val="en-US"/>
        </w:rPr>
        <w:t xml:space="preserve"> Source: Diallo, 2020</w:t>
      </w:r>
    </w:p>
  </w:footnote>
  <w:footnote w:id="23">
    <w:p w14:paraId="0CFD744D" w14:textId="6E6A0DE4" w:rsidR="37FF86E9" w:rsidRPr="006F5E1D" w:rsidRDefault="37FF86E9" w:rsidP="37FF86E9">
      <w:pPr>
        <w:rPr>
          <w:sz w:val="16"/>
          <w:szCs w:val="16"/>
          <w:lang w:val="en-US"/>
        </w:rPr>
      </w:pPr>
      <w:r w:rsidRPr="37FF86E9">
        <w:rPr>
          <w:sz w:val="16"/>
          <w:szCs w:val="16"/>
        </w:rPr>
        <w:footnoteRef/>
      </w:r>
      <w:r w:rsidRPr="006F5E1D">
        <w:rPr>
          <w:sz w:val="16"/>
          <w:szCs w:val="16"/>
          <w:lang w:val="en-US"/>
        </w:rPr>
        <w:t xml:space="preserve"> Study on Inventory, preservation and enhancement of public spaces in the district of Bamako, Sept 2019, Ministry of Habitat, Urban planning and social hounsing</w:t>
      </w:r>
    </w:p>
  </w:footnote>
  <w:footnote w:id="24">
    <w:p w14:paraId="5CC99FA8" w14:textId="00597F7F" w:rsidR="00AE190F" w:rsidRPr="006F5E1D" w:rsidRDefault="004B48CB" w:rsidP="00AE190F">
      <w:pPr>
        <w:spacing w:after="0" w:line="240" w:lineRule="auto"/>
        <w:rPr>
          <w:sz w:val="18"/>
          <w:szCs w:val="18"/>
          <w:lang w:val="en-US"/>
        </w:rPr>
      </w:pPr>
      <w:r w:rsidRPr="37FF86E9">
        <w:rPr>
          <w:rStyle w:val="Appelnotedebasdep"/>
          <w:lang w:val="en-US"/>
        </w:rPr>
        <w:footnoteRef/>
      </w:r>
      <w:r w:rsidR="37FF86E9" w:rsidRPr="37FF86E9">
        <w:rPr>
          <w:lang w:val="en-US"/>
        </w:rPr>
        <w:t xml:space="preserve"> </w:t>
      </w:r>
      <w:r w:rsidR="37FF86E9" w:rsidRPr="37FF86E9">
        <w:rPr>
          <w:sz w:val="18"/>
          <w:szCs w:val="18"/>
          <w:lang w:val="en-US"/>
        </w:rPr>
        <w:t>Source : study on the inventory, preservation and enhancement of public spaces in the district of Bamako, Sept. 2019</w:t>
      </w:r>
    </w:p>
    <w:p w14:paraId="427180C4" w14:textId="3DFED57C" w:rsidR="004B48CB" w:rsidRPr="006F5E1D" w:rsidRDefault="004B48CB">
      <w:pPr>
        <w:pStyle w:val="Notedebasdepage"/>
        <w:rPr>
          <w:lang w:val="en-US"/>
        </w:rPr>
      </w:pPr>
    </w:p>
  </w:footnote>
  <w:footnote w:id="25">
    <w:p w14:paraId="4F8AB592" w14:textId="05CE389E" w:rsidR="00C15E24" w:rsidRPr="00C6418F" w:rsidRDefault="00C15E24">
      <w:pPr>
        <w:pStyle w:val="Notedebasdepage"/>
        <w:rPr>
          <w:lang w:val="en-US"/>
        </w:rPr>
      </w:pPr>
      <w:r>
        <w:rPr>
          <w:rStyle w:val="Appelnotedebasdep"/>
        </w:rPr>
        <w:footnoteRef/>
      </w:r>
      <w:r w:rsidR="00770920" w:rsidRPr="00C6418F">
        <w:rPr>
          <w:lang w:val="en-US"/>
        </w:rPr>
        <w:t xml:space="preserve"> Source: Diallo et al., 2022</w:t>
      </w:r>
    </w:p>
  </w:footnote>
  <w:footnote w:id="26">
    <w:p w14:paraId="000019F9" w14:textId="6B7A06AC" w:rsidR="004F7DB3" w:rsidRPr="00A425A6" w:rsidRDefault="00C00123" w:rsidP="00486578">
      <w:pPr>
        <w:spacing w:after="0" w:line="240" w:lineRule="auto"/>
        <w:rPr>
          <w:sz w:val="20"/>
          <w:szCs w:val="20"/>
          <w:lang w:val="en-US"/>
        </w:rPr>
      </w:pPr>
      <w:r>
        <w:rPr>
          <w:vertAlign w:val="superscript"/>
        </w:rPr>
        <w:footnoteRef/>
      </w:r>
      <w:r w:rsidRPr="00A425A6">
        <w:rPr>
          <w:sz w:val="20"/>
          <w:szCs w:val="20"/>
          <w:lang w:val="en-US"/>
        </w:rPr>
        <w:t xml:space="preserve"> </w:t>
      </w:r>
      <w:r w:rsidR="00A425A6" w:rsidRPr="00A425A6">
        <w:rPr>
          <w:sz w:val="20"/>
          <w:szCs w:val="20"/>
          <w:lang w:val="en-US"/>
        </w:rPr>
        <w:t>It has just been replaced by SNEDD 2025-2033, but many of its achievements and provisions ractive or capitalized, particularly in the areas of urban development and environmental protection.</w:t>
      </w:r>
    </w:p>
  </w:footnote>
  <w:footnote w:id="27">
    <w:p w14:paraId="000019FA" w14:textId="77777777" w:rsidR="004F7DB3" w:rsidRPr="006F5E1D" w:rsidRDefault="00C00123">
      <w:pPr>
        <w:spacing w:after="0" w:line="240" w:lineRule="auto"/>
        <w:rPr>
          <w:sz w:val="16"/>
          <w:szCs w:val="16"/>
        </w:rPr>
      </w:pPr>
      <w:r w:rsidRPr="006F5E1D">
        <w:rPr>
          <w:sz w:val="16"/>
          <w:szCs w:val="16"/>
          <w:vertAlign w:val="superscript"/>
        </w:rPr>
        <w:footnoteRef/>
      </w:r>
      <w:r w:rsidRPr="006F5E1D">
        <w:rPr>
          <w:sz w:val="16"/>
          <w:szCs w:val="16"/>
        </w:rPr>
        <w:t xml:space="preserve"> </w:t>
      </w:r>
      <w:hyperlink r:id="rId5">
        <w:r w:rsidRPr="006F5E1D">
          <w:rPr>
            <w:color w:val="1155CC"/>
            <w:sz w:val="16"/>
            <w:szCs w:val="16"/>
            <w:u w:val="single"/>
          </w:rPr>
          <w:t>PRTD-MALI | Projet de restauration des Terres Dégradées : Restaurons les ressources, rendons-leur vie ; Dans ce combat, chacun a son rôle à remplir. Ensemble, en slam, en poésie, en action, sauvons notre future, sauvons notre maison</w:t>
        </w:r>
      </w:hyperlink>
    </w:p>
  </w:footnote>
  <w:footnote w:id="28">
    <w:p w14:paraId="743AE171" w14:textId="0317B3E4" w:rsidR="3585F9A1" w:rsidRPr="00857B81" w:rsidRDefault="3585F9A1" w:rsidP="3585F9A1">
      <w:pPr>
        <w:rPr>
          <w:sz w:val="16"/>
          <w:szCs w:val="16"/>
          <w:lang w:val="en-US"/>
        </w:rPr>
      </w:pPr>
      <w:r w:rsidRPr="00857B81">
        <w:rPr>
          <w:sz w:val="16"/>
          <w:szCs w:val="16"/>
          <w:highlight w:val="yellow"/>
          <w:lang w:val="en-US"/>
        </w:rPr>
        <w:footnoteRef/>
      </w:r>
      <w:r w:rsidRPr="00857B81">
        <w:rPr>
          <w:sz w:val="16"/>
          <w:szCs w:val="16"/>
          <w:highlight w:val="yellow"/>
          <w:lang w:val="en-US"/>
        </w:rPr>
        <w:t xml:space="preserve"> Refer to Results Framework section and M&amp;E table for Outcome indicators. For specifc activities indicators that reflect the Socioeconomic benefits please refer to the” cadre de resultats consolidé 260825” annexed.</w:t>
      </w:r>
    </w:p>
  </w:footnote>
  <w:footnote w:id="29">
    <w:p w14:paraId="410BD3EB" w14:textId="3A364A04" w:rsidR="3D58A386" w:rsidRPr="006F5E1D" w:rsidRDefault="3D58A386" w:rsidP="00A000A7">
      <w:pPr>
        <w:rPr>
          <w:sz w:val="16"/>
          <w:szCs w:val="16"/>
          <w:lang w:val="en-US"/>
        </w:rPr>
      </w:pPr>
      <w:r w:rsidRPr="006F5E1D">
        <w:rPr>
          <w:sz w:val="16"/>
          <w:szCs w:val="16"/>
        </w:rPr>
        <w:footnoteRef/>
      </w:r>
      <w:r w:rsidRPr="006F5E1D">
        <w:rPr>
          <w:sz w:val="16"/>
          <w:szCs w:val="16"/>
          <w:lang w:val="en-US"/>
        </w:rPr>
        <w:t xml:space="preserve"> See </w:t>
      </w:r>
      <w:hyperlink r:id="rId6" w:history="1">
        <w:hyperlink r:id="rId7" w:history="1">
          <w:r w:rsidRPr="006F5E1D">
            <w:rPr>
              <w:rStyle w:val="Lienhypertexte"/>
              <w:sz w:val="16"/>
              <w:szCs w:val="16"/>
              <w:lang w:val="en-US"/>
            </w:rPr>
            <w:t>http://www.undp.org/content/undp/en/home/operations/transparency/information_disclosurepolicy/</w:t>
          </w:r>
        </w:hyperlink>
      </w:hyperlink>
    </w:p>
  </w:footnote>
  <w:footnote w:id="30">
    <w:p w14:paraId="0951314F" w14:textId="4FC24269" w:rsidR="3D58A386" w:rsidRPr="006F5E1D" w:rsidRDefault="3D58A386" w:rsidP="00A000A7">
      <w:pPr>
        <w:rPr>
          <w:sz w:val="16"/>
          <w:szCs w:val="16"/>
          <w:lang w:val="en-US"/>
        </w:rPr>
      </w:pPr>
      <w:r w:rsidRPr="006F5E1D">
        <w:rPr>
          <w:sz w:val="16"/>
          <w:szCs w:val="16"/>
        </w:rPr>
        <w:footnoteRef/>
      </w:r>
      <w:r w:rsidRPr="006F5E1D">
        <w:rPr>
          <w:sz w:val="16"/>
          <w:szCs w:val="16"/>
          <w:lang w:val="en-US"/>
        </w:rPr>
        <w:t xml:space="preserve"> See </w:t>
      </w:r>
      <w:hyperlink r:id="rId8" w:history="1">
        <w:hyperlink r:id="rId9" w:history="1">
          <w:r w:rsidRPr="006F5E1D">
            <w:rPr>
              <w:rStyle w:val="Lienhypertexte"/>
              <w:sz w:val="16"/>
              <w:szCs w:val="16"/>
              <w:lang w:val="en-US"/>
            </w:rPr>
            <w:t>https://www.thegef.org/gef/policies_guidelines</w:t>
          </w:r>
        </w:hyperlink>
      </w:hyperlink>
    </w:p>
  </w:footnote>
  <w:footnote w:id="31">
    <w:p w14:paraId="5A7694FE" w14:textId="6E52CE65" w:rsidR="37FF86E9" w:rsidRDefault="37FF86E9" w:rsidP="37FF86E9">
      <w:pPr>
        <w:rPr>
          <w:rStyle w:val="Lienhypertexte"/>
          <w:rFonts w:eastAsia="Times New Roman"/>
          <w:color w:val="0000FF"/>
          <w:sz w:val="16"/>
          <w:szCs w:val="16"/>
          <w:lang w:val="en-US"/>
        </w:rPr>
      </w:pPr>
      <w:r w:rsidRPr="37FF86E9">
        <w:rPr>
          <w:sz w:val="16"/>
          <w:szCs w:val="16"/>
        </w:rPr>
        <w:footnoteRef/>
      </w:r>
      <w:r w:rsidRPr="006F5E1D">
        <w:rPr>
          <w:sz w:val="16"/>
          <w:szCs w:val="16"/>
          <w:lang w:val="en-US"/>
        </w:rPr>
        <w:t xml:space="preserve"> </w:t>
      </w:r>
      <w:r w:rsidRPr="37FF86E9">
        <w:rPr>
          <w:sz w:val="16"/>
          <w:szCs w:val="16"/>
          <w:lang w:val="en-US"/>
        </w:rPr>
        <w:t xml:space="preserve">See </w:t>
      </w:r>
      <w:hyperlink r:id="rId10">
        <w:r w:rsidRPr="37FF86E9">
          <w:rPr>
            <w:rStyle w:val="Lienhypertexte"/>
            <w:rFonts w:eastAsia="Times New Roman"/>
            <w:color w:val="0000FF"/>
            <w:sz w:val="16"/>
            <w:szCs w:val="16"/>
            <w:lang w:val="en-US"/>
          </w:rPr>
          <w:t>https://www.thegef.org/gef/policies_guidelines</w:t>
        </w:r>
      </w:hyperlink>
    </w:p>
  </w:footnote>
  <w:footnote w:id="32">
    <w:p w14:paraId="00001A00" w14:textId="77777777" w:rsidR="004F7DB3" w:rsidRDefault="00C00123">
      <w:pPr>
        <w:widowControl w:val="0"/>
        <w:pBdr>
          <w:top w:val="nil"/>
          <w:left w:val="nil"/>
          <w:bottom w:val="nil"/>
          <w:right w:val="nil"/>
          <w:between w:val="nil"/>
        </w:pBdr>
        <w:spacing w:after="0" w:line="240" w:lineRule="auto"/>
        <w:jc w:val="both"/>
        <w:rPr>
          <w:color w:val="000000"/>
          <w:sz w:val="16"/>
          <w:szCs w:val="16"/>
        </w:rPr>
      </w:pPr>
      <w:r>
        <w:rPr>
          <w:vertAlign w:val="superscript"/>
        </w:rPr>
        <w:footnoteRef/>
      </w:r>
      <w:r>
        <w:rPr>
          <w:color w:val="000000"/>
          <w:sz w:val="16"/>
          <w:szCs w:val="16"/>
        </w:rPr>
        <w:t>Les méthodes de collecte de données doivent décrire les outils spécifiques utilisés pour collecter les données et les informations supplémentaires nécessaires pour soutenir le suivi. Le REP ne peut pas être utilisé comme source de vérification.</w:t>
      </w:r>
    </w:p>
  </w:footnote>
  <w:footnote w:id="33">
    <w:p w14:paraId="3F4DE799" w14:textId="77777777" w:rsidR="00E2683D" w:rsidRPr="008533E7" w:rsidRDefault="00E2683D" w:rsidP="00E2683D">
      <w:pPr>
        <w:pStyle w:val="Notedebasdepage"/>
        <w:rPr>
          <w:lang w:val="en-US"/>
        </w:rPr>
      </w:pPr>
      <w:r w:rsidRPr="003174B4">
        <w:rPr>
          <w:rStyle w:val="Appelnotedebasdep"/>
        </w:rPr>
        <w:footnoteRef/>
      </w:r>
      <w:r w:rsidRPr="008533E7">
        <w:rPr>
          <w:lang w:val="en-US"/>
        </w:rPr>
        <w:t xml:space="preserve"> See </w:t>
      </w:r>
      <w:hyperlink r:id="rId11" w:history="1">
        <w:r w:rsidRPr="008533E7">
          <w:rPr>
            <w:rStyle w:val="Lienhypertexte"/>
            <w:lang w:val="en-US"/>
          </w:rPr>
          <w:t>https://popp.undp.org/</w:t>
        </w:r>
        <w:r w:rsidRPr="008533E7">
          <w:rPr>
            <w:lang w:val="en-US"/>
          </w:rPr>
          <w:t xml:space="preserve"> </w:t>
        </w:r>
        <w:r w:rsidRPr="008533E7">
          <w:rPr>
            <w:rStyle w:val="Lienhypertexte"/>
            <w:lang w:val="en-US"/>
          </w:rPr>
          <w:t>https://popp-prod.acquia.undp.org/policy-page/close-and-transition</w:t>
        </w:r>
      </w:hyperlink>
      <w:r w:rsidRPr="008533E7">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1A04" w14:textId="77777777" w:rsidR="004F7DB3" w:rsidRDefault="004F7DB3" w:rsidP="00ED4BEE">
    <w:pPr>
      <w:spacing w:before="240" w:after="240" w:line="360" w:lineRule="auto"/>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32E4C" w14:textId="5460EAA9" w:rsidR="24AA8F7E" w:rsidRDefault="24AA8F7E" w:rsidP="006F5E1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4AA8F7E" w14:paraId="17D80F18" w14:textId="77777777" w:rsidTr="006F5E1D">
      <w:trPr>
        <w:trHeight w:val="300"/>
      </w:trPr>
      <w:tc>
        <w:tcPr>
          <w:tcW w:w="3020" w:type="dxa"/>
        </w:tcPr>
        <w:p w14:paraId="42B84E9D" w14:textId="0FD1BA79" w:rsidR="24AA8F7E" w:rsidRDefault="24AA8F7E" w:rsidP="006F5E1D">
          <w:pPr>
            <w:pStyle w:val="En-tte"/>
            <w:ind w:left="-115"/>
          </w:pPr>
        </w:p>
      </w:tc>
      <w:tc>
        <w:tcPr>
          <w:tcW w:w="3020" w:type="dxa"/>
        </w:tcPr>
        <w:p w14:paraId="3C5D7B65" w14:textId="0F52D666" w:rsidR="24AA8F7E" w:rsidRDefault="24AA8F7E" w:rsidP="006F5E1D">
          <w:pPr>
            <w:pStyle w:val="En-tte"/>
            <w:jc w:val="center"/>
          </w:pPr>
        </w:p>
      </w:tc>
      <w:tc>
        <w:tcPr>
          <w:tcW w:w="3020" w:type="dxa"/>
        </w:tcPr>
        <w:p w14:paraId="1F8B9D99" w14:textId="50FB3328" w:rsidR="24AA8F7E" w:rsidRDefault="24AA8F7E" w:rsidP="006F5E1D">
          <w:pPr>
            <w:pStyle w:val="En-tte"/>
            <w:ind w:right="-115"/>
            <w:jc w:val="right"/>
          </w:pPr>
        </w:p>
      </w:tc>
    </w:tr>
  </w:tbl>
  <w:p w14:paraId="1A88BA8A" w14:textId="7A8A08DD" w:rsidR="24AA8F7E" w:rsidRDefault="24AA8F7E" w:rsidP="006F5E1D">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5"/>
      <w:gridCol w:w="4665"/>
      <w:gridCol w:w="4665"/>
    </w:tblGrid>
    <w:tr w:rsidR="24AA8F7E" w14:paraId="45F410E8" w14:textId="77777777" w:rsidTr="006F5E1D">
      <w:trPr>
        <w:trHeight w:val="300"/>
      </w:trPr>
      <w:tc>
        <w:tcPr>
          <w:tcW w:w="4665" w:type="dxa"/>
        </w:tcPr>
        <w:p w14:paraId="5F0A47A3" w14:textId="6D856AEF" w:rsidR="24AA8F7E" w:rsidRDefault="24AA8F7E" w:rsidP="006F5E1D">
          <w:pPr>
            <w:pStyle w:val="En-tte"/>
            <w:ind w:left="-115"/>
          </w:pPr>
        </w:p>
      </w:tc>
      <w:tc>
        <w:tcPr>
          <w:tcW w:w="4665" w:type="dxa"/>
        </w:tcPr>
        <w:p w14:paraId="28653066" w14:textId="26B69EF4" w:rsidR="24AA8F7E" w:rsidRDefault="24AA8F7E" w:rsidP="006F5E1D">
          <w:pPr>
            <w:pStyle w:val="En-tte"/>
            <w:jc w:val="center"/>
          </w:pPr>
        </w:p>
      </w:tc>
      <w:tc>
        <w:tcPr>
          <w:tcW w:w="4665" w:type="dxa"/>
        </w:tcPr>
        <w:p w14:paraId="33903963" w14:textId="5703D882" w:rsidR="24AA8F7E" w:rsidRDefault="24AA8F7E" w:rsidP="006F5E1D">
          <w:pPr>
            <w:pStyle w:val="En-tte"/>
            <w:ind w:right="-115"/>
            <w:jc w:val="right"/>
          </w:pPr>
        </w:p>
      </w:tc>
    </w:tr>
  </w:tbl>
  <w:p w14:paraId="0FCF97E4" w14:textId="708F5CAC" w:rsidR="24AA8F7E" w:rsidRDefault="24AA8F7E" w:rsidP="006F5E1D">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4AA8F7E" w14:paraId="5D523551" w14:textId="77777777" w:rsidTr="006F5E1D">
      <w:trPr>
        <w:trHeight w:val="300"/>
      </w:trPr>
      <w:tc>
        <w:tcPr>
          <w:tcW w:w="3020" w:type="dxa"/>
        </w:tcPr>
        <w:p w14:paraId="1643FB9D" w14:textId="2976F5C5" w:rsidR="24AA8F7E" w:rsidRDefault="24AA8F7E" w:rsidP="006F5E1D">
          <w:pPr>
            <w:pStyle w:val="En-tte"/>
            <w:ind w:left="-115"/>
          </w:pPr>
        </w:p>
      </w:tc>
      <w:tc>
        <w:tcPr>
          <w:tcW w:w="3020" w:type="dxa"/>
        </w:tcPr>
        <w:p w14:paraId="6C8D8A08" w14:textId="0CD1AE44" w:rsidR="24AA8F7E" w:rsidRDefault="24AA8F7E" w:rsidP="006F5E1D">
          <w:pPr>
            <w:pStyle w:val="En-tte"/>
            <w:jc w:val="center"/>
          </w:pPr>
        </w:p>
      </w:tc>
      <w:tc>
        <w:tcPr>
          <w:tcW w:w="3020" w:type="dxa"/>
        </w:tcPr>
        <w:p w14:paraId="6C9B7343" w14:textId="1261C97F" w:rsidR="24AA8F7E" w:rsidRDefault="24AA8F7E" w:rsidP="006F5E1D">
          <w:pPr>
            <w:pStyle w:val="En-tte"/>
            <w:ind w:right="-115"/>
            <w:jc w:val="right"/>
          </w:pPr>
        </w:p>
      </w:tc>
    </w:tr>
  </w:tbl>
  <w:p w14:paraId="278A8DC1" w14:textId="52473C41" w:rsidR="24AA8F7E" w:rsidRDefault="24AA8F7E" w:rsidP="006F5E1D">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5"/>
      <w:gridCol w:w="4665"/>
      <w:gridCol w:w="4665"/>
    </w:tblGrid>
    <w:tr w:rsidR="24AA8F7E" w14:paraId="2F95A6BC" w14:textId="77777777" w:rsidTr="006F5E1D">
      <w:trPr>
        <w:trHeight w:val="300"/>
      </w:trPr>
      <w:tc>
        <w:tcPr>
          <w:tcW w:w="4665" w:type="dxa"/>
        </w:tcPr>
        <w:p w14:paraId="2B4D334A" w14:textId="1A44453E" w:rsidR="24AA8F7E" w:rsidRDefault="24AA8F7E" w:rsidP="006F5E1D">
          <w:pPr>
            <w:pStyle w:val="En-tte"/>
            <w:ind w:left="-115"/>
          </w:pPr>
        </w:p>
      </w:tc>
      <w:tc>
        <w:tcPr>
          <w:tcW w:w="4665" w:type="dxa"/>
        </w:tcPr>
        <w:p w14:paraId="5D2B3427" w14:textId="22CF6B57" w:rsidR="24AA8F7E" w:rsidRDefault="24AA8F7E" w:rsidP="006F5E1D">
          <w:pPr>
            <w:pStyle w:val="En-tte"/>
            <w:jc w:val="center"/>
          </w:pPr>
        </w:p>
      </w:tc>
      <w:tc>
        <w:tcPr>
          <w:tcW w:w="4665" w:type="dxa"/>
        </w:tcPr>
        <w:p w14:paraId="7264BC84" w14:textId="4BF3BD56" w:rsidR="24AA8F7E" w:rsidRDefault="24AA8F7E" w:rsidP="006F5E1D">
          <w:pPr>
            <w:pStyle w:val="En-tte"/>
            <w:ind w:right="-115"/>
            <w:jc w:val="right"/>
          </w:pPr>
        </w:p>
      </w:tc>
    </w:tr>
  </w:tbl>
  <w:p w14:paraId="1D22BEF1" w14:textId="54A247CF" w:rsidR="24AA8F7E" w:rsidRDefault="24AA8F7E" w:rsidP="006F5E1D">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4AA8F7E" w14:paraId="59EEBA9E" w14:textId="77777777" w:rsidTr="006F5E1D">
      <w:trPr>
        <w:trHeight w:val="300"/>
      </w:trPr>
      <w:tc>
        <w:tcPr>
          <w:tcW w:w="3020" w:type="dxa"/>
        </w:tcPr>
        <w:p w14:paraId="05A4473D" w14:textId="04289CB1" w:rsidR="24AA8F7E" w:rsidRDefault="24AA8F7E" w:rsidP="006F5E1D">
          <w:pPr>
            <w:pStyle w:val="En-tte"/>
            <w:ind w:left="-115"/>
          </w:pPr>
        </w:p>
      </w:tc>
      <w:tc>
        <w:tcPr>
          <w:tcW w:w="3020" w:type="dxa"/>
        </w:tcPr>
        <w:p w14:paraId="3FDD4507" w14:textId="336BDA68" w:rsidR="24AA8F7E" w:rsidRDefault="24AA8F7E" w:rsidP="006F5E1D">
          <w:pPr>
            <w:pStyle w:val="En-tte"/>
            <w:jc w:val="center"/>
          </w:pPr>
        </w:p>
      </w:tc>
      <w:tc>
        <w:tcPr>
          <w:tcW w:w="3020" w:type="dxa"/>
        </w:tcPr>
        <w:p w14:paraId="68B08DBD" w14:textId="4C08B844" w:rsidR="24AA8F7E" w:rsidRDefault="24AA8F7E" w:rsidP="006F5E1D">
          <w:pPr>
            <w:pStyle w:val="En-tte"/>
            <w:ind w:right="-115"/>
            <w:jc w:val="right"/>
          </w:pPr>
        </w:p>
      </w:tc>
    </w:tr>
  </w:tbl>
  <w:p w14:paraId="37AE22AF" w14:textId="15222C1D" w:rsidR="24AA8F7E" w:rsidRDefault="24AA8F7E" w:rsidP="006F5E1D">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5"/>
      <w:gridCol w:w="4665"/>
      <w:gridCol w:w="4665"/>
    </w:tblGrid>
    <w:tr w:rsidR="24AA8F7E" w14:paraId="69541112" w14:textId="77777777" w:rsidTr="006F5E1D">
      <w:trPr>
        <w:trHeight w:val="300"/>
      </w:trPr>
      <w:tc>
        <w:tcPr>
          <w:tcW w:w="4665" w:type="dxa"/>
        </w:tcPr>
        <w:p w14:paraId="0B0244F8" w14:textId="1C28BEFD" w:rsidR="24AA8F7E" w:rsidRDefault="24AA8F7E" w:rsidP="006F5E1D">
          <w:pPr>
            <w:pStyle w:val="En-tte"/>
            <w:ind w:left="-115"/>
          </w:pPr>
        </w:p>
      </w:tc>
      <w:tc>
        <w:tcPr>
          <w:tcW w:w="4665" w:type="dxa"/>
        </w:tcPr>
        <w:p w14:paraId="37713225" w14:textId="023F811A" w:rsidR="24AA8F7E" w:rsidRDefault="24AA8F7E" w:rsidP="006F5E1D">
          <w:pPr>
            <w:pStyle w:val="En-tte"/>
            <w:jc w:val="center"/>
          </w:pPr>
        </w:p>
      </w:tc>
      <w:tc>
        <w:tcPr>
          <w:tcW w:w="4665" w:type="dxa"/>
        </w:tcPr>
        <w:p w14:paraId="5263F4C5" w14:textId="65B2880A" w:rsidR="24AA8F7E" w:rsidRDefault="24AA8F7E" w:rsidP="006F5E1D">
          <w:pPr>
            <w:pStyle w:val="En-tte"/>
            <w:ind w:right="-115"/>
            <w:jc w:val="right"/>
          </w:pPr>
        </w:p>
      </w:tc>
    </w:tr>
  </w:tbl>
  <w:p w14:paraId="3D720B76" w14:textId="1064A59F" w:rsidR="24AA8F7E" w:rsidRDefault="24AA8F7E" w:rsidP="006F5E1D">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5"/>
      <w:gridCol w:w="4665"/>
      <w:gridCol w:w="4665"/>
    </w:tblGrid>
    <w:tr w:rsidR="24AA8F7E" w14:paraId="19CFAED6" w14:textId="77777777" w:rsidTr="006F5E1D">
      <w:trPr>
        <w:trHeight w:val="300"/>
      </w:trPr>
      <w:tc>
        <w:tcPr>
          <w:tcW w:w="4665" w:type="dxa"/>
        </w:tcPr>
        <w:p w14:paraId="53AC6B56" w14:textId="74EF887D" w:rsidR="24AA8F7E" w:rsidRDefault="24AA8F7E" w:rsidP="006F5E1D">
          <w:pPr>
            <w:pStyle w:val="En-tte"/>
            <w:ind w:left="-115"/>
          </w:pPr>
        </w:p>
      </w:tc>
      <w:tc>
        <w:tcPr>
          <w:tcW w:w="4665" w:type="dxa"/>
        </w:tcPr>
        <w:p w14:paraId="08F99C02" w14:textId="316E318A" w:rsidR="24AA8F7E" w:rsidRDefault="24AA8F7E" w:rsidP="006F5E1D">
          <w:pPr>
            <w:pStyle w:val="En-tte"/>
            <w:jc w:val="center"/>
          </w:pPr>
        </w:p>
      </w:tc>
      <w:tc>
        <w:tcPr>
          <w:tcW w:w="4665" w:type="dxa"/>
        </w:tcPr>
        <w:p w14:paraId="74A26544" w14:textId="4C443DBE" w:rsidR="24AA8F7E" w:rsidRDefault="24AA8F7E" w:rsidP="006F5E1D">
          <w:pPr>
            <w:pStyle w:val="En-tte"/>
            <w:ind w:right="-115"/>
            <w:jc w:val="right"/>
          </w:pPr>
        </w:p>
      </w:tc>
    </w:tr>
  </w:tbl>
  <w:p w14:paraId="2C2868D4" w14:textId="04BF9343" w:rsidR="24AA8F7E" w:rsidRDefault="24AA8F7E" w:rsidP="006F5E1D">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9859B7" w14:paraId="17BF69F5" w14:textId="77777777" w:rsidTr="006F5E1D">
      <w:trPr>
        <w:trHeight w:val="300"/>
      </w:trPr>
      <w:tc>
        <w:tcPr>
          <w:tcW w:w="3020" w:type="dxa"/>
        </w:tcPr>
        <w:p w14:paraId="6DDF63C1" w14:textId="77777777" w:rsidR="009859B7" w:rsidRDefault="009859B7" w:rsidP="006F5E1D">
          <w:pPr>
            <w:pStyle w:val="En-tte"/>
            <w:ind w:left="-115"/>
          </w:pPr>
        </w:p>
      </w:tc>
      <w:tc>
        <w:tcPr>
          <w:tcW w:w="3020" w:type="dxa"/>
        </w:tcPr>
        <w:p w14:paraId="2E02C98B" w14:textId="77777777" w:rsidR="009859B7" w:rsidRDefault="009859B7" w:rsidP="006F5E1D">
          <w:pPr>
            <w:pStyle w:val="En-tte"/>
            <w:jc w:val="center"/>
          </w:pPr>
        </w:p>
      </w:tc>
      <w:tc>
        <w:tcPr>
          <w:tcW w:w="3020" w:type="dxa"/>
        </w:tcPr>
        <w:p w14:paraId="3BFA98A9" w14:textId="77777777" w:rsidR="009859B7" w:rsidRDefault="009859B7" w:rsidP="006F5E1D">
          <w:pPr>
            <w:pStyle w:val="En-tte"/>
            <w:ind w:right="-115"/>
            <w:jc w:val="right"/>
          </w:pPr>
        </w:p>
      </w:tc>
    </w:tr>
  </w:tbl>
  <w:p w14:paraId="25509853" w14:textId="77777777" w:rsidR="009859B7" w:rsidRDefault="009859B7" w:rsidP="006F5E1D">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4AA8F7E" w14:paraId="7824F313" w14:textId="77777777" w:rsidTr="006F5E1D">
      <w:trPr>
        <w:trHeight w:val="300"/>
      </w:trPr>
      <w:tc>
        <w:tcPr>
          <w:tcW w:w="3020" w:type="dxa"/>
        </w:tcPr>
        <w:p w14:paraId="1E440927" w14:textId="20240C8D" w:rsidR="24AA8F7E" w:rsidRDefault="24AA8F7E" w:rsidP="006F5E1D">
          <w:pPr>
            <w:pStyle w:val="En-tte"/>
            <w:ind w:left="-115"/>
          </w:pPr>
        </w:p>
      </w:tc>
      <w:tc>
        <w:tcPr>
          <w:tcW w:w="3020" w:type="dxa"/>
        </w:tcPr>
        <w:p w14:paraId="361D294C" w14:textId="70283CEC" w:rsidR="24AA8F7E" w:rsidRDefault="24AA8F7E" w:rsidP="006F5E1D">
          <w:pPr>
            <w:pStyle w:val="En-tte"/>
            <w:jc w:val="center"/>
          </w:pPr>
        </w:p>
      </w:tc>
      <w:tc>
        <w:tcPr>
          <w:tcW w:w="3020" w:type="dxa"/>
        </w:tcPr>
        <w:p w14:paraId="0E450795" w14:textId="1DE96C50" w:rsidR="24AA8F7E" w:rsidRDefault="24AA8F7E" w:rsidP="006F5E1D">
          <w:pPr>
            <w:pStyle w:val="En-tte"/>
            <w:ind w:right="-115"/>
            <w:jc w:val="right"/>
          </w:pPr>
        </w:p>
      </w:tc>
    </w:tr>
  </w:tbl>
  <w:p w14:paraId="69088064" w14:textId="15A8AC75" w:rsidR="24AA8F7E" w:rsidRDefault="24AA8F7E" w:rsidP="006F5E1D">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5"/>
      <w:gridCol w:w="4665"/>
      <w:gridCol w:w="4665"/>
    </w:tblGrid>
    <w:tr w:rsidR="24AA8F7E" w14:paraId="6916D2F3" w14:textId="77777777" w:rsidTr="006F5E1D">
      <w:trPr>
        <w:trHeight w:val="300"/>
      </w:trPr>
      <w:tc>
        <w:tcPr>
          <w:tcW w:w="4665" w:type="dxa"/>
        </w:tcPr>
        <w:p w14:paraId="559B5273" w14:textId="2A52E02E" w:rsidR="24AA8F7E" w:rsidRDefault="24AA8F7E" w:rsidP="006F5E1D">
          <w:pPr>
            <w:pStyle w:val="En-tte"/>
            <w:ind w:left="-115"/>
          </w:pPr>
        </w:p>
      </w:tc>
      <w:tc>
        <w:tcPr>
          <w:tcW w:w="4665" w:type="dxa"/>
        </w:tcPr>
        <w:p w14:paraId="5CCB9006" w14:textId="390A7121" w:rsidR="24AA8F7E" w:rsidRDefault="24AA8F7E" w:rsidP="006F5E1D">
          <w:pPr>
            <w:pStyle w:val="En-tte"/>
            <w:jc w:val="center"/>
          </w:pPr>
        </w:p>
      </w:tc>
      <w:tc>
        <w:tcPr>
          <w:tcW w:w="4665" w:type="dxa"/>
        </w:tcPr>
        <w:p w14:paraId="7376B2FE" w14:textId="7F710272" w:rsidR="24AA8F7E" w:rsidRDefault="24AA8F7E" w:rsidP="006F5E1D">
          <w:pPr>
            <w:pStyle w:val="En-tte"/>
            <w:ind w:right="-115"/>
            <w:jc w:val="right"/>
          </w:pPr>
        </w:p>
      </w:tc>
    </w:tr>
  </w:tbl>
  <w:p w14:paraId="7D751283" w14:textId="7174CA9F" w:rsidR="24AA8F7E" w:rsidRDefault="24AA8F7E" w:rsidP="006F5E1D">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4AA8F7E" w14:paraId="7FC2D221" w14:textId="77777777" w:rsidTr="006F5E1D">
      <w:trPr>
        <w:trHeight w:val="300"/>
      </w:trPr>
      <w:tc>
        <w:tcPr>
          <w:tcW w:w="3020" w:type="dxa"/>
        </w:tcPr>
        <w:p w14:paraId="7581D6EE" w14:textId="36160879" w:rsidR="24AA8F7E" w:rsidRDefault="24AA8F7E" w:rsidP="006F5E1D">
          <w:pPr>
            <w:pStyle w:val="En-tte"/>
            <w:ind w:left="-115"/>
          </w:pPr>
        </w:p>
      </w:tc>
      <w:tc>
        <w:tcPr>
          <w:tcW w:w="3020" w:type="dxa"/>
        </w:tcPr>
        <w:p w14:paraId="19FCA701" w14:textId="4BC64EFC" w:rsidR="24AA8F7E" w:rsidRDefault="24AA8F7E" w:rsidP="006F5E1D">
          <w:pPr>
            <w:pStyle w:val="En-tte"/>
            <w:jc w:val="center"/>
          </w:pPr>
        </w:p>
      </w:tc>
      <w:tc>
        <w:tcPr>
          <w:tcW w:w="3020" w:type="dxa"/>
        </w:tcPr>
        <w:p w14:paraId="428191EA" w14:textId="3E266A02" w:rsidR="24AA8F7E" w:rsidRDefault="24AA8F7E" w:rsidP="006F5E1D">
          <w:pPr>
            <w:pStyle w:val="En-tte"/>
            <w:ind w:right="-115"/>
            <w:jc w:val="right"/>
          </w:pPr>
        </w:p>
      </w:tc>
    </w:tr>
  </w:tbl>
  <w:p w14:paraId="400E674E" w14:textId="2B041C64" w:rsidR="24AA8F7E" w:rsidRDefault="24AA8F7E" w:rsidP="006F5E1D">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5"/>
      <w:gridCol w:w="4665"/>
      <w:gridCol w:w="4665"/>
    </w:tblGrid>
    <w:tr w:rsidR="24AA8F7E" w14:paraId="3CA09CCF" w14:textId="77777777" w:rsidTr="006F5E1D">
      <w:trPr>
        <w:trHeight w:val="300"/>
      </w:trPr>
      <w:tc>
        <w:tcPr>
          <w:tcW w:w="4665" w:type="dxa"/>
        </w:tcPr>
        <w:p w14:paraId="3CFB69E1" w14:textId="1D4FC53A" w:rsidR="24AA8F7E" w:rsidRDefault="24AA8F7E" w:rsidP="006F5E1D">
          <w:pPr>
            <w:pStyle w:val="En-tte"/>
            <w:ind w:left="-115"/>
          </w:pPr>
        </w:p>
      </w:tc>
      <w:tc>
        <w:tcPr>
          <w:tcW w:w="4665" w:type="dxa"/>
        </w:tcPr>
        <w:p w14:paraId="3FB03133" w14:textId="74679AE1" w:rsidR="24AA8F7E" w:rsidRDefault="24AA8F7E" w:rsidP="006F5E1D">
          <w:pPr>
            <w:pStyle w:val="En-tte"/>
            <w:jc w:val="center"/>
          </w:pPr>
        </w:p>
      </w:tc>
      <w:tc>
        <w:tcPr>
          <w:tcW w:w="4665" w:type="dxa"/>
        </w:tcPr>
        <w:p w14:paraId="1B1837B8" w14:textId="2C02D908" w:rsidR="24AA8F7E" w:rsidRDefault="24AA8F7E" w:rsidP="006F5E1D">
          <w:pPr>
            <w:pStyle w:val="En-tte"/>
            <w:ind w:right="-115"/>
            <w:jc w:val="right"/>
          </w:pPr>
        </w:p>
      </w:tc>
    </w:tr>
  </w:tbl>
  <w:p w14:paraId="769EC233" w14:textId="404FAFEC" w:rsidR="24AA8F7E" w:rsidRDefault="24AA8F7E" w:rsidP="006F5E1D">
    <w:pPr>
      <w:pStyle w:val="En-tt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4AA8F7E" w14:paraId="30961273" w14:textId="77777777" w:rsidTr="006F5E1D">
      <w:trPr>
        <w:trHeight w:val="300"/>
      </w:trPr>
      <w:tc>
        <w:tcPr>
          <w:tcW w:w="3020" w:type="dxa"/>
        </w:tcPr>
        <w:p w14:paraId="549D1C5C" w14:textId="7FD6FA37" w:rsidR="24AA8F7E" w:rsidRDefault="24AA8F7E" w:rsidP="006F5E1D">
          <w:pPr>
            <w:pStyle w:val="En-tte"/>
            <w:ind w:left="-115"/>
          </w:pPr>
        </w:p>
      </w:tc>
      <w:tc>
        <w:tcPr>
          <w:tcW w:w="3020" w:type="dxa"/>
        </w:tcPr>
        <w:p w14:paraId="5E903F72" w14:textId="3AA572F8" w:rsidR="24AA8F7E" w:rsidRDefault="24AA8F7E" w:rsidP="006F5E1D">
          <w:pPr>
            <w:pStyle w:val="En-tte"/>
            <w:jc w:val="center"/>
          </w:pPr>
        </w:p>
      </w:tc>
      <w:tc>
        <w:tcPr>
          <w:tcW w:w="3020" w:type="dxa"/>
        </w:tcPr>
        <w:p w14:paraId="6BF0E96A" w14:textId="1B105929" w:rsidR="24AA8F7E" w:rsidRDefault="24AA8F7E" w:rsidP="006F5E1D">
          <w:pPr>
            <w:pStyle w:val="En-tte"/>
            <w:ind w:right="-115"/>
            <w:jc w:val="right"/>
          </w:pPr>
        </w:p>
      </w:tc>
    </w:tr>
  </w:tbl>
  <w:p w14:paraId="1998C0F7" w14:textId="5209BEEF" w:rsidR="24AA8F7E" w:rsidRDefault="24AA8F7E" w:rsidP="006F5E1D">
    <w:pPr>
      <w:pStyle w:val="En-tt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4AA8F7E" w14:paraId="67B5B570" w14:textId="77777777" w:rsidTr="006F5E1D">
      <w:trPr>
        <w:trHeight w:val="300"/>
      </w:trPr>
      <w:tc>
        <w:tcPr>
          <w:tcW w:w="3020" w:type="dxa"/>
        </w:tcPr>
        <w:p w14:paraId="3246FAB0" w14:textId="1E93E997" w:rsidR="24AA8F7E" w:rsidRDefault="24AA8F7E" w:rsidP="006F5E1D">
          <w:pPr>
            <w:pStyle w:val="En-tte"/>
            <w:ind w:left="-115"/>
          </w:pPr>
        </w:p>
      </w:tc>
      <w:tc>
        <w:tcPr>
          <w:tcW w:w="3020" w:type="dxa"/>
        </w:tcPr>
        <w:p w14:paraId="3AA561F8" w14:textId="55058960" w:rsidR="24AA8F7E" w:rsidRDefault="24AA8F7E" w:rsidP="006F5E1D">
          <w:pPr>
            <w:pStyle w:val="En-tte"/>
            <w:jc w:val="center"/>
          </w:pPr>
        </w:p>
      </w:tc>
      <w:tc>
        <w:tcPr>
          <w:tcW w:w="3020" w:type="dxa"/>
        </w:tcPr>
        <w:p w14:paraId="5F4A1AC1" w14:textId="1DEB3E51" w:rsidR="24AA8F7E" w:rsidRDefault="24AA8F7E" w:rsidP="006F5E1D">
          <w:pPr>
            <w:pStyle w:val="En-tte"/>
            <w:ind w:right="-115"/>
            <w:jc w:val="right"/>
          </w:pPr>
        </w:p>
      </w:tc>
    </w:tr>
  </w:tbl>
  <w:p w14:paraId="6BFEBBF7" w14:textId="50B8196C" w:rsidR="24AA8F7E" w:rsidRDefault="24AA8F7E" w:rsidP="006F5E1D">
    <w:pPr>
      <w:pStyle w:val="En-tt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5"/>
      <w:gridCol w:w="4665"/>
      <w:gridCol w:w="4665"/>
    </w:tblGrid>
    <w:tr w:rsidR="24AA8F7E" w14:paraId="7B04AB7B" w14:textId="77777777" w:rsidTr="006F5E1D">
      <w:trPr>
        <w:trHeight w:val="300"/>
      </w:trPr>
      <w:tc>
        <w:tcPr>
          <w:tcW w:w="4665" w:type="dxa"/>
        </w:tcPr>
        <w:p w14:paraId="5E764E66" w14:textId="1240B06F" w:rsidR="24AA8F7E" w:rsidRDefault="24AA8F7E" w:rsidP="006F5E1D">
          <w:pPr>
            <w:pStyle w:val="En-tte"/>
            <w:ind w:left="-115"/>
          </w:pPr>
        </w:p>
      </w:tc>
      <w:tc>
        <w:tcPr>
          <w:tcW w:w="4665" w:type="dxa"/>
        </w:tcPr>
        <w:p w14:paraId="6EE8BAA2" w14:textId="3279E7E2" w:rsidR="24AA8F7E" w:rsidRDefault="24AA8F7E" w:rsidP="006F5E1D">
          <w:pPr>
            <w:pStyle w:val="En-tte"/>
            <w:jc w:val="center"/>
          </w:pPr>
        </w:p>
      </w:tc>
      <w:tc>
        <w:tcPr>
          <w:tcW w:w="4665" w:type="dxa"/>
        </w:tcPr>
        <w:p w14:paraId="72CCD61D" w14:textId="45ECF7F3" w:rsidR="24AA8F7E" w:rsidRDefault="24AA8F7E" w:rsidP="006F5E1D">
          <w:pPr>
            <w:pStyle w:val="En-tte"/>
            <w:ind w:right="-115"/>
            <w:jc w:val="right"/>
          </w:pPr>
        </w:p>
      </w:tc>
    </w:tr>
  </w:tbl>
  <w:p w14:paraId="648F6E6A" w14:textId="2E89C4BD" w:rsidR="24AA8F7E" w:rsidRDefault="24AA8F7E" w:rsidP="006F5E1D">
    <w:pPr>
      <w:pStyle w:val="En-tte"/>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4AA8F7E" w14:paraId="49561D7B" w14:textId="77777777" w:rsidTr="006F5E1D">
      <w:trPr>
        <w:trHeight w:val="300"/>
      </w:trPr>
      <w:tc>
        <w:tcPr>
          <w:tcW w:w="3020" w:type="dxa"/>
        </w:tcPr>
        <w:p w14:paraId="77C636C8" w14:textId="00BECA7D" w:rsidR="24AA8F7E" w:rsidRDefault="24AA8F7E" w:rsidP="006F5E1D">
          <w:pPr>
            <w:pStyle w:val="En-tte"/>
            <w:ind w:left="-115"/>
          </w:pPr>
        </w:p>
      </w:tc>
      <w:tc>
        <w:tcPr>
          <w:tcW w:w="3020" w:type="dxa"/>
        </w:tcPr>
        <w:p w14:paraId="436766D3" w14:textId="3A159DA6" w:rsidR="24AA8F7E" w:rsidRDefault="24AA8F7E" w:rsidP="006F5E1D">
          <w:pPr>
            <w:pStyle w:val="En-tte"/>
            <w:jc w:val="center"/>
          </w:pPr>
        </w:p>
      </w:tc>
      <w:tc>
        <w:tcPr>
          <w:tcW w:w="3020" w:type="dxa"/>
        </w:tcPr>
        <w:p w14:paraId="1CF17D4A" w14:textId="6FB983E3" w:rsidR="24AA8F7E" w:rsidRDefault="24AA8F7E" w:rsidP="006F5E1D">
          <w:pPr>
            <w:pStyle w:val="En-tte"/>
            <w:ind w:right="-115"/>
            <w:jc w:val="right"/>
          </w:pPr>
        </w:p>
      </w:tc>
    </w:tr>
  </w:tbl>
  <w:p w14:paraId="1B913363" w14:textId="4AB6F128" w:rsidR="24AA8F7E" w:rsidRDefault="24AA8F7E" w:rsidP="006F5E1D">
    <w:pPr>
      <w:pStyle w:val="En-tte"/>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24AA8F7E" w14:paraId="4E9BB45D" w14:textId="77777777" w:rsidTr="006F5E1D">
      <w:trPr>
        <w:trHeight w:val="300"/>
      </w:trPr>
      <w:tc>
        <w:tcPr>
          <w:tcW w:w="5130" w:type="dxa"/>
        </w:tcPr>
        <w:p w14:paraId="70FFF728" w14:textId="36399011" w:rsidR="24AA8F7E" w:rsidRDefault="24AA8F7E" w:rsidP="006F5E1D">
          <w:pPr>
            <w:pStyle w:val="En-tte"/>
            <w:ind w:left="-115"/>
          </w:pPr>
        </w:p>
      </w:tc>
      <w:tc>
        <w:tcPr>
          <w:tcW w:w="5130" w:type="dxa"/>
        </w:tcPr>
        <w:p w14:paraId="58685A24" w14:textId="2256040D" w:rsidR="24AA8F7E" w:rsidRDefault="24AA8F7E" w:rsidP="006F5E1D">
          <w:pPr>
            <w:pStyle w:val="En-tte"/>
            <w:jc w:val="center"/>
          </w:pPr>
        </w:p>
      </w:tc>
      <w:tc>
        <w:tcPr>
          <w:tcW w:w="5130" w:type="dxa"/>
        </w:tcPr>
        <w:p w14:paraId="5EC88950" w14:textId="7AD4CFE1" w:rsidR="24AA8F7E" w:rsidRDefault="24AA8F7E" w:rsidP="006F5E1D">
          <w:pPr>
            <w:pStyle w:val="En-tte"/>
            <w:ind w:right="-115"/>
            <w:jc w:val="right"/>
          </w:pPr>
        </w:p>
      </w:tc>
    </w:tr>
  </w:tbl>
  <w:p w14:paraId="672573E8" w14:textId="1C772826" w:rsidR="24AA8F7E" w:rsidRDefault="24AA8F7E" w:rsidP="006F5E1D">
    <w:pPr>
      <w:pStyle w:val="En-tte"/>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4AA8F7E" w14:paraId="0863945D" w14:textId="77777777" w:rsidTr="006F5E1D">
      <w:trPr>
        <w:trHeight w:val="300"/>
      </w:trPr>
      <w:tc>
        <w:tcPr>
          <w:tcW w:w="3485" w:type="dxa"/>
        </w:tcPr>
        <w:p w14:paraId="4FCF18FB" w14:textId="4FB9EE10" w:rsidR="24AA8F7E" w:rsidRDefault="24AA8F7E" w:rsidP="006F5E1D">
          <w:pPr>
            <w:pStyle w:val="En-tte"/>
            <w:ind w:left="-115"/>
          </w:pPr>
        </w:p>
      </w:tc>
      <w:tc>
        <w:tcPr>
          <w:tcW w:w="3485" w:type="dxa"/>
        </w:tcPr>
        <w:p w14:paraId="2DC3C759" w14:textId="4487424F" w:rsidR="24AA8F7E" w:rsidRDefault="24AA8F7E" w:rsidP="006F5E1D">
          <w:pPr>
            <w:pStyle w:val="En-tte"/>
            <w:jc w:val="center"/>
          </w:pPr>
        </w:p>
      </w:tc>
      <w:tc>
        <w:tcPr>
          <w:tcW w:w="3485" w:type="dxa"/>
        </w:tcPr>
        <w:p w14:paraId="4633B701" w14:textId="253FFBC2" w:rsidR="24AA8F7E" w:rsidRDefault="24AA8F7E" w:rsidP="006F5E1D">
          <w:pPr>
            <w:pStyle w:val="En-tte"/>
            <w:ind w:right="-115"/>
            <w:jc w:val="right"/>
          </w:pPr>
        </w:p>
      </w:tc>
    </w:tr>
  </w:tbl>
  <w:p w14:paraId="50D9B763" w14:textId="504D8B1A" w:rsidR="24AA8F7E" w:rsidRDefault="24AA8F7E" w:rsidP="006F5E1D">
    <w:pPr>
      <w:pStyle w:val="En-tte"/>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1A05" w14:textId="77777777" w:rsidR="004F7DB3" w:rsidRDefault="004F7DB3">
    <w:pPr>
      <w:pBdr>
        <w:top w:val="nil"/>
        <w:left w:val="nil"/>
        <w:bottom w:val="nil"/>
        <w:right w:val="nil"/>
        <w:between w:val="nil"/>
      </w:pBdr>
      <w:tabs>
        <w:tab w:val="center" w:pos="4153"/>
        <w:tab w:val="right" w:pos="8306"/>
      </w:tabs>
      <w:spacing w:after="60" w:line="240" w:lineRule="auto"/>
      <w:jc w:val="both"/>
      <w:rPr>
        <w:color w:val="000000"/>
        <w:sz w:val="20"/>
        <w:szCs w:val="20"/>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4AA8F7E" w14:paraId="32CD4FEA" w14:textId="77777777" w:rsidTr="006F5E1D">
      <w:trPr>
        <w:trHeight w:val="300"/>
      </w:trPr>
      <w:tc>
        <w:tcPr>
          <w:tcW w:w="3485" w:type="dxa"/>
        </w:tcPr>
        <w:p w14:paraId="205E6E0A" w14:textId="3ABFD950" w:rsidR="24AA8F7E" w:rsidRDefault="24AA8F7E" w:rsidP="006F5E1D">
          <w:pPr>
            <w:pStyle w:val="En-tte"/>
            <w:ind w:left="-115"/>
          </w:pPr>
        </w:p>
      </w:tc>
      <w:tc>
        <w:tcPr>
          <w:tcW w:w="3485" w:type="dxa"/>
        </w:tcPr>
        <w:p w14:paraId="1FD9FBE8" w14:textId="46D83B1F" w:rsidR="24AA8F7E" w:rsidRDefault="24AA8F7E" w:rsidP="006F5E1D">
          <w:pPr>
            <w:pStyle w:val="En-tte"/>
            <w:jc w:val="center"/>
          </w:pPr>
        </w:p>
      </w:tc>
      <w:tc>
        <w:tcPr>
          <w:tcW w:w="3485" w:type="dxa"/>
        </w:tcPr>
        <w:p w14:paraId="3B743DCF" w14:textId="3AC76F37" w:rsidR="24AA8F7E" w:rsidRDefault="24AA8F7E" w:rsidP="006F5E1D">
          <w:pPr>
            <w:pStyle w:val="En-tte"/>
            <w:ind w:right="-115"/>
            <w:jc w:val="right"/>
          </w:pPr>
        </w:p>
      </w:tc>
    </w:tr>
  </w:tbl>
  <w:p w14:paraId="5B269237" w14:textId="29313811" w:rsidR="24AA8F7E" w:rsidRDefault="24AA8F7E" w:rsidP="006F5E1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BA6"/>
    <w:multiLevelType w:val="multilevel"/>
    <w:tmpl w:val="85768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4D25E3"/>
    <w:multiLevelType w:val="multilevel"/>
    <w:tmpl w:val="6B7E2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655F1E"/>
    <w:multiLevelType w:val="multilevel"/>
    <w:tmpl w:val="92C2A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0E5BAF2"/>
    <w:multiLevelType w:val="hybridMultilevel"/>
    <w:tmpl w:val="7416EA46"/>
    <w:lvl w:ilvl="0" w:tplc="1E86565C">
      <w:start w:val="1"/>
      <w:numFmt w:val="decimal"/>
      <w:lvlText w:val="%1."/>
      <w:lvlJc w:val="left"/>
      <w:pPr>
        <w:ind w:left="547" w:hanging="360"/>
      </w:pPr>
    </w:lvl>
    <w:lvl w:ilvl="1" w:tplc="7666AD64">
      <w:start w:val="1"/>
      <w:numFmt w:val="lowerLetter"/>
      <w:lvlText w:val="%2."/>
      <w:lvlJc w:val="left"/>
      <w:pPr>
        <w:ind w:left="1267" w:hanging="360"/>
      </w:pPr>
    </w:lvl>
    <w:lvl w:ilvl="2" w:tplc="5350825A">
      <w:start w:val="1"/>
      <w:numFmt w:val="lowerRoman"/>
      <w:lvlText w:val="%3."/>
      <w:lvlJc w:val="right"/>
      <w:pPr>
        <w:ind w:left="1987" w:hanging="180"/>
      </w:pPr>
    </w:lvl>
    <w:lvl w:ilvl="3" w:tplc="35BE25FA">
      <w:start w:val="1"/>
      <w:numFmt w:val="decimal"/>
      <w:lvlText w:val="%4."/>
      <w:lvlJc w:val="left"/>
      <w:pPr>
        <w:ind w:left="2707" w:hanging="360"/>
      </w:pPr>
    </w:lvl>
    <w:lvl w:ilvl="4" w:tplc="50683748">
      <w:start w:val="1"/>
      <w:numFmt w:val="lowerLetter"/>
      <w:lvlText w:val="%5."/>
      <w:lvlJc w:val="left"/>
      <w:pPr>
        <w:ind w:left="3427" w:hanging="360"/>
      </w:pPr>
    </w:lvl>
    <w:lvl w:ilvl="5" w:tplc="38A20024">
      <w:start w:val="1"/>
      <w:numFmt w:val="lowerRoman"/>
      <w:lvlText w:val="%6."/>
      <w:lvlJc w:val="right"/>
      <w:pPr>
        <w:ind w:left="4147" w:hanging="180"/>
      </w:pPr>
    </w:lvl>
    <w:lvl w:ilvl="6" w:tplc="C8FADD82">
      <w:start w:val="1"/>
      <w:numFmt w:val="decimal"/>
      <w:lvlText w:val="%7."/>
      <w:lvlJc w:val="left"/>
      <w:pPr>
        <w:ind w:left="4867" w:hanging="360"/>
      </w:pPr>
    </w:lvl>
    <w:lvl w:ilvl="7" w:tplc="3DE4C8D8">
      <w:start w:val="1"/>
      <w:numFmt w:val="lowerLetter"/>
      <w:lvlText w:val="%8."/>
      <w:lvlJc w:val="left"/>
      <w:pPr>
        <w:ind w:left="5587" w:hanging="360"/>
      </w:pPr>
    </w:lvl>
    <w:lvl w:ilvl="8" w:tplc="82C41002">
      <w:start w:val="1"/>
      <w:numFmt w:val="lowerRoman"/>
      <w:lvlText w:val="%9."/>
      <w:lvlJc w:val="right"/>
      <w:pPr>
        <w:ind w:left="6307" w:hanging="180"/>
      </w:pPr>
    </w:lvl>
  </w:abstractNum>
  <w:abstractNum w:abstractNumId="4" w15:restartNumberingAfterBreak="0">
    <w:nsid w:val="00F308A5"/>
    <w:multiLevelType w:val="multilevel"/>
    <w:tmpl w:val="A7226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344C2B"/>
    <w:multiLevelType w:val="multilevel"/>
    <w:tmpl w:val="86922D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4530EB"/>
    <w:multiLevelType w:val="hybridMultilevel"/>
    <w:tmpl w:val="FFFFFFFF"/>
    <w:lvl w:ilvl="0" w:tplc="C122DD12">
      <w:start w:val="1"/>
      <w:numFmt w:val="bullet"/>
      <w:lvlText w:val=""/>
      <w:lvlJc w:val="left"/>
      <w:pPr>
        <w:ind w:left="547" w:hanging="360"/>
      </w:pPr>
      <w:rPr>
        <w:rFonts w:ascii="Symbol" w:hAnsi="Symbol" w:hint="default"/>
      </w:rPr>
    </w:lvl>
    <w:lvl w:ilvl="1" w:tplc="BED0D3FE">
      <w:start w:val="1"/>
      <w:numFmt w:val="bullet"/>
      <w:lvlText w:val="o"/>
      <w:lvlJc w:val="left"/>
      <w:pPr>
        <w:ind w:left="1267" w:hanging="360"/>
      </w:pPr>
      <w:rPr>
        <w:rFonts w:ascii="Courier New" w:hAnsi="Courier New" w:hint="default"/>
      </w:rPr>
    </w:lvl>
    <w:lvl w:ilvl="2" w:tplc="6F1611FE">
      <w:start w:val="1"/>
      <w:numFmt w:val="bullet"/>
      <w:lvlText w:val=""/>
      <w:lvlJc w:val="left"/>
      <w:pPr>
        <w:ind w:left="1987" w:hanging="360"/>
      </w:pPr>
      <w:rPr>
        <w:rFonts w:ascii="Wingdings" w:hAnsi="Wingdings" w:hint="default"/>
      </w:rPr>
    </w:lvl>
    <w:lvl w:ilvl="3" w:tplc="B9C43562">
      <w:start w:val="1"/>
      <w:numFmt w:val="bullet"/>
      <w:lvlText w:val=""/>
      <w:lvlJc w:val="left"/>
      <w:pPr>
        <w:ind w:left="2707" w:hanging="360"/>
      </w:pPr>
      <w:rPr>
        <w:rFonts w:ascii="Symbol" w:hAnsi="Symbol" w:hint="default"/>
      </w:rPr>
    </w:lvl>
    <w:lvl w:ilvl="4" w:tplc="7BF29884">
      <w:start w:val="1"/>
      <w:numFmt w:val="bullet"/>
      <w:lvlText w:val="o"/>
      <w:lvlJc w:val="left"/>
      <w:pPr>
        <w:ind w:left="3427" w:hanging="360"/>
      </w:pPr>
      <w:rPr>
        <w:rFonts w:ascii="Courier New" w:hAnsi="Courier New" w:hint="default"/>
      </w:rPr>
    </w:lvl>
    <w:lvl w:ilvl="5" w:tplc="67827058">
      <w:start w:val="1"/>
      <w:numFmt w:val="bullet"/>
      <w:lvlText w:val=""/>
      <w:lvlJc w:val="left"/>
      <w:pPr>
        <w:ind w:left="4147" w:hanging="360"/>
      </w:pPr>
      <w:rPr>
        <w:rFonts w:ascii="Wingdings" w:hAnsi="Wingdings" w:hint="default"/>
      </w:rPr>
    </w:lvl>
    <w:lvl w:ilvl="6" w:tplc="534024E8">
      <w:start w:val="1"/>
      <w:numFmt w:val="bullet"/>
      <w:lvlText w:val=""/>
      <w:lvlJc w:val="left"/>
      <w:pPr>
        <w:ind w:left="4867" w:hanging="360"/>
      </w:pPr>
      <w:rPr>
        <w:rFonts w:ascii="Symbol" w:hAnsi="Symbol" w:hint="default"/>
      </w:rPr>
    </w:lvl>
    <w:lvl w:ilvl="7" w:tplc="3E6C35D8">
      <w:start w:val="1"/>
      <w:numFmt w:val="bullet"/>
      <w:lvlText w:val="o"/>
      <w:lvlJc w:val="left"/>
      <w:pPr>
        <w:ind w:left="5587" w:hanging="360"/>
      </w:pPr>
      <w:rPr>
        <w:rFonts w:ascii="Courier New" w:hAnsi="Courier New" w:hint="default"/>
      </w:rPr>
    </w:lvl>
    <w:lvl w:ilvl="8" w:tplc="1BE206C8">
      <w:start w:val="1"/>
      <w:numFmt w:val="bullet"/>
      <w:lvlText w:val=""/>
      <w:lvlJc w:val="left"/>
      <w:pPr>
        <w:ind w:left="6307" w:hanging="360"/>
      </w:pPr>
      <w:rPr>
        <w:rFonts w:ascii="Wingdings" w:hAnsi="Wingdings" w:hint="default"/>
      </w:rPr>
    </w:lvl>
  </w:abstractNum>
  <w:abstractNum w:abstractNumId="7" w15:restartNumberingAfterBreak="0">
    <w:nsid w:val="017E7089"/>
    <w:multiLevelType w:val="multilevel"/>
    <w:tmpl w:val="2A6266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1CD3E37"/>
    <w:multiLevelType w:val="multilevel"/>
    <w:tmpl w:val="2DF21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1E97E78"/>
    <w:multiLevelType w:val="hybridMultilevel"/>
    <w:tmpl w:val="486A5E0A"/>
    <w:lvl w:ilvl="0" w:tplc="0B36540A">
      <w:start w:val="1"/>
      <w:numFmt w:val="bullet"/>
      <w:lvlText w:val="-"/>
      <w:lvlJc w:val="left"/>
      <w:pPr>
        <w:ind w:left="720" w:hanging="360"/>
      </w:pPr>
      <w:rPr>
        <w:rFonts w:ascii="Aptos" w:hAnsi="Aptos" w:hint="default"/>
      </w:rPr>
    </w:lvl>
    <w:lvl w:ilvl="1" w:tplc="8C2CDA16">
      <w:start w:val="1"/>
      <w:numFmt w:val="bullet"/>
      <w:lvlText w:val="o"/>
      <w:lvlJc w:val="left"/>
      <w:pPr>
        <w:ind w:left="1440" w:hanging="360"/>
      </w:pPr>
      <w:rPr>
        <w:rFonts w:ascii="Courier New" w:hAnsi="Courier New" w:hint="default"/>
      </w:rPr>
    </w:lvl>
    <w:lvl w:ilvl="2" w:tplc="06FC2FEE">
      <w:start w:val="1"/>
      <w:numFmt w:val="bullet"/>
      <w:lvlText w:val=""/>
      <w:lvlJc w:val="left"/>
      <w:pPr>
        <w:ind w:left="2160" w:hanging="360"/>
      </w:pPr>
      <w:rPr>
        <w:rFonts w:ascii="Wingdings" w:hAnsi="Wingdings" w:hint="default"/>
      </w:rPr>
    </w:lvl>
    <w:lvl w:ilvl="3" w:tplc="22DCADE8">
      <w:start w:val="1"/>
      <w:numFmt w:val="bullet"/>
      <w:lvlText w:val=""/>
      <w:lvlJc w:val="left"/>
      <w:pPr>
        <w:ind w:left="2880" w:hanging="360"/>
      </w:pPr>
      <w:rPr>
        <w:rFonts w:ascii="Symbol" w:hAnsi="Symbol" w:hint="default"/>
      </w:rPr>
    </w:lvl>
    <w:lvl w:ilvl="4" w:tplc="09DA3C42">
      <w:start w:val="1"/>
      <w:numFmt w:val="bullet"/>
      <w:lvlText w:val="o"/>
      <w:lvlJc w:val="left"/>
      <w:pPr>
        <w:ind w:left="3600" w:hanging="360"/>
      </w:pPr>
      <w:rPr>
        <w:rFonts w:ascii="Courier New" w:hAnsi="Courier New" w:hint="default"/>
      </w:rPr>
    </w:lvl>
    <w:lvl w:ilvl="5" w:tplc="0146220A">
      <w:start w:val="1"/>
      <w:numFmt w:val="bullet"/>
      <w:lvlText w:val=""/>
      <w:lvlJc w:val="left"/>
      <w:pPr>
        <w:ind w:left="4320" w:hanging="360"/>
      </w:pPr>
      <w:rPr>
        <w:rFonts w:ascii="Wingdings" w:hAnsi="Wingdings" w:hint="default"/>
      </w:rPr>
    </w:lvl>
    <w:lvl w:ilvl="6" w:tplc="41EE92E6">
      <w:start w:val="1"/>
      <w:numFmt w:val="bullet"/>
      <w:lvlText w:val=""/>
      <w:lvlJc w:val="left"/>
      <w:pPr>
        <w:ind w:left="5040" w:hanging="360"/>
      </w:pPr>
      <w:rPr>
        <w:rFonts w:ascii="Symbol" w:hAnsi="Symbol" w:hint="default"/>
      </w:rPr>
    </w:lvl>
    <w:lvl w:ilvl="7" w:tplc="06E4D7C8">
      <w:start w:val="1"/>
      <w:numFmt w:val="bullet"/>
      <w:lvlText w:val="o"/>
      <w:lvlJc w:val="left"/>
      <w:pPr>
        <w:ind w:left="5760" w:hanging="360"/>
      </w:pPr>
      <w:rPr>
        <w:rFonts w:ascii="Courier New" w:hAnsi="Courier New" w:hint="default"/>
      </w:rPr>
    </w:lvl>
    <w:lvl w:ilvl="8" w:tplc="9F6EE0C8">
      <w:start w:val="1"/>
      <w:numFmt w:val="bullet"/>
      <w:lvlText w:val=""/>
      <w:lvlJc w:val="left"/>
      <w:pPr>
        <w:ind w:left="6480" w:hanging="360"/>
      </w:pPr>
      <w:rPr>
        <w:rFonts w:ascii="Wingdings" w:hAnsi="Wingdings" w:hint="default"/>
      </w:rPr>
    </w:lvl>
  </w:abstractNum>
  <w:abstractNum w:abstractNumId="10" w15:restartNumberingAfterBreak="0">
    <w:nsid w:val="01F83029"/>
    <w:multiLevelType w:val="multilevel"/>
    <w:tmpl w:val="BCD265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0A57EC"/>
    <w:multiLevelType w:val="multilevel"/>
    <w:tmpl w:val="8C8C7F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2105135"/>
    <w:multiLevelType w:val="hybridMultilevel"/>
    <w:tmpl w:val="FFFFFFFF"/>
    <w:lvl w:ilvl="0" w:tplc="DFA2D698">
      <w:start w:val="1"/>
      <w:numFmt w:val="bullet"/>
      <w:lvlText w:val=""/>
      <w:lvlJc w:val="left"/>
      <w:pPr>
        <w:ind w:left="720" w:hanging="360"/>
      </w:pPr>
      <w:rPr>
        <w:rFonts w:ascii="Symbol" w:hAnsi="Symbol" w:hint="default"/>
      </w:rPr>
    </w:lvl>
    <w:lvl w:ilvl="1" w:tplc="0AC456F4">
      <w:start w:val="1"/>
      <w:numFmt w:val="bullet"/>
      <w:lvlText w:val="o"/>
      <w:lvlJc w:val="left"/>
      <w:pPr>
        <w:ind w:left="1440" w:hanging="360"/>
      </w:pPr>
      <w:rPr>
        <w:rFonts w:ascii="Courier New" w:hAnsi="Courier New" w:hint="default"/>
      </w:rPr>
    </w:lvl>
    <w:lvl w:ilvl="2" w:tplc="65002F3E">
      <w:start w:val="1"/>
      <w:numFmt w:val="bullet"/>
      <w:lvlText w:val=""/>
      <w:lvlJc w:val="left"/>
      <w:pPr>
        <w:ind w:left="2160" w:hanging="360"/>
      </w:pPr>
      <w:rPr>
        <w:rFonts w:ascii="Wingdings" w:hAnsi="Wingdings" w:hint="default"/>
      </w:rPr>
    </w:lvl>
    <w:lvl w:ilvl="3" w:tplc="EA0EA3DE">
      <w:start w:val="1"/>
      <w:numFmt w:val="bullet"/>
      <w:lvlText w:val=""/>
      <w:lvlJc w:val="left"/>
      <w:pPr>
        <w:ind w:left="2880" w:hanging="360"/>
      </w:pPr>
      <w:rPr>
        <w:rFonts w:ascii="Symbol" w:hAnsi="Symbol" w:hint="default"/>
      </w:rPr>
    </w:lvl>
    <w:lvl w:ilvl="4" w:tplc="F9FCF72C">
      <w:start w:val="1"/>
      <w:numFmt w:val="bullet"/>
      <w:lvlText w:val="o"/>
      <w:lvlJc w:val="left"/>
      <w:pPr>
        <w:ind w:left="3600" w:hanging="360"/>
      </w:pPr>
      <w:rPr>
        <w:rFonts w:ascii="Courier New" w:hAnsi="Courier New" w:hint="default"/>
      </w:rPr>
    </w:lvl>
    <w:lvl w:ilvl="5" w:tplc="FB4E80E6">
      <w:start w:val="1"/>
      <w:numFmt w:val="bullet"/>
      <w:lvlText w:val=""/>
      <w:lvlJc w:val="left"/>
      <w:pPr>
        <w:ind w:left="4320" w:hanging="360"/>
      </w:pPr>
      <w:rPr>
        <w:rFonts w:ascii="Wingdings" w:hAnsi="Wingdings" w:hint="default"/>
      </w:rPr>
    </w:lvl>
    <w:lvl w:ilvl="6" w:tplc="856E5560">
      <w:start w:val="1"/>
      <w:numFmt w:val="bullet"/>
      <w:lvlText w:val=""/>
      <w:lvlJc w:val="left"/>
      <w:pPr>
        <w:ind w:left="5040" w:hanging="360"/>
      </w:pPr>
      <w:rPr>
        <w:rFonts w:ascii="Symbol" w:hAnsi="Symbol" w:hint="default"/>
      </w:rPr>
    </w:lvl>
    <w:lvl w:ilvl="7" w:tplc="D6529044">
      <w:start w:val="1"/>
      <w:numFmt w:val="bullet"/>
      <w:lvlText w:val="o"/>
      <w:lvlJc w:val="left"/>
      <w:pPr>
        <w:ind w:left="5760" w:hanging="360"/>
      </w:pPr>
      <w:rPr>
        <w:rFonts w:ascii="Courier New" w:hAnsi="Courier New" w:hint="default"/>
      </w:rPr>
    </w:lvl>
    <w:lvl w:ilvl="8" w:tplc="1652C658">
      <w:start w:val="1"/>
      <w:numFmt w:val="bullet"/>
      <w:lvlText w:val=""/>
      <w:lvlJc w:val="left"/>
      <w:pPr>
        <w:ind w:left="6480" w:hanging="360"/>
      </w:pPr>
      <w:rPr>
        <w:rFonts w:ascii="Wingdings" w:hAnsi="Wingdings" w:hint="default"/>
      </w:rPr>
    </w:lvl>
  </w:abstractNum>
  <w:abstractNum w:abstractNumId="13" w15:restartNumberingAfterBreak="0">
    <w:nsid w:val="0227B113"/>
    <w:multiLevelType w:val="hybridMultilevel"/>
    <w:tmpl w:val="B41668A8"/>
    <w:lvl w:ilvl="0" w:tplc="95C4036E">
      <w:start w:val="1"/>
      <w:numFmt w:val="bullet"/>
      <w:lvlText w:val=""/>
      <w:lvlJc w:val="left"/>
      <w:pPr>
        <w:ind w:left="720" w:hanging="360"/>
      </w:pPr>
      <w:rPr>
        <w:rFonts w:ascii="Symbol" w:hAnsi="Symbol" w:hint="default"/>
      </w:rPr>
    </w:lvl>
    <w:lvl w:ilvl="1" w:tplc="F0C8B0BA">
      <w:start w:val="1"/>
      <w:numFmt w:val="bullet"/>
      <w:lvlText w:val="o"/>
      <w:lvlJc w:val="left"/>
      <w:pPr>
        <w:ind w:left="1440" w:hanging="360"/>
      </w:pPr>
      <w:rPr>
        <w:rFonts w:ascii="Courier New" w:hAnsi="Courier New" w:hint="default"/>
      </w:rPr>
    </w:lvl>
    <w:lvl w:ilvl="2" w:tplc="6A128B5E">
      <w:start w:val="1"/>
      <w:numFmt w:val="bullet"/>
      <w:lvlText w:val=""/>
      <w:lvlJc w:val="left"/>
      <w:pPr>
        <w:ind w:left="2160" w:hanging="360"/>
      </w:pPr>
      <w:rPr>
        <w:rFonts w:ascii="Wingdings" w:hAnsi="Wingdings" w:hint="default"/>
      </w:rPr>
    </w:lvl>
    <w:lvl w:ilvl="3" w:tplc="0D4A1D9A">
      <w:start w:val="1"/>
      <w:numFmt w:val="bullet"/>
      <w:lvlText w:val=""/>
      <w:lvlJc w:val="left"/>
      <w:pPr>
        <w:ind w:left="2880" w:hanging="360"/>
      </w:pPr>
      <w:rPr>
        <w:rFonts w:ascii="Symbol" w:hAnsi="Symbol" w:hint="default"/>
      </w:rPr>
    </w:lvl>
    <w:lvl w:ilvl="4" w:tplc="0C0EE660">
      <w:start w:val="1"/>
      <w:numFmt w:val="bullet"/>
      <w:lvlText w:val="o"/>
      <w:lvlJc w:val="left"/>
      <w:pPr>
        <w:ind w:left="3600" w:hanging="360"/>
      </w:pPr>
      <w:rPr>
        <w:rFonts w:ascii="Courier New" w:hAnsi="Courier New" w:hint="default"/>
      </w:rPr>
    </w:lvl>
    <w:lvl w:ilvl="5" w:tplc="6F5C89AE">
      <w:start w:val="1"/>
      <w:numFmt w:val="bullet"/>
      <w:lvlText w:val=""/>
      <w:lvlJc w:val="left"/>
      <w:pPr>
        <w:ind w:left="4320" w:hanging="360"/>
      </w:pPr>
      <w:rPr>
        <w:rFonts w:ascii="Wingdings" w:hAnsi="Wingdings" w:hint="default"/>
      </w:rPr>
    </w:lvl>
    <w:lvl w:ilvl="6" w:tplc="5D003DAE">
      <w:start w:val="1"/>
      <w:numFmt w:val="bullet"/>
      <w:lvlText w:val=""/>
      <w:lvlJc w:val="left"/>
      <w:pPr>
        <w:ind w:left="5040" w:hanging="360"/>
      </w:pPr>
      <w:rPr>
        <w:rFonts w:ascii="Symbol" w:hAnsi="Symbol" w:hint="default"/>
      </w:rPr>
    </w:lvl>
    <w:lvl w:ilvl="7" w:tplc="C7189EC6">
      <w:start w:val="1"/>
      <w:numFmt w:val="bullet"/>
      <w:lvlText w:val="o"/>
      <w:lvlJc w:val="left"/>
      <w:pPr>
        <w:ind w:left="5760" w:hanging="360"/>
      </w:pPr>
      <w:rPr>
        <w:rFonts w:ascii="Courier New" w:hAnsi="Courier New" w:hint="default"/>
      </w:rPr>
    </w:lvl>
    <w:lvl w:ilvl="8" w:tplc="946C6ED8">
      <w:start w:val="1"/>
      <w:numFmt w:val="bullet"/>
      <w:lvlText w:val=""/>
      <w:lvlJc w:val="left"/>
      <w:pPr>
        <w:ind w:left="6480" w:hanging="360"/>
      </w:pPr>
      <w:rPr>
        <w:rFonts w:ascii="Wingdings" w:hAnsi="Wingdings" w:hint="default"/>
      </w:rPr>
    </w:lvl>
  </w:abstractNum>
  <w:abstractNum w:abstractNumId="14" w15:restartNumberingAfterBreak="0">
    <w:nsid w:val="024007A6"/>
    <w:multiLevelType w:val="hybridMultilevel"/>
    <w:tmpl w:val="1DACD538"/>
    <w:lvl w:ilvl="0" w:tplc="0409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025C1A1F"/>
    <w:multiLevelType w:val="hybridMultilevel"/>
    <w:tmpl w:val="92B6BA26"/>
    <w:lvl w:ilvl="0" w:tplc="BF9C3B48">
      <w:start w:val="1"/>
      <w:numFmt w:val="bullet"/>
      <w:lvlText w:val=""/>
      <w:lvlJc w:val="left"/>
      <w:pPr>
        <w:ind w:left="720" w:hanging="360"/>
      </w:pPr>
      <w:rPr>
        <w:rFonts w:ascii="Symbol" w:hAnsi="Symbol" w:hint="default"/>
      </w:rPr>
    </w:lvl>
    <w:lvl w:ilvl="1" w:tplc="B6E8543E">
      <w:start w:val="1"/>
      <w:numFmt w:val="bullet"/>
      <w:lvlText w:val="o"/>
      <w:lvlJc w:val="left"/>
      <w:pPr>
        <w:ind w:left="1440" w:hanging="360"/>
      </w:pPr>
      <w:rPr>
        <w:rFonts w:ascii="Symbol" w:hAnsi="Symbol" w:hint="default"/>
      </w:rPr>
    </w:lvl>
    <w:lvl w:ilvl="2" w:tplc="54444A54">
      <w:start w:val="1"/>
      <w:numFmt w:val="bullet"/>
      <w:lvlText w:val=""/>
      <w:lvlJc w:val="left"/>
      <w:pPr>
        <w:ind w:left="1987" w:hanging="360"/>
      </w:pPr>
      <w:rPr>
        <w:rFonts w:ascii="Wingdings" w:hAnsi="Wingdings" w:hint="default"/>
      </w:rPr>
    </w:lvl>
    <w:lvl w:ilvl="3" w:tplc="C512CF04">
      <w:start w:val="1"/>
      <w:numFmt w:val="bullet"/>
      <w:lvlText w:val=""/>
      <w:lvlJc w:val="left"/>
      <w:pPr>
        <w:ind w:left="2707" w:hanging="360"/>
      </w:pPr>
      <w:rPr>
        <w:rFonts w:ascii="Symbol" w:hAnsi="Symbol" w:hint="default"/>
      </w:rPr>
    </w:lvl>
    <w:lvl w:ilvl="4" w:tplc="79FADB6C">
      <w:start w:val="1"/>
      <w:numFmt w:val="bullet"/>
      <w:lvlText w:val="o"/>
      <w:lvlJc w:val="left"/>
      <w:pPr>
        <w:ind w:left="3427" w:hanging="360"/>
      </w:pPr>
      <w:rPr>
        <w:rFonts w:ascii="Courier New" w:hAnsi="Courier New" w:hint="default"/>
      </w:rPr>
    </w:lvl>
    <w:lvl w:ilvl="5" w:tplc="37D69100">
      <w:start w:val="1"/>
      <w:numFmt w:val="bullet"/>
      <w:lvlText w:val=""/>
      <w:lvlJc w:val="left"/>
      <w:pPr>
        <w:ind w:left="4147" w:hanging="360"/>
      </w:pPr>
      <w:rPr>
        <w:rFonts w:ascii="Wingdings" w:hAnsi="Wingdings" w:hint="default"/>
      </w:rPr>
    </w:lvl>
    <w:lvl w:ilvl="6" w:tplc="39CCBAFE">
      <w:start w:val="1"/>
      <w:numFmt w:val="bullet"/>
      <w:lvlText w:val=""/>
      <w:lvlJc w:val="left"/>
      <w:pPr>
        <w:ind w:left="4867" w:hanging="360"/>
      </w:pPr>
      <w:rPr>
        <w:rFonts w:ascii="Symbol" w:hAnsi="Symbol" w:hint="default"/>
      </w:rPr>
    </w:lvl>
    <w:lvl w:ilvl="7" w:tplc="49C2FEC4">
      <w:start w:val="1"/>
      <w:numFmt w:val="bullet"/>
      <w:lvlText w:val="o"/>
      <w:lvlJc w:val="left"/>
      <w:pPr>
        <w:ind w:left="5587" w:hanging="360"/>
      </w:pPr>
      <w:rPr>
        <w:rFonts w:ascii="Courier New" w:hAnsi="Courier New" w:hint="default"/>
      </w:rPr>
    </w:lvl>
    <w:lvl w:ilvl="8" w:tplc="4F3E6496">
      <w:start w:val="1"/>
      <w:numFmt w:val="bullet"/>
      <w:lvlText w:val=""/>
      <w:lvlJc w:val="left"/>
      <w:pPr>
        <w:ind w:left="6307" w:hanging="360"/>
      </w:pPr>
      <w:rPr>
        <w:rFonts w:ascii="Wingdings" w:hAnsi="Wingdings" w:hint="default"/>
      </w:rPr>
    </w:lvl>
  </w:abstractNum>
  <w:abstractNum w:abstractNumId="16" w15:restartNumberingAfterBreak="0">
    <w:nsid w:val="027C3AB2"/>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17" w15:restartNumberingAfterBreak="0">
    <w:nsid w:val="02A77C47"/>
    <w:multiLevelType w:val="multilevel"/>
    <w:tmpl w:val="F34C74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02A78A5E"/>
    <w:multiLevelType w:val="hybridMultilevel"/>
    <w:tmpl w:val="6ECABBAC"/>
    <w:lvl w:ilvl="0" w:tplc="64D81556">
      <w:start w:val="1"/>
      <w:numFmt w:val="bullet"/>
      <w:lvlText w:val=""/>
      <w:lvlJc w:val="left"/>
      <w:pPr>
        <w:ind w:left="720" w:hanging="360"/>
      </w:pPr>
      <w:rPr>
        <w:rFonts w:ascii="Symbol" w:hAnsi="Symbol" w:hint="default"/>
      </w:rPr>
    </w:lvl>
    <w:lvl w:ilvl="1" w:tplc="F8489FC2">
      <w:start w:val="1"/>
      <w:numFmt w:val="bullet"/>
      <w:lvlText w:val="o"/>
      <w:lvlJc w:val="left"/>
      <w:pPr>
        <w:ind w:left="1440" w:hanging="360"/>
      </w:pPr>
      <w:rPr>
        <w:rFonts w:ascii="Courier New" w:hAnsi="Courier New" w:hint="default"/>
      </w:rPr>
    </w:lvl>
    <w:lvl w:ilvl="2" w:tplc="58341D8E">
      <w:start w:val="1"/>
      <w:numFmt w:val="bullet"/>
      <w:lvlText w:val=""/>
      <w:lvlJc w:val="left"/>
      <w:pPr>
        <w:ind w:left="2160" w:hanging="360"/>
      </w:pPr>
      <w:rPr>
        <w:rFonts w:ascii="Wingdings" w:hAnsi="Wingdings" w:hint="default"/>
      </w:rPr>
    </w:lvl>
    <w:lvl w:ilvl="3" w:tplc="51BC009E">
      <w:start w:val="1"/>
      <w:numFmt w:val="bullet"/>
      <w:lvlText w:val=""/>
      <w:lvlJc w:val="left"/>
      <w:pPr>
        <w:ind w:left="2880" w:hanging="360"/>
      </w:pPr>
      <w:rPr>
        <w:rFonts w:ascii="Symbol" w:hAnsi="Symbol" w:hint="default"/>
      </w:rPr>
    </w:lvl>
    <w:lvl w:ilvl="4" w:tplc="EAC08842">
      <w:start w:val="1"/>
      <w:numFmt w:val="bullet"/>
      <w:lvlText w:val="o"/>
      <w:lvlJc w:val="left"/>
      <w:pPr>
        <w:ind w:left="3600" w:hanging="360"/>
      </w:pPr>
      <w:rPr>
        <w:rFonts w:ascii="Courier New" w:hAnsi="Courier New" w:hint="default"/>
      </w:rPr>
    </w:lvl>
    <w:lvl w:ilvl="5" w:tplc="D0C22872">
      <w:start w:val="1"/>
      <w:numFmt w:val="bullet"/>
      <w:lvlText w:val=""/>
      <w:lvlJc w:val="left"/>
      <w:pPr>
        <w:ind w:left="4320" w:hanging="360"/>
      </w:pPr>
      <w:rPr>
        <w:rFonts w:ascii="Wingdings" w:hAnsi="Wingdings" w:hint="default"/>
      </w:rPr>
    </w:lvl>
    <w:lvl w:ilvl="6" w:tplc="EBDACD76">
      <w:start w:val="1"/>
      <w:numFmt w:val="bullet"/>
      <w:lvlText w:val=""/>
      <w:lvlJc w:val="left"/>
      <w:pPr>
        <w:ind w:left="5040" w:hanging="360"/>
      </w:pPr>
      <w:rPr>
        <w:rFonts w:ascii="Symbol" w:hAnsi="Symbol" w:hint="default"/>
      </w:rPr>
    </w:lvl>
    <w:lvl w:ilvl="7" w:tplc="E14A5890">
      <w:start w:val="1"/>
      <w:numFmt w:val="bullet"/>
      <w:lvlText w:val="o"/>
      <w:lvlJc w:val="left"/>
      <w:pPr>
        <w:ind w:left="5760" w:hanging="360"/>
      </w:pPr>
      <w:rPr>
        <w:rFonts w:ascii="Courier New" w:hAnsi="Courier New" w:hint="default"/>
      </w:rPr>
    </w:lvl>
    <w:lvl w:ilvl="8" w:tplc="16065766">
      <w:start w:val="1"/>
      <w:numFmt w:val="bullet"/>
      <w:lvlText w:val=""/>
      <w:lvlJc w:val="left"/>
      <w:pPr>
        <w:ind w:left="6480" w:hanging="360"/>
      </w:pPr>
      <w:rPr>
        <w:rFonts w:ascii="Wingdings" w:hAnsi="Wingdings" w:hint="default"/>
      </w:rPr>
    </w:lvl>
  </w:abstractNum>
  <w:abstractNum w:abstractNumId="19" w15:restartNumberingAfterBreak="0">
    <w:nsid w:val="02BB6B69"/>
    <w:multiLevelType w:val="hybridMultilevel"/>
    <w:tmpl w:val="07F829C4"/>
    <w:lvl w:ilvl="0" w:tplc="BC0A4F6A">
      <w:start w:val="1"/>
      <w:numFmt w:val="bullet"/>
      <w:lvlText w:val=""/>
      <w:lvlJc w:val="left"/>
      <w:pPr>
        <w:ind w:left="720" w:hanging="360"/>
      </w:pPr>
      <w:rPr>
        <w:rFonts w:ascii="Symbol" w:hAnsi="Symbol" w:hint="default"/>
      </w:rPr>
    </w:lvl>
    <w:lvl w:ilvl="1" w:tplc="0C1CFB26">
      <w:start w:val="1"/>
      <w:numFmt w:val="bullet"/>
      <w:lvlText w:val="o"/>
      <w:lvlJc w:val="left"/>
      <w:pPr>
        <w:ind w:left="1440" w:hanging="360"/>
      </w:pPr>
      <w:rPr>
        <w:rFonts w:ascii="Courier New" w:hAnsi="Courier New" w:hint="default"/>
      </w:rPr>
    </w:lvl>
    <w:lvl w:ilvl="2" w:tplc="A1D60F5E">
      <w:start w:val="1"/>
      <w:numFmt w:val="bullet"/>
      <w:lvlText w:val=""/>
      <w:lvlJc w:val="left"/>
      <w:pPr>
        <w:ind w:left="2160" w:hanging="360"/>
      </w:pPr>
      <w:rPr>
        <w:rFonts w:ascii="Wingdings" w:hAnsi="Wingdings" w:hint="default"/>
      </w:rPr>
    </w:lvl>
    <w:lvl w:ilvl="3" w:tplc="EA5A448C">
      <w:start w:val="1"/>
      <w:numFmt w:val="bullet"/>
      <w:lvlText w:val=""/>
      <w:lvlJc w:val="left"/>
      <w:pPr>
        <w:ind w:left="2880" w:hanging="360"/>
      </w:pPr>
      <w:rPr>
        <w:rFonts w:ascii="Symbol" w:hAnsi="Symbol" w:hint="default"/>
      </w:rPr>
    </w:lvl>
    <w:lvl w:ilvl="4" w:tplc="4018351E">
      <w:start w:val="1"/>
      <w:numFmt w:val="bullet"/>
      <w:lvlText w:val="o"/>
      <w:lvlJc w:val="left"/>
      <w:pPr>
        <w:ind w:left="3600" w:hanging="360"/>
      </w:pPr>
      <w:rPr>
        <w:rFonts w:ascii="Courier New" w:hAnsi="Courier New" w:hint="default"/>
      </w:rPr>
    </w:lvl>
    <w:lvl w:ilvl="5" w:tplc="30C2F8C8">
      <w:start w:val="1"/>
      <w:numFmt w:val="bullet"/>
      <w:lvlText w:val=""/>
      <w:lvlJc w:val="left"/>
      <w:pPr>
        <w:ind w:left="4320" w:hanging="360"/>
      </w:pPr>
      <w:rPr>
        <w:rFonts w:ascii="Wingdings" w:hAnsi="Wingdings" w:hint="default"/>
      </w:rPr>
    </w:lvl>
    <w:lvl w:ilvl="6" w:tplc="B6961AC0">
      <w:start w:val="1"/>
      <w:numFmt w:val="bullet"/>
      <w:lvlText w:val=""/>
      <w:lvlJc w:val="left"/>
      <w:pPr>
        <w:ind w:left="5040" w:hanging="360"/>
      </w:pPr>
      <w:rPr>
        <w:rFonts w:ascii="Symbol" w:hAnsi="Symbol" w:hint="default"/>
      </w:rPr>
    </w:lvl>
    <w:lvl w:ilvl="7" w:tplc="81423DF4">
      <w:start w:val="1"/>
      <w:numFmt w:val="bullet"/>
      <w:lvlText w:val="o"/>
      <w:lvlJc w:val="left"/>
      <w:pPr>
        <w:ind w:left="5760" w:hanging="360"/>
      </w:pPr>
      <w:rPr>
        <w:rFonts w:ascii="Courier New" w:hAnsi="Courier New" w:hint="default"/>
      </w:rPr>
    </w:lvl>
    <w:lvl w:ilvl="8" w:tplc="3E12C4A8">
      <w:start w:val="1"/>
      <w:numFmt w:val="bullet"/>
      <w:lvlText w:val=""/>
      <w:lvlJc w:val="left"/>
      <w:pPr>
        <w:ind w:left="6480" w:hanging="360"/>
      </w:pPr>
      <w:rPr>
        <w:rFonts w:ascii="Wingdings" w:hAnsi="Wingdings" w:hint="default"/>
      </w:rPr>
    </w:lvl>
  </w:abstractNum>
  <w:abstractNum w:abstractNumId="20" w15:restartNumberingAfterBreak="0">
    <w:nsid w:val="02CEEAB0"/>
    <w:multiLevelType w:val="hybridMultilevel"/>
    <w:tmpl w:val="CED45748"/>
    <w:lvl w:ilvl="0" w:tplc="C67AC292">
      <w:start w:val="1"/>
      <w:numFmt w:val="bullet"/>
      <w:lvlText w:val=""/>
      <w:lvlJc w:val="left"/>
      <w:pPr>
        <w:ind w:left="720" w:hanging="360"/>
      </w:pPr>
      <w:rPr>
        <w:rFonts w:ascii="Symbol" w:hAnsi="Symbol" w:hint="default"/>
      </w:rPr>
    </w:lvl>
    <w:lvl w:ilvl="1" w:tplc="E50C7A6A">
      <w:start w:val="1"/>
      <w:numFmt w:val="bullet"/>
      <w:lvlText w:val="o"/>
      <w:lvlJc w:val="left"/>
      <w:pPr>
        <w:ind w:left="1440" w:hanging="360"/>
      </w:pPr>
      <w:rPr>
        <w:rFonts w:ascii="Courier New" w:hAnsi="Courier New" w:hint="default"/>
      </w:rPr>
    </w:lvl>
    <w:lvl w:ilvl="2" w:tplc="C6D0C686">
      <w:start w:val="1"/>
      <w:numFmt w:val="bullet"/>
      <w:lvlText w:val=""/>
      <w:lvlJc w:val="left"/>
      <w:pPr>
        <w:ind w:left="2160" w:hanging="360"/>
      </w:pPr>
      <w:rPr>
        <w:rFonts w:ascii="Wingdings" w:hAnsi="Wingdings" w:hint="default"/>
      </w:rPr>
    </w:lvl>
    <w:lvl w:ilvl="3" w:tplc="BE704CC8">
      <w:start w:val="1"/>
      <w:numFmt w:val="bullet"/>
      <w:lvlText w:val=""/>
      <w:lvlJc w:val="left"/>
      <w:pPr>
        <w:ind w:left="2880" w:hanging="360"/>
      </w:pPr>
      <w:rPr>
        <w:rFonts w:ascii="Symbol" w:hAnsi="Symbol" w:hint="default"/>
      </w:rPr>
    </w:lvl>
    <w:lvl w:ilvl="4" w:tplc="EAA09022">
      <w:start w:val="1"/>
      <w:numFmt w:val="bullet"/>
      <w:lvlText w:val="o"/>
      <w:lvlJc w:val="left"/>
      <w:pPr>
        <w:ind w:left="3600" w:hanging="360"/>
      </w:pPr>
      <w:rPr>
        <w:rFonts w:ascii="Courier New" w:hAnsi="Courier New" w:hint="default"/>
      </w:rPr>
    </w:lvl>
    <w:lvl w:ilvl="5" w:tplc="D180A802">
      <w:start w:val="1"/>
      <w:numFmt w:val="bullet"/>
      <w:lvlText w:val=""/>
      <w:lvlJc w:val="left"/>
      <w:pPr>
        <w:ind w:left="4320" w:hanging="360"/>
      </w:pPr>
      <w:rPr>
        <w:rFonts w:ascii="Wingdings" w:hAnsi="Wingdings" w:hint="default"/>
      </w:rPr>
    </w:lvl>
    <w:lvl w:ilvl="6" w:tplc="D8BE7210">
      <w:start w:val="1"/>
      <w:numFmt w:val="bullet"/>
      <w:lvlText w:val=""/>
      <w:lvlJc w:val="left"/>
      <w:pPr>
        <w:ind w:left="5040" w:hanging="360"/>
      </w:pPr>
      <w:rPr>
        <w:rFonts w:ascii="Symbol" w:hAnsi="Symbol" w:hint="default"/>
      </w:rPr>
    </w:lvl>
    <w:lvl w:ilvl="7" w:tplc="6B9E0B9A">
      <w:start w:val="1"/>
      <w:numFmt w:val="bullet"/>
      <w:lvlText w:val="o"/>
      <w:lvlJc w:val="left"/>
      <w:pPr>
        <w:ind w:left="5760" w:hanging="360"/>
      </w:pPr>
      <w:rPr>
        <w:rFonts w:ascii="Courier New" w:hAnsi="Courier New" w:hint="default"/>
      </w:rPr>
    </w:lvl>
    <w:lvl w:ilvl="8" w:tplc="6C70786E">
      <w:start w:val="1"/>
      <w:numFmt w:val="bullet"/>
      <w:lvlText w:val=""/>
      <w:lvlJc w:val="left"/>
      <w:pPr>
        <w:ind w:left="6480" w:hanging="360"/>
      </w:pPr>
      <w:rPr>
        <w:rFonts w:ascii="Wingdings" w:hAnsi="Wingdings" w:hint="default"/>
      </w:rPr>
    </w:lvl>
  </w:abstractNum>
  <w:abstractNum w:abstractNumId="21" w15:restartNumberingAfterBreak="0">
    <w:nsid w:val="02FB78B4"/>
    <w:multiLevelType w:val="multilevel"/>
    <w:tmpl w:val="BD0AD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3492433"/>
    <w:multiLevelType w:val="multilevel"/>
    <w:tmpl w:val="C8BA1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34B02A6"/>
    <w:multiLevelType w:val="multilevel"/>
    <w:tmpl w:val="85768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34B0D5A"/>
    <w:multiLevelType w:val="multilevel"/>
    <w:tmpl w:val="C3007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3836957"/>
    <w:multiLevelType w:val="multilevel"/>
    <w:tmpl w:val="F6BC3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03ADBF9E"/>
    <w:multiLevelType w:val="hybridMultilevel"/>
    <w:tmpl w:val="2F8A166C"/>
    <w:lvl w:ilvl="0" w:tplc="72C8D95A">
      <w:start w:val="1"/>
      <w:numFmt w:val="bullet"/>
      <w:lvlText w:val=""/>
      <w:lvlJc w:val="left"/>
      <w:pPr>
        <w:ind w:left="720" w:hanging="360"/>
      </w:pPr>
      <w:rPr>
        <w:rFonts w:ascii="Symbol" w:hAnsi="Symbol" w:hint="default"/>
      </w:rPr>
    </w:lvl>
    <w:lvl w:ilvl="1" w:tplc="E7124222">
      <w:start w:val="1"/>
      <w:numFmt w:val="bullet"/>
      <w:lvlText w:val="o"/>
      <w:lvlJc w:val="left"/>
      <w:pPr>
        <w:ind w:left="1440" w:hanging="360"/>
      </w:pPr>
      <w:rPr>
        <w:rFonts w:ascii="Courier New" w:hAnsi="Courier New" w:hint="default"/>
      </w:rPr>
    </w:lvl>
    <w:lvl w:ilvl="2" w:tplc="8138A446">
      <w:start w:val="1"/>
      <w:numFmt w:val="bullet"/>
      <w:lvlText w:val=""/>
      <w:lvlJc w:val="left"/>
      <w:pPr>
        <w:ind w:left="2160" w:hanging="360"/>
      </w:pPr>
      <w:rPr>
        <w:rFonts w:ascii="Wingdings" w:hAnsi="Wingdings" w:hint="default"/>
      </w:rPr>
    </w:lvl>
    <w:lvl w:ilvl="3" w:tplc="95F69178">
      <w:start w:val="1"/>
      <w:numFmt w:val="bullet"/>
      <w:lvlText w:val=""/>
      <w:lvlJc w:val="left"/>
      <w:pPr>
        <w:ind w:left="2880" w:hanging="360"/>
      </w:pPr>
      <w:rPr>
        <w:rFonts w:ascii="Symbol" w:hAnsi="Symbol" w:hint="default"/>
      </w:rPr>
    </w:lvl>
    <w:lvl w:ilvl="4" w:tplc="520E4AA2">
      <w:start w:val="1"/>
      <w:numFmt w:val="bullet"/>
      <w:lvlText w:val="o"/>
      <w:lvlJc w:val="left"/>
      <w:pPr>
        <w:ind w:left="3600" w:hanging="360"/>
      </w:pPr>
      <w:rPr>
        <w:rFonts w:ascii="Courier New" w:hAnsi="Courier New" w:hint="default"/>
      </w:rPr>
    </w:lvl>
    <w:lvl w:ilvl="5" w:tplc="81C255F2">
      <w:start w:val="1"/>
      <w:numFmt w:val="bullet"/>
      <w:lvlText w:val=""/>
      <w:lvlJc w:val="left"/>
      <w:pPr>
        <w:ind w:left="4320" w:hanging="360"/>
      </w:pPr>
      <w:rPr>
        <w:rFonts w:ascii="Wingdings" w:hAnsi="Wingdings" w:hint="default"/>
      </w:rPr>
    </w:lvl>
    <w:lvl w:ilvl="6" w:tplc="A518F452">
      <w:start w:val="1"/>
      <w:numFmt w:val="bullet"/>
      <w:lvlText w:val=""/>
      <w:lvlJc w:val="left"/>
      <w:pPr>
        <w:ind w:left="5040" w:hanging="360"/>
      </w:pPr>
      <w:rPr>
        <w:rFonts w:ascii="Symbol" w:hAnsi="Symbol" w:hint="default"/>
      </w:rPr>
    </w:lvl>
    <w:lvl w:ilvl="7" w:tplc="73FE6D10">
      <w:start w:val="1"/>
      <w:numFmt w:val="bullet"/>
      <w:lvlText w:val="o"/>
      <w:lvlJc w:val="left"/>
      <w:pPr>
        <w:ind w:left="5760" w:hanging="360"/>
      </w:pPr>
      <w:rPr>
        <w:rFonts w:ascii="Courier New" w:hAnsi="Courier New" w:hint="default"/>
      </w:rPr>
    </w:lvl>
    <w:lvl w:ilvl="8" w:tplc="87CE9394">
      <w:start w:val="1"/>
      <w:numFmt w:val="bullet"/>
      <w:lvlText w:val=""/>
      <w:lvlJc w:val="left"/>
      <w:pPr>
        <w:ind w:left="6480" w:hanging="360"/>
      </w:pPr>
      <w:rPr>
        <w:rFonts w:ascii="Wingdings" w:hAnsi="Wingdings" w:hint="default"/>
      </w:rPr>
    </w:lvl>
  </w:abstractNum>
  <w:abstractNum w:abstractNumId="27" w15:restartNumberingAfterBreak="0">
    <w:nsid w:val="03BD1C75"/>
    <w:multiLevelType w:val="multilevel"/>
    <w:tmpl w:val="C456B2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03D53356"/>
    <w:multiLevelType w:val="multilevel"/>
    <w:tmpl w:val="4A448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03E63A13"/>
    <w:multiLevelType w:val="multilevel"/>
    <w:tmpl w:val="6F602B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03FE5779"/>
    <w:multiLevelType w:val="multilevel"/>
    <w:tmpl w:val="095A36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4013D45"/>
    <w:multiLevelType w:val="multilevel"/>
    <w:tmpl w:val="848A4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42B2774"/>
    <w:multiLevelType w:val="multilevel"/>
    <w:tmpl w:val="873A2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047B3AB5"/>
    <w:multiLevelType w:val="hybridMultilevel"/>
    <w:tmpl w:val="0B4248AC"/>
    <w:lvl w:ilvl="0" w:tplc="590C9462">
      <w:start w:val="1"/>
      <w:numFmt w:val="bullet"/>
      <w:lvlText w:val=""/>
      <w:lvlJc w:val="left"/>
      <w:pPr>
        <w:ind w:left="547" w:hanging="360"/>
      </w:pPr>
      <w:rPr>
        <w:rFonts w:ascii="Symbol" w:hAnsi="Symbol" w:hint="default"/>
      </w:rPr>
    </w:lvl>
    <w:lvl w:ilvl="1" w:tplc="17B2739E">
      <w:start w:val="1"/>
      <w:numFmt w:val="bullet"/>
      <w:lvlText w:val="o"/>
      <w:lvlJc w:val="left"/>
      <w:pPr>
        <w:ind w:left="1267" w:hanging="360"/>
      </w:pPr>
      <w:rPr>
        <w:rFonts w:ascii="Courier New" w:hAnsi="Courier New" w:hint="default"/>
      </w:rPr>
    </w:lvl>
    <w:lvl w:ilvl="2" w:tplc="FFE8EC76">
      <w:start w:val="1"/>
      <w:numFmt w:val="bullet"/>
      <w:lvlText w:val=""/>
      <w:lvlJc w:val="left"/>
      <w:pPr>
        <w:ind w:left="1987" w:hanging="360"/>
      </w:pPr>
      <w:rPr>
        <w:rFonts w:ascii="Wingdings" w:hAnsi="Wingdings" w:hint="default"/>
      </w:rPr>
    </w:lvl>
    <w:lvl w:ilvl="3" w:tplc="EDEAE4FE">
      <w:start w:val="1"/>
      <w:numFmt w:val="bullet"/>
      <w:lvlText w:val=""/>
      <w:lvlJc w:val="left"/>
      <w:pPr>
        <w:ind w:left="2707" w:hanging="360"/>
      </w:pPr>
      <w:rPr>
        <w:rFonts w:ascii="Symbol" w:hAnsi="Symbol" w:hint="default"/>
      </w:rPr>
    </w:lvl>
    <w:lvl w:ilvl="4" w:tplc="A426CD2E">
      <w:start w:val="1"/>
      <w:numFmt w:val="bullet"/>
      <w:lvlText w:val="o"/>
      <w:lvlJc w:val="left"/>
      <w:pPr>
        <w:ind w:left="3427" w:hanging="360"/>
      </w:pPr>
      <w:rPr>
        <w:rFonts w:ascii="Courier New" w:hAnsi="Courier New" w:hint="default"/>
      </w:rPr>
    </w:lvl>
    <w:lvl w:ilvl="5" w:tplc="FBF0E1DC">
      <w:start w:val="1"/>
      <w:numFmt w:val="bullet"/>
      <w:lvlText w:val=""/>
      <w:lvlJc w:val="left"/>
      <w:pPr>
        <w:ind w:left="4147" w:hanging="360"/>
      </w:pPr>
      <w:rPr>
        <w:rFonts w:ascii="Wingdings" w:hAnsi="Wingdings" w:hint="default"/>
      </w:rPr>
    </w:lvl>
    <w:lvl w:ilvl="6" w:tplc="4496B1CC">
      <w:start w:val="1"/>
      <w:numFmt w:val="bullet"/>
      <w:lvlText w:val=""/>
      <w:lvlJc w:val="left"/>
      <w:pPr>
        <w:ind w:left="4867" w:hanging="360"/>
      </w:pPr>
      <w:rPr>
        <w:rFonts w:ascii="Symbol" w:hAnsi="Symbol" w:hint="default"/>
      </w:rPr>
    </w:lvl>
    <w:lvl w:ilvl="7" w:tplc="7A2C5DEA">
      <w:start w:val="1"/>
      <w:numFmt w:val="bullet"/>
      <w:lvlText w:val="o"/>
      <w:lvlJc w:val="left"/>
      <w:pPr>
        <w:ind w:left="5587" w:hanging="360"/>
      </w:pPr>
      <w:rPr>
        <w:rFonts w:ascii="Courier New" w:hAnsi="Courier New" w:hint="default"/>
      </w:rPr>
    </w:lvl>
    <w:lvl w:ilvl="8" w:tplc="3B08079A">
      <w:start w:val="1"/>
      <w:numFmt w:val="bullet"/>
      <w:lvlText w:val=""/>
      <w:lvlJc w:val="left"/>
      <w:pPr>
        <w:ind w:left="6307" w:hanging="360"/>
      </w:pPr>
      <w:rPr>
        <w:rFonts w:ascii="Wingdings" w:hAnsi="Wingdings" w:hint="default"/>
      </w:rPr>
    </w:lvl>
  </w:abstractNum>
  <w:abstractNum w:abstractNumId="34" w15:restartNumberingAfterBreak="0">
    <w:nsid w:val="04833701"/>
    <w:multiLevelType w:val="multilevel"/>
    <w:tmpl w:val="D0F4C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049A3234"/>
    <w:multiLevelType w:val="multilevel"/>
    <w:tmpl w:val="6BB44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04A56157"/>
    <w:multiLevelType w:val="multilevel"/>
    <w:tmpl w:val="218E96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4B002FD"/>
    <w:multiLevelType w:val="multilevel"/>
    <w:tmpl w:val="A740F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04BA0C3C"/>
    <w:multiLevelType w:val="multilevel"/>
    <w:tmpl w:val="348C5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04C0FCEF"/>
    <w:multiLevelType w:val="multilevel"/>
    <w:tmpl w:val="F27ACD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04E01C65"/>
    <w:multiLevelType w:val="multilevel"/>
    <w:tmpl w:val="840C5438"/>
    <w:lvl w:ilvl="0">
      <w:start w:val="1"/>
      <w:numFmt w:val="decimal"/>
      <w:lvlText w:val="%1."/>
      <w:lvlJc w:val="left"/>
      <w:pPr>
        <w:ind w:left="720" w:hanging="360"/>
      </w:pPr>
    </w:lvl>
    <w:lvl w:ilvl="1">
      <w:start w:val="1"/>
      <w:numFmt w:val="lowerLetter"/>
      <w:lvlText w:val="%2."/>
      <w:lvlJc w:val="left"/>
      <w:pPr>
        <w:ind w:left="1267" w:hanging="360"/>
      </w:pPr>
    </w:lvl>
    <w:lvl w:ilvl="2">
      <w:start w:val="1"/>
      <w:numFmt w:val="lowerRoman"/>
      <w:lvlText w:val="%3."/>
      <w:lvlJc w:val="right"/>
      <w:pPr>
        <w:ind w:left="1987" w:hanging="180"/>
      </w:pPr>
    </w:lvl>
    <w:lvl w:ilvl="3">
      <w:start w:val="1"/>
      <w:numFmt w:val="decimal"/>
      <w:lvlText w:val="%4."/>
      <w:lvlJc w:val="left"/>
      <w:pPr>
        <w:ind w:left="2707" w:hanging="360"/>
      </w:pPr>
    </w:lvl>
    <w:lvl w:ilvl="4">
      <w:start w:val="1"/>
      <w:numFmt w:val="lowerLetter"/>
      <w:lvlText w:val="%5."/>
      <w:lvlJc w:val="left"/>
      <w:pPr>
        <w:ind w:left="3427" w:hanging="360"/>
      </w:pPr>
    </w:lvl>
    <w:lvl w:ilvl="5">
      <w:start w:val="1"/>
      <w:numFmt w:val="lowerRoman"/>
      <w:lvlText w:val="%6."/>
      <w:lvlJc w:val="right"/>
      <w:pPr>
        <w:ind w:left="4147" w:hanging="180"/>
      </w:pPr>
    </w:lvl>
    <w:lvl w:ilvl="6">
      <w:start w:val="1"/>
      <w:numFmt w:val="decimal"/>
      <w:lvlText w:val="%7."/>
      <w:lvlJc w:val="left"/>
      <w:pPr>
        <w:ind w:left="4867" w:hanging="360"/>
      </w:pPr>
    </w:lvl>
    <w:lvl w:ilvl="7">
      <w:start w:val="1"/>
      <w:numFmt w:val="lowerLetter"/>
      <w:lvlText w:val="%8."/>
      <w:lvlJc w:val="left"/>
      <w:pPr>
        <w:ind w:left="5587" w:hanging="360"/>
      </w:pPr>
    </w:lvl>
    <w:lvl w:ilvl="8">
      <w:start w:val="1"/>
      <w:numFmt w:val="lowerRoman"/>
      <w:lvlText w:val="%9."/>
      <w:lvlJc w:val="right"/>
      <w:pPr>
        <w:ind w:left="6307" w:hanging="180"/>
      </w:pPr>
    </w:lvl>
  </w:abstractNum>
  <w:abstractNum w:abstractNumId="41" w15:restartNumberingAfterBreak="0">
    <w:nsid w:val="0574DB86"/>
    <w:multiLevelType w:val="hybridMultilevel"/>
    <w:tmpl w:val="43267F4C"/>
    <w:lvl w:ilvl="0" w:tplc="F4248904">
      <w:start w:val="1"/>
      <w:numFmt w:val="bullet"/>
      <w:lvlText w:val=""/>
      <w:lvlJc w:val="left"/>
      <w:pPr>
        <w:ind w:left="547" w:hanging="360"/>
      </w:pPr>
      <w:rPr>
        <w:rFonts w:ascii="Symbol" w:hAnsi="Symbol" w:hint="default"/>
      </w:rPr>
    </w:lvl>
    <w:lvl w:ilvl="1" w:tplc="D8D4F52E">
      <w:start w:val="1"/>
      <w:numFmt w:val="bullet"/>
      <w:lvlText w:val="o"/>
      <w:lvlJc w:val="left"/>
      <w:pPr>
        <w:ind w:left="1267" w:hanging="360"/>
      </w:pPr>
      <w:rPr>
        <w:rFonts w:ascii="Courier New" w:hAnsi="Courier New" w:hint="default"/>
      </w:rPr>
    </w:lvl>
    <w:lvl w:ilvl="2" w:tplc="9F4A7C34">
      <w:start w:val="1"/>
      <w:numFmt w:val="bullet"/>
      <w:lvlText w:val=""/>
      <w:lvlJc w:val="left"/>
      <w:pPr>
        <w:ind w:left="1987" w:hanging="360"/>
      </w:pPr>
      <w:rPr>
        <w:rFonts w:ascii="Wingdings" w:hAnsi="Wingdings" w:hint="default"/>
      </w:rPr>
    </w:lvl>
    <w:lvl w:ilvl="3" w:tplc="78A8577A">
      <w:start w:val="1"/>
      <w:numFmt w:val="bullet"/>
      <w:lvlText w:val=""/>
      <w:lvlJc w:val="left"/>
      <w:pPr>
        <w:ind w:left="2707" w:hanging="360"/>
      </w:pPr>
      <w:rPr>
        <w:rFonts w:ascii="Symbol" w:hAnsi="Symbol" w:hint="default"/>
      </w:rPr>
    </w:lvl>
    <w:lvl w:ilvl="4" w:tplc="5096DBFE">
      <w:start w:val="1"/>
      <w:numFmt w:val="bullet"/>
      <w:lvlText w:val="o"/>
      <w:lvlJc w:val="left"/>
      <w:pPr>
        <w:ind w:left="3427" w:hanging="360"/>
      </w:pPr>
      <w:rPr>
        <w:rFonts w:ascii="Courier New" w:hAnsi="Courier New" w:hint="default"/>
      </w:rPr>
    </w:lvl>
    <w:lvl w:ilvl="5" w:tplc="518A8B16">
      <w:start w:val="1"/>
      <w:numFmt w:val="bullet"/>
      <w:lvlText w:val=""/>
      <w:lvlJc w:val="left"/>
      <w:pPr>
        <w:ind w:left="4147" w:hanging="360"/>
      </w:pPr>
      <w:rPr>
        <w:rFonts w:ascii="Wingdings" w:hAnsi="Wingdings" w:hint="default"/>
      </w:rPr>
    </w:lvl>
    <w:lvl w:ilvl="6" w:tplc="364A31A0">
      <w:start w:val="1"/>
      <w:numFmt w:val="bullet"/>
      <w:lvlText w:val=""/>
      <w:lvlJc w:val="left"/>
      <w:pPr>
        <w:ind w:left="4867" w:hanging="360"/>
      </w:pPr>
      <w:rPr>
        <w:rFonts w:ascii="Symbol" w:hAnsi="Symbol" w:hint="default"/>
      </w:rPr>
    </w:lvl>
    <w:lvl w:ilvl="7" w:tplc="3E2C9D22">
      <w:start w:val="1"/>
      <w:numFmt w:val="bullet"/>
      <w:lvlText w:val="o"/>
      <w:lvlJc w:val="left"/>
      <w:pPr>
        <w:ind w:left="5587" w:hanging="360"/>
      </w:pPr>
      <w:rPr>
        <w:rFonts w:ascii="Courier New" w:hAnsi="Courier New" w:hint="default"/>
      </w:rPr>
    </w:lvl>
    <w:lvl w:ilvl="8" w:tplc="88F836E0">
      <w:start w:val="1"/>
      <w:numFmt w:val="bullet"/>
      <w:lvlText w:val=""/>
      <w:lvlJc w:val="left"/>
      <w:pPr>
        <w:ind w:left="6307" w:hanging="360"/>
      </w:pPr>
      <w:rPr>
        <w:rFonts w:ascii="Wingdings" w:hAnsi="Wingdings" w:hint="default"/>
      </w:rPr>
    </w:lvl>
  </w:abstractNum>
  <w:abstractNum w:abstractNumId="42" w15:restartNumberingAfterBreak="0">
    <w:nsid w:val="059EA41D"/>
    <w:multiLevelType w:val="hybridMultilevel"/>
    <w:tmpl w:val="0E9A9904"/>
    <w:lvl w:ilvl="0" w:tplc="CE9001DE">
      <w:start w:val="1"/>
      <w:numFmt w:val="decimal"/>
      <w:lvlText w:val="%1."/>
      <w:lvlJc w:val="left"/>
      <w:pPr>
        <w:ind w:left="547" w:hanging="360"/>
      </w:pPr>
    </w:lvl>
    <w:lvl w:ilvl="1" w:tplc="D8E8D3E6">
      <w:start w:val="1"/>
      <w:numFmt w:val="lowerLetter"/>
      <w:lvlText w:val="%2."/>
      <w:lvlJc w:val="left"/>
      <w:pPr>
        <w:ind w:left="1267" w:hanging="360"/>
      </w:pPr>
    </w:lvl>
    <w:lvl w:ilvl="2" w:tplc="BBFAE598">
      <w:start w:val="1"/>
      <w:numFmt w:val="lowerRoman"/>
      <w:lvlText w:val="%3."/>
      <w:lvlJc w:val="right"/>
      <w:pPr>
        <w:ind w:left="1987" w:hanging="180"/>
      </w:pPr>
    </w:lvl>
    <w:lvl w:ilvl="3" w:tplc="9B0E0A0C">
      <w:start w:val="1"/>
      <w:numFmt w:val="decimal"/>
      <w:lvlText w:val="%4."/>
      <w:lvlJc w:val="left"/>
      <w:pPr>
        <w:ind w:left="2707" w:hanging="360"/>
      </w:pPr>
    </w:lvl>
    <w:lvl w:ilvl="4" w:tplc="BA3E61C2">
      <w:start w:val="1"/>
      <w:numFmt w:val="lowerLetter"/>
      <w:lvlText w:val="%5."/>
      <w:lvlJc w:val="left"/>
      <w:pPr>
        <w:ind w:left="3427" w:hanging="360"/>
      </w:pPr>
    </w:lvl>
    <w:lvl w:ilvl="5" w:tplc="A2F05B5A">
      <w:start w:val="1"/>
      <w:numFmt w:val="lowerRoman"/>
      <w:lvlText w:val="%6."/>
      <w:lvlJc w:val="right"/>
      <w:pPr>
        <w:ind w:left="4147" w:hanging="180"/>
      </w:pPr>
    </w:lvl>
    <w:lvl w:ilvl="6" w:tplc="FFA853BE">
      <w:start w:val="1"/>
      <w:numFmt w:val="decimal"/>
      <w:lvlText w:val="%7."/>
      <w:lvlJc w:val="left"/>
      <w:pPr>
        <w:ind w:left="4867" w:hanging="360"/>
      </w:pPr>
    </w:lvl>
    <w:lvl w:ilvl="7" w:tplc="012A2024">
      <w:start w:val="1"/>
      <w:numFmt w:val="lowerLetter"/>
      <w:lvlText w:val="%8."/>
      <w:lvlJc w:val="left"/>
      <w:pPr>
        <w:ind w:left="5587" w:hanging="360"/>
      </w:pPr>
    </w:lvl>
    <w:lvl w:ilvl="8" w:tplc="57F0EB9A">
      <w:start w:val="1"/>
      <w:numFmt w:val="lowerRoman"/>
      <w:lvlText w:val="%9."/>
      <w:lvlJc w:val="right"/>
      <w:pPr>
        <w:ind w:left="6307" w:hanging="180"/>
      </w:pPr>
    </w:lvl>
  </w:abstractNum>
  <w:abstractNum w:abstractNumId="43" w15:restartNumberingAfterBreak="0">
    <w:nsid w:val="05C053CA"/>
    <w:multiLevelType w:val="multilevel"/>
    <w:tmpl w:val="5270E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05C45EB9"/>
    <w:multiLevelType w:val="hybridMultilevel"/>
    <w:tmpl w:val="530A3C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063C667D"/>
    <w:multiLevelType w:val="hybridMultilevel"/>
    <w:tmpl w:val="2D0CA24C"/>
    <w:lvl w:ilvl="0" w:tplc="B9C67BB2">
      <w:start w:val="1"/>
      <w:numFmt w:val="bullet"/>
      <w:lvlText w:val=""/>
      <w:lvlJc w:val="left"/>
      <w:pPr>
        <w:ind w:left="720" w:hanging="360"/>
      </w:pPr>
      <w:rPr>
        <w:rFonts w:ascii="Symbol" w:hAnsi="Symbol"/>
      </w:rPr>
    </w:lvl>
    <w:lvl w:ilvl="1" w:tplc="C180051E">
      <w:start w:val="1"/>
      <w:numFmt w:val="bullet"/>
      <w:lvlText w:val=""/>
      <w:lvlJc w:val="left"/>
      <w:pPr>
        <w:ind w:left="720" w:hanging="360"/>
      </w:pPr>
      <w:rPr>
        <w:rFonts w:ascii="Symbol" w:hAnsi="Symbol"/>
      </w:rPr>
    </w:lvl>
    <w:lvl w:ilvl="2" w:tplc="B1F2414E">
      <w:start w:val="1"/>
      <w:numFmt w:val="bullet"/>
      <w:lvlText w:val=""/>
      <w:lvlJc w:val="left"/>
      <w:pPr>
        <w:ind w:left="720" w:hanging="360"/>
      </w:pPr>
      <w:rPr>
        <w:rFonts w:ascii="Symbol" w:hAnsi="Symbol"/>
      </w:rPr>
    </w:lvl>
    <w:lvl w:ilvl="3" w:tplc="B4661A84">
      <w:start w:val="1"/>
      <w:numFmt w:val="bullet"/>
      <w:lvlText w:val=""/>
      <w:lvlJc w:val="left"/>
      <w:pPr>
        <w:ind w:left="720" w:hanging="360"/>
      </w:pPr>
      <w:rPr>
        <w:rFonts w:ascii="Symbol" w:hAnsi="Symbol"/>
      </w:rPr>
    </w:lvl>
    <w:lvl w:ilvl="4" w:tplc="910639EC">
      <w:start w:val="1"/>
      <w:numFmt w:val="bullet"/>
      <w:lvlText w:val=""/>
      <w:lvlJc w:val="left"/>
      <w:pPr>
        <w:ind w:left="720" w:hanging="360"/>
      </w:pPr>
      <w:rPr>
        <w:rFonts w:ascii="Symbol" w:hAnsi="Symbol"/>
      </w:rPr>
    </w:lvl>
    <w:lvl w:ilvl="5" w:tplc="95D47A80">
      <w:start w:val="1"/>
      <w:numFmt w:val="bullet"/>
      <w:lvlText w:val=""/>
      <w:lvlJc w:val="left"/>
      <w:pPr>
        <w:ind w:left="720" w:hanging="360"/>
      </w:pPr>
      <w:rPr>
        <w:rFonts w:ascii="Symbol" w:hAnsi="Symbol"/>
      </w:rPr>
    </w:lvl>
    <w:lvl w:ilvl="6" w:tplc="1130AD84">
      <w:start w:val="1"/>
      <w:numFmt w:val="bullet"/>
      <w:lvlText w:val=""/>
      <w:lvlJc w:val="left"/>
      <w:pPr>
        <w:ind w:left="720" w:hanging="360"/>
      </w:pPr>
      <w:rPr>
        <w:rFonts w:ascii="Symbol" w:hAnsi="Symbol"/>
      </w:rPr>
    </w:lvl>
    <w:lvl w:ilvl="7" w:tplc="37BC91A2">
      <w:start w:val="1"/>
      <w:numFmt w:val="bullet"/>
      <w:lvlText w:val=""/>
      <w:lvlJc w:val="left"/>
      <w:pPr>
        <w:ind w:left="720" w:hanging="360"/>
      </w:pPr>
      <w:rPr>
        <w:rFonts w:ascii="Symbol" w:hAnsi="Symbol"/>
      </w:rPr>
    </w:lvl>
    <w:lvl w:ilvl="8" w:tplc="7FEE3746">
      <w:start w:val="1"/>
      <w:numFmt w:val="bullet"/>
      <w:lvlText w:val=""/>
      <w:lvlJc w:val="left"/>
      <w:pPr>
        <w:ind w:left="720" w:hanging="360"/>
      </w:pPr>
      <w:rPr>
        <w:rFonts w:ascii="Symbol" w:hAnsi="Symbol"/>
      </w:rPr>
    </w:lvl>
  </w:abstractNum>
  <w:abstractNum w:abstractNumId="46" w15:restartNumberingAfterBreak="0">
    <w:nsid w:val="0644DE6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47" w15:restartNumberingAfterBreak="0">
    <w:nsid w:val="065D65D8"/>
    <w:multiLevelType w:val="hybridMultilevel"/>
    <w:tmpl w:val="A0C89356"/>
    <w:lvl w:ilvl="0" w:tplc="C81A2A18">
      <w:start w:val="1"/>
      <w:numFmt w:val="decimal"/>
      <w:lvlText w:val="%1."/>
      <w:lvlJc w:val="left"/>
      <w:pPr>
        <w:ind w:left="547" w:hanging="360"/>
      </w:pPr>
    </w:lvl>
    <w:lvl w:ilvl="1" w:tplc="26FE4072">
      <w:start w:val="1"/>
      <w:numFmt w:val="lowerLetter"/>
      <w:lvlText w:val="%2."/>
      <w:lvlJc w:val="left"/>
      <w:pPr>
        <w:ind w:left="1267" w:hanging="360"/>
      </w:pPr>
    </w:lvl>
    <w:lvl w:ilvl="2" w:tplc="EB26CCEA">
      <w:start w:val="1"/>
      <w:numFmt w:val="lowerRoman"/>
      <w:lvlText w:val="%3."/>
      <w:lvlJc w:val="right"/>
      <w:pPr>
        <w:ind w:left="1987" w:hanging="180"/>
      </w:pPr>
    </w:lvl>
    <w:lvl w:ilvl="3" w:tplc="D18A44C4">
      <w:start w:val="1"/>
      <w:numFmt w:val="decimal"/>
      <w:lvlText w:val="%4."/>
      <w:lvlJc w:val="left"/>
      <w:pPr>
        <w:ind w:left="2707" w:hanging="360"/>
      </w:pPr>
    </w:lvl>
    <w:lvl w:ilvl="4" w:tplc="750A6F24">
      <w:start w:val="1"/>
      <w:numFmt w:val="lowerLetter"/>
      <w:lvlText w:val="%5."/>
      <w:lvlJc w:val="left"/>
      <w:pPr>
        <w:ind w:left="3427" w:hanging="360"/>
      </w:pPr>
    </w:lvl>
    <w:lvl w:ilvl="5" w:tplc="126654DC">
      <w:start w:val="1"/>
      <w:numFmt w:val="lowerRoman"/>
      <w:lvlText w:val="%6."/>
      <w:lvlJc w:val="right"/>
      <w:pPr>
        <w:ind w:left="4147" w:hanging="180"/>
      </w:pPr>
    </w:lvl>
    <w:lvl w:ilvl="6" w:tplc="0DBE7D9A">
      <w:start w:val="1"/>
      <w:numFmt w:val="decimal"/>
      <w:lvlText w:val="%7."/>
      <w:lvlJc w:val="left"/>
      <w:pPr>
        <w:ind w:left="4867" w:hanging="360"/>
      </w:pPr>
    </w:lvl>
    <w:lvl w:ilvl="7" w:tplc="E856B032">
      <w:start w:val="1"/>
      <w:numFmt w:val="lowerLetter"/>
      <w:lvlText w:val="%8."/>
      <w:lvlJc w:val="left"/>
      <w:pPr>
        <w:ind w:left="5587" w:hanging="360"/>
      </w:pPr>
    </w:lvl>
    <w:lvl w:ilvl="8" w:tplc="09E88A9C">
      <w:start w:val="1"/>
      <w:numFmt w:val="lowerRoman"/>
      <w:lvlText w:val="%9."/>
      <w:lvlJc w:val="right"/>
      <w:pPr>
        <w:ind w:left="6307" w:hanging="180"/>
      </w:pPr>
    </w:lvl>
  </w:abstractNum>
  <w:abstractNum w:abstractNumId="48" w15:restartNumberingAfterBreak="0">
    <w:nsid w:val="066B57B0"/>
    <w:multiLevelType w:val="hybridMultilevel"/>
    <w:tmpl w:val="A02C48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06789368"/>
    <w:multiLevelType w:val="hybridMultilevel"/>
    <w:tmpl w:val="D2D6D6AE"/>
    <w:lvl w:ilvl="0" w:tplc="FFFFFFFF">
      <w:start w:val="1"/>
      <w:numFmt w:val="bullet"/>
      <w:lvlText w:val=""/>
      <w:lvlJc w:val="left"/>
      <w:pPr>
        <w:ind w:left="547" w:hanging="360"/>
      </w:pPr>
      <w:rPr>
        <w:rFonts w:ascii="Symbol" w:hAnsi="Symbol" w:hint="default"/>
      </w:rPr>
    </w:lvl>
    <w:lvl w:ilvl="1" w:tplc="18BC5872">
      <w:start w:val="1"/>
      <w:numFmt w:val="bullet"/>
      <w:lvlText w:val="o"/>
      <w:lvlJc w:val="left"/>
      <w:pPr>
        <w:ind w:left="1267" w:hanging="360"/>
      </w:pPr>
      <w:rPr>
        <w:rFonts w:ascii="Courier New" w:hAnsi="Courier New" w:hint="default"/>
      </w:rPr>
    </w:lvl>
    <w:lvl w:ilvl="2" w:tplc="A5702D90">
      <w:start w:val="1"/>
      <w:numFmt w:val="bullet"/>
      <w:lvlText w:val=""/>
      <w:lvlJc w:val="left"/>
      <w:pPr>
        <w:ind w:left="1987" w:hanging="360"/>
      </w:pPr>
      <w:rPr>
        <w:rFonts w:ascii="Wingdings" w:hAnsi="Wingdings" w:hint="default"/>
      </w:rPr>
    </w:lvl>
    <w:lvl w:ilvl="3" w:tplc="47B2C8BE">
      <w:start w:val="1"/>
      <w:numFmt w:val="bullet"/>
      <w:lvlText w:val=""/>
      <w:lvlJc w:val="left"/>
      <w:pPr>
        <w:ind w:left="2707" w:hanging="360"/>
      </w:pPr>
      <w:rPr>
        <w:rFonts w:ascii="Symbol" w:hAnsi="Symbol" w:hint="default"/>
      </w:rPr>
    </w:lvl>
    <w:lvl w:ilvl="4" w:tplc="AC2CC3E4">
      <w:start w:val="1"/>
      <w:numFmt w:val="bullet"/>
      <w:lvlText w:val="o"/>
      <w:lvlJc w:val="left"/>
      <w:pPr>
        <w:ind w:left="3427" w:hanging="360"/>
      </w:pPr>
      <w:rPr>
        <w:rFonts w:ascii="Courier New" w:hAnsi="Courier New" w:hint="default"/>
      </w:rPr>
    </w:lvl>
    <w:lvl w:ilvl="5" w:tplc="8974BFE4">
      <w:start w:val="1"/>
      <w:numFmt w:val="bullet"/>
      <w:lvlText w:val=""/>
      <w:lvlJc w:val="left"/>
      <w:pPr>
        <w:ind w:left="4147" w:hanging="360"/>
      </w:pPr>
      <w:rPr>
        <w:rFonts w:ascii="Wingdings" w:hAnsi="Wingdings" w:hint="default"/>
      </w:rPr>
    </w:lvl>
    <w:lvl w:ilvl="6" w:tplc="FE0A681C">
      <w:start w:val="1"/>
      <w:numFmt w:val="bullet"/>
      <w:lvlText w:val=""/>
      <w:lvlJc w:val="left"/>
      <w:pPr>
        <w:ind w:left="4867" w:hanging="360"/>
      </w:pPr>
      <w:rPr>
        <w:rFonts w:ascii="Symbol" w:hAnsi="Symbol" w:hint="default"/>
      </w:rPr>
    </w:lvl>
    <w:lvl w:ilvl="7" w:tplc="8468F69C">
      <w:start w:val="1"/>
      <w:numFmt w:val="bullet"/>
      <w:lvlText w:val="o"/>
      <w:lvlJc w:val="left"/>
      <w:pPr>
        <w:ind w:left="5587" w:hanging="360"/>
      </w:pPr>
      <w:rPr>
        <w:rFonts w:ascii="Courier New" w:hAnsi="Courier New" w:hint="default"/>
      </w:rPr>
    </w:lvl>
    <w:lvl w:ilvl="8" w:tplc="7270CD92">
      <w:start w:val="1"/>
      <w:numFmt w:val="bullet"/>
      <w:lvlText w:val=""/>
      <w:lvlJc w:val="left"/>
      <w:pPr>
        <w:ind w:left="6307" w:hanging="360"/>
      </w:pPr>
      <w:rPr>
        <w:rFonts w:ascii="Wingdings" w:hAnsi="Wingdings" w:hint="default"/>
      </w:rPr>
    </w:lvl>
  </w:abstractNum>
  <w:abstractNum w:abstractNumId="50" w15:restartNumberingAfterBreak="0">
    <w:nsid w:val="069111C5"/>
    <w:multiLevelType w:val="multilevel"/>
    <w:tmpl w:val="D1043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069E7A02"/>
    <w:multiLevelType w:val="multilevel"/>
    <w:tmpl w:val="D778D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06B15D72"/>
    <w:multiLevelType w:val="multilevel"/>
    <w:tmpl w:val="54106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06CE4451"/>
    <w:multiLevelType w:val="multilevel"/>
    <w:tmpl w:val="1B0E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06E1146E"/>
    <w:multiLevelType w:val="hybridMultilevel"/>
    <w:tmpl w:val="80A23E1E"/>
    <w:lvl w:ilvl="0" w:tplc="04090001">
      <w:start w:val="1"/>
      <w:numFmt w:val="bullet"/>
      <w:lvlText w:val=""/>
      <w:lvlJc w:val="left"/>
      <w:pPr>
        <w:ind w:left="547" w:hanging="360"/>
      </w:pPr>
      <w:rPr>
        <w:rFonts w:ascii="Symbol" w:hAnsi="Symbol" w:hint="default"/>
      </w:rPr>
    </w:lvl>
    <w:lvl w:ilvl="1" w:tplc="FFFFFFFF" w:tentative="1">
      <w:start w:val="1"/>
      <w:numFmt w:val="bullet"/>
      <w:lvlText w:val="o"/>
      <w:lvlJc w:val="left"/>
      <w:pPr>
        <w:ind w:left="1267" w:hanging="360"/>
      </w:pPr>
      <w:rPr>
        <w:rFonts w:ascii="Courier New" w:hAnsi="Courier New" w:cs="Courier New" w:hint="default"/>
      </w:rPr>
    </w:lvl>
    <w:lvl w:ilvl="2" w:tplc="FFFFFFFF" w:tentative="1">
      <w:start w:val="1"/>
      <w:numFmt w:val="bullet"/>
      <w:lvlText w:val=""/>
      <w:lvlJc w:val="left"/>
      <w:pPr>
        <w:ind w:left="1987" w:hanging="360"/>
      </w:pPr>
      <w:rPr>
        <w:rFonts w:ascii="Wingdings" w:hAnsi="Wingdings" w:hint="default"/>
      </w:rPr>
    </w:lvl>
    <w:lvl w:ilvl="3" w:tplc="FFFFFFFF" w:tentative="1">
      <w:start w:val="1"/>
      <w:numFmt w:val="bullet"/>
      <w:lvlText w:val=""/>
      <w:lvlJc w:val="left"/>
      <w:pPr>
        <w:ind w:left="2707" w:hanging="360"/>
      </w:pPr>
      <w:rPr>
        <w:rFonts w:ascii="Symbol" w:hAnsi="Symbol" w:hint="default"/>
      </w:rPr>
    </w:lvl>
    <w:lvl w:ilvl="4" w:tplc="FFFFFFFF" w:tentative="1">
      <w:start w:val="1"/>
      <w:numFmt w:val="bullet"/>
      <w:lvlText w:val="o"/>
      <w:lvlJc w:val="left"/>
      <w:pPr>
        <w:ind w:left="3427" w:hanging="360"/>
      </w:pPr>
      <w:rPr>
        <w:rFonts w:ascii="Courier New" w:hAnsi="Courier New" w:cs="Courier New" w:hint="default"/>
      </w:rPr>
    </w:lvl>
    <w:lvl w:ilvl="5" w:tplc="FFFFFFFF" w:tentative="1">
      <w:start w:val="1"/>
      <w:numFmt w:val="bullet"/>
      <w:lvlText w:val=""/>
      <w:lvlJc w:val="left"/>
      <w:pPr>
        <w:ind w:left="4147" w:hanging="360"/>
      </w:pPr>
      <w:rPr>
        <w:rFonts w:ascii="Wingdings" w:hAnsi="Wingdings" w:hint="default"/>
      </w:rPr>
    </w:lvl>
    <w:lvl w:ilvl="6" w:tplc="FFFFFFFF" w:tentative="1">
      <w:start w:val="1"/>
      <w:numFmt w:val="bullet"/>
      <w:lvlText w:val=""/>
      <w:lvlJc w:val="left"/>
      <w:pPr>
        <w:ind w:left="4867" w:hanging="360"/>
      </w:pPr>
      <w:rPr>
        <w:rFonts w:ascii="Symbol" w:hAnsi="Symbol" w:hint="default"/>
      </w:rPr>
    </w:lvl>
    <w:lvl w:ilvl="7" w:tplc="FFFFFFFF" w:tentative="1">
      <w:start w:val="1"/>
      <w:numFmt w:val="bullet"/>
      <w:lvlText w:val="o"/>
      <w:lvlJc w:val="left"/>
      <w:pPr>
        <w:ind w:left="5587" w:hanging="360"/>
      </w:pPr>
      <w:rPr>
        <w:rFonts w:ascii="Courier New" w:hAnsi="Courier New" w:cs="Courier New" w:hint="default"/>
      </w:rPr>
    </w:lvl>
    <w:lvl w:ilvl="8" w:tplc="FFFFFFFF" w:tentative="1">
      <w:start w:val="1"/>
      <w:numFmt w:val="bullet"/>
      <w:lvlText w:val=""/>
      <w:lvlJc w:val="left"/>
      <w:pPr>
        <w:ind w:left="6307" w:hanging="360"/>
      </w:pPr>
      <w:rPr>
        <w:rFonts w:ascii="Wingdings" w:hAnsi="Wingdings" w:hint="default"/>
      </w:rPr>
    </w:lvl>
  </w:abstractNum>
  <w:abstractNum w:abstractNumId="55" w15:restartNumberingAfterBreak="0">
    <w:nsid w:val="073A058B"/>
    <w:multiLevelType w:val="multilevel"/>
    <w:tmpl w:val="19F4E3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0798064D"/>
    <w:multiLevelType w:val="multilevel"/>
    <w:tmpl w:val="C79A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07A14E08"/>
    <w:multiLevelType w:val="multilevel"/>
    <w:tmpl w:val="A79E0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07C20C1E"/>
    <w:multiLevelType w:val="multilevel"/>
    <w:tmpl w:val="D5BADB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07CFD141"/>
    <w:multiLevelType w:val="multilevel"/>
    <w:tmpl w:val="FFFFFFFF"/>
    <w:lvl w:ilvl="0">
      <w:start w:val="1"/>
      <w:numFmt w:val="bullet"/>
      <w:lvlText w:val="●"/>
      <w:lvlJc w:val="left"/>
      <w:pPr>
        <w:ind w:left="144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60" w15:restartNumberingAfterBreak="0">
    <w:nsid w:val="07DB0444"/>
    <w:multiLevelType w:val="hybridMultilevel"/>
    <w:tmpl w:val="9294B76E"/>
    <w:lvl w:ilvl="0" w:tplc="9AA402B6">
      <w:start w:val="1"/>
      <w:numFmt w:val="bullet"/>
      <w:lvlText w:val=""/>
      <w:lvlJc w:val="left"/>
      <w:pPr>
        <w:ind w:left="720" w:hanging="360"/>
      </w:pPr>
      <w:rPr>
        <w:rFonts w:ascii="Symbol" w:hAnsi="Symbol"/>
      </w:rPr>
    </w:lvl>
    <w:lvl w:ilvl="1" w:tplc="62AE4BE4">
      <w:start w:val="1"/>
      <w:numFmt w:val="bullet"/>
      <w:lvlText w:val=""/>
      <w:lvlJc w:val="left"/>
      <w:pPr>
        <w:ind w:left="720" w:hanging="360"/>
      </w:pPr>
      <w:rPr>
        <w:rFonts w:ascii="Symbol" w:hAnsi="Symbol"/>
      </w:rPr>
    </w:lvl>
    <w:lvl w:ilvl="2" w:tplc="D9262BEE">
      <w:start w:val="1"/>
      <w:numFmt w:val="bullet"/>
      <w:lvlText w:val=""/>
      <w:lvlJc w:val="left"/>
      <w:pPr>
        <w:ind w:left="720" w:hanging="360"/>
      </w:pPr>
      <w:rPr>
        <w:rFonts w:ascii="Symbol" w:hAnsi="Symbol"/>
      </w:rPr>
    </w:lvl>
    <w:lvl w:ilvl="3" w:tplc="D4F2FB7C">
      <w:start w:val="1"/>
      <w:numFmt w:val="bullet"/>
      <w:lvlText w:val=""/>
      <w:lvlJc w:val="left"/>
      <w:pPr>
        <w:ind w:left="720" w:hanging="360"/>
      </w:pPr>
      <w:rPr>
        <w:rFonts w:ascii="Symbol" w:hAnsi="Symbol"/>
      </w:rPr>
    </w:lvl>
    <w:lvl w:ilvl="4" w:tplc="516AAF08">
      <w:start w:val="1"/>
      <w:numFmt w:val="bullet"/>
      <w:lvlText w:val=""/>
      <w:lvlJc w:val="left"/>
      <w:pPr>
        <w:ind w:left="720" w:hanging="360"/>
      </w:pPr>
      <w:rPr>
        <w:rFonts w:ascii="Symbol" w:hAnsi="Symbol"/>
      </w:rPr>
    </w:lvl>
    <w:lvl w:ilvl="5" w:tplc="3A6CC2A2">
      <w:start w:val="1"/>
      <w:numFmt w:val="bullet"/>
      <w:lvlText w:val=""/>
      <w:lvlJc w:val="left"/>
      <w:pPr>
        <w:ind w:left="720" w:hanging="360"/>
      </w:pPr>
      <w:rPr>
        <w:rFonts w:ascii="Symbol" w:hAnsi="Symbol"/>
      </w:rPr>
    </w:lvl>
    <w:lvl w:ilvl="6" w:tplc="6F322EC8">
      <w:start w:val="1"/>
      <w:numFmt w:val="bullet"/>
      <w:lvlText w:val=""/>
      <w:lvlJc w:val="left"/>
      <w:pPr>
        <w:ind w:left="720" w:hanging="360"/>
      </w:pPr>
      <w:rPr>
        <w:rFonts w:ascii="Symbol" w:hAnsi="Symbol"/>
      </w:rPr>
    </w:lvl>
    <w:lvl w:ilvl="7" w:tplc="FC26E726">
      <w:start w:val="1"/>
      <w:numFmt w:val="bullet"/>
      <w:lvlText w:val=""/>
      <w:lvlJc w:val="left"/>
      <w:pPr>
        <w:ind w:left="720" w:hanging="360"/>
      </w:pPr>
      <w:rPr>
        <w:rFonts w:ascii="Symbol" w:hAnsi="Symbol"/>
      </w:rPr>
    </w:lvl>
    <w:lvl w:ilvl="8" w:tplc="47285356">
      <w:start w:val="1"/>
      <w:numFmt w:val="bullet"/>
      <w:lvlText w:val=""/>
      <w:lvlJc w:val="left"/>
      <w:pPr>
        <w:ind w:left="720" w:hanging="360"/>
      </w:pPr>
      <w:rPr>
        <w:rFonts w:ascii="Symbol" w:hAnsi="Symbol"/>
      </w:rPr>
    </w:lvl>
  </w:abstractNum>
  <w:abstractNum w:abstractNumId="61" w15:restartNumberingAfterBreak="0">
    <w:nsid w:val="07E9EA75"/>
    <w:multiLevelType w:val="hybridMultilevel"/>
    <w:tmpl w:val="8348F6A2"/>
    <w:lvl w:ilvl="0" w:tplc="53CE5DF4">
      <w:start w:val="1"/>
      <w:numFmt w:val="bullet"/>
      <w:lvlText w:val=""/>
      <w:lvlJc w:val="left"/>
      <w:pPr>
        <w:ind w:left="720" w:hanging="360"/>
      </w:pPr>
      <w:rPr>
        <w:rFonts w:ascii="Symbol" w:hAnsi="Symbol" w:hint="default"/>
      </w:rPr>
    </w:lvl>
    <w:lvl w:ilvl="1" w:tplc="BA0E61DC">
      <w:start w:val="1"/>
      <w:numFmt w:val="bullet"/>
      <w:lvlText w:val="o"/>
      <w:lvlJc w:val="left"/>
      <w:pPr>
        <w:ind w:left="1440" w:hanging="360"/>
      </w:pPr>
      <w:rPr>
        <w:rFonts w:ascii="Courier New" w:hAnsi="Courier New" w:hint="default"/>
      </w:rPr>
    </w:lvl>
    <w:lvl w:ilvl="2" w:tplc="D2CA096E">
      <w:start w:val="1"/>
      <w:numFmt w:val="bullet"/>
      <w:lvlText w:val=""/>
      <w:lvlJc w:val="left"/>
      <w:pPr>
        <w:ind w:left="2160" w:hanging="360"/>
      </w:pPr>
      <w:rPr>
        <w:rFonts w:ascii="Wingdings" w:hAnsi="Wingdings" w:hint="default"/>
      </w:rPr>
    </w:lvl>
    <w:lvl w:ilvl="3" w:tplc="33A23EF2">
      <w:start w:val="1"/>
      <w:numFmt w:val="bullet"/>
      <w:lvlText w:val=""/>
      <w:lvlJc w:val="left"/>
      <w:pPr>
        <w:ind w:left="2880" w:hanging="360"/>
      </w:pPr>
      <w:rPr>
        <w:rFonts w:ascii="Symbol" w:hAnsi="Symbol" w:hint="default"/>
      </w:rPr>
    </w:lvl>
    <w:lvl w:ilvl="4" w:tplc="3B04685C">
      <w:start w:val="1"/>
      <w:numFmt w:val="bullet"/>
      <w:lvlText w:val="o"/>
      <w:lvlJc w:val="left"/>
      <w:pPr>
        <w:ind w:left="3600" w:hanging="360"/>
      </w:pPr>
      <w:rPr>
        <w:rFonts w:ascii="Courier New" w:hAnsi="Courier New" w:hint="default"/>
      </w:rPr>
    </w:lvl>
    <w:lvl w:ilvl="5" w:tplc="0742C216">
      <w:start w:val="1"/>
      <w:numFmt w:val="bullet"/>
      <w:lvlText w:val=""/>
      <w:lvlJc w:val="left"/>
      <w:pPr>
        <w:ind w:left="4320" w:hanging="360"/>
      </w:pPr>
      <w:rPr>
        <w:rFonts w:ascii="Wingdings" w:hAnsi="Wingdings" w:hint="default"/>
      </w:rPr>
    </w:lvl>
    <w:lvl w:ilvl="6" w:tplc="4252D310">
      <w:start w:val="1"/>
      <w:numFmt w:val="bullet"/>
      <w:lvlText w:val=""/>
      <w:lvlJc w:val="left"/>
      <w:pPr>
        <w:ind w:left="5040" w:hanging="360"/>
      </w:pPr>
      <w:rPr>
        <w:rFonts w:ascii="Symbol" w:hAnsi="Symbol" w:hint="default"/>
      </w:rPr>
    </w:lvl>
    <w:lvl w:ilvl="7" w:tplc="9064C45A">
      <w:start w:val="1"/>
      <w:numFmt w:val="bullet"/>
      <w:lvlText w:val="o"/>
      <w:lvlJc w:val="left"/>
      <w:pPr>
        <w:ind w:left="5760" w:hanging="360"/>
      </w:pPr>
      <w:rPr>
        <w:rFonts w:ascii="Courier New" w:hAnsi="Courier New" w:hint="default"/>
      </w:rPr>
    </w:lvl>
    <w:lvl w:ilvl="8" w:tplc="5E6A9C78">
      <w:start w:val="1"/>
      <w:numFmt w:val="bullet"/>
      <w:lvlText w:val=""/>
      <w:lvlJc w:val="left"/>
      <w:pPr>
        <w:ind w:left="6480" w:hanging="360"/>
      </w:pPr>
      <w:rPr>
        <w:rFonts w:ascii="Wingdings" w:hAnsi="Wingdings" w:hint="default"/>
      </w:rPr>
    </w:lvl>
  </w:abstractNum>
  <w:abstractNum w:abstractNumId="62" w15:restartNumberingAfterBreak="0">
    <w:nsid w:val="081C4496"/>
    <w:multiLevelType w:val="multilevel"/>
    <w:tmpl w:val="F4088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085968B3"/>
    <w:multiLevelType w:val="multilevel"/>
    <w:tmpl w:val="C6D8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08960B8C"/>
    <w:multiLevelType w:val="multilevel"/>
    <w:tmpl w:val="5108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08A13310"/>
    <w:multiLevelType w:val="multilevel"/>
    <w:tmpl w:val="77DA4F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08A43AED"/>
    <w:multiLevelType w:val="multilevel"/>
    <w:tmpl w:val="AE88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08BDC796"/>
    <w:multiLevelType w:val="hybridMultilevel"/>
    <w:tmpl w:val="570A7E12"/>
    <w:lvl w:ilvl="0" w:tplc="12689C48">
      <w:start w:val="1"/>
      <w:numFmt w:val="bullet"/>
      <w:lvlText w:val=""/>
      <w:lvlJc w:val="left"/>
      <w:pPr>
        <w:ind w:left="720" w:hanging="360"/>
      </w:pPr>
      <w:rPr>
        <w:rFonts w:ascii="Symbol" w:hAnsi="Symbol" w:hint="default"/>
      </w:rPr>
    </w:lvl>
    <w:lvl w:ilvl="1" w:tplc="07DAAE28">
      <w:start w:val="1"/>
      <w:numFmt w:val="bullet"/>
      <w:lvlText w:val="o"/>
      <w:lvlJc w:val="left"/>
      <w:pPr>
        <w:ind w:left="1440" w:hanging="360"/>
      </w:pPr>
      <w:rPr>
        <w:rFonts w:ascii="Courier New" w:hAnsi="Courier New" w:hint="default"/>
      </w:rPr>
    </w:lvl>
    <w:lvl w:ilvl="2" w:tplc="D8E2D850">
      <w:start w:val="1"/>
      <w:numFmt w:val="bullet"/>
      <w:lvlText w:val=""/>
      <w:lvlJc w:val="left"/>
      <w:pPr>
        <w:ind w:left="2160" w:hanging="360"/>
      </w:pPr>
      <w:rPr>
        <w:rFonts w:ascii="Wingdings" w:hAnsi="Wingdings" w:hint="default"/>
      </w:rPr>
    </w:lvl>
    <w:lvl w:ilvl="3" w:tplc="0D58460E">
      <w:start w:val="1"/>
      <w:numFmt w:val="bullet"/>
      <w:lvlText w:val=""/>
      <w:lvlJc w:val="left"/>
      <w:pPr>
        <w:ind w:left="2880" w:hanging="360"/>
      </w:pPr>
      <w:rPr>
        <w:rFonts w:ascii="Symbol" w:hAnsi="Symbol" w:hint="default"/>
      </w:rPr>
    </w:lvl>
    <w:lvl w:ilvl="4" w:tplc="DC1A507C">
      <w:start w:val="1"/>
      <w:numFmt w:val="bullet"/>
      <w:lvlText w:val="o"/>
      <w:lvlJc w:val="left"/>
      <w:pPr>
        <w:ind w:left="3600" w:hanging="360"/>
      </w:pPr>
      <w:rPr>
        <w:rFonts w:ascii="Courier New" w:hAnsi="Courier New" w:hint="default"/>
      </w:rPr>
    </w:lvl>
    <w:lvl w:ilvl="5" w:tplc="07EC2F3A">
      <w:start w:val="1"/>
      <w:numFmt w:val="bullet"/>
      <w:lvlText w:val=""/>
      <w:lvlJc w:val="left"/>
      <w:pPr>
        <w:ind w:left="4320" w:hanging="360"/>
      </w:pPr>
      <w:rPr>
        <w:rFonts w:ascii="Wingdings" w:hAnsi="Wingdings" w:hint="default"/>
      </w:rPr>
    </w:lvl>
    <w:lvl w:ilvl="6" w:tplc="2582789C">
      <w:start w:val="1"/>
      <w:numFmt w:val="bullet"/>
      <w:lvlText w:val=""/>
      <w:lvlJc w:val="left"/>
      <w:pPr>
        <w:ind w:left="5040" w:hanging="360"/>
      </w:pPr>
      <w:rPr>
        <w:rFonts w:ascii="Symbol" w:hAnsi="Symbol" w:hint="default"/>
      </w:rPr>
    </w:lvl>
    <w:lvl w:ilvl="7" w:tplc="947CCD18">
      <w:start w:val="1"/>
      <w:numFmt w:val="bullet"/>
      <w:lvlText w:val="o"/>
      <w:lvlJc w:val="left"/>
      <w:pPr>
        <w:ind w:left="5760" w:hanging="360"/>
      </w:pPr>
      <w:rPr>
        <w:rFonts w:ascii="Courier New" w:hAnsi="Courier New" w:hint="default"/>
      </w:rPr>
    </w:lvl>
    <w:lvl w:ilvl="8" w:tplc="937C61A0">
      <w:start w:val="1"/>
      <w:numFmt w:val="bullet"/>
      <w:lvlText w:val=""/>
      <w:lvlJc w:val="left"/>
      <w:pPr>
        <w:ind w:left="6480" w:hanging="360"/>
      </w:pPr>
      <w:rPr>
        <w:rFonts w:ascii="Wingdings" w:hAnsi="Wingdings" w:hint="default"/>
      </w:rPr>
    </w:lvl>
  </w:abstractNum>
  <w:abstractNum w:abstractNumId="68" w15:restartNumberingAfterBreak="0">
    <w:nsid w:val="09104FB4"/>
    <w:multiLevelType w:val="multilevel"/>
    <w:tmpl w:val="BFB4F1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091E049C"/>
    <w:multiLevelType w:val="multilevel"/>
    <w:tmpl w:val="26B0AC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09244855"/>
    <w:multiLevelType w:val="multilevel"/>
    <w:tmpl w:val="3F0E7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093557CE"/>
    <w:multiLevelType w:val="multilevel"/>
    <w:tmpl w:val="9A228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09524532"/>
    <w:multiLevelType w:val="multilevel"/>
    <w:tmpl w:val="BD5A9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0954041F"/>
    <w:multiLevelType w:val="multilevel"/>
    <w:tmpl w:val="7B281C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097ADC80"/>
    <w:multiLevelType w:val="multilevel"/>
    <w:tmpl w:val="9D2401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09AC3700"/>
    <w:multiLevelType w:val="multilevel"/>
    <w:tmpl w:val="4DDA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09CA4AE5"/>
    <w:multiLevelType w:val="multilevel"/>
    <w:tmpl w:val="106412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09D72D6D"/>
    <w:multiLevelType w:val="multilevel"/>
    <w:tmpl w:val="BD0282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0A093BA9"/>
    <w:multiLevelType w:val="multilevel"/>
    <w:tmpl w:val="145A3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0A22DF5B"/>
    <w:multiLevelType w:val="multilevel"/>
    <w:tmpl w:val="FBFC7A40"/>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80" w15:restartNumberingAfterBreak="0">
    <w:nsid w:val="0A2903B8"/>
    <w:multiLevelType w:val="multilevel"/>
    <w:tmpl w:val="9B7A2E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1" w15:restartNumberingAfterBreak="0">
    <w:nsid w:val="0A4D59C0"/>
    <w:multiLevelType w:val="multilevel"/>
    <w:tmpl w:val="CEC62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0A51096D"/>
    <w:multiLevelType w:val="multilevel"/>
    <w:tmpl w:val="7938C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0A527CAB"/>
    <w:multiLevelType w:val="hybridMultilevel"/>
    <w:tmpl w:val="12F00990"/>
    <w:lvl w:ilvl="0" w:tplc="2C681E7E">
      <w:start w:val="1"/>
      <w:numFmt w:val="bullet"/>
      <w:lvlText w:val=""/>
      <w:lvlJc w:val="left"/>
      <w:pPr>
        <w:ind w:left="547" w:hanging="360"/>
      </w:pPr>
      <w:rPr>
        <w:rFonts w:ascii="Symbol" w:hAnsi="Symbol" w:hint="default"/>
      </w:rPr>
    </w:lvl>
    <w:lvl w:ilvl="1" w:tplc="10BE8CE0">
      <w:start w:val="1"/>
      <w:numFmt w:val="bullet"/>
      <w:lvlText w:val="o"/>
      <w:lvlJc w:val="left"/>
      <w:pPr>
        <w:ind w:left="1267" w:hanging="360"/>
      </w:pPr>
      <w:rPr>
        <w:rFonts w:ascii="Courier New" w:hAnsi="Courier New" w:hint="default"/>
      </w:rPr>
    </w:lvl>
    <w:lvl w:ilvl="2" w:tplc="18746B72">
      <w:start w:val="1"/>
      <w:numFmt w:val="bullet"/>
      <w:lvlText w:val=""/>
      <w:lvlJc w:val="left"/>
      <w:pPr>
        <w:ind w:left="1987" w:hanging="360"/>
      </w:pPr>
      <w:rPr>
        <w:rFonts w:ascii="Wingdings" w:hAnsi="Wingdings" w:hint="default"/>
      </w:rPr>
    </w:lvl>
    <w:lvl w:ilvl="3" w:tplc="7152D804">
      <w:start w:val="1"/>
      <w:numFmt w:val="bullet"/>
      <w:lvlText w:val=""/>
      <w:lvlJc w:val="left"/>
      <w:pPr>
        <w:ind w:left="2707" w:hanging="360"/>
      </w:pPr>
      <w:rPr>
        <w:rFonts w:ascii="Symbol" w:hAnsi="Symbol" w:hint="default"/>
      </w:rPr>
    </w:lvl>
    <w:lvl w:ilvl="4" w:tplc="A5B4694A">
      <w:start w:val="1"/>
      <w:numFmt w:val="bullet"/>
      <w:lvlText w:val="o"/>
      <w:lvlJc w:val="left"/>
      <w:pPr>
        <w:ind w:left="3427" w:hanging="360"/>
      </w:pPr>
      <w:rPr>
        <w:rFonts w:ascii="Courier New" w:hAnsi="Courier New" w:hint="default"/>
      </w:rPr>
    </w:lvl>
    <w:lvl w:ilvl="5" w:tplc="ABFA043A">
      <w:start w:val="1"/>
      <w:numFmt w:val="bullet"/>
      <w:lvlText w:val=""/>
      <w:lvlJc w:val="left"/>
      <w:pPr>
        <w:ind w:left="4147" w:hanging="360"/>
      </w:pPr>
      <w:rPr>
        <w:rFonts w:ascii="Wingdings" w:hAnsi="Wingdings" w:hint="default"/>
      </w:rPr>
    </w:lvl>
    <w:lvl w:ilvl="6" w:tplc="674A0BC2">
      <w:start w:val="1"/>
      <w:numFmt w:val="bullet"/>
      <w:lvlText w:val=""/>
      <w:lvlJc w:val="left"/>
      <w:pPr>
        <w:ind w:left="4867" w:hanging="360"/>
      </w:pPr>
      <w:rPr>
        <w:rFonts w:ascii="Symbol" w:hAnsi="Symbol" w:hint="default"/>
      </w:rPr>
    </w:lvl>
    <w:lvl w:ilvl="7" w:tplc="613E0C74">
      <w:start w:val="1"/>
      <w:numFmt w:val="bullet"/>
      <w:lvlText w:val="o"/>
      <w:lvlJc w:val="left"/>
      <w:pPr>
        <w:ind w:left="5587" w:hanging="360"/>
      </w:pPr>
      <w:rPr>
        <w:rFonts w:ascii="Courier New" w:hAnsi="Courier New" w:hint="default"/>
      </w:rPr>
    </w:lvl>
    <w:lvl w:ilvl="8" w:tplc="3CBC4684">
      <w:start w:val="1"/>
      <w:numFmt w:val="bullet"/>
      <w:lvlText w:val=""/>
      <w:lvlJc w:val="left"/>
      <w:pPr>
        <w:ind w:left="6307" w:hanging="360"/>
      </w:pPr>
      <w:rPr>
        <w:rFonts w:ascii="Wingdings" w:hAnsi="Wingdings" w:hint="default"/>
      </w:rPr>
    </w:lvl>
  </w:abstractNum>
  <w:abstractNum w:abstractNumId="84" w15:restartNumberingAfterBreak="0">
    <w:nsid w:val="0A652AE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5" w15:restartNumberingAfterBreak="0">
    <w:nsid w:val="0A7B1861"/>
    <w:multiLevelType w:val="hybridMultilevel"/>
    <w:tmpl w:val="8DD23E68"/>
    <w:lvl w:ilvl="0" w:tplc="87E27672">
      <w:start w:val="1"/>
      <w:numFmt w:val="bullet"/>
      <w:lvlText w:val=""/>
      <w:lvlJc w:val="left"/>
      <w:pPr>
        <w:ind w:left="720" w:hanging="360"/>
      </w:pPr>
      <w:rPr>
        <w:rFonts w:ascii="Symbol" w:hAnsi="Symbol" w:hint="default"/>
      </w:rPr>
    </w:lvl>
    <w:lvl w:ilvl="1" w:tplc="554A7F90">
      <w:start w:val="1"/>
      <w:numFmt w:val="bullet"/>
      <w:lvlText w:val="o"/>
      <w:lvlJc w:val="left"/>
      <w:pPr>
        <w:ind w:left="1440" w:hanging="360"/>
      </w:pPr>
      <w:rPr>
        <w:rFonts w:ascii="Courier New" w:hAnsi="Courier New" w:hint="default"/>
      </w:rPr>
    </w:lvl>
    <w:lvl w:ilvl="2" w:tplc="28F0F318">
      <w:start w:val="1"/>
      <w:numFmt w:val="bullet"/>
      <w:lvlText w:val=""/>
      <w:lvlJc w:val="left"/>
      <w:pPr>
        <w:ind w:left="2160" w:hanging="360"/>
      </w:pPr>
      <w:rPr>
        <w:rFonts w:ascii="Wingdings" w:hAnsi="Wingdings" w:hint="default"/>
      </w:rPr>
    </w:lvl>
    <w:lvl w:ilvl="3" w:tplc="7E784714">
      <w:start w:val="1"/>
      <w:numFmt w:val="bullet"/>
      <w:lvlText w:val=""/>
      <w:lvlJc w:val="left"/>
      <w:pPr>
        <w:ind w:left="2880" w:hanging="360"/>
      </w:pPr>
      <w:rPr>
        <w:rFonts w:ascii="Symbol" w:hAnsi="Symbol" w:hint="default"/>
      </w:rPr>
    </w:lvl>
    <w:lvl w:ilvl="4" w:tplc="1CC2B886">
      <w:start w:val="1"/>
      <w:numFmt w:val="bullet"/>
      <w:lvlText w:val="o"/>
      <w:lvlJc w:val="left"/>
      <w:pPr>
        <w:ind w:left="3600" w:hanging="360"/>
      </w:pPr>
      <w:rPr>
        <w:rFonts w:ascii="Courier New" w:hAnsi="Courier New" w:hint="default"/>
      </w:rPr>
    </w:lvl>
    <w:lvl w:ilvl="5" w:tplc="7E40E5BC">
      <w:start w:val="1"/>
      <w:numFmt w:val="bullet"/>
      <w:lvlText w:val=""/>
      <w:lvlJc w:val="left"/>
      <w:pPr>
        <w:ind w:left="4320" w:hanging="360"/>
      </w:pPr>
      <w:rPr>
        <w:rFonts w:ascii="Wingdings" w:hAnsi="Wingdings" w:hint="default"/>
      </w:rPr>
    </w:lvl>
    <w:lvl w:ilvl="6" w:tplc="DAD84400">
      <w:start w:val="1"/>
      <w:numFmt w:val="bullet"/>
      <w:lvlText w:val=""/>
      <w:lvlJc w:val="left"/>
      <w:pPr>
        <w:ind w:left="5040" w:hanging="360"/>
      </w:pPr>
      <w:rPr>
        <w:rFonts w:ascii="Symbol" w:hAnsi="Symbol" w:hint="default"/>
      </w:rPr>
    </w:lvl>
    <w:lvl w:ilvl="7" w:tplc="0BC87A86">
      <w:start w:val="1"/>
      <w:numFmt w:val="bullet"/>
      <w:lvlText w:val="o"/>
      <w:lvlJc w:val="left"/>
      <w:pPr>
        <w:ind w:left="5760" w:hanging="360"/>
      </w:pPr>
      <w:rPr>
        <w:rFonts w:ascii="Courier New" w:hAnsi="Courier New" w:hint="default"/>
      </w:rPr>
    </w:lvl>
    <w:lvl w:ilvl="8" w:tplc="CC5A1E68">
      <w:start w:val="1"/>
      <w:numFmt w:val="bullet"/>
      <w:lvlText w:val=""/>
      <w:lvlJc w:val="left"/>
      <w:pPr>
        <w:ind w:left="6480" w:hanging="360"/>
      </w:pPr>
      <w:rPr>
        <w:rFonts w:ascii="Wingdings" w:hAnsi="Wingdings" w:hint="default"/>
      </w:rPr>
    </w:lvl>
  </w:abstractNum>
  <w:abstractNum w:abstractNumId="86" w15:restartNumberingAfterBreak="0">
    <w:nsid w:val="0A841F53"/>
    <w:multiLevelType w:val="multilevel"/>
    <w:tmpl w:val="F1A265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0A9063AE"/>
    <w:multiLevelType w:val="multilevel"/>
    <w:tmpl w:val="9DBCA8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0AED465E"/>
    <w:multiLevelType w:val="multilevel"/>
    <w:tmpl w:val="A35EEF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0B12AEFC"/>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91" w15:restartNumberingAfterBreak="0">
    <w:nsid w:val="0B1C5E8B"/>
    <w:multiLevelType w:val="multilevel"/>
    <w:tmpl w:val="8E085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0B298693"/>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93" w15:restartNumberingAfterBreak="0">
    <w:nsid w:val="0BB66EB9"/>
    <w:multiLevelType w:val="multilevel"/>
    <w:tmpl w:val="0214F3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15:restartNumberingAfterBreak="0">
    <w:nsid w:val="0BE35A23"/>
    <w:multiLevelType w:val="multilevel"/>
    <w:tmpl w:val="3C782C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5" w15:restartNumberingAfterBreak="0">
    <w:nsid w:val="0C118154"/>
    <w:multiLevelType w:val="hybridMultilevel"/>
    <w:tmpl w:val="39D62BB6"/>
    <w:lvl w:ilvl="0" w:tplc="4BD6C228">
      <w:start w:val="1"/>
      <w:numFmt w:val="bullet"/>
      <w:lvlText w:val=""/>
      <w:lvlJc w:val="left"/>
      <w:pPr>
        <w:ind w:left="720" w:hanging="360"/>
      </w:pPr>
      <w:rPr>
        <w:rFonts w:ascii="Symbol" w:hAnsi="Symbol" w:hint="default"/>
      </w:rPr>
    </w:lvl>
    <w:lvl w:ilvl="1" w:tplc="245E8360">
      <w:start w:val="1"/>
      <w:numFmt w:val="bullet"/>
      <w:lvlText w:val="o"/>
      <w:lvlJc w:val="left"/>
      <w:pPr>
        <w:ind w:left="1440" w:hanging="360"/>
      </w:pPr>
      <w:rPr>
        <w:rFonts w:ascii="Courier New" w:hAnsi="Courier New" w:hint="default"/>
      </w:rPr>
    </w:lvl>
    <w:lvl w:ilvl="2" w:tplc="78B8A61A">
      <w:start w:val="1"/>
      <w:numFmt w:val="bullet"/>
      <w:lvlText w:val=""/>
      <w:lvlJc w:val="left"/>
      <w:pPr>
        <w:ind w:left="2160" w:hanging="360"/>
      </w:pPr>
      <w:rPr>
        <w:rFonts w:ascii="Wingdings" w:hAnsi="Wingdings" w:hint="default"/>
      </w:rPr>
    </w:lvl>
    <w:lvl w:ilvl="3" w:tplc="B1A2285C">
      <w:start w:val="1"/>
      <w:numFmt w:val="bullet"/>
      <w:lvlText w:val=""/>
      <w:lvlJc w:val="left"/>
      <w:pPr>
        <w:ind w:left="2880" w:hanging="360"/>
      </w:pPr>
      <w:rPr>
        <w:rFonts w:ascii="Symbol" w:hAnsi="Symbol" w:hint="default"/>
      </w:rPr>
    </w:lvl>
    <w:lvl w:ilvl="4" w:tplc="DC508134">
      <w:start w:val="1"/>
      <w:numFmt w:val="bullet"/>
      <w:lvlText w:val="o"/>
      <w:lvlJc w:val="left"/>
      <w:pPr>
        <w:ind w:left="3600" w:hanging="360"/>
      </w:pPr>
      <w:rPr>
        <w:rFonts w:ascii="Courier New" w:hAnsi="Courier New" w:hint="default"/>
      </w:rPr>
    </w:lvl>
    <w:lvl w:ilvl="5" w:tplc="421E030C">
      <w:start w:val="1"/>
      <w:numFmt w:val="bullet"/>
      <w:lvlText w:val=""/>
      <w:lvlJc w:val="left"/>
      <w:pPr>
        <w:ind w:left="4320" w:hanging="360"/>
      </w:pPr>
      <w:rPr>
        <w:rFonts w:ascii="Wingdings" w:hAnsi="Wingdings" w:hint="default"/>
      </w:rPr>
    </w:lvl>
    <w:lvl w:ilvl="6" w:tplc="22601B9C">
      <w:start w:val="1"/>
      <w:numFmt w:val="bullet"/>
      <w:lvlText w:val=""/>
      <w:lvlJc w:val="left"/>
      <w:pPr>
        <w:ind w:left="5040" w:hanging="360"/>
      </w:pPr>
      <w:rPr>
        <w:rFonts w:ascii="Symbol" w:hAnsi="Symbol" w:hint="default"/>
      </w:rPr>
    </w:lvl>
    <w:lvl w:ilvl="7" w:tplc="A61057FE">
      <w:start w:val="1"/>
      <w:numFmt w:val="bullet"/>
      <w:lvlText w:val="o"/>
      <w:lvlJc w:val="left"/>
      <w:pPr>
        <w:ind w:left="5760" w:hanging="360"/>
      </w:pPr>
      <w:rPr>
        <w:rFonts w:ascii="Courier New" w:hAnsi="Courier New" w:hint="default"/>
      </w:rPr>
    </w:lvl>
    <w:lvl w:ilvl="8" w:tplc="067ACE4A">
      <w:start w:val="1"/>
      <w:numFmt w:val="bullet"/>
      <w:lvlText w:val=""/>
      <w:lvlJc w:val="left"/>
      <w:pPr>
        <w:ind w:left="6480" w:hanging="360"/>
      </w:pPr>
      <w:rPr>
        <w:rFonts w:ascii="Wingdings" w:hAnsi="Wingdings" w:hint="default"/>
      </w:rPr>
    </w:lvl>
  </w:abstractNum>
  <w:abstractNum w:abstractNumId="96" w15:restartNumberingAfterBreak="0">
    <w:nsid w:val="0C2D3BE4"/>
    <w:multiLevelType w:val="multilevel"/>
    <w:tmpl w:val="A4A03B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0C2E789E"/>
    <w:multiLevelType w:val="hybridMultilevel"/>
    <w:tmpl w:val="138C2C30"/>
    <w:lvl w:ilvl="0" w:tplc="BD027868">
      <w:start w:val="1"/>
      <w:numFmt w:val="bullet"/>
      <w:lvlText w:val=""/>
      <w:lvlJc w:val="left"/>
      <w:pPr>
        <w:ind w:left="720" w:hanging="360"/>
      </w:pPr>
      <w:rPr>
        <w:rFonts w:ascii="Symbol" w:hAnsi="Symbol"/>
      </w:rPr>
    </w:lvl>
    <w:lvl w:ilvl="1" w:tplc="D090DDBC">
      <w:start w:val="1"/>
      <w:numFmt w:val="bullet"/>
      <w:lvlText w:val=""/>
      <w:lvlJc w:val="left"/>
      <w:pPr>
        <w:ind w:left="720" w:hanging="360"/>
      </w:pPr>
      <w:rPr>
        <w:rFonts w:ascii="Symbol" w:hAnsi="Symbol"/>
      </w:rPr>
    </w:lvl>
    <w:lvl w:ilvl="2" w:tplc="2ECCC360">
      <w:start w:val="1"/>
      <w:numFmt w:val="bullet"/>
      <w:lvlText w:val=""/>
      <w:lvlJc w:val="left"/>
      <w:pPr>
        <w:ind w:left="720" w:hanging="360"/>
      </w:pPr>
      <w:rPr>
        <w:rFonts w:ascii="Symbol" w:hAnsi="Symbol"/>
      </w:rPr>
    </w:lvl>
    <w:lvl w:ilvl="3" w:tplc="EFE00D7C">
      <w:start w:val="1"/>
      <w:numFmt w:val="bullet"/>
      <w:lvlText w:val=""/>
      <w:lvlJc w:val="left"/>
      <w:pPr>
        <w:ind w:left="720" w:hanging="360"/>
      </w:pPr>
      <w:rPr>
        <w:rFonts w:ascii="Symbol" w:hAnsi="Symbol"/>
      </w:rPr>
    </w:lvl>
    <w:lvl w:ilvl="4" w:tplc="A166620A">
      <w:start w:val="1"/>
      <w:numFmt w:val="bullet"/>
      <w:lvlText w:val=""/>
      <w:lvlJc w:val="left"/>
      <w:pPr>
        <w:ind w:left="720" w:hanging="360"/>
      </w:pPr>
      <w:rPr>
        <w:rFonts w:ascii="Symbol" w:hAnsi="Symbol"/>
      </w:rPr>
    </w:lvl>
    <w:lvl w:ilvl="5" w:tplc="71D4560E">
      <w:start w:val="1"/>
      <w:numFmt w:val="bullet"/>
      <w:lvlText w:val=""/>
      <w:lvlJc w:val="left"/>
      <w:pPr>
        <w:ind w:left="720" w:hanging="360"/>
      </w:pPr>
      <w:rPr>
        <w:rFonts w:ascii="Symbol" w:hAnsi="Symbol"/>
      </w:rPr>
    </w:lvl>
    <w:lvl w:ilvl="6" w:tplc="BC70C906">
      <w:start w:val="1"/>
      <w:numFmt w:val="bullet"/>
      <w:lvlText w:val=""/>
      <w:lvlJc w:val="left"/>
      <w:pPr>
        <w:ind w:left="720" w:hanging="360"/>
      </w:pPr>
      <w:rPr>
        <w:rFonts w:ascii="Symbol" w:hAnsi="Symbol"/>
      </w:rPr>
    </w:lvl>
    <w:lvl w:ilvl="7" w:tplc="A3F46A5E">
      <w:start w:val="1"/>
      <w:numFmt w:val="bullet"/>
      <w:lvlText w:val=""/>
      <w:lvlJc w:val="left"/>
      <w:pPr>
        <w:ind w:left="720" w:hanging="360"/>
      </w:pPr>
      <w:rPr>
        <w:rFonts w:ascii="Symbol" w:hAnsi="Symbol"/>
      </w:rPr>
    </w:lvl>
    <w:lvl w:ilvl="8" w:tplc="01C6591A">
      <w:start w:val="1"/>
      <w:numFmt w:val="bullet"/>
      <w:lvlText w:val=""/>
      <w:lvlJc w:val="left"/>
      <w:pPr>
        <w:ind w:left="720" w:hanging="360"/>
      </w:pPr>
      <w:rPr>
        <w:rFonts w:ascii="Symbol" w:hAnsi="Symbol"/>
      </w:rPr>
    </w:lvl>
  </w:abstractNum>
  <w:abstractNum w:abstractNumId="98" w15:restartNumberingAfterBreak="0">
    <w:nsid w:val="0C557E8D"/>
    <w:multiLevelType w:val="hybridMultilevel"/>
    <w:tmpl w:val="A66C109C"/>
    <w:lvl w:ilvl="0" w:tplc="B5588226">
      <w:start w:val="1"/>
      <w:numFmt w:val="bullet"/>
      <w:lvlText w:val=""/>
      <w:lvlJc w:val="left"/>
      <w:pPr>
        <w:ind w:left="547" w:hanging="360"/>
      </w:pPr>
      <w:rPr>
        <w:rFonts w:ascii="Symbol" w:hAnsi="Symbol" w:hint="default"/>
      </w:rPr>
    </w:lvl>
    <w:lvl w:ilvl="1" w:tplc="636CBB1E">
      <w:start w:val="1"/>
      <w:numFmt w:val="bullet"/>
      <w:lvlText w:val="o"/>
      <w:lvlJc w:val="left"/>
      <w:pPr>
        <w:ind w:left="1267" w:hanging="360"/>
      </w:pPr>
      <w:rPr>
        <w:rFonts w:ascii="Courier New" w:hAnsi="Courier New" w:hint="default"/>
      </w:rPr>
    </w:lvl>
    <w:lvl w:ilvl="2" w:tplc="2344423A">
      <w:start w:val="1"/>
      <w:numFmt w:val="bullet"/>
      <w:lvlText w:val=""/>
      <w:lvlJc w:val="left"/>
      <w:pPr>
        <w:ind w:left="1987" w:hanging="360"/>
      </w:pPr>
      <w:rPr>
        <w:rFonts w:ascii="Wingdings" w:hAnsi="Wingdings" w:hint="default"/>
      </w:rPr>
    </w:lvl>
    <w:lvl w:ilvl="3" w:tplc="04103556">
      <w:start w:val="1"/>
      <w:numFmt w:val="bullet"/>
      <w:lvlText w:val=""/>
      <w:lvlJc w:val="left"/>
      <w:pPr>
        <w:ind w:left="2707" w:hanging="360"/>
      </w:pPr>
      <w:rPr>
        <w:rFonts w:ascii="Symbol" w:hAnsi="Symbol" w:hint="default"/>
      </w:rPr>
    </w:lvl>
    <w:lvl w:ilvl="4" w:tplc="75440D5E">
      <w:start w:val="1"/>
      <w:numFmt w:val="bullet"/>
      <w:lvlText w:val="o"/>
      <w:lvlJc w:val="left"/>
      <w:pPr>
        <w:ind w:left="3427" w:hanging="360"/>
      </w:pPr>
      <w:rPr>
        <w:rFonts w:ascii="Courier New" w:hAnsi="Courier New" w:hint="default"/>
      </w:rPr>
    </w:lvl>
    <w:lvl w:ilvl="5" w:tplc="3B2A4B9C">
      <w:start w:val="1"/>
      <w:numFmt w:val="bullet"/>
      <w:lvlText w:val=""/>
      <w:lvlJc w:val="left"/>
      <w:pPr>
        <w:ind w:left="4147" w:hanging="360"/>
      </w:pPr>
      <w:rPr>
        <w:rFonts w:ascii="Wingdings" w:hAnsi="Wingdings" w:hint="default"/>
      </w:rPr>
    </w:lvl>
    <w:lvl w:ilvl="6" w:tplc="1FEAAC38">
      <w:start w:val="1"/>
      <w:numFmt w:val="bullet"/>
      <w:lvlText w:val=""/>
      <w:lvlJc w:val="left"/>
      <w:pPr>
        <w:ind w:left="4867" w:hanging="360"/>
      </w:pPr>
      <w:rPr>
        <w:rFonts w:ascii="Symbol" w:hAnsi="Symbol" w:hint="default"/>
      </w:rPr>
    </w:lvl>
    <w:lvl w:ilvl="7" w:tplc="81D68E70">
      <w:start w:val="1"/>
      <w:numFmt w:val="bullet"/>
      <w:lvlText w:val="o"/>
      <w:lvlJc w:val="left"/>
      <w:pPr>
        <w:ind w:left="5587" w:hanging="360"/>
      </w:pPr>
      <w:rPr>
        <w:rFonts w:ascii="Courier New" w:hAnsi="Courier New" w:hint="default"/>
      </w:rPr>
    </w:lvl>
    <w:lvl w:ilvl="8" w:tplc="CAEEB31C">
      <w:start w:val="1"/>
      <w:numFmt w:val="bullet"/>
      <w:lvlText w:val=""/>
      <w:lvlJc w:val="left"/>
      <w:pPr>
        <w:ind w:left="6307" w:hanging="360"/>
      </w:pPr>
      <w:rPr>
        <w:rFonts w:ascii="Wingdings" w:hAnsi="Wingdings" w:hint="default"/>
      </w:rPr>
    </w:lvl>
  </w:abstractNum>
  <w:abstractNum w:abstractNumId="99" w15:restartNumberingAfterBreak="0">
    <w:nsid w:val="0CA536E7"/>
    <w:multiLevelType w:val="multilevel"/>
    <w:tmpl w:val="19FC18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0CA538FD"/>
    <w:multiLevelType w:val="multilevel"/>
    <w:tmpl w:val="2228C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0CA59B67"/>
    <w:multiLevelType w:val="hybridMultilevel"/>
    <w:tmpl w:val="374E1D74"/>
    <w:lvl w:ilvl="0" w:tplc="55948544">
      <w:start w:val="1"/>
      <w:numFmt w:val="bullet"/>
      <w:lvlText w:val="-"/>
      <w:lvlJc w:val="left"/>
      <w:pPr>
        <w:ind w:left="720" w:hanging="360"/>
      </w:pPr>
      <w:rPr>
        <w:rFonts w:ascii="Aptos" w:hAnsi="Aptos" w:hint="default"/>
      </w:rPr>
    </w:lvl>
    <w:lvl w:ilvl="1" w:tplc="F8BE1594">
      <w:start w:val="1"/>
      <w:numFmt w:val="bullet"/>
      <w:lvlText w:val="o"/>
      <w:lvlJc w:val="left"/>
      <w:pPr>
        <w:ind w:left="1267" w:hanging="360"/>
      </w:pPr>
      <w:rPr>
        <w:rFonts w:ascii="Courier New" w:hAnsi="Courier New" w:hint="default"/>
      </w:rPr>
    </w:lvl>
    <w:lvl w:ilvl="2" w:tplc="180AA642">
      <w:start w:val="1"/>
      <w:numFmt w:val="bullet"/>
      <w:lvlText w:val=""/>
      <w:lvlJc w:val="left"/>
      <w:pPr>
        <w:ind w:left="1987" w:hanging="360"/>
      </w:pPr>
      <w:rPr>
        <w:rFonts w:ascii="Wingdings" w:hAnsi="Wingdings" w:hint="default"/>
      </w:rPr>
    </w:lvl>
    <w:lvl w:ilvl="3" w:tplc="C7E05FB4">
      <w:start w:val="1"/>
      <w:numFmt w:val="bullet"/>
      <w:lvlText w:val=""/>
      <w:lvlJc w:val="left"/>
      <w:pPr>
        <w:ind w:left="2707" w:hanging="360"/>
      </w:pPr>
      <w:rPr>
        <w:rFonts w:ascii="Symbol" w:hAnsi="Symbol" w:hint="default"/>
      </w:rPr>
    </w:lvl>
    <w:lvl w:ilvl="4" w:tplc="FCFAA060">
      <w:start w:val="1"/>
      <w:numFmt w:val="bullet"/>
      <w:lvlText w:val="o"/>
      <w:lvlJc w:val="left"/>
      <w:pPr>
        <w:ind w:left="3427" w:hanging="360"/>
      </w:pPr>
      <w:rPr>
        <w:rFonts w:ascii="Courier New" w:hAnsi="Courier New" w:hint="default"/>
      </w:rPr>
    </w:lvl>
    <w:lvl w:ilvl="5" w:tplc="EA8CA584">
      <w:start w:val="1"/>
      <w:numFmt w:val="bullet"/>
      <w:lvlText w:val=""/>
      <w:lvlJc w:val="left"/>
      <w:pPr>
        <w:ind w:left="4147" w:hanging="360"/>
      </w:pPr>
      <w:rPr>
        <w:rFonts w:ascii="Wingdings" w:hAnsi="Wingdings" w:hint="default"/>
      </w:rPr>
    </w:lvl>
    <w:lvl w:ilvl="6" w:tplc="431A9EEA">
      <w:start w:val="1"/>
      <w:numFmt w:val="bullet"/>
      <w:lvlText w:val=""/>
      <w:lvlJc w:val="left"/>
      <w:pPr>
        <w:ind w:left="4867" w:hanging="360"/>
      </w:pPr>
      <w:rPr>
        <w:rFonts w:ascii="Symbol" w:hAnsi="Symbol" w:hint="default"/>
      </w:rPr>
    </w:lvl>
    <w:lvl w:ilvl="7" w:tplc="153885BC">
      <w:start w:val="1"/>
      <w:numFmt w:val="bullet"/>
      <w:lvlText w:val="o"/>
      <w:lvlJc w:val="left"/>
      <w:pPr>
        <w:ind w:left="5587" w:hanging="360"/>
      </w:pPr>
      <w:rPr>
        <w:rFonts w:ascii="Courier New" w:hAnsi="Courier New" w:hint="default"/>
      </w:rPr>
    </w:lvl>
    <w:lvl w:ilvl="8" w:tplc="061A7A7C">
      <w:start w:val="1"/>
      <w:numFmt w:val="bullet"/>
      <w:lvlText w:val=""/>
      <w:lvlJc w:val="left"/>
      <w:pPr>
        <w:ind w:left="6307" w:hanging="360"/>
      </w:pPr>
      <w:rPr>
        <w:rFonts w:ascii="Wingdings" w:hAnsi="Wingdings" w:hint="default"/>
      </w:rPr>
    </w:lvl>
  </w:abstractNum>
  <w:abstractNum w:abstractNumId="102" w15:restartNumberingAfterBreak="0">
    <w:nsid w:val="0CC8B9D6"/>
    <w:multiLevelType w:val="multilevel"/>
    <w:tmpl w:val="B17C66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3" w15:restartNumberingAfterBreak="0">
    <w:nsid w:val="0CCD9868"/>
    <w:multiLevelType w:val="hybridMultilevel"/>
    <w:tmpl w:val="FFFFFFFF"/>
    <w:lvl w:ilvl="0" w:tplc="2C542114">
      <w:start w:val="1"/>
      <w:numFmt w:val="bullet"/>
      <w:lvlText w:val="○"/>
      <w:lvlJc w:val="left"/>
      <w:pPr>
        <w:ind w:left="1440" w:hanging="360"/>
      </w:pPr>
      <w:rPr>
        <w:rFonts w:ascii="Symbol" w:hAnsi="Symbol" w:hint="default"/>
      </w:rPr>
    </w:lvl>
    <w:lvl w:ilvl="1" w:tplc="633A1364">
      <w:start w:val="1"/>
      <w:numFmt w:val="bullet"/>
      <w:lvlText w:val="o"/>
      <w:lvlJc w:val="left"/>
      <w:pPr>
        <w:ind w:left="2160" w:hanging="360"/>
      </w:pPr>
      <w:rPr>
        <w:rFonts w:ascii="Courier New" w:hAnsi="Courier New" w:hint="default"/>
      </w:rPr>
    </w:lvl>
    <w:lvl w:ilvl="2" w:tplc="561AB138">
      <w:start w:val="1"/>
      <w:numFmt w:val="bullet"/>
      <w:lvlText w:val=""/>
      <w:lvlJc w:val="left"/>
      <w:pPr>
        <w:ind w:left="2880" w:hanging="360"/>
      </w:pPr>
      <w:rPr>
        <w:rFonts w:ascii="Wingdings" w:hAnsi="Wingdings" w:hint="default"/>
      </w:rPr>
    </w:lvl>
    <w:lvl w:ilvl="3" w:tplc="38D6DC40">
      <w:start w:val="1"/>
      <w:numFmt w:val="bullet"/>
      <w:lvlText w:val=""/>
      <w:lvlJc w:val="left"/>
      <w:pPr>
        <w:ind w:left="3600" w:hanging="360"/>
      </w:pPr>
      <w:rPr>
        <w:rFonts w:ascii="Symbol" w:hAnsi="Symbol" w:hint="default"/>
      </w:rPr>
    </w:lvl>
    <w:lvl w:ilvl="4" w:tplc="0C928404">
      <w:start w:val="1"/>
      <w:numFmt w:val="bullet"/>
      <w:lvlText w:val="o"/>
      <w:lvlJc w:val="left"/>
      <w:pPr>
        <w:ind w:left="4320" w:hanging="360"/>
      </w:pPr>
      <w:rPr>
        <w:rFonts w:ascii="Courier New" w:hAnsi="Courier New" w:hint="default"/>
      </w:rPr>
    </w:lvl>
    <w:lvl w:ilvl="5" w:tplc="0B029D1A">
      <w:start w:val="1"/>
      <w:numFmt w:val="bullet"/>
      <w:lvlText w:val=""/>
      <w:lvlJc w:val="left"/>
      <w:pPr>
        <w:ind w:left="5040" w:hanging="360"/>
      </w:pPr>
      <w:rPr>
        <w:rFonts w:ascii="Wingdings" w:hAnsi="Wingdings" w:hint="default"/>
      </w:rPr>
    </w:lvl>
    <w:lvl w:ilvl="6" w:tplc="7E621682">
      <w:start w:val="1"/>
      <w:numFmt w:val="bullet"/>
      <w:lvlText w:val=""/>
      <w:lvlJc w:val="left"/>
      <w:pPr>
        <w:ind w:left="5760" w:hanging="360"/>
      </w:pPr>
      <w:rPr>
        <w:rFonts w:ascii="Symbol" w:hAnsi="Symbol" w:hint="default"/>
      </w:rPr>
    </w:lvl>
    <w:lvl w:ilvl="7" w:tplc="F1B072AC">
      <w:start w:val="1"/>
      <w:numFmt w:val="bullet"/>
      <w:lvlText w:val="o"/>
      <w:lvlJc w:val="left"/>
      <w:pPr>
        <w:ind w:left="6480" w:hanging="360"/>
      </w:pPr>
      <w:rPr>
        <w:rFonts w:ascii="Courier New" w:hAnsi="Courier New" w:hint="default"/>
      </w:rPr>
    </w:lvl>
    <w:lvl w:ilvl="8" w:tplc="A7329FA8">
      <w:start w:val="1"/>
      <w:numFmt w:val="bullet"/>
      <w:lvlText w:val=""/>
      <w:lvlJc w:val="left"/>
      <w:pPr>
        <w:ind w:left="7200" w:hanging="360"/>
      </w:pPr>
      <w:rPr>
        <w:rFonts w:ascii="Wingdings" w:hAnsi="Wingdings" w:hint="default"/>
      </w:rPr>
    </w:lvl>
  </w:abstractNum>
  <w:abstractNum w:abstractNumId="104" w15:restartNumberingAfterBreak="0">
    <w:nsid w:val="0CF36F3D"/>
    <w:multiLevelType w:val="hybridMultilevel"/>
    <w:tmpl w:val="7C4E51AE"/>
    <w:lvl w:ilvl="0" w:tplc="EFCAAB60">
      <w:start w:val="1"/>
      <w:numFmt w:val="bullet"/>
      <w:lvlText w:val=""/>
      <w:lvlJc w:val="left"/>
      <w:pPr>
        <w:ind w:left="720" w:hanging="360"/>
      </w:pPr>
      <w:rPr>
        <w:rFonts w:ascii="Symbol" w:hAnsi="Symbol"/>
      </w:rPr>
    </w:lvl>
    <w:lvl w:ilvl="1" w:tplc="2B1AC90A">
      <w:start w:val="1"/>
      <w:numFmt w:val="bullet"/>
      <w:lvlText w:val=""/>
      <w:lvlJc w:val="left"/>
      <w:pPr>
        <w:ind w:left="720" w:hanging="360"/>
      </w:pPr>
      <w:rPr>
        <w:rFonts w:ascii="Symbol" w:hAnsi="Symbol"/>
      </w:rPr>
    </w:lvl>
    <w:lvl w:ilvl="2" w:tplc="4280BB9A">
      <w:start w:val="1"/>
      <w:numFmt w:val="bullet"/>
      <w:lvlText w:val=""/>
      <w:lvlJc w:val="left"/>
      <w:pPr>
        <w:ind w:left="720" w:hanging="360"/>
      </w:pPr>
      <w:rPr>
        <w:rFonts w:ascii="Symbol" w:hAnsi="Symbol"/>
      </w:rPr>
    </w:lvl>
    <w:lvl w:ilvl="3" w:tplc="B978E17C">
      <w:start w:val="1"/>
      <w:numFmt w:val="bullet"/>
      <w:lvlText w:val=""/>
      <w:lvlJc w:val="left"/>
      <w:pPr>
        <w:ind w:left="720" w:hanging="360"/>
      </w:pPr>
      <w:rPr>
        <w:rFonts w:ascii="Symbol" w:hAnsi="Symbol"/>
      </w:rPr>
    </w:lvl>
    <w:lvl w:ilvl="4" w:tplc="E3688D08">
      <w:start w:val="1"/>
      <w:numFmt w:val="bullet"/>
      <w:lvlText w:val=""/>
      <w:lvlJc w:val="left"/>
      <w:pPr>
        <w:ind w:left="720" w:hanging="360"/>
      </w:pPr>
      <w:rPr>
        <w:rFonts w:ascii="Symbol" w:hAnsi="Symbol"/>
      </w:rPr>
    </w:lvl>
    <w:lvl w:ilvl="5" w:tplc="CF8E3090">
      <w:start w:val="1"/>
      <w:numFmt w:val="bullet"/>
      <w:lvlText w:val=""/>
      <w:lvlJc w:val="left"/>
      <w:pPr>
        <w:ind w:left="720" w:hanging="360"/>
      </w:pPr>
      <w:rPr>
        <w:rFonts w:ascii="Symbol" w:hAnsi="Symbol"/>
      </w:rPr>
    </w:lvl>
    <w:lvl w:ilvl="6" w:tplc="953476B2">
      <w:start w:val="1"/>
      <w:numFmt w:val="bullet"/>
      <w:lvlText w:val=""/>
      <w:lvlJc w:val="left"/>
      <w:pPr>
        <w:ind w:left="720" w:hanging="360"/>
      </w:pPr>
      <w:rPr>
        <w:rFonts w:ascii="Symbol" w:hAnsi="Symbol"/>
      </w:rPr>
    </w:lvl>
    <w:lvl w:ilvl="7" w:tplc="F3D6096A">
      <w:start w:val="1"/>
      <w:numFmt w:val="bullet"/>
      <w:lvlText w:val=""/>
      <w:lvlJc w:val="left"/>
      <w:pPr>
        <w:ind w:left="720" w:hanging="360"/>
      </w:pPr>
      <w:rPr>
        <w:rFonts w:ascii="Symbol" w:hAnsi="Symbol"/>
      </w:rPr>
    </w:lvl>
    <w:lvl w:ilvl="8" w:tplc="85D23494">
      <w:start w:val="1"/>
      <w:numFmt w:val="bullet"/>
      <w:lvlText w:val=""/>
      <w:lvlJc w:val="left"/>
      <w:pPr>
        <w:ind w:left="720" w:hanging="360"/>
      </w:pPr>
      <w:rPr>
        <w:rFonts w:ascii="Symbol" w:hAnsi="Symbol"/>
      </w:rPr>
    </w:lvl>
  </w:abstractNum>
  <w:abstractNum w:abstractNumId="105" w15:restartNumberingAfterBreak="0">
    <w:nsid w:val="0CFFC57D"/>
    <w:multiLevelType w:val="hybridMultilevel"/>
    <w:tmpl w:val="B17675EE"/>
    <w:lvl w:ilvl="0" w:tplc="A1DAC680">
      <w:start w:val="1"/>
      <w:numFmt w:val="bullet"/>
      <w:lvlText w:val="·"/>
      <w:lvlJc w:val="left"/>
      <w:pPr>
        <w:ind w:left="720" w:hanging="360"/>
      </w:pPr>
      <w:rPr>
        <w:rFonts w:ascii="Symbol" w:hAnsi="Symbol" w:hint="default"/>
      </w:rPr>
    </w:lvl>
    <w:lvl w:ilvl="1" w:tplc="90384C58">
      <w:start w:val="1"/>
      <w:numFmt w:val="bullet"/>
      <w:lvlText w:val="o"/>
      <w:lvlJc w:val="left"/>
      <w:pPr>
        <w:ind w:left="1440" w:hanging="360"/>
      </w:pPr>
      <w:rPr>
        <w:rFonts w:ascii="Courier New" w:hAnsi="Courier New" w:hint="default"/>
      </w:rPr>
    </w:lvl>
    <w:lvl w:ilvl="2" w:tplc="4DAC22D6">
      <w:start w:val="1"/>
      <w:numFmt w:val="bullet"/>
      <w:lvlText w:val=""/>
      <w:lvlJc w:val="left"/>
      <w:pPr>
        <w:ind w:left="2160" w:hanging="360"/>
      </w:pPr>
      <w:rPr>
        <w:rFonts w:ascii="Wingdings" w:hAnsi="Wingdings" w:hint="default"/>
      </w:rPr>
    </w:lvl>
    <w:lvl w:ilvl="3" w:tplc="BFA0D4A8">
      <w:start w:val="1"/>
      <w:numFmt w:val="bullet"/>
      <w:lvlText w:val=""/>
      <w:lvlJc w:val="left"/>
      <w:pPr>
        <w:ind w:left="2880" w:hanging="360"/>
      </w:pPr>
      <w:rPr>
        <w:rFonts w:ascii="Symbol" w:hAnsi="Symbol" w:hint="default"/>
      </w:rPr>
    </w:lvl>
    <w:lvl w:ilvl="4" w:tplc="E57670E4">
      <w:start w:val="1"/>
      <w:numFmt w:val="bullet"/>
      <w:lvlText w:val="o"/>
      <w:lvlJc w:val="left"/>
      <w:pPr>
        <w:ind w:left="3600" w:hanging="360"/>
      </w:pPr>
      <w:rPr>
        <w:rFonts w:ascii="Courier New" w:hAnsi="Courier New" w:hint="default"/>
      </w:rPr>
    </w:lvl>
    <w:lvl w:ilvl="5" w:tplc="5B9619BA">
      <w:start w:val="1"/>
      <w:numFmt w:val="bullet"/>
      <w:lvlText w:val=""/>
      <w:lvlJc w:val="left"/>
      <w:pPr>
        <w:ind w:left="4320" w:hanging="360"/>
      </w:pPr>
      <w:rPr>
        <w:rFonts w:ascii="Wingdings" w:hAnsi="Wingdings" w:hint="default"/>
      </w:rPr>
    </w:lvl>
    <w:lvl w:ilvl="6" w:tplc="4F08714E">
      <w:start w:val="1"/>
      <w:numFmt w:val="bullet"/>
      <w:lvlText w:val=""/>
      <w:lvlJc w:val="left"/>
      <w:pPr>
        <w:ind w:left="5040" w:hanging="360"/>
      </w:pPr>
      <w:rPr>
        <w:rFonts w:ascii="Symbol" w:hAnsi="Symbol" w:hint="default"/>
      </w:rPr>
    </w:lvl>
    <w:lvl w:ilvl="7" w:tplc="4C90B830">
      <w:start w:val="1"/>
      <w:numFmt w:val="bullet"/>
      <w:lvlText w:val="o"/>
      <w:lvlJc w:val="left"/>
      <w:pPr>
        <w:ind w:left="5760" w:hanging="360"/>
      </w:pPr>
      <w:rPr>
        <w:rFonts w:ascii="Courier New" w:hAnsi="Courier New" w:hint="default"/>
      </w:rPr>
    </w:lvl>
    <w:lvl w:ilvl="8" w:tplc="BBB6DA92">
      <w:start w:val="1"/>
      <w:numFmt w:val="bullet"/>
      <w:lvlText w:val=""/>
      <w:lvlJc w:val="left"/>
      <w:pPr>
        <w:ind w:left="6480" w:hanging="360"/>
      </w:pPr>
      <w:rPr>
        <w:rFonts w:ascii="Wingdings" w:hAnsi="Wingdings" w:hint="default"/>
      </w:rPr>
    </w:lvl>
  </w:abstractNum>
  <w:abstractNum w:abstractNumId="106" w15:restartNumberingAfterBreak="0">
    <w:nsid w:val="0D10643C"/>
    <w:multiLevelType w:val="hybridMultilevel"/>
    <w:tmpl w:val="439AD92E"/>
    <w:lvl w:ilvl="0" w:tplc="4D981150">
      <w:start w:val="1"/>
      <w:numFmt w:val="decimal"/>
      <w:lvlText w:val="%1."/>
      <w:lvlJc w:val="left"/>
      <w:pPr>
        <w:ind w:left="720" w:hanging="360"/>
      </w:pPr>
      <w:rPr>
        <w:rFonts w:ascii="Calibri" w:hAnsi="Calibri" w:hint="default"/>
      </w:rPr>
    </w:lvl>
    <w:lvl w:ilvl="1" w:tplc="7F78BBDA">
      <w:start w:val="1"/>
      <w:numFmt w:val="lowerLetter"/>
      <w:lvlText w:val="%2."/>
      <w:lvlJc w:val="left"/>
      <w:pPr>
        <w:ind w:left="1267" w:hanging="360"/>
      </w:pPr>
    </w:lvl>
    <w:lvl w:ilvl="2" w:tplc="4B5A0902">
      <w:start w:val="1"/>
      <w:numFmt w:val="lowerRoman"/>
      <w:lvlText w:val="%3."/>
      <w:lvlJc w:val="right"/>
      <w:pPr>
        <w:ind w:left="1987" w:hanging="180"/>
      </w:pPr>
    </w:lvl>
    <w:lvl w:ilvl="3" w:tplc="CCB23DC4">
      <w:start w:val="1"/>
      <w:numFmt w:val="decimal"/>
      <w:lvlText w:val="%4."/>
      <w:lvlJc w:val="left"/>
      <w:pPr>
        <w:ind w:left="2707" w:hanging="360"/>
      </w:pPr>
    </w:lvl>
    <w:lvl w:ilvl="4" w:tplc="F9CA7E48">
      <w:start w:val="1"/>
      <w:numFmt w:val="lowerLetter"/>
      <w:lvlText w:val="%5."/>
      <w:lvlJc w:val="left"/>
      <w:pPr>
        <w:ind w:left="3427" w:hanging="360"/>
      </w:pPr>
    </w:lvl>
    <w:lvl w:ilvl="5" w:tplc="2B80185E">
      <w:start w:val="1"/>
      <w:numFmt w:val="lowerRoman"/>
      <w:lvlText w:val="%6."/>
      <w:lvlJc w:val="right"/>
      <w:pPr>
        <w:ind w:left="4147" w:hanging="180"/>
      </w:pPr>
    </w:lvl>
    <w:lvl w:ilvl="6" w:tplc="1550F37E">
      <w:start w:val="1"/>
      <w:numFmt w:val="decimal"/>
      <w:lvlText w:val="%7."/>
      <w:lvlJc w:val="left"/>
      <w:pPr>
        <w:ind w:left="4867" w:hanging="360"/>
      </w:pPr>
    </w:lvl>
    <w:lvl w:ilvl="7" w:tplc="C53AFA22">
      <w:start w:val="1"/>
      <w:numFmt w:val="lowerLetter"/>
      <w:lvlText w:val="%8."/>
      <w:lvlJc w:val="left"/>
      <w:pPr>
        <w:ind w:left="5587" w:hanging="360"/>
      </w:pPr>
    </w:lvl>
    <w:lvl w:ilvl="8" w:tplc="7A9647E0">
      <w:start w:val="1"/>
      <w:numFmt w:val="lowerRoman"/>
      <w:lvlText w:val="%9."/>
      <w:lvlJc w:val="right"/>
      <w:pPr>
        <w:ind w:left="6307" w:hanging="180"/>
      </w:pPr>
    </w:lvl>
  </w:abstractNum>
  <w:abstractNum w:abstractNumId="107" w15:restartNumberingAfterBreak="0">
    <w:nsid w:val="0D163C9A"/>
    <w:multiLevelType w:val="multilevel"/>
    <w:tmpl w:val="322E9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0D714F0A"/>
    <w:multiLevelType w:val="multilevel"/>
    <w:tmpl w:val="E68041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0D791BBA"/>
    <w:multiLevelType w:val="hybridMultilevel"/>
    <w:tmpl w:val="1B0025DA"/>
    <w:lvl w:ilvl="0" w:tplc="83CE0BF8">
      <w:start w:val="1"/>
      <w:numFmt w:val="bullet"/>
      <w:lvlText w:val="·"/>
      <w:lvlJc w:val="left"/>
      <w:pPr>
        <w:ind w:left="720" w:hanging="360"/>
      </w:pPr>
      <w:rPr>
        <w:rFonts w:ascii="Symbol" w:hAnsi="Symbol" w:hint="default"/>
      </w:rPr>
    </w:lvl>
    <w:lvl w:ilvl="1" w:tplc="649625BE">
      <w:start w:val="1"/>
      <w:numFmt w:val="bullet"/>
      <w:lvlText w:val="o"/>
      <w:lvlJc w:val="left"/>
      <w:pPr>
        <w:ind w:left="1440" w:hanging="360"/>
      </w:pPr>
      <w:rPr>
        <w:rFonts w:ascii="Courier New" w:hAnsi="Courier New" w:hint="default"/>
      </w:rPr>
    </w:lvl>
    <w:lvl w:ilvl="2" w:tplc="677EE18E">
      <w:start w:val="1"/>
      <w:numFmt w:val="bullet"/>
      <w:lvlText w:val=""/>
      <w:lvlJc w:val="left"/>
      <w:pPr>
        <w:ind w:left="2160" w:hanging="360"/>
      </w:pPr>
      <w:rPr>
        <w:rFonts w:ascii="Wingdings" w:hAnsi="Wingdings" w:hint="default"/>
      </w:rPr>
    </w:lvl>
    <w:lvl w:ilvl="3" w:tplc="9BC8EE3E">
      <w:start w:val="1"/>
      <w:numFmt w:val="bullet"/>
      <w:lvlText w:val=""/>
      <w:lvlJc w:val="left"/>
      <w:pPr>
        <w:ind w:left="2880" w:hanging="360"/>
      </w:pPr>
      <w:rPr>
        <w:rFonts w:ascii="Symbol" w:hAnsi="Symbol" w:hint="default"/>
      </w:rPr>
    </w:lvl>
    <w:lvl w:ilvl="4" w:tplc="895E7F0A">
      <w:start w:val="1"/>
      <w:numFmt w:val="bullet"/>
      <w:lvlText w:val="o"/>
      <w:lvlJc w:val="left"/>
      <w:pPr>
        <w:ind w:left="3600" w:hanging="360"/>
      </w:pPr>
      <w:rPr>
        <w:rFonts w:ascii="Courier New" w:hAnsi="Courier New" w:hint="default"/>
      </w:rPr>
    </w:lvl>
    <w:lvl w:ilvl="5" w:tplc="44083306">
      <w:start w:val="1"/>
      <w:numFmt w:val="bullet"/>
      <w:lvlText w:val=""/>
      <w:lvlJc w:val="left"/>
      <w:pPr>
        <w:ind w:left="4320" w:hanging="360"/>
      </w:pPr>
      <w:rPr>
        <w:rFonts w:ascii="Wingdings" w:hAnsi="Wingdings" w:hint="default"/>
      </w:rPr>
    </w:lvl>
    <w:lvl w:ilvl="6" w:tplc="C3B80202">
      <w:start w:val="1"/>
      <w:numFmt w:val="bullet"/>
      <w:lvlText w:val=""/>
      <w:lvlJc w:val="left"/>
      <w:pPr>
        <w:ind w:left="5040" w:hanging="360"/>
      </w:pPr>
      <w:rPr>
        <w:rFonts w:ascii="Symbol" w:hAnsi="Symbol" w:hint="default"/>
      </w:rPr>
    </w:lvl>
    <w:lvl w:ilvl="7" w:tplc="85A6C9B6">
      <w:start w:val="1"/>
      <w:numFmt w:val="bullet"/>
      <w:lvlText w:val="o"/>
      <w:lvlJc w:val="left"/>
      <w:pPr>
        <w:ind w:left="5760" w:hanging="360"/>
      </w:pPr>
      <w:rPr>
        <w:rFonts w:ascii="Courier New" w:hAnsi="Courier New" w:hint="default"/>
      </w:rPr>
    </w:lvl>
    <w:lvl w:ilvl="8" w:tplc="CFC6839A">
      <w:start w:val="1"/>
      <w:numFmt w:val="bullet"/>
      <w:lvlText w:val=""/>
      <w:lvlJc w:val="left"/>
      <w:pPr>
        <w:ind w:left="6480" w:hanging="360"/>
      </w:pPr>
      <w:rPr>
        <w:rFonts w:ascii="Wingdings" w:hAnsi="Wingdings" w:hint="default"/>
      </w:rPr>
    </w:lvl>
  </w:abstractNum>
  <w:abstractNum w:abstractNumId="110" w15:restartNumberingAfterBreak="0">
    <w:nsid w:val="0D90706E"/>
    <w:multiLevelType w:val="multilevel"/>
    <w:tmpl w:val="141CC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0D9C39A7"/>
    <w:multiLevelType w:val="multilevel"/>
    <w:tmpl w:val="0E5C3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0DC272D2"/>
    <w:multiLevelType w:val="hybridMultilevel"/>
    <w:tmpl w:val="4CF83D50"/>
    <w:lvl w:ilvl="0" w:tplc="8FD8F34C">
      <w:start w:val="1"/>
      <w:numFmt w:val="bullet"/>
      <w:lvlText w:val=""/>
      <w:lvlJc w:val="left"/>
      <w:pPr>
        <w:ind w:left="720" w:hanging="360"/>
      </w:pPr>
      <w:rPr>
        <w:rFonts w:ascii="Symbol" w:hAnsi="Symbol" w:hint="default"/>
      </w:rPr>
    </w:lvl>
    <w:lvl w:ilvl="1" w:tplc="2BEC831E">
      <w:start w:val="1"/>
      <w:numFmt w:val="bullet"/>
      <w:lvlText w:val="o"/>
      <w:lvlJc w:val="left"/>
      <w:pPr>
        <w:ind w:left="1440" w:hanging="360"/>
      </w:pPr>
      <w:rPr>
        <w:rFonts w:ascii="Courier New" w:hAnsi="Courier New" w:hint="default"/>
      </w:rPr>
    </w:lvl>
    <w:lvl w:ilvl="2" w:tplc="7DE2B00C">
      <w:start w:val="1"/>
      <w:numFmt w:val="bullet"/>
      <w:lvlText w:val=""/>
      <w:lvlJc w:val="left"/>
      <w:pPr>
        <w:ind w:left="2160" w:hanging="360"/>
      </w:pPr>
      <w:rPr>
        <w:rFonts w:ascii="Wingdings" w:hAnsi="Wingdings" w:hint="default"/>
      </w:rPr>
    </w:lvl>
    <w:lvl w:ilvl="3" w:tplc="47EA6B54">
      <w:start w:val="1"/>
      <w:numFmt w:val="bullet"/>
      <w:lvlText w:val=""/>
      <w:lvlJc w:val="left"/>
      <w:pPr>
        <w:ind w:left="2880" w:hanging="360"/>
      </w:pPr>
      <w:rPr>
        <w:rFonts w:ascii="Symbol" w:hAnsi="Symbol" w:hint="default"/>
      </w:rPr>
    </w:lvl>
    <w:lvl w:ilvl="4" w:tplc="D55851BE">
      <w:start w:val="1"/>
      <w:numFmt w:val="bullet"/>
      <w:lvlText w:val="o"/>
      <w:lvlJc w:val="left"/>
      <w:pPr>
        <w:ind w:left="3600" w:hanging="360"/>
      </w:pPr>
      <w:rPr>
        <w:rFonts w:ascii="Courier New" w:hAnsi="Courier New" w:hint="default"/>
      </w:rPr>
    </w:lvl>
    <w:lvl w:ilvl="5" w:tplc="486A8976">
      <w:start w:val="1"/>
      <w:numFmt w:val="bullet"/>
      <w:lvlText w:val=""/>
      <w:lvlJc w:val="left"/>
      <w:pPr>
        <w:ind w:left="4320" w:hanging="360"/>
      </w:pPr>
      <w:rPr>
        <w:rFonts w:ascii="Wingdings" w:hAnsi="Wingdings" w:hint="default"/>
      </w:rPr>
    </w:lvl>
    <w:lvl w:ilvl="6" w:tplc="DE40C264">
      <w:start w:val="1"/>
      <w:numFmt w:val="bullet"/>
      <w:lvlText w:val=""/>
      <w:lvlJc w:val="left"/>
      <w:pPr>
        <w:ind w:left="5040" w:hanging="360"/>
      </w:pPr>
      <w:rPr>
        <w:rFonts w:ascii="Symbol" w:hAnsi="Symbol" w:hint="default"/>
      </w:rPr>
    </w:lvl>
    <w:lvl w:ilvl="7" w:tplc="271CA34A">
      <w:start w:val="1"/>
      <w:numFmt w:val="bullet"/>
      <w:lvlText w:val="o"/>
      <w:lvlJc w:val="left"/>
      <w:pPr>
        <w:ind w:left="5760" w:hanging="360"/>
      </w:pPr>
      <w:rPr>
        <w:rFonts w:ascii="Courier New" w:hAnsi="Courier New" w:hint="default"/>
      </w:rPr>
    </w:lvl>
    <w:lvl w:ilvl="8" w:tplc="B9883F08">
      <w:start w:val="1"/>
      <w:numFmt w:val="bullet"/>
      <w:lvlText w:val=""/>
      <w:lvlJc w:val="left"/>
      <w:pPr>
        <w:ind w:left="6480" w:hanging="360"/>
      </w:pPr>
      <w:rPr>
        <w:rFonts w:ascii="Wingdings" w:hAnsi="Wingdings" w:hint="default"/>
      </w:rPr>
    </w:lvl>
  </w:abstractNum>
  <w:abstractNum w:abstractNumId="113" w15:restartNumberingAfterBreak="0">
    <w:nsid w:val="0DC89DB9"/>
    <w:multiLevelType w:val="hybridMultilevel"/>
    <w:tmpl w:val="C158D4CE"/>
    <w:lvl w:ilvl="0" w:tplc="7F10F4CC">
      <w:start w:val="1"/>
      <w:numFmt w:val="bullet"/>
      <w:lvlText w:val=""/>
      <w:lvlJc w:val="left"/>
      <w:pPr>
        <w:ind w:left="720" w:hanging="360"/>
      </w:pPr>
      <w:rPr>
        <w:rFonts w:ascii="Symbol" w:hAnsi="Symbol" w:hint="default"/>
      </w:rPr>
    </w:lvl>
    <w:lvl w:ilvl="1" w:tplc="E4424BDE">
      <w:start w:val="1"/>
      <w:numFmt w:val="bullet"/>
      <w:lvlText w:val="o"/>
      <w:lvlJc w:val="left"/>
      <w:pPr>
        <w:ind w:left="1440" w:hanging="360"/>
      </w:pPr>
      <w:rPr>
        <w:rFonts w:ascii="Courier New" w:hAnsi="Courier New" w:hint="default"/>
      </w:rPr>
    </w:lvl>
    <w:lvl w:ilvl="2" w:tplc="0548EB5A">
      <w:start w:val="1"/>
      <w:numFmt w:val="bullet"/>
      <w:lvlText w:val=""/>
      <w:lvlJc w:val="left"/>
      <w:pPr>
        <w:ind w:left="2160" w:hanging="360"/>
      </w:pPr>
      <w:rPr>
        <w:rFonts w:ascii="Wingdings" w:hAnsi="Wingdings" w:hint="default"/>
      </w:rPr>
    </w:lvl>
    <w:lvl w:ilvl="3" w:tplc="8CC61606">
      <w:start w:val="1"/>
      <w:numFmt w:val="bullet"/>
      <w:lvlText w:val=""/>
      <w:lvlJc w:val="left"/>
      <w:pPr>
        <w:ind w:left="2880" w:hanging="360"/>
      </w:pPr>
      <w:rPr>
        <w:rFonts w:ascii="Symbol" w:hAnsi="Symbol" w:hint="default"/>
      </w:rPr>
    </w:lvl>
    <w:lvl w:ilvl="4" w:tplc="6D34027E">
      <w:start w:val="1"/>
      <w:numFmt w:val="bullet"/>
      <w:lvlText w:val="o"/>
      <w:lvlJc w:val="left"/>
      <w:pPr>
        <w:ind w:left="3600" w:hanging="360"/>
      </w:pPr>
      <w:rPr>
        <w:rFonts w:ascii="Courier New" w:hAnsi="Courier New" w:hint="default"/>
      </w:rPr>
    </w:lvl>
    <w:lvl w:ilvl="5" w:tplc="057CD8A2">
      <w:start w:val="1"/>
      <w:numFmt w:val="bullet"/>
      <w:lvlText w:val=""/>
      <w:lvlJc w:val="left"/>
      <w:pPr>
        <w:ind w:left="4320" w:hanging="360"/>
      </w:pPr>
      <w:rPr>
        <w:rFonts w:ascii="Wingdings" w:hAnsi="Wingdings" w:hint="default"/>
      </w:rPr>
    </w:lvl>
    <w:lvl w:ilvl="6" w:tplc="512C823C">
      <w:start w:val="1"/>
      <w:numFmt w:val="bullet"/>
      <w:lvlText w:val=""/>
      <w:lvlJc w:val="left"/>
      <w:pPr>
        <w:ind w:left="5040" w:hanging="360"/>
      </w:pPr>
      <w:rPr>
        <w:rFonts w:ascii="Symbol" w:hAnsi="Symbol" w:hint="default"/>
      </w:rPr>
    </w:lvl>
    <w:lvl w:ilvl="7" w:tplc="CAD860A2">
      <w:start w:val="1"/>
      <w:numFmt w:val="bullet"/>
      <w:lvlText w:val="o"/>
      <w:lvlJc w:val="left"/>
      <w:pPr>
        <w:ind w:left="5760" w:hanging="360"/>
      </w:pPr>
      <w:rPr>
        <w:rFonts w:ascii="Courier New" w:hAnsi="Courier New" w:hint="default"/>
      </w:rPr>
    </w:lvl>
    <w:lvl w:ilvl="8" w:tplc="B7E6AB6A">
      <w:start w:val="1"/>
      <w:numFmt w:val="bullet"/>
      <w:lvlText w:val=""/>
      <w:lvlJc w:val="left"/>
      <w:pPr>
        <w:ind w:left="6480" w:hanging="360"/>
      </w:pPr>
      <w:rPr>
        <w:rFonts w:ascii="Wingdings" w:hAnsi="Wingdings" w:hint="default"/>
      </w:rPr>
    </w:lvl>
  </w:abstractNum>
  <w:abstractNum w:abstractNumId="114" w15:restartNumberingAfterBreak="0">
    <w:nsid w:val="0DEF351A"/>
    <w:multiLevelType w:val="multilevel"/>
    <w:tmpl w:val="E8B02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0E59170C"/>
    <w:multiLevelType w:val="hybridMultilevel"/>
    <w:tmpl w:val="C83C2716"/>
    <w:lvl w:ilvl="0" w:tplc="040C0001">
      <w:start w:val="1"/>
      <w:numFmt w:val="bullet"/>
      <w:lvlText w:val=""/>
      <w:lvlJc w:val="left"/>
      <w:pPr>
        <w:ind w:left="907" w:hanging="360"/>
      </w:pPr>
      <w:rPr>
        <w:rFonts w:ascii="Symbol" w:hAnsi="Symbol" w:hint="default"/>
      </w:rPr>
    </w:lvl>
    <w:lvl w:ilvl="1" w:tplc="040C0003" w:tentative="1">
      <w:start w:val="1"/>
      <w:numFmt w:val="bullet"/>
      <w:lvlText w:val="o"/>
      <w:lvlJc w:val="left"/>
      <w:pPr>
        <w:ind w:left="1627" w:hanging="360"/>
      </w:pPr>
      <w:rPr>
        <w:rFonts w:ascii="Courier New" w:hAnsi="Courier New" w:cs="Courier New" w:hint="default"/>
      </w:rPr>
    </w:lvl>
    <w:lvl w:ilvl="2" w:tplc="040C0005" w:tentative="1">
      <w:start w:val="1"/>
      <w:numFmt w:val="bullet"/>
      <w:lvlText w:val=""/>
      <w:lvlJc w:val="left"/>
      <w:pPr>
        <w:ind w:left="2347" w:hanging="360"/>
      </w:pPr>
      <w:rPr>
        <w:rFonts w:ascii="Wingdings" w:hAnsi="Wingdings" w:hint="default"/>
      </w:rPr>
    </w:lvl>
    <w:lvl w:ilvl="3" w:tplc="040C0001" w:tentative="1">
      <w:start w:val="1"/>
      <w:numFmt w:val="bullet"/>
      <w:lvlText w:val=""/>
      <w:lvlJc w:val="left"/>
      <w:pPr>
        <w:ind w:left="3067" w:hanging="360"/>
      </w:pPr>
      <w:rPr>
        <w:rFonts w:ascii="Symbol" w:hAnsi="Symbol" w:hint="default"/>
      </w:rPr>
    </w:lvl>
    <w:lvl w:ilvl="4" w:tplc="040C0003" w:tentative="1">
      <w:start w:val="1"/>
      <w:numFmt w:val="bullet"/>
      <w:lvlText w:val="o"/>
      <w:lvlJc w:val="left"/>
      <w:pPr>
        <w:ind w:left="3787" w:hanging="360"/>
      </w:pPr>
      <w:rPr>
        <w:rFonts w:ascii="Courier New" w:hAnsi="Courier New" w:cs="Courier New" w:hint="default"/>
      </w:rPr>
    </w:lvl>
    <w:lvl w:ilvl="5" w:tplc="040C0005" w:tentative="1">
      <w:start w:val="1"/>
      <w:numFmt w:val="bullet"/>
      <w:lvlText w:val=""/>
      <w:lvlJc w:val="left"/>
      <w:pPr>
        <w:ind w:left="4507" w:hanging="360"/>
      </w:pPr>
      <w:rPr>
        <w:rFonts w:ascii="Wingdings" w:hAnsi="Wingdings" w:hint="default"/>
      </w:rPr>
    </w:lvl>
    <w:lvl w:ilvl="6" w:tplc="040C0001" w:tentative="1">
      <w:start w:val="1"/>
      <w:numFmt w:val="bullet"/>
      <w:lvlText w:val=""/>
      <w:lvlJc w:val="left"/>
      <w:pPr>
        <w:ind w:left="5227" w:hanging="360"/>
      </w:pPr>
      <w:rPr>
        <w:rFonts w:ascii="Symbol" w:hAnsi="Symbol" w:hint="default"/>
      </w:rPr>
    </w:lvl>
    <w:lvl w:ilvl="7" w:tplc="040C0003" w:tentative="1">
      <w:start w:val="1"/>
      <w:numFmt w:val="bullet"/>
      <w:lvlText w:val="o"/>
      <w:lvlJc w:val="left"/>
      <w:pPr>
        <w:ind w:left="5947" w:hanging="360"/>
      </w:pPr>
      <w:rPr>
        <w:rFonts w:ascii="Courier New" w:hAnsi="Courier New" w:cs="Courier New" w:hint="default"/>
      </w:rPr>
    </w:lvl>
    <w:lvl w:ilvl="8" w:tplc="040C0005" w:tentative="1">
      <w:start w:val="1"/>
      <w:numFmt w:val="bullet"/>
      <w:lvlText w:val=""/>
      <w:lvlJc w:val="left"/>
      <w:pPr>
        <w:ind w:left="6667" w:hanging="360"/>
      </w:pPr>
      <w:rPr>
        <w:rFonts w:ascii="Wingdings" w:hAnsi="Wingdings" w:hint="default"/>
      </w:rPr>
    </w:lvl>
  </w:abstractNum>
  <w:abstractNum w:abstractNumId="116" w15:restartNumberingAfterBreak="0">
    <w:nsid w:val="0E68CE11"/>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117" w15:restartNumberingAfterBreak="0">
    <w:nsid w:val="0E706C5D"/>
    <w:multiLevelType w:val="hybridMultilevel"/>
    <w:tmpl w:val="FFFFFFFF"/>
    <w:lvl w:ilvl="0" w:tplc="62E2DBB2">
      <w:start w:val="1"/>
      <w:numFmt w:val="bullet"/>
      <w:lvlText w:val=""/>
      <w:lvlJc w:val="left"/>
      <w:pPr>
        <w:ind w:left="547" w:hanging="360"/>
      </w:pPr>
      <w:rPr>
        <w:rFonts w:ascii="Symbol" w:hAnsi="Symbol" w:hint="default"/>
      </w:rPr>
    </w:lvl>
    <w:lvl w:ilvl="1" w:tplc="BD3A122C">
      <w:start w:val="1"/>
      <w:numFmt w:val="bullet"/>
      <w:lvlText w:val="o"/>
      <w:lvlJc w:val="left"/>
      <w:pPr>
        <w:ind w:left="1267" w:hanging="360"/>
      </w:pPr>
      <w:rPr>
        <w:rFonts w:ascii="Courier New" w:hAnsi="Courier New" w:hint="default"/>
      </w:rPr>
    </w:lvl>
    <w:lvl w:ilvl="2" w:tplc="657CB5A2">
      <w:start w:val="1"/>
      <w:numFmt w:val="bullet"/>
      <w:lvlText w:val=""/>
      <w:lvlJc w:val="left"/>
      <w:pPr>
        <w:ind w:left="1987" w:hanging="360"/>
      </w:pPr>
      <w:rPr>
        <w:rFonts w:ascii="Wingdings" w:hAnsi="Wingdings" w:hint="default"/>
      </w:rPr>
    </w:lvl>
    <w:lvl w:ilvl="3" w:tplc="80221B36">
      <w:start w:val="1"/>
      <w:numFmt w:val="bullet"/>
      <w:lvlText w:val=""/>
      <w:lvlJc w:val="left"/>
      <w:pPr>
        <w:ind w:left="2707" w:hanging="360"/>
      </w:pPr>
      <w:rPr>
        <w:rFonts w:ascii="Symbol" w:hAnsi="Symbol" w:hint="default"/>
      </w:rPr>
    </w:lvl>
    <w:lvl w:ilvl="4" w:tplc="37F0560E">
      <w:start w:val="1"/>
      <w:numFmt w:val="bullet"/>
      <w:lvlText w:val="o"/>
      <w:lvlJc w:val="left"/>
      <w:pPr>
        <w:ind w:left="3427" w:hanging="360"/>
      </w:pPr>
      <w:rPr>
        <w:rFonts w:ascii="Courier New" w:hAnsi="Courier New" w:hint="default"/>
      </w:rPr>
    </w:lvl>
    <w:lvl w:ilvl="5" w:tplc="A7504926">
      <w:start w:val="1"/>
      <w:numFmt w:val="bullet"/>
      <w:lvlText w:val=""/>
      <w:lvlJc w:val="left"/>
      <w:pPr>
        <w:ind w:left="4147" w:hanging="360"/>
      </w:pPr>
      <w:rPr>
        <w:rFonts w:ascii="Wingdings" w:hAnsi="Wingdings" w:hint="default"/>
      </w:rPr>
    </w:lvl>
    <w:lvl w:ilvl="6" w:tplc="87F8C91A">
      <w:start w:val="1"/>
      <w:numFmt w:val="bullet"/>
      <w:lvlText w:val=""/>
      <w:lvlJc w:val="left"/>
      <w:pPr>
        <w:ind w:left="4867" w:hanging="360"/>
      </w:pPr>
      <w:rPr>
        <w:rFonts w:ascii="Symbol" w:hAnsi="Symbol" w:hint="default"/>
      </w:rPr>
    </w:lvl>
    <w:lvl w:ilvl="7" w:tplc="828EECF4">
      <w:start w:val="1"/>
      <w:numFmt w:val="bullet"/>
      <w:lvlText w:val="o"/>
      <w:lvlJc w:val="left"/>
      <w:pPr>
        <w:ind w:left="5587" w:hanging="360"/>
      </w:pPr>
      <w:rPr>
        <w:rFonts w:ascii="Courier New" w:hAnsi="Courier New" w:hint="default"/>
      </w:rPr>
    </w:lvl>
    <w:lvl w:ilvl="8" w:tplc="DD22F6D4">
      <w:start w:val="1"/>
      <w:numFmt w:val="bullet"/>
      <w:lvlText w:val=""/>
      <w:lvlJc w:val="left"/>
      <w:pPr>
        <w:ind w:left="6307" w:hanging="360"/>
      </w:pPr>
      <w:rPr>
        <w:rFonts w:ascii="Wingdings" w:hAnsi="Wingdings" w:hint="default"/>
      </w:rPr>
    </w:lvl>
  </w:abstractNum>
  <w:abstractNum w:abstractNumId="118" w15:restartNumberingAfterBreak="0">
    <w:nsid w:val="0E742F03"/>
    <w:multiLevelType w:val="multilevel"/>
    <w:tmpl w:val="A1608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0EAC0CF8"/>
    <w:multiLevelType w:val="hybridMultilevel"/>
    <w:tmpl w:val="4D6A343A"/>
    <w:lvl w:ilvl="0" w:tplc="040C0001">
      <w:start w:val="1"/>
      <w:numFmt w:val="bullet"/>
      <w:lvlText w:val=""/>
      <w:lvlJc w:val="left"/>
      <w:pPr>
        <w:ind w:left="907" w:hanging="360"/>
      </w:pPr>
      <w:rPr>
        <w:rFonts w:ascii="Symbol" w:hAnsi="Symbol" w:hint="default"/>
      </w:rPr>
    </w:lvl>
    <w:lvl w:ilvl="1" w:tplc="040C0003" w:tentative="1">
      <w:start w:val="1"/>
      <w:numFmt w:val="bullet"/>
      <w:lvlText w:val="o"/>
      <w:lvlJc w:val="left"/>
      <w:pPr>
        <w:ind w:left="1627" w:hanging="360"/>
      </w:pPr>
      <w:rPr>
        <w:rFonts w:ascii="Courier New" w:hAnsi="Courier New" w:cs="Courier New" w:hint="default"/>
      </w:rPr>
    </w:lvl>
    <w:lvl w:ilvl="2" w:tplc="040C0005" w:tentative="1">
      <w:start w:val="1"/>
      <w:numFmt w:val="bullet"/>
      <w:lvlText w:val=""/>
      <w:lvlJc w:val="left"/>
      <w:pPr>
        <w:ind w:left="2347" w:hanging="360"/>
      </w:pPr>
      <w:rPr>
        <w:rFonts w:ascii="Wingdings" w:hAnsi="Wingdings" w:hint="default"/>
      </w:rPr>
    </w:lvl>
    <w:lvl w:ilvl="3" w:tplc="040C0001" w:tentative="1">
      <w:start w:val="1"/>
      <w:numFmt w:val="bullet"/>
      <w:lvlText w:val=""/>
      <w:lvlJc w:val="left"/>
      <w:pPr>
        <w:ind w:left="3067" w:hanging="360"/>
      </w:pPr>
      <w:rPr>
        <w:rFonts w:ascii="Symbol" w:hAnsi="Symbol" w:hint="default"/>
      </w:rPr>
    </w:lvl>
    <w:lvl w:ilvl="4" w:tplc="040C0003" w:tentative="1">
      <w:start w:val="1"/>
      <w:numFmt w:val="bullet"/>
      <w:lvlText w:val="o"/>
      <w:lvlJc w:val="left"/>
      <w:pPr>
        <w:ind w:left="3787" w:hanging="360"/>
      </w:pPr>
      <w:rPr>
        <w:rFonts w:ascii="Courier New" w:hAnsi="Courier New" w:cs="Courier New" w:hint="default"/>
      </w:rPr>
    </w:lvl>
    <w:lvl w:ilvl="5" w:tplc="040C0005" w:tentative="1">
      <w:start w:val="1"/>
      <w:numFmt w:val="bullet"/>
      <w:lvlText w:val=""/>
      <w:lvlJc w:val="left"/>
      <w:pPr>
        <w:ind w:left="4507" w:hanging="360"/>
      </w:pPr>
      <w:rPr>
        <w:rFonts w:ascii="Wingdings" w:hAnsi="Wingdings" w:hint="default"/>
      </w:rPr>
    </w:lvl>
    <w:lvl w:ilvl="6" w:tplc="040C0001" w:tentative="1">
      <w:start w:val="1"/>
      <w:numFmt w:val="bullet"/>
      <w:lvlText w:val=""/>
      <w:lvlJc w:val="left"/>
      <w:pPr>
        <w:ind w:left="5227" w:hanging="360"/>
      </w:pPr>
      <w:rPr>
        <w:rFonts w:ascii="Symbol" w:hAnsi="Symbol" w:hint="default"/>
      </w:rPr>
    </w:lvl>
    <w:lvl w:ilvl="7" w:tplc="040C0003" w:tentative="1">
      <w:start w:val="1"/>
      <w:numFmt w:val="bullet"/>
      <w:lvlText w:val="o"/>
      <w:lvlJc w:val="left"/>
      <w:pPr>
        <w:ind w:left="5947" w:hanging="360"/>
      </w:pPr>
      <w:rPr>
        <w:rFonts w:ascii="Courier New" w:hAnsi="Courier New" w:cs="Courier New" w:hint="default"/>
      </w:rPr>
    </w:lvl>
    <w:lvl w:ilvl="8" w:tplc="040C0005" w:tentative="1">
      <w:start w:val="1"/>
      <w:numFmt w:val="bullet"/>
      <w:lvlText w:val=""/>
      <w:lvlJc w:val="left"/>
      <w:pPr>
        <w:ind w:left="6667" w:hanging="360"/>
      </w:pPr>
      <w:rPr>
        <w:rFonts w:ascii="Wingdings" w:hAnsi="Wingdings" w:hint="default"/>
      </w:rPr>
    </w:lvl>
  </w:abstractNum>
  <w:abstractNum w:abstractNumId="120" w15:restartNumberingAfterBreak="0">
    <w:nsid w:val="0ED45C6A"/>
    <w:multiLevelType w:val="hybridMultilevel"/>
    <w:tmpl w:val="6EF2CD52"/>
    <w:lvl w:ilvl="0" w:tplc="4D40FF56">
      <w:start w:val="1"/>
      <w:numFmt w:val="bullet"/>
      <w:lvlText w:val=""/>
      <w:lvlJc w:val="left"/>
      <w:pPr>
        <w:ind w:left="720" w:hanging="360"/>
      </w:pPr>
      <w:rPr>
        <w:rFonts w:ascii="Symbol" w:hAnsi="Symbol" w:hint="default"/>
      </w:rPr>
    </w:lvl>
    <w:lvl w:ilvl="1" w:tplc="452AB8BA">
      <w:start w:val="1"/>
      <w:numFmt w:val="bullet"/>
      <w:lvlText w:val="o"/>
      <w:lvlJc w:val="left"/>
      <w:pPr>
        <w:ind w:left="1440" w:hanging="360"/>
      </w:pPr>
      <w:rPr>
        <w:rFonts w:ascii="Courier New" w:hAnsi="Courier New" w:hint="default"/>
      </w:rPr>
    </w:lvl>
    <w:lvl w:ilvl="2" w:tplc="32427A50">
      <w:start w:val="1"/>
      <w:numFmt w:val="bullet"/>
      <w:lvlText w:val=""/>
      <w:lvlJc w:val="left"/>
      <w:pPr>
        <w:ind w:left="2160" w:hanging="360"/>
      </w:pPr>
      <w:rPr>
        <w:rFonts w:ascii="Wingdings" w:hAnsi="Wingdings" w:hint="default"/>
      </w:rPr>
    </w:lvl>
    <w:lvl w:ilvl="3" w:tplc="ABE4FD22">
      <w:start w:val="1"/>
      <w:numFmt w:val="bullet"/>
      <w:lvlText w:val=""/>
      <w:lvlJc w:val="left"/>
      <w:pPr>
        <w:ind w:left="2880" w:hanging="360"/>
      </w:pPr>
      <w:rPr>
        <w:rFonts w:ascii="Symbol" w:hAnsi="Symbol" w:hint="default"/>
      </w:rPr>
    </w:lvl>
    <w:lvl w:ilvl="4" w:tplc="A3D0DBBA">
      <w:start w:val="1"/>
      <w:numFmt w:val="bullet"/>
      <w:lvlText w:val="o"/>
      <w:lvlJc w:val="left"/>
      <w:pPr>
        <w:ind w:left="3600" w:hanging="360"/>
      </w:pPr>
      <w:rPr>
        <w:rFonts w:ascii="Courier New" w:hAnsi="Courier New" w:hint="default"/>
      </w:rPr>
    </w:lvl>
    <w:lvl w:ilvl="5" w:tplc="252694A8">
      <w:start w:val="1"/>
      <w:numFmt w:val="bullet"/>
      <w:lvlText w:val=""/>
      <w:lvlJc w:val="left"/>
      <w:pPr>
        <w:ind w:left="4320" w:hanging="360"/>
      </w:pPr>
      <w:rPr>
        <w:rFonts w:ascii="Wingdings" w:hAnsi="Wingdings" w:hint="default"/>
      </w:rPr>
    </w:lvl>
    <w:lvl w:ilvl="6" w:tplc="6C464764">
      <w:start w:val="1"/>
      <w:numFmt w:val="bullet"/>
      <w:lvlText w:val=""/>
      <w:lvlJc w:val="left"/>
      <w:pPr>
        <w:ind w:left="5040" w:hanging="360"/>
      </w:pPr>
      <w:rPr>
        <w:rFonts w:ascii="Symbol" w:hAnsi="Symbol" w:hint="default"/>
      </w:rPr>
    </w:lvl>
    <w:lvl w:ilvl="7" w:tplc="335841F8">
      <w:start w:val="1"/>
      <w:numFmt w:val="bullet"/>
      <w:lvlText w:val="o"/>
      <w:lvlJc w:val="left"/>
      <w:pPr>
        <w:ind w:left="5760" w:hanging="360"/>
      </w:pPr>
      <w:rPr>
        <w:rFonts w:ascii="Courier New" w:hAnsi="Courier New" w:hint="default"/>
      </w:rPr>
    </w:lvl>
    <w:lvl w:ilvl="8" w:tplc="225A2A66">
      <w:start w:val="1"/>
      <w:numFmt w:val="bullet"/>
      <w:lvlText w:val=""/>
      <w:lvlJc w:val="left"/>
      <w:pPr>
        <w:ind w:left="6480" w:hanging="360"/>
      </w:pPr>
      <w:rPr>
        <w:rFonts w:ascii="Wingdings" w:hAnsi="Wingdings" w:hint="default"/>
      </w:rPr>
    </w:lvl>
  </w:abstractNum>
  <w:abstractNum w:abstractNumId="121" w15:restartNumberingAfterBreak="0">
    <w:nsid w:val="0EF3438E"/>
    <w:multiLevelType w:val="multilevel"/>
    <w:tmpl w:val="AEEAED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2" w15:restartNumberingAfterBreak="0">
    <w:nsid w:val="0F1F3DD8"/>
    <w:multiLevelType w:val="multilevel"/>
    <w:tmpl w:val="6A7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0F2E10F0"/>
    <w:multiLevelType w:val="hybridMultilevel"/>
    <w:tmpl w:val="E5FEF66A"/>
    <w:lvl w:ilvl="0" w:tplc="FF2CBE40">
      <w:start w:val="1"/>
      <w:numFmt w:val="bullet"/>
      <w:lvlText w:val=""/>
      <w:lvlJc w:val="left"/>
      <w:pPr>
        <w:ind w:left="720" w:hanging="360"/>
      </w:pPr>
      <w:rPr>
        <w:rFonts w:ascii="Symbol" w:hAnsi="Symbol" w:hint="default"/>
      </w:rPr>
    </w:lvl>
    <w:lvl w:ilvl="1" w:tplc="44D2A7CE">
      <w:start w:val="1"/>
      <w:numFmt w:val="bullet"/>
      <w:lvlText w:val="o"/>
      <w:lvlJc w:val="left"/>
      <w:pPr>
        <w:ind w:left="1440" w:hanging="360"/>
      </w:pPr>
      <w:rPr>
        <w:rFonts w:ascii="Courier New" w:hAnsi="Courier New" w:hint="default"/>
      </w:rPr>
    </w:lvl>
    <w:lvl w:ilvl="2" w:tplc="F5462CF2">
      <w:start w:val="1"/>
      <w:numFmt w:val="bullet"/>
      <w:lvlText w:val=""/>
      <w:lvlJc w:val="left"/>
      <w:pPr>
        <w:ind w:left="2160" w:hanging="360"/>
      </w:pPr>
      <w:rPr>
        <w:rFonts w:ascii="Wingdings" w:hAnsi="Wingdings" w:hint="default"/>
      </w:rPr>
    </w:lvl>
    <w:lvl w:ilvl="3" w:tplc="8BCECC14">
      <w:start w:val="1"/>
      <w:numFmt w:val="bullet"/>
      <w:lvlText w:val=""/>
      <w:lvlJc w:val="left"/>
      <w:pPr>
        <w:ind w:left="2880" w:hanging="360"/>
      </w:pPr>
      <w:rPr>
        <w:rFonts w:ascii="Symbol" w:hAnsi="Symbol" w:hint="default"/>
      </w:rPr>
    </w:lvl>
    <w:lvl w:ilvl="4" w:tplc="A1D60BD4">
      <w:start w:val="1"/>
      <w:numFmt w:val="bullet"/>
      <w:lvlText w:val="o"/>
      <w:lvlJc w:val="left"/>
      <w:pPr>
        <w:ind w:left="3600" w:hanging="360"/>
      </w:pPr>
      <w:rPr>
        <w:rFonts w:ascii="Courier New" w:hAnsi="Courier New" w:hint="default"/>
      </w:rPr>
    </w:lvl>
    <w:lvl w:ilvl="5" w:tplc="21922402">
      <w:start w:val="1"/>
      <w:numFmt w:val="bullet"/>
      <w:lvlText w:val=""/>
      <w:lvlJc w:val="left"/>
      <w:pPr>
        <w:ind w:left="4320" w:hanging="360"/>
      </w:pPr>
      <w:rPr>
        <w:rFonts w:ascii="Wingdings" w:hAnsi="Wingdings" w:hint="default"/>
      </w:rPr>
    </w:lvl>
    <w:lvl w:ilvl="6" w:tplc="E1F86DD2">
      <w:start w:val="1"/>
      <w:numFmt w:val="bullet"/>
      <w:lvlText w:val=""/>
      <w:lvlJc w:val="left"/>
      <w:pPr>
        <w:ind w:left="5040" w:hanging="360"/>
      </w:pPr>
      <w:rPr>
        <w:rFonts w:ascii="Symbol" w:hAnsi="Symbol" w:hint="default"/>
      </w:rPr>
    </w:lvl>
    <w:lvl w:ilvl="7" w:tplc="8E70EA8C">
      <w:start w:val="1"/>
      <w:numFmt w:val="bullet"/>
      <w:lvlText w:val="o"/>
      <w:lvlJc w:val="left"/>
      <w:pPr>
        <w:ind w:left="5760" w:hanging="360"/>
      </w:pPr>
      <w:rPr>
        <w:rFonts w:ascii="Courier New" w:hAnsi="Courier New" w:hint="default"/>
      </w:rPr>
    </w:lvl>
    <w:lvl w:ilvl="8" w:tplc="7E5035F0">
      <w:start w:val="1"/>
      <w:numFmt w:val="bullet"/>
      <w:lvlText w:val=""/>
      <w:lvlJc w:val="left"/>
      <w:pPr>
        <w:ind w:left="6480" w:hanging="360"/>
      </w:pPr>
      <w:rPr>
        <w:rFonts w:ascii="Wingdings" w:hAnsi="Wingdings" w:hint="default"/>
      </w:rPr>
    </w:lvl>
  </w:abstractNum>
  <w:abstractNum w:abstractNumId="124" w15:restartNumberingAfterBreak="0">
    <w:nsid w:val="0F304437"/>
    <w:multiLevelType w:val="multilevel"/>
    <w:tmpl w:val="6F2C6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0F317DCD"/>
    <w:multiLevelType w:val="multilevel"/>
    <w:tmpl w:val="01FC79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0F5D5B54"/>
    <w:multiLevelType w:val="hybridMultilevel"/>
    <w:tmpl w:val="61D0FC64"/>
    <w:lvl w:ilvl="0" w:tplc="1038A486">
      <w:start w:val="1"/>
      <w:numFmt w:val="bullet"/>
      <w:lvlText w:val=""/>
      <w:lvlJc w:val="left"/>
      <w:pPr>
        <w:ind w:left="720" w:hanging="360"/>
      </w:pPr>
      <w:rPr>
        <w:rFonts w:ascii="Symbol" w:hAnsi="Symbol" w:hint="default"/>
      </w:rPr>
    </w:lvl>
    <w:lvl w:ilvl="1" w:tplc="3DA0A092">
      <w:start w:val="1"/>
      <w:numFmt w:val="bullet"/>
      <w:lvlText w:val="o"/>
      <w:lvlJc w:val="left"/>
      <w:pPr>
        <w:ind w:left="1440" w:hanging="360"/>
      </w:pPr>
      <w:rPr>
        <w:rFonts w:ascii="Courier New" w:hAnsi="Courier New" w:hint="default"/>
      </w:rPr>
    </w:lvl>
    <w:lvl w:ilvl="2" w:tplc="AE06BD9E">
      <w:start w:val="1"/>
      <w:numFmt w:val="bullet"/>
      <w:lvlText w:val=""/>
      <w:lvlJc w:val="left"/>
      <w:pPr>
        <w:ind w:left="2160" w:hanging="360"/>
      </w:pPr>
      <w:rPr>
        <w:rFonts w:ascii="Wingdings" w:hAnsi="Wingdings" w:hint="default"/>
      </w:rPr>
    </w:lvl>
    <w:lvl w:ilvl="3" w:tplc="0770A84A">
      <w:start w:val="1"/>
      <w:numFmt w:val="bullet"/>
      <w:lvlText w:val=""/>
      <w:lvlJc w:val="left"/>
      <w:pPr>
        <w:ind w:left="2880" w:hanging="360"/>
      </w:pPr>
      <w:rPr>
        <w:rFonts w:ascii="Symbol" w:hAnsi="Symbol" w:hint="default"/>
      </w:rPr>
    </w:lvl>
    <w:lvl w:ilvl="4" w:tplc="B7E66A04">
      <w:start w:val="1"/>
      <w:numFmt w:val="bullet"/>
      <w:lvlText w:val="o"/>
      <w:lvlJc w:val="left"/>
      <w:pPr>
        <w:ind w:left="3600" w:hanging="360"/>
      </w:pPr>
      <w:rPr>
        <w:rFonts w:ascii="Courier New" w:hAnsi="Courier New" w:hint="default"/>
      </w:rPr>
    </w:lvl>
    <w:lvl w:ilvl="5" w:tplc="868C3E62">
      <w:start w:val="1"/>
      <w:numFmt w:val="bullet"/>
      <w:lvlText w:val=""/>
      <w:lvlJc w:val="left"/>
      <w:pPr>
        <w:ind w:left="4320" w:hanging="360"/>
      </w:pPr>
      <w:rPr>
        <w:rFonts w:ascii="Wingdings" w:hAnsi="Wingdings" w:hint="default"/>
      </w:rPr>
    </w:lvl>
    <w:lvl w:ilvl="6" w:tplc="C512F036">
      <w:start w:val="1"/>
      <w:numFmt w:val="bullet"/>
      <w:lvlText w:val=""/>
      <w:lvlJc w:val="left"/>
      <w:pPr>
        <w:ind w:left="5040" w:hanging="360"/>
      </w:pPr>
      <w:rPr>
        <w:rFonts w:ascii="Symbol" w:hAnsi="Symbol" w:hint="default"/>
      </w:rPr>
    </w:lvl>
    <w:lvl w:ilvl="7" w:tplc="D6B694BC">
      <w:start w:val="1"/>
      <w:numFmt w:val="bullet"/>
      <w:lvlText w:val="o"/>
      <w:lvlJc w:val="left"/>
      <w:pPr>
        <w:ind w:left="5760" w:hanging="360"/>
      </w:pPr>
      <w:rPr>
        <w:rFonts w:ascii="Courier New" w:hAnsi="Courier New" w:hint="default"/>
      </w:rPr>
    </w:lvl>
    <w:lvl w:ilvl="8" w:tplc="90FEFCAA">
      <w:start w:val="1"/>
      <w:numFmt w:val="bullet"/>
      <w:lvlText w:val=""/>
      <w:lvlJc w:val="left"/>
      <w:pPr>
        <w:ind w:left="6480" w:hanging="360"/>
      </w:pPr>
      <w:rPr>
        <w:rFonts w:ascii="Wingdings" w:hAnsi="Wingdings" w:hint="default"/>
      </w:rPr>
    </w:lvl>
  </w:abstractNum>
  <w:abstractNum w:abstractNumId="127" w15:restartNumberingAfterBreak="0">
    <w:nsid w:val="0F888904"/>
    <w:multiLevelType w:val="hybridMultilevel"/>
    <w:tmpl w:val="7B66998E"/>
    <w:lvl w:ilvl="0" w:tplc="7F462FB6">
      <w:start w:val="1"/>
      <w:numFmt w:val="bullet"/>
      <w:lvlText w:val="o"/>
      <w:lvlJc w:val="left"/>
      <w:pPr>
        <w:ind w:left="1080" w:hanging="360"/>
      </w:pPr>
      <w:rPr>
        <w:rFonts w:ascii="Courier New" w:hAnsi="Courier New" w:hint="default"/>
      </w:rPr>
    </w:lvl>
    <w:lvl w:ilvl="1" w:tplc="D22C5AD6">
      <w:start w:val="1"/>
      <w:numFmt w:val="bullet"/>
      <w:lvlText w:val="o"/>
      <w:lvlJc w:val="left"/>
      <w:pPr>
        <w:ind w:left="1800" w:hanging="360"/>
      </w:pPr>
      <w:rPr>
        <w:rFonts w:ascii="Courier New" w:hAnsi="Courier New" w:hint="default"/>
      </w:rPr>
    </w:lvl>
    <w:lvl w:ilvl="2" w:tplc="4336E2BA">
      <w:start w:val="1"/>
      <w:numFmt w:val="bullet"/>
      <w:lvlText w:val=""/>
      <w:lvlJc w:val="left"/>
      <w:pPr>
        <w:ind w:left="2520" w:hanging="360"/>
      </w:pPr>
      <w:rPr>
        <w:rFonts w:ascii="Wingdings" w:hAnsi="Wingdings" w:hint="default"/>
      </w:rPr>
    </w:lvl>
    <w:lvl w:ilvl="3" w:tplc="B786059A">
      <w:start w:val="1"/>
      <w:numFmt w:val="bullet"/>
      <w:lvlText w:val=""/>
      <w:lvlJc w:val="left"/>
      <w:pPr>
        <w:ind w:left="3240" w:hanging="360"/>
      </w:pPr>
      <w:rPr>
        <w:rFonts w:ascii="Symbol" w:hAnsi="Symbol" w:hint="default"/>
      </w:rPr>
    </w:lvl>
    <w:lvl w:ilvl="4" w:tplc="656E8C02">
      <w:start w:val="1"/>
      <w:numFmt w:val="bullet"/>
      <w:lvlText w:val="o"/>
      <w:lvlJc w:val="left"/>
      <w:pPr>
        <w:ind w:left="3960" w:hanging="360"/>
      </w:pPr>
      <w:rPr>
        <w:rFonts w:ascii="Courier New" w:hAnsi="Courier New" w:hint="default"/>
      </w:rPr>
    </w:lvl>
    <w:lvl w:ilvl="5" w:tplc="C7908136">
      <w:start w:val="1"/>
      <w:numFmt w:val="bullet"/>
      <w:lvlText w:val=""/>
      <w:lvlJc w:val="left"/>
      <w:pPr>
        <w:ind w:left="4680" w:hanging="360"/>
      </w:pPr>
      <w:rPr>
        <w:rFonts w:ascii="Wingdings" w:hAnsi="Wingdings" w:hint="default"/>
      </w:rPr>
    </w:lvl>
    <w:lvl w:ilvl="6" w:tplc="63D8D218">
      <w:start w:val="1"/>
      <w:numFmt w:val="bullet"/>
      <w:lvlText w:val=""/>
      <w:lvlJc w:val="left"/>
      <w:pPr>
        <w:ind w:left="5400" w:hanging="360"/>
      </w:pPr>
      <w:rPr>
        <w:rFonts w:ascii="Symbol" w:hAnsi="Symbol" w:hint="default"/>
      </w:rPr>
    </w:lvl>
    <w:lvl w:ilvl="7" w:tplc="8F9E23A8">
      <w:start w:val="1"/>
      <w:numFmt w:val="bullet"/>
      <w:lvlText w:val="o"/>
      <w:lvlJc w:val="left"/>
      <w:pPr>
        <w:ind w:left="6120" w:hanging="360"/>
      </w:pPr>
      <w:rPr>
        <w:rFonts w:ascii="Courier New" w:hAnsi="Courier New" w:hint="default"/>
      </w:rPr>
    </w:lvl>
    <w:lvl w:ilvl="8" w:tplc="250EFE80">
      <w:start w:val="1"/>
      <w:numFmt w:val="bullet"/>
      <w:lvlText w:val=""/>
      <w:lvlJc w:val="left"/>
      <w:pPr>
        <w:ind w:left="6840" w:hanging="360"/>
      </w:pPr>
      <w:rPr>
        <w:rFonts w:ascii="Wingdings" w:hAnsi="Wingdings" w:hint="default"/>
      </w:rPr>
    </w:lvl>
  </w:abstractNum>
  <w:abstractNum w:abstractNumId="128" w15:restartNumberingAfterBreak="0">
    <w:nsid w:val="0F9B6F8C"/>
    <w:multiLevelType w:val="multilevel"/>
    <w:tmpl w:val="33803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0FA02CD1"/>
    <w:multiLevelType w:val="multilevel"/>
    <w:tmpl w:val="F2F0A0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0FCB0909"/>
    <w:multiLevelType w:val="hybridMultilevel"/>
    <w:tmpl w:val="95CA0944"/>
    <w:lvl w:ilvl="0" w:tplc="CF8E1DFE">
      <w:start w:val="1"/>
      <w:numFmt w:val="bullet"/>
      <w:lvlText w:val=""/>
      <w:lvlJc w:val="left"/>
      <w:pPr>
        <w:ind w:left="720" w:hanging="360"/>
      </w:pPr>
      <w:rPr>
        <w:rFonts w:ascii="Symbol" w:hAnsi="Symbol" w:hint="default"/>
      </w:rPr>
    </w:lvl>
    <w:lvl w:ilvl="1" w:tplc="F5AEBB84">
      <w:start w:val="1"/>
      <w:numFmt w:val="bullet"/>
      <w:lvlText w:val="o"/>
      <w:lvlJc w:val="left"/>
      <w:pPr>
        <w:ind w:left="1440" w:hanging="360"/>
      </w:pPr>
      <w:rPr>
        <w:rFonts w:ascii="Courier New" w:hAnsi="Courier New" w:hint="default"/>
      </w:rPr>
    </w:lvl>
    <w:lvl w:ilvl="2" w:tplc="2774E9C0">
      <w:start w:val="1"/>
      <w:numFmt w:val="bullet"/>
      <w:lvlText w:val=""/>
      <w:lvlJc w:val="left"/>
      <w:pPr>
        <w:ind w:left="2160" w:hanging="360"/>
      </w:pPr>
      <w:rPr>
        <w:rFonts w:ascii="Wingdings" w:hAnsi="Wingdings" w:hint="default"/>
      </w:rPr>
    </w:lvl>
    <w:lvl w:ilvl="3" w:tplc="E850D72A">
      <w:start w:val="1"/>
      <w:numFmt w:val="bullet"/>
      <w:lvlText w:val=""/>
      <w:lvlJc w:val="left"/>
      <w:pPr>
        <w:ind w:left="2880" w:hanging="360"/>
      </w:pPr>
      <w:rPr>
        <w:rFonts w:ascii="Symbol" w:hAnsi="Symbol" w:hint="default"/>
      </w:rPr>
    </w:lvl>
    <w:lvl w:ilvl="4" w:tplc="1834F302">
      <w:start w:val="1"/>
      <w:numFmt w:val="bullet"/>
      <w:lvlText w:val="o"/>
      <w:lvlJc w:val="left"/>
      <w:pPr>
        <w:ind w:left="3600" w:hanging="360"/>
      </w:pPr>
      <w:rPr>
        <w:rFonts w:ascii="Courier New" w:hAnsi="Courier New" w:hint="default"/>
      </w:rPr>
    </w:lvl>
    <w:lvl w:ilvl="5" w:tplc="430EEACE">
      <w:start w:val="1"/>
      <w:numFmt w:val="bullet"/>
      <w:lvlText w:val=""/>
      <w:lvlJc w:val="left"/>
      <w:pPr>
        <w:ind w:left="4320" w:hanging="360"/>
      </w:pPr>
      <w:rPr>
        <w:rFonts w:ascii="Wingdings" w:hAnsi="Wingdings" w:hint="default"/>
      </w:rPr>
    </w:lvl>
    <w:lvl w:ilvl="6" w:tplc="976CA47E">
      <w:start w:val="1"/>
      <w:numFmt w:val="bullet"/>
      <w:lvlText w:val=""/>
      <w:lvlJc w:val="left"/>
      <w:pPr>
        <w:ind w:left="5040" w:hanging="360"/>
      </w:pPr>
      <w:rPr>
        <w:rFonts w:ascii="Symbol" w:hAnsi="Symbol" w:hint="default"/>
      </w:rPr>
    </w:lvl>
    <w:lvl w:ilvl="7" w:tplc="0D06087C">
      <w:start w:val="1"/>
      <w:numFmt w:val="bullet"/>
      <w:lvlText w:val="o"/>
      <w:lvlJc w:val="left"/>
      <w:pPr>
        <w:ind w:left="5760" w:hanging="360"/>
      </w:pPr>
      <w:rPr>
        <w:rFonts w:ascii="Courier New" w:hAnsi="Courier New" w:hint="default"/>
      </w:rPr>
    </w:lvl>
    <w:lvl w:ilvl="8" w:tplc="F3244212">
      <w:start w:val="1"/>
      <w:numFmt w:val="bullet"/>
      <w:lvlText w:val=""/>
      <w:lvlJc w:val="left"/>
      <w:pPr>
        <w:ind w:left="6480" w:hanging="360"/>
      </w:pPr>
      <w:rPr>
        <w:rFonts w:ascii="Wingdings" w:hAnsi="Wingdings" w:hint="default"/>
      </w:rPr>
    </w:lvl>
  </w:abstractNum>
  <w:abstractNum w:abstractNumId="131" w15:restartNumberingAfterBreak="0">
    <w:nsid w:val="0FE49ABB"/>
    <w:multiLevelType w:val="hybridMultilevel"/>
    <w:tmpl w:val="D2F4552A"/>
    <w:lvl w:ilvl="0" w:tplc="ADFC0DB0">
      <w:start w:val="1"/>
      <w:numFmt w:val="bullet"/>
      <w:lvlText w:val=""/>
      <w:lvlJc w:val="left"/>
      <w:pPr>
        <w:ind w:left="720" w:hanging="360"/>
      </w:pPr>
      <w:rPr>
        <w:rFonts w:ascii="Symbol" w:hAnsi="Symbol" w:hint="default"/>
      </w:rPr>
    </w:lvl>
    <w:lvl w:ilvl="1" w:tplc="94167332">
      <w:start w:val="1"/>
      <w:numFmt w:val="bullet"/>
      <w:lvlText w:val="o"/>
      <w:lvlJc w:val="left"/>
      <w:pPr>
        <w:ind w:left="1440" w:hanging="360"/>
      </w:pPr>
      <w:rPr>
        <w:rFonts w:ascii="Courier New" w:hAnsi="Courier New" w:hint="default"/>
      </w:rPr>
    </w:lvl>
    <w:lvl w:ilvl="2" w:tplc="DB48D4D4">
      <w:start w:val="1"/>
      <w:numFmt w:val="bullet"/>
      <w:lvlText w:val=""/>
      <w:lvlJc w:val="left"/>
      <w:pPr>
        <w:ind w:left="2160" w:hanging="360"/>
      </w:pPr>
      <w:rPr>
        <w:rFonts w:ascii="Wingdings" w:hAnsi="Wingdings" w:hint="default"/>
      </w:rPr>
    </w:lvl>
    <w:lvl w:ilvl="3" w:tplc="6406A840">
      <w:start w:val="1"/>
      <w:numFmt w:val="bullet"/>
      <w:lvlText w:val=""/>
      <w:lvlJc w:val="left"/>
      <w:pPr>
        <w:ind w:left="2880" w:hanging="360"/>
      </w:pPr>
      <w:rPr>
        <w:rFonts w:ascii="Symbol" w:hAnsi="Symbol" w:hint="default"/>
      </w:rPr>
    </w:lvl>
    <w:lvl w:ilvl="4" w:tplc="1A44E4DA">
      <w:start w:val="1"/>
      <w:numFmt w:val="bullet"/>
      <w:lvlText w:val="o"/>
      <w:lvlJc w:val="left"/>
      <w:pPr>
        <w:ind w:left="3600" w:hanging="360"/>
      </w:pPr>
      <w:rPr>
        <w:rFonts w:ascii="Courier New" w:hAnsi="Courier New" w:hint="default"/>
      </w:rPr>
    </w:lvl>
    <w:lvl w:ilvl="5" w:tplc="2F0E7672">
      <w:start w:val="1"/>
      <w:numFmt w:val="bullet"/>
      <w:lvlText w:val=""/>
      <w:lvlJc w:val="left"/>
      <w:pPr>
        <w:ind w:left="4320" w:hanging="360"/>
      </w:pPr>
      <w:rPr>
        <w:rFonts w:ascii="Wingdings" w:hAnsi="Wingdings" w:hint="default"/>
      </w:rPr>
    </w:lvl>
    <w:lvl w:ilvl="6" w:tplc="5170A22C">
      <w:start w:val="1"/>
      <w:numFmt w:val="bullet"/>
      <w:lvlText w:val=""/>
      <w:lvlJc w:val="left"/>
      <w:pPr>
        <w:ind w:left="5040" w:hanging="360"/>
      </w:pPr>
      <w:rPr>
        <w:rFonts w:ascii="Symbol" w:hAnsi="Symbol" w:hint="default"/>
      </w:rPr>
    </w:lvl>
    <w:lvl w:ilvl="7" w:tplc="DC203D6A">
      <w:start w:val="1"/>
      <w:numFmt w:val="bullet"/>
      <w:lvlText w:val="o"/>
      <w:lvlJc w:val="left"/>
      <w:pPr>
        <w:ind w:left="5760" w:hanging="360"/>
      </w:pPr>
      <w:rPr>
        <w:rFonts w:ascii="Courier New" w:hAnsi="Courier New" w:hint="default"/>
      </w:rPr>
    </w:lvl>
    <w:lvl w:ilvl="8" w:tplc="8214BCE4">
      <w:start w:val="1"/>
      <w:numFmt w:val="bullet"/>
      <w:lvlText w:val=""/>
      <w:lvlJc w:val="left"/>
      <w:pPr>
        <w:ind w:left="6480" w:hanging="360"/>
      </w:pPr>
      <w:rPr>
        <w:rFonts w:ascii="Wingdings" w:hAnsi="Wingdings" w:hint="default"/>
      </w:rPr>
    </w:lvl>
  </w:abstractNum>
  <w:abstractNum w:abstractNumId="132" w15:restartNumberingAfterBreak="0">
    <w:nsid w:val="10065A8A"/>
    <w:multiLevelType w:val="multilevel"/>
    <w:tmpl w:val="4FB8B0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3" w15:restartNumberingAfterBreak="0">
    <w:nsid w:val="101A7509"/>
    <w:multiLevelType w:val="multilevel"/>
    <w:tmpl w:val="4F722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104B4FC4"/>
    <w:multiLevelType w:val="multilevel"/>
    <w:tmpl w:val="AC6A0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10536CE3"/>
    <w:multiLevelType w:val="multilevel"/>
    <w:tmpl w:val="207C8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106106DE"/>
    <w:multiLevelType w:val="multilevel"/>
    <w:tmpl w:val="27DEC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10640EDA"/>
    <w:multiLevelType w:val="multilevel"/>
    <w:tmpl w:val="F488C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1080263D"/>
    <w:multiLevelType w:val="multilevel"/>
    <w:tmpl w:val="6ABC4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10923704"/>
    <w:multiLevelType w:val="hybridMultilevel"/>
    <w:tmpl w:val="BB5C44AC"/>
    <w:lvl w:ilvl="0" w:tplc="DBC6E17C">
      <w:start w:val="1"/>
      <w:numFmt w:val="bullet"/>
      <w:lvlText w:val=""/>
      <w:lvlJc w:val="left"/>
      <w:pPr>
        <w:ind w:left="720" w:hanging="360"/>
      </w:pPr>
      <w:rPr>
        <w:rFonts w:ascii="Symbol" w:hAnsi="Symbol" w:hint="default"/>
      </w:rPr>
    </w:lvl>
    <w:lvl w:ilvl="1" w:tplc="EA6A919C">
      <w:start w:val="1"/>
      <w:numFmt w:val="bullet"/>
      <w:lvlText w:val="o"/>
      <w:lvlJc w:val="left"/>
      <w:pPr>
        <w:ind w:left="1440" w:hanging="360"/>
      </w:pPr>
      <w:rPr>
        <w:rFonts w:ascii="Courier New" w:hAnsi="Courier New" w:hint="default"/>
      </w:rPr>
    </w:lvl>
    <w:lvl w:ilvl="2" w:tplc="ACA4B092">
      <w:start w:val="1"/>
      <w:numFmt w:val="bullet"/>
      <w:lvlText w:val=""/>
      <w:lvlJc w:val="left"/>
      <w:pPr>
        <w:ind w:left="2160" w:hanging="360"/>
      </w:pPr>
      <w:rPr>
        <w:rFonts w:ascii="Wingdings" w:hAnsi="Wingdings" w:hint="default"/>
      </w:rPr>
    </w:lvl>
    <w:lvl w:ilvl="3" w:tplc="6122E352">
      <w:start w:val="1"/>
      <w:numFmt w:val="bullet"/>
      <w:lvlText w:val=""/>
      <w:lvlJc w:val="left"/>
      <w:pPr>
        <w:ind w:left="2880" w:hanging="360"/>
      </w:pPr>
      <w:rPr>
        <w:rFonts w:ascii="Symbol" w:hAnsi="Symbol" w:hint="default"/>
      </w:rPr>
    </w:lvl>
    <w:lvl w:ilvl="4" w:tplc="752C926C">
      <w:start w:val="1"/>
      <w:numFmt w:val="bullet"/>
      <w:lvlText w:val="o"/>
      <w:lvlJc w:val="left"/>
      <w:pPr>
        <w:ind w:left="3600" w:hanging="360"/>
      </w:pPr>
      <w:rPr>
        <w:rFonts w:ascii="Courier New" w:hAnsi="Courier New" w:hint="default"/>
      </w:rPr>
    </w:lvl>
    <w:lvl w:ilvl="5" w:tplc="9E221102">
      <w:start w:val="1"/>
      <w:numFmt w:val="bullet"/>
      <w:lvlText w:val=""/>
      <w:lvlJc w:val="left"/>
      <w:pPr>
        <w:ind w:left="4320" w:hanging="360"/>
      </w:pPr>
      <w:rPr>
        <w:rFonts w:ascii="Wingdings" w:hAnsi="Wingdings" w:hint="default"/>
      </w:rPr>
    </w:lvl>
    <w:lvl w:ilvl="6" w:tplc="D1DEEC80">
      <w:start w:val="1"/>
      <w:numFmt w:val="bullet"/>
      <w:lvlText w:val=""/>
      <w:lvlJc w:val="left"/>
      <w:pPr>
        <w:ind w:left="5040" w:hanging="360"/>
      </w:pPr>
      <w:rPr>
        <w:rFonts w:ascii="Symbol" w:hAnsi="Symbol" w:hint="default"/>
      </w:rPr>
    </w:lvl>
    <w:lvl w:ilvl="7" w:tplc="ADC01428">
      <w:start w:val="1"/>
      <w:numFmt w:val="bullet"/>
      <w:lvlText w:val="o"/>
      <w:lvlJc w:val="left"/>
      <w:pPr>
        <w:ind w:left="5760" w:hanging="360"/>
      </w:pPr>
      <w:rPr>
        <w:rFonts w:ascii="Courier New" w:hAnsi="Courier New" w:hint="default"/>
      </w:rPr>
    </w:lvl>
    <w:lvl w:ilvl="8" w:tplc="B2B204F2">
      <w:start w:val="1"/>
      <w:numFmt w:val="bullet"/>
      <w:lvlText w:val=""/>
      <w:lvlJc w:val="left"/>
      <w:pPr>
        <w:ind w:left="6480" w:hanging="360"/>
      </w:pPr>
      <w:rPr>
        <w:rFonts w:ascii="Wingdings" w:hAnsi="Wingdings" w:hint="default"/>
      </w:rPr>
    </w:lvl>
  </w:abstractNum>
  <w:abstractNum w:abstractNumId="140" w15:restartNumberingAfterBreak="0">
    <w:nsid w:val="109A1F2A"/>
    <w:multiLevelType w:val="multilevel"/>
    <w:tmpl w:val="8CC00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10A5616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2" w15:restartNumberingAfterBreak="0">
    <w:nsid w:val="10AD7A71"/>
    <w:multiLevelType w:val="multilevel"/>
    <w:tmpl w:val="2FF04F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10EF5054"/>
    <w:multiLevelType w:val="multilevel"/>
    <w:tmpl w:val="E300F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110ACBFB"/>
    <w:multiLevelType w:val="multilevel"/>
    <w:tmpl w:val="9DBCBD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5" w15:restartNumberingAfterBreak="0">
    <w:nsid w:val="1115171F"/>
    <w:multiLevelType w:val="hybridMultilevel"/>
    <w:tmpl w:val="16A88BE2"/>
    <w:lvl w:ilvl="0" w:tplc="E0DC0F3E">
      <w:start w:val="1"/>
      <w:numFmt w:val="bullet"/>
      <w:lvlText w:val=""/>
      <w:lvlJc w:val="left"/>
      <w:pPr>
        <w:ind w:left="720" w:hanging="360"/>
      </w:pPr>
      <w:rPr>
        <w:rFonts w:ascii="Symbol" w:hAnsi="Symbol" w:hint="default"/>
      </w:rPr>
    </w:lvl>
    <w:lvl w:ilvl="1" w:tplc="F99C6CE4">
      <w:start w:val="1"/>
      <w:numFmt w:val="bullet"/>
      <w:lvlText w:val="o"/>
      <w:lvlJc w:val="left"/>
      <w:pPr>
        <w:ind w:left="1440" w:hanging="360"/>
      </w:pPr>
      <w:rPr>
        <w:rFonts w:ascii="Courier New" w:hAnsi="Courier New" w:hint="default"/>
      </w:rPr>
    </w:lvl>
    <w:lvl w:ilvl="2" w:tplc="C852A788">
      <w:start w:val="1"/>
      <w:numFmt w:val="bullet"/>
      <w:lvlText w:val=""/>
      <w:lvlJc w:val="left"/>
      <w:pPr>
        <w:ind w:left="2160" w:hanging="360"/>
      </w:pPr>
      <w:rPr>
        <w:rFonts w:ascii="Wingdings" w:hAnsi="Wingdings" w:hint="default"/>
      </w:rPr>
    </w:lvl>
    <w:lvl w:ilvl="3" w:tplc="BA723BBE">
      <w:start w:val="1"/>
      <w:numFmt w:val="bullet"/>
      <w:lvlText w:val=""/>
      <w:lvlJc w:val="left"/>
      <w:pPr>
        <w:ind w:left="2880" w:hanging="360"/>
      </w:pPr>
      <w:rPr>
        <w:rFonts w:ascii="Symbol" w:hAnsi="Symbol" w:hint="default"/>
      </w:rPr>
    </w:lvl>
    <w:lvl w:ilvl="4" w:tplc="58AAC9B8">
      <w:start w:val="1"/>
      <w:numFmt w:val="bullet"/>
      <w:lvlText w:val="o"/>
      <w:lvlJc w:val="left"/>
      <w:pPr>
        <w:ind w:left="3600" w:hanging="360"/>
      </w:pPr>
      <w:rPr>
        <w:rFonts w:ascii="Courier New" w:hAnsi="Courier New" w:hint="default"/>
      </w:rPr>
    </w:lvl>
    <w:lvl w:ilvl="5" w:tplc="3E9422AA">
      <w:start w:val="1"/>
      <w:numFmt w:val="bullet"/>
      <w:lvlText w:val=""/>
      <w:lvlJc w:val="left"/>
      <w:pPr>
        <w:ind w:left="4320" w:hanging="360"/>
      </w:pPr>
      <w:rPr>
        <w:rFonts w:ascii="Wingdings" w:hAnsi="Wingdings" w:hint="default"/>
      </w:rPr>
    </w:lvl>
    <w:lvl w:ilvl="6" w:tplc="4FB8C350">
      <w:start w:val="1"/>
      <w:numFmt w:val="bullet"/>
      <w:lvlText w:val=""/>
      <w:lvlJc w:val="left"/>
      <w:pPr>
        <w:ind w:left="5040" w:hanging="360"/>
      </w:pPr>
      <w:rPr>
        <w:rFonts w:ascii="Symbol" w:hAnsi="Symbol" w:hint="default"/>
      </w:rPr>
    </w:lvl>
    <w:lvl w:ilvl="7" w:tplc="62F028FE">
      <w:start w:val="1"/>
      <w:numFmt w:val="bullet"/>
      <w:lvlText w:val="o"/>
      <w:lvlJc w:val="left"/>
      <w:pPr>
        <w:ind w:left="5760" w:hanging="360"/>
      </w:pPr>
      <w:rPr>
        <w:rFonts w:ascii="Courier New" w:hAnsi="Courier New" w:hint="default"/>
      </w:rPr>
    </w:lvl>
    <w:lvl w:ilvl="8" w:tplc="028E5F50">
      <w:start w:val="1"/>
      <w:numFmt w:val="bullet"/>
      <w:lvlText w:val=""/>
      <w:lvlJc w:val="left"/>
      <w:pPr>
        <w:ind w:left="6480" w:hanging="360"/>
      </w:pPr>
      <w:rPr>
        <w:rFonts w:ascii="Wingdings" w:hAnsi="Wingdings" w:hint="default"/>
      </w:rPr>
    </w:lvl>
  </w:abstractNum>
  <w:abstractNum w:abstractNumId="146" w15:restartNumberingAfterBreak="0">
    <w:nsid w:val="11615C55"/>
    <w:multiLevelType w:val="multilevel"/>
    <w:tmpl w:val="EACE8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117442F9"/>
    <w:multiLevelType w:val="multilevel"/>
    <w:tmpl w:val="080C3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11A8855D"/>
    <w:multiLevelType w:val="hybridMultilevel"/>
    <w:tmpl w:val="EEE6933A"/>
    <w:lvl w:ilvl="0" w:tplc="8E5E53C6">
      <w:start w:val="1"/>
      <w:numFmt w:val="bullet"/>
      <w:lvlText w:val=""/>
      <w:lvlJc w:val="left"/>
      <w:pPr>
        <w:ind w:left="547" w:hanging="360"/>
      </w:pPr>
      <w:rPr>
        <w:rFonts w:ascii="Symbol" w:hAnsi="Symbol" w:hint="default"/>
      </w:rPr>
    </w:lvl>
    <w:lvl w:ilvl="1" w:tplc="6D2E1750">
      <w:start w:val="1"/>
      <w:numFmt w:val="bullet"/>
      <w:lvlText w:val="o"/>
      <w:lvlJc w:val="left"/>
      <w:pPr>
        <w:ind w:left="1267" w:hanging="360"/>
      </w:pPr>
      <w:rPr>
        <w:rFonts w:ascii="Courier New" w:hAnsi="Courier New" w:hint="default"/>
      </w:rPr>
    </w:lvl>
    <w:lvl w:ilvl="2" w:tplc="A84A9804">
      <w:start w:val="1"/>
      <w:numFmt w:val="bullet"/>
      <w:lvlText w:val=""/>
      <w:lvlJc w:val="left"/>
      <w:pPr>
        <w:ind w:left="1987" w:hanging="360"/>
      </w:pPr>
      <w:rPr>
        <w:rFonts w:ascii="Wingdings" w:hAnsi="Wingdings" w:hint="default"/>
      </w:rPr>
    </w:lvl>
    <w:lvl w:ilvl="3" w:tplc="37A0475A">
      <w:start w:val="1"/>
      <w:numFmt w:val="bullet"/>
      <w:lvlText w:val=""/>
      <w:lvlJc w:val="left"/>
      <w:pPr>
        <w:ind w:left="2707" w:hanging="360"/>
      </w:pPr>
      <w:rPr>
        <w:rFonts w:ascii="Symbol" w:hAnsi="Symbol" w:hint="default"/>
      </w:rPr>
    </w:lvl>
    <w:lvl w:ilvl="4" w:tplc="C5362F22">
      <w:start w:val="1"/>
      <w:numFmt w:val="bullet"/>
      <w:lvlText w:val="o"/>
      <w:lvlJc w:val="left"/>
      <w:pPr>
        <w:ind w:left="3427" w:hanging="360"/>
      </w:pPr>
      <w:rPr>
        <w:rFonts w:ascii="Courier New" w:hAnsi="Courier New" w:hint="default"/>
      </w:rPr>
    </w:lvl>
    <w:lvl w:ilvl="5" w:tplc="7326F57A">
      <w:start w:val="1"/>
      <w:numFmt w:val="bullet"/>
      <w:lvlText w:val=""/>
      <w:lvlJc w:val="left"/>
      <w:pPr>
        <w:ind w:left="4147" w:hanging="360"/>
      </w:pPr>
      <w:rPr>
        <w:rFonts w:ascii="Wingdings" w:hAnsi="Wingdings" w:hint="default"/>
      </w:rPr>
    </w:lvl>
    <w:lvl w:ilvl="6" w:tplc="D754286A">
      <w:start w:val="1"/>
      <w:numFmt w:val="bullet"/>
      <w:lvlText w:val=""/>
      <w:lvlJc w:val="left"/>
      <w:pPr>
        <w:ind w:left="4867" w:hanging="360"/>
      </w:pPr>
      <w:rPr>
        <w:rFonts w:ascii="Symbol" w:hAnsi="Symbol" w:hint="default"/>
      </w:rPr>
    </w:lvl>
    <w:lvl w:ilvl="7" w:tplc="C7709CFC">
      <w:start w:val="1"/>
      <w:numFmt w:val="bullet"/>
      <w:lvlText w:val="o"/>
      <w:lvlJc w:val="left"/>
      <w:pPr>
        <w:ind w:left="5587" w:hanging="360"/>
      </w:pPr>
      <w:rPr>
        <w:rFonts w:ascii="Courier New" w:hAnsi="Courier New" w:hint="default"/>
      </w:rPr>
    </w:lvl>
    <w:lvl w:ilvl="8" w:tplc="E29AB02E">
      <w:start w:val="1"/>
      <w:numFmt w:val="bullet"/>
      <w:lvlText w:val=""/>
      <w:lvlJc w:val="left"/>
      <w:pPr>
        <w:ind w:left="6307" w:hanging="360"/>
      </w:pPr>
      <w:rPr>
        <w:rFonts w:ascii="Wingdings" w:hAnsi="Wingdings" w:hint="default"/>
      </w:rPr>
    </w:lvl>
  </w:abstractNum>
  <w:abstractNum w:abstractNumId="149" w15:restartNumberingAfterBreak="0">
    <w:nsid w:val="11C06110"/>
    <w:multiLevelType w:val="hybridMultilevel"/>
    <w:tmpl w:val="7E306860"/>
    <w:lvl w:ilvl="0" w:tplc="8F9A7424">
      <w:start w:val="1"/>
      <w:numFmt w:val="decimal"/>
      <w:lvlText w:val="%1."/>
      <w:lvlJc w:val="left"/>
      <w:pPr>
        <w:ind w:left="547" w:hanging="360"/>
      </w:pPr>
    </w:lvl>
    <w:lvl w:ilvl="1" w:tplc="294E0F10">
      <w:start w:val="1"/>
      <w:numFmt w:val="lowerLetter"/>
      <w:lvlText w:val="%2."/>
      <w:lvlJc w:val="left"/>
      <w:pPr>
        <w:ind w:left="1267" w:hanging="360"/>
      </w:pPr>
    </w:lvl>
    <w:lvl w:ilvl="2" w:tplc="4268E1CE">
      <w:start w:val="1"/>
      <w:numFmt w:val="lowerRoman"/>
      <w:lvlText w:val="%3."/>
      <w:lvlJc w:val="right"/>
      <w:pPr>
        <w:ind w:left="1987" w:hanging="180"/>
      </w:pPr>
    </w:lvl>
    <w:lvl w:ilvl="3" w:tplc="2DF6A2F8">
      <w:start w:val="1"/>
      <w:numFmt w:val="decimal"/>
      <w:lvlText w:val="%4."/>
      <w:lvlJc w:val="left"/>
      <w:pPr>
        <w:ind w:left="2707" w:hanging="360"/>
      </w:pPr>
    </w:lvl>
    <w:lvl w:ilvl="4" w:tplc="7E562EDE">
      <w:start w:val="1"/>
      <w:numFmt w:val="lowerLetter"/>
      <w:lvlText w:val="%5."/>
      <w:lvlJc w:val="left"/>
      <w:pPr>
        <w:ind w:left="3427" w:hanging="360"/>
      </w:pPr>
    </w:lvl>
    <w:lvl w:ilvl="5" w:tplc="6F7C47FA">
      <w:start w:val="1"/>
      <w:numFmt w:val="lowerRoman"/>
      <w:lvlText w:val="%6."/>
      <w:lvlJc w:val="right"/>
      <w:pPr>
        <w:ind w:left="4147" w:hanging="180"/>
      </w:pPr>
    </w:lvl>
    <w:lvl w:ilvl="6" w:tplc="B5A29D82">
      <w:start w:val="1"/>
      <w:numFmt w:val="decimal"/>
      <w:lvlText w:val="%7."/>
      <w:lvlJc w:val="left"/>
      <w:pPr>
        <w:ind w:left="4867" w:hanging="360"/>
      </w:pPr>
    </w:lvl>
    <w:lvl w:ilvl="7" w:tplc="29AAA4EE">
      <w:start w:val="1"/>
      <w:numFmt w:val="lowerLetter"/>
      <w:lvlText w:val="%8."/>
      <w:lvlJc w:val="left"/>
      <w:pPr>
        <w:ind w:left="5587" w:hanging="360"/>
      </w:pPr>
    </w:lvl>
    <w:lvl w:ilvl="8" w:tplc="E51AA948">
      <w:start w:val="1"/>
      <w:numFmt w:val="lowerRoman"/>
      <w:lvlText w:val="%9."/>
      <w:lvlJc w:val="right"/>
      <w:pPr>
        <w:ind w:left="6307" w:hanging="180"/>
      </w:pPr>
    </w:lvl>
  </w:abstractNum>
  <w:abstractNum w:abstractNumId="150"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1" w15:restartNumberingAfterBreak="0">
    <w:nsid w:val="12914EAA"/>
    <w:multiLevelType w:val="multilevel"/>
    <w:tmpl w:val="D6306A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2" w15:restartNumberingAfterBreak="0">
    <w:nsid w:val="12AF6493"/>
    <w:multiLevelType w:val="multilevel"/>
    <w:tmpl w:val="67EC6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12B3FB2C"/>
    <w:multiLevelType w:val="hybridMultilevel"/>
    <w:tmpl w:val="FFFFFFFF"/>
    <w:lvl w:ilvl="0" w:tplc="08342FF0">
      <w:start w:val="1"/>
      <w:numFmt w:val="bullet"/>
      <w:lvlText w:val="●"/>
      <w:lvlJc w:val="left"/>
      <w:pPr>
        <w:ind w:left="1440" w:hanging="360"/>
      </w:pPr>
      <w:rPr>
        <w:rFonts w:ascii="Symbol" w:hAnsi="Symbol" w:hint="default"/>
      </w:rPr>
    </w:lvl>
    <w:lvl w:ilvl="1" w:tplc="6A34EEE2">
      <w:start w:val="1"/>
      <w:numFmt w:val="bullet"/>
      <w:lvlText w:val="o"/>
      <w:lvlJc w:val="left"/>
      <w:pPr>
        <w:ind w:left="1440" w:hanging="360"/>
      </w:pPr>
      <w:rPr>
        <w:rFonts w:ascii="Courier New" w:hAnsi="Courier New" w:hint="default"/>
      </w:rPr>
    </w:lvl>
    <w:lvl w:ilvl="2" w:tplc="F1724F0A">
      <w:start w:val="1"/>
      <w:numFmt w:val="bullet"/>
      <w:lvlText w:val=""/>
      <w:lvlJc w:val="left"/>
      <w:pPr>
        <w:ind w:left="2160" w:hanging="360"/>
      </w:pPr>
      <w:rPr>
        <w:rFonts w:ascii="Wingdings" w:hAnsi="Wingdings" w:hint="default"/>
      </w:rPr>
    </w:lvl>
    <w:lvl w:ilvl="3" w:tplc="A59A94B8">
      <w:start w:val="1"/>
      <w:numFmt w:val="bullet"/>
      <w:lvlText w:val=""/>
      <w:lvlJc w:val="left"/>
      <w:pPr>
        <w:ind w:left="2880" w:hanging="360"/>
      </w:pPr>
      <w:rPr>
        <w:rFonts w:ascii="Symbol" w:hAnsi="Symbol" w:hint="default"/>
      </w:rPr>
    </w:lvl>
    <w:lvl w:ilvl="4" w:tplc="CF627A0E">
      <w:start w:val="1"/>
      <w:numFmt w:val="bullet"/>
      <w:lvlText w:val="o"/>
      <w:lvlJc w:val="left"/>
      <w:pPr>
        <w:ind w:left="3600" w:hanging="360"/>
      </w:pPr>
      <w:rPr>
        <w:rFonts w:ascii="Courier New" w:hAnsi="Courier New" w:hint="default"/>
      </w:rPr>
    </w:lvl>
    <w:lvl w:ilvl="5" w:tplc="DF380DD0">
      <w:start w:val="1"/>
      <w:numFmt w:val="bullet"/>
      <w:lvlText w:val=""/>
      <w:lvlJc w:val="left"/>
      <w:pPr>
        <w:ind w:left="4320" w:hanging="360"/>
      </w:pPr>
      <w:rPr>
        <w:rFonts w:ascii="Wingdings" w:hAnsi="Wingdings" w:hint="default"/>
      </w:rPr>
    </w:lvl>
    <w:lvl w:ilvl="6" w:tplc="4F003B38">
      <w:start w:val="1"/>
      <w:numFmt w:val="bullet"/>
      <w:lvlText w:val=""/>
      <w:lvlJc w:val="left"/>
      <w:pPr>
        <w:ind w:left="5040" w:hanging="360"/>
      </w:pPr>
      <w:rPr>
        <w:rFonts w:ascii="Symbol" w:hAnsi="Symbol" w:hint="default"/>
      </w:rPr>
    </w:lvl>
    <w:lvl w:ilvl="7" w:tplc="4894A914">
      <w:start w:val="1"/>
      <w:numFmt w:val="bullet"/>
      <w:lvlText w:val="o"/>
      <w:lvlJc w:val="left"/>
      <w:pPr>
        <w:ind w:left="5760" w:hanging="360"/>
      </w:pPr>
      <w:rPr>
        <w:rFonts w:ascii="Courier New" w:hAnsi="Courier New" w:hint="default"/>
      </w:rPr>
    </w:lvl>
    <w:lvl w:ilvl="8" w:tplc="08A62592">
      <w:start w:val="1"/>
      <w:numFmt w:val="bullet"/>
      <w:lvlText w:val=""/>
      <w:lvlJc w:val="left"/>
      <w:pPr>
        <w:ind w:left="6480" w:hanging="360"/>
      </w:pPr>
      <w:rPr>
        <w:rFonts w:ascii="Wingdings" w:hAnsi="Wingdings" w:hint="default"/>
      </w:rPr>
    </w:lvl>
  </w:abstractNum>
  <w:abstractNum w:abstractNumId="154" w15:restartNumberingAfterBreak="0">
    <w:nsid w:val="12B4B820"/>
    <w:multiLevelType w:val="hybridMultilevel"/>
    <w:tmpl w:val="A63007A2"/>
    <w:lvl w:ilvl="0" w:tplc="4394D89C">
      <w:start w:val="1"/>
      <w:numFmt w:val="bullet"/>
      <w:lvlText w:val=""/>
      <w:lvlJc w:val="left"/>
      <w:pPr>
        <w:ind w:left="720" w:hanging="360"/>
      </w:pPr>
      <w:rPr>
        <w:rFonts w:ascii="Symbol" w:hAnsi="Symbol" w:hint="default"/>
      </w:rPr>
    </w:lvl>
    <w:lvl w:ilvl="1" w:tplc="66CC411C">
      <w:start w:val="1"/>
      <w:numFmt w:val="bullet"/>
      <w:lvlText w:val="o"/>
      <w:lvlJc w:val="left"/>
      <w:pPr>
        <w:ind w:left="1440" w:hanging="360"/>
      </w:pPr>
      <w:rPr>
        <w:rFonts w:ascii="Courier New" w:hAnsi="Courier New" w:hint="default"/>
      </w:rPr>
    </w:lvl>
    <w:lvl w:ilvl="2" w:tplc="5EF68A1E">
      <w:start w:val="1"/>
      <w:numFmt w:val="bullet"/>
      <w:lvlText w:val=""/>
      <w:lvlJc w:val="left"/>
      <w:pPr>
        <w:ind w:left="2160" w:hanging="360"/>
      </w:pPr>
      <w:rPr>
        <w:rFonts w:ascii="Wingdings" w:hAnsi="Wingdings" w:hint="default"/>
      </w:rPr>
    </w:lvl>
    <w:lvl w:ilvl="3" w:tplc="36B08190">
      <w:start w:val="1"/>
      <w:numFmt w:val="bullet"/>
      <w:lvlText w:val=""/>
      <w:lvlJc w:val="left"/>
      <w:pPr>
        <w:ind w:left="2880" w:hanging="360"/>
      </w:pPr>
      <w:rPr>
        <w:rFonts w:ascii="Symbol" w:hAnsi="Symbol" w:hint="default"/>
      </w:rPr>
    </w:lvl>
    <w:lvl w:ilvl="4" w:tplc="1ABC0B6A">
      <w:start w:val="1"/>
      <w:numFmt w:val="bullet"/>
      <w:lvlText w:val="o"/>
      <w:lvlJc w:val="left"/>
      <w:pPr>
        <w:ind w:left="3600" w:hanging="360"/>
      </w:pPr>
      <w:rPr>
        <w:rFonts w:ascii="Courier New" w:hAnsi="Courier New" w:hint="default"/>
      </w:rPr>
    </w:lvl>
    <w:lvl w:ilvl="5" w:tplc="312E3A8E">
      <w:start w:val="1"/>
      <w:numFmt w:val="bullet"/>
      <w:lvlText w:val=""/>
      <w:lvlJc w:val="left"/>
      <w:pPr>
        <w:ind w:left="4320" w:hanging="360"/>
      </w:pPr>
      <w:rPr>
        <w:rFonts w:ascii="Wingdings" w:hAnsi="Wingdings" w:hint="default"/>
      </w:rPr>
    </w:lvl>
    <w:lvl w:ilvl="6" w:tplc="C4E8ACE6">
      <w:start w:val="1"/>
      <w:numFmt w:val="bullet"/>
      <w:lvlText w:val=""/>
      <w:lvlJc w:val="left"/>
      <w:pPr>
        <w:ind w:left="5040" w:hanging="360"/>
      </w:pPr>
      <w:rPr>
        <w:rFonts w:ascii="Symbol" w:hAnsi="Symbol" w:hint="default"/>
      </w:rPr>
    </w:lvl>
    <w:lvl w:ilvl="7" w:tplc="82C65C76">
      <w:start w:val="1"/>
      <w:numFmt w:val="bullet"/>
      <w:lvlText w:val="o"/>
      <w:lvlJc w:val="left"/>
      <w:pPr>
        <w:ind w:left="5760" w:hanging="360"/>
      </w:pPr>
      <w:rPr>
        <w:rFonts w:ascii="Courier New" w:hAnsi="Courier New" w:hint="default"/>
      </w:rPr>
    </w:lvl>
    <w:lvl w:ilvl="8" w:tplc="B94ABA30">
      <w:start w:val="1"/>
      <w:numFmt w:val="bullet"/>
      <w:lvlText w:val=""/>
      <w:lvlJc w:val="left"/>
      <w:pPr>
        <w:ind w:left="6480" w:hanging="360"/>
      </w:pPr>
      <w:rPr>
        <w:rFonts w:ascii="Wingdings" w:hAnsi="Wingdings" w:hint="default"/>
      </w:rPr>
    </w:lvl>
  </w:abstractNum>
  <w:abstractNum w:abstractNumId="155" w15:restartNumberingAfterBreak="0">
    <w:nsid w:val="12EF1614"/>
    <w:multiLevelType w:val="multilevel"/>
    <w:tmpl w:val="595A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12FE6147"/>
    <w:multiLevelType w:val="multilevel"/>
    <w:tmpl w:val="358A6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131B32CA"/>
    <w:multiLevelType w:val="multilevel"/>
    <w:tmpl w:val="68ACE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131FF454"/>
    <w:multiLevelType w:val="multilevel"/>
    <w:tmpl w:val="4CB08E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9" w15:restartNumberingAfterBreak="0">
    <w:nsid w:val="136A0E19"/>
    <w:multiLevelType w:val="multilevel"/>
    <w:tmpl w:val="EBB2C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137DFFD9"/>
    <w:multiLevelType w:val="multilevel"/>
    <w:tmpl w:val="3B1CF7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1" w15:restartNumberingAfterBreak="0">
    <w:nsid w:val="13DE7F0A"/>
    <w:multiLevelType w:val="hybridMultilevel"/>
    <w:tmpl w:val="FFFFFFFF"/>
    <w:lvl w:ilvl="0" w:tplc="D31A1958">
      <w:start w:val="1"/>
      <w:numFmt w:val="bullet"/>
      <w:lvlText w:val="●"/>
      <w:lvlJc w:val="left"/>
      <w:pPr>
        <w:ind w:left="720" w:hanging="360"/>
      </w:pPr>
      <w:rPr>
        <w:rFonts w:ascii="Symbol" w:hAnsi="Symbol" w:hint="default"/>
      </w:rPr>
    </w:lvl>
    <w:lvl w:ilvl="1" w:tplc="BC6E5144">
      <w:start w:val="1"/>
      <w:numFmt w:val="bullet"/>
      <w:lvlText w:val="o"/>
      <w:lvlJc w:val="left"/>
      <w:pPr>
        <w:ind w:left="1440" w:hanging="360"/>
      </w:pPr>
      <w:rPr>
        <w:rFonts w:ascii="Courier New" w:hAnsi="Courier New" w:hint="default"/>
      </w:rPr>
    </w:lvl>
    <w:lvl w:ilvl="2" w:tplc="F580D908">
      <w:start w:val="1"/>
      <w:numFmt w:val="bullet"/>
      <w:lvlText w:val=""/>
      <w:lvlJc w:val="left"/>
      <w:pPr>
        <w:ind w:left="2160" w:hanging="360"/>
      </w:pPr>
      <w:rPr>
        <w:rFonts w:ascii="Wingdings" w:hAnsi="Wingdings" w:hint="default"/>
      </w:rPr>
    </w:lvl>
    <w:lvl w:ilvl="3" w:tplc="84D8BD68">
      <w:start w:val="1"/>
      <w:numFmt w:val="bullet"/>
      <w:lvlText w:val=""/>
      <w:lvlJc w:val="left"/>
      <w:pPr>
        <w:ind w:left="2880" w:hanging="360"/>
      </w:pPr>
      <w:rPr>
        <w:rFonts w:ascii="Symbol" w:hAnsi="Symbol" w:hint="default"/>
      </w:rPr>
    </w:lvl>
    <w:lvl w:ilvl="4" w:tplc="EDB4A782">
      <w:start w:val="1"/>
      <w:numFmt w:val="bullet"/>
      <w:lvlText w:val="o"/>
      <w:lvlJc w:val="left"/>
      <w:pPr>
        <w:ind w:left="3600" w:hanging="360"/>
      </w:pPr>
      <w:rPr>
        <w:rFonts w:ascii="Courier New" w:hAnsi="Courier New" w:hint="default"/>
      </w:rPr>
    </w:lvl>
    <w:lvl w:ilvl="5" w:tplc="9C387612">
      <w:start w:val="1"/>
      <w:numFmt w:val="bullet"/>
      <w:lvlText w:val=""/>
      <w:lvlJc w:val="left"/>
      <w:pPr>
        <w:ind w:left="4320" w:hanging="360"/>
      </w:pPr>
      <w:rPr>
        <w:rFonts w:ascii="Wingdings" w:hAnsi="Wingdings" w:hint="default"/>
      </w:rPr>
    </w:lvl>
    <w:lvl w:ilvl="6" w:tplc="07FCB2B4">
      <w:start w:val="1"/>
      <w:numFmt w:val="bullet"/>
      <w:lvlText w:val=""/>
      <w:lvlJc w:val="left"/>
      <w:pPr>
        <w:ind w:left="5040" w:hanging="360"/>
      </w:pPr>
      <w:rPr>
        <w:rFonts w:ascii="Symbol" w:hAnsi="Symbol" w:hint="default"/>
      </w:rPr>
    </w:lvl>
    <w:lvl w:ilvl="7" w:tplc="5462B4F4">
      <w:start w:val="1"/>
      <w:numFmt w:val="bullet"/>
      <w:lvlText w:val="o"/>
      <w:lvlJc w:val="left"/>
      <w:pPr>
        <w:ind w:left="5760" w:hanging="360"/>
      </w:pPr>
      <w:rPr>
        <w:rFonts w:ascii="Courier New" w:hAnsi="Courier New" w:hint="default"/>
      </w:rPr>
    </w:lvl>
    <w:lvl w:ilvl="8" w:tplc="78827F26">
      <w:start w:val="1"/>
      <w:numFmt w:val="bullet"/>
      <w:lvlText w:val=""/>
      <w:lvlJc w:val="left"/>
      <w:pPr>
        <w:ind w:left="6480" w:hanging="360"/>
      </w:pPr>
      <w:rPr>
        <w:rFonts w:ascii="Wingdings" w:hAnsi="Wingdings" w:hint="default"/>
      </w:rPr>
    </w:lvl>
  </w:abstractNum>
  <w:abstractNum w:abstractNumId="162" w15:restartNumberingAfterBreak="0">
    <w:nsid w:val="13E4546B"/>
    <w:multiLevelType w:val="multilevel"/>
    <w:tmpl w:val="AE846A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1403838A"/>
    <w:multiLevelType w:val="hybridMultilevel"/>
    <w:tmpl w:val="B07E4CF8"/>
    <w:lvl w:ilvl="0" w:tplc="3850B5F6">
      <w:start w:val="1"/>
      <w:numFmt w:val="bullet"/>
      <w:lvlText w:val=""/>
      <w:lvlJc w:val="left"/>
      <w:pPr>
        <w:ind w:left="720" w:hanging="360"/>
      </w:pPr>
      <w:rPr>
        <w:rFonts w:ascii="Symbol" w:hAnsi="Symbol" w:hint="default"/>
      </w:rPr>
    </w:lvl>
    <w:lvl w:ilvl="1" w:tplc="0D548BDC">
      <w:start w:val="1"/>
      <w:numFmt w:val="bullet"/>
      <w:lvlText w:val="o"/>
      <w:lvlJc w:val="left"/>
      <w:pPr>
        <w:ind w:left="1440" w:hanging="360"/>
      </w:pPr>
      <w:rPr>
        <w:rFonts w:ascii="Courier New" w:hAnsi="Courier New" w:hint="default"/>
      </w:rPr>
    </w:lvl>
    <w:lvl w:ilvl="2" w:tplc="FDD68ECA">
      <w:start w:val="1"/>
      <w:numFmt w:val="bullet"/>
      <w:lvlText w:val=""/>
      <w:lvlJc w:val="left"/>
      <w:pPr>
        <w:ind w:left="2160" w:hanging="360"/>
      </w:pPr>
      <w:rPr>
        <w:rFonts w:ascii="Wingdings" w:hAnsi="Wingdings" w:hint="default"/>
      </w:rPr>
    </w:lvl>
    <w:lvl w:ilvl="3" w:tplc="58BE009C">
      <w:start w:val="1"/>
      <w:numFmt w:val="bullet"/>
      <w:lvlText w:val=""/>
      <w:lvlJc w:val="left"/>
      <w:pPr>
        <w:ind w:left="2880" w:hanging="360"/>
      </w:pPr>
      <w:rPr>
        <w:rFonts w:ascii="Symbol" w:hAnsi="Symbol" w:hint="default"/>
      </w:rPr>
    </w:lvl>
    <w:lvl w:ilvl="4" w:tplc="C0B21568">
      <w:start w:val="1"/>
      <w:numFmt w:val="bullet"/>
      <w:lvlText w:val="o"/>
      <w:lvlJc w:val="left"/>
      <w:pPr>
        <w:ind w:left="3600" w:hanging="360"/>
      </w:pPr>
      <w:rPr>
        <w:rFonts w:ascii="Courier New" w:hAnsi="Courier New" w:hint="default"/>
      </w:rPr>
    </w:lvl>
    <w:lvl w:ilvl="5" w:tplc="AD8EA9D6">
      <w:start w:val="1"/>
      <w:numFmt w:val="bullet"/>
      <w:lvlText w:val=""/>
      <w:lvlJc w:val="left"/>
      <w:pPr>
        <w:ind w:left="4320" w:hanging="360"/>
      </w:pPr>
      <w:rPr>
        <w:rFonts w:ascii="Wingdings" w:hAnsi="Wingdings" w:hint="default"/>
      </w:rPr>
    </w:lvl>
    <w:lvl w:ilvl="6" w:tplc="0924118A">
      <w:start w:val="1"/>
      <w:numFmt w:val="bullet"/>
      <w:lvlText w:val=""/>
      <w:lvlJc w:val="left"/>
      <w:pPr>
        <w:ind w:left="5040" w:hanging="360"/>
      </w:pPr>
      <w:rPr>
        <w:rFonts w:ascii="Symbol" w:hAnsi="Symbol" w:hint="default"/>
      </w:rPr>
    </w:lvl>
    <w:lvl w:ilvl="7" w:tplc="3ECA1E3A">
      <w:start w:val="1"/>
      <w:numFmt w:val="bullet"/>
      <w:lvlText w:val="o"/>
      <w:lvlJc w:val="left"/>
      <w:pPr>
        <w:ind w:left="5760" w:hanging="360"/>
      </w:pPr>
      <w:rPr>
        <w:rFonts w:ascii="Courier New" w:hAnsi="Courier New" w:hint="default"/>
      </w:rPr>
    </w:lvl>
    <w:lvl w:ilvl="8" w:tplc="EEBC3BD2">
      <w:start w:val="1"/>
      <w:numFmt w:val="bullet"/>
      <w:lvlText w:val=""/>
      <w:lvlJc w:val="left"/>
      <w:pPr>
        <w:ind w:left="6480" w:hanging="360"/>
      </w:pPr>
      <w:rPr>
        <w:rFonts w:ascii="Wingdings" w:hAnsi="Wingdings" w:hint="default"/>
      </w:rPr>
    </w:lvl>
  </w:abstractNum>
  <w:abstractNum w:abstractNumId="164" w15:restartNumberingAfterBreak="0">
    <w:nsid w:val="14083B77"/>
    <w:multiLevelType w:val="multilevel"/>
    <w:tmpl w:val="20E8B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140E09B8"/>
    <w:multiLevelType w:val="hybridMultilevel"/>
    <w:tmpl w:val="F690A7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6" w15:restartNumberingAfterBreak="0">
    <w:nsid w:val="143738C2"/>
    <w:multiLevelType w:val="multilevel"/>
    <w:tmpl w:val="46DC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143C79EC"/>
    <w:multiLevelType w:val="hybridMultilevel"/>
    <w:tmpl w:val="41EEB556"/>
    <w:lvl w:ilvl="0" w:tplc="87CAC2C8">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8" w15:restartNumberingAfterBreak="0">
    <w:nsid w:val="145C3AF8"/>
    <w:multiLevelType w:val="multilevel"/>
    <w:tmpl w:val="E3584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147FBA90"/>
    <w:multiLevelType w:val="multilevel"/>
    <w:tmpl w:val="16F2BC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0" w15:restartNumberingAfterBreak="0">
    <w:nsid w:val="14801956"/>
    <w:multiLevelType w:val="multilevel"/>
    <w:tmpl w:val="4DF4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14F653F3"/>
    <w:multiLevelType w:val="multilevel"/>
    <w:tmpl w:val="B5261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14FB24C2"/>
    <w:multiLevelType w:val="multilevel"/>
    <w:tmpl w:val="A12CC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15222ED7"/>
    <w:multiLevelType w:val="multilevel"/>
    <w:tmpl w:val="4F60927A"/>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174" w15:restartNumberingAfterBreak="0">
    <w:nsid w:val="153C5A0A"/>
    <w:multiLevelType w:val="multilevel"/>
    <w:tmpl w:val="FAE4A5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15620C38"/>
    <w:multiLevelType w:val="multilevel"/>
    <w:tmpl w:val="C3E83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1570E5E1"/>
    <w:multiLevelType w:val="hybridMultilevel"/>
    <w:tmpl w:val="6518CBC8"/>
    <w:lvl w:ilvl="0" w:tplc="60CA8580">
      <w:start w:val="1"/>
      <w:numFmt w:val="decimal"/>
      <w:lvlText w:val="%1."/>
      <w:lvlJc w:val="left"/>
      <w:pPr>
        <w:ind w:left="720" w:hanging="360"/>
      </w:pPr>
      <w:rPr>
        <w:rFonts w:ascii="Calibri" w:hAnsi="Calibri" w:hint="default"/>
      </w:rPr>
    </w:lvl>
    <w:lvl w:ilvl="1" w:tplc="E498335A">
      <w:start w:val="1"/>
      <w:numFmt w:val="lowerLetter"/>
      <w:lvlText w:val="%2."/>
      <w:lvlJc w:val="left"/>
      <w:pPr>
        <w:ind w:left="1440" w:hanging="360"/>
      </w:pPr>
    </w:lvl>
    <w:lvl w:ilvl="2" w:tplc="76D68B86">
      <w:start w:val="1"/>
      <w:numFmt w:val="lowerRoman"/>
      <w:lvlText w:val="%3."/>
      <w:lvlJc w:val="right"/>
      <w:pPr>
        <w:ind w:left="2160" w:hanging="180"/>
      </w:pPr>
    </w:lvl>
    <w:lvl w:ilvl="3" w:tplc="20049386">
      <w:start w:val="1"/>
      <w:numFmt w:val="decimal"/>
      <w:lvlText w:val="%4."/>
      <w:lvlJc w:val="left"/>
      <w:pPr>
        <w:ind w:left="2880" w:hanging="360"/>
      </w:pPr>
    </w:lvl>
    <w:lvl w:ilvl="4" w:tplc="FFD2D7A0">
      <w:start w:val="1"/>
      <w:numFmt w:val="lowerLetter"/>
      <w:lvlText w:val="%5."/>
      <w:lvlJc w:val="left"/>
      <w:pPr>
        <w:ind w:left="3600" w:hanging="360"/>
      </w:pPr>
    </w:lvl>
    <w:lvl w:ilvl="5" w:tplc="A19A001C">
      <w:start w:val="1"/>
      <w:numFmt w:val="lowerRoman"/>
      <w:lvlText w:val="%6."/>
      <w:lvlJc w:val="right"/>
      <w:pPr>
        <w:ind w:left="4320" w:hanging="180"/>
      </w:pPr>
    </w:lvl>
    <w:lvl w:ilvl="6" w:tplc="9FE818CA">
      <w:start w:val="1"/>
      <w:numFmt w:val="decimal"/>
      <w:lvlText w:val="%7."/>
      <w:lvlJc w:val="left"/>
      <w:pPr>
        <w:ind w:left="5040" w:hanging="360"/>
      </w:pPr>
    </w:lvl>
    <w:lvl w:ilvl="7" w:tplc="7624DAB6">
      <w:start w:val="1"/>
      <w:numFmt w:val="lowerLetter"/>
      <w:lvlText w:val="%8."/>
      <w:lvlJc w:val="left"/>
      <w:pPr>
        <w:ind w:left="5760" w:hanging="360"/>
      </w:pPr>
    </w:lvl>
    <w:lvl w:ilvl="8" w:tplc="15EC4486">
      <w:start w:val="1"/>
      <w:numFmt w:val="lowerRoman"/>
      <w:lvlText w:val="%9."/>
      <w:lvlJc w:val="right"/>
      <w:pPr>
        <w:ind w:left="6480" w:hanging="180"/>
      </w:pPr>
    </w:lvl>
  </w:abstractNum>
  <w:abstractNum w:abstractNumId="177"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15BE5258"/>
    <w:multiLevelType w:val="multilevel"/>
    <w:tmpl w:val="8E82A8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15E94C5C"/>
    <w:multiLevelType w:val="multilevel"/>
    <w:tmpl w:val="72546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163CC56D"/>
    <w:multiLevelType w:val="hybridMultilevel"/>
    <w:tmpl w:val="FFFFFFFF"/>
    <w:lvl w:ilvl="0" w:tplc="2E9EE4FE">
      <w:start w:val="1"/>
      <w:numFmt w:val="bullet"/>
      <w:lvlText w:val=""/>
      <w:lvlJc w:val="left"/>
      <w:pPr>
        <w:ind w:left="547" w:hanging="360"/>
      </w:pPr>
      <w:rPr>
        <w:rFonts w:ascii="Symbol" w:hAnsi="Symbol" w:hint="default"/>
      </w:rPr>
    </w:lvl>
    <w:lvl w:ilvl="1" w:tplc="60E4A92A">
      <w:start w:val="1"/>
      <w:numFmt w:val="bullet"/>
      <w:lvlText w:val="o"/>
      <w:lvlJc w:val="left"/>
      <w:pPr>
        <w:ind w:left="1267" w:hanging="360"/>
      </w:pPr>
      <w:rPr>
        <w:rFonts w:ascii="Courier New" w:hAnsi="Courier New" w:hint="default"/>
      </w:rPr>
    </w:lvl>
    <w:lvl w:ilvl="2" w:tplc="413CFE14">
      <w:start w:val="1"/>
      <w:numFmt w:val="bullet"/>
      <w:lvlText w:val=""/>
      <w:lvlJc w:val="left"/>
      <w:pPr>
        <w:ind w:left="1987" w:hanging="360"/>
      </w:pPr>
      <w:rPr>
        <w:rFonts w:ascii="Wingdings" w:hAnsi="Wingdings" w:hint="default"/>
      </w:rPr>
    </w:lvl>
    <w:lvl w:ilvl="3" w:tplc="FD507CBA">
      <w:start w:val="1"/>
      <w:numFmt w:val="bullet"/>
      <w:lvlText w:val=""/>
      <w:lvlJc w:val="left"/>
      <w:pPr>
        <w:ind w:left="2707" w:hanging="360"/>
      </w:pPr>
      <w:rPr>
        <w:rFonts w:ascii="Symbol" w:hAnsi="Symbol" w:hint="default"/>
      </w:rPr>
    </w:lvl>
    <w:lvl w:ilvl="4" w:tplc="4EA2104C">
      <w:start w:val="1"/>
      <w:numFmt w:val="bullet"/>
      <w:lvlText w:val="o"/>
      <w:lvlJc w:val="left"/>
      <w:pPr>
        <w:ind w:left="3427" w:hanging="360"/>
      </w:pPr>
      <w:rPr>
        <w:rFonts w:ascii="Courier New" w:hAnsi="Courier New" w:hint="default"/>
      </w:rPr>
    </w:lvl>
    <w:lvl w:ilvl="5" w:tplc="73ACE9D2">
      <w:start w:val="1"/>
      <w:numFmt w:val="bullet"/>
      <w:lvlText w:val=""/>
      <w:lvlJc w:val="left"/>
      <w:pPr>
        <w:ind w:left="4147" w:hanging="360"/>
      </w:pPr>
      <w:rPr>
        <w:rFonts w:ascii="Wingdings" w:hAnsi="Wingdings" w:hint="default"/>
      </w:rPr>
    </w:lvl>
    <w:lvl w:ilvl="6" w:tplc="E1F8A42A">
      <w:start w:val="1"/>
      <w:numFmt w:val="bullet"/>
      <w:lvlText w:val=""/>
      <w:lvlJc w:val="left"/>
      <w:pPr>
        <w:ind w:left="4867" w:hanging="360"/>
      </w:pPr>
      <w:rPr>
        <w:rFonts w:ascii="Symbol" w:hAnsi="Symbol" w:hint="default"/>
      </w:rPr>
    </w:lvl>
    <w:lvl w:ilvl="7" w:tplc="482C5038">
      <w:start w:val="1"/>
      <w:numFmt w:val="bullet"/>
      <w:lvlText w:val="o"/>
      <w:lvlJc w:val="left"/>
      <w:pPr>
        <w:ind w:left="5587" w:hanging="360"/>
      </w:pPr>
      <w:rPr>
        <w:rFonts w:ascii="Courier New" w:hAnsi="Courier New" w:hint="default"/>
      </w:rPr>
    </w:lvl>
    <w:lvl w:ilvl="8" w:tplc="07664A82">
      <w:start w:val="1"/>
      <w:numFmt w:val="bullet"/>
      <w:lvlText w:val=""/>
      <w:lvlJc w:val="left"/>
      <w:pPr>
        <w:ind w:left="6307" w:hanging="360"/>
      </w:pPr>
      <w:rPr>
        <w:rFonts w:ascii="Wingdings" w:hAnsi="Wingdings" w:hint="default"/>
      </w:rPr>
    </w:lvl>
  </w:abstractNum>
  <w:abstractNum w:abstractNumId="181" w15:restartNumberingAfterBreak="0">
    <w:nsid w:val="164516F9"/>
    <w:multiLevelType w:val="multilevel"/>
    <w:tmpl w:val="F7C4C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16637A3D"/>
    <w:multiLevelType w:val="multilevel"/>
    <w:tmpl w:val="A470D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1668499C"/>
    <w:multiLevelType w:val="multilevel"/>
    <w:tmpl w:val="A45CE020"/>
    <w:lvl w:ilvl="0">
      <w:start w:val="1"/>
      <w:numFmt w:val="bullet"/>
      <w:lvlText w:val=""/>
      <w:lvlJc w:val="left"/>
      <w:pPr>
        <w:tabs>
          <w:tab w:val="num" w:pos="720"/>
        </w:tabs>
        <w:ind w:left="720" w:hanging="360"/>
      </w:pPr>
      <w:rPr>
        <w:rFonts w:ascii="Symbol" w:hAnsi="Symbol" w:hint="default"/>
        <w:sz w:val="20"/>
      </w:rPr>
    </w:lvl>
    <w:lvl w:ilvl="1">
      <w:start w:val="72"/>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167112CA"/>
    <w:multiLevelType w:val="multilevel"/>
    <w:tmpl w:val="F0A82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16826E7C"/>
    <w:multiLevelType w:val="multilevel"/>
    <w:tmpl w:val="D3921E10"/>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186" w15:restartNumberingAfterBreak="0">
    <w:nsid w:val="168975E3"/>
    <w:multiLevelType w:val="hybridMultilevel"/>
    <w:tmpl w:val="FFFFFFFF"/>
    <w:lvl w:ilvl="0" w:tplc="E32A8288">
      <w:start w:val="1"/>
      <w:numFmt w:val="bullet"/>
      <w:lvlText w:val=""/>
      <w:lvlJc w:val="left"/>
      <w:pPr>
        <w:ind w:left="720" w:hanging="360"/>
      </w:pPr>
      <w:rPr>
        <w:rFonts w:ascii="Symbol" w:hAnsi="Symbol" w:hint="default"/>
      </w:rPr>
    </w:lvl>
    <w:lvl w:ilvl="1" w:tplc="0652DBB2">
      <w:start w:val="1"/>
      <w:numFmt w:val="bullet"/>
      <w:lvlText w:val="o"/>
      <w:lvlJc w:val="left"/>
      <w:pPr>
        <w:ind w:left="1267" w:hanging="360"/>
      </w:pPr>
      <w:rPr>
        <w:rFonts w:ascii="Courier New" w:hAnsi="Courier New" w:hint="default"/>
      </w:rPr>
    </w:lvl>
    <w:lvl w:ilvl="2" w:tplc="00005E94">
      <w:start w:val="1"/>
      <w:numFmt w:val="bullet"/>
      <w:lvlText w:val=""/>
      <w:lvlJc w:val="left"/>
      <w:pPr>
        <w:ind w:left="1987" w:hanging="360"/>
      </w:pPr>
      <w:rPr>
        <w:rFonts w:ascii="Wingdings" w:hAnsi="Wingdings" w:hint="default"/>
      </w:rPr>
    </w:lvl>
    <w:lvl w:ilvl="3" w:tplc="DC0EA538">
      <w:start w:val="1"/>
      <w:numFmt w:val="bullet"/>
      <w:lvlText w:val=""/>
      <w:lvlJc w:val="left"/>
      <w:pPr>
        <w:ind w:left="2707" w:hanging="360"/>
      </w:pPr>
      <w:rPr>
        <w:rFonts w:ascii="Symbol" w:hAnsi="Symbol" w:hint="default"/>
      </w:rPr>
    </w:lvl>
    <w:lvl w:ilvl="4" w:tplc="F9945988">
      <w:start w:val="1"/>
      <w:numFmt w:val="bullet"/>
      <w:lvlText w:val="o"/>
      <w:lvlJc w:val="left"/>
      <w:pPr>
        <w:ind w:left="3427" w:hanging="360"/>
      </w:pPr>
      <w:rPr>
        <w:rFonts w:ascii="Courier New" w:hAnsi="Courier New" w:hint="default"/>
      </w:rPr>
    </w:lvl>
    <w:lvl w:ilvl="5" w:tplc="1B7E34AA">
      <w:start w:val="1"/>
      <w:numFmt w:val="bullet"/>
      <w:lvlText w:val=""/>
      <w:lvlJc w:val="left"/>
      <w:pPr>
        <w:ind w:left="4147" w:hanging="360"/>
      </w:pPr>
      <w:rPr>
        <w:rFonts w:ascii="Wingdings" w:hAnsi="Wingdings" w:hint="default"/>
      </w:rPr>
    </w:lvl>
    <w:lvl w:ilvl="6" w:tplc="CBA29BAC">
      <w:start w:val="1"/>
      <w:numFmt w:val="bullet"/>
      <w:lvlText w:val=""/>
      <w:lvlJc w:val="left"/>
      <w:pPr>
        <w:ind w:left="4867" w:hanging="360"/>
      </w:pPr>
      <w:rPr>
        <w:rFonts w:ascii="Symbol" w:hAnsi="Symbol" w:hint="default"/>
      </w:rPr>
    </w:lvl>
    <w:lvl w:ilvl="7" w:tplc="B18A6E96">
      <w:start w:val="1"/>
      <w:numFmt w:val="bullet"/>
      <w:lvlText w:val="o"/>
      <w:lvlJc w:val="left"/>
      <w:pPr>
        <w:ind w:left="5587" w:hanging="360"/>
      </w:pPr>
      <w:rPr>
        <w:rFonts w:ascii="Courier New" w:hAnsi="Courier New" w:hint="default"/>
      </w:rPr>
    </w:lvl>
    <w:lvl w:ilvl="8" w:tplc="CC78CBDA">
      <w:start w:val="1"/>
      <w:numFmt w:val="bullet"/>
      <w:lvlText w:val=""/>
      <w:lvlJc w:val="left"/>
      <w:pPr>
        <w:ind w:left="6307" w:hanging="360"/>
      </w:pPr>
      <w:rPr>
        <w:rFonts w:ascii="Wingdings" w:hAnsi="Wingdings" w:hint="default"/>
      </w:rPr>
    </w:lvl>
  </w:abstractNum>
  <w:abstractNum w:abstractNumId="187" w15:restartNumberingAfterBreak="0">
    <w:nsid w:val="16C596F0"/>
    <w:multiLevelType w:val="hybridMultilevel"/>
    <w:tmpl w:val="DEB68C18"/>
    <w:lvl w:ilvl="0" w:tplc="12F8FA12">
      <w:start w:val="1"/>
      <w:numFmt w:val="bullet"/>
      <w:lvlText w:val="·"/>
      <w:lvlJc w:val="left"/>
      <w:pPr>
        <w:ind w:left="720" w:hanging="360"/>
      </w:pPr>
      <w:rPr>
        <w:rFonts w:ascii="Symbol" w:hAnsi="Symbol" w:hint="default"/>
      </w:rPr>
    </w:lvl>
    <w:lvl w:ilvl="1" w:tplc="2EA4C52A">
      <w:start w:val="1"/>
      <w:numFmt w:val="bullet"/>
      <w:lvlText w:val="o"/>
      <w:lvlJc w:val="left"/>
      <w:pPr>
        <w:ind w:left="1440" w:hanging="360"/>
      </w:pPr>
      <w:rPr>
        <w:rFonts w:ascii="Courier New" w:hAnsi="Courier New" w:hint="default"/>
      </w:rPr>
    </w:lvl>
    <w:lvl w:ilvl="2" w:tplc="966C4DF2">
      <w:start w:val="1"/>
      <w:numFmt w:val="bullet"/>
      <w:lvlText w:val=""/>
      <w:lvlJc w:val="left"/>
      <w:pPr>
        <w:ind w:left="2160" w:hanging="360"/>
      </w:pPr>
      <w:rPr>
        <w:rFonts w:ascii="Wingdings" w:hAnsi="Wingdings" w:hint="default"/>
      </w:rPr>
    </w:lvl>
    <w:lvl w:ilvl="3" w:tplc="8EFE5362">
      <w:start w:val="1"/>
      <w:numFmt w:val="bullet"/>
      <w:lvlText w:val=""/>
      <w:lvlJc w:val="left"/>
      <w:pPr>
        <w:ind w:left="2880" w:hanging="360"/>
      </w:pPr>
      <w:rPr>
        <w:rFonts w:ascii="Symbol" w:hAnsi="Symbol" w:hint="default"/>
      </w:rPr>
    </w:lvl>
    <w:lvl w:ilvl="4" w:tplc="6E3EA344">
      <w:start w:val="1"/>
      <w:numFmt w:val="bullet"/>
      <w:lvlText w:val="o"/>
      <w:lvlJc w:val="left"/>
      <w:pPr>
        <w:ind w:left="3600" w:hanging="360"/>
      </w:pPr>
      <w:rPr>
        <w:rFonts w:ascii="Courier New" w:hAnsi="Courier New" w:hint="default"/>
      </w:rPr>
    </w:lvl>
    <w:lvl w:ilvl="5" w:tplc="0BAAEC8C">
      <w:start w:val="1"/>
      <w:numFmt w:val="bullet"/>
      <w:lvlText w:val=""/>
      <w:lvlJc w:val="left"/>
      <w:pPr>
        <w:ind w:left="4320" w:hanging="360"/>
      </w:pPr>
      <w:rPr>
        <w:rFonts w:ascii="Wingdings" w:hAnsi="Wingdings" w:hint="default"/>
      </w:rPr>
    </w:lvl>
    <w:lvl w:ilvl="6" w:tplc="7F066EB2">
      <w:start w:val="1"/>
      <w:numFmt w:val="bullet"/>
      <w:lvlText w:val=""/>
      <w:lvlJc w:val="left"/>
      <w:pPr>
        <w:ind w:left="5040" w:hanging="360"/>
      </w:pPr>
      <w:rPr>
        <w:rFonts w:ascii="Symbol" w:hAnsi="Symbol" w:hint="default"/>
      </w:rPr>
    </w:lvl>
    <w:lvl w:ilvl="7" w:tplc="0F72FD34">
      <w:start w:val="1"/>
      <w:numFmt w:val="bullet"/>
      <w:lvlText w:val="o"/>
      <w:lvlJc w:val="left"/>
      <w:pPr>
        <w:ind w:left="5760" w:hanging="360"/>
      </w:pPr>
      <w:rPr>
        <w:rFonts w:ascii="Courier New" w:hAnsi="Courier New" w:hint="default"/>
      </w:rPr>
    </w:lvl>
    <w:lvl w:ilvl="8" w:tplc="3D56707E">
      <w:start w:val="1"/>
      <w:numFmt w:val="bullet"/>
      <w:lvlText w:val=""/>
      <w:lvlJc w:val="left"/>
      <w:pPr>
        <w:ind w:left="6480" w:hanging="360"/>
      </w:pPr>
      <w:rPr>
        <w:rFonts w:ascii="Wingdings" w:hAnsi="Wingdings" w:hint="default"/>
      </w:rPr>
    </w:lvl>
  </w:abstractNum>
  <w:abstractNum w:abstractNumId="188" w15:restartNumberingAfterBreak="0">
    <w:nsid w:val="16E874BA"/>
    <w:multiLevelType w:val="multilevel"/>
    <w:tmpl w:val="88665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16FA36B6"/>
    <w:multiLevelType w:val="multilevel"/>
    <w:tmpl w:val="42AC5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172F1FD2"/>
    <w:multiLevelType w:val="multilevel"/>
    <w:tmpl w:val="CF2A2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17305022"/>
    <w:multiLevelType w:val="multilevel"/>
    <w:tmpl w:val="006ED066"/>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2" w15:restartNumberingAfterBreak="0">
    <w:nsid w:val="17B24760"/>
    <w:multiLevelType w:val="multilevel"/>
    <w:tmpl w:val="CEE4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17EB4D33"/>
    <w:multiLevelType w:val="multilevel"/>
    <w:tmpl w:val="A5B21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184160A0"/>
    <w:multiLevelType w:val="hybridMultilevel"/>
    <w:tmpl w:val="7C8EE498"/>
    <w:lvl w:ilvl="0" w:tplc="4F2A6C02">
      <w:start w:val="1"/>
      <w:numFmt w:val="bullet"/>
      <w:lvlText w:val=""/>
      <w:lvlJc w:val="left"/>
      <w:pPr>
        <w:ind w:left="720" w:hanging="360"/>
      </w:pPr>
      <w:rPr>
        <w:rFonts w:ascii="Symbol" w:hAnsi="Symbol" w:hint="default"/>
      </w:rPr>
    </w:lvl>
    <w:lvl w:ilvl="1" w:tplc="FA90FCA4">
      <w:start w:val="1"/>
      <w:numFmt w:val="bullet"/>
      <w:lvlText w:val="o"/>
      <w:lvlJc w:val="left"/>
      <w:pPr>
        <w:ind w:left="1440" w:hanging="360"/>
      </w:pPr>
      <w:rPr>
        <w:rFonts w:ascii="Courier New" w:hAnsi="Courier New" w:hint="default"/>
      </w:rPr>
    </w:lvl>
    <w:lvl w:ilvl="2" w:tplc="BE3C942C">
      <w:start w:val="1"/>
      <w:numFmt w:val="bullet"/>
      <w:lvlText w:val=""/>
      <w:lvlJc w:val="left"/>
      <w:pPr>
        <w:ind w:left="2160" w:hanging="360"/>
      </w:pPr>
      <w:rPr>
        <w:rFonts w:ascii="Wingdings" w:hAnsi="Wingdings" w:hint="default"/>
      </w:rPr>
    </w:lvl>
    <w:lvl w:ilvl="3" w:tplc="E578F178">
      <w:start w:val="1"/>
      <w:numFmt w:val="bullet"/>
      <w:lvlText w:val=""/>
      <w:lvlJc w:val="left"/>
      <w:pPr>
        <w:ind w:left="2880" w:hanging="360"/>
      </w:pPr>
      <w:rPr>
        <w:rFonts w:ascii="Symbol" w:hAnsi="Symbol" w:hint="default"/>
      </w:rPr>
    </w:lvl>
    <w:lvl w:ilvl="4" w:tplc="3016051E">
      <w:start w:val="1"/>
      <w:numFmt w:val="bullet"/>
      <w:lvlText w:val="o"/>
      <w:lvlJc w:val="left"/>
      <w:pPr>
        <w:ind w:left="3600" w:hanging="360"/>
      </w:pPr>
      <w:rPr>
        <w:rFonts w:ascii="Courier New" w:hAnsi="Courier New" w:hint="default"/>
      </w:rPr>
    </w:lvl>
    <w:lvl w:ilvl="5" w:tplc="A0043AA8">
      <w:start w:val="1"/>
      <w:numFmt w:val="bullet"/>
      <w:lvlText w:val=""/>
      <w:lvlJc w:val="left"/>
      <w:pPr>
        <w:ind w:left="4320" w:hanging="360"/>
      </w:pPr>
      <w:rPr>
        <w:rFonts w:ascii="Wingdings" w:hAnsi="Wingdings" w:hint="default"/>
      </w:rPr>
    </w:lvl>
    <w:lvl w:ilvl="6" w:tplc="AD702024">
      <w:start w:val="1"/>
      <w:numFmt w:val="bullet"/>
      <w:lvlText w:val=""/>
      <w:lvlJc w:val="left"/>
      <w:pPr>
        <w:ind w:left="5040" w:hanging="360"/>
      </w:pPr>
      <w:rPr>
        <w:rFonts w:ascii="Symbol" w:hAnsi="Symbol" w:hint="default"/>
      </w:rPr>
    </w:lvl>
    <w:lvl w:ilvl="7" w:tplc="608AFA4C">
      <w:start w:val="1"/>
      <w:numFmt w:val="bullet"/>
      <w:lvlText w:val="o"/>
      <w:lvlJc w:val="left"/>
      <w:pPr>
        <w:ind w:left="5760" w:hanging="360"/>
      </w:pPr>
      <w:rPr>
        <w:rFonts w:ascii="Courier New" w:hAnsi="Courier New" w:hint="default"/>
      </w:rPr>
    </w:lvl>
    <w:lvl w:ilvl="8" w:tplc="C6C60D8A">
      <w:start w:val="1"/>
      <w:numFmt w:val="bullet"/>
      <w:lvlText w:val=""/>
      <w:lvlJc w:val="left"/>
      <w:pPr>
        <w:ind w:left="6480" w:hanging="360"/>
      </w:pPr>
      <w:rPr>
        <w:rFonts w:ascii="Wingdings" w:hAnsi="Wingdings" w:hint="default"/>
      </w:rPr>
    </w:lvl>
  </w:abstractNum>
  <w:abstractNum w:abstractNumId="195" w15:restartNumberingAfterBreak="0">
    <w:nsid w:val="18662BF0"/>
    <w:multiLevelType w:val="multilevel"/>
    <w:tmpl w:val="95AEC0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6" w15:restartNumberingAfterBreak="0">
    <w:nsid w:val="18773829"/>
    <w:multiLevelType w:val="multilevel"/>
    <w:tmpl w:val="84704C28"/>
    <w:lvl w:ilvl="0">
      <w:start w:val="1"/>
      <w:numFmt w:val="bullet"/>
      <w:pStyle w:val="NumberedParasPIF"/>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7" w15:restartNumberingAfterBreak="0">
    <w:nsid w:val="18F1063C"/>
    <w:multiLevelType w:val="multilevel"/>
    <w:tmpl w:val="9FDA0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19237046"/>
    <w:multiLevelType w:val="hybridMultilevel"/>
    <w:tmpl w:val="3D94B1E2"/>
    <w:lvl w:ilvl="0" w:tplc="C76C13E0">
      <w:start w:val="1"/>
      <w:numFmt w:val="bullet"/>
      <w:lvlText w:val=""/>
      <w:lvlJc w:val="left"/>
      <w:pPr>
        <w:ind w:left="720" w:hanging="360"/>
      </w:pPr>
      <w:rPr>
        <w:rFonts w:ascii="Symbol" w:hAnsi="Symbol" w:hint="default"/>
      </w:rPr>
    </w:lvl>
    <w:lvl w:ilvl="1" w:tplc="EDD49CC4">
      <w:start w:val="1"/>
      <w:numFmt w:val="bullet"/>
      <w:lvlText w:val="o"/>
      <w:lvlJc w:val="left"/>
      <w:pPr>
        <w:ind w:left="1440" w:hanging="360"/>
      </w:pPr>
      <w:rPr>
        <w:rFonts w:ascii="Courier New" w:hAnsi="Courier New" w:hint="default"/>
      </w:rPr>
    </w:lvl>
    <w:lvl w:ilvl="2" w:tplc="B994D432">
      <w:start w:val="1"/>
      <w:numFmt w:val="bullet"/>
      <w:lvlText w:val=""/>
      <w:lvlJc w:val="left"/>
      <w:pPr>
        <w:ind w:left="2160" w:hanging="360"/>
      </w:pPr>
      <w:rPr>
        <w:rFonts w:ascii="Wingdings" w:hAnsi="Wingdings" w:hint="default"/>
      </w:rPr>
    </w:lvl>
    <w:lvl w:ilvl="3" w:tplc="1E528AFE">
      <w:start w:val="1"/>
      <w:numFmt w:val="bullet"/>
      <w:lvlText w:val=""/>
      <w:lvlJc w:val="left"/>
      <w:pPr>
        <w:ind w:left="2880" w:hanging="360"/>
      </w:pPr>
      <w:rPr>
        <w:rFonts w:ascii="Symbol" w:hAnsi="Symbol" w:hint="default"/>
      </w:rPr>
    </w:lvl>
    <w:lvl w:ilvl="4" w:tplc="96827812">
      <w:start w:val="1"/>
      <w:numFmt w:val="bullet"/>
      <w:lvlText w:val="o"/>
      <w:lvlJc w:val="left"/>
      <w:pPr>
        <w:ind w:left="3600" w:hanging="360"/>
      </w:pPr>
      <w:rPr>
        <w:rFonts w:ascii="Courier New" w:hAnsi="Courier New" w:hint="default"/>
      </w:rPr>
    </w:lvl>
    <w:lvl w:ilvl="5" w:tplc="DE8A0786">
      <w:start w:val="1"/>
      <w:numFmt w:val="bullet"/>
      <w:lvlText w:val=""/>
      <w:lvlJc w:val="left"/>
      <w:pPr>
        <w:ind w:left="4320" w:hanging="360"/>
      </w:pPr>
      <w:rPr>
        <w:rFonts w:ascii="Wingdings" w:hAnsi="Wingdings" w:hint="default"/>
      </w:rPr>
    </w:lvl>
    <w:lvl w:ilvl="6" w:tplc="DA209B94">
      <w:start w:val="1"/>
      <w:numFmt w:val="bullet"/>
      <w:lvlText w:val=""/>
      <w:lvlJc w:val="left"/>
      <w:pPr>
        <w:ind w:left="5040" w:hanging="360"/>
      </w:pPr>
      <w:rPr>
        <w:rFonts w:ascii="Symbol" w:hAnsi="Symbol" w:hint="default"/>
      </w:rPr>
    </w:lvl>
    <w:lvl w:ilvl="7" w:tplc="090A05CC">
      <w:start w:val="1"/>
      <w:numFmt w:val="bullet"/>
      <w:lvlText w:val="o"/>
      <w:lvlJc w:val="left"/>
      <w:pPr>
        <w:ind w:left="5760" w:hanging="360"/>
      </w:pPr>
      <w:rPr>
        <w:rFonts w:ascii="Courier New" w:hAnsi="Courier New" w:hint="default"/>
      </w:rPr>
    </w:lvl>
    <w:lvl w:ilvl="8" w:tplc="C9F8BC00">
      <w:start w:val="1"/>
      <w:numFmt w:val="bullet"/>
      <w:lvlText w:val=""/>
      <w:lvlJc w:val="left"/>
      <w:pPr>
        <w:ind w:left="6480" w:hanging="360"/>
      </w:pPr>
      <w:rPr>
        <w:rFonts w:ascii="Wingdings" w:hAnsi="Wingdings" w:hint="default"/>
      </w:rPr>
    </w:lvl>
  </w:abstractNum>
  <w:abstractNum w:abstractNumId="199" w15:restartNumberingAfterBreak="0">
    <w:nsid w:val="194C2274"/>
    <w:multiLevelType w:val="multilevel"/>
    <w:tmpl w:val="C5FAB0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195EB862"/>
    <w:multiLevelType w:val="hybridMultilevel"/>
    <w:tmpl w:val="0E2888F8"/>
    <w:lvl w:ilvl="0" w:tplc="122CA36C">
      <w:start w:val="1"/>
      <w:numFmt w:val="bullet"/>
      <w:lvlText w:val="·"/>
      <w:lvlJc w:val="left"/>
      <w:pPr>
        <w:ind w:left="720" w:hanging="360"/>
      </w:pPr>
      <w:rPr>
        <w:rFonts w:ascii="Symbol" w:hAnsi="Symbol" w:hint="default"/>
      </w:rPr>
    </w:lvl>
    <w:lvl w:ilvl="1" w:tplc="DD0A4296">
      <w:start w:val="1"/>
      <w:numFmt w:val="bullet"/>
      <w:lvlText w:val="o"/>
      <w:lvlJc w:val="left"/>
      <w:pPr>
        <w:ind w:left="1440" w:hanging="360"/>
      </w:pPr>
      <w:rPr>
        <w:rFonts w:ascii="Courier New" w:hAnsi="Courier New" w:hint="default"/>
      </w:rPr>
    </w:lvl>
    <w:lvl w:ilvl="2" w:tplc="D2583274">
      <w:start w:val="1"/>
      <w:numFmt w:val="bullet"/>
      <w:lvlText w:val=""/>
      <w:lvlJc w:val="left"/>
      <w:pPr>
        <w:ind w:left="2160" w:hanging="360"/>
      </w:pPr>
      <w:rPr>
        <w:rFonts w:ascii="Wingdings" w:hAnsi="Wingdings" w:hint="default"/>
      </w:rPr>
    </w:lvl>
    <w:lvl w:ilvl="3" w:tplc="EDA0D924">
      <w:start w:val="1"/>
      <w:numFmt w:val="bullet"/>
      <w:lvlText w:val=""/>
      <w:lvlJc w:val="left"/>
      <w:pPr>
        <w:ind w:left="2880" w:hanging="360"/>
      </w:pPr>
      <w:rPr>
        <w:rFonts w:ascii="Symbol" w:hAnsi="Symbol" w:hint="default"/>
      </w:rPr>
    </w:lvl>
    <w:lvl w:ilvl="4" w:tplc="DD5E1964">
      <w:start w:val="1"/>
      <w:numFmt w:val="bullet"/>
      <w:lvlText w:val="o"/>
      <w:lvlJc w:val="left"/>
      <w:pPr>
        <w:ind w:left="3600" w:hanging="360"/>
      </w:pPr>
      <w:rPr>
        <w:rFonts w:ascii="Courier New" w:hAnsi="Courier New" w:hint="default"/>
      </w:rPr>
    </w:lvl>
    <w:lvl w:ilvl="5" w:tplc="516857DE">
      <w:start w:val="1"/>
      <w:numFmt w:val="bullet"/>
      <w:lvlText w:val=""/>
      <w:lvlJc w:val="left"/>
      <w:pPr>
        <w:ind w:left="4320" w:hanging="360"/>
      </w:pPr>
      <w:rPr>
        <w:rFonts w:ascii="Wingdings" w:hAnsi="Wingdings" w:hint="default"/>
      </w:rPr>
    </w:lvl>
    <w:lvl w:ilvl="6" w:tplc="54A47600">
      <w:start w:val="1"/>
      <w:numFmt w:val="bullet"/>
      <w:lvlText w:val=""/>
      <w:lvlJc w:val="left"/>
      <w:pPr>
        <w:ind w:left="5040" w:hanging="360"/>
      </w:pPr>
      <w:rPr>
        <w:rFonts w:ascii="Symbol" w:hAnsi="Symbol" w:hint="default"/>
      </w:rPr>
    </w:lvl>
    <w:lvl w:ilvl="7" w:tplc="6FA807F2">
      <w:start w:val="1"/>
      <w:numFmt w:val="bullet"/>
      <w:lvlText w:val="o"/>
      <w:lvlJc w:val="left"/>
      <w:pPr>
        <w:ind w:left="5760" w:hanging="360"/>
      </w:pPr>
      <w:rPr>
        <w:rFonts w:ascii="Courier New" w:hAnsi="Courier New" w:hint="default"/>
      </w:rPr>
    </w:lvl>
    <w:lvl w:ilvl="8" w:tplc="1E96BFFC">
      <w:start w:val="1"/>
      <w:numFmt w:val="bullet"/>
      <w:lvlText w:val=""/>
      <w:lvlJc w:val="left"/>
      <w:pPr>
        <w:ind w:left="6480" w:hanging="360"/>
      </w:pPr>
      <w:rPr>
        <w:rFonts w:ascii="Wingdings" w:hAnsi="Wingdings" w:hint="default"/>
      </w:rPr>
    </w:lvl>
  </w:abstractNum>
  <w:abstractNum w:abstractNumId="201" w15:restartNumberingAfterBreak="0">
    <w:nsid w:val="19C43A5D"/>
    <w:multiLevelType w:val="multilevel"/>
    <w:tmpl w:val="80C47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19FA397E"/>
    <w:multiLevelType w:val="hybridMultilevel"/>
    <w:tmpl w:val="99F6E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3" w15:restartNumberingAfterBreak="0">
    <w:nsid w:val="1A3772C3"/>
    <w:multiLevelType w:val="multilevel"/>
    <w:tmpl w:val="DFF698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1A4E07D2"/>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205" w15:restartNumberingAfterBreak="0">
    <w:nsid w:val="1A6D109B"/>
    <w:multiLevelType w:val="multilevel"/>
    <w:tmpl w:val="7F905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1AA316C1"/>
    <w:multiLevelType w:val="multilevel"/>
    <w:tmpl w:val="59E41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1AAEB759"/>
    <w:multiLevelType w:val="hybridMultilevel"/>
    <w:tmpl w:val="FFFFFFFF"/>
    <w:lvl w:ilvl="0" w:tplc="DFE84BAE">
      <w:start w:val="1"/>
      <w:numFmt w:val="lowerLetter"/>
      <w:lvlText w:val="(%1)"/>
      <w:lvlJc w:val="left"/>
      <w:pPr>
        <w:ind w:left="720" w:hanging="360"/>
      </w:pPr>
    </w:lvl>
    <w:lvl w:ilvl="1" w:tplc="AE58024C">
      <w:start w:val="1"/>
      <w:numFmt w:val="lowerLetter"/>
      <w:lvlText w:val="%2."/>
      <w:lvlJc w:val="left"/>
      <w:pPr>
        <w:ind w:left="1440" w:hanging="360"/>
      </w:pPr>
    </w:lvl>
    <w:lvl w:ilvl="2" w:tplc="609840FE">
      <w:start w:val="1"/>
      <w:numFmt w:val="lowerRoman"/>
      <w:lvlText w:val="%3."/>
      <w:lvlJc w:val="right"/>
      <w:pPr>
        <w:ind w:left="2160" w:hanging="180"/>
      </w:pPr>
    </w:lvl>
    <w:lvl w:ilvl="3" w:tplc="CF963ADC">
      <w:start w:val="1"/>
      <w:numFmt w:val="decimal"/>
      <w:lvlText w:val="%4."/>
      <w:lvlJc w:val="left"/>
      <w:pPr>
        <w:ind w:left="2880" w:hanging="360"/>
      </w:pPr>
    </w:lvl>
    <w:lvl w:ilvl="4" w:tplc="9904D24C">
      <w:start w:val="1"/>
      <w:numFmt w:val="lowerLetter"/>
      <w:lvlText w:val="%5."/>
      <w:lvlJc w:val="left"/>
      <w:pPr>
        <w:ind w:left="3600" w:hanging="360"/>
      </w:pPr>
    </w:lvl>
    <w:lvl w:ilvl="5" w:tplc="2D160D6C">
      <w:start w:val="1"/>
      <w:numFmt w:val="lowerRoman"/>
      <w:lvlText w:val="%6."/>
      <w:lvlJc w:val="right"/>
      <w:pPr>
        <w:ind w:left="4320" w:hanging="180"/>
      </w:pPr>
    </w:lvl>
    <w:lvl w:ilvl="6" w:tplc="35F0A586">
      <w:start w:val="1"/>
      <w:numFmt w:val="decimal"/>
      <w:lvlText w:val="%7."/>
      <w:lvlJc w:val="left"/>
      <w:pPr>
        <w:ind w:left="5040" w:hanging="360"/>
      </w:pPr>
    </w:lvl>
    <w:lvl w:ilvl="7" w:tplc="9CB42034">
      <w:start w:val="1"/>
      <w:numFmt w:val="lowerLetter"/>
      <w:lvlText w:val="%8."/>
      <w:lvlJc w:val="left"/>
      <w:pPr>
        <w:ind w:left="5760" w:hanging="360"/>
      </w:pPr>
    </w:lvl>
    <w:lvl w:ilvl="8" w:tplc="B3BA6E30">
      <w:start w:val="1"/>
      <w:numFmt w:val="lowerRoman"/>
      <w:lvlText w:val="%9."/>
      <w:lvlJc w:val="right"/>
      <w:pPr>
        <w:ind w:left="6480" w:hanging="180"/>
      </w:pPr>
    </w:lvl>
  </w:abstractNum>
  <w:abstractNum w:abstractNumId="208" w15:restartNumberingAfterBreak="0">
    <w:nsid w:val="1ABF9986"/>
    <w:multiLevelType w:val="hybridMultilevel"/>
    <w:tmpl w:val="137CF3C6"/>
    <w:lvl w:ilvl="0" w:tplc="A5A889BA">
      <w:start w:val="1"/>
      <w:numFmt w:val="bullet"/>
      <w:lvlText w:val=""/>
      <w:lvlJc w:val="left"/>
      <w:pPr>
        <w:ind w:left="720" w:hanging="360"/>
      </w:pPr>
      <w:rPr>
        <w:rFonts w:ascii="Symbol" w:hAnsi="Symbol" w:hint="default"/>
      </w:rPr>
    </w:lvl>
    <w:lvl w:ilvl="1" w:tplc="371A730A">
      <w:start w:val="1"/>
      <w:numFmt w:val="bullet"/>
      <w:lvlText w:val="o"/>
      <w:lvlJc w:val="left"/>
      <w:pPr>
        <w:ind w:left="1440" w:hanging="360"/>
      </w:pPr>
      <w:rPr>
        <w:rFonts w:ascii="Courier New" w:hAnsi="Courier New" w:hint="default"/>
      </w:rPr>
    </w:lvl>
    <w:lvl w:ilvl="2" w:tplc="C246B302">
      <w:start w:val="1"/>
      <w:numFmt w:val="bullet"/>
      <w:lvlText w:val=""/>
      <w:lvlJc w:val="left"/>
      <w:pPr>
        <w:ind w:left="2160" w:hanging="360"/>
      </w:pPr>
      <w:rPr>
        <w:rFonts w:ascii="Wingdings" w:hAnsi="Wingdings" w:hint="default"/>
      </w:rPr>
    </w:lvl>
    <w:lvl w:ilvl="3" w:tplc="CEF04A7E">
      <w:start w:val="1"/>
      <w:numFmt w:val="bullet"/>
      <w:lvlText w:val=""/>
      <w:lvlJc w:val="left"/>
      <w:pPr>
        <w:ind w:left="2880" w:hanging="360"/>
      </w:pPr>
      <w:rPr>
        <w:rFonts w:ascii="Symbol" w:hAnsi="Symbol" w:hint="default"/>
      </w:rPr>
    </w:lvl>
    <w:lvl w:ilvl="4" w:tplc="452C016E">
      <w:start w:val="1"/>
      <w:numFmt w:val="bullet"/>
      <w:lvlText w:val="o"/>
      <w:lvlJc w:val="left"/>
      <w:pPr>
        <w:ind w:left="3600" w:hanging="360"/>
      </w:pPr>
      <w:rPr>
        <w:rFonts w:ascii="Courier New" w:hAnsi="Courier New" w:hint="default"/>
      </w:rPr>
    </w:lvl>
    <w:lvl w:ilvl="5" w:tplc="3AF8CA64">
      <w:start w:val="1"/>
      <w:numFmt w:val="bullet"/>
      <w:lvlText w:val=""/>
      <w:lvlJc w:val="left"/>
      <w:pPr>
        <w:ind w:left="4320" w:hanging="360"/>
      </w:pPr>
      <w:rPr>
        <w:rFonts w:ascii="Wingdings" w:hAnsi="Wingdings" w:hint="default"/>
      </w:rPr>
    </w:lvl>
    <w:lvl w:ilvl="6" w:tplc="ED6CFC80">
      <w:start w:val="1"/>
      <w:numFmt w:val="bullet"/>
      <w:lvlText w:val=""/>
      <w:lvlJc w:val="left"/>
      <w:pPr>
        <w:ind w:left="5040" w:hanging="360"/>
      </w:pPr>
      <w:rPr>
        <w:rFonts w:ascii="Symbol" w:hAnsi="Symbol" w:hint="default"/>
      </w:rPr>
    </w:lvl>
    <w:lvl w:ilvl="7" w:tplc="6F22DE56">
      <w:start w:val="1"/>
      <w:numFmt w:val="bullet"/>
      <w:lvlText w:val="o"/>
      <w:lvlJc w:val="left"/>
      <w:pPr>
        <w:ind w:left="5760" w:hanging="360"/>
      </w:pPr>
      <w:rPr>
        <w:rFonts w:ascii="Courier New" w:hAnsi="Courier New" w:hint="default"/>
      </w:rPr>
    </w:lvl>
    <w:lvl w:ilvl="8" w:tplc="0DDACD54">
      <w:start w:val="1"/>
      <w:numFmt w:val="bullet"/>
      <w:lvlText w:val=""/>
      <w:lvlJc w:val="left"/>
      <w:pPr>
        <w:ind w:left="6480" w:hanging="360"/>
      </w:pPr>
      <w:rPr>
        <w:rFonts w:ascii="Wingdings" w:hAnsi="Wingdings" w:hint="default"/>
      </w:rPr>
    </w:lvl>
  </w:abstractNum>
  <w:abstractNum w:abstractNumId="209" w15:restartNumberingAfterBreak="0">
    <w:nsid w:val="1AC78BAE"/>
    <w:multiLevelType w:val="hybridMultilevel"/>
    <w:tmpl w:val="E892CAEE"/>
    <w:lvl w:ilvl="0" w:tplc="830CC7E0">
      <w:start w:val="1"/>
      <w:numFmt w:val="bullet"/>
      <w:lvlText w:val=""/>
      <w:lvlJc w:val="left"/>
      <w:pPr>
        <w:ind w:left="720" w:hanging="360"/>
      </w:pPr>
      <w:rPr>
        <w:rFonts w:ascii="Symbol" w:hAnsi="Symbol" w:hint="default"/>
      </w:rPr>
    </w:lvl>
    <w:lvl w:ilvl="1" w:tplc="95263B8C">
      <w:start w:val="1"/>
      <w:numFmt w:val="bullet"/>
      <w:lvlText w:val="o"/>
      <w:lvlJc w:val="left"/>
      <w:pPr>
        <w:ind w:left="1440" w:hanging="360"/>
      </w:pPr>
      <w:rPr>
        <w:rFonts w:ascii="Courier New" w:hAnsi="Courier New" w:hint="default"/>
      </w:rPr>
    </w:lvl>
    <w:lvl w:ilvl="2" w:tplc="D7A697B2">
      <w:start w:val="1"/>
      <w:numFmt w:val="bullet"/>
      <w:lvlText w:val=""/>
      <w:lvlJc w:val="left"/>
      <w:pPr>
        <w:ind w:left="2160" w:hanging="360"/>
      </w:pPr>
      <w:rPr>
        <w:rFonts w:ascii="Wingdings" w:hAnsi="Wingdings" w:hint="default"/>
      </w:rPr>
    </w:lvl>
    <w:lvl w:ilvl="3" w:tplc="2A7C26EE">
      <w:start w:val="1"/>
      <w:numFmt w:val="bullet"/>
      <w:lvlText w:val=""/>
      <w:lvlJc w:val="left"/>
      <w:pPr>
        <w:ind w:left="2880" w:hanging="360"/>
      </w:pPr>
      <w:rPr>
        <w:rFonts w:ascii="Symbol" w:hAnsi="Symbol" w:hint="default"/>
      </w:rPr>
    </w:lvl>
    <w:lvl w:ilvl="4" w:tplc="DB362584">
      <w:start w:val="1"/>
      <w:numFmt w:val="bullet"/>
      <w:lvlText w:val="o"/>
      <w:lvlJc w:val="left"/>
      <w:pPr>
        <w:ind w:left="3600" w:hanging="360"/>
      </w:pPr>
      <w:rPr>
        <w:rFonts w:ascii="Courier New" w:hAnsi="Courier New" w:hint="default"/>
      </w:rPr>
    </w:lvl>
    <w:lvl w:ilvl="5" w:tplc="7B7A9798">
      <w:start w:val="1"/>
      <w:numFmt w:val="bullet"/>
      <w:lvlText w:val=""/>
      <w:lvlJc w:val="left"/>
      <w:pPr>
        <w:ind w:left="4320" w:hanging="360"/>
      </w:pPr>
      <w:rPr>
        <w:rFonts w:ascii="Wingdings" w:hAnsi="Wingdings" w:hint="default"/>
      </w:rPr>
    </w:lvl>
    <w:lvl w:ilvl="6" w:tplc="1CBEFB84">
      <w:start w:val="1"/>
      <w:numFmt w:val="bullet"/>
      <w:lvlText w:val=""/>
      <w:lvlJc w:val="left"/>
      <w:pPr>
        <w:ind w:left="5040" w:hanging="360"/>
      </w:pPr>
      <w:rPr>
        <w:rFonts w:ascii="Symbol" w:hAnsi="Symbol" w:hint="default"/>
      </w:rPr>
    </w:lvl>
    <w:lvl w:ilvl="7" w:tplc="95F0804A">
      <w:start w:val="1"/>
      <w:numFmt w:val="bullet"/>
      <w:lvlText w:val="o"/>
      <w:lvlJc w:val="left"/>
      <w:pPr>
        <w:ind w:left="5760" w:hanging="360"/>
      </w:pPr>
      <w:rPr>
        <w:rFonts w:ascii="Courier New" w:hAnsi="Courier New" w:hint="default"/>
      </w:rPr>
    </w:lvl>
    <w:lvl w:ilvl="8" w:tplc="402659EE">
      <w:start w:val="1"/>
      <w:numFmt w:val="bullet"/>
      <w:lvlText w:val=""/>
      <w:lvlJc w:val="left"/>
      <w:pPr>
        <w:ind w:left="6480" w:hanging="360"/>
      </w:pPr>
      <w:rPr>
        <w:rFonts w:ascii="Wingdings" w:hAnsi="Wingdings" w:hint="default"/>
      </w:rPr>
    </w:lvl>
  </w:abstractNum>
  <w:abstractNum w:abstractNumId="210" w15:restartNumberingAfterBreak="0">
    <w:nsid w:val="1AD75D87"/>
    <w:multiLevelType w:val="multilevel"/>
    <w:tmpl w:val="C06ED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1B05F042"/>
    <w:multiLevelType w:val="hybridMultilevel"/>
    <w:tmpl w:val="B0149C88"/>
    <w:lvl w:ilvl="0" w:tplc="AECA0554">
      <w:start w:val="1"/>
      <w:numFmt w:val="decimal"/>
      <w:lvlText w:val="%1."/>
      <w:lvlJc w:val="left"/>
      <w:pPr>
        <w:ind w:left="547" w:hanging="360"/>
      </w:pPr>
    </w:lvl>
    <w:lvl w:ilvl="1" w:tplc="C2BEA764">
      <w:start w:val="1"/>
      <w:numFmt w:val="lowerLetter"/>
      <w:lvlText w:val="%2."/>
      <w:lvlJc w:val="left"/>
      <w:pPr>
        <w:ind w:left="1267" w:hanging="360"/>
      </w:pPr>
    </w:lvl>
    <w:lvl w:ilvl="2" w:tplc="147C5654">
      <w:start w:val="1"/>
      <w:numFmt w:val="lowerRoman"/>
      <w:lvlText w:val="%3."/>
      <w:lvlJc w:val="right"/>
      <w:pPr>
        <w:ind w:left="1987" w:hanging="180"/>
      </w:pPr>
    </w:lvl>
    <w:lvl w:ilvl="3" w:tplc="6492B1CA">
      <w:start w:val="1"/>
      <w:numFmt w:val="decimal"/>
      <w:lvlText w:val="%4."/>
      <w:lvlJc w:val="left"/>
      <w:pPr>
        <w:ind w:left="2707" w:hanging="360"/>
      </w:pPr>
    </w:lvl>
    <w:lvl w:ilvl="4" w:tplc="0E9005AE">
      <w:start w:val="1"/>
      <w:numFmt w:val="lowerLetter"/>
      <w:lvlText w:val="%5."/>
      <w:lvlJc w:val="left"/>
      <w:pPr>
        <w:ind w:left="3427" w:hanging="360"/>
      </w:pPr>
    </w:lvl>
    <w:lvl w:ilvl="5" w:tplc="34E6AFBC">
      <w:start w:val="1"/>
      <w:numFmt w:val="lowerRoman"/>
      <w:lvlText w:val="%6."/>
      <w:lvlJc w:val="right"/>
      <w:pPr>
        <w:ind w:left="4147" w:hanging="180"/>
      </w:pPr>
    </w:lvl>
    <w:lvl w:ilvl="6" w:tplc="38764F28">
      <w:start w:val="1"/>
      <w:numFmt w:val="decimal"/>
      <w:lvlText w:val="%7."/>
      <w:lvlJc w:val="left"/>
      <w:pPr>
        <w:ind w:left="4867" w:hanging="360"/>
      </w:pPr>
    </w:lvl>
    <w:lvl w:ilvl="7" w:tplc="3EB291FA">
      <w:start w:val="1"/>
      <w:numFmt w:val="lowerLetter"/>
      <w:lvlText w:val="%8."/>
      <w:lvlJc w:val="left"/>
      <w:pPr>
        <w:ind w:left="5587" w:hanging="360"/>
      </w:pPr>
    </w:lvl>
    <w:lvl w:ilvl="8" w:tplc="98BE4CB8">
      <w:start w:val="1"/>
      <w:numFmt w:val="lowerRoman"/>
      <w:lvlText w:val="%9."/>
      <w:lvlJc w:val="right"/>
      <w:pPr>
        <w:ind w:left="6307" w:hanging="180"/>
      </w:pPr>
    </w:lvl>
  </w:abstractNum>
  <w:abstractNum w:abstractNumId="212" w15:restartNumberingAfterBreak="0">
    <w:nsid w:val="1B0F38E9"/>
    <w:multiLevelType w:val="multilevel"/>
    <w:tmpl w:val="FADA0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1BE72429"/>
    <w:multiLevelType w:val="hybridMultilevel"/>
    <w:tmpl w:val="E6F60608"/>
    <w:lvl w:ilvl="0" w:tplc="A1C8E40A">
      <w:start w:val="1"/>
      <w:numFmt w:val="bullet"/>
      <w:lvlText w:val=""/>
      <w:lvlJc w:val="left"/>
      <w:pPr>
        <w:ind w:left="720" w:hanging="360"/>
      </w:pPr>
      <w:rPr>
        <w:rFonts w:ascii="Symbol" w:hAnsi="Symbol"/>
      </w:rPr>
    </w:lvl>
    <w:lvl w:ilvl="1" w:tplc="0C161D64">
      <w:start w:val="1"/>
      <w:numFmt w:val="bullet"/>
      <w:lvlText w:val=""/>
      <w:lvlJc w:val="left"/>
      <w:pPr>
        <w:ind w:left="720" w:hanging="360"/>
      </w:pPr>
      <w:rPr>
        <w:rFonts w:ascii="Symbol" w:hAnsi="Symbol"/>
      </w:rPr>
    </w:lvl>
    <w:lvl w:ilvl="2" w:tplc="FB42A24A">
      <w:start w:val="1"/>
      <w:numFmt w:val="bullet"/>
      <w:lvlText w:val=""/>
      <w:lvlJc w:val="left"/>
      <w:pPr>
        <w:ind w:left="720" w:hanging="360"/>
      </w:pPr>
      <w:rPr>
        <w:rFonts w:ascii="Symbol" w:hAnsi="Symbol"/>
      </w:rPr>
    </w:lvl>
    <w:lvl w:ilvl="3" w:tplc="68225088">
      <w:start w:val="1"/>
      <w:numFmt w:val="bullet"/>
      <w:lvlText w:val=""/>
      <w:lvlJc w:val="left"/>
      <w:pPr>
        <w:ind w:left="720" w:hanging="360"/>
      </w:pPr>
      <w:rPr>
        <w:rFonts w:ascii="Symbol" w:hAnsi="Symbol"/>
      </w:rPr>
    </w:lvl>
    <w:lvl w:ilvl="4" w:tplc="CC6E496C">
      <w:start w:val="1"/>
      <w:numFmt w:val="bullet"/>
      <w:lvlText w:val=""/>
      <w:lvlJc w:val="left"/>
      <w:pPr>
        <w:ind w:left="720" w:hanging="360"/>
      </w:pPr>
      <w:rPr>
        <w:rFonts w:ascii="Symbol" w:hAnsi="Symbol"/>
      </w:rPr>
    </w:lvl>
    <w:lvl w:ilvl="5" w:tplc="267A6C8E">
      <w:start w:val="1"/>
      <w:numFmt w:val="bullet"/>
      <w:lvlText w:val=""/>
      <w:lvlJc w:val="left"/>
      <w:pPr>
        <w:ind w:left="720" w:hanging="360"/>
      </w:pPr>
      <w:rPr>
        <w:rFonts w:ascii="Symbol" w:hAnsi="Symbol"/>
      </w:rPr>
    </w:lvl>
    <w:lvl w:ilvl="6" w:tplc="00E23066">
      <w:start w:val="1"/>
      <w:numFmt w:val="bullet"/>
      <w:lvlText w:val=""/>
      <w:lvlJc w:val="left"/>
      <w:pPr>
        <w:ind w:left="720" w:hanging="360"/>
      </w:pPr>
      <w:rPr>
        <w:rFonts w:ascii="Symbol" w:hAnsi="Symbol"/>
      </w:rPr>
    </w:lvl>
    <w:lvl w:ilvl="7" w:tplc="143A6788">
      <w:start w:val="1"/>
      <w:numFmt w:val="bullet"/>
      <w:lvlText w:val=""/>
      <w:lvlJc w:val="left"/>
      <w:pPr>
        <w:ind w:left="720" w:hanging="360"/>
      </w:pPr>
      <w:rPr>
        <w:rFonts w:ascii="Symbol" w:hAnsi="Symbol"/>
      </w:rPr>
    </w:lvl>
    <w:lvl w:ilvl="8" w:tplc="38601B12">
      <w:start w:val="1"/>
      <w:numFmt w:val="bullet"/>
      <w:lvlText w:val=""/>
      <w:lvlJc w:val="left"/>
      <w:pPr>
        <w:ind w:left="720" w:hanging="360"/>
      </w:pPr>
      <w:rPr>
        <w:rFonts w:ascii="Symbol" w:hAnsi="Symbol"/>
      </w:rPr>
    </w:lvl>
  </w:abstractNum>
  <w:abstractNum w:abstractNumId="214" w15:restartNumberingAfterBreak="0">
    <w:nsid w:val="1C5E0103"/>
    <w:multiLevelType w:val="multilevel"/>
    <w:tmpl w:val="E8E68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1C755E29"/>
    <w:multiLevelType w:val="multilevel"/>
    <w:tmpl w:val="4560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1C8714C2"/>
    <w:multiLevelType w:val="multilevel"/>
    <w:tmpl w:val="2942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1C911BC0"/>
    <w:multiLevelType w:val="multilevel"/>
    <w:tmpl w:val="9E30F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1C941224"/>
    <w:multiLevelType w:val="multilevel"/>
    <w:tmpl w:val="658A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1C9E0973"/>
    <w:multiLevelType w:val="multilevel"/>
    <w:tmpl w:val="43661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1CB74E65"/>
    <w:multiLevelType w:val="multilevel"/>
    <w:tmpl w:val="6354F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1CEA7979"/>
    <w:multiLevelType w:val="multilevel"/>
    <w:tmpl w:val="DB54A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1D12651D"/>
    <w:multiLevelType w:val="hybridMultilevel"/>
    <w:tmpl w:val="F4F026C4"/>
    <w:lvl w:ilvl="0" w:tplc="9A44A8EC">
      <w:start w:val="1"/>
      <w:numFmt w:val="lowerLetter"/>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3" w15:restartNumberingAfterBreak="0">
    <w:nsid w:val="1D1552BA"/>
    <w:multiLevelType w:val="multilevel"/>
    <w:tmpl w:val="04A0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1D393A16"/>
    <w:multiLevelType w:val="multilevel"/>
    <w:tmpl w:val="52A88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1D4E774D"/>
    <w:multiLevelType w:val="multilevel"/>
    <w:tmpl w:val="0C800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1D8E1490"/>
    <w:multiLevelType w:val="hybridMultilevel"/>
    <w:tmpl w:val="0C3E17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7" w15:restartNumberingAfterBreak="0">
    <w:nsid w:val="1DBF092D"/>
    <w:multiLevelType w:val="hybridMultilevel"/>
    <w:tmpl w:val="13B8007C"/>
    <w:lvl w:ilvl="0" w:tplc="E32834B8">
      <w:start w:val="1"/>
      <w:numFmt w:val="bullet"/>
      <w:lvlText w:val=""/>
      <w:lvlJc w:val="left"/>
      <w:pPr>
        <w:ind w:left="720" w:hanging="360"/>
      </w:pPr>
      <w:rPr>
        <w:rFonts w:ascii="Wingdings" w:hAnsi="Wingdings" w:hint="default"/>
      </w:rPr>
    </w:lvl>
    <w:lvl w:ilvl="1" w:tplc="06BCABFC">
      <w:start w:val="1"/>
      <w:numFmt w:val="bullet"/>
      <w:lvlText w:val="o"/>
      <w:lvlJc w:val="left"/>
      <w:pPr>
        <w:ind w:left="1440" w:hanging="360"/>
      </w:pPr>
      <w:rPr>
        <w:rFonts w:ascii="Courier New" w:hAnsi="Courier New" w:hint="default"/>
      </w:rPr>
    </w:lvl>
    <w:lvl w:ilvl="2" w:tplc="825EB5D2">
      <w:start w:val="1"/>
      <w:numFmt w:val="bullet"/>
      <w:lvlText w:val=""/>
      <w:lvlJc w:val="left"/>
      <w:pPr>
        <w:ind w:left="2160" w:hanging="360"/>
      </w:pPr>
      <w:rPr>
        <w:rFonts w:ascii="Wingdings" w:hAnsi="Wingdings" w:hint="default"/>
      </w:rPr>
    </w:lvl>
    <w:lvl w:ilvl="3" w:tplc="D8CCA27E">
      <w:start w:val="1"/>
      <w:numFmt w:val="bullet"/>
      <w:lvlText w:val=""/>
      <w:lvlJc w:val="left"/>
      <w:pPr>
        <w:ind w:left="2880" w:hanging="360"/>
      </w:pPr>
      <w:rPr>
        <w:rFonts w:ascii="Symbol" w:hAnsi="Symbol" w:hint="default"/>
      </w:rPr>
    </w:lvl>
    <w:lvl w:ilvl="4" w:tplc="405C9BAC">
      <w:start w:val="1"/>
      <w:numFmt w:val="bullet"/>
      <w:lvlText w:val="o"/>
      <w:lvlJc w:val="left"/>
      <w:pPr>
        <w:ind w:left="3600" w:hanging="360"/>
      </w:pPr>
      <w:rPr>
        <w:rFonts w:ascii="Courier New" w:hAnsi="Courier New" w:hint="default"/>
      </w:rPr>
    </w:lvl>
    <w:lvl w:ilvl="5" w:tplc="80969E5A">
      <w:start w:val="1"/>
      <w:numFmt w:val="bullet"/>
      <w:lvlText w:val=""/>
      <w:lvlJc w:val="left"/>
      <w:pPr>
        <w:ind w:left="4320" w:hanging="360"/>
      </w:pPr>
      <w:rPr>
        <w:rFonts w:ascii="Wingdings" w:hAnsi="Wingdings" w:hint="default"/>
      </w:rPr>
    </w:lvl>
    <w:lvl w:ilvl="6" w:tplc="780A8DF4">
      <w:start w:val="1"/>
      <w:numFmt w:val="bullet"/>
      <w:lvlText w:val=""/>
      <w:lvlJc w:val="left"/>
      <w:pPr>
        <w:ind w:left="5040" w:hanging="360"/>
      </w:pPr>
      <w:rPr>
        <w:rFonts w:ascii="Symbol" w:hAnsi="Symbol" w:hint="default"/>
      </w:rPr>
    </w:lvl>
    <w:lvl w:ilvl="7" w:tplc="2AA685C0">
      <w:start w:val="1"/>
      <w:numFmt w:val="bullet"/>
      <w:lvlText w:val="o"/>
      <w:lvlJc w:val="left"/>
      <w:pPr>
        <w:ind w:left="5760" w:hanging="360"/>
      </w:pPr>
      <w:rPr>
        <w:rFonts w:ascii="Courier New" w:hAnsi="Courier New" w:hint="default"/>
      </w:rPr>
    </w:lvl>
    <w:lvl w:ilvl="8" w:tplc="A71A28CE">
      <w:start w:val="1"/>
      <w:numFmt w:val="bullet"/>
      <w:lvlText w:val=""/>
      <w:lvlJc w:val="left"/>
      <w:pPr>
        <w:ind w:left="6480" w:hanging="360"/>
      </w:pPr>
      <w:rPr>
        <w:rFonts w:ascii="Wingdings" w:hAnsi="Wingdings" w:hint="default"/>
      </w:rPr>
    </w:lvl>
  </w:abstractNum>
  <w:abstractNum w:abstractNumId="228" w15:restartNumberingAfterBreak="0">
    <w:nsid w:val="1E043D04"/>
    <w:multiLevelType w:val="multilevel"/>
    <w:tmpl w:val="1D9A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9" w15:restartNumberingAfterBreak="0">
    <w:nsid w:val="1E15CFA8"/>
    <w:multiLevelType w:val="multilevel"/>
    <w:tmpl w:val="D3F886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0" w15:restartNumberingAfterBreak="0">
    <w:nsid w:val="1E306AAA"/>
    <w:multiLevelType w:val="hybridMultilevel"/>
    <w:tmpl w:val="8362F0B0"/>
    <w:lvl w:ilvl="0" w:tplc="1D023E12">
      <w:start w:val="1"/>
      <w:numFmt w:val="bullet"/>
      <w:lvlText w:val=""/>
      <w:lvlJc w:val="left"/>
      <w:pPr>
        <w:ind w:left="547" w:hanging="360"/>
      </w:pPr>
      <w:rPr>
        <w:rFonts w:ascii="Symbol" w:hAnsi="Symbol" w:hint="default"/>
      </w:rPr>
    </w:lvl>
    <w:lvl w:ilvl="1" w:tplc="B7C0B776">
      <w:start w:val="1"/>
      <w:numFmt w:val="bullet"/>
      <w:lvlText w:val="o"/>
      <w:lvlJc w:val="left"/>
      <w:pPr>
        <w:ind w:left="1267" w:hanging="360"/>
      </w:pPr>
      <w:rPr>
        <w:rFonts w:ascii="Courier New" w:hAnsi="Courier New" w:hint="default"/>
      </w:rPr>
    </w:lvl>
    <w:lvl w:ilvl="2" w:tplc="E0188EA8">
      <w:start w:val="1"/>
      <w:numFmt w:val="bullet"/>
      <w:lvlText w:val=""/>
      <w:lvlJc w:val="left"/>
      <w:pPr>
        <w:ind w:left="1987" w:hanging="360"/>
      </w:pPr>
      <w:rPr>
        <w:rFonts w:ascii="Wingdings" w:hAnsi="Wingdings" w:hint="default"/>
      </w:rPr>
    </w:lvl>
    <w:lvl w:ilvl="3" w:tplc="59B27D4C">
      <w:start w:val="1"/>
      <w:numFmt w:val="bullet"/>
      <w:lvlText w:val=""/>
      <w:lvlJc w:val="left"/>
      <w:pPr>
        <w:ind w:left="2707" w:hanging="360"/>
      </w:pPr>
      <w:rPr>
        <w:rFonts w:ascii="Symbol" w:hAnsi="Symbol" w:hint="default"/>
      </w:rPr>
    </w:lvl>
    <w:lvl w:ilvl="4" w:tplc="28CED832">
      <w:start w:val="1"/>
      <w:numFmt w:val="bullet"/>
      <w:lvlText w:val="o"/>
      <w:lvlJc w:val="left"/>
      <w:pPr>
        <w:ind w:left="3427" w:hanging="360"/>
      </w:pPr>
      <w:rPr>
        <w:rFonts w:ascii="Courier New" w:hAnsi="Courier New" w:hint="default"/>
      </w:rPr>
    </w:lvl>
    <w:lvl w:ilvl="5" w:tplc="B8645054">
      <w:start w:val="1"/>
      <w:numFmt w:val="bullet"/>
      <w:lvlText w:val=""/>
      <w:lvlJc w:val="left"/>
      <w:pPr>
        <w:ind w:left="4147" w:hanging="360"/>
      </w:pPr>
      <w:rPr>
        <w:rFonts w:ascii="Wingdings" w:hAnsi="Wingdings" w:hint="default"/>
      </w:rPr>
    </w:lvl>
    <w:lvl w:ilvl="6" w:tplc="1CF660DC">
      <w:start w:val="1"/>
      <w:numFmt w:val="bullet"/>
      <w:lvlText w:val=""/>
      <w:lvlJc w:val="left"/>
      <w:pPr>
        <w:ind w:left="4867" w:hanging="360"/>
      </w:pPr>
      <w:rPr>
        <w:rFonts w:ascii="Symbol" w:hAnsi="Symbol" w:hint="default"/>
      </w:rPr>
    </w:lvl>
    <w:lvl w:ilvl="7" w:tplc="5614A078">
      <w:start w:val="1"/>
      <w:numFmt w:val="bullet"/>
      <w:lvlText w:val="o"/>
      <w:lvlJc w:val="left"/>
      <w:pPr>
        <w:ind w:left="5587" w:hanging="360"/>
      </w:pPr>
      <w:rPr>
        <w:rFonts w:ascii="Courier New" w:hAnsi="Courier New" w:hint="default"/>
      </w:rPr>
    </w:lvl>
    <w:lvl w:ilvl="8" w:tplc="945052B4">
      <w:start w:val="1"/>
      <w:numFmt w:val="bullet"/>
      <w:lvlText w:val=""/>
      <w:lvlJc w:val="left"/>
      <w:pPr>
        <w:ind w:left="6307" w:hanging="360"/>
      </w:pPr>
      <w:rPr>
        <w:rFonts w:ascii="Wingdings" w:hAnsi="Wingdings" w:hint="default"/>
      </w:rPr>
    </w:lvl>
  </w:abstractNum>
  <w:abstractNum w:abstractNumId="231" w15:restartNumberingAfterBreak="0">
    <w:nsid w:val="1E584D2E"/>
    <w:multiLevelType w:val="multilevel"/>
    <w:tmpl w:val="584CD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1E9B6101"/>
    <w:multiLevelType w:val="hybridMultilevel"/>
    <w:tmpl w:val="7D9671E4"/>
    <w:lvl w:ilvl="0" w:tplc="B0CAB144">
      <w:start w:val="1"/>
      <w:numFmt w:val="bullet"/>
      <w:lvlText w:val=""/>
      <w:lvlJc w:val="left"/>
      <w:pPr>
        <w:ind w:left="720" w:hanging="360"/>
      </w:pPr>
      <w:rPr>
        <w:rFonts w:ascii="Symbol" w:hAnsi="Symbol" w:hint="default"/>
      </w:rPr>
    </w:lvl>
    <w:lvl w:ilvl="1" w:tplc="2E8E8144">
      <w:start w:val="1"/>
      <w:numFmt w:val="bullet"/>
      <w:lvlText w:val="o"/>
      <w:lvlJc w:val="left"/>
      <w:pPr>
        <w:ind w:left="1440" w:hanging="360"/>
      </w:pPr>
      <w:rPr>
        <w:rFonts w:ascii="Courier New" w:hAnsi="Courier New" w:hint="default"/>
      </w:rPr>
    </w:lvl>
    <w:lvl w:ilvl="2" w:tplc="AF865528">
      <w:start w:val="1"/>
      <w:numFmt w:val="bullet"/>
      <w:lvlText w:val=""/>
      <w:lvlJc w:val="left"/>
      <w:pPr>
        <w:ind w:left="2160" w:hanging="360"/>
      </w:pPr>
      <w:rPr>
        <w:rFonts w:ascii="Wingdings" w:hAnsi="Wingdings" w:hint="default"/>
      </w:rPr>
    </w:lvl>
    <w:lvl w:ilvl="3" w:tplc="6492AE8A">
      <w:start w:val="1"/>
      <w:numFmt w:val="bullet"/>
      <w:lvlText w:val=""/>
      <w:lvlJc w:val="left"/>
      <w:pPr>
        <w:ind w:left="2880" w:hanging="360"/>
      </w:pPr>
      <w:rPr>
        <w:rFonts w:ascii="Symbol" w:hAnsi="Symbol" w:hint="default"/>
      </w:rPr>
    </w:lvl>
    <w:lvl w:ilvl="4" w:tplc="8E746E70">
      <w:start w:val="1"/>
      <w:numFmt w:val="bullet"/>
      <w:lvlText w:val="o"/>
      <w:lvlJc w:val="left"/>
      <w:pPr>
        <w:ind w:left="3600" w:hanging="360"/>
      </w:pPr>
      <w:rPr>
        <w:rFonts w:ascii="Courier New" w:hAnsi="Courier New" w:hint="default"/>
      </w:rPr>
    </w:lvl>
    <w:lvl w:ilvl="5" w:tplc="38DEEBE6">
      <w:start w:val="1"/>
      <w:numFmt w:val="bullet"/>
      <w:lvlText w:val=""/>
      <w:lvlJc w:val="left"/>
      <w:pPr>
        <w:ind w:left="4320" w:hanging="360"/>
      </w:pPr>
      <w:rPr>
        <w:rFonts w:ascii="Wingdings" w:hAnsi="Wingdings" w:hint="default"/>
      </w:rPr>
    </w:lvl>
    <w:lvl w:ilvl="6" w:tplc="60F405B0">
      <w:start w:val="1"/>
      <w:numFmt w:val="bullet"/>
      <w:lvlText w:val=""/>
      <w:lvlJc w:val="left"/>
      <w:pPr>
        <w:ind w:left="5040" w:hanging="360"/>
      </w:pPr>
      <w:rPr>
        <w:rFonts w:ascii="Symbol" w:hAnsi="Symbol" w:hint="default"/>
      </w:rPr>
    </w:lvl>
    <w:lvl w:ilvl="7" w:tplc="6FB63A5C">
      <w:start w:val="1"/>
      <w:numFmt w:val="bullet"/>
      <w:lvlText w:val="o"/>
      <w:lvlJc w:val="left"/>
      <w:pPr>
        <w:ind w:left="5760" w:hanging="360"/>
      </w:pPr>
      <w:rPr>
        <w:rFonts w:ascii="Courier New" w:hAnsi="Courier New" w:hint="default"/>
      </w:rPr>
    </w:lvl>
    <w:lvl w:ilvl="8" w:tplc="5C28C4FE">
      <w:start w:val="1"/>
      <w:numFmt w:val="bullet"/>
      <w:lvlText w:val=""/>
      <w:lvlJc w:val="left"/>
      <w:pPr>
        <w:ind w:left="6480" w:hanging="360"/>
      </w:pPr>
      <w:rPr>
        <w:rFonts w:ascii="Wingdings" w:hAnsi="Wingdings" w:hint="default"/>
      </w:rPr>
    </w:lvl>
  </w:abstractNum>
  <w:abstractNum w:abstractNumId="233" w15:restartNumberingAfterBreak="0">
    <w:nsid w:val="1EA317DF"/>
    <w:multiLevelType w:val="hybridMultilevel"/>
    <w:tmpl w:val="140EA2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4" w15:restartNumberingAfterBreak="0">
    <w:nsid w:val="1EC40BA1"/>
    <w:multiLevelType w:val="multilevel"/>
    <w:tmpl w:val="C604F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1ECA7375"/>
    <w:multiLevelType w:val="multilevel"/>
    <w:tmpl w:val="1CA8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6" w15:restartNumberingAfterBreak="0">
    <w:nsid w:val="1EF30646"/>
    <w:multiLevelType w:val="multilevel"/>
    <w:tmpl w:val="371ED1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7" w15:restartNumberingAfterBreak="0">
    <w:nsid w:val="1F036C76"/>
    <w:multiLevelType w:val="multilevel"/>
    <w:tmpl w:val="964C4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1F041110"/>
    <w:multiLevelType w:val="hybridMultilevel"/>
    <w:tmpl w:val="29D080B0"/>
    <w:lvl w:ilvl="0" w:tplc="D3D2C4F2">
      <w:start w:val="1"/>
      <w:numFmt w:val="lowerLetter"/>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9" w15:restartNumberingAfterBreak="0">
    <w:nsid w:val="1F577BD3"/>
    <w:multiLevelType w:val="multilevel"/>
    <w:tmpl w:val="255826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0" w15:restartNumberingAfterBreak="0">
    <w:nsid w:val="1F6FB152"/>
    <w:multiLevelType w:val="hybridMultilevel"/>
    <w:tmpl w:val="D75436FC"/>
    <w:lvl w:ilvl="0" w:tplc="E116C180">
      <w:start w:val="1"/>
      <w:numFmt w:val="bullet"/>
      <w:lvlText w:val="·"/>
      <w:lvlJc w:val="left"/>
      <w:pPr>
        <w:ind w:left="720" w:hanging="360"/>
      </w:pPr>
      <w:rPr>
        <w:rFonts w:ascii="Symbol" w:hAnsi="Symbol" w:hint="default"/>
      </w:rPr>
    </w:lvl>
    <w:lvl w:ilvl="1" w:tplc="E71CD12A">
      <w:start w:val="1"/>
      <w:numFmt w:val="bullet"/>
      <w:lvlText w:val="o"/>
      <w:lvlJc w:val="left"/>
      <w:pPr>
        <w:ind w:left="1440" w:hanging="360"/>
      </w:pPr>
      <w:rPr>
        <w:rFonts w:ascii="Courier New" w:hAnsi="Courier New" w:hint="default"/>
      </w:rPr>
    </w:lvl>
    <w:lvl w:ilvl="2" w:tplc="DB92205C">
      <w:start w:val="1"/>
      <w:numFmt w:val="bullet"/>
      <w:lvlText w:val=""/>
      <w:lvlJc w:val="left"/>
      <w:pPr>
        <w:ind w:left="2160" w:hanging="360"/>
      </w:pPr>
      <w:rPr>
        <w:rFonts w:ascii="Wingdings" w:hAnsi="Wingdings" w:hint="default"/>
      </w:rPr>
    </w:lvl>
    <w:lvl w:ilvl="3" w:tplc="ACF019BE">
      <w:start w:val="1"/>
      <w:numFmt w:val="bullet"/>
      <w:lvlText w:val=""/>
      <w:lvlJc w:val="left"/>
      <w:pPr>
        <w:ind w:left="2880" w:hanging="360"/>
      </w:pPr>
      <w:rPr>
        <w:rFonts w:ascii="Symbol" w:hAnsi="Symbol" w:hint="default"/>
      </w:rPr>
    </w:lvl>
    <w:lvl w:ilvl="4" w:tplc="149C23B4">
      <w:start w:val="1"/>
      <w:numFmt w:val="bullet"/>
      <w:lvlText w:val="o"/>
      <w:lvlJc w:val="left"/>
      <w:pPr>
        <w:ind w:left="3600" w:hanging="360"/>
      </w:pPr>
      <w:rPr>
        <w:rFonts w:ascii="Courier New" w:hAnsi="Courier New" w:hint="default"/>
      </w:rPr>
    </w:lvl>
    <w:lvl w:ilvl="5" w:tplc="34A03F7C">
      <w:start w:val="1"/>
      <w:numFmt w:val="bullet"/>
      <w:lvlText w:val=""/>
      <w:lvlJc w:val="left"/>
      <w:pPr>
        <w:ind w:left="4320" w:hanging="360"/>
      </w:pPr>
      <w:rPr>
        <w:rFonts w:ascii="Wingdings" w:hAnsi="Wingdings" w:hint="default"/>
      </w:rPr>
    </w:lvl>
    <w:lvl w:ilvl="6" w:tplc="F7D43BEE">
      <w:start w:val="1"/>
      <w:numFmt w:val="bullet"/>
      <w:lvlText w:val=""/>
      <w:lvlJc w:val="left"/>
      <w:pPr>
        <w:ind w:left="5040" w:hanging="360"/>
      </w:pPr>
      <w:rPr>
        <w:rFonts w:ascii="Symbol" w:hAnsi="Symbol" w:hint="default"/>
      </w:rPr>
    </w:lvl>
    <w:lvl w:ilvl="7" w:tplc="753631EC">
      <w:start w:val="1"/>
      <w:numFmt w:val="bullet"/>
      <w:lvlText w:val="o"/>
      <w:lvlJc w:val="left"/>
      <w:pPr>
        <w:ind w:left="5760" w:hanging="360"/>
      </w:pPr>
      <w:rPr>
        <w:rFonts w:ascii="Courier New" w:hAnsi="Courier New" w:hint="default"/>
      </w:rPr>
    </w:lvl>
    <w:lvl w:ilvl="8" w:tplc="789A0988">
      <w:start w:val="1"/>
      <w:numFmt w:val="bullet"/>
      <w:lvlText w:val=""/>
      <w:lvlJc w:val="left"/>
      <w:pPr>
        <w:ind w:left="6480" w:hanging="360"/>
      </w:pPr>
      <w:rPr>
        <w:rFonts w:ascii="Wingdings" w:hAnsi="Wingdings" w:hint="default"/>
      </w:rPr>
    </w:lvl>
  </w:abstractNum>
  <w:abstractNum w:abstractNumId="241" w15:restartNumberingAfterBreak="0">
    <w:nsid w:val="1F809015"/>
    <w:multiLevelType w:val="multilevel"/>
    <w:tmpl w:val="FFFFFFFF"/>
    <w:lvl w:ilvl="0">
      <w:start w:val="1"/>
      <w:numFmt w:val="bullet"/>
      <w:lvlText w:val="●"/>
      <w:lvlJc w:val="left"/>
      <w:pPr>
        <w:ind w:left="144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242" w15:restartNumberingAfterBreak="0">
    <w:nsid w:val="1F842FF1"/>
    <w:multiLevelType w:val="multilevel"/>
    <w:tmpl w:val="BFEA1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3" w15:restartNumberingAfterBreak="0">
    <w:nsid w:val="1F8C1E45"/>
    <w:multiLevelType w:val="hybridMultilevel"/>
    <w:tmpl w:val="D840B9A2"/>
    <w:lvl w:ilvl="0" w:tplc="28746BA8">
      <w:start w:val="1"/>
      <w:numFmt w:val="bullet"/>
      <w:lvlText w:val=""/>
      <w:lvlJc w:val="left"/>
      <w:pPr>
        <w:ind w:left="720" w:hanging="360"/>
      </w:pPr>
      <w:rPr>
        <w:rFonts w:ascii="Symbol" w:hAnsi="Symbol" w:hint="default"/>
      </w:rPr>
    </w:lvl>
    <w:lvl w:ilvl="1" w:tplc="A3824956">
      <w:start w:val="1"/>
      <w:numFmt w:val="bullet"/>
      <w:lvlText w:val="o"/>
      <w:lvlJc w:val="left"/>
      <w:pPr>
        <w:ind w:left="1440" w:hanging="360"/>
      </w:pPr>
      <w:rPr>
        <w:rFonts w:ascii="Courier New" w:hAnsi="Courier New" w:hint="default"/>
      </w:rPr>
    </w:lvl>
    <w:lvl w:ilvl="2" w:tplc="CE484774">
      <w:start w:val="1"/>
      <w:numFmt w:val="bullet"/>
      <w:lvlText w:val=""/>
      <w:lvlJc w:val="left"/>
      <w:pPr>
        <w:ind w:left="2160" w:hanging="360"/>
      </w:pPr>
      <w:rPr>
        <w:rFonts w:ascii="Wingdings" w:hAnsi="Wingdings" w:hint="default"/>
      </w:rPr>
    </w:lvl>
    <w:lvl w:ilvl="3" w:tplc="B854FB1E">
      <w:start w:val="1"/>
      <w:numFmt w:val="bullet"/>
      <w:lvlText w:val=""/>
      <w:lvlJc w:val="left"/>
      <w:pPr>
        <w:ind w:left="2880" w:hanging="360"/>
      </w:pPr>
      <w:rPr>
        <w:rFonts w:ascii="Symbol" w:hAnsi="Symbol" w:hint="default"/>
      </w:rPr>
    </w:lvl>
    <w:lvl w:ilvl="4" w:tplc="4BB6161A">
      <w:start w:val="1"/>
      <w:numFmt w:val="bullet"/>
      <w:lvlText w:val="o"/>
      <w:lvlJc w:val="left"/>
      <w:pPr>
        <w:ind w:left="3600" w:hanging="360"/>
      </w:pPr>
      <w:rPr>
        <w:rFonts w:ascii="Courier New" w:hAnsi="Courier New" w:hint="default"/>
      </w:rPr>
    </w:lvl>
    <w:lvl w:ilvl="5" w:tplc="2B42DC6E">
      <w:start w:val="1"/>
      <w:numFmt w:val="bullet"/>
      <w:lvlText w:val=""/>
      <w:lvlJc w:val="left"/>
      <w:pPr>
        <w:ind w:left="4320" w:hanging="360"/>
      </w:pPr>
      <w:rPr>
        <w:rFonts w:ascii="Wingdings" w:hAnsi="Wingdings" w:hint="default"/>
      </w:rPr>
    </w:lvl>
    <w:lvl w:ilvl="6" w:tplc="067C29DC">
      <w:start w:val="1"/>
      <w:numFmt w:val="bullet"/>
      <w:lvlText w:val=""/>
      <w:lvlJc w:val="left"/>
      <w:pPr>
        <w:ind w:left="5040" w:hanging="360"/>
      </w:pPr>
      <w:rPr>
        <w:rFonts w:ascii="Symbol" w:hAnsi="Symbol" w:hint="default"/>
      </w:rPr>
    </w:lvl>
    <w:lvl w:ilvl="7" w:tplc="5EE88606">
      <w:start w:val="1"/>
      <w:numFmt w:val="bullet"/>
      <w:lvlText w:val="o"/>
      <w:lvlJc w:val="left"/>
      <w:pPr>
        <w:ind w:left="5760" w:hanging="360"/>
      </w:pPr>
      <w:rPr>
        <w:rFonts w:ascii="Courier New" w:hAnsi="Courier New" w:hint="default"/>
      </w:rPr>
    </w:lvl>
    <w:lvl w:ilvl="8" w:tplc="396C307A">
      <w:start w:val="1"/>
      <w:numFmt w:val="bullet"/>
      <w:lvlText w:val=""/>
      <w:lvlJc w:val="left"/>
      <w:pPr>
        <w:ind w:left="6480" w:hanging="360"/>
      </w:pPr>
      <w:rPr>
        <w:rFonts w:ascii="Wingdings" w:hAnsi="Wingdings" w:hint="default"/>
      </w:rPr>
    </w:lvl>
  </w:abstractNum>
  <w:abstractNum w:abstractNumId="244" w15:restartNumberingAfterBreak="0">
    <w:nsid w:val="1F926B3B"/>
    <w:multiLevelType w:val="multilevel"/>
    <w:tmpl w:val="2D183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1FA568F3"/>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246" w15:restartNumberingAfterBreak="0">
    <w:nsid w:val="1FAA6A4C"/>
    <w:multiLevelType w:val="multilevel"/>
    <w:tmpl w:val="48A43E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15:restartNumberingAfterBreak="0">
    <w:nsid w:val="201901D8"/>
    <w:multiLevelType w:val="hybridMultilevel"/>
    <w:tmpl w:val="650E2E94"/>
    <w:lvl w:ilvl="0" w:tplc="481E1F24">
      <w:start w:val="1"/>
      <w:numFmt w:val="decimal"/>
      <w:lvlText w:val="%1."/>
      <w:lvlJc w:val="left"/>
      <w:pPr>
        <w:ind w:left="540" w:hanging="360"/>
      </w:pPr>
    </w:lvl>
    <w:lvl w:ilvl="1" w:tplc="3328DC38">
      <w:start w:val="1"/>
      <w:numFmt w:val="lowerLetter"/>
      <w:lvlText w:val="%2."/>
      <w:lvlJc w:val="left"/>
      <w:pPr>
        <w:ind w:left="1260" w:hanging="360"/>
      </w:pPr>
    </w:lvl>
    <w:lvl w:ilvl="2" w:tplc="14A6A9FC">
      <w:start w:val="1"/>
      <w:numFmt w:val="lowerRoman"/>
      <w:lvlText w:val="%3."/>
      <w:lvlJc w:val="right"/>
      <w:pPr>
        <w:ind w:left="1980" w:hanging="180"/>
      </w:pPr>
    </w:lvl>
    <w:lvl w:ilvl="3" w:tplc="DBC23C16">
      <w:start w:val="1"/>
      <w:numFmt w:val="decimal"/>
      <w:lvlText w:val="%4."/>
      <w:lvlJc w:val="left"/>
      <w:pPr>
        <w:ind w:left="2700" w:hanging="360"/>
      </w:pPr>
    </w:lvl>
    <w:lvl w:ilvl="4" w:tplc="6BD8D48A">
      <w:start w:val="1"/>
      <w:numFmt w:val="lowerLetter"/>
      <w:lvlText w:val="%5."/>
      <w:lvlJc w:val="left"/>
      <w:pPr>
        <w:ind w:left="3420" w:hanging="360"/>
      </w:pPr>
    </w:lvl>
    <w:lvl w:ilvl="5" w:tplc="624EDB90">
      <w:start w:val="1"/>
      <w:numFmt w:val="lowerRoman"/>
      <w:lvlText w:val="%6."/>
      <w:lvlJc w:val="right"/>
      <w:pPr>
        <w:ind w:left="4140" w:hanging="180"/>
      </w:pPr>
    </w:lvl>
    <w:lvl w:ilvl="6" w:tplc="C3BEECA6">
      <w:start w:val="1"/>
      <w:numFmt w:val="decimal"/>
      <w:lvlText w:val="%7."/>
      <w:lvlJc w:val="left"/>
      <w:pPr>
        <w:ind w:left="4860" w:hanging="360"/>
      </w:pPr>
    </w:lvl>
    <w:lvl w:ilvl="7" w:tplc="59768D72">
      <w:start w:val="1"/>
      <w:numFmt w:val="lowerLetter"/>
      <w:lvlText w:val="%8."/>
      <w:lvlJc w:val="left"/>
      <w:pPr>
        <w:ind w:left="5580" w:hanging="360"/>
      </w:pPr>
    </w:lvl>
    <w:lvl w:ilvl="8" w:tplc="C41ABCAA">
      <w:start w:val="1"/>
      <w:numFmt w:val="lowerRoman"/>
      <w:lvlText w:val="%9."/>
      <w:lvlJc w:val="right"/>
      <w:pPr>
        <w:ind w:left="6300" w:hanging="180"/>
      </w:pPr>
    </w:lvl>
  </w:abstractNum>
  <w:abstractNum w:abstractNumId="248" w15:restartNumberingAfterBreak="0">
    <w:nsid w:val="20813177"/>
    <w:multiLevelType w:val="multilevel"/>
    <w:tmpl w:val="CB62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9" w15:restartNumberingAfterBreak="0">
    <w:nsid w:val="20B3605E"/>
    <w:multiLevelType w:val="hybridMultilevel"/>
    <w:tmpl w:val="D440558C"/>
    <w:lvl w:ilvl="0" w:tplc="4E765C58">
      <w:start w:val="1"/>
      <w:numFmt w:val="bullet"/>
      <w:lvlText w:val=""/>
      <w:lvlJc w:val="left"/>
      <w:pPr>
        <w:ind w:left="720" w:hanging="360"/>
      </w:pPr>
      <w:rPr>
        <w:rFonts w:ascii="Symbol" w:hAnsi="Symbol" w:hint="default"/>
      </w:rPr>
    </w:lvl>
    <w:lvl w:ilvl="1" w:tplc="28B4EE1C">
      <w:start w:val="1"/>
      <w:numFmt w:val="bullet"/>
      <w:lvlText w:val="o"/>
      <w:lvlJc w:val="left"/>
      <w:pPr>
        <w:ind w:left="1440" w:hanging="360"/>
      </w:pPr>
      <w:rPr>
        <w:rFonts w:ascii="Courier New" w:hAnsi="Courier New" w:hint="default"/>
      </w:rPr>
    </w:lvl>
    <w:lvl w:ilvl="2" w:tplc="26EEEB8E">
      <w:start w:val="1"/>
      <w:numFmt w:val="bullet"/>
      <w:lvlText w:val=""/>
      <w:lvlJc w:val="left"/>
      <w:pPr>
        <w:ind w:left="2160" w:hanging="360"/>
      </w:pPr>
      <w:rPr>
        <w:rFonts w:ascii="Wingdings" w:hAnsi="Wingdings" w:hint="default"/>
      </w:rPr>
    </w:lvl>
    <w:lvl w:ilvl="3" w:tplc="44F83488">
      <w:start w:val="1"/>
      <w:numFmt w:val="bullet"/>
      <w:lvlText w:val=""/>
      <w:lvlJc w:val="left"/>
      <w:pPr>
        <w:ind w:left="2880" w:hanging="360"/>
      </w:pPr>
      <w:rPr>
        <w:rFonts w:ascii="Symbol" w:hAnsi="Symbol" w:hint="default"/>
      </w:rPr>
    </w:lvl>
    <w:lvl w:ilvl="4" w:tplc="C2805AF8">
      <w:start w:val="1"/>
      <w:numFmt w:val="bullet"/>
      <w:lvlText w:val="o"/>
      <w:lvlJc w:val="left"/>
      <w:pPr>
        <w:ind w:left="3600" w:hanging="360"/>
      </w:pPr>
      <w:rPr>
        <w:rFonts w:ascii="Courier New" w:hAnsi="Courier New" w:hint="default"/>
      </w:rPr>
    </w:lvl>
    <w:lvl w:ilvl="5" w:tplc="5128BAB8">
      <w:start w:val="1"/>
      <w:numFmt w:val="bullet"/>
      <w:lvlText w:val=""/>
      <w:lvlJc w:val="left"/>
      <w:pPr>
        <w:ind w:left="4320" w:hanging="360"/>
      </w:pPr>
      <w:rPr>
        <w:rFonts w:ascii="Wingdings" w:hAnsi="Wingdings" w:hint="default"/>
      </w:rPr>
    </w:lvl>
    <w:lvl w:ilvl="6" w:tplc="B16AD86C">
      <w:start w:val="1"/>
      <w:numFmt w:val="bullet"/>
      <w:lvlText w:val=""/>
      <w:lvlJc w:val="left"/>
      <w:pPr>
        <w:ind w:left="5040" w:hanging="360"/>
      </w:pPr>
      <w:rPr>
        <w:rFonts w:ascii="Symbol" w:hAnsi="Symbol" w:hint="default"/>
      </w:rPr>
    </w:lvl>
    <w:lvl w:ilvl="7" w:tplc="440CF5C0">
      <w:start w:val="1"/>
      <w:numFmt w:val="bullet"/>
      <w:lvlText w:val="o"/>
      <w:lvlJc w:val="left"/>
      <w:pPr>
        <w:ind w:left="5760" w:hanging="360"/>
      </w:pPr>
      <w:rPr>
        <w:rFonts w:ascii="Courier New" w:hAnsi="Courier New" w:hint="default"/>
      </w:rPr>
    </w:lvl>
    <w:lvl w:ilvl="8" w:tplc="8EE22052">
      <w:start w:val="1"/>
      <w:numFmt w:val="bullet"/>
      <w:lvlText w:val=""/>
      <w:lvlJc w:val="left"/>
      <w:pPr>
        <w:ind w:left="6480" w:hanging="360"/>
      </w:pPr>
      <w:rPr>
        <w:rFonts w:ascii="Wingdings" w:hAnsi="Wingdings" w:hint="default"/>
      </w:rPr>
    </w:lvl>
  </w:abstractNum>
  <w:abstractNum w:abstractNumId="250" w15:restartNumberingAfterBreak="0">
    <w:nsid w:val="20BC76F4"/>
    <w:multiLevelType w:val="multilevel"/>
    <w:tmpl w:val="7E0E4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20D9630C"/>
    <w:multiLevelType w:val="multilevel"/>
    <w:tmpl w:val="11BCAF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20FEF7E1"/>
    <w:multiLevelType w:val="hybridMultilevel"/>
    <w:tmpl w:val="FFFFFFFF"/>
    <w:lvl w:ilvl="0" w:tplc="0226D6B6">
      <w:start w:val="1"/>
      <w:numFmt w:val="bullet"/>
      <w:lvlText w:val=""/>
      <w:lvlJc w:val="left"/>
      <w:pPr>
        <w:ind w:left="720" w:hanging="360"/>
      </w:pPr>
      <w:rPr>
        <w:rFonts w:ascii="Symbol" w:hAnsi="Symbol" w:hint="default"/>
      </w:rPr>
    </w:lvl>
    <w:lvl w:ilvl="1" w:tplc="BB5C37D0">
      <w:start w:val="1"/>
      <w:numFmt w:val="bullet"/>
      <w:lvlText w:val="o"/>
      <w:lvlJc w:val="left"/>
      <w:pPr>
        <w:ind w:left="1440" w:hanging="360"/>
      </w:pPr>
      <w:rPr>
        <w:rFonts w:ascii="Courier New" w:hAnsi="Courier New" w:hint="default"/>
      </w:rPr>
    </w:lvl>
    <w:lvl w:ilvl="2" w:tplc="B750E896">
      <w:start w:val="1"/>
      <w:numFmt w:val="bullet"/>
      <w:lvlText w:val=""/>
      <w:lvlJc w:val="left"/>
      <w:pPr>
        <w:ind w:left="2160" w:hanging="360"/>
      </w:pPr>
      <w:rPr>
        <w:rFonts w:ascii="Wingdings" w:hAnsi="Wingdings" w:hint="default"/>
      </w:rPr>
    </w:lvl>
    <w:lvl w:ilvl="3" w:tplc="4178F38C">
      <w:start w:val="1"/>
      <w:numFmt w:val="bullet"/>
      <w:lvlText w:val=""/>
      <w:lvlJc w:val="left"/>
      <w:pPr>
        <w:ind w:left="2880" w:hanging="360"/>
      </w:pPr>
      <w:rPr>
        <w:rFonts w:ascii="Symbol" w:hAnsi="Symbol" w:hint="default"/>
      </w:rPr>
    </w:lvl>
    <w:lvl w:ilvl="4" w:tplc="03F8BF90">
      <w:start w:val="1"/>
      <w:numFmt w:val="bullet"/>
      <w:lvlText w:val="o"/>
      <w:lvlJc w:val="left"/>
      <w:pPr>
        <w:ind w:left="3600" w:hanging="360"/>
      </w:pPr>
      <w:rPr>
        <w:rFonts w:ascii="Courier New" w:hAnsi="Courier New" w:hint="default"/>
      </w:rPr>
    </w:lvl>
    <w:lvl w:ilvl="5" w:tplc="7DD61CF0">
      <w:start w:val="1"/>
      <w:numFmt w:val="bullet"/>
      <w:lvlText w:val=""/>
      <w:lvlJc w:val="left"/>
      <w:pPr>
        <w:ind w:left="4320" w:hanging="360"/>
      </w:pPr>
      <w:rPr>
        <w:rFonts w:ascii="Wingdings" w:hAnsi="Wingdings" w:hint="default"/>
      </w:rPr>
    </w:lvl>
    <w:lvl w:ilvl="6" w:tplc="A606AE96">
      <w:start w:val="1"/>
      <w:numFmt w:val="bullet"/>
      <w:lvlText w:val=""/>
      <w:lvlJc w:val="left"/>
      <w:pPr>
        <w:ind w:left="5040" w:hanging="360"/>
      </w:pPr>
      <w:rPr>
        <w:rFonts w:ascii="Symbol" w:hAnsi="Symbol" w:hint="default"/>
      </w:rPr>
    </w:lvl>
    <w:lvl w:ilvl="7" w:tplc="4E2E9982">
      <w:start w:val="1"/>
      <w:numFmt w:val="bullet"/>
      <w:lvlText w:val="o"/>
      <w:lvlJc w:val="left"/>
      <w:pPr>
        <w:ind w:left="5760" w:hanging="360"/>
      </w:pPr>
      <w:rPr>
        <w:rFonts w:ascii="Courier New" w:hAnsi="Courier New" w:hint="default"/>
      </w:rPr>
    </w:lvl>
    <w:lvl w:ilvl="8" w:tplc="B784B134">
      <w:start w:val="1"/>
      <w:numFmt w:val="bullet"/>
      <w:lvlText w:val=""/>
      <w:lvlJc w:val="left"/>
      <w:pPr>
        <w:ind w:left="6480" w:hanging="360"/>
      </w:pPr>
      <w:rPr>
        <w:rFonts w:ascii="Wingdings" w:hAnsi="Wingdings" w:hint="default"/>
      </w:rPr>
    </w:lvl>
  </w:abstractNum>
  <w:abstractNum w:abstractNumId="253" w15:restartNumberingAfterBreak="0">
    <w:nsid w:val="212F5F9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254" w15:restartNumberingAfterBreak="0">
    <w:nsid w:val="215F7DFB"/>
    <w:multiLevelType w:val="hybridMultilevel"/>
    <w:tmpl w:val="A22C235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5" w15:restartNumberingAfterBreak="0">
    <w:nsid w:val="216422CF"/>
    <w:multiLevelType w:val="multilevel"/>
    <w:tmpl w:val="0B10D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21B42104"/>
    <w:multiLevelType w:val="multilevel"/>
    <w:tmpl w:val="8BC80F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7" w15:restartNumberingAfterBreak="0">
    <w:nsid w:val="21E75C81"/>
    <w:multiLevelType w:val="multilevel"/>
    <w:tmpl w:val="3A02F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8" w15:restartNumberingAfterBreak="0">
    <w:nsid w:val="22026AC7"/>
    <w:multiLevelType w:val="multilevel"/>
    <w:tmpl w:val="5EC4D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15:restartNumberingAfterBreak="0">
    <w:nsid w:val="22252772"/>
    <w:multiLevelType w:val="hybridMultilevel"/>
    <w:tmpl w:val="F49EDA3E"/>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0" w15:restartNumberingAfterBreak="0">
    <w:nsid w:val="22764A9D"/>
    <w:multiLevelType w:val="multilevel"/>
    <w:tmpl w:val="5C3A7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1" w15:restartNumberingAfterBreak="0">
    <w:nsid w:val="22D5016F"/>
    <w:multiLevelType w:val="multilevel"/>
    <w:tmpl w:val="53A2B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231D5267"/>
    <w:multiLevelType w:val="hybridMultilevel"/>
    <w:tmpl w:val="6E728D18"/>
    <w:lvl w:ilvl="0" w:tplc="523C3A22">
      <w:start w:val="1"/>
      <w:numFmt w:val="bullet"/>
      <w:lvlText w:val=""/>
      <w:lvlJc w:val="left"/>
      <w:pPr>
        <w:ind w:left="720" w:hanging="360"/>
      </w:pPr>
      <w:rPr>
        <w:rFonts w:ascii="Symbol" w:hAnsi="Symbol" w:hint="default"/>
      </w:rPr>
    </w:lvl>
    <w:lvl w:ilvl="1" w:tplc="7F520BF4">
      <w:start w:val="1"/>
      <w:numFmt w:val="bullet"/>
      <w:lvlText w:val="o"/>
      <w:lvlJc w:val="left"/>
      <w:pPr>
        <w:ind w:left="1440" w:hanging="360"/>
      </w:pPr>
      <w:rPr>
        <w:rFonts w:ascii="Courier New" w:hAnsi="Courier New" w:hint="default"/>
      </w:rPr>
    </w:lvl>
    <w:lvl w:ilvl="2" w:tplc="065428A4">
      <w:start w:val="1"/>
      <w:numFmt w:val="bullet"/>
      <w:lvlText w:val=""/>
      <w:lvlJc w:val="left"/>
      <w:pPr>
        <w:ind w:left="2160" w:hanging="360"/>
      </w:pPr>
      <w:rPr>
        <w:rFonts w:ascii="Wingdings" w:hAnsi="Wingdings" w:hint="default"/>
      </w:rPr>
    </w:lvl>
    <w:lvl w:ilvl="3" w:tplc="79E4B56C">
      <w:start w:val="1"/>
      <w:numFmt w:val="bullet"/>
      <w:lvlText w:val=""/>
      <w:lvlJc w:val="left"/>
      <w:pPr>
        <w:ind w:left="2880" w:hanging="360"/>
      </w:pPr>
      <w:rPr>
        <w:rFonts w:ascii="Symbol" w:hAnsi="Symbol" w:hint="default"/>
      </w:rPr>
    </w:lvl>
    <w:lvl w:ilvl="4" w:tplc="8E68BC7A">
      <w:start w:val="1"/>
      <w:numFmt w:val="bullet"/>
      <w:lvlText w:val="o"/>
      <w:lvlJc w:val="left"/>
      <w:pPr>
        <w:ind w:left="3600" w:hanging="360"/>
      </w:pPr>
      <w:rPr>
        <w:rFonts w:ascii="Courier New" w:hAnsi="Courier New" w:hint="default"/>
      </w:rPr>
    </w:lvl>
    <w:lvl w:ilvl="5" w:tplc="148CB29C">
      <w:start w:val="1"/>
      <w:numFmt w:val="bullet"/>
      <w:lvlText w:val=""/>
      <w:lvlJc w:val="left"/>
      <w:pPr>
        <w:ind w:left="4320" w:hanging="360"/>
      </w:pPr>
      <w:rPr>
        <w:rFonts w:ascii="Wingdings" w:hAnsi="Wingdings" w:hint="default"/>
      </w:rPr>
    </w:lvl>
    <w:lvl w:ilvl="6" w:tplc="95BA8CCC">
      <w:start w:val="1"/>
      <w:numFmt w:val="bullet"/>
      <w:lvlText w:val=""/>
      <w:lvlJc w:val="left"/>
      <w:pPr>
        <w:ind w:left="5040" w:hanging="360"/>
      </w:pPr>
      <w:rPr>
        <w:rFonts w:ascii="Symbol" w:hAnsi="Symbol" w:hint="default"/>
      </w:rPr>
    </w:lvl>
    <w:lvl w:ilvl="7" w:tplc="F6DAA944">
      <w:start w:val="1"/>
      <w:numFmt w:val="bullet"/>
      <w:lvlText w:val="o"/>
      <w:lvlJc w:val="left"/>
      <w:pPr>
        <w:ind w:left="5760" w:hanging="360"/>
      </w:pPr>
      <w:rPr>
        <w:rFonts w:ascii="Courier New" w:hAnsi="Courier New" w:hint="default"/>
      </w:rPr>
    </w:lvl>
    <w:lvl w:ilvl="8" w:tplc="2DA8F68A">
      <w:start w:val="1"/>
      <w:numFmt w:val="bullet"/>
      <w:lvlText w:val=""/>
      <w:lvlJc w:val="left"/>
      <w:pPr>
        <w:ind w:left="6480" w:hanging="360"/>
      </w:pPr>
      <w:rPr>
        <w:rFonts w:ascii="Wingdings" w:hAnsi="Wingdings" w:hint="default"/>
      </w:rPr>
    </w:lvl>
  </w:abstractNum>
  <w:abstractNum w:abstractNumId="263" w15:restartNumberingAfterBreak="0">
    <w:nsid w:val="2340E3FC"/>
    <w:multiLevelType w:val="hybridMultilevel"/>
    <w:tmpl w:val="FFFFFFFF"/>
    <w:lvl w:ilvl="0" w:tplc="E1EA6696">
      <w:start w:val="1"/>
      <w:numFmt w:val="decimal"/>
      <w:lvlText w:val="%1."/>
      <w:lvlJc w:val="left"/>
      <w:pPr>
        <w:ind w:left="547" w:hanging="360"/>
      </w:pPr>
    </w:lvl>
    <w:lvl w:ilvl="1" w:tplc="12128AC0">
      <w:start w:val="1"/>
      <w:numFmt w:val="lowerLetter"/>
      <w:lvlText w:val="%2."/>
      <w:lvlJc w:val="left"/>
      <w:pPr>
        <w:ind w:left="1267" w:hanging="360"/>
      </w:pPr>
    </w:lvl>
    <w:lvl w:ilvl="2" w:tplc="6F34B2D2">
      <w:start w:val="1"/>
      <w:numFmt w:val="lowerRoman"/>
      <w:lvlText w:val="%3."/>
      <w:lvlJc w:val="right"/>
      <w:pPr>
        <w:ind w:left="1987" w:hanging="180"/>
      </w:pPr>
    </w:lvl>
    <w:lvl w:ilvl="3" w:tplc="DA10292E">
      <w:start w:val="1"/>
      <w:numFmt w:val="decimal"/>
      <w:lvlText w:val="%4."/>
      <w:lvlJc w:val="left"/>
      <w:pPr>
        <w:ind w:left="2707" w:hanging="360"/>
      </w:pPr>
    </w:lvl>
    <w:lvl w:ilvl="4" w:tplc="123017AE">
      <w:start w:val="1"/>
      <w:numFmt w:val="lowerLetter"/>
      <w:lvlText w:val="%5."/>
      <w:lvlJc w:val="left"/>
      <w:pPr>
        <w:ind w:left="3427" w:hanging="360"/>
      </w:pPr>
    </w:lvl>
    <w:lvl w:ilvl="5" w:tplc="DB12D374">
      <w:start w:val="1"/>
      <w:numFmt w:val="lowerRoman"/>
      <w:lvlText w:val="%6."/>
      <w:lvlJc w:val="right"/>
      <w:pPr>
        <w:ind w:left="4147" w:hanging="180"/>
      </w:pPr>
    </w:lvl>
    <w:lvl w:ilvl="6" w:tplc="A2AE8B2E">
      <w:start w:val="1"/>
      <w:numFmt w:val="decimal"/>
      <w:lvlText w:val="%7."/>
      <w:lvlJc w:val="left"/>
      <w:pPr>
        <w:ind w:left="4867" w:hanging="360"/>
      </w:pPr>
    </w:lvl>
    <w:lvl w:ilvl="7" w:tplc="D7C8CEEE">
      <w:start w:val="1"/>
      <w:numFmt w:val="lowerLetter"/>
      <w:lvlText w:val="%8."/>
      <w:lvlJc w:val="left"/>
      <w:pPr>
        <w:ind w:left="5587" w:hanging="360"/>
      </w:pPr>
    </w:lvl>
    <w:lvl w:ilvl="8" w:tplc="3E84B31A">
      <w:start w:val="1"/>
      <w:numFmt w:val="lowerRoman"/>
      <w:lvlText w:val="%9."/>
      <w:lvlJc w:val="right"/>
      <w:pPr>
        <w:ind w:left="6307" w:hanging="180"/>
      </w:pPr>
    </w:lvl>
  </w:abstractNum>
  <w:abstractNum w:abstractNumId="264" w15:restartNumberingAfterBreak="0">
    <w:nsid w:val="2397094C"/>
    <w:multiLevelType w:val="multilevel"/>
    <w:tmpl w:val="B3401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5" w15:restartNumberingAfterBreak="0">
    <w:nsid w:val="23A0587B"/>
    <w:multiLevelType w:val="multilevel"/>
    <w:tmpl w:val="54A2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23A0DB34"/>
    <w:multiLevelType w:val="hybridMultilevel"/>
    <w:tmpl w:val="FFFFFFFF"/>
    <w:lvl w:ilvl="0" w:tplc="26168E5C">
      <w:start w:val="1"/>
      <w:numFmt w:val="bullet"/>
      <w:lvlText w:val=""/>
      <w:lvlJc w:val="left"/>
      <w:pPr>
        <w:ind w:left="547" w:hanging="360"/>
      </w:pPr>
      <w:rPr>
        <w:rFonts w:ascii="Symbol" w:hAnsi="Symbol" w:hint="default"/>
      </w:rPr>
    </w:lvl>
    <w:lvl w:ilvl="1" w:tplc="DD0E23E2">
      <w:start w:val="1"/>
      <w:numFmt w:val="bullet"/>
      <w:lvlText w:val="o"/>
      <w:lvlJc w:val="left"/>
      <w:pPr>
        <w:ind w:left="1267" w:hanging="360"/>
      </w:pPr>
      <w:rPr>
        <w:rFonts w:ascii="Courier New" w:hAnsi="Courier New" w:hint="default"/>
      </w:rPr>
    </w:lvl>
    <w:lvl w:ilvl="2" w:tplc="0EE242A0">
      <w:start w:val="1"/>
      <w:numFmt w:val="bullet"/>
      <w:lvlText w:val=""/>
      <w:lvlJc w:val="left"/>
      <w:pPr>
        <w:ind w:left="1987" w:hanging="360"/>
      </w:pPr>
      <w:rPr>
        <w:rFonts w:ascii="Wingdings" w:hAnsi="Wingdings" w:hint="default"/>
      </w:rPr>
    </w:lvl>
    <w:lvl w:ilvl="3" w:tplc="782A7B08">
      <w:start w:val="1"/>
      <w:numFmt w:val="bullet"/>
      <w:lvlText w:val=""/>
      <w:lvlJc w:val="left"/>
      <w:pPr>
        <w:ind w:left="2707" w:hanging="360"/>
      </w:pPr>
      <w:rPr>
        <w:rFonts w:ascii="Symbol" w:hAnsi="Symbol" w:hint="default"/>
      </w:rPr>
    </w:lvl>
    <w:lvl w:ilvl="4" w:tplc="5C0006F8">
      <w:start w:val="1"/>
      <w:numFmt w:val="bullet"/>
      <w:lvlText w:val="o"/>
      <w:lvlJc w:val="left"/>
      <w:pPr>
        <w:ind w:left="3427" w:hanging="360"/>
      </w:pPr>
      <w:rPr>
        <w:rFonts w:ascii="Courier New" w:hAnsi="Courier New" w:hint="default"/>
      </w:rPr>
    </w:lvl>
    <w:lvl w:ilvl="5" w:tplc="C83AF742">
      <w:start w:val="1"/>
      <w:numFmt w:val="bullet"/>
      <w:lvlText w:val=""/>
      <w:lvlJc w:val="left"/>
      <w:pPr>
        <w:ind w:left="4147" w:hanging="360"/>
      </w:pPr>
      <w:rPr>
        <w:rFonts w:ascii="Wingdings" w:hAnsi="Wingdings" w:hint="default"/>
      </w:rPr>
    </w:lvl>
    <w:lvl w:ilvl="6" w:tplc="27CAC85C">
      <w:start w:val="1"/>
      <w:numFmt w:val="bullet"/>
      <w:lvlText w:val=""/>
      <w:lvlJc w:val="left"/>
      <w:pPr>
        <w:ind w:left="4867" w:hanging="360"/>
      </w:pPr>
      <w:rPr>
        <w:rFonts w:ascii="Symbol" w:hAnsi="Symbol" w:hint="default"/>
      </w:rPr>
    </w:lvl>
    <w:lvl w:ilvl="7" w:tplc="F35CCC16">
      <w:start w:val="1"/>
      <w:numFmt w:val="bullet"/>
      <w:lvlText w:val="o"/>
      <w:lvlJc w:val="left"/>
      <w:pPr>
        <w:ind w:left="5587" w:hanging="360"/>
      </w:pPr>
      <w:rPr>
        <w:rFonts w:ascii="Courier New" w:hAnsi="Courier New" w:hint="default"/>
      </w:rPr>
    </w:lvl>
    <w:lvl w:ilvl="8" w:tplc="241807DC">
      <w:start w:val="1"/>
      <w:numFmt w:val="bullet"/>
      <w:lvlText w:val=""/>
      <w:lvlJc w:val="left"/>
      <w:pPr>
        <w:ind w:left="6307" w:hanging="360"/>
      </w:pPr>
      <w:rPr>
        <w:rFonts w:ascii="Wingdings" w:hAnsi="Wingdings" w:hint="default"/>
      </w:rPr>
    </w:lvl>
  </w:abstractNum>
  <w:abstractNum w:abstractNumId="267" w15:restartNumberingAfterBreak="0">
    <w:nsid w:val="23C4523B"/>
    <w:multiLevelType w:val="multilevel"/>
    <w:tmpl w:val="D534B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23CFA21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269" w15:restartNumberingAfterBreak="0">
    <w:nsid w:val="24131244"/>
    <w:multiLevelType w:val="hybridMultilevel"/>
    <w:tmpl w:val="020E4984"/>
    <w:lvl w:ilvl="0" w:tplc="30CA2A98">
      <w:start w:val="1"/>
      <w:numFmt w:val="bullet"/>
      <w:lvlText w:val=""/>
      <w:lvlJc w:val="left"/>
      <w:pPr>
        <w:ind w:left="720" w:hanging="360"/>
      </w:pPr>
      <w:rPr>
        <w:rFonts w:ascii="Symbol" w:hAnsi="Symbol" w:hint="default"/>
      </w:rPr>
    </w:lvl>
    <w:lvl w:ilvl="1" w:tplc="945628EC">
      <w:start w:val="1"/>
      <w:numFmt w:val="bullet"/>
      <w:lvlText w:val="o"/>
      <w:lvlJc w:val="left"/>
      <w:pPr>
        <w:ind w:left="1440" w:hanging="360"/>
      </w:pPr>
      <w:rPr>
        <w:rFonts w:ascii="Courier New" w:hAnsi="Courier New" w:hint="default"/>
      </w:rPr>
    </w:lvl>
    <w:lvl w:ilvl="2" w:tplc="4C4A2BAA">
      <w:start w:val="1"/>
      <w:numFmt w:val="bullet"/>
      <w:lvlText w:val=""/>
      <w:lvlJc w:val="left"/>
      <w:pPr>
        <w:ind w:left="2160" w:hanging="360"/>
      </w:pPr>
      <w:rPr>
        <w:rFonts w:ascii="Wingdings" w:hAnsi="Wingdings" w:hint="default"/>
      </w:rPr>
    </w:lvl>
    <w:lvl w:ilvl="3" w:tplc="6142B36E">
      <w:start w:val="1"/>
      <w:numFmt w:val="bullet"/>
      <w:lvlText w:val=""/>
      <w:lvlJc w:val="left"/>
      <w:pPr>
        <w:ind w:left="2880" w:hanging="360"/>
      </w:pPr>
      <w:rPr>
        <w:rFonts w:ascii="Symbol" w:hAnsi="Symbol" w:hint="default"/>
      </w:rPr>
    </w:lvl>
    <w:lvl w:ilvl="4" w:tplc="1E0C0CF0">
      <w:start w:val="1"/>
      <w:numFmt w:val="bullet"/>
      <w:lvlText w:val="o"/>
      <w:lvlJc w:val="left"/>
      <w:pPr>
        <w:ind w:left="3600" w:hanging="360"/>
      </w:pPr>
      <w:rPr>
        <w:rFonts w:ascii="Courier New" w:hAnsi="Courier New" w:hint="default"/>
      </w:rPr>
    </w:lvl>
    <w:lvl w:ilvl="5" w:tplc="C8B68EC6">
      <w:start w:val="1"/>
      <w:numFmt w:val="bullet"/>
      <w:lvlText w:val=""/>
      <w:lvlJc w:val="left"/>
      <w:pPr>
        <w:ind w:left="4320" w:hanging="360"/>
      </w:pPr>
      <w:rPr>
        <w:rFonts w:ascii="Wingdings" w:hAnsi="Wingdings" w:hint="default"/>
      </w:rPr>
    </w:lvl>
    <w:lvl w:ilvl="6" w:tplc="A4F85DD0">
      <w:start w:val="1"/>
      <w:numFmt w:val="bullet"/>
      <w:lvlText w:val=""/>
      <w:lvlJc w:val="left"/>
      <w:pPr>
        <w:ind w:left="5040" w:hanging="360"/>
      </w:pPr>
      <w:rPr>
        <w:rFonts w:ascii="Symbol" w:hAnsi="Symbol" w:hint="default"/>
      </w:rPr>
    </w:lvl>
    <w:lvl w:ilvl="7" w:tplc="7C1E2E4E">
      <w:start w:val="1"/>
      <w:numFmt w:val="bullet"/>
      <w:lvlText w:val="o"/>
      <w:lvlJc w:val="left"/>
      <w:pPr>
        <w:ind w:left="5760" w:hanging="360"/>
      </w:pPr>
      <w:rPr>
        <w:rFonts w:ascii="Courier New" w:hAnsi="Courier New" w:hint="default"/>
      </w:rPr>
    </w:lvl>
    <w:lvl w:ilvl="8" w:tplc="BD2CF1E6">
      <w:start w:val="1"/>
      <w:numFmt w:val="bullet"/>
      <w:lvlText w:val=""/>
      <w:lvlJc w:val="left"/>
      <w:pPr>
        <w:ind w:left="6480" w:hanging="360"/>
      </w:pPr>
      <w:rPr>
        <w:rFonts w:ascii="Wingdings" w:hAnsi="Wingdings" w:hint="default"/>
      </w:rPr>
    </w:lvl>
  </w:abstractNum>
  <w:abstractNum w:abstractNumId="270" w15:restartNumberingAfterBreak="0">
    <w:nsid w:val="24505820"/>
    <w:multiLevelType w:val="multilevel"/>
    <w:tmpl w:val="FD8434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24580EFE"/>
    <w:multiLevelType w:val="hybridMultilevel"/>
    <w:tmpl w:val="960A7EC4"/>
    <w:lvl w:ilvl="0" w:tplc="040C0001">
      <w:start w:val="1"/>
      <w:numFmt w:val="bullet"/>
      <w:lvlText w:val=""/>
      <w:lvlJc w:val="left"/>
      <w:pPr>
        <w:ind w:left="907" w:hanging="360"/>
      </w:pPr>
      <w:rPr>
        <w:rFonts w:ascii="Symbol" w:hAnsi="Symbol" w:hint="default"/>
      </w:rPr>
    </w:lvl>
    <w:lvl w:ilvl="1" w:tplc="040C0003" w:tentative="1">
      <w:start w:val="1"/>
      <w:numFmt w:val="bullet"/>
      <w:lvlText w:val="o"/>
      <w:lvlJc w:val="left"/>
      <w:pPr>
        <w:ind w:left="1627" w:hanging="360"/>
      </w:pPr>
      <w:rPr>
        <w:rFonts w:ascii="Courier New" w:hAnsi="Courier New" w:cs="Courier New" w:hint="default"/>
      </w:rPr>
    </w:lvl>
    <w:lvl w:ilvl="2" w:tplc="040C0005" w:tentative="1">
      <w:start w:val="1"/>
      <w:numFmt w:val="bullet"/>
      <w:lvlText w:val=""/>
      <w:lvlJc w:val="left"/>
      <w:pPr>
        <w:ind w:left="2347" w:hanging="360"/>
      </w:pPr>
      <w:rPr>
        <w:rFonts w:ascii="Wingdings" w:hAnsi="Wingdings" w:hint="default"/>
      </w:rPr>
    </w:lvl>
    <w:lvl w:ilvl="3" w:tplc="040C0001" w:tentative="1">
      <w:start w:val="1"/>
      <w:numFmt w:val="bullet"/>
      <w:lvlText w:val=""/>
      <w:lvlJc w:val="left"/>
      <w:pPr>
        <w:ind w:left="3067" w:hanging="360"/>
      </w:pPr>
      <w:rPr>
        <w:rFonts w:ascii="Symbol" w:hAnsi="Symbol" w:hint="default"/>
      </w:rPr>
    </w:lvl>
    <w:lvl w:ilvl="4" w:tplc="040C0003" w:tentative="1">
      <w:start w:val="1"/>
      <w:numFmt w:val="bullet"/>
      <w:lvlText w:val="o"/>
      <w:lvlJc w:val="left"/>
      <w:pPr>
        <w:ind w:left="3787" w:hanging="360"/>
      </w:pPr>
      <w:rPr>
        <w:rFonts w:ascii="Courier New" w:hAnsi="Courier New" w:cs="Courier New" w:hint="default"/>
      </w:rPr>
    </w:lvl>
    <w:lvl w:ilvl="5" w:tplc="040C0005" w:tentative="1">
      <w:start w:val="1"/>
      <w:numFmt w:val="bullet"/>
      <w:lvlText w:val=""/>
      <w:lvlJc w:val="left"/>
      <w:pPr>
        <w:ind w:left="4507" w:hanging="360"/>
      </w:pPr>
      <w:rPr>
        <w:rFonts w:ascii="Wingdings" w:hAnsi="Wingdings" w:hint="default"/>
      </w:rPr>
    </w:lvl>
    <w:lvl w:ilvl="6" w:tplc="040C0001" w:tentative="1">
      <w:start w:val="1"/>
      <w:numFmt w:val="bullet"/>
      <w:lvlText w:val=""/>
      <w:lvlJc w:val="left"/>
      <w:pPr>
        <w:ind w:left="5227" w:hanging="360"/>
      </w:pPr>
      <w:rPr>
        <w:rFonts w:ascii="Symbol" w:hAnsi="Symbol" w:hint="default"/>
      </w:rPr>
    </w:lvl>
    <w:lvl w:ilvl="7" w:tplc="040C0003" w:tentative="1">
      <w:start w:val="1"/>
      <w:numFmt w:val="bullet"/>
      <w:lvlText w:val="o"/>
      <w:lvlJc w:val="left"/>
      <w:pPr>
        <w:ind w:left="5947" w:hanging="360"/>
      </w:pPr>
      <w:rPr>
        <w:rFonts w:ascii="Courier New" w:hAnsi="Courier New" w:cs="Courier New" w:hint="default"/>
      </w:rPr>
    </w:lvl>
    <w:lvl w:ilvl="8" w:tplc="040C0005" w:tentative="1">
      <w:start w:val="1"/>
      <w:numFmt w:val="bullet"/>
      <w:lvlText w:val=""/>
      <w:lvlJc w:val="left"/>
      <w:pPr>
        <w:ind w:left="6667" w:hanging="360"/>
      </w:pPr>
      <w:rPr>
        <w:rFonts w:ascii="Wingdings" w:hAnsi="Wingdings" w:hint="default"/>
      </w:rPr>
    </w:lvl>
  </w:abstractNum>
  <w:abstractNum w:abstractNumId="272" w15:restartNumberingAfterBreak="0">
    <w:nsid w:val="247536A6"/>
    <w:multiLevelType w:val="multilevel"/>
    <w:tmpl w:val="BD089568"/>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273" w15:restartNumberingAfterBreak="0">
    <w:nsid w:val="2492DA67"/>
    <w:multiLevelType w:val="hybridMultilevel"/>
    <w:tmpl w:val="FFFFFFFF"/>
    <w:lvl w:ilvl="0" w:tplc="B8E00648">
      <w:start w:val="1"/>
      <w:numFmt w:val="bullet"/>
      <w:lvlText w:val=""/>
      <w:lvlJc w:val="left"/>
      <w:pPr>
        <w:ind w:left="547" w:hanging="360"/>
      </w:pPr>
      <w:rPr>
        <w:rFonts w:ascii="Symbol" w:hAnsi="Symbol" w:hint="default"/>
      </w:rPr>
    </w:lvl>
    <w:lvl w:ilvl="1" w:tplc="7A768F48">
      <w:start w:val="1"/>
      <w:numFmt w:val="bullet"/>
      <w:lvlText w:val="o"/>
      <w:lvlJc w:val="left"/>
      <w:pPr>
        <w:ind w:left="1267" w:hanging="360"/>
      </w:pPr>
      <w:rPr>
        <w:rFonts w:ascii="Courier New" w:hAnsi="Courier New" w:hint="default"/>
      </w:rPr>
    </w:lvl>
    <w:lvl w:ilvl="2" w:tplc="4158367A">
      <w:start w:val="1"/>
      <w:numFmt w:val="bullet"/>
      <w:lvlText w:val=""/>
      <w:lvlJc w:val="left"/>
      <w:pPr>
        <w:ind w:left="1987" w:hanging="360"/>
      </w:pPr>
      <w:rPr>
        <w:rFonts w:ascii="Wingdings" w:hAnsi="Wingdings" w:hint="default"/>
      </w:rPr>
    </w:lvl>
    <w:lvl w:ilvl="3" w:tplc="303CC01E">
      <w:start w:val="1"/>
      <w:numFmt w:val="bullet"/>
      <w:lvlText w:val=""/>
      <w:lvlJc w:val="left"/>
      <w:pPr>
        <w:ind w:left="2707" w:hanging="360"/>
      </w:pPr>
      <w:rPr>
        <w:rFonts w:ascii="Symbol" w:hAnsi="Symbol" w:hint="default"/>
      </w:rPr>
    </w:lvl>
    <w:lvl w:ilvl="4" w:tplc="F9A00B96">
      <w:start w:val="1"/>
      <w:numFmt w:val="bullet"/>
      <w:lvlText w:val="o"/>
      <w:lvlJc w:val="left"/>
      <w:pPr>
        <w:ind w:left="3427" w:hanging="360"/>
      </w:pPr>
      <w:rPr>
        <w:rFonts w:ascii="Courier New" w:hAnsi="Courier New" w:hint="default"/>
      </w:rPr>
    </w:lvl>
    <w:lvl w:ilvl="5" w:tplc="D13EE98E">
      <w:start w:val="1"/>
      <w:numFmt w:val="bullet"/>
      <w:lvlText w:val=""/>
      <w:lvlJc w:val="left"/>
      <w:pPr>
        <w:ind w:left="4147" w:hanging="360"/>
      </w:pPr>
      <w:rPr>
        <w:rFonts w:ascii="Wingdings" w:hAnsi="Wingdings" w:hint="default"/>
      </w:rPr>
    </w:lvl>
    <w:lvl w:ilvl="6" w:tplc="7FC0663E">
      <w:start w:val="1"/>
      <w:numFmt w:val="bullet"/>
      <w:lvlText w:val=""/>
      <w:lvlJc w:val="left"/>
      <w:pPr>
        <w:ind w:left="4867" w:hanging="360"/>
      </w:pPr>
      <w:rPr>
        <w:rFonts w:ascii="Symbol" w:hAnsi="Symbol" w:hint="default"/>
      </w:rPr>
    </w:lvl>
    <w:lvl w:ilvl="7" w:tplc="D79297EA">
      <w:start w:val="1"/>
      <w:numFmt w:val="bullet"/>
      <w:lvlText w:val="o"/>
      <w:lvlJc w:val="left"/>
      <w:pPr>
        <w:ind w:left="5587" w:hanging="360"/>
      </w:pPr>
      <w:rPr>
        <w:rFonts w:ascii="Courier New" w:hAnsi="Courier New" w:hint="default"/>
      </w:rPr>
    </w:lvl>
    <w:lvl w:ilvl="8" w:tplc="61CAFCBA">
      <w:start w:val="1"/>
      <w:numFmt w:val="bullet"/>
      <w:lvlText w:val=""/>
      <w:lvlJc w:val="left"/>
      <w:pPr>
        <w:ind w:left="6307" w:hanging="360"/>
      </w:pPr>
      <w:rPr>
        <w:rFonts w:ascii="Wingdings" w:hAnsi="Wingdings" w:hint="default"/>
      </w:rPr>
    </w:lvl>
  </w:abstractNum>
  <w:abstractNum w:abstractNumId="274" w15:restartNumberingAfterBreak="0">
    <w:nsid w:val="24D52A8D"/>
    <w:multiLevelType w:val="multilevel"/>
    <w:tmpl w:val="25CC5F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24F16582"/>
    <w:multiLevelType w:val="multilevel"/>
    <w:tmpl w:val="039E10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25043721"/>
    <w:multiLevelType w:val="multilevel"/>
    <w:tmpl w:val="467ED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7" w15:restartNumberingAfterBreak="0">
    <w:nsid w:val="254C7BDE"/>
    <w:multiLevelType w:val="multilevel"/>
    <w:tmpl w:val="A020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25AE2F1C"/>
    <w:multiLevelType w:val="multilevel"/>
    <w:tmpl w:val="268E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9" w15:restartNumberingAfterBreak="0">
    <w:nsid w:val="25B70B12"/>
    <w:multiLevelType w:val="multilevel"/>
    <w:tmpl w:val="C6EC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25EFD279"/>
    <w:multiLevelType w:val="hybridMultilevel"/>
    <w:tmpl w:val="57327EA4"/>
    <w:lvl w:ilvl="0" w:tplc="EC6C7506">
      <w:start w:val="1"/>
      <w:numFmt w:val="bullet"/>
      <w:lvlText w:val=""/>
      <w:lvlJc w:val="left"/>
      <w:pPr>
        <w:ind w:left="720" w:hanging="360"/>
      </w:pPr>
      <w:rPr>
        <w:rFonts w:ascii="Symbol" w:hAnsi="Symbol" w:hint="default"/>
      </w:rPr>
    </w:lvl>
    <w:lvl w:ilvl="1" w:tplc="EEF6091C">
      <w:start w:val="1"/>
      <w:numFmt w:val="bullet"/>
      <w:lvlText w:val="o"/>
      <w:lvlJc w:val="left"/>
      <w:pPr>
        <w:ind w:left="1440" w:hanging="360"/>
      </w:pPr>
      <w:rPr>
        <w:rFonts w:ascii="Courier New" w:hAnsi="Courier New" w:hint="default"/>
      </w:rPr>
    </w:lvl>
    <w:lvl w:ilvl="2" w:tplc="E3C6A1EE">
      <w:start w:val="1"/>
      <w:numFmt w:val="bullet"/>
      <w:lvlText w:val=""/>
      <w:lvlJc w:val="left"/>
      <w:pPr>
        <w:ind w:left="2160" w:hanging="360"/>
      </w:pPr>
      <w:rPr>
        <w:rFonts w:ascii="Wingdings" w:hAnsi="Wingdings" w:hint="default"/>
      </w:rPr>
    </w:lvl>
    <w:lvl w:ilvl="3" w:tplc="CB3A19F2">
      <w:start w:val="1"/>
      <w:numFmt w:val="bullet"/>
      <w:lvlText w:val=""/>
      <w:lvlJc w:val="left"/>
      <w:pPr>
        <w:ind w:left="2880" w:hanging="360"/>
      </w:pPr>
      <w:rPr>
        <w:rFonts w:ascii="Symbol" w:hAnsi="Symbol" w:hint="default"/>
      </w:rPr>
    </w:lvl>
    <w:lvl w:ilvl="4" w:tplc="C5A6F2E8">
      <w:start w:val="1"/>
      <w:numFmt w:val="bullet"/>
      <w:lvlText w:val="o"/>
      <w:lvlJc w:val="left"/>
      <w:pPr>
        <w:ind w:left="3600" w:hanging="360"/>
      </w:pPr>
      <w:rPr>
        <w:rFonts w:ascii="Courier New" w:hAnsi="Courier New" w:hint="default"/>
      </w:rPr>
    </w:lvl>
    <w:lvl w:ilvl="5" w:tplc="4682801E">
      <w:start w:val="1"/>
      <w:numFmt w:val="bullet"/>
      <w:lvlText w:val=""/>
      <w:lvlJc w:val="left"/>
      <w:pPr>
        <w:ind w:left="4320" w:hanging="360"/>
      </w:pPr>
      <w:rPr>
        <w:rFonts w:ascii="Wingdings" w:hAnsi="Wingdings" w:hint="default"/>
      </w:rPr>
    </w:lvl>
    <w:lvl w:ilvl="6" w:tplc="7CB24688">
      <w:start w:val="1"/>
      <w:numFmt w:val="bullet"/>
      <w:lvlText w:val=""/>
      <w:lvlJc w:val="left"/>
      <w:pPr>
        <w:ind w:left="5040" w:hanging="360"/>
      </w:pPr>
      <w:rPr>
        <w:rFonts w:ascii="Symbol" w:hAnsi="Symbol" w:hint="default"/>
      </w:rPr>
    </w:lvl>
    <w:lvl w:ilvl="7" w:tplc="1CDECD90">
      <w:start w:val="1"/>
      <w:numFmt w:val="bullet"/>
      <w:lvlText w:val="o"/>
      <w:lvlJc w:val="left"/>
      <w:pPr>
        <w:ind w:left="5760" w:hanging="360"/>
      </w:pPr>
      <w:rPr>
        <w:rFonts w:ascii="Courier New" w:hAnsi="Courier New" w:hint="default"/>
      </w:rPr>
    </w:lvl>
    <w:lvl w:ilvl="8" w:tplc="879621F8">
      <w:start w:val="1"/>
      <w:numFmt w:val="bullet"/>
      <w:lvlText w:val=""/>
      <w:lvlJc w:val="left"/>
      <w:pPr>
        <w:ind w:left="6480" w:hanging="360"/>
      </w:pPr>
      <w:rPr>
        <w:rFonts w:ascii="Wingdings" w:hAnsi="Wingdings" w:hint="default"/>
      </w:rPr>
    </w:lvl>
  </w:abstractNum>
  <w:abstractNum w:abstractNumId="281" w15:restartNumberingAfterBreak="0">
    <w:nsid w:val="26274E9C"/>
    <w:multiLevelType w:val="hybridMultilevel"/>
    <w:tmpl w:val="A9D008EA"/>
    <w:lvl w:ilvl="0" w:tplc="7C985A36">
      <w:start w:val="1"/>
      <w:numFmt w:val="bullet"/>
      <w:lvlText w:val=""/>
      <w:lvlJc w:val="left"/>
      <w:pPr>
        <w:ind w:left="720" w:hanging="360"/>
      </w:pPr>
      <w:rPr>
        <w:rFonts w:ascii="Symbol" w:hAnsi="Symbol" w:hint="default"/>
      </w:rPr>
    </w:lvl>
    <w:lvl w:ilvl="1" w:tplc="55C27DB8">
      <w:start w:val="1"/>
      <w:numFmt w:val="bullet"/>
      <w:lvlText w:val="o"/>
      <w:lvlJc w:val="left"/>
      <w:pPr>
        <w:ind w:left="1440" w:hanging="360"/>
      </w:pPr>
      <w:rPr>
        <w:rFonts w:ascii="Courier New" w:hAnsi="Courier New" w:hint="default"/>
      </w:rPr>
    </w:lvl>
    <w:lvl w:ilvl="2" w:tplc="71E4D3F0">
      <w:start w:val="1"/>
      <w:numFmt w:val="bullet"/>
      <w:lvlText w:val=""/>
      <w:lvlJc w:val="left"/>
      <w:pPr>
        <w:ind w:left="2160" w:hanging="360"/>
      </w:pPr>
      <w:rPr>
        <w:rFonts w:ascii="Wingdings" w:hAnsi="Wingdings" w:hint="default"/>
      </w:rPr>
    </w:lvl>
    <w:lvl w:ilvl="3" w:tplc="37BEF172">
      <w:start w:val="1"/>
      <w:numFmt w:val="bullet"/>
      <w:lvlText w:val=""/>
      <w:lvlJc w:val="left"/>
      <w:pPr>
        <w:ind w:left="2880" w:hanging="360"/>
      </w:pPr>
      <w:rPr>
        <w:rFonts w:ascii="Symbol" w:hAnsi="Symbol" w:hint="default"/>
      </w:rPr>
    </w:lvl>
    <w:lvl w:ilvl="4" w:tplc="2BFCD218">
      <w:start w:val="1"/>
      <w:numFmt w:val="bullet"/>
      <w:lvlText w:val="o"/>
      <w:lvlJc w:val="left"/>
      <w:pPr>
        <w:ind w:left="3600" w:hanging="360"/>
      </w:pPr>
      <w:rPr>
        <w:rFonts w:ascii="Courier New" w:hAnsi="Courier New" w:hint="default"/>
      </w:rPr>
    </w:lvl>
    <w:lvl w:ilvl="5" w:tplc="8EB8A922">
      <w:start w:val="1"/>
      <w:numFmt w:val="bullet"/>
      <w:lvlText w:val=""/>
      <w:lvlJc w:val="left"/>
      <w:pPr>
        <w:ind w:left="4320" w:hanging="360"/>
      </w:pPr>
      <w:rPr>
        <w:rFonts w:ascii="Wingdings" w:hAnsi="Wingdings" w:hint="default"/>
      </w:rPr>
    </w:lvl>
    <w:lvl w:ilvl="6" w:tplc="F2A2BE68">
      <w:start w:val="1"/>
      <w:numFmt w:val="bullet"/>
      <w:lvlText w:val=""/>
      <w:lvlJc w:val="left"/>
      <w:pPr>
        <w:ind w:left="5040" w:hanging="360"/>
      </w:pPr>
      <w:rPr>
        <w:rFonts w:ascii="Symbol" w:hAnsi="Symbol" w:hint="default"/>
      </w:rPr>
    </w:lvl>
    <w:lvl w:ilvl="7" w:tplc="29D40DA0">
      <w:start w:val="1"/>
      <w:numFmt w:val="bullet"/>
      <w:lvlText w:val="o"/>
      <w:lvlJc w:val="left"/>
      <w:pPr>
        <w:ind w:left="5760" w:hanging="360"/>
      </w:pPr>
      <w:rPr>
        <w:rFonts w:ascii="Courier New" w:hAnsi="Courier New" w:hint="default"/>
      </w:rPr>
    </w:lvl>
    <w:lvl w:ilvl="8" w:tplc="0100956C">
      <w:start w:val="1"/>
      <w:numFmt w:val="bullet"/>
      <w:lvlText w:val=""/>
      <w:lvlJc w:val="left"/>
      <w:pPr>
        <w:ind w:left="6480" w:hanging="360"/>
      </w:pPr>
      <w:rPr>
        <w:rFonts w:ascii="Wingdings" w:hAnsi="Wingdings" w:hint="default"/>
      </w:rPr>
    </w:lvl>
  </w:abstractNum>
  <w:abstractNum w:abstractNumId="282" w15:restartNumberingAfterBreak="0">
    <w:nsid w:val="263A3F09"/>
    <w:multiLevelType w:val="multilevel"/>
    <w:tmpl w:val="11AEA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3" w15:restartNumberingAfterBreak="0">
    <w:nsid w:val="26998954"/>
    <w:multiLevelType w:val="hybridMultilevel"/>
    <w:tmpl w:val="1E76D4E2"/>
    <w:lvl w:ilvl="0" w:tplc="94C84AC6">
      <w:start w:val="1"/>
      <w:numFmt w:val="bullet"/>
      <w:lvlText w:val=""/>
      <w:lvlJc w:val="left"/>
      <w:pPr>
        <w:ind w:left="720" w:hanging="360"/>
      </w:pPr>
      <w:rPr>
        <w:rFonts w:ascii="Symbol" w:hAnsi="Symbol" w:hint="default"/>
      </w:rPr>
    </w:lvl>
    <w:lvl w:ilvl="1" w:tplc="F6C6C8D0">
      <w:start w:val="1"/>
      <w:numFmt w:val="bullet"/>
      <w:lvlText w:val="o"/>
      <w:lvlJc w:val="left"/>
      <w:pPr>
        <w:ind w:left="1440" w:hanging="360"/>
      </w:pPr>
      <w:rPr>
        <w:rFonts w:ascii="Courier New" w:hAnsi="Courier New" w:hint="default"/>
      </w:rPr>
    </w:lvl>
    <w:lvl w:ilvl="2" w:tplc="8BCA4DBC">
      <w:start w:val="1"/>
      <w:numFmt w:val="bullet"/>
      <w:lvlText w:val=""/>
      <w:lvlJc w:val="left"/>
      <w:pPr>
        <w:ind w:left="2160" w:hanging="360"/>
      </w:pPr>
      <w:rPr>
        <w:rFonts w:ascii="Wingdings" w:hAnsi="Wingdings" w:hint="default"/>
      </w:rPr>
    </w:lvl>
    <w:lvl w:ilvl="3" w:tplc="8684FD80">
      <w:start w:val="1"/>
      <w:numFmt w:val="bullet"/>
      <w:lvlText w:val=""/>
      <w:lvlJc w:val="left"/>
      <w:pPr>
        <w:ind w:left="2880" w:hanging="360"/>
      </w:pPr>
      <w:rPr>
        <w:rFonts w:ascii="Symbol" w:hAnsi="Symbol" w:hint="default"/>
      </w:rPr>
    </w:lvl>
    <w:lvl w:ilvl="4" w:tplc="D4CE87CE">
      <w:start w:val="1"/>
      <w:numFmt w:val="bullet"/>
      <w:lvlText w:val="o"/>
      <w:lvlJc w:val="left"/>
      <w:pPr>
        <w:ind w:left="3600" w:hanging="360"/>
      </w:pPr>
      <w:rPr>
        <w:rFonts w:ascii="Courier New" w:hAnsi="Courier New" w:hint="default"/>
      </w:rPr>
    </w:lvl>
    <w:lvl w:ilvl="5" w:tplc="49AE20BA">
      <w:start w:val="1"/>
      <w:numFmt w:val="bullet"/>
      <w:lvlText w:val=""/>
      <w:lvlJc w:val="left"/>
      <w:pPr>
        <w:ind w:left="4320" w:hanging="360"/>
      </w:pPr>
      <w:rPr>
        <w:rFonts w:ascii="Wingdings" w:hAnsi="Wingdings" w:hint="default"/>
      </w:rPr>
    </w:lvl>
    <w:lvl w:ilvl="6" w:tplc="D3A86368">
      <w:start w:val="1"/>
      <w:numFmt w:val="bullet"/>
      <w:lvlText w:val=""/>
      <w:lvlJc w:val="left"/>
      <w:pPr>
        <w:ind w:left="5040" w:hanging="360"/>
      </w:pPr>
      <w:rPr>
        <w:rFonts w:ascii="Symbol" w:hAnsi="Symbol" w:hint="default"/>
      </w:rPr>
    </w:lvl>
    <w:lvl w:ilvl="7" w:tplc="F1A4AC06">
      <w:start w:val="1"/>
      <w:numFmt w:val="bullet"/>
      <w:lvlText w:val="o"/>
      <w:lvlJc w:val="left"/>
      <w:pPr>
        <w:ind w:left="5760" w:hanging="360"/>
      </w:pPr>
      <w:rPr>
        <w:rFonts w:ascii="Courier New" w:hAnsi="Courier New" w:hint="default"/>
      </w:rPr>
    </w:lvl>
    <w:lvl w:ilvl="8" w:tplc="D0BE7E0A">
      <w:start w:val="1"/>
      <w:numFmt w:val="bullet"/>
      <w:lvlText w:val=""/>
      <w:lvlJc w:val="left"/>
      <w:pPr>
        <w:ind w:left="6480" w:hanging="360"/>
      </w:pPr>
      <w:rPr>
        <w:rFonts w:ascii="Wingdings" w:hAnsi="Wingdings" w:hint="default"/>
      </w:rPr>
    </w:lvl>
  </w:abstractNum>
  <w:abstractNum w:abstractNumId="284" w15:restartNumberingAfterBreak="0">
    <w:nsid w:val="27175CFF"/>
    <w:multiLevelType w:val="multilevel"/>
    <w:tmpl w:val="B412CE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5" w15:restartNumberingAfterBreak="0">
    <w:nsid w:val="2745B2E1"/>
    <w:multiLevelType w:val="hybridMultilevel"/>
    <w:tmpl w:val="FFFFFFFF"/>
    <w:lvl w:ilvl="0" w:tplc="E012B39C">
      <w:start w:val="1"/>
      <w:numFmt w:val="bullet"/>
      <w:lvlText w:val=""/>
      <w:lvlJc w:val="left"/>
      <w:pPr>
        <w:ind w:left="547" w:hanging="360"/>
      </w:pPr>
      <w:rPr>
        <w:rFonts w:ascii="Symbol" w:hAnsi="Symbol" w:hint="default"/>
      </w:rPr>
    </w:lvl>
    <w:lvl w:ilvl="1" w:tplc="E9AA9DF2">
      <w:start w:val="1"/>
      <w:numFmt w:val="bullet"/>
      <w:lvlText w:val="o"/>
      <w:lvlJc w:val="left"/>
      <w:pPr>
        <w:ind w:left="1267" w:hanging="360"/>
      </w:pPr>
      <w:rPr>
        <w:rFonts w:ascii="Courier New" w:hAnsi="Courier New" w:hint="default"/>
      </w:rPr>
    </w:lvl>
    <w:lvl w:ilvl="2" w:tplc="DB40AE3A">
      <w:start w:val="1"/>
      <w:numFmt w:val="bullet"/>
      <w:lvlText w:val=""/>
      <w:lvlJc w:val="left"/>
      <w:pPr>
        <w:ind w:left="1987" w:hanging="360"/>
      </w:pPr>
      <w:rPr>
        <w:rFonts w:ascii="Wingdings" w:hAnsi="Wingdings" w:hint="default"/>
      </w:rPr>
    </w:lvl>
    <w:lvl w:ilvl="3" w:tplc="870694B2">
      <w:start w:val="1"/>
      <w:numFmt w:val="bullet"/>
      <w:lvlText w:val=""/>
      <w:lvlJc w:val="left"/>
      <w:pPr>
        <w:ind w:left="2707" w:hanging="360"/>
      </w:pPr>
      <w:rPr>
        <w:rFonts w:ascii="Symbol" w:hAnsi="Symbol" w:hint="default"/>
      </w:rPr>
    </w:lvl>
    <w:lvl w:ilvl="4" w:tplc="FE4AEF62">
      <w:start w:val="1"/>
      <w:numFmt w:val="bullet"/>
      <w:lvlText w:val="o"/>
      <w:lvlJc w:val="left"/>
      <w:pPr>
        <w:ind w:left="3427" w:hanging="360"/>
      </w:pPr>
      <w:rPr>
        <w:rFonts w:ascii="Courier New" w:hAnsi="Courier New" w:hint="default"/>
      </w:rPr>
    </w:lvl>
    <w:lvl w:ilvl="5" w:tplc="289C4EA2">
      <w:start w:val="1"/>
      <w:numFmt w:val="bullet"/>
      <w:lvlText w:val=""/>
      <w:lvlJc w:val="left"/>
      <w:pPr>
        <w:ind w:left="4147" w:hanging="360"/>
      </w:pPr>
      <w:rPr>
        <w:rFonts w:ascii="Wingdings" w:hAnsi="Wingdings" w:hint="default"/>
      </w:rPr>
    </w:lvl>
    <w:lvl w:ilvl="6" w:tplc="F0126628">
      <w:start w:val="1"/>
      <w:numFmt w:val="bullet"/>
      <w:lvlText w:val=""/>
      <w:lvlJc w:val="left"/>
      <w:pPr>
        <w:ind w:left="4867" w:hanging="360"/>
      </w:pPr>
      <w:rPr>
        <w:rFonts w:ascii="Symbol" w:hAnsi="Symbol" w:hint="default"/>
      </w:rPr>
    </w:lvl>
    <w:lvl w:ilvl="7" w:tplc="9F6A4AE0">
      <w:start w:val="1"/>
      <w:numFmt w:val="bullet"/>
      <w:lvlText w:val="o"/>
      <w:lvlJc w:val="left"/>
      <w:pPr>
        <w:ind w:left="5587" w:hanging="360"/>
      </w:pPr>
      <w:rPr>
        <w:rFonts w:ascii="Courier New" w:hAnsi="Courier New" w:hint="default"/>
      </w:rPr>
    </w:lvl>
    <w:lvl w:ilvl="8" w:tplc="F18AF6D2">
      <w:start w:val="1"/>
      <w:numFmt w:val="bullet"/>
      <w:lvlText w:val=""/>
      <w:lvlJc w:val="left"/>
      <w:pPr>
        <w:ind w:left="6307" w:hanging="360"/>
      </w:pPr>
      <w:rPr>
        <w:rFonts w:ascii="Wingdings" w:hAnsi="Wingdings" w:hint="default"/>
      </w:rPr>
    </w:lvl>
  </w:abstractNum>
  <w:abstractNum w:abstractNumId="286" w15:restartNumberingAfterBreak="0">
    <w:nsid w:val="279C4015"/>
    <w:multiLevelType w:val="multilevel"/>
    <w:tmpl w:val="58AC2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7" w15:restartNumberingAfterBreak="0">
    <w:nsid w:val="27ADA1E7"/>
    <w:multiLevelType w:val="hybridMultilevel"/>
    <w:tmpl w:val="29D8AF7A"/>
    <w:lvl w:ilvl="0" w:tplc="7D361C02">
      <w:start w:val="1"/>
      <w:numFmt w:val="bullet"/>
      <w:lvlText w:val=""/>
      <w:lvlJc w:val="left"/>
      <w:pPr>
        <w:ind w:left="547" w:hanging="360"/>
      </w:pPr>
      <w:rPr>
        <w:rFonts w:ascii="Symbol" w:hAnsi="Symbol" w:hint="default"/>
      </w:rPr>
    </w:lvl>
    <w:lvl w:ilvl="1" w:tplc="F402AF2C">
      <w:start w:val="1"/>
      <w:numFmt w:val="bullet"/>
      <w:lvlText w:val="o"/>
      <w:lvlJc w:val="left"/>
      <w:pPr>
        <w:ind w:left="1267" w:hanging="360"/>
      </w:pPr>
      <w:rPr>
        <w:rFonts w:ascii="Courier New" w:hAnsi="Courier New" w:hint="default"/>
      </w:rPr>
    </w:lvl>
    <w:lvl w:ilvl="2" w:tplc="9940C47E">
      <w:start w:val="1"/>
      <w:numFmt w:val="bullet"/>
      <w:lvlText w:val=""/>
      <w:lvlJc w:val="left"/>
      <w:pPr>
        <w:ind w:left="1987" w:hanging="360"/>
      </w:pPr>
      <w:rPr>
        <w:rFonts w:ascii="Wingdings" w:hAnsi="Wingdings" w:hint="default"/>
      </w:rPr>
    </w:lvl>
    <w:lvl w:ilvl="3" w:tplc="D02E358A">
      <w:start w:val="1"/>
      <w:numFmt w:val="bullet"/>
      <w:lvlText w:val=""/>
      <w:lvlJc w:val="left"/>
      <w:pPr>
        <w:ind w:left="2707" w:hanging="360"/>
      </w:pPr>
      <w:rPr>
        <w:rFonts w:ascii="Symbol" w:hAnsi="Symbol" w:hint="default"/>
      </w:rPr>
    </w:lvl>
    <w:lvl w:ilvl="4" w:tplc="72D277CC">
      <w:start w:val="1"/>
      <w:numFmt w:val="bullet"/>
      <w:lvlText w:val="o"/>
      <w:lvlJc w:val="left"/>
      <w:pPr>
        <w:ind w:left="3427" w:hanging="360"/>
      </w:pPr>
      <w:rPr>
        <w:rFonts w:ascii="Courier New" w:hAnsi="Courier New" w:hint="default"/>
      </w:rPr>
    </w:lvl>
    <w:lvl w:ilvl="5" w:tplc="31CA6234">
      <w:start w:val="1"/>
      <w:numFmt w:val="bullet"/>
      <w:lvlText w:val=""/>
      <w:lvlJc w:val="left"/>
      <w:pPr>
        <w:ind w:left="4147" w:hanging="360"/>
      </w:pPr>
      <w:rPr>
        <w:rFonts w:ascii="Wingdings" w:hAnsi="Wingdings" w:hint="default"/>
      </w:rPr>
    </w:lvl>
    <w:lvl w:ilvl="6" w:tplc="B9B0305C">
      <w:start w:val="1"/>
      <w:numFmt w:val="bullet"/>
      <w:lvlText w:val=""/>
      <w:lvlJc w:val="left"/>
      <w:pPr>
        <w:ind w:left="4867" w:hanging="360"/>
      </w:pPr>
      <w:rPr>
        <w:rFonts w:ascii="Symbol" w:hAnsi="Symbol" w:hint="default"/>
      </w:rPr>
    </w:lvl>
    <w:lvl w:ilvl="7" w:tplc="8E0E1494">
      <w:start w:val="1"/>
      <w:numFmt w:val="bullet"/>
      <w:lvlText w:val="o"/>
      <w:lvlJc w:val="left"/>
      <w:pPr>
        <w:ind w:left="5587" w:hanging="360"/>
      </w:pPr>
      <w:rPr>
        <w:rFonts w:ascii="Courier New" w:hAnsi="Courier New" w:hint="default"/>
      </w:rPr>
    </w:lvl>
    <w:lvl w:ilvl="8" w:tplc="D66EE72E">
      <w:start w:val="1"/>
      <w:numFmt w:val="bullet"/>
      <w:lvlText w:val=""/>
      <w:lvlJc w:val="left"/>
      <w:pPr>
        <w:ind w:left="6307" w:hanging="360"/>
      </w:pPr>
      <w:rPr>
        <w:rFonts w:ascii="Wingdings" w:hAnsi="Wingdings" w:hint="default"/>
      </w:rPr>
    </w:lvl>
  </w:abstractNum>
  <w:abstractNum w:abstractNumId="288" w15:restartNumberingAfterBreak="0">
    <w:nsid w:val="27B50572"/>
    <w:multiLevelType w:val="multilevel"/>
    <w:tmpl w:val="5AB899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9" w15:restartNumberingAfterBreak="0">
    <w:nsid w:val="28127E19"/>
    <w:multiLevelType w:val="multilevel"/>
    <w:tmpl w:val="BABC73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28504A2D"/>
    <w:multiLevelType w:val="multilevel"/>
    <w:tmpl w:val="A8CE5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286E1568"/>
    <w:multiLevelType w:val="hybridMultilevel"/>
    <w:tmpl w:val="5846E32A"/>
    <w:lvl w:ilvl="0" w:tplc="41EA15A2">
      <w:start w:val="1"/>
      <w:numFmt w:val="lowerLetter"/>
      <w:lvlText w:val="%1."/>
      <w:lvlJc w:val="left"/>
      <w:pPr>
        <w:ind w:left="720" w:hanging="360"/>
      </w:pPr>
    </w:lvl>
    <w:lvl w:ilvl="1" w:tplc="3AFC4ECE">
      <w:start w:val="1"/>
      <w:numFmt w:val="lowerLetter"/>
      <w:lvlText w:val="%2."/>
      <w:lvlJc w:val="left"/>
      <w:pPr>
        <w:ind w:left="1440" w:hanging="360"/>
      </w:pPr>
    </w:lvl>
    <w:lvl w:ilvl="2" w:tplc="B22A801C">
      <w:start w:val="1"/>
      <w:numFmt w:val="lowerRoman"/>
      <w:lvlText w:val="%3."/>
      <w:lvlJc w:val="right"/>
      <w:pPr>
        <w:ind w:left="2160" w:hanging="180"/>
      </w:pPr>
    </w:lvl>
    <w:lvl w:ilvl="3" w:tplc="42F4E53C">
      <w:start w:val="1"/>
      <w:numFmt w:val="decimal"/>
      <w:lvlText w:val="%4."/>
      <w:lvlJc w:val="left"/>
      <w:pPr>
        <w:ind w:left="2880" w:hanging="360"/>
      </w:pPr>
    </w:lvl>
    <w:lvl w:ilvl="4" w:tplc="C7CC8758">
      <w:start w:val="1"/>
      <w:numFmt w:val="lowerLetter"/>
      <w:lvlText w:val="%5."/>
      <w:lvlJc w:val="left"/>
      <w:pPr>
        <w:ind w:left="3600" w:hanging="360"/>
      </w:pPr>
    </w:lvl>
    <w:lvl w:ilvl="5" w:tplc="E4309024">
      <w:start w:val="1"/>
      <w:numFmt w:val="lowerRoman"/>
      <w:lvlText w:val="%6."/>
      <w:lvlJc w:val="right"/>
      <w:pPr>
        <w:ind w:left="4320" w:hanging="180"/>
      </w:pPr>
    </w:lvl>
    <w:lvl w:ilvl="6" w:tplc="28127F38">
      <w:start w:val="1"/>
      <w:numFmt w:val="decimal"/>
      <w:lvlText w:val="%7."/>
      <w:lvlJc w:val="left"/>
      <w:pPr>
        <w:ind w:left="5040" w:hanging="360"/>
      </w:pPr>
    </w:lvl>
    <w:lvl w:ilvl="7" w:tplc="13EE07A0">
      <w:start w:val="1"/>
      <w:numFmt w:val="lowerLetter"/>
      <w:lvlText w:val="%8."/>
      <w:lvlJc w:val="left"/>
      <w:pPr>
        <w:ind w:left="5760" w:hanging="360"/>
      </w:pPr>
    </w:lvl>
    <w:lvl w:ilvl="8" w:tplc="DA2EB6AA">
      <w:start w:val="1"/>
      <w:numFmt w:val="lowerRoman"/>
      <w:lvlText w:val="%9."/>
      <w:lvlJc w:val="right"/>
      <w:pPr>
        <w:ind w:left="6480" w:hanging="180"/>
      </w:pPr>
    </w:lvl>
  </w:abstractNum>
  <w:abstractNum w:abstractNumId="292" w15:restartNumberingAfterBreak="0">
    <w:nsid w:val="28893F69"/>
    <w:multiLevelType w:val="hybridMultilevel"/>
    <w:tmpl w:val="C786E4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3" w15:restartNumberingAfterBreak="0">
    <w:nsid w:val="288A6477"/>
    <w:multiLevelType w:val="hybridMultilevel"/>
    <w:tmpl w:val="E00CDC30"/>
    <w:lvl w:ilvl="0" w:tplc="D2442FBC">
      <w:start w:val="1"/>
      <w:numFmt w:val="bullet"/>
      <w:lvlText w:val=""/>
      <w:lvlJc w:val="left"/>
      <w:pPr>
        <w:ind w:left="720" w:hanging="360"/>
      </w:pPr>
      <w:rPr>
        <w:rFonts w:ascii="Symbol" w:hAnsi="Symbol" w:hint="default"/>
      </w:rPr>
    </w:lvl>
    <w:lvl w:ilvl="1" w:tplc="B980D9A6">
      <w:start w:val="1"/>
      <w:numFmt w:val="bullet"/>
      <w:lvlText w:val="o"/>
      <w:lvlJc w:val="left"/>
      <w:pPr>
        <w:ind w:left="1440" w:hanging="360"/>
      </w:pPr>
      <w:rPr>
        <w:rFonts w:ascii="Courier New" w:hAnsi="Courier New" w:hint="default"/>
      </w:rPr>
    </w:lvl>
    <w:lvl w:ilvl="2" w:tplc="4ED2245E">
      <w:start w:val="1"/>
      <w:numFmt w:val="bullet"/>
      <w:lvlText w:val=""/>
      <w:lvlJc w:val="left"/>
      <w:pPr>
        <w:ind w:left="2160" w:hanging="360"/>
      </w:pPr>
      <w:rPr>
        <w:rFonts w:ascii="Wingdings" w:hAnsi="Wingdings" w:hint="default"/>
      </w:rPr>
    </w:lvl>
    <w:lvl w:ilvl="3" w:tplc="AB48664E">
      <w:start w:val="1"/>
      <w:numFmt w:val="bullet"/>
      <w:lvlText w:val=""/>
      <w:lvlJc w:val="left"/>
      <w:pPr>
        <w:ind w:left="2880" w:hanging="360"/>
      </w:pPr>
      <w:rPr>
        <w:rFonts w:ascii="Symbol" w:hAnsi="Symbol" w:hint="default"/>
      </w:rPr>
    </w:lvl>
    <w:lvl w:ilvl="4" w:tplc="28A6C3C2">
      <w:start w:val="1"/>
      <w:numFmt w:val="bullet"/>
      <w:lvlText w:val="o"/>
      <w:lvlJc w:val="left"/>
      <w:pPr>
        <w:ind w:left="3600" w:hanging="360"/>
      </w:pPr>
      <w:rPr>
        <w:rFonts w:ascii="Courier New" w:hAnsi="Courier New" w:hint="default"/>
      </w:rPr>
    </w:lvl>
    <w:lvl w:ilvl="5" w:tplc="5E8CB3FC">
      <w:start w:val="1"/>
      <w:numFmt w:val="bullet"/>
      <w:lvlText w:val=""/>
      <w:lvlJc w:val="left"/>
      <w:pPr>
        <w:ind w:left="4320" w:hanging="360"/>
      </w:pPr>
      <w:rPr>
        <w:rFonts w:ascii="Wingdings" w:hAnsi="Wingdings" w:hint="default"/>
      </w:rPr>
    </w:lvl>
    <w:lvl w:ilvl="6" w:tplc="7D26A80A">
      <w:start w:val="1"/>
      <w:numFmt w:val="bullet"/>
      <w:lvlText w:val=""/>
      <w:lvlJc w:val="left"/>
      <w:pPr>
        <w:ind w:left="5040" w:hanging="360"/>
      </w:pPr>
      <w:rPr>
        <w:rFonts w:ascii="Symbol" w:hAnsi="Symbol" w:hint="default"/>
      </w:rPr>
    </w:lvl>
    <w:lvl w:ilvl="7" w:tplc="35E60C1C">
      <w:start w:val="1"/>
      <w:numFmt w:val="bullet"/>
      <w:lvlText w:val="o"/>
      <w:lvlJc w:val="left"/>
      <w:pPr>
        <w:ind w:left="5760" w:hanging="360"/>
      </w:pPr>
      <w:rPr>
        <w:rFonts w:ascii="Courier New" w:hAnsi="Courier New" w:hint="default"/>
      </w:rPr>
    </w:lvl>
    <w:lvl w:ilvl="8" w:tplc="EDCA2848">
      <w:start w:val="1"/>
      <w:numFmt w:val="bullet"/>
      <w:lvlText w:val=""/>
      <w:lvlJc w:val="left"/>
      <w:pPr>
        <w:ind w:left="6480" w:hanging="360"/>
      </w:pPr>
      <w:rPr>
        <w:rFonts w:ascii="Wingdings" w:hAnsi="Wingdings" w:hint="default"/>
      </w:rPr>
    </w:lvl>
  </w:abstractNum>
  <w:abstractNum w:abstractNumId="294" w15:restartNumberingAfterBreak="0">
    <w:nsid w:val="28934A3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5" w15:restartNumberingAfterBreak="0">
    <w:nsid w:val="28AC1322"/>
    <w:multiLevelType w:val="multilevel"/>
    <w:tmpl w:val="C0F288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6" w15:restartNumberingAfterBreak="0">
    <w:nsid w:val="28C24A62"/>
    <w:multiLevelType w:val="multilevel"/>
    <w:tmpl w:val="8F1CC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7" w15:restartNumberingAfterBreak="0">
    <w:nsid w:val="293CED9D"/>
    <w:multiLevelType w:val="hybridMultilevel"/>
    <w:tmpl w:val="FFFFFFFF"/>
    <w:lvl w:ilvl="0" w:tplc="CB307000">
      <w:start w:val="1"/>
      <w:numFmt w:val="decimal"/>
      <w:lvlText w:val="%1."/>
      <w:lvlJc w:val="left"/>
      <w:pPr>
        <w:ind w:left="547" w:hanging="360"/>
      </w:pPr>
    </w:lvl>
    <w:lvl w:ilvl="1" w:tplc="33AEE052">
      <w:start w:val="1"/>
      <w:numFmt w:val="lowerLetter"/>
      <w:lvlText w:val="%2."/>
      <w:lvlJc w:val="left"/>
      <w:pPr>
        <w:ind w:left="1267" w:hanging="360"/>
      </w:pPr>
    </w:lvl>
    <w:lvl w:ilvl="2" w:tplc="35C075C4">
      <w:start w:val="1"/>
      <w:numFmt w:val="lowerRoman"/>
      <w:lvlText w:val="%3."/>
      <w:lvlJc w:val="right"/>
      <w:pPr>
        <w:ind w:left="1987" w:hanging="180"/>
      </w:pPr>
    </w:lvl>
    <w:lvl w:ilvl="3" w:tplc="8144705C">
      <w:start w:val="1"/>
      <w:numFmt w:val="decimal"/>
      <w:lvlText w:val="%4."/>
      <w:lvlJc w:val="left"/>
      <w:pPr>
        <w:ind w:left="2707" w:hanging="360"/>
      </w:pPr>
    </w:lvl>
    <w:lvl w:ilvl="4" w:tplc="F34EB2AA">
      <w:start w:val="1"/>
      <w:numFmt w:val="lowerLetter"/>
      <w:lvlText w:val="%5."/>
      <w:lvlJc w:val="left"/>
      <w:pPr>
        <w:ind w:left="3427" w:hanging="360"/>
      </w:pPr>
    </w:lvl>
    <w:lvl w:ilvl="5" w:tplc="CD5847F2">
      <w:start w:val="1"/>
      <w:numFmt w:val="lowerRoman"/>
      <w:lvlText w:val="%6."/>
      <w:lvlJc w:val="right"/>
      <w:pPr>
        <w:ind w:left="4147" w:hanging="180"/>
      </w:pPr>
    </w:lvl>
    <w:lvl w:ilvl="6" w:tplc="8584B0EA">
      <w:start w:val="1"/>
      <w:numFmt w:val="decimal"/>
      <w:lvlText w:val="%7."/>
      <w:lvlJc w:val="left"/>
      <w:pPr>
        <w:ind w:left="4867" w:hanging="360"/>
      </w:pPr>
    </w:lvl>
    <w:lvl w:ilvl="7" w:tplc="B164FF84">
      <w:start w:val="1"/>
      <w:numFmt w:val="lowerLetter"/>
      <w:lvlText w:val="%8."/>
      <w:lvlJc w:val="left"/>
      <w:pPr>
        <w:ind w:left="5587" w:hanging="360"/>
      </w:pPr>
    </w:lvl>
    <w:lvl w:ilvl="8" w:tplc="FD52C668">
      <w:start w:val="1"/>
      <w:numFmt w:val="lowerRoman"/>
      <w:lvlText w:val="%9."/>
      <w:lvlJc w:val="right"/>
      <w:pPr>
        <w:ind w:left="6307" w:hanging="180"/>
      </w:pPr>
    </w:lvl>
  </w:abstractNum>
  <w:abstractNum w:abstractNumId="298" w15:restartNumberingAfterBreak="0">
    <w:nsid w:val="294039D9"/>
    <w:multiLevelType w:val="multilevel"/>
    <w:tmpl w:val="1356296A"/>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9" w15:restartNumberingAfterBreak="0">
    <w:nsid w:val="2984680D"/>
    <w:multiLevelType w:val="multilevel"/>
    <w:tmpl w:val="084C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2989200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301" w15:restartNumberingAfterBreak="0">
    <w:nsid w:val="298DBB04"/>
    <w:multiLevelType w:val="hybridMultilevel"/>
    <w:tmpl w:val="A70287AA"/>
    <w:lvl w:ilvl="0" w:tplc="E3CC89C2">
      <w:start w:val="1"/>
      <w:numFmt w:val="bullet"/>
      <w:lvlText w:val=""/>
      <w:lvlJc w:val="left"/>
      <w:pPr>
        <w:ind w:left="720" w:hanging="360"/>
      </w:pPr>
      <w:rPr>
        <w:rFonts w:ascii="Symbol" w:hAnsi="Symbol" w:hint="default"/>
      </w:rPr>
    </w:lvl>
    <w:lvl w:ilvl="1" w:tplc="4E6E5178">
      <w:start w:val="1"/>
      <w:numFmt w:val="bullet"/>
      <w:lvlText w:val="o"/>
      <w:lvlJc w:val="left"/>
      <w:pPr>
        <w:ind w:left="1440" w:hanging="360"/>
      </w:pPr>
      <w:rPr>
        <w:rFonts w:ascii="Courier New" w:hAnsi="Courier New" w:hint="default"/>
      </w:rPr>
    </w:lvl>
    <w:lvl w:ilvl="2" w:tplc="FC9EDCA8">
      <w:start w:val="1"/>
      <w:numFmt w:val="bullet"/>
      <w:lvlText w:val=""/>
      <w:lvlJc w:val="left"/>
      <w:pPr>
        <w:ind w:left="2160" w:hanging="360"/>
      </w:pPr>
      <w:rPr>
        <w:rFonts w:ascii="Wingdings" w:hAnsi="Wingdings" w:hint="default"/>
      </w:rPr>
    </w:lvl>
    <w:lvl w:ilvl="3" w:tplc="D4BCBCCE">
      <w:start w:val="1"/>
      <w:numFmt w:val="bullet"/>
      <w:lvlText w:val=""/>
      <w:lvlJc w:val="left"/>
      <w:pPr>
        <w:ind w:left="2880" w:hanging="360"/>
      </w:pPr>
      <w:rPr>
        <w:rFonts w:ascii="Symbol" w:hAnsi="Symbol" w:hint="default"/>
      </w:rPr>
    </w:lvl>
    <w:lvl w:ilvl="4" w:tplc="CE227C8A">
      <w:start w:val="1"/>
      <w:numFmt w:val="bullet"/>
      <w:lvlText w:val="o"/>
      <w:lvlJc w:val="left"/>
      <w:pPr>
        <w:ind w:left="3600" w:hanging="360"/>
      </w:pPr>
      <w:rPr>
        <w:rFonts w:ascii="Courier New" w:hAnsi="Courier New" w:hint="default"/>
      </w:rPr>
    </w:lvl>
    <w:lvl w:ilvl="5" w:tplc="181C3C8E">
      <w:start w:val="1"/>
      <w:numFmt w:val="bullet"/>
      <w:lvlText w:val=""/>
      <w:lvlJc w:val="left"/>
      <w:pPr>
        <w:ind w:left="4320" w:hanging="360"/>
      </w:pPr>
      <w:rPr>
        <w:rFonts w:ascii="Wingdings" w:hAnsi="Wingdings" w:hint="default"/>
      </w:rPr>
    </w:lvl>
    <w:lvl w:ilvl="6" w:tplc="6630B82C">
      <w:start w:val="1"/>
      <w:numFmt w:val="bullet"/>
      <w:lvlText w:val=""/>
      <w:lvlJc w:val="left"/>
      <w:pPr>
        <w:ind w:left="5040" w:hanging="360"/>
      </w:pPr>
      <w:rPr>
        <w:rFonts w:ascii="Symbol" w:hAnsi="Symbol" w:hint="default"/>
      </w:rPr>
    </w:lvl>
    <w:lvl w:ilvl="7" w:tplc="0A6E5B14">
      <w:start w:val="1"/>
      <w:numFmt w:val="bullet"/>
      <w:lvlText w:val="o"/>
      <w:lvlJc w:val="left"/>
      <w:pPr>
        <w:ind w:left="5760" w:hanging="360"/>
      </w:pPr>
      <w:rPr>
        <w:rFonts w:ascii="Courier New" w:hAnsi="Courier New" w:hint="default"/>
      </w:rPr>
    </w:lvl>
    <w:lvl w:ilvl="8" w:tplc="9C4A545E">
      <w:start w:val="1"/>
      <w:numFmt w:val="bullet"/>
      <w:lvlText w:val=""/>
      <w:lvlJc w:val="left"/>
      <w:pPr>
        <w:ind w:left="6480" w:hanging="360"/>
      </w:pPr>
      <w:rPr>
        <w:rFonts w:ascii="Wingdings" w:hAnsi="Wingdings" w:hint="default"/>
      </w:rPr>
    </w:lvl>
  </w:abstractNum>
  <w:abstractNum w:abstractNumId="302" w15:restartNumberingAfterBreak="0">
    <w:nsid w:val="29A00BAC"/>
    <w:multiLevelType w:val="hybridMultilevel"/>
    <w:tmpl w:val="7B26EFCC"/>
    <w:lvl w:ilvl="0" w:tplc="EBD84410">
      <w:start w:val="1"/>
      <w:numFmt w:val="bullet"/>
      <w:lvlText w:val=""/>
      <w:lvlJc w:val="left"/>
      <w:pPr>
        <w:ind w:left="720" w:hanging="360"/>
      </w:pPr>
      <w:rPr>
        <w:rFonts w:ascii="Symbol" w:hAnsi="Symbol" w:hint="default"/>
      </w:rPr>
    </w:lvl>
    <w:lvl w:ilvl="1" w:tplc="7A78CE92">
      <w:start w:val="1"/>
      <w:numFmt w:val="bullet"/>
      <w:lvlText w:val="o"/>
      <w:lvlJc w:val="left"/>
      <w:pPr>
        <w:ind w:left="1440" w:hanging="360"/>
      </w:pPr>
      <w:rPr>
        <w:rFonts w:ascii="Courier New" w:hAnsi="Courier New" w:hint="default"/>
      </w:rPr>
    </w:lvl>
    <w:lvl w:ilvl="2" w:tplc="47D07A10">
      <w:start w:val="1"/>
      <w:numFmt w:val="bullet"/>
      <w:lvlText w:val=""/>
      <w:lvlJc w:val="left"/>
      <w:pPr>
        <w:ind w:left="2160" w:hanging="360"/>
      </w:pPr>
      <w:rPr>
        <w:rFonts w:ascii="Wingdings" w:hAnsi="Wingdings" w:hint="default"/>
      </w:rPr>
    </w:lvl>
    <w:lvl w:ilvl="3" w:tplc="5EB0F6BE">
      <w:start w:val="1"/>
      <w:numFmt w:val="bullet"/>
      <w:lvlText w:val=""/>
      <w:lvlJc w:val="left"/>
      <w:pPr>
        <w:ind w:left="2880" w:hanging="360"/>
      </w:pPr>
      <w:rPr>
        <w:rFonts w:ascii="Symbol" w:hAnsi="Symbol" w:hint="default"/>
      </w:rPr>
    </w:lvl>
    <w:lvl w:ilvl="4" w:tplc="9732EF64">
      <w:start w:val="1"/>
      <w:numFmt w:val="bullet"/>
      <w:lvlText w:val="o"/>
      <w:lvlJc w:val="left"/>
      <w:pPr>
        <w:ind w:left="3600" w:hanging="360"/>
      </w:pPr>
      <w:rPr>
        <w:rFonts w:ascii="Courier New" w:hAnsi="Courier New" w:hint="default"/>
      </w:rPr>
    </w:lvl>
    <w:lvl w:ilvl="5" w:tplc="4D32EEA0">
      <w:start w:val="1"/>
      <w:numFmt w:val="bullet"/>
      <w:lvlText w:val=""/>
      <w:lvlJc w:val="left"/>
      <w:pPr>
        <w:ind w:left="4320" w:hanging="360"/>
      </w:pPr>
      <w:rPr>
        <w:rFonts w:ascii="Wingdings" w:hAnsi="Wingdings" w:hint="default"/>
      </w:rPr>
    </w:lvl>
    <w:lvl w:ilvl="6" w:tplc="080C22E2">
      <w:start w:val="1"/>
      <w:numFmt w:val="bullet"/>
      <w:lvlText w:val=""/>
      <w:lvlJc w:val="left"/>
      <w:pPr>
        <w:ind w:left="5040" w:hanging="360"/>
      </w:pPr>
      <w:rPr>
        <w:rFonts w:ascii="Symbol" w:hAnsi="Symbol" w:hint="default"/>
      </w:rPr>
    </w:lvl>
    <w:lvl w:ilvl="7" w:tplc="AA2C0CCC">
      <w:start w:val="1"/>
      <w:numFmt w:val="bullet"/>
      <w:lvlText w:val="o"/>
      <w:lvlJc w:val="left"/>
      <w:pPr>
        <w:ind w:left="5760" w:hanging="360"/>
      </w:pPr>
      <w:rPr>
        <w:rFonts w:ascii="Courier New" w:hAnsi="Courier New" w:hint="default"/>
      </w:rPr>
    </w:lvl>
    <w:lvl w:ilvl="8" w:tplc="32F8AE10">
      <w:start w:val="1"/>
      <w:numFmt w:val="bullet"/>
      <w:lvlText w:val=""/>
      <w:lvlJc w:val="left"/>
      <w:pPr>
        <w:ind w:left="6480" w:hanging="360"/>
      </w:pPr>
      <w:rPr>
        <w:rFonts w:ascii="Wingdings" w:hAnsi="Wingdings" w:hint="default"/>
      </w:rPr>
    </w:lvl>
  </w:abstractNum>
  <w:abstractNum w:abstractNumId="303" w15:restartNumberingAfterBreak="0">
    <w:nsid w:val="29D91D77"/>
    <w:multiLevelType w:val="multilevel"/>
    <w:tmpl w:val="3CE8E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4" w15:restartNumberingAfterBreak="0">
    <w:nsid w:val="29F69AF8"/>
    <w:multiLevelType w:val="hybridMultilevel"/>
    <w:tmpl w:val="33A0EB22"/>
    <w:lvl w:ilvl="0" w:tplc="3168B628">
      <w:start w:val="1"/>
      <w:numFmt w:val="bullet"/>
      <w:lvlText w:val=""/>
      <w:lvlJc w:val="left"/>
      <w:pPr>
        <w:ind w:left="547" w:hanging="360"/>
      </w:pPr>
      <w:rPr>
        <w:rFonts w:ascii="Symbol" w:hAnsi="Symbol" w:hint="default"/>
      </w:rPr>
    </w:lvl>
    <w:lvl w:ilvl="1" w:tplc="8D94E83A">
      <w:start w:val="1"/>
      <w:numFmt w:val="bullet"/>
      <w:lvlText w:val="o"/>
      <w:lvlJc w:val="left"/>
      <w:pPr>
        <w:ind w:left="1267" w:hanging="360"/>
      </w:pPr>
      <w:rPr>
        <w:rFonts w:ascii="Courier New" w:hAnsi="Courier New" w:hint="default"/>
      </w:rPr>
    </w:lvl>
    <w:lvl w:ilvl="2" w:tplc="74D2133C">
      <w:start w:val="1"/>
      <w:numFmt w:val="bullet"/>
      <w:lvlText w:val=""/>
      <w:lvlJc w:val="left"/>
      <w:pPr>
        <w:ind w:left="1987" w:hanging="360"/>
      </w:pPr>
      <w:rPr>
        <w:rFonts w:ascii="Wingdings" w:hAnsi="Wingdings" w:hint="default"/>
      </w:rPr>
    </w:lvl>
    <w:lvl w:ilvl="3" w:tplc="3072FE04">
      <w:start w:val="1"/>
      <w:numFmt w:val="bullet"/>
      <w:lvlText w:val=""/>
      <w:lvlJc w:val="left"/>
      <w:pPr>
        <w:ind w:left="2707" w:hanging="360"/>
      </w:pPr>
      <w:rPr>
        <w:rFonts w:ascii="Symbol" w:hAnsi="Symbol" w:hint="default"/>
      </w:rPr>
    </w:lvl>
    <w:lvl w:ilvl="4" w:tplc="AAE6AF6A">
      <w:start w:val="1"/>
      <w:numFmt w:val="bullet"/>
      <w:lvlText w:val="o"/>
      <w:lvlJc w:val="left"/>
      <w:pPr>
        <w:ind w:left="3427" w:hanging="360"/>
      </w:pPr>
      <w:rPr>
        <w:rFonts w:ascii="Courier New" w:hAnsi="Courier New" w:hint="default"/>
      </w:rPr>
    </w:lvl>
    <w:lvl w:ilvl="5" w:tplc="F2BA5910">
      <w:start w:val="1"/>
      <w:numFmt w:val="bullet"/>
      <w:lvlText w:val=""/>
      <w:lvlJc w:val="left"/>
      <w:pPr>
        <w:ind w:left="4147" w:hanging="360"/>
      </w:pPr>
      <w:rPr>
        <w:rFonts w:ascii="Wingdings" w:hAnsi="Wingdings" w:hint="default"/>
      </w:rPr>
    </w:lvl>
    <w:lvl w:ilvl="6" w:tplc="16A0621C">
      <w:start w:val="1"/>
      <w:numFmt w:val="bullet"/>
      <w:lvlText w:val=""/>
      <w:lvlJc w:val="left"/>
      <w:pPr>
        <w:ind w:left="4867" w:hanging="360"/>
      </w:pPr>
      <w:rPr>
        <w:rFonts w:ascii="Symbol" w:hAnsi="Symbol" w:hint="default"/>
      </w:rPr>
    </w:lvl>
    <w:lvl w:ilvl="7" w:tplc="67407BF8">
      <w:start w:val="1"/>
      <w:numFmt w:val="bullet"/>
      <w:lvlText w:val="o"/>
      <w:lvlJc w:val="left"/>
      <w:pPr>
        <w:ind w:left="5587" w:hanging="360"/>
      </w:pPr>
      <w:rPr>
        <w:rFonts w:ascii="Courier New" w:hAnsi="Courier New" w:hint="default"/>
      </w:rPr>
    </w:lvl>
    <w:lvl w:ilvl="8" w:tplc="3D66DE8A">
      <w:start w:val="1"/>
      <w:numFmt w:val="bullet"/>
      <w:lvlText w:val=""/>
      <w:lvlJc w:val="left"/>
      <w:pPr>
        <w:ind w:left="6307" w:hanging="360"/>
      </w:pPr>
      <w:rPr>
        <w:rFonts w:ascii="Wingdings" w:hAnsi="Wingdings" w:hint="default"/>
      </w:rPr>
    </w:lvl>
  </w:abstractNum>
  <w:abstractNum w:abstractNumId="305" w15:restartNumberingAfterBreak="0">
    <w:nsid w:val="29FA0890"/>
    <w:multiLevelType w:val="hybridMultilevel"/>
    <w:tmpl w:val="40A20416"/>
    <w:lvl w:ilvl="0" w:tplc="04090001">
      <w:start w:val="1"/>
      <w:numFmt w:val="bullet"/>
      <w:lvlText w:val=""/>
      <w:lvlJc w:val="left"/>
      <w:pPr>
        <w:ind w:left="907" w:hanging="360"/>
      </w:pPr>
      <w:rPr>
        <w:rFonts w:ascii="Symbol" w:hAnsi="Symbol" w:hint="default"/>
      </w:rPr>
    </w:lvl>
    <w:lvl w:ilvl="1" w:tplc="040C0003" w:tentative="1">
      <w:start w:val="1"/>
      <w:numFmt w:val="bullet"/>
      <w:lvlText w:val="o"/>
      <w:lvlJc w:val="left"/>
      <w:pPr>
        <w:ind w:left="1627" w:hanging="360"/>
      </w:pPr>
      <w:rPr>
        <w:rFonts w:ascii="Courier New" w:hAnsi="Courier New" w:cs="Courier New" w:hint="default"/>
      </w:rPr>
    </w:lvl>
    <w:lvl w:ilvl="2" w:tplc="040C0005" w:tentative="1">
      <w:start w:val="1"/>
      <w:numFmt w:val="bullet"/>
      <w:lvlText w:val=""/>
      <w:lvlJc w:val="left"/>
      <w:pPr>
        <w:ind w:left="2347" w:hanging="360"/>
      </w:pPr>
      <w:rPr>
        <w:rFonts w:ascii="Wingdings" w:hAnsi="Wingdings" w:hint="default"/>
      </w:rPr>
    </w:lvl>
    <w:lvl w:ilvl="3" w:tplc="040C0001" w:tentative="1">
      <w:start w:val="1"/>
      <w:numFmt w:val="bullet"/>
      <w:lvlText w:val=""/>
      <w:lvlJc w:val="left"/>
      <w:pPr>
        <w:ind w:left="3067" w:hanging="360"/>
      </w:pPr>
      <w:rPr>
        <w:rFonts w:ascii="Symbol" w:hAnsi="Symbol" w:hint="default"/>
      </w:rPr>
    </w:lvl>
    <w:lvl w:ilvl="4" w:tplc="040C0003" w:tentative="1">
      <w:start w:val="1"/>
      <w:numFmt w:val="bullet"/>
      <w:lvlText w:val="o"/>
      <w:lvlJc w:val="left"/>
      <w:pPr>
        <w:ind w:left="3787" w:hanging="360"/>
      </w:pPr>
      <w:rPr>
        <w:rFonts w:ascii="Courier New" w:hAnsi="Courier New" w:cs="Courier New" w:hint="default"/>
      </w:rPr>
    </w:lvl>
    <w:lvl w:ilvl="5" w:tplc="040C0005" w:tentative="1">
      <w:start w:val="1"/>
      <w:numFmt w:val="bullet"/>
      <w:lvlText w:val=""/>
      <w:lvlJc w:val="left"/>
      <w:pPr>
        <w:ind w:left="4507" w:hanging="360"/>
      </w:pPr>
      <w:rPr>
        <w:rFonts w:ascii="Wingdings" w:hAnsi="Wingdings" w:hint="default"/>
      </w:rPr>
    </w:lvl>
    <w:lvl w:ilvl="6" w:tplc="040C0001" w:tentative="1">
      <w:start w:val="1"/>
      <w:numFmt w:val="bullet"/>
      <w:lvlText w:val=""/>
      <w:lvlJc w:val="left"/>
      <w:pPr>
        <w:ind w:left="5227" w:hanging="360"/>
      </w:pPr>
      <w:rPr>
        <w:rFonts w:ascii="Symbol" w:hAnsi="Symbol" w:hint="default"/>
      </w:rPr>
    </w:lvl>
    <w:lvl w:ilvl="7" w:tplc="040C0003" w:tentative="1">
      <w:start w:val="1"/>
      <w:numFmt w:val="bullet"/>
      <w:lvlText w:val="o"/>
      <w:lvlJc w:val="left"/>
      <w:pPr>
        <w:ind w:left="5947" w:hanging="360"/>
      </w:pPr>
      <w:rPr>
        <w:rFonts w:ascii="Courier New" w:hAnsi="Courier New" w:cs="Courier New" w:hint="default"/>
      </w:rPr>
    </w:lvl>
    <w:lvl w:ilvl="8" w:tplc="040C0005" w:tentative="1">
      <w:start w:val="1"/>
      <w:numFmt w:val="bullet"/>
      <w:lvlText w:val=""/>
      <w:lvlJc w:val="left"/>
      <w:pPr>
        <w:ind w:left="6667" w:hanging="360"/>
      </w:pPr>
      <w:rPr>
        <w:rFonts w:ascii="Wingdings" w:hAnsi="Wingdings" w:hint="default"/>
      </w:rPr>
    </w:lvl>
  </w:abstractNum>
  <w:abstractNum w:abstractNumId="306" w15:restartNumberingAfterBreak="0">
    <w:nsid w:val="2A134520"/>
    <w:multiLevelType w:val="multilevel"/>
    <w:tmpl w:val="364421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2AC060BD"/>
    <w:multiLevelType w:val="hybridMultilevel"/>
    <w:tmpl w:val="D9E27324"/>
    <w:lvl w:ilvl="0" w:tplc="85A2FF38">
      <w:start w:val="1"/>
      <w:numFmt w:val="bullet"/>
      <w:lvlText w:val=""/>
      <w:lvlJc w:val="left"/>
      <w:pPr>
        <w:ind w:left="720" w:hanging="360"/>
      </w:pPr>
      <w:rPr>
        <w:rFonts w:ascii="Symbol" w:hAnsi="Symbol" w:hint="default"/>
      </w:rPr>
    </w:lvl>
    <w:lvl w:ilvl="1" w:tplc="ABBE24D4">
      <w:start w:val="1"/>
      <w:numFmt w:val="bullet"/>
      <w:lvlText w:val="o"/>
      <w:lvlJc w:val="left"/>
      <w:pPr>
        <w:ind w:left="1440" w:hanging="360"/>
      </w:pPr>
      <w:rPr>
        <w:rFonts w:ascii="Courier New" w:hAnsi="Courier New" w:hint="default"/>
      </w:rPr>
    </w:lvl>
    <w:lvl w:ilvl="2" w:tplc="26F61980">
      <w:start w:val="1"/>
      <w:numFmt w:val="bullet"/>
      <w:lvlText w:val=""/>
      <w:lvlJc w:val="left"/>
      <w:pPr>
        <w:ind w:left="2160" w:hanging="360"/>
      </w:pPr>
      <w:rPr>
        <w:rFonts w:ascii="Wingdings" w:hAnsi="Wingdings" w:hint="default"/>
      </w:rPr>
    </w:lvl>
    <w:lvl w:ilvl="3" w:tplc="C584073E">
      <w:start w:val="1"/>
      <w:numFmt w:val="bullet"/>
      <w:lvlText w:val=""/>
      <w:lvlJc w:val="left"/>
      <w:pPr>
        <w:ind w:left="2880" w:hanging="360"/>
      </w:pPr>
      <w:rPr>
        <w:rFonts w:ascii="Symbol" w:hAnsi="Symbol" w:hint="default"/>
      </w:rPr>
    </w:lvl>
    <w:lvl w:ilvl="4" w:tplc="34E0BC94">
      <w:start w:val="1"/>
      <w:numFmt w:val="bullet"/>
      <w:lvlText w:val="o"/>
      <w:lvlJc w:val="left"/>
      <w:pPr>
        <w:ind w:left="3600" w:hanging="360"/>
      </w:pPr>
      <w:rPr>
        <w:rFonts w:ascii="Courier New" w:hAnsi="Courier New" w:hint="default"/>
      </w:rPr>
    </w:lvl>
    <w:lvl w:ilvl="5" w:tplc="F0E872F4">
      <w:start w:val="1"/>
      <w:numFmt w:val="bullet"/>
      <w:lvlText w:val=""/>
      <w:lvlJc w:val="left"/>
      <w:pPr>
        <w:ind w:left="4320" w:hanging="360"/>
      </w:pPr>
      <w:rPr>
        <w:rFonts w:ascii="Wingdings" w:hAnsi="Wingdings" w:hint="default"/>
      </w:rPr>
    </w:lvl>
    <w:lvl w:ilvl="6" w:tplc="6600AF14">
      <w:start w:val="1"/>
      <w:numFmt w:val="bullet"/>
      <w:lvlText w:val=""/>
      <w:lvlJc w:val="left"/>
      <w:pPr>
        <w:ind w:left="5040" w:hanging="360"/>
      </w:pPr>
      <w:rPr>
        <w:rFonts w:ascii="Symbol" w:hAnsi="Symbol" w:hint="default"/>
      </w:rPr>
    </w:lvl>
    <w:lvl w:ilvl="7" w:tplc="2FA431E4">
      <w:start w:val="1"/>
      <w:numFmt w:val="bullet"/>
      <w:lvlText w:val="o"/>
      <w:lvlJc w:val="left"/>
      <w:pPr>
        <w:ind w:left="5760" w:hanging="360"/>
      </w:pPr>
      <w:rPr>
        <w:rFonts w:ascii="Courier New" w:hAnsi="Courier New" w:hint="default"/>
      </w:rPr>
    </w:lvl>
    <w:lvl w:ilvl="8" w:tplc="688884FE">
      <w:start w:val="1"/>
      <w:numFmt w:val="bullet"/>
      <w:lvlText w:val=""/>
      <w:lvlJc w:val="left"/>
      <w:pPr>
        <w:ind w:left="6480" w:hanging="360"/>
      </w:pPr>
      <w:rPr>
        <w:rFonts w:ascii="Wingdings" w:hAnsi="Wingdings" w:hint="default"/>
      </w:rPr>
    </w:lvl>
  </w:abstractNum>
  <w:abstractNum w:abstractNumId="308" w15:restartNumberingAfterBreak="0">
    <w:nsid w:val="2B08099B"/>
    <w:multiLevelType w:val="multilevel"/>
    <w:tmpl w:val="555C14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2B5B7D51"/>
    <w:multiLevelType w:val="hybridMultilevel"/>
    <w:tmpl w:val="A2A8B200"/>
    <w:lvl w:ilvl="0" w:tplc="4D0EA7EA">
      <w:start w:val="1"/>
      <w:numFmt w:val="bullet"/>
      <w:lvlText w:val=""/>
      <w:lvlJc w:val="left"/>
      <w:pPr>
        <w:ind w:left="720" w:hanging="360"/>
      </w:pPr>
      <w:rPr>
        <w:rFonts w:ascii="Symbol" w:hAnsi="Symbol"/>
      </w:rPr>
    </w:lvl>
    <w:lvl w:ilvl="1" w:tplc="6D224568">
      <w:start w:val="1"/>
      <w:numFmt w:val="bullet"/>
      <w:lvlText w:val=""/>
      <w:lvlJc w:val="left"/>
      <w:pPr>
        <w:ind w:left="720" w:hanging="360"/>
      </w:pPr>
      <w:rPr>
        <w:rFonts w:ascii="Symbol" w:hAnsi="Symbol"/>
      </w:rPr>
    </w:lvl>
    <w:lvl w:ilvl="2" w:tplc="20167136">
      <w:start w:val="1"/>
      <w:numFmt w:val="bullet"/>
      <w:lvlText w:val=""/>
      <w:lvlJc w:val="left"/>
      <w:pPr>
        <w:ind w:left="720" w:hanging="360"/>
      </w:pPr>
      <w:rPr>
        <w:rFonts w:ascii="Symbol" w:hAnsi="Symbol"/>
      </w:rPr>
    </w:lvl>
    <w:lvl w:ilvl="3" w:tplc="B67E7A70">
      <w:start w:val="1"/>
      <w:numFmt w:val="bullet"/>
      <w:lvlText w:val=""/>
      <w:lvlJc w:val="left"/>
      <w:pPr>
        <w:ind w:left="720" w:hanging="360"/>
      </w:pPr>
      <w:rPr>
        <w:rFonts w:ascii="Symbol" w:hAnsi="Symbol"/>
      </w:rPr>
    </w:lvl>
    <w:lvl w:ilvl="4" w:tplc="98044E90">
      <w:start w:val="1"/>
      <w:numFmt w:val="bullet"/>
      <w:lvlText w:val=""/>
      <w:lvlJc w:val="left"/>
      <w:pPr>
        <w:ind w:left="720" w:hanging="360"/>
      </w:pPr>
      <w:rPr>
        <w:rFonts w:ascii="Symbol" w:hAnsi="Symbol"/>
      </w:rPr>
    </w:lvl>
    <w:lvl w:ilvl="5" w:tplc="6C72ED9E">
      <w:start w:val="1"/>
      <w:numFmt w:val="bullet"/>
      <w:lvlText w:val=""/>
      <w:lvlJc w:val="left"/>
      <w:pPr>
        <w:ind w:left="720" w:hanging="360"/>
      </w:pPr>
      <w:rPr>
        <w:rFonts w:ascii="Symbol" w:hAnsi="Symbol"/>
      </w:rPr>
    </w:lvl>
    <w:lvl w:ilvl="6" w:tplc="73C2413C">
      <w:start w:val="1"/>
      <w:numFmt w:val="bullet"/>
      <w:lvlText w:val=""/>
      <w:lvlJc w:val="left"/>
      <w:pPr>
        <w:ind w:left="720" w:hanging="360"/>
      </w:pPr>
      <w:rPr>
        <w:rFonts w:ascii="Symbol" w:hAnsi="Symbol"/>
      </w:rPr>
    </w:lvl>
    <w:lvl w:ilvl="7" w:tplc="FB42CE12">
      <w:start w:val="1"/>
      <w:numFmt w:val="bullet"/>
      <w:lvlText w:val=""/>
      <w:lvlJc w:val="left"/>
      <w:pPr>
        <w:ind w:left="720" w:hanging="360"/>
      </w:pPr>
      <w:rPr>
        <w:rFonts w:ascii="Symbol" w:hAnsi="Symbol"/>
      </w:rPr>
    </w:lvl>
    <w:lvl w:ilvl="8" w:tplc="2A00B7C0">
      <w:start w:val="1"/>
      <w:numFmt w:val="bullet"/>
      <w:lvlText w:val=""/>
      <w:lvlJc w:val="left"/>
      <w:pPr>
        <w:ind w:left="720" w:hanging="360"/>
      </w:pPr>
      <w:rPr>
        <w:rFonts w:ascii="Symbol" w:hAnsi="Symbol"/>
      </w:rPr>
    </w:lvl>
  </w:abstractNum>
  <w:abstractNum w:abstractNumId="310" w15:restartNumberingAfterBreak="0">
    <w:nsid w:val="2B656F35"/>
    <w:multiLevelType w:val="multilevel"/>
    <w:tmpl w:val="1236E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2B9118EB"/>
    <w:multiLevelType w:val="multilevel"/>
    <w:tmpl w:val="36EA28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2" w15:restartNumberingAfterBreak="0">
    <w:nsid w:val="2BA05B32"/>
    <w:multiLevelType w:val="multilevel"/>
    <w:tmpl w:val="90547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2BAD4B4A"/>
    <w:multiLevelType w:val="multilevel"/>
    <w:tmpl w:val="281A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4" w15:restartNumberingAfterBreak="0">
    <w:nsid w:val="2BE100D1"/>
    <w:multiLevelType w:val="multilevel"/>
    <w:tmpl w:val="1B24B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5" w15:restartNumberingAfterBreak="0">
    <w:nsid w:val="2BE6416E"/>
    <w:multiLevelType w:val="multilevel"/>
    <w:tmpl w:val="94B20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2C655424"/>
    <w:multiLevelType w:val="multilevel"/>
    <w:tmpl w:val="6E1A7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7" w15:restartNumberingAfterBreak="0">
    <w:nsid w:val="2C765C5D"/>
    <w:multiLevelType w:val="multilevel"/>
    <w:tmpl w:val="5FC68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8" w15:restartNumberingAfterBreak="0">
    <w:nsid w:val="2C852F48"/>
    <w:multiLevelType w:val="hybridMultilevel"/>
    <w:tmpl w:val="7176261A"/>
    <w:lvl w:ilvl="0" w:tplc="38B62BB0">
      <w:start w:val="1"/>
      <w:numFmt w:val="bullet"/>
      <w:lvlText w:val=""/>
      <w:lvlJc w:val="left"/>
      <w:pPr>
        <w:ind w:left="720" w:hanging="360"/>
      </w:pPr>
      <w:rPr>
        <w:rFonts w:ascii="Symbol" w:hAnsi="Symbol" w:hint="default"/>
      </w:rPr>
    </w:lvl>
    <w:lvl w:ilvl="1" w:tplc="8C1460DC">
      <w:start w:val="1"/>
      <w:numFmt w:val="bullet"/>
      <w:lvlText w:val="o"/>
      <w:lvlJc w:val="left"/>
      <w:pPr>
        <w:ind w:left="1440" w:hanging="360"/>
      </w:pPr>
      <w:rPr>
        <w:rFonts w:ascii="Courier New" w:hAnsi="Courier New" w:hint="default"/>
      </w:rPr>
    </w:lvl>
    <w:lvl w:ilvl="2" w:tplc="6EBEE33E">
      <w:start w:val="1"/>
      <w:numFmt w:val="bullet"/>
      <w:lvlText w:val=""/>
      <w:lvlJc w:val="left"/>
      <w:pPr>
        <w:ind w:left="2160" w:hanging="360"/>
      </w:pPr>
      <w:rPr>
        <w:rFonts w:ascii="Wingdings" w:hAnsi="Wingdings" w:hint="default"/>
      </w:rPr>
    </w:lvl>
    <w:lvl w:ilvl="3" w:tplc="3C2A8B48">
      <w:start w:val="1"/>
      <w:numFmt w:val="bullet"/>
      <w:lvlText w:val=""/>
      <w:lvlJc w:val="left"/>
      <w:pPr>
        <w:ind w:left="2880" w:hanging="360"/>
      </w:pPr>
      <w:rPr>
        <w:rFonts w:ascii="Symbol" w:hAnsi="Symbol" w:hint="default"/>
      </w:rPr>
    </w:lvl>
    <w:lvl w:ilvl="4" w:tplc="E3FE4BE6">
      <w:start w:val="1"/>
      <w:numFmt w:val="bullet"/>
      <w:lvlText w:val="o"/>
      <w:lvlJc w:val="left"/>
      <w:pPr>
        <w:ind w:left="3600" w:hanging="360"/>
      </w:pPr>
      <w:rPr>
        <w:rFonts w:ascii="Courier New" w:hAnsi="Courier New" w:hint="default"/>
      </w:rPr>
    </w:lvl>
    <w:lvl w:ilvl="5" w:tplc="29E21824">
      <w:start w:val="1"/>
      <w:numFmt w:val="bullet"/>
      <w:lvlText w:val=""/>
      <w:lvlJc w:val="left"/>
      <w:pPr>
        <w:ind w:left="4320" w:hanging="360"/>
      </w:pPr>
      <w:rPr>
        <w:rFonts w:ascii="Wingdings" w:hAnsi="Wingdings" w:hint="default"/>
      </w:rPr>
    </w:lvl>
    <w:lvl w:ilvl="6" w:tplc="698C92CE">
      <w:start w:val="1"/>
      <w:numFmt w:val="bullet"/>
      <w:lvlText w:val=""/>
      <w:lvlJc w:val="left"/>
      <w:pPr>
        <w:ind w:left="5040" w:hanging="360"/>
      </w:pPr>
      <w:rPr>
        <w:rFonts w:ascii="Symbol" w:hAnsi="Symbol" w:hint="default"/>
      </w:rPr>
    </w:lvl>
    <w:lvl w:ilvl="7" w:tplc="8FAA0E4C">
      <w:start w:val="1"/>
      <w:numFmt w:val="bullet"/>
      <w:lvlText w:val="o"/>
      <w:lvlJc w:val="left"/>
      <w:pPr>
        <w:ind w:left="5760" w:hanging="360"/>
      </w:pPr>
      <w:rPr>
        <w:rFonts w:ascii="Courier New" w:hAnsi="Courier New" w:hint="default"/>
      </w:rPr>
    </w:lvl>
    <w:lvl w:ilvl="8" w:tplc="C7744836">
      <w:start w:val="1"/>
      <w:numFmt w:val="bullet"/>
      <w:lvlText w:val=""/>
      <w:lvlJc w:val="left"/>
      <w:pPr>
        <w:ind w:left="6480" w:hanging="360"/>
      </w:pPr>
      <w:rPr>
        <w:rFonts w:ascii="Wingdings" w:hAnsi="Wingdings" w:hint="default"/>
      </w:rPr>
    </w:lvl>
  </w:abstractNum>
  <w:abstractNum w:abstractNumId="319" w15:restartNumberingAfterBreak="0">
    <w:nsid w:val="2C9020AF"/>
    <w:multiLevelType w:val="hybridMultilevel"/>
    <w:tmpl w:val="B8D6876E"/>
    <w:lvl w:ilvl="0" w:tplc="F5A8E03C">
      <w:start w:val="1"/>
      <w:numFmt w:val="bullet"/>
      <w:lvlText w:val=""/>
      <w:lvlJc w:val="left"/>
      <w:pPr>
        <w:ind w:left="720" w:hanging="360"/>
      </w:pPr>
      <w:rPr>
        <w:rFonts w:ascii="Symbol" w:hAnsi="Symbol" w:hint="default"/>
      </w:rPr>
    </w:lvl>
    <w:lvl w:ilvl="1" w:tplc="0D92F1EC">
      <w:start w:val="1"/>
      <w:numFmt w:val="bullet"/>
      <w:lvlText w:val="o"/>
      <w:lvlJc w:val="left"/>
      <w:pPr>
        <w:ind w:left="1440" w:hanging="360"/>
      </w:pPr>
      <w:rPr>
        <w:rFonts w:ascii="Courier New" w:hAnsi="Courier New" w:hint="default"/>
      </w:rPr>
    </w:lvl>
    <w:lvl w:ilvl="2" w:tplc="A36873CA">
      <w:start w:val="1"/>
      <w:numFmt w:val="bullet"/>
      <w:lvlText w:val=""/>
      <w:lvlJc w:val="left"/>
      <w:pPr>
        <w:ind w:left="2160" w:hanging="360"/>
      </w:pPr>
      <w:rPr>
        <w:rFonts w:ascii="Wingdings" w:hAnsi="Wingdings" w:hint="default"/>
      </w:rPr>
    </w:lvl>
    <w:lvl w:ilvl="3" w:tplc="99D87B24">
      <w:start w:val="1"/>
      <w:numFmt w:val="bullet"/>
      <w:lvlText w:val=""/>
      <w:lvlJc w:val="left"/>
      <w:pPr>
        <w:ind w:left="2880" w:hanging="360"/>
      </w:pPr>
      <w:rPr>
        <w:rFonts w:ascii="Symbol" w:hAnsi="Symbol" w:hint="default"/>
      </w:rPr>
    </w:lvl>
    <w:lvl w:ilvl="4" w:tplc="8954F746">
      <w:start w:val="1"/>
      <w:numFmt w:val="bullet"/>
      <w:lvlText w:val="o"/>
      <w:lvlJc w:val="left"/>
      <w:pPr>
        <w:ind w:left="3600" w:hanging="360"/>
      </w:pPr>
      <w:rPr>
        <w:rFonts w:ascii="Courier New" w:hAnsi="Courier New" w:hint="default"/>
      </w:rPr>
    </w:lvl>
    <w:lvl w:ilvl="5" w:tplc="B9C67864">
      <w:start w:val="1"/>
      <w:numFmt w:val="bullet"/>
      <w:lvlText w:val=""/>
      <w:lvlJc w:val="left"/>
      <w:pPr>
        <w:ind w:left="4320" w:hanging="360"/>
      </w:pPr>
      <w:rPr>
        <w:rFonts w:ascii="Wingdings" w:hAnsi="Wingdings" w:hint="default"/>
      </w:rPr>
    </w:lvl>
    <w:lvl w:ilvl="6" w:tplc="162C1D0C">
      <w:start w:val="1"/>
      <w:numFmt w:val="bullet"/>
      <w:lvlText w:val=""/>
      <w:lvlJc w:val="left"/>
      <w:pPr>
        <w:ind w:left="5040" w:hanging="360"/>
      </w:pPr>
      <w:rPr>
        <w:rFonts w:ascii="Symbol" w:hAnsi="Symbol" w:hint="default"/>
      </w:rPr>
    </w:lvl>
    <w:lvl w:ilvl="7" w:tplc="A98831F8">
      <w:start w:val="1"/>
      <w:numFmt w:val="bullet"/>
      <w:lvlText w:val="o"/>
      <w:lvlJc w:val="left"/>
      <w:pPr>
        <w:ind w:left="5760" w:hanging="360"/>
      </w:pPr>
      <w:rPr>
        <w:rFonts w:ascii="Courier New" w:hAnsi="Courier New" w:hint="default"/>
      </w:rPr>
    </w:lvl>
    <w:lvl w:ilvl="8" w:tplc="747AF0EC">
      <w:start w:val="1"/>
      <w:numFmt w:val="bullet"/>
      <w:lvlText w:val=""/>
      <w:lvlJc w:val="left"/>
      <w:pPr>
        <w:ind w:left="6480" w:hanging="360"/>
      </w:pPr>
      <w:rPr>
        <w:rFonts w:ascii="Wingdings" w:hAnsi="Wingdings" w:hint="default"/>
      </w:rPr>
    </w:lvl>
  </w:abstractNum>
  <w:abstractNum w:abstractNumId="320" w15:restartNumberingAfterBreak="0">
    <w:nsid w:val="2C991821"/>
    <w:multiLevelType w:val="multilevel"/>
    <w:tmpl w:val="D29C5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2CA73B16"/>
    <w:multiLevelType w:val="multilevel"/>
    <w:tmpl w:val="0588A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2" w15:restartNumberingAfterBreak="0">
    <w:nsid w:val="2CA9BB65"/>
    <w:multiLevelType w:val="hybridMultilevel"/>
    <w:tmpl w:val="FFFFFFFF"/>
    <w:lvl w:ilvl="0" w:tplc="B7D608CA">
      <w:start w:val="1"/>
      <w:numFmt w:val="decimal"/>
      <w:lvlText w:val="%1."/>
      <w:lvlJc w:val="left"/>
      <w:pPr>
        <w:ind w:left="720" w:hanging="360"/>
      </w:pPr>
    </w:lvl>
    <w:lvl w:ilvl="1" w:tplc="9A44A8EC">
      <w:start w:val="1"/>
      <w:numFmt w:val="lowerLetter"/>
      <w:lvlText w:val="%2."/>
      <w:lvlJc w:val="left"/>
      <w:pPr>
        <w:ind w:left="1440" w:hanging="360"/>
      </w:pPr>
    </w:lvl>
    <w:lvl w:ilvl="2" w:tplc="FC365572">
      <w:start w:val="1"/>
      <w:numFmt w:val="lowerRoman"/>
      <w:lvlText w:val="%3."/>
      <w:lvlJc w:val="right"/>
      <w:pPr>
        <w:ind w:left="2160" w:hanging="180"/>
      </w:pPr>
    </w:lvl>
    <w:lvl w:ilvl="3" w:tplc="6BE8075C">
      <w:start w:val="1"/>
      <w:numFmt w:val="decimal"/>
      <w:lvlText w:val="%4."/>
      <w:lvlJc w:val="left"/>
      <w:pPr>
        <w:ind w:left="2880" w:hanging="360"/>
      </w:pPr>
    </w:lvl>
    <w:lvl w:ilvl="4" w:tplc="A59239C6">
      <w:start w:val="1"/>
      <w:numFmt w:val="lowerLetter"/>
      <w:lvlText w:val="%5."/>
      <w:lvlJc w:val="left"/>
      <w:pPr>
        <w:ind w:left="3600" w:hanging="360"/>
      </w:pPr>
    </w:lvl>
    <w:lvl w:ilvl="5" w:tplc="B1EA1186">
      <w:start w:val="1"/>
      <w:numFmt w:val="lowerRoman"/>
      <w:lvlText w:val="%6."/>
      <w:lvlJc w:val="right"/>
      <w:pPr>
        <w:ind w:left="4320" w:hanging="180"/>
      </w:pPr>
    </w:lvl>
    <w:lvl w:ilvl="6" w:tplc="A9021FA6">
      <w:start w:val="1"/>
      <w:numFmt w:val="decimal"/>
      <w:lvlText w:val="%7."/>
      <w:lvlJc w:val="left"/>
      <w:pPr>
        <w:ind w:left="5040" w:hanging="360"/>
      </w:pPr>
    </w:lvl>
    <w:lvl w:ilvl="7" w:tplc="88406ADC">
      <w:start w:val="1"/>
      <w:numFmt w:val="lowerLetter"/>
      <w:lvlText w:val="%8."/>
      <w:lvlJc w:val="left"/>
      <w:pPr>
        <w:ind w:left="5760" w:hanging="360"/>
      </w:pPr>
    </w:lvl>
    <w:lvl w:ilvl="8" w:tplc="F08EF61E">
      <w:start w:val="1"/>
      <w:numFmt w:val="lowerRoman"/>
      <w:lvlText w:val="%9."/>
      <w:lvlJc w:val="right"/>
      <w:pPr>
        <w:ind w:left="6480" w:hanging="180"/>
      </w:pPr>
    </w:lvl>
  </w:abstractNum>
  <w:abstractNum w:abstractNumId="323" w15:restartNumberingAfterBreak="0">
    <w:nsid w:val="2CC1366A"/>
    <w:multiLevelType w:val="multilevel"/>
    <w:tmpl w:val="7FAC5C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2CC49D51"/>
    <w:multiLevelType w:val="multilevel"/>
    <w:tmpl w:val="E736C5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5" w15:restartNumberingAfterBreak="0">
    <w:nsid w:val="2D157BFB"/>
    <w:multiLevelType w:val="hybridMultilevel"/>
    <w:tmpl w:val="D8A0FC2E"/>
    <w:lvl w:ilvl="0" w:tplc="12688786">
      <w:start w:val="1"/>
      <w:numFmt w:val="bullet"/>
      <w:lvlText w:val=""/>
      <w:lvlJc w:val="left"/>
      <w:pPr>
        <w:ind w:left="547" w:hanging="360"/>
      </w:pPr>
      <w:rPr>
        <w:rFonts w:ascii="Symbol" w:hAnsi="Symbol" w:hint="default"/>
      </w:rPr>
    </w:lvl>
    <w:lvl w:ilvl="1" w:tplc="82F67D34">
      <w:start w:val="1"/>
      <w:numFmt w:val="bullet"/>
      <w:lvlText w:val="o"/>
      <w:lvlJc w:val="left"/>
      <w:pPr>
        <w:ind w:left="1267" w:hanging="360"/>
      </w:pPr>
      <w:rPr>
        <w:rFonts w:ascii="Courier New" w:hAnsi="Courier New" w:hint="default"/>
      </w:rPr>
    </w:lvl>
    <w:lvl w:ilvl="2" w:tplc="A23A2252">
      <w:start w:val="1"/>
      <w:numFmt w:val="bullet"/>
      <w:lvlText w:val=""/>
      <w:lvlJc w:val="left"/>
      <w:pPr>
        <w:ind w:left="1987" w:hanging="360"/>
      </w:pPr>
      <w:rPr>
        <w:rFonts w:ascii="Wingdings" w:hAnsi="Wingdings" w:hint="default"/>
      </w:rPr>
    </w:lvl>
    <w:lvl w:ilvl="3" w:tplc="2D5ECA50">
      <w:start w:val="1"/>
      <w:numFmt w:val="bullet"/>
      <w:lvlText w:val=""/>
      <w:lvlJc w:val="left"/>
      <w:pPr>
        <w:ind w:left="2707" w:hanging="360"/>
      </w:pPr>
      <w:rPr>
        <w:rFonts w:ascii="Symbol" w:hAnsi="Symbol" w:hint="default"/>
      </w:rPr>
    </w:lvl>
    <w:lvl w:ilvl="4" w:tplc="134A7950">
      <w:start w:val="1"/>
      <w:numFmt w:val="bullet"/>
      <w:lvlText w:val="o"/>
      <w:lvlJc w:val="left"/>
      <w:pPr>
        <w:ind w:left="3427" w:hanging="360"/>
      </w:pPr>
      <w:rPr>
        <w:rFonts w:ascii="Courier New" w:hAnsi="Courier New" w:hint="default"/>
      </w:rPr>
    </w:lvl>
    <w:lvl w:ilvl="5" w:tplc="98289B82">
      <w:start w:val="1"/>
      <w:numFmt w:val="bullet"/>
      <w:lvlText w:val=""/>
      <w:lvlJc w:val="left"/>
      <w:pPr>
        <w:ind w:left="4147" w:hanging="360"/>
      </w:pPr>
      <w:rPr>
        <w:rFonts w:ascii="Wingdings" w:hAnsi="Wingdings" w:hint="default"/>
      </w:rPr>
    </w:lvl>
    <w:lvl w:ilvl="6" w:tplc="50262594">
      <w:start w:val="1"/>
      <w:numFmt w:val="bullet"/>
      <w:lvlText w:val=""/>
      <w:lvlJc w:val="left"/>
      <w:pPr>
        <w:ind w:left="4867" w:hanging="360"/>
      </w:pPr>
      <w:rPr>
        <w:rFonts w:ascii="Symbol" w:hAnsi="Symbol" w:hint="default"/>
      </w:rPr>
    </w:lvl>
    <w:lvl w:ilvl="7" w:tplc="F8A2EC60">
      <w:start w:val="1"/>
      <w:numFmt w:val="bullet"/>
      <w:lvlText w:val="o"/>
      <w:lvlJc w:val="left"/>
      <w:pPr>
        <w:ind w:left="5587" w:hanging="360"/>
      </w:pPr>
      <w:rPr>
        <w:rFonts w:ascii="Courier New" w:hAnsi="Courier New" w:hint="default"/>
      </w:rPr>
    </w:lvl>
    <w:lvl w:ilvl="8" w:tplc="AE52FFF8">
      <w:start w:val="1"/>
      <w:numFmt w:val="bullet"/>
      <w:lvlText w:val=""/>
      <w:lvlJc w:val="left"/>
      <w:pPr>
        <w:ind w:left="6307" w:hanging="360"/>
      </w:pPr>
      <w:rPr>
        <w:rFonts w:ascii="Wingdings" w:hAnsi="Wingdings" w:hint="default"/>
      </w:rPr>
    </w:lvl>
  </w:abstractNum>
  <w:abstractNum w:abstractNumId="326" w15:restartNumberingAfterBreak="0">
    <w:nsid w:val="2D3B6FC0"/>
    <w:multiLevelType w:val="multilevel"/>
    <w:tmpl w:val="B010D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2D444F17"/>
    <w:multiLevelType w:val="multilevel"/>
    <w:tmpl w:val="C84E0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2D5E4922"/>
    <w:multiLevelType w:val="multilevel"/>
    <w:tmpl w:val="13FE5E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9" w15:restartNumberingAfterBreak="0">
    <w:nsid w:val="2D6AFE3D"/>
    <w:multiLevelType w:val="hybridMultilevel"/>
    <w:tmpl w:val="26027C16"/>
    <w:lvl w:ilvl="0" w:tplc="D2967FC4">
      <w:start w:val="1"/>
      <w:numFmt w:val="lowerLetter"/>
      <w:lvlText w:val="%1."/>
      <w:lvlJc w:val="left"/>
      <w:pPr>
        <w:ind w:left="720" w:hanging="360"/>
      </w:pPr>
    </w:lvl>
    <w:lvl w:ilvl="1" w:tplc="0080AB60">
      <w:start w:val="1"/>
      <w:numFmt w:val="lowerLetter"/>
      <w:lvlText w:val="%2."/>
      <w:lvlJc w:val="left"/>
      <w:pPr>
        <w:ind w:left="1440" w:hanging="360"/>
      </w:pPr>
    </w:lvl>
    <w:lvl w:ilvl="2" w:tplc="02A0F51E">
      <w:start w:val="1"/>
      <w:numFmt w:val="lowerRoman"/>
      <w:lvlText w:val="%3."/>
      <w:lvlJc w:val="right"/>
      <w:pPr>
        <w:ind w:left="2160" w:hanging="180"/>
      </w:pPr>
    </w:lvl>
    <w:lvl w:ilvl="3" w:tplc="0F488B92">
      <w:start w:val="1"/>
      <w:numFmt w:val="decimal"/>
      <w:lvlText w:val="%4."/>
      <w:lvlJc w:val="left"/>
      <w:pPr>
        <w:ind w:left="2880" w:hanging="360"/>
      </w:pPr>
    </w:lvl>
    <w:lvl w:ilvl="4" w:tplc="D4648FCE">
      <w:start w:val="1"/>
      <w:numFmt w:val="lowerLetter"/>
      <w:lvlText w:val="%5."/>
      <w:lvlJc w:val="left"/>
      <w:pPr>
        <w:ind w:left="3600" w:hanging="360"/>
      </w:pPr>
    </w:lvl>
    <w:lvl w:ilvl="5" w:tplc="413632AE">
      <w:start w:val="1"/>
      <w:numFmt w:val="lowerRoman"/>
      <w:lvlText w:val="%6."/>
      <w:lvlJc w:val="right"/>
      <w:pPr>
        <w:ind w:left="4320" w:hanging="180"/>
      </w:pPr>
    </w:lvl>
    <w:lvl w:ilvl="6" w:tplc="8DF67C12">
      <w:start w:val="1"/>
      <w:numFmt w:val="decimal"/>
      <w:lvlText w:val="%7."/>
      <w:lvlJc w:val="left"/>
      <w:pPr>
        <w:ind w:left="5040" w:hanging="360"/>
      </w:pPr>
    </w:lvl>
    <w:lvl w:ilvl="7" w:tplc="1E9A642A">
      <w:start w:val="1"/>
      <w:numFmt w:val="lowerLetter"/>
      <w:lvlText w:val="%8."/>
      <w:lvlJc w:val="left"/>
      <w:pPr>
        <w:ind w:left="5760" w:hanging="360"/>
      </w:pPr>
    </w:lvl>
    <w:lvl w:ilvl="8" w:tplc="34D659E4">
      <w:start w:val="1"/>
      <w:numFmt w:val="lowerRoman"/>
      <w:lvlText w:val="%9."/>
      <w:lvlJc w:val="right"/>
      <w:pPr>
        <w:ind w:left="6480" w:hanging="180"/>
      </w:pPr>
    </w:lvl>
  </w:abstractNum>
  <w:abstractNum w:abstractNumId="330" w15:restartNumberingAfterBreak="0">
    <w:nsid w:val="2D702E37"/>
    <w:multiLevelType w:val="hybridMultilevel"/>
    <w:tmpl w:val="FFFFFFFF"/>
    <w:lvl w:ilvl="0" w:tplc="92F68174">
      <w:start w:val="1"/>
      <w:numFmt w:val="bullet"/>
      <w:lvlText w:val=""/>
      <w:lvlJc w:val="left"/>
      <w:pPr>
        <w:ind w:left="547" w:hanging="360"/>
      </w:pPr>
      <w:rPr>
        <w:rFonts w:ascii="Symbol" w:hAnsi="Symbol" w:hint="default"/>
      </w:rPr>
    </w:lvl>
    <w:lvl w:ilvl="1" w:tplc="D51C3612">
      <w:start w:val="1"/>
      <w:numFmt w:val="bullet"/>
      <w:lvlText w:val="o"/>
      <w:lvlJc w:val="left"/>
      <w:pPr>
        <w:ind w:left="1267" w:hanging="360"/>
      </w:pPr>
      <w:rPr>
        <w:rFonts w:ascii="Courier New" w:hAnsi="Courier New" w:hint="default"/>
      </w:rPr>
    </w:lvl>
    <w:lvl w:ilvl="2" w:tplc="A1A236EE">
      <w:start w:val="1"/>
      <w:numFmt w:val="bullet"/>
      <w:lvlText w:val=""/>
      <w:lvlJc w:val="left"/>
      <w:pPr>
        <w:ind w:left="1987" w:hanging="360"/>
      </w:pPr>
      <w:rPr>
        <w:rFonts w:ascii="Wingdings" w:hAnsi="Wingdings" w:hint="default"/>
      </w:rPr>
    </w:lvl>
    <w:lvl w:ilvl="3" w:tplc="A8EE3686">
      <w:start w:val="1"/>
      <w:numFmt w:val="bullet"/>
      <w:lvlText w:val=""/>
      <w:lvlJc w:val="left"/>
      <w:pPr>
        <w:ind w:left="2707" w:hanging="360"/>
      </w:pPr>
      <w:rPr>
        <w:rFonts w:ascii="Symbol" w:hAnsi="Symbol" w:hint="default"/>
      </w:rPr>
    </w:lvl>
    <w:lvl w:ilvl="4" w:tplc="41E2CFFA">
      <w:start w:val="1"/>
      <w:numFmt w:val="bullet"/>
      <w:lvlText w:val="o"/>
      <w:lvlJc w:val="left"/>
      <w:pPr>
        <w:ind w:left="3427" w:hanging="360"/>
      </w:pPr>
      <w:rPr>
        <w:rFonts w:ascii="Courier New" w:hAnsi="Courier New" w:hint="default"/>
      </w:rPr>
    </w:lvl>
    <w:lvl w:ilvl="5" w:tplc="31EEC64C">
      <w:start w:val="1"/>
      <w:numFmt w:val="bullet"/>
      <w:lvlText w:val=""/>
      <w:lvlJc w:val="left"/>
      <w:pPr>
        <w:ind w:left="4147" w:hanging="360"/>
      </w:pPr>
      <w:rPr>
        <w:rFonts w:ascii="Wingdings" w:hAnsi="Wingdings" w:hint="default"/>
      </w:rPr>
    </w:lvl>
    <w:lvl w:ilvl="6" w:tplc="E09665EC">
      <w:start w:val="1"/>
      <w:numFmt w:val="bullet"/>
      <w:lvlText w:val=""/>
      <w:lvlJc w:val="left"/>
      <w:pPr>
        <w:ind w:left="4867" w:hanging="360"/>
      </w:pPr>
      <w:rPr>
        <w:rFonts w:ascii="Symbol" w:hAnsi="Symbol" w:hint="default"/>
      </w:rPr>
    </w:lvl>
    <w:lvl w:ilvl="7" w:tplc="AFE47148">
      <w:start w:val="1"/>
      <w:numFmt w:val="bullet"/>
      <w:lvlText w:val="o"/>
      <w:lvlJc w:val="left"/>
      <w:pPr>
        <w:ind w:left="5587" w:hanging="360"/>
      </w:pPr>
      <w:rPr>
        <w:rFonts w:ascii="Courier New" w:hAnsi="Courier New" w:hint="default"/>
      </w:rPr>
    </w:lvl>
    <w:lvl w:ilvl="8" w:tplc="4532F5F2">
      <w:start w:val="1"/>
      <w:numFmt w:val="bullet"/>
      <w:lvlText w:val=""/>
      <w:lvlJc w:val="left"/>
      <w:pPr>
        <w:ind w:left="6307" w:hanging="360"/>
      </w:pPr>
      <w:rPr>
        <w:rFonts w:ascii="Wingdings" w:hAnsi="Wingdings" w:hint="default"/>
      </w:rPr>
    </w:lvl>
  </w:abstractNum>
  <w:abstractNum w:abstractNumId="331" w15:restartNumberingAfterBreak="0">
    <w:nsid w:val="2D9F25D8"/>
    <w:multiLevelType w:val="hybridMultilevel"/>
    <w:tmpl w:val="6D6AFF94"/>
    <w:lvl w:ilvl="0" w:tplc="5F583AB6">
      <w:start w:val="1"/>
      <w:numFmt w:val="bullet"/>
      <w:lvlText w:val=""/>
      <w:lvlJc w:val="left"/>
      <w:pPr>
        <w:ind w:left="720" w:hanging="360"/>
      </w:pPr>
      <w:rPr>
        <w:rFonts w:ascii="Symbol" w:hAnsi="Symbol" w:hint="default"/>
      </w:rPr>
    </w:lvl>
    <w:lvl w:ilvl="1" w:tplc="D1B2182C">
      <w:start w:val="1"/>
      <w:numFmt w:val="bullet"/>
      <w:lvlText w:val="o"/>
      <w:lvlJc w:val="left"/>
      <w:pPr>
        <w:ind w:left="1440" w:hanging="360"/>
      </w:pPr>
      <w:rPr>
        <w:rFonts w:ascii="Courier New" w:hAnsi="Courier New" w:hint="default"/>
      </w:rPr>
    </w:lvl>
    <w:lvl w:ilvl="2" w:tplc="BAD298C2">
      <w:start w:val="1"/>
      <w:numFmt w:val="bullet"/>
      <w:lvlText w:val=""/>
      <w:lvlJc w:val="left"/>
      <w:pPr>
        <w:ind w:left="2160" w:hanging="360"/>
      </w:pPr>
      <w:rPr>
        <w:rFonts w:ascii="Wingdings" w:hAnsi="Wingdings" w:hint="default"/>
      </w:rPr>
    </w:lvl>
    <w:lvl w:ilvl="3" w:tplc="CFB60394">
      <w:start w:val="1"/>
      <w:numFmt w:val="bullet"/>
      <w:lvlText w:val=""/>
      <w:lvlJc w:val="left"/>
      <w:pPr>
        <w:ind w:left="2880" w:hanging="360"/>
      </w:pPr>
      <w:rPr>
        <w:rFonts w:ascii="Symbol" w:hAnsi="Symbol" w:hint="default"/>
      </w:rPr>
    </w:lvl>
    <w:lvl w:ilvl="4" w:tplc="B324DF82">
      <w:start w:val="1"/>
      <w:numFmt w:val="bullet"/>
      <w:lvlText w:val="o"/>
      <w:lvlJc w:val="left"/>
      <w:pPr>
        <w:ind w:left="3600" w:hanging="360"/>
      </w:pPr>
      <w:rPr>
        <w:rFonts w:ascii="Courier New" w:hAnsi="Courier New" w:hint="default"/>
      </w:rPr>
    </w:lvl>
    <w:lvl w:ilvl="5" w:tplc="154A3780">
      <w:start w:val="1"/>
      <w:numFmt w:val="bullet"/>
      <w:lvlText w:val=""/>
      <w:lvlJc w:val="left"/>
      <w:pPr>
        <w:ind w:left="4320" w:hanging="360"/>
      </w:pPr>
      <w:rPr>
        <w:rFonts w:ascii="Wingdings" w:hAnsi="Wingdings" w:hint="default"/>
      </w:rPr>
    </w:lvl>
    <w:lvl w:ilvl="6" w:tplc="7CDEB3E6">
      <w:start w:val="1"/>
      <w:numFmt w:val="bullet"/>
      <w:lvlText w:val=""/>
      <w:lvlJc w:val="left"/>
      <w:pPr>
        <w:ind w:left="5040" w:hanging="360"/>
      </w:pPr>
      <w:rPr>
        <w:rFonts w:ascii="Symbol" w:hAnsi="Symbol" w:hint="default"/>
      </w:rPr>
    </w:lvl>
    <w:lvl w:ilvl="7" w:tplc="F9363924">
      <w:start w:val="1"/>
      <w:numFmt w:val="bullet"/>
      <w:lvlText w:val="o"/>
      <w:lvlJc w:val="left"/>
      <w:pPr>
        <w:ind w:left="5760" w:hanging="360"/>
      </w:pPr>
      <w:rPr>
        <w:rFonts w:ascii="Courier New" w:hAnsi="Courier New" w:hint="default"/>
      </w:rPr>
    </w:lvl>
    <w:lvl w:ilvl="8" w:tplc="9A344460">
      <w:start w:val="1"/>
      <w:numFmt w:val="bullet"/>
      <w:lvlText w:val=""/>
      <w:lvlJc w:val="left"/>
      <w:pPr>
        <w:ind w:left="6480" w:hanging="360"/>
      </w:pPr>
      <w:rPr>
        <w:rFonts w:ascii="Wingdings" w:hAnsi="Wingdings" w:hint="default"/>
      </w:rPr>
    </w:lvl>
  </w:abstractNum>
  <w:abstractNum w:abstractNumId="332" w15:restartNumberingAfterBreak="0">
    <w:nsid w:val="2DAB2CDE"/>
    <w:multiLevelType w:val="multilevel"/>
    <w:tmpl w:val="E3247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3" w15:restartNumberingAfterBreak="0">
    <w:nsid w:val="2DAE7042"/>
    <w:multiLevelType w:val="hybridMultilevel"/>
    <w:tmpl w:val="A0EABA08"/>
    <w:lvl w:ilvl="0" w:tplc="755CC544">
      <w:start w:val="1"/>
      <w:numFmt w:val="bullet"/>
      <w:lvlText w:val=""/>
      <w:lvlJc w:val="left"/>
      <w:pPr>
        <w:ind w:left="547" w:hanging="360"/>
      </w:pPr>
      <w:rPr>
        <w:rFonts w:ascii="Symbol" w:hAnsi="Symbol" w:hint="default"/>
      </w:rPr>
    </w:lvl>
    <w:lvl w:ilvl="1" w:tplc="74C0813A">
      <w:start w:val="1"/>
      <w:numFmt w:val="bullet"/>
      <w:lvlText w:val="o"/>
      <w:lvlJc w:val="left"/>
      <w:pPr>
        <w:ind w:left="1267" w:hanging="360"/>
      </w:pPr>
      <w:rPr>
        <w:rFonts w:ascii="Courier New" w:hAnsi="Courier New" w:hint="default"/>
      </w:rPr>
    </w:lvl>
    <w:lvl w:ilvl="2" w:tplc="FA30C6DA">
      <w:start w:val="1"/>
      <w:numFmt w:val="bullet"/>
      <w:lvlText w:val=""/>
      <w:lvlJc w:val="left"/>
      <w:pPr>
        <w:ind w:left="1987" w:hanging="360"/>
      </w:pPr>
      <w:rPr>
        <w:rFonts w:ascii="Wingdings" w:hAnsi="Wingdings" w:hint="default"/>
      </w:rPr>
    </w:lvl>
    <w:lvl w:ilvl="3" w:tplc="0AEEA67E">
      <w:start w:val="1"/>
      <w:numFmt w:val="bullet"/>
      <w:lvlText w:val=""/>
      <w:lvlJc w:val="left"/>
      <w:pPr>
        <w:ind w:left="2707" w:hanging="360"/>
      </w:pPr>
      <w:rPr>
        <w:rFonts w:ascii="Symbol" w:hAnsi="Symbol" w:hint="default"/>
      </w:rPr>
    </w:lvl>
    <w:lvl w:ilvl="4" w:tplc="A1E206FE">
      <w:start w:val="1"/>
      <w:numFmt w:val="bullet"/>
      <w:lvlText w:val="o"/>
      <w:lvlJc w:val="left"/>
      <w:pPr>
        <w:ind w:left="3427" w:hanging="360"/>
      </w:pPr>
      <w:rPr>
        <w:rFonts w:ascii="Courier New" w:hAnsi="Courier New" w:hint="default"/>
      </w:rPr>
    </w:lvl>
    <w:lvl w:ilvl="5" w:tplc="B50C1FA4">
      <w:start w:val="1"/>
      <w:numFmt w:val="bullet"/>
      <w:lvlText w:val=""/>
      <w:lvlJc w:val="left"/>
      <w:pPr>
        <w:ind w:left="4147" w:hanging="360"/>
      </w:pPr>
      <w:rPr>
        <w:rFonts w:ascii="Wingdings" w:hAnsi="Wingdings" w:hint="default"/>
      </w:rPr>
    </w:lvl>
    <w:lvl w:ilvl="6" w:tplc="463602AC">
      <w:start w:val="1"/>
      <w:numFmt w:val="bullet"/>
      <w:lvlText w:val=""/>
      <w:lvlJc w:val="left"/>
      <w:pPr>
        <w:ind w:left="4867" w:hanging="360"/>
      </w:pPr>
      <w:rPr>
        <w:rFonts w:ascii="Symbol" w:hAnsi="Symbol" w:hint="default"/>
      </w:rPr>
    </w:lvl>
    <w:lvl w:ilvl="7" w:tplc="DFCAF708">
      <w:start w:val="1"/>
      <w:numFmt w:val="bullet"/>
      <w:lvlText w:val="o"/>
      <w:lvlJc w:val="left"/>
      <w:pPr>
        <w:ind w:left="5587" w:hanging="360"/>
      </w:pPr>
      <w:rPr>
        <w:rFonts w:ascii="Courier New" w:hAnsi="Courier New" w:hint="default"/>
      </w:rPr>
    </w:lvl>
    <w:lvl w:ilvl="8" w:tplc="97367BD8">
      <w:start w:val="1"/>
      <w:numFmt w:val="bullet"/>
      <w:lvlText w:val=""/>
      <w:lvlJc w:val="left"/>
      <w:pPr>
        <w:ind w:left="6307" w:hanging="360"/>
      </w:pPr>
      <w:rPr>
        <w:rFonts w:ascii="Wingdings" w:hAnsi="Wingdings" w:hint="default"/>
      </w:rPr>
    </w:lvl>
  </w:abstractNum>
  <w:abstractNum w:abstractNumId="334" w15:restartNumberingAfterBreak="0">
    <w:nsid w:val="2DDE505D"/>
    <w:multiLevelType w:val="multilevel"/>
    <w:tmpl w:val="7EDE9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5"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6" w15:restartNumberingAfterBreak="0">
    <w:nsid w:val="2E621060"/>
    <w:multiLevelType w:val="multilevel"/>
    <w:tmpl w:val="E13E8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7" w15:restartNumberingAfterBreak="0">
    <w:nsid w:val="2E912711"/>
    <w:multiLevelType w:val="hybridMultilevel"/>
    <w:tmpl w:val="FFFFFFFF"/>
    <w:lvl w:ilvl="0" w:tplc="DF2AFEF2">
      <w:start w:val="1"/>
      <w:numFmt w:val="bullet"/>
      <w:lvlText w:val=""/>
      <w:lvlJc w:val="left"/>
      <w:pPr>
        <w:ind w:left="547" w:hanging="360"/>
      </w:pPr>
      <w:rPr>
        <w:rFonts w:ascii="Symbol" w:hAnsi="Symbol" w:hint="default"/>
      </w:rPr>
    </w:lvl>
    <w:lvl w:ilvl="1" w:tplc="2CA06BB2">
      <w:start w:val="1"/>
      <w:numFmt w:val="bullet"/>
      <w:lvlText w:val="o"/>
      <w:lvlJc w:val="left"/>
      <w:pPr>
        <w:ind w:left="1267" w:hanging="360"/>
      </w:pPr>
      <w:rPr>
        <w:rFonts w:ascii="Courier New" w:hAnsi="Courier New" w:hint="default"/>
      </w:rPr>
    </w:lvl>
    <w:lvl w:ilvl="2" w:tplc="19DED468">
      <w:start w:val="1"/>
      <w:numFmt w:val="bullet"/>
      <w:lvlText w:val=""/>
      <w:lvlJc w:val="left"/>
      <w:pPr>
        <w:ind w:left="1987" w:hanging="360"/>
      </w:pPr>
      <w:rPr>
        <w:rFonts w:ascii="Wingdings" w:hAnsi="Wingdings" w:hint="default"/>
      </w:rPr>
    </w:lvl>
    <w:lvl w:ilvl="3" w:tplc="147A10E6">
      <w:start w:val="1"/>
      <w:numFmt w:val="bullet"/>
      <w:lvlText w:val=""/>
      <w:lvlJc w:val="left"/>
      <w:pPr>
        <w:ind w:left="2707" w:hanging="360"/>
      </w:pPr>
      <w:rPr>
        <w:rFonts w:ascii="Symbol" w:hAnsi="Symbol" w:hint="default"/>
      </w:rPr>
    </w:lvl>
    <w:lvl w:ilvl="4" w:tplc="8F9270B2">
      <w:start w:val="1"/>
      <w:numFmt w:val="bullet"/>
      <w:lvlText w:val="o"/>
      <w:lvlJc w:val="left"/>
      <w:pPr>
        <w:ind w:left="3427" w:hanging="360"/>
      </w:pPr>
      <w:rPr>
        <w:rFonts w:ascii="Courier New" w:hAnsi="Courier New" w:hint="default"/>
      </w:rPr>
    </w:lvl>
    <w:lvl w:ilvl="5" w:tplc="DD72F7A6">
      <w:start w:val="1"/>
      <w:numFmt w:val="bullet"/>
      <w:lvlText w:val=""/>
      <w:lvlJc w:val="left"/>
      <w:pPr>
        <w:ind w:left="4147" w:hanging="360"/>
      </w:pPr>
      <w:rPr>
        <w:rFonts w:ascii="Wingdings" w:hAnsi="Wingdings" w:hint="default"/>
      </w:rPr>
    </w:lvl>
    <w:lvl w:ilvl="6" w:tplc="553E9A9C">
      <w:start w:val="1"/>
      <w:numFmt w:val="bullet"/>
      <w:lvlText w:val=""/>
      <w:lvlJc w:val="left"/>
      <w:pPr>
        <w:ind w:left="4867" w:hanging="360"/>
      </w:pPr>
      <w:rPr>
        <w:rFonts w:ascii="Symbol" w:hAnsi="Symbol" w:hint="default"/>
      </w:rPr>
    </w:lvl>
    <w:lvl w:ilvl="7" w:tplc="CE9A63B8">
      <w:start w:val="1"/>
      <w:numFmt w:val="bullet"/>
      <w:lvlText w:val="o"/>
      <w:lvlJc w:val="left"/>
      <w:pPr>
        <w:ind w:left="5587" w:hanging="360"/>
      </w:pPr>
      <w:rPr>
        <w:rFonts w:ascii="Courier New" w:hAnsi="Courier New" w:hint="default"/>
      </w:rPr>
    </w:lvl>
    <w:lvl w:ilvl="8" w:tplc="0E26138E">
      <w:start w:val="1"/>
      <w:numFmt w:val="bullet"/>
      <w:lvlText w:val=""/>
      <w:lvlJc w:val="left"/>
      <w:pPr>
        <w:ind w:left="6307" w:hanging="360"/>
      </w:pPr>
      <w:rPr>
        <w:rFonts w:ascii="Wingdings" w:hAnsi="Wingdings" w:hint="default"/>
      </w:rPr>
    </w:lvl>
  </w:abstractNum>
  <w:abstractNum w:abstractNumId="338" w15:restartNumberingAfterBreak="0">
    <w:nsid w:val="2EA98572"/>
    <w:multiLevelType w:val="hybridMultilevel"/>
    <w:tmpl w:val="855449AE"/>
    <w:lvl w:ilvl="0" w:tplc="04569988">
      <w:start w:val="1"/>
      <w:numFmt w:val="bullet"/>
      <w:lvlText w:val=""/>
      <w:lvlJc w:val="left"/>
      <w:pPr>
        <w:ind w:left="720" w:hanging="360"/>
      </w:pPr>
      <w:rPr>
        <w:rFonts w:ascii="Symbol" w:hAnsi="Symbol" w:hint="default"/>
      </w:rPr>
    </w:lvl>
    <w:lvl w:ilvl="1" w:tplc="A5CADC3E">
      <w:start w:val="1"/>
      <w:numFmt w:val="bullet"/>
      <w:lvlText w:val="o"/>
      <w:lvlJc w:val="left"/>
      <w:pPr>
        <w:ind w:left="1440" w:hanging="360"/>
      </w:pPr>
      <w:rPr>
        <w:rFonts w:ascii="Courier New" w:hAnsi="Courier New" w:hint="default"/>
      </w:rPr>
    </w:lvl>
    <w:lvl w:ilvl="2" w:tplc="C00AB8BC">
      <w:start w:val="1"/>
      <w:numFmt w:val="bullet"/>
      <w:lvlText w:val=""/>
      <w:lvlJc w:val="left"/>
      <w:pPr>
        <w:ind w:left="2160" w:hanging="360"/>
      </w:pPr>
      <w:rPr>
        <w:rFonts w:ascii="Wingdings" w:hAnsi="Wingdings" w:hint="default"/>
      </w:rPr>
    </w:lvl>
    <w:lvl w:ilvl="3" w:tplc="762C02F4">
      <w:start w:val="1"/>
      <w:numFmt w:val="bullet"/>
      <w:lvlText w:val=""/>
      <w:lvlJc w:val="left"/>
      <w:pPr>
        <w:ind w:left="2880" w:hanging="360"/>
      </w:pPr>
      <w:rPr>
        <w:rFonts w:ascii="Symbol" w:hAnsi="Symbol" w:hint="default"/>
      </w:rPr>
    </w:lvl>
    <w:lvl w:ilvl="4" w:tplc="B5F27A3C">
      <w:start w:val="1"/>
      <w:numFmt w:val="bullet"/>
      <w:lvlText w:val="o"/>
      <w:lvlJc w:val="left"/>
      <w:pPr>
        <w:ind w:left="3600" w:hanging="360"/>
      </w:pPr>
      <w:rPr>
        <w:rFonts w:ascii="Courier New" w:hAnsi="Courier New" w:hint="default"/>
      </w:rPr>
    </w:lvl>
    <w:lvl w:ilvl="5" w:tplc="AF2252AC">
      <w:start w:val="1"/>
      <w:numFmt w:val="bullet"/>
      <w:lvlText w:val=""/>
      <w:lvlJc w:val="left"/>
      <w:pPr>
        <w:ind w:left="4320" w:hanging="360"/>
      </w:pPr>
      <w:rPr>
        <w:rFonts w:ascii="Wingdings" w:hAnsi="Wingdings" w:hint="default"/>
      </w:rPr>
    </w:lvl>
    <w:lvl w:ilvl="6" w:tplc="2772BE3A">
      <w:start w:val="1"/>
      <w:numFmt w:val="bullet"/>
      <w:lvlText w:val=""/>
      <w:lvlJc w:val="left"/>
      <w:pPr>
        <w:ind w:left="5040" w:hanging="360"/>
      </w:pPr>
      <w:rPr>
        <w:rFonts w:ascii="Symbol" w:hAnsi="Symbol" w:hint="default"/>
      </w:rPr>
    </w:lvl>
    <w:lvl w:ilvl="7" w:tplc="2F20423A">
      <w:start w:val="1"/>
      <w:numFmt w:val="bullet"/>
      <w:lvlText w:val="o"/>
      <w:lvlJc w:val="left"/>
      <w:pPr>
        <w:ind w:left="5760" w:hanging="360"/>
      </w:pPr>
      <w:rPr>
        <w:rFonts w:ascii="Courier New" w:hAnsi="Courier New" w:hint="default"/>
      </w:rPr>
    </w:lvl>
    <w:lvl w:ilvl="8" w:tplc="400EAE62">
      <w:start w:val="1"/>
      <w:numFmt w:val="bullet"/>
      <w:lvlText w:val=""/>
      <w:lvlJc w:val="left"/>
      <w:pPr>
        <w:ind w:left="6480" w:hanging="360"/>
      </w:pPr>
      <w:rPr>
        <w:rFonts w:ascii="Wingdings" w:hAnsi="Wingdings" w:hint="default"/>
      </w:rPr>
    </w:lvl>
  </w:abstractNum>
  <w:abstractNum w:abstractNumId="339" w15:restartNumberingAfterBreak="0">
    <w:nsid w:val="2EAC3261"/>
    <w:multiLevelType w:val="multilevel"/>
    <w:tmpl w:val="E3F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0" w15:restartNumberingAfterBreak="0">
    <w:nsid w:val="2ED55FF7"/>
    <w:multiLevelType w:val="multilevel"/>
    <w:tmpl w:val="A4A4C1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1" w15:restartNumberingAfterBreak="0">
    <w:nsid w:val="2EDC5BDE"/>
    <w:multiLevelType w:val="hybridMultilevel"/>
    <w:tmpl w:val="361092F2"/>
    <w:lvl w:ilvl="0" w:tplc="C5001A36">
      <w:start w:val="1"/>
      <w:numFmt w:val="bullet"/>
      <w:lvlText w:val=""/>
      <w:lvlJc w:val="left"/>
      <w:pPr>
        <w:ind w:left="720" w:hanging="360"/>
      </w:pPr>
      <w:rPr>
        <w:rFonts w:ascii="Symbol" w:hAnsi="Symbol" w:hint="default"/>
      </w:rPr>
    </w:lvl>
    <w:lvl w:ilvl="1" w:tplc="DF7E5EC2">
      <w:start w:val="1"/>
      <w:numFmt w:val="bullet"/>
      <w:lvlText w:val="o"/>
      <w:lvlJc w:val="left"/>
      <w:pPr>
        <w:ind w:left="1440" w:hanging="360"/>
      </w:pPr>
      <w:rPr>
        <w:rFonts w:ascii="Courier New" w:hAnsi="Courier New" w:hint="default"/>
      </w:rPr>
    </w:lvl>
    <w:lvl w:ilvl="2" w:tplc="A5425E46">
      <w:start w:val="1"/>
      <w:numFmt w:val="bullet"/>
      <w:lvlText w:val=""/>
      <w:lvlJc w:val="left"/>
      <w:pPr>
        <w:ind w:left="2160" w:hanging="360"/>
      </w:pPr>
      <w:rPr>
        <w:rFonts w:ascii="Wingdings" w:hAnsi="Wingdings" w:hint="default"/>
      </w:rPr>
    </w:lvl>
    <w:lvl w:ilvl="3" w:tplc="FFE463E2">
      <w:start w:val="1"/>
      <w:numFmt w:val="bullet"/>
      <w:lvlText w:val=""/>
      <w:lvlJc w:val="left"/>
      <w:pPr>
        <w:ind w:left="2880" w:hanging="360"/>
      </w:pPr>
      <w:rPr>
        <w:rFonts w:ascii="Symbol" w:hAnsi="Symbol" w:hint="default"/>
      </w:rPr>
    </w:lvl>
    <w:lvl w:ilvl="4" w:tplc="36BACD50">
      <w:start w:val="1"/>
      <w:numFmt w:val="bullet"/>
      <w:lvlText w:val="o"/>
      <w:lvlJc w:val="left"/>
      <w:pPr>
        <w:ind w:left="3600" w:hanging="360"/>
      </w:pPr>
      <w:rPr>
        <w:rFonts w:ascii="Courier New" w:hAnsi="Courier New" w:hint="default"/>
      </w:rPr>
    </w:lvl>
    <w:lvl w:ilvl="5" w:tplc="FA1C9B86">
      <w:start w:val="1"/>
      <w:numFmt w:val="bullet"/>
      <w:lvlText w:val=""/>
      <w:lvlJc w:val="left"/>
      <w:pPr>
        <w:ind w:left="4320" w:hanging="360"/>
      </w:pPr>
      <w:rPr>
        <w:rFonts w:ascii="Wingdings" w:hAnsi="Wingdings" w:hint="default"/>
      </w:rPr>
    </w:lvl>
    <w:lvl w:ilvl="6" w:tplc="06B49E88">
      <w:start w:val="1"/>
      <w:numFmt w:val="bullet"/>
      <w:lvlText w:val=""/>
      <w:lvlJc w:val="left"/>
      <w:pPr>
        <w:ind w:left="5040" w:hanging="360"/>
      </w:pPr>
      <w:rPr>
        <w:rFonts w:ascii="Symbol" w:hAnsi="Symbol" w:hint="default"/>
      </w:rPr>
    </w:lvl>
    <w:lvl w:ilvl="7" w:tplc="63007D2A">
      <w:start w:val="1"/>
      <w:numFmt w:val="bullet"/>
      <w:lvlText w:val="o"/>
      <w:lvlJc w:val="left"/>
      <w:pPr>
        <w:ind w:left="5760" w:hanging="360"/>
      </w:pPr>
      <w:rPr>
        <w:rFonts w:ascii="Courier New" w:hAnsi="Courier New" w:hint="default"/>
      </w:rPr>
    </w:lvl>
    <w:lvl w:ilvl="8" w:tplc="43162530">
      <w:start w:val="1"/>
      <w:numFmt w:val="bullet"/>
      <w:lvlText w:val=""/>
      <w:lvlJc w:val="left"/>
      <w:pPr>
        <w:ind w:left="6480" w:hanging="360"/>
      </w:pPr>
      <w:rPr>
        <w:rFonts w:ascii="Wingdings" w:hAnsi="Wingdings" w:hint="default"/>
      </w:rPr>
    </w:lvl>
  </w:abstractNum>
  <w:abstractNum w:abstractNumId="342" w15:restartNumberingAfterBreak="0">
    <w:nsid w:val="2EE12E1E"/>
    <w:multiLevelType w:val="multilevel"/>
    <w:tmpl w:val="CAD84F98"/>
    <w:lvl w:ilvl="0">
      <w:start w:val="1"/>
      <w:numFmt w:val="bullet"/>
      <w:pStyle w:val="Normal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3" w15:restartNumberingAfterBreak="0">
    <w:nsid w:val="2F057D51"/>
    <w:multiLevelType w:val="multilevel"/>
    <w:tmpl w:val="D99A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4" w15:restartNumberingAfterBreak="0">
    <w:nsid w:val="2F125C87"/>
    <w:multiLevelType w:val="multilevel"/>
    <w:tmpl w:val="E89075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5" w15:restartNumberingAfterBreak="0">
    <w:nsid w:val="2F131537"/>
    <w:multiLevelType w:val="multilevel"/>
    <w:tmpl w:val="21983B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6" w15:restartNumberingAfterBreak="0">
    <w:nsid w:val="2FB44330"/>
    <w:multiLevelType w:val="multilevel"/>
    <w:tmpl w:val="9684F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7" w15:restartNumberingAfterBreak="0">
    <w:nsid w:val="3017CC5D"/>
    <w:multiLevelType w:val="multilevel"/>
    <w:tmpl w:val="907AFB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8" w15:restartNumberingAfterBreak="0">
    <w:nsid w:val="30AE3FDB"/>
    <w:multiLevelType w:val="hybridMultilevel"/>
    <w:tmpl w:val="CA8019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9" w15:restartNumberingAfterBreak="0">
    <w:nsid w:val="30C538F7"/>
    <w:multiLevelType w:val="multilevel"/>
    <w:tmpl w:val="598C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30C77667"/>
    <w:multiLevelType w:val="multilevel"/>
    <w:tmpl w:val="5BB47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1" w15:restartNumberingAfterBreak="0">
    <w:nsid w:val="310286B4"/>
    <w:multiLevelType w:val="hybridMultilevel"/>
    <w:tmpl w:val="B4802454"/>
    <w:lvl w:ilvl="0" w:tplc="0AB89B40">
      <w:start w:val="1"/>
      <w:numFmt w:val="bullet"/>
      <w:lvlText w:val=""/>
      <w:lvlJc w:val="left"/>
      <w:pPr>
        <w:ind w:left="720" w:hanging="360"/>
      </w:pPr>
      <w:rPr>
        <w:rFonts w:ascii="Symbol" w:hAnsi="Symbol" w:hint="default"/>
      </w:rPr>
    </w:lvl>
    <w:lvl w:ilvl="1" w:tplc="739A7FFA">
      <w:start w:val="1"/>
      <w:numFmt w:val="bullet"/>
      <w:lvlText w:val="o"/>
      <w:lvlJc w:val="left"/>
      <w:pPr>
        <w:ind w:left="1440" w:hanging="360"/>
      </w:pPr>
      <w:rPr>
        <w:rFonts w:ascii="Courier New" w:hAnsi="Courier New" w:hint="default"/>
      </w:rPr>
    </w:lvl>
    <w:lvl w:ilvl="2" w:tplc="18EEE084">
      <w:start w:val="1"/>
      <w:numFmt w:val="bullet"/>
      <w:lvlText w:val=""/>
      <w:lvlJc w:val="left"/>
      <w:pPr>
        <w:ind w:left="2160" w:hanging="360"/>
      </w:pPr>
      <w:rPr>
        <w:rFonts w:ascii="Wingdings" w:hAnsi="Wingdings" w:hint="default"/>
      </w:rPr>
    </w:lvl>
    <w:lvl w:ilvl="3" w:tplc="AFFAB14E">
      <w:start w:val="1"/>
      <w:numFmt w:val="bullet"/>
      <w:lvlText w:val=""/>
      <w:lvlJc w:val="left"/>
      <w:pPr>
        <w:ind w:left="2880" w:hanging="360"/>
      </w:pPr>
      <w:rPr>
        <w:rFonts w:ascii="Symbol" w:hAnsi="Symbol" w:hint="default"/>
      </w:rPr>
    </w:lvl>
    <w:lvl w:ilvl="4" w:tplc="A878A208">
      <w:start w:val="1"/>
      <w:numFmt w:val="bullet"/>
      <w:lvlText w:val="o"/>
      <w:lvlJc w:val="left"/>
      <w:pPr>
        <w:ind w:left="3600" w:hanging="360"/>
      </w:pPr>
      <w:rPr>
        <w:rFonts w:ascii="Courier New" w:hAnsi="Courier New" w:hint="default"/>
      </w:rPr>
    </w:lvl>
    <w:lvl w:ilvl="5" w:tplc="A16E946C">
      <w:start w:val="1"/>
      <w:numFmt w:val="bullet"/>
      <w:lvlText w:val=""/>
      <w:lvlJc w:val="left"/>
      <w:pPr>
        <w:ind w:left="4320" w:hanging="360"/>
      </w:pPr>
      <w:rPr>
        <w:rFonts w:ascii="Wingdings" w:hAnsi="Wingdings" w:hint="default"/>
      </w:rPr>
    </w:lvl>
    <w:lvl w:ilvl="6" w:tplc="7C0EA334">
      <w:start w:val="1"/>
      <w:numFmt w:val="bullet"/>
      <w:lvlText w:val=""/>
      <w:lvlJc w:val="left"/>
      <w:pPr>
        <w:ind w:left="5040" w:hanging="360"/>
      </w:pPr>
      <w:rPr>
        <w:rFonts w:ascii="Symbol" w:hAnsi="Symbol" w:hint="default"/>
      </w:rPr>
    </w:lvl>
    <w:lvl w:ilvl="7" w:tplc="86F6F060">
      <w:start w:val="1"/>
      <w:numFmt w:val="bullet"/>
      <w:lvlText w:val="o"/>
      <w:lvlJc w:val="left"/>
      <w:pPr>
        <w:ind w:left="5760" w:hanging="360"/>
      </w:pPr>
      <w:rPr>
        <w:rFonts w:ascii="Courier New" w:hAnsi="Courier New" w:hint="default"/>
      </w:rPr>
    </w:lvl>
    <w:lvl w:ilvl="8" w:tplc="54C09A24">
      <w:start w:val="1"/>
      <w:numFmt w:val="bullet"/>
      <w:lvlText w:val=""/>
      <w:lvlJc w:val="left"/>
      <w:pPr>
        <w:ind w:left="6480" w:hanging="360"/>
      </w:pPr>
      <w:rPr>
        <w:rFonts w:ascii="Wingdings" w:hAnsi="Wingdings" w:hint="default"/>
      </w:rPr>
    </w:lvl>
  </w:abstractNum>
  <w:abstractNum w:abstractNumId="352" w15:restartNumberingAfterBreak="0">
    <w:nsid w:val="311D6485"/>
    <w:multiLevelType w:val="multilevel"/>
    <w:tmpl w:val="23A02F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312A44D2"/>
    <w:multiLevelType w:val="multilevel"/>
    <w:tmpl w:val="FDD6A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4" w15:restartNumberingAfterBreak="0">
    <w:nsid w:val="31356B13"/>
    <w:multiLevelType w:val="multilevel"/>
    <w:tmpl w:val="1930B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5" w15:restartNumberingAfterBreak="0">
    <w:nsid w:val="313D3D9C"/>
    <w:multiLevelType w:val="multilevel"/>
    <w:tmpl w:val="76FE8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6" w15:restartNumberingAfterBreak="0">
    <w:nsid w:val="3165F51C"/>
    <w:multiLevelType w:val="multilevel"/>
    <w:tmpl w:val="48A41A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7" w15:restartNumberingAfterBreak="0">
    <w:nsid w:val="316E16A2"/>
    <w:multiLevelType w:val="multilevel"/>
    <w:tmpl w:val="D57C7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31AE733F"/>
    <w:multiLevelType w:val="hybridMultilevel"/>
    <w:tmpl w:val="405EE508"/>
    <w:lvl w:ilvl="0" w:tplc="EA0A329C">
      <w:start w:val="1"/>
      <w:numFmt w:val="bullet"/>
      <w:lvlText w:val=""/>
      <w:lvlJc w:val="left"/>
      <w:pPr>
        <w:ind w:left="720" w:hanging="360"/>
      </w:pPr>
      <w:rPr>
        <w:rFonts w:ascii="Symbol" w:hAnsi="Symbol" w:hint="default"/>
      </w:rPr>
    </w:lvl>
    <w:lvl w:ilvl="1" w:tplc="DDCA11AA">
      <w:start w:val="1"/>
      <w:numFmt w:val="bullet"/>
      <w:lvlText w:val="o"/>
      <w:lvlJc w:val="left"/>
      <w:pPr>
        <w:ind w:left="1440" w:hanging="360"/>
      </w:pPr>
      <w:rPr>
        <w:rFonts w:ascii="Courier New" w:hAnsi="Courier New" w:hint="default"/>
      </w:rPr>
    </w:lvl>
    <w:lvl w:ilvl="2" w:tplc="05862C58">
      <w:start w:val="1"/>
      <w:numFmt w:val="bullet"/>
      <w:lvlText w:val=""/>
      <w:lvlJc w:val="left"/>
      <w:pPr>
        <w:ind w:left="2160" w:hanging="360"/>
      </w:pPr>
      <w:rPr>
        <w:rFonts w:ascii="Wingdings" w:hAnsi="Wingdings" w:hint="default"/>
      </w:rPr>
    </w:lvl>
    <w:lvl w:ilvl="3" w:tplc="A9C4482A">
      <w:start w:val="1"/>
      <w:numFmt w:val="bullet"/>
      <w:lvlText w:val=""/>
      <w:lvlJc w:val="left"/>
      <w:pPr>
        <w:ind w:left="2880" w:hanging="360"/>
      </w:pPr>
      <w:rPr>
        <w:rFonts w:ascii="Symbol" w:hAnsi="Symbol" w:hint="default"/>
      </w:rPr>
    </w:lvl>
    <w:lvl w:ilvl="4" w:tplc="E24ADEDE">
      <w:start w:val="1"/>
      <w:numFmt w:val="bullet"/>
      <w:lvlText w:val="o"/>
      <w:lvlJc w:val="left"/>
      <w:pPr>
        <w:ind w:left="3600" w:hanging="360"/>
      </w:pPr>
      <w:rPr>
        <w:rFonts w:ascii="Courier New" w:hAnsi="Courier New" w:hint="default"/>
      </w:rPr>
    </w:lvl>
    <w:lvl w:ilvl="5" w:tplc="A42A891A">
      <w:start w:val="1"/>
      <w:numFmt w:val="bullet"/>
      <w:lvlText w:val=""/>
      <w:lvlJc w:val="left"/>
      <w:pPr>
        <w:ind w:left="4320" w:hanging="360"/>
      </w:pPr>
      <w:rPr>
        <w:rFonts w:ascii="Wingdings" w:hAnsi="Wingdings" w:hint="default"/>
      </w:rPr>
    </w:lvl>
    <w:lvl w:ilvl="6" w:tplc="1D524C06">
      <w:start w:val="1"/>
      <w:numFmt w:val="bullet"/>
      <w:lvlText w:val=""/>
      <w:lvlJc w:val="left"/>
      <w:pPr>
        <w:ind w:left="5040" w:hanging="360"/>
      </w:pPr>
      <w:rPr>
        <w:rFonts w:ascii="Symbol" w:hAnsi="Symbol" w:hint="default"/>
      </w:rPr>
    </w:lvl>
    <w:lvl w:ilvl="7" w:tplc="DB920D08">
      <w:start w:val="1"/>
      <w:numFmt w:val="bullet"/>
      <w:lvlText w:val="o"/>
      <w:lvlJc w:val="left"/>
      <w:pPr>
        <w:ind w:left="5760" w:hanging="360"/>
      </w:pPr>
      <w:rPr>
        <w:rFonts w:ascii="Courier New" w:hAnsi="Courier New" w:hint="default"/>
      </w:rPr>
    </w:lvl>
    <w:lvl w:ilvl="8" w:tplc="5038F47C">
      <w:start w:val="1"/>
      <w:numFmt w:val="bullet"/>
      <w:lvlText w:val=""/>
      <w:lvlJc w:val="left"/>
      <w:pPr>
        <w:ind w:left="6480" w:hanging="360"/>
      </w:pPr>
      <w:rPr>
        <w:rFonts w:ascii="Wingdings" w:hAnsi="Wingdings" w:hint="default"/>
      </w:rPr>
    </w:lvl>
  </w:abstractNum>
  <w:abstractNum w:abstractNumId="359" w15:restartNumberingAfterBreak="0">
    <w:nsid w:val="31B65390"/>
    <w:multiLevelType w:val="multilevel"/>
    <w:tmpl w:val="E1980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0" w15:restartNumberingAfterBreak="0">
    <w:nsid w:val="31BC16E2"/>
    <w:multiLevelType w:val="hybridMultilevel"/>
    <w:tmpl w:val="8466CB04"/>
    <w:lvl w:ilvl="0" w:tplc="ECEA5556">
      <w:start w:val="1"/>
      <w:numFmt w:val="bullet"/>
      <w:lvlText w:val=""/>
      <w:lvlJc w:val="left"/>
      <w:pPr>
        <w:ind w:left="720" w:hanging="360"/>
      </w:pPr>
      <w:rPr>
        <w:rFonts w:ascii="Symbol" w:hAnsi="Symbol" w:hint="default"/>
      </w:rPr>
    </w:lvl>
    <w:lvl w:ilvl="1" w:tplc="1C3A431C">
      <w:start w:val="1"/>
      <w:numFmt w:val="bullet"/>
      <w:lvlText w:val="o"/>
      <w:lvlJc w:val="left"/>
      <w:pPr>
        <w:ind w:left="1267" w:hanging="360"/>
      </w:pPr>
      <w:rPr>
        <w:rFonts w:ascii="Courier New" w:hAnsi="Courier New" w:hint="default"/>
      </w:rPr>
    </w:lvl>
    <w:lvl w:ilvl="2" w:tplc="03C2AB84">
      <w:start w:val="1"/>
      <w:numFmt w:val="bullet"/>
      <w:lvlText w:val=""/>
      <w:lvlJc w:val="left"/>
      <w:pPr>
        <w:ind w:left="1987" w:hanging="360"/>
      </w:pPr>
      <w:rPr>
        <w:rFonts w:ascii="Wingdings" w:hAnsi="Wingdings" w:hint="default"/>
      </w:rPr>
    </w:lvl>
    <w:lvl w:ilvl="3" w:tplc="963CDEF4">
      <w:start w:val="1"/>
      <w:numFmt w:val="bullet"/>
      <w:lvlText w:val=""/>
      <w:lvlJc w:val="left"/>
      <w:pPr>
        <w:ind w:left="2707" w:hanging="360"/>
      </w:pPr>
      <w:rPr>
        <w:rFonts w:ascii="Symbol" w:hAnsi="Symbol" w:hint="default"/>
      </w:rPr>
    </w:lvl>
    <w:lvl w:ilvl="4" w:tplc="CE9CD40C">
      <w:start w:val="1"/>
      <w:numFmt w:val="bullet"/>
      <w:lvlText w:val="o"/>
      <w:lvlJc w:val="left"/>
      <w:pPr>
        <w:ind w:left="3427" w:hanging="360"/>
      </w:pPr>
      <w:rPr>
        <w:rFonts w:ascii="Courier New" w:hAnsi="Courier New" w:hint="default"/>
      </w:rPr>
    </w:lvl>
    <w:lvl w:ilvl="5" w:tplc="5C7A49FE">
      <w:start w:val="1"/>
      <w:numFmt w:val="bullet"/>
      <w:lvlText w:val=""/>
      <w:lvlJc w:val="left"/>
      <w:pPr>
        <w:ind w:left="4147" w:hanging="360"/>
      </w:pPr>
      <w:rPr>
        <w:rFonts w:ascii="Wingdings" w:hAnsi="Wingdings" w:hint="default"/>
      </w:rPr>
    </w:lvl>
    <w:lvl w:ilvl="6" w:tplc="E87C6818">
      <w:start w:val="1"/>
      <w:numFmt w:val="bullet"/>
      <w:lvlText w:val=""/>
      <w:lvlJc w:val="left"/>
      <w:pPr>
        <w:ind w:left="4867" w:hanging="360"/>
      </w:pPr>
      <w:rPr>
        <w:rFonts w:ascii="Symbol" w:hAnsi="Symbol" w:hint="default"/>
      </w:rPr>
    </w:lvl>
    <w:lvl w:ilvl="7" w:tplc="BE960120">
      <w:start w:val="1"/>
      <w:numFmt w:val="bullet"/>
      <w:lvlText w:val="o"/>
      <w:lvlJc w:val="left"/>
      <w:pPr>
        <w:ind w:left="5587" w:hanging="360"/>
      </w:pPr>
      <w:rPr>
        <w:rFonts w:ascii="Courier New" w:hAnsi="Courier New" w:hint="default"/>
      </w:rPr>
    </w:lvl>
    <w:lvl w:ilvl="8" w:tplc="67F0C15A">
      <w:start w:val="1"/>
      <w:numFmt w:val="bullet"/>
      <w:lvlText w:val=""/>
      <w:lvlJc w:val="left"/>
      <w:pPr>
        <w:ind w:left="6307" w:hanging="360"/>
      </w:pPr>
      <w:rPr>
        <w:rFonts w:ascii="Wingdings" w:hAnsi="Wingdings" w:hint="default"/>
      </w:rPr>
    </w:lvl>
  </w:abstractNum>
  <w:abstractNum w:abstractNumId="361" w15:restartNumberingAfterBreak="0">
    <w:nsid w:val="31E90303"/>
    <w:multiLevelType w:val="multilevel"/>
    <w:tmpl w:val="8C680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2" w15:restartNumberingAfterBreak="0">
    <w:nsid w:val="320B1824"/>
    <w:multiLevelType w:val="multilevel"/>
    <w:tmpl w:val="A7805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3" w15:restartNumberingAfterBreak="0">
    <w:nsid w:val="32203EEA"/>
    <w:multiLevelType w:val="hybridMultilevel"/>
    <w:tmpl w:val="C3284E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4" w15:restartNumberingAfterBreak="0">
    <w:nsid w:val="324089F7"/>
    <w:multiLevelType w:val="hybridMultilevel"/>
    <w:tmpl w:val="AF944AA8"/>
    <w:lvl w:ilvl="0" w:tplc="916EC65E">
      <w:start w:val="1"/>
      <w:numFmt w:val="bullet"/>
      <w:lvlText w:val=""/>
      <w:lvlJc w:val="left"/>
      <w:pPr>
        <w:ind w:left="720" w:hanging="360"/>
      </w:pPr>
      <w:rPr>
        <w:rFonts w:ascii="Symbol" w:hAnsi="Symbol" w:hint="default"/>
      </w:rPr>
    </w:lvl>
    <w:lvl w:ilvl="1" w:tplc="B4803DB8">
      <w:start w:val="1"/>
      <w:numFmt w:val="bullet"/>
      <w:lvlText w:val="o"/>
      <w:lvlJc w:val="left"/>
      <w:pPr>
        <w:ind w:left="1440" w:hanging="360"/>
      </w:pPr>
      <w:rPr>
        <w:rFonts w:ascii="Courier New" w:hAnsi="Courier New" w:hint="default"/>
      </w:rPr>
    </w:lvl>
    <w:lvl w:ilvl="2" w:tplc="29D63CF0">
      <w:start w:val="1"/>
      <w:numFmt w:val="bullet"/>
      <w:lvlText w:val=""/>
      <w:lvlJc w:val="left"/>
      <w:pPr>
        <w:ind w:left="2160" w:hanging="360"/>
      </w:pPr>
      <w:rPr>
        <w:rFonts w:ascii="Wingdings" w:hAnsi="Wingdings" w:hint="default"/>
      </w:rPr>
    </w:lvl>
    <w:lvl w:ilvl="3" w:tplc="148C976C">
      <w:start w:val="1"/>
      <w:numFmt w:val="bullet"/>
      <w:lvlText w:val=""/>
      <w:lvlJc w:val="left"/>
      <w:pPr>
        <w:ind w:left="2880" w:hanging="360"/>
      </w:pPr>
      <w:rPr>
        <w:rFonts w:ascii="Symbol" w:hAnsi="Symbol" w:hint="default"/>
      </w:rPr>
    </w:lvl>
    <w:lvl w:ilvl="4" w:tplc="B0B6DCF2">
      <w:start w:val="1"/>
      <w:numFmt w:val="bullet"/>
      <w:lvlText w:val="o"/>
      <w:lvlJc w:val="left"/>
      <w:pPr>
        <w:ind w:left="3600" w:hanging="360"/>
      </w:pPr>
      <w:rPr>
        <w:rFonts w:ascii="Courier New" w:hAnsi="Courier New" w:hint="default"/>
      </w:rPr>
    </w:lvl>
    <w:lvl w:ilvl="5" w:tplc="EB223250">
      <w:start w:val="1"/>
      <w:numFmt w:val="bullet"/>
      <w:lvlText w:val=""/>
      <w:lvlJc w:val="left"/>
      <w:pPr>
        <w:ind w:left="4320" w:hanging="360"/>
      </w:pPr>
      <w:rPr>
        <w:rFonts w:ascii="Wingdings" w:hAnsi="Wingdings" w:hint="default"/>
      </w:rPr>
    </w:lvl>
    <w:lvl w:ilvl="6" w:tplc="84B49284">
      <w:start w:val="1"/>
      <w:numFmt w:val="bullet"/>
      <w:lvlText w:val=""/>
      <w:lvlJc w:val="left"/>
      <w:pPr>
        <w:ind w:left="5040" w:hanging="360"/>
      </w:pPr>
      <w:rPr>
        <w:rFonts w:ascii="Symbol" w:hAnsi="Symbol" w:hint="default"/>
      </w:rPr>
    </w:lvl>
    <w:lvl w:ilvl="7" w:tplc="6FD84A0A">
      <w:start w:val="1"/>
      <w:numFmt w:val="bullet"/>
      <w:lvlText w:val="o"/>
      <w:lvlJc w:val="left"/>
      <w:pPr>
        <w:ind w:left="5760" w:hanging="360"/>
      </w:pPr>
      <w:rPr>
        <w:rFonts w:ascii="Courier New" w:hAnsi="Courier New" w:hint="default"/>
      </w:rPr>
    </w:lvl>
    <w:lvl w:ilvl="8" w:tplc="D518AF5C">
      <w:start w:val="1"/>
      <w:numFmt w:val="bullet"/>
      <w:lvlText w:val=""/>
      <w:lvlJc w:val="left"/>
      <w:pPr>
        <w:ind w:left="6480" w:hanging="360"/>
      </w:pPr>
      <w:rPr>
        <w:rFonts w:ascii="Wingdings" w:hAnsi="Wingdings" w:hint="default"/>
      </w:rPr>
    </w:lvl>
  </w:abstractNum>
  <w:abstractNum w:abstractNumId="365" w15:restartNumberingAfterBreak="0">
    <w:nsid w:val="32A79292"/>
    <w:multiLevelType w:val="multilevel"/>
    <w:tmpl w:val="32A792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6" w15:restartNumberingAfterBreak="0">
    <w:nsid w:val="32D69506"/>
    <w:multiLevelType w:val="multilevel"/>
    <w:tmpl w:val="A00A4F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7" w15:restartNumberingAfterBreak="0">
    <w:nsid w:val="33101789"/>
    <w:multiLevelType w:val="multilevel"/>
    <w:tmpl w:val="3E04A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8" w15:restartNumberingAfterBreak="0">
    <w:nsid w:val="3321D416"/>
    <w:multiLevelType w:val="hybridMultilevel"/>
    <w:tmpl w:val="5A20D4EA"/>
    <w:lvl w:ilvl="0" w:tplc="C0C2807E">
      <w:start w:val="1"/>
      <w:numFmt w:val="bullet"/>
      <w:lvlText w:val=""/>
      <w:lvlJc w:val="left"/>
      <w:pPr>
        <w:ind w:left="720" w:hanging="360"/>
      </w:pPr>
      <w:rPr>
        <w:rFonts w:ascii="Symbol" w:hAnsi="Symbol" w:hint="default"/>
      </w:rPr>
    </w:lvl>
    <w:lvl w:ilvl="1" w:tplc="DD0EEED4">
      <w:start w:val="1"/>
      <w:numFmt w:val="bullet"/>
      <w:lvlText w:val="o"/>
      <w:lvlJc w:val="left"/>
      <w:pPr>
        <w:ind w:left="1440" w:hanging="360"/>
      </w:pPr>
      <w:rPr>
        <w:rFonts w:ascii="Courier New" w:hAnsi="Courier New" w:hint="default"/>
      </w:rPr>
    </w:lvl>
    <w:lvl w:ilvl="2" w:tplc="E24AAC5E">
      <w:start w:val="1"/>
      <w:numFmt w:val="bullet"/>
      <w:lvlText w:val=""/>
      <w:lvlJc w:val="left"/>
      <w:pPr>
        <w:ind w:left="2160" w:hanging="360"/>
      </w:pPr>
      <w:rPr>
        <w:rFonts w:ascii="Wingdings" w:hAnsi="Wingdings" w:hint="default"/>
      </w:rPr>
    </w:lvl>
    <w:lvl w:ilvl="3" w:tplc="2AC4F0D0">
      <w:start w:val="1"/>
      <w:numFmt w:val="bullet"/>
      <w:lvlText w:val=""/>
      <w:lvlJc w:val="left"/>
      <w:pPr>
        <w:ind w:left="2880" w:hanging="360"/>
      </w:pPr>
      <w:rPr>
        <w:rFonts w:ascii="Symbol" w:hAnsi="Symbol" w:hint="default"/>
      </w:rPr>
    </w:lvl>
    <w:lvl w:ilvl="4" w:tplc="F0A2316A">
      <w:start w:val="1"/>
      <w:numFmt w:val="bullet"/>
      <w:lvlText w:val="o"/>
      <w:lvlJc w:val="left"/>
      <w:pPr>
        <w:ind w:left="3600" w:hanging="360"/>
      </w:pPr>
      <w:rPr>
        <w:rFonts w:ascii="Courier New" w:hAnsi="Courier New" w:hint="default"/>
      </w:rPr>
    </w:lvl>
    <w:lvl w:ilvl="5" w:tplc="4076509A">
      <w:start w:val="1"/>
      <w:numFmt w:val="bullet"/>
      <w:lvlText w:val=""/>
      <w:lvlJc w:val="left"/>
      <w:pPr>
        <w:ind w:left="4320" w:hanging="360"/>
      </w:pPr>
      <w:rPr>
        <w:rFonts w:ascii="Wingdings" w:hAnsi="Wingdings" w:hint="default"/>
      </w:rPr>
    </w:lvl>
    <w:lvl w:ilvl="6" w:tplc="960496D0">
      <w:start w:val="1"/>
      <w:numFmt w:val="bullet"/>
      <w:lvlText w:val=""/>
      <w:lvlJc w:val="left"/>
      <w:pPr>
        <w:ind w:left="5040" w:hanging="360"/>
      </w:pPr>
      <w:rPr>
        <w:rFonts w:ascii="Symbol" w:hAnsi="Symbol" w:hint="default"/>
      </w:rPr>
    </w:lvl>
    <w:lvl w:ilvl="7" w:tplc="17440166">
      <w:start w:val="1"/>
      <w:numFmt w:val="bullet"/>
      <w:lvlText w:val="o"/>
      <w:lvlJc w:val="left"/>
      <w:pPr>
        <w:ind w:left="5760" w:hanging="360"/>
      </w:pPr>
      <w:rPr>
        <w:rFonts w:ascii="Courier New" w:hAnsi="Courier New" w:hint="default"/>
      </w:rPr>
    </w:lvl>
    <w:lvl w:ilvl="8" w:tplc="04523F42">
      <w:start w:val="1"/>
      <w:numFmt w:val="bullet"/>
      <w:lvlText w:val=""/>
      <w:lvlJc w:val="left"/>
      <w:pPr>
        <w:ind w:left="6480" w:hanging="360"/>
      </w:pPr>
      <w:rPr>
        <w:rFonts w:ascii="Wingdings" w:hAnsi="Wingdings" w:hint="default"/>
      </w:rPr>
    </w:lvl>
  </w:abstractNum>
  <w:abstractNum w:abstractNumId="369" w15:restartNumberingAfterBreak="0">
    <w:nsid w:val="33754FDD"/>
    <w:multiLevelType w:val="multilevel"/>
    <w:tmpl w:val="275A0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0" w15:restartNumberingAfterBreak="0">
    <w:nsid w:val="33991331"/>
    <w:multiLevelType w:val="hybridMultilevel"/>
    <w:tmpl w:val="B0D46370"/>
    <w:lvl w:ilvl="0" w:tplc="2D78D224">
      <w:start w:val="1"/>
      <w:numFmt w:val="decimal"/>
      <w:lvlText w:val="%1."/>
      <w:lvlJc w:val="left"/>
      <w:pPr>
        <w:ind w:left="720" w:hanging="360"/>
      </w:pPr>
    </w:lvl>
    <w:lvl w:ilvl="1" w:tplc="5EEC083E">
      <w:start w:val="1"/>
      <w:numFmt w:val="bullet"/>
      <w:lvlText w:val="o"/>
      <w:lvlJc w:val="left"/>
      <w:pPr>
        <w:ind w:left="1440" w:hanging="360"/>
      </w:pPr>
      <w:rPr>
        <w:rFonts w:ascii="Symbol" w:hAnsi="Symbol" w:hint="default"/>
      </w:rPr>
    </w:lvl>
    <w:lvl w:ilvl="2" w:tplc="7534EAC4">
      <w:start w:val="1"/>
      <w:numFmt w:val="lowerRoman"/>
      <w:lvlText w:val="%3."/>
      <w:lvlJc w:val="right"/>
      <w:pPr>
        <w:ind w:left="2160" w:hanging="180"/>
      </w:pPr>
    </w:lvl>
    <w:lvl w:ilvl="3" w:tplc="1626FDC6">
      <w:start w:val="1"/>
      <w:numFmt w:val="decimal"/>
      <w:lvlText w:val="%4."/>
      <w:lvlJc w:val="left"/>
      <w:pPr>
        <w:ind w:left="2880" w:hanging="360"/>
      </w:pPr>
    </w:lvl>
    <w:lvl w:ilvl="4" w:tplc="565C8F0E">
      <w:start w:val="1"/>
      <w:numFmt w:val="lowerLetter"/>
      <w:lvlText w:val="%5."/>
      <w:lvlJc w:val="left"/>
      <w:pPr>
        <w:ind w:left="3600" w:hanging="360"/>
      </w:pPr>
    </w:lvl>
    <w:lvl w:ilvl="5" w:tplc="B58C6762">
      <w:start w:val="1"/>
      <w:numFmt w:val="lowerRoman"/>
      <w:lvlText w:val="%6."/>
      <w:lvlJc w:val="right"/>
      <w:pPr>
        <w:ind w:left="4320" w:hanging="180"/>
      </w:pPr>
    </w:lvl>
    <w:lvl w:ilvl="6" w:tplc="7ADCB618">
      <w:start w:val="1"/>
      <w:numFmt w:val="decimal"/>
      <w:lvlText w:val="%7."/>
      <w:lvlJc w:val="left"/>
      <w:pPr>
        <w:ind w:left="5040" w:hanging="360"/>
      </w:pPr>
    </w:lvl>
    <w:lvl w:ilvl="7" w:tplc="509ABA4A">
      <w:start w:val="1"/>
      <w:numFmt w:val="lowerLetter"/>
      <w:lvlText w:val="%8."/>
      <w:lvlJc w:val="left"/>
      <w:pPr>
        <w:ind w:left="5760" w:hanging="360"/>
      </w:pPr>
    </w:lvl>
    <w:lvl w:ilvl="8" w:tplc="38068D1A">
      <w:start w:val="1"/>
      <w:numFmt w:val="lowerRoman"/>
      <w:lvlText w:val="%9."/>
      <w:lvlJc w:val="right"/>
      <w:pPr>
        <w:ind w:left="6480" w:hanging="180"/>
      </w:pPr>
    </w:lvl>
  </w:abstractNum>
  <w:abstractNum w:abstractNumId="371" w15:restartNumberingAfterBreak="0">
    <w:nsid w:val="33ACCBCB"/>
    <w:multiLevelType w:val="hybridMultilevel"/>
    <w:tmpl w:val="3E5A7A4E"/>
    <w:lvl w:ilvl="0" w:tplc="6D32B6C2">
      <w:start w:val="1"/>
      <w:numFmt w:val="bullet"/>
      <w:lvlText w:val=""/>
      <w:lvlJc w:val="left"/>
      <w:pPr>
        <w:ind w:left="720" w:hanging="360"/>
      </w:pPr>
      <w:rPr>
        <w:rFonts w:ascii="Symbol" w:hAnsi="Symbol" w:hint="default"/>
      </w:rPr>
    </w:lvl>
    <w:lvl w:ilvl="1" w:tplc="D26E7E3C">
      <w:start w:val="1"/>
      <w:numFmt w:val="bullet"/>
      <w:lvlText w:val="o"/>
      <w:lvlJc w:val="left"/>
      <w:pPr>
        <w:ind w:left="1440" w:hanging="360"/>
      </w:pPr>
      <w:rPr>
        <w:rFonts w:ascii="Courier New" w:hAnsi="Courier New" w:hint="default"/>
      </w:rPr>
    </w:lvl>
    <w:lvl w:ilvl="2" w:tplc="4BEC0188">
      <w:start w:val="1"/>
      <w:numFmt w:val="bullet"/>
      <w:lvlText w:val=""/>
      <w:lvlJc w:val="left"/>
      <w:pPr>
        <w:ind w:left="2160" w:hanging="360"/>
      </w:pPr>
      <w:rPr>
        <w:rFonts w:ascii="Wingdings" w:hAnsi="Wingdings" w:hint="default"/>
      </w:rPr>
    </w:lvl>
    <w:lvl w:ilvl="3" w:tplc="34C27AB6">
      <w:start w:val="1"/>
      <w:numFmt w:val="bullet"/>
      <w:lvlText w:val=""/>
      <w:lvlJc w:val="left"/>
      <w:pPr>
        <w:ind w:left="2880" w:hanging="360"/>
      </w:pPr>
      <w:rPr>
        <w:rFonts w:ascii="Symbol" w:hAnsi="Symbol" w:hint="default"/>
      </w:rPr>
    </w:lvl>
    <w:lvl w:ilvl="4" w:tplc="F614297E">
      <w:start w:val="1"/>
      <w:numFmt w:val="bullet"/>
      <w:lvlText w:val="o"/>
      <w:lvlJc w:val="left"/>
      <w:pPr>
        <w:ind w:left="3600" w:hanging="360"/>
      </w:pPr>
      <w:rPr>
        <w:rFonts w:ascii="Courier New" w:hAnsi="Courier New" w:hint="default"/>
      </w:rPr>
    </w:lvl>
    <w:lvl w:ilvl="5" w:tplc="24C89844">
      <w:start w:val="1"/>
      <w:numFmt w:val="bullet"/>
      <w:lvlText w:val=""/>
      <w:lvlJc w:val="left"/>
      <w:pPr>
        <w:ind w:left="4320" w:hanging="360"/>
      </w:pPr>
      <w:rPr>
        <w:rFonts w:ascii="Wingdings" w:hAnsi="Wingdings" w:hint="default"/>
      </w:rPr>
    </w:lvl>
    <w:lvl w:ilvl="6" w:tplc="02EEE4B8">
      <w:start w:val="1"/>
      <w:numFmt w:val="bullet"/>
      <w:lvlText w:val=""/>
      <w:lvlJc w:val="left"/>
      <w:pPr>
        <w:ind w:left="5040" w:hanging="360"/>
      </w:pPr>
      <w:rPr>
        <w:rFonts w:ascii="Symbol" w:hAnsi="Symbol" w:hint="default"/>
      </w:rPr>
    </w:lvl>
    <w:lvl w:ilvl="7" w:tplc="03A40958">
      <w:start w:val="1"/>
      <w:numFmt w:val="bullet"/>
      <w:lvlText w:val="o"/>
      <w:lvlJc w:val="left"/>
      <w:pPr>
        <w:ind w:left="5760" w:hanging="360"/>
      </w:pPr>
      <w:rPr>
        <w:rFonts w:ascii="Courier New" w:hAnsi="Courier New" w:hint="default"/>
      </w:rPr>
    </w:lvl>
    <w:lvl w:ilvl="8" w:tplc="FA763EDA">
      <w:start w:val="1"/>
      <w:numFmt w:val="bullet"/>
      <w:lvlText w:val=""/>
      <w:lvlJc w:val="left"/>
      <w:pPr>
        <w:ind w:left="6480" w:hanging="360"/>
      </w:pPr>
      <w:rPr>
        <w:rFonts w:ascii="Wingdings" w:hAnsi="Wingdings" w:hint="default"/>
      </w:rPr>
    </w:lvl>
  </w:abstractNum>
  <w:abstractNum w:abstractNumId="372" w15:restartNumberingAfterBreak="0">
    <w:nsid w:val="33CC66BA"/>
    <w:multiLevelType w:val="multilevel"/>
    <w:tmpl w:val="5B9853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3" w15:restartNumberingAfterBreak="0">
    <w:nsid w:val="33F15A3F"/>
    <w:multiLevelType w:val="multilevel"/>
    <w:tmpl w:val="E7622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33F865D9"/>
    <w:multiLevelType w:val="multilevel"/>
    <w:tmpl w:val="1196E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5" w15:restartNumberingAfterBreak="0">
    <w:nsid w:val="340FBD2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376" w15:restartNumberingAfterBreak="0">
    <w:nsid w:val="341C5BB2"/>
    <w:multiLevelType w:val="multilevel"/>
    <w:tmpl w:val="1B72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7" w15:restartNumberingAfterBreak="0">
    <w:nsid w:val="342372DE"/>
    <w:multiLevelType w:val="multilevel"/>
    <w:tmpl w:val="06E82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8" w15:restartNumberingAfterBreak="0">
    <w:nsid w:val="34794A65"/>
    <w:multiLevelType w:val="multilevel"/>
    <w:tmpl w:val="A6825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34822479"/>
    <w:multiLevelType w:val="multilevel"/>
    <w:tmpl w:val="CD0CF3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348806A0"/>
    <w:multiLevelType w:val="multilevel"/>
    <w:tmpl w:val="C01EC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34B83B23"/>
    <w:multiLevelType w:val="hybridMultilevel"/>
    <w:tmpl w:val="BD04CF6E"/>
    <w:lvl w:ilvl="0" w:tplc="5DC2513C">
      <w:start w:val="1"/>
      <w:numFmt w:val="bullet"/>
      <w:lvlText w:val="·"/>
      <w:lvlJc w:val="left"/>
      <w:pPr>
        <w:ind w:left="720" w:hanging="360"/>
      </w:pPr>
      <w:rPr>
        <w:rFonts w:ascii="Symbol" w:hAnsi="Symbol" w:hint="default"/>
      </w:rPr>
    </w:lvl>
    <w:lvl w:ilvl="1" w:tplc="E64212EC">
      <w:start w:val="1"/>
      <w:numFmt w:val="bullet"/>
      <w:lvlText w:val="o"/>
      <w:lvlJc w:val="left"/>
      <w:pPr>
        <w:ind w:left="1440" w:hanging="360"/>
      </w:pPr>
      <w:rPr>
        <w:rFonts w:ascii="Courier New" w:hAnsi="Courier New" w:hint="default"/>
      </w:rPr>
    </w:lvl>
    <w:lvl w:ilvl="2" w:tplc="2D0479D8">
      <w:start w:val="1"/>
      <w:numFmt w:val="bullet"/>
      <w:lvlText w:val=""/>
      <w:lvlJc w:val="left"/>
      <w:pPr>
        <w:ind w:left="2160" w:hanging="360"/>
      </w:pPr>
      <w:rPr>
        <w:rFonts w:ascii="Wingdings" w:hAnsi="Wingdings" w:hint="default"/>
      </w:rPr>
    </w:lvl>
    <w:lvl w:ilvl="3" w:tplc="E3BAEAE8">
      <w:start w:val="1"/>
      <w:numFmt w:val="bullet"/>
      <w:lvlText w:val=""/>
      <w:lvlJc w:val="left"/>
      <w:pPr>
        <w:ind w:left="2880" w:hanging="360"/>
      </w:pPr>
      <w:rPr>
        <w:rFonts w:ascii="Symbol" w:hAnsi="Symbol" w:hint="default"/>
      </w:rPr>
    </w:lvl>
    <w:lvl w:ilvl="4" w:tplc="5CD00FE0">
      <w:start w:val="1"/>
      <w:numFmt w:val="bullet"/>
      <w:lvlText w:val="o"/>
      <w:lvlJc w:val="left"/>
      <w:pPr>
        <w:ind w:left="3600" w:hanging="360"/>
      </w:pPr>
      <w:rPr>
        <w:rFonts w:ascii="Courier New" w:hAnsi="Courier New" w:hint="default"/>
      </w:rPr>
    </w:lvl>
    <w:lvl w:ilvl="5" w:tplc="6D60646A">
      <w:start w:val="1"/>
      <w:numFmt w:val="bullet"/>
      <w:lvlText w:val=""/>
      <w:lvlJc w:val="left"/>
      <w:pPr>
        <w:ind w:left="4320" w:hanging="360"/>
      </w:pPr>
      <w:rPr>
        <w:rFonts w:ascii="Wingdings" w:hAnsi="Wingdings" w:hint="default"/>
      </w:rPr>
    </w:lvl>
    <w:lvl w:ilvl="6" w:tplc="CC0446E8">
      <w:start w:val="1"/>
      <w:numFmt w:val="bullet"/>
      <w:lvlText w:val=""/>
      <w:lvlJc w:val="left"/>
      <w:pPr>
        <w:ind w:left="5040" w:hanging="360"/>
      </w:pPr>
      <w:rPr>
        <w:rFonts w:ascii="Symbol" w:hAnsi="Symbol" w:hint="default"/>
      </w:rPr>
    </w:lvl>
    <w:lvl w:ilvl="7" w:tplc="BB147F9A">
      <w:start w:val="1"/>
      <w:numFmt w:val="bullet"/>
      <w:lvlText w:val="o"/>
      <w:lvlJc w:val="left"/>
      <w:pPr>
        <w:ind w:left="5760" w:hanging="360"/>
      </w:pPr>
      <w:rPr>
        <w:rFonts w:ascii="Courier New" w:hAnsi="Courier New" w:hint="default"/>
      </w:rPr>
    </w:lvl>
    <w:lvl w:ilvl="8" w:tplc="BBAE7EF0">
      <w:start w:val="1"/>
      <w:numFmt w:val="bullet"/>
      <w:lvlText w:val=""/>
      <w:lvlJc w:val="left"/>
      <w:pPr>
        <w:ind w:left="6480" w:hanging="360"/>
      </w:pPr>
      <w:rPr>
        <w:rFonts w:ascii="Wingdings" w:hAnsi="Wingdings" w:hint="default"/>
      </w:rPr>
    </w:lvl>
  </w:abstractNum>
  <w:abstractNum w:abstractNumId="382" w15:restartNumberingAfterBreak="0">
    <w:nsid w:val="34FD7B37"/>
    <w:multiLevelType w:val="multilevel"/>
    <w:tmpl w:val="874E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3" w15:restartNumberingAfterBreak="0">
    <w:nsid w:val="354E4246"/>
    <w:multiLevelType w:val="multilevel"/>
    <w:tmpl w:val="873812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3563547B"/>
    <w:multiLevelType w:val="multilevel"/>
    <w:tmpl w:val="7E7E25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5" w15:restartNumberingAfterBreak="0">
    <w:nsid w:val="35635A63"/>
    <w:multiLevelType w:val="multilevel"/>
    <w:tmpl w:val="AE1C1030"/>
    <w:lvl w:ilvl="0">
      <w:start w:val="1"/>
      <w:numFmt w:val="bullet"/>
      <w:pStyle w:val="Bullet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6" w15:restartNumberingAfterBreak="0">
    <w:nsid w:val="357AA5E8"/>
    <w:multiLevelType w:val="hybridMultilevel"/>
    <w:tmpl w:val="7C02DCA8"/>
    <w:lvl w:ilvl="0" w:tplc="A98E5C8A">
      <w:start w:val="1"/>
      <w:numFmt w:val="bullet"/>
      <w:lvlText w:val=""/>
      <w:lvlJc w:val="left"/>
      <w:pPr>
        <w:ind w:left="720" w:hanging="360"/>
      </w:pPr>
      <w:rPr>
        <w:rFonts w:ascii="Symbol" w:hAnsi="Symbol" w:hint="default"/>
      </w:rPr>
    </w:lvl>
    <w:lvl w:ilvl="1" w:tplc="861A1A42">
      <w:start w:val="1"/>
      <w:numFmt w:val="bullet"/>
      <w:lvlText w:val="o"/>
      <w:lvlJc w:val="left"/>
      <w:pPr>
        <w:ind w:left="1440" w:hanging="360"/>
      </w:pPr>
      <w:rPr>
        <w:rFonts w:ascii="Courier New" w:hAnsi="Courier New" w:hint="default"/>
      </w:rPr>
    </w:lvl>
    <w:lvl w:ilvl="2" w:tplc="C096B77A">
      <w:start w:val="1"/>
      <w:numFmt w:val="bullet"/>
      <w:lvlText w:val=""/>
      <w:lvlJc w:val="left"/>
      <w:pPr>
        <w:ind w:left="2160" w:hanging="360"/>
      </w:pPr>
      <w:rPr>
        <w:rFonts w:ascii="Wingdings" w:hAnsi="Wingdings" w:hint="default"/>
      </w:rPr>
    </w:lvl>
    <w:lvl w:ilvl="3" w:tplc="4482893E">
      <w:start w:val="1"/>
      <w:numFmt w:val="bullet"/>
      <w:lvlText w:val=""/>
      <w:lvlJc w:val="left"/>
      <w:pPr>
        <w:ind w:left="2880" w:hanging="360"/>
      </w:pPr>
      <w:rPr>
        <w:rFonts w:ascii="Symbol" w:hAnsi="Symbol" w:hint="default"/>
      </w:rPr>
    </w:lvl>
    <w:lvl w:ilvl="4" w:tplc="B02C0FD4">
      <w:start w:val="1"/>
      <w:numFmt w:val="bullet"/>
      <w:lvlText w:val="o"/>
      <w:lvlJc w:val="left"/>
      <w:pPr>
        <w:ind w:left="3600" w:hanging="360"/>
      </w:pPr>
      <w:rPr>
        <w:rFonts w:ascii="Courier New" w:hAnsi="Courier New" w:hint="default"/>
      </w:rPr>
    </w:lvl>
    <w:lvl w:ilvl="5" w:tplc="9662931C">
      <w:start w:val="1"/>
      <w:numFmt w:val="bullet"/>
      <w:lvlText w:val=""/>
      <w:lvlJc w:val="left"/>
      <w:pPr>
        <w:ind w:left="4320" w:hanging="360"/>
      </w:pPr>
      <w:rPr>
        <w:rFonts w:ascii="Wingdings" w:hAnsi="Wingdings" w:hint="default"/>
      </w:rPr>
    </w:lvl>
    <w:lvl w:ilvl="6" w:tplc="3A065DFC">
      <w:start w:val="1"/>
      <w:numFmt w:val="bullet"/>
      <w:lvlText w:val=""/>
      <w:lvlJc w:val="left"/>
      <w:pPr>
        <w:ind w:left="5040" w:hanging="360"/>
      </w:pPr>
      <w:rPr>
        <w:rFonts w:ascii="Symbol" w:hAnsi="Symbol" w:hint="default"/>
      </w:rPr>
    </w:lvl>
    <w:lvl w:ilvl="7" w:tplc="08D2C4F2">
      <w:start w:val="1"/>
      <w:numFmt w:val="bullet"/>
      <w:lvlText w:val="o"/>
      <w:lvlJc w:val="left"/>
      <w:pPr>
        <w:ind w:left="5760" w:hanging="360"/>
      </w:pPr>
      <w:rPr>
        <w:rFonts w:ascii="Courier New" w:hAnsi="Courier New" w:hint="default"/>
      </w:rPr>
    </w:lvl>
    <w:lvl w:ilvl="8" w:tplc="EB6E72E2">
      <w:start w:val="1"/>
      <w:numFmt w:val="bullet"/>
      <w:lvlText w:val=""/>
      <w:lvlJc w:val="left"/>
      <w:pPr>
        <w:ind w:left="6480" w:hanging="360"/>
      </w:pPr>
      <w:rPr>
        <w:rFonts w:ascii="Wingdings" w:hAnsi="Wingdings" w:hint="default"/>
      </w:rPr>
    </w:lvl>
  </w:abstractNum>
  <w:abstractNum w:abstractNumId="387" w15:restartNumberingAfterBreak="0">
    <w:nsid w:val="359022F3"/>
    <w:multiLevelType w:val="multilevel"/>
    <w:tmpl w:val="FCD04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8" w15:restartNumberingAfterBreak="0">
    <w:nsid w:val="359F522A"/>
    <w:multiLevelType w:val="hybridMultilevel"/>
    <w:tmpl w:val="FFFFFFFF"/>
    <w:lvl w:ilvl="0" w:tplc="69B828AC">
      <w:start w:val="1"/>
      <w:numFmt w:val="decimal"/>
      <w:lvlText w:val="%1."/>
      <w:lvlJc w:val="left"/>
      <w:pPr>
        <w:ind w:left="547" w:hanging="360"/>
      </w:pPr>
    </w:lvl>
    <w:lvl w:ilvl="1" w:tplc="A6D25572">
      <w:start w:val="1"/>
      <w:numFmt w:val="lowerLetter"/>
      <w:lvlText w:val="%2."/>
      <w:lvlJc w:val="left"/>
      <w:pPr>
        <w:ind w:left="1267" w:hanging="360"/>
      </w:pPr>
    </w:lvl>
    <w:lvl w:ilvl="2" w:tplc="7CEA7DF6">
      <w:start w:val="1"/>
      <w:numFmt w:val="lowerRoman"/>
      <w:lvlText w:val="%3."/>
      <w:lvlJc w:val="right"/>
      <w:pPr>
        <w:ind w:left="1987" w:hanging="180"/>
      </w:pPr>
    </w:lvl>
    <w:lvl w:ilvl="3" w:tplc="C3E4883C">
      <w:start w:val="1"/>
      <w:numFmt w:val="decimal"/>
      <w:lvlText w:val="%4."/>
      <w:lvlJc w:val="left"/>
      <w:pPr>
        <w:ind w:left="2707" w:hanging="360"/>
      </w:pPr>
    </w:lvl>
    <w:lvl w:ilvl="4" w:tplc="E9283910">
      <w:start w:val="1"/>
      <w:numFmt w:val="lowerLetter"/>
      <w:lvlText w:val="%5."/>
      <w:lvlJc w:val="left"/>
      <w:pPr>
        <w:ind w:left="3427" w:hanging="360"/>
      </w:pPr>
    </w:lvl>
    <w:lvl w:ilvl="5" w:tplc="A52C2398">
      <w:start w:val="1"/>
      <w:numFmt w:val="lowerRoman"/>
      <w:lvlText w:val="%6."/>
      <w:lvlJc w:val="right"/>
      <w:pPr>
        <w:ind w:left="4147" w:hanging="180"/>
      </w:pPr>
    </w:lvl>
    <w:lvl w:ilvl="6" w:tplc="00749F90">
      <w:start w:val="1"/>
      <w:numFmt w:val="decimal"/>
      <w:lvlText w:val="%7."/>
      <w:lvlJc w:val="left"/>
      <w:pPr>
        <w:ind w:left="4867" w:hanging="360"/>
      </w:pPr>
    </w:lvl>
    <w:lvl w:ilvl="7" w:tplc="D07012EE">
      <w:start w:val="1"/>
      <w:numFmt w:val="lowerLetter"/>
      <w:lvlText w:val="%8."/>
      <w:lvlJc w:val="left"/>
      <w:pPr>
        <w:ind w:left="5587" w:hanging="360"/>
      </w:pPr>
    </w:lvl>
    <w:lvl w:ilvl="8" w:tplc="87EAA5F0">
      <w:start w:val="1"/>
      <w:numFmt w:val="lowerRoman"/>
      <w:lvlText w:val="%9."/>
      <w:lvlJc w:val="right"/>
      <w:pPr>
        <w:ind w:left="6307" w:hanging="180"/>
      </w:pPr>
    </w:lvl>
  </w:abstractNum>
  <w:abstractNum w:abstractNumId="389" w15:restartNumberingAfterBreak="0">
    <w:nsid w:val="35A2408B"/>
    <w:multiLevelType w:val="multilevel"/>
    <w:tmpl w:val="AAFE7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0" w15:restartNumberingAfterBreak="0">
    <w:nsid w:val="35AC4455"/>
    <w:multiLevelType w:val="multilevel"/>
    <w:tmpl w:val="53DEE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1" w15:restartNumberingAfterBreak="0">
    <w:nsid w:val="35B35110"/>
    <w:multiLevelType w:val="multilevel"/>
    <w:tmpl w:val="239EE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2" w15:restartNumberingAfterBreak="0">
    <w:nsid w:val="35BB181F"/>
    <w:multiLevelType w:val="multilevel"/>
    <w:tmpl w:val="28CC6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3" w15:restartNumberingAfterBreak="0">
    <w:nsid w:val="35D97D14"/>
    <w:multiLevelType w:val="multilevel"/>
    <w:tmpl w:val="9650F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4" w15:restartNumberingAfterBreak="0">
    <w:nsid w:val="35DC7EF8"/>
    <w:multiLevelType w:val="multilevel"/>
    <w:tmpl w:val="A6E63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35F72F1D"/>
    <w:multiLevelType w:val="hybridMultilevel"/>
    <w:tmpl w:val="41945B00"/>
    <w:lvl w:ilvl="0" w:tplc="A1444248">
      <w:start w:val="1"/>
      <w:numFmt w:val="bullet"/>
      <w:lvlText w:val=""/>
      <w:lvlJc w:val="left"/>
      <w:pPr>
        <w:ind w:left="547" w:hanging="360"/>
      </w:pPr>
      <w:rPr>
        <w:rFonts w:ascii="Symbol" w:hAnsi="Symbol" w:hint="default"/>
      </w:rPr>
    </w:lvl>
    <w:lvl w:ilvl="1" w:tplc="4A7CDAEC">
      <w:start w:val="1"/>
      <w:numFmt w:val="bullet"/>
      <w:lvlText w:val="o"/>
      <w:lvlJc w:val="left"/>
      <w:pPr>
        <w:ind w:left="1267" w:hanging="360"/>
      </w:pPr>
      <w:rPr>
        <w:rFonts w:ascii="Courier New" w:hAnsi="Courier New" w:hint="default"/>
      </w:rPr>
    </w:lvl>
    <w:lvl w:ilvl="2" w:tplc="22D49B42">
      <w:start w:val="1"/>
      <w:numFmt w:val="bullet"/>
      <w:lvlText w:val=""/>
      <w:lvlJc w:val="left"/>
      <w:pPr>
        <w:ind w:left="1987" w:hanging="360"/>
      </w:pPr>
      <w:rPr>
        <w:rFonts w:ascii="Wingdings" w:hAnsi="Wingdings" w:hint="default"/>
      </w:rPr>
    </w:lvl>
    <w:lvl w:ilvl="3" w:tplc="C0669856">
      <w:start w:val="1"/>
      <w:numFmt w:val="bullet"/>
      <w:lvlText w:val=""/>
      <w:lvlJc w:val="left"/>
      <w:pPr>
        <w:ind w:left="2707" w:hanging="360"/>
      </w:pPr>
      <w:rPr>
        <w:rFonts w:ascii="Symbol" w:hAnsi="Symbol" w:hint="default"/>
      </w:rPr>
    </w:lvl>
    <w:lvl w:ilvl="4" w:tplc="B3B00984">
      <w:start w:val="1"/>
      <w:numFmt w:val="bullet"/>
      <w:lvlText w:val="o"/>
      <w:lvlJc w:val="left"/>
      <w:pPr>
        <w:ind w:left="3427" w:hanging="360"/>
      </w:pPr>
      <w:rPr>
        <w:rFonts w:ascii="Courier New" w:hAnsi="Courier New" w:hint="default"/>
      </w:rPr>
    </w:lvl>
    <w:lvl w:ilvl="5" w:tplc="53D2120C">
      <w:start w:val="1"/>
      <w:numFmt w:val="bullet"/>
      <w:lvlText w:val=""/>
      <w:lvlJc w:val="left"/>
      <w:pPr>
        <w:ind w:left="4147" w:hanging="360"/>
      </w:pPr>
      <w:rPr>
        <w:rFonts w:ascii="Wingdings" w:hAnsi="Wingdings" w:hint="default"/>
      </w:rPr>
    </w:lvl>
    <w:lvl w:ilvl="6" w:tplc="D08883DC">
      <w:start w:val="1"/>
      <w:numFmt w:val="bullet"/>
      <w:lvlText w:val=""/>
      <w:lvlJc w:val="left"/>
      <w:pPr>
        <w:ind w:left="4867" w:hanging="360"/>
      </w:pPr>
      <w:rPr>
        <w:rFonts w:ascii="Symbol" w:hAnsi="Symbol" w:hint="default"/>
      </w:rPr>
    </w:lvl>
    <w:lvl w:ilvl="7" w:tplc="29C26F40">
      <w:start w:val="1"/>
      <w:numFmt w:val="bullet"/>
      <w:lvlText w:val="o"/>
      <w:lvlJc w:val="left"/>
      <w:pPr>
        <w:ind w:left="5587" w:hanging="360"/>
      </w:pPr>
      <w:rPr>
        <w:rFonts w:ascii="Courier New" w:hAnsi="Courier New" w:hint="default"/>
      </w:rPr>
    </w:lvl>
    <w:lvl w:ilvl="8" w:tplc="824E68C0">
      <w:start w:val="1"/>
      <w:numFmt w:val="bullet"/>
      <w:lvlText w:val=""/>
      <w:lvlJc w:val="left"/>
      <w:pPr>
        <w:ind w:left="6307" w:hanging="360"/>
      </w:pPr>
      <w:rPr>
        <w:rFonts w:ascii="Wingdings" w:hAnsi="Wingdings" w:hint="default"/>
      </w:rPr>
    </w:lvl>
  </w:abstractNum>
  <w:abstractNum w:abstractNumId="396" w15:restartNumberingAfterBreak="0">
    <w:nsid w:val="3602FF31"/>
    <w:multiLevelType w:val="multilevel"/>
    <w:tmpl w:val="1C400B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7" w15:restartNumberingAfterBreak="0">
    <w:nsid w:val="362F6EF6"/>
    <w:multiLevelType w:val="multilevel"/>
    <w:tmpl w:val="2F982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8" w15:restartNumberingAfterBreak="0">
    <w:nsid w:val="36909BBB"/>
    <w:multiLevelType w:val="hybridMultilevel"/>
    <w:tmpl w:val="A72CEB4C"/>
    <w:lvl w:ilvl="0" w:tplc="75302AAE">
      <w:start w:val="1"/>
      <w:numFmt w:val="bullet"/>
      <w:lvlText w:val=""/>
      <w:lvlJc w:val="left"/>
      <w:pPr>
        <w:ind w:left="720" w:hanging="360"/>
      </w:pPr>
      <w:rPr>
        <w:rFonts w:ascii="Symbol" w:hAnsi="Symbol" w:hint="default"/>
      </w:rPr>
    </w:lvl>
    <w:lvl w:ilvl="1" w:tplc="A58A0E80">
      <w:start w:val="1"/>
      <w:numFmt w:val="bullet"/>
      <w:lvlText w:val="o"/>
      <w:lvlJc w:val="left"/>
      <w:pPr>
        <w:ind w:left="1440" w:hanging="360"/>
      </w:pPr>
      <w:rPr>
        <w:rFonts w:ascii="Courier New" w:hAnsi="Courier New" w:hint="default"/>
      </w:rPr>
    </w:lvl>
    <w:lvl w:ilvl="2" w:tplc="B6B02476">
      <w:start w:val="1"/>
      <w:numFmt w:val="bullet"/>
      <w:lvlText w:val=""/>
      <w:lvlJc w:val="left"/>
      <w:pPr>
        <w:ind w:left="2160" w:hanging="360"/>
      </w:pPr>
      <w:rPr>
        <w:rFonts w:ascii="Wingdings" w:hAnsi="Wingdings" w:hint="default"/>
      </w:rPr>
    </w:lvl>
    <w:lvl w:ilvl="3" w:tplc="388E0478">
      <w:start w:val="1"/>
      <w:numFmt w:val="bullet"/>
      <w:lvlText w:val=""/>
      <w:lvlJc w:val="left"/>
      <w:pPr>
        <w:ind w:left="2880" w:hanging="360"/>
      </w:pPr>
      <w:rPr>
        <w:rFonts w:ascii="Symbol" w:hAnsi="Symbol" w:hint="default"/>
      </w:rPr>
    </w:lvl>
    <w:lvl w:ilvl="4" w:tplc="E3CC9BB6">
      <w:start w:val="1"/>
      <w:numFmt w:val="bullet"/>
      <w:lvlText w:val="o"/>
      <w:lvlJc w:val="left"/>
      <w:pPr>
        <w:ind w:left="3600" w:hanging="360"/>
      </w:pPr>
      <w:rPr>
        <w:rFonts w:ascii="Courier New" w:hAnsi="Courier New" w:hint="default"/>
      </w:rPr>
    </w:lvl>
    <w:lvl w:ilvl="5" w:tplc="3C026C0C">
      <w:start w:val="1"/>
      <w:numFmt w:val="bullet"/>
      <w:lvlText w:val=""/>
      <w:lvlJc w:val="left"/>
      <w:pPr>
        <w:ind w:left="4320" w:hanging="360"/>
      </w:pPr>
      <w:rPr>
        <w:rFonts w:ascii="Wingdings" w:hAnsi="Wingdings" w:hint="default"/>
      </w:rPr>
    </w:lvl>
    <w:lvl w:ilvl="6" w:tplc="8C066CEC">
      <w:start w:val="1"/>
      <w:numFmt w:val="bullet"/>
      <w:lvlText w:val=""/>
      <w:lvlJc w:val="left"/>
      <w:pPr>
        <w:ind w:left="5040" w:hanging="360"/>
      </w:pPr>
      <w:rPr>
        <w:rFonts w:ascii="Symbol" w:hAnsi="Symbol" w:hint="default"/>
      </w:rPr>
    </w:lvl>
    <w:lvl w:ilvl="7" w:tplc="34227550">
      <w:start w:val="1"/>
      <w:numFmt w:val="bullet"/>
      <w:lvlText w:val="o"/>
      <w:lvlJc w:val="left"/>
      <w:pPr>
        <w:ind w:left="5760" w:hanging="360"/>
      </w:pPr>
      <w:rPr>
        <w:rFonts w:ascii="Courier New" w:hAnsi="Courier New" w:hint="default"/>
      </w:rPr>
    </w:lvl>
    <w:lvl w:ilvl="8" w:tplc="DCE499EE">
      <w:start w:val="1"/>
      <w:numFmt w:val="bullet"/>
      <w:lvlText w:val=""/>
      <w:lvlJc w:val="left"/>
      <w:pPr>
        <w:ind w:left="6480" w:hanging="360"/>
      </w:pPr>
      <w:rPr>
        <w:rFonts w:ascii="Wingdings" w:hAnsi="Wingdings" w:hint="default"/>
      </w:rPr>
    </w:lvl>
  </w:abstractNum>
  <w:abstractNum w:abstractNumId="399" w15:restartNumberingAfterBreak="0">
    <w:nsid w:val="369BFC6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0" w15:restartNumberingAfterBreak="0">
    <w:nsid w:val="36A24248"/>
    <w:multiLevelType w:val="hybridMultilevel"/>
    <w:tmpl w:val="B8ECB23E"/>
    <w:lvl w:ilvl="0" w:tplc="88BE6010">
      <w:start w:val="1"/>
      <w:numFmt w:val="bullet"/>
      <w:lvlText w:val=""/>
      <w:lvlJc w:val="left"/>
      <w:pPr>
        <w:ind w:left="720" w:hanging="360"/>
      </w:pPr>
      <w:rPr>
        <w:rFonts w:ascii="Symbol" w:hAnsi="Symbol" w:hint="default"/>
      </w:rPr>
    </w:lvl>
    <w:lvl w:ilvl="1" w:tplc="D4A0AEF6">
      <w:start w:val="1"/>
      <w:numFmt w:val="bullet"/>
      <w:lvlText w:val="o"/>
      <w:lvlJc w:val="left"/>
      <w:pPr>
        <w:ind w:left="1440" w:hanging="360"/>
      </w:pPr>
      <w:rPr>
        <w:rFonts w:ascii="Courier New" w:hAnsi="Courier New" w:hint="default"/>
      </w:rPr>
    </w:lvl>
    <w:lvl w:ilvl="2" w:tplc="A39C0CF6">
      <w:start w:val="1"/>
      <w:numFmt w:val="bullet"/>
      <w:lvlText w:val=""/>
      <w:lvlJc w:val="left"/>
      <w:pPr>
        <w:ind w:left="2160" w:hanging="360"/>
      </w:pPr>
      <w:rPr>
        <w:rFonts w:ascii="Wingdings" w:hAnsi="Wingdings" w:hint="default"/>
      </w:rPr>
    </w:lvl>
    <w:lvl w:ilvl="3" w:tplc="8EB8CD00">
      <w:start w:val="1"/>
      <w:numFmt w:val="bullet"/>
      <w:lvlText w:val=""/>
      <w:lvlJc w:val="left"/>
      <w:pPr>
        <w:ind w:left="2880" w:hanging="360"/>
      </w:pPr>
      <w:rPr>
        <w:rFonts w:ascii="Symbol" w:hAnsi="Symbol" w:hint="default"/>
      </w:rPr>
    </w:lvl>
    <w:lvl w:ilvl="4" w:tplc="2E20F3E4">
      <w:start w:val="1"/>
      <w:numFmt w:val="bullet"/>
      <w:lvlText w:val="o"/>
      <w:lvlJc w:val="left"/>
      <w:pPr>
        <w:ind w:left="3600" w:hanging="360"/>
      </w:pPr>
      <w:rPr>
        <w:rFonts w:ascii="Courier New" w:hAnsi="Courier New" w:hint="default"/>
      </w:rPr>
    </w:lvl>
    <w:lvl w:ilvl="5" w:tplc="1EF4F358">
      <w:start w:val="1"/>
      <w:numFmt w:val="bullet"/>
      <w:lvlText w:val=""/>
      <w:lvlJc w:val="left"/>
      <w:pPr>
        <w:ind w:left="4320" w:hanging="360"/>
      </w:pPr>
      <w:rPr>
        <w:rFonts w:ascii="Wingdings" w:hAnsi="Wingdings" w:hint="default"/>
      </w:rPr>
    </w:lvl>
    <w:lvl w:ilvl="6" w:tplc="1F16FCF6">
      <w:start w:val="1"/>
      <w:numFmt w:val="bullet"/>
      <w:lvlText w:val=""/>
      <w:lvlJc w:val="left"/>
      <w:pPr>
        <w:ind w:left="5040" w:hanging="360"/>
      </w:pPr>
      <w:rPr>
        <w:rFonts w:ascii="Symbol" w:hAnsi="Symbol" w:hint="default"/>
      </w:rPr>
    </w:lvl>
    <w:lvl w:ilvl="7" w:tplc="03A8B4F0">
      <w:start w:val="1"/>
      <w:numFmt w:val="bullet"/>
      <w:lvlText w:val="o"/>
      <w:lvlJc w:val="left"/>
      <w:pPr>
        <w:ind w:left="5760" w:hanging="360"/>
      </w:pPr>
      <w:rPr>
        <w:rFonts w:ascii="Courier New" w:hAnsi="Courier New" w:hint="default"/>
      </w:rPr>
    </w:lvl>
    <w:lvl w:ilvl="8" w:tplc="CAF23BD6">
      <w:start w:val="1"/>
      <w:numFmt w:val="bullet"/>
      <w:lvlText w:val=""/>
      <w:lvlJc w:val="left"/>
      <w:pPr>
        <w:ind w:left="6480" w:hanging="360"/>
      </w:pPr>
      <w:rPr>
        <w:rFonts w:ascii="Wingdings" w:hAnsi="Wingdings" w:hint="default"/>
      </w:rPr>
    </w:lvl>
  </w:abstractNum>
  <w:abstractNum w:abstractNumId="401" w15:restartNumberingAfterBreak="0">
    <w:nsid w:val="36FE7EB1"/>
    <w:multiLevelType w:val="multilevel"/>
    <w:tmpl w:val="54105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2" w15:restartNumberingAfterBreak="0">
    <w:nsid w:val="370324D9"/>
    <w:multiLevelType w:val="multilevel"/>
    <w:tmpl w:val="C2388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3" w15:restartNumberingAfterBreak="0">
    <w:nsid w:val="372C49F9"/>
    <w:multiLevelType w:val="multilevel"/>
    <w:tmpl w:val="1F4E64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4" w15:restartNumberingAfterBreak="0">
    <w:nsid w:val="374A5921"/>
    <w:multiLevelType w:val="hybridMultilevel"/>
    <w:tmpl w:val="29E0FC02"/>
    <w:lvl w:ilvl="0" w:tplc="877C467C">
      <w:start w:val="1"/>
      <w:numFmt w:val="bullet"/>
      <w:lvlText w:val=""/>
      <w:lvlJc w:val="left"/>
      <w:pPr>
        <w:tabs>
          <w:tab w:val="num" w:pos="720"/>
        </w:tabs>
        <w:ind w:left="720" w:hanging="360"/>
      </w:pPr>
      <w:rPr>
        <w:rFonts w:ascii="Symbol" w:hAnsi="Symbol" w:hint="default"/>
        <w:sz w:val="20"/>
      </w:rPr>
    </w:lvl>
    <w:lvl w:ilvl="1" w:tplc="6E7CF6F2" w:tentative="1">
      <w:start w:val="1"/>
      <w:numFmt w:val="bullet"/>
      <w:lvlText w:val=""/>
      <w:lvlJc w:val="left"/>
      <w:pPr>
        <w:tabs>
          <w:tab w:val="num" w:pos="1440"/>
        </w:tabs>
        <w:ind w:left="1440" w:hanging="360"/>
      </w:pPr>
      <w:rPr>
        <w:rFonts w:ascii="Symbol" w:hAnsi="Symbol" w:hint="default"/>
        <w:sz w:val="20"/>
      </w:rPr>
    </w:lvl>
    <w:lvl w:ilvl="2" w:tplc="4D96EDCE" w:tentative="1">
      <w:start w:val="1"/>
      <w:numFmt w:val="bullet"/>
      <w:lvlText w:val=""/>
      <w:lvlJc w:val="left"/>
      <w:pPr>
        <w:tabs>
          <w:tab w:val="num" w:pos="2160"/>
        </w:tabs>
        <w:ind w:left="2160" w:hanging="360"/>
      </w:pPr>
      <w:rPr>
        <w:rFonts w:ascii="Symbol" w:hAnsi="Symbol" w:hint="default"/>
        <w:sz w:val="20"/>
      </w:rPr>
    </w:lvl>
    <w:lvl w:ilvl="3" w:tplc="B9F225C8" w:tentative="1">
      <w:start w:val="1"/>
      <w:numFmt w:val="bullet"/>
      <w:lvlText w:val=""/>
      <w:lvlJc w:val="left"/>
      <w:pPr>
        <w:tabs>
          <w:tab w:val="num" w:pos="2880"/>
        </w:tabs>
        <w:ind w:left="2880" w:hanging="360"/>
      </w:pPr>
      <w:rPr>
        <w:rFonts w:ascii="Symbol" w:hAnsi="Symbol" w:hint="default"/>
        <w:sz w:val="20"/>
      </w:rPr>
    </w:lvl>
    <w:lvl w:ilvl="4" w:tplc="D99A7D76" w:tentative="1">
      <w:start w:val="1"/>
      <w:numFmt w:val="bullet"/>
      <w:lvlText w:val=""/>
      <w:lvlJc w:val="left"/>
      <w:pPr>
        <w:tabs>
          <w:tab w:val="num" w:pos="3600"/>
        </w:tabs>
        <w:ind w:left="3600" w:hanging="360"/>
      </w:pPr>
      <w:rPr>
        <w:rFonts w:ascii="Symbol" w:hAnsi="Symbol" w:hint="default"/>
        <w:sz w:val="20"/>
      </w:rPr>
    </w:lvl>
    <w:lvl w:ilvl="5" w:tplc="B51EBA38" w:tentative="1">
      <w:start w:val="1"/>
      <w:numFmt w:val="bullet"/>
      <w:lvlText w:val=""/>
      <w:lvlJc w:val="left"/>
      <w:pPr>
        <w:tabs>
          <w:tab w:val="num" w:pos="4320"/>
        </w:tabs>
        <w:ind w:left="4320" w:hanging="360"/>
      </w:pPr>
      <w:rPr>
        <w:rFonts w:ascii="Symbol" w:hAnsi="Symbol" w:hint="default"/>
        <w:sz w:val="20"/>
      </w:rPr>
    </w:lvl>
    <w:lvl w:ilvl="6" w:tplc="A0706A8A" w:tentative="1">
      <w:start w:val="1"/>
      <w:numFmt w:val="bullet"/>
      <w:lvlText w:val=""/>
      <w:lvlJc w:val="left"/>
      <w:pPr>
        <w:tabs>
          <w:tab w:val="num" w:pos="5040"/>
        </w:tabs>
        <w:ind w:left="5040" w:hanging="360"/>
      </w:pPr>
      <w:rPr>
        <w:rFonts w:ascii="Symbol" w:hAnsi="Symbol" w:hint="default"/>
        <w:sz w:val="20"/>
      </w:rPr>
    </w:lvl>
    <w:lvl w:ilvl="7" w:tplc="90E8BF8C" w:tentative="1">
      <w:start w:val="1"/>
      <w:numFmt w:val="bullet"/>
      <w:lvlText w:val=""/>
      <w:lvlJc w:val="left"/>
      <w:pPr>
        <w:tabs>
          <w:tab w:val="num" w:pos="5760"/>
        </w:tabs>
        <w:ind w:left="5760" w:hanging="360"/>
      </w:pPr>
      <w:rPr>
        <w:rFonts w:ascii="Symbol" w:hAnsi="Symbol" w:hint="default"/>
        <w:sz w:val="20"/>
      </w:rPr>
    </w:lvl>
    <w:lvl w:ilvl="8" w:tplc="D474FED6" w:tentative="1">
      <w:start w:val="1"/>
      <w:numFmt w:val="bullet"/>
      <w:lvlText w:val=""/>
      <w:lvlJc w:val="left"/>
      <w:pPr>
        <w:tabs>
          <w:tab w:val="num" w:pos="6480"/>
        </w:tabs>
        <w:ind w:left="6480" w:hanging="360"/>
      </w:pPr>
      <w:rPr>
        <w:rFonts w:ascii="Symbol" w:hAnsi="Symbol" w:hint="default"/>
        <w:sz w:val="20"/>
      </w:rPr>
    </w:lvl>
  </w:abstractNum>
  <w:abstractNum w:abstractNumId="405" w15:restartNumberingAfterBreak="0">
    <w:nsid w:val="3790555C"/>
    <w:multiLevelType w:val="multilevel"/>
    <w:tmpl w:val="E05A88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6" w15:restartNumberingAfterBreak="0">
    <w:nsid w:val="37C5526F"/>
    <w:multiLevelType w:val="multilevel"/>
    <w:tmpl w:val="8BF6EA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7" w15:restartNumberingAfterBreak="0">
    <w:nsid w:val="37F336CA"/>
    <w:multiLevelType w:val="multilevel"/>
    <w:tmpl w:val="51CED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8" w15:restartNumberingAfterBreak="0">
    <w:nsid w:val="380F4FE9"/>
    <w:multiLevelType w:val="hybridMultilevel"/>
    <w:tmpl w:val="D424EBB6"/>
    <w:lvl w:ilvl="0" w:tplc="E6D88D7C">
      <w:start w:val="1"/>
      <w:numFmt w:val="bullet"/>
      <w:lvlText w:val="·"/>
      <w:lvlJc w:val="left"/>
      <w:pPr>
        <w:tabs>
          <w:tab w:val="num" w:pos="720"/>
        </w:tabs>
        <w:ind w:left="720" w:hanging="360"/>
      </w:pPr>
      <w:rPr>
        <w:rFonts w:ascii="Courier New" w:hAnsi="Courier New" w:hint="default"/>
        <w:sz w:val="20"/>
      </w:rPr>
    </w:lvl>
    <w:lvl w:ilvl="1" w:tplc="44FA804A">
      <w:start w:val="1"/>
      <w:numFmt w:val="bullet"/>
      <w:lvlText w:val="o"/>
      <w:lvlJc w:val="left"/>
      <w:pPr>
        <w:tabs>
          <w:tab w:val="num" w:pos="1440"/>
        </w:tabs>
        <w:ind w:left="1440" w:hanging="360"/>
      </w:pPr>
      <w:rPr>
        <w:rFonts w:ascii="Courier New" w:hAnsi="Courier New" w:hint="default"/>
        <w:sz w:val="20"/>
      </w:rPr>
    </w:lvl>
    <w:lvl w:ilvl="2" w:tplc="FADC6668" w:tentative="1">
      <w:start w:val="1"/>
      <w:numFmt w:val="bullet"/>
      <w:lvlText w:val=""/>
      <w:lvlJc w:val="left"/>
      <w:pPr>
        <w:tabs>
          <w:tab w:val="num" w:pos="2160"/>
        </w:tabs>
        <w:ind w:left="2160" w:hanging="360"/>
      </w:pPr>
      <w:rPr>
        <w:rFonts w:ascii="Wingdings" w:hAnsi="Wingdings" w:hint="default"/>
        <w:sz w:val="20"/>
      </w:rPr>
    </w:lvl>
    <w:lvl w:ilvl="3" w:tplc="27C2C574" w:tentative="1">
      <w:start w:val="1"/>
      <w:numFmt w:val="bullet"/>
      <w:lvlText w:val=""/>
      <w:lvlJc w:val="left"/>
      <w:pPr>
        <w:tabs>
          <w:tab w:val="num" w:pos="2880"/>
        </w:tabs>
        <w:ind w:left="2880" w:hanging="360"/>
      </w:pPr>
      <w:rPr>
        <w:rFonts w:ascii="Wingdings" w:hAnsi="Wingdings" w:hint="default"/>
        <w:sz w:val="20"/>
      </w:rPr>
    </w:lvl>
    <w:lvl w:ilvl="4" w:tplc="A0205240" w:tentative="1">
      <w:start w:val="1"/>
      <w:numFmt w:val="bullet"/>
      <w:lvlText w:val=""/>
      <w:lvlJc w:val="left"/>
      <w:pPr>
        <w:tabs>
          <w:tab w:val="num" w:pos="3600"/>
        </w:tabs>
        <w:ind w:left="3600" w:hanging="360"/>
      </w:pPr>
      <w:rPr>
        <w:rFonts w:ascii="Wingdings" w:hAnsi="Wingdings" w:hint="default"/>
        <w:sz w:val="20"/>
      </w:rPr>
    </w:lvl>
    <w:lvl w:ilvl="5" w:tplc="FB1E375C" w:tentative="1">
      <w:start w:val="1"/>
      <w:numFmt w:val="bullet"/>
      <w:lvlText w:val=""/>
      <w:lvlJc w:val="left"/>
      <w:pPr>
        <w:tabs>
          <w:tab w:val="num" w:pos="4320"/>
        </w:tabs>
        <w:ind w:left="4320" w:hanging="360"/>
      </w:pPr>
      <w:rPr>
        <w:rFonts w:ascii="Wingdings" w:hAnsi="Wingdings" w:hint="default"/>
        <w:sz w:val="20"/>
      </w:rPr>
    </w:lvl>
    <w:lvl w:ilvl="6" w:tplc="362A47C4" w:tentative="1">
      <w:start w:val="1"/>
      <w:numFmt w:val="bullet"/>
      <w:lvlText w:val=""/>
      <w:lvlJc w:val="left"/>
      <w:pPr>
        <w:tabs>
          <w:tab w:val="num" w:pos="5040"/>
        </w:tabs>
        <w:ind w:left="5040" w:hanging="360"/>
      </w:pPr>
      <w:rPr>
        <w:rFonts w:ascii="Wingdings" w:hAnsi="Wingdings" w:hint="default"/>
        <w:sz w:val="20"/>
      </w:rPr>
    </w:lvl>
    <w:lvl w:ilvl="7" w:tplc="A99C5AFA" w:tentative="1">
      <w:start w:val="1"/>
      <w:numFmt w:val="bullet"/>
      <w:lvlText w:val=""/>
      <w:lvlJc w:val="left"/>
      <w:pPr>
        <w:tabs>
          <w:tab w:val="num" w:pos="5760"/>
        </w:tabs>
        <w:ind w:left="5760" w:hanging="360"/>
      </w:pPr>
      <w:rPr>
        <w:rFonts w:ascii="Wingdings" w:hAnsi="Wingdings" w:hint="default"/>
        <w:sz w:val="20"/>
      </w:rPr>
    </w:lvl>
    <w:lvl w:ilvl="8" w:tplc="952A0538" w:tentative="1">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381BE8BF"/>
    <w:multiLevelType w:val="hybridMultilevel"/>
    <w:tmpl w:val="D02826E8"/>
    <w:lvl w:ilvl="0" w:tplc="E6923606">
      <w:start w:val="1"/>
      <w:numFmt w:val="bullet"/>
      <w:lvlText w:val=""/>
      <w:lvlJc w:val="left"/>
      <w:pPr>
        <w:ind w:left="720" w:hanging="360"/>
      </w:pPr>
      <w:rPr>
        <w:rFonts w:ascii="Symbol" w:hAnsi="Symbol" w:hint="default"/>
      </w:rPr>
    </w:lvl>
    <w:lvl w:ilvl="1" w:tplc="05ACE734">
      <w:start w:val="1"/>
      <w:numFmt w:val="bullet"/>
      <w:lvlText w:val="o"/>
      <w:lvlJc w:val="left"/>
      <w:pPr>
        <w:ind w:left="1440" w:hanging="360"/>
      </w:pPr>
      <w:rPr>
        <w:rFonts w:ascii="Courier New" w:hAnsi="Courier New" w:hint="default"/>
      </w:rPr>
    </w:lvl>
    <w:lvl w:ilvl="2" w:tplc="6D00329C">
      <w:start w:val="1"/>
      <w:numFmt w:val="bullet"/>
      <w:lvlText w:val=""/>
      <w:lvlJc w:val="left"/>
      <w:pPr>
        <w:ind w:left="2160" w:hanging="360"/>
      </w:pPr>
      <w:rPr>
        <w:rFonts w:ascii="Wingdings" w:hAnsi="Wingdings" w:hint="default"/>
      </w:rPr>
    </w:lvl>
    <w:lvl w:ilvl="3" w:tplc="DBE46308">
      <w:start w:val="1"/>
      <w:numFmt w:val="bullet"/>
      <w:lvlText w:val=""/>
      <w:lvlJc w:val="left"/>
      <w:pPr>
        <w:ind w:left="2880" w:hanging="360"/>
      </w:pPr>
      <w:rPr>
        <w:rFonts w:ascii="Symbol" w:hAnsi="Symbol" w:hint="default"/>
      </w:rPr>
    </w:lvl>
    <w:lvl w:ilvl="4" w:tplc="BD808DC8">
      <w:start w:val="1"/>
      <w:numFmt w:val="bullet"/>
      <w:lvlText w:val="o"/>
      <w:lvlJc w:val="left"/>
      <w:pPr>
        <w:ind w:left="3600" w:hanging="360"/>
      </w:pPr>
      <w:rPr>
        <w:rFonts w:ascii="Courier New" w:hAnsi="Courier New" w:hint="default"/>
      </w:rPr>
    </w:lvl>
    <w:lvl w:ilvl="5" w:tplc="DA52FF06">
      <w:start w:val="1"/>
      <w:numFmt w:val="bullet"/>
      <w:lvlText w:val=""/>
      <w:lvlJc w:val="left"/>
      <w:pPr>
        <w:ind w:left="4320" w:hanging="360"/>
      </w:pPr>
      <w:rPr>
        <w:rFonts w:ascii="Wingdings" w:hAnsi="Wingdings" w:hint="default"/>
      </w:rPr>
    </w:lvl>
    <w:lvl w:ilvl="6" w:tplc="2954DFBA">
      <w:start w:val="1"/>
      <w:numFmt w:val="bullet"/>
      <w:lvlText w:val=""/>
      <w:lvlJc w:val="left"/>
      <w:pPr>
        <w:ind w:left="5040" w:hanging="360"/>
      </w:pPr>
      <w:rPr>
        <w:rFonts w:ascii="Symbol" w:hAnsi="Symbol" w:hint="default"/>
      </w:rPr>
    </w:lvl>
    <w:lvl w:ilvl="7" w:tplc="5EE60A06">
      <w:start w:val="1"/>
      <w:numFmt w:val="bullet"/>
      <w:lvlText w:val="o"/>
      <w:lvlJc w:val="left"/>
      <w:pPr>
        <w:ind w:left="5760" w:hanging="360"/>
      </w:pPr>
      <w:rPr>
        <w:rFonts w:ascii="Courier New" w:hAnsi="Courier New" w:hint="default"/>
      </w:rPr>
    </w:lvl>
    <w:lvl w:ilvl="8" w:tplc="E7F8BC3E">
      <w:start w:val="1"/>
      <w:numFmt w:val="bullet"/>
      <w:lvlText w:val=""/>
      <w:lvlJc w:val="left"/>
      <w:pPr>
        <w:ind w:left="6480" w:hanging="360"/>
      </w:pPr>
      <w:rPr>
        <w:rFonts w:ascii="Wingdings" w:hAnsi="Wingdings" w:hint="default"/>
      </w:rPr>
    </w:lvl>
  </w:abstractNum>
  <w:abstractNum w:abstractNumId="410" w15:restartNumberingAfterBreak="0">
    <w:nsid w:val="381F2DD5"/>
    <w:multiLevelType w:val="multilevel"/>
    <w:tmpl w:val="05167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1" w15:restartNumberingAfterBreak="0">
    <w:nsid w:val="388424F3"/>
    <w:multiLevelType w:val="hybridMultilevel"/>
    <w:tmpl w:val="55DAEF72"/>
    <w:lvl w:ilvl="0" w:tplc="85EE6BD4">
      <w:start w:val="1"/>
      <w:numFmt w:val="bullet"/>
      <w:lvlText w:val=""/>
      <w:lvlJc w:val="left"/>
      <w:pPr>
        <w:ind w:left="547" w:hanging="360"/>
      </w:pPr>
      <w:rPr>
        <w:rFonts w:ascii="Symbol" w:hAnsi="Symbol" w:hint="default"/>
      </w:rPr>
    </w:lvl>
    <w:lvl w:ilvl="1" w:tplc="21484CF4">
      <w:start w:val="1"/>
      <w:numFmt w:val="bullet"/>
      <w:lvlText w:val="o"/>
      <w:lvlJc w:val="left"/>
      <w:pPr>
        <w:ind w:left="1267" w:hanging="360"/>
      </w:pPr>
      <w:rPr>
        <w:rFonts w:ascii="Courier New" w:hAnsi="Courier New" w:hint="default"/>
      </w:rPr>
    </w:lvl>
    <w:lvl w:ilvl="2" w:tplc="A43AEF1E">
      <w:start w:val="1"/>
      <w:numFmt w:val="bullet"/>
      <w:lvlText w:val=""/>
      <w:lvlJc w:val="left"/>
      <w:pPr>
        <w:ind w:left="1987" w:hanging="360"/>
      </w:pPr>
      <w:rPr>
        <w:rFonts w:ascii="Wingdings" w:hAnsi="Wingdings" w:hint="default"/>
      </w:rPr>
    </w:lvl>
    <w:lvl w:ilvl="3" w:tplc="01BCDC62">
      <w:start w:val="1"/>
      <w:numFmt w:val="bullet"/>
      <w:lvlText w:val=""/>
      <w:lvlJc w:val="left"/>
      <w:pPr>
        <w:ind w:left="2707" w:hanging="360"/>
      </w:pPr>
      <w:rPr>
        <w:rFonts w:ascii="Symbol" w:hAnsi="Symbol" w:hint="default"/>
      </w:rPr>
    </w:lvl>
    <w:lvl w:ilvl="4" w:tplc="28302722">
      <w:start w:val="1"/>
      <w:numFmt w:val="bullet"/>
      <w:lvlText w:val="o"/>
      <w:lvlJc w:val="left"/>
      <w:pPr>
        <w:ind w:left="3427" w:hanging="360"/>
      </w:pPr>
      <w:rPr>
        <w:rFonts w:ascii="Courier New" w:hAnsi="Courier New" w:hint="default"/>
      </w:rPr>
    </w:lvl>
    <w:lvl w:ilvl="5" w:tplc="B412A1E8">
      <w:start w:val="1"/>
      <w:numFmt w:val="bullet"/>
      <w:lvlText w:val=""/>
      <w:lvlJc w:val="left"/>
      <w:pPr>
        <w:ind w:left="4147" w:hanging="360"/>
      </w:pPr>
      <w:rPr>
        <w:rFonts w:ascii="Wingdings" w:hAnsi="Wingdings" w:hint="default"/>
      </w:rPr>
    </w:lvl>
    <w:lvl w:ilvl="6" w:tplc="D1A8DBB0">
      <w:start w:val="1"/>
      <w:numFmt w:val="bullet"/>
      <w:lvlText w:val=""/>
      <w:lvlJc w:val="left"/>
      <w:pPr>
        <w:ind w:left="4867" w:hanging="360"/>
      </w:pPr>
      <w:rPr>
        <w:rFonts w:ascii="Symbol" w:hAnsi="Symbol" w:hint="default"/>
      </w:rPr>
    </w:lvl>
    <w:lvl w:ilvl="7" w:tplc="6FA6B498">
      <w:start w:val="1"/>
      <w:numFmt w:val="bullet"/>
      <w:lvlText w:val="o"/>
      <w:lvlJc w:val="left"/>
      <w:pPr>
        <w:ind w:left="5587" w:hanging="360"/>
      </w:pPr>
      <w:rPr>
        <w:rFonts w:ascii="Courier New" w:hAnsi="Courier New" w:hint="default"/>
      </w:rPr>
    </w:lvl>
    <w:lvl w:ilvl="8" w:tplc="9E0E1670">
      <w:start w:val="1"/>
      <w:numFmt w:val="bullet"/>
      <w:lvlText w:val=""/>
      <w:lvlJc w:val="left"/>
      <w:pPr>
        <w:ind w:left="6307" w:hanging="360"/>
      </w:pPr>
      <w:rPr>
        <w:rFonts w:ascii="Wingdings" w:hAnsi="Wingdings" w:hint="default"/>
      </w:rPr>
    </w:lvl>
  </w:abstractNum>
  <w:abstractNum w:abstractNumId="412" w15:restartNumberingAfterBreak="0">
    <w:nsid w:val="3892072B"/>
    <w:multiLevelType w:val="multilevel"/>
    <w:tmpl w:val="6AEE8B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3" w15:restartNumberingAfterBreak="0">
    <w:nsid w:val="38ADC19F"/>
    <w:multiLevelType w:val="hybridMultilevel"/>
    <w:tmpl w:val="4EE405C8"/>
    <w:lvl w:ilvl="0" w:tplc="06D69AE2">
      <w:start w:val="1"/>
      <w:numFmt w:val="bullet"/>
      <w:lvlText w:val="-"/>
      <w:lvlJc w:val="left"/>
      <w:pPr>
        <w:ind w:left="720" w:hanging="360"/>
      </w:pPr>
      <w:rPr>
        <w:rFonts w:ascii="Aptos" w:hAnsi="Aptos" w:hint="default"/>
      </w:rPr>
    </w:lvl>
    <w:lvl w:ilvl="1" w:tplc="5EA43DE2">
      <w:start w:val="1"/>
      <w:numFmt w:val="bullet"/>
      <w:lvlText w:val="o"/>
      <w:lvlJc w:val="left"/>
      <w:pPr>
        <w:ind w:left="1440" w:hanging="360"/>
      </w:pPr>
      <w:rPr>
        <w:rFonts w:ascii="Courier New" w:hAnsi="Courier New" w:hint="default"/>
      </w:rPr>
    </w:lvl>
    <w:lvl w:ilvl="2" w:tplc="74FC58B6">
      <w:start w:val="1"/>
      <w:numFmt w:val="bullet"/>
      <w:lvlText w:val=""/>
      <w:lvlJc w:val="left"/>
      <w:pPr>
        <w:ind w:left="2160" w:hanging="360"/>
      </w:pPr>
      <w:rPr>
        <w:rFonts w:ascii="Wingdings" w:hAnsi="Wingdings" w:hint="default"/>
      </w:rPr>
    </w:lvl>
    <w:lvl w:ilvl="3" w:tplc="950674EA">
      <w:start w:val="1"/>
      <w:numFmt w:val="bullet"/>
      <w:lvlText w:val=""/>
      <w:lvlJc w:val="left"/>
      <w:pPr>
        <w:ind w:left="2880" w:hanging="360"/>
      </w:pPr>
      <w:rPr>
        <w:rFonts w:ascii="Symbol" w:hAnsi="Symbol" w:hint="default"/>
      </w:rPr>
    </w:lvl>
    <w:lvl w:ilvl="4" w:tplc="D70A4398">
      <w:start w:val="1"/>
      <w:numFmt w:val="bullet"/>
      <w:lvlText w:val="o"/>
      <w:lvlJc w:val="left"/>
      <w:pPr>
        <w:ind w:left="3600" w:hanging="360"/>
      </w:pPr>
      <w:rPr>
        <w:rFonts w:ascii="Courier New" w:hAnsi="Courier New" w:hint="default"/>
      </w:rPr>
    </w:lvl>
    <w:lvl w:ilvl="5" w:tplc="86781B46">
      <w:start w:val="1"/>
      <w:numFmt w:val="bullet"/>
      <w:lvlText w:val=""/>
      <w:lvlJc w:val="left"/>
      <w:pPr>
        <w:ind w:left="4320" w:hanging="360"/>
      </w:pPr>
      <w:rPr>
        <w:rFonts w:ascii="Wingdings" w:hAnsi="Wingdings" w:hint="default"/>
      </w:rPr>
    </w:lvl>
    <w:lvl w:ilvl="6" w:tplc="8ADECB8A">
      <w:start w:val="1"/>
      <w:numFmt w:val="bullet"/>
      <w:lvlText w:val=""/>
      <w:lvlJc w:val="left"/>
      <w:pPr>
        <w:ind w:left="5040" w:hanging="360"/>
      </w:pPr>
      <w:rPr>
        <w:rFonts w:ascii="Symbol" w:hAnsi="Symbol" w:hint="default"/>
      </w:rPr>
    </w:lvl>
    <w:lvl w:ilvl="7" w:tplc="239809D0">
      <w:start w:val="1"/>
      <w:numFmt w:val="bullet"/>
      <w:lvlText w:val="o"/>
      <w:lvlJc w:val="left"/>
      <w:pPr>
        <w:ind w:left="5760" w:hanging="360"/>
      </w:pPr>
      <w:rPr>
        <w:rFonts w:ascii="Courier New" w:hAnsi="Courier New" w:hint="default"/>
      </w:rPr>
    </w:lvl>
    <w:lvl w:ilvl="8" w:tplc="AD4E0DD0">
      <w:start w:val="1"/>
      <w:numFmt w:val="bullet"/>
      <w:lvlText w:val=""/>
      <w:lvlJc w:val="left"/>
      <w:pPr>
        <w:ind w:left="6480" w:hanging="360"/>
      </w:pPr>
      <w:rPr>
        <w:rFonts w:ascii="Wingdings" w:hAnsi="Wingdings" w:hint="default"/>
      </w:rPr>
    </w:lvl>
  </w:abstractNum>
  <w:abstractNum w:abstractNumId="414" w15:restartNumberingAfterBreak="0">
    <w:nsid w:val="38F51591"/>
    <w:multiLevelType w:val="multilevel"/>
    <w:tmpl w:val="2B560D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5" w15:restartNumberingAfterBreak="0">
    <w:nsid w:val="39163A44"/>
    <w:multiLevelType w:val="multilevel"/>
    <w:tmpl w:val="E02A4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6" w15:restartNumberingAfterBreak="0">
    <w:nsid w:val="39C7320B"/>
    <w:multiLevelType w:val="hybridMultilevel"/>
    <w:tmpl w:val="FC8AFB3E"/>
    <w:lvl w:ilvl="0" w:tplc="18B09066">
      <w:start w:val="1"/>
      <w:numFmt w:val="bullet"/>
      <w:lvlText w:val=""/>
      <w:lvlJc w:val="left"/>
      <w:pPr>
        <w:ind w:left="720" w:hanging="360"/>
      </w:pPr>
      <w:rPr>
        <w:rFonts w:ascii="Symbol" w:hAnsi="Symbol" w:hint="default"/>
      </w:rPr>
    </w:lvl>
    <w:lvl w:ilvl="1" w:tplc="03BC7F36">
      <w:start w:val="1"/>
      <w:numFmt w:val="bullet"/>
      <w:lvlText w:val="o"/>
      <w:lvlJc w:val="left"/>
      <w:pPr>
        <w:ind w:left="1440" w:hanging="360"/>
      </w:pPr>
      <w:rPr>
        <w:rFonts w:ascii="Courier New" w:hAnsi="Courier New" w:hint="default"/>
      </w:rPr>
    </w:lvl>
    <w:lvl w:ilvl="2" w:tplc="DCC61DF0">
      <w:start w:val="1"/>
      <w:numFmt w:val="bullet"/>
      <w:lvlText w:val=""/>
      <w:lvlJc w:val="left"/>
      <w:pPr>
        <w:ind w:left="2160" w:hanging="360"/>
      </w:pPr>
      <w:rPr>
        <w:rFonts w:ascii="Wingdings" w:hAnsi="Wingdings" w:hint="default"/>
      </w:rPr>
    </w:lvl>
    <w:lvl w:ilvl="3" w:tplc="CC7401A8">
      <w:start w:val="1"/>
      <w:numFmt w:val="bullet"/>
      <w:lvlText w:val=""/>
      <w:lvlJc w:val="left"/>
      <w:pPr>
        <w:ind w:left="2880" w:hanging="360"/>
      </w:pPr>
      <w:rPr>
        <w:rFonts w:ascii="Symbol" w:hAnsi="Symbol" w:hint="default"/>
      </w:rPr>
    </w:lvl>
    <w:lvl w:ilvl="4" w:tplc="F790006A">
      <w:start w:val="1"/>
      <w:numFmt w:val="bullet"/>
      <w:lvlText w:val="o"/>
      <w:lvlJc w:val="left"/>
      <w:pPr>
        <w:ind w:left="3600" w:hanging="360"/>
      </w:pPr>
      <w:rPr>
        <w:rFonts w:ascii="Courier New" w:hAnsi="Courier New" w:hint="default"/>
      </w:rPr>
    </w:lvl>
    <w:lvl w:ilvl="5" w:tplc="24D2D0CE">
      <w:start w:val="1"/>
      <w:numFmt w:val="bullet"/>
      <w:lvlText w:val=""/>
      <w:lvlJc w:val="left"/>
      <w:pPr>
        <w:ind w:left="4320" w:hanging="360"/>
      </w:pPr>
      <w:rPr>
        <w:rFonts w:ascii="Wingdings" w:hAnsi="Wingdings" w:hint="default"/>
      </w:rPr>
    </w:lvl>
    <w:lvl w:ilvl="6" w:tplc="09461180">
      <w:start w:val="1"/>
      <w:numFmt w:val="bullet"/>
      <w:lvlText w:val=""/>
      <w:lvlJc w:val="left"/>
      <w:pPr>
        <w:ind w:left="5040" w:hanging="360"/>
      </w:pPr>
      <w:rPr>
        <w:rFonts w:ascii="Symbol" w:hAnsi="Symbol" w:hint="default"/>
      </w:rPr>
    </w:lvl>
    <w:lvl w:ilvl="7" w:tplc="D4B025DC">
      <w:start w:val="1"/>
      <w:numFmt w:val="bullet"/>
      <w:lvlText w:val="o"/>
      <w:lvlJc w:val="left"/>
      <w:pPr>
        <w:ind w:left="5760" w:hanging="360"/>
      </w:pPr>
      <w:rPr>
        <w:rFonts w:ascii="Courier New" w:hAnsi="Courier New" w:hint="default"/>
      </w:rPr>
    </w:lvl>
    <w:lvl w:ilvl="8" w:tplc="E97CE704">
      <w:start w:val="1"/>
      <w:numFmt w:val="bullet"/>
      <w:lvlText w:val=""/>
      <w:lvlJc w:val="left"/>
      <w:pPr>
        <w:ind w:left="6480" w:hanging="360"/>
      </w:pPr>
      <w:rPr>
        <w:rFonts w:ascii="Wingdings" w:hAnsi="Wingdings" w:hint="default"/>
      </w:rPr>
    </w:lvl>
  </w:abstractNum>
  <w:abstractNum w:abstractNumId="417" w15:restartNumberingAfterBreak="0">
    <w:nsid w:val="39C74881"/>
    <w:multiLevelType w:val="multilevel"/>
    <w:tmpl w:val="74660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8" w15:restartNumberingAfterBreak="0">
    <w:nsid w:val="39C85FCF"/>
    <w:multiLevelType w:val="multilevel"/>
    <w:tmpl w:val="C01EC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9" w15:restartNumberingAfterBreak="0">
    <w:nsid w:val="39F10855"/>
    <w:multiLevelType w:val="hybridMultilevel"/>
    <w:tmpl w:val="A31299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0" w15:restartNumberingAfterBreak="0">
    <w:nsid w:val="39F36BB0"/>
    <w:multiLevelType w:val="multilevel"/>
    <w:tmpl w:val="39A24E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1" w15:restartNumberingAfterBreak="0">
    <w:nsid w:val="3A2DF29E"/>
    <w:multiLevelType w:val="hybridMultilevel"/>
    <w:tmpl w:val="BABC2D40"/>
    <w:lvl w:ilvl="0" w:tplc="35B4B956">
      <w:start w:val="1"/>
      <w:numFmt w:val="bullet"/>
      <w:lvlText w:val=""/>
      <w:lvlJc w:val="left"/>
      <w:pPr>
        <w:ind w:left="720" w:hanging="360"/>
      </w:pPr>
      <w:rPr>
        <w:rFonts w:ascii="Symbol" w:hAnsi="Symbol" w:hint="default"/>
      </w:rPr>
    </w:lvl>
    <w:lvl w:ilvl="1" w:tplc="894A4082">
      <w:start w:val="1"/>
      <w:numFmt w:val="bullet"/>
      <w:lvlText w:val="o"/>
      <w:lvlJc w:val="left"/>
      <w:pPr>
        <w:ind w:left="1440" w:hanging="360"/>
      </w:pPr>
      <w:rPr>
        <w:rFonts w:ascii="Courier New" w:hAnsi="Courier New" w:hint="default"/>
      </w:rPr>
    </w:lvl>
    <w:lvl w:ilvl="2" w:tplc="42621844">
      <w:start w:val="1"/>
      <w:numFmt w:val="bullet"/>
      <w:lvlText w:val=""/>
      <w:lvlJc w:val="left"/>
      <w:pPr>
        <w:ind w:left="2160" w:hanging="360"/>
      </w:pPr>
      <w:rPr>
        <w:rFonts w:ascii="Wingdings" w:hAnsi="Wingdings" w:hint="default"/>
      </w:rPr>
    </w:lvl>
    <w:lvl w:ilvl="3" w:tplc="6C986BB4">
      <w:start w:val="1"/>
      <w:numFmt w:val="bullet"/>
      <w:lvlText w:val=""/>
      <w:lvlJc w:val="left"/>
      <w:pPr>
        <w:ind w:left="2880" w:hanging="360"/>
      </w:pPr>
      <w:rPr>
        <w:rFonts w:ascii="Symbol" w:hAnsi="Symbol" w:hint="default"/>
      </w:rPr>
    </w:lvl>
    <w:lvl w:ilvl="4" w:tplc="77848A1A">
      <w:start w:val="1"/>
      <w:numFmt w:val="bullet"/>
      <w:lvlText w:val="o"/>
      <w:lvlJc w:val="left"/>
      <w:pPr>
        <w:ind w:left="3600" w:hanging="360"/>
      </w:pPr>
      <w:rPr>
        <w:rFonts w:ascii="Courier New" w:hAnsi="Courier New" w:hint="default"/>
      </w:rPr>
    </w:lvl>
    <w:lvl w:ilvl="5" w:tplc="6C509C12">
      <w:start w:val="1"/>
      <w:numFmt w:val="bullet"/>
      <w:lvlText w:val=""/>
      <w:lvlJc w:val="left"/>
      <w:pPr>
        <w:ind w:left="4320" w:hanging="360"/>
      </w:pPr>
      <w:rPr>
        <w:rFonts w:ascii="Wingdings" w:hAnsi="Wingdings" w:hint="default"/>
      </w:rPr>
    </w:lvl>
    <w:lvl w:ilvl="6" w:tplc="DB3056CC">
      <w:start w:val="1"/>
      <w:numFmt w:val="bullet"/>
      <w:lvlText w:val=""/>
      <w:lvlJc w:val="left"/>
      <w:pPr>
        <w:ind w:left="5040" w:hanging="360"/>
      </w:pPr>
      <w:rPr>
        <w:rFonts w:ascii="Symbol" w:hAnsi="Symbol" w:hint="default"/>
      </w:rPr>
    </w:lvl>
    <w:lvl w:ilvl="7" w:tplc="33129EDE">
      <w:start w:val="1"/>
      <w:numFmt w:val="bullet"/>
      <w:lvlText w:val="o"/>
      <w:lvlJc w:val="left"/>
      <w:pPr>
        <w:ind w:left="5760" w:hanging="360"/>
      </w:pPr>
      <w:rPr>
        <w:rFonts w:ascii="Courier New" w:hAnsi="Courier New" w:hint="default"/>
      </w:rPr>
    </w:lvl>
    <w:lvl w:ilvl="8" w:tplc="4B069166">
      <w:start w:val="1"/>
      <w:numFmt w:val="bullet"/>
      <w:lvlText w:val=""/>
      <w:lvlJc w:val="left"/>
      <w:pPr>
        <w:ind w:left="6480" w:hanging="360"/>
      </w:pPr>
      <w:rPr>
        <w:rFonts w:ascii="Wingdings" w:hAnsi="Wingdings" w:hint="default"/>
      </w:rPr>
    </w:lvl>
  </w:abstractNum>
  <w:abstractNum w:abstractNumId="422" w15:restartNumberingAfterBreak="0">
    <w:nsid w:val="3A627D64"/>
    <w:multiLevelType w:val="hybridMultilevel"/>
    <w:tmpl w:val="80163FFC"/>
    <w:lvl w:ilvl="0" w:tplc="124AEFA0">
      <w:start w:val="1"/>
      <w:numFmt w:val="bullet"/>
      <w:lvlText w:val=""/>
      <w:lvlJc w:val="left"/>
      <w:pPr>
        <w:ind w:left="720" w:hanging="360"/>
      </w:pPr>
      <w:rPr>
        <w:rFonts w:ascii="Symbol" w:hAnsi="Symbol"/>
      </w:rPr>
    </w:lvl>
    <w:lvl w:ilvl="1" w:tplc="6318F8FC">
      <w:start w:val="1"/>
      <w:numFmt w:val="bullet"/>
      <w:lvlText w:val=""/>
      <w:lvlJc w:val="left"/>
      <w:pPr>
        <w:ind w:left="720" w:hanging="360"/>
      </w:pPr>
      <w:rPr>
        <w:rFonts w:ascii="Symbol" w:hAnsi="Symbol"/>
      </w:rPr>
    </w:lvl>
    <w:lvl w:ilvl="2" w:tplc="7CF6781C">
      <w:start w:val="1"/>
      <w:numFmt w:val="bullet"/>
      <w:lvlText w:val=""/>
      <w:lvlJc w:val="left"/>
      <w:pPr>
        <w:ind w:left="720" w:hanging="360"/>
      </w:pPr>
      <w:rPr>
        <w:rFonts w:ascii="Symbol" w:hAnsi="Symbol"/>
      </w:rPr>
    </w:lvl>
    <w:lvl w:ilvl="3" w:tplc="248A2A6A">
      <w:start w:val="1"/>
      <w:numFmt w:val="bullet"/>
      <w:lvlText w:val=""/>
      <w:lvlJc w:val="left"/>
      <w:pPr>
        <w:ind w:left="720" w:hanging="360"/>
      </w:pPr>
      <w:rPr>
        <w:rFonts w:ascii="Symbol" w:hAnsi="Symbol"/>
      </w:rPr>
    </w:lvl>
    <w:lvl w:ilvl="4" w:tplc="AA4A823E">
      <w:start w:val="1"/>
      <w:numFmt w:val="bullet"/>
      <w:lvlText w:val=""/>
      <w:lvlJc w:val="left"/>
      <w:pPr>
        <w:ind w:left="720" w:hanging="360"/>
      </w:pPr>
      <w:rPr>
        <w:rFonts w:ascii="Symbol" w:hAnsi="Symbol"/>
      </w:rPr>
    </w:lvl>
    <w:lvl w:ilvl="5" w:tplc="04F22DD8">
      <w:start w:val="1"/>
      <w:numFmt w:val="bullet"/>
      <w:lvlText w:val=""/>
      <w:lvlJc w:val="left"/>
      <w:pPr>
        <w:ind w:left="720" w:hanging="360"/>
      </w:pPr>
      <w:rPr>
        <w:rFonts w:ascii="Symbol" w:hAnsi="Symbol"/>
      </w:rPr>
    </w:lvl>
    <w:lvl w:ilvl="6" w:tplc="334433DE">
      <w:start w:val="1"/>
      <w:numFmt w:val="bullet"/>
      <w:lvlText w:val=""/>
      <w:lvlJc w:val="left"/>
      <w:pPr>
        <w:ind w:left="720" w:hanging="360"/>
      </w:pPr>
      <w:rPr>
        <w:rFonts w:ascii="Symbol" w:hAnsi="Symbol"/>
      </w:rPr>
    </w:lvl>
    <w:lvl w:ilvl="7" w:tplc="203C1346">
      <w:start w:val="1"/>
      <w:numFmt w:val="bullet"/>
      <w:lvlText w:val=""/>
      <w:lvlJc w:val="left"/>
      <w:pPr>
        <w:ind w:left="720" w:hanging="360"/>
      </w:pPr>
      <w:rPr>
        <w:rFonts w:ascii="Symbol" w:hAnsi="Symbol"/>
      </w:rPr>
    </w:lvl>
    <w:lvl w:ilvl="8" w:tplc="A27634C2">
      <w:start w:val="1"/>
      <w:numFmt w:val="bullet"/>
      <w:lvlText w:val=""/>
      <w:lvlJc w:val="left"/>
      <w:pPr>
        <w:ind w:left="720" w:hanging="360"/>
      </w:pPr>
      <w:rPr>
        <w:rFonts w:ascii="Symbol" w:hAnsi="Symbol"/>
      </w:rPr>
    </w:lvl>
  </w:abstractNum>
  <w:abstractNum w:abstractNumId="423" w15:restartNumberingAfterBreak="0">
    <w:nsid w:val="3A7C21C2"/>
    <w:multiLevelType w:val="multilevel"/>
    <w:tmpl w:val="8A9E44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4" w15:restartNumberingAfterBreak="0">
    <w:nsid w:val="3A8A0E78"/>
    <w:multiLevelType w:val="multilevel"/>
    <w:tmpl w:val="910E6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5" w15:restartNumberingAfterBreak="0">
    <w:nsid w:val="3A9348D0"/>
    <w:multiLevelType w:val="hybridMultilevel"/>
    <w:tmpl w:val="D480E802"/>
    <w:lvl w:ilvl="0" w:tplc="1494C840">
      <w:start w:val="1"/>
      <w:numFmt w:val="bullet"/>
      <w:lvlText w:val=""/>
      <w:lvlJc w:val="left"/>
      <w:pPr>
        <w:ind w:left="720" w:hanging="360"/>
      </w:pPr>
      <w:rPr>
        <w:rFonts w:ascii="Symbol" w:hAnsi="Symbol" w:hint="default"/>
      </w:rPr>
    </w:lvl>
    <w:lvl w:ilvl="1" w:tplc="CAD25878">
      <w:start w:val="1"/>
      <w:numFmt w:val="bullet"/>
      <w:lvlText w:val="o"/>
      <w:lvlJc w:val="left"/>
      <w:pPr>
        <w:ind w:left="1440" w:hanging="360"/>
      </w:pPr>
      <w:rPr>
        <w:rFonts w:ascii="Courier New" w:hAnsi="Courier New" w:hint="default"/>
      </w:rPr>
    </w:lvl>
    <w:lvl w:ilvl="2" w:tplc="6184671C">
      <w:start w:val="1"/>
      <w:numFmt w:val="bullet"/>
      <w:lvlText w:val=""/>
      <w:lvlJc w:val="left"/>
      <w:pPr>
        <w:ind w:left="2160" w:hanging="360"/>
      </w:pPr>
      <w:rPr>
        <w:rFonts w:ascii="Wingdings" w:hAnsi="Wingdings" w:hint="default"/>
      </w:rPr>
    </w:lvl>
    <w:lvl w:ilvl="3" w:tplc="33F477F6">
      <w:start w:val="1"/>
      <w:numFmt w:val="bullet"/>
      <w:lvlText w:val=""/>
      <w:lvlJc w:val="left"/>
      <w:pPr>
        <w:ind w:left="2880" w:hanging="360"/>
      </w:pPr>
      <w:rPr>
        <w:rFonts w:ascii="Symbol" w:hAnsi="Symbol" w:hint="default"/>
      </w:rPr>
    </w:lvl>
    <w:lvl w:ilvl="4" w:tplc="A28C6676">
      <w:start w:val="1"/>
      <w:numFmt w:val="bullet"/>
      <w:lvlText w:val="o"/>
      <w:lvlJc w:val="left"/>
      <w:pPr>
        <w:ind w:left="3600" w:hanging="360"/>
      </w:pPr>
      <w:rPr>
        <w:rFonts w:ascii="Courier New" w:hAnsi="Courier New" w:hint="default"/>
      </w:rPr>
    </w:lvl>
    <w:lvl w:ilvl="5" w:tplc="2DE067DC">
      <w:start w:val="1"/>
      <w:numFmt w:val="bullet"/>
      <w:lvlText w:val=""/>
      <w:lvlJc w:val="left"/>
      <w:pPr>
        <w:ind w:left="4320" w:hanging="360"/>
      </w:pPr>
      <w:rPr>
        <w:rFonts w:ascii="Wingdings" w:hAnsi="Wingdings" w:hint="default"/>
      </w:rPr>
    </w:lvl>
    <w:lvl w:ilvl="6" w:tplc="EF80AA8A">
      <w:start w:val="1"/>
      <w:numFmt w:val="bullet"/>
      <w:lvlText w:val=""/>
      <w:lvlJc w:val="left"/>
      <w:pPr>
        <w:ind w:left="5040" w:hanging="360"/>
      </w:pPr>
      <w:rPr>
        <w:rFonts w:ascii="Symbol" w:hAnsi="Symbol" w:hint="default"/>
      </w:rPr>
    </w:lvl>
    <w:lvl w:ilvl="7" w:tplc="E836F85A">
      <w:start w:val="1"/>
      <w:numFmt w:val="bullet"/>
      <w:lvlText w:val="o"/>
      <w:lvlJc w:val="left"/>
      <w:pPr>
        <w:ind w:left="5760" w:hanging="360"/>
      </w:pPr>
      <w:rPr>
        <w:rFonts w:ascii="Courier New" w:hAnsi="Courier New" w:hint="default"/>
      </w:rPr>
    </w:lvl>
    <w:lvl w:ilvl="8" w:tplc="59C2DD5E">
      <w:start w:val="1"/>
      <w:numFmt w:val="bullet"/>
      <w:lvlText w:val=""/>
      <w:lvlJc w:val="left"/>
      <w:pPr>
        <w:ind w:left="6480" w:hanging="360"/>
      </w:pPr>
      <w:rPr>
        <w:rFonts w:ascii="Wingdings" w:hAnsi="Wingdings" w:hint="default"/>
      </w:rPr>
    </w:lvl>
  </w:abstractNum>
  <w:abstractNum w:abstractNumId="426" w15:restartNumberingAfterBreak="0">
    <w:nsid w:val="3AB454AA"/>
    <w:multiLevelType w:val="hybridMultilevel"/>
    <w:tmpl w:val="8A16E116"/>
    <w:lvl w:ilvl="0" w:tplc="FFFFFFFF">
      <w:start w:val="1"/>
      <w:numFmt w:val="decimal"/>
      <w:lvlText w:val="%1."/>
      <w:lvlJc w:val="left"/>
      <w:pPr>
        <w:ind w:left="547" w:hanging="360"/>
      </w:pPr>
      <w:rPr>
        <w:sz w:val="20"/>
        <w:szCs w:val="20"/>
      </w:rPr>
    </w:lvl>
    <w:lvl w:ilvl="1" w:tplc="BD6C5CDC">
      <w:start w:val="1"/>
      <w:numFmt w:val="bullet"/>
      <w:lvlText w:val="o"/>
      <w:lvlJc w:val="left"/>
      <w:pPr>
        <w:ind w:left="1440" w:hanging="360"/>
      </w:pPr>
      <w:rPr>
        <w:rFonts w:ascii="Noto Sans Symbols" w:hAnsi="Noto Sans Symbols" w:hint="default"/>
        <w:sz w:val="20"/>
        <w:szCs w:val="20"/>
      </w:rPr>
    </w:lvl>
    <w:lvl w:ilvl="2" w:tplc="FCF86B64">
      <w:start w:val="1"/>
      <w:numFmt w:val="bullet"/>
      <w:lvlText w:val="▪"/>
      <w:lvlJc w:val="left"/>
      <w:pPr>
        <w:ind w:left="2160" w:hanging="360"/>
      </w:pPr>
      <w:rPr>
        <w:rFonts w:ascii="Noto Sans Symbols" w:eastAsia="Noto Sans Symbols" w:hAnsi="Noto Sans Symbols" w:cs="Noto Sans Symbols"/>
        <w:sz w:val="20"/>
        <w:szCs w:val="20"/>
      </w:rPr>
    </w:lvl>
    <w:lvl w:ilvl="3" w:tplc="56267D2A">
      <w:start w:val="1"/>
      <w:numFmt w:val="bullet"/>
      <w:lvlText w:val="▪"/>
      <w:lvlJc w:val="left"/>
      <w:pPr>
        <w:ind w:left="2880" w:hanging="360"/>
      </w:pPr>
      <w:rPr>
        <w:rFonts w:ascii="Noto Sans Symbols" w:eastAsia="Noto Sans Symbols" w:hAnsi="Noto Sans Symbols" w:cs="Noto Sans Symbols"/>
        <w:sz w:val="20"/>
        <w:szCs w:val="20"/>
      </w:rPr>
    </w:lvl>
    <w:lvl w:ilvl="4" w:tplc="4DB6B748">
      <w:start w:val="1"/>
      <w:numFmt w:val="bullet"/>
      <w:lvlText w:val="▪"/>
      <w:lvlJc w:val="left"/>
      <w:pPr>
        <w:ind w:left="3600" w:hanging="360"/>
      </w:pPr>
      <w:rPr>
        <w:rFonts w:ascii="Noto Sans Symbols" w:eastAsia="Noto Sans Symbols" w:hAnsi="Noto Sans Symbols" w:cs="Noto Sans Symbols"/>
        <w:sz w:val="20"/>
        <w:szCs w:val="20"/>
      </w:rPr>
    </w:lvl>
    <w:lvl w:ilvl="5" w:tplc="BFDCD83A">
      <w:start w:val="1"/>
      <w:numFmt w:val="bullet"/>
      <w:lvlText w:val="▪"/>
      <w:lvlJc w:val="left"/>
      <w:pPr>
        <w:ind w:left="4320" w:hanging="360"/>
      </w:pPr>
      <w:rPr>
        <w:rFonts w:ascii="Noto Sans Symbols" w:eastAsia="Noto Sans Symbols" w:hAnsi="Noto Sans Symbols" w:cs="Noto Sans Symbols"/>
        <w:sz w:val="20"/>
        <w:szCs w:val="20"/>
      </w:rPr>
    </w:lvl>
    <w:lvl w:ilvl="6" w:tplc="AF6E7B9C">
      <w:start w:val="1"/>
      <w:numFmt w:val="bullet"/>
      <w:lvlText w:val="▪"/>
      <w:lvlJc w:val="left"/>
      <w:pPr>
        <w:ind w:left="5040" w:hanging="360"/>
      </w:pPr>
      <w:rPr>
        <w:rFonts w:ascii="Noto Sans Symbols" w:eastAsia="Noto Sans Symbols" w:hAnsi="Noto Sans Symbols" w:cs="Noto Sans Symbols"/>
        <w:sz w:val="20"/>
        <w:szCs w:val="20"/>
      </w:rPr>
    </w:lvl>
    <w:lvl w:ilvl="7" w:tplc="916C7322">
      <w:start w:val="1"/>
      <w:numFmt w:val="bullet"/>
      <w:lvlText w:val="▪"/>
      <w:lvlJc w:val="left"/>
      <w:pPr>
        <w:ind w:left="5760" w:hanging="360"/>
      </w:pPr>
      <w:rPr>
        <w:rFonts w:ascii="Noto Sans Symbols" w:eastAsia="Noto Sans Symbols" w:hAnsi="Noto Sans Symbols" w:cs="Noto Sans Symbols"/>
        <w:sz w:val="20"/>
        <w:szCs w:val="20"/>
      </w:rPr>
    </w:lvl>
    <w:lvl w:ilvl="8" w:tplc="3BA21F82">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7" w15:restartNumberingAfterBreak="0">
    <w:nsid w:val="3ACF3284"/>
    <w:multiLevelType w:val="multilevel"/>
    <w:tmpl w:val="30B849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8" w15:restartNumberingAfterBreak="0">
    <w:nsid w:val="3AF212C0"/>
    <w:multiLevelType w:val="multilevel"/>
    <w:tmpl w:val="ED661A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9" w15:restartNumberingAfterBreak="0">
    <w:nsid w:val="3AFE534A"/>
    <w:multiLevelType w:val="multilevel"/>
    <w:tmpl w:val="2B1A1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0" w15:restartNumberingAfterBreak="0">
    <w:nsid w:val="3B088FFB"/>
    <w:multiLevelType w:val="hybridMultilevel"/>
    <w:tmpl w:val="97D201BA"/>
    <w:lvl w:ilvl="0" w:tplc="A1D02EF2">
      <w:start w:val="1"/>
      <w:numFmt w:val="bullet"/>
      <w:lvlText w:val=""/>
      <w:lvlJc w:val="left"/>
      <w:pPr>
        <w:ind w:left="720" w:hanging="360"/>
      </w:pPr>
      <w:rPr>
        <w:rFonts w:ascii="Symbol" w:hAnsi="Symbol" w:hint="default"/>
      </w:rPr>
    </w:lvl>
    <w:lvl w:ilvl="1" w:tplc="6B8E957C">
      <w:start w:val="1"/>
      <w:numFmt w:val="bullet"/>
      <w:lvlText w:val="o"/>
      <w:lvlJc w:val="left"/>
      <w:pPr>
        <w:ind w:left="1440" w:hanging="360"/>
      </w:pPr>
      <w:rPr>
        <w:rFonts w:ascii="Courier New" w:hAnsi="Courier New" w:hint="default"/>
      </w:rPr>
    </w:lvl>
    <w:lvl w:ilvl="2" w:tplc="279834F4">
      <w:start w:val="1"/>
      <w:numFmt w:val="bullet"/>
      <w:lvlText w:val=""/>
      <w:lvlJc w:val="left"/>
      <w:pPr>
        <w:ind w:left="2160" w:hanging="360"/>
      </w:pPr>
      <w:rPr>
        <w:rFonts w:ascii="Wingdings" w:hAnsi="Wingdings" w:hint="default"/>
      </w:rPr>
    </w:lvl>
    <w:lvl w:ilvl="3" w:tplc="BC685D62">
      <w:start w:val="1"/>
      <w:numFmt w:val="bullet"/>
      <w:lvlText w:val=""/>
      <w:lvlJc w:val="left"/>
      <w:pPr>
        <w:ind w:left="2880" w:hanging="360"/>
      </w:pPr>
      <w:rPr>
        <w:rFonts w:ascii="Symbol" w:hAnsi="Symbol" w:hint="default"/>
      </w:rPr>
    </w:lvl>
    <w:lvl w:ilvl="4" w:tplc="14460A9A">
      <w:start w:val="1"/>
      <w:numFmt w:val="bullet"/>
      <w:lvlText w:val="o"/>
      <w:lvlJc w:val="left"/>
      <w:pPr>
        <w:ind w:left="3600" w:hanging="360"/>
      </w:pPr>
      <w:rPr>
        <w:rFonts w:ascii="Courier New" w:hAnsi="Courier New" w:hint="default"/>
      </w:rPr>
    </w:lvl>
    <w:lvl w:ilvl="5" w:tplc="3A320594">
      <w:start w:val="1"/>
      <w:numFmt w:val="bullet"/>
      <w:lvlText w:val=""/>
      <w:lvlJc w:val="left"/>
      <w:pPr>
        <w:ind w:left="4320" w:hanging="360"/>
      </w:pPr>
      <w:rPr>
        <w:rFonts w:ascii="Wingdings" w:hAnsi="Wingdings" w:hint="default"/>
      </w:rPr>
    </w:lvl>
    <w:lvl w:ilvl="6" w:tplc="4C7459EC">
      <w:start w:val="1"/>
      <w:numFmt w:val="bullet"/>
      <w:lvlText w:val=""/>
      <w:lvlJc w:val="left"/>
      <w:pPr>
        <w:ind w:left="5040" w:hanging="360"/>
      </w:pPr>
      <w:rPr>
        <w:rFonts w:ascii="Symbol" w:hAnsi="Symbol" w:hint="default"/>
      </w:rPr>
    </w:lvl>
    <w:lvl w:ilvl="7" w:tplc="346CA1B4">
      <w:start w:val="1"/>
      <w:numFmt w:val="bullet"/>
      <w:lvlText w:val="o"/>
      <w:lvlJc w:val="left"/>
      <w:pPr>
        <w:ind w:left="5760" w:hanging="360"/>
      </w:pPr>
      <w:rPr>
        <w:rFonts w:ascii="Courier New" w:hAnsi="Courier New" w:hint="default"/>
      </w:rPr>
    </w:lvl>
    <w:lvl w:ilvl="8" w:tplc="F8D6DF5E">
      <w:start w:val="1"/>
      <w:numFmt w:val="bullet"/>
      <w:lvlText w:val=""/>
      <w:lvlJc w:val="left"/>
      <w:pPr>
        <w:ind w:left="6480" w:hanging="360"/>
      </w:pPr>
      <w:rPr>
        <w:rFonts w:ascii="Wingdings" w:hAnsi="Wingdings" w:hint="default"/>
      </w:rPr>
    </w:lvl>
  </w:abstractNum>
  <w:abstractNum w:abstractNumId="431" w15:restartNumberingAfterBreak="0">
    <w:nsid w:val="3B5D289F"/>
    <w:multiLevelType w:val="multilevel"/>
    <w:tmpl w:val="2D50D3D4"/>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2" w15:restartNumberingAfterBreak="0">
    <w:nsid w:val="3BA31EA2"/>
    <w:multiLevelType w:val="hybridMultilevel"/>
    <w:tmpl w:val="A56C98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3" w15:restartNumberingAfterBreak="0">
    <w:nsid w:val="3BB43489"/>
    <w:multiLevelType w:val="multilevel"/>
    <w:tmpl w:val="4AD2B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4" w15:restartNumberingAfterBreak="0">
    <w:nsid w:val="3BF90422"/>
    <w:multiLevelType w:val="multilevel"/>
    <w:tmpl w:val="9530B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5" w15:restartNumberingAfterBreak="0">
    <w:nsid w:val="3C525FC1"/>
    <w:multiLevelType w:val="multilevel"/>
    <w:tmpl w:val="7E108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6" w15:restartNumberingAfterBreak="0">
    <w:nsid w:val="3C7C0FA4"/>
    <w:multiLevelType w:val="multilevel"/>
    <w:tmpl w:val="71CE7B04"/>
    <w:lvl w:ilvl="0">
      <w:start w:val="1"/>
      <w:numFmt w:val="bullet"/>
      <w:pStyle w:val="Paragraph"/>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7" w15:restartNumberingAfterBreak="0">
    <w:nsid w:val="3CD3E978"/>
    <w:multiLevelType w:val="hybridMultilevel"/>
    <w:tmpl w:val="BBA8C122"/>
    <w:lvl w:ilvl="0" w:tplc="CC1E43D4">
      <w:start w:val="1"/>
      <w:numFmt w:val="bullet"/>
      <w:lvlText w:val=""/>
      <w:lvlJc w:val="left"/>
      <w:pPr>
        <w:ind w:left="720" w:hanging="360"/>
      </w:pPr>
      <w:rPr>
        <w:rFonts w:ascii="Symbol" w:hAnsi="Symbol" w:hint="default"/>
      </w:rPr>
    </w:lvl>
    <w:lvl w:ilvl="1" w:tplc="98488D0C">
      <w:start w:val="1"/>
      <w:numFmt w:val="bullet"/>
      <w:lvlText w:val="o"/>
      <w:lvlJc w:val="left"/>
      <w:pPr>
        <w:ind w:left="1440" w:hanging="360"/>
      </w:pPr>
      <w:rPr>
        <w:rFonts w:ascii="Courier New" w:hAnsi="Courier New" w:hint="default"/>
      </w:rPr>
    </w:lvl>
    <w:lvl w:ilvl="2" w:tplc="81C4D658">
      <w:start w:val="1"/>
      <w:numFmt w:val="bullet"/>
      <w:lvlText w:val=""/>
      <w:lvlJc w:val="left"/>
      <w:pPr>
        <w:ind w:left="2160" w:hanging="360"/>
      </w:pPr>
      <w:rPr>
        <w:rFonts w:ascii="Wingdings" w:hAnsi="Wingdings" w:hint="default"/>
      </w:rPr>
    </w:lvl>
    <w:lvl w:ilvl="3" w:tplc="84623F70">
      <w:start w:val="1"/>
      <w:numFmt w:val="bullet"/>
      <w:lvlText w:val=""/>
      <w:lvlJc w:val="left"/>
      <w:pPr>
        <w:ind w:left="2880" w:hanging="360"/>
      </w:pPr>
      <w:rPr>
        <w:rFonts w:ascii="Symbol" w:hAnsi="Symbol" w:hint="default"/>
      </w:rPr>
    </w:lvl>
    <w:lvl w:ilvl="4" w:tplc="386610F6">
      <w:start w:val="1"/>
      <w:numFmt w:val="bullet"/>
      <w:lvlText w:val="o"/>
      <w:lvlJc w:val="left"/>
      <w:pPr>
        <w:ind w:left="3600" w:hanging="360"/>
      </w:pPr>
      <w:rPr>
        <w:rFonts w:ascii="Courier New" w:hAnsi="Courier New" w:hint="default"/>
      </w:rPr>
    </w:lvl>
    <w:lvl w:ilvl="5" w:tplc="0DEC87CA">
      <w:start w:val="1"/>
      <w:numFmt w:val="bullet"/>
      <w:lvlText w:val=""/>
      <w:lvlJc w:val="left"/>
      <w:pPr>
        <w:ind w:left="4320" w:hanging="360"/>
      </w:pPr>
      <w:rPr>
        <w:rFonts w:ascii="Wingdings" w:hAnsi="Wingdings" w:hint="default"/>
      </w:rPr>
    </w:lvl>
    <w:lvl w:ilvl="6" w:tplc="B4C0966C">
      <w:start w:val="1"/>
      <w:numFmt w:val="bullet"/>
      <w:lvlText w:val=""/>
      <w:lvlJc w:val="left"/>
      <w:pPr>
        <w:ind w:left="5040" w:hanging="360"/>
      </w:pPr>
      <w:rPr>
        <w:rFonts w:ascii="Symbol" w:hAnsi="Symbol" w:hint="default"/>
      </w:rPr>
    </w:lvl>
    <w:lvl w:ilvl="7" w:tplc="3CC83618">
      <w:start w:val="1"/>
      <w:numFmt w:val="bullet"/>
      <w:lvlText w:val="o"/>
      <w:lvlJc w:val="left"/>
      <w:pPr>
        <w:ind w:left="5760" w:hanging="360"/>
      </w:pPr>
      <w:rPr>
        <w:rFonts w:ascii="Courier New" w:hAnsi="Courier New" w:hint="default"/>
      </w:rPr>
    </w:lvl>
    <w:lvl w:ilvl="8" w:tplc="7EAAD7D2">
      <w:start w:val="1"/>
      <w:numFmt w:val="bullet"/>
      <w:lvlText w:val=""/>
      <w:lvlJc w:val="left"/>
      <w:pPr>
        <w:ind w:left="6480" w:hanging="360"/>
      </w:pPr>
      <w:rPr>
        <w:rFonts w:ascii="Wingdings" w:hAnsi="Wingdings" w:hint="default"/>
      </w:rPr>
    </w:lvl>
  </w:abstractNum>
  <w:abstractNum w:abstractNumId="438" w15:restartNumberingAfterBreak="0">
    <w:nsid w:val="3CDA8E0B"/>
    <w:multiLevelType w:val="multilevel"/>
    <w:tmpl w:val="C82CB5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9" w15:restartNumberingAfterBreak="0">
    <w:nsid w:val="3D757587"/>
    <w:multiLevelType w:val="multilevel"/>
    <w:tmpl w:val="23A6E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0"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1" w15:restartNumberingAfterBreak="0">
    <w:nsid w:val="3D8E1FAF"/>
    <w:multiLevelType w:val="multilevel"/>
    <w:tmpl w:val="543A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2" w15:restartNumberingAfterBreak="0">
    <w:nsid w:val="3DB9170B"/>
    <w:multiLevelType w:val="multilevel"/>
    <w:tmpl w:val="7B525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3" w15:restartNumberingAfterBreak="0">
    <w:nsid w:val="3DD84E9C"/>
    <w:multiLevelType w:val="hybridMultilevel"/>
    <w:tmpl w:val="E3A612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4" w15:restartNumberingAfterBreak="0">
    <w:nsid w:val="3DEE0496"/>
    <w:multiLevelType w:val="multilevel"/>
    <w:tmpl w:val="511C0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5" w15:restartNumberingAfterBreak="0">
    <w:nsid w:val="3E365C84"/>
    <w:multiLevelType w:val="hybridMultilevel"/>
    <w:tmpl w:val="FF0AC994"/>
    <w:lvl w:ilvl="0" w:tplc="0F2434A2">
      <w:numFmt w:val="bullet"/>
      <w:lvlText w:val="•"/>
      <w:lvlJc w:val="left"/>
      <w:pPr>
        <w:ind w:left="547"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6" w15:restartNumberingAfterBreak="0">
    <w:nsid w:val="3E853C41"/>
    <w:multiLevelType w:val="multilevel"/>
    <w:tmpl w:val="B39C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7" w15:restartNumberingAfterBreak="0">
    <w:nsid w:val="3EB15AA4"/>
    <w:multiLevelType w:val="multilevel"/>
    <w:tmpl w:val="1A187D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8" w15:restartNumberingAfterBreak="0">
    <w:nsid w:val="3ED80868"/>
    <w:multiLevelType w:val="hybridMultilevel"/>
    <w:tmpl w:val="1A3E270E"/>
    <w:lvl w:ilvl="0" w:tplc="B75E23D8">
      <w:start w:val="1"/>
      <w:numFmt w:val="bullet"/>
      <w:lvlText w:val=""/>
      <w:lvlJc w:val="left"/>
      <w:pPr>
        <w:ind w:left="720" w:hanging="360"/>
      </w:pPr>
      <w:rPr>
        <w:rFonts w:ascii="Symbol" w:hAnsi="Symbol" w:hint="default"/>
      </w:rPr>
    </w:lvl>
    <w:lvl w:ilvl="1" w:tplc="72BC2194">
      <w:start w:val="1"/>
      <w:numFmt w:val="bullet"/>
      <w:lvlText w:val="o"/>
      <w:lvlJc w:val="left"/>
      <w:pPr>
        <w:ind w:left="1440" w:hanging="360"/>
      </w:pPr>
      <w:rPr>
        <w:rFonts w:ascii="Courier New" w:hAnsi="Courier New" w:hint="default"/>
      </w:rPr>
    </w:lvl>
    <w:lvl w:ilvl="2" w:tplc="7682ED3A">
      <w:start w:val="1"/>
      <w:numFmt w:val="bullet"/>
      <w:lvlText w:val=""/>
      <w:lvlJc w:val="left"/>
      <w:pPr>
        <w:ind w:left="2160" w:hanging="360"/>
      </w:pPr>
      <w:rPr>
        <w:rFonts w:ascii="Wingdings" w:hAnsi="Wingdings" w:hint="default"/>
      </w:rPr>
    </w:lvl>
    <w:lvl w:ilvl="3" w:tplc="5F90A220">
      <w:start w:val="1"/>
      <w:numFmt w:val="bullet"/>
      <w:lvlText w:val=""/>
      <w:lvlJc w:val="left"/>
      <w:pPr>
        <w:ind w:left="2880" w:hanging="360"/>
      </w:pPr>
      <w:rPr>
        <w:rFonts w:ascii="Symbol" w:hAnsi="Symbol" w:hint="default"/>
      </w:rPr>
    </w:lvl>
    <w:lvl w:ilvl="4" w:tplc="19760DAC">
      <w:start w:val="1"/>
      <w:numFmt w:val="bullet"/>
      <w:lvlText w:val="o"/>
      <w:lvlJc w:val="left"/>
      <w:pPr>
        <w:ind w:left="3600" w:hanging="360"/>
      </w:pPr>
      <w:rPr>
        <w:rFonts w:ascii="Courier New" w:hAnsi="Courier New" w:hint="default"/>
      </w:rPr>
    </w:lvl>
    <w:lvl w:ilvl="5" w:tplc="00BC9906">
      <w:start w:val="1"/>
      <w:numFmt w:val="bullet"/>
      <w:lvlText w:val=""/>
      <w:lvlJc w:val="left"/>
      <w:pPr>
        <w:ind w:left="4320" w:hanging="360"/>
      </w:pPr>
      <w:rPr>
        <w:rFonts w:ascii="Wingdings" w:hAnsi="Wingdings" w:hint="default"/>
      </w:rPr>
    </w:lvl>
    <w:lvl w:ilvl="6" w:tplc="1D744926">
      <w:start w:val="1"/>
      <w:numFmt w:val="bullet"/>
      <w:lvlText w:val=""/>
      <w:lvlJc w:val="left"/>
      <w:pPr>
        <w:ind w:left="5040" w:hanging="360"/>
      </w:pPr>
      <w:rPr>
        <w:rFonts w:ascii="Symbol" w:hAnsi="Symbol" w:hint="default"/>
      </w:rPr>
    </w:lvl>
    <w:lvl w:ilvl="7" w:tplc="A79A4DE8">
      <w:start w:val="1"/>
      <w:numFmt w:val="bullet"/>
      <w:lvlText w:val="o"/>
      <w:lvlJc w:val="left"/>
      <w:pPr>
        <w:ind w:left="5760" w:hanging="360"/>
      </w:pPr>
      <w:rPr>
        <w:rFonts w:ascii="Courier New" w:hAnsi="Courier New" w:hint="default"/>
      </w:rPr>
    </w:lvl>
    <w:lvl w:ilvl="8" w:tplc="46B2B208">
      <w:start w:val="1"/>
      <w:numFmt w:val="bullet"/>
      <w:lvlText w:val=""/>
      <w:lvlJc w:val="left"/>
      <w:pPr>
        <w:ind w:left="6480" w:hanging="360"/>
      </w:pPr>
      <w:rPr>
        <w:rFonts w:ascii="Wingdings" w:hAnsi="Wingdings" w:hint="default"/>
      </w:rPr>
    </w:lvl>
  </w:abstractNum>
  <w:abstractNum w:abstractNumId="449" w15:restartNumberingAfterBreak="0">
    <w:nsid w:val="3EFF0DD5"/>
    <w:multiLevelType w:val="multilevel"/>
    <w:tmpl w:val="A3C0A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0" w15:restartNumberingAfterBreak="0">
    <w:nsid w:val="3F63025E"/>
    <w:multiLevelType w:val="multilevel"/>
    <w:tmpl w:val="165AC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1" w15:restartNumberingAfterBreak="0">
    <w:nsid w:val="401808B8"/>
    <w:multiLevelType w:val="multilevel"/>
    <w:tmpl w:val="38125978"/>
    <w:lvl w:ilvl="0">
      <w:start w:val="40"/>
      <w:numFmt w:val="bullet"/>
      <w:lvlText w:val="-"/>
      <w:lvlJc w:val="left"/>
      <w:pPr>
        <w:ind w:left="720" w:hanging="360"/>
      </w:pPr>
      <w:rPr>
        <w:rFonts w:ascii="Calibri" w:eastAsia="Calibri" w:hAnsi="Calibri" w:cs="Calibri"/>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2" w15:restartNumberingAfterBreak="0">
    <w:nsid w:val="40180A66"/>
    <w:multiLevelType w:val="hybridMultilevel"/>
    <w:tmpl w:val="250A5F62"/>
    <w:lvl w:ilvl="0" w:tplc="98ACA51A">
      <w:start w:val="1"/>
      <w:numFmt w:val="bullet"/>
      <w:lvlText w:val=""/>
      <w:lvlJc w:val="left"/>
      <w:pPr>
        <w:ind w:left="720" w:hanging="360"/>
      </w:pPr>
      <w:rPr>
        <w:rFonts w:ascii="Symbol" w:hAnsi="Symbol"/>
      </w:rPr>
    </w:lvl>
    <w:lvl w:ilvl="1" w:tplc="43D228AC">
      <w:start w:val="1"/>
      <w:numFmt w:val="bullet"/>
      <w:lvlText w:val=""/>
      <w:lvlJc w:val="left"/>
      <w:pPr>
        <w:ind w:left="720" w:hanging="360"/>
      </w:pPr>
      <w:rPr>
        <w:rFonts w:ascii="Symbol" w:hAnsi="Symbol"/>
      </w:rPr>
    </w:lvl>
    <w:lvl w:ilvl="2" w:tplc="A372CB4C">
      <w:start w:val="1"/>
      <w:numFmt w:val="bullet"/>
      <w:lvlText w:val=""/>
      <w:lvlJc w:val="left"/>
      <w:pPr>
        <w:ind w:left="720" w:hanging="360"/>
      </w:pPr>
      <w:rPr>
        <w:rFonts w:ascii="Symbol" w:hAnsi="Symbol"/>
      </w:rPr>
    </w:lvl>
    <w:lvl w:ilvl="3" w:tplc="A8CE5B5C">
      <w:start w:val="1"/>
      <w:numFmt w:val="bullet"/>
      <w:lvlText w:val=""/>
      <w:lvlJc w:val="left"/>
      <w:pPr>
        <w:ind w:left="720" w:hanging="360"/>
      </w:pPr>
      <w:rPr>
        <w:rFonts w:ascii="Symbol" w:hAnsi="Symbol"/>
      </w:rPr>
    </w:lvl>
    <w:lvl w:ilvl="4" w:tplc="4C409AF6">
      <w:start w:val="1"/>
      <w:numFmt w:val="bullet"/>
      <w:lvlText w:val=""/>
      <w:lvlJc w:val="left"/>
      <w:pPr>
        <w:ind w:left="720" w:hanging="360"/>
      </w:pPr>
      <w:rPr>
        <w:rFonts w:ascii="Symbol" w:hAnsi="Symbol"/>
      </w:rPr>
    </w:lvl>
    <w:lvl w:ilvl="5" w:tplc="37F03DF0">
      <w:start w:val="1"/>
      <w:numFmt w:val="bullet"/>
      <w:lvlText w:val=""/>
      <w:lvlJc w:val="left"/>
      <w:pPr>
        <w:ind w:left="720" w:hanging="360"/>
      </w:pPr>
      <w:rPr>
        <w:rFonts w:ascii="Symbol" w:hAnsi="Symbol"/>
      </w:rPr>
    </w:lvl>
    <w:lvl w:ilvl="6" w:tplc="B20ACE42">
      <w:start w:val="1"/>
      <w:numFmt w:val="bullet"/>
      <w:lvlText w:val=""/>
      <w:lvlJc w:val="left"/>
      <w:pPr>
        <w:ind w:left="720" w:hanging="360"/>
      </w:pPr>
      <w:rPr>
        <w:rFonts w:ascii="Symbol" w:hAnsi="Symbol"/>
      </w:rPr>
    </w:lvl>
    <w:lvl w:ilvl="7" w:tplc="793455AE">
      <w:start w:val="1"/>
      <w:numFmt w:val="bullet"/>
      <w:lvlText w:val=""/>
      <w:lvlJc w:val="left"/>
      <w:pPr>
        <w:ind w:left="720" w:hanging="360"/>
      </w:pPr>
      <w:rPr>
        <w:rFonts w:ascii="Symbol" w:hAnsi="Symbol"/>
      </w:rPr>
    </w:lvl>
    <w:lvl w:ilvl="8" w:tplc="8D4E9410">
      <w:start w:val="1"/>
      <w:numFmt w:val="bullet"/>
      <w:lvlText w:val=""/>
      <w:lvlJc w:val="left"/>
      <w:pPr>
        <w:ind w:left="720" w:hanging="360"/>
      </w:pPr>
      <w:rPr>
        <w:rFonts w:ascii="Symbol" w:hAnsi="Symbol"/>
      </w:rPr>
    </w:lvl>
  </w:abstractNum>
  <w:abstractNum w:abstractNumId="453" w15:restartNumberingAfterBreak="0">
    <w:nsid w:val="403B5E9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454" w15:restartNumberingAfterBreak="0">
    <w:nsid w:val="40442839"/>
    <w:multiLevelType w:val="multilevel"/>
    <w:tmpl w:val="924A9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5" w15:restartNumberingAfterBreak="0">
    <w:nsid w:val="40671AF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456" w15:restartNumberingAfterBreak="0">
    <w:nsid w:val="4080A7DB"/>
    <w:multiLevelType w:val="hybridMultilevel"/>
    <w:tmpl w:val="B45A6FA0"/>
    <w:lvl w:ilvl="0" w:tplc="D44E3504">
      <w:start w:val="1"/>
      <w:numFmt w:val="bullet"/>
      <w:lvlText w:val=""/>
      <w:lvlJc w:val="left"/>
      <w:pPr>
        <w:ind w:left="720" w:hanging="360"/>
      </w:pPr>
      <w:rPr>
        <w:rFonts w:ascii="Symbol" w:hAnsi="Symbol" w:hint="default"/>
      </w:rPr>
    </w:lvl>
    <w:lvl w:ilvl="1" w:tplc="57F4BA60">
      <w:start w:val="1"/>
      <w:numFmt w:val="bullet"/>
      <w:lvlText w:val="o"/>
      <w:lvlJc w:val="left"/>
      <w:pPr>
        <w:ind w:left="1440" w:hanging="360"/>
      </w:pPr>
      <w:rPr>
        <w:rFonts w:ascii="Courier New" w:hAnsi="Courier New" w:hint="default"/>
      </w:rPr>
    </w:lvl>
    <w:lvl w:ilvl="2" w:tplc="6DEEC1A8">
      <w:start w:val="1"/>
      <w:numFmt w:val="bullet"/>
      <w:lvlText w:val=""/>
      <w:lvlJc w:val="left"/>
      <w:pPr>
        <w:ind w:left="2160" w:hanging="360"/>
      </w:pPr>
      <w:rPr>
        <w:rFonts w:ascii="Wingdings" w:hAnsi="Wingdings" w:hint="default"/>
      </w:rPr>
    </w:lvl>
    <w:lvl w:ilvl="3" w:tplc="D3749F6A">
      <w:start w:val="1"/>
      <w:numFmt w:val="bullet"/>
      <w:lvlText w:val=""/>
      <w:lvlJc w:val="left"/>
      <w:pPr>
        <w:ind w:left="2880" w:hanging="360"/>
      </w:pPr>
      <w:rPr>
        <w:rFonts w:ascii="Symbol" w:hAnsi="Symbol" w:hint="default"/>
      </w:rPr>
    </w:lvl>
    <w:lvl w:ilvl="4" w:tplc="41F84E58">
      <w:start w:val="1"/>
      <w:numFmt w:val="bullet"/>
      <w:lvlText w:val="o"/>
      <w:lvlJc w:val="left"/>
      <w:pPr>
        <w:ind w:left="3600" w:hanging="360"/>
      </w:pPr>
      <w:rPr>
        <w:rFonts w:ascii="Courier New" w:hAnsi="Courier New" w:hint="default"/>
      </w:rPr>
    </w:lvl>
    <w:lvl w:ilvl="5" w:tplc="15F6C212">
      <w:start w:val="1"/>
      <w:numFmt w:val="bullet"/>
      <w:lvlText w:val=""/>
      <w:lvlJc w:val="left"/>
      <w:pPr>
        <w:ind w:left="4320" w:hanging="360"/>
      </w:pPr>
      <w:rPr>
        <w:rFonts w:ascii="Wingdings" w:hAnsi="Wingdings" w:hint="default"/>
      </w:rPr>
    </w:lvl>
    <w:lvl w:ilvl="6" w:tplc="B94E64BA">
      <w:start w:val="1"/>
      <w:numFmt w:val="bullet"/>
      <w:lvlText w:val=""/>
      <w:lvlJc w:val="left"/>
      <w:pPr>
        <w:ind w:left="5040" w:hanging="360"/>
      </w:pPr>
      <w:rPr>
        <w:rFonts w:ascii="Symbol" w:hAnsi="Symbol" w:hint="default"/>
      </w:rPr>
    </w:lvl>
    <w:lvl w:ilvl="7" w:tplc="D3005E16">
      <w:start w:val="1"/>
      <w:numFmt w:val="bullet"/>
      <w:lvlText w:val="o"/>
      <w:lvlJc w:val="left"/>
      <w:pPr>
        <w:ind w:left="5760" w:hanging="360"/>
      </w:pPr>
      <w:rPr>
        <w:rFonts w:ascii="Courier New" w:hAnsi="Courier New" w:hint="default"/>
      </w:rPr>
    </w:lvl>
    <w:lvl w:ilvl="8" w:tplc="CBF2A264">
      <w:start w:val="1"/>
      <w:numFmt w:val="bullet"/>
      <w:lvlText w:val=""/>
      <w:lvlJc w:val="left"/>
      <w:pPr>
        <w:ind w:left="6480" w:hanging="360"/>
      </w:pPr>
      <w:rPr>
        <w:rFonts w:ascii="Wingdings" w:hAnsi="Wingdings" w:hint="default"/>
      </w:rPr>
    </w:lvl>
  </w:abstractNum>
  <w:abstractNum w:abstractNumId="457" w15:restartNumberingAfterBreak="0">
    <w:nsid w:val="408C00FC"/>
    <w:multiLevelType w:val="multilevel"/>
    <w:tmpl w:val="D8086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8" w15:restartNumberingAfterBreak="0">
    <w:nsid w:val="40A67203"/>
    <w:multiLevelType w:val="multilevel"/>
    <w:tmpl w:val="75CC77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9" w15:restartNumberingAfterBreak="0">
    <w:nsid w:val="40B40D45"/>
    <w:multiLevelType w:val="hybridMultilevel"/>
    <w:tmpl w:val="2FE865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0" w15:restartNumberingAfterBreak="0">
    <w:nsid w:val="40B505CA"/>
    <w:multiLevelType w:val="hybridMultilevel"/>
    <w:tmpl w:val="DCAC7586"/>
    <w:lvl w:ilvl="0" w:tplc="2B1E71BE">
      <w:start w:val="1"/>
      <w:numFmt w:val="bullet"/>
      <w:lvlText w:val=""/>
      <w:lvlJc w:val="left"/>
      <w:pPr>
        <w:ind w:left="720" w:hanging="360"/>
      </w:pPr>
      <w:rPr>
        <w:rFonts w:ascii="Symbol" w:hAnsi="Symbol" w:hint="default"/>
      </w:rPr>
    </w:lvl>
    <w:lvl w:ilvl="1" w:tplc="EBE8BD04">
      <w:start w:val="1"/>
      <w:numFmt w:val="bullet"/>
      <w:lvlText w:val="o"/>
      <w:lvlJc w:val="left"/>
      <w:pPr>
        <w:ind w:left="1440" w:hanging="360"/>
      </w:pPr>
      <w:rPr>
        <w:rFonts w:ascii="Courier New" w:hAnsi="Courier New" w:hint="default"/>
      </w:rPr>
    </w:lvl>
    <w:lvl w:ilvl="2" w:tplc="C038948C">
      <w:start w:val="1"/>
      <w:numFmt w:val="bullet"/>
      <w:lvlText w:val=""/>
      <w:lvlJc w:val="left"/>
      <w:pPr>
        <w:ind w:left="2160" w:hanging="360"/>
      </w:pPr>
      <w:rPr>
        <w:rFonts w:ascii="Wingdings" w:hAnsi="Wingdings" w:hint="default"/>
      </w:rPr>
    </w:lvl>
    <w:lvl w:ilvl="3" w:tplc="54EAE61E">
      <w:start w:val="1"/>
      <w:numFmt w:val="bullet"/>
      <w:lvlText w:val=""/>
      <w:lvlJc w:val="left"/>
      <w:pPr>
        <w:ind w:left="2880" w:hanging="360"/>
      </w:pPr>
      <w:rPr>
        <w:rFonts w:ascii="Symbol" w:hAnsi="Symbol" w:hint="default"/>
      </w:rPr>
    </w:lvl>
    <w:lvl w:ilvl="4" w:tplc="BC44FF10">
      <w:start w:val="1"/>
      <w:numFmt w:val="bullet"/>
      <w:lvlText w:val="o"/>
      <w:lvlJc w:val="left"/>
      <w:pPr>
        <w:ind w:left="3600" w:hanging="360"/>
      </w:pPr>
      <w:rPr>
        <w:rFonts w:ascii="Courier New" w:hAnsi="Courier New" w:hint="default"/>
      </w:rPr>
    </w:lvl>
    <w:lvl w:ilvl="5" w:tplc="8B802C74">
      <w:start w:val="1"/>
      <w:numFmt w:val="bullet"/>
      <w:lvlText w:val=""/>
      <w:lvlJc w:val="left"/>
      <w:pPr>
        <w:ind w:left="4320" w:hanging="360"/>
      </w:pPr>
      <w:rPr>
        <w:rFonts w:ascii="Wingdings" w:hAnsi="Wingdings" w:hint="default"/>
      </w:rPr>
    </w:lvl>
    <w:lvl w:ilvl="6" w:tplc="EDCC6300">
      <w:start w:val="1"/>
      <w:numFmt w:val="bullet"/>
      <w:lvlText w:val=""/>
      <w:lvlJc w:val="left"/>
      <w:pPr>
        <w:ind w:left="5040" w:hanging="360"/>
      </w:pPr>
      <w:rPr>
        <w:rFonts w:ascii="Symbol" w:hAnsi="Symbol" w:hint="default"/>
      </w:rPr>
    </w:lvl>
    <w:lvl w:ilvl="7" w:tplc="8BC0DC90">
      <w:start w:val="1"/>
      <w:numFmt w:val="bullet"/>
      <w:lvlText w:val="o"/>
      <w:lvlJc w:val="left"/>
      <w:pPr>
        <w:ind w:left="5760" w:hanging="360"/>
      </w:pPr>
      <w:rPr>
        <w:rFonts w:ascii="Courier New" w:hAnsi="Courier New" w:hint="default"/>
      </w:rPr>
    </w:lvl>
    <w:lvl w:ilvl="8" w:tplc="14E4BEF0">
      <w:start w:val="1"/>
      <w:numFmt w:val="bullet"/>
      <w:lvlText w:val=""/>
      <w:lvlJc w:val="left"/>
      <w:pPr>
        <w:ind w:left="6480" w:hanging="360"/>
      </w:pPr>
      <w:rPr>
        <w:rFonts w:ascii="Wingdings" w:hAnsi="Wingdings" w:hint="default"/>
      </w:rPr>
    </w:lvl>
  </w:abstractNum>
  <w:abstractNum w:abstractNumId="461" w15:restartNumberingAfterBreak="0">
    <w:nsid w:val="4105E4F2"/>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462" w15:restartNumberingAfterBreak="0">
    <w:nsid w:val="41192062"/>
    <w:multiLevelType w:val="hybridMultilevel"/>
    <w:tmpl w:val="FFFFFFFF"/>
    <w:lvl w:ilvl="0" w:tplc="F9BE7A08">
      <w:start w:val="1"/>
      <w:numFmt w:val="bullet"/>
      <w:lvlText w:val=""/>
      <w:lvlJc w:val="left"/>
      <w:pPr>
        <w:ind w:left="720" w:hanging="360"/>
      </w:pPr>
      <w:rPr>
        <w:rFonts w:ascii="Symbol" w:hAnsi="Symbol" w:hint="default"/>
      </w:rPr>
    </w:lvl>
    <w:lvl w:ilvl="1" w:tplc="13502A14">
      <w:start w:val="1"/>
      <w:numFmt w:val="bullet"/>
      <w:lvlText w:val="o"/>
      <w:lvlJc w:val="left"/>
      <w:pPr>
        <w:ind w:left="1267" w:hanging="360"/>
      </w:pPr>
      <w:rPr>
        <w:rFonts w:ascii="Courier New" w:hAnsi="Courier New" w:hint="default"/>
      </w:rPr>
    </w:lvl>
    <w:lvl w:ilvl="2" w:tplc="B704BA0E">
      <w:start w:val="1"/>
      <w:numFmt w:val="bullet"/>
      <w:lvlText w:val=""/>
      <w:lvlJc w:val="left"/>
      <w:pPr>
        <w:ind w:left="1987" w:hanging="360"/>
      </w:pPr>
      <w:rPr>
        <w:rFonts w:ascii="Wingdings" w:hAnsi="Wingdings" w:hint="default"/>
      </w:rPr>
    </w:lvl>
    <w:lvl w:ilvl="3" w:tplc="615A4BD2">
      <w:start w:val="1"/>
      <w:numFmt w:val="bullet"/>
      <w:lvlText w:val=""/>
      <w:lvlJc w:val="left"/>
      <w:pPr>
        <w:ind w:left="2707" w:hanging="360"/>
      </w:pPr>
      <w:rPr>
        <w:rFonts w:ascii="Symbol" w:hAnsi="Symbol" w:hint="default"/>
      </w:rPr>
    </w:lvl>
    <w:lvl w:ilvl="4" w:tplc="1A9E8CDA">
      <w:start w:val="1"/>
      <w:numFmt w:val="bullet"/>
      <w:lvlText w:val="o"/>
      <w:lvlJc w:val="left"/>
      <w:pPr>
        <w:ind w:left="3427" w:hanging="360"/>
      </w:pPr>
      <w:rPr>
        <w:rFonts w:ascii="Courier New" w:hAnsi="Courier New" w:hint="default"/>
      </w:rPr>
    </w:lvl>
    <w:lvl w:ilvl="5" w:tplc="2362EA86">
      <w:start w:val="1"/>
      <w:numFmt w:val="bullet"/>
      <w:lvlText w:val=""/>
      <w:lvlJc w:val="left"/>
      <w:pPr>
        <w:ind w:left="4147" w:hanging="360"/>
      </w:pPr>
      <w:rPr>
        <w:rFonts w:ascii="Wingdings" w:hAnsi="Wingdings" w:hint="default"/>
      </w:rPr>
    </w:lvl>
    <w:lvl w:ilvl="6" w:tplc="D570AE5E">
      <w:start w:val="1"/>
      <w:numFmt w:val="bullet"/>
      <w:lvlText w:val=""/>
      <w:lvlJc w:val="left"/>
      <w:pPr>
        <w:ind w:left="4867" w:hanging="360"/>
      </w:pPr>
      <w:rPr>
        <w:rFonts w:ascii="Symbol" w:hAnsi="Symbol" w:hint="default"/>
      </w:rPr>
    </w:lvl>
    <w:lvl w:ilvl="7" w:tplc="CDD63BB4">
      <w:start w:val="1"/>
      <w:numFmt w:val="bullet"/>
      <w:lvlText w:val="o"/>
      <w:lvlJc w:val="left"/>
      <w:pPr>
        <w:ind w:left="5587" w:hanging="360"/>
      </w:pPr>
      <w:rPr>
        <w:rFonts w:ascii="Courier New" w:hAnsi="Courier New" w:hint="default"/>
      </w:rPr>
    </w:lvl>
    <w:lvl w:ilvl="8" w:tplc="FC084234">
      <w:start w:val="1"/>
      <w:numFmt w:val="bullet"/>
      <w:lvlText w:val=""/>
      <w:lvlJc w:val="left"/>
      <w:pPr>
        <w:ind w:left="6307" w:hanging="360"/>
      </w:pPr>
      <w:rPr>
        <w:rFonts w:ascii="Wingdings" w:hAnsi="Wingdings" w:hint="default"/>
      </w:rPr>
    </w:lvl>
  </w:abstractNum>
  <w:abstractNum w:abstractNumId="463" w15:restartNumberingAfterBreak="0">
    <w:nsid w:val="413605EF"/>
    <w:multiLevelType w:val="multilevel"/>
    <w:tmpl w:val="88FC9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4" w15:restartNumberingAfterBreak="0">
    <w:nsid w:val="414815EC"/>
    <w:multiLevelType w:val="hybridMultilevel"/>
    <w:tmpl w:val="4488AC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5" w15:restartNumberingAfterBreak="0">
    <w:nsid w:val="414FFA40"/>
    <w:multiLevelType w:val="hybridMultilevel"/>
    <w:tmpl w:val="B742F6C6"/>
    <w:lvl w:ilvl="0" w:tplc="C8CA9D74">
      <w:start w:val="1"/>
      <w:numFmt w:val="bullet"/>
      <w:lvlText w:val=""/>
      <w:lvlJc w:val="left"/>
      <w:pPr>
        <w:ind w:left="720" w:hanging="360"/>
      </w:pPr>
      <w:rPr>
        <w:rFonts w:ascii="Symbol" w:hAnsi="Symbol" w:hint="default"/>
      </w:rPr>
    </w:lvl>
    <w:lvl w:ilvl="1" w:tplc="F36C3486">
      <w:start w:val="1"/>
      <w:numFmt w:val="bullet"/>
      <w:lvlText w:val="o"/>
      <w:lvlJc w:val="left"/>
      <w:pPr>
        <w:ind w:left="1440" w:hanging="360"/>
      </w:pPr>
      <w:rPr>
        <w:rFonts w:ascii="Courier New" w:hAnsi="Courier New" w:hint="default"/>
      </w:rPr>
    </w:lvl>
    <w:lvl w:ilvl="2" w:tplc="62E8D8AA">
      <w:start w:val="1"/>
      <w:numFmt w:val="bullet"/>
      <w:lvlText w:val=""/>
      <w:lvlJc w:val="left"/>
      <w:pPr>
        <w:ind w:left="2160" w:hanging="360"/>
      </w:pPr>
      <w:rPr>
        <w:rFonts w:ascii="Wingdings" w:hAnsi="Wingdings" w:hint="default"/>
      </w:rPr>
    </w:lvl>
    <w:lvl w:ilvl="3" w:tplc="AD08B860">
      <w:start w:val="1"/>
      <w:numFmt w:val="bullet"/>
      <w:lvlText w:val=""/>
      <w:lvlJc w:val="left"/>
      <w:pPr>
        <w:ind w:left="2880" w:hanging="360"/>
      </w:pPr>
      <w:rPr>
        <w:rFonts w:ascii="Symbol" w:hAnsi="Symbol" w:hint="default"/>
      </w:rPr>
    </w:lvl>
    <w:lvl w:ilvl="4" w:tplc="B4CEDB46">
      <w:start w:val="1"/>
      <w:numFmt w:val="bullet"/>
      <w:lvlText w:val="o"/>
      <w:lvlJc w:val="left"/>
      <w:pPr>
        <w:ind w:left="3600" w:hanging="360"/>
      </w:pPr>
      <w:rPr>
        <w:rFonts w:ascii="Courier New" w:hAnsi="Courier New" w:hint="default"/>
      </w:rPr>
    </w:lvl>
    <w:lvl w:ilvl="5" w:tplc="C3BEDABE">
      <w:start w:val="1"/>
      <w:numFmt w:val="bullet"/>
      <w:lvlText w:val=""/>
      <w:lvlJc w:val="left"/>
      <w:pPr>
        <w:ind w:left="4320" w:hanging="360"/>
      </w:pPr>
      <w:rPr>
        <w:rFonts w:ascii="Wingdings" w:hAnsi="Wingdings" w:hint="default"/>
      </w:rPr>
    </w:lvl>
    <w:lvl w:ilvl="6" w:tplc="5BBEEC16">
      <w:start w:val="1"/>
      <w:numFmt w:val="bullet"/>
      <w:lvlText w:val=""/>
      <w:lvlJc w:val="left"/>
      <w:pPr>
        <w:ind w:left="5040" w:hanging="360"/>
      </w:pPr>
      <w:rPr>
        <w:rFonts w:ascii="Symbol" w:hAnsi="Symbol" w:hint="default"/>
      </w:rPr>
    </w:lvl>
    <w:lvl w:ilvl="7" w:tplc="C11E2910">
      <w:start w:val="1"/>
      <w:numFmt w:val="bullet"/>
      <w:lvlText w:val="o"/>
      <w:lvlJc w:val="left"/>
      <w:pPr>
        <w:ind w:left="5760" w:hanging="360"/>
      </w:pPr>
      <w:rPr>
        <w:rFonts w:ascii="Courier New" w:hAnsi="Courier New" w:hint="default"/>
      </w:rPr>
    </w:lvl>
    <w:lvl w:ilvl="8" w:tplc="D640E782">
      <w:start w:val="1"/>
      <w:numFmt w:val="bullet"/>
      <w:lvlText w:val=""/>
      <w:lvlJc w:val="left"/>
      <w:pPr>
        <w:ind w:left="6480" w:hanging="360"/>
      </w:pPr>
      <w:rPr>
        <w:rFonts w:ascii="Wingdings" w:hAnsi="Wingdings" w:hint="default"/>
      </w:rPr>
    </w:lvl>
  </w:abstractNum>
  <w:abstractNum w:abstractNumId="466" w15:restartNumberingAfterBreak="0">
    <w:nsid w:val="41604D15"/>
    <w:multiLevelType w:val="multilevel"/>
    <w:tmpl w:val="B3509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7" w15:restartNumberingAfterBreak="0">
    <w:nsid w:val="41675A01"/>
    <w:multiLevelType w:val="multilevel"/>
    <w:tmpl w:val="29D64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8" w15:restartNumberingAfterBreak="0">
    <w:nsid w:val="416DFBCD"/>
    <w:multiLevelType w:val="multilevel"/>
    <w:tmpl w:val="74927B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9" w15:restartNumberingAfterBreak="0">
    <w:nsid w:val="41D83385"/>
    <w:multiLevelType w:val="hybridMultilevel"/>
    <w:tmpl w:val="5830B2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0" w15:restartNumberingAfterBreak="0">
    <w:nsid w:val="421F6544"/>
    <w:multiLevelType w:val="multilevel"/>
    <w:tmpl w:val="5D201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1" w15:restartNumberingAfterBreak="0">
    <w:nsid w:val="4244791D"/>
    <w:multiLevelType w:val="multilevel"/>
    <w:tmpl w:val="5CCC82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2" w15:restartNumberingAfterBreak="0">
    <w:nsid w:val="427965B0"/>
    <w:multiLevelType w:val="hybridMultilevel"/>
    <w:tmpl w:val="8D50CD48"/>
    <w:lvl w:ilvl="0" w:tplc="0F2434A2">
      <w:numFmt w:val="bullet"/>
      <w:lvlText w:val="•"/>
      <w:lvlJc w:val="left"/>
      <w:pPr>
        <w:ind w:left="547" w:hanging="360"/>
      </w:pPr>
      <w:rPr>
        <w:rFonts w:ascii="Calibri" w:eastAsia="Times New Roman" w:hAnsi="Calibri" w:cs="Calibri" w:hint="default"/>
      </w:rPr>
    </w:lvl>
    <w:lvl w:ilvl="1" w:tplc="040C0003" w:tentative="1">
      <w:start w:val="1"/>
      <w:numFmt w:val="bullet"/>
      <w:lvlText w:val="o"/>
      <w:lvlJc w:val="left"/>
      <w:pPr>
        <w:ind w:left="1267" w:hanging="360"/>
      </w:pPr>
      <w:rPr>
        <w:rFonts w:ascii="Courier New" w:hAnsi="Courier New" w:cs="Courier New" w:hint="default"/>
      </w:rPr>
    </w:lvl>
    <w:lvl w:ilvl="2" w:tplc="040C0005" w:tentative="1">
      <w:start w:val="1"/>
      <w:numFmt w:val="bullet"/>
      <w:lvlText w:val=""/>
      <w:lvlJc w:val="left"/>
      <w:pPr>
        <w:ind w:left="1987" w:hanging="360"/>
      </w:pPr>
      <w:rPr>
        <w:rFonts w:ascii="Wingdings" w:hAnsi="Wingdings" w:hint="default"/>
      </w:rPr>
    </w:lvl>
    <w:lvl w:ilvl="3" w:tplc="040C0001" w:tentative="1">
      <w:start w:val="1"/>
      <w:numFmt w:val="bullet"/>
      <w:lvlText w:val=""/>
      <w:lvlJc w:val="left"/>
      <w:pPr>
        <w:ind w:left="2707" w:hanging="360"/>
      </w:pPr>
      <w:rPr>
        <w:rFonts w:ascii="Symbol" w:hAnsi="Symbol" w:hint="default"/>
      </w:rPr>
    </w:lvl>
    <w:lvl w:ilvl="4" w:tplc="040C0003" w:tentative="1">
      <w:start w:val="1"/>
      <w:numFmt w:val="bullet"/>
      <w:lvlText w:val="o"/>
      <w:lvlJc w:val="left"/>
      <w:pPr>
        <w:ind w:left="3427" w:hanging="360"/>
      </w:pPr>
      <w:rPr>
        <w:rFonts w:ascii="Courier New" w:hAnsi="Courier New" w:cs="Courier New" w:hint="default"/>
      </w:rPr>
    </w:lvl>
    <w:lvl w:ilvl="5" w:tplc="040C0005" w:tentative="1">
      <w:start w:val="1"/>
      <w:numFmt w:val="bullet"/>
      <w:lvlText w:val=""/>
      <w:lvlJc w:val="left"/>
      <w:pPr>
        <w:ind w:left="4147" w:hanging="360"/>
      </w:pPr>
      <w:rPr>
        <w:rFonts w:ascii="Wingdings" w:hAnsi="Wingdings" w:hint="default"/>
      </w:rPr>
    </w:lvl>
    <w:lvl w:ilvl="6" w:tplc="040C0001" w:tentative="1">
      <w:start w:val="1"/>
      <w:numFmt w:val="bullet"/>
      <w:lvlText w:val=""/>
      <w:lvlJc w:val="left"/>
      <w:pPr>
        <w:ind w:left="4867" w:hanging="360"/>
      </w:pPr>
      <w:rPr>
        <w:rFonts w:ascii="Symbol" w:hAnsi="Symbol" w:hint="default"/>
      </w:rPr>
    </w:lvl>
    <w:lvl w:ilvl="7" w:tplc="040C0003" w:tentative="1">
      <w:start w:val="1"/>
      <w:numFmt w:val="bullet"/>
      <w:lvlText w:val="o"/>
      <w:lvlJc w:val="left"/>
      <w:pPr>
        <w:ind w:left="5587" w:hanging="360"/>
      </w:pPr>
      <w:rPr>
        <w:rFonts w:ascii="Courier New" w:hAnsi="Courier New" w:cs="Courier New" w:hint="default"/>
      </w:rPr>
    </w:lvl>
    <w:lvl w:ilvl="8" w:tplc="040C0005" w:tentative="1">
      <w:start w:val="1"/>
      <w:numFmt w:val="bullet"/>
      <w:lvlText w:val=""/>
      <w:lvlJc w:val="left"/>
      <w:pPr>
        <w:ind w:left="6307" w:hanging="360"/>
      </w:pPr>
      <w:rPr>
        <w:rFonts w:ascii="Wingdings" w:hAnsi="Wingdings" w:hint="default"/>
      </w:rPr>
    </w:lvl>
  </w:abstractNum>
  <w:abstractNum w:abstractNumId="473" w15:restartNumberingAfterBreak="0">
    <w:nsid w:val="42C07BF3"/>
    <w:multiLevelType w:val="hybridMultilevel"/>
    <w:tmpl w:val="F566EBE2"/>
    <w:lvl w:ilvl="0" w:tplc="E5101DA6">
      <w:start w:val="1"/>
      <w:numFmt w:val="bullet"/>
      <w:lvlText w:val=""/>
      <w:lvlJc w:val="left"/>
      <w:pPr>
        <w:ind w:left="720" w:hanging="360"/>
      </w:pPr>
      <w:rPr>
        <w:rFonts w:ascii="Symbol" w:hAnsi="Symbol" w:hint="default"/>
      </w:rPr>
    </w:lvl>
    <w:lvl w:ilvl="1" w:tplc="BD6A21B2">
      <w:start w:val="1"/>
      <w:numFmt w:val="bullet"/>
      <w:lvlText w:val="o"/>
      <w:lvlJc w:val="left"/>
      <w:pPr>
        <w:ind w:left="1440" w:hanging="360"/>
      </w:pPr>
      <w:rPr>
        <w:rFonts w:ascii="Courier New" w:hAnsi="Courier New" w:hint="default"/>
      </w:rPr>
    </w:lvl>
    <w:lvl w:ilvl="2" w:tplc="EB86065E">
      <w:start w:val="1"/>
      <w:numFmt w:val="bullet"/>
      <w:lvlText w:val=""/>
      <w:lvlJc w:val="left"/>
      <w:pPr>
        <w:ind w:left="2160" w:hanging="360"/>
      </w:pPr>
      <w:rPr>
        <w:rFonts w:ascii="Wingdings" w:hAnsi="Wingdings" w:hint="default"/>
      </w:rPr>
    </w:lvl>
    <w:lvl w:ilvl="3" w:tplc="BFD6F014">
      <w:start w:val="1"/>
      <w:numFmt w:val="bullet"/>
      <w:lvlText w:val=""/>
      <w:lvlJc w:val="left"/>
      <w:pPr>
        <w:ind w:left="2880" w:hanging="360"/>
      </w:pPr>
      <w:rPr>
        <w:rFonts w:ascii="Symbol" w:hAnsi="Symbol" w:hint="default"/>
      </w:rPr>
    </w:lvl>
    <w:lvl w:ilvl="4" w:tplc="BAE8E34A">
      <w:start w:val="1"/>
      <w:numFmt w:val="bullet"/>
      <w:lvlText w:val="o"/>
      <w:lvlJc w:val="left"/>
      <w:pPr>
        <w:ind w:left="3600" w:hanging="360"/>
      </w:pPr>
      <w:rPr>
        <w:rFonts w:ascii="Courier New" w:hAnsi="Courier New" w:hint="default"/>
      </w:rPr>
    </w:lvl>
    <w:lvl w:ilvl="5" w:tplc="3F8089C2">
      <w:start w:val="1"/>
      <w:numFmt w:val="bullet"/>
      <w:lvlText w:val=""/>
      <w:lvlJc w:val="left"/>
      <w:pPr>
        <w:ind w:left="4320" w:hanging="360"/>
      </w:pPr>
      <w:rPr>
        <w:rFonts w:ascii="Wingdings" w:hAnsi="Wingdings" w:hint="default"/>
      </w:rPr>
    </w:lvl>
    <w:lvl w:ilvl="6" w:tplc="48347ABE">
      <w:start w:val="1"/>
      <w:numFmt w:val="bullet"/>
      <w:lvlText w:val=""/>
      <w:lvlJc w:val="left"/>
      <w:pPr>
        <w:ind w:left="5040" w:hanging="360"/>
      </w:pPr>
      <w:rPr>
        <w:rFonts w:ascii="Symbol" w:hAnsi="Symbol" w:hint="default"/>
      </w:rPr>
    </w:lvl>
    <w:lvl w:ilvl="7" w:tplc="5022BFEA">
      <w:start w:val="1"/>
      <w:numFmt w:val="bullet"/>
      <w:lvlText w:val="o"/>
      <w:lvlJc w:val="left"/>
      <w:pPr>
        <w:ind w:left="5760" w:hanging="360"/>
      </w:pPr>
      <w:rPr>
        <w:rFonts w:ascii="Courier New" w:hAnsi="Courier New" w:hint="default"/>
      </w:rPr>
    </w:lvl>
    <w:lvl w:ilvl="8" w:tplc="0E3442B0">
      <w:start w:val="1"/>
      <w:numFmt w:val="bullet"/>
      <w:lvlText w:val=""/>
      <w:lvlJc w:val="left"/>
      <w:pPr>
        <w:ind w:left="6480" w:hanging="360"/>
      </w:pPr>
      <w:rPr>
        <w:rFonts w:ascii="Wingdings" w:hAnsi="Wingdings" w:hint="default"/>
      </w:rPr>
    </w:lvl>
  </w:abstractNum>
  <w:abstractNum w:abstractNumId="474" w15:restartNumberingAfterBreak="0">
    <w:nsid w:val="42C75BE0"/>
    <w:multiLevelType w:val="multilevel"/>
    <w:tmpl w:val="7AEE87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5" w15:restartNumberingAfterBreak="0">
    <w:nsid w:val="42ED46D0"/>
    <w:multiLevelType w:val="multilevel"/>
    <w:tmpl w:val="D99AA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6" w15:restartNumberingAfterBreak="0">
    <w:nsid w:val="433D4A92"/>
    <w:multiLevelType w:val="multilevel"/>
    <w:tmpl w:val="0F860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7" w15:restartNumberingAfterBreak="0">
    <w:nsid w:val="43B81EB3"/>
    <w:multiLevelType w:val="hybridMultilevel"/>
    <w:tmpl w:val="A8461BF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8" w15:restartNumberingAfterBreak="0">
    <w:nsid w:val="43CD5839"/>
    <w:multiLevelType w:val="multilevel"/>
    <w:tmpl w:val="A3A4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9" w15:restartNumberingAfterBreak="0">
    <w:nsid w:val="44314A79"/>
    <w:multiLevelType w:val="multilevel"/>
    <w:tmpl w:val="A030FEAE"/>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80" w15:restartNumberingAfterBreak="0">
    <w:nsid w:val="444D7EC4"/>
    <w:multiLevelType w:val="multilevel"/>
    <w:tmpl w:val="EFA4F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1" w15:restartNumberingAfterBreak="0">
    <w:nsid w:val="445A23A8"/>
    <w:multiLevelType w:val="hybridMultilevel"/>
    <w:tmpl w:val="7EC61838"/>
    <w:lvl w:ilvl="0" w:tplc="7F4644BE">
      <w:start w:val="1"/>
      <w:numFmt w:val="bullet"/>
      <w:lvlText w:val=""/>
      <w:lvlJc w:val="left"/>
      <w:pPr>
        <w:ind w:left="547" w:hanging="360"/>
      </w:pPr>
      <w:rPr>
        <w:rFonts w:ascii="Symbol" w:hAnsi="Symbol" w:hint="default"/>
      </w:rPr>
    </w:lvl>
    <w:lvl w:ilvl="1" w:tplc="92E00EAC">
      <w:start w:val="1"/>
      <w:numFmt w:val="bullet"/>
      <w:lvlText w:val="o"/>
      <w:lvlJc w:val="left"/>
      <w:pPr>
        <w:ind w:left="1267" w:hanging="360"/>
      </w:pPr>
      <w:rPr>
        <w:rFonts w:ascii="Courier New" w:hAnsi="Courier New" w:hint="default"/>
      </w:rPr>
    </w:lvl>
    <w:lvl w:ilvl="2" w:tplc="5BAE9B38">
      <w:start w:val="1"/>
      <w:numFmt w:val="bullet"/>
      <w:lvlText w:val=""/>
      <w:lvlJc w:val="left"/>
      <w:pPr>
        <w:ind w:left="1987" w:hanging="360"/>
      </w:pPr>
      <w:rPr>
        <w:rFonts w:ascii="Wingdings" w:hAnsi="Wingdings" w:hint="default"/>
      </w:rPr>
    </w:lvl>
    <w:lvl w:ilvl="3" w:tplc="58566362">
      <w:start w:val="1"/>
      <w:numFmt w:val="bullet"/>
      <w:lvlText w:val=""/>
      <w:lvlJc w:val="left"/>
      <w:pPr>
        <w:ind w:left="2707" w:hanging="360"/>
      </w:pPr>
      <w:rPr>
        <w:rFonts w:ascii="Symbol" w:hAnsi="Symbol" w:hint="default"/>
      </w:rPr>
    </w:lvl>
    <w:lvl w:ilvl="4" w:tplc="0248CACC">
      <w:start w:val="1"/>
      <w:numFmt w:val="bullet"/>
      <w:lvlText w:val="o"/>
      <w:lvlJc w:val="left"/>
      <w:pPr>
        <w:ind w:left="3427" w:hanging="360"/>
      </w:pPr>
      <w:rPr>
        <w:rFonts w:ascii="Courier New" w:hAnsi="Courier New" w:hint="default"/>
      </w:rPr>
    </w:lvl>
    <w:lvl w:ilvl="5" w:tplc="99B2C826">
      <w:start w:val="1"/>
      <w:numFmt w:val="bullet"/>
      <w:lvlText w:val=""/>
      <w:lvlJc w:val="left"/>
      <w:pPr>
        <w:ind w:left="4147" w:hanging="360"/>
      </w:pPr>
      <w:rPr>
        <w:rFonts w:ascii="Wingdings" w:hAnsi="Wingdings" w:hint="default"/>
      </w:rPr>
    </w:lvl>
    <w:lvl w:ilvl="6" w:tplc="D4A6A488">
      <w:start w:val="1"/>
      <w:numFmt w:val="bullet"/>
      <w:lvlText w:val=""/>
      <w:lvlJc w:val="left"/>
      <w:pPr>
        <w:ind w:left="4867" w:hanging="360"/>
      </w:pPr>
      <w:rPr>
        <w:rFonts w:ascii="Symbol" w:hAnsi="Symbol" w:hint="default"/>
      </w:rPr>
    </w:lvl>
    <w:lvl w:ilvl="7" w:tplc="A614F712">
      <w:start w:val="1"/>
      <w:numFmt w:val="bullet"/>
      <w:lvlText w:val="o"/>
      <w:lvlJc w:val="left"/>
      <w:pPr>
        <w:ind w:left="5587" w:hanging="360"/>
      </w:pPr>
      <w:rPr>
        <w:rFonts w:ascii="Courier New" w:hAnsi="Courier New" w:hint="default"/>
      </w:rPr>
    </w:lvl>
    <w:lvl w:ilvl="8" w:tplc="2978459E">
      <w:start w:val="1"/>
      <w:numFmt w:val="bullet"/>
      <w:lvlText w:val=""/>
      <w:lvlJc w:val="left"/>
      <w:pPr>
        <w:ind w:left="6307" w:hanging="360"/>
      </w:pPr>
      <w:rPr>
        <w:rFonts w:ascii="Wingdings" w:hAnsi="Wingdings" w:hint="default"/>
      </w:rPr>
    </w:lvl>
  </w:abstractNum>
  <w:abstractNum w:abstractNumId="482" w15:restartNumberingAfterBreak="0">
    <w:nsid w:val="448C6876"/>
    <w:multiLevelType w:val="multilevel"/>
    <w:tmpl w:val="68B6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3" w15:restartNumberingAfterBreak="0">
    <w:nsid w:val="449F44A2"/>
    <w:multiLevelType w:val="multilevel"/>
    <w:tmpl w:val="9A203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4" w15:restartNumberingAfterBreak="0">
    <w:nsid w:val="44C2112B"/>
    <w:multiLevelType w:val="multilevel"/>
    <w:tmpl w:val="B81EDF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5" w15:restartNumberingAfterBreak="0">
    <w:nsid w:val="44F61354"/>
    <w:multiLevelType w:val="hybridMultilevel"/>
    <w:tmpl w:val="9A0682DA"/>
    <w:lvl w:ilvl="0" w:tplc="4696535E">
      <w:start w:val="1"/>
      <w:numFmt w:val="bullet"/>
      <w:lvlText w:val=""/>
      <w:lvlJc w:val="left"/>
      <w:pPr>
        <w:ind w:left="720" w:hanging="360"/>
      </w:pPr>
      <w:rPr>
        <w:rFonts w:ascii="Symbol" w:hAnsi="Symbol" w:hint="default"/>
      </w:rPr>
    </w:lvl>
    <w:lvl w:ilvl="1" w:tplc="94AACB24">
      <w:start w:val="1"/>
      <w:numFmt w:val="bullet"/>
      <w:lvlText w:val="o"/>
      <w:lvlJc w:val="left"/>
      <w:pPr>
        <w:ind w:left="1440" w:hanging="360"/>
      </w:pPr>
      <w:rPr>
        <w:rFonts w:ascii="Courier New" w:hAnsi="Courier New" w:hint="default"/>
      </w:rPr>
    </w:lvl>
    <w:lvl w:ilvl="2" w:tplc="AC106A78">
      <w:start w:val="1"/>
      <w:numFmt w:val="bullet"/>
      <w:lvlText w:val=""/>
      <w:lvlJc w:val="left"/>
      <w:pPr>
        <w:ind w:left="2160" w:hanging="360"/>
      </w:pPr>
      <w:rPr>
        <w:rFonts w:ascii="Wingdings" w:hAnsi="Wingdings" w:hint="default"/>
      </w:rPr>
    </w:lvl>
    <w:lvl w:ilvl="3" w:tplc="F4CE26B0">
      <w:start w:val="1"/>
      <w:numFmt w:val="bullet"/>
      <w:lvlText w:val=""/>
      <w:lvlJc w:val="left"/>
      <w:pPr>
        <w:ind w:left="2880" w:hanging="360"/>
      </w:pPr>
      <w:rPr>
        <w:rFonts w:ascii="Symbol" w:hAnsi="Symbol" w:hint="default"/>
      </w:rPr>
    </w:lvl>
    <w:lvl w:ilvl="4" w:tplc="99A85808">
      <w:start w:val="1"/>
      <w:numFmt w:val="bullet"/>
      <w:lvlText w:val="o"/>
      <w:lvlJc w:val="left"/>
      <w:pPr>
        <w:ind w:left="3600" w:hanging="360"/>
      </w:pPr>
      <w:rPr>
        <w:rFonts w:ascii="Courier New" w:hAnsi="Courier New" w:hint="default"/>
      </w:rPr>
    </w:lvl>
    <w:lvl w:ilvl="5" w:tplc="838064A6">
      <w:start w:val="1"/>
      <w:numFmt w:val="bullet"/>
      <w:lvlText w:val=""/>
      <w:lvlJc w:val="left"/>
      <w:pPr>
        <w:ind w:left="4320" w:hanging="360"/>
      </w:pPr>
      <w:rPr>
        <w:rFonts w:ascii="Wingdings" w:hAnsi="Wingdings" w:hint="default"/>
      </w:rPr>
    </w:lvl>
    <w:lvl w:ilvl="6" w:tplc="C8CAA0A6">
      <w:start w:val="1"/>
      <w:numFmt w:val="bullet"/>
      <w:lvlText w:val=""/>
      <w:lvlJc w:val="left"/>
      <w:pPr>
        <w:ind w:left="5040" w:hanging="360"/>
      </w:pPr>
      <w:rPr>
        <w:rFonts w:ascii="Symbol" w:hAnsi="Symbol" w:hint="default"/>
      </w:rPr>
    </w:lvl>
    <w:lvl w:ilvl="7" w:tplc="86C83D52">
      <w:start w:val="1"/>
      <w:numFmt w:val="bullet"/>
      <w:lvlText w:val="o"/>
      <w:lvlJc w:val="left"/>
      <w:pPr>
        <w:ind w:left="5760" w:hanging="360"/>
      </w:pPr>
      <w:rPr>
        <w:rFonts w:ascii="Courier New" w:hAnsi="Courier New" w:hint="default"/>
      </w:rPr>
    </w:lvl>
    <w:lvl w:ilvl="8" w:tplc="012C60C4">
      <w:start w:val="1"/>
      <w:numFmt w:val="bullet"/>
      <w:lvlText w:val=""/>
      <w:lvlJc w:val="left"/>
      <w:pPr>
        <w:ind w:left="6480" w:hanging="360"/>
      </w:pPr>
      <w:rPr>
        <w:rFonts w:ascii="Wingdings" w:hAnsi="Wingdings" w:hint="default"/>
      </w:rPr>
    </w:lvl>
  </w:abstractNum>
  <w:abstractNum w:abstractNumId="486" w15:restartNumberingAfterBreak="0">
    <w:nsid w:val="44F82704"/>
    <w:multiLevelType w:val="multilevel"/>
    <w:tmpl w:val="DF94C8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7" w15:restartNumberingAfterBreak="0">
    <w:nsid w:val="45080169"/>
    <w:multiLevelType w:val="multilevel"/>
    <w:tmpl w:val="9424BD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8" w15:restartNumberingAfterBreak="0">
    <w:nsid w:val="457E61AF"/>
    <w:multiLevelType w:val="hybridMultilevel"/>
    <w:tmpl w:val="FFFFFFFF"/>
    <w:lvl w:ilvl="0" w:tplc="FF20218E">
      <w:start w:val="1"/>
      <w:numFmt w:val="bullet"/>
      <w:lvlText w:val=""/>
      <w:lvlJc w:val="left"/>
      <w:pPr>
        <w:ind w:left="547" w:hanging="360"/>
      </w:pPr>
      <w:rPr>
        <w:rFonts w:ascii="Symbol" w:hAnsi="Symbol" w:hint="default"/>
      </w:rPr>
    </w:lvl>
    <w:lvl w:ilvl="1" w:tplc="A280A934">
      <w:start w:val="1"/>
      <w:numFmt w:val="bullet"/>
      <w:lvlText w:val="o"/>
      <w:lvlJc w:val="left"/>
      <w:pPr>
        <w:ind w:left="1267" w:hanging="360"/>
      </w:pPr>
      <w:rPr>
        <w:rFonts w:ascii="Courier New" w:hAnsi="Courier New" w:hint="default"/>
      </w:rPr>
    </w:lvl>
    <w:lvl w:ilvl="2" w:tplc="B5FAA61C">
      <w:start w:val="1"/>
      <w:numFmt w:val="bullet"/>
      <w:lvlText w:val=""/>
      <w:lvlJc w:val="left"/>
      <w:pPr>
        <w:ind w:left="1987" w:hanging="360"/>
      </w:pPr>
      <w:rPr>
        <w:rFonts w:ascii="Wingdings" w:hAnsi="Wingdings" w:hint="default"/>
      </w:rPr>
    </w:lvl>
    <w:lvl w:ilvl="3" w:tplc="F8267E4C">
      <w:start w:val="1"/>
      <w:numFmt w:val="bullet"/>
      <w:lvlText w:val=""/>
      <w:lvlJc w:val="left"/>
      <w:pPr>
        <w:ind w:left="2707" w:hanging="360"/>
      </w:pPr>
      <w:rPr>
        <w:rFonts w:ascii="Symbol" w:hAnsi="Symbol" w:hint="default"/>
      </w:rPr>
    </w:lvl>
    <w:lvl w:ilvl="4" w:tplc="BA0265C0">
      <w:start w:val="1"/>
      <w:numFmt w:val="bullet"/>
      <w:lvlText w:val="o"/>
      <w:lvlJc w:val="left"/>
      <w:pPr>
        <w:ind w:left="3427" w:hanging="360"/>
      </w:pPr>
      <w:rPr>
        <w:rFonts w:ascii="Courier New" w:hAnsi="Courier New" w:hint="default"/>
      </w:rPr>
    </w:lvl>
    <w:lvl w:ilvl="5" w:tplc="0BDEB296">
      <w:start w:val="1"/>
      <w:numFmt w:val="bullet"/>
      <w:lvlText w:val=""/>
      <w:lvlJc w:val="left"/>
      <w:pPr>
        <w:ind w:left="4147" w:hanging="360"/>
      </w:pPr>
      <w:rPr>
        <w:rFonts w:ascii="Wingdings" w:hAnsi="Wingdings" w:hint="default"/>
      </w:rPr>
    </w:lvl>
    <w:lvl w:ilvl="6" w:tplc="A98CEA04">
      <w:start w:val="1"/>
      <w:numFmt w:val="bullet"/>
      <w:lvlText w:val=""/>
      <w:lvlJc w:val="left"/>
      <w:pPr>
        <w:ind w:left="4867" w:hanging="360"/>
      </w:pPr>
      <w:rPr>
        <w:rFonts w:ascii="Symbol" w:hAnsi="Symbol" w:hint="default"/>
      </w:rPr>
    </w:lvl>
    <w:lvl w:ilvl="7" w:tplc="5CA82570">
      <w:start w:val="1"/>
      <w:numFmt w:val="bullet"/>
      <w:lvlText w:val="o"/>
      <w:lvlJc w:val="left"/>
      <w:pPr>
        <w:ind w:left="5587" w:hanging="360"/>
      </w:pPr>
      <w:rPr>
        <w:rFonts w:ascii="Courier New" w:hAnsi="Courier New" w:hint="default"/>
      </w:rPr>
    </w:lvl>
    <w:lvl w:ilvl="8" w:tplc="C242DBFC">
      <w:start w:val="1"/>
      <w:numFmt w:val="bullet"/>
      <w:lvlText w:val=""/>
      <w:lvlJc w:val="left"/>
      <w:pPr>
        <w:ind w:left="6307" w:hanging="360"/>
      </w:pPr>
      <w:rPr>
        <w:rFonts w:ascii="Wingdings" w:hAnsi="Wingdings" w:hint="default"/>
      </w:rPr>
    </w:lvl>
  </w:abstractNum>
  <w:abstractNum w:abstractNumId="489" w15:restartNumberingAfterBreak="0">
    <w:nsid w:val="4585D5A0"/>
    <w:multiLevelType w:val="hybridMultilevel"/>
    <w:tmpl w:val="A5924E02"/>
    <w:lvl w:ilvl="0" w:tplc="20469AD6">
      <w:start w:val="1"/>
      <w:numFmt w:val="decimal"/>
      <w:lvlText w:val="%1."/>
      <w:lvlJc w:val="left"/>
      <w:pPr>
        <w:ind w:left="720" w:hanging="360"/>
      </w:pPr>
    </w:lvl>
    <w:lvl w:ilvl="1" w:tplc="7F64ACD0">
      <w:start w:val="1"/>
      <w:numFmt w:val="lowerLetter"/>
      <w:lvlText w:val="%2."/>
      <w:lvlJc w:val="left"/>
      <w:pPr>
        <w:ind w:left="1440" w:hanging="360"/>
      </w:pPr>
    </w:lvl>
    <w:lvl w:ilvl="2" w:tplc="14460142">
      <w:start w:val="1"/>
      <w:numFmt w:val="lowerRoman"/>
      <w:lvlText w:val="%3."/>
      <w:lvlJc w:val="right"/>
      <w:pPr>
        <w:ind w:left="2160" w:hanging="180"/>
      </w:pPr>
    </w:lvl>
    <w:lvl w:ilvl="3" w:tplc="8EFE2612">
      <w:start w:val="1"/>
      <w:numFmt w:val="decimal"/>
      <w:lvlText w:val="%4."/>
      <w:lvlJc w:val="left"/>
      <w:pPr>
        <w:ind w:left="2880" w:hanging="360"/>
      </w:pPr>
    </w:lvl>
    <w:lvl w:ilvl="4" w:tplc="07D4D42A">
      <w:start w:val="1"/>
      <w:numFmt w:val="lowerLetter"/>
      <w:lvlText w:val="%5."/>
      <w:lvlJc w:val="left"/>
      <w:pPr>
        <w:ind w:left="3600" w:hanging="360"/>
      </w:pPr>
    </w:lvl>
    <w:lvl w:ilvl="5" w:tplc="EA24FF2C">
      <w:start w:val="1"/>
      <w:numFmt w:val="lowerRoman"/>
      <w:lvlText w:val="%6."/>
      <w:lvlJc w:val="right"/>
      <w:pPr>
        <w:ind w:left="4320" w:hanging="180"/>
      </w:pPr>
    </w:lvl>
    <w:lvl w:ilvl="6" w:tplc="FC9CA46A">
      <w:start w:val="1"/>
      <w:numFmt w:val="decimal"/>
      <w:lvlText w:val="%7."/>
      <w:lvlJc w:val="left"/>
      <w:pPr>
        <w:ind w:left="5040" w:hanging="360"/>
      </w:pPr>
    </w:lvl>
    <w:lvl w:ilvl="7" w:tplc="DE32C066">
      <w:start w:val="1"/>
      <w:numFmt w:val="lowerLetter"/>
      <w:lvlText w:val="%8."/>
      <w:lvlJc w:val="left"/>
      <w:pPr>
        <w:ind w:left="5760" w:hanging="360"/>
      </w:pPr>
    </w:lvl>
    <w:lvl w:ilvl="8" w:tplc="85F6C134">
      <w:start w:val="1"/>
      <w:numFmt w:val="lowerRoman"/>
      <w:lvlText w:val="%9."/>
      <w:lvlJc w:val="right"/>
      <w:pPr>
        <w:ind w:left="6480" w:hanging="180"/>
      </w:pPr>
    </w:lvl>
  </w:abstractNum>
  <w:abstractNum w:abstractNumId="490" w15:restartNumberingAfterBreak="0">
    <w:nsid w:val="4594417D"/>
    <w:multiLevelType w:val="hybridMultilevel"/>
    <w:tmpl w:val="2A485352"/>
    <w:lvl w:ilvl="0" w:tplc="E6FCE568">
      <w:start w:val="1"/>
      <w:numFmt w:val="lowerLetter"/>
      <w:lvlText w:val="%1."/>
      <w:lvlJc w:val="left"/>
      <w:pPr>
        <w:ind w:left="720" w:hanging="360"/>
      </w:pPr>
    </w:lvl>
    <w:lvl w:ilvl="1" w:tplc="5806758A">
      <w:start w:val="1"/>
      <w:numFmt w:val="lowerLetter"/>
      <w:lvlText w:val="%2."/>
      <w:lvlJc w:val="left"/>
      <w:pPr>
        <w:ind w:left="1440" w:hanging="360"/>
      </w:pPr>
    </w:lvl>
    <w:lvl w:ilvl="2" w:tplc="88D25B2C">
      <w:start w:val="1"/>
      <w:numFmt w:val="lowerRoman"/>
      <w:lvlText w:val="%3."/>
      <w:lvlJc w:val="right"/>
      <w:pPr>
        <w:ind w:left="2160" w:hanging="180"/>
      </w:pPr>
    </w:lvl>
    <w:lvl w:ilvl="3" w:tplc="1912188C">
      <w:start w:val="1"/>
      <w:numFmt w:val="decimal"/>
      <w:lvlText w:val="%4."/>
      <w:lvlJc w:val="left"/>
      <w:pPr>
        <w:ind w:left="2880" w:hanging="360"/>
      </w:pPr>
    </w:lvl>
    <w:lvl w:ilvl="4" w:tplc="F79241DC">
      <w:start w:val="1"/>
      <w:numFmt w:val="lowerLetter"/>
      <w:lvlText w:val="%5."/>
      <w:lvlJc w:val="left"/>
      <w:pPr>
        <w:ind w:left="3600" w:hanging="360"/>
      </w:pPr>
    </w:lvl>
    <w:lvl w:ilvl="5" w:tplc="FA145992">
      <w:start w:val="1"/>
      <w:numFmt w:val="lowerRoman"/>
      <w:lvlText w:val="%6."/>
      <w:lvlJc w:val="right"/>
      <w:pPr>
        <w:ind w:left="4320" w:hanging="180"/>
      </w:pPr>
    </w:lvl>
    <w:lvl w:ilvl="6" w:tplc="ACDE7230">
      <w:start w:val="1"/>
      <w:numFmt w:val="decimal"/>
      <w:lvlText w:val="%7."/>
      <w:lvlJc w:val="left"/>
      <w:pPr>
        <w:ind w:left="5040" w:hanging="360"/>
      </w:pPr>
    </w:lvl>
    <w:lvl w:ilvl="7" w:tplc="F5321212">
      <w:start w:val="1"/>
      <w:numFmt w:val="lowerLetter"/>
      <w:lvlText w:val="%8."/>
      <w:lvlJc w:val="left"/>
      <w:pPr>
        <w:ind w:left="5760" w:hanging="360"/>
      </w:pPr>
    </w:lvl>
    <w:lvl w:ilvl="8" w:tplc="8C26027A">
      <w:start w:val="1"/>
      <w:numFmt w:val="lowerRoman"/>
      <w:lvlText w:val="%9."/>
      <w:lvlJc w:val="right"/>
      <w:pPr>
        <w:ind w:left="6480" w:hanging="180"/>
      </w:pPr>
    </w:lvl>
  </w:abstractNum>
  <w:abstractNum w:abstractNumId="491" w15:restartNumberingAfterBreak="0">
    <w:nsid w:val="459B04A9"/>
    <w:multiLevelType w:val="multilevel"/>
    <w:tmpl w:val="F7004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2" w15:restartNumberingAfterBreak="0">
    <w:nsid w:val="459D6A3C"/>
    <w:multiLevelType w:val="hybridMultilevel"/>
    <w:tmpl w:val="8DEAC6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3" w15:restartNumberingAfterBreak="0">
    <w:nsid w:val="45CF4A59"/>
    <w:multiLevelType w:val="multilevel"/>
    <w:tmpl w:val="D81A0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4" w15:restartNumberingAfterBreak="0">
    <w:nsid w:val="4602F333"/>
    <w:multiLevelType w:val="hybridMultilevel"/>
    <w:tmpl w:val="9F4CB99A"/>
    <w:lvl w:ilvl="0" w:tplc="FB5E001C">
      <w:start w:val="1"/>
      <w:numFmt w:val="bullet"/>
      <w:lvlText w:val=""/>
      <w:lvlJc w:val="left"/>
      <w:pPr>
        <w:ind w:left="720" w:hanging="360"/>
      </w:pPr>
      <w:rPr>
        <w:rFonts w:ascii="Symbol" w:hAnsi="Symbol" w:hint="default"/>
      </w:rPr>
    </w:lvl>
    <w:lvl w:ilvl="1" w:tplc="8D86E394">
      <w:start w:val="1"/>
      <w:numFmt w:val="bullet"/>
      <w:lvlText w:val="o"/>
      <w:lvlJc w:val="left"/>
      <w:pPr>
        <w:ind w:left="1440" w:hanging="360"/>
      </w:pPr>
      <w:rPr>
        <w:rFonts w:ascii="Courier New" w:hAnsi="Courier New" w:hint="default"/>
      </w:rPr>
    </w:lvl>
    <w:lvl w:ilvl="2" w:tplc="34061D82">
      <w:start w:val="1"/>
      <w:numFmt w:val="bullet"/>
      <w:lvlText w:val=""/>
      <w:lvlJc w:val="left"/>
      <w:pPr>
        <w:ind w:left="2160" w:hanging="360"/>
      </w:pPr>
      <w:rPr>
        <w:rFonts w:ascii="Wingdings" w:hAnsi="Wingdings" w:hint="default"/>
      </w:rPr>
    </w:lvl>
    <w:lvl w:ilvl="3" w:tplc="459C00CE">
      <w:start w:val="1"/>
      <w:numFmt w:val="bullet"/>
      <w:lvlText w:val=""/>
      <w:lvlJc w:val="left"/>
      <w:pPr>
        <w:ind w:left="2880" w:hanging="360"/>
      </w:pPr>
      <w:rPr>
        <w:rFonts w:ascii="Symbol" w:hAnsi="Symbol" w:hint="default"/>
      </w:rPr>
    </w:lvl>
    <w:lvl w:ilvl="4" w:tplc="46A21552">
      <w:start w:val="1"/>
      <w:numFmt w:val="bullet"/>
      <w:lvlText w:val="o"/>
      <w:lvlJc w:val="left"/>
      <w:pPr>
        <w:ind w:left="3600" w:hanging="360"/>
      </w:pPr>
      <w:rPr>
        <w:rFonts w:ascii="Courier New" w:hAnsi="Courier New" w:hint="default"/>
      </w:rPr>
    </w:lvl>
    <w:lvl w:ilvl="5" w:tplc="58C853F4">
      <w:start w:val="1"/>
      <w:numFmt w:val="bullet"/>
      <w:lvlText w:val=""/>
      <w:lvlJc w:val="left"/>
      <w:pPr>
        <w:ind w:left="4320" w:hanging="360"/>
      </w:pPr>
      <w:rPr>
        <w:rFonts w:ascii="Wingdings" w:hAnsi="Wingdings" w:hint="default"/>
      </w:rPr>
    </w:lvl>
    <w:lvl w:ilvl="6" w:tplc="237EF6D2">
      <w:start w:val="1"/>
      <w:numFmt w:val="bullet"/>
      <w:lvlText w:val=""/>
      <w:lvlJc w:val="left"/>
      <w:pPr>
        <w:ind w:left="5040" w:hanging="360"/>
      </w:pPr>
      <w:rPr>
        <w:rFonts w:ascii="Symbol" w:hAnsi="Symbol" w:hint="default"/>
      </w:rPr>
    </w:lvl>
    <w:lvl w:ilvl="7" w:tplc="7ECE1664">
      <w:start w:val="1"/>
      <w:numFmt w:val="bullet"/>
      <w:lvlText w:val="o"/>
      <w:lvlJc w:val="left"/>
      <w:pPr>
        <w:ind w:left="5760" w:hanging="360"/>
      </w:pPr>
      <w:rPr>
        <w:rFonts w:ascii="Courier New" w:hAnsi="Courier New" w:hint="default"/>
      </w:rPr>
    </w:lvl>
    <w:lvl w:ilvl="8" w:tplc="52E0B8E0">
      <w:start w:val="1"/>
      <w:numFmt w:val="bullet"/>
      <w:lvlText w:val=""/>
      <w:lvlJc w:val="left"/>
      <w:pPr>
        <w:ind w:left="6480" w:hanging="360"/>
      </w:pPr>
      <w:rPr>
        <w:rFonts w:ascii="Wingdings" w:hAnsi="Wingdings" w:hint="default"/>
      </w:rPr>
    </w:lvl>
  </w:abstractNum>
  <w:abstractNum w:abstractNumId="495" w15:restartNumberingAfterBreak="0">
    <w:nsid w:val="46109A7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496" w15:restartNumberingAfterBreak="0">
    <w:nsid w:val="46266013"/>
    <w:multiLevelType w:val="multilevel"/>
    <w:tmpl w:val="2206A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7" w15:restartNumberingAfterBreak="0">
    <w:nsid w:val="465D6101"/>
    <w:multiLevelType w:val="hybridMultilevel"/>
    <w:tmpl w:val="FFFFFFFF"/>
    <w:lvl w:ilvl="0" w:tplc="08340DC6">
      <w:start w:val="1"/>
      <w:numFmt w:val="bullet"/>
      <w:lvlText w:val=""/>
      <w:lvlJc w:val="left"/>
      <w:pPr>
        <w:ind w:left="720" w:hanging="360"/>
      </w:pPr>
      <w:rPr>
        <w:rFonts w:ascii="Symbol" w:hAnsi="Symbol" w:hint="default"/>
      </w:rPr>
    </w:lvl>
    <w:lvl w:ilvl="1" w:tplc="AA028B04">
      <w:start w:val="1"/>
      <w:numFmt w:val="bullet"/>
      <w:lvlText w:val="o"/>
      <w:lvlJc w:val="left"/>
      <w:pPr>
        <w:ind w:left="1267" w:hanging="360"/>
      </w:pPr>
      <w:rPr>
        <w:rFonts w:ascii="Courier New" w:hAnsi="Courier New" w:hint="default"/>
      </w:rPr>
    </w:lvl>
    <w:lvl w:ilvl="2" w:tplc="9F2CD0F0">
      <w:start w:val="1"/>
      <w:numFmt w:val="bullet"/>
      <w:lvlText w:val=""/>
      <w:lvlJc w:val="left"/>
      <w:pPr>
        <w:ind w:left="1987" w:hanging="360"/>
      </w:pPr>
      <w:rPr>
        <w:rFonts w:ascii="Wingdings" w:hAnsi="Wingdings" w:hint="default"/>
      </w:rPr>
    </w:lvl>
    <w:lvl w:ilvl="3" w:tplc="140A0B1E">
      <w:start w:val="1"/>
      <w:numFmt w:val="bullet"/>
      <w:lvlText w:val=""/>
      <w:lvlJc w:val="left"/>
      <w:pPr>
        <w:ind w:left="2707" w:hanging="360"/>
      </w:pPr>
      <w:rPr>
        <w:rFonts w:ascii="Symbol" w:hAnsi="Symbol" w:hint="default"/>
      </w:rPr>
    </w:lvl>
    <w:lvl w:ilvl="4" w:tplc="023C0BB0">
      <w:start w:val="1"/>
      <w:numFmt w:val="bullet"/>
      <w:lvlText w:val="o"/>
      <w:lvlJc w:val="left"/>
      <w:pPr>
        <w:ind w:left="3427" w:hanging="360"/>
      </w:pPr>
      <w:rPr>
        <w:rFonts w:ascii="Courier New" w:hAnsi="Courier New" w:hint="default"/>
      </w:rPr>
    </w:lvl>
    <w:lvl w:ilvl="5" w:tplc="D45ECA74">
      <w:start w:val="1"/>
      <w:numFmt w:val="bullet"/>
      <w:lvlText w:val=""/>
      <w:lvlJc w:val="left"/>
      <w:pPr>
        <w:ind w:left="4147" w:hanging="360"/>
      </w:pPr>
      <w:rPr>
        <w:rFonts w:ascii="Wingdings" w:hAnsi="Wingdings" w:hint="default"/>
      </w:rPr>
    </w:lvl>
    <w:lvl w:ilvl="6" w:tplc="7FC65946">
      <w:start w:val="1"/>
      <w:numFmt w:val="bullet"/>
      <w:lvlText w:val=""/>
      <w:lvlJc w:val="left"/>
      <w:pPr>
        <w:ind w:left="4867" w:hanging="360"/>
      </w:pPr>
      <w:rPr>
        <w:rFonts w:ascii="Symbol" w:hAnsi="Symbol" w:hint="default"/>
      </w:rPr>
    </w:lvl>
    <w:lvl w:ilvl="7" w:tplc="42840D3A">
      <w:start w:val="1"/>
      <w:numFmt w:val="bullet"/>
      <w:lvlText w:val="o"/>
      <w:lvlJc w:val="left"/>
      <w:pPr>
        <w:ind w:left="5587" w:hanging="360"/>
      </w:pPr>
      <w:rPr>
        <w:rFonts w:ascii="Courier New" w:hAnsi="Courier New" w:hint="default"/>
      </w:rPr>
    </w:lvl>
    <w:lvl w:ilvl="8" w:tplc="B72204D4">
      <w:start w:val="1"/>
      <w:numFmt w:val="bullet"/>
      <w:lvlText w:val=""/>
      <w:lvlJc w:val="left"/>
      <w:pPr>
        <w:ind w:left="6307" w:hanging="360"/>
      </w:pPr>
      <w:rPr>
        <w:rFonts w:ascii="Wingdings" w:hAnsi="Wingdings" w:hint="default"/>
      </w:rPr>
    </w:lvl>
  </w:abstractNum>
  <w:abstractNum w:abstractNumId="498" w15:restartNumberingAfterBreak="0">
    <w:nsid w:val="46602109"/>
    <w:multiLevelType w:val="multilevel"/>
    <w:tmpl w:val="41360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9" w15:restartNumberingAfterBreak="0">
    <w:nsid w:val="4680BC6E"/>
    <w:multiLevelType w:val="hybridMultilevel"/>
    <w:tmpl w:val="34AE7448"/>
    <w:lvl w:ilvl="0" w:tplc="838AB6EA">
      <w:start w:val="1"/>
      <w:numFmt w:val="bullet"/>
      <w:lvlText w:val=""/>
      <w:lvlJc w:val="left"/>
      <w:pPr>
        <w:ind w:left="720" w:hanging="360"/>
      </w:pPr>
      <w:rPr>
        <w:rFonts w:ascii="Symbol" w:hAnsi="Symbol" w:hint="default"/>
      </w:rPr>
    </w:lvl>
    <w:lvl w:ilvl="1" w:tplc="AAA4E576">
      <w:start w:val="1"/>
      <w:numFmt w:val="bullet"/>
      <w:lvlText w:val="o"/>
      <w:lvlJc w:val="left"/>
      <w:pPr>
        <w:ind w:left="1440" w:hanging="360"/>
      </w:pPr>
      <w:rPr>
        <w:rFonts w:ascii="Courier New" w:hAnsi="Courier New" w:hint="default"/>
      </w:rPr>
    </w:lvl>
    <w:lvl w:ilvl="2" w:tplc="A4A4AB8E">
      <w:start w:val="1"/>
      <w:numFmt w:val="bullet"/>
      <w:lvlText w:val=""/>
      <w:lvlJc w:val="left"/>
      <w:pPr>
        <w:ind w:left="2160" w:hanging="360"/>
      </w:pPr>
      <w:rPr>
        <w:rFonts w:ascii="Wingdings" w:hAnsi="Wingdings" w:hint="default"/>
      </w:rPr>
    </w:lvl>
    <w:lvl w:ilvl="3" w:tplc="F1CCC682">
      <w:start w:val="1"/>
      <w:numFmt w:val="bullet"/>
      <w:lvlText w:val=""/>
      <w:lvlJc w:val="left"/>
      <w:pPr>
        <w:ind w:left="2880" w:hanging="360"/>
      </w:pPr>
      <w:rPr>
        <w:rFonts w:ascii="Symbol" w:hAnsi="Symbol" w:hint="default"/>
      </w:rPr>
    </w:lvl>
    <w:lvl w:ilvl="4" w:tplc="FB161DA2">
      <w:start w:val="1"/>
      <w:numFmt w:val="bullet"/>
      <w:lvlText w:val="o"/>
      <w:lvlJc w:val="left"/>
      <w:pPr>
        <w:ind w:left="3600" w:hanging="360"/>
      </w:pPr>
      <w:rPr>
        <w:rFonts w:ascii="Courier New" w:hAnsi="Courier New" w:hint="default"/>
      </w:rPr>
    </w:lvl>
    <w:lvl w:ilvl="5" w:tplc="5AD05306">
      <w:start w:val="1"/>
      <w:numFmt w:val="bullet"/>
      <w:lvlText w:val=""/>
      <w:lvlJc w:val="left"/>
      <w:pPr>
        <w:ind w:left="4320" w:hanging="360"/>
      </w:pPr>
      <w:rPr>
        <w:rFonts w:ascii="Wingdings" w:hAnsi="Wingdings" w:hint="default"/>
      </w:rPr>
    </w:lvl>
    <w:lvl w:ilvl="6" w:tplc="8A58ED1E">
      <w:start w:val="1"/>
      <w:numFmt w:val="bullet"/>
      <w:lvlText w:val=""/>
      <w:lvlJc w:val="left"/>
      <w:pPr>
        <w:ind w:left="5040" w:hanging="360"/>
      </w:pPr>
      <w:rPr>
        <w:rFonts w:ascii="Symbol" w:hAnsi="Symbol" w:hint="default"/>
      </w:rPr>
    </w:lvl>
    <w:lvl w:ilvl="7" w:tplc="15D4DD36">
      <w:start w:val="1"/>
      <w:numFmt w:val="bullet"/>
      <w:lvlText w:val="o"/>
      <w:lvlJc w:val="left"/>
      <w:pPr>
        <w:ind w:left="5760" w:hanging="360"/>
      </w:pPr>
      <w:rPr>
        <w:rFonts w:ascii="Courier New" w:hAnsi="Courier New" w:hint="default"/>
      </w:rPr>
    </w:lvl>
    <w:lvl w:ilvl="8" w:tplc="FE1C37E6">
      <w:start w:val="1"/>
      <w:numFmt w:val="bullet"/>
      <w:lvlText w:val=""/>
      <w:lvlJc w:val="left"/>
      <w:pPr>
        <w:ind w:left="6480" w:hanging="360"/>
      </w:pPr>
      <w:rPr>
        <w:rFonts w:ascii="Wingdings" w:hAnsi="Wingdings" w:hint="default"/>
      </w:rPr>
    </w:lvl>
  </w:abstractNum>
  <w:abstractNum w:abstractNumId="500" w15:restartNumberingAfterBreak="0">
    <w:nsid w:val="469D316C"/>
    <w:multiLevelType w:val="hybridMultilevel"/>
    <w:tmpl w:val="55E495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1" w15:restartNumberingAfterBreak="0">
    <w:nsid w:val="46A32B92"/>
    <w:multiLevelType w:val="multilevel"/>
    <w:tmpl w:val="574EB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2" w15:restartNumberingAfterBreak="0">
    <w:nsid w:val="46C123DB"/>
    <w:multiLevelType w:val="multilevel"/>
    <w:tmpl w:val="89FE5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3" w15:restartNumberingAfterBreak="0">
    <w:nsid w:val="46D75948"/>
    <w:multiLevelType w:val="multilevel"/>
    <w:tmpl w:val="CE760E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04" w15:restartNumberingAfterBreak="0">
    <w:nsid w:val="4742CA4C"/>
    <w:multiLevelType w:val="hybridMultilevel"/>
    <w:tmpl w:val="DF30C470"/>
    <w:lvl w:ilvl="0" w:tplc="91F052B8">
      <w:start w:val="1"/>
      <w:numFmt w:val="bullet"/>
      <w:lvlText w:val=""/>
      <w:lvlJc w:val="left"/>
      <w:pPr>
        <w:ind w:left="547" w:hanging="360"/>
      </w:pPr>
      <w:rPr>
        <w:rFonts w:ascii="Symbol" w:hAnsi="Symbol" w:hint="default"/>
      </w:rPr>
    </w:lvl>
    <w:lvl w:ilvl="1" w:tplc="E02C907E">
      <w:start w:val="1"/>
      <w:numFmt w:val="bullet"/>
      <w:lvlText w:val="o"/>
      <w:lvlJc w:val="left"/>
      <w:pPr>
        <w:ind w:left="1267" w:hanging="360"/>
      </w:pPr>
      <w:rPr>
        <w:rFonts w:ascii="Courier New" w:hAnsi="Courier New" w:hint="default"/>
      </w:rPr>
    </w:lvl>
    <w:lvl w:ilvl="2" w:tplc="9C749DD8">
      <w:start w:val="1"/>
      <w:numFmt w:val="bullet"/>
      <w:lvlText w:val=""/>
      <w:lvlJc w:val="left"/>
      <w:pPr>
        <w:ind w:left="1987" w:hanging="360"/>
      </w:pPr>
      <w:rPr>
        <w:rFonts w:ascii="Wingdings" w:hAnsi="Wingdings" w:hint="default"/>
      </w:rPr>
    </w:lvl>
    <w:lvl w:ilvl="3" w:tplc="F5B0FBF0">
      <w:start w:val="1"/>
      <w:numFmt w:val="bullet"/>
      <w:lvlText w:val=""/>
      <w:lvlJc w:val="left"/>
      <w:pPr>
        <w:ind w:left="2707" w:hanging="360"/>
      </w:pPr>
      <w:rPr>
        <w:rFonts w:ascii="Symbol" w:hAnsi="Symbol" w:hint="default"/>
      </w:rPr>
    </w:lvl>
    <w:lvl w:ilvl="4" w:tplc="B00C5BE0">
      <w:start w:val="1"/>
      <w:numFmt w:val="bullet"/>
      <w:lvlText w:val="o"/>
      <w:lvlJc w:val="left"/>
      <w:pPr>
        <w:ind w:left="3427" w:hanging="360"/>
      </w:pPr>
      <w:rPr>
        <w:rFonts w:ascii="Courier New" w:hAnsi="Courier New" w:hint="default"/>
      </w:rPr>
    </w:lvl>
    <w:lvl w:ilvl="5" w:tplc="17603134">
      <w:start w:val="1"/>
      <w:numFmt w:val="bullet"/>
      <w:lvlText w:val=""/>
      <w:lvlJc w:val="left"/>
      <w:pPr>
        <w:ind w:left="4147" w:hanging="360"/>
      </w:pPr>
      <w:rPr>
        <w:rFonts w:ascii="Wingdings" w:hAnsi="Wingdings" w:hint="default"/>
      </w:rPr>
    </w:lvl>
    <w:lvl w:ilvl="6" w:tplc="F5AEB178">
      <w:start w:val="1"/>
      <w:numFmt w:val="bullet"/>
      <w:lvlText w:val=""/>
      <w:lvlJc w:val="left"/>
      <w:pPr>
        <w:ind w:left="4867" w:hanging="360"/>
      </w:pPr>
      <w:rPr>
        <w:rFonts w:ascii="Symbol" w:hAnsi="Symbol" w:hint="default"/>
      </w:rPr>
    </w:lvl>
    <w:lvl w:ilvl="7" w:tplc="D3ECB9B2">
      <w:start w:val="1"/>
      <w:numFmt w:val="bullet"/>
      <w:lvlText w:val="o"/>
      <w:lvlJc w:val="left"/>
      <w:pPr>
        <w:ind w:left="5587" w:hanging="360"/>
      </w:pPr>
      <w:rPr>
        <w:rFonts w:ascii="Courier New" w:hAnsi="Courier New" w:hint="default"/>
      </w:rPr>
    </w:lvl>
    <w:lvl w:ilvl="8" w:tplc="8156284A">
      <w:start w:val="1"/>
      <w:numFmt w:val="bullet"/>
      <w:lvlText w:val=""/>
      <w:lvlJc w:val="left"/>
      <w:pPr>
        <w:ind w:left="6307" w:hanging="360"/>
      </w:pPr>
      <w:rPr>
        <w:rFonts w:ascii="Wingdings" w:hAnsi="Wingdings" w:hint="default"/>
      </w:rPr>
    </w:lvl>
  </w:abstractNum>
  <w:abstractNum w:abstractNumId="505" w15:restartNumberingAfterBreak="0">
    <w:nsid w:val="474B5106"/>
    <w:multiLevelType w:val="multilevel"/>
    <w:tmpl w:val="38FA4A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6" w15:restartNumberingAfterBreak="0">
    <w:nsid w:val="4754372A"/>
    <w:multiLevelType w:val="multilevel"/>
    <w:tmpl w:val="FF76F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7" w15:restartNumberingAfterBreak="0">
    <w:nsid w:val="4756B8AC"/>
    <w:multiLevelType w:val="hybridMultilevel"/>
    <w:tmpl w:val="3B1E778C"/>
    <w:lvl w:ilvl="0" w:tplc="94121950">
      <w:start w:val="1"/>
      <w:numFmt w:val="bullet"/>
      <w:lvlText w:val=""/>
      <w:lvlJc w:val="left"/>
      <w:pPr>
        <w:ind w:left="720" w:hanging="360"/>
      </w:pPr>
      <w:rPr>
        <w:rFonts w:ascii="Symbol" w:hAnsi="Symbol" w:hint="default"/>
      </w:rPr>
    </w:lvl>
    <w:lvl w:ilvl="1" w:tplc="976CB242">
      <w:start w:val="1"/>
      <w:numFmt w:val="bullet"/>
      <w:lvlText w:val="o"/>
      <w:lvlJc w:val="left"/>
      <w:pPr>
        <w:ind w:left="1440" w:hanging="360"/>
      </w:pPr>
      <w:rPr>
        <w:rFonts w:ascii="Courier New" w:hAnsi="Courier New" w:hint="default"/>
      </w:rPr>
    </w:lvl>
    <w:lvl w:ilvl="2" w:tplc="F9F869C6">
      <w:start w:val="1"/>
      <w:numFmt w:val="bullet"/>
      <w:lvlText w:val=""/>
      <w:lvlJc w:val="left"/>
      <w:pPr>
        <w:ind w:left="2160" w:hanging="360"/>
      </w:pPr>
      <w:rPr>
        <w:rFonts w:ascii="Wingdings" w:hAnsi="Wingdings" w:hint="default"/>
      </w:rPr>
    </w:lvl>
    <w:lvl w:ilvl="3" w:tplc="5232B374">
      <w:start w:val="1"/>
      <w:numFmt w:val="bullet"/>
      <w:lvlText w:val=""/>
      <w:lvlJc w:val="left"/>
      <w:pPr>
        <w:ind w:left="2880" w:hanging="360"/>
      </w:pPr>
      <w:rPr>
        <w:rFonts w:ascii="Symbol" w:hAnsi="Symbol" w:hint="default"/>
      </w:rPr>
    </w:lvl>
    <w:lvl w:ilvl="4" w:tplc="E1A05A0A">
      <w:start w:val="1"/>
      <w:numFmt w:val="bullet"/>
      <w:lvlText w:val="o"/>
      <w:lvlJc w:val="left"/>
      <w:pPr>
        <w:ind w:left="3600" w:hanging="360"/>
      </w:pPr>
      <w:rPr>
        <w:rFonts w:ascii="Courier New" w:hAnsi="Courier New" w:hint="default"/>
      </w:rPr>
    </w:lvl>
    <w:lvl w:ilvl="5" w:tplc="851AB2BC">
      <w:start w:val="1"/>
      <w:numFmt w:val="bullet"/>
      <w:lvlText w:val=""/>
      <w:lvlJc w:val="left"/>
      <w:pPr>
        <w:ind w:left="4320" w:hanging="360"/>
      </w:pPr>
      <w:rPr>
        <w:rFonts w:ascii="Wingdings" w:hAnsi="Wingdings" w:hint="default"/>
      </w:rPr>
    </w:lvl>
    <w:lvl w:ilvl="6" w:tplc="80D01D48">
      <w:start w:val="1"/>
      <w:numFmt w:val="bullet"/>
      <w:lvlText w:val=""/>
      <w:lvlJc w:val="left"/>
      <w:pPr>
        <w:ind w:left="5040" w:hanging="360"/>
      </w:pPr>
      <w:rPr>
        <w:rFonts w:ascii="Symbol" w:hAnsi="Symbol" w:hint="default"/>
      </w:rPr>
    </w:lvl>
    <w:lvl w:ilvl="7" w:tplc="ACF60B50">
      <w:start w:val="1"/>
      <w:numFmt w:val="bullet"/>
      <w:lvlText w:val="o"/>
      <w:lvlJc w:val="left"/>
      <w:pPr>
        <w:ind w:left="5760" w:hanging="360"/>
      </w:pPr>
      <w:rPr>
        <w:rFonts w:ascii="Courier New" w:hAnsi="Courier New" w:hint="default"/>
      </w:rPr>
    </w:lvl>
    <w:lvl w:ilvl="8" w:tplc="810C2B12">
      <w:start w:val="1"/>
      <w:numFmt w:val="bullet"/>
      <w:lvlText w:val=""/>
      <w:lvlJc w:val="left"/>
      <w:pPr>
        <w:ind w:left="6480" w:hanging="360"/>
      </w:pPr>
      <w:rPr>
        <w:rFonts w:ascii="Wingdings" w:hAnsi="Wingdings" w:hint="default"/>
      </w:rPr>
    </w:lvl>
  </w:abstractNum>
  <w:abstractNum w:abstractNumId="508" w15:restartNumberingAfterBreak="0">
    <w:nsid w:val="47925F89"/>
    <w:multiLevelType w:val="hybridMultilevel"/>
    <w:tmpl w:val="A740C816"/>
    <w:lvl w:ilvl="0" w:tplc="B1941C04">
      <w:start w:val="1"/>
      <w:numFmt w:val="bullet"/>
      <w:lvlText w:val=""/>
      <w:lvlJc w:val="left"/>
      <w:pPr>
        <w:ind w:left="720" w:hanging="360"/>
      </w:pPr>
      <w:rPr>
        <w:rFonts w:ascii="Symbol" w:hAnsi="Symbol" w:hint="default"/>
      </w:rPr>
    </w:lvl>
    <w:lvl w:ilvl="1" w:tplc="2146F2C6">
      <w:start w:val="1"/>
      <w:numFmt w:val="bullet"/>
      <w:lvlText w:val="o"/>
      <w:lvlJc w:val="left"/>
      <w:pPr>
        <w:ind w:left="1440" w:hanging="360"/>
      </w:pPr>
      <w:rPr>
        <w:rFonts w:ascii="Courier New" w:hAnsi="Courier New" w:hint="default"/>
      </w:rPr>
    </w:lvl>
    <w:lvl w:ilvl="2" w:tplc="2D405358">
      <w:start w:val="1"/>
      <w:numFmt w:val="bullet"/>
      <w:lvlText w:val=""/>
      <w:lvlJc w:val="left"/>
      <w:pPr>
        <w:ind w:left="2160" w:hanging="360"/>
      </w:pPr>
      <w:rPr>
        <w:rFonts w:ascii="Wingdings" w:hAnsi="Wingdings" w:hint="default"/>
      </w:rPr>
    </w:lvl>
    <w:lvl w:ilvl="3" w:tplc="F1F62D54">
      <w:start w:val="1"/>
      <w:numFmt w:val="bullet"/>
      <w:lvlText w:val=""/>
      <w:lvlJc w:val="left"/>
      <w:pPr>
        <w:ind w:left="2880" w:hanging="360"/>
      </w:pPr>
      <w:rPr>
        <w:rFonts w:ascii="Symbol" w:hAnsi="Symbol" w:hint="default"/>
      </w:rPr>
    </w:lvl>
    <w:lvl w:ilvl="4" w:tplc="775CA074">
      <w:start w:val="1"/>
      <w:numFmt w:val="bullet"/>
      <w:lvlText w:val="o"/>
      <w:lvlJc w:val="left"/>
      <w:pPr>
        <w:ind w:left="3600" w:hanging="360"/>
      </w:pPr>
      <w:rPr>
        <w:rFonts w:ascii="Courier New" w:hAnsi="Courier New" w:hint="default"/>
      </w:rPr>
    </w:lvl>
    <w:lvl w:ilvl="5" w:tplc="037E40D6">
      <w:start w:val="1"/>
      <w:numFmt w:val="bullet"/>
      <w:lvlText w:val=""/>
      <w:lvlJc w:val="left"/>
      <w:pPr>
        <w:ind w:left="4320" w:hanging="360"/>
      </w:pPr>
      <w:rPr>
        <w:rFonts w:ascii="Wingdings" w:hAnsi="Wingdings" w:hint="default"/>
      </w:rPr>
    </w:lvl>
    <w:lvl w:ilvl="6" w:tplc="CE90F38C">
      <w:start w:val="1"/>
      <w:numFmt w:val="bullet"/>
      <w:lvlText w:val=""/>
      <w:lvlJc w:val="left"/>
      <w:pPr>
        <w:ind w:left="5040" w:hanging="360"/>
      </w:pPr>
      <w:rPr>
        <w:rFonts w:ascii="Symbol" w:hAnsi="Symbol" w:hint="default"/>
      </w:rPr>
    </w:lvl>
    <w:lvl w:ilvl="7" w:tplc="E1482AC2">
      <w:start w:val="1"/>
      <w:numFmt w:val="bullet"/>
      <w:lvlText w:val="o"/>
      <w:lvlJc w:val="left"/>
      <w:pPr>
        <w:ind w:left="5760" w:hanging="360"/>
      </w:pPr>
      <w:rPr>
        <w:rFonts w:ascii="Courier New" w:hAnsi="Courier New" w:hint="default"/>
      </w:rPr>
    </w:lvl>
    <w:lvl w:ilvl="8" w:tplc="E17010DA">
      <w:start w:val="1"/>
      <w:numFmt w:val="bullet"/>
      <w:lvlText w:val=""/>
      <w:lvlJc w:val="left"/>
      <w:pPr>
        <w:ind w:left="6480" w:hanging="360"/>
      </w:pPr>
      <w:rPr>
        <w:rFonts w:ascii="Wingdings" w:hAnsi="Wingdings" w:hint="default"/>
      </w:rPr>
    </w:lvl>
  </w:abstractNum>
  <w:abstractNum w:abstractNumId="509" w15:restartNumberingAfterBreak="0">
    <w:nsid w:val="479D108E"/>
    <w:multiLevelType w:val="hybridMultilevel"/>
    <w:tmpl w:val="032C17F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0" w15:restartNumberingAfterBreak="0">
    <w:nsid w:val="47B67A81"/>
    <w:multiLevelType w:val="hybridMultilevel"/>
    <w:tmpl w:val="96887194"/>
    <w:lvl w:ilvl="0" w:tplc="D55EF9BE">
      <w:start w:val="1"/>
      <w:numFmt w:val="bullet"/>
      <w:lvlText w:val=""/>
      <w:lvlJc w:val="left"/>
      <w:pPr>
        <w:ind w:left="720" w:hanging="360"/>
      </w:pPr>
      <w:rPr>
        <w:rFonts w:ascii="Symbol" w:hAnsi="Symbol" w:hint="default"/>
      </w:rPr>
    </w:lvl>
    <w:lvl w:ilvl="1" w:tplc="AF3AEE46">
      <w:start w:val="1"/>
      <w:numFmt w:val="bullet"/>
      <w:lvlText w:val="o"/>
      <w:lvlJc w:val="left"/>
      <w:pPr>
        <w:ind w:left="1440" w:hanging="360"/>
      </w:pPr>
      <w:rPr>
        <w:rFonts w:ascii="Courier New" w:hAnsi="Courier New" w:hint="default"/>
      </w:rPr>
    </w:lvl>
    <w:lvl w:ilvl="2" w:tplc="9EDCDD70">
      <w:start w:val="1"/>
      <w:numFmt w:val="bullet"/>
      <w:lvlText w:val=""/>
      <w:lvlJc w:val="left"/>
      <w:pPr>
        <w:ind w:left="2160" w:hanging="360"/>
      </w:pPr>
      <w:rPr>
        <w:rFonts w:ascii="Wingdings" w:hAnsi="Wingdings" w:hint="default"/>
      </w:rPr>
    </w:lvl>
    <w:lvl w:ilvl="3" w:tplc="C1B4A7F4">
      <w:start w:val="1"/>
      <w:numFmt w:val="bullet"/>
      <w:lvlText w:val=""/>
      <w:lvlJc w:val="left"/>
      <w:pPr>
        <w:ind w:left="2880" w:hanging="360"/>
      </w:pPr>
      <w:rPr>
        <w:rFonts w:ascii="Symbol" w:hAnsi="Symbol" w:hint="default"/>
      </w:rPr>
    </w:lvl>
    <w:lvl w:ilvl="4" w:tplc="E6A62B1A">
      <w:start w:val="1"/>
      <w:numFmt w:val="bullet"/>
      <w:lvlText w:val="o"/>
      <w:lvlJc w:val="left"/>
      <w:pPr>
        <w:ind w:left="3600" w:hanging="360"/>
      </w:pPr>
      <w:rPr>
        <w:rFonts w:ascii="Courier New" w:hAnsi="Courier New" w:hint="default"/>
      </w:rPr>
    </w:lvl>
    <w:lvl w:ilvl="5" w:tplc="DA4A064C">
      <w:start w:val="1"/>
      <w:numFmt w:val="bullet"/>
      <w:lvlText w:val=""/>
      <w:lvlJc w:val="left"/>
      <w:pPr>
        <w:ind w:left="4320" w:hanging="360"/>
      </w:pPr>
      <w:rPr>
        <w:rFonts w:ascii="Wingdings" w:hAnsi="Wingdings" w:hint="default"/>
      </w:rPr>
    </w:lvl>
    <w:lvl w:ilvl="6" w:tplc="CF601E90">
      <w:start w:val="1"/>
      <w:numFmt w:val="bullet"/>
      <w:lvlText w:val=""/>
      <w:lvlJc w:val="left"/>
      <w:pPr>
        <w:ind w:left="5040" w:hanging="360"/>
      </w:pPr>
      <w:rPr>
        <w:rFonts w:ascii="Symbol" w:hAnsi="Symbol" w:hint="default"/>
      </w:rPr>
    </w:lvl>
    <w:lvl w:ilvl="7" w:tplc="DAE28964">
      <w:start w:val="1"/>
      <w:numFmt w:val="bullet"/>
      <w:lvlText w:val="o"/>
      <w:lvlJc w:val="left"/>
      <w:pPr>
        <w:ind w:left="5760" w:hanging="360"/>
      </w:pPr>
      <w:rPr>
        <w:rFonts w:ascii="Courier New" w:hAnsi="Courier New" w:hint="default"/>
      </w:rPr>
    </w:lvl>
    <w:lvl w:ilvl="8" w:tplc="41862BCC">
      <w:start w:val="1"/>
      <w:numFmt w:val="bullet"/>
      <w:lvlText w:val=""/>
      <w:lvlJc w:val="left"/>
      <w:pPr>
        <w:ind w:left="6480" w:hanging="360"/>
      </w:pPr>
      <w:rPr>
        <w:rFonts w:ascii="Wingdings" w:hAnsi="Wingdings" w:hint="default"/>
      </w:rPr>
    </w:lvl>
  </w:abstractNum>
  <w:abstractNum w:abstractNumId="511" w15:restartNumberingAfterBreak="0">
    <w:nsid w:val="47BBA6A7"/>
    <w:multiLevelType w:val="hybridMultilevel"/>
    <w:tmpl w:val="FFFFFFFF"/>
    <w:lvl w:ilvl="0" w:tplc="F8F8E34A">
      <w:start w:val="1"/>
      <w:numFmt w:val="bullet"/>
      <w:lvlText w:val=""/>
      <w:lvlJc w:val="left"/>
      <w:pPr>
        <w:ind w:left="547" w:hanging="360"/>
      </w:pPr>
      <w:rPr>
        <w:rFonts w:ascii="Symbol" w:hAnsi="Symbol" w:hint="default"/>
      </w:rPr>
    </w:lvl>
    <w:lvl w:ilvl="1" w:tplc="289687BA">
      <w:start w:val="1"/>
      <w:numFmt w:val="bullet"/>
      <w:lvlText w:val="o"/>
      <w:lvlJc w:val="left"/>
      <w:pPr>
        <w:ind w:left="1267" w:hanging="360"/>
      </w:pPr>
      <w:rPr>
        <w:rFonts w:ascii="Courier New" w:hAnsi="Courier New" w:hint="default"/>
      </w:rPr>
    </w:lvl>
    <w:lvl w:ilvl="2" w:tplc="55B44EE2">
      <w:start w:val="1"/>
      <w:numFmt w:val="bullet"/>
      <w:lvlText w:val=""/>
      <w:lvlJc w:val="left"/>
      <w:pPr>
        <w:ind w:left="1987" w:hanging="360"/>
      </w:pPr>
      <w:rPr>
        <w:rFonts w:ascii="Wingdings" w:hAnsi="Wingdings" w:hint="default"/>
      </w:rPr>
    </w:lvl>
    <w:lvl w:ilvl="3" w:tplc="A5E4AFA2">
      <w:start w:val="1"/>
      <w:numFmt w:val="bullet"/>
      <w:lvlText w:val=""/>
      <w:lvlJc w:val="left"/>
      <w:pPr>
        <w:ind w:left="2707" w:hanging="360"/>
      </w:pPr>
      <w:rPr>
        <w:rFonts w:ascii="Symbol" w:hAnsi="Symbol" w:hint="default"/>
      </w:rPr>
    </w:lvl>
    <w:lvl w:ilvl="4" w:tplc="71D0D432">
      <w:start w:val="1"/>
      <w:numFmt w:val="bullet"/>
      <w:lvlText w:val="o"/>
      <w:lvlJc w:val="left"/>
      <w:pPr>
        <w:ind w:left="3427" w:hanging="360"/>
      </w:pPr>
      <w:rPr>
        <w:rFonts w:ascii="Courier New" w:hAnsi="Courier New" w:hint="default"/>
      </w:rPr>
    </w:lvl>
    <w:lvl w:ilvl="5" w:tplc="35CEA2EE">
      <w:start w:val="1"/>
      <w:numFmt w:val="bullet"/>
      <w:lvlText w:val=""/>
      <w:lvlJc w:val="left"/>
      <w:pPr>
        <w:ind w:left="4147" w:hanging="360"/>
      </w:pPr>
      <w:rPr>
        <w:rFonts w:ascii="Wingdings" w:hAnsi="Wingdings" w:hint="default"/>
      </w:rPr>
    </w:lvl>
    <w:lvl w:ilvl="6" w:tplc="F31AE1AA">
      <w:start w:val="1"/>
      <w:numFmt w:val="bullet"/>
      <w:lvlText w:val=""/>
      <w:lvlJc w:val="left"/>
      <w:pPr>
        <w:ind w:left="4867" w:hanging="360"/>
      </w:pPr>
      <w:rPr>
        <w:rFonts w:ascii="Symbol" w:hAnsi="Symbol" w:hint="default"/>
      </w:rPr>
    </w:lvl>
    <w:lvl w:ilvl="7" w:tplc="D46E1EA8">
      <w:start w:val="1"/>
      <w:numFmt w:val="bullet"/>
      <w:lvlText w:val="o"/>
      <w:lvlJc w:val="left"/>
      <w:pPr>
        <w:ind w:left="5587" w:hanging="360"/>
      </w:pPr>
      <w:rPr>
        <w:rFonts w:ascii="Courier New" w:hAnsi="Courier New" w:hint="default"/>
      </w:rPr>
    </w:lvl>
    <w:lvl w:ilvl="8" w:tplc="951A8B74">
      <w:start w:val="1"/>
      <w:numFmt w:val="bullet"/>
      <w:lvlText w:val=""/>
      <w:lvlJc w:val="left"/>
      <w:pPr>
        <w:ind w:left="6307" w:hanging="360"/>
      </w:pPr>
      <w:rPr>
        <w:rFonts w:ascii="Wingdings" w:hAnsi="Wingdings" w:hint="default"/>
      </w:rPr>
    </w:lvl>
  </w:abstractNum>
  <w:abstractNum w:abstractNumId="512" w15:restartNumberingAfterBreak="0">
    <w:nsid w:val="47D14EEC"/>
    <w:multiLevelType w:val="multilevel"/>
    <w:tmpl w:val="EDC8A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3" w15:restartNumberingAfterBreak="0">
    <w:nsid w:val="47ED0A4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514" w15:restartNumberingAfterBreak="0">
    <w:nsid w:val="484EF2EA"/>
    <w:multiLevelType w:val="hybridMultilevel"/>
    <w:tmpl w:val="FFFFFFFF"/>
    <w:lvl w:ilvl="0" w:tplc="FE92B848">
      <w:start w:val="1"/>
      <w:numFmt w:val="bullet"/>
      <w:lvlText w:val="●"/>
      <w:lvlJc w:val="left"/>
      <w:pPr>
        <w:ind w:left="720" w:hanging="360"/>
      </w:pPr>
      <w:rPr>
        <w:rFonts w:ascii="Symbol" w:hAnsi="Symbol" w:hint="default"/>
      </w:rPr>
    </w:lvl>
    <w:lvl w:ilvl="1" w:tplc="44EC7E18">
      <w:start w:val="1"/>
      <w:numFmt w:val="bullet"/>
      <w:lvlText w:val="o"/>
      <w:lvlJc w:val="left"/>
      <w:pPr>
        <w:ind w:left="1440" w:hanging="360"/>
      </w:pPr>
      <w:rPr>
        <w:rFonts w:ascii="Courier New" w:hAnsi="Courier New" w:hint="default"/>
      </w:rPr>
    </w:lvl>
    <w:lvl w:ilvl="2" w:tplc="E3548B4A">
      <w:start w:val="1"/>
      <w:numFmt w:val="bullet"/>
      <w:lvlText w:val=""/>
      <w:lvlJc w:val="left"/>
      <w:pPr>
        <w:ind w:left="2160" w:hanging="360"/>
      </w:pPr>
      <w:rPr>
        <w:rFonts w:ascii="Wingdings" w:hAnsi="Wingdings" w:hint="default"/>
      </w:rPr>
    </w:lvl>
    <w:lvl w:ilvl="3" w:tplc="037E7860">
      <w:start w:val="1"/>
      <w:numFmt w:val="bullet"/>
      <w:lvlText w:val=""/>
      <w:lvlJc w:val="left"/>
      <w:pPr>
        <w:ind w:left="2880" w:hanging="360"/>
      </w:pPr>
      <w:rPr>
        <w:rFonts w:ascii="Symbol" w:hAnsi="Symbol" w:hint="default"/>
      </w:rPr>
    </w:lvl>
    <w:lvl w:ilvl="4" w:tplc="6B7CE446">
      <w:start w:val="1"/>
      <w:numFmt w:val="bullet"/>
      <w:lvlText w:val="o"/>
      <w:lvlJc w:val="left"/>
      <w:pPr>
        <w:ind w:left="3600" w:hanging="360"/>
      </w:pPr>
      <w:rPr>
        <w:rFonts w:ascii="Courier New" w:hAnsi="Courier New" w:hint="default"/>
      </w:rPr>
    </w:lvl>
    <w:lvl w:ilvl="5" w:tplc="E0FE0210">
      <w:start w:val="1"/>
      <w:numFmt w:val="bullet"/>
      <w:lvlText w:val=""/>
      <w:lvlJc w:val="left"/>
      <w:pPr>
        <w:ind w:left="4320" w:hanging="360"/>
      </w:pPr>
      <w:rPr>
        <w:rFonts w:ascii="Wingdings" w:hAnsi="Wingdings" w:hint="default"/>
      </w:rPr>
    </w:lvl>
    <w:lvl w:ilvl="6" w:tplc="938C06DC">
      <w:start w:val="1"/>
      <w:numFmt w:val="bullet"/>
      <w:lvlText w:val=""/>
      <w:lvlJc w:val="left"/>
      <w:pPr>
        <w:ind w:left="5040" w:hanging="360"/>
      </w:pPr>
      <w:rPr>
        <w:rFonts w:ascii="Symbol" w:hAnsi="Symbol" w:hint="default"/>
      </w:rPr>
    </w:lvl>
    <w:lvl w:ilvl="7" w:tplc="94DEB1D8">
      <w:start w:val="1"/>
      <w:numFmt w:val="bullet"/>
      <w:lvlText w:val="o"/>
      <w:lvlJc w:val="left"/>
      <w:pPr>
        <w:ind w:left="5760" w:hanging="360"/>
      </w:pPr>
      <w:rPr>
        <w:rFonts w:ascii="Courier New" w:hAnsi="Courier New" w:hint="default"/>
      </w:rPr>
    </w:lvl>
    <w:lvl w:ilvl="8" w:tplc="45D2F882">
      <w:start w:val="1"/>
      <w:numFmt w:val="bullet"/>
      <w:lvlText w:val=""/>
      <w:lvlJc w:val="left"/>
      <w:pPr>
        <w:ind w:left="6480" w:hanging="360"/>
      </w:pPr>
      <w:rPr>
        <w:rFonts w:ascii="Wingdings" w:hAnsi="Wingdings" w:hint="default"/>
      </w:rPr>
    </w:lvl>
  </w:abstractNum>
  <w:abstractNum w:abstractNumId="515" w15:restartNumberingAfterBreak="0">
    <w:nsid w:val="4866418C"/>
    <w:multiLevelType w:val="multilevel"/>
    <w:tmpl w:val="9CEED2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6" w15:restartNumberingAfterBreak="0">
    <w:nsid w:val="487B416E"/>
    <w:multiLevelType w:val="hybridMultilevel"/>
    <w:tmpl w:val="050046B2"/>
    <w:lvl w:ilvl="0" w:tplc="6E726F08">
      <w:start w:val="1"/>
      <w:numFmt w:val="bullet"/>
      <w:lvlText w:val=""/>
      <w:lvlJc w:val="left"/>
      <w:pPr>
        <w:ind w:left="720" w:hanging="360"/>
      </w:pPr>
      <w:rPr>
        <w:rFonts w:ascii="Symbol" w:hAnsi="Symbol" w:hint="default"/>
      </w:rPr>
    </w:lvl>
    <w:lvl w:ilvl="1" w:tplc="E22C6CD8">
      <w:start w:val="1"/>
      <w:numFmt w:val="bullet"/>
      <w:lvlText w:val="o"/>
      <w:lvlJc w:val="left"/>
      <w:pPr>
        <w:ind w:left="1440" w:hanging="360"/>
      </w:pPr>
      <w:rPr>
        <w:rFonts w:ascii="Courier New" w:hAnsi="Courier New" w:hint="default"/>
      </w:rPr>
    </w:lvl>
    <w:lvl w:ilvl="2" w:tplc="14CAEEA4">
      <w:start w:val="1"/>
      <w:numFmt w:val="bullet"/>
      <w:lvlText w:val=""/>
      <w:lvlJc w:val="left"/>
      <w:pPr>
        <w:ind w:left="2160" w:hanging="360"/>
      </w:pPr>
      <w:rPr>
        <w:rFonts w:ascii="Wingdings" w:hAnsi="Wingdings" w:hint="default"/>
      </w:rPr>
    </w:lvl>
    <w:lvl w:ilvl="3" w:tplc="BF186C6A">
      <w:start w:val="1"/>
      <w:numFmt w:val="bullet"/>
      <w:lvlText w:val=""/>
      <w:lvlJc w:val="left"/>
      <w:pPr>
        <w:ind w:left="2880" w:hanging="360"/>
      </w:pPr>
      <w:rPr>
        <w:rFonts w:ascii="Symbol" w:hAnsi="Symbol" w:hint="default"/>
      </w:rPr>
    </w:lvl>
    <w:lvl w:ilvl="4" w:tplc="B75E217E">
      <w:start w:val="1"/>
      <w:numFmt w:val="bullet"/>
      <w:lvlText w:val="o"/>
      <w:lvlJc w:val="left"/>
      <w:pPr>
        <w:ind w:left="3600" w:hanging="360"/>
      </w:pPr>
      <w:rPr>
        <w:rFonts w:ascii="Courier New" w:hAnsi="Courier New" w:hint="default"/>
      </w:rPr>
    </w:lvl>
    <w:lvl w:ilvl="5" w:tplc="46D01DBA">
      <w:start w:val="1"/>
      <w:numFmt w:val="bullet"/>
      <w:lvlText w:val=""/>
      <w:lvlJc w:val="left"/>
      <w:pPr>
        <w:ind w:left="4320" w:hanging="360"/>
      </w:pPr>
      <w:rPr>
        <w:rFonts w:ascii="Wingdings" w:hAnsi="Wingdings" w:hint="default"/>
      </w:rPr>
    </w:lvl>
    <w:lvl w:ilvl="6" w:tplc="BEDECCF4">
      <w:start w:val="1"/>
      <w:numFmt w:val="bullet"/>
      <w:lvlText w:val=""/>
      <w:lvlJc w:val="left"/>
      <w:pPr>
        <w:ind w:left="5040" w:hanging="360"/>
      </w:pPr>
      <w:rPr>
        <w:rFonts w:ascii="Symbol" w:hAnsi="Symbol" w:hint="default"/>
      </w:rPr>
    </w:lvl>
    <w:lvl w:ilvl="7" w:tplc="2B62B44C">
      <w:start w:val="1"/>
      <w:numFmt w:val="bullet"/>
      <w:lvlText w:val="o"/>
      <w:lvlJc w:val="left"/>
      <w:pPr>
        <w:ind w:left="5760" w:hanging="360"/>
      </w:pPr>
      <w:rPr>
        <w:rFonts w:ascii="Courier New" w:hAnsi="Courier New" w:hint="default"/>
      </w:rPr>
    </w:lvl>
    <w:lvl w:ilvl="8" w:tplc="3FE49920">
      <w:start w:val="1"/>
      <w:numFmt w:val="bullet"/>
      <w:lvlText w:val=""/>
      <w:lvlJc w:val="left"/>
      <w:pPr>
        <w:ind w:left="6480" w:hanging="360"/>
      </w:pPr>
      <w:rPr>
        <w:rFonts w:ascii="Wingdings" w:hAnsi="Wingdings" w:hint="default"/>
      </w:rPr>
    </w:lvl>
  </w:abstractNum>
  <w:abstractNum w:abstractNumId="517" w15:restartNumberingAfterBreak="0">
    <w:nsid w:val="48884586"/>
    <w:multiLevelType w:val="multilevel"/>
    <w:tmpl w:val="D3C6DC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8" w15:restartNumberingAfterBreak="0">
    <w:nsid w:val="488DA237"/>
    <w:multiLevelType w:val="multilevel"/>
    <w:tmpl w:val="372AD7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19" w15:restartNumberingAfterBreak="0">
    <w:nsid w:val="48C4537D"/>
    <w:multiLevelType w:val="multilevel"/>
    <w:tmpl w:val="5A946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0" w15:restartNumberingAfterBreak="0">
    <w:nsid w:val="48FD51B0"/>
    <w:multiLevelType w:val="multilevel"/>
    <w:tmpl w:val="299A77E2"/>
    <w:lvl w:ilvl="0">
      <w:start w:val="1"/>
      <w:numFmt w:val="decimal"/>
      <w:pStyle w:val="Heading11"/>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1" w15:restartNumberingAfterBreak="0">
    <w:nsid w:val="48FD5553"/>
    <w:multiLevelType w:val="multilevel"/>
    <w:tmpl w:val="12F47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2" w15:restartNumberingAfterBreak="0">
    <w:nsid w:val="49377630"/>
    <w:multiLevelType w:val="multilevel"/>
    <w:tmpl w:val="D7F68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3" w15:restartNumberingAfterBreak="0">
    <w:nsid w:val="493D68CA"/>
    <w:multiLevelType w:val="multilevel"/>
    <w:tmpl w:val="A5181F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4" w15:restartNumberingAfterBreak="0">
    <w:nsid w:val="496A7AE4"/>
    <w:multiLevelType w:val="hybridMultilevel"/>
    <w:tmpl w:val="FFFFFFFF"/>
    <w:lvl w:ilvl="0" w:tplc="E39A11FA">
      <w:start w:val="1"/>
      <w:numFmt w:val="bullet"/>
      <w:lvlText w:val="○"/>
      <w:lvlJc w:val="left"/>
      <w:pPr>
        <w:ind w:left="1440" w:hanging="360"/>
      </w:pPr>
      <w:rPr>
        <w:rFonts w:ascii="Symbol" w:hAnsi="Symbol" w:hint="default"/>
      </w:rPr>
    </w:lvl>
    <w:lvl w:ilvl="1" w:tplc="0AE41A00">
      <w:start w:val="1"/>
      <w:numFmt w:val="bullet"/>
      <w:lvlText w:val="o"/>
      <w:lvlJc w:val="left"/>
      <w:pPr>
        <w:ind w:left="2160" w:hanging="360"/>
      </w:pPr>
      <w:rPr>
        <w:rFonts w:ascii="Courier New" w:hAnsi="Courier New" w:hint="default"/>
      </w:rPr>
    </w:lvl>
    <w:lvl w:ilvl="2" w:tplc="F90CC838">
      <w:start w:val="1"/>
      <w:numFmt w:val="bullet"/>
      <w:lvlText w:val=""/>
      <w:lvlJc w:val="left"/>
      <w:pPr>
        <w:ind w:left="2880" w:hanging="360"/>
      </w:pPr>
      <w:rPr>
        <w:rFonts w:ascii="Wingdings" w:hAnsi="Wingdings" w:hint="default"/>
      </w:rPr>
    </w:lvl>
    <w:lvl w:ilvl="3" w:tplc="8FD2F85A">
      <w:start w:val="1"/>
      <w:numFmt w:val="bullet"/>
      <w:lvlText w:val=""/>
      <w:lvlJc w:val="left"/>
      <w:pPr>
        <w:ind w:left="3600" w:hanging="360"/>
      </w:pPr>
      <w:rPr>
        <w:rFonts w:ascii="Symbol" w:hAnsi="Symbol" w:hint="default"/>
      </w:rPr>
    </w:lvl>
    <w:lvl w:ilvl="4" w:tplc="361E8E0C">
      <w:start w:val="1"/>
      <w:numFmt w:val="bullet"/>
      <w:lvlText w:val="o"/>
      <w:lvlJc w:val="left"/>
      <w:pPr>
        <w:ind w:left="4320" w:hanging="360"/>
      </w:pPr>
      <w:rPr>
        <w:rFonts w:ascii="Courier New" w:hAnsi="Courier New" w:hint="default"/>
      </w:rPr>
    </w:lvl>
    <w:lvl w:ilvl="5" w:tplc="E806B106">
      <w:start w:val="1"/>
      <w:numFmt w:val="bullet"/>
      <w:lvlText w:val=""/>
      <w:lvlJc w:val="left"/>
      <w:pPr>
        <w:ind w:left="5040" w:hanging="360"/>
      </w:pPr>
      <w:rPr>
        <w:rFonts w:ascii="Wingdings" w:hAnsi="Wingdings" w:hint="default"/>
      </w:rPr>
    </w:lvl>
    <w:lvl w:ilvl="6" w:tplc="C744021E">
      <w:start w:val="1"/>
      <w:numFmt w:val="bullet"/>
      <w:lvlText w:val=""/>
      <w:lvlJc w:val="left"/>
      <w:pPr>
        <w:ind w:left="5760" w:hanging="360"/>
      </w:pPr>
      <w:rPr>
        <w:rFonts w:ascii="Symbol" w:hAnsi="Symbol" w:hint="default"/>
      </w:rPr>
    </w:lvl>
    <w:lvl w:ilvl="7" w:tplc="9BAE0B74">
      <w:start w:val="1"/>
      <w:numFmt w:val="bullet"/>
      <w:lvlText w:val="o"/>
      <w:lvlJc w:val="left"/>
      <w:pPr>
        <w:ind w:left="6480" w:hanging="360"/>
      </w:pPr>
      <w:rPr>
        <w:rFonts w:ascii="Courier New" w:hAnsi="Courier New" w:hint="default"/>
      </w:rPr>
    </w:lvl>
    <w:lvl w:ilvl="8" w:tplc="AEAC9548">
      <w:start w:val="1"/>
      <w:numFmt w:val="bullet"/>
      <w:lvlText w:val=""/>
      <w:lvlJc w:val="left"/>
      <w:pPr>
        <w:ind w:left="7200" w:hanging="360"/>
      </w:pPr>
      <w:rPr>
        <w:rFonts w:ascii="Wingdings" w:hAnsi="Wingdings" w:hint="default"/>
      </w:rPr>
    </w:lvl>
  </w:abstractNum>
  <w:abstractNum w:abstractNumId="525" w15:restartNumberingAfterBreak="0">
    <w:nsid w:val="497022E8"/>
    <w:multiLevelType w:val="multilevel"/>
    <w:tmpl w:val="CEFE9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6" w15:restartNumberingAfterBreak="0">
    <w:nsid w:val="499E8B7D"/>
    <w:multiLevelType w:val="hybridMultilevel"/>
    <w:tmpl w:val="38081C20"/>
    <w:lvl w:ilvl="0" w:tplc="48765800">
      <w:start w:val="1"/>
      <w:numFmt w:val="bullet"/>
      <w:lvlText w:val=""/>
      <w:lvlJc w:val="left"/>
      <w:pPr>
        <w:ind w:left="720" w:hanging="360"/>
      </w:pPr>
      <w:rPr>
        <w:rFonts w:ascii="Symbol" w:hAnsi="Symbol" w:hint="default"/>
      </w:rPr>
    </w:lvl>
    <w:lvl w:ilvl="1" w:tplc="502AAF16">
      <w:start w:val="1"/>
      <w:numFmt w:val="bullet"/>
      <w:lvlText w:val="o"/>
      <w:lvlJc w:val="left"/>
      <w:pPr>
        <w:ind w:left="1440" w:hanging="360"/>
      </w:pPr>
      <w:rPr>
        <w:rFonts w:ascii="Courier New" w:hAnsi="Courier New" w:hint="default"/>
      </w:rPr>
    </w:lvl>
    <w:lvl w:ilvl="2" w:tplc="736A1F32">
      <w:start w:val="1"/>
      <w:numFmt w:val="bullet"/>
      <w:lvlText w:val=""/>
      <w:lvlJc w:val="left"/>
      <w:pPr>
        <w:ind w:left="2160" w:hanging="360"/>
      </w:pPr>
      <w:rPr>
        <w:rFonts w:ascii="Wingdings" w:hAnsi="Wingdings" w:hint="default"/>
      </w:rPr>
    </w:lvl>
    <w:lvl w:ilvl="3" w:tplc="2686261E">
      <w:start w:val="1"/>
      <w:numFmt w:val="bullet"/>
      <w:lvlText w:val=""/>
      <w:lvlJc w:val="left"/>
      <w:pPr>
        <w:ind w:left="2880" w:hanging="360"/>
      </w:pPr>
      <w:rPr>
        <w:rFonts w:ascii="Symbol" w:hAnsi="Symbol" w:hint="default"/>
      </w:rPr>
    </w:lvl>
    <w:lvl w:ilvl="4" w:tplc="C7709A48">
      <w:start w:val="1"/>
      <w:numFmt w:val="bullet"/>
      <w:lvlText w:val="o"/>
      <w:lvlJc w:val="left"/>
      <w:pPr>
        <w:ind w:left="3600" w:hanging="360"/>
      </w:pPr>
      <w:rPr>
        <w:rFonts w:ascii="Courier New" w:hAnsi="Courier New" w:hint="default"/>
      </w:rPr>
    </w:lvl>
    <w:lvl w:ilvl="5" w:tplc="3BC20692">
      <w:start w:val="1"/>
      <w:numFmt w:val="bullet"/>
      <w:lvlText w:val=""/>
      <w:lvlJc w:val="left"/>
      <w:pPr>
        <w:ind w:left="4320" w:hanging="360"/>
      </w:pPr>
      <w:rPr>
        <w:rFonts w:ascii="Wingdings" w:hAnsi="Wingdings" w:hint="default"/>
      </w:rPr>
    </w:lvl>
    <w:lvl w:ilvl="6" w:tplc="5BEABABE">
      <w:start w:val="1"/>
      <w:numFmt w:val="bullet"/>
      <w:lvlText w:val=""/>
      <w:lvlJc w:val="left"/>
      <w:pPr>
        <w:ind w:left="5040" w:hanging="360"/>
      </w:pPr>
      <w:rPr>
        <w:rFonts w:ascii="Symbol" w:hAnsi="Symbol" w:hint="default"/>
      </w:rPr>
    </w:lvl>
    <w:lvl w:ilvl="7" w:tplc="B02E63B4">
      <w:start w:val="1"/>
      <w:numFmt w:val="bullet"/>
      <w:lvlText w:val="o"/>
      <w:lvlJc w:val="left"/>
      <w:pPr>
        <w:ind w:left="5760" w:hanging="360"/>
      </w:pPr>
      <w:rPr>
        <w:rFonts w:ascii="Courier New" w:hAnsi="Courier New" w:hint="default"/>
      </w:rPr>
    </w:lvl>
    <w:lvl w:ilvl="8" w:tplc="8D4403A0">
      <w:start w:val="1"/>
      <w:numFmt w:val="bullet"/>
      <w:lvlText w:val=""/>
      <w:lvlJc w:val="left"/>
      <w:pPr>
        <w:ind w:left="6480" w:hanging="360"/>
      </w:pPr>
      <w:rPr>
        <w:rFonts w:ascii="Wingdings" w:hAnsi="Wingdings" w:hint="default"/>
      </w:rPr>
    </w:lvl>
  </w:abstractNum>
  <w:abstractNum w:abstractNumId="527" w15:restartNumberingAfterBreak="0">
    <w:nsid w:val="49AF2BF9"/>
    <w:multiLevelType w:val="hybridMultilevel"/>
    <w:tmpl w:val="FFFFFFFF"/>
    <w:lvl w:ilvl="0" w:tplc="2A182164">
      <w:start w:val="1"/>
      <w:numFmt w:val="bullet"/>
      <w:lvlText w:val=""/>
      <w:lvlJc w:val="left"/>
      <w:pPr>
        <w:ind w:left="720" w:hanging="360"/>
      </w:pPr>
      <w:rPr>
        <w:rFonts w:ascii="Symbol" w:hAnsi="Symbol" w:hint="default"/>
      </w:rPr>
    </w:lvl>
    <w:lvl w:ilvl="1" w:tplc="73F8692A">
      <w:start w:val="1"/>
      <w:numFmt w:val="bullet"/>
      <w:lvlText w:val="o"/>
      <w:lvlJc w:val="left"/>
      <w:pPr>
        <w:ind w:left="1440" w:hanging="360"/>
      </w:pPr>
      <w:rPr>
        <w:rFonts w:ascii="Courier New" w:hAnsi="Courier New" w:hint="default"/>
      </w:rPr>
    </w:lvl>
    <w:lvl w:ilvl="2" w:tplc="DDBC19B0">
      <w:start w:val="1"/>
      <w:numFmt w:val="bullet"/>
      <w:lvlText w:val=""/>
      <w:lvlJc w:val="left"/>
      <w:pPr>
        <w:ind w:left="2160" w:hanging="360"/>
      </w:pPr>
      <w:rPr>
        <w:rFonts w:ascii="Wingdings" w:hAnsi="Wingdings" w:hint="default"/>
      </w:rPr>
    </w:lvl>
    <w:lvl w:ilvl="3" w:tplc="E6A4CC6A">
      <w:start w:val="1"/>
      <w:numFmt w:val="bullet"/>
      <w:lvlText w:val=""/>
      <w:lvlJc w:val="left"/>
      <w:pPr>
        <w:ind w:left="2880" w:hanging="360"/>
      </w:pPr>
      <w:rPr>
        <w:rFonts w:ascii="Symbol" w:hAnsi="Symbol" w:hint="default"/>
      </w:rPr>
    </w:lvl>
    <w:lvl w:ilvl="4" w:tplc="9D98573C">
      <w:start w:val="1"/>
      <w:numFmt w:val="bullet"/>
      <w:lvlText w:val="o"/>
      <w:lvlJc w:val="left"/>
      <w:pPr>
        <w:ind w:left="3600" w:hanging="360"/>
      </w:pPr>
      <w:rPr>
        <w:rFonts w:ascii="Courier New" w:hAnsi="Courier New" w:hint="default"/>
      </w:rPr>
    </w:lvl>
    <w:lvl w:ilvl="5" w:tplc="EB18783C">
      <w:start w:val="1"/>
      <w:numFmt w:val="bullet"/>
      <w:lvlText w:val=""/>
      <w:lvlJc w:val="left"/>
      <w:pPr>
        <w:ind w:left="4320" w:hanging="360"/>
      </w:pPr>
      <w:rPr>
        <w:rFonts w:ascii="Wingdings" w:hAnsi="Wingdings" w:hint="default"/>
      </w:rPr>
    </w:lvl>
    <w:lvl w:ilvl="6" w:tplc="1E1EC3E0">
      <w:start w:val="1"/>
      <w:numFmt w:val="bullet"/>
      <w:lvlText w:val=""/>
      <w:lvlJc w:val="left"/>
      <w:pPr>
        <w:ind w:left="5040" w:hanging="360"/>
      </w:pPr>
      <w:rPr>
        <w:rFonts w:ascii="Symbol" w:hAnsi="Symbol" w:hint="default"/>
      </w:rPr>
    </w:lvl>
    <w:lvl w:ilvl="7" w:tplc="03A2BE82">
      <w:start w:val="1"/>
      <w:numFmt w:val="bullet"/>
      <w:lvlText w:val="o"/>
      <w:lvlJc w:val="left"/>
      <w:pPr>
        <w:ind w:left="5760" w:hanging="360"/>
      </w:pPr>
      <w:rPr>
        <w:rFonts w:ascii="Courier New" w:hAnsi="Courier New" w:hint="default"/>
      </w:rPr>
    </w:lvl>
    <w:lvl w:ilvl="8" w:tplc="14C8909A">
      <w:start w:val="1"/>
      <w:numFmt w:val="bullet"/>
      <w:lvlText w:val=""/>
      <w:lvlJc w:val="left"/>
      <w:pPr>
        <w:ind w:left="6480" w:hanging="360"/>
      </w:pPr>
      <w:rPr>
        <w:rFonts w:ascii="Wingdings" w:hAnsi="Wingdings" w:hint="default"/>
      </w:rPr>
    </w:lvl>
  </w:abstractNum>
  <w:abstractNum w:abstractNumId="528" w15:restartNumberingAfterBreak="0">
    <w:nsid w:val="49DA7C6F"/>
    <w:multiLevelType w:val="hybridMultilevel"/>
    <w:tmpl w:val="E3C47A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9" w15:restartNumberingAfterBreak="0">
    <w:nsid w:val="4A723599"/>
    <w:multiLevelType w:val="multilevel"/>
    <w:tmpl w:val="E33ACE5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30" w15:restartNumberingAfterBreak="0">
    <w:nsid w:val="4A880683"/>
    <w:multiLevelType w:val="multilevel"/>
    <w:tmpl w:val="06AC7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1" w15:restartNumberingAfterBreak="0">
    <w:nsid w:val="4AE913CB"/>
    <w:multiLevelType w:val="multilevel"/>
    <w:tmpl w:val="0A7CB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2" w15:restartNumberingAfterBreak="0">
    <w:nsid w:val="4AF6742F"/>
    <w:multiLevelType w:val="multilevel"/>
    <w:tmpl w:val="EECEE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3" w15:restartNumberingAfterBreak="0">
    <w:nsid w:val="4AFB3CC3"/>
    <w:multiLevelType w:val="multilevel"/>
    <w:tmpl w:val="75782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4" w15:restartNumberingAfterBreak="0">
    <w:nsid w:val="4B194084"/>
    <w:multiLevelType w:val="multilevel"/>
    <w:tmpl w:val="7C4835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5" w15:restartNumberingAfterBreak="0">
    <w:nsid w:val="4B2B719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36" w15:restartNumberingAfterBreak="0">
    <w:nsid w:val="4B59539E"/>
    <w:multiLevelType w:val="multilevel"/>
    <w:tmpl w:val="16B6A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7" w15:restartNumberingAfterBreak="0">
    <w:nsid w:val="4B5F0EB9"/>
    <w:multiLevelType w:val="hybridMultilevel"/>
    <w:tmpl w:val="6D608312"/>
    <w:lvl w:ilvl="0" w:tplc="B4E68188">
      <w:start w:val="1"/>
      <w:numFmt w:val="bullet"/>
      <w:lvlText w:val=""/>
      <w:lvlJc w:val="left"/>
      <w:pPr>
        <w:ind w:left="547" w:hanging="360"/>
      </w:pPr>
      <w:rPr>
        <w:rFonts w:ascii="Symbol" w:hAnsi="Symbol" w:hint="default"/>
      </w:rPr>
    </w:lvl>
    <w:lvl w:ilvl="1" w:tplc="C0260A5C">
      <w:start w:val="1"/>
      <w:numFmt w:val="bullet"/>
      <w:lvlText w:val="o"/>
      <w:lvlJc w:val="left"/>
      <w:pPr>
        <w:ind w:left="1267" w:hanging="360"/>
      </w:pPr>
      <w:rPr>
        <w:rFonts w:ascii="Courier New" w:hAnsi="Courier New" w:hint="default"/>
      </w:rPr>
    </w:lvl>
    <w:lvl w:ilvl="2" w:tplc="A63CC616">
      <w:start w:val="1"/>
      <w:numFmt w:val="bullet"/>
      <w:lvlText w:val=""/>
      <w:lvlJc w:val="left"/>
      <w:pPr>
        <w:ind w:left="1987" w:hanging="360"/>
      </w:pPr>
      <w:rPr>
        <w:rFonts w:ascii="Wingdings" w:hAnsi="Wingdings" w:hint="default"/>
      </w:rPr>
    </w:lvl>
    <w:lvl w:ilvl="3" w:tplc="ADC0171C">
      <w:start w:val="1"/>
      <w:numFmt w:val="bullet"/>
      <w:lvlText w:val=""/>
      <w:lvlJc w:val="left"/>
      <w:pPr>
        <w:ind w:left="2707" w:hanging="360"/>
      </w:pPr>
      <w:rPr>
        <w:rFonts w:ascii="Symbol" w:hAnsi="Symbol" w:hint="default"/>
      </w:rPr>
    </w:lvl>
    <w:lvl w:ilvl="4" w:tplc="01F80318">
      <w:start w:val="1"/>
      <w:numFmt w:val="bullet"/>
      <w:lvlText w:val="o"/>
      <w:lvlJc w:val="left"/>
      <w:pPr>
        <w:ind w:left="3427" w:hanging="360"/>
      </w:pPr>
      <w:rPr>
        <w:rFonts w:ascii="Courier New" w:hAnsi="Courier New" w:hint="default"/>
      </w:rPr>
    </w:lvl>
    <w:lvl w:ilvl="5" w:tplc="2D023488">
      <w:start w:val="1"/>
      <w:numFmt w:val="bullet"/>
      <w:lvlText w:val=""/>
      <w:lvlJc w:val="left"/>
      <w:pPr>
        <w:ind w:left="4147" w:hanging="360"/>
      </w:pPr>
      <w:rPr>
        <w:rFonts w:ascii="Wingdings" w:hAnsi="Wingdings" w:hint="default"/>
      </w:rPr>
    </w:lvl>
    <w:lvl w:ilvl="6" w:tplc="D330714A">
      <w:start w:val="1"/>
      <w:numFmt w:val="bullet"/>
      <w:lvlText w:val=""/>
      <w:lvlJc w:val="left"/>
      <w:pPr>
        <w:ind w:left="4867" w:hanging="360"/>
      </w:pPr>
      <w:rPr>
        <w:rFonts w:ascii="Symbol" w:hAnsi="Symbol" w:hint="default"/>
      </w:rPr>
    </w:lvl>
    <w:lvl w:ilvl="7" w:tplc="7F125926">
      <w:start w:val="1"/>
      <w:numFmt w:val="bullet"/>
      <w:lvlText w:val="o"/>
      <w:lvlJc w:val="left"/>
      <w:pPr>
        <w:ind w:left="5587" w:hanging="360"/>
      </w:pPr>
      <w:rPr>
        <w:rFonts w:ascii="Courier New" w:hAnsi="Courier New" w:hint="default"/>
      </w:rPr>
    </w:lvl>
    <w:lvl w:ilvl="8" w:tplc="988A5216">
      <w:start w:val="1"/>
      <w:numFmt w:val="bullet"/>
      <w:lvlText w:val=""/>
      <w:lvlJc w:val="left"/>
      <w:pPr>
        <w:ind w:left="6307" w:hanging="360"/>
      </w:pPr>
      <w:rPr>
        <w:rFonts w:ascii="Wingdings" w:hAnsi="Wingdings" w:hint="default"/>
      </w:rPr>
    </w:lvl>
  </w:abstractNum>
  <w:abstractNum w:abstractNumId="538" w15:restartNumberingAfterBreak="0">
    <w:nsid w:val="4BA549A1"/>
    <w:multiLevelType w:val="multilevel"/>
    <w:tmpl w:val="E5A23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9" w15:restartNumberingAfterBreak="0">
    <w:nsid w:val="4BB05840"/>
    <w:multiLevelType w:val="multilevel"/>
    <w:tmpl w:val="BD3094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0" w15:restartNumberingAfterBreak="0">
    <w:nsid w:val="4BB286AD"/>
    <w:multiLevelType w:val="multilevel"/>
    <w:tmpl w:val="96CA59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41" w15:restartNumberingAfterBreak="0">
    <w:nsid w:val="4BBF1998"/>
    <w:multiLevelType w:val="multilevel"/>
    <w:tmpl w:val="2056D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2" w15:restartNumberingAfterBreak="0">
    <w:nsid w:val="4C841EE0"/>
    <w:multiLevelType w:val="multilevel"/>
    <w:tmpl w:val="497C7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3" w15:restartNumberingAfterBreak="0">
    <w:nsid w:val="4CAA55EE"/>
    <w:multiLevelType w:val="multilevel"/>
    <w:tmpl w:val="810AD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4" w15:restartNumberingAfterBreak="0">
    <w:nsid w:val="4CAF2830"/>
    <w:multiLevelType w:val="multilevel"/>
    <w:tmpl w:val="0B96EF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5" w15:restartNumberingAfterBreak="0">
    <w:nsid w:val="4CD49128"/>
    <w:multiLevelType w:val="multilevel"/>
    <w:tmpl w:val="12B4D4D6"/>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546" w15:restartNumberingAfterBreak="0">
    <w:nsid w:val="4CE3515B"/>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547" w15:restartNumberingAfterBreak="0">
    <w:nsid w:val="4D480501"/>
    <w:multiLevelType w:val="multilevel"/>
    <w:tmpl w:val="54300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8" w15:restartNumberingAfterBreak="0">
    <w:nsid w:val="4D532138"/>
    <w:multiLevelType w:val="hybridMultilevel"/>
    <w:tmpl w:val="3B269E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9" w15:restartNumberingAfterBreak="0">
    <w:nsid w:val="4DB43BA7"/>
    <w:multiLevelType w:val="multilevel"/>
    <w:tmpl w:val="4D4E03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0" w15:restartNumberingAfterBreak="0">
    <w:nsid w:val="4E432D9B"/>
    <w:multiLevelType w:val="multilevel"/>
    <w:tmpl w:val="AED6F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1" w15:restartNumberingAfterBreak="0">
    <w:nsid w:val="4E81E29D"/>
    <w:multiLevelType w:val="hybridMultilevel"/>
    <w:tmpl w:val="7C843D12"/>
    <w:lvl w:ilvl="0" w:tplc="6F940D30">
      <w:start w:val="1"/>
      <w:numFmt w:val="bullet"/>
      <w:lvlText w:val=""/>
      <w:lvlJc w:val="left"/>
      <w:pPr>
        <w:ind w:left="720" w:hanging="360"/>
      </w:pPr>
      <w:rPr>
        <w:rFonts w:ascii="Symbol" w:hAnsi="Symbol" w:hint="default"/>
      </w:rPr>
    </w:lvl>
    <w:lvl w:ilvl="1" w:tplc="5E2AE6F8">
      <w:start w:val="1"/>
      <w:numFmt w:val="bullet"/>
      <w:lvlText w:val="o"/>
      <w:lvlJc w:val="left"/>
      <w:pPr>
        <w:ind w:left="1440" w:hanging="360"/>
      </w:pPr>
      <w:rPr>
        <w:rFonts w:ascii="Courier New" w:hAnsi="Courier New" w:hint="default"/>
      </w:rPr>
    </w:lvl>
    <w:lvl w:ilvl="2" w:tplc="76CE5B56">
      <w:start w:val="1"/>
      <w:numFmt w:val="bullet"/>
      <w:lvlText w:val=""/>
      <w:lvlJc w:val="left"/>
      <w:pPr>
        <w:ind w:left="2160" w:hanging="360"/>
      </w:pPr>
      <w:rPr>
        <w:rFonts w:ascii="Wingdings" w:hAnsi="Wingdings" w:hint="default"/>
      </w:rPr>
    </w:lvl>
    <w:lvl w:ilvl="3" w:tplc="4F829E5A">
      <w:start w:val="1"/>
      <w:numFmt w:val="bullet"/>
      <w:lvlText w:val=""/>
      <w:lvlJc w:val="left"/>
      <w:pPr>
        <w:ind w:left="2880" w:hanging="360"/>
      </w:pPr>
      <w:rPr>
        <w:rFonts w:ascii="Symbol" w:hAnsi="Symbol" w:hint="default"/>
      </w:rPr>
    </w:lvl>
    <w:lvl w:ilvl="4" w:tplc="66E4C64A">
      <w:start w:val="1"/>
      <w:numFmt w:val="bullet"/>
      <w:lvlText w:val="o"/>
      <w:lvlJc w:val="left"/>
      <w:pPr>
        <w:ind w:left="3600" w:hanging="360"/>
      </w:pPr>
      <w:rPr>
        <w:rFonts w:ascii="Courier New" w:hAnsi="Courier New" w:hint="default"/>
      </w:rPr>
    </w:lvl>
    <w:lvl w:ilvl="5" w:tplc="AC04978A">
      <w:start w:val="1"/>
      <w:numFmt w:val="bullet"/>
      <w:lvlText w:val=""/>
      <w:lvlJc w:val="left"/>
      <w:pPr>
        <w:ind w:left="4320" w:hanging="360"/>
      </w:pPr>
      <w:rPr>
        <w:rFonts w:ascii="Wingdings" w:hAnsi="Wingdings" w:hint="default"/>
      </w:rPr>
    </w:lvl>
    <w:lvl w:ilvl="6" w:tplc="FEC46D4E">
      <w:start w:val="1"/>
      <w:numFmt w:val="bullet"/>
      <w:lvlText w:val=""/>
      <w:lvlJc w:val="left"/>
      <w:pPr>
        <w:ind w:left="5040" w:hanging="360"/>
      </w:pPr>
      <w:rPr>
        <w:rFonts w:ascii="Symbol" w:hAnsi="Symbol" w:hint="default"/>
      </w:rPr>
    </w:lvl>
    <w:lvl w:ilvl="7" w:tplc="C5363668">
      <w:start w:val="1"/>
      <w:numFmt w:val="bullet"/>
      <w:lvlText w:val="o"/>
      <w:lvlJc w:val="left"/>
      <w:pPr>
        <w:ind w:left="5760" w:hanging="360"/>
      </w:pPr>
      <w:rPr>
        <w:rFonts w:ascii="Courier New" w:hAnsi="Courier New" w:hint="default"/>
      </w:rPr>
    </w:lvl>
    <w:lvl w:ilvl="8" w:tplc="A56A6F6C">
      <w:start w:val="1"/>
      <w:numFmt w:val="bullet"/>
      <w:lvlText w:val=""/>
      <w:lvlJc w:val="left"/>
      <w:pPr>
        <w:ind w:left="6480" w:hanging="360"/>
      </w:pPr>
      <w:rPr>
        <w:rFonts w:ascii="Wingdings" w:hAnsi="Wingdings" w:hint="default"/>
      </w:rPr>
    </w:lvl>
  </w:abstractNum>
  <w:abstractNum w:abstractNumId="552" w15:restartNumberingAfterBreak="0">
    <w:nsid w:val="4EA97B16"/>
    <w:multiLevelType w:val="multilevel"/>
    <w:tmpl w:val="AECC6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3" w15:restartNumberingAfterBreak="0">
    <w:nsid w:val="4EB1D18D"/>
    <w:multiLevelType w:val="hybridMultilevel"/>
    <w:tmpl w:val="F7C4C1B2"/>
    <w:lvl w:ilvl="0" w:tplc="55089E50">
      <w:start w:val="1"/>
      <w:numFmt w:val="bullet"/>
      <w:lvlText w:val=""/>
      <w:lvlJc w:val="left"/>
      <w:pPr>
        <w:ind w:left="720" w:hanging="360"/>
      </w:pPr>
      <w:rPr>
        <w:rFonts w:ascii="Symbol" w:hAnsi="Symbol" w:hint="default"/>
      </w:rPr>
    </w:lvl>
    <w:lvl w:ilvl="1" w:tplc="F57A14B0">
      <w:start w:val="1"/>
      <w:numFmt w:val="bullet"/>
      <w:lvlText w:val="o"/>
      <w:lvlJc w:val="left"/>
      <w:pPr>
        <w:ind w:left="1440" w:hanging="360"/>
      </w:pPr>
      <w:rPr>
        <w:rFonts w:ascii="Courier New" w:hAnsi="Courier New" w:hint="default"/>
      </w:rPr>
    </w:lvl>
    <w:lvl w:ilvl="2" w:tplc="0B787E20">
      <w:start w:val="1"/>
      <w:numFmt w:val="bullet"/>
      <w:lvlText w:val=""/>
      <w:lvlJc w:val="left"/>
      <w:pPr>
        <w:ind w:left="2160" w:hanging="360"/>
      </w:pPr>
      <w:rPr>
        <w:rFonts w:ascii="Wingdings" w:hAnsi="Wingdings" w:hint="default"/>
      </w:rPr>
    </w:lvl>
    <w:lvl w:ilvl="3" w:tplc="1456911E">
      <w:start w:val="1"/>
      <w:numFmt w:val="bullet"/>
      <w:lvlText w:val=""/>
      <w:lvlJc w:val="left"/>
      <w:pPr>
        <w:ind w:left="2880" w:hanging="360"/>
      </w:pPr>
      <w:rPr>
        <w:rFonts w:ascii="Symbol" w:hAnsi="Symbol" w:hint="default"/>
      </w:rPr>
    </w:lvl>
    <w:lvl w:ilvl="4" w:tplc="8F1CBF28">
      <w:start w:val="1"/>
      <w:numFmt w:val="bullet"/>
      <w:lvlText w:val="o"/>
      <w:lvlJc w:val="left"/>
      <w:pPr>
        <w:ind w:left="3600" w:hanging="360"/>
      </w:pPr>
      <w:rPr>
        <w:rFonts w:ascii="Courier New" w:hAnsi="Courier New" w:hint="default"/>
      </w:rPr>
    </w:lvl>
    <w:lvl w:ilvl="5" w:tplc="0852A94E">
      <w:start w:val="1"/>
      <w:numFmt w:val="bullet"/>
      <w:lvlText w:val=""/>
      <w:lvlJc w:val="left"/>
      <w:pPr>
        <w:ind w:left="4320" w:hanging="360"/>
      </w:pPr>
      <w:rPr>
        <w:rFonts w:ascii="Wingdings" w:hAnsi="Wingdings" w:hint="default"/>
      </w:rPr>
    </w:lvl>
    <w:lvl w:ilvl="6" w:tplc="A27E535A">
      <w:start w:val="1"/>
      <w:numFmt w:val="bullet"/>
      <w:lvlText w:val=""/>
      <w:lvlJc w:val="left"/>
      <w:pPr>
        <w:ind w:left="5040" w:hanging="360"/>
      </w:pPr>
      <w:rPr>
        <w:rFonts w:ascii="Symbol" w:hAnsi="Symbol" w:hint="default"/>
      </w:rPr>
    </w:lvl>
    <w:lvl w:ilvl="7" w:tplc="3258B69A">
      <w:start w:val="1"/>
      <w:numFmt w:val="bullet"/>
      <w:lvlText w:val="o"/>
      <w:lvlJc w:val="left"/>
      <w:pPr>
        <w:ind w:left="5760" w:hanging="360"/>
      </w:pPr>
      <w:rPr>
        <w:rFonts w:ascii="Courier New" w:hAnsi="Courier New" w:hint="default"/>
      </w:rPr>
    </w:lvl>
    <w:lvl w:ilvl="8" w:tplc="E01C22A6">
      <w:start w:val="1"/>
      <w:numFmt w:val="bullet"/>
      <w:lvlText w:val=""/>
      <w:lvlJc w:val="left"/>
      <w:pPr>
        <w:ind w:left="6480" w:hanging="360"/>
      </w:pPr>
      <w:rPr>
        <w:rFonts w:ascii="Wingdings" w:hAnsi="Wingdings" w:hint="default"/>
      </w:rPr>
    </w:lvl>
  </w:abstractNum>
  <w:abstractNum w:abstractNumId="554" w15:restartNumberingAfterBreak="0">
    <w:nsid w:val="4ED3FB4C"/>
    <w:multiLevelType w:val="hybridMultilevel"/>
    <w:tmpl w:val="3D4AAC62"/>
    <w:lvl w:ilvl="0" w:tplc="A3487344">
      <w:start w:val="1"/>
      <w:numFmt w:val="lowerLetter"/>
      <w:lvlText w:val="%1."/>
      <w:lvlJc w:val="left"/>
      <w:pPr>
        <w:ind w:left="720" w:hanging="360"/>
      </w:pPr>
    </w:lvl>
    <w:lvl w:ilvl="1" w:tplc="5E623D92">
      <w:start w:val="1"/>
      <w:numFmt w:val="lowerLetter"/>
      <w:lvlText w:val="%2."/>
      <w:lvlJc w:val="left"/>
      <w:pPr>
        <w:ind w:left="1440" w:hanging="360"/>
      </w:pPr>
    </w:lvl>
    <w:lvl w:ilvl="2" w:tplc="5D120C78">
      <w:start w:val="1"/>
      <w:numFmt w:val="lowerRoman"/>
      <w:lvlText w:val="%3."/>
      <w:lvlJc w:val="right"/>
      <w:pPr>
        <w:ind w:left="2160" w:hanging="180"/>
      </w:pPr>
    </w:lvl>
    <w:lvl w:ilvl="3" w:tplc="942262BA">
      <w:start w:val="1"/>
      <w:numFmt w:val="decimal"/>
      <w:lvlText w:val="%4."/>
      <w:lvlJc w:val="left"/>
      <w:pPr>
        <w:ind w:left="2880" w:hanging="360"/>
      </w:pPr>
    </w:lvl>
    <w:lvl w:ilvl="4" w:tplc="0CA4590C">
      <w:start w:val="1"/>
      <w:numFmt w:val="lowerLetter"/>
      <w:lvlText w:val="%5."/>
      <w:lvlJc w:val="left"/>
      <w:pPr>
        <w:ind w:left="3600" w:hanging="360"/>
      </w:pPr>
    </w:lvl>
    <w:lvl w:ilvl="5" w:tplc="7CE6FAF8">
      <w:start w:val="1"/>
      <w:numFmt w:val="lowerRoman"/>
      <w:lvlText w:val="%6."/>
      <w:lvlJc w:val="right"/>
      <w:pPr>
        <w:ind w:left="4320" w:hanging="180"/>
      </w:pPr>
    </w:lvl>
    <w:lvl w:ilvl="6" w:tplc="95D81954">
      <w:start w:val="1"/>
      <w:numFmt w:val="decimal"/>
      <w:lvlText w:val="%7."/>
      <w:lvlJc w:val="left"/>
      <w:pPr>
        <w:ind w:left="5040" w:hanging="360"/>
      </w:pPr>
    </w:lvl>
    <w:lvl w:ilvl="7" w:tplc="EEEC5CA2">
      <w:start w:val="1"/>
      <w:numFmt w:val="lowerLetter"/>
      <w:lvlText w:val="%8."/>
      <w:lvlJc w:val="left"/>
      <w:pPr>
        <w:ind w:left="5760" w:hanging="360"/>
      </w:pPr>
    </w:lvl>
    <w:lvl w:ilvl="8" w:tplc="3612AF4A">
      <w:start w:val="1"/>
      <w:numFmt w:val="lowerRoman"/>
      <w:lvlText w:val="%9."/>
      <w:lvlJc w:val="right"/>
      <w:pPr>
        <w:ind w:left="6480" w:hanging="180"/>
      </w:pPr>
    </w:lvl>
  </w:abstractNum>
  <w:abstractNum w:abstractNumId="555" w15:restartNumberingAfterBreak="0">
    <w:nsid w:val="4EED213B"/>
    <w:multiLevelType w:val="multilevel"/>
    <w:tmpl w:val="249615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56" w15:restartNumberingAfterBreak="0">
    <w:nsid w:val="4F3B030F"/>
    <w:multiLevelType w:val="hybridMultilevel"/>
    <w:tmpl w:val="7BD886B8"/>
    <w:lvl w:ilvl="0" w:tplc="BE24F424">
      <w:start w:val="1"/>
      <w:numFmt w:val="bullet"/>
      <w:lvlText w:val=""/>
      <w:lvlJc w:val="left"/>
      <w:pPr>
        <w:ind w:left="720" w:hanging="360"/>
      </w:pPr>
      <w:rPr>
        <w:rFonts w:ascii="Symbol" w:hAnsi="Symbol" w:hint="default"/>
      </w:rPr>
    </w:lvl>
    <w:lvl w:ilvl="1" w:tplc="A8C081F2">
      <w:start w:val="1"/>
      <w:numFmt w:val="bullet"/>
      <w:lvlText w:val="o"/>
      <w:lvlJc w:val="left"/>
      <w:pPr>
        <w:ind w:left="1440" w:hanging="360"/>
      </w:pPr>
      <w:rPr>
        <w:rFonts w:ascii="Courier New" w:hAnsi="Courier New" w:hint="default"/>
      </w:rPr>
    </w:lvl>
    <w:lvl w:ilvl="2" w:tplc="9296174A">
      <w:start w:val="1"/>
      <w:numFmt w:val="bullet"/>
      <w:lvlText w:val=""/>
      <w:lvlJc w:val="left"/>
      <w:pPr>
        <w:ind w:left="2160" w:hanging="360"/>
      </w:pPr>
      <w:rPr>
        <w:rFonts w:ascii="Wingdings" w:hAnsi="Wingdings" w:hint="default"/>
      </w:rPr>
    </w:lvl>
    <w:lvl w:ilvl="3" w:tplc="EFF64AE8">
      <w:start w:val="1"/>
      <w:numFmt w:val="bullet"/>
      <w:lvlText w:val=""/>
      <w:lvlJc w:val="left"/>
      <w:pPr>
        <w:ind w:left="2880" w:hanging="360"/>
      </w:pPr>
      <w:rPr>
        <w:rFonts w:ascii="Symbol" w:hAnsi="Symbol" w:hint="default"/>
      </w:rPr>
    </w:lvl>
    <w:lvl w:ilvl="4" w:tplc="0CFEABE0">
      <w:start w:val="1"/>
      <w:numFmt w:val="bullet"/>
      <w:lvlText w:val="o"/>
      <w:lvlJc w:val="left"/>
      <w:pPr>
        <w:ind w:left="3600" w:hanging="360"/>
      </w:pPr>
      <w:rPr>
        <w:rFonts w:ascii="Courier New" w:hAnsi="Courier New" w:hint="default"/>
      </w:rPr>
    </w:lvl>
    <w:lvl w:ilvl="5" w:tplc="207EE79E">
      <w:start w:val="1"/>
      <w:numFmt w:val="bullet"/>
      <w:lvlText w:val=""/>
      <w:lvlJc w:val="left"/>
      <w:pPr>
        <w:ind w:left="4320" w:hanging="360"/>
      </w:pPr>
      <w:rPr>
        <w:rFonts w:ascii="Wingdings" w:hAnsi="Wingdings" w:hint="default"/>
      </w:rPr>
    </w:lvl>
    <w:lvl w:ilvl="6" w:tplc="45380C18">
      <w:start w:val="1"/>
      <w:numFmt w:val="bullet"/>
      <w:lvlText w:val=""/>
      <w:lvlJc w:val="left"/>
      <w:pPr>
        <w:ind w:left="5040" w:hanging="360"/>
      </w:pPr>
      <w:rPr>
        <w:rFonts w:ascii="Symbol" w:hAnsi="Symbol" w:hint="default"/>
      </w:rPr>
    </w:lvl>
    <w:lvl w:ilvl="7" w:tplc="3B405F44">
      <w:start w:val="1"/>
      <w:numFmt w:val="bullet"/>
      <w:lvlText w:val="o"/>
      <w:lvlJc w:val="left"/>
      <w:pPr>
        <w:ind w:left="5760" w:hanging="360"/>
      </w:pPr>
      <w:rPr>
        <w:rFonts w:ascii="Courier New" w:hAnsi="Courier New" w:hint="default"/>
      </w:rPr>
    </w:lvl>
    <w:lvl w:ilvl="8" w:tplc="44A831AE">
      <w:start w:val="1"/>
      <w:numFmt w:val="bullet"/>
      <w:lvlText w:val=""/>
      <w:lvlJc w:val="left"/>
      <w:pPr>
        <w:ind w:left="6480" w:hanging="360"/>
      </w:pPr>
      <w:rPr>
        <w:rFonts w:ascii="Wingdings" w:hAnsi="Wingdings" w:hint="default"/>
      </w:rPr>
    </w:lvl>
  </w:abstractNum>
  <w:abstractNum w:abstractNumId="557" w15:restartNumberingAfterBreak="0">
    <w:nsid w:val="4F59BCC4"/>
    <w:multiLevelType w:val="multilevel"/>
    <w:tmpl w:val="454E35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58" w15:restartNumberingAfterBreak="0">
    <w:nsid w:val="4F662F15"/>
    <w:multiLevelType w:val="multilevel"/>
    <w:tmpl w:val="0994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9" w15:restartNumberingAfterBreak="0">
    <w:nsid w:val="4F81EDAB"/>
    <w:multiLevelType w:val="hybridMultilevel"/>
    <w:tmpl w:val="F836EA90"/>
    <w:lvl w:ilvl="0" w:tplc="1548B20C">
      <w:start w:val="1"/>
      <w:numFmt w:val="decimal"/>
      <w:lvlText w:val="%1."/>
      <w:lvlJc w:val="left"/>
      <w:pPr>
        <w:ind w:left="547" w:hanging="360"/>
      </w:pPr>
    </w:lvl>
    <w:lvl w:ilvl="1" w:tplc="52E45256">
      <w:start w:val="1"/>
      <w:numFmt w:val="lowerLetter"/>
      <w:lvlText w:val="%2."/>
      <w:lvlJc w:val="left"/>
      <w:pPr>
        <w:ind w:left="1267" w:hanging="360"/>
      </w:pPr>
      <w:rPr>
        <w:b w:val="0"/>
        <w:bCs w:val="0"/>
      </w:rPr>
    </w:lvl>
    <w:lvl w:ilvl="2" w:tplc="393E6E64">
      <w:start w:val="1"/>
      <w:numFmt w:val="lowerRoman"/>
      <w:lvlText w:val="%3."/>
      <w:lvlJc w:val="right"/>
      <w:pPr>
        <w:ind w:left="1987" w:hanging="180"/>
      </w:pPr>
    </w:lvl>
    <w:lvl w:ilvl="3" w:tplc="56182D50">
      <w:start w:val="1"/>
      <w:numFmt w:val="decimal"/>
      <w:lvlText w:val="%4."/>
      <w:lvlJc w:val="left"/>
      <w:pPr>
        <w:ind w:left="2707" w:hanging="360"/>
      </w:pPr>
    </w:lvl>
    <w:lvl w:ilvl="4" w:tplc="C5D87442">
      <w:start w:val="1"/>
      <w:numFmt w:val="lowerLetter"/>
      <w:lvlText w:val="%5."/>
      <w:lvlJc w:val="left"/>
      <w:pPr>
        <w:ind w:left="3427" w:hanging="360"/>
      </w:pPr>
    </w:lvl>
    <w:lvl w:ilvl="5" w:tplc="901AD850">
      <w:start w:val="1"/>
      <w:numFmt w:val="lowerRoman"/>
      <w:lvlText w:val="%6."/>
      <w:lvlJc w:val="right"/>
      <w:pPr>
        <w:ind w:left="4147" w:hanging="180"/>
      </w:pPr>
    </w:lvl>
    <w:lvl w:ilvl="6" w:tplc="F35EF77E">
      <w:start w:val="1"/>
      <w:numFmt w:val="decimal"/>
      <w:lvlText w:val="%7."/>
      <w:lvlJc w:val="left"/>
      <w:pPr>
        <w:ind w:left="4867" w:hanging="360"/>
      </w:pPr>
    </w:lvl>
    <w:lvl w:ilvl="7" w:tplc="42D44968">
      <w:start w:val="1"/>
      <w:numFmt w:val="lowerLetter"/>
      <w:lvlText w:val="%8."/>
      <w:lvlJc w:val="left"/>
      <w:pPr>
        <w:ind w:left="5587" w:hanging="360"/>
      </w:pPr>
    </w:lvl>
    <w:lvl w:ilvl="8" w:tplc="9A124A1A">
      <w:start w:val="1"/>
      <w:numFmt w:val="lowerRoman"/>
      <w:lvlText w:val="%9."/>
      <w:lvlJc w:val="right"/>
      <w:pPr>
        <w:ind w:left="6307" w:hanging="180"/>
      </w:pPr>
    </w:lvl>
  </w:abstractNum>
  <w:abstractNum w:abstractNumId="560" w15:restartNumberingAfterBreak="0">
    <w:nsid w:val="4F8EBD0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561" w15:restartNumberingAfterBreak="0">
    <w:nsid w:val="4F942A0B"/>
    <w:multiLevelType w:val="hybridMultilevel"/>
    <w:tmpl w:val="369A025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62" w15:restartNumberingAfterBreak="0">
    <w:nsid w:val="4FAD1CE9"/>
    <w:multiLevelType w:val="hybridMultilevel"/>
    <w:tmpl w:val="E63E9868"/>
    <w:lvl w:ilvl="0" w:tplc="7456A16E">
      <w:start w:val="1"/>
      <w:numFmt w:val="bullet"/>
      <w:lvlText w:val=""/>
      <w:lvlJc w:val="left"/>
      <w:pPr>
        <w:ind w:left="720" w:hanging="360"/>
      </w:pPr>
      <w:rPr>
        <w:rFonts w:ascii="Symbol" w:hAnsi="Symbol" w:hint="default"/>
      </w:rPr>
    </w:lvl>
    <w:lvl w:ilvl="1" w:tplc="994A3812">
      <w:start w:val="1"/>
      <w:numFmt w:val="bullet"/>
      <w:lvlText w:val="o"/>
      <w:lvlJc w:val="left"/>
      <w:pPr>
        <w:ind w:left="1440" w:hanging="360"/>
      </w:pPr>
      <w:rPr>
        <w:rFonts w:ascii="Courier New" w:hAnsi="Courier New" w:hint="default"/>
      </w:rPr>
    </w:lvl>
    <w:lvl w:ilvl="2" w:tplc="92904002">
      <w:start w:val="1"/>
      <w:numFmt w:val="bullet"/>
      <w:lvlText w:val=""/>
      <w:lvlJc w:val="left"/>
      <w:pPr>
        <w:ind w:left="2160" w:hanging="360"/>
      </w:pPr>
      <w:rPr>
        <w:rFonts w:ascii="Wingdings" w:hAnsi="Wingdings" w:hint="default"/>
      </w:rPr>
    </w:lvl>
    <w:lvl w:ilvl="3" w:tplc="084CBC98">
      <w:start w:val="1"/>
      <w:numFmt w:val="bullet"/>
      <w:lvlText w:val=""/>
      <w:lvlJc w:val="left"/>
      <w:pPr>
        <w:ind w:left="2880" w:hanging="360"/>
      </w:pPr>
      <w:rPr>
        <w:rFonts w:ascii="Symbol" w:hAnsi="Symbol" w:hint="default"/>
      </w:rPr>
    </w:lvl>
    <w:lvl w:ilvl="4" w:tplc="951A85EA">
      <w:start w:val="1"/>
      <w:numFmt w:val="bullet"/>
      <w:lvlText w:val="o"/>
      <w:lvlJc w:val="left"/>
      <w:pPr>
        <w:ind w:left="3600" w:hanging="360"/>
      </w:pPr>
      <w:rPr>
        <w:rFonts w:ascii="Courier New" w:hAnsi="Courier New" w:hint="default"/>
      </w:rPr>
    </w:lvl>
    <w:lvl w:ilvl="5" w:tplc="D61441C0">
      <w:start w:val="1"/>
      <w:numFmt w:val="bullet"/>
      <w:lvlText w:val=""/>
      <w:lvlJc w:val="left"/>
      <w:pPr>
        <w:ind w:left="4320" w:hanging="360"/>
      </w:pPr>
      <w:rPr>
        <w:rFonts w:ascii="Wingdings" w:hAnsi="Wingdings" w:hint="default"/>
      </w:rPr>
    </w:lvl>
    <w:lvl w:ilvl="6" w:tplc="E5EC2BDE">
      <w:start w:val="1"/>
      <w:numFmt w:val="bullet"/>
      <w:lvlText w:val=""/>
      <w:lvlJc w:val="left"/>
      <w:pPr>
        <w:ind w:left="5040" w:hanging="360"/>
      </w:pPr>
      <w:rPr>
        <w:rFonts w:ascii="Symbol" w:hAnsi="Symbol" w:hint="default"/>
      </w:rPr>
    </w:lvl>
    <w:lvl w:ilvl="7" w:tplc="5B0E9EDC">
      <w:start w:val="1"/>
      <w:numFmt w:val="bullet"/>
      <w:lvlText w:val="o"/>
      <w:lvlJc w:val="left"/>
      <w:pPr>
        <w:ind w:left="5760" w:hanging="360"/>
      </w:pPr>
      <w:rPr>
        <w:rFonts w:ascii="Courier New" w:hAnsi="Courier New" w:hint="default"/>
      </w:rPr>
    </w:lvl>
    <w:lvl w:ilvl="8" w:tplc="0BF065E8">
      <w:start w:val="1"/>
      <w:numFmt w:val="bullet"/>
      <w:lvlText w:val=""/>
      <w:lvlJc w:val="left"/>
      <w:pPr>
        <w:ind w:left="6480" w:hanging="360"/>
      </w:pPr>
      <w:rPr>
        <w:rFonts w:ascii="Wingdings" w:hAnsi="Wingdings" w:hint="default"/>
      </w:rPr>
    </w:lvl>
  </w:abstractNum>
  <w:abstractNum w:abstractNumId="563" w15:restartNumberingAfterBreak="0">
    <w:nsid w:val="4FC83206"/>
    <w:multiLevelType w:val="hybridMultilevel"/>
    <w:tmpl w:val="4ABCA59C"/>
    <w:lvl w:ilvl="0" w:tplc="EB5486CC">
      <w:start w:val="1"/>
      <w:numFmt w:val="bullet"/>
      <w:lvlText w:val=""/>
      <w:lvlJc w:val="left"/>
      <w:pPr>
        <w:ind w:left="547" w:hanging="360"/>
      </w:pPr>
      <w:rPr>
        <w:rFonts w:ascii="Symbol" w:hAnsi="Symbol" w:hint="default"/>
      </w:rPr>
    </w:lvl>
    <w:lvl w:ilvl="1" w:tplc="AC2A6B50">
      <w:start w:val="1"/>
      <w:numFmt w:val="bullet"/>
      <w:lvlText w:val="o"/>
      <w:lvlJc w:val="left"/>
      <w:pPr>
        <w:ind w:left="1267" w:hanging="360"/>
      </w:pPr>
      <w:rPr>
        <w:rFonts w:ascii="Courier New" w:hAnsi="Courier New" w:hint="default"/>
      </w:rPr>
    </w:lvl>
    <w:lvl w:ilvl="2" w:tplc="7EC4B280">
      <w:start w:val="1"/>
      <w:numFmt w:val="bullet"/>
      <w:lvlText w:val=""/>
      <w:lvlJc w:val="left"/>
      <w:pPr>
        <w:ind w:left="1987" w:hanging="360"/>
      </w:pPr>
      <w:rPr>
        <w:rFonts w:ascii="Wingdings" w:hAnsi="Wingdings" w:hint="default"/>
      </w:rPr>
    </w:lvl>
    <w:lvl w:ilvl="3" w:tplc="756E7392">
      <w:start w:val="1"/>
      <w:numFmt w:val="bullet"/>
      <w:lvlText w:val=""/>
      <w:lvlJc w:val="left"/>
      <w:pPr>
        <w:ind w:left="2707" w:hanging="360"/>
      </w:pPr>
      <w:rPr>
        <w:rFonts w:ascii="Symbol" w:hAnsi="Symbol" w:hint="default"/>
      </w:rPr>
    </w:lvl>
    <w:lvl w:ilvl="4" w:tplc="33661B60">
      <w:start w:val="1"/>
      <w:numFmt w:val="bullet"/>
      <w:lvlText w:val="o"/>
      <w:lvlJc w:val="left"/>
      <w:pPr>
        <w:ind w:left="3427" w:hanging="360"/>
      </w:pPr>
      <w:rPr>
        <w:rFonts w:ascii="Courier New" w:hAnsi="Courier New" w:hint="default"/>
      </w:rPr>
    </w:lvl>
    <w:lvl w:ilvl="5" w:tplc="95E600A4">
      <w:start w:val="1"/>
      <w:numFmt w:val="bullet"/>
      <w:lvlText w:val=""/>
      <w:lvlJc w:val="left"/>
      <w:pPr>
        <w:ind w:left="4147" w:hanging="360"/>
      </w:pPr>
      <w:rPr>
        <w:rFonts w:ascii="Wingdings" w:hAnsi="Wingdings" w:hint="default"/>
      </w:rPr>
    </w:lvl>
    <w:lvl w:ilvl="6" w:tplc="D06C4EF2">
      <w:start w:val="1"/>
      <w:numFmt w:val="bullet"/>
      <w:lvlText w:val=""/>
      <w:lvlJc w:val="left"/>
      <w:pPr>
        <w:ind w:left="4867" w:hanging="360"/>
      </w:pPr>
      <w:rPr>
        <w:rFonts w:ascii="Symbol" w:hAnsi="Symbol" w:hint="default"/>
      </w:rPr>
    </w:lvl>
    <w:lvl w:ilvl="7" w:tplc="0E646CD6">
      <w:start w:val="1"/>
      <w:numFmt w:val="bullet"/>
      <w:lvlText w:val="o"/>
      <w:lvlJc w:val="left"/>
      <w:pPr>
        <w:ind w:left="5587" w:hanging="360"/>
      </w:pPr>
      <w:rPr>
        <w:rFonts w:ascii="Courier New" w:hAnsi="Courier New" w:hint="default"/>
      </w:rPr>
    </w:lvl>
    <w:lvl w:ilvl="8" w:tplc="CC82175C">
      <w:start w:val="1"/>
      <w:numFmt w:val="bullet"/>
      <w:lvlText w:val=""/>
      <w:lvlJc w:val="left"/>
      <w:pPr>
        <w:ind w:left="6307" w:hanging="360"/>
      </w:pPr>
      <w:rPr>
        <w:rFonts w:ascii="Wingdings" w:hAnsi="Wingdings" w:hint="default"/>
      </w:rPr>
    </w:lvl>
  </w:abstractNum>
  <w:abstractNum w:abstractNumId="564" w15:restartNumberingAfterBreak="0">
    <w:nsid w:val="4FD560F4"/>
    <w:multiLevelType w:val="hybridMultilevel"/>
    <w:tmpl w:val="54A0EC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5" w15:restartNumberingAfterBreak="0">
    <w:nsid w:val="4FF66851"/>
    <w:multiLevelType w:val="multilevel"/>
    <w:tmpl w:val="5C464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6" w15:restartNumberingAfterBreak="0">
    <w:nsid w:val="500175C4"/>
    <w:multiLevelType w:val="multilevel"/>
    <w:tmpl w:val="56520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7" w15:restartNumberingAfterBreak="0">
    <w:nsid w:val="50173F18"/>
    <w:multiLevelType w:val="hybridMultilevel"/>
    <w:tmpl w:val="91783F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8" w15:restartNumberingAfterBreak="0">
    <w:nsid w:val="502BA581"/>
    <w:multiLevelType w:val="hybridMultilevel"/>
    <w:tmpl w:val="67385DF2"/>
    <w:lvl w:ilvl="0" w:tplc="8AEAAFB8">
      <w:start w:val="1"/>
      <w:numFmt w:val="bullet"/>
      <w:lvlText w:val=""/>
      <w:lvlJc w:val="left"/>
      <w:pPr>
        <w:ind w:left="720" w:hanging="360"/>
      </w:pPr>
      <w:rPr>
        <w:rFonts w:ascii="Symbol" w:hAnsi="Symbol" w:hint="default"/>
      </w:rPr>
    </w:lvl>
    <w:lvl w:ilvl="1" w:tplc="C0C86592">
      <w:start w:val="1"/>
      <w:numFmt w:val="bullet"/>
      <w:lvlText w:val="o"/>
      <w:lvlJc w:val="left"/>
      <w:pPr>
        <w:ind w:left="1440" w:hanging="360"/>
      </w:pPr>
      <w:rPr>
        <w:rFonts w:ascii="Courier New" w:hAnsi="Courier New" w:hint="default"/>
      </w:rPr>
    </w:lvl>
    <w:lvl w:ilvl="2" w:tplc="0CB022AE">
      <w:start w:val="1"/>
      <w:numFmt w:val="bullet"/>
      <w:lvlText w:val=""/>
      <w:lvlJc w:val="left"/>
      <w:pPr>
        <w:ind w:left="2160" w:hanging="360"/>
      </w:pPr>
      <w:rPr>
        <w:rFonts w:ascii="Wingdings" w:hAnsi="Wingdings" w:hint="default"/>
      </w:rPr>
    </w:lvl>
    <w:lvl w:ilvl="3" w:tplc="DDAA6C30">
      <w:start w:val="1"/>
      <w:numFmt w:val="bullet"/>
      <w:lvlText w:val=""/>
      <w:lvlJc w:val="left"/>
      <w:pPr>
        <w:ind w:left="2880" w:hanging="360"/>
      </w:pPr>
      <w:rPr>
        <w:rFonts w:ascii="Symbol" w:hAnsi="Symbol" w:hint="default"/>
      </w:rPr>
    </w:lvl>
    <w:lvl w:ilvl="4" w:tplc="C4DCE604">
      <w:start w:val="1"/>
      <w:numFmt w:val="bullet"/>
      <w:lvlText w:val="o"/>
      <w:lvlJc w:val="left"/>
      <w:pPr>
        <w:ind w:left="3600" w:hanging="360"/>
      </w:pPr>
      <w:rPr>
        <w:rFonts w:ascii="Courier New" w:hAnsi="Courier New" w:hint="default"/>
      </w:rPr>
    </w:lvl>
    <w:lvl w:ilvl="5" w:tplc="E59C1370">
      <w:start w:val="1"/>
      <w:numFmt w:val="bullet"/>
      <w:lvlText w:val=""/>
      <w:lvlJc w:val="left"/>
      <w:pPr>
        <w:ind w:left="4320" w:hanging="360"/>
      </w:pPr>
      <w:rPr>
        <w:rFonts w:ascii="Wingdings" w:hAnsi="Wingdings" w:hint="default"/>
      </w:rPr>
    </w:lvl>
    <w:lvl w:ilvl="6" w:tplc="2EDE539E">
      <w:start w:val="1"/>
      <w:numFmt w:val="bullet"/>
      <w:lvlText w:val=""/>
      <w:lvlJc w:val="left"/>
      <w:pPr>
        <w:ind w:left="5040" w:hanging="360"/>
      </w:pPr>
      <w:rPr>
        <w:rFonts w:ascii="Symbol" w:hAnsi="Symbol" w:hint="default"/>
      </w:rPr>
    </w:lvl>
    <w:lvl w:ilvl="7" w:tplc="604A4ECE">
      <w:start w:val="1"/>
      <w:numFmt w:val="bullet"/>
      <w:lvlText w:val="o"/>
      <w:lvlJc w:val="left"/>
      <w:pPr>
        <w:ind w:left="5760" w:hanging="360"/>
      </w:pPr>
      <w:rPr>
        <w:rFonts w:ascii="Courier New" w:hAnsi="Courier New" w:hint="default"/>
      </w:rPr>
    </w:lvl>
    <w:lvl w:ilvl="8" w:tplc="A0707AE4">
      <w:start w:val="1"/>
      <w:numFmt w:val="bullet"/>
      <w:lvlText w:val=""/>
      <w:lvlJc w:val="left"/>
      <w:pPr>
        <w:ind w:left="6480" w:hanging="360"/>
      </w:pPr>
      <w:rPr>
        <w:rFonts w:ascii="Wingdings" w:hAnsi="Wingdings" w:hint="default"/>
      </w:rPr>
    </w:lvl>
  </w:abstractNum>
  <w:abstractNum w:abstractNumId="569" w15:restartNumberingAfterBreak="0">
    <w:nsid w:val="50533615"/>
    <w:multiLevelType w:val="multilevel"/>
    <w:tmpl w:val="F086C8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0" w15:restartNumberingAfterBreak="0">
    <w:nsid w:val="506D2D26"/>
    <w:multiLevelType w:val="multilevel"/>
    <w:tmpl w:val="A3241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1" w15:restartNumberingAfterBreak="0">
    <w:nsid w:val="507602B6"/>
    <w:multiLevelType w:val="hybridMultilevel"/>
    <w:tmpl w:val="7284CCEC"/>
    <w:lvl w:ilvl="0" w:tplc="040C0001">
      <w:start w:val="1"/>
      <w:numFmt w:val="bullet"/>
      <w:lvlText w:val=""/>
      <w:lvlJc w:val="left"/>
      <w:pPr>
        <w:ind w:left="907" w:hanging="360"/>
      </w:pPr>
      <w:rPr>
        <w:rFonts w:ascii="Symbol" w:hAnsi="Symbol" w:hint="default"/>
      </w:rPr>
    </w:lvl>
    <w:lvl w:ilvl="1" w:tplc="040C0003" w:tentative="1">
      <w:start w:val="1"/>
      <w:numFmt w:val="bullet"/>
      <w:lvlText w:val="o"/>
      <w:lvlJc w:val="left"/>
      <w:pPr>
        <w:ind w:left="1627" w:hanging="360"/>
      </w:pPr>
      <w:rPr>
        <w:rFonts w:ascii="Courier New" w:hAnsi="Courier New" w:cs="Courier New" w:hint="default"/>
      </w:rPr>
    </w:lvl>
    <w:lvl w:ilvl="2" w:tplc="040C0005" w:tentative="1">
      <w:start w:val="1"/>
      <w:numFmt w:val="bullet"/>
      <w:lvlText w:val=""/>
      <w:lvlJc w:val="left"/>
      <w:pPr>
        <w:ind w:left="2347" w:hanging="360"/>
      </w:pPr>
      <w:rPr>
        <w:rFonts w:ascii="Wingdings" w:hAnsi="Wingdings" w:hint="default"/>
      </w:rPr>
    </w:lvl>
    <w:lvl w:ilvl="3" w:tplc="040C0001" w:tentative="1">
      <w:start w:val="1"/>
      <w:numFmt w:val="bullet"/>
      <w:lvlText w:val=""/>
      <w:lvlJc w:val="left"/>
      <w:pPr>
        <w:ind w:left="3067" w:hanging="360"/>
      </w:pPr>
      <w:rPr>
        <w:rFonts w:ascii="Symbol" w:hAnsi="Symbol" w:hint="default"/>
      </w:rPr>
    </w:lvl>
    <w:lvl w:ilvl="4" w:tplc="040C0003" w:tentative="1">
      <w:start w:val="1"/>
      <w:numFmt w:val="bullet"/>
      <w:lvlText w:val="o"/>
      <w:lvlJc w:val="left"/>
      <w:pPr>
        <w:ind w:left="3787" w:hanging="360"/>
      </w:pPr>
      <w:rPr>
        <w:rFonts w:ascii="Courier New" w:hAnsi="Courier New" w:cs="Courier New" w:hint="default"/>
      </w:rPr>
    </w:lvl>
    <w:lvl w:ilvl="5" w:tplc="040C0005" w:tentative="1">
      <w:start w:val="1"/>
      <w:numFmt w:val="bullet"/>
      <w:lvlText w:val=""/>
      <w:lvlJc w:val="left"/>
      <w:pPr>
        <w:ind w:left="4507" w:hanging="360"/>
      </w:pPr>
      <w:rPr>
        <w:rFonts w:ascii="Wingdings" w:hAnsi="Wingdings" w:hint="default"/>
      </w:rPr>
    </w:lvl>
    <w:lvl w:ilvl="6" w:tplc="040C0001" w:tentative="1">
      <w:start w:val="1"/>
      <w:numFmt w:val="bullet"/>
      <w:lvlText w:val=""/>
      <w:lvlJc w:val="left"/>
      <w:pPr>
        <w:ind w:left="5227" w:hanging="360"/>
      </w:pPr>
      <w:rPr>
        <w:rFonts w:ascii="Symbol" w:hAnsi="Symbol" w:hint="default"/>
      </w:rPr>
    </w:lvl>
    <w:lvl w:ilvl="7" w:tplc="040C0003" w:tentative="1">
      <w:start w:val="1"/>
      <w:numFmt w:val="bullet"/>
      <w:lvlText w:val="o"/>
      <w:lvlJc w:val="left"/>
      <w:pPr>
        <w:ind w:left="5947" w:hanging="360"/>
      </w:pPr>
      <w:rPr>
        <w:rFonts w:ascii="Courier New" w:hAnsi="Courier New" w:cs="Courier New" w:hint="default"/>
      </w:rPr>
    </w:lvl>
    <w:lvl w:ilvl="8" w:tplc="040C0005" w:tentative="1">
      <w:start w:val="1"/>
      <w:numFmt w:val="bullet"/>
      <w:lvlText w:val=""/>
      <w:lvlJc w:val="left"/>
      <w:pPr>
        <w:ind w:left="6667" w:hanging="360"/>
      </w:pPr>
      <w:rPr>
        <w:rFonts w:ascii="Wingdings" w:hAnsi="Wingdings" w:hint="default"/>
      </w:rPr>
    </w:lvl>
  </w:abstractNum>
  <w:abstractNum w:abstractNumId="572" w15:restartNumberingAfterBreak="0">
    <w:nsid w:val="50AB1FCB"/>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73" w15:restartNumberingAfterBreak="0">
    <w:nsid w:val="50B2369E"/>
    <w:multiLevelType w:val="hybridMultilevel"/>
    <w:tmpl w:val="A26479AE"/>
    <w:lvl w:ilvl="0" w:tplc="84F090F2">
      <w:start w:val="1"/>
      <w:numFmt w:val="bullet"/>
      <w:lvlText w:val=""/>
      <w:lvlJc w:val="left"/>
      <w:pPr>
        <w:ind w:left="547" w:hanging="360"/>
      </w:pPr>
      <w:rPr>
        <w:rFonts w:ascii="Symbol" w:hAnsi="Symbol" w:hint="default"/>
      </w:rPr>
    </w:lvl>
    <w:lvl w:ilvl="1" w:tplc="3B6E51E4">
      <w:start w:val="1"/>
      <w:numFmt w:val="bullet"/>
      <w:lvlText w:val="o"/>
      <w:lvlJc w:val="left"/>
      <w:pPr>
        <w:ind w:left="1267" w:hanging="360"/>
      </w:pPr>
      <w:rPr>
        <w:rFonts w:ascii="Courier New" w:hAnsi="Courier New" w:hint="default"/>
      </w:rPr>
    </w:lvl>
    <w:lvl w:ilvl="2" w:tplc="E9F4F2E2">
      <w:start w:val="1"/>
      <w:numFmt w:val="bullet"/>
      <w:lvlText w:val=""/>
      <w:lvlJc w:val="left"/>
      <w:pPr>
        <w:ind w:left="1987" w:hanging="360"/>
      </w:pPr>
      <w:rPr>
        <w:rFonts w:ascii="Wingdings" w:hAnsi="Wingdings" w:hint="default"/>
      </w:rPr>
    </w:lvl>
    <w:lvl w:ilvl="3" w:tplc="6220EFFA">
      <w:start w:val="1"/>
      <w:numFmt w:val="bullet"/>
      <w:lvlText w:val=""/>
      <w:lvlJc w:val="left"/>
      <w:pPr>
        <w:ind w:left="2707" w:hanging="360"/>
      </w:pPr>
      <w:rPr>
        <w:rFonts w:ascii="Symbol" w:hAnsi="Symbol" w:hint="default"/>
      </w:rPr>
    </w:lvl>
    <w:lvl w:ilvl="4" w:tplc="053C29C0">
      <w:start w:val="1"/>
      <w:numFmt w:val="bullet"/>
      <w:lvlText w:val="o"/>
      <w:lvlJc w:val="left"/>
      <w:pPr>
        <w:ind w:left="3427" w:hanging="360"/>
      </w:pPr>
      <w:rPr>
        <w:rFonts w:ascii="Courier New" w:hAnsi="Courier New" w:hint="default"/>
      </w:rPr>
    </w:lvl>
    <w:lvl w:ilvl="5" w:tplc="2F820382">
      <w:start w:val="1"/>
      <w:numFmt w:val="bullet"/>
      <w:lvlText w:val=""/>
      <w:lvlJc w:val="left"/>
      <w:pPr>
        <w:ind w:left="4147" w:hanging="360"/>
      </w:pPr>
      <w:rPr>
        <w:rFonts w:ascii="Wingdings" w:hAnsi="Wingdings" w:hint="default"/>
      </w:rPr>
    </w:lvl>
    <w:lvl w:ilvl="6" w:tplc="CEE49438">
      <w:start w:val="1"/>
      <w:numFmt w:val="bullet"/>
      <w:lvlText w:val=""/>
      <w:lvlJc w:val="left"/>
      <w:pPr>
        <w:ind w:left="4867" w:hanging="360"/>
      </w:pPr>
      <w:rPr>
        <w:rFonts w:ascii="Symbol" w:hAnsi="Symbol" w:hint="default"/>
      </w:rPr>
    </w:lvl>
    <w:lvl w:ilvl="7" w:tplc="92788C0A">
      <w:start w:val="1"/>
      <w:numFmt w:val="bullet"/>
      <w:lvlText w:val="o"/>
      <w:lvlJc w:val="left"/>
      <w:pPr>
        <w:ind w:left="5587" w:hanging="360"/>
      </w:pPr>
      <w:rPr>
        <w:rFonts w:ascii="Courier New" w:hAnsi="Courier New" w:hint="default"/>
      </w:rPr>
    </w:lvl>
    <w:lvl w:ilvl="8" w:tplc="CD62DC24">
      <w:start w:val="1"/>
      <w:numFmt w:val="bullet"/>
      <w:lvlText w:val=""/>
      <w:lvlJc w:val="left"/>
      <w:pPr>
        <w:ind w:left="6307" w:hanging="360"/>
      </w:pPr>
      <w:rPr>
        <w:rFonts w:ascii="Wingdings" w:hAnsi="Wingdings" w:hint="default"/>
      </w:rPr>
    </w:lvl>
  </w:abstractNum>
  <w:abstractNum w:abstractNumId="574" w15:restartNumberingAfterBreak="0">
    <w:nsid w:val="5123606B"/>
    <w:multiLevelType w:val="hybridMultilevel"/>
    <w:tmpl w:val="AE5A4684"/>
    <w:lvl w:ilvl="0" w:tplc="B64AA6AC">
      <w:start w:val="1"/>
      <w:numFmt w:val="bullet"/>
      <w:lvlText w:val=""/>
      <w:lvlJc w:val="left"/>
      <w:pPr>
        <w:ind w:left="720" w:hanging="360"/>
      </w:pPr>
      <w:rPr>
        <w:rFonts w:ascii="Symbol" w:hAnsi="Symbol" w:hint="default"/>
      </w:rPr>
    </w:lvl>
    <w:lvl w:ilvl="1" w:tplc="8CC27C6A">
      <w:start w:val="1"/>
      <w:numFmt w:val="bullet"/>
      <w:lvlText w:val="o"/>
      <w:lvlJc w:val="left"/>
      <w:pPr>
        <w:ind w:left="1440" w:hanging="360"/>
      </w:pPr>
      <w:rPr>
        <w:rFonts w:ascii="Courier New" w:hAnsi="Courier New" w:hint="default"/>
      </w:rPr>
    </w:lvl>
    <w:lvl w:ilvl="2" w:tplc="812CD486">
      <w:start w:val="1"/>
      <w:numFmt w:val="bullet"/>
      <w:lvlText w:val=""/>
      <w:lvlJc w:val="left"/>
      <w:pPr>
        <w:ind w:left="2160" w:hanging="360"/>
      </w:pPr>
      <w:rPr>
        <w:rFonts w:ascii="Wingdings" w:hAnsi="Wingdings" w:hint="default"/>
      </w:rPr>
    </w:lvl>
    <w:lvl w:ilvl="3" w:tplc="C89CA3E2">
      <w:start w:val="1"/>
      <w:numFmt w:val="bullet"/>
      <w:lvlText w:val=""/>
      <w:lvlJc w:val="left"/>
      <w:pPr>
        <w:ind w:left="2880" w:hanging="360"/>
      </w:pPr>
      <w:rPr>
        <w:rFonts w:ascii="Symbol" w:hAnsi="Symbol" w:hint="default"/>
      </w:rPr>
    </w:lvl>
    <w:lvl w:ilvl="4" w:tplc="B7EEB86E">
      <w:start w:val="1"/>
      <w:numFmt w:val="bullet"/>
      <w:lvlText w:val="o"/>
      <w:lvlJc w:val="left"/>
      <w:pPr>
        <w:ind w:left="3600" w:hanging="360"/>
      </w:pPr>
      <w:rPr>
        <w:rFonts w:ascii="Courier New" w:hAnsi="Courier New" w:hint="default"/>
      </w:rPr>
    </w:lvl>
    <w:lvl w:ilvl="5" w:tplc="CB086AC0">
      <w:start w:val="1"/>
      <w:numFmt w:val="bullet"/>
      <w:lvlText w:val=""/>
      <w:lvlJc w:val="left"/>
      <w:pPr>
        <w:ind w:left="4320" w:hanging="360"/>
      </w:pPr>
      <w:rPr>
        <w:rFonts w:ascii="Wingdings" w:hAnsi="Wingdings" w:hint="default"/>
      </w:rPr>
    </w:lvl>
    <w:lvl w:ilvl="6" w:tplc="A302048C">
      <w:start w:val="1"/>
      <w:numFmt w:val="bullet"/>
      <w:lvlText w:val=""/>
      <w:lvlJc w:val="left"/>
      <w:pPr>
        <w:ind w:left="5040" w:hanging="360"/>
      </w:pPr>
      <w:rPr>
        <w:rFonts w:ascii="Symbol" w:hAnsi="Symbol" w:hint="default"/>
      </w:rPr>
    </w:lvl>
    <w:lvl w:ilvl="7" w:tplc="D2DA8DF8">
      <w:start w:val="1"/>
      <w:numFmt w:val="bullet"/>
      <w:lvlText w:val="o"/>
      <w:lvlJc w:val="left"/>
      <w:pPr>
        <w:ind w:left="5760" w:hanging="360"/>
      </w:pPr>
      <w:rPr>
        <w:rFonts w:ascii="Courier New" w:hAnsi="Courier New" w:hint="default"/>
      </w:rPr>
    </w:lvl>
    <w:lvl w:ilvl="8" w:tplc="F12823AE">
      <w:start w:val="1"/>
      <w:numFmt w:val="bullet"/>
      <w:lvlText w:val=""/>
      <w:lvlJc w:val="left"/>
      <w:pPr>
        <w:ind w:left="6480" w:hanging="360"/>
      </w:pPr>
      <w:rPr>
        <w:rFonts w:ascii="Wingdings" w:hAnsi="Wingdings" w:hint="default"/>
      </w:rPr>
    </w:lvl>
  </w:abstractNum>
  <w:abstractNum w:abstractNumId="575" w15:restartNumberingAfterBreak="0">
    <w:nsid w:val="516900AF"/>
    <w:multiLevelType w:val="multilevel"/>
    <w:tmpl w:val="E4205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6" w15:restartNumberingAfterBreak="0">
    <w:nsid w:val="519A54A6"/>
    <w:multiLevelType w:val="multilevel"/>
    <w:tmpl w:val="35183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7" w15:restartNumberingAfterBreak="0">
    <w:nsid w:val="51C55B93"/>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78" w15:restartNumberingAfterBreak="0">
    <w:nsid w:val="51CABD88"/>
    <w:multiLevelType w:val="hybridMultilevel"/>
    <w:tmpl w:val="910889CC"/>
    <w:lvl w:ilvl="0" w:tplc="DBA4C1EC">
      <w:start w:val="1"/>
      <w:numFmt w:val="bullet"/>
      <w:lvlText w:val=""/>
      <w:lvlJc w:val="left"/>
      <w:pPr>
        <w:ind w:left="720" w:hanging="360"/>
      </w:pPr>
      <w:rPr>
        <w:rFonts w:ascii="Symbol" w:hAnsi="Symbol" w:hint="default"/>
      </w:rPr>
    </w:lvl>
    <w:lvl w:ilvl="1" w:tplc="057CA1FA">
      <w:start w:val="1"/>
      <w:numFmt w:val="bullet"/>
      <w:lvlText w:val="o"/>
      <w:lvlJc w:val="left"/>
      <w:pPr>
        <w:ind w:left="1440" w:hanging="360"/>
      </w:pPr>
      <w:rPr>
        <w:rFonts w:ascii="Courier New" w:hAnsi="Courier New" w:hint="default"/>
      </w:rPr>
    </w:lvl>
    <w:lvl w:ilvl="2" w:tplc="7C32EA08">
      <w:start w:val="1"/>
      <w:numFmt w:val="bullet"/>
      <w:lvlText w:val=""/>
      <w:lvlJc w:val="left"/>
      <w:pPr>
        <w:ind w:left="2160" w:hanging="360"/>
      </w:pPr>
      <w:rPr>
        <w:rFonts w:ascii="Wingdings" w:hAnsi="Wingdings" w:hint="default"/>
      </w:rPr>
    </w:lvl>
    <w:lvl w:ilvl="3" w:tplc="F5960406">
      <w:start w:val="1"/>
      <w:numFmt w:val="bullet"/>
      <w:lvlText w:val=""/>
      <w:lvlJc w:val="left"/>
      <w:pPr>
        <w:ind w:left="2880" w:hanging="360"/>
      </w:pPr>
      <w:rPr>
        <w:rFonts w:ascii="Symbol" w:hAnsi="Symbol" w:hint="default"/>
      </w:rPr>
    </w:lvl>
    <w:lvl w:ilvl="4" w:tplc="B128ECCC">
      <w:start w:val="1"/>
      <w:numFmt w:val="bullet"/>
      <w:lvlText w:val="o"/>
      <w:lvlJc w:val="left"/>
      <w:pPr>
        <w:ind w:left="3600" w:hanging="360"/>
      </w:pPr>
      <w:rPr>
        <w:rFonts w:ascii="Courier New" w:hAnsi="Courier New" w:hint="default"/>
      </w:rPr>
    </w:lvl>
    <w:lvl w:ilvl="5" w:tplc="E152C38C">
      <w:start w:val="1"/>
      <w:numFmt w:val="bullet"/>
      <w:lvlText w:val=""/>
      <w:lvlJc w:val="left"/>
      <w:pPr>
        <w:ind w:left="4320" w:hanging="360"/>
      </w:pPr>
      <w:rPr>
        <w:rFonts w:ascii="Wingdings" w:hAnsi="Wingdings" w:hint="default"/>
      </w:rPr>
    </w:lvl>
    <w:lvl w:ilvl="6" w:tplc="7E981E8C">
      <w:start w:val="1"/>
      <w:numFmt w:val="bullet"/>
      <w:lvlText w:val=""/>
      <w:lvlJc w:val="left"/>
      <w:pPr>
        <w:ind w:left="5040" w:hanging="360"/>
      </w:pPr>
      <w:rPr>
        <w:rFonts w:ascii="Symbol" w:hAnsi="Symbol" w:hint="default"/>
      </w:rPr>
    </w:lvl>
    <w:lvl w:ilvl="7" w:tplc="2FA63B72">
      <w:start w:val="1"/>
      <w:numFmt w:val="bullet"/>
      <w:lvlText w:val="o"/>
      <w:lvlJc w:val="left"/>
      <w:pPr>
        <w:ind w:left="5760" w:hanging="360"/>
      </w:pPr>
      <w:rPr>
        <w:rFonts w:ascii="Courier New" w:hAnsi="Courier New" w:hint="default"/>
      </w:rPr>
    </w:lvl>
    <w:lvl w:ilvl="8" w:tplc="F8CAF46E">
      <w:start w:val="1"/>
      <w:numFmt w:val="bullet"/>
      <w:lvlText w:val=""/>
      <w:lvlJc w:val="left"/>
      <w:pPr>
        <w:ind w:left="6480" w:hanging="360"/>
      </w:pPr>
      <w:rPr>
        <w:rFonts w:ascii="Wingdings" w:hAnsi="Wingdings" w:hint="default"/>
      </w:rPr>
    </w:lvl>
  </w:abstractNum>
  <w:abstractNum w:abstractNumId="579" w15:restartNumberingAfterBreak="0">
    <w:nsid w:val="51DD41E9"/>
    <w:multiLevelType w:val="hybridMultilevel"/>
    <w:tmpl w:val="9536CF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0" w15:restartNumberingAfterBreak="0">
    <w:nsid w:val="51E87D72"/>
    <w:multiLevelType w:val="multilevel"/>
    <w:tmpl w:val="AC166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1" w15:restartNumberingAfterBreak="0">
    <w:nsid w:val="51F0DDA2"/>
    <w:multiLevelType w:val="hybridMultilevel"/>
    <w:tmpl w:val="FFFFFFFF"/>
    <w:lvl w:ilvl="0" w:tplc="13A2B566">
      <w:start w:val="1"/>
      <w:numFmt w:val="bullet"/>
      <w:lvlText w:val=""/>
      <w:lvlJc w:val="left"/>
      <w:pPr>
        <w:ind w:left="547" w:hanging="360"/>
      </w:pPr>
      <w:rPr>
        <w:rFonts w:ascii="Symbol" w:hAnsi="Symbol" w:hint="default"/>
      </w:rPr>
    </w:lvl>
    <w:lvl w:ilvl="1" w:tplc="AC3C00DC">
      <w:start w:val="1"/>
      <w:numFmt w:val="bullet"/>
      <w:lvlText w:val="o"/>
      <w:lvlJc w:val="left"/>
      <w:pPr>
        <w:ind w:left="1267" w:hanging="360"/>
      </w:pPr>
      <w:rPr>
        <w:rFonts w:ascii="Courier New" w:hAnsi="Courier New" w:hint="default"/>
      </w:rPr>
    </w:lvl>
    <w:lvl w:ilvl="2" w:tplc="70F26302">
      <w:start w:val="1"/>
      <w:numFmt w:val="bullet"/>
      <w:lvlText w:val=""/>
      <w:lvlJc w:val="left"/>
      <w:pPr>
        <w:ind w:left="1987" w:hanging="360"/>
      </w:pPr>
      <w:rPr>
        <w:rFonts w:ascii="Wingdings" w:hAnsi="Wingdings" w:hint="default"/>
      </w:rPr>
    </w:lvl>
    <w:lvl w:ilvl="3" w:tplc="AFE69B36">
      <w:start w:val="1"/>
      <w:numFmt w:val="bullet"/>
      <w:lvlText w:val=""/>
      <w:lvlJc w:val="left"/>
      <w:pPr>
        <w:ind w:left="2707" w:hanging="360"/>
      </w:pPr>
      <w:rPr>
        <w:rFonts w:ascii="Symbol" w:hAnsi="Symbol" w:hint="default"/>
      </w:rPr>
    </w:lvl>
    <w:lvl w:ilvl="4" w:tplc="DCF07202">
      <w:start w:val="1"/>
      <w:numFmt w:val="bullet"/>
      <w:lvlText w:val="o"/>
      <w:lvlJc w:val="left"/>
      <w:pPr>
        <w:ind w:left="3427" w:hanging="360"/>
      </w:pPr>
      <w:rPr>
        <w:rFonts w:ascii="Courier New" w:hAnsi="Courier New" w:hint="default"/>
      </w:rPr>
    </w:lvl>
    <w:lvl w:ilvl="5" w:tplc="17D4A24A">
      <w:start w:val="1"/>
      <w:numFmt w:val="bullet"/>
      <w:lvlText w:val=""/>
      <w:lvlJc w:val="left"/>
      <w:pPr>
        <w:ind w:left="4147" w:hanging="360"/>
      </w:pPr>
      <w:rPr>
        <w:rFonts w:ascii="Wingdings" w:hAnsi="Wingdings" w:hint="default"/>
      </w:rPr>
    </w:lvl>
    <w:lvl w:ilvl="6" w:tplc="887EC050">
      <w:start w:val="1"/>
      <w:numFmt w:val="bullet"/>
      <w:lvlText w:val=""/>
      <w:lvlJc w:val="left"/>
      <w:pPr>
        <w:ind w:left="4867" w:hanging="360"/>
      </w:pPr>
      <w:rPr>
        <w:rFonts w:ascii="Symbol" w:hAnsi="Symbol" w:hint="default"/>
      </w:rPr>
    </w:lvl>
    <w:lvl w:ilvl="7" w:tplc="41164394">
      <w:start w:val="1"/>
      <w:numFmt w:val="bullet"/>
      <w:lvlText w:val="o"/>
      <w:lvlJc w:val="left"/>
      <w:pPr>
        <w:ind w:left="5587" w:hanging="360"/>
      </w:pPr>
      <w:rPr>
        <w:rFonts w:ascii="Courier New" w:hAnsi="Courier New" w:hint="default"/>
      </w:rPr>
    </w:lvl>
    <w:lvl w:ilvl="8" w:tplc="DE842D34">
      <w:start w:val="1"/>
      <w:numFmt w:val="bullet"/>
      <w:lvlText w:val=""/>
      <w:lvlJc w:val="left"/>
      <w:pPr>
        <w:ind w:left="6307" w:hanging="360"/>
      </w:pPr>
      <w:rPr>
        <w:rFonts w:ascii="Wingdings" w:hAnsi="Wingdings" w:hint="default"/>
      </w:rPr>
    </w:lvl>
  </w:abstractNum>
  <w:abstractNum w:abstractNumId="582" w15:restartNumberingAfterBreak="0">
    <w:nsid w:val="520ABC23"/>
    <w:multiLevelType w:val="multilevel"/>
    <w:tmpl w:val="ECEA71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83" w15:restartNumberingAfterBreak="0">
    <w:nsid w:val="52123289"/>
    <w:multiLevelType w:val="multilevel"/>
    <w:tmpl w:val="F3E8B3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84" w15:restartNumberingAfterBreak="0">
    <w:nsid w:val="521C4A3B"/>
    <w:multiLevelType w:val="multilevel"/>
    <w:tmpl w:val="083C4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5" w15:restartNumberingAfterBreak="0">
    <w:nsid w:val="523334CD"/>
    <w:multiLevelType w:val="multilevel"/>
    <w:tmpl w:val="95BA9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6" w15:restartNumberingAfterBreak="0">
    <w:nsid w:val="523FAACA"/>
    <w:multiLevelType w:val="hybridMultilevel"/>
    <w:tmpl w:val="C62E5A9C"/>
    <w:lvl w:ilvl="0" w:tplc="8C56626E">
      <w:start w:val="1"/>
      <w:numFmt w:val="bullet"/>
      <w:lvlText w:val=""/>
      <w:lvlJc w:val="left"/>
      <w:pPr>
        <w:ind w:left="547" w:hanging="360"/>
      </w:pPr>
      <w:rPr>
        <w:rFonts w:ascii="Symbol" w:hAnsi="Symbol" w:hint="default"/>
      </w:rPr>
    </w:lvl>
    <w:lvl w:ilvl="1" w:tplc="8F4AA204">
      <w:start w:val="1"/>
      <w:numFmt w:val="bullet"/>
      <w:lvlText w:val="o"/>
      <w:lvlJc w:val="left"/>
      <w:pPr>
        <w:ind w:left="1267" w:hanging="360"/>
      </w:pPr>
      <w:rPr>
        <w:rFonts w:ascii="Courier New" w:hAnsi="Courier New" w:hint="default"/>
      </w:rPr>
    </w:lvl>
    <w:lvl w:ilvl="2" w:tplc="FD62635C">
      <w:start w:val="1"/>
      <w:numFmt w:val="bullet"/>
      <w:lvlText w:val=""/>
      <w:lvlJc w:val="left"/>
      <w:pPr>
        <w:ind w:left="1987" w:hanging="360"/>
      </w:pPr>
      <w:rPr>
        <w:rFonts w:ascii="Wingdings" w:hAnsi="Wingdings" w:hint="default"/>
      </w:rPr>
    </w:lvl>
    <w:lvl w:ilvl="3" w:tplc="407AE1C0">
      <w:start w:val="1"/>
      <w:numFmt w:val="bullet"/>
      <w:lvlText w:val=""/>
      <w:lvlJc w:val="left"/>
      <w:pPr>
        <w:ind w:left="2707" w:hanging="360"/>
      </w:pPr>
      <w:rPr>
        <w:rFonts w:ascii="Symbol" w:hAnsi="Symbol" w:hint="default"/>
      </w:rPr>
    </w:lvl>
    <w:lvl w:ilvl="4" w:tplc="42AACB5E">
      <w:start w:val="1"/>
      <w:numFmt w:val="bullet"/>
      <w:lvlText w:val="o"/>
      <w:lvlJc w:val="left"/>
      <w:pPr>
        <w:ind w:left="3427" w:hanging="360"/>
      </w:pPr>
      <w:rPr>
        <w:rFonts w:ascii="Courier New" w:hAnsi="Courier New" w:hint="default"/>
      </w:rPr>
    </w:lvl>
    <w:lvl w:ilvl="5" w:tplc="6F20A6FA">
      <w:start w:val="1"/>
      <w:numFmt w:val="bullet"/>
      <w:lvlText w:val=""/>
      <w:lvlJc w:val="left"/>
      <w:pPr>
        <w:ind w:left="4147" w:hanging="360"/>
      </w:pPr>
      <w:rPr>
        <w:rFonts w:ascii="Wingdings" w:hAnsi="Wingdings" w:hint="default"/>
      </w:rPr>
    </w:lvl>
    <w:lvl w:ilvl="6" w:tplc="357E6D52">
      <w:start w:val="1"/>
      <w:numFmt w:val="bullet"/>
      <w:lvlText w:val=""/>
      <w:lvlJc w:val="left"/>
      <w:pPr>
        <w:ind w:left="4867" w:hanging="360"/>
      </w:pPr>
      <w:rPr>
        <w:rFonts w:ascii="Symbol" w:hAnsi="Symbol" w:hint="default"/>
      </w:rPr>
    </w:lvl>
    <w:lvl w:ilvl="7" w:tplc="7818905A">
      <w:start w:val="1"/>
      <w:numFmt w:val="bullet"/>
      <w:lvlText w:val="o"/>
      <w:lvlJc w:val="left"/>
      <w:pPr>
        <w:ind w:left="5587" w:hanging="360"/>
      </w:pPr>
      <w:rPr>
        <w:rFonts w:ascii="Courier New" w:hAnsi="Courier New" w:hint="default"/>
      </w:rPr>
    </w:lvl>
    <w:lvl w:ilvl="8" w:tplc="686A1538">
      <w:start w:val="1"/>
      <w:numFmt w:val="bullet"/>
      <w:lvlText w:val=""/>
      <w:lvlJc w:val="left"/>
      <w:pPr>
        <w:ind w:left="6307" w:hanging="360"/>
      </w:pPr>
      <w:rPr>
        <w:rFonts w:ascii="Wingdings" w:hAnsi="Wingdings" w:hint="default"/>
      </w:rPr>
    </w:lvl>
  </w:abstractNum>
  <w:abstractNum w:abstractNumId="587" w15:restartNumberingAfterBreak="0">
    <w:nsid w:val="5277A8A5"/>
    <w:multiLevelType w:val="hybridMultilevel"/>
    <w:tmpl w:val="29701EF0"/>
    <w:lvl w:ilvl="0" w:tplc="4850A0EE">
      <w:start w:val="1"/>
      <w:numFmt w:val="bullet"/>
      <w:lvlText w:val=""/>
      <w:lvlJc w:val="left"/>
      <w:pPr>
        <w:ind w:left="720" w:hanging="360"/>
      </w:pPr>
      <w:rPr>
        <w:rFonts w:ascii="Symbol" w:hAnsi="Symbol" w:hint="default"/>
      </w:rPr>
    </w:lvl>
    <w:lvl w:ilvl="1" w:tplc="67384BAA">
      <w:start w:val="1"/>
      <w:numFmt w:val="bullet"/>
      <w:lvlText w:val="o"/>
      <w:lvlJc w:val="left"/>
      <w:pPr>
        <w:ind w:left="1440" w:hanging="360"/>
      </w:pPr>
      <w:rPr>
        <w:rFonts w:ascii="Courier New" w:hAnsi="Courier New" w:hint="default"/>
      </w:rPr>
    </w:lvl>
    <w:lvl w:ilvl="2" w:tplc="2E84D56A">
      <w:start w:val="1"/>
      <w:numFmt w:val="bullet"/>
      <w:lvlText w:val=""/>
      <w:lvlJc w:val="left"/>
      <w:pPr>
        <w:ind w:left="2160" w:hanging="360"/>
      </w:pPr>
      <w:rPr>
        <w:rFonts w:ascii="Wingdings" w:hAnsi="Wingdings" w:hint="default"/>
      </w:rPr>
    </w:lvl>
    <w:lvl w:ilvl="3" w:tplc="F2A071B8">
      <w:start w:val="1"/>
      <w:numFmt w:val="bullet"/>
      <w:lvlText w:val=""/>
      <w:lvlJc w:val="left"/>
      <w:pPr>
        <w:ind w:left="2880" w:hanging="360"/>
      </w:pPr>
      <w:rPr>
        <w:rFonts w:ascii="Symbol" w:hAnsi="Symbol" w:hint="default"/>
      </w:rPr>
    </w:lvl>
    <w:lvl w:ilvl="4" w:tplc="17521232">
      <w:start w:val="1"/>
      <w:numFmt w:val="bullet"/>
      <w:lvlText w:val="o"/>
      <w:lvlJc w:val="left"/>
      <w:pPr>
        <w:ind w:left="3600" w:hanging="360"/>
      </w:pPr>
      <w:rPr>
        <w:rFonts w:ascii="Courier New" w:hAnsi="Courier New" w:hint="default"/>
      </w:rPr>
    </w:lvl>
    <w:lvl w:ilvl="5" w:tplc="7706AEBE">
      <w:start w:val="1"/>
      <w:numFmt w:val="bullet"/>
      <w:lvlText w:val=""/>
      <w:lvlJc w:val="left"/>
      <w:pPr>
        <w:ind w:left="4320" w:hanging="360"/>
      </w:pPr>
      <w:rPr>
        <w:rFonts w:ascii="Wingdings" w:hAnsi="Wingdings" w:hint="default"/>
      </w:rPr>
    </w:lvl>
    <w:lvl w:ilvl="6" w:tplc="5B36C182">
      <w:start w:val="1"/>
      <w:numFmt w:val="bullet"/>
      <w:lvlText w:val=""/>
      <w:lvlJc w:val="left"/>
      <w:pPr>
        <w:ind w:left="5040" w:hanging="360"/>
      </w:pPr>
      <w:rPr>
        <w:rFonts w:ascii="Symbol" w:hAnsi="Symbol" w:hint="default"/>
      </w:rPr>
    </w:lvl>
    <w:lvl w:ilvl="7" w:tplc="1564FF6E">
      <w:start w:val="1"/>
      <w:numFmt w:val="bullet"/>
      <w:lvlText w:val="o"/>
      <w:lvlJc w:val="left"/>
      <w:pPr>
        <w:ind w:left="5760" w:hanging="360"/>
      </w:pPr>
      <w:rPr>
        <w:rFonts w:ascii="Courier New" w:hAnsi="Courier New" w:hint="default"/>
      </w:rPr>
    </w:lvl>
    <w:lvl w:ilvl="8" w:tplc="D8FA821C">
      <w:start w:val="1"/>
      <w:numFmt w:val="bullet"/>
      <w:lvlText w:val=""/>
      <w:lvlJc w:val="left"/>
      <w:pPr>
        <w:ind w:left="6480" w:hanging="360"/>
      </w:pPr>
      <w:rPr>
        <w:rFonts w:ascii="Wingdings" w:hAnsi="Wingdings" w:hint="default"/>
      </w:rPr>
    </w:lvl>
  </w:abstractNum>
  <w:abstractNum w:abstractNumId="588" w15:restartNumberingAfterBreak="0">
    <w:nsid w:val="528C7E30"/>
    <w:multiLevelType w:val="multilevel"/>
    <w:tmpl w:val="71A07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9" w15:restartNumberingAfterBreak="0">
    <w:nsid w:val="52BC90C8"/>
    <w:multiLevelType w:val="hybridMultilevel"/>
    <w:tmpl w:val="BB2AF428"/>
    <w:lvl w:ilvl="0" w:tplc="4B6CE6A8">
      <w:start w:val="1"/>
      <w:numFmt w:val="bullet"/>
      <w:lvlText w:val=""/>
      <w:lvlJc w:val="left"/>
      <w:pPr>
        <w:ind w:left="547" w:hanging="360"/>
      </w:pPr>
      <w:rPr>
        <w:rFonts w:ascii="Symbol" w:hAnsi="Symbol" w:hint="default"/>
      </w:rPr>
    </w:lvl>
    <w:lvl w:ilvl="1" w:tplc="69BA81B0">
      <w:start w:val="1"/>
      <w:numFmt w:val="bullet"/>
      <w:lvlText w:val="o"/>
      <w:lvlJc w:val="left"/>
      <w:pPr>
        <w:ind w:left="1267" w:hanging="360"/>
      </w:pPr>
      <w:rPr>
        <w:rFonts w:ascii="Courier New" w:hAnsi="Courier New" w:hint="default"/>
      </w:rPr>
    </w:lvl>
    <w:lvl w:ilvl="2" w:tplc="CD561B36">
      <w:start w:val="1"/>
      <w:numFmt w:val="bullet"/>
      <w:lvlText w:val=""/>
      <w:lvlJc w:val="left"/>
      <w:pPr>
        <w:ind w:left="1987" w:hanging="360"/>
      </w:pPr>
      <w:rPr>
        <w:rFonts w:ascii="Wingdings" w:hAnsi="Wingdings" w:hint="default"/>
      </w:rPr>
    </w:lvl>
    <w:lvl w:ilvl="3" w:tplc="4B22E25A">
      <w:start w:val="1"/>
      <w:numFmt w:val="bullet"/>
      <w:lvlText w:val=""/>
      <w:lvlJc w:val="left"/>
      <w:pPr>
        <w:ind w:left="2707" w:hanging="360"/>
      </w:pPr>
      <w:rPr>
        <w:rFonts w:ascii="Symbol" w:hAnsi="Symbol" w:hint="default"/>
      </w:rPr>
    </w:lvl>
    <w:lvl w:ilvl="4" w:tplc="3B4074E4">
      <w:start w:val="1"/>
      <w:numFmt w:val="bullet"/>
      <w:lvlText w:val="o"/>
      <w:lvlJc w:val="left"/>
      <w:pPr>
        <w:ind w:left="3427" w:hanging="360"/>
      </w:pPr>
      <w:rPr>
        <w:rFonts w:ascii="Courier New" w:hAnsi="Courier New" w:hint="default"/>
      </w:rPr>
    </w:lvl>
    <w:lvl w:ilvl="5" w:tplc="C5BA237E">
      <w:start w:val="1"/>
      <w:numFmt w:val="bullet"/>
      <w:lvlText w:val=""/>
      <w:lvlJc w:val="left"/>
      <w:pPr>
        <w:ind w:left="4147" w:hanging="360"/>
      </w:pPr>
      <w:rPr>
        <w:rFonts w:ascii="Wingdings" w:hAnsi="Wingdings" w:hint="default"/>
      </w:rPr>
    </w:lvl>
    <w:lvl w:ilvl="6" w:tplc="F7204174">
      <w:start w:val="1"/>
      <w:numFmt w:val="bullet"/>
      <w:lvlText w:val=""/>
      <w:lvlJc w:val="left"/>
      <w:pPr>
        <w:ind w:left="4867" w:hanging="360"/>
      </w:pPr>
      <w:rPr>
        <w:rFonts w:ascii="Symbol" w:hAnsi="Symbol" w:hint="default"/>
      </w:rPr>
    </w:lvl>
    <w:lvl w:ilvl="7" w:tplc="8F52A4EE">
      <w:start w:val="1"/>
      <w:numFmt w:val="bullet"/>
      <w:lvlText w:val="o"/>
      <w:lvlJc w:val="left"/>
      <w:pPr>
        <w:ind w:left="5587" w:hanging="360"/>
      </w:pPr>
      <w:rPr>
        <w:rFonts w:ascii="Courier New" w:hAnsi="Courier New" w:hint="default"/>
      </w:rPr>
    </w:lvl>
    <w:lvl w:ilvl="8" w:tplc="D54EBF3A">
      <w:start w:val="1"/>
      <w:numFmt w:val="bullet"/>
      <w:lvlText w:val=""/>
      <w:lvlJc w:val="left"/>
      <w:pPr>
        <w:ind w:left="6307" w:hanging="360"/>
      </w:pPr>
      <w:rPr>
        <w:rFonts w:ascii="Wingdings" w:hAnsi="Wingdings" w:hint="default"/>
      </w:rPr>
    </w:lvl>
  </w:abstractNum>
  <w:abstractNum w:abstractNumId="590" w15:restartNumberingAfterBreak="0">
    <w:nsid w:val="52D869BC"/>
    <w:multiLevelType w:val="hybridMultilevel"/>
    <w:tmpl w:val="A22C22AA"/>
    <w:lvl w:ilvl="0" w:tplc="52329A94">
      <w:start w:val="1"/>
      <w:numFmt w:val="bullet"/>
      <w:lvlText w:val=""/>
      <w:lvlJc w:val="left"/>
      <w:pPr>
        <w:ind w:left="720" w:hanging="360"/>
      </w:pPr>
      <w:rPr>
        <w:rFonts w:ascii="Symbol" w:hAnsi="Symbol" w:hint="default"/>
      </w:rPr>
    </w:lvl>
    <w:lvl w:ilvl="1" w:tplc="97DC5F0A">
      <w:start w:val="1"/>
      <w:numFmt w:val="bullet"/>
      <w:lvlText w:val="o"/>
      <w:lvlJc w:val="left"/>
      <w:pPr>
        <w:ind w:left="1440" w:hanging="360"/>
      </w:pPr>
      <w:rPr>
        <w:rFonts w:ascii="Courier New" w:hAnsi="Courier New" w:hint="default"/>
      </w:rPr>
    </w:lvl>
    <w:lvl w:ilvl="2" w:tplc="77AC703E">
      <w:start w:val="1"/>
      <w:numFmt w:val="bullet"/>
      <w:lvlText w:val=""/>
      <w:lvlJc w:val="left"/>
      <w:pPr>
        <w:ind w:left="2160" w:hanging="360"/>
      </w:pPr>
      <w:rPr>
        <w:rFonts w:ascii="Wingdings" w:hAnsi="Wingdings" w:hint="default"/>
      </w:rPr>
    </w:lvl>
    <w:lvl w:ilvl="3" w:tplc="84A0885A">
      <w:start w:val="1"/>
      <w:numFmt w:val="bullet"/>
      <w:lvlText w:val=""/>
      <w:lvlJc w:val="left"/>
      <w:pPr>
        <w:ind w:left="2880" w:hanging="360"/>
      </w:pPr>
      <w:rPr>
        <w:rFonts w:ascii="Symbol" w:hAnsi="Symbol" w:hint="default"/>
      </w:rPr>
    </w:lvl>
    <w:lvl w:ilvl="4" w:tplc="4796A1E4">
      <w:start w:val="1"/>
      <w:numFmt w:val="bullet"/>
      <w:lvlText w:val="o"/>
      <w:lvlJc w:val="left"/>
      <w:pPr>
        <w:ind w:left="3600" w:hanging="360"/>
      </w:pPr>
      <w:rPr>
        <w:rFonts w:ascii="Courier New" w:hAnsi="Courier New" w:hint="default"/>
      </w:rPr>
    </w:lvl>
    <w:lvl w:ilvl="5" w:tplc="50A09C90">
      <w:start w:val="1"/>
      <w:numFmt w:val="bullet"/>
      <w:lvlText w:val=""/>
      <w:lvlJc w:val="left"/>
      <w:pPr>
        <w:ind w:left="4320" w:hanging="360"/>
      </w:pPr>
      <w:rPr>
        <w:rFonts w:ascii="Wingdings" w:hAnsi="Wingdings" w:hint="default"/>
      </w:rPr>
    </w:lvl>
    <w:lvl w:ilvl="6" w:tplc="B5949084">
      <w:start w:val="1"/>
      <w:numFmt w:val="bullet"/>
      <w:lvlText w:val=""/>
      <w:lvlJc w:val="left"/>
      <w:pPr>
        <w:ind w:left="5040" w:hanging="360"/>
      </w:pPr>
      <w:rPr>
        <w:rFonts w:ascii="Symbol" w:hAnsi="Symbol" w:hint="default"/>
      </w:rPr>
    </w:lvl>
    <w:lvl w:ilvl="7" w:tplc="92A42692">
      <w:start w:val="1"/>
      <w:numFmt w:val="bullet"/>
      <w:lvlText w:val="o"/>
      <w:lvlJc w:val="left"/>
      <w:pPr>
        <w:ind w:left="5760" w:hanging="360"/>
      </w:pPr>
      <w:rPr>
        <w:rFonts w:ascii="Courier New" w:hAnsi="Courier New" w:hint="default"/>
      </w:rPr>
    </w:lvl>
    <w:lvl w:ilvl="8" w:tplc="00C84FCC">
      <w:start w:val="1"/>
      <w:numFmt w:val="bullet"/>
      <w:lvlText w:val=""/>
      <w:lvlJc w:val="left"/>
      <w:pPr>
        <w:ind w:left="6480" w:hanging="360"/>
      </w:pPr>
      <w:rPr>
        <w:rFonts w:ascii="Wingdings" w:hAnsi="Wingdings" w:hint="default"/>
      </w:rPr>
    </w:lvl>
  </w:abstractNum>
  <w:abstractNum w:abstractNumId="591" w15:restartNumberingAfterBreak="0">
    <w:nsid w:val="52E97EEA"/>
    <w:multiLevelType w:val="multilevel"/>
    <w:tmpl w:val="39E44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2" w15:restartNumberingAfterBreak="0">
    <w:nsid w:val="52F66E34"/>
    <w:multiLevelType w:val="multilevel"/>
    <w:tmpl w:val="11BCD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3" w15:restartNumberingAfterBreak="0">
    <w:nsid w:val="53816F98"/>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94" w15:restartNumberingAfterBreak="0">
    <w:nsid w:val="53A357F5"/>
    <w:multiLevelType w:val="hybridMultilevel"/>
    <w:tmpl w:val="54665338"/>
    <w:lvl w:ilvl="0" w:tplc="040C0001">
      <w:start w:val="1"/>
      <w:numFmt w:val="bullet"/>
      <w:lvlText w:val=""/>
      <w:lvlJc w:val="left"/>
      <w:pPr>
        <w:ind w:left="907" w:hanging="360"/>
      </w:pPr>
      <w:rPr>
        <w:rFonts w:ascii="Symbol" w:hAnsi="Symbol" w:hint="default"/>
      </w:rPr>
    </w:lvl>
    <w:lvl w:ilvl="1" w:tplc="040C0003" w:tentative="1">
      <w:start w:val="1"/>
      <w:numFmt w:val="bullet"/>
      <w:lvlText w:val="o"/>
      <w:lvlJc w:val="left"/>
      <w:pPr>
        <w:ind w:left="1627" w:hanging="360"/>
      </w:pPr>
      <w:rPr>
        <w:rFonts w:ascii="Courier New" w:hAnsi="Courier New" w:cs="Courier New" w:hint="default"/>
      </w:rPr>
    </w:lvl>
    <w:lvl w:ilvl="2" w:tplc="040C0005" w:tentative="1">
      <w:start w:val="1"/>
      <w:numFmt w:val="bullet"/>
      <w:lvlText w:val=""/>
      <w:lvlJc w:val="left"/>
      <w:pPr>
        <w:ind w:left="2347" w:hanging="360"/>
      </w:pPr>
      <w:rPr>
        <w:rFonts w:ascii="Wingdings" w:hAnsi="Wingdings" w:hint="default"/>
      </w:rPr>
    </w:lvl>
    <w:lvl w:ilvl="3" w:tplc="040C0001" w:tentative="1">
      <w:start w:val="1"/>
      <w:numFmt w:val="bullet"/>
      <w:lvlText w:val=""/>
      <w:lvlJc w:val="left"/>
      <w:pPr>
        <w:ind w:left="3067" w:hanging="360"/>
      </w:pPr>
      <w:rPr>
        <w:rFonts w:ascii="Symbol" w:hAnsi="Symbol" w:hint="default"/>
      </w:rPr>
    </w:lvl>
    <w:lvl w:ilvl="4" w:tplc="040C0003" w:tentative="1">
      <w:start w:val="1"/>
      <w:numFmt w:val="bullet"/>
      <w:lvlText w:val="o"/>
      <w:lvlJc w:val="left"/>
      <w:pPr>
        <w:ind w:left="3787" w:hanging="360"/>
      </w:pPr>
      <w:rPr>
        <w:rFonts w:ascii="Courier New" w:hAnsi="Courier New" w:cs="Courier New" w:hint="default"/>
      </w:rPr>
    </w:lvl>
    <w:lvl w:ilvl="5" w:tplc="040C0005" w:tentative="1">
      <w:start w:val="1"/>
      <w:numFmt w:val="bullet"/>
      <w:lvlText w:val=""/>
      <w:lvlJc w:val="left"/>
      <w:pPr>
        <w:ind w:left="4507" w:hanging="360"/>
      </w:pPr>
      <w:rPr>
        <w:rFonts w:ascii="Wingdings" w:hAnsi="Wingdings" w:hint="default"/>
      </w:rPr>
    </w:lvl>
    <w:lvl w:ilvl="6" w:tplc="040C0001" w:tentative="1">
      <w:start w:val="1"/>
      <w:numFmt w:val="bullet"/>
      <w:lvlText w:val=""/>
      <w:lvlJc w:val="left"/>
      <w:pPr>
        <w:ind w:left="5227" w:hanging="360"/>
      </w:pPr>
      <w:rPr>
        <w:rFonts w:ascii="Symbol" w:hAnsi="Symbol" w:hint="default"/>
      </w:rPr>
    </w:lvl>
    <w:lvl w:ilvl="7" w:tplc="040C0003" w:tentative="1">
      <w:start w:val="1"/>
      <w:numFmt w:val="bullet"/>
      <w:lvlText w:val="o"/>
      <w:lvlJc w:val="left"/>
      <w:pPr>
        <w:ind w:left="5947" w:hanging="360"/>
      </w:pPr>
      <w:rPr>
        <w:rFonts w:ascii="Courier New" w:hAnsi="Courier New" w:cs="Courier New" w:hint="default"/>
      </w:rPr>
    </w:lvl>
    <w:lvl w:ilvl="8" w:tplc="040C0005" w:tentative="1">
      <w:start w:val="1"/>
      <w:numFmt w:val="bullet"/>
      <w:lvlText w:val=""/>
      <w:lvlJc w:val="left"/>
      <w:pPr>
        <w:ind w:left="6667" w:hanging="360"/>
      </w:pPr>
      <w:rPr>
        <w:rFonts w:ascii="Wingdings" w:hAnsi="Wingdings" w:hint="default"/>
      </w:rPr>
    </w:lvl>
  </w:abstractNum>
  <w:abstractNum w:abstractNumId="595" w15:restartNumberingAfterBreak="0">
    <w:nsid w:val="53AC2CE4"/>
    <w:multiLevelType w:val="multilevel"/>
    <w:tmpl w:val="E0F26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6" w15:restartNumberingAfterBreak="0">
    <w:nsid w:val="53CD5E90"/>
    <w:multiLevelType w:val="hybridMultilevel"/>
    <w:tmpl w:val="FFFFFFFF"/>
    <w:lvl w:ilvl="0" w:tplc="9E0801DE">
      <w:start w:val="1"/>
      <w:numFmt w:val="bullet"/>
      <w:lvlText w:val=""/>
      <w:lvlJc w:val="left"/>
      <w:pPr>
        <w:ind w:left="720" w:hanging="360"/>
      </w:pPr>
      <w:rPr>
        <w:rFonts w:ascii="Symbol" w:hAnsi="Symbol" w:hint="default"/>
      </w:rPr>
    </w:lvl>
    <w:lvl w:ilvl="1" w:tplc="D9F2DBB2">
      <w:start w:val="1"/>
      <w:numFmt w:val="bullet"/>
      <w:lvlText w:val="o"/>
      <w:lvlJc w:val="left"/>
      <w:pPr>
        <w:ind w:left="1267" w:hanging="360"/>
      </w:pPr>
      <w:rPr>
        <w:rFonts w:ascii="Courier New" w:hAnsi="Courier New" w:hint="default"/>
      </w:rPr>
    </w:lvl>
    <w:lvl w:ilvl="2" w:tplc="EA16E072">
      <w:start w:val="1"/>
      <w:numFmt w:val="bullet"/>
      <w:lvlText w:val=""/>
      <w:lvlJc w:val="left"/>
      <w:pPr>
        <w:ind w:left="1987" w:hanging="360"/>
      </w:pPr>
      <w:rPr>
        <w:rFonts w:ascii="Wingdings" w:hAnsi="Wingdings" w:hint="default"/>
      </w:rPr>
    </w:lvl>
    <w:lvl w:ilvl="3" w:tplc="F6D2A054">
      <w:start w:val="1"/>
      <w:numFmt w:val="bullet"/>
      <w:lvlText w:val=""/>
      <w:lvlJc w:val="left"/>
      <w:pPr>
        <w:ind w:left="2707" w:hanging="360"/>
      </w:pPr>
      <w:rPr>
        <w:rFonts w:ascii="Symbol" w:hAnsi="Symbol" w:hint="default"/>
      </w:rPr>
    </w:lvl>
    <w:lvl w:ilvl="4" w:tplc="32EA9DF0">
      <w:start w:val="1"/>
      <w:numFmt w:val="bullet"/>
      <w:lvlText w:val="o"/>
      <w:lvlJc w:val="left"/>
      <w:pPr>
        <w:ind w:left="3427" w:hanging="360"/>
      </w:pPr>
      <w:rPr>
        <w:rFonts w:ascii="Courier New" w:hAnsi="Courier New" w:hint="default"/>
      </w:rPr>
    </w:lvl>
    <w:lvl w:ilvl="5" w:tplc="B0EA948E">
      <w:start w:val="1"/>
      <w:numFmt w:val="bullet"/>
      <w:lvlText w:val=""/>
      <w:lvlJc w:val="left"/>
      <w:pPr>
        <w:ind w:left="4147" w:hanging="360"/>
      </w:pPr>
      <w:rPr>
        <w:rFonts w:ascii="Wingdings" w:hAnsi="Wingdings" w:hint="default"/>
      </w:rPr>
    </w:lvl>
    <w:lvl w:ilvl="6" w:tplc="B7B06D5A">
      <w:start w:val="1"/>
      <w:numFmt w:val="bullet"/>
      <w:lvlText w:val=""/>
      <w:lvlJc w:val="left"/>
      <w:pPr>
        <w:ind w:left="4867" w:hanging="360"/>
      </w:pPr>
      <w:rPr>
        <w:rFonts w:ascii="Symbol" w:hAnsi="Symbol" w:hint="default"/>
      </w:rPr>
    </w:lvl>
    <w:lvl w:ilvl="7" w:tplc="A0683696">
      <w:start w:val="1"/>
      <w:numFmt w:val="bullet"/>
      <w:lvlText w:val="o"/>
      <w:lvlJc w:val="left"/>
      <w:pPr>
        <w:ind w:left="5587" w:hanging="360"/>
      </w:pPr>
      <w:rPr>
        <w:rFonts w:ascii="Courier New" w:hAnsi="Courier New" w:hint="default"/>
      </w:rPr>
    </w:lvl>
    <w:lvl w:ilvl="8" w:tplc="A70CFC88">
      <w:start w:val="1"/>
      <w:numFmt w:val="bullet"/>
      <w:lvlText w:val=""/>
      <w:lvlJc w:val="left"/>
      <w:pPr>
        <w:ind w:left="6307" w:hanging="360"/>
      </w:pPr>
      <w:rPr>
        <w:rFonts w:ascii="Wingdings" w:hAnsi="Wingdings" w:hint="default"/>
      </w:rPr>
    </w:lvl>
  </w:abstractNum>
  <w:abstractNum w:abstractNumId="597" w15:restartNumberingAfterBreak="0">
    <w:nsid w:val="54020754"/>
    <w:multiLevelType w:val="hybridMultilevel"/>
    <w:tmpl w:val="4484FEEA"/>
    <w:lvl w:ilvl="0" w:tplc="F04C5C96">
      <w:start w:val="1"/>
      <w:numFmt w:val="bullet"/>
      <w:lvlText w:val=""/>
      <w:lvlJc w:val="left"/>
      <w:pPr>
        <w:ind w:left="720" w:hanging="360"/>
      </w:pPr>
      <w:rPr>
        <w:rFonts w:ascii="Symbol" w:hAnsi="Symbol" w:hint="default"/>
      </w:rPr>
    </w:lvl>
    <w:lvl w:ilvl="1" w:tplc="6EE0E7AE">
      <w:start w:val="1"/>
      <w:numFmt w:val="bullet"/>
      <w:lvlText w:val="o"/>
      <w:lvlJc w:val="left"/>
      <w:pPr>
        <w:ind w:left="1440" w:hanging="360"/>
      </w:pPr>
      <w:rPr>
        <w:rFonts w:ascii="Courier New" w:hAnsi="Courier New" w:hint="default"/>
      </w:rPr>
    </w:lvl>
    <w:lvl w:ilvl="2" w:tplc="A5E82D08">
      <w:start w:val="1"/>
      <w:numFmt w:val="bullet"/>
      <w:lvlText w:val=""/>
      <w:lvlJc w:val="left"/>
      <w:pPr>
        <w:ind w:left="2160" w:hanging="360"/>
      </w:pPr>
      <w:rPr>
        <w:rFonts w:ascii="Wingdings" w:hAnsi="Wingdings" w:hint="default"/>
      </w:rPr>
    </w:lvl>
    <w:lvl w:ilvl="3" w:tplc="082855E0">
      <w:start w:val="1"/>
      <w:numFmt w:val="bullet"/>
      <w:lvlText w:val=""/>
      <w:lvlJc w:val="left"/>
      <w:pPr>
        <w:ind w:left="2880" w:hanging="360"/>
      </w:pPr>
      <w:rPr>
        <w:rFonts w:ascii="Symbol" w:hAnsi="Symbol" w:hint="default"/>
      </w:rPr>
    </w:lvl>
    <w:lvl w:ilvl="4" w:tplc="CDEC7872">
      <w:start w:val="1"/>
      <w:numFmt w:val="bullet"/>
      <w:lvlText w:val="o"/>
      <w:lvlJc w:val="left"/>
      <w:pPr>
        <w:ind w:left="3600" w:hanging="360"/>
      </w:pPr>
      <w:rPr>
        <w:rFonts w:ascii="Courier New" w:hAnsi="Courier New" w:hint="default"/>
      </w:rPr>
    </w:lvl>
    <w:lvl w:ilvl="5" w:tplc="398E5E40">
      <w:start w:val="1"/>
      <w:numFmt w:val="bullet"/>
      <w:lvlText w:val=""/>
      <w:lvlJc w:val="left"/>
      <w:pPr>
        <w:ind w:left="4320" w:hanging="360"/>
      </w:pPr>
      <w:rPr>
        <w:rFonts w:ascii="Wingdings" w:hAnsi="Wingdings" w:hint="default"/>
      </w:rPr>
    </w:lvl>
    <w:lvl w:ilvl="6" w:tplc="2306179A">
      <w:start w:val="1"/>
      <w:numFmt w:val="bullet"/>
      <w:lvlText w:val=""/>
      <w:lvlJc w:val="left"/>
      <w:pPr>
        <w:ind w:left="5040" w:hanging="360"/>
      </w:pPr>
      <w:rPr>
        <w:rFonts w:ascii="Symbol" w:hAnsi="Symbol" w:hint="default"/>
      </w:rPr>
    </w:lvl>
    <w:lvl w:ilvl="7" w:tplc="B2AA91AA">
      <w:start w:val="1"/>
      <w:numFmt w:val="bullet"/>
      <w:lvlText w:val="o"/>
      <w:lvlJc w:val="left"/>
      <w:pPr>
        <w:ind w:left="5760" w:hanging="360"/>
      </w:pPr>
      <w:rPr>
        <w:rFonts w:ascii="Courier New" w:hAnsi="Courier New" w:hint="default"/>
      </w:rPr>
    </w:lvl>
    <w:lvl w:ilvl="8" w:tplc="9BF6CE8A">
      <w:start w:val="1"/>
      <w:numFmt w:val="bullet"/>
      <w:lvlText w:val=""/>
      <w:lvlJc w:val="left"/>
      <w:pPr>
        <w:ind w:left="6480" w:hanging="360"/>
      </w:pPr>
      <w:rPr>
        <w:rFonts w:ascii="Wingdings" w:hAnsi="Wingdings" w:hint="default"/>
      </w:rPr>
    </w:lvl>
  </w:abstractNum>
  <w:abstractNum w:abstractNumId="598" w15:restartNumberingAfterBreak="0">
    <w:nsid w:val="5403436D"/>
    <w:multiLevelType w:val="multilevel"/>
    <w:tmpl w:val="E000E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9" w15:restartNumberingAfterBreak="0">
    <w:nsid w:val="54300872"/>
    <w:multiLevelType w:val="multilevel"/>
    <w:tmpl w:val="42308E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0" w15:restartNumberingAfterBreak="0">
    <w:nsid w:val="54406D00"/>
    <w:multiLevelType w:val="multilevel"/>
    <w:tmpl w:val="DC4E4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1" w15:restartNumberingAfterBreak="0">
    <w:nsid w:val="5445C796"/>
    <w:multiLevelType w:val="multilevel"/>
    <w:tmpl w:val="A156C9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02" w15:restartNumberingAfterBreak="0">
    <w:nsid w:val="545170BD"/>
    <w:multiLevelType w:val="hybridMultilevel"/>
    <w:tmpl w:val="8F08AC5A"/>
    <w:lvl w:ilvl="0" w:tplc="6AE0A968">
      <w:start w:val="1"/>
      <w:numFmt w:val="decimal"/>
      <w:lvlText w:val="%1."/>
      <w:lvlJc w:val="left"/>
      <w:pPr>
        <w:ind w:left="720" w:hanging="360"/>
      </w:pPr>
    </w:lvl>
    <w:lvl w:ilvl="1" w:tplc="6E52A4A0">
      <w:start w:val="1"/>
      <w:numFmt w:val="lowerLetter"/>
      <w:lvlText w:val="%2."/>
      <w:lvlJc w:val="left"/>
      <w:pPr>
        <w:ind w:left="1440" w:hanging="360"/>
      </w:pPr>
    </w:lvl>
    <w:lvl w:ilvl="2" w:tplc="2A9641B4">
      <w:start w:val="1"/>
      <w:numFmt w:val="lowerRoman"/>
      <w:lvlText w:val="%3."/>
      <w:lvlJc w:val="right"/>
      <w:pPr>
        <w:ind w:left="2160" w:hanging="180"/>
      </w:pPr>
    </w:lvl>
    <w:lvl w:ilvl="3" w:tplc="F9F264E8">
      <w:start w:val="1"/>
      <w:numFmt w:val="decimal"/>
      <w:lvlText w:val="%4."/>
      <w:lvlJc w:val="left"/>
      <w:pPr>
        <w:ind w:left="2880" w:hanging="360"/>
      </w:pPr>
    </w:lvl>
    <w:lvl w:ilvl="4" w:tplc="7DF24E5A">
      <w:start w:val="1"/>
      <w:numFmt w:val="lowerLetter"/>
      <w:lvlText w:val="%5."/>
      <w:lvlJc w:val="left"/>
      <w:pPr>
        <w:ind w:left="3600" w:hanging="360"/>
      </w:pPr>
    </w:lvl>
    <w:lvl w:ilvl="5" w:tplc="22CAE516">
      <w:start w:val="1"/>
      <w:numFmt w:val="lowerRoman"/>
      <w:lvlText w:val="%6."/>
      <w:lvlJc w:val="right"/>
      <w:pPr>
        <w:ind w:left="4320" w:hanging="180"/>
      </w:pPr>
    </w:lvl>
    <w:lvl w:ilvl="6" w:tplc="2FCAAAE0">
      <w:start w:val="1"/>
      <w:numFmt w:val="decimal"/>
      <w:lvlText w:val="%7."/>
      <w:lvlJc w:val="left"/>
      <w:pPr>
        <w:ind w:left="5040" w:hanging="360"/>
      </w:pPr>
    </w:lvl>
    <w:lvl w:ilvl="7" w:tplc="CBB2E372">
      <w:start w:val="1"/>
      <w:numFmt w:val="lowerLetter"/>
      <w:lvlText w:val="%8."/>
      <w:lvlJc w:val="left"/>
      <w:pPr>
        <w:ind w:left="5760" w:hanging="360"/>
      </w:pPr>
    </w:lvl>
    <w:lvl w:ilvl="8" w:tplc="206AF694">
      <w:start w:val="1"/>
      <w:numFmt w:val="lowerRoman"/>
      <w:lvlText w:val="%9."/>
      <w:lvlJc w:val="right"/>
      <w:pPr>
        <w:ind w:left="6480" w:hanging="180"/>
      </w:pPr>
    </w:lvl>
  </w:abstractNum>
  <w:abstractNum w:abstractNumId="603" w15:restartNumberingAfterBreak="0">
    <w:nsid w:val="545A4AE6"/>
    <w:multiLevelType w:val="multilevel"/>
    <w:tmpl w:val="21C02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4" w15:restartNumberingAfterBreak="0">
    <w:nsid w:val="54819F2C"/>
    <w:multiLevelType w:val="hybridMultilevel"/>
    <w:tmpl w:val="2F3203FE"/>
    <w:lvl w:ilvl="0" w:tplc="5FB61DCE">
      <w:start w:val="1"/>
      <w:numFmt w:val="bullet"/>
      <w:lvlText w:val="ü"/>
      <w:lvlJc w:val="left"/>
      <w:pPr>
        <w:ind w:left="547" w:hanging="360"/>
      </w:pPr>
      <w:rPr>
        <w:rFonts w:ascii="Wingdings" w:hAnsi="Wingdings" w:hint="default"/>
      </w:rPr>
    </w:lvl>
    <w:lvl w:ilvl="1" w:tplc="C28AC662">
      <w:start w:val="1"/>
      <w:numFmt w:val="bullet"/>
      <w:lvlText w:val="o"/>
      <w:lvlJc w:val="left"/>
      <w:pPr>
        <w:ind w:left="1267" w:hanging="360"/>
      </w:pPr>
      <w:rPr>
        <w:rFonts w:ascii="Courier New" w:hAnsi="Courier New" w:hint="default"/>
      </w:rPr>
    </w:lvl>
    <w:lvl w:ilvl="2" w:tplc="1F08C300">
      <w:start w:val="1"/>
      <w:numFmt w:val="bullet"/>
      <w:lvlText w:val=""/>
      <w:lvlJc w:val="left"/>
      <w:pPr>
        <w:ind w:left="1987" w:hanging="360"/>
      </w:pPr>
      <w:rPr>
        <w:rFonts w:ascii="Wingdings" w:hAnsi="Wingdings" w:hint="default"/>
      </w:rPr>
    </w:lvl>
    <w:lvl w:ilvl="3" w:tplc="4A60C816">
      <w:start w:val="1"/>
      <w:numFmt w:val="bullet"/>
      <w:lvlText w:val=""/>
      <w:lvlJc w:val="left"/>
      <w:pPr>
        <w:ind w:left="2707" w:hanging="360"/>
      </w:pPr>
      <w:rPr>
        <w:rFonts w:ascii="Symbol" w:hAnsi="Symbol" w:hint="default"/>
      </w:rPr>
    </w:lvl>
    <w:lvl w:ilvl="4" w:tplc="954274DE">
      <w:start w:val="1"/>
      <w:numFmt w:val="bullet"/>
      <w:lvlText w:val="o"/>
      <w:lvlJc w:val="left"/>
      <w:pPr>
        <w:ind w:left="3427" w:hanging="360"/>
      </w:pPr>
      <w:rPr>
        <w:rFonts w:ascii="Courier New" w:hAnsi="Courier New" w:hint="default"/>
      </w:rPr>
    </w:lvl>
    <w:lvl w:ilvl="5" w:tplc="F1FCF432">
      <w:start w:val="1"/>
      <w:numFmt w:val="bullet"/>
      <w:lvlText w:val=""/>
      <w:lvlJc w:val="left"/>
      <w:pPr>
        <w:ind w:left="4147" w:hanging="360"/>
      </w:pPr>
      <w:rPr>
        <w:rFonts w:ascii="Wingdings" w:hAnsi="Wingdings" w:hint="default"/>
      </w:rPr>
    </w:lvl>
    <w:lvl w:ilvl="6" w:tplc="C33C51E0">
      <w:start w:val="1"/>
      <w:numFmt w:val="bullet"/>
      <w:lvlText w:val=""/>
      <w:lvlJc w:val="left"/>
      <w:pPr>
        <w:ind w:left="4867" w:hanging="360"/>
      </w:pPr>
      <w:rPr>
        <w:rFonts w:ascii="Symbol" w:hAnsi="Symbol" w:hint="default"/>
      </w:rPr>
    </w:lvl>
    <w:lvl w:ilvl="7" w:tplc="5620615C">
      <w:start w:val="1"/>
      <w:numFmt w:val="bullet"/>
      <w:lvlText w:val="o"/>
      <w:lvlJc w:val="left"/>
      <w:pPr>
        <w:ind w:left="5587" w:hanging="360"/>
      </w:pPr>
      <w:rPr>
        <w:rFonts w:ascii="Courier New" w:hAnsi="Courier New" w:hint="default"/>
      </w:rPr>
    </w:lvl>
    <w:lvl w:ilvl="8" w:tplc="7F38F358">
      <w:start w:val="1"/>
      <w:numFmt w:val="bullet"/>
      <w:lvlText w:val=""/>
      <w:lvlJc w:val="left"/>
      <w:pPr>
        <w:ind w:left="6307" w:hanging="360"/>
      </w:pPr>
      <w:rPr>
        <w:rFonts w:ascii="Wingdings" w:hAnsi="Wingdings" w:hint="default"/>
      </w:rPr>
    </w:lvl>
  </w:abstractNum>
  <w:abstractNum w:abstractNumId="605" w15:restartNumberingAfterBreak="0">
    <w:nsid w:val="54AD42B6"/>
    <w:multiLevelType w:val="multilevel"/>
    <w:tmpl w:val="A6B2A9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06" w15:restartNumberingAfterBreak="0">
    <w:nsid w:val="54CB29E1"/>
    <w:multiLevelType w:val="hybridMultilevel"/>
    <w:tmpl w:val="96EEB3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7" w15:restartNumberingAfterBreak="0">
    <w:nsid w:val="54D77636"/>
    <w:multiLevelType w:val="multilevel"/>
    <w:tmpl w:val="6B46FE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8" w15:restartNumberingAfterBreak="0">
    <w:nsid w:val="55070BD8"/>
    <w:multiLevelType w:val="hybridMultilevel"/>
    <w:tmpl w:val="2E5E4FD8"/>
    <w:lvl w:ilvl="0" w:tplc="64F0C3C6">
      <w:start w:val="1"/>
      <w:numFmt w:val="bullet"/>
      <w:lvlText w:val=""/>
      <w:lvlJc w:val="left"/>
      <w:pPr>
        <w:ind w:left="720" w:hanging="360"/>
      </w:pPr>
      <w:rPr>
        <w:rFonts w:ascii="Symbol" w:hAnsi="Symbol" w:hint="default"/>
      </w:rPr>
    </w:lvl>
    <w:lvl w:ilvl="1" w:tplc="17126C16">
      <w:start w:val="1"/>
      <w:numFmt w:val="bullet"/>
      <w:lvlText w:val="o"/>
      <w:lvlJc w:val="left"/>
      <w:pPr>
        <w:ind w:left="1440" w:hanging="360"/>
      </w:pPr>
      <w:rPr>
        <w:rFonts w:ascii="Courier New" w:hAnsi="Courier New" w:hint="default"/>
      </w:rPr>
    </w:lvl>
    <w:lvl w:ilvl="2" w:tplc="F956189C">
      <w:start w:val="1"/>
      <w:numFmt w:val="bullet"/>
      <w:lvlText w:val=""/>
      <w:lvlJc w:val="left"/>
      <w:pPr>
        <w:ind w:left="2160" w:hanging="360"/>
      </w:pPr>
      <w:rPr>
        <w:rFonts w:ascii="Wingdings" w:hAnsi="Wingdings" w:hint="default"/>
      </w:rPr>
    </w:lvl>
    <w:lvl w:ilvl="3" w:tplc="9432CF6E">
      <w:start w:val="1"/>
      <w:numFmt w:val="bullet"/>
      <w:lvlText w:val=""/>
      <w:lvlJc w:val="left"/>
      <w:pPr>
        <w:ind w:left="2880" w:hanging="360"/>
      </w:pPr>
      <w:rPr>
        <w:rFonts w:ascii="Symbol" w:hAnsi="Symbol" w:hint="default"/>
      </w:rPr>
    </w:lvl>
    <w:lvl w:ilvl="4" w:tplc="681092CC">
      <w:start w:val="1"/>
      <w:numFmt w:val="bullet"/>
      <w:lvlText w:val="o"/>
      <w:lvlJc w:val="left"/>
      <w:pPr>
        <w:ind w:left="3600" w:hanging="360"/>
      </w:pPr>
      <w:rPr>
        <w:rFonts w:ascii="Courier New" w:hAnsi="Courier New" w:hint="default"/>
      </w:rPr>
    </w:lvl>
    <w:lvl w:ilvl="5" w:tplc="2432FDA0">
      <w:start w:val="1"/>
      <w:numFmt w:val="bullet"/>
      <w:lvlText w:val=""/>
      <w:lvlJc w:val="left"/>
      <w:pPr>
        <w:ind w:left="4320" w:hanging="360"/>
      </w:pPr>
      <w:rPr>
        <w:rFonts w:ascii="Wingdings" w:hAnsi="Wingdings" w:hint="default"/>
      </w:rPr>
    </w:lvl>
    <w:lvl w:ilvl="6" w:tplc="917CB07E">
      <w:start w:val="1"/>
      <w:numFmt w:val="bullet"/>
      <w:lvlText w:val=""/>
      <w:lvlJc w:val="left"/>
      <w:pPr>
        <w:ind w:left="5040" w:hanging="360"/>
      </w:pPr>
      <w:rPr>
        <w:rFonts w:ascii="Symbol" w:hAnsi="Symbol" w:hint="default"/>
      </w:rPr>
    </w:lvl>
    <w:lvl w:ilvl="7" w:tplc="8298820A">
      <w:start w:val="1"/>
      <w:numFmt w:val="bullet"/>
      <w:lvlText w:val="o"/>
      <w:lvlJc w:val="left"/>
      <w:pPr>
        <w:ind w:left="5760" w:hanging="360"/>
      </w:pPr>
      <w:rPr>
        <w:rFonts w:ascii="Courier New" w:hAnsi="Courier New" w:hint="default"/>
      </w:rPr>
    </w:lvl>
    <w:lvl w:ilvl="8" w:tplc="1F7E9D8E">
      <w:start w:val="1"/>
      <w:numFmt w:val="bullet"/>
      <w:lvlText w:val=""/>
      <w:lvlJc w:val="left"/>
      <w:pPr>
        <w:ind w:left="6480" w:hanging="360"/>
      </w:pPr>
      <w:rPr>
        <w:rFonts w:ascii="Wingdings" w:hAnsi="Wingdings" w:hint="default"/>
      </w:rPr>
    </w:lvl>
  </w:abstractNum>
  <w:abstractNum w:abstractNumId="609" w15:restartNumberingAfterBreak="0">
    <w:nsid w:val="550A3790"/>
    <w:multiLevelType w:val="multilevel"/>
    <w:tmpl w:val="ABFC6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0" w15:restartNumberingAfterBreak="0">
    <w:nsid w:val="5540B4F8"/>
    <w:multiLevelType w:val="hybridMultilevel"/>
    <w:tmpl w:val="FFFFFFFF"/>
    <w:lvl w:ilvl="0" w:tplc="5D8C3A58">
      <w:start w:val="1"/>
      <w:numFmt w:val="bullet"/>
      <w:lvlText w:val=""/>
      <w:lvlJc w:val="left"/>
      <w:pPr>
        <w:ind w:left="547" w:hanging="360"/>
      </w:pPr>
      <w:rPr>
        <w:rFonts w:ascii="Symbol" w:hAnsi="Symbol" w:hint="default"/>
      </w:rPr>
    </w:lvl>
    <w:lvl w:ilvl="1" w:tplc="B97090FE">
      <w:start w:val="1"/>
      <w:numFmt w:val="bullet"/>
      <w:lvlText w:val="o"/>
      <w:lvlJc w:val="left"/>
      <w:pPr>
        <w:ind w:left="1267" w:hanging="360"/>
      </w:pPr>
      <w:rPr>
        <w:rFonts w:ascii="Courier New" w:hAnsi="Courier New" w:hint="default"/>
      </w:rPr>
    </w:lvl>
    <w:lvl w:ilvl="2" w:tplc="CF044C8C">
      <w:start w:val="1"/>
      <w:numFmt w:val="bullet"/>
      <w:lvlText w:val=""/>
      <w:lvlJc w:val="left"/>
      <w:pPr>
        <w:ind w:left="1987" w:hanging="360"/>
      </w:pPr>
      <w:rPr>
        <w:rFonts w:ascii="Wingdings" w:hAnsi="Wingdings" w:hint="default"/>
      </w:rPr>
    </w:lvl>
    <w:lvl w:ilvl="3" w:tplc="0EBA63CE">
      <w:start w:val="1"/>
      <w:numFmt w:val="bullet"/>
      <w:lvlText w:val=""/>
      <w:lvlJc w:val="left"/>
      <w:pPr>
        <w:ind w:left="2707" w:hanging="360"/>
      </w:pPr>
      <w:rPr>
        <w:rFonts w:ascii="Symbol" w:hAnsi="Symbol" w:hint="default"/>
      </w:rPr>
    </w:lvl>
    <w:lvl w:ilvl="4" w:tplc="5C384252">
      <w:start w:val="1"/>
      <w:numFmt w:val="bullet"/>
      <w:lvlText w:val="o"/>
      <w:lvlJc w:val="left"/>
      <w:pPr>
        <w:ind w:left="3427" w:hanging="360"/>
      </w:pPr>
      <w:rPr>
        <w:rFonts w:ascii="Courier New" w:hAnsi="Courier New" w:hint="default"/>
      </w:rPr>
    </w:lvl>
    <w:lvl w:ilvl="5" w:tplc="B8424CBC">
      <w:start w:val="1"/>
      <w:numFmt w:val="bullet"/>
      <w:lvlText w:val=""/>
      <w:lvlJc w:val="left"/>
      <w:pPr>
        <w:ind w:left="4147" w:hanging="360"/>
      </w:pPr>
      <w:rPr>
        <w:rFonts w:ascii="Wingdings" w:hAnsi="Wingdings" w:hint="default"/>
      </w:rPr>
    </w:lvl>
    <w:lvl w:ilvl="6" w:tplc="2ABA9DF0">
      <w:start w:val="1"/>
      <w:numFmt w:val="bullet"/>
      <w:lvlText w:val=""/>
      <w:lvlJc w:val="left"/>
      <w:pPr>
        <w:ind w:left="4867" w:hanging="360"/>
      </w:pPr>
      <w:rPr>
        <w:rFonts w:ascii="Symbol" w:hAnsi="Symbol" w:hint="default"/>
      </w:rPr>
    </w:lvl>
    <w:lvl w:ilvl="7" w:tplc="8B6C120C">
      <w:start w:val="1"/>
      <w:numFmt w:val="bullet"/>
      <w:lvlText w:val="o"/>
      <w:lvlJc w:val="left"/>
      <w:pPr>
        <w:ind w:left="5587" w:hanging="360"/>
      </w:pPr>
      <w:rPr>
        <w:rFonts w:ascii="Courier New" w:hAnsi="Courier New" w:hint="default"/>
      </w:rPr>
    </w:lvl>
    <w:lvl w:ilvl="8" w:tplc="B5C6FA16">
      <w:start w:val="1"/>
      <w:numFmt w:val="bullet"/>
      <w:lvlText w:val=""/>
      <w:lvlJc w:val="left"/>
      <w:pPr>
        <w:ind w:left="6307" w:hanging="360"/>
      </w:pPr>
      <w:rPr>
        <w:rFonts w:ascii="Wingdings" w:hAnsi="Wingdings" w:hint="default"/>
      </w:rPr>
    </w:lvl>
  </w:abstractNum>
  <w:abstractNum w:abstractNumId="611" w15:restartNumberingAfterBreak="0">
    <w:nsid w:val="559F0628"/>
    <w:multiLevelType w:val="multilevel"/>
    <w:tmpl w:val="9EC2E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2" w15:restartNumberingAfterBreak="0">
    <w:nsid w:val="55AC8A9A"/>
    <w:multiLevelType w:val="hybridMultilevel"/>
    <w:tmpl w:val="60D0A4EC"/>
    <w:lvl w:ilvl="0" w:tplc="64A0CF02">
      <w:start w:val="1"/>
      <w:numFmt w:val="bullet"/>
      <w:lvlText w:val=""/>
      <w:lvlJc w:val="left"/>
      <w:pPr>
        <w:ind w:left="720" w:hanging="360"/>
      </w:pPr>
      <w:rPr>
        <w:rFonts w:ascii="Symbol" w:hAnsi="Symbol" w:hint="default"/>
      </w:rPr>
    </w:lvl>
    <w:lvl w:ilvl="1" w:tplc="09241A9A">
      <w:start w:val="1"/>
      <w:numFmt w:val="bullet"/>
      <w:lvlText w:val="o"/>
      <w:lvlJc w:val="left"/>
      <w:pPr>
        <w:ind w:left="1440" w:hanging="360"/>
      </w:pPr>
      <w:rPr>
        <w:rFonts w:ascii="Courier New" w:hAnsi="Courier New" w:hint="default"/>
      </w:rPr>
    </w:lvl>
    <w:lvl w:ilvl="2" w:tplc="C8480F68">
      <w:start w:val="1"/>
      <w:numFmt w:val="bullet"/>
      <w:lvlText w:val=""/>
      <w:lvlJc w:val="left"/>
      <w:pPr>
        <w:ind w:left="2160" w:hanging="360"/>
      </w:pPr>
      <w:rPr>
        <w:rFonts w:ascii="Wingdings" w:hAnsi="Wingdings" w:hint="default"/>
      </w:rPr>
    </w:lvl>
    <w:lvl w:ilvl="3" w:tplc="8C44A6FC">
      <w:start w:val="1"/>
      <w:numFmt w:val="bullet"/>
      <w:lvlText w:val=""/>
      <w:lvlJc w:val="left"/>
      <w:pPr>
        <w:ind w:left="2880" w:hanging="360"/>
      </w:pPr>
      <w:rPr>
        <w:rFonts w:ascii="Symbol" w:hAnsi="Symbol" w:hint="default"/>
      </w:rPr>
    </w:lvl>
    <w:lvl w:ilvl="4" w:tplc="813A2E02">
      <w:start w:val="1"/>
      <w:numFmt w:val="bullet"/>
      <w:lvlText w:val="o"/>
      <w:lvlJc w:val="left"/>
      <w:pPr>
        <w:ind w:left="3600" w:hanging="360"/>
      </w:pPr>
      <w:rPr>
        <w:rFonts w:ascii="Courier New" w:hAnsi="Courier New" w:hint="default"/>
      </w:rPr>
    </w:lvl>
    <w:lvl w:ilvl="5" w:tplc="740417D4">
      <w:start w:val="1"/>
      <w:numFmt w:val="bullet"/>
      <w:lvlText w:val=""/>
      <w:lvlJc w:val="left"/>
      <w:pPr>
        <w:ind w:left="4320" w:hanging="360"/>
      </w:pPr>
      <w:rPr>
        <w:rFonts w:ascii="Wingdings" w:hAnsi="Wingdings" w:hint="default"/>
      </w:rPr>
    </w:lvl>
    <w:lvl w:ilvl="6" w:tplc="7EE0D27E">
      <w:start w:val="1"/>
      <w:numFmt w:val="bullet"/>
      <w:lvlText w:val=""/>
      <w:lvlJc w:val="left"/>
      <w:pPr>
        <w:ind w:left="5040" w:hanging="360"/>
      </w:pPr>
      <w:rPr>
        <w:rFonts w:ascii="Symbol" w:hAnsi="Symbol" w:hint="default"/>
      </w:rPr>
    </w:lvl>
    <w:lvl w:ilvl="7" w:tplc="BB74CCAC">
      <w:start w:val="1"/>
      <w:numFmt w:val="bullet"/>
      <w:lvlText w:val="o"/>
      <w:lvlJc w:val="left"/>
      <w:pPr>
        <w:ind w:left="5760" w:hanging="360"/>
      </w:pPr>
      <w:rPr>
        <w:rFonts w:ascii="Courier New" w:hAnsi="Courier New" w:hint="default"/>
      </w:rPr>
    </w:lvl>
    <w:lvl w:ilvl="8" w:tplc="71DA4928">
      <w:start w:val="1"/>
      <w:numFmt w:val="bullet"/>
      <w:lvlText w:val=""/>
      <w:lvlJc w:val="left"/>
      <w:pPr>
        <w:ind w:left="6480" w:hanging="360"/>
      </w:pPr>
      <w:rPr>
        <w:rFonts w:ascii="Wingdings" w:hAnsi="Wingdings" w:hint="default"/>
      </w:rPr>
    </w:lvl>
  </w:abstractNum>
  <w:abstractNum w:abstractNumId="613" w15:restartNumberingAfterBreak="0">
    <w:nsid w:val="55ACCB72"/>
    <w:multiLevelType w:val="multilevel"/>
    <w:tmpl w:val="8B6C38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14" w15:restartNumberingAfterBreak="0">
    <w:nsid w:val="55DC2492"/>
    <w:multiLevelType w:val="multilevel"/>
    <w:tmpl w:val="3C0AA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5" w15:restartNumberingAfterBreak="0">
    <w:nsid w:val="56164E51"/>
    <w:multiLevelType w:val="multilevel"/>
    <w:tmpl w:val="60CE4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6" w15:restartNumberingAfterBreak="0">
    <w:nsid w:val="56269FF4"/>
    <w:multiLevelType w:val="multilevel"/>
    <w:tmpl w:val="B950D5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17" w15:restartNumberingAfterBreak="0">
    <w:nsid w:val="562C8039"/>
    <w:multiLevelType w:val="multilevel"/>
    <w:tmpl w:val="18D61D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18" w15:restartNumberingAfterBreak="0">
    <w:nsid w:val="5643CBB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619" w15:restartNumberingAfterBreak="0">
    <w:nsid w:val="564B43ED"/>
    <w:multiLevelType w:val="hybridMultilevel"/>
    <w:tmpl w:val="37123674"/>
    <w:lvl w:ilvl="0" w:tplc="52EA4450">
      <w:start w:val="1"/>
      <w:numFmt w:val="bullet"/>
      <w:lvlText w:val=""/>
      <w:lvlJc w:val="left"/>
      <w:pPr>
        <w:ind w:left="720" w:hanging="360"/>
      </w:pPr>
      <w:rPr>
        <w:rFonts w:ascii="Symbol" w:hAnsi="Symbol"/>
      </w:rPr>
    </w:lvl>
    <w:lvl w:ilvl="1" w:tplc="2EC0F174">
      <w:start w:val="1"/>
      <w:numFmt w:val="bullet"/>
      <w:lvlText w:val=""/>
      <w:lvlJc w:val="left"/>
      <w:pPr>
        <w:ind w:left="720" w:hanging="360"/>
      </w:pPr>
      <w:rPr>
        <w:rFonts w:ascii="Symbol" w:hAnsi="Symbol"/>
      </w:rPr>
    </w:lvl>
    <w:lvl w:ilvl="2" w:tplc="993AE98C">
      <w:start w:val="1"/>
      <w:numFmt w:val="bullet"/>
      <w:lvlText w:val=""/>
      <w:lvlJc w:val="left"/>
      <w:pPr>
        <w:ind w:left="720" w:hanging="360"/>
      </w:pPr>
      <w:rPr>
        <w:rFonts w:ascii="Symbol" w:hAnsi="Symbol"/>
      </w:rPr>
    </w:lvl>
    <w:lvl w:ilvl="3" w:tplc="416E896E">
      <w:start w:val="1"/>
      <w:numFmt w:val="bullet"/>
      <w:lvlText w:val=""/>
      <w:lvlJc w:val="left"/>
      <w:pPr>
        <w:ind w:left="720" w:hanging="360"/>
      </w:pPr>
      <w:rPr>
        <w:rFonts w:ascii="Symbol" w:hAnsi="Symbol"/>
      </w:rPr>
    </w:lvl>
    <w:lvl w:ilvl="4" w:tplc="A7AE6FAE">
      <w:start w:val="1"/>
      <w:numFmt w:val="bullet"/>
      <w:lvlText w:val=""/>
      <w:lvlJc w:val="left"/>
      <w:pPr>
        <w:ind w:left="720" w:hanging="360"/>
      </w:pPr>
      <w:rPr>
        <w:rFonts w:ascii="Symbol" w:hAnsi="Symbol"/>
      </w:rPr>
    </w:lvl>
    <w:lvl w:ilvl="5" w:tplc="C9DC8AF2">
      <w:start w:val="1"/>
      <w:numFmt w:val="bullet"/>
      <w:lvlText w:val=""/>
      <w:lvlJc w:val="left"/>
      <w:pPr>
        <w:ind w:left="720" w:hanging="360"/>
      </w:pPr>
      <w:rPr>
        <w:rFonts w:ascii="Symbol" w:hAnsi="Symbol"/>
      </w:rPr>
    </w:lvl>
    <w:lvl w:ilvl="6" w:tplc="0BD07394">
      <w:start w:val="1"/>
      <w:numFmt w:val="bullet"/>
      <w:lvlText w:val=""/>
      <w:lvlJc w:val="left"/>
      <w:pPr>
        <w:ind w:left="720" w:hanging="360"/>
      </w:pPr>
      <w:rPr>
        <w:rFonts w:ascii="Symbol" w:hAnsi="Symbol"/>
      </w:rPr>
    </w:lvl>
    <w:lvl w:ilvl="7" w:tplc="9014CE58">
      <w:start w:val="1"/>
      <w:numFmt w:val="bullet"/>
      <w:lvlText w:val=""/>
      <w:lvlJc w:val="left"/>
      <w:pPr>
        <w:ind w:left="720" w:hanging="360"/>
      </w:pPr>
      <w:rPr>
        <w:rFonts w:ascii="Symbol" w:hAnsi="Symbol"/>
      </w:rPr>
    </w:lvl>
    <w:lvl w:ilvl="8" w:tplc="B5089310">
      <w:start w:val="1"/>
      <w:numFmt w:val="bullet"/>
      <w:lvlText w:val=""/>
      <w:lvlJc w:val="left"/>
      <w:pPr>
        <w:ind w:left="720" w:hanging="360"/>
      </w:pPr>
      <w:rPr>
        <w:rFonts w:ascii="Symbol" w:hAnsi="Symbol"/>
      </w:rPr>
    </w:lvl>
  </w:abstractNum>
  <w:abstractNum w:abstractNumId="620" w15:restartNumberingAfterBreak="0">
    <w:nsid w:val="567E6A7A"/>
    <w:multiLevelType w:val="multilevel"/>
    <w:tmpl w:val="1C20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1" w15:restartNumberingAfterBreak="0">
    <w:nsid w:val="56A0667C"/>
    <w:multiLevelType w:val="hybridMultilevel"/>
    <w:tmpl w:val="04F227E2"/>
    <w:lvl w:ilvl="0" w:tplc="7FCE64FE">
      <w:start w:val="1"/>
      <w:numFmt w:val="decimal"/>
      <w:lvlText w:val="%1."/>
      <w:lvlJc w:val="left"/>
      <w:pPr>
        <w:ind w:left="720" w:hanging="360"/>
      </w:pPr>
      <w:rPr>
        <w:rFonts w:ascii="Calibri" w:hAnsi="Calibri" w:hint="default"/>
      </w:rPr>
    </w:lvl>
    <w:lvl w:ilvl="1" w:tplc="BBA8B5CA">
      <w:start w:val="1"/>
      <w:numFmt w:val="lowerLetter"/>
      <w:lvlText w:val="%2."/>
      <w:lvlJc w:val="left"/>
      <w:pPr>
        <w:ind w:left="1267" w:hanging="360"/>
      </w:pPr>
    </w:lvl>
    <w:lvl w:ilvl="2" w:tplc="B002D040">
      <w:start w:val="1"/>
      <w:numFmt w:val="lowerRoman"/>
      <w:lvlText w:val="%3."/>
      <w:lvlJc w:val="right"/>
      <w:pPr>
        <w:ind w:left="1987" w:hanging="180"/>
      </w:pPr>
    </w:lvl>
    <w:lvl w:ilvl="3" w:tplc="9E0E24D4">
      <w:start w:val="1"/>
      <w:numFmt w:val="decimal"/>
      <w:lvlText w:val="%4."/>
      <w:lvlJc w:val="left"/>
      <w:pPr>
        <w:ind w:left="2707" w:hanging="360"/>
      </w:pPr>
    </w:lvl>
    <w:lvl w:ilvl="4" w:tplc="4B325618">
      <w:start w:val="1"/>
      <w:numFmt w:val="lowerLetter"/>
      <w:lvlText w:val="%5."/>
      <w:lvlJc w:val="left"/>
      <w:pPr>
        <w:ind w:left="3427" w:hanging="360"/>
      </w:pPr>
    </w:lvl>
    <w:lvl w:ilvl="5" w:tplc="3BAA6924">
      <w:start w:val="1"/>
      <w:numFmt w:val="lowerRoman"/>
      <w:lvlText w:val="%6."/>
      <w:lvlJc w:val="right"/>
      <w:pPr>
        <w:ind w:left="4147" w:hanging="180"/>
      </w:pPr>
    </w:lvl>
    <w:lvl w:ilvl="6" w:tplc="F9A01CAE">
      <w:start w:val="1"/>
      <w:numFmt w:val="decimal"/>
      <w:lvlText w:val="%7."/>
      <w:lvlJc w:val="left"/>
      <w:pPr>
        <w:ind w:left="4867" w:hanging="360"/>
      </w:pPr>
    </w:lvl>
    <w:lvl w:ilvl="7" w:tplc="8CDEBF72">
      <w:start w:val="1"/>
      <w:numFmt w:val="lowerLetter"/>
      <w:lvlText w:val="%8."/>
      <w:lvlJc w:val="left"/>
      <w:pPr>
        <w:ind w:left="5587" w:hanging="360"/>
      </w:pPr>
    </w:lvl>
    <w:lvl w:ilvl="8" w:tplc="2BB2B074">
      <w:start w:val="1"/>
      <w:numFmt w:val="lowerRoman"/>
      <w:lvlText w:val="%9."/>
      <w:lvlJc w:val="right"/>
      <w:pPr>
        <w:ind w:left="6307" w:hanging="180"/>
      </w:pPr>
    </w:lvl>
  </w:abstractNum>
  <w:abstractNum w:abstractNumId="622" w15:restartNumberingAfterBreak="0">
    <w:nsid w:val="56BD8CB9"/>
    <w:multiLevelType w:val="hybridMultilevel"/>
    <w:tmpl w:val="FFFFFFFF"/>
    <w:lvl w:ilvl="0" w:tplc="487E71DC">
      <w:start w:val="1"/>
      <w:numFmt w:val="lowerLetter"/>
      <w:lvlText w:val="(%1)"/>
      <w:lvlJc w:val="left"/>
      <w:pPr>
        <w:ind w:left="547" w:hanging="360"/>
      </w:pPr>
    </w:lvl>
    <w:lvl w:ilvl="1" w:tplc="A8B6C59A">
      <w:start w:val="1"/>
      <w:numFmt w:val="lowerLetter"/>
      <w:lvlText w:val="%2."/>
      <w:lvlJc w:val="left"/>
      <w:pPr>
        <w:ind w:left="1267" w:hanging="360"/>
      </w:pPr>
    </w:lvl>
    <w:lvl w:ilvl="2" w:tplc="2174BF5E">
      <w:start w:val="1"/>
      <w:numFmt w:val="lowerRoman"/>
      <w:lvlText w:val="%3."/>
      <w:lvlJc w:val="right"/>
      <w:pPr>
        <w:ind w:left="1987" w:hanging="180"/>
      </w:pPr>
    </w:lvl>
    <w:lvl w:ilvl="3" w:tplc="21F88A7C">
      <w:start w:val="1"/>
      <w:numFmt w:val="decimal"/>
      <w:lvlText w:val="%4."/>
      <w:lvlJc w:val="left"/>
      <w:pPr>
        <w:ind w:left="2707" w:hanging="360"/>
      </w:pPr>
    </w:lvl>
    <w:lvl w:ilvl="4" w:tplc="5316D71A">
      <w:start w:val="1"/>
      <w:numFmt w:val="lowerLetter"/>
      <w:lvlText w:val="%5."/>
      <w:lvlJc w:val="left"/>
      <w:pPr>
        <w:ind w:left="3427" w:hanging="360"/>
      </w:pPr>
    </w:lvl>
    <w:lvl w:ilvl="5" w:tplc="BFF0CAA4">
      <w:start w:val="1"/>
      <w:numFmt w:val="lowerRoman"/>
      <w:lvlText w:val="%6."/>
      <w:lvlJc w:val="right"/>
      <w:pPr>
        <w:ind w:left="4147" w:hanging="180"/>
      </w:pPr>
    </w:lvl>
    <w:lvl w:ilvl="6" w:tplc="ADD8DEC6">
      <w:start w:val="1"/>
      <w:numFmt w:val="decimal"/>
      <w:lvlText w:val="%7."/>
      <w:lvlJc w:val="left"/>
      <w:pPr>
        <w:ind w:left="4867" w:hanging="360"/>
      </w:pPr>
    </w:lvl>
    <w:lvl w:ilvl="7" w:tplc="DEF851C2">
      <w:start w:val="1"/>
      <w:numFmt w:val="lowerLetter"/>
      <w:lvlText w:val="%8."/>
      <w:lvlJc w:val="left"/>
      <w:pPr>
        <w:ind w:left="5587" w:hanging="360"/>
      </w:pPr>
    </w:lvl>
    <w:lvl w:ilvl="8" w:tplc="E86AB846">
      <w:start w:val="1"/>
      <w:numFmt w:val="lowerRoman"/>
      <w:lvlText w:val="%9."/>
      <w:lvlJc w:val="right"/>
      <w:pPr>
        <w:ind w:left="6307" w:hanging="180"/>
      </w:pPr>
    </w:lvl>
  </w:abstractNum>
  <w:abstractNum w:abstractNumId="623" w15:restartNumberingAfterBreak="0">
    <w:nsid w:val="56E72C32"/>
    <w:multiLevelType w:val="multilevel"/>
    <w:tmpl w:val="63565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4" w15:restartNumberingAfterBreak="0">
    <w:nsid w:val="56F132E6"/>
    <w:multiLevelType w:val="hybridMultilevel"/>
    <w:tmpl w:val="B630E788"/>
    <w:lvl w:ilvl="0" w:tplc="0409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5" w15:restartNumberingAfterBreak="0">
    <w:nsid w:val="571D2AC2"/>
    <w:multiLevelType w:val="multilevel"/>
    <w:tmpl w:val="3C66A2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6" w15:restartNumberingAfterBreak="0">
    <w:nsid w:val="572442C9"/>
    <w:multiLevelType w:val="multilevel"/>
    <w:tmpl w:val="C262C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7" w15:restartNumberingAfterBreak="0">
    <w:nsid w:val="57621033"/>
    <w:multiLevelType w:val="multilevel"/>
    <w:tmpl w:val="4DAC44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8" w15:restartNumberingAfterBreak="0">
    <w:nsid w:val="577D2101"/>
    <w:multiLevelType w:val="hybridMultilevel"/>
    <w:tmpl w:val="98AA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9" w15:restartNumberingAfterBreak="0">
    <w:nsid w:val="57BE6BD2"/>
    <w:multiLevelType w:val="multilevel"/>
    <w:tmpl w:val="4DA29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0" w15:restartNumberingAfterBreak="0">
    <w:nsid w:val="57D1A9F7"/>
    <w:multiLevelType w:val="hybridMultilevel"/>
    <w:tmpl w:val="A7C60738"/>
    <w:lvl w:ilvl="0" w:tplc="6C1E272E">
      <w:start w:val="1"/>
      <w:numFmt w:val="bullet"/>
      <w:lvlText w:val=""/>
      <w:lvlJc w:val="left"/>
      <w:pPr>
        <w:ind w:left="720" w:hanging="360"/>
      </w:pPr>
      <w:rPr>
        <w:rFonts w:ascii="Symbol" w:hAnsi="Symbol" w:hint="default"/>
      </w:rPr>
    </w:lvl>
    <w:lvl w:ilvl="1" w:tplc="8C08A556">
      <w:start w:val="1"/>
      <w:numFmt w:val="bullet"/>
      <w:lvlText w:val="o"/>
      <w:lvlJc w:val="left"/>
      <w:pPr>
        <w:ind w:left="1440" w:hanging="360"/>
      </w:pPr>
      <w:rPr>
        <w:rFonts w:ascii="Courier New" w:hAnsi="Courier New" w:hint="default"/>
      </w:rPr>
    </w:lvl>
    <w:lvl w:ilvl="2" w:tplc="49A221EE">
      <w:start w:val="1"/>
      <w:numFmt w:val="bullet"/>
      <w:lvlText w:val=""/>
      <w:lvlJc w:val="left"/>
      <w:pPr>
        <w:ind w:left="2160" w:hanging="360"/>
      </w:pPr>
      <w:rPr>
        <w:rFonts w:ascii="Wingdings" w:hAnsi="Wingdings" w:hint="default"/>
      </w:rPr>
    </w:lvl>
    <w:lvl w:ilvl="3" w:tplc="28C6B0C4">
      <w:start w:val="1"/>
      <w:numFmt w:val="bullet"/>
      <w:lvlText w:val=""/>
      <w:lvlJc w:val="left"/>
      <w:pPr>
        <w:ind w:left="2880" w:hanging="360"/>
      </w:pPr>
      <w:rPr>
        <w:rFonts w:ascii="Symbol" w:hAnsi="Symbol" w:hint="default"/>
      </w:rPr>
    </w:lvl>
    <w:lvl w:ilvl="4" w:tplc="D13A2060">
      <w:start w:val="1"/>
      <w:numFmt w:val="bullet"/>
      <w:lvlText w:val="o"/>
      <w:lvlJc w:val="left"/>
      <w:pPr>
        <w:ind w:left="3600" w:hanging="360"/>
      </w:pPr>
      <w:rPr>
        <w:rFonts w:ascii="Courier New" w:hAnsi="Courier New" w:hint="default"/>
      </w:rPr>
    </w:lvl>
    <w:lvl w:ilvl="5" w:tplc="6340285A">
      <w:start w:val="1"/>
      <w:numFmt w:val="bullet"/>
      <w:lvlText w:val=""/>
      <w:lvlJc w:val="left"/>
      <w:pPr>
        <w:ind w:left="4320" w:hanging="360"/>
      </w:pPr>
      <w:rPr>
        <w:rFonts w:ascii="Wingdings" w:hAnsi="Wingdings" w:hint="default"/>
      </w:rPr>
    </w:lvl>
    <w:lvl w:ilvl="6" w:tplc="6AF2256A">
      <w:start w:val="1"/>
      <w:numFmt w:val="bullet"/>
      <w:lvlText w:val=""/>
      <w:lvlJc w:val="left"/>
      <w:pPr>
        <w:ind w:left="5040" w:hanging="360"/>
      </w:pPr>
      <w:rPr>
        <w:rFonts w:ascii="Symbol" w:hAnsi="Symbol" w:hint="default"/>
      </w:rPr>
    </w:lvl>
    <w:lvl w:ilvl="7" w:tplc="C2F22F62">
      <w:start w:val="1"/>
      <w:numFmt w:val="bullet"/>
      <w:lvlText w:val="o"/>
      <w:lvlJc w:val="left"/>
      <w:pPr>
        <w:ind w:left="5760" w:hanging="360"/>
      </w:pPr>
      <w:rPr>
        <w:rFonts w:ascii="Courier New" w:hAnsi="Courier New" w:hint="default"/>
      </w:rPr>
    </w:lvl>
    <w:lvl w:ilvl="8" w:tplc="117635D4">
      <w:start w:val="1"/>
      <w:numFmt w:val="bullet"/>
      <w:lvlText w:val=""/>
      <w:lvlJc w:val="left"/>
      <w:pPr>
        <w:ind w:left="6480" w:hanging="360"/>
      </w:pPr>
      <w:rPr>
        <w:rFonts w:ascii="Wingdings" w:hAnsi="Wingdings" w:hint="default"/>
      </w:rPr>
    </w:lvl>
  </w:abstractNum>
  <w:abstractNum w:abstractNumId="631" w15:restartNumberingAfterBreak="0">
    <w:nsid w:val="57EBFEC9"/>
    <w:multiLevelType w:val="hybridMultilevel"/>
    <w:tmpl w:val="FFFFFFFF"/>
    <w:lvl w:ilvl="0" w:tplc="452893A2">
      <w:start w:val="1"/>
      <w:numFmt w:val="bullet"/>
      <w:lvlText w:val="-"/>
      <w:lvlJc w:val="left"/>
      <w:pPr>
        <w:ind w:left="720" w:hanging="360"/>
      </w:pPr>
      <w:rPr>
        <w:rFonts w:ascii="Aptos" w:hAnsi="Aptos" w:hint="default"/>
      </w:rPr>
    </w:lvl>
    <w:lvl w:ilvl="1" w:tplc="4186080E">
      <w:start w:val="1"/>
      <w:numFmt w:val="bullet"/>
      <w:lvlText w:val="o"/>
      <w:lvlJc w:val="left"/>
      <w:pPr>
        <w:ind w:left="1440" w:hanging="360"/>
      </w:pPr>
      <w:rPr>
        <w:rFonts w:ascii="Courier New" w:hAnsi="Courier New" w:hint="default"/>
      </w:rPr>
    </w:lvl>
    <w:lvl w:ilvl="2" w:tplc="5EC4EC14">
      <w:start w:val="1"/>
      <w:numFmt w:val="bullet"/>
      <w:lvlText w:val=""/>
      <w:lvlJc w:val="left"/>
      <w:pPr>
        <w:ind w:left="2160" w:hanging="360"/>
      </w:pPr>
      <w:rPr>
        <w:rFonts w:ascii="Wingdings" w:hAnsi="Wingdings" w:hint="default"/>
      </w:rPr>
    </w:lvl>
    <w:lvl w:ilvl="3" w:tplc="5122FA56">
      <w:start w:val="1"/>
      <w:numFmt w:val="bullet"/>
      <w:lvlText w:val=""/>
      <w:lvlJc w:val="left"/>
      <w:pPr>
        <w:ind w:left="2880" w:hanging="360"/>
      </w:pPr>
      <w:rPr>
        <w:rFonts w:ascii="Symbol" w:hAnsi="Symbol" w:hint="default"/>
      </w:rPr>
    </w:lvl>
    <w:lvl w:ilvl="4" w:tplc="50CE8836">
      <w:start w:val="1"/>
      <w:numFmt w:val="bullet"/>
      <w:lvlText w:val="o"/>
      <w:lvlJc w:val="left"/>
      <w:pPr>
        <w:ind w:left="3600" w:hanging="360"/>
      </w:pPr>
      <w:rPr>
        <w:rFonts w:ascii="Courier New" w:hAnsi="Courier New" w:hint="default"/>
      </w:rPr>
    </w:lvl>
    <w:lvl w:ilvl="5" w:tplc="02BE9B92">
      <w:start w:val="1"/>
      <w:numFmt w:val="bullet"/>
      <w:lvlText w:val=""/>
      <w:lvlJc w:val="left"/>
      <w:pPr>
        <w:ind w:left="4320" w:hanging="360"/>
      </w:pPr>
      <w:rPr>
        <w:rFonts w:ascii="Wingdings" w:hAnsi="Wingdings" w:hint="default"/>
      </w:rPr>
    </w:lvl>
    <w:lvl w:ilvl="6" w:tplc="DA601768">
      <w:start w:val="1"/>
      <w:numFmt w:val="bullet"/>
      <w:lvlText w:val=""/>
      <w:lvlJc w:val="left"/>
      <w:pPr>
        <w:ind w:left="5040" w:hanging="360"/>
      </w:pPr>
      <w:rPr>
        <w:rFonts w:ascii="Symbol" w:hAnsi="Symbol" w:hint="default"/>
      </w:rPr>
    </w:lvl>
    <w:lvl w:ilvl="7" w:tplc="70249258">
      <w:start w:val="1"/>
      <w:numFmt w:val="bullet"/>
      <w:lvlText w:val="o"/>
      <w:lvlJc w:val="left"/>
      <w:pPr>
        <w:ind w:left="5760" w:hanging="360"/>
      </w:pPr>
      <w:rPr>
        <w:rFonts w:ascii="Courier New" w:hAnsi="Courier New" w:hint="default"/>
      </w:rPr>
    </w:lvl>
    <w:lvl w:ilvl="8" w:tplc="B192BE20">
      <w:start w:val="1"/>
      <w:numFmt w:val="bullet"/>
      <w:lvlText w:val=""/>
      <w:lvlJc w:val="left"/>
      <w:pPr>
        <w:ind w:left="6480" w:hanging="360"/>
      </w:pPr>
      <w:rPr>
        <w:rFonts w:ascii="Wingdings" w:hAnsi="Wingdings" w:hint="default"/>
      </w:rPr>
    </w:lvl>
  </w:abstractNum>
  <w:abstractNum w:abstractNumId="632" w15:restartNumberingAfterBreak="0">
    <w:nsid w:val="57F50935"/>
    <w:multiLevelType w:val="multilevel"/>
    <w:tmpl w:val="CCD2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3" w15:restartNumberingAfterBreak="0">
    <w:nsid w:val="581701F4"/>
    <w:multiLevelType w:val="hybridMultilevel"/>
    <w:tmpl w:val="8DF0A754"/>
    <w:lvl w:ilvl="0" w:tplc="BB0C7352">
      <w:start w:val="1"/>
      <w:numFmt w:val="bullet"/>
      <w:lvlText w:val=""/>
      <w:lvlJc w:val="left"/>
      <w:pPr>
        <w:ind w:left="720" w:hanging="360"/>
      </w:pPr>
      <w:rPr>
        <w:rFonts w:ascii="Symbol" w:hAnsi="Symbol" w:hint="default"/>
      </w:rPr>
    </w:lvl>
    <w:lvl w:ilvl="1" w:tplc="B072915E">
      <w:start w:val="1"/>
      <w:numFmt w:val="bullet"/>
      <w:lvlText w:val="o"/>
      <w:lvlJc w:val="left"/>
      <w:pPr>
        <w:ind w:left="1440" w:hanging="360"/>
      </w:pPr>
      <w:rPr>
        <w:rFonts w:ascii="Courier New" w:hAnsi="Courier New" w:hint="default"/>
      </w:rPr>
    </w:lvl>
    <w:lvl w:ilvl="2" w:tplc="59D231A4">
      <w:start w:val="1"/>
      <w:numFmt w:val="bullet"/>
      <w:lvlText w:val=""/>
      <w:lvlJc w:val="left"/>
      <w:pPr>
        <w:ind w:left="2160" w:hanging="360"/>
      </w:pPr>
      <w:rPr>
        <w:rFonts w:ascii="Wingdings" w:hAnsi="Wingdings" w:hint="default"/>
      </w:rPr>
    </w:lvl>
    <w:lvl w:ilvl="3" w:tplc="D39C9BBC">
      <w:start w:val="1"/>
      <w:numFmt w:val="bullet"/>
      <w:lvlText w:val=""/>
      <w:lvlJc w:val="left"/>
      <w:pPr>
        <w:ind w:left="2880" w:hanging="360"/>
      </w:pPr>
      <w:rPr>
        <w:rFonts w:ascii="Symbol" w:hAnsi="Symbol" w:hint="default"/>
      </w:rPr>
    </w:lvl>
    <w:lvl w:ilvl="4" w:tplc="2188A186">
      <w:start w:val="1"/>
      <w:numFmt w:val="bullet"/>
      <w:lvlText w:val="o"/>
      <w:lvlJc w:val="left"/>
      <w:pPr>
        <w:ind w:left="3600" w:hanging="360"/>
      </w:pPr>
      <w:rPr>
        <w:rFonts w:ascii="Courier New" w:hAnsi="Courier New" w:hint="default"/>
      </w:rPr>
    </w:lvl>
    <w:lvl w:ilvl="5" w:tplc="09B2743C">
      <w:start w:val="1"/>
      <w:numFmt w:val="bullet"/>
      <w:lvlText w:val=""/>
      <w:lvlJc w:val="left"/>
      <w:pPr>
        <w:ind w:left="4320" w:hanging="360"/>
      </w:pPr>
      <w:rPr>
        <w:rFonts w:ascii="Wingdings" w:hAnsi="Wingdings" w:hint="default"/>
      </w:rPr>
    </w:lvl>
    <w:lvl w:ilvl="6" w:tplc="B1A830BE">
      <w:start w:val="1"/>
      <w:numFmt w:val="bullet"/>
      <w:lvlText w:val=""/>
      <w:lvlJc w:val="left"/>
      <w:pPr>
        <w:ind w:left="5040" w:hanging="360"/>
      </w:pPr>
      <w:rPr>
        <w:rFonts w:ascii="Symbol" w:hAnsi="Symbol" w:hint="default"/>
      </w:rPr>
    </w:lvl>
    <w:lvl w:ilvl="7" w:tplc="6C9072A6">
      <w:start w:val="1"/>
      <w:numFmt w:val="bullet"/>
      <w:lvlText w:val="o"/>
      <w:lvlJc w:val="left"/>
      <w:pPr>
        <w:ind w:left="5760" w:hanging="360"/>
      </w:pPr>
      <w:rPr>
        <w:rFonts w:ascii="Courier New" w:hAnsi="Courier New" w:hint="default"/>
      </w:rPr>
    </w:lvl>
    <w:lvl w:ilvl="8" w:tplc="D5BE79EA">
      <w:start w:val="1"/>
      <w:numFmt w:val="bullet"/>
      <w:lvlText w:val=""/>
      <w:lvlJc w:val="left"/>
      <w:pPr>
        <w:ind w:left="6480" w:hanging="360"/>
      </w:pPr>
      <w:rPr>
        <w:rFonts w:ascii="Wingdings" w:hAnsi="Wingdings" w:hint="default"/>
      </w:rPr>
    </w:lvl>
  </w:abstractNum>
  <w:abstractNum w:abstractNumId="634" w15:restartNumberingAfterBreak="0">
    <w:nsid w:val="58243489"/>
    <w:multiLevelType w:val="multilevel"/>
    <w:tmpl w:val="45261B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5" w15:restartNumberingAfterBreak="0">
    <w:nsid w:val="582718C4"/>
    <w:multiLevelType w:val="multilevel"/>
    <w:tmpl w:val="8326A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6" w15:restartNumberingAfterBreak="0">
    <w:nsid w:val="582F3C1A"/>
    <w:multiLevelType w:val="hybridMultilevel"/>
    <w:tmpl w:val="65420B4E"/>
    <w:lvl w:ilvl="0" w:tplc="001220BC">
      <w:start w:val="1"/>
      <w:numFmt w:val="bullet"/>
      <w:lvlText w:val=""/>
      <w:lvlJc w:val="left"/>
      <w:pPr>
        <w:ind w:left="547" w:hanging="360"/>
      </w:pPr>
      <w:rPr>
        <w:rFonts w:ascii="Symbol" w:hAnsi="Symbol" w:hint="default"/>
      </w:rPr>
    </w:lvl>
    <w:lvl w:ilvl="1" w:tplc="36CA4C56">
      <w:start w:val="1"/>
      <w:numFmt w:val="bullet"/>
      <w:lvlText w:val="o"/>
      <w:lvlJc w:val="left"/>
      <w:pPr>
        <w:ind w:left="1267" w:hanging="360"/>
      </w:pPr>
      <w:rPr>
        <w:rFonts w:ascii="Courier New" w:hAnsi="Courier New" w:hint="default"/>
      </w:rPr>
    </w:lvl>
    <w:lvl w:ilvl="2" w:tplc="01E06FC2">
      <w:start w:val="1"/>
      <w:numFmt w:val="bullet"/>
      <w:lvlText w:val=""/>
      <w:lvlJc w:val="left"/>
      <w:pPr>
        <w:ind w:left="1987" w:hanging="360"/>
      </w:pPr>
      <w:rPr>
        <w:rFonts w:ascii="Wingdings" w:hAnsi="Wingdings" w:hint="default"/>
      </w:rPr>
    </w:lvl>
    <w:lvl w:ilvl="3" w:tplc="F73077C8">
      <w:start w:val="1"/>
      <w:numFmt w:val="bullet"/>
      <w:lvlText w:val=""/>
      <w:lvlJc w:val="left"/>
      <w:pPr>
        <w:ind w:left="2707" w:hanging="360"/>
      </w:pPr>
      <w:rPr>
        <w:rFonts w:ascii="Symbol" w:hAnsi="Symbol" w:hint="default"/>
      </w:rPr>
    </w:lvl>
    <w:lvl w:ilvl="4" w:tplc="9752B16A">
      <w:start w:val="1"/>
      <w:numFmt w:val="bullet"/>
      <w:lvlText w:val="o"/>
      <w:lvlJc w:val="left"/>
      <w:pPr>
        <w:ind w:left="3427" w:hanging="360"/>
      </w:pPr>
      <w:rPr>
        <w:rFonts w:ascii="Courier New" w:hAnsi="Courier New" w:hint="default"/>
      </w:rPr>
    </w:lvl>
    <w:lvl w:ilvl="5" w:tplc="E516FDA8">
      <w:start w:val="1"/>
      <w:numFmt w:val="bullet"/>
      <w:lvlText w:val=""/>
      <w:lvlJc w:val="left"/>
      <w:pPr>
        <w:ind w:left="4147" w:hanging="360"/>
      </w:pPr>
      <w:rPr>
        <w:rFonts w:ascii="Wingdings" w:hAnsi="Wingdings" w:hint="default"/>
      </w:rPr>
    </w:lvl>
    <w:lvl w:ilvl="6" w:tplc="C8668A5A">
      <w:start w:val="1"/>
      <w:numFmt w:val="bullet"/>
      <w:lvlText w:val=""/>
      <w:lvlJc w:val="left"/>
      <w:pPr>
        <w:ind w:left="4867" w:hanging="360"/>
      </w:pPr>
      <w:rPr>
        <w:rFonts w:ascii="Symbol" w:hAnsi="Symbol" w:hint="default"/>
      </w:rPr>
    </w:lvl>
    <w:lvl w:ilvl="7" w:tplc="30DE172E">
      <w:start w:val="1"/>
      <w:numFmt w:val="bullet"/>
      <w:lvlText w:val="o"/>
      <w:lvlJc w:val="left"/>
      <w:pPr>
        <w:ind w:left="5587" w:hanging="360"/>
      </w:pPr>
      <w:rPr>
        <w:rFonts w:ascii="Courier New" w:hAnsi="Courier New" w:hint="default"/>
      </w:rPr>
    </w:lvl>
    <w:lvl w:ilvl="8" w:tplc="933CE4F8">
      <w:start w:val="1"/>
      <w:numFmt w:val="bullet"/>
      <w:lvlText w:val=""/>
      <w:lvlJc w:val="left"/>
      <w:pPr>
        <w:ind w:left="6307" w:hanging="360"/>
      </w:pPr>
      <w:rPr>
        <w:rFonts w:ascii="Wingdings" w:hAnsi="Wingdings" w:hint="default"/>
      </w:rPr>
    </w:lvl>
  </w:abstractNum>
  <w:abstractNum w:abstractNumId="637" w15:restartNumberingAfterBreak="0">
    <w:nsid w:val="58F61AF0"/>
    <w:multiLevelType w:val="multilevel"/>
    <w:tmpl w:val="4E0A4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8" w15:restartNumberingAfterBreak="0">
    <w:nsid w:val="591A1A59"/>
    <w:multiLevelType w:val="hybridMultilevel"/>
    <w:tmpl w:val="6AAE27EA"/>
    <w:lvl w:ilvl="0" w:tplc="C0D41A96">
      <w:start w:val="1"/>
      <w:numFmt w:val="bullet"/>
      <w:lvlText w:val=""/>
      <w:lvlJc w:val="left"/>
      <w:pPr>
        <w:ind w:left="720" w:hanging="360"/>
      </w:pPr>
      <w:rPr>
        <w:rFonts w:ascii="Symbol" w:hAnsi="Symbol" w:hint="default"/>
      </w:rPr>
    </w:lvl>
    <w:lvl w:ilvl="1" w:tplc="75EED0D2">
      <w:start w:val="1"/>
      <w:numFmt w:val="bullet"/>
      <w:lvlText w:val="o"/>
      <w:lvlJc w:val="left"/>
      <w:pPr>
        <w:ind w:left="1440" w:hanging="360"/>
      </w:pPr>
      <w:rPr>
        <w:rFonts w:ascii="Courier New" w:hAnsi="Courier New" w:hint="default"/>
      </w:rPr>
    </w:lvl>
    <w:lvl w:ilvl="2" w:tplc="AB2A0B1E">
      <w:start w:val="1"/>
      <w:numFmt w:val="bullet"/>
      <w:lvlText w:val=""/>
      <w:lvlJc w:val="left"/>
      <w:pPr>
        <w:ind w:left="2160" w:hanging="360"/>
      </w:pPr>
      <w:rPr>
        <w:rFonts w:ascii="Wingdings" w:hAnsi="Wingdings" w:hint="default"/>
      </w:rPr>
    </w:lvl>
    <w:lvl w:ilvl="3" w:tplc="D4DECD2E">
      <w:start w:val="1"/>
      <w:numFmt w:val="bullet"/>
      <w:lvlText w:val=""/>
      <w:lvlJc w:val="left"/>
      <w:pPr>
        <w:ind w:left="2880" w:hanging="360"/>
      </w:pPr>
      <w:rPr>
        <w:rFonts w:ascii="Symbol" w:hAnsi="Symbol" w:hint="default"/>
      </w:rPr>
    </w:lvl>
    <w:lvl w:ilvl="4" w:tplc="0D802F82">
      <w:start w:val="1"/>
      <w:numFmt w:val="bullet"/>
      <w:lvlText w:val="o"/>
      <w:lvlJc w:val="left"/>
      <w:pPr>
        <w:ind w:left="3600" w:hanging="360"/>
      </w:pPr>
      <w:rPr>
        <w:rFonts w:ascii="Courier New" w:hAnsi="Courier New" w:hint="default"/>
      </w:rPr>
    </w:lvl>
    <w:lvl w:ilvl="5" w:tplc="06123F1E">
      <w:start w:val="1"/>
      <w:numFmt w:val="bullet"/>
      <w:lvlText w:val=""/>
      <w:lvlJc w:val="left"/>
      <w:pPr>
        <w:ind w:left="4320" w:hanging="360"/>
      </w:pPr>
      <w:rPr>
        <w:rFonts w:ascii="Wingdings" w:hAnsi="Wingdings" w:hint="default"/>
      </w:rPr>
    </w:lvl>
    <w:lvl w:ilvl="6" w:tplc="E1007694">
      <w:start w:val="1"/>
      <w:numFmt w:val="bullet"/>
      <w:lvlText w:val=""/>
      <w:lvlJc w:val="left"/>
      <w:pPr>
        <w:ind w:left="5040" w:hanging="360"/>
      </w:pPr>
      <w:rPr>
        <w:rFonts w:ascii="Symbol" w:hAnsi="Symbol" w:hint="default"/>
      </w:rPr>
    </w:lvl>
    <w:lvl w:ilvl="7" w:tplc="A532F9EA">
      <w:start w:val="1"/>
      <w:numFmt w:val="bullet"/>
      <w:lvlText w:val="o"/>
      <w:lvlJc w:val="left"/>
      <w:pPr>
        <w:ind w:left="5760" w:hanging="360"/>
      </w:pPr>
      <w:rPr>
        <w:rFonts w:ascii="Courier New" w:hAnsi="Courier New" w:hint="default"/>
      </w:rPr>
    </w:lvl>
    <w:lvl w:ilvl="8" w:tplc="27D45864">
      <w:start w:val="1"/>
      <w:numFmt w:val="bullet"/>
      <w:lvlText w:val=""/>
      <w:lvlJc w:val="left"/>
      <w:pPr>
        <w:ind w:left="6480" w:hanging="360"/>
      </w:pPr>
      <w:rPr>
        <w:rFonts w:ascii="Wingdings" w:hAnsi="Wingdings" w:hint="default"/>
      </w:rPr>
    </w:lvl>
  </w:abstractNum>
  <w:abstractNum w:abstractNumId="639" w15:restartNumberingAfterBreak="0">
    <w:nsid w:val="59234EFA"/>
    <w:multiLevelType w:val="multilevel"/>
    <w:tmpl w:val="0214F4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40" w15:restartNumberingAfterBreak="0">
    <w:nsid w:val="5957230B"/>
    <w:multiLevelType w:val="multilevel"/>
    <w:tmpl w:val="18B6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1" w15:restartNumberingAfterBreak="0">
    <w:nsid w:val="597D6A28"/>
    <w:multiLevelType w:val="hybridMultilevel"/>
    <w:tmpl w:val="8FCE5F6A"/>
    <w:lvl w:ilvl="0" w:tplc="A2869BA4">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2" w15:restartNumberingAfterBreak="0">
    <w:nsid w:val="59974655"/>
    <w:multiLevelType w:val="multilevel"/>
    <w:tmpl w:val="F8789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3" w15:restartNumberingAfterBreak="0">
    <w:nsid w:val="59ADFA49"/>
    <w:multiLevelType w:val="hybridMultilevel"/>
    <w:tmpl w:val="FFFFFFFF"/>
    <w:lvl w:ilvl="0" w:tplc="83664950">
      <w:start w:val="1"/>
      <w:numFmt w:val="bullet"/>
      <w:lvlText w:val=""/>
      <w:lvlJc w:val="left"/>
      <w:pPr>
        <w:ind w:left="547" w:hanging="360"/>
      </w:pPr>
      <w:rPr>
        <w:rFonts w:ascii="Symbol" w:hAnsi="Symbol" w:hint="default"/>
      </w:rPr>
    </w:lvl>
    <w:lvl w:ilvl="1" w:tplc="DC647CD4">
      <w:start w:val="1"/>
      <w:numFmt w:val="bullet"/>
      <w:lvlText w:val="o"/>
      <w:lvlJc w:val="left"/>
      <w:pPr>
        <w:ind w:left="1267" w:hanging="360"/>
      </w:pPr>
      <w:rPr>
        <w:rFonts w:ascii="Courier New" w:hAnsi="Courier New" w:hint="default"/>
      </w:rPr>
    </w:lvl>
    <w:lvl w:ilvl="2" w:tplc="4E00CAC8">
      <w:start w:val="1"/>
      <w:numFmt w:val="bullet"/>
      <w:lvlText w:val=""/>
      <w:lvlJc w:val="left"/>
      <w:pPr>
        <w:ind w:left="1987" w:hanging="360"/>
      </w:pPr>
      <w:rPr>
        <w:rFonts w:ascii="Wingdings" w:hAnsi="Wingdings" w:hint="default"/>
      </w:rPr>
    </w:lvl>
    <w:lvl w:ilvl="3" w:tplc="16CC17B2">
      <w:start w:val="1"/>
      <w:numFmt w:val="bullet"/>
      <w:lvlText w:val=""/>
      <w:lvlJc w:val="left"/>
      <w:pPr>
        <w:ind w:left="2707" w:hanging="360"/>
      </w:pPr>
      <w:rPr>
        <w:rFonts w:ascii="Symbol" w:hAnsi="Symbol" w:hint="default"/>
      </w:rPr>
    </w:lvl>
    <w:lvl w:ilvl="4" w:tplc="47981F70">
      <w:start w:val="1"/>
      <w:numFmt w:val="bullet"/>
      <w:lvlText w:val="o"/>
      <w:lvlJc w:val="left"/>
      <w:pPr>
        <w:ind w:left="3427" w:hanging="360"/>
      </w:pPr>
      <w:rPr>
        <w:rFonts w:ascii="Courier New" w:hAnsi="Courier New" w:hint="default"/>
      </w:rPr>
    </w:lvl>
    <w:lvl w:ilvl="5" w:tplc="5CB6396A">
      <w:start w:val="1"/>
      <w:numFmt w:val="bullet"/>
      <w:lvlText w:val=""/>
      <w:lvlJc w:val="left"/>
      <w:pPr>
        <w:ind w:left="4147" w:hanging="360"/>
      </w:pPr>
      <w:rPr>
        <w:rFonts w:ascii="Wingdings" w:hAnsi="Wingdings" w:hint="default"/>
      </w:rPr>
    </w:lvl>
    <w:lvl w:ilvl="6" w:tplc="07A4745E">
      <w:start w:val="1"/>
      <w:numFmt w:val="bullet"/>
      <w:lvlText w:val=""/>
      <w:lvlJc w:val="left"/>
      <w:pPr>
        <w:ind w:left="4867" w:hanging="360"/>
      </w:pPr>
      <w:rPr>
        <w:rFonts w:ascii="Symbol" w:hAnsi="Symbol" w:hint="default"/>
      </w:rPr>
    </w:lvl>
    <w:lvl w:ilvl="7" w:tplc="A678C34A">
      <w:start w:val="1"/>
      <w:numFmt w:val="bullet"/>
      <w:lvlText w:val="o"/>
      <w:lvlJc w:val="left"/>
      <w:pPr>
        <w:ind w:left="5587" w:hanging="360"/>
      </w:pPr>
      <w:rPr>
        <w:rFonts w:ascii="Courier New" w:hAnsi="Courier New" w:hint="default"/>
      </w:rPr>
    </w:lvl>
    <w:lvl w:ilvl="8" w:tplc="6BB2ECF6">
      <w:start w:val="1"/>
      <w:numFmt w:val="bullet"/>
      <w:lvlText w:val=""/>
      <w:lvlJc w:val="left"/>
      <w:pPr>
        <w:ind w:left="6307" w:hanging="360"/>
      </w:pPr>
      <w:rPr>
        <w:rFonts w:ascii="Wingdings" w:hAnsi="Wingdings" w:hint="default"/>
      </w:rPr>
    </w:lvl>
  </w:abstractNum>
  <w:abstractNum w:abstractNumId="644" w15:restartNumberingAfterBreak="0">
    <w:nsid w:val="59B09D6B"/>
    <w:multiLevelType w:val="hybridMultilevel"/>
    <w:tmpl w:val="31ACDFE6"/>
    <w:lvl w:ilvl="0" w:tplc="3662C012">
      <w:start w:val="1"/>
      <w:numFmt w:val="bullet"/>
      <w:lvlText w:val=""/>
      <w:lvlJc w:val="left"/>
      <w:pPr>
        <w:ind w:left="1080" w:hanging="360"/>
      </w:pPr>
      <w:rPr>
        <w:rFonts w:ascii="Symbol" w:hAnsi="Symbol" w:hint="default"/>
      </w:rPr>
    </w:lvl>
    <w:lvl w:ilvl="1" w:tplc="005ABC4C">
      <w:start w:val="1"/>
      <w:numFmt w:val="bullet"/>
      <w:lvlText w:val="o"/>
      <w:lvlJc w:val="left"/>
      <w:pPr>
        <w:ind w:left="1800" w:hanging="360"/>
      </w:pPr>
      <w:rPr>
        <w:rFonts w:ascii="Courier New" w:hAnsi="Courier New" w:hint="default"/>
      </w:rPr>
    </w:lvl>
    <w:lvl w:ilvl="2" w:tplc="5AAC0874">
      <w:start w:val="1"/>
      <w:numFmt w:val="bullet"/>
      <w:lvlText w:val=""/>
      <w:lvlJc w:val="left"/>
      <w:pPr>
        <w:ind w:left="2520" w:hanging="360"/>
      </w:pPr>
      <w:rPr>
        <w:rFonts w:ascii="Wingdings" w:hAnsi="Wingdings" w:hint="default"/>
      </w:rPr>
    </w:lvl>
    <w:lvl w:ilvl="3" w:tplc="9EA84062">
      <w:start w:val="1"/>
      <w:numFmt w:val="bullet"/>
      <w:lvlText w:val=""/>
      <w:lvlJc w:val="left"/>
      <w:pPr>
        <w:ind w:left="3240" w:hanging="360"/>
      </w:pPr>
      <w:rPr>
        <w:rFonts w:ascii="Symbol" w:hAnsi="Symbol" w:hint="default"/>
      </w:rPr>
    </w:lvl>
    <w:lvl w:ilvl="4" w:tplc="72D6EE12">
      <w:start w:val="1"/>
      <w:numFmt w:val="bullet"/>
      <w:lvlText w:val="o"/>
      <w:lvlJc w:val="left"/>
      <w:pPr>
        <w:ind w:left="3960" w:hanging="360"/>
      </w:pPr>
      <w:rPr>
        <w:rFonts w:ascii="Courier New" w:hAnsi="Courier New" w:hint="default"/>
      </w:rPr>
    </w:lvl>
    <w:lvl w:ilvl="5" w:tplc="DBC6D898">
      <w:start w:val="1"/>
      <w:numFmt w:val="bullet"/>
      <w:lvlText w:val=""/>
      <w:lvlJc w:val="left"/>
      <w:pPr>
        <w:ind w:left="4680" w:hanging="360"/>
      </w:pPr>
      <w:rPr>
        <w:rFonts w:ascii="Wingdings" w:hAnsi="Wingdings" w:hint="default"/>
      </w:rPr>
    </w:lvl>
    <w:lvl w:ilvl="6" w:tplc="B9AEE09C">
      <w:start w:val="1"/>
      <w:numFmt w:val="bullet"/>
      <w:lvlText w:val=""/>
      <w:lvlJc w:val="left"/>
      <w:pPr>
        <w:ind w:left="5400" w:hanging="360"/>
      </w:pPr>
      <w:rPr>
        <w:rFonts w:ascii="Symbol" w:hAnsi="Symbol" w:hint="default"/>
      </w:rPr>
    </w:lvl>
    <w:lvl w:ilvl="7" w:tplc="6576C7D0">
      <w:start w:val="1"/>
      <w:numFmt w:val="bullet"/>
      <w:lvlText w:val="o"/>
      <w:lvlJc w:val="left"/>
      <w:pPr>
        <w:ind w:left="6120" w:hanging="360"/>
      </w:pPr>
      <w:rPr>
        <w:rFonts w:ascii="Courier New" w:hAnsi="Courier New" w:hint="default"/>
      </w:rPr>
    </w:lvl>
    <w:lvl w:ilvl="8" w:tplc="09DEDFAA">
      <w:start w:val="1"/>
      <w:numFmt w:val="bullet"/>
      <w:lvlText w:val=""/>
      <w:lvlJc w:val="left"/>
      <w:pPr>
        <w:ind w:left="6840" w:hanging="360"/>
      </w:pPr>
      <w:rPr>
        <w:rFonts w:ascii="Wingdings" w:hAnsi="Wingdings" w:hint="default"/>
      </w:rPr>
    </w:lvl>
  </w:abstractNum>
  <w:abstractNum w:abstractNumId="645" w15:restartNumberingAfterBreak="0">
    <w:nsid w:val="59C81735"/>
    <w:multiLevelType w:val="hybridMultilevel"/>
    <w:tmpl w:val="F114209E"/>
    <w:lvl w:ilvl="0" w:tplc="9370B9F2">
      <w:start w:val="1"/>
      <w:numFmt w:val="bullet"/>
      <w:lvlText w:val=""/>
      <w:lvlJc w:val="left"/>
      <w:pPr>
        <w:ind w:left="720" w:hanging="360"/>
      </w:pPr>
      <w:rPr>
        <w:rFonts w:ascii="Symbol" w:hAnsi="Symbol" w:hint="default"/>
      </w:rPr>
    </w:lvl>
    <w:lvl w:ilvl="1" w:tplc="1D6C4164">
      <w:start w:val="1"/>
      <w:numFmt w:val="bullet"/>
      <w:lvlText w:val="o"/>
      <w:lvlJc w:val="left"/>
      <w:pPr>
        <w:ind w:left="1440" w:hanging="360"/>
      </w:pPr>
      <w:rPr>
        <w:rFonts w:ascii="Courier New" w:hAnsi="Courier New" w:hint="default"/>
      </w:rPr>
    </w:lvl>
    <w:lvl w:ilvl="2" w:tplc="F424CD8A">
      <w:start w:val="1"/>
      <w:numFmt w:val="bullet"/>
      <w:lvlText w:val=""/>
      <w:lvlJc w:val="left"/>
      <w:pPr>
        <w:ind w:left="2160" w:hanging="360"/>
      </w:pPr>
      <w:rPr>
        <w:rFonts w:ascii="Wingdings" w:hAnsi="Wingdings" w:hint="default"/>
      </w:rPr>
    </w:lvl>
    <w:lvl w:ilvl="3" w:tplc="B9EE7A82">
      <w:start w:val="1"/>
      <w:numFmt w:val="bullet"/>
      <w:lvlText w:val=""/>
      <w:lvlJc w:val="left"/>
      <w:pPr>
        <w:ind w:left="2880" w:hanging="360"/>
      </w:pPr>
      <w:rPr>
        <w:rFonts w:ascii="Symbol" w:hAnsi="Symbol" w:hint="default"/>
      </w:rPr>
    </w:lvl>
    <w:lvl w:ilvl="4" w:tplc="6F4E9748">
      <w:start w:val="1"/>
      <w:numFmt w:val="bullet"/>
      <w:lvlText w:val="o"/>
      <w:lvlJc w:val="left"/>
      <w:pPr>
        <w:ind w:left="3600" w:hanging="360"/>
      </w:pPr>
      <w:rPr>
        <w:rFonts w:ascii="Courier New" w:hAnsi="Courier New" w:hint="default"/>
      </w:rPr>
    </w:lvl>
    <w:lvl w:ilvl="5" w:tplc="3CB8EC5E">
      <w:start w:val="1"/>
      <w:numFmt w:val="bullet"/>
      <w:lvlText w:val=""/>
      <w:lvlJc w:val="left"/>
      <w:pPr>
        <w:ind w:left="4320" w:hanging="360"/>
      </w:pPr>
      <w:rPr>
        <w:rFonts w:ascii="Wingdings" w:hAnsi="Wingdings" w:hint="default"/>
      </w:rPr>
    </w:lvl>
    <w:lvl w:ilvl="6" w:tplc="702CA566">
      <w:start w:val="1"/>
      <w:numFmt w:val="bullet"/>
      <w:lvlText w:val=""/>
      <w:lvlJc w:val="left"/>
      <w:pPr>
        <w:ind w:left="5040" w:hanging="360"/>
      </w:pPr>
      <w:rPr>
        <w:rFonts w:ascii="Symbol" w:hAnsi="Symbol" w:hint="default"/>
      </w:rPr>
    </w:lvl>
    <w:lvl w:ilvl="7" w:tplc="ACB04EDA">
      <w:start w:val="1"/>
      <w:numFmt w:val="bullet"/>
      <w:lvlText w:val="o"/>
      <w:lvlJc w:val="left"/>
      <w:pPr>
        <w:ind w:left="5760" w:hanging="360"/>
      </w:pPr>
      <w:rPr>
        <w:rFonts w:ascii="Courier New" w:hAnsi="Courier New" w:hint="default"/>
      </w:rPr>
    </w:lvl>
    <w:lvl w:ilvl="8" w:tplc="65F27146">
      <w:start w:val="1"/>
      <w:numFmt w:val="bullet"/>
      <w:lvlText w:val=""/>
      <w:lvlJc w:val="left"/>
      <w:pPr>
        <w:ind w:left="6480" w:hanging="360"/>
      </w:pPr>
      <w:rPr>
        <w:rFonts w:ascii="Wingdings" w:hAnsi="Wingdings" w:hint="default"/>
      </w:rPr>
    </w:lvl>
  </w:abstractNum>
  <w:abstractNum w:abstractNumId="646" w15:restartNumberingAfterBreak="0">
    <w:nsid w:val="5A0C3591"/>
    <w:multiLevelType w:val="multilevel"/>
    <w:tmpl w:val="65607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7" w15:restartNumberingAfterBreak="0">
    <w:nsid w:val="5A1D7CFD"/>
    <w:multiLevelType w:val="hybridMultilevel"/>
    <w:tmpl w:val="FFFFFFFF"/>
    <w:lvl w:ilvl="0" w:tplc="2806F8D4">
      <w:start w:val="1"/>
      <w:numFmt w:val="bullet"/>
      <w:lvlText w:val=""/>
      <w:lvlJc w:val="left"/>
      <w:pPr>
        <w:ind w:left="1440" w:hanging="360"/>
      </w:pPr>
      <w:rPr>
        <w:rFonts w:ascii="Symbol" w:hAnsi="Symbol" w:hint="default"/>
      </w:rPr>
    </w:lvl>
    <w:lvl w:ilvl="1" w:tplc="A6D8514A">
      <w:start w:val="1"/>
      <w:numFmt w:val="bullet"/>
      <w:lvlText w:val="o"/>
      <w:lvlJc w:val="left"/>
      <w:pPr>
        <w:ind w:left="2160" w:hanging="360"/>
      </w:pPr>
      <w:rPr>
        <w:rFonts w:ascii="Courier New" w:hAnsi="Courier New" w:hint="default"/>
      </w:rPr>
    </w:lvl>
    <w:lvl w:ilvl="2" w:tplc="1BF29DAA">
      <w:start w:val="1"/>
      <w:numFmt w:val="bullet"/>
      <w:lvlText w:val=""/>
      <w:lvlJc w:val="left"/>
      <w:pPr>
        <w:ind w:left="2880" w:hanging="360"/>
      </w:pPr>
      <w:rPr>
        <w:rFonts w:ascii="Wingdings" w:hAnsi="Wingdings" w:hint="default"/>
      </w:rPr>
    </w:lvl>
    <w:lvl w:ilvl="3" w:tplc="31F04576">
      <w:start w:val="1"/>
      <w:numFmt w:val="bullet"/>
      <w:lvlText w:val=""/>
      <w:lvlJc w:val="left"/>
      <w:pPr>
        <w:ind w:left="3600" w:hanging="360"/>
      </w:pPr>
      <w:rPr>
        <w:rFonts w:ascii="Symbol" w:hAnsi="Symbol" w:hint="default"/>
      </w:rPr>
    </w:lvl>
    <w:lvl w:ilvl="4" w:tplc="0EA06EFA">
      <w:start w:val="1"/>
      <w:numFmt w:val="bullet"/>
      <w:lvlText w:val="o"/>
      <w:lvlJc w:val="left"/>
      <w:pPr>
        <w:ind w:left="4320" w:hanging="360"/>
      </w:pPr>
      <w:rPr>
        <w:rFonts w:ascii="Courier New" w:hAnsi="Courier New" w:hint="default"/>
      </w:rPr>
    </w:lvl>
    <w:lvl w:ilvl="5" w:tplc="F5C2CC96">
      <w:start w:val="1"/>
      <w:numFmt w:val="bullet"/>
      <w:lvlText w:val=""/>
      <w:lvlJc w:val="left"/>
      <w:pPr>
        <w:ind w:left="5040" w:hanging="360"/>
      </w:pPr>
      <w:rPr>
        <w:rFonts w:ascii="Wingdings" w:hAnsi="Wingdings" w:hint="default"/>
      </w:rPr>
    </w:lvl>
    <w:lvl w:ilvl="6" w:tplc="3146B112">
      <w:start w:val="1"/>
      <w:numFmt w:val="bullet"/>
      <w:lvlText w:val=""/>
      <w:lvlJc w:val="left"/>
      <w:pPr>
        <w:ind w:left="5760" w:hanging="360"/>
      </w:pPr>
      <w:rPr>
        <w:rFonts w:ascii="Symbol" w:hAnsi="Symbol" w:hint="default"/>
      </w:rPr>
    </w:lvl>
    <w:lvl w:ilvl="7" w:tplc="B1DCBB0A">
      <w:start w:val="1"/>
      <w:numFmt w:val="bullet"/>
      <w:lvlText w:val="o"/>
      <w:lvlJc w:val="left"/>
      <w:pPr>
        <w:ind w:left="6480" w:hanging="360"/>
      </w:pPr>
      <w:rPr>
        <w:rFonts w:ascii="Courier New" w:hAnsi="Courier New" w:hint="default"/>
      </w:rPr>
    </w:lvl>
    <w:lvl w:ilvl="8" w:tplc="1F44CA78">
      <w:start w:val="1"/>
      <w:numFmt w:val="bullet"/>
      <w:lvlText w:val=""/>
      <w:lvlJc w:val="left"/>
      <w:pPr>
        <w:ind w:left="7200" w:hanging="360"/>
      </w:pPr>
      <w:rPr>
        <w:rFonts w:ascii="Wingdings" w:hAnsi="Wingdings" w:hint="default"/>
      </w:rPr>
    </w:lvl>
  </w:abstractNum>
  <w:abstractNum w:abstractNumId="648" w15:restartNumberingAfterBreak="0">
    <w:nsid w:val="5A5B52EE"/>
    <w:multiLevelType w:val="multilevel"/>
    <w:tmpl w:val="AE0A2474"/>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649" w15:restartNumberingAfterBreak="0">
    <w:nsid w:val="5A67643E"/>
    <w:multiLevelType w:val="multilevel"/>
    <w:tmpl w:val="BDDAE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0" w15:restartNumberingAfterBreak="0">
    <w:nsid w:val="5A996667"/>
    <w:multiLevelType w:val="multilevel"/>
    <w:tmpl w:val="91AC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1" w15:restartNumberingAfterBreak="0">
    <w:nsid w:val="5AB9FE0F"/>
    <w:multiLevelType w:val="multilevel"/>
    <w:tmpl w:val="3DB601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52" w15:restartNumberingAfterBreak="0">
    <w:nsid w:val="5B2A36C9"/>
    <w:multiLevelType w:val="multilevel"/>
    <w:tmpl w:val="FC9C9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3" w15:restartNumberingAfterBreak="0">
    <w:nsid w:val="5BDA7D09"/>
    <w:multiLevelType w:val="multilevel"/>
    <w:tmpl w:val="480AF62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54" w15:restartNumberingAfterBreak="0">
    <w:nsid w:val="5C13077A"/>
    <w:multiLevelType w:val="multilevel"/>
    <w:tmpl w:val="F7D8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5" w15:restartNumberingAfterBreak="0">
    <w:nsid w:val="5C306749"/>
    <w:multiLevelType w:val="multilevel"/>
    <w:tmpl w:val="651C65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6" w15:restartNumberingAfterBreak="0">
    <w:nsid w:val="5C6565EE"/>
    <w:multiLevelType w:val="hybridMultilevel"/>
    <w:tmpl w:val="351E24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7" w15:restartNumberingAfterBreak="0">
    <w:nsid w:val="5C68476B"/>
    <w:multiLevelType w:val="hybridMultilevel"/>
    <w:tmpl w:val="37D696BE"/>
    <w:lvl w:ilvl="0" w:tplc="6F22D468">
      <w:start w:val="1"/>
      <w:numFmt w:val="bullet"/>
      <w:lvlText w:val=""/>
      <w:lvlJc w:val="left"/>
      <w:pPr>
        <w:ind w:left="1440" w:hanging="360"/>
      </w:pPr>
      <w:rPr>
        <w:rFonts w:ascii="Symbol" w:hAnsi="Symbol"/>
      </w:rPr>
    </w:lvl>
    <w:lvl w:ilvl="1" w:tplc="28A80BB0">
      <w:start w:val="1"/>
      <w:numFmt w:val="bullet"/>
      <w:lvlText w:val=""/>
      <w:lvlJc w:val="left"/>
      <w:pPr>
        <w:ind w:left="1440" w:hanging="360"/>
      </w:pPr>
      <w:rPr>
        <w:rFonts w:ascii="Symbol" w:hAnsi="Symbol"/>
      </w:rPr>
    </w:lvl>
    <w:lvl w:ilvl="2" w:tplc="D0283C58">
      <w:start w:val="1"/>
      <w:numFmt w:val="bullet"/>
      <w:lvlText w:val=""/>
      <w:lvlJc w:val="left"/>
      <w:pPr>
        <w:ind w:left="1440" w:hanging="360"/>
      </w:pPr>
      <w:rPr>
        <w:rFonts w:ascii="Symbol" w:hAnsi="Symbol"/>
      </w:rPr>
    </w:lvl>
    <w:lvl w:ilvl="3" w:tplc="53B23DF2">
      <w:start w:val="1"/>
      <w:numFmt w:val="bullet"/>
      <w:lvlText w:val=""/>
      <w:lvlJc w:val="left"/>
      <w:pPr>
        <w:ind w:left="1440" w:hanging="360"/>
      </w:pPr>
      <w:rPr>
        <w:rFonts w:ascii="Symbol" w:hAnsi="Symbol"/>
      </w:rPr>
    </w:lvl>
    <w:lvl w:ilvl="4" w:tplc="D35AD4BE">
      <w:start w:val="1"/>
      <w:numFmt w:val="bullet"/>
      <w:lvlText w:val=""/>
      <w:lvlJc w:val="left"/>
      <w:pPr>
        <w:ind w:left="1440" w:hanging="360"/>
      </w:pPr>
      <w:rPr>
        <w:rFonts w:ascii="Symbol" w:hAnsi="Symbol"/>
      </w:rPr>
    </w:lvl>
    <w:lvl w:ilvl="5" w:tplc="388A58E0">
      <w:start w:val="1"/>
      <w:numFmt w:val="bullet"/>
      <w:lvlText w:val=""/>
      <w:lvlJc w:val="left"/>
      <w:pPr>
        <w:ind w:left="1440" w:hanging="360"/>
      </w:pPr>
      <w:rPr>
        <w:rFonts w:ascii="Symbol" w:hAnsi="Symbol"/>
      </w:rPr>
    </w:lvl>
    <w:lvl w:ilvl="6" w:tplc="E77AECEA">
      <w:start w:val="1"/>
      <w:numFmt w:val="bullet"/>
      <w:lvlText w:val=""/>
      <w:lvlJc w:val="left"/>
      <w:pPr>
        <w:ind w:left="1440" w:hanging="360"/>
      </w:pPr>
      <w:rPr>
        <w:rFonts w:ascii="Symbol" w:hAnsi="Symbol"/>
      </w:rPr>
    </w:lvl>
    <w:lvl w:ilvl="7" w:tplc="84482C46">
      <w:start w:val="1"/>
      <w:numFmt w:val="bullet"/>
      <w:lvlText w:val=""/>
      <w:lvlJc w:val="left"/>
      <w:pPr>
        <w:ind w:left="1440" w:hanging="360"/>
      </w:pPr>
      <w:rPr>
        <w:rFonts w:ascii="Symbol" w:hAnsi="Symbol"/>
      </w:rPr>
    </w:lvl>
    <w:lvl w:ilvl="8" w:tplc="D59C7408">
      <w:start w:val="1"/>
      <w:numFmt w:val="bullet"/>
      <w:lvlText w:val=""/>
      <w:lvlJc w:val="left"/>
      <w:pPr>
        <w:ind w:left="1440" w:hanging="360"/>
      </w:pPr>
      <w:rPr>
        <w:rFonts w:ascii="Symbol" w:hAnsi="Symbol"/>
      </w:rPr>
    </w:lvl>
  </w:abstractNum>
  <w:abstractNum w:abstractNumId="658" w15:restartNumberingAfterBreak="0">
    <w:nsid w:val="5C740FDB"/>
    <w:multiLevelType w:val="multilevel"/>
    <w:tmpl w:val="EC32FC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9" w15:restartNumberingAfterBreak="0">
    <w:nsid w:val="5C8E7E0C"/>
    <w:multiLevelType w:val="multilevel"/>
    <w:tmpl w:val="CF300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0" w15:restartNumberingAfterBreak="0">
    <w:nsid w:val="5CCB18D1"/>
    <w:multiLevelType w:val="multilevel"/>
    <w:tmpl w:val="652CDF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1" w15:restartNumberingAfterBreak="0">
    <w:nsid w:val="5CE23310"/>
    <w:multiLevelType w:val="hybridMultilevel"/>
    <w:tmpl w:val="FFFFFFFF"/>
    <w:lvl w:ilvl="0" w:tplc="1946022A">
      <w:start w:val="1"/>
      <w:numFmt w:val="bullet"/>
      <w:lvlText w:val="●"/>
      <w:lvlJc w:val="left"/>
      <w:pPr>
        <w:ind w:left="1440" w:hanging="360"/>
      </w:pPr>
      <w:rPr>
        <w:rFonts w:ascii="Symbol" w:hAnsi="Symbol" w:hint="default"/>
      </w:rPr>
    </w:lvl>
    <w:lvl w:ilvl="1" w:tplc="6832CDB6">
      <w:start w:val="1"/>
      <w:numFmt w:val="bullet"/>
      <w:lvlText w:val="o"/>
      <w:lvlJc w:val="left"/>
      <w:pPr>
        <w:ind w:left="1267" w:hanging="360"/>
      </w:pPr>
      <w:rPr>
        <w:rFonts w:ascii="Courier New" w:hAnsi="Courier New" w:hint="default"/>
      </w:rPr>
    </w:lvl>
    <w:lvl w:ilvl="2" w:tplc="6BA0782A">
      <w:start w:val="1"/>
      <w:numFmt w:val="bullet"/>
      <w:lvlText w:val=""/>
      <w:lvlJc w:val="left"/>
      <w:pPr>
        <w:ind w:left="1987" w:hanging="360"/>
      </w:pPr>
      <w:rPr>
        <w:rFonts w:ascii="Wingdings" w:hAnsi="Wingdings" w:hint="default"/>
      </w:rPr>
    </w:lvl>
    <w:lvl w:ilvl="3" w:tplc="83362122">
      <w:start w:val="1"/>
      <w:numFmt w:val="bullet"/>
      <w:lvlText w:val=""/>
      <w:lvlJc w:val="left"/>
      <w:pPr>
        <w:ind w:left="2707" w:hanging="360"/>
      </w:pPr>
      <w:rPr>
        <w:rFonts w:ascii="Symbol" w:hAnsi="Symbol" w:hint="default"/>
      </w:rPr>
    </w:lvl>
    <w:lvl w:ilvl="4" w:tplc="97A6236C">
      <w:start w:val="1"/>
      <w:numFmt w:val="bullet"/>
      <w:lvlText w:val="o"/>
      <w:lvlJc w:val="left"/>
      <w:pPr>
        <w:ind w:left="3427" w:hanging="360"/>
      </w:pPr>
      <w:rPr>
        <w:rFonts w:ascii="Courier New" w:hAnsi="Courier New" w:hint="default"/>
      </w:rPr>
    </w:lvl>
    <w:lvl w:ilvl="5" w:tplc="5DF4D7D4">
      <w:start w:val="1"/>
      <w:numFmt w:val="bullet"/>
      <w:lvlText w:val=""/>
      <w:lvlJc w:val="left"/>
      <w:pPr>
        <w:ind w:left="4147" w:hanging="360"/>
      </w:pPr>
      <w:rPr>
        <w:rFonts w:ascii="Wingdings" w:hAnsi="Wingdings" w:hint="default"/>
      </w:rPr>
    </w:lvl>
    <w:lvl w:ilvl="6" w:tplc="6B007A54">
      <w:start w:val="1"/>
      <w:numFmt w:val="bullet"/>
      <w:lvlText w:val=""/>
      <w:lvlJc w:val="left"/>
      <w:pPr>
        <w:ind w:left="4867" w:hanging="360"/>
      </w:pPr>
      <w:rPr>
        <w:rFonts w:ascii="Symbol" w:hAnsi="Symbol" w:hint="default"/>
      </w:rPr>
    </w:lvl>
    <w:lvl w:ilvl="7" w:tplc="636A76B4">
      <w:start w:val="1"/>
      <w:numFmt w:val="bullet"/>
      <w:lvlText w:val="o"/>
      <w:lvlJc w:val="left"/>
      <w:pPr>
        <w:ind w:left="5587" w:hanging="360"/>
      </w:pPr>
      <w:rPr>
        <w:rFonts w:ascii="Courier New" w:hAnsi="Courier New" w:hint="default"/>
      </w:rPr>
    </w:lvl>
    <w:lvl w:ilvl="8" w:tplc="4B2AF938">
      <w:start w:val="1"/>
      <w:numFmt w:val="bullet"/>
      <w:lvlText w:val=""/>
      <w:lvlJc w:val="left"/>
      <w:pPr>
        <w:ind w:left="6307" w:hanging="360"/>
      </w:pPr>
      <w:rPr>
        <w:rFonts w:ascii="Wingdings" w:hAnsi="Wingdings" w:hint="default"/>
      </w:rPr>
    </w:lvl>
  </w:abstractNum>
  <w:abstractNum w:abstractNumId="662" w15:restartNumberingAfterBreak="0">
    <w:nsid w:val="5CEC8925"/>
    <w:multiLevelType w:val="hybridMultilevel"/>
    <w:tmpl w:val="243EE722"/>
    <w:lvl w:ilvl="0" w:tplc="CB1C7BA2">
      <w:start w:val="1"/>
      <w:numFmt w:val="bullet"/>
      <w:lvlText w:val=""/>
      <w:lvlJc w:val="left"/>
      <w:pPr>
        <w:ind w:left="720" w:hanging="360"/>
      </w:pPr>
      <w:rPr>
        <w:rFonts w:ascii="Symbol" w:hAnsi="Symbol" w:hint="default"/>
      </w:rPr>
    </w:lvl>
    <w:lvl w:ilvl="1" w:tplc="6FC44B42">
      <w:start w:val="1"/>
      <w:numFmt w:val="bullet"/>
      <w:lvlText w:val="o"/>
      <w:lvlJc w:val="left"/>
      <w:pPr>
        <w:ind w:left="1440" w:hanging="360"/>
      </w:pPr>
      <w:rPr>
        <w:rFonts w:ascii="Courier New" w:hAnsi="Courier New" w:hint="default"/>
      </w:rPr>
    </w:lvl>
    <w:lvl w:ilvl="2" w:tplc="9C0273E8">
      <w:start w:val="1"/>
      <w:numFmt w:val="bullet"/>
      <w:lvlText w:val=""/>
      <w:lvlJc w:val="left"/>
      <w:pPr>
        <w:ind w:left="2160" w:hanging="360"/>
      </w:pPr>
      <w:rPr>
        <w:rFonts w:ascii="Wingdings" w:hAnsi="Wingdings" w:hint="default"/>
      </w:rPr>
    </w:lvl>
    <w:lvl w:ilvl="3" w:tplc="27904702">
      <w:start w:val="1"/>
      <w:numFmt w:val="bullet"/>
      <w:lvlText w:val=""/>
      <w:lvlJc w:val="left"/>
      <w:pPr>
        <w:ind w:left="2880" w:hanging="360"/>
      </w:pPr>
      <w:rPr>
        <w:rFonts w:ascii="Symbol" w:hAnsi="Symbol" w:hint="default"/>
      </w:rPr>
    </w:lvl>
    <w:lvl w:ilvl="4" w:tplc="A2F2AC76">
      <w:start w:val="1"/>
      <w:numFmt w:val="bullet"/>
      <w:lvlText w:val="o"/>
      <w:lvlJc w:val="left"/>
      <w:pPr>
        <w:ind w:left="3600" w:hanging="360"/>
      </w:pPr>
      <w:rPr>
        <w:rFonts w:ascii="Courier New" w:hAnsi="Courier New" w:hint="default"/>
      </w:rPr>
    </w:lvl>
    <w:lvl w:ilvl="5" w:tplc="C31A3888">
      <w:start w:val="1"/>
      <w:numFmt w:val="bullet"/>
      <w:lvlText w:val=""/>
      <w:lvlJc w:val="left"/>
      <w:pPr>
        <w:ind w:left="4320" w:hanging="360"/>
      </w:pPr>
      <w:rPr>
        <w:rFonts w:ascii="Wingdings" w:hAnsi="Wingdings" w:hint="default"/>
      </w:rPr>
    </w:lvl>
    <w:lvl w:ilvl="6" w:tplc="37565042">
      <w:start w:val="1"/>
      <w:numFmt w:val="bullet"/>
      <w:lvlText w:val=""/>
      <w:lvlJc w:val="left"/>
      <w:pPr>
        <w:ind w:left="5040" w:hanging="360"/>
      </w:pPr>
      <w:rPr>
        <w:rFonts w:ascii="Symbol" w:hAnsi="Symbol" w:hint="default"/>
      </w:rPr>
    </w:lvl>
    <w:lvl w:ilvl="7" w:tplc="44189F2A">
      <w:start w:val="1"/>
      <w:numFmt w:val="bullet"/>
      <w:lvlText w:val="o"/>
      <w:lvlJc w:val="left"/>
      <w:pPr>
        <w:ind w:left="5760" w:hanging="360"/>
      </w:pPr>
      <w:rPr>
        <w:rFonts w:ascii="Courier New" w:hAnsi="Courier New" w:hint="default"/>
      </w:rPr>
    </w:lvl>
    <w:lvl w:ilvl="8" w:tplc="93D2485A">
      <w:start w:val="1"/>
      <w:numFmt w:val="bullet"/>
      <w:lvlText w:val=""/>
      <w:lvlJc w:val="left"/>
      <w:pPr>
        <w:ind w:left="6480" w:hanging="360"/>
      </w:pPr>
      <w:rPr>
        <w:rFonts w:ascii="Wingdings" w:hAnsi="Wingdings" w:hint="default"/>
      </w:rPr>
    </w:lvl>
  </w:abstractNum>
  <w:abstractNum w:abstractNumId="663" w15:restartNumberingAfterBreak="0">
    <w:nsid w:val="5D206864"/>
    <w:multiLevelType w:val="hybridMultilevel"/>
    <w:tmpl w:val="FFFFFFFF"/>
    <w:lvl w:ilvl="0" w:tplc="5ABC54C4">
      <w:start w:val="1"/>
      <w:numFmt w:val="bullet"/>
      <w:lvlText w:val=""/>
      <w:lvlJc w:val="left"/>
      <w:pPr>
        <w:ind w:left="720" w:hanging="360"/>
      </w:pPr>
      <w:rPr>
        <w:rFonts w:ascii="Symbol" w:hAnsi="Symbol" w:hint="default"/>
      </w:rPr>
    </w:lvl>
    <w:lvl w:ilvl="1" w:tplc="658C324E">
      <w:start w:val="1"/>
      <w:numFmt w:val="bullet"/>
      <w:lvlText w:val="o"/>
      <w:lvlJc w:val="left"/>
      <w:pPr>
        <w:ind w:left="1440" w:hanging="360"/>
      </w:pPr>
      <w:rPr>
        <w:rFonts w:ascii="Courier New" w:hAnsi="Courier New" w:hint="default"/>
      </w:rPr>
    </w:lvl>
    <w:lvl w:ilvl="2" w:tplc="3BF22C02">
      <w:start w:val="1"/>
      <w:numFmt w:val="bullet"/>
      <w:lvlText w:val=""/>
      <w:lvlJc w:val="left"/>
      <w:pPr>
        <w:ind w:left="2160" w:hanging="360"/>
      </w:pPr>
      <w:rPr>
        <w:rFonts w:ascii="Wingdings" w:hAnsi="Wingdings" w:hint="default"/>
      </w:rPr>
    </w:lvl>
    <w:lvl w:ilvl="3" w:tplc="A816F57A">
      <w:start w:val="1"/>
      <w:numFmt w:val="bullet"/>
      <w:lvlText w:val=""/>
      <w:lvlJc w:val="left"/>
      <w:pPr>
        <w:ind w:left="2880" w:hanging="360"/>
      </w:pPr>
      <w:rPr>
        <w:rFonts w:ascii="Symbol" w:hAnsi="Symbol" w:hint="default"/>
      </w:rPr>
    </w:lvl>
    <w:lvl w:ilvl="4" w:tplc="EFE0F2E2">
      <w:start w:val="1"/>
      <w:numFmt w:val="bullet"/>
      <w:lvlText w:val="o"/>
      <w:lvlJc w:val="left"/>
      <w:pPr>
        <w:ind w:left="3600" w:hanging="360"/>
      </w:pPr>
      <w:rPr>
        <w:rFonts w:ascii="Courier New" w:hAnsi="Courier New" w:hint="default"/>
      </w:rPr>
    </w:lvl>
    <w:lvl w:ilvl="5" w:tplc="7C9CE850">
      <w:start w:val="1"/>
      <w:numFmt w:val="bullet"/>
      <w:lvlText w:val=""/>
      <w:lvlJc w:val="left"/>
      <w:pPr>
        <w:ind w:left="4320" w:hanging="360"/>
      </w:pPr>
      <w:rPr>
        <w:rFonts w:ascii="Wingdings" w:hAnsi="Wingdings" w:hint="default"/>
      </w:rPr>
    </w:lvl>
    <w:lvl w:ilvl="6" w:tplc="E9FAC7BA">
      <w:start w:val="1"/>
      <w:numFmt w:val="bullet"/>
      <w:lvlText w:val=""/>
      <w:lvlJc w:val="left"/>
      <w:pPr>
        <w:ind w:left="5040" w:hanging="360"/>
      </w:pPr>
      <w:rPr>
        <w:rFonts w:ascii="Symbol" w:hAnsi="Symbol" w:hint="default"/>
      </w:rPr>
    </w:lvl>
    <w:lvl w:ilvl="7" w:tplc="D92AD292">
      <w:start w:val="1"/>
      <w:numFmt w:val="bullet"/>
      <w:lvlText w:val="o"/>
      <w:lvlJc w:val="left"/>
      <w:pPr>
        <w:ind w:left="5760" w:hanging="360"/>
      </w:pPr>
      <w:rPr>
        <w:rFonts w:ascii="Courier New" w:hAnsi="Courier New" w:hint="default"/>
      </w:rPr>
    </w:lvl>
    <w:lvl w:ilvl="8" w:tplc="C452F986">
      <w:start w:val="1"/>
      <w:numFmt w:val="bullet"/>
      <w:lvlText w:val=""/>
      <w:lvlJc w:val="left"/>
      <w:pPr>
        <w:ind w:left="6480" w:hanging="360"/>
      </w:pPr>
      <w:rPr>
        <w:rFonts w:ascii="Wingdings" w:hAnsi="Wingdings" w:hint="default"/>
      </w:rPr>
    </w:lvl>
  </w:abstractNum>
  <w:abstractNum w:abstractNumId="664" w15:restartNumberingAfterBreak="0">
    <w:nsid w:val="5D431F29"/>
    <w:multiLevelType w:val="multilevel"/>
    <w:tmpl w:val="22AEF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5" w15:restartNumberingAfterBreak="0">
    <w:nsid w:val="5D5C4FD2"/>
    <w:multiLevelType w:val="multilevel"/>
    <w:tmpl w:val="F10CF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6" w15:restartNumberingAfterBreak="0">
    <w:nsid w:val="5D74DA2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667" w15:restartNumberingAfterBreak="0">
    <w:nsid w:val="5D902949"/>
    <w:multiLevelType w:val="multilevel"/>
    <w:tmpl w:val="38B83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8" w15:restartNumberingAfterBreak="0">
    <w:nsid w:val="5D973C17"/>
    <w:multiLevelType w:val="multilevel"/>
    <w:tmpl w:val="D7F67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9" w15:restartNumberingAfterBreak="0">
    <w:nsid w:val="5DF43164"/>
    <w:multiLevelType w:val="multilevel"/>
    <w:tmpl w:val="FECC8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0" w15:restartNumberingAfterBreak="0">
    <w:nsid w:val="5E08357A"/>
    <w:multiLevelType w:val="multilevel"/>
    <w:tmpl w:val="A5B495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1" w15:restartNumberingAfterBreak="0">
    <w:nsid w:val="5E3B42A2"/>
    <w:multiLevelType w:val="multilevel"/>
    <w:tmpl w:val="0BA86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2" w15:restartNumberingAfterBreak="0">
    <w:nsid w:val="5E651E33"/>
    <w:multiLevelType w:val="multilevel"/>
    <w:tmpl w:val="9926ED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3" w15:restartNumberingAfterBreak="0">
    <w:nsid w:val="5E7E5D35"/>
    <w:multiLevelType w:val="multilevel"/>
    <w:tmpl w:val="20EE9B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4" w15:restartNumberingAfterBreak="0">
    <w:nsid w:val="5EAC29AD"/>
    <w:multiLevelType w:val="multilevel"/>
    <w:tmpl w:val="176E2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5" w15:restartNumberingAfterBreak="0">
    <w:nsid w:val="5EB218EF"/>
    <w:multiLevelType w:val="multilevel"/>
    <w:tmpl w:val="6BC60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6" w15:restartNumberingAfterBreak="0">
    <w:nsid w:val="5EB46FC2"/>
    <w:multiLevelType w:val="multilevel"/>
    <w:tmpl w:val="7EF4D3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7" w15:restartNumberingAfterBreak="0">
    <w:nsid w:val="5F024BF0"/>
    <w:multiLevelType w:val="multilevel"/>
    <w:tmpl w:val="06B4A4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78" w15:restartNumberingAfterBreak="0">
    <w:nsid w:val="5F795BD0"/>
    <w:multiLevelType w:val="hybridMultilevel"/>
    <w:tmpl w:val="FFFFFFFF"/>
    <w:lvl w:ilvl="0" w:tplc="A654544A">
      <w:start w:val="1"/>
      <w:numFmt w:val="bullet"/>
      <w:lvlText w:val="○"/>
      <w:lvlJc w:val="left"/>
      <w:pPr>
        <w:ind w:left="1440" w:hanging="360"/>
      </w:pPr>
      <w:rPr>
        <w:rFonts w:ascii="Symbol" w:hAnsi="Symbol" w:hint="default"/>
      </w:rPr>
    </w:lvl>
    <w:lvl w:ilvl="1" w:tplc="FC6C7E5A">
      <w:start w:val="1"/>
      <w:numFmt w:val="bullet"/>
      <w:lvlText w:val="o"/>
      <w:lvlJc w:val="left"/>
      <w:pPr>
        <w:ind w:left="2160" w:hanging="360"/>
      </w:pPr>
      <w:rPr>
        <w:rFonts w:ascii="Courier New" w:hAnsi="Courier New" w:hint="default"/>
      </w:rPr>
    </w:lvl>
    <w:lvl w:ilvl="2" w:tplc="C7F0BAD2">
      <w:start w:val="1"/>
      <w:numFmt w:val="bullet"/>
      <w:lvlText w:val=""/>
      <w:lvlJc w:val="left"/>
      <w:pPr>
        <w:ind w:left="2880" w:hanging="360"/>
      </w:pPr>
      <w:rPr>
        <w:rFonts w:ascii="Wingdings" w:hAnsi="Wingdings" w:hint="default"/>
      </w:rPr>
    </w:lvl>
    <w:lvl w:ilvl="3" w:tplc="B60A0E6E">
      <w:start w:val="1"/>
      <w:numFmt w:val="bullet"/>
      <w:lvlText w:val=""/>
      <w:lvlJc w:val="left"/>
      <w:pPr>
        <w:ind w:left="3600" w:hanging="360"/>
      </w:pPr>
      <w:rPr>
        <w:rFonts w:ascii="Symbol" w:hAnsi="Symbol" w:hint="default"/>
      </w:rPr>
    </w:lvl>
    <w:lvl w:ilvl="4" w:tplc="1700BC00">
      <w:start w:val="1"/>
      <w:numFmt w:val="bullet"/>
      <w:lvlText w:val="o"/>
      <w:lvlJc w:val="left"/>
      <w:pPr>
        <w:ind w:left="4320" w:hanging="360"/>
      </w:pPr>
      <w:rPr>
        <w:rFonts w:ascii="Courier New" w:hAnsi="Courier New" w:hint="default"/>
      </w:rPr>
    </w:lvl>
    <w:lvl w:ilvl="5" w:tplc="F0A6BE22">
      <w:start w:val="1"/>
      <w:numFmt w:val="bullet"/>
      <w:lvlText w:val=""/>
      <w:lvlJc w:val="left"/>
      <w:pPr>
        <w:ind w:left="5040" w:hanging="360"/>
      </w:pPr>
      <w:rPr>
        <w:rFonts w:ascii="Wingdings" w:hAnsi="Wingdings" w:hint="default"/>
      </w:rPr>
    </w:lvl>
    <w:lvl w:ilvl="6" w:tplc="A7BECC28">
      <w:start w:val="1"/>
      <w:numFmt w:val="bullet"/>
      <w:lvlText w:val=""/>
      <w:lvlJc w:val="left"/>
      <w:pPr>
        <w:ind w:left="5760" w:hanging="360"/>
      </w:pPr>
      <w:rPr>
        <w:rFonts w:ascii="Symbol" w:hAnsi="Symbol" w:hint="default"/>
      </w:rPr>
    </w:lvl>
    <w:lvl w:ilvl="7" w:tplc="D3EEE048">
      <w:start w:val="1"/>
      <w:numFmt w:val="bullet"/>
      <w:lvlText w:val="o"/>
      <w:lvlJc w:val="left"/>
      <w:pPr>
        <w:ind w:left="6480" w:hanging="360"/>
      </w:pPr>
      <w:rPr>
        <w:rFonts w:ascii="Courier New" w:hAnsi="Courier New" w:hint="default"/>
      </w:rPr>
    </w:lvl>
    <w:lvl w:ilvl="8" w:tplc="E98E6F20">
      <w:start w:val="1"/>
      <w:numFmt w:val="bullet"/>
      <w:lvlText w:val=""/>
      <w:lvlJc w:val="left"/>
      <w:pPr>
        <w:ind w:left="7200" w:hanging="360"/>
      </w:pPr>
      <w:rPr>
        <w:rFonts w:ascii="Wingdings" w:hAnsi="Wingdings" w:hint="default"/>
      </w:rPr>
    </w:lvl>
  </w:abstractNum>
  <w:abstractNum w:abstractNumId="679" w15:restartNumberingAfterBreak="0">
    <w:nsid w:val="5F89B8D2"/>
    <w:multiLevelType w:val="hybridMultilevel"/>
    <w:tmpl w:val="D4CACCD0"/>
    <w:lvl w:ilvl="0" w:tplc="F362916E">
      <w:start w:val="1"/>
      <w:numFmt w:val="bullet"/>
      <w:lvlText w:val=""/>
      <w:lvlJc w:val="left"/>
      <w:pPr>
        <w:ind w:left="720" w:hanging="360"/>
      </w:pPr>
      <w:rPr>
        <w:rFonts w:ascii="Symbol" w:hAnsi="Symbol" w:hint="default"/>
      </w:rPr>
    </w:lvl>
    <w:lvl w:ilvl="1" w:tplc="A5FC24F6">
      <w:start w:val="1"/>
      <w:numFmt w:val="bullet"/>
      <w:lvlText w:val="o"/>
      <w:lvlJc w:val="left"/>
      <w:pPr>
        <w:ind w:left="1440" w:hanging="360"/>
      </w:pPr>
      <w:rPr>
        <w:rFonts w:ascii="Courier New" w:hAnsi="Courier New" w:hint="default"/>
      </w:rPr>
    </w:lvl>
    <w:lvl w:ilvl="2" w:tplc="38020400">
      <w:start w:val="1"/>
      <w:numFmt w:val="bullet"/>
      <w:lvlText w:val=""/>
      <w:lvlJc w:val="left"/>
      <w:pPr>
        <w:ind w:left="2160" w:hanging="360"/>
      </w:pPr>
      <w:rPr>
        <w:rFonts w:ascii="Wingdings" w:hAnsi="Wingdings" w:hint="default"/>
      </w:rPr>
    </w:lvl>
    <w:lvl w:ilvl="3" w:tplc="F7287694">
      <w:start w:val="1"/>
      <w:numFmt w:val="bullet"/>
      <w:lvlText w:val=""/>
      <w:lvlJc w:val="left"/>
      <w:pPr>
        <w:ind w:left="2880" w:hanging="360"/>
      </w:pPr>
      <w:rPr>
        <w:rFonts w:ascii="Symbol" w:hAnsi="Symbol" w:hint="default"/>
      </w:rPr>
    </w:lvl>
    <w:lvl w:ilvl="4" w:tplc="9520895E">
      <w:start w:val="1"/>
      <w:numFmt w:val="bullet"/>
      <w:lvlText w:val="o"/>
      <w:lvlJc w:val="left"/>
      <w:pPr>
        <w:ind w:left="3600" w:hanging="360"/>
      </w:pPr>
      <w:rPr>
        <w:rFonts w:ascii="Courier New" w:hAnsi="Courier New" w:hint="default"/>
      </w:rPr>
    </w:lvl>
    <w:lvl w:ilvl="5" w:tplc="40F41CDC">
      <w:start w:val="1"/>
      <w:numFmt w:val="bullet"/>
      <w:lvlText w:val=""/>
      <w:lvlJc w:val="left"/>
      <w:pPr>
        <w:ind w:left="4320" w:hanging="360"/>
      </w:pPr>
      <w:rPr>
        <w:rFonts w:ascii="Wingdings" w:hAnsi="Wingdings" w:hint="default"/>
      </w:rPr>
    </w:lvl>
    <w:lvl w:ilvl="6" w:tplc="6870F668">
      <w:start w:val="1"/>
      <w:numFmt w:val="bullet"/>
      <w:lvlText w:val=""/>
      <w:lvlJc w:val="left"/>
      <w:pPr>
        <w:ind w:left="5040" w:hanging="360"/>
      </w:pPr>
      <w:rPr>
        <w:rFonts w:ascii="Symbol" w:hAnsi="Symbol" w:hint="default"/>
      </w:rPr>
    </w:lvl>
    <w:lvl w:ilvl="7" w:tplc="B64AAF18">
      <w:start w:val="1"/>
      <w:numFmt w:val="bullet"/>
      <w:lvlText w:val="o"/>
      <w:lvlJc w:val="left"/>
      <w:pPr>
        <w:ind w:left="5760" w:hanging="360"/>
      </w:pPr>
      <w:rPr>
        <w:rFonts w:ascii="Courier New" w:hAnsi="Courier New" w:hint="default"/>
      </w:rPr>
    </w:lvl>
    <w:lvl w:ilvl="8" w:tplc="AE00EC5C">
      <w:start w:val="1"/>
      <w:numFmt w:val="bullet"/>
      <w:lvlText w:val=""/>
      <w:lvlJc w:val="left"/>
      <w:pPr>
        <w:ind w:left="6480" w:hanging="360"/>
      </w:pPr>
      <w:rPr>
        <w:rFonts w:ascii="Wingdings" w:hAnsi="Wingdings" w:hint="default"/>
      </w:rPr>
    </w:lvl>
  </w:abstractNum>
  <w:abstractNum w:abstractNumId="680" w15:restartNumberingAfterBreak="0">
    <w:nsid w:val="5F8D6D56"/>
    <w:multiLevelType w:val="multilevel"/>
    <w:tmpl w:val="A98A8F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1" w15:restartNumberingAfterBreak="0">
    <w:nsid w:val="5F9B08FF"/>
    <w:multiLevelType w:val="multilevel"/>
    <w:tmpl w:val="C0D08B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2" w15:restartNumberingAfterBreak="0">
    <w:nsid w:val="5FB97F65"/>
    <w:multiLevelType w:val="multilevel"/>
    <w:tmpl w:val="533A4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3" w15:restartNumberingAfterBreak="0">
    <w:nsid w:val="5FCD0DC2"/>
    <w:multiLevelType w:val="multilevel"/>
    <w:tmpl w:val="E3FE0B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4" w15:restartNumberingAfterBreak="0">
    <w:nsid w:val="5FDD9C52"/>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685" w15:restartNumberingAfterBreak="0">
    <w:nsid w:val="60341216"/>
    <w:multiLevelType w:val="hybridMultilevel"/>
    <w:tmpl w:val="FFFFFFFF"/>
    <w:lvl w:ilvl="0" w:tplc="3C4A467E">
      <w:start w:val="1"/>
      <w:numFmt w:val="bullet"/>
      <w:lvlText w:val="○"/>
      <w:lvlJc w:val="left"/>
      <w:pPr>
        <w:ind w:left="1440" w:hanging="360"/>
      </w:pPr>
      <w:rPr>
        <w:rFonts w:ascii="Symbol" w:hAnsi="Symbol" w:hint="default"/>
      </w:rPr>
    </w:lvl>
    <w:lvl w:ilvl="1" w:tplc="C5AE3A92">
      <w:start w:val="1"/>
      <w:numFmt w:val="bullet"/>
      <w:lvlText w:val="o"/>
      <w:lvlJc w:val="left"/>
      <w:pPr>
        <w:ind w:left="2160" w:hanging="360"/>
      </w:pPr>
      <w:rPr>
        <w:rFonts w:ascii="Courier New" w:hAnsi="Courier New" w:hint="default"/>
      </w:rPr>
    </w:lvl>
    <w:lvl w:ilvl="2" w:tplc="6BC850EA">
      <w:start w:val="1"/>
      <w:numFmt w:val="bullet"/>
      <w:lvlText w:val=""/>
      <w:lvlJc w:val="left"/>
      <w:pPr>
        <w:ind w:left="2880" w:hanging="360"/>
      </w:pPr>
      <w:rPr>
        <w:rFonts w:ascii="Wingdings" w:hAnsi="Wingdings" w:hint="default"/>
      </w:rPr>
    </w:lvl>
    <w:lvl w:ilvl="3" w:tplc="8FA66454">
      <w:start w:val="1"/>
      <w:numFmt w:val="bullet"/>
      <w:lvlText w:val=""/>
      <w:lvlJc w:val="left"/>
      <w:pPr>
        <w:ind w:left="3600" w:hanging="360"/>
      </w:pPr>
      <w:rPr>
        <w:rFonts w:ascii="Symbol" w:hAnsi="Symbol" w:hint="default"/>
      </w:rPr>
    </w:lvl>
    <w:lvl w:ilvl="4" w:tplc="5396044E">
      <w:start w:val="1"/>
      <w:numFmt w:val="bullet"/>
      <w:lvlText w:val="o"/>
      <w:lvlJc w:val="left"/>
      <w:pPr>
        <w:ind w:left="4320" w:hanging="360"/>
      </w:pPr>
      <w:rPr>
        <w:rFonts w:ascii="Courier New" w:hAnsi="Courier New" w:hint="default"/>
      </w:rPr>
    </w:lvl>
    <w:lvl w:ilvl="5" w:tplc="613C9E0E">
      <w:start w:val="1"/>
      <w:numFmt w:val="bullet"/>
      <w:lvlText w:val=""/>
      <w:lvlJc w:val="left"/>
      <w:pPr>
        <w:ind w:left="5040" w:hanging="360"/>
      </w:pPr>
      <w:rPr>
        <w:rFonts w:ascii="Wingdings" w:hAnsi="Wingdings" w:hint="default"/>
      </w:rPr>
    </w:lvl>
    <w:lvl w:ilvl="6" w:tplc="30661000">
      <w:start w:val="1"/>
      <w:numFmt w:val="bullet"/>
      <w:lvlText w:val=""/>
      <w:lvlJc w:val="left"/>
      <w:pPr>
        <w:ind w:left="5760" w:hanging="360"/>
      </w:pPr>
      <w:rPr>
        <w:rFonts w:ascii="Symbol" w:hAnsi="Symbol" w:hint="default"/>
      </w:rPr>
    </w:lvl>
    <w:lvl w:ilvl="7" w:tplc="15968F5C">
      <w:start w:val="1"/>
      <w:numFmt w:val="bullet"/>
      <w:lvlText w:val="o"/>
      <w:lvlJc w:val="left"/>
      <w:pPr>
        <w:ind w:left="6480" w:hanging="360"/>
      </w:pPr>
      <w:rPr>
        <w:rFonts w:ascii="Courier New" w:hAnsi="Courier New" w:hint="default"/>
      </w:rPr>
    </w:lvl>
    <w:lvl w:ilvl="8" w:tplc="43207BAE">
      <w:start w:val="1"/>
      <w:numFmt w:val="bullet"/>
      <w:lvlText w:val=""/>
      <w:lvlJc w:val="left"/>
      <w:pPr>
        <w:ind w:left="7200" w:hanging="360"/>
      </w:pPr>
      <w:rPr>
        <w:rFonts w:ascii="Wingdings" w:hAnsi="Wingdings" w:hint="default"/>
      </w:rPr>
    </w:lvl>
  </w:abstractNum>
  <w:abstractNum w:abstractNumId="686" w15:restartNumberingAfterBreak="0">
    <w:nsid w:val="60473E4A"/>
    <w:multiLevelType w:val="multilevel"/>
    <w:tmpl w:val="B6D219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7" w15:restartNumberingAfterBreak="0">
    <w:nsid w:val="6073082E"/>
    <w:multiLevelType w:val="multilevel"/>
    <w:tmpl w:val="5B869F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88" w15:restartNumberingAfterBreak="0">
    <w:nsid w:val="608C140F"/>
    <w:multiLevelType w:val="multilevel"/>
    <w:tmpl w:val="7B969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9" w15:restartNumberingAfterBreak="0">
    <w:nsid w:val="6097E0FA"/>
    <w:multiLevelType w:val="multilevel"/>
    <w:tmpl w:val="10608B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90" w15:restartNumberingAfterBreak="0">
    <w:nsid w:val="60B122C6"/>
    <w:multiLevelType w:val="multilevel"/>
    <w:tmpl w:val="91584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1" w15:restartNumberingAfterBreak="0">
    <w:nsid w:val="60B8AD11"/>
    <w:multiLevelType w:val="hybridMultilevel"/>
    <w:tmpl w:val="6D06F5E4"/>
    <w:lvl w:ilvl="0" w:tplc="D7EE3CEE">
      <w:start w:val="1"/>
      <w:numFmt w:val="bullet"/>
      <w:lvlText w:val=""/>
      <w:lvlJc w:val="left"/>
      <w:pPr>
        <w:ind w:left="720" w:hanging="360"/>
      </w:pPr>
      <w:rPr>
        <w:rFonts w:ascii="Symbol" w:hAnsi="Symbol" w:hint="default"/>
      </w:rPr>
    </w:lvl>
    <w:lvl w:ilvl="1" w:tplc="E2FA38F0">
      <w:start w:val="1"/>
      <w:numFmt w:val="bullet"/>
      <w:lvlText w:val="o"/>
      <w:lvlJc w:val="left"/>
      <w:pPr>
        <w:ind w:left="1440" w:hanging="360"/>
      </w:pPr>
      <w:rPr>
        <w:rFonts w:ascii="Courier New" w:hAnsi="Courier New" w:hint="default"/>
      </w:rPr>
    </w:lvl>
    <w:lvl w:ilvl="2" w:tplc="AAECB322">
      <w:start w:val="1"/>
      <w:numFmt w:val="bullet"/>
      <w:lvlText w:val=""/>
      <w:lvlJc w:val="left"/>
      <w:pPr>
        <w:ind w:left="2160" w:hanging="360"/>
      </w:pPr>
      <w:rPr>
        <w:rFonts w:ascii="Wingdings" w:hAnsi="Wingdings" w:hint="default"/>
      </w:rPr>
    </w:lvl>
    <w:lvl w:ilvl="3" w:tplc="9A148F8A">
      <w:start w:val="1"/>
      <w:numFmt w:val="bullet"/>
      <w:lvlText w:val=""/>
      <w:lvlJc w:val="left"/>
      <w:pPr>
        <w:ind w:left="2880" w:hanging="360"/>
      </w:pPr>
      <w:rPr>
        <w:rFonts w:ascii="Symbol" w:hAnsi="Symbol" w:hint="default"/>
      </w:rPr>
    </w:lvl>
    <w:lvl w:ilvl="4" w:tplc="40D6BCD4">
      <w:start w:val="1"/>
      <w:numFmt w:val="bullet"/>
      <w:lvlText w:val="o"/>
      <w:lvlJc w:val="left"/>
      <w:pPr>
        <w:ind w:left="3600" w:hanging="360"/>
      </w:pPr>
      <w:rPr>
        <w:rFonts w:ascii="Courier New" w:hAnsi="Courier New" w:hint="default"/>
      </w:rPr>
    </w:lvl>
    <w:lvl w:ilvl="5" w:tplc="9EBC4094">
      <w:start w:val="1"/>
      <w:numFmt w:val="bullet"/>
      <w:lvlText w:val=""/>
      <w:lvlJc w:val="left"/>
      <w:pPr>
        <w:ind w:left="4320" w:hanging="360"/>
      </w:pPr>
      <w:rPr>
        <w:rFonts w:ascii="Wingdings" w:hAnsi="Wingdings" w:hint="default"/>
      </w:rPr>
    </w:lvl>
    <w:lvl w:ilvl="6" w:tplc="D3920564">
      <w:start w:val="1"/>
      <w:numFmt w:val="bullet"/>
      <w:lvlText w:val=""/>
      <w:lvlJc w:val="left"/>
      <w:pPr>
        <w:ind w:left="5040" w:hanging="360"/>
      </w:pPr>
      <w:rPr>
        <w:rFonts w:ascii="Symbol" w:hAnsi="Symbol" w:hint="default"/>
      </w:rPr>
    </w:lvl>
    <w:lvl w:ilvl="7" w:tplc="3020A3FA">
      <w:start w:val="1"/>
      <w:numFmt w:val="bullet"/>
      <w:lvlText w:val="o"/>
      <w:lvlJc w:val="left"/>
      <w:pPr>
        <w:ind w:left="5760" w:hanging="360"/>
      </w:pPr>
      <w:rPr>
        <w:rFonts w:ascii="Courier New" w:hAnsi="Courier New" w:hint="default"/>
      </w:rPr>
    </w:lvl>
    <w:lvl w:ilvl="8" w:tplc="48AA0E4C">
      <w:start w:val="1"/>
      <w:numFmt w:val="bullet"/>
      <w:lvlText w:val=""/>
      <w:lvlJc w:val="left"/>
      <w:pPr>
        <w:ind w:left="6480" w:hanging="360"/>
      </w:pPr>
      <w:rPr>
        <w:rFonts w:ascii="Wingdings" w:hAnsi="Wingdings" w:hint="default"/>
      </w:rPr>
    </w:lvl>
  </w:abstractNum>
  <w:abstractNum w:abstractNumId="692" w15:restartNumberingAfterBreak="0">
    <w:nsid w:val="60BAA9DB"/>
    <w:multiLevelType w:val="multilevel"/>
    <w:tmpl w:val="1714DC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93" w15:restartNumberingAfterBreak="0">
    <w:nsid w:val="60C37557"/>
    <w:multiLevelType w:val="multilevel"/>
    <w:tmpl w:val="C31C8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4" w15:restartNumberingAfterBreak="0">
    <w:nsid w:val="60C49372"/>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695" w15:restartNumberingAfterBreak="0">
    <w:nsid w:val="60EA0FF4"/>
    <w:multiLevelType w:val="hybridMultilevel"/>
    <w:tmpl w:val="70CA4F8C"/>
    <w:lvl w:ilvl="0" w:tplc="388490D8">
      <w:start w:val="1"/>
      <w:numFmt w:val="bullet"/>
      <w:lvlText w:val=""/>
      <w:lvlJc w:val="left"/>
      <w:pPr>
        <w:ind w:left="720" w:hanging="360"/>
      </w:pPr>
      <w:rPr>
        <w:rFonts w:ascii="Symbol" w:hAnsi="Symbol" w:hint="default"/>
      </w:rPr>
    </w:lvl>
    <w:lvl w:ilvl="1" w:tplc="1BA845FE">
      <w:start w:val="1"/>
      <w:numFmt w:val="bullet"/>
      <w:lvlText w:val="o"/>
      <w:lvlJc w:val="left"/>
      <w:pPr>
        <w:ind w:left="1267" w:hanging="360"/>
      </w:pPr>
      <w:rPr>
        <w:rFonts w:ascii="Courier New" w:hAnsi="Courier New" w:hint="default"/>
      </w:rPr>
    </w:lvl>
    <w:lvl w:ilvl="2" w:tplc="949834D2">
      <w:start w:val="1"/>
      <w:numFmt w:val="bullet"/>
      <w:lvlText w:val=""/>
      <w:lvlJc w:val="left"/>
      <w:pPr>
        <w:ind w:left="1987" w:hanging="360"/>
      </w:pPr>
      <w:rPr>
        <w:rFonts w:ascii="Wingdings" w:hAnsi="Wingdings" w:hint="default"/>
      </w:rPr>
    </w:lvl>
    <w:lvl w:ilvl="3" w:tplc="B800667A">
      <w:start w:val="1"/>
      <w:numFmt w:val="bullet"/>
      <w:lvlText w:val=""/>
      <w:lvlJc w:val="left"/>
      <w:pPr>
        <w:ind w:left="2707" w:hanging="360"/>
      </w:pPr>
      <w:rPr>
        <w:rFonts w:ascii="Symbol" w:hAnsi="Symbol" w:hint="default"/>
      </w:rPr>
    </w:lvl>
    <w:lvl w:ilvl="4" w:tplc="CA6E6176">
      <w:start w:val="1"/>
      <w:numFmt w:val="bullet"/>
      <w:lvlText w:val="o"/>
      <w:lvlJc w:val="left"/>
      <w:pPr>
        <w:ind w:left="3427" w:hanging="360"/>
      </w:pPr>
      <w:rPr>
        <w:rFonts w:ascii="Courier New" w:hAnsi="Courier New" w:hint="default"/>
      </w:rPr>
    </w:lvl>
    <w:lvl w:ilvl="5" w:tplc="4A007A0A">
      <w:start w:val="1"/>
      <w:numFmt w:val="bullet"/>
      <w:lvlText w:val=""/>
      <w:lvlJc w:val="left"/>
      <w:pPr>
        <w:ind w:left="4147" w:hanging="360"/>
      </w:pPr>
      <w:rPr>
        <w:rFonts w:ascii="Wingdings" w:hAnsi="Wingdings" w:hint="default"/>
      </w:rPr>
    </w:lvl>
    <w:lvl w:ilvl="6" w:tplc="571C29A0">
      <w:start w:val="1"/>
      <w:numFmt w:val="bullet"/>
      <w:lvlText w:val=""/>
      <w:lvlJc w:val="left"/>
      <w:pPr>
        <w:ind w:left="4867" w:hanging="360"/>
      </w:pPr>
      <w:rPr>
        <w:rFonts w:ascii="Symbol" w:hAnsi="Symbol" w:hint="default"/>
      </w:rPr>
    </w:lvl>
    <w:lvl w:ilvl="7" w:tplc="62EA03F4">
      <w:start w:val="1"/>
      <w:numFmt w:val="bullet"/>
      <w:lvlText w:val="o"/>
      <w:lvlJc w:val="left"/>
      <w:pPr>
        <w:ind w:left="5587" w:hanging="360"/>
      </w:pPr>
      <w:rPr>
        <w:rFonts w:ascii="Courier New" w:hAnsi="Courier New" w:hint="default"/>
      </w:rPr>
    </w:lvl>
    <w:lvl w:ilvl="8" w:tplc="101C74EE">
      <w:start w:val="1"/>
      <w:numFmt w:val="bullet"/>
      <w:lvlText w:val=""/>
      <w:lvlJc w:val="left"/>
      <w:pPr>
        <w:ind w:left="6307" w:hanging="360"/>
      </w:pPr>
      <w:rPr>
        <w:rFonts w:ascii="Wingdings" w:hAnsi="Wingdings" w:hint="default"/>
      </w:rPr>
    </w:lvl>
  </w:abstractNum>
  <w:abstractNum w:abstractNumId="696" w15:restartNumberingAfterBreak="0">
    <w:nsid w:val="61164605"/>
    <w:multiLevelType w:val="multilevel"/>
    <w:tmpl w:val="C6680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7" w15:restartNumberingAfterBreak="0">
    <w:nsid w:val="612F226A"/>
    <w:multiLevelType w:val="hybridMultilevel"/>
    <w:tmpl w:val="7A5456D0"/>
    <w:lvl w:ilvl="0" w:tplc="00A8ADAA">
      <w:start w:val="1"/>
      <w:numFmt w:val="bullet"/>
      <w:lvlText w:val=""/>
      <w:lvlJc w:val="left"/>
      <w:pPr>
        <w:ind w:left="720" w:hanging="360"/>
      </w:pPr>
      <w:rPr>
        <w:rFonts w:ascii="Symbol" w:hAnsi="Symbol" w:hint="default"/>
      </w:rPr>
    </w:lvl>
    <w:lvl w:ilvl="1" w:tplc="F86CEF16">
      <w:start w:val="1"/>
      <w:numFmt w:val="bullet"/>
      <w:lvlText w:val="o"/>
      <w:lvlJc w:val="left"/>
      <w:pPr>
        <w:ind w:left="1440" w:hanging="360"/>
      </w:pPr>
      <w:rPr>
        <w:rFonts w:ascii="Courier New" w:hAnsi="Courier New" w:hint="default"/>
      </w:rPr>
    </w:lvl>
    <w:lvl w:ilvl="2" w:tplc="C04466EA">
      <w:start w:val="1"/>
      <w:numFmt w:val="bullet"/>
      <w:lvlText w:val=""/>
      <w:lvlJc w:val="left"/>
      <w:pPr>
        <w:ind w:left="2160" w:hanging="360"/>
      </w:pPr>
      <w:rPr>
        <w:rFonts w:ascii="Wingdings" w:hAnsi="Wingdings" w:hint="default"/>
      </w:rPr>
    </w:lvl>
    <w:lvl w:ilvl="3" w:tplc="9F4EF07C">
      <w:start w:val="1"/>
      <w:numFmt w:val="bullet"/>
      <w:lvlText w:val=""/>
      <w:lvlJc w:val="left"/>
      <w:pPr>
        <w:ind w:left="2880" w:hanging="360"/>
      </w:pPr>
      <w:rPr>
        <w:rFonts w:ascii="Symbol" w:hAnsi="Symbol" w:hint="default"/>
      </w:rPr>
    </w:lvl>
    <w:lvl w:ilvl="4" w:tplc="63A2D884">
      <w:start w:val="1"/>
      <w:numFmt w:val="bullet"/>
      <w:lvlText w:val="o"/>
      <w:lvlJc w:val="left"/>
      <w:pPr>
        <w:ind w:left="3600" w:hanging="360"/>
      </w:pPr>
      <w:rPr>
        <w:rFonts w:ascii="Courier New" w:hAnsi="Courier New" w:hint="default"/>
      </w:rPr>
    </w:lvl>
    <w:lvl w:ilvl="5" w:tplc="FD6492D8">
      <w:start w:val="1"/>
      <w:numFmt w:val="bullet"/>
      <w:lvlText w:val=""/>
      <w:lvlJc w:val="left"/>
      <w:pPr>
        <w:ind w:left="4320" w:hanging="360"/>
      </w:pPr>
      <w:rPr>
        <w:rFonts w:ascii="Wingdings" w:hAnsi="Wingdings" w:hint="default"/>
      </w:rPr>
    </w:lvl>
    <w:lvl w:ilvl="6" w:tplc="F5A8C90E">
      <w:start w:val="1"/>
      <w:numFmt w:val="bullet"/>
      <w:lvlText w:val=""/>
      <w:lvlJc w:val="left"/>
      <w:pPr>
        <w:ind w:left="5040" w:hanging="360"/>
      </w:pPr>
      <w:rPr>
        <w:rFonts w:ascii="Symbol" w:hAnsi="Symbol" w:hint="default"/>
      </w:rPr>
    </w:lvl>
    <w:lvl w:ilvl="7" w:tplc="D482FDC4">
      <w:start w:val="1"/>
      <w:numFmt w:val="bullet"/>
      <w:lvlText w:val="o"/>
      <w:lvlJc w:val="left"/>
      <w:pPr>
        <w:ind w:left="5760" w:hanging="360"/>
      </w:pPr>
      <w:rPr>
        <w:rFonts w:ascii="Courier New" w:hAnsi="Courier New" w:hint="default"/>
      </w:rPr>
    </w:lvl>
    <w:lvl w:ilvl="8" w:tplc="CBCCFF58">
      <w:start w:val="1"/>
      <w:numFmt w:val="bullet"/>
      <w:lvlText w:val=""/>
      <w:lvlJc w:val="left"/>
      <w:pPr>
        <w:ind w:left="6480" w:hanging="360"/>
      </w:pPr>
      <w:rPr>
        <w:rFonts w:ascii="Wingdings" w:hAnsi="Wingdings" w:hint="default"/>
      </w:rPr>
    </w:lvl>
  </w:abstractNum>
  <w:abstractNum w:abstractNumId="698" w15:restartNumberingAfterBreak="0">
    <w:nsid w:val="614B38A7"/>
    <w:multiLevelType w:val="multilevel"/>
    <w:tmpl w:val="37121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9" w15:restartNumberingAfterBreak="0">
    <w:nsid w:val="61774D94"/>
    <w:multiLevelType w:val="multilevel"/>
    <w:tmpl w:val="C4521DA2"/>
    <w:lvl w:ilvl="0">
      <w:start w:val="1"/>
      <w:numFmt w:val="bullet"/>
      <w:pStyle w:val="MainParanoChapter"/>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0" w15:restartNumberingAfterBreak="0">
    <w:nsid w:val="61C8253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701" w15:restartNumberingAfterBreak="0">
    <w:nsid w:val="61D148D5"/>
    <w:multiLevelType w:val="multilevel"/>
    <w:tmpl w:val="BD727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2" w15:restartNumberingAfterBreak="0">
    <w:nsid w:val="61DC0738"/>
    <w:multiLevelType w:val="multilevel"/>
    <w:tmpl w:val="5DC4A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3" w15:restartNumberingAfterBreak="0">
    <w:nsid w:val="61F71A44"/>
    <w:multiLevelType w:val="multilevel"/>
    <w:tmpl w:val="D0D2B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4" w15:restartNumberingAfterBreak="0">
    <w:nsid w:val="62093944"/>
    <w:multiLevelType w:val="hybridMultilevel"/>
    <w:tmpl w:val="30720580"/>
    <w:lvl w:ilvl="0" w:tplc="04090019">
      <w:start w:val="1"/>
      <w:numFmt w:val="lowerLetter"/>
      <w:lvlText w:val="%1."/>
      <w:lvlJc w:val="left"/>
      <w:pPr>
        <w:ind w:left="907" w:hanging="360"/>
      </w:pPr>
    </w:lvl>
    <w:lvl w:ilvl="1" w:tplc="040C0019" w:tentative="1">
      <w:start w:val="1"/>
      <w:numFmt w:val="lowerLetter"/>
      <w:lvlText w:val="%2."/>
      <w:lvlJc w:val="left"/>
      <w:pPr>
        <w:ind w:left="1627" w:hanging="360"/>
      </w:pPr>
    </w:lvl>
    <w:lvl w:ilvl="2" w:tplc="040C001B" w:tentative="1">
      <w:start w:val="1"/>
      <w:numFmt w:val="lowerRoman"/>
      <w:lvlText w:val="%3."/>
      <w:lvlJc w:val="right"/>
      <w:pPr>
        <w:ind w:left="2347" w:hanging="180"/>
      </w:pPr>
    </w:lvl>
    <w:lvl w:ilvl="3" w:tplc="040C000F" w:tentative="1">
      <w:start w:val="1"/>
      <w:numFmt w:val="decimal"/>
      <w:lvlText w:val="%4."/>
      <w:lvlJc w:val="left"/>
      <w:pPr>
        <w:ind w:left="3067" w:hanging="360"/>
      </w:pPr>
    </w:lvl>
    <w:lvl w:ilvl="4" w:tplc="040C0019" w:tentative="1">
      <w:start w:val="1"/>
      <w:numFmt w:val="lowerLetter"/>
      <w:lvlText w:val="%5."/>
      <w:lvlJc w:val="left"/>
      <w:pPr>
        <w:ind w:left="3787" w:hanging="360"/>
      </w:pPr>
    </w:lvl>
    <w:lvl w:ilvl="5" w:tplc="040C001B" w:tentative="1">
      <w:start w:val="1"/>
      <w:numFmt w:val="lowerRoman"/>
      <w:lvlText w:val="%6."/>
      <w:lvlJc w:val="right"/>
      <w:pPr>
        <w:ind w:left="4507" w:hanging="180"/>
      </w:pPr>
    </w:lvl>
    <w:lvl w:ilvl="6" w:tplc="040C000F" w:tentative="1">
      <w:start w:val="1"/>
      <w:numFmt w:val="decimal"/>
      <w:lvlText w:val="%7."/>
      <w:lvlJc w:val="left"/>
      <w:pPr>
        <w:ind w:left="5227" w:hanging="360"/>
      </w:pPr>
    </w:lvl>
    <w:lvl w:ilvl="7" w:tplc="040C0019" w:tentative="1">
      <w:start w:val="1"/>
      <w:numFmt w:val="lowerLetter"/>
      <w:lvlText w:val="%8."/>
      <w:lvlJc w:val="left"/>
      <w:pPr>
        <w:ind w:left="5947" w:hanging="360"/>
      </w:pPr>
    </w:lvl>
    <w:lvl w:ilvl="8" w:tplc="040C001B" w:tentative="1">
      <w:start w:val="1"/>
      <w:numFmt w:val="lowerRoman"/>
      <w:lvlText w:val="%9."/>
      <w:lvlJc w:val="right"/>
      <w:pPr>
        <w:ind w:left="6667" w:hanging="180"/>
      </w:pPr>
    </w:lvl>
  </w:abstractNum>
  <w:abstractNum w:abstractNumId="705" w15:restartNumberingAfterBreak="0">
    <w:nsid w:val="6268A3C7"/>
    <w:multiLevelType w:val="hybridMultilevel"/>
    <w:tmpl w:val="F1ECA7FC"/>
    <w:lvl w:ilvl="0" w:tplc="0FDCCDC0">
      <w:numFmt w:val="none"/>
      <w:lvlText w:val=""/>
      <w:lvlJc w:val="left"/>
      <w:pPr>
        <w:tabs>
          <w:tab w:val="num" w:pos="360"/>
        </w:tabs>
      </w:pPr>
    </w:lvl>
    <w:lvl w:ilvl="1" w:tplc="D680800A">
      <w:start w:val="1"/>
      <w:numFmt w:val="lowerLetter"/>
      <w:lvlText w:val="%2."/>
      <w:lvlJc w:val="left"/>
      <w:pPr>
        <w:ind w:left="1267" w:hanging="360"/>
      </w:pPr>
    </w:lvl>
    <w:lvl w:ilvl="2" w:tplc="5F941828">
      <w:start w:val="1"/>
      <w:numFmt w:val="lowerRoman"/>
      <w:lvlText w:val="%3."/>
      <w:lvlJc w:val="right"/>
      <w:pPr>
        <w:ind w:left="1987" w:hanging="180"/>
      </w:pPr>
    </w:lvl>
    <w:lvl w:ilvl="3" w:tplc="3EF49FB6">
      <w:start w:val="1"/>
      <w:numFmt w:val="decimal"/>
      <w:lvlText w:val="%4."/>
      <w:lvlJc w:val="left"/>
      <w:pPr>
        <w:ind w:left="2707" w:hanging="360"/>
      </w:pPr>
    </w:lvl>
    <w:lvl w:ilvl="4" w:tplc="73ACFC2A">
      <w:start w:val="1"/>
      <w:numFmt w:val="lowerLetter"/>
      <w:lvlText w:val="%5."/>
      <w:lvlJc w:val="left"/>
      <w:pPr>
        <w:ind w:left="3427" w:hanging="360"/>
      </w:pPr>
    </w:lvl>
    <w:lvl w:ilvl="5" w:tplc="81008482">
      <w:start w:val="1"/>
      <w:numFmt w:val="lowerRoman"/>
      <w:lvlText w:val="%6."/>
      <w:lvlJc w:val="right"/>
      <w:pPr>
        <w:ind w:left="4147" w:hanging="180"/>
      </w:pPr>
    </w:lvl>
    <w:lvl w:ilvl="6" w:tplc="FBF484E6">
      <w:start w:val="1"/>
      <w:numFmt w:val="decimal"/>
      <w:lvlText w:val="%7."/>
      <w:lvlJc w:val="left"/>
      <w:pPr>
        <w:ind w:left="4867" w:hanging="360"/>
      </w:pPr>
    </w:lvl>
    <w:lvl w:ilvl="7" w:tplc="E91A2978">
      <w:start w:val="1"/>
      <w:numFmt w:val="lowerLetter"/>
      <w:lvlText w:val="%8."/>
      <w:lvlJc w:val="left"/>
      <w:pPr>
        <w:ind w:left="5587" w:hanging="360"/>
      </w:pPr>
    </w:lvl>
    <w:lvl w:ilvl="8" w:tplc="655ACB74">
      <w:start w:val="1"/>
      <w:numFmt w:val="lowerRoman"/>
      <w:lvlText w:val="%9."/>
      <w:lvlJc w:val="right"/>
      <w:pPr>
        <w:ind w:left="6307" w:hanging="180"/>
      </w:pPr>
    </w:lvl>
  </w:abstractNum>
  <w:abstractNum w:abstractNumId="706" w15:restartNumberingAfterBreak="0">
    <w:nsid w:val="6277879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707" w15:restartNumberingAfterBreak="0">
    <w:nsid w:val="62B1607C"/>
    <w:multiLevelType w:val="multilevel"/>
    <w:tmpl w:val="9C9219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8" w15:restartNumberingAfterBreak="0">
    <w:nsid w:val="62B7637B"/>
    <w:multiLevelType w:val="multilevel"/>
    <w:tmpl w:val="6F243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9" w15:restartNumberingAfterBreak="0">
    <w:nsid w:val="62DB6B34"/>
    <w:multiLevelType w:val="hybridMultilevel"/>
    <w:tmpl w:val="FFFFFFFF"/>
    <w:lvl w:ilvl="0" w:tplc="D04A5B68">
      <w:start w:val="1"/>
      <w:numFmt w:val="bullet"/>
      <w:lvlText w:val=""/>
      <w:lvlJc w:val="left"/>
      <w:pPr>
        <w:ind w:left="547" w:hanging="360"/>
      </w:pPr>
      <w:rPr>
        <w:rFonts w:ascii="Symbol" w:hAnsi="Symbol" w:hint="default"/>
      </w:rPr>
    </w:lvl>
    <w:lvl w:ilvl="1" w:tplc="0B5C2BDE">
      <w:start w:val="1"/>
      <w:numFmt w:val="bullet"/>
      <w:lvlText w:val="o"/>
      <w:lvlJc w:val="left"/>
      <w:pPr>
        <w:ind w:left="1267" w:hanging="360"/>
      </w:pPr>
      <w:rPr>
        <w:rFonts w:ascii="Courier New" w:hAnsi="Courier New" w:hint="default"/>
      </w:rPr>
    </w:lvl>
    <w:lvl w:ilvl="2" w:tplc="69AC6F4E">
      <w:start w:val="1"/>
      <w:numFmt w:val="bullet"/>
      <w:lvlText w:val=""/>
      <w:lvlJc w:val="left"/>
      <w:pPr>
        <w:ind w:left="1987" w:hanging="360"/>
      </w:pPr>
      <w:rPr>
        <w:rFonts w:ascii="Wingdings" w:hAnsi="Wingdings" w:hint="default"/>
      </w:rPr>
    </w:lvl>
    <w:lvl w:ilvl="3" w:tplc="80F600FA">
      <w:start w:val="1"/>
      <w:numFmt w:val="bullet"/>
      <w:lvlText w:val=""/>
      <w:lvlJc w:val="left"/>
      <w:pPr>
        <w:ind w:left="2707" w:hanging="360"/>
      </w:pPr>
      <w:rPr>
        <w:rFonts w:ascii="Symbol" w:hAnsi="Symbol" w:hint="default"/>
      </w:rPr>
    </w:lvl>
    <w:lvl w:ilvl="4" w:tplc="CC8C99AC">
      <w:start w:val="1"/>
      <w:numFmt w:val="bullet"/>
      <w:lvlText w:val="o"/>
      <w:lvlJc w:val="left"/>
      <w:pPr>
        <w:ind w:left="3427" w:hanging="360"/>
      </w:pPr>
      <w:rPr>
        <w:rFonts w:ascii="Courier New" w:hAnsi="Courier New" w:hint="default"/>
      </w:rPr>
    </w:lvl>
    <w:lvl w:ilvl="5" w:tplc="091E23DC">
      <w:start w:val="1"/>
      <w:numFmt w:val="bullet"/>
      <w:lvlText w:val=""/>
      <w:lvlJc w:val="left"/>
      <w:pPr>
        <w:ind w:left="4147" w:hanging="360"/>
      </w:pPr>
      <w:rPr>
        <w:rFonts w:ascii="Wingdings" w:hAnsi="Wingdings" w:hint="default"/>
      </w:rPr>
    </w:lvl>
    <w:lvl w:ilvl="6" w:tplc="36F02288">
      <w:start w:val="1"/>
      <w:numFmt w:val="bullet"/>
      <w:lvlText w:val=""/>
      <w:lvlJc w:val="left"/>
      <w:pPr>
        <w:ind w:left="4867" w:hanging="360"/>
      </w:pPr>
      <w:rPr>
        <w:rFonts w:ascii="Symbol" w:hAnsi="Symbol" w:hint="default"/>
      </w:rPr>
    </w:lvl>
    <w:lvl w:ilvl="7" w:tplc="15221F26">
      <w:start w:val="1"/>
      <w:numFmt w:val="bullet"/>
      <w:lvlText w:val="o"/>
      <w:lvlJc w:val="left"/>
      <w:pPr>
        <w:ind w:left="5587" w:hanging="360"/>
      </w:pPr>
      <w:rPr>
        <w:rFonts w:ascii="Courier New" w:hAnsi="Courier New" w:hint="default"/>
      </w:rPr>
    </w:lvl>
    <w:lvl w:ilvl="8" w:tplc="5AF27EEC">
      <w:start w:val="1"/>
      <w:numFmt w:val="bullet"/>
      <w:lvlText w:val=""/>
      <w:lvlJc w:val="left"/>
      <w:pPr>
        <w:ind w:left="6307" w:hanging="360"/>
      </w:pPr>
      <w:rPr>
        <w:rFonts w:ascii="Wingdings" w:hAnsi="Wingdings" w:hint="default"/>
      </w:rPr>
    </w:lvl>
  </w:abstractNum>
  <w:abstractNum w:abstractNumId="710" w15:restartNumberingAfterBreak="0">
    <w:nsid w:val="62FA60C5"/>
    <w:multiLevelType w:val="multilevel"/>
    <w:tmpl w:val="74C4E6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11" w15:restartNumberingAfterBreak="0">
    <w:nsid w:val="63042C77"/>
    <w:multiLevelType w:val="multilevel"/>
    <w:tmpl w:val="C3EE06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12" w15:restartNumberingAfterBreak="0">
    <w:nsid w:val="63062C4E"/>
    <w:multiLevelType w:val="multilevel"/>
    <w:tmpl w:val="C75228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3" w15:restartNumberingAfterBreak="0">
    <w:nsid w:val="63111435"/>
    <w:multiLevelType w:val="hybridMultilevel"/>
    <w:tmpl w:val="FFFFFFFF"/>
    <w:lvl w:ilvl="0" w:tplc="CED66AB8">
      <w:start w:val="1"/>
      <w:numFmt w:val="bullet"/>
      <w:lvlText w:val=""/>
      <w:lvlJc w:val="left"/>
      <w:pPr>
        <w:ind w:left="547" w:hanging="360"/>
      </w:pPr>
      <w:rPr>
        <w:rFonts w:ascii="Symbol" w:hAnsi="Symbol" w:hint="default"/>
      </w:rPr>
    </w:lvl>
    <w:lvl w:ilvl="1" w:tplc="B3F40D8C">
      <w:start w:val="1"/>
      <w:numFmt w:val="bullet"/>
      <w:lvlText w:val="o"/>
      <w:lvlJc w:val="left"/>
      <w:pPr>
        <w:ind w:left="1267" w:hanging="360"/>
      </w:pPr>
      <w:rPr>
        <w:rFonts w:ascii="Courier New" w:hAnsi="Courier New" w:hint="default"/>
      </w:rPr>
    </w:lvl>
    <w:lvl w:ilvl="2" w:tplc="160890A4">
      <w:start w:val="1"/>
      <w:numFmt w:val="bullet"/>
      <w:lvlText w:val=""/>
      <w:lvlJc w:val="left"/>
      <w:pPr>
        <w:ind w:left="1987" w:hanging="360"/>
      </w:pPr>
      <w:rPr>
        <w:rFonts w:ascii="Wingdings" w:hAnsi="Wingdings" w:hint="default"/>
      </w:rPr>
    </w:lvl>
    <w:lvl w:ilvl="3" w:tplc="46B0359E">
      <w:start w:val="1"/>
      <w:numFmt w:val="bullet"/>
      <w:lvlText w:val=""/>
      <w:lvlJc w:val="left"/>
      <w:pPr>
        <w:ind w:left="2707" w:hanging="360"/>
      </w:pPr>
      <w:rPr>
        <w:rFonts w:ascii="Symbol" w:hAnsi="Symbol" w:hint="default"/>
      </w:rPr>
    </w:lvl>
    <w:lvl w:ilvl="4" w:tplc="742A0784">
      <w:start w:val="1"/>
      <w:numFmt w:val="bullet"/>
      <w:lvlText w:val="o"/>
      <w:lvlJc w:val="left"/>
      <w:pPr>
        <w:ind w:left="3427" w:hanging="360"/>
      </w:pPr>
      <w:rPr>
        <w:rFonts w:ascii="Courier New" w:hAnsi="Courier New" w:hint="default"/>
      </w:rPr>
    </w:lvl>
    <w:lvl w:ilvl="5" w:tplc="96E68D2C">
      <w:start w:val="1"/>
      <w:numFmt w:val="bullet"/>
      <w:lvlText w:val=""/>
      <w:lvlJc w:val="left"/>
      <w:pPr>
        <w:ind w:left="4147" w:hanging="360"/>
      </w:pPr>
      <w:rPr>
        <w:rFonts w:ascii="Wingdings" w:hAnsi="Wingdings" w:hint="default"/>
      </w:rPr>
    </w:lvl>
    <w:lvl w:ilvl="6" w:tplc="76BCA82A">
      <w:start w:val="1"/>
      <w:numFmt w:val="bullet"/>
      <w:lvlText w:val=""/>
      <w:lvlJc w:val="left"/>
      <w:pPr>
        <w:ind w:left="4867" w:hanging="360"/>
      </w:pPr>
      <w:rPr>
        <w:rFonts w:ascii="Symbol" w:hAnsi="Symbol" w:hint="default"/>
      </w:rPr>
    </w:lvl>
    <w:lvl w:ilvl="7" w:tplc="EF58ADF8">
      <w:start w:val="1"/>
      <w:numFmt w:val="bullet"/>
      <w:lvlText w:val="o"/>
      <w:lvlJc w:val="left"/>
      <w:pPr>
        <w:ind w:left="5587" w:hanging="360"/>
      </w:pPr>
      <w:rPr>
        <w:rFonts w:ascii="Courier New" w:hAnsi="Courier New" w:hint="default"/>
      </w:rPr>
    </w:lvl>
    <w:lvl w:ilvl="8" w:tplc="79A88F66">
      <w:start w:val="1"/>
      <w:numFmt w:val="bullet"/>
      <w:lvlText w:val=""/>
      <w:lvlJc w:val="left"/>
      <w:pPr>
        <w:ind w:left="6307" w:hanging="360"/>
      </w:pPr>
      <w:rPr>
        <w:rFonts w:ascii="Wingdings" w:hAnsi="Wingdings" w:hint="default"/>
      </w:rPr>
    </w:lvl>
  </w:abstractNum>
  <w:abstractNum w:abstractNumId="714" w15:restartNumberingAfterBreak="0">
    <w:nsid w:val="63604DE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715" w15:restartNumberingAfterBreak="0">
    <w:nsid w:val="637F384D"/>
    <w:multiLevelType w:val="multilevel"/>
    <w:tmpl w:val="42088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6" w15:restartNumberingAfterBreak="0">
    <w:nsid w:val="638D5353"/>
    <w:multiLevelType w:val="multilevel"/>
    <w:tmpl w:val="9FA2A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7" w15:restartNumberingAfterBreak="0">
    <w:nsid w:val="63A87686"/>
    <w:multiLevelType w:val="multilevel"/>
    <w:tmpl w:val="824E6CFA"/>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18" w15:restartNumberingAfterBreak="0">
    <w:nsid w:val="63C7085C"/>
    <w:multiLevelType w:val="multilevel"/>
    <w:tmpl w:val="BFB414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9" w15:restartNumberingAfterBreak="0">
    <w:nsid w:val="63E28862"/>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720" w15:restartNumberingAfterBreak="0">
    <w:nsid w:val="63E34436"/>
    <w:multiLevelType w:val="hybridMultilevel"/>
    <w:tmpl w:val="B19A013C"/>
    <w:lvl w:ilvl="0" w:tplc="91782B26">
      <w:start w:val="1"/>
      <w:numFmt w:val="bullet"/>
      <w:lvlText w:val=""/>
      <w:lvlJc w:val="left"/>
      <w:pPr>
        <w:ind w:left="720" w:hanging="360"/>
      </w:pPr>
      <w:rPr>
        <w:rFonts w:ascii="Symbol" w:hAnsi="Symbol" w:hint="default"/>
      </w:rPr>
    </w:lvl>
    <w:lvl w:ilvl="1" w:tplc="DEC48568">
      <w:start w:val="1"/>
      <w:numFmt w:val="bullet"/>
      <w:lvlText w:val="o"/>
      <w:lvlJc w:val="left"/>
      <w:pPr>
        <w:ind w:left="1440" w:hanging="360"/>
      </w:pPr>
      <w:rPr>
        <w:rFonts w:ascii="Courier New" w:hAnsi="Courier New" w:hint="default"/>
      </w:rPr>
    </w:lvl>
    <w:lvl w:ilvl="2" w:tplc="7EE2413A">
      <w:start w:val="1"/>
      <w:numFmt w:val="bullet"/>
      <w:lvlText w:val=""/>
      <w:lvlJc w:val="left"/>
      <w:pPr>
        <w:ind w:left="2160" w:hanging="360"/>
      </w:pPr>
      <w:rPr>
        <w:rFonts w:ascii="Wingdings" w:hAnsi="Wingdings" w:hint="default"/>
      </w:rPr>
    </w:lvl>
    <w:lvl w:ilvl="3" w:tplc="C9FA227C">
      <w:start w:val="1"/>
      <w:numFmt w:val="bullet"/>
      <w:lvlText w:val=""/>
      <w:lvlJc w:val="left"/>
      <w:pPr>
        <w:ind w:left="2880" w:hanging="360"/>
      </w:pPr>
      <w:rPr>
        <w:rFonts w:ascii="Symbol" w:hAnsi="Symbol" w:hint="default"/>
      </w:rPr>
    </w:lvl>
    <w:lvl w:ilvl="4" w:tplc="504E1352">
      <w:start w:val="1"/>
      <w:numFmt w:val="bullet"/>
      <w:lvlText w:val="o"/>
      <w:lvlJc w:val="left"/>
      <w:pPr>
        <w:ind w:left="3600" w:hanging="360"/>
      </w:pPr>
      <w:rPr>
        <w:rFonts w:ascii="Courier New" w:hAnsi="Courier New" w:hint="default"/>
      </w:rPr>
    </w:lvl>
    <w:lvl w:ilvl="5" w:tplc="923A51B2">
      <w:start w:val="1"/>
      <w:numFmt w:val="bullet"/>
      <w:lvlText w:val=""/>
      <w:lvlJc w:val="left"/>
      <w:pPr>
        <w:ind w:left="4320" w:hanging="360"/>
      </w:pPr>
      <w:rPr>
        <w:rFonts w:ascii="Wingdings" w:hAnsi="Wingdings" w:hint="default"/>
      </w:rPr>
    </w:lvl>
    <w:lvl w:ilvl="6" w:tplc="A3CC6C8E">
      <w:start w:val="1"/>
      <w:numFmt w:val="bullet"/>
      <w:lvlText w:val=""/>
      <w:lvlJc w:val="left"/>
      <w:pPr>
        <w:ind w:left="5040" w:hanging="360"/>
      </w:pPr>
      <w:rPr>
        <w:rFonts w:ascii="Symbol" w:hAnsi="Symbol" w:hint="default"/>
      </w:rPr>
    </w:lvl>
    <w:lvl w:ilvl="7" w:tplc="FAB21446">
      <w:start w:val="1"/>
      <w:numFmt w:val="bullet"/>
      <w:lvlText w:val="o"/>
      <w:lvlJc w:val="left"/>
      <w:pPr>
        <w:ind w:left="5760" w:hanging="360"/>
      </w:pPr>
      <w:rPr>
        <w:rFonts w:ascii="Courier New" w:hAnsi="Courier New" w:hint="default"/>
      </w:rPr>
    </w:lvl>
    <w:lvl w:ilvl="8" w:tplc="2DCA1F3E">
      <w:start w:val="1"/>
      <w:numFmt w:val="bullet"/>
      <w:lvlText w:val=""/>
      <w:lvlJc w:val="left"/>
      <w:pPr>
        <w:ind w:left="6480" w:hanging="360"/>
      </w:pPr>
      <w:rPr>
        <w:rFonts w:ascii="Wingdings" w:hAnsi="Wingdings" w:hint="default"/>
      </w:rPr>
    </w:lvl>
  </w:abstractNum>
  <w:abstractNum w:abstractNumId="721" w15:restartNumberingAfterBreak="0">
    <w:nsid w:val="63F630F1"/>
    <w:multiLevelType w:val="multilevel"/>
    <w:tmpl w:val="7D78DF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2" w15:restartNumberingAfterBreak="0">
    <w:nsid w:val="640010F1"/>
    <w:multiLevelType w:val="multilevel"/>
    <w:tmpl w:val="2CD8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3" w15:restartNumberingAfterBreak="0">
    <w:nsid w:val="64473CA2"/>
    <w:multiLevelType w:val="hybridMultilevel"/>
    <w:tmpl w:val="070238CA"/>
    <w:lvl w:ilvl="0" w:tplc="0AF4B4D2">
      <w:start w:val="1"/>
      <w:numFmt w:val="bullet"/>
      <w:lvlText w:val=""/>
      <w:lvlJc w:val="left"/>
      <w:pPr>
        <w:ind w:left="720" w:hanging="360"/>
      </w:pPr>
      <w:rPr>
        <w:rFonts w:ascii="Symbol" w:hAnsi="Symbol" w:hint="default"/>
      </w:rPr>
    </w:lvl>
    <w:lvl w:ilvl="1" w:tplc="78C6D57E">
      <w:start w:val="1"/>
      <w:numFmt w:val="bullet"/>
      <w:lvlText w:val="o"/>
      <w:lvlJc w:val="left"/>
      <w:pPr>
        <w:ind w:left="1440" w:hanging="360"/>
      </w:pPr>
      <w:rPr>
        <w:rFonts w:ascii="Courier New" w:hAnsi="Courier New" w:hint="default"/>
      </w:rPr>
    </w:lvl>
    <w:lvl w:ilvl="2" w:tplc="D01202AA">
      <w:start w:val="1"/>
      <w:numFmt w:val="bullet"/>
      <w:lvlText w:val=""/>
      <w:lvlJc w:val="left"/>
      <w:pPr>
        <w:ind w:left="2160" w:hanging="360"/>
      </w:pPr>
      <w:rPr>
        <w:rFonts w:ascii="Wingdings" w:hAnsi="Wingdings" w:hint="default"/>
      </w:rPr>
    </w:lvl>
    <w:lvl w:ilvl="3" w:tplc="7738377C">
      <w:start w:val="1"/>
      <w:numFmt w:val="bullet"/>
      <w:lvlText w:val=""/>
      <w:lvlJc w:val="left"/>
      <w:pPr>
        <w:ind w:left="2880" w:hanging="360"/>
      </w:pPr>
      <w:rPr>
        <w:rFonts w:ascii="Symbol" w:hAnsi="Symbol" w:hint="default"/>
      </w:rPr>
    </w:lvl>
    <w:lvl w:ilvl="4" w:tplc="229E8566">
      <w:start w:val="1"/>
      <w:numFmt w:val="bullet"/>
      <w:lvlText w:val="o"/>
      <w:lvlJc w:val="left"/>
      <w:pPr>
        <w:ind w:left="3600" w:hanging="360"/>
      </w:pPr>
      <w:rPr>
        <w:rFonts w:ascii="Courier New" w:hAnsi="Courier New" w:hint="default"/>
      </w:rPr>
    </w:lvl>
    <w:lvl w:ilvl="5" w:tplc="1C182686">
      <w:start w:val="1"/>
      <w:numFmt w:val="bullet"/>
      <w:lvlText w:val=""/>
      <w:lvlJc w:val="left"/>
      <w:pPr>
        <w:ind w:left="4320" w:hanging="360"/>
      </w:pPr>
      <w:rPr>
        <w:rFonts w:ascii="Wingdings" w:hAnsi="Wingdings" w:hint="default"/>
      </w:rPr>
    </w:lvl>
    <w:lvl w:ilvl="6" w:tplc="454AB5BA">
      <w:start w:val="1"/>
      <w:numFmt w:val="bullet"/>
      <w:lvlText w:val=""/>
      <w:lvlJc w:val="left"/>
      <w:pPr>
        <w:ind w:left="5040" w:hanging="360"/>
      </w:pPr>
      <w:rPr>
        <w:rFonts w:ascii="Symbol" w:hAnsi="Symbol" w:hint="default"/>
      </w:rPr>
    </w:lvl>
    <w:lvl w:ilvl="7" w:tplc="24D2F832">
      <w:start w:val="1"/>
      <w:numFmt w:val="bullet"/>
      <w:lvlText w:val="o"/>
      <w:lvlJc w:val="left"/>
      <w:pPr>
        <w:ind w:left="5760" w:hanging="360"/>
      </w:pPr>
      <w:rPr>
        <w:rFonts w:ascii="Courier New" w:hAnsi="Courier New" w:hint="default"/>
      </w:rPr>
    </w:lvl>
    <w:lvl w:ilvl="8" w:tplc="376208DC">
      <w:start w:val="1"/>
      <w:numFmt w:val="bullet"/>
      <w:lvlText w:val=""/>
      <w:lvlJc w:val="left"/>
      <w:pPr>
        <w:ind w:left="6480" w:hanging="360"/>
      </w:pPr>
      <w:rPr>
        <w:rFonts w:ascii="Wingdings" w:hAnsi="Wingdings" w:hint="default"/>
      </w:rPr>
    </w:lvl>
  </w:abstractNum>
  <w:abstractNum w:abstractNumId="724" w15:restartNumberingAfterBreak="0">
    <w:nsid w:val="6461D429"/>
    <w:multiLevelType w:val="hybridMultilevel"/>
    <w:tmpl w:val="B5D4F952"/>
    <w:lvl w:ilvl="0" w:tplc="62CCC754">
      <w:start w:val="1"/>
      <w:numFmt w:val="bullet"/>
      <w:lvlText w:val=""/>
      <w:lvlJc w:val="left"/>
      <w:pPr>
        <w:ind w:left="720" w:hanging="360"/>
      </w:pPr>
      <w:rPr>
        <w:rFonts w:ascii="Symbol" w:hAnsi="Symbol" w:hint="default"/>
      </w:rPr>
    </w:lvl>
    <w:lvl w:ilvl="1" w:tplc="53F09D0C">
      <w:start w:val="1"/>
      <w:numFmt w:val="bullet"/>
      <w:lvlText w:val="o"/>
      <w:lvlJc w:val="left"/>
      <w:pPr>
        <w:ind w:left="1440" w:hanging="360"/>
      </w:pPr>
      <w:rPr>
        <w:rFonts w:ascii="Courier New" w:hAnsi="Courier New" w:hint="default"/>
      </w:rPr>
    </w:lvl>
    <w:lvl w:ilvl="2" w:tplc="7A06B5B8">
      <w:start w:val="1"/>
      <w:numFmt w:val="bullet"/>
      <w:lvlText w:val=""/>
      <w:lvlJc w:val="left"/>
      <w:pPr>
        <w:ind w:left="2160" w:hanging="360"/>
      </w:pPr>
      <w:rPr>
        <w:rFonts w:ascii="Wingdings" w:hAnsi="Wingdings" w:hint="default"/>
      </w:rPr>
    </w:lvl>
    <w:lvl w:ilvl="3" w:tplc="F12004EA">
      <w:start w:val="1"/>
      <w:numFmt w:val="bullet"/>
      <w:lvlText w:val=""/>
      <w:lvlJc w:val="left"/>
      <w:pPr>
        <w:ind w:left="2880" w:hanging="360"/>
      </w:pPr>
      <w:rPr>
        <w:rFonts w:ascii="Symbol" w:hAnsi="Symbol" w:hint="default"/>
      </w:rPr>
    </w:lvl>
    <w:lvl w:ilvl="4" w:tplc="C3785A9E">
      <w:start w:val="1"/>
      <w:numFmt w:val="bullet"/>
      <w:lvlText w:val="o"/>
      <w:lvlJc w:val="left"/>
      <w:pPr>
        <w:ind w:left="3600" w:hanging="360"/>
      </w:pPr>
      <w:rPr>
        <w:rFonts w:ascii="Courier New" w:hAnsi="Courier New" w:hint="default"/>
      </w:rPr>
    </w:lvl>
    <w:lvl w:ilvl="5" w:tplc="DEC23312">
      <w:start w:val="1"/>
      <w:numFmt w:val="bullet"/>
      <w:lvlText w:val=""/>
      <w:lvlJc w:val="left"/>
      <w:pPr>
        <w:ind w:left="4320" w:hanging="360"/>
      </w:pPr>
      <w:rPr>
        <w:rFonts w:ascii="Wingdings" w:hAnsi="Wingdings" w:hint="default"/>
      </w:rPr>
    </w:lvl>
    <w:lvl w:ilvl="6" w:tplc="AC2A464A">
      <w:start w:val="1"/>
      <w:numFmt w:val="bullet"/>
      <w:lvlText w:val=""/>
      <w:lvlJc w:val="left"/>
      <w:pPr>
        <w:ind w:left="5040" w:hanging="360"/>
      </w:pPr>
      <w:rPr>
        <w:rFonts w:ascii="Symbol" w:hAnsi="Symbol" w:hint="default"/>
      </w:rPr>
    </w:lvl>
    <w:lvl w:ilvl="7" w:tplc="EFA42D70">
      <w:start w:val="1"/>
      <w:numFmt w:val="bullet"/>
      <w:lvlText w:val="o"/>
      <w:lvlJc w:val="left"/>
      <w:pPr>
        <w:ind w:left="5760" w:hanging="360"/>
      </w:pPr>
      <w:rPr>
        <w:rFonts w:ascii="Courier New" w:hAnsi="Courier New" w:hint="default"/>
      </w:rPr>
    </w:lvl>
    <w:lvl w:ilvl="8" w:tplc="9CAC1970">
      <w:start w:val="1"/>
      <w:numFmt w:val="bullet"/>
      <w:lvlText w:val=""/>
      <w:lvlJc w:val="left"/>
      <w:pPr>
        <w:ind w:left="6480" w:hanging="360"/>
      </w:pPr>
      <w:rPr>
        <w:rFonts w:ascii="Wingdings" w:hAnsi="Wingdings" w:hint="default"/>
      </w:rPr>
    </w:lvl>
  </w:abstractNum>
  <w:abstractNum w:abstractNumId="725" w15:restartNumberingAfterBreak="0">
    <w:nsid w:val="6477CDD1"/>
    <w:multiLevelType w:val="multilevel"/>
    <w:tmpl w:val="BEEC0F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26" w15:restartNumberingAfterBreak="0">
    <w:nsid w:val="64892297"/>
    <w:multiLevelType w:val="multilevel"/>
    <w:tmpl w:val="7E76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7" w15:restartNumberingAfterBreak="0">
    <w:nsid w:val="64C66B33"/>
    <w:multiLevelType w:val="multilevel"/>
    <w:tmpl w:val="AFB8AD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28" w15:restartNumberingAfterBreak="0">
    <w:nsid w:val="64D8D415"/>
    <w:multiLevelType w:val="hybridMultilevel"/>
    <w:tmpl w:val="D68E930E"/>
    <w:lvl w:ilvl="0" w:tplc="1E748E80">
      <w:start w:val="1"/>
      <w:numFmt w:val="bullet"/>
      <w:lvlText w:val=""/>
      <w:lvlJc w:val="left"/>
      <w:pPr>
        <w:ind w:left="720" w:hanging="360"/>
      </w:pPr>
      <w:rPr>
        <w:rFonts w:ascii="Symbol" w:hAnsi="Symbol" w:hint="default"/>
      </w:rPr>
    </w:lvl>
    <w:lvl w:ilvl="1" w:tplc="63345EAC">
      <w:start w:val="1"/>
      <w:numFmt w:val="bullet"/>
      <w:lvlText w:val="o"/>
      <w:lvlJc w:val="left"/>
      <w:pPr>
        <w:ind w:left="1440" w:hanging="360"/>
      </w:pPr>
      <w:rPr>
        <w:rFonts w:ascii="Courier New" w:hAnsi="Courier New" w:hint="default"/>
      </w:rPr>
    </w:lvl>
    <w:lvl w:ilvl="2" w:tplc="6B981CB0">
      <w:start w:val="1"/>
      <w:numFmt w:val="bullet"/>
      <w:lvlText w:val=""/>
      <w:lvlJc w:val="left"/>
      <w:pPr>
        <w:ind w:left="2160" w:hanging="360"/>
      </w:pPr>
      <w:rPr>
        <w:rFonts w:ascii="Wingdings" w:hAnsi="Wingdings" w:hint="default"/>
      </w:rPr>
    </w:lvl>
    <w:lvl w:ilvl="3" w:tplc="E784691E">
      <w:start w:val="1"/>
      <w:numFmt w:val="bullet"/>
      <w:lvlText w:val=""/>
      <w:lvlJc w:val="left"/>
      <w:pPr>
        <w:ind w:left="2880" w:hanging="360"/>
      </w:pPr>
      <w:rPr>
        <w:rFonts w:ascii="Symbol" w:hAnsi="Symbol" w:hint="default"/>
      </w:rPr>
    </w:lvl>
    <w:lvl w:ilvl="4" w:tplc="0A86F6E0">
      <w:start w:val="1"/>
      <w:numFmt w:val="bullet"/>
      <w:lvlText w:val="o"/>
      <w:lvlJc w:val="left"/>
      <w:pPr>
        <w:ind w:left="3600" w:hanging="360"/>
      </w:pPr>
      <w:rPr>
        <w:rFonts w:ascii="Courier New" w:hAnsi="Courier New" w:hint="default"/>
      </w:rPr>
    </w:lvl>
    <w:lvl w:ilvl="5" w:tplc="83BE9CE8">
      <w:start w:val="1"/>
      <w:numFmt w:val="bullet"/>
      <w:lvlText w:val=""/>
      <w:lvlJc w:val="left"/>
      <w:pPr>
        <w:ind w:left="4320" w:hanging="360"/>
      </w:pPr>
      <w:rPr>
        <w:rFonts w:ascii="Wingdings" w:hAnsi="Wingdings" w:hint="default"/>
      </w:rPr>
    </w:lvl>
    <w:lvl w:ilvl="6" w:tplc="1D6647CA">
      <w:start w:val="1"/>
      <w:numFmt w:val="bullet"/>
      <w:lvlText w:val=""/>
      <w:lvlJc w:val="left"/>
      <w:pPr>
        <w:ind w:left="5040" w:hanging="360"/>
      </w:pPr>
      <w:rPr>
        <w:rFonts w:ascii="Symbol" w:hAnsi="Symbol" w:hint="default"/>
      </w:rPr>
    </w:lvl>
    <w:lvl w:ilvl="7" w:tplc="A5E4B0A6">
      <w:start w:val="1"/>
      <w:numFmt w:val="bullet"/>
      <w:lvlText w:val="o"/>
      <w:lvlJc w:val="left"/>
      <w:pPr>
        <w:ind w:left="5760" w:hanging="360"/>
      </w:pPr>
      <w:rPr>
        <w:rFonts w:ascii="Courier New" w:hAnsi="Courier New" w:hint="default"/>
      </w:rPr>
    </w:lvl>
    <w:lvl w:ilvl="8" w:tplc="66789E68">
      <w:start w:val="1"/>
      <w:numFmt w:val="bullet"/>
      <w:lvlText w:val=""/>
      <w:lvlJc w:val="left"/>
      <w:pPr>
        <w:ind w:left="6480" w:hanging="360"/>
      </w:pPr>
      <w:rPr>
        <w:rFonts w:ascii="Wingdings" w:hAnsi="Wingdings" w:hint="default"/>
      </w:rPr>
    </w:lvl>
  </w:abstractNum>
  <w:abstractNum w:abstractNumId="729" w15:restartNumberingAfterBreak="0">
    <w:nsid w:val="651A5AA9"/>
    <w:multiLevelType w:val="multilevel"/>
    <w:tmpl w:val="84DEA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0" w15:restartNumberingAfterBreak="0">
    <w:nsid w:val="651D5390"/>
    <w:multiLevelType w:val="multilevel"/>
    <w:tmpl w:val="EF02B02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31"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2" w15:restartNumberingAfterBreak="0">
    <w:nsid w:val="655374DE"/>
    <w:multiLevelType w:val="multilevel"/>
    <w:tmpl w:val="5ACCC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3" w15:restartNumberingAfterBreak="0">
    <w:nsid w:val="65C32A8B"/>
    <w:multiLevelType w:val="multilevel"/>
    <w:tmpl w:val="C47443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34" w15:restartNumberingAfterBreak="0">
    <w:nsid w:val="65CC11C0"/>
    <w:multiLevelType w:val="multilevel"/>
    <w:tmpl w:val="4BC4F5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5" w15:restartNumberingAfterBreak="0">
    <w:nsid w:val="65D20674"/>
    <w:multiLevelType w:val="multilevel"/>
    <w:tmpl w:val="98CC5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6" w15:restartNumberingAfterBreak="0">
    <w:nsid w:val="65E24D64"/>
    <w:multiLevelType w:val="multilevel"/>
    <w:tmpl w:val="7C1A8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7" w15:restartNumberingAfterBreak="0">
    <w:nsid w:val="65EF45A5"/>
    <w:multiLevelType w:val="multilevel"/>
    <w:tmpl w:val="FDE4B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8" w15:restartNumberingAfterBreak="0">
    <w:nsid w:val="65EF6050"/>
    <w:multiLevelType w:val="multilevel"/>
    <w:tmpl w:val="598CD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9" w15:restartNumberingAfterBreak="0">
    <w:nsid w:val="6628F773"/>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40" w15:restartNumberingAfterBreak="0">
    <w:nsid w:val="665506BD"/>
    <w:multiLevelType w:val="multilevel"/>
    <w:tmpl w:val="7458DB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41" w15:restartNumberingAfterBreak="0">
    <w:nsid w:val="667B645D"/>
    <w:multiLevelType w:val="hybridMultilevel"/>
    <w:tmpl w:val="13CCFB7E"/>
    <w:lvl w:ilvl="0" w:tplc="BE007A9A">
      <w:start w:val="1"/>
      <w:numFmt w:val="bullet"/>
      <w:lvlText w:val=""/>
      <w:lvlJc w:val="left"/>
      <w:pPr>
        <w:ind w:left="547" w:hanging="360"/>
      </w:pPr>
      <w:rPr>
        <w:rFonts w:ascii="Symbol" w:hAnsi="Symbol" w:hint="default"/>
      </w:rPr>
    </w:lvl>
    <w:lvl w:ilvl="1" w:tplc="041027BA">
      <w:start w:val="1"/>
      <w:numFmt w:val="bullet"/>
      <w:lvlText w:val="o"/>
      <w:lvlJc w:val="left"/>
      <w:pPr>
        <w:ind w:left="1267" w:hanging="360"/>
      </w:pPr>
      <w:rPr>
        <w:rFonts w:ascii="Courier New" w:hAnsi="Courier New" w:hint="default"/>
      </w:rPr>
    </w:lvl>
    <w:lvl w:ilvl="2" w:tplc="7E14536A">
      <w:start w:val="1"/>
      <w:numFmt w:val="bullet"/>
      <w:lvlText w:val=""/>
      <w:lvlJc w:val="left"/>
      <w:pPr>
        <w:ind w:left="1987" w:hanging="360"/>
      </w:pPr>
      <w:rPr>
        <w:rFonts w:ascii="Wingdings" w:hAnsi="Wingdings" w:hint="default"/>
      </w:rPr>
    </w:lvl>
    <w:lvl w:ilvl="3" w:tplc="7AF8204E">
      <w:start w:val="1"/>
      <w:numFmt w:val="bullet"/>
      <w:lvlText w:val=""/>
      <w:lvlJc w:val="left"/>
      <w:pPr>
        <w:ind w:left="2707" w:hanging="360"/>
      </w:pPr>
      <w:rPr>
        <w:rFonts w:ascii="Symbol" w:hAnsi="Symbol" w:hint="default"/>
      </w:rPr>
    </w:lvl>
    <w:lvl w:ilvl="4" w:tplc="9B6AA7E4">
      <w:start w:val="1"/>
      <w:numFmt w:val="bullet"/>
      <w:lvlText w:val="o"/>
      <w:lvlJc w:val="left"/>
      <w:pPr>
        <w:ind w:left="3427" w:hanging="360"/>
      </w:pPr>
      <w:rPr>
        <w:rFonts w:ascii="Courier New" w:hAnsi="Courier New" w:hint="default"/>
      </w:rPr>
    </w:lvl>
    <w:lvl w:ilvl="5" w:tplc="4E9E9940">
      <w:start w:val="1"/>
      <w:numFmt w:val="bullet"/>
      <w:lvlText w:val=""/>
      <w:lvlJc w:val="left"/>
      <w:pPr>
        <w:ind w:left="4147" w:hanging="360"/>
      </w:pPr>
      <w:rPr>
        <w:rFonts w:ascii="Wingdings" w:hAnsi="Wingdings" w:hint="default"/>
      </w:rPr>
    </w:lvl>
    <w:lvl w:ilvl="6" w:tplc="B7B8A548">
      <w:start w:val="1"/>
      <w:numFmt w:val="bullet"/>
      <w:lvlText w:val=""/>
      <w:lvlJc w:val="left"/>
      <w:pPr>
        <w:ind w:left="4867" w:hanging="360"/>
      </w:pPr>
      <w:rPr>
        <w:rFonts w:ascii="Symbol" w:hAnsi="Symbol" w:hint="default"/>
      </w:rPr>
    </w:lvl>
    <w:lvl w:ilvl="7" w:tplc="3BDA941E">
      <w:start w:val="1"/>
      <w:numFmt w:val="bullet"/>
      <w:lvlText w:val="o"/>
      <w:lvlJc w:val="left"/>
      <w:pPr>
        <w:ind w:left="5587" w:hanging="360"/>
      </w:pPr>
      <w:rPr>
        <w:rFonts w:ascii="Courier New" w:hAnsi="Courier New" w:hint="default"/>
      </w:rPr>
    </w:lvl>
    <w:lvl w:ilvl="8" w:tplc="EEAA970E">
      <w:start w:val="1"/>
      <w:numFmt w:val="bullet"/>
      <w:lvlText w:val=""/>
      <w:lvlJc w:val="left"/>
      <w:pPr>
        <w:ind w:left="6307" w:hanging="360"/>
      </w:pPr>
      <w:rPr>
        <w:rFonts w:ascii="Wingdings" w:hAnsi="Wingdings" w:hint="default"/>
      </w:rPr>
    </w:lvl>
  </w:abstractNum>
  <w:abstractNum w:abstractNumId="742" w15:restartNumberingAfterBreak="0">
    <w:nsid w:val="667E3E34"/>
    <w:multiLevelType w:val="multilevel"/>
    <w:tmpl w:val="30020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3" w15:restartNumberingAfterBreak="0">
    <w:nsid w:val="66AF01CA"/>
    <w:multiLevelType w:val="multilevel"/>
    <w:tmpl w:val="C4127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4" w15:restartNumberingAfterBreak="0">
    <w:nsid w:val="67060D5D"/>
    <w:multiLevelType w:val="multilevel"/>
    <w:tmpl w:val="A5E614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5" w15:restartNumberingAfterBreak="0">
    <w:nsid w:val="677E1E6C"/>
    <w:multiLevelType w:val="multilevel"/>
    <w:tmpl w:val="9FD08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6" w15:restartNumberingAfterBreak="0">
    <w:nsid w:val="67916D09"/>
    <w:multiLevelType w:val="multilevel"/>
    <w:tmpl w:val="8F8465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7" w15:restartNumberingAfterBreak="0">
    <w:nsid w:val="67AB4888"/>
    <w:multiLevelType w:val="hybridMultilevel"/>
    <w:tmpl w:val="87B81E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8" w15:restartNumberingAfterBreak="0">
    <w:nsid w:val="67CF3E9E"/>
    <w:multiLevelType w:val="multilevel"/>
    <w:tmpl w:val="EF4E3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9" w15:restartNumberingAfterBreak="0">
    <w:nsid w:val="681A0023"/>
    <w:multiLevelType w:val="multilevel"/>
    <w:tmpl w:val="85768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0" w15:restartNumberingAfterBreak="0">
    <w:nsid w:val="681B107E"/>
    <w:multiLevelType w:val="multilevel"/>
    <w:tmpl w:val="AB66D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1" w15:restartNumberingAfterBreak="0">
    <w:nsid w:val="6825194C"/>
    <w:multiLevelType w:val="multilevel"/>
    <w:tmpl w:val="3DD2F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2" w15:restartNumberingAfterBreak="0">
    <w:nsid w:val="684979C1"/>
    <w:multiLevelType w:val="multilevel"/>
    <w:tmpl w:val="73867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3" w15:restartNumberingAfterBreak="0">
    <w:nsid w:val="684A23A0"/>
    <w:multiLevelType w:val="multilevel"/>
    <w:tmpl w:val="D090DF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54" w15:restartNumberingAfterBreak="0">
    <w:nsid w:val="685D408A"/>
    <w:multiLevelType w:val="hybridMultilevel"/>
    <w:tmpl w:val="FFFFFFFF"/>
    <w:lvl w:ilvl="0" w:tplc="8E0841A0">
      <w:start w:val="1"/>
      <w:numFmt w:val="bullet"/>
      <w:lvlText w:val=""/>
      <w:lvlJc w:val="left"/>
      <w:pPr>
        <w:ind w:left="720" w:hanging="360"/>
      </w:pPr>
      <w:rPr>
        <w:rFonts w:ascii="Symbol" w:hAnsi="Symbol" w:hint="default"/>
      </w:rPr>
    </w:lvl>
    <w:lvl w:ilvl="1" w:tplc="2932BE3A">
      <w:start w:val="1"/>
      <w:numFmt w:val="bullet"/>
      <w:lvlText w:val="o"/>
      <w:lvlJc w:val="left"/>
      <w:pPr>
        <w:ind w:left="1267" w:hanging="360"/>
      </w:pPr>
      <w:rPr>
        <w:rFonts w:ascii="Courier New" w:hAnsi="Courier New" w:hint="default"/>
      </w:rPr>
    </w:lvl>
    <w:lvl w:ilvl="2" w:tplc="5F70B078">
      <w:start w:val="1"/>
      <w:numFmt w:val="bullet"/>
      <w:lvlText w:val=""/>
      <w:lvlJc w:val="left"/>
      <w:pPr>
        <w:ind w:left="1987" w:hanging="360"/>
      </w:pPr>
      <w:rPr>
        <w:rFonts w:ascii="Wingdings" w:hAnsi="Wingdings" w:hint="default"/>
      </w:rPr>
    </w:lvl>
    <w:lvl w:ilvl="3" w:tplc="70BA1362">
      <w:start w:val="1"/>
      <w:numFmt w:val="bullet"/>
      <w:lvlText w:val=""/>
      <w:lvlJc w:val="left"/>
      <w:pPr>
        <w:ind w:left="2707" w:hanging="360"/>
      </w:pPr>
      <w:rPr>
        <w:rFonts w:ascii="Symbol" w:hAnsi="Symbol" w:hint="default"/>
      </w:rPr>
    </w:lvl>
    <w:lvl w:ilvl="4" w:tplc="E55463E8">
      <w:start w:val="1"/>
      <w:numFmt w:val="bullet"/>
      <w:lvlText w:val="o"/>
      <w:lvlJc w:val="left"/>
      <w:pPr>
        <w:ind w:left="3427" w:hanging="360"/>
      </w:pPr>
      <w:rPr>
        <w:rFonts w:ascii="Courier New" w:hAnsi="Courier New" w:hint="default"/>
      </w:rPr>
    </w:lvl>
    <w:lvl w:ilvl="5" w:tplc="58E8583A">
      <w:start w:val="1"/>
      <w:numFmt w:val="bullet"/>
      <w:lvlText w:val=""/>
      <w:lvlJc w:val="left"/>
      <w:pPr>
        <w:ind w:left="4147" w:hanging="360"/>
      </w:pPr>
      <w:rPr>
        <w:rFonts w:ascii="Wingdings" w:hAnsi="Wingdings" w:hint="default"/>
      </w:rPr>
    </w:lvl>
    <w:lvl w:ilvl="6" w:tplc="37FE9ABA">
      <w:start w:val="1"/>
      <w:numFmt w:val="bullet"/>
      <w:lvlText w:val=""/>
      <w:lvlJc w:val="left"/>
      <w:pPr>
        <w:ind w:left="4867" w:hanging="360"/>
      </w:pPr>
      <w:rPr>
        <w:rFonts w:ascii="Symbol" w:hAnsi="Symbol" w:hint="default"/>
      </w:rPr>
    </w:lvl>
    <w:lvl w:ilvl="7" w:tplc="7BAAB89E">
      <w:start w:val="1"/>
      <w:numFmt w:val="bullet"/>
      <w:lvlText w:val="o"/>
      <w:lvlJc w:val="left"/>
      <w:pPr>
        <w:ind w:left="5587" w:hanging="360"/>
      </w:pPr>
      <w:rPr>
        <w:rFonts w:ascii="Courier New" w:hAnsi="Courier New" w:hint="default"/>
      </w:rPr>
    </w:lvl>
    <w:lvl w:ilvl="8" w:tplc="1AB86BB4">
      <w:start w:val="1"/>
      <w:numFmt w:val="bullet"/>
      <w:lvlText w:val=""/>
      <w:lvlJc w:val="left"/>
      <w:pPr>
        <w:ind w:left="6307" w:hanging="360"/>
      </w:pPr>
      <w:rPr>
        <w:rFonts w:ascii="Wingdings" w:hAnsi="Wingdings" w:hint="default"/>
      </w:rPr>
    </w:lvl>
  </w:abstractNum>
  <w:abstractNum w:abstractNumId="755" w15:restartNumberingAfterBreak="0">
    <w:nsid w:val="687F2547"/>
    <w:multiLevelType w:val="multilevel"/>
    <w:tmpl w:val="BD1EC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6" w15:restartNumberingAfterBreak="0">
    <w:nsid w:val="68A71EAA"/>
    <w:multiLevelType w:val="multilevel"/>
    <w:tmpl w:val="469A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7" w15:restartNumberingAfterBreak="0">
    <w:nsid w:val="68B7DB97"/>
    <w:multiLevelType w:val="hybridMultilevel"/>
    <w:tmpl w:val="FFFFFFFF"/>
    <w:lvl w:ilvl="0" w:tplc="2272D7A4">
      <w:start w:val="1"/>
      <w:numFmt w:val="bullet"/>
      <w:lvlText w:val=""/>
      <w:lvlJc w:val="left"/>
      <w:pPr>
        <w:ind w:left="547" w:hanging="360"/>
      </w:pPr>
      <w:rPr>
        <w:rFonts w:ascii="Symbol" w:hAnsi="Symbol" w:hint="default"/>
      </w:rPr>
    </w:lvl>
    <w:lvl w:ilvl="1" w:tplc="43D23DE6">
      <w:start w:val="1"/>
      <w:numFmt w:val="bullet"/>
      <w:lvlText w:val="o"/>
      <w:lvlJc w:val="left"/>
      <w:pPr>
        <w:ind w:left="1267" w:hanging="360"/>
      </w:pPr>
      <w:rPr>
        <w:rFonts w:ascii="Courier New" w:hAnsi="Courier New" w:hint="default"/>
      </w:rPr>
    </w:lvl>
    <w:lvl w:ilvl="2" w:tplc="26E0C9F4">
      <w:start w:val="1"/>
      <w:numFmt w:val="bullet"/>
      <w:lvlText w:val=""/>
      <w:lvlJc w:val="left"/>
      <w:pPr>
        <w:ind w:left="1987" w:hanging="360"/>
      </w:pPr>
      <w:rPr>
        <w:rFonts w:ascii="Wingdings" w:hAnsi="Wingdings" w:hint="default"/>
      </w:rPr>
    </w:lvl>
    <w:lvl w:ilvl="3" w:tplc="41AE4250">
      <w:start w:val="1"/>
      <w:numFmt w:val="bullet"/>
      <w:lvlText w:val=""/>
      <w:lvlJc w:val="left"/>
      <w:pPr>
        <w:ind w:left="2707" w:hanging="360"/>
      </w:pPr>
      <w:rPr>
        <w:rFonts w:ascii="Symbol" w:hAnsi="Symbol" w:hint="default"/>
      </w:rPr>
    </w:lvl>
    <w:lvl w:ilvl="4" w:tplc="43A436A6">
      <w:start w:val="1"/>
      <w:numFmt w:val="bullet"/>
      <w:lvlText w:val="o"/>
      <w:lvlJc w:val="left"/>
      <w:pPr>
        <w:ind w:left="3427" w:hanging="360"/>
      </w:pPr>
      <w:rPr>
        <w:rFonts w:ascii="Courier New" w:hAnsi="Courier New" w:hint="default"/>
      </w:rPr>
    </w:lvl>
    <w:lvl w:ilvl="5" w:tplc="DEFC0B86">
      <w:start w:val="1"/>
      <w:numFmt w:val="bullet"/>
      <w:lvlText w:val=""/>
      <w:lvlJc w:val="left"/>
      <w:pPr>
        <w:ind w:left="4147" w:hanging="360"/>
      </w:pPr>
      <w:rPr>
        <w:rFonts w:ascii="Wingdings" w:hAnsi="Wingdings" w:hint="default"/>
      </w:rPr>
    </w:lvl>
    <w:lvl w:ilvl="6" w:tplc="6770D562">
      <w:start w:val="1"/>
      <w:numFmt w:val="bullet"/>
      <w:lvlText w:val=""/>
      <w:lvlJc w:val="left"/>
      <w:pPr>
        <w:ind w:left="4867" w:hanging="360"/>
      </w:pPr>
      <w:rPr>
        <w:rFonts w:ascii="Symbol" w:hAnsi="Symbol" w:hint="default"/>
      </w:rPr>
    </w:lvl>
    <w:lvl w:ilvl="7" w:tplc="D1E01080">
      <w:start w:val="1"/>
      <w:numFmt w:val="bullet"/>
      <w:lvlText w:val="o"/>
      <w:lvlJc w:val="left"/>
      <w:pPr>
        <w:ind w:left="5587" w:hanging="360"/>
      </w:pPr>
      <w:rPr>
        <w:rFonts w:ascii="Courier New" w:hAnsi="Courier New" w:hint="default"/>
      </w:rPr>
    </w:lvl>
    <w:lvl w:ilvl="8" w:tplc="7A92D5B0">
      <w:start w:val="1"/>
      <w:numFmt w:val="bullet"/>
      <w:lvlText w:val=""/>
      <w:lvlJc w:val="left"/>
      <w:pPr>
        <w:ind w:left="6307" w:hanging="360"/>
      </w:pPr>
      <w:rPr>
        <w:rFonts w:ascii="Wingdings" w:hAnsi="Wingdings" w:hint="default"/>
      </w:rPr>
    </w:lvl>
  </w:abstractNum>
  <w:abstractNum w:abstractNumId="758" w15:restartNumberingAfterBreak="0">
    <w:nsid w:val="68CC2A2B"/>
    <w:multiLevelType w:val="multilevel"/>
    <w:tmpl w:val="E8629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9" w15:restartNumberingAfterBreak="0">
    <w:nsid w:val="68E437ED"/>
    <w:multiLevelType w:val="multilevel"/>
    <w:tmpl w:val="96FA79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0" w15:restartNumberingAfterBreak="0">
    <w:nsid w:val="69035D93"/>
    <w:multiLevelType w:val="multilevel"/>
    <w:tmpl w:val="236A0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1" w15:restartNumberingAfterBreak="0">
    <w:nsid w:val="691A56C8"/>
    <w:multiLevelType w:val="multilevel"/>
    <w:tmpl w:val="ED047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2" w15:restartNumberingAfterBreak="0">
    <w:nsid w:val="69454B19"/>
    <w:multiLevelType w:val="multilevel"/>
    <w:tmpl w:val="9E966B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3" w15:restartNumberingAfterBreak="0">
    <w:nsid w:val="695E0224"/>
    <w:multiLevelType w:val="multilevel"/>
    <w:tmpl w:val="82ACA5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4" w15:restartNumberingAfterBreak="0">
    <w:nsid w:val="69AD5D9B"/>
    <w:multiLevelType w:val="hybridMultilevel"/>
    <w:tmpl w:val="B83EC3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5" w15:restartNumberingAfterBreak="0">
    <w:nsid w:val="69CA2D3E"/>
    <w:multiLevelType w:val="hybridMultilevel"/>
    <w:tmpl w:val="E30A8730"/>
    <w:lvl w:ilvl="0" w:tplc="B30C5354">
      <w:start w:val="1"/>
      <w:numFmt w:val="bullet"/>
      <w:lvlText w:val="·"/>
      <w:lvlJc w:val="left"/>
      <w:pPr>
        <w:ind w:left="720" w:hanging="360"/>
      </w:pPr>
      <w:rPr>
        <w:rFonts w:ascii="Symbol" w:hAnsi="Symbol" w:hint="default"/>
      </w:rPr>
    </w:lvl>
    <w:lvl w:ilvl="1" w:tplc="39421302">
      <w:start w:val="1"/>
      <w:numFmt w:val="bullet"/>
      <w:lvlText w:val="o"/>
      <w:lvlJc w:val="left"/>
      <w:pPr>
        <w:ind w:left="1440" w:hanging="360"/>
      </w:pPr>
      <w:rPr>
        <w:rFonts w:ascii="Courier New" w:hAnsi="Courier New" w:hint="default"/>
      </w:rPr>
    </w:lvl>
    <w:lvl w:ilvl="2" w:tplc="A8266752">
      <w:start w:val="1"/>
      <w:numFmt w:val="bullet"/>
      <w:lvlText w:val=""/>
      <w:lvlJc w:val="left"/>
      <w:pPr>
        <w:ind w:left="2160" w:hanging="360"/>
      </w:pPr>
      <w:rPr>
        <w:rFonts w:ascii="Wingdings" w:hAnsi="Wingdings" w:hint="default"/>
      </w:rPr>
    </w:lvl>
    <w:lvl w:ilvl="3" w:tplc="1DAC994E">
      <w:start w:val="1"/>
      <w:numFmt w:val="bullet"/>
      <w:lvlText w:val=""/>
      <w:lvlJc w:val="left"/>
      <w:pPr>
        <w:ind w:left="2880" w:hanging="360"/>
      </w:pPr>
      <w:rPr>
        <w:rFonts w:ascii="Symbol" w:hAnsi="Symbol" w:hint="default"/>
      </w:rPr>
    </w:lvl>
    <w:lvl w:ilvl="4" w:tplc="C44AC8D8">
      <w:start w:val="1"/>
      <w:numFmt w:val="bullet"/>
      <w:lvlText w:val="o"/>
      <w:lvlJc w:val="left"/>
      <w:pPr>
        <w:ind w:left="3600" w:hanging="360"/>
      </w:pPr>
      <w:rPr>
        <w:rFonts w:ascii="Courier New" w:hAnsi="Courier New" w:hint="default"/>
      </w:rPr>
    </w:lvl>
    <w:lvl w:ilvl="5" w:tplc="B68A6522">
      <w:start w:val="1"/>
      <w:numFmt w:val="bullet"/>
      <w:lvlText w:val=""/>
      <w:lvlJc w:val="left"/>
      <w:pPr>
        <w:ind w:left="4320" w:hanging="360"/>
      </w:pPr>
      <w:rPr>
        <w:rFonts w:ascii="Wingdings" w:hAnsi="Wingdings" w:hint="default"/>
      </w:rPr>
    </w:lvl>
    <w:lvl w:ilvl="6" w:tplc="1E143BE8">
      <w:start w:val="1"/>
      <w:numFmt w:val="bullet"/>
      <w:lvlText w:val=""/>
      <w:lvlJc w:val="left"/>
      <w:pPr>
        <w:ind w:left="5040" w:hanging="360"/>
      </w:pPr>
      <w:rPr>
        <w:rFonts w:ascii="Symbol" w:hAnsi="Symbol" w:hint="default"/>
      </w:rPr>
    </w:lvl>
    <w:lvl w:ilvl="7" w:tplc="B4800440">
      <w:start w:val="1"/>
      <w:numFmt w:val="bullet"/>
      <w:lvlText w:val="o"/>
      <w:lvlJc w:val="left"/>
      <w:pPr>
        <w:ind w:left="5760" w:hanging="360"/>
      </w:pPr>
      <w:rPr>
        <w:rFonts w:ascii="Courier New" w:hAnsi="Courier New" w:hint="default"/>
      </w:rPr>
    </w:lvl>
    <w:lvl w:ilvl="8" w:tplc="6D8ACB72">
      <w:start w:val="1"/>
      <w:numFmt w:val="bullet"/>
      <w:lvlText w:val=""/>
      <w:lvlJc w:val="left"/>
      <w:pPr>
        <w:ind w:left="6480" w:hanging="360"/>
      </w:pPr>
      <w:rPr>
        <w:rFonts w:ascii="Wingdings" w:hAnsi="Wingdings" w:hint="default"/>
      </w:rPr>
    </w:lvl>
  </w:abstractNum>
  <w:abstractNum w:abstractNumId="766" w15:restartNumberingAfterBreak="0">
    <w:nsid w:val="69D71E17"/>
    <w:multiLevelType w:val="multilevel"/>
    <w:tmpl w:val="076E75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7" w15:restartNumberingAfterBreak="0">
    <w:nsid w:val="69FE7ED3"/>
    <w:multiLevelType w:val="multilevel"/>
    <w:tmpl w:val="96DAA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8" w15:restartNumberingAfterBreak="0">
    <w:nsid w:val="6A4FB9B7"/>
    <w:multiLevelType w:val="hybridMultilevel"/>
    <w:tmpl w:val="EBD29C74"/>
    <w:lvl w:ilvl="0" w:tplc="816EF396">
      <w:start w:val="1"/>
      <w:numFmt w:val="bullet"/>
      <w:lvlText w:val=""/>
      <w:lvlJc w:val="left"/>
      <w:pPr>
        <w:ind w:left="720" w:hanging="360"/>
      </w:pPr>
      <w:rPr>
        <w:rFonts w:ascii="Symbol" w:hAnsi="Symbol" w:hint="default"/>
      </w:rPr>
    </w:lvl>
    <w:lvl w:ilvl="1" w:tplc="5FA22784">
      <w:start w:val="1"/>
      <w:numFmt w:val="bullet"/>
      <w:lvlText w:val="o"/>
      <w:lvlJc w:val="left"/>
      <w:pPr>
        <w:ind w:left="1440" w:hanging="360"/>
      </w:pPr>
      <w:rPr>
        <w:rFonts w:ascii="Courier New" w:hAnsi="Courier New" w:hint="default"/>
      </w:rPr>
    </w:lvl>
    <w:lvl w:ilvl="2" w:tplc="473E84A8">
      <w:start w:val="1"/>
      <w:numFmt w:val="bullet"/>
      <w:lvlText w:val=""/>
      <w:lvlJc w:val="left"/>
      <w:pPr>
        <w:ind w:left="2160" w:hanging="360"/>
      </w:pPr>
      <w:rPr>
        <w:rFonts w:ascii="Wingdings" w:hAnsi="Wingdings" w:hint="default"/>
      </w:rPr>
    </w:lvl>
    <w:lvl w:ilvl="3" w:tplc="A0B25E38">
      <w:start w:val="1"/>
      <w:numFmt w:val="bullet"/>
      <w:lvlText w:val=""/>
      <w:lvlJc w:val="left"/>
      <w:pPr>
        <w:ind w:left="2880" w:hanging="360"/>
      </w:pPr>
      <w:rPr>
        <w:rFonts w:ascii="Symbol" w:hAnsi="Symbol" w:hint="default"/>
      </w:rPr>
    </w:lvl>
    <w:lvl w:ilvl="4" w:tplc="1D2A45E2">
      <w:start w:val="1"/>
      <w:numFmt w:val="bullet"/>
      <w:lvlText w:val="o"/>
      <w:lvlJc w:val="left"/>
      <w:pPr>
        <w:ind w:left="3600" w:hanging="360"/>
      </w:pPr>
      <w:rPr>
        <w:rFonts w:ascii="Courier New" w:hAnsi="Courier New" w:hint="default"/>
      </w:rPr>
    </w:lvl>
    <w:lvl w:ilvl="5" w:tplc="4E5A4862">
      <w:start w:val="1"/>
      <w:numFmt w:val="bullet"/>
      <w:lvlText w:val=""/>
      <w:lvlJc w:val="left"/>
      <w:pPr>
        <w:ind w:left="4320" w:hanging="360"/>
      </w:pPr>
      <w:rPr>
        <w:rFonts w:ascii="Wingdings" w:hAnsi="Wingdings" w:hint="default"/>
      </w:rPr>
    </w:lvl>
    <w:lvl w:ilvl="6" w:tplc="334C7842">
      <w:start w:val="1"/>
      <w:numFmt w:val="bullet"/>
      <w:lvlText w:val=""/>
      <w:lvlJc w:val="left"/>
      <w:pPr>
        <w:ind w:left="5040" w:hanging="360"/>
      </w:pPr>
      <w:rPr>
        <w:rFonts w:ascii="Symbol" w:hAnsi="Symbol" w:hint="default"/>
      </w:rPr>
    </w:lvl>
    <w:lvl w:ilvl="7" w:tplc="01044624">
      <w:start w:val="1"/>
      <w:numFmt w:val="bullet"/>
      <w:lvlText w:val="o"/>
      <w:lvlJc w:val="left"/>
      <w:pPr>
        <w:ind w:left="5760" w:hanging="360"/>
      </w:pPr>
      <w:rPr>
        <w:rFonts w:ascii="Courier New" w:hAnsi="Courier New" w:hint="default"/>
      </w:rPr>
    </w:lvl>
    <w:lvl w:ilvl="8" w:tplc="65AA928C">
      <w:start w:val="1"/>
      <w:numFmt w:val="bullet"/>
      <w:lvlText w:val=""/>
      <w:lvlJc w:val="left"/>
      <w:pPr>
        <w:ind w:left="6480" w:hanging="360"/>
      </w:pPr>
      <w:rPr>
        <w:rFonts w:ascii="Wingdings" w:hAnsi="Wingdings" w:hint="default"/>
      </w:rPr>
    </w:lvl>
  </w:abstractNum>
  <w:abstractNum w:abstractNumId="769" w15:restartNumberingAfterBreak="0">
    <w:nsid w:val="6A507666"/>
    <w:multiLevelType w:val="hybridMultilevel"/>
    <w:tmpl w:val="DFF2E706"/>
    <w:lvl w:ilvl="0" w:tplc="5E5448E2">
      <w:start w:val="1"/>
      <w:numFmt w:val="bullet"/>
      <w:lvlText w:val="-"/>
      <w:lvlJc w:val="left"/>
      <w:pPr>
        <w:ind w:left="547" w:hanging="360"/>
      </w:pPr>
      <w:rPr>
        <w:rFonts w:ascii="Aptos" w:hAnsi="Aptos" w:hint="default"/>
      </w:rPr>
    </w:lvl>
    <w:lvl w:ilvl="1" w:tplc="6CBE17AC">
      <w:start w:val="1"/>
      <w:numFmt w:val="bullet"/>
      <w:lvlText w:val="o"/>
      <w:lvlJc w:val="left"/>
      <w:pPr>
        <w:ind w:left="1267" w:hanging="360"/>
      </w:pPr>
      <w:rPr>
        <w:rFonts w:ascii="Courier New" w:hAnsi="Courier New" w:hint="default"/>
      </w:rPr>
    </w:lvl>
    <w:lvl w:ilvl="2" w:tplc="6150BE50">
      <w:start w:val="1"/>
      <w:numFmt w:val="bullet"/>
      <w:lvlText w:val=""/>
      <w:lvlJc w:val="left"/>
      <w:pPr>
        <w:ind w:left="1987" w:hanging="360"/>
      </w:pPr>
      <w:rPr>
        <w:rFonts w:ascii="Wingdings" w:hAnsi="Wingdings" w:hint="default"/>
      </w:rPr>
    </w:lvl>
    <w:lvl w:ilvl="3" w:tplc="7B9211EC">
      <w:start w:val="1"/>
      <w:numFmt w:val="bullet"/>
      <w:lvlText w:val=""/>
      <w:lvlJc w:val="left"/>
      <w:pPr>
        <w:ind w:left="2707" w:hanging="360"/>
      </w:pPr>
      <w:rPr>
        <w:rFonts w:ascii="Symbol" w:hAnsi="Symbol" w:hint="default"/>
      </w:rPr>
    </w:lvl>
    <w:lvl w:ilvl="4" w:tplc="ECC84852">
      <w:start w:val="1"/>
      <w:numFmt w:val="bullet"/>
      <w:lvlText w:val="o"/>
      <w:lvlJc w:val="left"/>
      <w:pPr>
        <w:ind w:left="3427" w:hanging="360"/>
      </w:pPr>
      <w:rPr>
        <w:rFonts w:ascii="Courier New" w:hAnsi="Courier New" w:hint="default"/>
      </w:rPr>
    </w:lvl>
    <w:lvl w:ilvl="5" w:tplc="00D67548">
      <w:start w:val="1"/>
      <w:numFmt w:val="bullet"/>
      <w:lvlText w:val=""/>
      <w:lvlJc w:val="left"/>
      <w:pPr>
        <w:ind w:left="4147" w:hanging="360"/>
      </w:pPr>
      <w:rPr>
        <w:rFonts w:ascii="Wingdings" w:hAnsi="Wingdings" w:hint="default"/>
      </w:rPr>
    </w:lvl>
    <w:lvl w:ilvl="6" w:tplc="D84089CA">
      <w:start w:val="1"/>
      <w:numFmt w:val="bullet"/>
      <w:lvlText w:val=""/>
      <w:lvlJc w:val="left"/>
      <w:pPr>
        <w:ind w:left="4867" w:hanging="360"/>
      </w:pPr>
      <w:rPr>
        <w:rFonts w:ascii="Symbol" w:hAnsi="Symbol" w:hint="default"/>
      </w:rPr>
    </w:lvl>
    <w:lvl w:ilvl="7" w:tplc="86500D26">
      <w:start w:val="1"/>
      <w:numFmt w:val="bullet"/>
      <w:lvlText w:val="o"/>
      <w:lvlJc w:val="left"/>
      <w:pPr>
        <w:ind w:left="5587" w:hanging="360"/>
      </w:pPr>
      <w:rPr>
        <w:rFonts w:ascii="Courier New" w:hAnsi="Courier New" w:hint="default"/>
      </w:rPr>
    </w:lvl>
    <w:lvl w:ilvl="8" w:tplc="C1AEAB1E">
      <w:start w:val="1"/>
      <w:numFmt w:val="bullet"/>
      <w:lvlText w:val=""/>
      <w:lvlJc w:val="left"/>
      <w:pPr>
        <w:ind w:left="6307" w:hanging="360"/>
      </w:pPr>
      <w:rPr>
        <w:rFonts w:ascii="Wingdings" w:hAnsi="Wingdings" w:hint="default"/>
      </w:rPr>
    </w:lvl>
  </w:abstractNum>
  <w:abstractNum w:abstractNumId="770" w15:restartNumberingAfterBreak="0">
    <w:nsid w:val="6A80040E"/>
    <w:multiLevelType w:val="multilevel"/>
    <w:tmpl w:val="83085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1" w15:restartNumberingAfterBreak="0">
    <w:nsid w:val="6A842A28"/>
    <w:multiLevelType w:val="multilevel"/>
    <w:tmpl w:val="E1B45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2" w15:restartNumberingAfterBreak="0">
    <w:nsid w:val="6AD257CF"/>
    <w:multiLevelType w:val="multilevel"/>
    <w:tmpl w:val="C5B8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3" w15:restartNumberingAfterBreak="0">
    <w:nsid w:val="6AE2303D"/>
    <w:multiLevelType w:val="multilevel"/>
    <w:tmpl w:val="B8F62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4" w15:restartNumberingAfterBreak="0">
    <w:nsid w:val="6AEB0F95"/>
    <w:multiLevelType w:val="multilevel"/>
    <w:tmpl w:val="D7D47D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5" w15:restartNumberingAfterBreak="0">
    <w:nsid w:val="6AF17DC1"/>
    <w:multiLevelType w:val="hybridMultilevel"/>
    <w:tmpl w:val="2782088C"/>
    <w:lvl w:ilvl="0" w:tplc="FFFFFFFF">
      <w:start w:val="1"/>
      <w:numFmt w:val="decimal"/>
      <w:lvlText w:val="%1."/>
      <w:lvlJc w:val="left"/>
      <w:pPr>
        <w:ind w:left="547" w:hanging="360"/>
      </w:pPr>
    </w:lvl>
    <w:lvl w:ilvl="1" w:tplc="040C0001">
      <w:start w:val="1"/>
      <w:numFmt w:val="bullet"/>
      <w:lvlText w:val=""/>
      <w:lvlJc w:val="left"/>
      <w:pPr>
        <w:ind w:left="1267" w:hanging="360"/>
      </w:pPr>
      <w:rPr>
        <w:rFonts w:ascii="Symbol" w:hAnsi="Symbol" w:hint="default"/>
      </w:rPr>
    </w:lvl>
    <w:lvl w:ilvl="2" w:tplc="FFFFFFFF">
      <w:start w:val="1"/>
      <w:numFmt w:val="lowerRoman"/>
      <w:lvlText w:val="%3."/>
      <w:lvlJc w:val="right"/>
      <w:pPr>
        <w:ind w:left="1987" w:hanging="180"/>
      </w:pPr>
    </w:lvl>
    <w:lvl w:ilvl="3" w:tplc="FFFFFFFF">
      <w:start w:val="1"/>
      <w:numFmt w:val="decimal"/>
      <w:lvlText w:val="%4."/>
      <w:lvlJc w:val="left"/>
      <w:pPr>
        <w:ind w:left="2707" w:hanging="360"/>
      </w:pPr>
    </w:lvl>
    <w:lvl w:ilvl="4" w:tplc="FFFFFFFF">
      <w:start w:val="1"/>
      <w:numFmt w:val="lowerLetter"/>
      <w:lvlText w:val="%5."/>
      <w:lvlJc w:val="left"/>
      <w:pPr>
        <w:ind w:left="3427" w:hanging="360"/>
      </w:pPr>
    </w:lvl>
    <w:lvl w:ilvl="5" w:tplc="FFFFFFFF">
      <w:start w:val="1"/>
      <w:numFmt w:val="lowerRoman"/>
      <w:lvlText w:val="%6."/>
      <w:lvlJc w:val="right"/>
      <w:pPr>
        <w:ind w:left="4147" w:hanging="180"/>
      </w:pPr>
    </w:lvl>
    <w:lvl w:ilvl="6" w:tplc="FFFFFFFF">
      <w:start w:val="1"/>
      <w:numFmt w:val="decimal"/>
      <w:lvlText w:val="%7."/>
      <w:lvlJc w:val="left"/>
      <w:pPr>
        <w:ind w:left="4867" w:hanging="360"/>
      </w:pPr>
    </w:lvl>
    <w:lvl w:ilvl="7" w:tplc="FFFFFFFF">
      <w:start w:val="1"/>
      <w:numFmt w:val="lowerLetter"/>
      <w:lvlText w:val="%8."/>
      <w:lvlJc w:val="left"/>
      <w:pPr>
        <w:ind w:left="5587" w:hanging="360"/>
      </w:pPr>
    </w:lvl>
    <w:lvl w:ilvl="8" w:tplc="FFFFFFFF">
      <w:start w:val="1"/>
      <w:numFmt w:val="lowerRoman"/>
      <w:lvlText w:val="%9."/>
      <w:lvlJc w:val="right"/>
      <w:pPr>
        <w:ind w:left="6307" w:hanging="180"/>
      </w:pPr>
    </w:lvl>
  </w:abstractNum>
  <w:abstractNum w:abstractNumId="776" w15:restartNumberingAfterBreak="0">
    <w:nsid w:val="6B4465BB"/>
    <w:multiLevelType w:val="multilevel"/>
    <w:tmpl w:val="250A4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7" w15:restartNumberingAfterBreak="0">
    <w:nsid w:val="6B462ABE"/>
    <w:multiLevelType w:val="multilevel"/>
    <w:tmpl w:val="D5FCA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8" w15:restartNumberingAfterBreak="0">
    <w:nsid w:val="6B4A3381"/>
    <w:multiLevelType w:val="multilevel"/>
    <w:tmpl w:val="28A6E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9" w15:restartNumberingAfterBreak="0">
    <w:nsid w:val="6B544D61"/>
    <w:multiLevelType w:val="hybridMultilevel"/>
    <w:tmpl w:val="B10A64D0"/>
    <w:lvl w:ilvl="0" w:tplc="E6B8C92C">
      <w:start w:val="1"/>
      <w:numFmt w:val="bullet"/>
      <w:lvlText w:val=""/>
      <w:lvlJc w:val="left"/>
      <w:pPr>
        <w:ind w:left="720" w:hanging="360"/>
      </w:pPr>
      <w:rPr>
        <w:rFonts w:ascii="Symbol" w:hAnsi="Symbol"/>
      </w:rPr>
    </w:lvl>
    <w:lvl w:ilvl="1" w:tplc="5AC479CA">
      <w:start w:val="1"/>
      <w:numFmt w:val="bullet"/>
      <w:lvlText w:val=""/>
      <w:lvlJc w:val="left"/>
      <w:pPr>
        <w:ind w:left="720" w:hanging="360"/>
      </w:pPr>
      <w:rPr>
        <w:rFonts w:ascii="Symbol" w:hAnsi="Symbol"/>
      </w:rPr>
    </w:lvl>
    <w:lvl w:ilvl="2" w:tplc="C62283C0">
      <w:start w:val="1"/>
      <w:numFmt w:val="bullet"/>
      <w:lvlText w:val=""/>
      <w:lvlJc w:val="left"/>
      <w:pPr>
        <w:ind w:left="720" w:hanging="360"/>
      </w:pPr>
      <w:rPr>
        <w:rFonts w:ascii="Symbol" w:hAnsi="Symbol"/>
      </w:rPr>
    </w:lvl>
    <w:lvl w:ilvl="3" w:tplc="C66CBE4E">
      <w:start w:val="1"/>
      <w:numFmt w:val="bullet"/>
      <w:lvlText w:val=""/>
      <w:lvlJc w:val="left"/>
      <w:pPr>
        <w:ind w:left="720" w:hanging="360"/>
      </w:pPr>
      <w:rPr>
        <w:rFonts w:ascii="Symbol" w:hAnsi="Symbol"/>
      </w:rPr>
    </w:lvl>
    <w:lvl w:ilvl="4" w:tplc="58B6BEF4">
      <w:start w:val="1"/>
      <w:numFmt w:val="bullet"/>
      <w:lvlText w:val=""/>
      <w:lvlJc w:val="left"/>
      <w:pPr>
        <w:ind w:left="720" w:hanging="360"/>
      </w:pPr>
      <w:rPr>
        <w:rFonts w:ascii="Symbol" w:hAnsi="Symbol"/>
      </w:rPr>
    </w:lvl>
    <w:lvl w:ilvl="5" w:tplc="4872B37C">
      <w:start w:val="1"/>
      <w:numFmt w:val="bullet"/>
      <w:lvlText w:val=""/>
      <w:lvlJc w:val="left"/>
      <w:pPr>
        <w:ind w:left="720" w:hanging="360"/>
      </w:pPr>
      <w:rPr>
        <w:rFonts w:ascii="Symbol" w:hAnsi="Symbol"/>
      </w:rPr>
    </w:lvl>
    <w:lvl w:ilvl="6" w:tplc="0CC2C89C">
      <w:start w:val="1"/>
      <w:numFmt w:val="bullet"/>
      <w:lvlText w:val=""/>
      <w:lvlJc w:val="left"/>
      <w:pPr>
        <w:ind w:left="720" w:hanging="360"/>
      </w:pPr>
      <w:rPr>
        <w:rFonts w:ascii="Symbol" w:hAnsi="Symbol"/>
      </w:rPr>
    </w:lvl>
    <w:lvl w:ilvl="7" w:tplc="95E02118">
      <w:start w:val="1"/>
      <w:numFmt w:val="bullet"/>
      <w:lvlText w:val=""/>
      <w:lvlJc w:val="left"/>
      <w:pPr>
        <w:ind w:left="720" w:hanging="360"/>
      </w:pPr>
      <w:rPr>
        <w:rFonts w:ascii="Symbol" w:hAnsi="Symbol"/>
      </w:rPr>
    </w:lvl>
    <w:lvl w:ilvl="8" w:tplc="02DCF840">
      <w:start w:val="1"/>
      <w:numFmt w:val="bullet"/>
      <w:lvlText w:val=""/>
      <w:lvlJc w:val="left"/>
      <w:pPr>
        <w:ind w:left="720" w:hanging="360"/>
      </w:pPr>
      <w:rPr>
        <w:rFonts w:ascii="Symbol" w:hAnsi="Symbol"/>
      </w:rPr>
    </w:lvl>
  </w:abstractNum>
  <w:abstractNum w:abstractNumId="780" w15:restartNumberingAfterBreak="0">
    <w:nsid w:val="6B55B493"/>
    <w:multiLevelType w:val="multilevel"/>
    <w:tmpl w:val="BF9C5C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81" w15:restartNumberingAfterBreak="0">
    <w:nsid w:val="6B808CDC"/>
    <w:multiLevelType w:val="hybridMultilevel"/>
    <w:tmpl w:val="5B8C6124"/>
    <w:lvl w:ilvl="0" w:tplc="33EAE110">
      <w:start w:val="1"/>
      <w:numFmt w:val="bullet"/>
      <w:lvlText w:val=""/>
      <w:lvlJc w:val="left"/>
      <w:pPr>
        <w:ind w:left="547" w:hanging="360"/>
      </w:pPr>
      <w:rPr>
        <w:rFonts w:ascii="Symbol" w:hAnsi="Symbol" w:hint="default"/>
      </w:rPr>
    </w:lvl>
    <w:lvl w:ilvl="1" w:tplc="B302DC06">
      <w:start w:val="1"/>
      <w:numFmt w:val="bullet"/>
      <w:lvlText w:val="o"/>
      <w:lvlJc w:val="left"/>
      <w:pPr>
        <w:ind w:left="1267" w:hanging="360"/>
      </w:pPr>
      <w:rPr>
        <w:rFonts w:ascii="Courier New" w:hAnsi="Courier New" w:hint="default"/>
      </w:rPr>
    </w:lvl>
    <w:lvl w:ilvl="2" w:tplc="51FCC728">
      <w:start w:val="1"/>
      <w:numFmt w:val="bullet"/>
      <w:lvlText w:val=""/>
      <w:lvlJc w:val="left"/>
      <w:pPr>
        <w:ind w:left="1987" w:hanging="360"/>
      </w:pPr>
      <w:rPr>
        <w:rFonts w:ascii="Wingdings" w:hAnsi="Wingdings" w:hint="default"/>
      </w:rPr>
    </w:lvl>
    <w:lvl w:ilvl="3" w:tplc="F4D08C6C">
      <w:start w:val="1"/>
      <w:numFmt w:val="bullet"/>
      <w:lvlText w:val=""/>
      <w:lvlJc w:val="left"/>
      <w:pPr>
        <w:ind w:left="2707" w:hanging="360"/>
      </w:pPr>
      <w:rPr>
        <w:rFonts w:ascii="Symbol" w:hAnsi="Symbol" w:hint="default"/>
      </w:rPr>
    </w:lvl>
    <w:lvl w:ilvl="4" w:tplc="8E40AB70">
      <w:start w:val="1"/>
      <w:numFmt w:val="bullet"/>
      <w:lvlText w:val="o"/>
      <w:lvlJc w:val="left"/>
      <w:pPr>
        <w:ind w:left="3427" w:hanging="360"/>
      </w:pPr>
      <w:rPr>
        <w:rFonts w:ascii="Courier New" w:hAnsi="Courier New" w:hint="default"/>
      </w:rPr>
    </w:lvl>
    <w:lvl w:ilvl="5" w:tplc="5C7C9C4E">
      <w:start w:val="1"/>
      <w:numFmt w:val="bullet"/>
      <w:lvlText w:val=""/>
      <w:lvlJc w:val="left"/>
      <w:pPr>
        <w:ind w:left="4147" w:hanging="360"/>
      </w:pPr>
      <w:rPr>
        <w:rFonts w:ascii="Wingdings" w:hAnsi="Wingdings" w:hint="default"/>
      </w:rPr>
    </w:lvl>
    <w:lvl w:ilvl="6" w:tplc="F064F704">
      <w:start w:val="1"/>
      <w:numFmt w:val="bullet"/>
      <w:lvlText w:val=""/>
      <w:lvlJc w:val="left"/>
      <w:pPr>
        <w:ind w:left="4867" w:hanging="360"/>
      </w:pPr>
      <w:rPr>
        <w:rFonts w:ascii="Symbol" w:hAnsi="Symbol" w:hint="default"/>
      </w:rPr>
    </w:lvl>
    <w:lvl w:ilvl="7" w:tplc="E6A84E08">
      <w:start w:val="1"/>
      <w:numFmt w:val="bullet"/>
      <w:lvlText w:val="o"/>
      <w:lvlJc w:val="left"/>
      <w:pPr>
        <w:ind w:left="5587" w:hanging="360"/>
      </w:pPr>
      <w:rPr>
        <w:rFonts w:ascii="Courier New" w:hAnsi="Courier New" w:hint="default"/>
      </w:rPr>
    </w:lvl>
    <w:lvl w:ilvl="8" w:tplc="20049F28">
      <w:start w:val="1"/>
      <w:numFmt w:val="bullet"/>
      <w:lvlText w:val=""/>
      <w:lvlJc w:val="left"/>
      <w:pPr>
        <w:ind w:left="6307" w:hanging="360"/>
      </w:pPr>
      <w:rPr>
        <w:rFonts w:ascii="Wingdings" w:hAnsi="Wingdings" w:hint="default"/>
      </w:rPr>
    </w:lvl>
  </w:abstractNum>
  <w:abstractNum w:abstractNumId="782" w15:restartNumberingAfterBreak="0">
    <w:nsid w:val="6BA3A6A7"/>
    <w:multiLevelType w:val="hybridMultilevel"/>
    <w:tmpl w:val="E460E8CA"/>
    <w:lvl w:ilvl="0" w:tplc="23A020DE">
      <w:numFmt w:val="none"/>
      <w:lvlText w:val=""/>
      <w:lvlJc w:val="left"/>
      <w:pPr>
        <w:tabs>
          <w:tab w:val="num" w:pos="360"/>
        </w:tabs>
      </w:pPr>
    </w:lvl>
    <w:lvl w:ilvl="1" w:tplc="2B7C8474">
      <w:start w:val="1"/>
      <w:numFmt w:val="lowerLetter"/>
      <w:lvlText w:val="%2."/>
      <w:lvlJc w:val="left"/>
      <w:pPr>
        <w:ind w:left="1267" w:hanging="360"/>
      </w:pPr>
    </w:lvl>
    <w:lvl w:ilvl="2" w:tplc="DDDE3E86">
      <w:start w:val="1"/>
      <w:numFmt w:val="lowerRoman"/>
      <w:lvlText w:val="%3."/>
      <w:lvlJc w:val="right"/>
      <w:pPr>
        <w:ind w:left="1987" w:hanging="180"/>
      </w:pPr>
    </w:lvl>
    <w:lvl w:ilvl="3" w:tplc="F932AAB8">
      <w:start w:val="1"/>
      <w:numFmt w:val="decimal"/>
      <w:lvlText w:val="%4."/>
      <w:lvlJc w:val="left"/>
      <w:pPr>
        <w:ind w:left="2707" w:hanging="360"/>
      </w:pPr>
    </w:lvl>
    <w:lvl w:ilvl="4" w:tplc="07C2E1FA">
      <w:start w:val="1"/>
      <w:numFmt w:val="lowerLetter"/>
      <w:lvlText w:val="%5."/>
      <w:lvlJc w:val="left"/>
      <w:pPr>
        <w:ind w:left="3427" w:hanging="360"/>
      </w:pPr>
    </w:lvl>
    <w:lvl w:ilvl="5" w:tplc="B9860142">
      <w:start w:val="1"/>
      <w:numFmt w:val="lowerRoman"/>
      <w:lvlText w:val="%6."/>
      <w:lvlJc w:val="right"/>
      <w:pPr>
        <w:ind w:left="4147" w:hanging="180"/>
      </w:pPr>
    </w:lvl>
    <w:lvl w:ilvl="6" w:tplc="A00ED0A8">
      <w:start w:val="1"/>
      <w:numFmt w:val="decimal"/>
      <w:lvlText w:val="%7."/>
      <w:lvlJc w:val="left"/>
      <w:pPr>
        <w:ind w:left="4867" w:hanging="360"/>
      </w:pPr>
    </w:lvl>
    <w:lvl w:ilvl="7" w:tplc="75863B8A">
      <w:start w:val="1"/>
      <w:numFmt w:val="lowerLetter"/>
      <w:lvlText w:val="%8."/>
      <w:lvlJc w:val="left"/>
      <w:pPr>
        <w:ind w:left="5587" w:hanging="360"/>
      </w:pPr>
    </w:lvl>
    <w:lvl w:ilvl="8" w:tplc="9EF226B8">
      <w:start w:val="1"/>
      <w:numFmt w:val="lowerRoman"/>
      <w:lvlText w:val="%9."/>
      <w:lvlJc w:val="right"/>
      <w:pPr>
        <w:ind w:left="6307" w:hanging="180"/>
      </w:pPr>
    </w:lvl>
  </w:abstractNum>
  <w:abstractNum w:abstractNumId="783" w15:restartNumberingAfterBreak="0">
    <w:nsid w:val="6BA86380"/>
    <w:multiLevelType w:val="multilevel"/>
    <w:tmpl w:val="FFC00B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4" w15:restartNumberingAfterBreak="0">
    <w:nsid w:val="6BF83E2F"/>
    <w:multiLevelType w:val="hybridMultilevel"/>
    <w:tmpl w:val="8C20445E"/>
    <w:lvl w:ilvl="0" w:tplc="3DCE7F44">
      <w:start w:val="1"/>
      <w:numFmt w:val="bullet"/>
      <w:lvlText w:val=""/>
      <w:lvlJc w:val="left"/>
      <w:pPr>
        <w:ind w:left="720" w:hanging="360"/>
      </w:pPr>
      <w:rPr>
        <w:rFonts w:ascii="Symbol" w:hAnsi="Symbol" w:hint="default"/>
      </w:rPr>
    </w:lvl>
    <w:lvl w:ilvl="1" w:tplc="F54894B8">
      <w:start w:val="1"/>
      <w:numFmt w:val="bullet"/>
      <w:lvlText w:val="o"/>
      <w:lvlJc w:val="left"/>
      <w:pPr>
        <w:ind w:left="1440" w:hanging="360"/>
      </w:pPr>
      <w:rPr>
        <w:rFonts w:ascii="Courier New" w:hAnsi="Courier New" w:hint="default"/>
      </w:rPr>
    </w:lvl>
    <w:lvl w:ilvl="2" w:tplc="D2383C24">
      <w:start w:val="1"/>
      <w:numFmt w:val="bullet"/>
      <w:lvlText w:val=""/>
      <w:lvlJc w:val="left"/>
      <w:pPr>
        <w:ind w:left="2160" w:hanging="360"/>
      </w:pPr>
      <w:rPr>
        <w:rFonts w:ascii="Wingdings" w:hAnsi="Wingdings" w:hint="default"/>
      </w:rPr>
    </w:lvl>
    <w:lvl w:ilvl="3" w:tplc="B3182134">
      <w:start w:val="1"/>
      <w:numFmt w:val="bullet"/>
      <w:lvlText w:val=""/>
      <w:lvlJc w:val="left"/>
      <w:pPr>
        <w:ind w:left="2880" w:hanging="360"/>
      </w:pPr>
      <w:rPr>
        <w:rFonts w:ascii="Symbol" w:hAnsi="Symbol" w:hint="default"/>
      </w:rPr>
    </w:lvl>
    <w:lvl w:ilvl="4" w:tplc="449C990E">
      <w:start w:val="1"/>
      <w:numFmt w:val="bullet"/>
      <w:lvlText w:val="o"/>
      <w:lvlJc w:val="left"/>
      <w:pPr>
        <w:ind w:left="3600" w:hanging="360"/>
      </w:pPr>
      <w:rPr>
        <w:rFonts w:ascii="Courier New" w:hAnsi="Courier New" w:hint="default"/>
      </w:rPr>
    </w:lvl>
    <w:lvl w:ilvl="5" w:tplc="23E0AB20">
      <w:start w:val="1"/>
      <w:numFmt w:val="bullet"/>
      <w:lvlText w:val=""/>
      <w:lvlJc w:val="left"/>
      <w:pPr>
        <w:ind w:left="4320" w:hanging="360"/>
      </w:pPr>
      <w:rPr>
        <w:rFonts w:ascii="Wingdings" w:hAnsi="Wingdings" w:hint="default"/>
      </w:rPr>
    </w:lvl>
    <w:lvl w:ilvl="6" w:tplc="840AF1E0">
      <w:start w:val="1"/>
      <w:numFmt w:val="bullet"/>
      <w:lvlText w:val=""/>
      <w:lvlJc w:val="left"/>
      <w:pPr>
        <w:ind w:left="5040" w:hanging="360"/>
      </w:pPr>
      <w:rPr>
        <w:rFonts w:ascii="Symbol" w:hAnsi="Symbol" w:hint="default"/>
      </w:rPr>
    </w:lvl>
    <w:lvl w:ilvl="7" w:tplc="E54428CA">
      <w:start w:val="1"/>
      <w:numFmt w:val="bullet"/>
      <w:lvlText w:val="o"/>
      <w:lvlJc w:val="left"/>
      <w:pPr>
        <w:ind w:left="5760" w:hanging="360"/>
      </w:pPr>
      <w:rPr>
        <w:rFonts w:ascii="Courier New" w:hAnsi="Courier New" w:hint="default"/>
      </w:rPr>
    </w:lvl>
    <w:lvl w:ilvl="8" w:tplc="4EB27DD0">
      <w:start w:val="1"/>
      <w:numFmt w:val="bullet"/>
      <w:lvlText w:val=""/>
      <w:lvlJc w:val="left"/>
      <w:pPr>
        <w:ind w:left="6480" w:hanging="360"/>
      </w:pPr>
      <w:rPr>
        <w:rFonts w:ascii="Wingdings" w:hAnsi="Wingdings" w:hint="default"/>
      </w:rPr>
    </w:lvl>
  </w:abstractNum>
  <w:abstractNum w:abstractNumId="785" w15:restartNumberingAfterBreak="0">
    <w:nsid w:val="6C264F88"/>
    <w:multiLevelType w:val="multilevel"/>
    <w:tmpl w:val="BB10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6" w15:restartNumberingAfterBreak="0">
    <w:nsid w:val="6C375676"/>
    <w:multiLevelType w:val="multilevel"/>
    <w:tmpl w:val="7F30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7" w15:restartNumberingAfterBreak="0">
    <w:nsid w:val="6C500F35"/>
    <w:multiLevelType w:val="multilevel"/>
    <w:tmpl w:val="19867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8" w15:restartNumberingAfterBreak="0">
    <w:nsid w:val="6C7474C6"/>
    <w:multiLevelType w:val="multilevel"/>
    <w:tmpl w:val="5136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9" w15:restartNumberingAfterBreak="0">
    <w:nsid w:val="6C8C031A"/>
    <w:multiLevelType w:val="multilevel"/>
    <w:tmpl w:val="563A7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0" w15:restartNumberingAfterBreak="0">
    <w:nsid w:val="6CA689A3"/>
    <w:multiLevelType w:val="hybridMultilevel"/>
    <w:tmpl w:val="879CCAAC"/>
    <w:lvl w:ilvl="0" w:tplc="CD78EA30">
      <w:start w:val="1"/>
      <w:numFmt w:val="decimal"/>
      <w:lvlText w:val="%1."/>
      <w:lvlJc w:val="left"/>
      <w:pPr>
        <w:ind w:left="720" w:hanging="360"/>
      </w:pPr>
    </w:lvl>
    <w:lvl w:ilvl="1" w:tplc="F9FCE76E">
      <w:start w:val="1"/>
      <w:numFmt w:val="bullet"/>
      <w:lvlText w:val="o"/>
      <w:lvlJc w:val="left"/>
      <w:pPr>
        <w:ind w:left="1440" w:hanging="360"/>
      </w:pPr>
      <w:rPr>
        <w:rFonts w:ascii="Symbol" w:hAnsi="Symbol" w:hint="default"/>
      </w:rPr>
    </w:lvl>
    <w:lvl w:ilvl="2" w:tplc="0DBC2A0C">
      <w:start w:val="1"/>
      <w:numFmt w:val="lowerRoman"/>
      <w:lvlText w:val="%3."/>
      <w:lvlJc w:val="right"/>
      <w:pPr>
        <w:ind w:left="2160" w:hanging="180"/>
      </w:pPr>
    </w:lvl>
    <w:lvl w:ilvl="3" w:tplc="6938E93A">
      <w:start w:val="1"/>
      <w:numFmt w:val="decimal"/>
      <w:lvlText w:val="%4."/>
      <w:lvlJc w:val="left"/>
      <w:pPr>
        <w:ind w:left="2880" w:hanging="360"/>
      </w:pPr>
    </w:lvl>
    <w:lvl w:ilvl="4" w:tplc="FE78D158">
      <w:start w:val="1"/>
      <w:numFmt w:val="lowerLetter"/>
      <w:lvlText w:val="%5."/>
      <w:lvlJc w:val="left"/>
      <w:pPr>
        <w:ind w:left="3600" w:hanging="360"/>
      </w:pPr>
    </w:lvl>
    <w:lvl w:ilvl="5" w:tplc="D2629F28">
      <w:start w:val="1"/>
      <w:numFmt w:val="lowerRoman"/>
      <w:lvlText w:val="%6."/>
      <w:lvlJc w:val="right"/>
      <w:pPr>
        <w:ind w:left="4320" w:hanging="180"/>
      </w:pPr>
    </w:lvl>
    <w:lvl w:ilvl="6" w:tplc="5A48FCA0">
      <w:start w:val="1"/>
      <w:numFmt w:val="decimal"/>
      <w:lvlText w:val="%7."/>
      <w:lvlJc w:val="left"/>
      <w:pPr>
        <w:ind w:left="5040" w:hanging="360"/>
      </w:pPr>
    </w:lvl>
    <w:lvl w:ilvl="7" w:tplc="32E85002">
      <w:start w:val="1"/>
      <w:numFmt w:val="lowerLetter"/>
      <w:lvlText w:val="%8."/>
      <w:lvlJc w:val="left"/>
      <w:pPr>
        <w:ind w:left="5760" w:hanging="360"/>
      </w:pPr>
    </w:lvl>
    <w:lvl w:ilvl="8" w:tplc="BC025370">
      <w:start w:val="1"/>
      <w:numFmt w:val="lowerRoman"/>
      <w:lvlText w:val="%9."/>
      <w:lvlJc w:val="right"/>
      <w:pPr>
        <w:ind w:left="6480" w:hanging="180"/>
      </w:pPr>
    </w:lvl>
  </w:abstractNum>
  <w:abstractNum w:abstractNumId="791" w15:restartNumberingAfterBreak="0">
    <w:nsid w:val="6CB05D8A"/>
    <w:multiLevelType w:val="hybridMultilevel"/>
    <w:tmpl w:val="43BE42D4"/>
    <w:lvl w:ilvl="0" w:tplc="04090003">
      <w:start w:val="1"/>
      <w:numFmt w:val="bullet"/>
      <w:lvlText w:val="o"/>
      <w:lvlJc w:val="left"/>
      <w:pPr>
        <w:ind w:left="1800" w:hanging="360"/>
      </w:pPr>
      <w:rPr>
        <w:rFonts w:ascii="Courier New" w:hAnsi="Courier New" w:cs="Courier New"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792" w15:restartNumberingAfterBreak="0">
    <w:nsid w:val="6CD21286"/>
    <w:multiLevelType w:val="multilevel"/>
    <w:tmpl w:val="C636A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3" w15:restartNumberingAfterBreak="0">
    <w:nsid w:val="6CD57C29"/>
    <w:multiLevelType w:val="hybridMultilevel"/>
    <w:tmpl w:val="FFFFFFFF"/>
    <w:lvl w:ilvl="0" w:tplc="3FCE17B2">
      <w:start w:val="1"/>
      <w:numFmt w:val="bullet"/>
      <w:lvlText w:val="○"/>
      <w:lvlJc w:val="left"/>
      <w:pPr>
        <w:ind w:left="1440" w:hanging="360"/>
      </w:pPr>
      <w:rPr>
        <w:rFonts w:ascii="Symbol" w:hAnsi="Symbol" w:hint="default"/>
      </w:rPr>
    </w:lvl>
    <w:lvl w:ilvl="1" w:tplc="47261154">
      <w:start w:val="1"/>
      <w:numFmt w:val="bullet"/>
      <w:lvlText w:val="o"/>
      <w:lvlJc w:val="left"/>
      <w:pPr>
        <w:ind w:left="2160" w:hanging="360"/>
      </w:pPr>
      <w:rPr>
        <w:rFonts w:ascii="Courier New" w:hAnsi="Courier New" w:hint="default"/>
      </w:rPr>
    </w:lvl>
    <w:lvl w:ilvl="2" w:tplc="0874B214">
      <w:start w:val="1"/>
      <w:numFmt w:val="bullet"/>
      <w:lvlText w:val=""/>
      <w:lvlJc w:val="left"/>
      <w:pPr>
        <w:ind w:left="2880" w:hanging="360"/>
      </w:pPr>
      <w:rPr>
        <w:rFonts w:ascii="Wingdings" w:hAnsi="Wingdings" w:hint="default"/>
      </w:rPr>
    </w:lvl>
    <w:lvl w:ilvl="3" w:tplc="3B8CE628">
      <w:start w:val="1"/>
      <w:numFmt w:val="bullet"/>
      <w:lvlText w:val=""/>
      <w:lvlJc w:val="left"/>
      <w:pPr>
        <w:ind w:left="3600" w:hanging="360"/>
      </w:pPr>
      <w:rPr>
        <w:rFonts w:ascii="Symbol" w:hAnsi="Symbol" w:hint="default"/>
      </w:rPr>
    </w:lvl>
    <w:lvl w:ilvl="4" w:tplc="1A163396">
      <w:start w:val="1"/>
      <w:numFmt w:val="bullet"/>
      <w:lvlText w:val="o"/>
      <w:lvlJc w:val="left"/>
      <w:pPr>
        <w:ind w:left="4320" w:hanging="360"/>
      </w:pPr>
      <w:rPr>
        <w:rFonts w:ascii="Courier New" w:hAnsi="Courier New" w:hint="default"/>
      </w:rPr>
    </w:lvl>
    <w:lvl w:ilvl="5" w:tplc="4C26CF94">
      <w:start w:val="1"/>
      <w:numFmt w:val="bullet"/>
      <w:lvlText w:val=""/>
      <w:lvlJc w:val="left"/>
      <w:pPr>
        <w:ind w:left="5040" w:hanging="360"/>
      </w:pPr>
      <w:rPr>
        <w:rFonts w:ascii="Wingdings" w:hAnsi="Wingdings" w:hint="default"/>
      </w:rPr>
    </w:lvl>
    <w:lvl w:ilvl="6" w:tplc="057A933C">
      <w:start w:val="1"/>
      <w:numFmt w:val="bullet"/>
      <w:lvlText w:val=""/>
      <w:lvlJc w:val="left"/>
      <w:pPr>
        <w:ind w:left="5760" w:hanging="360"/>
      </w:pPr>
      <w:rPr>
        <w:rFonts w:ascii="Symbol" w:hAnsi="Symbol" w:hint="default"/>
      </w:rPr>
    </w:lvl>
    <w:lvl w:ilvl="7" w:tplc="D9DA0768">
      <w:start w:val="1"/>
      <w:numFmt w:val="bullet"/>
      <w:lvlText w:val="o"/>
      <w:lvlJc w:val="left"/>
      <w:pPr>
        <w:ind w:left="6480" w:hanging="360"/>
      </w:pPr>
      <w:rPr>
        <w:rFonts w:ascii="Courier New" w:hAnsi="Courier New" w:hint="default"/>
      </w:rPr>
    </w:lvl>
    <w:lvl w:ilvl="8" w:tplc="9E70DF20">
      <w:start w:val="1"/>
      <w:numFmt w:val="bullet"/>
      <w:lvlText w:val=""/>
      <w:lvlJc w:val="left"/>
      <w:pPr>
        <w:ind w:left="7200" w:hanging="360"/>
      </w:pPr>
      <w:rPr>
        <w:rFonts w:ascii="Wingdings" w:hAnsi="Wingdings" w:hint="default"/>
      </w:rPr>
    </w:lvl>
  </w:abstractNum>
  <w:abstractNum w:abstractNumId="794" w15:restartNumberingAfterBreak="0">
    <w:nsid w:val="6CEC635E"/>
    <w:multiLevelType w:val="multilevel"/>
    <w:tmpl w:val="98B040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5" w15:restartNumberingAfterBreak="0">
    <w:nsid w:val="6D192A82"/>
    <w:multiLevelType w:val="multilevel"/>
    <w:tmpl w:val="146CB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6" w15:restartNumberingAfterBreak="0">
    <w:nsid w:val="6D1EFF37"/>
    <w:multiLevelType w:val="hybridMultilevel"/>
    <w:tmpl w:val="7C44D354"/>
    <w:lvl w:ilvl="0" w:tplc="B6F6B204">
      <w:start w:val="1"/>
      <w:numFmt w:val="bullet"/>
      <w:lvlText w:val="·"/>
      <w:lvlJc w:val="left"/>
      <w:pPr>
        <w:ind w:left="720" w:hanging="360"/>
      </w:pPr>
      <w:rPr>
        <w:rFonts w:ascii="Symbol" w:hAnsi="Symbol" w:hint="default"/>
      </w:rPr>
    </w:lvl>
    <w:lvl w:ilvl="1" w:tplc="EDE29DE6">
      <w:start w:val="1"/>
      <w:numFmt w:val="bullet"/>
      <w:lvlText w:val="o"/>
      <w:lvlJc w:val="left"/>
      <w:pPr>
        <w:ind w:left="1440" w:hanging="360"/>
      </w:pPr>
      <w:rPr>
        <w:rFonts w:ascii="Courier New" w:hAnsi="Courier New" w:hint="default"/>
      </w:rPr>
    </w:lvl>
    <w:lvl w:ilvl="2" w:tplc="E72AF5A2">
      <w:start w:val="1"/>
      <w:numFmt w:val="bullet"/>
      <w:lvlText w:val=""/>
      <w:lvlJc w:val="left"/>
      <w:pPr>
        <w:ind w:left="2160" w:hanging="360"/>
      </w:pPr>
      <w:rPr>
        <w:rFonts w:ascii="Wingdings" w:hAnsi="Wingdings" w:hint="default"/>
      </w:rPr>
    </w:lvl>
    <w:lvl w:ilvl="3" w:tplc="D00606A4">
      <w:start w:val="1"/>
      <w:numFmt w:val="bullet"/>
      <w:lvlText w:val=""/>
      <w:lvlJc w:val="left"/>
      <w:pPr>
        <w:ind w:left="2880" w:hanging="360"/>
      </w:pPr>
      <w:rPr>
        <w:rFonts w:ascii="Symbol" w:hAnsi="Symbol" w:hint="default"/>
      </w:rPr>
    </w:lvl>
    <w:lvl w:ilvl="4" w:tplc="445E2898">
      <w:start w:val="1"/>
      <w:numFmt w:val="bullet"/>
      <w:lvlText w:val="o"/>
      <w:lvlJc w:val="left"/>
      <w:pPr>
        <w:ind w:left="3600" w:hanging="360"/>
      </w:pPr>
      <w:rPr>
        <w:rFonts w:ascii="Courier New" w:hAnsi="Courier New" w:hint="default"/>
      </w:rPr>
    </w:lvl>
    <w:lvl w:ilvl="5" w:tplc="A8A08E0A">
      <w:start w:val="1"/>
      <w:numFmt w:val="bullet"/>
      <w:lvlText w:val=""/>
      <w:lvlJc w:val="left"/>
      <w:pPr>
        <w:ind w:left="4320" w:hanging="360"/>
      </w:pPr>
      <w:rPr>
        <w:rFonts w:ascii="Wingdings" w:hAnsi="Wingdings" w:hint="default"/>
      </w:rPr>
    </w:lvl>
    <w:lvl w:ilvl="6" w:tplc="B7DE4060">
      <w:start w:val="1"/>
      <w:numFmt w:val="bullet"/>
      <w:lvlText w:val=""/>
      <w:lvlJc w:val="left"/>
      <w:pPr>
        <w:ind w:left="5040" w:hanging="360"/>
      </w:pPr>
      <w:rPr>
        <w:rFonts w:ascii="Symbol" w:hAnsi="Symbol" w:hint="default"/>
      </w:rPr>
    </w:lvl>
    <w:lvl w:ilvl="7" w:tplc="0D5E336E">
      <w:start w:val="1"/>
      <w:numFmt w:val="bullet"/>
      <w:lvlText w:val="o"/>
      <w:lvlJc w:val="left"/>
      <w:pPr>
        <w:ind w:left="5760" w:hanging="360"/>
      </w:pPr>
      <w:rPr>
        <w:rFonts w:ascii="Courier New" w:hAnsi="Courier New" w:hint="default"/>
      </w:rPr>
    </w:lvl>
    <w:lvl w:ilvl="8" w:tplc="8990E162">
      <w:start w:val="1"/>
      <w:numFmt w:val="bullet"/>
      <w:lvlText w:val=""/>
      <w:lvlJc w:val="left"/>
      <w:pPr>
        <w:ind w:left="6480" w:hanging="360"/>
      </w:pPr>
      <w:rPr>
        <w:rFonts w:ascii="Wingdings" w:hAnsi="Wingdings" w:hint="default"/>
      </w:rPr>
    </w:lvl>
  </w:abstractNum>
  <w:abstractNum w:abstractNumId="797" w15:restartNumberingAfterBreak="0">
    <w:nsid w:val="6D44E6C8"/>
    <w:multiLevelType w:val="hybridMultilevel"/>
    <w:tmpl w:val="FFFFFFFF"/>
    <w:lvl w:ilvl="0" w:tplc="2078FFC2">
      <w:start w:val="1"/>
      <w:numFmt w:val="bullet"/>
      <w:lvlText w:val=""/>
      <w:lvlJc w:val="left"/>
      <w:pPr>
        <w:ind w:left="547" w:hanging="360"/>
      </w:pPr>
      <w:rPr>
        <w:rFonts w:ascii="Symbol" w:hAnsi="Symbol" w:hint="default"/>
      </w:rPr>
    </w:lvl>
    <w:lvl w:ilvl="1" w:tplc="67828464">
      <w:start w:val="1"/>
      <w:numFmt w:val="bullet"/>
      <w:lvlText w:val="o"/>
      <w:lvlJc w:val="left"/>
      <w:pPr>
        <w:ind w:left="1267" w:hanging="360"/>
      </w:pPr>
      <w:rPr>
        <w:rFonts w:ascii="Courier New" w:hAnsi="Courier New" w:hint="default"/>
      </w:rPr>
    </w:lvl>
    <w:lvl w:ilvl="2" w:tplc="946A468E">
      <w:start w:val="1"/>
      <w:numFmt w:val="bullet"/>
      <w:lvlText w:val=""/>
      <w:lvlJc w:val="left"/>
      <w:pPr>
        <w:ind w:left="1987" w:hanging="360"/>
      </w:pPr>
      <w:rPr>
        <w:rFonts w:ascii="Wingdings" w:hAnsi="Wingdings" w:hint="default"/>
      </w:rPr>
    </w:lvl>
    <w:lvl w:ilvl="3" w:tplc="287C6810">
      <w:start w:val="1"/>
      <w:numFmt w:val="bullet"/>
      <w:lvlText w:val=""/>
      <w:lvlJc w:val="left"/>
      <w:pPr>
        <w:ind w:left="2707" w:hanging="360"/>
      </w:pPr>
      <w:rPr>
        <w:rFonts w:ascii="Symbol" w:hAnsi="Symbol" w:hint="default"/>
      </w:rPr>
    </w:lvl>
    <w:lvl w:ilvl="4" w:tplc="C95078C8">
      <w:start w:val="1"/>
      <w:numFmt w:val="bullet"/>
      <w:lvlText w:val="o"/>
      <w:lvlJc w:val="left"/>
      <w:pPr>
        <w:ind w:left="3427" w:hanging="360"/>
      </w:pPr>
      <w:rPr>
        <w:rFonts w:ascii="Courier New" w:hAnsi="Courier New" w:hint="default"/>
      </w:rPr>
    </w:lvl>
    <w:lvl w:ilvl="5" w:tplc="1A744586">
      <w:start w:val="1"/>
      <w:numFmt w:val="bullet"/>
      <w:lvlText w:val=""/>
      <w:lvlJc w:val="left"/>
      <w:pPr>
        <w:ind w:left="4147" w:hanging="360"/>
      </w:pPr>
      <w:rPr>
        <w:rFonts w:ascii="Wingdings" w:hAnsi="Wingdings" w:hint="default"/>
      </w:rPr>
    </w:lvl>
    <w:lvl w:ilvl="6" w:tplc="AD96F688">
      <w:start w:val="1"/>
      <w:numFmt w:val="bullet"/>
      <w:lvlText w:val=""/>
      <w:lvlJc w:val="left"/>
      <w:pPr>
        <w:ind w:left="4867" w:hanging="360"/>
      </w:pPr>
      <w:rPr>
        <w:rFonts w:ascii="Symbol" w:hAnsi="Symbol" w:hint="default"/>
      </w:rPr>
    </w:lvl>
    <w:lvl w:ilvl="7" w:tplc="60286F8A">
      <w:start w:val="1"/>
      <w:numFmt w:val="bullet"/>
      <w:lvlText w:val="o"/>
      <w:lvlJc w:val="left"/>
      <w:pPr>
        <w:ind w:left="5587" w:hanging="360"/>
      </w:pPr>
      <w:rPr>
        <w:rFonts w:ascii="Courier New" w:hAnsi="Courier New" w:hint="default"/>
      </w:rPr>
    </w:lvl>
    <w:lvl w:ilvl="8" w:tplc="7ACC867C">
      <w:start w:val="1"/>
      <w:numFmt w:val="bullet"/>
      <w:lvlText w:val=""/>
      <w:lvlJc w:val="left"/>
      <w:pPr>
        <w:ind w:left="6307" w:hanging="360"/>
      </w:pPr>
      <w:rPr>
        <w:rFonts w:ascii="Wingdings" w:hAnsi="Wingdings" w:hint="default"/>
      </w:rPr>
    </w:lvl>
  </w:abstractNum>
  <w:abstractNum w:abstractNumId="798" w15:restartNumberingAfterBreak="0">
    <w:nsid w:val="6D5DB4E7"/>
    <w:multiLevelType w:val="multilevel"/>
    <w:tmpl w:val="A6BE5B6E"/>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799" w15:restartNumberingAfterBreak="0">
    <w:nsid w:val="6D8CDB22"/>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800" w15:restartNumberingAfterBreak="0">
    <w:nsid w:val="6D8F15BC"/>
    <w:multiLevelType w:val="multilevel"/>
    <w:tmpl w:val="F7E6EB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01" w15:restartNumberingAfterBreak="0">
    <w:nsid w:val="6DAFB1BB"/>
    <w:multiLevelType w:val="hybridMultilevel"/>
    <w:tmpl w:val="FFFFFFFF"/>
    <w:lvl w:ilvl="0" w:tplc="0E423BC4">
      <w:start w:val="1"/>
      <w:numFmt w:val="bullet"/>
      <w:lvlText w:val="●"/>
      <w:lvlJc w:val="left"/>
      <w:pPr>
        <w:ind w:left="720" w:hanging="360"/>
      </w:pPr>
      <w:rPr>
        <w:rFonts w:ascii="Symbol" w:hAnsi="Symbol" w:hint="default"/>
      </w:rPr>
    </w:lvl>
    <w:lvl w:ilvl="1" w:tplc="1E0064A8">
      <w:start w:val="1"/>
      <w:numFmt w:val="bullet"/>
      <w:lvlText w:val="o"/>
      <w:lvlJc w:val="left"/>
      <w:pPr>
        <w:ind w:left="1440" w:hanging="360"/>
      </w:pPr>
      <w:rPr>
        <w:rFonts w:ascii="Courier New" w:hAnsi="Courier New" w:hint="default"/>
      </w:rPr>
    </w:lvl>
    <w:lvl w:ilvl="2" w:tplc="F50A3572">
      <w:start w:val="1"/>
      <w:numFmt w:val="bullet"/>
      <w:lvlText w:val=""/>
      <w:lvlJc w:val="left"/>
      <w:pPr>
        <w:ind w:left="2160" w:hanging="360"/>
      </w:pPr>
      <w:rPr>
        <w:rFonts w:ascii="Wingdings" w:hAnsi="Wingdings" w:hint="default"/>
      </w:rPr>
    </w:lvl>
    <w:lvl w:ilvl="3" w:tplc="A766A428">
      <w:start w:val="1"/>
      <w:numFmt w:val="bullet"/>
      <w:lvlText w:val=""/>
      <w:lvlJc w:val="left"/>
      <w:pPr>
        <w:ind w:left="2880" w:hanging="360"/>
      </w:pPr>
      <w:rPr>
        <w:rFonts w:ascii="Symbol" w:hAnsi="Symbol" w:hint="default"/>
      </w:rPr>
    </w:lvl>
    <w:lvl w:ilvl="4" w:tplc="FFBEE072">
      <w:start w:val="1"/>
      <w:numFmt w:val="bullet"/>
      <w:lvlText w:val="o"/>
      <w:lvlJc w:val="left"/>
      <w:pPr>
        <w:ind w:left="3600" w:hanging="360"/>
      </w:pPr>
      <w:rPr>
        <w:rFonts w:ascii="Courier New" w:hAnsi="Courier New" w:hint="default"/>
      </w:rPr>
    </w:lvl>
    <w:lvl w:ilvl="5" w:tplc="F77AC538">
      <w:start w:val="1"/>
      <w:numFmt w:val="bullet"/>
      <w:lvlText w:val=""/>
      <w:lvlJc w:val="left"/>
      <w:pPr>
        <w:ind w:left="4320" w:hanging="360"/>
      </w:pPr>
      <w:rPr>
        <w:rFonts w:ascii="Wingdings" w:hAnsi="Wingdings" w:hint="default"/>
      </w:rPr>
    </w:lvl>
    <w:lvl w:ilvl="6" w:tplc="810C1742">
      <w:start w:val="1"/>
      <w:numFmt w:val="bullet"/>
      <w:lvlText w:val=""/>
      <w:lvlJc w:val="left"/>
      <w:pPr>
        <w:ind w:left="5040" w:hanging="360"/>
      </w:pPr>
      <w:rPr>
        <w:rFonts w:ascii="Symbol" w:hAnsi="Symbol" w:hint="default"/>
      </w:rPr>
    </w:lvl>
    <w:lvl w:ilvl="7" w:tplc="7ED097B0">
      <w:start w:val="1"/>
      <w:numFmt w:val="bullet"/>
      <w:lvlText w:val="o"/>
      <w:lvlJc w:val="left"/>
      <w:pPr>
        <w:ind w:left="5760" w:hanging="360"/>
      </w:pPr>
      <w:rPr>
        <w:rFonts w:ascii="Courier New" w:hAnsi="Courier New" w:hint="default"/>
      </w:rPr>
    </w:lvl>
    <w:lvl w:ilvl="8" w:tplc="AAC6FBA6">
      <w:start w:val="1"/>
      <w:numFmt w:val="bullet"/>
      <w:lvlText w:val=""/>
      <w:lvlJc w:val="left"/>
      <w:pPr>
        <w:ind w:left="6480" w:hanging="360"/>
      </w:pPr>
      <w:rPr>
        <w:rFonts w:ascii="Wingdings" w:hAnsi="Wingdings" w:hint="default"/>
      </w:rPr>
    </w:lvl>
  </w:abstractNum>
  <w:abstractNum w:abstractNumId="802" w15:restartNumberingAfterBreak="0">
    <w:nsid w:val="6DC022DC"/>
    <w:multiLevelType w:val="hybridMultilevel"/>
    <w:tmpl w:val="F51261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3" w15:restartNumberingAfterBreak="0">
    <w:nsid w:val="6DE183CC"/>
    <w:multiLevelType w:val="hybridMultilevel"/>
    <w:tmpl w:val="CABE97A0"/>
    <w:lvl w:ilvl="0" w:tplc="5ACA5A90">
      <w:start w:val="1"/>
      <w:numFmt w:val="bullet"/>
      <w:lvlText w:val=""/>
      <w:lvlJc w:val="left"/>
      <w:pPr>
        <w:ind w:left="720" w:hanging="360"/>
      </w:pPr>
      <w:rPr>
        <w:rFonts w:ascii="Symbol" w:hAnsi="Symbol" w:hint="default"/>
      </w:rPr>
    </w:lvl>
    <w:lvl w:ilvl="1" w:tplc="D7800B48">
      <w:start w:val="1"/>
      <w:numFmt w:val="bullet"/>
      <w:lvlText w:val="o"/>
      <w:lvlJc w:val="left"/>
      <w:pPr>
        <w:ind w:left="1440" w:hanging="360"/>
      </w:pPr>
      <w:rPr>
        <w:rFonts w:ascii="Courier New" w:hAnsi="Courier New" w:hint="default"/>
      </w:rPr>
    </w:lvl>
    <w:lvl w:ilvl="2" w:tplc="4962ADDA">
      <w:start w:val="1"/>
      <w:numFmt w:val="bullet"/>
      <w:lvlText w:val=""/>
      <w:lvlJc w:val="left"/>
      <w:pPr>
        <w:ind w:left="2160" w:hanging="360"/>
      </w:pPr>
      <w:rPr>
        <w:rFonts w:ascii="Wingdings" w:hAnsi="Wingdings" w:hint="default"/>
      </w:rPr>
    </w:lvl>
    <w:lvl w:ilvl="3" w:tplc="2288150C">
      <w:start w:val="1"/>
      <w:numFmt w:val="bullet"/>
      <w:lvlText w:val=""/>
      <w:lvlJc w:val="left"/>
      <w:pPr>
        <w:ind w:left="2880" w:hanging="360"/>
      </w:pPr>
      <w:rPr>
        <w:rFonts w:ascii="Symbol" w:hAnsi="Symbol" w:hint="default"/>
      </w:rPr>
    </w:lvl>
    <w:lvl w:ilvl="4" w:tplc="E36C4F1E">
      <w:start w:val="1"/>
      <w:numFmt w:val="bullet"/>
      <w:lvlText w:val="o"/>
      <w:lvlJc w:val="left"/>
      <w:pPr>
        <w:ind w:left="3600" w:hanging="360"/>
      </w:pPr>
      <w:rPr>
        <w:rFonts w:ascii="Courier New" w:hAnsi="Courier New" w:hint="default"/>
      </w:rPr>
    </w:lvl>
    <w:lvl w:ilvl="5" w:tplc="CC440220">
      <w:start w:val="1"/>
      <w:numFmt w:val="bullet"/>
      <w:lvlText w:val=""/>
      <w:lvlJc w:val="left"/>
      <w:pPr>
        <w:ind w:left="4320" w:hanging="360"/>
      </w:pPr>
      <w:rPr>
        <w:rFonts w:ascii="Wingdings" w:hAnsi="Wingdings" w:hint="default"/>
      </w:rPr>
    </w:lvl>
    <w:lvl w:ilvl="6" w:tplc="FAFEA014">
      <w:start w:val="1"/>
      <w:numFmt w:val="bullet"/>
      <w:lvlText w:val=""/>
      <w:lvlJc w:val="left"/>
      <w:pPr>
        <w:ind w:left="5040" w:hanging="360"/>
      </w:pPr>
      <w:rPr>
        <w:rFonts w:ascii="Symbol" w:hAnsi="Symbol" w:hint="default"/>
      </w:rPr>
    </w:lvl>
    <w:lvl w:ilvl="7" w:tplc="8B12A3F2">
      <w:start w:val="1"/>
      <w:numFmt w:val="bullet"/>
      <w:lvlText w:val="o"/>
      <w:lvlJc w:val="left"/>
      <w:pPr>
        <w:ind w:left="5760" w:hanging="360"/>
      </w:pPr>
      <w:rPr>
        <w:rFonts w:ascii="Courier New" w:hAnsi="Courier New" w:hint="default"/>
      </w:rPr>
    </w:lvl>
    <w:lvl w:ilvl="8" w:tplc="25324536">
      <w:start w:val="1"/>
      <w:numFmt w:val="bullet"/>
      <w:lvlText w:val=""/>
      <w:lvlJc w:val="left"/>
      <w:pPr>
        <w:ind w:left="6480" w:hanging="360"/>
      </w:pPr>
      <w:rPr>
        <w:rFonts w:ascii="Wingdings" w:hAnsi="Wingdings" w:hint="default"/>
      </w:rPr>
    </w:lvl>
  </w:abstractNum>
  <w:abstractNum w:abstractNumId="804" w15:restartNumberingAfterBreak="0">
    <w:nsid w:val="6DE52FC4"/>
    <w:multiLevelType w:val="multilevel"/>
    <w:tmpl w:val="4EE073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5" w15:restartNumberingAfterBreak="0">
    <w:nsid w:val="6DED7650"/>
    <w:multiLevelType w:val="multilevel"/>
    <w:tmpl w:val="4B6E4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6" w15:restartNumberingAfterBreak="0">
    <w:nsid w:val="6E0A5198"/>
    <w:multiLevelType w:val="multilevel"/>
    <w:tmpl w:val="18B89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7" w15:restartNumberingAfterBreak="0">
    <w:nsid w:val="6E31106D"/>
    <w:multiLevelType w:val="multilevel"/>
    <w:tmpl w:val="D7CE8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8" w15:restartNumberingAfterBreak="0">
    <w:nsid w:val="6E41CA2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09" w15:restartNumberingAfterBreak="0">
    <w:nsid w:val="6E43F1F5"/>
    <w:multiLevelType w:val="hybridMultilevel"/>
    <w:tmpl w:val="478C4C42"/>
    <w:lvl w:ilvl="0" w:tplc="D480F0A8">
      <w:start w:val="1"/>
      <w:numFmt w:val="bullet"/>
      <w:lvlText w:val=""/>
      <w:lvlJc w:val="left"/>
      <w:pPr>
        <w:ind w:left="720" w:hanging="360"/>
      </w:pPr>
      <w:rPr>
        <w:rFonts w:ascii="Symbol" w:hAnsi="Symbol" w:hint="default"/>
      </w:rPr>
    </w:lvl>
    <w:lvl w:ilvl="1" w:tplc="F50C7C6C">
      <w:start w:val="1"/>
      <w:numFmt w:val="bullet"/>
      <w:lvlText w:val="o"/>
      <w:lvlJc w:val="left"/>
      <w:pPr>
        <w:ind w:left="1440" w:hanging="360"/>
      </w:pPr>
      <w:rPr>
        <w:rFonts w:ascii="Courier New" w:hAnsi="Courier New" w:hint="default"/>
      </w:rPr>
    </w:lvl>
    <w:lvl w:ilvl="2" w:tplc="972283C6">
      <w:start w:val="1"/>
      <w:numFmt w:val="bullet"/>
      <w:lvlText w:val=""/>
      <w:lvlJc w:val="left"/>
      <w:pPr>
        <w:ind w:left="2160" w:hanging="360"/>
      </w:pPr>
      <w:rPr>
        <w:rFonts w:ascii="Wingdings" w:hAnsi="Wingdings" w:hint="default"/>
      </w:rPr>
    </w:lvl>
    <w:lvl w:ilvl="3" w:tplc="AFEED510">
      <w:start w:val="1"/>
      <w:numFmt w:val="bullet"/>
      <w:lvlText w:val=""/>
      <w:lvlJc w:val="left"/>
      <w:pPr>
        <w:ind w:left="2880" w:hanging="360"/>
      </w:pPr>
      <w:rPr>
        <w:rFonts w:ascii="Symbol" w:hAnsi="Symbol" w:hint="default"/>
      </w:rPr>
    </w:lvl>
    <w:lvl w:ilvl="4" w:tplc="5154932A">
      <w:start w:val="1"/>
      <w:numFmt w:val="bullet"/>
      <w:lvlText w:val="o"/>
      <w:lvlJc w:val="left"/>
      <w:pPr>
        <w:ind w:left="3600" w:hanging="360"/>
      </w:pPr>
      <w:rPr>
        <w:rFonts w:ascii="Courier New" w:hAnsi="Courier New" w:hint="default"/>
      </w:rPr>
    </w:lvl>
    <w:lvl w:ilvl="5" w:tplc="45E013FE">
      <w:start w:val="1"/>
      <w:numFmt w:val="bullet"/>
      <w:lvlText w:val=""/>
      <w:lvlJc w:val="left"/>
      <w:pPr>
        <w:ind w:left="4320" w:hanging="360"/>
      </w:pPr>
      <w:rPr>
        <w:rFonts w:ascii="Wingdings" w:hAnsi="Wingdings" w:hint="default"/>
      </w:rPr>
    </w:lvl>
    <w:lvl w:ilvl="6" w:tplc="6F5A48A4">
      <w:start w:val="1"/>
      <w:numFmt w:val="bullet"/>
      <w:lvlText w:val=""/>
      <w:lvlJc w:val="left"/>
      <w:pPr>
        <w:ind w:left="5040" w:hanging="360"/>
      </w:pPr>
      <w:rPr>
        <w:rFonts w:ascii="Symbol" w:hAnsi="Symbol" w:hint="default"/>
      </w:rPr>
    </w:lvl>
    <w:lvl w:ilvl="7" w:tplc="1E1424D0">
      <w:start w:val="1"/>
      <w:numFmt w:val="bullet"/>
      <w:lvlText w:val="o"/>
      <w:lvlJc w:val="left"/>
      <w:pPr>
        <w:ind w:left="5760" w:hanging="360"/>
      </w:pPr>
      <w:rPr>
        <w:rFonts w:ascii="Courier New" w:hAnsi="Courier New" w:hint="default"/>
      </w:rPr>
    </w:lvl>
    <w:lvl w:ilvl="8" w:tplc="B47C966C">
      <w:start w:val="1"/>
      <w:numFmt w:val="bullet"/>
      <w:lvlText w:val=""/>
      <w:lvlJc w:val="left"/>
      <w:pPr>
        <w:ind w:left="6480" w:hanging="360"/>
      </w:pPr>
      <w:rPr>
        <w:rFonts w:ascii="Wingdings" w:hAnsi="Wingdings" w:hint="default"/>
      </w:rPr>
    </w:lvl>
  </w:abstractNum>
  <w:abstractNum w:abstractNumId="810" w15:restartNumberingAfterBreak="0">
    <w:nsid w:val="6E55BD0D"/>
    <w:multiLevelType w:val="multilevel"/>
    <w:tmpl w:val="A5F411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11" w15:restartNumberingAfterBreak="0">
    <w:nsid w:val="6E7C60E4"/>
    <w:multiLevelType w:val="multilevel"/>
    <w:tmpl w:val="A38816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2" w15:restartNumberingAfterBreak="0">
    <w:nsid w:val="6EA872EF"/>
    <w:multiLevelType w:val="multilevel"/>
    <w:tmpl w:val="08F642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3" w15:restartNumberingAfterBreak="0">
    <w:nsid w:val="6ED31D0A"/>
    <w:multiLevelType w:val="hybridMultilevel"/>
    <w:tmpl w:val="FFFFFFFF"/>
    <w:lvl w:ilvl="0" w:tplc="E09ECB86">
      <w:start w:val="1"/>
      <w:numFmt w:val="bullet"/>
      <w:lvlText w:val=""/>
      <w:lvlJc w:val="left"/>
      <w:pPr>
        <w:ind w:left="547" w:hanging="360"/>
      </w:pPr>
      <w:rPr>
        <w:rFonts w:ascii="Symbol" w:hAnsi="Symbol" w:hint="default"/>
      </w:rPr>
    </w:lvl>
    <w:lvl w:ilvl="1" w:tplc="4A6ECBFC">
      <w:start w:val="1"/>
      <w:numFmt w:val="bullet"/>
      <w:lvlText w:val="o"/>
      <w:lvlJc w:val="left"/>
      <w:pPr>
        <w:ind w:left="1267" w:hanging="360"/>
      </w:pPr>
      <w:rPr>
        <w:rFonts w:ascii="Courier New" w:hAnsi="Courier New" w:hint="default"/>
      </w:rPr>
    </w:lvl>
    <w:lvl w:ilvl="2" w:tplc="3E687C6A">
      <w:start w:val="1"/>
      <w:numFmt w:val="bullet"/>
      <w:lvlText w:val=""/>
      <w:lvlJc w:val="left"/>
      <w:pPr>
        <w:ind w:left="1987" w:hanging="360"/>
      </w:pPr>
      <w:rPr>
        <w:rFonts w:ascii="Wingdings" w:hAnsi="Wingdings" w:hint="default"/>
      </w:rPr>
    </w:lvl>
    <w:lvl w:ilvl="3" w:tplc="55BA21F8">
      <w:start w:val="1"/>
      <w:numFmt w:val="bullet"/>
      <w:lvlText w:val=""/>
      <w:lvlJc w:val="left"/>
      <w:pPr>
        <w:ind w:left="2707" w:hanging="360"/>
      </w:pPr>
      <w:rPr>
        <w:rFonts w:ascii="Symbol" w:hAnsi="Symbol" w:hint="default"/>
      </w:rPr>
    </w:lvl>
    <w:lvl w:ilvl="4" w:tplc="9B0C9500">
      <w:start w:val="1"/>
      <w:numFmt w:val="bullet"/>
      <w:lvlText w:val="o"/>
      <w:lvlJc w:val="left"/>
      <w:pPr>
        <w:ind w:left="3427" w:hanging="360"/>
      </w:pPr>
      <w:rPr>
        <w:rFonts w:ascii="Courier New" w:hAnsi="Courier New" w:hint="default"/>
      </w:rPr>
    </w:lvl>
    <w:lvl w:ilvl="5" w:tplc="881642CE">
      <w:start w:val="1"/>
      <w:numFmt w:val="bullet"/>
      <w:lvlText w:val=""/>
      <w:lvlJc w:val="left"/>
      <w:pPr>
        <w:ind w:left="4147" w:hanging="360"/>
      </w:pPr>
      <w:rPr>
        <w:rFonts w:ascii="Wingdings" w:hAnsi="Wingdings" w:hint="default"/>
      </w:rPr>
    </w:lvl>
    <w:lvl w:ilvl="6" w:tplc="3F028A9E">
      <w:start w:val="1"/>
      <w:numFmt w:val="bullet"/>
      <w:lvlText w:val=""/>
      <w:lvlJc w:val="left"/>
      <w:pPr>
        <w:ind w:left="4867" w:hanging="360"/>
      </w:pPr>
      <w:rPr>
        <w:rFonts w:ascii="Symbol" w:hAnsi="Symbol" w:hint="default"/>
      </w:rPr>
    </w:lvl>
    <w:lvl w:ilvl="7" w:tplc="7780D62C">
      <w:start w:val="1"/>
      <w:numFmt w:val="bullet"/>
      <w:lvlText w:val="o"/>
      <w:lvlJc w:val="left"/>
      <w:pPr>
        <w:ind w:left="5587" w:hanging="360"/>
      </w:pPr>
      <w:rPr>
        <w:rFonts w:ascii="Courier New" w:hAnsi="Courier New" w:hint="default"/>
      </w:rPr>
    </w:lvl>
    <w:lvl w:ilvl="8" w:tplc="E5301796">
      <w:start w:val="1"/>
      <w:numFmt w:val="bullet"/>
      <w:lvlText w:val=""/>
      <w:lvlJc w:val="left"/>
      <w:pPr>
        <w:ind w:left="6307" w:hanging="360"/>
      </w:pPr>
      <w:rPr>
        <w:rFonts w:ascii="Wingdings" w:hAnsi="Wingdings" w:hint="default"/>
      </w:rPr>
    </w:lvl>
  </w:abstractNum>
  <w:abstractNum w:abstractNumId="814" w15:restartNumberingAfterBreak="0">
    <w:nsid w:val="6ED9461F"/>
    <w:multiLevelType w:val="multilevel"/>
    <w:tmpl w:val="8D080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5" w15:restartNumberingAfterBreak="0">
    <w:nsid w:val="6F48704E"/>
    <w:multiLevelType w:val="multilevel"/>
    <w:tmpl w:val="4502D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6" w15:restartNumberingAfterBreak="0">
    <w:nsid w:val="6F7D53F1"/>
    <w:multiLevelType w:val="multilevel"/>
    <w:tmpl w:val="FE06D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7" w15:restartNumberingAfterBreak="0">
    <w:nsid w:val="6F89298A"/>
    <w:multiLevelType w:val="hybridMultilevel"/>
    <w:tmpl w:val="BA5840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8" w15:restartNumberingAfterBreak="0">
    <w:nsid w:val="6F944B4D"/>
    <w:multiLevelType w:val="multilevel"/>
    <w:tmpl w:val="1772E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9" w15:restartNumberingAfterBreak="0">
    <w:nsid w:val="6FA847C4"/>
    <w:multiLevelType w:val="multilevel"/>
    <w:tmpl w:val="B91A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0" w15:restartNumberingAfterBreak="0">
    <w:nsid w:val="701939D4"/>
    <w:multiLevelType w:val="multilevel"/>
    <w:tmpl w:val="63BCBC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1" w15:restartNumberingAfterBreak="0">
    <w:nsid w:val="70242AE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22" w15:restartNumberingAfterBreak="0">
    <w:nsid w:val="705E110A"/>
    <w:multiLevelType w:val="multilevel"/>
    <w:tmpl w:val="CA2208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3" w15:restartNumberingAfterBreak="0">
    <w:nsid w:val="70652231"/>
    <w:multiLevelType w:val="multilevel"/>
    <w:tmpl w:val="1BA6EF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24" w15:restartNumberingAfterBreak="0">
    <w:nsid w:val="706AFC18"/>
    <w:multiLevelType w:val="hybridMultilevel"/>
    <w:tmpl w:val="D2581932"/>
    <w:lvl w:ilvl="0" w:tplc="EA6E1EA4">
      <w:start w:val="1"/>
      <w:numFmt w:val="bullet"/>
      <w:lvlText w:val=""/>
      <w:lvlJc w:val="left"/>
      <w:pPr>
        <w:ind w:left="720" w:hanging="360"/>
      </w:pPr>
      <w:rPr>
        <w:rFonts w:ascii="Symbol" w:hAnsi="Symbol" w:hint="default"/>
      </w:rPr>
    </w:lvl>
    <w:lvl w:ilvl="1" w:tplc="F20C49D8">
      <w:start w:val="1"/>
      <w:numFmt w:val="bullet"/>
      <w:lvlText w:val="o"/>
      <w:lvlJc w:val="left"/>
      <w:pPr>
        <w:ind w:left="1440" w:hanging="360"/>
      </w:pPr>
      <w:rPr>
        <w:rFonts w:ascii="Courier New" w:hAnsi="Courier New" w:hint="default"/>
      </w:rPr>
    </w:lvl>
    <w:lvl w:ilvl="2" w:tplc="743CC184">
      <w:start w:val="1"/>
      <w:numFmt w:val="bullet"/>
      <w:lvlText w:val=""/>
      <w:lvlJc w:val="left"/>
      <w:pPr>
        <w:ind w:left="2160" w:hanging="360"/>
      </w:pPr>
      <w:rPr>
        <w:rFonts w:ascii="Wingdings" w:hAnsi="Wingdings" w:hint="default"/>
      </w:rPr>
    </w:lvl>
    <w:lvl w:ilvl="3" w:tplc="92D21D1C">
      <w:start w:val="1"/>
      <w:numFmt w:val="bullet"/>
      <w:lvlText w:val=""/>
      <w:lvlJc w:val="left"/>
      <w:pPr>
        <w:ind w:left="2880" w:hanging="360"/>
      </w:pPr>
      <w:rPr>
        <w:rFonts w:ascii="Symbol" w:hAnsi="Symbol" w:hint="default"/>
      </w:rPr>
    </w:lvl>
    <w:lvl w:ilvl="4" w:tplc="44CE1B92">
      <w:start w:val="1"/>
      <w:numFmt w:val="bullet"/>
      <w:lvlText w:val="o"/>
      <w:lvlJc w:val="left"/>
      <w:pPr>
        <w:ind w:left="3600" w:hanging="360"/>
      </w:pPr>
      <w:rPr>
        <w:rFonts w:ascii="Courier New" w:hAnsi="Courier New" w:hint="default"/>
      </w:rPr>
    </w:lvl>
    <w:lvl w:ilvl="5" w:tplc="05C00094">
      <w:start w:val="1"/>
      <w:numFmt w:val="bullet"/>
      <w:lvlText w:val=""/>
      <w:lvlJc w:val="left"/>
      <w:pPr>
        <w:ind w:left="4320" w:hanging="360"/>
      </w:pPr>
      <w:rPr>
        <w:rFonts w:ascii="Wingdings" w:hAnsi="Wingdings" w:hint="default"/>
      </w:rPr>
    </w:lvl>
    <w:lvl w:ilvl="6" w:tplc="A2F04122">
      <w:start w:val="1"/>
      <w:numFmt w:val="bullet"/>
      <w:lvlText w:val=""/>
      <w:lvlJc w:val="left"/>
      <w:pPr>
        <w:ind w:left="5040" w:hanging="360"/>
      </w:pPr>
      <w:rPr>
        <w:rFonts w:ascii="Symbol" w:hAnsi="Symbol" w:hint="default"/>
      </w:rPr>
    </w:lvl>
    <w:lvl w:ilvl="7" w:tplc="33AA4A7A">
      <w:start w:val="1"/>
      <w:numFmt w:val="bullet"/>
      <w:lvlText w:val="o"/>
      <w:lvlJc w:val="left"/>
      <w:pPr>
        <w:ind w:left="5760" w:hanging="360"/>
      </w:pPr>
      <w:rPr>
        <w:rFonts w:ascii="Courier New" w:hAnsi="Courier New" w:hint="default"/>
      </w:rPr>
    </w:lvl>
    <w:lvl w:ilvl="8" w:tplc="7730028C">
      <w:start w:val="1"/>
      <w:numFmt w:val="bullet"/>
      <w:lvlText w:val=""/>
      <w:lvlJc w:val="left"/>
      <w:pPr>
        <w:ind w:left="6480" w:hanging="360"/>
      </w:pPr>
      <w:rPr>
        <w:rFonts w:ascii="Wingdings" w:hAnsi="Wingdings" w:hint="default"/>
      </w:rPr>
    </w:lvl>
  </w:abstractNum>
  <w:abstractNum w:abstractNumId="825" w15:restartNumberingAfterBreak="0">
    <w:nsid w:val="70D01C48"/>
    <w:multiLevelType w:val="multilevel"/>
    <w:tmpl w:val="6D7EF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6" w15:restartNumberingAfterBreak="0">
    <w:nsid w:val="70DA2DEE"/>
    <w:multiLevelType w:val="hybridMultilevel"/>
    <w:tmpl w:val="29D63D88"/>
    <w:lvl w:ilvl="0" w:tplc="E1ECA7EA">
      <w:start w:val="1"/>
      <w:numFmt w:val="bullet"/>
      <w:lvlText w:val=""/>
      <w:lvlJc w:val="left"/>
      <w:pPr>
        <w:ind w:left="720" w:hanging="360"/>
      </w:pPr>
      <w:rPr>
        <w:rFonts w:ascii="Symbol" w:hAnsi="Symbol" w:hint="default"/>
      </w:rPr>
    </w:lvl>
    <w:lvl w:ilvl="1" w:tplc="4DF0416A">
      <w:start w:val="1"/>
      <w:numFmt w:val="bullet"/>
      <w:lvlText w:val="o"/>
      <w:lvlJc w:val="left"/>
      <w:pPr>
        <w:ind w:left="1440" w:hanging="360"/>
      </w:pPr>
      <w:rPr>
        <w:rFonts w:ascii="Courier New" w:hAnsi="Courier New" w:hint="default"/>
      </w:rPr>
    </w:lvl>
    <w:lvl w:ilvl="2" w:tplc="FAEE1432">
      <w:start w:val="1"/>
      <w:numFmt w:val="bullet"/>
      <w:lvlText w:val=""/>
      <w:lvlJc w:val="left"/>
      <w:pPr>
        <w:ind w:left="2160" w:hanging="360"/>
      </w:pPr>
      <w:rPr>
        <w:rFonts w:ascii="Wingdings" w:hAnsi="Wingdings" w:hint="default"/>
      </w:rPr>
    </w:lvl>
    <w:lvl w:ilvl="3" w:tplc="2AE85624">
      <w:start w:val="1"/>
      <w:numFmt w:val="bullet"/>
      <w:lvlText w:val=""/>
      <w:lvlJc w:val="left"/>
      <w:pPr>
        <w:ind w:left="2880" w:hanging="360"/>
      </w:pPr>
      <w:rPr>
        <w:rFonts w:ascii="Symbol" w:hAnsi="Symbol" w:hint="default"/>
      </w:rPr>
    </w:lvl>
    <w:lvl w:ilvl="4" w:tplc="09A65E8C">
      <w:start w:val="1"/>
      <w:numFmt w:val="bullet"/>
      <w:lvlText w:val="o"/>
      <w:lvlJc w:val="left"/>
      <w:pPr>
        <w:ind w:left="3600" w:hanging="360"/>
      </w:pPr>
      <w:rPr>
        <w:rFonts w:ascii="Courier New" w:hAnsi="Courier New" w:hint="default"/>
      </w:rPr>
    </w:lvl>
    <w:lvl w:ilvl="5" w:tplc="8DFA5154">
      <w:start w:val="1"/>
      <w:numFmt w:val="bullet"/>
      <w:lvlText w:val=""/>
      <w:lvlJc w:val="left"/>
      <w:pPr>
        <w:ind w:left="4320" w:hanging="360"/>
      </w:pPr>
      <w:rPr>
        <w:rFonts w:ascii="Wingdings" w:hAnsi="Wingdings" w:hint="default"/>
      </w:rPr>
    </w:lvl>
    <w:lvl w:ilvl="6" w:tplc="7234B644">
      <w:start w:val="1"/>
      <w:numFmt w:val="bullet"/>
      <w:lvlText w:val=""/>
      <w:lvlJc w:val="left"/>
      <w:pPr>
        <w:ind w:left="5040" w:hanging="360"/>
      </w:pPr>
      <w:rPr>
        <w:rFonts w:ascii="Symbol" w:hAnsi="Symbol" w:hint="default"/>
      </w:rPr>
    </w:lvl>
    <w:lvl w:ilvl="7" w:tplc="E7684156">
      <w:start w:val="1"/>
      <w:numFmt w:val="bullet"/>
      <w:lvlText w:val="o"/>
      <w:lvlJc w:val="left"/>
      <w:pPr>
        <w:ind w:left="5760" w:hanging="360"/>
      </w:pPr>
      <w:rPr>
        <w:rFonts w:ascii="Courier New" w:hAnsi="Courier New" w:hint="default"/>
      </w:rPr>
    </w:lvl>
    <w:lvl w:ilvl="8" w:tplc="1346C568">
      <w:start w:val="1"/>
      <w:numFmt w:val="bullet"/>
      <w:lvlText w:val=""/>
      <w:lvlJc w:val="left"/>
      <w:pPr>
        <w:ind w:left="6480" w:hanging="360"/>
      </w:pPr>
      <w:rPr>
        <w:rFonts w:ascii="Wingdings" w:hAnsi="Wingdings" w:hint="default"/>
      </w:rPr>
    </w:lvl>
  </w:abstractNum>
  <w:abstractNum w:abstractNumId="827" w15:restartNumberingAfterBreak="0">
    <w:nsid w:val="710478AC"/>
    <w:multiLevelType w:val="multilevel"/>
    <w:tmpl w:val="4A6C7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8" w15:restartNumberingAfterBreak="0">
    <w:nsid w:val="711341F3"/>
    <w:multiLevelType w:val="hybridMultilevel"/>
    <w:tmpl w:val="7BC0D4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9" w15:restartNumberingAfterBreak="0">
    <w:nsid w:val="711D2CA1"/>
    <w:multiLevelType w:val="multilevel"/>
    <w:tmpl w:val="AA26F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0" w15:restartNumberingAfterBreak="0">
    <w:nsid w:val="716631F5"/>
    <w:multiLevelType w:val="multilevel"/>
    <w:tmpl w:val="949A4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1" w15:restartNumberingAfterBreak="0">
    <w:nsid w:val="71674CF4"/>
    <w:multiLevelType w:val="multilevel"/>
    <w:tmpl w:val="05FE2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2" w15:restartNumberingAfterBreak="0">
    <w:nsid w:val="71778A2A"/>
    <w:multiLevelType w:val="hybridMultilevel"/>
    <w:tmpl w:val="064A7E7C"/>
    <w:lvl w:ilvl="0" w:tplc="E17CD970">
      <w:start w:val="1"/>
      <w:numFmt w:val="bullet"/>
      <w:lvlText w:val=""/>
      <w:lvlJc w:val="left"/>
      <w:pPr>
        <w:ind w:left="547" w:hanging="360"/>
      </w:pPr>
      <w:rPr>
        <w:rFonts w:ascii="Symbol" w:hAnsi="Symbol" w:hint="default"/>
      </w:rPr>
    </w:lvl>
    <w:lvl w:ilvl="1" w:tplc="4DB4631A">
      <w:start w:val="1"/>
      <w:numFmt w:val="bullet"/>
      <w:lvlText w:val="o"/>
      <w:lvlJc w:val="left"/>
      <w:pPr>
        <w:ind w:left="1267" w:hanging="360"/>
      </w:pPr>
      <w:rPr>
        <w:rFonts w:ascii="Courier New" w:hAnsi="Courier New" w:hint="default"/>
      </w:rPr>
    </w:lvl>
    <w:lvl w:ilvl="2" w:tplc="69D45850">
      <w:start w:val="1"/>
      <w:numFmt w:val="bullet"/>
      <w:lvlText w:val=""/>
      <w:lvlJc w:val="left"/>
      <w:pPr>
        <w:ind w:left="1987" w:hanging="360"/>
      </w:pPr>
      <w:rPr>
        <w:rFonts w:ascii="Wingdings" w:hAnsi="Wingdings" w:hint="default"/>
      </w:rPr>
    </w:lvl>
    <w:lvl w:ilvl="3" w:tplc="5D561432">
      <w:start w:val="1"/>
      <w:numFmt w:val="bullet"/>
      <w:lvlText w:val=""/>
      <w:lvlJc w:val="left"/>
      <w:pPr>
        <w:ind w:left="2707" w:hanging="360"/>
      </w:pPr>
      <w:rPr>
        <w:rFonts w:ascii="Symbol" w:hAnsi="Symbol" w:hint="default"/>
      </w:rPr>
    </w:lvl>
    <w:lvl w:ilvl="4" w:tplc="46DAB0A2">
      <w:start w:val="1"/>
      <w:numFmt w:val="bullet"/>
      <w:lvlText w:val="o"/>
      <w:lvlJc w:val="left"/>
      <w:pPr>
        <w:ind w:left="3427" w:hanging="360"/>
      </w:pPr>
      <w:rPr>
        <w:rFonts w:ascii="Courier New" w:hAnsi="Courier New" w:hint="default"/>
      </w:rPr>
    </w:lvl>
    <w:lvl w:ilvl="5" w:tplc="CDB642BE">
      <w:start w:val="1"/>
      <w:numFmt w:val="bullet"/>
      <w:lvlText w:val=""/>
      <w:lvlJc w:val="left"/>
      <w:pPr>
        <w:ind w:left="4147" w:hanging="360"/>
      </w:pPr>
      <w:rPr>
        <w:rFonts w:ascii="Wingdings" w:hAnsi="Wingdings" w:hint="default"/>
      </w:rPr>
    </w:lvl>
    <w:lvl w:ilvl="6" w:tplc="E5DE2DC6">
      <w:start w:val="1"/>
      <w:numFmt w:val="bullet"/>
      <w:lvlText w:val=""/>
      <w:lvlJc w:val="left"/>
      <w:pPr>
        <w:ind w:left="4867" w:hanging="360"/>
      </w:pPr>
      <w:rPr>
        <w:rFonts w:ascii="Symbol" w:hAnsi="Symbol" w:hint="default"/>
      </w:rPr>
    </w:lvl>
    <w:lvl w:ilvl="7" w:tplc="4A529DA8">
      <w:start w:val="1"/>
      <w:numFmt w:val="bullet"/>
      <w:lvlText w:val="o"/>
      <w:lvlJc w:val="left"/>
      <w:pPr>
        <w:ind w:left="5587" w:hanging="360"/>
      </w:pPr>
      <w:rPr>
        <w:rFonts w:ascii="Courier New" w:hAnsi="Courier New" w:hint="default"/>
      </w:rPr>
    </w:lvl>
    <w:lvl w:ilvl="8" w:tplc="CBAE530E">
      <w:start w:val="1"/>
      <w:numFmt w:val="bullet"/>
      <w:lvlText w:val=""/>
      <w:lvlJc w:val="left"/>
      <w:pPr>
        <w:ind w:left="6307" w:hanging="360"/>
      </w:pPr>
      <w:rPr>
        <w:rFonts w:ascii="Wingdings" w:hAnsi="Wingdings" w:hint="default"/>
      </w:rPr>
    </w:lvl>
  </w:abstractNum>
  <w:abstractNum w:abstractNumId="833" w15:restartNumberingAfterBreak="0">
    <w:nsid w:val="718F48F0"/>
    <w:multiLevelType w:val="hybridMultilevel"/>
    <w:tmpl w:val="709A1DC0"/>
    <w:lvl w:ilvl="0" w:tplc="04090017">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4" w15:restartNumberingAfterBreak="0">
    <w:nsid w:val="718F5DF5"/>
    <w:multiLevelType w:val="multilevel"/>
    <w:tmpl w:val="93906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5" w15:restartNumberingAfterBreak="0">
    <w:nsid w:val="722009AE"/>
    <w:multiLevelType w:val="multilevel"/>
    <w:tmpl w:val="EC646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6" w15:restartNumberingAfterBreak="0">
    <w:nsid w:val="722E2B28"/>
    <w:multiLevelType w:val="hybridMultilevel"/>
    <w:tmpl w:val="9B90549E"/>
    <w:lvl w:ilvl="0" w:tplc="03BCACEA">
      <w:start w:val="1"/>
      <w:numFmt w:val="bullet"/>
      <w:lvlText w:val=""/>
      <w:lvlJc w:val="left"/>
      <w:pPr>
        <w:tabs>
          <w:tab w:val="num" w:pos="720"/>
        </w:tabs>
        <w:ind w:left="720" w:hanging="360"/>
      </w:pPr>
      <w:rPr>
        <w:rFonts w:ascii="Symbol" w:hAnsi="Symbol" w:hint="default"/>
        <w:sz w:val="20"/>
      </w:rPr>
    </w:lvl>
    <w:lvl w:ilvl="1" w:tplc="2FFAE27E" w:tentative="1">
      <w:start w:val="1"/>
      <w:numFmt w:val="bullet"/>
      <w:lvlText w:val=""/>
      <w:lvlJc w:val="left"/>
      <w:pPr>
        <w:tabs>
          <w:tab w:val="num" w:pos="1440"/>
        </w:tabs>
        <w:ind w:left="1440" w:hanging="360"/>
      </w:pPr>
      <w:rPr>
        <w:rFonts w:ascii="Symbol" w:hAnsi="Symbol" w:hint="default"/>
        <w:sz w:val="20"/>
      </w:rPr>
    </w:lvl>
    <w:lvl w:ilvl="2" w:tplc="960236FE" w:tentative="1">
      <w:start w:val="1"/>
      <w:numFmt w:val="bullet"/>
      <w:lvlText w:val=""/>
      <w:lvlJc w:val="left"/>
      <w:pPr>
        <w:tabs>
          <w:tab w:val="num" w:pos="2160"/>
        </w:tabs>
        <w:ind w:left="2160" w:hanging="360"/>
      </w:pPr>
      <w:rPr>
        <w:rFonts w:ascii="Symbol" w:hAnsi="Symbol" w:hint="default"/>
        <w:sz w:val="20"/>
      </w:rPr>
    </w:lvl>
    <w:lvl w:ilvl="3" w:tplc="FC5CEB3C" w:tentative="1">
      <w:start w:val="1"/>
      <w:numFmt w:val="bullet"/>
      <w:lvlText w:val=""/>
      <w:lvlJc w:val="left"/>
      <w:pPr>
        <w:tabs>
          <w:tab w:val="num" w:pos="2880"/>
        </w:tabs>
        <w:ind w:left="2880" w:hanging="360"/>
      </w:pPr>
      <w:rPr>
        <w:rFonts w:ascii="Symbol" w:hAnsi="Symbol" w:hint="default"/>
        <w:sz w:val="20"/>
      </w:rPr>
    </w:lvl>
    <w:lvl w:ilvl="4" w:tplc="1B62E496" w:tentative="1">
      <w:start w:val="1"/>
      <w:numFmt w:val="bullet"/>
      <w:lvlText w:val=""/>
      <w:lvlJc w:val="left"/>
      <w:pPr>
        <w:tabs>
          <w:tab w:val="num" w:pos="3600"/>
        </w:tabs>
        <w:ind w:left="3600" w:hanging="360"/>
      </w:pPr>
      <w:rPr>
        <w:rFonts w:ascii="Symbol" w:hAnsi="Symbol" w:hint="default"/>
        <w:sz w:val="20"/>
      </w:rPr>
    </w:lvl>
    <w:lvl w:ilvl="5" w:tplc="DCA4161A" w:tentative="1">
      <w:start w:val="1"/>
      <w:numFmt w:val="bullet"/>
      <w:lvlText w:val=""/>
      <w:lvlJc w:val="left"/>
      <w:pPr>
        <w:tabs>
          <w:tab w:val="num" w:pos="4320"/>
        </w:tabs>
        <w:ind w:left="4320" w:hanging="360"/>
      </w:pPr>
      <w:rPr>
        <w:rFonts w:ascii="Symbol" w:hAnsi="Symbol" w:hint="default"/>
        <w:sz w:val="20"/>
      </w:rPr>
    </w:lvl>
    <w:lvl w:ilvl="6" w:tplc="34841D4C" w:tentative="1">
      <w:start w:val="1"/>
      <w:numFmt w:val="bullet"/>
      <w:lvlText w:val=""/>
      <w:lvlJc w:val="left"/>
      <w:pPr>
        <w:tabs>
          <w:tab w:val="num" w:pos="5040"/>
        </w:tabs>
        <w:ind w:left="5040" w:hanging="360"/>
      </w:pPr>
      <w:rPr>
        <w:rFonts w:ascii="Symbol" w:hAnsi="Symbol" w:hint="default"/>
        <w:sz w:val="20"/>
      </w:rPr>
    </w:lvl>
    <w:lvl w:ilvl="7" w:tplc="54243E20" w:tentative="1">
      <w:start w:val="1"/>
      <w:numFmt w:val="bullet"/>
      <w:lvlText w:val=""/>
      <w:lvlJc w:val="left"/>
      <w:pPr>
        <w:tabs>
          <w:tab w:val="num" w:pos="5760"/>
        </w:tabs>
        <w:ind w:left="5760" w:hanging="360"/>
      </w:pPr>
      <w:rPr>
        <w:rFonts w:ascii="Symbol" w:hAnsi="Symbol" w:hint="default"/>
        <w:sz w:val="20"/>
      </w:rPr>
    </w:lvl>
    <w:lvl w:ilvl="8" w:tplc="C4A8065A" w:tentative="1">
      <w:start w:val="1"/>
      <w:numFmt w:val="bullet"/>
      <w:lvlText w:val=""/>
      <w:lvlJc w:val="left"/>
      <w:pPr>
        <w:tabs>
          <w:tab w:val="num" w:pos="6480"/>
        </w:tabs>
        <w:ind w:left="6480" w:hanging="360"/>
      </w:pPr>
      <w:rPr>
        <w:rFonts w:ascii="Symbol" w:hAnsi="Symbol" w:hint="default"/>
        <w:sz w:val="20"/>
      </w:rPr>
    </w:lvl>
  </w:abstractNum>
  <w:abstractNum w:abstractNumId="837" w15:restartNumberingAfterBreak="0">
    <w:nsid w:val="72336AAE"/>
    <w:multiLevelType w:val="multilevel"/>
    <w:tmpl w:val="DD220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8" w15:restartNumberingAfterBreak="0">
    <w:nsid w:val="72476440"/>
    <w:multiLevelType w:val="multilevel"/>
    <w:tmpl w:val="92F8A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9" w15:restartNumberingAfterBreak="0">
    <w:nsid w:val="725F66DB"/>
    <w:multiLevelType w:val="multilevel"/>
    <w:tmpl w:val="64047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0" w15:restartNumberingAfterBreak="0">
    <w:nsid w:val="72614D0A"/>
    <w:multiLevelType w:val="multilevel"/>
    <w:tmpl w:val="6D26C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1" w15:restartNumberingAfterBreak="0">
    <w:nsid w:val="72626BCA"/>
    <w:multiLevelType w:val="hybridMultilevel"/>
    <w:tmpl w:val="E79046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2" w15:restartNumberingAfterBreak="0">
    <w:nsid w:val="72DBF65E"/>
    <w:multiLevelType w:val="multilevel"/>
    <w:tmpl w:val="45FAE8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43" w15:restartNumberingAfterBreak="0">
    <w:nsid w:val="730012CA"/>
    <w:multiLevelType w:val="multilevel"/>
    <w:tmpl w:val="E4BCB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4" w15:restartNumberingAfterBreak="0">
    <w:nsid w:val="73710711"/>
    <w:multiLevelType w:val="hybridMultilevel"/>
    <w:tmpl w:val="699CF50A"/>
    <w:lvl w:ilvl="0" w:tplc="040C0001">
      <w:start w:val="1"/>
      <w:numFmt w:val="bullet"/>
      <w:lvlText w:val=""/>
      <w:lvlJc w:val="left"/>
      <w:pPr>
        <w:ind w:left="907" w:hanging="360"/>
      </w:pPr>
      <w:rPr>
        <w:rFonts w:ascii="Symbol" w:hAnsi="Symbol" w:hint="default"/>
      </w:rPr>
    </w:lvl>
    <w:lvl w:ilvl="1" w:tplc="040C0003" w:tentative="1">
      <w:start w:val="1"/>
      <w:numFmt w:val="bullet"/>
      <w:lvlText w:val="o"/>
      <w:lvlJc w:val="left"/>
      <w:pPr>
        <w:ind w:left="1627" w:hanging="360"/>
      </w:pPr>
      <w:rPr>
        <w:rFonts w:ascii="Courier New" w:hAnsi="Courier New" w:cs="Courier New" w:hint="default"/>
      </w:rPr>
    </w:lvl>
    <w:lvl w:ilvl="2" w:tplc="040C0005" w:tentative="1">
      <w:start w:val="1"/>
      <w:numFmt w:val="bullet"/>
      <w:lvlText w:val=""/>
      <w:lvlJc w:val="left"/>
      <w:pPr>
        <w:ind w:left="2347" w:hanging="360"/>
      </w:pPr>
      <w:rPr>
        <w:rFonts w:ascii="Wingdings" w:hAnsi="Wingdings" w:hint="default"/>
      </w:rPr>
    </w:lvl>
    <w:lvl w:ilvl="3" w:tplc="040C0001" w:tentative="1">
      <w:start w:val="1"/>
      <w:numFmt w:val="bullet"/>
      <w:lvlText w:val=""/>
      <w:lvlJc w:val="left"/>
      <w:pPr>
        <w:ind w:left="3067" w:hanging="360"/>
      </w:pPr>
      <w:rPr>
        <w:rFonts w:ascii="Symbol" w:hAnsi="Symbol" w:hint="default"/>
      </w:rPr>
    </w:lvl>
    <w:lvl w:ilvl="4" w:tplc="040C0003" w:tentative="1">
      <w:start w:val="1"/>
      <w:numFmt w:val="bullet"/>
      <w:lvlText w:val="o"/>
      <w:lvlJc w:val="left"/>
      <w:pPr>
        <w:ind w:left="3787" w:hanging="360"/>
      </w:pPr>
      <w:rPr>
        <w:rFonts w:ascii="Courier New" w:hAnsi="Courier New" w:cs="Courier New" w:hint="default"/>
      </w:rPr>
    </w:lvl>
    <w:lvl w:ilvl="5" w:tplc="040C0005" w:tentative="1">
      <w:start w:val="1"/>
      <w:numFmt w:val="bullet"/>
      <w:lvlText w:val=""/>
      <w:lvlJc w:val="left"/>
      <w:pPr>
        <w:ind w:left="4507" w:hanging="360"/>
      </w:pPr>
      <w:rPr>
        <w:rFonts w:ascii="Wingdings" w:hAnsi="Wingdings" w:hint="default"/>
      </w:rPr>
    </w:lvl>
    <w:lvl w:ilvl="6" w:tplc="040C0001" w:tentative="1">
      <w:start w:val="1"/>
      <w:numFmt w:val="bullet"/>
      <w:lvlText w:val=""/>
      <w:lvlJc w:val="left"/>
      <w:pPr>
        <w:ind w:left="5227" w:hanging="360"/>
      </w:pPr>
      <w:rPr>
        <w:rFonts w:ascii="Symbol" w:hAnsi="Symbol" w:hint="default"/>
      </w:rPr>
    </w:lvl>
    <w:lvl w:ilvl="7" w:tplc="040C0003" w:tentative="1">
      <w:start w:val="1"/>
      <w:numFmt w:val="bullet"/>
      <w:lvlText w:val="o"/>
      <w:lvlJc w:val="left"/>
      <w:pPr>
        <w:ind w:left="5947" w:hanging="360"/>
      </w:pPr>
      <w:rPr>
        <w:rFonts w:ascii="Courier New" w:hAnsi="Courier New" w:cs="Courier New" w:hint="default"/>
      </w:rPr>
    </w:lvl>
    <w:lvl w:ilvl="8" w:tplc="040C0005" w:tentative="1">
      <w:start w:val="1"/>
      <w:numFmt w:val="bullet"/>
      <w:lvlText w:val=""/>
      <w:lvlJc w:val="left"/>
      <w:pPr>
        <w:ind w:left="6667" w:hanging="360"/>
      </w:pPr>
      <w:rPr>
        <w:rFonts w:ascii="Wingdings" w:hAnsi="Wingdings" w:hint="default"/>
      </w:rPr>
    </w:lvl>
  </w:abstractNum>
  <w:abstractNum w:abstractNumId="845" w15:restartNumberingAfterBreak="0">
    <w:nsid w:val="738E5DD1"/>
    <w:multiLevelType w:val="multilevel"/>
    <w:tmpl w:val="E58EF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6" w15:restartNumberingAfterBreak="0">
    <w:nsid w:val="739F5FC7"/>
    <w:multiLevelType w:val="multilevel"/>
    <w:tmpl w:val="1D4C5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7" w15:restartNumberingAfterBreak="0">
    <w:nsid w:val="73E31E94"/>
    <w:multiLevelType w:val="multilevel"/>
    <w:tmpl w:val="AFBC6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8" w15:restartNumberingAfterBreak="0">
    <w:nsid w:val="7420A2A7"/>
    <w:multiLevelType w:val="hybridMultilevel"/>
    <w:tmpl w:val="FFFFFFFF"/>
    <w:lvl w:ilvl="0" w:tplc="0E124A58">
      <w:start w:val="1"/>
      <w:numFmt w:val="bullet"/>
      <w:lvlText w:val=""/>
      <w:lvlJc w:val="left"/>
      <w:pPr>
        <w:ind w:left="1440" w:hanging="360"/>
      </w:pPr>
      <w:rPr>
        <w:rFonts w:ascii="Symbol" w:hAnsi="Symbol" w:hint="default"/>
      </w:rPr>
    </w:lvl>
    <w:lvl w:ilvl="1" w:tplc="60BA4558">
      <w:start w:val="1"/>
      <w:numFmt w:val="bullet"/>
      <w:lvlText w:val="o"/>
      <w:lvlJc w:val="left"/>
      <w:pPr>
        <w:ind w:left="2160" w:hanging="360"/>
      </w:pPr>
      <w:rPr>
        <w:rFonts w:ascii="Courier New" w:hAnsi="Courier New" w:hint="default"/>
      </w:rPr>
    </w:lvl>
    <w:lvl w:ilvl="2" w:tplc="A3825E4E">
      <w:start w:val="1"/>
      <w:numFmt w:val="bullet"/>
      <w:lvlText w:val=""/>
      <w:lvlJc w:val="left"/>
      <w:pPr>
        <w:ind w:left="2880" w:hanging="360"/>
      </w:pPr>
      <w:rPr>
        <w:rFonts w:ascii="Wingdings" w:hAnsi="Wingdings" w:hint="default"/>
      </w:rPr>
    </w:lvl>
    <w:lvl w:ilvl="3" w:tplc="6C2403A6">
      <w:start w:val="1"/>
      <w:numFmt w:val="bullet"/>
      <w:lvlText w:val=""/>
      <w:lvlJc w:val="left"/>
      <w:pPr>
        <w:ind w:left="3600" w:hanging="360"/>
      </w:pPr>
      <w:rPr>
        <w:rFonts w:ascii="Symbol" w:hAnsi="Symbol" w:hint="default"/>
      </w:rPr>
    </w:lvl>
    <w:lvl w:ilvl="4" w:tplc="60CAB8D0">
      <w:start w:val="1"/>
      <w:numFmt w:val="bullet"/>
      <w:lvlText w:val="o"/>
      <w:lvlJc w:val="left"/>
      <w:pPr>
        <w:ind w:left="4320" w:hanging="360"/>
      </w:pPr>
      <w:rPr>
        <w:rFonts w:ascii="Courier New" w:hAnsi="Courier New" w:hint="default"/>
      </w:rPr>
    </w:lvl>
    <w:lvl w:ilvl="5" w:tplc="7E1A4522">
      <w:start w:val="1"/>
      <w:numFmt w:val="bullet"/>
      <w:lvlText w:val=""/>
      <w:lvlJc w:val="left"/>
      <w:pPr>
        <w:ind w:left="5040" w:hanging="360"/>
      </w:pPr>
      <w:rPr>
        <w:rFonts w:ascii="Wingdings" w:hAnsi="Wingdings" w:hint="default"/>
      </w:rPr>
    </w:lvl>
    <w:lvl w:ilvl="6" w:tplc="74D44EA8">
      <w:start w:val="1"/>
      <w:numFmt w:val="bullet"/>
      <w:lvlText w:val=""/>
      <w:lvlJc w:val="left"/>
      <w:pPr>
        <w:ind w:left="5760" w:hanging="360"/>
      </w:pPr>
      <w:rPr>
        <w:rFonts w:ascii="Symbol" w:hAnsi="Symbol" w:hint="default"/>
      </w:rPr>
    </w:lvl>
    <w:lvl w:ilvl="7" w:tplc="E6CA7536">
      <w:start w:val="1"/>
      <w:numFmt w:val="bullet"/>
      <w:lvlText w:val="o"/>
      <w:lvlJc w:val="left"/>
      <w:pPr>
        <w:ind w:left="6480" w:hanging="360"/>
      </w:pPr>
      <w:rPr>
        <w:rFonts w:ascii="Courier New" w:hAnsi="Courier New" w:hint="default"/>
      </w:rPr>
    </w:lvl>
    <w:lvl w:ilvl="8" w:tplc="FC9442E0">
      <w:start w:val="1"/>
      <w:numFmt w:val="bullet"/>
      <w:lvlText w:val=""/>
      <w:lvlJc w:val="left"/>
      <w:pPr>
        <w:ind w:left="7200" w:hanging="360"/>
      </w:pPr>
      <w:rPr>
        <w:rFonts w:ascii="Wingdings" w:hAnsi="Wingdings" w:hint="default"/>
      </w:rPr>
    </w:lvl>
  </w:abstractNum>
  <w:abstractNum w:abstractNumId="849" w15:restartNumberingAfterBreak="0">
    <w:nsid w:val="742C01CB"/>
    <w:multiLevelType w:val="multilevel"/>
    <w:tmpl w:val="EBF82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0" w15:restartNumberingAfterBreak="0">
    <w:nsid w:val="744A074B"/>
    <w:multiLevelType w:val="hybridMultilevel"/>
    <w:tmpl w:val="F5186296"/>
    <w:lvl w:ilvl="0" w:tplc="0409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1" w15:restartNumberingAfterBreak="0">
    <w:nsid w:val="746B6E4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852" w15:restartNumberingAfterBreak="0">
    <w:nsid w:val="749BCAF0"/>
    <w:multiLevelType w:val="hybridMultilevel"/>
    <w:tmpl w:val="7B4EE720"/>
    <w:lvl w:ilvl="0" w:tplc="4126A7F0">
      <w:start w:val="1"/>
      <w:numFmt w:val="bullet"/>
      <w:lvlText w:val=""/>
      <w:lvlJc w:val="left"/>
      <w:pPr>
        <w:ind w:left="720" w:hanging="360"/>
      </w:pPr>
      <w:rPr>
        <w:rFonts w:ascii="Symbol" w:hAnsi="Symbol" w:hint="default"/>
      </w:rPr>
    </w:lvl>
    <w:lvl w:ilvl="1" w:tplc="2C3EBEB0">
      <w:start w:val="1"/>
      <w:numFmt w:val="bullet"/>
      <w:lvlText w:val="o"/>
      <w:lvlJc w:val="left"/>
      <w:pPr>
        <w:ind w:left="1440" w:hanging="360"/>
      </w:pPr>
      <w:rPr>
        <w:rFonts w:ascii="Courier New" w:hAnsi="Courier New" w:hint="default"/>
      </w:rPr>
    </w:lvl>
    <w:lvl w:ilvl="2" w:tplc="1EEA7254">
      <w:start w:val="1"/>
      <w:numFmt w:val="bullet"/>
      <w:lvlText w:val=""/>
      <w:lvlJc w:val="left"/>
      <w:pPr>
        <w:ind w:left="2160" w:hanging="360"/>
      </w:pPr>
      <w:rPr>
        <w:rFonts w:ascii="Wingdings" w:hAnsi="Wingdings" w:hint="default"/>
      </w:rPr>
    </w:lvl>
    <w:lvl w:ilvl="3" w:tplc="87B6F7FC">
      <w:start w:val="1"/>
      <w:numFmt w:val="bullet"/>
      <w:lvlText w:val=""/>
      <w:lvlJc w:val="left"/>
      <w:pPr>
        <w:ind w:left="2880" w:hanging="360"/>
      </w:pPr>
      <w:rPr>
        <w:rFonts w:ascii="Symbol" w:hAnsi="Symbol" w:hint="default"/>
      </w:rPr>
    </w:lvl>
    <w:lvl w:ilvl="4" w:tplc="44143F48">
      <w:start w:val="1"/>
      <w:numFmt w:val="bullet"/>
      <w:lvlText w:val="o"/>
      <w:lvlJc w:val="left"/>
      <w:pPr>
        <w:ind w:left="3600" w:hanging="360"/>
      </w:pPr>
      <w:rPr>
        <w:rFonts w:ascii="Courier New" w:hAnsi="Courier New" w:hint="default"/>
      </w:rPr>
    </w:lvl>
    <w:lvl w:ilvl="5" w:tplc="0A2A4732">
      <w:start w:val="1"/>
      <w:numFmt w:val="bullet"/>
      <w:lvlText w:val=""/>
      <w:lvlJc w:val="left"/>
      <w:pPr>
        <w:ind w:left="4320" w:hanging="360"/>
      </w:pPr>
      <w:rPr>
        <w:rFonts w:ascii="Wingdings" w:hAnsi="Wingdings" w:hint="default"/>
      </w:rPr>
    </w:lvl>
    <w:lvl w:ilvl="6" w:tplc="A3B4ABBC">
      <w:start w:val="1"/>
      <w:numFmt w:val="bullet"/>
      <w:lvlText w:val=""/>
      <w:lvlJc w:val="left"/>
      <w:pPr>
        <w:ind w:left="5040" w:hanging="360"/>
      </w:pPr>
      <w:rPr>
        <w:rFonts w:ascii="Symbol" w:hAnsi="Symbol" w:hint="default"/>
      </w:rPr>
    </w:lvl>
    <w:lvl w:ilvl="7" w:tplc="C5840892">
      <w:start w:val="1"/>
      <w:numFmt w:val="bullet"/>
      <w:lvlText w:val="o"/>
      <w:lvlJc w:val="left"/>
      <w:pPr>
        <w:ind w:left="5760" w:hanging="360"/>
      </w:pPr>
      <w:rPr>
        <w:rFonts w:ascii="Courier New" w:hAnsi="Courier New" w:hint="default"/>
      </w:rPr>
    </w:lvl>
    <w:lvl w:ilvl="8" w:tplc="296C5FDC">
      <w:start w:val="1"/>
      <w:numFmt w:val="bullet"/>
      <w:lvlText w:val=""/>
      <w:lvlJc w:val="left"/>
      <w:pPr>
        <w:ind w:left="6480" w:hanging="360"/>
      </w:pPr>
      <w:rPr>
        <w:rFonts w:ascii="Wingdings" w:hAnsi="Wingdings" w:hint="default"/>
      </w:rPr>
    </w:lvl>
  </w:abstractNum>
  <w:abstractNum w:abstractNumId="853" w15:restartNumberingAfterBreak="0">
    <w:nsid w:val="74D27730"/>
    <w:multiLevelType w:val="multilevel"/>
    <w:tmpl w:val="7E88CD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4" w15:restartNumberingAfterBreak="0">
    <w:nsid w:val="74FE7A83"/>
    <w:multiLevelType w:val="multilevel"/>
    <w:tmpl w:val="6F126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5" w15:restartNumberingAfterBreak="0">
    <w:nsid w:val="751B6D27"/>
    <w:multiLevelType w:val="multilevel"/>
    <w:tmpl w:val="934C3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6" w15:restartNumberingAfterBreak="0">
    <w:nsid w:val="753919E9"/>
    <w:multiLevelType w:val="hybridMultilevel"/>
    <w:tmpl w:val="E0D855DA"/>
    <w:lvl w:ilvl="0" w:tplc="1796434C">
      <w:start w:val="1"/>
      <w:numFmt w:val="bullet"/>
      <w:lvlText w:val=""/>
      <w:lvlJc w:val="left"/>
      <w:pPr>
        <w:ind w:left="720" w:hanging="360"/>
      </w:pPr>
      <w:rPr>
        <w:rFonts w:ascii="Symbol" w:hAnsi="Symbol" w:hint="default"/>
      </w:rPr>
    </w:lvl>
    <w:lvl w:ilvl="1" w:tplc="240668D0">
      <w:start w:val="1"/>
      <w:numFmt w:val="bullet"/>
      <w:lvlText w:val="o"/>
      <w:lvlJc w:val="left"/>
      <w:pPr>
        <w:ind w:left="1440" w:hanging="360"/>
      </w:pPr>
      <w:rPr>
        <w:rFonts w:ascii="Courier New" w:hAnsi="Courier New" w:hint="default"/>
      </w:rPr>
    </w:lvl>
    <w:lvl w:ilvl="2" w:tplc="637E791C">
      <w:start w:val="1"/>
      <w:numFmt w:val="bullet"/>
      <w:lvlText w:val=""/>
      <w:lvlJc w:val="left"/>
      <w:pPr>
        <w:ind w:left="2160" w:hanging="360"/>
      </w:pPr>
      <w:rPr>
        <w:rFonts w:ascii="Wingdings" w:hAnsi="Wingdings" w:hint="default"/>
      </w:rPr>
    </w:lvl>
    <w:lvl w:ilvl="3" w:tplc="A2C02984">
      <w:start w:val="1"/>
      <w:numFmt w:val="bullet"/>
      <w:lvlText w:val=""/>
      <w:lvlJc w:val="left"/>
      <w:pPr>
        <w:ind w:left="2880" w:hanging="360"/>
      </w:pPr>
      <w:rPr>
        <w:rFonts w:ascii="Symbol" w:hAnsi="Symbol" w:hint="default"/>
      </w:rPr>
    </w:lvl>
    <w:lvl w:ilvl="4" w:tplc="191810F4">
      <w:start w:val="1"/>
      <w:numFmt w:val="bullet"/>
      <w:lvlText w:val="o"/>
      <w:lvlJc w:val="left"/>
      <w:pPr>
        <w:ind w:left="3600" w:hanging="360"/>
      </w:pPr>
      <w:rPr>
        <w:rFonts w:ascii="Courier New" w:hAnsi="Courier New" w:hint="default"/>
      </w:rPr>
    </w:lvl>
    <w:lvl w:ilvl="5" w:tplc="DADA9064">
      <w:start w:val="1"/>
      <w:numFmt w:val="bullet"/>
      <w:lvlText w:val=""/>
      <w:lvlJc w:val="left"/>
      <w:pPr>
        <w:ind w:left="4320" w:hanging="360"/>
      </w:pPr>
      <w:rPr>
        <w:rFonts w:ascii="Wingdings" w:hAnsi="Wingdings" w:hint="default"/>
      </w:rPr>
    </w:lvl>
    <w:lvl w:ilvl="6" w:tplc="E7D09EC2">
      <w:start w:val="1"/>
      <w:numFmt w:val="bullet"/>
      <w:lvlText w:val=""/>
      <w:lvlJc w:val="left"/>
      <w:pPr>
        <w:ind w:left="5040" w:hanging="360"/>
      </w:pPr>
      <w:rPr>
        <w:rFonts w:ascii="Symbol" w:hAnsi="Symbol" w:hint="default"/>
      </w:rPr>
    </w:lvl>
    <w:lvl w:ilvl="7" w:tplc="FD32FA2A">
      <w:start w:val="1"/>
      <w:numFmt w:val="bullet"/>
      <w:lvlText w:val="o"/>
      <w:lvlJc w:val="left"/>
      <w:pPr>
        <w:ind w:left="5760" w:hanging="360"/>
      </w:pPr>
      <w:rPr>
        <w:rFonts w:ascii="Courier New" w:hAnsi="Courier New" w:hint="default"/>
      </w:rPr>
    </w:lvl>
    <w:lvl w:ilvl="8" w:tplc="DFE85E88">
      <w:start w:val="1"/>
      <w:numFmt w:val="bullet"/>
      <w:lvlText w:val=""/>
      <w:lvlJc w:val="left"/>
      <w:pPr>
        <w:ind w:left="6480" w:hanging="360"/>
      </w:pPr>
      <w:rPr>
        <w:rFonts w:ascii="Wingdings" w:hAnsi="Wingdings" w:hint="default"/>
      </w:rPr>
    </w:lvl>
  </w:abstractNum>
  <w:abstractNum w:abstractNumId="857" w15:restartNumberingAfterBreak="0">
    <w:nsid w:val="75FD3884"/>
    <w:multiLevelType w:val="multilevel"/>
    <w:tmpl w:val="B39E5F3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858" w15:restartNumberingAfterBreak="0">
    <w:nsid w:val="762E64EE"/>
    <w:multiLevelType w:val="hybridMultilevel"/>
    <w:tmpl w:val="27DED9A6"/>
    <w:lvl w:ilvl="0" w:tplc="449C9CCC">
      <w:start w:val="1"/>
      <w:numFmt w:val="bullet"/>
      <w:lvlText w:val=""/>
      <w:lvlJc w:val="left"/>
      <w:pPr>
        <w:ind w:left="720" w:hanging="360"/>
      </w:pPr>
      <w:rPr>
        <w:rFonts w:ascii="Symbol" w:hAnsi="Symbol" w:hint="default"/>
      </w:rPr>
    </w:lvl>
    <w:lvl w:ilvl="1" w:tplc="D26C10AA">
      <w:start w:val="1"/>
      <w:numFmt w:val="bullet"/>
      <w:lvlText w:val="o"/>
      <w:lvlJc w:val="left"/>
      <w:pPr>
        <w:ind w:left="1440" w:hanging="360"/>
      </w:pPr>
      <w:rPr>
        <w:rFonts w:ascii="Courier New" w:hAnsi="Courier New" w:hint="default"/>
      </w:rPr>
    </w:lvl>
    <w:lvl w:ilvl="2" w:tplc="94A2AFDE">
      <w:start w:val="1"/>
      <w:numFmt w:val="bullet"/>
      <w:lvlText w:val=""/>
      <w:lvlJc w:val="left"/>
      <w:pPr>
        <w:ind w:left="2160" w:hanging="360"/>
      </w:pPr>
      <w:rPr>
        <w:rFonts w:ascii="Wingdings" w:hAnsi="Wingdings" w:hint="default"/>
      </w:rPr>
    </w:lvl>
    <w:lvl w:ilvl="3" w:tplc="5FEC7B3C">
      <w:start w:val="1"/>
      <w:numFmt w:val="bullet"/>
      <w:lvlText w:val=""/>
      <w:lvlJc w:val="left"/>
      <w:pPr>
        <w:ind w:left="2880" w:hanging="360"/>
      </w:pPr>
      <w:rPr>
        <w:rFonts w:ascii="Symbol" w:hAnsi="Symbol" w:hint="default"/>
      </w:rPr>
    </w:lvl>
    <w:lvl w:ilvl="4" w:tplc="52F2703C">
      <w:start w:val="1"/>
      <w:numFmt w:val="bullet"/>
      <w:lvlText w:val="o"/>
      <w:lvlJc w:val="left"/>
      <w:pPr>
        <w:ind w:left="3600" w:hanging="360"/>
      </w:pPr>
      <w:rPr>
        <w:rFonts w:ascii="Courier New" w:hAnsi="Courier New" w:hint="default"/>
      </w:rPr>
    </w:lvl>
    <w:lvl w:ilvl="5" w:tplc="4532DB8E">
      <w:start w:val="1"/>
      <w:numFmt w:val="bullet"/>
      <w:lvlText w:val=""/>
      <w:lvlJc w:val="left"/>
      <w:pPr>
        <w:ind w:left="4320" w:hanging="360"/>
      </w:pPr>
      <w:rPr>
        <w:rFonts w:ascii="Wingdings" w:hAnsi="Wingdings" w:hint="default"/>
      </w:rPr>
    </w:lvl>
    <w:lvl w:ilvl="6" w:tplc="6808810C">
      <w:start w:val="1"/>
      <w:numFmt w:val="bullet"/>
      <w:lvlText w:val=""/>
      <w:lvlJc w:val="left"/>
      <w:pPr>
        <w:ind w:left="5040" w:hanging="360"/>
      </w:pPr>
      <w:rPr>
        <w:rFonts w:ascii="Symbol" w:hAnsi="Symbol" w:hint="default"/>
      </w:rPr>
    </w:lvl>
    <w:lvl w:ilvl="7" w:tplc="20ACDBC8">
      <w:start w:val="1"/>
      <w:numFmt w:val="bullet"/>
      <w:lvlText w:val="o"/>
      <w:lvlJc w:val="left"/>
      <w:pPr>
        <w:ind w:left="5760" w:hanging="360"/>
      </w:pPr>
      <w:rPr>
        <w:rFonts w:ascii="Courier New" w:hAnsi="Courier New" w:hint="default"/>
      </w:rPr>
    </w:lvl>
    <w:lvl w:ilvl="8" w:tplc="2BB6599C">
      <w:start w:val="1"/>
      <w:numFmt w:val="bullet"/>
      <w:lvlText w:val=""/>
      <w:lvlJc w:val="left"/>
      <w:pPr>
        <w:ind w:left="6480" w:hanging="360"/>
      </w:pPr>
      <w:rPr>
        <w:rFonts w:ascii="Wingdings" w:hAnsi="Wingdings" w:hint="default"/>
      </w:rPr>
    </w:lvl>
  </w:abstractNum>
  <w:abstractNum w:abstractNumId="859" w15:restartNumberingAfterBreak="0">
    <w:nsid w:val="764E6D38"/>
    <w:multiLevelType w:val="multilevel"/>
    <w:tmpl w:val="77F0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0" w15:restartNumberingAfterBreak="0">
    <w:nsid w:val="769B6A6F"/>
    <w:multiLevelType w:val="multilevel"/>
    <w:tmpl w:val="CD26DB2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EastAsia"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1" w15:restartNumberingAfterBreak="0">
    <w:nsid w:val="76A9C54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862" w15:restartNumberingAfterBreak="0">
    <w:nsid w:val="76AD245C"/>
    <w:multiLevelType w:val="hybridMultilevel"/>
    <w:tmpl w:val="166CA4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3"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4" w15:restartNumberingAfterBreak="0">
    <w:nsid w:val="76F3193F"/>
    <w:multiLevelType w:val="multilevel"/>
    <w:tmpl w:val="7D6C3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5" w15:restartNumberingAfterBreak="0">
    <w:nsid w:val="770A0FD4"/>
    <w:multiLevelType w:val="multilevel"/>
    <w:tmpl w:val="BD446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6" w15:restartNumberingAfterBreak="0">
    <w:nsid w:val="7726440D"/>
    <w:multiLevelType w:val="multilevel"/>
    <w:tmpl w:val="E97A8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7" w15:restartNumberingAfterBreak="0">
    <w:nsid w:val="773A6CBF"/>
    <w:multiLevelType w:val="hybridMultilevel"/>
    <w:tmpl w:val="0C3816FE"/>
    <w:lvl w:ilvl="0" w:tplc="65087A6A">
      <w:start w:val="1"/>
      <w:numFmt w:val="bullet"/>
      <w:lvlText w:val=""/>
      <w:lvlJc w:val="left"/>
      <w:pPr>
        <w:ind w:left="720" w:hanging="360"/>
      </w:pPr>
      <w:rPr>
        <w:rFonts w:ascii="Symbol" w:hAnsi="Symbol" w:hint="default"/>
      </w:rPr>
    </w:lvl>
    <w:lvl w:ilvl="1" w:tplc="A6BAB84E">
      <w:start w:val="1"/>
      <w:numFmt w:val="bullet"/>
      <w:lvlText w:val="o"/>
      <w:lvlJc w:val="left"/>
      <w:pPr>
        <w:ind w:left="1440" w:hanging="360"/>
      </w:pPr>
      <w:rPr>
        <w:rFonts w:ascii="Courier New" w:hAnsi="Courier New" w:hint="default"/>
      </w:rPr>
    </w:lvl>
    <w:lvl w:ilvl="2" w:tplc="056684A6">
      <w:start w:val="1"/>
      <w:numFmt w:val="bullet"/>
      <w:lvlText w:val=""/>
      <w:lvlJc w:val="left"/>
      <w:pPr>
        <w:ind w:left="2160" w:hanging="360"/>
      </w:pPr>
      <w:rPr>
        <w:rFonts w:ascii="Wingdings" w:hAnsi="Wingdings" w:hint="default"/>
      </w:rPr>
    </w:lvl>
    <w:lvl w:ilvl="3" w:tplc="41605F4E">
      <w:start w:val="1"/>
      <w:numFmt w:val="bullet"/>
      <w:lvlText w:val=""/>
      <w:lvlJc w:val="left"/>
      <w:pPr>
        <w:ind w:left="2880" w:hanging="360"/>
      </w:pPr>
      <w:rPr>
        <w:rFonts w:ascii="Symbol" w:hAnsi="Symbol" w:hint="default"/>
      </w:rPr>
    </w:lvl>
    <w:lvl w:ilvl="4" w:tplc="B002C050">
      <w:start w:val="1"/>
      <w:numFmt w:val="bullet"/>
      <w:lvlText w:val="o"/>
      <w:lvlJc w:val="left"/>
      <w:pPr>
        <w:ind w:left="3600" w:hanging="360"/>
      </w:pPr>
      <w:rPr>
        <w:rFonts w:ascii="Courier New" w:hAnsi="Courier New" w:hint="default"/>
      </w:rPr>
    </w:lvl>
    <w:lvl w:ilvl="5" w:tplc="45F2B770">
      <w:start w:val="1"/>
      <w:numFmt w:val="bullet"/>
      <w:lvlText w:val=""/>
      <w:lvlJc w:val="left"/>
      <w:pPr>
        <w:ind w:left="4320" w:hanging="360"/>
      </w:pPr>
      <w:rPr>
        <w:rFonts w:ascii="Wingdings" w:hAnsi="Wingdings" w:hint="default"/>
      </w:rPr>
    </w:lvl>
    <w:lvl w:ilvl="6" w:tplc="BA641CAA">
      <w:start w:val="1"/>
      <w:numFmt w:val="bullet"/>
      <w:lvlText w:val=""/>
      <w:lvlJc w:val="left"/>
      <w:pPr>
        <w:ind w:left="5040" w:hanging="360"/>
      </w:pPr>
      <w:rPr>
        <w:rFonts w:ascii="Symbol" w:hAnsi="Symbol" w:hint="default"/>
      </w:rPr>
    </w:lvl>
    <w:lvl w:ilvl="7" w:tplc="28661A54">
      <w:start w:val="1"/>
      <w:numFmt w:val="bullet"/>
      <w:lvlText w:val="o"/>
      <w:lvlJc w:val="left"/>
      <w:pPr>
        <w:ind w:left="5760" w:hanging="360"/>
      </w:pPr>
      <w:rPr>
        <w:rFonts w:ascii="Courier New" w:hAnsi="Courier New" w:hint="default"/>
      </w:rPr>
    </w:lvl>
    <w:lvl w:ilvl="8" w:tplc="89D4FFAA">
      <w:start w:val="1"/>
      <w:numFmt w:val="bullet"/>
      <w:lvlText w:val=""/>
      <w:lvlJc w:val="left"/>
      <w:pPr>
        <w:ind w:left="6480" w:hanging="360"/>
      </w:pPr>
      <w:rPr>
        <w:rFonts w:ascii="Wingdings" w:hAnsi="Wingdings" w:hint="default"/>
      </w:rPr>
    </w:lvl>
  </w:abstractNum>
  <w:abstractNum w:abstractNumId="868" w15:restartNumberingAfterBreak="0">
    <w:nsid w:val="773AE3B9"/>
    <w:multiLevelType w:val="hybridMultilevel"/>
    <w:tmpl w:val="FFFFFFFF"/>
    <w:lvl w:ilvl="0" w:tplc="7756C1F2">
      <w:start w:val="1"/>
      <w:numFmt w:val="bullet"/>
      <w:lvlText w:val="-"/>
      <w:lvlJc w:val="left"/>
      <w:pPr>
        <w:ind w:left="720" w:hanging="360"/>
      </w:pPr>
      <w:rPr>
        <w:rFonts w:ascii="Aptos" w:hAnsi="Aptos" w:hint="default"/>
      </w:rPr>
    </w:lvl>
    <w:lvl w:ilvl="1" w:tplc="E18C66A0">
      <w:start w:val="1"/>
      <w:numFmt w:val="bullet"/>
      <w:lvlText w:val="o"/>
      <w:lvlJc w:val="left"/>
      <w:pPr>
        <w:ind w:left="1440" w:hanging="360"/>
      </w:pPr>
      <w:rPr>
        <w:rFonts w:ascii="Courier New" w:hAnsi="Courier New" w:hint="default"/>
      </w:rPr>
    </w:lvl>
    <w:lvl w:ilvl="2" w:tplc="7054BED4">
      <w:start w:val="1"/>
      <w:numFmt w:val="bullet"/>
      <w:lvlText w:val=""/>
      <w:lvlJc w:val="left"/>
      <w:pPr>
        <w:ind w:left="2160" w:hanging="360"/>
      </w:pPr>
      <w:rPr>
        <w:rFonts w:ascii="Wingdings" w:hAnsi="Wingdings" w:hint="default"/>
      </w:rPr>
    </w:lvl>
    <w:lvl w:ilvl="3" w:tplc="3FAC0780">
      <w:start w:val="1"/>
      <w:numFmt w:val="bullet"/>
      <w:lvlText w:val=""/>
      <w:lvlJc w:val="left"/>
      <w:pPr>
        <w:ind w:left="2880" w:hanging="360"/>
      </w:pPr>
      <w:rPr>
        <w:rFonts w:ascii="Symbol" w:hAnsi="Symbol" w:hint="default"/>
      </w:rPr>
    </w:lvl>
    <w:lvl w:ilvl="4" w:tplc="36362846">
      <w:start w:val="1"/>
      <w:numFmt w:val="bullet"/>
      <w:lvlText w:val="o"/>
      <w:lvlJc w:val="left"/>
      <w:pPr>
        <w:ind w:left="3600" w:hanging="360"/>
      </w:pPr>
      <w:rPr>
        <w:rFonts w:ascii="Courier New" w:hAnsi="Courier New" w:hint="default"/>
      </w:rPr>
    </w:lvl>
    <w:lvl w:ilvl="5" w:tplc="719CE390">
      <w:start w:val="1"/>
      <w:numFmt w:val="bullet"/>
      <w:lvlText w:val=""/>
      <w:lvlJc w:val="left"/>
      <w:pPr>
        <w:ind w:left="4320" w:hanging="360"/>
      </w:pPr>
      <w:rPr>
        <w:rFonts w:ascii="Wingdings" w:hAnsi="Wingdings" w:hint="default"/>
      </w:rPr>
    </w:lvl>
    <w:lvl w:ilvl="6" w:tplc="BB402F10">
      <w:start w:val="1"/>
      <w:numFmt w:val="bullet"/>
      <w:lvlText w:val=""/>
      <w:lvlJc w:val="left"/>
      <w:pPr>
        <w:ind w:left="5040" w:hanging="360"/>
      </w:pPr>
      <w:rPr>
        <w:rFonts w:ascii="Symbol" w:hAnsi="Symbol" w:hint="default"/>
      </w:rPr>
    </w:lvl>
    <w:lvl w:ilvl="7" w:tplc="DFAC840C">
      <w:start w:val="1"/>
      <w:numFmt w:val="bullet"/>
      <w:lvlText w:val="o"/>
      <w:lvlJc w:val="left"/>
      <w:pPr>
        <w:ind w:left="5760" w:hanging="360"/>
      </w:pPr>
      <w:rPr>
        <w:rFonts w:ascii="Courier New" w:hAnsi="Courier New" w:hint="default"/>
      </w:rPr>
    </w:lvl>
    <w:lvl w:ilvl="8" w:tplc="5BD2FD3E">
      <w:start w:val="1"/>
      <w:numFmt w:val="bullet"/>
      <w:lvlText w:val=""/>
      <w:lvlJc w:val="left"/>
      <w:pPr>
        <w:ind w:left="6480" w:hanging="360"/>
      </w:pPr>
      <w:rPr>
        <w:rFonts w:ascii="Wingdings" w:hAnsi="Wingdings" w:hint="default"/>
      </w:rPr>
    </w:lvl>
  </w:abstractNum>
  <w:abstractNum w:abstractNumId="869" w15:restartNumberingAfterBreak="0">
    <w:nsid w:val="774141F4"/>
    <w:multiLevelType w:val="multilevel"/>
    <w:tmpl w:val="B268B0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70" w15:restartNumberingAfterBreak="0">
    <w:nsid w:val="775F4016"/>
    <w:multiLevelType w:val="multilevel"/>
    <w:tmpl w:val="7BE68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1" w15:restartNumberingAfterBreak="0">
    <w:nsid w:val="7762336E"/>
    <w:multiLevelType w:val="multilevel"/>
    <w:tmpl w:val="8F9AA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2" w15:restartNumberingAfterBreak="0">
    <w:nsid w:val="77956935"/>
    <w:multiLevelType w:val="multilevel"/>
    <w:tmpl w:val="DCBE1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3" w15:restartNumberingAfterBreak="0">
    <w:nsid w:val="77CF001B"/>
    <w:multiLevelType w:val="multilevel"/>
    <w:tmpl w:val="5B7C3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4" w15:restartNumberingAfterBreak="0">
    <w:nsid w:val="77D4832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75" w15:restartNumberingAfterBreak="0">
    <w:nsid w:val="77DA6BB7"/>
    <w:multiLevelType w:val="hybridMultilevel"/>
    <w:tmpl w:val="9D821F88"/>
    <w:lvl w:ilvl="0" w:tplc="FA72A8D2">
      <w:start w:val="1"/>
      <w:numFmt w:val="bullet"/>
      <w:lvlText w:val=""/>
      <w:lvlJc w:val="left"/>
      <w:pPr>
        <w:ind w:left="720" w:hanging="360"/>
      </w:pPr>
      <w:rPr>
        <w:rFonts w:ascii="Symbol" w:hAnsi="Symbol" w:hint="default"/>
      </w:rPr>
    </w:lvl>
    <w:lvl w:ilvl="1" w:tplc="EECA5ABA">
      <w:start w:val="1"/>
      <w:numFmt w:val="bullet"/>
      <w:lvlText w:val="o"/>
      <w:lvlJc w:val="left"/>
      <w:pPr>
        <w:ind w:left="1440" w:hanging="360"/>
      </w:pPr>
      <w:rPr>
        <w:rFonts w:ascii="Courier New" w:hAnsi="Courier New" w:hint="default"/>
      </w:rPr>
    </w:lvl>
    <w:lvl w:ilvl="2" w:tplc="1716F584">
      <w:start w:val="1"/>
      <w:numFmt w:val="bullet"/>
      <w:lvlText w:val=""/>
      <w:lvlJc w:val="left"/>
      <w:pPr>
        <w:ind w:left="2160" w:hanging="360"/>
      </w:pPr>
      <w:rPr>
        <w:rFonts w:ascii="Wingdings" w:hAnsi="Wingdings" w:hint="default"/>
      </w:rPr>
    </w:lvl>
    <w:lvl w:ilvl="3" w:tplc="8AC074D6">
      <w:start w:val="1"/>
      <w:numFmt w:val="bullet"/>
      <w:lvlText w:val=""/>
      <w:lvlJc w:val="left"/>
      <w:pPr>
        <w:ind w:left="2880" w:hanging="360"/>
      </w:pPr>
      <w:rPr>
        <w:rFonts w:ascii="Symbol" w:hAnsi="Symbol" w:hint="default"/>
      </w:rPr>
    </w:lvl>
    <w:lvl w:ilvl="4" w:tplc="D604133C">
      <w:start w:val="1"/>
      <w:numFmt w:val="bullet"/>
      <w:lvlText w:val="o"/>
      <w:lvlJc w:val="left"/>
      <w:pPr>
        <w:ind w:left="3600" w:hanging="360"/>
      </w:pPr>
      <w:rPr>
        <w:rFonts w:ascii="Courier New" w:hAnsi="Courier New" w:hint="default"/>
      </w:rPr>
    </w:lvl>
    <w:lvl w:ilvl="5" w:tplc="50EE0E9E">
      <w:start w:val="1"/>
      <w:numFmt w:val="bullet"/>
      <w:lvlText w:val=""/>
      <w:lvlJc w:val="left"/>
      <w:pPr>
        <w:ind w:left="4320" w:hanging="360"/>
      </w:pPr>
      <w:rPr>
        <w:rFonts w:ascii="Wingdings" w:hAnsi="Wingdings" w:hint="default"/>
      </w:rPr>
    </w:lvl>
    <w:lvl w:ilvl="6" w:tplc="429E125C">
      <w:start w:val="1"/>
      <w:numFmt w:val="bullet"/>
      <w:lvlText w:val=""/>
      <w:lvlJc w:val="left"/>
      <w:pPr>
        <w:ind w:left="5040" w:hanging="360"/>
      </w:pPr>
      <w:rPr>
        <w:rFonts w:ascii="Symbol" w:hAnsi="Symbol" w:hint="default"/>
      </w:rPr>
    </w:lvl>
    <w:lvl w:ilvl="7" w:tplc="B64AAFC0">
      <w:start w:val="1"/>
      <w:numFmt w:val="bullet"/>
      <w:lvlText w:val="o"/>
      <w:lvlJc w:val="left"/>
      <w:pPr>
        <w:ind w:left="5760" w:hanging="360"/>
      </w:pPr>
      <w:rPr>
        <w:rFonts w:ascii="Courier New" w:hAnsi="Courier New" w:hint="default"/>
      </w:rPr>
    </w:lvl>
    <w:lvl w:ilvl="8" w:tplc="0A92F234">
      <w:start w:val="1"/>
      <w:numFmt w:val="bullet"/>
      <w:lvlText w:val=""/>
      <w:lvlJc w:val="left"/>
      <w:pPr>
        <w:ind w:left="6480" w:hanging="360"/>
      </w:pPr>
      <w:rPr>
        <w:rFonts w:ascii="Wingdings" w:hAnsi="Wingdings" w:hint="default"/>
      </w:rPr>
    </w:lvl>
  </w:abstractNum>
  <w:abstractNum w:abstractNumId="876" w15:restartNumberingAfterBreak="0">
    <w:nsid w:val="780068D5"/>
    <w:multiLevelType w:val="multilevel"/>
    <w:tmpl w:val="E4CE3E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7" w15:restartNumberingAfterBreak="0">
    <w:nsid w:val="78140B2B"/>
    <w:multiLevelType w:val="hybridMultilevel"/>
    <w:tmpl w:val="FFFFFFFF"/>
    <w:lvl w:ilvl="0" w:tplc="CF487C40">
      <w:start w:val="1"/>
      <w:numFmt w:val="bullet"/>
      <w:lvlText w:val=""/>
      <w:lvlJc w:val="left"/>
      <w:pPr>
        <w:ind w:left="547" w:hanging="360"/>
      </w:pPr>
      <w:rPr>
        <w:rFonts w:ascii="Symbol" w:hAnsi="Symbol" w:hint="default"/>
      </w:rPr>
    </w:lvl>
    <w:lvl w:ilvl="1" w:tplc="06F4FAB0">
      <w:start w:val="1"/>
      <w:numFmt w:val="bullet"/>
      <w:lvlText w:val="o"/>
      <w:lvlJc w:val="left"/>
      <w:pPr>
        <w:ind w:left="1267" w:hanging="360"/>
      </w:pPr>
      <w:rPr>
        <w:rFonts w:ascii="Courier New" w:hAnsi="Courier New" w:hint="default"/>
      </w:rPr>
    </w:lvl>
    <w:lvl w:ilvl="2" w:tplc="FF1CA350">
      <w:start w:val="1"/>
      <w:numFmt w:val="bullet"/>
      <w:lvlText w:val=""/>
      <w:lvlJc w:val="left"/>
      <w:pPr>
        <w:ind w:left="1987" w:hanging="360"/>
      </w:pPr>
      <w:rPr>
        <w:rFonts w:ascii="Wingdings" w:hAnsi="Wingdings" w:hint="default"/>
      </w:rPr>
    </w:lvl>
    <w:lvl w:ilvl="3" w:tplc="DCF0877A">
      <w:start w:val="1"/>
      <w:numFmt w:val="bullet"/>
      <w:lvlText w:val=""/>
      <w:lvlJc w:val="left"/>
      <w:pPr>
        <w:ind w:left="2707" w:hanging="360"/>
      </w:pPr>
      <w:rPr>
        <w:rFonts w:ascii="Symbol" w:hAnsi="Symbol" w:hint="default"/>
      </w:rPr>
    </w:lvl>
    <w:lvl w:ilvl="4" w:tplc="D8F6FF64">
      <w:start w:val="1"/>
      <w:numFmt w:val="bullet"/>
      <w:lvlText w:val="o"/>
      <w:lvlJc w:val="left"/>
      <w:pPr>
        <w:ind w:left="3427" w:hanging="360"/>
      </w:pPr>
      <w:rPr>
        <w:rFonts w:ascii="Courier New" w:hAnsi="Courier New" w:hint="default"/>
      </w:rPr>
    </w:lvl>
    <w:lvl w:ilvl="5" w:tplc="53C2C248">
      <w:start w:val="1"/>
      <w:numFmt w:val="bullet"/>
      <w:lvlText w:val=""/>
      <w:lvlJc w:val="left"/>
      <w:pPr>
        <w:ind w:left="4147" w:hanging="360"/>
      </w:pPr>
      <w:rPr>
        <w:rFonts w:ascii="Wingdings" w:hAnsi="Wingdings" w:hint="default"/>
      </w:rPr>
    </w:lvl>
    <w:lvl w:ilvl="6" w:tplc="BFF00F8E">
      <w:start w:val="1"/>
      <w:numFmt w:val="bullet"/>
      <w:lvlText w:val=""/>
      <w:lvlJc w:val="left"/>
      <w:pPr>
        <w:ind w:left="4867" w:hanging="360"/>
      </w:pPr>
      <w:rPr>
        <w:rFonts w:ascii="Symbol" w:hAnsi="Symbol" w:hint="default"/>
      </w:rPr>
    </w:lvl>
    <w:lvl w:ilvl="7" w:tplc="01C66684">
      <w:start w:val="1"/>
      <w:numFmt w:val="bullet"/>
      <w:lvlText w:val="o"/>
      <w:lvlJc w:val="left"/>
      <w:pPr>
        <w:ind w:left="5587" w:hanging="360"/>
      </w:pPr>
      <w:rPr>
        <w:rFonts w:ascii="Courier New" w:hAnsi="Courier New" w:hint="default"/>
      </w:rPr>
    </w:lvl>
    <w:lvl w:ilvl="8" w:tplc="73748DC4">
      <w:start w:val="1"/>
      <w:numFmt w:val="bullet"/>
      <w:lvlText w:val=""/>
      <w:lvlJc w:val="left"/>
      <w:pPr>
        <w:ind w:left="6307" w:hanging="360"/>
      </w:pPr>
      <w:rPr>
        <w:rFonts w:ascii="Wingdings" w:hAnsi="Wingdings" w:hint="default"/>
      </w:rPr>
    </w:lvl>
  </w:abstractNum>
  <w:abstractNum w:abstractNumId="878" w15:restartNumberingAfterBreak="0">
    <w:nsid w:val="781A5E0F"/>
    <w:multiLevelType w:val="multilevel"/>
    <w:tmpl w:val="7A58F9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9" w15:restartNumberingAfterBreak="0">
    <w:nsid w:val="78397127"/>
    <w:multiLevelType w:val="multilevel"/>
    <w:tmpl w:val="79064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0" w15:restartNumberingAfterBreak="0">
    <w:nsid w:val="7843D960"/>
    <w:multiLevelType w:val="hybridMultilevel"/>
    <w:tmpl w:val="85127192"/>
    <w:lvl w:ilvl="0" w:tplc="688E8C84">
      <w:start w:val="1"/>
      <w:numFmt w:val="bullet"/>
      <w:lvlText w:val=""/>
      <w:lvlJc w:val="left"/>
      <w:pPr>
        <w:ind w:left="720" w:hanging="360"/>
      </w:pPr>
      <w:rPr>
        <w:rFonts w:ascii="Symbol" w:hAnsi="Symbol" w:hint="default"/>
      </w:rPr>
    </w:lvl>
    <w:lvl w:ilvl="1" w:tplc="41E41CE2">
      <w:start w:val="1"/>
      <w:numFmt w:val="bullet"/>
      <w:lvlText w:val="o"/>
      <w:lvlJc w:val="left"/>
      <w:pPr>
        <w:ind w:left="1440" w:hanging="360"/>
      </w:pPr>
      <w:rPr>
        <w:rFonts w:ascii="Courier New" w:hAnsi="Courier New" w:hint="default"/>
      </w:rPr>
    </w:lvl>
    <w:lvl w:ilvl="2" w:tplc="5A1E84A4">
      <w:start w:val="1"/>
      <w:numFmt w:val="bullet"/>
      <w:lvlText w:val=""/>
      <w:lvlJc w:val="left"/>
      <w:pPr>
        <w:ind w:left="2160" w:hanging="360"/>
      </w:pPr>
      <w:rPr>
        <w:rFonts w:ascii="Wingdings" w:hAnsi="Wingdings" w:hint="default"/>
      </w:rPr>
    </w:lvl>
    <w:lvl w:ilvl="3" w:tplc="1952C4D6">
      <w:start w:val="1"/>
      <w:numFmt w:val="bullet"/>
      <w:lvlText w:val=""/>
      <w:lvlJc w:val="left"/>
      <w:pPr>
        <w:ind w:left="2880" w:hanging="360"/>
      </w:pPr>
      <w:rPr>
        <w:rFonts w:ascii="Symbol" w:hAnsi="Symbol" w:hint="default"/>
      </w:rPr>
    </w:lvl>
    <w:lvl w:ilvl="4" w:tplc="00E235B6">
      <w:start w:val="1"/>
      <w:numFmt w:val="bullet"/>
      <w:lvlText w:val="o"/>
      <w:lvlJc w:val="left"/>
      <w:pPr>
        <w:ind w:left="3600" w:hanging="360"/>
      </w:pPr>
      <w:rPr>
        <w:rFonts w:ascii="Courier New" w:hAnsi="Courier New" w:hint="default"/>
      </w:rPr>
    </w:lvl>
    <w:lvl w:ilvl="5" w:tplc="F7809346">
      <w:start w:val="1"/>
      <w:numFmt w:val="bullet"/>
      <w:lvlText w:val=""/>
      <w:lvlJc w:val="left"/>
      <w:pPr>
        <w:ind w:left="4320" w:hanging="360"/>
      </w:pPr>
      <w:rPr>
        <w:rFonts w:ascii="Wingdings" w:hAnsi="Wingdings" w:hint="default"/>
      </w:rPr>
    </w:lvl>
    <w:lvl w:ilvl="6" w:tplc="547EFE76">
      <w:start w:val="1"/>
      <w:numFmt w:val="bullet"/>
      <w:lvlText w:val=""/>
      <w:lvlJc w:val="left"/>
      <w:pPr>
        <w:ind w:left="5040" w:hanging="360"/>
      </w:pPr>
      <w:rPr>
        <w:rFonts w:ascii="Symbol" w:hAnsi="Symbol" w:hint="default"/>
      </w:rPr>
    </w:lvl>
    <w:lvl w:ilvl="7" w:tplc="C34E1B7E">
      <w:start w:val="1"/>
      <w:numFmt w:val="bullet"/>
      <w:lvlText w:val="o"/>
      <w:lvlJc w:val="left"/>
      <w:pPr>
        <w:ind w:left="5760" w:hanging="360"/>
      </w:pPr>
      <w:rPr>
        <w:rFonts w:ascii="Courier New" w:hAnsi="Courier New" w:hint="default"/>
      </w:rPr>
    </w:lvl>
    <w:lvl w:ilvl="8" w:tplc="255E0616">
      <w:start w:val="1"/>
      <w:numFmt w:val="bullet"/>
      <w:lvlText w:val=""/>
      <w:lvlJc w:val="left"/>
      <w:pPr>
        <w:ind w:left="6480" w:hanging="360"/>
      </w:pPr>
      <w:rPr>
        <w:rFonts w:ascii="Wingdings" w:hAnsi="Wingdings" w:hint="default"/>
      </w:rPr>
    </w:lvl>
  </w:abstractNum>
  <w:abstractNum w:abstractNumId="881" w15:restartNumberingAfterBreak="0">
    <w:nsid w:val="784B236F"/>
    <w:multiLevelType w:val="multilevel"/>
    <w:tmpl w:val="35DA5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2" w15:restartNumberingAfterBreak="0">
    <w:nsid w:val="785F25A6"/>
    <w:multiLevelType w:val="multilevel"/>
    <w:tmpl w:val="FB941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3" w15:restartNumberingAfterBreak="0">
    <w:nsid w:val="786519BE"/>
    <w:multiLevelType w:val="multilevel"/>
    <w:tmpl w:val="9412F9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4"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5" w15:restartNumberingAfterBreak="0">
    <w:nsid w:val="794C1C4C"/>
    <w:multiLevelType w:val="hybridMultilevel"/>
    <w:tmpl w:val="FFFFFFFF"/>
    <w:lvl w:ilvl="0" w:tplc="39A6FA6E">
      <w:start w:val="1"/>
      <w:numFmt w:val="decimal"/>
      <w:lvlText w:val="%1."/>
      <w:lvlJc w:val="left"/>
      <w:pPr>
        <w:ind w:left="720" w:hanging="360"/>
      </w:pPr>
    </w:lvl>
    <w:lvl w:ilvl="1" w:tplc="0ED20F3C">
      <w:start w:val="1"/>
      <w:numFmt w:val="lowerLetter"/>
      <w:lvlText w:val="%2."/>
      <w:lvlJc w:val="left"/>
      <w:pPr>
        <w:ind w:left="1440" w:hanging="360"/>
      </w:pPr>
    </w:lvl>
    <w:lvl w:ilvl="2" w:tplc="C5B06AF0">
      <w:start w:val="1"/>
      <w:numFmt w:val="lowerRoman"/>
      <w:lvlText w:val="%3."/>
      <w:lvlJc w:val="right"/>
      <w:pPr>
        <w:ind w:left="2160" w:hanging="180"/>
      </w:pPr>
    </w:lvl>
    <w:lvl w:ilvl="3" w:tplc="DA769E78">
      <w:start w:val="1"/>
      <w:numFmt w:val="decimal"/>
      <w:lvlText w:val="%4."/>
      <w:lvlJc w:val="left"/>
      <w:pPr>
        <w:ind w:left="2880" w:hanging="360"/>
      </w:pPr>
    </w:lvl>
    <w:lvl w:ilvl="4" w:tplc="EB468AFC">
      <w:start w:val="1"/>
      <w:numFmt w:val="lowerLetter"/>
      <w:lvlText w:val="%5."/>
      <w:lvlJc w:val="left"/>
      <w:pPr>
        <w:ind w:left="3600" w:hanging="360"/>
      </w:pPr>
    </w:lvl>
    <w:lvl w:ilvl="5" w:tplc="781C3AC8">
      <w:start w:val="1"/>
      <w:numFmt w:val="lowerRoman"/>
      <w:lvlText w:val="%6."/>
      <w:lvlJc w:val="right"/>
      <w:pPr>
        <w:ind w:left="4320" w:hanging="180"/>
      </w:pPr>
    </w:lvl>
    <w:lvl w:ilvl="6" w:tplc="72046B7A">
      <w:start w:val="1"/>
      <w:numFmt w:val="decimal"/>
      <w:lvlText w:val="%7."/>
      <w:lvlJc w:val="left"/>
      <w:pPr>
        <w:ind w:left="5040" w:hanging="360"/>
      </w:pPr>
    </w:lvl>
    <w:lvl w:ilvl="7" w:tplc="C42A072E">
      <w:start w:val="1"/>
      <w:numFmt w:val="lowerLetter"/>
      <w:lvlText w:val="%8."/>
      <w:lvlJc w:val="left"/>
      <w:pPr>
        <w:ind w:left="5760" w:hanging="360"/>
      </w:pPr>
    </w:lvl>
    <w:lvl w:ilvl="8" w:tplc="B5C03240">
      <w:start w:val="1"/>
      <w:numFmt w:val="lowerRoman"/>
      <w:lvlText w:val="%9."/>
      <w:lvlJc w:val="right"/>
      <w:pPr>
        <w:ind w:left="6480" w:hanging="180"/>
      </w:pPr>
    </w:lvl>
  </w:abstractNum>
  <w:abstractNum w:abstractNumId="886" w15:restartNumberingAfterBreak="0">
    <w:nsid w:val="79E47684"/>
    <w:multiLevelType w:val="multilevel"/>
    <w:tmpl w:val="E7262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7" w15:restartNumberingAfterBreak="0">
    <w:nsid w:val="79F15AAA"/>
    <w:multiLevelType w:val="multilevel"/>
    <w:tmpl w:val="0FE4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8" w15:restartNumberingAfterBreak="0">
    <w:nsid w:val="7A0C6F69"/>
    <w:multiLevelType w:val="multilevel"/>
    <w:tmpl w:val="DB8A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9" w15:restartNumberingAfterBreak="0">
    <w:nsid w:val="7A5E4A2E"/>
    <w:multiLevelType w:val="hybridMultilevel"/>
    <w:tmpl w:val="FA146D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0" w15:restartNumberingAfterBreak="0">
    <w:nsid w:val="7A6C44DE"/>
    <w:multiLevelType w:val="multilevel"/>
    <w:tmpl w:val="7DEEAD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1" w15:restartNumberingAfterBreak="0">
    <w:nsid w:val="7A846526"/>
    <w:multiLevelType w:val="multilevel"/>
    <w:tmpl w:val="498250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2" w15:restartNumberingAfterBreak="0">
    <w:nsid w:val="7A8DC530"/>
    <w:multiLevelType w:val="multilevel"/>
    <w:tmpl w:val="61F091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93" w15:restartNumberingAfterBreak="0">
    <w:nsid w:val="7A963232"/>
    <w:multiLevelType w:val="multilevel"/>
    <w:tmpl w:val="C2025EBE"/>
    <w:lvl w:ilvl="0">
      <w:start w:val="1"/>
      <w:numFmt w:val="bullet"/>
      <w:pStyle w:val="Normalbullets"/>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4" w15:restartNumberingAfterBreak="0">
    <w:nsid w:val="7AA30403"/>
    <w:multiLevelType w:val="hybridMultilevel"/>
    <w:tmpl w:val="485C60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5" w15:restartNumberingAfterBreak="0">
    <w:nsid w:val="7AAE4B49"/>
    <w:multiLevelType w:val="multilevel"/>
    <w:tmpl w:val="FFA26C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6" w15:restartNumberingAfterBreak="0">
    <w:nsid w:val="7AD7EAE5"/>
    <w:multiLevelType w:val="hybridMultilevel"/>
    <w:tmpl w:val="38E65696"/>
    <w:lvl w:ilvl="0" w:tplc="32788BAC">
      <w:start w:val="1"/>
      <w:numFmt w:val="bullet"/>
      <w:lvlText w:val=""/>
      <w:lvlJc w:val="left"/>
      <w:pPr>
        <w:ind w:left="720" w:hanging="360"/>
      </w:pPr>
      <w:rPr>
        <w:rFonts w:ascii="Symbol" w:hAnsi="Symbol" w:hint="default"/>
      </w:rPr>
    </w:lvl>
    <w:lvl w:ilvl="1" w:tplc="E216299E">
      <w:start w:val="1"/>
      <w:numFmt w:val="bullet"/>
      <w:lvlText w:val="o"/>
      <w:lvlJc w:val="left"/>
      <w:pPr>
        <w:ind w:left="1440" w:hanging="360"/>
      </w:pPr>
      <w:rPr>
        <w:rFonts w:ascii="Courier New" w:hAnsi="Courier New" w:hint="default"/>
      </w:rPr>
    </w:lvl>
    <w:lvl w:ilvl="2" w:tplc="E4EE1024">
      <w:start w:val="1"/>
      <w:numFmt w:val="bullet"/>
      <w:lvlText w:val=""/>
      <w:lvlJc w:val="left"/>
      <w:pPr>
        <w:ind w:left="2160" w:hanging="360"/>
      </w:pPr>
      <w:rPr>
        <w:rFonts w:ascii="Wingdings" w:hAnsi="Wingdings" w:hint="default"/>
      </w:rPr>
    </w:lvl>
    <w:lvl w:ilvl="3" w:tplc="7720A47C">
      <w:start w:val="1"/>
      <w:numFmt w:val="bullet"/>
      <w:lvlText w:val=""/>
      <w:lvlJc w:val="left"/>
      <w:pPr>
        <w:ind w:left="2880" w:hanging="360"/>
      </w:pPr>
      <w:rPr>
        <w:rFonts w:ascii="Symbol" w:hAnsi="Symbol" w:hint="default"/>
      </w:rPr>
    </w:lvl>
    <w:lvl w:ilvl="4" w:tplc="BDA61906">
      <w:start w:val="1"/>
      <w:numFmt w:val="bullet"/>
      <w:lvlText w:val="o"/>
      <w:lvlJc w:val="left"/>
      <w:pPr>
        <w:ind w:left="3600" w:hanging="360"/>
      </w:pPr>
      <w:rPr>
        <w:rFonts w:ascii="Courier New" w:hAnsi="Courier New" w:hint="default"/>
      </w:rPr>
    </w:lvl>
    <w:lvl w:ilvl="5" w:tplc="678E2BC8">
      <w:start w:val="1"/>
      <w:numFmt w:val="bullet"/>
      <w:lvlText w:val=""/>
      <w:lvlJc w:val="left"/>
      <w:pPr>
        <w:ind w:left="4320" w:hanging="360"/>
      </w:pPr>
      <w:rPr>
        <w:rFonts w:ascii="Wingdings" w:hAnsi="Wingdings" w:hint="default"/>
      </w:rPr>
    </w:lvl>
    <w:lvl w:ilvl="6" w:tplc="23389BAA">
      <w:start w:val="1"/>
      <w:numFmt w:val="bullet"/>
      <w:lvlText w:val=""/>
      <w:lvlJc w:val="left"/>
      <w:pPr>
        <w:ind w:left="5040" w:hanging="360"/>
      </w:pPr>
      <w:rPr>
        <w:rFonts w:ascii="Symbol" w:hAnsi="Symbol" w:hint="default"/>
      </w:rPr>
    </w:lvl>
    <w:lvl w:ilvl="7" w:tplc="7444CF2C">
      <w:start w:val="1"/>
      <w:numFmt w:val="bullet"/>
      <w:lvlText w:val="o"/>
      <w:lvlJc w:val="left"/>
      <w:pPr>
        <w:ind w:left="5760" w:hanging="360"/>
      </w:pPr>
      <w:rPr>
        <w:rFonts w:ascii="Courier New" w:hAnsi="Courier New" w:hint="default"/>
      </w:rPr>
    </w:lvl>
    <w:lvl w:ilvl="8" w:tplc="3FC8430A">
      <w:start w:val="1"/>
      <w:numFmt w:val="bullet"/>
      <w:lvlText w:val=""/>
      <w:lvlJc w:val="left"/>
      <w:pPr>
        <w:ind w:left="6480" w:hanging="360"/>
      </w:pPr>
      <w:rPr>
        <w:rFonts w:ascii="Wingdings" w:hAnsi="Wingdings" w:hint="default"/>
      </w:rPr>
    </w:lvl>
  </w:abstractNum>
  <w:abstractNum w:abstractNumId="897" w15:restartNumberingAfterBreak="0">
    <w:nsid w:val="7AEAE284"/>
    <w:multiLevelType w:val="hybridMultilevel"/>
    <w:tmpl w:val="C6A40550"/>
    <w:lvl w:ilvl="0" w:tplc="2F74FBAC">
      <w:start w:val="1"/>
      <w:numFmt w:val="bullet"/>
      <w:lvlText w:val=""/>
      <w:lvlJc w:val="left"/>
      <w:pPr>
        <w:ind w:left="720" w:hanging="360"/>
      </w:pPr>
      <w:rPr>
        <w:rFonts w:ascii="Symbol" w:hAnsi="Symbol" w:hint="default"/>
      </w:rPr>
    </w:lvl>
    <w:lvl w:ilvl="1" w:tplc="B6B48CE2">
      <w:start w:val="1"/>
      <w:numFmt w:val="bullet"/>
      <w:lvlText w:val="o"/>
      <w:lvlJc w:val="left"/>
      <w:pPr>
        <w:ind w:left="1440" w:hanging="360"/>
      </w:pPr>
      <w:rPr>
        <w:rFonts w:ascii="Courier New" w:hAnsi="Courier New" w:hint="default"/>
      </w:rPr>
    </w:lvl>
    <w:lvl w:ilvl="2" w:tplc="64548264">
      <w:start w:val="1"/>
      <w:numFmt w:val="bullet"/>
      <w:lvlText w:val=""/>
      <w:lvlJc w:val="left"/>
      <w:pPr>
        <w:ind w:left="2160" w:hanging="360"/>
      </w:pPr>
      <w:rPr>
        <w:rFonts w:ascii="Wingdings" w:hAnsi="Wingdings" w:hint="default"/>
      </w:rPr>
    </w:lvl>
    <w:lvl w:ilvl="3" w:tplc="AD2CF98C">
      <w:start w:val="1"/>
      <w:numFmt w:val="bullet"/>
      <w:lvlText w:val=""/>
      <w:lvlJc w:val="left"/>
      <w:pPr>
        <w:ind w:left="2880" w:hanging="360"/>
      </w:pPr>
      <w:rPr>
        <w:rFonts w:ascii="Symbol" w:hAnsi="Symbol" w:hint="default"/>
      </w:rPr>
    </w:lvl>
    <w:lvl w:ilvl="4" w:tplc="30C8F3DC">
      <w:start w:val="1"/>
      <w:numFmt w:val="bullet"/>
      <w:lvlText w:val="o"/>
      <w:lvlJc w:val="left"/>
      <w:pPr>
        <w:ind w:left="3600" w:hanging="360"/>
      </w:pPr>
      <w:rPr>
        <w:rFonts w:ascii="Courier New" w:hAnsi="Courier New" w:hint="default"/>
      </w:rPr>
    </w:lvl>
    <w:lvl w:ilvl="5" w:tplc="F0C689DC">
      <w:start w:val="1"/>
      <w:numFmt w:val="bullet"/>
      <w:lvlText w:val=""/>
      <w:lvlJc w:val="left"/>
      <w:pPr>
        <w:ind w:left="4320" w:hanging="360"/>
      </w:pPr>
      <w:rPr>
        <w:rFonts w:ascii="Wingdings" w:hAnsi="Wingdings" w:hint="default"/>
      </w:rPr>
    </w:lvl>
    <w:lvl w:ilvl="6" w:tplc="2EA255F0">
      <w:start w:val="1"/>
      <w:numFmt w:val="bullet"/>
      <w:lvlText w:val=""/>
      <w:lvlJc w:val="left"/>
      <w:pPr>
        <w:ind w:left="5040" w:hanging="360"/>
      </w:pPr>
      <w:rPr>
        <w:rFonts w:ascii="Symbol" w:hAnsi="Symbol" w:hint="default"/>
      </w:rPr>
    </w:lvl>
    <w:lvl w:ilvl="7" w:tplc="333CD98E">
      <w:start w:val="1"/>
      <w:numFmt w:val="bullet"/>
      <w:lvlText w:val="o"/>
      <w:lvlJc w:val="left"/>
      <w:pPr>
        <w:ind w:left="5760" w:hanging="360"/>
      </w:pPr>
      <w:rPr>
        <w:rFonts w:ascii="Courier New" w:hAnsi="Courier New" w:hint="default"/>
      </w:rPr>
    </w:lvl>
    <w:lvl w:ilvl="8" w:tplc="C1406C62">
      <w:start w:val="1"/>
      <w:numFmt w:val="bullet"/>
      <w:lvlText w:val=""/>
      <w:lvlJc w:val="left"/>
      <w:pPr>
        <w:ind w:left="6480" w:hanging="360"/>
      </w:pPr>
      <w:rPr>
        <w:rFonts w:ascii="Wingdings" w:hAnsi="Wingdings" w:hint="default"/>
      </w:rPr>
    </w:lvl>
  </w:abstractNum>
  <w:abstractNum w:abstractNumId="898" w15:restartNumberingAfterBreak="0">
    <w:nsid w:val="7B192F55"/>
    <w:multiLevelType w:val="multilevel"/>
    <w:tmpl w:val="28B29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9" w15:restartNumberingAfterBreak="0">
    <w:nsid w:val="7B344464"/>
    <w:multiLevelType w:val="multilevel"/>
    <w:tmpl w:val="C914A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0" w15:restartNumberingAfterBreak="0">
    <w:nsid w:val="7B6702DB"/>
    <w:multiLevelType w:val="hybridMultilevel"/>
    <w:tmpl w:val="998AD8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1" w15:restartNumberingAfterBreak="0">
    <w:nsid w:val="7BAF3261"/>
    <w:multiLevelType w:val="multilevel"/>
    <w:tmpl w:val="F19EBE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2" w15:restartNumberingAfterBreak="0">
    <w:nsid w:val="7BBE7825"/>
    <w:multiLevelType w:val="multilevel"/>
    <w:tmpl w:val="CC427F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3" w15:restartNumberingAfterBreak="0">
    <w:nsid w:val="7C0E1B61"/>
    <w:multiLevelType w:val="hybridMultilevel"/>
    <w:tmpl w:val="FED02DA8"/>
    <w:lvl w:ilvl="0" w:tplc="DBB20042">
      <w:start w:val="1"/>
      <w:numFmt w:val="bullet"/>
      <w:lvlText w:val=""/>
      <w:lvlJc w:val="left"/>
      <w:pPr>
        <w:ind w:left="720" w:hanging="360"/>
      </w:pPr>
      <w:rPr>
        <w:rFonts w:ascii="Symbol" w:hAnsi="Symbol" w:hint="default"/>
      </w:rPr>
    </w:lvl>
    <w:lvl w:ilvl="1" w:tplc="37B6CEEA">
      <w:start w:val="1"/>
      <w:numFmt w:val="bullet"/>
      <w:lvlText w:val="o"/>
      <w:lvlJc w:val="left"/>
      <w:pPr>
        <w:ind w:left="1440" w:hanging="360"/>
      </w:pPr>
      <w:rPr>
        <w:rFonts w:ascii="Courier New" w:hAnsi="Courier New" w:hint="default"/>
      </w:rPr>
    </w:lvl>
    <w:lvl w:ilvl="2" w:tplc="8B90970A">
      <w:start w:val="1"/>
      <w:numFmt w:val="bullet"/>
      <w:lvlText w:val=""/>
      <w:lvlJc w:val="left"/>
      <w:pPr>
        <w:ind w:left="2160" w:hanging="360"/>
      </w:pPr>
      <w:rPr>
        <w:rFonts w:ascii="Wingdings" w:hAnsi="Wingdings" w:hint="default"/>
      </w:rPr>
    </w:lvl>
    <w:lvl w:ilvl="3" w:tplc="DD0CADC8">
      <w:start w:val="1"/>
      <w:numFmt w:val="bullet"/>
      <w:lvlText w:val=""/>
      <w:lvlJc w:val="left"/>
      <w:pPr>
        <w:ind w:left="2880" w:hanging="360"/>
      </w:pPr>
      <w:rPr>
        <w:rFonts w:ascii="Symbol" w:hAnsi="Symbol" w:hint="default"/>
      </w:rPr>
    </w:lvl>
    <w:lvl w:ilvl="4" w:tplc="4B2C5F3C">
      <w:start w:val="1"/>
      <w:numFmt w:val="bullet"/>
      <w:lvlText w:val="o"/>
      <w:lvlJc w:val="left"/>
      <w:pPr>
        <w:ind w:left="3600" w:hanging="360"/>
      </w:pPr>
      <w:rPr>
        <w:rFonts w:ascii="Courier New" w:hAnsi="Courier New" w:hint="default"/>
      </w:rPr>
    </w:lvl>
    <w:lvl w:ilvl="5" w:tplc="E8DAB156">
      <w:start w:val="1"/>
      <w:numFmt w:val="bullet"/>
      <w:lvlText w:val=""/>
      <w:lvlJc w:val="left"/>
      <w:pPr>
        <w:ind w:left="4320" w:hanging="360"/>
      </w:pPr>
      <w:rPr>
        <w:rFonts w:ascii="Wingdings" w:hAnsi="Wingdings" w:hint="default"/>
      </w:rPr>
    </w:lvl>
    <w:lvl w:ilvl="6" w:tplc="A2D43E46">
      <w:start w:val="1"/>
      <w:numFmt w:val="bullet"/>
      <w:lvlText w:val=""/>
      <w:lvlJc w:val="left"/>
      <w:pPr>
        <w:ind w:left="5040" w:hanging="360"/>
      </w:pPr>
      <w:rPr>
        <w:rFonts w:ascii="Symbol" w:hAnsi="Symbol" w:hint="default"/>
      </w:rPr>
    </w:lvl>
    <w:lvl w:ilvl="7" w:tplc="66E86DA8">
      <w:start w:val="1"/>
      <w:numFmt w:val="bullet"/>
      <w:lvlText w:val="o"/>
      <w:lvlJc w:val="left"/>
      <w:pPr>
        <w:ind w:left="5760" w:hanging="360"/>
      </w:pPr>
      <w:rPr>
        <w:rFonts w:ascii="Courier New" w:hAnsi="Courier New" w:hint="default"/>
      </w:rPr>
    </w:lvl>
    <w:lvl w:ilvl="8" w:tplc="22C8D89E">
      <w:start w:val="1"/>
      <w:numFmt w:val="bullet"/>
      <w:lvlText w:val=""/>
      <w:lvlJc w:val="left"/>
      <w:pPr>
        <w:ind w:left="6480" w:hanging="360"/>
      </w:pPr>
      <w:rPr>
        <w:rFonts w:ascii="Wingdings" w:hAnsi="Wingdings" w:hint="default"/>
      </w:rPr>
    </w:lvl>
  </w:abstractNum>
  <w:abstractNum w:abstractNumId="904" w15:restartNumberingAfterBreak="0">
    <w:nsid w:val="7C157EAB"/>
    <w:multiLevelType w:val="multilevel"/>
    <w:tmpl w:val="64185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5" w15:restartNumberingAfterBreak="0">
    <w:nsid w:val="7C23301D"/>
    <w:multiLevelType w:val="multilevel"/>
    <w:tmpl w:val="2026A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6" w15:restartNumberingAfterBreak="0">
    <w:nsid w:val="7C785766"/>
    <w:multiLevelType w:val="multilevel"/>
    <w:tmpl w:val="3AF4F9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7" w15:restartNumberingAfterBreak="0">
    <w:nsid w:val="7C8418BF"/>
    <w:multiLevelType w:val="multilevel"/>
    <w:tmpl w:val="1D906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8" w15:restartNumberingAfterBreak="0">
    <w:nsid w:val="7C85591E"/>
    <w:multiLevelType w:val="hybridMultilevel"/>
    <w:tmpl w:val="C818B860"/>
    <w:lvl w:ilvl="0" w:tplc="DC68042C">
      <w:start w:val="1"/>
      <w:numFmt w:val="bullet"/>
      <w:lvlText w:val=""/>
      <w:lvlJc w:val="left"/>
      <w:pPr>
        <w:ind w:left="547" w:hanging="360"/>
      </w:pPr>
      <w:rPr>
        <w:rFonts w:ascii="Symbol" w:hAnsi="Symbol" w:hint="default"/>
      </w:rPr>
    </w:lvl>
    <w:lvl w:ilvl="1" w:tplc="674C4294">
      <w:start w:val="1"/>
      <w:numFmt w:val="bullet"/>
      <w:lvlText w:val="o"/>
      <w:lvlJc w:val="left"/>
      <w:pPr>
        <w:ind w:left="1267" w:hanging="360"/>
      </w:pPr>
      <w:rPr>
        <w:rFonts w:ascii="Courier New" w:hAnsi="Courier New" w:hint="default"/>
      </w:rPr>
    </w:lvl>
    <w:lvl w:ilvl="2" w:tplc="9BA6C7AC">
      <w:start w:val="1"/>
      <w:numFmt w:val="bullet"/>
      <w:lvlText w:val=""/>
      <w:lvlJc w:val="left"/>
      <w:pPr>
        <w:ind w:left="1987" w:hanging="360"/>
      </w:pPr>
      <w:rPr>
        <w:rFonts w:ascii="Wingdings" w:hAnsi="Wingdings" w:hint="default"/>
      </w:rPr>
    </w:lvl>
    <w:lvl w:ilvl="3" w:tplc="9C749B48">
      <w:start w:val="1"/>
      <w:numFmt w:val="bullet"/>
      <w:lvlText w:val=""/>
      <w:lvlJc w:val="left"/>
      <w:pPr>
        <w:ind w:left="2707" w:hanging="360"/>
      </w:pPr>
      <w:rPr>
        <w:rFonts w:ascii="Symbol" w:hAnsi="Symbol" w:hint="default"/>
      </w:rPr>
    </w:lvl>
    <w:lvl w:ilvl="4" w:tplc="8C12F8E0">
      <w:start w:val="1"/>
      <w:numFmt w:val="bullet"/>
      <w:lvlText w:val="o"/>
      <w:lvlJc w:val="left"/>
      <w:pPr>
        <w:ind w:left="3427" w:hanging="360"/>
      </w:pPr>
      <w:rPr>
        <w:rFonts w:ascii="Courier New" w:hAnsi="Courier New" w:hint="default"/>
      </w:rPr>
    </w:lvl>
    <w:lvl w:ilvl="5" w:tplc="5F387C26">
      <w:start w:val="1"/>
      <w:numFmt w:val="bullet"/>
      <w:lvlText w:val=""/>
      <w:lvlJc w:val="left"/>
      <w:pPr>
        <w:ind w:left="4147" w:hanging="360"/>
      </w:pPr>
      <w:rPr>
        <w:rFonts w:ascii="Wingdings" w:hAnsi="Wingdings" w:hint="default"/>
      </w:rPr>
    </w:lvl>
    <w:lvl w:ilvl="6" w:tplc="35C65246">
      <w:start w:val="1"/>
      <w:numFmt w:val="bullet"/>
      <w:lvlText w:val=""/>
      <w:lvlJc w:val="left"/>
      <w:pPr>
        <w:ind w:left="4867" w:hanging="360"/>
      </w:pPr>
      <w:rPr>
        <w:rFonts w:ascii="Symbol" w:hAnsi="Symbol" w:hint="default"/>
      </w:rPr>
    </w:lvl>
    <w:lvl w:ilvl="7" w:tplc="E1EA51AA">
      <w:start w:val="1"/>
      <w:numFmt w:val="bullet"/>
      <w:lvlText w:val="o"/>
      <w:lvlJc w:val="left"/>
      <w:pPr>
        <w:ind w:left="5587" w:hanging="360"/>
      </w:pPr>
      <w:rPr>
        <w:rFonts w:ascii="Courier New" w:hAnsi="Courier New" w:hint="default"/>
      </w:rPr>
    </w:lvl>
    <w:lvl w:ilvl="8" w:tplc="6428B31C">
      <w:start w:val="1"/>
      <w:numFmt w:val="bullet"/>
      <w:lvlText w:val=""/>
      <w:lvlJc w:val="left"/>
      <w:pPr>
        <w:ind w:left="6307" w:hanging="360"/>
      </w:pPr>
      <w:rPr>
        <w:rFonts w:ascii="Wingdings" w:hAnsi="Wingdings" w:hint="default"/>
      </w:rPr>
    </w:lvl>
  </w:abstractNum>
  <w:abstractNum w:abstractNumId="909" w15:restartNumberingAfterBreak="0">
    <w:nsid w:val="7C85C7F3"/>
    <w:multiLevelType w:val="multilevel"/>
    <w:tmpl w:val="D506C3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10" w15:restartNumberingAfterBreak="0">
    <w:nsid w:val="7C9245D7"/>
    <w:multiLevelType w:val="multilevel"/>
    <w:tmpl w:val="1A4E9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1"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12" w15:restartNumberingAfterBreak="0">
    <w:nsid w:val="7CC865A0"/>
    <w:multiLevelType w:val="multilevel"/>
    <w:tmpl w:val="15B88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3" w15:restartNumberingAfterBreak="0">
    <w:nsid w:val="7D0F75E5"/>
    <w:multiLevelType w:val="multilevel"/>
    <w:tmpl w:val="33E43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4" w15:restartNumberingAfterBreak="0">
    <w:nsid w:val="7D33A16D"/>
    <w:multiLevelType w:val="multilevel"/>
    <w:tmpl w:val="C62C12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15" w15:restartNumberingAfterBreak="0">
    <w:nsid w:val="7D34D0AD"/>
    <w:multiLevelType w:val="hybridMultilevel"/>
    <w:tmpl w:val="E362D59E"/>
    <w:lvl w:ilvl="0" w:tplc="B0BCB7EE">
      <w:start w:val="1"/>
      <w:numFmt w:val="bullet"/>
      <w:lvlText w:val=""/>
      <w:lvlJc w:val="left"/>
      <w:pPr>
        <w:ind w:left="720" w:hanging="360"/>
      </w:pPr>
      <w:rPr>
        <w:rFonts w:ascii="Symbol" w:hAnsi="Symbol" w:hint="default"/>
      </w:rPr>
    </w:lvl>
    <w:lvl w:ilvl="1" w:tplc="9FD65AC4">
      <w:start w:val="1"/>
      <w:numFmt w:val="bullet"/>
      <w:lvlText w:val="o"/>
      <w:lvlJc w:val="left"/>
      <w:pPr>
        <w:ind w:left="1440" w:hanging="360"/>
      </w:pPr>
      <w:rPr>
        <w:rFonts w:ascii="Courier New" w:hAnsi="Courier New" w:hint="default"/>
      </w:rPr>
    </w:lvl>
    <w:lvl w:ilvl="2" w:tplc="917A65E4">
      <w:start w:val="1"/>
      <w:numFmt w:val="bullet"/>
      <w:lvlText w:val=""/>
      <w:lvlJc w:val="left"/>
      <w:pPr>
        <w:ind w:left="2160" w:hanging="360"/>
      </w:pPr>
      <w:rPr>
        <w:rFonts w:ascii="Wingdings" w:hAnsi="Wingdings" w:hint="default"/>
      </w:rPr>
    </w:lvl>
    <w:lvl w:ilvl="3" w:tplc="643E1A9A">
      <w:start w:val="1"/>
      <w:numFmt w:val="bullet"/>
      <w:lvlText w:val=""/>
      <w:lvlJc w:val="left"/>
      <w:pPr>
        <w:ind w:left="2880" w:hanging="360"/>
      </w:pPr>
      <w:rPr>
        <w:rFonts w:ascii="Symbol" w:hAnsi="Symbol" w:hint="default"/>
      </w:rPr>
    </w:lvl>
    <w:lvl w:ilvl="4" w:tplc="0EAC26D8">
      <w:start w:val="1"/>
      <w:numFmt w:val="bullet"/>
      <w:lvlText w:val="o"/>
      <w:lvlJc w:val="left"/>
      <w:pPr>
        <w:ind w:left="3600" w:hanging="360"/>
      </w:pPr>
      <w:rPr>
        <w:rFonts w:ascii="Courier New" w:hAnsi="Courier New" w:hint="default"/>
      </w:rPr>
    </w:lvl>
    <w:lvl w:ilvl="5" w:tplc="A80A3432">
      <w:start w:val="1"/>
      <w:numFmt w:val="bullet"/>
      <w:lvlText w:val=""/>
      <w:lvlJc w:val="left"/>
      <w:pPr>
        <w:ind w:left="4320" w:hanging="360"/>
      </w:pPr>
      <w:rPr>
        <w:rFonts w:ascii="Wingdings" w:hAnsi="Wingdings" w:hint="default"/>
      </w:rPr>
    </w:lvl>
    <w:lvl w:ilvl="6" w:tplc="E6B67056">
      <w:start w:val="1"/>
      <w:numFmt w:val="bullet"/>
      <w:lvlText w:val=""/>
      <w:lvlJc w:val="left"/>
      <w:pPr>
        <w:ind w:left="5040" w:hanging="360"/>
      </w:pPr>
      <w:rPr>
        <w:rFonts w:ascii="Symbol" w:hAnsi="Symbol" w:hint="default"/>
      </w:rPr>
    </w:lvl>
    <w:lvl w:ilvl="7" w:tplc="13E24432">
      <w:start w:val="1"/>
      <w:numFmt w:val="bullet"/>
      <w:lvlText w:val="o"/>
      <w:lvlJc w:val="left"/>
      <w:pPr>
        <w:ind w:left="5760" w:hanging="360"/>
      </w:pPr>
      <w:rPr>
        <w:rFonts w:ascii="Courier New" w:hAnsi="Courier New" w:hint="default"/>
      </w:rPr>
    </w:lvl>
    <w:lvl w:ilvl="8" w:tplc="C81EB1F2">
      <w:start w:val="1"/>
      <w:numFmt w:val="bullet"/>
      <w:lvlText w:val=""/>
      <w:lvlJc w:val="left"/>
      <w:pPr>
        <w:ind w:left="6480" w:hanging="360"/>
      </w:pPr>
      <w:rPr>
        <w:rFonts w:ascii="Wingdings" w:hAnsi="Wingdings" w:hint="default"/>
      </w:rPr>
    </w:lvl>
  </w:abstractNum>
  <w:abstractNum w:abstractNumId="916" w15:restartNumberingAfterBreak="0">
    <w:nsid w:val="7D4A65C0"/>
    <w:multiLevelType w:val="multilevel"/>
    <w:tmpl w:val="7E20F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7" w15:restartNumberingAfterBreak="0">
    <w:nsid w:val="7D7674D3"/>
    <w:multiLevelType w:val="hybridMultilevel"/>
    <w:tmpl w:val="F77838F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8" w15:restartNumberingAfterBreak="0">
    <w:nsid w:val="7DB170FF"/>
    <w:multiLevelType w:val="hybridMultilevel"/>
    <w:tmpl w:val="D51ADA70"/>
    <w:lvl w:ilvl="0" w:tplc="BB38F1EE">
      <w:start w:val="1"/>
      <w:numFmt w:val="bullet"/>
      <w:lvlText w:val=""/>
      <w:lvlJc w:val="left"/>
      <w:pPr>
        <w:ind w:left="720" w:hanging="360"/>
      </w:pPr>
      <w:rPr>
        <w:rFonts w:ascii="Symbol" w:hAnsi="Symbol" w:hint="default"/>
      </w:rPr>
    </w:lvl>
    <w:lvl w:ilvl="1" w:tplc="D5409388">
      <w:start w:val="1"/>
      <w:numFmt w:val="bullet"/>
      <w:lvlText w:val="o"/>
      <w:lvlJc w:val="left"/>
      <w:pPr>
        <w:ind w:left="1440" w:hanging="360"/>
      </w:pPr>
      <w:rPr>
        <w:rFonts w:ascii="Courier New" w:hAnsi="Courier New" w:hint="default"/>
      </w:rPr>
    </w:lvl>
    <w:lvl w:ilvl="2" w:tplc="4F40A16C">
      <w:start w:val="1"/>
      <w:numFmt w:val="bullet"/>
      <w:lvlText w:val=""/>
      <w:lvlJc w:val="left"/>
      <w:pPr>
        <w:ind w:left="2160" w:hanging="360"/>
      </w:pPr>
      <w:rPr>
        <w:rFonts w:ascii="Wingdings" w:hAnsi="Wingdings" w:hint="default"/>
      </w:rPr>
    </w:lvl>
    <w:lvl w:ilvl="3" w:tplc="488A533C">
      <w:start w:val="1"/>
      <w:numFmt w:val="bullet"/>
      <w:lvlText w:val=""/>
      <w:lvlJc w:val="left"/>
      <w:pPr>
        <w:ind w:left="2880" w:hanging="360"/>
      </w:pPr>
      <w:rPr>
        <w:rFonts w:ascii="Symbol" w:hAnsi="Symbol" w:hint="default"/>
      </w:rPr>
    </w:lvl>
    <w:lvl w:ilvl="4" w:tplc="A178E2D8">
      <w:start w:val="1"/>
      <w:numFmt w:val="bullet"/>
      <w:lvlText w:val="o"/>
      <w:lvlJc w:val="left"/>
      <w:pPr>
        <w:ind w:left="3600" w:hanging="360"/>
      </w:pPr>
      <w:rPr>
        <w:rFonts w:ascii="Courier New" w:hAnsi="Courier New" w:hint="default"/>
      </w:rPr>
    </w:lvl>
    <w:lvl w:ilvl="5" w:tplc="2D128E3A">
      <w:start w:val="1"/>
      <w:numFmt w:val="bullet"/>
      <w:lvlText w:val=""/>
      <w:lvlJc w:val="left"/>
      <w:pPr>
        <w:ind w:left="4320" w:hanging="360"/>
      </w:pPr>
      <w:rPr>
        <w:rFonts w:ascii="Wingdings" w:hAnsi="Wingdings" w:hint="default"/>
      </w:rPr>
    </w:lvl>
    <w:lvl w:ilvl="6" w:tplc="EC5049BA">
      <w:start w:val="1"/>
      <w:numFmt w:val="bullet"/>
      <w:lvlText w:val=""/>
      <w:lvlJc w:val="left"/>
      <w:pPr>
        <w:ind w:left="5040" w:hanging="360"/>
      </w:pPr>
      <w:rPr>
        <w:rFonts w:ascii="Symbol" w:hAnsi="Symbol" w:hint="default"/>
      </w:rPr>
    </w:lvl>
    <w:lvl w:ilvl="7" w:tplc="F60CD8E4">
      <w:start w:val="1"/>
      <w:numFmt w:val="bullet"/>
      <w:lvlText w:val="o"/>
      <w:lvlJc w:val="left"/>
      <w:pPr>
        <w:ind w:left="5760" w:hanging="360"/>
      </w:pPr>
      <w:rPr>
        <w:rFonts w:ascii="Courier New" w:hAnsi="Courier New" w:hint="default"/>
      </w:rPr>
    </w:lvl>
    <w:lvl w:ilvl="8" w:tplc="1EEEFBE6">
      <w:start w:val="1"/>
      <w:numFmt w:val="bullet"/>
      <w:lvlText w:val=""/>
      <w:lvlJc w:val="left"/>
      <w:pPr>
        <w:ind w:left="6480" w:hanging="360"/>
      </w:pPr>
      <w:rPr>
        <w:rFonts w:ascii="Wingdings" w:hAnsi="Wingdings" w:hint="default"/>
      </w:rPr>
    </w:lvl>
  </w:abstractNum>
  <w:abstractNum w:abstractNumId="919" w15:restartNumberingAfterBreak="0">
    <w:nsid w:val="7DBB542A"/>
    <w:multiLevelType w:val="multilevel"/>
    <w:tmpl w:val="39222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0" w15:restartNumberingAfterBreak="0">
    <w:nsid w:val="7DDC2440"/>
    <w:multiLevelType w:val="multilevel"/>
    <w:tmpl w:val="B8EA58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1" w15:restartNumberingAfterBreak="0">
    <w:nsid w:val="7E1559B6"/>
    <w:multiLevelType w:val="hybridMultilevel"/>
    <w:tmpl w:val="EDF46158"/>
    <w:lvl w:ilvl="0" w:tplc="E9063498">
      <w:start w:val="1"/>
      <w:numFmt w:val="bullet"/>
      <w:lvlText w:val=""/>
      <w:lvlJc w:val="left"/>
      <w:pPr>
        <w:ind w:left="720" w:hanging="360"/>
      </w:pPr>
      <w:rPr>
        <w:rFonts w:ascii="Symbol" w:hAnsi="Symbol" w:hint="default"/>
      </w:rPr>
    </w:lvl>
    <w:lvl w:ilvl="1" w:tplc="2AB8295C">
      <w:start w:val="1"/>
      <w:numFmt w:val="bullet"/>
      <w:lvlText w:val="o"/>
      <w:lvlJc w:val="left"/>
      <w:pPr>
        <w:ind w:left="1440" w:hanging="360"/>
      </w:pPr>
      <w:rPr>
        <w:rFonts w:ascii="Courier New" w:hAnsi="Courier New" w:hint="default"/>
      </w:rPr>
    </w:lvl>
    <w:lvl w:ilvl="2" w:tplc="F410B9C4">
      <w:start w:val="1"/>
      <w:numFmt w:val="bullet"/>
      <w:lvlText w:val=""/>
      <w:lvlJc w:val="left"/>
      <w:pPr>
        <w:ind w:left="2160" w:hanging="360"/>
      </w:pPr>
      <w:rPr>
        <w:rFonts w:ascii="Wingdings" w:hAnsi="Wingdings" w:hint="default"/>
      </w:rPr>
    </w:lvl>
    <w:lvl w:ilvl="3" w:tplc="465A61E0">
      <w:start w:val="1"/>
      <w:numFmt w:val="bullet"/>
      <w:lvlText w:val=""/>
      <w:lvlJc w:val="left"/>
      <w:pPr>
        <w:ind w:left="2880" w:hanging="360"/>
      </w:pPr>
      <w:rPr>
        <w:rFonts w:ascii="Symbol" w:hAnsi="Symbol" w:hint="default"/>
      </w:rPr>
    </w:lvl>
    <w:lvl w:ilvl="4" w:tplc="67D6FC9E">
      <w:start w:val="1"/>
      <w:numFmt w:val="bullet"/>
      <w:lvlText w:val="o"/>
      <w:lvlJc w:val="left"/>
      <w:pPr>
        <w:ind w:left="3600" w:hanging="360"/>
      </w:pPr>
      <w:rPr>
        <w:rFonts w:ascii="Courier New" w:hAnsi="Courier New" w:hint="default"/>
      </w:rPr>
    </w:lvl>
    <w:lvl w:ilvl="5" w:tplc="BBD0AC84">
      <w:start w:val="1"/>
      <w:numFmt w:val="bullet"/>
      <w:lvlText w:val=""/>
      <w:lvlJc w:val="left"/>
      <w:pPr>
        <w:ind w:left="4320" w:hanging="360"/>
      </w:pPr>
      <w:rPr>
        <w:rFonts w:ascii="Wingdings" w:hAnsi="Wingdings" w:hint="default"/>
      </w:rPr>
    </w:lvl>
    <w:lvl w:ilvl="6" w:tplc="C8A849DC">
      <w:start w:val="1"/>
      <w:numFmt w:val="bullet"/>
      <w:lvlText w:val=""/>
      <w:lvlJc w:val="left"/>
      <w:pPr>
        <w:ind w:left="5040" w:hanging="360"/>
      </w:pPr>
      <w:rPr>
        <w:rFonts w:ascii="Symbol" w:hAnsi="Symbol" w:hint="default"/>
      </w:rPr>
    </w:lvl>
    <w:lvl w:ilvl="7" w:tplc="067AF6C2">
      <w:start w:val="1"/>
      <w:numFmt w:val="bullet"/>
      <w:lvlText w:val="o"/>
      <w:lvlJc w:val="left"/>
      <w:pPr>
        <w:ind w:left="5760" w:hanging="360"/>
      </w:pPr>
      <w:rPr>
        <w:rFonts w:ascii="Courier New" w:hAnsi="Courier New" w:hint="default"/>
      </w:rPr>
    </w:lvl>
    <w:lvl w:ilvl="8" w:tplc="2B92F1A4">
      <w:start w:val="1"/>
      <w:numFmt w:val="bullet"/>
      <w:lvlText w:val=""/>
      <w:lvlJc w:val="left"/>
      <w:pPr>
        <w:ind w:left="6480" w:hanging="360"/>
      </w:pPr>
      <w:rPr>
        <w:rFonts w:ascii="Wingdings" w:hAnsi="Wingdings" w:hint="default"/>
      </w:rPr>
    </w:lvl>
  </w:abstractNum>
  <w:abstractNum w:abstractNumId="922" w15:restartNumberingAfterBreak="0">
    <w:nsid w:val="7E35806A"/>
    <w:multiLevelType w:val="hybridMultilevel"/>
    <w:tmpl w:val="6A268A62"/>
    <w:lvl w:ilvl="0" w:tplc="3E56D2D6">
      <w:start w:val="1"/>
      <w:numFmt w:val="bullet"/>
      <w:lvlText w:val=""/>
      <w:lvlJc w:val="left"/>
      <w:pPr>
        <w:ind w:left="720" w:hanging="360"/>
      </w:pPr>
      <w:rPr>
        <w:rFonts w:ascii="Symbol" w:hAnsi="Symbol" w:hint="default"/>
      </w:rPr>
    </w:lvl>
    <w:lvl w:ilvl="1" w:tplc="00A4D038">
      <w:start w:val="1"/>
      <w:numFmt w:val="bullet"/>
      <w:lvlText w:val="o"/>
      <w:lvlJc w:val="left"/>
      <w:pPr>
        <w:ind w:left="1440" w:hanging="360"/>
      </w:pPr>
      <w:rPr>
        <w:rFonts w:ascii="Courier New" w:hAnsi="Courier New" w:hint="default"/>
      </w:rPr>
    </w:lvl>
    <w:lvl w:ilvl="2" w:tplc="7916BEDE">
      <w:start w:val="1"/>
      <w:numFmt w:val="bullet"/>
      <w:lvlText w:val=""/>
      <w:lvlJc w:val="left"/>
      <w:pPr>
        <w:ind w:left="2160" w:hanging="360"/>
      </w:pPr>
      <w:rPr>
        <w:rFonts w:ascii="Wingdings" w:hAnsi="Wingdings" w:hint="default"/>
      </w:rPr>
    </w:lvl>
    <w:lvl w:ilvl="3" w:tplc="F8767F72">
      <w:start w:val="1"/>
      <w:numFmt w:val="bullet"/>
      <w:lvlText w:val=""/>
      <w:lvlJc w:val="left"/>
      <w:pPr>
        <w:ind w:left="2880" w:hanging="360"/>
      </w:pPr>
      <w:rPr>
        <w:rFonts w:ascii="Symbol" w:hAnsi="Symbol" w:hint="default"/>
      </w:rPr>
    </w:lvl>
    <w:lvl w:ilvl="4" w:tplc="D81A115E">
      <w:start w:val="1"/>
      <w:numFmt w:val="bullet"/>
      <w:lvlText w:val="o"/>
      <w:lvlJc w:val="left"/>
      <w:pPr>
        <w:ind w:left="3600" w:hanging="360"/>
      </w:pPr>
      <w:rPr>
        <w:rFonts w:ascii="Courier New" w:hAnsi="Courier New" w:hint="default"/>
      </w:rPr>
    </w:lvl>
    <w:lvl w:ilvl="5" w:tplc="AF62F4A0">
      <w:start w:val="1"/>
      <w:numFmt w:val="bullet"/>
      <w:lvlText w:val=""/>
      <w:lvlJc w:val="left"/>
      <w:pPr>
        <w:ind w:left="4320" w:hanging="360"/>
      </w:pPr>
      <w:rPr>
        <w:rFonts w:ascii="Wingdings" w:hAnsi="Wingdings" w:hint="default"/>
      </w:rPr>
    </w:lvl>
    <w:lvl w:ilvl="6" w:tplc="66425EEE">
      <w:start w:val="1"/>
      <w:numFmt w:val="bullet"/>
      <w:lvlText w:val=""/>
      <w:lvlJc w:val="left"/>
      <w:pPr>
        <w:ind w:left="5040" w:hanging="360"/>
      </w:pPr>
      <w:rPr>
        <w:rFonts w:ascii="Symbol" w:hAnsi="Symbol" w:hint="default"/>
      </w:rPr>
    </w:lvl>
    <w:lvl w:ilvl="7" w:tplc="6C30E5C8">
      <w:start w:val="1"/>
      <w:numFmt w:val="bullet"/>
      <w:lvlText w:val="o"/>
      <w:lvlJc w:val="left"/>
      <w:pPr>
        <w:ind w:left="5760" w:hanging="360"/>
      </w:pPr>
      <w:rPr>
        <w:rFonts w:ascii="Courier New" w:hAnsi="Courier New" w:hint="default"/>
      </w:rPr>
    </w:lvl>
    <w:lvl w:ilvl="8" w:tplc="E60CFA24">
      <w:start w:val="1"/>
      <w:numFmt w:val="bullet"/>
      <w:lvlText w:val=""/>
      <w:lvlJc w:val="left"/>
      <w:pPr>
        <w:ind w:left="6480" w:hanging="360"/>
      </w:pPr>
      <w:rPr>
        <w:rFonts w:ascii="Wingdings" w:hAnsi="Wingdings" w:hint="default"/>
      </w:rPr>
    </w:lvl>
  </w:abstractNum>
  <w:abstractNum w:abstractNumId="923" w15:restartNumberingAfterBreak="0">
    <w:nsid w:val="7E391358"/>
    <w:multiLevelType w:val="multilevel"/>
    <w:tmpl w:val="928E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4" w15:restartNumberingAfterBreak="0">
    <w:nsid w:val="7E5B4FA8"/>
    <w:multiLevelType w:val="multilevel"/>
    <w:tmpl w:val="5600D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5" w15:restartNumberingAfterBreak="0">
    <w:nsid w:val="7E5E39C6"/>
    <w:multiLevelType w:val="multilevel"/>
    <w:tmpl w:val="30300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6" w15:restartNumberingAfterBreak="0">
    <w:nsid w:val="7E8DC719"/>
    <w:multiLevelType w:val="hybridMultilevel"/>
    <w:tmpl w:val="253E19F6"/>
    <w:lvl w:ilvl="0" w:tplc="406E0602">
      <w:start w:val="1"/>
      <w:numFmt w:val="bullet"/>
      <w:lvlText w:val=""/>
      <w:lvlJc w:val="left"/>
      <w:pPr>
        <w:ind w:left="720" w:hanging="360"/>
      </w:pPr>
      <w:rPr>
        <w:rFonts w:ascii="Symbol" w:hAnsi="Symbol" w:hint="default"/>
      </w:rPr>
    </w:lvl>
    <w:lvl w:ilvl="1" w:tplc="E392EE70">
      <w:start w:val="1"/>
      <w:numFmt w:val="bullet"/>
      <w:lvlText w:val="o"/>
      <w:lvlJc w:val="left"/>
      <w:pPr>
        <w:ind w:left="1440" w:hanging="360"/>
      </w:pPr>
      <w:rPr>
        <w:rFonts w:ascii="Courier New" w:hAnsi="Courier New" w:hint="default"/>
      </w:rPr>
    </w:lvl>
    <w:lvl w:ilvl="2" w:tplc="C01EDF9E">
      <w:start w:val="1"/>
      <w:numFmt w:val="bullet"/>
      <w:lvlText w:val=""/>
      <w:lvlJc w:val="left"/>
      <w:pPr>
        <w:ind w:left="2160" w:hanging="360"/>
      </w:pPr>
      <w:rPr>
        <w:rFonts w:ascii="Wingdings" w:hAnsi="Wingdings" w:hint="default"/>
      </w:rPr>
    </w:lvl>
    <w:lvl w:ilvl="3" w:tplc="5344EE4E">
      <w:start w:val="1"/>
      <w:numFmt w:val="bullet"/>
      <w:lvlText w:val=""/>
      <w:lvlJc w:val="left"/>
      <w:pPr>
        <w:ind w:left="2880" w:hanging="360"/>
      </w:pPr>
      <w:rPr>
        <w:rFonts w:ascii="Symbol" w:hAnsi="Symbol" w:hint="default"/>
      </w:rPr>
    </w:lvl>
    <w:lvl w:ilvl="4" w:tplc="D04A2AAA">
      <w:start w:val="1"/>
      <w:numFmt w:val="bullet"/>
      <w:lvlText w:val="o"/>
      <w:lvlJc w:val="left"/>
      <w:pPr>
        <w:ind w:left="3600" w:hanging="360"/>
      </w:pPr>
      <w:rPr>
        <w:rFonts w:ascii="Courier New" w:hAnsi="Courier New" w:hint="default"/>
      </w:rPr>
    </w:lvl>
    <w:lvl w:ilvl="5" w:tplc="01B27454">
      <w:start w:val="1"/>
      <w:numFmt w:val="bullet"/>
      <w:lvlText w:val=""/>
      <w:lvlJc w:val="left"/>
      <w:pPr>
        <w:ind w:left="4320" w:hanging="360"/>
      </w:pPr>
      <w:rPr>
        <w:rFonts w:ascii="Wingdings" w:hAnsi="Wingdings" w:hint="default"/>
      </w:rPr>
    </w:lvl>
    <w:lvl w:ilvl="6" w:tplc="1420979E">
      <w:start w:val="1"/>
      <w:numFmt w:val="bullet"/>
      <w:lvlText w:val=""/>
      <w:lvlJc w:val="left"/>
      <w:pPr>
        <w:ind w:left="5040" w:hanging="360"/>
      </w:pPr>
      <w:rPr>
        <w:rFonts w:ascii="Symbol" w:hAnsi="Symbol" w:hint="default"/>
      </w:rPr>
    </w:lvl>
    <w:lvl w:ilvl="7" w:tplc="34C6E81C">
      <w:start w:val="1"/>
      <w:numFmt w:val="bullet"/>
      <w:lvlText w:val="o"/>
      <w:lvlJc w:val="left"/>
      <w:pPr>
        <w:ind w:left="5760" w:hanging="360"/>
      </w:pPr>
      <w:rPr>
        <w:rFonts w:ascii="Courier New" w:hAnsi="Courier New" w:hint="default"/>
      </w:rPr>
    </w:lvl>
    <w:lvl w:ilvl="8" w:tplc="2396829E">
      <w:start w:val="1"/>
      <w:numFmt w:val="bullet"/>
      <w:lvlText w:val=""/>
      <w:lvlJc w:val="left"/>
      <w:pPr>
        <w:ind w:left="6480" w:hanging="360"/>
      </w:pPr>
      <w:rPr>
        <w:rFonts w:ascii="Wingdings" w:hAnsi="Wingdings" w:hint="default"/>
      </w:rPr>
    </w:lvl>
  </w:abstractNum>
  <w:abstractNum w:abstractNumId="927" w15:restartNumberingAfterBreak="0">
    <w:nsid w:val="7EDB8C3B"/>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267" w:hanging="360"/>
      </w:pPr>
      <w:rPr>
        <w:rFonts w:ascii="Courier New" w:hAnsi="Courier New" w:hint="default"/>
      </w:rPr>
    </w:lvl>
    <w:lvl w:ilvl="2">
      <w:start w:val="1"/>
      <w:numFmt w:val="bullet"/>
      <w:lvlText w:val=""/>
      <w:lvlJc w:val="left"/>
      <w:pPr>
        <w:ind w:left="1987" w:hanging="360"/>
      </w:pPr>
      <w:rPr>
        <w:rFonts w:ascii="Wingdings" w:hAnsi="Wingdings" w:hint="default"/>
      </w:rPr>
    </w:lvl>
    <w:lvl w:ilvl="3">
      <w:start w:val="1"/>
      <w:numFmt w:val="bullet"/>
      <w:lvlText w:val=""/>
      <w:lvlJc w:val="left"/>
      <w:pPr>
        <w:ind w:left="2707" w:hanging="360"/>
      </w:pPr>
      <w:rPr>
        <w:rFonts w:ascii="Symbol" w:hAnsi="Symbol" w:hint="default"/>
      </w:rPr>
    </w:lvl>
    <w:lvl w:ilvl="4">
      <w:start w:val="1"/>
      <w:numFmt w:val="bullet"/>
      <w:lvlText w:val="o"/>
      <w:lvlJc w:val="left"/>
      <w:pPr>
        <w:ind w:left="3427" w:hanging="360"/>
      </w:pPr>
      <w:rPr>
        <w:rFonts w:ascii="Courier New" w:hAnsi="Courier New" w:hint="default"/>
      </w:rPr>
    </w:lvl>
    <w:lvl w:ilvl="5">
      <w:start w:val="1"/>
      <w:numFmt w:val="bullet"/>
      <w:lvlText w:val=""/>
      <w:lvlJc w:val="left"/>
      <w:pPr>
        <w:ind w:left="4147" w:hanging="360"/>
      </w:pPr>
      <w:rPr>
        <w:rFonts w:ascii="Wingdings" w:hAnsi="Wingdings" w:hint="default"/>
      </w:rPr>
    </w:lvl>
    <w:lvl w:ilvl="6">
      <w:start w:val="1"/>
      <w:numFmt w:val="bullet"/>
      <w:lvlText w:val=""/>
      <w:lvlJc w:val="left"/>
      <w:pPr>
        <w:ind w:left="4867" w:hanging="360"/>
      </w:pPr>
      <w:rPr>
        <w:rFonts w:ascii="Symbol" w:hAnsi="Symbol" w:hint="default"/>
      </w:rPr>
    </w:lvl>
    <w:lvl w:ilvl="7">
      <w:start w:val="1"/>
      <w:numFmt w:val="bullet"/>
      <w:lvlText w:val="o"/>
      <w:lvlJc w:val="left"/>
      <w:pPr>
        <w:ind w:left="5587" w:hanging="360"/>
      </w:pPr>
      <w:rPr>
        <w:rFonts w:ascii="Courier New" w:hAnsi="Courier New" w:hint="default"/>
      </w:rPr>
    </w:lvl>
    <w:lvl w:ilvl="8">
      <w:start w:val="1"/>
      <w:numFmt w:val="bullet"/>
      <w:lvlText w:val=""/>
      <w:lvlJc w:val="left"/>
      <w:pPr>
        <w:ind w:left="6307" w:hanging="360"/>
      </w:pPr>
      <w:rPr>
        <w:rFonts w:ascii="Wingdings" w:hAnsi="Wingdings" w:hint="default"/>
      </w:rPr>
    </w:lvl>
  </w:abstractNum>
  <w:abstractNum w:abstractNumId="928" w15:restartNumberingAfterBreak="0">
    <w:nsid w:val="7EDF04F1"/>
    <w:multiLevelType w:val="multilevel"/>
    <w:tmpl w:val="740EB9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9" w15:restartNumberingAfterBreak="0">
    <w:nsid w:val="7F0668CF"/>
    <w:multiLevelType w:val="hybridMultilevel"/>
    <w:tmpl w:val="AA480B24"/>
    <w:lvl w:ilvl="0" w:tplc="A8AE9C34">
      <w:start w:val="1"/>
      <w:numFmt w:val="decimal"/>
      <w:lvlText w:val="%1."/>
      <w:lvlJc w:val="left"/>
      <w:pPr>
        <w:ind w:left="360" w:hanging="360"/>
      </w:pPr>
      <w:rPr>
        <w:rFonts w:hint="default"/>
        <w:b w:val="0"/>
        <w:bCs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0" w15:restartNumberingAfterBreak="0">
    <w:nsid w:val="7F0859E5"/>
    <w:multiLevelType w:val="multilevel"/>
    <w:tmpl w:val="6A387A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31" w15:restartNumberingAfterBreak="0">
    <w:nsid w:val="7F693DCB"/>
    <w:multiLevelType w:val="multilevel"/>
    <w:tmpl w:val="8DC0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2" w15:restartNumberingAfterBreak="0">
    <w:nsid w:val="7F744BC8"/>
    <w:multiLevelType w:val="multilevel"/>
    <w:tmpl w:val="113C8B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33" w15:restartNumberingAfterBreak="0">
    <w:nsid w:val="7F95D0E2"/>
    <w:multiLevelType w:val="hybridMultilevel"/>
    <w:tmpl w:val="FFFFFFFF"/>
    <w:lvl w:ilvl="0" w:tplc="81F8935C">
      <w:start w:val="1"/>
      <w:numFmt w:val="bullet"/>
      <w:lvlText w:val="●"/>
      <w:lvlJc w:val="left"/>
      <w:pPr>
        <w:ind w:left="1440" w:hanging="360"/>
      </w:pPr>
      <w:rPr>
        <w:rFonts w:ascii="Symbol" w:hAnsi="Symbol" w:hint="default"/>
      </w:rPr>
    </w:lvl>
    <w:lvl w:ilvl="1" w:tplc="AFF009DC">
      <w:start w:val="1"/>
      <w:numFmt w:val="bullet"/>
      <w:lvlText w:val="o"/>
      <w:lvlJc w:val="left"/>
      <w:pPr>
        <w:ind w:left="1267" w:hanging="360"/>
      </w:pPr>
      <w:rPr>
        <w:rFonts w:ascii="Courier New" w:hAnsi="Courier New" w:hint="default"/>
      </w:rPr>
    </w:lvl>
    <w:lvl w:ilvl="2" w:tplc="9214897E">
      <w:start w:val="1"/>
      <w:numFmt w:val="bullet"/>
      <w:lvlText w:val=""/>
      <w:lvlJc w:val="left"/>
      <w:pPr>
        <w:ind w:left="1987" w:hanging="360"/>
      </w:pPr>
      <w:rPr>
        <w:rFonts w:ascii="Wingdings" w:hAnsi="Wingdings" w:hint="default"/>
      </w:rPr>
    </w:lvl>
    <w:lvl w:ilvl="3" w:tplc="4F18E588">
      <w:start w:val="1"/>
      <w:numFmt w:val="bullet"/>
      <w:lvlText w:val=""/>
      <w:lvlJc w:val="left"/>
      <w:pPr>
        <w:ind w:left="2707" w:hanging="360"/>
      </w:pPr>
      <w:rPr>
        <w:rFonts w:ascii="Symbol" w:hAnsi="Symbol" w:hint="default"/>
      </w:rPr>
    </w:lvl>
    <w:lvl w:ilvl="4" w:tplc="373A0810">
      <w:start w:val="1"/>
      <w:numFmt w:val="bullet"/>
      <w:lvlText w:val="o"/>
      <w:lvlJc w:val="left"/>
      <w:pPr>
        <w:ind w:left="3427" w:hanging="360"/>
      </w:pPr>
      <w:rPr>
        <w:rFonts w:ascii="Courier New" w:hAnsi="Courier New" w:hint="default"/>
      </w:rPr>
    </w:lvl>
    <w:lvl w:ilvl="5" w:tplc="C39242CC">
      <w:start w:val="1"/>
      <w:numFmt w:val="bullet"/>
      <w:lvlText w:val=""/>
      <w:lvlJc w:val="left"/>
      <w:pPr>
        <w:ind w:left="4147" w:hanging="360"/>
      </w:pPr>
      <w:rPr>
        <w:rFonts w:ascii="Wingdings" w:hAnsi="Wingdings" w:hint="default"/>
      </w:rPr>
    </w:lvl>
    <w:lvl w:ilvl="6" w:tplc="091024B6">
      <w:start w:val="1"/>
      <w:numFmt w:val="bullet"/>
      <w:lvlText w:val=""/>
      <w:lvlJc w:val="left"/>
      <w:pPr>
        <w:ind w:left="4867" w:hanging="360"/>
      </w:pPr>
      <w:rPr>
        <w:rFonts w:ascii="Symbol" w:hAnsi="Symbol" w:hint="default"/>
      </w:rPr>
    </w:lvl>
    <w:lvl w:ilvl="7" w:tplc="AFC238DC">
      <w:start w:val="1"/>
      <w:numFmt w:val="bullet"/>
      <w:lvlText w:val="o"/>
      <w:lvlJc w:val="left"/>
      <w:pPr>
        <w:ind w:left="5587" w:hanging="360"/>
      </w:pPr>
      <w:rPr>
        <w:rFonts w:ascii="Courier New" w:hAnsi="Courier New" w:hint="default"/>
      </w:rPr>
    </w:lvl>
    <w:lvl w:ilvl="8" w:tplc="C31C9402">
      <w:start w:val="1"/>
      <w:numFmt w:val="bullet"/>
      <w:lvlText w:val=""/>
      <w:lvlJc w:val="left"/>
      <w:pPr>
        <w:ind w:left="6307" w:hanging="360"/>
      </w:pPr>
      <w:rPr>
        <w:rFonts w:ascii="Wingdings" w:hAnsi="Wingdings" w:hint="default"/>
      </w:rPr>
    </w:lvl>
  </w:abstractNum>
  <w:abstractNum w:abstractNumId="934" w15:restartNumberingAfterBreak="0">
    <w:nsid w:val="7FE249A1"/>
    <w:multiLevelType w:val="multilevel"/>
    <w:tmpl w:val="ED06C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5" w15:restartNumberingAfterBreak="0">
    <w:nsid w:val="7FE70A58"/>
    <w:multiLevelType w:val="multilevel"/>
    <w:tmpl w:val="E84C43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6" w15:restartNumberingAfterBreak="0">
    <w:nsid w:val="7FEF4781"/>
    <w:multiLevelType w:val="multilevel"/>
    <w:tmpl w:val="BCCA4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577864">
    <w:abstractNumId w:val="123"/>
  </w:num>
  <w:num w:numId="2" w16cid:durableId="1803687793">
    <w:abstractNumId w:val="409"/>
  </w:num>
  <w:num w:numId="3" w16cid:durableId="1017075173">
    <w:abstractNumId w:val="281"/>
  </w:num>
  <w:num w:numId="4" w16cid:durableId="808396917">
    <w:abstractNumId w:val="176"/>
  </w:num>
  <w:num w:numId="5" w16cid:durableId="1753507048">
    <w:abstractNumId w:val="413"/>
  </w:num>
  <w:num w:numId="6" w16cid:durableId="1604873841">
    <w:abstractNumId w:val="9"/>
  </w:num>
  <w:num w:numId="7" w16cid:durableId="1764297093">
    <w:abstractNumId w:val="102"/>
  </w:num>
  <w:num w:numId="8" w16cid:durableId="1535385365">
    <w:abstractNumId w:val="926"/>
  </w:num>
  <w:num w:numId="9" w16cid:durableId="372848986">
    <w:abstractNumId w:val="227"/>
  </w:num>
  <w:num w:numId="10" w16cid:durableId="1429764699">
    <w:abstractNumId w:val="490"/>
  </w:num>
  <w:num w:numId="11" w16cid:durableId="671689694">
    <w:abstractNumId w:val="329"/>
  </w:num>
  <w:num w:numId="12" w16cid:durableId="2001959257">
    <w:abstractNumId w:val="291"/>
  </w:num>
  <w:num w:numId="13" w16cid:durableId="905458020">
    <w:abstractNumId w:val="554"/>
  </w:num>
  <w:num w:numId="14" w16cid:durableId="1681085124">
    <w:abstractNumId w:val="765"/>
  </w:num>
  <w:num w:numId="15" w16cid:durableId="1222400111">
    <w:abstractNumId w:val="421"/>
  </w:num>
  <w:num w:numId="16" w16cid:durableId="1596787782">
    <w:abstractNumId w:val="139"/>
  </w:num>
  <w:num w:numId="17" w16cid:durableId="1098015481">
    <w:abstractNumId w:val="341"/>
  </w:num>
  <w:num w:numId="18" w16cid:durableId="867328493">
    <w:abstractNumId w:val="293"/>
  </w:num>
  <w:num w:numId="19" w16cid:durableId="1563633333">
    <w:abstractNumId w:val="85"/>
  </w:num>
  <w:num w:numId="20" w16cid:durableId="16320879">
    <w:abstractNumId w:val="896"/>
  </w:num>
  <w:num w:numId="21" w16cid:durableId="728530886">
    <w:abstractNumId w:val="691"/>
  </w:num>
  <w:num w:numId="22" w16cid:durableId="1660188285">
    <w:abstractNumId w:val="921"/>
  </w:num>
  <w:num w:numId="23" w16cid:durableId="2023193639">
    <w:abstractNumId w:val="26"/>
  </w:num>
  <w:num w:numId="24" w16cid:durableId="1727531346">
    <w:abstractNumId w:val="358"/>
  </w:num>
  <w:num w:numId="25" w16cid:durableId="899250567">
    <w:abstractNumId w:val="824"/>
  </w:num>
  <w:num w:numId="26" w16cid:durableId="1182818616">
    <w:abstractNumId w:val="720"/>
  </w:num>
  <w:num w:numId="27" w16cid:durableId="800003659">
    <w:abstractNumId w:val="856"/>
  </w:num>
  <w:num w:numId="28" w16cid:durableId="115146752">
    <w:abstractNumId w:val="852"/>
  </w:num>
  <w:num w:numId="29" w16cid:durableId="396049861">
    <w:abstractNumId w:val="568"/>
  </w:num>
  <w:num w:numId="30" w16cid:durableId="1488551541">
    <w:abstractNumId w:val="368"/>
  </w:num>
  <w:num w:numId="31" w16cid:durableId="210116861">
    <w:abstractNumId w:val="578"/>
  </w:num>
  <w:num w:numId="32" w16cid:durableId="1291206840">
    <w:abstractNumId w:val="679"/>
  </w:num>
  <w:num w:numId="33" w16cid:durableId="78991201">
    <w:abstractNumId w:val="208"/>
  </w:num>
  <w:num w:numId="34" w16cid:durableId="269245516">
    <w:abstractNumId w:val="61"/>
  </w:num>
  <w:num w:numId="35" w16cid:durableId="974868764">
    <w:abstractNumId w:val="120"/>
  </w:num>
  <w:num w:numId="36" w16cid:durableId="723330969">
    <w:abstractNumId w:val="809"/>
  </w:num>
  <w:num w:numId="37" w16cid:durableId="1663241104">
    <w:abstractNumId w:val="262"/>
  </w:num>
  <w:num w:numId="38" w16cid:durableId="1982997993">
    <w:abstractNumId w:val="630"/>
  </w:num>
  <w:num w:numId="39" w16cid:durableId="1031417692">
    <w:abstractNumId w:val="803"/>
  </w:num>
  <w:num w:numId="40" w16cid:durableId="328102769">
    <w:abstractNumId w:val="553"/>
  </w:num>
  <w:num w:numId="41" w16cid:durableId="1268346422">
    <w:abstractNumId w:val="723"/>
  </w:num>
  <w:num w:numId="42" w16cid:durableId="385954529">
    <w:abstractNumId w:val="301"/>
  </w:num>
  <w:num w:numId="43" w16cid:durableId="960262134">
    <w:abstractNumId w:val="112"/>
  </w:num>
  <w:num w:numId="44" w16cid:durableId="1587882587">
    <w:abstractNumId w:val="187"/>
  </w:num>
  <w:num w:numId="45" w16cid:durableId="1496188483">
    <w:abstractNumId w:val="18"/>
  </w:num>
  <w:num w:numId="46" w16cid:durableId="1624997696">
    <w:abstractNumId w:val="232"/>
  </w:num>
  <w:num w:numId="47" w16cid:durableId="1732459009">
    <w:abstractNumId w:val="269"/>
  </w:num>
  <w:num w:numId="48" w16cid:durableId="489292022">
    <w:abstractNumId w:val="796"/>
  </w:num>
  <w:num w:numId="49" w16cid:durableId="237251864">
    <w:abstractNumId w:val="456"/>
  </w:num>
  <w:num w:numId="50" w16cid:durableId="1626623632">
    <w:abstractNumId w:val="307"/>
  </w:num>
  <w:num w:numId="51" w16cid:durableId="1478037589">
    <w:abstractNumId w:val="918"/>
  </w:num>
  <w:num w:numId="52" w16cid:durableId="2011367114">
    <w:abstractNumId w:val="126"/>
  </w:num>
  <w:num w:numId="53" w16cid:durableId="1398866159">
    <w:abstractNumId w:val="280"/>
  </w:num>
  <w:num w:numId="54" w16cid:durableId="445662904">
    <w:abstractNumId w:val="858"/>
  </w:num>
  <w:num w:numId="55" w16cid:durableId="503276548">
    <w:abstractNumId w:val="903"/>
  </w:num>
  <w:num w:numId="56" w16cid:durableId="1892883411">
    <w:abstractNumId w:val="597"/>
  </w:num>
  <w:num w:numId="57" w16cid:durableId="967661228">
    <w:abstractNumId w:val="430"/>
  </w:num>
  <w:num w:numId="58" w16cid:durableId="515508121">
    <w:abstractNumId w:val="20"/>
  </w:num>
  <w:num w:numId="59" w16cid:durableId="802816862">
    <w:abstractNumId w:val="145"/>
  </w:num>
  <w:num w:numId="60" w16cid:durableId="1784349981">
    <w:abstractNumId w:val="784"/>
  </w:num>
  <w:num w:numId="61" w16cid:durableId="882718556">
    <w:abstractNumId w:val="638"/>
  </w:num>
  <w:num w:numId="62" w16cid:durableId="350491968">
    <w:abstractNumId w:val="243"/>
  </w:num>
  <w:num w:numId="63" w16cid:durableId="1440880178">
    <w:abstractNumId w:val="105"/>
  </w:num>
  <w:num w:numId="64" w16cid:durableId="1909917602">
    <w:abstractNumId w:val="200"/>
  </w:num>
  <w:num w:numId="65" w16cid:durableId="946079472">
    <w:abstractNumId w:val="240"/>
  </w:num>
  <w:num w:numId="66" w16cid:durableId="1470397820">
    <w:abstractNumId w:val="633"/>
  </w:num>
  <w:num w:numId="67" w16cid:durableId="1505241819">
    <w:abstractNumId w:val="562"/>
  </w:num>
  <w:num w:numId="68" w16cid:durableId="1193298545">
    <w:abstractNumId w:val="465"/>
  </w:num>
  <w:num w:numId="69" w16cid:durableId="1241910937">
    <w:abstractNumId w:val="867"/>
  </w:num>
  <w:num w:numId="70" w16cid:durableId="320892451">
    <w:abstractNumId w:val="364"/>
  </w:num>
  <w:num w:numId="71" w16cid:durableId="721059833">
    <w:abstractNumId w:val="381"/>
  </w:num>
  <w:num w:numId="72" w16cid:durableId="748191100">
    <w:abstractNumId w:val="489"/>
  </w:num>
  <w:num w:numId="73" w16cid:durableId="1118791865">
    <w:abstractNumId w:val="109"/>
  </w:num>
  <w:num w:numId="74" w16cid:durableId="727343457">
    <w:abstractNumId w:val="318"/>
  </w:num>
  <w:num w:numId="75" w16cid:durableId="2126390161">
    <w:abstractNumId w:val="448"/>
  </w:num>
  <w:num w:numId="76" w16cid:durableId="2143688099">
    <w:abstractNumId w:val="880"/>
  </w:num>
  <w:num w:numId="77" w16cid:durableId="897282035">
    <w:abstractNumId w:val="247"/>
  </w:num>
  <w:num w:numId="78" w16cid:durableId="717700305">
    <w:abstractNumId w:val="322"/>
  </w:num>
  <w:num w:numId="79" w16cid:durableId="1974601105">
    <w:abstractNumId w:val="663"/>
  </w:num>
  <w:num w:numId="80" w16cid:durableId="808522277">
    <w:abstractNumId w:val="801"/>
  </w:num>
  <w:num w:numId="81" w16cid:durableId="444230456">
    <w:abstractNumId w:val="514"/>
  </w:num>
  <w:num w:numId="82" w16cid:durableId="1951432109">
    <w:abstractNumId w:val="161"/>
  </w:num>
  <w:num w:numId="83" w16cid:durableId="526599839">
    <w:abstractNumId w:val="12"/>
  </w:num>
  <w:num w:numId="84" w16cid:durableId="47457509">
    <w:abstractNumId w:val="790"/>
  </w:num>
  <w:num w:numId="85" w16cid:durableId="559831230">
    <w:abstractNumId w:val="437"/>
  </w:num>
  <w:num w:numId="86" w16cid:durableId="588588038">
    <w:abstractNumId w:val="74"/>
  </w:num>
  <w:num w:numId="87" w16cid:durableId="1081680532">
    <w:abstractNumId w:val="324"/>
  </w:num>
  <w:num w:numId="88" w16cid:durableId="1747342123">
    <w:abstractNumId w:val="892"/>
  </w:num>
  <w:num w:numId="89" w16cid:durableId="1114136411">
    <w:abstractNumId w:val="427"/>
  </w:num>
  <w:num w:numId="90" w16cid:durableId="123812593">
    <w:abstractNumId w:val="328"/>
  </w:num>
  <w:num w:numId="91" w16cid:durableId="1460491137">
    <w:abstractNumId w:val="616"/>
  </w:num>
  <w:num w:numId="92" w16cid:durableId="968121575">
    <w:abstractNumId w:val="780"/>
  </w:num>
  <w:num w:numId="93" w16cid:durableId="1716273141">
    <w:abstractNumId w:val="842"/>
  </w:num>
  <w:num w:numId="94" w16cid:durableId="872958515">
    <w:abstractNumId w:val="930"/>
  </w:num>
  <w:num w:numId="95" w16cid:durableId="1733116980">
    <w:abstractNumId w:val="468"/>
  </w:num>
  <w:num w:numId="96" w16cid:durableId="1426150602">
    <w:abstractNumId w:val="288"/>
  </w:num>
  <w:num w:numId="97" w16cid:durableId="1021123802">
    <w:abstractNumId w:val="692"/>
  </w:num>
  <w:num w:numId="98" w16cid:durableId="1450195976">
    <w:abstractNumId w:val="414"/>
  </w:num>
  <w:num w:numId="99" w16cid:durableId="284654774">
    <w:abstractNumId w:val="727"/>
  </w:num>
  <w:num w:numId="100" w16cid:durableId="1353997642">
    <w:abstractNumId w:val="677"/>
  </w:num>
  <w:num w:numId="101" w16cid:durableId="1298536316">
    <w:abstractNumId w:val="438"/>
  </w:num>
  <w:num w:numId="102" w16cid:durableId="1531649528">
    <w:abstractNumId w:val="823"/>
  </w:num>
  <w:num w:numId="103" w16cid:durableId="571965085">
    <w:abstractNumId w:val="810"/>
  </w:num>
  <w:num w:numId="104" w16cid:durableId="1439057013">
    <w:abstractNumId w:val="169"/>
  </w:num>
  <w:num w:numId="105" w16cid:durableId="1091009934">
    <w:abstractNumId w:val="914"/>
  </w:num>
  <w:num w:numId="106" w16cid:durableId="1702630362">
    <w:abstractNumId w:val="540"/>
  </w:num>
  <w:num w:numId="107" w16cid:durableId="1208446189">
    <w:abstractNumId w:val="687"/>
  </w:num>
  <w:num w:numId="108" w16cid:durableId="1727602680">
    <w:abstractNumId w:val="605"/>
  </w:num>
  <w:num w:numId="109" w16cid:durableId="175506328">
    <w:abstractNumId w:val="55"/>
  </w:num>
  <w:num w:numId="110" w16cid:durableId="1802461129">
    <w:abstractNumId w:val="17"/>
  </w:num>
  <w:num w:numId="111" w16cid:durableId="2116557803">
    <w:abstractNumId w:val="711"/>
  </w:num>
  <w:num w:numId="112" w16cid:durableId="1955408069">
    <w:abstractNumId w:val="396"/>
  </w:num>
  <w:num w:numId="113" w16cid:durableId="1934316981">
    <w:abstractNumId w:val="651"/>
  </w:num>
  <w:num w:numId="114" w16cid:durableId="1522890810">
    <w:abstractNumId w:val="869"/>
  </w:num>
  <w:num w:numId="115" w16cid:durableId="1400900717">
    <w:abstractNumId w:val="295"/>
  </w:num>
  <w:num w:numId="116" w16cid:durableId="638612885">
    <w:abstractNumId w:val="160"/>
  </w:num>
  <w:num w:numId="117" w16cid:durableId="157306375">
    <w:abstractNumId w:val="583"/>
  </w:num>
  <w:num w:numId="118" w16cid:durableId="1187256456">
    <w:abstractNumId w:val="144"/>
  </w:num>
  <w:num w:numId="119" w16cid:durableId="968777054">
    <w:abstractNumId w:val="229"/>
  </w:num>
  <w:num w:numId="120" w16cid:durableId="472262566">
    <w:abstractNumId w:val="557"/>
  </w:num>
  <w:num w:numId="121" w16cid:durableId="1096287579">
    <w:abstractNumId w:val="39"/>
  </w:num>
  <w:num w:numId="122" w16cid:durableId="579212792">
    <w:abstractNumId w:val="474"/>
  </w:num>
  <w:num w:numId="123" w16cid:durableId="1185631229">
    <w:abstractNumId w:val="617"/>
  </w:num>
  <w:num w:numId="124" w16cid:durableId="82000251">
    <w:abstractNumId w:val="420"/>
  </w:num>
  <w:num w:numId="125" w16cid:durableId="816454586">
    <w:abstractNumId w:val="740"/>
  </w:num>
  <w:num w:numId="126" w16cid:durableId="1254781923">
    <w:abstractNumId w:val="236"/>
  </w:num>
  <w:num w:numId="127" w16cid:durableId="51513424">
    <w:abstractNumId w:val="639"/>
  </w:num>
  <w:num w:numId="128" w16cid:durableId="572275350">
    <w:abstractNumId w:val="151"/>
  </w:num>
  <w:num w:numId="129" w16cid:durableId="115413436">
    <w:abstractNumId w:val="582"/>
  </w:num>
  <w:num w:numId="130" w16cid:durableId="1502815943">
    <w:abstractNumId w:val="503"/>
  </w:num>
  <w:num w:numId="131" w16cid:durableId="1561936910">
    <w:abstractNumId w:val="158"/>
  </w:num>
  <w:num w:numId="132" w16cid:durableId="1781143611">
    <w:abstractNumId w:val="800"/>
  </w:num>
  <w:num w:numId="133" w16cid:durableId="814955134">
    <w:abstractNumId w:val="356"/>
  </w:num>
  <w:num w:numId="134" w16cid:durableId="1517573086">
    <w:abstractNumId w:val="725"/>
  </w:num>
  <w:num w:numId="135" w16cid:durableId="45490243">
    <w:abstractNumId w:val="58"/>
  </w:num>
  <w:num w:numId="136" w16cid:durableId="142544432">
    <w:abstractNumId w:val="423"/>
  </w:num>
  <w:num w:numId="137" w16cid:durableId="129904502">
    <w:abstractNumId w:val="344"/>
  </w:num>
  <w:num w:numId="138" w16cid:durableId="886717365">
    <w:abstractNumId w:val="689"/>
  </w:num>
  <w:num w:numId="139" w16cid:durableId="754323515">
    <w:abstractNumId w:val="555"/>
  </w:num>
  <w:num w:numId="140" w16cid:durableId="1580670808">
    <w:abstractNumId w:val="366"/>
  </w:num>
  <w:num w:numId="141" w16cid:durableId="596138926">
    <w:abstractNumId w:val="94"/>
  </w:num>
  <w:num w:numId="142" w16cid:durableId="2012946734">
    <w:abstractNumId w:val="601"/>
  </w:num>
  <w:num w:numId="143" w16cid:durableId="973364885">
    <w:abstractNumId w:val="909"/>
  </w:num>
  <w:num w:numId="144" w16cid:durableId="53357088">
    <w:abstractNumId w:val="518"/>
  </w:num>
  <w:num w:numId="145" w16cid:durableId="1435663104">
    <w:abstractNumId w:val="347"/>
  </w:num>
  <w:num w:numId="146" w16cid:durableId="1034042765">
    <w:abstractNumId w:val="613"/>
  </w:num>
  <w:num w:numId="147" w16cid:durableId="1981956752">
    <w:abstractNumId w:val="370"/>
  </w:num>
  <w:num w:numId="148" w16cid:durableId="992174580">
    <w:abstractNumId w:val="602"/>
  </w:num>
  <w:num w:numId="149" w16cid:durableId="368454721">
    <w:abstractNumId w:val="198"/>
  </w:num>
  <w:num w:numId="150" w16cid:durableId="620965959">
    <w:abstractNumId w:val="19"/>
  </w:num>
  <w:num w:numId="151" w16cid:durableId="129640213">
    <w:abstractNumId w:val="507"/>
  </w:num>
  <w:num w:numId="152" w16cid:durableId="359165692">
    <w:abstractNumId w:val="574"/>
  </w:num>
  <w:num w:numId="153" w16cid:durableId="500856222">
    <w:abstractNumId w:val="724"/>
  </w:num>
  <w:num w:numId="154" w16cid:durableId="231937665">
    <w:abstractNumId w:val="485"/>
  </w:num>
  <w:num w:numId="155" w16cid:durableId="1023018343">
    <w:abstractNumId w:val="793"/>
  </w:num>
  <w:num w:numId="156" w16cid:durableId="1817650999">
    <w:abstractNumId w:val="685"/>
  </w:num>
  <w:num w:numId="157" w16cid:durableId="1777749770">
    <w:abstractNumId w:val="103"/>
  </w:num>
  <w:num w:numId="158" w16cid:durableId="1137724670">
    <w:abstractNumId w:val="524"/>
  </w:num>
  <w:num w:numId="159" w16cid:durableId="1107233187">
    <w:abstractNumId w:val="678"/>
  </w:num>
  <w:num w:numId="160" w16cid:durableId="1065681080">
    <w:abstractNumId w:val="893"/>
  </w:num>
  <w:num w:numId="161" w16cid:durableId="597130775">
    <w:abstractNumId w:val="342"/>
  </w:num>
  <w:num w:numId="162" w16cid:durableId="827281959">
    <w:abstractNumId w:val="77"/>
  </w:num>
  <w:num w:numId="163" w16cid:durableId="593974086">
    <w:abstractNumId w:val="284"/>
  </w:num>
  <w:num w:numId="164" w16cid:durableId="447168074">
    <w:abstractNumId w:val="196"/>
  </w:num>
  <w:num w:numId="165" w16cid:durableId="977106406">
    <w:abstractNumId w:val="853"/>
  </w:num>
  <w:num w:numId="166" w16cid:durableId="1403139943">
    <w:abstractNumId w:val="515"/>
  </w:num>
  <w:num w:numId="167" w16cid:durableId="1752192712">
    <w:abstractNumId w:val="256"/>
  </w:num>
  <w:num w:numId="168" w16cid:durableId="711153947">
    <w:abstractNumId w:val="311"/>
  </w:num>
  <w:num w:numId="169" w16cid:durableId="143552392">
    <w:abstractNumId w:val="932"/>
  </w:num>
  <w:num w:numId="170" w16cid:durableId="841898921">
    <w:abstractNumId w:val="86"/>
  </w:num>
  <w:num w:numId="171" w16cid:durableId="132211372">
    <w:abstractNumId w:val="627"/>
  </w:num>
  <w:num w:numId="172" w16cid:durableId="1742211801">
    <w:abstractNumId w:val="405"/>
  </w:num>
  <w:num w:numId="173" w16cid:durableId="238641933">
    <w:abstractNumId w:val="132"/>
  </w:num>
  <w:num w:numId="174" w16cid:durableId="789200336">
    <w:abstractNumId w:val="340"/>
  </w:num>
  <w:num w:numId="175" w16cid:durableId="864710441">
    <w:abstractNumId w:val="11"/>
  </w:num>
  <w:num w:numId="176" w16cid:durableId="1918594768">
    <w:abstractNumId w:val="763"/>
  </w:num>
  <w:num w:numId="177" w16cid:durableId="1109397259">
    <w:abstractNumId w:val="29"/>
  </w:num>
  <w:num w:numId="178" w16cid:durableId="24793609">
    <w:abstractNumId w:val="505"/>
  </w:num>
  <w:num w:numId="179" w16cid:durableId="29190307">
    <w:abstractNumId w:val="539"/>
  </w:num>
  <w:num w:numId="180" w16cid:durableId="1736513138">
    <w:abstractNumId w:val="733"/>
  </w:num>
  <w:num w:numId="181" w16cid:durableId="943537119">
    <w:abstractNumId w:val="195"/>
  </w:num>
  <w:num w:numId="182" w16cid:durableId="1866365604">
    <w:abstractNumId w:val="412"/>
  </w:num>
  <w:num w:numId="183" w16cid:durableId="613097864">
    <w:abstractNumId w:val="718"/>
  </w:num>
  <w:num w:numId="184" w16cid:durableId="839388500">
    <w:abstractNumId w:val="721"/>
  </w:num>
  <w:num w:numId="185" w16cid:durableId="818958533">
    <w:abstractNumId w:val="746"/>
  </w:num>
  <w:num w:numId="186" w16cid:durableId="664867949">
    <w:abstractNumId w:val="93"/>
  </w:num>
  <w:num w:numId="187" w16cid:durableId="2076276542">
    <w:abstractNumId w:val="385"/>
  </w:num>
  <w:num w:numId="188" w16cid:durableId="558980156">
    <w:abstractNumId w:val="43"/>
  </w:num>
  <w:num w:numId="189" w16cid:durableId="118033178">
    <w:abstractNumId w:val="634"/>
  </w:num>
  <w:num w:numId="190" w16cid:durableId="90592137">
    <w:abstractNumId w:val="672"/>
  </w:num>
  <w:num w:numId="191" w16cid:durableId="373237487">
    <w:abstractNumId w:val="484"/>
  </w:num>
  <w:num w:numId="192" w16cid:durableId="683285679">
    <w:abstractNumId w:val="520"/>
  </w:num>
  <w:num w:numId="193" w16cid:durableId="846021827">
    <w:abstractNumId w:val="436"/>
  </w:num>
  <w:num w:numId="194" w16cid:durableId="1669210856">
    <w:abstractNumId w:val="80"/>
  </w:num>
  <w:num w:numId="195" w16cid:durableId="1188104685">
    <w:abstractNumId w:val="406"/>
  </w:num>
  <w:num w:numId="196" w16cid:durableId="872232159">
    <w:abstractNumId w:val="121"/>
  </w:num>
  <w:num w:numId="197" w16cid:durableId="760684462">
    <w:abstractNumId w:val="794"/>
  </w:num>
  <w:num w:numId="198" w16cid:durableId="299968011">
    <w:abstractNumId w:val="753"/>
  </w:num>
  <w:num w:numId="199" w16cid:durableId="896626671">
    <w:abstractNumId w:val="529"/>
  </w:num>
  <w:num w:numId="200" w16cid:durableId="1946111112">
    <w:abstractNumId w:val="27"/>
  </w:num>
  <w:num w:numId="201" w16cid:durableId="575700763">
    <w:abstractNumId w:val="25"/>
  </w:num>
  <w:num w:numId="202" w16cid:durableId="526870452">
    <w:abstractNumId w:val="65"/>
  </w:num>
  <w:num w:numId="203" w16cid:durableId="1242374304">
    <w:abstractNumId w:val="523"/>
  </w:num>
  <w:num w:numId="204" w16cid:durableId="1861773966">
    <w:abstractNumId w:val="239"/>
  </w:num>
  <w:num w:numId="205" w16cid:durableId="839391456">
    <w:abstractNumId w:val="431"/>
  </w:num>
  <w:num w:numId="206" w16cid:durableId="299072636">
    <w:abstractNumId w:val="895"/>
  </w:num>
  <w:num w:numId="207" w16cid:durableId="1299335490">
    <w:abstractNumId w:val="426"/>
  </w:num>
  <w:num w:numId="208" w16cid:durableId="343897057">
    <w:abstractNumId w:val="298"/>
  </w:num>
  <w:num w:numId="209" w16cid:durableId="752820696">
    <w:abstractNumId w:val="384"/>
  </w:num>
  <w:num w:numId="210" w16cid:durableId="60642828">
    <w:abstractNumId w:val="660"/>
  </w:num>
  <w:num w:numId="211" w16cid:durableId="1531340739">
    <w:abstractNumId w:val="451"/>
  </w:num>
  <w:num w:numId="212" w16cid:durableId="1254969011">
    <w:abstractNumId w:val="191"/>
  </w:num>
  <w:num w:numId="213" w16cid:durableId="1815948241">
    <w:abstractNumId w:val="699"/>
  </w:num>
  <w:num w:numId="214" w16cid:durableId="625889154">
    <w:abstractNumId w:val="935"/>
  </w:num>
  <w:num w:numId="215" w16cid:durableId="1243949419">
    <w:abstractNumId w:val="717"/>
  </w:num>
  <w:num w:numId="216" w16cid:durableId="1759212590">
    <w:abstractNumId w:val="479"/>
  </w:num>
  <w:num w:numId="217" w16cid:durableId="1206600269">
    <w:abstractNumId w:val="710"/>
  </w:num>
  <w:num w:numId="218" w16cid:durableId="373888351">
    <w:abstractNumId w:val="408"/>
  </w:num>
  <w:num w:numId="219" w16cid:durableId="401218544">
    <w:abstractNumId w:val="189"/>
  </w:num>
  <w:num w:numId="220" w16cid:durableId="793332485">
    <w:abstractNumId w:val="830"/>
  </w:num>
  <w:num w:numId="221" w16cid:durableId="118382142">
    <w:abstractNumId w:val="498"/>
  </w:num>
  <w:num w:numId="222" w16cid:durableId="536085277">
    <w:abstractNumId w:val="393"/>
  </w:num>
  <w:num w:numId="223" w16cid:durableId="251936225">
    <w:abstractNumId w:val="140"/>
  </w:num>
  <w:num w:numId="224" w16cid:durableId="1255550673">
    <w:abstractNumId w:val="205"/>
  </w:num>
  <w:num w:numId="225" w16cid:durableId="579021370">
    <w:abstractNumId w:val="429"/>
  </w:num>
  <w:num w:numId="226" w16cid:durableId="577131913">
    <w:abstractNumId w:val="237"/>
  </w:num>
  <w:num w:numId="227" w16cid:durableId="980235028">
    <w:abstractNumId w:val="320"/>
  </w:num>
  <w:num w:numId="228" w16cid:durableId="345059123">
    <w:abstractNumId w:val="828"/>
  </w:num>
  <w:num w:numId="229" w16cid:durableId="634871102">
    <w:abstractNumId w:val="615"/>
  </w:num>
  <w:num w:numId="230" w16cid:durableId="611786045">
    <w:abstractNumId w:val="290"/>
  </w:num>
  <w:num w:numId="231" w16cid:durableId="632053471">
    <w:abstractNumId w:val="579"/>
  </w:num>
  <w:num w:numId="232" w16cid:durableId="1222867383">
    <w:abstractNumId w:val="348"/>
  </w:num>
  <w:num w:numId="233" w16cid:durableId="1183323552">
    <w:abstractNumId w:val="464"/>
  </w:num>
  <w:num w:numId="234" w16cid:durableId="47339614">
    <w:abstractNumId w:val="567"/>
  </w:num>
  <w:num w:numId="235" w16cid:durableId="1753701984">
    <w:abstractNumId w:val="606"/>
  </w:num>
  <w:num w:numId="236" w16cid:durableId="2018924696">
    <w:abstractNumId w:val="894"/>
  </w:num>
  <w:num w:numId="237" w16cid:durableId="1632516844">
    <w:abstractNumId w:val="226"/>
  </w:num>
  <w:num w:numId="238" w16cid:durableId="75983150">
    <w:abstractNumId w:val="500"/>
  </w:num>
  <w:num w:numId="239" w16cid:durableId="975720075">
    <w:abstractNumId w:val="841"/>
  </w:num>
  <w:num w:numId="240" w16cid:durableId="277415530">
    <w:abstractNumId w:val="528"/>
  </w:num>
  <w:num w:numId="241" w16cid:durableId="2707729">
    <w:abstractNumId w:val="548"/>
  </w:num>
  <w:num w:numId="242" w16cid:durableId="1128007950">
    <w:abstractNumId w:val="254"/>
  </w:num>
  <w:num w:numId="243" w16cid:durableId="452987853">
    <w:abstractNumId w:val="656"/>
  </w:num>
  <w:num w:numId="244" w16cid:durableId="778985979">
    <w:abstractNumId w:val="165"/>
  </w:num>
  <w:num w:numId="245" w16cid:durableId="839275658">
    <w:abstractNumId w:val="747"/>
  </w:num>
  <w:num w:numId="246" w16cid:durableId="446394925">
    <w:abstractNumId w:val="48"/>
  </w:num>
  <w:num w:numId="247" w16cid:durableId="2029062560">
    <w:abstractNumId w:val="900"/>
  </w:num>
  <w:num w:numId="248" w16cid:durableId="712776456">
    <w:abstractNumId w:val="363"/>
  </w:num>
  <w:num w:numId="249" w16cid:durableId="1334340932">
    <w:abstractNumId w:val="233"/>
  </w:num>
  <w:num w:numId="250" w16cid:durableId="1151094099">
    <w:abstractNumId w:val="432"/>
  </w:num>
  <w:num w:numId="251" w16cid:durableId="1080983374">
    <w:abstractNumId w:val="419"/>
  </w:num>
  <w:num w:numId="252" w16cid:durableId="1628465583">
    <w:abstractNumId w:val="292"/>
  </w:num>
  <w:num w:numId="253" w16cid:durableId="1952591212">
    <w:abstractNumId w:val="443"/>
  </w:num>
  <w:num w:numId="254" w16cid:durableId="269094597">
    <w:abstractNumId w:val="264"/>
  </w:num>
  <w:num w:numId="255" w16cid:durableId="445587754">
    <w:abstractNumId w:val="415"/>
  </w:num>
  <w:num w:numId="256" w16cid:durableId="209998472">
    <w:abstractNumId w:val="107"/>
  </w:num>
  <w:num w:numId="257" w16cid:durableId="1317954798">
    <w:abstractNumId w:val="404"/>
  </w:num>
  <w:num w:numId="258" w16cid:durableId="2106420778">
    <w:abstractNumId w:val="592"/>
  </w:num>
  <w:num w:numId="259" w16cid:durableId="1004748204">
    <w:abstractNumId w:val="623"/>
  </w:num>
  <w:num w:numId="260" w16cid:durableId="793711358">
    <w:abstractNumId w:val="217"/>
  </w:num>
  <w:num w:numId="261" w16cid:durableId="1385905254">
    <w:abstractNumId w:val="836"/>
  </w:num>
  <w:num w:numId="262" w16cid:durableId="409157506">
    <w:abstractNumId w:val="135"/>
  </w:num>
  <w:num w:numId="263" w16cid:durableId="1536887684">
    <w:abstractNumId w:val="278"/>
  </w:num>
  <w:num w:numId="264" w16cid:durableId="148060830">
    <w:abstractNumId w:val="924"/>
  </w:num>
  <w:num w:numId="265" w16cid:durableId="866597022">
    <w:abstractNumId w:val="369"/>
  </w:num>
  <w:num w:numId="266" w16cid:durableId="105006322">
    <w:abstractNumId w:val="70"/>
  </w:num>
  <w:num w:numId="267" w16cid:durableId="1971204520">
    <w:abstractNumId w:val="32"/>
  </w:num>
  <w:num w:numId="268" w16cid:durableId="190537344">
    <w:abstractNumId w:val="745"/>
  </w:num>
  <w:num w:numId="269" w16cid:durableId="1307399229">
    <w:abstractNumId w:val="912"/>
  </w:num>
  <w:num w:numId="270" w16cid:durableId="601299048">
    <w:abstractNumId w:val="38"/>
  </w:num>
  <w:num w:numId="271" w16cid:durableId="100881749">
    <w:abstractNumId w:val="635"/>
  </w:num>
  <w:num w:numId="272" w16cid:durableId="892429497">
    <w:abstractNumId w:val="134"/>
  </w:num>
  <w:num w:numId="273" w16cid:durableId="1225336030">
    <w:abstractNumId w:val="726"/>
  </w:num>
  <w:num w:numId="274" w16cid:durableId="500507777">
    <w:abstractNumId w:val="57"/>
  </w:num>
  <w:num w:numId="275" w16cid:durableId="33161789">
    <w:abstractNumId w:val="259"/>
  </w:num>
  <w:num w:numId="276" w16cid:durableId="872965265">
    <w:abstractNumId w:val="440"/>
  </w:num>
  <w:num w:numId="277" w16cid:durableId="1919097282">
    <w:abstractNumId w:val="863"/>
  </w:num>
  <w:num w:numId="278" w16cid:durableId="217324911">
    <w:abstractNumId w:val="88"/>
  </w:num>
  <w:num w:numId="279" w16cid:durableId="551699910">
    <w:abstractNumId w:val="177"/>
  </w:num>
  <w:num w:numId="280" w16cid:durableId="815486166">
    <w:abstractNumId w:val="150"/>
  </w:num>
  <w:num w:numId="281" w16cid:durableId="918563440">
    <w:abstractNumId w:val="509"/>
  </w:num>
  <w:num w:numId="282" w16cid:durableId="221258622">
    <w:abstractNumId w:val="222"/>
  </w:num>
  <w:num w:numId="283" w16cid:durableId="1448280074">
    <w:abstractNumId w:val="884"/>
  </w:num>
  <w:num w:numId="284" w16cid:durableId="1859389095">
    <w:abstractNumId w:val="628"/>
  </w:num>
  <w:num w:numId="285" w16cid:durableId="1589658094">
    <w:abstractNumId w:val="335"/>
  </w:num>
  <w:num w:numId="286" w16cid:durableId="1287082246">
    <w:abstractNumId w:val="731"/>
  </w:num>
  <w:num w:numId="287" w16cid:durableId="1429086312">
    <w:abstractNumId w:val="167"/>
  </w:num>
  <w:num w:numId="288" w16cid:durableId="1907957720">
    <w:abstractNumId w:val="929"/>
  </w:num>
  <w:num w:numId="289" w16cid:durableId="631206118">
    <w:abstractNumId w:val="889"/>
  </w:num>
  <w:num w:numId="290" w16cid:durableId="709112769">
    <w:abstractNumId w:val="459"/>
  </w:num>
  <w:num w:numId="291" w16cid:durableId="1974940124">
    <w:abstractNumId w:val="44"/>
  </w:num>
  <w:num w:numId="292" w16cid:durableId="1111046340">
    <w:abstractNumId w:val="817"/>
  </w:num>
  <w:num w:numId="293" w16cid:durableId="776829473">
    <w:abstractNumId w:val="202"/>
  </w:num>
  <w:num w:numId="294" w16cid:durableId="191378523">
    <w:abstractNumId w:val="492"/>
  </w:num>
  <w:num w:numId="295" w16cid:durableId="1696878831">
    <w:abstractNumId w:val="833"/>
  </w:num>
  <w:num w:numId="296" w16cid:durableId="409086231">
    <w:abstractNumId w:val="42"/>
  </w:num>
  <w:num w:numId="297" w16cid:durableId="509029350">
    <w:abstractNumId w:val="826"/>
  </w:num>
  <w:num w:numId="298" w16cid:durableId="1553808664">
    <w:abstractNumId w:val="33"/>
  </w:num>
  <w:num w:numId="299" w16cid:durableId="2092894333">
    <w:abstractNumId w:val="504"/>
  </w:num>
  <w:num w:numId="300" w16cid:durableId="686059536">
    <w:abstractNumId w:val="230"/>
  </w:num>
  <w:num w:numId="301" w16cid:durableId="800417233">
    <w:abstractNumId w:val="832"/>
  </w:num>
  <w:num w:numId="302" w16cid:durableId="685131400">
    <w:abstractNumId w:val="559"/>
  </w:num>
  <w:num w:numId="303" w16cid:durableId="416171959">
    <w:abstractNumId w:val="395"/>
  </w:num>
  <w:num w:numId="304" w16cid:durableId="606738674">
    <w:abstractNumId w:val="741"/>
  </w:num>
  <w:num w:numId="305" w16cid:durableId="373313031">
    <w:abstractNumId w:val="49"/>
  </w:num>
  <w:num w:numId="306" w16cid:durableId="1505438096">
    <w:abstractNumId w:val="644"/>
  </w:num>
  <w:num w:numId="307" w16cid:durableId="1003434576">
    <w:abstractNumId w:val="604"/>
  </w:num>
  <w:num w:numId="308" w16cid:durableId="1599604019">
    <w:abstractNumId w:val="127"/>
  </w:num>
  <w:num w:numId="309" w16cid:durableId="2978389">
    <w:abstractNumId w:val="769"/>
  </w:num>
  <w:num w:numId="310" w16cid:durableId="1909538953">
    <w:abstractNumId w:val="149"/>
  </w:num>
  <w:num w:numId="311" w16cid:durableId="181600518">
    <w:abstractNumId w:val="47"/>
  </w:num>
  <w:num w:numId="312" w16cid:durableId="864638230">
    <w:abstractNumId w:val="40"/>
  </w:num>
  <w:num w:numId="313" w16cid:durableId="1345014366">
    <w:abstractNumId w:val="705"/>
  </w:num>
  <w:num w:numId="314" w16cid:durableId="977878337">
    <w:abstractNumId w:val="782"/>
  </w:num>
  <w:num w:numId="315" w16cid:durableId="1734810736">
    <w:abstractNumId w:val="211"/>
  </w:num>
  <w:num w:numId="316" w16cid:durableId="1088229159">
    <w:abstractNumId w:val="3"/>
  </w:num>
  <w:num w:numId="317" w16cid:durableId="68314167">
    <w:abstractNumId w:val="645"/>
  </w:num>
  <w:num w:numId="318" w16cid:durableId="380325293">
    <w:abstractNumId w:val="473"/>
  </w:num>
  <w:num w:numId="319" w16cid:durableId="98792713">
    <w:abstractNumId w:val="590"/>
  </w:num>
  <w:num w:numId="320" w16cid:durableId="666325727">
    <w:abstractNumId w:val="287"/>
  </w:num>
  <w:num w:numId="321" w16cid:durableId="209391272">
    <w:abstractNumId w:val="249"/>
  </w:num>
  <w:num w:numId="322" w16cid:durableId="535823295">
    <w:abstractNumId w:val="67"/>
  </w:num>
  <w:num w:numId="323" w16cid:durableId="1202939182">
    <w:abstractNumId w:val="875"/>
  </w:num>
  <w:num w:numId="324" w16cid:durableId="1806200012">
    <w:abstractNumId w:val="41"/>
  </w:num>
  <w:num w:numId="325" w16cid:durableId="1106078312">
    <w:abstractNumId w:val="922"/>
  </w:num>
  <w:num w:numId="326" w16cid:durableId="1237593915">
    <w:abstractNumId w:val="573"/>
  </w:num>
  <w:num w:numId="327" w16cid:durableId="807742689">
    <w:abstractNumId w:val="113"/>
  </w:num>
  <w:num w:numId="328" w16cid:durableId="553931587">
    <w:abstractNumId w:val="768"/>
  </w:num>
  <w:num w:numId="329" w16cid:durableId="639461405">
    <w:abstractNumId w:val="563"/>
  </w:num>
  <w:num w:numId="330" w16cid:durableId="225843763">
    <w:abstractNumId w:val="398"/>
  </w:num>
  <w:num w:numId="331" w16cid:durableId="757092362">
    <w:abstractNumId w:val="551"/>
  </w:num>
  <w:num w:numId="332" w16cid:durableId="1101799382">
    <w:abstractNumId w:val="608"/>
  </w:num>
  <w:num w:numId="333" w16cid:durableId="1689865735">
    <w:abstractNumId w:val="386"/>
  </w:num>
  <w:num w:numId="334" w16cid:durableId="303044487">
    <w:abstractNumId w:val="13"/>
  </w:num>
  <w:num w:numId="335" w16cid:durableId="453250315">
    <w:abstractNumId w:val="499"/>
  </w:num>
  <w:num w:numId="336" w16cid:durableId="314384731">
    <w:abstractNumId w:val="908"/>
  </w:num>
  <w:num w:numId="337" w16cid:durableId="1860468350">
    <w:abstractNumId w:val="131"/>
  </w:num>
  <w:num w:numId="338" w16cid:durableId="1012563614">
    <w:abstractNumId w:val="897"/>
  </w:num>
  <w:num w:numId="339" w16cid:durableId="1296333789">
    <w:abstractNumId w:val="612"/>
  </w:num>
  <w:num w:numId="340" w16cid:durableId="1285387403">
    <w:abstractNumId w:val="400"/>
  </w:num>
  <w:num w:numId="341" w16cid:durableId="1651322360">
    <w:abstractNumId w:val="98"/>
  </w:num>
  <w:num w:numId="342" w16cid:durableId="1792630348">
    <w:abstractNumId w:val="283"/>
  </w:num>
  <w:num w:numId="343" w16cid:durableId="1468736751">
    <w:abstractNumId w:val="302"/>
  </w:num>
  <w:num w:numId="344" w16cid:durableId="1607955282">
    <w:abstractNumId w:val="510"/>
  </w:num>
  <w:num w:numId="345" w16cid:durableId="2113820430">
    <w:abstractNumId w:val="481"/>
  </w:num>
  <w:num w:numId="346" w16cid:durableId="1324160910">
    <w:abstractNumId w:val="662"/>
  </w:num>
  <w:num w:numId="347" w16cid:durableId="1160466331">
    <w:abstractNumId w:val="587"/>
  </w:num>
  <w:num w:numId="348" w16cid:durableId="1271428137">
    <w:abstractNumId w:val="351"/>
  </w:num>
  <w:num w:numId="349" w16cid:durableId="287009646">
    <w:abstractNumId w:val="781"/>
  </w:num>
  <w:num w:numId="350" w16cid:durableId="1811751355">
    <w:abstractNumId w:val="697"/>
  </w:num>
  <w:num w:numId="351" w16cid:durableId="628979057">
    <w:abstractNumId w:val="508"/>
  </w:num>
  <w:num w:numId="352" w16cid:durableId="284043797">
    <w:abstractNumId w:val="209"/>
  </w:num>
  <w:num w:numId="353" w16cid:durableId="1346443606">
    <w:abstractNumId w:val="526"/>
  </w:num>
  <w:num w:numId="354" w16cid:durableId="1170832111">
    <w:abstractNumId w:val="586"/>
  </w:num>
  <w:num w:numId="355" w16cid:durableId="1531870263">
    <w:abstractNumId w:val="556"/>
  </w:num>
  <w:num w:numId="356" w16cid:durableId="1484658653">
    <w:abstractNumId w:val="95"/>
  </w:num>
  <w:num w:numId="357" w16cid:durableId="1647009864">
    <w:abstractNumId w:val="194"/>
  </w:num>
  <w:num w:numId="358" w16cid:durableId="1597471389">
    <w:abstractNumId w:val="304"/>
  </w:num>
  <w:num w:numId="359" w16cid:durableId="1165583219">
    <w:abstractNumId w:val="338"/>
  </w:num>
  <w:num w:numId="360" w16cid:durableId="1189413350">
    <w:abstractNumId w:val="371"/>
  </w:num>
  <w:num w:numId="361" w16cid:durableId="678776676">
    <w:abstractNumId w:val="537"/>
  </w:num>
  <w:num w:numId="362" w16cid:durableId="775754455">
    <w:abstractNumId w:val="325"/>
  </w:num>
  <w:num w:numId="363" w16cid:durableId="367292688">
    <w:abstractNumId w:val="728"/>
  </w:num>
  <w:num w:numId="364" w16cid:durableId="1799836104">
    <w:abstractNumId w:val="163"/>
  </w:num>
  <w:num w:numId="365" w16cid:durableId="930240309">
    <w:abstractNumId w:val="130"/>
  </w:num>
  <w:num w:numId="366" w16cid:durableId="207838480">
    <w:abstractNumId w:val="460"/>
  </w:num>
  <w:num w:numId="367" w16cid:durableId="380904564">
    <w:abstractNumId w:val="411"/>
  </w:num>
  <w:num w:numId="368" w16cid:durableId="104428782">
    <w:abstractNumId w:val="148"/>
  </w:num>
  <w:num w:numId="369" w16cid:durableId="1522860151">
    <w:abstractNumId w:val="331"/>
  </w:num>
  <w:num w:numId="370" w16cid:durableId="1347440679">
    <w:abstractNumId w:val="319"/>
  </w:num>
  <w:num w:numId="371" w16cid:durableId="2106417444">
    <w:abstractNumId w:val="416"/>
  </w:num>
  <w:num w:numId="372" w16cid:durableId="2060477127">
    <w:abstractNumId w:val="516"/>
  </w:num>
  <w:num w:numId="373" w16cid:durableId="1532458143">
    <w:abstractNumId w:val="589"/>
  </w:num>
  <w:num w:numId="374" w16cid:durableId="375660681">
    <w:abstractNumId w:val="915"/>
  </w:num>
  <w:num w:numId="375" w16cid:durableId="1987856512">
    <w:abstractNumId w:val="154"/>
  </w:num>
  <w:num w:numId="376" w16cid:durableId="917439364">
    <w:abstractNumId w:val="425"/>
  </w:num>
  <w:num w:numId="377" w16cid:durableId="661659496">
    <w:abstractNumId w:val="494"/>
  </w:num>
  <w:num w:numId="378" w16cid:durableId="1587298279">
    <w:abstractNumId w:val="636"/>
  </w:num>
  <w:num w:numId="379" w16cid:durableId="891621273">
    <w:abstractNumId w:val="333"/>
  </w:num>
  <w:num w:numId="380" w16cid:durableId="536283225">
    <w:abstractNumId w:val="798"/>
  </w:num>
  <w:num w:numId="381" w16cid:durableId="246503634">
    <w:abstractNumId w:val="272"/>
  </w:num>
  <w:num w:numId="382" w16cid:durableId="234433905">
    <w:abstractNumId w:val="173"/>
  </w:num>
  <w:num w:numId="383" w16cid:durableId="500048814">
    <w:abstractNumId w:val="79"/>
  </w:num>
  <w:num w:numId="384" w16cid:durableId="317539975">
    <w:abstractNumId w:val="648"/>
  </w:num>
  <w:num w:numId="385" w16cid:durableId="807088920">
    <w:abstractNumId w:val="545"/>
  </w:num>
  <w:num w:numId="386" w16cid:durableId="895624145">
    <w:abstractNumId w:val="185"/>
  </w:num>
  <w:num w:numId="387" w16cid:durableId="555242144">
    <w:abstractNumId w:val="15"/>
  </w:num>
  <w:num w:numId="388" w16cid:durableId="559484722">
    <w:abstractNumId w:val="330"/>
  </w:num>
  <w:num w:numId="389" w16cid:durableId="1725253138">
    <w:abstractNumId w:val="285"/>
  </w:num>
  <w:num w:numId="390" w16cid:durableId="1555194533">
    <w:abstractNumId w:val="643"/>
  </w:num>
  <w:num w:numId="391" w16cid:durableId="1236552807">
    <w:abstractNumId w:val="797"/>
  </w:num>
  <w:num w:numId="392" w16cid:durableId="579405824">
    <w:abstractNumId w:val="622"/>
  </w:num>
  <w:num w:numId="393" w16cid:durableId="2051606128">
    <w:abstractNumId w:val="207"/>
  </w:num>
  <w:num w:numId="394" w16cid:durableId="9264834">
    <w:abstractNumId w:val="885"/>
  </w:num>
  <w:num w:numId="395" w16cid:durableId="902370257">
    <w:abstractNumId w:val="297"/>
  </w:num>
  <w:num w:numId="396" w16cid:durableId="66730371">
    <w:abstractNumId w:val="848"/>
  </w:num>
  <w:num w:numId="397" w16cid:durableId="485827528">
    <w:abstractNumId w:val="647"/>
  </w:num>
  <w:num w:numId="398" w16cid:durableId="2123260251">
    <w:abstractNumId w:val="388"/>
  </w:num>
  <w:num w:numId="399" w16cid:durableId="767969891">
    <w:abstractNumId w:val="813"/>
  </w:num>
  <w:num w:numId="400" w16cid:durableId="1558979594">
    <w:abstractNumId w:val="868"/>
  </w:num>
  <w:num w:numId="401" w16cid:durableId="972950514">
    <w:abstractNumId w:val="631"/>
  </w:num>
  <w:num w:numId="402" w16cid:durableId="1458178165">
    <w:abstractNumId w:val="877"/>
  </w:num>
  <w:num w:numId="403" w16cid:durableId="1155342128">
    <w:abstractNumId w:val="252"/>
  </w:num>
  <w:num w:numId="404" w16cid:durableId="1777021559">
    <w:abstractNumId w:val="180"/>
  </w:num>
  <w:num w:numId="405" w16cid:durableId="108085080">
    <w:abstractNumId w:val="581"/>
  </w:num>
  <w:num w:numId="406" w16cid:durableId="1906455187">
    <w:abstractNumId w:val="713"/>
  </w:num>
  <w:num w:numId="407" w16cid:durableId="973293103">
    <w:abstractNumId w:val="488"/>
  </w:num>
  <w:num w:numId="408" w16cid:durableId="1766074690">
    <w:abstractNumId w:val="273"/>
  </w:num>
  <w:num w:numId="409" w16cid:durableId="305203447">
    <w:abstractNumId w:val="263"/>
  </w:num>
  <w:num w:numId="410" w16cid:durableId="954868401">
    <w:abstractNumId w:val="511"/>
  </w:num>
  <w:num w:numId="411" w16cid:durableId="1512061926">
    <w:abstractNumId w:val="610"/>
  </w:num>
  <w:num w:numId="412" w16cid:durableId="665326689">
    <w:abstractNumId w:val="117"/>
  </w:num>
  <w:num w:numId="413" w16cid:durableId="1828545912">
    <w:abstractNumId w:val="709"/>
  </w:num>
  <w:num w:numId="414" w16cid:durableId="780808073">
    <w:abstractNumId w:val="266"/>
  </w:num>
  <w:num w:numId="415" w16cid:durableId="1834953573">
    <w:abstractNumId w:val="6"/>
  </w:num>
  <w:num w:numId="416" w16cid:durableId="2100710096">
    <w:abstractNumId w:val="714"/>
  </w:num>
  <w:num w:numId="417" w16cid:durableId="933633041">
    <w:abstractNumId w:val="337"/>
  </w:num>
  <w:num w:numId="418" w16cid:durableId="2064984260">
    <w:abstractNumId w:val="757"/>
  </w:num>
  <w:num w:numId="419" w16cid:durableId="1036156054">
    <w:abstractNumId w:val="684"/>
  </w:num>
  <w:num w:numId="420" w16cid:durableId="1215895053">
    <w:abstractNumId w:val="300"/>
  </w:num>
  <w:num w:numId="421" w16cid:durableId="1159151295">
    <w:abstractNumId w:val="851"/>
  </w:num>
  <w:num w:numId="422" w16cid:durableId="2108963010">
    <w:abstractNumId w:val="16"/>
  </w:num>
  <w:num w:numId="423" w16cid:durableId="962541787">
    <w:abstractNumId w:val="754"/>
  </w:num>
  <w:num w:numId="424" w16cid:durableId="501623507">
    <w:abstractNumId w:val="546"/>
  </w:num>
  <w:num w:numId="425" w16cid:durableId="656617592">
    <w:abstractNumId w:val="739"/>
  </w:num>
  <w:num w:numId="426" w16cid:durableId="1458373002">
    <w:abstractNumId w:val="593"/>
  </w:num>
  <w:num w:numId="427" w16cid:durableId="1270157691">
    <w:abstractNumId w:val="461"/>
  </w:num>
  <w:num w:numId="428" w16cid:durableId="1615821969">
    <w:abstractNumId w:val="535"/>
  </w:num>
  <w:num w:numId="429" w16cid:durableId="728185779">
    <w:abstractNumId w:val="399"/>
  </w:num>
  <w:num w:numId="430" w16cid:durableId="329454584">
    <w:abstractNumId w:val="84"/>
  </w:num>
  <w:num w:numId="431" w16cid:durableId="2020037998">
    <w:abstractNumId w:val="808"/>
  </w:num>
  <w:num w:numId="432" w16cid:durableId="1855656070">
    <w:abstractNumId w:val="495"/>
  </w:num>
  <w:num w:numId="433" w16cid:durableId="1092355025">
    <w:abstractNumId w:val="294"/>
  </w:num>
  <w:num w:numId="434" w16cid:durableId="580068270">
    <w:abstractNumId w:val="141"/>
  </w:num>
  <w:num w:numId="435" w16cid:durableId="654456225">
    <w:abstractNumId w:val="577"/>
  </w:num>
  <w:num w:numId="436" w16cid:durableId="1723940043">
    <w:abstractNumId w:val="92"/>
  </w:num>
  <w:num w:numId="437" w16cid:durableId="661082067">
    <w:abstractNumId w:val="572"/>
  </w:num>
  <w:num w:numId="438" w16cid:durableId="638725469">
    <w:abstractNumId w:val="821"/>
  </w:num>
  <w:num w:numId="439" w16cid:durableId="1027678388">
    <w:abstractNumId w:val="694"/>
  </w:num>
  <w:num w:numId="440" w16cid:durableId="855923762">
    <w:abstractNumId w:val="527"/>
  </w:num>
  <w:num w:numId="441" w16cid:durableId="1042705211">
    <w:abstractNumId w:val="462"/>
  </w:num>
  <w:num w:numId="442" w16cid:durableId="236021536">
    <w:abstractNumId w:val="186"/>
  </w:num>
  <w:num w:numId="443" w16cid:durableId="1510365614">
    <w:abstractNumId w:val="46"/>
  </w:num>
  <w:num w:numId="444" w16cid:durableId="2127307787">
    <w:abstractNumId w:val="455"/>
  </w:num>
  <w:num w:numId="445" w16cid:durableId="1754669534">
    <w:abstractNumId w:val="513"/>
  </w:num>
  <w:num w:numId="446" w16cid:durableId="2051806253">
    <w:abstractNumId w:val="861"/>
  </w:num>
  <w:num w:numId="447" w16cid:durableId="506218183">
    <w:abstractNumId w:val="618"/>
  </w:num>
  <w:num w:numId="448" w16cid:durableId="1769693426">
    <w:abstractNumId w:val="90"/>
  </w:num>
  <w:num w:numId="449" w16cid:durableId="1817989070">
    <w:abstractNumId w:val="700"/>
  </w:num>
  <w:num w:numId="450" w16cid:durableId="1080982036">
    <w:abstractNumId w:val="666"/>
  </w:num>
  <w:num w:numId="451" w16cid:durableId="1542749279">
    <w:abstractNumId w:val="253"/>
  </w:num>
  <w:num w:numId="452" w16cid:durableId="1306427017">
    <w:abstractNumId w:val="799"/>
  </w:num>
  <w:num w:numId="453" w16cid:durableId="894312709">
    <w:abstractNumId w:val="375"/>
  </w:num>
  <w:num w:numId="454" w16cid:durableId="1678849191">
    <w:abstractNumId w:val="560"/>
  </w:num>
  <w:num w:numId="455" w16cid:durableId="313948905">
    <w:abstractNumId w:val="933"/>
  </w:num>
  <w:num w:numId="456" w16cid:durableId="844829570">
    <w:abstractNumId w:val="153"/>
  </w:num>
  <w:num w:numId="457" w16cid:durableId="604575862">
    <w:abstractNumId w:val="661"/>
  </w:num>
  <w:num w:numId="458" w16cid:durableId="850265347">
    <w:abstractNumId w:val="453"/>
  </w:num>
  <w:num w:numId="459" w16cid:durableId="1080713705">
    <w:abstractNumId w:val="927"/>
  </w:num>
  <w:num w:numId="460" w16cid:durableId="827285300">
    <w:abstractNumId w:val="245"/>
  </w:num>
  <w:num w:numId="461" w16cid:durableId="765351021">
    <w:abstractNumId w:val="268"/>
  </w:num>
  <w:num w:numId="462" w16cid:durableId="1428648250">
    <w:abstractNumId w:val="116"/>
  </w:num>
  <w:num w:numId="463" w16cid:durableId="1975479268">
    <w:abstractNumId w:val="719"/>
  </w:num>
  <w:num w:numId="464" w16cid:durableId="1214341799">
    <w:abstractNumId w:val="241"/>
  </w:num>
  <w:num w:numId="465" w16cid:durableId="1075788020">
    <w:abstractNumId w:val="59"/>
  </w:num>
  <w:num w:numId="466" w16cid:durableId="1779451151">
    <w:abstractNumId w:val="204"/>
  </w:num>
  <w:num w:numId="467" w16cid:durableId="137890875">
    <w:abstractNumId w:val="874"/>
  </w:num>
  <w:num w:numId="468" w16cid:durableId="39091818">
    <w:abstractNumId w:val="706"/>
  </w:num>
  <w:num w:numId="469" w16cid:durableId="515386920">
    <w:abstractNumId w:val="497"/>
  </w:num>
  <w:num w:numId="470" w16cid:durableId="1755322668">
    <w:abstractNumId w:val="596"/>
  </w:num>
  <w:num w:numId="471" w16cid:durableId="1897163424">
    <w:abstractNumId w:val="911"/>
  </w:num>
  <w:num w:numId="472" w16cid:durableId="501625636">
    <w:abstractNumId w:val="238"/>
  </w:num>
  <w:num w:numId="473" w16cid:durableId="47150238">
    <w:abstractNumId w:val="673"/>
  </w:num>
  <w:num w:numId="474" w16cid:durableId="122892840">
    <w:abstractNumId w:val="428"/>
  </w:num>
  <w:num w:numId="475" w16cid:durableId="1288732151">
    <w:abstractNumId w:val="383"/>
  </w:num>
  <w:num w:numId="476" w16cid:durableId="13961768">
    <w:abstractNumId w:val="846"/>
  </w:num>
  <w:num w:numId="477" w16cid:durableId="605845839">
    <w:abstractNumId w:val="532"/>
  </w:num>
  <w:num w:numId="478" w16cid:durableId="1060785821">
    <w:abstractNumId w:val="1"/>
  </w:num>
  <w:num w:numId="479" w16cid:durableId="787240335">
    <w:abstractNumId w:val="192"/>
  </w:num>
  <w:num w:numId="480" w16cid:durableId="2123842964">
    <w:abstractNumId w:val="221"/>
  </w:num>
  <w:num w:numId="481" w16cid:durableId="172647910">
    <w:abstractNumId w:val="521"/>
  </w:num>
  <w:num w:numId="482" w16cid:durableId="1421828018">
    <w:abstractNumId w:val="722"/>
  </w:num>
  <w:num w:numId="483" w16cid:durableId="1164392360">
    <w:abstractNumId w:val="542"/>
  </w:num>
  <w:num w:numId="484" w16cid:durableId="1879000671">
    <w:abstractNumId w:val="859"/>
  </w:num>
  <w:num w:numId="485" w16cid:durableId="439109437">
    <w:abstractNumId w:val="374"/>
  </w:num>
  <w:num w:numId="486" w16cid:durableId="1343359361">
    <w:abstractNumId w:val="667"/>
  </w:num>
  <w:num w:numId="487" w16cid:durableId="583926477">
    <w:abstractNumId w:val="864"/>
  </w:num>
  <w:num w:numId="488" w16cid:durableId="988244150">
    <w:abstractNumId w:val="831"/>
  </w:num>
  <w:num w:numId="489" w16cid:durableId="805465501">
    <w:abstractNumId w:val="650"/>
  </w:num>
  <w:num w:numId="490" w16cid:durableId="1235699159">
    <w:abstractNumId w:val="778"/>
  </w:num>
  <w:num w:numId="491" w16cid:durableId="348801943">
    <w:abstractNumId w:val="336"/>
  </w:num>
  <w:num w:numId="492" w16cid:durableId="1937790509">
    <w:abstractNumId w:val="840"/>
  </w:num>
  <w:num w:numId="493" w16cid:durableId="665597846">
    <w:abstractNumId w:val="541"/>
  </w:num>
  <w:num w:numId="494" w16cid:durableId="1491557137">
    <w:abstractNumId w:val="313"/>
  </w:num>
  <w:num w:numId="495" w16cid:durableId="2063406566">
    <w:abstractNumId w:val="350"/>
  </w:num>
  <w:num w:numId="496" w16cid:durableId="208929053">
    <w:abstractNumId w:val="197"/>
  </w:num>
  <w:num w:numId="497" w16cid:durableId="701323299">
    <w:abstractNumId w:val="89"/>
  </w:num>
  <w:num w:numId="498" w16cid:durableId="1602952799">
    <w:abstractNumId w:val="69"/>
  </w:num>
  <w:num w:numId="499" w16cid:durableId="989552115">
    <w:abstractNumId w:val="147"/>
  </w:num>
  <w:num w:numId="500" w16cid:durableId="1795561556">
    <w:abstractNumId w:val="913"/>
  </w:num>
  <w:num w:numId="501" w16cid:durableId="2082750278">
    <w:abstractNumId w:val="931"/>
  </w:num>
  <w:num w:numId="502" w16cid:durableId="465586681">
    <w:abstractNumId w:val="332"/>
  </w:num>
  <w:num w:numId="503" w16cid:durableId="75904303">
    <w:abstractNumId w:val="698"/>
  </w:num>
  <w:num w:numId="504" w16cid:durableId="1219980167">
    <w:abstractNumId w:val="785"/>
  </w:num>
  <w:num w:numId="505" w16cid:durableId="1458639099">
    <w:abstractNumId w:val="391"/>
  </w:num>
  <w:num w:numId="506" w16cid:durableId="1666929453">
    <w:abstractNumId w:val="225"/>
  </w:num>
  <w:num w:numId="507" w16cid:durableId="1096907454">
    <w:abstractNumId w:val="834"/>
  </w:num>
  <w:num w:numId="508" w16cid:durableId="402410144">
    <w:abstractNumId w:val="444"/>
  </w:num>
  <w:num w:numId="509" w16cid:durableId="1116944243">
    <w:abstractNumId w:val="814"/>
  </w:num>
  <w:num w:numId="510" w16cid:durableId="872962945">
    <w:abstractNumId w:val="91"/>
  </w:num>
  <w:num w:numId="511" w16cid:durableId="2131389598">
    <w:abstractNumId w:val="193"/>
  </w:num>
  <w:num w:numId="512" w16cid:durableId="1820534006">
    <w:abstractNumId w:val="771"/>
  </w:num>
  <w:num w:numId="513" w16cid:durableId="218178096">
    <w:abstractNumId w:val="755"/>
  </w:num>
  <w:num w:numId="514" w16cid:durableId="1920403541">
    <w:abstractNumId w:val="758"/>
  </w:num>
  <w:num w:numId="515" w16cid:durableId="358822058">
    <w:abstractNumId w:val="756"/>
  </w:num>
  <w:num w:numId="516" w16cid:durableId="1149902901">
    <w:abstractNumId w:val="750"/>
  </w:num>
  <w:num w:numId="517" w16cid:durableId="1119032830">
    <w:abstractNumId w:val="837"/>
  </w:num>
  <w:num w:numId="518" w16cid:durableId="736516344">
    <w:abstractNumId w:val="296"/>
  </w:num>
  <w:num w:numId="519" w16cid:durableId="338167923">
    <w:abstractNumId w:val="805"/>
  </w:num>
  <w:num w:numId="520" w16cid:durableId="1096250836">
    <w:abstractNumId w:val="447"/>
  </w:num>
  <w:num w:numId="521" w16cid:durableId="679624358">
    <w:abstractNumId w:val="37"/>
  </w:num>
  <w:num w:numId="522" w16cid:durableId="412164493">
    <w:abstractNumId w:val="110"/>
  </w:num>
  <w:num w:numId="523" w16cid:durableId="1546214621">
    <w:abstractNumId w:val="166"/>
  </w:num>
  <w:num w:numId="524" w16cid:durableId="1124614411">
    <w:abstractNumId w:val="219"/>
  </w:num>
  <w:num w:numId="525" w16cid:durableId="1829401548">
    <w:abstractNumId w:val="392"/>
  </w:num>
  <w:num w:numId="526" w16cid:durableId="1396396898">
    <w:abstractNumId w:val="482"/>
  </w:num>
  <w:num w:numId="527" w16cid:durableId="223293182">
    <w:abstractNumId w:val="558"/>
  </w:num>
  <w:num w:numId="528" w16cid:durableId="1698122802">
    <w:abstractNumId w:val="157"/>
  </w:num>
  <w:num w:numId="529" w16cid:durableId="1618297855">
    <w:abstractNumId w:val="845"/>
  </w:num>
  <w:num w:numId="530" w16cid:durableId="554901378">
    <w:abstractNumId w:val="251"/>
  </w:num>
  <w:num w:numId="531" w16cid:durableId="1068650837">
    <w:abstractNumId w:val="658"/>
  </w:num>
  <w:num w:numId="532" w16cid:durableId="867790764">
    <w:abstractNumId w:val="640"/>
  </w:num>
  <w:num w:numId="533" w16cid:durableId="1074935679">
    <w:abstractNumId w:val="792"/>
  </w:num>
  <w:num w:numId="534" w16cid:durableId="252132360">
    <w:abstractNumId w:val="668"/>
  </w:num>
  <w:num w:numId="535" w16cid:durableId="1455830029">
    <w:abstractNumId w:val="654"/>
  </w:num>
  <w:num w:numId="536" w16cid:durableId="759446159">
    <w:abstractNumId w:val="496"/>
  </w:num>
  <w:num w:numId="537" w16cid:durableId="1396514961">
    <w:abstractNumId w:val="637"/>
  </w:num>
  <w:num w:numId="538" w16cid:durableId="677007772">
    <w:abstractNumId w:val="576"/>
  </w:num>
  <w:num w:numId="539" w16cid:durableId="1398481357">
    <w:abstractNumId w:val="787"/>
  </w:num>
  <w:num w:numId="540" w16cid:durableId="607734681">
    <w:abstractNumId w:val="156"/>
  </w:num>
  <w:num w:numId="541" w16cid:durableId="315574989">
    <w:abstractNumId w:val="175"/>
  </w:num>
  <w:num w:numId="542" w16cid:durableId="287123287">
    <w:abstractNumId w:val="910"/>
  </w:num>
  <w:num w:numId="543" w16cid:durableId="1936548246">
    <w:abstractNumId w:val="353"/>
  </w:num>
  <w:num w:numId="544" w16cid:durableId="563491024">
    <w:abstractNumId w:val="389"/>
  </w:num>
  <w:num w:numId="545" w16cid:durableId="610018433">
    <w:abstractNumId w:val="925"/>
  </w:num>
  <w:num w:numId="546" w16cid:durableId="809445407">
    <w:abstractNumId w:val="215"/>
  </w:num>
  <w:num w:numId="547" w16cid:durableId="1732148030">
    <w:abstractNumId w:val="675"/>
  </w:num>
  <w:num w:numId="548" w16cid:durableId="1807432525">
    <w:abstractNumId w:val="8"/>
  </w:num>
  <w:num w:numId="549" w16cid:durableId="2024697387">
    <w:abstractNumId w:val="919"/>
  </w:num>
  <w:num w:numId="550" w16cid:durableId="1047803635">
    <w:abstractNumId w:val="314"/>
  </w:num>
  <w:num w:numId="551" w16cid:durableId="1947499980">
    <w:abstractNumId w:val="744"/>
  </w:num>
  <w:num w:numId="552" w16cid:durableId="1853177946">
    <w:abstractNumId w:val="816"/>
  </w:num>
  <w:num w:numId="553" w16cid:durableId="398596765">
    <w:abstractNumId w:val="171"/>
  </w:num>
  <w:num w:numId="554" w16cid:durableId="521747235">
    <w:abstractNumId w:val="220"/>
  </w:num>
  <w:num w:numId="555" w16cid:durableId="144007620">
    <w:abstractNumId w:val="250"/>
  </w:num>
  <w:num w:numId="556" w16cid:durableId="1011881461">
    <w:abstractNumId w:val="493"/>
  </w:num>
  <w:num w:numId="557" w16cid:durableId="1084568883">
    <w:abstractNumId w:val="71"/>
  </w:num>
  <w:num w:numId="558" w16cid:durableId="176113951">
    <w:abstractNumId w:val="588"/>
  </w:num>
  <w:num w:numId="559" w16cid:durableId="736444004">
    <w:abstractNumId w:val="228"/>
  </w:num>
  <w:num w:numId="560" w16cid:durableId="1148476311">
    <w:abstractNumId w:val="759"/>
  </w:num>
  <w:num w:numId="561" w16cid:durableId="83036874">
    <w:abstractNumId w:val="690"/>
  </w:num>
  <w:num w:numId="562" w16cid:durableId="304899648">
    <w:abstractNumId w:val="377"/>
  </w:num>
  <w:num w:numId="563" w16cid:durableId="21831399">
    <w:abstractNumId w:val="260"/>
  </w:num>
  <w:num w:numId="564" w16cid:durableId="140772143">
    <w:abstractNumId w:val="376"/>
  </w:num>
  <w:num w:numId="565" w16cid:durableId="355623089">
    <w:abstractNumId w:val="82"/>
  </w:num>
  <w:num w:numId="566" w16cid:durableId="175191835">
    <w:abstractNumId w:val="323"/>
  </w:num>
  <w:num w:numId="567" w16cid:durableId="1589386617">
    <w:abstractNumId w:val="100"/>
  </w:num>
  <w:num w:numId="568" w16cid:durableId="1137383084">
    <w:abstractNumId w:val="907"/>
  </w:num>
  <w:num w:numId="569" w16cid:durableId="1063453407">
    <w:abstractNumId w:val="433"/>
  </w:num>
  <w:num w:numId="570" w16cid:durableId="806970376">
    <w:abstractNumId w:val="424"/>
  </w:num>
  <w:num w:numId="571" w16cid:durableId="1009869054">
    <w:abstractNumId w:val="214"/>
  </w:num>
  <w:num w:numId="572" w16cid:durableId="1060905946">
    <w:abstractNumId w:val="822"/>
  </w:num>
  <w:num w:numId="573" w16cid:durableId="1815294657">
    <w:abstractNumId w:val="66"/>
  </w:num>
  <w:num w:numId="574" w16cid:durableId="1224213252">
    <w:abstractNumId w:val="257"/>
  </w:num>
  <w:num w:numId="575" w16cid:durableId="1784300949">
    <w:abstractNumId w:val="502"/>
  </w:num>
  <w:num w:numId="576" w16cid:durableId="1150438312">
    <w:abstractNumId w:val="715"/>
  </w:num>
  <w:num w:numId="577" w16cid:durableId="1247685187">
    <w:abstractNumId w:val="538"/>
  </w:num>
  <w:num w:numId="578" w16cid:durableId="1220628272">
    <w:abstractNumId w:val="766"/>
  </w:num>
  <w:num w:numId="579" w16cid:durableId="327096404">
    <w:abstractNumId w:val="870"/>
  </w:num>
  <w:num w:numId="580" w16cid:durableId="1260986122">
    <w:abstractNumId w:val="682"/>
  </w:num>
  <w:num w:numId="581" w16cid:durableId="1342583290">
    <w:abstractNumId w:val="825"/>
  </w:num>
  <w:num w:numId="582" w16cid:durableId="1132015333">
    <w:abstractNumId w:val="136"/>
  </w:num>
  <w:num w:numId="583" w16cid:durableId="1438528493">
    <w:abstractNumId w:val="28"/>
  </w:num>
  <w:num w:numId="584" w16cid:durableId="365565699">
    <w:abstractNumId w:val="5"/>
  </w:num>
  <w:num w:numId="585" w16cid:durableId="1655530587">
    <w:abstractNumId w:val="261"/>
  </w:num>
  <w:num w:numId="586" w16cid:durableId="654335966">
    <w:abstractNumId w:val="530"/>
  </w:num>
  <w:num w:numId="587" w16cid:durableId="143394542">
    <w:abstractNumId w:val="866"/>
  </w:num>
  <w:num w:numId="588" w16cid:durableId="1110583093">
    <w:abstractNumId w:val="693"/>
  </w:num>
  <w:num w:numId="589" w16cid:durableId="718673733">
    <w:abstractNumId w:val="512"/>
  </w:num>
  <w:num w:numId="590" w16cid:durableId="2143495755">
    <w:abstractNumId w:val="734"/>
  </w:num>
  <w:num w:numId="591" w16cid:durableId="606350924">
    <w:abstractNumId w:val="584"/>
  </w:num>
  <w:num w:numId="592" w16cid:durableId="709191275">
    <w:abstractNumId w:val="522"/>
  </w:num>
  <w:num w:numId="593" w16cid:durableId="1613630787">
    <w:abstractNumId w:val="898"/>
  </w:num>
  <w:num w:numId="594" w16cid:durableId="72509133">
    <w:abstractNumId w:val="317"/>
  </w:num>
  <w:num w:numId="595" w16cid:durableId="1550611464">
    <w:abstractNumId w:val="812"/>
  </w:num>
  <w:num w:numId="596" w16cid:durableId="1889687334">
    <w:abstractNumId w:val="467"/>
  </w:num>
  <w:num w:numId="597" w16cid:durableId="1312758437">
    <w:abstractNumId w:val="611"/>
  </w:num>
  <w:num w:numId="598" w16cid:durableId="1678844957">
    <w:abstractNumId w:val="732"/>
  </w:num>
  <w:num w:numId="599" w16cid:durableId="1628125385">
    <w:abstractNumId w:val="354"/>
  </w:num>
  <w:num w:numId="600" w16cid:durableId="1367414029">
    <w:abstractNumId w:val="372"/>
  </w:num>
  <w:num w:numId="601" w16cid:durableId="1235966680">
    <w:abstractNumId w:val="881"/>
  </w:num>
  <w:num w:numId="602" w16cid:durableId="1900092870">
    <w:abstractNumId w:val="626"/>
  </w:num>
  <w:num w:numId="603" w16cid:durableId="1243375161">
    <w:abstractNumId w:val="397"/>
  </w:num>
  <w:num w:numId="604" w16cid:durableId="490758544">
    <w:abstractNumId w:val="905"/>
  </w:num>
  <w:num w:numId="605" w16cid:durableId="1768110170">
    <w:abstractNumId w:val="345"/>
  </w:num>
  <w:num w:numId="606" w16cid:durableId="890850651">
    <w:abstractNumId w:val="417"/>
  </w:num>
  <w:num w:numId="607" w16cid:durableId="1688212791">
    <w:abstractNumId w:val="887"/>
  </w:num>
  <w:num w:numId="608" w16cid:durableId="601257771">
    <w:abstractNumId w:val="181"/>
  </w:num>
  <w:num w:numId="609" w16cid:durableId="809636024">
    <w:abstractNumId w:val="701"/>
  </w:num>
  <w:num w:numId="610" w16cid:durableId="1862890246">
    <w:abstractNumId w:val="716"/>
  </w:num>
  <w:num w:numId="611" w16cid:durableId="1666392325">
    <w:abstractNumId w:val="743"/>
  </w:num>
  <w:num w:numId="612" w16cid:durableId="2041318712">
    <w:abstractNumId w:val="56"/>
  </w:num>
  <w:num w:numId="613" w16cid:durableId="1557550226">
    <w:abstractNumId w:val="525"/>
  </w:num>
  <w:num w:numId="614" w16cid:durableId="1303384192">
    <w:abstractNumId w:val="620"/>
  </w:num>
  <w:num w:numId="615" w16cid:durableId="1230966636">
    <w:abstractNumId w:val="501"/>
  </w:num>
  <w:num w:numId="616" w16cid:durableId="637414971">
    <w:abstractNumId w:val="904"/>
  </w:num>
  <w:num w:numId="617" w16cid:durableId="1298950059">
    <w:abstractNumId w:val="761"/>
  </w:num>
  <w:num w:numId="618" w16cid:durableId="2133206551">
    <w:abstractNumId w:val="235"/>
  </w:num>
  <w:num w:numId="619" w16cid:durableId="1657340522">
    <w:abstractNumId w:val="63"/>
  </w:num>
  <w:num w:numId="620" w16cid:durableId="319769513">
    <w:abstractNumId w:val="916"/>
  </w:num>
  <w:num w:numId="621" w16cid:durableId="794761683">
    <w:abstractNumId w:val="865"/>
  </w:num>
  <w:num w:numId="622" w16cid:durableId="762145649">
    <w:abstractNumId w:val="899"/>
  </w:num>
  <w:num w:numId="623" w16cid:durableId="1148353521">
    <w:abstractNumId w:val="334"/>
  </w:num>
  <w:num w:numId="624" w16cid:durableId="274950920">
    <w:abstractNumId w:val="303"/>
  </w:num>
  <w:num w:numId="625" w16cid:durableId="1468737351">
    <w:abstractNumId w:val="632"/>
  </w:num>
  <w:num w:numId="626" w16cid:durableId="1368411092">
    <w:abstractNumId w:val="362"/>
  </w:num>
  <w:num w:numId="627" w16cid:durableId="623927007">
    <w:abstractNumId w:val="735"/>
  </w:num>
  <w:num w:numId="628" w16cid:durableId="303705412">
    <w:abstractNumId w:val="2"/>
  </w:num>
  <w:num w:numId="629" w16cid:durableId="1322731563">
    <w:abstractNumId w:val="575"/>
  </w:num>
  <w:num w:numId="630" w16cid:durableId="1403288354">
    <w:abstractNumId w:val="737"/>
  </w:num>
  <w:num w:numId="631" w16cid:durableId="1669481624">
    <w:abstractNumId w:val="234"/>
  </w:num>
  <w:num w:numId="632" w16cid:durableId="1601333414">
    <w:abstractNumId w:val="255"/>
  </w:num>
  <w:num w:numId="633" w16cid:durableId="1225415406">
    <w:abstractNumId w:val="382"/>
  </w:num>
  <w:num w:numId="634" w16cid:durableId="764110590">
    <w:abstractNumId w:val="603"/>
  </w:num>
  <w:num w:numId="635" w16cid:durableId="749736879">
    <w:abstractNumId w:val="210"/>
  </w:num>
  <w:num w:numId="636" w16cid:durableId="1986736158">
    <w:abstractNumId w:val="552"/>
  </w:num>
  <w:num w:numId="637" w16cid:durableId="672952653">
    <w:abstractNumId w:val="206"/>
  </w:num>
  <w:num w:numId="638" w16cid:durableId="1404185540">
    <w:abstractNumId w:val="449"/>
  </w:num>
  <w:num w:numId="639" w16cid:durableId="611476291">
    <w:abstractNumId w:val="51"/>
  </w:num>
  <w:num w:numId="640" w16cid:durableId="651328438">
    <w:abstractNumId w:val="282"/>
  </w:num>
  <w:num w:numId="641" w16cid:durableId="1045175789">
    <w:abstractNumId w:val="343"/>
  </w:num>
  <w:num w:numId="642" w16cid:durableId="282425427">
    <w:abstractNumId w:val="815"/>
  </w:num>
  <w:num w:numId="643" w16cid:durableId="1753503512">
    <w:abstractNumId w:val="321"/>
  </w:num>
  <w:num w:numId="644" w16cid:durableId="786580628">
    <w:abstractNumId w:val="248"/>
  </w:num>
  <w:num w:numId="645" w16cid:durableId="1472749692">
    <w:abstractNumId w:val="599"/>
  </w:num>
  <w:num w:numId="646" w16cid:durableId="156307715">
    <w:abstractNumId w:val="142"/>
  </w:num>
  <w:num w:numId="647" w16cid:durableId="1938365704">
    <w:abstractNumId w:val="486"/>
  </w:num>
  <w:num w:numId="648" w16cid:durableId="980186558">
    <w:abstractNumId w:val="686"/>
  </w:num>
  <w:num w:numId="649" w16cid:durableId="1904484008">
    <w:abstractNumId w:val="308"/>
  </w:num>
  <w:num w:numId="650" w16cid:durableId="1810900862">
    <w:abstractNumId w:val="487"/>
  </w:num>
  <w:num w:numId="651" w16cid:durableId="1761415559">
    <w:abstractNumId w:val="289"/>
  </w:num>
  <w:num w:numId="652" w16cid:durableId="1668706622">
    <w:abstractNumId w:val="87"/>
  </w:num>
  <w:num w:numId="653" w16cid:durableId="1265654579">
    <w:abstractNumId w:val="544"/>
  </w:num>
  <w:num w:numId="654" w16cid:durableId="772365758">
    <w:abstractNumId w:val="891"/>
  </w:num>
  <w:num w:numId="655" w16cid:durableId="2097752002">
    <w:abstractNumId w:val="458"/>
  </w:num>
  <w:num w:numId="656" w16cid:durableId="1118530950">
    <w:abstractNumId w:val="199"/>
  </w:num>
  <w:num w:numId="657" w16cid:durableId="589393454">
    <w:abstractNumId w:val="774"/>
  </w:num>
  <w:num w:numId="658" w16cid:durableId="667291205">
    <w:abstractNumId w:val="683"/>
  </w:num>
  <w:num w:numId="659" w16cid:durableId="887227272">
    <w:abstractNumId w:val="872"/>
  </w:num>
  <w:num w:numId="660" w16cid:durableId="1735854041">
    <w:abstractNumId w:val="22"/>
  </w:num>
  <w:num w:numId="661" w16cid:durableId="1738938252">
    <w:abstractNumId w:val="125"/>
  </w:num>
  <w:num w:numId="662" w16cid:durableId="1512186949">
    <w:abstractNumId w:val="270"/>
  </w:num>
  <w:num w:numId="663" w16cid:durableId="1580552859">
    <w:abstractNumId w:val="607"/>
  </w:num>
  <w:num w:numId="664" w16cid:durableId="1506897726">
    <w:abstractNumId w:val="688"/>
  </w:num>
  <w:num w:numId="665" w16cid:durableId="1988783746">
    <w:abstractNumId w:val="367"/>
  </w:num>
  <w:num w:numId="666" w16cid:durableId="2130782321">
    <w:abstractNumId w:val="7"/>
  </w:num>
  <w:num w:numId="667" w16cid:durableId="771556962">
    <w:abstractNumId w:val="36"/>
  </w:num>
  <w:num w:numId="668" w16cid:durableId="1126316563">
    <w:abstractNumId w:val="878"/>
  </w:num>
  <w:num w:numId="669" w16cid:durableId="1094017112">
    <w:abstractNumId w:val="550"/>
  </w:num>
  <w:num w:numId="670" w16cid:durableId="1939676969">
    <w:abstractNumId w:val="31"/>
  </w:num>
  <w:num w:numId="671" w16cid:durableId="1999067619">
    <w:abstractNumId w:val="203"/>
  </w:num>
  <w:num w:numId="672" w16cid:durableId="496463864">
    <w:abstractNumId w:val="99"/>
  </w:num>
  <w:num w:numId="673" w16cid:durableId="1168790951">
    <w:abstractNumId w:val="680"/>
  </w:num>
  <w:num w:numId="674" w16cid:durableId="152306337">
    <w:abstractNumId w:val="316"/>
  </w:num>
  <w:num w:numId="675" w16cid:durableId="16318853">
    <w:abstractNumId w:val="450"/>
  </w:num>
  <w:num w:numId="676" w16cid:durableId="1228491009">
    <w:abstractNumId w:val="379"/>
  </w:num>
  <w:num w:numId="677" w16cid:durableId="1843663590">
    <w:abstractNumId w:val="811"/>
  </w:num>
  <w:num w:numId="678" w16cid:durableId="1972050553">
    <w:abstractNumId w:val="712"/>
  </w:num>
  <w:num w:numId="679" w16cid:durableId="1493638838">
    <w:abstractNumId w:val="454"/>
  </w:num>
  <w:num w:numId="680" w16cid:durableId="11152606">
    <w:abstractNumId w:val="346"/>
  </w:num>
  <w:num w:numId="681" w16cid:durableId="776678623">
    <w:abstractNumId w:val="876"/>
  </w:num>
  <w:num w:numId="682" w16cid:durableId="856767997">
    <w:abstractNumId w:val="670"/>
  </w:num>
  <w:num w:numId="683" w16cid:durableId="1489637491">
    <w:abstractNumId w:val="906"/>
  </w:num>
  <w:num w:numId="684" w16cid:durableId="189031163">
    <w:abstractNumId w:val="748"/>
  </w:num>
  <w:num w:numId="685" w16cid:durableId="1874003491">
    <w:abstractNumId w:val="839"/>
  </w:num>
  <w:num w:numId="686" w16cid:durableId="1252349470">
    <w:abstractNumId w:val="471"/>
  </w:num>
  <w:num w:numId="687" w16cid:durableId="1793816550">
    <w:abstractNumId w:val="928"/>
  </w:num>
  <w:num w:numId="688" w16cid:durableId="671839082">
    <w:abstractNumId w:val="549"/>
  </w:num>
  <w:num w:numId="689" w16cid:durableId="714698384">
    <w:abstractNumId w:val="355"/>
  </w:num>
  <w:num w:numId="690" w16cid:durableId="469904207">
    <w:abstractNumId w:val="665"/>
  </w:num>
  <w:num w:numId="691" w16cid:durableId="711197423">
    <w:abstractNumId w:val="625"/>
  </w:num>
  <w:num w:numId="692" w16cid:durableId="95760528">
    <w:abstractNumId w:val="783"/>
  </w:num>
  <w:num w:numId="693" w16cid:durableId="1619095808">
    <w:abstractNumId w:val="10"/>
  </w:num>
  <w:num w:numId="694" w16cid:durableId="204876940">
    <w:abstractNumId w:val="676"/>
  </w:num>
  <w:num w:numId="695" w16cid:durableId="1665738347">
    <w:abstractNumId w:val="182"/>
  </w:num>
  <w:num w:numId="696" w16cid:durableId="998189843">
    <w:abstractNumId w:val="476"/>
  </w:num>
  <w:num w:numId="697" w16cid:durableId="71587345">
    <w:abstractNumId w:val="188"/>
  </w:num>
  <w:num w:numId="698" w16cid:durableId="639578173">
    <w:abstractNumId w:val="806"/>
  </w:num>
  <w:num w:numId="699" w16cid:durableId="1690372833">
    <w:abstractNumId w:val="920"/>
  </w:num>
  <w:num w:numId="700" w16cid:durableId="983509354">
    <w:abstractNumId w:val="804"/>
  </w:num>
  <w:num w:numId="701" w16cid:durableId="1584950425">
    <w:abstractNumId w:val="707"/>
  </w:num>
  <w:num w:numId="702" w16cid:durableId="2065326686">
    <w:abstractNumId w:val="871"/>
  </w:num>
  <w:num w:numId="703" w16cid:durableId="7684151">
    <w:abstractNumId w:val="729"/>
  </w:num>
  <w:num w:numId="704" w16cid:durableId="2070154485">
    <w:abstractNumId w:val="767"/>
  </w:num>
  <w:num w:numId="705" w16cid:durableId="1678802500">
    <w:abstractNumId w:val="76"/>
  </w:num>
  <w:num w:numId="706" w16cid:durableId="473568107">
    <w:abstractNumId w:val="275"/>
  </w:num>
  <w:num w:numId="707" w16cid:durableId="1025670434">
    <w:abstractNumId w:val="96"/>
  </w:num>
  <w:num w:numId="708" w16cid:durableId="1395858230">
    <w:abstractNumId w:val="162"/>
  </w:num>
  <w:num w:numId="709" w16cid:durableId="1181974359">
    <w:abstractNumId w:val="470"/>
  </w:num>
  <w:num w:numId="710" w16cid:durableId="1355695202">
    <w:abstractNumId w:val="776"/>
  </w:num>
  <w:num w:numId="711" w16cid:durableId="1543513539">
    <w:abstractNumId w:val="708"/>
  </w:num>
  <w:num w:numId="712" w16cid:durableId="1703280993">
    <w:abstractNumId w:val="52"/>
  </w:num>
  <w:num w:numId="713" w16cid:durableId="978996724">
    <w:abstractNumId w:val="73"/>
  </w:num>
  <w:num w:numId="714" w16cid:durableId="271057898">
    <w:abstractNumId w:val="901"/>
  </w:num>
  <w:num w:numId="715" w16cid:durableId="1968467461">
    <w:abstractNumId w:val="517"/>
  </w:num>
  <w:num w:numId="716" w16cid:durableId="2097239053">
    <w:abstractNumId w:val="442"/>
  </w:num>
  <w:num w:numId="717" w16cid:durableId="1611661968">
    <w:abstractNumId w:val="595"/>
  </w:num>
  <w:num w:numId="718" w16cid:durableId="2110537224">
    <w:abstractNumId w:val="359"/>
  </w:num>
  <w:num w:numId="719" w16cid:durableId="1597054514">
    <w:abstractNumId w:val="681"/>
  </w:num>
  <w:num w:numId="720" w16cid:durableId="1296986553">
    <w:abstractNumId w:val="403"/>
  </w:num>
  <w:num w:numId="721" w16cid:durableId="187723240">
    <w:abstractNumId w:val="655"/>
  </w:num>
  <w:num w:numId="722" w16cid:durableId="1513497683">
    <w:abstractNumId w:val="751"/>
  </w:num>
  <w:num w:numId="723" w16cid:durableId="65109092">
    <w:abstractNumId w:val="138"/>
  </w:num>
  <w:num w:numId="724" w16cid:durableId="1180656026">
    <w:abstractNumId w:val="760"/>
  </w:num>
  <w:num w:numId="725" w16cid:durableId="2093233133">
    <w:abstractNumId w:val="178"/>
  </w:num>
  <w:num w:numId="726" w16cid:durableId="503202950">
    <w:abstractNumId w:val="820"/>
  </w:num>
  <w:num w:numId="727" w16cid:durableId="473328179">
    <w:abstractNumId w:val="569"/>
  </w:num>
  <w:num w:numId="728" w16cid:durableId="980770526">
    <w:abstractNumId w:val="466"/>
  </w:num>
  <w:num w:numId="729" w16cid:durableId="754282895">
    <w:abstractNumId w:val="128"/>
  </w:num>
  <w:num w:numId="730" w16cid:durableId="1748729842">
    <w:abstractNumId w:val="902"/>
  </w:num>
  <w:num w:numId="731" w16cid:durableId="1858959022">
    <w:abstractNumId w:val="30"/>
  </w:num>
  <w:num w:numId="732" w16cid:durableId="763068201">
    <w:abstractNumId w:val="129"/>
  </w:num>
  <w:num w:numId="733" w16cid:durableId="1496411218">
    <w:abstractNumId w:val="402"/>
  </w:num>
  <w:num w:numId="734" w16cid:durableId="1411345700">
    <w:abstractNumId w:val="847"/>
  </w:num>
  <w:num w:numId="735" w16cid:durableId="494997035">
    <w:abstractNumId w:val="274"/>
  </w:num>
  <w:num w:numId="736" w16cid:durableId="803961791">
    <w:abstractNumId w:val="883"/>
  </w:num>
  <w:num w:numId="737" w16cid:durableId="2058894651">
    <w:abstractNumId w:val="174"/>
  </w:num>
  <w:num w:numId="738" w16cid:durableId="1856110854">
    <w:abstractNumId w:val="855"/>
  </w:num>
  <w:num w:numId="739" w16cid:durableId="1823308322">
    <w:abstractNumId w:val="276"/>
  </w:num>
  <w:num w:numId="740" w16cid:durableId="1709062850">
    <w:abstractNumId w:val="873"/>
  </w:num>
  <w:num w:numId="741" w16cid:durableId="1049038507">
    <w:abstractNumId w:val="882"/>
  </w:num>
  <w:num w:numId="742" w16cid:durableId="121773639">
    <w:abstractNumId w:val="352"/>
  </w:num>
  <w:num w:numId="743" w16cid:durableId="1354304356">
    <w:abstractNumId w:val="34"/>
  </w:num>
  <w:num w:numId="744" w16cid:durableId="1095053235">
    <w:abstractNumId w:val="475"/>
  </w:num>
  <w:num w:numId="745" w16cid:durableId="929853289">
    <w:abstractNumId w:val="788"/>
  </w:num>
  <w:num w:numId="746" w16cid:durableId="170990812">
    <w:abstractNumId w:val="879"/>
  </w:num>
  <w:num w:numId="747" w16cid:durableId="1272316611">
    <w:abstractNumId w:val="108"/>
  </w:num>
  <w:num w:numId="748" w16cid:durableId="731196839">
    <w:abstractNumId w:val="212"/>
  </w:num>
  <w:num w:numId="749" w16cid:durableId="1336610395">
    <w:abstractNumId w:val="770"/>
  </w:num>
  <w:num w:numId="750" w16cid:durableId="1999070061">
    <w:abstractNumId w:val="286"/>
  </w:num>
  <w:num w:numId="751" w16cid:durableId="10498856">
    <w:abstractNumId w:val="434"/>
  </w:num>
  <w:num w:numId="752" w16cid:durableId="1244098536">
    <w:abstractNumId w:val="306"/>
  </w:num>
  <w:num w:numId="753" w16cid:durableId="1862548154">
    <w:abstractNumId w:val="536"/>
  </w:num>
  <w:num w:numId="754" w16cid:durableId="2061710248">
    <w:abstractNumId w:val="35"/>
  </w:num>
  <w:num w:numId="755" w16cid:durableId="906259994">
    <w:abstractNumId w:val="664"/>
  </w:num>
  <w:num w:numId="756" w16cid:durableId="1634671266">
    <w:abstractNumId w:val="242"/>
  </w:num>
  <w:num w:numId="757" w16cid:durableId="1675953762">
    <w:abstractNumId w:val="124"/>
  </w:num>
  <w:num w:numId="758" w16cid:durableId="1748454785">
    <w:abstractNumId w:val="339"/>
  </w:num>
  <w:num w:numId="759" w16cid:durableId="605312288">
    <w:abstractNumId w:val="818"/>
  </w:num>
  <w:num w:numId="760" w16cid:durableId="6566473">
    <w:abstractNumId w:val="819"/>
  </w:num>
  <w:num w:numId="761" w16cid:durableId="1553538438">
    <w:abstractNumId w:val="789"/>
  </w:num>
  <w:num w:numId="762" w16cid:durableId="999701263">
    <w:abstractNumId w:val="519"/>
  </w:num>
  <w:num w:numId="763" w16cid:durableId="1527870291">
    <w:abstractNumId w:val="463"/>
  </w:num>
  <w:num w:numId="764" w16cid:durableId="395781000">
    <w:abstractNumId w:val="591"/>
  </w:num>
  <w:num w:numId="765" w16cid:durableId="1710447515">
    <w:abstractNumId w:val="401"/>
  </w:num>
  <w:num w:numId="766" w16cid:durableId="890464094">
    <w:abstractNumId w:val="387"/>
  </w:num>
  <w:num w:numId="767" w16cid:durableId="2116437955">
    <w:abstractNumId w:val="671"/>
  </w:num>
  <w:num w:numId="768" w16cid:durableId="659770913">
    <w:abstractNumId w:val="506"/>
  </w:num>
  <w:num w:numId="769" w16cid:durableId="580019002">
    <w:abstractNumId w:val="81"/>
  </w:num>
  <w:num w:numId="770" w16cid:durableId="1687320174">
    <w:abstractNumId w:val="652"/>
  </w:num>
  <w:num w:numId="771" w16cid:durableId="1782531199">
    <w:abstractNumId w:val="231"/>
  </w:num>
  <w:num w:numId="772" w16cid:durableId="1578513450">
    <w:abstractNumId w:val="917"/>
  </w:num>
  <w:num w:numId="773" w16cid:durableId="1002011173">
    <w:abstractNumId w:val="835"/>
  </w:num>
  <w:num w:numId="774" w16cid:durableId="367344168">
    <w:abstractNumId w:val="378"/>
  </w:num>
  <w:num w:numId="775" w16cid:durableId="1696224117">
    <w:abstractNumId w:val="860"/>
  </w:num>
  <w:num w:numId="776" w16cid:durableId="1295063569">
    <w:abstractNumId w:val="886"/>
  </w:num>
  <w:num w:numId="777" w16cid:durableId="338653774">
    <w:abstractNumId w:val="155"/>
  </w:num>
  <w:num w:numId="778" w16cid:durableId="175854883">
    <w:abstractNumId w:val="435"/>
  </w:num>
  <w:num w:numId="779" w16cid:durableId="759254963">
    <w:abstractNumId w:val="703"/>
  </w:num>
  <w:num w:numId="780" w16cid:durableId="1356610448">
    <w:abstractNumId w:val="439"/>
  </w:num>
  <w:num w:numId="781" w16cid:durableId="976757998">
    <w:abstractNumId w:val="659"/>
  </w:num>
  <w:num w:numId="782" w16cid:durableId="419790012">
    <w:abstractNumId w:val="936"/>
  </w:num>
  <w:num w:numId="783" w16cid:durableId="1180238991">
    <w:abstractNumId w:val="218"/>
  </w:num>
  <w:num w:numId="784" w16cid:durableId="780683511">
    <w:abstractNumId w:val="934"/>
  </w:num>
  <w:num w:numId="785" w16cid:durableId="1053039714">
    <w:abstractNumId w:val="829"/>
  </w:num>
  <w:num w:numId="786" w16cid:durableId="54205631">
    <w:abstractNumId w:val="114"/>
  </w:num>
  <w:num w:numId="787" w16cid:durableId="28844104">
    <w:abstractNumId w:val="122"/>
  </w:num>
  <w:num w:numId="788" w16cid:durableId="1727340579">
    <w:abstractNumId w:val="146"/>
  </w:num>
  <w:num w:numId="789" w16cid:durableId="882328264">
    <w:abstractNumId w:val="762"/>
  </w:num>
  <w:num w:numId="790" w16cid:durableId="1365252933">
    <w:abstractNumId w:val="483"/>
  </w:num>
  <w:num w:numId="791" w16cid:durableId="440685147">
    <w:abstractNumId w:val="669"/>
  </w:num>
  <w:num w:numId="792" w16cid:durableId="623266783">
    <w:abstractNumId w:val="299"/>
  </w:num>
  <w:num w:numId="793" w16cid:durableId="1894269018">
    <w:abstractNumId w:val="62"/>
  </w:num>
  <w:num w:numId="794" w16cid:durableId="1438017842">
    <w:abstractNumId w:val="50"/>
  </w:num>
  <w:num w:numId="795" w16cid:durableId="2077970897">
    <w:abstractNumId w:val="890"/>
  </w:num>
  <w:num w:numId="796" w16cid:durableId="1613826625">
    <w:abstractNumId w:val="888"/>
  </w:num>
  <w:num w:numId="797" w16cid:durableId="530531496">
    <w:abstractNumId w:val="183"/>
  </w:num>
  <w:num w:numId="798" w16cid:durableId="1444884126">
    <w:abstractNumId w:val="224"/>
  </w:num>
  <w:num w:numId="799" w16cid:durableId="1082263081">
    <w:abstractNumId w:val="23"/>
  </w:num>
  <w:num w:numId="800" w16cid:durableId="2035568986">
    <w:abstractNumId w:val="749"/>
  </w:num>
  <w:num w:numId="801" w16cid:durableId="1777018685">
    <w:abstractNumId w:val="0"/>
  </w:num>
  <w:num w:numId="802" w16cid:durableId="50078632">
    <w:abstractNumId w:val="478"/>
  </w:num>
  <w:num w:numId="803" w16cid:durableId="1720395945">
    <w:abstractNumId w:val="738"/>
  </w:num>
  <w:num w:numId="804" w16cid:durableId="2080592075">
    <w:abstractNumId w:val="446"/>
  </w:num>
  <w:num w:numId="805" w16cid:durableId="1764762856">
    <w:abstractNumId w:val="380"/>
  </w:num>
  <w:num w:numId="806" w16cid:durableId="1373378760">
    <w:abstractNumId w:val="137"/>
  </w:num>
  <w:num w:numId="807" w16cid:durableId="2117021241">
    <w:abstractNumId w:val="246"/>
  </w:num>
  <w:num w:numId="808" w16cid:durableId="1217550768">
    <w:abstractNumId w:val="418"/>
  </w:num>
  <w:num w:numId="809" w16cid:durableId="1481271576">
    <w:abstractNumId w:val="258"/>
  </w:num>
  <w:num w:numId="810" w16cid:durableId="1819300227">
    <w:abstractNumId w:val="170"/>
  </w:num>
  <w:num w:numId="811" w16cid:durableId="640960029">
    <w:abstractNumId w:val="649"/>
  </w:num>
  <w:num w:numId="812" w16cid:durableId="2068721136">
    <w:abstractNumId w:val="119"/>
  </w:num>
  <w:num w:numId="813" w16cid:durableId="473722618">
    <w:abstractNumId w:val="68"/>
  </w:num>
  <w:num w:numId="814" w16cid:durableId="879047163">
    <w:abstractNumId w:val="271"/>
  </w:num>
  <w:num w:numId="815" w16cid:durableId="368653283">
    <w:abstractNumId w:val="361"/>
  </w:num>
  <w:num w:numId="816" w16cid:durableId="1993294131">
    <w:abstractNumId w:val="312"/>
  </w:num>
  <w:num w:numId="817" w16cid:durableId="1367755387">
    <w:abstractNumId w:val="843"/>
  </w:num>
  <w:num w:numId="818" w16cid:durableId="1675642440">
    <w:abstractNumId w:val="267"/>
  </w:num>
  <w:num w:numId="819" w16cid:durableId="1129326247">
    <w:abstractNumId w:val="115"/>
  </w:num>
  <w:num w:numId="820" w16cid:durableId="720709749">
    <w:abstractNumId w:val="594"/>
  </w:num>
  <w:num w:numId="821" w16cid:durableId="466431951">
    <w:abstractNumId w:val="571"/>
  </w:num>
  <w:num w:numId="822" w16cid:durableId="1634171366">
    <w:abstractNumId w:val="531"/>
  </w:num>
  <w:num w:numId="823" w16cid:durableId="1064790540">
    <w:abstractNumId w:val="326"/>
  </w:num>
  <w:num w:numId="824" w16cid:durableId="1416512083">
    <w:abstractNumId w:val="152"/>
  </w:num>
  <w:num w:numId="825" w16cid:durableId="1506700207">
    <w:abstractNumId w:val="265"/>
  </w:num>
  <w:num w:numId="826" w16cid:durableId="1874607501">
    <w:abstractNumId w:val="827"/>
  </w:num>
  <w:num w:numId="827" w16cid:durableId="855506962">
    <w:abstractNumId w:val="111"/>
  </w:num>
  <w:num w:numId="828" w16cid:durableId="672414608">
    <w:abstractNumId w:val="773"/>
  </w:num>
  <w:num w:numId="829" w16cid:durableId="131989697">
    <w:abstractNumId w:val="349"/>
  </w:num>
  <w:num w:numId="830" w16cid:durableId="1834877677">
    <w:abstractNumId w:val="807"/>
  </w:num>
  <w:num w:numId="831" w16cid:durableId="1494489401">
    <w:abstractNumId w:val="118"/>
  </w:num>
  <w:num w:numId="832" w16cid:durableId="2033144161">
    <w:abstractNumId w:val="570"/>
  </w:num>
  <w:num w:numId="833" w16cid:durableId="447507442">
    <w:abstractNumId w:val="441"/>
  </w:num>
  <w:num w:numId="834" w16cid:durableId="815537512">
    <w:abstractNumId w:val="704"/>
  </w:num>
  <w:num w:numId="835" w16cid:durableId="1971326602">
    <w:abstractNumId w:val="216"/>
  </w:num>
  <w:num w:numId="836" w16cid:durableId="941646280">
    <w:abstractNumId w:val="775"/>
  </w:num>
  <w:num w:numId="837" w16cid:durableId="521164380">
    <w:abstractNumId w:val="736"/>
  </w:num>
  <w:num w:numId="838" w16cid:durableId="1648968523">
    <w:abstractNumId w:val="777"/>
  </w:num>
  <w:num w:numId="839" w16cid:durableId="293099334">
    <w:abstractNumId w:val="533"/>
  </w:num>
  <w:num w:numId="840" w16cid:durableId="1949698838">
    <w:abstractNumId w:val="614"/>
  </w:num>
  <w:num w:numId="841" w16cid:durableId="1453591531">
    <w:abstractNumId w:val="480"/>
  </w:num>
  <w:num w:numId="842" w16cid:durableId="1936399750">
    <w:abstractNumId w:val="564"/>
  </w:num>
  <w:num w:numId="843" w16cid:durableId="1743216535">
    <w:abstractNumId w:val="53"/>
  </w:num>
  <w:num w:numId="844" w16cid:durableId="990332211">
    <w:abstractNumId w:val="143"/>
  </w:num>
  <w:num w:numId="845" w16cid:durableId="1133013382">
    <w:abstractNumId w:val="4"/>
  </w:num>
  <w:num w:numId="846" w16cid:durableId="1799450654">
    <w:abstractNumId w:val="752"/>
  </w:num>
  <w:num w:numId="847" w16cid:durableId="1218935647">
    <w:abstractNumId w:val="786"/>
  </w:num>
  <w:num w:numId="848" w16cid:durableId="1410493870">
    <w:abstractNumId w:val="373"/>
  </w:num>
  <w:num w:numId="849" w16cid:durableId="921912349">
    <w:abstractNumId w:val="21"/>
  </w:num>
  <w:num w:numId="850" w16cid:durableId="790435283">
    <w:abstractNumId w:val="179"/>
  </w:num>
  <w:num w:numId="851" w16cid:durableId="1765375478">
    <w:abstractNumId w:val="923"/>
  </w:num>
  <w:num w:numId="852" w16cid:durableId="1541045401">
    <w:abstractNumId w:val="327"/>
  </w:num>
  <w:num w:numId="853" w16cid:durableId="1607538400">
    <w:abstractNumId w:val="534"/>
  </w:num>
  <w:num w:numId="854" w16cid:durableId="1444152833">
    <w:abstractNumId w:val="565"/>
  </w:num>
  <w:num w:numId="855" w16cid:durableId="675115419">
    <w:abstractNumId w:val="172"/>
  </w:num>
  <w:num w:numId="856" w16cid:durableId="513881496">
    <w:abstractNumId w:val="133"/>
  </w:num>
  <w:num w:numId="857" w16cid:durableId="2004551690">
    <w:abstractNumId w:val="64"/>
  </w:num>
  <w:num w:numId="858" w16cid:durableId="1071923238">
    <w:abstractNumId w:val="310"/>
  </w:num>
  <w:num w:numId="859" w16cid:durableId="702750885">
    <w:abstractNumId w:val="407"/>
  </w:num>
  <w:num w:numId="860" w16cid:durableId="1296913133">
    <w:abstractNumId w:val="394"/>
  </w:num>
  <w:num w:numId="861" w16cid:durableId="899635354">
    <w:abstractNumId w:val="279"/>
  </w:num>
  <w:num w:numId="862" w16cid:durableId="784613038">
    <w:abstractNumId w:val="646"/>
  </w:num>
  <w:num w:numId="863" w16cid:durableId="381248625">
    <w:abstractNumId w:val="547"/>
  </w:num>
  <w:num w:numId="864" w16cid:durableId="1453284610">
    <w:abstractNumId w:val="223"/>
  </w:num>
  <w:num w:numId="865" w16cid:durableId="787088397">
    <w:abstractNumId w:val="795"/>
  </w:num>
  <w:num w:numId="866" w16cid:durableId="734397538">
    <w:abstractNumId w:val="159"/>
  </w:num>
  <w:num w:numId="867" w16cid:durableId="1100948466">
    <w:abstractNumId w:val="642"/>
  </w:num>
  <w:num w:numId="868" w16cid:durableId="493879461">
    <w:abstractNumId w:val="457"/>
  </w:num>
  <w:num w:numId="869" w16cid:durableId="608201544">
    <w:abstractNumId w:val="854"/>
  </w:num>
  <w:num w:numId="870" w16cid:durableId="1082142761">
    <w:abstractNumId w:val="78"/>
  </w:num>
  <w:num w:numId="871" w16cid:durableId="878585472">
    <w:abstractNumId w:val="742"/>
  </w:num>
  <w:num w:numId="872" w16cid:durableId="1667441332">
    <w:abstractNumId w:val="491"/>
  </w:num>
  <w:num w:numId="873" w16cid:durableId="145709757">
    <w:abstractNumId w:val="696"/>
  </w:num>
  <w:num w:numId="874" w16cid:durableId="895550929">
    <w:abstractNumId w:val="600"/>
  </w:num>
  <w:num w:numId="875" w16cid:durableId="2141651626">
    <w:abstractNumId w:val="24"/>
  </w:num>
  <w:num w:numId="876" w16cid:durableId="1673994542">
    <w:abstractNumId w:val="585"/>
  </w:num>
  <w:num w:numId="877" w16cid:durableId="29692889">
    <w:abstractNumId w:val="543"/>
  </w:num>
  <w:num w:numId="878" w16cid:durableId="99837257">
    <w:abstractNumId w:val="201"/>
  </w:num>
  <w:num w:numId="879" w16cid:durableId="424495387">
    <w:abstractNumId w:val="772"/>
  </w:num>
  <w:num w:numId="880" w16cid:durableId="62526947">
    <w:abstractNumId w:val="244"/>
  </w:num>
  <w:num w:numId="881" w16cid:durableId="1631127827">
    <w:abstractNumId w:val="390"/>
  </w:num>
  <w:num w:numId="882" w16cid:durableId="929435221">
    <w:abstractNumId w:val="609"/>
  </w:num>
  <w:num w:numId="883" w16cid:durableId="1725443051">
    <w:abstractNumId w:val="598"/>
  </w:num>
  <w:num w:numId="884" w16cid:durableId="521355729">
    <w:abstractNumId w:val="72"/>
  </w:num>
  <w:num w:numId="885" w16cid:durableId="2104451929">
    <w:abstractNumId w:val="838"/>
  </w:num>
  <w:num w:numId="886" w16cid:durableId="505825930">
    <w:abstractNumId w:val="75"/>
  </w:num>
  <w:num w:numId="887" w16cid:durableId="151263462">
    <w:abstractNumId w:val="791"/>
  </w:num>
  <w:num w:numId="888" w16cid:durableId="130834524">
    <w:abstractNumId w:val="844"/>
  </w:num>
  <w:num w:numId="889" w16cid:durableId="1781290626">
    <w:abstractNumId w:val="472"/>
  </w:num>
  <w:num w:numId="890" w16cid:durableId="162087998">
    <w:abstractNumId w:val="445"/>
  </w:num>
  <w:num w:numId="891" w16cid:durableId="53896320">
    <w:abstractNumId w:val="641"/>
  </w:num>
  <w:num w:numId="892" w16cid:durableId="398478844">
    <w:abstractNumId w:val="83"/>
  </w:num>
  <w:num w:numId="893" w16cid:durableId="1701469623">
    <w:abstractNumId w:val="101"/>
  </w:num>
  <w:num w:numId="894" w16cid:durableId="1041368771">
    <w:abstractNumId w:val="695"/>
  </w:num>
  <w:num w:numId="895" w16cid:durableId="1313682902">
    <w:abstractNumId w:val="360"/>
  </w:num>
  <w:num w:numId="896" w16cid:durableId="1311522370">
    <w:abstractNumId w:val="621"/>
  </w:num>
  <w:num w:numId="897" w16cid:durableId="1226602894">
    <w:abstractNumId w:val="106"/>
  </w:num>
  <w:num w:numId="898" w16cid:durableId="1060716303">
    <w:abstractNumId w:val="365"/>
  </w:num>
  <w:num w:numId="899" w16cid:durableId="852644488">
    <w:abstractNumId w:val="802"/>
  </w:num>
  <w:num w:numId="900" w16cid:durableId="1796174070">
    <w:abstractNumId w:val="315"/>
  </w:num>
  <w:num w:numId="901" w16cid:durableId="1862815680">
    <w:abstractNumId w:val="277"/>
  </w:num>
  <w:num w:numId="902" w16cid:durableId="1249846900">
    <w:abstractNumId w:val="580"/>
  </w:num>
  <w:num w:numId="903" w16cid:durableId="1390953085">
    <w:abstractNumId w:val="14"/>
  </w:num>
  <w:num w:numId="904" w16cid:durableId="676467992">
    <w:abstractNumId w:val="730"/>
  </w:num>
  <w:num w:numId="905" w16cid:durableId="1833253894">
    <w:abstractNumId w:val="653"/>
  </w:num>
  <w:num w:numId="906" w16cid:durableId="327634134">
    <w:abstractNumId w:val="857"/>
  </w:num>
  <w:num w:numId="907" w16cid:durableId="208300568">
    <w:abstractNumId w:val="850"/>
  </w:num>
  <w:num w:numId="908" w16cid:durableId="1722946739">
    <w:abstractNumId w:val="477"/>
  </w:num>
  <w:num w:numId="909" w16cid:durableId="2045278865">
    <w:abstractNumId w:val="624"/>
  </w:num>
  <w:num w:numId="910" w16cid:durableId="1949507844">
    <w:abstractNumId w:val="657"/>
  </w:num>
  <w:num w:numId="911" w16cid:durableId="1546328299">
    <w:abstractNumId w:val="452"/>
  </w:num>
  <w:num w:numId="912" w16cid:durableId="973876868">
    <w:abstractNumId w:val="779"/>
  </w:num>
  <w:num w:numId="913" w16cid:durableId="1804618035">
    <w:abstractNumId w:val="97"/>
  </w:num>
  <w:num w:numId="914" w16cid:durableId="1880051020">
    <w:abstractNumId w:val="168"/>
  </w:num>
  <w:num w:numId="915" w16cid:durableId="1137145999">
    <w:abstractNumId w:val="190"/>
  </w:num>
  <w:num w:numId="916" w16cid:durableId="548539879">
    <w:abstractNumId w:val="702"/>
  </w:num>
  <w:num w:numId="917" w16cid:durableId="854031621">
    <w:abstractNumId w:val="619"/>
  </w:num>
  <w:num w:numId="918" w16cid:durableId="1783301675">
    <w:abstractNumId w:val="45"/>
  </w:num>
  <w:num w:numId="919" w16cid:durableId="745806865">
    <w:abstractNumId w:val="422"/>
  </w:num>
  <w:num w:numId="920" w16cid:durableId="1065185280">
    <w:abstractNumId w:val="104"/>
  </w:num>
  <w:num w:numId="921" w16cid:durableId="30542424">
    <w:abstractNumId w:val="213"/>
  </w:num>
  <w:num w:numId="922" w16cid:durableId="970793925">
    <w:abstractNumId w:val="60"/>
  </w:num>
  <w:num w:numId="923" w16cid:durableId="2004426540">
    <w:abstractNumId w:val="164"/>
  </w:num>
  <w:num w:numId="924" w16cid:durableId="1835754849">
    <w:abstractNumId w:val="309"/>
  </w:num>
  <w:num w:numId="925" w16cid:durableId="280888879">
    <w:abstractNumId w:val="566"/>
  </w:num>
  <w:num w:numId="926" w16cid:durableId="978001472">
    <w:abstractNumId w:val="469"/>
  </w:num>
  <w:num w:numId="927" w16cid:durableId="1662461179">
    <w:abstractNumId w:val="862"/>
  </w:num>
  <w:num w:numId="928" w16cid:durableId="1080517999">
    <w:abstractNumId w:val="849"/>
  </w:num>
  <w:num w:numId="929" w16cid:durableId="1270965836">
    <w:abstractNumId w:val="561"/>
  </w:num>
  <w:num w:numId="930" w16cid:durableId="2021737864">
    <w:abstractNumId w:val="54"/>
  </w:num>
  <w:num w:numId="931" w16cid:durableId="1214079763">
    <w:abstractNumId w:val="305"/>
  </w:num>
  <w:num w:numId="932" w16cid:durableId="1758937124">
    <w:abstractNumId w:val="764"/>
  </w:num>
  <w:num w:numId="933" w16cid:durableId="1695762901">
    <w:abstractNumId w:val="410"/>
  </w:num>
  <w:num w:numId="934" w16cid:durableId="561185386">
    <w:abstractNumId w:val="184"/>
  </w:num>
  <w:num w:numId="935" w16cid:durableId="358815970">
    <w:abstractNumId w:val="357"/>
  </w:num>
  <w:num w:numId="936" w16cid:durableId="1096711804">
    <w:abstractNumId w:val="674"/>
  </w:num>
  <w:num w:numId="937" w16cid:durableId="901452813">
    <w:abstractNumId w:val="629"/>
  </w:num>
  <w:numIdMacAtCleanup w:val="9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i Sambou">
    <w15:presenceInfo w15:providerId="AD" w15:userId="S::ali.sambou@undp.org::41b2beb1-db57-4951-92ab-6fca4fc652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DB3"/>
    <w:rsid w:val="00001B86"/>
    <w:rsid w:val="000045A4"/>
    <w:rsid w:val="00004E09"/>
    <w:rsid w:val="00006488"/>
    <w:rsid w:val="000108F2"/>
    <w:rsid w:val="000120D4"/>
    <w:rsid w:val="00014365"/>
    <w:rsid w:val="00015DEA"/>
    <w:rsid w:val="00017425"/>
    <w:rsid w:val="00017B30"/>
    <w:rsid w:val="00020B3F"/>
    <w:rsid w:val="0002226F"/>
    <w:rsid w:val="00023417"/>
    <w:rsid w:val="0002343B"/>
    <w:rsid w:val="00023B24"/>
    <w:rsid w:val="00024097"/>
    <w:rsid w:val="00024A57"/>
    <w:rsid w:val="00024CFE"/>
    <w:rsid w:val="000255CD"/>
    <w:rsid w:val="000256FA"/>
    <w:rsid w:val="00026DE4"/>
    <w:rsid w:val="000272ED"/>
    <w:rsid w:val="00027316"/>
    <w:rsid w:val="00027F23"/>
    <w:rsid w:val="00027F9B"/>
    <w:rsid w:val="0003041A"/>
    <w:rsid w:val="00031755"/>
    <w:rsid w:val="00031BA9"/>
    <w:rsid w:val="00031EF1"/>
    <w:rsid w:val="00032AD9"/>
    <w:rsid w:val="00032CE0"/>
    <w:rsid w:val="00032D04"/>
    <w:rsid w:val="00033B9C"/>
    <w:rsid w:val="00034C18"/>
    <w:rsid w:val="00034CB5"/>
    <w:rsid w:val="000351A9"/>
    <w:rsid w:val="00035C63"/>
    <w:rsid w:val="00037B82"/>
    <w:rsid w:val="00037BF8"/>
    <w:rsid w:val="00037C44"/>
    <w:rsid w:val="00039311"/>
    <w:rsid w:val="00040D0C"/>
    <w:rsid w:val="00041DCE"/>
    <w:rsid w:val="0004246E"/>
    <w:rsid w:val="00044EA1"/>
    <w:rsid w:val="00045398"/>
    <w:rsid w:val="000456AD"/>
    <w:rsid w:val="000473DF"/>
    <w:rsid w:val="00047F36"/>
    <w:rsid w:val="00050D96"/>
    <w:rsid w:val="00051170"/>
    <w:rsid w:val="00051613"/>
    <w:rsid w:val="00052C09"/>
    <w:rsid w:val="00054D9F"/>
    <w:rsid w:val="00056580"/>
    <w:rsid w:val="0005674A"/>
    <w:rsid w:val="00057757"/>
    <w:rsid w:val="00060C4C"/>
    <w:rsid w:val="0006154C"/>
    <w:rsid w:val="000619E5"/>
    <w:rsid w:val="00062001"/>
    <w:rsid w:val="00062039"/>
    <w:rsid w:val="0006225B"/>
    <w:rsid w:val="00062BC2"/>
    <w:rsid w:val="000643A4"/>
    <w:rsid w:val="00064F6C"/>
    <w:rsid w:val="0006504A"/>
    <w:rsid w:val="00065742"/>
    <w:rsid w:val="00065E3A"/>
    <w:rsid w:val="00065EE0"/>
    <w:rsid w:val="000663AC"/>
    <w:rsid w:val="00066554"/>
    <w:rsid w:val="000666FB"/>
    <w:rsid w:val="00066CBA"/>
    <w:rsid w:val="0006704B"/>
    <w:rsid w:val="000700F5"/>
    <w:rsid w:val="00070BD1"/>
    <w:rsid w:val="0007125F"/>
    <w:rsid w:val="0007165C"/>
    <w:rsid w:val="0007259C"/>
    <w:rsid w:val="000734D2"/>
    <w:rsid w:val="0007422A"/>
    <w:rsid w:val="00074CE4"/>
    <w:rsid w:val="00075150"/>
    <w:rsid w:val="0007545D"/>
    <w:rsid w:val="00075787"/>
    <w:rsid w:val="00075BDE"/>
    <w:rsid w:val="00077C45"/>
    <w:rsid w:val="00077E2B"/>
    <w:rsid w:val="00077E53"/>
    <w:rsid w:val="00080AD0"/>
    <w:rsid w:val="00081B1A"/>
    <w:rsid w:val="00081C8B"/>
    <w:rsid w:val="00082167"/>
    <w:rsid w:val="000829E7"/>
    <w:rsid w:val="00082CCE"/>
    <w:rsid w:val="00084447"/>
    <w:rsid w:val="000856F4"/>
    <w:rsid w:val="00085EEA"/>
    <w:rsid w:val="00087178"/>
    <w:rsid w:val="00087215"/>
    <w:rsid w:val="0008798F"/>
    <w:rsid w:val="00087E07"/>
    <w:rsid w:val="00087E1E"/>
    <w:rsid w:val="000911CD"/>
    <w:rsid w:val="00091319"/>
    <w:rsid w:val="00093323"/>
    <w:rsid w:val="00093C01"/>
    <w:rsid w:val="00094BCD"/>
    <w:rsid w:val="000954EE"/>
    <w:rsid w:val="00095BD6"/>
    <w:rsid w:val="00097CB0"/>
    <w:rsid w:val="000A1316"/>
    <w:rsid w:val="000A149C"/>
    <w:rsid w:val="000A1BE7"/>
    <w:rsid w:val="000A2F6C"/>
    <w:rsid w:val="000A39FD"/>
    <w:rsid w:val="000A4214"/>
    <w:rsid w:val="000A5BFE"/>
    <w:rsid w:val="000A6068"/>
    <w:rsid w:val="000A6FB8"/>
    <w:rsid w:val="000AC663"/>
    <w:rsid w:val="000B00D9"/>
    <w:rsid w:val="000B0F71"/>
    <w:rsid w:val="000B201F"/>
    <w:rsid w:val="000B295B"/>
    <w:rsid w:val="000B3DCE"/>
    <w:rsid w:val="000B48BD"/>
    <w:rsid w:val="000B56F7"/>
    <w:rsid w:val="000B58CD"/>
    <w:rsid w:val="000B71DB"/>
    <w:rsid w:val="000C017C"/>
    <w:rsid w:val="000C051A"/>
    <w:rsid w:val="000C10AF"/>
    <w:rsid w:val="000C25B7"/>
    <w:rsid w:val="000C297E"/>
    <w:rsid w:val="000C31B6"/>
    <w:rsid w:val="000C4276"/>
    <w:rsid w:val="000C44C7"/>
    <w:rsid w:val="000C4B15"/>
    <w:rsid w:val="000C7C47"/>
    <w:rsid w:val="000C7CE6"/>
    <w:rsid w:val="000D0962"/>
    <w:rsid w:val="000D4B17"/>
    <w:rsid w:val="000D4C94"/>
    <w:rsid w:val="000D58D5"/>
    <w:rsid w:val="000D5A1B"/>
    <w:rsid w:val="000D5C5D"/>
    <w:rsid w:val="000D608F"/>
    <w:rsid w:val="000D60C7"/>
    <w:rsid w:val="000D6F57"/>
    <w:rsid w:val="000D6FAA"/>
    <w:rsid w:val="000D76F8"/>
    <w:rsid w:val="000D7995"/>
    <w:rsid w:val="000E0736"/>
    <w:rsid w:val="000E1A7F"/>
    <w:rsid w:val="000E1B44"/>
    <w:rsid w:val="000E22B4"/>
    <w:rsid w:val="000E2308"/>
    <w:rsid w:val="000E3372"/>
    <w:rsid w:val="000E4C46"/>
    <w:rsid w:val="000E53F5"/>
    <w:rsid w:val="000E55DD"/>
    <w:rsid w:val="000E62BA"/>
    <w:rsid w:val="000E6446"/>
    <w:rsid w:val="000E67A4"/>
    <w:rsid w:val="000E6F2C"/>
    <w:rsid w:val="000E78F5"/>
    <w:rsid w:val="000F1672"/>
    <w:rsid w:val="000F235C"/>
    <w:rsid w:val="000F30D4"/>
    <w:rsid w:val="000F318A"/>
    <w:rsid w:val="000F332B"/>
    <w:rsid w:val="000F3D6B"/>
    <w:rsid w:val="000F50FD"/>
    <w:rsid w:val="000F78A7"/>
    <w:rsid w:val="00100186"/>
    <w:rsid w:val="00100CD5"/>
    <w:rsid w:val="00101080"/>
    <w:rsid w:val="00101D26"/>
    <w:rsid w:val="00101D64"/>
    <w:rsid w:val="00101F7C"/>
    <w:rsid w:val="00103918"/>
    <w:rsid w:val="00103F65"/>
    <w:rsid w:val="00105D3F"/>
    <w:rsid w:val="00110069"/>
    <w:rsid w:val="0011072A"/>
    <w:rsid w:val="00114AD8"/>
    <w:rsid w:val="00115B0F"/>
    <w:rsid w:val="00115DCB"/>
    <w:rsid w:val="00117648"/>
    <w:rsid w:val="0011D050"/>
    <w:rsid w:val="001203FF"/>
    <w:rsid w:val="00120940"/>
    <w:rsid w:val="001212FA"/>
    <w:rsid w:val="001213AD"/>
    <w:rsid w:val="00122D43"/>
    <w:rsid w:val="0012378A"/>
    <w:rsid w:val="00123E81"/>
    <w:rsid w:val="00124846"/>
    <w:rsid w:val="00124DFE"/>
    <w:rsid w:val="00125342"/>
    <w:rsid w:val="0012676E"/>
    <w:rsid w:val="00127A3E"/>
    <w:rsid w:val="0013077F"/>
    <w:rsid w:val="00133A60"/>
    <w:rsid w:val="00134842"/>
    <w:rsid w:val="00134B22"/>
    <w:rsid w:val="00134B7B"/>
    <w:rsid w:val="001360BB"/>
    <w:rsid w:val="001362A2"/>
    <w:rsid w:val="001364E8"/>
    <w:rsid w:val="00137452"/>
    <w:rsid w:val="001407DD"/>
    <w:rsid w:val="00140B08"/>
    <w:rsid w:val="00141415"/>
    <w:rsid w:val="00143809"/>
    <w:rsid w:val="00146138"/>
    <w:rsid w:val="00146459"/>
    <w:rsid w:val="0014646F"/>
    <w:rsid w:val="00146A1E"/>
    <w:rsid w:val="00146B59"/>
    <w:rsid w:val="00146DE7"/>
    <w:rsid w:val="00147000"/>
    <w:rsid w:val="0014735A"/>
    <w:rsid w:val="00147456"/>
    <w:rsid w:val="00147532"/>
    <w:rsid w:val="00147DAD"/>
    <w:rsid w:val="0014F634"/>
    <w:rsid w:val="00152F93"/>
    <w:rsid w:val="00157F01"/>
    <w:rsid w:val="00160CC1"/>
    <w:rsid w:val="00160DEA"/>
    <w:rsid w:val="00161049"/>
    <w:rsid w:val="00161B97"/>
    <w:rsid w:val="0016222A"/>
    <w:rsid w:val="0016246B"/>
    <w:rsid w:val="00162670"/>
    <w:rsid w:val="00162D90"/>
    <w:rsid w:val="00165536"/>
    <w:rsid w:val="001655E3"/>
    <w:rsid w:val="0016560A"/>
    <w:rsid w:val="00167796"/>
    <w:rsid w:val="0016CE14"/>
    <w:rsid w:val="001707C1"/>
    <w:rsid w:val="00171105"/>
    <w:rsid w:val="00171994"/>
    <w:rsid w:val="00171A1A"/>
    <w:rsid w:val="0017201A"/>
    <w:rsid w:val="001741BC"/>
    <w:rsid w:val="00174299"/>
    <w:rsid w:val="001743B3"/>
    <w:rsid w:val="00174A45"/>
    <w:rsid w:val="00174F11"/>
    <w:rsid w:val="00175A3A"/>
    <w:rsid w:val="001763DF"/>
    <w:rsid w:val="0017717C"/>
    <w:rsid w:val="0017723F"/>
    <w:rsid w:val="00177528"/>
    <w:rsid w:val="001777AF"/>
    <w:rsid w:val="001777C5"/>
    <w:rsid w:val="0017CB93"/>
    <w:rsid w:val="00183C71"/>
    <w:rsid w:val="00183D3A"/>
    <w:rsid w:val="00184389"/>
    <w:rsid w:val="0018548B"/>
    <w:rsid w:val="0018661C"/>
    <w:rsid w:val="0018729D"/>
    <w:rsid w:val="001873F2"/>
    <w:rsid w:val="001891EF"/>
    <w:rsid w:val="00191A56"/>
    <w:rsid w:val="00191F33"/>
    <w:rsid w:val="00193513"/>
    <w:rsid w:val="0019419D"/>
    <w:rsid w:val="001953DD"/>
    <w:rsid w:val="00197AE5"/>
    <w:rsid w:val="001A04FC"/>
    <w:rsid w:val="001A1D4C"/>
    <w:rsid w:val="001A1E56"/>
    <w:rsid w:val="001A3176"/>
    <w:rsid w:val="001A33CF"/>
    <w:rsid w:val="001A393A"/>
    <w:rsid w:val="001A3ADB"/>
    <w:rsid w:val="001A424F"/>
    <w:rsid w:val="001A7BAE"/>
    <w:rsid w:val="001B0746"/>
    <w:rsid w:val="001B1EC1"/>
    <w:rsid w:val="001B2C51"/>
    <w:rsid w:val="001B3EA2"/>
    <w:rsid w:val="001B4741"/>
    <w:rsid w:val="001B5172"/>
    <w:rsid w:val="001B6210"/>
    <w:rsid w:val="001B6785"/>
    <w:rsid w:val="001B6B39"/>
    <w:rsid w:val="001B6B62"/>
    <w:rsid w:val="001B7EBD"/>
    <w:rsid w:val="001BC1B1"/>
    <w:rsid w:val="001C0074"/>
    <w:rsid w:val="001C1C58"/>
    <w:rsid w:val="001C2584"/>
    <w:rsid w:val="001C2DC1"/>
    <w:rsid w:val="001C3214"/>
    <w:rsid w:val="001C3547"/>
    <w:rsid w:val="001C3728"/>
    <w:rsid w:val="001C47CF"/>
    <w:rsid w:val="001C4DAE"/>
    <w:rsid w:val="001C5219"/>
    <w:rsid w:val="001C65A5"/>
    <w:rsid w:val="001C669F"/>
    <w:rsid w:val="001D0D9A"/>
    <w:rsid w:val="001D1574"/>
    <w:rsid w:val="001D17ED"/>
    <w:rsid w:val="001D2D27"/>
    <w:rsid w:val="001D4720"/>
    <w:rsid w:val="001D4C80"/>
    <w:rsid w:val="001D5220"/>
    <w:rsid w:val="001D5F16"/>
    <w:rsid w:val="001D677E"/>
    <w:rsid w:val="001D7063"/>
    <w:rsid w:val="001D7541"/>
    <w:rsid w:val="001D761C"/>
    <w:rsid w:val="001D7B40"/>
    <w:rsid w:val="001E0645"/>
    <w:rsid w:val="001E0C46"/>
    <w:rsid w:val="001E311C"/>
    <w:rsid w:val="001E424E"/>
    <w:rsid w:val="001E46D2"/>
    <w:rsid w:val="001E4BC7"/>
    <w:rsid w:val="001E51BA"/>
    <w:rsid w:val="001E56ED"/>
    <w:rsid w:val="001E6B10"/>
    <w:rsid w:val="001E7173"/>
    <w:rsid w:val="001F20C8"/>
    <w:rsid w:val="001F2610"/>
    <w:rsid w:val="001F345D"/>
    <w:rsid w:val="001F3932"/>
    <w:rsid w:val="001F3C76"/>
    <w:rsid w:val="001F5C9C"/>
    <w:rsid w:val="002002CC"/>
    <w:rsid w:val="00200C62"/>
    <w:rsid w:val="00203B93"/>
    <w:rsid w:val="00205141"/>
    <w:rsid w:val="00205BAD"/>
    <w:rsid w:val="00205F9A"/>
    <w:rsid w:val="00207ACA"/>
    <w:rsid w:val="00210129"/>
    <w:rsid w:val="00210907"/>
    <w:rsid w:val="002118EE"/>
    <w:rsid w:val="00211B1A"/>
    <w:rsid w:val="002124E4"/>
    <w:rsid w:val="0021399F"/>
    <w:rsid w:val="002146DF"/>
    <w:rsid w:val="002151C7"/>
    <w:rsid w:val="002153DD"/>
    <w:rsid w:val="002155C2"/>
    <w:rsid w:val="00216C26"/>
    <w:rsid w:val="0021714E"/>
    <w:rsid w:val="002174FD"/>
    <w:rsid w:val="0021F33E"/>
    <w:rsid w:val="002201E3"/>
    <w:rsid w:val="002205B6"/>
    <w:rsid w:val="002208D8"/>
    <w:rsid w:val="00221B15"/>
    <w:rsid w:val="002225E1"/>
    <w:rsid w:val="00222D7C"/>
    <w:rsid w:val="0022330F"/>
    <w:rsid w:val="00223602"/>
    <w:rsid w:val="00224A93"/>
    <w:rsid w:val="0022585E"/>
    <w:rsid w:val="00226211"/>
    <w:rsid w:val="00227BB2"/>
    <w:rsid w:val="002311B3"/>
    <w:rsid w:val="0023144F"/>
    <w:rsid w:val="00231A7C"/>
    <w:rsid w:val="002325FF"/>
    <w:rsid w:val="00232AA0"/>
    <w:rsid w:val="0023353D"/>
    <w:rsid w:val="00233C16"/>
    <w:rsid w:val="00234982"/>
    <w:rsid w:val="00235D3B"/>
    <w:rsid w:val="00241992"/>
    <w:rsid w:val="00241E4A"/>
    <w:rsid w:val="0024284B"/>
    <w:rsid w:val="00243C0F"/>
    <w:rsid w:val="002449D9"/>
    <w:rsid w:val="00246A5B"/>
    <w:rsid w:val="002507D7"/>
    <w:rsid w:val="00250A65"/>
    <w:rsid w:val="002511ED"/>
    <w:rsid w:val="002513EC"/>
    <w:rsid w:val="0025143E"/>
    <w:rsid w:val="00251C5E"/>
    <w:rsid w:val="00253E4F"/>
    <w:rsid w:val="0025460A"/>
    <w:rsid w:val="00254A26"/>
    <w:rsid w:val="0025562A"/>
    <w:rsid w:val="00255970"/>
    <w:rsid w:val="002566D7"/>
    <w:rsid w:val="00257069"/>
    <w:rsid w:val="002573A5"/>
    <w:rsid w:val="002608D7"/>
    <w:rsid w:val="0026207C"/>
    <w:rsid w:val="002623CA"/>
    <w:rsid w:val="00263D2C"/>
    <w:rsid w:val="002649FA"/>
    <w:rsid w:val="00264E1F"/>
    <w:rsid w:val="00264E2A"/>
    <w:rsid w:val="00265F82"/>
    <w:rsid w:val="0026614B"/>
    <w:rsid w:val="00266600"/>
    <w:rsid w:val="002672EC"/>
    <w:rsid w:val="00271D0B"/>
    <w:rsid w:val="00272208"/>
    <w:rsid w:val="00272502"/>
    <w:rsid w:val="0027473F"/>
    <w:rsid w:val="00274FD7"/>
    <w:rsid w:val="0027522A"/>
    <w:rsid w:val="00275312"/>
    <w:rsid w:val="00275D77"/>
    <w:rsid w:val="00276405"/>
    <w:rsid w:val="00276C5A"/>
    <w:rsid w:val="002776D9"/>
    <w:rsid w:val="00278556"/>
    <w:rsid w:val="00280970"/>
    <w:rsid w:val="002816A7"/>
    <w:rsid w:val="00281F1E"/>
    <w:rsid w:val="002826F5"/>
    <w:rsid w:val="002835C6"/>
    <w:rsid w:val="002837B0"/>
    <w:rsid w:val="00283D30"/>
    <w:rsid w:val="00283F93"/>
    <w:rsid w:val="00284C11"/>
    <w:rsid w:val="00285636"/>
    <w:rsid w:val="002875A6"/>
    <w:rsid w:val="00287936"/>
    <w:rsid w:val="00291714"/>
    <w:rsid w:val="00292C51"/>
    <w:rsid w:val="002934E2"/>
    <w:rsid w:val="0029499A"/>
    <w:rsid w:val="00294CAC"/>
    <w:rsid w:val="00294CCF"/>
    <w:rsid w:val="00295605"/>
    <w:rsid w:val="00296118"/>
    <w:rsid w:val="00296426"/>
    <w:rsid w:val="00296556"/>
    <w:rsid w:val="0029701B"/>
    <w:rsid w:val="00297462"/>
    <w:rsid w:val="002977B3"/>
    <w:rsid w:val="002977D3"/>
    <w:rsid w:val="002A1DC6"/>
    <w:rsid w:val="002A2AE4"/>
    <w:rsid w:val="002A4014"/>
    <w:rsid w:val="002A5EAD"/>
    <w:rsid w:val="002A5ED3"/>
    <w:rsid w:val="002A6658"/>
    <w:rsid w:val="002A75FE"/>
    <w:rsid w:val="002B1215"/>
    <w:rsid w:val="002B1E2A"/>
    <w:rsid w:val="002B2306"/>
    <w:rsid w:val="002B2625"/>
    <w:rsid w:val="002B2737"/>
    <w:rsid w:val="002B4678"/>
    <w:rsid w:val="002B4A1B"/>
    <w:rsid w:val="002B4C2C"/>
    <w:rsid w:val="002B4D06"/>
    <w:rsid w:val="002B6639"/>
    <w:rsid w:val="002C0276"/>
    <w:rsid w:val="002C0BAD"/>
    <w:rsid w:val="002C0D32"/>
    <w:rsid w:val="002C1D2D"/>
    <w:rsid w:val="002C2FCF"/>
    <w:rsid w:val="002C38FE"/>
    <w:rsid w:val="002C3E11"/>
    <w:rsid w:val="002C3FAF"/>
    <w:rsid w:val="002C5C81"/>
    <w:rsid w:val="002C6568"/>
    <w:rsid w:val="002D020C"/>
    <w:rsid w:val="002D1902"/>
    <w:rsid w:val="002D2C2A"/>
    <w:rsid w:val="002D2DDC"/>
    <w:rsid w:val="002D3601"/>
    <w:rsid w:val="002D4BFC"/>
    <w:rsid w:val="002D4F22"/>
    <w:rsid w:val="002D59CC"/>
    <w:rsid w:val="002D69D7"/>
    <w:rsid w:val="002D6F51"/>
    <w:rsid w:val="002DE9AA"/>
    <w:rsid w:val="002E0133"/>
    <w:rsid w:val="002E0D84"/>
    <w:rsid w:val="002E1053"/>
    <w:rsid w:val="002E11C9"/>
    <w:rsid w:val="002E162B"/>
    <w:rsid w:val="002E1907"/>
    <w:rsid w:val="002E57C6"/>
    <w:rsid w:val="002E616E"/>
    <w:rsid w:val="002E7723"/>
    <w:rsid w:val="002E7879"/>
    <w:rsid w:val="002F0DC6"/>
    <w:rsid w:val="002F1584"/>
    <w:rsid w:val="002F2F61"/>
    <w:rsid w:val="002F59C9"/>
    <w:rsid w:val="002F5A48"/>
    <w:rsid w:val="002F7009"/>
    <w:rsid w:val="002F7956"/>
    <w:rsid w:val="00300057"/>
    <w:rsid w:val="003002C6"/>
    <w:rsid w:val="003004D3"/>
    <w:rsid w:val="003006C8"/>
    <w:rsid w:val="00301763"/>
    <w:rsid w:val="00301EAD"/>
    <w:rsid w:val="003022C9"/>
    <w:rsid w:val="003024B1"/>
    <w:rsid w:val="00302888"/>
    <w:rsid w:val="00303215"/>
    <w:rsid w:val="003050B8"/>
    <w:rsid w:val="0030550D"/>
    <w:rsid w:val="00305F13"/>
    <w:rsid w:val="00306657"/>
    <w:rsid w:val="0030698E"/>
    <w:rsid w:val="0030AD48"/>
    <w:rsid w:val="00311596"/>
    <w:rsid w:val="003122B0"/>
    <w:rsid w:val="00312E6F"/>
    <w:rsid w:val="00312F15"/>
    <w:rsid w:val="00314020"/>
    <w:rsid w:val="00314058"/>
    <w:rsid w:val="003157AE"/>
    <w:rsid w:val="003163CD"/>
    <w:rsid w:val="003174F8"/>
    <w:rsid w:val="003175BB"/>
    <w:rsid w:val="00317B00"/>
    <w:rsid w:val="00320AEC"/>
    <w:rsid w:val="00321E59"/>
    <w:rsid w:val="00322451"/>
    <w:rsid w:val="00323C1D"/>
    <w:rsid w:val="00323CA5"/>
    <w:rsid w:val="00327637"/>
    <w:rsid w:val="003302E2"/>
    <w:rsid w:val="00330680"/>
    <w:rsid w:val="00330E48"/>
    <w:rsid w:val="003328C3"/>
    <w:rsid w:val="00332D8C"/>
    <w:rsid w:val="003331A9"/>
    <w:rsid w:val="00334001"/>
    <w:rsid w:val="00334126"/>
    <w:rsid w:val="00334F92"/>
    <w:rsid w:val="00335C6B"/>
    <w:rsid w:val="00336972"/>
    <w:rsid w:val="00336C8C"/>
    <w:rsid w:val="00336F19"/>
    <w:rsid w:val="0033A813"/>
    <w:rsid w:val="00341285"/>
    <w:rsid w:val="00341659"/>
    <w:rsid w:val="00342B62"/>
    <w:rsid w:val="00343E0F"/>
    <w:rsid w:val="00344861"/>
    <w:rsid w:val="00344862"/>
    <w:rsid w:val="00345A1A"/>
    <w:rsid w:val="00345FC9"/>
    <w:rsid w:val="003460CD"/>
    <w:rsid w:val="003479C5"/>
    <w:rsid w:val="00347C3C"/>
    <w:rsid w:val="0035074B"/>
    <w:rsid w:val="00351EFC"/>
    <w:rsid w:val="00354690"/>
    <w:rsid w:val="003546D4"/>
    <w:rsid w:val="00354945"/>
    <w:rsid w:val="00354FCC"/>
    <w:rsid w:val="00356600"/>
    <w:rsid w:val="00357FCE"/>
    <w:rsid w:val="00360961"/>
    <w:rsid w:val="003609D9"/>
    <w:rsid w:val="00360DF6"/>
    <w:rsid w:val="0036197D"/>
    <w:rsid w:val="003630D0"/>
    <w:rsid w:val="003639C3"/>
    <w:rsid w:val="00363A55"/>
    <w:rsid w:val="00363AE8"/>
    <w:rsid w:val="00363B68"/>
    <w:rsid w:val="00363C6F"/>
    <w:rsid w:val="003649A8"/>
    <w:rsid w:val="00364E25"/>
    <w:rsid w:val="003657F0"/>
    <w:rsid w:val="003679CA"/>
    <w:rsid w:val="0037012F"/>
    <w:rsid w:val="00371BE2"/>
    <w:rsid w:val="00371FF0"/>
    <w:rsid w:val="0037350B"/>
    <w:rsid w:val="00373556"/>
    <w:rsid w:val="0037443A"/>
    <w:rsid w:val="003745AF"/>
    <w:rsid w:val="00374B57"/>
    <w:rsid w:val="003751AC"/>
    <w:rsid w:val="00375450"/>
    <w:rsid w:val="003756B5"/>
    <w:rsid w:val="00375769"/>
    <w:rsid w:val="0037578D"/>
    <w:rsid w:val="00376142"/>
    <w:rsid w:val="00377127"/>
    <w:rsid w:val="0037D547"/>
    <w:rsid w:val="003823F7"/>
    <w:rsid w:val="0038396C"/>
    <w:rsid w:val="00383AB4"/>
    <w:rsid w:val="00383D5F"/>
    <w:rsid w:val="0038413F"/>
    <w:rsid w:val="0038615A"/>
    <w:rsid w:val="00391707"/>
    <w:rsid w:val="00391C28"/>
    <w:rsid w:val="00392BC5"/>
    <w:rsid w:val="00393444"/>
    <w:rsid w:val="00394704"/>
    <w:rsid w:val="003950D9"/>
    <w:rsid w:val="00395A86"/>
    <w:rsid w:val="00395E50"/>
    <w:rsid w:val="00395F8F"/>
    <w:rsid w:val="00397403"/>
    <w:rsid w:val="003974F4"/>
    <w:rsid w:val="00397538"/>
    <w:rsid w:val="003975C3"/>
    <w:rsid w:val="003A0332"/>
    <w:rsid w:val="003A08E8"/>
    <w:rsid w:val="003A096D"/>
    <w:rsid w:val="003A0A59"/>
    <w:rsid w:val="003A0BBE"/>
    <w:rsid w:val="003A2043"/>
    <w:rsid w:val="003A21B0"/>
    <w:rsid w:val="003A28A9"/>
    <w:rsid w:val="003A3D3E"/>
    <w:rsid w:val="003A4C36"/>
    <w:rsid w:val="003A5351"/>
    <w:rsid w:val="003A5811"/>
    <w:rsid w:val="003A5B48"/>
    <w:rsid w:val="003B179E"/>
    <w:rsid w:val="003B1B96"/>
    <w:rsid w:val="003B2EB3"/>
    <w:rsid w:val="003B35BC"/>
    <w:rsid w:val="003B36A0"/>
    <w:rsid w:val="003B4035"/>
    <w:rsid w:val="003B512D"/>
    <w:rsid w:val="003B56EF"/>
    <w:rsid w:val="003B5B0F"/>
    <w:rsid w:val="003B5F99"/>
    <w:rsid w:val="003B6898"/>
    <w:rsid w:val="003B7871"/>
    <w:rsid w:val="003B7FB7"/>
    <w:rsid w:val="003B7FC6"/>
    <w:rsid w:val="003C0004"/>
    <w:rsid w:val="003C1E03"/>
    <w:rsid w:val="003C2517"/>
    <w:rsid w:val="003C5C1B"/>
    <w:rsid w:val="003C63A4"/>
    <w:rsid w:val="003D03E7"/>
    <w:rsid w:val="003D1853"/>
    <w:rsid w:val="003D2749"/>
    <w:rsid w:val="003D3759"/>
    <w:rsid w:val="003D3FF2"/>
    <w:rsid w:val="003D55F9"/>
    <w:rsid w:val="003D7CC0"/>
    <w:rsid w:val="003E0B6E"/>
    <w:rsid w:val="003E215C"/>
    <w:rsid w:val="003E2C4C"/>
    <w:rsid w:val="003E30C5"/>
    <w:rsid w:val="003E47B1"/>
    <w:rsid w:val="003E5BFC"/>
    <w:rsid w:val="003E5C51"/>
    <w:rsid w:val="003E7733"/>
    <w:rsid w:val="003E7BED"/>
    <w:rsid w:val="003F15DE"/>
    <w:rsid w:val="003F1A99"/>
    <w:rsid w:val="003F29EA"/>
    <w:rsid w:val="003F36C4"/>
    <w:rsid w:val="003F3D1F"/>
    <w:rsid w:val="003F4D7D"/>
    <w:rsid w:val="003F515E"/>
    <w:rsid w:val="003F5CFD"/>
    <w:rsid w:val="003F61E5"/>
    <w:rsid w:val="003F6647"/>
    <w:rsid w:val="003F6C93"/>
    <w:rsid w:val="003F76BF"/>
    <w:rsid w:val="00401735"/>
    <w:rsid w:val="00401D86"/>
    <w:rsid w:val="00401F0C"/>
    <w:rsid w:val="00402270"/>
    <w:rsid w:val="00402E09"/>
    <w:rsid w:val="00402FA5"/>
    <w:rsid w:val="00404A28"/>
    <w:rsid w:val="004066EE"/>
    <w:rsid w:val="00407021"/>
    <w:rsid w:val="00407689"/>
    <w:rsid w:val="00407D59"/>
    <w:rsid w:val="00407E62"/>
    <w:rsid w:val="00410BF7"/>
    <w:rsid w:val="00411054"/>
    <w:rsid w:val="00411D74"/>
    <w:rsid w:val="004128B6"/>
    <w:rsid w:val="0041296B"/>
    <w:rsid w:val="00413BE6"/>
    <w:rsid w:val="00414CF6"/>
    <w:rsid w:val="0041606B"/>
    <w:rsid w:val="0041671F"/>
    <w:rsid w:val="00417D24"/>
    <w:rsid w:val="00417FB5"/>
    <w:rsid w:val="00420363"/>
    <w:rsid w:val="00424E04"/>
    <w:rsid w:val="00424FF6"/>
    <w:rsid w:val="0042651A"/>
    <w:rsid w:val="00427A4E"/>
    <w:rsid w:val="00427DF8"/>
    <w:rsid w:val="0043230E"/>
    <w:rsid w:val="00432AB0"/>
    <w:rsid w:val="00433301"/>
    <w:rsid w:val="0043354A"/>
    <w:rsid w:val="00435EAD"/>
    <w:rsid w:val="00437C1C"/>
    <w:rsid w:val="004402AF"/>
    <w:rsid w:val="00441138"/>
    <w:rsid w:val="00441E39"/>
    <w:rsid w:val="004425F6"/>
    <w:rsid w:val="00443DCD"/>
    <w:rsid w:val="0044447C"/>
    <w:rsid w:val="00444B95"/>
    <w:rsid w:val="00444CDA"/>
    <w:rsid w:val="00445054"/>
    <w:rsid w:val="0044780F"/>
    <w:rsid w:val="00447EE1"/>
    <w:rsid w:val="00451717"/>
    <w:rsid w:val="0045183B"/>
    <w:rsid w:val="00452E8F"/>
    <w:rsid w:val="00452F40"/>
    <w:rsid w:val="00452F4F"/>
    <w:rsid w:val="00456780"/>
    <w:rsid w:val="004568FE"/>
    <w:rsid w:val="0045788D"/>
    <w:rsid w:val="0046058C"/>
    <w:rsid w:val="0046090B"/>
    <w:rsid w:val="00460A37"/>
    <w:rsid w:val="00460F46"/>
    <w:rsid w:val="00464791"/>
    <w:rsid w:val="00464FCB"/>
    <w:rsid w:val="004706A6"/>
    <w:rsid w:val="00470836"/>
    <w:rsid w:val="00471F90"/>
    <w:rsid w:val="0047242E"/>
    <w:rsid w:val="00472D66"/>
    <w:rsid w:val="00473280"/>
    <w:rsid w:val="00474C76"/>
    <w:rsid w:val="00474DA6"/>
    <w:rsid w:val="00475905"/>
    <w:rsid w:val="00476388"/>
    <w:rsid w:val="00476E53"/>
    <w:rsid w:val="004810C0"/>
    <w:rsid w:val="004819BD"/>
    <w:rsid w:val="00481EDD"/>
    <w:rsid w:val="00482B05"/>
    <w:rsid w:val="0048414E"/>
    <w:rsid w:val="0048637F"/>
    <w:rsid w:val="00486578"/>
    <w:rsid w:val="00486DB6"/>
    <w:rsid w:val="00491119"/>
    <w:rsid w:val="00491414"/>
    <w:rsid w:val="00491E09"/>
    <w:rsid w:val="004927EA"/>
    <w:rsid w:val="00492C0C"/>
    <w:rsid w:val="00493311"/>
    <w:rsid w:val="00493990"/>
    <w:rsid w:val="00494828"/>
    <w:rsid w:val="00495790"/>
    <w:rsid w:val="00497ABA"/>
    <w:rsid w:val="004A0D3A"/>
    <w:rsid w:val="004A39A0"/>
    <w:rsid w:val="004A3EAF"/>
    <w:rsid w:val="004A4392"/>
    <w:rsid w:val="004A4F99"/>
    <w:rsid w:val="004A5501"/>
    <w:rsid w:val="004A574A"/>
    <w:rsid w:val="004A6B41"/>
    <w:rsid w:val="004B0DE8"/>
    <w:rsid w:val="004B1B5F"/>
    <w:rsid w:val="004B215E"/>
    <w:rsid w:val="004B23AD"/>
    <w:rsid w:val="004B279D"/>
    <w:rsid w:val="004B29FB"/>
    <w:rsid w:val="004B2C3E"/>
    <w:rsid w:val="004B2DEB"/>
    <w:rsid w:val="004B3625"/>
    <w:rsid w:val="004B47DA"/>
    <w:rsid w:val="004B48CB"/>
    <w:rsid w:val="004B70C6"/>
    <w:rsid w:val="004B74F3"/>
    <w:rsid w:val="004B756D"/>
    <w:rsid w:val="004C170B"/>
    <w:rsid w:val="004C1857"/>
    <w:rsid w:val="004C6327"/>
    <w:rsid w:val="004C6D51"/>
    <w:rsid w:val="004C6F8A"/>
    <w:rsid w:val="004C79B7"/>
    <w:rsid w:val="004D16C5"/>
    <w:rsid w:val="004D2BCA"/>
    <w:rsid w:val="004D3C69"/>
    <w:rsid w:val="004D444C"/>
    <w:rsid w:val="004D4903"/>
    <w:rsid w:val="004D4987"/>
    <w:rsid w:val="004D4C55"/>
    <w:rsid w:val="004D4C8E"/>
    <w:rsid w:val="004D4E32"/>
    <w:rsid w:val="004D4E3A"/>
    <w:rsid w:val="004D545B"/>
    <w:rsid w:val="004D6FF8"/>
    <w:rsid w:val="004D7A2F"/>
    <w:rsid w:val="004E027F"/>
    <w:rsid w:val="004E0631"/>
    <w:rsid w:val="004E0BFE"/>
    <w:rsid w:val="004E254B"/>
    <w:rsid w:val="004E2A28"/>
    <w:rsid w:val="004E2D58"/>
    <w:rsid w:val="004E330E"/>
    <w:rsid w:val="004E3A10"/>
    <w:rsid w:val="004E3DA7"/>
    <w:rsid w:val="004E46EF"/>
    <w:rsid w:val="004E4B43"/>
    <w:rsid w:val="004E6E7A"/>
    <w:rsid w:val="004E72D5"/>
    <w:rsid w:val="004E738A"/>
    <w:rsid w:val="004E7917"/>
    <w:rsid w:val="004F1661"/>
    <w:rsid w:val="004F2E37"/>
    <w:rsid w:val="004F3D20"/>
    <w:rsid w:val="004F3F55"/>
    <w:rsid w:val="004F4D8A"/>
    <w:rsid w:val="004F4EC1"/>
    <w:rsid w:val="004F62F0"/>
    <w:rsid w:val="004F6566"/>
    <w:rsid w:val="004F72D6"/>
    <w:rsid w:val="004F7748"/>
    <w:rsid w:val="004F7DB3"/>
    <w:rsid w:val="0050037A"/>
    <w:rsid w:val="00500579"/>
    <w:rsid w:val="005019DC"/>
    <w:rsid w:val="00503132"/>
    <w:rsid w:val="005049C1"/>
    <w:rsid w:val="005059F3"/>
    <w:rsid w:val="0050637C"/>
    <w:rsid w:val="0050784C"/>
    <w:rsid w:val="00507C5E"/>
    <w:rsid w:val="00510A6C"/>
    <w:rsid w:val="00510ED2"/>
    <w:rsid w:val="00510FE1"/>
    <w:rsid w:val="0051183A"/>
    <w:rsid w:val="005119FF"/>
    <w:rsid w:val="00513551"/>
    <w:rsid w:val="00513C48"/>
    <w:rsid w:val="0051469B"/>
    <w:rsid w:val="00514CB7"/>
    <w:rsid w:val="00515994"/>
    <w:rsid w:val="00515B4A"/>
    <w:rsid w:val="00516399"/>
    <w:rsid w:val="00517244"/>
    <w:rsid w:val="005179AC"/>
    <w:rsid w:val="00517DA6"/>
    <w:rsid w:val="0052012D"/>
    <w:rsid w:val="005209AF"/>
    <w:rsid w:val="005211FB"/>
    <w:rsid w:val="00521ABD"/>
    <w:rsid w:val="00523E19"/>
    <w:rsid w:val="00524993"/>
    <w:rsid w:val="00527623"/>
    <w:rsid w:val="00527C1B"/>
    <w:rsid w:val="005300D6"/>
    <w:rsid w:val="00531590"/>
    <w:rsid w:val="0053181C"/>
    <w:rsid w:val="0053356F"/>
    <w:rsid w:val="0053408C"/>
    <w:rsid w:val="00534F67"/>
    <w:rsid w:val="0053584C"/>
    <w:rsid w:val="00535F8D"/>
    <w:rsid w:val="005403D6"/>
    <w:rsid w:val="0054389D"/>
    <w:rsid w:val="00543A94"/>
    <w:rsid w:val="005445EF"/>
    <w:rsid w:val="00544622"/>
    <w:rsid w:val="00544B2E"/>
    <w:rsid w:val="005475DB"/>
    <w:rsid w:val="005519BC"/>
    <w:rsid w:val="00552138"/>
    <w:rsid w:val="00552342"/>
    <w:rsid w:val="00552A2D"/>
    <w:rsid w:val="005534FD"/>
    <w:rsid w:val="0055424D"/>
    <w:rsid w:val="00554293"/>
    <w:rsid w:val="00554814"/>
    <w:rsid w:val="00554B7B"/>
    <w:rsid w:val="0055500A"/>
    <w:rsid w:val="00556526"/>
    <w:rsid w:val="0056042A"/>
    <w:rsid w:val="00561260"/>
    <w:rsid w:val="005641BB"/>
    <w:rsid w:val="00564568"/>
    <w:rsid w:val="00564DD0"/>
    <w:rsid w:val="0056562D"/>
    <w:rsid w:val="0056638D"/>
    <w:rsid w:val="00566C09"/>
    <w:rsid w:val="00566C9D"/>
    <w:rsid w:val="0056F35D"/>
    <w:rsid w:val="00571BA4"/>
    <w:rsid w:val="00572659"/>
    <w:rsid w:val="00573EB4"/>
    <w:rsid w:val="0057428C"/>
    <w:rsid w:val="00574DAC"/>
    <w:rsid w:val="0057532A"/>
    <w:rsid w:val="0057604D"/>
    <w:rsid w:val="0057643A"/>
    <w:rsid w:val="00577203"/>
    <w:rsid w:val="005804F1"/>
    <w:rsid w:val="0058546B"/>
    <w:rsid w:val="00585E7A"/>
    <w:rsid w:val="0058622B"/>
    <w:rsid w:val="00587338"/>
    <w:rsid w:val="00587909"/>
    <w:rsid w:val="005900EE"/>
    <w:rsid w:val="00590CC2"/>
    <w:rsid w:val="00591105"/>
    <w:rsid w:val="0059405E"/>
    <w:rsid w:val="005942AA"/>
    <w:rsid w:val="005945B9"/>
    <w:rsid w:val="005947B5"/>
    <w:rsid w:val="00594976"/>
    <w:rsid w:val="00594AF4"/>
    <w:rsid w:val="00595B1C"/>
    <w:rsid w:val="005A040B"/>
    <w:rsid w:val="005A138B"/>
    <w:rsid w:val="005A2106"/>
    <w:rsid w:val="005A3EDF"/>
    <w:rsid w:val="005A4E07"/>
    <w:rsid w:val="005A5D3B"/>
    <w:rsid w:val="005A7A7C"/>
    <w:rsid w:val="005A7AEC"/>
    <w:rsid w:val="005A7FD8"/>
    <w:rsid w:val="005B0E72"/>
    <w:rsid w:val="005B1471"/>
    <w:rsid w:val="005B148A"/>
    <w:rsid w:val="005B25A9"/>
    <w:rsid w:val="005B68BF"/>
    <w:rsid w:val="005B6A32"/>
    <w:rsid w:val="005B6EC3"/>
    <w:rsid w:val="005B7D56"/>
    <w:rsid w:val="005C0364"/>
    <w:rsid w:val="005C07A1"/>
    <w:rsid w:val="005C0F31"/>
    <w:rsid w:val="005C1EA7"/>
    <w:rsid w:val="005C3F1E"/>
    <w:rsid w:val="005C5B44"/>
    <w:rsid w:val="005D0F42"/>
    <w:rsid w:val="005D0FB2"/>
    <w:rsid w:val="005D1BA2"/>
    <w:rsid w:val="005D3241"/>
    <w:rsid w:val="005D3782"/>
    <w:rsid w:val="005D3B06"/>
    <w:rsid w:val="005D3C09"/>
    <w:rsid w:val="005D4494"/>
    <w:rsid w:val="005D4B78"/>
    <w:rsid w:val="005D704A"/>
    <w:rsid w:val="005D7138"/>
    <w:rsid w:val="005D77FE"/>
    <w:rsid w:val="005E0084"/>
    <w:rsid w:val="005E0386"/>
    <w:rsid w:val="005E150E"/>
    <w:rsid w:val="005E1CC9"/>
    <w:rsid w:val="005E210B"/>
    <w:rsid w:val="005E3B17"/>
    <w:rsid w:val="005E41B8"/>
    <w:rsid w:val="005E4962"/>
    <w:rsid w:val="005E5D0E"/>
    <w:rsid w:val="005F0461"/>
    <w:rsid w:val="005F186A"/>
    <w:rsid w:val="005F2760"/>
    <w:rsid w:val="005F3517"/>
    <w:rsid w:val="005F4711"/>
    <w:rsid w:val="005F4B0F"/>
    <w:rsid w:val="005F5081"/>
    <w:rsid w:val="005F5212"/>
    <w:rsid w:val="005F6AD1"/>
    <w:rsid w:val="005F6BAA"/>
    <w:rsid w:val="005F6CE8"/>
    <w:rsid w:val="005F76E7"/>
    <w:rsid w:val="00600366"/>
    <w:rsid w:val="006007E8"/>
    <w:rsid w:val="00601583"/>
    <w:rsid w:val="006018B5"/>
    <w:rsid w:val="00602E2D"/>
    <w:rsid w:val="00604056"/>
    <w:rsid w:val="00606CD6"/>
    <w:rsid w:val="00606EE2"/>
    <w:rsid w:val="00612F09"/>
    <w:rsid w:val="00613722"/>
    <w:rsid w:val="00613884"/>
    <w:rsid w:val="00613BD8"/>
    <w:rsid w:val="00614E29"/>
    <w:rsid w:val="00615BA3"/>
    <w:rsid w:val="00615D29"/>
    <w:rsid w:val="00615E1A"/>
    <w:rsid w:val="006160CB"/>
    <w:rsid w:val="00616833"/>
    <w:rsid w:val="00616C46"/>
    <w:rsid w:val="00617049"/>
    <w:rsid w:val="0061741D"/>
    <w:rsid w:val="006177C7"/>
    <w:rsid w:val="00617CE8"/>
    <w:rsid w:val="00620504"/>
    <w:rsid w:val="0062131E"/>
    <w:rsid w:val="00621AF7"/>
    <w:rsid w:val="0062298E"/>
    <w:rsid w:val="00624642"/>
    <w:rsid w:val="00625025"/>
    <w:rsid w:val="006258E6"/>
    <w:rsid w:val="006263F1"/>
    <w:rsid w:val="0062664A"/>
    <w:rsid w:val="0062699D"/>
    <w:rsid w:val="00626E77"/>
    <w:rsid w:val="0063100D"/>
    <w:rsid w:val="00631376"/>
    <w:rsid w:val="006317A2"/>
    <w:rsid w:val="00631D55"/>
    <w:rsid w:val="00631F34"/>
    <w:rsid w:val="006322EC"/>
    <w:rsid w:val="0063240A"/>
    <w:rsid w:val="006326AA"/>
    <w:rsid w:val="00632D19"/>
    <w:rsid w:val="00633089"/>
    <w:rsid w:val="00634568"/>
    <w:rsid w:val="00635F80"/>
    <w:rsid w:val="00637665"/>
    <w:rsid w:val="00637EBB"/>
    <w:rsid w:val="006400EC"/>
    <w:rsid w:val="00641147"/>
    <w:rsid w:val="006420C2"/>
    <w:rsid w:val="00645B33"/>
    <w:rsid w:val="00645D22"/>
    <w:rsid w:val="00647A7A"/>
    <w:rsid w:val="00647ED4"/>
    <w:rsid w:val="00650E97"/>
    <w:rsid w:val="006514F6"/>
    <w:rsid w:val="00651E45"/>
    <w:rsid w:val="00653365"/>
    <w:rsid w:val="0065402B"/>
    <w:rsid w:val="00654925"/>
    <w:rsid w:val="00654CBB"/>
    <w:rsid w:val="006555E6"/>
    <w:rsid w:val="006561AC"/>
    <w:rsid w:val="00656329"/>
    <w:rsid w:val="00656A9D"/>
    <w:rsid w:val="006573D0"/>
    <w:rsid w:val="00660306"/>
    <w:rsid w:val="00660926"/>
    <w:rsid w:val="00661971"/>
    <w:rsid w:val="0066292A"/>
    <w:rsid w:val="00662989"/>
    <w:rsid w:val="00664634"/>
    <w:rsid w:val="00665BBF"/>
    <w:rsid w:val="00667B5E"/>
    <w:rsid w:val="00667DF7"/>
    <w:rsid w:val="00667FC7"/>
    <w:rsid w:val="00670AA2"/>
    <w:rsid w:val="006730FF"/>
    <w:rsid w:val="00673A83"/>
    <w:rsid w:val="0067476B"/>
    <w:rsid w:val="00674E18"/>
    <w:rsid w:val="00675300"/>
    <w:rsid w:val="006754EF"/>
    <w:rsid w:val="0067581D"/>
    <w:rsid w:val="00675977"/>
    <w:rsid w:val="00675AFF"/>
    <w:rsid w:val="00676F22"/>
    <w:rsid w:val="00677347"/>
    <w:rsid w:val="00681782"/>
    <w:rsid w:val="006817A8"/>
    <w:rsid w:val="00681C18"/>
    <w:rsid w:val="006823C8"/>
    <w:rsid w:val="00682F76"/>
    <w:rsid w:val="00683036"/>
    <w:rsid w:val="00683EBA"/>
    <w:rsid w:val="00683FC7"/>
    <w:rsid w:val="00684596"/>
    <w:rsid w:val="00684F41"/>
    <w:rsid w:val="00686484"/>
    <w:rsid w:val="006876A6"/>
    <w:rsid w:val="0069034F"/>
    <w:rsid w:val="00690B03"/>
    <w:rsid w:val="00691219"/>
    <w:rsid w:val="00691431"/>
    <w:rsid w:val="00691467"/>
    <w:rsid w:val="00691D11"/>
    <w:rsid w:val="00692F5D"/>
    <w:rsid w:val="00693571"/>
    <w:rsid w:val="0069482E"/>
    <w:rsid w:val="00695170"/>
    <w:rsid w:val="006957AF"/>
    <w:rsid w:val="00695BC8"/>
    <w:rsid w:val="00696D07"/>
    <w:rsid w:val="006975BB"/>
    <w:rsid w:val="00697A4F"/>
    <w:rsid w:val="00697F07"/>
    <w:rsid w:val="006A022E"/>
    <w:rsid w:val="006A1B6A"/>
    <w:rsid w:val="006A3123"/>
    <w:rsid w:val="006A41F0"/>
    <w:rsid w:val="006A4DB4"/>
    <w:rsid w:val="006A50A3"/>
    <w:rsid w:val="006A55BC"/>
    <w:rsid w:val="006A58E5"/>
    <w:rsid w:val="006A59C4"/>
    <w:rsid w:val="006A5C67"/>
    <w:rsid w:val="006A71F1"/>
    <w:rsid w:val="006A7C1D"/>
    <w:rsid w:val="006B280E"/>
    <w:rsid w:val="006B2D5C"/>
    <w:rsid w:val="006B337E"/>
    <w:rsid w:val="006B36DF"/>
    <w:rsid w:val="006B375C"/>
    <w:rsid w:val="006B3FCE"/>
    <w:rsid w:val="006B424B"/>
    <w:rsid w:val="006B4D8F"/>
    <w:rsid w:val="006B58C3"/>
    <w:rsid w:val="006B5DF4"/>
    <w:rsid w:val="006B5F47"/>
    <w:rsid w:val="006B6702"/>
    <w:rsid w:val="006B6D19"/>
    <w:rsid w:val="006C42F3"/>
    <w:rsid w:val="006C4825"/>
    <w:rsid w:val="006C5755"/>
    <w:rsid w:val="006C5795"/>
    <w:rsid w:val="006C58AE"/>
    <w:rsid w:val="006C625C"/>
    <w:rsid w:val="006D2E0B"/>
    <w:rsid w:val="006D3B57"/>
    <w:rsid w:val="006D3D6C"/>
    <w:rsid w:val="006D3D6E"/>
    <w:rsid w:val="006D3E51"/>
    <w:rsid w:val="006D5B40"/>
    <w:rsid w:val="006D5DF7"/>
    <w:rsid w:val="006D7DE4"/>
    <w:rsid w:val="006E0224"/>
    <w:rsid w:val="006E10E5"/>
    <w:rsid w:val="006E15A3"/>
    <w:rsid w:val="006E2542"/>
    <w:rsid w:val="006E2FA5"/>
    <w:rsid w:val="006E3287"/>
    <w:rsid w:val="006E336C"/>
    <w:rsid w:val="006E3D59"/>
    <w:rsid w:val="006E4FAF"/>
    <w:rsid w:val="006F04D1"/>
    <w:rsid w:val="006F3655"/>
    <w:rsid w:val="006F3C91"/>
    <w:rsid w:val="006F3CA7"/>
    <w:rsid w:val="006F4540"/>
    <w:rsid w:val="006F4ECC"/>
    <w:rsid w:val="006F5E1D"/>
    <w:rsid w:val="006F649A"/>
    <w:rsid w:val="006F7407"/>
    <w:rsid w:val="006F7817"/>
    <w:rsid w:val="006F7837"/>
    <w:rsid w:val="006F7B87"/>
    <w:rsid w:val="006F7BA3"/>
    <w:rsid w:val="0070068B"/>
    <w:rsid w:val="00700F8C"/>
    <w:rsid w:val="00701D0C"/>
    <w:rsid w:val="0070306C"/>
    <w:rsid w:val="00703F25"/>
    <w:rsid w:val="0070539E"/>
    <w:rsid w:val="0070706E"/>
    <w:rsid w:val="00707AE7"/>
    <w:rsid w:val="00710563"/>
    <w:rsid w:val="00712895"/>
    <w:rsid w:val="00714464"/>
    <w:rsid w:val="00714C21"/>
    <w:rsid w:val="00716C22"/>
    <w:rsid w:val="00717E22"/>
    <w:rsid w:val="007203F2"/>
    <w:rsid w:val="0072091B"/>
    <w:rsid w:val="00720EE3"/>
    <w:rsid w:val="00722DB0"/>
    <w:rsid w:val="00725941"/>
    <w:rsid w:val="00726213"/>
    <w:rsid w:val="00726328"/>
    <w:rsid w:val="00726C6E"/>
    <w:rsid w:val="0073003A"/>
    <w:rsid w:val="007308CF"/>
    <w:rsid w:val="007308E2"/>
    <w:rsid w:val="0073154C"/>
    <w:rsid w:val="00732446"/>
    <w:rsid w:val="0073339B"/>
    <w:rsid w:val="00733635"/>
    <w:rsid w:val="007340C3"/>
    <w:rsid w:val="0073425E"/>
    <w:rsid w:val="007349EC"/>
    <w:rsid w:val="00734A53"/>
    <w:rsid w:val="00734BD1"/>
    <w:rsid w:val="00734F8E"/>
    <w:rsid w:val="00734FD0"/>
    <w:rsid w:val="007351FA"/>
    <w:rsid w:val="00735718"/>
    <w:rsid w:val="00737303"/>
    <w:rsid w:val="00740F40"/>
    <w:rsid w:val="00742BFD"/>
    <w:rsid w:val="00742C77"/>
    <w:rsid w:val="007436C0"/>
    <w:rsid w:val="00743EC0"/>
    <w:rsid w:val="007448C3"/>
    <w:rsid w:val="007460B9"/>
    <w:rsid w:val="0074720A"/>
    <w:rsid w:val="007478E9"/>
    <w:rsid w:val="00747F4C"/>
    <w:rsid w:val="0074F71A"/>
    <w:rsid w:val="0074FD3D"/>
    <w:rsid w:val="00750464"/>
    <w:rsid w:val="00753FD4"/>
    <w:rsid w:val="007547A2"/>
    <w:rsid w:val="007552F3"/>
    <w:rsid w:val="00755ED7"/>
    <w:rsid w:val="00756C8C"/>
    <w:rsid w:val="00757473"/>
    <w:rsid w:val="00757560"/>
    <w:rsid w:val="007577E1"/>
    <w:rsid w:val="00760338"/>
    <w:rsid w:val="007604D0"/>
    <w:rsid w:val="007608F9"/>
    <w:rsid w:val="00760B96"/>
    <w:rsid w:val="00760F47"/>
    <w:rsid w:val="007622DA"/>
    <w:rsid w:val="00762847"/>
    <w:rsid w:val="0076348D"/>
    <w:rsid w:val="00763604"/>
    <w:rsid w:val="007648B4"/>
    <w:rsid w:val="00764F2D"/>
    <w:rsid w:val="00766088"/>
    <w:rsid w:val="00767111"/>
    <w:rsid w:val="00767D91"/>
    <w:rsid w:val="00770920"/>
    <w:rsid w:val="0077208A"/>
    <w:rsid w:val="00773E27"/>
    <w:rsid w:val="007743A8"/>
    <w:rsid w:val="0077635C"/>
    <w:rsid w:val="007779A7"/>
    <w:rsid w:val="00777D44"/>
    <w:rsid w:val="007803FE"/>
    <w:rsid w:val="0078100E"/>
    <w:rsid w:val="00782A2A"/>
    <w:rsid w:val="00783A92"/>
    <w:rsid w:val="007852DB"/>
    <w:rsid w:val="0078631E"/>
    <w:rsid w:val="00786768"/>
    <w:rsid w:val="00787023"/>
    <w:rsid w:val="0078727F"/>
    <w:rsid w:val="0079069D"/>
    <w:rsid w:val="0079071A"/>
    <w:rsid w:val="00791F25"/>
    <w:rsid w:val="00791FAC"/>
    <w:rsid w:val="00793368"/>
    <w:rsid w:val="00793661"/>
    <w:rsid w:val="00793C6A"/>
    <w:rsid w:val="007941C6"/>
    <w:rsid w:val="0079449C"/>
    <w:rsid w:val="00794D9F"/>
    <w:rsid w:val="007962AD"/>
    <w:rsid w:val="00797A8A"/>
    <w:rsid w:val="00797B02"/>
    <w:rsid w:val="007A0716"/>
    <w:rsid w:val="007A076A"/>
    <w:rsid w:val="007A126B"/>
    <w:rsid w:val="007A1D84"/>
    <w:rsid w:val="007A307D"/>
    <w:rsid w:val="007A3DCF"/>
    <w:rsid w:val="007A5007"/>
    <w:rsid w:val="007A6D00"/>
    <w:rsid w:val="007A7009"/>
    <w:rsid w:val="007A7143"/>
    <w:rsid w:val="007A7F4B"/>
    <w:rsid w:val="007B027D"/>
    <w:rsid w:val="007B08CC"/>
    <w:rsid w:val="007B0F8B"/>
    <w:rsid w:val="007B1410"/>
    <w:rsid w:val="007B1B5F"/>
    <w:rsid w:val="007B3261"/>
    <w:rsid w:val="007B3AAE"/>
    <w:rsid w:val="007B46BA"/>
    <w:rsid w:val="007B47BA"/>
    <w:rsid w:val="007B5721"/>
    <w:rsid w:val="007B5796"/>
    <w:rsid w:val="007B640F"/>
    <w:rsid w:val="007B6428"/>
    <w:rsid w:val="007B7E3B"/>
    <w:rsid w:val="007C0682"/>
    <w:rsid w:val="007C082F"/>
    <w:rsid w:val="007C0CD9"/>
    <w:rsid w:val="007C0E57"/>
    <w:rsid w:val="007C12D2"/>
    <w:rsid w:val="007C189E"/>
    <w:rsid w:val="007C29CE"/>
    <w:rsid w:val="007C4BBC"/>
    <w:rsid w:val="007C500C"/>
    <w:rsid w:val="007C50B0"/>
    <w:rsid w:val="007C512F"/>
    <w:rsid w:val="007C5C97"/>
    <w:rsid w:val="007C616B"/>
    <w:rsid w:val="007C7B1F"/>
    <w:rsid w:val="007D130A"/>
    <w:rsid w:val="007D149D"/>
    <w:rsid w:val="007D1565"/>
    <w:rsid w:val="007D1972"/>
    <w:rsid w:val="007D4F44"/>
    <w:rsid w:val="007D5193"/>
    <w:rsid w:val="007D5751"/>
    <w:rsid w:val="007D6C65"/>
    <w:rsid w:val="007D79DE"/>
    <w:rsid w:val="007E011D"/>
    <w:rsid w:val="007E1C26"/>
    <w:rsid w:val="007E2CF0"/>
    <w:rsid w:val="007E3461"/>
    <w:rsid w:val="007E390A"/>
    <w:rsid w:val="007E483B"/>
    <w:rsid w:val="007E510C"/>
    <w:rsid w:val="007E58A1"/>
    <w:rsid w:val="007E597D"/>
    <w:rsid w:val="007E675A"/>
    <w:rsid w:val="007E7928"/>
    <w:rsid w:val="007E797D"/>
    <w:rsid w:val="007E7BF4"/>
    <w:rsid w:val="007E7D0A"/>
    <w:rsid w:val="007F0583"/>
    <w:rsid w:val="007F0F99"/>
    <w:rsid w:val="007F1F6A"/>
    <w:rsid w:val="007F3B33"/>
    <w:rsid w:val="007F4912"/>
    <w:rsid w:val="007F5126"/>
    <w:rsid w:val="007F5DCB"/>
    <w:rsid w:val="007F6316"/>
    <w:rsid w:val="007F6AF9"/>
    <w:rsid w:val="007F6F5A"/>
    <w:rsid w:val="007F737C"/>
    <w:rsid w:val="007FB72D"/>
    <w:rsid w:val="00800346"/>
    <w:rsid w:val="00801507"/>
    <w:rsid w:val="00801B3B"/>
    <w:rsid w:val="00802411"/>
    <w:rsid w:val="008048AB"/>
    <w:rsid w:val="008064E6"/>
    <w:rsid w:val="00806787"/>
    <w:rsid w:val="008067F7"/>
    <w:rsid w:val="00806DB4"/>
    <w:rsid w:val="00806F0B"/>
    <w:rsid w:val="00807DA7"/>
    <w:rsid w:val="00807DAA"/>
    <w:rsid w:val="008093C0"/>
    <w:rsid w:val="008102B7"/>
    <w:rsid w:val="008132C1"/>
    <w:rsid w:val="008140C7"/>
    <w:rsid w:val="008140F5"/>
    <w:rsid w:val="008141F7"/>
    <w:rsid w:val="00814591"/>
    <w:rsid w:val="0081542C"/>
    <w:rsid w:val="00815916"/>
    <w:rsid w:val="00815A1D"/>
    <w:rsid w:val="00816D85"/>
    <w:rsid w:val="00817076"/>
    <w:rsid w:val="008170B0"/>
    <w:rsid w:val="0082094C"/>
    <w:rsid w:val="00822258"/>
    <w:rsid w:val="00822F43"/>
    <w:rsid w:val="00823123"/>
    <w:rsid w:val="00823817"/>
    <w:rsid w:val="00823C00"/>
    <w:rsid w:val="008243DC"/>
    <w:rsid w:val="00824DC3"/>
    <w:rsid w:val="008257F3"/>
    <w:rsid w:val="00825C35"/>
    <w:rsid w:val="008273A5"/>
    <w:rsid w:val="00827F28"/>
    <w:rsid w:val="008303C2"/>
    <w:rsid w:val="00830813"/>
    <w:rsid w:val="00830FB1"/>
    <w:rsid w:val="00832F0C"/>
    <w:rsid w:val="00835C7E"/>
    <w:rsid w:val="008365C1"/>
    <w:rsid w:val="00837019"/>
    <w:rsid w:val="0083A2A9"/>
    <w:rsid w:val="00840DD7"/>
    <w:rsid w:val="00841ECF"/>
    <w:rsid w:val="00842371"/>
    <w:rsid w:val="00842E8D"/>
    <w:rsid w:val="008434E1"/>
    <w:rsid w:val="008461A4"/>
    <w:rsid w:val="008465A1"/>
    <w:rsid w:val="00846D3C"/>
    <w:rsid w:val="00846DCA"/>
    <w:rsid w:val="008500A8"/>
    <w:rsid w:val="00850123"/>
    <w:rsid w:val="008511A2"/>
    <w:rsid w:val="0085193B"/>
    <w:rsid w:val="008533E7"/>
    <w:rsid w:val="00856B13"/>
    <w:rsid w:val="00857596"/>
    <w:rsid w:val="00857B81"/>
    <w:rsid w:val="008607CF"/>
    <w:rsid w:val="00861B10"/>
    <w:rsid w:val="00861B11"/>
    <w:rsid w:val="00862932"/>
    <w:rsid w:val="00863093"/>
    <w:rsid w:val="008631EE"/>
    <w:rsid w:val="00863BD3"/>
    <w:rsid w:val="00863F45"/>
    <w:rsid w:val="0086678A"/>
    <w:rsid w:val="00867AB3"/>
    <w:rsid w:val="00872041"/>
    <w:rsid w:val="008724D3"/>
    <w:rsid w:val="00872E8B"/>
    <w:rsid w:val="00872EDA"/>
    <w:rsid w:val="00872F23"/>
    <w:rsid w:val="00872FA5"/>
    <w:rsid w:val="00874042"/>
    <w:rsid w:val="0087413A"/>
    <w:rsid w:val="0087425E"/>
    <w:rsid w:val="00874BFB"/>
    <w:rsid w:val="00875AD4"/>
    <w:rsid w:val="00880B30"/>
    <w:rsid w:val="008831AC"/>
    <w:rsid w:val="00883C12"/>
    <w:rsid w:val="00883C2D"/>
    <w:rsid w:val="0088429D"/>
    <w:rsid w:val="0088540F"/>
    <w:rsid w:val="008859B6"/>
    <w:rsid w:val="00887D57"/>
    <w:rsid w:val="00888812"/>
    <w:rsid w:val="00890D9A"/>
    <w:rsid w:val="008910C7"/>
    <w:rsid w:val="00892602"/>
    <w:rsid w:val="00892633"/>
    <w:rsid w:val="00892EEF"/>
    <w:rsid w:val="0089395A"/>
    <w:rsid w:val="00893A47"/>
    <w:rsid w:val="00893ABD"/>
    <w:rsid w:val="00893CA6"/>
    <w:rsid w:val="0089454E"/>
    <w:rsid w:val="00895235"/>
    <w:rsid w:val="008953BB"/>
    <w:rsid w:val="0089548D"/>
    <w:rsid w:val="00895A1C"/>
    <w:rsid w:val="008962F2"/>
    <w:rsid w:val="00896AD6"/>
    <w:rsid w:val="0089769B"/>
    <w:rsid w:val="008976E5"/>
    <w:rsid w:val="008978B0"/>
    <w:rsid w:val="008A09FD"/>
    <w:rsid w:val="008A1024"/>
    <w:rsid w:val="008A2947"/>
    <w:rsid w:val="008A2B26"/>
    <w:rsid w:val="008A3869"/>
    <w:rsid w:val="008A4C95"/>
    <w:rsid w:val="008A68AE"/>
    <w:rsid w:val="008A6A64"/>
    <w:rsid w:val="008A7212"/>
    <w:rsid w:val="008A79B5"/>
    <w:rsid w:val="008B14E9"/>
    <w:rsid w:val="008B26E4"/>
    <w:rsid w:val="008B2E86"/>
    <w:rsid w:val="008B4133"/>
    <w:rsid w:val="008B4232"/>
    <w:rsid w:val="008B4822"/>
    <w:rsid w:val="008B5CF4"/>
    <w:rsid w:val="008B6278"/>
    <w:rsid w:val="008B6865"/>
    <w:rsid w:val="008B6E9D"/>
    <w:rsid w:val="008B733C"/>
    <w:rsid w:val="008C03F8"/>
    <w:rsid w:val="008C0D80"/>
    <w:rsid w:val="008C1B09"/>
    <w:rsid w:val="008C1CDF"/>
    <w:rsid w:val="008C1DA3"/>
    <w:rsid w:val="008C3C82"/>
    <w:rsid w:val="008C4056"/>
    <w:rsid w:val="008C49FB"/>
    <w:rsid w:val="008C4B5B"/>
    <w:rsid w:val="008C56D2"/>
    <w:rsid w:val="008C5C2B"/>
    <w:rsid w:val="008C72ED"/>
    <w:rsid w:val="008D0733"/>
    <w:rsid w:val="008D0A29"/>
    <w:rsid w:val="008D10FF"/>
    <w:rsid w:val="008D127B"/>
    <w:rsid w:val="008D1647"/>
    <w:rsid w:val="008D197C"/>
    <w:rsid w:val="008D1BFE"/>
    <w:rsid w:val="008D1D8C"/>
    <w:rsid w:val="008D1EA3"/>
    <w:rsid w:val="008D1F4C"/>
    <w:rsid w:val="008D29DE"/>
    <w:rsid w:val="008D2AA6"/>
    <w:rsid w:val="008D2B65"/>
    <w:rsid w:val="008D2B7B"/>
    <w:rsid w:val="008D2C2B"/>
    <w:rsid w:val="008D35CC"/>
    <w:rsid w:val="008D46BF"/>
    <w:rsid w:val="008D5FBD"/>
    <w:rsid w:val="008D776B"/>
    <w:rsid w:val="008D7B5A"/>
    <w:rsid w:val="008DF982"/>
    <w:rsid w:val="008E1C8D"/>
    <w:rsid w:val="008E3548"/>
    <w:rsid w:val="008E5594"/>
    <w:rsid w:val="008E5684"/>
    <w:rsid w:val="008E5D2E"/>
    <w:rsid w:val="008E7549"/>
    <w:rsid w:val="008F06C7"/>
    <w:rsid w:val="008F0B82"/>
    <w:rsid w:val="008F173A"/>
    <w:rsid w:val="008F17A2"/>
    <w:rsid w:val="008F2119"/>
    <w:rsid w:val="008F4477"/>
    <w:rsid w:val="008F5A51"/>
    <w:rsid w:val="008F5DEB"/>
    <w:rsid w:val="008F61A9"/>
    <w:rsid w:val="008F6223"/>
    <w:rsid w:val="008F69F8"/>
    <w:rsid w:val="008F6DC8"/>
    <w:rsid w:val="008F7671"/>
    <w:rsid w:val="00900E1D"/>
    <w:rsid w:val="00901919"/>
    <w:rsid w:val="00903C49"/>
    <w:rsid w:val="00903C97"/>
    <w:rsid w:val="00904041"/>
    <w:rsid w:val="00904EB7"/>
    <w:rsid w:val="0090D7BE"/>
    <w:rsid w:val="0091058E"/>
    <w:rsid w:val="00911172"/>
    <w:rsid w:val="0091127A"/>
    <w:rsid w:val="00911430"/>
    <w:rsid w:val="00911DAA"/>
    <w:rsid w:val="00911DBD"/>
    <w:rsid w:val="00913F3A"/>
    <w:rsid w:val="00915101"/>
    <w:rsid w:val="0091577E"/>
    <w:rsid w:val="00915ECC"/>
    <w:rsid w:val="00916074"/>
    <w:rsid w:val="00916696"/>
    <w:rsid w:val="0091692E"/>
    <w:rsid w:val="00917100"/>
    <w:rsid w:val="00917181"/>
    <w:rsid w:val="00917498"/>
    <w:rsid w:val="00917CE6"/>
    <w:rsid w:val="00920055"/>
    <w:rsid w:val="00921572"/>
    <w:rsid w:val="009218B1"/>
    <w:rsid w:val="0092443A"/>
    <w:rsid w:val="00924643"/>
    <w:rsid w:val="00926DEB"/>
    <w:rsid w:val="0092791D"/>
    <w:rsid w:val="00931227"/>
    <w:rsid w:val="0093154F"/>
    <w:rsid w:val="00932420"/>
    <w:rsid w:val="009327B5"/>
    <w:rsid w:val="009344DA"/>
    <w:rsid w:val="00934882"/>
    <w:rsid w:val="00934B20"/>
    <w:rsid w:val="00934CC3"/>
    <w:rsid w:val="00935FBF"/>
    <w:rsid w:val="009370F3"/>
    <w:rsid w:val="009402F6"/>
    <w:rsid w:val="00940A5E"/>
    <w:rsid w:val="00941F9C"/>
    <w:rsid w:val="00942A56"/>
    <w:rsid w:val="00943537"/>
    <w:rsid w:val="00943DCD"/>
    <w:rsid w:val="0094433E"/>
    <w:rsid w:val="0094440D"/>
    <w:rsid w:val="0094562A"/>
    <w:rsid w:val="00945A69"/>
    <w:rsid w:val="009472F3"/>
    <w:rsid w:val="0094732D"/>
    <w:rsid w:val="009478BB"/>
    <w:rsid w:val="00950FD4"/>
    <w:rsid w:val="00951452"/>
    <w:rsid w:val="0095316C"/>
    <w:rsid w:val="00954ECF"/>
    <w:rsid w:val="0095724F"/>
    <w:rsid w:val="00960A4E"/>
    <w:rsid w:val="009611CE"/>
    <w:rsid w:val="00962AA4"/>
    <w:rsid w:val="0096369B"/>
    <w:rsid w:val="0096529D"/>
    <w:rsid w:val="00965493"/>
    <w:rsid w:val="00965525"/>
    <w:rsid w:val="00965CE1"/>
    <w:rsid w:val="00967A83"/>
    <w:rsid w:val="0097060F"/>
    <w:rsid w:val="009711AE"/>
    <w:rsid w:val="00972AAA"/>
    <w:rsid w:val="00973AE6"/>
    <w:rsid w:val="00973FD1"/>
    <w:rsid w:val="009744B6"/>
    <w:rsid w:val="0097465E"/>
    <w:rsid w:val="00974BCF"/>
    <w:rsid w:val="0097504F"/>
    <w:rsid w:val="0097597B"/>
    <w:rsid w:val="00975B3A"/>
    <w:rsid w:val="00976419"/>
    <w:rsid w:val="00976605"/>
    <w:rsid w:val="009778E4"/>
    <w:rsid w:val="009804E6"/>
    <w:rsid w:val="00981365"/>
    <w:rsid w:val="0098214F"/>
    <w:rsid w:val="00985113"/>
    <w:rsid w:val="009859B7"/>
    <w:rsid w:val="00985D2D"/>
    <w:rsid w:val="00985D9A"/>
    <w:rsid w:val="0098615A"/>
    <w:rsid w:val="009870C3"/>
    <w:rsid w:val="009906F3"/>
    <w:rsid w:val="00991C43"/>
    <w:rsid w:val="00991CA0"/>
    <w:rsid w:val="00991FD3"/>
    <w:rsid w:val="009922C2"/>
    <w:rsid w:val="00992390"/>
    <w:rsid w:val="009926D9"/>
    <w:rsid w:val="009934BE"/>
    <w:rsid w:val="00993A4F"/>
    <w:rsid w:val="009940FC"/>
    <w:rsid w:val="00995236"/>
    <w:rsid w:val="00996B06"/>
    <w:rsid w:val="0099731C"/>
    <w:rsid w:val="009A00BE"/>
    <w:rsid w:val="009A0492"/>
    <w:rsid w:val="009A09B7"/>
    <w:rsid w:val="009A1439"/>
    <w:rsid w:val="009A1E07"/>
    <w:rsid w:val="009A2133"/>
    <w:rsid w:val="009A2FBA"/>
    <w:rsid w:val="009A3152"/>
    <w:rsid w:val="009A6A77"/>
    <w:rsid w:val="009A74C3"/>
    <w:rsid w:val="009A7565"/>
    <w:rsid w:val="009B154A"/>
    <w:rsid w:val="009B18E2"/>
    <w:rsid w:val="009B28BB"/>
    <w:rsid w:val="009B2ADF"/>
    <w:rsid w:val="009B33B6"/>
    <w:rsid w:val="009B65A9"/>
    <w:rsid w:val="009B681A"/>
    <w:rsid w:val="009B6DF7"/>
    <w:rsid w:val="009B7315"/>
    <w:rsid w:val="009C0F45"/>
    <w:rsid w:val="009C0F5F"/>
    <w:rsid w:val="009C0FAD"/>
    <w:rsid w:val="009C2035"/>
    <w:rsid w:val="009C26D3"/>
    <w:rsid w:val="009C3636"/>
    <w:rsid w:val="009C4707"/>
    <w:rsid w:val="009C4A9A"/>
    <w:rsid w:val="009C5081"/>
    <w:rsid w:val="009C558A"/>
    <w:rsid w:val="009C76AC"/>
    <w:rsid w:val="009C99D9"/>
    <w:rsid w:val="009D09D1"/>
    <w:rsid w:val="009D111D"/>
    <w:rsid w:val="009D1BDC"/>
    <w:rsid w:val="009D2D04"/>
    <w:rsid w:val="009D5467"/>
    <w:rsid w:val="009D5486"/>
    <w:rsid w:val="009D685A"/>
    <w:rsid w:val="009D6B0A"/>
    <w:rsid w:val="009DD40E"/>
    <w:rsid w:val="009E055A"/>
    <w:rsid w:val="009E059D"/>
    <w:rsid w:val="009E292A"/>
    <w:rsid w:val="009E379D"/>
    <w:rsid w:val="009E44F3"/>
    <w:rsid w:val="009E5895"/>
    <w:rsid w:val="009E73B5"/>
    <w:rsid w:val="009F1BA8"/>
    <w:rsid w:val="009F1BCD"/>
    <w:rsid w:val="009F1D17"/>
    <w:rsid w:val="009F1FF5"/>
    <w:rsid w:val="009F3059"/>
    <w:rsid w:val="009F3484"/>
    <w:rsid w:val="009F3D44"/>
    <w:rsid w:val="009F6AE1"/>
    <w:rsid w:val="009F795A"/>
    <w:rsid w:val="00A000A7"/>
    <w:rsid w:val="00A008C4"/>
    <w:rsid w:val="00A00D87"/>
    <w:rsid w:val="00A01439"/>
    <w:rsid w:val="00A01DE7"/>
    <w:rsid w:val="00A02F55"/>
    <w:rsid w:val="00A038E2"/>
    <w:rsid w:val="00A039C4"/>
    <w:rsid w:val="00A056D2"/>
    <w:rsid w:val="00A057AE"/>
    <w:rsid w:val="00A06254"/>
    <w:rsid w:val="00A06593"/>
    <w:rsid w:val="00A07026"/>
    <w:rsid w:val="00A0737E"/>
    <w:rsid w:val="00A07C28"/>
    <w:rsid w:val="00A1035E"/>
    <w:rsid w:val="00A116C0"/>
    <w:rsid w:val="00A11761"/>
    <w:rsid w:val="00A121D6"/>
    <w:rsid w:val="00A12A72"/>
    <w:rsid w:val="00A14B7E"/>
    <w:rsid w:val="00A14C68"/>
    <w:rsid w:val="00A14E5F"/>
    <w:rsid w:val="00A15021"/>
    <w:rsid w:val="00A1744A"/>
    <w:rsid w:val="00A17FA1"/>
    <w:rsid w:val="00A202AC"/>
    <w:rsid w:val="00A208A8"/>
    <w:rsid w:val="00A20E88"/>
    <w:rsid w:val="00A225E1"/>
    <w:rsid w:val="00A22C21"/>
    <w:rsid w:val="00A22FB2"/>
    <w:rsid w:val="00A2372E"/>
    <w:rsid w:val="00A23B67"/>
    <w:rsid w:val="00A23FFF"/>
    <w:rsid w:val="00A25847"/>
    <w:rsid w:val="00A26DC6"/>
    <w:rsid w:val="00A2705C"/>
    <w:rsid w:val="00A31EA4"/>
    <w:rsid w:val="00A32191"/>
    <w:rsid w:val="00A32E36"/>
    <w:rsid w:val="00A33A9E"/>
    <w:rsid w:val="00A33CBC"/>
    <w:rsid w:val="00A350E0"/>
    <w:rsid w:val="00A360C9"/>
    <w:rsid w:val="00A36782"/>
    <w:rsid w:val="00A36E88"/>
    <w:rsid w:val="00A372B7"/>
    <w:rsid w:val="00A37316"/>
    <w:rsid w:val="00A37325"/>
    <w:rsid w:val="00A37CEF"/>
    <w:rsid w:val="00A413E0"/>
    <w:rsid w:val="00A423DB"/>
    <w:rsid w:val="00A423E9"/>
    <w:rsid w:val="00A425A6"/>
    <w:rsid w:val="00A42AB8"/>
    <w:rsid w:val="00A43612"/>
    <w:rsid w:val="00A4478B"/>
    <w:rsid w:val="00A471F5"/>
    <w:rsid w:val="00A4A228"/>
    <w:rsid w:val="00A4B94B"/>
    <w:rsid w:val="00A50257"/>
    <w:rsid w:val="00A53319"/>
    <w:rsid w:val="00A53FF6"/>
    <w:rsid w:val="00A544C8"/>
    <w:rsid w:val="00A55ACB"/>
    <w:rsid w:val="00A5605E"/>
    <w:rsid w:val="00A5685D"/>
    <w:rsid w:val="00A57BF6"/>
    <w:rsid w:val="00A6057A"/>
    <w:rsid w:val="00A611FA"/>
    <w:rsid w:val="00A61C50"/>
    <w:rsid w:val="00A61F84"/>
    <w:rsid w:val="00A620D6"/>
    <w:rsid w:val="00A620F1"/>
    <w:rsid w:val="00A63643"/>
    <w:rsid w:val="00A63B82"/>
    <w:rsid w:val="00A64102"/>
    <w:rsid w:val="00A6475B"/>
    <w:rsid w:val="00A65C78"/>
    <w:rsid w:val="00A665DC"/>
    <w:rsid w:val="00A673A6"/>
    <w:rsid w:val="00A707DB"/>
    <w:rsid w:val="00A7086A"/>
    <w:rsid w:val="00A70EBD"/>
    <w:rsid w:val="00A71CBF"/>
    <w:rsid w:val="00A73324"/>
    <w:rsid w:val="00A76136"/>
    <w:rsid w:val="00A7672D"/>
    <w:rsid w:val="00A774FE"/>
    <w:rsid w:val="00A77794"/>
    <w:rsid w:val="00A77C8C"/>
    <w:rsid w:val="00A8019F"/>
    <w:rsid w:val="00A806B1"/>
    <w:rsid w:val="00A81413"/>
    <w:rsid w:val="00A824AA"/>
    <w:rsid w:val="00A845F7"/>
    <w:rsid w:val="00A849A4"/>
    <w:rsid w:val="00A84A35"/>
    <w:rsid w:val="00A84DEC"/>
    <w:rsid w:val="00A858C5"/>
    <w:rsid w:val="00A85F0B"/>
    <w:rsid w:val="00A86393"/>
    <w:rsid w:val="00A87501"/>
    <w:rsid w:val="00A8780F"/>
    <w:rsid w:val="00A87C35"/>
    <w:rsid w:val="00A91C3F"/>
    <w:rsid w:val="00A93728"/>
    <w:rsid w:val="00A93FA1"/>
    <w:rsid w:val="00A94899"/>
    <w:rsid w:val="00A95004"/>
    <w:rsid w:val="00AA0910"/>
    <w:rsid w:val="00AA11E3"/>
    <w:rsid w:val="00AA1C16"/>
    <w:rsid w:val="00AA2362"/>
    <w:rsid w:val="00AA30E1"/>
    <w:rsid w:val="00AA4590"/>
    <w:rsid w:val="00AA4A01"/>
    <w:rsid w:val="00AA4F5A"/>
    <w:rsid w:val="00AA569A"/>
    <w:rsid w:val="00AA68C3"/>
    <w:rsid w:val="00AA6E48"/>
    <w:rsid w:val="00AA7CF8"/>
    <w:rsid w:val="00AB0F85"/>
    <w:rsid w:val="00AB1FDE"/>
    <w:rsid w:val="00AB3493"/>
    <w:rsid w:val="00AB393F"/>
    <w:rsid w:val="00AB6F2B"/>
    <w:rsid w:val="00AB6FD4"/>
    <w:rsid w:val="00AB7473"/>
    <w:rsid w:val="00AB777B"/>
    <w:rsid w:val="00AC0000"/>
    <w:rsid w:val="00AC2A61"/>
    <w:rsid w:val="00AC31AE"/>
    <w:rsid w:val="00AC46D2"/>
    <w:rsid w:val="00AC4852"/>
    <w:rsid w:val="00AC54DC"/>
    <w:rsid w:val="00AC5E0C"/>
    <w:rsid w:val="00AC6DB2"/>
    <w:rsid w:val="00AC6FD2"/>
    <w:rsid w:val="00AC71EC"/>
    <w:rsid w:val="00AD0DC1"/>
    <w:rsid w:val="00AD111F"/>
    <w:rsid w:val="00AD1706"/>
    <w:rsid w:val="00AD25C1"/>
    <w:rsid w:val="00AD269F"/>
    <w:rsid w:val="00AD3A7E"/>
    <w:rsid w:val="00AD4185"/>
    <w:rsid w:val="00AD448E"/>
    <w:rsid w:val="00AD6603"/>
    <w:rsid w:val="00AE01BE"/>
    <w:rsid w:val="00AE0581"/>
    <w:rsid w:val="00AE05CC"/>
    <w:rsid w:val="00AE190F"/>
    <w:rsid w:val="00AE2561"/>
    <w:rsid w:val="00AE2D7F"/>
    <w:rsid w:val="00AE371C"/>
    <w:rsid w:val="00AE4B51"/>
    <w:rsid w:val="00AE5131"/>
    <w:rsid w:val="00AE6C4C"/>
    <w:rsid w:val="00AE7423"/>
    <w:rsid w:val="00AE7C16"/>
    <w:rsid w:val="00AE7C61"/>
    <w:rsid w:val="00AECA87"/>
    <w:rsid w:val="00AF1F06"/>
    <w:rsid w:val="00AF3017"/>
    <w:rsid w:val="00AF3CF4"/>
    <w:rsid w:val="00AF47C4"/>
    <w:rsid w:val="00AF4D35"/>
    <w:rsid w:val="00AF7C0A"/>
    <w:rsid w:val="00B002C2"/>
    <w:rsid w:val="00B00442"/>
    <w:rsid w:val="00B004FE"/>
    <w:rsid w:val="00B00622"/>
    <w:rsid w:val="00B00F00"/>
    <w:rsid w:val="00B0130E"/>
    <w:rsid w:val="00B01762"/>
    <w:rsid w:val="00B02612"/>
    <w:rsid w:val="00B0293C"/>
    <w:rsid w:val="00B053AC"/>
    <w:rsid w:val="00B0584A"/>
    <w:rsid w:val="00B05BB5"/>
    <w:rsid w:val="00B06714"/>
    <w:rsid w:val="00B06903"/>
    <w:rsid w:val="00B06BF6"/>
    <w:rsid w:val="00B071E2"/>
    <w:rsid w:val="00B07553"/>
    <w:rsid w:val="00B0775C"/>
    <w:rsid w:val="00B0794F"/>
    <w:rsid w:val="00B07EF5"/>
    <w:rsid w:val="00B13FBB"/>
    <w:rsid w:val="00B14217"/>
    <w:rsid w:val="00B14C8E"/>
    <w:rsid w:val="00B168B9"/>
    <w:rsid w:val="00B1710F"/>
    <w:rsid w:val="00B17D4B"/>
    <w:rsid w:val="00B21704"/>
    <w:rsid w:val="00B2277C"/>
    <w:rsid w:val="00B23A29"/>
    <w:rsid w:val="00B25375"/>
    <w:rsid w:val="00B259B4"/>
    <w:rsid w:val="00B26B57"/>
    <w:rsid w:val="00B27065"/>
    <w:rsid w:val="00B27C53"/>
    <w:rsid w:val="00B30DFE"/>
    <w:rsid w:val="00B30F0F"/>
    <w:rsid w:val="00B333FA"/>
    <w:rsid w:val="00B34260"/>
    <w:rsid w:val="00B35249"/>
    <w:rsid w:val="00B36DCD"/>
    <w:rsid w:val="00B379A6"/>
    <w:rsid w:val="00B379AA"/>
    <w:rsid w:val="00B37EA2"/>
    <w:rsid w:val="00B37FCB"/>
    <w:rsid w:val="00B40B30"/>
    <w:rsid w:val="00B41EAC"/>
    <w:rsid w:val="00B42116"/>
    <w:rsid w:val="00B42322"/>
    <w:rsid w:val="00B42ED6"/>
    <w:rsid w:val="00B42F2E"/>
    <w:rsid w:val="00B43CAC"/>
    <w:rsid w:val="00B44144"/>
    <w:rsid w:val="00B444D3"/>
    <w:rsid w:val="00B46457"/>
    <w:rsid w:val="00B46BD2"/>
    <w:rsid w:val="00B475F3"/>
    <w:rsid w:val="00B4DF0E"/>
    <w:rsid w:val="00B52C57"/>
    <w:rsid w:val="00B52D3C"/>
    <w:rsid w:val="00B52DE2"/>
    <w:rsid w:val="00B530CB"/>
    <w:rsid w:val="00B53EB8"/>
    <w:rsid w:val="00B54D4D"/>
    <w:rsid w:val="00B5585C"/>
    <w:rsid w:val="00B5681D"/>
    <w:rsid w:val="00B56C2A"/>
    <w:rsid w:val="00B56E8F"/>
    <w:rsid w:val="00B575BF"/>
    <w:rsid w:val="00B607C9"/>
    <w:rsid w:val="00B60C4D"/>
    <w:rsid w:val="00B61629"/>
    <w:rsid w:val="00B6343C"/>
    <w:rsid w:val="00B644EE"/>
    <w:rsid w:val="00B701FB"/>
    <w:rsid w:val="00B70741"/>
    <w:rsid w:val="00B70C1A"/>
    <w:rsid w:val="00B7110E"/>
    <w:rsid w:val="00B71DED"/>
    <w:rsid w:val="00B72573"/>
    <w:rsid w:val="00B7261A"/>
    <w:rsid w:val="00B72BFF"/>
    <w:rsid w:val="00B73600"/>
    <w:rsid w:val="00B73ECA"/>
    <w:rsid w:val="00B740FC"/>
    <w:rsid w:val="00B742FF"/>
    <w:rsid w:val="00B7493A"/>
    <w:rsid w:val="00B75095"/>
    <w:rsid w:val="00B7596F"/>
    <w:rsid w:val="00B76284"/>
    <w:rsid w:val="00B767C7"/>
    <w:rsid w:val="00B76D6C"/>
    <w:rsid w:val="00B7771B"/>
    <w:rsid w:val="00B77F51"/>
    <w:rsid w:val="00B77FBF"/>
    <w:rsid w:val="00B80C5C"/>
    <w:rsid w:val="00B80EBA"/>
    <w:rsid w:val="00B81023"/>
    <w:rsid w:val="00B8105B"/>
    <w:rsid w:val="00B822C5"/>
    <w:rsid w:val="00B83215"/>
    <w:rsid w:val="00B84E88"/>
    <w:rsid w:val="00B84F7E"/>
    <w:rsid w:val="00B85E15"/>
    <w:rsid w:val="00B85E9B"/>
    <w:rsid w:val="00B864F1"/>
    <w:rsid w:val="00B86522"/>
    <w:rsid w:val="00B865F0"/>
    <w:rsid w:val="00B86F24"/>
    <w:rsid w:val="00B90FC3"/>
    <w:rsid w:val="00B918DF"/>
    <w:rsid w:val="00B93ABE"/>
    <w:rsid w:val="00B948AF"/>
    <w:rsid w:val="00B94932"/>
    <w:rsid w:val="00B96681"/>
    <w:rsid w:val="00BA04D6"/>
    <w:rsid w:val="00BA1197"/>
    <w:rsid w:val="00BA6314"/>
    <w:rsid w:val="00BA7237"/>
    <w:rsid w:val="00BB2788"/>
    <w:rsid w:val="00BB2BC0"/>
    <w:rsid w:val="00BB365B"/>
    <w:rsid w:val="00BB3B44"/>
    <w:rsid w:val="00BB3B52"/>
    <w:rsid w:val="00BB4510"/>
    <w:rsid w:val="00BB466B"/>
    <w:rsid w:val="00BB5CDD"/>
    <w:rsid w:val="00BC01FD"/>
    <w:rsid w:val="00BC0750"/>
    <w:rsid w:val="00BC0D96"/>
    <w:rsid w:val="00BC10CF"/>
    <w:rsid w:val="00BC1757"/>
    <w:rsid w:val="00BC1B94"/>
    <w:rsid w:val="00BC21A9"/>
    <w:rsid w:val="00BC2ED4"/>
    <w:rsid w:val="00BC3D7C"/>
    <w:rsid w:val="00BC46F7"/>
    <w:rsid w:val="00BC4E3F"/>
    <w:rsid w:val="00BC66D8"/>
    <w:rsid w:val="00BD13FC"/>
    <w:rsid w:val="00BD17A8"/>
    <w:rsid w:val="00BD1C12"/>
    <w:rsid w:val="00BD1C5F"/>
    <w:rsid w:val="00BD34BA"/>
    <w:rsid w:val="00BD35CE"/>
    <w:rsid w:val="00BD55B3"/>
    <w:rsid w:val="00BD66A6"/>
    <w:rsid w:val="00BD6D5D"/>
    <w:rsid w:val="00BE01DC"/>
    <w:rsid w:val="00BE0BFA"/>
    <w:rsid w:val="00BE2206"/>
    <w:rsid w:val="00BE2DEA"/>
    <w:rsid w:val="00BE2FC2"/>
    <w:rsid w:val="00BE32B2"/>
    <w:rsid w:val="00BE39AB"/>
    <w:rsid w:val="00BE4485"/>
    <w:rsid w:val="00BE451F"/>
    <w:rsid w:val="00BE54D8"/>
    <w:rsid w:val="00BE570D"/>
    <w:rsid w:val="00BE7404"/>
    <w:rsid w:val="00BE79DB"/>
    <w:rsid w:val="00BF026B"/>
    <w:rsid w:val="00BF04C5"/>
    <w:rsid w:val="00BF04FD"/>
    <w:rsid w:val="00BF1D61"/>
    <w:rsid w:val="00BF2CAF"/>
    <w:rsid w:val="00BF3C59"/>
    <w:rsid w:val="00BF3FB0"/>
    <w:rsid w:val="00BF484D"/>
    <w:rsid w:val="00BF59FB"/>
    <w:rsid w:val="00BF7927"/>
    <w:rsid w:val="00C00123"/>
    <w:rsid w:val="00C01B32"/>
    <w:rsid w:val="00C028E8"/>
    <w:rsid w:val="00C03550"/>
    <w:rsid w:val="00C0357E"/>
    <w:rsid w:val="00C044ED"/>
    <w:rsid w:val="00C04739"/>
    <w:rsid w:val="00C04B3E"/>
    <w:rsid w:val="00C04C36"/>
    <w:rsid w:val="00C06DD0"/>
    <w:rsid w:val="00C07767"/>
    <w:rsid w:val="00C078AC"/>
    <w:rsid w:val="00C1270C"/>
    <w:rsid w:val="00C13DB3"/>
    <w:rsid w:val="00C15E24"/>
    <w:rsid w:val="00C1713F"/>
    <w:rsid w:val="00C17914"/>
    <w:rsid w:val="00C179AD"/>
    <w:rsid w:val="00C17EA0"/>
    <w:rsid w:val="00C20A20"/>
    <w:rsid w:val="00C20C87"/>
    <w:rsid w:val="00C2188A"/>
    <w:rsid w:val="00C22F56"/>
    <w:rsid w:val="00C257D0"/>
    <w:rsid w:val="00C25939"/>
    <w:rsid w:val="00C3006D"/>
    <w:rsid w:val="00C31DDD"/>
    <w:rsid w:val="00C32385"/>
    <w:rsid w:val="00C32D7A"/>
    <w:rsid w:val="00C33A21"/>
    <w:rsid w:val="00C33C8A"/>
    <w:rsid w:val="00C343D0"/>
    <w:rsid w:val="00C34FF1"/>
    <w:rsid w:val="00C352D6"/>
    <w:rsid w:val="00C35606"/>
    <w:rsid w:val="00C36A1D"/>
    <w:rsid w:val="00C401F3"/>
    <w:rsid w:val="00C40C8F"/>
    <w:rsid w:val="00C4227D"/>
    <w:rsid w:val="00C4270C"/>
    <w:rsid w:val="00C42ADB"/>
    <w:rsid w:val="00C440AC"/>
    <w:rsid w:val="00C44233"/>
    <w:rsid w:val="00C45F62"/>
    <w:rsid w:val="00C45FF1"/>
    <w:rsid w:val="00C466C0"/>
    <w:rsid w:val="00C46DE0"/>
    <w:rsid w:val="00C46FFF"/>
    <w:rsid w:val="00C50923"/>
    <w:rsid w:val="00C51C9C"/>
    <w:rsid w:val="00C53329"/>
    <w:rsid w:val="00C535FE"/>
    <w:rsid w:val="00C53F7B"/>
    <w:rsid w:val="00C5502B"/>
    <w:rsid w:val="00C56D61"/>
    <w:rsid w:val="00C577C9"/>
    <w:rsid w:val="00C57EAC"/>
    <w:rsid w:val="00C60709"/>
    <w:rsid w:val="00C627BF"/>
    <w:rsid w:val="00C635A5"/>
    <w:rsid w:val="00C6418F"/>
    <w:rsid w:val="00C64682"/>
    <w:rsid w:val="00C650BF"/>
    <w:rsid w:val="00C65B84"/>
    <w:rsid w:val="00C666D8"/>
    <w:rsid w:val="00C679A4"/>
    <w:rsid w:val="00C709E3"/>
    <w:rsid w:val="00C72CFC"/>
    <w:rsid w:val="00C72ECD"/>
    <w:rsid w:val="00C73E26"/>
    <w:rsid w:val="00C74A5E"/>
    <w:rsid w:val="00C74F03"/>
    <w:rsid w:val="00C753D5"/>
    <w:rsid w:val="00C75CA7"/>
    <w:rsid w:val="00C766FA"/>
    <w:rsid w:val="00C7695F"/>
    <w:rsid w:val="00C76AE5"/>
    <w:rsid w:val="00C76E92"/>
    <w:rsid w:val="00C7755B"/>
    <w:rsid w:val="00C77631"/>
    <w:rsid w:val="00C80252"/>
    <w:rsid w:val="00C807C3"/>
    <w:rsid w:val="00C80A1D"/>
    <w:rsid w:val="00C80F9C"/>
    <w:rsid w:val="00C817CB"/>
    <w:rsid w:val="00C83251"/>
    <w:rsid w:val="00C83389"/>
    <w:rsid w:val="00C84263"/>
    <w:rsid w:val="00C842AF"/>
    <w:rsid w:val="00C85194"/>
    <w:rsid w:val="00C85855"/>
    <w:rsid w:val="00C858F6"/>
    <w:rsid w:val="00C87CDD"/>
    <w:rsid w:val="00C87DA4"/>
    <w:rsid w:val="00C900AA"/>
    <w:rsid w:val="00C9089F"/>
    <w:rsid w:val="00C90960"/>
    <w:rsid w:val="00C90965"/>
    <w:rsid w:val="00C9115D"/>
    <w:rsid w:val="00C91C21"/>
    <w:rsid w:val="00C91FA9"/>
    <w:rsid w:val="00C94909"/>
    <w:rsid w:val="00C959B6"/>
    <w:rsid w:val="00C96613"/>
    <w:rsid w:val="00CA08F9"/>
    <w:rsid w:val="00CA2A69"/>
    <w:rsid w:val="00CA2DB2"/>
    <w:rsid w:val="00CA2E51"/>
    <w:rsid w:val="00CA3C59"/>
    <w:rsid w:val="00CA3CF8"/>
    <w:rsid w:val="00CA3EE4"/>
    <w:rsid w:val="00CA4C66"/>
    <w:rsid w:val="00CA5933"/>
    <w:rsid w:val="00CA5F42"/>
    <w:rsid w:val="00CA6A44"/>
    <w:rsid w:val="00CA71CE"/>
    <w:rsid w:val="00CB0433"/>
    <w:rsid w:val="00CB072F"/>
    <w:rsid w:val="00CB173E"/>
    <w:rsid w:val="00CB1AEF"/>
    <w:rsid w:val="00CB2567"/>
    <w:rsid w:val="00CB3256"/>
    <w:rsid w:val="00CB4307"/>
    <w:rsid w:val="00CB430D"/>
    <w:rsid w:val="00CB5AF3"/>
    <w:rsid w:val="00CB62CA"/>
    <w:rsid w:val="00CB6DB9"/>
    <w:rsid w:val="00CB7C54"/>
    <w:rsid w:val="00CC0129"/>
    <w:rsid w:val="00CC0287"/>
    <w:rsid w:val="00CC02E4"/>
    <w:rsid w:val="00CC02EA"/>
    <w:rsid w:val="00CC123B"/>
    <w:rsid w:val="00CC1B0C"/>
    <w:rsid w:val="00CC3084"/>
    <w:rsid w:val="00CC3E05"/>
    <w:rsid w:val="00CC4A98"/>
    <w:rsid w:val="00CC4B14"/>
    <w:rsid w:val="00CC5260"/>
    <w:rsid w:val="00CC5BB3"/>
    <w:rsid w:val="00CC73D8"/>
    <w:rsid w:val="00CD0188"/>
    <w:rsid w:val="00CD1CE3"/>
    <w:rsid w:val="00CD2A70"/>
    <w:rsid w:val="00CD329F"/>
    <w:rsid w:val="00CD3949"/>
    <w:rsid w:val="00CD56F7"/>
    <w:rsid w:val="00CD6CBD"/>
    <w:rsid w:val="00CD72B6"/>
    <w:rsid w:val="00CE126D"/>
    <w:rsid w:val="00CE1C5A"/>
    <w:rsid w:val="00CE1D3A"/>
    <w:rsid w:val="00CE2423"/>
    <w:rsid w:val="00CE4BB0"/>
    <w:rsid w:val="00CE6617"/>
    <w:rsid w:val="00CE6759"/>
    <w:rsid w:val="00CE76BF"/>
    <w:rsid w:val="00CE79CD"/>
    <w:rsid w:val="00CF00F2"/>
    <w:rsid w:val="00CF2097"/>
    <w:rsid w:val="00CF2A43"/>
    <w:rsid w:val="00CF5167"/>
    <w:rsid w:val="00CF5427"/>
    <w:rsid w:val="00CF56D5"/>
    <w:rsid w:val="00CF650F"/>
    <w:rsid w:val="00CF681E"/>
    <w:rsid w:val="00D007BE"/>
    <w:rsid w:val="00D013BF"/>
    <w:rsid w:val="00D0343A"/>
    <w:rsid w:val="00D037DE"/>
    <w:rsid w:val="00D0591F"/>
    <w:rsid w:val="00D061E2"/>
    <w:rsid w:val="00D063BF"/>
    <w:rsid w:val="00D06A46"/>
    <w:rsid w:val="00D074E5"/>
    <w:rsid w:val="00D07951"/>
    <w:rsid w:val="00D07983"/>
    <w:rsid w:val="00D1078D"/>
    <w:rsid w:val="00D15BA0"/>
    <w:rsid w:val="00D16086"/>
    <w:rsid w:val="00D171F5"/>
    <w:rsid w:val="00D205B5"/>
    <w:rsid w:val="00D206C9"/>
    <w:rsid w:val="00D20936"/>
    <w:rsid w:val="00D222A6"/>
    <w:rsid w:val="00D22D45"/>
    <w:rsid w:val="00D23B6D"/>
    <w:rsid w:val="00D24550"/>
    <w:rsid w:val="00D25C96"/>
    <w:rsid w:val="00D27319"/>
    <w:rsid w:val="00D30B4A"/>
    <w:rsid w:val="00D33248"/>
    <w:rsid w:val="00D334BD"/>
    <w:rsid w:val="00D33910"/>
    <w:rsid w:val="00D3540A"/>
    <w:rsid w:val="00D35DF4"/>
    <w:rsid w:val="00D3664D"/>
    <w:rsid w:val="00D36E5D"/>
    <w:rsid w:val="00D36EA2"/>
    <w:rsid w:val="00D37970"/>
    <w:rsid w:val="00D4077D"/>
    <w:rsid w:val="00D40AD8"/>
    <w:rsid w:val="00D43BA2"/>
    <w:rsid w:val="00D44397"/>
    <w:rsid w:val="00D44CBE"/>
    <w:rsid w:val="00D451AB"/>
    <w:rsid w:val="00D4598B"/>
    <w:rsid w:val="00D46838"/>
    <w:rsid w:val="00D46BBC"/>
    <w:rsid w:val="00D46E32"/>
    <w:rsid w:val="00D47213"/>
    <w:rsid w:val="00D50616"/>
    <w:rsid w:val="00D50E74"/>
    <w:rsid w:val="00D51612"/>
    <w:rsid w:val="00D51A1C"/>
    <w:rsid w:val="00D52169"/>
    <w:rsid w:val="00D52988"/>
    <w:rsid w:val="00D52A20"/>
    <w:rsid w:val="00D52FD4"/>
    <w:rsid w:val="00D53F8A"/>
    <w:rsid w:val="00D54AF4"/>
    <w:rsid w:val="00D54F69"/>
    <w:rsid w:val="00D55029"/>
    <w:rsid w:val="00D55448"/>
    <w:rsid w:val="00D556B1"/>
    <w:rsid w:val="00D565BC"/>
    <w:rsid w:val="00D56AE0"/>
    <w:rsid w:val="00D56B27"/>
    <w:rsid w:val="00D574AE"/>
    <w:rsid w:val="00D578E6"/>
    <w:rsid w:val="00D602A4"/>
    <w:rsid w:val="00D602DF"/>
    <w:rsid w:val="00D6041B"/>
    <w:rsid w:val="00D60609"/>
    <w:rsid w:val="00D60E5D"/>
    <w:rsid w:val="00D6261B"/>
    <w:rsid w:val="00D62EE0"/>
    <w:rsid w:val="00D635CF"/>
    <w:rsid w:val="00D63B6B"/>
    <w:rsid w:val="00D64686"/>
    <w:rsid w:val="00D64B8B"/>
    <w:rsid w:val="00D65E29"/>
    <w:rsid w:val="00D6663F"/>
    <w:rsid w:val="00D666F1"/>
    <w:rsid w:val="00D66E96"/>
    <w:rsid w:val="00D700EB"/>
    <w:rsid w:val="00D70AC8"/>
    <w:rsid w:val="00D70D19"/>
    <w:rsid w:val="00D730CA"/>
    <w:rsid w:val="00D74728"/>
    <w:rsid w:val="00D74FEC"/>
    <w:rsid w:val="00D7677E"/>
    <w:rsid w:val="00D769BD"/>
    <w:rsid w:val="00D770CC"/>
    <w:rsid w:val="00D77404"/>
    <w:rsid w:val="00D7AD9E"/>
    <w:rsid w:val="00D80FB7"/>
    <w:rsid w:val="00D8262D"/>
    <w:rsid w:val="00D83131"/>
    <w:rsid w:val="00D8343A"/>
    <w:rsid w:val="00D83FE7"/>
    <w:rsid w:val="00D8408B"/>
    <w:rsid w:val="00D84BCD"/>
    <w:rsid w:val="00D84C66"/>
    <w:rsid w:val="00D85273"/>
    <w:rsid w:val="00D85463"/>
    <w:rsid w:val="00D85BD5"/>
    <w:rsid w:val="00D865DE"/>
    <w:rsid w:val="00D8721D"/>
    <w:rsid w:val="00D87D53"/>
    <w:rsid w:val="00D91D8A"/>
    <w:rsid w:val="00D91EF7"/>
    <w:rsid w:val="00D923BB"/>
    <w:rsid w:val="00D92C40"/>
    <w:rsid w:val="00D93027"/>
    <w:rsid w:val="00D930AD"/>
    <w:rsid w:val="00D93337"/>
    <w:rsid w:val="00D9432E"/>
    <w:rsid w:val="00D945FA"/>
    <w:rsid w:val="00D95663"/>
    <w:rsid w:val="00D9630C"/>
    <w:rsid w:val="00D96771"/>
    <w:rsid w:val="00D96B14"/>
    <w:rsid w:val="00D971CA"/>
    <w:rsid w:val="00D974F6"/>
    <w:rsid w:val="00DA0492"/>
    <w:rsid w:val="00DA07BC"/>
    <w:rsid w:val="00DA12D0"/>
    <w:rsid w:val="00DA254A"/>
    <w:rsid w:val="00DA33D8"/>
    <w:rsid w:val="00DA3CCE"/>
    <w:rsid w:val="00DA44E1"/>
    <w:rsid w:val="00DA55C3"/>
    <w:rsid w:val="00DA581D"/>
    <w:rsid w:val="00DA5C53"/>
    <w:rsid w:val="00DA6486"/>
    <w:rsid w:val="00DA6AA1"/>
    <w:rsid w:val="00DA6EE5"/>
    <w:rsid w:val="00DB3C38"/>
    <w:rsid w:val="00DB43CB"/>
    <w:rsid w:val="00DB5478"/>
    <w:rsid w:val="00DC2CA1"/>
    <w:rsid w:val="00DC3819"/>
    <w:rsid w:val="00DC38B2"/>
    <w:rsid w:val="00DC44C5"/>
    <w:rsid w:val="00DC4F44"/>
    <w:rsid w:val="00DC56EA"/>
    <w:rsid w:val="00DC5741"/>
    <w:rsid w:val="00DC5A41"/>
    <w:rsid w:val="00DC74DD"/>
    <w:rsid w:val="00DC7F9C"/>
    <w:rsid w:val="00DD0034"/>
    <w:rsid w:val="00DD01BE"/>
    <w:rsid w:val="00DD04AC"/>
    <w:rsid w:val="00DD07A2"/>
    <w:rsid w:val="00DD1516"/>
    <w:rsid w:val="00DD1E8D"/>
    <w:rsid w:val="00DD3601"/>
    <w:rsid w:val="00DD38F2"/>
    <w:rsid w:val="00DD396A"/>
    <w:rsid w:val="00DD3BD9"/>
    <w:rsid w:val="00DD5264"/>
    <w:rsid w:val="00DD60F2"/>
    <w:rsid w:val="00DD6B86"/>
    <w:rsid w:val="00DD7193"/>
    <w:rsid w:val="00DD7FE9"/>
    <w:rsid w:val="00DE0C52"/>
    <w:rsid w:val="00DE17FF"/>
    <w:rsid w:val="00DE18F3"/>
    <w:rsid w:val="00DE198A"/>
    <w:rsid w:val="00DE58B0"/>
    <w:rsid w:val="00DE5D26"/>
    <w:rsid w:val="00DE77F0"/>
    <w:rsid w:val="00DEF537"/>
    <w:rsid w:val="00DF052B"/>
    <w:rsid w:val="00DF10A5"/>
    <w:rsid w:val="00DF1219"/>
    <w:rsid w:val="00DF1430"/>
    <w:rsid w:val="00DF2141"/>
    <w:rsid w:val="00DF428E"/>
    <w:rsid w:val="00DF55F3"/>
    <w:rsid w:val="00DF7CD7"/>
    <w:rsid w:val="00E00C0E"/>
    <w:rsid w:val="00E01862"/>
    <w:rsid w:val="00E019B2"/>
    <w:rsid w:val="00E02486"/>
    <w:rsid w:val="00E02FCB"/>
    <w:rsid w:val="00E03467"/>
    <w:rsid w:val="00E042AC"/>
    <w:rsid w:val="00E055C7"/>
    <w:rsid w:val="00E0A7E0"/>
    <w:rsid w:val="00E12193"/>
    <w:rsid w:val="00E12621"/>
    <w:rsid w:val="00E12D2B"/>
    <w:rsid w:val="00E13531"/>
    <w:rsid w:val="00E148CB"/>
    <w:rsid w:val="00E1508A"/>
    <w:rsid w:val="00E15636"/>
    <w:rsid w:val="00E15DDA"/>
    <w:rsid w:val="00E15F98"/>
    <w:rsid w:val="00E16B1A"/>
    <w:rsid w:val="00E16D74"/>
    <w:rsid w:val="00E201C5"/>
    <w:rsid w:val="00E20866"/>
    <w:rsid w:val="00E2158B"/>
    <w:rsid w:val="00E21ED3"/>
    <w:rsid w:val="00E23961"/>
    <w:rsid w:val="00E242F4"/>
    <w:rsid w:val="00E24547"/>
    <w:rsid w:val="00E25A94"/>
    <w:rsid w:val="00E25D2E"/>
    <w:rsid w:val="00E2683D"/>
    <w:rsid w:val="00E26B34"/>
    <w:rsid w:val="00E26E28"/>
    <w:rsid w:val="00E27F2B"/>
    <w:rsid w:val="00E2E798"/>
    <w:rsid w:val="00E309AA"/>
    <w:rsid w:val="00E31433"/>
    <w:rsid w:val="00E31D68"/>
    <w:rsid w:val="00E33002"/>
    <w:rsid w:val="00E335E0"/>
    <w:rsid w:val="00E335E7"/>
    <w:rsid w:val="00E3397E"/>
    <w:rsid w:val="00E33AC8"/>
    <w:rsid w:val="00E347E6"/>
    <w:rsid w:val="00E34A9D"/>
    <w:rsid w:val="00E34E1F"/>
    <w:rsid w:val="00E37140"/>
    <w:rsid w:val="00E3744B"/>
    <w:rsid w:val="00E43639"/>
    <w:rsid w:val="00E43CD3"/>
    <w:rsid w:val="00E44327"/>
    <w:rsid w:val="00E453E5"/>
    <w:rsid w:val="00E45DB8"/>
    <w:rsid w:val="00E467EF"/>
    <w:rsid w:val="00E46987"/>
    <w:rsid w:val="00E46A6F"/>
    <w:rsid w:val="00E50BCC"/>
    <w:rsid w:val="00E51BA7"/>
    <w:rsid w:val="00E52D9F"/>
    <w:rsid w:val="00E53307"/>
    <w:rsid w:val="00E53ABD"/>
    <w:rsid w:val="00E53ADA"/>
    <w:rsid w:val="00E54A55"/>
    <w:rsid w:val="00E54C52"/>
    <w:rsid w:val="00E56797"/>
    <w:rsid w:val="00E57379"/>
    <w:rsid w:val="00E6032F"/>
    <w:rsid w:val="00E60862"/>
    <w:rsid w:val="00E60D06"/>
    <w:rsid w:val="00E60F5A"/>
    <w:rsid w:val="00E618C3"/>
    <w:rsid w:val="00E6344A"/>
    <w:rsid w:val="00E64362"/>
    <w:rsid w:val="00E64951"/>
    <w:rsid w:val="00E6531C"/>
    <w:rsid w:val="00E6638A"/>
    <w:rsid w:val="00E66FA9"/>
    <w:rsid w:val="00E670CD"/>
    <w:rsid w:val="00E674DA"/>
    <w:rsid w:val="00E67949"/>
    <w:rsid w:val="00E70D4E"/>
    <w:rsid w:val="00E72C29"/>
    <w:rsid w:val="00E73840"/>
    <w:rsid w:val="00E73996"/>
    <w:rsid w:val="00E73FB7"/>
    <w:rsid w:val="00E741BF"/>
    <w:rsid w:val="00E75A58"/>
    <w:rsid w:val="00E76781"/>
    <w:rsid w:val="00E77B3F"/>
    <w:rsid w:val="00E8143F"/>
    <w:rsid w:val="00E81606"/>
    <w:rsid w:val="00E8192C"/>
    <w:rsid w:val="00E8272C"/>
    <w:rsid w:val="00E82DE4"/>
    <w:rsid w:val="00E84900"/>
    <w:rsid w:val="00E84F2B"/>
    <w:rsid w:val="00E86501"/>
    <w:rsid w:val="00E86609"/>
    <w:rsid w:val="00E86E42"/>
    <w:rsid w:val="00E87F2E"/>
    <w:rsid w:val="00E9061F"/>
    <w:rsid w:val="00E91E71"/>
    <w:rsid w:val="00E92673"/>
    <w:rsid w:val="00E949FB"/>
    <w:rsid w:val="00E94E7A"/>
    <w:rsid w:val="00E95517"/>
    <w:rsid w:val="00E96215"/>
    <w:rsid w:val="00E963E7"/>
    <w:rsid w:val="00E97AB1"/>
    <w:rsid w:val="00E97ED6"/>
    <w:rsid w:val="00EA0D4A"/>
    <w:rsid w:val="00EA13C2"/>
    <w:rsid w:val="00EA2152"/>
    <w:rsid w:val="00EA25F3"/>
    <w:rsid w:val="00EA4B5E"/>
    <w:rsid w:val="00EA55A2"/>
    <w:rsid w:val="00EA5B37"/>
    <w:rsid w:val="00EA6124"/>
    <w:rsid w:val="00EA7793"/>
    <w:rsid w:val="00EB289D"/>
    <w:rsid w:val="00EB28D4"/>
    <w:rsid w:val="00EB38D6"/>
    <w:rsid w:val="00EB403B"/>
    <w:rsid w:val="00EB4557"/>
    <w:rsid w:val="00EB4D16"/>
    <w:rsid w:val="00EB5C03"/>
    <w:rsid w:val="00EB5F7A"/>
    <w:rsid w:val="00EB6921"/>
    <w:rsid w:val="00EB72C4"/>
    <w:rsid w:val="00EB72D8"/>
    <w:rsid w:val="00EB7957"/>
    <w:rsid w:val="00EB7A44"/>
    <w:rsid w:val="00EBAC84"/>
    <w:rsid w:val="00EC056C"/>
    <w:rsid w:val="00EC0841"/>
    <w:rsid w:val="00EC0F1B"/>
    <w:rsid w:val="00EC1041"/>
    <w:rsid w:val="00EC2D95"/>
    <w:rsid w:val="00EC43EA"/>
    <w:rsid w:val="00EC4E8A"/>
    <w:rsid w:val="00EC526B"/>
    <w:rsid w:val="00EC6F69"/>
    <w:rsid w:val="00EC7110"/>
    <w:rsid w:val="00EC7E8F"/>
    <w:rsid w:val="00ED0619"/>
    <w:rsid w:val="00ED24CA"/>
    <w:rsid w:val="00ED28BC"/>
    <w:rsid w:val="00ED2C46"/>
    <w:rsid w:val="00ED2EC2"/>
    <w:rsid w:val="00ED3229"/>
    <w:rsid w:val="00ED38A3"/>
    <w:rsid w:val="00ED3D83"/>
    <w:rsid w:val="00ED438B"/>
    <w:rsid w:val="00ED4BEE"/>
    <w:rsid w:val="00ED5A2D"/>
    <w:rsid w:val="00ED5F71"/>
    <w:rsid w:val="00ED5F98"/>
    <w:rsid w:val="00ED6164"/>
    <w:rsid w:val="00EE0A39"/>
    <w:rsid w:val="00EE0C99"/>
    <w:rsid w:val="00EE0FCE"/>
    <w:rsid w:val="00EE1FC7"/>
    <w:rsid w:val="00EE2C42"/>
    <w:rsid w:val="00EE39D3"/>
    <w:rsid w:val="00EE47E7"/>
    <w:rsid w:val="00EE5192"/>
    <w:rsid w:val="00EE55E4"/>
    <w:rsid w:val="00EE5985"/>
    <w:rsid w:val="00EE6A5F"/>
    <w:rsid w:val="00EE6E0A"/>
    <w:rsid w:val="00EE7C71"/>
    <w:rsid w:val="00EF11B3"/>
    <w:rsid w:val="00EF18EE"/>
    <w:rsid w:val="00EF2C4F"/>
    <w:rsid w:val="00EF306A"/>
    <w:rsid w:val="00EF30FC"/>
    <w:rsid w:val="00EF3D97"/>
    <w:rsid w:val="00EF68D0"/>
    <w:rsid w:val="00EF7636"/>
    <w:rsid w:val="00F01E95"/>
    <w:rsid w:val="00F02A0E"/>
    <w:rsid w:val="00F02A4C"/>
    <w:rsid w:val="00F033F0"/>
    <w:rsid w:val="00F05919"/>
    <w:rsid w:val="00F05D97"/>
    <w:rsid w:val="00F0694E"/>
    <w:rsid w:val="00F06F27"/>
    <w:rsid w:val="00F11B83"/>
    <w:rsid w:val="00F12123"/>
    <w:rsid w:val="00F1232E"/>
    <w:rsid w:val="00F12358"/>
    <w:rsid w:val="00F12DFE"/>
    <w:rsid w:val="00F1369B"/>
    <w:rsid w:val="00F13878"/>
    <w:rsid w:val="00F14EFA"/>
    <w:rsid w:val="00F16748"/>
    <w:rsid w:val="00F219D3"/>
    <w:rsid w:val="00F2204A"/>
    <w:rsid w:val="00F222E6"/>
    <w:rsid w:val="00F23F4D"/>
    <w:rsid w:val="00F246A9"/>
    <w:rsid w:val="00F252FE"/>
    <w:rsid w:val="00F25646"/>
    <w:rsid w:val="00F25A50"/>
    <w:rsid w:val="00F25C53"/>
    <w:rsid w:val="00F26389"/>
    <w:rsid w:val="00F27FBC"/>
    <w:rsid w:val="00F30166"/>
    <w:rsid w:val="00F311F9"/>
    <w:rsid w:val="00F326C7"/>
    <w:rsid w:val="00F342A4"/>
    <w:rsid w:val="00F3522D"/>
    <w:rsid w:val="00F35B86"/>
    <w:rsid w:val="00F35BC5"/>
    <w:rsid w:val="00F35C6B"/>
    <w:rsid w:val="00F35E9E"/>
    <w:rsid w:val="00F36344"/>
    <w:rsid w:val="00F37EBB"/>
    <w:rsid w:val="00F4136C"/>
    <w:rsid w:val="00F41767"/>
    <w:rsid w:val="00F4238E"/>
    <w:rsid w:val="00F4288C"/>
    <w:rsid w:val="00F429EC"/>
    <w:rsid w:val="00F432BE"/>
    <w:rsid w:val="00F43365"/>
    <w:rsid w:val="00F4388F"/>
    <w:rsid w:val="00F43A68"/>
    <w:rsid w:val="00F43B5F"/>
    <w:rsid w:val="00F443C4"/>
    <w:rsid w:val="00F44E4F"/>
    <w:rsid w:val="00F45838"/>
    <w:rsid w:val="00F469F8"/>
    <w:rsid w:val="00F46D59"/>
    <w:rsid w:val="00F46E30"/>
    <w:rsid w:val="00F477BC"/>
    <w:rsid w:val="00F50245"/>
    <w:rsid w:val="00F50786"/>
    <w:rsid w:val="00F529B0"/>
    <w:rsid w:val="00F5328D"/>
    <w:rsid w:val="00F53818"/>
    <w:rsid w:val="00F549A3"/>
    <w:rsid w:val="00F55095"/>
    <w:rsid w:val="00F55887"/>
    <w:rsid w:val="00F56379"/>
    <w:rsid w:val="00F56A12"/>
    <w:rsid w:val="00F57B22"/>
    <w:rsid w:val="00F61FB2"/>
    <w:rsid w:val="00F6230B"/>
    <w:rsid w:val="00F62C3B"/>
    <w:rsid w:val="00F631E2"/>
    <w:rsid w:val="00F63265"/>
    <w:rsid w:val="00F649DF"/>
    <w:rsid w:val="00F651BA"/>
    <w:rsid w:val="00F67808"/>
    <w:rsid w:val="00F67BCD"/>
    <w:rsid w:val="00F715A6"/>
    <w:rsid w:val="00F72106"/>
    <w:rsid w:val="00F73096"/>
    <w:rsid w:val="00F74187"/>
    <w:rsid w:val="00F74400"/>
    <w:rsid w:val="00F74406"/>
    <w:rsid w:val="00F747CF"/>
    <w:rsid w:val="00F75158"/>
    <w:rsid w:val="00F75A6B"/>
    <w:rsid w:val="00F75EA7"/>
    <w:rsid w:val="00F769C6"/>
    <w:rsid w:val="00F775EB"/>
    <w:rsid w:val="00F81757"/>
    <w:rsid w:val="00F8189A"/>
    <w:rsid w:val="00F83B01"/>
    <w:rsid w:val="00F83C75"/>
    <w:rsid w:val="00F84F0E"/>
    <w:rsid w:val="00F86634"/>
    <w:rsid w:val="00F86A97"/>
    <w:rsid w:val="00F871B2"/>
    <w:rsid w:val="00F87264"/>
    <w:rsid w:val="00F87D2E"/>
    <w:rsid w:val="00F908D0"/>
    <w:rsid w:val="00F91623"/>
    <w:rsid w:val="00F93596"/>
    <w:rsid w:val="00F937BC"/>
    <w:rsid w:val="00F94F94"/>
    <w:rsid w:val="00F950D5"/>
    <w:rsid w:val="00F95BFC"/>
    <w:rsid w:val="00F95EEA"/>
    <w:rsid w:val="00F96D00"/>
    <w:rsid w:val="00F973E9"/>
    <w:rsid w:val="00F97592"/>
    <w:rsid w:val="00F98860"/>
    <w:rsid w:val="00FA202F"/>
    <w:rsid w:val="00FA22AE"/>
    <w:rsid w:val="00FA24ED"/>
    <w:rsid w:val="00FA2833"/>
    <w:rsid w:val="00FA550D"/>
    <w:rsid w:val="00FA70C6"/>
    <w:rsid w:val="00FB0A0A"/>
    <w:rsid w:val="00FB1720"/>
    <w:rsid w:val="00FB17DF"/>
    <w:rsid w:val="00FB3405"/>
    <w:rsid w:val="00FB35FD"/>
    <w:rsid w:val="00FB3F28"/>
    <w:rsid w:val="00FB40B1"/>
    <w:rsid w:val="00FB47F7"/>
    <w:rsid w:val="00FB5493"/>
    <w:rsid w:val="00FB55EF"/>
    <w:rsid w:val="00FB5FCE"/>
    <w:rsid w:val="00FB7405"/>
    <w:rsid w:val="00FC06E0"/>
    <w:rsid w:val="00FC10F7"/>
    <w:rsid w:val="00FC2B6A"/>
    <w:rsid w:val="00FC3B0B"/>
    <w:rsid w:val="00FC5087"/>
    <w:rsid w:val="00FC611B"/>
    <w:rsid w:val="00FC719F"/>
    <w:rsid w:val="00FC799C"/>
    <w:rsid w:val="00FC7B66"/>
    <w:rsid w:val="00FCC2E9"/>
    <w:rsid w:val="00FD0874"/>
    <w:rsid w:val="00FD1498"/>
    <w:rsid w:val="00FD28F4"/>
    <w:rsid w:val="00FD2C9B"/>
    <w:rsid w:val="00FD479A"/>
    <w:rsid w:val="00FD54C8"/>
    <w:rsid w:val="00FD5B37"/>
    <w:rsid w:val="00FD5D89"/>
    <w:rsid w:val="00FD70E6"/>
    <w:rsid w:val="00FD7E25"/>
    <w:rsid w:val="00FE18DC"/>
    <w:rsid w:val="00FE1E2B"/>
    <w:rsid w:val="00FE2864"/>
    <w:rsid w:val="00FE4DAC"/>
    <w:rsid w:val="00FE53D0"/>
    <w:rsid w:val="00FE72AA"/>
    <w:rsid w:val="00FF033E"/>
    <w:rsid w:val="00FF1291"/>
    <w:rsid w:val="00FF1C21"/>
    <w:rsid w:val="00FF219A"/>
    <w:rsid w:val="00FF22D9"/>
    <w:rsid w:val="00FF2733"/>
    <w:rsid w:val="00FF3499"/>
    <w:rsid w:val="00FF4B06"/>
    <w:rsid w:val="00FF5563"/>
    <w:rsid w:val="00FF695E"/>
    <w:rsid w:val="01047397"/>
    <w:rsid w:val="01057311"/>
    <w:rsid w:val="010A7FED"/>
    <w:rsid w:val="010E00B4"/>
    <w:rsid w:val="0112B9BE"/>
    <w:rsid w:val="01186C23"/>
    <w:rsid w:val="0118E65E"/>
    <w:rsid w:val="011CC43F"/>
    <w:rsid w:val="011E3112"/>
    <w:rsid w:val="01206085"/>
    <w:rsid w:val="01209BFE"/>
    <w:rsid w:val="012784BB"/>
    <w:rsid w:val="01286037"/>
    <w:rsid w:val="012D1667"/>
    <w:rsid w:val="012F00C2"/>
    <w:rsid w:val="0131B685"/>
    <w:rsid w:val="01327409"/>
    <w:rsid w:val="0133DFF2"/>
    <w:rsid w:val="0134E354"/>
    <w:rsid w:val="013B54EC"/>
    <w:rsid w:val="013B5A84"/>
    <w:rsid w:val="013D6EDF"/>
    <w:rsid w:val="013DD715"/>
    <w:rsid w:val="014029FE"/>
    <w:rsid w:val="01453A73"/>
    <w:rsid w:val="01462B51"/>
    <w:rsid w:val="01479071"/>
    <w:rsid w:val="014D9F24"/>
    <w:rsid w:val="0156B55C"/>
    <w:rsid w:val="0156DB31"/>
    <w:rsid w:val="01581ADA"/>
    <w:rsid w:val="015ACD97"/>
    <w:rsid w:val="015C8ACE"/>
    <w:rsid w:val="015DAB06"/>
    <w:rsid w:val="015E14E3"/>
    <w:rsid w:val="0161C9C3"/>
    <w:rsid w:val="01627180"/>
    <w:rsid w:val="016285CC"/>
    <w:rsid w:val="0162C12E"/>
    <w:rsid w:val="0169C52C"/>
    <w:rsid w:val="016B3EC6"/>
    <w:rsid w:val="016B4DCF"/>
    <w:rsid w:val="016E6D7A"/>
    <w:rsid w:val="016FD098"/>
    <w:rsid w:val="0175000B"/>
    <w:rsid w:val="0175EBE1"/>
    <w:rsid w:val="0179220A"/>
    <w:rsid w:val="017EDE17"/>
    <w:rsid w:val="01801961"/>
    <w:rsid w:val="01819CBE"/>
    <w:rsid w:val="019A631A"/>
    <w:rsid w:val="019BD185"/>
    <w:rsid w:val="019BE486"/>
    <w:rsid w:val="019C3CBD"/>
    <w:rsid w:val="019E5F65"/>
    <w:rsid w:val="019F115B"/>
    <w:rsid w:val="01AE43EE"/>
    <w:rsid w:val="01B1BF70"/>
    <w:rsid w:val="01C8FF3F"/>
    <w:rsid w:val="01C90485"/>
    <w:rsid w:val="01CA99D6"/>
    <w:rsid w:val="01CBA514"/>
    <w:rsid w:val="01CD7BC5"/>
    <w:rsid w:val="01CE7630"/>
    <w:rsid w:val="01D5889D"/>
    <w:rsid w:val="01D7C2EC"/>
    <w:rsid w:val="01E29E86"/>
    <w:rsid w:val="01E8025A"/>
    <w:rsid w:val="01E887BF"/>
    <w:rsid w:val="01EDE3B7"/>
    <w:rsid w:val="01EFCE2F"/>
    <w:rsid w:val="01F25FB3"/>
    <w:rsid w:val="01F74EC0"/>
    <w:rsid w:val="01F8632C"/>
    <w:rsid w:val="01F9E016"/>
    <w:rsid w:val="01FA675F"/>
    <w:rsid w:val="01FE9730"/>
    <w:rsid w:val="01FFAF10"/>
    <w:rsid w:val="0204BCC3"/>
    <w:rsid w:val="02079DB1"/>
    <w:rsid w:val="020E86E2"/>
    <w:rsid w:val="020F004E"/>
    <w:rsid w:val="021276CC"/>
    <w:rsid w:val="02175140"/>
    <w:rsid w:val="021891EF"/>
    <w:rsid w:val="0219C869"/>
    <w:rsid w:val="02247AF4"/>
    <w:rsid w:val="022602FA"/>
    <w:rsid w:val="02294E55"/>
    <w:rsid w:val="02296B90"/>
    <w:rsid w:val="022C6CE9"/>
    <w:rsid w:val="02352F6B"/>
    <w:rsid w:val="024005B2"/>
    <w:rsid w:val="02419CB4"/>
    <w:rsid w:val="02469FB3"/>
    <w:rsid w:val="0251DF3E"/>
    <w:rsid w:val="0252FBBB"/>
    <w:rsid w:val="0255A855"/>
    <w:rsid w:val="0256E0F9"/>
    <w:rsid w:val="0259679B"/>
    <w:rsid w:val="025F51D5"/>
    <w:rsid w:val="0260C1B2"/>
    <w:rsid w:val="0261F2F8"/>
    <w:rsid w:val="0262CC8A"/>
    <w:rsid w:val="0263F104"/>
    <w:rsid w:val="02692F18"/>
    <w:rsid w:val="026A53FA"/>
    <w:rsid w:val="026D7F36"/>
    <w:rsid w:val="0273A895"/>
    <w:rsid w:val="0275E8A9"/>
    <w:rsid w:val="027AC448"/>
    <w:rsid w:val="027C3B53"/>
    <w:rsid w:val="0283271D"/>
    <w:rsid w:val="0288A1FC"/>
    <w:rsid w:val="028D18B5"/>
    <w:rsid w:val="028F1E66"/>
    <w:rsid w:val="0290515C"/>
    <w:rsid w:val="029ABA4C"/>
    <w:rsid w:val="029B07BC"/>
    <w:rsid w:val="02A3486D"/>
    <w:rsid w:val="02A4E934"/>
    <w:rsid w:val="02A8B6E6"/>
    <w:rsid w:val="02AAB832"/>
    <w:rsid w:val="02AB35D4"/>
    <w:rsid w:val="02AB98D6"/>
    <w:rsid w:val="02AE5E75"/>
    <w:rsid w:val="02AF34A6"/>
    <w:rsid w:val="02AF85BD"/>
    <w:rsid w:val="02B1D159"/>
    <w:rsid w:val="02B619CC"/>
    <w:rsid w:val="02B76F7F"/>
    <w:rsid w:val="02C1E2B8"/>
    <w:rsid w:val="02C90A79"/>
    <w:rsid w:val="02C9DA7C"/>
    <w:rsid w:val="02D200D5"/>
    <w:rsid w:val="02D3D81D"/>
    <w:rsid w:val="02D3FC0E"/>
    <w:rsid w:val="02D43431"/>
    <w:rsid w:val="02D79B70"/>
    <w:rsid w:val="02DD158E"/>
    <w:rsid w:val="02DE8840"/>
    <w:rsid w:val="02E1C37C"/>
    <w:rsid w:val="02E37BBD"/>
    <w:rsid w:val="02E5FD38"/>
    <w:rsid w:val="02EEEF11"/>
    <w:rsid w:val="02EF038E"/>
    <w:rsid w:val="02F0B938"/>
    <w:rsid w:val="02F11DFC"/>
    <w:rsid w:val="02F1D09A"/>
    <w:rsid w:val="02F655F1"/>
    <w:rsid w:val="02F8041D"/>
    <w:rsid w:val="03046BA2"/>
    <w:rsid w:val="0305BADC"/>
    <w:rsid w:val="03063517"/>
    <w:rsid w:val="030921F9"/>
    <w:rsid w:val="03143D5B"/>
    <w:rsid w:val="03160757"/>
    <w:rsid w:val="031F3879"/>
    <w:rsid w:val="0321EB6B"/>
    <w:rsid w:val="03261776"/>
    <w:rsid w:val="032C3810"/>
    <w:rsid w:val="032C6F79"/>
    <w:rsid w:val="03355904"/>
    <w:rsid w:val="0336E7A7"/>
    <w:rsid w:val="033D272E"/>
    <w:rsid w:val="033D8E7B"/>
    <w:rsid w:val="033F3091"/>
    <w:rsid w:val="034574F8"/>
    <w:rsid w:val="034D0A02"/>
    <w:rsid w:val="034EFAA1"/>
    <w:rsid w:val="0357513A"/>
    <w:rsid w:val="035D8922"/>
    <w:rsid w:val="03603783"/>
    <w:rsid w:val="0362F3DD"/>
    <w:rsid w:val="036AB576"/>
    <w:rsid w:val="036EF911"/>
    <w:rsid w:val="0373AB01"/>
    <w:rsid w:val="037731EF"/>
    <w:rsid w:val="037B4A4F"/>
    <w:rsid w:val="0381EF81"/>
    <w:rsid w:val="038884AB"/>
    <w:rsid w:val="0389AD38"/>
    <w:rsid w:val="03915855"/>
    <w:rsid w:val="03917813"/>
    <w:rsid w:val="039596A0"/>
    <w:rsid w:val="03966F94"/>
    <w:rsid w:val="03995D00"/>
    <w:rsid w:val="0399B276"/>
    <w:rsid w:val="03A68B80"/>
    <w:rsid w:val="03A8E3A3"/>
    <w:rsid w:val="03A9176C"/>
    <w:rsid w:val="03AAECE1"/>
    <w:rsid w:val="03AF3427"/>
    <w:rsid w:val="03AF38CE"/>
    <w:rsid w:val="03B251BD"/>
    <w:rsid w:val="03B359E3"/>
    <w:rsid w:val="03B4E80A"/>
    <w:rsid w:val="03B6AB17"/>
    <w:rsid w:val="03B7FC0C"/>
    <w:rsid w:val="03C1C77C"/>
    <w:rsid w:val="03C58E10"/>
    <w:rsid w:val="03C5D66D"/>
    <w:rsid w:val="03C64142"/>
    <w:rsid w:val="03C87698"/>
    <w:rsid w:val="03CBA5A2"/>
    <w:rsid w:val="03CF65C2"/>
    <w:rsid w:val="03CFF0B7"/>
    <w:rsid w:val="03D137AB"/>
    <w:rsid w:val="03D4C56B"/>
    <w:rsid w:val="03D544A1"/>
    <w:rsid w:val="03D5A4A2"/>
    <w:rsid w:val="03DA7985"/>
    <w:rsid w:val="03DAEC37"/>
    <w:rsid w:val="03DD62EA"/>
    <w:rsid w:val="03DE2267"/>
    <w:rsid w:val="03E1D022"/>
    <w:rsid w:val="03E2530B"/>
    <w:rsid w:val="03E3714E"/>
    <w:rsid w:val="03E45708"/>
    <w:rsid w:val="03E61BD5"/>
    <w:rsid w:val="03E71BB3"/>
    <w:rsid w:val="03E890D5"/>
    <w:rsid w:val="03E893E5"/>
    <w:rsid w:val="03FC72C3"/>
    <w:rsid w:val="03FE6393"/>
    <w:rsid w:val="03FE98FA"/>
    <w:rsid w:val="04033A19"/>
    <w:rsid w:val="0405449D"/>
    <w:rsid w:val="04088B03"/>
    <w:rsid w:val="040D1A71"/>
    <w:rsid w:val="040D3DDB"/>
    <w:rsid w:val="040DAD74"/>
    <w:rsid w:val="041362A2"/>
    <w:rsid w:val="04152444"/>
    <w:rsid w:val="04194BF7"/>
    <w:rsid w:val="041C2687"/>
    <w:rsid w:val="041C7E6C"/>
    <w:rsid w:val="041DAE8E"/>
    <w:rsid w:val="04215991"/>
    <w:rsid w:val="042484C1"/>
    <w:rsid w:val="0427939B"/>
    <w:rsid w:val="042C1200"/>
    <w:rsid w:val="0432906B"/>
    <w:rsid w:val="043598AA"/>
    <w:rsid w:val="0437800B"/>
    <w:rsid w:val="043BC1A9"/>
    <w:rsid w:val="04417EE1"/>
    <w:rsid w:val="0442E130"/>
    <w:rsid w:val="04483D8F"/>
    <w:rsid w:val="044CB9CE"/>
    <w:rsid w:val="044DBA8D"/>
    <w:rsid w:val="0451713D"/>
    <w:rsid w:val="04569F47"/>
    <w:rsid w:val="0458C719"/>
    <w:rsid w:val="0459395C"/>
    <w:rsid w:val="045B156D"/>
    <w:rsid w:val="04605E08"/>
    <w:rsid w:val="04607547"/>
    <w:rsid w:val="0465BB56"/>
    <w:rsid w:val="046F87B8"/>
    <w:rsid w:val="04759ABC"/>
    <w:rsid w:val="04780EDC"/>
    <w:rsid w:val="04789143"/>
    <w:rsid w:val="047A7EC4"/>
    <w:rsid w:val="048296B2"/>
    <w:rsid w:val="0485A83D"/>
    <w:rsid w:val="0485AAB3"/>
    <w:rsid w:val="048C58D0"/>
    <w:rsid w:val="048E69F0"/>
    <w:rsid w:val="048EA3A6"/>
    <w:rsid w:val="0491EF52"/>
    <w:rsid w:val="049710F4"/>
    <w:rsid w:val="049D06B1"/>
    <w:rsid w:val="04A6F9F9"/>
    <w:rsid w:val="04A74E10"/>
    <w:rsid w:val="04A84F81"/>
    <w:rsid w:val="04AE6EBC"/>
    <w:rsid w:val="04B25DC7"/>
    <w:rsid w:val="04B84DF8"/>
    <w:rsid w:val="04B91818"/>
    <w:rsid w:val="04BD03FE"/>
    <w:rsid w:val="04C2EBB2"/>
    <w:rsid w:val="04C560A1"/>
    <w:rsid w:val="04C64C90"/>
    <w:rsid w:val="04C751D8"/>
    <w:rsid w:val="04C7CF4D"/>
    <w:rsid w:val="04CEF4A0"/>
    <w:rsid w:val="04D1ADFB"/>
    <w:rsid w:val="04D465B4"/>
    <w:rsid w:val="04D82DBC"/>
    <w:rsid w:val="04DBE25A"/>
    <w:rsid w:val="04E0A167"/>
    <w:rsid w:val="04E73402"/>
    <w:rsid w:val="04EC0D56"/>
    <w:rsid w:val="04EC573D"/>
    <w:rsid w:val="04EF5844"/>
    <w:rsid w:val="04F0DFF6"/>
    <w:rsid w:val="04F31B33"/>
    <w:rsid w:val="04F3AD49"/>
    <w:rsid w:val="04FC2CA4"/>
    <w:rsid w:val="04FDAAD0"/>
    <w:rsid w:val="04FE8762"/>
    <w:rsid w:val="05004310"/>
    <w:rsid w:val="0504BF08"/>
    <w:rsid w:val="05050FE8"/>
    <w:rsid w:val="0508DDBC"/>
    <w:rsid w:val="050D3D3C"/>
    <w:rsid w:val="051332C0"/>
    <w:rsid w:val="051347C8"/>
    <w:rsid w:val="0515BBF6"/>
    <w:rsid w:val="0518BE12"/>
    <w:rsid w:val="05192F36"/>
    <w:rsid w:val="05225D06"/>
    <w:rsid w:val="0522F05F"/>
    <w:rsid w:val="05235FBF"/>
    <w:rsid w:val="052BBB9E"/>
    <w:rsid w:val="052D1D00"/>
    <w:rsid w:val="052EB3E7"/>
    <w:rsid w:val="052F22E1"/>
    <w:rsid w:val="053173AE"/>
    <w:rsid w:val="0531806F"/>
    <w:rsid w:val="053506B8"/>
    <w:rsid w:val="0535A01A"/>
    <w:rsid w:val="0536BB87"/>
    <w:rsid w:val="053BC332"/>
    <w:rsid w:val="0542050B"/>
    <w:rsid w:val="05478388"/>
    <w:rsid w:val="054BA872"/>
    <w:rsid w:val="054F5EE8"/>
    <w:rsid w:val="054F9FD9"/>
    <w:rsid w:val="0559D98B"/>
    <w:rsid w:val="055C0632"/>
    <w:rsid w:val="055D9C01"/>
    <w:rsid w:val="05641B81"/>
    <w:rsid w:val="05684148"/>
    <w:rsid w:val="056B4EB8"/>
    <w:rsid w:val="0572AA8E"/>
    <w:rsid w:val="0573AF64"/>
    <w:rsid w:val="05758550"/>
    <w:rsid w:val="057BA497"/>
    <w:rsid w:val="0586ABD3"/>
    <w:rsid w:val="058FC6E5"/>
    <w:rsid w:val="059230E1"/>
    <w:rsid w:val="0596461E"/>
    <w:rsid w:val="059BEBEB"/>
    <w:rsid w:val="05A6DB03"/>
    <w:rsid w:val="05A87BF8"/>
    <w:rsid w:val="05B3AA0B"/>
    <w:rsid w:val="05B56C7C"/>
    <w:rsid w:val="05B9C8F1"/>
    <w:rsid w:val="05BE17B7"/>
    <w:rsid w:val="05C37629"/>
    <w:rsid w:val="05C3BE09"/>
    <w:rsid w:val="05C48BBC"/>
    <w:rsid w:val="05C7D19D"/>
    <w:rsid w:val="05C98EBD"/>
    <w:rsid w:val="05CD4A72"/>
    <w:rsid w:val="05D0F9A2"/>
    <w:rsid w:val="05D284BE"/>
    <w:rsid w:val="05D2D245"/>
    <w:rsid w:val="05D4103B"/>
    <w:rsid w:val="05D4F13D"/>
    <w:rsid w:val="05D68B9D"/>
    <w:rsid w:val="05D698F1"/>
    <w:rsid w:val="05D7CAC6"/>
    <w:rsid w:val="05D887B9"/>
    <w:rsid w:val="05D936D1"/>
    <w:rsid w:val="05DDBECD"/>
    <w:rsid w:val="05E01E35"/>
    <w:rsid w:val="05E16496"/>
    <w:rsid w:val="05E461EB"/>
    <w:rsid w:val="05E5A775"/>
    <w:rsid w:val="05E8DDAB"/>
    <w:rsid w:val="05ED283D"/>
    <w:rsid w:val="05F346B2"/>
    <w:rsid w:val="05F429AF"/>
    <w:rsid w:val="05F50DFA"/>
    <w:rsid w:val="05F89956"/>
    <w:rsid w:val="05F9C35F"/>
    <w:rsid w:val="05FBD413"/>
    <w:rsid w:val="05FCCBC8"/>
    <w:rsid w:val="05FEDDE8"/>
    <w:rsid w:val="05FF465D"/>
    <w:rsid w:val="06022463"/>
    <w:rsid w:val="060BE776"/>
    <w:rsid w:val="060D3D8E"/>
    <w:rsid w:val="060F31F1"/>
    <w:rsid w:val="06186B60"/>
    <w:rsid w:val="061B188E"/>
    <w:rsid w:val="061D1F10"/>
    <w:rsid w:val="061D78AE"/>
    <w:rsid w:val="0622DC98"/>
    <w:rsid w:val="062B4ACA"/>
    <w:rsid w:val="062EDFAE"/>
    <w:rsid w:val="06325AD5"/>
    <w:rsid w:val="06369519"/>
    <w:rsid w:val="0636B694"/>
    <w:rsid w:val="0637EBEF"/>
    <w:rsid w:val="063AAA1D"/>
    <w:rsid w:val="063BEF0C"/>
    <w:rsid w:val="063DC46B"/>
    <w:rsid w:val="063F5FC5"/>
    <w:rsid w:val="064C3BF1"/>
    <w:rsid w:val="064F4378"/>
    <w:rsid w:val="06529993"/>
    <w:rsid w:val="0659D085"/>
    <w:rsid w:val="0659FF2C"/>
    <w:rsid w:val="065A41A5"/>
    <w:rsid w:val="065AE7D5"/>
    <w:rsid w:val="065B90AC"/>
    <w:rsid w:val="065CCC6C"/>
    <w:rsid w:val="066290B5"/>
    <w:rsid w:val="06664620"/>
    <w:rsid w:val="06681F26"/>
    <w:rsid w:val="06692D88"/>
    <w:rsid w:val="06703673"/>
    <w:rsid w:val="06798E73"/>
    <w:rsid w:val="067D57FC"/>
    <w:rsid w:val="067FC326"/>
    <w:rsid w:val="0681AC0C"/>
    <w:rsid w:val="06856DFB"/>
    <w:rsid w:val="068C1169"/>
    <w:rsid w:val="06902ED6"/>
    <w:rsid w:val="0695CC50"/>
    <w:rsid w:val="069F1818"/>
    <w:rsid w:val="06A273A4"/>
    <w:rsid w:val="06A590D1"/>
    <w:rsid w:val="06A5F0D2"/>
    <w:rsid w:val="06A7EB7C"/>
    <w:rsid w:val="06A8D8CD"/>
    <w:rsid w:val="06AFEB9C"/>
    <w:rsid w:val="06B05866"/>
    <w:rsid w:val="06B346E2"/>
    <w:rsid w:val="06BA7D37"/>
    <w:rsid w:val="06BC5EBE"/>
    <w:rsid w:val="06BD6B4E"/>
    <w:rsid w:val="06BED09A"/>
    <w:rsid w:val="06C3B4D7"/>
    <w:rsid w:val="06C473BB"/>
    <w:rsid w:val="06C93B66"/>
    <w:rsid w:val="06D0C9A1"/>
    <w:rsid w:val="06D7C71B"/>
    <w:rsid w:val="06D9E302"/>
    <w:rsid w:val="06E43ADE"/>
    <w:rsid w:val="06E6E7E7"/>
    <w:rsid w:val="06E7B30C"/>
    <w:rsid w:val="06F3D8A5"/>
    <w:rsid w:val="06F91737"/>
    <w:rsid w:val="06F97376"/>
    <w:rsid w:val="06FBD4B0"/>
    <w:rsid w:val="07007196"/>
    <w:rsid w:val="07131794"/>
    <w:rsid w:val="071378D3"/>
    <w:rsid w:val="0722A566"/>
    <w:rsid w:val="072CAF3E"/>
    <w:rsid w:val="0735BB09"/>
    <w:rsid w:val="0735BEA3"/>
    <w:rsid w:val="07387402"/>
    <w:rsid w:val="073F520C"/>
    <w:rsid w:val="0748913A"/>
    <w:rsid w:val="074A254F"/>
    <w:rsid w:val="074D565D"/>
    <w:rsid w:val="0753E49B"/>
    <w:rsid w:val="075405A1"/>
    <w:rsid w:val="07553B26"/>
    <w:rsid w:val="07585391"/>
    <w:rsid w:val="075A7A8D"/>
    <w:rsid w:val="075BE0B6"/>
    <w:rsid w:val="07642536"/>
    <w:rsid w:val="0764FF73"/>
    <w:rsid w:val="0767277F"/>
    <w:rsid w:val="07675043"/>
    <w:rsid w:val="0768CD55"/>
    <w:rsid w:val="076BFE46"/>
    <w:rsid w:val="076CB959"/>
    <w:rsid w:val="076EF355"/>
    <w:rsid w:val="076F2DEE"/>
    <w:rsid w:val="077255E7"/>
    <w:rsid w:val="0775FF97"/>
    <w:rsid w:val="07761990"/>
    <w:rsid w:val="07777E86"/>
    <w:rsid w:val="078480F5"/>
    <w:rsid w:val="0784C3D0"/>
    <w:rsid w:val="07897675"/>
    <w:rsid w:val="078A3A38"/>
    <w:rsid w:val="078B3D42"/>
    <w:rsid w:val="07921161"/>
    <w:rsid w:val="079298F5"/>
    <w:rsid w:val="0794B74E"/>
    <w:rsid w:val="07966250"/>
    <w:rsid w:val="07977DC8"/>
    <w:rsid w:val="079C0F36"/>
    <w:rsid w:val="079F92B2"/>
    <w:rsid w:val="07A5C692"/>
    <w:rsid w:val="07B07975"/>
    <w:rsid w:val="07B11774"/>
    <w:rsid w:val="07B37269"/>
    <w:rsid w:val="07B37FDD"/>
    <w:rsid w:val="07BE1658"/>
    <w:rsid w:val="07C20179"/>
    <w:rsid w:val="07C22608"/>
    <w:rsid w:val="07C30F73"/>
    <w:rsid w:val="07C7D8AE"/>
    <w:rsid w:val="07C8A6E9"/>
    <w:rsid w:val="07CA9B66"/>
    <w:rsid w:val="07CC4E7B"/>
    <w:rsid w:val="07CF45A0"/>
    <w:rsid w:val="07D3E7AF"/>
    <w:rsid w:val="07D41E5F"/>
    <w:rsid w:val="07D5F866"/>
    <w:rsid w:val="07DB5CB1"/>
    <w:rsid w:val="07DB640B"/>
    <w:rsid w:val="07DBEC0C"/>
    <w:rsid w:val="07DDB929"/>
    <w:rsid w:val="07DF390C"/>
    <w:rsid w:val="07E8A494"/>
    <w:rsid w:val="07EBF66D"/>
    <w:rsid w:val="07EC84F0"/>
    <w:rsid w:val="07F0E3ED"/>
    <w:rsid w:val="07F5B11C"/>
    <w:rsid w:val="0803C4F0"/>
    <w:rsid w:val="08042D80"/>
    <w:rsid w:val="080479AD"/>
    <w:rsid w:val="08047E50"/>
    <w:rsid w:val="08064321"/>
    <w:rsid w:val="0807A734"/>
    <w:rsid w:val="080C474C"/>
    <w:rsid w:val="08161409"/>
    <w:rsid w:val="081715E8"/>
    <w:rsid w:val="0818726D"/>
    <w:rsid w:val="0818A965"/>
    <w:rsid w:val="0818BC68"/>
    <w:rsid w:val="0818CC7B"/>
    <w:rsid w:val="0820A6E1"/>
    <w:rsid w:val="08229110"/>
    <w:rsid w:val="0823308E"/>
    <w:rsid w:val="0825A2FC"/>
    <w:rsid w:val="08260149"/>
    <w:rsid w:val="08283807"/>
    <w:rsid w:val="082B605B"/>
    <w:rsid w:val="082F980F"/>
    <w:rsid w:val="082FDDBE"/>
    <w:rsid w:val="08303C15"/>
    <w:rsid w:val="0831577B"/>
    <w:rsid w:val="08342B82"/>
    <w:rsid w:val="083B1615"/>
    <w:rsid w:val="083D7EA7"/>
    <w:rsid w:val="083DCE7C"/>
    <w:rsid w:val="083FA748"/>
    <w:rsid w:val="08417390"/>
    <w:rsid w:val="084357B3"/>
    <w:rsid w:val="0843AFFE"/>
    <w:rsid w:val="084800D3"/>
    <w:rsid w:val="0849A256"/>
    <w:rsid w:val="084B1994"/>
    <w:rsid w:val="0857795F"/>
    <w:rsid w:val="085B60A7"/>
    <w:rsid w:val="085D207C"/>
    <w:rsid w:val="085E8331"/>
    <w:rsid w:val="086179D9"/>
    <w:rsid w:val="086365B2"/>
    <w:rsid w:val="0863677B"/>
    <w:rsid w:val="08697F39"/>
    <w:rsid w:val="0871A93D"/>
    <w:rsid w:val="08735CCA"/>
    <w:rsid w:val="08769973"/>
    <w:rsid w:val="087A7D0A"/>
    <w:rsid w:val="087AA1CC"/>
    <w:rsid w:val="087B4970"/>
    <w:rsid w:val="087E6B15"/>
    <w:rsid w:val="088535D8"/>
    <w:rsid w:val="088B32E0"/>
    <w:rsid w:val="088BE331"/>
    <w:rsid w:val="08956416"/>
    <w:rsid w:val="0898512E"/>
    <w:rsid w:val="089FC7F5"/>
    <w:rsid w:val="08A0A9F4"/>
    <w:rsid w:val="08A475AD"/>
    <w:rsid w:val="08BAC6FF"/>
    <w:rsid w:val="08BB2E0A"/>
    <w:rsid w:val="08BCE766"/>
    <w:rsid w:val="08C12264"/>
    <w:rsid w:val="08C1A7CF"/>
    <w:rsid w:val="08C2CFBD"/>
    <w:rsid w:val="08C5E377"/>
    <w:rsid w:val="08C85893"/>
    <w:rsid w:val="08C8F3FE"/>
    <w:rsid w:val="08CD7F0A"/>
    <w:rsid w:val="08D08C62"/>
    <w:rsid w:val="08D46866"/>
    <w:rsid w:val="08D5AA69"/>
    <w:rsid w:val="08D749A0"/>
    <w:rsid w:val="08D91806"/>
    <w:rsid w:val="08DDD81A"/>
    <w:rsid w:val="08DF3C6B"/>
    <w:rsid w:val="08E1A616"/>
    <w:rsid w:val="08E4DFA9"/>
    <w:rsid w:val="08E90777"/>
    <w:rsid w:val="08EB8ECB"/>
    <w:rsid w:val="08EE966D"/>
    <w:rsid w:val="08FBE103"/>
    <w:rsid w:val="090104F3"/>
    <w:rsid w:val="09038978"/>
    <w:rsid w:val="0905A7EB"/>
    <w:rsid w:val="090B9DDF"/>
    <w:rsid w:val="0914751F"/>
    <w:rsid w:val="091535B3"/>
    <w:rsid w:val="0916BD64"/>
    <w:rsid w:val="09177E8C"/>
    <w:rsid w:val="09182F7B"/>
    <w:rsid w:val="091A86A5"/>
    <w:rsid w:val="091C304F"/>
    <w:rsid w:val="0921497A"/>
    <w:rsid w:val="0921ABBB"/>
    <w:rsid w:val="0923461D"/>
    <w:rsid w:val="092726C4"/>
    <w:rsid w:val="0928BBF2"/>
    <w:rsid w:val="09291E61"/>
    <w:rsid w:val="093AC5A8"/>
    <w:rsid w:val="093E6774"/>
    <w:rsid w:val="0941D76B"/>
    <w:rsid w:val="094214DB"/>
    <w:rsid w:val="0944F2A9"/>
    <w:rsid w:val="0949866C"/>
    <w:rsid w:val="094E1CF1"/>
    <w:rsid w:val="094FD9F0"/>
    <w:rsid w:val="0952D3F5"/>
    <w:rsid w:val="09546047"/>
    <w:rsid w:val="09550F6D"/>
    <w:rsid w:val="0957CBE7"/>
    <w:rsid w:val="095D265B"/>
    <w:rsid w:val="095D3BF2"/>
    <w:rsid w:val="0961D7BD"/>
    <w:rsid w:val="09638662"/>
    <w:rsid w:val="0966F5DF"/>
    <w:rsid w:val="0972AED2"/>
    <w:rsid w:val="097329B0"/>
    <w:rsid w:val="097506B0"/>
    <w:rsid w:val="0977BD27"/>
    <w:rsid w:val="0978029A"/>
    <w:rsid w:val="097A5376"/>
    <w:rsid w:val="097F0C7C"/>
    <w:rsid w:val="0984B86E"/>
    <w:rsid w:val="098B2963"/>
    <w:rsid w:val="098F2D8D"/>
    <w:rsid w:val="099681E0"/>
    <w:rsid w:val="099D05C4"/>
    <w:rsid w:val="099EA877"/>
    <w:rsid w:val="099F501E"/>
    <w:rsid w:val="09A03517"/>
    <w:rsid w:val="09A1B6E3"/>
    <w:rsid w:val="09A3444F"/>
    <w:rsid w:val="09A4DE2E"/>
    <w:rsid w:val="09A5D9EC"/>
    <w:rsid w:val="09A61CB8"/>
    <w:rsid w:val="09ADCEE5"/>
    <w:rsid w:val="09B63DFA"/>
    <w:rsid w:val="09BB217B"/>
    <w:rsid w:val="09BBAC04"/>
    <w:rsid w:val="09BBF779"/>
    <w:rsid w:val="09BCF5A7"/>
    <w:rsid w:val="09BD92EC"/>
    <w:rsid w:val="09C4F106"/>
    <w:rsid w:val="09C5B6C4"/>
    <w:rsid w:val="09C93443"/>
    <w:rsid w:val="09CA5B4C"/>
    <w:rsid w:val="09CC04F7"/>
    <w:rsid w:val="09DBF57B"/>
    <w:rsid w:val="09DCAC8C"/>
    <w:rsid w:val="09DD61C1"/>
    <w:rsid w:val="09DEE133"/>
    <w:rsid w:val="09E3B085"/>
    <w:rsid w:val="09E8401C"/>
    <w:rsid w:val="09E89F7A"/>
    <w:rsid w:val="09E8A059"/>
    <w:rsid w:val="09F0FE32"/>
    <w:rsid w:val="09F43DCB"/>
    <w:rsid w:val="09F6B0F4"/>
    <w:rsid w:val="09F762AB"/>
    <w:rsid w:val="09F7A1BC"/>
    <w:rsid w:val="09F99FA2"/>
    <w:rsid w:val="09FB4DEE"/>
    <w:rsid w:val="09FD3073"/>
    <w:rsid w:val="09FFD4F6"/>
    <w:rsid w:val="0A013EE3"/>
    <w:rsid w:val="0A01B3BB"/>
    <w:rsid w:val="0A02D39C"/>
    <w:rsid w:val="0A031374"/>
    <w:rsid w:val="0A0437EB"/>
    <w:rsid w:val="0A05D5E8"/>
    <w:rsid w:val="0A0CA23E"/>
    <w:rsid w:val="0A0CB476"/>
    <w:rsid w:val="0A178CE9"/>
    <w:rsid w:val="0A1FDE90"/>
    <w:rsid w:val="0A200C99"/>
    <w:rsid w:val="0A21FB96"/>
    <w:rsid w:val="0A25A650"/>
    <w:rsid w:val="0A2A01AC"/>
    <w:rsid w:val="0A2B4ECC"/>
    <w:rsid w:val="0A2BF8DC"/>
    <w:rsid w:val="0A310585"/>
    <w:rsid w:val="0A325F17"/>
    <w:rsid w:val="0A389BCD"/>
    <w:rsid w:val="0A41EDFA"/>
    <w:rsid w:val="0A43B3E9"/>
    <w:rsid w:val="0A45663C"/>
    <w:rsid w:val="0A45867C"/>
    <w:rsid w:val="0A486A2E"/>
    <w:rsid w:val="0A4D8B1D"/>
    <w:rsid w:val="0A583DAF"/>
    <w:rsid w:val="0A5B3E64"/>
    <w:rsid w:val="0A60053A"/>
    <w:rsid w:val="0A61898B"/>
    <w:rsid w:val="0A623EF2"/>
    <w:rsid w:val="0A62EBEC"/>
    <w:rsid w:val="0A6479AC"/>
    <w:rsid w:val="0A662DE7"/>
    <w:rsid w:val="0A677488"/>
    <w:rsid w:val="0A68D110"/>
    <w:rsid w:val="0A6AD57D"/>
    <w:rsid w:val="0A6BFE53"/>
    <w:rsid w:val="0A7885CE"/>
    <w:rsid w:val="0A81921E"/>
    <w:rsid w:val="0A8204C2"/>
    <w:rsid w:val="0A876061"/>
    <w:rsid w:val="0A8C2FC1"/>
    <w:rsid w:val="0A8C8E59"/>
    <w:rsid w:val="0A8D9317"/>
    <w:rsid w:val="0A99C4E4"/>
    <w:rsid w:val="0A9A4FB7"/>
    <w:rsid w:val="0AA06691"/>
    <w:rsid w:val="0AA2913A"/>
    <w:rsid w:val="0AA383F4"/>
    <w:rsid w:val="0AA5BF8C"/>
    <w:rsid w:val="0AA73E93"/>
    <w:rsid w:val="0AA9BEA1"/>
    <w:rsid w:val="0AAA3640"/>
    <w:rsid w:val="0AAACE5D"/>
    <w:rsid w:val="0AAD6AFB"/>
    <w:rsid w:val="0AB8E19B"/>
    <w:rsid w:val="0AC2133F"/>
    <w:rsid w:val="0AC26EF1"/>
    <w:rsid w:val="0AC31AD5"/>
    <w:rsid w:val="0ACE1B35"/>
    <w:rsid w:val="0AD7B771"/>
    <w:rsid w:val="0ADA2566"/>
    <w:rsid w:val="0ADDDD00"/>
    <w:rsid w:val="0ADFB683"/>
    <w:rsid w:val="0AE2E94F"/>
    <w:rsid w:val="0AE52E62"/>
    <w:rsid w:val="0AE7E0C1"/>
    <w:rsid w:val="0AE80A1B"/>
    <w:rsid w:val="0AE93002"/>
    <w:rsid w:val="0AEB2028"/>
    <w:rsid w:val="0AEBB590"/>
    <w:rsid w:val="0AEC20CD"/>
    <w:rsid w:val="0AF65E02"/>
    <w:rsid w:val="0AFE5DB9"/>
    <w:rsid w:val="0B06F52C"/>
    <w:rsid w:val="0B087379"/>
    <w:rsid w:val="0B0FD17C"/>
    <w:rsid w:val="0B119FB4"/>
    <w:rsid w:val="0B18C072"/>
    <w:rsid w:val="0B18C4D5"/>
    <w:rsid w:val="0B1CEEF5"/>
    <w:rsid w:val="0B1F14EB"/>
    <w:rsid w:val="0B228AA7"/>
    <w:rsid w:val="0B23BB48"/>
    <w:rsid w:val="0B249F67"/>
    <w:rsid w:val="0B25329B"/>
    <w:rsid w:val="0B292153"/>
    <w:rsid w:val="0B29A4D1"/>
    <w:rsid w:val="0B2A5075"/>
    <w:rsid w:val="0B2E1E51"/>
    <w:rsid w:val="0B2E9961"/>
    <w:rsid w:val="0B33B6A1"/>
    <w:rsid w:val="0B3647BB"/>
    <w:rsid w:val="0B3E5D7E"/>
    <w:rsid w:val="0B3EA244"/>
    <w:rsid w:val="0B3F759F"/>
    <w:rsid w:val="0B425B02"/>
    <w:rsid w:val="0B46455C"/>
    <w:rsid w:val="0B478C1E"/>
    <w:rsid w:val="0B506132"/>
    <w:rsid w:val="0B5525B2"/>
    <w:rsid w:val="0B552AAB"/>
    <w:rsid w:val="0B5B7F66"/>
    <w:rsid w:val="0B5BBF89"/>
    <w:rsid w:val="0B5CCBF2"/>
    <w:rsid w:val="0B5D746B"/>
    <w:rsid w:val="0B621897"/>
    <w:rsid w:val="0B627AAA"/>
    <w:rsid w:val="0B6415F3"/>
    <w:rsid w:val="0B6A900B"/>
    <w:rsid w:val="0B7CDEBD"/>
    <w:rsid w:val="0B7DB2AA"/>
    <w:rsid w:val="0B82AF76"/>
    <w:rsid w:val="0B83FBB9"/>
    <w:rsid w:val="0B87F621"/>
    <w:rsid w:val="0B885A3F"/>
    <w:rsid w:val="0B966ADD"/>
    <w:rsid w:val="0B9B384C"/>
    <w:rsid w:val="0B9B3D64"/>
    <w:rsid w:val="0B9CEF61"/>
    <w:rsid w:val="0B9D8552"/>
    <w:rsid w:val="0BA319AC"/>
    <w:rsid w:val="0BA41766"/>
    <w:rsid w:val="0BAD7C74"/>
    <w:rsid w:val="0BB3C2A1"/>
    <w:rsid w:val="0BB7406A"/>
    <w:rsid w:val="0BB7A2CC"/>
    <w:rsid w:val="0BBB1EEC"/>
    <w:rsid w:val="0BBC46BD"/>
    <w:rsid w:val="0BBDF972"/>
    <w:rsid w:val="0BCDDDF4"/>
    <w:rsid w:val="0BD17649"/>
    <w:rsid w:val="0BD32FCD"/>
    <w:rsid w:val="0BD643BC"/>
    <w:rsid w:val="0BD80D81"/>
    <w:rsid w:val="0BDC98C6"/>
    <w:rsid w:val="0BDD5EB5"/>
    <w:rsid w:val="0BDFDC0D"/>
    <w:rsid w:val="0BE11389"/>
    <w:rsid w:val="0BE335AE"/>
    <w:rsid w:val="0BE909F4"/>
    <w:rsid w:val="0BF11D3A"/>
    <w:rsid w:val="0BFC7F8E"/>
    <w:rsid w:val="0BFDCA5D"/>
    <w:rsid w:val="0BFEFC35"/>
    <w:rsid w:val="0C00F63A"/>
    <w:rsid w:val="0C05BF9C"/>
    <w:rsid w:val="0C0620D8"/>
    <w:rsid w:val="0C077B7B"/>
    <w:rsid w:val="0C07E4A1"/>
    <w:rsid w:val="0C0F2098"/>
    <w:rsid w:val="0C0F528D"/>
    <w:rsid w:val="0C10028C"/>
    <w:rsid w:val="0C12D83B"/>
    <w:rsid w:val="0C195028"/>
    <w:rsid w:val="0C1A96C0"/>
    <w:rsid w:val="0C2099ED"/>
    <w:rsid w:val="0C224928"/>
    <w:rsid w:val="0C2648DE"/>
    <w:rsid w:val="0C270BD1"/>
    <w:rsid w:val="0C30B7F1"/>
    <w:rsid w:val="0C356E45"/>
    <w:rsid w:val="0C37C6BC"/>
    <w:rsid w:val="0C3816C0"/>
    <w:rsid w:val="0C39F318"/>
    <w:rsid w:val="0C3A34B3"/>
    <w:rsid w:val="0C444E06"/>
    <w:rsid w:val="0C47CB56"/>
    <w:rsid w:val="0C486B60"/>
    <w:rsid w:val="0C4DC2DD"/>
    <w:rsid w:val="0C51314F"/>
    <w:rsid w:val="0C523AEF"/>
    <w:rsid w:val="0C546A9E"/>
    <w:rsid w:val="0C583079"/>
    <w:rsid w:val="0C641498"/>
    <w:rsid w:val="0C6CCD1C"/>
    <w:rsid w:val="0C702D40"/>
    <w:rsid w:val="0C7269F3"/>
    <w:rsid w:val="0C739E38"/>
    <w:rsid w:val="0C7B08B4"/>
    <w:rsid w:val="0C7B6C6D"/>
    <w:rsid w:val="0C854CBA"/>
    <w:rsid w:val="0C86D935"/>
    <w:rsid w:val="0C8C8DEE"/>
    <w:rsid w:val="0C95EC3E"/>
    <w:rsid w:val="0C984D6E"/>
    <w:rsid w:val="0C9F128C"/>
    <w:rsid w:val="0CA254A8"/>
    <w:rsid w:val="0CA27F0C"/>
    <w:rsid w:val="0CAC0D1F"/>
    <w:rsid w:val="0CACB26B"/>
    <w:rsid w:val="0CAF1224"/>
    <w:rsid w:val="0CB365CE"/>
    <w:rsid w:val="0CBB1AAD"/>
    <w:rsid w:val="0CBB7173"/>
    <w:rsid w:val="0CBD988A"/>
    <w:rsid w:val="0CC84A9A"/>
    <w:rsid w:val="0CCAB8C6"/>
    <w:rsid w:val="0CCE10D2"/>
    <w:rsid w:val="0CE51847"/>
    <w:rsid w:val="0CE69C14"/>
    <w:rsid w:val="0CEBAFE0"/>
    <w:rsid w:val="0CEC8060"/>
    <w:rsid w:val="0CF03C05"/>
    <w:rsid w:val="0CF16D32"/>
    <w:rsid w:val="0CF3B9ED"/>
    <w:rsid w:val="0CF6F19B"/>
    <w:rsid w:val="0CF7D18A"/>
    <w:rsid w:val="0CFB4EE2"/>
    <w:rsid w:val="0CFCDC08"/>
    <w:rsid w:val="0D02CF54"/>
    <w:rsid w:val="0D0B9EC2"/>
    <w:rsid w:val="0D15D2F5"/>
    <w:rsid w:val="0D1E8710"/>
    <w:rsid w:val="0D21764B"/>
    <w:rsid w:val="0D232473"/>
    <w:rsid w:val="0D234211"/>
    <w:rsid w:val="0D24F2AA"/>
    <w:rsid w:val="0D2E670E"/>
    <w:rsid w:val="0D2E83DC"/>
    <w:rsid w:val="0D312671"/>
    <w:rsid w:val="0D35FB7F"/>
    <w:rsid w:val="0D3D0E8C"/>
    <w:rsid w:val="0D3DB41E"/>
    <w:rsid w:val="0D3E2474"/>
    <w:rsid w:val="0D3E45F4"/>
    <w:rsid w:val="0D44E7AD"/>
    <w:rsid w:val="0D44FB3F"/>
    <w:rsid w:val="0D49CFB3"/>
    <w:rsid w:val="0D502479"/>
    <w:rsid w:val="0D520593"/>
    <w:rsid w:val="0D5825A4"/>
    <w:rsid w:val="0D60426C"/>
    <w:rsid w:val="0D68C93D"/>
    <w:rsid w:val="0D6D17A0"/>
    <w:rsid w:val="0D706687"/>
    <w:rsid w:val="0D7297B1"/>
    <w:rsid w:val="0D73789C"/>
    <w:rsid w:val="0D79E177"/>
    <w:rsid w:val="0D7DE007"/>
    <w:rsid w:val="0D7F9FF3"/>
    <w:rsid w:val="0D8B0A45"/>
    <w:rsid w:val="0D8E417B"/>
    <w:rsid w:val="0D908266"/>
    <w:rsid w:val="0D922602"/>
    <w:rsid w:val="0D98DFCC"/>
    <w:rsid w:val="0D9BBD9F"/>
    <w:rsid w:val="0D9D9DAD"/>
    <w:rsid w:val="0DA63302"/>
    <w:rsid w:val="0DA67CD6"/>
    <w:rsid w:val="0DA732A2"/>
    <w:rsid w:val="0DA74A23"/>
    <w:rsid w:val="0DA90A32"/>
    <w:rsid w:val="0DAA0FA3"/>
    <w:rsid w:val="0DACDD70"/>
    <w:rsid w:val="0DAF40E9"/>
    <w:rsid w:val="0DB0E220"/>
    <w:rsid w:val="0DBAA142"/>
    <w:rsid w:val="0DBAE8C1"/>
    <w:rsid w:val="0DC35CF7"/>
    <w:rsid w:val="0DC3A7A2"/>
    <w:rsid w:val="0DCBA7A1"/>
    <w:rsid w:val="0DCDE468"/>
    <w:rsid w:val="0DD0B951"/>
    <w:rsid w:val="0DDD3162"/>
    <w:rsid w:val="0DDEEEDD"/>
    <w:rsid w:val="0DEA949A"/>
    <w:rsid w:val="0DEE7653"/>
    <w:rsid w:val="0DEEE6FB"/>
    <w:rsid w:val="0DF7AE30"/>
    <w:rsid w:val="0DFAD902"/>
    <w:rsid w:val="0DFC92FD"/>
    <w:rsid w:val="0DFD8503"/>
    <w:rsid w:val="0DFFC099"/>
    <w:rsid w:val="0E08E59F"/>
    <w:rsid w:val="0E111DC9"/>
    <w:rsid w:val="0E13ACBB"/>
    <w:rsid w:val="0E1C3838"/>
    <w:rsid w:val="0E1F39D0"/>
    <w:rsid w:val="0E1FE3BF"/>
    <w:rsid w:val="0E20CA18"/>
    <w:rsid w:val="0E238213"/>
    <w:rsid w:val="0E24C90E"/>
    <w:rsid w:val="0E2E2691"/>
    <w:rsid w:val="0E2E7A06"/>
    <w:rsid w:val="0E347E7C"/>
    <w:rsid w:val="0E49EDAC"/>
    <w:rsid w:val="0E4B0882"/>
    <w:rsid w:val="0E4D51FB"/>
    <w:rsid w:val="0E4F7D97"/>
    <w:rsid w:val="0E54345D"/>
    <w:rsid w:val="0E5957AB"/>
    <w:rsid w:val="0E5A823D"/>
    <w:rsid w:val="0E5DC7F6"/>
    <w:rsid w:val="0E5DD796"/>
    <w:rsid w:val="0E61F849"/>
    <w:rsid w:val="0E62B0F6"/>
    <w:rsid w:val="0E6BC605"/>
    <w:rsid w:val="0E730F1B"/>
    <w:rsid w:val="0E74B033"/>
    <w:rsid w:val="0E758969"/>
    <w:rsid w:val="0E75B460"/>
    <w:rsid w:val="0E769F8A"/>
    <w:rsid w:val="0E7C45F2"/>
    <w:rsid w:val="0E7E9D72"/>
    <w:rsid w:val="0E83F0E1"/>
    <w:rsid w:val="0E90B7E0"/>
    <w:rsid w:val="0E92EA6C"/>
    <w:rsid w:val="0E946AF9"/>
    <w:rsid w:val="0E9539E9"/>
    <w:rsid w:val="0E9CF6E2"/>
    <w:rsid w:val="0EA1E45D"/>
    <w:rsid w:val="0EA35C8E"/>
    <w:rsid w:val="0EA7233E"/>
    <w:rsid w:val="0EA93D98"/>
    <w:rsid w:val="0EB1133D"/>
    <w:rsid w:val="0EB2AF4C"/>
    <w:rsid w:val="0EB3DD89"/>
    <w:rsid w:val="0EB4C726"/>
    <w:rsid w:val="0EB87F61"/>
    <w:rsid w:val="0EB96804"/>
    <w:rsid w:val="0EBB614F"/>
    <w:rsid w:val="0EBC5E67"/>
    <w:rsid w:val="0EC0AADD"/>
    <w:rsid w:val="0EC35FD0"/>
    <w:rsid w:val="0EC3C7C6"/>
    <w:rsid w:val="0EC8B191"/>
    <w:rsid w:val="0ECAB0F2"/>
    <w:rsid w:val="0ECAEE39"/>
    <w:rsid w:val="0ECC07BF"/>
    <w:rsid w:val="0ECF21B9"/>
    <w:rsid w:val="0ED2376B"/>
    <w:rsid w:val="0ED2D860"/>
    <w:rsid w:val="0ED4DAD4"/>
    <w:rsid w:val="0EE41E5D"/>
    <w:rsid w:val="0EE77AEC"/>
    <w:rsid w:val="0EE7C9F9"/>
    <w:rsid w:val="0EEB1DE0"/>
    <w:rsid w:val="0EEFB5C8"/>
    <w:rsid w:val="0EEFC23D"/>
    <w:rsid w:val="0EF07E6C"/>
    <w:rsid w:val="0EF170D9"/>
    <w:rsid w:val="0EF8EC9D"/>
    <w:rsid w:val="0F0196E6"/>
    <w:rsid w:val="0F069C94"/>
    <w:rsid w:val="0F08223B"/>
    <w:rsid w:val="0F0CA794"/>
    <w:rsid w:val="0F15BE8B"/>
    <w:rsid w:val="0F1659C0"/>
    <w:rsid w:val="0F1DA42B"/>
    <w:rsid w:val="0F1E5FC9"/>
    <w:rsid w:val="0F21E9BF"/>
    <w:rsid w:val="0F225F9B"/>
    <w:rsid w:val="0F22B2C5"/>
    <w:rsid w:val="0F2AEE1D"/>
    <w:rsid w:val="0F31CBA2"/>
    <w:rsid w:val="0F399A3B"/>
    <w:rsid w:val="0F3E0799"/>
    <w:rsid w:val="0F3F510A"/>
    <w:rsid w:val="0F409A33"/>
    <w:rsid w:val="0F51A9CA"/>
    <w:rsid w:val="0F5A9757"/>
    <w:rsid w:val="0F5E3F8B"/>
    <w:rsid w:val="0F5F6FF8"/>
    <w:rsid w:val="0F5FB278"/>
    <w:rsid w:val="0F6708E0"/>
    <w:rsid w:val="0F6845D9"/>
    <w:rsid w:val="0F690650"/>
    <w:rsid w:val="0F69BF99"/>
    <w:rsid w:val="0F6A202C"/>
    <w:rsid w:val="0F6A2B4E"/>
    <w:rsid w:val="0F6F0F37"/>
    <w:rsid w:val="0F773EB9"/>
    <w:rsid w:val="0F7AD503"/>
    <w:rsid w:val="0F7FB4CF"/>
    <w:rsid w:val="0F823527"/>
    <w:rsid w:val="0F8272E5"/>
    <w:rsid w:val="0F852B78"/>
    <w:rsid w:val="0F864755"/>
    <w:rsid w:val="0F88CE12"/>
    <w:rsid w:val="0F8E8B57"/>
    <w:rsid w:val="0F9164CF"/>
    <w:rsid w:val="0F96F2E5"/>
    <w:rsid w:val="0F9FEAD9"/>
    <w:rsid w:val="0FA4A600"/>
    <w:rsid w:val="0FA59D15"/>
    <w:rsid w:val="0FA5BBDA"/>
    <w:rsid w:val="0FAB2842"/>
    <w:rsid w:val="0FAB66A9"/>
    <w:rsid w:val="0FB7194B"/>
    <w:rsid w:val="0FC75C3E"/>
    <w:rsid w:val="0FCD2DB2"/>
    <w:rsid w:val="0FD1CD65"/>
    <w:rsid w:val="0FD5E981"/>
    <w:rsid w:val="0FD8D173"/>
    <w:rsid w:val="0FDA4837"/>
    <w:rsid w:val="0FDCD64C"/>
    <w:rsid w:val="0FE36480"/>
    <w:rsid w:val="0FE6C638"/>
    <w:rsid w:val="0FE75334"/>
    <w:rsid w:val="0FE82474"/>
    <w:rsid w:val="0FE83FAC"/>
    <w:rsid w:val="0FEB4E66"/>
    <w:rsid w:val="0FEC4952"/>
    <w:rsid w:val="0FED96D2"/>
    <w:rsid w:val="0FF8D483"/>
    <w:rsid w:val="0FFE87FC"/>
    <w:rsid w:val="0FFFCF4B"/>
    <w:rsid w:val="10063B87"/>
    <w:rsid w:val="100700EC"/>
    <w:rsid w:val="1008A5B1"/>
    <w:rsid w:val="100A5F73"/>
    <w:rsid w:val="100C6FE1"/>
    <w:rsid w:val="100E91FE"/>
    <w:rsid w:val="100EE114"/>
    <w:rsid w:val="100F4F6B"/>
    <w:rsid w:val="100FFBFD"/>
    <w:rsid w:val="1012EEB6"/>
    <w:rsid w:val="1017C848"/>
    <w:rsid w:val="101829CC"/>
    <w:rsid w:val="10186241"/>
    <w:rsid w:val="101E7645"/>
    <w:rsid w:val="101EDA5C"/>
    <w:rsid w:val="1020E406"/>
    <w:rsid w:val="1021D039"/>
    <w:rsid w:val="1021F2B7"/>
    <w:rsid w:val="10258AF0"/>
    <w:rsid w:val="1026A4D9"/>
    <w:rsid w:val="102774BA"/>
    <w:rsid w:val="1027994E"/>
    <w:rsid w:val="1028C412"/>
    <w:rsid w:val="1031AF19"/>
    <w:rsid w:val="1033F5E0"/>
    <w:rsid w:val="1037B7B2"/>
    <w:rsid w:val="103942A3"/>
    <w:rsid w:val="103991B6"/>
    <w:rsid w:val="103A15E7"/>
    <w:rsid w:val="103B22C7"/>
    <w:rsid w:val="103C7427"/>
    <w:rsid w:val="103FF73C"/>
    <w:rsid w:val="1045CEB0"/>
    <w:rsid w:val="10460B4C"/>
    <w:rsid w:val="10495B9E"/>
    <w:rsid w:val="104A2186"/>
    <w:rsid w:val="104D7AC3"/>
    <w:rsid w:val="10568573"/>
    <w:rsid w:val="105A4ABB"/>
    <w:rsid w:val="105B26C6"/>
    <w:rsid w:val="105B4BD4"/>
    <w:rsid w:val="105D09D2"/>
    <w:rsid w:val="105F4BE7"/>
    <w:rsid w:val="10611BB5"/>
    <w:rsid w:val="1063B5E3"/>
    <w:rsid w:val="107262EC"/>
    <w:rsid w:val="107296E9"/>
    <w:rsid w:val="107A14D8"/>
    <w:rsid w:val="107B3869"/>
    <w:rsid w:val="107E8D08"/>
    <w:rsid w:val="1082C293"/>
    <w:rsid w:val="1083C530"/>
    <w:rsid w:val="108721CE"/>
    <w:rsid w:val="10876F0F"/>
    <w:rsid w:val="108E9851"/>
    <w:rsid w:val="10961145"/>
    <w:rsid w:val="109EB3F4"/>
    <w:rsid w:val="10A0C607"/>
    <w:rsid w:val="10A182AA"/>
    <w:rsid w:val="10ADD5D3"/>
    <w:rsid w:val="10AF787D"/>
    <w:rsid w:val="10B0662F"/>
    <w:rsid w:val="10B070FF"/>
    <w:rsid w:val="10B6C950"/>
    <w:rsid w:val="10B7FF59"/>
    <w:rsid w:val="10B99306"/>
    <w:rsid w:val="10C5AF58"/>
    <w:rsid w:val="10D2888C"/>
    <w:rsid w:val="10D59782"/>
    <w:rsid w:val="10DAC518"/>
    <w:rsid w:val="10DFBFEB"/>
    <w:rsid w:val="10E4CB50"/>
    <w:rsid w:val="10E5D961"/>
    <w:rsid w:val="10E6281A"/>
    <w:rsid w:val="10E80D45"/>
    <w:rsid w:val="10E95DB8"/>
    <w:rsid w:val="10ECC6CD"/>
    <w:rsid w:val="10FCA5F8"/>
    <w:rsid w:val="10FE0035"/>
    <w:rsid w:val="10FE359B"/>
    <w:rsid w:val="1100C377"/>
    <w:rsid w:val="11068CEC"/>
    <w:rsid w:val="110D1A13"/>
    <w:rsid w:val="110D7EE7"/>
    <w:rsid w:val="11135EDB"/>
    <w:rsid w:val="1115501A"/>
    <w:rsid w:val="111722FA"/>
    <w:rsid w:val="111912F4"/>
    <w:rsid w:val="111AAC03"/>
    <w:rsid w:val="111D9588"/>
    <w:rsid w:val="112083B7"/>
    <w:rsid w:val="112A9E95"/>
    <w:rsid w:val="112F3392"/>
    <w:rsid w:val="1130CFDF"/>
    <w:rsid w:val="1133C49B"/>
    <w:rsid w:val="1133EA1C"/>
    <w:rsid w:val="113604E1"/>
    <w:rsid w:val="11366D61"/>
    <w:rsid w:val="1137D00D"/>
    <w:rsid w:val="1141B628"/>
    <w:rsid w:val="114244CE"/>
    <w:rsid w:val="11474C10"/>
    <w:rsid w:val="114AB6DF"/>
    <w:rsid w:val="114D8673"/>
    <w:rsid w:val="114DFABC"/>
    <w:rsid w:val="114F387C"/>
    <w:rsid w:val="11528048"/>
    <w:rsid w:val="1159A39B"/>
    <w:rsid w:val="115B9E70"/>
    <w:rsid w:val="1161DA64"/>
    <w:rsid w:val="1165272D"/>
    <w:rsid w:val="116703D2"/>
    <w:rsid w:val="11684C60"/>
    <w:rsid w:val="1168E032"/>
    <w:rsid w:val="116D86ED"/>
    <w:rsid w:val="11709D3F"/>
    <w:rsid w:val="11709DA4"/>
    <w:rsid w:val="11767D24"/>
    <w:rsid w:val="1176AE12"/>
    <w:rsid w:val="117E8A1B"/>
    <w:rsid w:val="1180FF7E"/>
    <w:rsid w:val="1182F913"/>
    <w:rsid w:val="118496B8"/>
    <w:rsid w:val="11864379"/>
    <w:rsid w:val="1189A664"/>
    <w:rsid w:val="118AAE92"/>
    <w:rsid w:val="118B6679"/>
    <w:rsid w:val="118EDF68"/>
    <w:rsid w:val="118FF905"/>
    <w:rsid w:val="11916F0A"/>
    <w:rsid w:val="119805BB"/>
    <w:rsid w:val="11991673"/>
    <w:rsid w:val="119E99A3"/>
    <w:rsid w:val="11A65463"/>
    <w:rsid w:val="11A76B41"/>
    <w:rsid w:val="11BA8468"/>
    <w:rsid w:val="11BB307D"/>
    <w:rsid w:val="11BB3A6E"/>
    <w:rsid w:val="11BB7977"/>
    <w:rsid w:val="11BCC682"/>
    <w:rsid w:val="11C11C41"/>
    <w:rsid w:val="11C36912"/>
    <w:rsid w:val="11C7BE6D"/>
    <w:rsid w:val="11C8E58A"/>
    <w:rsid w:val="11CF5D1A"/>
    <w:rsid w:val="11D2D76B"/>
    <w:rsid w:val="11D2E603"/>
    <w:rsid w:val="11D56D17"/>
    <w:rsid w:val="11D7ADF4"/>
    <w:rsid w:val="11D8EFA6"/>
    <w:rsid w:val="11D925A0"/>
    <w:rsid w:val="11D9FE19"/>
    <w:rsid w:val="11DF19B0"/>
    <w:rsid w:val="11E315F9"/>
    <w:rsid w:val="11E33CD8"/>
    <w:rsid w:val="11E655AD"/>
    <w:rsid w:val="11E7EB3A"/>
    <w:rsid w:val="11E89353"/>
    <w:rsid w:val="11EE8DB4"/>
    <w:rsid w:val="11F35E49"/>
    <w:rsid w:val="11F6624F"/>
    <w:rsid w:val="1200351B"/>
    <w:rsid w:val="1200D033"/>
    <w:rsid w:val="1207F956"/>
    <w:rsid w:val="12099A2B"/>
    <w:rsid w:val="120C0F82"/>
    <w:rsid w:val="121060B7"/>
    <w:rsid w:val="12111036"/>
    <w:rsid w:val="1218790D"/>
    <w:rsid w:val="1218DF1D"/>
    <w:rsid w:val="1219028D"/>
    <w:rsid w:val="121A5F92"/>
    <w:rsid w:val="121A772B"/>
    <w:rsid w:val="1221B2BB"/>
    <w:rsid w:val="12283672"/>
    <w:rsid w:val="12348F64"/>
    <w:rsid w:val="123D81FC"/>
    <w:rsid w:val="123E843F"/>
    <w:rsid w:val="123EF406"/>
    <w:rsid w:val="1240A772"/>
    <w:rsid w:val="1240B4DD"/>
    <w:rsid w:val="1244548A"/>
    <w:rsid w:val="124C90AD"/>
    <w:rsid w:val="124D35CF"/>
    <w:rsid w:val="1251C551"/>
    <w:rsid w:val="1257D8C9"/>
    <w:rsid w:val="12599AB8"/>
    <w:rsid w:val="12599E83"/>
    <w:rsid w:val="1259B4CC"/>
    <w:rsid w:val="125BA8A7"/>
    <w:rsid w:val="125C6B71"/>
    <w:rsid w:val="125D5F39"/>
    <w:rsid w:val="125EABF7"/>
    <w:rsid w:val="12674917"/>
    <w:rsid w:val="12696B9E"/>
    <w:rsid w:val="126B27BE"/>
    <w:rsid w:val="126BA3D2"/>
    <w:rsid w:val="126C46BE"/>
    <w:rsid w:val="127024A3"/>
    <w:rsid w:val="1278C3A7"/>
    <w:rsid w:val="127A4A84"/>
    <w:rsid w:val="127A64CC"/>
    <w:rsid w:val="127C6E26"/>
    <w:rsid w:val="127E2B59"/>
    <w:rsid w:val="127E7D14"/>
    <w:rsid w:val="127FD980"/>
    <w:rsid w:val="12816319"/>
    <w:rsid w:val="12885D5F"/>
    <w:rsid w:val="128F4135"/>
    <w:rsid w:val="12928AA8"/>
    <w:rsid w:val="1297ADB4"/>
    <w:rsid w:val="129E0685"/>
    <w:rsid w:val="12A21D11"/>
    <w:rsid w:val="12A9DD81"/>
    <w:rsid w:val="12AAE797"/>
    <w:rsid w:val="12AD7D2F"/>
    <w:rsid w:val="12ADF10F"/>
    <w:rsid w:val="12AF740D"/>
    <w:rsid w:val="12B45CAF"/>
    <w:rsid w:val="12B6A936"/>
    <w:rsid w:val="12B7F8D0"/>
    <w:rsid w:val="12B8BE96"/>
    <w:rsid w:val="12B973F7"/>
    <w:rsid w:val="12BE9561"/>
    <w:rsid w:val="12C0C29C"/>
    <w:rsid w:val="12C60628"/>
    <w:rsid w:val="12CB9F5D"/>
    <w:rsid w:val="12CC9B34"/>
    <w:rsid w:val="12CF2E62"/>
    <w:rsid w:val="12D3E7B9"/>
    <w:rsid w:val="12D4521B"/>
    <w:rsid w:val="12E2F253"/>
    <w:rsid w:val="12E349C7"/>
    <w:rsid w:val="12E8D3CA"/>
    <w:rsid w:val="12E8E545"/>
    <w:rsid w:val="12EE3A32"/>
    <w:rsid w:val="12F4C614"/>
    <w:rsid w:val="12F622DE"/>
    <w:rsid w:val="12F7FCC2"/>
    <w:rsid w:val="12FE879F"/>
    <w:rsid w:val="13011F9B"/>
    <w:rsid w:val="1304F3AA"/>
    <w:rsid w:val="130814A8"/>
    <w:rsid w:val="130B1835"/>
    <w:rsid w:val="130B3B40"/>
    <w:rsid w:val="130D72FF"/>
    <w:rsid w:val="130DF49D"/>
    <w:rsid w:val="13117CE0"/>
    <w:rsid w:val="1311DF23"/>
    <w:rsid w:val="1314353C"/>
    <w:rsid w:val="1319EBA7"/>
    <w:rsid w:val="131E9A5B"/>
    <w:rsid w:val="131E9AB2"/>
    <w:rsid w:val="132B7B4D"/>
    <w:rsid w:val="1333CFDE"/>
    <w:rsid w:val="1339B31B"/>
    <w:rsid w:val="133CA8F8"/>
    <w:rsid w:val="133DAB38"/>
    <w:rsid w:val="133F90E2"/>
    <w:rsid w:val="1342A1A5"/>
    <w:rsid w:val="13591922"/>
    <w:rsid w:val="135BA708"/>
    <w:rsid w:val="136070C9"/>
    <w:rsid w:val="1367359C"/>
    <w:rsid w:val="136B220C"/>
    <w:rsid w:val="1374DD5A"/>
    <w:rsid w:val="137DE1A4"/>
    <w:rsid w:val="1385F318"/>
    <w:rsid w:val="13867056"/>
    <w:rsid w:val="1387A0C6"/>
    <w:rsid w:val="138B4488"/>
    <w:rsid w:val="138D6E2C"/>
    <w:rsid w:val="13929DBA"/>
    <w:rsid w:val="139EFA7D"/>
    <w:rsid w:val="139FDB26"/>
    <w:rsid w:val="13A056DC"/>
    <w:rsid w:val="13A58B62"/>
    <w:rsid w:val="13A984AD"/>
    <w:rsid w:val="13AADE10"/>
    <w:rsid w:val="13ACC786"/>
    <w:rsid w:val="13B05518"/>
    <w:rsid w:val="13B5431D"/>
    <w:rsid w:val="13BB86D1"/>
    <w:rsid w:val="13BF6A18"/>
    <w:rsid w:val="13C2644B"/>
    <w:rsid w:val="13C5956C"/>
    <w:rsid w:val="13C7EAB2"/>
    <w:rsid w:val="13C8B27D"/>
    <w:rsid w:val="13CF5271"/>
    <w:rsid w:val="13D3C79D"/>
    <w:rsid w:val="13D5B42F"/>
    <w:rsid w:val="13E70BE1"/>
    <w:rsid w:val="13E960CC"/>
    <w:rsid w:val="13E974C0"/>
    <w:rsid w:val="13EAF993"/>
    <w:rsid w:val="13F22A12"/>
    <w:rsid w:val="13FDFFA2"/>
    <w:rsid w:val="13FF185C"/>
    <w:rsid w:val="1400BE87"/>
    <w:rsid w:val="14042E2B"/>
    <w:rsid w:val="14094AB6"/>
    <w:rsid w:val="140C3B52"/>
    <w:rsid w:val="140CF2F2"/>
    <w:rsid w:val="140FF5B7"/>
    <w:rsid w:val="14130333"/>
    <w:rsid w:val="1417CBF9"/>
    <w:rsid w:val="1418AA13"/>
    <w:rsid w:val="141B4247"/>
    <w:rsid w:val="142646B5"/>
    <w:rsid w:val="1426E02A"/>
    <w:rsid w:val="142AA34D"/>
    <w:rsid w:val="142FD301"/>
    <w:rsid w:val="1430667F"/>
    <w:rsid w:val="14359988"/>
    <w:rsid w:val="1436BA7E"/>
    <w:rsid w:val="14379BC2"/>
    <w:rsid w:val="14385CD2"/>
    <w:rsid w:val="143936E5"/>
    <w:rsid w:val="143A9C54"/>
    <w:rsid w:val="143C3077"/>
    <w:rsid w:val="143FACC8"/>
    <w:rsid w:val="14416875"/>
    <w:rsid w:val="14435A1B"/>
    <w:rsid w:val="14466084"/>
    <w:rsid w:val="144B3DD3"/>
    <w:rsid w:val="144D2DD6"/>
    <w:rsid w:val="144DD1DC"/>
    <w:rsid w:val="144EBA42"/>
    <w:rsid w:val="14537658"/>
    <w:rsid w:val="14557B57"/>
    <w:rsid w:val="145D0419"/>
    <w:rsid w:val="145EDAFC"/>
    <w:rsid w:val="1462A499"/>
    <w:rsid w:val="146382CC"/>
    <w:rsid w:val="14662299"/>
    <w:rsid w:val="1469FBE1"/>
    <w:rsid w:val="146AB853"/>
    <w:rsid w:val="146B0CB8"/>
    <w:rsid w:val="1477A0CD"/>
    <w:rsid w:val="1477F3C4"/>
    <w:rsid w:val="1484BAC4"/>
    <w:rsid w:val="1485A8C2"/>
    <w:rsid w:val="148BCFD3"/>
    <w:rsid w:val="148C44D9"/>
    <w:rsid w:val="14975CD3"/>
    <w:rsid w:val="1497A206"/>
    <w:rsid w:val="14985982"/>
    <w:rsid w:val="1498E2DC"/>
    <w:rsid w:val="14AAEBCE"/>
    <w:rsid w:val="14AB5BAC"/>
    <w:rsid w:val="14AC6A01"/>
    <w:rsid w:val="14B737FB"/>
    <w:rsid w:val="14B8B9F4"/>
    <w:rsid w:val="14B8C195"/>
    <w:rsid w:val="14BF9D62"/>
    <w:rsid w:val="14C43BCB"/>
    <w:rsid w:val="14C587C8"/>
    <w:rsid w:val="14D1CFC0"/>
    <w:rsid w:val="14D25CBB"/>
    <w:rsid w:val="14D66032"/>
    <w:rsid w:val="14D8394D"/>
    <w:rsid w:val="14DE2F39"/>
    <w:rsid w:val="14DE66CE"/>
    <w:rsid w:val="14DFBD5A"/>
    <w:rsid w:val="14E085C0"/>
    <w:rsid w:val="14E1705F"/>
    <w:rsid w:val="14E46EF3"/>
    <w:rsid w:val="14E72430"/>
    <w:rsid w:val="14EB922A"/>
    <w:rsid w:val="14EC227E"/>
    <w:rsid w:val="14EEDABC"/>
    <w:rsid w:val="14F8DBA1"/>
    <w:rsid w:val="14FAB852"/>
    <w:rsid w:val="1502DADF"/>
    <w:rsid w:val="1503D538"/>
    <w:rsid w:val="15093F8B"/>
    <w:rsid w:val="151873DE"/>
    <w:rsid w:val="1518C838"/>
    <w:rsid w:val="1523252F"/>
    <w:rsid w:val="15249EEF"/>
    <w:rsid w:val="15260416"/>
    <w:rsid w:val="1538A2EE"/>
    <w:rsid w:val="1538DC2E"/>
    <w:rsid w:val="153E3480"/>
    <w:rsid w:val="154012A8"/>
    <w:rsid w:val="1542F9BD"/>
    <w:rsid w:val="154845CA"/>
    <w:rsid w:val="154AAC66"/>
    <w:rsid w:val="154C23D1"/>
    <w:rsid w:val="154EB68D"/>
    <w:rsid w:val="1551C292"/>
    <w:rsid w:val="15587E32"/>
    <w:rsid w:val="155A1A32"/>
    <w:rsid w:val="155C02BD"/>
    <w:rsid w:val="155C2606"/>
    <w:rsid w:val="155E6E08"/>
    <w:rsid w:val="155E715E"/>
    <w:rsid w:val="1561889F"/>
    <w:rsid w:val="15637CDD"/>
    <w:rsid w:val="156479DD"/>
    <w:rsid w:val="1565EB65"/>
    <w:rsid w:val="1566E3B0"/>
    <w:rsid w:val="1567C8C5"/>
    <w:rsid w:val="15687AC7"/>
    <w:rsid w:val="156AA348"/>
    <w:rsid w:val="156E76D2"/>
    <w:rsid w:val="15735337"/>
    <w:rsid w:val="1576091B"/>
    <w:rsid w:val="157822D6"/>
    <w:rsid w:val="1578F0DE"/>
    <w:rsid w:val="157998A3"/>
    <w:rsid w:val="157A3BD3"/>
    <w:rsid w:val="157ADB80"/>
    <w:rsid w:val="158117CF"/>
    <w:rsid w:val="158185BE"/>
    <w:rsid w:val="1581B0D0"/>
    <w:rsid w:val="1586EAE9"/>
    <w:rsid w:val="15875766"/>
    <w:rsid w:val="1589B2BF"/>
    <w:rsid w:val="158AE4F8"/>
    <w:rsid w:val="158B2151"/>
    <w:rsid w:val="158D2D2D"/>
    <w:rsid w:val="159C2350"/>
    <w:rsid w:val="15A01678"/>
    <w:rsid w:val="15B7FE42"/>
    <w:rsid w:val="15B94B65"/>
    <w:rsid w:val="15BA1868"/>
    <w:rsid w:val="15BE9E64"/>
    <w:rsid w:val="15BEE3AE"/>
    <w:rsid w:val="15C4A724"/>
    <w:rsid w:val="15C831C5"/>
    <w:rsid w:val="15CC8299"/>
    <w:rsid w:val="15D4ACD0"/>
    <w:rsid w:val="15D5BE34"/>
    <w:rsid w:val="15D5F81C"/>
    <w:rsid w:val="15D8A32E"/>
    <w:rsid w:val="15DE02FB"/>
    <w:rsid w:val="15DEB970"/>
    <w:rsid w:val="15E504CA"/>
    <w:rsid w:val="15EB25D4"/>
    <w:rsid w:val="15EDB292"/>
    <w:rsid w:val="15EFF4FA"/>
    <w:rsid w:val="15F0337E"/>
    <w:rsid w:val="15F27A19"/>
    <w:rsid w:val="15F6571D"/>
    <w:rsid w:val="15FA0EDC"/>
    <w:rsid w:val="15FA2C6B"/>
    <w:rsid w:val="16037877"/>
    <w:rsid w:val="16073404"/>
    <w:rsid w:val="1607FE20"/>
    <w:rsid w:val="160951A5"/>
    <w:rsid w:val="160A8B07"/>
    <w:rsid w:val="160F1B59"/>
    <w:rsid w:val="160F533A"/>
    <w:rsid w:val="1610D819"/>
    <w:rsid w:val="16152BD9"/>
    <w:rsid w:val="1617E94A"/>
    <w:rsid w:val="1618560E"/>
    <w:rsid w:val="1618EEFC"/>
    <w:rsid w:val="1619EB26"/>
    <w:rsid w:val="161E3241"/>
    <w:rsid w:val="1621C325"/>
    <w:rsid w:val="16250E73"/>
    <w:rsid w:val="16276E92"/>
    <w:rsid w:val="162922DB"/>
    <w:rsid w:val="162C60C2"/>
    <w:rsid w:val="162C93B1"/>
    <w:rsid w:val="162E07C0"/>
    <w:rsid w:val="162F7867"/>
    <w:rsid w:val="162F8A24"/>
    <w:rsid w:val="1631ED5C"/>
    <w:rsid w:val="1633E64D"/>
    <w:rsid w:val="16348E67"/>
    <w:rsid w:val="16385D57"/>
    <w:rsid w:val="163AF743"/>
    <w:rsid w:val="163DC828"/>
    <w:rsid w:val="163FA4D0"/>
    <w:rsid w:val="164209A3"/>
    <w:rsid w:val="16518EF0"/>
    <w:rsid w:val="1652AC3D"/>
    <w:rsid w:val="1659E1C2"/>
    <w:rsid w:val="165C182F"/>
    <w:rsid w:val="165FF863"/>
    <w:rsid w:val="16628E15"/>
    <w:rsid w:val="16650152"/>
    <w:rsid w:val="166791AD"/>
    <w:rsid w:val="166C3575"/>
    <w:rsid w:val="166F90B0"/>
    <w:rsid w:val="16780AC1"/>
    <w:rsid w:val="1682F387"/>
    <w:rsid w:val="1689205B"/>
    <w:rsid w:val="168C64CA"/>
    <w:rsid w:val="1691A401"/>
    <w:rsid w:val="1692CEC1"/>
    <w:rsid w:val="16A05CCD"/>
    <w:rsid w:val="16A2DB48"/>
    <w:rsid w:val="16A2E3DB"/>
    <w:rsid w:val="16A72626"/>
    <w:rsid w:val="16A9C0D8"/>
    <w:rsid w:val="16AC8CA4"/>
    <w:rsid w:val="16B50103"/>
    <w:rsid w:val="16B5CA8D"/>
    <w:rsid w:val="16BE95FE"/>
    <w:rsid w:val="16C1CA10"/>
    <w:rsid w:val="16C69A85"/>
    <w:rsid w:val="16CA2AB3"/>
    <w:rsid w:val="16D3C06E"/>
    <w:rsid w:val="16D44B48"/>
    <w:rsid w:val="16D68067"/>
    <w:rsid w:val="16D68770"/>
    <w:rsid w:val="16D9D15A"/>
    <w:rsid w:val="16E319C6"/>
    <w:rsid w:val="16E3412B"/>
    <w:rsid w:val="16E4F11D"/>
    <w:rsid w:val="16E7F920"/>
    <w:rsid w:val="16ECA957"/>
    <w:rsid w:val="16F14CD3"/>
    <w:rsid w:val="16F2C61C"/>
    <w:rsid w:val="16F35B40"/>
    <w:rsid w:val="16FD50C5"/>
    <w:rsid w:val="1707BE66"/>
    <w:rsid w:val="170F4EAE"/>
    <w:rsid w:val="1711A546"/>
    <w:rsid w:val="1714B112"/>
    <w:rsid w:val="17157610"/>
    <w:rsid w:val="17171DAC"/>
    <w:rsid w:val="1722B709"/>
    <w:rsid w:val="17297EC4"/>
    <w:rsid w:val="172A92E2"/>
    <w:rsid w:val="172DFABD"/>
    <w:rsid w:val="17304624"/>
    <w:rsid w:val="17335AAD"/>
    <w:rsid w:val="1733805C"/>
    <w:rsid w:val="17343E5C"/>
    <w:rsid w:val="1735905E"/>
    <w:rsid w:val="1737DBE5"/>
    <w:rsid w:val="17384356"/>
    <w:rsid w:val="173ADA7F"/>
    <w:rsid w:val="173C686F"/>
    <w:rsid w:val="17407EC8"/>
    <w:rsid w:val="1745B744"/>
    <w:rsid w:val="174A1379"/>
    <w:rsid w:val="174D36F7"/>
    <w:rsid w:val="174FE9A1"/>
    <w:rsid w:val="1753AE3C"/>
    <w:rsid w:val="175BED3C"/>
    <w:rsid w:val="175C4D90"/>
    <w:rsid w:val="175D0164"/>
    <w:rsid w:val="175E374B"/>
    <w:rsid w:val="175F9502"/>
    <w:rsid w:val="1762DD38"/>
    <w:rsid w:val="17637644"/>
    <w:rsid w:val="177407DE"/>
    <w:rsid w:val="177AD2EB"/>
    <w:rsid w:val="177E380A"/>
    <w:rsid w:val="1783799E"/>
    <w:rsid w:val="1785DD68"/>
    <w:rsid w:val="178DD574"/>
    <w:rsid w:val="179339BF"/>
    <w:rsid w:val="17942BF8"/>
    <w:rsid w:val="17954719"/>
    <w:rsid w:val="17972CB0"/>
    <w:rsid w:val="17986C6E"/>
    <w:rsid w:val="179DD09D"/>
    <w:rsid w:val="179EC659"/>
    <w:rsid w:val="17A23D88"/>
    <w:rsid w:val="17A41EA1"/>
    <w:rsid w:val="17A48256"/>
    <w:rsid w:val="17A4EC4B"/>
    <w:rsid w:val="17A88534"/>
    <w:rsid w:val="17AE1B0F"/>
    <w:rsid w:val="17AFF3E9"/>
    <w:rsid w:val="17B25CF6"/>
    <w:rsid w:val="17B54719"/>
    <w:rsid w:val="17B6A894"/>
    <w:rsid w:val="17B8A7BA"/>
    <w:rsid w:val="17C1A763"/>
    <w:rsid w:val="17C490C0"/>
    <w:rsid w:val="17C7A84B"/>
    <w:rsid w:val="17CD423F"/>
    <w:rsid w:val="17D92168"/>
    <w:rsid w:val="17DE6073"/>
    <w:rsid w:val="17DF0864"/>
    <w:rsid w:val="17E12439"/>
    <w:rsid w:val="17E2CF54"/>
    <w:rsid w:val="17E3B408"/>
    <w:rsid w:val="17E43054"/>
    <w:rsid w:val="17E51091"/>
    <w:rsid w:val="17EAF7DC"/>
    <w:rsid w:val="17F24C8C"/>
    <w:rsid w:val="17F5C319"/>
    <w:rsid w:val="17F8F277"/>
    <w:rsid w:val="180B00CA"/>
    <w:rsid w:val="181AC58F"/>
    <w:rsid w:val="181E6CC9"/>
    <w:rsid w:val="18252EE6"/>
    <w:rsid w:val="18276325"/>
    <w:rsid w:val="1829682B"/>
    <w:rsid w:val="182C55A7"/>
    <w:rsid w:val="182C7D90"/>
    <w:rsid w:val="182D64C4"/>
    <w:rsid w:val="182EC535"/>
    <w:rsid w:val="1830B184"/>
    <w:rsid w:val="1831AFDB"/>
    <w:rsid w:val="1832C379"/>
    <w:rsid w:val="183FE841"/>
    <w:rsid w:val="1841E3F2"/>
    <w:rsid w:val="1844C65A"/>
    <w:rsid w:val="1852AD7E"/>
    <w:rsid w:val="1857E341"/>
    <w:rsid w:val="1866023F"/>
    <w:rsid w:val="186A1028"/>
    <w:rsid w:val="186E072C"/>
    <w:rsid w:val="186E0FB4"/>
    <w:rsid w:val="187005AF"/>
    <w:rsid w:val="1871A4EA"/>
    <w:rsid w:val="1877AD17"/>
    <w:rsid w:val="187A0855"/>
    <w:rsid w:val="187B36BF"/>
    <w:rsid w:val="1881C000"/>
    <w:rsid w:val="1883FB17"/>
    <w:rsid w:val="188442DC"/>
    <w:rsid w:val="1888DA94"/>
    <w:rsid w:val="188E5C94"/>
    <w:rsid w:val="188F3678"/>
    <w:rsid w:val="1890051F"/>
    <w:rsid w:val="18915206"/>
    <w:rsid w:val="189197F0"/>
    <w:rsid w:val="189682B5"/>
    <w:rsid w:val="1896D95D"/>
    <w:rsid w:val="189C900E"/>
    <w:rsid w:val="18A420EA"/>
    <w:rsid w:val="18AAC5AF"/>
    <w:rsid w:val="18ABD5CC"/>
    <w:rsid w:val="18B517CD"/>
    <w:rsid w:val="18B83FE3"/>
    <w:rsid w:val="18B961AA"/>
    <w:rsid w:val="18BB3875"/>
    <w:rsid w:val="18C0D62C"/>
    <w:rsid w:val="18C5C13D"/>
    <w:rsid w:val="18C7EB09"/>
    <w:rsid w:val="18CE1594"/>
    <w:rsid w:val="18D07824"/>
    <w:rsid w:val="18D0D826"/>
    <w:rsid w:val="18D16E57"/>
    <w:rsid w:val="18D38117"/>
    <w:rsid w:val="18D5E0DD"/>
    <w:rsid w:val="18D9DDBB"/>
    <w:rsid w:val="18DBA311"/>
    <w:rsid w:val="18E8FB40"/>
    <w:rsid w:val="18E90BF4"/>
    <w:rsid w:val="18EA31B9"/>
    <w:rsid w:val="18EBC58F"/>
    <w:rsid w:val="18F6006A"/>
    <w:rsid w:val="18F6CEA4"/>
    <w:rsid w:val="18F844B5"/>
    <w:rsid w:val="18FAECC5"/>
    <w:rsid w:val="18FC76E7"/>
    <w:rsid w:val="19016AF3"/>
    <w:rsid w:val="19090080"/>
    <w:rsid w:val="190C2359"/>
    <w:rsid w:val="190EC512"/>
    <w:rsid w:val="191063C6"/>
    <w:rsid w:val="19120DCB"/>
    <w:rsid w:val="19157D97"/>
    <w:rsid w:val="191CF76E"/>
    <w:rsid w:val="192148D7"/>
    <w:rsid w:val="19226D19"/>
    <w:rsid w:val="1922F68B"/>
    <w:rsid w:val="192DA903"/>
    <w:rsid w:val="1930BAFE"/>
    <w:rsid w:val="1932D894"/>
    <w:rsid w:val="193317FB"/>
    <w:rsid w:val="193FED53"/>
    <w:rsid w:val="194686BC"/>
    <w:rsid w:val="195367E2"/>
    <w:rsid w:val="195A0744"/>
    <w:rsid w:val="195E81AA"/>
    <w:rsid w:val="1962EA7D"/>
    <w:rsid w:val="196327B4"/>
    <w:rsid w:val="19650241"/>
    <w:rsid w:val="19674B3E"/>
    <w:rsid w:val="1967F7C0"/>
    <w:rsid w:val="196D31A6"/>
    <w:rsid w:val="1970DC9B"/>
    <w:rsid w:val="1970F528"/>
    <w:rsid w:val="1971F5D7"/>
    <w:rsid w:val="197D645D"/>
    <w:rsid w:val="19828039"/>
    <w:rsid w:val="1983E446"/>
    <w:rsid w:val="198FA98D"/>
    <w:rsid w:val="19976A19"/>
    <w:rsid w:val="1999EE3A"/>
    <w:rsid w:val="199A3DB2"/>
    <w:rsid w:val="199EC1F6"/>
    <w:rsid w:val="19A1FE09"/>
    <w:rsid w:val="19A61C11"/>
    <w:rsid w:val="19A99213"/>
    <w:rsid w:val="19AD7AEB"/>
    <w:rsid w:val="19B37FBE"/>
    <w:rsid w:val="19B85BAD"/>
    <w:rsid w:val="19B8E588"/>
    <w:rsid w:val="19BAF258"/>
    <w:rsid w:val="19BE4CC0"/>
    <w:rsid w:val="19BE9C48"/>
    <w:rsid w:val="19C1AEB9"/>
    <w:rsid w:val="19C6A0AD"/>
    <w:rsid w:val="19C9A43F"/>
    <w:rsid w:val="19CFDA5B"/>
    <w:rsid w:val="19D2CA93"/>
    <w:rsid w:val="19D313B8"/>
    <w:rsid w:val="19D50404"/>
    <w:rsid w:val="19DB2FE9"/>
    <w:rsid w:val="19DF97B5"/>
    <w:rsid w:val="19E1371E"/>
    <w:rsid w:val="19E4AF16"/>
    <w:rsid w:val="19E7711E"/>
    <w:rsid w:val="19F068FF"/>
    <w:rsid w:val="19F2DAC5"/>
    <w:rsid w:val="19F5555A"/>
    <w:rsid w:val="19FA15F8"/>
    <w:rsid w:val="19FF6966"/>
    <w:rsid w:val="1A005FEE"/>
    <w:rsid w:val="1A088FD0"/>
    <w:rsid w:val="1A088FF2"/>
    <w:rsid w:val="1A12243F"/>
    <w:rsid w:val="1A13FDEA"/>
    <w:rsid w:val="1A192512"/>
    <w:rsid w:val="1A22AE97"/>
    <w:rsid w:val="1A2B0B9E"/>
    <w:rsid w:val="1A2B4069"/>
    <w:rsid w:val="1A383271"/>
    <w:rsid w:val="1A38E844"/>
    <w:rsid w:val="1A3FB835"/>
    <w:rsid w:val="1A405B78"/>
    <w:rsid w:val="1A41B9E6"/>
    <w:rsid w:val="1A493B76"/>
    <w:rsid w:val="1A49AD0B"/>
    <w:rsid w:val="1A4DD3B8"/>
    <w:rsid w:val="1A4E04D2"/>
    <w:rsid w:val="1A502F87"/>
    <w:rsid w:val="1A51C156"/>
    <w:rsid w:val="1A51D110"/>
    <w:rsid w:val="1A541076"/>
    <w:rsid w:val="1A5E602D"/>
    <w:rsid w:val="1A6FA390"/>
    <w:rsid w:val="1A7334B7"/>
    <w:rsid w:val="1A75A21D"/>
    <w:rsid w:val="1A7652D8"/>
    <w:rsid w:val="1A778ACF"/>
    <w:rsid w:val="1A808D7A"/>
    <w:rsid w:val="1A835730"/>
    <w:rsid w:val="1A869DE8"/>
    <w:rsid w:val="1A86C65A"/>
    <w:rsid w:val="1A8A7955"/>
    <w:rsid w:val="1A8B662A"/>
    <w:rsid w:val="1A929514"/>
    <w:rsid w:val="1A96F492"/>
    <w:rsid w:val="1A9762C3"/>
    <w:rsid w:val="1A9A282C"/>
    <w:rsid w:val="1AA254CA"/>
    <w:rsid w:val="1AA4AF4D"/>
    <w:rsid w:val="1AA73970"/>
    <w:rsid w:val="1AAB0F5D"/>
    <w:rsid w:val="1AACB0BF"/>
    <w:rsid w:val="1AAEA2DB"/>
    <w:rsid w:val="1AB3577A"/>
    <w:rsid w:val="1AB425AA"/>
    <w:rsid w:val="1AB748B3"/>
    <w:rsid w:val="1AC2C30C"/>
    <w:rsid w:val="1AC3774C"/>
    <w:rsid w:val="1AC69C69"/>
    <w:rsid w:val="1AD059F1"/>
    <w:rsid w:val="1AD14624"/>
    <w:rsid w:val="1AD36F37"/>
    <w:rsid w:val="1AD38100"/>
    <w:rsid w:val="1AD9015D"/>
    <w:rsid w:val="1AD9A756"/>
    <w:rsid w:val="1ADE16DB"/>
    <w:rsid w:val="1AE40455"/>
    <w:rsid w:val="1AE55897"/>
    <w:rsid w:val="1AE5614B"/>
    <w:rsid w:val="1AECB113"/>
    <w:rsid w:val="1AEF31D1"/>
    <w:rsid w:val="1AF40787"/>
    <w:rsid w:val="1AF58EF0"/>
    <w:rsid w:val="1AF9D569"/>
    <w:rsid w:val="1B0398E1"/>
    <w:rsid w:val="1B0C55C3"/>
    <w:rsid w:val="1B0EA3BA"/>
    <w:rsid w:val="1B0EBD46"/>
    <w:rsid w:val="1B0F2117"/>
    <w:rsid w:val="1B0FAA5A"/>
    <w:rsid w:val="1B1C00F8"/>
    <w:rsid w:val="1B1CA0BF"/>
    <w:rsid w:val="1B2BAED3"/>
    <w:rsid w:val="1B2D4DCD"/>
    <w:rsid w:val="1B30DE24"/>
    <w:rsid w:val="1B343F85"/>
    <w:rsid w:val="1B35935D"/>
    <w:rsid w:val="1B3A5D6E"/>
    <w:rsid w:val="1B417231"/>
    <w:rsid w:val="1B438368"/>
    <w:rsid w:val="1B43972B"/>
    <w:rsid w:val="1B439B41"/>
    <w:rsid w:val="1B51FE50"/>
    <w:rsid w:val="1B54B1E0"/>
    <w:rsid w:val="1B5BDA2D"/>
    <w:rsid w:val="1B5CAB76"/>
    <w:rsid w:val="1B5F14A1"/>
    <w:rsid w:val="1B606AFB"/>
    <w:rsid w:val="1B60E93B"/>
    <w:rsid w:val="1B61ED8E"/>
    <w:rsid w:val="1B62C110"/>
    <w:rsid w:val="1B64C96F"/>
    <w:rsid w:val="1B64EA9D"/>
    <w:rsid w:val="1B654788"/>
    <w:rsid w:val="1B6A17DD"/>
    <w:rsid w:val="1B6C9036"/>
    <w:rsid w:val="1B6D2938"/>
    <w:rsid w:val="1B6F452A"/>
    <w:rsid w:val="1B74AC61"/>
    <w:rsid w:val="1B7536FF"/>
    <w:rsid w:val="1B756A27"/>
    <w:rsid w:val="1B778102"/>
    <w:rsid w:val="1B78BA52"/>
    <w:rsid w:val="1B78F15E"/>
    <w:rsid w:val="1B793FF6"/>
    <w:rsid w:val="1B7C3D2D"/>
    <w:rsid w:val="1B7E5A5C"/>
    <w:rsid w:val="1B7E9C0F"/>
    <w:rsid w:val="1B813DFC"/>
    <w:rsid w:val="1B81C0AE"/>
    <w:rsid w:val="1B829A24"/>
    <w:rsid w:val="1B885B95"/>
    <w:rsid w:val="1B893C36"/>
    <w:rsid w:val="1B8B850F"/>
    <w:rsid w:val="1B8BC5B9"/>
    <w:rsid w:val="1B8ED6F7"/>
    <w:rsid w:val="1B9049F0"/>
    <w:rsid w:val="1B904BE0"/>
    <w:rsid w:val="1B953101"/>
    <w:rsid w:val="1B96AD1D"/>
    <w:rsid w:val="1B96CAF3"/>
    <w:rsid w:val="1B979964"/>
    <w:rsid w:val="1B9F6E19"/>
    <w:rsid w:val="1BA84269"/>
    <w:rsid w:val="1BA91844"/>
    <w:rsid w:val="1BA9C588"/>
    <w:rsid w:val="1BAF66D4"/>
    <w:rsid w:val="1BB120A4"/>
    <w:rsid w:val="1BB205A6"/>
    <w:rsid w:val="1BB45E7F"/>
    <w:rsid w:val="1BB5F5E3"/>
    <w:rsid w:val="1BB7403A"/>
    <w:rsid w:val="1BB86AA0"/>
    <w:rsid w:val="1BC66077"/>
    <w:rsid w:val="1BC66537"/>
    <w:rsid w:val="1BC772BE"/>
    <w:rsid w:val="1BCD9705"/>
    <w:rsid w:val="1BD2A304"/>
    <w:rsid w:val="1BD317F4"/>
    <w:rsid w:val="1BD7DC4B"/>
    <w:rsid w:val="1BDB485E"/>
    <w:rsid w:val="1BDE55B1"/>
    <w:rsid w:val="1BE006B5"/>
    <w:rsid w:val="1BE1E162"/>
    <w:rsid w:val="1BE3F70A"/>
    <w:rsid w:val="1BE67CBA"/>
    <w:rsid w:val="1BE84C0B"/>
    <w:rsid w:val="1BED534B"/>
    <w:rsid w:val="1BEDE2D5"/>
    <w:rsid w:val="1BFA5B8B"/>
    <w:rsid w:val="1BFA76FC"/>
    <w:rsid w:val="1C01DB20"/>
    <w:rsid w:val="1C01EC65"/>
    <w:rsid w:val="1C09A3EF"/>
    <w:rsid w:val="1C15244E"/>
    <w:rsid w:val="1C1BB4BA"/>
    <w:rsid w:val="1C1D122D"/>
    <w:rsid w:val="1C1D3496"/>
    <w:rsid w:val="1C2268AA"/>
    <w:rsid w:val="1C22E6A9"/>
    <w:rsid w:val="1C23842F"/>
    <w:rsid w:val="1C252419"/>
    <w:rsid w:val="1C266C92"/>
    <w:rsid w:val="1C27B28A"/>
    <w:rsid w:val="1C341708"/>
    <w:rsid w:val="1C353830"/>
    <w:rsid w:val="1C35C6F3"/>
    <w:rsid w:val="1C36A9DE"/>
    <w:rsid w:val="1C37F9A6"/>
    <w:rsid w:val="1C402E79"/>
    <w:rsid w:val="1C4682FA"/>
    <w:rsid w:val="1C487E08"/>
    <w:rsid w:val="1C4A65FB"/>
    <w:rsid w:val="1C4E348F"/>
    <w:rsid w:val="1C56E736"/>
    <w:rsid w:val="1C58A748"/>
    <w:rsid w:val="1C5B0C68"/>
    <w:rsid w:val="1C61AC2F"/>
    <w:rsid w:val="1C65D45E"/>
    <w:rsid w:val="1C679ACA"/>
    <w:rsid w:val="1C689198"/>
    <w:rsid w:val="1C71AF82"/>
    <w:rsid w:val="1C776A0E"/>
    <w:rsid w:val="1C7CD37A"/>
    <w:rsid w:val="1C7D2394"/>
    <w:rsid w:val="1C7FC7AC"/>
    <w:rsid w:val="1C802019"/>
    <w:rsid w:val="1C8261CD"/>
    <w:rsid w:val="1C840E5C"/>
    <w:rsid w:val="1C842445"/>
    <w:rsid w:val="1C8A9A92"/>
    <w:rsid w:val="1C8D26C7"/>
    <w:rsid w:val="1C91E611"/>
    <w:rsid w:val="1C942FF9"/>
    <w:rsid w:val="1C950E98"/>
    <w:rsid w:val="1C964D5E"/>
    <w:rsid w:val="1C9A6A40"/>
    <w:rsid w:val="1C9FEE07"/>
    <w:rsid w:val="1CA1CE39"/>
    <w:rsid w:val="1CAA0469"/>
    <w:rsid w:val="1CAC1DC9"/>
    <w:rsid w:val="1CAC9329"/>
    <w:rsid w:val="1CAD0D88"/>
    <w:rsid w:val="1CAD0F15"/>
    <w:rsid w:val="1CAF26E3"/>
    <w:rsid w:val="1CB289C2"/>
    <w:rsid w:val="1CB42CE0"/>
    <w:rsid w:val="1CB489B9"/>
    <w:rsid w:val="1CB506A7"/>
    <w:rsid w:val="1CB9AC55"/>
    <w:rsid w:val="1CBA24C0"/>
    <w:rsid w:val="1CBB9CB3"/>
    <w:rsid w:val="1CBCFD55"/>
    <w:rsid w:val="1CBD41F8"/>
    <w:rsid w:val="1CBEBC09"/>
    <w:rsid w:val="1CC130E0"/>
    <w:rsid w:val="1CC26103"/>
    <w:rsid w:val="1CC2D076"/>
    <w:rsid w:val="1CC55E4A"/>
    <w:rsid w:val="1CC8ECE0"/>
    <w:rsid w:val="1CC9647F"/>
    <w:rsid w:val="1CD58AF6"/>
    <w:rsid w:val="1CD6738E"/>
    <w:rsid w:val="1CD67D89"/>
    <w:rsid w:val="1CD967B3"/>
    <w:rsid w:val="1CDC5CB8"/>
    <w:rsid w:val="1CDE971C"/>
    <w:rsid w:val="1CEA3B62"/>
    <w:rsid w:val="1CEE05BF"/>
    <w:rsid w:val="1CF06E0B"/>
    <w:rsid w:val="1CF3FCB5"/>
    <w:rsid w:val="1CF460E3"/>
    <w:rsid w:val="1CF77564"/>
    <w:rsid w:val="1D0B3F0D"/>
    <w:rsid w:val="1D129517"/>
    <w:rsid w:val="1D12B9E2"/>
    <w:rsid w:val="1D132397"/>
    <w:rsid w:val="1D1423A8"/>
    <w:rsid w:val="1D1AB2CA"/>
    <w:rsid w:val="1D250845"/>
    <w:rsid w:val="1D255404"/>
    <w:rsid w:val="1D2781B1"/>
    <w:rsid w:val="1D2926E5"/>
    <w:rsid w:val="1D2CA19B"/>
    <w:rsid w:val="1D2D112F"/>
    <w:rsid w:val="1D2EFCB3"/>
    <w:rsid w:val="1D3023EA"/>
    <w:rsid w:val="1D315F5A"/>
    <w:rsid w:val="1D3281E9"/>
    <w:rsid w:val="1D35EDDC"/>
    <w:rsid w:val="1D38FA8D"/>
    <w:rsid w:val="1D3963FF"/>
    <w:rsid w:val="1D456886"/>
    <w:rsid w:val="1D499EBC"/>
    <w:rsid w:val="1D5324AA"/>
    <w:rsid w:val="1D55E330"/>
    <w:rsid w:val="1D5B3C74"/>
    <w:rsid w:val="1D5EE78D"/>
    <w:rsid w:val="1D5F99A4"/>
    <w:rsid w:val="1D601286"/>
    <w:rsid w:val="1D6435A2"/>
    <w:rsid w:val="1D6D42ED"/>
    <w:rsid w:val="1D71A872"/>
    <w:rsid w:val="1D7B7364"/>
    <w:rsid w:val="1D7D56B9"/>
    <w:rsid w:val="1D864C91"/>
    <w:rsid w:val="1D877703"/>
    <w:rsid w:val="1D88ABA3"/>
    <w:rsid w:val="1D94C968"/>
    <w:rsid w:val="1D9C0D0E"/>
    <w:rsid w:val="1D9E2FB7"/>
    <w:rsid w:val="1DA15CDD"/>
    <w:rsid w:val="1DA3203B"/>
    <w:rsid w:val="1DA6FC71"/>
    <w:rsid w:val="1DA82940"/>
    <w:rsid w:val="1DAAA91C"/>
    <w:rsid w:val="1DB106F7"/>
    <w:rsid w:val="1DB171CE"/>
    <w:rsid w:val="1DB8EDBD"/>
    <w:rsid w:val="1DBB4CD1"/>
    <w:rsid w:val="1DBD114A"/>
    <w:rsid w:val="1DBD12D7"/>
    <w:rsid w:val="1DC5320C"/>
    <w:rsid w:val="1DC7615A"/>
    <w:rsid w:val="1DC802A3"/>
    <w:rsid w:val="1DC986CD"/>
    <w:rsid w:val="1DC98B16"/>
    <w:rsid w:val="1DCE46C3"/>
    <w:rsid w:val="1DD3D013"/>
    <w:rsid w:val="1DD5CAAF"/>
    <w:rsid w:val="1DD882DE"/>
    <w:rsid w:val="1DDB7FEF"/>
    <w:rsid w:val="1DDF3836"/>
    <w:rsid w:val="1DE1F504"/>
    <w:rsid w:val="1DE2A7C9"/>
    <w:rsid w:val="1DE654DA"/>
    <w:rsid w:val="1DE73086"/>
    <w:rsid w:val="1DE7EA06"/>
    <w:rsid w:val="1DE9121D"/>
    <w:rsid w:val="1DEEED60"/>
    <w:rsid w:val="1DEFE8B5"/>
    <w:rsid w:val="1DF147E9"/>
    <w:rsid w:val="1DF4989F"/>
    <w:rsid w:val="1DF66FC6"/>
    <w:rsid w:val="1E0563AD"/>
    <w:rsid w:val="1E05D443"/>
    <w:rsid w:val="1E0AB000"/>
    <w:rsid w:val="1E1063C5"/>
    <w:rsid w:val="1E11997E"/>
    <w:rsid w:val="1E16CA35"/>
    <w:rsid w:val="1E1753B0"/>
    <w:rsid w:val="1E18F052"/>
    <w:rsid w:val="1E1D561D"/>
    <w:rsid w:val="1E208685"/>
    <w:rsid w:val="1E2452C2"/>
    <w:rsid w:val="1E25DAB9"/>
    <w:rsid w:val="1E2738F1"/>
    <w:rsid w:val="1E2C98D7"/>
    <w:rsid w:val="1E2D882D"/>
    <w:rsid w:val="1E2D8F65"/>
    <w:rsid w:val="1E30BB70"/>
    <w:rsid w:val="1E3106C7"/>
    <w:rsid w:val="1E32BF5E"/>
    <w:rsid w:val="1E35644F"/>
    <w:rsid w:val="1E44E1D9"/>
    <w:rsid w:val="1E471002"/>
    <w:rsid w:val="1E48C1F3"/>
    <w:rsid w:val="1E5083BF"/>
    <w:rsid w:val="1E512061"/>
    <w:rsid w:val="1E5431BC"/>
    <w:rsid w:val="1E562E0A"/>
    <w:rsid w:val="1E5E3C45"/>
    <w:rsid w:val="1E5F2E3D"/>
    <w:rsid w:val="1E621C51"/>
    <w:rsid w:val="1E62420A"/>
    <w:rsid w:val="1E6449D7"/>
    <w:rsid w:val="1E6C2579"/>
    <w:rsid w:val="1E6D4855"/>
    <w:rsid w:val="1E73668E"/>
    <w:rsid w:val="1E74B818"/>
    <w:rsid w:val="1E75BD7C"/>
    <w:rsid w:val="1E75EF46"/>
    <w:rsid w:val="1E7718EA"/>
    <w:rsid w:val="1E781FBB"/>
    <w:rsid w:val="1E7CC94B"/>
    <w:rsid w:val="1E839AA3"/>
    <w:rsid w:val="1E858C4C"/>
    <w:rsid w:val="1E89920D"/>
    <w:rsid w:val="1E8D97C8"/>
    <w:rsid w:val="1E8F5BE5"/>
    <w:rsid w:val="1E8FE936"/>
    <w:rsid w:val="1E982A13"/>
    <w:rsid w:val="1E9ABB8F"/>
    <w:rsid w:val="1E9E69AB"/>
    <w:rsid w:val="1EA6E62D"/>
    <w:rsid w:val="1EA948AC"/>
    <w:rsid w:val="1EAA4D02"/>
    <w:rsid w:val="1EAF58E7"/>
    <w:rsid w:val="1EAFEFC8"/>
    <w:rsid w:val="1EB1312C"/>
    <w:rsid w:val="1EB26727"/>
    <w:rsid w:val="1EB5CB03"/>
    <w:rsid w:val="1EBF9CE5"/>
    <w:rsid w:val="1EBFA3C6"/>
    <w:rsid w:val="1EBFF2EE"/>
    <w:rsid w:val="1EC51780"/>
    <w:rsid w:val="1ECB9DF5"/>
    <w:rsid w:val="1ECD69B7"/>
    <w:rsid w:val="1ECE0BE9"/>
    <w:rsid w:val="1ED3D1A3"/>
    <w:rsid w:val="1ED62136"/>
    <w:rsid w:val="1ED6DE52"/>
    <w:rsid w:val="1EE423A1"/>
    <w:rsid w:val="1EE45F03"/>
    <w:rsid w:val="1EE4CB56"/>
    <w:rsid w:val="1EF72E98"/>
    <w:rsid w:val="1EFE461C"/>
    <w:rsid w:val="1EFF5CF2"/>
    <w:rsid w:val="1F043D1A"/>
    <w:rsid w:val="1F05E093"/>
    <w:rsid w:val="1F06952D"/>
    <w:rsid w:val="1F070675"/>
    <w:rsid w:val="1F0A7240"/>
    <w:rsid w:val="1F0EE93A"/>
    <w:rsid w:val="1F0FA82F"/>
    <w:rsid w:val="1F17B41F"/>
    <w:rsid w:val="1F17BD0C"/>
    <w:rsid w:val="1F1E516F"/>
    <w:rsid w:val="1F1E7B09"/>
    <w:rsid w:val="1F232494"/>
    <w:rsid w:val="1F2B9F1F"/>
    <w:rsid w:val="1F2FE358"/>
    <w:rsid w:val="1F33E524"/>
    <w:rsid w:val="1F3444C8"/>
    <w:rsid w:val="1F352D07"/>
    <w:rsid w:val="1F36EB10"/>
    <w:rsid w:val="1F3C0A6F"/>
    <w:rsid w:val="1F3D1DF1"/>
    <w:rsid w:val="1F3DF8A8"/>
    <w:rsid w:val="1F3E242E"/>
    <w:rsid w:val="1F408D93"/>
    <w:rsid w:val="1F417D43"/>
    <w:rsid w:val="1F475FF3"/>
    <w:rsid w:val="1F4827AD"/>
    <w:rsid w:val="1F4B99F9"/>
    <w:rsid w:val="1F4DB463"/>
    <w:rsid w:val="1F5297F7"/>
    <w:rsid w:val="1F5A4834"/>
    <w:rsid w:val="1F5AFEDD"/>
    <w:rsid w:val="1F5C5D0C"/>
    <w:rsid w:val="1F5CD5C2"/>
    <w:rsid w:val="1F603378"/>
    <w:rsid w:val="1F62D58A"/>
    <w:rsid w:val="1F668114"/>
    <w:rsid w:val="1F672D0F"/>
    <w:rsid w:val="1F6BF10A"/>
    <w:rsid w:val="1F70776D"/>
    <w:rsid w:val="1F7125A8"/>
    <w:rsid w:val="1F769F77"/>
    <w:rsid w:val="1F7A0154"/>
    <w:rsid w:val="1F7A2CBB"/>
    <w:rsid w:val="1F80B148"/>
    <w:rsid w:val="1F851B32"/>
    <w:rsid w:val="1F86F64D"/>
    <w:rsid w:val="1F881646"/>
    <w:rsid w:val="1F8B4D70"/>
    <w:rsid w:val="1F8BACEC"/>
    <w:rsid w:val="1F8CCAEF"/>
    <w:rsid w:val="1F8E98DD"/>
    <w:rsid w:val="1F8EF190"/>
    <w:rsid w:val="1F92FE86"/>
    <w:rsid w:val="1F998C6D"/>
    <w:rsid w:val="1F99902C"/>
    <w:rsid w:val="1F9B17BD"/>
    <w:rsid w:val="1F9FCBE7"/>
    <w:rsid w:val="1FA3E677"/>
    <w:rsid w:val="1FA66073"/>
    <w:rsid w:val="1FA797BF"/>
    <w:rsid w:val="1FAE3907"/>
    <w:rsid w:val="1FAF32CF"/>
    <w:rsid w:val="1FB0FFB6"/>
    <w:rsid w:val="1FB5CF3E"/>
    <w:rsid w:val="1FBA77C8"/>
    <w:rsid w:val="1FBCBCF6"/>
    <w:rsid w:val="1FC356EC"/>
    <w:rsid w:val="1FC4EA06"/>
    <w:rsid w:val="1FC57BDE"/>
    <w:rsid w:val="1FC58C6D"/>
    <w:rsid w:val="1FC667B9"/>
    <w:rsid w:val="1FCAB328"/>
    <w:rsid w:val="1FD1D2F3"/>
    <w:rsid w:val="1FD3CEF9"/>
    <w:rsid w:val="1FD4A72D"/>
    <w:rsid w:val="1FD712C1"/>
    <w:rsid w:val="1FD901D5"/>
    <w:rsid w:val="1FDB8269"/>
    <w:rsid w:val="1FDF3280"/>
    <w:rsid w:val="1FE022F6"/>
    <w:rsid w:val="1FE15F31"/>
    <w:rsid w:val="1FE2114F"/>
    <w:rsid w:val="1FE6C82A"/>
    <w:rsid w:val="1FEC218C"/>
    <w:rsid w:val="1FF4CC23"/>
    <w:rsid w:val="1FFBBC0B"/>
    <w:rsid w:val="2003044B"/>
    <w:rsid w:val="20032425"/>
    <w:rsid w:val="2005C365"/>
    <w:rsid w:val="20076911"/>
    <w:rsid w:val="20085D42"/>
    <w:rsid w:val="2008F859"/>
    <w:rsid w:val="200FE5B5"/>
    <w:rsid w:val="2012C7D9"/>
    <w:rsid w:val="201420A8"/>
    <w:rsid w:val="2014F9ED"/>
    <w:rsid w:val="20191677"/>
    <w:rsid w:val="201A14EC"/>
    <w:rsid w:val="201D53A4"/>
    <w:rsid w:val="201DDD7D"/>
    <w:rsid w:val="202211E6"/>
    <w:rsid w:val="2022C85B"/>
    <w:rsid w:val="20295766"/>
    <w:rsid w:val="2029B191"/>
    <w:rsid w:val="202D6F06"/>
    <w:rsid w:val="202ECB92"/>
    <w:rsid w:val="202F59B0"/>
    <w:rsid w:val="2030F805"/>
    <w:rsid w:val="2032383D"/>
    <w:rsid w:val="2035C28F"/>
    <w:rsid w:val="203642CF"/>
    <w:rsid w:val="2037075A"/>
    <w:rsid w:val="2039450C"/>
    <w:rsid w:val="203CF2FF"/>
    <w:rsid w:val="20416746"/>
    <w:rsid w:val="204384C7"/>
    <w:rsid w:val="20442F40"/>
    <w:rsid w:val="204D3E0B"/>
    <w:rsid w:val="204EA2A8"/>
    <w:rsid w:val="204FEBB0"/>
    <w:rsid w:val="205227D1"/>
    <w:rsid w:val="20558840"/>
    <w:rsid w:val="205DFDFB"/>
    <w:rsid w:val="2060A0E1"/>
    <w:rsid w:val="20636BCF"/>
    <w:rsid w:val="20676C1F"/>
    <w:rsid w:val="20695EF8"/>
    <w:rsid w:val="2069C23D"/>
    <w:rsid w:val="206D1EEA"/>
    <w:rsid w:val="206DF591"/>
    <w:rsid w:val="20706C31"/>
    <w:rsid w:val="20707D2D"/>
    <w:rsid w:val="207177F1"/>
    <w:rsid w:val="2076242C"/>
    <w:rsid w:val="2078D50B"/>
    <w:rsid w:val="207F3BDC"/>
    <w:rsid w:val="20829DC8"/>
    <w:rsid w:val="208BC7ED"/>
    <w:rsid w:val="2090E91C"/>
    <w:rsid w:val="20932AA0"/>
    <w:rsid w:val="20940190"/>
    <w:rsid w:val="209467D7"/>
    <w:rsid w:val="209E4353"/>
    <w:rsid w:val="20A31FAD"/>
    <w:rsid w:val="20A3F937"/>
    <w:rsid w:val="20A4CC27"/>
    <w:rsid w:val="20A5408E"/>
    <w:rsid w:val="20A88C88"/>
    <w:rsid w:val="20AEA0F6"/>
    <w:rsid w:val="20B55DE1"/>
    <w:rsid w:val="20B94568"/>
    <w:rsid w:val="20B9F089"/>
    <w:rsid w:val="20BA1F79"/>
    <w:rsid w:val="20BA76F7"/>
    <w:rsid w:val="20BC3216"/>
    <w:rsid w:val="20BCB9C8"/>
    <w:rsid w:val="20BDA821"/>
    <w:rsid w:val="20CA6538"/>
    <w:rsid w:val="20CAF405"/>
    <w:rsid w:val="20CF0403"/>
    <w:rsid w:val="20CFEE3E"/>
    <w:rsid w:val="20D012E9"/>
    <w:rsid w:val="20D35A4A"/>
    <w:rsid w:val="20D42D98"/>
    <w:rsid w:val="20D6F2A4"/>
    <w:rsid w:val="20D77009"/>
    <w:rsid w:val="20D978EB"/>
    <w:rsid w:val="20D9A24C"/>
    <w:rsid w:val="20DA8553"/>
    <w:rsid w:val="20E52154"/>
    <w:rsid w:val="20EA01DB"/>
    <w:rsid w:val="20F1A9A1"/>
    <w:rsid w:val="20FE9996"/>
    <w:rsid w:val="20FEF19F"/>
    <w:rsid w:val="20FF3FFA"/>
    <w:rsid w:val="2105E271"/>
    <w:rsid w:val="2111783C"/>
    <w:rsid w:val="21128468"/>
    <w:rsid w:val="2116AF1E"/>
    <w:rsid w:val="2119D6D1"/>
    <w:rsid w:val="211D9758"/>
    <w:rsid w:val="2128F556"/>
    <w:rsid w:val="212D34C3"/>
    <w:rsid w:val="213645EE"/>
    <w:rsid w:val="2138F97F"/>
    <w:rsid w:val="213AEAF0"/>
    <w:rsid w:val="213E8037"/>
    <w:rsid w:val="213F2943"/>
    <w:rsid w:val="213F66B6"/>
    <w:rsid w:val="2145C7D4"/>
    <w:rsid w:val="214991B6"/>
    <w:rsid w:val="214A582D"/>
    <w:rsid w:val="21528F2B"/>
    <w:rsid w:val="21535C90"/>
    <w:rsid w:val="215BFBBA"/>
    <w:rsid w:val="2163BD9B"/>
    <w:rsid w:val="2169FFA9"/>
    <w:rsid w:val="2173DADF"/>
    <w:rsid w:val="2176B83B"/>
    <w:rsid w:val="217AC5E1"/>
    <w:rsid w:val="217ADE12"/>
    <w:rsid w:val="2180DF4A"/>
    <w:rsid w:val="21833FE7"/>
    <w:rsid w:val="2185A8B6"/>
    <w:rsid w:val="21917978"/>
    <w:rsid w:val="2196F45A"/>
    <w:rsid w:val="2196F6B2"/>
    <w:rsid w:val="21987F0B"/>
    <w:rsid w:val="219ED9D2"/>
    <w:rsid w:val="21A2F9F9"/>
    <w:rsid w:val="21A34AFC"/>
    <w:rsid w:val="21AC268F"/>
    <w:rsid w:val="21AC7208"/>
    <w:rsid w:val="21AD341C"/>
    <w:rsid w:val="21B0C46A"/>
    <w:rsid w:val="21B1D011"/>
    <w:rsid w:val="21B2DE94"/>
    <w:rsid w:val="21B2E83B"/>
    <w:rsid w:val="21B8C073"/>
    <w:rsid w:val="21BBB996"/>
    <w:rsid w:val="21BD683F"/>
    <w:rsid w:val="21BF078A"/>
    <w:rsid w:val="21C0EE34"/>
    <w:rsid w:val="21C12AF2"/>
    <w:rsid w:val="21C410E4"/>
    <w:rsid w:val="21C51055"/>
    <w:rsid w:val="21CFA972"/>
    <w:rsid w:val="21CFB870"/>
    <w:rsid w:val="21D63CE8"/>
    <w:rsid w:val="21D9337D"/>
    <w:rsid w:val="21DB3472"/>
    <w:rsid w:val="21DD3416"/>
    <w:rsid w:val="21DDB441"/>
    <w:rsid w:val="21DE5543"/>
    <w:rsid w:val="21E11944"/>
    <w:rsid w:val="21E173AD"/>
    <w:rsid w:val="21E4D1DC"/>
    <w:rsid w:val="21EB4E81"/>
    <w:rsid w:val="21F0C1FE"/>
    <w:rsid w:val="21F41889"/>
    <w:rsid w:val="21F84BD0"/>
    <w:rsid w:val="21F8BC0B"/>
    <w:rsid w:val="21FC451F"/>
    <w:rsid w:val="21FCF590"/>
    <w:rsid w:val="21FD6B8B"/>
    <w:rsid w:val="220CC732"/>
    <w:rsid w:val="220E11C4"/>
    <w:rsid w:val="220F61E1"/>
    <w:rsid w:val="2210AFF8"/>
    <w:rsid w:val="22135145"/>
    <w:rsid w:val="221835B1"/>
    <w:rsid w:val="221B63E4"/>
    <w:rsid w:val="22204360"/>
    <w:rsid w:val="222308AE"/>
    <w:rsid w:val="2223CD24"/>
    <w:rsid w:val="22253450"/>
    <w:rsid w:val="222798E6"/>
    <w:rsid w:val="2227F99C"/>
    <w:rsid w:val="22308B9E"/>
    <w:rsid w:val="22373168"/>
    <w:rsid w:val="2237CA02"/>
    <w:rsid w:val="223ABABC"/>
    <w:rsid w:val="223B8308"/>
    <w:rsid w:val="223BBA7B"/>
    <w:rsid w:val="223CBB1C"/>
    <w:rsid w:val="223E1F4D"/>
    <w:rsid w:val="223F979B"/>
    <w:rsid w:val="22434138"/>
    <w:rsid w:val="22501C44"/>
    <w:rsid w:val="225046C5"/>
    <w:rsid w:val="225118C4"/>
    <w:rsid w:val="225277C8"/>
    <w:rsid w:val="225B38C1"/>
    <w:rsid w:val="225DCBB1"/>
    <w:rsid w:val="225F7988"/>
    <w:rsid w:val="22655C0E"/>
    <w:rsid w:val="2265FC99"/>
    <w:rsid w:val="226640AA"/>
    <w:rsid w:val="22694303"/>
    <w:rsid w:val="226A149D"/>
    <w:rsid w:val="226DA07C"/>
    <w:rsid w:val="22741DE2"/>
    <w:rsid w:val="2276C919"/>
    <w:rsid w:val="2279D890"/>
    <w:rsid w:val="2279FA7A"/>
    <w:rsid w:val="227A1DD7"/>
    <w:rsid w:val="227A21D1"/>
    <w:rsid w:val="227B6184"/>
    <w:rsid w:val="227D1EE3"/>
    <w:rsid w:val="22846A46"/>
    <w:rsid w:val="2289C2D1"/>
    <w:rsid w:val="228AA9B7"/>
    <w:rsid w:val="228B5B37"/>
    <w:rsid w:val="228C5B1E"/>
    <w:rsid w:val="22933895"/>
    <w:rsid w:val="22969541"/>
    <w:rsid w:val="22987B5F"/>
    <w:rsid w:val="229BBC0C"/>
    <w:rsid w:val="22A9A889"/>
    <w:rsid w:val="22AB0B4A"/>
    <w:rsid w:val="22AF7DE4"/>
    <w:rsid w:val="22B2FB65"/>
    <w:rsid w:val="22B88E38"/>
    <w:rsid w:val="22BDA6AB"/>
    <w:rsid w:val="22C25788"/>
    <w:rsid w:val="22C389D0"/>
    <w:rsid w:val="22CC85EE"/>
    <w:rsid w:val="22D19E1B"/>
    <w:rsid w:val="22D21FF0"/>
    <w:rsid w:val="22D68D49"/>
    <w:rsid w:val="22DAA5C7"/>
    <w:rsid w:val="22DF3EFB"/>
    <w:rsid w:val="22DF90A5"/>
    <w:rsid w:val="22E400F4"/>
    <w:rsid w:val="22E76078"/>
    <w:rsid w:val="22EC4E43"/>
    <w:rsid w:val="22F42AC4"/>
    <w:rsid w:val="22F9AA70"/>
    <w:rsid w:val="22FB65FC"/>
    <w:rsid w:val="230DF995"/>
    <w:rsid w:val="230E0559"/>
    <w:rsid w:val="230EF20C"/>
    <w:rsid w:val="230F8116"/>
    <w:rsid w:val="2310B052"/>
    <w:rsid w:val="23175B87"/>
    <w:rsid w:val="2322D78F"/>
    <w:rsid w:val="2324C536"/>
    <w:rsid w:val="23252761"/>
    <w:rsid w:val="232738EB"/>
    <w:rsid w:val="23288EE5"/>
    <w:rsid w:val="232AF7E4"/>
    <w:rsid w:val="232C2D9B"/>
    <w:rsid w:val="232D938C"/>
    <w:rsid w:val="232FDF32"/>
    <w:rsid w:val="2332BB36"/>
    <w:rsid w:val="2337B4A1"/>
    <w:rsid w:val="2339D55A"/>
    <w:rsid w:val="233F29A8"/>
    <w:rsid w:val="23413239"/>
    <w:rsid w:val="2341C47E"/>
    <w:rsid w:val="2342F128"/>
    <w:rsid w:val="2345A087"/>
    <w:rsid w:val="23479617"/>
    <w:rsid w:val="2347CE3A"/>
    <w:rsid w:val="23482C7C"/>
    <w:rsid w:val="23495427"/>
    <w:rsid w:val="234B9B8C"/>
    <w:rsid w:val="234E8C55"/>
    <w:rsid w:val="235042C2"/>
    <w:rsid w:val="2352E2A2"/>
    <w:rsid w:val="23562C4F"/>
    <w:rsid w:val="2356AC56"/>
    <w:rsid w:val="2357D547"/>
    <w:rsid w:val="23589971"/>
    <w:rsid w:val="235A2A01"/>
    <w:rsid w:val="235A7A72"/>
    <w:rsid w:val="235A7F04"/>
    <w:rsid w:val="235D629C"/>
    <w:rsid w:val="23610780"/>
    <w:rsid w:val="23612540"/>
    <w:rsid w:val="23639B98"/>
    <w:rsid w:val="23641D03"/>
    <w:rsid w:val="2365AF2C"/>
    <w:rsid w:val="2366EB66"/>
    <w:rsid w:val="23677717"/>
    <w:rsid w:val="2367C940"/>
    <w:rsid w:val="23687B4B"/>
    <w:rsid w:val="2369ED19"/>
    <w:rsid w:val="236F464D"/>
    <w:rsid w:val="236FE08B"/>
    <w:rsid w:val="2372A8ED"/>
    <w:rsid w:val="2377A96B"/>
    <w:rsid w:val="2379C50E"/>
    <w:rsid w:val="237A21FE"/>
    <w:rsid w:val="237A4E5E"/>
    <w:rsid w:val="237AB1E8"/>
    <w:rsid w:val="2381C084"/>
    <w:rsid w:val="2386D94A"/>
    <w:rsid w:val="238A20BD"/>
    <w:rsid w:val="238CC404"/>
    <w:rsid w:val="239248E2"/>
    <w:rsid w:val="2395CD9D"/>
    <w:rsid w:val="23988C03"/>
    <w:rsid w:val="23A5B86B"/>
    <w:rsid w:val="23A66A88"/>
    <w:rsid w:val="23A89482"/>
    <w:rsid w:val="23AD24D4"/>
    <w:rsid w:val="23AE987A"/>
    <w:rsid w:val="23B18C9E"/>
    <w:rsid w:val="23B1A19E"/>
    <w:rsid w:val="23B3E525"/>
    <w:rsid w:val="23B3F3DB"/>
    <w:rsid w:val="23B47411"/>
    <w:rsid w:val="23BF8D3A"/>
    <w:rsid w:val="23C36DF2"/>
    <w:rsid w:val="23CB4301"/>
    <w:rsid w:val="23CCE1CE"/>
    <w:rsid w:val="23CE062D"/>
    <w:rsid w:val="23D2C9BC"/>
    <w:rsid w:val="23D3341C"/>
    <w:rsid w:val="23D78040"/>
    <w:rsid w:val="23D7E555"/>
    <w:rsid w:val="23DB6400"/>
    <w:rsid w:val="23DEB5C2"/>
    <w:rsid w:val="23DF621C"/>
    <w:rsid w:val="23E41B12"/>
    <w:rsid w:val="23E51768"/>
    <w:rsid w:val="23EAE76D"/>
    <w:rsid w:val="23ED9330"/>
    <w:rsid w:val="23EF67DD"/>
    <w:rsid w:val="23F520E8"/>
    <w:rsid w:val="23FC5011"/>
    <w:rsid w:val="23FF09A2"/>
    <w:rsid w:val="23FFBA9E"/>
    <w:rsid w:val="24078464"/>
    <w:rsid w:val="2407F0F6"/>
    <w:rsid w:val="2408545E"/>
    <w:rsid w:val="2408BC1C"/>
    <w:rsid w:val="240C0011"/>
    <w:rsid w:val="240C1606"/>
    <w:rsid w:val="2414FDEC"/>
    <w:rsid w:val="24161DAB"/>
    <w:rsid w:val="24167584"/>
    <w:rsid w:val="241B8685"/>
    <w:rsid w:val="242A6D3F"/>
    <w:rsid w:val="242AB1F0"/>
    <w:rsid w:val="242AF81B"/>
    <w:rsid w:val="242CA388"/>
    <w:rsid w:val="24303351"/>
    <w:rsid w:val="24331CEE"/>
    <w:rsid w:val="2433D724"/>
    <w:rsid w:val="243CAD49"/>
    <w:rsid w:val="2441EBBE"/>
    <w:rsid w:val="244290CA"/>
    <w:rsid w:val="244747C5"/>
    <w:rsid w:val="2447D0DC"/>
    <w:rsid w:val="244A7CB0"/>
    <w:rsid w:val="244F6AE4"/>
    <w:rsid w:val="244F7A6C"/>
    <w:rsid w:val="2451D960"/>
    <w:rsid w:val="24527AE1"/>
    <w:rsid w:val="24564BA4"/>
    <w:rsid w:val="245A326E"/>
    <w:rsid w:val="245B1571"/>
    <w:rsid w:val="245B1C3A"/>
    <w:rsid w:val="245E3A49"/>
    <w:rsid w:val="2464FD06"/>
    <w:rsid w:val="246DBF28"/>
    <w:rsid w:val="247EFF7A"/>
    <w:rsid w:val="247FB73C"/>
    <w:rsid w:val="248577D4"/>
    <w:rsid w:val="24909D4D"/>
    <w:rsid w:val="2495272D"/>
    <w:rsid w:val="24966C1B"/>
    <w:rsid w:val="249E654F"/>
    <w:rsid w:val="24A0ECA9"/>
    <w:rsid w:val="24A0F118"/>
    <w:rsid w:val="24A1663A"/>
    <w:rsid w:val="24A1C4AC"/>
    <w:rsid w:val="24A83F72"/>
    <w:rsid w:val="24AA6C76"/>
    <w:rsid w:val="24AA8F7E"/>
    <w:rsid w:val="24AABE7C"/>
    <w:rsid w:val="24B28E80"/>
    <w:rsid w:val="24B86C5F"/>
    <w:rsid w:val="24BC20E2"/>
    <w:rsid w:val="24BD98BB"/>
    <w:rsid w:val="24BE03E8"/>
    <w:rsid w:val="24C27268"/>
    <w:rsid w:val="24C74EFA"/>
    <w:rsid w:val="24C8EC1B"/>
    <w:rsid w:val="24CCCCF0"/>
    <w:rsid w:val="24CDAF27"/>
    <w:rsid w:val="24CE281C"/>
    <w:rsid w:val="24D1BA2F"/>
    <w:rsid w:val="24D61A8D"/>
    <w:rsid w:val="24D71F21"/>
    <w:rsid w:val="24D77B22"/>
    <w:rsid w:val="24D7FD82"/>
    <w:rsid w:val="24D995EA"/>
    <w:rsid w:val="24DA0E63"/>
    <w:rsid w:val="24DC973C"/>
    <w:rsid w:val="24DE8278"/>
    <w:rsid w:val="24E9673F"/>
    <w:rsid w:val="24EA2943"/>
    <w:rsid w:val="24EEC2AB"/>
    <w:rsid w:val="24F0B0B8"/>
    <w:rsid w:val="24F81B60"/>
    <w:rsid w:val="24F99B7C"/>
    <w:rsid w:val="24FF4330"/>
    <w:rsid w:val="2500E868"/>
    <w:rsid w:val="250B9415"/>
    <w:rsid w:val="250BD3A9"/>
    <w:rsid w:val="250E197C"/>
    <w:rsid w:val="2510FAF0"/>
    <w:rsid w:val="2513D49B"/>
    <w:rsid w:val="251A5A53"/>
    <w:rsid w:val="251CC84B"/>
    <w:rsid w:val="25207A52"/>
    <w:rsid w:val="252309A1"/>
    <w:rsid w:val="2523AD55"/>
    <w:rsid w:val="252987B1"/>
    <w:rsid w:val="2529A301"/>
    <w:rsid w:val="252CB96D"/>
    <w:rsid w:val="253077CD"/>
    <w:rsid w:val="253107A8"/>
    <w:rsid w:val="2538C895"/>
    <w:rsid w:val="253E7B10"/>
    <w:rsid w:val="253F28DD"/>
    <w:rsid w:val="254189FF"/>
    <w:rsid w:val="2546A36C"/>
    <w:rsid w:val="254C652E"/>
    <w:rsid w:val="2550360F"/>
    <w:rsid w:val="2552AF08"/>
    <w:rsid w:val="2553C3D6"/>
    <w:rsid w:val="2555A0A5"/>
    <w:rsid w:val="2555F4F7"/>
    <w:rsid w:val="25617D08"/>
    <w:rsid w:val="256CE56C"/>
    <w:rsid w:val="256F80B7"/>
    <w:rsid w:val="2574DF55"/>
    <w:rsid w:val="2575892E"/>
    <w:rsid w:val="257C99F2"/>
    <w:rsid w:val="2580BFC0"/>
    <w:rsid w:val="2580CFEC"/>
    <w:rsid w:val="25829BBE"/>
    <w:rsid w:val="25850E27"/>
    <w:rsid w:val="25851A2F"/>
    <w:rsid w:val="258C27F7"/>
    <w:rsid w:val="258EBE43"/>
    <w:rsid w:val="25930D22"/>
    <w:rsid w:val="25961B46"/>
    <w:rsid w:val="25990168"/>
    <w:rsid w:val="259CE27E"/>
    <w:rsid w:val="259E9C9F"/>
    <w:rsid w:val="25AB66F4"/>
    <w:rsid w:val="25AF0F82"/>
    <w:rsid w:val="25B3DD07"/>
    <w:rsid w:val="25B53A3A"/>
    <w:rsid w:val="25C29901"/>
    <w:rsid w:val="25C4F8A3"/>
    <w:rsid w:val="25C56BF4"/>
    <w:rsid w:val="25C792BE"/>
    <w:rsid w:val="25CAABD0"/>
    <w:rsid w:val="25CFA1B0"/>
    <w:rsid w:val="25D3AEE3"/>
    <w:rsid w:val="25D614C8"/>
    <w:rsid w:val="25D8A74C"/>
    <w:rsid w:val="25DAFD5F"/>
    <w:rsid w:val="25DB17DC"/>
    <w:rsid w:val="25E10307"/>
    <w:rsid w:val="25E2EA10"/>
    <w:rsid w:val="25EAC4B1"/>
    <w:rsid w:val="25F32D12"/>
    <w:rsid w:val="25F47C28"/>
    <w:rsid w:val="25FC2DEB"/>
    <w:rsid w:val="25FC5573"/>
    <w:rsid w:val="25FFEB24"/>
    <w:rsid w:val="2600A84A"/>
    <w:rsid w:val="26044D9F"/>
    <w:rsid w:val="2606EC11"/>
    <w:rsid w:val="26072E6B"/>
    <w:rsid w:val="260E987D"/>
    <w:rsid w:val="260F4290"/>
    <w:rsid w:val="261338CE"/>
    <w:rsid w:val="26178B9D"/>
    <w:rsid w:val="2618091F"/>
    <w:rsid w:val="261B18F9"/>
    <w:rsid w:val="261F1526"/>
    <w:rsid w:val="26207FD1"/>
    <w:rsid w:val="2626A5EE"/>
    <w:rsid w:val="26298A2B"/>
    <w:rsid w:val="262B57C5"/>
    <w:rsid w:val="262F4F35"/>
    <w:rsid w:val="2630C651"/>
    <w:rsid w:val="2630E10D"/>
    <w:rsid w:val="2634ACA3"/>
    <w:rsid w:val="263904F2"/>
    <w:rsid w:val="2639C3BE"/>
    <w:rsid w:val="263EF16E"/>
    <w:rsid w:val="26421651"/>
    <w:rsid w:val="26474315"/>
    <w:rsid w:val="2648098F"/>
    <w:rsid w:val="26503DAB"/>
    <w:rsid w:val="265AED52"/>
    <w:rsid w:val="265CEA45"/>
    <w:rsid w:val="266024DA"/>
    <w:rsid w:val="2662C51B"/>
    <w:rsid w:val="2663A5F0"/>
    <w:rsid w:val="2663FE14"/>
    <w:rsid w:val="2664DD99"/>
    <w:rsid w:val="266750FF"/>
    <w:rsid w:val="266995D1"/>
    <w:rsid w:val="266ED242"/>
    <w:rsid w:val="266F2BEF"/>
    <w:rsid w:val="2673603F"/>
    <w:rsid w:val="26826CD6"/>
    <w:rsid w:val="268745FD"/>
    <w:rsid w:val="268B6EBF"/>
    <w:rsid w:val="268DD2DD"/>
    <w:rsid w:val="2691AA35"/>
    <w:rsid w:val="2691FAC9"/>
    <w:rsid w:val="2692A1EE"/>
    <w:rsid w:val="26976009"/>
    <w:rsid w:val="269DEF3B"/>
    <w:rsid w:val="26A4129E"/>
    <w:rsid w:val="26A7E30E"/>
    <w:rsid w:val="26A99105"/>
    <w:rsid w:val="26AA362F"/>
    <w:rsid w:val="26AF8E1F"/>
    <w:rsid w:val="26B26226"/>
    <w:rsid w:val="26B33DE7"/>
    <w:rsid w:val="26BD512C"/>
    <w:rsid w:val="26C10A75"/>
    <w:rsid w:val="26C25A4F"/>
    <w:rsid w:val="26C506DB"/>
    <w:rsid w:val="26C8A77F"/>
    <w:rsid w:val="26CE8028"/>
    <w:rsid w:val="26D19ACC"/>
    <w:rsid w:val="26D49E49"/>
    <w:rsid w:val="26D5F8E2"/>
    <w:rsid w:val="26D7D66C"/>
    <w:rsid w:val="26D7F80F"/>
    <w:rsid w:val="26D8DA0A"/>
    <w:rsid w:val="26E0FAA9"/>
    <w:rsid w:val="26E43118"/>
    <w:rsid w:val="26E4BB73"/>
    <w:rsid w:val="26E7C222"/>
    <w:rsid w:val="26E9AFD1"/>
    <w:rsid w:val="26EDC333"/>
    <w:rsid w:val="26F51457"/>
    <w:rsid w:val="26F934E0"/>
    <w:rsid w:val="26F9BF93"/>
    <w:rsid w:val="26FABEF6"/>
    <w:rsid w:val="27015371"/>
    <w:rsid w:val="270180B7"/>
    <w:rsid w:val="270418CC"/>
    <w:rsid w:val="27088C5A"/>
    <w:rsid w:val="270B165F"/>
    <w:rsid w:val="270C0AB2"/>
    <w:rsid w:val="27154A17"/>
    <w:rsid w:val="2716CD19"/>
    <w:rsid w:val="27183ABA"/>
    <w:rsid w:val="271D4B23"/>
    <w:rsid w:val="2720D003"/>
    <w:rsid w:val="27221F5F"/>
    <w:rsid w:val="2722F858"/>
    <w:rsid w:val="272B21DF"/>
    <w:rsid w:val="272BF938"/>
    <w:rsid w:val="272C6A7D"/>
    <w:rsid w:val="2731C944"/>
    <w:rsid w:val="2731F56F"/>
    <w:rsid w:val="27342A33"/>
    <w:rsid w:val="2737F924"/>
    <w:rsid w:val="273DE4DF"/>
    <w:rsid w:val="27406BE6"/>
    <w:rsid w:val="27413F03"/>
    <w:rsid w:val="27418188"/>
    <w:rsid w:val="274CB0EF"/>
    <w:rsid w:val="275142B3"/>
    <w:rsid w:val="27627A7C"/>
    <w:rsid w:val="276453FB"/>
    <w:rsid w:val="2764745B"/>
    <w:rsid w:val="2769CEA2"/>
    <w:rsid w:val="2769E6E1"/>
    <w:rsid w:val="276D180B"/>
    <w:rsid w:val="2772C1F7"/>
    <w:rsid w:val="2773AC12"/>
    <w:rsid w:val="27757B15"/>
    <w:rsid w:val="2775ECE0"/>
    <w:rsid w:val="2776BC68"/>
    <w:rsid w:val="277B7F3F"/>
    <w:rsid w:val="27810777"/>
    <w:rsid w:val="2783BDFC"/>
    <w:rsid w:val="2789B241"/>
    <w:rsid w:val="27905CD8"/>
    <w:rsid w:val="2791D9B0"/>
    <w:rsid w:val="2795E525"/>
    <w:rsid w:val="27986980"/>
    <w:rsid w:val="27996932"/>
    <w:rsid w:val="279ACD78"/>
    <w:rsid w:val="279DB40E"/>
    <w:rsid w:val="279FEBA3"/>
    <w:rsid w:val="27A33798"/>
    <w:rsid w:val="27A7A790"/>
    <w:rsid w:val="27AA2D93"/>
    <w:rsid w:val="27AA6554"/>
    <w:rsid w:val="27AF20DB"/>
    <w:rsid w:val="27AF9EC7"/>
    <w:rsid w:val="27C639D0"/>
    <w:rsid w:val="27C96ADB"/>
    <w:rsid w:val="27D33E20"/>
    <w:rsid w:val="27D43300"/>
    <w:rsid w:val="27D4B902"/>
    <w:rsid w:val="27D86212"/>
    <w:rsid w:val="27D8E908"/>
    <w:rsid w:val="27DA34C7"/>
    <w:rsid w:val="27DBE1D5"/>
    <w:rsid w:val="27DC63F6"/>
    <w:rsid w:val="27DD3F9F"/>
    <w:rsid w:val="27DE9994"/>
    <w:rsid w:val="27DF4AAA"/>
    <w:rsid w:val="27DF882C"/>
    <w:rsid w:val="27DFA786"/>
    <w:rsid w:val="27E1D916"/>
    <w:rsid w:val="27E38091"/>
    <w:rsid w:val="27E39DB2"/>
    <w:rsid w:val="27E3EB43"/>
    <w:rsid w:val="27E689DE"/>
    <w:rsid w:val="27ED6F03"/>
    <w:rsid w:val="27F606BC"/>
    <w:rsid w:val="27F60D57"/>
    <w:rsid w:val="27F810EC"/>
    <w:rsid w:val="28024C57"/>
    <w:rsid w:val="28059722"/>
    <w:rsid w:val="2806AAC2"/>
    <w:rsid w:val="2806ED97"/>
    <w:rsid w:val="2809ADD6"/>
    <w:rsid w:val="280BF789"/>
    <w:rsid w:val="28112D07"/>
    <w:rsid w:val="28123035"/>
    <w:rsid w:val="2813EC5C"/>
    <w:rsid w:val="28158316"/>
    <w:rsid w:val="28178B58"/>
    <w:rsid w:val="2821230F"/>
    <w:rsid w:val="282C7D26"/>
    <w:rsid w:val="282E1EAF"/>
    <w:rsid w:val="2838AA89"/>
    <w:rsid w:val="28390D0C"/>
    <w:rsid w:val="283A262A"/>
    <w:rsid w:val="284E1CF4"/>
    <w:rsid w:val="28532C3D"/>
    <w:rsid w:val="28561344"/>
    <w:rsid w:val="28569BB8"/>
    <w:rsid w:val="285DA777"/>
    <w:rsid w:val="285F4346"/>
    <w:rsid w:val="285F8472"/>
    <w:rsid w:val="287169B7"/>
    <w:rsid w:val="28746841"/>
    <w:rsid w:val="2875C5E9"/>
    <w:rsid w:val="287E97CA"/>
    <w:rsid w:val="288272C1"/>
    <w:rsid w:val="288B6DF6"/>
    <w:rsid w:val="288C97A3"/>
    <w:rsid w:val="288CF335"/>
    <w:rsid w:val="288D6061"/>
    <w:rsid w:val="288FAB03"/>
    <w:rsid w:val="28941B71"/>
    <w:rsid w:val="289969C1"/>
    <w:rsid w:val="289A26D5"/>
    <w:rsid w:val="289D57C4"/>
    <w:rsid w:val="289D830F"/>
    <w:rsid w:val="28B25E4E"/>
    <w:rsid w:val="28B38664"/>
    <w:rsid w:val="28B5EF26"/>
    <w:rsid w:val="28B6F53E"/>
    <w:rsid w:val="28C1896B"/>
    <w:rsid w:val="28C1AA3A"/>
    <w:rsid w:val="28C1E549"/>
    <w:rsid w:val="28C2822F"/>
    <w:rsid w:val="28C28B5B"/>
    <w:rsid w:val="28C466D2"/>
    <w:rsid w:val="28C82185"/>
    <w:rsid w:val="28CBC4DD"/>
    <w:rsid w:val="28CDBC6C"/>
    <w:rsid w:val="28CE0E78"/>
    <w:rsid w:val="28D2062E"/>
    <w:rsid w:val="28D28D03"/>
    <w:rsid w:val="28D38796"/>
    <w:rsid w:val="28D421B2"/>
    <w:rsid w:val="28D6D5A1"/>
    <w:rsid w:val="28DA5809"/>
    <w:rsid w:val="28DB76BF"/>
    <w:rsid w:val="28DC79BD"/>
    <w:rsid w:val="28DDBC49"/>
    <w:rsid w:val="28DE924D"/>
    <w:rsid w:val="28E23038"/>
    <w:rsid w:val="28E3445B"/>
    <w:rsid w:val="28EB921F"/>
    <w:rsid w:val="28FC21C2"/>
    <w:rsid w:val="29013B5E"/>
    <w:rsid w:val="2905939C"/>
    <w:rsid w:val="2905DD5E"/>
    <w:rsid w:val="2911FA94"/>
    <w:rsid w:val="2916B5D7"/>
    <w:rsid w:val="291717E0"/>
    <w:rsid w:val="291C16FF"/>
    <w:rsid w:val="2928A387"/>
    <w:rsid w:val="2928B78E"/>
    <w:rsid w:val="2932E394"/>
    <w:rsid w:val="2933322E"/>
    <w:rsid w:val="29368B3E"/>
    <w:rsid w:val="293778B5"/>
    <w:rsid w:val="293E80AD"/>
    <w:rsid w:val="294B4145"/>
    <w:rsid w:val="295063B2"/>
    <w:rsid w:val="29541A09"/>
    <w:rsid w:val="2954AAB9"/>
    <w:rsid w:val="2958068A"/>
    <w:rsid w:val="29589AFD"/>
    <w:rsid w:val="295A438E"/>
    <w:rsid w:val="295A7C43"/>
    <w:rsid w:val="296245BF"/>
    <w:rsid w:val="296724AC"/>
    <w:rsid w:val="2972D355"/>
    <w:rsid w:val="29733F5F"/>
    <w:rsid w:val="29781C1E"/>
    <w:rsid w:val="297F3C83"/>
    <w:rsid w:val="2981647E"/>
    <w:rsid w:val="29875027"/>
    <w:rsid w:val="29902D19"/>
    <w:rsid w:val="2992B25A"/>
    <w:rsid w:val="2996B755"/>
    <w:rsid w:val="2997EDED"/>
    <w:rsid w:val="299A2192"/>
    <w:rsid w:val="29A13891"/>
    <w:rsid w:val="29A5A038"/>
    <w:rsid w:val="29A5AF3A"/>
    <w:rsid w:val="29A86473"/>
    <w:rsid w:val="29ADA549"/>
    <w:rsid w:val="29B5F999"/>
    <w:rsid w:val="29BC1E55"/>
    <w:rsid w:val="29BEEAEB"/>
    <w:rsid w:val="29C121D7"/>
    <w:rsid w:val="29C29ED5"/>
    <w:rsid w:val="29C30C82"/>
    <w:rsid w:val="29C31CBA"/>
    <w:rsid w:val="29CFEECD"/>
    <w:rsid w:val="29D1081A"/>
    <w:rsid w:val="29D10D3E"/>
    <w:rsid w:val="29D21626"/>
    <w:rsid w:val="29D24AA6"/>
    <w:rsid w:val="29D46F30"/>
    <w:rsid w:val="29D57A18"/>
    <w:rsid w:val="29D6EF42"/>
    <w:rsid w:val="29DB907D"/>
    <w:rsid w:val="29DE610A"/>
    <w:rsid w:val="29DED3DA"/>
    <w:rsid w:val="29E2FD08"/>
    <w:rsid w:val="29E35A21"/>
    <w:rsid w:val="29E37828"/>
    <w:rsid w:val="29E4EC22"/>
    <w:rsid w:val="29E796D2"/>
    <w:rsid w:val="29EA648C"/>
    <w:rsid w:val="29EE9FC5"/>
    <w:rsid w:val="29F70216"/>
    <w:rsid w:val="29FCAA8B"/>
    <w:rsid w:val="29FD964E"/>
    <w:rsid w:val="29FF47F4"/>
    <w:rsid w:val="2A13FDE9"/>
    <w:rsid w:val="2A156F7D"/>
    <w:rsid w:val="2A15C314"/>
    <w:rsid w:val="2A15CEDE"/>
    <w:rsid w:val="2A1A9F48"/>
    <w:rsid w:val="2A1DE3FA"/>
    <w:rsid w:val="2A232777"/>
    <w:rsid w:val="2A249732"/>
    <w:rsid w:val="2A24C6A8"/>
    <w:rsid w:val="2A2D609E"/>
    <w:rsid w:val="2A2E6553"/>
    <w:rsid w:val="2A36A9D4"/>
    <w:rsid w:val="2A3AE7FB"/>
    <w:rsid w:val="2A3AEC69"/>
    <w:rsid w:val="2A3E19CF"/>
    <w:rsid w:val="2A3E9D39"/>
    <w:rsid w:val="2A415F00"/>
    <w:rsid w:val="2A426C3B"/>
    <w:rsid w:val="2A47E3BB"/>
    <w:rsid w:val="2A49CBE1"/>
    <w:rsid w:val="2A4D7D8E"/>
    <w:rsid w:val="2A4FDAEA"/>
    <w:rsid w:val="2A55A8ED"/>
    <w:rsid w:val="2A578827"/>
    <w:rsid w:val="2A5A3201"/>
    <w:rsid w:val="2A5F8110"/>
    <w:rsid w:val="2A64ED68"/>
    <w:rsid w:val="2A676474"/>
    <w:rsid w:val="2A6AD7CC"/>
    <w:rsid w:val="2A6C98A2"/>
    <w:rsid w:val="2A6DE80B"/>
    <w:rsid w:val="2A7001D7"/>
    <w:rsid w:val="2A71BFD9"/>
    <w:rsid w:val="2A73C419"/>
    <w:rsid w:val="2A76539C"/>
    <w:rsid w:val="2A77F143"/>
    <w:rsid w:val="2A794102"/>
    <w:rsid w:val="2A798679"/>
    <w:rsid w:val="2A84C544"/>
    <w:rsid w:val="2A85B47A"/>
    <w:rsid w:val="2A868FAF"/>
    <w:rsid w:val="2A88991E"/>
    <w:rsid w:val="2A898D25"/>
    <w:rsid w:val="2A8A0BB7"/>
    <w:rsid w:val="2A92490F"/>
    <w:rsid w:val="2A948BC3"/>
    <w:rsid w:val="2A9AD7FB"/>
    <w:rsid w:val="2A9C4946"/>
    <w:rsid w:val="2A9F3B27"/>
    <w:rsid w:val="2A9FF5BE"/>
    <w:rsid w:val="2AA1C617"/>
    <w:rsid w:val="2AA39944"/>
    <w:rsid w:val="2AA48AF5"/>
    <w:rsid w:val="2AA7B0AF"/>
    <w:rsid w:val="2AAB7448"/>
    <w:rsid w:val="2AAEFAB8"/>
    <w:rsid w:val="2AB678EC"/>
    <w:rsid w:val="2AB7F66B"/>
    <w:rsid w:val="2ABA1B54"/>
    <w:rsid w:val="2AC1F041"/>
    <w:rsid w:val="2AC8E0A2"/>
    <w:rsid w:val="2AD0A24C"/>
    <w:rsid w:val="2AD6A53C"/>
    <w:rsid w:val="2AD7591B"/>
    <w:rsid w:val="2ADD8746"/>
    <w:rsid w:val="2AE1D05E"/>
    <w:rsid w:val="2AE38A76"/>
    <w:rsid w:val="2AE47B60"/>
    <w:rsid w:val="2AE612BF"/>
    <w:rsid w:val="2AE62975"/>
    <w:rsid w:val="2AEB8191"/>
    <w:rsid w:val="2AEF97E3"/>
    <w:rsid w:val="2AF3214C"/>
    <w:rsid w:val="2AF391E4"/>
    <w:rsid w:val="2AF806F3"/>
    <w:rsid w:val="2AF93707"/>
    <w:rsid w:val="2AFCEB61"/>
    <w:rsid w:val="2AFF2AF4"/>
    <w:rsid w:val="2B06481F"/>
    <w:rsid w:val="2B0A0A03"/>
    <w:rsid w:val="2B0FFBE7"/>
    <w:rsid w:val="2B105442"/>
    <w:rsid w:val="2B131E73"/>
    <w:rsid w:val="2B1324CB"/>
    <w:rsid w:val="2B152D2C"/>
    <w:rsid w:val="2B15B5A9"/>
    <w:rsid w:val="2B1A3B49"/>
    <w:rsid w:val="2B1EB7BE"/>
    <w:rsid w:val="2B1F2A15"/>
    <w:rsid w:val="2B21EF59"/>
    <w:rsid w:val="2B25034C"/>
    <w:rsid w:val="2B28B8FE"/>
    <w:rsid w:val="2B2C46A2"/>
    <w:rsid w:val="2B2C4963"/>
    <w:rsid w:val="2B2D341F"/>
    <w:rsid w:val="2B2D6395"/>
    <w:rsid w:val="2B2E6B29"/>
    <w:rsid w:val="2B2F2FB5"/>
    <w:rsid w:val="2B319F42"/>
    <w:rsid w:val="2B34E4E3"/>
    <w:rsid w:val="2B35EF07"/>
    <w:rsid w:val="2B3AFF50"/>
    <w:rsid w:val="2B4B1247"/>
    <w:rsid w:val="2B4BD7F3"/>
    <w:rsid w:val="2B4C04FB"/>
    <w:rsid w:val="2B54296B"/>
    <w:rsid w:val="2B545565"/>
    <w:rsid w:val="2B58FE11"/>
    <w:rsid w:val="2B5A0E90"/>
    <w:rsid w:val="2B5A1257"/>
    <w:rsid w:val="2B5B739D"/>
    <w:rsid w:val="2B5B7C55"/>
    <w:rsid w:val="2B5C9361"/>
    <w:rsid w:val="2B5E5C78"/>
    <w:rsid w:val="2B5E84C1"/>
    <w:rsid w:val="2B5EB7C6"/>
    <w:rsid w:val="2B5EC950"/>
    <w:rsid w:val="2B647895"/>
    <w:rsid w:val="2B65437B"/>
    <w:rsid w:val="2B65676A"/>
    <w:rsid w:val="2B66D2AC"/>
    <w:rsid w:val="2B66D788"/>
    <w:rsid w:val="2B67F2F1"/>
    <w:rsid w:val="2B685EA3"/>
    <w:rsid w:val="2B6D1FCA"/>
    <w:rsid w:val="2B6F3C05"/>
    <w:rsid w:val="2B711054"/>
    <w:rsid w:val="2B71E899"/>
    <w:rsid w:val="2B73A232"/>
    <w:rsid w:val="2B77EE4A"/>
    <w:rsid w:val="2B77F434"/>
    <w:rsid w:val="2B7B7AC9"/>
    <w:rsid w:val="2B81AF4F"/>
    <w:rsid w:val="2B840C13"/>
    <w:rsid w:val="2B86EAFD"/>
    <w:rsid w:val="2B8A82C7"/>
    <w:rsid w:val="2B8BBA94"/>
    <w:rsid w:val="2B8D3053"/>
    <w:rsid w:val="2B8FBC84"/>
    <w:rsid w:val="2B8FD87C"/>
    <w:rsid w:val="2B945FDB"/>
    <w:rsid w:val="2B95EE72"/>
    <w:rsid w:val="2B9632EA"/>
    <w:rsid w:val="2B9A782E"/>
    <w:rsid w:val="2B9A94FA"/>
    <w:rsid w:val="2B9F2A03"/>
    <w:rsid w:val="2B9FE83D"/>
    <w:rsid w:val="2BA0D327"/>
    <w:rsid w:val="2BA331E4"/>
    <w:rsid w:val="2BA37B10"/>
    <w:rsid w:val="2BA77EF8"/>
    <w:rsid w:val="2BA8BC88"/>
    <w:rsid w:val="2BAB04CF"/>
    <w:rsid w:val="2BB30FD1"/>
    <w:rsid w:val="2BB3432D"/>
    <w:rsid w:val="2BB587E4"/>
    <w:rsid w:val="2BBF52B9"/>
    <w:rsid w:val="2BC12E73"/>
    <w:rsid w:val="2BC31F54"/>
    <w:rsid w:val="2BC41E1B"/>
    <w:rsid w:val="2BC4D84C"/>
    <w:rsid w:val="2BC98319"/>
    <w:rsid w:val="2BCD1F03"/>
    <w:rsid w:val="2BCFCADC"/>
    <w:rsid w:val="2BD0468C"/>
    <w:rsid w:val="2BD0BA5E"/>
    <w:rsid w:val="2BE2DCF5"/>
    <w:rsid w:val="2BE32497"/>
    <w:rsid w:val="2BE71388"/>
    <w:rsid w:val="2BE85C21"/>
    <w:rsid w:val="2BED4D02"/>
    <w:rsid w:val="2BEEC9CC"/>
    <w:rsid w:val="2BF10214"/>
    <w:rsid w:val="2BF36F9F"/>
    <w:rsid w:val="2BF4FA92"/>
    <w:rsid w:val="2BF53DF0"/>
    <w:rsid w:val="2C0ADD25"/>
    <w:rsid w:val="2C0D30AA"/>
    <w:rsid w:val="2C0DDC93"/>
    <w:rsid w:val="2C109325"/>
    <w:rsid w:val="2C10D41F"/>
    <w:rsid w:val="2C122933"/>
    <w:rsid w:val="2C1652D0"/>
    <w:rsid w:val="2C1A0314"/>
    <w:rsid w:val="2C1D0E18"/>
    <w:rsid w:val="2C27282C"/>
    <w:rsid w:val="2C3F1ED9"/>
    <w:rsid w:val="2C417D5E"/>
    <w:rsid w:val="2C437DCA"/>
    <w:rsid w:val="2C446B75"/>
    <w:rsid w:val="2C46983D"/>
    <w:rsid w:val="2C469F07"/>
    <w:rsid w:val="2C46F65E"/>
    <w:rsid w:val="2C4AE554"/>
    <w:rsid w:val="2C4DBF07"/>
    <w:rsid w:val="2C502383"/>
    <w:rsid w:val="2C53B331"/>
    <w:rsid w:val="2C58D43D"/>
    <w:rsid w:val="2C5B9068"/>
    <w:rsid w:val="2C5C52CB"/>
    <w:rsid w:val="2C5EE716"/>
    <w:rsid w:val="2C5F118F"/>
    <w:rsid w:val="2C5F52AA"/>
    <w:rsid w:val="2C62FF03"/>
    <w:rsid w:val="2C6EA7F6"/>
    <w:rsid w:val="2C71F211"/>
    <w:rsid w:val="2C7A8EB1"/>
    <w:rsid w:val="2C804AF0"/>
    <w:rsid w:val="2C8D735F"/>
    <w:rsid w:val="2C90A707"/>
    <w:rsid w:val="2C94F07F"/>
    <w:rsid w:val="2C955382"/>
    <w:rsid w:val="2C97B68B"/>
    <w:rsid w:val="2CA13847"/>
    <w:rsid w:val="2CA33B74"/>
    <w:rsid w:val="2CA48013"/>
    <w:rsid w:val="2CB4A7A5"/>
    <w:rsid w:val="2CB5648A"/>
    <w:rsid w:val="2CC01592"/>
    <w:rsid w:val="2CC35BB9"/>
    <w:rsid w:val="2CC99824"/>
    <w:rsid w:val="2CCF00F0"/>
    <w:rsid w:val="2CD42474"/>
    <w:rsid w:val="2CD790AA"/>
    <w:rsid w:val="2CDC2CD1"/>
    <w:rsid w:val="2CDE72F0"/>
    <w:rsid w:val="2CE1FC05"/>
    <w:rsid w:val="2CE2FAC2"/>
    <w:rsid w:val="2CE30D72"/>
    <w:rsid w:val="2CE76606"/>
    <w:rsid w:val="2CEAED79"/>
    <w:rsid w:val="2CEE07ED"/>
    <w:rsid w:val="2CEF847C"/>
    <w:rsid w:val="2CEFF887"/>
    <w:rsid w:val="2CF0A6D7"/>
    <w:rsid w:val="2CF3D891"/>
    <w:rsid w:val="2CF61FDE"/>
    <w:rsid w:val="2D0203FF"/>
    <w:rsid w:val="2D06DD04"/>
    <w:rsid w:val="2D073010"/>
    <w:rsid w:val="2D07D828"/>
    <w:rsid w:val="2D0F43CA"/>
    <w:rsid w:val="2D143838"/>
    <w:rsid w:val="2D166907"/>
    <w:rsid w:val="2D1AE634"/>
    <w:rsid w:val="2D1E26B9"/>
    <w:rsid w:val="2D1F3B4A"/>
    <w:rsid w:val="2D22A6EC"/>
    <w:rsid w:val="2D233EF8"/>
    <w:rsid w:val="2D26091D"/>
    <w:rsid w:val="2D2D02ED"/>
    <w:rsid w:val="2D2EB80D"/>
    <w:rsid w:val="2D3085E2"/>
    <w:rsid w:val="2D31EE29"/>
    <w:rsid w:val="2D3D3544"/>
    <w:rsid w:val="2D44B29C"/>
    <w:rsid w:val="2D482460"/>
    <w:rsid w:val="2D4A1FED"/>
    <w:rsid w:val="2D4E3015"/>
    <w:rsid w:val="2D4E530D"/>
    <w:rsid w:val="2D504337"/>
    <w:rsid w:val="2D505CC9"/>
    <w:rsid w:val="2D537242"/>
    <w:rsid w:val="2D57BCE9"/>
    <w:rsid w:val="2D5AF945"/>
    <w:rsid w:val="2D5BAD09"/>
    <w:rsid w:val="2D5EEB52"/>
    <w:rsid w:val="2D636AF9"/>
    <w:rsid w:val="2D68F52E"/>
    <w:rsid w:val="2D6BA86B"/>
    <w:rsid w:val="2D7D9390"/>
    <w:rsid w:val="2D81E0AE"/>
    <w:rsid w:val="2D81F444"/>
    <w:rsid w:val="2D89D816"/>
    <w:rsid w:val="2D8DDADA"/>
    <w:rsid w:val="2D8E7A78"/>
    <w:rsid w:val="2D8F55A3"/>
    <w:rsid w:val="2D9670CC"/>
    <w:rsid w:val="2D96EA3D"/>
    <w:rsid w:val="2D9ABCFD"/>
    <w:rsid w:val="2DABCA87"/>
    <w:rsid w:val="2DADDEB1"/>
    <w:rsid w:val="2DAF38C0"/>
    <w:rsid w:val="2DB46B1D"/>
    <w:rsid w:val="2DB48742"/>
    <w:rsid w:val="2DB6A26E"/>
    <w:rsid w:val="2DB93245"/>
    <w:rsid w:val="2DB98A68"/>
    <w:rsid w:val="2DBA43B0"/>
    <w:rsid w:val="2DBB3B5B"/>
    <w:rsid w:val="2DC70870"/>
    <w:rsid w:val="2DC80E69"/>
    <w:rsid w:val="2DC8C6F7"/>
    <w:rsid w:val="2DC9FA0D"/>
    <w:rsid w:val="2DCA9844"/>
    <w:rsid w:val="2DD052BB"/>
    <w:rsid w:val="2DD1A089"/>
    <w:rsid w:val="2DD28924"/>
    <w:rsid w:val="2DD77F52"/>
    <w:rsid w:val="2DDB1821"/>
    <w:rsid w:val="2DDEBFB3"/>
    <w:rsid w:val="2DE05066"/>
    <w:rsid w:val="2DE425B7"/>
    <w:rsid w:val="2DE63D55"/>
    <w:rsid w:val="2DEA3990"/>
    <w:rsid w:val="2DED8F60"/>
    <w:rsid w:val="2DED9F66"/>
    <w:rsid w:val="2DEDDC94"/>
    <w:rsid w:val="2DF05193"/>
    <w:rsid w:val="2DF6937E"/>
    <w:rsid w:val="2DFD6648"/>
    <w:rsid w:val="2E006C9B"/>
    <w:rsid w:val="2E03D326"/>
    <w:rsid w:val="2E04C67A"/>
    <w:rsid w:val="2E056765"/>
    <w:rsid w:val="2E067E7B"/>
    <w:rsid w:val="2E1551AC"/>
    <w:rsid w:val="2E1A6A46"/>
    <w:rsid w:val="2E1E21CC"/>
    <w:rsid w:val="2E1F73B9"/>
    <w:rsid w:val="2E22137D"/>
    <w:rsid w:val="2E2821A6"/>
    <w:rsid w:val="2E365189"/>
    <w:rsid w:val="2E3B03E4"/>
    <w:rsid w:val="2E3EAA3F"/>
    <w:rsid w:val="2E689E63"/>
    <w:rsid w:val="2E6A4B87"/>
    <w:rsid w:val="2E735CC6"/>
    <w:rsid w:val="2E78C36E"/>
    <w:rsid w:val="2E7C397F"/>
    <w:rsid w:val="2E7CC72A"/>
    <w:rsid w:val="2E7DC70C"/>
    <w:rsid w:val="2E81A60D"/>
    <w:rsid w:val="2E8200F2"/>
    <w:rsid w:val="2E824D9D"/>
    <w:rsid w:val="2E85C379"/>
    <w:rsid w:val="2E8A122C"/>
    <w:rsid w:val="2E8F50A1"/>
    <w:rsid w:val="2E90D606"/>
    <w:rsid w:val="2E933566"/>
    <w:rsid w:val="2E964B4E"/>
    <w:rsid w:val="2E98EDFE"/>
    <w:rsid w:val="2E9A7350"/>
    <w:rsid w:val="2E9BC7A3"/>
    <w:rsid w:val="2E9C494C"/>
    <w:rsid w:val="2EA2AE21"/>
    <w:rsid w:val="2EA4D127"/>
    <w:rsid w:val="2EA7BAAE"/>
    <w:rsid w:val="2EA7C8CB"/>
    <w:rsid w:val="2EA8476D"/>
    <w:rsid w:val="2EBBC5B3"/>
    <w:rsid w:val="2EC1229D"/>
    <w:rsid w:val="2EC3A2D9"/>
    <w:rsid w:val="2EC8C648"/>
    <w:rsid w:val="2EC984B5"/>
    <w:rsid w:val="2ED4AD45"/>
    <w:rsid w:val="2ED5BC20"/>
    <w:rsid w:val="2ED6583E"/>
    <w:rsid w:val="2ED65A6B"/>
    <w:rsid w:val="2EDA94F9"/>
    <w:rsid w:val="2EDEF630"/>
    <w:rsid w:val="2EE2F602"/>
    <w:rsid w:val="2EE44096"/>
    <w:rsid w:val="2EE625DB"/>
    <w:rsid w:val="2EE8971B"/>
    <w:rsid w:val="2EEBCFA4"/>
    <w:rsid w:val="2EEC5E5E"/>
    <w:rsid w:val="2EECC5C7"/>
    <w:rsid w:val="2EF0A2A8"/>
    <w:rsid w:val="2EF3B79D"/>
    <w:rsid w:val="2EFB652F"/>
    <w:rsid w:val="2F0A3ABC"/>
    <w:rsid w:val="2F0B2D97"/>
    <w:rsid w:val="2F0E50F7"/>
    <w:rsid w:val="2F0F8EC5"/>
    <w:rsid w:val="2F1388A0"/>
    <w:rsid w:val="2F1422FD"/>
    <w:rsid w:val="2F171A08"/>
    <w:rsid w:val="2F1A3C2F"/>
    <w:rsid w:val="2F1C2B82"/>
    <w:rsid w:val="2F1EDC43"/>
    <w:rsid w:val="2F26F40A"/>
    <w:rsid w:val="2F26F7BC"/>
    <w:rsid w:val="2F2829F8"/>
    <w:rsid w:val="2F29B8D2"/>
    <w:rsid w:val="2F2A993F"/>
    <w:rsid w:val="2F2E2229"/>
    <w:rsid w:val="2F30C1F9"/>
    <w:rsid w:val="2F30C5D1"/>
    <w:rsid w:val="2F3E45C4"/>
    <w:rsid w:val="2F3EF00A"/>
    <w:rsid w:val="2F4042F7"/>
    <w:rsid w:val="2F41DE4F"/>
    <w:rsid w:val="2F43776D"/>
    <w:rsid w:val="2F45B8C1"/>
    <w:rsid w:val="2F4AC709"/>
    <w:rsid w:val="2F4ACEF5"/>
    <w:rsid w:val="2F4B101F"/>
    <w:rsid w:val="2F4B81C8"/>
    <w:rsid w:val="2F4CB138"/>
    <w:rsid w:val="2F4D970E"/>
    <w:rsid w:val="2F4DC2E5"/>
    <w:rsid w:val="2F50DA6F"/>
    <w:rsid w:val="2F510575"/>
    <w:rsid w:val="2F571F89"/>
    <w:rsid w:val="2F5E8D5E"/>
    <w:rsid w:val="2F614A6F"/>
    <w:rsid w:val="2F63E9F1"/>
    <w:rsid w:val="2F657061"/>
    <w:rsid w:val="2F67A461"/>
    <w:rsid w:val="2F6C5A6B"/>
    <w:rsid w:val="2F70EC18"/>
    <w:rsid w:val="2F71F894"/>
    <w:rsid w:val="2F7B51EB"/>
    <w:rsid w:val="2F829542"/>
    <w:rsid w:val="2F83F097"/>
    <w:rsid w:val="2F882C6F"/>
    <w:rsid w:val="2F8A1F3B"/>
    <w:rsid w:val="2F8A4AAC"/>
    <w:rsid w:val="2F8D4805"/>
    <w:rsid w:val="2F8E8C34"/>
    <w:rsid w:val="2F938AC3"/>
    <w:rsid w:val="2F93E298"/>
    <w:rsid w:val="2F978C0A"/>
    <w:rsid w:val="2F9AB731"/>
    <w:rsid w:val="2F9BA5B1"/>
    <w:rsid w:val="2FA5A814"/>
    <w:rsid w:val="2FA710D9"/>
    <w:rsid w:val="2FA7DCB3"/>
    <w:rsid w:val="2FA80E10"/>
    <w:rsid w:val="2FAA6F6E"/>
    <w:rsid w:val="2FADFEDE"/>
    <w:rsid w:val="2FAEA0E7"/>
    <w:rsid w:val="2FB1B54E"/>
    <w:rsid w:val="2FB4EF52"/>
    <w:rsid w:val="2FB5931E"/>
    <w:rsid w:val="2FB5F493"/>
    <w:rsid w:val="2FB8D8CE"/>
    <w:rsid w:val="2FBC71FC"/>
    <w:rsid w:val="2FBDA655"/>
    <w:rsid w:val="2FC180B7"/>
    <w:rsid w:val="2FC2B7E7"/>
    <w:rsid w:val="2FC307D0"/>
    <w:rsid w:val="2FC341C3"/>
    <w:rsid w:val="2FCAC4ED"/>
    <w:rsid w:val="2FCB26C3"/>
    <w:rsid w:val="2FCC01B0"/>
    <w:rsid w:val="2FCE8ACB"/>
    <w:rsid w:val="2FD0C9C2"/>
    <w:rsid w:val="2FD60DA1"/>
    <w:rsid w:val="2FE102C8"/>
    <w:rsid w:val="2FE34072"/>
    <w:rsid w:val="2FE4A381"/>
    <w:rsid w:val="2FE4AEF6"/>
    <w:rsid w:val="2FE69AA0"/>
    <w:rsid w:val="2FE7EF01"/>
    <w:rsid w:val="2FED364A"/>
    <w:rsid w:val="2FEF99A2"/>
    <w:rsid w:val="2FF2F973"/>
    <w:rsid w:val="2FF39E74"/>
    <w:rsid w:val="2FF652ED"/>
    <w:rsid w:val="2FF69C74"/>
    <w:rsid w:val="2FF92581"/>
    <w:rsid w:val="2FFB0B85"/>
    <w:rsid w:val="2FFD3728"/>
    <w:rsid w:val="2FFDE9DE"/>
    <w:rsid w:val="2FFE8D4D"/>
    <w:rsid w:val="300943F1"/>
    <w:rsid w:val="30097A1B"/>
    <w:rsid w:val="300A8165"/>
    <w:rsid w:val="300C4299"/>
    <w:rsid w:val="300CAE25"/>
    <w:rsid w:val="301320AB"/>
    <w:rsid w:val="301351E2"/>
    <w:rsid w:val="3017B806"/>
    <w:rsid w:val="3018C18E"/>
    <w:rsid w:val="30221865"/>
    <w:rsid w:val="302388A7"/>
    <w:rsid w:val="302565FA"/>
    <w:rsid w:val="3026825C"/>
    <w:rsid w:val="3026928C"/>
    <w:rsid w:val="30278380"/>
    <w:rsid w:val="30357168"/>
    <w:rsid w:val="30398AB9"/>
    <w:rsid w:val="303A44B8"/>
    <w:rsid w:val="303BCC44"/>
    <w:rsid w:val="303BEAE9"/>
    <w:rsid w:val="303C87D7"/>
    <w:rsid w:val="303E6C9B"/>
    <w:rsid w:val="303FC0F3"/>
    <w:rsid w:val="304804AA"/>
    <w:rsid w:val="304A05A2"/>
    <w:rsid w:val="304B760C"/>
    <w:rsid w:val="304D3915"/>
    <w:rsid w:val="305160F4"/>
    <w:rsid w:val="3053E89B"/>
    <w:rsid w:val="3056817E"/>
    <w:rsid w:val="3058087E"/>
    <w:rsid w:val="30586927"/>
    <w:rsid w:val="3059FA22"/>
    <w:rsid w:val="305B22CA"/>
    <w:rsid w:val="305EBFDC"/>
    <w:rsid w:val="305FA87B"/>
    <w:rsid w:val="306220AB"/>
    <w:rsid w:val="3065BE5E"/>
    <w:rsid w:val="30683902"/>
    <w:rsid w:val="30693AA4"/>
    <w:rsid w:val="3069535E"/>
    <w:rsid w:val="30730442"/>
    <w:rsid w:val="307505DC"/>
    <w:rsid w:val="307A975A"/>
    <w:rsid w:val="307CC651"/>
    <w:rsid w:val="307CEE75"/>
    <w:rsid w:val="307F2384"/>
    <w:rsid w:val="3083BF2F"/>
    <w:rsid w:val="308595C9"/>
    <w:rsid w:val="308D243B"/>
    <w:rsid w:val="308F795D"/>
    <w:rsid w:val="309308DD"/>
    <w:rsid w:val="309A319A"/>
    <w:rsid w:val="309C4409"/>
    <w:rsid w:val="30A142A9"/>
    <w:rsid w:val="30A39FE0"/>
    <w:rsid w:val="30A50402"/>
    <w:rsid w:val="30A9D8E3"/>
    <w:rsid w:val="30AC5946"/>
    <w:rsid w:val="30ADEE0D"/>
    <w:rsid w:val="30AE7845"/>
    <w:rsid w:val="30B1A953"/>
    <w:rsid w:val="30B7C53C"/>
    <w:rsid w:val="30B7E6F5"/>
    <w:rsid w:val="30BAF2DF"/>
    <w:rsid w:val="30BAF4E7"/>
    <w:rsid w:val="30BDCCCD"/>
    <w:rsid w:val="30BFE331"/>
    <w:rsid w:val="30C296D4"/>
    <w:rsid w:val="30C47B16"/>
    <w:rsid w:val="30C4A348"/>
    <w:rsid w:val="30C8EF33"/>
    <w:rsid w:val="30CBA920"/>
    <w:rsid w:val="30CD8E1D"/>
    <w:rsid w:val="30CF91AE"/>
    <w:rsid w:val="30D2CC5A"/>
    <w:rsid w:val="30D41B93"/>
    <w:rsid w:val="30D4D8CD"/>
    <w:rsid w:val="30D845C6"/>
    <w:rsid w:val="30D935CF"/>
    <w:rsid w:val="30DC9A9A"/>
    <w:rsid w:val="30E50282"/>
    <w:rsid w:val="30E87CEC"/>
    <w:rsid w:val="30EF7500"/>
    <w:rsid w:val="30FB906B"/>
    <w:rsid w:val="30FDCAE9"/>
    <w:rsid w:val="30FFFC7C"/>
    <w:rsid w:val="3105E0A3"/>
    <w:rsid w:val="31065213"/>
    <w:rsid w:val="310C49E1"/>
    <w:rsid w:val="3116DA57"/>
    <w:rsid w:val="311E4FF4"/>
    <w:rsid w:val="31240EDC"/>
    <w:rsid w:val="3124CCF7"/>
    <w:rsid w:val="31283FDF"/>
    <w:rsid w:val="313B43E9"/>
    <w:rsid w:val="313BFEBF"/>
    <w:rsid w:val="313FC6A9"/>
    <w:rsid w:val="3142C386"/>
    <w:rsid w:val="31491537"/>
    <w:rsid w:val="314C0940"/>
    <w:rsid w:val="314FA031"/>
    <w:rsid w:val="3155C9EE"/>
    <w:rsid w:val="315CBC2B"/>
    <w:rsid w:val="315DEE8B"/>
    <w:rsid w:val="315FF2DF"/>
    <w:rsid w:val="3160125E"/>
    <w:rsid w:val="3160C142"/>
    <w:rsid w:val="316375DE"/>
    <w:rsid w:val="316A99E4"/>
    <w:rsid w:val="316C8EEE"/>
    <w:rsid w:val="317059A3"/>
    <w:rsid w:val="3170C95D"/>
    <w:rsid w:val="31869EBB"/>
    <w:rsid w:val="3189A68E"/>
    <w:rsid w:val="318E328E"/>
    <w:rsid w:val="31931E9C"/>
    <w:rsid w:val="31941F7C"/>
    <w:rsid w:val="3197AEB2"/>
    <w:rsid w:val="319A682E"/>
    <w:rsid w:val="319A6979"/>
    <w:rsid w:val="319C5676"/>
    <w:rsid w:val="319E5EC4"/>
    <w:rsid w:val="319EEF21"/>
    <w:rsid w:val="31AB1802"/>
    <w:rsid w:val="31B00E68"/>
    <w:rsid w:val="31B8ACA5"/>
    <w:rsid w:val="31BFF642"/>
    <w:rsid w:val="31C3BFE1"/>
    <w:rsid w:val="31C3C673"/>
    <w:rsid w:val="31C484FD"/>
    <w:rsid w:val="31C6AB76"/>
    <w:rsid w:val="31CC4860"/>
    <w:rsid w:val="31D13324"/>
    <w:rsid w:val="31D13987"/>
    <w:rsid w:val="31D2062F"/>
    <w:rsid w:val="31D5B897"/>
    <w:rsid w:val="31DA57D9"/>
    <w:rsid w:val="31E05F17"/>
    <w:rsid w:val="31E63421"/>
    <w:rsid w:val="31E77C39"/>
    <w:rsid w:val="31ECFC7F"/>
    <w:rsid w:val="31F07A98"/>
    <w:rsid w:val="31F27C1A"/>
    <w:rsid w:val="31F3D3EA"/>
    <w:rsid w:val="31F783EC"/>
    <w:rsid w:val="31F7B5DB"/>
    <w:rsid w:val="31F99BD3"/>
    <w:rsid w:val="31FAC5F6"/>
    <w:rsid w:val="31FEBB63"/>
    <w:rsid w:val="31FECB34"/>
    <w:rsid w:val="32001DEC"/>
    <w:rsid w:val="320124DD"/>
    <w:rsid w:val="3201A99A"/>
    <w:rsid w:val="320232AC"/>
    <w:rsid w:val="32023F12"/>
    <w:rsid w:val="320469FC"/>
    <w:rsid w:val="320A95A6"/>
    <w:rsid w:val="320DE318"/>
    <w:rsid w:val="320E4A30"/>
    <w:rsid w:val="320EEEC6"/>
    <w:rsid w:val="320FEC4B"/>
    <w:rsid w:val="3211AD72"/>
    <w:rsid w:val="3215BBD2"/>
    <w:rsid w:val="3218151A"/>
    <w:rsid w:val="321DFD3C"/>
    <w:rsid w:val="3224D067"/>
    <w:rsid w:val="32270B0D"/>
    <w:rsid w:val="322D1733"/>
    <w:rsid w:val="32322C2C"/>
    <w:rsid w:val="3235B01C"/>
    <w:rsid w:val="32366059"/>
    <w:rsid w:val="32369690"/>
    <w:rsid w:val="3247BFE1"/>
    <w:rsid w:val="324EEF16"/>
    <w:rsid w:val="32630980"/>
    <w:rsid w:val="326AFF97"/>
    <w:rsid w:val="32712AAF"/>
    <w:rsid w:val="32789B03"/>
    <w:rsid w:val="327DF134"/>
    <w:rsid w:val="327F9F58"/>
    <w:rsid w:val="32809D94"/>
    <w:rsid w:val="32812863"/>
    <w:rsid w:val="3285DA61"/>
    <w:rsid w:val="329BBA62"/>
    <w:rsid w:val="329D1BAD"/>
    <w:rsid w:val="329DF181"/>
    <w:rsid w:val="32A0095F"/>
    <w:rsid w:val="32A23B22"/>
    <w:rsid w:val="32A2A905"/>
    <w:rsid w:val="32A379A1"/>
    <w:rsid w:val="32A42EC3"/>
    <w:rsid w:val="32A7AFF4"/>
    <w:rsid w:val="32A84E62"/>
    <w:rsid w:val="32A862B4"/>
    <w:rsid w:val="32ABC71F"/>
    <w:rsid w:val="32B0DEF2"/>
    <w:rsid w:val="32B4D7A3"/>
    <w:rsid w:val="32BBB8D1"/>
    <w:rsid w:val="32BC47D5"/>
    <w:rsid w:val="32BF8FD0"/>
    <w:rsid w:val="32C30FFF"/>
    <w:rsid w:val="32C4292D"/>
    <w:rsid w:val="32C6644E"/>
    <w:rsid w:val="32CA953C"/>
    <w:rsid w:val="32CCB4FD"/>
    <w:rsid w:val="32D03F5E"/>
    <w:rsid w:val="32D42CA4"/>
    <w:rsid w:val="32D8368D"/>
    <w:rsid w:val="32DB3871"/>
    <w:rsid w:val="32DD9AC3"/>
    <w:rsid w:val="32DDDEC4"/>
    <w:rsid w:val="32DE2671"/>
    <w:rsid w:val="32DE9D53"/>
    <w:rsid w:val="32DEE8E4"/>
    <w:rsid w:val="32E0EACC"/>
    <w:rsid w:val="32E77964"/>
    <w:rsid w:val="32EC72DD"/>
    <w:rsid w:val="32EF54C0"/>
    <w:rsid w:val="32FF43D9"/>
    <w:rsid w:val="33017B3A"/>
    <w:rsid w:val="33029477"/>
    <w:rsid w:val="33049C6D"/>
    <w:rsid w:val="3308C898"/>
    <w:rsid w:val="33099F83"/>
    <w:rsid w:val="330C2244"/>
    <w:rsid w:val="330C24F8"/>
    <w:rsid w:val="330C5DDA"/>
    <w:rsid w:val="330D701B"/>
    <w:rsid w:val="331394E9"/>
    <w:rsid w:val="3318FE30"/>
    <w:rsid w:val="331962A9"/>
    <w:rsid w:val="331B4A12"/>
    <w:rsid w:val="331CD3E7"/>
    <w:rsid w:val="331DABBB"/>
    <w:rsid w:val="331E1FA3"/>
    <w:rsid w:val="33219578"/>
    <w:rsid w:val="33252F42"/>
    <w:rsid w:val="33280691"/>
    <w:rsid w:val="332863F7"/>
    <w:rsid w:val="332CBE1A"/>
    <w:rsid w:val="332D31CB"/>
    <w:rsid w:val="332EADC3"/>
    <w:rsid w:val="33367FBC"/>
    <w:rsid w:val="333C0EBC"/>
    <w:rsid w:val="33407237"/>
    <w:rsid w:val="3341DEF9"/>
    <w:rsid w:val="33422B2E"/>
    <w:rsid w:val="3346FC62"/>
    <w:rsid w:val="33485CE4"/>
    <w:rsid w:val="334ACE05"/>
    <w:rsid w:val="334BF089"/>
    <w:rsid w:val="334D1309"/>
    <w:rsid w:val="334F7B7F"/>
    <w:rsid w:val="334FFF69"/>
    <w:rsid w:val="33503DCE"/>
    <w:rsid w:val="3351F1B6"/>
    <w:rsid w:val="335518A0"/>
    <w:rsid w:val="3358952E"/>
    <w:rsid w:val="335BB5B1"/>
    <w:rsid w:val="335D2DD2"/>
    <w:rsid w:val="33712184"/>
    <w:rsid w:val="33736D3B"/>
    <w:rsid w:val="33793211"/>
    <w:rsid w:val="337AFDA7"/>
    <w:rsid w:val="337F8147"/>
    <w:rsid w:val="3382BFF5"/>
    <w:rsid w:val="33834469"/>
    <w:rsid w:val="33866873"/>
    <w:rsid w:val="338678A6"/>
    <w:rsid w:val="33894618"/>
    <w:rsid w:val="338DDED8"/>
    <w:rsid w:val="3392FF45"/>
    <w:rsid w:val="3396B444"/>
    <w:rsid w:val="339A2A32"/>
    <w:rsid w:val="33A04B3C"/>
    <w:rsid w:val="33A2F788"/>
    <w:rsid w:val="33A54ED6"/>
    <w:rsid w:val="33AC565C"/>
    <w:rsid w:val="33AD578D"/>
    <w:rsid w:val="33B2C44D"/>
    <w:rsid w:val="33B398B4"/>
    <w:rsid w:val="33B7F446"/>
    <w:rsid w:val="33B91842"/>
    <w:rsid w:val="33BDF288"/>
    <w:rsid w:val="33BF59F7"/>
    <w:rsid w:val="33C43519"/>
    <w:rsid w:val="33C63B7D"/>
    <w:rsid w:val="33C791D0"/>
    <w:rsid w:val="33CC68ED"/>
    <w:rsid w:val="33D0BD65"/>
    <w:rsid w:val="33D18A8A"/>
    <w:rsid w:val="33DD66AC"/>
    <w:rsid w:val="33E05681"/>
    <w:rsid w:val="33EB2940"/>
    <w:rsid w:val="33EB637D"/>
    <w:rsid w:val="33ECE505"/>
    <w:rsid w:val="33F1A633"/>
    <w:rsid w:val="33F1F307"/>
    <w:rsid w:val="33F84733"/>
    <w:rsid w:val="33FDE314"/>
    <w:rsid w:val="33FE0A55"/>
    <w:rsid w:val="33FE5F91"/>
    <w:rsid w:val="3403F77C"/>
    <w:rsid w:val="34054399"/>
    <w:rsid w:val="34055EDF"/>
    <w:rsid w:val="340847D8"/>
    <w:rsid w:val="3408F5C6"/>
    <w:rsid w:val="3409F907"/>
    <w:rsid w:val="340E350E"/>
    <w:rsid w:val="34111BD6"/>
    <w:rsid w:val="3414C3EF"/>
    <w:rsid w:val="34163622"/>
    <w:rsid w:val="341A4D00"/>
    <w:rsid w:val="341F410D"/>
    <w:rsid w:val="34227E32"/>
    <w:rsid w:val="3423CEC7"/>
    <w:rsid w:val="3425E8AC"/>
    <w:rsid w:val="34279F02"/>
    <w:rsid w:val="34288267"/>
    <w:rsid w:val="342A6656"/>
    <w:rsid w:val="342A7FB4"/>
    <w:rsid w:val="342DA1B4"/>
    <w:rsid w:val="342FB1F4"/>
    <w:rsid w:val="3433FC34"/>
    <w:rsid w:val="343C5B27"/>
    <w:rsid w:val="343DE664"/>
    <w:rsid w:val="343F487D"/>
    <w:rsid w:val="34437131"/>
    <w:rsid w:val="3445EB4C"/>
    <w:rsid w:val="344843B3"/>
    <w:rsid w:val="3448E480"/>
    <w:rsid w:val="344BD0D0"/>
    <w:rsid w:val="344DD24C"/>
    <w:rsid w:val="34513528"/>
    <w:rsid w:val="34634CDD"/>
    <w:rsid w:val="3464FE99"/>
    <w:rsid w:val="34685A69"/>
    <w:rsid w:val="346AAEF8"/>
    <w:rsid w:val="346B36C0"/>
    <w:rsid w:val="347A7464"/>
    <w:rsid w:val="347CE704"/>
    <w:rsid w:val="3480D08C"/>
    <w:rsid w:val="3483D047"/>
    <w:rsid w:val="348774B5"/>
    <w:rsid w:val="348A1A9C"/>
    <w:rsid w:val="348CCEDE"/>
    <w:rsid w:val="3497D244"/>
    <w:rsid w:val="34990D8B"/>
    <w:rsid w:val="349A938E"/>
    <w:rsid w:val="349AC536"/>
    <w:rsid w:val="349B74CF"/>
    <w:rsid w:val="349C1722"/>
    <w:rsid w:val="349E89C6"/>
    <w:rsid w:val="349F14EF"/>
    <w:rsid w:val="34A18E1F"/>
    <w:rsid w:val="34A490E7"/>
    <w:rsid w:val="34A6360A"/>
    <w:rsid w:val="34A7503C"/>
    <w:rsid w:val="34A90E70"/>
    <w:rsid w:val="34B78D4C"/>
    <w:rsid w:val="34C088F6"/>
    <w:rsid w:val="34C0EFCD"/>
    <w:rsid w:val="34C0F6E3"/>
    <w:rsid w:val="34C35DDC"/>
    <w:rsid w:val="34C96035"/>
    <w:rsid w:val="34CA9350"/>
    <w:rsid w:val="34CDE7E1"/>
    <w:rsid w:val="34D54037"/>
    <w:rsid w:val="34D73F49"/>
    <w:rsid w:val="34DAECE8"/>
    <w:rsid w:val="34E60528"/>
    <w:rsid w:val="34E986DE"/>
    <w:rsid w:val="34EBEE06"/>
    <w:rsid w:val="34ED2664"/>
    <w:rsid w:val="34F291CA"/>
    <w:rsid w:val="34F34E1A"/>
    <w:rsid w:val="34F51446"/>
    <w:rsid w:val="34FB0F43"/>
    <w:rsid w:val="34FF7D46"/>
    <w:rsid w:val="35009A90"/>
    <w:rsid w:val="3504F809"/>
    <w:rsid w:val="35068B93"/>
    <w:rsid w:val="3507700B"/>
    <w:rsid w:val="350A26CF"/>
    <w:rsid w:val="350DDFB5"/>
    <w:rsid w:val="350E61EF"/>
    <w:rsid w:val="350F8BCD"/>
    <w:rsid w:val="351A5B8E"/>
    <w:rsid w:val="351D47D9"/>
    <w:rsid w:val="351E644C"/>
    <w:rsid w:val="35231DE8"/>
    <w:rsid w:val="35238A1A"/>
    <w:rsid w:val="352A90E2"/>
    <w:rsid w:val="352B9230"/>
    <w:rsid w:val="352BE990"/>
    <w:rsid w:val="352CB939"/>
    <w:rsid w:val="352EB411"/>
    <w:rsid w:val="352EB93F"/>
    <w:rsid w:val="35301796"/>
    <w:rsid w:val="3536B631"/>
    <w:rsid w:val="35383C83"/>
    <w:rsid w:val="3538BED9"/>
    <w:rsid w:val="353D8E8C"/>
    <w:rsid w:val="353FC064"/>
    <w:rsid w:val="35427CF2"/>
    <w:rsid w:val="3542A969"/>
    <w:rsid w:val="3542FD0E"/>
    <w:rsid w:val="354DEC17"/>
    <w:rsid w:val="354F80AB"/>
    <w:rsid w:val="3551B28B"/>
    <w:rsid w:val="355993D0"/>
    <w:rsid w:val="35609959"/>
    <w:rsid w:val="3564A254"/>
    <w:rsid w:val="3565C2B3"/>
    <w:rsid w:val="356C6BF9"/>
    <w:rsid w:val="3574E87C"/>
    <w:rsid w:val="357532DE"/>
    <w:rsid w:val="35758370"/>
    <w:rsid w:val="357A8E5D"/>
    <w:rsid w:val="358076FE"/>
    <w:rsid w:val="3584AA06"/>
    <w:rsid w:val="3585F9A1"/>
    <w:rsid w:val="35892398"/>
    <w:rsid w:val="358A621B"/>
    <w:rsid w:val="358E6F5A"/>
    <w:rsid w:val="3590C3C3"/>
    <w:rsid w:val="3591FEEC"/>
    <w:rsid w:val="35947205"/>
    <w:rsid w:val="3596A023"/>
    <w:rsid w:val="359A4BF1"/>
    <w:rsid w:val="35A3882F"/>
    <w:rsid w:val="35A4AA9D"/>
    <w:rsid w:val="35A5B363"/>
    <w:rsid w:val="35A6FFAE"/>
    <w:rsid w:val="35A7BAA8"/>
    <w:rsid w:val="35A9B439"/>
    <w:rsid w:val="35ABBF48"/>
    <w:rsid w:val="35AE33AD"/>
    <w:rsid w:val="35AE7B5F"/>
    <w:rsid w:val="35B0F349"/>
    <w:rsid w:val="35BF2254"/>
    <w:rsid w:val="35BFB4A7"/>
    <w:rsid w:val="35C6EEBB"/>
    <w:rsid w:val="35C76144"/>
    <w:rsid w:val="35C7925F"/>
    <w:rsid w:val="35CA8641"/>
    <w:rsid w:val="35D13818"/>
    <w:rsid w:val="35D1777D"/>
    <w:rsid w:val="35D4953D"/>
    <w:rsid w:val="35D50D17"/>
    <w:rsid w:val="35D64BEB"/>
    <w:rsid w:val="35DB42A2"/>
    <w:rsid w:val="35DD9F79"/>
    <w:rsid w:val="35DDBA95"/>
    <w:rsid w:val="35E14649"/>
    <w:rsid w:val="35E69655"/>
    <w:rsid w:val="35E750E3"/>
    <w:rsid w:val="35E83761"/>
    <w:rsid w:val="35ED8664"/>
    <w:rsid w:val="35EDA284"/>
    <w:rsid w:val="35F1A1C5"/>
    <w:rsid w:val="35F44C7E"/>
    <w:rsid w:val="35F5C3AD"/>
    <w:rsid w:val="35F5D243"/>
    <w:rsid w:val="35FE1C0F"/>
    <w:rsid w:val="3600FBBA"/>
    <w:rsid w:val="36033B00"/>
    <w:rsid w:val="3612A99A"/>
    <w:rsid w:val="36150201"/>
    <w:rsid w:val="361B9C78"/>
    <w:rsid w:val="36209187"/>
    <w:rsid w:val="36219CDC"/>
    <w:rsid w:val="3621BB04"/>
    <w:rsid w:val="3622D9DA"/>
    <w:rsid w:val="3629766B"/>
    <w:rsid w:val="362DDA68"/>
    <w:rsid w:val="362F73D9"/>
    <w:rsid w:val="3630BB50"/>
    <w:rsid w:val="3630EF93"/>
    <w:rsid w:val="3631A7CC"/>
    <w:rsid w:val="363D14DB"/>
    <w:rsid w:val="363DF607"/>
    <w:rsid w:val="3645B669"/>
    <w:rsid w:val="364705D6"/>
    <w:rsid w:val="3649363E"/>
    <w:rsid w:val="364E15C9"/>
    <w:rsid w:val="364EE983"/>
    <w:rsid w:val="3655B4DE"/>
    <w:rsid w:val="3657650D"/>
    <w:rsid w:val="36583F71"/>
    <w:rsid w:val="36591138"/>
    <w:rsid w:val="365EB752"/>
    <w:rsid w:val="36612C69"/>
    <w:rsid w:val="3665F687"/>
    <w:rsid w:val="366E7172"/>
    <w:rsid w:val="366F077F"/>
    <w:rsid w:val="367BA5B7"/>
    <w:rsid w:val="367C961F"/>
    <w:rsid w:val="36837596"/>
    <w:rsid w:val="3686AA00"/>
    <w:rsid w:val="3697E1CC"/>
    <w:rsid w:val="369F6987"/>
    <w:rsid w:val="369FE46C"/>
    <w:rsid w:val="36A1729A"/>
    <w:rsid w:val="36A90BC9"/>
    <w:rsid w:val="36AAEB1F"/>
    <w:rsid w:val="36AB47C3"/>
    <w:rsid w:val="36AD80BF"/>
    <w:rsid w:val="36B492E3"/>
    <w:rsid w:val="36B5C1FE"/>
    <w:rsid w:val="36B6A9E1"/>
    <w:rsid w:val="36BDE7E8"/>
    <w:rsid w:val="36C00683"/>
    <w:rsid w:val="36C34B43"/>
    <w:rsid w:val="36C4C859"/>
    <w:rsid w:val="36C5F666"/>
    <w:rsid w:val="36C7D2A3"/>
    <w:rsid w:val="36CB0CFB"/>
    <w:rsid w:val="36CF46D5"/>
    <w:rsid w:val="36D05490"/>
    <w:rsid w:val="36D0A142"/>
    <w:rsid w:val="36D4A905"/>
    <w:rsid w:val="36D564C1"/>
    <w:rsid w:val="36D5CB01"/>
    <w:rsid w:val="36D8C2FC"/>
    <w:rsid w:val="36DA866A"/>
    <w:rsid w:val="36E06034"/>
    <w:rsid w:val="36E2FD0B"/>
    <w:rsid w:val="36E499E4"/>
    <w:rsid w:val="36E49AE5"/>
    <w:rsid w:val="36E5B33D"/>
    <w:rsid w:val="36EBB5A2"/>
    <w:rsid w:val="36EE2FF1"/>
    <w:rsid w:val="36F0E856"/>
    <w:rsid w:val="36F2029C"/>
    <w:rsid w:val="36FBFDB3"/>
    <w:rsid w:val="37080CEB"/>
    <w:rsid w:val="370A316C"/>
    <w:rsid w:val="370DFF8F"/>
    <w:rsid w:val="37125F85"/>
    <w:rsid w:val="37147B3E"/>
    <w:rsid w:val="371877B2"/>
    <w:rsid w:val="371A2306"/>
    <w:rsid w:val="371C4B11"/>
    <w:rsid w:val="371CE313"/>
    <w:rsid w:val="3720146D"/>
    <w:rsid w:val="37260899"/>
    <w:rsid w:val="372B10A6"/>
    <w:rsid w:val="372ECFCD"/>
    <w:rsid w:val="37300B3D"/>
    <w:rsid w:val="37301CF3"/>
    <w:rsid w:val="3730EC7F"/>
    <w:rsid w:val="37312AE4"/>
    <w:rsid w:val="3731667C"/>
    <w:rsid w:val="37359F6D"/>
    <w:rsid w:val="37394A06"/>
    <w:rsid w:val="373C2A32"/>
    <w:rsid w:val="3745F836"/>
    <w:rsid w:val="374B8E65"/>
    <w:rsid w:val="374D73FF"/>
    <w:rsid w:val="374FA178"/>
    <w:rsid w:val="3755DB91"/>
    <w:rsid w:val="37572701"/>
    <w:rsid w:val="375783F2"/>
    <w:rsid w:val="37597B00"/>
    <w:rsid w:val="375B9B37"/>
    <w:rsid w:val="376102FB"/>
    <w:rsid w:val="37612326"/>
    <w:rsid w:val="37638149"/>
    <w:rsid w:val="37640681"/>
    <w:rsid w:val="37660B28"/>
    <w:rsid w:val="376910F5"/>
    <w:rsid w:val="37697376"/>
    <w:rsid w:val="37728804"/>
    <w:rsid w:val="377E7BBF"/>
    <w:rsid w:val="378D2CF1"/>
    <w:rsid w:val="3792F53D"/>
    <w:rsid w:val="3793D5D8"/>
    <w:rsid w:val="37983142"/>
    <w:rsid w:val="379A9263"/>
    <w:rsid w:val="379AA7B1"/>
    <w:rsid w:val="37A35CB0"/>
    <w:rsid w:val="37A73828"/>
    <w:rsid w:val="37A9F69F"/>
    <w:rsid w:val="37AE6791"/>
    <w:rsid w:val="37AF31CB"/>
    <w:rsid w:val="37B12BF4"/>
    <w:rsid w:val="37B20AEE"/>
    <w:rsid w:val="37B505A4"/>
    <w:rsid w:val="37B5EAC2"/>
    <w:rsid w:val="37B65DB1"/>
    <w:rsid w:val="37B91CEB"/>
    <w:rsid w:val="37BFA241"/>
    <w:rsid w:val="37C1282A"/>
    <w:rsid w:val="37C45A6F"/>
    <w:rsid w:val="37C4D076"/>
    <w:rsid w:val="37C99D73"/>
    <w:rsid w:val="37CCFC58"/>
    <w:rsid w:val="37D6BE73"/>
    <w:rsid w:val="37D761B7"/>
    <w:rsid w:val="37D9289C"/>
    <w:rsid w:val="37DC2EF8"/>
    <w:rsid w:val="37E0D875"/>
    <w:rsid w:val="37E1C278"/>
    <w:rsid w:val="37E3CE9E"/>
    <w:rsid w:val="37E90936"/>
    <w:rsid w:val="37EC8ABC"/>
    <w:rsid w:val="37F0B189"/>
    <w:rsid w:val="37F1830F"/>
    <w:rsid w:val="37F2D683"/>
    <w:rsid w:val="37F3B952"/>
    <w:rsid w:val="37F76DEA"/>
    <w:rsid w:val="37F7F1C1"/>
    <w:rsid w:val="37F80B7B"/>
    <w:rsid w:val="37FE895B"/>
    <w:rsid w:val="37FF86E9"/>
    <w:rsid w:val="37FFDDF4"/>
    <w:rsid w:val="3801D08D"/>
    <w:rsid w:val="3801D299"/>
    <w:rsid w:val="3804C6F1"/>
    <w:rsid w:val="3808EC20"/>
    <w:rsid w:val="380B2D31"/>
    <w:rsid w:val="380D4F04"/>
    <w:rsid w:val="380D6004"/>
    <w:rsid w:val="38165F73"/>
    <w:rsid w:val="381AD0FA"/>
    <w:rsid w:val="381C717E"/>
    <w:rsid w:val="381DEC56"/>
    <w:rsid w:val="381E53D7"/>
    <w:rsid w:val="3825C9D8"/>
    <w:rsid w:val="382CA98C"/>
    <w:rsid w:val="383645C0"/>
    <w:rsid w:val="38371F9B"/>
    <w:rsid w:val="38378310"/>
    <w:rsid w:val="383CE118"/>
    <w:rsid w:val="38446DF4"/>
    <w:rsid w:val="38458648"/>
    <w:rsid w:val="38483D15"/>
    <w:rsid w:val="38499427"/>
    <w:rsid w:val="384A5437"/>
    <w:rsid w:val="384D571A"/>
    <w:rsid w:val="384D9B22"/>
    <w:rsid w:val="3850CCBC"/>
    <w:rsid w:val="38534614"/>
    <w:rsid w:val="385E6F60"/>
    <w:rsid w:val="386027FB"/>
    <w:rsid w:val="3861B71A"/>
    <w:rsid w:val="3863E035"/>
    <w:rsid w:val="38659A82"/>
    <w:rsid w:val="386F01C6"/>
    <w:rsid w:val="38760EC2"/>
    <w:rsid w:val="3876FC9E"/>
    <w:rsid w:val="387724D9"/>
    <w:rsid w:val="38795F79"/>
    <w:rsid w:val="3879DAE5"/>
    <w:rsid w:val="387A8D57"/>
    <w:rsid w:val="387E5037"/>
    <w:rsid w:val="387FD9D0"/>
    <w:rsid w:val="388224E7"/>
    <w:rsid w:val="3882B146"/>
    <w:rsid w:val="3884C350"/>
    <w:rsid w:val="388623F0"/>
    <w:rsid w:val="38885541"/>
    <w:rsid w:val="3888B2F9"/>
    <w:rsid w:val="388975A2"/>
    <w:rsid w:val="3891ABF3"/>
    <w:rsid w:val="38943354"/>
    <w:rsid w:val="3897F228"/>
    <w:rsid w:val="389869E3"/>
    <w:rsid w:val="389F0B50"/>
    <w:rsid w:val="38A11E17"/>
    <w:rsid w:val="38A8300B"/>
    <w:rsid w:val="38AC8A5F"/>
    <w:rsid w:val="38B16CBF"/>
    <w:rsid w:val="38B235F7"/>
    <w:rsid w:val="38B32D61"/>
    <w:rsid w:val="38B8CBD4"/>
    <w:rsid w:val="38BA72ED"/>
    <w:rsid w:val="38BB9662"/>
    <w:rsid w:val="38BC24CB"/>
    <w:rsid w:val="38BC9DF5"/>
    <w:rsid w:val="38BFCA57"/>
    <w:rsid w:val="38C08819"/>
    <w:rsid w:val="38C2AD72"/>
    <w:rsid w:val="38C5FAA6"/>
    <w:rsid w:val="38C8FA2D"/>
    <w:rsid w:val="38C9F52B"/>
    <w:rsid w:val="38CABBFD"/>
    <w:rsid w:val="38CB5101"/>
    <w:rsid w:val="38D0B7A5"/>
    <w:rsid w:val="38D220B1"/>
    <w:rsid w:val="38D58529"/>
    <w:rsid w:val="38D586A6"/>
    <w:rsid w:val="38D6038D"/>
    <w:rsid w:val="38D64004"/>
    <w:rsid w:val="38E0E09A"/>
    <w:rsid w:val="38E483E9"/>
    <w:rsid w:val="38E4DB97"/>
    <w:rsid w:val="38E6370A"/>
    <w:rsid w:val="38EA0B34"/>
    <w:rsid w:val="38EC70A4"/>
    <w:rsid w:val="38F1B83E"/>
    <w:rsid w:val="38F73879"/>
    <w:rsid w:val="38F94CE6"/>
    <w:rsid w:val="38FB5EE1"/>
    <w:rsid w:val="38FF6996"/>
    <w:rsid w:val="3902FC9E"/>
    <w:rsid w:val="3904C49B"/>
    <w:rsid w:val="3904D0C0"/>
    <w:rsid w:val="3906E76B"/>
    <w:rsid w:val="3907BF12"/>
    <w:rsid w:val="3909AFA8"/>
    <w:rsid w:val="390CA4C8"/>
    <w:rsid w:val="390D6B1D"/>
    <w:rsid w:val="390FCF2A"/>
    <w:rsid w:val="39106709"/>
    <w:rsid w:val="3911492A"/>
    <w:rsid w:val="3911B932"/>
    <w:rsid w:val="3915A904"/>
    <w:rsid w:val="391726A3"/>
    <w:rsid w:val="39175593"/>
    <w:rsid w:val="39182C6A"/>
    <w:rsid w:val="39214EC9"/>
    <w:rsid w:val="3921C8EC"/>
    <w:rsid w:val="3926E461"/>
    <w:rsid w:val="392BBAF9"/>
    <w:rsid w:val="392E8F45"/>
    <w:rsid w:val="392FFCDF"/>
    <w:rsid w:val="39344F08"/>
    <w:rsid w:val="393D2D14"/>
    <w:rsid w:val="3942C9D4"/>
    <w:rsid w:val="3943CE6A"/>
    <w:rsid w:val="39481167"/>
    <w:rsid w:val="39537F0C"/>
    <w:rsid w:val="39545E1F"/>
    <w:rsid w:val="39587EBF"/>
    <w:rsid w:val="39589648"/>
    <w:rsid w:val="395A8ABD"/>
    <w:rsid w:val="395D0FD3"/>
    <w:rsid w:val="395D6AF2"/>
    <w:rsid w:val="39657F21"/>
    <w:rsid w:val="3965E161"/>
    <w:rsid w:val="3967F488"/>
    <w:rsid w:val="3980FBD7"/>
    <w:rsid w:val="398985F2"/>
    <w:rsid w:val="3989EFBC"/>
    <w:rsid w:val="398A86B5"/>
    <w:rsid w:val="398B05FD"/>
    <w:rsid w:val="398FF1F3"/>
    <w:rsid w:val="39908E76"/>
    <w:rsid w:val="3993B71B"/>
    <w:rsid w:val="3993F65E"/>
    <w:rsid w:val="3994875C"/>
    <w:rsid w:val="399689E9"/>
    <w:rsid w:val="399DFA79"/>
    <w:rsid w:val="39A25512"/>
    <w:rsid w:val="39A48337"/>
    <w:rsid w:val="39A50D2F"/>
    <w:rsid w:val="39AFBC3C"/>
    <w:rsid w:val="39B432CA"/>
    <w:rsid w:val="39B60104"/>
    <w:rsid w:val="39B7035E"/>
    <w:rsid w:val="39B9DAF7"/>
    <w:rsid w:val="39BA92A3"/>
    <w:rsid w:val="39C32F2B"/>
    <w:rsid w:val="39C87A10"/>
    <w:rsid w:val="39D570F4"/>
    <w:rsid w:val="39D60395"/>
    <w:rsid w:val="39D7D585"/>
    <w:rsid w:val="39DD8BF3"/>
    <w:rsid w:val="39DE0205"/>
    <w:rsid w:val="39DEB383"/>
    <w:rsid w:val="39DFCDFB"/>
    <w:rsid w:val="39E7E42C"/>
    <w:rsid w:val="39E9597D"/>
    <w:rsid w:val="39EA6275"/>
    <w:rsid w:val="39EA9774"/>
    <w:rsid w:val="39F3DC8B"/>
    <w:rsid w:val="3A00DAB8"/>
    <w:rsid w:val="3A01FA83"/>
    <w:rsid w:val="3A03708E"/>
    <w:rsid w:val="3A091C4E"/>
    <w:rsid w:val="3A132EE6"/>
    <w:rsid w:val="3A158844"/>
    <w:rsid w:val="3A16EABD"/>
    <w:rsid w:val="3A17C62C"/>
    <w:rsid w:val="3A1A2965"/>
    <w:rsid w:val="3A1DD823"/>
    <w:rsid w:val="3A1FA7C4"/>
    <w:rsid w:val="3A26933D"/>
    <w:rsid w:val="3A362567"/>
    <w:rsid w:val="3A3887FE"/>
    <w:rsid w:val="3A3EA9E1"/>
    <w:rsid w:val="3A3EC098"/>
    <w:rsid w:val="3A41F656"/>
    <w:rsid w:val="3A444A8F"/>
    <w:rsid w:val="3A465B0C"/>
    <w:rsid w:val="3A470758"/>
    <w:rsid w:val="3A496ED4"/>
    <w:rsid w:val="3A49E70E"/>
    <w:rsid w:val="3A4C126D"/>
    <w:rsid w:val="3A4E0A9E"/>
    <w:rsid w:val="3A5373CE"/>
    <w:rsid w:val="3A5545EB"/>
    <w:rsid w:val="3A5EF83C"/>
    <w:rsid w:val="3A618FCB"/>
    <w:rsid w:val="3A6270B6"/>
    <w:rsid w:val="3A62741B"/>
    <w:rsid w:val="3A633E2D"/>
    <w:rsid w:val="3A63FBDA"/>
    <w:rsid w:val="3A67F909"/>
    <w:rsid w:val="3A6A1C06"/>
    <w:rsid w:val="3A6B15F2"/>
    <w:rsid w:val="3A6B4389"/>
    <w:rsid w:val="3A70AB8C"/>
    <w:rsid w:val="3A76F507"/>
    <w:rsid w:val="3A81C04F"/>
    <w:rsid w:val="3A880BDA"/>
    <w:rsid w:val="3A890CED"/>
    <w:rsid w:val="3A8BDA11"/>
    <w:rsid w:val="3A8C64B9"/>
    <w:rsid w:val="3A8DDF49"/>
    <w:rsid w:val="3A924CD9"/>
    <w:rsid w:val="3A972402"/>
    <w:rsid w:val="3A98161C"/>
    <w:rsid w:val="3A9DFFD1"/>
    <w:rsid w:val="3A9F39B7"/>
    <w:rsid w:val="3AA20DF4"/>
    <w:rsid w:val="3AA40A5C"/>
    <w:rsid w:val="3AACCBD4"/>
    <w:rsid w:val="3AAD1B12"/>
    <w:rsid w:val="3AAD2A6E"/>
    <w:rsid w:val="3AADA803"/>
    <w:rsid w:val="3AAF6004"/>
    <w:rsid w:val="3AB035FE"/>
    <w:rsid w:val="3AB22E80"/>
    <w:rsid w:val="3AB54AF3"/>
    <w:rsid w:val="3AB828BE"/>
    <w:rsid w:val="3AB8341C"/>
    <w:rsid w:val="3ABAFB65"/>
    <w:rsid w:val="3ABF7D1A"/>
    <w:rsid w:val="3AC0145F"/>
    <w:rsid w:val="3AC22172"/>
    <w:rsid w:val="3AD5D3B9"/>
    <w:rsid w:val="3AD67249"/>
    <w:rsid w:val="3ADD2C87"/>
    <w:rsid w:val="3ADF82FC"/>
    <w:rsid w:val="3AE477B4"/>
    <w:rsid w:val="3AEBFAB8"/>
    <w:rsid w:val="3AF5E819"/>
    <w:rsid w:val="3AFA3201"/>
    <w:rsid w:val="3AFB98A5"/>
    <w:rsid w:val="3AFEF3B0"/>
    <w:rsid w:val="3B01D38C"/>
    <w:rsid w:val="3B05E4AC"/>
    <w:rsid w:val="3B0C0056"/>
    <w:rsid w:val="3B0C62D1"/>
    <w:rsid w:val="3B114B57"/>
    <w:rsid w:val="3B178FFE"/>
    <w:rsid w:val="3B179504"/>
    <w:rsid w:val="3B1A8444"/>
    <w:rsid w:val="3B1B1466"/>
    <w:rsid w:val="3B2052FA"/>
    <w:rsid w:val="3B20E57F"/>
    <w:rsid w:val="3B21DDA4"/>
    <w:rsid w:val="3B23E5BE"/>
    <w:rsid w:val="3B3026B0"/>
    <w:rsid w:val="3B313D8F"/>
    <w:rsid w:val="3B31E685"/>
    <w:rsid w:val="3B3320F6"/>
    <w:rsid w:val="3B33F045"/>
    <w:rsid w:val="3B3CBCBF"/>
    <w:rsid w:val="3B41F079"/>
    <w:rsid w:val="3B439A98"/>
    <w:rsid w:val="3B4563A0"/>
    <w:rsid w:val="3B49A724"/>
    <w:rsid w:val="3B4D7CED"/>
    <w:rsid w:val="3B4DC6D9"/>
    <w:rsid w:val="3B558288"/>
    <w:rsid w:val="3B57DBD6"/>
    <w:rsid w:val="3B58B095"/>
    <w:rsid w:val="3B5BCF73"/>
    <w:rsid w:val="3B5F07B0"/>
    <w:rsid w:val="3B5FAF02"/>
    <w:rsid w:val="3B609C08"/>
    <w:rsid w:val="3B628472"/>
    <w:rsid w:val="3B633E19"/>
    <w:rsid w:val="3B6A8ED6"/>
    <w:rsid w:val="3B6CC531"/>
    <w:rsid w:val="3B73FFEB"/>
    <w:rsid w:val="3B75057A"/>
    <w:rsid w:val="3B78A59A"/>
    <w:rsid w:val="3B7A4814"/>
    <w:rsid w:val="3B86AE63"/>
    <w:rsid w:val="3B876FF1"/>
    <w:rsid w:val="3B8A7DA3"/>
    <w:rsid w:val="3B8AC3DE"/>
    <w:rsid w:val="3B8B0EDB"/>
    <w:rsid w:val="3B8F6CED"/>
    <w:rsid w:val="3B977566"/>
    <w:rsid w:val="3B9BA2B3"/>
    <w:rsid w:val="3BA25FA8"/>
    <w:rsid w:val="3BA413A8"/>
    <w:rsid w:val="3BA7BF36"/>
    <w:rsid w:val="3BA9209D"/>
    <w:rsid w:val="3BAE9CDB"/>
    <w:rsid w:val="3BAEDC09"/>
    <w:rsid w:val="3BB1DF24"/>
    <w:rsid w:val="3BB25E1B"/>
    <w:rsid w:val="3BB2D72A"/>
    <w:rsid w:val="3BB408A0"/>
    <w:rsid w:val="3BB428EC"/>
    <w:rsid w:val="3BBB05DC"/>
    <w:rsid w:val="3BBEE5D5"/>
    <w:rsid w:val="3BC48D98"/>
    <w:rsid w:val="3BC60483"/>
    <w:rsid w:val="3BCCCB7F"/>
    <w:rsid w:val="3BCCE5C0"/>
    <w:rsid w:val="3BCDB0AF"/>
    <w:rsid w:val="3BCEFA57"/>
    <w:rsid w:val="3BCF5520"/>
    <w:rsid w:val="3BD1AA65"/>
    <w:rsid w:val="3BD8533A"/>
    <w:rsid w:val="3BDE8974"/>
    <w:rsid w:val="3BDFD9C1"/>
    <w:rsid w:val="3BE11DA4"/>
    <w:rsid w:val="3BE2F068"/>
    <w:rsid w:val="3BE59B91"/>
    <w:rsid w:val="3BE68F49"/>
    <w:rsid w:val="3BE75A33"/>
    <w:rsid w:val="3BE75B2D"/>
    <w:rsid w:val="3BEBD843"/>
    <w:rsid w:val="3BEC9265"/>
    <w:rsid w:val="3BECA53A"/>
    <w:rsid w:val="3BF260BF"/>
    <w:rsid w:val="3BF71902"/>
    <w:rsid w:val="3C07247B"/>
    <w:rsid w:val="3C079F7B"/>
    <w:rsid w:val="3C087771"/>
    <w:rsid w:val="3C0ACB84"/>
    <w:rsid w:val="3C12B30C"/>
    <w:rsid w:val="3C1C73AD"/>
    <w:rsid w:val="3C209271"/>
    <w:rsid w:val="3C2A7F5C"/>
    <w:rsid w:val="3C324845"/>
    <w:rsid w:val="3C3A5957"/>
    <w:rsid w:val="3C3C3DF9"/>
    <w:rsid w:val="3C3D14F4"/>
    <w:rsid w:val="3C3FCED8"/>
    <w:rsid w:val="3C409F3A"/>
    <w:rsid w:val="3C41FF4B"/>
    <w:rsid w:val="3C4566CC"/>
    <w:rsid w:val="3C4764E1"/>
    <w:rsid w:val="3C490F46"/>
    <w:rsid w:val="3C4C3E6D"/>
    <w:rsid w:val="3C4CC033"/>
    <w:rsid w:val="3C4CFEE3"/>
    <w:rsid w:val="3C4F603E"/>
    <w:rsid w:val="3C5267F9"/>
    <w:rsid w:val="3C5AA8C6"/>
    <w:rsid w:val="3C5D02B3"/>
    <w:rsid w:val="3C643BA2"/>
    <w:rsid w:val="3C64451D"/>
    <w:rsid w:val="3C694565"/>
    <w:rsid w:val="3C71C9F3"/>
    <w:rsid w:val="3C7631CF"/>
    <w:rsid w:val="3C7CAFBD"/>
    <w:rsid w:val="3C8408A9"/>
    <w:rsid w:val="3C866979"/>
    <w:rsid w:val="3C889E34"/>
    <w:rsid w:val="3C8CABAC"/>
    <w:rsid w:val="3C8D6131"/>
    <w:rsid w:val="3C90A9B8"/>
    <w:rsid w:val="3C91AA2B"/>
    <w:rsid w:val="3C9A953A"/>
    <w:rsid w:val="3C9ADF3C"/>
    <w:rsid w:val="3C9C4535"/>
    <w:rsid w:val="3C9F2FE3"/>
    <w:rsid w:val="3CA0B49D"/>
    <w:rsid w:val="3CA2B01C"/>
    <w:rsid w:val="3CA3340A"/>
    <w:rsid w:val="3CA6A01D"/>
    <w:rsid w:val="3CA722E2"/>
    <w:rsid w:val="3CA8255E"/>
    <w:rsid w:val="3CA98796"/>
    <w:rsid w:val="3CAD0D1C"/>
    <w:rsid w:val="3CAE9E6C"/>
    <w:rsid w:val="3CAF46CB"/>
    <w:rsid w:val="3CB38EFC"/>
    <w:rsid w:val="3CB3996A"/>
    <w:rsid w:val="3CC3624A"/>
    <w:rsid w:val="3CC563A0"/>
    <w:rsid w:val="3CCB9C61"/>
    <w:rsid w:val="3CD48A5C"/>
    <w:rsid w:val="3CDD0713"/>
    <w:rsid w:val="3CDECA0C"/>
    <w:rsid w:val="3CE295FF"/>
    <w:rsid w:val="3CE68E9D"/>
    <w:rsid w:val="3CEB295C"/>
    <w:rsid w:val="3CEFDAD8"/>
    <w:rsid w:val="3CEFDC53"/>
    <w:rsid w:val="3CF2E128"/>
    <w:rsid w:val="3CF6FB29"/>
    <w:rsid w:val="3CFC0A4C"/>
    <w:rsid w:val="3CFE37A6"/>
    <w:rsid w:val="3D064BF5"/>
    <w:rsid w:val="3D065E04"/>
    <w:rsid w:val="3D083BEE"/>
    <w:rsid w:val="3D0C0995"/>
    <w:rsid w:val="3D123744"/>
    <w:rsid w:val="3D16DB2D"/>
    <w:rsid w:val="3D1BB9C0"/>
    <w:rsid w:val="3D1EB539"/>
    <w:rsid w:val="3D21AED0"/>
    <w:rsid w:val="3D2E724B"/>
    <w:rsid w:val="3D2F6C4E"/>
    <w:rsid w:val="3D2FB33D"/>
    <w:rsid w:val="3D34A752"/>
    <w:rsid w:val="3D354DCD"/>
    <w:rsid w:val="3D3BB749"/>
    <w:rsid w:val="3D412B8A"/>
    <w:rsid w:val="3D415141"/>
    <w:rsid w:val="3D42A11E"/>
    <w:rsid w:val="3D4347AA"/>
    <w:rsid w:val="3D452563"/>
    <w:rsid w:val="3D4678B5"/>
    <w:rsid w:val="3D49A6AD"/>
    <w:rsid w:val="3D4AF8A2"/>
    <w:rsid w:val="3D4FA8DE"/>
    <w:rsid w:val="3D516D96"/>
    <w:rsid w:val="3D523353"/>
    <w:rsid w:val="3D56B056"/>
    <w:rsid w:val="3D58A386"/>
    <w:rsid w:val="3D5AEDEE"/>
    <w:rsid w:val="3D5E3AEB"/>
    <w:rsid w:val="3D5FC80F"/>
    <w:rsid w:val="3D665043"/>
    <w:rsid w:val="3D669DC0"/>
    <w:rsid w:val="3D6D977A"/>
    <w:rsid w:val="3D727675"/>
    <w:rsid w:val="3D7677DD"/>
    <w:rsid w:val="3D7C3EFB"/>
    <w:rsid w:val="3D7C733F"/>
    <w:rsid w:val="3D7EBF1B"/>
    <w:rsid w:val="3D8B6C28"/>
    <w:rsid w:val="3D8EF728"/>
    <w:rsid w:val="3D8F9C78"/>
    <w:rsid w:val="3D9233E8"/>
    <w:rsid w:val="3D9715E7"/>
    <w:rsid w:val="3D9773BC"/>
    <w:rsid w:val="3D9B815D"/>
    <w:rsid w:val="3D9CBCD3"/>
    <w:rsid w:val="3D9D8981"/>
    <w:rsid w:val="3D9FEBF3"/>
    <w:rsid w:val="3DA1260D"/>
    <w:rsid w:val="3DA1CC12"/>
    <w:rsid w:val="3DA2CB3D"/>
    <w:rsid w:val="3DA5E16A"/>
    <w:rsid w:val="3DAD3D2E"/>
    <w:rsid w:val="3DB00A5E"/>
    <w:rsid w:val="3DB0BA22"/>
    <w:rsid w:val="3DC65FB8"/>
    <w:rsid w:val="3DC753CC"/>
    <w:rsid w:val="3DC7D7B1"/>
    <w:rsid w:val="3DC9AB73"/>
    <w:rsid w:val="3DD0322F"/>
    <w:rsid w:val="3DD6F0D7"/>
    <w:rsid w:val="3DDB59DE"/>
    <w:rsid w:val="3DDCA8FE"/>
    <w:rsid w:val="3DDDDEF9"/>
    <w:rsid w:val="3DDE8DDE"/>
    <w:rsid w:val="3DE186BC"/>
    <w:rsid w:val="3DE2D70B"/>
    <w:rsid w:val="3DE74FFC"/>
    <w:rsid w:val="3DF0A2D2"/>
    <w:rsid w:val="3DF65E61"/>
    <w:rsid w:val="3DF6A488"/>
    <w:rsid w:val="3DF76F3A"/>
    <w:rsid w:val="3DF96CCC"/>
    <w:rsid w:val="3DFB17E5"/>
    <w:rsid w:val="3DFC3171"/>
    <w:rsid w:val="3DFE913C"/>
    <w:rsid w:val="3E01630E"/>
    <w:rsid w:val="3E063232"/>
    <w:rsid w:val="3E0C7C72"/>
    <w:rsid w:val="3E0E93AE"/>
    <w:rsid w:val="3E13BA2F"/>
    <w:rsid w:val="3E19D14E"/>
    <w:rsid w:val="3E1C3E9D"/>
    <w:rsid w:val="3E29F718"/>
    <w:rsid w:val="3E2B2437"/>
    <w:rsid w:val="3E2CDF0A"/>
    <w:rsid w:val="3E3088C8"/>
    <w:rsid w:val="3E31F5F4"/>
    <w:rsid w:val="3E320CAB"/>
    <w:rsid w:val="3E321B52"/>
    <w:rsid w:val="3E32F829"/>
    <w:rsid w:val="3E36DE56"/>
    <w:rsid w:val="3E37A5B5"/>
    <w:rsid w:val="3E3D79F4"/>
    <w:rsid w:val="3E3EC52D"/>
    <w:rsid w:val="3E40CDC1"/>
    <w:rsid w:val="3E41175E"/>
    <w:rsid w:val="3E41D7D0"/>
    <w:rsid w:val="3E460105"/>
    <w:rsid w:val="3E47A12B"/>
    <w:rsid w:val="3E4BDC91"/>
    <w:rsid w:val="3E4DF7E0"/>
    <w:rsid w:val="3E4EA634"/>
    <w:rsid w:val="3E52B10B"/>
    <w:rsid w:val="3E57B105"/>
    <w:rsid w:val="3E58E98A"/>
    <w:rsid w:val="3E5C1F79"/>
    <w:rsid w:val="3E5C808E"/>
    <w:rsid w:val="3E60B4B6"/>
    <w:rsid w:val="3E60BE2B"/>
    <w:rsid w:val="3E62B358"/>
    <w:rsid w:val="3E64815C"/>
    <w:rsid w:val="3E65B361"/>
    <w:rsid w:val="3E6CFE6B"/>
    <w:rsid w:val="3E701155"/>
    <w:rsid w:val="3E720D41"/>
    <w:rsid w:val="3E73B133"/>
    <w:rsid w:val="3E75E73F"/>
    <w:rsid w:val="3E78281F"/>
    <w:rsid w:val="3E7C7C62"/>
    <w:rsid w:val="3E7F99DB"/>
    <w:rsid w:val="3E83E05A"/>
    <w:rsid w:val="3E83F127"/>
    <w:rsid w:val="3E856362"/>
    <w:rsid w:val="3E94FCB1"/>
    <w:rsid w:val="3E98B901"/>
    <w:rsid w:val="3E9A99AC"/>
    <w:rsid w:val="3E9F3DB0"/>
    <w:rsid w:val="3EA2CEC4"/>
    <w:rsid w:val="3EA386B5"/>
    <w:rsid w:val="3EA6D810"/>
    <w:rsid w:val="3EA8E4F5"/>
    <w:rsid w:val="3EA8FC03"/>
    <w:rsid w:val="3EA96857"/>
    <w:rsid w:val="3EAA610D"/>
    <w:rsid w:val="3EB3B778"/>
    <w:rsid w:val="3EB7CBBF"/>
    <w:rsid w:val="3EB81D69"/>
    <w:rsid w:val="3EB9E0C3"/>
    <w:rsid w:val="3EBB5814"/>
    <w:rsid w:val="3EBBF92B"/>
    <w:rsid w:val="3EC1A194"/>
    <w:rsid w:val="3EC40692"/>
    <w:rsid w:val="3EC4A666"/>
    <w:rsid w:val="3ED161AB"/>
    <w:rsid w:val="3ED323A9"/>
    <w:rsid w:val="3ED3D6AD"/>
    <w:rsid w:val="3ED4B548"/>
    <w:rsid w:val="3ED4CA0B"/>
    <w:rsid w:val="3ED6653B"/>
    <w:rsid w:val="3ED8B26F"/>
    <w:rsid w:val="3EE35BEE"/>
    <w:rsid w:val="3EE4DDFC"/>
    <w:rsid w:val="3EE669A0"/>
    <w:rsid w:val="3EE675D2"/>
    <w:rsid w:val="3EE7157C"/>
    <w:rsid w:val="3EE73405"/>
    <w:rsid w:val="3EECF057"/>
    <w:rsid w:val="3EF37357"/>
    <w:rsid w:val="3EF3D95D"/>
    <w:rsid w:val="3EF6576A"/>
    <w:rsid w:val="3EFB2D0B"/>
    <w:rsid w:val="3F0035CF"/>
    <w:rsid w:val="3F0683F3"/>
    <w:rsid w:val="3F0738E7"/>
    <w:rsid w:val="3F07B30B"/>
    <w:rsid w:val="3F0B56EB"/>
    <w:rsid w:val="3F0F8E3B"/>
    <w:rsid w:val="3F1475C8"/>
    <w:rsid w:val="3F17F711"/>
    <w:rsid w:val="3F18BE6D"/>
    <w:rsid w:val="3F19DAED"/>
    <w:rsid w:val="3F205656"/>
    <w:rsid w:val="3F209AC4"/>
    <w:rsid w:val="3F276155"/>
    <w:rsid w:val="3F36B81C"/>
    <w:rsid w:val="3F40995E"/>
    <w:rsid w:val="3F4652F2"/>
    <w:rsid w:val="3F49251D"/>
    <w:rsid w:val="3F4DCADB"/>
    <w:rsid w:val="3F4E78FC"/>
    <w:rsid w:val="3F4FF31C"/>
    <w:rsid w:val="3F525FFA"/>
    <w:rsid w:val="3F532292"/>
    <w:rsid w:val="3F5344DD"/>
    <w:rsid w:val="3F553948"/>
    <w:rsid w:val="3F5E1CA9"/>
    <w:rsid w:val="3F5F010A"/>
    <w:rsid w:val="3F643FC1"/>
    <w:rsid w:val="3F65E8E4"/>
    <w:rsid w:val="3F69E22C"/>
    <w:rsid w:val="3F6B9E33"/>
    <w:rsid w:val="3F6E63A2"/>
    <w:rsid w:val="3F735300"/>
    <w:rsid w:val="3F77F132"/>
    <w:rsid w:val="3F7D15F2"/>
    <w:rsid w:val="3F7F3C64"/>
    <w:rsid w:val="3F834082"/>
    <w:rsid w:val="3F874463"/>
    <w:rsid w:val="3F878B0C"/>
    <w:rsid w:val="3F8C1403"/>
    <w:rsid w:val="3F8E39B1"/>
    <w:rsid w:val="3F917297"/>
    <w:rsid w:val="3F94FDF2"/>
    <w:rsid w:val="3F9727B6"/>
    <w:rsid w:val="3F97304C"/>
    <w:rsid w:val="3F97CEA7"/>
    <w:rsid w:val="3F994A16"/>
    <w:rsid w:val="3F9987A1"/>
    <w:rsid w:val="3F9E32BA"/>
    <w:rsid w:val="3F9EE82B"/>
    <w:rsid w:val="3FA29B5C"/>
    <w:rsid w:val="3FA50B49"/>
    <w:rsid w:val="3FA51E23"/>
    <w:rsid w:val="3FA6CF05"/>
    <w:rsid w:val="3FA6DAF3"/>
    <w:rsid w:val="3FA7F90F"/>
    <w:rsid w:val="3FA9FAAA"/>
    <w:rsid w:val="3FAD9BB2"/>
    <w:rsid w:val="3FBBFFCC"/>
    <w:rsid w:val="3FC1CF06"/>
    <w:rsid w:val="3FC75137"/>
    <w:rsid w:val="3FC8435F"/>
    <w:rsid w:val="3FC8E201"/>
    <w:rsid w:val="3FCCBF19"/>
    <w:rsid w:val="3FCE9BBF"/>
    <w:rsid w:val="3FD08DA7"/>
    <w:rsid w:val="3FD0D458"/>
    <w:rsid w:val="3FD0F048"/>
    <w:rsid w:val="3FD32E87"/>
    <w:rsid w:val="3FD622ED"/>
    <w:rsid w:val="3FDEF69D"/>
    <w:rsid w:val="3FDF4B33"/>
    <w:rsid w:val="3FE26623"/>
    <w:rsid w:val="3FE268F6"/>
    <w:rsid w:val="3FE732B6"/>
    <w:rsid w:val="3FEC0C5C"/>
    <w:rsid w:val="3FECAF55"/>
    <w:rsid w:val="3FEF11D2"/>
    <w:rsid w:val="3FF05711"/>
    <w:rsid w:val="3FF1367E"/>
    <w:rsid w:val="3FF433B0"/>
    <w:rsid w:val="3FF66C66"/>
    <w:rsid w:val="3FF711AE"/>
    <w:rsid w:val="3FF9A23C"/>
    <w:rsid w:val="3FFEAC26"/>
    <w:rsid w:val="4005BB32"/>
    <w:rsid w:val="40064A1C"/>
    <w:rsid w:val="4007102E"/>
    <w:rsid w:val="400B4569"/>
    <w:rsid w:val="400C8062"/>
    <w:rsid w:val="4012A0AD"/>
    <w:rsid w:val="40143347"/>
    <w:rsid w:val="40159B38"/>
    <w:rsid w:val="4015C260"/>
    <w:rsid w:val="401764F5"/>
    <w:rsid w:val="40181319"/>
    <w:rsid w:val="401DC95F"/>
    <w:rsid w:val="401F0AE9"/>
    <w:rsid w:val="4022F734"/>
    <w:rsid w:val="402473F1"/>
    <w:rsid w:val="4024A0CB"/>
    <w:rsid w:val="4025E696"/>
    <w:rsid w:val="4028EAF6"/>
    <w:rsid w:val="402C7A0B"/>
    <w:rsid w:val="403BF2EB"/>
    <w:rsid w:val="403E0A24"/>
    <w:rsid w:val="403FC9EC"/>
    <w:rsid w:val="40527012"/>
    <w:rsid w:val="40530E62"/>
    <w:rsid w:val="4058E8E6"/>
    <w:rsid w:val="405C487F"/>
    <w:rsid w:val="405DD999"/>
    <w:rsid w:val="406128D5"/>
    <w:rsid w:val="40617349"/>
    <w:rsid w:val="40637F12"/>
    <w:rsid w:val="4065B897"/>
    <w:rsid w:val="4067377E"/>
    <w:rsid w:val="4068A025"/>
    <w:rsid w:val="4069A1AA"/>
    <w:rsid w:val="4069B626"/>
    <w:rsid w:val="40701878"/>
    <w:rsid w:val="40718C50"/>
    <w:rsid w:val="4071F653"/>
    <w:rsid w:val="40738AF9"/>
    <w:rsid w:val="40749F80"/>
    <w:rsid w:val="40777D4F"/>
    <w:rsid w:val="4079142A"/>
    <w:rsid w:val="407C2166"/>
    <w:rsid w:val="407C2292"/>
    <w:rsid w:val="408223B2"/>
    <w:rsid w:val="408601FD"/>
    <w:rsid w:val="40866D98"/>
    <w:rsid w:val="408DB844"/>
    <w:rsid w:val="408E18B6"/>
    <w:rsid w:val="409857D5"/>
    <w:rsid w:val="409EB6DD"/>
    <w:rsid w:val="40A0FAC2"/>
    <w:rsid w:val="40A2F8A6"/>
    <w:rsid w:val="40ADE776"/>
    <w:rsid w:val="40B5C33A"/>
    <w:rsid w:val="40B9370D"/>
    <w:rsid w:val="40BC608A"/>
    <w:rsid w:val="40BD58B2"/>
    <w:rsid w:val="40BEEA9B"/>
    <w:rsid w:val="40BF30EC"/>
    <w:rsid w:val="40BFC879"/>
    <w:rsid w:val="40C2F694"/>
    <w:rsid w:val="40C7CF6D"/>
    <w:rsid w:val="40C8A89C"/>
    <w:rsid w:val="40CF3B9F"/>
    <w:rsid w:val="40D37DF2"/>
    <w:rsid w:val="40D4FBE7"/>
    <w:rsid w:val="40DB9B3E"/>
    <w:rsid w:val="40E0DCF7"/>
    <w:rsid w:val="40E5BC3B"/>
    <w:rsid w:val="40E7FE84"/>
    <w:rsid w:val="40EC6806"/>
    <w:rsid w:val="40ED21E8"/>
    <w:rsid w:val="40F526B4"/>
    <w:rsid w:val="40FA7375"/>
    <w:rsid w:val="40FD269D"/>
    <w:rsid w:val="40FEBA0A"/>
    <w:rsid w:val="40FFF9F6"/>
    <w:rsid w:val="4100AC42"/>
    <w:rsid w:val="41016B20"/>
    <w:rsid w:val="4101E593"/>
    <w:rsid w:val="410284CC"/>
    <w:rsid w:val="410374F1"/>
    <w:rsid w:val="4103DE37"/>
    <w:rsid w:val="4105FD9A"/>
    <w:rsid w:val="41084054"/>
    <w:rsid w:val="410A05DF"/>
    <w:rsid w:val="410EFB6C"/>
    <w:rsid w:val="410FD56E"/>
    <w:rsid w:val="41102027"/>
    <w:rsid w:val="41112EBB"/>
    <w:rsid w:val="411499F4"/>
    <w:rsid w:val="4117FDE5"/>
    <w:rsid w:val="411C6C5B"/>
    <w:rsid w:val="411C7FAC"/>
    <w:rsid w:val="4121934F"/>
    <w:rsid w:val="41219E8E"/>
    <w:rsid w:val="41284105"/>
    <w:rsid w:val="412F31CB"/>
    <w:rsid w:val="41330274"/>
    <w:rsid w:val="41336D5C"/>
    <w:rsid w:val="41386E53"/>
    <w:rsid w:val="413DDA24"/>
    <w:rsid w:val="413F010D"/>
    <w:rsid w:val="413F5DF5"/>
    <w:rsid w:val="413FB1FA"/>
    <w:rsid w:val="4144B179"/>
    <w:rsid w:val="4148E5C1"/>
    <w:rsid w:val="414BC360"/>
    <w:rsid w:val="415062F4"/>
    <w:rsid w:val="4151F32F"/>
    <w:rsid w:val="415478DC"/>
    <w:rsid w:val="41558C72"/>
    <w:rsid w:val="4157C868"/>
    <w:rsid w:val="4158714D"/>
    <w:rsid w:val="415B7A0F"/>
    <w:rsid w:val="415D4B43"/>
    <w:rsid w:val="415E83DA"/>
    <w:rsid w:val="4163ABD6"/>
    <w:rsid w:val="4169DAD3"/>
    <w:rsid w:val="416D0BB0"/>
    <w:rsid w:val="417791D4"/>
    <w:rsid w:val="41787A0A"/>
    <w:rsid w:val="417D6197"/>
    <w:rsid w:val="417F6ADD"/>
    <w:rsid w:val="4186EFC3"/>
    <w:rsid w:val="418AB672"/>
    <w:rsid w:val="418D2985"/>
    <w:rsid w:val="419208DA"/>
    <w:rsid w:val="41976519"/>
    <w:rsid w:val="4198182E"/>
    <w:rsid w:val="41992B8F"/>
    <w:rsid w:val="41993401"/>
    <w:rsid w:val="419AF80C"/>
    <w:rsid w:val="419F53C6"/>
    <w:rsid w:val="41A332E4"/>
    <w:rsid w:val="41A72017"/>
    <w:rsid w:val="41A92CA6"/>
    <w:rsid w:val="41AAA875"/>
    <w:rsid w:val="41AD6E0A"/>
    <w:rsid w:val="41AFACD2"/>
    <w:rsid w:val="41B4C6E9"/>
    <w:rsid w:val="41B9FC6B"/>
    <w:rsid w:val="41BAF34A"/>
    <w:rsid w:val="41BB0126"/>
    <w:rsid w:val="41BF3254"/>
    <w:rsid w:val="41BF91DD"/>
    <w:rsid w:val="41C10A9A"/>
    <w:rsid w:val="41C3216D"/>
    <w:rsid w:val="41C5DDB7"/>
    <w:rsid w:val="41C83506"/>
    <w:rsid w:val="41CCBDAE"/>
    <w:rsid w:val="41D1020C"/>
    <w:rsid w:val="41D13671"/>
    <w:rsid w:val="41D934F6"/>
    <w:rsid w:val="41E10D37"/>
    <w:rsid w:val="41E2AEBB"/>
    <w:rsid w:val="41E3E8AF"/>
    <w:rsid w:val="41E8DCC4"/>
    <w:rsid w:val="41F41278"/>
    <w:rsid w:val="41F80FDF"/>
    <w:rsid w:val="41FB7699"/>
    <w:rsid w:val="41FB9760"/>
    <w:rsid w:val="41FC2F0E"/>
    <w:rsid w:val="41FC470D"/>
    <w:rsid w:val="41FCD899"/>
    <w:rsid w:val="41FCFCA2"/>
    <w:rsid w:val="41FD2F7A"/>
    <w:rsid w:val="42018113"/>
    <w:rsid w:val="420717F4"/>
    <w:rsid w:val="42124220"/>
    <w:rsid w:val="42155BF7"/>
    <w:rsid w:val="421726A7"/>
    <w:rsid w:val="4217EFD6"/>
    <w:rsid w:val="421B21DE"/>
    <w:rsid w:val="421C5F4F"/>
    <w:rsid w:val="421CDE41"/>
    <w:rsid w:val="422401FB"/>
    <w:rsid w:val="422748D1"/>
    <w:rsid w:val="422F392A"/>
    <w:rsid w:val="42325E0B"/>
    <w:rsid w:val="4232FF7E"/>
    <w:rsid w:val="4233650C"/>
    <w:rsid w:val="423CE0F4"/>
    <w:rsid w:val="423DBB16"/>
    <w:rsid w:val="423ECA07"/>
    <w:rsid w:val="424331CE"/>
    <w:rsid w:val="4247E8FD"/>
    <w:rsid w:val="424B64AD"/>
    <w:rsid w:val="424BC86F"/>
    <w:rsid w:val="425000D5"/>
    <w:rsid w:val="425532FF"/>
    <w:rsid w:val="4256EEF2"/>
    <w:rsid w:val="42591BC4"/>
    <w:rsid w:val="425A4C3E"/>
    <w:rsid w:val="425E4D12"/>
    <w:rsid w:val="425EC776"/>
    <w:rsid w:val="425F2D47"/>
    <w:rsid w:val="426B5727"/>
    <w:rsid w:val="426B5960"/>
    <w:rsid w:val="42782997"/>
    <w:rsid w:val="427F8A61"/>
    <w:rsid w:val="427FE590"/>
    <w:rsid w:val="4282312B"/>
    <w:rsid w:val="428705A6"/>
    <w:rsid w:val="429160B0"/>
    <w:rsid w:val="42918B56"/>
    <w:rsid w:val="4293D418"/>
    <w:rsid w:val="42949489"/>
    <w:rsid w:val="42A00BEA"/>
    <w:rsid w:val="42A3DFBE"/>
    <w:rsid w:val="42A40F2F"/>
    <w:rsid w:val="42AC14D5"/>
    <w:rsid w:val="42AD1194"/>
    <w:rsid w:val="42B140ED"/>
    <w:rsid w:val="42B97899"/>
    <w:rsid w:val="42BD80B8"/>
    <w:rsid w:val="42C2A05D"/>
    <w:rsid w:val="42C69CC2"/>
    <w:rsid w:val="42C81EB4"/>
    <w:rsid w:val="42CB00E9"/>
    <w:rsid w:val="42DCE825"/>
    <w:rsid w:val="42DD18A0"/>
    <w:rsid w:val="42DFC9AA"/>
    <w:rsid w:val="42E11C54"/>
    <w:rsid w:val="42E6B0FC"/>
    <w:rsid w:val="42E81CE8"/>
    <w:rsid w:val="42E83B4F"/>
    <w:rsid w:val="42EAAEF7"/>
    <w:rsid w:val="42EB8BDC"/>
    <w:rsid w:val="42EFD0E0"/>
    <w:rsid w:val="42EFD87D"/>
    <w:rsid w:val="4309AB04"/>
    <w:rsid w:val="430A4770"/>
    <w:rsid w:val="430FE0DC"/>
    <w:rsid w:val="43114754"/>
    <w:rsid w:val="4312ABEC"/>
    <w:rsid w:val="43152281"/>
    <w:rsid w:val="4318BA6C"/>
    <w:rsid w:val="431DEFB5"/>
    <w:rsid w:val="431EB87B"/>
    <w:rsid w:val="432163F4"/>
    <w:rsid w:val="43228864"/>
    <w:rsid w:val="43275E97"/>
    <w:rsid w:val="4331CD86"/>
    <w:rsid w:val="433699D6"/>
    <w:rsid w:val="43386B1A"/>
    <w:rsid w:val="43388E21"/>
    <w:rsid w:val="43394CDE"/>
    <w:rsid w:val="4339DE4B"/>
    <w:rsid w:val="433CC73E"/>
    <w:rsid w:val="433D32CA"/>
    <w:rsid w:val="4342F181"/>
    <w:rsid w:val="43453A91"/>
    <w:rsid w:val="434AB12C"/>
    <w:rsid w:val="434B3D40"/>
    <w:rsid w:val="434D6867"/>
    <w:rsid w:val="434F56A6"/>
    <w:rsid w:val="43531086"/>
    <w:rsid w:val="4355B7E2"/>
    <w:rsid w:val="4355CA2F"/>
    <w:rsid w:val="4355E645"/>
    <w:rsid w:val="43572E37"/>
    <w:rsid w:val="4358D9BC"/>
    <w:rsid w:val="43598408"/>
    <w:rsid w:val="435AB870"/>
    <w:rsid w:val="435B4117"/>
    <w:rsid w:val="435F5704"/>
    <w:rsid w:val="43606BF1"/>
    <w:rsid w:val="43623424"/>
    <w:rsid w:val="4367EFB5"/>
    <w:rsid w:val="4368D1CC"/>
    <w:rsid w:val="436FE95A"/>
    <w:rsid w:val="436FEFCD"/>
    <w:rsid w:val="4373AFFD"/>
    <w:rsid w:val="43782325"/>
    <w:rsid w:val="437E844F"/>
    <w:rsid w:val="437F5589"/>
    <w:rsid w:val="43810FC1"/>
    <w:rsid w:val="438A4F0E"/>
    <w:rsid w:val="438B2F26"/>
    <w:rsid w:val="43952F06"/>
    <w:rsid w:val="4398C2C1"/>
    <w:rsid w:val="439AD2F4"/>
    <w:rsid w:val="439ED085"/>
    <w:rsid w:val="439EFE6A"/>
    <w:rsid w:val="43A001F1"/>
    <w:rsid w:val="43A8128D"/>
    <w:rsid w:val="43AA02C6"/>
    <w:rsid w:val="43AAD58B"/>
    <w:rsid w:val="43AC1FE6"/>
    <w:rsid w:val="43B09EF2"/>
    <w:rsid w:val="43B8F291"/>
    <w:rsid w:val="43BDE62A"/>
    <w:rsid w:val="43C384FE"/>
    <w:rsid w:val="43C926E4"/>
    <w:rsid w:val="43C9B951"/>
    <w:rsid w:val="43CB2B45"/>
    <w:rsid w:val="43CE0666"/>
    <w:rsid w:val="43D2CF60"/>
    <w:rsid w:val="43DFD0D3"/>
    <w:rsid w:val="43E474C7"/>
    <w:rsid w:val="43F1913C"/>
    <w:rsid w:val="43F1DADD"/>
    <w:rsid w:val="43F2BB06"/>
    <w:rsid w:val="43F43FA2"/>
    <w:rsid w:val="43F5BA8B"/>
    <w:rsid w:val="43F6FCC0"/>
    <w:rsid w:val="43FB6E69"/>
    <w:rsid w:val="4400B744"/>
    <w:rsid w:val="44011162"/>
    <w:rsid w:val="4402532A"/>
    <w:rsid w:val="4403BFF0"/>
    <w:rsid w:val="4408470A"/>
    <w:rsid w:val="440B05F6"/>
    <w:rsid w:val="44101F13"/>
    <w:rsid w:val="4410E2E3"/>
    <w:rsid w:val="44169BB0"/>
    <w:rsid w:val="44178019"/>
    <w:rsid w:val="4419DDFB"/>
    <w:rsid w:val="441F974B"/>
    <w:rsid w:val="44212549"/>
    <w:rsid w:val="4422AC34"/>
    <w:rsid w:val="442CAEF4"/>
    <w:rsid w:val="442DBA3D"/>
    <w:rsid w:val="4437E88D"/>
    <w:rsid w:val="44394CC6"/>
    <w:rsid w:val="443B2EB1"/>
    <w:rsid w:val="443DB646"/>
    <w:rsid w:val="444057EA"/>
    <w:rsid w:val="44418AFB"/>
    <w:rsid w:val="4444B440"/>
    <w:rsid w:val="4448819E"/>
    <w:rsid w:val="4449E36A"/>
    <w:rsid w:val="444B326C"/>
    <w:rsid w:val="444DD9D4"/>
    <w:rsid w:val="444FB9CF"/>
    <w:rsid w:val="4453A035"/>
    <w:rsid w:val="4455BC07"/>
    <w:rsid w:val="4458D4B6"/>
    <w:rsid w:val="445A48BD"/>
    <w:rsid w:val="445FEB11"/>
    <w:rsid w:val="446018DD"/>
    <w:rsid w:val="4460DBF4"/>
    <w:rsid w:val="446167DE"/>
    <w:rsid w:val="44666D5A"/>
    <w:rsid w:val="446A2071"/>
    <w:rsid w:val="446B5938"/>
    <w:rsid w:val="44767727"/>
    <w:rsid w:val="4476824A"/>
    <w:rsid w:val="4477F05F"/>
    <w:rsid w:val="447B8CFC"/>
    <w:rsid w:val="44832BC0"/>
    <w:rsid w:val="448819BD"/>
    <w:rsid w:val="448F633E"/>
    <w:rsid w:val="44900C3B"/>
    <w:rsid w:val="449067A8"/>
    <w:rsid w:val="44934702"/>
    <w:rsid w:val="4493F1F9"/>
    <w:rsid w:val="44AB3981"/>
    <w:rsid w:val="44AB7F9A"/>
    <w:rsid w:val="44AC171B"/>
    <w:rsid w:val="44AE3F1D"/>
    <w:rsid w:val="44B08EDD"/>
    <w:rsid w:val="44B097F5"/>
    <w:rsid w:val="44B457FB"/>
    <w:rsid w:val="44B4D842"/>
    <w:rsid w:val="44BF0B48"/>
    <w:rsid w:val="44BF1FE2"/>
    <w:rsid w:val="44C0F3CD"/>
    <w:rsid w:val="44D1DF13"/>
    <w:rsid w:val="44D3BA57"/>
    <w:rsid w:val="44DAAD8D"/>
    <w:rsid w:val="44DE2769"/>
    <w:rsid w:val="44DE7B14"/>
    <w:rsid w:val="44DEFB13"/>
    <w:rsid w:val="44DF252C"/>
    <w:rsid w:val="44DFE978"/>
    <w:rsid w:val="44E3E296"/>
    <w:rsid w:val="44E68C07"/>
    <w:rsid w:val="44E92C04"/>
    <w:rsid w:val="44F69B2C"/>
    <w:rsid w:val="44FA0C1A"/>
    <w:rsid w:val="44FC129E"/>
    <w:rsid w:val="4501EBA7"/>
    <w:rsid w:val="45035828"/>
    <w:rsid w:val="45039FC5"/>
    <w:rsid w:val="450631A4"/>
    <w:rsid w:val="45095DBD"/>
    <w:rsid w:val="4509A5BB"/>
    <w:rsid w:val="450C9193"/>
    <w:rsid w:val="451E3FE1"/>
    <w:rsid w:val="45265404"/>
    <w:rsid w:val="452D7639"/>
    <w:rsid w:val="452FA26D"/>
    <w:rsid w:val="45310971"/>
    <w:rsid w:val="4532B9E9"/>
    <w:rsid w:val="45332AE1"/>
    <w:rsid w:val="4534FF5A"/>
    <w:rsid w:val="453B9465"/>
    <w:rsid w:val="453EABF0"/>
    <w:rsid w:val="4542DE5F"/>
    <w:rsid w:val="45461AA6"/>
    <w:rsid w:val="454937C8"/>
    <w:rsid w:val="454B1EE2"/>
    <w:rsid w:val="454CAA49"/>
    <w:rsid w:val="455475B9"/>
    <w:rsid w:val="4556D778"/>
    <w:rsid w:val="4556DCA5"/>
    <w:rsid w:val="4558DCD0"/>
    <w:rsid w:val="4563B0C7"/>
    <w:rsid w:val="4565BE3C"/>
    <w:rsid w:val="4567A3C6"/>
    <w:rsid w:val="456E37D5"/>
    <w:rsid w:val="457A054A"/>
    <w:rsid w:val="457F5FBF"/>
    <w:rsid w:val="45807503"/>
    <w:rsid w:val="45834358"/>
    <w:rsid w:val="45877C82"/>
    <w:rsid w:val="458AB77E"/>
    <w:rsid w:val="4592B8C0"/>
    <w:rsid w:val="4597FBA0"/>
    <w:rsid w:val="4599CA82"/>
    <w:rsid w:val="459BBEC5"/>
    <w:rsid w:val="459E818F"/>
    <w:rsid w:val="45A195A1"/>
    <w:rsid w:val="45ABD2D1"/>
    <w:rsid w:val="45B456BE"/>
    <w:rsid w:val="45BC58A9"/>
    <w:rsid w:val="45BCE82D"/>
    <w:rsid w:val="45BF5617"/>
    <w:rsid w:val="45C68DDE"/>
    <w:rsid w:val="45C86C33"/>
    <w:rsid w:val="45C97735"/>
    <w:rsid w:val="45CB28F2"/>
    <w:rsid w:val="45CD142B"/>
    <w:rsid w:val="45D0190E"/>
    <w:rsid w:val="45D28FFE"/>
    <w:rsid w:val="45D4CBEE"/>
    <w:rsid w:val="45DA4E88"/>
    <w:rsid w:val="45E45FD8"/>
    <w:rsid w:val="45E473D9"/>
    <w:rsid w:val="45E7457B"/>
    <w:rsid w:val="45F44ECF"/>
    <w:rsid w:val="45F8A6F5"/>
    <w:rsid w:val="45F95CAB"/>
    <w:rsid w:val="45FB35F3"/>
    <w:rsid w:val="45FE4A66"/>
    <w:rsid w:val="460671C9"/>
    <w:rsid w:val="4607836B"/>
    <w:rsid w:val="4607F3AE"/>
    <w:rsid w:val="460983C9"/>
    <w:rsid w:val="460B1863"/>
    <w:rsid w:val="460B41BD"/>
    <w:rsid w:val="460D0CE2"/>
    <w:rsid w:val="4614AF2C"/>
    <w:rsid w:val="461D3345"/>
    <w:rsid w:val="461E1C2A"/>
    <w:rsid w:val="46235ADF"/>
    <w:rsid w:val="4626EDF2"/>
    <w:rsid w:val="4627FEB0"/>
    <w:rsid w:val="4628D8CA"/>
    <w:rsid w:val="462A0FF7"/>
    <w:rsid w:val="4634E7BA"/>
    <w:rsid w:val="463922E9"/>
    <w:rsid w:val="4648E444"/>
    <w:rsid w:val="464A0B67"/>
    <w:rsid w:val="4651E59D"/>
    <w:rsid w:val="46522817"/>
    <w:rsid w:val="465924C1"/>
    <w:rsid w:val="465A43F1"/>
    <w:rsid w:val="465D770C"/>
    <w:rsid w:val="466337E2"/>
    <w:rsid w:val="46664456"/>
    <w:rsid w:val="4666AD45"/>
    <w:rsid w:val="466E99AA"/>
    <w:rsid w:val="466F0433"/>
    <w:rsid w:val="466FEE52"/>
    <w:rsid w:val="46744D73"/>
    <w:rsid w:val="46762636"/>
    <w:rsid w:val="4678CB90"/>
    <w:rsid w:val="46810CF7"/>
    <w:rsid w:val="46819BE2"/>
    <w:rsid w:val="46833C67"/>
    <w:rsid w:val="4688DF6E"/>
    <w:rsid w:val="468BDE8B"/>
    <w:rsid w:val="468C3E9D"/>
    <w:rsid w:val="468F42FD"/>
    <w:rsid w:val="4690B976"/>
    <w:rsid w:val="4696C9BC"/>
    <w:rsid w:val="46970B74"/>
    <w:rsid w:val="4697D284"/>
    <w:rsid w:val="469A6144"/>
    <w:rsid w:val="46A1371E"/>
    <w:rsid w:val="46A8F8F0"/>
    <w:rsid w:val="46AA66D4"/>
    <w:rsid w:val="46B123A3"/>
    <w:rsid w:val="46B37B4A"/>
    <w:rsid w:val="46BE07F3"/>
    <w:rsid w:val="46C0E91C"/>
    <w:rsid w:val="46C14B42"/>
    <w:rsid w:val="46C45287"/>
    <w:rsid w:val="46C50B22"/>
    <w:rsid w:val="46C568AD"/>
    <w:rsid w:val="46C87EED"/>
    <w:rsid w:val="46CFA88F"/>
    <w:rsid w:val="46D13F76"/>
    <w:rsid w:val="46D2AB17"/>
    <w:rsid w:val="46D4DBBD"/>
    <w:rsid w:val="46D5D0C1"/>
    <w:rsid w:val="46D63FE7"/>
    <w:rsid w:val="46DA9760"/>
    <w:rsid w:val="46DDBCD8"/>
    <w:rsid w:val="46E46F65"/>
    <w:rsid w:val="46E681A5"/>
    <w:rsid w:val="46E9EBE3"/>
    <w:rsid w:val="46EA1E3F"/>
    <w:rsid w:val="46EA2292"/>
    <w:rsid w:val="46EA9B84"/>
    <w:rsid w:val="46EE223F"/>
    <w:rsid w:val="46F0EA81"/>
    <w:rsid w:val="46F535E0"/>
    <w:rsid w:val="4700A745"/>
    <w:rsid w:val="47013E24"/>
    <w:rsid w:val="4706BF7B"/>
    <w:rsid w:val="470A670E"/>
    <w:rsid w:val="4710E084"/>
    <w:rsid w:val="47166D5B"/>
    <w:rsid w:val="47178E1D"/>
    <w:rsid w:val="4719382F"/>
    <w:rsid w:val="471EDEE5"/>
    <w:rsid w:val="4721251E"/>
    <w:rsid w:val="47251A98"/>
    <w:rsid w:val="472B868E"/>
    <w:rsid w:val="47378E60"/>
    <w:rsid w:val="473979C5"/>
    <w:rsid w:val="473B399C"/>
    <w:rsid w:val="473B4CE4"/>
    <w:rsid w:val="473F3B19"/>
    <w:rsid w:val="4742F930"/>
    <w:rsid w:val="4743CC80"/>
    <w:rsid w:val="4744D8C3"/>
    <w:rsid w:val="474686FA"/>
    <w:rsid w:val="4749A9CA"/>
    <w:rsid w:val="4749FC0A"/>
    <w:rsid w:val="474A6224"/>
    <w:rsid w:val="475135EF"/>
    <w:rsid w:val="4751F019"/>
    <w:rsid w:val="475473AD"/>
    <w:rsid w:val="475526FC"/>
    <w:rsid w:val="475B5AAB"/>
    <w:rsid w:val="47638A04"/>
    <w:rsid w:val="4764D805"/>
    <w:rsid w:val="4767C14C"/>
    <w:rsid w:val="4770115B"/>
    <w:rsid w:val="47735273"/>
    <w:rsid w:val="477A22E2"/>
    <w:rsid w:val="4782BCCB"/>
    <w:rsid w:val="478CB9D6"/>
    <w:rsid w:val="478ECE60"/>
    <w:rsid w:val="47910D6E"/>
    <w:rsid w:val="47925D03"/>
    <w:rsid w:val="479B8C9D"/>
    <w:rsid w:val="47A4FF8B"/>
    <w:rsid w:val="47A53452"/>
    <w:rsid w:val="47AC0AE0"/>
    <w:rsid w:val="47AC7989"/>
    <w:rsid w:val="47AE3C67"/>
    <w:rsid w:val="47B0C5D8"/>
    <w:rsid w:val="47B57A6C"/>
    <w:rsid w:val="47B6DFEA"/>
    <w:rsid w:val="47C0B156"/>
    <w:rsid w:val="47D8B74A"/>
    <w:rsid w:val="47DC801E"/>
    <w:rsid w:val="47DFF8EE"/>
    <w:rsid w:val="47E0AF9C"/>
    <w:rsid w:val="47E27E6D"/>
    <w:rsid w:val="47EF5F5D"/>
    <w:rsid w:val="47F371C5"/>
    <w:rsid w:val="480DD0EF"/>
    <w:rsid w:val="480F17A1"/>
    <w:rsid w:val="48140095"/>
    <w:rsid w:val="481717DE"/>
    <w:rsid w:val="4819641A"/>
    <w:rsid w:val="481F62A6"/>
    <w:rsid w:val="4824E9F8"/>
    <w:rsid w:val="4827125D"/>
    <w:rsid w:val="4828AD5A"/>
    <w:rsid w:val="482FACDB"/>
    <w:rsid w:val="483238A5"/>
    <w:rsid w:val="483555E3"/>
    <w:rsid w:val="483651B7"/>
    <w:rsid w:val="4838DD8F"/>
    <w:rsid w:val="48399F3C"/>
    <w:rsid w:val="483BF09A"/>
    <w:rsid w:val="483DA345"/>
    <w:rsid w:val="4846999A"/>
    <w:rsid w:val="4849E60A"/>
    <w:rsid w:val="484CF719"/>
    <w:rsid w:val="484D5806"/>
    <w:rsid w:val="48502441"/>
    <w:rsid w:val="4850E58A"/>
    <w:rsid w:val="4852EA8C"/>
    <w:rsid w:val="4854C505"/>
    <w:rsid w:val="4854D8C3"/>
    <w:rsid w:val="485711D8"/>
    <w:rsid w:val="48584350"/>
    <w:rsid w:val="485DD752"/>
    <w:rsid w:val="4861CC24"/>
    <w:rsid w:val="4862ED3C"/>
    <w:rsid w:val="486547C3"/>
    <w:rsid w:val="48707806"/>
    <w:rsid w:val="48711C27"/>
    <w:rsid w:val="4872BAEF"/>
    <w:rsid w:val="487961AE"/>
    <w:rsid w:val="487E4AF2"/>
    <w:rsid w:val="488480AE"/>
    <w:rsid w:val="488955F6"/>
    <w:rsid w:val="488A232A"/>
    <w:rsid w:val="488ABF06"/>
    <w:rsid w:val="489615DF"/>
    <w:rsid w:val="4896239D"/>
    <w:rsid w:val="48975085"/>
    <w:rsid w:val="48982A4F"/>
    <w:rsid w:val="489F5DF2"/>
    <w:rsid w:val="48A0BEC2"/>
    <w:rsid w:val="48A3A892"/>
    <w:rsid w:val="48A7254A"/>
    <w:rsid w:val="48AA813B"/>
    <w:rsid w:val="48B552DC"/>
    <w:rsid w:val="48B98AEB"/>
    <w:rsid w:val="48BE8280"/>
    <w:rsid w:val="48C151EF"/>
    <w:rsid w:val="48C16A7B"/>
    <w:rsid w:val="48C5B7D6"/>
    <w:rsid w:val="48C6FBD3"/>
    <w:rsid w:val="48CAFA53"/>
    <w:rsid w:val="48D0A7BD"/>
    <w:rsid w:val="48D2177D"/>
    <w:rsid w:val="48D2F15E"/>
    <w:rsid w:val="48D39AEA"/>
    <w:rsid w:val="48DAAB87"/>
    <w:rsid w:val="48DABFE5"/>
    <w:rsid w:val="48DB0DD9"/>
    <w:rsid w:val="48E1DE5B"/>
    <w:rsid w:val="48E28D58"/>
    <w:rsid w:val="48E67195"/>
    <w:rsid w:val="48E7456C"/>
    <w:rsid w:val="48E8E844"/>
    <w:rsid w:val="48EEABE0"/>
    <w:rsid w:val="48F1E8C9"/>
    <w:rsid w:val="48F49B7F"/>
    <w:rsid w:val="48F75120"/>
    <w:rsid w:val="48F81B7E"/>
    <w:rsid w:val="48FBD7AD"/>
    <w:rsid w:val="48FF22BE"/>
    <w:rsid w:val="4901EEEC"/>
    <w:rsid w:val="4903872A"/>
    <w:rsid w:val="4908E7AF"/>
    <w:rsid w:val="490B5394"/>
    <w:rsid w:val="49140E18"/>
    <w:rsid w:val="49152422"/>
    <w:rsid w:val="4919DA3A"/>
    <w:rsid w:val="491FC4B3"/>
    <w:rsid w:val="492091B0"/>
    <w:rsid w:val="4921DD5C"/>
    <w:rsid w:val="4921EF06"/>
    <w:rsid w:val="4923FCE2"/>
    <w:rsid w:val="49279C2D"/>
    <w:rsid w:val="4928C77E"/>
    <w:rsid w:val="492927F2"/>
    <w:rsid w:val="4929362C"/>
    <w:rsid w:val="492ACA95"/>
    <w:rsid w:val="492E1AB1"/>
    <w:rsid w:val="4930BA49"/>
    <w:rsid w:val="4930FC08"/>
    <w:rsid w:val="493259F5"/>
    <w:rsid w:val="4934463E"/>
    <w:rsid w:val="49394515"/>
    <w:rsid w:val="49395284"/>
    <w:rsid w:val="493DC864"/>
    <w:rsid w:val="4945C3CD"/>
    <w:rsid w:val="49467172"/>
    <w:rsid w:val="494782CD"/>
    <w:rsid w:val="494A0901"/>
    <w:rsid w:val="494CFA90"/>
    <w:rsid w:val="494D3FCD"/>
    <w:rsid w:val="494FAD0D"/>
    <w:rsid w:val="49523AB1"/>
    <w:rsid w:val="495256D0"/>
    <w:rsid w:val="49551BCC"/>
    <w:rsid w:val="49597C60"/>
    <w:rsid w:val="49605E99"/>
    <w:rsid w:val="4960D630"/>
    <w:rsid w:val="4961BEA2"/>
    <w:rsid w:val="49628352"/>
    <w:rsid w:val="4965508A"/>
    <w:rsid w:val="496C4AA7"/>
    <w:rsid w:val="496D13C5"/>
    <w:rsid w:val="496F1838"/>
    <w:rsid w:val="496FD24A"/>
    <w:rsid w:val="49785EF1"/>
    <w:rsid w:val="4979F4B8"/>
    <w:rsid w:val="497D7BC6"/>
    <w:rsid w:val="49801D56"/>
    <w:rsid w:val="4982788C"/>
    <w:rsid w:val="49892B2D"/>
    <w:rsid w:val="4989E03F"/>
    <w:rsid w:val="498F4D62"/>
    <w:rsid w:val="4990059C"/>
    <w:rsid w:val="49919195"/>
    <w:rsid w:val="499233B0"/>
    <w:rsid w:val="49980514"/>
    <w:rsid w:val="4999A7DA"/>
    <w:rsid w:val="4999F585"/>
    <w:rsid w:val="499B0DBA"/>
    <w:rsid w:val="499B1728"/>
    <w:rsid w:val="499B397C"/>
    <w:rsid w:val="499DF8C5"/>
    <w:rsid w:val="49A0844A"/>
    <w:rsid w:val="49A1DCEC"/>
    <w:rsid w:val="49A908EC"/>
    <w:rsid w:val="49A94EBE"/>
    <w:rsid w:val="49AB5380"/>
    <w:rsid w:val="49ADA9D9"/>
    <w:rsid w:val="49AE5434"/>
    <w:rsid w:val="49AE9B0C"/>
    <w:rsid w:val="49B301BF"/>
    <w:rsid w:val="49B7AF04"/>
    <w:rsid w:val="49BE3608"/>
    <w:rsid w:val="49BF7EFA"/>
    <w:rsid w:val="49C50FF5"/>
    <w:rsid w:val="49C9F452"/>
    <w:rsid w:val="49CA3A39"/>
    <w:rsid w:val="49CB5CBF"/>
    <w:rsid w:val="49CCE3AE"/>
    <w:rsid w:val="49D04425"/>
    <w:rsid w:val="49D28B18"/>
    <w:rsid w:val="49DAA6D3"/>
    <w:rsid w:val="49DD72D4"/>
    <w:rsid w:val="49E2DDDF"/>
    <w:rsid w:val="49E931BA"/>
    <w:rsid w:val="49EB12C8"/>
    <w:rsid w:val="49EC6C95"/>
    <w:rsid w:val="49EF758E"/>
    <w:rsid w:val="49F2510D"/>
    <w:rsid w:val="49F6C6FE"/>
    <w:rsid w:val="49F784D5"/>
    <w:rsid w:val="49F95292"/>
    <w:rsid w:val="49FBBAE8"/>
    <w:rsid w:val="49FBED5E"/>
    <w:rsid w:val="4A028F3B"/>
    <w:rsid w:val="4A047663"/>
    <w:rsid w:val="4A053407"/>
    <w:rsid w:val="4A086666"/>
    <w:rsid w:val="4A121369"/>
    <w:rsid w:val="4A16631E"/>
    <w:rsid w:val="4A17B7FB"/>
    <w:rsid w:val="4A17F72B"/>
    <w:rsid w:val="4A18E2C2"/>
    <w:rsid w:val="4A1FA33C"/>
    <w:rsid w:val="4A1FB198"/>
    <w:rsid w:val="4A1FE2FC"/>
    <w:rsid w:val="4A21957B"/>
    <w:rsid w:val="4A255F8C"/>
    <w:rsid w:val="4A288DC7"/>
    <w:rsid w:val="4A29EBAA"/>
    <w:rsid w:val="4A2B1195"/>
    <w:rsid w:val="4A33D094"/>
    <w:rsid w:val="4A33F429"/>
    <w:rsid w:val="4A33F4DB"/>
    <w:rsid w:val="4A347E6F"/>
    <w:rsid w:val="4A363ADF"/>
    <w:rsid w:val="4A3D1148"/>
    <w:rsid w:val="4A3F323C"/>
    <w:rsid w:val="4A4435C5"/>
    <w:rsid w:val="4A47727B"/>
    <w:rsid w:val="4A4A6D7A"/>
    <w:rsid w:val="4A4A85F9"/>
    <w:rsid w:val="4A4C6FC2"/>
    <w:rsid w:val="4A519A32"/>
    <w:rsid w:val="4A52AC4F"/>
    <w:rsid w:val="4A5522D1"/>
    <w:rsid w:val="4A55E2F9"/>
    <w:rsid w:val="4A55EBFD"/>
    <w:rsid w:val="4A5A56E3"/>
    <w:rsid w:val="4A5DF8B2"/>
    <w:rsid w:val="4A64F770"/>
    <w:rsid w:val="4A704621"/>
    <w:rsid w:val="4A785CD8"/>
    <w:rsid w:val="4A80A9FD"/>
    <w:rsid w:val="4A83925F"/>
    <w:rsid w:val="4A840322"/>
    <w:rsid w:val="4A872B68"/>
    <w:rsid w:val="4A8958AD"/>
    <w:rsid w:val="4A92EB13"/>
    <w:rsid w:val="4A99AF4A"/>
    <w:rsid w:val="4A9ADCA5"/>
    <w:rsid w:val="4AAB4FB3"/>
    <w:rsid w:val="4AB4167F"/>
    <w:rsid w:val="4AB78013"/>
    <w:rsid w:val="4AB8782C"/>
    <w:rsid w:val="4ABC4BB2"/>
    <w:rsid w:val="4ABF4769"/>
    <w:rsid w:val="4AC6BF9E"/>
    <w:rsid w:val="4ACC4E5C"/>
    <w:rsid w:val="4ACDAA19"/>
    <w:rsid w:val="4AD12C70"/>
    <w:rsid w:val="4AD140A8"/>
    <w:rsid w:val="4AD391F0"/>
    <w:rsid w:val="4AD4E01C"/>
    <w:rsid w:val="4AD8DC68"/>
    <w:rsid w:val="4ADA3CBC"/>
    <w:rsid w:val="4ADA427E"/>
    <w:rsid w:val="4ADCCE52"/>
    <w:rsid w:val="4AEA3C0B"/>
    <w:rsid w:val="4AEFC3BE"/>
    <w:rsid w:val="4AF33788"/>
    <w:rsid w:val="4AF5B194"/>
    <w:rsid w:val="4AF919B4"/>
    <w:rsid w:val="4AFFDDDF"/>
    <w:rsid w:val="4B0070CB"/>
    <w:rsid w:val="4B01A058"/>
    <w:rsid w:val="4B028538"/>
    <w:rsid w:val="4B0EC5FB"/>
    <w:rsid w:val="4B10C3B8"/>
    <w:rsid w:val="4B1527AA"/>
    <w:rsid w:val="4B154541"/>
    <w:rsid w:val="4B1ADE87"/>
    <w:rsid w:val="4B1C1D7D"/>
    <w:rsid w:val="4B1E70A1"/>
    <w:rsid w:val="4B2068B3"/>
    <w:rsid w:val="4B2234A0"/>
    <w:rsid w:val="4B2776B0"/>
    <w:rsid w:val="4B2C9602"/>
    <w:rsid w:val="4B332A64"/>
    <w:rsid w:val="4B3496D1"/>
    <w:rsid w:val="4B3BAB49"/>
    <w:rsid w:val="4B3CB999"/>
    <w:rsid w:val="4B3DA424"/>
    <w:rsid w:val="4B3DFF78"/>
    <w:rsid w:val="4B3F64BF"/>
    <w:rsid w:val="4B466C91"/>
    <w:rsid w:val="4B48633D"/>
    <w:rsid w:val="4B4A4CA2"/>
    <w:rsid w:val="4B500E90"/>
    <w:rsid w:val="4B51CC21"/>
    <w:rsid w:val="4B52DA0B"/>
    <w:rsid w:val="4B540353"/>
    <w:rsid w:val="4B573F39"/>
    <w:rsid w:val="4B61A138"/>
    <w:rsid w:val="4B648D68"/>
    <w:rsid w:val="4B6726DE"/>
    <w:rsid w:val="4B68A8BE"/>
    <w:rsid w:val="4B68F07C"/>
    <w:rsid w:val="4B743749"/>
    <w:rsid w:val="4B7A2563"/>
    <w:rsid w:val="4B7BD58F"/>
    <w:rsid w:val="4B7C0281"/>
    <w:rsid w:val="4B7CCCFA"/>
    <w:rsid w:val="4B80F045"/>
    <w:rsid w:val="4B8132C6"/>
    <w:rsid w:val="4B84B5FB"/>
    <w:rsid w:val="4B8FD033"/>
    <w:rsid w:val="4B9122AB"/>
    <w:rsid w:val="4B93BCEF"/>
    <w:rsid w:val="4B95F823"/>
    <w:rsid w:val="4B979D89"/>
    <w:rsid w:val="4B9B3A02"/>
    <w:rsid w:val="4B9B72CC"/>
    <w:rsid w:val="4B9E8E20"/>
    <w:rsid w:val="4BA113D9"/>
    <w:rsid w:val="4BA48152"/>
    <w:rsid w:val="4BA88391"/>
    <w:rsid w:val="4BAF083A"/>
    <w:rsid w:val="4BB054EA"/>
    <w:rsid w:val="4BB2EF7E"/>
    <w:rsid w:val="4BBFA0BD"/>
    <w:rsid w:val="4BC2474A"/>
    <w:rsid w:val="4BC53377"/>
    <w:rsid w:val="4BC8F03B"/>
    <w:rsid w:val="4BC95F93"/>
    <w:rsid w:val="4BCA15C6"/>
    <w:rsid w:val="4BCD4EC2"/>
    <w:rsid w:val="4BCE3AF7"/>
    <w:rsid w:val="4BCFFACE"/>
    <w:rsid w:val="4BD667CB"/>
    <w:rsid w:val="4BD7D61F"/>
    <w:rsid w:val="4BDD37E7"/>
    <w:rsid w:val="4BE50256"/>
    <w:rsid w:val="4BEF7001"/>
    <w:rsid w:val="4BF3D68F"/>
    <w:rsid w:val="4BF8F921"/>
    <w:rsid w:val="4C0182F9"/>
    <w:rsid w:val="4C0D98B6"/>
    <w:rsid w:val="4C0E22D9"/>
    <w:rsid w:val="4C11638D"/>
    <w:rsid w:val="4C160586"/>
    <w:rsid w:val="4C1A3A68"/>
    <w:rsid w:val="4C1BC896"/>
    <w:rsid w:val="4C219388"/>
    <w:rsid w:val="4C2647C4"/>
    <w:rsid w:val="4C292BF0"/>
    <w:rsid w:val="4C2AAA5F"/>
    <w:rsid w:val="4C2CA6F6"/>
    <w:rsid w:val="4C327A2B"/>
    <w:rsid w:val="4C343D82"/>
    <w:rsid w:val="4C36D8D8"/>
    <w:rsid w:val="4C3823AF"/>
    <w:rsid w:val="4C38A6BC"/>
    <w:rsid w:val="4C3B3A61"/>
    <w:rsid w:val="4C3BC754"/>
    <w:rsid w:val="4C3D0ED9"/>
    <w:rsid w:val="4C3D9449"/>
    <w:rsid w:val="4C409FC1"/>
    <w:rsid w:val="4C43F6A4"/>
    <w:rsid w:val="4C4978EB"/>
    <w:rsid w:val="4C4B70A4"/>
    <w:rsid w:val="4C4E6D8C"/>
    <w:rsid w:val="4C50DA87"/>
    <w:rsid w:val="4C5144B9"/>
    <w:rsid w:val="4C53859F"/>
    <w:rsid w:val="4C54A51C"/>
    <w:rsid w:val="4C554878"/>
    <w:rsid w:val="4C588CBD"/>
    <w:rsid w:val="4C5E9ABC"/>
    <w:rsid w:val="4C5EF586"/>
    <w:rsid w:val="4C60FC0C"/>
    <w:rsid w:val="4C62CA68"/>
    <w:rsid w:val="4C644A00"/>
    <w:rsid w:val="4C6871A3"/>
    <w:rsid w:val="4C696065"/>
    <w:rsid w:val="4C69928E"/>
    <w:rsid w:val="4C6C133D"/>
    <w:rsid w:val="4C6D537C"/>
    <w:rsid w:val="4C724D09"/>
    <w:rsid w:val="4C77D164"/>
    <w:rsid w:val="4C7D8094"/>
    <w:rsid w:val="4C818E0E"/>
    <w:rsid w:val="4C81B62A"/>
    <w:rsid w:val="4C894132"/>
    <w:rsid w:val="4C89931C"/>
    <w:rsid w:val="4C91A42B"/>
    <w:rsid w:val="4C9286C7"/>
    <w:rsid w:val="4C98CDA4"/>
    <w:rsid w:val="4C99DC5F"/>
    <w:rsid w:val="4C9B3AA2"/>
    <w:rsid w:val="4CA0F8C3"/>
    <w:rsid w:val="4CA3AA88"/>
    <w:rsid w:val="4CA82D66"/>
    <w:rsid w:val="4CA9EDFB"/>
    <w:rsid w:val="4CB23E3C"/>
    <w:rsid w:val="4CB59594"/>
    <w:rsid w:val="4CB5AA6C"/>
    <w:rsid w:val="4CB66427"/>
    <w:rsid w:val="4CB6ADBA"/>
    <w:rsid w:val="4CB6D979"/>
    <w:rsid w:val="4CBBA8F5"/>
    <w:rsid w:val="4CBCAC76"/>
    <w:rsid w:val="4CBEE770"/>
    <w:rsid w:val="4CBF174A"/>
    <w:rsid w:val="4CC0525A"/>
    <w:rsid w:val="4CC33006"/>
    <w:rsid w:val="4CC36D99"/>
    <w:rsid w:val="4CCCB485"/>
    <w:rsid w:val="4CCF6396"/>
    <w:rsid w:val="4CCF8288"/>
    <w:rsid w:val="4CD82805"/>
    <w:rsid w:val="4CD98392"/>
    <w:rsid w:val="4CD9D725"/>
    <w:rsid w:val="4CDA5EE5"/>
    <w:rsid w:val="4CDEC223"/>
    <w:rsid w:val="4CE27E74"/>
    <w:rsid w:val="4CE306D6"/>
    <w:rsid w:val="4CE68D2C"/>
    <w:rsid w:val="4CE91606"/>
    <w:rsid w:val="4CEB9D22"/>
    <w:rsid w:val="4CEC5DCC"/>
    <w:rsid w:val="4CF0089E"/>
    <w:rsid w:val="4CF489B1"/>
    <w:rsid w:val="4CF5E952"/>
    <w:rsid w:val="4CF8AE12"/>
    <w:rsid w:val="4CF935CB"/>
    <w:rsid w:val="4CFDA6C1"/>
    <w:rsid w:val="4CFDCB50"/>
    <w:rsid w:val="4D069105"/>
    <w:rsid w:val="4D08D853"/>
    <w:rsid w:val="4D0A4108"/>
    <w:rsid w:val="4D186A6F"/>
    <w:rsid w:val="4D194B0E"/>
    <w:rsid w:val="4D1A371A"/>
    <w:rsid w:val="4D1A8E1C"/>
    <w:rsid w:val="4D1F7E7C"/>
    <w:rsid w:val="4D1FA895"/>
    <w:rsid w:val="4D26DC5E"/>
    <w:rsid w:val="4D28379E"/>
    <w:rsid w:val="4D2A772D"/>
    <w:rsid w:val="4D2AF825"/>
    <w:rsid w:val="4D2C0BC7"/>
    <w:rsid w:val="4D2D7836"/>
    <w:rsid w:val="4D2E78B2"/>
    <w:rsid w:val="4D2F6DFF"/>
    <w:rsid w:val="4D318D8F"/>
    <w:rsid w:val="4D32D1AF"/>
    <w:rsid w:val="4D3874B3"/>
    <w:rsid w:val="4D42A72E"/>
    <w:rsid w:val="4D462E30"/>
    <w:rsid w:val="4D473DEB"/>
    <w:rsid w:val="4D47A8FE"/>
    <w:rsid w:val="4D481606"/>
    <w:rsid w:val="4D4854A8"/>
    <w:rsid w:val="4D4FC40B"/>
    <w:rsid w:val="4D562396"/>
    <w:rsid w:val="4D567C37"/>
    <w:rsid w:val="4D573293"/>
    <w:rsid w:val="4D57F925"/>
    <w:rsid w:val="4D59BE63"/>
    <w:rsid w:val="4D5C5F50"/>
    <w:rsid w:val="4D64B04A"/>
    <w:rsid w:val="4D67505D"/>
    <w:rsid w:val="4D6EE187"/>
    <w:rsid w:val="4D6F19A9"/>
    <w:rsid w:val="4D7590CB"/>
    <w:rsid w:val="4D777C2F"/>
    <w:rsid w:val="4D79F63B"/>
    <w:rsid w:val="4D7C9EBB"/>
    <w:rsid w:val="4D8B3208"/>
    <w:rsid w:val="4D8CF321"/>
    <w:rsid w:val="4D8D9F47"/>
    <w:rsid w:val="4D8DFEBF"/>
    <w:rsid w:val="4D915733"/>
    <w:rsid w:val="4D917DE5"/>
    <w:rsid w:val="4D93AB29"/>
    <w:rsid w:val="4D944A6C"/>
    <w:rsid w:val="4D9688FD"/>
    <w:rsid w:val="4D99FA3E"/>
    <w:rsid w:val="4D9A1E5B"/>
    <w:rsid w:val="4D9DC4CE"/>
    <w:rsid w:val="4D9F933D"/>
    <w:rsid w:val="4DA20B17"/>
    <w:rsid w:val="4DA30494"/>
    <w:rsid w:val="4DABEFF4"/>
    <w:rsid w:val="4DB03DB6"/>
    <w:rsid w:val="4DB07A32"/>
    <w:rsid w:val="4DB1C6FA"/>
    <w:rsid w:val="4DB46301"/>
    <w:rsid w:val="4DB7278D"/>
    <w:rsid w:val="4DBB065A"/>
    <w:rsid w:val="4DC3FF91"/>
    <w:rsid w:val="4DC7B8FA"/>
    <w:rsid w:val="4DCC50B7"/>
    <w:rsid w:val="4DCF5D47"/>
    <w:rsid w:val="4DD1F751"/>
    <w:rsid w:val="4DD340C4"/>
    <w:rsid w:val="4DD5B54B"/>
    <w:rsid w:val="4DD61CB3"/>
    <w:rsid w:val="4DDA21FA"/>
    <w:rsid w:val="4DDFDE07"/>
    <w:rsid w:val="4DE9EE9C"/>
    <w:rsid w:val="4DEC02FE"/>
    <w:rsid w:val="4DED3FF6"/>
    <w:rsid w:val="4DED99DA"/>
    <w:rsid w:val="4DF0142B"/>
    <w:rsid w:val="4DF1118D"/>
    <w:rsid w:val="4DF3F5B9"/>
    <w:rsid w:val="4DF48488"/>
    <w:rsid w:val="4DF53824"/>
    <w:rsid w:val="4DF7AEF5"/>
    <w:rsid w:val="4E09CF3B"/>
    <w:rsid w:val="4E0A9406"/>
    <w:rsid w:val="4E0F03F3"/>
    <w:rsid w:val="4E118590"/>
    <w:rsid w:val="4E1F07E5"/>
    <w:rsid w:val="4E22FDE9"/>
    <w:rsid w:val="4E284753"/>
    <w:rsid w:val="4E2C5E9F"/>
    <w:rsid w:val="4E2C6DAB"/>
    <w:rsid w:val="4E2EB8BA"/>
    <w:rsid w:val="4E30805F"/>
    <w:rsid w:val="4E359735"/>
    <w:rsid w:val="4E3AED52"/>
    <w:rsid w:val="4E3BECE8"/>
    <w:rsid w:val="4E402710"/>
    <w:rsid w:val="4E460E26"/>
    <w:rsid w:val="4E4778B9"/>
    <w:rsid w:val="4E47E916"/>
    <w:rsid w:val="4E483AF1"/>
    <w:rsid w:val="4E4DBFCB"/>
    <w:rsid w:val="4E502CB5"/>
    <w:rsid w:val="4E52EF4A"/>
    <w:rsid w:val="4E5B0F43"/>
    <w:rsid w:val="4E6303CE"/>
    <w:rsid w:val="4E6E03AA"/>
    <w:rsid w:val="4E75CD81"/>
    <w:rsid w:val="4E77814B"/>
    <w:rsid w:val="4E78C95B"/>
    <w:rsid w:val="4E78F650"/>
    <w:rsid w:val="4E7A8696"/>
    <w:rsid w:val="4E7D9AD9"/>
    <w:rsid w:val="4E86C539"/>
    <w:rsid w:val="4E8C5FDF"/>
    <w:rsid w:val="4E8D4AE7"/>
    <w:rsid w:val="4E8E6C4C"/>
    <w:rsid w:val="4E95E76A"/>
    <w:rsid w:val="4E992154"/>
    <w:rsid w:val="4EA176C0"/>
    <w:rsid w:val="4EA9B7FC"/>
    <w:rsid w:val="4EB495B9"/>
    <w:rsid w:val="4EB6D93F"/>
    <w:rsid w:val="4EB81A69"/>
    <w:rsid w:val="4EB87920"/>
    <w:rsid w:val="4EBC5B2E"/>
    <w:rsid w:val="4EBDC165"/>
    <w:rsid w:val="4ED24CC8"/>
    <w:rsid w:val="4ED3E94B"/>
    <w:rsid w:val="4EDCCAA0"/>
    <w:rsid w:val="4EE14D7D"/>
    <w:rsid w:val="4EE41D73"/>
    <w:rsid w:val="4EE7861F"/>
    <w:rsid w:val="4EE8D615"/>
    <w:rsid w:val="4EEDDB0A"/>
    <w:rsid w:val="4EEE6FA0"/>
    <w:rsid w:val="4EF3D11F"/>
    <w:rsid w:val="4EFC592F"/>
    <w:rsid w:val="4EFC73AC"/>
    <w:rsid w:val="4F00FDBD"/>
    <w:rsid w:val="4F060445"/>
    <w:rsid w:val="4F06B1BE"/>
    <w:rsid w:val="4F0CEF5B"/>
    <w:rsid w:val="4F117766"/>
    <w:rsid w:val="4F138A3B"/>
    <w:rsid w:val="4F1A238F"/>
    <w:rsid w:val="4F1C3572"/>
    <w:rsid w:val="4F228E8C"/>
    <w:rsid w:val="4F25A85D"/>
    <w:rsid w:val="4F27D79D"/>
    <w:rsid w:val="4F2F36C1"/>
    <w:rsid w:val="4F30DD93"/>
    <w:rsid w:val="4F3429D8"/>
    <w:rsid w:val="4F35B1C2"/>
    <w:rsid w:val="4F35B9FA"/>
    <w:rsid w:val="4F38676D"/>
    <w:rsid w:val="4F3D35BC"/>
    <w:rsid w:val="4F3DAC22"/>
    <w:rsid w:val="4F3F6CA7"/>
    <w:rsid w:val="4F42DE93"/>
    <w:rsid w:val="4F466A23"/>
    <w:rsid w:val="4F4B9138"/>
    <w:rsid w:val="4F4CEC24"/>
    <w:rsid w:val="4F4EE5EA"/>
    <w:rsid w:val="4F4F935B"/>
    <w:rsid w:val="4F7C818C"/>
    <w:rsid w:val="4F7CAD2D"/>
    <w:rsid w:val="4F7FFCCF"/>
    <w:rsid w:val="4F82A5F6"/>
    <w:rsid w:val="4F8580CB"/>
    <w:rsid w:val="4F8786D1"/>
    <w:rsid w:val="4F887C84"/>
    <w:rsid w:val="4F8AE439"/>
    <w:rsid w:val="4F8B2E37"/>
    <w:rsid w:val="4F8D5DEB"/>
    <w:rsid w:val="4F8E29C8"/>
    <w:rsid w:val="4F9718CF"/>
    <w:rsid w:val="4F9A14D9"/>
    <w:rsid w:val="4F9AB06E"/>
    <w:rsid w:val="4F9DED1E"/>
    <w:rsid w:val="4FA3FEE6"/>
    <w:rsid w:val="4FA74992"/>
    <w:rsid w:val="4FABDF1B"/>
    <w:rsid w:val="4FB5B5D0"/>
    <w:rsid w:val="4FB9B22A"/>
    <w:rsid w:val="4FBB7A1C"/>
    <w:rsid w:val="4FC37833"/>
    <w:rsid w:val="4FC6B195"/>
    <w:rsid w:val="4FC73AFD"/>
    <w:rsid w:val="4FD28F68"/>
    <w:rsid w:val="4FD33A1C"/>
    <w:rsid w:val="4FDA24E1"/>
    <w:rsid w:val="4FE79761"/>
    <w:rsid w:val="4FEC65AE"/>
    <w:rsid w:val="4FEE41AB"/>
    <w:rsid w:val="4FF0A75E"/>
    <w:rsid w:val="4FF5D830"/>
    <w:rsid w:val="4FF73F7C"/>
    <w:rsid w:val="4FFBFC5B"/>
    <w:rsid w:val="4FFC8684"/>
    <w:rsid w:val="4FFC8708"/>
    <w:rsid w:val="5001236A"/>
    <w:rsid w:val="5002B0FF"/>
    <w:rsid w:val="50035609"/>
    <w:rsid w:val="5005493B"/>
    <w:rsid w:val="5008937A"/>
    <w:rsid w:val="5008C648"/>
    <w:rsid w:val="500BA985"/>
    <w:rsid w:val="500E97F3"/>
    <w:rsid w:val="5010A96B"/>
    <w:rsid w:val="50204982"/>
    <w:rsid w:val="5026C403"/>
    <w:rsid w:val="502825AB"/>
    <w:rsid w:val="50344118"/>
    <w:rsid w:val="5035316B"/>
    <w:rsid w:val="5037D68C"/>
    <w:rsid w:val="503AF968"/>
    <w:rsid w:val="503BDF74"/>
    <w:rsid w:val="5045D421"/>
    <w:rsid w:val="504C96CA"/>
    <w:rsid w:val="505AA3B4"/>
    <w:rsid w:val="505B392F"/>
    <w:rsid w:val="505EF89B"/>
    <w:rsid w:val="505FB342"/>
    <w:rsid w:val="50604A36"/>
    <w:rsid w:val="506C1A92"/>
    <w:rsid w:val="506E4641"/>
    <w:rsid w:val="5072FF42"/>
    <w:rsid w:val="5077CFBD"/>
    <w:rsid w:val="50788E0D"/>
    <w:rsid w:val="50789A12"/>
    <w:rsid w:val="507D49E8"/>
    <w:rsid w:val="508264A7"/>
    <w:rsid w:val="5085A61E"/>
    <w:rsid w:val="508942AF"/>
    <w:rsid w:val="508E4650"/>
    <w:rsid w:val="508FDC07"/>
    <w:rsid w:val="50982BD3"/>
    <w:rsid w:val="5098D92B"/>
    <w:rsid w:val="509A9E5C"/>
    <w:rsid w:val="509C2322"/>
    <w:rsid w:val="509FE5A6"/>
    <w:rsid w:val="50A662E0"/>
    <w:rsid w:val="50A87B28"/>
    <w:rsid w:val="50AACDFD"/>
    <w:rsid w:val="50AD2D5B"/>
    <w:rsid w:val="50B052F8"/>
    <w:rsid w:val="50B30827"/>
    <w:rsid w:val="50B35B94"/>
    <w:rsid w:val="50B42C5F"/>
    <w:rsid w:val="50B7E1DD"/>
    <w:rsid w:val="50BE227F"/>
    <w:rsid w:val="50C37D67"/>
    <w:rsid w:val="50C4729C"/>
    <w:rsid w:val="50C96F8B"/>
    <w:rsid w:val="50CA29B8"/>
    <w:rsid w:val="50CC1674"/>
    <w:rsid w:val="50CDC584"/>
    <w:rsid w:val="50D5E80C"/>
    <w:rsid w:val="50D642E9"/>
    <w:rsid w:val="50D79557"/>
    <w:rsid w:val="50D819FB"/>
    <w:rsid w:val="50D9A48D"/>
    <w:rsid w:val="50E1BDB9"/>
    <w:rsid w:val="50E70BF9"/>
    <w:rsid w:val="50E88DA1"/>
    <w:rsid w:val="50F24A38"/>
    <w:rsid w:val="50F9ECB0"/>
    <w:rsid w:val="50FB051A"/>
    <w:rsid w:val="50FE58A8"/>
    <w:rsid w:val="51038132"/>
    <w:rsid w:val="5105B996"/>
    <w:rsid w:val="510A3064"/>
    <w:rsid w:val="510DC734"/>
    <w:rsid w:val="5115E073"/>
    <w:rsid w:val="5116E845"/>
    <w:rsid w:val="511B0884"/>
    <w:rsid w:val="512341DC"/>
    <w:rsid w:val="51328ADD"/>
    <w:rsid w:val="513BAE87"/>
    <w:rsid w:val="513FC917"/>
    <w:rsid w:val="5143A1F6"/>
    <w:rsid w:val="51465737"/>
    <w:rsid w:val="51484321"/>
    <w:rsid w:val="514AEB6F"/>
    <w:rsid w:val="514C1878"/>
    <w:rsid w:val="5154C4FB"/>
    <w:rsid w:val="5155C0FD"/>
    <w:rsid w:val="515660D6"/>
    <w:rsid w:val="51568B5A"/>
    <w:rsid w:val="5157F12B"/>
    <w:rsid w:val="515AB043"/>
    <w:rsid w:val="515D4075"/>
    <w:rsid w:val="51606966"/>
    <w:rsid w:val="516BEE65"/>
    <w:rsid w:val="516DB38C"/>
    <w:rsid w:val="51742C91"/>
    <w:rsid w:val="51745E8D"/>
    <w:rsid w:val="5174EFCD"/>
    <w:rsid w:val="5176E14C"/>
    <w:rsid w:val="517DAB3C"/>
    <w:rsid w:val="51800ABC"/>
    <w:rsid w:val="5181576F"/>
    <w:rsid w:val="51846920"/>
    <w:rsid w:val="5185C52D"/>
    <w:rsid w:val="518651EA"/>
    <w:rsid w:val="518A8461"/>
    <w:rsid w:val="518B5BC9"/>
    <w:rsid w:val="518BB19A"/>
    <w:rsid w:val="5199D86F"/>
    <w:rsid w:val="519BEB08"/>
    <w:rsid w:val="519D934F"/>
    <w:rsid w:val="51A6B849"/>
    <w:rsid w:val="51A8784B"/>
    <w:rsid w:val="51AE91B7"/>
    <w:rsid w:val="51B185EA"/>
    <w:rsid w:val="51B28D19"/>
    <w:rsid w:val="51B547B5"/>
    <w:rsid w:val="51B5D2A2"/>
    <w:rsid w:val="51BE944C"/>
    <w:rsid w:val="51BF93EC"/>
    <w:rsid w:val="51BFDE66"/>
    <w:rsid w:val="51CA4AC1"/>
    <w:rsid w:val="51CF7E39"/>
    <w:rsid w:val="51D44575"/>
    <w:rsid w:val="51D6A7E2"/>
    <w:rsid w:val="51DCEDD0"/>
    <w:rsid w:val="51DDAF2D"/>
    <w:rsid w:val="51DE9CD2"/>
    <w:rsid w:val="51DEE358"/>
    <w:rsid w:val="51DEF092"/>
    <w:rsid w:val="51DF8C26"/>
    <w:rsid w:val="51E41055"/>
    <w:rsid w:val="51E5A120"/>
    <w:rsid w:val="51E6B936"/>
    <w:rsid w:val="51F019C9"/>
    <w:rsid w:val="51F0E6E1"/>
    <w:rsid w:val="51F34BA2"/>
    <w:rsid w:val="51F505DE"/>
    <w:rsid w:val="51F60C34"/>
    <w:rsid w:val="51F8B37A"/>
    <w:rsid w:val="51F9A569"/>
    <w:rsid w:val="51F9EBD1"/>
    <w:rsid w:val="51FB9836"/>
    <w:rsid w:val="5204F837"/>
    <w:rsid w:val="5208E7AE"/>
    <w:rsid w:val="520D5E83"/>
    <w:rsid w:val="520DB76F"/>
    <w:rsid w:val="521A1833"/>
    <w:rsid w:val="521AD89C"/>
    <w:rsid w:val="521B3B2F"/>
    <w:rsid w:val="521CAD89"/>
    <w:rsid w:val="521EFCC9"/>
    <w:rsid w:val="52226A1C"/>
    <w:rsid w:val="5224D926"/>
    <w:rsid w:val="522925CC"/>
    <w:rsid w:val="522F8873"/>
    <w:rsid w:val="5232620C"/>
    <w:rsid w:val="523888C6"/>
    <w:rsid w:val="523BABAF"/>
    <w:rsid w:val="523F504C"/>
    <w:rsid w:val="52405437"/>
    <w:rsid w:val="5240AFFA"/>
    <w:rsid w:val="5243950E"/>
    <w:rsid w:val="52481D0B"/>
    <w:rsid w:val="524A2D91"/>
    <w:rsid w:val="524B54F6"/>
    <w:rsid w:val="524DAC4A"/>
    <w:rsid w:val="524DE000"/>
    <w:rsid w:val="524F0513"/>
    <w:rsid w:val="5250737B"/>
    <w:rsid w:val="525AEB7D"/>
    <w:rsid w:val="525BBAE4"/>
    <w:rsid w:val="525BE0B3"/>
    <w:rsid w:val="525EE81B"/>
    <w:rsid w:val="525F04A7"/>
    <w:rsid w:val="52635169"/>
    <w:rsid w:val="5264294C"/>
    <w:rsid w:val="52647D2D"/>
    <w:rsid w:val="5265A9B8"/>
    <w:rsid w:val="5266D66F"/>
    <w:rsid w:val="5267DD5C"/>
    <w:rsid w:val="52681DCF"/>
    <w:rsid w:val="526AE87C"/>
    <w:rsid w:val="526D7EE9"/>
    <w:rsid w:val="526DB905"/>
    <w:rsid w:val="526E1672"/>
    <w:rsid w:val="526F6273"/>
    <w:rsid w:val="52788A8C"/>
    <w:rsid w:val="527AF790"/>
    <w:rsid w:val="5280558E"/>
    <w:rsid w:val="5282392B"/>
    <w:rsid w:val="52833550"/>
    <w:rsid w:val="5288094D"/>
    <w:rsid w:val="529202F0"/>
    <w:rsid w:val="52975370"/>
    <w:rsid w:val="529DE2A7"/>
    <w:rsid w:val="529E3607"/>
    <w:rsid w:val="529EF575"/>
    <w:rsid w:val="52A46860"/>
    <w:rsid w:val="52A6E7EF"/>
    <w:rsid w:val="52A9CDE8"/>
    <w:rsid w:val="52AE4DE4"/>
    <w:rsid w:val="52AEEDB8"/>
    <w:rsid w:val="52B1A718"/>
    <w:rsid w:val="52B22C8F"/>
    <w:rsid w:val="52B30581"/>
    <w:rsid w:val="52B7CFF0"/>
    <w:rsid w:val="52B8FECE"/>
    <w:rsid w:val="52B9A4DB"/>
    <w:rsid w:val="52BDD45E"/>
    <w:rsid w:val="52C157A6"/>
    <w:rsid w:val="52C24B85"/>
    <w:rsid w:val="52D22937"/>
    <w:rsid w:val="52D24F2C"/>
    <w:rsid w:val="52D4E632"/>
    <w:rsid w:val="52DA052B"/>
    <w:rsid w:val="52DAC182"/>
    <w:rsid w:val="52DCD394"/>
    <w:rsid w:val="52F359E4"/>
    <w:rsid w:val="52F3CED9"/>
    <w:rsid w:val="52F8CD0D"/>
    <w:rsid w:val="52FE6162"/>
    <w:rsid w:val="52FE7DA1"/>
    <w:rsid w:val="530260AB"/>
    <w:rsid w:val="530DEC37"/>
    <w:rsid w:val="530F8E45"/>
    <w:rsid w:val="53157456"/>
    <w:rsid w:val="5315ABA3"/>
    <w:rsid w:val="5319B8A8"/>
    <w:rsid w:val="531D8739"/>
    <w:rsid w:val="531E25F9"/>
    <w:rsid w:val="531F9B0F"/>
    <w:rsid w:val="532B60FB"/>
    <w:rsid w:val="533030EE"/>
    <w:rsid w:val="53316BFF"/>
    <w:rsid w:val="5331BBEB"/>
    <w:rsid w:val="5332497A"/>
    <w:rsid w:val="53350FD4"/>
    <w:rsid w:val="53354908"/>
    <w:rsid w:val="533B37E6"/>
    <w:rsid w:val="533B4DD8"/>
    <w:rsid w:val="533D4170"/>
    <w:rsid w:val="534133BF"/>
    <w:rsid w:val="534D833D"/>
    <w:rsid w:val="534E5C2F"/>
    <w:rsid w:val="534F1EFE"/>
    <w:rsid w:val="534F9951"/>
    <w:rsid w:val="5356233D"/>
    <w:rsid w:val="5356F788"/>
    <w:rsid w:val="5356FF94"/>
    <w:rsid w:val="5358EFD8"/>
    <w:rsid w:val="535936FF"/>
    <w:rsid w:val="5359F0F7"/>
    <w:rsid w:val="535A01C3"/>
    <w:rsid w:val="535B3630"/>
    <w:rsid w:val="535CC8B9"/>
    <w:rsid w:val="536830D9"/>
    <w:rsid w:val="536954DF"/>
    <w:rsid w:val="5370E270"/>
    <w:rsid w:val="53758487"/>
    <w:rsid w:val="537643F5"/>
    <w:rsid w:val="537B706A"/>
    <w:rsid w:val="537DABBC"/>
    <w:rsid w:val="537ED50C"/>
    <w:rsid w:val="537EEE4F"/>
    <w:rsid w:val="537FA187"/>
    <w:rsid w:val="5385EC85"/>
    <w:rsid w:val="53897F2F"/>
    <w:rsid w:val="538FF607"/>
    <w:rsid w:val="5390766F"/>
    <w:rsid w:val="53925198"/>
    <w:rsid w:val="539E2ED0"/>
    <w:rsid w:val="539EDF8F"/>
    <w:rsid w:val="53A236CE"/>
    <w:rsid w:val="53A30730"/>
    <w:rsid w:val="53A7BA0B"/>
    <w:rsid w:val="53A87E2D"/>
    <w:rsid w:val="53A93F7D"/>
    <w:rsid w:val="53AE587F"/>
    <w:rsid w:val="53AE9E41"/>
    <w:rsid w:val="53BBDDEE"/>
    <w:rsid w:val="53BEC9CC"/>
    <w:rsid w:val="53C13CE2"/>
    <w:rsid w:val="53C639F6"/>
    <w:rsid w:val="53C7B469"/>
    <w:rsid w:val="53CEA933"/>
    <w:rsid w:val="53CFE7C4"/>
    <w:rsid w:val="53D119FB"/>
    <w:rsid w:val="53D13149"/>
    <w:rsid w:val="53D2D200"/>
    <w:rsid w:val="53D58098"/>
    <w:rsid w:val="53D77018"/>
    <w:rsid w:val="53D7D35D"/>
    <w:rsid w:val="53DBD0E6"/>
    <w:rsid w:val="53DD1CD0"/>
    <w:rsid w:val="53E03A30"/>
    <w:rsid w:val="53E3CB1C"/>
    <w:rsid w:val="53E4A401"/>
    <w:rsid w:val="53F16E82"/>
    <w:rsid w:val="53F1EDF6"/>
    <w:rsid w:val="53FC2634"/>
    <w:rsid w:val="53FDABB3"/>
    <w:rsid w:val="53FE7A5D"/>
    <w:rsid w:val="54016A08"/>
    <w:rsid w:val="5405AABB"/>
    <w:rsid w:val="54079369"/>
    <w:rsid w:val="540B6F2B"/>
    <w:rsid w:val="540E5264"/>
    <w:rsid w:val="540FF963"/>
    <w:rsid w:val="54170D51"/>
    <w:rsid w:val="54175392"/>
    <w:rsid w:val="541D0793"/>
    <w:rsid w:val="541FC25E"/>
    <w:rsid w:val="542547B6"/>
    <w:rsid w:val="5425726E"/>
    <w:rsid w:val="5428047E"/>
    <w:rsid w:val="542D00F4"/>
    <w:rsid w:val="542DE6C4"/>
    <w:rsid w:val="542FBFB1"/>
    <w:rsid w:val="543287CF"/>
    <w:rsid w:val="5433D85B"/>
    <w:rsid w:val="5433E1C7"/>
    <w:rsid w:val="54399844"/>
    <w:rsid w:val="543AAC8E"/>
    <w:rsid w:val="544088D2"/>
    <w:rsid w:val="5441398E"/>
    <w:rsid w:val="5441A641"/>
    <w:rsid w:val="54452FB6"/>
    <w:rsid w:val="5446212F"/>
    <w:rsid w:val="54497275"/>
    <w:rsid w:val="544D73CD"/>
    <w:rsid w:val="54511B1D"/>
    <w:rsid w:val="5453FCD3"/>
    <w:rsid w:val="5454B75B"/>
    <w:rsid w:val="5454C117"/>
    <w:rsid w:val="5455568A"/>
    <w:rsid w:val="545AC2D4"/>
    <w:rsid w:val="545D6250"/>
    <w:rsid w:val="545F4579"/>
    <w:rsid w:val="5461D3F4"/>
    <w:rsid w:val="546242E0"/>
    <w:rsid w:val="54635FD3"/>
    <w:rsid w:val="54665E19"/>
    <w:rsid w:val="5467519A"/>
    <w:rsid w:val="5467A6D2"/>
    <w:rsid w:val="546DCD6F"/>
    <w:rsid w:val="546FB649"/>
    <w:rsid w:val="546FD734"/>
    <w:rsid w:val="5471340E"/>
    <w:rsid w:val="54767A96"/>
    <w:rsid w:val="547C294B"/>
    <w:rsid w:val="5481CBD9"/>
    <w:rsid w:val="54828423"/>
    <w:rsid w:val="54880461"/>
    <w:rsid w:val="54892613"/>
    <w:rsid w:val="548C982E"/>
    <w:rsid w:val="54902A08"/>
    <w:rsid w:val="549E527C"/>
    <w:rsid w:val="549F10C2"/>
    <w:rsid w:val="54A69D30"/>
    <w:rsid w:val="54A762CA"/>
    <w:rsid w:val="54AC543F"/>
    <w:rsid w:val="54B40DEB"/>
    <w:rsid w:val="54B71195"/>
    <w:rsid w:val="54B82380"/>
    <w:rsid w:val="54B84315"/>
    <w:rsid w:val="54BA33F9"/>
    <w:rsid w:val="54BE59BD"/>
    <w:rsid w:val="54BF49F7"/>
    <w:rsid w:val="54C420EC"/>
    <w:rsid w:val="54CFBA09"/>
    <w:rsid w:val="54CFBECF"/>
    <w:rsid w:val="54D7FF3C"/>
    <w:rsid w:val="54D815E8"/>
    <w:rsid w:val="54D85FE4"/>
    <w:rsid w:val="54DADE4A"/>
    <w:rsid w:val="54DBE1E4"/>
    <w:rsid w:val="54DF7466"/>
    <w:rsid w:val="54DF8D45"/>
    <w:rsid w:val="54E02DFA"/>
    <w:rsid w:val="54E3A3E8"/>
    <w:rsid w:val="54E3CE51"/>
    <w:rsid w:val="54E4A1AA"/>
    <w:rsid w:val="54EA9EDD"/>
    <w:rsid w:val="54EFDB8D"/>
    <w:rsid w:val="54F23C7F"/>
    <w:rsid w:val="54FD5085"/>
    <w:rsid w:val="550413EB"/>
    <w:rsid w:val="55062968"/>
    <w:rsid w:val="5507A557"/>
    <w:rsid w:val="550840BC"/>
    <w:rsid w:val="550AD41B"/>
    <w:rsid w:val="550B45A3"/>
    <w:rsid w:val="550FFB59"/>
    <w:rsid w:val="55174FB2"/>
    <w:rsid w:val="5518BF56"/>
    <w:rsid w:val="551B4DA4"/>
    <w:rsid w:val="552CE4D7"/>
    <w:rsid w:val="5536B71A"/>
    <w:rsid w:val="553853E3"/>
    <w:rsid w:val="553A75CA"/>
    <w:rsid w:val="553AED7A"/>
    <w:rsid w:val="553AEFE9"/>
    <w:rsid w:val="553C1224"/>
    <w:rsid w:val="55407B74"/>
    <w:rsid w:val="55440678"/>
    <w:rsid w:val="55478533"/>
    <w:rsid w:val="554EBF5E"/>
    <w:rsid w:val="5551E53A"/>
    <w:rsid w:val="55528E07"/>
    <w:rsid w:val="55531CD7"/>
    <w:rsid w:val="5556294A"/>
    <w:rsid w:val="55577CE0"/>
    <w:rsid w:val="5558A98F"/>
    <w:rsid w:val="556295E7"/>
    <w:rsid w:val="55644117"/>
    <w:rsid w:val="5564F986"/>
    <w:rsid w:val="55677B30"/>
    <w:rsid w:val="55682152"/>
    <w:rsid w:val="55700FC4"/>
    <w:rsid w:val="557048A2"/>
    <w:rsid w:val="55707758"/>
    <w:rsid w:val="5570CB01"/>
    <w:rsid w:val="5572BD25"/>
    <w:rsid w:val="55770C68"/>
    <w:rsid w:val="55806455"/>
    <w:rsid w:val="5583F629"/>
    <w:rsid w:val="55893F97"/>
    <w:rsid w:val="5589A2A8"/>
    <w:rsid w:val="558D46D1"/>
    <w:rsid w:val="559748FE"/>
    <w:rsid w:val="5598CAB5"/>
    <w:rsid w:val="559A8FEB"/>
    <w:rsid w:val="559CB0F2"/>
    <w:rsid w:val="559E653F"/>
    <w:rsid w:val="55A01D59"/>
    <w:rsid w:val="55A41DD6"/>
    <w:rsid w:val="55A649F7"/>
    <w:rsid w:val="55ABA9A2"/>
    <w:rsid w:val="55AF2043"/>
    <w:rsid w:val="55B127DA"/>
    <w:rsid w:val="55B5C204"/>
    <w:rsid w:val="55B67EED"/>
    <w:rsid w:val="55BB16F9"/>
    <w:rsid w:val="55BCC3B1"/>
    <w:rsid w:val="55BE3F47"/>
    <w:rsid w:val="55C600DE"/>
    <w:rsid w:val="55C62E1A"/>
    <w:rsid w:val="55CDD89E"/>
    <w:rsid w:val="55D0396D"/>
    <w:rsid w:val="55D2B255"/>
    <w:rsid w:val="55D31EA4"/>
    <w:rsid w:val="55D3C3CC"/>
    <w:rsid w:val="55D5307C"/>
    <w:rsid w:val="55D6AC50"/>
    <w:rsid w:val="55D90C2A"/>
    <w:rsid w:val="55DF2591"/>
    <w:rsid w:val="55DF2D5D"/>
    <w:rsid w:val="55DF632D"/>
    <w:rsid w:val="55E55F5E"/>
    <w:rsid w:val="55E56A18"/>
    <w:rsid w:val="55E6DA2E"/>
    <w:rsid w:val="55E892EE"/>
    <w:rsid w:val="55E8CB02"/>
    <w:rsid w:val="55EA6985"/>
    <w:rsid w:val="55F2492A"/>
    <w:rsid w:val="55F4362B"/>
    <w:rsid w:val="55F74FE8"/>
    <w:rsid w:val="55F7D885"/>
    <w:rsid w:val="55F80C46"/>
    <w:rsid w:val="55F9ECD6"/>
    <w:rsid w:val="55FA4B1C"/>
    <w:rsid w:val="5600BCBF"/>
    <w:rsid w:val="5601A9BF"/>
    <w:rsid w:val="5605C380"/>
    <w:rsid w:val="56065447"/>
    <w:rsid w:val="560DEFD0"/>
    <w:rsid w:val="5617B06C"/>
    <w:rsid w:val="561E404F"/>
    <w:rsid w:val="5620F42B"/>
    <w:rsid w:val="56216459"/>
    <w:rsid w:val="562199C4"/>
    <w:rsid w:val="56226303"/>
    <w:rsid w:val="562614E9"/>
    <w:rsid w:val="56278D69"/>
    <w:rsid w:val="562C9A46"/>
    <w:rsid w:val="562D5B6A"/>
    <w:rsid w:val="562FB190"/>
    <w:rsid w:val="56314F8F"/>
    <w:rsid w:val="563350E5"/>
    <w:rsid w:val="563788F9"/>
    <w:rsid w:val="563C7C0E"/>
    <w:rsid w:val="563F264D"/>
    <w:rsid w:val="563FE1DB"/>
    <w:rsid w:val="56411D5D"/>
    <w:rsid w:val="564399DA"/>
    <w:rsid w:val="5644E8AE"/>
    <w:rsid w:val="5646A1B6"/>
    <w:rsid w:val="5648A40F"/>
    <w:rsid w:val="564B1FE4"/>
    <w:rsid w:val="564CC737"/>
    <w:rsid w:val="564CD5F4"/>
    <w:rsid w:val="564EC002"/>
    <w:rsid w:val="5651DD5B"/>
    <w:rsid w:val="5656E9FC"/>
    <w:rsid w:val="5656F437"/>
    <w:rsid w:val="5659E3C0"/>
    <w:rsid w:val="5668B295"/>
    <w:rsid w:val="56694A82"/>
    <w:rsid w:val="566DA113"/>
    <w:rsid w:val="566EDD9F"/>
    <w:rsid w:val="566EE118"/>
    <w:rsid w:val="566F939F"/>
    <w:rsid w:val="567070E6"/>
    <w:rsid w:val="567A5F16"/>
    <w:rsid w:val="567B24D8"/>
    <w:rsid w:val="567B4545"/>
    <w:rsid w:val="567DEBF1"/>
    <w:rsid w:val="5681657A"/>
    <w:rsid w:val="5681C0E0"/>
    <w:rsid w:val="5682B66E"/>
    <w:rsid w:val="56841F9F"/>
    <w:rsid w:val="568BEAB5"/>
    <w:rsid w:val="568C592F"/>
    <w:rsid w:val="568D9950"/>
    <w:rsid w:val="5697F6C6"/>
    <w:rsid w:val="56988843"/>
    <w:rsid w:val="569AA226"/>
    <w:rsid w:val="569B5D7C"/>
    <w:rsid w:val="569C9594"/>
    <w:rsid w:val="569EA4D7"/>
    <w:rsid w:val="56A17839"/>
    <w:rsid w:val="56A1ACF5"/>
    <w:rsid w:val="56A2A07F"/>
    <w:rsid w:val="56A7A1E1"/>
    <w:rsid w:val="56B23EC6"/>
    <w:rsid w:val="56B4715E"/>
    <w:rsid w:val="56B8F6E9"/>
    <w:rsid w:val="56C2EFEE"/>
    <w:rsid w:val="56C57809"/>
    <w:rsid w:val="56C760A6"/>
    <w:rsid w:val="56C93AD5"/>
    <w:rsid w:val="56D0C8EE"/>
    <w:rsid w:val="56D7B633"/>
    <w:rsid w:val="56E634F3"/>
    <w:rsid w:val="56EB794D"/>
    <w:rsid w:val="56ED0DFB"/>
    <w:rsid w:val="56F9FC19"/>
    <w:rsid w:val="56FDEFEB"/>
    <w:rsid w:val="570ADE24"/>
    <w:rsid w:val="570BEEE5"/>
    <w:rsid w:val="570DE094"/>
    <w:rsid w:val="5714254B"/>
    <w:rsid w:val="5717B9A8"/>
    <w:rsid w:val="571AF419"/>
    <w:rsid w:val="571C264E"/>
    <w:rsid w:val="571FCC6E"/>
    <w:rsid w:val="57221BBF"/>
    <w:rsid w:val="572418CD"/>
    <w:rsid w:val="572746BE"/>
    <w:rsid w:val="572862AA"/>
    <w:rsid w:val="57288148"/>
    <w:rsid w:val="57328A88"/>
    <w:rsid w:val="573947CD"/>
    <w:rsid w:val="573B872C"/>
    <w:rsid w:val="573EFCBB"/>
    <w:rsid w:val="573F570F"/>
    <w:rsid w:val="57447D46"/>
    <w:rsid w:val="5744DCBC"/>
    <w:rsid w:val="57486B32"/>
    <w:rsid w:val="574B1A61"/>
    <w:rsid w:val="5751DC52"/>
    <w:rsid w:val="5755F5F9"/>
    <w:rsid w:val="57572FB0"/>
    <w:rsid w:val="575A28D0"/>
    <w:rsid w:val="576232B2"/>
    <w:rsid w:val="576424E6"/>
    <w:rsid w:val="5767E5B5"/>
    <w:rsid w:val="576BD069"/>
    <w:rsid w:val="5770B8B6"/>
    <w:rsid w:val="577707D0"/>
    <w:rsid w:val="57776C59"/>
    <w:rsid w:val="577777CF"/>
    <w:rsid w:val="5779FFF3"/>
    <w:rsid w:val="577E6D4D"/>
    <w:rsid w:val="577EAFDA"/>
    <w:rsid w:val="578152C7"/>
    <w:rsid w:val="5785134E"/>
    <w:rsid w:val="5785B650"/>
    <w:rsid w:val="578ED6AF"/>
    <w:rsid w:val="578FCE66"/>
    <w:rsid w:val="579201E5"/>
    <w:rsid w:val="5793AFB5"/>
    <w:rsid w:val="579D1786"/>
    <w:rsid w:val="57A4D10B"/>
    <w:rsid w:val="57A63B65"/>
    <w:rsid w:val="57A75895"/>
    <w:rsid w:val="57ACD687"/>
    <w:rsid w:val="57AF80ED"/>
    <w:rsid w:val="57B3D601"/>
    <w:rsid w:val="57B4D9A7"/>
    <w:rsid w:val="57B4F2C2"/>
    <w:rsid w:val="57B6FD81"/>
    <w:rsid w:val="57B71228"/>
    <w:rsid w:val="57BA5CB0"/>
    <w:rsid w:val="57BAA590"/>
    <w:rsid w:val="57C306B2"/>
    <w:rsid w:val="57C8B558"/>
    <w:rsid w:val="57CABE4F"/>
    <w:rsid w:val="57CF9364"/>
    <w:rsid w:val="57CFC08E"/>
    <w:rsid w:val="57D60342"/>
    <w:rsid w:val="57D7E5C9"/>
    <w:rsid w:val="57D830CE"/>
    <w:rsid w:val="57D9EEAE"/>
    <w:rsid w:val="57DD3873"/>
    <w:rsid w:val="57E2D5D1"/>
    <w:rsid w:val="57E5211B"/>
    <w:rsid w:val="57E6F9F4"/>
    <w:rsid w:val="57E82639"/>
    <w:rsid w:val="57E9BC55"/>
    <w:rsid w:val="57F4D505"/>
    <w:rsid w:val="57F504B7"/>
    <w:rsid w:val="57F5E52F"/>
    <w:rsid w:val="57FBC0AF"/>
    <w:rsid w:val="57FC8C12"/>
    <w:rsid w:val="57FD6A19"/>
    <w:rsid w:val="58009E8A"/>
    <w:rsid w:val="580123A4"/>
    <w:rsid w:val="5804EA18"/>
    <w:rsid w:val="5806D7A7"/>
    <w:rsid w:val="5807F237"/>
    <w:rsid w:val="58088DED"/>
    <w:rsid w:val="58095CF7"/>
    <w:rsid w:val="580A2AAB"/>
    <w:rsid w:val="580D03FB"/>
    <w:rsid w:val="58189DAD"/>
    <w:rsid w:val="581BE5F0"/>
    <w:rsid w:val="581FC308"/>
    <w:rsid w:val="5821EEBA"/>
    <w:rsid w:val="58252B1D"/>
    <w:rsid w:val="58253109"/>
    <w:rsid w:val="58257084"/>
    <w:rsid w:val="582AC166"/>
    <w:rsid w:val="582F2D78"/>
    <w:rsid w:val="582FB7EC"/>
    <w:rsid w:val="582FDC4D"/>
    <w:rsid w:val="58315770"/>
    <w:rsid w:val="5833BF7A"/>
    <w:rsid w:val="58399A4B"/>
    <w:rsid w:val="5839AA04"/>
    <w:rsid w:val="583AB6BF"/>
    <w:rsid w:val="583AEF41"/>
    <w:rsid w:val="5840C83B"/>
    <w:rsid w:val="58413741"/>
    <w:rsid w:val="584526C5"/>
    <w:rsid w:val="58463426"/>
    <w:rsid w:val="58473292"/>
    <w:rsid w:val="584951B9"/>
    <w:rsid w:val="584998B6"/>
    <w:rsid w:val="5854320C"/>
    <w:rsid w:val="585687A6"/>
    <w:rsid w:val="58582FCB"/>
    <w:rsid w:val="585DF61C"/>
    <w:rsid w:val="586128CE"/>
    <w:rsid w:val="58644DBD"/>
    <w:rsid w:val="58668E97"/>
    <w:rsid w:val="586ACCDA"/>
    <w:rsid w:val="586AE34A"/>
    <w:rsid w:val="586E75F6"/>
    <w:rsid w:val="5873262F"/>
    <w:rsid w:val="58781143"/>
    <w:rsid w:val="587F3EC7"/>
    <w:rsid w:val="5885FB01"/>
    <w:rsid w:val="588D5938"/>
    <w:rsid w:val="588D9170"/>
    <w:rsid w:val="589B47BE"/>
    <w:rsid w:val="589B7376"/>
    <w:rsid w:val="589BEC0D"/>
    <w:rsid w:val="589DCD2E"/>
    <w:rsid w:val="589E671D"/>
    <w:rsid w:val="589E861B"/>
    <w:rsid w:val="58A652AC"/>
    <w:rsid w:val="58B20CA4"/>
    <w:rsid w:val="58B20F28"/>
    <w:rsid w:val="58B29BAE"/>
    <w:rsid w:val="58B2B25E"/>
    <w:rsid w:val="58BEA065"/>
    <w:rsid w:val="58C0383E"/>
    <w:rsid w:val="58C5A83B"/>
    <w:rsid w:val="58C72700"/>
    <w:rsid w:val="58C822CE"/>
    <w:rsid w:val="58CC3325"/>
    <w:rsid w:val="58D6B129"/>
    <w:rsid w:val="58DAB7C0"/>
    <w:rsid w:val="58DAB983"/>
    <w:rsid w:val="58DB6CF5"/>
    <w:rsid w:val="58DBE6D8"/>
    <w:rsid w:val="58DCD625"/>
    <w:rsid w:val="58DDFBB4"/>
    <w:rsid w:val="58DE6BE5"/>
    <w:rsid w:val="58DFA7F7"/>
    <w:rsid w:val="58DFEB64"/>
    <w:rsid w:val="58E5CE45"/>
    <w:rsid w:val="58E6664C"/>
    <w:rsid w:val="58EA75C4"/>
    <w:rsid w:val="58EBD63D"/>
    <w:rsid w:val="58ED71CE"/>
    <w:rsid w:val="58EE76B4"/>
    <w:rsid w:val="58EF8BAB"/>
    <w:rsid w:val="58F4E0AF"/>
    <w:rsid w:val="58F71DE4"/>
    <w:rsid w:val="58FBF3D2"/>
    <w:rsid w:val="58FC1CD6"/>
    <w:rsid w:val="58FE2B13"/>
    <w:rsid w:val="58FF4ADA"/>
    <w:rsid w:val="5911E112"/>
    <w:rsid w:val="591308FC"/>
    <w:rsid w:val="59145F7D"/>
    <w:rsid w:val="59196C14"/>
    <w:rsid w:val="5919A910"/>
    <w:rsid w:val="591A0D8A"/>
    <w:rsid w:val="591DA912"/>
    <w:rsid w:val="591DF070"/>
    <w:rsid w:val="591E7A83"/>
    <w:rsid w:val="5924B68A"/>
    <w:rsid w:val="592B01A8"/>
    <w:rsid w:val="592C367E"/>
    <w:rsid w:val="5930B319"/>
    <w:rsid w:val="5937D185"/>
    <w:rsid w:val="593B1CCF"/>
    <w:rsid w:val="593CCA07"/>
    <w:rsid w:val="593E4BFD"/>
    <w:rsid w:val="5942DB0A"/>
    <w:rsid w:val="59487561"/>
    <w:rsid w:val="5949C4D5"/>
    <w:rsid w:val="594EDADE"/>
    <w:rsid w:val="594FFC13"/>
    <w:rsid w:val="5952545D"/>
    <w:rsid w:val="5954CFD9"/>
    <w:rsid w:val="595585FC"/>
    <w:rsid w:val="595F8A29"/>
    <w:rsid w:val="59615228"/>
    <w:rsid w:val="5962BDA9"/>
    <w:rsid w:val="596B3097"/>
    <w:rsid w:val="596E251C"/>
    <w:rsid w:val="596E9B15"/>
    <w:rsid w:val="596F7365"/>
    <w:rsid w:val="5970C6A3"/>
    <w:rsid w:val="59740831"/>
    <w:rsid w:val="59748B6C"/>
    <w:rsid w:val="597A00CC"/>
    <w:rsid w:val="597B1580"/>
    <w:rsid w:val="597C9504"/>
    <w:rsid w:val="597CECDF"/>
    <w:rsid w:val="597DBFB5"/>
    <w:rsid w:val="5981580C"/>
    <w:rsid w:val="598372A0"/>
    <w:rsid w:val="59837C62"/>
    <w:rsid w:val="5983F947"/>
    <w:rsid w:val="598651F0"/>
    <w:rsid w:val="59875059"/>
    <w:rsid w:val="5989E3CB"/>
    <w:rsid w:val="598B6632"/>
    <w:rsid w:val="59986703"/>
    <w:rsid w:val="59989CF4"/>
    <w:rsid w:val="599C6F09"/>
    <w:rsid w:val="59A2DEF2"/>
    <w:rsid w:val="59A3057B"/>
    <w:rsid w:val="59A5D712"/>
    <w:rsid w:val="59A6BD62"/>
    <w:rsid w:val="59AA5930"/>
    <w:rsid w:val="59ABF791"/>
    <w:rsid w:val="59ADA232"/>
    <w:rsid w:val="59B604DE"/>
    <w:rsid w:val="59B8772E"/>
    <w:rsid w:val="59B8CE33"/>
    <w:rsid w:val="59BC8793"/>
    <w:rsid w:val="59C46312"/>
    <w:rsid w:val="59C68356"/>
    <w:rsid w:val="59C970CF"/>
    <w:rsid w:val="59CA2AC0"/>
    <w:rsid w:val="59D152A9"/>
    <w:rsid w:val="59D1F59B"/>
    <w:rsid w:val="59D25F11"/>
    <w:rsid w:val="59D4E23D"/>
    <w:rsid w:val="59D5678F"/>
    <w:rsid w:val="59D753D9"/>
    <w:rsid w:val="59DB9DDA"/>
    <w:rsid w:val="59DBC9B3"/>
    <w:rsid w:val="59DD81D7"/>
    <w:rsid w:val="59EA0063"/>
    <w:rsid w:val="59F07E76"/>
    <w:rsid w:val="59F1F367"/>
    <w:rsid w:val="59F56775"/>
    <w:rsid w:val="59F7E843"/>
    <w:rsid w:val="5A0096FB"/>
    <w:rsid w:val="5A022CC9"/>
    <w:rsid w:val="5A055B8D"/>
    <w:rsid w:val="5A098577"/>
    <w:rsid w:val="5A0D7C56"/>
    <w:rsid w:val="5A0FBF37"/>
    <w:rsid w:val="5A119701"/>
    <w:rsid w:val="5A17EEAF"/>
    <w:rsid w:val="5A1821AA"/>
    <w:rsid w:val="5A214977"/>
    <w:rsid w:val="5A261094"/>
    <w:rsid w:val="5A26759B"/>
    <w:rsid w:val="5A29CA5C"/>
    <w:rsid w:val="5A3357F9"/>
    <w:rsid w:val="5A386843"/>
    <w:rsid w:val="5A3A1335"/>
    <w:rsid w:val="5A3B33B4"/>
    <w:rsid w:val="5A3DCC6C"/>
    <w:rsid w:val="5A4384E7"/>
    <w:rsid w:val="5A46A55E"/>
    <w:rsid w:val="5A48AE83"/>
    <w:rsid w:val="5A4DACB5"/>
    <w:rsid w:val="5A4DEC69"/>
    <w:rsid w:val="5A4FF5F0"/>
    <w:rsid w:val="5A564EE2"/>
    <w:rsid w:val="5A5885D6"/>
    <w:rsid w:val="5A5BD796"/>
    <w:rsid w:val="5A5EDC6B"/>
    <w:rsid w:val="5A6513BB"/>
    <w:rsid w:val="5A68F4CA"/>
    <w:rsid w:val="5A6B2B8D"/>
    <w:rsid w:val="5A7B7AE4"/>
    <w:rsid w:val="5A8032D0"/>
    <w:rsid w:val="5A84DDB6"/>
    <w:rsid w:val="5A8546C6"/>
    <w:rsid w:val="5A8C2DC9"/>
    <w:rsid w:val="5A8FA82F"/>
    <w:rsid w:val="5A9237BF"/>
    <w:rsid w:val="5A93BC33"/>
    <w:rsid w:val="5A93C284"/>
    <w:rsid w:val="5A954583"/>
    <w:rsid w:val="5A96C755"/>
    <w:rsid w:val="5AA74EB6"/>
    <w:rsid w:val="5AA93A7E"/>
    <w:rsid w:val="5AAB7ED0"/>
    <w:rsid w:val="5AAE1913"/>
    <w:rsid w:val="5ABD4C5B"/>
    <w:rsid w:val="5AC3F37C"/>
    <w:rsid w:val="5AC42B9D"/>
    <w:rsid w:val="5AC45F13"/>
    <w:rsid w:val="5AC933C3"/>
    <w:rsid w:val="5AC9EADD"/>
    <w:rsid w:val="5ACD7A46"/>
    <w:rsid w:val="5AD81D98"/>
    <w:rsid w:val="5AE1C57C"/>
    <w:rsid w:val="5AE372B3"/>
    <w:rsid w:val="5AECE757"/>
    <w:rsid w:val="5AF6858A"/>
    <w:rsid w:val="5AF942C8"/>
    <w:rsid w:val="5AFD6917"/>
    <w:rsid w:val="5AFE8A25"/>
    <w:rsid w:val="5B054AED"/>
    <w:rsid w:val="5B05970B"/>
    <w:rsid w:val="5B0C1C2C"/>
    <w:rsid w:val="5B0CC447"/>
    <w:rsid w:val="5B0FB39D"/>
    <w:rsid w:val="5B165BB5"/>
    <w:rsid w:val="5B1665B3"/>
    <w:rsid w:val="5B17ABC5"/>
    <w:rsid w:val="5B21F7AB"/>
    <w:rsid w:val="5B2419FC"/>
    <w:rsid w:val="5B2CF41C"/>
    <w:rsid w:val="5B2D7D10"/>
    <w:rsid w:val="5B2F5AA7"/>
    <w:rsid w:val="5B2FCFE7"/>
    <w:rsid w:val="5B30311C"/>
    <w:rsid w:val="5B34B1C1"/>
    <w:rsid w:val="5B34C6B2"/>
    <w:rsid w:val="5B34E1CD"/>
    <w:rsid w:val="5B355644"/>
    <w:rsid w:val="5B373DF5"/>
    <w:rsid w:val="5B38F5C0"/>
    <w:rsid w:val="5B39DE93"/>
    <w:rsid w:val="5B3A4FF2"/>
    <w:rsid w:val="5B3EE53B"/>
    <w:rsid w:val="5B47F298"/>
    <w:rsid w:val="5B497662"/>
    <w:rsid w:val="5B4B52E4"/>
    <w:rsid w:val="5B4B5DD0"/>
    <w:rsid w:val="5B4D74C9"/>
    <w:rsid w:val="5B4EA27F"/>
    <w:rsid w:val="5B4F1E5B"/>
    <w:rsid w:val="5B54E044"/>
    <w:rsid w:val="5B56D2D7"/>
    <w:rsid w:val="5B5B9DA6"/>
    <w:rsid w:val="5B5FBC34"/>
    <w:rsid w:val="5B6CB98B"/>
    <w:rsid w:val="5B6D4CF9"/>
    <w:rsid w:val="5B6E54A0"/>
    <w:rsid w:val="5B6F136D"/>
    <w:rsid w:val="5B7204A9"/>
    <w:rsid w:val="5B742565"/>
    <w:rsid w:val="5B78CBF8"/>
    <w:rsid w:val="5B7A83E6"/>
    <w:rsid w:val="5B802E7A"/>
    <w:rsid w:val="5B817488"/>
    <w:rsid w:val="5B829CA4"/>
    <w:rsid w:val="5B83238F"/>
    <w:rsid w:val="5B85B32A"/>
    <w:rsid w:val="5B88140C"/>
    <w:rsid w:val="5B8B8BFE"/>
    <w:rsid w:val="5B8BE040"/>
    <w:rsid w:val="5B8BE7F6"/>
    <w:rsid w:val="5B91E60F"/>
    <w:rsid w:val="5B92BFB8"/>
    <w:rsid w:val="5B953676"/>
    <w:rsid w:val="5B98E547"/>
    <w:rsid w:val="5BA27753"/>
    <w:rsid w:val="5BA3DE6D"/>
    <w:rsid w:val="5BA455AB"/>
    <w:rsid w:val="5BA57258"/>
    <w:rsid w:val="5BAABE82"/>
    <w:rsid w:val="5BAB98A3"/>
    <w:rsid w:val="5BBDD489"/>
    <w:rsid w:val="5BBE11D6"/>
    <w:rsid w:val="5BC015DE"/>
    <w:rsid w:val="5BC22BBF"/>
    <w:rsid w:val="5BC4C9AF"/>
    <w:rsid w:val="5BCDEF82"/>
    <w:rsid w:val="5BD701A0"/>
    <w:rsid w:val="5BDA0CEA"/>
    <w:rsid w:val="5BDBA87D"/>
    <w:rsid w:val="5BE002CA"/>
    <w:rsid w:val="5BE1D965"/>
    <w:rsid w:val="5BE43CB8"/>
    <w:rsid w:val="5BE9F283"/>
    <w:rsid w:val="5BEAB952"/>
    <w:rsid w:val="5BF18CD0"/>
    <w:rsid w:val="5BF46311"/>
    <w:rsid w:val="5C02738F"/>
    <w:rsid w:val="5C02FA83"/>
    <w:rsid w:val="5C02FC53"/>
    <w:rsid w:val="5C07827A"/>
    <w:rsid w:val="5C08A110"/>
    <w:rsid w:val="5C0A4202"/>
    <w:rsid w:val="5C0B1CD1"/>
    <w:rsid w:val="5C0CD746"/>
    <w:rsid w:val="5C130FC5"/>
    <w:rsid w:val="5C16D3E6"/>
    <w:rsid w:val="5C16DD97"/>
    <w:rsid w:val="5C21A62C"/>
    <w:rsid w:val="5C2480BB"/>
    <w:rsid w:val="5C2661D1"/>
    <w:rsid w:val="5C29632D"/>
    <w:rsid w:val="5C2C4446"/>
    <w:rsid w:val="5C2C8F89"/>
    <w:rsid w:val="5C2F9B1D"/>
    <w:rsid w:val="5C3201FD"/>
    <w:rsid w:val="5C323B98"/>
    <w:rsid w:val="5C37DB20"/>
    <w:rsid w:val="5C3C0313"/>
    <w:rsid w:val="5C3C2939"/>
    <w:rsid w:val="5C3C48E7"/>
    <w:rsid w:val="5C3CB35E"/>
    <w:rsid w:val="5C406AC0"/>
    <w:rsid w:val="5C41B92D"/>
    <w:rsid w:val="5C42F4D3"/>
    <w:rsid w:val="5C46968D"/>
    <w:rsid w:val="5C4B1F3E"/>
    <w:rsid w:val="5C4EA28B"/>
    <w:rsid w:val="5C501DF5"/>
    <w:rsid w:val="5C517180"/>
    <w:rsid w:val="5C51C817"/>
    <w:rsid w:val="5C539AEE"/>
    <w:rsid w:val="5C578DA7"/>
    <w:rsid w:val="5C5903DA"/>
    <w:rsid w:val="5C5B35C8"/>
    <w:rsid w:val="5C5D02E8"/>
    <w:rsid w:val="5C5E7D88"/>
    <w:rsid w:val="5C5F8A2B"/>
    <w:rsid w:val="5C61C900"/>
    <w:rsid w:val="5C61DE20"/>
    <w:rsid w:val="5C6A5333"/>
    <w:rsid w:val="5C6B2250"/>
    <w:rsid w:val="5C6D489D"/>
    <w:rsid w:val="5C6EF691"/>
    <w:rsid w:val="5C7101E9"/>
    <w:rsid w:val="5C735EFF"/>
    <w:rsid w:val="5C750FBB"/>
    <w:rsid w:val="5C76C24A"/>
    <w:rsid w:val="5C77B4F5"/>
    <w:rsid w:val="5C7F6696"/>
    <w:rsid w:val="5C8D85F6"/>
    <w:rsid w:val="5C90B932"/>
    <w:rsid w:val="5C92A504"/>
    <w:rsid w:val="5C9315B4"/>
    <w:rsid w:val="5C9755C4"/>
    <w:rsid w:val="5C9B41DE"/>
    <w:rsid w:val="5C9C2226"/>
    <w:rsid w:val="5C9F1426"/>
    <w:rsid w:val="5CAA0C1C"/>
    <w:rsid w:val="5CAF49AA"/>
    <w:rsid w:val="5CBF61B6"/>
    <w:rsid w:val="5CC2EE64"/>
    <w:rsid w:val="5CC498B7"/>
    <w:rsid w:val="5CC6E844"/>
    <w:rsid w:val="5CC9178D"/>
    <w:rsid w:val="5CCBAF8C"/>
    <w:rsid w:val="5CCBD251"/>
    <w:rsid w:val="5CCD7BB9"/>
    <w:rsid w:val="5CD371D7"/>
    <w:rsid w:val="5CD6FCDF"/>
    <w:rsid w:val="5CD7016F"/>
    <w:rsid w:val="5CD8B055"/>
    <w:rsid w:val="5CDB1887"/>
    <w:rsid w:val="5CE03E5A"/>
    <w:rsid w:val="5CE13D3C"/>
    <w:rsid w:val="5CE7256D"/>
    <w:rsid w:val="5CE7E304"/>
    <w:rsid w:val="5CE93E81"/>
    <w:rsid w:val="5CF824DF"/>
    <w:rsid w:val="5CFBCB8B"/>
    <w:rsid w:val="5CFC7D9E"/>
    <w:rsid w:val="5CFE8690"/>
    <w:rsid w:val="5D015B49"/>
    <w:rsid w:val="5D017735"/>
    <w:rsid w:val="5D184920"/>
    <w:rsid w:val="5D1913DA"/>
    <w:rsid w:val="5D19789D"/>
    <w:rsid w:val="5D19F05F"/>
    <w:rsid w:val="5D1C29BE"/>
    <w:rsid w:val="5D1F5B6D"/>
    <w:rsid w:val="5D227817"/>
    <w:rsid w:val="5D2A6002"/>
    <w:rsid w:val="5D2C5CC9"/>
    <w:rsid w:val="5D2EF835"/>
    <w:rsid w:val="5D32F0D8"/>
    <w:rsid w:val="5D3A2D32"/>
    <w:rsid w:val="5D3C9BFB"/>
    <w:rsid w:val="5D3CF116"/>
    <w:rsid w:val="5D40DADA"/>
    <w:rsid w:val="5D447047"/>
    <w:rsid w:val="5D4472FA"/>
    <w:rsid w:val="5D458440"/>
    <w:rsid w:val="5D45BFE8"/>
    <w:rsid w:val="5D4B5B53"/>
    <w:rsid w:val="5D5230A8"/>
    <w:rsid w:val="5D55C844"/>
    <w:rsid w:val="5D57B8EF"/>
    <w:rsid w:val="5D5A4EB7"/>
    <w:rsid w:val="5D5C3EE3"/>
    <w:rsid w:val="5D5F139E"/>
    <w:rsid w:val="5D677419"/>
    <w:rsid w:val="5D70A31E"/>
    <w:rsid w:val="5D74C30A"/>
    <w:rsid w:val="5D74E30C"/>
    <w:rsid w:val="5D76A61C"/>
    <w:rsid w:val="5D7A9E25"/>
    <w:rsid w:val="5D8276A2"/>
    <w:rsid w:val="5D857DF4"/>
    <w:rsid w:val="5D864A18"/>
    <w:rsid w:val="5D889A23"/>
    <w:rsid w:val="5D88A84B"/>
    <w:rsid w:val="5D8904BE"/>
    <w:rsid w:val="5D897EE5"/>
    <w:rsid w:val="5D9289EA"/>
    <w:rsid w:val="5D93D4BA"/>
    <w:rsid w:val="5D9470A7"/>
    <w:rsid w:val="5DA5CDA6"/>
    <w:rsid w:val="5DA65D6A"/>
    <w:rsid w:val="5DAA2196"/>
    <w:rsid w:val="5DAE77C7"/>
    <w:rsid w:val="5DB0E664"/>
    <w:rsid w:val="5DB4562D"/>
    <w:rsid w:val="5DB479C8"/>
    <w:rsid w:val="5DB598B9"/>
    <w:rsid w:val="5DB9A84E"/>
    <w:rsid w:val="5DB9CE91"/>
    <w:rsid w:val="5DBBEE42"/>
    <w:rsid w:val="5DBFC5B4"/>
    <w:rsid w:val="5DC63E10"/>
    <w:rsid w:val="5DC9A649"/>
    <w:rsid w:val="5DCD7F78"/>
    <w:rsid w:val="5DCF16E2"/>
    <w:rsid w:val="5DD2F970"/>
    <w:rsid w:val="5DD4DF0A"/>
    <w:rsid w:val="5DD5F2B5"/>
    <w:rsid w:val="5DD8AF51"/>
    <w:rsid w:val="5DD91C15"/>
    <w:rsid w:val="5DDCC6B5"/>
    <w:rsid w:val="5DDEBDFC"/>
    <w:rsid w:val="5DE9255D"/>
    <w:rsid w:val="5DEE2723"/>
    <w:rsid w:val="5DF10A0C"/>
    <w:rsid w:val="5DF5A336"/>
    <w:rsid w:val="5DFB8851"/>
    <w:rsid w:val="5DFB9946"/>
    <w:rsid w:val="5E06BC37"/>
    <w:rsid w:val="5E096115"/>
    <w:rsid w:val="5E0A9F2C"/>
    <w:rsid w:val="5E10173C"/>
    <w:rsid w:val="5E10CB3F"/>
    <w:rsid w:val="5E13CDBD"/>
    <w:rsid w:val="5E17F85A"/>
    <w:rsid w:val="5E1B4942"/>
    <w:rsid w:val="5E1DC5EE"/>
    <w:rsid w:val="5E219BCA"/>
    <w:rsid w:val="5E222D9A"/>
    <w:rsid w:val="5E230233"/>
    <w:rsid w:val="5E2331B2"/>
    <w:rsid w:val="5E233EF6"/>
    <w:rsid w:val="5E27DBD5"/>
    <w:rsid w:val="5E2CBFFF"/>
    <w:rsid w:val="5E303C38"/>
    <w:rsid w:val="5E32A6FE"/>
    <w:rsid w:val="5E35AC5E"/>
    <w:rsid w:val="5E399658"/>
    <w:rsid w:val="5E3F2CDE"/>
    <w:rsid w:val="5E46DE58"/>
    <w:rsid w:val="5E4794FD"/>
    <w:rsid w:val="5E49E7E9"/>
    <w:rsid w:val="5E4CB5A4"/>
    <w:rsid w:val="5E4E48F7"/>
    <w:rsid w:val="5E5295AA"/>
    <w:rsid w:val="5E585805"/>
    <w:rsid w:val="5E5AA286"/>
    <w:rsid w:val="5E5D0251"/>
    <w:rsid w:val="5E5E10EB"/>
    <w:rsid w:val="5E63B06C"/>
    <w:rsid w:val="5E657516"/>
    <w:rsid w:val="5E6A7AF6"/>
    <w:rsid w:val="5E6DA74E"/>
    <w:rsid w:val="5E72F784"/>
    <w:rsid w:val="5E7510BD"/>
    <w:rsid w:val="5E7635F9"/>
    <w:rsid w:val="5E79879F"/>
    <w:rsid w:val="5E79A918"/>
    <w:rsid w:val="5E79B348"/>
    <w:rsid w:val="5E83F30E"/>
    <w:rsid w:val="5E83F6CB"/>
    <w:rsid w:val="5E846195"/>
    <w:rsid w:val="5E84C7B3"/>
    <w:rsid w:val="5E87024C"/>
    <w:rsid w:val="5E89B032"/>
    <w:rsid w:val="5E8DDBAB"/>
    <w:rsid w:val="5E9ADBB5"/>
    <w:rsid w:val="5EA7D9B0"/>
    <w:rsid w:val="5EABE496"/>
    <w:rsid w:val="5EB446EF"/>
    <w:rsid w:val="5EBAFD15"/>
    <w:rsid w:val="5EBCE82E"/>
    <w:rsid w:val="5EC37B93"/>
    <w:rsid w:val="5EC734C7"/>
    <w:rsid w:val="5EC8455E"/>
    <w:rsid w:val="5EC85A33"/>
    <w:rsid w:val="5EC9ED43"/>
    <w:rsid w:val="5ECFBEB5"/>
    <w:rsid w:val="5ED08D17"/>
    <w:rsid w:val="5ED619E8"/>
    <w:rsid w:val="5ED65C10"/>
    <w:rsid w:val="5ED9FCA2"/>
    <w:rsid w:val="5EDB2154"/>
    <w:rsid w:val="5EDF84D4"/>
    <w:rsid w:val="5EE1D645"/>
    <w:rsid w:val="5EE3016B"/>
    <w:rsid w:val="5EEA7E72"/>
    <w:rsid w:val="5EF205D2"/>
    <w:rsid w:val="5EF35D76"/>
    <w:rsid w:val="5EF3F84D"/>
    <w:rsid w:val="5EF89BC4"/>
    <w:rsid w:val="5EF9C97C"/>
    <w:rsid w:val="5EFB0E85"/>
    <w:rsid w:val="5EFB76AE"/>
    <w:rsid w:val="5F02E9E4"/>
    <w:rsid w:val="5F055E6A"/>
    <w:rsid w:val="5F08EB47"/>
    <w:rsid w:val="5F0CBA14"/>
    <w:rsid w:val="5F0DCF97"/>
    <w:rsid w:val="5F0ED7D5"/>
    <w:rsid w:val="5F0EF3BE"/>
    <w:rsid w:val="5F1006BE"/>
    <w:rsid w:val="5F10AAD5"/>
    <w:rsid w:val="5F1408E3"/>
    <w:rsid w:val="5F17022B"/>
    <w:rsid w:val="5F17ED3E"/>
    <w:rsid w:val="5F18D8EB"/>
    <w:rsid w:val="5F1B6705"/>
    <w:rsid w:val="5F1D3546"/>
    <w:rsid w:val="5F203168"/>
    <w:rsid w:val="5F203458"/>
    <w:rsid w:val="5F20391A"/>
    <w:rsid w:val="5F227E19"/>
    <w:rsid w:val="5F2ADA11"/>
    <w:rsid w:val="5F2D3FB0"/>
    <w:rsid w:val="5F2D7DD5"/>
    <w:rsid w:val="5F2E038C"/>
    <w:rsid w:val="5F2FEC51"/>
    <w:rsid w:val="5F3312D8"/>
    <w:rsid w:val="5F37732A"/>
    <w:rsid w:val="5F424D17"/>
    <w:rsid w:val="5F512634"/>
    <w:rsid w:val="5F535821"/>
    <w:rsid w:val="5F574A8E"/>
    <w:rsid w:val="5F62779B"/>
    <w:rsid w:val="5F655149"/>
    <w:rsid w:val="5F7307B7"/>
    <w:rsid w:val="5F759B24"/>
    <w:rsid w:val="5F7D03F0"/>
    <w:rsid w:val="5F7D9D44"/>
    <w:rsid w:val="5F7E1A12"/>
    <w:rsid w:val="5F827180"/>
    <w:rsid w:val="5F827312"/>
    <w:rsid w:val="5F8BCAB3"/>
    <w:rsid w:val="5F961115"/>
    <w:rsid w:val="5F9C809B"/>
    <w:rsid w:val="5F9CF6B1"/>
    <w:rsid w:val="5FA33C50"/>
    <w:rsid w:val="5FA6CF9A"/>
    <w:rsid w:val="5FAAD1C1"/>
    <w:rsid w:val="5FABD050"/>
    <w:rsid w:val="5FAC17E9"/>
    <w:rsid w:val="5FB243F6"/>
    <w:rsid w:val="5FB43019"/>
    <w:rsid w:val="5FB6EB68"/>
    <w:rsid w:val="5FB7815E"/>
    <w:rsid w:val="5FB7DDA6"/>
    <w:rsid w:val="5FBA37DF"/>
    <w:rsid w:val="5FBC14EC"/>
    <w:rsid w:val="5FC469D5"/>
    <w:rsid w:val="5FC4B4EA"/>
    <w:rsid w:val="5FC9D94B"/>
    <w:rsid w:val="5FCE0297"/>
    <w:rsid w:val="5FCE9228"/>
    <w:rsid w:val="5FD09E40"/>
    <w:rsid w:val="5FD72D62"/>
    <w:rsid w:val="5FD87BFA"/>
    <w:rsid w:val="5FDA9B3A"/>
    <w:rsid w:val="5FDC4B34"/>
    <w:rsid w:val="5FDD7388"/>
    <w:rsid w:val="5FE82C0F"/>
    <w:rsid w:val="5FE9BD12"/>
    <w:rsid w:val="5FED3663"/>
    <w:rsid w:val="5FEEFD88"/>
    <w:rsid w:val="5FF56E73"/>
    <w:rsid w:val="5FF75F35"/>
    <w:rsid w:val="5FFEC7EC"/>
    <w:rsid w:val="5FFFDBFB"/>
    <w:rsid w:val="60022AD4"/>
    <w:rsid w:val="6002496E"/>
    <w:rsid w:val="6002A814"/>
    <w:rsid w:val="60075FC0"/>
    <w:rsid w:val="600833EA"/>
    <w:rsid w:val="6008AE61"/>
    <w:rsid w:val="6010EDA1"/>
    <w:rsid w:val="6013FD5C"/>
    <w:rsid w:val="60167F13"/>
    <w:rsid w:val="601745E9"/>
    <w:rsid w:val="601BE5A2"/>
    <w:rsid w:val="601D622B"/>
    <w:rsid w:val="601EB2F9"/>
    <w:rsid w:val="601EC889"/>
    <w:rsid w:val="602AC3DF"/>
    <w:rsid w:val="603049F7"/>
    <w:rsid w:val="603789AF"/>
    <w:rsid w:val="6037A3A1"/>
    <w:rsid w:val="6037E188"/>
    <w:rsid w:val="6039D387"/>
    <w:rsid w:val="603B2A53"/>
    <w:rsid w:val="603D5ACF"/>
    <w:rsid w:val="603E1FD3"/>
    <w:rsid w:val="603E4EFD"/>
    <w:rsid w:val="603EE12A"/>
    <w:rsid w:val="60437C24"/>
    <w:rsid w:val="6044CFC4"/>
    <w:rsid w:val="60496D7A"/>
    <w:rsid w:val="605688E8"/>
    <w:rsid w:val="6058B523"/>
    <w:rsid w:val="605B11E1"/>
    <w:rsid w:val="605E4C82"/>
    <w:rsid w:val="60601DEB"/>
    <w:rsid w:val="60610B50"/>
    <w:rsid w:val="60624803"/>
    <w:rsid w:val="606C7940"/>
    <w:rsid w:val="606D6487"/>
    <w:rsid w:val="606DBB03"/>
    <w:rsid w:val="6073FFAF"/>
    <w:rsid w:val="607AC215"/>
    <w:rsid w:val="607B0B87"/>
    <w:rsid w:val="607E93B9"/>
    <w:rsid w:val="60951A40"/>
    <w:rsid w:val="6098F698"/>
    <w:rsid w:val="609D974D"/>
    <w:rsid w:val="609EBE3E"/>
    <w:rsid w:val="609FD8F2"/>
    <w:rsid w:val="60A10457"/>
    <w:rsid w:val="60A11998"/>
    <w:rsid w:val="60A502B6"/>
    <w:rsid w:val="60B38DA0"/>
    <w:rsid w:val="60B613D0"/>
    <w:rsid w:val="60B767AE"/>
    <w:rsid w:val="60BB408D"/>
    <w:rsid w:val="60BD1844"/>
    <w:rsid w:val="60C36A6A"/>
    <w:rsid w:val="60C44248"/>
    <w:rsid w:val="60C5DE1D"/>
    <w:rsid w:val="60CB39A0"/>
    <w:rsid w:val="60D8FAD8"/>
    <w:rsid w:val="60DD70BB"/>
    <w:rsid w:val="60DD739D"/>
    <w:rsid w:val="60DE688C"/>
    <w:rsid w:val="60DFFF22"/>
    <w:rsid w:val="60E2CE27"/>
    <w:rsid w:val="60E4D6CC"/>
    <w:rsid w:val="60E6F749"/>
    <w:rsid w:val="60ECE153"/>
    <w:rsid w:val="60F0330B"/>
    <w:rsid w:val="60F9607C"/>
    <w:rsid w:val="60FB3350"/>
    <w:rsid w:val="60FD5871"/>
    <w:rsid w:val="60FE27D9"/>
    <w:rsid w:val="60FE2FA1"/>
    <w:rsid w:val="60FEA2F2"/>
    <w:rsid w:val="6101C53C"/>
    <w:rsid w:val="610D0219"/>
    <w:rsid w:val="610ED075"/>
    <w:rsid w:val="611190AB"/>
    <w:rsid w:val="61129A71"/>
    <w:rsid w:val="6114B010"/>
    <w:rsid w:val="611CB0F8"/>
    <w:rsid w:val="61254832"/>
    <w:rsid w:val="612684FA"/>
    <w:rsid w:val="612DB9B2"/>
    <w:rsid w:val="61318E5D"/>
    <w:rsid w:val="61335890"/>
    <w:rsid w:val="6133944F"/>
    <w:rsid w:val="61387982"/>
    <w:rsid w:val="614149F6"/>
    <w:rsid w:val="61449B9B"/>
    <w:rsid w:val="6145F559"/>
    <w:rsid w:val="614C08D1"/>
    <w:rsid w:val="6154412B"/>
    <w:rsid w:val="6156A60B"/>
    <w:rsid w:val="61574CD7"/>
    <w:rsid w:val="615E3E27"/>
    <w:rsid w:val="6166B7A2"/>
    <w:rsid w:val="6166D3FA"/>
    <w:rsid w:val="6167646C"/>
    <w:rsid w:val="6168BAB1"/>
    <w:rsid w:val="616C522E"/>
    <w:rsid w:val="616E2607"/>
    <w:rsid w:val="616F6B93"/>
    <w:rsid w:val="61737293"/>
    <w:rsid w:val="61765866"/>
    <w:rsid w:val="61787067"/>
    <w:rsid w:val="6179A96F"/>
    <w:rsid w:val="6179C002"/>
    <w:rsid w:val="617CD495"/>
    <w:rsid w:val="61844CFD"/>
    <w:rsid w:val="6188360B"/>
    <w:rsid w:val="618F458C"/>
    <w:rsid w:val="6190F331"/>
    <w:rsid w:val="6192F34A"/>
    <w:rsid w:val="61934158"/>
    <w:rsid w:val="6197861E"/>
    <w:rsid w:val="6199D8B3"/>
    <w:rsid w:val="619D6C13"/>
    <w:rsid w:val="61A0E844"/>
    <w:rsid w:val="61A5948E"/>
    <w:rsid w:val="61A8E493"/>
    <w:rsid w:val="61AB7887"/>
    <w:rsid w:val="61AE9EB9"/>
    <w:rsid w:val="61AF5F65"/>
    <w:rsid w:val="61B5996C"/>
    <w:rsid w:val="61BF86ED"/>
    <w:rsid w:val="61C463D2"/>
    <w:rsid w:val="61C67B37"/>
    <w:rsid w:val="61C6A1F9"/>
    <w:rsid w:val="61C9DEBC"/>
    <w:rsid w:val="61CA533E"/>
    <w:rsid w:val="61CEA512"/>
    <w:rsid w:val="61D3560C"/>
    <w:rsid w:val="61DAFA20"/>
    <w:rsid w:val="61DC5948"/>
    <w:rsid w:val="61DDE4A0"/>
    <w:rsid w:val="61E1A0AD"/>
    <w:rsid w:val="61E70FD6"/>
    <w:rsid w:val="61F88BF7"/>
    <w:rsid w:val="61FC8E72"/>
    <w:rsid w:val="6209F4FD"/>
    <w:rsid w:val="620BE674"/>
    <w:rsid w:val="620C6AD6"/>
    <w:rsid w:val="620E5E03"/>
    <w:rsid w:val="6210590D"/>
    <w:rsid w:val="621464D5"/>
    <w:rsid w:val="6221FEDF"/>
    <w:rsid w:val="6225E4C3"/>
    <w:rsid w:val="6227B20A"/>
    <w:rsid w:val="62288DE4"/>
    <w:rsid w:val="62336B58"/>
    <w:rsid w:val="6234DEBB"/>
    <w:rsid w:val="6236DBED"/>
    <w:rsid w:val="6239AAC3"/>
    <w:rsid w:val="623B826F"/>
    <w:rsid w:val="623CF539"/>
    <w:rsid w:val="62407EF4"/>
    <w:rsid w:val="6242281A"/>
    <w:rsid w:val="6242BA73"/>
    <w:rsid w:val="62471232"/>
    <w:rsid w:val="624A519D"/>
    <w:rsid w:val="624ABC4F"/>
    <w:rsid w:val="624EC9CA"/>
    <w:rsid w:val="624FA101"/>
    <w:rsid w:val="62532A01"/>
    <w:rsid w:val="6253B3D7"/>
    <w:rsid w:val="62554D48"/>
    <w:rsid w:val="62567084"/>
    <w:rsid w:val="625CAAA9"/>
    <w:rsid w:val="625E5683"/>
    <w:rsid w:val="6264BD0C"/>
    <w:rsid w:val="62653E17"/>
    <w:rsid w:val="62668FA8"/>
    <w:rsid w:val="6268ABE6"/>
    <w:rsid w:val="62697AAF"/>
    <w:rsid w:val="626C0281"/>
    <w:rsid w:val="626F7A72"/>
    <w:rsid w:val="62707892"/>
    <w:rsid w:val="6271CE93"/>
    <w:rsid w:val="6274A272"/>
    <w:rsid w:val="6275B840"/>
    <w:rsid w:val="62784E46"/>
    <w:rsid w:val="627B12D3"/>
    <w:rsid w:val="62808934"/>
    <w:rsid w:val="6286D348"/>
    <w:rsid w:val="628C0A7B"/>
    <w:rsid w:val="628C8F2D"/>
    <w:rsid w:val="628E1031"/>
    <w:rsid w:val="6292838E"/>
    <w:rsid w:val="62940CD2"/>
    <w:rsid w:val="6296870D"/>
    <w:rsid w:val="6297D468"/>
    <w:rsid w:val="62987308"/>
    <w:rsid w:val="629B8698"/>
    <w:rsid w:val="62A521D5"/>
    <w:rsid w:val="62AB1553"/>
    <w:rsid w:val="62ACD0C6"/>
    <w:rsid w:val="62ADB099"/>
    <w:rsid w:val="62B26FC4"/>
    <w:rsid w:val="62B5170A"/>
    <w:rsid w:val="62B66206"/>
    <w:rsid w:val="62B89717"/>
    <w:rsid w:val="62B9A065"/>
    <w:rsid w:val="62BB4874"/>
    <w:rsid w:val="62BC4666"/>
    <w:rsid w:val="62BF3638"/>
    <w:rsid w:val="62C6F7F4"/>
    <w:rsid w:val="62CFBF27"/>
    <w:rsid w:val="62D4B79D"/>
    <w:rsid w:val="62E14890"/>
    <w:rsid w:val="62E362CC"/>
    <w:rsid w:val="62E3FC23"/>
    <w:rsid w:val="62E5DAA0"/>
    <w:rsid w:val="62E85184"/>
    <w:rsid w:val="62E8A584"/>
    <w:rsid w:val="62EA0EF2"/>
    <w:rsid w:val="62ECFB79"/>
    <w:rsid w:val="62ED7F50"/>
    <w:rsid w:val="62F35325"/>
    <w:rsid w:val="62F41E55"/>
    <w:rsid w:val="62F5B7A0"/>
    <w:rsid w:val="62F6D0C6"/>
    <w:rsid w:val="630582BC"/>
    <w:rsid w:val="630645B3"/>
    <w:rsid w:val="63107084"/>
    <w:rsid w:val="6312C633"/>
    <w:rsid w:val="63133803"/>
    <w:rsid w:val="63154F17"/>
    <w:rsid w:val="631AA6CF"/>
    <w:rsid w:val="63223C48"/>
    <w:rsid w:val="6322E427"/>
    <w:rsid w:val="6325F445"/>
    <w:rsid w:val="6328F077"/>
    <w:rsid w:val="632CF6A2"/>
    <w:rsid w:val="633119C9"/>
    <w:rsid w:val="63351A75"/>
    <w:rsid w:val="6335B677"/>
    <w:rsid w:val="63372CF7"/>
    <w:rsid w:val="6338C375"/>
    <w:rsid w:val="63394285"/>
    <w:rsid w:val="633EF299"/>
    <w:rsid w:val="633F22CC"/>
    <w:rsid w:val="633FEF17"/>
    <w:rsid w:val="634081BD"/>
    <w:rsid w:val="6348490C"/>
    <w:rsid w:val="6348D977"/>
    <w:rsid w:val="634CD484"/>
    <w:rsid w:val="63514341"/>
    <w:rsid w:val="6354E58E"/>
    <w:rsid w:val="6355BBA7"/>
    <w:rsid w:val="6358835C"/>
    <w:rsid w:val="635B6F27"/>
    <w:rsid w:val="63625B07"/>
    <w:rsid w:val="63689CCE"/>
    <w:rsid w:val="636ECD85"/>
    <w:rsid w:val="63717058"/>
    <w:rsid w:val="637C7F67"/>
    <w:rsid w:val="638199C3"/>
    <w:rsid w:val="6381A227"/>
    <w:rsid w:val="6389A5B2"/>
    <w:rsid w:val="638D0576"/>
    <w:rsid w:val="638D4C0F"/>
    <w:rsid w:val="63923BAE"/>
    <w:rsid w:val="6394EDA2"/>
    <w:rsid w:val="639764C6"/>
    <w:rsid w:val="639D1924"/>
    <w:rsid w:val="63A46306"/>
    <w:rsid w:val="63A6C923"/>
    <w:rsid w:val="63AAB4FE"/>
    <w:rsid w:val="63C1BE26"/>
    <w:rsid w:val="63C4E5C7"/>
    <w:rsid w:val="63C67146"/>
    <w:rsid w:val="63C98740"/>
    <w:rsid w:val="63C9963D"/>
    <w:rsid w:val="63CD1F4C"/>
    <w:rsid w:val="63CEE546"/>
    <w:rsid w:val="63D06B17"/>
    <w:rsid w:val="63D093CC"/>
    <w:rsid w:val="63D7DDE6"/>
    <w:rsid w:val="63D8A6B5"/>
    <w:rsid w:val="63DB883B"/>
    <w:rsid w:val="63E01283"/>
    <w:rsid w:val="63E16630"/>
    <w:rsid w:val="63E6D624"/>
    <w:rsid w:val="63EB450F"/>
    <w:rsid w:val="63ECBB5D"/>
    <w:rsid w:val="63ECF251"/>
    <w:rsid w:val="63F816C2"/>
    <w:rsid w:val="63FDCC2E"/>
    <w:rsid w:val="63FDD810"/>
    <w:rsid w:val="6400739F"/>
    <w:rsid w:val="6403946C"/>
    <w:rsid w:val="6404D5FC"/>
    <w:rsid w:val="64076515"/>
    <w:rsid w:val="6408F5E9"/>
    <w:rsid w:val="64099F59"/>
    <w:rsid w:val="640CAF86"/>
    <w:rsid w:val="640EBD69"/>
    <w:rsid w:val="640EE1CA"/>
    <w:rsid w:val="641265D6"/>
    <w:rsid w:val="6413BAE2"/>
    <w:rsid w:val="641B77D9"/>
    <w:rsid w:val="641D5610"/>
    <w:rsid w:val="64212364"/>
    <w:rsid w:val="6428DD93"/>
    <w:rsid w:val="642DB4C2"/>
    <w:rsid w:val="642E8849"/>
    <w:rsid w:val="6443CE29"/>
    <w:rsid w:val="64477510"/>
    <w:rsid w:val="644F2732"/>
    <w:rsid w:val="6451680F"/>
    <w:rsid w:val="64541D3E"/>
    <w:rsid w:val="64548329"/>
    <w:rsid w:val="64586088"/>
    <w:rsid w:val="645A9383"/>
    <w:rsid w:val="645C0911"/>
    <w:rsid w:val="645CB8FC"/>
    <w:rsid w:val="6461D123"/>
    <w:rsid w:val="6466BE47"/>
    <w:rsid w:val="646B86ED"/>
    <w:rsid w:val="646FC3A8"/>
    <w:rsid w:val="64706946"/>
    <w:rsid w:val="647580DF"/>
    <w:rsid w:val="6478F6DB"/>
    <w:rsid w:val="647A7722"/>
    <w:rsid w:val="647C2CC1"/>
    <w:rsid w:val="6486CEC2"/>
    <w:rsid w:val="648C7928"/>
    <w:rsid w:val="648FD332"/>
    <w:rsid w:val="6490BD1F"/>
    <w:rsid w:val="64935024"/>
    <w:rsid w:val="649B715E"/>
    <w:rsid w:val="649BDCBC"/>
    <w:rsid w:val="649D4737"/>
    <w:rsid w:val="64A001BB"/>
    <w:rsid w:val="64A218EC"/>
    <w:rsid w:val="64A2742A"/>
    <w:rsid w:val="64A28194"/>
    <w:rsid w:val="64A649E5"/>
    <w:rsid w:val="64B1EE2D"/>
    <w:rsid w:val="64B7D799"/>
    <w:rsid w:val="64BBD60D"/>
    <w:rsid w:val="64C29411"/>
    <w:rsid w:val="64C31F36"/>
    <w:rsid w:val="64C36652"/>
    <w:rsid w:val="64C816E2"/>
    <w:rsid w:val="64CD5B41"/>
    <w:rsid w:val="64CEAD66"/>
    <w:rsid w:val="64CF426A"/>
    <w:rsid w:val="64D6232D"/>
    <w:rsid w:val="64DAFFA4"/>
    <w:rsid w:val="64DF9669"/>
    <w:rsid w:val="64E00689"/>
    <w:rsid w:val="64E2BA5A"/>
    <w:rsid w:val="64E6DF19"/>
    <w:rsid w:val="64E89FC2"/>
    <w:rsid w:val="64EB513A"/>
    <w:rsid w:val="64EFB0C7"/>
    <w:rsid w:val="64FD20F9"/>
    <w:rsid w:val="65096672"/>
    <w:rsid w:val="650B55EC"/>
    <w:rsid w:val="650C2CC7"/>
    <w:rsid w:val="650CD6A5"/>
    <w:rsid w:val="650DC490"/>
    <w:rsid w:val="650F3AA7"/>
    <w:rsid w:val="651A38B0"/>
    <w:rsid w:val="651F834F"/>
    <w:rsid w:val="65243681"/>
    <w:rsid w:val="652D9AB2"/>
    <w:rsid w:val="653C4B29"/>
    <w:rsid w:val="653CB418"/>
    <w:rsid w:val="6547BD99"/>
    <w:rsid w:val="654F739D"/>
    <w:rsid w:val="65505F42"/>
    <w:rsid w:val="655175E3"/>
    <w:rsid w:val="65541E3A"/>
    <w:rsid w:val="6556223D"/>
    <w:rsid w:val="655CF3E9"/>
    <w:rsid w:val="655F22AD"/>
    <w:rsid w:val="65612BE1"/>
    <w:rsid w:val="6561984C"/>
    <w:rsid w:val="65627101"/>
    <w:rsid w:val="6564ACA7"/>
    <w:rsid w:val="656B823A"/>
    <w:rsid w:val="657093CF"/>
    <w:rsid w:val="6571562C"/>
    <w:rsid w:val="657721B5"/>
    <w:rsid w:val="6579BECB"/>
    <w:rsid w:val="657A3287"/>
    <w:rsid w:val="657E0979"/>
    <w:rsid w:val="65801162"/>
    <w:rsid w:val="65820DB7"/>
    <w:rsid w:val="6582D6FC"/>
    <w:rsid w:val="65850D1B"/>
    <w:rsid w:val="65850E49"/>
    <w:rsid w:val="658CA655"/>
    <w:rsid w:val="658D7CEF"/>
    <w:rsid w:val="658E0DE1"/>
    <w:rsid w:val="658E954E"/>
    <w:rsid w:val="6592064C"/>
    <w:rsid w:val="659480E8"/>
    <w:rsid w:val="65996B57"/>
    <w:rsid w:val="659D254B"/>
    <w:rsid w:val="65A485EE"/>
    <w:rsid w:val="65A86ED8"/>
    <w:rsid w:val="65AA5F6F"/>
    <w:rsid w:val="65B01589"/>
    <w:rsid w:val="65B426A4"/>
    <w:rsid w:val="65B888EC"/>
    <w:rsid w:val="65BD56D2"/>
    <w:rsid w:val="65BDA7A5"/>
    <w:rsid w:val="65BF8BC7"/>
    <w:rsid w:val="65C459AC"/>
    <w:rsid w:val="65CF32F7"/>
    <w:rsid w:val="65D08436"/>
    <w:rsid w:val="65DD3A8F"/>
    <w:rsid w:val="65E0C521"/>
    <w:rsid w:val="65E34EA4"/>
    <w:rsid w:val="65E775BC"/>
    <w:rsid w:val="65E9A1A5"/>
    <w:rsid w:val="65E9DC6E"/>
    <w:rsid w:val="65E9E9E9"/>
    <w:rsid w:val="65EA6ED6"/>
    <w:rsid w:val="65EB4E99"/>
    <w:rsid w:val="65ED4DB0"/>
    <w:rsid w:val="65F56EB8"/>
    <w:rsid w:val="65FB3072"/>
    <w:rsid w:val="65FE19B3"/>
    <w:rsid w:val="65FF9B67"/>
    <w:rsid w:val="66002153"/>
    <w:rsid w:val="66020F3D"/>
    <w:rsid w:val="660858F7"/>
    <w:rsid w:val="660C5A21"/>
    <w:rsid w:val="660C6C3A"/>
    <w:rsid w:val="661141B6"/>
    <w:rsid w:val="6611D390"/>
    <w:rsid w:val="6615DBE0"/>
    <w:rsid w:val="6617D7C2"/>
    <w:rsid w:val="66215CF4"/>
    <w:rsid w:val="6626E8F7"/>
    <w:rsid w:val="6627C050"/>
    <w:rsid w:val="662DD365"/>
    <w:rsid w:val="6633D562"/>
    <w:rsid w:val="663B776E"/>
    <w:rsid w:val="663CF327"/>
    <w:rsid w:val="663D7EF7"/>
    <w:rsid w:val="663E2C5E"/>
    <w:rsid w:val="6641EDD8"/>
    <w:rsid w:val="664824BC"/>
    <w:rsid w:val="6656176C"/>
    <w:rsid w:val="6656A96E"/>
    <w:rsid w:val="665BE7F9"/>
    <w:rsid w:val="665D0B75"/>
    <w:rsid w:val="665E5FFF"/>
    <w:rsid w:val="6660B582"/>
    <w:rsid w:val="6660F2A5"/>
    <w:rsid w:val="6667F046"/>
    <w:rsid w:val="66682ABA"/>
    <w:rsid w:val="66693E9D"/>
    <w:rsid w:val="666BA440"/>
    <w:rsid w:val="666E5F64"/>
    <w:rsid w:val="667BD96B"/>
    <w:rsid w:val="667C7FD7"/>
    <w:rsid w:val="667CA0F8"/>
    <w:rsid w:val="66822080"/>
    <w:rsid w:val="6683F9C9"/>
    <w:rsid w:val="66848BE9"/>
    <w:rsid w:val="66866AFE"/>
    <w:rsid w:val="6686C77D"/>
    <w:rsid w:val="6687C5B6"/>
    <w:rsid w:val="66895F23"/>
    <w:rsid w:val="668C2821"/>
    <w:rsid w:val="668CE40B"/>
    <w:rsid w:val="669B9623"/>
    <w:rsid w:val="669C00E8"/>
    <w:rsid w:val="66A024F2"/>
    <w:rsid w:val="66A24DA0"/>
    <w:rsid w:val="66A47384"/>
    <w:rsid w:val="66A7402F"/>
    <w:rsid w:val="66A7EA07"/>
    <w:rsid w:val="66ADA462"/>
    <w:rsid w:val="66AECA60"/>
    <w:rsid w:val="66B52ECA"/>
    <w:rsid w:val="66B802E3"/>
    <w:rsid w:val="66BA7551"/>
    <w:rsid w:val="66BBD74D"/>
    <w:rsid w:val="66C39784"/>
    <w:rsid w:val="66D0E11B"/>
    <w:rsid w:val="66D228FE"/>
    <w:rsid w:val="66D2448D"/>
    <w:rsid w:val="66D3C47C"/>
    <w:rsid w:val="66D8DE23"/>
    <w:rsid w:val="66DA8DBD"/>
    <w:rsid w:val="66DC4DC0"/>
    <w:rsid w:val="66E2DA1B"/>
    <w:rsid w:val="66E4DBA0"/>
    <w:rsid w:val="66E68FEE"/>
    <w:rsid w:val="66E94B80"/>
    <w:rsid w:val="66EAE46A"/>
    <w:rsid w:val="66F476DE"/>
    <w:rsid w:val="66F68AEF"/>
    <w:rsid w:val="66F813CA"/>
    <w:rsid w:val="66F81469"/>
    <w:rsid w:val="66FC1175"/>
    <w:rsid w:val="66FF490A"/>
    <w:rsid w:val="67009608"/>
    <w:rsid w:val="67009932"/>
    <w:rsid w:val="6701867A"/>
    <w:rsid w:val="6702FDAF"/>
    <w:rsid w:val="67088452"/>
    <w:rsid w:val="670EA16A"/>
    <w:rsid w:val="6715443C"/>
    <w:rsid w:val="671619E4"/>
    <w:rsid w:val="671945DF"/>
    <w:rsid w:val="671EA5F9"/>
    <w:rsid w:val="67241FA7"/>
    <w:rsid w:val="6724DA26"/>
    <w:rsid w:val="6724FD68"/>
    <w:rsid w:val="6726010A"/>
    <w:rsid w:val="67269033"/>
    <w:rsid w:val="6727B1C7"/>
    <w:rsid w:val="6729EE87"/>
    <w:rsid w:val="673B3AE9"/>
    <w:rsid w:val="673B3E33"/>
    <w:rsid w:val="673CD24F"/>
    <w:rsid w:val="673D7953"/>
    <w:rsid w:val="67473727"/>
    <w:rsid w:val="674BEF5F"/>
    <w:rsid w:val="674EC094"/>
    <w:rsid w:val="674FB285"/>
    <w:rsid w:val="67546ACA"/>
    <w:rsid w:val="675D9D44"/>
    <w:rsid w:val="6761BEE7"/>
    <w:rsid w:val="67632835"/>
    <w:rsid w:val="676334F5"/>
    <w:rsid w:val="676B190C"/>
    <w:rsid w:val="676D4C49"/>
    <w:rsid w:val="6770C127"/>
    <w:rsid w:val="67779ACD"/>
    <w:rsid w:val="677D8A5F"/>
    <w:rsid w:val="677EF5C4"/>
    <w:rsid w:val="6782C00E"/>
    <w:rsid w:val="6784F7EA"/>
    <w:rsid w:val="6786EAE3"/>
    <w:rsid w:val="67882DC6"/>
    <w:rsid w:val="678A30DE"/>
    <w:rsid w:val="678EF7E6"/>
    <w:rsid w:val="67910BDA"/>
    <w:rsid w:val="679564B6"/>
    <w:rsid w:val="679AC6A1"/>
    <w:rsid w:val="679C1A26"/>
    <w:rsid w:val="679CE211"/>
    <w:rsid w:val="67A3F881"/>
    <w:rsid w:val="67A4EC01"/>
    <w:rsid w:val="67A923F2"/>
    <w:rsid w:val="67A96FB5"/>
    <w:rsid w:val="67AC2AAC"/>
    <w:rsid w:val="67AC4397"/>
    <w:rsid w:val="67AD0123"/>
    <w:rsid w:val="67AE8DEC"/>
    <w:rsid w:val="67AF5084"/>
    <w:rsid w:val="67AF6506"/>
    <w:rsid w:val="67B5BF11"/>
    <w:rsid w:val="67B866A9"/>
    <w:rsid w:val="67B8CE52"/>
    <w:rsid w:val="67B96C4D"/>
    <w:rsid w:val="67C76A60"/>
    <w:rsid w:val="67CDF9A6"/>
    <w:rsid w:val="67D01D34"/>
    <w:rsid w:val="67E42976"/>
    <w:rsid w:val="67E465A9"/>
    <w:rsid w:val="67E93FA5"/>
    <w:rsid w:val="67EA5B20"/>
    <w:rsid w:val="67F244B8"/>
    <w:rsid w:val="67F45B39"/>
    <w:rsid w:val="67F5E907"/>
    <w:rsid w:val="67F6A06A"/>
    <w:rsid w:val="67F936D2"/>
    <w:rsid w:val="67FA722D"/>
    <w:rsid w:val="68111A99"/>
    <w:rsid w:val="681F2233"/>
    <w:rsid w:val="681FF0CF"/>
    <w:rsid w:val="68205392"/>
    <w:rsid w:val="682A5D02"/>
    <w:rsid w:val="682EA487"/>
    <w:rsid w:val="68324103"/>
    <w:rsid w:val="68347157"/>
    <w:rsid w:val="6837E5FC"/>
    <w:rsid w:val="68382C4A"/>
    <w:rsid w:val="683DC4E3"/>
    <w:rsid w:val="6841CE55"/>
    <w:rsid w:val="68420B05"/>
    <w:rsid w:val="68428077"/>
    <w:rsid w:val="6847B037"/>
    <w:rsid w:val="6849AD66"/>
    <w:rsid w:val="684AD1CC"/>
    <w:rsid w:val="684F2814"/>
    <w:rsid w:val="684F6755"/>
    <w:rsid w:val="6857898D"/>
    <w:rsid w:val="685B1DF4"/>
    <w:rsid w:val="68601DEC"/>
    <w:rsid w:val="68610BF1"/>
    <w:rsid w:val="686A83D1"/>
    <w:rsid w:val="686E1B89"/>
    <w:rsid w:val="686EE329"/>
    <w:rsid w:val="686F3374"/>
    <w:rsid w:val="687585C1"/>
    <w:rsid w:val="68791CF5"/>
    <w:rsid w:val="687AB4E3"/>
    <w:rsid w:val="687B2582"/>
    <w:rsid w:val="687F52C0"/>
    <w:rsid w:val="688000A8"/>
    <w:rsid w:val="68871E4D"/>
    <w:rsid w:val="68881F78"/>
    <w:rsid w:val="688AA0D4"/>
    <w:rsid w:val="688CEDDE"/>
    <w:rsid w:val="688E7338"/>
    <w:rsid w:val="689112BE"/>
    <w:rsid w:val="6893604D"/>
    <w:rsid w:val="68960A92"/>
    <w:rsid w:val="68960F49"/>
    <w:rsid w:val="689A320F"/>
    <w:rsid w:val="689CDFE8"/>
    <w:rsid w:val="689DADED"/>
    <w:rsid w:val="689EAB83"/>
    <w:rsid w:val="689EB52C"/>
    <w:rsid w:val="689FAA28"/>
    <w:rsid w:val="68A681C1"/>
    <w:rsid w:val="68AD4E0F"/>
    <w:rsid w:val="68B0A097"/>
    <w:rsid w:val="68B3B8A3"/>
    <w:rsid w:val="68B50435"/>
    <w:rsid w:val="68B7538D"/>
    <w:rsid w:val="68BA7CB0"/>
    <w:rsid w:val="68BA82D4"/>
    <w:rsid w:val="68BE7AED"/>
    <w:rsid w:val="68C3CD4B"/>
    <w:rsid w:val="68C4713F"/>
    <w:rsid w:val="68D0D79C"/>
    <w:rsid w:val="68E0FDBC"/>
    <w:rsid w:val="68E62E80"/>
    <w:rsid w:val="68E635C1"/>
    <w:rsid w:val="68E70850"/>
    <w:rsid w:val="68EBF7A6"/>
    <w:rsid w:val="68EC15BC"/>
    <w:rsid w:val="68EEB44A"/>
    <w:rsid w:val="68F04600"/>
    <w:rsid w:val="68F1AD6B"/>
    <w:rsid w:val="68F85574"/>
    <w:rsid w:val="68FE2ED6"/>
    <w:rsid w:val="6916C069"/>
    <w:rsid w:val="6918A69B"/>
    <w:rsid w:val="691C2017"/>
    <w:rsid w:val="691F5AE5"/>
    <w:rsid w:val="691FAF4B"/>
    <w:rsid w:val="692243EC"/>
    <w:rsid w:val="6922E860"/>
    <w:rsid w:val="692528E8"/>
    <w:rsid w:val="6925616D"/>
    <w:rsid w:val="6927AAA4"/>
    <w:rsid w:val="692B9959"/>
    <w:rsid w:val="69317D59"/>
    <w:rsid w:val="693A5AD1"/>
    <w:rsid w:val="693A9E24"/>
    <w:rsid w:val="693FD3C0"/>
    <w:rsid w:val="694BFF75"/>
    <w:rsid w:val="694CD164"/>
    <w:rsid w:val="69507B80"/>
    <w:rsid w:val="695693C3"/>
    <w:rsid w:val="6957AFE8"/>
    <w:rsid w:val="6960E1AF"/>
    <w:rsid w:val="69663027"/>
    <w:rsid w:val="696FBA87"/>
    <w:rsid w:val="6973C7C1"/>
    <w:rsid w:val="69757A38"/>
    <w:rsid w:val="6975D40B"/>
    <w:rsid w:val="697836A5"/>
    <w:rsid w:val="697ADCAC"/>
    <w:rsid w:val="6982B310"/>
    <w:rsid w:val="69845912"/>
    <w:rsid w:val="698708B8"/>
    <w:rsid w:val="6998F758"/>
    <w:rsid w:val="699952CC"/>
    <w:rsid w:val="699F0A4F"/>
    <w:rsid w:val="69A021E4"/>
    <w:rsid w:val="69A68949"/>
    <w:rsid w:val="69B06A5A"/>
    <w:rsid w:val="69B0F7A5"/>
    <w:rsid w:val="69B2CA5E"/>
    <w:rsid w:val="69B62697"/>
    <w:rsid w:val="69BCE2FD"/>
    <w:rsid w:val="69BE1B06"/>
    <w:rsid w:val="69C3FB1F"/>
    <w:rsid w:val="69CAA5F9"/>
    <w:rsid w:val="69D59497"/>
    <w:rsid w:val="69DA0D15"/>
    <w:rsid w:val="69DBB7A4"/>
    <w:rsid w:val="69DCAD8B"/>
    <w:rsid w:val="69DDB7B2"/>
    <w:rsid w:val="69E6C205"/>
    <w:rsid w:val="69E88EA5"/>
    <w:rsid w:val="69EBA900"/>
    <w:rsid w:val="69ECE143"/>
    <w:rsid w:val="69ED608A"/>
    <w:rsid w:val="69EFD1C0"/>
    <w:rsid w:val="69F0109F"/>
    <w:rsid w:val="69F2D568"/>
    <w:rsid w:val="69F6A836"/>
    <w:rsid w:val="69F7154D"/>
    <w:rsid w:val="69F89AF6"/>
    <w:rsid w:val="69FC5454"/>
    <w:rsid w:val="6A05F64C"/>
    <w:rsid w:val="6A06A794"/>
    <w:rsid w:val="6A07DE31"/>
    <w:rsid w:val="6A0C2AE6"/>
    <w:rsid w:val="6A0E4D1B"/>
    <w:rsid w:val="6A156F47"/>
    <w:rsid w:val="6A195445"/>
    <w:rsid w:val="6A1E187F"/>
    <w:rsid w:val="6A1F20D8"/>
    <w:rsid w:val="6A2214D5"/>
    <w:rsid w:val="6A22ED93"/>
    <w:rsid w:val="6A2DB403"/>
    <w:rsid w:val="6A309970"/>
    <w:rsid w:val="6A32AF9F"/>
    <w:rsid w:val="6A3C7935"/>
    <w:rsid w:val="6A3CD335"/>
    <w:rsid w:val="6A3D2112"/>
    <w:rsid w:val="6A3E84CF"/>
    <w:rsid w:val="6A49E02E"/>
    <w:rsid w:val="6A4EF3A3"/>
    <w:rsid w:val="6A518F0A"/>
    <w:rsid w:val="6A52C81E"/>
    <w:rsid w:val="6A57B69A"/>
    <w:rsid w:val="6A5A36A1"/>
    <w:rsid w:val="6A5C7839"/>
    <w:rsid w:val="6A616A55"/>
    <w:rsid w:val="6A682AE4"/>
    <w:rsid w:val="6A6F5FF0"/>
    <w:rsid w:val="6A6F7007"/>
    <w:rsid w:val="6A713344"/>
    <w:rsid w:val="6A71BB79"/>
    <w:rsid w:val="6A723A29"/>
    <w:rsid w:val="6A7C5946"/>
    <w:rsid w:val="6A818033"/>
    <w:rsid w:val="6A829484"/>
    <w:rsid w:val="6A838E72"/>
    <w:rsid w:val="6A88F1BF"/>
    <w:rsid w:val="6A89C2B8"/>
    <w:rsid w:val="6A948027"/>
    <w:rsid w:val="6A96A0D2"/>
    <w:rsid w:val="6A9839BA"/>
    <w:rsid w:val="6A985C6B"/>
    <w:rsid w:val="6A98A1BE"/>
    <w:rsid w:val="6A98AE67"/>
    <w:rsid w:val="6A98E38A"/>
    <w:rsid w:val="6A98EB2C"/>
    <w:rsid w:val="6AA29110"/>
    <w:rsid w:val="6AAE2B0F"/>
    <w:rsid w:val="6AB1EFDD"/>
    <w:rsid w:val="6AB82899"/>
    <w:rsid w:val="6ABB0FB5"/>
    <w:rsid w:val="6ABB6D3B"/>
    <w:rsid w:val="6ABB93B8"/>
    <w:rsid w:val="6AC390E9"/>
    <w:rsid w:val="6AC4B9AF"/>
    <w:rsid w:val="6AC6408F"/>
    <w:rsid w:val="6AC71CC1"/>
    <w:rsid w:val="6AC9403E"/>
    <w:rsid w:val="6ACF56FF"/>
    <w:rsid w:val="6AD0765D"/>
    <w:rsid w:val="6ADCB952"/>
    <w:rsid w:val="6ADEA977"/>
    <w:rsid w:val="6AE2CE38"/>
    <w:rsid w:val="6AE55E13"/>
    <w:rsid w:val="6AED06B5"/>
    <w:rsid w:val="6AEF9A66"/>
    <w:rsid w:val="6AF5438F"/>
    <w:rsid w:val="6AF72850"/>
    <w:rsid w:val="6AFBBEB0"/>
    <w:rsid w:val="6AFFD9D5"/>
    <w:rsid w:val="6B0496FC"/>
    <w:rsid w:val="6B087E72"/>
    <w:rsid w:val="6B08A9CE"/>
    <w:rsid w:val="6B0E6052"/>
    <w:rsid w:val="6B16357F"/>
    <w:rsid w:val="6B17282F"/>
    <w:rsid w:val="6B1D1994"/>
    <w:rsid w:val="6B31FC27"/>
    <w:rsid w:val="6B320A25"/>
    <w:rsid w:val="6B339C8F"/>
    <w:rsid w:val="6B3A29C3"/>
    <w:rsid w:val="6B3D0B86"/>
    <w:rsid w:val="6B3E591E"/>
    <w:rsid w:val="6B3FEAA3"/>
    <w:rsid w:val="6B4125A5"/>
    <w:rsid w:val="6B436AB9"/>
    <w:rsid w:val="6B45C6F1"/>
    <w:rsid w:val="6B4934D7"/>
    <w:rsid w:val="6B4DAD70"/>
    <w:rsid w:val="6B4DBBFB"/>
    <w:rsid w:val="6B5330B7"/>
    <w:rsid w:val="6B5431F8"/>
    <w:rsid w:val="6B54D6E8"/>
    <w:rsid w:val="6B5C7F25"/>
    <w:rsid w:val="6B61324D"/>
    <w:rsid w:val="6B6BA954"/>
    <w:rsid w:val="6B7991FC"/>
    <w:rsid w:val="6B7FE965"/>
    <w:rsid w:val="6B8A88B3"/>
    <w:rsid w:val="6B9015C4"/>
    <w:rsid w:val="6B91DFE8"/>
    <w:rsid w:val="6B921903"/>
    <w:rsid w:val="6B964351"/>
    <w:rsid w:val="6B9A69CF"/>
    <w:rsid w:val="6BA03E2B"/>
    <w:rsid w:val="6BA1A5E1"/>
    <w:rsid w:val="6BA41E58"/>
    <w:rsid w:val="6BA51DB4"/>
    <w:rsid w:val="6BA6CB74"/>
    <w:rsid w:val="6BA81864"/>
    <w:rsid w:val="6BA96C8A"/>
    <w:rsid w:val="6BAEE53E"/>
    <w:rsid w:val="6BB0850C"/>
    <w:rsid w:val="6BB149AF"/>
    <w:rsid w:val="6BBA032C"/>
    <w:rsid w:val="6BBDD592"/>
    <w:rsid w:val="6BBF2EB8"/>
    <w:rsid w:val="6BC16FB3"/>
    <w:rsid w:val="6BC4DE85"/>
    <w:rsid w:val="6BCC1FE1"/>
    <w:rsid w:val="6BCE5FE9"/>
    <w:rsid w:val="6BD04980"/>
    <w:rsid w:val="6BD2B0F6"/>
    <w:rsid w:val="6BD5A15E"/>
    <w:rsid w:val="6BDA89F3"/>
    <w:rsid w:val="6BEA28A9"/>
    <w:rsid w:val="6BEB3884"/>
    <w:rsid w:val="6BED5D80"/>
    <w:rsid w:val="6BF1F24B"/>
    <w:rsid w:val="6BF223FD"/>
    <w:rsid w:val="6BF3834F"/>
    <w:rsid w:val="6BF746E6"/>
    <w:rsid w:val="6BF990D7"/>
    <w:rsid w:val="6BFAD41C"/>
    <w:rsid w:val="6BFF483B"/>
    <w:rsid w:val="6C008359"/>
    <w:rsid w:val="6C00A7DA"/>
    <w:rsid w:val="6C01A707"/>
    <w:rsid w:val="6C046EC3"/>
    <w:rsid w:val="6C093D9F"/>
    <w:rsid w:val="6C0C0E0B"/>
    <w:rsid w:val="6C113D7D"/>
    <w:rsid w:val="6C147049"/>
    <w:rsid w:val="6C148C3C"/>
    <w:rsid w:val="6C15A372"/>
    <w:rsid w:val="6C1636FE"/>
    <w:rsid w:val="6C18C08D"/>
    <w:rsid w:val="6C1A75BC"/>
    <w:rsid w:val="6C1DCD7F"/>
    <w:rsid w:val="6C1F4FA7"/>
    <w:rsid w:val="6C1F661A"/>
    <w:rsid w:val="6C1FF080"/>
    <w:rsid w:val="6C23BAF9"/>
    <w:rsid w:val="6C299032"/>
    <w:rsid w:val="6C2C0983"/>
    <w:rsid w:val="6C32D040"/>
    <w:rsid w:val="6C3706D2"/>
    <w:rsid w:val="6C38312C"/>
    <w:rsid w:val="6C390CF2"/>
    <w:rsid w:val="6C396DD8"/>
    <w:rsid w:val="6C446F2D"/>
    <w:rsid w:val="6C48C977"/>
    <w:rsid w:val="6C48DA3F"/>
    <w:rsid w:val="6C4A1393"/>
    <w:rsid w:val="6C4F264A"/>
    <w:rsid w:val="6C50C330"/>
    <w:rsid w:val="6C50EF56"/>
    <w:rsid w:val="6C5A5F19"/>
    <w:rsid w:val="6C5B1202"/>
    <w:rsid w:val="6C5B4924"/>
    <w:rsid w:val="6C5BABFC"/>
    <w:rsid w:val="6C5E069E"/>
    <w:rsid w:val="6C5F2B6D"/>
    <w:rsid w:val="6C61848E"/>
    <w:rsid w:val="6C629C3B"/>
    <w:rsid w:val="6C67B073"/>
    <w:rsid w:val="6C68E72F"/>
    <w:rsid w:val="6C696E83"/>
    <w:rsid w:val="6C6A5FB7"/>
    <w:rsid w:val="6C6D8D83"/>
    <w:rsid w:val="6C73959F"/>
    <w:rsid w:val="6C79499F"/>
    <w:rsid w:val="6C7A496F"/>
    <w:rsid w:val="6C7CA953"/>
    <w:rsid w:val="6C89D487"/>
    <w:rsid w:val="6C8ED818"/>
    <w:rsid w:val="6C9129AF"/>
    <w:rsid w:val="6C92A3EA"/>
    <w:rsid w:val="6C939BFF"/>
    <w:rsid w:val="6C970D2C"/>
    <w:rsid w:val="6C9AA361"/>
    <w:rsid w:val="6C9D2CFB"/>
    <w:rsid w:val="6C9FAF07"/>
    <w:rsid w:val="6CA1E2C7"/>
    <w:rsid w:val="6CA22A08"/>
    <w:rsid w:val="6CA2F899"/>
    <w:rsid w:val="6CAA4A10"/>
    <w:rsid w:val="6CAB63C8"/>
    <w:rsid w:val="6CADA56A"/>
    <w:rsid w:val="6CB220C6"/>
    <w:rsid w:val="6CB4D620"/>
    <w:rsid w:val="6CB6C10B"/>
    <w:rsid w:val="6CC0F3E4"/>
    <w:rsid w:val="6CC1412F"/>
    <w:rsid w:val="6CC353FF"/>
    <w:rsid w:val="6CCB95B5"/>
    <w:rsid w:val="6CCE79A1"/>
    <w:rsid w:val="6CCEAA24"/>
    <w:rsid w:val="6CD86AA6"/>
    <w:rsid w:val="6CDCEA5F"/>
    <w:rsid w:val="6CDDBCFC"/>
    <w:rsid w:val="6CE3F74A"/>
    <w:rsid w:val="6CE4F4B3"/>
    <w:rsid w:val="6CE505B3"/>
    <w:rsid w:val="6CE722BA"/>
    <w:rsid w:val="6CEE88DF"/>
    <w:rsid w:val="6CEFCFE8"/>
    <w:rsid w:val="6CF2ECA2"/>
    <w:rsid w:val="6CF39050"/>
    <w:rsid w:val="6CF39BBF"/>
    <w:rsid w:val="6CFB9E4F"/>
    <w:rsid w:val="6CFD23FF"/>
    <w:rsid w:val="6CFF342D"/>
    <w:rsid w:val="6D02E5AE"/>
    <w:rsid w:val="6D043A50"/>
    <w:rsid w:val="6D04D3BD"/>
    <w:rsid w:val="6D078BD2"/>
    <w:rsid w:val="6D081694"/>
    <w:rsid w:val="6D09744E"/>
    <w:rsid w:val="6D0994E3"/>
    <w:rsid w:val="6D0B6F6D"/>
    <w:rsid w:val="6D0EEBA6"/>
    <w:rsid w:val="6D19C8D3"/>
    <w:rsid w:val="6D1F3525"/>
    <w:rsid w:val="6D255499"/>
    <w:rsid w:val="6D2F4DC6"/>
    <w:rsid w:val="6D317B0F"/>
    <w:rsid w:val="6D3440CC"/>
    <w:rsid w:val="6D3E9AF3"/>
    <w:rsid w:val="6D445FAC"/>
    <w:rsid w:val="6D48A3D4"/>
    <w:rsid w:val="6D498CD7"/>
    <w:rsid w:val="6D5F6762"/>
    <w:rsid w:val="6D5FD8D5"/>
    <w:rsid w:val="6D66B818"/>
    <w:rsid w:val="6D69747A"/>
    <w:rsid w:val="6D69CADE"/>
    <w:rsid w:val="6D6DAA0E"/>
    <w:rsid w:val="6D6EC100"/>
    <w:rsid w:val="6D7D1090"/>
    <w:rsid w:val="6D7EAADF"/>
    <w:rsid w:val="6D8AF290"/>
    <w:rsid w:val="6D8DE42A"/>
    <w:rsid w:val="6D8E5AFF"/>
    <w:rsid w:val="6D9984AF"/>
    <w:rsid w:val="6D9BC7E0"/>
    <w:rsid w:val="6D9D328A"/>
    <w:rsid w:val="6DA1A167"/>
    <w:rsid w:val="6DA22D55"/>
    <w:rsid w:val="6DA2BB93"/>
    <w:rsid w:val="6DA5014D"/>
    <w:rsid w:val="6DA74BF3"/>
    <w:rsid w:val="6DA9CF3E"/>
    <w:rsid w:val="6DA9DA56"/>
    <w:rsid w:val="6DB34232"/>
    <w:rsid w:val="6DB38B89"/>
    <w:rsid w:val="6DB826B4"/>
    <w:rsid w:val="6DB87F8B"/>
    <w:rsid w:val="6DB8BAB3"/>
    <w:rsid w:val="6DB91D72"/>
    <w:rsid w:val="6DC0B784"/>
    <w:rsid w:val="6DC10C4D"/>
    <w:rsid w:val="6DC314AA"/>
    <w:rsid w:val="6DC4AF9C"/>
    <w:rsid w:val="6DC7A4C9"/>
    <w:rsid w:val="6DC8B0B7"/>
    <w:rsid w:val="6DC91345"/>
    <w:rsid w:val="6DD290F0"/>
    <w:rsid w:val="6DD45179"/>
    <w:rsid w:val="6DD99BC8"/>
    <w:rsid w:val="6DD9C57E"/>
    <w:rsid w:val="6DDDE4C8"/>
    <w:rsid w:val="6DDDF6B3"/>
    <w:rsid w:val="6DE065A3"/>
    <w:rsid w:val="6DE237D9"/>
    <w:rsid w:val="6DE7D167"/>
    <w:rsid w:val="6DE85D1E"/>
    <w:rsid w:val="6DE9004F"/>
    <w:rsid w:val="6DEB97BD"/>
    <w:rsid w:val="6DEC1BA7"/>
    <w:rsid w:val="6DF10FEA"/>
    <w:rsid w:val="6DF1BBAA"/>
    <w:rsid w:val="6DF325E7"/>
    <w:rsid w:val="6DF5C220"/>
    <w:rsid w:val="6DF68BEA"/>
    <w:rsid w:val="6DF6FF73"/>
    <w:rsid w:val="6DFAA0A5"/>
    <w:rsid w:val="6DFADC45"/>
    <w:rsid w:val="6E01E2E4"/>
    <w:rsid w:val="6E06856C"/>
    <w:rsid w:val="6E0BB2D1"/>
    <w:rsid w:val="6E0D5DE5"/>
    <w:rsid w:val="6E0D980F"/>
    <w:rsid w:val="6E1963DF"/>
    <w:rsid w:val="6E199400"/>
    <w:rsid w:val="6E199CD0"/>
    <w:rsid w:val="6E1B38B4"/>
    <w:rsid w:val="6E1E69D8"/>
    <w:rsid w:val="6E1E73C3"/>
    <w:rsid w:val="6E1FE526"/>
    <w:rsid w:val="6E231736"/>
    <w:rsid w:val="6E24F101"/>
    <w:rsid w:val="6E26C212"/>
    <w:rsid w:val="6E2A2B94"/>
    <w:rsid w:val="6E2BF413"/>
    <w:rsid w:val="6E32BA91"/>
    <w:rsid w:val="6E38F3F3"/>
    <w:rsid w:val="6E39E7CF"/>
    <w:rsid w:val="6E3A1564"/>
    <w:rsid w:val="6E3E19C7"/>
    <w:rsid w:val="6E3E2B9D"/>
    <w:rsid w:val="6E3E9AC6"/>
    <w:rsid w:val="6E45E16E"/>
    <w:rsid w:val="6E460937"/>
    <w:rsid w:val="6E462436"/>
    <w:rsid w:val="6E4A65CD"/>
    <w:rsid w:val="6E4F144D"/>
    <w:rsid w:val="6E52724E"/>
    <w:rsid w:val="6E52EB10"/>
    <w:rsid w:val="6E54A274"/>
    <w:rsid w:val="6E566F7B"/>
    <w:rsid w:val="6E570EB4"/>
    <w:rsid w:val="6E5A8C55"/>
    <w:rsid w:val="6E5E3ADD"/>
    <w:rsid w:val="6E6080DA"/>
    <w:rsid w:val="6E60EC60"/>
    <w:rsid w:val="6E67583A"/>
    <w:rsid w:val="6E69DC7D"/>
    <w:rsid w:val="6E71178A"/>
    <w:rsid w:val="6E79DCE2"/>
    <w:rsid w:val="6E7B846C"/>
    <w:rsid w:val="6E7BF80C"/>
    <w:rsid w:val="6E7CC1BA"/>
    <w:rsid w:val="6E7E9CA2"/>
    <w:rsid w:val="6E897C88"/>
    <w:rsid w:val="6E8EBFCB"/>
    <w:rsid w:val="6E97DC08"/>
    <w:rsid w:val="6E98CBE9"/>
    <w:rsid w:val="6E9AD2B1"/>
    <w:rsid w:val="6E9EFA4D"/>
    <w:rsid w:val="6EA1DD90"/>
    <w:rsid w:val="6EA50582"/>
    <w:rsid w:val="6EA63465"/>
    <w:rsid w:val="6EAADF75"/>
    <w:rsid w:val="6EAD76A4"/>
    <w:rsid w:val="6EAF199C"/>
    <w:rsid w:val="6EB24856"/>
    <w:rsid w:val="6EB55571"/>
    <w:rsid w:val="6EB98427"/>
    <w:rsid w:val="6EC16E03"/>
    <w:rsid w:val="6EC1793C"/>
    <w:rsid w:val="6EC2BE2B"/>
    <w:rsid w:val="6EC7BB14"/>
    <w:rsid w:val="6EC7BE0E"/>
    <w:rsid w:val="6EC90ED7"/>
    <w:rsid w:val="6ECB31C0"/>
    <w:rsid w:val="6ED3B138"/>
    <w:rsid w:val="6ED8F72C"/>
    <w:rsid w:val="6EE17093"/>
    <w:rsid w:val="6EEA4245"/>
    <w:rsid w:val="6EEEDE72"/>
    <w:rsid w:val="6EF42BCB"/>
    <w:rsid w:val="6EF6358B"/>
    <w:rsid w:val="6EF64822"/>
    <w:rsid w:val="6EFB160C"/>
    <w:rsid w:val="6F08E2BC"/>
    <w:rsid w:val="6F0D3B00"/>
    <w:rsid w:val="6F0E74C6"/>
    <w:rsid w:val="6F0F1F1C"/>
    <w:rsid w:val="6F110BBA"/>
    <w:rsid w:val="6F112528"/>
    <w:rsid w:val="6F1508F5"/>
    <w:rsid w:val="6F16174B"/>
    <w:rsid w:val="6F165DAF"/>
    <w:rsid w:val="6F1C280E"/>
    <w:rsid w:val="6F1E04AC"/>
    <w:rsid w:val="6F222C75"/>
    <w:rsid w:val="6F295478"/>
    <w:rsid w:val="6F2C8EEE"/>
    <w:rsid w:val="6F3012C1"/>
    <w:rsid w:val="6F308689"/>
    <w:rsid w:val="6F379898"/>
    <w:rsid w:val="6F388013"/>
    <w:rsid w:val="6F3A127A"/>
    <w:rsid w:val="6F498FAE"/>
    <w:rsid w:val="6F4A9213"/>
    <w:rsid w:val="6F50418E"/>
    <w:rsid w:val="6F5AE983"/>
    <w:rsid w:val="6F5E49E5"/>
    <w:rsid w:val="6F5E675B"/>
    <w:rsid w:val="6F652627"/>
    <w:rsid w:val="6F675E75"/>
    <w:rsid w:val="6F6B7107"/>
    <w:rsid w:val="6F6EDF17"/>
    <w:rsid w:val="6F6EFB35"/>
    <w:rsid w:val="6F7883B8"/>
    <w:rsid w:val="6F7B73ED"/>
    <w:rsid w:val="6F7BFAF0"/>
    <w:rsid w:val="6F7CD3FD"/>
    <w:rsid w:val="6F7CF8EA"/>
    <w:rsid w:val="6F7F7995"/>
    <w:rsid w:val="6F857778"/>
    <w:rsid w:val="6F893C12"/>
    <w:rsid w:val="6F89BBC1"/>
    <w:rsid w:val="6F945DE8"/>
    <w:rsid w:val="6F9C31B0"/>
    <w:rsid w:val="6F9C8803"/>
    <w:rsid w:val="6F9CB4DB"/>
    <w:rsid w:val="6F9EDBEE"/>
    <w:rsid w:val="6FA739B4"/>
    <w:rsid w:val="6FABE8C3"/>
    <w:rsid w:val="6FB1C2EE"/>
    <w:rsid w:val="6FB941A3"/>
    <w:rsid w:val="6FBB5D8E"/>
    <w:rsid w:val="6FBD1FBE"/>
    <w:rsid w:val="6FC2EF31"/>
    <w:rsid w:val="6FC3D211"/>
    <w:rsid w:val="6FC54175"/>
    <w:rsid w:val="6FC65F5E"/>
    <w:rsid w:val="6FCE17EC"/>
    <w:rsid w:val="6FDBDB81"/>
    <w:rsid w:val="6FDDD062"/>
    <w:rsid w:val="6FE0527C"/>
    <w:rsid w:val="6FE28539"/>
    <w:rsid w:val="6FE3FD5C"/>
    <w:rsid w:val="6FE48B18"/>
    <w:rsid w:val="6FE4C7BC"/>
    <w:rsid w:val="6FE7E5C9"/>
    <w:rsid w:val="6FEB7314"/>
    <w:rsid w:val="6FEB7768"/>
    <w:rsid w:val="6FF2170F"/>
    <w:rsid w:val="6FF23870"/>
    <w:rsid w:val="6FF27852"/>
    <w:rsid w:val="6FF29971"/>
    <w:rsid w:val="6FF57CE9"/>
    <w:rsid w:val="6FFC3A92"/>
    <w:rsid w:val="6FFCE42A"/>
    <w:rsid w:val="7004C23F"/>
    <w:rsid w:val="70072CE4"/>
    <w:rsid w:val="700DD8AE"/>
    <w:rsid w:val="7010AF31"/>
    <w:rsid w:val="701434A1"/>
    <w:rsid w:val="701938C6"/>
    <w:rsid w:val="701DE095"/>
    <w:rsid w:val="701E84C2"/>
    <w:rsid w:val="70222E12"/>
    <w:rsid w:val="7025C8A3"/>
    <w:rsid w:val="70284FDC"/>
    <w:rsid w:val="702AB1D4"/>
    <w:rsid w:val="702DD7D6"/>
    <w:rsid w:val="702ED9BE"/>
    <w:rsid w:val="7039138D"/>
    <w:rsid w:val="7047B4AC"/>
    <w:rsid w:val="70483021"/>
    <w:rsid w:val="70497B36"/>
    <w:rsid w:val="704CDFE1"/>
    <w:rsid w:val="705797A7"/>
    <w:rsid w:val="70581675"/>
    <w:rsid w:val="705BD057"/>
    <w:rsid w:val="705E4F43"/>
    <w:rsid w:val="705EE6DB"/>
    <w:rsid w:val="705FAFC0"/>
    <w:rsid w:val="7066B289"/>
    <w:rsid w:val="706CC420"/>
    <w:rsid w:val="706FF84E"/>
    <w:rsid w:val="70711706"/>
    <w:rsid w:val="70765733"/>
    <w:rsid w:val="7079B61A"/>
    <w:rsid w:val="7082E719"/>
    <w:rsid w:val="7083DEC4"/>
    <w:rsid w:val="708DAB87"/>
    <w:rsid w:val="708E74C0"/>
    <w:rsid w:val="709DA30B"/>
    <w:rsid w:val="709F8696"/>
    <w:rsid w:val="709FA00E"/>
    <w:rsid w:val="70A77E8B"/>
    <w:rsid w:val="70A9DF44"/>
    <w:rsid w:val="70AECFDD"/>
    <w:rsid w:val="70AF780F"/>
    <w:rsid w:val="70B27D9A"/>
    <w:rsid w:val="70B3E168"/>
    <w:rsid w:val="70BBFD74"/>
    <w:rsid w:val="70BD54E0"/>
    <w:rsid w:val="70BF8D1C"/>
    <w:rsid w:val="70C664E2"/>
    <w:rsid w:val="70CAD1B5"/>
    <w:rsid w:val="70CD03DB"/>
    <w:rsid w:val="70CF854A"/>
    <w:rsid w:val="70D31393"/>
    <w:rsid w:val="70D39DBC"/>
    <w:rsid w:val="70D3D904"/>
    <w:rsid w:val="70D45F46"/>
    <w:rsid w:val="70D7235E"/>
    <w:rsid w:val="70D8F91E"/>
    <w:rsid w:val="70DD356B"/>
    <w:rsid w:val="70DE9EF2"/>
    <w:rsid w:val="70DFB153"/>
    <w:rsid w:val="70EE1BD7"/>
    <w:rsid w:val="70EE2B05"/>
    <w:rsid w:val="70EE415E"/>
    <w:rsid w:val="70F0D9E9"/>
    <w:rsid w:val="70F7E5EB"/>
    <w:rsid w:val="70FC9AF8"/>
    <w:rsid w:val="71022144"/>
    <w:rsid w:val="71032F3F"/>
    <w:rsid w:val="71105EE8"/>
    <w:rsid w:val="7110E5C0"/>
    <w:rsid w:val="71122EC5"/>
    <w:rsid w:val="7112D103"/>
    <w:rsid w:val="71172397"/>
    <w:rsid w:val="711ECB66"/>
    <w:rsid w:val="71205AAE"/>
    <w:rsid w:val="71234FAE"/>
    <w:rsid w:val="7123CE74"/>
    <w:rsid w:val="712EA15B"/>
    <w:rsid w:val="712EFEF2"/>
    <w:rsid w:val="712FC9B9"/>
    <w:rsid w:val="71387DA5"/>
    <w:rsid w:val="713881C3"/>
    <w:rsid w:val="713ACC6D"/>
    <w:rsid w:val="713BC0A2"/>
    <w:rsid w:val="713C4497"/>
    <w:rsid w:val="714087C1"/>
    <w:rsid w:val="714624A5"/>
    <w:rsid w:val="7147BE6F"/>
    <w:rsid w:val="714CA095"/>
    <w:rsid w:val="715273CC"/>
    <w:rsid w:val="71544938"/>
    <w:rsid w:val="7156D2F1"/>
    <w:rsid w:val="715B64C1"/>
    <w:rsid w:val="715B8BA0"/>
    <w:rsid w:val="715BBFB1"/>
    <w:rsid w:val="715DC3CF"/>
    <w:rsid w:val="716035E8"/>
    <w:rsid w:val="71629744"/>
    <w:rsid w:val="71639C3A"/>
    <w:rsid w:val="7164608F"/>
    <w:rsid w:val="71672434"/>
    <w:rsid w:val="716B87A2"/>
    <w:rsid w:val="716EC462"/>
    <w:rsid w:val="7170733F"/>
    <w:rsid w:val="71722EC3"/>
    <w:rsid w:val="717D5183"/>
    <w:rsid w:val="717DC887"/>
    <w:rsid w:val="718002D6"/>
    <w:rsid w:val="71842292"/>
    <w:rsid w:val="7184C26A"/>
    <w:rsid w:val="718547E6"/>
    <w:rsid w:val="718E72E9"/>
    <w:rsid w:val="718F3033"/>
    <w:rsid w:val="71999322"/>
    <w:rsid w:val="719A5811"/>
    <w:rsid w:val="719B9F0E"/>
    <w:rsid w:val="719CADB1"/>
    <w:rsid w:val="71A43718"/>
    <w:rsid w:val="71AE2BA7"/>
    <w:rsid w:val="71AF847E"/>
    <w:rsid w:val="71B281C8"/>
    <w:rsid w:val="71B2DA4F"/>
    <w:rsid w:val="71B61B8B"/>
    <w:rsid w:val="71B73268"/>
    <w:rsid w:val="71BBF452"/>
    <w:rsid w:val="71C44CD5"/>
    <w:rsid w:val="71C468B4"/>
    <w:rsid w:val="71C4A757"/>
    <w:rsid w:val="71C4D14D"/>
    <w:rsid w:val="71D33A31"/>
    <w:rsid w:val="71D46214"/>
    <w:rsid w:val="71D80B99"/>
    <w:rsid w:val="71E5E9AC"/>
    <w:rsid w:val="71F3A28C"/>
    <w:rsid w:val="71F9C0EE"/>
    <w:rsid w:val="71FECC7B"/>
    <w:rsid w:val="72000A33"/>
    <w:rsid w:val="72008540"/>
    <w:rsid w:val="7200B80A"/>
    <w:rsid w:val="7202B909"/>
    <w:rsid w:val="72056EF7"/>
    <w:rsid w:val="720BA123"/>
    <w:rsid w:val="720BD36F"/>
    <w:rsid w:val="720DCB55"/>
    <w:rsid w:val="7214751C"/>
    <w:rsid w:val="721791C6"/>
    <w:rsid w:val="721AE70C"/>
    <w:rsid w:val="721D2135"/>
    <w:rsid w:val="721F0F08"/>
    <w:rsid w:val="72245265"/>
    <w:rsid w:val="72256D52"/>
    <w:rsid w:val="722636EB"/>
    <w:rsid w:val="7226970C"/>
    <w:rsid w:val="7227126E"/>
    <w:rsid w:val="722BB0DE"/>
    <w:rsid w:val="723A059A"/>
    <w:rsid w:val="723E30A8"/>
    <w:rsid w:val="723FCB87"/>
    <w:rsid w:val="7249A5FC"/>
    <w:rsid w:val="724D809E"/>
    <w:rsid w:val="7252E5F9"/>
    <w:rsid w:val="7253ADCB"/>
    <w:rsid w:val="72598A92"/>
    <w:rsid w:val="725BB4FF"/>
    <w:rsid w:val="725BEEE4"/>
    <w:rsid w:val="72636573"/>
    <w:rsid w:val="72650CB6"/>
    <w:rsid w:val="72691566"/>
    <w:rsid w:val="726D53C7"/>
    <w:rsid w:val="726DBE49"/>
    <w:rsid w:val="7272CE76"/>
    <w:rsid w:val="72760A7A"/>
    <w:rsid w:val="727F987D"/>
    <w:rsid w:val="727FD3E6"/>
    <w:rsid w:val="72837627"/>
    <w:rsid w:val="72896B7D"/>
    <w:rsid w:val="7289AC85"/>
    <w:rsid w:val="728A6199"/>
    <w:rsid w:val="728D02EA"/>
    <w:rsid w:val="728DF33A"/>
    <w:rsid w:val="728F5A3E"/>
    <w:rsid w:val="728FDDAB"/>
    <w:rsid w:val="72938131"/>
    <w:rsid w:val="72948958"/>
    <w:rsid w:val="729E3CEA"/>
    <w:rsid w:val="72A06606"/>
    <w:rsid w:val="72A3A20F"/>
    <w:rsid w:val="72A56AE3"/>
    <w:rsid w:val="72AC5F69"/>
    <w:rsid w:val="72AD9EFF"/>
    <w:rsid w:val="72AF578E"/>
    <w:rsid w:val="72B324CB"/>
    <w:rsid w:val="72B5079B"/>
    <w:rsid w:val="72B8D6DD"/>
    <w:rsid w:val="72BB9D44"/>
    <w:rsid w:val="72BCD19B"/>
    <w:rsid w:val="72BD05EC"/>
    <w:rsid w:val="72C189C4"/>
    <w:rsid w:val="72CDFF58"/>
    <w:rsid w:val="72CE0371"/>
    <w:rsid w:val="72CEBC79"/>
    <w:rsid w:val="72CF1E87"/>
    <w:rsid w:val="72CFB6D1"/>
    <w:rsid w:val="72D7766F"/>
    <w:rsid w:val="72D8F1DE"/>
    <w:rsid w:val="72E161A4"/>
    <w:rsid w:val="72E1A6B5"/>
    <w:rsid w:val="72E32C1A"/>
    <w:rsid w:val="72E4EACB"/>
    <w:rsid w:val="72E7300A"/>
    <w:rsid w:val="72E8ABCE"/>
    <w:rsid w:val="72E8E318"/>
    <w:rsid w:val="72EB8EF7"/>
    <w:rsid w:val="72EDE53F"/>
    <w:rsid w:val="72FC15D9"/>
    <w:rsid w:val="7300D21E"/>
    <w:rsid w:val="7304E6F7"/>
    <w:rsid w:val="730EB1A8"/>
    <w:rsid w:val="730F3E87"/>
    <w:rsid w:val="73100C67"/>
    <w:rsid w:val="73120351"/>
    <w:rsid w:val="7313B77A"/>
    <w:rsid w:val="73155442"/>
    <w:rsid w:val="73168B8D"/>
    <w:rsid w:val="731A9A7C"/>
    <w:rsid w:val="731DD29E"/>
    <w:rsid w:val="7322A6B9"/>
    <w:rsid w:val="732E3B77"/>
    <w:rsid w:val="732EA723"/>
    <w:rsid w:val="7338EE76"/>
    <w:rsid w:val="733C709E"/>
    <w:rsid w:val="7342E2E8"/>
    <w:rsid w:val="7343A2E6"/>
    <w:rsid w:val="7343AFE9"/>
    <w:rsid w:val="73479A40"/>
    <w:rsid w:val="734AF01E"/>
    <w:rsid w:val="734D9729"/>
    <w:rsid w:val="73503AE3"/>
    <w:rsid w:val="7356E175"/>
    <w:rsid w:val="735B7522"/>
    <w:rsid w:val="73631FE7"/>
    <w:rsid w:val="7366AFE2"/>
    <w:rsid w:val="73690980"/>
    <w:rsid w:val="73694489"/>
    <w:rsid w:val="7369BCF2"/>
    <w:rsid w:val="736A5C0A"/>
    <w:rsid w:val="736F735F"/>
    <w:rsid w:val="7371FF8E"/>
    <w:rsid w:val="73731404"/>
    <w:rsid w:val="73778748"/>
    <w:rsid w:val="7377AB71"/>
    <w:rsid w:val="7377C74D"/>
    <w:rsid w:val="737BB9DA"/>
    <w:rsid w:val="737E25F8"/>
    <w:rsid w:val="7381B469"/>
    <w:rsid w:val="7381C1E0"/>
    <w:rsid w:val="7381F735"/>
    <w:rsid w:val="7384D67D"/>
    <w:rsid w:val="738B066C"/>
    <w:rsid w:val="73931F21"/>
    <w:rsid w:val="7394B3F3"/>
    <w:rsid w:val="739A91E7"/>
    <w:rsid w:val="739BB38F"/>
    <w:rsid w:val="739C32D9"/>
    <w:rsid w:val="739C7D3C"/>
    <w:rsid w:val="739CA148"/>
    <w:rsid w:val="73A273F7"/>
    <w:rsid w:val="73A2C787"/>
    <w:rsid w:val="73A34EC3"/>
    <w:rsid w:val="73A988FF"/>
    <w:rsid w:val="73AC5701"/>
    <w:rsid w:val="73B6BBB7"/>
    <w:rsid w:val="73B7916E"/>
    <w:rsid w:val="73B80207"/>
    <w:rsid w:val="73B91448"/>
    <w:rsid w:val="73B96776"/>
    <w:rsid w:val="73BBD0B7"/>
    <w:rsid w:val="73C08783"/>
    <w:rsid w:val="73C475FF"/>
    <w:rsid w:val="73C5EC3A"/>
    <w:rsid w:val="73C98D9E"/>
    <w:rsid w:val="73D2924E"/>
    <w:rsid w:val="73D3119A"/>
    <w:rsid w:val="73D9B460"/>
    <w:rsid w:val="73DE0590"/>
    <w:rsid w:val="73E02440"/>
    <w:rsid w:val="73E07AC9"/>
    <w:rsid w:val="73E5C6AC"/>
    <w:rsid w:val="73E7A8DC"/>
    <w:rsid w:val="73E86782"/>
    <w:rsid w:val="73EE0D9D"/>
    <w:rsid w:val="73F177A9"/>
    <w:rsid w:val="73F1E96D"/>
    <w:rsid w:val="73FE4EFF"/>
    <w:rsid w:val="74033EDB"/>
    <w:rsid w:val="7409DD12"/>
    <w:rsid w:val="740AA54B"/>
    <w:rsid w:val="740ADBA4"/>
    <w:rsid w:val="740E2B3C"/>
    <w:rsid w:val="7413CF63"/>
    <w:rsid w:val="7427F9BF"/>
    <w:rsid w:val="742A2C2E"/>
    <w:rsid w:val="742B942D"/>
    <w:rsid w:val="742F7C59"/>
    <w:rsid w:val="7432225F"/>
    <w:rsid w:val="74375584"/>
    <w:rsid w:val="74385411"/>
    <w:rsid w:val="743F3AC5"/>
    <w:rsid w:val="74420D1F"/>
    <w:rsid w:val="744421B4"/>
    <w:rsid w:val="7446ADAB"/>
    <w:rsid w:val="744887A2"/>
    <w:rsid w:val="74499802"/>
    <w:rsid w:val="744BB999"/>
    <w:rsid w:val="744C09D4"/>
    <w:rsid w:val="744D6AFD"/>
    <w:rsid w:val="74592E52"/>
    <w:rsid w:val="745C3D1D"/>
    <w:rsid w:val="745EE8CA"/>
    <w:rsid w:val="745F6280"/>
    <w:rsid w:val="74640561"/>
    <w:rsid w:val="7467E54D"/>
    <w:rsid w:val="746B989B"/>
    <w:rsid w:val="746E2286"/>
    <w:rsid w:val="746F5DDD"/>
    <w:rsid w:val="7473ACC7"/>
    <w:rsid w:val="74771044"/>
    <w:rsid w:val="7485D4FB"/>
    <w:rsid w:val="7489B992"/>
    <w:rsid w:val="748AA0C4"/>
    <w:rsid w:val="748BDAE6"/>
    <w:rsid w:val="7490C7F6"/>
    <w:rsid w:val="7490CBE0"/>
    <w:rsid w:val="74943E3B"/>
    <w:rsid w:val="7495833B"/>
    <w:rsid w:val="7497D2CB"/>
    <w:rsid w:val="74996A8E"/>
    <w:rsid w:val="74A340EA"/>
    <w:rsid w:val="74A4A08D"/>
    <w:rsid w:val="74A513D5"/>
    <w:rsid w:val="74A8E283"/>
    <w:rsid w:val="74A8F4DB"/>
    <w:rsid w:val="74A92E23"/>
    <w:rsid w:val="74AA7F47"/>
    <w:rsid w:val="74ABCF57"/>
    <w:rsid w:val="74AC3241"/>
    <w:rsid w:val="74AF7E94"/>
    <w:rsid w:val="74B0C013"/>
    <w:rsid w:val="74B0CCE9"/>
    <w:rsid w:val="74B31169"/>
    <w:rsid w:val="74B47BD2"/>
    <w:rsid w:val="74B54DE1"/>
    <w:rsid w:val="74B64926"/>
    <w:rsid w:val="74B82929"/>
    <w:rsid w:val="74B98D83"/>
    <w:rsid w:val="74BC4188"/>
    <w:rsid w:val="74C263E9"/>
    <w:rsid w:val="74C26761"/>
    <w:rsid w:val="74C448D5"/>
    <w:rsid w:val="74C83166"/>
    <w:rsid w:val="74CA2B63"/>
    <w:rsid w:val="74CA7455"/>
    <w:rsid w:val="74CAF603"/>
    <w:rsid w:val="74D6736F"/>
    <w:rsid w:val="74D784DB"/>
    <w:rsid w:val="74DF6C2E"/>
    <w:rsid w:val="74E1A84F"/>
    <w:rsid w:val="74E1F319"/>
    <w:rsid w:val="74E2B4C6"/>
    <w:rsid w:val="74E2FBC4"/>
    <w:rsid w:val="74E38AE6"/>
    <w:rsid w:val="74F2AA18"/>
    <w:rsid w:val="74F488F3"/>
    <w:rsid w:val="74F61F3F"/>
    <w:rsid w:val="7501D641"/>
    <w:rsid w:val="7503A7A5"/>
    <w:rsid w:val="7504AA94"/>
    <w:rsid w:val="7505D2F0"/>
    <w:rsid w:val="7506F6F6"/>
    <w:rsid w:val="75098914"/>
    <w:rsid w:val="7509B6D1"/>
    <w:rsid w:val="750F0B26"/>
    <w:rsid w:val="7511D6AF"/>
    <w:rsid w:val="75126921"/>
    <w:rsid w:val="75189ABD"/>
    <w:rsid w:val="751A96C3"/>
    <w:rsid w:val="7521AC9F"/>
    <w:rsid w:val="752272C9"/>
    <w:rsid w:val="752352FE"/>
    <w:rsid w:val="7525AD39"/>
    <w:rsid w:val="752851A4"/>
    <w:rsid w:val="752C2B37"/>
    <w:rsid w:val="752F12FE"/>
    <w:rsid w:val="752F3D78"/>
    <w:rsid w:val="752F569E"/>
    <w:rsid w:val="753175CA"/>
    <w:rsid w:val="753ED7CB"/>
    <w:rsid w:val="7546D189"/>
    <w:rsid w:val="75586FB4"/>
    <w:rsid w:val="7558FD70"/>
    <w:rsid w:val="755BD110"/>
    <w:rsid w:val="755FEB0D"/>
    <w:rsid w:val="756DC8AB"/>
    <w:rsid w:val="75701913"/>
    <w:rsid w:val="75717E6D"/>
    <w:rsid w:val="7571EC27"/>
    <w:rsid w:val="7572BB75"/>
    <w:rsid w:val="757FCABD"/>
    <w:rsid w:val="75807165"/>
    <w:rsid w:val="7580B53F"/>
    <w:rsid w:val="7583B948"/>
    <w:rsid w:val="7588B840"/>
    <w:rsid w:val="758E854B"/>
    <w:rsid w:val="75940C1C"/>
    <w:rsid w:val="75946B1B"/>
    <w:rsid w:val="7599447E"/>
    <w:rsid w:val="75A01375"/>
    <w:rsid w:val="75A3F168"/>
    <w:rsid w:val="75A6CC76"/>
    <w:rsid w:val="75AF4736"/>
    <w:rsid w:val="75AFC1FE"/>
    <w:rsid w:val="75AFE6D1"/>
    <w:rsid w:val="75B06DA5"/>
    <w:rsid w:val="75B1550E"/>
    <w:rsid w:val="75B34C32"/>
    <w:rsid w:val="75B40152"/>
    <w:rsid w:val="75BAD6EA"/>
    <w:rsid w:val="75C01056"/>
    <w:rsid w:val="75C12021"/>
    <w:rsid w:val="75C21F9C"/>
    <w:rsid w:val="75C3C71C"/>
    <w:rsid w:val="75C5A71C"/>
    <w:rsid w:val="75CF3460"/>
    <w:rsid w:val="75D097AF"/>
    <w:rsid w:val="75DA8E11"/>
    <w:rsid w:val="75DD25D4"/>
    <w:rsid w:val="75E9A816"/>
    <w:rsid w:val="75EC0A11"/>
    <w:rsid w:val="75EDD955"/>
    <w:rsid w:val="75EFF28F"/>
    <w:rsid w:val="75F3746A"/>
    <w:rsid w:val="75F6F09F"/>
    <w:rsid w:val="75FBA44B"/>
    <w:rsid w:val="75FD6A42"/>
    <w:rsid w:val="760C7897"/>
    <w:rsid w:val="760CC0C2"/>
    <w:rsid w:val="7612ACF1"/>
    <w:rsid w:val="7614248B"/>
    <w:rsid w:val="761A7C30"/>
    <w:rsid w:val="761EA1B0"/>
    <w:rsid w:val="76212D54"/>
    <w:rsid w:val="7623E1DE"/>
    <w:rsid w:val="762B20E8"/>
    <w:rsid w:val="762B48B5"/>
    <w:rsid w:val="762C862A"/>
    <w:rsid w:val="762CFD93"/>
    <w:rsid w:val="762E78F9"/>
    <w:rsid w:val="763F34A7"/>
    <w:rsid w:val="764647DB"/>
    <w:rsid w:val="76481A4C"/>
    <w:rsid w:val="7648842E"/>
    <w:rsid w:val="764C1786"/>
    <w:rsid w:val="764C5370"/>
    <w:rsid w:val="764DFFBB"/>
    <w:rsid w:val="764E399E"/>
    <w:rsid w:val="764FB886"/>
    <w:rsid w:val="765403F1"/>
    <w:rsid w:val="765D4385"/>
    <w:rsid w:val="765EBEBB"/>
    <w:rsid w:val="7660289B"/>
    <w:rsid w:val="7660AB96"/>
    <w:rsid w:val="76657495"/>
    <w:rsid w:val="766BF11D"/>
    <w:rsid w:val="7678AB05"/>
    <w:rsid w:val="7679CB21"/>
    <w:rsid w:val="7682EAFD"/>
    <w:rsid w:val="7683EE70"/>
    <w:rsid w:val="7686A1E5"/>
    <w:rsid w:val="76886F8A"/>
    <w:rsid w:val="768C01E9"/>
    <w:rsid w:val="768E1D57"/>
    <w:rsid w:val="76908A0C"/>
    <w:rsid w:val="769415A1"/>
    <w:rsid w:val="76990927"/>
    <w:rsid w:val="769A92E1"/>
    <w:rsid w:val="769B9266"/>
    <w:rsid w:val="76A24EE8"/>
    <w:rsid w:val="76A55BE3"/>
    <w:rsid w:val="76A8ECE6"/>
    <w:rsid w:val="76AA0F89"/>
    <w:rsid w:val="76ABA592"/>
    <w:rsid w:val="76AC52B1"/>
    <w:rsid w:val="76AD0C96"/>
    <w:rsid w:val="76ADC638"/>
    <w:rsid w:val="76B59012"/>
    <w:rsid w:val="76B5D86B"/>
    <w:rsid w:val="76B9EAEF"/>
    <w:rsid w:val="76BCE1BB"/>
    <w:rsid w:val="76C08946"/>
    <w:rsid w:val="76C38506"/>
    <w:rsid w:val="76C4AA9F"/>
    <w:rsid w:val="76D01394"/>
    <w:rsid w:val="76D1AB4B"/>
    <w:rsid w:val="76D1F9E5"/>
    <w:rsid w:val="76D238D6"/>
    <w:rsid w:val="76DB8FA1"/>
    <w:rsid w:val="76DC6C45"/>
    <w:rsid w:val="76E10FB1"/>
    <w:rsid w:val="76EC14B1"/>
    <w:rsid w:val="76F235BA"/>
    <w:rsid w:val="76F27C8D"/>
    <w:rsid w:val="76F2C3D2"/>
    <w:rsid w:val="76F33A0E"/>
    <w:rsid w:val="76F6F562"/>
    <w:rsid w:val="76FF01B6"/>
    <w:rsid w:val="7701A51A"/>
    <w:rsid w:val="770A68A2"/>
    <w:rsid w:val="770C5729"/>
    <w:rsid w:val="770CC106"/>
    <w:rsid w:val="770E461C"/>
    <w:rsid w:val="7712701D"/>
    <w:rsid w:val="771C36DD"/>
    <w:rsid w:val="771CBA46"/>
    <w:rsid w:val="771F38FD"/>
    <w:rsid w:val="7721250D"/>
    <w:rsid w:val="7721D839"/>
    <w:rsid w:val="7724BC09"/>
    <w:rsid w:val="77270285"/>
    <w:rsid w:val="7729B061"/>
    <w:rsid w:val="772AB2B9"/>
    <w:rsid w:val="772CC048"/>
    <w:rsid w:val="77352850"/>
    <w:rsid w:val="7736D30F"/>
    <w:rsid w:val="77389912"/>
    <w:rsid w:val="773B179B"/>
    <w:rsid w:val="773D82C8"/>
    <w:rsid w:val="773E65A3"/>
    <w:rsid w:val="77489299"/>
    <w:rsid w:val="7748E383"/>
    <w:rsid w:val="774A24D6"/>
    <w:rsid w:val="774EFA66"/>
    <w:rsid w:val="77516153"/>
    <w:rsid w:val="775696F3"/>
    <w:rsid w:val="775D3A8B"/>
    <w:rsid w:val="7767853C"/>
    <w:rsid w:val="776B0AF5"/>
    <w:rsid w:val="776DED71"/>
    <w:rsid w:val="77760058"/>
    <w:rsid w:val="77772ABC"/>
    <w:rsid w:val="777972ED"/>
    <w:rsid w:val="777CC73A"/>
    <w:rsid w:val="777D6791"/>
    <w:rsid w:val="777EA616"/>
    <w:rsid w:val="777EE116"/>
    <w:rsid w:val="777FCC3A"/>
    <w:rsid w:val="77849641"/>
    <w:rsid w:val="7786A374"/>
    <w:rsid w:val="778700EF"/>
    <w:rsid w:val="778C028F"/>
    <w:rsid w:val="778CD6AD"/>
    <w:rsid w:val="7791D8DC"/>
    <w:rsid w:val="779B00F6"/>
    <w:rsid w:val="779BB539"/>
    <w:rsid w:val="77A1C7FF"/>
    <w:rsid w:val="77A66E9D"/>
    <w:rsid w:val="77A79A63"/>
    <w:rsid w:val="77A7DF7E"/>
    <w:rsid w:val="77A8ABD2"/>
    <w:rsid w:val="77B18AB2"/>
    <w:rsid w:val="77B31A53"/>
    <w:rsid w:val="77B4DD7C"/>
    <w:rsid w:val="77B5F965"/>
    <w:rsid w:val="77B6789E"/>
    <w:rsid w:val="77C570F1"/>
    <w:rsid w:val="77CC037C"/>
    <w:rsid w:val="77D30C0C"/>
    <w:rsid w:val="77D445E2"/>
    <w:rsid w:val="77E68B9E"/>
    <w:rsid w:val="77E750A6"/>
    <w:rsid w:val="77E87F72"/>
    <w:rsid w:val="77EE0115"/>
    <w:rsid w:val="77F5C222"/>
    <w:rsid w:val="77F8A7B6"/>
    <w:rsid w:val="77FADF6A"/>
    <w:rsid w:val="78025A50"/>
    <w:rsid w:val="7804BC96"/>
    <w:rsid w:val="78056B19"/>
    <w:rsid w:val="780FBC55"/>
    <w:rsid w:val="780FF8E9"/>
    <w:rsid w:val="78122DE2"/>
    <w:rsid w:val="7816DDE0"/>
    <w:rsid w:val="78176891"/>
    <w:rsid w:val="781AF014"/>
    <w:rsid w:val="781E33EB"/>
    <w:rsid w:val="782577BB"/>
    <w:rsid w:val="7829CE1A"/>
    <w:rsid w:val="782CAA9E"/>
    <w:rsid w:val="782DFFA7"/>
    <w:rsid w:val="782F0062"/>
    <w:rsid w:val="782FB3AF"/>
    <w:rsid w:val="78352F3A"/>
    <w:rsid w:val="78402CF7"/>
    <w:rsid w:val="7846AC05"/>
    <w:rsid w:val="784F2DAB"/>
    <w:rsid w:val="7854105E"/>
    <w:rsid w:val="785A491A"/>
    <w:rsid w:val="78693284"/>
    <w:rsid w:val="786A6C34"/>
    <w:rsid w:val="7875DCA0"/>
    <w:rsid w:val="78788FD6"/>
    <w:rsid w:val="78797DB7"/>
    <w:rsid w:val="787A6477"/>
    <w:rsid w:val="787D63CE"/>
    <w:rsid w:val="788C1409"/>
    <w:rsid w:val="788C9EA2"/>
    <w:rsid w:val="788DF1B3"/>
    <w:rsid w:val="788DFF5D"/>
    <w:rsid w:val="78902C6B"/>
    <w:rsid w:val="789668E5"/>
    <w:rsid w:val="789A7B8B"/>
    <w:rsid w:val="78A7FAF5"/>
    <w:rsid w:val="78A92B50"/>
    <w:rsid w:val="78A95B07"/>
    <w:rsid w:val="78AFB7FC"/>
    <w:rsid w:val="78B45F1D"/>
    <w:rsid w:val="78B62C0E"/>
    <w:rsid w:val="78B669B1"/>
    <w:rsid w:val="78B77934"/>
    <w:rsid w:val="78B9626D"/>
    <w:rsid w:val="78BA85A7"/>
    <w:rsid w:val="78BA8BB7"/>
    <w:rsid w:val="78BC0D85"/>
    <w:rsid w:val="78BC5E35"/>
    <w:rsid w:val="78BC8ECA"/>
    <w:rsid w:val="78BF0F3F"/>
    <w:rsid w:val="78BF8E7E"/>
    <w:rsid w:val="78C6732E"/>
    <w:rsid w:val="78C7B6F5"/>
    <w:rsid w:val="78CA2216"/>
    <w:rsid w:val="78D717C8"/>
    <w:rsid w:val="78D98F07"/>
    <w:rsid w:val="78DB94EC"/>
    <w:rsid w:val="78DE4A49"/>
    <w:rsid w:val="78E22EC3"/>
    <w:rsid w:val="78E4B62C"/>
    <w:rsid w:val="78E73F5B"/>
    <w:rsid w:val="78E8A9D2"/>
    <w:rsid w:val="78EA8A03"/>
    <w:rsid w:val="78EAC29A"/>
    <w:rsid w:val="78ED8B39"/>
    <w:rsid w:val="78EE2389"/>
    <w:rsid w:val="78F2DA28"/>
    <w:rsid w:val="78FAA673"/>
    <w:rsid w:val="79046640"/>
    <w:rsid w:val="790634CD"/>
    <w:rsid w:val="790DA87E"/>
    <w:rsid w:val="790F2504"/>
    <w:rsid w:val="79115BDF"/>
    <w:rsid w:val="7911C2D8"/>
    <w:rsid w:val="791B9B5A"/>
    <w:rsid w:val="791CCDDE"/>
    <w:rsid w:val="791D58EF"/>
    <w:rsid w:val="791EA05C"/>
    <w:rsid w:val="7924A5FE"/>
    <w:rsid w:val="7924C3DE"/>
    <w:rsid w:val="7924DE50"/>
    <w:rsid w:val="792A2CA8"/>
    <w:rsid w:val="792F0727"/>
    <w:rsid w:val="79332754"/>
    <w:rsid w:val="79356C8C"/>
    <w:rsid w:val="79360B27"/>
    <w:rsid w:val="793AEB6B"/>
    <w:rsid w:val="793BAA51"/>
    <w:rsid w:val="793E5016"/>
    <w:rsid w:val="794214A4"/>
    <w:rsid w:val="79495174"/>
    <w:rsid w:val="794BC66A"/>
    <w:rsid w:val="794D4530"/>
    <w:rsid w:val="794D8F23"/>
    <w:rsid w:val="795A5614"/>
    <w:rsid w:val="7960FE6C"/>
    <w:rsid w:val="7961C22A"/>
    <w:rsid w:val="79636E0A"/>
    <w:rsid w:val="7965E7D0"/>
    <w:rsid w:val="796D4E4F"/>
    <w:rsid w:val="796E8050"/>
    <w:rsid w:val="797268B5"/>
    <w:rsid w:val="798126BE"/>
    <w:rsid w:val="7981F8DA"/>
    <w:rsid w:val="7984BF83"/>
    <w:rsid w:val="7984FA59"/>
    <w:rsid w:val="7986B23D"/>
    <w:rsid w:val="79874977"/>
    <w:rsid w:val="7989DA37"/>
    <w:rsid w:val="7996E08F"/>
    <w:rsid w:val="7997AC9A"/>
    <w:rsid w:val="799B4BAB"/>
    <w:rsid w:val="799D2977"/>
    <w:rsid w:val="799D3530"/>
    <w:rsid w:val="79A393C2"/>
    <w:rsid w:val="79A3E132"/>
    <w:rsid w:val="79A4B4DF"/>
    <w:rsid w:val="79A82926"/>
    <w:rsid w:val="79BD5036"/>
    <w:rsid w:val="79BF2B24"/>
    <w:rsid w:val="79C1D1D0"/>
    <w:rsid w:val="79C1DADD"/>
    <w:rsid w:val="79C3F7C1"/>
    <w:rsid w:val="79C68FE2"/>
    <w:rsid w:val="79D1A4A3"/>
    <w:rsid w:val="79D4BC1B"/>
    <w:rsid w:val="79D74B94"/>
    <w:rsid w:val="79D92F92"/>
    <w:rsid w:val="79E0659B"/>
    <w:rsid w:val="79E3423F"/>
    <w:rsid w:val="79E58B78"/>
    <w:rsid w:val="79E680C1"/>
    <w:rsid w:val="79EDB042"/>
    <w:rsid w:val="79EED9B7"/>
    <w:rsid w:val="79F64951"/>
    <w:rsid w:val="79F9A90A"/>
    <w:rsid w:val="79FD1775"/>
    <w:rsid w:val="7A061DC8"/>
    <w:rsid w:val="7A0948E3"/>
    <w:rsid w:val="7A0EB86F"/>
    <w:rsid w:val="7A0F3BA6"/>
    <w:rsid w:val="7A0F74B1"/>
    <w:rsid w:val="7A12C91C"/>
    <w:rsid w:val="7A135367"/>
    <w:rsid w:val="7A1781EC"/>
    <w:rsid w:val="7A19A7C0"/>
    <w:rsid w:val="7A19B329"/>
    <w:rsid w:val="7A1EEDE6"/>
    <w:rsid w:val="7A232F49"/>
    <w:rsid w:val="7A26FD53"/>
    <w:rsid w:val="7A271029"/>
    <w:rsid w:val="7A297911"/>
    <w:rsid w:val="7A29F374"/>
    <w:rsid w:val="7A2CC0EE"/>
    <w:rsid w:val="7A2CC431"/>
    <w:rsid w:val="7A33A1B7"/>
    <w:rsid w:val="7A3B4E0A"/>
    <w:rsid w:val="7A46F8C0"/>
    <w:rsid w:val="7A483615"/>
    <w:rsid w:val="7A567AAE"/>
    <w:rsid w:val="7A56A7D2"/>
    <w:rsid w:val="7A697A06"/>
    <w:rsid w:val="7A6C2B83"/>
    <w:rsid w:val="7A6D92AD"/>
    <w:rsid w:val="7A6EA6D1"/>
    <w:rsid w:val="7A6FC752"/>
    <w:rsid w:val="7A74285D"/>
    <w:rsid w:val="7A7751F7"/>
    <w:rsid w:val="7A7AB623"/>
    <w:rsid w:val="7A7DD018"/>
    <w:rsid w:val="7A7EE18A"/>
    <w:rsid w:val="7A8151B9"/>
    <w:rsid w:val="7A82CA64"/>
    <w:rsid w:val="7A835C56"/>
    <w:rsid w:val="7A85367D"/>
    <w:rsid w:val="7A855F5C"/>
    <w:rsid w:val="7A8B8F1E"/>
    <w:rsid w:val="7A8CCBDF"/>
    <w:rsid w:val="7A8F58F0"/>
    <w:rsid w:val="7A90557F"/>
    <w:rsid w:val="7A937C7B"/>
    <w:rsid w:val="7A977911"/>
    <w:rsid w:val="7A98322B"/>
    <w:rsid w:val="7A989A0D"/>
    <w:rsid w:val="7A995038"/>
    <w:rsid w:val="7A9CA41D"/>
    <w:rsid w:val="7A9CF850"/>
    <w:rsid w:val="7A9DFA82"/>
    <w:rsid w:val="7A9F160B"/>
    <w:rsid w:val="7AA0A100"/>
    <w:rsid w:val="7AA1270D"/>
    <w:rsid w:val="7AA2F70E"/>
    <w:rsid w:val="7AB63DE2"/>
    <w:rsid w:val="7AB70D6D"/>
    <w:rsid w:val="7ABA8AC8"/>
    <w:rsid w:val="7ACB5946"/>
    <w:rsid w:val="7ACF9224"/>
    <w:rsid w:val="7AD12107"/>
    <w:rsid w:val="7AD23CF5"/>
    <w:rsid w:val="7ADB309B"/>
    <w:rsid w:val="7ADBC03F"/>
    <w:rsid w:val="7AE47027"/>
    <w:rsid w:val="7AE6F6AA"/>
    <w:rsid w:val="7AE93B30"/>
    <w:rsid w:val="7AEF9414"/>
    <w:rsid w:val="7AF11C74"/>
    <w:rsid w:val="7AF39C57"/>
    <w:rsid w:val="7AF74D15"/>
    <w:rsid w:val="7B053730"/>
    <w:rsid w:val="7B05C0F5"/>
    <w:rsid w:val="7B0A5C3D"/>
    <w:rsid w:val="7B0B8835"/>
    <w:rsid w:val="7B133174"/>
    <w:rsid w:val="7B14639E"/>
    <w:rsid w:val="7B16759E"/>
    <w:rsid w:val="7B196E77"/>
    <w:rsid w:val="7B1AFC59"/>
    <w:rsid w:val="7B1F56AC"/>
    <w:rsid w:val="7B212780"/>
    <w:rsid w:val="7B224861"/>
    <w:rsid w:val="7B2B214E"/>
    <w:rsid w:val="7B2DD3B0"/>
    <w:rsid w:val="7B325D89"/>
    <w:rsid w:val="7B36E870"/>
    <w:rsid w:val="7B39380E"/>
    <w:rsid w:val="7B3D5485"/>
    <w:rsid w:val="7B3DCB93"/>
    <w:rsid w:val="7B407020"/>
    <w:rsid w:val="7B435F66"/>
    <w:rsid w:val="7B4787CF"/>
    <w:rsid w:val="7B48988B"/>
    <w:rsid w:val="7B48ED30"/>
    <w:rsid w:val="7B4E488C"/>
    <w:rsid w:val="7B53399F"/>
    <w:rsid w:val="7B5628D9"/>
    <w:rsid w:val="7B575F49"/>
    <w:rsid w:val="7B5BFDFE"/>
    <w:rsid w:val="7B5E16F3"/>
    <w:rsid w:val="7B5EA987"/>
    <w:rsid w:val="7B5EDF9B"/>
    <w:rsid w:val="7B5F02BF"/>
    <w:rsid w:val="7B5F1909"/>
    <w:rsid w:val="7B60C3EB"/>
    <w:rsid w:val="7B631756"/>
    <w:rsid w:val="7B64598F"/>
    <w:rsid w:val="7B661256"/>
    <w:rsid w:val="7B6F7CB4"/>
    <w:rsid w:val="7B71FFF0"/>
    <w:rsid w:val="7B78DE05"/>
    <w:rsid w:val="7B79B01E"/>
    <w:rsid w:val="7B7BE760"/>
    <w:rsid w:val="7B7D7887"/>
    <w:rsid w:val="7B7FFB58"/>
    <w:rsid w:val="7B817276"/>
    <w:rsid w:val="7B8753A0"/>
    <w:rsid w:val="7B90C082"/>
    <w:rsid w:val="7B96F076"/>
    <w:rsid w:val="7B9AE50A"/>
    <w:rsid w:val="7BB05F7A"/>
    <w:rsid w:val="7BB4BDA4"/>
    <w:rsid w:val="7BB976E1"/>
    <w:rsid w:val="7BB9E462"/>
    <w:rsid w:val="7BBA341B"/>
    <w:rsid w:val="7BBE5D0C"/>
    <w:rsid w:val="7BBEE7C7"/>
    <w:rsid w:val="7BC0F5DF"/>
    <w:rsid w:val="7BC4ECBB"/>
    <w:rsid w:val="7BC96CE4"/>
    <w:rsid w:val="7BD230BA"/>
    <w:rsid w:val="7BD817C1"/>
    <w:rsid w:val="7BD8A182"/>
    <w:rsid w:val="7BD90205"/>
    <w:rsid w:val="7BDB6E66"/>
    <w:rsid w:val="7BDBDD15"/>
    <w:rsid w:val="7BDEEC77"/>
    <w:rsid w:val="7BE0FC09"/>
    <w:rsid w:val="7BE1D788"/>
    <w:rsid w:val="7BE6B4AA"/>
    <w:rsid w:val="7BEB9597"/>
    <w:rsid w:val="7BEED8A8"/>
    <w:rsid w:val="7BF1139B"/>
    <w:rsid w:val="7BF8F0C1"/>
    <w:rsid w:val="7BFB995A"/>
    <w:rsid w:val="7BFEEF52"/>
    <w:rsid w:val="7C007FA7"/>
    <w:rsid w:val="7C0305DE"/>
    <w:rsid w:val="7C0C3B14"/>
    <w:rsid w:val="7C0E6EF6"/>
    <w:rsid w:val="7C1088ED"/>
    <w:rsid w:val="7C13C756"/>
    <w:rsid w:val="7C1463F1"/>
    <w:rsid w:val="7C15EFD3"/>
    <w:rsid w:val="7C1711ED"/>
    <w:rsid w:val="7C1AFDDB"/>
    <w:rsid w:val="7C1B5632"/>
    <w:rsid w:val="7C1B8C41"/>
    <w:rsid w:val="7C1D2D77"/>
    <w:rsid w:val="7C207093"/>
    <w:rsid w:val="7C24E1BF"/>
    <w:rsid w:val="7C2C0EB8"/>
    <w:rsid w:val="7C2CD4F5"/>
    <w:rsid w:val="7C2E7AC2"/>
    <w:rsid w:val="7C2FC563"/>
    <w:rsid w:val="7C3226ED"/>
    <w:rsid w:val="7C3471ED"/>
    <w:rsid w:val="7C384489"/>
    <w:rsid w:val="7C38E523"/>
    <w:rsid w:val="7C38EC23"/>
    <w:rsid w:val="7C3AE36E"/>
    <w:rsid w:val="7C401686"/>
    <w:rsid w:val="7C411EDC"/>
    <w:rsid w:val="7C48C466"/>
    <w:rsid w:val="7C4B5D42"/>
    <w:rsid w:val="7C4BD33B"/>
    <w:rsid w:val="7C4D4C3F"/>
    <w:rsid w:val="7C53FCC0"/>
    <w:rsid w:val="7C556768"/>
    <w:rsid w:val="7C558FA0"/>
    <w:rsid w:val="7C5A990B"/>
    <w:rsid w:val="7C5BC51F"/>
    <w:rsid w:val="7C636C7E"/>
    <w:rsid w:val="7C63C44F"/>
    <w:rsid w:val="7C6A52B7"/>
    <w:rsid w:val="7C6ACF4C"/>
    <w:rsid w:val="7C6C20B5"/>
    <w:rsid w:val="7C7287E3"/>
    <w:rsid w:val="7C82539B"/>
    <w:rsid w:val="7C837AE0"/>
    <w:rsid w:val="7C84FF9D"/>
    <w:rsid w:val="7C86166A"/>
    <w:rsid w:val="7C8CCA18"/>
    <w:rsid w:val="7C923220"/>
    <w:rsid w:val="7CA55498"/>
    <w:rsid w:val="7CA86DBC"/>
    <w:rsid w:val="7CA9D111"/>
    <w:rsid w:val="7CAA5D17"/>
    <w:rsid w:val="7CB02600"/>
    <w:rsid w:val="7CB6AD8A"/>
    <w:rsid w:val="7CB72C75"/>
    <w:rsid w:val="7CB86B4B"/>
    <w:rsid w:val="7CB94481"/>
    <w:rsid w:val="7CB9795B"/>
    <w:rsid w:val="7CB9EC7B"/>
    <w:rsid w:val="7CBC4AD4"/>
    <w:rsid w:val="7CBE943E"/>
    <w:rsid w:val="7CBF3E92"/>
    <w:rsid w:val="7CC57B97"/>
    <w:rsid w:val="7CCCC67B"/>
    <w:rsid w:val="7CCF15DE"/>
    <w:rsid w:val="7CCF413E"/>
    <w:rsid w:val="7CD4679C"/>
    <w:rsid w:val="7CDEBE57"/>
    <w:rsid w:val="7CE0E487"/>
    <w:rsid w:val="7CE481E1"/>
    <w:rsid w:val="7CE82908"/>
    <w:rsid w:val="7CE90E88"/>
    <w:rsid w:val="7CED010D"/>
    <w:rsid w:val="7CF23D6A"/>
    <w:rsid w:val="7CF2AFE9"/>
    <w:rsid w:val="7CF722A2"/>
    <w:rsid w:val="7CF83149"/>
    <w:rsid w:val="7CFCFE12"/>
    <w:rsid w:val="7D0B752E"/>
    <w:rsid w:val="7D0E0B78"/>
    <w:rsid w:val="7D157123"/>
    <w:rsid w:val="7D192377"/>
    <w:rsid w:val="7D1CE9B7"/>
    <w:rsid w:val="7D1D95F3"/>
    <w:rsid w:val="7D2017BB"/>
    <w:rsid w:val="7D217932"/>
    <w:rsid w:val="7D23BFEE"/>
    <w:rsid w:val="7D26F6A8"/>
    <w:rsid w:val="7D2FB73D"/>
    <w:rsid w:val="7D300E4A"/>
    <w:rsid w:val="7D3161D0"/>
    <w:rsid w:val="7D3465F7"/>
    <w:rsid w:val="7D35A513"/>
    <w:rsid w:val="7D37B6B0"/>
    <w:rsid w:val="7D382452"/>
    <w:rsid w:val="7D38A561"/>
    <w:rsid w:val="7D3C1B9D"/>
    <w:rsid w:val="7D3D66FA"/>
    <w:rsid w:val="7D43459B"/>
    <w:rsid w:val="7D450CFB"/>
    <w:rsid w:val="7D48C123"/>
    <w:rsid w:val="7D4C4B36"/>
    <w:rsid w:val="7D4CDB27"/>
    <w:rsid w:val="7D4E749A"/>
    <w:rsid w:val="7D501D07"/>
    <w:rsid w:val="7D516AFC"/>
    <w:rsid w:val="7D53495B"/>
    <w:rsid w:val="7D53ADA1"/>
    <w:rsid w:val="7D58B628"/>
    <w:rsid w:val="7D5C5BD7"/>
    <w:rsid w:val="7D674413"/>
    <w:rsid w:val="7D6A38BD"/>
    <w:rsid w:val="7D6CF93B"/>
    <w:rsid w:val="7D6FDA13"/>
    <w:rsid w:val="7D6FE97D"/>
    <w:rsid w:val="7D73DECB"/>
    <w:rsid w:val="7D7E92F6"/>
    <w:rsid w:val="7D82439B"/>
    <w:rsid w:val="7D8A65B2"/>
    <w:rsid w:val="7D92E827"/>
    <w:rsid w:val="7D99A45C"/>
    <w:rsid w:val="7D9A1F23"/>
    <w:rsid w:val="7D9CBA6E"/>
    <w:rsid w:val="7DA06EAE"/>
    <w:rsid w:val="7DA62541"/>
    <w:rsid w:val="7DAAB650"/>
    <w:rsid w:val="7DABFAE3"/>
    <w:rsid w:val="7DB364A8"/>
    <w:rsid w:val="7DC0FB25"/>
    <w:rsid w:val="7DC62986"/>
    <w:rsid w:val="7DC886D0"/>
    <w:rsid w:val="7DCA58F7"/>
    <w:rsid w:val="7DCB7C51"/>
    <w:rsid w:val="7DCDC30A"/>
    <w:rsid w:val="7DD0B09D"/>
    <w:rsid w:val="7DD11467"/>
    <w:rsid w:val="7DD2AE73"/>
    <w:rsid w:val="7DD882DB"/>
    <w:rsid w:val="7DE86DBA"/>
    <w:rsid w:val="7DE8D401"/>
    <w:rsid w:val="7DEC5E89"/>
    <w:rsid w:val="7DECDCA7"/>
    <w:rsid w:val="7DF01917"/>
    <w:rsid w:val="7DF06113"/>
    <w:rsid w:val="7DF1D866"/>
    <w:rsid w:val="7DF1EF78"/>
    <w:rsid w:val="7DF2D92C"/>
    <w:rsid w:val="7DF2DE57"/>
    <w:rsid w:val="7DF59144"/>
    <w:rsid w:val="7DF9CF2E"/>
    <w:rsid w:val="7E007E24"/>
    <w:rsid w:val="7E012DC3"/>
    <w:rsid w:val="7E03C094"/>
    <w:rsid w:val="7E081476"/>
    <w:rsid w:val="7E08622C"/>
    <w:rsid w:val="7E08F072"/>
    <w:rsid w:val="7E0A68D6"/>
    <w:rsid w:val="7E0C0989"/>
    <w:rsid w:val="7E0C8F6C"/>
    <w:rsid w:val="7E0D28C1"/>
    <w:rsid w:val="7E16D106"/>
    <w:rsid w:val="7E1E5108"/>
    <w:rsid w:val="7E227C67"/>
    <w:rsid w:val="7E228CD3"/>
    <w:rsid w:val="7E233F9C"/>
    <w:rsid w:val="7E246518"/>
    <w:rsid w:val="7E28B6FE"/>
    <w:rsid w:val="7E322A80"/>
    <w:rsid w:val="7E361663"/>
    <w:rsid w:val="7E36C734"/>
    <w:rsid w:val="7E3AB46D"/>
    <w:rsid w:val="7E437AF7"/>
    <w:rsid w:val="7E45AC67"/>
    <w:rsid w:val="7E464D31"/>
    <w:rsid w:val="7E4A4A04"/>
    <w:rsid w:val="7E4FB73D"/>
    <w:rsid w:val="7E51F0B9"/>
    <w:rsid w:val="7E539AE6"/>
    <w:rsid w:val="7E5784B7"/>
    <w:rsid w:val="7E59054A"/>
    <w:rsid w:val="7E5A25F1"/>
    <w:rsid w:val="7E5BBC57"/>
    <w:rsid w:val="7E5FE60F"/>
    <w:rsid w:val="7E63CD2B"/>
    <w:rsid w:val="7E6466DC"/>
    <w:rsid w:val="7E662F60"/>
    <w:rsid w:val="7E6A5310"/>
    <w:rsid w:val="7E7201CF"/>
    <w:rsid w:val="7E780DD8"/>
    <w:rsid w:val="7E786F09"/>
    <w:rsid w:val="7E7B2CC7"/>
    <w:rsid w:val="7E7CE6B8"/>
    <w:rsid w:val="7E829778"/>
    <w:rsid w:val="7E843E7C"/>
    <w:rsid w:val="7E849E66"/>
    <w:rsid w:val="7E854CD3"/>
    <w:rsid w:val="7E8C7042"/>
    <w:rsid w:val="7E8DAEC3"/>
    <w:rsid w:val="7E8F1F2E"/>
    <w:rsid w:val="7E8F3926"/>
    <w:rsid w:val="7E8FC7BD"/>
    <w:rsid w:val="7E913590"/>
    <w:rsid w:val="7E91F994"/>
    <w:rsid w:val="7E9446E4"/>
    <w:rsid w:val="7E99043F"/>
    <w:rsid w:val="7E9D8AD9"/>
    <w:rsid w:val="7E9FFA0C"/>
    <w:rsid w:val="7EA76AFE"/>
    <w:rsid w:val="7EA76C18"/>
    <w:rsid w:val="7EAD749F"/>
    <w:rsid w:val="7EB2CD75"/>
    <w:rsid w:val="7ECEABDC"/>
    <w:rsid w:val="7EDFBCA0"/>
    <w:rsid w:val="7EE2234C"/>
    <w:rsid w:val="7EECD0C3"/>
    <w:rsid w:val="7EED2236"/>
    <w:rsid w:val="7EF0471D"/>
    <w:rsid w:val="7EF1414A"/>
    <w:rsid w:val="7EF3A328"/>
    <w:rsid w:val="7EF4BDEA"/>
    <w:rsid w:val="7EF4F20F"/>
    <w:rsid w:val="7EFB0F82"/>
    <w:rsid w:val="7EFE6771"/>
    <w:rsid w:val="7F053696"/>
    <w:rsid w:val="7F065555"/>
    <w:rsid w:val="7F06DDDD"/>
    <w:rsid w:val="7F096FD8"/>
    <w:rsid w:val="7F0CE20A"/>
    <w:rsid w:val="7F1072FF"/>
    <w:rsid w:val="7F13FF18"/>
    <w:rsid w:val="7F1A8314"/>
    <w:rsid w:val="7F1E7AE6"/>
    <w:rsid w:val="7F210192"/>
    <w:rsid w:val="7F29EB4A"/>
    <w:rsid w:val="7F2A99C8"/>
    <w:rsid w:val="7F2BDD19"/>
    <w:rsid w:val="7F3664BE"/>
    <w:rsid w:val="7F3D2124"/>
    <w:rsid w:val="7F3E4B49"/>
    <w:rsid w:val="7F4139A4"/>
    <w:rsid w:val="7F433A2E"/>
    <w:rsid w:val="7F46DE9A"/>
    <w:rsid w:val="7F476975"/>
    <w:rsid w:val="7F48B7D3"/>
    <w:rsid w:val="7F4AE33A"/>
    <w:rsid w:val="7F4DDA1F"/>
    <w:rsid w:val="7F5C66E4"/>
    <w:rsid w:val="7F5C6CF3"/>
    <w:rsid w:val="7F613516"/>
    <w:rsid w:val="7F616525"/>
    <w:rsid w:val="7F64D346"/>
    <w:rsid w:val="7F65E9D2"/>
    <w:rsid w:val="7F6CE8B2"/>
    <w:rsid w:val="7F6D19A1"/>
    <w:rsid w:val="7F7515D5"/>
    <w:rsid w:val="7F7894F9"/>
    <w:rsid w:val="7F792777"/>
    <w:rsid w:val="7F7A33E6"/>
    <w:rsid w:val="7F816BFF"/>
    <w:rsid w:val="7F82B518"/>
    <w:rsid w:val="7F835A92"/>
    <w:rsid w:val="7F8577E8"/>
    <w:rsid w:val="7F865B28"/>
    <w:rsid w:val="7F8D37F6"/>
    <w:rsid w:val="7F8F71B4"/>
    <w:rsid w:val="7F904D80"/>
    <w:rsid w:val="7F994FB6"/>
    <w:rsid w:val="7F9A46DD"/>
    <w:rsid w:val="7F9CD059"/>
    <w:rsid w:val="7FA5AAD3"/>
    <w:rsid w:val="7FA790EF"/>
    <w:rsid w:val="7FAC5BA2"/>
    <w:rsid w:val="7FAE55EA"/>
    <w:rsid w:val="7FAFC25D"/>
    <w:rsid w:val="7FB8864C"/>
    <w:rsid w:val="7FBA7B59"/>
    <w:rsid w:val="7FBF24F1"/>
    <w:rsid w:val="7FC1027F"/>
    <w:rsid w:val="7FC3EF65"/>
    <w:rsid w:val="7FC45746"/>
    <w:rsid w:val="7FC5DD48"/>
    <w:rsid w:val="7FC71DDA"/>
    <w:rsid w:val="7FC791E5"/>
    <w:rsid w:val="7FCED78A"/>
    <w:rsid w:val="7FD250C0"/>
    <w:rsid w:val="7FD378EF"/>
    <w:rsid w:val="7FD715B5"/>
    <w:rsid w:val="7FD9F103"/>
    <w:rsid w:val="7FDE7063"/>
    <w:rsid w:val="7FE08412"/>
    <w:rsid w:val="7FE40703"/>
    <w:rsid w:val="7FE73E79"/>
    <w:rsid w:val="7FE84763"/>
    <w:rsid w:val="7FEA7DB6"/>
    <w:rsid w:val="7FEEF66A"/>
    <w:rsid w:val="7FF3654B"/>
    <w:rsid w:val="7FF4F6B0"/>
    <w:rsid w:val="7FF5C8F6"/>
    <w:rsid w:val="7FF5EACF"/>
    <w:rsid w:val="7FF626E2"/>
    <w:rsid w:val="7FFA3837"/>
    <w:rsid w:val="7FFCE8A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48322"/>
  <w15:docId w15:val="{88983FDF-484B-4030-B251-53A628760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79A"/>
  </w:style>
  <w:style w:type="paragraph" w:styleId="Titre1">
    <w:name w:val="heading 1"/>
    <w:basedOn w:val="Normal"/>
    <w:next w:val="Normal"/>
    <w:link w:val="Titre1Car"/>
    <w:uiPriority w:val="9"/>
    <w:qFormat/>
    <w:rsid w:val="001D3D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1D3D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1D3D1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1D3D1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1D3D1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unhideWhenUsed/>
    <w:qFormat/>
    <w:rsid w:val="001D3D1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unhideWhenUsed/>
    <w:qFormat/>
    <w:rsid w:val="001D3D1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unhideWhenUsed/>
    <w:qFormat/>
    <w:rsid w:val="001D3D1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unhideWhenUsed/>
    <w:qFormat/>
    <w:rsid w:val="001D3D1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re">
    <w:name w:val="Title"/>
    <w:basedOn w:val="Normal"/>
    <w:next w:val="Normal"/>
    <w:link w:val="TitreCar"/>
    <w:uiPriority w:val="10"/>
    <w:qFormat/>
    <w:rsid w:val="001D3D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qFormat/>
    <w:rsid w:val="001D3D1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rsid w:val="001D3D1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qFormat/>
    <w:rsid w:val="001D3D1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qFormat/>
    <w:rsid w:val="001D3D1B"/>
    <w:rPr>
      <w:rFonts w:eastAsiaTheme="majorEastAsia" w:cstheme="majorBidi"/>
      <w:i/>
      <w:iCs/>
      <w:color w:val="0F4761" w:themeColor="accent1" w:themeShade="BF"/>
    </w:rPr>
  </w:style>
  <w:style w:type="character" w:customStyle="1" w:styleId="Titre5Car">
    <w:name w:val="Titre 5 Car"/>
    <w:basedOn w:val="Policepardfaut"/>
    <w:link w:val="Titre5"/>
    <w:uiPriority w:val="9"/>
    <w:qFormat/>
    <w:rsid w:val="001D3D1B"/>
    <w:rPr>
      <w:rFonts w:eastAsiaTheme="majorEastAsia" w:cstheme="majorBidi"/>
      <w:color w:val="0F4761" w:themeColor="accent1" w:themeShade="BF"/>
    </w:rPr>
  </w:style>
  <w:style w:type="character" w:customStyle="1" w:styleId="Titre6Car">
    <w:name w:val="Titre 6 Car"/>
    <w:basedOn w:val="Policepardfaut"/>
    <w:link w:val="Titre6"/>
    <w:uiPriority w:val="9"/>
    <w:qFormat/>
    <w:rsid w:val="001D3D1B"/>
    <w:rPr>
      <w:rFonts w:eastAsiaTheme="majorEastAsia" w:cstheme="majorBidi"/>
      <w:i/>
      <w:iCs/>
      <w:color w:val="595959" w:themeColor="text1" w:themeTint="A6"/>
    </w:rPr>
  </w:style>
  <w:style w:type="character" w:customStyle="1" w:styleId="Titre7Car">
    <w:name w:val="Titre 7 Car"/>
    <w:basedOn w:val="Policepardfaut"/>
    <w:link w:val="Titre7"/>
    <w:uiPriority w:val="9"/>
    <w:qFormat/>
    <w:rsid w:val="001D3D1B"/>
    <w:rPr>
      <w:rFonts w:eastAsiaTheme="majorEastAsia" w:cstheme="majorBidi"/>
      <w:color w:val="595959" w:themeColor="text1" w:themeTint="A6"/>
    </w:rPr>
  </w:style>
  <w:style w:type="character" w:customStyle="1" w:styleId="Titre8Car">
    <w:name w:val="Titre 8 Car"/>
    <w:basedOn w:val="Policepardfaut"/>
    <w:link w:val="Titre8"/>
    <w:uiPriority w:val="9"/>
    <w:qFormat/>
    <w:rsid w:val="001D3D1B"/>
    <w:rPr>
      <w:rFonts w:eastAsiaTheme="majorEastAsia" w:cstheme="majorBidi"/>
      <w:i/>
      <w:iCs/>
      <w:color w:val="272727" w:themeColor="text1" w:themeTint="D8"/>
    </w:rPr>
  </w:style>
  <w:style w:type="character" w:customStyle="1" w:styleId="Titre9Car">
    <w:name w:val="Titre 9 Car"/>
    <w:basedOn w:val="Policepardfaut"/>
    <w:link w:val="Titre9"/>
    <w:uiPriority w:val="9"/>
    <w:qFormat/>
    <w:rsid w:val="001D3D1B"/>
    <w:rPr>
      <w:rFonts w:eastAsiaTheme="majorEastAsia" w:cstheme="majorBidi"/>
      <w:color w:val="272727" w:themeColor="text1" w:themeTint="D8"/>
    </w:rPr>
  </w:style>
  <w:style w:type="character" w:customStyle="1" w:styleId="TitreCar">
    <w:name w:val="Titre Car"/>
    <w:basedOn w:val="Policepardfaut"/>
    <w:link w:val="Titre"/>
    <w:uiPriority w:val="10"/>
    <w:rsid w:val="001D3D1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Pr>
      <w:color w:val="595959"/>
      <w:sz w:val="28"/>
      <w:szCs w:val="28"/>
    </w:rPr>
  </w:style>
  <w:style w:type="character" w:customStyle="1" w:styleId="Sous-titreCar">
    <w:name w:val="Sous-titre Car"/>
    <w:basedOn w:val="Policepardfaut"/>
    <w:link w:val="Sous-titre"/>
    <w:uiPriority w:val="11"/>
    <w:rsid w:val="001D3D1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D3D1B"/>
    <w:pPr>
      <w:spacing w:before="160"/>
      <w:jc w:val="center"/>
    </w:pPr>
    <w:rPr>
      <w:i/>
      <w:iCs/>
      <w:color w:val="404040" w:themeColor="text1" w:themeTint="BF"/>
    </w:rPr>
  </w:style>
  <w:style w:type="character" w:customStyle="1" w:styleId="CitationCar">
    <w:name w:val="Citation Car"/>
    <w:basedOn w:val="Policepardfaut"/>
    <w:link w:val="Citation"/>
    <w:uiPriority w:val="29"/>
    <w:rsid w:val="001D3D1B"/>
    <w:rPr>
      <w:i/>
      <w:iCs/>
      <w:color w:val="404040" w:themeColor="text1" w:themeTint="BF"/>
    </w:rPr>
  </w:style>
  <w:style w:type="paragraph" w:styleId="Paragraphedeliste">
    <w:name w:val="List Paragraph"/>
    <w:aliases w:val="List Paragraph1,Project Profile name,Paragraphe de liste1,Numbered paragraph,Medium Grid 1 - Accent 21,List Paragraph (numbered (a)),Numbered List Paragraph,References,ReferencesCxSpLast,Table/Figure Heading,En tête 1"/>
    <w:basedOn w:val="Normal"/>
    <w:link w:val="ParagraphedelisteCar"/>
    <w:uiPriority w:val="34"/>
    <w:qFormat/>
    <w:rsid w:val="001D3D1B"/>
    <w:pPr>
      <w:ind w:left="720"/>
      <w:contextualSpacing/>
    </w:pPr>
  </w:style>
  <w:style w:type="character" w:styleId="Accentuationintense">
    <w:name w:val="Intense Emphasis"/>
    <w:basedOn w:val="Policepardfaut"/>
    <w:uiPriority w:val="21"/>
    <w:qFormat/>
    <w:rsid w:val="001D3D1B"/>
    <w:rPr>
      <w:i/>
      <w:iCs/>
      <w:color w:val="0F4761" w:themeColor="accent1" w:themeShade="BF"/>
    </w:rPr>
  </w:style>
  <w:style w:type="paragraph" w:styleId="Citationintense">
    <w:name w:val="Intense Quote"/>
    <w:basedOn w:val="Normal"/>
    <w:next w:val="Normal"/>
    <w:link w:val="CitationintenseCar"/>
    <w:uiPriority w:val="30"/>
    <w:qFormat/>
    <w:rsid w:val="001D3D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D3D1B"/>
    <w:rPr>
      <w:i/>
      <w:iCs/>
      <w:color w:val="0F4761" w:themeColor="accent1" w:themeShade="BF"/>
    </w:rPr>
  </w:style>
  <w:style w:type="character" w:styleId="Rfrenceintense">
    <w:name w:val="Intense Reference"/>
    <w:basedOn w:val="Policepardfaut"/>
    <w:uiPriority w:val="32"/>
    <w:qFormat/>
    <w:rsid w:val="001D3D1B"/>
    <w:rPr>
      <w:b/>
      <w:bCs/>
      <w:smallCaps/>
      <w:color w:val="0F4761" w:themeColor="accent1" w:themeShade="BF"/>
      <w:spacing w:val="5"/>
    </w:rPr>
  </w:style>
  <w:style w:type="paragraph" w:customStyle="1" w:styleId="Normalbullets">
    <w:name w:val="Normal bullets"/>
    <w:basedOn w:val="Normal"/>
    <w:rsid w:val="00F10000"/>
    <w:pPr>
      <w:numPr>
        <w:numId w:val="160"/>
      </w:numPr>
      <w:spacing w:after="60" w:line="240" w:lineRule="auto"/>
      <w:jc w:val="both"/>
    </w:pPr>
    <w:rPr>
      <w:rFonts w:eastAsia="SimSun" w:cs="Times New Roman"/>
      <w:sz w:val="20"/>
      <w:szCs w:val="24"/>
    </w:rPr>
  </w:style>
  <w:style w:type="paragraph" w:customStyle="1" w:styleId="Normal1">
    <w:name w:val="Normal1"/>
    <w:basedOn w:val="Normal"/>
    <w:next w:val="Normal"/>
    <w:rsid w:val="00F10000"/>
    <w:pPr>
      <w:numPr>
        <w:numId w:val="161"/>
      </w:numPr>
      <w:spacing w:after="0" w:line="240" w:lineRule="auto"/>
    </w:pPr>
    <w:rPr>
      <w:rFonts w:eastAsia="Times New Roman" w:cs="Times New Roman"/>
      <w:noProof/>
      <w:sz w:val="20"/>
      <w:szCs w:val="24"/>
      <w:lang w:eastAsia="ja-JP"/>
    </w:rPr>
  </w:style>
  <w:style w:type="paragraph" w:customStyle="1" w:styleId="NumberedParasPIF">
    <w:name w:val="Numbered Paras PIF"/>
    <w:basedOn w:val="Normal"/>
    <w:qFormat/>
    <w:rsid w:val="00F10000"/>
    <w:pPr>
      <w:numPr>
        <w:numId w:val="164"/>
      </w:numPr>
      <w:spacing w:after="100" w:line="240" w:lineRule="auto"/>
      <w:jc w:val="both"/>
    </w:pPr>
    <w:rPr>
      <w:rFonts w:ascii="Times New Roman" w:eastAsia="Times New Roman" w:hAnsi="Times New Roman" w:cs="Times New Roman"/>
      <w:sz w:val="20"/>
      <w:szCs w:val="18"/>
      <w:lang w:val="en-GB"/>
    </w:rPr>
  </w:style>
  <w:style w:type="paragraph" w:customStyle="1" w:styleId="Bullets">
    <w:name w:val="Bullets"/>
    <w:aliases w:val="Párrafo de lista,ADB paragraph numbering,Paragraphe de liste 1,Titulo 4,NULLETS 2,• List Paragraph"/>
    <w:basedOn w:val="Normal"/>
    <w:link w:val="BulletsChar"/>
    <w:qFormat/>
    <w:rsid w:val="00C00618"/>
    <w:pPr>
      <w:numPr>
        <w:numId w:val="187"/>
      </w:numPr>
      <w:spacing w:before="60" w:after="0" w:line="240" w:lineRule="auto"/>
    </w:pPr>
    <w:rPr>
      <w:rFonts w:ascii="Times New Roman" w:eastAsia="SimSun" w:hAnsi="Times New Roman" w:cs="Angsana New"/>
      <w:noProof/>
      <w:sz w:val="20"/>
    </w:rPr>
  </w:style>
  <w:style w:type="paragraph" w:customStyle="1" w:styleId="Heading11">
    <w:name w:val="Heading 11"/>
    <w:basedOn w:val="Normal"/>
    <w:next w:val="Normal"/>
    <w:link w:val="Heading1Char"/>
    <w:qFormat/>
    <w:rsid w:val="0027433D"/>
    <w:pPr>
      <w:keepNext/>
      <w:numPr>
        <w:numId w:val="192"/>
      </w:numPr>
      <w:pBdr>
        <w:top w:val="single" w:sz="4" w:space="1" w:color="auto"/>
      </w:pBdr>
      <w:suppressAutoHyphens/>
      <w:spacing w:before="104" w:after="226" w:line="240" w:lineRule="auto"/>
      <w:jc w:val="both"/>
      <w:outlineLvl w:val="0"/>
    </w:pPr>
    <w:rPr>
      <w:b/>
      <w:smallCaps/>
      <w:spacing w:val="-2"/>
      <w:sz w:val="28"/>
    </w:rPr>
  </w:style>
  <w:style w:type="paragraph" w:customStyle="1" w:styleId="Paragraph">
    <w:name w:val="Paragraph"/>
    <w:basedOn w:val="Normal"/>
    <w:link w:val="ParagraphChar"/>
    <w:qFormat/>
    <w:rsid w:val="0027433D"/>
    <w:pPr>
      <w:numPr>
        <w:numId w:val="193"/>
      </w:numPr>
      <w:spacing w:after="240" w:line="240" w:lineRule="auto"/>
    </w:pPr>
    <w:rPr>
      <w:rFonts w:ascii="Times New Roman" w:eastAsia="SimSun" w:hAnsi="Times New Roman" w:cs="Angsana New"/>
      <w:noProof/>
      <w:sz w:val="20"/>
    </w:rPr>
  </w:style>
  <w:style w:type="character" w:styleId="Marquedecommentaire">
    <w:name w:val="annotation reference"/>
    <w:basedOn w:val="Policepardfaut"/>
    <w:uiPriority w:val="99"/>
    <w:unhideWhenUsed/>
    <w:qFormat/>
    <w:rsid w:val="0027433D"/>
    <w:rPr>
      <w:sz w:val="16"/>
      <w:szCs w:val="16"/>
    </w:rPr>
  </w:style>
  <w:style w:type="paragraph" w:styleId="Commentaire">
    <w:name w:val="annotation text"/>
    <w:basedOn w:val="Normal"/>
    <w:link w:val="CommentaireCar"/>
    <w:uiPriority w:val="99"/>
    <w:unhideWhenUsed/>
    <w:qFormat/>
    <w:rsid w:val="0027433D"/>
    <w:pPr>
      <w:spacing w:line="240" w:lineRule="auto"/>
    </w:pPr>
    <w:rPr>
      <w:sz w:val="20"/>
      <w:szCs w:val="20"/>
    </w:rPr>
  </w:style>
  <w:style w:type="character" w:customStyle="1" w:styleId="CommentaireCar">
    <w:name w:val="Commentaire Car"/>
    <w:basedOn w:val="Policepardfaut"/>
    <w:link w:val="Commentaire"/>
    <w:uiPriority w:val="99"/>
    <w:qFormat/>
    <w:rsid w:val="0027433D"/>
    <w:rPr>
      <w:rFonts w:ascii="Calibri" w:eastAsia="Calibri" w:hAnsi="Calibri" w:cs="Calibri"/>
      <w:kern w:val="0"/>
      <w:sz w:val="20"/>
      <w:szCs w:val="20"/>
      <w:lang w:eastAsia="fr-FR"/>
    </w:rPr>
  </w:style>
  <w:style w:type="paragraph" w:styleId="Objetducommentaire">
    <w:name w:val="annotation subject"/>
    <w:basedOn w:val="Commentaire"/>
    <w:next w:val="Commentaire"/>
    <w:link w:val="ObjetducommentaireCar"/>
    <w:unhideWhenUsed/>
    <w:qFormat/>
    <w:rsid w:val="0027433D"/>
    <w:rPr>
      <w:b/>
      <w:bCs/>
    </w:rPr>
  </w:style>
  <w:style w:type="character" w:customStyle="1" w:styleId="ObjetducommentaireCar">
    <w:name w:val="Objet du commentaire Car"/>
    <w:basedOn w:val="CommentaireCar"/>
    <w:link w:val="Objetducommentaire"/>
    <w:qFormat/>
    <w:rsid w:val="0027433D"/>
    <w:rPr>
      <w:rFonts w:ascii="Calibri" w:eastAsia="Calibri" w:hAnsi="Calibri" w:cs="Calibri"/>
      <w:b/>
      <w:bCs/>
      <w:kern w:val="0"/>
      <w:sz w:val="20"/>
      <w:szCs w:val="20"/>
      <w:lang w:eastAsia="fr-FR"/>
    </w:rPr>
  </w:style>
  <w:style w:type="paragraph" w:styleId="En-tte">
    <w:name w:val="header"/>
    <w:basedOn w:val="Normal"/>
    <w:link w:val="En-tteCar"/>
    <w:unhideWhenUsed/>
    <w:qFormat/>
    <w:rsid w:val="0027433D"/>
    <w:pPr>
      <w:tabs>
        <w:tab w:val="center" w:pos="4536"/>
        <w:tab w:val="right" w:pos="9072"/>
      </w:tabs>
      <w:spacing w:after="0" w:line="240" w:lineRule="auto"/>
    </w:pPr>
  </w:style>
  <w:style w:type="character" w:customStyle="1" w:styleId="En-tteCar">
    <w:name w:val="En-tête Car"/>
    <w:basedOn w:val="Policepardfaut"/>
    <w:link w:val="En-tte"/>
    <w:qFormat/>
    <w:rsid w:val="0027433D"/>
    <w:rPr>
      <w:rFonts w:ascii="Calibri" w:eastAsia="Calibri" w:hAnsi="Calibri" w:cs="Calibri"/>
      <w:kern w:val="0"/>
      <w:lang w:eastAsia="fr-FR"/>
    </w:rPr>
  </w:style>
  <w:style w:type="paragraph" w:styleId="Pieddepage">
    <w:name w:val="footer"/>
    <w:basedOn w:val="Normal"/>
    <w:link w:val="PieddepageCar"/>
    <w:uiPriority w:val="99"/>
    <w:unhideWhenUsed/>
    <w:qFormat/>
    <w:rsid w:val="0027433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7433D"/>
    <w:rPr>
      <w:rFonts w:ascii="Calibri" w:eastAsia="Calibri" w:hAnsi="Calibri" w:cs="Calibri"/>
      <w:kern w:val="0"/>
      <w:lang w:eastAsia="fr-FR"/>
    </w:rPr>
  </w:style>
  <w:style w:type="character" w:styleId="Lienhypertexte">
    <w:name w:val="Hyperlink"/>
    <w:basedOn w:val="Policepardfaut"/>
    <w:uiPriority w:val="99"/>
    <w:unhideWhenUsed/>
    <w:rsid w:val="0027433D"/>
    <w:rPr>
      <w:color w:val="467886" w:themeColor="hyperlink"/>
      <w:u w:val="single"/>
    </w:rPr>
  </w:style>
  <w:style w:type="character" w:styleId="Appelnotedebasdep">
    <w:name w:val="footnote reference"/>
    <w:aliases w:val="16 Point,Superscript 6 Point,Superscript 6 Point + 11 pt,ftref,Footnote Reference Number,SUPERS,SUPERS1,SUPERS2,SUPERS3,BVI fnr,BVI fnr Car Car,BVI fnr Car,BVI fnr Car Car Car Car,FNRefe Char Char Char,BVI fnr Char Char Char,fr"/>
    <w:link w:val="CharCharCharCharCarChar"/>
    <w:uiPriority w:val="99"/>
    <w:qFormat/>
    <w:rsid w:val="00045BD4"/>
    <w:rPr>
      <w:rFonts w:ascii="Arial" w:hAnsi="Arial"/>
      <w:sz w:val="18"/>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Appelnotedebasdep"/>
    <w:uiPriority w:val="99"/>
    <w:qFormat/>
    <w:rsid w:val="00045BD4"/>
    <w:pPr>
      <w:spacing w:line="240" w:lineRule="exact"/>
      <w:jc w:val="both"/>
    </w:pPr>
    <w:rPr>
      <w:rFonts w:ascii="Arial" w:eastAsiaTheme="minorHAnsi" w:hAnsi="Arial" w:cstheme="minorBidi"/>
      <w:kern w:val="2"/>
      <w:sz w:val="18"/>
      <w:vertAlign w:val="superscript"/>
      <w:lang w:eastAsia="en-US"/>
    </w:rPr>
  </w:style>
  <w:style w:type="table" w:styleId="Grilledutableau">
    <w:name w:val="Table Grid"/>
    <w:basedOn w:val="TableauNormal"/>
    <w:uiPriority w:val="39"/>
    <w:qFormat/>
    <w:rsid w:val="008C6E25"/>
    <w:pPr>
      <w:spacing w:after="0" w:line="240" w:lineRule="auto"/>
    </w:pPr>
    <w:rPr>
      <w:rFonts w:eastAsia="SimSun" w:cs="Times New Roman"/>
      <w:sz w:val="20"/>
      <w:szCs w:val="20"/>
    </w:rPr>
    <w:tblPr/>
  </w:style>
  <w:style w:type="character" w:customStyle="1" w:styleId="ParagraphedelisteCar">
    <w:name w:val="Paragraphe de liste Car"/>
    <w:aliases w:val="List Paragraph1 Car,Project Profile name Car,Paragraphe de liste1 Car,Numbered paragraph Car,Medium Grid 1 - Accent 21 Car,List Paragraph (numbered (a)) Car,Numbered List Paragraph Car,References Car,ReferencesCxSpLast Car"/>
    <w:link w:val="Paragraphedeliste"/>
    <w:uiPriority w:val="34"/>
    <w:qFormat/>
    <w:rsid w:val="008C6E25"/>
    <w:rPr>
      <w:rFonts w:ascii="Calibri" w:eastAsia="Calibri" w:hAnsi="Calibri" w:cs="Calibri"/>
      <w:kern w:val="0"/>
      <w:lang w:eastAsia="fr-FR"/>
    </w:rPr>
  </w:style>
  <w:style w:type="table" w:customStyle="1" w:styleId="TableNormal0">
    <w:name w:val="Table Normal0"/>
    <w:rsid w:val="00927485"/>
    <w:tblPr>
      <w:tblCellMar>
        <w:top w:w="0" w:type="dxa"/>
        <w:left w:w="0" w:type="dxa"/>
        <w:bottom w:w="0" w:type="dxa"/>
        <w:right w:w="0" w:type="dxa"/>
      </w:tblCellMar>
    </w:tblPr>
  </w:style>
  <w:style w:type="character" w:customStyle="1" w:styleId="Heading2Char">
    <w:name w:val="Heading 2 Char"/>
    <w:basedOn w:val="Policepardfaut"/>
    <w:uiPriority w:val="9"/>
    <w:rsid w:val="00927485"/>
    <w:rPr>
      <w:rFonts w:asciiTheme="majorHAnsi" w:eastAsiaTheme="majorEastAsia" w:hAnsiTheme="majorHAnsi" w:cstheme="majorBidi"/>
      <w:color w:val="0F4761" w:themeColor="accent1" w:themeShade="BF"/>
      <w:sz w:val="26"/>
      <w:szCs w:val="26"/>
    </w:rPr>
  </w:style>
  <w:style w:type="numbering" w:customStyle="1" w:styleId="NoList1">
    <w:name w:val="No List1"/>
    <w:next w:val="Aucuneliste"/>
    <w:uiPriority w:val="99"/>
    <w:semiHidden/>
    <w:unhideWhenUsed/>
    <w:rsid w:val="00927485"/>
  </w:style>
  <w:style w:type="character" w:customStyle="1" w:styleId="Heading1Char">
    <w:name w:val="Heading 1 Char"/>
    <w:basedOn w:val="Policepardfaut"/>
    <w:link w:val="Heading11"/>
    <w:uiPriority w:val="9"/>
    <w:rsid w:val="00927485"/>
    <w:rPr>
      <w:b/>
      <w:smallCaps/>
      <w:spacing w:val="-2"/>
      <w:sz w:val="28"/>
    </w:rPr>
  </w:style>
  <w:style w:type="paragraph" w:styleId="Textedebulles">
    <w:name w:val="Balloon Text"/>
    <w:basedOn w:val="Normal"/>
    <w:link w:val="TextedebullesCar"/>
    <w:semiHidden/>
    <w:qFormat/>
    <w:rsid w:val="00927485"/>
    <w:pPr>
      <w:spacing w:after="60" w:line="240" w:lineRule="auto"/>
      <w:jc w:val="both"/>
    </w:pPr>
    <w:rPr>
      <w:rFonts w:ascii="Tahoma" w:eastAsia="SimSun" w:hAnsi="Tahoma" w:cs="Tahoma"/>
      <w:sz w:val="16"/>
      <w:szCs w:val="16"/>
    </w:rPr>
  </w:style>
  <w:style w:type="character" w:customStyle="1" w:styleId="TextedebullesCar">
    <w:name w:val="Texte de bulles Car"/>
    <w:basedOn w:val="Policepardfaut"/>
    <w:link w:val="Textedebulles"/>
    <w:semiHidden/>
    <w:rsid w:val="00927485"/>
    <w:rPr>
      <w:rFonts w:ascii="Tahoma" w:eastAsia="SimSun" w:hAnsi="Tahoma" w:cs="Tahoma"/>
      <w:kern w:val="0"/>
      <w:sz w:val="16"/>
      <w:szCs w:val="16"/>
      <w:lang w:eastAsia="fr-FR"/>
    </w:rPr>
  </w:style>
  <w:style w:type="character" w:styleId="Numrodepage">
    <w:name w:val="page number"/>
    <w:uiPriority w:val="99"/>
    <w:qFormat/>
    <w:rsid w:val="00927485"/>
    <w:rPr>
      <w:rFonts w:cs="Times New Roman"/>
    </w:rPr>
  </w:style>
  <w:style w:type="paragraph" w:customStyle="1" w:styleId="fn1">
    <w:name w:val="fn1"/>
    <w:basedOn w:val="Normal"/>
    <w:next w:val="Notedebasdepage"/>
    <w:link w:val="FootnoteTextChar1"/>
    <w:uiPriority w:val="99"/>
    <w:qFormat/>
    <w:rsid w:val="00927485"/>
    <w:pPr>
      <w:widowControl w:val="0"/>
      <w:spacing w:after="0" w:line="240" w:lineRule="auto"/>
      <w:jc w:val="both"/>
    </w:pPr>
    <w:rPr>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Policepardfaut"/>
    <w:uiPriority w:val="99"/>
    <w:rsid w:val="00927485"/>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927485"/>
    <w:rPr>
      <w:rFonts w:ascii="Calibri" w:eastAsia="Calibri" w:hAnsi="Calibri" w:cs="Calibri"/>
      <w:kern w:val="0"/>
      <w:sz w:val="18"/>
      <w:lang w:eastAsia="fr-FR"/>
    </w:rPr>
  </w:style>
  <w:style w:type="paragraph" w:styleId="Corpsdetexte3">
    <w:name w:val="Body Text 3"/>
    <w:basedOn w:val="Normal"/>
    <w:link w:val="Corpsdetexte3Car"/>
    <w:rsid w:val="00927485"/>
    <w:pPr>
      <w:spacing w:after="60" w:line="240" w:lineRule="auto"/>
      <w:jc w:val="both"/>
    </w:pPr>
    <w:rPr>
      <w:rFonts w:eastAsia="SimSun" w:cs="Times New Roman"/>
      <w:sz w:val="20"/>
      <w:szCs w:val="20"/>
    </w:rPr>
  </w:style>
  <w:style w:type="character" w:customStyle="1" w:styleId="Corpsdetexte3Car">
    <w:name w:val="Corps de texte 3 Car"/>
    <w:basedOn w:val="Policepardfaut"/>
    <w:link w:val="Corpsdetexte3"/>
    <w:rsid w:val="00927485"/>
    <w:rPr>
      <w:rFonts w:ascii="Calibri" w:eastAsia="SimSun" w:hAnsi="Calibri" w:cs="Times New Roman"/>
      <w:kern w:val="0"/>
      <w:sz w:val="20"/>
      <w:szCs w:val="20"/>
      <w:lang w:eastAsia="fr-FR"/>
    </w:rPr>
  </w:style>
  <w:style w:type="paragraph" w:styleId="Retraitcorpsdetexte">
    <w:name w:val="Body Text Indent"/>
    <w:basedOn w:val="Normal"/>
    <w:link w:val="RetraitcorpsdetexteCar"/>
    <w:qFormat/>
    <w:rsid w:val="00927485"/>
    <w:pPr>
      <w:tabs>
        <w:tab w:val="left" w:pos="360"/>
      </w:tabs>
      <w:spacing w:after="60" w:line="240" w:lineRule="auto"/>
      <w:jc w:val="both"/>
    </w:pPr>
    <w:rPr>
      <w:rFonts w:eastAsia="SimSun" w:cs="Times New Roman"/>
      <w:b/>
      <w:i/>
      <w:sz w:val="28"/>
      <w:szCs w:val="20"/>
    </w:rPr>
  </w:style>
  <w:style w:type="character" w:customStyle="1" w:styleId="RetraitcorpsdetexteCar">
    <w:name w:val="Retrait corps de texte Car"/>
    <w:basedOn w:val="Policepardfaut"/>
    <w:link w:val="Retraitcorpsdetexte"/>
    <w:qFormat/>
    <w:rsid w:val="00927485"/>
    <w:rPr>
      <w:rFonts w:ascii="Calibri" w:eastAsia="SimSun" w:hAnsi="Calibri" w:cs="Times New Roman"/>
      <w:b/>
      <w:i/>
      <w:kern w:val="0"/>
      <w:sz w:val="28"/>
      <w:szCs w:val="20"/>
      <w:lang w:eastAsia="fr-FR"/>
    </w:rPr>
  </w:style>
  <w:style w:type="character" w:styleId="Lienhypertextesuivivisit">
    <w:name w:val="FollowedHyperlink"/>
    <w:uiPriority w:val="99"/>
    <w:qFormat/>
    <w:rsid w:val="00927485"/>
    <w:rPr>
      <w:rFonts w:cs="Times New Roman"/>
      <w:color w:val="800080"/>
      <w:u w:val="single"/>
    </w:rPr>
  </w:style>
  <w:style w:type="paragraph" w:styleId="Corpsdetexte">
    <w:name w:val="Body Text"/>
    <w:basedOn w:val="Normal"/>
    <w:link w:val="CorpsdetexteCar"/>
    <w:qFormat/>
    <w:rsid w:val="00927485"/>
    <w:pPr>
      <w:pBdr>
        <w:bottom w:val="single" w:sz="4" w:space="1" w:color="auto"/>
      </w:pBdr>
      <w:spacing w:after="60" w:line="240" w:lineRule="auto"/>
      <w:jc w:val="both"/>
    </w:pPr>
    <w:rPr>
      <w:rFonts w:ascii="Arial Narrow" w:eastAsia="SimSun" w:hAnsi="Arial Narrow" w:cs="Times New Roman"/>
      <w:i/>
      <w:iCs/>
      <w:sz w:val="20"/>
      <w:szCs w:val="24"/>
    </w:rPr>
  </w:style>
  <w:style w:type="character" w:customStyle="1" w:styleId="CorpsdetexteCar">
    <w:name w:val="Corps de texte Car"/>
    <w:basedOn w:val="Policepardfaut"/>
    <w:link w:val="Corpsdetexte"/>
    <w:qFormat/>
    <w:rsid w:val="00927485"/>
    <w:rPr>
      <w:rFonts w:ascii="Arial Narrow" w:eastAsia="SimSun" w:hAnsi="Arial Narrow" w:cs="Times New Roman"/>
      <w:i/>
      <w:iCs/>
      <w:kern w:val="0"/>
      <w:sz w:val="20"/>
      <w:szCs w:val="24"/>
      <w:lang w:eastAsia="fr-FR"/>
    </w:rPr>
  </w:style>
  <w:style w:type="paragraph" w:styleId="Corpsdetexte2">
    <w:name w:val="Body Text 2"/>
    <w:basedOn w:val="Normal"/>
    <w:link w:val="Corpsdetexte2Car"/>
    <w:qFormat/>
    <w:rsid w:val="00927485"/>
    <w:pPr>
      <w:spacing w:before="120" w:after="120" w:line="240" w:lineRule="auto"/>
      <w:jc w:val="both"/>
    </w:pPr>
    <w:rPr>
      <w:rFonts w:ascii="Arial Narrow" w:eastAsia="SimSun" w:hAnsi="Arial Narrow" w:cs="Times New Roman"/>
      <w:sz w:val="20"/>
      <w:szCs w:val="24"/>
    </w:rPr>
  </w:style>
  <w:style w:type="character" w:customStyle="1" w:styleId="Corpsdetexte2Car">
    <w:name w:val="Corps de texte 2 Car"/>
    <w:basedOn w:val="Policepardfaut"/>
    <w:link w:val="Corpsdetexte2"/>
    <w:rsid w:val="00927485"/>
    <w:rPr>
      <w:rFonts w:ascii="Arial Narrow" w:eastAsia="SimSun" w:hAnsi="Arial Narrow" w:cs="Times New Roman"/>
      <w:kern w:val="0"/>
      <w:sz w:val="20"/>
      <w:szCs w:val="24"/>
      <w:lang w:eastAsia="fr-FR"/>
    </w:rPr>
  </w:style>
  <w:style w:type="paragraph" w:styleId="NormalWeb">
    <w:name w:val="Normal (Web)"/>
    <w:aliases w:val=" webb"/>
    <w:basedOn w:val="Normal"/>
    <w:uiPriority w:val="99"/>
    <w:qFormat/>
    <w:rsid w:val="00927485"/>
    <w:pPr>
      <w:spacing w:before="100" w:beforeAutospacing="1" w:after="100" w:afterAutospacing="1" w:line="240" w:lineRule="auto"/>
      <w:jc w:val="both"/>
    </w:pPr>
    <w:rPr>
      <w:rFonts w:ascii="Times New Roman" w:eastAsia="SimSun" w:hAnsi="Times New Roman" w:cs="Times New Roman"/>
      <w:sz w:val="24"/>
      <w:szCs w:val="24"/>
    </w:rPr>
  </w:style>
  <w:style w:type="character" w:styleId="Accentuation">
    <w:name w:val="Emphasis"/>
    <w:uiPriority w:val="20"/>
    <w:qFormat/>
    <w:rsid w:val="00927485"/>
    <w:rPr>
      <w:rFonts w:cs="Times New Roman"/>
      <w:i/>
      <w:iCs/>
    </w:rPr>
  </w:style>
  <w:style w:type="paragraph" w:customStyle="1" w:styleId="Char">
    <w:name w:val="Char"/>
    <w:basedOn w:val="Titre2"/>
    <w:rsid w:val="00927485"/>
    <w:pPr>
      <w:keepLines w:val="0"/>
      <w:pageBreakBefore/>
      <w:tabs>
        <w:tab w:val="left" w:pos="850"/>
        <w:tab w:val="left" w:pos="1191"/>
        <w:tab w:val="left" w:pos="1531"/>
      </w:tabs>
      <w:spacing w:before="0" w:after="60" w:line="240" w:lineRule="auto"/>
      <w:jc w:val="center"/>
    </w:pPr>
    <w:rPr>
      <w:rFonts w:ascii="Tahoma" w:eastAsia="SimSun" w:hAnsi="Tahoma" w:cs="Tahoma"/>
      <w:b/>
      <w:color w:val="FFFFFF"/>
      <w:spacing w:val="20"/>
      <w:sz w:val="20"/>
      <w:szCs w:val="22"/>
      <w:lang w:eastAsia="zh-CN"/>
    </w:rPr>
  </w:style>
  <w:style w:type="paragraph" w:customStyle="1" w:styleId="CharCharChar1">
    <w:name w:val="Char Char Char1"/>
    <w:basedOn w:val="Normal"/>
    <w:uiPriority w:val="99"/>
    <w:rsid w:val="00927485"/>
    <w:pPr>
      <w:spacing w:line="240" w:lineRule="exact"/>
    </w:pPr>
    <w:rPr>
      <w:rFonts w:eastAsia="SimSun" w:cs="Arial"/>
      <w:sz w:val="20"/>
      <w:szCs w:val="20"/>
    </w:rPr>
  </w:style>
  <w:style w:type="paragraph" w:customStyle="1" w:styleId="JFHeading3">
    <w:name w:val="JF Heading 3"/>
    <w:basedOn w:val="Titre3"/>
    <w:rsid w:val="00927485"/>
    <w:pPr>
      <w:keepNext w:val="0"/>
      <w:keepLines w:val="0"/>
      <w:pBdr>
        <w:bottom w:val="dotted" w:sz="4" w:space="2" w:color="666666"/>
      </w:pBdr>
      <w:spacing w:before="0" w:after="0" w:line="240" w:lineRule="auto"/>
    </w:pPr>
    <w:rPr>
      <w:rFonts w:ascii="Times New Roman" w:eastAsia="MS Mincho" w:hAnsi="Times New Roman" w:cs="Times New Roman"/>
      <w:i/>
      <w:color w:val="auto"/>
      <w:sz w:val="22"/>
      <w:szCs w:val="22"/>
      <w:lang w:eastAsia="ja-JP"/>
    </w:rPr>
  </w:style>
  <w:style w:type="character" w:styleId="lev">
    <w:name w:val="Strong"/>
    <w:uiPriority w:val="22"/>
    <w:qFormat/>
    <w:rsid w:val="00927485"/>
    <w:rPr>
      <w:rFonts w:cs="Times New Roman"/>
      <w:b/>
      <w:bCs/>
    </w:rPr>
  </w:style>
  <w:style w:type="paragraph" w:customStyle="1" w:styleId="Default">
    <w:name w:val="Default"/>
    <w:qFormat/>
    <w:rsid w:val="00927485"/>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27485"/>
    <w:pPr>
      <w:spacing w:before="100" w:beforeAutospacing="1" w:after="100" w:afterAutospacing="1" w:line="240" w:lineRule="auto"/>
    </w:pPr>
    <w:rPr>
      <w:rFonts w:eastAsia="MS Mincho" w:cs="Arial"/>
      <w:sz w:val="12"/>
      <w:szCs w:val="12"/>
      <w:lang w:eastAsia="ja-JP"/>
    </w:rPr>
  </w:style>
  <w:style w:type="paragraph" w:customStyle="1" w:styleId="JFHeading1">
    <w:name w:val="JF Heading 1"/>
    <w:basedOn w:val="Titre1"/>
    <w:rsid w:val="00927485"/>
    <w:pPr>
      <w:keepLines w:val="0"/>
      <w:tabs>
        <w:tab w:val="num" w:pos="720"/>
      </w:tabs>
      <w:spacing w:before="240" w:after="60" w:line="240" w:lineRule="auto"/>
      <w:ind w:left="720" w:hanging="720"/>
    </w:pPr>
    <w:rPr>
      <w:rFonts w:ascii="Times New Roman" w:eastAsia="SimSun" w:hAnsi="Times New Roman" w:cs="Arial"/>
      <w:b/>
      <w:bCs/>
      <w:color w:val="auto"/>
      <w:kern w:val="32"/>
      <w:sz w:val="24"/>
      <w:szCs w:val="32"/>
      <w:u w:val="single"/>
    </w:rPr>
  </w:style>
  <w:style w:type="paragraph" w:customStyle="1" w:styleId="Pa2">
    <w:name w:val="Pa2"/>
    <w:basedOn w:val="Default"/>
    <w:next w:val="Default"/>
    <w:rsid w:val="00927485"/>
    <w:pPr>
      <w:spacing w:line="191" w:lineRule="atLeast"/>
    </w:pPr>
    <w:rPr>
      <w:rFonts w:ascii="Adobe Garamond Pro" w:hAnsi="Adobe Garamond Pro" w:cs="Times New Roman"/>
      <w:color w:val="auto"/>
    </w:rPr>
  </w:style>
  <w:style w:type="character" w:customStyle="1" w:styleId="bodytag3">
    <w:name w:val="bodytag3"/>
    <w:rsid w:val="00927485"/>
    <w:rPr>
      <w:rFonts w:ascii="Trebuchet MS" w:hAnsi="Trebuchet MS" w:cs="Times New Roman"/>
      <w:sz w:val="15"/>
      <w:szCs w:val="15"/>
    </w:rPr>
  </w:style>
  <w:style w:type="paragraph" w:styleId="Notedefin">
    <w:name w:val="endnote text"/>
    <w:aliases w:val=" Char"/>
    <w:basedOn w:val="Normal"/>
    <w:link w:val="NotedefinCar"/>
    <w:semiHidden/>
    <w:rsid w:val="00927485"/>
    <w:pPr>
      <w:spacing w:after="0" w:line="240" w:lineRule="auto"/>
    </w:pPr>
    <w:rPr>
      <w:rFonts w:eastAsia="MS Mincho" w:cs="Times New Roman"/>
      <w:sz w:val="20"/>
      <w:szCs w:val="20"/>
      <w:lang w:eastAsia="ja-JP"/>
    </w:rPr>
  </w:style>
  <w:style w:type="character" w:customStyle="1" w:styleId="NotedefinCar">
    <w:name w:val="Note de fin Car"/>
    <w:aliases w:val=" Char Car"/>
    <w:basedOn w:val="Policepardfaut"/>
    <w:link w:val="Notedefin"/>
    <w:semiHidden/>
    <w:rsid w:val="00927485"/>
    <w:rPr>
      <w:rFonts w:ascii="Calibri" w:eastAsia="MS Mincho" w:hAnsi="Calibri" w:cs="Times New Roman"/>
      <w:kern w:val="0"/>
      <w:sz w:val="20"/>
      <w:szCs w:val="20"/>
      <w:lang w:eastAsia="ja-JP"/>
    </w:rPr>
  </w:style>
  <w:style w:type="character" w:styleId="Appeldenotedefin">
    <w:name w:val="endnote reference"/>
    <w:semiHidden/>
    <w:rsid w:val="00927485"/>
    <w:rPr>
      <w:rFonts w:cs="Times New Roman"/>
      <w:vertAlign w:val="superscript"/>
    </w:rPr>
  </w:style>
  <w:style w:type="character" w:customStyle="1" w:styleId="mw-headline">
    <w:name w:val="mw-headline"/>
    <w:rsid w:val="00927485"/>
    <w:rPr>
      <w:rFonts w:cs="Times New Roman"/>
    </w:rPr>
  </w:style>
  <w:style w:type="paragraph" w:customStyle="1" w:styleId="CharCharCharCharCharCharChar">
    <w:name w:val="Char Char Char Char Char Char Char"/>
    <w:basedOn w:val="Titre2"/>
    <w:rsid w:val="00927485"/>
    <w:pPr>
      <w:keepLines w:val="0"/>
      <w:pageBreakBefore/>
      <w:tabs>
        <w:tab w:val="left" w:pos="850"/>
        <w:tab w:val="left" w:pos="1191"/>
        <w:tab w:val="left" w:pos="1531"/>
      </w:tabs>
      <w:spacing w:before="120" w:after="120" w:line="240" w:lineRule="auto"/>
      <w:jc w:val="center"/>
    </w:pPr>
    <w:rPr>
      <w:rFonts w:ascii="Tahoma" w:eastAsia="MS Mincho" w:hAnsi="Tahoma" w:cs="Tahoma"/>
      <w:b/>
      <w:color w:val="FFFFFF"/>
      <w:spacing w:val="20"/>
      <w:sz w:val="20"/>
      <w:szCs w:val="22"/>
      <w:lang w:eastAsia="zh-CN"/>
    </w:rPr>
  </w:style>
  <w:style w:type="paragraph" w:customStyle="1" w:styleId="CarCar">
    <w:name w:val="Car Car"/>
    <w:basedOn w:val="Titre2"/>
    <w:rsid w:val="00927485"/>
    <w:pPr>
      <w:keepLines w:val="0"/>
      <w:pageBreakBefore/>
      <w:tabs>
        <w:tab w:val="left" w:pos="850"/>
        <w:tab w:val="left" w:pos="1191"/>
        <w:tab w:val="left" w:pos="1531"/>
      </w:tabs>
      <w:spacing w:before="120" w:after="120" w:line="240" w:lineRule="auto"/>
      <w:jc w:val="center"/>
    </w:pPr>
    <w:rPr>
      <w:rFonts w:ascii="Tahoma" w:eastAsia="MS Mincho" w:hAnsi="Tahoma" w:cs="Tahoma"/>
      <w:b/>
      <w:color w:val="FFFFFF"/>
      <w:spacing w:val="20"/>
      <w:sz w:val="20"/>
      <w:szCs w:val="22"/>
      <w:lang w:eastAsia="zh-CN"/>
    </w:rPr>
  </w:style>
  <w:style w:type="paragraph" w:customStyle="1" w:styleId="Arial">
    <w:name w:val="Arial"/>
    <w:basedOn w:val="Normal"/>
    <w:rsid w:val="00927485"/>
    <w:pPr>
      <w:spacing w:after="0" w:line="240" w:lineRule="auto"/>
      <w:jc w:val="both"/>
    </w:pPr>
    <w:rPr>
      <w:rFonts w:ascii="Arial Narrow" w:eastAsia="SimSun" w:hAnsi="Arial Narrow" w:cs="Arial"/>
      <w:sz w:val="20"/>
      <w:szCs w:val="20"/>
    </w:rPr>
  </w:style>
  <w:style w:type="character" w:customStyle="1" w:styleId="ParagraphChar">
    <w:name w:val="Paragraph Char"/>
    <w:link w:val="Paragraph"/>
    <w:rsid w:val="00927485"/>
    <w:rPr>
      <w:rFonts w:ascii="Times New Roman" w:eastAsia="SimSun" w:hAnsi="Times New Roman" w:cs="Angsana New"/>
      <w:noProof/>
      <w:sz w:val="20"/>
    </w:rPr>
  </w:style>
  <w:style w:type="character" w:customStyle="1" w:styleId="BulletsChar">
    <w:name w:val="Bullets Char"/>
    <w:link w:val="Bullets"/>
    <w:rsid w:val="00927485"/>
    <w:rPr>
      <w:rFonts w:ascii="Times New Roman" w:eastAsia="SimSun" w:hAnsi="Times New Roman" w:cs="Angsana New"/>
      <w:noProof/>
      <w:sz w:val="20"/>
    </w:rPr>
  </w:style>
  <w:style w:type="paragraph" w:styleId="TM2">
    <w:name w:val="toc 2"/>
    <w:basedOn w:val="Normal"/>
    <w:next w:val="Normal"/>
    <w:autoRedefine/>
    <w:uiPriority w:val="39"/>
    <w:qFormat/>
    <w:rsid w:val="00927485"/>
    <w:pPr>
      <w:spacing w:before="120" w:after="0"/>
      <w:ind w:left="220"/>
    </w:pPr>
    <w:rPr>
      <w:rFonts w:asciiTheme="minorHAnsi" w:hAnsiTheme="minorHAnsi"/>
      <w:i/>
      <w:iCs/>
      <w:sz w:val="20"/>
      <w:szCs w:val="20"/>
    </w:rPr>
  </w:style>
  <w:style w:type="paragraph" w:styleId="TM1">
    <w:name w:val="toc 1"/>
    <w:basedOn w:val="Normal"/>
    <w:next w:val="Normal"/>
    <w:autoRedefine/>
    <w:uiPriority w:val="39"/>
    <w:qFormat/>
    <w:rsid w:val="00927485"/>
    <w:pPr>
      <w:spacing w:before="240" w:after="120"/>
    </w:pPr>
    <w:rPr>
      <w:rFonts w:asciiTheme="minorHAnsi" w:hAnsiTheme="minorHAnsi"/>
      <w:b/>
      <w:bCs/>
      <w:sz w:val="20"/>
      <w:szCs w:val="20"/>
    </w:rPr>
  </w:style>
  <w:style w:type="paragraph" w:customStyle="1" w:styleId="Text">
    <w:name w:val="Text"/>
    <w:basedOn w:val="Normal"/>
    <w:rsid w:val="00927485"/>
    <w:pPr>
      <w:spacing w:before="240" w:after="0" w:line="252" w:lineRule="auto"/>
      <w:jc w:val="both"/>
    </w:pPr>
    <w:rPr>
      <w:rFonts w:ascii="Times New Roman" w:eastAsia="SimSun" w:hAnsi="Times New Roman" w:cs="Times New Roman"/>
      <w:sz w:val="20"/>
      <w:szCs w:val="20"/>
    </w:rPr>
  </w:style>
  <w:style w:type="paragraph" w:customStyle="1" w:styleId="CharCharChar11">
    <w:name w:val="Char Char Char11"/>
    <w:basedOn w:val="Normal"/>
    <w:rsid w:val="00927485"/>
    <w:pPr>
      <w:spacing w:line="240" w:lineRule="exact"/>
    </w:pPr>
    <w:rPr>
      <w:rFonts w:eastAsia="SimSun" w:cs="Arial"/>
      <w:sz w:val="20"/>
      <w:szCs w:val="20"/>
    </w:rPr>
  </w:style>
  <w:style w:type="paragraph" w:customStyle="1" w:styleId="BodyText23">
    <w:name w:val="Body Text 23"/>
    <w:basedOn w:val="Normal"/>
    <w:rsid w:val="00927485"/>
    <w:pPr>
      <w:widowControl w:val="0"/>
      <w:tabs>
        <w:tab w:val="left" w:pos="547"/>
      </w:tabs>
      <w:spacing w:after="0" w:line="240" w:lineRule="auto"/>
    </w:pPr>
    <w:rPr>
      <w:rFonts w:ascii="Times New Roman" w:eastAsia="SimSun" w:hAnsi="Times New Roman" w:cs="Times New Roman"/>
      <w:snapToGrid w:val="0"/>
      <w:sz w:val="20"/>
      <w:szCs w:val="20"/>
    </w:rPr>
  </w:style>
  <w:style w:type="paragraph" w:styleId="Lgende">
    <w:name w:val="caption"/>
    <w:basedOn w:val="Normal"/>
    <w:next w:val="Normal"/>
    <w:link w:val="LgendeCar"/>
    <w:qFormat/>
    <w:rsid w:val="00927485"/>
    <w:pPr>
      <w:spacing w:after="0" w:line="240" w:lineRule="auto"/>
    </w:pPr>
    <w:rPr>
      <w:rFonts w:ascii="Times New Roman" w:eastAsia="SimSun" w:hAnsi="Times New Roman" w:cs="Times New Roman"/>
      <w:b/>
      <w:bCs/>
      <w:sz w:val="28"/>
      <w:szCs w:val="24"/>
    </w:rPr>
  </w:style>
  <w:style w:type="paragraph" w:customStyle="1" w:styleId="TableT">
    <w:name w:val="TableT"/>
    <w:basedOn w:val="Normal"/>
    <w:autoRedefine/>
    <w:rsid w:val="00927485"/>
    <w:pPr>
      <w:spacing w:after="60" w:line="240" w:lineRule="auto"/>
    </w:pPr>
    <w:rPr>
      <w:rFonts w:ascii="Times New Roman" w:eastAsia="SimSun" w:hAnsi="Times New Roman" w:cs="Times New Roman"/>
      <w:noProof/>
      <w:sz w:val="20"/>
      <w:szCs w:val="20"/>
    </w:rPr>
  </w:style>
  <w:style w:type="paragraph" w:customStyle="1" w:styleId="ParaCharChar">
    <w:name w:val="Para Char Char"/>
    <w:basedOn w:val="Normal"/>
    <w:link w:val="ParaCharCharChar"/>
    <w:autoRedefine/>
    <w:rsid w:val="00927485"/>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ind w:right="-7"/>
    </w:pPr>
    <w:rPr>
      <w:rFonts w:eastAsia="Arial Unicode MS" w:cs="Arial"/>
      <w:sz w:val="20"/>
      <w:szCs w:val="20"/>
    </w:rPr>
  </w:style>
  <w:style w:type="character" w:customStyle="1" w:styleId="ParaCharCharChar">
    <w:name w:val="Para Char Char Char"/>
    <w:link w:val="ParaCharChar"/>
    <w:rsid w:val="00927485"/>
    <w:rPr>
      <w:rFonts w:ascii="Calibri" w:eastAsia="Arial Unicode MS" w:hAnsi="Calibri" w:cs="Arial"/>
      <w:kern w:val="0"/>
      <w:sz w:val="20"/>
      <w:szCs w:val="20"/>
      <w:lang w:eastAsia="fr-FR"/>
    </w:rPr>
  </w:style>
  <w:style w:type="paragraph" w:customStyle="1" w:styleId="TableHCharCharChar">
    <w:name w:val="TableH Char Char Char"/>
    <w:basedOn w:val="Normal"/>
    <w:link w:val="TableHCharCharCharChar"/>
    <w:autoRedefine/>
    <w:rsid w:val="00927485"/>
    <w:pPr>
      <w:spacing w:before="240" w:after="60" w:line="240" w:lineRule="auto"/>
    </w:pPr>
    <w:rPr>
      <w:rFonts w:ascii="Times New Roman" w:eastAsia="SimSun" w:hAnsi="Times New Roman" w:cs="Times New Roman"/>
      <w:b/>
      <w:sz w:val="21"/>
    </w:rPr>
  </w:style>
  <w:style w:type="character" w:customStyle="1" w:styleId="TableHCharCharCharChar">
    <w:name w:val="TableH Char Char Char Char"/>
    <w:link w:val="TableHCharCharChar"/>
    <w:rsid w:val="00927485"/>
    <w:rPr>
      <w:rFonts w:ascii="Times New Roman" w:eastAsia="SimSun" w:hAnsi="Times New Roman" w:cs="Times New Roman"/>
      <w:b/>
      <w:kern w:val="0"/>
      <w:sz w:val="21"/>
      <w:lang w:eastAsia="fr-FR"/>
    </w:rPr>
  </w:style>
  <w:style w:type="character" w:customStyle="1" w:styleId="highlighttext">
    <w:name w:val="highlighttext"/>
    <w:rsid w:val="00927485"/>
    <w:rPr>
      <w:rFonts w:ascii="Times New Roman" w:hAnsi="Times New Roman"/>
      <w:sz w:val="22"/>
      <w:bdr w:val="none" w:sz="0" w:space="0" w:color="auto"/>
      <w:shd w:val="clear" w:color="auto" w:fill="B3B3B3"/>
    </w:rPr>
  </w:style>
  <w:style w:type="paragraph" w:customStyle="1" w:styleId="steptext">
    <w:name w:val="steptext"/>
    <w:basedOn w:val="Normal"/>
    <w:rsid w:val="00927485"/>
    <w:pPr>
      <w:spacing w:after="0" w:line="240" w:lineRule="auto"/>
    </w:pPr>
    <w:rPr>
      <w:rFonts w:ascii="Times New Roman" w:eastAsia="SimSun" w:hAnsi="Times New Roman" w:cs="Times New Roman"/>
      <w:sz w:val="20"/>
      <w:szCs w:val="24"/>
    </w:rPr>
  </w:style>
  <w:style w:type="paragraph" w:customStyle="1" w:styleId="NumberedList2">
    <w:name w:val="Numbered List 2"/>
    <w:aliases w:val="nl2"/>
    <w:basedOn w:val="Normal"/>
    <w:rsid w:val="00927485"/>
    <w:pPr>
      <w:spacing w:after="0" w:line="240" w:lineRule="atLeast"/>
      <w:ind w:hanging="360"/>
    </w:pPr>
    <w:rPr>
      <w:rFonts w:ascii="Arial Unicode MS" w:eastAsia="SimSun" w:hAnsi="Arial Unicode MS" w:cs="Times New Roman"/>
      <w:sz w:val="20"/>
    </w:rPr>
  </w:style>
  <w:style w:type="paragraph" w:customStyle="1" w:styleId="CharChar">
    <w:name w:val="Char Char Знак Знак"/>
    <w:basedOn w:val="Normal"/>
    <w:rsid w:val="00927485"/>
    <w:pPr>
      <w:spacing w:line="240" w:lineRule="exact"/>
    </w:pPr>
    <w:rPr>
      <w:rFonts w:ascii="Times New Roman" w:eastAsia="SimSun" w:hAnsi="Times New Roman" w:cs="Arial"/>
      <w:sz w:val="20"/>
      <w:szCs w:val="20"/>
      <w:lang w:val="de-CH" w:eastAsia="de-CH"/>
    </w:rPr>
  </w:style>
  <w:style w:type="paragraph" w:styleId="Textebrut">
    <w:name w:val="Plain Text"/>
    <w:basedOn w:val="Normal"/>
    <w:link w:val="TextebrutCar"/>
    <w:uiPriority w:val="99"/>
    <w:unhideWhenUsed/>
    <w:rsid w:val="00927485"/>
    <w:pPr>
      <w:spacing w:after="0" w:line="240" w:lineRule="auto"/>
    </w:pPr>
    <w:rPr>
      <w:rFonts w:ascii="Consolas" w:hAnsi="Consolas" w:cs="Times New Roman"/>
      <w:sz w:val="21"/>
      <w:szCs w:val="21"/>
    </w:rPr>
  </w:style>
  <w:style w:type="character" w:customStyle="1" w:styleId="TextebrutCar">
    <w:name w:val="Texte brut Car"/>
    <w:basedOn w:val="Policepardfaut"/>
    <w:link w:val="Textebrut"/>
    <w:uiPriority w:val="99"/>
    <w:rsid w:val="00927485"/>
    <w:rPr>
      <w:rFonts w:ascii="Consolas" w:eastAsia="Calibri" w:hAnsi="Consolas" w:cs="Times New Roman"/>
      <w:kern w:val="0"/>
      <w:sz w:val="21"/>
      <w:szCs w:val="21"/>
      <w:lang w:eastAsia="fr-FR"/>
    </w:rPr>
  </w:style>
  <w:style w:type="paragraph" w:styleId="En-ttedetabledesmatires">
    <w:name w:val="TOC Heading"/>
    <w:basedOn w:val="Titre1"/>
    <w:next w:val="Normal"/>
    <w:uiPriority w:val="39"/>
    <w:unhideWhenUsed/>
    <w:qFormat/>
    <w:rsid w:val="00927485"/>
    <w:pPr>
      <w:spacing w:before="480" w:after="0" w:line="276" w:lineRule="auto"/>
      <w:outlineLvl w:val="9"/>
    </w:pPr>
    <w:rPr>
      <w:rFonts w:ascii="Cambria" w:eastAsia="SimSun" w:hAnsi="Cambria" w:cs="Times New Roman"/>
      <w:b/>
      <w:bCs/>
      <w:color w:val="365F91"/>
      <w:sz w:val="28"/>
      <w:szCs w:val="28"/>
    </w:rPr>
  </w:style>
  <w:style w:type="paragraph" w:styleId="Sansinterligne">
    <w:name w:val="No Spacing"/>
    <w:link w:val="SansinterligneCar"/>
    <w:uiPriority w:val="1"/>
    <w:qFormat/>
    <w:rsid w:val="00927485"/>
    <w:pPr>
      <w:spacing w:after="0" w:line="240" w:lineRule="auto"/>
    </w:pPr>
    <w:rPr>
      <w:rFonts w:ascii="Times" w:eastAsia="Times" w:hAnsi="Times" w:cs="Times New Roman"/>
      <w:sz w:val="24"/>
      <w:szCs w:val="24"/>
    </w:rPr>
  </w:style>
  <w:style w:type="character" w:customStyle="1" w:styleId="SansinterligneCar">
    <w:name w:val="Sans interligne Car"/>
    <w:link w:val="Sansinterligne"/>
    <w:uiPriority w:val="1"/>
    <w:rsid w:val="00927485"/>
    <w:rPr>
      <w:rFonts w:ascii="Times" w:eastAsia="Times" w:hAnsi="Times" w:cs="Times New Roman"/>
      <w:kern w:val="0"/>
      <w:sz w:val="24"/>
      <w:szCs w:val="24"/>
      <w:lang w:eastAsia="fr-FR"/>
    </w:rPr>
  </w:style>
  <w:style w:type="character" w:customStyle="1" w:styleId="PlainTextChar1">
    <w:name w:val="Plain Text Char1"/>
    <w:uiPriority w:val="99"/>
    <w:locked/>
    <w:rsid w:val="00927485"/>
    <w:rPr>
      <w:rFonts w:ascii="Consolas" w:eastAsia="Times New Roman" w:hAnsi="Consolas" w:cs="Times New Roman"/>
      <w:sz w:val="20"/>
      <w:szCs w:val="20"/>
    </w:rPr>
  </w:style>
  <w:style w:type="character" w:customStyle="1" w:styleId="StyleHeading2NotBoldChar">
    <w:name w:val="Style Heading 2 + Not Bold Char"/>
    <w:rsid w:val="00927485"/>
    <w:rPr>
      <w:rFonts w:ascii="Book Antiqua" w:hAnsi="Book Antiqua" w:cs="Arial"/>
      <w:b/>
      <w:i/>
      <w:sz w:val="22"/>
      <w:szCs w:val="28"/>
      <w:lang w:val="en-US" w:eastAsia="ar-SA"/>
    </w:rPr>
  </w:style>
  <w:style w:type="character" w:customStyle="1" w:styleId="apple-converted-space">
    <w:name w:val="apple-converted-space"/>
    <w:basedOn w:val="Policepardfaut"/>
    <w:rsid w:val="00927485"/>
  </w:style>
  <w:style w:type="character" w:customStyle="1" w:styleId="ColorfulList-Accent1Char">
    <w:name w:val="Colorful List - Accent 1 Char"/>
    <w:link w:val="ColorfulList-Accent12"/>
    <w:uiPriority w:val="34"/>
    <w:locked/>
    <w:rsid w:val="00927485"/>
  </w:style>
  <w:style w:type="paragraph" w:customStyle="1" w:styleId="ColorfulList-Accent12">
    <w:name w:val="Colorful List - Accent 12"/>
    <w:basedOn w:val="Normal"/>
    <w:link w:val="ColorfulList-Accent1Char"/>
    <w:uiPriority w:val="34"/>
    <w:rsid w:val="00927485"/>
    <w:pPr>
      <w:spacing w:after="0" w:line="240" w:lineRule="auto"/>
      <w:ind w:left="720"/>
    </w:pPr>
    <w:rPr>
      <w:rFonts w:asciiTheme="minorHAnsi" w:eastAsiaTheme="minorHAnsi" w:hAnsiTheme="minorHAnsi" w:cstheme="minorBidi"/>
      <w:kern w:val="2"/>
      <w:lang w:eastAsia="en-US"/>
    </w:rPr>
  </w:style>
  <w:style w:type="paragraph" w:styleId="TM3">
    <w:name w:val="toc 3"/>
    <w:basedOn w:val="Normal"/>
    <w:next w:val="Normal"/>
    <w:autoRedefine/>
    <w:uiPriority w:val="39"/>
    <w:unhideWhenUsed/>
    <w:qFormat/>
    <w:rsid w:val="00927485"/>
    <w:pPr>
      <w:spacing w:after="0"/>
      <w:ind w:left="440"/>
    </w:pPr>
    <w:rPr>
      <w:rFonts w:asciiTheme="minorHAnsi" w:hAnsiTheme="minorHAnsi"/>
      <w:sz w:val="20"/>
      <w:szCs w:val="20"/>
    </w:rPr>
  </w:style>
  <w:style w:type="character" w:customStyle="1" w:styleId="Mention1">
    <w:name w:val="Mention1"/>
    <w:uiPriority w:val="99"/>
    <w:unhideWhenUsed/>
    <w:rsid w:val="00927485"/>
    <w:rPr>
      <w:color w:val="2B579A"/>
      <w:shd w:val="clear" w:color="auto" w:fill="E6E6E6"/>
    </w:rPr>
  </w:style>
  <w:style w:type="paragraph" w:customStyle="1" w:styleId="xmsonormal">
    <w:name w:val="x_msonormal"/>
    <w:basedOn w:val="Normal"/>
    <w:rsid w:val="00927485"/>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UnresolvedMention1">
    <w:name w:val="Unresolved Mention1"/>
    <w:uiPriority w:val="99"/>
    <w:unhideWhenUsed/>
    <w:rsid w:val="00927485"/>
    <w:rPr>
      <w:color w:val="605E5C"/>
      <w:shd w:val="clear" w:color="auto" w:fill="E1DFDD"/>
    </w:rPr>
  </w:style>
  <w:style w:type="paragraph" w:customStyle="1" w:styleId="GEFQuestion">
    <w:name w:val="GEF Question"/>
    <w:basedOn w:val="Normal"/>
    <w:next w:val="Normal"/>
    <w:qFormat/>
    <w:rsid w:val="00927485"/>
    <w:pPr>
      <w:spacing w:after="0" w:line="240" w:lineRule="auto"/>
      <w:ind w:left="-720"/>
    </w:pPr>
    <w:rPr>
      <w:rFonts w:ascii="Times New Roman" w:eastAsia="Times New Roman" w:hAnsi="Times New Roman" w:cs="Times New Roman"/>
      <w:szCs w:val="24"/>
    </w:rPr>
  </w:style>
  <w:style w:type="character" w:customStyle="1" w:styleId="GEFFieldtoFilloutChar">
    <w:name w:val="GEF Field to Fill out Char"/>
    <w:link w:val="GEFFieldtoFillout"/>
    <w:qFormat/>
    <w:locked/>
    <w:rsid w:val="00927485"/>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27485"/>
    <w:pPr>
      <w:spacing w:after="0" w:line="240" w:lineRule="auto"/>
      <w:ind w:left="-720"/>
    </w:pPr>
    <w:rPr>
      <w:rFonts w:ascii="Times New Roman" w:eastAsia="Times New Roman" w:hAnsi="Times New Roman" w:cstheme="minorBidi"/>
      <w:color w:val="000000"/>
      <w:kern w:val="2"/>
      <w:lang w:eastAsia="en-US"/>
    </w:rPr>
  </w:style>
  <w:style w:type="numbering" w:customStyle="1" w:styleId="NoList11">
    <w:name w:val="No List11"/>
    <w:next w:val="Aucuneliste"/>
    <w:semiHidden/>
    <w:unhideWhenUsed/>
    <w:rsid w:val="00927485"/>
  </w:style>
  <w:style w:type="paragraph" w:customStyle="1" w:styleId="GEFTableHeading">
    <w:name w:val="GEF Table Heading"/>
    <w:basedOn w:val="Normal"/>
    <w:next w:val="Normal"/>
    <w:qFormat/>
    <w:rsid w:val="00927485"/>
    <w:pPr>
      <w:spacing w:after="0" w:line="240" w:lineRule="auto"/>
      <w:ind w:left="-720"/>
    </w:pPr>
    <w:rPr>
      <w:rFonts w:ascii="Times New Roman Bold" w:eastAsia="Times New Roman" w:hAnsi="Times New Roman Bold" w:cs="Times New Roman"/>
      <w:b/>
      <w:bCs/>
      <w:smallCaps/>
      <w:color w:val="000000"/>
    </w:rPr>
  </w:style>
  <w:style w:type="paragraph" w:customStyle="1" w:styleId="GEFInstruction">
    <w:name w:val="GEF Instruction"/>
    <w:basedOn w:val="Normal"/>
    <w:next w:val="Normal"/>
    <w:qFormat/>
    <w:rsid w:val="00927485"/>
    <w:pPr>
      <w:spacing w:after="0" w:line="240" w:lineRule="auto"/>
      <w:ind w:left="-540"/>
    </w:pPr>
    <w:rPr>
      <w:rFonts w:ascii="Times New Roman" w:eastAsia="Times New Roman" w:hAnsi="Times New Roman" w:cs="Times New Roman"/>
      <w:sz w:val="20"/>
      <w:szCs w:val="24"/>
    </w:rPr>
  </w:style>
  <w:style w:type="table" w:customStyle="1" w:styleId="TableGrid1">
    <w:name w:val="Table Grid1"/>
    <w:basedOn w:val="TableauNormal"/>
    <w:next w:val="Grilledutableau"/>
    <w:uiPriority w:val="39"/>
    <w:rsid w:val="00927485"/>
    <w:pPr>
      <w:spacing w:after="0" w:line="240" w:lineRule="auto"/>
    </w:pPr>
    <w:tblPr/>
  </w:style>
  <w:style w:type="paragraph" w:customStyle="1" w:styleId="bodybullets">
    <w:name w:val="body bullets"/>
    <w:basedOn w:val="Normal"/>
    <w:next w:val="Normal"/>
    <w:qFormat/>
    <w:rsid w:val="00927485"/>
    <w:pPr>
      <w:spacing w:before="60" w:after="60" w:line="260" w:lineRule="exact"/>
      <w:ind w:left="720" w:hanging="360"/>
    </w:pPr>
    <w:rPr>
      <w:rFonts w:eastAsia="Times New Roman" w:cs="Times New Roman"/>
      <w:sz w:val="20"/>
      <w:szCs w:val="24"/>
      <w:lang w:eastAsia="ja-JP"/>
    </w:rPr>
  </w:style>
  <w:style w:type="paragraph" w:customStyle="1" w:styleId="Outline">
    <w:name w:val="Outline"/>
    <w:basedOn w:val="Normal"/>
    <w:qFormat/>
    <w:rsid w:val="00927485"/>
    <w:pPr>
      <w:spacing w:before="240" w:after="0" w:line="240" w:lineRule="auto"/>
    </w:pPr>
    <w:rPr>
      <w:rFonts w:ascii="Times New Roman" w:eastAsia="Times New Roman" w:hAnsi="Times New Roman" w:cs="Times New Roman"/>
      <w:kern w:val="28"/>
      <w:sz w:val="24"/>
      <w:szCs w:val="20"/>
    </w:rPr>
  </w:style>
  <w:style w:type="paragraph" w:styleId="Retraitcorpsdetexte2">
    <w:name w:val="Body Text Indent 2"/>
    <w:basedOn w:val="Normal"/>
    <w:link w:val="Retraitcorpsdetexte2Car"/>
    <w:qFormat/>
    <w:rsid w:val="00927485"/>
    <w:pPr>
      <w:spacing w:after="0" w:line="240" w:lineRule="auto"/>
      <w:ind w:left="360"/>
    </w:pPr>
    <w:rPr>
      <w:rFonts w:ascii="Times New Roman" w:eastAsia="Times New Roman" w:hAnsi="Times New Roman" w:cs="Times New Roman"/>
      <w:i/>
      <w:iCs/>
      <w:sz w:val="20"/>
      <w:szCs w:val="24"/>
      <w:lang w:val="x-none" w:eastAsia="x-none"/>
    </w:rPr>
  </w:style>
  <w:style w:type="character" w:customStyle="1" w:styleId="Retraitcorpsdetexte2Car">
    <w:name w:val="Retrait corps de texte 2 Car"/>
    <w:basedOn w:val="Policepardfaut"/>
    <w:link w:val="Retraitcorpsdetexte2"/>
    <w:qFormat/>
    <w:rsid w:val="00927485"/>
    <w:rPr>
      <w:rFonts w:ascii="Times New Roman" w:eastAsia="Times New Roman" w:hAnsi="Times New Roman" w:cs="Times New Roman"/>
      <w:i/>
      <w:iCs/>
      <w:kern w:val="0"/>
      <w:sz w:val="20"/>
      <w:szCs w:val="24"/>
      <w:lang w:val="x-none" w:eastAsia="x-none"/>
    </w:rPr>
  </w:style>
  <w:style w:type="paragraph" w:styleId="Retraitcorpsdetexte3">
    <w:name w:val="Body Text Indent 3"/>
    <w:basedOn w:val="Normal"/>
    <w:link w:val="Retraitcorpsdetexte3Car"/>
    <w:qFormat/>
    <w:rsid w:val="00927485"/>
    <w:pPr>
      <w:spacing w:after="0" w:line="240" w:lineRule="auto"/>
      <w:ind w:left="540"/>
    </w:pPr>
    <w:rPr>
      <w:rFonts w:ascii="Times New Roman" w:eastAsia="Times New Roman" w:hAnsi="Times New Roman" w:cs="Times New Roman"/>
      <w:sz w:val="24"/>
      <w:szCs w:val="24"/>
      <w:lang w:val="x-none" w:eastAsia="x-none"/>
    </w:rPr>
  </w:style>
  <w:style w:type="character" w:customStyle="1" w:styleId="Retraitcorpsdetexte3Car">
    <w:name w:val="Retrait corps de texte 3 Car"/>
    <w:basedOn w:val="Policepardfaut"/>
    <w:link w:val="Retraitcorpsdetexte3"/>
    <w:rsid w:val="00927485"/>
    <w:rPr>
      <w:rFonts w:ascii="Times New Roman" w:eastAsia="Times New Roman" w:hAnsi="Times New Roman" w:cs="Times New Roman"/>
      <w:kern w:val="0"/>
      <w:sz w:val="24"/>
      <w:szCs w:val="24"/>
      <w:lang w:val="x-none" w:eastAsia="x-none"/>
    </w:rPr>
  </w:style>
  <w:style w:type="paragraph" w:styleId="Explorateurdedocuments">
    <w:name w:val="Document Map"/>
    <w:basedOn w:val="Normal"/>
    <w:link w:val="ExplorateurdedocumentsCar"/>
    <w:semiHidden/>
    <w:rsid w:val="00927485"/>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ExplorateurdedocumentsCar">
    <w:name w:val="Explorateur de documents Car"/>
    <w:basedOn w:val="Policepardfaut"/>
    <w:link w:val="Explorateurdedocuments"/>
    <w:semiHidden/>
    <w:rsid w:val="00927485"/>
    <w:rPr>
      <w:rFonts w:ascii="Tahoma" w:eastAsia="Times New Roman" w:hAnsi="Tahoma" w:cs="Times New Roman"/>
      <w:kern w:val="0"/>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927485"/>
    <w:pPr>
      <w:numPr>
        <w:numId w:val="213"/>
      </w:numPr>
      <w:spacing w:before="120" w:after="240" w:line="240" w:lineRule="auto"/>
      <w:ind w:left="0" w:firstLine="0"/>
      <w:outlineLvl w:val="1"/>
    </w:pPr>
    <w:rPr>
      <w:rFonts w:ascii="Times New Roman" w:eastAsia="Times New Roman" w:hAnsi="Times New Roman" w:cs="Times New Roman"/>
      <w:color w:val="000000"/>
      <w:sz w:val="24"/>
      <w:szCs w:val="24"/>
      <w:lang w:val="x-none" w:eastAsia="x-none"/>
    </w:rPr>
  </w:style>
  <w:style w:type="character" w:customStyle="1" w:styleId="MainParanoChapterChar">
    <w:name w:val="Main Para no Chapter # Char"/>
    <w:link w:val="MainParanoChapter"/>
    <w:uiPriority w:val="99"/>
    <w:locked/>
    <w:rsid w:val="00927485"/>
    <w:rPr>
      <w:rFonts w:ascii="Times New Roman" w:eastAsia="Times New Roman" w:hAnsi="Times New Roman" w:cs="Times New Roman"/>
      <w:color w:val="000000"/>
      <w:sz w:val="24"/>
      <w:szCs w:val="24"/>
      <w:lang w:val="x-none" w:eastAsia="x-none"/>
    </w:rPr>
  </w:style>
  <w:style w:type="paragraph" w:styleId="z-Hautduformulaire">
    <w:name w:val="HTML Top of Form"/>
    <w:basedOn w:val="Normal"/>
    <w:next w:val="Normal"/>
    <w:link w:val="z-HautduformulaireCar"/>
    <w:hidden/>
    <w:rsid w:val="00927485"/>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HautduformulaireCar">
    <w:name w:val="z-Haut du formulaire Car"/>
    <w:basedOn w:val="Policepardfaut"/>
    <w:link w:val="z-Hautduformulaire"/>
    <w:rsid w:val="00927485"/>
    <w:rPr>
      <w:rFonts w:ascii="Arial" w:eastAsia="Times New Roman" w:hAnsi="Arial" w:cs="Times New Roman"/>
      <w:vanish/>
      <w:kern w:val="0"/>
      <w:sz w:val="16"/>
      <w:szCs w:val="16"/>
      <w:lang w:val="x-none" w:eastAsia="x-none"/>
    </w:rPr>
  </w:style>
  <w:style w:type="paragraph" w:styleId="z-Basduformulaire">
    <w:name w:val="HTML Bottom of Form"/>
    <w:basedOn w:val="Normal"/>
    <w:next w:val="Normal"/>
    <w:link w:val="z-BasduformulaireCar"/>
    <w:hidden/>
    <w:rsid w:val="00927485"/>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BasduformulaireCar">
    <w:name w:val="z-Bas du formulaire Car"/>
    <w:basedOn w:val="Policepardfaut"/>
    <w:link w:val="z-Basduformulaire"/>
    <w:rsid w:val="00927485"/>
    <w:rPr>
      <w:rFonts w:ascii="Arial" w:eastAsia="Times New Roman" w:hAnsi="Arial" w:cs="Times New Roman"/>
      <w:vanish/>
      <w:kern w:val="0"/>
      <w:sz w:val="16"/>
      <w:szCs w:val="16"/>
      <w:lang w:val="x-none" w:eastAsia="x-none"/>
    </w:rPr>
  </w:style>
  <w:style w:type="numbering" w:customStyle="1" w:styleId="NoList2">
    <w:name w:val="No List2"/>
    <w:next w:val="Aucuneliste"/>
    <w:uiPriority w:val="99"/>
    <w:semiHidden/>
    <w:unhideWhenUsed/>
    <w:rsid w:val="00927485"/>
  </w:style>
  <w:style w:type="numbering" w:customStyle="1" w:styleId="NoList111">
    <w:name w:val="No List111"/>
    <w:next w:val="Aucuneliste"/>
    <w:semiHidden/>
    <w:rsid w:val="00927485"/>
  </w:style>
  <w:style w:type="paragraph" w:customStyle="1" w:styleId="GEFPartHeading">
    <w:name w:val="GEF Part Heading"/>
    <w:basedOn w:val="Paragraphedeliste"/>
    <w:qFormat/>
    <w:rsid w:val="00927485"/>
    <w:pPr>
      <w:snapToGrid w:val="0"/>
      <w:spacing w:before="120" w:after="120" w:line="240" w:lineRule="auto"/>
      <w:ind w:left="-720"/>
      <w:contextualSpacing w:val="0"/>
      <w:outlineLvl w:val="0"/>
    </w:pPr>
    <w:rPr>
      <w:rFonts w:ascii="Times New Roman Bold" w:eastAsia="Times New Roman" w:hAnsi="Times New Roman Bold" w:cs="Times New Roman"/>
      <w:b/>
      <w:caps/>
      <w:noProof/>
      <w:color w:val="000000"/>
      <w:u w:val="single"/>
      <w:lang w:val="en-GB"/>
    </w:rPr>
  </w:style>
  <w:style w:type="paragraph" w:styleId="Rvision">
    <w:name w:val="Revision"/>
    <w:hidden/>
    <w:uiPriority w:val="99"/>
    <w:rsid w:val="00927485"/>
    <w:pPr>
      <w:spacing w:after="0" w:line="240" w:lineRule="auto"/>
    </w:pPr>
    <w:rPr>
      <w:rFonts w:eastAsia="SimSun" w:cs="Times New Roman"/>
      <w:sz w:val="20"/>
      <w:szCs w:val="24"/>
    </w:rPr>
  </w:style>
  <w:style w:type="table" w:customStyle="1" w:styleId="TableGrid2">
    <w:name w:val="Table Grid2"/>
    <w:basedOn w:val="TableauNormal"/>
    <w:next w:val="Grilledutableau"/>
    <w:uiPriority w:val="39"/>
    <w:rsid w:val="00927485"/>
    <w:pPr>
      <w:spacing w:after="0" w:line="240" w:lineRule="auto"/>
    </w:pPr>
    <w:tblPr/>
  </w:style>
  <w:style w:type="table" w:customStyle="1" w:styleId="TableGrid3">
    <w:name w:val="Table Grid3"/>
    <w:basedOn w:val="TableauNormal"/>
    <w:next w:val="Grilledutableau"/>
    <w:uiPriority w:val="39"/>
    <w:rsid w:val="00927485"/>
    <w:pPr>
      <w:spacing w:after="0" w:line="240" w:lineRule="auto"/>
    </w:pPr>
    <w:tblPr/>
  </w:style>
  <w:style w:type="table" w:customStyle="1" w:styleId="TableGrid4">
    <w:name w:val="Table Grid4"/>
    <w:basedOn w:val="TableauNormal"/>
    <w:next w:val="Grilledutableau"/>
    <w:uiPriority w:val="39"/>
    <w:rsid w:val="00927485"/>
    <w:pPr>
      <w:spacing w:after="0" w:line="240" w:lineRule="auto"/>
    </w:pPr>
    <w:tblPr/>
  </w:style>
  <w:style w:type="table" w:customStyle="1" w:styleId="TableGrid5">
    <w:name w:val="Table Grid5"/>
    <w:basedOn w:val="TableauNormal"/>
    <w:next w:val="Grilledutableau"/>
    <w:uiPriority w:val="39"/>
    <w:rsid w:val="00927485"/>
    <w:pPr>
      <w:spacing w:after="0" w:line="240" w:lineRule="auto"/>
    </w:pPr>
    <w:tblPr/>
  </w:style>
  <w:style w:type="character" w:customStyle="1" w:styleId="hps">
    <w:name w:val="hps"/>
    <w:uiPriority w:val="99"/>
    <w:rsid w:val="00927485"/>
  </w:style>
  <w:style w:type="character" w:customStyle="1" w:styleId="shorttext">
    <w:name w:val="short_text"/>
    <w:rsid w:val="00927485"/>
  </w:style>
  <w:style w:type="numbering" w:customStyle="1" w:styleId="NoList3">
    <w:name w:val="No List3"/>
    <w:next w:val="Aucuneliste"/>
    <w:uiPriority w:val="99"/>
    <w:semiHidden/>
    <w:unhideWhenUsed/>
    <w:rsid w:val="00927485"/>
  </w:style>
  <w:style w:type="character" w:customStyle="1" w:styleId="ts-alignment-element">
    <w:name w:val="ts-alignment-element"/>
    <w:basedOn w:val="Policepardfaut"/>
    <w:rsid w:val="00927485"/>
  </w:style>
  <w:style w:type="paragraph" w:styleId="Notedebasdepage">
    <w:name w:val="footnote text"/>
    <w:aliases w:val="Geneva 9,Font: Geneva 9,Boston 10,f,single space,footnote text,Footnote,otnote Text,Footnote Text Char Char Char,Footnote Text Char Char Char Char Char Char Char,Footnote Text Char Char Char Char Char,Footnotes,fn"/>
    <w:basedOn w:val="Normal"/>
    <w:link w:val="NotedebasdepageCar"/>
    <w:uiPriority w:val="99"/>
    <w:unhideWhenUsed/>
    <w:qFormat/>
    <w:rsid w:val="00927485"/>
    <w:pPr>
      <w:spacing w:after="0" w:line="240" w:lineRule="auto"/>
    </w:pPr>
    <w:rPr>
      <w:sz w:val="20"/>
      <w:szCs w:val="20"/>
    </w:rPr>
  </w:style>
  <w:style w:type="character" w:customStyle="1" w:styleId="NotedebasdepageCar">
    <w:name w:val="Note de bas de page Car"/>
    <w:aliases w:val="Geneva 9 Car,Font: Geneva 9 Car,Boston 10 Car,f Car,single space Car,footnote text Car,Footnote Car,otnote Text Car,Footnote Text Char Char Char Car,Footnote Text Char Char Char Char Char Char Char Car,Footnotes Car,fn Car"/>
    <w:basedOn w:val="Policepardfaut"/>
    <w:link w:val="Notedebasdepage"/>
    <w:uiPriority w:val="99"/>
    <w:qFormat/>
    <w:rsid w:val="00927485"/>
    <w:rPr>
      <w:rFonts w:ascii="Calibri" w:eastAsia="Calibri" w:hAnsi="Calibri" w:cs="Calibri"/>
      <w:kern w:val="0"/>
      <w:sz w:val="20"/>
      <w:szCs w:val="20"/>
      <w:lang w:eastAsia="fr-FR"/>
    </w:rPr>
  </w:style>
  <w:style w:type="character" w:customStyle="1" w:styleId="Mention10">
    <w:name w:val="Mention10"/>
    <w:uiPriority w:val="99"/>
    <w:semiHidden/>
    <w:unhideWhenUsed/>
    <w:rsid w:val="00927485"/>
    <w:rPr>
      <w:color w:val="2B579A"/>
      <w:shd w:val="clear" w:color="auto" w:fill="E6E6E6"/>
    </w:rPr>
  </w:style>
  <w:style w:type="character" w:customStyle="1" w:styleId="UnresolvedMention2">
    <w:name w:val="Unresolved Mention2"/>
    <w:basedOn w:val="Policepardfaut"/>
    <w:uiPriority w:val="99"/>
    <w:unhideWhenUsed/>
    <w:rsid w:val="00927485"/>
    <w:rPr>
      <w:color w:val="605E5C"/>
      <w:shd w:val="clear" w:color="auto" w:fill="E1DFDD"/>
    </w:rPr>
  </w:style>
  <w:style w:type="paragraph" w:customStyle="1" w:styleId="xxxmsolistparagraph">
    <w:name w:val="x_xxmsolistparagraph"/>
    <w:basedOn w:val="Normal"/>
    <w:rsid w:val="00927485"/>
    <w:pPr>
      <w:spacing w:before="100" w:beforeAutospacing="1" w:after="100" w:afterAutospacing="1" w:line="240" w:lineRule="auto"/>
    </w:pPr>
  </w:style>
  <w:style w:type="character" w:customStyle="1" w:styleId="Mention2">
    <w:name w:val="Mention2"/>
    <w:basedOn w:val="Policepardfaut"/>
    <w:uiPriority w:val="99"/>
    <w:unhideWhenUsed/>
    <w:rsid w:val="00927485"/>
    <w:rPr>
      <w:color w:val="2B579A"/>
      <w:shd w:val="clear" w:color="auto" w:fill="E6E6E6"/>
    </w:rPr>
  </w:style>
  <w:style w:type="character" w:customStyle="1" w:styleId="UnresolvedMention3">
    <w:name w:val="Unresolved Mention3"/>
    <w:basedOn w:val="Policepardfaut"/>
    <w:uiPriority w:val="99"/>
    <w:semiHidden/>
    <w:unhideWhenUsed/>
    <w:rsid w:val="00927485"/>
    <w:rPr>
      <w:color w:val="605E5C"/>
      <w:shd w:val="clear" w:color="auto" w:fill="E1DFDD"/>
    </w:rPr>
  </w:style>
  <w:style w:type="character" w:customStyle="1" w:styleId="markejj6ni1d0">
    <w:name w:val="markejj6ni1d0"/>
    <w:basedOn w:val="Policepardfaut"/>
    <w:rsid w:val="00927485"/>
  </w:style>
  <w:style w:type="character" w:customStyle="1" w:styleId="UnresolvedMention4">
    <w:name w:val="Unresolved Mention4"/>
    <w:basedOn w:val="Policepardfaut"/>
    <w:uiPriority w:val="99"/>
    <w:unhideWhenUsed/>
    <w:rsid w:val="00927485"/>
    <w:rPr>
      <w:color w:val="605E5C"/>
      <w:shd w:val="clear" w:color="auto" w:fill="E1DFDD"/>
    </w:rPr>
  </w:style>
  <w:style w:type="character" w:customStyle="1" w:styleId="Mention3">
    <w:name w:val="Mention3"/>
    <w:basedOn w:val="Policepardfaut"/>
    <w:uiPriority w:val="99"/>
    <w:unhideWhenUsed/>
    <w:rsid w:val="00927485"/>
    <w:rPr>
      <w:color w:val="2B579A"/>
      <w:shd w:val="clear" w:color="auto" w:fill="E1DFDD"/>
    </w:rPr>
  </w:style>
  <w:style w:type="paragraph" w:customStyle="1" w:styleId="msonormal0">
    <w:name w:val="msonormal"/>
    <w:basedOn w:val="Normal"/>
    <w:rsid w:val="0092748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927485"/>
    <w:pPr>
      <w:spacing w:before="100" w:beforeAutospacing="1" w:after="100" w:afterAutospacing="1" w:line="240" w:lineRule="auto"/>
    </w:pPr>
    <w:rPr>
      <w:rFonts w:eastAsia="Times New Roman"/>
      <w:b/>
      <w:bCs/>
      <w:color w:val="000000"/>
      <w:sz w:val="16"/>
      <w:szCs w:val="16"/>
    </w:rPr>
  </w:style>
  <w:style w:type="paragraph" w:customStyle="1" w:styleId="font6">
    <w:name w:val="font6"/>
    <w:basedOn w:val="Normal"/>
    <w:rsid w:val="00927485"/>
    <w:pPr>
      <w:spacing w:before="100" w:beforeAutospacing="1" w:after="100" w:afterAutospacing="1" w:line="240" w:lineRule="auto"/>
    </w:pPr>
    <w:rPr>
      <w:rFonts w:eastAsia="Times New Roman"/>
      <w:b/>
      <w:bCs/>
      <w:i/>
      <w:iCs/>
      <w:color w:val="000000"/>
      <w:sz w:val="16"/>
      <w:szCs w:val="16"/>
    </w:rPr>
  </w:style>
  <w:style w:type="paragraph" w:customStyle="1" w:styleId="xl65">
    <w:name w:val="xl65"/>
    <w:basedOn w:val="Normal"/>
    <w:rsid w:val="00927485"/>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927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67">
    <w:name w:val="xl67"/>
    <w:basedOn w:val="Normal"/>
    <w:rsid w:val="00927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Normal"/>
    <w:rsid w:val="00927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9">
    <w:name w:val="xl69"/>
    <w:basedOn w:val="Normal"/>
    <w:rsid w:val="00927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Normal"/>
    <w:rsid w:val="00927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71">
    <w:name w:val="xl71"/>
    <w:basedOn w:val="Normal"/>
    <w:rsid w:val="00927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72">
    <w:name w:val="xl72"/>
    <w:basedOn w:val="Normal"/>
    <w:rsid w:val="00927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b/>
      <w:bCs/>
      <w:sz w:val="16"/>
      <w:szCs w:val="16"/>
    </w:rPr>
  </w:style>
  <w:style w:type="paragraph" w:customStyle="1" w:styleId="xl73">
    <w:name w:val="xl73"/>
    <w:basedOn w:val="Normal"/>
    <w:rsid w:val="00927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4">
    <w:name w:val="xl74"/>
    <w:basedOn w:val="Normal"/>
    <w:rsid w:val="00927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5">
    <w:name w:val="xl75"/>
    <w:basedOn w:val="Normal"/>
    <w:rsid w:val="00927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76">
    <w:name w:val="xl76"/>
    <w:basedOn w:val="Normal"/>
    <w:rsid w:val="0092748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7">
    <w:name w:val="xl77"/>
    <w:basedOn w:val="Normal"/>
    <w:rsid w:val="0092748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8">
    <w:name w:val="xl78"/>
    <w:basedOn w:val="Normal"/>
    <w:rsid w:val="00927485"/>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Normal"/>
    <w:rsid w:val="00927485"/>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92748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1">
    <w:name w:val="xl81"/>
    <w:basedOn w:val="Normal"/>
    <w:rsid w:val="0092748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2">
    <w:name w:val="xl82"/>
    <w:basedOn w:val="Normal"/>
    <w:rsid w:val="00927485"/>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3">
    <w:name w:val="xl83"/>
    <w:basedOn w:val="Normal"/>
    <w:rsid w:val="0092748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16"/>
      <w:szCs w:val="16"/>
    </w:rPr>
  </w:style>
  <w:style w:type="paragraph" w:customStyle="1" w:styleId="xl84">
    <w:name w:val="xl84"/>
    <w:basedOn w:val="Normal"/>
    <w:rsid w:val="0092748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5">
    <w:name w:val="xl85"/>
    <w:basedOn w:val="Normal"/>
    <w:rsid w:val="00927485"/>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Normal"/>
    <w:rsid w:val="00927485"/>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7">
    <w:name w:val="xl87"/>
    <w:basedOn w:val="Normal"/>
    <w:rsid w:val="0092748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8">
    <w:name w:val="xl88"/>
    <w:basedOn w:val="Normal"/>
    <w:rsid w:val="0092748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89">
    <w:name w:val="xl89"/>
    <w:basedOn w:val="Normal"/>
    <w:rsid w:val="0092748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90">
    <w:name w:val="xl90"/>
    <w:basedOn w:val="Normal"/>
    <w:rsid w:val="00927485"/>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16"/>
      <w:szCs w:val="16"/>
    </w:rPr>
  </w:style>
  <w:style w:type="paragraph" w:customStyle="1" w:styleId="xl91">
    <w:name w:val="xl91"/>
    <w:basedOn w:val="Normal"/>
    <w:rsid w:val="00927485"/>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16"/>
      <w:szCs w:val="16"/>
    </w:rPr>
  </w:style>
  <w:style w:type="paragraph" w:customStyle="1" w:styleId="xl92">
    <w:name w:val="xl92"/>
    <w:basedOn w:val="Normal"/>
    <w:rsid w:val="00927485"/>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3">
    <w:name w:val="xl93"/>
    <w:basedOn w:val="Normal"/>
    <w:rsid w:val="0092748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4">
    <w:name w:val="xl94"/>
    <w:basedOn w:val="Normal"/>
    <w:rsid w:val="0092748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Normal"/>
    <w:rsid w:val="0092748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6"/>
      <w:szCs w:val="16"/>
    </w:rPr>
  </w:style>
  <w:style w:type="paragraph" w:customStyle="1" w:styleId="xl96">
    <w:name w:val="xl96"/>
    <w:basedOn w:val="Normal"/>
    <w:rsid w:val="0092748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7">
    <w:name w:val="xl97"/>
    <w:basedOn w:val="Normal"/>
    <w:rsid w:val="00927485"/>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8">
    <w:name w:val="xl98"/>
    <w:basedOn w:val="Normal"/>
    <w:rsid w:val="00927485"/>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99">
    <w:name w:val="xl99"/>
    <w:basedOn w:val="Normal"/>
    <w:rsid w:val="00927485"/>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0">
    <w:name w:val="xl100"/>
    <w:basedOn w:val="Normal"/>
    <w:rsid w:val="00927485"/>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1">
    <w:name w:val="xl101"/>
    <w:basedOn w:val="Normal"/>
    <w:rsid w:val="00927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102">
    <w:name w:val="xl102"/>
    <w:basedOn w:val="Normal"/>
    <w:rsid w:val="00927485"/>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3">
    <w:name w:val="xl103"/>
    <w:basedOn w:val="Normal"/>
    <w:rsid w:val="00927485"/>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4">
    <w:name w:val="xl104"/>
    <w:basedOn w:val="Normal"/>
    <w:rsid w:val="0092748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5">
    <w:name w:val="xl105"/>
    <w:basedOn w:val="Normal"/>
    <w:rsid w:val="00927485"/>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6">
    <w:name w:val="xl106"/>
    <w:basedOn w:val="Normal"/>
    <w:rsid w:val="0092748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7">
    <w:name w:val="xl107"/>
    <w:basedOn w:val="Normal"/>
    <w:rsid w:val="00927485"/>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8">
    <w:name w:val="xl108"/>
    <w:basedOn w:val="Normal"/>
    <w:rsid w:val="00927485"/>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9">
    <w:name w:val="xl109"/>
    <w:basedOn w:val="Normal"/>
    <w:rsid w:val="0092748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0">
    <w:name w:val="xl110"/>
    <w:basedOn w:val="Normal"/>
    <w:rsid w:val="00927485"/>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Normal"/>
    <w:rsid w:val="0092748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2">
    <w:name w:val="xl112"/>
    <w:basedOn w:val="Normal"/>
    <w:rsid w:val="0092748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3">
    <w:name w:val="xl113"/>
    <w:basedOn w:val="Normal"/>
    <w:rsid w:val="00927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4">
    <w:name w:val="xl114"/>
    <w:basedOn w:val="Normal"/>
    <w:rsid w:val="00927485"/>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Normal"/>
    <w:rsid w:val="00927485"/>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6">
    <w:name w:val="xl116"/>
    <w:basedOn w:val="Normal"/>
    <w:rsid w:val="0092748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7">
    <w:name w:val="xl117"/>
    <w:basedOn w:val="Normal"/>
    <w:rsid w:val="0092748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8">
    <w:name w:val="xl118"/>
    <w:basedOn w:val="Normal"/>
    <w:rsid w:val="0092748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character" w:customStyle="1" w:styleId="s2">
    <w:name w:val="s2"/>
    <w:basedOn w:val="Policepardfaut"/>
    <w:rsid w:val="00927485"/>
  </w:style>
  <w:style w:type="character" w:customStyle="1" w:styleId="s3">
    <w:name w:val="s3"/>
    <w:basedOn w:val="Policepardfaut"/>
    <w:rsid w:val="00927485"/>
  </w:style>
  <w:style w:type="character" w:customStyle="1" w:styleId="s4">
    <w:name w:val="s4"/>
    <w:basedOn w:val="Policepardfaut"/>
    <w:rsid w:val="00927485"/>
  </w:style>
  <w:style w:type="character" w:customStyle="1" w:styleId="UnresolvedMention5">
    <w:name w:val="Unresolved Mention5"/>
    <w:basedOn w:val="Policepardfaut"/>
    <w:uiPriority w:val="99"/>
    <w:semiHidden/>
    <w:unhideWhenUsed/>
    <w:rsid w:val="00927485"/>
    <w:rPr>
      <w:color w:val="605E5C"/>
      <w:shd w:val="clear" w:color="auto" w:fill="E1DFDD"/>
    </w:rPr>
  </w:style>
  <w:style w:type="numbering" w:customStyle="1" w:styleId="NoList4">
    <w:name w:val="No List4"/>
    <w:next w:val="Aucuneliste"/>
    <w:uiPriority w:val="99"/>
    <w:semiHidden/>
    <w:unhideWhenUsed/>
    <w:rsid w:val="00927485"/>
  </w:style>
  <w:style w:type="numbering" w:customStyle="1" w:styleId="NoList12">
    <w:name w:val="No List12"/>
    <w:next w:val="Aucuneliste"/>
    <w:uiPriority w:val="99"/>
    <w:semiHidden/>
    <w:unhideWhenUsed/>
    <w:rsid w:val="00927485"/>
  </w:style>
  <w:style w:type="numbering" w:customStyle="1" w:styleId="NoList21">
    <w:name w:val="No List21"/>
    <w:next w:val="Aucuneliste"/>
    <w:uiPriority w:val="99"/>
    <w:semiHidden/>
    <w:unhideWhenUsed/>
    <w:rsid w:val="00927485"/>
  </w:style>
  <w:style w:type="numbering" w:customStyle="1" w:styleId="NoList112">
    <w:name w:val="No List112"/>
    <w:next w:val="Aucuneliste"/>
    <w:semiHidden/>
    <w:rsid w:val="00927485"/>
  </w:style>
  <w:style w:type="numbering" w:customStyle="1" w:styleId="NoList31">
    <w:name w:val="No List31"/>
    <w:next w:val="Aucuneliste"/>
    <w:uiPriority w:val="99"/>
    <w:semiHidden/>
    <w:unhideWhenUsed/>
    <w:rsid w:val="00927485"/>
  </w:style>
  <w:style w:type="table" w:customStyle="1" w:styleId="TableGrid6">
    <w:name w:val="Table Grid6"/>
    <w:basedOn w:val="TableauNormal"/>
    <w:next w:val="Grilledutableau"/>
    <w:uiPriority w:val="39"/>
    <w:rsid w:val="00927485"/>
    <w:pPr>
      <w:spacing w:after="0" w:line="240" w:lineRule="auto"/>
    </w:pPr>
    <w:rPr>
      <w:rFonts w:ascii="Times New Roman" w:eastAsia="Times New Roman" w:hAnsi="Times New Roman" w:cs="Times New Roman"/>
      <w:sz w:val="20"/>
      <w:szCs w:val="20"/>
    </w:rPr>
    <w:tblPr/>
  </w:style>
  <w:style w:type="character" w:styleId="Mention">
    <w:name w:val="Mention"/>
    <w:basedOn w:val="Policepardfaut"/>
    <w:uiPriority w:val="99"/>
    <w:unhideWhenUsed/>
    <w:rsid w:val="00927485"/>
    <w:rPr>
      <w:color w:val="2B579A"/>
      <w:shd w:val="clear" w:color="auto" w:fill="E1DFDD"/>
    </w:rPr>
  </w:style>
  <w:style w:type="table" w:customStyle="1" w:styleId="19">
    <w:name w:val="19"/>
    <w:basedOn w:val="TableNormal0"/>
    <w:tblPr/>
  </w:style>
  <w:style w:type="table" w:customStyle="1" w:styleId="18">
    <w:name w:val="18"/>
    <w:basedOn w:val="TableNormal0"/>
    <w:tblPr/>
  </w:style>
  <w:style w:type="table" w:customStyle="1" w:styleId="17">
    <w:name w:val="17"/>
    <w:basedOn w:val="TableNormal0"/>
    <w:tblPr/>
  </w:style>
  <w:style w:type="table" w:customStyle="1" w:styleId="16">
    <w:name w:val="16"/>
    <w:basedOn w:val="TableNormal0"/>
    <w:tblPr/>
  </w:style>
  <w:style w:type="table" w:customStyle="1" w:styleId="15">
    <w:name w:val="15"/>
    <w:basedOn w:val="TableNormal0"/>
    <w:tblPr/>
  </w:style>
  <w:style w:type="table" w:customStyle="1" w:styleId="14">
    <w:name w:val="14"/>
    <w:basedOn w:val="TableNormal0"/>
    <w:tblPr/>
  </w:style>
  <w:style w:type="table" w:customStyle="1" w:styleId="13">
    <w:name w:val="13"/>
    <w:basedOn w:val="TableNormal0"/>
    <w:tblPr/>
  </w:style>
  <w:style w:type="table" w:customStyle="1" w:styleId="12">
    <w:name w:val="12"/>
    <w:basedOn w:val="TableNormal0"/>
    <w:tblPr/>
  </w:style>
  <w:style w:type="table" w:customStyle="1" w:styleId="11">
    <w:name w:val="11"/>
    <w:basedOn w:val="TableNormal0"/>
    <w:tblPr/>
  </w:style>
  <w:style w:type="table" w:customStyle="1" w:styleId="10">
    <w:name w:val="10"/>
    <w:basedOn w:val="TableNormal0"/>
    <w:tblPr/>
  </w:style>
  <w:style w:type="table" w:customStyle="1" w:styleId="9">
    <w:name w:val="9"/>
    <w:basedOn w:val="TableNormal0"/>
    <w:tblPr/>
  </w:style>
  <w:style w:type="table" w:customStyle="1" w:styleId="8">
    <w:name w:val="8"/>
    <w:basedOn w:val="TableNormal0"/>
    <w:tblPr/>
  </w:style>
  <w:style w:type="table" w:customStyle="1" w:styleId="7">
    <w:name w:val="7"/>
    <w:basedOn w:val="TableNormal0"/>
    <w:tblPr/>
  </w:style>
  <w:style w:type="table" w:customStyle="1" w:styleId="6">
    <w:name w:val="6"/>
    <w:basedOn w:val="TableNormal0"/>
    <w:tblPr/>
  </w:style>
  <w:style w:type="table" w:customStyle="1" w:styleId="5">
    <w:name w:val="5"/>
    <w:basedOn w:val="TableNormal0"/>
    <w:tblPr/>
  </w:style>
  <w:style w:type="table" w:customStyle="1" w:styleId="4">
    <w:name w:val="4"/>
    <w:basedOn w:val="TableNormal0"/>
    <w:pPr>
      <w:spacing w:after="0" w:line="240" w:lineRule="auto"/>
    </w:pPr>
    <w:rPr>
      <w:sz w:val="20"/>
      <w:szCs w:val="20"/>
    </w:rPr>
    <w:tblPr/>
  </w:style>
  <w:style w:type="table" w:customStyle="1" w:styleId="3">
    <w:name w:val="3"/>
    <w:basedOn w:val="TableNormal0"/>
    <w:tblPr/>
  </w:style>
  <w:style w:type="table" w:customStyle="1" w:styleId="2">
    <w:name w:val="2"/>
    <w:basedOn w:val="TableNormal0"/>
    <w:tblPr/>
  </w:style>
  <w:style w:type="table" w:customStyle="1" w:styleId="1">
    <w:name w:val="1"/>
    <w:basedOn w:val="TableNormal0"/>
    <w:tblPr/>
  </w:style>
  <w:style w:type="character" w:styleId="Textedelespacerserv">
    <w:name w:val="Placeholder Text"/>
    <w:basedOn w:val="Policepardfaut"/>
    <w:uiPriority w:val="99"/>
    <w:semiHidden/>
    <w:qFormat/>
    <w:rsid w:val="00263D2C"/>
    <w:rPr>
      <w:color w:val="666666"/>
    </w:rPr>
  </w:style>
  <w:style w:type="paragraph" w:styleId="TM4">
    <w:name w:val="toc 4"/>
    <w:basedOn w:val="Normal"/>
    <w:next w:val="Normal"/>
    <w:autoRedefine/>
    <w:uiPriority w:val="39"/>
    <w:semiHidden/>
    <w:unhideWhenUsed/>
    <w:rsid w:val="0077208A"/>
    <w:pPr>
      <w:spacing w:after="0"/>
      <w:ind w:left="660"/>
    </w:pPr>
    <w:rPr>
      <w:rFonts w:asciiTheme="minorHAnsi" w:hAnsiTheme="minorHAnsi"/>
      <w:sz w:val="20"/>
      <w:szCs w:val="20"/>
    </w:rPr>
  </w:style>
  <w:style w:type="paragraph" w:styleId="TM5">
    <w:name w:val="toc 5"/>
    <w:basedOn w:val="Normal"/>
    <w:next w:val="Normal"/>
    <w:autoRedefine/>
    <w:uiPriority w:val="39"/>
    <w:semiHidden/>
    <w:unhideWhenUsed/>
    <w:rsid w:val="0077208A"/>
    <w:pPr>
      <w:spacing w:after="0"/>
      <w:ind w:left="880"/>
    </w:pPr>
    <w:rPr>
      <w:rFonts w:asciiTheme="minorHAnsi" w:hAnsiTheme="minorHAnsi"/>
      <w:sz w:val="20"/>
      <w:szCs w:val="20"/>
    </w:rPr>
  </w:style>
  <w:style w:type="paragraph" w:styleId="TM6">
    <w:name w:val="toc 6"/>
    <w:basedOn w:val="Normal"/>
    <w:next w:val="Normal"/>
    <w:autoRedefine/>
    <w:uiPriority w:val="39"/>
    <w:semiHidden/>
    <w:unhideWhenUsed/>
    <w:rsid w:val="0077208A"/>
    <w:pPr>
      <w:spacing w:after="0"/>
      <w:ind w:left="1100"/>
    </w:pPr>
    <w:rPr>
      <w:rFonts w:asciiTheme="minorHAnsi" w:hAnsiTheme="minorHAnsi"/>
      <w:sz w:val="20"/>
      <w:szCs w:val="20"/>
    </w:rPr>
  </w:style>
  <w:style w:type="paragraph" w:styleId="TM7">
    <w:name w:val="toc 7"/>
    <w:basedOn w:val="Normal"/>
    <w:next w:val="Normal"/>
    <w:autoRedefine/>
    <w:uiPriority w:val="39"/>
    <w:semiHidden/>
    <w:unhideWhenUsed/>
    <w:rsid w:val="0077208A"/>
    <w:pPr>
      <w:spacing w:after="0"/>
      <w:ind w:left="1320"/>
    </w:pPr>
    <w:rPr>
      <w:rFonts w:asciiTheme="minorHAnsi" w:hAnsiTheme="minorHAnsi"/>
      <w:sz w:val="20"/>
      <w:szCs w:val="20"/>
    </w:rPr>
  </w:style>
  <w:style w:type="paragraph" w:styleId="TM8">
    <w:name w:val="toc 8"/>
    <w:basedOn w:val="Normal"/>
    <w:next w:val="Normal"/>
    <w:autoRedefine/>
    <w:uiPriority w:val="39"/>
    <w:semiHidden/>
    <w:unhideWhenUsed/>
    <w:rsid w:val="0077208A"/>
    <w:pPr>
      <w:spacing w:after="0"/>
      <w:ind w:left="1540"/>
    </w:pPr>
    <w:rPr>
      <w:rFonts w:asciiTheme="minorHAnsi" w:hAnsiTheme="minorHAnsi"/>
      <w:sz w:val="20"/>
      <w:szCs w:val="20"/>
    </w:rPr>
  </w:style>
  <w:style w:type="paragraph" w:styleId="TM9">
    <w:name w:val="toc 9"/>
    <w:basedOn w:val="Normal"/>
    <w:next w:val="Normal"/>
    <w:autoRedefine/>
    <w:uiPriority w:val="39"/>
    <w:semiHidden/>
    <w:unhideWhenUsed/>
    <w:rsid w:val="0077208A"/>
    <w:pPr>
      <w:spacing w:after="0"/>
      <w:ind w:left="1760"/>
    </w:pPr>
    <w:rPr>
      <w:rFonts w:asciiTheme="minorHAnsi" w:hAnsiTheme="minorHAnsi"/>
      <w:sz w:val="20"/>
      <w:szCs w:val="20"/>
    </w:rPr>
  </w:style>
  <w:style w:type="character" w:styleId="Mentionnonrsolue">
    <w:name w:val="Unresolved Mention"/>
    <w:basedOn w:val="Policepardfaut"/>
    <w:uiPriority w:val="99"/>
    <w:semiHidden/>
    <w:unhideWhenUsed/>
    <w:rsid w:val="007D5751"/>
    <w:rPr>
      <w:color w:val="605E5C"/>
      <w:shd w:val="clear" w:color="auto" w:fill="E1DFDD"/>
    </w:rPr>
  </w:style>
  <w:style w:type="paragraph" w:customStyle="1" w:styleId="xl37">
    <w:name w:val="xl37"/>
    <w:basedOn w:val="Normal"/>
    <w:rsid w:val="0053584C"/>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40">
    <w:name w:val="xl40"/>
    <w:basedOn w:val="Normal"/>
    <w:rsid w:val="0053584C"/>
    <w:pPr>
      <w:pBdr>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1">
    <w:name w:val="xl41"/>
    <w:basedOn w:val="Normal"/>
    <w:rsid w:val="0053584C"/>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2">
    <w:name w:val="xl42"/>
    <w:basedOn w:val="Normal"/>
    <w:rsid w:val="0053584C"/>
    <w:pPr>
      <w:pBdr>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3">
    <w:name w:val="xl43"/>
    <w:basedOn w:val="Normal"/>
    <w:rsid w:val="0053584C"/>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4">
    <w:name w:val="xl44"/>
    <w:basedOn w:val="Normal"/>
    <w:rsid w:val="0053584C"/>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5">
    <w:name w:val="xl45"/>
    <w:basedOn w:val="Normal"/>
    <w:rsid w:val="0053584C"/>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olor w:val="000000"/>
      <w:sz w:val="20"/>
      <w:szCs w:val="20"/>
    </w:rPr>
  </w:style>
  <w:style w:type="paragraph" w:customStyle="1" w:styleId="xl46">
    <w:name w:val="xl46"/>
    <w:basedOn w:val="Normal"/>
    <w:rsid w:val="0053584C"/>
    <w:pPr>
      <w:pBdr>
        <w:bottom w:val="single" w:sz="8" w:space="0" w:color="auto"/>
      </w:pBdr>
      <w:spacing w:before="100" w:beforeAutospacing="1" w:after="100" w:afterAutospacing="1" w:line="240" w:lineRule="auto"/>
      <w:jc w:val="center"/>
      <w:textAlignment w:val="center"/>
    </w:pPr>
    <w:rPr>
      <w:rFonts w:eastAsia="Times New Roman"/>
      <w:color w:val="000000"/>
      <w:sz w:val="20"/>
      <w:szCs w:val="20"/>
    </w:rPr>
  </w:style>
  <w:style w:type="paragraph" w:customStyle="1" w:styleId="xl47">
    <w:name w:val="xl47"/>
    <w:basedOn w:val="Normal"/>
    <w:rsid w:val="0053584C"/>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olor w:val="000000"/>
      <w:sz w:val="20"/>
      <w:szCs w:val="20"/>
    </w:rPr>
  </w:style>
  <w:style w:type="paragraph" w:customStyle="1" w:styleId="xl49">
    <w:name w:val="xl49"/>
    <w:basedOn w:val="Normal"/>
    <w:rsid w:val="0053584C"/>
    <w:pPr>
      <w:pBdr>
        <w:top w:val="single" w:sz="8" w:space="0" w:color="auto"/>
        <w:left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50">
    <w:name w:val="xl50"/>
    <w:basedOn w:val="Normal"/>
    <w:rsid w:val="0053584C"/>
    <w:pPr>
      <w:pBdr>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52">
    <w:name w:val="xl52"/>
    <w:basedOn w:val="Normal"/>
    <w:rsid w:val="0053584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53">
    <w:name w:val="xl53"/>
    <w:basedOn w:val="Normal"/>
    <w:rsid w:val="0053584C"/>
    <w:pPr>
      <w:pBdr>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55">
    <w:name w:val="xl55"/>
    <w:basedOn w:val="Normal"/>
    <w:rsid w:val="0053584C"/>
    <w:pPr>
      <w:pBdr>
        <w:top w:val="single" w:sz="8" w:space="0" w:color="000000"/>
        <w:bottom w:val="single" w:sz="8" w:space="0" w:color="auto"/>
        <w:right w:val="single" w:sz="8" w:space="0" w:color="auto"/>
      </w:pBdr>
      <w:shd w:val="clear" w:color="000000" w:fill="C6E0B4"/>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59">
    <w:name w:val="xl59"/>
    <w:basedOn w:val="Normal"/>
    <w:rsid w:val="0053584C"/>
    <w:pPr>
      <w:pBdr>
        <w:bottom w:val="single" w:sz="8" w:space="0" w:color="auto"/>
        <w:right w:val="single" w:sz="8" w:space="0" w:color="auto"/>
      </w:pBdr>
      <w:shd w:val="clear" w:color="000000" w:fill="C6E0B4"/>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61">
    <w:name w:val="xl61"/>
    <w:basedOn w:val="Normal"/>
    <w:rsid w:val="0053584C"/>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62">
    <w:name w:val="xl62"/>
    <w:basedOn w:val="Normal"/>
    <w:rsid w:val="0053584C"/>
    <w:pPr>
      <w:pBdr>
        <w:bottom w:val="single" w:sz="8" w:space="0" w:color="auto"/>
        <w:right w:val="single" w:sz="8" w:space="0" w:color="auto"/>
      </w:pBdr>
      <w:shd w:val="clear" w:color="000000" w:fill="A9D08E"/>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119">
    <w:name w:val="xl119"/>
    <w:basedOn w:val="Normal"/>
    <w:rsid w:val="0053584C"/>
    <w:pPr>
      <w:pBdr>
        <w:right w:val="single" w:sz="8" w:space="0" w:color="auto"/>
      </w:pBdr>
      <w:shd w:val="clear" w:color="000000" w:fill="00B0F0"/>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121">
    <w:name w:val="xl121"/>
    <w:basedOn w:val="Normal"/>
    <w:rsid w:val="0053584C"/>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2">
    <w:name w:val="xl122"/>
    <w:basedOn w:val="Normal"/>
    <w:rsid w:val="0053584C"/>
    <w:pPr>
      <w:pBdr>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23">
    <w:name w:val="xl123"/>
    <w:basedOn w:val="Normal"/>
    <w:rsid w:val="0053584C"/>
    <w:pPr>
      <w:pBdr>
        <w:lef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124">
    <w:name w:val="xl124"/>
    <w:basedOn w:val="Normal"/>
    <w:rsid w:val="0053584C"/>
    <w:pPr>
      <w:pBdr>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125">
    <w:name w:val="xl125"/>
    <w:basedOn w:val="Normal"/>
    <w:rsid w:val="0053584C"/>
    <w:pPr>
      <w:pBdr>
        <w:top w:val="single" w:sz="8" w:space="0" w:color="000000"/>
        <w:bottom w:val="single" w:sz="8" w:space="0" w:color="000000"/>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126">
    <w:name w:val="xl126"/>
    <w:basedOn w:val="Normal"/>
    <w:rsid w:val="0053584C"/>
    <w:pPr>
      <w:pBdr>
        <w:left w:val="single" w:sz="8" w:space="0" w:color="000000"/>
        <w:bottom w:val="single" w:sz="8" w:space="0" w:color="000000"/>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127">
    <w:name w:val="xl127"/>
    <w:basedOn w:val="Normal"/>
    <w:rsid w:val="0053584C"/>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128">
    <w:name w:val="xl128"/>
    <w:basedOn w:val="Normal"/>
    <w:rsid w:val="0053584C"/>
    <w:pPr>
      <w:pBdr>
        <w:top w:val="single" w:sz="8" w:space="0" w:color="000000"/>
        <w:bottom w:val="single" w:sz="8" w:space="0" w:color="000000"/>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129">
    <w:name w:val="xl129"/>
    <w:basedOn w:val="Normal"/>
    <w:rsid w:val="0053584C"/>
    <w:pPr>
      <w:pBdr>
        <w:top w:val="single" w:sz="8" w:space="0" w:color="000000"/>
        <w:bottom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131">
    <w:name w:val="xl131"/>
    <w:basedOn w:val="Normal"/>
    <w:rsid w:val="0053584C"/>
    <w:pPr>
      <w:pBdr>
        <w:top w:val="single" w:sz="8" w:space="0" w:color="000000"/>
      </w:pBdr>
      <w:shd w:val="clear" w:color="000000" w:fill="C6E0B4"/>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132">
    <w:name w:val="xl132"/>
    <w:basedOn w:val="Normal"/>
    <w:rsid w:val="0053584C"/>
    <w:pPr>
      <w:pBdr>
        <w:left w:val="single" w:sz="8" w:space="0" w:color="000000"/>
        <w:bottom w:val="single" w:sz="8" w:space="0" w:color="000000"/>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133">
    <w:name w:val="xl133"/>
    <w:basedOn w:val="Normal"/>
    <w:rsid w:val="0053584C"/>
    <w:pPr>
      <w:pBdr>
        <w:bottom w:val="single" w:sz="8" w:space="0" w:color="000000"/>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137">
    <w:name w:val="xl137"/>
    <w:basedOn w:val="Normal"/>
    <w:rsid w:val="0053584C"/>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138">
    <w:name w:val="xl138"/>
    <w:basedOn w:val="Normal"/>
    <w:rsid w:val="0053584C"/>
    <w:pPr>
      <w:pBdr>
        <w:bottom w:val="single" w:sz="4" w:space="0" w:color="auto"/>
      </w:pBdr>
      <w:shd w:val="clear" w:color="000000" w:fill="00B0F0"/>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139">
    <w:name w:val="xl139"/>
    <w:basedOn w:val="Normal"/>
    <w:rsid w:val="0053584C"/>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140">
    <w:name w:val="xl140"/>
    <w:basedOn w:val="Normal"/>
    <w:rsid w:val="0053584C"/>
    <w:pPr>
      <w:pBdr>
        <w:bottom w:val="single" w:sz="8" w:space="0" w:color="auto"/>
        <w:right w:val="single" w:sz="8" w:space="0" w:color="auto"/>
      </w:pBdr>
      <w:shd w:val="clear" w:color="000000" w:fill="595959"/>
      <w:spacing w:before="100" w:beforeAutospacing="1" w:after="100" w:afterAutospacing="1" w:line="240" w:lineRule="auto"/>
      <w:jc w:val="right"/>
      <w:textAlignment w:val="center"/>
    </w:pPr>
    <w:rPr>
      <w:rFonts w:ascii="Times New Roman" w:eastAsia="Times New Roman" w:hAnsi="Times New Roman" w:cs="Times New Roman"/>
      <w:b/>
      <w:bCs/>
      <w:color w:val="FFFFFF"/>
      <w:sz w:val="20"/>
      <w:szCs w:val="20"/>
    </w:rPr>
  </w:style>
  <w:style w:type="paragraph" w:customStyle="1" w:styleId="xl142">
    <w:name w:val="xl142"/>
    <w:basedOn w:val="Normal"/>
    <w:rsid w:val="0053584C"/>
    <w:pPr>
      <w:pBdr>
        <w:top w:val="single" w:sz="8" w:space="0" w:color="000000"/>
        <w:left w:val="single" w:sz="8" w:space="0" w:color="000000"/>
        <w:bottom w:val="single" w:sz="8" w:space="0" w:color="000000"/>
        <w:right w:val="single" w:sz="8" w:space="0" w:color="000000"/>
      </w:pBdr>
      <w:shd w:val="clear" w:color="000000" w:fill="595959"/>
      <w:spacing w:before="100" w:beforeAutospacing="1" w:after="100" w:afterAutospacing="1" w:line="240" w:lineRule="auto"/>
      <w:jc w:val="right"/>
      <w:textAlignment w:val="center"/>
    </w:pPr>
    <w:rPr>
      <w:rFonts w:ascii="Times New Roman" w:eastAsia="Times New Roman" w:hAnsi="Times New Roman" w:cs="Times New Roman"/>
      <w:b/>
      <w:bCs/>
      <w:color w:val="FFFFFF"/>
      <w:sz w:val="20"/>
      <w:szCs w:val="20"/>
    </w:rPr>
  </w:style>
  <w:style w:type="paragraph" w:customStyle="1" w:styleId="xl145">
    <w:name w:val="xl145"/>
    <w:basedOn w:val="Normal"/>
    <w:rsid w:val="0053584C"/>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46">
    <w:name w:val="xl146"/>
    <w:basedOn w:val="Normal"/>
    <w:rsid w:val="0053584C"/>
    <w:pPr>
      <w:pBdr>
        <w:top w:val="single" w:sz="8" w:space="0" w:color="000000"/>
        <w:bottom w:val="single" w:sz="8" w:space="0" w:color="auto"/>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48">
    <w:name w:val="xl148"/>
    <w:basedOn w:val="Normal"/>
    <w:rsid w:val="0053584C"/>
    <w:pPr>
      <w:pBdr>
        <w:bottom w:val="single" w:sz="8" w:space="0" w:color="auto"/>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149">
    <w:name w:val="xl149"/>
    <w:basedOn w:val="Normal"/>
    <w:rsid w:val="0053584C"/>
    <w:pPr>
      <w:pBdr>
        <w:bottom w:val="single" w:sz="8" w:space="0" w:color="auto"/>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50">
    <w:name w:val="xl150"/>
    <w:basedOn w:val="Normal"/>
    <w:rsid w:val="0053584C"/>
    <w:pPr>
      <w:pBdr>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51">
    <w:name w:val="xl151"/>
    <w:basedOn w:val="Normal"/>
    <w:rsid w:val="0053584C"/>
    <w:pPr>
      <w:pBdr>
        <w:top w:val="single" w:sz="8" w:space="0" w:color="000000"/>
        <w:bottom w:val="single" w:sz="8" w:space="0" w:color="auto"/>
        <w:right w:val="single" w:sz="8" w:space="0" w:color="000000"/>
      </w:pBdr>
      <w:shd w:val="clear" w:color="000000" w:fill="C6E0B4"/>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152">
    <w:name w:val="xl152"/>
    <w:basedOn w:val="Normal"/>
    <w:rsid w:val="0053584C"/>
    <w:pPr>
      <w:pBdr>
        <w:bottom w:val="single" w:sz="8" w:space="0" w:color="auto"/>
        <w:right w:val="single" w:sz="8" w:space="0" w:color="000000"/>
      </w:pBdr>
      <w:spacing w:before="100" w:beforeAutospacing="1" w:after="100" w:afterAutospacing="1" w:line="240" w:lineRule="auto"/>
      <w:jc w:val="center"/>
      <w:textAlignment w:val="center"/>
    </w:pPr>
    <w:rPr>
      <w:rFonts w:eastAsia="Times New Roman"/>
      <w:color w:val="000000"/>
      <w:sz w:val="20"/>
      <w:szCs w:val="20"/>
    </w:rPr>
  </w:style>
  <w:style w:type="paragraph" w:customStyle="1" w:styleId="xl153">
    <w:name w:val="xl153"/>
    <w:basedOn w:val="Normal"/>
    <w:rsid w:val="0053584C"/>
    <w:pPr>
      <w:pBdr>
        <w:right w:val="single" w:sz="8" w:space="0" w:color="000000"/>
      </w:pBdr>
      <w:shd w:val="clear" w:color="000000" w:fill="00B0F0"/>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154">
    <w:name w:val="xl154"/>
    <w:basedOn w:val="Normal"/>
    <w:rsid w:val="0053584C"/>
    <w:pPr>
      <w:pBdr>
        <w:top w:val="single" w:sz="8" w:space="0" w:color="auto"/>
        <w:left w:val="single" w:sz="8" w:space="0" w:color="auto"/>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55">
    <w:name w:val="xl155"/>
    <w:basedOn w:val="Normal"/>
    <w:rsid w:val="0053584C"/>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56">
    <w:name w:val="xl156"/>
    <w:basedOn w:val="Normal"/>
    <w:rsid w:val="0053584C"/>
    <w:pPr>
      <w:pBdr>
        <w:bottom w:val="single" w:sz="8" w:space="0" w:color="auto"/>
        <w:right w:val="single" w:sz="8" w:space="0" w:color="000000"/>
      </w:pBdr>
      <w:shd w:val="clear" w:color="000000" w:fill="C6E0B4"/>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157">
    <w:name w:val="xl157"/>
    <w:basedOn w:val="Normal"/>
    <w:rsid w:val="0053584C"/>
    <w:pPr>
      <w:pBdr>
        <w:top w:val="single" w:sz="8" w:space="0" w:color="auto"/>
        <w:left w:val="single" w:sz="8" w:space="0" w:color="auto"/>
        <w:bottom w:val="single" w:sz="8" w:space="0" w:color="auto"/>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58">
    <w:name w:val="xl158"/>
    <w:basedOn w:val="Normal"/>
    <w:rsid w:val="0053584C"/>
    <w:pPr>
      <w:pBdr>
        <w:bottom w:val="single" w:sz="8" w:space="0" w:color="auto"/>
        <w:right w:val="single" w:sz="8" w:space="0" w:color="000000"/>
      </w:pBdr>
      <w:shd w:val="clear" w:color="000000" w:fill="A9D08E"/>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159">
    <w:name w:val="xl159"/>
    <w:basedOn w:val="Normal"/>
    <w:rsid w:val="0053584C"/>
    <w:pPr>
      <w:pBdr>
        <w:top w:val="single" w:sz="8" w:space="0" w:color="auto"/>
        <w:bottom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60">
    <w:name w:val="xl160"/>
    <w:basedOn w:val="Normal"/>
    <w:rsid w:val="0053584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1">
    <w:name w:val="xl161"/>
    <w:basedOn w:val="Normal"/>
    <w:rsid w:val="0053584C"/>
    <w:pPr>
      <w:pBdr>
        <w:top w:val="single" w:sz="4" w:space="0" w:color="000000"/>
        <w:left w:val="single" w:sz="8"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62">
    <w:name w:val="xl162"/>
    <w:basedOn w:val="Normal"/>
    <w:rsid w:val="0053584C"/>
    <w:pPr>
      <w:pBdr>
        <w:top w:val="single" w:sz="4" w:space="0" w:color="000000"/>
        <w:left w:val="single" w:sz="8" w:space="0" w:color="000000"/>
        <w:bottom w:val="single" w:sz="8"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64">
    <w:name w:val="xl164"/>
    <w:basedOn w:val="Normal"/>
    <w:rsid w:val="0053584C"/>
    <w:pPr>
      <w:pBdr>
        <w:top w:val="single" w:sz="8" w:space="0" w:color="000000"/>
        <w:lef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66">
    <w:name w:val="xl166"/>
    <w:basedOn w:val="Normal"/>
    <w:rsid w:val="0053584C"/>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68">
    <w:name w:val="xl168"/>
    <w:basedOn w:val="Normal"/>
    <w:rsid w:val="0053584C"/>
    <w:pPr>
      <w:pBdr>
        <w:top w:val="single" w:sz="8" w:space="0" w:color="000000"/>
        <w:left w:val="single" w:sz="8" w:space="0" w:color="000000"/>
        <w:bottom w:val="single" w:sz="8" w:space="0" w:color="000000"/>
        <w:right w:val="single" w:sz="8" w:space="0" w:color="000000"/>
      </w:pBdr>
      <w:shd w:val="clear" w:color="000000" w:fill="C6E0B4"/>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169">
    <w:name w:val="xl169"/>
    <w:basedOn w:val="Normal"/>
    <w:rsid w:val="0053584C"/>
    <w:pPr>
      <w:pBdr>
        <w:top w:val="single" w:sz="8" w:space="0" w:color="000000"/>
        <w:bottom w:val="single" w:sz="8" w:space="0" w:color="000000"/>
        <w:right w:val="single" w:sz="8" w:space="0" w:color="000000"/>
      </w:pBdr>
      <w:shd w:val="clear" w:color="000000" w:fill="C6E0B4"/>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170">
    <w:name w:val="xl170"/>
    <w:basedOn w:val="Normal"/>
    <w:rsid w:val="0053584C"/>
    <w:pPr>
      <w:pBdr>
        <w:top w:val="single" w:sz="8" w:space="0" w:color="auto"/>
        <w:left w:val="single" w:sz="8" w:space="0" w:color="000000"/>
      </w:pBdr>
      <w:shd w:val="clear" w:color="000000" w:fill="FFD966"/>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171">
    <w:name w:val="xl171"/>
    <w:basedOn w:val="Normal"/>
    <w:rsid w:val="0053584C"/>
    <w:pPr>
      <w:pBdr>
        <w:top w:val="single" w:sz="8" w:space="0" w:color="auto"/>
        <w:bottom w:val="single" w:sz="8" w:space="0" w:color="000000"/>
      </w:pBdr>
      <w:shd w:val="clear" w:color="000000" w:fill="FFD966"/>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172">
    <w:name w:val="xl172"/>
    <w:basedOn w:val="Normal"/>
    <w:rsid w:val="0053584C"/>
    <w:pPr>
      <w:pBdr>
        <w:top w:val="single" w:sz="8" w:space="0" w:color="auto"/>
        <w:bottom w:val="single" w:sz="8" w:space="0" w:color="000000"/>
        <w:right w:val="single" w:sz="8" w:space="0" w:color="auto"/>
      </w:pBdr>
      <w:shd w:val="clear" w:color="000000" w:fill="FFD966"/>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173">
    <w:name w:val="xl173"/>
    <w:basedOn w:val="Normal"/>
    <w:rsid w:val="0053584C"/>
    <w:pPr>
      <w:pBdr>
        <w:bottom w:val="single" w:sz="8" w:space="0" w:color="000000"/>
        <w:right w:val="single" w:sz="8" w:space="0" w:color="000000"/>
      </w:pBdr>
      <w:shd w:val="clear" w:color="000000" w:fill="FFD966"/>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174">
    <w:name w:val="xl174"/>
    <w:basedOn w:val="Normal"/>
    <w:rsid w:val="0053584C"/>
    <w:pPr>
      <w:pBdr>
        <w:top w:val="single" w:sz="8" w:space="0" w:color="auto"/>
        <w:bottom w:val="single" w:sz="8" w:space="0" w:color="000000"/>
        <w:right w:val="single" w:sz="8" w:space="0" w:color="auto"/>
      </w:pBdr>
      <w:shd w:val="clear" w:color="000000" w:fill="FFD966"/>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175">
    <w:name w:val="xl175"/>
    <w:basedOn w:val="Normal"/>
    <w:rsid w:val="0053584C"/>
    <w:pPr>
      <w:pBdr>
        <w:bottom w:val="single" w:sz="8" w:space="0" w:color="000000"/>
        <w:right w:val="single" w:sz="8" w:space="0" w:color="auto"/>
      </w:pBdr>
      <w:shd w:val="clear" w:color="000000" w:fill="FFD966"/>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177">
    <w:name w:val="xl177"/>
    <w:basedOn w:val="Normal"/>
    <w:rsid w:val="0053584C"/>
    <w:pPr>
      <w:pBdr>
        <w:bottom w:val="single" w:sz="8" w:space="0" w:color="auto"/>
        <w:right w:val="single" w:sz="8" w:space="0" w:color="000000"/>
      </w:pBdr>
      <w:shd w:val="clear" w:color="000000" w:fill="FFD96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178">
    <w:name w:val="xl178"/>
    <w:basedOn w:val="Normal"/>
    <w:rsid w:val="0053584C"/>
    <w:pPr>
      <w:pBdr>
        <w:bottom w:val="single" w:sz="8" w:space="0" w:color="auto"/>
        <w:right w:val="single" w:sz="8" w:space="0" w:color="auto"/>
      </w:pBdr>
      <w:shd w:val="clear" w:color="000000" w:fill="FFD96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363">
    <w:name w:val="xl363"/>
    <w:basedOn w:val="Normal"/>
    <w:rsid w:val="0053584C"/>
    <w:pPr>
      <w:pBdr>
        <w:left w:val="single" w:sz="8"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364">
    <w:name w:val="xl364"/>
    <w:basedOn w:val="Normal"/>
    <w:rsid w:val="0053584C"/>
    <w:pPr>
      <w:pBdr>
        <w:right w:val="single" w:sz="8" w:space="0" w:color="auto"/>
      </w:pBdr>
      <w:shd w:val="clear" w:color="000000" w:fill="A9D08E"/>
      <w:spacing w:before="100" w:beforeAutospacing="1" w:after="100" w:afterAutospacing="1" w:line="240" w:lineRule="auto"/>
      <w:textAlignment w:val="center"/>
    </w:pPr>
    <w:rPr>
      <w:rFonts w:eastAsia="Times New Roman"/>
      <w:b/>
      <w:bCs/>
      <w:color w:val="000000"/>
      <w:sz w:val="20"/>
      <w:szCs w:val="20"/>
    </w:rPr>
  </w:style>
  <w:style w:type="paragraph" w:customStyle="1" w:styleId="xl366">
    <w:name w:val="xl366"/>
    <w:basedOn w:val="Normal"/>
    <w:rsid w:val="0053584C"/>
    <w:pPr>
      <w:pBdr>
        <w:right w:val="single" w:sz="8" w:space="0" w:color="auto"/>
      </w:pBdr>
      <w:shd w:val="clear" w:color="000000" w:fill="FFC000"/>
      <w:spacing w:before="100" w:beforeAutospacing="1" w:after="100" w:afterAutospacing="1" w:line="240" w:lineRule="auto"/>
      <w:textAlignment w:val="center"/>
    </w:pPr>
    <w:rPr>
      <w:rFonts w:eastAsia="Times New Roman"/>
      <w:b/>
      <w:bCs/>
      <w:color w:val="000000"/>
      <w:sz w:val="20"/>
      <w:szCs w:val="20"/>
    </w:rPr>
  </w:style>
  <w:style w:type="paragraph" w:customStyle="1" w:styleId="xl367">
    <w:name w:val="xl367"/>
    <w:basedOn w:val="Normal"/>
    <w:rsid w:val="0053584C"/>
    <w:pPr>
      <w:pBdr>
        <w:left w:val="single" w:sz="8"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371">
    <w:name w:val="xl371"/>
    <w:basedOn w:val="Normal"/>
    <w:rsid w:val="0053584C"/>
    <w:pPr>
      <w:pBdr>
        <w:bottom w:val="single" w:sz="8" w:space="0" w:color="000000"/>
        <w:right w:val="single" w:sz="8" w:space="0" w:color="000000"/>
      </w:pBdr>
      <w:shd w:val="clear" w:color="000000" w:fill="FFC000"/>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372">
    <w:name w:val="xl372"/>
    <w:basedOn w:val="Normal"/>
    <w:rsid w:val="0053584C"/>
    <w:pPr>
      <w:pBdr>
        <w:bottom w:val="single" w:sz="8" w:space="0" w:color="auto"/>
        <w:right w:val="single" w:sz="8" w:space="0" w:color="auto"/>
      </w:pBdr>
      <w:shd w:val="clear" w:color="000000" w:fill="FFC000"/>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391">
    <w:name w:val="xl391"/>
    <w:basedOn w:val="Normal"/>
    <w:rsid w:val="0053584C"/>
    <w:pPr>
      <w:pBdr>
        <w:left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12">
    <w:name w:val="xl412"/>
    <w:basedOn w:val="Normal"/>
    <w:rsid w:val="0053584C"/>
    <w:pPr>
      <w:pBdr>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413">
    <w:name w:val="xl413"/>
    <w:basedOn w:val="Normal"/>
    <w:rsid w:val="0053584C"/>
    <w:pPr>
      <w:pBdr>
        <w:top w:val="single" w:sz="8" w:space="0" w:color="000000"/>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14">
    <w:name w:val="xl414"/>
    <w:basedOn w:val="Normal"/>
    <w:rsid w:val="0053584C"/>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15">
    <w:name w:val="xl415"/>
    <w:basedOn w:val="Normal"/>
    <w:rsid w:val="0053584C"/>
    <w:pPr>
      <w:pBdr>
        <w:left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17">
    <w:name w:val="xl417"/>
    <w:basedOn w:val="Normal"/>
    <w:rsid w:val="0053584C"/>
    <w:pPr>
      <w:pBdr>
        <w:right w:val="single" w:sz="8" w:space="0" w:color="auto"/>
      </w:pBdr>
      <w:spacing w:before="100" w:beforeAutospacing="1" w:after="100" w:afterAutospacing="1" w:line="240" w:lineRule="auto"/>
      <w:jc w:val="center"/>
      <w:textAlignment w:val="center"/>
    </w:pPr>
    <w:rPr>
      <w:rFonts w:eastAsia="Times New Roman"/>
      <w:b/>
      <w:bCs/>
      <w:color w:val="000000"/>
      <w:sz w:val="20"/>
      <w:szCs w:val="20"/>
    </w:rPr>
  </w:style>
  <w:style w:type="paragraph" w:customStyle="1" w:styleId="xl418">
    <w:name w:val="xl418"/>
    <w:basedOn w:val="Normal"/>
    <w:rsid w:val="0053584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19">
    <w:name w:val="xl419"/>
    <w:basedOn w:val="Normal"/>
    <w:rsid w:val="0053584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20">
    <w:name w:val="xl420"/>
    <w:basedOn w:val="Normal"/>
    <w:rsid w:val="0053584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21">
    <w:name w:val="xl421"/>
    <w:basedOn w:val="Normal"/>
    <w:rsid w:val="0053584C"/>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22">
    <w:name w:val="xl422"/>
    <w:basedOn w:val="Normal"/>
    <w:rsid w:val="0053584C"/>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eastAsia="Times New Roman"/>
      <w:color w:val="000000"/>
      <w:sz w:val="20"/>
      <w:szCs w:val="20"/>
    </w:rPr>
  </w:style>
  <w:style w:type="paragraph" w:customStyle="1" w:styleId="xl423">
    <w:name w:val="xl423"/>
    <w:basedOn w:val="Normal"/>
    <w:rsid w:val="0053584C"/>
    <w:pPr>
      <w:pBdr>
        <w:left w:val="single" w:sz="8" w:space="0" w:color="000000"/>
        <w:right w:val="single" w:sz="8" w:space="0" w:color="000000"/>
      </w:pBdr>
      <w:spacing w:before="100" w:beforeAutospacing="1" w:after="100" w:afterAutospacing="1" w:line="240" w:lineRule="auto"/>
      <w:jc w:val="center"/>
      <w:textAlignment w:val="center"/>
    </w:pPr>
    <w:rPr>
      <w:rFonts w:eastAsia="Times New Roman"/>
      <w:color w:val="000000"/>
      <w:sz w:val="20"/>
      <w:szCs w:val="20"/>
    </w:rPr>
  </w:style>
  <w:style w:type="paragraph" w:customStyle="1" w:styleId="xl424">
    <w:name w:val="xl424"/>
    <w:basedOn w:val="Normal"/>
    <w:rsid w:val="0053584C"/>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olor w:val="000000"/>
      <w:sz w:val="20"/>
      <w:szCs w:val="20"/>
    </w:rPr>
  </w:style>
  <w:style w:type="paragraph" w:customStyle="1" w:styleId="xl425">
    <w:name w:val="xl425"/>
    <w:basedOn w:val="Normal"/>
    <w:rsid w:val="0053584C"/>
    <w:pPr>
      <w:pBdr>
        <w:bottom w:val="single" w:sz="8" w:space="0" w:color="auto"/>
      </w:pBdr>
      <w:spacing w:before="100" w:beforeAutospacing="1" w:after="100" w:afterAutospacing="1" w:line="240" w:lineRule="auto"/>
      <w:jc w:val="center"/>
      <w:textAlignment w:val="center"/>
    </w:pPr>
    <w:rPr>
      <w:rFonts w:eastAsia="Times New Roman"/>
      <w:b/>
      <w:bCs/>
      <w:color w:val="000000"/>
      <w:sz w:val="20"/>
      <w:szCs w:val="20"/>
    </w:rPr>
  </w:style>
  <w:style w:type="paragraph" w:customStyle="1" w:styleId="xl426">
    <w:name w:val="xl426"/>
    <w:basedOn w:val="Normal"/>
    <w:rsid w:val="0053584C"/>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bCs/>
      <w:color w:val="000000"/>
      <w:sz w:val="20"/>
      <w:szCs w:val="20"/>
    </w:rPr>
  </w:style>
  <w:style w:type="paragraph" w:customStyle="1" w:styleId="xl427">
    <w:name w:val="xl427"/>
    <w:basedOn w:val="Normal"/>
    <w:rsid w:val="0053584C"/>
    <w:pPr>
      <w:pBdr>
        <w:top w:val="single" w:sz="8" w:space="0" w:color="000000"/>
        <w:left w:val="single" w:sz="8" w:space="0" w:color="000000"/>
      </w:pBdr>
      <w:spacing w:before="100" w:beforeAutospacing="1" w:after="100" w:afterAutospacing="1" w:line="240" w:lineRule="auto"/>
      <w:jc w:val="center"/>
      <w:textAlignment w:val="center"/>
    </w:pPr>
    <w:rPr>
      <w:rFonts w:eastAsia="Times New Roman"/>
      <w:b/>
      <w:bCs/>
      <w:color w:val="000000"/>
      <w:sz w:val="20"/>
      <w:szCs w:val="20"/>
    </w:rPr>
  </w:style>
  <w:style w:type="paragraph" w:customStyle="1" w:styleId="xl428">
    <w:name w:val="xl428"/>
    <w:basedOn w:val="Normal"/>
    <w:rsid w:val="0053584C"/>
    <w:pPr>
      <w:pBdr>
        <w:top w:val="single" w:sz="8" w:space="0" w:color="000000"/>
        <w:right w:val="single" w:sz="8" w:space="0" w:color="auto"/>
      </w:pBdr>
      <w:spacing w:before="100" w:beforeAutospacing="1" w:after="100" w:afterAutospacing="1" w:line="240" w:lineRule="auto"/>
      <w:jc w:val="center"/>
      <w:textAlignment w:val="center"/>
    </w:pPr>
    <w:rPr>
      <w:rFonts w:eastAsia="Times New Roman"/>
      <w:b/>
      <w:bCs/>
      <w:color w:val="000000"/>
      <w:sz w:val="20"/>
      <w:szCs w:val="20"/>
    </w:rPr>
  </w:style>
  <w:style w:type="paragraph" w:customStyle="1" w:styleId="xl429">
    <w:name w:val="xl429"/>
    <w:basedOn w:val="Normal"/>
    <w:rsid w:val="0053584C"/>
    <w:pPr>
      <w:pBdr>
        <w:left w:val="single" w:sz="8" w:space="0" w:color="000000"/>
      </w:pBdr>
      <w:spacing w:before="100" w:beforeAutospacing="1" w:after="100" w:afterAutospacing="1" w:line="240" w:lineRule="auto"/>
      <w:jc w:val="center"/>
      <w:textAlignment w:val="center"/>
    </w:pPr>
    <w:rPr>
      <w:rFonts w:eastAsia="Times New Roman"/>
      <w:b/>
      <w:bCs/>
      <w:color w:val="000000"/>
      <w:sz w:val="20"/>
      <w:szCs w:val="20"/>
    </w:rPr>
  </w:style>
  <w:style w:type="paragraph" w:customStyle="1" w:styleId="xl437">
    <w:name w:val="xl437"/>
    <w:basedOn w:val="Normal"/>
    <w:rsid w:val="0053584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38">
    <w:name w:val="xl438"/>
    <w:basedOn w:val="Normal"/>
    <w:rsid w:val="0053584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39">
    <w:name w:val="xl439"/>
    <w:basedOn w:val="Normal"/>
    <w:rsid w:val="0053584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40">
    <w:name w:val="xl440"/>
    <w:basedOn w:val="Normal"/>
    <w:rsid w:val="0053584C"/>
    <w:pPr>
      <w:pBdr>
        <w:left w:val="single" w:sz="8" w:space="0" w:color="000000"/>
        <w:bottom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41">
    <w:name w:val="xl441"/>
    <w:basedOn w:val="Normal"/>
    <w:rsid w:val="0053584C"/>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42">
    <w:name w:val="xl442"/>
    <w:basedOn w:val="Normal"/>
    <w:rsid w:val="0053584C"/>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43">
    <w:name w:val="xl443"/>
    <w:basedOn w:val="Normal"/>
    <w:rsid w:val="0053584C"/>
    <w:pPr>
      <w:pBdr>
        <w:left w:val="single" w:sz="8" w:space="0" w:color="auto"/>
        <w:bottom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44">
    <w:name w:val="xl444"/>
    <w:basedOn w:val="Normal"/>
    <w:rsid w:val="0053584C"/>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45">
    <w:name w:val="xl445"/>
    <w:basedOn w:val="Normal"/>
    <w:rsid w:val="0053584C"/>
    <w:pPr>
      <w:pBdr>
        <w:top w:val="single" w:sz="8" w:space="0" w:color="000000"/>
        <w:left w:val="single" w:sz="8" w:space="0" w:color="000000"/>
        <w:bottom w:val="single" w:sz="8" w:space="0" w:color="000000"/>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46">
    <w:name w:val="xl446"/>
    <w:basedOn w:val="Normal"/>
    <w:rsid w:val="0053584C"/>
    <w:pPr>
      <w:pBdr>
        <w:top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47">
    <w:name w:val="xl447"/>
    <w:basedOn w:val="Normal"/>
    <w:rsid w:val="0053584C"/>
    <w:pPr>
      <w:pBdr>
        <w:top w:val="single" w:sz="8" w:space="0" w:color="auto"/>
        <w:left w:val="single" w:sz="8" w:space="0" w:color="auto"/>
        <w:bottom w:val="single" w:sz="8" w:space="0" w:color="auto"/>
      </w:pBdr>
      <w:spacing w:before="100" w:beforeAutospacing="1" w:after="100" w:afterAutospacing="1" w:line="240" w:lineRule="auto"/>
      <w:jc w:val="right"/>
      <w:textAlignment w:val="center"/>
    </w:pPr>
    <w:rPr>
      <w:rFonts w:eastAsia="Times New Roman"/>
      <w:color w:val="000000"/>
      <w:sz w:val="20"/>
      <w:szCs w:val="20"/>
    </w:rPr>
  </w:style>
  <w:style w:type="paragraph" w:customStyle="1" w:styleId="xl448">
    <w:name w:val="xl448"/>
    <w:basedOn w:val="Normal"/>
    <w:rsid w:val="0053584C"/>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eastAsia="Times New Roman"/>
      <w:color w:val="000000"/>
      <w:sz w:val="20"/>
      <w:szCs w:val="20"/>
    </w:rPr>
  </w:style>
  <w:style w:type="paragraph" w:customStyle="1" w:styleId="xl449">
    <w:name w:val="xl449"/>
    <w:basedOn w:val="Normal"/>
    <w:rsid w:val="0053584C"/>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50">
    <w:name w:val="xl450"/>
    <w:basedOn w:val="Normal"/>
    <w:rsid w:val="0053584C"/>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51">
    <w:name w:val="xl451"/>
    <w:basedOn w:val="Normal"/>
    <w:rsid w:val="0053584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52">
    <w:name w:val="xl452"/>
    <w:basedOn w:val="Normal"/>
    <w:rsid w:val="0053584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55">
    <w:name w:val="xl455"/>
    <w:basedOn w:val="Normal"/>
    <w:rsid w:val="0053584C"/>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56">
    <w:name w:val="xl456"/>
    <w:basedOn w:val="Normal"/>
    <w:rsid w:val="0053584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64">
    <w:name w:val="xl464"/>
    <w:basedOn w:val="Normal"/>
    <w:rsid w:val="0053584C"/>
    <w:pPr>
      <w:pBdr>
        <w:top w:val="single" w:sz="8" w:space="0" w:color="000000"/>
        <w:left w:val="single" w:sz="8" w:space="0" w:color="000000"/>
        <w:bottom w:val="single" w:sz="8" w:space="0" w:color="000000"/>
      </w:pBdr>
      <w:spacing w:before="100" w:beforeAutospacing="1" w:after="100" w:afterAutospacing="1" w:line="240" w:lineRule="auto"/>
      <w:jc w:val="both"/>
      <w:textAlignment w:val="center"/>
    </w:pPr>
    <w:rPr>
      <w:rFonts w:ascii="Times New Roman" w:eastAsia="Times New Roman" w:hAnsi="Times New Roman" w:cs="Times New Roman"/>
      <w:color w:val="000000"/>
      <w:sz w:val="20"/>
      <w:szCs w:val="20"/>
    </w:rPr>
  </w:style>
  <w:style w:type="paragraph" w:customStyle="1" w:styleId="xl465">
    <w:name w:val="xl465"/>
    <w:basedOn w:val="Normal"/>
    <w:rsid w:val="0053584C"/>
    <w:pPr>
      <w:pBdr>
        <w:top w:val="single" w:sz="8" w:space="0" w:color="000000"/>
        <w:bottom w:val="single" w:sz="8" w:space="0" w:color="000000"/>
      </w:pBdr>
      <w:spacing w:before="100" w:beforeAutospacing="1" w:after="100" w:afterAutospacing="1" w:line="240" w:lineRule="auto"/>
      <w:jc w:val="both"/>
      <w:textAlignment w:val="center"/>
    </w:pPr>
    <w:rPr>
      <w:rFonts w:ascii="Times New Roman" w:eastAsia="Times New Roman" w:hAnsi="Times New Roman" w:cs="Times New Roman"/>
      <w:color w:val="000000"/>
      <w:sz w:val="20"/>
      <w:szCs w:val="20"/>
    </w:rPr>
  </w:style>
  <w:style w:type="paragraph" w:customStyle="1" w:styleId="xl466">
    <w:name w:val="xl466"/>
    <w:basedOn w:val="Normal"/>
    <w:rsid w:val="0053584C"/>
    <w:pPr>
      <w:pBdr>
        <w:top w:val="single" w:sz="8" w:space="0" w:color="000000"/>
        <w:bottom w:val="single" w:sz="8" w:space="0" w:color="000000"/>
        <w:right w:val="single" w:sz="8" w:space="0" w:color="000000"/>
      </w:pBdr>
      <w:spacing w:before="100" w:beforeAutospacing="1" w:after="100" w:afterAutospacing="1" w:line="240" w:lineRule="auto"/>
      <w:jc w:val="both"/>
      <w:textAlignment w:val="center"/>
    </w:pPr>
    <w:rPr>
      <w:rFonts w:ascii="Times New Roman" w:eastAsia="Times New Roman" w:hAnsi="Times New Roman" w:cs="Times New Roman"/>
      <w:color w:val="000000"/>
      <w:sz w:val="20"/>
      <w:szCs w:val="20"/>
    </w:rPr>
  </w:style>
  <w:style w:type="paragraph" w:customStyle="1" w:styleId="xl467">
    <w:name w:val="xl467"/>
    <w:basedOn w:val="Normal"/>
    <w:rsid w:val="0053584C"/>
    <w:pPr>
      <w:pBdr>
        <w:top w:val="single" w:sz="8" w:space="0" w:color="000000"/>
        <w:left w:val="single" w:sz="8" w:space="0" w:color="000000"/>
        <w:bottom w:val="single" w:sz="8" w:space="0" w:color="000000"/>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sz w:val="20"/>
      <w:szCs w:val="20"/>
    </w:rPr>
  </w:style>
  <w:style w:type="paragraph" w:customStyle="1" w:styleId="xl468">
    <w:name w:val="xl468"/>
    <w:basedOn w:val="Normal"/>
    <w:rsid w:val="0053584C"/>
    <w:pPr>
      <w:pBdr>
        <w:top w:val="single" w:sz="8" w:space="0" w:color="000000"/>
        <w:bottom w:val="single" w:sz="8" w:space="0" w:color="000000"/>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sz w:val="20"/>
      <w:szCs w:val="20"/>
    </w:rPr>
  </w:style>
  <w:style w:type="paragraph" w:customStyle="1" w:styleId="xl469">
    <w:name w:val="xl469"/>
    <w:basedOn w:val="Normal"/>
    <w:rsid w:val="0053584C"/>
    <w:pPr>
      <w:pBdr>
        <w:top w:val="single" w:sz="8" w:space="0" w:color="000000"/>
        <w:bottom w:val="single" w:sz="8" w:space="0" w:color="000000"/>
        <w:right w:val="single" w:sz="8" w:space="0" w:color="000000"/>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sz w:val="20"/>
      <w:szCs w:val="20"/>
    </w:rPr>
  </w:style>
  <w:style w:type="paragraph" w:customStyle="1" w:styleId="xl470">
    <w:name w:val="xl470"/>
    <w:basedOn w:val="Normal"/>
    <w:rsid w:val="0053584C"/>
    <w:pPr>
      <w:pBdr>
        <w:top w:val="single" w:sz="8" w:space="0" w:color="000000"/>
        <w:left w:val="single" w:sz="8" w:space="0" w:color="000000"/>
        <w:bottom w:val="single" w:sz="8" w:space="0" w:color="000000"/>
      </w:pBdr>
      <w:spacing w:before="100" w:beforeAutospacing="1" w:after="100" w:afterAutospacing="1" w:line="240" w:lineRule="auto"/>
      <w:jc w:val="both"/>
      <w:textAlignment w:val="center"/>
    </w:pPr>
    <w:rPr>
      <w:rFonts w:ascii="Times New Roman" w:eastAsia="Times New Roman" w:hAnsi="Times New Roman" w:cs="Times New Roman"/>
      <w:sz w:val="20"/>
      <w:szCs w:val="20"/>
    </w:rPr>
  </w:style>
  <w:style w:type="paragraph" w:customStyle="1" w:styleId="xl471">
    <w:name w:val="xl471"/>
    <w:basedOn w:val="Normal"/>
    <w:rsid w:val="0053584C"/>
    <w:pPr>
      <w:pBdr>
        <w:top w:val="single" w:sz="8" w:space="0" w:color="000000"/>
        <w:bottom w:val="single" w:sz="8" w:space="0" w:color="000000"/>
      </w:pBdr>
      <w:spacing w:before="100" w:beforeAutospacing="1" w:after="100" w:afterAutospacing="1" w:line="240" w:lineRule="auto"/>
      <w:jc w:val="both"/>
      <w:textAlignment w:val="center"/>
    </w:pPr>
    <w:rPr>
      <w:rFonts w:ascii="Times New Roman" w:eastAsia="Times New Roman" w:hAnsi="Times New Roman" w:cs="Times New Roman"/>
      <w:sz w:val="20"/>
      <w:szCs w:val="20"/>
    </w:rPr>
  </w:style>
  <w:style w:type="paragraph" w:customStyle="1" w:styleId="xl472">
    <w:name w:val="xl472"/>
    <w:basedOn w:val="Normal"/>
    <w:rsid w:val="0053584C"/>
    <w:pPr>
      <w:pBdr>
        <w:top w:val="single" w:sz="8" w:space="0" w:color="000000"/>
        <w:bottom w:val="single" w:sz="8" w:space="0" w:color="000000"/>
        <w:right w:val="single" w:sz="8" w:space="0" w:color="000000"/>
      </w:pBdr>
      <w:spacing w:before="100" w:beforeAutospacing="1" w:after="100" w:afterAutospacing="1" w:line="240" w:lineRule="auto"/>
      <w:jc w:val="both"/>
      <w:textAlignment w:val="center"/>
    </w:pPr>
    <w:rPr>
      <w:rFonts w:ascii="Times New Roman" w:eastAsia="Times New Roman" w:hAnsi="Times New Roman" w:cs="Times New Roman"/>
      <w:sz w:val="20"/>
      <w:szCs w:val="20"/>
    </w:rPr>
  </w:style>
  <w:style w:type="paragraph" w:customStyle="1" w:styleId="xl473">
    <w:name w:val="xl473"/>
    <w:basedOn w:val="Normal"/>
    <w:rsid w:val="0053584C"/>
    <w:pPr>
      <w:pBdr>
        <w:top w:val="single" w:sz="8" w:space="0" w:color="000000"/>
        <w:left w:val="single" w:sz="8" w:space="0" w:color="000000"/>
        <w:bottom w:val="single" w:sz="8" w:space="0" w:color="000000"/>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color w:val="000000"/>
      <w:sz w:val="20"/>
      <w:szCs w:val="20"/>
    </w:rPr>
  </w:style>
  <w:style w:type="paragraph" w:customStyle="1" w:styleId="xl474">
    <w:name w:val="xl474"/>
    <w:basedOn w:val="Normal"/>
    <w:rsid w:val="0053584C"/>
    <w:pPr>
      <w:pBdr>
        <w:top w:val="single" w:sz="8" w:space="0" w:color="000000"/>
        <w:bottom w:val="single" w:sz="8" w:space="0" w:color="000000"/>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color w:val="000000"/>
      <w:sz w:val="20"/>
      <w:szCs w:val="20"/>
    </w:rPr>
  </w:style>
  <w:style w:type="paragraph" w:customStyle="1" w:styleId="xl475">
    <w:name w:val="xl475"/>
    <w:basedOn w:val="Normal"/>
    <w:rsid w:val="0053584C"/>
    <w:pPr>
      <w:pBdr>
        <w:top w:val="single" w:sz="8" w:space="0" w:color="000000"/>
        <w:bottom w:val="single" w:sz="8" w:space="0" w:color="000000"/>
        <w:right w:val="single" w:sz="8" w:space="0" w:color="000000"/>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color w:val="000000"/>
      <w:sz w:val="20"/>
      <w:szCs w:val="20"/>
    </w:rPr>
  </w:style>
  <w:style w:type="paragraph" w:customStyle="1" w:styleId="xl476">
    <w:name w:val="xl476"/>
    <w:basedOn w:val="Normal"/>
    <w:rsid w:val="0053584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82">
    <w:name w:val="xl482"/>
    <w:basedOn w:val="Normal"/>
    <w:rsid w:val="0053584C"/>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83">
    <w:name w:val="xl483"/>
    <w:basedOn w:val="Normal"/>
    <w:rsid w:val="0053584C"/>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84">
    <w:name w:val="xl484"/>
    <w:basedOn w:val="Normal"/>
    <w:rsid w:val="0053584C"/>
    <w:pPr>
      <w:pBdr>
        <w:top w:val="single" w:sz="8" w:space="0" w:color="000000"/>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85">
    <w:name w:val="xl485"/>
    <w:basedOn w:val="Normal"/>
    <w:rsid w:val="0053584C"/>
    <w:pPr>
      <w:pBdr>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86">
    <w:name w:val="xl486"/>
    <w:basedOn w:val="Normal"/>
    <w:rsid w:val="0053584C"/>
    <w:pPr>
      <w:pBdr>
        <w:top w:val="single" w:sz="8" w:space="0" w:color="000000"/>
        <w:lef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87">
    <w:name w:val="xl487"/>
    <w:basedOn w:val="Normal"/>
    <w:rsid w:val="0053584C"/>
    <w:pPr>
      <w:pBdr>
        <w:top w:val="single" w:sz="8" w:space="0" w:color="000000"/>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88">
    <w:name w:val="xl488"/>
    <w:basedOn w:val="Normal"/>
    <w:rsid w:val="0053584C"/>
    <w:pPr>
      <w:pBdr>
        <w:lef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92">
    <w:name w:val="xl492"/>
    <w:basedOn w:val="Normal"/>
    <w:rsid w:val="0053584C"/>
    <w:pPr>
      <w:pBdr>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494">
    <w:name w:val="xl494"/>
    <w:basedOn w:val="Normal"/>
    <w:rsid w:val="0053584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95">
    <w:name w:val="xl495"/>
    <w:basedOn w:val="Normal"/>
    <w:rsid w:val="0053584C"/>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96">
    <w:name w:val="xl496"/>
    <w:basedOn w:val="Normal"/>
    <w:rsid w:val="0053584C"/>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97">
    <w:name w:val="xl497"/>
    <w:basedOn w:val="Normal"/>
    <w:rsid w:val="0053584C"/>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98">
    <w:name w:val="xl498"/>
    <w:basedOn w:val="Normal"/>
    <w:rsid w:val="0053584C"/>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99">
    <w:name w:val="xl499"/>
    <w:basedOn w:val="Normal"/>
    <w:rsid w:val="0053584C"/>
    <w:pPr>
      <w:pBdr>
        <w:top w:val="single" w:sz="8" w:space="0" w:color="auto"/>
        <w:lef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500">
    <w:name w:val="xl500"/>
    <w:basedOn w:val="Normal"/>
    <w:rsid w:val="0053584C"/>
    <w:pPr>
      <w:pBdr>
        <w:top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501">
    <w:name w:val="xl501"/>
    <w:basedOn w:val="Normal"/>
    <w:rsid w:val="0053584C"/>
    <w:pPr>
      <w:pBdr>
        <w:top w:val="single" w:sz="8" w:space="0" w:color="auto"/>
        <w:left w:val="single" w:sz="8" w:space="0" w:color="auto"/>
        <w:bottom w:val="single" w:sz="8" w:space="0" w:color="auto"/>
      </w:pBdr>
      <w:shd w:val="clear" w:color="000000" w:fill="C6E0B4"/>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502">
    <w:name w:val="xl502"/>
    <w:basedOn w:val="Normal"/>
    <w:rsid w:val="0053584C"/>
    <w:pPr>
      <w:pBdr>
        <w:top w:val="single" w:sz="8" w:space="0" w:color="auto"/>
        <w:bottom w:val="single" w:sz="8" w:space="0" w:color="auto"/>
        <w:right w:val="single" w:sz="8" w:space="0" w:color="auto"/>
      </w:pBdr>
      <w:shd w:val="clear" w:color="000000" w:fill="C6E0B4"/>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505">
    <w:name w:val="xl505"/>
    <w:basedOn w:val="Normal"/>
    <w:rsid w:val="0053584C"/>
    <w:pPr>
      <w:pBdr>
        <w:top w:val="single" w:sz="8" w:space="0" w:color="auto"/>
        <w:left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506">
    <w:name w:val="xl506"/>
    <w:basedOn w:val="Normal"/>
    <w:rsid w:val="0053584C"/>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507">
    <w:name w:val="xl507"/>
    <w:basedOn w:val="Normal"/>
    <w:rsid w:val="0053584C"/>
    <w:pPr>
      <w:pBdr>
        <w:top w:val="single" w:sz="8" w:space="0" w:color="auto"/>
        <w:left w:val="single" w:sz="8" w:space="0" w:color="auto"/>
        <w:bottom w:val="single" w:sz="8" w:space="0" w:color="auto"/>
      </w:pBdr>
      <w:shd w:val="clear" w:color="000000" w:fill="FFD96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508">
    <w:name w:val="xl508"/>
    <w:basedOn w:val="Normal"/>
    <w:rsid w:val="0053584C"/>
    <w:pPr>
      <w:pBdr>
        <w:top w:val="single" w:sz="8" w:space="0" w:color="auto"/>
        <w:bottom w:val="single" w:sz="8" w:space="0" w:color="auto"/>
      </w:pBdr>
      <w:shd w:val="clear" w:color="000000" w:fill="FFD96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509">
    <w:name w:val="xl509"/>
    <w:basedOn w:val="Normal"/>
    <w:rsid w:val="0053584C"/>
    <w:pPr>
      <w:pBdr>
        <w:top w:val="single" w:sz="8" w:space="0" w:color="auto"/>
        <w:bottom w:val="single" w:sz="8" w:space="0" w:color="auto"/>
        <w:right w:val="single" w:sz="8" w:space="0" w:color="auto"/>
      </w:pBdr>
      <w:shd w:val="clear" w:color="000000" w:fill="FFD96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510">
    <w:name w:val="xl510"/>
    <w:basedOn w:val="Normal"/>
    <w:rsid w:val="0053584C"/>
    <w:pPr>
      <w:pBdr>
        <w:left w:val="single" w:sz="8" w:space="0" w:color="auto"/>
        <w:bottom w:val="single" w:sz="8" w:space="0" w:color="auto"/>
      </w:pBdr>
      <w:shd w:val="clear" w:color="000000" w:fill="C6E0B4"/>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511">
    <w:name w:val="xl511"/>
    <w:basedOn w:val="Normal"/>
    <w:rsid w:val="0053584C"/>
    <w:pPr>
      <w:pBdr>
        <w:bottom w:val="single" w:sz="8" w:space="0" w:color="auto"/>
      </w:pBdr>
      <w:shd w:val="clear" w:color="000000" w:fill="C6E0B4"/>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514">
    <w:name w:val="xl514"/>
    <w:basedOn w:val="Normal"/>
    <w:rsid w:val="0053584C"/>
    <w:pPr>
      <w:pBdr>
        <w:top w:val="single" w:sz="8" w:space="0" w:color="000000"/>
        <w:left w:val="single" w:sz="8" w:space="0" w:color="000000"/>
        <w:bottom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515">
    <w:name w:val="xl515"/>
    <w:basedOn w:val="Normal"/>
    <w:rsid w:val="0053584C"/>
    <w:pPr>
      <w:pBdr>
        <w:top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516">
    <w:name w:val="xl516"/>
    <w:basedOn w:val="Normal"/>
    <w:rsid w:val="0053584C"/>
    <w:pPr>
      <w:pBdr>
        <w:top w:val="single" w:sz="8" w:space="0" w:color="000000"/>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517">
    <w:name w:val="xl517"/>
    <w:basedOn w:val="Normal"/>
    <w:rsid w:val="0053584C"/>
    <w:pPr>
      <w:pBdr>
        <w:top w:val="single" w:sz="8" w:space="0" w:color="000000"/>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518">
    <w:name w:val="xl518"/>
    <w:basedOn w:val="Normal"/>
    <w:rsid w:val="0053584C"/>
    <w:pPr>
      <w:pBdr>
        <w:top w:val="single" w:sz="8" w:space="0" w:color="auto"/>
        <w:bottom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519">
    <w:name w:val="xl519"/>
    <w:basedOn w:val="Normal"/>
    <w:rsid w:val="0053584C"/>
    <w:pPr>
      <w:pBdr>
        <w:top w:val="single" w:sz="8" w:space="0" w:color="auto"/>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520">
    <w:name w:val="xl520"/>
    <w:basedOn w:val="Normal"/>
    <w:rsid w:val="0053584C"/>
    <w:pPr>
      <w:pBdr>
        <w:top w:val="single" w:sz="8" w:space="0" w:color="000000"/>
        <w:left w:val="single" w:sz="8" w:space="0" w:color="000000"/>
        <w:bottom w:val="single" w:sz="8" w:space="0" w:color="000000"/>
      </w:pBdr>
      <w:shd w:val="clear" w:color="000000" w:fill="C6E0B4"/>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522">
    <w:name w:val="xl522"/>
    <w:basedOn w:val="Normal"/>
    <w:rsid w:val="0053584C"/>
    <w:pPr>
      <w:pBdr>
        <w:top w:val="single" w:sz="8" w:space="0" w:color="000000"/>
        <w:right w:val="single" w:sz="8" w:space="0" w:color="000000"/>
      </w:pBdr>
      <w:shd w:val="clear" w:color="000000" w:fill="C6E0B4"/>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523">
    <w:name w:val="xl523"/>
    <w:basedOn w:val="Normal"/>
    <w:rsid w:val="0053584C"/>
    <w:pPr>
      <w:pBdr>
        <w:top w:val="single" w:sz="8" w:space="0" w:color="000000"/>
        <w:left w:val="single" w:sz="8" w:space="0" w:color="auto"/>
        <w:bottom w:val="single" w:sz="8" w:space="0" w:color="auto"/>
      </w:pBdr>
      <w:shd w:val="clear" w:color="000000" w:fill="C6E0B4"/>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524">
    <w:name w:val="xl524"/>
    <w:basedOn w:val="Normal"/>
    <w:rsid w:val="0053584C"/>
    <w:pPr>
      <w:pBdr>
        <w:top w:val="single" w:sz="8" w:space="0" w:color="000000"/>
        <w:bottom w:val="single" w:sz="8" w:space="0" w:color="auto"/>
      </w:pBdr>
      <w:shd w:val="clear" w:color="000000" w:fill="C6E0B4"/>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525">
    <w:name w:val="xl525"/>
    <w:basedOn w:val="Normal"/>
    <w:rsid w:val="0053584C"/>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526">
    <w:name w:val="xl526"/>
    <w:basedOn w:val="Normal"/>
    <w:rsid w:val="0053584C"/>
    <w:pPr>
      <w:pBdr>
        <w:bottom w:val="single" w:sz="8" w:space="0" w:color="auto"/>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527">
    <w:name w:val="xl527"/>
    <w:basedOn w:val="Normal"/>
    <w:rsid w:val="0053584C"/>
    <w:pPr>
      <w:pBdr>
        <w:top w:val="single" w:sz="8" w:space="0" w:color="auto"/>
        <w:bottom w:val="single" w:sz="8" w:space="0" w:color="auto"/>
      </w:pBdr>
      <w:spacing w:before="100" w:beforeAutospacing="1" w:after="100" w:afterAutospacing="1" w:line="240" w:lineRule="auto"/>
      <w:textAlignment w:val="center"/>
    </w:pPr>
    <w:rPr>
      <w:rFonts w:eastAsia="Times New Roman"/>
      <w:color w:val="000000"/>
      <w:sz w:val="20"/>
      <w:szCs w:val="20"/>
    </w:rPr>
  </w:style>
  <w:style w:type="paragraph" w:customStyle="1" w:styleId="xl528">
    <w:name w:val="xl528"/>
    <w:basedOn w:val="Normal"/>
    <w:rsid w:val="0053584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color w:val="000000"/>
      <w:sz w:val="20"/>
      <w:szCs w:val="20"/>
    </w:rPr>
  </w:style>
  <w:style w:type="paragraph" w:customStyle="1" w:styleId="xl529">
    <w:name w:val="xl529"/>
    <w:basedOn w:val="Normal"/>
    <w:rsid w:val="0053584C"/>
    <w:pPr>
      <w:pBdr>
        <w:left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531">
    <w:name w:val="xl531"/>
    <w:basedOn w:val="Normal"/>
    <w:rsid w:val="0053584C"/>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532">
    <w:name w:val="xl532"/>
    <w:basedOn w:val="Normal"/>
    <w:rsid w:val="0053584C"/>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533">
    <w:name w:val="xl533"/>
    <w:basedOn w:val="Normal"/>
    <w:rsid w:val="0053584C"/>
    <w:pPr>
      <w:pBdr>
        <w:top w:val="single" w:sz="8" w:space="0" w:color="auto"/>
        <w:left w:val="single" w:sz="8" w:space="0" w:color="auto"/>
        <w:bottom w:val="single" w:sz="8" w:space="0" w:color="000000"/>
      </w:pBdr>
      <w:shd w:val="clear" w:color="000000" w:fill="FFD966"/>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535">
    <w:name w:val="xl535"/>
    <w:basedOn w:val="Normal"/>
    <w:rsid w:val="0053584C"/>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36">
    <w:name w:val="xl536"/>
    <w:basedOn w:val="Normal"/>
    <w:rsid w:val="0053584C"/>
    <w:pPr>
      <w:pBdr>
        <w:top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37">
    <w:name w:val="xl537"/>
    <w:basedOn w:val="Normal"/>
    <w:rsid w:val="0053584C"/>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538">
    <w:name w:val="xl538"/>
    <w:basedOn w:val="Normal"/>
    <w:rsid w:val="0053584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539">
    <w:name w:val="xl539"/>
    <w:basedOn w:val="Normal"/>
    <w:rsid w:val="0053584C"/>
    <w:pPr>
      <w:pBdr>
        <w:top w:val="single" w:sz="8" w:space="0" w:color="auto"/>
        <w:left w:val="single" w:sz="8" w:space="0" w:color="auto"/>
        <w:bottom w:val="single" w:sz="8" w:space="0" w:color="auto"/>
      </w:pBdr>
      <w:shd w:val="clear" w:color="000000" w:fill="00B0F0"/>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540">
    <w:name w:val="xl540"/>
    <w:basedOn w:val="Normal"/>
    <w:rsid w:val="0053584C"/>
    <w:pPr>
      <w:pBdr>
        <w:top w:val="single" w:sz="8" w:space="0" w:color="auto"/>
        <w:bottom w:val="single" w:sz="8" w:space="0" w:color="auto"/>
        <w:right w:val="single" w:sz="8" w:space="0" w:color="auto"/>
      </w:pBdr>
      <w:shd w:val="clear" w:color="000000" w:fill="00B0F0"/>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541">
    <w:name w:val="xl541"/>
    <w:basedOn w:val="Normal"/>
    <w:rsid w:val="0053584C"/>
    <w:pPr>
      <w:pBdr>
        <w:top w:val="single" w:sz="8" w:space="0" w:color="auto"/>
        <w:left w:val="single" w:sz="8" w:space="0" w:color="auto"/>
        <w:bottom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42">
    <w:name w:val="xl542"/>
    <w:basedOn w:val="Normal"/>
    <w:rsid w:val="0053584C"/>
    <w:pPr>
      <w:pBdr>
        <w:top w:val="single" w:sz="8" w:space="0" w:color="auto"/>
        <w:bottom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43">
    <w:name w:val="xl543"/>
    <w:basedOn w:val="Normal"/>
    <w:rsid w:val="0053584C"/>
    <w:pPr>
      <w:pBdr>
        <w:top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47">
    <w:name w:val="xl547"/>
    <w:basedOn w:val="Normal"/>
    <w:rsid w:val="0053584C"/>
    <w:pPr>
      <w:pBdr>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48">
    <w:name w:val="xl548"/>
    <w:basedOn w:val="Normal"/>
    <w:rsid w:val="0053584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49">
    <w:name w:val="xl549"/>
    <w:basedOn w:val="Normal"/>
    <w:rsid w:val="0053584C"/>
    <w:pPr>
      <w:pBdr>
        <w:top w:val="single" w:sz="8" w:space="0" w:color="auto"/>
        <w:left w:val="single" w:sz="8" w:space="0" w:color="000000"/>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550">
    <w:name w:val="xl550"/>
    <w:basedOn w:val="Normal"/>
    <w:rsid w:val="0053584C"/>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551">
    <w:name w:val="xl551"/>
    <w:basedOn w:val="Normal"/>
    <w:rsid w:val="0053584C"/>
    <w:pPr>
      <w:pBdr>
        <w:left w:val="single" w:sz="8" w:space="0" w:color="000000"/>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552">
    <w:name w:val="xl552"/>
    <w:basedOn w:val="Normal"/>
    <w:rsid w:val="0053584C"/>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553">
    <w:name w:val="xl553"/>
    <w:basedOn w:val="Normal"/>
    <w:rsid w:val="0053584C"/>
    <w:pPr>
      <w:pBdr>
        <w:left w:val="single" w:sz="8" w:space="0" w:color="000000"/>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554">
    <w:name w:val="xl554"/>
    <w:basedOn w:val="Normal"/>
    <w:rsid w:val="0053584C"/>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555">
    <w:name w:val="xl555"/>
    <w:basedOn w:val="Normal"/>
    <w:rsid w:val="0053584C"/>
    <w:pPr>
      <w:pBdr>
        <w:top w:val="single" w:sz="8" w:space="0" w:color="auto"/>
        <w:left w:val="single" w:sz="8" w:space="0" w:color="auto"/>
        <w:bottom w:val="single" w:sz="8" w:space="0" w:color="auto"/>
      </w:pBdr>
      <w:spacing w:before="100" w:beforeAutospacing="1" w:after="100" w:afterAutospacing="1" w:line="240" w:lineRule="auto"/>
      <w:textAlignment w:val="center"/>
    </w:pPr>
    <w:rPr>
      <w:rFonts w:eastAsia="Times New Roman"/>
      <w:color w:val="000000"/>
      <w:sz w:val="20"/>
      <w:szCs w:val="20"/>
    </w:rPr>
  </w:style>
  <w:style w:type="paragraph" w:customStyle="1" w:styleId="xl556">
    <w:name w:val="xl556"/>
    <w:basedOn w:val="Normal"/>
    <w:rsid w:val="0053584C"/>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557">
    <w:name w:val="xl557"/>
    <w:basedOn w:val="Normal"/>
    <w:rsid w:val="0053584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558">
    <w:name w:val="xl558"/>
    <w:basedOn w:val="Normal"/>
    <w:rsid w:val="0053584C"/>
    <w:pPr>
      <w:pBdr>
        <w:top w:val="single" w:sz="8" w:space="0" w:color="auto"/>
        <w:left w:val="single" w:sz="8" w:space="0" w:color="auto"/>
        <w:bottom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59">
    <w:name w:val="xl559"/>
    <w:basedOn w:val="Normal"/>
    <w:rsid w:val="0053584C"/>
    <w:pPr>
      <w:pBdr>
        <w:top w:val="single" w:sz="8" w:space="0" w:color="auto"/>
        <w:bottom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60">
    <w:name w:val="xl560"/>
    <w:basedOn w:val="Normal"/>
    <w:rsid w:val="0053584C"/>
    <w:pPr>
      <w:pBdr>
        <w:top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61">
    <w:name w:val="xl561"/>
    <w:basedOn w:val="Normal"/>
    <w:rsid w:val="0053584C"/>
    <w:pPr>
      <w:pBdr>
        <w:top w:val="single" w:sz="8" w:space="0" w:color="auto"/>
        <w:left w:val="single" w:sz="8" w:space="0" w:color="auto"/>
        <w:bottom w:val="single" w:sz="8" w:space="0" w:color="auto"/>
      </w:pBdr>
      <w:shd w:val="clear" w:color="000000" w:fill="A9D08E"/>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562">
    <w:name w:val="xl562"/>
    <w:basedOn w:val="Normal"/>
    <w:rsid w:val="0053584C"/>
    <w:pPr>
      <w:pBdr>
        <w:top w:val="single" w:sz="8" w:space="0" w:color="auto"/>
        <w:bottom w:val="single" w:sz="8" w:space="0" w:color="auto"/>
        <w:right w:val="single" w:sz="8" w:space="0" w:color="auto"/>
      </w:pBdr>
      <w:shd w:val="clear" w:color="000000" w:fill="A9D08E"/>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563">
    <w:name w:val="xl563"/>
    <w:basedOn w:val="Normal"/>
    <w:rsid w:val="0053584C"/>
    <w:pPr>
      <w:pBdr>
        <w:top w:val="single" w:sz="8" w:space="0" w:color="auto"/>
        <w:left w:val="single" w:sz="8" w:space="0" w:color="000000"/>
        <w:bottom w:val="single" w:sz="8" w:space="0" w:color="000000"/>
      </w:pBdr>
      <w:shd w:val="clear" w:color="000000" w:fill="FFC000"/>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564">
    <w:name w:val="xl564"/>
    <w:basedOn w:val="Normal"/>
    <w:rsid w:val="0053584C"/>
    <w:pPr>
      <w:pBdr>
        <w:top w:val="single" w:sz="8" w:space="0" w:color="auto"/>
        <w:bottom w:val="single" w:sz="8" w:space="0" w:color="000000"/>
      </w:pBdr>
      <w:shd w:val="clear" w:color="000000" w:fill="FFC000"/>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565">
    <w:name w:val="xl565"/>
    <w:basedOn w:val="Normal"/>
    <w:rsid w:val="0053584C"/>
    <w:pPr>
      <w:pBdr>
        <w:top w:val="single" w:sz="8" w:space="0" w:color="auto"/>
        <w:bottom w:val="single" w:sz="8" w:space="0" w:color="000000"/>
        <w:right w:val="single" w:sz="8" w:space="0" w:color="auto"/>
      </w:pBdr>
      <w:shd w:val="clear" w:color="000000" w:fill="FFC000"/>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566">
    <w:name w:val="xl566"/>
    <w:basedOn w:val="Normal"/>
    <w:rsid w:val="0053584C"/>
    <w:pPr>
      <w:pBdr>
        <w:top w:val="single" w:sz="8" w:space="0" w:color="auto"/>
        <w:left w:val="single" w:sz="8" w:space="0" w:color="auto"/>
        <w:bottom w:val="single" w:sz="8" w:space="0" w:color="auto"/>
      </w:pBdr>
      <w:shd w:val="clear" w:color="000000" w:fill="FFC000"/>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567">
    <w:name w:val="xl567"/>
    <w:basedOn w:val="Normal"/>
    <w:rsid w:val="0053584C"/>
    <w:pPr>
      <w:pBdr>
        <w:top w:val="single" w:sz="8" w:space="0" w:color="auto"/>
        <w:bottom w:val="single" w:sz="8" w:space="0" w:color="auto"/>
        <w:right w:val="single" w:sz="8" w:space="0" w:color="auto"/>
      </w:pBdr>
      <w:shd w:val="clear" w:color="000000" w:fill="FFC000"/>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569">
    <w:name w:val="xl569"/>
    <w:basedOn w:val="Normal"/>
    <w:rsid w:val="0053584C"/>
    <w:pPr>
      <w:pBdr>
        <w:top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70">
    <w:name w:val="xl570"/>
    <w:basedOn w:val="Normal"/>
    <w:rsid w:val="0053584C"/>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71">
    <w:name w:val="xl571"/>
    <w:basedOn w:val="Normal"/>
    <w:rsid w:val="0053584C"/>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72">
    <w:name w:val="xl572"/>
    <w:basedOn w:val="Normal"/>
    <w:rsid w:val="0053584C"/>
    <w:pPr>
      <w:pBdr>
        <w:top w:val="single" w:sz="8" w:space="0" w:color="000000"/>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73">
    <w:name w:val="xl573"/>
    <w:basedOn w:val="Normal"/>
    <w:rsid w:val="0053584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74">
    <w:name w:val="xl574"/>
    <w:basedOn w:val="Normal"/>
    <w:rsid w:val="0053584C"/>
    <w:pPr>
      <w:pBdr>
        <w:top w:val="single" w:sz="8" w:space="0" w:color="000000"/>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575">
    <w:name w:val="xl575"/>
    <w:basedOn w:val="Normal"/>
    <w:rsid w:val="0053584C"/>
    <w:pPr>
      <w:pBdr>
        <w:top w:val="single" w:sz="8" w:space="0" w:color="000000"/>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576">
    <w:name w:val="xl576"/>
    <w:basedOn w:val="Normal"/>
    <w:rsid w:val="0053584C"/>
    <w:pPr>
      <w:pBdr>
        <w:top w:val="single" w:sz="8" w:space="0" w:color="auto"/>
        <w:left w:val="single" w:sz="8" w:space="0" w:color="auto"/>
        <w:bottom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77">
    <w:name w:val="xl577"/>
    <w:basedOn w:val="Normal"/>
    <w:rsid w:val="0053584C"/>
    <w:pPr>
      <w:pBdr>
        <w:top w:val="single" w:sz="8" w:space="0" w:color="auto"/>
        <w:bottom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78">
    <w:name w:val="xl578"/>
    <w:basedOn w:val="Normal"/>
    <w:rsid w:val="0053584C"/>
    <w:pPr>
      <w:pBdr>
        <w:top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79">
    <w:name w:val="xl579"/>
    <w:basedOn w:val="Normal"/>
    <w:rsid w:val="0053584C"/>
    <w:pPr>
      <w:pBdr>
        <w:top w:val="single" w:sz="8" w:space="0" w:color="auto"/>
        <w:left w:val="single" w:sz="8" w:space="0" w:color="auto"/>
        <w:bottom w:val="single" w:sz="8" w:space="0" w:color="auto"/>
      </w:pBdr>
      <w:shd w:val="clear" w:color="000000" w:fill="A9D08E"/>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580">
    <w:name w:val="xl580"/>
    <w:basedOn w:val="Normal"/>
    <w:rsid w:val="0053584C"/>
    <w:pPr>
      <w:pBdr>
        <w:top w:val="single" w:sz="8" w:space="0" w:color="auto"/>
        <w:bottom w:val="single" w:sz="8" w:space="0" w:color="auto"/>
        <w:right w:val="single" w:sz="8" w:space="0" w:color="auto"/>
      </w:pBdr>
      <w:shd w:val="clear" w:color="000000" w:fill="A9D08E"/>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581">
    <w:name w:val="xl581"/>
    <w:basedOn w:val="Normal"/>
    <w:rsid w:val="0053584C"/>
    <w:pPr>
      <w:pBdr>
        <w:left w:val="single" w:sz="4" w:space="0" w:color="auto"/>
        <w:right w:val="single" w:sz="4" w:space="0" w:color="auto"/>
      </w:pBdr>
      <w:shd w:val="clear" w:color="000000" w:fill="FFC000"/>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582">
    <w:name w:val="xl582"/>
    <w:basedOn w:val="Normal"/>
    <w:rsid w:val="0053584C"/>
    <w:pPr>
      <w:pBdr>
        <w:left w:val="single" w:sz="4" w:space="0" w:color="auto"/>
        <w:bottom w:val="single" w:sz="4" w:space="0" w:color="auto"/>
        <w:right w:val="single" w:sz="4" w:space="0" w:color="auto"/>
      </w:pBdr>
      <w:shd w:val="clear" w:color="000000" w:fill="FFC000"/>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583">
    <w:name w:val="xl583"/>
    <w:basedOn w:val="Normal"/>
    <w:rsid w:val="0053584C"/>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84">
    <w:name w:val="xl584"/>
    <w:basedOn w:val="Normal"/>
    <w:rsid w:val="0053584C"/>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85">
    <w:name w:val="xl585"/>
    <w:basedOn w:val="Normal"/>
    <w:rsid w:val="0053584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86">
    <w:name w:val="xl586"/>
    <w:basedOn w:val="Normal"/>
    <w:rsid w:val="0053584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87">
    <w:name w:val="xl587"/>
    <w:basedOn w:val="Normal"/>
    <w:rsid w:val="0053584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88">
    <w:name w:val="xl588"/>
    <w:basedOn w:val="Normal"/>
    <w:rsid w:val="0053584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90">
    <w:name w:val="xl590"/>
    <w:basedOn w:val="Normal"/>
    <w:rsid w:val="0053584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91">
    <w:name w:val="xl591"/>
    <w:basedOn w:val="Normal"/>
    <w:rsid w:val="0053584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92">
    <w:name w:val="xl592"/>
    <w:basedOn w:val="Normal"/>
    <w:rsid w:val="0053584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94">
    <w:name w:val="xl594"/>
    <w:basedOn w:val="Normal"/>
    <w:rsid w:val="0053584C"/>
    <w:pPr>
      <w:pBdr>
        <w:left w:val="single" w:sz="8" w:space="0" w:color="auto"/>
        <w:bottom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95">
    <w:name w:val="xl595"/>
    <w:basedOn w:val="Normal"/>
    <w:rsid w:val="0053584C"/>
    <w:pPr>
      <w:pBdr>
        <w:bottom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96">
    <w:name w:val="xl596"/>
    <w:basedOn w:val="Normal"/>
    <w:rsid w:val="0053584C"/>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97">
    <w:name w:val="xl597"/>
    <w:basedOn w:val="Normal"/>
    <w:rsid w:val="0053584C"/>
    <w:pPr>
      <w:pBdr>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98">
    <w:name w:val="xl598"/>
    <w:basedOn w:val="Normal"/>
    <w:rsid w:val="0053584C"/>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99">
    <w:name w:val="xl599"/>
    <w:basedOn w:val="Normal"/>
    <w:rsid w:val="0053584C"/>
    <w:pPr>
      <w:pBdr>
        <w:top w:val="single" w:sz="8" w:space="0" w:color="auto"/>
        <w:left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600">
    <w:name w:val="xl600"/>
    <w:basedOn w:val="Normal"/>
    <w:rsid w:val="0053584C"/>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601">
    <w:name w:val="xl601"/>
    <w:basedOn w:val="Normal"/>
    <w:rsid w:val="0053584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02">
    <w:name w:val="xl602"/>
    <w:basedOn w:val="Normal"/>
    <w:rsid w:val="0053584C"/>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03">
    <w:name w:val="xl603"/>
    <w:basedOn w:val="Normal"/>
    <w:rsid w:val="0053584C"/>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04">
    <w:name w:val="xl604"/>
    <w:basedOn w:val="Normal"/>
    <w:rsid w:val="0053584C"/>
    <w:pPr>
      <w:pBdr>
        <w:top w:val="single" w:sz="8" w:space="0" w:color="000000"/>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605">
    <w:name w:val="xl605"/>
    <w:basedOn w:val="Normal"/>
    <w:rsid w:val="0053584C"/>
    <w:pPr>
      <w:pBdr>
        <w:top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606">
    <w:name w:val="xl606"/>
    <w:basedOn w:val="Normal"/>
    <w:rsid w:val="0053584C"/>
    <w:pPr>
      <w:pBdr>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607">
    <w:name w:val="xl607"/>
    <w:basedOn w:val="Normal"/>
    <w:rsid w:val="0053584C"/>
    <w:pPr>
      <w:pBdr>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608">
    <w:name w:val="xl608"/>
    <w:basedOn w:val="Normal"/>
    <w:rsid w:val="0053584C"/>
    <w:pPr>
      <w:pBdr>
        <w:left w:val="single" w:sz="8" w:space="0" w:color="000000"/>
        <w:bottom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609">
    <w:name w:val="xl609"/>
    <w:basedOn w:val="Normal"/>
    <w:rsid w:val="0053584C"/>
    <w:pPr>
      <w:pBdr>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610">
    <w:name w:val="xl610"/>
    <w:basedOn w:val="Normal"/>
    <w:rsid w:val="0053584C"/>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0"/>
      <w:szCs w:val="20"/>
    </w:rPr>
  </w:style>
  <w:style w:type="paragraph" w:customStyle="1" w:styleId="xl611">
    <w:name w:val="xl611"/>
    <w:basedOn w:val="Normal"/>
    <w:rsid w:val="0053584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0"/>
      <w:szCs w:val="20"/>
    </w:rPr>
  </w:style>
  <w:style w:type="paragraph" w:customStyle="1" w:styleId="xl616">
    <w:name w:val="xl616"/>
    <w:basedOn w:val="Normal"/>
    <w:rsid w:val="0053584C"/>
    <w:pPr>
      <w:pBdr>
        <w:top w:val="single" w:sz="8" w:space="0" w:color="auto"/>
        <w:left w:val="single" w:sz="8" w:space="0" w:color="auto"/>
        <w:bottom w:val="single" w:sz="8" w:space="0" w:color="auto"/>
      </w:pBdr>
      <w:shd w:val="clear" w:color="000000" w:fill="FFE69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617">
    <w:name w:val="xl617"/>
    <w:basedOn w:val="Normal"/>
    <w:rsid w:val="0053584C"/>
    <w:pPr>
      <w:pBdr>
        <w:top w:val="single" w:sz="8" w:space="0" w:color="auto"/>
        <w:bottom w:val="single" w:sz="8" w:space="0" w:color="auto"/>
      </w:pBdr>
      <w:shd w:val="clear" w:color="000000" w:fill="FFE69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618">
    <w:name w:val="xl618"/>
    <w:basedOn w:val="Normal"/>
    <w:rsid w:val="0053584C"/>
    <w:pPr>
      <w:pBdr>
        <w:top w:val="single" w:sz="8" w:space="0" w:color="auto"/>
        <w:bottom w:val="single" w:sz="8" w:space="0" w:color="auto"/>
        <w:right w:val="single" w:sz="8" w:space="0" w:color="auto"/>
      </w:pBdr>
      <w:shd w:val="clear" w:color="000000" w:fill="FFE69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619">
    <w:name w:val="xl619"/>
    <w:basedOn w:val="Normal"/>
    <w:rsid w:val="0053584C"/>
    <w:pPr>
      <w:pBdr>
        <w:top w:val="single" w:sz="8" w:space="0" w:color="auto"/>
        <w:left w:val="single" w:sz="8" w:space="0" w:color="auto"/>
        <w:bottom w:val="single" w:sz="8" w:space="0" w:color="auto"/>
      </w:pBdr>
      <w:shd w:val="clear" w:color="000000" w:fill="FFE699"/>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620">
    <w:name w:val="xl620"/>
    <w:basedOn w:val="Normal"/>
    <w:rsid w:val="0053584C"/>
    <w:pPr>
      <w:pBdr>
        <w:top w:val="single" w:sz="8" w:space="0" w:color="auto"/>
        <w:bottom w:val="single" w:sz="8" w:space="0" w:color="auto"/>
        <w:right w:val="single" w:sz="8" w:space="0" w:color="auto"/>
      </w:pBdr>
      <w:shd w:val="clear" w:color="000000" w:fill="FFE699"/>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621">
    <w:name w:val="xl621"/>
    <w:basedOn w:val="Normal"/>
    <w:rsid w:val="0053584C"/>
    <w:pPr>
      <w:pBdr>
        <w:top w:val="single" w:sz="8" w:space="0" w:color="auto"/>
        <w:left w:val="single" w:sz="8" w:space="0" w:color="auto"/>
        <w:bottom w:val="single" w:sz="8" w:space="0" w:color="auto"/>
      </w:pBdr>
      <w:shd w:val="clear" w:color="000000" w:fill="595959"/>
      <w:spacing w:before="100" w:beforeAutospacing="1" w:after="100" w:afterAutospacing="1" w:line="240" w:lineRule="auto"/>
      <w:jc w:val="right"/>
      <w:textAlignment w:val="center"/>
    </w:pPr>
    <w:rPr>
      <w:rFonts w:ascii="Times New Roman" w:eastAsia="Times New Roman" w:hAnsi="Times New Roman" w:cs="Times New Roman"/>
      <w:b/>
      <w:bCs/>
      <w:color w:val="FFFFFF"/>
      <w:sz w:val="20"/>
      <w:szCs w:val="20"/>
    </w:rPr>
  </w:style>
  <w:style w:type="paragraph" w:customStyle="1" w:styleId="xl622">
    <w:name w:val="xl622"/>
    <w:basedOn w:val="Normal"/>
    <w:rsid w:val="0053584C"/>
    <w:pPr>
      <w:pBdr>
        <w:top w:val="single" w:sz="8" w:space="0" w:color="auto"/>
        <w:bottom w:val="single" w:sz="8" w:space="0" w:color="auto"/>
      </w:pBdr>
      <w:shd w:val="clear" w:color="000000" w:fill="595959"/>
      <w:spacing w:before="100" w:beforeAutospacing="1" w:after="100" w:afterAutospacing="1" w:line="240" w:lineRule="auto"/>
      <w:jc w:val="right"/>
      <w:textAlignment w:val="center"/>
    </w:pPr>
    <w:rPr>
      <w:rFonts w:ascii="Times New Roman" w:eastAsia="Times New Roman" w:hAnsi="Times New Roman" w:cs="Times New Roman"/>
      <w:b/>
      <w:bCs/>
      <w:color w:val="FFFFFF"/>
      <w:sz w:val="20"/>
      <w:szCs w:val="20"/>
    </w:rPr>
  </w:style>
  <w:style w:type="paragraph" w:customStyle="1" w:styleId="xl623">
    <w:name w:val="xl623"/>
    <w:basedOn w:val="Normal"/>
    <w:rsid w:val="0053584C"/>
    <w:pPr>
      <w:pBdr>
        <w:top w:val="single" w:sz="8" w:space="0" w:color="auto"/>
        <w:bottom w:val="single" w:sz="8" w:space="0" w:color="auto"/>
        <w:right w:val="single" w:sz="8" w:space="0" w:color="auto"/>
      </w:pBdr>
      <w:shd w:val="clear" w:color="000000" w:fill="595959"/>
      <w:spacing w:before="100" w:beforeAutospacing="1" w:after="100" w:afterAutospacing="1" w:line="240" w:lineRule="auto"/>
      <w:jc w:val="right"/>
      <w:textAlignment w:val="center"/>
    </w:pPr>
    <w:rPr>
      <w:rFonts w:ascii="Times New Roman" w:eastAsia="Times New Roman" w:hAnsi="Times New Roman" w:cs="Times New Roman"/>
      <w:b/>
      <w:bCs/>
      <w:color w:val="FFFFFF"/>
      <w:sz w:val="20"/>
      <w:szCs w:val="20"/>
    </w:rPr>
  </w:style>
  <w:style w:type="paragraph" w:customStyle="1" w:styleId="xl627">
    <w:name w:val="xl627"/>
    <w:basedOn w:val="Normal"/>
    <w:rsid w:val="0053584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28">
    <w:name w:val="xl628"/>
    <w:basedOn w:val="Normal"/>
    <w:rsid w:val="0053584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631">
    <w:name w:val="xl631"/>
    <w:basedOn w:val="Normal"/>
    <w:rsid w:val="0053584C"/>
    <w:pPr>
      <w:pBdr>
        <w:top w:val="single" w:sz="8" w:space="0" w:color="auto"/>
        <w:left w:val="single" w:sz="8" w:space="0" w:color="auto"/>
        <w:bottom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2">
    <w:name w:val="xl632"/>
    <w:basedOn w:val="Normal"/>
    <w:rsid w:val="0053584C"/>
    <w:pPr>
      <w:pBdr>
        <w:top w:val="single" w:sz="8" w:space="0" w:color="auto"/>
        <w:bottom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3">
    <w:name w:val="xl633"/>
    <w:basedOn w:val="Normal"/>
    <w:rsid w:val="0053584C"/>
    <w:pPr>
      <w:pBdr>
        <w:top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4">
    <w:name w:val="xl634"/>
    <w:basedOn w:val="Normal"/>
    <w:rsid w:val="0053584C"/>
    <w:pPr>
      <w:pBdr>
        <w:top w:val="single" w:sz="8" w:space="0" w:color="auto"/>
        <w:left w:val="single" w:sz="8" w:space="0" w:color="auto"/>
        <w:bottom w:val="single" w:sz="8" w:space="0" w:color="auto"/>
      </w:pBd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635">
    <w:name w:val="xl635"/>
    <w:basedOn w:val="Normal"/>
    <w:rsid w:val="0053584C"/>
    <w:pPr>
      <w:pBdr>
        <w:top w:val="single" w:sz="8" w:space="0" w:color="auto"/>
        <w:bottom w:val="single" w:sz="8" w:space="0" w:color="auto"/>
        <w:right w:val="single" w:sz="8" w:space="0" w:color="auto"/>
      </w:pBd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636">
    <w:name w:val="xl636"/>
    <w:basedOn w:val="Normal"/>
    <w:rsid w:val="0053584C"/>
    <w:pPr>
      <w:pBdr>
        <w:left w:val="single" w:sz="8" w:space="0" w:color="auto"/>
        <w:bottom w:val="single" w:sz="8" w:space="0" w:color="auto"/>
      </w:pBdr>
      <w:shd w:val="clear" w:color="000000" w:fill="FFC000"/>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637">
    <w:name w:val="xl637"/>
    <w:basedOn w:val="Normal"/>
    <w:rsid w:val="0053584C"/>
    <w:pPr>
      <w:pBdr>
        <w:bottom w:val="single" w:sz="8" w:space="0" w:color="auto"/>
      </w:pBdr>
      <w:shd w:val="clear" w:color="000000" w:fill="FFC000"/>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640">
    <w:name w:val="xl640"/>
    <w:basedOn w:val="Normal"/>
    <w:rsid w:val="0053584C"/>
    <w:pPr>
      <w:pBdr>
        <w:top w:val="single" w:sz="8" w:space="0" w:color="auto"/>
        <w:left w:val="single" w:sz="8" w:space="0" w:color="auto"/>
        <w:bottom w:val="single" w:sz="8" w:space="0" w:color="auto"/>
      </w:pBdr>
      <w:shd w:val="clear" w:color="000000" w:fill="A9D08E"/>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641">
    <w:name w:val="xl641"/>
    <w:basedOn w:val="Normal"/>
    <w:rsid w:val="0053584C"/>
    <w:pPr>
      <w:pBdr>
        <w:top w:val="single" w:sz="8" w:space="0" w:color="auto"/>
        <w:bottom w:val="single" w:sz="8" w:space="0" w:color="auto"/>
        <w:right w:val="single" w:sz="8" w:space="0" w:color="auto"/>
      </w:pBdr>
      <w:shd w:val="clear" w:color="000000" w:fill="A9D08E"/>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699">
    <w:name w:val="xl699"/>
    <w:basedOn w:val="Normal"/>
    <w:rsid w:val="0053584C"/>
    <w:pPr>
      <w:pBdr>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709">
    <w:name w:val="xl709"/>
    <w:basedOn w:val="Normal"/>
    <w:rsid w:val="0053584C"/>
    <w:pPr>
      <w:pBdr>
        <w:right w:val="single" w:sz="8"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20"/>
      <w:szCs w:val="20"/>
    </w:rPr>
  </w:style>
  <w:style w:type="paragraph" w:customStyle="1" w:styleId="xl721">
    <w:name w:val="xl721"/>
    <w:basedOn w:val="Normal"/>
    <w:rsid w:val="0053584C"/>
    <w:pPr>
      <w:pBdr>
        <w:top w:val="single" w:sz="8" w:space="0" w:color="000000"/>
        <w:left w:val="single" w:sz="8" w:space="0" w:color="000000"/>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722">
    <w:name w:val="xl722"/>
    <w:basedOn w:val="Normal"/>
    <w:rsid w:val="0053584C"/>
    <w:pPr>
      <w:pBdr>
        <w:top w:val="single" w:sz="8" w:space="0" w:color="000000"/>
        <w:left w:val="single" w:sz="8" w:space="0" w:color="auto"/>
        <w:right w:val="single" w:sz="8"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0"/>
      <w:szCs w:val="20"/>
    </w:rPr>
  </w:style>
  <w:style w:type="paragraph" w:customStyle="1" w:styleId="xl723">
    <w:name w:val="xl723"/>
    <w:basedOn w:val="Normal"/>
    <w:rsid w:val="0053584C"/>
    <w:pPr>
      <w:pBdr>
        <w:left w:val="single" w:sz="8" w:space="0" w:color="000000"/>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724">
    <w:name w:val="xl724"/>
    <w:basedOn w:val="Normal"/>
    <w:rsid w:val="0053584C"/>
    <w:pPr>
      <w:pBdr>
        <w:left w:val="single" w:sz="8" w:space="0" w:color="auto"/>
        <w:right w:val="single" w:sz="8"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0"/>
      <w:szCs w:val="20"/>
    </w:rPr>
  </w:style>
  <w:style w:type="paragraph" w:customStyle="1" w:styleId="xl725">
    <w:name w:val="xl725"/>
    <w:basedOn w:val="Normal"/>
    <w:rsid w:val="0053584C"/>
    <w:pPr>
      <w:pBdr>
        <w:left w:val="single" w:sz="8" w:space="0" w:color="000000"/>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726">
    <w:name w:val="xl726"/>
    <w:basedOn w:val="Normal"/>
    <w:rsid w:val="0053584C"/>
    <w:pPr>
      <w:pBdr>
        <w:left w:val="single" w:sz="8" w:space="0" w:color="auto"/>
        <w:bottom w:val="single" w:sz="8" w:space="0" w:color="auto"/>
        <w:right w:val="single" w:sz="8"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0"/>
      <w:szCs w:val="20"/>
    </w:rPr>
  </w:style>
  <w:style w:type="paragraph" w:customStyle="1" w:styleId="xl727">
    <w:name w:val="xl727"/>
    <w:basedOn w:val="Normal"/>
    <w:rsid w:val="0053584C"/>
    <w:pPr>
      <w:pBdr>
        <w:top w:val="single" w:sz="8" w:space="0" w:color="auto"/>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728">
    <w:name w:val="xl728"/>
    <w:basedOn w:val="Normal"/>
    <w:rsid w:val="0053584C"/>
    <w:pPr>
      <w:pBdr>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i/>
      <w:iCs/>
      <w:sz w:val="20"/>
      <w:szCs w:val="20"/>
    </w:rPr>
  </w:style>
  <w:style w:type="paragraph" w:customStyle="1" w:styleId="xl730">
    <w:name w:val="xl730"/>
    <w:basedOn w:val="Normal"/>
    <w:rsid w:val="0053584C"/>
    <w:pPr>
      <w:pBdr>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0"/>
      <w:szCs w:val="20"/>
    </w:rPr>
  </w:style>
  <w:style w:type="paragraph" w:customStyle="1" w:styleId="xl731">
    <w:name w:val="xl731"/>
    <w:basedOn w:val="Normal"/>
    <w:rsid w:val="0053584C"/>
    <w:pPr>
      <w:pBdr>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0"/>
      <w:szCs w:val="20"/>
    </w:rPr>
  </w:style>
  <w:style w:type="paragraph" w:customStyle="1" w:styleId="xl732">
    <w:name w:val="xl732"/>
    <w:basedOn w:val="Normal"/>
    <w:rsid w:val="0053584C"/>
    <w:pPr>
      <w:shd w:val="clear" w:color="000000" w:fill="A9D08E"/>
      <w:spacing w:before="100" w:beforeAutospacing="1" w:after="100" w:afterAutospacing="1" w:line="240" w:lineRule="auto"/>
      <w:textAlignment w:val="center"/>
    </w:pPr>
    <w:rPr>
      <w:rFonts w:eastAsia="Times New Roman"/>
      <w:b/>
      <w:bCs/>
      <w:color w:val="000000"/>
      <w:sz w:val="20"/>
      <w:szCs w:val="20"/>
    </w:rPr>
  </w:style>
  <w:style w:type="paragraph" w:customStyle="1" w:styleId="xl733">
    <w:name w:val="xl733"/>
    <w:basedOn w:val="Normal"/>
    <w:rsid w:val="0053584C"/>
    <w:pPr>
      <w:pBdr>
        <w:top w:val="single" w:sz="8" w:space="0" w:color="000000"/>
        <w:right w:val="single" w:sz="8" w:space="0" w:color="000000"/>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0"/>
      <w:szCs w:val="20"/>
    </w:rPr>
  </w:style>
  <w:style w:type="paragraph" w:customStyle="1" w:styleId="xl734">
    <w:name w:val="xl734"/>
    <w:basedOn w:val="Normal"/>
    <w:rsid w:val="0053584C"/>
    <w:pPr>
      <w:spacing w:before="100" w:beforeAutospacing="1" w:after="100" w:afterAutospacing="1" w:line="240" w:lineRule="auto"/>
      <w:jc w:val="center"/>
      <w:textAlignment w:val="center"/>
    </w:pPr>
    <w:rPr>
      <w:rFonts w:eastAsia="Times New Roman"/>
      <w:b/>
      <w:bCs/>
      <w:color w:val="000000"/>
      <w:sz w:val="20"/>
      <w:szCs w:val="20"/>
    </w:rPr>
  </w:style>
  <w:style w:type="paragraph" w:customStyle="1" w:styleId="xl735">
    <w:name w:val="xl735"/>
    <w:basedOn w:val="Normal"/>
    <w:rsid w:val="0053584C"/>
    <w:pPr>
      <w:pBdr>
        <w:top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736">
    <w:name w:val="xl736"/>
    <w:basedOn w:val="Normal"/>
    <w:rsid w:val="0053584C"/>
    <w:pPr>
      <w:shd w:val="clear" w:color="000000" w:fill="00B0F0"/>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737">
    <w:name w:val="xl737"/>
    <w:basedOn w:val="Normal"/>
    <w:rsid w:val="0053584C"/>
    <w:pPr>
      <w:pBdr>
        <w:right w:val="single" w:sz="8" w:space="0" w:color="000000"/>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0"/>
      <w:szCs w:val="20"/>
    </w:rPr>
  </w:style>
  <w:style w:type="paragraph" w:customStyle="1" w:styleId="xl738">
    <w:name w:val="xl738"/>
    <w:basedOn w:val="Normal"/>
    <w:rsid w:val="0053584C"/>
    <w:pPr>
      <w:shd w:val="clear" w:color="000000" w:fill="FFC000"/>
      <w:spacing w:before="100" w:beforeAutospacing="1" w:after="100" w:afterAutospacing="1" w:line="240" w:lineRule="auto"/>
      <w:textAlignment w:val="center"/>
    </w:pPr>
    <w:rPr>
      <w:rFonts w:eastAsia="Times New Roman"/>
      <w:b/>
      <w:bCs/>
      <w:color w:val="000000"/>
      <w:sz w:val="20"/>
      <w:szCs w:val="20"/>
    </w:rPr>
  </w:style>
  <w:style w:type="paragraph" w:customStyle="1" w:styleId="xl739">
    <w:name w:val="xl739"/>
    <w:basedOn w:val="Normal"/>
    <w:rsid w:val="0053584C"/>
    <w:pPr>
      <w:pBdr>
        <w:bottom w:val="single" w:sz="8" w:space="0" w:color="000000"/>
        <w:right w:val="single" w:sz="8" w:space="0" w:color="000000"/>
      </w:pBdr>
      <w:shd w:val="clear" w:color="000000" w:fill="FFD966"/>
      <w:spacing w:before="100" w:beforeAutospacing="1" w:after="100" w:afterAutospacing="1" w:line="240" w:lineRule="auto"/>
      <w:jc w:val="center"/>
      <w:textAlignment w:val="center"/>
    </w:pPr>
    <w:rPr>
      <w:rFonts w:ascii="Times New Roman" w:eastAsia="Times New Roman" w:hAnsi="Times New Roman" w:cs="Times New Roman"/>
      <w:i/>
      <w:iCs/>
      <w:color w:val="000000"/>
      <w:sz w:val="20"/>
      <w:szCs w:val="20"/>
    </w:rPr>
  </w:style>
  <w:style w:type="paragraph" w:customStyle="1" w:styleId="xl740">
    <w:name w:val="xl740"/>
    <w:basedOn w:val="Normal"/>
    <w:rsid w:val="0053584C"/>
    <w:pPr>
      <w:pBdr>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0"/>
      <w:szCs w:val="20"/>
    </w:rPr>
  </w:style>
  <w:style w:type="paragraph" w:customStyle="1" w:styleId="xl741">
    <w:name w:val="xl741"/>
    <w:basedOn w:val="Normal"/>
    <w:rsid w:val="0053584C"/>
    <w:pPr>
      <w:pBdr>
        <w:top w:val="single" w:sz="8" w:space="0" w:color="auto"/>
        <w:left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2">
    <w:name w:val="xl742"/>
    <w:basedOn w:val="Normal"/>
    <w:rsid w:val="0053584C"/>
    <w:pPr>
      <w:pBdr>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i/>
      <w:iCs/>
      <w:sz w:val="20"/>
      <w:szCs w:val="20"/>
    </w:rPr>
  </w:style>
  <w:style w:type="paragraph" w:customStyle="1" w:styleId="xl743">
    <w:name w:val="xl743"/>
    <w:basedOn w:val="Normal"/>
    <w:rsid w:val="0053584C"/>
    <w:pPr>
      <w:pBdr>
        <w:bottom w:val="single" w:sz="8" w:space="0" w:color="auto"/>
        <w:right w:val="single" w:sz="8" w:space="0" w:color="000000"/>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i/>
      <w:iCs/>
      <w:sz w:val="20"/>
      <w:szCs w:val="20"/>
    </w:rPr>
  </w:style>
  <w:style w:type="paragraph" w:customStyle="1" w:styleId="xl744">
    <w:name w:val="xl744"/>
    <w:basedOn w:val="Normal"/>
    <w:rsid w:val="0053584C"/>
    <w:pPr>
      <w:pBdr>
        <w:left w:val="single" w:sz="8" w:space="0" w:color="000000"/>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745">
    <w:name w:val="xl745"/>
    <w:basedOn w:val="Normal"/>
    <w:rsid w:val="0053584C"/>
    <w:pPr>
      <w:pBdr>
        <w:bottom w:val="single" w:sz="8" w:space="0" w:color="auto"/>
        <w:right w:val="single" w:sz="8" w:space="0" w:color="000000"/>
      </w:pBdr>
      <w:shd w:val="clear" w:color="000000" w:fill="FFD966"/>
      <w:spacing w:before="100" w:beforeAutospacing="1" w:after="100" w:afterAutospacing="1" w:line="240" w:lineRule="auto"/>
      <w:jc w:val="center"/>
      <w:textAlignment w:val="center"/>
    </w:pPr>
    <w:rPr>
      <w:rFonts w:ascii="Times New Roman" w:eastAsia="Times New Roman" w:hAnsi="Times New Roman" w:cs="Times New Roman"/>
      <w:i/>
      <w:iCs/>
      <w:color w:val="000000"/>
      <w:sz w:val="20"/>
      <w:szCs w:val="20"/>
    </w:rPr>
  </w:style>
  <w:style w:type="paragraph" w:customStyle="1" w:styleId="xl746">
    <w:name w:val="xl746"/>
    <w:basedOn w:val="Normal"/>
    <w:rsid w:val="0053584C"/>
    <w:pPr>
      <w:pBdr>
        <w:top w:val="single" w:sz="8" w:space="0" w:color="auto"/>
        <w:left w:val="single" w:sz="8" w:space="0" w:color="000000"/>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747">
    <w:name w:val="xl747"/>
    <w:basedOn w:val="Normal"/>
    <w:rsid w:val="0053584C"/>
    <w:pPr>
      <w:pBdr>
        <w:left w:val="single" w:sz="8" w:space="0" w:color="000000"/>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749">
    <w:name w:val="xl749"/>
    <w:basedOn w:val="Normal"/>
    <w:rsid w:val="0053584C"/>
    <w:pPr>
      <w:pBdr>
        <w:bottom w:val="single" w:sz="8" w:space="0" w:color="auto"/>
        <w:right w:val="single" w:sz="8" w:space="0" w:color="000000"/>
      </w:pBdr>
      <w:shd w:val="clear" w:color="000000" w:fill="A9D08E"/>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750">
    <w:name w:val="xl750"/>
    <w:basedOn w:val="Normal"/>
    <w:rsid w:val="0053584C"/>
    <w:pPr>
      <w:pBdr>
        <w:left w:val="single" w:sz="8" w:space="0" w:color="000000"/>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751">
    <w:name w:val="xl751"/>
    <w:basedOn w:val="Normal"/>
    <w:rsid w:val="0053584C"/>
    <w:pPr>
      <w:pBdr>
        <w:bottom w:val="single" w:sz="8" w:space="0" w:color="auto"/>
        <w:right w:val="single" w:sz="8" w:space="0" w:color="000000"/>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i/>
      <w:iCs/>
      <w:color w:val="000000"/>
      <w:sz w:val="20"/>
      <w:szCs w:val="20"/>
    </w:rPr>
  </w:style>
  <w:style w:type="paragraph" w:customStyle="1" w:styleId="xl752">
    <w:name w:val="xl752"/>
    <w:basedOn w:val="Normal"/>
    <w:rsid w:val="0053584C"/>
    <w:pPr>
      <w:pBdr>
        <w:bottom w:val="single" w:sz="8" w:space="0" w:color="auto"/>
        <w:right w:val="single" w:sz="8"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20"/>
      <w:szCs w:val="20"/>
    </w:rPr>
  </w:style>
  <w:style w:type="paragraph" w:customStyle="1" w:styleId="xl753">
    <w:name w:val="xl753"/>
    <w:basedOn w:val="Normal"/>
    <w:rsid w:val="0053584C"/>
    <w:pPr>
      <w:pBdr>
        <w:right w:val="single" w:sz="8" w:space="0" w:color="000000"/>
      </w:pBdr>
      <w:shd w:val="clear" w:color="000000" w:fill="A9D08E"/>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754">
    <w:name w:val="xl754"/>
    <w:basedOn w:val="Normal"/>
    <w:rsid w:val="0053584C"/>
    <w:pPr>
      <w:pBdr>
        <w:top w:val="single" w:sz="8" w:space="0" w:color="auto"/>
        <w:left w:val="single" w:sz="8" w:space="0" w:color="auto"/>
        <w:bottom w:val="single" w:sz="8" w:space="0" w:color="auto"/>
        <w:right w:val="single" w:sz="8" w:space="0" w:color="000000"/>
      </w:pBdr>
      <w:shd w:val="clear" w:color="000000" w:fill="00B0F0"/>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rPr>
  </w:style>
  <w:style w:type="paragraph" w:customStyle="1" w:styleId="xl755">
    <w:name w:val="xl755"/>
    <w:basedOn w:val="Normal"/>
    <w:rsid w:val="0053584C"/>
    <w:pPr>
      <w:pBdr>
        <w:left w:val="single" w:sz="8" w:space="0" w:color="000000"/>
        <w:bottom w:val="single" w:sz="8" w:space="0" w:color="000000"/>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756">
    <w:name w:val="xl756"/>
    <w:basedOn w:val="Normal"/>
    <w:rsid w:val="0053584C"/>
    <w:pPr>
      <w:pBdr>
        <w:top w:val="single" w:sz="8" w:space="0" w:color="000000"/>
        <w:left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757">
    <w:name w:val="xl757"/>
    <w:basedOn w:val="Normal"/>
    <w:rsid w:val="0053584C"/>
    <w:pPr>
      <w:pBdr>
        <w:bottom w:val="single" w:sz="8" w:space="0" w:color="auto"/>
        <w:right w:val="single" w:sz="8"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color w:val="000000"/>
      <w:sz w:val="20"/>
      <w:szCs w:val="20"/>
    </w:rPr>
  </w:style>
  <w:style w:type="paragraph" w:customStyle="1" w:styleId="xl758">
    <w:name w:val="xl758"/>
    <w:basedOn w:val="Normal"/>
    <w:rsid w:val="0053584C"/>
    <w:pPr>
      <w:pBdr>
        <w:left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760">
    <w:name w:val="xl760"/>
    <w:basedOn w:val="Normal"/>
    <w:rsid w:val="0053584C"/>
    <w:pPr>
      <w:pBdr>
        <w:left w:val="single" w:sz="8" w:space="0" w:color="000000"/>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761">
    <w:name w:val="xl761"/>
    <w:basedOn w:val="Normal"/>
    <w:rsid w:val="0053584C"/>
    <w:pPr>
      <w:shd w:val="clear" w:color="000000" w:fill="FFC000"/>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762">
    <w:name w:val="xl762"/>
    <w:basedOn w:val="Normal"/>
    <w:rsid w:val="0053584C"/>
    <w:pPr>
      <w:pBdr>
        <w:bottom w:val="single" w:sz="8" w:space="0" w:color="auto"/>
        <w:right w:val="single" w:sz="8" w:space="0" w:color="000000"/>
      </w:pBdr>
      <w:shd w:val="clear" w:color="000000" w:fill="FFC000"/>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763">
    <w:name w:val="xl763"/>
    <w:basedOn w:val="Normal"/>
    <w:rsid w:val="0053584C"/>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764">
    <w:name w:val="xl764"/>
    <w:basedOn w:val="Normal"/>
    <w:rsid w:val="0053584C"/>
    <w:pPr>
      <w:pBdr>
        <w:top w:val="single" w:sz="8" w:space="0" w:color="000000"/>
        <w:left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0"/>
      <w:szCs w:val="20"/>
    </w:rPr>
  </w:style>
  <w:style w:type="paragraph" w:customStyle="1" w:styleId="xl765">
    <w:name w:val="xl765"/>
    <w:basedOn w:val="Normal"/>
    <w:rsid w:val="0053584C"/>
    <w:pPr>
      <w:pBdr>
        <w:left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0"/>
      <w:szCs w:val="20"/>
    </w:rPr>
  </w:style>
  <w:style w:type="paragraph" w:customStyle="1" w:styleId="xl767">
    <w:name w:val="xl767"/>
    <w:basedOn w:val="Normal"/>
    <w:rsid w:val="0053584C"/>
    <w:pPr>
      <w:pBdr>
        <w:bottom w:val="single" w:sz="8" w:space="0" w:color="auto"/>
        <w:right w:val="single" w:sz="8" w:space="0" w:color="000000"/>
      </w:pBd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768">
    <w:name w:val="xl768"/>
    <w:basedOn w:val="Normal"/>
    <w:rsid w:val="0053584C"/>
    <w:pPr>
      <w:pBdr>
        <w:left w:val="single" w:sz="8" w:space="0" w:color="000000"/>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0"/>
      <w:szCs w:val="20"/>
    </w:rPr>
  </w:style>
  <w:style w:type="paragraph" w:customStyle="1" w:styleId="xl769">
    <w:name w:val="xl769"/>
    <w:basedOn w:val="Normal"/>
    <w:rsid w:val="0053584C"/>
    <w:pPr>
      <w:pBdr>
        <w:bottom w:val="single" w:sz="8" w:space="0" w:color="auto"/>
        <w:right w:val="single" w:sz="8" w:space="0" w:color="000000"/>
      </w:pBdr>
      <w:shd w:val="clear" w:color="000000" w:fill="FFE699"/>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770">
    <w:name w:val="xl770"/>
    <w:basedOn w:val="Normal"/>
    <w:rsid w:val="0053584C"/>
    <w:pPr>
      <w:pBdr>
        <w:left w:val="single" w:sz="8" w:space="0" w:color="000000"/>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0"/>
      <w:szCs w:val="20"/>
    </w:rPr>
  </w:style>
  <w:style w:type="paragraph" w:customStyle="1" w:styleId="xl771">
    <w:name w:val="xl771"/>
    <w:basedOn w:val="Normal"/>
    <w:rsid w:val="0053584C"/>
    <w:pPr>
      <w:shd w:val="clear" w:color="000000" w:fill="595959"/>
      <w:spacing w:before="100" w:beforeAutospacing="1" w:after="100" w:afterAutospacing="1" w:line="240" w:lineRule="auto"/>
    </w:pPr>
    <w:rPr>
      <w:rFonts w:ascii="Times New Roman" w:eastAsia="Times New Roman" w:hAnsi="Times New Roman" w:cs="Times New Roman"/>
      <w:b/>
      <w:bCs/>
      <w:color w:val="FFFFFF"/>
      <w:sz w:val="24"/>
      <w:szCs w:val="24"/>
    </w:rPr>
  </w:style>
  <w:style w:type="paragraph" w:customStyle="1" w:styleId="xl772">
    <w:name w:val="xl772"/>
    <w:basedOn w:val="Normal"/>
    <w:rsid w:val="0053584C"/>
    <w:pPr>
      <w:pBdr>
        <w:bottom w:val="single" w:sz="8" w:space="0" w:color="auto"/>
        <w:right w:val="single" w:sz="8" w:space="0" w:color="000000"/>
      </w:pBdr>
      <w:shd w:val="clear" w:color="000000" w:fill="595959"/>
      <w:spacing w:before="100" w:beforeAutospacing="1" w:after="100" w:afterAutospacing="1" w:line="240" w:lineRule="auto"/>
      <w:jc w:val="center"/>
      <w:textAlignment w:val="center"/>
    </w:pPr>
    <w:rPr>
      <w:rFonts w:ascii="Times New Roman" w:eastAsia="Times New Roman" w:hAnsi="Times New Roman" w:cs="Times New Roman"/>
      <w:i/>
      <w:iCs/>
      <w:color w:val="FFFFFF"/>
      <w:sz w:val="20"/>
      <w:szCs w:val="20"/>
    </w:rPr>
  </w:style>
  <w:style w:type="paragraph" w:customStyle="1" w:styleId="xl773">
    <w:name w:val="xl773"/>
    <w:basedOn w:val="Normal"/>
    <w:rsid w:val="0053584C"/>
    <w:pPr>
      <w:pBdr>
        <w:left w:val="single" w:sz="8" w:space="0" w:color="000000"/>
        <w:bottom w:val="single" w:sz="8" w:space="0" w:color="000000"/>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0"/>
      <w:szCs w:val="20"/>
    </w:rPr>
  </w:style>
  <w:style w:type="paragraph" w:customStyle="1" w:styleId="xl774">
    <w:name w:val="xl774"/>
    <w:basedOn w:val="Normal"/>
    <w:rsid w:val="0053584C"/>
    <w:pPr>
      <w:pBdr>
        <w:bottom w:val="single" w:sz="8" w:space="0" w:color="000000"/>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0"/>
      <w:szCs w:val="20"/>
    </w:rPr>
  </w:style>
  <w:style w:type="paragraph" w:customStyle="1" w:styleId="xl775">
    <w:name w:val="xl775"/>
    <w:basedOn w:val="Normal"/>
    <w:rsid w:val="0053584C"/>
    <w:pPr>
      <w:pBdr>
        <w:top w:val="single" w:sz="8" w:space="0" w:color="auto"/>
        <w:left w:val="single" w:sz="8" w:space="0" w:color="auto"/>
        <w:bottom w:val="single" w:sz="8" w:space="0" w:color="000000"/>
      </w:pBdr>
      <w:spacing w:before="100" w:beforeAutospacing="1" w:after="100" w:afterAutospacing="1" w:line="240" w:lineRule="auto"/>
      <w:jc w:val="both"/>
      <w:textAlignment w:val="center"/>
    </w:pPr>
    <w:rPr>
      <w:rFonts w:ascii="Times New Roman" w:eastAsia="Times New Roman" w:hAnsi="Times New Roman" w:cs="Times New Roman"/>
      <w:b/>
      <w:bCs/>
      <w:color w:val="000000"/>
      <w:sz w:val="20"/>
      <w:szCs w:val="20"/>
    </w:rPr>
  </w:style>
  <w:style w:type="paragraph" w:customStyle="1" w:styleId="xl776">
    <w:name w:val="xl776"/>
    <w:basedOn w:val="Normal"/>
    <w:rsid w:val="0053584C"/>
    <w:pPr>
      <w:pBdr>
        <w:top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0"/>
      <w:szCs w:val="20"/>
    </w:rPr>
  </w:style>
  <w:style w:type="paragraph" w:customStyle="1" w:styleId="xl777">
    <w:name w:val="xl777"/>
    <w:basedOn w:val="Normal"/>
    <w:rsid w:val="0053584C"/>
    <w:pPr>
      <w:pBdr>
        <w:top w:val="single" w:sz="8" w:space="0" w:color="auto"/>
        <w:left w:val="single" w:sz="8" w:space="0" w:color="auto"/>
        <w:bottom w:val="single" w:sz="8" w:space="0" w:color="000000"/>
      </w:pBdr>
      <w:shd w:val="clear" w:color="000000" w:fill="595959"/>
      <w:spacing w:before="100" w:beforeAutospacing="1" w:after="100" w:afterAutospacing="1" w:line="240" w:lineRule="auto"/>
      <w:jc w:val="right"/>
      <w:textAlignment w:val="center"/>
    </w:pPr>
    <w:rPr>
      <w:rFonts w:ascii="Times New Roman" w:eastAsia="Times New Roman" w:hAnsi="Times New Roman" w:cs="Times New Roman"/>
      <w:b/>
      <w:bCs/>
      <w:color w:val="FFFFFF"/>
      <w:sz w:val="20"/>
      <w:szCs w:val="20"/>
    </w:rPr>
  </w:style>
  <w:style w:type="paragraph" w:customStyle="1" w:styleId="xl778">
    <w:name w:val="xl778"/>
    <w:basedOn w:val="Normal"/>
    <w:rsid w:val="0053584C"/>
    <w:pPr>
      <w:pBdr>
        <w:top w:val="single" w:sz="8" w:space="0" w:color="auto"/>
        <w:bottom w:val="single" w:sz="8" w:space="0" w:color="000000"/>
      </w:pBdr>
      <w:shd w:val="clear" w:color="000000" w:fill="595959"/>
      <w:spacing w:before="100" w:beforeAutospacing="1" w:after="100" w:afterAutospacing="1" w:line="240" w:lineRule="auto"/>
      <w:jc w:val="right"/>
      <w:textAlignment w:val="center"/>
    </w:pPr>
    <w:rPr>
      <w:rFonts w:ascii="Times New Roman" w:eastAsia="Times New Roman" w:hAnsi="Times New Roman" w:cs="Times New Roman"/>
      <w:b/>
      <w:bCs/>
      <w:color w:val="FFFFFF"/>
      <w:sz w:val="20"/>
      <w:szCs w:val="20"/>
    </w:rPr>
  </w:style>
  <w:style w:type="paragraph" w:customStyle="1" w:styleId="xl779">
    <w:name w:val="xl779"/>
    <w:basedOn w:val="Normal"/>
    <w:rsid w:val="0053584C"/>
    <w:pPr>
      <w:pBdr>
        <w:top w:val="single" w:sz="8" w:space="0" w:color="auto"/>
        <w:bottom w:val="single" w:sz="8" w:space="0" w:color="000000"/>
        <w:right w:val="single" w:sz="8" w:space="0" w:color="auto"/>
      </w:pBdr>
      <w:shd w:val="clear" w:color="000000" w:fill="595959"/>
      <w:spacing w:before="100" w:beforeAutospacing="1" w:after="100" w:afterAutospacing="1" w:line="240" w:lineRule="auto"/>
      <w:jc w:val="right"/>
      <w:textAlignment w:val="center"/>
    </w:pPr>
    <w:rPr>
      <w:rFonts w:ascii="Times New Roman" w:eastAsia="Times New Roman" w:hAnsi="Times New Roman" w:cs="Times New Roman"/>
      <w:b/>
      <w:bCs/>
      <w:color w:val="FFFFFF"/>
      <w:sz w:val="20"/>
      <w:szCs w:val="20"/>
    </w:rPr>
  </w:style>
  <w:style w:type="paragraph" w:customStyle="1" w:styleId="xl780">
    <w:name w:val="xl780"/>
    <w:basedOn w:val="Normal"/>
    <w:rsid w:val="0053584C"/>
    <w:pPr>
      <w:pBdr>
        <w:bottom w:val="single" w:sz="8" w:space="0" w:color="000000"/>
        <w:right w:val="single" w:sz="8" w:space="0" w:color="auto"/>
      </w:pBdr>
      <w:shd w:val="clear" w:color="000000" w:fill="595959"/>
      <w:spacing w:before="100" w:beforeAutospacing="1" w:after="100" w:afterAutospacing="1" w:line="240" w:lineRule="auto"/>
      <w:jc w:val="right"/>
      <w:textAlignment w:val="center"/>
    </w:pPr>
    <w:rPr>
      <w:rFonts w:ascii="Times New Roman" w:eastAsia="Times New Roman" w:hAnsi="Times New Roman" w:cs="Times New Roman"/>
      <w:b/>
      <w:bCs/>
      <w:color w:val="FFFFFF"/>
      <w:sz w:val="20"/>
      <w:szCs w:val="20"/>
    </w:rPr>
  </w:style>
  <w:style w:type="paragraph" w:customStyle="1" w:styleId="xl781">
    <w:name w:val="xl781"/>
    <w:basedOn w:val="Normal"/>
    <w:rsid w:val="0053584C"/>
    <w:pPr>
      <w:pBdr>
        <w:bottom w:val="single" w:sz="8" w:space="0" w:color="000000"/>
      </w:pBdr>
      <w:shd w:val="clear" w:color="000000" w:fill="595959"/>
      <w:spacing w:before="100" w:beforeAutospacing="1" w:after="100" w:afterAutospacing="1" w:line="240" w:lineRule="auto"/>
      <w:jc w:val="right"/>
      <w:textAlignment w:val="center"/>
    </w:pPr>
    <w:rPr>
      <w:rFonts w:ascii="Times New Roman" w:eastAsia="Times New Roman" w:hAnsi="Times New Roman" w:cs="Times New Roman"/>
      <w:b/>
      <w:bCs/>
      <w:color w:val="FFFFFF"/>
      <w:sz w:val="20"/>
      <w:szCs w:val="20"/>
    </w:rPr>
  </w:style>
  <w:style w:type="paragraph" w:customStyle="1" w:styleId="xl782">
    <w:name w:val="xl782"/>
    <w:basedOn w:val="Normal"/>
    <w:rsid w:val="0053584C"/>
    <w:pPr>
      <w:pBdr>
        <w:bottom w:val="single" w:sz="8" w:space="0" w:color="000000"/>
        <w:right w:val="single" w:sz="8" w:space="0" w:color="000000"/>
      </w:pBdr>
      <w:shd w:val="clear" w:color="000000" w:fill="595959"/>
      <w:spacing w:before="100" w:beforeAutospacing="1" w:after="100" w:afterAutospacing="1" w:line="240" w:lineRule="auto"/>
      <w:jc w:val="center"/>
      <w:textAlignment w:val="center"/>
    </w:pPr>
    <w:rPr>
      <w:rFonts w:ascii="Times New Roman" w:eastAsia="Times New Roman" w:hAnsi="Times New Roman" w:cs="Times New Roman"/>
      <w:i/>
      <w:iCs/>
      <w:color w:val="FFFFFF"/>
      <w:sz w:val="20"/>
      <w:szCs w:val="20"/>
    </w:rPr>
  </w:style>
  <w:style w:type="paragraph" w:customStyle="1" w:styleId="xl783">
    <w:name w:val="xl783"/>
    <w:basedOn w:val="Normal"/>
    <w:rsid w:val="0053584C"/>
    <w:pPr>
      <w:pBdr>
        <w:top w:val="single" w:sz="8" w:space="0" w:color="000000"/>
        <w:left w:val="single" w:sz="8" w:space="0" w:color="000000"/>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20"/>
      <w:szCs w:val="20"/>
    </w:rPr>
  </w:style>
  <w:style w:type="paragraph" w:customStyle="1" w:styleId="xl784">
    <w:name w:val="xl784"/>
    <w:basedOn w:val="Normal"/>
    <w:rsid w:val="0053584C"/>
    <w:pPr>
      <w:pBdr>
        <w:top w:val="single" w:sz="8" w:space="0" w:color="000000"/>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20"/>
      <w:szCs w:val="20"/>
    </w:rPr>
  </w:style>
  <w:style w:type="paragraph" w:customStyle="1" w:styleId="xl785">
    <w:name w:val="xl785"/>
    <w:basedOn w:val="Normal"/>
    <w:rsid w:val="0053584C"/>
    <w:pPr>
      <w:pBdr>
        <w:top w:val="single" w:sz="8" w:space="0" w:color="000000"/>
        <w:right w:val="single" w:sz="8" w:space="0" w:color="000000"/>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20"/>
      <w:szCs w:val="20"/>
    </w:rPr>
  </w:style>
  <w:style w:type="paragraph" w:customStyle="1" w:styleId="xl786">
    <w:name w:val="xl786"/>
    <w:basedOn w:val="Normal"/>
    <w:rsid w:val="0053584C"/>
    <w:pPr>
      <w:pBdr>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0"/>
      <w:szCs w:val="20"/>
    </w:rPr>
  </w:style>
  <w:style w:type="paragraph" w:customStyle="1" w:styleId="xl788">
    <w:name w:val="xl788"/>
    <w:basedOn w:val="Normal"/>
    <w:rsid w:val="0053584C"/>
    <w:pPr>
      <w:pBdr>
        <w:left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789">
    <w:name w:val="xl789"/>
    <w:basedOn w:val="Normal"/>
    <w:rsid w:val="0053584C"/>
    <w:pPr>
      <w:pBdr>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rPr>
  </w:style>
  <w:style w:type="paragraph" w:customStyle="1" w:styleId="xl798">
    <w:name w:val="xl798"/>
    <w:basedOn w:val="Normal"/>
    <w:rsid w:val="0053584C"/>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05">
    <w:name w:val="xl805"/>
    <w:basedOn w:val="Normal"/>
    <w:rsid w:val="0053584C"/>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807">
    <w:name w:val="xl807"/>
    <w:basedOn w:val="Normal"/>
    <w:rsid w:val="0053584C"/>
    <w:pPr>
      <w:pBdr>
        <w:left w:val="single" w:sz="8" w:space="0" w:color="000000"/>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811">
    <w:name w:val="xl811"/>
    <w:basedOn w:val="Normal"/>
    <w:rsid w:val="0053584C"/>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812">
    <w:name w:val="xl812"/>
    <w:basedOn w:val="Normal"/>
    <w:rsid w:val="0053584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820">
    <w:name w:val="xl820"/>
    <w:basedOn w:val="Normal"/>
    <w:rsid w:val="0053584C"/>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i/>
      <w:iCs/>
      <w:sz w:val="20"/>
      <w:szCs w:val="20"/>
    </w:rPr>
  </w:style>
  <w:style w:type="paragraph" w:customStyle="1" w:styleId="xl821">
    <w:name w:val="xl821"/>
    <w:basedOn w:val="Normal"/>
    <w:rsid w:val="0053584C"/>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22">
    <w:name w:val="xl822"/>
    <w:basedOn w:val="Normal"/>
    <w:rsid w:val="0053584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23">
    <w:name w:val="xl823"/>
    <w:basedOn w:val="Normal"/>
    <w:rsid w:val="0053584C"/>
    <w:pPr>
      <w:pBdr>
        <w:top w:val="single" w:sz="8" w:space="0" w:color="auto"/>
        <w:bottom w:val="single" w:sz="8" w:space="0" w:color="auto"/>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27">
    <w:name w:val="xl827"/>
    <w:basedOn w:val="Normal"/>
    <w:rsid w:val="0053584C"/>
    <w:pPr>
      <w:pBdr>
        <w:bottom w:val="single" w:sz="8" w:space="0" w:color="auto"/>
        <w:right w:val="single" w:sz="8" w:space="0" w:color="000000"/>
      </w:pBdr>
      <w:spacing w:before="100" w:beforeAutospacing="1" w:after="100" w:afterAutospacing="1" w:line="240" w:lineRule="auto"/>
      <w:textAlignment w:val="center"/>
    </w:pPr>
    <w:rPr>
      <w:rFonts w:ascii="Times New Roman" w:eastAsia="Times New Roman" w:hAnsi="Times New Roman" w:cs="Times New Roman"/>
      <w:i/>
      <w:iCs/>
      <w:sz w:val="20"/>
      <w:szCs w:val="20"/>
    </w:rPr>
  </w:style>
  <w:style w:type="paragraph" w:styleId="Tabledesillustrations">
    <w:name w:val="table of figures"/>
    <w:basedOn w:val="Normal"/>
    <w:next w:val="Normal"/>
    <w:uiPriority w:val="99"/>
    <w:unhideWhenUsed/>
    <w:rsid w:val="00493311"/>
    <w:pPr>
      <w:spacing w:after="0"/>
    </w:pPr>
    <w:rPr>
      <w:rFonts w:asciiTheme="minorHAnsi" w:hAnsiTheme="minorHAnsi" w:cs="Times New Roman"/>
      <w:i/>
      <w:iCs/>
      <w:sz w:val="20"/>
      <w:szCs w:val="24"/>
    </w:rPr>
  </w:style>
  <w:style w:type="paragraph" w:customStyle="1" w:styleId="font14">
    <w:name w:val="font14"/>
    <w:basedOn w:val="Normal"/>
    <w:rsid w:val="004C6D51"/>
    <w:pPr>
      <w:spacing w:before="100" w:beforeAutospacing="1" w:after="100" w:afterAutospacing="1" w:line="240" w:lineRule="auto"/>
    </w:pPr>
    <w:rPr>
      <w:rFonts w:eastAsia="Times New Roman"/>
      <w:b/>
      <w:bCs/>
      <w:color w:val="000000"/>
      <w:sz w:val="18"/>
      <w:szCs w:val="18"/>
    </w:rPr>
  </w:style>
  <w:style w:type="paragraph" w:customStyle="1" w:styleId="font15">
    <w:name w:val="font15"/>
    <w:basedOn w:val="Normal"/>
    <w:rsid w:val="004C6D51"/>
    <w:pPr>
      <w:spacing w:before="100" w:beforeAutospacing="1" w:after="100" w:afterAutospacing="1" w:line="240" w:lineRule="auto"/>
    </w:pPr>
    <w:rPr>
      <w:rFonts w:eastAsia="Times New Roman"/>
      <w:color w:val="000000"/>
      <w:sz w:val="18"/>
      <w:szCs w:val="18"/>
    </w:rPr>
  </w:style>
  <w:style w:type="paragraph" w:customStyle="1" w:styleId="font17">
    <w:name w:val="font17"/>
    <w:basedOn w:val="Normal"/>
    <w:rsid w:val="004C6D51"/>
    <w:pPr>
      <w:spacing w:before="100" w:beforeAutospacing="1" w:after="100" w:afterAutospacing="1" w:line="240" w:lineRule="auto"/>
    </w:pPr>
    <w:rPr>
      <w:rFonts w:eastAsia="Times New Roman"/>
      <w:sz w:val="18"/>
      <w:szCs w:val="18"/>
    </w:rPr>
  </w:style>
  <w:style w:type="paragraph" w:customStyle="1" w:styleId="font19">
    <w:name w:val="font19"/>
    <w:basedOn w:val="Normal"/>
    <w:rsid w:val="004C6D51"/>
    <w:pPr>
      <w:spacing w:before="100" w:beforeAutospacing="1" w:after="100" w:afterAutospacing="1" w:line="240" w:lineRule="auto"/>
    </w:pPr>
    <w:rPr>
      <w:rFonts w:eastAsia="Times New Roman"/>
      <w:color w:val="FF0000"/>
      <w:sz w:val="18"/>
      <w:szCs w:val="18"/>
    </w:rPr>
  </w:style>
  <w:style w:type="paragraph" w:customStyle="1" w:styleId="font23">
    <w:name w:val="font23"/>
    <w:basedOn w:val="Normal"/>
    <w:rsid w:val="004C6D51"/>
    <w:pPr>
      <w:spacing w:before="100" w:beforeAutospacing="1" w:after="100" w:afterAutospacing="1" w:line="240" w:lineRule="auto"/>
    </w:pPr>
    <w:rPr>
      <w:rFonts w:eastAsia="Times New Roman"/>
      <w:color w:val="FFFFFF"/>
      <w:sz w:val="18"/>
      <w:szCs w:val="18"/>
    </w:rPr>
  </w:style>
  <w:style w:type="paragraph" w:customStyle="1" w:styleId="font25">
    <w:name w:val="font25"/>
    <w:basedOn w:val="Normal"/>
    <w:rsid w:val="004C6D51"/>
    <w:pPr>
      <w:spacing w:before="100" w:beforeAutospacing="1" w:after="100" w:afterAutospacing="1" w:line="240" w:lineRule="auto"/>
    </w:pPr>
    <w:rPr>
      <w:rFonts w:eastAsia="Times New Roman"/>
      <w:b/>
      <w:bCs/>
      <w:i/>
      <w:iCs/>
      <w:color w:val="FF0000"/>
      <w:sz w:val="18"/>
      <w:szCs w:val="18"/>
    </w:rPr>
  </w:style>
  <w:style w:type="paragraph" w:customStyle="1" w:styleId="xl51">
    <w:name w:val="xl51"/>
    <w:basedOn w:val="Normal"/>
    <w:rsid w:val="004C6D5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54">
    <w:name w:val="xl54"/>
    <w:basedOn w:val="Normal"/>
    <w:rsid w:val="004C6D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18"/>
      <w:szCs w:val="18"/>
    </w:rPr>
  </w:style>
  <w:style w:type="paragraph" w:customStyle="1" w:styleId="xl56">
    <w:name w:val="xl56"/>
    <w:basedOn w:val="Normal"/>
    <w:rsid w:val="004C6D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i/>
      <w:iCs/>
      <w:sz w:val="18"/>
      <w:szCs w:val="18"/>
    </w:rPr>
  </w:style>
  <w:style w:type="paragraph" w:customStyle="1" w:styleId="xl57">
    <w:name w:val="xl57"/>
    <w:basedOn w:val="Normal"/>
    <w:rsid w:val="004C6D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58">
    <w:name w:val="xl58"/>
    <w:basedOn w:val="Normal"/>
    <w:rsid w:val="004C6D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i/>
      <w:iCs/>
      <w:color w:val="000000"/>
      <w:sz w:val="18"/>
      <w:szCs w:val="18"/>
    </w:rPr>
  </w:style>
  <w:style w:type="paragraph" w:customStyle="1" w:styleId="xl60">
    <w:name w:val="xl60"/>
    <w:basedOn w:val="Normal"/>
    <w:rsid w:val="004C6D5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000000"/>
      <w:sz w:val="18"/>
      <w:szCs w:val="18"/>
    </w:rPr>
  </w:style>
  <w:style w:type="paragraph" w:customStyle="1" w:styleId="xl63">
    <w:name w:val="xl63"/>
    <w:basedOn w:val="Normal"/>
    <w:rsid w:val="004C6D51"/>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right"/>
      <w:textAlignment w:val="center"/>
    </w:pPr>
    <w:rPr>
      <w:rFonts w:eastAsia="Times New Roman"/>
      <w:sz w:val="18"/>
      <w:szCs w:val="18"/>
    </w:rPr>
  </w:style>
  <w:style w:type="paragraph" w:customStyle="1" w:styleId="xl64">
    <w:name w:val="xl64"/>
    <w:basedOn w:val="Normal"/>
    <w:rsid w:val="004C6D51"/>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right"/>
      <w:textAlignment w:val="center"/>
    </w:pPr>
    <w:rPr>
      <w:rFonts w:eastAsia="Times New Roman"/>
      <w:sz w:val="18"/>
      <w:szCs w:val="18"/>
    </w:rPr>
  </w:style>
  <w:style w:type="paragraph" w:customStyle="1" w:styleId="xl120">
    <w:name w:val="xl120"/>
    <w:basedOn w:val="Normal"/>
    <w:rsid w:val="004C6D51"/>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sz w:val="18"/>
      <w:szCs w:val="18"/>
    </w:rPr>
  </w:style>
  <w:style w:type="paragraph" w:customStyle="1" w:styleId="xl141">
    <w:name w:val="xl141"/>
    <w:basedOn w:val="Normal"/>
    <w:rsid w:val="004C6D51"/>
    <w:pPr>
      <w:pBdr>
        <w:top w:val="single" w:sz="4" w:space="0" w:color="auto"/>
        <w:left w:val="single" w:sz="4" w:space="0" w:color="auto"/>
        <w:bottom w:val="single" w:sz="4" w:space="0" w:color="auto"/>
        <w:right w:val="single" w:sz="4" w:space="0" w:color="auto"/>
      </w:pBdr>
      <w:shd w:val="clear" w:color="000000" w:fill="595959"/>
      <w:spacing w:before="100" w:beforeAutospacing="1" w:after="100" w:afterAutospacing="1" w:line="240" w:lineRule="auto"/>
      <w:jc w:val="right"/>
      <w:textAlignment w:val="center"/>
    </w:pPr>
    <w:rPr>
      <w:rFonts w:eastAsia="Times New Roman"/>
      <w:b/>
      <w:bCs/>
      <w:color w:val="FFFFFF"/>
      <w:sz w:val="18"/>
      <w:szCs w:val="18"/>
    </w:rPr>
  </w:style>
  <w:style w:type="paragraph" w:customStyle="1" w:styleId="xl237">
    <w:name w:val="xl237"/>
    <w:basedOn w:val="Normal"/>
    <w:rsid w:val="004C6D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olor w:val="92D050"/>
      <w:sz w:val="18"/>
      <w:szCs w:val="18"/>
    </w:rPr>
  </w:style>
  <w:style w:type="paragraph" w:customStyle="1" w:styleId="xl264">
    <w:name w:val="xl264"/>
    <w:basedOn w:val="Normal"/>
    <w:rsid w:val="004C6D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B050"/>
      <w:sz w:val="18"/>
      <w:szCs w:val="18"/>
    </w:rPr>
  </w:style>
  <w:style w:type="paragraph" w:customStyle="1" w:styleId="xl268">
    <w:name w:val="xl268"/>
    <w:basedOn w:val="Normal"/>
    <w:rsid w:val="004C6D51"/>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olor w:val="00B050"/>
      <w:sz w:val="18"/>
      <w:szCs w:val="18"/>
    </w:rPr>
  </w:style>
  <w:style w:type="paragraph" w:customStyle="1" w:styleId="xl272">
    <w:name w:val="xl272"/>
    <w:basedOn w:val="Normal"/>
    <w:rsid w:val="004C6D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i/>
      <w:iCs/>
      <w:color w:val="00B050"/>
      <w:sz w:val="18"/>
      <w:szCs w:val="18"/>
    </w:rPr>
  </w:style>
  <w:style w:type="paragraph" w:customStyle="1" w:styleId="xl273">
    <w:name w:val="xl273"/>
    <w:basedOn w:val="Normal"/>
    <w:rsid w:val="004C6D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i/>
      <w:iCs/>
      <w:color w:val="00B050"/>
      <w:sz w:val="18"/>
      <w:szCs w:val="18"/>
    </w:rPr>
  </w:style>
  <w:style w:type="paragraph" w:customStyle="1" w:styleId="xl276">
    <w:name w:val="xl276"/>
    <w:basedOn w:val="Normal"/>
    <w:rsid w:val="004C6D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18"/>
      <w:szCs w:val="18"/>
    </w:rPr>
  </w:style>
  <w:style w:type="paragraph" w:customStyle="1" w:styleId="xl277">
    <w:name w:val="xl277"/>
    <w:basedOn w:val="Normal"/>
    <w:rsid w:val="004C6D51"/>
    <w:pPr>
      <w:pBdr>
        <w:left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18"/>
      <w:szCs w:val="18"/>
    </w:rPr>
  </w:style>
  <w:style w:type="paragraph" w:customStyle="1" w:styleId="xl278">
    <w:name w:val="xl278"/>
    <w:basedOn w:val="Normal"/>
    <w:rsid w:val="004C6D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18"/>
      <w:szCs w:val="18"/>
    </w:rPr>
  </w:style>
  <w:style w:type="paragraph" w:customStyle="1" w:styleId="xl279">
    <w:name w:val="xl279"/>
    <w:basedOn w:val="Normal"/>
    <w:rsid w:val="004C6D51"/>
    <w:pPr>
      <w:pBdr>
        <w:top w:val="single" w:sz="4" w:space="0" w:color="auto"/>
        <w:left w:val="single" w:sz="4" w:space="0" w:color="auto"/>
        <w:bottom w:val="single" w:sz="4" w:space="0" w:color="auto"/>
      </w:pBdr>
      <w:shd w:val="clear" w:color="000000" w:fill="C6E0B4"/>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280">
    <w:name w:val="xl280"/>
    <w:basedOn w:val="Normal"/>
    <w:rsid w:val="004C6D51"/>
    <w:pPr>
      <w:pBdr>
        <w:top w:val="single" w:sz="4" w:space="0" w:color="auto"/>
        <w:bottom w:val="single" w:sz="4" w:space="0" w:color="auto"/>
        <w:right w:val="single" w:sz="4" w:space="0" w:color="auto"/>
      </w:pBdr>
      <w:shd w:val="clear" w:color="000000" w:fill="C6E0B4"/>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281">
    <w:name w:val="xl281"/>
    <w:basedOn w:val="Normal"/>
    <w:rsid w:val="004C6D51"/>
    <w:pPr>
      <w:pBdr>
        <w:top w:val="single" w:sz="4" w:space="0" w:color="auto"/>
        <w:left w:val="single" w:sz="4" w:space="0" w:color="auto"/>
        <w:bottom w:val="single" w:sz="4" w:space="0" w:color="auto"/>
      </w:pBdr>
      <w:shd w:val="clear" w:color="000000" w:fill="00B0F0"/>
      <w:spacing w:before="100" w:beforeAutospacing="1" w:after="100" w:afterAutospacing="1" w:line="240" w:lineRule="auto"/>
      <w:jc w:val="right"/>
      <w:textAlignment w:val="center"/>
    </w:pPr>
    <w:rPr>
      <w:rFonts w:eastAsia="Times New Roman"/>
      <w:color w:val="000000"/>
      <w:sz w:val="18"/>
      <w:szCs w:val="18"/>
    </w:rPr>
  </w:style>
  <w:style w:type="paragraph" w:customStyle="1" w:styleId="xl282">
    <w:name w:val="xl282"/>
    <w:basedOn w:val="Normal"/>
    <w:rsid w:val="004C6D51"/>
    <w:pPr>
      <w:pBdr>
        <w:top w:val="single" w:sz="4" w:space="0" w:color="auto"/>
        <w:bottom w:val="single" w:sz="4" w:space="0" w:color="auto"/>
        <w:right w:val="single" w:sz="4" w:space="0" w:color="auto"/>
      </w:pBdr>
      <w:shd w:val="clear" w:color="000000" w:fill="00B0F0"/>
      <w:spacing w:before="100" w:beforeAutospacing="1" w:after="100" w:afterAutospacing="1" w:line="240" w:lineRule="auto"/>
      <w:jc w:val="right"/>
      <w:textAlignment w:val="center"/>
    </w:pPr>
    <w:rPr>
      <w:rFonts w:eastAsia="Times New Roman"/>
      <w:color w:val="000000"/>
      <w:sz w:val="18"/>
      <w:szCs w:val="18"/>
    </w:rPr>
  </w:style>
  <w:style w:type="paragraph" w:customStyle="1" w:styleId="xl283">
    <w:name w:val="xl283"/>
    <w:basedOn w:val="Normal"/>
    <w:rsid w:val="004C6D51"/>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284">
    <w:name w:val="xl284"/>
    <w:basedOn w:val="Normal"/>
    <w:rsid w:val="004C6D51"/>
    <w:pPr>
      <w:pBdr>
        <w:top w:val="single" w:sz="4" w:space="0" w:color="auto"/>
        <w:bottom w:val="single" w:sz="4" w:space="0" w:color="auto"/>
      </w:pBdr>
      <w:shd w:val="clear" w:color="000000" w:fill="FFC000"/>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285">
    <w:name w:val="xl285"/>
    <w:basedOn w:val="Normal"/>
    <w:rsid w:val="004C6D51"/>
    <w:pPr>
      <w:pBdr>
        <w:top w:val="single" w:sz="4" w:space="0" w:color="auto"/>
        <w:bottom w:val="single" w:sz="4" w:space="0" w:color="auto"/>
        <w:right w:val="single" w:sz="4" w:space="0" w:color="auto"/>
      </w:pBdr>
      <w:shd w:val="clear" w:color="000000" w:fill="FFC000"/>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286">
    <w:name w:val="xl286"/>
    <w:basedOn w:val="Normal"/>
    <w:rsid w:val="004C6D51"/>
    <w:pPr>
      <w:pBdr>
        <w:top w:val="single" w:sz="4" w:space="0" w:color="auto"/>
        <w:left w:val="single" w:sz="4" w:space="0" w:color="auto"/>
        <w:bottom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287">
    <w:name w:val="xl287"/>
    <w:basedOn w:val="Normal"/>
    <w:rsid w:val="004C6D51"/>
    <w:pPr>
      <w:pBdr>
        <w:top w:val="single" w:sz="4" w:space="0" w:color="auto"/>
        <w:bottom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288">
    <w:name w:val="xl288"/>
    <w:basedOn w:val="Normal"/>
    <w:rsid w:val="004C6D51"/>
    <w:pPr>
      <w:pBdr>
        <w:top w:val="single" w:sz="4" w:space="0" w:color="auto"/>
        <w:bottom w:val="single" w:sz="4" w:space="0" w:color="auto"/>
        <w:right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289">
    <w:name w:val="xl289"/>
    <w:basedOn w:val="Normal"/>
    <w:rsid w:val="004C6D51"/>
    <w:pPr>
      <w:pBdr>
        <w:top w:val="single" w:sz="4" w:space="0" w:color="auto"/>
        <w:left w:val="single" w:sz="4" w:space="0" w:color="auto"/>
        <w:bottom w:val="single" w:sz="4" w:space="0" w:color="auto"/>
      </w:pBdr>
      <w:shd w:val="clear" w:color="000000" w:fill="A9D08E"/>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290">
    <w:name w:val="xl290"/>
    <w:basedOn w:val="Normal"/>
    <w:rsid w:val="004C6D51"/>
    <w:pPr>
      <w:pBdr>
        <w:top w:val="single" w:sz="4" w:space="0" w:color="auto"/>
        <w:bottom w:val="single" w:sz="4" w:space="0" w:color="auto"/>
        <w:right w:val="single" w:sz="4" w:space="0" w:color="auto"/>
      </w:pBdr>
      <w:shd w:val="clear" w:color="000000" w:fill="A9D08E"/>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291">
    <w:name w:val="xl291"/>
    <w:basedOn w:val="Normal"/>
    <w:rsid w:val="004C6D51"/>
    <w:pPr>
      <w:pBdr>
        <w:top w:val="single" w:sz="4" w:space="0" w:color="auto"/>
        <w:left w:val="single" w:sz="4" w:space="0" w:color="auto"/>
        <w:bottom w:val="single" w:sz="4" w:space="0" w:color="auto"/>
      </w:pBdr>
      <w:shd w:val="clear" w:color="000000" w:fill="00B0F0"/>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292">
    <w:name w:val="xl292"/>
    <w:basedOn w:val="Normal"/>
    <w:rsid w:val="004C6D51"/>
    <w:pPr>
      <w:pBdr>
        <w:top w:val="single" w:sz="4" w:space="0" w:color="auto"/>
        <w:bottom w:val="single" w:sz="4" w:space="0" w:color="auto"/>
        <w:right w:val="single" w:sz="4" w:space="0" w:color="auto"/>
      </w:pBdr>
      <w:shd w:val="clear" w:color="000000" w:fill="00B0F0"/>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293">
    <w:name w:val="xl293"/>
    <w:basedOn w:val="Normal"/>
    <w:rsid w:val="004C6D51"/>
    <w:pPr>
      <w:pBdr>
        <w:top w:val="single" w:sz="4" w:space="0" w:color="auto"/>
        <w:left w:val="single" w:sz="4" w:space="0" w:color="auto"/>
        <w:bottom w:val="single" w:sz="4" w:space="0" w:color="auto"/>
      </w:pBdr>
      <w:shd w:val="clear" w:color="000000" w:fill="A9D08E"/>
      <w:spacing w:before="100" w:beforeAutospacing="1" w:after="100" w:afterAutospacing="1" w:line="240" w:lineRule="auto"/>
      <w:jc w:val="right"/>
      <w:textAlignment w:val="center"/>
    </w:pPr>
    <w:rPr>
      <w:rFonts w:eastAsia="Times New Roman"/>
      <w:b/>
      <w:bCs/>
      <w:sz w:val="18"/>
      <w:szCs w:val="18"/>
    </w:rPr>
  </w:style>
  <w:style w:type="paragraph" w:customStyle="1" w:styleId="xl294">
    <w:name w:val="xl294"/>
    <w:basedOn w:val="Normal"/>
    <w:rsid w:val="004C6D51"/>
    <w:pPr>
      <w:pBdr>
        <w:top w:val="single" w:sz="4" w:space="0" w:color="auto"/>
        <w:bottom w:val="single" w:sz="4" w:space="0" w:color="auto"/>
        <w:right w:val="single" w:sz="4" w:space="0" w:color="auto"/>
      </w:pBdr>
      <w:shd w:val="clear" w:color="000000" w:fill="A9D08E"/>
      <w:spacing w:before="100" w:beforeAutospacing="1" w:after="100" w:afterAutospacing="1" w:line="240" w:lineRule="auto"/>
      <w:jc w:val="right"/>
      <w:textAlignment w:val="center"/>
    </w:pPr>
    <w:rPr>
      <w:rFonts w:eastAsia="Times New Roman"/>
      <w:b/>
      <w:bCs/>
      <w:sz w:val="18"/>
      <w:szCs w:val="18"/>
    </w:rPr>
  </w:style>
  <w:style w:type="paragraph" w:customStyle="1" w:styleId="xl295">
    <w:name w:val="xl295"/>
    <w:basedOn w:val="Normal"/>
    <w:rsid w:val="004C6D51"/>
    <w:pPr>
      <w:pBdr>
        <w:top w:val="single" w:sz="4" w:space="0" w:color="auto"/>
        <w:bottom w:val="single" w:sz="4" w:space="0" w:color="auto"/>
      </w:pBdr>
      <w:shd w:val="clear" w:color="000000" w:fill="A9D08E"/>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296">
    <w:name w:val="xl296"/>
    <w:basedOn w:val="Normal"/>
    <w:rsid w:val="004C6D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18"/>
      <w:szCs w:val="18"/>
    </w:rPr>
  </w:style>
  <w:style w:type="paragraph" w:customStyle="1" w:styleId="xl297">
    <w:name w:val="xl297"/>
    <w:basedOn w:val="Normal"/>
    <w:rsid w:val="004C6D51"/>
    <w:pPr>
      <w:pBdr>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18"/>
      <w:szCs w:val="18"/>
    </w:rPr>
  </w:style>
  <w:style w:type="paragraph" w:customStyle="1" w:styleId="xl298">
    <w:name w:val="xl298"/>
    <w:basedOn w:val="Normal"/>
    <w:rsid w:val="004C6D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18"/>
      <w:szCs w:val="18"/>
    </w:rPr>
  </w:style>
  <w:style w:type="paragraph" w:customStyle="1" w:styleId="xl302">
    <w:name w:val="xl302"/>
    <w:basedOn w:val="Normal"/>
    <w:rsid w:val="004C6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000000"/>
      <w:sz w:val="18"/>
      <w:szCs w:val="18"/>
    </w:rPr>
  </w:style>
  <w:style w:type="paragraph" w:customStyle="1" w:styleId="xl303">
    <w:name w:val="xl303"/>
    <w:basedOn w:val="Normal"/>
    <w:rsid w:val="004C6D51"/>
    <w:pPr>
      <w:pBdr>
        <w:top w:val="single" w:sz="4" w:space="0" w:color="auto"/>
        <w:left w:val="single" w:sz="4" w:space="0" w:color="auto"/>
        <w:bottom w:val="single" w:sz="4" w:space="0" w:color="auto"/>
      </w:pBdr>
      <w:shd w:val="clear" w:color="000000" w:fill="595959"/>
      <w:spacing w:before="100" w:beforeAutospacing="1" w:after="100" w:afterAutospacing="1" w:line="240" w:lineRule="auto"/>
      <w:ind w:firstLineChars="200" w:firstLine="200"/>
      <w:jc w:val="right"/>
      <w:textAlignment w:val="center"/>
    </w:pPr>
    <w:rPr>
      <w:rFonts w:eastAsia="Times New Roman"/>
      <w:b/>
      <w:bCs/>
      <w:color w:val="FFFFFF"/>
      <w:sz w:val="18"/>
      <w:szCs w:val="18"/>
    </w:rPr>
  </w:style>
  <w:style w:type="paragraph" w:customStyle="1" w:styleId="xl304">
    <w:name w:val="xl304"/>
    <w:basedOn w:val="Normal"/>
    <w:rsid w:val="004C6D51"/>
    <w:pPr>
      <w:pBdr>
        <w:top w:val="single" w:sz="4" w:space="0" w:color="auto"/>
        <w:bottom w:val="single" w:sz="4" w:space="0" w:color="auto"/>
      </w:pBdr>
      <w:shd w:val="clear" w:color="000000" w:fill="595959"/>
      <w:spacing w:before="100" w:beforeAutospacing="1" w:after="100" w:afterAutospacing="1" w:line="240" w:lineRule="auto"/>
      <w:ind w:firstLineChars="200" w:firstLine="200"/>
      <w:jc w:val="right"/>
      <w:textAlignment w:val="center"/>
    </w:pPr>
    <w:rPr>
      <w:rFonts w:eastAsia="Times New Roman"/>
      <w:b/>
      <w:bCs/>
      <w:color w:val="FFFFFF"/>
      <w:sz w:val="18"/>
      <w:szCs w:val="18"/>
    </w:rPr>
  </w:style>
  <w:style w:type="paragraph" w:customStyle="1" w:styleId="xl305">
    <w:name w:val="xl305"/>
    <w:basedOn w:val="Normal"/>
    <w:rsid w:val="004C6D51"/>
    <w:pPr>
      <w:pBdr>
        <w:top w:val="single" w:sz="4" w:space="0" w:color="auto"/>
        <w:bottom w:val="single" w:sz="4" w:space="0" w:color="auto"/>
        <w:right w:val="single" w:sz="4" w:space="14" w:color="auto"/>
      </w:pBdr>
      <w:shd w:val="clear" w:color="000000" w:fill="595959"/>
      <w:spacing w:before="100" w:beforeAutospacing="1" w:after="100" w:afterAutospacing="1" w:line="240" w:lineRule="auto"/>
      <w:ind w:firstLineChars="200" w:firstLine="200"/>
      <w:jc w:val="right"/>
      <w:textAlignment w:val="center"/>
    </w:pPr>
    <w:rPr>
      <w:rFonts w:eastAsia="Times New Roman"/>
      <w:b/>
      <w:bCs/>
      <w:color w:val="FFFFFF"/>
      <w:sz w:val="18"/>
      <w:szCs w:val="18"/>
    </w:rPr>
  </w:style>
  <w:style w:type="paragraph" w:customStyle="1" w:styleId="xl306">
    <w:name w:val="xl306"/>
    <w:basedOn w:val="Normal"/>
    <w:rsid w:val="004C6D51"/>
    <w:pPr>
      <w:pBdr>
        <w:top w:val="single" w:sz="4" w:space="0" w:color="auto"/>
        <w:left w:val="single" w:sz="4" w:space="0" w:color="auto"/>
        <w:bottom w:val="single" w:sz="4" w:space="0" w:color="auto"/>
      </w:pBdr>
      <w:shd w:val="clear" w:color="000000" w:fill="595959"/>
      <w:spacing w:before="100" w:beforeAutospacing="1" w:after="100" w:afterAutospacing="1" w:line="240" w:lineRule="auto"/>
      <w:ind w:firstLineChars="100" w:firstLine="100"/>
      <w:jc w:val="right"/>
      <w:textAlignment w:val="center"/>
    </w:pPr>
    <w:rPr>
      <w:rFonts w:eastAsia="Times New Roman"/>
      <w:b/>
      <w:bCs/>
      <w:color w:val="FFFFFF"/>
      <w:sz w:val="18"/>
      <w:szCs w:val="18"/>
    </w:rPr>
  </w:style>
  <w:style w:type="paragraph" w:customStyle="1" w:styleId="xl307">
    <w:name w:val="xl307"/>
    <w:basedOn w:val="Normal"/>
    <w:rsid w:val="004C6D51"/>
    <w:pPr>
      <w:pBdr>
        <w:top w:val="single" w:sz="4" w:space="0" w:color="auto"/>
        <w:bottom w:val="single" w:sz="4" w:space="0" w:color="auto"/>
      </w:pBdr>
      <w:shd w:val="clear" w:color="000000" w:fill="595959"/>
      <w:spacing w:before="100" w:beforeAutospacing="1" w:after="100" w:afterAutospacing="1" w:line="240" w:lineRule="auto"/>
      <w:ind w:firstLineChars="100" w:firstLine="100"/>
      <w:jc w:val="right"/>
      <w:textAlignment w:val="center"/>
    </w:pPr>
    <w:rPr>
      <w:rFonts w:eastAsia="Times New Roman"/>
      <w:b/>
      <w:bCs/>
      <w:color w:val="FFFFFF"/>
      <w:sz w:val="18"/>
      <w:szCs w:val="18"/>
    </w:rPr>
  </w:style>
  <w:style w:type="paragraph" w:customStyle="1" w:styleId="xl308">
    <w:name w:val="xl308"/>
    <w:basedOn w:val="Normal"/>
    <w:rsid w:val="004C6D51"/>
    <w:pPr>
      <w:pBdr>
        <w:top w:val="single" w:sz="4" w:space="0" w:color="auto"/>
        <w:bottom w:val="single" w:sz="4" w:space="0" w:color="auto"/>
        <w:right w:val="single" w:sz="4" w:space="7" w:color="auto"/>
      </w:pBdr>
      <w:shd w:val="clear" w:color="000000" w:fill="595959"/>
      <w:spacing w:before="100" w:beforeAutospacing="1" w:after="100" w:afterAutospacing="1" w:line="240" w:lineRule="auto"/>
      <w:ind w:firstLineChars="100" w:firstLine="100"/>
      <w:jc w:val="right"/>
      <w:textAlignment w:val="center"/>
    </w:pPr>
    <w:rPr>
      <w:rFonts w:eastAsia="Times New Roman"/>
      <w:b/>
      <w:bCs/>
      <w:color w:val="FFFFFF"/>
      <w:sz w:val="18"/>
      <w:szCs w:val="18"/>
    </w:rPr>
  </w:style>
  <w:style w:type="paragraph" w:customStyle="1" w:styleId="xl309">
    <w:name w:val="xl309"/>
    <w:basedOn w:val="Normal"/>
    <w:rsid w:val="004C6D51"/>
    <w:pPr>
      <w:pBdr>
        <w:top w:val="single" w:sz="4" w:space="0" w:color="auto"/>
        <w:left w:val="single" w:sz="4" w:space="0" w:color="auto"/>
        <w:bottom w:val="single" w:sz="4" w:space="0" w:color="auto"/>
      </w:pBdr>
      <w:spacing w:before="100" w:beforeAutospacing="1" w:after="100" w:afterAutospacing="1" w:line="240" w:lineRule="auto"/>
      <w:ind w:firstLineChars="100" w:firstLine="100"/>
      <w:jc w:val="right"/>
      <w:textAlignment w:val="center"/>
    </w:pPr>
    <w:rPr>
      <w:rFonts w:eastAsia="Times New Roman"/>
      <w:b/>
      <w:bCs/>
      <w:color w:val="000000"/>
      <w:sz w:val="18"/>
      <w:szCs w:val="18"/>
    </w:rPr>
  </w:style>
  <w:style w:type="paragraph" w:customStyle="1" w:styleId="xl310">
    <w:name w:val="xl310"/>
    <w:basedOn w:val="Normal"/>
    <w:rsid w:val="004C6D51"/>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eastAsia="Times New Roman"/>
      <w:b/>
      <w:bCs/>
      <w:color w:val="000000"/>
      <w:sz w:val="18"/>
      <w:szCs w:val="18"/>
    </w:rPr>
  </w:style>
  <w:style w:type="paragraph" w:customStyle="1" w:styleId="xl311">
    <w:name w:val="xl311"/>
    <w:basedOn w:val="Normal"/>
    <w:rsid w:val="004C6D51"/>
    <w:pPr>
      <w:pBdr>
        <w:top w:val="single" w:sz="4" w:space="0" w:color="auto"/>
        <w:bottom w:val="single" w:sz="4" w:space="0" w:color="auto"/>
        <w:right w:val="single" w:sz="4" w:space="7" w:color="auto"/>
      </w:pBdr>
      <w:spacing w:before="100" w:beforeAutospacing="1" w:after="100" w:afterAutospacing="1" w:line="240" w:lineRule="auto"/>
      <w:ind w:firstLineChars="100" w:firstLine="100"/>
      <w:jc w:val="right"/>
      <w:textAlignment w:val="center"/>
    </w:pPr>
    <w:rPr>
      <w:rFonts w:eastAsia="Times New Roman"/>
      <w:b/>
      <w:bCs/>
      <w:color w:val="000000"/>
      <w:sz w:val="18"/>
      <w:szCs w:val="18"/>
    </w:rPr>
  </w:style>
  <w:style w:type="paragraph" w:customStyle="1" w:styleId="xl312">
    <w:name w:val="xl312"/>
    <w:basedOn w:val="Normal"/>
    <w:rsid w:val="004C6D51"/>
    <w:pPr>
      <w:pBdr>
        <w:left w:val="single" w:sz="4" w:space="0" w:color="auto"/>
        <w:right w:val="single" w:sz="4" w:space="0" w:color="auto"/>
      </w:pBdr>
      <w:spacing w:before="100" w:beforeAutospacing="1" w:after="100" w:afterAutospacing="1" w:line="240" w:lineRule="auto"/>
      <w:textAlignment w:val="center"/>
    </w:pPr>
    <w:rPr>
      <w:rFonts w:eastAsia="Times New Roman"/>
      <w:b/>
      <w:bCs/>
      <w:color w:val="000000"/>
      <w:sz w:val="18"/>
      <w:szCs w:val="18"/>
    </w:rPr>
  </w:style>
  <w:style w:type="paragraph" w:customStyle="1" w:styleId="xl313">
    <w:name w:val="xl313"/>
    <w:basedOn w:val="Normal"/>
    <w:rsid w:val="004C6D5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color w:val="000000"/>
      <w:sz w:val="18"/>
      <w:szCs w:val="18"/>
    </w:rPr>
  </w:style>
  <w:style w:type="paragraph" w:customStyle="1" w:styleId="xl314">
    <w:name w:val="xl314"/>
    <w:basedOn w:val="Normal"/>
    <w:rsid w:val="004C6D51"/>
    <w:pPr>
      <w:pBdr>
        <w:top w:val="single" w:sz="4" w:space="0" w:color="auto"/>
        <w:left w:val="single" w:sz="4" w:space="0" w:color="auto"/>
        <w:bottom w:val="single" w:sz="4" w:space="0" w:color="auto"/>
      </w:pBdr>
      <w:shd w:val="clear" w:color="000000" w:fill="C6E0B4"/>
      <w:spacing w:before="100" w:beforeAutospacing="1" w:after="100" w:afterAutospacing="1" w:line="240" w:lineRule="auto"/>
      <w:jc w:val="right"/>
      <w:textAlignment w:val="center"/>
    </w:pPr>
    <w:rPr>
      <w:rFonts w:eastAsia="Times New Roman"/>
      <w:b/>
      <w:bCs/>
      <w:sz w:val="18"/>
      <w:szCs w:val="18"/>
    </w:rPr>
  </w:style>
  <w:style w:type="paragraph" w:customStyle="1" w:styleId="xl315">
    <w:name w:val="xl315"/>
    <w:basedOn w:val="Normal"/>
    <w:rsid w:val="004C6D51"/>
    <w:pPr>
      <w:pBdr>
        <w:top w:val="single" w:sz="4" w:space="0" w:color="auto"/>
        <w:bottom w:val="single" w:sz="4" w:space="0" w:color="auto"/>
        <w:right w:val="single" w:sz="4" w:space="0" w:color="auto"/>
      </w:pBdr>
      <w:shd w:val="clear" w:color="000000" w:fill="C6E0B4"/>
      <w:spacing w:before="100" w:beforeAutospacing="1" w:after="100" w:afterAutospacing="1" w:line="240" w:lineRule="auto"/>
      <w:jc w:val="right"/>
      <w:textAlignment w:val="center"/>
    </w:pPr>
    <w:rPr>
      <w:rFonts w:eastAsia="Times New Roman"/>
      <w:b/>
      <w:bCs/>
      <w:sz w:val="18"/>
      <w:szCs w:val="18"/>
    </w:rPr>
  </w:style>
  <w:style w:type="paragraph" w:customStyle="1" w:styleId="xl316">
    <w:name w:val="xl316"/>
    <w:basedOn w:val="Normal"/>
    <w:rsid w:val="004C6D51"/>
    <w:pPr>
      <w:pBdr>
        <w:top w:val="single" w:sz="4" w:space="0" w:color="auto"/>
        <w:left w:val="single" w:sz="4" w:space="0" w:color="auto"/>
        <w:bottom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317">
    <w:name w:val="xl317"/>
    <w:basedOn w:val="Normal"/>
    <w:rsid w:val="004C6D51"/>
    <w:pPr>
      <w:pBdr>
        <w:top w:val="single" w:sz="4" w:space="0" w:color="auto"/>
        <w:bottom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318">
    <w:name w:val="xl318"/>
    <w:basedOn w:val="Normal"/>
    <w:rsid w:val="004C6D51"/>
    <w:pPr>
      <w:pBdr>
        <w:top w:val="single" w:sz="4" w:space="0" w:color="auto"/>
        <w:bottom w:val="single" w:sz="4" w:space="0" w:color="auto"/>
        <w:right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319">
    <w:name w:val="xl319"/>
    <w:basedOn w:val="Normal"/>
    <w:rsid w:val="004C6D51"/>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b/>
      <w:bCs/>
      <w:color w:val="000000"/>
      <w:sz w:val="18"/>
      <w:szCs w:val="18"/>
    </w:rPr>
  </w:style>
  <w:style w:type="paragraph" w:customStyle="1" w:styleId="xl320">
    <w:name w:val="xl320"/>
    <w:basedOn w:val="Normal"/>
    <w:rsid w:val="004C6D51"/>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color w:val="000000"/>
      <w:sz w:val="18"/>
      <w:szCs w:val="18"/>
    </w:rPr>
  </w:style>
  <w:style w:type="paragraph" w:customStyle="1" w:styleId="xl321">
    <w:name w:val="xl321"/>
    <w:basedOn w:val="Normal"/>
    <w:rsid w:val="004C6D51"/>
    <w:pPr>
      <w:pBdr>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color w:val="000000"/>
      <w:sz w:val="18"/>
      <w:szCs w:val="18"/>
    </w:rPr>
  </w:style>
  <w:style w:type="paragraph" w:customStyle="1" w:styleId="xl322">
    <w:name w:val="xl322"/>
    <w:basedOn w:val="Normal"/>
    <w:rsid w:val="004C6D51"/>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color w:val="000000"/>
      <w:sz w:val="18"/>
      <w:szCs w:val="18"/>
    </w:rPr>
  </w:style>
  <w:style w:type="paragraph" w:customStyle="1" w:styleId="xl323">
    <w:name w:val="xl323"/>
    <w:basedOn w:val="Normal"/>
    <w:rsid w:val="004C6D51"/>
    <w:pPr>
      <w:pBdr>
        <w:top w:val="single" w:sz="4" w:space="0" w:color="auto"/>
        <w:left w:val="single" w:sz="4" w:space="0" w:color="auto"/>
        <w:bottom w:val="single" w:sz="4" w:space="0" w:color="auto"/>
      </w:pBdr>
      <w:shd w:val="clear" w:color="000000" w:fill="FFE699"/>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324">
    <w:name w:val="xl324"/>
    <w:basedOn w:val="Normal"/>
    <w:rsid w:val="004C6D51"/>
    <w:pPr>
      <w:pBdr>
        <w:top w:val="single" w:sz="4" w:space="0" w:color="auto"/>
        <w:bottom w:val="single" w:sz="4" w:space="0" w:color="auto"/>
      </w:pBdr>
      <w:shd w:val="clear" w:color="000000" w:fill="FFE699"/>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325">
    <w:name w:val="xl325"/>
    <w:basedOn w:val="Normal"/>
    <w:rsid w:val="004C6D51"/>
    <w:pPr>
      <w:pBdr>
        <w:top w:val="single" w:sz="4" w:space="0" w:color="auto"/>
        <w:bottom w:val="single" w:sz="4" w:space="0" w:color="auto"/>
        <w:right w:val="single" w:sz="4" w:space="0" w:color="auto"/>
      </w:pBdr>
      <w:shd w:val="clear" w:color="000000" w:fill="FFE699"/>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326">
    <w:name w:val="xl326"/>
    <w:basedOn w:val="Normal"/>
    <w:rsid w:val="004C6D51"/>
    <w:pPr>
      <w:pBdr>
        <w:top w:val="single" w:sz="4" w:space="0" w:color="auto"/>
        <w:left w:val="single" w:sz="4" w:space="0" w:color="auto"/>
        <w:bottom w:val="single" w:sz="4" w:space="0" w:color="auto"/>
      </w:pBdr>
      <w:shd w:val="clear" w:color="000000" w:fill="F2CEEF"/>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327">
    <w:name w:val="xl327"/>
    <w:basedOn w:val="Normal"/>
    <w:rsid w:val="004C6D51"/>
    <w:pPr>
      <w:pBdr>
        <w:top w:val="single" w:sz="4" w:space="0" w:color="auto"/>
        <w:bottom w:val="single" w:sz="4" w:space="0" w:color="auto"/>
        <w:right w:val="single" w:sz="4" w:space="0" w:color="auto"/>
      </w:pBdr>
      <w:shd w:val="clear" w:color="000000" w:fill="F2CEEF"/>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328">
    <w:name w:val="xl328"/>
    <w:basedOn w:val="Normal"/>
    <w:rsid w:val="004C6D51"/>
    <w:pPr>
      <w:pBdr>
        <w:left w:val="single" w:sz="4" w:space="0" w:color="auto"/>
      </w:pBdr>
      <w:spacing w:before="100" w:beforeAutospacing="1" w:after="100" w:afterAutospacing="1" w:line="240" w:lineRule="auto"/>
      <w:jc w:val="center"/>
      <w:textAlignment w:val="center"/>
    </w:pPr>
    <w:rPr>
      <w:rFonts w:eastAsia="Times New Roman"/>
      <w:b/>
      <w:bCs/>
      <w:color w:val="000000"/>
      <w:sz w:val="18"/>
      <w:szCs w:val="18"/>
    </w:rPr>
  </w:style>
  <w:style w:type="paragraph" w:customStyle="1" w:styleId="xl331">
    <w:name w:val="xl331"/>
    <w:basedOn w:val="Normal"/>
    <w:rsid w:val="004C6D5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i/>
      <w:iCs/>
      <w:color w:val="000000"/>
      <w:sz w:val="18"/>
      <w:szCs w:val="18"/>
    </w:rPr>
  </w:style>
  <w:style w:type="paragraph" w:customStyle="1" w:styleId="xl333">
    <w:name w:val="xl333"/>
    <w:basedOn w:val="Normal"/>
    <w:rsid w:val="004C6D5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color w:val="000000"/>
      <w:sz w:val="18"/>
      <w:szCs w:val="18"/>
    </w:rPr>
  </w:style>
  <w:style w:type="paragraph" w:customStyle="1" w:styleId="xl334">
    <w:name w:val="xl334"/>
    <w:basedOn w:val="Normal"/>
    <w:rsid w:val="004C6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color w:val="000000"/>
      <w:sz w:val="18"/>
      <w:szCs w:val="18"/>
    </w:rPr>
  </w:style>
  <w:style w:type="character" w:customStyle="1" w:styleId="font151">
    <w:name w:val="font151"/>
    <w:basedOn w:val="Policepardfaut"/>
    <w:rsid w:val="004C6D51"/>
    <w:rPr>
      <w:rFonts w:ascii="Calibri" w:hAnsi="Calibri" w:cs="Calibri" w:hint="default"/>
      <w:b w:val="0"/>
      <w:bCs w:val="0"/>
      <w:i w:val="0"/>
      <w:iCs w:val="0"/>
      <w:strike w:val="0"/>
      <w:dstrike w:val="0"/>
      <w:color w:val="000000"/>
      <w:sz w:val="18"/>
      <w:szCs w:val="18"/>
      <w:u w:val="none"/>
      <w:effect w:val="none"/>
    </w:rPr>
  </w:style>
  <w:style w:type="character" w:customStyle="1" w:styleId="font141">
    <w:name w:val="font141"/>
    <w:basedOn w:val="Policepardfaut"/>
    <w:rsid w:val="004C6D51"/>
    <w:rPr>
      <w:rFonts w:ascii="Calibri" w:hAnsi="Calibri" w:cs="Calibri" w:hint="default"/>
      <w:b/>
      <w:bCs/>
      <w:i w:val="0"/>
      <w:iCs w:val="0"/>
      <w:strike w:val="0"/>
      <w:dstrike w:val="0"/>
      <w:color w:val="000000"/>
      <w:sz w:val="18"/>
      <w:szCs w:val="18"/>
      <w:u w:val="none"/>
      <w:effect w:val="none"/>
    </w:rPr>
  </w:style>
  <w:style w:type="character" w:customStyle="1" w:styleId="font171">
    <w:name w:val="font171"/>
    <w:basedOn w:val="Policepardfaut"/>
    <w:rsid w:val="004C6D51"/>
    <w:rPr>
      <w:rFonts w:ascii="Calibri" w:hAnsi="Calibri" w:cs="Calibri" w:hint="default"/>
      <w:b w:val="0"/>
      <w:bCs w:val="0"/>
      <w:i w:val="0"/>
      <w:iCs w:val="0"/>
      <w:strike w:val="0"/>
      <w:dstrike w:val="0"/>
      <w:color w:val="auto"/>
      <w:sz w:val="18"/>
      <w:szCs w:val="18"/>
      <w:u w:val="none"/>
      <w:effect w:val="none"/>
    </w:rPr>
  </w:style>
  <w:style w:type="character" w:customStyle="1" w:styleId="font251">
    <w:name w:val="font251"/>
    <w:basedOn w:val="Policepardfaut"/>
    <w:rsid w:val="004C6D51"/>
    <w:rPr>
      <w:rFonts w:ascii="Calibri" w:hAnsi="Calibri" w:cs="Calibri" w:hint="default"/>
      <w:b/>
      <w:bCs/>
      <w:i/>
      <w:iCs/>
      <w:strike w:val="0"/>
      <w:dstrike w:val="0"/>
      <w:color w:val="FF0000"/>
      <w:sz w:val="18"/>
      <w:szCs w:val="18"/>
      <w:u w:val="none"/>
      <w:effect w:val="none"/>
    </w:rPr>
  </w:style>
  <w:style w:type="character" w:customStyle="1" w:styleId="font191">
    <w:name w:val="font191"/>
    <w:basedOn w:val="Policepardfaut"/>
    <w:rsid w:val="004C6D51"/>
    <w:rPr>
      <w:rFonts w:ascii="Calibri" w:hAnsi="Calibri" w:cs="Calibri" w:hint="default"/>
      <w:b w:val="0"/>
      <w:bCs w:val="0"/>
      <w:i w:val="0"/>
      <w:iCs w:val="0"/>
      <w:strike w:val="0"/>
      <w:dstrike w:val="0"/>
      <w:color w:val="FF0000"/>
      <w:sz w:val="18"/>
      <w:szCs w:val="18"/>
      <w:u w:val="none"/>
      <w:effect w:val="none"/>
    </w:rPr>
  </w:style>
  <w:style w:type="character" w:customStyle="1" w:styleId="font231">
    <w:name w:val="font231"/>
    <w:basedOn w:val="Policepardfaut"/>
    <w:rsid w:val="004C6D51"/>
    <w:rPr>
      <w:rFonts w:ascii="Calibri" w:hAnsi="Calibri" w:cs="Calibri" w:hint="default"/>
      <w:b w:val="0"/>
      <w:bCs w:val="0"/>
      <w:i w:val="0"/>
      <w:iCs w:val="0"/>
      <w:strike w:val="0"/>
      <w:dstrike w:val="0"/>
      <w:color w:val="FFFFFF"/>
      <w:sz w:val="18"/>
      <w:szCs w:val="18"/>
      <w:u w:val="none"/>
      <w:effect w:val="none"/>
    </w:rPr>
  </w:style>
  <w:style w:type="paragraph" w:customStyle="1" w:styleId="paragraph0">
    <w:name w:val="paragraph"/>
    <w:basedOn w:val="Normal"/>
    <w:rsid w:val="005172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Policepardfaut"/>
    <w:rsid w:val="00517244"/>
  </w:style>
  <w:style w:type="character" w:customStyle="1" w:styleId="eop">
    <w:name w:val="eop"/>
    <w:basedOn w:val="Policepardfaut"/>
    <w:qFormat/>
    <w:rsid w:val="00517244"/>
  </w:style>
  <w:style w:type="table" w:styleId="Grilledetableauclaire">
    <w:name w:val="Grid Table Light"/>
    <w:basedOn w:val="TableauNormal"/>
    <w:uiPriority w:val="40"/>
    <w:rsid w:val="00B0130E"/>
    <w:pPr>
      <w:spacing w:after="0" w:line="240" w:lineRule="auto"/>
    </w:pPr>
    <w:tblPr/>
  </w:style>
  <w:style w:type="paragraph" w:customStyle="1" w:styleId="font18">
    <w:name w:val="font18"/>
    <w:basedOn w:val="Normal"/>
    <w:rsid w:val="006D3D6E"/>
    <w:pPr>
      <w:spacing w:before="100" w:beforeAutospacing="1" w:after="100" w:afterAutospacing="1" w:line="240" w:lineRule="auto"/>
    </w:pPr>
    <w:rPr>
      <w:rFonts w:eastAsia="Times New Roman"/>
      <w:color w:val="FF0000"/>
      <w:sz w:val="18"/>
      <w:szCs w:val="18"/>
    </w:rPr>
  </w:style>
  <w:style w:type="paragraph" w:customStyle="1" w:styleId="font22">
    <w:name w:val="font22"/>
    <w:basedOn w:val="Normal"/>
    <w:rsid w:val="006D3D6E"/>
    <w:pPr>
      <w:spacing w:before="100" w:beforeAutospacing="1" w:after="100" w:afterAutospacing="1" w:line="240" w:lineRule="auto"/>
    </w:pPr>
    <w:rPr>
      <w:rFonts w:eastAsia="Times New Roman"/>
      <w:color w:val="FFFFFF"/>
      <w:sz w:val="18"/>
      <w:szCs w:val="18"/>
    </w:rPr>
  </w:style>
  <w:style w:type="paragraph" w:customStyle="1" w:styleId="font24">
    <w:name w:val="font24"/>
    <w:basedOn w:val="Normal"/>
    <w:rsid w:val="006D3D6E"/>
    <w:pPr>
      <w:spacing w:before="100" w:beforeAutospacing="1" w:after="100" w:afterAutospacing="1" w:line="240" w:lineRule="auto"/>
    </w:pPr>
    <w:rPr>
      <w:rFonts w:eastAsia="Times New Roman"/>
      <w:b/>
      <w:bCs/>
      <w:i/>
      <w:iCs/>
      <w:color w:val="FF0000"/>
      <w:sz w:val="18"/>
      <w:szCs w:val="18"/>
    </w:rPr>
  </w:style>
  <w:style w:type="paragraph" w:customStyle="1" w:styleId="xl135">
    <w:name w:val="xl135"/>
    <w:basedOn w:val="Normal"/>
    <w:rsid w:val="006D3D6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i/>
      <w:iCs/>
      <w:color w:val="FF0000"/>
      <w:sz w:val="18"/>
      <w:szCs w:val="18"/>
    </w:rPr>
  </w:style>
  <w:style w:type="paragraph" w:customStyle="1" w:styleId="xl136">
    <w:name w:val="xl136"/>
    <w:basedOn w:val="Normal"/>
    <w:rsid w:val="006D3D6E"/>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eastAsia="Times New Roman"/>
      <w:color w:val="000000"/>
      <w:sz w:val="18"/>
      <w:szCs w:val="18"/>
    </w:rPr>
  </w:style>
  <w:style w:type="paragraph" w:customStyle="1" w:styleId="xl143">
    <w:name w:val="xl143"/>
    <w:basedOn w:val="Normal"/>
    <w:rsid w:val="006D3D6E"/>
    <w:pPr>
      <w:spacing w:before="100" w:beforeAutospacing="1" w:after="100" w:afterAutospacing="1" w:line="240" w:lineRule="auto"/>
      <w:textAlignment w:val="center"/>
    </w:pPr>
    <w:rPr>
      <w:rFonts w:eastAsia="Times New Roman"/>
      <w:color w:val="000000"/>
      <w:sz w:val="18"/>
      <w:szCs w:val="18"/>
    </w:rPr>
  </w:style>
  <w:style w:type="paragraph" w:customStyle="1" w:styleId="xl271">
    <w:name w:val="xl271"/>
    <w:basedOn w:val="Normal"/>
    <w:rsid w:val="006D3D6E"/>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b/>
      <w:bCs/>
      <w:color w:val="000000"/>
      <w:sz w:val="18"/>
      <w:szCs w:val="18"/>
    </w:rPr>
  </w:style>
  <w:style w:type="paragraph" w:customStyle="1" w:styleId="xl274">
    <w:name w:val="xl274"/>
    <w:basedOn w:val="Normal"/>
    <w:rsid w:val="006D3D6E"/>
    <w:pPr>
      <w:pBdr>
        <w:left w:val="single" w:sz="4" w:space="0" w:color="auto"/>
        <w:right w:val="single" w:sz="4" w:space="0" w:color="auto"/>
      </w:pBdr>
      <w:spacing w:before="100" w:beforeAutospacing="1" w:after="100" w:afterAutospacing="1" w:line="240" w:lineRule="auto"/>
      <w:textAlignment w:val="center"/>
    </w:pPr>
    <w:rPr>
      <w:rFonts w:eastAsia="Times New Roman"/>
      <w:color w:val="000000"/>
      <w:sz w:val="18"/>
      <w:szCs w:val="18"/>
    </w:rPr>
  </w:style>
  <w:style w:type="paragraph" w:customStyle="1" w:styleId="xl299">
    <w:name w:val="xl299"/>
    <w:basedOn w:val="Normal"/>
    <w:rsid w:val="006D3D6E"/>
    <w:pPr>
      <w:pBdr>
        <w:left w:val="single" w:sz="4" w:space="0" w:color="auto"/>
      </w:pBdr>
      <w:spacing w:before="100" w:beforeAutospacing="1" w:after="100" w:afterAutospacing="1" w:line="240" w:lineRule="auto"/>
      <w:jc w:val="center"/>
      <w:textAlignment w:val="center"/>
    </w:pPr>
    <w:rPr>
      <w:rFonts w:eastAsia="Times New Roman"/>
      <w:color w:val="000000"/>
      <w:sz w:val="18"/>
      <w:szCs w:val="18"/>
    </w:rPr>
  </w:style>
  <w:style w:type="paragraph" w:customStyle="1" w:styleId="xl301">
    <w:name w:val="xl301"/>
    <w:basedOn w:val="Normal"/>
    <w:rsid w:val="006D3D6E"/>
    <w:pPr>
      <w:pBdr>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18"/>
      <w:szCs w:val="18"/>
    </w:rPr>
  </w:style>
  <w:style w:type="paragraph" w:customStyle="1" w:styleId="xl329">
    <w:name w:val="xl329"/>
    <w:basedOn w:val="Normal"/>
    <w:rsid w:val="006D3D6E"/>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olor w:val="FF0000"/>
      <w:sz w:val="18"/>
      <w:szCs w:val="18"/>
    </w:rPr>
  </w:style>
  <w:style w:type="paragraph" w:customStyle="1" w:styleId="xl330">
    <w:name w:val="xl330"/>
    <w:basedOn w:val="Normal"/>
    <w:rsid w:val="006D3D6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FF0000"/>
      <w:sz w:val="18"/>
      <w:szCs w:val="18"/>
    </w:rPr>
  </w:style>
  <w:style w:type="paragraph" w:customStyle="1" w:styleId="xl332">
    <w:name w:val="xl332"/>
    <w:basedOn w:val="Normal"/>
    <w:rsid w:val="006D3D6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18"/>
      <w:szCs w:val="18"/>
    </w:rPr>
  </w:style>
  <w:style w:type="paragraph" w:customStyle="1" w:styleId="xl339">
    <w:name w:val="xl339"/>
    <w:basedOn w:val="Normal"/>
    <w:rsid w:val="006D3D6E"/>
    <w:pPr>
      <w:pBdr>
        <w:left w:val="single" w:sz="4" w:space="0" w:color="auto"/>
        <w:bottom w:val="single" w:sz="4" w:space="0" w:color="auto"/>
      </w:pBdr>
      <w:shd w:val="clear" w:color="000000" w:fill="FFE699"/>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340">
    <w:name w:val="xl340"/>
    <w:basedOn w:val="Normal"/>
    <w:rsid w:val="006D3D6E"/>
    <w:pPr>
      <w:pBdr>
        <w:bottom w:val="single" w:sz="4" w:space="0" w:color="auto"/>
      </w:pBdr>
      <w:shd w:val="clear" w:color="000000" w:fill="FFE699"/>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341">
    <w:name w:val="xl341"/>
    <w:basedOn w:val="Normal"/>
    <w:rsid w:val="006D3D6E"/>
    <w:pPr>
      <w:pBdr>
        <w:bottom w:val="single" w:sz="4" w:space="0" w:color="auto"/>
        <w:right w:val="single" w:sz="4" w:space="0" w:color="auto"/>
      </w:pBdr>
      <w:shd w:val="clear" w:color="000000" w:fill="FFE699"/>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342">
    <w:name w:val="xl342"/>
    <w:basedOn w:val="Normal"/>
    <w:rsid w:val="006D3D6E"/>
    <w:pPr>
      <w:pBdr>
        <w:top w:val="single" w:sz="4" w:space="0" w:color="auto"/>
        <w:left w:val="single" w:sz="4" w:space="0" w:color="auto"/>
        <w:bottom w:val="single" w:sz="4" w:space="0" w:color="auto"/>
      </w:pBdr>
      <w:shd w:val="clear" w:color="000000" w:fill="00B0F0"/>
      <w:spacing w:before="100" w:beforeAutospacing="1" w:after="100" w:afterAutospacing="1" w:line="240" w:lineRule="auto"/>
      <w:jc w:val="right"/>
      <w:textAlignment w:val="center"/>
    </w:pPr>
    <w:rPr>
      <w:rFonts w:eastAsia="Times New Roman"/>
      <w:color w:val="000000"/>
      <w:sz w:val="18"/>
      <w:szCs w:val="18"/>
    </w:rPr>
  </w:style>
  <w:style w:type="paragraph" w:customStyle="1" w:styleId="xl343">
    <w:name w:val="xl343"/>
    <w:basedOn w:val="Normal"/>
    <w:rsid w:val="006D3D6E"/>
    <w:pPr>
      <w:pBdr>
        <w:top w:val="single" w:sz="4" w:space="0" w:color="auto"/>
        <w:bottom w:val="single" w:sz="4" w:space="0" w:color="auto"/>
        <w:right w:val="single" w:sz="4" w:space="0" w:color="auto"/>
      </w:pBdr>
      <w:shd w:val="clear" w:color="000000" w:fill="00B0F0"/>
      <w:spacing w:before="100" w:beforeAutospacing="1" w:after="100" w:afterAutospacing="1" w:line="240" w:lineRule="auto"/>
      <w:jc w:val="right"/>
      <w:textAlignment w:val="center"/>
    </w:pPr>
    <w:rPr>
      <w:rFonts w:eastAsia="Times New Roman"/>
      <w:color w:val="000000"/>
      <w:sz w:val="18"/>
      <w:szCs w:val="18"/>
    </w:rPr>
  </w:style>
  <w:style w:type="paragraph" w:customStyle="1" w:styleId="xl344">
    <w:name w:val="xl344"/>
    <w:basedOn w:val="Normal"/>
    <w:rsid w:val="006D3D6E"/>
    <w:pPr>
      <w:pBdr>
        <w:top w:val="single" w:sz="4" w:space="0" w:color="auto"/>
        <w:left w:val="single" w:sz="4" w:space="0" w:color="auto"/>
        <w:bottom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345">
    <w:name w:val="xl345"/>
    <w:basedOn w:val="Normal"/>
    <w:rsid w:val="006D3D6E"/>
    <w:pPr>
      <w:pBdr>
        <w:top w:val="single" w:sz="4" w:space="0" w:color="auto"/>
        <w:bottom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346">
    <w:name w:val="xl346"/>
    <w:basedOn w:val="Normal"/>
    <w:rsid w:val="006D3D6E"/>
    <w:pPr>
      <w:pBdr>
        <w:top w:val="single" w:sz="4" w:space="0" w:color="auto"/>
        <w:bottom w:val="single" w:sz="4" w:space="0" w:color="auto"/>
        <w:right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347">
    <w:name w:val="xl347"/>
    <w:basedOn w:val="Normal"/>
    <w:rsid w:val="006D3D6E"/>
    <w:pPr>
      <w:pBdr>
        <w:top w:val="single" w:sz="4" w:space="0" w:color="auto"/>
        <w:left w:val="single" w:sz="4" w:space="0" w:color="auto"/>
        <w:bottom w:val="single" w:sz="4" w:space="0" w:color="auto"/>
      </w:pBdr>
      <w:shd w:val="clear" w:color="000000" w:fill="00B0F0"/>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348">
    <w:name w:val="xl348"/>
    <w:basedOn w:val="Normal"/>
    <w:rsid w:val="006D3D6E"/>
    <w:pPr>
      <w:pBdr>
        <w:top w:val="single" w:sz="4" w:space="0" w:color="auto"/>
        <w:bottom w:val="single" w:sz="4" w:space="0" w:color="auto"/>
        <w:right w:val="single" w:sz="4" w:space="0" w:color="auto"/>
      </w:pBdr>
      <w:shd w:val="clear" w:color="000000" w:fill="00B0F0"/>
      <w:spacing w:before="100" w:beforeAutospacing="1" w:after="100" w:afterAutospacing="1" w:line="240" w:lineRule="auto"/>
      <w:jc w:val="right"/>
      <w:textAlignment w:val="center"/>
    </w:pPr>
    <w:rPr>
      <w:rFonts w:eastAsia="Times New Roman"/>
      <w:b/>
      <w:bCs/>
      <w:color w:val="000000"/>
      <w:sz w:val="18"/>
      <w:szCs w:val="18"/>
    </w:rPr>
  </w:style>
  <w:style w:type="character" w:customStyle="1" w:styleId="font241">
    <w:name w:val="font241"/>
    <w:basedOn w:val="Policepardfaut"/>
    <w:rsid w:val="006D3D6E"/>
    <w:rPr>
      <w:rFonts w:ascii="Calibri" w:hAnsi="Calibri" w:cs="Calibri" w:hint="default"/>
      <w:b/>
      <w:bCs/>
      <w:i/>
      <w:iCs/>
      <w:strike w:val="0"/>
      <w:dstrike w:val="0"/>
      <w:color w:val="FF0000"/>
      <w:sz w:val="18"/>
      <w:szCs w:val="18"/>
      <w:u w:val="none"/>
      <w:effect w:val="none"/>
    </w:rPr>
  </w:style>
  <w:style w:type="character" w:customStyle="1" w:styleId="font181">
    <w:name w:val="font181"/>
    <w:basedOn w:val="Policepardfaut"/>
    <w:rsid w:val="006D3D6E"/>
    <w:rPr>
      <w:rFonts w:ascii="Calibri" w:hAnsi="Calibri" w:cs="Calibri" w:hint="default"/>
      <w:b w:val="0"/>
      <w:bCs w:val="0"/>
      <w:i w:val="0"/>
      <w:iCs w:val="0"/>
      <w:strike w:val="0"/>
      <w:dstrike w:val="0"/>
      <w:color w:val="FF0000"/>
      <w:sz w:val="18"/>
      <w:szCs w:val="18"/>
      <w:u w:val="none"/>
      <w:effect w:val="none"/>
    </w:rPr>
  </w:style>
  <w:style w:type="character" w:customStyle="1" w:styleId="font221">
    <w:name w:val="font221"/>
    <w:basedOn w:val="Policepardfaut"/>
    <w:rsid w:val="006D3D6E"/>
    <w:rPr>
      <w:rFonts w:ascii="Calibri" w:hAnsi="Calibri" w:cs="Calibri" w:hint="default"/>
      <w:b w:val="0"/>
      <w:bCs w:val="0"/>
      <w:i w:val="0"/>
      <w:iCs w:val="0"/>
      <w:strike w:val="0"/>
      <w:dstrike w:val="0"/>
      <w:color w:val="FFFFFF"/>
      <w:sz w:val="18"/>
      <w:szCs w:val="18"/>
      <w:u w:val="none"/>
      <w:effect w:val="none"/>
    </w:rPr>
  </w:style>
  <w:style w:type="paragraph" w:customStyle="1" w:styleId="xl240">
    <w:name w:val="xl240"/>
    <w:basedOn w:val="Normal"/>
    <w:rsid w:val="001C3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18"/>
      <w:szCs w:val="18"/>
    </w:rPr>
  </w:style>
  <w:style w:type="paragraph" w:customStyle="1" w:styleId="xl410">
    <w:name w:val="xl410"/>
    <w:basedOn w:val="Normal"/>
    <w:rsid w:val="001C37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000000"/>
      <w:sz w:val="18"/>
      <w:szCs w:val="18"/>
    </w:rPr>
  </w:style>
  <w:style w:type="paragraph" w:customStyle="1" w:styleId="xl411">
    <w:name w:val="xl411"/>
    <w:basedOn w:val="Normal"/>
    <w:rsid w:val="001C372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i/>
      <w:iCs/>
      <w:color w:val="000000"/>
      <w:sz w:val="18"/>
      <w:szCs w:val="18"/>
    </w:rPr>
  </w:style>
  <w:style w:type="paragraph" w:customStyle="1" w:styleId="font7">
    <w:name w:val="font7"/>
    <w:basedOn w:val="Normal"/>
    <w:rsid w:val="008D7B5A"/>
    <w:pPr>
      <w:spacing w:before="100" w:beforeAutospacing="1" w:after="100" w:afterAutospacing="1" w:line="240" w:lineRule="auto"/>
    </w:pPr>
    <w:rPr>
      <w:rFonts w:eastAsia="Times New Roman"/>
      <w:color w:val="FF0000"/>
      <w:sz w:val="18"/>
      <w:szCs w:val="18"/>
    </w:rPr>
  </w:style>
  <w:style w:type="paragraph" w:customStyle="1" w:styleId="font8">
    <w:name w:val="font8"/>
    <w:basedOn w:val="Normal"/>
    <w:rsid w:val="008D7B5A"/>
    <w:pPr>
      <w:spacing w:before="100" w:beforeAutospacing="1" w:after="100" w:afterAutospacing="1" w:line="240" w:lineRule="auto"/>
    </w:pPr>
    <w:rPr>
      <w:rFonts w:eastAsia="Times New Roman"/>
      <w:color w:val="FFFFFF"/>
      <w:sz w:val="18"/>
      <w:szCs w:val="18"/>
    </w:rPr>
  </w:style>
  <w:style w:type="paragraph" w:customStyle="1" w:styleId="font9">
    <w:name w:val="font9"/>
    <w:basedOn w:val="Normal"/>
    <w:rsid w:val="008D7B5A"/>
    <w:pPr>
      <w:spacing w:before="100" w:beforeAutospacing="1" w:after="100" w:afterAutospacing="1" w:line="240" w:lineRule="auto"/>
    </w:pPr>
    <w:rPr>
      <w:rFonts w:eastAsia="Times New Roman"/>
      <w:b/>
      <w:bCs/>
      <w:i/>
      <w:iCs/>
      <w:color w:val="FF0000"/>
      <w:sz w:val="18"/>
      <w:szCs w:val="18"/>
    </w:rPr>
  </w:style>
  <w:style w:type="paragraph" w:customStyle="1" w:styleId="xl130">
    <w:name w:val="xl130"/>
    <w:basedOn w:val="Normal"/>
    <w:rsid w:val="008D7B5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FF0000"/>
      <w:sz w:val="18"/>
      <w:szCs w:val="18"/>
    </w:rPr>
  </w:style>
  <w:style w:type="paragraph" w:customStyle="1" w:styleId="xl134">
    <w:name w:val="xl134"/>
    <w:basedOn w:val="Normal"/>
    <w:rsid w:val="008D7B5A"/>
    <w:pPr>
      <w:pBdr>
        <w:bottom w:val="single" w:sz="4" w:space="0" w:color="auto"/>
      </w:pBdr>
      <w:shd w:val="clear" w:color="000000" w:fill="FFE699"/>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144">
    <w:name w:val="xl144"/>
    <w:basedOn w:val="Normal"/>
    <w:rsid w:val="008D7B5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18"/>
      <w:szCs w:val="18"/>
    </w:rPr>
  </w:style>
  <w:style w:type="paragraph" w:customStyle="1" w:styleId="xl147">
    <w:name w:val="xl147"/>
    <w:basedOn w:val="Normal"/>
    <w:rsid w:val="008D7B5A"/>
    <w:pPr>
      <w:pBdr>
        <w:top w:val="single" w:sz="4" w:space="0" w:color="auto"/>
        <w:left w:val="single" w:sz="4" w:space="0" w:color="auto"/>
        <w:bottom w:val="single" w:sz="4" w:space="0" w:color="auto"/>
      </w:pBdr>
      <w:shd w:val="clear" w:color="000000" w:fill="00B0F0"/>
      <w:spacing w:before="100" w:beforeAutospacing="1" w:after="100" w:afterAutospacing="1" w:line="240" w:lineRule="auto"/>
      <w:jc w:val="right"/>
      <w:textAlignment w:val="center"/>
    </w:pPr>
    <w:rPr>
      <w:rFonts w:eastAsia="Times New Roman"/>
      <w:color w:val="000000"/>
      <w:sz w:val="18"/>
      <w:szCs w:val="18"/>
    </w:rPr>
  </w:style>
  <w:style w:type="paragraph" w:customStyle="1" w:styleId="xl163">
    <w:name w:val="xl163"/>
    <w:basedOn w:val="Normal"/>
    <w:rsid w:val="008D7B5A"/>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eastAsia="Times New Roman"/>
      <w:b/>
      <w:bCs/>
      <w:sz w:val="18"/>
      <w:szCs w:val="18"/>
    </w:rPr>
  </w:style>
  <w:style w:type="paragraph" w:customStyle="1" w:styleId="xl165">
    <w:name w:val="xl165"/>
    <w:basedOn w:val="Normal"/>
    <w:rsid w:val="008D7B5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18"/>
      <w:szCs w:val="18"/>
    </w:rPr>
  </w:style>
  <w:style w:type="paragraph" w:customStyle="1" w:styleId="xl167">
    <w:name w:val="xl167"/>
    <w:basedOn w:val="Normal"/>
    <w:rsid w:val="008D7B5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18"/>
      <w:szCs w:val="18"/>
    </w:rPr>
  </w:style>
  <w:style w:type="paragraph" w:customStyle="1" w:styleId="xl176">
    <w:name w:val="xl176"/>
    <w:basedOn w:val="Normal"/>
    <w:rsid w:val="008D7B5A"/>
    <w:pPr>
      <w:pBdr>
        <w:top w:val="single" w:sz="4" w:space="0" w:color="auto"/>
        <w:bottom w:val="single" w:sz="4" w:space="0" w:color="auto"/>
        <w:right w:val="single" w:sz="4" w:space="14" w:color="auto"/>
      </w:pBdr>
      <w:shd w:val="clear" w:color="000000" w:fill="595959"/>
      <w:spacing w:before="100" w:beforeAutospacing="1" w:after="100" w:afterAutospacing="1" w:line="240" w:lineRule="auto"/>
      <w:ind w:firstLineChars="200" w:firstLine="200"/>
      <w:jc w:val="right"/>
      <w:textAlignment w:val="center"/>
    </w:pPr>
    <w:rPr>
      <w:rFonts w:eastAsia="Times New Roman"/>
      <w:b/>
      <w:bCs/>
      <w:color w:val="FFFFFF"/>
      <w:sz w:val="18"/>
      <w:szCs w:val="18"/>
    </w:rPr>
  </w:style>
  <w:style w:type="paragraph" w:customStyle="1" w:styleId="xl179">
    <w:name w:val="xl179"/>
    <w:basedOn w:val="Normal"/>
    <w:rsid w:val="008D7B5A"/>
    <w:pPr>
      <w:shd w:val="clear" w:color="000000" w:fill="F2CEEF"/>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180">
    <w:name w:val="xl180"/>
    <w:basedOn w:val="Normal"/>
    <w:rsid w:val="008D7B5A"/>
    <w:pPr>
      <w:pBdr>
        <w:right w:val="single" w:sz="4" w:space="0" w:color="auto"/>
      </w:pBdr>
      <w:shd w:val="clear" w:color="000000" w:fill="F2CEEF"/>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181">
    <w:name w:val="xl181"/>
    <w:basedOn w:val="Normal"/>
    <w:rsid w:val="008D7B5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b/>
      <w:bCs/>
      <w:color w:val="000000"/>
      <w:sz w:val="18"/>
      <w:szCs w:val="18"/>
    </w:rPr>
  </w:style>
  <w:style w:type="paragraph" w:customStyle="1" w:styleId="xl182">
    <w:name w:val="xl182"/>
    <w:basedOn w:val="Normal"/>
    <w:rsid w:val="008D7B5A"/>
    <w:pPr>
      <w:pBdr>
        <w:left w:val="single" w:sz="4" w:space="0" w:color="auto"/>
        <w:right w:val="single" w:sz="4" w:space="0" w:color="auto"/>
      </w:pBdr>
      <w:spacing w:before="100" w:beforeAutospacing="1" w:after="100" w:afterAutospacing="1" w:line="240" w:lineRule="auto"/>
      <w:textAlignment w:val="center"/>
    </w:pPr>
    <w:rPr>
      <w:rFonts w:eastAsia="Times New Roman"/>
      <w:b/>
      <w:bCs/>
      <w:color w:val="000000"/>
      <w:sz w:val="18"/>
      <w:szCs w:val="18"/>
    </w:rPr>
  </w:style>
  <w:style w:type="paragraph" w:customStyle="1" w:styleId="xl183">
    <w:name w:val="xl183"/>
    <w:basedOn w:val="Normal"/>
    <w:rsid w:val="008D7B5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i/>
      <w:iCs/>
      <w:color w:val="000000"/>
      <w:sz w:val="18"/>
      <w:szCs w:val="18"/>
    </w:rPr>
  </w:style>
  <w:style w:type="paragraph" w:customStyle="1" w:styleId="xl184">
    <w:name w:val="xl184"/>
    <w:basedOn w:val="Normal"/>
    <w:rsid w:val="008D7B5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18"/>
      <w:szCs w:val="18"/>
    </w:rPr>
  </w:style>
  <w:style w:type="paragraph" w:customStyle="1" w:styleId="xl185">
    <w:name w:val="xl185"/>
    <w:basedOn w:val="Normal"/>
    <w:rsid w:val="008D7B5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18"/>
      <w:szCs w:val="18"/>
    </w:rPr>
  </w:style>
  <w:style w:type="paragraph" w:customStyle="1" w:styleId="xl186">
    <w:name w:val="xl186"/>
    <w:basedOn w:val="Normal"/>
    <w:rsid w:val="008D7B5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color w:val="000000"/>
      <w:sz w:val="18"/>
      <w:szCs w:val="18"/>
    </w:rPr>
  </w:style>
  <w:style w:type="paragraph" w:customStyle="1" w:styleId="xl187">
    <w:name w:val="xl187"/>
    <w:basedOn w:val="Normal"/>
    <w:rsid w:val="008D7B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color w:val="000000"/>
      <w:sz w:val="18"/>
      <w:szCs w:val="18"/>
    </w:rPr>
  </w:style>
  <w:style w:type="paragraph" w:customStyle="1" w:styleId="xl188">
    <w:name w:val="xl188"/>
    <w:basedOn w:val="Normal"/>
    <w:rsid w:val="008D7B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000000"/>
      <w:sz w:val="18"/>
      <w:szCs w:val="18"/>
    </w:rPr>
  </w:style>
  <w:style w:type="paragraph" w:customStyle="1" w:styleId="xl189">
    <w:name w:val="xl189"/>
    <w:basedOn w:val="Normal"/>
    <w:rsid w:val="008D7B5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000000"/>
      <w:sz w:val="18"/>
      <w:szCs w:val="18"/>
    </w:rPr>
  </w:style>
  <w:style w:type="paragraph" w:customStyle="1" w:styleId="xl190">
    <w:name w:val="xl190"/>
    <w:basedOn w:val="Normal"/>
    <w:rsid w:val="008D7B5A"/>
    <w:pPr>
      <w:pBdr>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000000"/>
      <w:sz w:val="18"/>
      <w:szCs w:val="18"/>
    </w:rPr>
  </w:style>
  <w:style w:type="paragraph" w:customStyle="1" w:styleId="xl191">
    <w:name w:val="xl191"/>
    <w:basedOn w:val="Normal"/>
    <w:rsid w:val="008D7B5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000000"/>
      <w:sz w:val="18"/>
      <w:szCs w:val="18"/>
    </w:rPr>
  </w:style>
  <w:style w:type="paragraph" w:customStyle="1" w:styleId="xl192">
    <w:name w:val="xl192"/>
    <w:basedOn w:val="Normal"/>
    <w:rsid w:val="008D7B5A"/>
    <w:pPr>
      <w:pBdr>
        <w:left w:val="single" w:sz="4" w:space="0" w:color="auto"/>
        <w:right w:val="single" w:sz="4" w:space="0" w:color="auto"/>
      </w:pBdr>
      <w:spacing w:before="100" w:beforeAutospacing="1" w:after="100" w:afterAutospacing="1" w:line="240" w:lineRule="auto"/>
      <w:textAlignment w:val="center"/>
    </w:pPr>
    <w:rPr>
      <w:rFonts w:eastAsia="Times New Roman"/>
      <w:color w:val="000000"/>
      <w:sz w:val="18"/>
      <w:szCs w:val="18"/>
    </w:rPr>
  </w:style>
  <w:style w:type="paragraph" w:customStyle="1" w:styleId="xl193">
    <w:name w:val="xl193"/>
    <w:basedOn w:val="Normal"/>
    <w:rsid w:val="008D7B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i/>
      <w:iCs/>
      <w:sz w:val="18"/>
      <w:szCs w:val="18"/>
    </w:rPr>
  </w:style>
  <w:style w:type="paragraph" w:customStyle="1" w:styleId="xl194">
    <w:name w:val="xl194"/>
    <w:basedOn w:val="Normal"/>
    <w:rsid w:val="008D7B5A"/>
    <w:pPr>
      <w:pBdr>
        <w:top w:val="single" w:sz="4" w:space="0" w:color="auto"/>
        <w:left w:val="single" w:sz="4" w:space="0" w:color="auto"/>
        <w:bottom w:val="single" w:sz="4" w:space="0" w:color="auto"/>
      </w:pBdr>
      <w:shd w:val="clear" w:color="000000" w:fill="FFCC66"/>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195">
    <w:name w:val="xl195"/>
    <w:basedOn w:val="Normal"/>
    <w:rsid w:val="008D7B5A"/>
    <w:pPr>
      <w:pBdr>
        <w:top w:val="single" w:sz="4" w:space="0" w:color="auto"/>
        <w:bottom w:val="single" w:sz="4" w:space="0" w:color="auto"/>
      </w:pBdr>
      <w:shd w:val="clear" w:color="000000" w:fill="FFCC66"/>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196">
    <w:name w:val="xl196"/>
    <w:basedOn w:val="Normal"/>
    <w:rsid w:val="008D7B5A"/>
    <w:pPr>
      <w:pBdr>
        <w:top w:val="single" w:sz="4" w:space="0" w:color="auto"/>
        <w:bottom w:val="single" w:sz="4" w:space="0" w:color="auto"/>
        <w:right w:val="single" w:sz="4" w:space="0" w:color="auto"/>
      </w:pBdr>
      <w:shd w:val="clear" w:color="000000" w:fill="FFCC66"/>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197">
    <w:name w:val="xl197"/>
    <w:basedOn w:val="Normal"/>
    <w:rsid w:val="008D7B5A"/>
    <w:pPr>
      <w:pBdr>
        <w:top w:val="single" w:sz="4" w:space="0" w:color="auto"/>
        <w:left w:val="single" w:sz="4" w:space="0" w:color="auto"/>
        <w:bottom w:val="single" w:sz="4" w:space="0" w:color="auto"/>
        <w:right w:val="single" w:sz="4" w:space="0" w:color="auto"/>
      </w:pBdr>
      <w:shd w:val="clear" w:color="000000" w:fill="FFCC66"/>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198">
    <w:name w:val="xl198"/>
    <w:basedOn w:val="Normal"/>
    <w:rsid w:val="008D7B5A"/>
    <w:pPr>
      <w:pBdr>
        <w:top w:val="single" w:sz="4" w:space="0" w:color="auto"/>
        <w:left w:val="single" w:sz="4" w:space="0" w:color="auto"/>
        <w:bottom w:val="single" w:sz="4" w:space="0" w:color="auto"/>
        <w:right w:val="single" w:sz="4" w:space="0" w:color="auto"/>
      </w:pBdr>
      <w:shd w:val="clear" w:color="000000" w:fill="FFCC66"/>
      <w:spacing w:before="100" w:beforeAutospacing="1" w:after="100" w:afterAutospacing="1" w:line="240" w:lineRule="auto"/>
      <w:jc w:val="right"/>
      <w:textAlignment w:val="center"/>
    </w:pPr>
    <w:rPr>
      <w:rFonts w:eastAsia="Times New Roman"/>
      <w:color w:val="000000"/>
      <w:sz w:val="18"/>
      <w:szCs w:val="18"/>
    </w:rPr>
  </w:style>
  <w:style w:type="paragraph" w:customStyle="1" w:styleId="xl199">
    <w:name w:val="xl199"/>
    <w:basedOn w:val="Normal"/>
    <w:rsid w:val="008D7B5A"/>
    <w:pPr>
      <w:pBdr>
        <w:top w:val="single" w:sz="4" w:space="0" w:color="auto"/>
        <w:left w:val="single" w:sz="4" w:space="0" w:color="auto"/>
        <w:bottom w:val="single" w:sz="4" w:space="0" w:color="auto"/>
        <w:right w:val="single" w:sz="4" w:space="0" w:color="auto"/>
      </w:pBdr>
      <w:shd w:val="clear" w:color="000000" w:fill="FFCC66"/>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200">
    <w:name w:val="xl200"/>
    <w:basedOn w:val="Normal"/>
    <w:rsid w:val="008D7B5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201">
    <w:name w:val="xl201"/>
    <w:basedOn w:val="Normal"/>
    <w:rsid w:val="008D7B5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217">
    <w:name w:val="xl217"/>
    <w:basedOn w:val="Normal"/>
    <w:rsid w:val="000712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i/>
      <w:iCs/>
      <w:sz w:val="18"/>
      <w:szCs w:val="18"/>
    </w:rPr>
  </w:style>
  <w:style w:type="paragraph" w:customStyle="1" w:styleId="xl244">
    <w:name w:val="xl244"/>
    <w:basedOn w:val="Normal"/>
    <w:rsid w:val="0007125F"/>
    <w:pPr>
      <w:pBdr>
        <w:top w:val="single" w:sz="4" w:space="0" w:color="auto"/>
        <w:left w:val="single" w:sz="4" w:space="0" w:color="auto"/>
        <w:bottom w:val="single" w:sz="4" w:space="0" w:color="auto"/>
        <w:right w:val="single" w:sz="4" w:space="0" w:color="auto"/>
      </w:pBdr>
      <w:shd w:val="clear" w:color="000000" w:fill="FFCC66"/>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245">
    <w:name w:val="xl245"/>
    <w:basedOn w:val="Normal"/>
    <w:rsid w:val="0007125F"/>
    <w:pPr>
      <w:pBdr>
        <w:top w:val="single" w:sz="4" w:space="0" w:color="auto"/>
        <w:left w:val="single" w:sz="4" w:space="0" w:color="auto"/>
        <w:bottom w:val="single" w:sz="4" w:space="0" w:color="auto"/>
        <w:right w:val="single" w:sz="4" w:space="0" w:color="auto"/>
      </w:pBdr>
      <w:shd w:val="clear" w:color="000000" w:fill="FFCC66"/>
      <w:spacing w:before="100" w:beforeAutospacing="1" w:after="100" w:afterAutospacing="1" w:line="240" w:lineRule="auto"/>
      <w:jc w:val="right"/>
      <w:textAlignment w:val="center"/>
    </w:pPr>
    <w:rPr>
      <w:rFonts w:eastAsia="Times New Roman"/>
      <w:color w:val="000000"/>
      <w:sz w:val="18"/>
      <w:szCs w:val="18"/>
    </w:rPr>
  </w:style>
  <w:style w:type="paragraph" w:customStyle="1" w:styleId="xl300">
    <w:name w:val="xl300"/>
    <w:basedOn w:val="Normal"/>
    <w:rsid w:val="0007125F"/>
    <w:pPr>
      <w:pBdr>
        <w:left w:val="single" w:sz="4" w:space="0" w:color="auto"/>
        <w:right w:val="single" w:sz="4" w:space="0" w:color="auto"/>
      </w:pBdr>
      <w:spacing w:before="100" w:beforeAutospacing="1" w:after="100" w:afterAutospacing="1" w:line="240" w:lineRule="auto"/>
      <w:textAlignment w:val="center"/>
    </w:pPr>
    <w:rPr>
      <w:rFonts w:eastAsia="Times New Roman"/>
      <w:color w:val="000000"/>
      <w:sz w:val="18"/>
      <w:szCs w:val="18"/>
    </w:rPr>
  </w:style>
  <w:style w:type="paragraph" w:customStyle="1" w:styleId="xl336">
    <w:name w:val="xl336"/>
    <w:basedOn w:val="Normal"/>
    <w:rsid w:val="0007125F"/>
    <w:pPr>
      <w:pBdr>
        <w:top w:val="single" w:sz="4" w:space="0" w:color="auto"/>
        <w:left w:val="single" w:sz="4" w:space="0" w:color="auto"/>
        <w:bottom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337">
    <w:name w:val="xl337"/>
    <w:basedOn w:val="Normal"/>
    <w:rsid w:val="0007125F"/>
    <w:pPr>
      <w:pBdr>
        <w:top w:val="single" w:sz="4" w:space="0" w:color="auto"/>
        <w:bottom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338">
    <w:name w:val="xl338"/>
    <w:basedOn w:val="Normal"/>
    <w:rsid w:val="0007125F"/>
    <w:pPr>
      <w:pBdr>
        <w:top w:val="single" w:sz="4" w:space="0" w:color="auto"/>
        <w:bottom w:val="single" w:sz="4" w:space="0" w:color="auto"/>
        <w:right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349">
    <w:name w:val="xl349"/>
    <w:basedOn w:val="Normal"/>
    <w:rsid w:val="000712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i/>
      <w:iCs/>
      <w:color w:val="000000"/>
      <w:sz w:val="18"/>
      <w:szCs w:val="18"/>
    </w:rPr>
  </w:style>
  <w:style w:type="paragraph" w:customStyle="1" w:styleId="xl350">
    <w:name w:val="xl350"/>
    <w:basedOn w:val="Normal"/>
    <w:rsid w:val="0007125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i/>
      <w:iCs/>
      <w:color w:val="000000"/>
      <w:sz w:val="18"/>
      <w:szCs w:val="18"/>
    </w:rPr>
  </w:style>
  <w:style w:type="paragraph" w:customStyle="1" w:styleId="xl351">
    <w:name w:val="xl351"/>
    <w:basedOn w:val="Normal"/>
    <w:rsid w:val="0007125F"/>
    <w:pPr>
      <w:pBdr>
        <w:top w:val="single" w:sz="4" w:space="0" w:color="auto"/>
        <w:left w:val="single" w:sz="4" w:space="0" w:color="auto"/>
        <w:bottom w:val="single" w:sz="4" w:space="0" w:color="auto"/>
      </w:pBdr>
      <w:shd w:val="clear" w:color="000000" w:fill="00B0F0"/>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352">
    <w:name w:val="xl352"/>
    <w:basedOn w:val="Normal"/>
    <w:rsid w:val="0007125F"/>
    <w:pPr>
      <w:pBdr>
        <w:top w:val="single" w:sz="4" w:space="0" w:color="auto"/>
        <w:bottom w:val="single" w:sz="4" w:space="0" w:color="auto"/>
        <w:right w:val="single" w:sz="4" w:space="0" w:color="auto"/>
      </w:pBdr>
      <w:shd w:val="clear" w:color="000000" w:fill="00B0F0"/>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354">
    <w:name w:val="xl354"/>
    <w:basedOn w:val="Normal"/>
    <w:rsid w:val="0007125F"/>
    <w:pPr>
      <w:pBdr>
        <w:left w:val="single" w:sz="4" w:space="0" w:color="auto"/>
        <w:bottom w:val="single" w:sz="4" w:space="0" w:color="auto"/>
      </w:pBdr>
      <w:shd w:val="clear" w:color="000000" w:fill="FFE699"/>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355">
    <w:name w:val="xl355"/>
    <w:basedOn w:val="Normal"/>
    <w:rsid w:val="0007125F"/>
    <w:pPr>
      <w:pBdr>
        <w:bottom w:val="single" w:sz="4" w:space="0" w:color="auto"/>
      </w:pBdr>
      <w:shd w:val="clear" w:color="000000" w:fill="FFE699"/>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356">
    <w:name w:val="xl356"/>
    <w:basedOn w:val="Normal"/>
    <w:rsid w:val="0007125F"/>
    <w:pPr>
      <w:pBdr>
        <w:bottom w:val="single" w:sz="4" w:space="0" w:color="auto"/>
        <w:right w:val="single" w:sz="4" w:space="0" w:color="auto"/>
      </w:pBdr>
      <w:shd w:val="clear" w:color="000000" w:fill="FFE699"/>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357">
    <w:name w:val="xl357"/>
    <w:basedOn w:val="Normal"/>
    <w:rsid w:val="0007125F"/>
    <w:pPr>
      <w:pBdr>
        <w:top w:val="single" w:sz="4" w:space="0" w:color="auto"/>
        <w:left w:val="single" w:sz="4" w:space="0" w:color="auto"/>
        <w:bottom w:val="single" w:sz="4" w:space="0" w:color="auto"/>
      </w:pBdr>
      <w:shd w:val="clear" w:color="000000" w:fill="00B0F0"/>
      <w:spacing w:before="100" w:beforeAutospacing="1" w:after="100" w:afterAutospacing="1" w:line="240" w:lineRule="auto"/>
      <w:jc w:val="right"/>
      <w:textAlignment w:val="center"/>
    </w:pPr>
    <w:rPr>
      <w:rFonts w:eastAsia="Times New Roman"/>
      <w:color w:val="000000"/>
      <w:sz w:val="18"/>
      <w:szCs w:val="18"/>
    </w:rPr>
  </w:style>
  <w:style w:type="paragraph" w:customStyle="1" w:styleId="xl358">
    <w:name w:val="xl358"/>
    <w:basedOn w:val="Normal"/>
    <w:rsid w:val="0007125F"/>
    <w:pPr>
      <w:pBdr>
        <w:top w:val="single" w:sz="4" w:space="0" w:color="auto"/>
        <w:bottom w:val="single" w:sz="4" w:space="0" w:color="auto"/>
        <w:right w:val="single" w:sz="4" w:space="0" w:color="auto"/>
      </w:pBdr>
      <w:shd w:val="clear" w:color="000000" w:fill="00B0F0"/>
      <w:spacing w:before="100" w:beforeAutospacing="1" w:after="100" w:afterAutospacing="1" w:line="240" w:lineRule="auto"/>
      <w:jc w:val="right"/>
      <w:textAlignment w:val="center"/>
    </w:pPr>
    <w:rPr>
      <w:rFonts w:eastAsia="Times New Roman"/>
      <w:color w:val="000000"/>
      <w:sz w:val="18"/>
      <w:szCs w:val="18"/>
    </w:rPr>
  </w:style>
  <w:style w:type="paragraph" w:customStyle="1" w:styleId="xl359">
    <w:name w:val="xl359"/>
    <w:basedOn w:val="Normal"/>
    <w:rsid w:val="0007125F"/>
    <w:pPr>
      <w:pBdr>
        <w:top w:val="single" w:sz="4" w:space="0" w:color="auto"/>
        <w:left w:val="single" w:sz="4" w:space="0" w:color="auto"/>
        <w:bottom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360">
    <w:name w:val="xl360"/>
    <w:basedOn w:val="Normal"/>
    <w:rsid w:val="0007125F"/>
    <w:pPr>
      <w:pBdr>
        <w:top w:val="single" w:sz="4" w:space="0" w:color="auto"/>
        <w:bottom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361">
    <w:name w:val="xl361"/>
    <w:basedOn w:val="Normal"/>
    <w:rsid w:val="0007125F"/>
    <w:pPr>
      <w:pBdr>
        <w:top w:val="single" w:sz="4" w:space="0" w:color="auto"/>
        <w:bottom w:val="single" w:sz="4" w:space="0" w:color="auto"/>
        <w:right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202">
    <w:name w:val="xl202"/>
    <w:basedOn w:val="Normal"/>
    <w:rsid w:val="00E13531"/>
    <w:pPr>
      <w:pBdr>
        <w:left w:val="single" w:sz="4" w:space="0" w:color="auto"/>
        <w:right w:val="single" w:sz="4" w:space="0" w:color="auto"/>
      </w:pBdr>
      <w:spacing w:before="100" w:beforeAutospacing="1" w:after="100" w:afterAutospacing="1" w:line="240" w:lineRule="auto"/>
      <w:textAlignment w:val="center"/>
    </w:pPr>
    <w:rPr>
      <w:rFonts w:eastAsia="Times New Roman"/>
      <w:b/>
      <w:bCs/>
      <w:color w:val="000000"/>
      <w:sz w:val="18"/>
      <w:szCs w:val="18"/>
      <w:lang w:val="en-US" w:eastAsia="en-US"/>
    </w:rPr>
  </w:style>
  <w:style w:type="paragraph" w:customStyle="1" w:styleId="xl203">
    <w:name w:val="xl203"/>
    <w:basedOn w:val="Normal"/>
    <w:rsid w:val="00E13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i/>
      <w:iCs/>
      <w:color w:val="000000"/>
      <w:sz w:val="18"/>
      <w:szCs w:val="18"/>
      <w:lang w:val="en-US" w:eastAsia="en-US"/>
    </w:rPr>
  </w:style>
  <w:style w:type="paragraph" w:customStyle="1" w:styleId="xl204">
    <w:name w:val="xl204"/>
    <w:basedOn w:val="Normal"/>
    <w:rsid w:val="00E1353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18"/>
      <w:szCs w:val="18"/>
      <w:lang w:val="en-US" w:eastAsia="en-US"/>
    </w:rPr>
  </w:style>
  <w:style w:type="paragraph" w:customStyle="1" w:styleId="xl205">
    <w:name w:val="xl205"/>
    <w:basedOn w:val="Normal"/>
    <w:rsid w:val="00E1353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18"/>
      <w:szCs w:val="18"/>
      <w:lang w:val="en-US" w:eastAsia="en-US"/>
    </w:rPr>
  </w:style>
  <w:style w:type="paragraph" w:customStyle="1" w:styleId="xl206">
    <w:name w:val="xl206"/>
    <w:basedOn w:val="Normal"/>
    <w:rsid w:val="00E1353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color w:val="000000"/>
      <w:sz w:val="18"/>
      <w:szCs w:val="18"/>
      <w:lang w:val="en-US" w:eastAsia="en-US"/>
    </w:rPr>
  </w:style>
  <w:style w:type="paragraph" w:customStyle="1" w:styleId="xl207">
    <w:name w:val="xl207"/>
    <w:basedOn w:val="Normal"/>
    <w:rsid w:val="00E135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color w:val="000000"/>
      <w:sz w:val="18"/>
      <w:szCs w:val="18"/>
      <w:lang w:val="en-US" w:eastAsia="en-US"/>
    </w:rPr>
  </w:style>
  <w:style w:type="paragraph" w:customStyle="1" w:styleId="xl208">
    <w:name w:val="xl208"/>
    <w:basedOn w:val="Normal"/>
    <w:rsid w:val="00E135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000000"/>
      <w:sz w:val="18"/>
      <w:szCs w:val="18"/>
      <w:lang w:val="en-US" w:eastAsia="en-US"/>
    </w:rPr>
  </w:style>
  <w:style w:type="paragraph" w:customStyle="1" w:styleId="xl209">
    <w:name w:val="xl209"/>
    <w:basedOn w:val="Normal"/>
    <w:rsid w:val="00E13531"/>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000000"/>
      <w:sz w:val="18"/>
      <w:szCs w:val="18"/>
      <w:lang w:val="en-US" w:eastAsia="en-US"/>
    </w:rPr>
  </w:style>
  <w:style w:type="paragraph" w:customStyle="1" w:styleId="xl210">
    <w:name w:val="xl210"/>
    <w:basedOn w:val="Normal"/>
    <w:rsid w:val="00E13531"/>
    <w:pPr>
      <w:pBdr>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000000"/>
      <w:sz w:val="18"/>
      <w:szCs w:val="18"/>
      <w:lang w:val="en-US" w:eastAsia="en-US"/>
    </w:rPr>
  </w:style>
  <w:style w:type="paragraph" w:customStyle="1" w:styleId="xl211">
    <w:name w:val="xl211"/>
    <w:basedOn w:val="Normal"/>
    <w:rsid w:val="00E13531"/>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000000"/>
      <w:sz w:val="18"/>
      <w:szCs w:val="18"/>
      <w:lang w:val="en-US" w:eastAsia="en-US"/>
    </w:rPr>
  </w:style>
  <w:style w:type="paragraph" w:customStyle="1" w:styleId="xl212">
    <w:name w:val="xl212"/>
    <w:basedOn w:val="Normal"/>
    <w:rsid w:val="00E13531"/>
    <w:pPr>
      <w:pBdr>
        <w:left w:val="single" w:sz="4" w:space="0" w:color="auto"/>
        <w:right w:val="single" w:sz="4" w:space="0" w:color="auto"/>
      </w:pBdr>
      <w:spacing w:before="100" w:beforeAutospacing="1" w:after="100" w:afterAutospacing="1" w:line="240" w:lineRule="auto"/>
      <w:textAlignment w:val="center"/>
    </w:pPr>
    <w:rPr>
      <w:rFonts w:eastAsia="Times New Roman"/>
      <w:color w:val="000000"/>
      <w:sz w:val="18"/>
      <w:szCs w:val="18"/>
      <w:lang w:val="en-US" w:eastAsia="en-US"/>
    </w:rPr>
  </w:style>
  <w:style w:type="paragraph" w:customStyle="1" w:styleId="xl213">
    <w:name w:val="xl213"/>
    <w:basedOn w:val="Normal"/>
    <w:rsid w:val="00E135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eastAsia="Times New Roman"/>
      <w:color w:val="FF0000"/>
      <w:sz w:val="18"/>
      <w:szCs w:val="18"/>
      <w:lang w:val="en-US" w:eastAsia="en-US"/>
    </w:rPr>
  </w:style>
  <w:style w:type="paragraph" w:customStyle="1" w:styleId="font26">
    <w:name w:val="font26"/>
    <w:basedOn w:val="Normal"/>
    <w:rsid w:val="003A5811"/>
    <w:pPr>
      <w:spacing w:before="100" w:beforeAutospacing="1" w:after="100" w:afterAutospacing="1" w:line="240" w:lineRule="auto"/>
    </w:pPr>
    <w:rPr>
      <w:rFonts w:eastAsia="Times New Roman"/>
      <w:color w:val="000000"/>
      <w:sz w:val="18"/>
      <w:szCs w:val="18"/>
    </w:rPr>
  </w:style>
  <w:style w:type="paragraph" w:customStyle="1" w:styleId="font30">
    <w:name w:val="font30"/>
    <w:basedOn w:val="Normal"/>
    <w:rsid w:val="003A5811"/>
    <w:pPr>
      <w:spacing w:before="100" w:beforeAutospacing="1" w:after="100" w:afterAutospacing="1" w:line="240" w:lineRule="auto"/>
    </w:pPr>
    <w:rPr>
      <w:rFonts w:eastAsia="Times New Roman"/>
      <w:color w:val="FF0000"/>
      <w:sz w:val="18"/>
      <w:szCs w:val="18"/>
    </w:rPr>
  </w:style>
  <w:style w:type="paragraph" w:customStyle="1" w:styleId="font43">
    <w:name w:val="font43"/>
    <w:basedOn w:val="Normal"/>
    <w:rsid w:val="003A5811"/>
    <w:pPr>
      <w:spacing w:before="100" w:beforeAutospacing="1" w:after="100" w:afterAutospacing="1" w:line="240" w:lineRule="auto"/>
    </w:pPr>
    <w:rPr>
      <w:rFonts w:eastAsia="Times New Roman"/>
      <w:b/>
      <w:bCs/>
      <w:i/>
      <w:iCs/>
      <w:color w:val="FF0000"/>
      <w:sz w:val="18"/>
      <w:szCs w:val="18"/>
    </w:rPr>
  </w:style>
  <w:style w:type="paragraph" w:customStyle="1" w:styleId="font47">
    <w:name w:val="font47"/>
    <w:basedOn w:val="Normal"/>
    <w:rsid w:val="003A5811"/>
    <w:pPr>
      <w:spacing w:before="100" w:beforeAutospacing="1" w:after="100" w:afterAutospacing="1" w:line="240" w:lineRule="auto"/>
    </w:pPr>
    <w:rPr>
      <w:rFonts w:eastAsia="Times New Roman"/>
      <w:b/>
      <w:bCs/>
      <w:color w:val="000000"/>
      <w:sz w:val="18"/>
      <w:szCs w:val="18"/>
    </w:rPr>
  </w:style>
  <w:style w:type="paragraph" w:customStyle="1" w:styleId="xl265">
    <w:name w:val="xl265"/>
    <w:basedOn w:val="Normal"/>
    <w:rsid w:val="003A5811"/>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textAlignment w:val="center"/>
    </w:pPr>
    <w:rPr>
      <w:rFonts w:eastAsia="Times New Roman"/>
      <w:color w:val="000000"/>
      <w:sz w:val="18"/>
      <w:szCs w:val="18"/>
    </w:rPr>
  </w:style>
  <w:style w:type="paragraph" w:customStyle="1" w:styleId="xl266">
    <w:name w:val="xl266"/>
    <w:basedOn w:val="Normal"/>
    <w:rsid w:val="003A581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color w:val="000000"/>
      <w:sz w:val="18"/>
      <w:szCs w:val="18"/>
    </w:rPr>
  </w:style>
  <w:style w:type="paragraph" w:customStyle="1" w:styleId="xl267">
    <w:name w:val="xl267"/>
    <w:basedOn w:val="Normal"/>
    <w:rsid w:val="003A581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18"/>
      <w:szCs w:val="18"/>
    </w:rPr>
  </w:style>
  <w:style w:type="paragraph" w:customStyle="1" w:styleId="xl275">
    <w:name w:val="xl275"/>
    <w:basedOn w:val="Normal"/>
    <w:rsid w:val="003A5811"/>
    <w:pPr>
      <w:pBdr>
        <w:top w:val="single" w:sz="4" w:space="0" w:color="auto"/>
        <w:bottom w:val="single" w:sz="4" w:space="0" w:color="auto"/>
        <w:right w:val="single" w:sz="4" w:space="0" w:color="auto"/>
      </w:pBdr>
      <w:shd w:val="clear" w:color="000000" w:fill="F2CEEF"/>
      <w:spacing w:before="100" w:beforeAutospacing="1" w:after="100" w:afterAutospacing="1" w:line="240" w:lineRule="auto"/>
      <w:jc w:val="right"/>
      <w:textAlignment w:val="center"/>
    </w:pPr>
    <w:rPr>
      <w:rFonts w:eastAsia="Times New Roman"/>
      <w:color w:val="000000"/>
      <w:sz w:val="18"/>
      <w:szCs w:val="18"/>
    </w:rPr>
  </w:style>
  <w:style w:type="paragraph" w:customStyle="1" w:styleId="xl335">
    <w:name w:val="xl335"/>
    <w:basedOn w:val="Normal"/>
    <w:rsid w:val="003A5811"/>
    <w:pPr>
      <w:pBdr>
        <w:bottom w:val="single" w:sz="4" w:space="0" w:color="auto"/>
        <w:right w:val="single" w:sz="4" w:space="14" w:color="auto"/>
      </w:pBdr>
      <w:shd w:val="clear" w:color="000000" w:fill="595959"/>
      <w:spacing w:before="100" w:beforeAutospacing="1" w:after="100" w:afterAutospacing="1" w:line="240" w:lineRule="auto"/>
      <w:ind w:firstLineChars="200" w:firstLine="200"/>
      <w:jc w:val="right"/>
      <w:textAlignment w:val="center"/>
    </w:pPr>
    <w:rPr>
      <w:rFonts w:eastAsia="Times New Roman"/>
      <w:b/>
      <w:bCs/>
      <w:color w:val="FFFFFF"/>
      <w:sz w:val="18"/>
      <w:szCs w:val="18"/>
    </w:rPr>
  </w:style>
  <w:style w:type="paragraph" w:customStyle="1" w:styleId="xl353">
    <w:name w:val="xl353"/>
    <w:basedOn w:val="Normal"/>
    <w:rsid w:val="003A5811"/>
    <w:pPr>
      <w:pBdr>
        <w:top w:val="single" w:sz="4" w:space="0" w:color="auto"/>
        <w:bottom w:val="single" w:sz="4" w:space="0" w:color="auto"/>
        <w:right w:val="single" w:sz="4" w:space="0" w:color="auto"/>
      </w:pBdr>
      <w:shd w:val="clear" w:color="000000" w:fill="00B0F0"/>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365">
    <w:name w:val="xl365"/>
    <w:basedOn w:val="Normal"/>
    <w:rsid w:val="003A5811"/>
    <w:pPr>
      <w:pBdr>
        <w:top w:val="single" w:sz="4" w:space="0" w:color="auto"/>
        <w:left w:val="single" w:sz="4" w:space="0" w:color="auto"/>
        <w:bottom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368">
    <w:name w:val="xl368"/>
    <w:basedOn w:val="Normal"/>
    <w:rsid w:val="003A5811"/>
    <w:pPr>
      <w:pBdr>
        <w:top w:val="single" w:sz="4" w:space="0" w:color="auto"/>
        <w:left w:val="single" w:sz="4" w:space="0" w:color="auto"/>
        <w:bottom w:val="single" w:sz="4" w:space="0" w:color="auto"/>
      </w:pBdr>
      <w:shd w:val="clear" w:color="000000" w:fill="00B0F0"/>
      <w:spacing w:before="100" w:beforeAutospacing="1" w:after="100" w:afterAutospacing="1" w:line="240" w:lineRule="auto"/>
      <w:jc w:val="right"/>
      <w:textAlignment w:val="center"/>
    </w:pPr>
    <w:rPr>
      <w:rFonts w:eastAsia="Times New Roman"/>
      <w:color w:val="000000"/>
      <w:sz w:val="18"/>
      <w:szCs w:val="18"/>
    </w:rPr>
  </w:style>
  <w:style w:type="paragraph" w:customStyle="1" w:styleId="xl369">
    <w:name w:val="xl369"/>
    <w:basedOn w:val="Normal"/>
    <w:rsid w:val="003A5811"/>
    <w:pPr>
      <w:pBdr>
        <w:top w:val="single" w:sz="4" w:space="0" w:color="auto"/>
        <w:bottom w:val="single" w:sz="4" w:space="0" w:color="auto"/>
        <w:right w:val="single" w:sz="4" w:space="0" w:color="auto"/>
      </w:pBdr>
      <w:shd w:val="clear" w:color="000000" w:fill="00B0F0"/>
      <w:spacing w:before="100" w:beforeAutospacing="1" w:after="100" w:afterAutospacing="1" w:line="240" w:lineRule="auto"/>
      <w:jc w:val="right"/>
      <w:textAlignment w:val="center"/>
    </w:pPr>
    <w:rPr>
      <w:rFonts w:eastAsia="Times New Roman"/>
      <w:color w:val="000000"/>
      <w:sz w:val="18"/>
      <w:szCs w:val="18"/>
    </w:rPr>
  </w:style>
  <w:style w:type="paragraph" w:customStyle="1" w:styleId="xl370">
    <w:name w:val="xl370"/>
    <w:basedOn w:val="Normal"/>
    <w:rsid w:val="003A5811"/>
    <w:pPr>
      <w:pBdr>
        <w:top w:val="single" w:sz="4" w:space="0" w:color="auto"/>
        <w:left w:val="single" w:sz="4" w:space="0" w:color="auto"/>
        <w:bottom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374">
    <w:name w:val="xl374"/>
    <w:basedOn w:val="Normal"/>
    <w:rsid w:val="003A5811"/>
    <w:pPr>
      <w:pBdr>
        <w:top w:val="single" w:sz="4" w:space="0" w:color="auto"/>
        <w:bottom w:val="single" w:sz="4" w:space="0" w:color="auto"/>
      </w:pBdr>
      <w:shd w:val="clear" w:color="000000" w:fill="92D050"/>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375">
    <w:name w:val="xl375"/>
    <w:basedOn w:val="Normal"/>
    <w:rsid w:val="003A581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i/>
      <w:iCs/>
      <w:color w:val="000000"/>
      <w:sz w:val="18"/>
      <w:szCs w:val="18"/>
    </w:rPr>
  </w:style>
  <w:style w:type="paragraph" w:customStyle="1" w:styleId="xl376">
    <w:name w:val="xl376"/>
    <w:basedOn w:val="Normal"/>
    <w:rsid w:val="003A581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i/>
      <w:iCs/>
      <w:color w:val="000000"/>
      <w:sz w:val="18"/>
      <w:szCs w:val="18"/>
    </w:rPr>
  </w:style>
  <w:style w:type="paragraph" w:customStyle="1" w:styleId="xl379">
    <w:name w:val="xl379"/>
    <w:basedOn w:val="Normal"/>
    <w:rsid w:val="003A581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380">
    <w:name w:val="xl380"/>
    <w:basedOn w:val="Normal"/>
    <w:rsid w:val="003A581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384">
    <w:name w:val="xl384"/>
    <w:basedOn w:val="Normal"/>
    <w:rsid w:val="003A5811"/>
    <w:pPr>
      <w:pBdr>
        <w:top w:val="single" w:sz="4" w:space="0" w:color="auto"/>
        <w:left w:val="single" w:sz="4" w:space="0" w:color="auto"/>
      </w:pBdr>
      <w:shd w:val="clear" w:color="000000" w:fill="FFCC66"/>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385">
    <w:name w:val="xl385"/>
    <w:basedOn w:val="Normal"/>
    <w:rsid w:val="003A5811"/>
    <w:pPr>
      <w:pBdr>
        <w:top w:val="single" w:sz="4" w:space="0" w:color="auto"/>
      </w:pBdr>
      <w:shd w:val="clear" w:color="000000" w:fill="FFCC66"/>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386">
    <w:name w:val="xl386"/>
    <w:basedOn w:val="Normal"/>
    <w:rsid w:val="003A5811"/>
    <w:pPr>
      <w:pBdr>
        <w:top w:val="single" w:sz="4" w:space="0" w:color="auto"/>
        <w:right w:val="single" w:sz="4" w:space="0" w:color="auto"/>
      </w:pBdr>
      <w:shd w:val="clear" w:color="000000" w:fill="FFCC66"/>
      <w:spacing w:before="100" w:beforeAutospacing="1" w:after="100" w:afterAutospacing="1" w:line="240" w:lineRule="auto"/>
      <w:jc w:val="right"/>
      <w:textAlignment w:val="center"/>
    </w:pPr>
    <w:rPr>
      <w:rFonts w:eastAsia="Times New Roman"/>
      <w:b/>
      <w:bCs/>
      <w:color w:val="000000"/>
      <w:sz w:val="18"/>
      <w:szCs w:val="18"/>
    </w:rPr>
  </w:style>
  <w:style w:type="character" w:customStyle="1" w:styleId="font471">
    <w:name w:val="font471"/>
    <w:basedOn w:val="Policepardfaut"/>
    <w:rsid w:val="003A5811"/>
    <w:rPr>
      <w:rFonts w:ascii="Calibri" w:hAnsi="Calibri" w:cs="Calibri" w:hint="default"/>
      <w:b/>
      <w:bCs/>
      <w:i w:val="0"/>
      <w:iCs w:val="0"/>
      <w:strike w:val="0"/>
      <w:dstrike w:val="0"/>
      <w:color w:val="000000"/>
      <w:sz w:val="18"/>
      <w:szCs w:val="18"/>
      <w:u w:val="none"/>
      <w:effect w:val="none"/>
    </w:rPr>
  </w:style>
  <w:style w:type="character" w:customStyle="1" w:styleId="font261">
    <w:name w:val="font261"/>
    <w:basedOn w:val="Policepardfaut"/>
    <w:rsid w:val="003A5811"/>
    <w:rPr>
      <w:rFonts w:ascii="Calibri" w:hAnsi="Calibri" w:cs="Calibri" w:hint="default"/>
      <w:b w:val="0"/>
      <w:bCs w:val="0"/>
      <w:i w:val="0"/>
      <w:iCs w:val="0"/>
      <w:strike w:val="0"/>
      <w:dstrike w:val="0"/>
      <w:color w:val="000000"/>
      <w:sz w:val="18"/>
      <w:szCs w:val="18"/>
      <w:u w:val="none"/>
      <w:effect w:val="none"/>
    </w:rPr>
  </w:style>
  <w:style w:type="character" w:customStyle="1" w:styleId="font431">
    <w:name w:val="font431"/>
    <w:basedOn w:val="Policepardfaut"/>
    <w:rsid w:val="003A5811"/>
    <w:rPr>
      <w:rFonts w:ascii="Calibri" w:hAnsi="Calibri" w:cs="Calibri" w:hint="default"/>
      <w:b/>
      <w:bCs/>
      <w:i/>
      <w:iCs/>
      <w:strike w:val="0"/>
      <w:dstrike w:val="0"/>
      <w:color w:val="FF0000"/>
      <w:sz w:val="18"/>
      <w:szCs w:val="18"/>
      <w:u w:val="none"/>
      <w:effect w:val="none"/>
    </w:rPr>
  </w:style>
  <w:style w:type="character" w:customStyle="1" w:styleId="font301">
    <w:name w:val="font301"/>
    <w:basedOn w:val="Policepardfaut"/>
    <w:rsid w:val="003A5811"/>
    <w:rPr>
      <w:rFonts w:ascii="Calibri" w:hAnsi="Calibri" w:cs="Calibri" w:hint="default"/>
      <w:b w:val="0"/>
      <w:bCs w:val="0"/>
      <w:i w:val="0"/>
      <w:iCs w:val="0"/>
      <w:strike w:val="0"/>
      <w:dstrike w:val="0"/>
      <w:color w:val="FF0000"/>
      <w:sz w:val="18"/>
      <w:szCs w:val="18"/>
      <w:u w:val="none"/>
      <w:effect w:val="none"/>
    </w:rPr>
  </w:style>
  <w:style w:type="paragraph" w:customStyle="1" w:styleId="BulletText1">
    <w:name w:val="Bullet Text 1"/>
    <w:basedOn w:val="Normal"/>
    <w:qFormat/>
    <w:rsid w:val="003174F8"/>
    <w:pPr>
      <w:numPr>
        <w:numId w:val="471"/>
      </w:numPr>
      <w:spacing w:after="0" w:line="240" w:lineRule="auto"/>
    </w:pPr>
    <w:rPr>
      <w:rFonts w:ascii="Arial" w:eastAsia="Times New Roman" w:hAnsi="Arial" w:cs="Times New Roman"/>
      <w:color w:val="000000"/>
      <w:szCs w:val="20"/>
      <w:lang w:val="en-US" w:eastAsia="en-US"/>
    </w:rPr>
  </w:style>
  <w:style w:type="paragraph" w:customStyle="1" w:styleId="Table">
    <w:name w:val="Table"/>
    <w:basedOn w:val="Normal"/>
    <w:link w:val="TableChar"/>
    <w:qFormat/>
    <w:rsid w:val="003174F8"/>
    <w:pPr>
      <w:spacing w:after="0" w:line="240" w:lineRule="auto"/>
      <w:ind w:left="187"/>
    </w:pPr>
    <w:rPr>
      <w:rFonts w:ascii="Arial" w:eastAsia="Times New Roman" w:hAnsi="Arial" w:cs="Times New Roman"/>
      <w:color w:val="000000"/>
      <w:sz w:val="20"/>
      <w:szCs w:val="20"/>
      <w:lang w:val="en-US" w:eastAsia="en-US"/>
    </w:rPr>
  </w:style>
  <w:style w:type="character" w:customStyle="1" w:styleId="TableChar">
    <w:name w:val="Table Char"/>
    <w:link w:val="Table"/>
    <w:qFormat/>
    <w:rsid w:val="003174F8"/>
    <w:rPr>
      <w:rFonts w:ascii="Arial" w:eastAsia="Times New Roman" w:hAnsi="Arial" w:cs="Times New Roman"/>
      <w:color w:val="000000"/>
      <w:sz w:val="20"/>
      <w:szCs w:val="20"/>
      <w:lang w:val="en-US" w:eastAsia="en-US"/>
    </w:rPr>
  </w:style>
  <w:style w:type="paragraph" w:customStyle="1" w:styleId="Subheading">
    <w:name w:val="Subheading"/>
    <w:basedOn w:val="Lgende"/>
    <w:link w:val="SubheadingChar"/>
    <w:qFormat/>
    <w:rsid w:val="003174F8"/>
    <w:pPr>
      <w:ind w:left="187"/>
    </w:pPr>
    <w:rPr>
      <w:lang w:val="en-US" w:eastAsia="en-US"/>
    </w:rPr>
  </w:style>
  <w:style w:type="character" w:customStyle="1" w:styleId="LgendeCar">
    <w:name w:val="Légende Car"/>
    <w:basedOn w:val="Policepardfaut"/>
    <w:link w:val="Lgende"/>
    <w:rsid w:val="003174F8"/>
    <w:rPr>
      <w:rFonts w:ascii="Times New Roman" w:eastAsia="SimSun" w:hAnsi="Times New Roman" w:cs="Times New Roman"/>
      <w:b/>
      <w:bCs/>
      <w:sz w:val="28"/>
      <w:szCs w:val="24"/>
    </w:rPr>
  </w:style>
  <w:style w:type="character" w:customStyle="1" w:styleId="SubheadingChar">
    <w:name w:val="Subheading Char"/>
    <w:basedOn w:val="LgendeCar"/>
    <w:link w:val="Subheading"/>
    <w:qFormat/>
    <w:rsid w:val="003174F8"/>
    <w:rPr>
      <w:rFonts w:ascii="Times New Roman" w:eastAsia="SimSun" w:hAnsi="Times New Roman" w:cs="Times New Roman"/>
      <w:b/>
      <w:bCs/>
      <w:sz w:val="28"/>
      <w:szCs w:val="24"/>
      <w:lang w:val="en-US" w:eastAsia="en-US"/>
    </w:rPr>
  </w:style>
  <w:style w:type="character" w:customStyle="1" w:styleId="textrun">
    <w:name w:val="textrun"/>
    <w:basedOn w:val="Policepardfaut"/>
    <w:qFormat/>
    <w:rsid w:val="003174F8"/>
  </w:style>
  <w:style w:type="paragraph" w:customStyle="1" w:styleId="outlineelement">
    <w:name w:val="outlineelement"/>
    <w:basedOn w:val="Normal"/>
    <w:rsid w:val="003174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gebreakblob">
    <w:name w:val="pagebreakblob"/>
    <w:basedOn w:val="Policepardfaut"/>
    <w:rsid w:val="003174F8"/>
  </w:style>
  <w:style w:type="paragraph" w:customStyle="1" w:styleId="xl214">
    <w:name w:val="xl214"/>
    <w:basedOn w:val="Normal"/>
    <w:rsid w:val="00753FD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000000"/>
      <w:sz w:val="18"/>
      <w:szCs w:val="18"/>
    </w:rPr>
  </w:style>
  <w:style w:type="paragraph" w:customStyle="1" w:styleId="xl215">
    <w:name w:val="xl215"/>
    <w:basedOn w:val="Normal"/>
    <w:rsid w:val="00753FD4"/>
    <w:pPr>
      <w:pBdr>
        <w:top w:val="single" w:sz="4" w:space="0" w:color="auto"/>
        <w:bottom w:val="single" w:sz="4" w:space="0" w:color="auto"/>
      </w:pBdr>
      <w:shd w:val="clear" w:color="000000" w:fill="92D050"/>
      <w:spacing w:before="100" w:beforeAutospacing="1" w:after="100" w:afterAutospacing="1" w:line="240" w:lineRule="auto"/>
      <w:jc w:val="right"/>
      <w:textAlignment w:val="center"/>
    </w:pPr>
    <w:rPr>
      <w:rFonts w:eastAsia="Times New Roman"/>
      <w:b/>
      <w:bCs/>
      <w:color w:val="000000"/>
      <w:sz w:val="18"/>
      <w:szCs w:val="18"/>
    </w:rPr>
  </w:style>
  <w:style w:type="paragraph" w:customStyle="1" w:styleId="xl216">
    <w:name w:val="xl216"/>
    <w:basedOn w:val="Normal"/>
    <w:rsid w:val="00753FD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i/>
      <w:iCs/>
      <w:color w:val="000000"/>
      <w:sz w:val="18"/>
      <w:szCs w:val="18"/>
    </w:rPr>
  </w:style>
  <w:style w:type="paragraph" w:customStyle="1" w:styleId="xl218">
    <w:name w:val="xl218"/>
    <w:basedOn w:val="Normal"/>
    <w:rsid w:val="00753FD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18"/>
      <w:szCs w:val="18"/>
    </w:rPr>
  </w:style>
  <w:style w:type="paragraph" w:customStyle="1" w:styleId="xl219">
    <w:name w:val="xl219"/>
    <w:basedOn w:val="Normal"/>
    <w:rsid w:val="00753FD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18"/>
      <w:szCs w:val="18"/>
    </w:rPr>
  </w:style>
  <w:style w:type="paragraph" w:customStyle="1" w:styleId="xl220">
    <w:name w:val="xl220"/>
    <w:basedOn w:val="Normal"/>
    <w:rsid w:val="00753FD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xl221">
    <w:name w:val="xl221"/>
    <w:basedOn w:val="Normal"/>
    <w:rsid w:val="00753FD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18"/>
      <w:szCs w:val="18"/>
    </w:rPr>
  </w:style>
  <w:style w:type="paragraph" w:customStyle="1" w:styleId="Rvision1">
    <w:name w:val="Révision1"/>
    <w:hidden/>
    <w:uiPriority w:val="99"/>
    <w:semiHidden/>
    <w:qFormat/>
    <w:rsid w:val="00A15021"/>
    <w:pPr>
      <w:spacing w:after="0" w:line="240" w:lineRule="auto"/>
    </w:pPr>
    <w:rPr>
      <w:rFonts w:ascii="Times New Roman" w:eastAsia="Times New Roman" w:hAnsi="Times New Roman" w:cs="Times New Roman"/>
      <w:sz w:val="24"/>
      <w:szCs w:val="24"/>
      <w:lang w:val="en-US" w:eastAsia="en-US"/>
    </w:rPr>
  </w:style>
  <w:style w:type="character" w:customStyle="1" w:styleId="Mentionnonrsolue1">
    <w:name w:val="Mention non résolue1"/>
    <w:uiPriority w:val="99"/>
    <w:semiHidden/>
    <w:unhideWhenUsed/>
    <w:qFormat/>
    <w:rsid w:val="00A15021"/>
    <w:rPr>
      <w:color w:val="808080"/>
      <w:shd w:val="clear" w:color="auto" w:fill="E6E6E6"/>
    </w:rPr>
  </w:style>
  <w:style w:type="paragraph" w:customStyle="1" w:styleId="En-ttedetabledesmatires1">
    <w:name w:val="En-tête de table des matières1"/>
    <w:basedOn w:val="Titre1"/>
    <w:next w:val="Normal"/>
    <w:uiPriority w:val="39"/>
    <w:unhideWhenUsed/>
    <w:qFormat/>
    <w:rsid w:val="00A15021"/>
    <w:pPr>
      <w:spacing w:before="240" w:after="0"/>
      <w:ind w:left="187"/>
      <w:outlineLvl w:val="9"/>
    </w:pPr>
    <w:rPr>
      <w:rFonts w:ascii="Calibri Light" w:eastAsia="Times New Roman" w:hAnsi="Calibri Light" w:cs="Times New Roman"/>
      <w:color w:val="2F5496"/>
      <w:sz w:val="32"/>
      <w:szCs w:val="32"/>
      <w:lang w:val="en-US" w:eastAsia="en-US"/>
    </w:rPr>
  </w:style>
  <w:style w:type="character" w:customStyle="1" w:styleId="superscript">
    <w:name w:val="superscript"/>
    <w:basedOn w:val="Policepardfaut"/>
    <w:rsid w:val="00A15021"/>
  </w:style>
  <w:style w:type="character" w:customStyle="1" w:styleId="scxw128865710">
    <w:name w:val="scxw128865710"/>
    <w:basedOn w:val="Policepardfaut"/>
    <w:rsid w:val="00A15021"/>
  </w:style>
  <w:style w:type="character" w:customStyle="1" w:styleId="scxw93853862">
    <w:name w:val="scxw93853862"/>
    <w:basedOn w:val="Policepardfaut"/>
    <w:rsid w:val="00A15021"/>
  </w:style>
  <w:style w:type="paragraph" w:customStyle="1" w:styleId="xl222">
    <w:name w:val="xl222"/>
    <w:basedOn w:val="Normal"/>
    <w:rsid w:val="00E3397E"/>
    <w:pPr>
      <w:pBdr>
        <w:top w:val="single" w:sz="4" w:space="0" w:color="auto"/>
        <w:bottom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223">
    <w:name w:val="xl223"/>
    <w:basedOn w:val="Normal"/>
    <w:rsid w:val="00E3397E"/>
    <w:pPr>
      <w:pBdr>
        <w:top w:val="single" w:sz="4" w:space="0" w:color="auto"/>
        <w:bottom w:val="single" w:sz="4" w:space="0" w:color="auto"/>
        <w:right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224">
    <w:name w:val="xl224"/>
    <w:basedOn w:val="Normal"/>
    <w:rsid w:val="00E3397E"/>
    <w:pPr>
      <w:pBdr>
        <w:top w:val="single" w:sz="4" w:space="0" w:color="auto"/>
        <w:left w:val="single" w:sz="4" w:space="0" w:color="auto"/>
        <w:bottom w:val="single" w:sz="4" w:space="0" w:color="auto"/>
      </w:pBdr>
      <w:shd w:val="clear" w:color="000000" w:fill="00B0F0"/>
      <w:spacing w:before="100" w:beforeAutospacing="1" w:after="100" w:afterAutospacing="1" w:line="240" w:lineRule="auto"/>
      <w:jc w:val="right"/>
      <w:textAlignment w:val="center"/>
    </w:pPr>
    <w:rPr>
      <w:rFonts w:eastAsia="Times New Roman"/>
      <w:color w:val="000000"/>
      <w:sz w:val="18"/>
      <w:szCs w:val="18"/>
    </w:rPr>
  </w:style>
  <w:style w:type="paragraph" w:customStyle="1" w:styleId="xl225">
    <w:name w:val="xl225"/>
    <w:basedOn w:val="Normal"/>
    <w:rsid w:val="00E3397E"/>
    <w:pPr>
      <w:pBdr>
        <w:top w:val="single" w:sz="4" w:space="0" w:color="auto"/>
        <w:bottom w:val="single" w:sz="4" w:space="0" w:color="auto"/>
        <w:right w:val="single" w:sz="4" w:space="0" w:color="auto"/>
      </w:pBdr>
      <w:shd w:val="clear" w:color="000000" w:fill="00B0F0"/>
      <w:spacing w:before="100" w:beforeAutospacing="1" w:after="100" w:afterAutospacing="1" w:line="240" w:lineRule="auto"/>
      <w:jc w:val="right"/>
      <w:textAlignment w:val="center"/>
    </w:pPr>
    <w:rPr>
      <w:rFonts w:eastAsia="Times New Roman"/>
      <w:color w:val="000000"/>
      <w:sz w:val="18"/>
      <w:szCs w:val="18"/>
    </w:rPr>
  </w:style>
  <w:style w:type="paragraph" w:customStyle="1" w:styleId="xl226">
    <w:name w:val="xl226"/>
    <w:basedOn w:val="Normal"/>
    <w:rsid w:val="00E3397E"/>
    <w:pPr>
      <w:pBdr>
        <w:top w:val="single" w:sz="4" w:space="0" w:color="auto"/>
        <w:left w:val="single" w:sz="4" w:space="0" w:color="auto"/>
        <w:bottom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227">
    <w:name w:val="xl227"/>
    <w:basedOn w:val="Normal"/>
    <w:rsid w:val="00E3397E"/>
    <w:pPr>
      <w:pBdr>
        <w:top w:val="single" w:sz="4" w:space="0" w:color="auto"/>
        <w:bottom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228">
    <w:name w:val="xl228"/>
    <w:basedOn w:val="Normal"/>
    <w:rsid w:val="00E3397E"/>
    <w:pPr>
      <w:pBdr>
        <w:top w:val="single" w:sz="4" w:space="0" w:color="auto"/>
        <w:bottom w:val="single" w:sz="4" w:space="0" w:color="auto"/>
        <w:right w:val="single" w:sz="4" w:space="0" w:color="auto"/>
      </w:pBdr>
      <w:shd w:val="clear" w:color="000000" w:fill="FFD966"/>
      <w:spacing w:before="100" w:beforeAutospacing="1" w:after="100" w:afterAutospacing="1" w:line="240" w:lineRule="auto"/>
      <w:jc w:val="right"/>
      <w:textAlignment w:val="center"/>
    </w:pPr>
    <w:rPr>
      <w:rFonts w:eastAsia="Times New Roman"/>
      <w:b/>
      <w:bCs/>
      <w:sz w:val="18"/>
      <w:szCs w:val="18"/>
    </w:rPr>
  </w:style>
  <w:style w:type="paragraph" w:customStyle="1" w:styleId="xl229">
    <w:name w:val="xl229"/>
    <w:basedOn w:val="Normal"/>
    <w:rsid w:val="00E3397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18"/>
      <w:szCs w:val="18"/>
    </w:rPr>
  </w:style>
  <w:style w:type="paragraph" w:customStyle="1" w:styleId="xl230">
    <w:name w:val="xl230"/>
    <w:basedOn w:val="Normal"/>
    <w:rsid w:val="00E339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18"/>
      <w:szCs w:val="18"/>
    </w:rPr>
  </w:style>
  <w:style w:type="paragraph" w:customStyle="1" w:styleId="xl231">
    <w:name w:val="xl231"/>
    <w:basedOn w:val="Normal"/>
    <w:rsid w:val="00E3397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i/>
      <w:iCs/>
      <w:color w:val="000000"/>
      <w:sz w:val="18"/>
      <w:szCs w:val="18"/>
    </w:rPr>
  </w:style>
  <w:style w:type="paragraph" w:customStyle="1" w:styleId="xl232">
    <w:name w:val="xl232"/>
    <w:basedOn w:val="Normal"/>
    <w:rsid w:val="00E339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i/>
      <w:iCs/>
      <w:color w:val="000000"/>
      <w:sz w:val="18"/>
      <w:szCs w:val="18"/>
    </w:rPr>
  </w:style>
  <w:style w:type="paragraph" w:customStyle="1" w:styleId="xl233">
    <w:name w:val="xl233"/>
    <w:basedOn w:val="Normal"/>
    <w:rsid w:val="00FE1E2B"/>
    <w:pPr>
      <w:pBdr>
        <w:top w:val="single" w:sz="4" w:space="0" w:color="auto"/>
        <w:bottom w:val="single" w:sz="4" w:space="0" w:color="auto"/>
        <w:right w:val="single" w:sz="4" w:space="0" w:color="auto"/>
      </w:pBdr>
      <w:shd w:val="clear" w:color="000000" w:fill="F2CEEF"/>
      <w:spacing w:before="100" w:beforeAutospacing="1" w:after="100" w:afterAutospacing="1" w:line="240" w:lineRule="auto"/>
      <w:textAlignment w:val="center"/>
    </w:pPr>
    <w:rPr>
      <w:rFonts w:eastAsia="Times New Roman"/>
      <w:b/>
      <w:bCs/>
      <w:color w:val="000000"/>
      <w:sz w:val="18"/>
      <w:szCs w:val="18"/>
    </w:rPr>
  </w:style>
  <w:style w:type="paragraph" w:customStyle="1" w:styleId="xl234">
    <w:name w:val="xl234"/>
    <w:basedOn w:val="Normal"/>
    <w:rsid w:val="00FE1E2B"/>
    <w:pPr>
      <w:pBdr>
        <w:top w:val="single" w:sz="4" w:space="0" w:color="auto"/>
        <w:left w:val="single" w:sz="4" w:space="0" w:color="auto"/>
        <w:bottom w:val="single" w:sz="4" w:space="0" w:color="auto"/>
      </w:pBdr>
      <w:shd w:val="clear" w:color="000000" w:fill="FFE699"/>
      <w:spacing w:before="100" w:beforeAutospacing="1" w:after="100" w:afterAutospacing="1" w:line="240" w:lineRule="auto"/>
      <w:jc w:val="center"/>
      <w:textAlignment w:val="center"/>
    </w:pPr>
    <w:rPr>
      <w:rFonts w:eastAsia="Times New Roman"/>
      <w:b/>
      <w:bCs/>
      <w:color w:val="000000"/>
      <w:sz w:val="18"/>
      <w:szCs w:val="18"/>
    </w:rPr>
  </w:style>
  <w:style w:type="paragraph" w:customStyle="1" w:styleId="xl235">
    <w:name w:val="xl235"/>
    <w:basedOn w:val="Normal"/>
    <w:rsid w:val="00FE1E2B"/>
    <w:pPr>
      <w:pBdr>
        <w:top w:val="single" w:sz="4" w:space="0" w:color="auto"/>
        <w:bottom w:val="single" w:sz="4" w:space="0" w:color="auto"/>
      </w:pBdr>
      <w:shd w:val="clear" w:color="000000" w:fill="FFE699"/>
      <w:spacing w:before="100" w:beforeAutospacing="1" w:after="100" w:afterAutospacing="1" w:line="240" w:lineRule="auto"/>
      <w:jc w:val="center"/>
      <w:textAlignment w:val="center"/>
    </w:pPr>
    <w:rPr>
      <w:rFonts w:eastAsia="Times New Roman"/>
      <w:b/>
      <w:bCs/>
      <w:color w:val="000000"/>
      <w:sz w:val="18"/>
      <w:szCs w:val="18"/>
    </w:rPr>
  </w:style>
  <w:style w:type="paragraph" w:customStyle="1" w:styleId="xl236">
    <w:name w:val="xl236"/>
    <w:basedOn w:val="Normal"/>
    <w:rsid w:val="00FE1E2B"/>
    <w:pPr>
      <w:pBdr>
        <w:top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eastAsia="Times New Roman"/>
      <w:b/>
      <w:b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3678">
      <w:bodyDiv w:val="1"/>
      <w:marLeft w:val="0"/>
      <w:marRight w:val="0"/>
      <w:marTop w:val="0"/>
      <w:marBottom w:val="0"/>
      <w:divBdr>
        <w:top w:val="none" w:sz="0" w:space="0" w:color="auto"/>
        <w:left w:val="none" w:sz="0" w:space="0" w:color="auto"/>
        <w:bottom w:val="none" w:sz="0" w:space="0" w:color="auto"/>
        <w:right w:val="none" w:sz="0" w:space="0" w:color="auto"/>
      </w:divBdr>
    </w:div>
    <w:div w:id="21902682">
      <w:bodyDiv w:val="1"/>
      <w:marLeft w:val="0"/>
      <w:marRight w:val="0"/>
      <w:marTop w:val="0"/>
      <w:marBottom w:val="0"/>
      <w:divBdr>
        <w:top w:val="none" w:sz="0" w:space="0" w:color="auto"/>
        <w:left w:val="none" w:sz="0" w:space="0" w:color="auto"/>
        <w:bottom w:val="none" w:sz="0" w:space="0" w:color="auto"/>
        <w:right w:val="none" w:sz="0" w:space="0" w:color="auto"/>
      </w:divBdr>
    </w:div>
    <w:div w:id="22485544">
      <w:bodyDiv w:val="1"/>
      <w:marLeft w:val="0"/>
      <w:marRight w:val="0"/>
      <w:marTop w:val="0"/>
      <w:marBottom w:val="0"/>
      <w:divBdr>
        <w:top w:val="none" w:sz="0" w:space="0" w:color="auto"/>
        <w:left w:val="none" w:sz="0" w:space="0" w:color="auto"/>
        <w:bottom w:val="none" w:sz="0" w:space="0" w:color="auto"/>
        <w:right w:val="none" w:sz="0" w:space="0" w:color="auto"/>
      </w:divBdr>
    </w:div>
    <w:div w:id="54935757">
      <w:bodyDiv w:val="1"/>
      <w:marLeft w:val="0"/>
      <w:marRight w:val="0"/>
      <w:marTop w:val="0"/>
      <w:marBottom w:val="0"/>
      <w:divBdr>
        <w:top w:val="none" w:sz="0" w:space="0" w:color="auto"/>
        <w:left w:val="none" w:sz="0" w:space="0" w:color="auto"/>
        <w:bottom w:val="none" w:sz="0" w:space="0" w:color="auto"/>
        <w:right w:val="none" w:sz="0" w:space="0" w:color="auto"/>
      </w:divBdr>
    </w:div>
    <w:div w:id="62024454">
      <w:bodyDiv w:val="1"/>
      <w:marLeft w:val="0"/>
      <w:marRight w:val="0"/>
      <w:marTop w:val="0"/>
      <w:marBottom w:val="0"/>
      <w:divBdr>
        <w:top w:val="none" w:sz="0" w:space="0" w:color="auto"/>
        <w:left w:val="none" w:sz="0" w:space="0" w:color="auto"/>
        <w:bottom w:val="none" w:sz="0" w:space="0" w:color="auto"/>
        <w:right w:val="none" w:sz="0" w:space="0" w:color="auto"/>
      </w:divBdr>
    </w:div>
    <w:div w:id="84234837">
      <w:bodyDiv w:val="1"/>
      <w:marLeft w:val="0"/>
      <w:marRight w:val="0"/>
      <w:marTop w:val="0"/>
      <w:marBottom w:val="0"/>
      <w:divBdr>
        <w:top w:val="none" w:sz="0" w:space="0" w:color="auto"/>
        <w:left w:val="none" w:sz="0" w:space="0" w:color="auto"/>
        <w:bottom w:val="none" w:sz="0" w:space="0" w:color="auto"/>
        <w:right w:val="none" w:sz="0" w:space="0" w:color="auto"/>
      </w:divBdr>
    </w:div>
    <w:div w:id="89274560">
      <w:bodyDiv w:val="1"/>
      <w:marLeft w:val="0"/>
      <w:marRight w:val="0"/>
      <w:marTop w:val="0"/>
      <w:marBottom w:val="0"/>
      <w:divBdr>
        <w:top w:val="none" w:sz="0" w:space="0" w:color="auto"/>
        <w:left w:val="none" w:sz="0" w:space="0" w:color="auto"/>
        <w:bottom w:val="none" w:sz="0" w:space="0" w:color="auto"/>
        <w:right w:val="none" w:sz="0" w:space="0" w:color="auto"/>
      </w:divBdr>
    </w:div>
    <w:div w:id="132721230">
      <w:bodyDiv w:val="1"/>
      <w:marLeft w:val="0"/>
      <w:marRight w:val="0"/>
      <w:marTop w:val="0"/>
      <w:marBottom w:val="0"/>
      <w:divBdr>
        <w:top w:val="none" w:sz="0" w:space="0" w:color="auto"/>
        <w:left w:val="none" w:sz="0" w:space="0" w:color="auto"/>
        <w:bottom w:val="none" w:sz="0" w:space="0" w:color="auto"/>
        <w:right w:val="none" w:sz="0" w:space="0" w:color="auto"/>
      </w:divBdr>
    </w:div>
    <w:div w:id="170066035">
      <w:bodyDiv w:val="1"/>
      <w:marLeft w:val="0"/>
      <w:marRight w:val="0"/>
      <w:marTop w:val="0"/>
      <w:marBottom w:val="0"/>
      <w:divBdr>
        <w:top w:val="none" w:sz="0" w:space="0" w:color="auto"/>
        <w:left w:val="none" w:sz="0" w:space="0" w:color="auto"/>
        <w:bottom w:val="none" w:sz="0" w:space="0" w:color="auto"/>
        <w:right w:val="none" w:sz="0" w:space="0" w:color="auto"/>
      </w:divBdr>
    </w:div>
    <w:div w:id="182939086">
      <w:bodyDiv w:val="1"/>
      <w:marLeft w:val="0"/>
      <w:marRight w:val="0"/>
      <w:marTop w:val="0"/>
      <w:marBottom w:val="0"/>
      <w:divBdr>
        <w:top w:val="none" w:sz="0" w:space="0" w:color="auto"/>
        <w:left w:val="none" w:sz="0" w:space="0" w:color="auto"/>
        <w:bottom w:val="none" w:sz="0" w:space="0" w:color="auto"/>
        <w:right w:val="none" w:sz="0" w:space="0" w:color="auto"/>
      </w:divBdr>
    </w:div>
    <w:div w:id="218398641">
      <w:bodyDiv w:val="1"/>
      <w:marLeft w:val="0"/>
      <w:marRight w:val="0"/>
      <w:marTop w:val="0"/>
      <w:marBottom w:val="0"/>
      <w:divBdr>
        <w:top w:val="none" w:sz="0" w:space="0" w:color="auto"/>
        <w:left w:val="none" w:sz="0" w:space="0" w:color="auto"/>
        <w:bottom w:val="none" w:sz="0" w:space="0" w:color="auto"/>
        <w:right w:val="none" w:sz="0" w:space="0" w:color="auto"/>
      </w:divBdr>
    </w:div>
    <w:div w:id="224536862">
      <w:bodyDiv w:val="1"/>
      <w:marLeft w:val="0"/>
      <w:marRight w:val="0"/>
      <w:marTop w:val="0"/>
      <w:marBottom w:val="0"/>
      <w:divBdr>
        <w:top w:val="none" w:sz="0" w:space="0" w:color="auto"/>
        <w:left w:val="none" w:sz="0" w:space="0" w:color="auto"/>
        <w:bottom w:val="none" w:sz="0" w:space="0" w:color="auto"/>
        <w:right w:val="none" w:sz="0" w:space="0" w:color="auto"/>
      </w:divBdr>
    </w:div>
    <w:div w:id="252520189">
      <w:bodyDiv w:val="1"/>
      <w:marLeft w:val="0"/>
      <w:marRight w:val="0"/>
      <w:marTop w:val="0"/>
      <w:marBottom w:val="0"/>
      <w:divBdr>
        <w:top w:val="none" w:sz="0" w:space="0" w:color="auto"/>
        <w:left w:val="none" w:sz="0" w:space="0" w:color="auto"/>
        <w:bottom w:val="none" w:sz="0" w:space="0" w:color="auto"/>
        <w:right w:val="none" w:sz="0" w:space="0" w:color="auto"/>
      </w:divBdr>
    </w:div>
    <w:div w:id="265619504">
      <w:bodyDiv w:val="1"/>
      <w:marLeft w:val="0"/>
      <w:marRight w:val="0"/>
      <w:marTop w:val="0"/>
      <w:marBottom w:val="0"/>
      <w:divBdr>
        <w:top w:val="none" w:sz="0" w:space="0" w:color="auto"/>
        <w:left w:val="none" w:sz="0" w:space="0" w:color="auto"/>
        <w:bottom w:val="none" w:sz="0" w:space="0" w:color="auto"/>
        <w:right w:val="none" w:sz="0" w:space="0" w:color="auto"/>
      </w:divBdr>
      <w:divsChild>
        <w:div w:id="56704744">
          <w:marLeft w:val="0"/>
          <w:marRight w:val="0"/>
          <w:marTop w:val="0"/>
          <w:marBottom w:val="0"/>
          <w:divBdr>
            <w:top w:val="none" w:sz="0" w:space="0" w:color="auto"/>
            <w:left w:val="none" w:sz="0" w:space="0" w:color="auto"/>
            <w:bottom w:val="none" w:sz="0" w:space="0" w:color="auto"/>
            <w:right w:val="none" w:sz="0" w:space="0" w:color="auto"/>
          </w:divBdr>
          <w:divsChild>
            <w:div w:id="1520003443">
              <w:marLeft w:val="0"/>
              <w:marRight w:val="0"/>
              <w:marTop w:val="0"/>
              <w:marBottom w:val="0"/>
              <w:divBdr>
                <w:top w:val="none" w:sz="0" w:space="0" w:color="auto"/>
                <w:left w:val="none" w:sz="0" w:space="0" w:color="auto"/>
                <w:bottom w:val="none" w:sz="0" w:space="0" w:color="auto"/>
                <w:right w:val="none" w:sz="0" w:space="0" w:color="auto"/>
              </w:divBdr>
            </w:div>
          </w:divsChild>
        </w:div>
        <w:div w:id="136266707">
          <w:marLeft w:val="0"/>
          <w:marRight w:val="0"/>
          <w:marTop w:val="0"/>
          <w:marBottom w:val="0"/>
          <w:divBdr>
            <w:top w:val="none" w:sz="0" w:space="0" w:color="auto"/>
            <w:left w:val="none" w:sz="0" w:space="0" w:color="auto"/>
            <w:bottom w:val="none" w:sz="0" w:space="0" w:color="auto"/>
            <w:right w:val="none" w:sz="0" w:space="0" w:color="auto"/>
          </w:divBdr>
          <w:divsChild>
            <w:div w:id="1169443492">
              <w:marLeft w:val="0"/>
              <w:marRight w:val="0"/>
              <w:marTop w:val="0"/>
              <w:marBottom w:val="0"/>
              <w:divBdr>
                <w:top w:val="none" w:sz="0" w:space="0" w:color="auto"/>
                <w:left w:val="none" w:sz="0" w:space="0" w:color="auto"/>
                <w:bottom w:val="none" w:sz="0" w:space="0" w:color="auto"/>
                <w:right w:val="none" w:sz="0" w:space="0" w:color="auto"/>
              </w:divBdr>
            </w:div>
          </w:divsChild>
        </w:div>
        <w:div w:id="152071427">
          <w:marLeft w:val="0"/>
          <w:marRight w:val="0"/>
          <w:marTop w:val="0"/>
          <w:marBottom w:val="0"/>
          <w:divBdr>
            <w:top w:val="none" w:sz="0" w:space="0" w:color="auto"/>
            <w:left w:val="none" w:sz="0" w:space="0" w:color="auto"/>
            <w:bottom w:val="none" w:sz="0" w:space="0" w:color="auto"/>
            <w:right w:val="none" w:sz="0" w:space="0" w:color="auto"/>
          </w:divBdr>
          <w:divsChild>
            <w:div w:id="1019623838">
              <w:marLeft w:val="0"/>
              <w:marRight w:val="0"/>
              <w:marTop w:val="0"/>
              <w:marBottom w:val="0"/>
              <w:divBdr>
                <w:top w:val="none" w:sz="0" w:space="0" w:color="auto"/>
                <w:left w:val="none" w:sz="0" w:space="0" w:color="auto"/>
                <w:bottom w:val="none" w:sz="0" w:space="0" w:color="auto"/>
                <w:right w:val="none" w:sz="0" w:space="0" w:color="auto"/>
              </w:divBdr>
            </w:div>
          </w:divsChild>
        </w:div>
        <w:div w:id="213275829">
          <w:marLeft w:val="0"/>
          <w:marRight w:val="0"/>
          <w:marTop w:val="0"/>
          <w:marBottom w:val="0"/>
          <w:divBdr>
            <w:top w:val="none" w:sz="0" w:space="0" w:color="auto"/>
            <w:left w:val="none" w:sz="0" w:space="0" w:color="auto"/>
            <w:bottom w:val="none" w:sz="0" w:space="0" w:color="auto"/>
            <w:right w:val="none" w:sz="0" w:space="0" w:color="auto"/>
          </w:divBdr>
          <w:divsChild>
            <w:div w:id="1025979733">
              <w:marLeft w:val="0"/>
              <w:marRight w:val="0"/>
              <w:marTop w:val="0"/>
              <w:marBottom w:val="0"/>
              <w:divBdr>
                <w:top w:val="none" w:sz="0" w:space="0" w:color="auto"/>
                <w:left w:val="none" w:sz="0" w:space="0" w:color="auto"/>
                <w:bottom w:val="none" w:sz="0" w:space="0" w:color="auto"/>
                <w:right w:val="none" w:sz="0" w:space="0" w:color="auto"/>
              </w:divBdr>
            </w:div>
          </w:divsChild>
        </w:div>
        <w:div w:id="251477860">
          <w:marLeft w:val="0"/>
          <w:marRight w:val="0"/>
          <w:marTop w:val="0"/>
          <w:marBottom w:val="0"/>
          <w:divBdr>
            <w:top w:val="none" w:sz="0" w:space="0" w:color="auto"/>
            <w:left w:val="none" w:sz="0" w:space="0" w:color="auto"/>
            <w:bottom w:val="none" w:sz="0" w:space="0" w:color="auto"/>
            <w:right w:val="none" w:sz="0" w:space="0" w:color="auto"/>
          </w:divBdr>
          <w:divsChild>
            <w:div w:id="2055958556">
              <w:marLeft w:val="0"/>
              <w:marRight w:val="0"/>
              <w:marTop w:val="0"/>
              <w:marBottom w:val="0"/>
              <w:divBdr>
                <w:top w:val="none" w:sz="0" w:space="0" w:color="auto"/>
                <w:left w:val="none" w:sz="0" w:space="0" w:color="auto"/>
                <w:bottom w:val="none" w:sz="0" w:space="0" w:color="auto"/>
                <w:right w:val="none" w:sz="0" w:space="0" w:color="auto"/>
              </w:divBdr>
            </w:div>
          </w:divsChild>
        </w:div>
        <w:div w:id="282853727">
          <w:marLeft w:val="0"/>
          <w:marRight w:val="0"/>
          <w:marTop w:val="0"/>
          <w:marBottom w:val="0"/>
          <w:divBdr>
            <w:top w:val="none" w:sz="0" w:space="0" w:color="auto"/>
            <w:left w:val="none" w:sz="0" w:space="0" w:color="auto"/>
            <w:bottom w:val="none" w:sz="0" w:space="0" w:color="auto"/>
            <w:right w:val="none" w:sz="0" w:space="0" w:color="auto"/>
          </w:divBdr>
          <w:divsChild>
            <w:div w:id="1862041456">
              <w:marLeft w:val="0"/>
              <w:marRight w:val="0"/>
              <w:marTop w:val="0"/>
              <w:marBottom w:val="0"/>
              <w:divBdr>
                <w:top w:val="none" w:sz="0" w:space="0" w:color="auto"/>
                <w:left w:val="none" w:sz="0" w:space="0" w:color="auto"/>
                <w:bottom w:val="none" w:sz="0" w:space="0" w:color="auto"/>
                <w:right w:val="none" w:sz="0" w:space="0" w:color="auto"/>
              </w:divBdr>
            </w:div>
          </w:divsChild>
        </w:div>
        <w:div w:id="286469224">
          <w:marLeft w:val="0"/>
          <w:marRight w:val="0"/>
          <w:marTop w:val="0"/>
          <w:marBottom w:val="0"/>
          <w:divBdr>
            <w:top w:val="none" w:sz="0" w:space="0" w:color="auto"/>
            <w:left w:val="none" w:sz="0" w:space="0" w:color="auto"/>
            <w:bottom w:val="none" w:sz="0" w:space="0" w:color="auto"/>
            <w:right w:val="none" w:sz="0" w:space="0" w:color="auto"/>
          </w:divBdr>
          <w:divsChild>
            <w:div w:id="1117866553">
              <w:marLeft w:val="0"/>
              <w:marRight w:val="0"/>
              <w:marTop w:val="0"/>
              <w:marBottom w:val="0"/>
              <w:divBdr>
                <w:top w:val="none" w:sz="0" w:space="0" w:color="auto"/>
                <w:left w:val="none" w:sz="0" w:space="0" w:color="auto"/>
                <w:bottom w:val="none" w:sz="0" w:space="0" w:color="auto"/>
                <w:right w:val="none" w:sz="0" w:space="0" w:color="auto"/>
              </w:divBdr>
            </w:div>
          </w:divsChild>
        </w:div>
        <w:div w:id="287316881">
          <w:marLeft w:val="0"/>
          <w:marRight w:val="0"/>
          <w:marTop w:val="0"/>
          <w:marBottom w:val="0"/>
          <w:divBdr>
            <w:top w:val="none" w:sz="0" w:space="0" w:color="auto"/>
            <w:left w:val="none" w:sz="0" w:space="0" w:color="auto"/>
            <w:bottom w:val="none" w:sz="0" w:space="0" w:color="auto"/>
            <w:right w:val="none" w:sz="0" w:space="0" w:color="auto"/>
          </w:divBdr>
          <w:divsChild>
            <w:div w:id="326639488">
              <w:marLeft w:val="0"/>
              <w:marRight w:val="0"/>
              <w:marTop w:val="0"/>
              <w:marBottom w:val="0"/>
              <w:divBdr>
                <w:top w:val="none" w:sz="0" w:space="0" w:color="auto"/>
                <w:left w:val="none" w:sz="0" w:space="0" w:color="auto"/>
                <w:bottom w:val="none" w:sz="0" w:space="0" w:color="auto"/>
                <w:right w:val="none" w:sz="0" w:space="0" w:color="auto"/>
              </w:divBdr>
            </w:div>
            <w:div w:id="911626349">
              <w:marLeft w:val="0"/>
              <w:marRight w:val="0"/>
              <w:marTop w:val="0"/>
              <w:marBottom w:val="0"/>
              <w:divBdr>
                <w:top w:val="none" w:sz="0" w:space="0" w:color="auto"/>
                <w:left w:val="none" w:sz="0" w:space="0" w:color="auto"/>
                <w:bottom w:val="none" w:sz="0" w:space="0" w:color="auto"/>
                <w:right w:val="none" w:sz="0" w:space="0" w:color="auto"/>
              </w:divBdr>
            </w:div>
          </w:divsChild>
        </w:div>
        <w:div w:id="324012223">
          <w:marLeft w:val="0"/>
          <w:marRight w:val="0"/>
          <w:marTop w:val="0"/>
          <w:marBottom w:val="0"/>
          <w:divBdr>
            <w:top w:val="none" w:sz="0" w:space="0" w:color="auto"/>
            <w:left w:val="none" w:sz="0" w:space="0" w:color="auto"/>
            <w:bottom w:val="none" w:sz="0" w:space="0" w:color="auto"/>
            <w:right w:val="none" w:sz="0" w:space="0" w:color="auto"/>
          </w:divBdr>
          <w:divsChild>
            <w:div w:id="683434135">
              <w:marLeft w:val="0"/>
              <w:marRight w:val="0"/>
              <w:marTop w:val="0"/>
              <w:marBottom w:val="0"/>
              <w:divBdr>
                <w:top w:val="none" w:sz="0" w:space="0" w:color="auto"/>
                <w:left w:val="none" w:sz="0" w:space="0" w:color="auto"/>
                <w:bottom w:val="none" w:sz="0" w:space="0" w:color="auto"/>
                <w:right w:val="none" w:sz="0" w:space="0" w:color="auto"/>
              </w:divBdr>
            </w:div>
          </w:divsChild>
        </w:div>
        <w:div w:id="382561094">
          <w:marLeft w:val="0"/>
          <w:marRight w:val="0"/>
          <w:marTop w:val="0"/>
          <w:marBottom w:val="0"/>
          <w:divBdr>
            <w:top w:val="none" w:sz="0" w:space="0" w:color="auto"/>
            <w:left w:val="none" w:sz="0" w:space="0" w:color="auto"/>
            <w:bottom w:val="none" w:sz="0" w:space="0" w:color="auto"/>
            <w:right w:val="none" w:sz="0" w:space="0" w:color="auto"/>
          </w:divBdr>
          <w:divsChild>
            <w:div w:id="1679456025">
              <w:marLeft w:val="0"/>
              <w:marRight w:val="0"/>
              <w:marTop w:val="0"/>
              <w:marBottom w:val="0"/>
              <w:divBdr>
                <w:top w:val="none" w:sz="0" w:space="0" w:color="auto"/>
                <w:left w:val="none" w:sz="0" w:space="0" w:color="auto"/>
                <w:bottom w:val="none" w:sz="0" w:space="0" w:color="auto"/>
                <w:right w:val="none" w:sz="0" w:space="0" w:color="auto"/>
              </w:divBdr>
            </w:div>
          </w:divsChild>
        </w:div>
        <w:div w:id="414597139">
          <w:marLeft w:val="0"/>
          <w:marRight w:val="0"/>
          <w:marTop w:val="0"/>
          <w:marBottom w:val="0"/>
          <w:divBdr>
            <w:top w:val="none" w:sz="0" w:space="0" w:color="auto"/>
            <w:left w:val="none" w:sz="0" w:space="0" w:color="auto"/>
            <w:bottom w:val="none" w:sz="0" w:space="0" w:color="auto"/>
            <w:right w:val="none" w:sz="0" w:space="0" w:color="auto"/>
          </w:divBdr>
          <w:divsChild>
            <w:div w:id="1070737308">
              <w:marLeft w:val="0"/>
              <w:marRight w:val="0"/>
              <w:marTop w:val="0"/>
              <w:marBottom w:val="0"/>
              <w:divBdr>
                <w:top w:val="none" w:sz="0" w:space="0" w:color="auto"/>
                <w:left w:val="none" w:sz="0" w:space="0" w:color="auto"/>
                <w:bottom w:val="none" w:sz="0" w:space="0" w:color="auto"/>
                <w:right w:val="none" w:sz="0" w:space="0" w:color="auto"/>
              </w:divBdr>
            </w:div>
          </w:divsChild>
        </w:div>
        <w:div w:id="431778129">
          <w:marLeft w:val="0"/>
          <w:marRight w:val="0"/>
          <w:marTop w:val="0"/>
          <w:marBottom w:val="0"/>
          <w:divBdr>
            <w:top w:val="none" w:sz="0" w:space="0" w:color="auto"/>
            <w:left w:val="none" w:sz="0" w:space="0" w:color="auto"/>
            <w:bottom w:val="none" w:sz="0" w:space="0" w:color="auto"/>
            <w:right w:val="none" w:sz="0" w:space="0" w:color="auto"/>
          </w:divBdr>
          <w:divsChild>
            <w:div w:id="413478816">
              <w:marLeft w:val="0"/>
              <w:marRight w:val="0"/>
              <w:marTop w:val="0"/>
              <w:marBottom w:val="0"/>
              <w:divBdr>
                <w:top w:val="none" w:sz="0" w:space="0" w:color="auto"/>
                <w:left w:val="none" w:sz="0" w:space="0" w:color="auto"/>
                <w:bottom w:val="none" w:sz="0" w:space="0" w:color="auto"/>
                <w:right w:val="none" w:sz="0" w:space="0" w:color="auto"/>
              </w:divBdr>
            </w:div>
          </w:divsChild>
        </w:div>
        <w:div w:id="437213812">
          <w:marLeft w:val="0"/>
          <w:marRight w:val="0"/>
          <w:marTop w:val="0"/>
          <w:marBottom w:val="0"/>
          <w:divBdr>
            <w:top w:val="none" w:sz="0" w:space="0" w:color="auto"/>
            <w:left w:val="none" w:sz="0" w:space="0" w:color="auto"/>
            <w:bottom w:val="none" w:sz="0" w:space="0" w:color="auto"/>
            <w:right w:val="none" w:sz="0" w:space="0" w:color="auto"/>
          </w:divBdr>
          <w:divsChild>
            <w:div w:id="1924607937">
              <w:marLeft w:val="0"/>
              <w:marRight w:val="0"/>
              <w:marTop w:val="0"/>
              <w:marBottom w:val="0"/>
              <w:divBdr>
                <w:top w:val="none" w:sz="0" w:space="0" w:color="auto"/>
                <w:left w:val="none" w:sz="0" w:space="0" w:color="auto"/>
                <w:bottom w:val="none" w:sz="0" w:space="0" w:color="auto"/>
                <w:right w:val="none" w:sz="0" w:space="0" w:color="auto"/>
              </w:divBdr>
            </w:div>
          </w:divsChild>
        </w:div>
        <w:div w:id="634139314">
          <w:marLeft w:val="0"/>
          <w:marRight w:val="0"/>
          <w:marTop w:val="0"/>
          <w:marBottom w:val="0"/>
          <w:divBdr>
            <w:top w:val="none" w:sz="0" w:space="0" w:color="auto"/>
            <w:left w:val="none" w:sz="0" w:space="0" w:color="auto"/>
            <w:bottom w:val="none" w:sz="0" w:space="0" w:color="auto"/>
            <w:right w:val="none" w:sz="0" w:space="0" w:color="auto"/>
          </w:divBdr>
          <w:divsChild>
            <w:div w:id="413280904">
              <w:marLeft w:val="0"/>
              <w:marRight w:val="0"/>
              <w:marTop w:val="0"/>
              <w:marBottom w:val="0"/>
              <w:divBdr>
                <w:top w:val="none" w:sz="0" w:space="0" w:color="auto"/>
                <w:left w:val="none" w:sz="0" w:space="0" w:color="auto"/>
                <w:bottom w:val="none" w:sz="0" w:space="0" w:color="auto"/>
                <w:right w:val="none" w:sz="0" w:space="0" w:color="auto"/>
              </w:divBdr>
            </w:div>
          </w:divsChild>
        </w:div>
        <w:div w:id="667563597">
          <w:marLeft w:val="0"/>
          <w:marRight w:val="0"/>
          <w:marTop w:val="0"/>
          <w:marBottom w:val="0"/>
          <w:divBdr>
            <w:top w:val="none" w:sz="0" w:space="0" w:color="auto"/>
            <w:left w:val="none" w:sz="0" w:space="0" w:color="auto"/>
            <w:bottom w:val="none" w:sz="0" w:space="0" w:color="auto"/>
            <w:right w:val="none" w:sz="0" w:space="0" w:color="auto"/>
          </w:divBdr>
          <w:divsChild>
            <w:div w:id="682173257">
              <w:marLeft w:val="0"/>
              <w:marRight w:val="0"/>
              <w:marTop w:val="0"/>
              <w:marBottom w:val="0"/>
              <w:divBdr>
                <w:top w:val="none" w:sz="0" w:space="0" w:color="auto"/>
                <w:left w:val="none" w:sz="0" w:space="0" w:color="auto"/>
                <w:bottom w:val="none" w:sz="0" w:space="0" w:color="auto"/>
                <w:right w:val="none" w:sz="0" w:space="0" w:color="auto"/>
              </w:divBdr>
            </w:div>
          </w:divsChild>
        </w:div>
        <w:div w:id="798451592">
          <w:marLeft w:val="0"/>
          <w:marRight w:val="0"/>
          <w:marTop w:val="0"/>
          <w:marBottom w:val="0"/>
          <w:divBdr>
            <w:top w:val="none" w:sz="0" w:space="0" w:color="auto"/>
            <w:left w:val="none" w:sz="0" w:space="0" w:color="auto"/>
            <w:bottom w:val="none" w:sz="0" w:space="0" w:color="auto"/>
            <w:right w:val="none" w:sz="0" w:space="0" w:color="auto"/>
          </w:divBdr>
          <w:divsChild>
            <w:div w:id="340008656">
              <w:marLeft w:val="0"/>
              <w:marRight w:val="0"/>
              <w:marTop w:val="0"/>
              <w:marBottom w:val="0"/>
              <w:divBdr>
                <w:top w:val="none" w:sz="0" w:space="0" w:color="auto"/>
                <w:left w:val="none" w:sz="0" w:space="0" w:color="auto"/>
                <w:bottom w:val="none" w:sz="0" w:space="0" w:color="auto"/>
                <w:right w:val="none" w:sz="0" w:space="0" w:color="auto"/>
              </w:divBdr>
            </w:div>
          </w:divsChild>
        </w:div>
        <w:div w:id="811094090">
          <w:marLeft w:val="0"/>
          <w:marRight w:val="0"/>
          <w:marTop w:val="0"/>
          <w:marBottom w:val="0"/>
          <w:divBdr>
            <w:top w:val="none" w:sz="0" w:space="0" w:color="auto"/>
            <w:left w:val="none" w:sz="0" w:space="0" w:color="auto"/>
            <w:bottom w:val="none" w:sz="0" w:space="0" w:color="auto"/>
            <w:right w:val="none" w:sz="0" w:space="0" w:color="auto"/>
          </w:divBdr>
          <w:divsChild>
            <w:div w:id="542600361">
              <w:marLeft w:val="0"/>
              <w:marRight w:val="0"/>
              <w:marTop w:val="0"/>
              <w:marBottom w:val="0"/>
              <w:divBdr>
                <w:top w:val="none" w:sz="0" w:space="0" w:color="auto"/>
                <w:left w:val="none" w:sz="0" w:space="0" w:color="auto"/>
                <w:bottom w:val="none" w:sz="0" w:space="0" w:color="auto"/>
                <w:right w:val="none" w:sz="0" w:space="0" w:color="auto"/>
              </w:divBdr>
            </w:div>
          </w:divsChild>
        </w:div>
        <w:div w:id="843395253">
          <w:marLeft w:val="0"/>
          <w:marRight w:val="0"/>
          <w:marTop w:val="0"/>
          <w:marBottom w:val="0"/>
          <w:divBdr>
            <w:top w:val="none" w:sz="0" w:space="0" w:color="auto"/>
            <w:left w:val="none" w:sz="0" w:space="0" w:color="auto"/>
            <w:bottom w:val="none" w:sz="0" w:space="0" w:color="auto"/>
            <w:right w:val="none" w:sz="0" w:space="0" w:color="auto"/>
          </w:divBdr>
          <w:divsChild>
            <w:div w:id="677315409">
              <w:marLeft w:val="0"/>
              <w:marRight w:val="0"/>
              <w:marTop w:val="0"/>
              <w:marBottom w:val="0"/>
              <w:divBdr>
                <w:top w:val="none" w:sz="0" w:space="0" w:color="auto"/>
                <w:left w:val="none" w:sz="0" w:space="0" w:color="auto"/>
                <w:bottom w:val="none" w:sz="0" w:space="0" w:color="auto"/>
                <w:right w:val="none" w:sz="0" w:space="0" w:color="auto"/>
              </w:divBdr>
            </w:div>
          </w:divsChild>
        </w:div>
        <w:div w:id="939873751">
          <w:marLeft w:val="0"/>
          <w:marRight w:val="0"/>
          <w:marTop w:val="0"/>
          <w:marBottom w:val="0"/>
          <w:divBdr>
            <w:top w:val="none" w:sz="0" w:space="0" w:color="auto"/>
            <w:left w:val="none" w:sz="0" w:space="0" w:color="auto"/>
            <w:bottom w:val="none" w:sz="0" w:space="0" w:color="auto"/>
            <w:right w:val="none" w:sz="0" w:space="0" w:color="auto"/>
          </w:divBdr>
          <w:divsChild>
            <w:div w:id="554512222">
              <w:marLeft w:val="0"/>
              <w:marRight w:val="0"/>
              <w:marTop w:val="0"/>
              <w:marBottom w:val="0"/>
              <w:divBdr>
                <w:top w:val="none" w:sz="0" w:space="0" w:color="auto"/>
                <w:left w:val="none" w:sz="0" w:space="0" w:color="auto"/>
                <w:bottom w:val="none" w:sz="0" w:space="0" w:color="auto"/>
                <w:right w:val="none" w:sz="0" w:space="0" w:color="auto"/>
              </w:divBdr>
            </w:div>
          </w:divsChild>
        </w:div>
        <w:div w:id="1091319996">
          <w:marLeft w:val="0"/>
          <w:marRight w:val="0"/>
          <w:marTop w:val="0"/>
          <w:marBottom w:val="0"/>
          <w:divBdr>
            <w:top w:val="none" w:sz="0" w:space="0" w:color="auto"/>
            <w:left w:val="none" w:sz="0" w:space="0" w:color="auto"/>
            <w:bottom w:val="none" w:sz="0" w:space="0" w:color="auto"/>
            <w:right w:val="none" w:sz="0" w:space="0" w:color="auto"/>
          </w:divBdr>
          <w:divsChild>
            <w:div w:id="1971393931">
              <w:marLeft w:val="0"/>
              <w:marRight w:val="0"/>
              <w:marTop w:val="0"/>
              <w:marBottom w:val="0"/>
              <w:divBdr>
                <w:top w:val="none" w:sz="0" w:space="0" w:color="auto"/>
                <w:left w:val="none" w:sz="0" w:space="0" w:color="auto"/>
                <w:bottom w:val="none" w:sz="0" w:space="0" w:color="auto"/>
                <w:right w:val="none" w:sz="0" w:space="0" w:color="auto"/>
              </w:divBdr>
            </w:div>
            <w:div w:id="2036421306">
              <w:marLeft w:val="0"/>
              <w:marRight w:val="0"/>
              <w:marTop w:val="0"/>
              <w:marBottom w:val="0"/>
              <w:divBdr>
                <w:top w:val="none" w:sz="0" w:space="0" w:color="auto"/>
                <w:left w:val="none" w:sz="0" w:space="0" w:color="auto"/>
                <w:bottom w:val="none" w:sz="0" w:space="0" w:color="auto"/>
                <w:right w:val="none" w:sz="0" w:space="0" w:color="auto"/>
              </w:divBdr>
            </w:div>
          </w:divsChild>
        </w:div>
        <w:div w:id="1206672132">
          <w:marLeft w:val="0"/>
          <w:marRight w:val="0"/>
          <w:marTop w:val="0"/>
          <w:marBottom w:val="0"/>
          <w:divBdr>
            <w:top w:val="none" w:sz="0" w:space="0" w:color="auto"/>
            <w:left w:val="none" w:sz="0" w:space="0" w:color="auto"/>
            <w:bottom w:val="none" w:sz="0" w:space="0" w:color="auto"/>
            <w:right w:val="none" w:sz="0" w:space="0" w:color="auto"/>
          </w:divBdr>
          <w:divsChild>
            <w:div w:id="1926525545">
              <w:marLeft w:val="0"/>
              <w:marRight w:val="0"/>
              <w:marTop w:val="0"/>
              <w:marBottom w:val="0"/>
              <w:divBdr>
                <w:top w:val="none" w:sz="0" w:space="0" w:color="auto"/>
                <w:left w:val="none" w:sz="0" w:space="0" w:color="auto"/>
                <w:bottom w:val="none" w:sz="0" w:space="0" w:color="auto"/>
                <w:right w:val="none" w:sz="0" w:space="0" w:color="auto"/>
              </w:divBdr>
            </w:div>
          </w:divsChild>
        </w:div>
        <w:div w:id="1345983345">
          <w:marLeft w:val="0"/>
          <w:marRight w:val="0"/>
          <w:marTop w:val="0"/>
          <w:marBottom w:val="0"/>
          <w:divBdr>
            <w:top w:val="none" w:sz="0" w:space="0" w:color="auto"/>
            <w:left w:val="none" w:sz="0" w:space="0" w:color="auto"/>
            <w:bottom w:val="none" w:sz="0" w:space="0" w:color="auto"/>
            <w:right w:val="none" w:sz="0" w:space="0" w:color="auto"/>
          </w:divBdr>
          <w:divsChild>
            <w:div w:id="952708832">
              <w:marLeft w:val="0"/>
              <w:marRight w:val="0"/>
              <w:marTop w:val="0"/>
              <w:marBottom w:val="0"/>
              <w:divBdr>
                <w:top w:val="none" w:sz="0" w:space="0" w:color="auto"/>
                <w:left w:val="none" w:sz="0" w:space="0" w:color="auto"/>
                <w:bottom w:val="none" w:sz="0" w:space="0" w:color="auto"/>
                <w:right w:val="none" w:sz="0" w:space="0" w:color="auto"/>
              </w:divBdr>
            </w:div>
          </w:divsChild>
        </w:div>
        <w:div w:id="1362634629">
          <w:marLeft w:val="0"/>
          <w:marRight w:val="0"/>
          <w:marTop w:val="0"/>
          <w:marBottom w:val="0"/>
          <w:divBdr>
            <w:top w:val="none" w:sz="0" w:space="0" w:color="auto"/>
            <w:left w:val="none" w:sz="0" w:space="0" w:color="auto"/>
            <w:bottom w:val="none" w:sz="0" w:space="0" w:color="auto"/>
            <w:right w:val="none" w:sz="0" w:space="0" w:color="auto"/>
          </w:divBdr>
          <w:divsChild>
            <w:div w:id="614168126">
              <w:marLeft w:val="0"/>
              <w:marRight w:val="0"/>
              <w:marTop w:val="0"/>
              <w:marBottom w:val="0"/>
              <w:divBdr>
                <w:top w:val="none" w:sz="0" w:space="0" w:color="auto"/>
                <w:left w:val="none" w:sz="0" w:space="0" w:color="auto"/>
                <w:bottom w:val="none" w:sz="0" w:space="0" w:color="auto"/>
                <w:right w:val="none" w:sz="0" w:space="0" w:color="auto"/>
              </w:divBdr>
            </w:div>
          </w:divsChild>
        </w:div>
        <w:div w:id="1394502451">
          <w:marLeft w:val="0"/>
          <w:marRight w:val="0"/>
          <w:marTop w:val="0"/>
          <w:marBottom w:val="0"/>
          <w:divBdr>
            <w:top w:val="none" w:sz="0" w:space="0" w:color="auto"/>
            <w:left w:val="none" w:sz="0" w:space="0" w:color="auto"/>
            <w:bottom w:val="none" w:sz="0" w:space="0" w:color="auto"/>
            <w:right w:val="none" w:sz="0" w:space="0" w:color="auto"/>
          </w:divBdr>
          <w:divsChild>
            <w:div w:id="1932154778">
              <w:marLeft w:val="0"/>
              <w:marRight w:val="0"/>
              <w:marTop w:val="0"/>
              <w:marBottom w:val="0"/>
              <w:divBdr>
                <w:top w:val="none" w:sz="0" w:space="0" w:color="auto"/>
                <w:left w:val="none" w:sz="0" w:space="0" w:color="auto"/>
                <w:bottom w:val="none" w:sz="0" w:space="0" w:color="auto"/>
                <w:right w:val="none" w:sz="0" w:space="0" w:color="auto"/>
              </w:divBdr>
            </w:div>
          </w:divsChild>
        </w:div>
        <w:div w:id="1431853434">
          <w:marLeft w:val="0"/>
          <w:marRight w:val="0"/>
          <w:marTop w:val="0"/>
          <w:marBottom w:val="0"/>
          <w:divBdr>
            <w:top w:val="none" w:sz="0" w:space="0" w:color="auto"/>
            <w:left w:val="none" w:sz="0" w:space="0" w:color="auto"/>
            <w:bottom w:val="none" w:sz="0" w:space="0" w:color="auto"/>
            <w:right w:val="none" w:sz="0" w:space="0" w:color="auto"/>
          </w:divBdr>
          <w:divsChild>
            <w:div w:id="54816244">
              <w:marLeft w:val="0"/>
              <w:marRight w:val="0"/>
              <w:marTop w:val="0"/>
              <w:marBottom w:val="0"/>
              <w:divBdr>
                <w:top w:val="none" w:sz="0" w:space="0" w:color="auto"/>
                <w:left w:val="none" w:sz="0" w:space="0" w:color="auto"/>
                <w:bottom w:val="none" w:sz="0" w:space="0" w:color="auto"/>
                <w:right w:val="none" w:sz="0" w:space="0" w:color="auto"/>
              </w:divBdr>
            </w:div>
          </w:divsChild>
        </w:div>
        <w:div w:id="1549026074">
          <w:marLeft w:val="0"/>
          <w:marRight w:val="0"/>
          <w:marTop w:val="0"/>
          <w:marBottom w:val="0"/>
          <w:divBdr>
            <w:top w:val="none" w:sz="0" w:space="0" w:color="auto"/>
            <w:left w:val="none" w:sz="0" w:space="0" w:color="auto"/>
            <w:bottom w:val="none" w:sz="0" w:space="0" w:color="auto"/>
            <w:right w:val="none" w:sz="0" w:space="0" w:color="auto"/>
          </w:divBdr>
          <w:divsChild>
            <w:div w:id="883058961">
              <w:marLeft w:val="0"/>
              <w:marRight w:val="0"/>
              <w:marTop w:val="0"/>
              <w:marBottom w:val="0"/>
              <w:divBdr>
                <w:top w:val="none" w:sz="0" w:space="0" w:color="auto"/>
                <w:left w:val="none" w:sz="0" w:space="0" w:color="auto"/>
                <w:bottom w:val="none" w:sz="0" w:space="0" w:color="auto"/>
                <w:right w:val="none" w:sz="0" w:space="0" w:color="auto"/>
              </w:divBdr>
            </w:div>
          </w:divsChild>
        </w:div>
        <w:div w:id="1562672693">
          <w:marLeft w:val="0"/>
          <w:marRight w:val="0"/>
          <w:marTop w:val="0"/>
          <w:marBottom w:val="0"/>
          <w:divBdr>
            <w:top w:val="none" w:sz="0" w:space="0" w:color="auto"/>
            <w:left w:val="none" w:sz="0" w:space="0" w:color="auto"/>
            <w:bottom w:val="none" w:sz="0" w:space="0" w:color="auto"/>
            <w:right w:val="none" w:sz="0" w:space="0" w:color="auto"/>
          </w:divBdr>
          <w:divsChild>
            <w:div w:id="575672137">
              <w:marLeft w:val="0"/>
              <w:marRight w:val="0"/>
              <w:marTop w:val="0"/>
              <w:marBottom w:val="0"/>
              <w:divBdr>
                <w:top w:val="none" w:sz="0" w:space="0" w:color="auto"/>
                <w:left w:val="none" w:sz="0" w:space="0" w:color="auto"/>
                <w:bottom w:val="none" w:sz="0" w:space="0" w:color="auto"/>
                <w:right w:val="none" w:sz="0" w:space="0" w:color="auto"/>
              </w:divBdr>
            </w:div>
            <w:div w:id="1354267304">
              <w:marLeft w:val="0"/>
              <w:marRight w:val="0"/>
              <w:marTop w:val="0"/>
              <w:marBottom w:val="0"/>
              <w:divBdr>
                <w:top w:val="none" w:sz="0" w:space="0" w:color="auto"/>
                <w:left w:val="none" w:sz="0" w:space="0" w:color="auto"/>
                <w:bottom w:val="none" w:sz="0" w:space="0" w:color="auto"/>
                <w:right w:val="none" w:sz="0" w:space="0" w:color="auto"/>
              </w:divBdr>
            </w:div>
          </w:divsChild>
        </w:div>
        <w:div w:id="1687750202">
          <w:marLeft w:val="0"/>
          <w:marRight w:val="0"/>
          <w:marTop w:val="0"/>
          <w:marBottom w:val="0"/>
          <w:divBdr>
            <w:top w:val="none" w:sz="0" w:space="0" w:color="auto"/>
            <w:left w:val="none" w:sz="0" w:space="0" w:color="auto"/>
            <w:bottom w:val="none" w:sz="0" w:space="0" w:color="auto"/>
            <w:right w:val="none" w:sz="0" w:space="0" w:color="auto"/>
          </w:divBdr>
          <w:divsChild>
            <w:div w:id="899364120">
              <w:marLeft w:val="0"/>
              <w:marRight w:val="0"/>
              <w:marTop w:val="0"/>
              <w:marBottom w:val="0"/>
              <w:divBdr>
                <w:top w:val="none" w:sz="0" w:space="0" w:color="auto"/>
                <w:left w:val="none" w:sz="0" w:space="0" w:color="auto"/>
                <w:bottom w:val="none" w:sz="0" w:space="0" w:color="auto"/>
                <w:right w:val="none" w:sz="0" w:space="0" w:color="auto"/>
              </w:divBdr>
            </w:div>
          </w:divsChild>
        </w:div>
        <w:div w:id="1829251021">
          <w:marLeft w:val="0"/>
          <w:marRight w:val="0"/>
          <w:marTop w:val="0"/>
          <w:marBottom w:val="0"/>
          <w:divBdr>
            <w:top w:val="none" w:sz="0" w:space="0" w:color="auto"/>
            <w:left w:val="none" w:sz="0" w:space="0" w:color="auto"/>
            <w:bottom w:val="none" w:sz="0" w:space="0" w:color="auto"/>
            <w:right w:val="none" w:sz="0" w:space="0" w:color="auto"/>
          </w:divBdr>
          <w:divsChild>
            <w:div w:id="450393833">
              <w:marLeft w:val="0"/>
              <w:marRight w:val="0"/>
              <w:marTop w:val="0"/>
              <w:marBottom w:val="0"/>
              <w:divBdr>
                <w:top w:val="none" w:sz="0" w:space="0" w:color="auto"/>
                <w:left w:val="none" w:sz="0" w:space="0" w:color="auto"/>
                <w:bottom w:val="none" w:sz="0" w:space="0" w:color="auto"/>
                <w:right w:val="none" w:sz="0" w:space="0" w:color="auto"/>
              </w:divBdr>
            </w:div>
          </w:divsChild>
        </w:div>
        <w:div w:id="1953780694">
          <w:marLeft w:val="0"/>
          <w:marRight w:val="0"/>
          <w:marTop w:val="0"/>
          <w:marBottom w:val="0"/>
          <w:divBdr>
            <w:top w:val="none" w:sz="0" w:space="0" w:color="auto"/>
            <w:left w:val="none" w:sz="0" w:space="0" w:color="auto"/>
            <w:bottom w:val="none" w:sz="0" w:space="0" w:color="auto"/>
            <w:right w:val="none" w:sz="0" w:space="0" w:color="auto"/>
          </w:divBdr>
          <w:divsChild>
            <w:div w:id="1188786320">
              <w:marLeft w:val="0"/>
              <w:marRight w:val="0"/>
              <w:marTop w:val="0"/>
              <w:marBottom w:val="0"/>
              <w:divBdr>
                <w:top w:val="none" w:sz="0" w:space="0" w:color="auto"/>
                <w:left w:val="none" w:sz="0" w:space="0" w:color="auto"/>
                <w:bottom w:val="none" w:sz="0" w:space="0" w:color="auto"/>
                <w:right w:val="none" w:sz="0" w:space="0" w:color="auto"/>
              </w:divBdr>
            </w:div>
            <w:div w:id="1198810201">
              <w:marLeft w:val="0"/>
              <w:marRight w:val="0"/>
              <w:marTop w:val="0"/>
              <w:marBottom w:val="0"/>
              <w:divBdr>
                <w:top w:val="none" w:sz="0" w:space="0" w:color="auto"/>
                <w:left w:val="none" w:sz="0" w:space="0" w:color="auto"/>
                <w:bottom w:val="none" w:sz="0" w:space="0" w:color="auto"/>
                <w:right w:val="none" w:sz="0" w:space="0" w:color="auto"/>
              </w:divBdr>
            </w:div>
          </w:divsChild>
        </w:div>
        <w:div w:id="1968856729">
          <w:marLeft w:val="0"/>
          <w:marRight w:val="0"/>
          <w:marTop w:val="0"/>
          <w:marBottom w:val="0"/>
          <w:divBdr>
            <w:top w:val="none" w:sz="0" w:space="0" w:color="auto"/>
            <w:left w:val="none" w:sz="0" w:space="0" w:color="auto"/>
            <w:bottom w:val="none" w:sz="0" w:space="0" w:color="auto"/>
            <w:right w:val="none" w:sz="0" w:space="0" w:color="auto"/>
          </w:divBdr>
          <w:divsChild>
            <w:div w:id="1184398007">
              <w:marLeft w:val="0"/>
              <w:marRight w:val="0"/>
              <w:marTop w:val="0"/>
              <w:marBottom w:val="0"/>
              <w:divBdr>
                <w:top w:val="none" w:sz="0" w:space="0" w:color="auto"/>
                <w:left w:val="none" w:sz="0" w:space="0" w:color="auto"/>
                <w:bottom w:val="none" w:sz="0" w:space="0" w:color="auto"/>
                <w:right w:val="none" w:sz="0" w:space="0" w:color="auto"/>
              </w:divBdr>
            </w:div>
          </w:divsChild>
        </w:div>
        <w:div w:id="1971588161">
          <w:marLeft w:val="0"/>
          <w:marRight w:val="0"/>
          <w:marTop w:val="0"/>
          <w:marBottom w:val="0"/>
          <w:divBdr>
            <w:top w:val="none" w:sz="0" w:space="0" w:color="auto"/>
            <w:left w:val="none" w:sz="0" w:space="0" w:color="auto"/>
            <w:bottom w:val="none" w:sz="0" w:space="0" w:color="auto"/>
            <w:right w:val="none" w:sz="0" w:space="0" w:color="auto"/>
          </w:divBdr>
          <w:divsChild>
            <w:div w:id="1638335181">
              <w:marLeft w:val="0"/>
              <w:marRight w:val="0"/>
              <w:marTop w:val="0"/>
              <w:marBottom w:val="0"/>
              <w:divBdr>
                <w:top w:val="none" w:sz="0" w:space="0" w:color="auto"/>
                <w:left w:val="none" w:sz="0" w:space="0" w:color="auto"/>
                <w:bottom w:val="none" w:sz="0" w:space="0" w:color="auto"/>
                <w:right w:val="none" w:sz="0" w:space="0" w:color="auto"/>
              </w:divBdr>
            </w:div>
          </w:divsChild>
        </w:div>
        <w:div w:id="2028293177">
          <w:marLeft w:val="0"/>
          <w:marRight w:val="0"/>
          <w:marTop w:val="0"/>
          <w:marBottom w:val="0"/>
          <w:divBdr>
            <w:top w:val="none" w:sz="0" w:space="0" w:color="auto"/>
            <w:left w:val="none" w:sz="0" w:space="0" w:color="auto"/>
            <w:bottom w:val="none" w:sz="0" w:space="0" w:color="auto"/>
            <w:right w:val="none" w:sz="0" w:space="0" w:color="auto"/>
          </w:divBdr>
          <w:divsChild>
            <w:div w:id="1787381761">
              <w:marLeft w:val="0"/>
              <w:marRight w:val="0"/>
              <w:marTop w:val="0"/>
              <w:marBottom w:val="0"/>
              <w:divBdr>
                <w:top w:val="none" w:sz="0" w:space="0" w:color="auto"/>
                <w:left w:val="none" w:sz="0" w:space="0" w:color="auto"/>
                <w:bottom w:val="none" w:sz="0" w:space="0" w:color="auto"/>
                <w:right w:val="none" w:sz="0" w:space="0" w:color="auto"/>
              </w:divBdr>
            </w:div>
          </w:divsChild>
        </w:div>
        <w:div w:id="2035495357">
          <w:marLeft w:val="0"/>
          <w:marRight w:val="0"/>
          <w:marTop w:val="0"/>
          <w:marBottom w:val="0"/>
          <w:divBdr>
            <w:top w:val="none" w:sz="0" w:space="0" w:color="auto"/>
            <w:left w:val="none" w:sz="0" w:space="0" w:color="auto"/>
            <w:bottom w:val="none" w:sz="0" w:space="0" w:color="auto"/>
            <w:right w:val="none" w:sz="0" w:space="0" w:color="auto"/>
          </w:divBdr>
          <w:divsChild>
            <w:div w:id="1444768341">
              <w:marLeft w:val="0"/>
              <w:marRight w:val="0"/>
              <w:marTop w:val="0"/>
              <w:marBottom w:val="0"/>
              <w:divBdr>
                <w:top w:val="none" w:sz="0" w:space="0" w:color="auto"/>
                <w:left w:val="none" w:sz="0" w:space="0" w:color="auto"/>
                <w:bottom w:val="none" w:sz="0" w:space="0" w:color="auto"/>
                <w:right w:val="none" w:sz="0" w:space="0" w:color="auto"/>
              </w:divBdr>
            </w:div>
          </w:divsChild>
        </w:div>
        <w:div w:id="2079741061">
          <w:marLeft w:val="0"/>
          <w:marRight w:val="0"/>
          <w:marTop w:val="0"/>
          <w:marBottom w:val="0"/>
          <w:divBdr>
            <w:top w:val="none" w:sz="0" w:space="0" w:color="auto"/>
            <w:left w:val="none" w:sz="0" w:space="0" w:color="auto"/>
            <w:bottom w:val="none" w:sz="0" w:space="0" w:color="auto"/>
            <w:right w:val="none" w:sz="0" w:space="0" w:color="auto"/>
          </w:divBdr>
          <w:divsChild>
            <w:div w:id="977341421">
              <w:marLeft w:val="0"/>
              <w:marRight w:val="0"/>
              <w:marTop w:val="0"/>
              <w:marBottom w:val="0"/>
              <w:divBdr>
                <w:top w:val="none" w:sz="0" w:space="0" w:color="auto"/>
                <w:left w:val="none" w:sz="0" w:space="0" w:color="auto"/>
                <w:bottom w:val="none" w:sz="0" w:space="0" w:color="auto"/>
                <w:right w:val="none" w:sz="0" w:space="0" w:color="auto"/>
              </w:divBdr>
            </w:div>
            <w:div w:id="1826242356">
              <w:marLeft w:val="0"/>
              <w:marRight w:val="0"/>
              <w:marTop w:val="0"/>
              <w:marBottom w:val="0"/>
              <w:divBdr>
                <w:top w:val="none" w:sz="0" w:space="0" w:color="auto"/>
                <w:left w:val="none" w:sz="0" w:space="0" w:color="auto"/>
                <w:bottom w:val="none" w:sz="0" w:space="0" w:color="auto"/>
                <w:right w:val="none" w:sz="0" w:space="0" w:color="auto"/>
              </w:divBdr>
            </w:div>
          </w:divsChild>
        </w:div>
        <w:div w:id="2125032629">
          <w:marLeft w:val="0"/>
          <w:marRight w:val="0"/>
          <w:marTop w:val="0"/>
          <w:marBottom w:val="0"/>
          <w:divBdr>
            <w:top w:val="none" w:sz="0" w:space="0" w:color="auto"/>
            <w:left w:val="none" w:sz="0" w:space="0" w:color="auto"/>
            <w:bottom w:val="none" w:sz="0" w:space="0" w:color="auto"/>
            <w:right w:val="none" w:sz="0" w:space="0" w:color="auto"/>
          </w:divBdr>
          <w:divsChild>
            <w:div w:id="44932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206383">
      <w:bodyDiv w:val="1"/>
      <w:marLeft w:val="0"/>
      <w:marRight w:val="0"/>
      <w:marTop w:val="0"/>
      <w:marBottom w:val="0"/>
      <w:divBdr>
        <w:top w:val="none" w:sz="0" w:space="0" w:color="auto"/>
        <w:left w:val="none" w:sz="0" w:space="0" w:color="auto"/>
        <w:bottom w:val="none" w:sz="0" w:space="0" w:color="auto"/>
        <w:right w:val="none" w:sz="0" w:space="0" w:color="auto"/>
      </w:divBdr>
    </w:div>
    <w:div w:id="277686169">
      <w:bodyDiv w:val="1"/>
      <w:marLeft w:val="0"/>
      <w:marRight w:val="0"/>
      <w:marTop w:val="0"/>
      <w:marBottom w:val="0"/>
      <w:divBdr>
        <w:top w:val="none" w:sz="0" w:space="0" w:color="auto"/>
        <w:left w:val="none" w:sz="0" w:space="0" w:color="auto"/>
        <w:bottom w:val="none" w:sz="0" w:space="0" w:color="auto"/>
        <w:right w:val="none" w:sz="0" w:space="0" w:color="auto"/>
      </w:divBdr>
    </w:div>
    <w:div w:id="299115263">
      <w:bodyDiv w:val="1"/>
      <w:marLeft w:val="0"/>
      <w:marRight w:val="0"/>
      <w:marTop w:val="0"/>
      <w:marBottom w:val="0"/>
      <w:divBdr>
        <w:top w:val="none" w:sz="0" w:space="0" w:color="auto"/>
        <w:left w:val="none" w:sz="0" w:space="0" w:color="auto"/>
        <w:bottom w:val="none" w:sz="0" w:space="0" w:color="auto"/>
        <w:right w:val="none" w:sz="0" w:space="0" w:color="auto"/>
      </w:divBdr>
    </w:div>
    <w:div w:id="303200609">
      <w:bodyDiv w:val="1"/>
      <w:marLeft w:val="0"/>
      <w:marRight w:val="0"/>
      <w:marTop w:val="0"/>
      <w:marBottom w:val="0"/>
      <w:divBdr>
        <w:top w:val="none" w:sz="0" w:space="0" w:color="auto"/>
        <w:left w:val="none" w:sz="0" w:space="0" w:color="auto"/>
        <w:bottom w:val="none" w:sz="0" w:space="0" w:color="auto"/>
        <w:right w:val="none" w:sz="0" w:space="0" w:color="auto"/>
      </w:divBdr>
    </w:div>
    <w:div w:id="322975997">
      <w:bodyDiv w:val="1"/>
      <w:marLeft w:val="0"/>
      <w:marRight w:val="0"/>
      <w:marTop w:val="0"/>
      <w:marBottom w:val="0"/>
      <w:divBdr>
        <w:top w:val="none" w:sz="0" w:space="0" w:color="auto"/>
        <w:left w:val="none" w:sz="0" w:space="0" w:color="auto"/>
        <w:bottom w:val="none" w:sz="0" w:space="0" w:color="auto"/>
        <w:right w:val="none" w:sz="0" w:space="0" w:color="auto"/>
      </w:divBdr>
      <w:divsChild>
        <w:div w:id="13120927">
          <w:marLeft w:val="0"/>
          <w:marRight w:val="0"/>
          <w:marTop w:val="0"/>
          <w:marBottom w:val="0"/>
          <w:divBdr>
            <w:top w:val="none" w:sz="0" w:space="0" w:color="auto"/>
            <w:left w:val="none" w:sz="0" w:space="0" w:color="auto"/>
            <w:bottom w:val="none" w:sz="0" w:space="0" w:color="auto"/>
            <w:right w:val="none" w:sz="0" w:space="0" w:color="auto"/>
          </w:divBdr>
          <w:divsChild>
            <w:div w:id="554050526">
              <w:marLeft w:val="0"/>
              <w:marRight w:val="0"/>
              <w:marTop w:val="0"/>
              <w:marBottom w:val="0"/>
              <w:divBdr>
                <w:top w:val="none" w:sz="0" w:space="0" w:color="auto"/>
                <w:left w:val="none" w:sz="0" w:space="0" w:color="auto"/>
                <w:bottom w:val="none" w:sz="0" w:space="0" w:color="auto"/>
                <w:right w:val="none" w:sz="0" w:space="0" w:color="auto"/>
              </w:divBdr>
            </w:div>
          </w:divsChild>
        </w:div>
        <w:div w:id="29259877">
          <w:marLeft w:val="0"/>
          <w:marRight w:val="0"/>
          <w:marTop w:val="0"/>
          <w:marBottom w:val="0"/>
          <w:divBdr>
            <w:top w:val="none" w:sz="0" w:space="0" w:color="auto"/>
            <w:left w:val="none" w:sz="0" w:space="0" w:color="auto"/>
            <w:bottom w:val="none" w:sz="0" w:space="0" w:color="auto"/>
            <w:right w:val="none" w:sz="0" w:space="0" w:color="auto"/>
          </w:divBdr>
          <w:divsChild>
            <w:div w:id="1710032499">
              <w:marLeft w:val="0"/>
              <w:marRight w:val="0"/>
              <w:marTop w:val="0"/>
              <w:marBottom w:val="0"/>
              <w:divBdr>
                <w:top w:val="none" w:sz="0" w:space="0" w:color="auto"/>
                <w:left w:val="none" w:sz="0" w:space="0" w:color="auto"/>
                <w:bottom w:val="none" w:sz="0" w:space="0" w:color="auto"/>
                <w:right w:val="none" w:sz="0" w:space="0" w:color="auto"/>
              </w:divBdr>
            </w:div>
          </w:divsChild>
        </w:div>
        <w:div w:id="39793869">
          <w:marLeft w:val="0"/>
          <w:marRight w:val="0"/>
          <w:marTop w:val="0"/>
          <w:marBottom w:val="0"/>
          <w:divBdr>
            <w:top w:val="none" w:sz="0" w:space="0" w:color="auto"/>
            <w:left w:val="none" w:sz="0" w:space="0" w:color="auto"/>
            <w:bottom w:val="none" w:sz="0" w:space="0" w:color="auto"/>
            <w:right w:val="none" w:sz="0" w:space="0" w:color="auto"/>
          </w:divBdr>
          <w:divsChild>
            <w:div w:id="2099596437">
              <w:marLeft w:val="0"/>
              <w:marRight w:val="0"/>
              <w:marTop w:val="0"/>
              <w:marBottom w:val="0"/>
              <w:divBdr>
                <w:top w:val="none" w:sz="0" w:space="0" w:color="auto"/>
                <w:left w:val="none" w:sz="0" w:space="0" w:color="auto"/>
                <w:bottom w:val="none" w:sz="0" w:space="0" w:color="auto"/>
                <w:right w:val="none" w:sz="0" w:space="0" w:color="auto"/>
              </w:divBdr>
            </w:div>
          </w:divsChild>
        </w:div>
        <w:div w:id="40522532">
          <w:marLeft w:val="0"/>
          <w:marRight w:val="0"/>
          <w:marTop w:val="0"/>
          <w:marBottom w:val="0"/>
          <w:divBdr>
            <w:top w:val="none" w:sz="0" w:space="0" w:color="auto"/>
            <w:left w:val="none" w:sz="0" w:space="0" w:color="auto"/>
            <w:bottom w:val="none" w:sz="0" w:space="0" w:color="auto"/>
            <w:right w:val="none" w:sz="0" w:space="0" w:color="auto"/>
          </w:divBdr>
          <w:divsChild>
            <w:div w:id="1595820591">
              <w:marLeft w:val="0"/>
              <w:marRight w:val="0"/>
              <w:marTop w:val="0"/>
              <w:marBottom w:val="0"/>
              <w:divBdr>
                <w:top w:val="none" w:sz="0" w:space="0" w:color="auto"/>
                <w:left w:val="none" w:sz="0" w:space="0" w:color="auto"/>
                <w:bottom w:val="none" w:sz="0" w:space="0" w:color="auto"/>
                <w:right w:val="none" w:sz="0" w:space="0" w:color="auto"/>
              </w:divBdr>
            </w:div>
          </w:divsChild>
        </w:div>
        <w:div w:id="42560625">
          <w:marLeft w:val="0"/>
          <w:marRight w:val="0"/>
          <w:marTop w:val="0"/>
          <w:marBottom w:val="0"/>
          <w:divBdr>
            <w:top w:val="none" w:sz="0" w:space="0" w:color="auto"/>
            <w:left w:val="none" w:sz="0" w:space="0" w:color="auto"/>
            <w:bottom w:val="none" w:sz="0" w:space="0" w:color="auto"/>
            <w:right w:val="none" w:sz="0" w:space="0" w:color="auto"/>
          </w:divBdr>
          <w:divsChild>
            <w:div w:id="273437715">
              <w:marLeft w:val="0"/>
              <w:marRight w:val="0"/>
              <w:marTop w:val="0"/>
              <w:marBottom w:val="0"/>
              <w:divBdr>
                <w:top w:val="none" w:sz="0" w:space="0" w:color="auto"/>
                <w:left w:val="none" w:sz="0" w:space="0" w:color="auto"/>
                <w:bottom w:val="none" w:sz="0" w:space="0" w:color="auto"/>
                <w:right w:val="none" w:sz="0" w:space="0" w:color="auto"/>
              </w:divBdr>
            </w:div>
            <w:div w:id="1063260001">
              <w:marLeft w:val="0"/>
              <w:marRight w:val="0"/>
              <w:marTop w:val="0"/>
              <w:marBottom w:val="0"/>
              <w:divBdr>
                <w:top w:val="none" w:sz="0" w:space="0" w:color="auto"/>
                <w:left w:val="none" w:sz="0" w:space="0" w:color="auto"/>
                <w:bottom w:val="none" w:sz="0" w:space="0" w:color="auto"/>
                <w:right w:val="none" w:sz="0" w:space="0" w:color="auto"/>
              </w:divBdr>
            </w:div>
          </w:divsChild>
        </w:div>
        <w:div w:id="52853233">
          <w:marLeft w:val="0"/>
          <w:marRight w:val="0"/>
          <w:marTop w:val="0"/>
          <w:marBottom w:val="0"/>
          <w:divBdr>
            <w:top w:val="none" w:sz="0" w:space="0" w:color="auto"/>
            <w:left w:val="none" w:sz="0" w:space="0" w:color="auto"/>
            <w:bottom w:val="none" w:sz="0" w:space="0" w:color="auto"/>
            <w:right w:val="none" w:sz="0" w:space="0" w:color="auto"/>
          </w:divBdr>
          <w:divsChild>
            <w:div w:id="56897906">
              <w:marLeft w:val="0"/>
              <w:marRight w:val="0"/>
              <w:marTop w:val="0"/>
              <w:marBottom w:val="0"/>
              <w:divBdr>
                <w:top w:val="none" w:sz="0" w:space="0" w:color="auto"/>
                <w:left w:val="none" w:sz="0" w:space="0" w:color="auto"/>
                <w:bottom w:val="none" w:sz="0" w:space="0" w:color="auto"/>
                <w:right w:val="none" w:sz="0" w:space="0" w:color="auto"/>
              </w:divBdr>
            </w:div>
          </w:divsChild>
        </w:div>
        <w:div w:id="66807957">
          <w:marLeft w:val="0"/>
          <w:marRight w:val="0"/>
          <w:marTop w:val="0"/>
          <w:marBottom w:val="0"/>
          <w:divBdr>
            <w:top w:val="none" w:sz="0" w:space="0" w:color="auto"/>
            <w:left w:val="none" w:sz="0" w:space="0" w:color="auto"/>
            <w:bottom w:val="none" w:sz="0" w:space="0" w:color="auto"/>
            <w:right w:val="none" w:sz="0" w:space="0" w:color="auto"/>
          </w:divBdr>
          <w:divsChild>
            <w:div w:id="1018233149">
              <w:marLeft w:val="0"/>
              <w:marRight w:val="0"/>
              <w:marTop w:val="0"/>
              <w:marBottom w:val="0"/>
              <w:divBdr>
                <w:top w:val="none" w:sz="0" w:space="0" w:color="auto"/>
                <w:left w:val="none" w:sz="0" w:space="0" w:color="auto"/>
                <w:bottom w:val="none" w:sz="0" w:space="0" w:color="auto"/>
                <w:right w:val="none" w:sz="0" w:space="0" w:color="auto"/>
              </w:divBdr>
            </w:div>
          </w:divsChild>
        </w:div>
        <w:div w:id="83651765">
          <w:marLeft w:val="0"/>
          <w:marRight w:val="0"/>
          <w:marTop w:val="0"/>
          <w:marBottom w:val="0"/>
          <w:divBdr>
            <w:top w:val="none" w:sz="0" w:space="0" w:color="auto"/>
            <w:left w:val="none" w:sz="0" w:space="0" w:color="auto"/>
            <w:bottom w:val="none" w:sz="0" w:space="0" w:color="auto"/>
            <w:right w:val="none" w:sz="0" w:space="0" w:color="auto"/>
          </w:divBdr>
          <w:divsChild>
            <w:div w:id="562957379">
              <w:marLeft w:val="0"/>
              <w:marRight w:val="0"/>
              <w:marTop w:val="0"/>
              <w:marBottom w:val="0"/>
              <w:divBdr>
                <w:top w:val="none" w:sz="0" w:space="0" w:color="auto"/>
                <w:left w:val="none" w:sz="0" w:space="0" w:color="auto"/>
                <w:bottom w:val="none" w:sz="0" w:space="0" w:color="auto"/>
                <w:right w:val="none" w:sz="0" w:space="0" w:color="auto"/>
              </w:divBdr>
            </w:div>
          </w:divsChild>
        </w:div>
        <w:div w:id="88892633">
          <w:marLeft w:val="0"/>
          <w:marRight w:val="0"/>
          <w:marTop w:val="0"/>
          <w:marBottom w:val="0"/>
          <w:divBdr>
            <w:top w:val="none" w:sz="0" w:space="0" w:color="auto"/>
            <w:left w:val="none" w:sz="0" w:space="0" w:color="auto"/>
            <w:bottom w:val="none" w:sz="0" w:space="0" w:color="auto"/>
            <w:right w:val="none" w:sz="0" w:space="0" w:color="auto"/>
          </w:divBdr>
          <w:divsChild>
            <w:div w:id="15272314">
              <w:marLeft w:val="0"/>
              <w:marRight w:val="0"/>
              <w:marTop w:val="0"/>
              <w:marBottom w:val="0"/>
              <w:divBdr>
                <w:top w:val="none" w:sz="0" w:space="0" w:color="auto"/>
                <w:left w:val="none" w:sz="0" w:space="0" w:color="auto"/>
                <w:bottom w:val="none" w:sz="0" w:space="0" w:color="auto"/>
                <w:right w:val="none" w:sz="0" w:space="0" w:color="auto"/>
              </w:divBdr>
            </w:div>
          </w:divsChild>
        </w:div>
        <w:div w:id="103502099">
          <w:marLeft w:val="0"/>
          <w:marRight w:val="0"/>
          <w:marTop w:val="0"/>
          <w:marBottom w:val="0"/>
          <w:divBdr>
            <w:top w:val="none" w:sz="0" w:space="0" w:color="auto"/>
            <w:left w:val="none" w:sz="0" w:space="0" w:color="auto"/>
            <w:bottom w:val="none" w:sz="0" w:space="0" w:color="auto"/>
            <w:right w:val="none" w:sz="0" w:space="0" w:color="auto"/>
          </w:divBdr>
          <w:divsChild>
            <w:div w:id="1680618790">
              <w:marLeft w:val="0"/>
              <w:marRight w:val="0"/>
              <w:marTop w:val="0"/>
              <w:marBottom w:val="0"/>
              <w:divBdr>
                <w:top w:val="none" w:sz="0" w:space="0" w:color="auto"/>
                <w:left w:val="none" w:sz="0" w:space="0" w:color="auto"/>
                <w:bottom w:val="none" w:sz="0" w:space="0" w:color="auto"/>
                <w:right w:val="none" w:sz="0" w:space="0" w:color="auto"/>
              </w:divBdr>
            </w:div>
          </w:divsChild>
        </w:div>
        <w:div w:id="161823448">
          <w:marLeft w:val="0"/>
          <w:marRight w:val="0"/>
          <w:marTop w:val="0"/>
          <w:marBottom w:val="0"/>
          <w:divBdr>
            <w:top w:val="none" w:sz="0" w:space="0" w:color="auto"/>
            <w:left w:val="none" w:sz="0" w:space="0" w:color="auto"/>
            <w:bottom w:val="none" w:sz="0" w:space="0" w:color="auto"/>
            <w:right w:val="none" w:sz="0" w:space="0" w:color="auto"/>
          </w:divBdr>
          <w:divsChild>
            <w:div w:id="155877235">
              <w:marLeft w:val="0"/>
              <w:marRight w:val="0"/>
              <w:marTop w:val="0"/>
              <w:marBottom w:val="0"/>
              <w:divBdr>
                <w:top w:val="none" w:sz="0" w:space="0" w:color="auto"/>
                <w:left w:val="none" w:sz="0" w:space="0" w:color="auto"/>
                <w:bottom w:val="none" w:sz="0" w:space="0" w:color="auto"/>
                <w:right w:val="none" w:sz="0" w:space="0" w:color="auto"/>
              </w:divBdr>
            </w:div>
          </w:divsChild>
        </w:div>
        <w:div w:id="162667951">
          <w:marLeft w:val="0"/>
          <w:marRight w:val="0"/>
          <w:marTop w:val="0"/>
          <w:marBottom w:val="0"/>
          <w:divBdr>
            <w:top w:val="none" w:sz="0" w:space="0" w:color="auto"/>
            <w:left w:val="none" w:sz="0" w:space="0" w:color="auto"/>
            <w:bottom w:val="none" w:sz="0" w:space="0" w:color="auto"/>
            <w:right w:val="none" w:sz="0" w:space="0" w:color="auto"/>
          </w:divBdr>
          <w:divsChild>
            <w:div w:id="84962071">
              <w:marLeft w:val="0"/>
              <w:marRight w:val="0"/>
              <w:marTop w:val="0"/>
              <w:marBottom w:val="0"/>
              <w:divBdr>
                <w:top w:val="none" w:sz="0" w:space="0" w:color="auto"/>
                <w:left w:val="none" w:sz="0" w:space="0" w:color="auto"/>
                <w:bottom w:val="none" w:sz="0" w:space="0" w:color="auto"/>
                <w:right w:val="none" w:sz="0" w:space="0" w:color="auto"/>
              </w:divBdr>
            </w:div>
          </w:divsChild>
        </w:div>
        <w:div w:id="206725759">
          <w:marLeft w:val="0"/>
          <w:marRight w:val="0"/>
          <w:marTop w:val="0"/>
          <w:marBottom w:val="0"/>
          <w:divBdr>
            <w:top w:val="none" w:sz="0" w:space="0" w:color="auto"/>
            <w:left w:val="none" w:sz="0" w:space="0" w:color="auto"/>
            <w:bottom w:val="none" w:sz="0" w:space="0" w:color="auto"/>
            <w:right w:val="none" w:sz="0" w:space="0" w:color="auto"/>
          </w:divBdr>
          <w:divsChild>
            <w:div w:id="727189194">
              <w:marLeft w:val="0"/>
              <w:marRight w:val="0"/>
              <w:marTop w:val="0"/>
              <w:marBottom w:val="0"/>
              <w:divBdr>
                <w:top w:val="none" w:sz="0" w:space="0" w:color="auto"/>
                <w:left w:val="none" w:sz="0" w:space="0" w:color="auto"/>
                <w:bottom w:val="none" w:sz="0" w:space="0" w:color="auto"/>
                <w:right w:val="none" w:sz="0" w:space="0" w:color="auto"/>
              </w:divBdr>
            </w:div>
          </w:divsChild>
        </w:div>
        <w:div w:id="208802790">
          <w:marLeft w:val="0"/>
          <w:marRight w:val="0"/>
          <w:marTop w:val="0"/>
          <w:marBottom w:val="0"/>
          <w:divBdr>
            <w:top w:val="none" w:sz="0" w:space="0" w:color="auto"/>
            <w:left w:val="none" w:sz="0" w:space="0" w:color="auto"/>
            <w:bottom w:val="none" w:sz="0" w:space="0" w:color="auto"/>
            <w:right w:val="none" w:sz="0" w:space="0" w:color="auto"/>
          </w:divBdr>
          <w:divsChild>
            <w:div w:id="1090856146">
              <w:marLeft w:val="0"/>
              <w:marRight w:val="0"/>
              <w:marTop w:val="0"/>
              <w:marBottom w:val="0"/>
              <w:divBdr>
                <w:top w:val="none" w:sz="0" w:space="0" w:color="auto"/>
                <w:left w:val="none" w:sz="0" w:space="0" w:color="auto"/>
                <w:bottom w:val="none" w:sz="0" w:space="0" w:color="auto"/>
                <w:right w:val="none" w:sz="0" w:space="0" w:color="auto"/>
              </w:divBdr>
            </w:div>
          </w:divsChild>
        </w:div>
        <w:div w:id="210465363">
          <w:marLeft w:val="0"/>
          <w:marRight w:val="0"/>
          <w:marTop w:val="0"/>
          <w:marBottom w:val="0"/>
          <w:divBdr>
            <w:top w:val="none" w:sz="0" w:space="0" w:color="auto"/>
            <w:left w:val="none" w:sz="0" w:space="0" w:color="auto"/>
            <w:bottom w:val="none" w:sz="0" w:space="0" w:color="auto"/>
            <w:right w:val="none" w:sz="0" w:space="0" w:color="auto"/>
          </w:divBdr>
          <w:divsChild>
            <w:div w:id="4597376">
              <w:marLeft w:val="0"/>
              <w:marRight w:val="0"/>
              <w:marTop w:val="0"/>
              <w:marBottom w:val="0"/>
              <w:divBdr>
                <w:top w:val="none" w:sz="0" w:space="0" w:color="auto"/>
                <w:left w:val="none" w:sz="0" w:space="0" w:color="auto"/>
                <w:bottom w:val="none" w:sz="0" w:space="0" w:color="auto"/>
                <w:right w:val="none" w:sz="0" w:space="0" w:color="auto"/>
              </w:divBdr>
            </w:div>
          </w:divsChild>
        </w:div>
        <w:div w:id="214974616">
          <w:marLeft w:val="0"/>
          <w:marRight w:val="0"/>
          <w:marTop w:val="0"/>
          <w:marBottom w:val="0"/>
          <w:divBdr>
            <w:top w:val="none" w:sz="0" w:space="0" w:color="auto"/>
            <w:left w:val="none" w:sz="0" w:space="0" w:color="auto"/>
            <w:bottom w:val="none" w:sz="0" w:space="0" w:color="auto"/>
            <w:right w:val="none" w:sz="0" w:space="0" w:color="auto"/>
          </w:divBdr>
          <w:divsChild>
            <w:div w:id="1377969742">
              <w:marLeft w:val="0"/>
              <w:marRight w:val="0"/>
              <w:marTop w:val="0"/>
              <w:marBottom w:val="0"/>
              <w:divBdr>
                <w:top w:val="none" w:sz="0" w:space="0" w:color="auto"/>
                <w:left w:val="none" w:sz="0" w:space="0" w:color="auto"/>
                <w:bottom w:val="none" w:sz="0" w:space="0" w:color="auto"/>
                <w:right w:val="none" w:sz="0" w:space="0" w:color="auto"/>
              </w:divBdr>
            </w:div>
          </w:divsChild>
        </w:div>
        <w:div w:id="215624039">
          <w:marLeft w:val="0"/>
          <w:marRight w:val="0"/>
          <w:marTop w:val="0"/>
          <w:marBottom w:val="0"/>
          <w:divBdr>
            <w:top w:val="none" w:sz="0" w:space="0" w:color="auto"/>
            <w:left w:val="none" w:sz="0" w:space="0" w:color="auto"/>
            <w:bottom w:val="none" w:sz="0" w:space="0" w:color="auto"/>
            <w:right w:val="none" w:sz="0" w:space="0" w:color="auto"/>
          </w:divBdr>
          <w:divsChild>
            <w:div w:id="1212501034">
              <w:marLeft w:val="0"/>
              <w:marRight w:val="0"/>
              <w:marTop w:val="0"/>
              <w:marBottom w:val="0"/>
              <w:divBdr>
                <w:top w:val="none" w:sz="0" w:space="0" w:color="auto"/>
                <w:left w:val="none" w:sz="0" w:space="0" w:color="auto"/>
                <w:bottom w:val="none" w:sz="0" w:space="0" w:color="auto"/>
                <w:right w:val="none" w:sz="0" w:space="0" w:color="auto"/>
              </w:divBdr>
            </w:div>
          </w:divsChild>
        </w:div>
        <w:div w:id="252671464">
          <w:marLeft w:val="0"/>
          <w:marRight w:val="0"/>
          <w:marTop w:val="0"/>
          <w:marBottom w:val="0"/>
          <w:divBdr>
            <w:top w:val="none" w:sz="0" w:space="0" w:color="auto"/>
            <w:left w:val="none" w:sz="0" w:space="0" w:color="auto"/>
            <w:bottom w:val="none" w:sz="0" w:space="0" w:color="auto"/>
            <w:right w:val="none" w:sz="0" w:space="0" w:color="auto"/>
          </w:divBdr>
          <w:divsChild>
            <w:div w:id="1183864198">
              <w:marLeft w:val="0"/>
              <w:marRight w:val="0"/>
              <w:marTop w:val="0"/>
              <w:marBottom w:val="0"/>
              <w:divBdr>
                <w:top w:val="none" w:sz="0" w:space="0" w:color="auto"/>
                <w:left w:val="none" w:sz="0" w:space="0" w:color="auto"/>
                <w:bottom w:val="none" w:sz="0" w:space="0" w:color="auto"/>
                <w:right w:val="none" w:sz="0" w:space="0" w:color="auto"/>
              </w:divBdr>
            </w:div>
          </w:divsChild>
        </w:div>
        <w:div w:id="261256765">
          <w:marLeft w:val="0"/>
          <w:marRight w:val="0"/>
          <w:marTop w:val="0"/>
          <w:marBottom w:val="0"/>
          <w:divBdr>
            <w:top w:val="none" w:sz="0" w:space="0" w:color="auto"/>
            <w:left w:val="none" w:sz="0" w:space="0" w:color="auto"/>
            <w:bottom w:val="none" w:sz="0" w:space="0" w:color="auto"/>
            <w:right w:val="none" w:sz="0" w:space="0" w:color="auto"/>
          </w:divBdr>
          <w:divsChild>
            <w:div w:id="612639026">
              <w:marLeft w:val="0"/>
              <w:marRight w:val="0"/>
              <w:marTop w:val="0"/>
              <w:marBottom w:val="0"/>
              <w:divBdr>
                <w:top w:val="none" w:sz="0" w:space="0" w:color="auto"/>
                <w:left w:val="none" w:sz="0" w:space="0" w:color="auto"/>
                <w:bottom w:val="none" w:sz="0" w:space="0" w:color="auto"/>
                <w:right w:val="none" w:sz="0" w:space="0" w:color="auto"/>
              </w:divBdr>
            </w:div>
          </w:divsChild>
        </w:div>
        <w:div w:id="293368021">
          <w:marLeft w:val="0"/>
          <w:marRight w:val="0"/>
          <w:marTop w:val="0"/>
          <w:marBottom w:val="0"/>
          <w:divBdr>
            <w:top w:val="none" w:sz="0" w:space="0" w:color="auto"/>
            <w:left w:val="none" w:sz="0" w:space="0" w:color="auto"/>
            <w:bottom w:val="none" w:sz="0" w:space="0" w:color="auto"/>
            <w:right w:val="none" w:sz="0" w:space="0" w:color="auto"/>
          </w:divBdr>
          <w:divsChild>
            <w:div w:id="667903834">
              <w:marLeft w:val="0"/>
              <w:marRight w:val="0"/>
              <w:marTop w:val="0"/>
              <w:marBottom w:val="0"/>
              <w:divBdr>
                <w:top w:val="none" w:sz="0" w:space="0" w:color="auto"/>
                <w:left w:val="none" w:sz="0" w:space="0" w:color="auto"/>
                <w:bottom w:val="none" w:sz="0" w:space="0" w:color="auto"/>
                <w:right w:val="none" w:sz="0" w:space="0" w:color="auto"/>
              </w:divBdr>
            </w:div>
          </w:divsChild>
        </w:div>
        <w:div w:id="313491231">
          <w:marLeft w:val="0"/>
          <w:marRight w:val="0"/>
          <w:marTop w:val="0"/>
          <w:marBottom w:val="0"/>
          <w:divBdr>
            <w:top w:val="none" w:sz="0" w:space="0" w:color="auto"/>
            <w:left w:val="none" w:sz="0" w:space="0" w:color="auto"/>
            <w:bottom w:val="none" w:sz="0" w:space="0" w:color="auto"/>
            <w:right w:val="none" w:sz="0" w:space="0" w:color="auto"/>
          </w:divBdr>
          <w:divsChild>
            <w:div w:id="1356081379">
              <w:marLeft w:val="0"/>
              <w:marRight w:val="0"/>
              <w:marTop w:val="0"/>
              <w:marBottom w:val="0"/>
              <w:divBdr>
                <w:top w:val="none" w:sz="0" w:space="0" w:color="auto"/>
                <w:left w:val="none" w:sz="0" w:space="0" w:color="auto"/>
                <w:bottom w:val="none" w:sz="0" w:space="0" w:color="auto"/>
                <w:right w:val="none" w:sz="0" w:space="0" w:color="auto"/>
              </w:divBdr>
            </w:div>
          </w:divsChild>
        </w:div>
        <w:div w:id="344982379">
          <w:marLeft w:val="0"/>
          <w:marRight w:val="0"/>
          <w:marTop w:val="0"/>
          <w:marBottom w:val="0"/>
          <w:divBdr>
            <w:top w:val="none" w:sz="0" w:space="0" w:color="auto"/>
            <w:left w:val="none" w:sz="0" w:space="0" w:color="auto"/>
            <w:bottom w:val="none" w:sz="0" w:space="0" w:color="auto"/>
            <w:right w:val="none" w:sz="0" w:space="0" w:color="auto"/>
          </w:divBdr>
          <w:divsChild>
            <w:div w:id="1362979434">
              <w:marLeft w:val="0"/>
              <w:marRight w:val="0"/>
              <w:marTop w:val="0"/>
              <w:marBottom w:val="0"/>
              <w:divBdr>
                <w:top w:val="none" w:sz="0" w:space="0" w:color="auto"/>
                <w:left w:val="none" w:sz="0" w:space="0" w:color="auto"/>
                <w:bottom w:val="none" w:sz="0" w:space="0" w:color="auto"/>
                <w:right w:val="none" w:sz="0" w:space="0" w:color="auto"/>
              </w:divBdr>
            </w:div>
          </w:divsChild>
        </w:div>
        <w:div w:id="349642439">
          <w:marLeft w:val="0"/>
          <w:marRight w:val="0"/>
          <w:marTop w:val="0"/>
          <w:marBottom w:val="0"/>
          <w:divBdr>
            <w:top w:val="none" w:sz="0" w:space="0" w:color="auto"/>
            <w:left w:val="none" w:sz="0" w:space="0" w:color="auto"/>
            <w:bottom w:val="none" w:sz="0" w:space="0" w:color="auto"/>
            <w:right w:val="none" w:sz="0" w:space="0" w:color="auto"/>
          </w:divBdr>
          <w:divsChild>
            <w:div w:id="540482536">
              <w:marLeft w:val="0"/>
              <w:marRight w:val="0"/>
              <w:marTop w:val="0"/>
              <w:marBottom w:val="0"/>
              <w:divBdr>
                <w:top w:val="none" w:sz="0" w:space="0" w:color="auto"/>
                <w:left w:val="none" w:sz="0" w:space="0" w:color="auto"/>
                <w:bottom w:val="none" w:sz="0" w:space="0" w:color="auto"/>
                <w:right w:val="none" w:sz="0" w:space="0" w:color="auto"/>
              </w:divBdr>
            </w:div>
          </w:divsChild>
        </w:div>
        <w:div w:id="354119366">
          <w:marLeft w:val="0"/>
          <w:marRight w:val="0"/>
          <w:marTop w:val="0"/>
          <w:marBottom w:val="0"/>
          <w:divBdr>
            <w:top w:val="none" w:sz="0" w:space="0" w:color="auto"/>
            <w:left w:val="none" w:sz="0" w:space="0" w:color="auto"/>
            <w:bottom w:val="none" w:sz="0" w:space="0" w:color="auto"/>
            <w:right w:val="none" w:sz="0" w:space="0" w:color="auto"/>
          </w:divBdr>
          <w:divsChild>
            <w:div w:id="1217231431">
              <w:marLeft w:val="0"/>
              <w:marRight w:val="0"/>
              <w:marTop w:val="0"/>
              <w:marBottom w:val="0"/>
              <w:divBdr>
                <w:top w:val="none" w:sz="0" w:space="0" w:color="auto"/>
                <w:left w:val="none" w:sz="0" w:space="0" w:color="auto"/>
                <w:bottom w:val="none" w:sz="0" w:space="0" w:color="auto"/>
                <w:right w:val="none" w:sz="0" w:space="0" w:color="auto"/>
              </w:divBdr>
            </w:div>
          </w:divsChild>
        </w:div>
        <w:div w:id="364209912">
          <w:marLeft w:val="0"/>
          <w:marRight w:val="0"/>
          <w:marTop w:val="0"/>
          <w:marBottom w:val="0"/>
          <w:divBdr>
            <w:top w:val="none" w:sz="0" w:space="0" w:color="auto"/>
            <w:left w:val="none" w:sz="0" w:space="0" w:color="auto"/>
            <w:bottom w:val="none" w:sz="0" w:space="0" w:color="auto"/>
            <w:right w:val="none" w:sz="0" w:space="0" w:color="auto"/>
          </w:divBdr>
          <w:divsChild>
            <w:div w:id="1423910588">
              <w:marLeft w:val="0"/>
              <w:marRight w:val="0"/>
              <w:marTop w:val="0"/>
              <w:marBottom w:val="0"/>
              <w:divBdr>
                <w:top w:val="none" w:sz="0" w:space="0" w:color="auto"/>
                <w:left w:val="none" w:sz="0" w:space="0" w:color="auto"/>
                <w:bottom w:val="none" w:sz="0" w:space="0" w:color="auto"/>
                <w:right w:val="none" w:sz="0" w:space="0" w:color="auto"/>
              </w:divBdr>
            </w:div>
          </w:divsChild>
        </w:div>
        <w:div w:id="370959086">
          <w:marLeft w:val="0"/>
          <w:marRight w:val="0"/>
          <w:marTop w:val="0"/>
          <w:marBottom w:val="0"/>
          <w:divBdr>
            <w:top w:val="none" w:sz="0" w:space="0" w:color="auto"/>
            <w:left w:val="none" w:sz="0" w:space="0" w:color="auto"/>
            <w:bottom w:val="none" w:sz="0" w:space="0" w:color="auto"/>
            <w:right w:val="none" w:sz="0" w:space="0" w:color="auto"/>
          </w:divBdr>
          <w:divsChild>
            <w:div w:id="1932934949">
              <w:marLeft w:val="0"/>
              <w:marRight w:val="0"/>
              <w:marTop w:val="0"/>
              <w:marBottom w:val="0"/>
              <w:divBdr>
                <w:top w:val="none" w:sz="0" w:space="0" w:color="auto"/>
                <w:left w:val="none" w:sz="0" w:space="0" w:color="auto"/>
                <w:bottom w:val="none" w:sz="0" w:space="0" w:color="auto"/>
                <w:right w:val="none" w:sz="0" w:space="0" w:color="auto"/>
              </w:divBdr>
            </w:div>
          </w:divsChild>
        </w:div>
        <w:div w:id="387992637">
          <w:marLeft w:val="0"/>
          <w:marRight w:val="0"/>
          <w:marTop w:val="0"/>
          <w:marBottom w:val="0"/>
          <w:divBdr>
            <w:top w:val="none" w:sz="0" w:space="0" w:color="auto"/>
            <w:left w:val="none" w:sz="0" w:space="0" w:color="auto"/>
            <w:bottom w:val="none" w:sz="0" w:space="0" w:color="auto"/>
            <w:right w:val="none" w:sz="0" w:space="0" w:color="auto"/>
          </w:divBdr>
          <w:divsChild>
            <w:div w:id="117459770">
              <w:marLeft w:val="0"/>
              <w:marRight w:val="0"/>
              <w:marTop w:val="0"/>
              <w:marBottom w:val="0"/>
              <w:divBdr>
                <w:top w:val="none" w:sz="0" w:space="0" w:color="auto"/>
                <w:left w:val="none" w:sz="0" w:space="0" w:color="auto"/>
                <w:bottom w:val="none" w:sz="0" w:space="0" w:color="auto"/>
                <w:right w:val="none" w:sz="0" w:space="0" w:color="auto"/>
              </w:divBdr>
            </w:div>
          </w:divsChild>
        </w:div>
        <w:div w:id="398139339">
          <w:marLeft w:val="0"/>
          <w:marRight w:val="0"/>
          <w:marTop w:val="0"/>
          <w:marBottom w:val="0"/>
          <w:divBdr>
            <w:top w:val="none" w:sz="0" w:space="0" w:color="auto"/>
            <w:left w:val="none" w:sz="0" w:space="0" w:color="auto"/>
            <w:bottom w:val="none" w:sz="0" w:space="0" w:color="auto"/>
            <w:right w:val="none" w:sz="0" w:space="0" w:color="auto"/>
          </w:divBdr>
          <w:divsChild>
            <w:div w:id="1976520216">
              <w:marLeft w:val="0"/>
              <w:marRight w:val="0"/>
              <w:marTop w:val="0"/>
              <w:marBottom w:val="0"/>
              <w:divBdr>
                <w:top w:val="none" w:sz="0" w:space="0" w:color="auto"/>
                <w:left w:val="none" w:sz="0" w:space="0" w:color="auto"/>
                <w:bottom w:val="none" w:sz="0" w:space="0" w:color="auto"/>
                <w:right w:val="none" w:sz="0" w:space="0" w:color="auto"/>
              </w:divBdr>
            </w:div>
          </w:divsChild>
        </w:div>
        <w:div w:id="438796208">
          <w:marLeft w:val="0"/>
          <w:marRight w:val="0"/>
          <w:marTop w:val="0"/>
          <w:marBottom w:val="0"/>
          <w:divBdr>
            <w:top w:val="none" w:sz="0" w:space="0" w:color="auto"/>
            <w:left w:val="none" w:sz="0" w:space="0" w:color="auto"/>
            <w:bottom w:val="none" w:sz="0" w:space="0" w:color="auto"/>
            <w:right w:val="none" w:sz="0" w:space="0" w:color="auto"/>
          </w:divBdr>
          <w:divsChild>
            <w:div w:id="1473786420">
              <w:marLeft w:val="0"/>
              <w:marRight w:val="0"/>
              <w:marTop w:val="0"/>
              <w:marBottom w:val="0"/>
              <w:divBdr>
                <w:top w:val="none" w:sz="0" w:space="0" w:color="auto"/>
                <w:left w:val="none" w:sz="0" w:space="0" w:color="auto"/>
                <w:bottom w:val="none" w:sz="0" w:space="0" w:color="auto"/>
                <w:right w:val="none" w:sz="0" w:space="0" w:color="auto"/>
              </w:divBdr>
            </w:div>
          </w:divsChild>
        </w:div>
        <w:div w:id="456995294">
          <w:marLeft w:val="0"/>
          <w:marRight w:val="0"/>
          <w:marTop w:val="0"/>
          <w:marBottom w:val="0"/>
          <w:divBdr>
            <w:top w:val="none" w:sz="0" w:space="0" w:color="auto"/>
            <w:left w:val="none" w:sz="0" w:space="0" w:color="auto"/>
            <w:bottom w:val="none" w:sz="0" w:space="0" w:color="auto"/>
            <w:right w:val="none" w:sz="0" w:space="0" w:color="auto"/>
          </w:divBdr>
          <w:divsChild>
            <w:div w:id="1005860858">
              <w:marLeft w:val="0"/>
              <w:marRight w:val="0"/>
              <w:marTop w:val="0"/>
              <w:marBottom w:val="0"/>
              <w:divBdr>
                <w:top w:val="none" w:sz="0" w:space="0" w:color="auto"/>
                <w:left w:val="none" w:sz="0" w:space="0" w:color="auto"/>
                <w:bottom w:val="none" w:sz="0" w:space="0" w:color="auto"/>
                <w:right w:val="none" w:sz="0" w:space="0" w:color="auto"/>
              </w:divBdr>
            </w:div>
          </w:divsChild>
        </w:div>
        <w:div w:id="458691674">
          <w:marLeft w:val="0"/>
          <w:marRight w:val="0"/>
          <w:marTop w:val="0"/>
          <w:marBottom w:val="0"/>
          <w:divBdr>
            <w:top w:val="none" w:sz="0" w:space="0" w:color="auto"/>
            <w:left w:val="none" w:sz="0" w:space="0" w:color="auto"/>
            <w:bottom w:val="none" w:sz="0" w:space="0" w:color="auto"/>
            <w:right w:val="none" w:sz="0" w:space="0" w:color="auto"/>
          </w:divBdr>
          <w:divsChild>
            <w:div w:id="434063339">
              <w:marLeft w:val="0"/>
              <w:marRight w:val="0"/>
              <w:marTop w:val="0"/>
              <w:marBottom w:val="0"/>
              <w:divBdr>
                <w:top w:val="none" w:sz="0" w:space="0" w:color="auto"/>
                <w:left w:val="none" w:sz="0" w:space="0" w:color="auto"/>
                <w:bottom w:val="none" w:sz="0" w:space="0" w:color="auto"/>
                <w:right w:val="none" w:sz="0" w:space="0" w:color="auto"/>
              </w:divBdr>
            </w:div>
          </w:divsChild>
        </w:div>
        <w:div w:id="500971108">
          <w:marLeft w:val="0"/>
          <w:marRight w:val="0"/>
          <w:marTop w:val="0"/>
          <w:marBottom w:val="0"/>
          <w:divBdr>
            <w:top w:val="none" w:sz="0" w:space="0" w:color="auto"/>
            <w:left w:val="none" w:sz="0" w:space="0" w:color="auto"/>
            <w:bottom w:val="none" w:sz="0" w:space="0" w:color="auto"/>
            <w:right w:val="none" w:sz="0" w:space="0" w:color="auto"/>
          </w:divBdr>
          <w:divsChild>
            <w:div w:id="2026712051">
              <w:marLeft w:val="0"/>
              <w:marRight w:val="0"/>
              <w:marTop w:val="0"/>
              <w:marBottom w:val="0"/>
              <w:divBdr>
                <w:top w:val="none" w:sz="0" w:space="0" w:color="auto"/>
                <w:left w:val="none" w:sz="0" w:space="0" w:color="auto"/>
                <w:bottom w:val="none" w:sz="0" w:space="0" w:color="auto"/>
                <w:right w:val="none" w:sz="0" w:space="0" w:color="auto"/>
              </w:divBdr>
            </w:div>
          </w:divsChild>
        </w:div>
        <w:div w:id="509956727">
          <w:marLeft w:val="0"/>
          <w:marRight w:val="0"/>
          <w:marTop w:val="0"/>
          <w:marBottom w:val="0"/>
          <w:divBdr>
            <w:top w:val="none" w:sz="0" w:space="0" w:color="auto"/>
            <w:left w:val="none" w:sz="0" w:space="0" w:color="auto"/>
            <w:bottom w:val="none" w:sz="0" w:space="0" w:color="auto"/>
            <w:right w:val="none" w:sz="0" w:space="0" w:color="auto"/>
          </w:divBdr>
          <w:divsChild>
            <w:div w:id="513031423">
              <w:marLeft w:val="0"/>
              <w:marRight w:val="0"/>
              <w:marTop w:val="0"/>
              <w:marBottom w:val="0"/>
              <w:divBdr>
                <w:top w:val="none" w:sz="0" w:space="0" w:color="auto"/>
                <w:left w:val="none" w:sz="0" w:space="0" w:color="auto"/>
                <w:bottom w:val="none" w:sz="0" w:space="0" w:color="auto"/>
                <w:right w:val="none" w:sz="0" w:space="0" w:color="auto"/>
              </w:divBdr>
            </w:div>
          </w:divsChild>
        </w:div>
        <w:div w:id="522208155">
          <w:marLeft w:val="0"/>
          <w:marRight w:val="0"/>
          <w:marTop w:val="0"/>
          <w:marBottom w:val="0"/>
          <w:divBdr>
            <w:top w:val="none" w:sz="0" w:space="0" w:color="auto"/>
            <w:left w:val="none" w:sz="0" w:space="0" w:color="auto"/>
            <w:bottom w:val="none" w:sz="0" w:space="0" w:color="auto"/>
            <w:right w:val="none" w:sz="0" w:space="0" w:color="auto"/>
          </w:divBdr>
          <w:divsChild>
            <w:div w:id="1105881940">
              <w:marLeft w:val="0"/>
              <w:marRight w:val="0"/>
              <w:marTop w:val="0"/>
              <w:marBottom w:val="0"/>
              <w:divBdr>
                <w:top w:val="none" w:sz="0" w:space="0" w:color="auto"/>
                <w:left w:val="none" w:sz="0" w:space="0" w:color="auto"/>
                <w:bottom w:val="none" w:sz="0" w:space="0" w:color="auto"/>
                <w:right w:val="none" w:sz="0" w:space="0" w:color="auto"/>
              </w:divBdr>
            </w:div>
          </w:divsChild>
        </w:div>
        <w:div w:id="525145938">
          <w:marLeft w:val="0"/>
          <w:marRight w:val="0"/>
          <w:marTop w:val="0"/>
          <w:marBottom w:val="0"/>
          <w:divBdr>
            <w:top w:val="none" w:sz="0" w:space="0" w:color="auto"/>
            <w:left w:val="none" w:sz="0" w:space="0" w:color="auto"/>
            <w:bottom w:val="none" w:sz="0" w:space="0" w:color="auto"/>
            <w:right w:val="none" w:sz="0" w:space="0" w:color="auto"/>
          </w:divBdr>
          <w:divsChild>
            <w:div w:id="412362172">
              <w:marLeft w:val="0"/>
              <w:marRight w:val="0"/>
              <w:marTop w:val="0"/>
              <w:marBottom w:val="0"/>
              <w:divBdr>
                <w:top w:val="none" w:sz="0" w:space="0" w:color="auto"/>
                <w:left w:val="none" w:sz="0" w:space="0" w:color="auto"/>
                <w:bottom w:val="none" w:sz="0" w:space="0" w:color="auto"/>
                <w:right w:val="none" w:sz="0" w:space="0" w:color="auto"/>
              </w:divBdr>
            </w:div>
          </w:divsChild>
        </w:div>
        <w:div w:id="536966410">
          <w:marLeft w:val="0"/>
          <w:marRight w:val="0"/>
          <w:marTop w:val="0"/>
          <w:marBottom w:val="0"/>
          <w:divBdr>
            <w:top w:val="none" w:sz="0" w:space="0" w:color="auto"/>
            <w:left w:val="none" w:sz="0" w:space="0" w:color="auto"/>
            <w:bottom w:val="none" w:sz="0" w:space="0" w:color="auto"/>
            <w:right w:val="none" w:sz="0" w:space="0" w:color="auto"/>
          </w:divBdr>
          <w:divsChild>
            <w:div w:id="313724636">
              <w:marLeft w:val="0"/>
              <w:marRight w:val="0"/>
              <w:marTop w:val="0"/>
              <w:marBottom w:val="0"/>
              <w:divBdr>
                <w:top w:val="none" w:sz="0" w:space="0" w:color="auto"/>
                <w:left w:val="none" w:sz="0" w:space="0" w:color="auto"/>
                <w:bottom w:val="none" w:sz="0" w:space="0" w:color="auto"/>
                <w:right w:val="none" w:sz="0" w:space="0" w:color="auto"/>
              </w:divBdr>
            </w:div>
          </w:divsChild>
        </w:div>
        <w:div w:id="544297589">
          <w:marLeft w:val="0"/>
          <w:marRight w:val="0"/>
          <w:marTop w:val="0"/>
          <w:marBottom w:val="0"/>
          <w:divBdr>
            <w:top w:val="none" w:sz="0" w:space="0" w:color="auto"/>
            <w:left w:val="none" w:sz="0" w:space="0" w:color="auto"/>
            <w:bottom w:val="none" w:sz="0" w:space="0" w:color="auto"/>
            <w:right w:val="none" w:sz="0" w:space="0" w:color="auto"/>
          </w:divBdr>
          <w:divsChild>
            <w:div w:id="526718318">
              <w:marLeft w:val="0"/>
              <w:marRight w:val="0"/>
              <w:marTop w:val="0"/>
              <w:marBottom w:val="0"/>
              <w:divBdr>
                <w:top w:val="none" w:sz="0" w:space="0" w:color="auto"/>
                <w:left w:val="none" w:sz="0" w:space="0" w:color="auto"/>
                <w:bottom w:val="none" w:sz="0" w:space="0" w:color="auto"/>
                <w:right w:val="none" w:sz="0" w:space="0" w:color="auto"/>
              </w:divBdr>
            </w:div>
          </w:divsChild>
        </w:div>
        <w:div w:id="548035091">
          <w:marLeft w:val="0"/>
          <w:marRight w:val="0"/>
          <w:marTop w:val="0"/>
          <w:marBottom w:val="0"/>
          <w:divBdr>
            <w:top w:val="none" w:sz="0" w:space="0" w:color="auto"/>
            <w:left w:val="none" w:sz="0" w:space="0" w:color="auto"/>
            <w:bottom w:val="none" w:sz="0" w:space="0" w:color="auto"/>
            <w:right w:val="none" w:sz="0" w:space="0" w:color="auto"/>
          </w:divBdr>
          <w:divsChild>
            <w:div w:id="289170543">
              <w:marLeft w:val="0"/>
              <w:marRight w:val="0"/>
              <w:marTop w:val="0"/>
              <w:marBottom w:val="0"/>
              <w:divBdr>
                <w:top w:val="none" w:sz="0" w:space="0" w:color="auto"/>
                <w:left w:val="none" w:sz="0" w:space="0" w:color="auto"/>
                <w:bottom w:val="none" w:sz="0" w:space="0" w:color="auto"/>
                <w:right w:val="none" w:sz="0" w:space="0" w:color="auto"/>
              </w:divBdr>
            </w:div>
          </w:divsChild>
        </w:div>
        <w:div w:id="560798697">
          <w:marLeft w:val="0"/>
          <w:marRight w:val="0"/>
          <w:marTop w:val="0"/>
          <w:marBottom w:val="0"/>
          <w:divBdr>
            <w:top w:val="none" w:sz="0" w:space="0" w:color="auto"/>
            <w:left w:val="none" w:sz="0" w:space="0" w:color="auto"/>
            <w:bottom w:val="none" w:sz="0" w:space="0" w:color="auto"/>
            <w:right w:val="none" w:sz="0" w:space="0" w:color="auto"/>
          </w:divBdr>
          <w:divsChild>
            <w:div w:id="520972510">
              <w:marLeft w:val="0"/>
              <w:marRight w:val="0"/>
              <w:marTop w:val="0"/>
              <w:marBottom w:val="0"/>
              <w:divBdr>
                <w:top w:val="none" w:sz="0" w:space="0" w:color="auto"/>
                <w:left w:val="none" w:sz="0" w:space="0" w:color="auto"/>
                <w:bottom w:val="none" w:sz="0" w:space="0" w:color="auto"/>
                <w:right w:val="none" w:sz="0" w:space="0" w:color="auto"/>
              </w:divBdr>
            </w:div>
          </w:divsChild>
        </w:div>
        <w:div w:id="572207307">
          <w:marLeft w:val="0"/>
          <w:marRight w:val="0"/>
          <w:marTop w:val="0"/>
          <w:marBottom w:val="0"/>
          <w:divBdr>
            <w:top w:val="none" w:sz="0" w:space="0" w:color="auto"/>
            <w:left w:val="none" w:sz="0" w:space="0" w:color="auto"/>
            <w:bottom w:val="none" w:sz="0" w:space="0" w:color="auto"/>
            <w:right w:val="none" w:sz="0" w:space="0" w:color="auto"/>
          </w:divBdr>
          <w:divsChild>
            <w:div w:id="509415623">
              <w:marLeft w:val="0"/>
              <w:marRight w:val="0"/>
              <w:marTop w:val="0"/>
              <w:marBottom w:val="0"/>
              <w:divBdr>
                <w:top w:val="none" w:sz="0" w:space="0" w:color="auto"/>
                <w:left w:val="none" w:sz="0" w:space="0" w:color="auto"/>
                <w:bottom w:val="none" w:sz="0" w:space="0" w:color="auto"/>
                <w:right w:val="none" w:sz="0" w:space="0" w:color="auto"/>
              </w:divBdr>
            </w:div>
          </w:divsChild>
        </w:div>
        <w:div w:id="608125780">
          <w:marLeft w:val="0"/>
          <w:marRight w:val="0"/>
          <w:marTop w:val="0"/>
          <w:marBottom w:val="0"/>
          <w:divBdr>
            <w:top w:val="none" w:sz="0" w:space="0" w:color="auto"/>
            <w:left w:val="none" w:sz="0" w:space="0" w:color="auto"/>
            <w:bottom w:val="none" w:sz="0" w:space="0" w:color="auto"/>
            <w:right w:val="none" w:sz="0" w:space="0" w:color="auto"/>
          </w:divBdr>
          <w:divsChild>
            <w:div w:id="453132837">
              <w:marLeft w:val="0"/>
              <w:marRight w:val="0"/>
              <w:marTop w:val="0"/>
              <w:marBottom w:val="0"/>
              <w:divBdr>
                <w:top w:val="none" w:sz="0" w:space="0" w:color="auto"/>
                <w:left w:val="none" w:sz="0" w:space="0" w:color="auto"/>
                <w:bottom w:val="none" w:sz="0" w:space="0" w:color="auto"/>
                <w:right w:val="none" w:sz="0" w:space="0" w:color="auto"/>
              </w:divBdr>
            </w:div>
          </w:divsChild>
        </w:div>
        <w:div w:id="616914082">
          <w:marLeft w:val="0"/>
          <w:marRight w:val="0"/>
          <w:marTop w:val="0"/>
          <w:marBottom w:val="0"/>
          <w:divBdr>
            <w:top w:val="none" w:sz="0" w:space="0" w:color="auto"/>
            <w:left w:val="none" w:sz="0" w:space="0" w:color="auto"/>
            <w:bottom w:val="none" w:sz="0" w:space="0" w:color="auto"/>
            <w:right w:val="none" w:sz="0" w:space="0" w:color="auto"/>
          </w:divBdr>
          <w:divsChild>
            <w:div w:id="680468763">
              <w:marLeft w:val="0"/>
              <w:marRight w:val="0"/>
              <w:marTop w:val="0"/>
              <w:marBottom w:val="0"/>
              <w:divBdr>
                <w:top w:val="none" w:sz="0" w:space="0" w:color="auto"/>
                <w:left w:val="none" w:sz="0" w:space="0" w:color="auto"/>
                <w:bottom w:val="none" w:sz="0" w:space="0" w:color="auto"/>
                <w:right w:val="none" w:sz="0" w:space="0" w:color="auto"/>
              </w:divBdr>
            </w:div>
          </w:divsChild>
        </w:div>
        <w:div w:id="625240135">
          <w:marLeft w:val="0"/>
          <w:marRight w:val="0"/>
          <w:marTop w:val="0"/>
          <w:marBottom w:val="0"/>
          <w:divBdr>
            <w:top w:val="none" w:sz="0" w:space="0" w:color="auto"/>
            <w:left w:val="none" w:sz="0" w:space="0" w:color="auto"/>
            <w:bottom w:val="none" w:sz="0" w:space="0" w:color="auto"/>
            <w:right w:val="none" w:sz="0" w:space="0" w:color="auto"/>
          </w:divBdr>
          <w:divsChild>
            <w:div w:id="1116407556">
              <w:marLeft w:val="0"/>
              <w:marRight w:val="0"/>
              <w:marTop w:val="0"/>
              <w:marBottom w:val="0"/>
              <w:divBdr>
                <w:top w:val="none" w:sz="0" w:space="0" w:color="auto"/>
                <w:left w:val="none" w:sz="0" w:space="0" w:color="auto"/>
                <w:bottom w:val="none" w:sz="0" w:space="0" w:color="auto"/>
                <w:right w:val="none" w:sz="0" w:space="0" w:color="auto"/>
              </w:divBdr>
            </w:div>
          </w:divsChild>
        </w:div>
        <w:div w:id="628362873">
          <w:marLeft w:val="0"/>
          <w:marRight w:val="0"/>
          <w:marTop w:val="0"/>
          <w:marBottom w:val="0"/>
          <w:divBdr>
            <w:top w:val="none" w:sz="0" w:space="0" w:color="auto"/>
            <w:left w:val="none" w:sz="0" w:space="0" w:color="auto"/>
            <w:bottom w:val="none" w:sz="0" w:space="0" w:color="auto"/>
            <w:right w:val="none" w:sz="0" w:space="0" w:color="auto"/>
          </w:divBdr>
          <w:divsChild>
            <w:div w:id="2093434108">
              <w:marLeft w:val="0"/>
              <w:marRight w:val="0"/>
              <w:marTop w:val="0"/>
              <w:marBottom w:val="0"/>
              <w:divBdr>
                <w:top w:val="none" w:sz="0" w:space="0" w:color="auto"/>
                <w:left w:val="none" w:sz="0" w:space="0" w:color="auto"/>
                <w:bottom w:val="none" w:sz="0" w:space="0" w:color="auto"/>
                <w:right w:val="none" w:sz="0" w:space="0" w:color="auto"/>
              </w:divBdr>
            </w:div>
          </w:divsChild>
        </w:div>
        <w:div w:id="632757897">
          <w:marLeft w:val="0"/>
          <w:marRight w:val="0"/>
          <w:marTop w:val="0"/>
          <w:marBottom w:val="0"/>
          <w:divBdr>
            <w:top w:val="none" w:sz="0" w:space="0" w:color="auto"/>
            <w:left w:val="none" w:sz="0" w:space="0" w:color="auto"/>
            <w:bottom w:val="none" w:sz="0" w:space="0" w:color="auto"/>
            <w:right w:val="none" w:sz="0" w:space="0" w:color="auto"/>
          </w:divBdr>
          <w:divsChild>
            <w:div w:id="1128088618">
              <w:marLeft w:val="0"/>
              <w:marRight w:val="0"/>
              <w:marTop w:val="0"/>
              <w:marBottom w:val="0"/>
              <w:divBdr>
                <w:top w:val="none" w:sz="0" w:space="0" w:color="auto"/>
                <w:left w:val="none" w:sz="0" w:space="0" w:color="auto"/>
                <w:bottom w:val="none" w:sz="0" w:space="0" w:color="auto"/>
                <w:right w:val="none" w:sz="0" w:space="0" w:color="auto"/>
              </w:divBdr>
            </w:div>
            <w:div w:id="1541823509">
              <w:marLeft w:val="0"/>
              <w:marRight w:val="0"/>
              <w:marTop w:val="0"/>
              <w:marBottom w:val="0"/>
              <w:divBdr>
                <w:top w:val="none" w:sz="0" w:space="0" w:color="auto"/>
                <w:left w:val="none" w:sz="0" w:space="0" w:color="auto"/>
                <w:bottom w:val="none" w:sz="0" w:space="0" w:color="auto"/>
                <w:right w:val="none" w:sz="0" w:space="0" w:color="auto"/>
              </w:divBdr>
            </w:div>
          </w:divsChild>
        </w:div>
        <w:div w:id="666514405">
          <w:marLeft w:val="0"/>
          <w:marRight w:val="0"/>
          <w:marTop w:val="0"/>
          <w:marBottom w:val="0"/>
          <w:divBdr>
            <w:top w:val="none" w:sz="0" w:space="0" w:color="auto"/>
            <w:left w:val="none" w:sz="0" w:space="0" w:color="auto"/>
            <w:bottom w:val="none" w:sz="0" w:space="0" w:color="auto"/>
            <w:right w:val="none" w:sz="0" w:space="0" w:color="auto"/>
          </w:divBdr>
          <w:divsChild>
            <w:div w:id="651102807">
              <w:marLeft w:val="0"/>
              <w:marRight w:val="0"/>
              <w:marTop w:val="0"/>
              <w:marBottom w:val="0"/>
              <w:divBdr>
                <w:top w:val="none" w:sz="0" w:space="0" w:color="auto"/>
                <w:left w:val="none" w:sz="0" w:space="0" w:color="auto"/>
                <w:bottom w:val="none" w:sz="0" w:space="0" w:color="auto"/>
                <w:right w:val="none" w:sz="0" w:space="0" w:color="auto"/>
              </w:divBdr>
            </w:div>
          </w:divsChild>
        </w:div>
        <w:div w:id="666907511">
          <w:marLeft w:val="0"/>
          <w:marRight w:val="0"/>
          <w:marTop w:val="0"/>
          <w:marBottom w:val="0"/>
          <w:divBdr>
            <w:top w:val="none" w:sz="0" w:space="0" w:color="auto"/>
            <w:left w:val="none" w:sz="0" w:space="0" w:color="auto"/>
            <w:bottom w:val="none" w:sz="0" w:space="0" w:color="auto"/>
            <w:right w:val="none" w:sz="0" w:space="0" w:color="auto"/>
          </w:divBdr>
          <w:divsChild>
            <w:div w:id="508565827">
              <w:marLeft w:val="0"/>
              <w:marRight w:val="0"/>
              <w:marTop w:val="0"/>
              <w:marBottom w:val="0"/>
              <w:divBdr>
                <w:top w:val="none" w:sz="0" w:space="0" w:color="auto"/>
                <w:left w:val="none" w:sz="0" w:space="0" w:color="auto"/>
                <w:bottom w:val="none" w:sz="0" w:space="0" w:color="auto"/>
                <w:right w:val="none" w:sz="0" w:space="0" w:color="auto"/>
              </w:divBdr>
            </w:div>
          </w:divsChild>
        </w:div>
        <w:div w:id="708183898">
          <w:marLeft w:val="0"/>
          <w:marRight w:val="0"/>
          <w:marTop w:val="0"/>
          <w:marBottom w:val="0"/>
          <w:divBdr>
            <w:top w:val="none" w:sz="0" w:space="0" w:color="auto"/>
            <w:left w:val="none" w:sz="0" w:space="0" w:color="auto"/>
            <w:bottom w:val="none" w:sz="0" w:space="0" w:color="auto"/>
            <w:right w:val="none" w:sz="0" w:space="0" w:color="auto"/>
          </w:divBdr>
          <w:divsChild>
            <w:div w:id="772897401">
              <w:marLeft w:val="0"/>
              <w:marRight w:val="0"/>
              <w:marTop w:val="0"/>
              <w:marBottom w:val="0"/>
              <w:divBdr>
                <w:top w:val="none" w:sz="0" w:space="0" w:color="auto"/>
                <w:left w:val="none" w:sz="0" w:space="0" w:color="auto"/>
                <w:bottom w:val="none" w:sz="0" w:space="0" w:color="auto"/>
                <w:right w:val="none" w:sz="0" w:space="0" w:color="auto"/>
              </w:divBdr>
            </w:div>
          </w:divsChild>
        </w:div>
        <w:div w:id="712509374">
          <w:marLeft w:val="0"/>
          <w:marRight w:val="0"/>
          <w:marTop w:val="0"/>
          <w:marBottom w:val="0"/>
          <w:divBdr>
            <w:top w:val="none" w:sz="0" w:space="0" w:color="auto"/>
            <w:left w:val="none" w:sz="0" w:space="0" w:color="auto"/>
            <w:bottom w:val="none" w:sz="0" w:space="0" w:color="auto"/>
            <w:right w:val="none" w:sz="0" w:space="0" w:color="auto"/>
          </w:divBdr>
          <w:divsChild>
            <w:div w:id="1090392316">
              <w:marLeft w:val="0"/>
              <w:marRight w:val="0"/>
              <w:marTop w:val="0"/>
              <w:marBottom w:val="0"/>
              <w:divBdr>
                <w:top w:val="none" w:sz="0" w:space="0" w:color="auto"/>
                <w:left w:val="none" w:sz="0" w:space="0" w:color="auto"/>
                <w:bottom w:val="none" w:sz="0" w:space="0" w:color="auto"/>
                <w:right w:val="none" w:sz="0" w:space="0" w:color="auto"/>
              </w:divBdr>
            </w:div>
          </w:divsChild>
        </w:div>
        <w:div w:id="717973024">
          <w:marLeft w:val="0"/>
          <w:marRight w:val="0"/>
          <w:marTop w:val="0"/>
          <w:marBottom w:val="0"/>
          <w:divBdr>
            <w:top w:val="none" w:sz="0" w:space="0" w:color="auto"/>
            <w:left w:val="none" w:sz="0" w:space="0" w:color="auto"/>
            <w:bottom w:val="none" w:sz="0" w:space="0" w:color="auto"/>
            <w:right w:val="none" w:sz="0" w:space="0" w:color="auto"/>
          </w:divBdr>
          <w:divsChild>
            <w:div w:id="405688720">
              <w:marLeft w:val="0"/>
              <w:marRight w:val="0"/>
              <w:marTop w:val="0"/>
              <w:marBottom w:val="0"/>
              <w:divBdr>
                <w:top w:val="none" w:sz="0" w:space="0" w:color="auto"/>
                <w:left w:val="none" w:sz="0" w:space="0" w:color="auto"/>
                <w:bottom w:val="none" w:sz="0" w:space="0" w:color="auto"/>
                <w:right w:val="none" w:sz="0" w:space="0" w:color="auto"/>
              </w:divBdr>
            </w:div>
          </w:divsChild>
        </w:div>
        <w:div w:id="718238803">
          <w:marLeft w:val="0"/>
          <w:marRight w:val="0"/>
          <w:marTop w:val="0"/>
          <w:marBottom w:val="0"/>
          <w:divBdr>
            <w:top w:val="none" w:sz="0" w:space="0" w:color="auto"/>
            <w:left w:val="none" w:sz="0" w:space="0" w:color="auto"/>
            <w:bottom w:val="none" w:sz="0" w:space="0" w:color="auto"/>
            <w:right w:val="none" w:sz="0" w:space="0" w:color="auto"/>
          </w:divBdr>
          <w:divsChild>
            <w:div w:id="1296986481">
              <w:marLeft w:val="0"/>
              <w:marRight w:val="0"/>
              <w:marTop w:val="0"/>
              <w:marBottom w:val="0"/>
              <w:divBdr>
                <w:top w:val="none" w:sz="0" w:space="0" w:color="auto"/>
                <w:left w:val="none" w:sz="0" w:space="0" w:color="auto"/>
                <w:bottom w:val="none" w:sz="0" w:space="0" w:color="auto"/>
                <w:right w:val="none" w:sz="0" w:space="0" w:color="auto"/>
              </w:divBdr>
            </w:div>
          </w:divsChild>
        </w:div>
        <w:div w:id="719784936">
          <w:marLeft w:val="0"/>
          <w:marRight w:val="0"/>
          <w:marTop w:val="0"/>
          <w:marBottom w:val="0"/>
          <w:divBdr>
            <w:top w:val="none" w:sz="0" w:space="0" w:color="auto"/>
            <w:left w:val="none" w:sz="0" w:space="0" w:color="auto"/>
            <w:bottom w:val="none" w:sz="0" w:space="0" w:color="auto"/>
            <w:right w:val="none" w:sz="0" w:space="0" w:color="auto"/>
          </w:divBdr>
          <w:divsChild>
            <w:div w:id="1626616229">
              <w:marLeft w:val="0"/>
              <w:marRight w:val="0"/>
              <w:marTop w:val="0"/>
              <w:marBottom w:val="0"/>
              <w:divBdr>
                <w:top w:val="none" w:sz="0" w:space="0" w:color="auto"/>
                <w:left w:val="none" w:sz="0" w:space="0" w:color="auto"/>
                <w:bottom w:val="none" w:sz="0" w:space="0" w:color="auto"/>
                <w:right w:val="none" w:sz="0" w:space="0" w:color="auto"/>
              </w:divBdr>
            </w:div>
          </w:divsChild>
        </w:div>
        <w:div w:id="720835038">
          <w:marLeft w:val="0"/>
          <w:marRight w:val="0"/>
          <w:marTop w:val="0"/>
          <w:marBottom w:val="0"/>
          <w:divBdr>
            <w:top w:val="none" w:sz="0" w:space="0" w:color="auto"/>
            <w:left w:val="none" w:sz="0" w:space="0" w:color="auto"/>
            <w:bottom w:val="none" w:sz="0" w:space="0" w:color="auto"/>
            <w:right w:val="none" w:sz="0" w:space="0" w:color="auto"/>
          </w:divBdr>
          <w:divsChild>
            <w:div w:id="140733525">
              <w:marLeft w:val="0"/>
              <w:marRight w:val="0"/>
              <w:marTop w:val="0"/>
              <w:marBottom w:val="0"/>
              <w:divBdr>
                <w:top w:val="none" w:sz="0" w:space="0" w:color="auto"/>
                <w:left w:val="none" w:sz="0" w:space="0" w:color="auto"/>
                <w:bottom w:val="none" w:sz="0" w:space="0" w:color="auto"/>
                <w:right w:val="none" w:sz="0" w:space="0" w:color="auto"/>
              </w:divBdr>
            </w:div>
          </w:divsChild>
        </w:div>
        <w:div w:id="729229498">
          <w:marLeft w:val="0"/>
          <w:marRight w:val="0"/>
          <w:marTop w:val="0"/>
          <w:marBottom w:val="0"/>
          <w:divBdr>
            <w:top w:val="none" w:sz="0" w:space="0" w:color="auto"/>
            <w:left w:val="none" w:sz="0" w:space="0" w:color="auto"/>
            <w:bottom w:val="none" w:sz="0" w:space="0" w:color="auto"/>
            <w:right w:val="none" w:sz="0" w:space="0" w:color="auto"/>
          </w:divBdr>
          <w:divsChild>
            <w:div w:id="269628527">
              <w:marLeft w:val="0"/>
              <w:marRight w:val="0"/>
              <w:marTop w:val="0"/>
              <w:marBottom w:val="0"/>
              <w:divBdr>
                <w:top w:val="none" w:sz="0" w:space="0" w:color="auto"/>
                <w:left w:val="none" w:sz="0" w:space="0" w:color="auto"/>
                <w:bottom w:val="none" w:sz="0" w:space="0" w:color="auto"/>
                <w:right w:val="none" w:sz="0" w:space="0" w:color="auto"/>
              </w:divBdr>
            </w:div>
            <w:div w:id="1659647634">
              <w:marLeft w:val="0"/>
              <w:marRight w:val="0"/>
              <w:marTop w:val="0"/>
              <w:marBottom w:val="0"/>
              <w:divBdr>
                <w:top w:val="none" w:sz="0" w:space="0" w:color="auto"/>
                <w:left w:val="none" w:sz="0" w:space="0" w:color="auto"/>
                <w:bottom w:val="none" w:sz="0" w:space="0" w:color="auto"/>
                <w:right w:val="none" w:sz="0" w:space="0" w:color="auto"/>
              </w:divBdr>
            </w:div>
          </w:divsChild>
        </w:div>
        <w:div w:id="741027174">
          <w:marLeft w:val="0"/>
          <w:marRight w:val="0"/>
          <w:marTop w:val="0"/>
          <w:marBottom w:val="0"/>
          <w:divBdr>
            <w:top w:val="none" w:sz="0" w:space="0" w:color="auto"/>
            <w:left w:val="none" w:sz="0" w:space="0" w:color="auto"/>
            <w:bottom w:val="none" w:sz="0" w:space="0" w:color="auto"/>
            <w:right w:val="none" w:sz="0" w:space="0" w:color="auto"/>
          </w:divBdr>
          <w:divsChild>
            <w:div w:id="1712074549">
              <w:marLeft w:val="0"/>
              <w:marRight w:val="0"/>
              <w:marTop w:val="0"/>
              <w:marBottom w:val="0"/>
              <w:divBdr>
                <w:top w:val="none" w:sz="0" w:space="0" w:color="auto"/>
                <w:left w:val="none" w:sz="0" w:space="0" w:color="auto"/>
                <w:bottom w:val="none" w:sz="0" w:space="0" w:color="auto"/>
                <w:right w:val="none" w:sz="0" w:space="0" w:color="auto"/>
              </w:divBdr>
            </w:div>
          </w:divsChild>
        </w:div>
        <w:div w:id="743599726">
          <w:marLeft w:val="0"/>
          <w:marRight w:val="0"/>
          <w:marTop w:val="0"/>
          <w:marBottom w:val="0"/>
          <w:divBdr>
            <w:top w:val="none" w:sz="0" w:space="0" w:color="auto"/>
            <w:left w:val="none" w:sz="0" w:space="0" w:color="auto"/>
            <w:bottom w:val="none" w:sz="0" w:space="0" w:color="auto"/>
            <w:right w:val="none" w:sz="0" w:space="0" w:color="auto"/>
          </w:divBdr>
          <w:divsChild>
            <w:div w:id="814955505">
              <w:marLeft w:val="0"/>
              <w:marRight w:val="0"/>
              <w:marTop w:val="0"/>
              <w:marBottom w:val="0"/>
              <w:divBdr>
                <w:top w:val="none" w:sz="0" w:space="0" w:color="auto"/>
                <w:left w:val="none" w:sz="0" w:space="0" w:color="auto"/>
                <w:bottom w:val="none" w:sz="0" w:space="0" w:color="auto"/>
                <w:right w:val="none" w:sz="0" w:space="0" w:color="auto"/>
              </w:divBdr>
            </w:div>
          </w:divsChild>
        </w:div>
        <w:div w:id="776558803">
          <w:marLeft w:val="0"/>
          <w:marRight w:val="0"/>
          <w:marTop w:val="0"/>
          <w:marBottom w:val="0"/>
          <w:divBdr>
            <w:top w:val="none" w:sz="0" w:space="0" w:color="auto"/>
            <w:left w:val="none" w:sz="0" w:space="0" w:color="auto"/>
            <w:bottom w:val="none" w:sz="0" w:space="0" w:color="auto"/>
            <w:right w:val="none" w:sz="0" w:space="0" w:color="auto"/>
          </w:divBdr>
          <w:divsChild>
            <w:div w:id="420025373">
              <w:marLeft w:val="0"/>
              <w:marRight w:val="0"/>
              <w:marTop w:val="0"/>
              <w:marBottom w:val="0"/>
              <w:divBdr>
                <w:top w:val="none" w:sz="0" w:space="0" w:color="auto"/>
                <w:left w:val="none" w:sz="0" w:space="0" w:color="auto"/>
                <w:bottom w:val="none" w:sz="0" w:space="0" w:color="auto"/>
                <w:right w:val="none" w:sz="0" w:space="0" w:color="auto"/>
              </w:divBdr>
            </w:div>
          </w:divsChild>
        </w:div>
        <w:div w:id="800617107">
          <w:marLeft w:val="0"/>
          <w:marRight w:val="0"/>
          <w:marTop w:val="0"/>
          <w:marBottom w:val="0"/>
          <w:divBdr>
            <w:top w:val="none" w:sz="0" w:space="0" w:color="auto"/>
            <w:left w:val="none" w:sz="0" w:space="0" w:color="auto"/>
            <w:bottom w:val="none" w:sz="0" w:space="0" w:color="auto"/>
            <w:right w:val="none" w:sz="0" w:space="0" w:color="auto"/>
          </w:divBdr>
          <w:divsChild>
            <w:div w:id="440152245">
              <w:marLeft w:val="0"/>
              <w:marRight w:val="0"/>
              <w:marTop w:val="0"/>
              <w:marBottom w:val="0"/>
              <w:divBdr>
                <w:top w:val="none" w:sz="0" w:space="0" w:color="auto"/>
                <w:left w:val="none" w:sz="0" w:space="0" w:color="auto"/>
                <w:bottom w:val="none" w:sz="0" w:space="0" w:color="auto"/>
                <w:right w:val="none" w:sz="0" w:space="0" w:color="auto"/>
              </w:divBdr>
            </w:div>
          </w:divsChild>
        </w:div>
        <w:div w:id="810098500">
          <w:marLeft w:val="0"/>
          <w:marRight w:val="0"/>
          <w:marTop w:val="0"/>
          <w:marBottom w:val="0"/>
          <w:divBdr>
            <w:top w:val="none" w:sz="0" w:space="0" w:color="auto"/>
            <w:left w:val="none" w:sz="0" w:space="0" w:color="auto"/>
            <w:bottom w:val="none" w:sz="0" w:space="0" w:color="auto"/>
            <w:right w:val="none" w:sz="0" w:space="0" w:color="auto"/>
          </w:divBdr>
          <w:divsChild>
            <w:div w:id="1067344477">
              <w:marLeft w:val="0"/>
              <w:marRight w:val="0"/>
              <w:marTop w:val="0"/>
              <w:marBottom w:val="0"/>
              <w:divBdr>
                <w:top w:val="none" w:sz="0" w:space="0" w:color="auto"/>
                <w:left w:val="none" w:sz="0" w:space="0" w:color="auto"/>
                <w:bottom w:val="none" w:sz="0" w:space="0" w:color="auto"/>
                <w:right w:val="none" w:sz="0" w:space="0" w:color="auto"/>
              </w:divBdr>
            </w:div>
          </w:divsChild>
        </w:div>
        <w:div w:id="811215525">
          <w:marLeft w:val="0"/>
          <w:marRight w:val="0"/>
          <w:marTop w:val="0"/>
          <w:marBottom w:val="0"/>
          <w:divBdr>
            <w:top w:val="none" w:sz="0" w:space="0" w:color="auto"/>
            <w:left w:val="none" w:sz="0" w:space="0" w:color="auto"/>
            <w:bottom w:val="none" w:sz="0" w:space="0" w:color="auto"/>
            <w:right w:val="none" w:sz="0" w:space="0" w:color="auto"/>
          </w:divBdr>
          <w:divsChild>
            <w:div w:id="267737536">
              <w:marLeft w:val="0"/>
              <w:marRight w:val="0"/>
              <w:marTop w:val="0"/>
              <w:marBottom w:val="0"/>
              <w:divBdr>
                <w:top w:val="none" w:sz="0" w:space="0" w:color="auto"/>
                <w:left w:val="none" w:sz="0" w:space="0" w:color="auto"/>
                <w:bottom w:val="none" w:sz="0" w:space="0" w:color="auto"/>
                <w:right w:val="none" w:sz="0" w:space="0" w:color="auto"/>
              </w:divBdr>
            </w:div>
          </w:divsChild>
        </w:div>
        <w:div w:id="819275303">
          <w:marLeft w:val="0"/>
          <w:marRight w:val="0"/>
          <w:marTop w:val="0"/>
          <w:marBottom w:val="0"/>
          <w:divBdr>
            <w:top w:val="none" w:sz="0" w:space="0" w:color="auto"/>
            <w:left w:val="none" w:sz="0" w:space="0" w:color="auto"/>
            <w:bottom w:val="none" w:sz="0" w:space="0" w:color="auto"/>
            <w:right w:val="none" w:sz="0" w:space="0" w:color="auto"/>
          </w:divBdr>
          <w:divsChild>
            <w:div w:id="788936762">
              <w:marLeft w:val="0"/>
              <w:marRight w:val="0"/>
              <w:marTop w:val="0"/>
              <w:marBottom w:val="0"/>
              <w:divBdr>
                <w:top w:val="none" w:sz="0" w:space="0" w:color="auto"/>
                <w:left w:val="none" w:sz="0" w:space="0" w:color="auto"/>
                <w:bottom w:val="none" w:sz="0" w:space="0" w:color="auto"/>
                <w:right w:val="none" w:sz="0" w:space="0" w:color="auto"/>
              </w:divBdr>
            </w:div>
          </w:divsChild>
        </w:div>
        <w:div w:id="853299223">
          <w:marLeft w:val="0"/>
          <w:marRight w:val="0"/>
          <w:marTop w:val="0"/>
          <w:marBottom w:val="0"/>
          <w:divBdr>
            <w:top w:val="none" w:sz="0" w:space="0" w:color="auto"/>
            <w:left w:val="none" w:sz="0" w:space="0" w:color="auto"/>
            <w:bottom w:val="none" w:sz="0" w:space="0" w:color="auto"/>
            <w:right w:val="none" w:sz="0" w:space="0" w:color="auto"/>
          </w:divBdr>
          <w:divsChild>
            <w:div w:id="36122782">
              <w:marLeft w:val="0"/>
              <w:marRight w:val="0"/>
              <w:marTop w:val="0"/>
              <w:marBottom w:val="0"/>
              <w:divBdr>
                <w:top w:val="none" w:sz="0" w:space="0" w:color="auto"/>
                <w:left w:val="none" w:sz="0" w:space="0" w:color="auto"/>
                <w:bottom w:val="none" w:sz="0" w:space="0" w:color="auto"/>
                <w:right w:val="none" w:sz="0" w:space="0" w:color="auto"/>
              </w:divBdr>
            </w:div>
          </w:divsChild>
        </w:div>
        <w:div w:id="857738578">
          <w:marLeft w:val="0"/>
          <w:marRight w:val="0"/>
          <w:marTop w:val="0"/>
          <w:marBottom w:val="0"/>
          <w:divBdr>
            <w:top w:val="none" w:sz="0" w:space="0" w:color="auto"/>
            <w:left w:val="none" w:sz="0" w:space="0" w:color="auto"/>
            <w:bottom w:val="none" w:sz="0" w:space="0" w:color="auto"/>
            <w:right w:val="none" w:sz="0" w:space="0" w:color="auto"/>
          </w:divBdr>
          <w:divsChild>
            <w:div w:id="1213031963">
              <w:marLeft w:val="0"/>
              <w:marRight w:val="0"/>
              <w:marTop w:val="0"/>
              <w:marBottom w:val="0"/>
              <w:divBdr>
                <w:top w:val="none" w:sz="0" w:space="0" w:color="auto"/>
                <w:left w:val="none" w:sz="0" w:space="0" w:color="auto"/>
                <w:bottom w:val="none" w:sz="0" w:space="0" w:color="auto"/>
                <w:right w:val="none" w:sz="0" w:space="0" w:color="auto"/>
              </w:divBdr>
            </w:div>
          </w:divsChild>
        </w:div>
        <w:div w:id="869420010">
          <w:marLeft w:val="0"/>
          <w:marRight w:val="0"/>
          <w:marTop w:val="0"/>
          <w:marBottom w:val="0"/>
          <w:divBdr>
            <w:top w:val="none" w:sz="0" w:space="0" w:color="auto"/>
            <w:left w:val="none" w:sz="0" w:space="0" w:color="auto"/>
            <w:bottom w:val="none" w:sz="0" w:space="0" w:color="auto"/>
            <w:right w:val="none" w:sz="0" w:space="0" w:color="auto"/>
          </w:divBdr>
          <w:divsChild>
            <w:div w:id="1950506425">
              <w:marLeft w:val="0"/>
              <w:marRight w:val="0"/>
              <w:marTop w:val="0"/>
              <w:marBottom w:val="0"/>
              <w:divBdr>
                <w:top w:val="none" w:sz="0" w:space="0" w:color="auto"/>
                <w:left w:val="none" w:sz="0" w:space="0" w:color="auto"/>
                <w:bottom w:val="none" w:sz="0" w:space="0" w:color="auto"/>
                <w:right w:val="none" w:sz="0" w:space="0" w:color="auto"/>
              </w:divBdr>
            </w:div>
          </w:divsChild>
        </w:div>
        <w:div w:id="886648024">
          <w:marLeft w:val="0"/>
          <w:marRight w:val="0"/>
          <w:marTop w:val="0"/>
          <w:marBottom w:val="0"/>
          <w:divBdr>
            <w:top w:val="none" w:sz="0" w:space="0" w:color="auto"/>
            <w:left w:val="none" w:sz="0" w:space="0" w:color="auto"/>
            <w:bottom w:val="none" w:sz="0" w:space="0" w:color="auto"/>
            <w:right w:val="none" w:sz="0" w:space="0" w:color="auto"/>
          </w:divBdr>
          <w:divsChild>
            <w:div w:id="475268675">
              <w:marLeft w:val="0"/>
              <w:marRight w:val="0"/>
              <w:marTop w:val="0"/>
              <w:marBottom w:val="0"/>
              <w:divBdr>
                <w:top w:val="none" w:sz="0" w:space="0" w:color="auto"/>
                <w:left w:val="none" w:sz="0" w:space="0" w:color="auto"/>
                <w:bottom w:val="none" w:sz="0" w:space="0" w:color="auto"/>
                <w:right w:val="none" w:sz="0" w:space="0" w:color="auto"/>
              </w:divBdr>
            </w:div>
          </w:divsChild>
        </w:div>
        <w:div w:id="896554801">
          <w:marLeft w:val="0"/>
          <w:marRight w:val="0"/>
          <w:marTop w:val="0"/>
          <w:marBottom w:val="0"/>
          <w:divBdr>
            <w:top w:val="none" w:sz="0" w:space="0" w:color="auto"/>
            <w:left w:val="none" w:sz="0" w:space="0" w:color="auto"/>
            <w:bottom w:val="none" w:sz="0" w:space="0" w:color="auto"/>
            <w:right w:val="none" w:sz="0" w:space="0" w:color="auto"/>
          </w:divBdr>
          <w:divsChild>
            <w:div w:id="890311789">
              <w:marLeft w:val="0"/>
              <w:marRight w:val="0"/>
              <w:marTop w:val="0"/>
              <w:marBottom w:val="0"/>
              <w:divBdr>
                <w:top w:val="none" w:sz="0" w:space="0" w:color="auto"/>
                <w:left w:val="none" w:sz="0" w:space="0" w:color="auto"/>
                <w:bottom w:val="none" w:sz="0" w:space="0" w:color="auto"/>
                <w:right w:val="none" w:sz="0" w:space="0" w:color="auto"/>
              </w:divBdr>
            </w:div>
          </w:divsChild>
        </w:div>
        <w:div w:id="896555534">
          <w:marLeft w:val="0"/>
          <w:marRight w:val="0"/>
          <w:marTop w:val="0"/>
          <w:marBottom w:val="0"/>
          <w:divBdr>
            <w:top w:val="none" w:sz="0" w:space="0" w:color="auto"/>
            <w:left w:val="none" w:sz="0" w:space="0" w:color="auto"/>
            <w:bottom w:val="none" w:sz="0" w:space="0" w:color="auto"/>
            <w:right w:val="none" w:sz="0" w:space="0" w:color="auto"/>
          </w:divBdr>
          <w:divsChild>
            <w:div w:id="1326664687">
              <w:marLeft w:val="0"/>
              <w:marRight w:val="0"/>
              <w:marTop w:val="0"/>
              <w:marBottom w:val="0"/>
              <w:divBdr>
                <w:top w:val="none" w:sz="0" w:space="0" w:color="auto"/>
                <w:left w:val="none" w:sz="0" w:space="0" w:color="auto"/>
                <w:bottom w:val="none" w:sz="0" w:space="0" w:color="auto"/>
                <w:right w:val="none" w:sz="0" w:space="0" w:color="auto"/>
              </w:divBdr>
            </w:div>
          </w:divsChild>
        </w:div>
        <w:div w:id="944383078">
          <w:marLeft w:val="0"/>
          <w:marRight w:val="0"/>
          <w:marTop w:val="0"/>
          <w:marBottom w:val="0"/>
          <w:divBdr>
            <w:top w:val="none" w:sz="0" w:space="0" w:color="auto"/>
            <w:left w:val="none" w:sz="0" w:space="0" w:color="auto"/>
            <w:bottom w:val="none" w:sz="0" w:space="0" w:color="auto"/>
            <w:right w:val="none" w:sz="0" w:space="0" w:color="auto"/>
          </w:divBdr>
          <w:divsChild>
            <w:div w:id="1056199821">
              <w:marLeft w:val="0"/>
              <w:marRight w:val="0"/>
              <w:marTop w:val="0"/>
              <w:marBottom w:val="0"/>
              <w:divBdr>
                <w:top w:val="none" w:sz="0" w:space="0" w:color="auto"/>
                <w:left w:val="none" w:sz="0" w:space="0" w:color="auto"/>
                <w:bottom w:val="none" w:sz="0" w:space="0" w:color="auto"/>
                <w:right w:val="none" w:sz="0" w:space="0" w:color="auto"/>
              </w:divBdr>
            </w:div>
          </w:divsChild>
        </w:div>
        <w:div w:id="970213367">
          <w:marLeft w:val="0"/>
          <w:marRight w:val="0"/>
          <w:marTop w:val="0"/>
          <w:marBottom w:val="0"/>
          <w:divBdr>
            <w:top w:val="none" w:sz="0" w:space="0" w:color="auto"/>
            <w:left w:val="none" w:sz="0" w:space="0" w:color="auto"/>
            <w:bottom w:val="none" w:sz="0" w:space="0" w:color="auto"/>
            <w:right w:val="none" w:sz="0" w:space="0" w:color="auto"/>
          </w:divBdr>
          <w:divsChild>
            <w:div w:id="1904675902">
              <w:marLeft w:val="0"/>
              <w:marRight w:val="0"/>
              <w:marTop w:val="0"/>
              <w:marBottom w:val="0"/>
              <w:divBdr>
                <w:top w:val="none" w:sz="0" w:space="0" w:color="auto"/>
                <w:left w:val="none" w:sz="0" w:space="0" w:color="auto"/>
                <w:bottom w:val="none" w:sz="0" w:space="0" w:color="auto"/>
                <w:right w:val="none" w:sz="0" w:space="0" w:color="auto"/>
              </w:divBdr>
            </w:div>
          </w:divsChild>
        </w:div>
        <w:div w:id="981933642">
          <w:marLeft w:val="0"/>
          <w:marRight w:val="0"/>
          <w:marTop w:val="0"/>
          <w:marBottom w:val="0"/>
          <w:divBdr>
            <w:top w:val="none" w:sz="0" w:space="0" w:color="auto"/>
            <w:left w:val="none" w:sz="0" w:space="0" w:color="auto"/>
            <w:bottom w:val="none" w:sz="0" w:space="0" w:color="auto"/>
            <w:right w:val="none" w:sz="0" w:space="0" w:color="auto"/>
          </w:divBdr>
          <w:divsChild>
            <w:div w:id="632371709">
              <w:marLeft w:val="0"/>
              <w:marRight w:val="0"/>
              <w:marTop w:val="0"/>
              <w:marBottom w:val="0"/>
              <w:divBdr>
                <w:top w:val="none" w:sz="0" w:space="0" w:color="auto"/>
                <w:left w:val="none" w:sz="0" w:space="0" w:color="auto"/>
                <w:bottom w:val="none" w:sz="0" w:space="0" w:color="auto"/>
                <w:right w:val="none" w:sz="0" w:space="0" w:color="auto"/>
              </w:divBdr>
            </w:div>
          </w:divsChild>
        </w:div>
        <w:div w:id="983966883">
          <w:marLeft w:val="0"/>
          <w:marRight w:val="0"/>
          <w:marTop w:val="0"/>
          <w:marBottom w:val="0"/>
          <w:divBdr>
            <w:top w:val="none" w:sz="0" w:space="0" w:color="auto"/>
            <w:left w:val="none" w:sz="0" w:space="0" w:color="auto"/>
            <w:bottom w:val="none" w:sz="0" w:space="0" w:color="auto"/>
            <w:right w:val="none" w:sz="0" w:space="0" w:color="auto"/>
          </w:divBdr>
          <w:divsChild>
            <w:div w:id="1308585383">
              <w:marLeft w:val="0"/>
              <w:marRight w:val="0"/>
              <w:marTop w:val="0"/>
              <w:marBottom w:val="0"/>
              <w:divBdr>
                <w:top w:val="none" w:sz="0" w:space="0" w:color="auto"/>
                <w:left w:val="none" w:sz="0" w:space="0" w:color="auto"/>
                <w:bottom w:val="none" w:sz="0" w:space="0" w:color="auto"/>
                <w:right w:val="none" w:sz="0" w:space="0" w:color="auto"/>
              </w:divBdr>
            </w:div>
          </w:divsChild>
        </w:div>
        <w:div w:id="993994625">
          <w:marLeft w:val="0"/>
          <w:marRight w:val="0"/>
          <w:marTop w:val="0"/>
          <w:marBottom w:val="0"/>
          <w:divBdr>
            <w:top w:val="none" w:sz="0" w:space="0" w:color="auto"/>
            <w:left w:val="none" w:sz="0" w:space="0" w:color="auto"/>
            <w:bottom w:val="none" w:sz="0" w:space="0" w:color="auto"/>
            <w:right w:val="none" w:sz="0" w:space="0" w:color="auto"/>
          </w:divBdr>
          <w:divsChild>
            <w:div w:id="642933004">
              <w:marLeft w:val="0"/>
              <w:marRight w:val="0"/>
              <w:marTop w:val="0"/>
              <w:marBottom w:val="0"/>
              <w:divBdr>
                <w:top w:val="none" w:sz="0" w:space="0" w:color="auto"/>
                <w:left w:val="none" w:sz="0" w:space="0" w:color="auto"/>
                <w:bottom w:val="none" w:sz="0" w:space="0" w:color="auto"/>
                <w:right w:val="none" w:sz="0" w:space="0" w:color="auto"/>
              </w:divBdr>
            </w:div>
          </w:divsChild>
        </w:div>
        <w:div w:id="1005667036">
          <w:marLeft w:val="0"/>
          <w:marRight w:val="0"/>
          <w:marTop w:val="0"/>
          <w:marBottom w:val="0"/>
          <w:divBdr>
            <w:top w:val="none" w:sz="0" w:space="0" w:color="auto"/>
            <w:left w:val="none" w:sz="0" w:space="0" w:color="auto"/>
            <w:bottom w:val="none" w:sz="0" w:space="0" w:color="auto"/>
            <w:right w:val="none" w:sz="0" w:space="0" w:color="auto"/>
          </w:divBdr>
          <w:divsChild>
            <w:div w:id="599413994">
              <w:marLeft w:val="0"/>
              <w:marRight w:val="0"/>
              <w:marTop w:val="0"/>
              <w:marBottom w:val="0"/>
              <w:divBdr>
                <w:top w:val="none" w:sz="0" w:space="0" w:color="auto"/>
                <w:left w:val="none" w:sz="0" w:space="0" w:color="auto"/>
                <w:bottom w:val="none" w:sz="0" w:space="0" w:color="auto"/>
                <w:right w:val="none" w:sz="0" w:space="0" w:color="auto"/>
              </w:divBdr>
            </w:div>
          </w:divsChild>
        </w:div>
        <w:div w:id="1011299587">
          <w:marLeft w:val="0"/>
          <w:marRight w:val="0"/>
          <w:marTop w:val="0"/>
          <w:marBottom w:val="0"/>
          <w:divBdr>
            <w:top w:val="none" w:sz="0" w:space="0" w:color="auto"/>
            <w:left w:val="none" w:sz="0" w:space="0" w:color="auto"/>
            <w:bottom w:val="none" w:sz="0" w:space="0" w:color="auto"/>
            <w:right w:val="none" w:sz="0" w:space="0" w:color="auto"/>
          </w:divBdr>
          <w:divsChild>
            <w:div w:id="226304130">
              <w:marLeft w:val="0"/>
              <w:marRight w:val="0"/>
              <w:marTop w:val="0"/>
              <w:marBottom w:val="0"/>
              <w:divBdr>
                <w:top w:val="none" w:sz="0" w:space="0" w:color="auto"/>
                <w:left w:val="none" w:sz="0" w:space="0" w:color="auto"/>
                <w:bottom w:val="none" w:sz="0" w:space="0" w:color="auto"/>
                <w:right w:val="none" w:sz="0" w:space="0" w:color="auto"/>
              </w:divBdr>
            </w:div>
          </w:divsChild>
        </w:div>
        <w:div w:id="1038703466">
          <w:marLeft w:val="0"/>
          <w:marRight w:val="0"/>
          <w:marTop w:val="0"/>
          <w:marBottom w:val="0"/>
          <w:divBdr>
            <w:top w:val="none" w:sz="0" w:space="0" w:color="auto"/>
            <w:left w:val="none" w:sz="0" w:space="0" w:color="auto"/>
            <w:bottom w:val="none" w:sz="0" w:space="0" w:color="auto"/>
            <w:right w:val="none" w:sz="0" w:space="0" w:color="auto"/>
          </w:divBdr>
          <w:divsChild>
            <w:div w:id="322398437">
              <w:marLeft w:val="0"/>
              <w:marRight w:val="0"/>
              <w:marTop w:val="0"/>
              <w:marBottom w:val="0"/>
              <w:divBdr>
                <w:top w:val="none" w:sz="0" w:space="0" w:color="auto"/>
                <w:left w:val="none" w:sz="0" w:space="0" w:color="auto"/>
                <w:bottom w:val="none" w:sz="0" w:space="0" w:color="auto"/>
                <w:right w:val="none" w:sz="0" w:space="0" w:color="auto"/>
              </w:divBdr>
            </w:div>
          </w:divsChild>
        </w:div>
        <w:div w:id="1058867358">
          <w:marLeft w:val="0"/>
          <w:marRight w:val="0"/>
          <w:marTop w:val="0"/>
          <w:marBottom w:val="0"/>
          <w:divBdr>
            <w:top w:val="none" w:sz="0" w:space="0" w:color="auto"/>
            <w:left w:val="none" w:sz="0" w:space="0" w:color="auto"/>
            <w:bottom w:val="none" w:sz="0" w:space="0" w:color="auto"/>
            <w:right w:val="none" w:sz="0" w:space="0" w:color="auto"/>
          </w:divBdr>
          <w:divsChild>
            <w:div w:id="1186938732">
              <w:marLeft w:val="0"/>
              <w:marRight w:val="0"/>
              <w:marTop w:val="0"/>
              <w:marBottom w:val="0"/>
              <w:divBdr>
                <w:top w:val="none" w:sz="0" w:space="0" w:color="auto"/>
                <w:left w:val="none" w:sz="0" w:space="0" w:color="auto"/>
                <w:bottom w:val="none" w:sz="0" w:space="0" w:color="auto"/>
                <w:right w:val="none" w:sz="0" w:space="0" w:color="auto"/>
              </w:divBdr>
            </w:div>
          </w:divsChild>
        </w:div>
        <w:div w:id="1068962737">
          <w:marLeft w:val="0"/>
          <w:marRight w:val="0"/>
          <w:marTop w:val="0"/>
          <w:marBottom w:val="0"/>
          <w:divBdr>
            <w:top w:val="none" w:sz="0" w:space="0" w:color="auto"/>
            <w:left w:val="none" w:sz="0" w:space="0" w:color="auto"/>
            <w:bottom w:val="none" w:sz="0" w:space="0" w:color="auto"/>
            <w:right w:val="none" w:sz="0" w:space="0" w:color="auto"/>
          </w:divBdr>
          <w:divsChild>
            <w:div w:id="937983383">
              <w:marLeft w:val="0"/>
              <w:marRight w:val="0"/>
              <w:marTop w:val="0"/>
              <w:marBottom w:val="0"/>
              <w:divBdr>
                <w:top w:val="none" w:sz="0" w:space="0" w:color="auto"/>
                <w:left w:val="none" w:sz="0" w:space="0" w:color="auto"/>
                <w:bottom w:val="none" w:sz="0" w:space="0" w:color="auto"/>
                <w:right w:val="none" w:sz="0" w:space="0" w:color="auto"/>
              </w:divBdr>
            </w:div>
          </w:divsChild>
        </w:div>
        <w:div w:id="1073044073">
          <w:marLeft w:val="0"/>
          <w:marRight w:val="0"/>
          <w:marTop w:val="0"/>
          <w:marBottom w:val="0"/>
          <w:divBdr>
            <w:top w:val="none" w:sz="0" w:space="0" w:color="auto"/>
            <w:left w:val="none" w:sz="0" w:space="0" w:color="auto"/>
            <w:bottom w:val="none" w:sz="0" w:space="0" w:color="auto"/>
            <w:right w:val="none" w:sz="0" w:space="0" w:color="auto"/>
          </w:divBdr>
          <w:divsChild>
            <w:div w:id="2044095230">
              <w:marLeft w:val="0"/>
              <w:marRight w:val="0"/>
              <w:marTop w:val="0"/>
              <w:marBottom w:val="0"/>
              <w:divBdr>
                <w:top w:val="none" w:sz="0" w:space="0" w:color="auto"/>
                <w:left w:val="none" w:sz="0" w:space="0" w:color="auto"/>
                <w:bottom w:val="none" w:sz="0" w:space="0" w:color="auto"/>
                <w:right w:val="none" w:sz="0" w:space="0" w:color="auto"/>
              </w:divBdr>
            </w:div>
          </w:divsChild>
        </w:div>
        <w:div w:id="1079249236">
          <w:marLeft w:val="0"/>
          <w:marRight w:val="0"/>
          <w:marTop w:val="0"/>
          <w:marBottom w:val="0"/>
          <w:divBdr>
            <w:top w:val="none" w:sz="0" w:space="0" w:color="auto"/>
            <w:left w:val="none" w:sz="0" w:space="0" w:color="auto"/>
            <w:bottom w:val="none" w:sz="0" w:space="0" w:color="auto"/>
            <w:right w:val="none" w:sz="0" w:space="0" w:color="auto"/>
          </w:divBdr>
          <w:divsChild>
            <w:div w:id="1411998795">
              <w:marLeft w:val="0"/>
              <w:marRight w:val="0"/>
              <w:marTop w:val="0"/>
              <w:marBottom w:val="0"/>
              <w:divBdr>
                <w:top w:val="none" w:sz="0" w:space="0" w:color="auto"/>
                <w:left w:val="none" w:sz="0" w:space="0" w:color="auto"/>
                <w:bottom w:val="none" w:sz="0" w:space="0" w:color="auto"/>
                <w:right w:val="none" w:sz="0" w:space="0" w:color="auto"/>
              </w:divBdr>
            </w:div>
          </w:divsChild>
        </w:div>
        <w:div w:id="1090665174">
          <w:marLeft w:val="0"/>
          <w:marRight w:val="0"/>
          <w:marTop w:val="0"/>
          <w:marBottom w:val="0"/>
          <w:divBdr>
            <w:top w:val="none" w:sz="0" w:space="0" w:color="auto"/>
            <w:left w:val="none" w:sz="0" w:space="0" w:color="auto"/>
            <w:bottom w:val="none" w:sz="0" w:space="0" w:color="auto"/>
            <w:right w:val="none" w:sz="0" w:space="0" w:color="auto"/>
          </w:divBdr>
          <w:divsChild>
            <w:div w:id="1485506032">
              <w:marLeft w:val="0"/>
              <w:marRight w:val="0"/>
              <w:marTop w:val="0"/>
              <w:marBottom w:val="0"/>
              <w:divBdr>
                <w:top w:val="none" w:sz="0" w:space="0" w:color="auto"/>
                <w:left w:val="none" w:sz="0" w:space="0" w:color="auto"/>
                <w:bottom w:val="none" w:sz="0" w:space="0" w:color="auto"/>
                <w:right w:val="none" w:sz="0" w:space="0" w:color="auto"/>
              </w:divBdr>
            </w:div>
          </w:divsChild>
        </w:div>
        <w:div w:id="1112167650">
          <w:marLeft w:val="0"/>
          <w:marRight w:val="0"/>
          <w:marTop w:val="0"/>
          <w:marBottom w:val="0"/>
          <w:divBdr>
            <w:top w:val="none" w:sz="0" w:space="0" w:color="auto"/>
            <w:left w:val="none" w:sz="0" w:space="0" w:color="auto"/>
            <w:bottom w:val="none" w:sz="0" w:space="0" w:color="auto"/>
            <w:right w:val="none" w:sz="0" w:space="0" w:color="auto"/>
          </w:divBdr>
          <w:divsChild>
            <w:div w:id="792360816">
              <w:marLeft w:val="0"/>
              <w:marRight w:val="0"/>
              <w:marTop w:val="0"/>
              <w:marBottom w:val="0"/>
              <w:divBdr>
                <w:top w:val="none" w:sz="0" w:space="0" w:color="auto"/>
                <w:left w:val="none" w:sz="0" w:space="0" w:color="auto"/>
                <w:bottom w:val="none" w:sz="0" w:space="0" w:color="auto"/>
                <w:right w:val="none" w:sz="0" w:space="0" w:color="auto"/>
              </w:divBdr>
            </w:div>
          </w:divsChild>
        </w:div>
        <w:div w:id="1114786739">
          <w:marLeft w:val="0"/>
          <w:marRight w:val="0"/>
          <w:marTop w:val="0"/>
          <w:marBottom w:val="0"/>
          <w:divBdr>
            <w:top w:val="none" w:sz="0" w:space="0" w:color="auto"/>
            <w:left w:val="none" w:sz="0" w:space="0" w:color="auto"/>
            <w:bottom w:val="none" w:sz="0" w:space="0" w:color="auto"/>
            <w:right w:val="none" w:sz="0" w:space="0" w:color="auto"/>
          </w:divBdr>
          <w:divsChild>
            <w:div w:id="384185713">
              <w:marLeft w:val="0"/>
              <w:marRight w:val="0"/>
              <w:marTop w:val="0"/>
              <w:marBottom w:val="0"/>
              <w:divBdr>
                <w:top w:val="none" w:sz="0" w:space="0" w:color="auto"/>
                <w:left w:val="none" w:sz="0" w:space="0" w:color="auto"/>
                <w:bottom w:val="none" w:sz="0" w:space="0" w:color="auto"/>
                <w:right w:val="none" w:sz="0" w:space="0" w:color="auto"/>
              </w:divBdr>
            </w:div>
          </w:divsChild>
        </w:div>
        <w:div w:id="1120146225">
          <w:marLeft w:val="0"/>
          <w:marRight w:val="0"/>
          <w:marTop w:val="0"/>
          <w:marBottom w:val="0"/>
          <w:divBdr>
            <w:top w:val="none" w:sz="0" w:space="0" w:color="auto"/>
            <w:left w:val="none" w:sz="0" w:space="0" w:color="auto"/>
            <w:bottom w:val="none" w:sz="0" w:space="0" w:color="auto"/>
            <w:right w:val="none" w:sz="0" w:space="0" w:color="auto"/>
          </w:divBdr>
          <w:divsChild>
            <w:div w:id="1109080510">
              <w:marLeft w:val="0"/>
              <w:marRight w:val="0"/>
              <w:marTop w:val="0"/>
              <w:marBottom w:val="0"/>
              <w:divBdr>
                <w:top w:val="none" w:sz="0" w:space="0" w:color="auto"/>
                <w:left w:val="none" w:sz="0" w:space="0" w:color="auto"/>
                <w:bottom w:val="none" w:sz="0" w:space="0" w:color="auto"/>
                <w:right w:val="none" w:sz="0" w:space="0" w:color="auto"/>
              </w:divBdr>
            </w:div>
          </w:divsChild>
        </w:div>
        <w:div w:id="1125276814">
          <w:marLeft w:val="0"/>
          <w:marRight w:val="0"/>
          <w:marTop w:val="0"/>
          <w:marBottom w:val="0"/>
          <w:divBdr>
            <w:top w:val="none" w:sz="0" w:space="0" w:color="auto"/>
            <w:left w:val="none" w:sz="0" w:space="0" w:color="auto"/>
            <w:bottom w:val="none" w:sz="0" w:space="0" w:color="auto"/>
            <w:right w:val="none" w:sz="0" w:space="0" w:color="auto"/>
          </w:divBdr>
          <w:divsChild>
            <w:div w:id="877744913">
              <w:marLeft w:val="0"/>
              <w:marRight w:val="0"/>
              <w:marTop w:val="0"/>
              <w:marBottom w:val="0"/>
              <w:divBdr>
                <w:top w:val="none" w:sz="0" w:space="0" w:color="auto"/>
                <w:left w:val="none" w:sz="0" w:space="0" w:color="auto"/>
                <w:bottom w:val="none" w:sz="0" w:space="0" w:color="auto"/>
                <w:right w:val="none" w:sz="0" w:space="0" w:color="auto"/>
              </w:divBdr>
            </w:div>
          </w:divsChild>
        </w:div>
        <w:div w:id="1129713019">
          <w:marLeft w:val="0"/>
          <w:marRight w:val="0"/>
          <w:marTop w:val="0"/>
          <w:marBottom w:val="0"/>
          <w:divBdr>
            <w:top w:val="none" w:sz="0" w:space="0" w:color="auto"/>
            <w:left w:val="none" w:sz="0" w:space="0" w:color="auto"/>
            <w:bottom w:val="none" w:sz="0" w:space="0" w:color="auto"/>
            <w:right w:val="none" w:sz="0" w:space="0" w:color="auto"/>
          </w:divBdr>
          <w:divsChild>
            <w:div w:id="1952856343">
              <w:marLeft w:val="0"/>
              <w:marRight w:val="0"/>
              <w:marTop w:val="0"/>
              <w:marBottom w:val="0"/>
              <w:divBdr>
                <w:top w:val="none" w:sz="0" w:space="0" w:color="auto"/>
                <w:left w:val="none" w:sz="0" w:space="0" w:color="auto"/>
                <w:bottom w:val="none" w:sz="0" w:space="0" w:color="auto"/>
                <w:right w:val="none" w:sz="0" w:space="0" w:color="auto"/>
              </w:divBdr>
            </w:div>
          </w:divsChild>
        </w:div>
        <w:div w:id="1138111953">
          <w:marLeft w:val="0"/>
          <w:marRight w:val="0"/>
          <w:marTop w:val="0"/>
          <w:marBottom w:val="0"/>
          <w:divBdr>
            <w:top w:val="none" w:sz="0" w:space="0" w:color="auto"/>
            <w:left w:val="none" w:sz="0" w:space="0" w:color="auto"/>
            <w:bottom w:val="none" w:sz="0" w:space="0" w:color="auto"/>
            <w:right w:val="none" w:sz="0" w:space="0" w:color="auto"/>
          </w:divBdr>
          <w:divsChild>
            <w:div w:id="1259211171">
              <w:marLeft w:val="0"/>
              <w:marRight w:val="0"/>
              <w:marTop w:val="0"/>
              <w:marBottom w:val="0"/>
              <w:divBdr>
                <w:top w:val="none" w:sz="0" w:space="0" w:color="auto"/>
                <w:left w:val="none" w:sz="0" w:space="0" w:color="auto"/>
                <w:bottom w:val="none" w:sz="0" w:space="0" w:color="auto"/>
                <w:right w:val="none" w:sz="0" w:space="0" w:color="auto"/>
              </w:divBdr>
            </w:div>
          </w:divsChild>
        </w:div>
        <w:div w:id="1175459523">
          <w:marLeft w:val="0"/>
          <w:marRight w:val="0"/>
          <w:marTop w:val="0"/>
          <w:marBottom w:val="0"/>
          <w:divBdr>
            <w:top w:val="none" w:sz="0" w:space="0" w:color="auto"/>
            <w:left w:val="none" w:sz="0" w:space="0" w:color="auto"/>
            <w:bottom w:val="none" w:sz="0" w:space="0" w:color="auto"/>
            <w:right w:val="none" w:sz="0" w:space="0" w:color="auto"/>
          </w:divBdr>
          <w:divsChild>
            <w:div w:id="1851751962">
              <w:marLeft w:val="0"/>
              <w:marRight w:val="0"/>
              <w:marTop w:val="0"/>
              <w:marBottom w:val="0"/>
              <w:divBdr>
                <w:top w:val="none" w:sz="0" w:space="0" w:color="auto"/>
                <w:left w:val="none" w:sz="0" w:space="0" w:color="auto"/>
                <w:bottom w:val="none" w:sz="0" w:space="0" w:color="auto"/>
                <w:right w:val="none" w:sz="0" w:space="0" w:color="auto"/>
              </w:divBdr>
            </w:div>
          </w:divsChild>
        </w:div>
        <w:div w:id="1191381780">
          <w:marLeft w:val="0"/>
          <w:marRight w:val="0"/>
          <w:marTop w:val="0"/>
          <w:marBottom w:val="0"/>
          <w:divBdr>
            <w:top w:val="none" w:sz="0" w:space="0" w:color="auto"/>
            <w:left w:val="none" w:sz="0" w:space="0" w:color="auto"/>
            <w:bottom w:val="none" w:sz="0" w:space="0" w:color="auto"/>
            <w:right w:val="none" w:sz="0" w:space="0" w:color="auto"/>
          </w:divBdr>
          <w:divsChild>
            <w:div w:id="421025346">
              <w:marLeft w:val="0"/>
              <w:marRight w:val="0"/>
              <w:marTop w:val="0"/>
              <w:marBottom w:val="0"/>
              <w:divBdr>
                <w:top w:val="none" w:sz="0" w:space="0" w:color="auto"/>
                <w:left w:val="none" w:sz="0" w:space="0" w:color="auto"/>
                <w:bottom w:val="none" w:sz="0" w:space="0" w:color="auto"/>
                <w:right w:val="none" w:sz="0" w:space="0" w:color="auto"/>
              </w:divBdr>
            </w:div>
          </w:divsChild>
        </w:div>
        <w:div w:id="1222599639">
          <w:marLeft w:val="0"/>
          <w:marRight w:val="0"/>
          <w:marTop w:val="0"/>
          <w:marBottom w:val="0"/>
          <w:divBdr>
            <w:top w:val="none" w:sz="0" w:space="0" w:color="auto"/>
            <w:left w:val="none" w:sz="0" w:space="0" w:color="auto"/>
            <w:bottom w:val="none" w:sz="0" w:space="0" w:color="auto"/>
            <w:right w:val="none" w:sz="0" w:space="0" w:color="auto"/>
          </w:divBdr>
          <w:divsChild>
            <w:div w:id="1248272388">
              <w:marLeft w:val="0"/>
              <w:marRight w:val="0"/>
              <w:marTop w:val="0"/>
              <w:marBottom w:val="0"/>
              <w:divBdr>
                <w:top w:val="none" w:sz="0" w:space="0" w:color="auto"/>
                <w:left w:val="none" w:sz="0" w:space="0" w:color="auto"/>
                <w:bottom w:val="none" w:sz="0" w:space="0" w:color="auto"/>
                <w:right w:val="none" w:sz="0" w:space="0" w:color="auto"/>
              </w:divBdr>
            </w:div>
          </w:divsChild>
        </w:div>
        <w:div w:id="1235316593">
          <w:marLeft w:val="0"/>
          <w:marRight w:val="0"/>
          <w:marTop w:val="0"/>
          <w:marBottom w:val="0"/>
          <w:divBdr>
            <w:top w:val="none" w:sz="0" w:space="0" w:color="auto"/>
            <w:left w:val="none" w:sz="0" w:space="0" w:color="auto"/>
            <w:bottom w:val="none" w:sz="0" w:space="0" w:color="auto"/>
            <w:right w:val="none" w:sz="0" w:space="0" w:color="auto"/>
          </w:divBdr>
          <w:divsChild>
            <w:div w:id="861166647">
              <w:marLeft w:val="0"/>
              <w:marRight w:val="0"/>
              <w:marTop w:val="0"/>
              <w:marBottom w:val="0"/>
              <w:divBdr>
                <w:top w:val="none" w:sz="0" w:space="0" w:color="auto"/>
                <w:left w:val="none" w:sz="0" w:space="0" w:color="auto"/>
                <w:bottom w:val="none" w:sz="0" w:space="0" w:color="auto"/>
                <w:right w:val="none" w:sz="0" w:space="0" w:color="auto"/>
              </w:divBdr>
            </w:div>
          </w:divsChild>
        </w:div>
        <w:div w:id="1244602815">
          <w:marLeft w:val="0"/>
          <w:marRight w:val="0"/>
          <w:marTop w:val="0"/>
          <w:marBottom w:val="0"/>
          <w:divBdr>
            <w:top w:val="none" w:sz="0" w:space="0" w:color="auto"/>
            <w:left w:val="none" w:sz="0" w:space="0" w:color="auto"/>
            <w:bottom w:val="none" w:sz="0" w:space="0" w:color="auto"/>
            <w:right w:val="none" w:sz="0" w:space="0" w:color="auto"/>
          </w:divBdr>
          <w:divsChild>
            <w:div w:id="2065056514">
              <w:marLeft w:val="0"/>
              <w:marRight w:val="0"/>
              <w:marTop w:val="0"/>
              <w:marBottom w:val="0"/>
              <w:divBdr>
                <w:top w:val="none" w:sz="0" w:space="0" w:color="auto"/>
                <w:left w:val="none" w:sz="0" w:space="0" w:color="auto"/>
                <w:bottom w:val="none" w:sz="0" w:space="0" w:color="auto"/>
                <w:right w:val="none" w:sz="0" w:space="0" w:color="auto"/>
              </w:divBdr>
            </w:div>
          </w:divsChild>
        </w:div>
        <w:div w:id="1258832804">
          <w:marLeft w:val="0"/>
          <w:marRight w:val="0"/>
          <w:marTop w:val="0"/>
          <w:marBottom w:val="0"/>
          <w:divBdr>
            <w:top w:val="none" w:sz="0" w:space="0" w:color="auto"/>
            <w:left w:val="none" w:sz="0" w:space="0" w:color="auto"/>
            <w:bottom w:val="none" w:sz="0" w:space="0" w:color="auto"/>
            <w:right w:val="none" w:sz="0" w:space="0" w:color="auto"/>
          </w:divBdr>
          <w:divsChild>
            <w:div w:id="911937916">
              <w:marLeft w:val="0"/>
              <w:marRight w:val="0"/>
              <w:marTop w:val="0"/>
              <w:marBottom w:val="0"/>
              <w:divBdr>
                <w:top w:val="none" w:sz="0" w:space="0" w:color="auto"/>
                <w:left w:val="none" w:sz="0" w:space="0" w:color="auto"/>
                <w:bottom w:val="none" w:sz="0" w:space="0" w:color="auto"/>
                <w:right w:val="none" w:sz="0" w:space="0" w:color="auto"/>
              </w:divBdr>
            </w:div>
          </w:divsChild>
        </w:div>
        <w:div w:id="1264260505">
          <w:marLeft w:val="0"/>
          <w:marRight w:val="0"/>
          <w:marTop w:val="0"/>
          <w:marBottom w:val="0"/>
          <w:divBdr>
            <w:top w:val="none" w:sz="0" w:space="0" w:color="auto"/>
            <w:left w:val="none" w:sz="0" w:space="0" w:color="auto"/>
            <w:bottom w:val="none" w:sz="0" w:space="0" w:color="auto"/>
            <w:right w:val="none" w:sz="0" w:space="0" w:color="auto"/>
          </w:divBdr>
          <w:divsChild>
            <w:div w:id="1006589226">
              <w:marLeft w:val="0"/>
              <w:marRight w:val="0"/>
              <w:marTop w:val="0"/>
              <w:marBottom w:val="0"/>
              <w:divBdr>
                <w:top w:val="none" w:sz="0" w:space="0" w:color="auto"/>
                <w:left w:val="none" w:sz="0" w:space="0" w:color="auto"/>
                <w:bottom w:val="none" w:sz="0" w:space="0" w:color="auto"/>
                <w:right w:val="none" w:sz="0" w:space="0" w:color="auto"/>
              </w:divBdr>
            </w:div>
          </w:divsChild>
        </w:div>
        <w:div w:id="1273050796">
          <w:marLeft w:val="0"/>
          <w:marRight w:val="0"/>
          <w:marTop w:val="0"/>
          <w:marBottom w:val="0"/>
          <w:divBdr>
            <w:top w:val="none" w:sz="0" w:space="0" w:color="auto"/>
            <w:left w:val="none" w:sz="0" w:space="0" w:color="auto"/>
            <w:bottom w:val="none" w:sz="0" w:space="0" w:color="auto"/>
            <w:right w:val="none" w:sz="0" w:space="0" w:color="auto"/>
          </w:divBdr>
          <w:divsChild>
            <w:div w:id="941915110">
              <w:marLeft w:val="0"/>
              <w:marRight w:val="0"/>
              <w:marTop w:val="0"/>
              <w:marBottom w:val="0"/>
              <w:divBdr>
                <w:top w:val="none" w:sz="0" w:space="0" w:color="auto"/>
                <w:left w:val="none" w:sz="0" w:space="0" w:color="auto"/>
                <w:bottom w:val="none" w:sz="0" w:space="0" w:color="auto"/>
                <w:right w:val="none" w:sz="0" w:space="0" w:color="auto"/>
              </w:divBdr>
            </w:div>
          </w:divsChild>
        </w:div>
        <w:div w:id="1292401890">
          <w:marLeft w:val="0"/>
          <w:marRight w:val="0"/>
          <w:marTop w:val="0"/>
          <w:marBottom w:val="0"/>
          <w:divBdr>
            <w:top w:val="none" w:sz="0" w:space="0" w:color="auto"/>
            <w:left w:val="none" w:sz="0" w:space="0" w:color="auto"/>
            <w:bottom w:val="none" w:sz="0" w:space="0" w:color="auto"/>
            <w:right w:val="none" w:sz="0" w:space="0" w:color="auto"/>
          </w:divBdr>
          <w:divsChild>
            <w:div w:id="2074036228">
              <w:marLeft w:val="0"/>
              <w:marRight w:val="0"/>
              <w:marTop w:val="0"/>
              <w:marBottom w:val="0"/>
              <w:divBdr>
                <w:top w:val="none" w:sz="0" w:space="0" w:color="auto"/>
                <w:left w:val="none" w:sz="0" w:space="0" w:color="auto"/>
                <w:bottom w:val="none" w:sz="0" w:space="0" w:color="auto"/>
                <w:right w:val="none" w:sz="0" w:space="0" w:color="auto"/>
              </w:divBdr>
            </w:div>
          </w:divsChild>
        </w:div>
        <w:div w:id="1293712211">
          <w:marLeft w:val="0"/>
          <w:marRight w:val="0"/>
          <w:marTop w:val="0"/>
          <w:marBottom w:val="0"/>
          <w:divBdr>
            <w:top w:val="none" w:sz="0" w:space="0" w:color="auto"/>
            <w:left w:val="none" w:sz="0" w:space="0" w:color="auto"/>
            <w:bottom w:val="none" w:sz="0" w:space="0" w:color="auto"/>
            <w:right w:val="none" w:sz="0" w:space="0" w:color="auto"/>
          </w:divBdr>
          <w:divsChild>
            <w:div w:id="940725005">
              <w:marLeft w:val="0"/>
              <w:marRight w:val="0"/>
              <w:marTop w:val="0"/>
              <w:marBottom w:val="0"/>
              <w:divBdr>
                <w:top w:val="none" w:sz="0" w:space="0" w:color="auto"/>
                <w:left w:val="none" w:sz="0" w:space="0" w:color="auto"/>
                <w:bottom w:val="none" w:sz="0" w:space="0" w:color="auto"/>
                <w:right w:val="none" w:sz="0" w:space="0" w:color="auto"/>
              </w:divBdr>
            </w:div>
          </w:divsChild>
        </w:div>
        <w:div w:id="1294016973">
          <w:marLeft w:val="0"/>
          <w:marRight w:val="0"/>
          <w:marTop w:val="0"/>
          <w:marBottom w:val="0"/>
          <w:divBdr>
            <w:top w:val="none" w:sz="0" w:space="0" w:color="auto"/>
            <w:left w:val="none" w:sz="0" w:space="0" w:color="auto"/>
            <w:bottom w:val="none" w:sz="0" w:space="0" w:color="auto"/>
            <w:right w:val="none" w:sz="0" w:space="0" w:color="auto"/>
          </w:divBdr>
          <w:divsChild>
            <w:div w:id="781612976">
              <w:marLeft w:val="0"/>
              <w:marRight w:val="0"/>
              <w:marTop w:val="0"/>
              <w:marBottom w:val="0"/>
              <w:divBdr>
                <w:top w:val="none" w:sz="0" w:space="0" w:color="auto"/>
                <w:left w:val="none" w:sz="0" w:space="0" w:color="auto"/>
                <w:bottom w:val="none" w:sz="0" w:space="0" w:color="auto"/>
                <w:right w:val="none" w:sz="0" w:space="0" w:color="auto"/>
              </w:divBdr>
            </w:div>
          </w:divsChild>
        </w:div>
        <w:div w:id="1339507368">
          <w:marLeft w:val="0"/>
          <w:marRight w:val="0"/>
          <w:marTop w:val="0"/>
          <w:marBottom w:val="0"/>
          <w:divBdr>
            <w:top w:val="none" w:sz="0" w:space="0" w:color="auto"/>
            <w:left w:val="none" w:sz="0" w:space="0" w:color="auto"/>
            <w:bottom w:val="none" w:sz="0" w:space="0" w:color="auto"/>
            <w:right w:val="none" w:sz="0" w:space="0" w:color="auto"/>
          </w:divBdr>
          <w:divsChild>
            <w:div w:id="1098676228">
              <w:marLeft w:val="0"/>
              <w:marRight w:val="0"/>
              <w:marTop w:val="0"/>
              <w:marBottom w:val="0"/>
              <w:divBdr>
                <w:top w:val="none" w:sz="0" w:space="0" w:color="auto"/>
                <w:left w:val="none" w:sz="0" w:space="0" w:color="auto"/>
                <w:bottom w:val="none" w:sz="0" w:space="0" w:color="auto"/>
                <w:right w:val="none" w:sz="0" w:space="0" w:color="auto"/>
              </w:divBdr>
            </w:div>
          </w:divsChild>
        </w:div>
        <w:div w:id="1341002221">
          <w:marLeft w:val="0"/>
          <w:marRight w:val="0"/>
          <w:marTop w:val="0"/>
          <w:marBottom w:val="0"/>
          <w:divBdr>
            <w:top w:val="none" w:sz="0" w:space="0" w:color="auto"/>
            <w:left w:val="none" w:sz="0" w:space="0" w:color="auto"/>
            <w:bottom w:val="none" w:sz="0" w:space="0" w:color="auto"/>
            <w:right w:val="none" w:sz="0" w:space="0" w:color="auto"/>
          </w:divBdr>
          <w:divsChild>
            <w:div w:id="177159625">
              <w:marLeft w:val="0"/>
              <w:marRight w:val="0"/>
              <w:marTop w:val="0"/>
              <w:marBottom w:val="0"/>
              <w:divBdr>
                <w:top w:val="none" w:sz="0" w:space="0" w:color="auto"/>
                <w:left w:val="none" w:sz="0" w:space="0" w:color="auto"/>
                <w:bottom w:val="none" w:sz="0" w:space="0" w:color="auto"/>
                <w:right w:val="none" w:sz="0" w:space="0" w:color="auto"/>
              </w:divBdr>
            </w:div>
          </w:divsChild>
        </w:div>
        <w:div w:id="1342706256">
          <w:marLeft w:val="0"/>
          <w:marRight w:val="0"/>
          <w:marTop w:val="0"/>
          <w:marBottom w:val="0"/>
          <w:divBdr>
            <w:top w:val="none" w:sz="0" w:space="0" w:color="auto"/>
            <w:left w:val="none" w:sz="0" w:space="0" w:color="auto"/>
            <w:bottom w:val="none" w:sz="0" w:space="0" w:color="auto"/>
            <w:right w:val="none" w:sz="0" w:space="0" w:color="auto"/>
          </w:divBdr>
          <w:divsChild>
            <w:div w:id="437528094">
              <w:marLeft w:val="0"/>
              <w:marRight w:val="0"/>
              <w:marTop w:val="0"/>
              <w:marBottom w:val="0"/>
              <w:divBdr>
                <w:top w:val="none" w:sz="0" w:space="0" w:color="auto"/>
                <w:left w:val="none" w:sz="0" w:space="0" w:color="auto"/>
                <w:bottom w:val="none" w:sz="0" w:space="0" w:color="auto"/>
                <w:right w:val="none" w:sz="0" w:space="0" w:color="auto"/>
              </w:divBdr>
            </w:div>
          </w:divsChild>
        </w:div>
        <w:div w:id="1343782516">
          <w:marLeft w:val="0"/>
          <w:marRight w:val="0"/>
          <w:marTop w:val="0"/>
          <w:marBottom w:val="0"/>
          <w:divBdr>
            <w:top w:val="none" w:sz="0" w:space="0" w:color="auto"/>
            <w:left w:val="none" w:sz="0" w:space="0" w:color="auto"/>
            <w:bottom w:val="none" w:sz="0" w:space="0" w:color="auto"/>
            <w:right w:val="none" w:sz="0" w:space="0" w:color="auto"/>
          </w:divBdr>
          <w:divsChild>
            <w:div w:id="582766112">
              <w:marLeft w:val="0"/>
              <w:marRight w:val="0"/>
              <w:marTop w:val="0"/>
              <w:marBottom w:val="0"/>
              <w:divBdr>
                <w:top w:val="none" w:sz="0" w:space="0" w:color="auto"/>
                <w:left w:val="none" w:sz="0" w:space="0" w:color="auto"/>
                <w:bottom w:val="none" w:sz="0" w:space="0" w:color="auto"/>
                <w:right w:val="none" w:sz="0" w:space="0" w:color="auto"/>
              </w:divBdr>
            </w:div>
          </w:divsChild>
        </w:div>
        <w:div w:id="1347365612">
          <w:marLeft w:val="0"/>
          <w:marRight w:val="0"/>
          <w:marTop w:val="0"/>
          <w:marBottom w:val="0"/>
          <w:divBdr>
            <w:top w:val="none" w:sz="0" w:space="0" w:color="auto"/>
            <w:left w:val="none" w:sz="0" w:space="0" w:color="auto"/>
            <w:bottom w:val="none" w:sz="0" w:space="0" w:color="auto"/>
            <w:right w:val="none" w:sz="0" w:space="0" w:color="auto"/>
          </w:divBdr>
          <w:divsChild>
            <w:div w:id="1199665729">
              <w:marLeft w:val="0"/>
              <w:marRight w:val="0"/>
              <w:marTop w:val="0"/>
              <w:marBottom w:val="0"/>
              <w:divBdr>
                <w:top w:val="none" w:sz="0" w:space="0" w:color="auto"/>
                <w:left w:val="none" w:sz="0" w:space="0" w:color="auto"/>
                <w:bottom w:val="none" w:sz="0" w:space="0" w:color="auto"/>
                <w:right w:val="none" w:sz="0" w:space="0" w:color="auto"/>
              </w:divBdr>
            </w:div>
          </w:divsChild>
        </w:div>
        <w:div w:id="1366980377">
          <w:marLeft w:val="0"/>
          <w:marRight w:val="0"/>
          <w:marTop w:val="0"/>
          <w:marBottom w:val="0"/>
          <w:divBdr>
            <w:top w:val="none" w:sz="0" w:space="0" w:color="auto"/>
            <w:left w:val="none" w:sz="0" w:space="0" w:color="auto"/>
            <w:bottom w:val="none" w:sz="0" w:space="0" w:color="auto"/>
            <w:right w:val="none" w:sz="0" w:space="0" w:color="auto"/>
          </w:divBdr>
          <w:divsChild>
            <w:div w:id="1817648389">
              <w:marLeft w:val="0"/>
              <w:marRight w:val="0"/>
              <w:marTop w:val="0"/>
              <w:marBottom w:val="0"/>
              <w:divBdr>
                <w:top w:val="none" w:sz="0" w:space="0" w:color="auto"/>
                <w:left w:val="none" w:sz="0" w:space="0" w:color="auto"/>
                <w:bottom w:val="none" w:sz="0" w:space="0" w:color="auto"/>
                <w:right w:val="none" w:sz="0" w:space="0" w:color="auto"/>
              </w:divBdr>
            </w:div>
          </w:divsChild>
        </w:div>
        <w:div w:id="1385057256">
          <w:marLeft w:val="0"/>
          <w:marRight w:val="0"/>
          <w:marTop w:val="0"/>
          <w:marBottom w:val="0"/>
          <w:divBdr>
            <w:top w:val="none" w:sz="0" w:space="0" w:color="auto"/>
            <w:left w:val="none" w:sz="0" w:space="0" w:color="auto"/>
            <w:bottom w:val="none" w:sz="0" w:space="0" w:color="auto"/>
            <w:right w:val="none" w:sz="0" w:space="0" w:color="auto"/>
          </w:divBdr>
          <w:divsChild>
            <w:div w:id="177745331">
              <w:marLeft w:val="0"/>
              <w:marRight w:val="0"/>
              <w:marTop w:val="0"/>
              <w:marBottom w:val="0"/>
              <w:divBdr>
                <w:top w:val="none" w:sz="0" w:space="0" w:color="auto"/>
                <w:left w:val="none" w:sz="0" w:space="0" w:color="auto"/>
                <w:bottom w:val="none" w:sz="0" w:space="0" w:color="auto"/>
                <w:right w:val="none" w:sz="0" w:space="0" w:color="auto"/>
              </w:divBdr>
            </w:div>
          </w:divsChild>
        </w:div>
        <w:div w:id="1388840931">
          <w:marLeft w:val="0"/>
          <w:marRight w:val="0"/>
          <w:marTop w:val="0"/>
          <w:marBottom w:val="0"/>
          <w:divBdr>
            <w:top w:val="none" w:sz="0" w:space="0" w:color="auto"/>
            <w:left w:val="none" w:sz="0" w:space="0" w:color="auto"/>
            <w:bottom w:val="none" w:sz="0" w:space="0" w:color="auto"/>
            <w:right w:val="none" w:sz="0" w:space="0" w:color="auto"/>
          </w:divBdr>
          <w:divsChild>
            <w:div w:id="882060690">
              <w:marLeft w:val="0"/>
              <w:marRight w:val="0"/>
              <w:marTop w:val="0"/>
              <w:marBottom w:val="0"/>
              <w:divBdr>
                <w:top w:val="none" w:sz="0" w:space="0" w:color="auto"/>
                <w:left w:val="none" w:sz="0" w:space="0" w:color="auto"/>
                <w:bottom w:val="none" w:sz="0" w:space="0" w:color="auto"/>
                <w:right w:val="none" w:sz="0" w:space="0" w:color="auto"/>
              </w:divBdr>
            </w:div>
          </w:divsChild>
        </w:div>
        <w:div w:id="1393701826">
          <w:marLeft w:val="0"/>
          <w:marRight w:val="0"/>
          <w:marTop w:val="0"/>
          <w:marBottom w:val="0"/>
          <w:divBdr>
            <w:top w:val="none" w:sz="0" w:space="0" w:color="auto"/>
            <w:left w:val="none" w:sz="0" w:space="0" w:color="auto"/>
            <w:bottom w:val="none" w:sz="0" w:space="0" w:color="auto"/>
            <w:right w:val="none" w:sz="0" w:space="0" w:color="auto"/>
          </w:divBdr>
          <w:divsChild>
            <w:div w:id="1159351287">
              <w:marLeft w:val="0"/>
              <w:marRight w:val="0"/>
              <w:marTop w:val="0"/>
              <w:marBottom w:val="0"/>
              <w:divBdr>
                <w:top w:val="none" w:sz="0" w:space="0" w:color="auto"/>
                <w:left w:val="none" w:sz="0" w:space="0" w:color="auto"/>
                <w:bottom w:val="none" w:sz="0" w:space="0" w:color="auto"/>
                <w:right w:val="none" w:sz="0" w:space="0" w:color="auto"/>
              </w:divBdr>
            </w:div>
          </w:divsChild>
        </w:div>
        <w:div w:id="1443378151">
          <w:marLeft w:val="0"/>
          <w:marRight w:val="0"/>
          <w:marTop w:val="0"/>
          <w:marBottom w:val="0"/>
          <w:divBdr>
            <w:top w:val="none" w:sz="0" w:space="0" w:color="auto"/>
            <w:left w:val="none" w:sz="0" w:space="0" w:color="auto"/>
            <w:bottom w:val="none" w:sz="0" w:space="0" w:color="auto"/>
            <w:right w:val="none" w:sz="0" w:space="0" w:color="auto"/>
          </w:divBdr>
          <w:divsChild>
            <w:div w:id="2065062096">
              <w:marLeft w:val="0"/>
              <w:marRight w:val="0"/>
              <w:marTop w:val="0"/>
              <w:marBottom w:val="0"/>
              <w:divBdr>
                <w:top w:val="none" w:sz="0" w:space="0" w:color="auto"/>
                <w:left w:val="none" w:sz="0" w:space="0" w:color="auto"/>
                <w:bottom w:val="none" w:sz="0" w:space="0" w:color="auto"/>
                <w:right w:val="none" w:sz="0" w:space="0" w:color="auto"/>
              </w:divBdr>
            </w:div>
          </w:divsChild>
        </w:div>
        <w:div w:id="1479494051">
          <w:marLeft w:val="0"/>
          <w:marRight w:val="0"/>
          <w:marTop w:val="0"/>
          <w:marBottom w:val="0"/>
          <w:divBdr>
            <w:top w:val="none" w:sz="0" w:space="0" w:color="auto"/>
            <w:left w:val="none" w:sz="0" w:space="0" w:color="auto"/>
            <w:bottom w:val="none" w:sz="0" w:space="0" w:color="auto"/>
            <w:right w:val="none" w:sz="0" w:space="0" w:color="auto"/>
          </w:divBdr>
          <w:divsChild>
            <w:div w:id="989869769">
              <w:marLeft w:val="0"/>
              <w:marRight w:val="0"/>
              <w:marTop w:val="0"/>
              <w:marBottom w:val="0"/>
              <w:divBdr>
                <w:top w:val="none" w:sz="0" w:space="0" w:color="auto"/>
                <w:left w:val="none" w:sz="0" w:space="0" w:color="auto"/>
                <w:bottom w:val="none" w:sz="0" w:space="0" w:color="auto"/>
                <w:right w:val="none" w:sz="0" w:space="0" w:color="auto"/>
              </w:divBdr>
            </w:div>
          </w:divsChild>
        </w:div>
        <w:div w:id="1495992892">
          <w:marLeft w:val="0"/>
          <w:marRight w:val="0"/>
          <w:marTop w:val="0"/>
          <w:marBottom w:val="0"/>
          <w:divBdr>
            <w:top w:val="none" w:sz="0" w:space="0" w:color="auto"/>
            <w:left w:val="none" w:sz="0" w:space="0" w:color="auto"/>
            <w:bottom w:val="none" w:sz="0" w:space="0" w:color="auto"/>
            <w:right w:val="none" w:sz="0" w:space="0" w:color="auto"/>
          </w:divBdr>
          <w:divsChild>
            <w:div w:id="583953177">
              <w:marLeft w:val="0"/>
              <w:marRight w:val="0"/>
              <w:marTop w:val="0"/>
              <w:marBottom w:val="0"/>
              <w:divBdr>
                <w:top w:val="none" w:sz="0" w:space="0" w:color="auto"/>
                <w:left w:val="none" w:sz="0" w:space="0" w:color="auto"/>
                <w:bottom w:val="none" w:sz="0" w:space="0" w:color="auto"/>
                <w:right w:val="none" w:sz="0" w:space="0" w:color="auto"/>
              </w:divBdr>
            </w:div>
          </w:divsChild>
        </w:div>
        <w:div w:id="1498569730">
          <w:marLeft w:val="0"/>
          <w:marRight w:val="0"/>
          <w:marTop w:val="0"/>
          <w:marBottom w:val="0"/>
          <w:divBdr>
            <w:top w:val="none" w:sz="0" w:space="0" w:color="auto"/>
            <w:left w:val="none" w:sz="0" w:space="0" w:color="auto"/>
            <w:bottom w:val="none" w:sz="0" w:space="0" w:color="auto"/>
            <w:right w:val="none" w:sz="0" w:space="0" w:color="auto"/>
          </w:divBdr>
          <w:divsChild>
            <w:div w:id="1311791774">
              <w:marLeft w:val="0"/>
              <w:marRight w:val="0"/>
              <w:marTop w:val="0"/>
              <w:marBottom w:val="0"/>
              <w:divBdr>
                <w:top w:val="none" w:sz="0" w:space="0" w:color="auto"/>
                <w:left w:val="none" w:sz="0" w:space="0" w:color="auto"/>
                <w:bottom w:val="none" w:sz="0" w:space="0" w:color="auto"/>
                <w:right w:val="none" w:sz="0" w:space="0" w:color="auto"/>
              </w:divBdr>
            </w:div>
            <w:div w:id="2026056122">
              <w:marLeft w:val="0"/>
              <w:marRight w:val="0"/>
              <w:marTop w:val="0"/>
              <w:marBottom w:val="0"/>
              <w:divBdr>
                <w:top w:val="none" w:sz="0" w:space="0" w:color="auto"/>
                <w:left w:val="none" w:sz="0" w:space="0" w:color="auto"/>
                <w:bottom w:val="none" w:sz="0" w:space="0" w:color="auto"/>
                <w:right w:val="none" w:sz="0" w:space="0" w:color="auto"/>
              </w:divBdr>
            </w:div>
          </w:divsChild>
        </w:div>
        <w:div w:id="1570311644">
          <w:marLeft w:val="0"/>
          <w:marRight w:val="0"/>
          <w:marTop w:val="0"/>
          <w:marBottom w:val="0"/>
          <w:divBdr>
            <w:top w:val="none" w:sz="0" w:space="0" w:color="auto"/>
            <w:left w:val="none" w:sz="0" w:space="0" w:color="auto"/>
            <w:bottom w:val="none" w:sz="0" w:space="0" w:color="auto"/>
            <w:right w:val="none" w:sz="0" w:space="0" w:color="auto"/>
          </w:divBdr>
          <w:divsChild>
            <w:div w:id="943614142">
              <w:marLeft w:val="0"/>
              <w:marRight w:val="0"/>
              <w:marTop w:val="0"/>
              <w:marBottom w:val="0"/>
              <w:divBdr>
                <w:top w:val="none" w:sz="0" w:space="0" w:color="auto"/>
                <w:left w:val="none" w:sz="0" w:space="0" w:color="auto"/>
                <w:bottom w:val="none" w:sz="0" w:space="0" w:color="auto"/>
                <w:right w:val="none" w:sz="0" w:space="0" w:color="auto"/>
              </w:divBdr>
            </w:div>
          </w:divsChild>
        </w:div>
        <w:div w:id="1587957934">
          <w:marLeft w:val="0"/>
          <w:marRight w:val="0"/>
          <w:marTop w:val="0"/>
          <w:marBottom w:val="0"/>
          <w:divBdr>
            <w:top w:val="none" w:sz="0" w:space="0" w:color="auto"/>
            <w:left w:val="none" w:sz="0" w:space="0" w:color="auto"/>
            <w:bottom w:val="none" w:sz="0" w:space="0" w:color="auto"/>
            <w:right w:val="none" w:sz="0" w:space="0" w:color="auto"/>
          </w:divBdr>
          <w:divsChild>
            <w:div w:id="1761637970">
              <w:marLeft w:val="0"/>
              <w:marRight w:val="0"/>
              <w:marTop w:val="0"/>
              <w:marBottom w:val="0"/>
              <w:divBdr>
                <w:top w:val="none" w:sz="0" w:space="0" w:color="auto"/>
                <w:left w:val="none" w:sz="0" w:space="0" w:color="auto"/>
                <w:bottom w:val="none" w:sz="0" w:space="0" w:color="auto"/>
                <w:right w:val="none" w:sz="0" w:space="0" w:color="auto"/>
              </w:divBdr>
            </w:div>
          </w:divsChild>
        </w:div>
        <w:div w:id="1590886553">
          <w:marLeft w:val="0"/>
          <w:marRight w:val="0"/>
          <w:marTop w:val="0"/>
          <w:marBottom w:val="0"/>
          <w:divBdr>
            <w:top w:val="none" w:sz="0" w:space="0" w:color="auto"/>
            <w:left w:val="none" w:sz="0" w:space="0" w:color="auto"/>
            <w:bottom w:val="none" w:sz="0" w:space="0" w:color="auto"/>
            <w:right w:val="none" w:sz="0" w:space="0" w:color="auto"/>
          </w:divBdr>
          <w:divsChild>
            <w:div w:id="1878204307">
              <w:marLeft w:val="0"/>
              <w:marRight w:val="0"/>
              <w:marTop w:val="0"/>
              <w:marBottom w:val="0"/>
              <w:divBdr>
                <w:top w:val="none" w:sz="0" w:space="0" w:color="auto"/>
                <w:left w:val="none" w:sz="0" w:space="0" w:color="auto"/>
                <w:bottom w:val="none" w:sz="0" w:space="0" w:color="auto"/>
                <w:right w:val="none" w:sz="0" w:space="0" w:color="auto"/>
              </w:divBdr>
            </w:div>
          </w:divsChild>
        </w:div>
        <w:div w:id="1620917000">
          <w:marLeft w:val="0"/>
          <w:marRight w:val="0"/>
          <w:marTop w:val="0"/>
          <w:marBottom w:val="0"/>
          <w:divBdr>
            <w:top w:val="none" w:sz="0" w:space="0" w:color="auto"/>
            <w:left w:val="none" w:sz="0" w:space="0" w:color="auto"/>
            <w:bottom w:val="none" w:sz="0" w:space="0" w:color="auto"/>
            <w:right w:val="none" w:sz="0" w:space="0" w:color="auto"/>
          </w:divBdr>
          <w:divsChild>
            <w:div w:id="225577507">
              <w:marLeft w:val="0"/>
              <w:marRight w:val="0"/>
              <w:marTop w:val="0"/>
              <w:marBottom w:val="0"/>
              <w:divBdr>
                <w:top w:val="none" w:sz="0" w:space="0" w:color="auto"/>
                <w:left w:val="none" w:sz="0" w:space="0" w:color="auto"/>
                <w:bottom w:val="none" w:sz="0" w:space="0" w:color="auto"/>
                <w:right w:val="none" w:sz="0" w:space="0" w:color="auto"/>
              </w:divBdr>
            </w:div>
          </w:divsChild>
        </w:div>
        <w:div w:id="1630819347">
          <w:marLeft w:val="0"/>
          <w:marRight w:val="0"/>
          <w:marTop w:val="0"/>
          <w:marBottom w:val="0"/>
          <w:divBdr>
            <w:top w:val="none" w:sz="0" w:space="0" w:color="auto"/>
            <w:left w:val="none" w:sz="0" w:space="0" w:color="auto"/>
            <w:bottom w:val="none" w:sz="0" w:space="0" w:color="auto"/>
            <w:right w:val="none" w:sz="0" w:space="0" w:color="auto"/>
          </w:divBdr>
          <w:divsChild>
            <w:div w:id="1889032694">
              <w:marLeft w:val="0"/>
              <w:marRight w:val="0"/>
              <w:marTop w:val="0"/>
              <w:marBottom w:val="0"/>
              <w:divBdr>
                <w:top w:val="none" w:sz="0" w:space="0" w:color="auto"/>
                <w:left w:val="none" w:sz="0" w:space="0" w:color="auto"/>
                <w:bottom w:val="none" w:sz="0" w:space="0" w:color="auto"/>
                <w:right w:val="none" w:sz="0" w:space="0" w:color="auto"/>
              </w:divBdr>
            </w:div>
          </w:divsChild>
        </w:div>
        <w:div w:id="1646855106">
          <w:marLeft w:val="0"/>
          <w:marRight w:val="0"/>
          <w:marTop w:val="0"/>
          <w:marBottom w:val="0"/>
          <w:divBdr>
            <w:top w:val="none" w:sz="0" w:space="0" w:color="auto"/>
            <w:left w:val="none" w:sz="0" w:space="0" w:color="auto"/>
            <w:bottom w:val="none" w:sz="0" w:space="0" w:color="auto"/>
            <w:right w:val="none" w:sz="0" w:space="0" w:color="auto"/>
          </w:divBdr>
          <w:divsChild>
            <w:div w:id="153423785">
              <w:marLeft w:val="0"/>
              <w:marRight w:val="0"/>
              <w:marTop w:val="0"/>
              <w:marBottom w:val="0"/>
              <w:divBdr>
                <w:top w:val="none" w:sz="0" w:space="0" w:color="auto"/>
                <w:left w:val="none" w:sz="0" w:space="0" w:color="auto"/>
                <w:bottom w:val="none" w:sz="0" w:space="0" w:color="auto"/>
                <w:right w:val="none" w:sz="0" w:space="0" w:color="auto"/>
              </w:divBdr>
            </w:div>
          </w:divsChild>
        </w:div>
        <w:div w:id="1654867252">
          <w:marLeft w:val="0"/>
          <w:marRight w:val="0"/>
          <w:marTop w:val="0"/>
          <w:marBottom w:val="0"/>
          <w:divBdr>
            <w:top w:val="none" w:sz="0" w:space="0" w:color="auto"/>
            <w:left w:val="none" w:sz="0" w:space="0" w:color="auto"/>
            <w:bottom w:val="none" w:sz="0" w:space="0" w:color="auto"/>
            <w:right w:val="none" w:sz="0" w:space="0" w:color="auto"/>
          </w:divBdr>
          <w:divsChild>
            <w:div w:id="299463911">
              <w:marLeft w:val="0"/>
              <w:marRight w:val="0"/>
              <w:marTop w:val="0"/>
              <w:marBottom w:val="0"/>
              <w:divBdr>
                <w:top w:val="none" w:sz="0" w:space="0" w:color="auto"/>
                <w:left w:val="none" w:sz="0" w:space="0" w:color="auto"/>
                <w:bottom w:val="none" w:sz="0" w:space="0" w:color="auto"/>
                <w:right w:val="none" w:sz="0" w:space="0" w:color="auto"/>
              </w:divBdr>
            </w:div>
          </w:divsChild>
        </w:div>
        <w:div w:id="1668023618">
          <w:marLeft w:val="0"/>
          <w:marRight w:val="0"/>
          <w:marTop w:val="0"/>
          <w:marBottom w:val="0"/>
          <w:divBdr>
            <w:top w:val="none" w:sz="0" w:space="0" w:color="auto"/>
            <w:left w:val="none" w:sz="0" w:space="0" w:color="auto"/>
            <w:bottom w:val="none" w:sz="0" w:space="0" w:color="auto"/>
            <w:right w:val="none" w:sz="0" w:space="0" w:color="auto"/>
          </w:divBdr>
          <w:divsChild>
            <w:div w:id="1757364471">
              <w:marLeft w:val="0"/>
              <w:marRight w:val="0"/>
              <w:marTop w:val="0"/>
              <w:marBottom w:val="0"/>
              <w:divBdr>
                <w:top w:val="none" w:sz="0" w:space="0" w:color="auto"/>
                <w:left w:val="none" w:sz="0" w:space="0" w:color="auto"/>
                <w:bottom w:val="none" w:sz="0" w:space="0" w:color="auto"/>
                <w:right w:val="none" w:sz="0" w:space="0" w:color="auto"/>
              </w:divBdr>
            </w:div>
          </w:divsChild>
        </w:div>
        <w:div w:id="1686857037">
          <w:marLeft w:val="0"/>
          <w:marRight w:val="0"/>
          <w:marTop w:val="0"/>
          <w:marBottom w:val="0"/>
          <w:divBdr>
            <w:top w:val="none" w:sz="0" w:space="0" w:color="auto"/>
            <w:left w:val="none" w:sz="0" w:space="0" w:color="auto"/>
            <w:bottom w:val="none" w:sz="0" w:space="0" w:color="auto"/>
            <w:right w:val="none" w:sz="0" w:space="0" w:color="auto"/>
          </w:divBdr>
          <w:divsChild>
            <w:div w:id="1284773408">
              <w:marLeft w:val="0"/>
              <w:marRight w:val="0"/>
              <w:marTop w:val="0"/>
              <w:marBottom w:val="0"/>
              <w:divBdr>
                <w:top w:val="none" w:sz="0" w:space="0" w:color="auto"/>
                <w:left w:val="none" w:sz="0" w:space="0" w:color="auto"/>
                <w:bottom w:val="none" w:sz="0" w:space="0" w:color="auto"/>
                <w:right w:val="none" w:sz="0" w:space="0" w:color="auto"/>
              </w:divBdr>
            </w:div>
          </w:divsChild>
        </w:div>
        <w:div w:id="1693188657">
          <w:marLeft w:val="0"/>
          <w:marRight w:val="0"/>
          <w:marTop w:val="0"/>
          <w:marBottom w:val="0"/>
          <w:divBdr>
            <w:top w:val="none" w:sz="0" w:space="0" w:color="auto"/>
            <w:left w:val="none" w:sz="0" w:space="0" w:color="auto"/>
            <w:bottom w:val="none" w:sz="0" w:space="0" w:color="auto"/>
            <w:right w:val="none" w:sz="0" w:space="0" w:color="auto"/>
          </w:divBdr>
          <w:divsChild>
            <w:div w:id="1709795374">
              <w:marLeft w:val="0"/>
              <w:marRight w:val="0"/>
              <w:marTop w:val="0"/>
              <w:marBottom w:val="0"/>
              <w:divBdr>
                <w:top w:val="none" w:sz="0" w:space="0" w:color="auto"/>
                <w:left w:val="none" w:sz="0" w:space="0" w:color="auto"/>
                <w:bottom w:val="none" w:sz="0" w:space="0" w:color="auto"/>
                <w:right w:val="none" w:sz="0" w:space="0" w:color="auto"/>
              </w:divBdr>
            </w:div>
          </w:divsChild>
        </w:div>
        <w:div w:id="1699235419">
          <w:marLeft w:val="0"/>
          <w:marRight w:val="0"/>
          <w:marTop w:val="0"/>
          <w:marBottom w:val="0"/>
          <w:divBdr>
            <w:top w:val="none" w:sz="0" w:space="0" w:color="auto"/>
            <w:left w:val="none" w:sz="0" w:space="0" w:color="auto"/>
            <w:bottom w:val="none" w:sz="0" w:space="0" w:color="auto"/>
            <w:right w:val="none" w:sz="0" w:space="0" w:color="auto"/>
          </w:divBdr>
          <w:divsChild>
            <w:div w:id="1149397335">
              <w:marLeft w:val="0"/>
              <w:marRight w:val="0"/>
              <w:marTop w:val="0"/>
              <w:marBottom w:val="0"/>
              <w:divBdr>
                <w:top w:val="none" w:sz="0" w:space="0" w:color="auto"/>
                <w:left w:val="none" w:sz="0" w:space="0" w:color="auto"/>
                <w:bottom w:val="none" w:sz="0" w:space="0" w:color="auto"/>
                <w:right w:val="none" w:sz="0" w:space="0" w:color="auto"/>
              </w:divBdr>
            </w:div>
          </w:divsChild>
        </w:div>
        <w:div w:id="1701709900">
          <w:marLeft w:val="0"/>
          <w:marRight w:val="0"/>
          <w:marTop w:val="0"/>
          <w:marBottom w:val="0"/>
          <w:divBdr>
            <w:top w:val="none" w:sz="0" w:space="0" w:color="auto"/>
            <w:left w:val="none" w:sz="0" w:space="0" w:color="auto"/>
            <w:bottom w:val="none" w:sz="0" w:space="0" w:color="auto"/>
            <w:right w:val="none" w:sz="0" w:space="0" w:color="auto"/>
          </w:divBdr>
          <w:divsChild>
            <w:div w:id="866060868">
              <w:marLeft w:val="0"/>
              <w:marRight w:val="0"/>
              <w:marTop w:val="0"/>
              <w:marBottom w:val="0"/>
              <w:divBdr>
                <w:top w:val="none" w:sz="0" w:space="0" w:color="auto"/>
                <w:left w:val="none" w:sz="0" w:space="0" w:color="auto"/>
                <w:bottom w:val="none" w:sz="0" w:space="0" w:color="auto"/>
                <w:right w:val="none" w:sz="0" w:space="0" w:color="auto"/>
              </w:divBdr>
            </w:div>
          </w:divsChild>
        </w:div>
        <w:div w:id="1704330691">
          <w:marLeft w:val="0"/>
          <w:marRight w:val="0"/>
          <w:marTop w:val="0"/>
          <w:marBottom w:val="0"/>
          <w:divBdr>
            <w:top w:val="none" w:sz="0" w:space="0" w:color="auto"/>
            <w:left w:val="none" w:sz="0" w:space="0" w:color="auto"/>
            <w:bottom w:val="none" w:sz="0" w:space="0" w:color="auto"/>
            <w:right w:val="none" w:sz="0" w:space="0" w:color="auto"/>
          </w:divBdr>
          <w:divsChild>
            <w:div w:id="400372005">
              <w:marLeft w:val="0"/>
              <w:marRight w:val="0"/>
              <w:marTop w:val="0"/>
              <w:marBottom w:val="0"/>
              <w:divBdr>
                <w:top w:val="none" w:sz="0" w:space="0" w:color="auto"/>
                <w:left w:val="none" w:sz="0" w:space="0" w:color="auto"/>
                <w:bottom w:val="none" w:sz="0" w:space="0" w:color="auto"/>
                <w:right w:val="none" w:sz="0" w:space="0" w:color="auto"/>
              </w:divBdr>
            </w:div>
          </w:divsChild>
        </w:div>
        <w:div w:id="1704599668">
          <w:marLeft w:val="0"/>
          <w:marRight w:val="0"/>
          <w:marTop w:val="0"/>
          <w:marBottom w:val="0"/>
          <w:divBdr>
            <w:top w:val="none" w:sz="0" w:space="0" w:color="auto"/>
            <w:left w:val="none" w:sz="0" w:space="0" w:color="auto"/>
            <w:bottom w:val="none" w:sz="0" w:space="0" w:color="auto"/>
            <w:right w:val="none" w:sz="0" w:space="0" w:color="auto"/>
          </w:divBdr>
          <w:divsChild>
            <w:div w:id="1554274630">
              <w:marLeft w:val="0"/>
              <w:marRight w:val="0"/>
              <w:marTop w:val="0"/>
              <w:marBottom w:val="0"/>
              <w:divBdr>
                <w:top w:val="none" w:sz="0" w:space="0" w:color="auto"/>
                <w:left w:val="none" w:sz="0" w:space="0" w:color="auto"/>
                <w:bottom w:val="none" w:sz="0" w:space="0" w:color="auto"/>
                <w:right w:val="none" w:sz="0" w:space="0" w:color="auto"/>
              </w:divBdr>
            </w:div>
          </w:divsChild>
        </w:div>
        <w:div w:id="1723483278">
          <w:marLeft w:val="0"/>
          <w:marRight w:val="0"/>
          <w:marTop w:val="0"/>
          <w:marBottom w:val="0"/>
          <w:divBdr>
            <w:top w:val="none" w:sz="0" w:space="0" w:color="auto"/>
            <w:left w:val="none" w:sz="0" w:space="0" w:color="auto"/>
            <w:bottom w:val="none" w:sz="0" w:space="0" w:color="auto"/>
            <w:right w:val="none" w:sz="0" w:space="0" w:color="auto"/>
          </w:divBdr>
          <w:divsChild>
            <w:div w:id="1457991926">
              <w:marLeft w:val="0"/>
              <w:marRight w:val="0"/>
              <w:marTop w:val="0"/>
              <w:marBottom w:val="0"/>
              <w:divBdr>
                <w:top w:val="none" w:sz="0" w:space="0" w:color="auto"/>
                <w:left w:val="none" w:sz="0" w:space="0" w:color="auto"/>
                <w:bottom w:val="none" w:sz="0" w:space="0" w:color="auto"/>
                <w:right w:val="none" w:sz="0" w:space="0" w:color="auto"/>
              </w:divBdr>
            </w:div>
          </w:divsChild>
        </w:div>
        <w:div w:id="1727214221">
          <w:marLeft w:val="0"/>
          <w:marRight w:val="0"/>
          <w:marTop w:val="0"/>
          <w:marBottom w:val="0"/>
          <w:divBdr>
            <w:top w:val="none" w:sz="0" w:space="0" w:color="auto"/>
            <w:left w:val="none" w:sz="0" w:space="0" w:color="auto"/>
            <w:bottom w:val="none" w:sz="0" w:space="0" w:color="auto"/>
            <w:right w:val="none" w:sz="0" w:space="0" w:color="auto"/>
          </w:divBdr>
          <w:divsChild>
            <w:div w:id="321279535">
              <w:marLeft w:val="0"/>
              <w:marRight w:val="0"/>
              <w:marTop w:val="0"/>
              <w:marBottom w:val="0"/>
              <w:divBdr>
                <w:top w:val="none" w:sz="0" w:space="0" w:color="auto"/>
                <w:left w:val="none" w:sz="0" w:space="0" w:color="auto"/>
                <w:bottom w:val="none" w:sz="0" w:space="0" w:color="auto"/>
                <w:right w:val="none" w:sz="0" w:space="0" w:color="auto"/>
              </w:divBdr>
            </w:div>
          </w:divsChild>
        </w:div>
        <w:div w:id="1739202932">
          <w:marLeft w:val="0"/>
          <w:marRight w:val="0"/>
          <w:marTop w:val="0"/>
          <w:marBottom w:val="0"/>
          <w:divBdr>
            <w:top w:val="none" w:sz="0" w:space="0" w:color="auto"/>
            <w:left w:val="none" w:sz="0" w:space="0" w:color="auto"/>
            <w:bottom w:val="none" w:sz="0" w:space="0" w:color="auto"/>
            <w:right w:val="none" w:sz="0" w:space="0" w:color="auto"/>
          </w:divBdr>
          <w:divsChild>
            <w:div w:id="2114396345">
              <w:marLeft w:val="0"/>
              <w:marRight w:val="0"/>
              <w:marTop w:val="0"/>
              <w:marBottom w:val="0"/>
              <w:divBdr>
                <w:top w:val="none" w:sz="0" w:space="0" w:color="auto"/>
                <w:left w:val="none" w:sz="0" w:space="0" w:color="auto"/>
                <w:bottom w:val="none" w:sz="0" w:space="0" w:color="auto"/>
                <w:right w:val="none" w:sz="0" w:space="0" w:color="auto"/>
              </w:divBdr>
            </w:div>
          </w:divsChild>
        </w:div>
        <w:div w:id="1744141463">
          <w:marLeft w:val="0"/>
          <w:marRight w:val="0"/>
          <w:marTop w:val="0"/>
          <w:marBottom w:val="0"/>
          <w:divBdr>
            <w:top w:val="none" w:sz="0" w:space="0" w:color="auto"/>
            <w:left w:val="none" w:sz="0" w:space="0" w:color="auto"/>
            <w:bottom w:val="none" w:sz="0" w:space="0" w:color="auto"/>
            <w:right w:val="none" w:sz="0" w:space="0" w:color="auto"/>
          </w:divBdr>
          <w:divsChild>
            <w:div w:id="1898515359">
              <w:marLeft w:val="0"/>
              <w:marRight w:val="0"/>
              <w:marTop w:val="0"/>
              <w:marBottom w:val="0"/>
              <w:divBdr>
                <w:top w:val="none" w:sz="0" w:space="0" w:color="auto"/>
                <w:left w:val="none" w:sz="0" w:space="0" w:color="auto"/>
                <w:bottom w:val="none" w:sz="0" w:space="0" w:color="auto"/>
                <w:right w:val="none" w:sz="0" w:space="0" w:color="auto"/>
              </w:divBdr>
            </w:div>
          </w:divsChild>
        </w:div>
        <w:div w:id="1746340032">
          <w:marLeft w:val="0"/>
          <w:marRight w:val="0"/>
          <w:marTop w:val="0"/>
          <w:marBottom w:val="0"/>
          <w:divBdr>
            <w:top w:val="none" w:sz="0" w:space="0" w:color="auto"/>
            <w:left w:val="none" w:sz="0" w:space="0" w:color="auto"/>
            <w:bottom w:val="none" w:sz="0" w:space="0" w:color="auto"/>
            <w:right w:val="none" w:sz="0" w:space="0" w:color="auto"/>
          </w:divBdr>
          <w:divsChild>
            <w:div w:id="1464076398">
              <w:marLeft w:val="0"/>
              <w:marRight w:val="0"/>
              <w:marTop w:val="0"/>
              <w:marBottom w:val="0"/>
              <w:divBdr>
                <w:top w:val="none" w:sz="0" w:space="0" w:color="auto"/>
                <w:left w:val="none" w:sz="0" w:space="0" w:color="auto"/>
                <w:bottom w:val="none" w:sz="0" w:space="0" w:color="auto"/>
                <w:right w:val="none" w:sz="0" w:space="0" w:color="auto"/>
              </w:divBdr>
            </w:div>
          </w:divsChild>
        </w:div>
        <w:div w:id="1781022394">
          <w:marLeft w:val="0"/>
          <w:marRight w:val="0"/>
          <w:marTop w:val="0"/>
          <w:marBottom w:val="0"/>
          <w:divBdr>
            <w:top w:val="none" w:sz="0" w:space="0" w:color="auto"/>
            <w:left w:val="none" w:sz="0" w:space="0" w:color="auto"/>
            <w:bottom w:val="none" w:sz="0" w:space="0" w:color="auto"/>
            <w:right w:val="none" w:sz="0" w:space="0" w:color="auto"/>
          </w:divBdr>
          <w:divsChild>
            <w:div w:id="730152250">
              <w:marLeft w:val="0"/>
              <w:marRight w:val="0"/>
              <w:marTop w:val="0"/>
              <w:marBottom w:val="0"/>
              <w:divBdr>
                <w:top w:val="none" w:sz="0" w:space="0" w:color="auto"/>
                <w:left w:val="none" w:sz="0" w:space="0" w:color="auto"/>
                <w:bottom w:val="none" w:sz="0" w:space="0" w:color="auto"/>
                <w:right w:val="none" w:sz="0" w:space="0" w:color="auto"/>
              </w:divBdr>
            </w:div>
          </w:divsChild>
        </w:div>
        <w:div w:id="1781752760">
          <w:marLeft w:val="0"/>
          <w:marRight w:val="0"/>
          <w:marTop w:val="0"/>
          <w:marBottom w:val="0"/>
          <w:divBdr>
            <w:top w:val="none" w:sz="0" w:space="0" w:color="auto"/>
            <w:left w:val="none" w:sz="0" w:space="0" w:color="auto"/>
            <w:bottom w:val="none" w:sz="0" w:space="0" w:color="auto"/>
            <w:right w:val="none" w:sz="0" w:space="0" w:color="auto"/>
          </w:divBdr>
          <w:divsChild>
            <w:div w:id="2074038574">
              <w:marLeft w:val="0"/>
              <w:marRight w:val="0"/>
              <w:marTop w:val="0"/>
              <w:marBottom w:val="0"/>
              <w:divBdr>
                <w:top w:val="none" w:sz="0" w:space="0" w:color="auto"/>
                <w:left w:val="none" w:sz="0" w:space="0" w:color="auto"/>
                <w:bottom w:val="none" w:sz="0" w:space="0" w:color="auto"/>
                <w:right w:val="none" w:sz="0" w:space="0" w:color="auto"/>
              </w:divBdr>
            </w:div>
          </w:divsChild>
        </w:div>
        <w:div w:id="1784373471">
          <w:marLeft w:val="0"/>
          <w:marRight w:val="0"/>
          <w:marTop w:val="0"/>
          <w:marBottom w:val="0"/>
          <w:divBdr>
            <w:top w:val="none" w:sz="0" w:space="0" w:color="auto"/>
            <w:left w:val="none" w:sz="0" w:space="0" w:color="auto"/>
            <w:bottom w:val="none" w:sz="0" w:space="0" w:color="auto"/>
            <w:right w:val="none" w:sz="0" w:space="0" w:color="auto"/>
          </w:divBdr>
          <w:divsChild>
            <w:div w:id="811680475">
              <w:marLeft w:val="0"/>
              <w:marRight w:val="0"/>
              <w:marTop w:val="0"/>
              <w:marBottom w:val="0"/>
              <w:divBdr>
                <w:top w:val="none" w:sz="0" w:space="0" w:color="auto"/>
                <w:left w:val="none" w:sz="0" w:space="0" w:color="auto"/>
                <w:bottom w:val="none" w:sz="0" w:space="0" w:color="auto"/>
                <w:right w:val="none" w:sz="0" w:space="0" w:color="auto"/>
              </w:divBdr>
            </w:div>
          </w:divsChild>
        </w:div>
        <w:div w:id="1788894415">
          <w:marLeft w:val="0"/>
          <w:marRight w:val="0"/>
          <w:marTop w:val="0"/>
          <w:marBottom w:val="0"/>
          <w:divBdr>
            <w:top w:val="none" w:sz="0" w:space="0" w:color="auto"/>
            <w:left w:val="none" w:sz="0" w:space="0" w:color="auto"/>
            <w:bottom w:val="none" w:sz="0" w:space="0" w:color="auto"/>
            <w:right w:val="none" w:sz="0" w:space="0" w:color="auto"/>
          </w:divBdr>
          <w:divsChild>
            <w:div w:id="560211366">
              <w:marLeft w:val="0"/>
              <w:marRight w:val="0"/>
              <w:marTop w:val="0"/>
              <w:marBottom w:val="0"/>
              <w:divBdr>
                <w:top w:val="none" w:sz="0" w:space="0" w:color="auto"/>
                <w:left w:val="none" w:sz="0" w:space="0" w:color="auto"/>
                <w:bottom w:val="none" w:sz="0" w:space="0" w:color="auto"/>
                <w:right w:val="none" w:sz="0" w:space="0" w:color="auto"/>
              </w:divBdr>
            </w:div>
          </w:divsChild>
        </w:div>
        <w:div w:id="1794055499">
          <w:marLeft w:val="0"/>
          <w:marRight w:val="0"/>
          <w:marTop w:val="0"/>
          <w:marBottom w:val="0"/>
          <w:divBdr>
            <w:top w:val="none" w:sz="0" w:space="0" w:color="auto"/>
            <w:left w:val="none" w:sz="0" w:space="0" w:color="auto"/>
            <w:bottom w:val="none" w:sz="0" w:space="0" w:color="auto"/>
            <w:right w:val="none" w:sz="0" w:space="0" w:color="auto"/>
          </w:divBdr>
          <w:divsChild>
            <w:div w:id="1402948906">
              <w:marLeft w:val="0"/>
              <w:marRight w:val="0"/>
              <w:marTop w:val="0"/>
              <w:marBottom w:val="0"/>
              <w:divBdr>
                <w:top w:val="none" w:sz="0" w:space="0" w:color="auto"/>
                <w:left w:val="none" w:sz="0" w:space="0" w:color="auto"/>
                <w:bottom w:val="none" w:sz="0" w:space="0" w:color="auto"/>
                <w:right w:val="none" w:sz="0" w:space="0" w:color="auto"/>
              </w:divBdr>
            </w:div>
          </w:divsChild>
        </w:div>
        <w:div w:id="1801533649">
          <w:marLeft w:val="0"/>
          <w:marRight w:val="0"/>
          <w:marTop w:val="0"/>
          <w:marBottom w:val="0"/>
          <w:divBdr>
            <w:top w:val="none" w:sz="0" w:space="0" w:color="auto"/>
            <w:left w:val="none" w:sz="0" w:space="0" w:color="auto"/>
            <w:bottom w:val="none" w:sz="0" w:space="0" w:color="auto"/>
            <w:right w:val="none" w:sz="0" w:space="0" w:color="auto"/>
          </w:divBdr>
          <w:divsChild>
            <w:div w:id="804397034">
              <w:marLeft w:val="0"/>
              <w:marRight w:val="0"/>
              <w:marTop w:val="0"/>
              <w:marBottom w:val="0"/>
              <w:divBdr>
                <w:top w:val="none" w:sz="0" w:space="0" w:color="auto"/>
                <w:left w:val="none" w:sz="0" w:space="0" w:color="auto"/>
                <w:bottom w:val="none" w:sz="0" w:space="0" w:color="auto"/>
                <w:right w:val="none" w:sz="0" w:space="0" w:color="auto"/>
              </w:divBdr>
            </w:div>
          </w:divsChild>
        </w:div>
        <w:div w:id="1808736503">
          <w:marLeft w:val="0"/>
          <w:marRight w:val="0"/>
          <w:marTop w:val="0"/>
          <w:marBottom w:val="0"/>
          <w:divBdr>
            <w:top w:val="none" w:sz="0" w:space="0" w:color="auto"/>
            <w:left w:val="none" w:sz="0" w:space="0" w:color="auto"/>
            <w:bottom w:val="none" w:sz="0" w:space="0" w:color="auto"/>
            <w:right w:val="none" w:sz="0" w:space="0" w:color="auto"/>
          </w:divBdr>
          <w:divsChild>
            <w:div w:id="2048992174">
              <w:marLeft w:val="0"/>
              <w:marRight w:val="0"/>
              <w:marTop w:val="0"/>
              <w:marBottom w:val="0"/>
              <w:divBdr>
                <w:top w:val="none" w:sz="0" w:space="0" w:color="auto"/>
                <w:left w:val="none" w:sz="0" w:space="0" w:color="auto"/>
                <w:bottom w:val="none" w:sz="0" w:space="0" w:color="auto"/>
                <w:right w:val="none" w:sz="0" w:space="0" w:color="auto"/>
              </w:divBdr>
            </w:div>
          </w:divsChild>
        </w:div>
        <w:div w:id="1809277868">
          <w:marLeft w:val="0"/>
          <w:marRight w:val="0"/>
          <w:marTop w:val="0"/>
          <w:marBottom w:val="0"/>
          <w:divBdr>
            <w:top w:val="none" w:sz="0" w:space="0" w:color="auto"/>
            <w:left w:val="none" w:sz="0" w:space="0" w:color="auto"/>
            <w:bottom w:val="none" w:sz="0" w:space="0" w:color="auto"/>
            <w:right w:val="none" w:sz="0" w:space="0" w:color="auto"/>
          </w:divBdr>
          <w:divsChild>
            <w:div w:id="2091609732">
              <w:marLeft w:val="0"/>
              <w:marRight w:val="0"/>
              <w:marTop w:val="0"/>
              <w:marBottom w:val="0"/>
              <w:divBdr>
                <w:top w:val="none" w:sz="0" w:space="0" w:color="auto"/>
                <w:left w:val="none" w:sz="0" w:space="0" w:color="auto"/>
                <w:bottom w:val="none" w:sz="0" w:space="0" w:color="auto"/>
                <w:right w:val="none" w:sz="0" w:space="0" w:color="auto"/>
              </w:divBdr>
            </w:div>
          </w:divsChild>
        </w:div>
        <w:div w:id="1818641353">
          <w:marLeft w:val="0"/>
          <w:marRight w:val="0"/>
          <w:marTop w:val="0"/>
          <w:marBottom w:val="0"/>
          <w:divBdr>
            <w:top w:val="none" w:sz="0" w:space="0" w:color="auto"/>
            <w:left w:val="none" w:sz="0" w:space="0" w:color="auto"/>
            <w:bottom w:val="none" w:sz="0" w:space="0" w:color="auto"/>
            <w:right w:val="none" w:sz="0" w:space="0" w:color="auto"/>
          </w:divBdr>
          <w:divsChild>
            <w:div w:id="1681424152">
              <w:marLeft w:val="0"/>
              <w:marRight w:val="0"/>
              <w:marTop w:val="0"/>
              <w:marBottom w:val="0"/>
              <w:divBdr>
                <w:top w:val="none" w:sz="0" w:space="0" w:color="auto"/>
                <w:left w:val="none" w:sz="0" w:space="0" w:color="auto"/>
                <w:bottom w:val="none" w:sz="0" w:space="0" w:color="auto"/>
                <w:right w:val="none" w:sz="0" w:space="0" w:color="auto"/>
              </w:divBdr>
            </w:div>
          </w:divsChild>
        </w:div>
        <w:div w:id="1829399193">
          <w:marLeft w:val="0"/>
          <w:marRight w:val="0"/>
          <w:marTop w:val="0"/>
          <w:marBottom w:val="0"/>
          <w:divBdr>
            <w:top w:val="none" w:sz="0" w:space="0" w:color="auto"/>
            <w:left w:val="none" w:sz="0" w:space="0" w:color="auto"/>
            <w:bottom w:val="none" w:sz="0" w:space="0" w:color="auto"/>
            <w:right w:val="none" w:sz="0" w:space="0" w:color="auto"/>
          </w:divBdr>
          <w:divsChild>
            <w:div w:id="2016418667">
              <w:marLeft w:val="0"/>
              <w:marRight w:val="0"/>
              <w:marTop w:val="0"/>
              <w:marBottom w:val="0"/>
              <w:divBdr>
                <w:top w:val="none" w:sz="0" w:space="0" w:color="auto"/>
                <w:left w:val="none" w:sz="0" w:space="0" w:color="auto"/>
                <w:bottom w:val="none" w:sz="0" w:space="0" w:color="auto"/>
                <w:right w:val="none" w:sz="0" w:space="0" w:color="auto"/>
              </w:divBdr>
            </w:div>
          </w:divsChild>
        </w:div>
        <w:div w:id="1848666971">
          <w:marLeft w:val="0"/>
          <w:marRight w:val="0"/>
          <w:marTop w:val="0"/>
          <w:marBottom w:val="0"/>
          <w:divBdr>
            <w:top w:val="none" w:sz="0" w:space="0" w:color="auto"/>
            <w:left w:val="none" w:sz="0" w:space="0" w:color="auto"/>
            <w:bottom w:val="none" w:sz="0" w:space="0" w:color="auto"/>
            <w:right w:val="none" w:sz="0" w:space="0" w:color="auto"/>
          </w:divBdr>
          <w:divsChild>
            <w:div w:id="448666115">
              <w:marLeft w:val="0"/>
              <w:marRight w:val="0"/>
              <w:marTop w:val="0"/>
              <w:marBottom w:val="0"/>
              <w:divBdr>
                <w:top w:val="none" w:sz="0" w:space="0" w:color="auto"/>
                <w:left w:val="none" w:sz="0" w:space="0" w:color="auto"/>
                <w:bottom w:val="none" w:sz="0" w:space="0" w:color="auto"/>
                <w:right w:val="none" w:sz="0" w:space="0" w:color="auto"/>
              </w:divBdr>
            </w:div>
          </w:divsChild>
        </w:div>
        <w:div w:id="1867870764">
          <w:marLeft w:val="0"/>
          <w:marRight w:val="0"/>
          <w:marTop w:val="0"/>
          <w:marBottom w:val="0"/>
          <w:divBdr>
            <w:top w:val="none" w:sz="0" w:space="0" w:color="auto"/>
            <w:left w:val="none" w:sz="0" w:space="0" w:color="auto"/>
            <w:bottom w:val="none" w:sz="0" w:space="0" w:color="auto"/>
            <w:right w:val="none" w:sz="0" w:space="0" w:color="auto"/>
          </w:divBdr>
          <w:divsChild>
            <w:div w:id="1114786240">
              <w:marLeft w:val="0"/>
              <w:marRight w:val="0"/>
              <w:marTop w:val="0"/>
              <w:marBottom w:val="0"/>
              <w:divBdr>
                <w:top w:val="none" w:sz="0" w:space="0" w:color="auto"/>
                <w:left w:val="none" w:sz="0" w:space="0" w:color="auto"/>
                <w:bottom w:val="none" w:sz="0" w:space="0" w:color="auto"/>
                <w:right w:val="none" w:sz="0" w:space="0" w:color="auto"/>
              </w:divBdr>
            </w:div>
          </w:divsChild>
        </w:div>
        <w:div w:id="1873960147">
          <w:marLeft w:val="0"/>
          <w:marRight w:val="0"/>
          <w:marTop w:val="0"/>
          <w:marBottom w:val="0"/>
          <w:divBdr>
            <w:top w:val="none" w:sz="0" w:space="0" w:color="auto"/>
            <w:left w:val="none" w:sz="0" w:space="0" w:color="auto"/>
            <w:bottom w:val="none" w:sz="0" w:space="0" w:color="auto"/>
            <w:right w:val="none" w:sz="0" w:space="0" w:color="auto"/>
          </w:divBdr>
          <w:divsChild>
            <w:div w:id="2088069947">
              <w:marLeft w:val="0"/>
              <w:marRight w:val="0"/>
              <w:marTop w:val="0"/>
              <w:marBottom w:val="0"/>
              <w:divBdr>
                <w:top w:val="none" w:sz="0" w:space="0" w:color="auto"/>
                <w:left w:val="none" w:sz="0" w:space="0" w:color="auto"/>
                <w:bottom w:val="none" w:sz="0" w:space="0" w:color="auto"/>
                <w:right w:val="none" w:sz="0" w:space="0" w:color="auto"/>
              </w:divBdr>
            </w:div>
          </w:divsChild>
        </w:div>
        <w:div w:id="1890336331">
          <w:marLeft w:val="0"/>
          <w:marRight w:val="0"/>
          <w:marTop w:val="0"/>
          <w:marBottom w:val="0"/>
          <w:divBdr>
            <w:top w:val="none" w:sz="0" w:space="0" w:color="auto"/>
            <w:left w:val="none" w:sz="0" w:space="0" w:color="auto"/>
            <w:bottom w:val="none" w:sz="0" w:space="0" w:color="auto"/>
            <w:right w:val="none" w:sz="0" w:space="0" w:color="auto"/>
          </w:divBdr>
          <w:divsChild>
            <w:div w:id="1619331079">
              <w:marLeft w:val="0"/>
              <w:marRight w:val="0"/>
              <w:marTop w:val="0"/>
              <w:marBottom w:val="0"/>
              <w:divBdr>
                <w:top w:val="none" w:sz="0" w:space="0" w:color="auto"/>
                <w:left w:val="none" w:sz="0" w:space="0" w:color="auto"/>
                <w:bottom w:val="none" w:sz="0" w:space="0" w:color="auto"/>
                <w:right w:val="none" w:sz="0" w:space="0" w:color="auto"/>
              </w:divBdr>
            </w:div>
          </w:divsChild>
        </w:div>
        <w:div w:id="1907909612">
          <w:marLeft w:val="0"/>
          <w:marRight w:val="0"/>
          <w:marTop w:val="0"/>
          <w:marBottom w:val="0"/>
          <w:divBdr>
            <w:top w:val="none" w:sz="0" w:space="0" w:color="auto"/>
            <w:left w:val="none" w:sz="0" w:space="0" w:color="auto"/>
            <w:bottom w:val="none" w:sz="0" w:space="0" w:color="auto"/>
            <w:right w:val="none" w:sz="0" w:space="0" w:color="auto"/>
          </w:divBdr>
          <w:divsChild>
            <w:div w:id="355886330">
              <w:marLeft w:val="0"/>
              <w:marRight w:val="0"/>
              <w:marTop w:val="0"/>
              <w:marBottom w:val="0"/>
              <w:divBdr>
                <w:top w:val="none" w:sz="0" w:space="0" w:color="auto"/>
                <w:left w:val="none" w:sz="0" w:space="0" w:color="auto"/>
                <w:bottom w:val="none" w:sz="0" w:space="0" w:color="auto"/>
                <w:right w:val="none" w:sz="0" w:space="0" w:color="auto"/>
              </w:divBdr>
            </w:div>
          </w:divsChild>
        </w:div>
        <w:div w:id="1919484226">
          <w:marLeft w:val="0"/>
          <w:marRight w:val="0"/>
          <w:marTop w:val="0"/>
          <w:marBottom w:val="0"/>
          <w:divBdr>
            <w:top w:val="none" w:sz="0" w:space="0" w:color="auto"/>
            <w:left w:val="none" w:sz="0" w:space="0" w:color="auto"/>
            <w:bottom w:val="none" w:sz="0" w:space="0" w:color="auto"/>
            <w:right w:val="none" w:sz="0" w:space="0" w:color="auto"/>
          </w:divBdr>
          <w:divsChild>
            <w:div w:id="498081780">
              <w:marLeft w:val="0"/>
              <w:marRight w:val="0"/>
              <w:marTop w:val="0"/>
              <w:marBottom w:val="0"/>
              <w:divBdr>
                <w:top w:val="none" w:sz="0" w:space="0" w:color="auto"/>
                <w:left w:val="none" w:sz="0" w:space="0" w:color="auto"/>
                <w:bottom w:val="none" w:sz="0" w:space="0" w:color="auto"/>
                <w:right w:val="none" w:sz="0" w:space="0" w:color="auto"/>
              </w:divBdr>
            </w:div>
          </w:divsChild>
        </w:div>
        <w:div w:id="1929659181">
          <w:marLeft w:val="0"/>
          <w:marRight w:val="0"/>
          <w:marTop w:val="0"/>
          <w:marBottom w:val="0"/>
          <w:divBdr>
            <w:top w:val="none" w:sz="0" w:space="0" w:color="auto"/>
            <w:left w:val="none" w:sz="0" w:space="0" w:color="auto"/>
            <w:bottom w:val="none" w:sz="0" w:space="0" w:color="auto"/>
            <w:right w:val="none" w:sz="0" w:space="0" w:color="auto"/>
          </w:divBdr>
          <w:divsChild>
            <w:div w:id="494490466">
              <w:marLeft w:val="0"/>
              <w:marRight w:val="0"/>
              <w:marTop w:val="0"/>
              <w:marBottom w:val="0"/>
              <w:divBdr>
                <w:top w:val="none" w:sz="0" w:space="0" w:color="auto"/>
                <w:left w:val="none" w:sz="0" w:space="0" w:color="auto"/>
                <w:bottom w:val="none" w:sz="0" w:space="0" w:color="auto"/>
                <w:right w:val="none" w:sz="0" w:space="0" w:color="auto"/>
              </w:divBdr>
            </w:div>
          </w:divsChild>
        </w:div>
        <w:div w:id="1950353711">
          <w:marLeft w:val="0"/>
          <w:marRight w:val="0"/>
          <w:marTop w:val="0"/>
          <w:marBottom w:val="0"/>
          <w:divBdr>
            <w:top w:val="none" w:sz="0" w:space="0" w:color="auto"/>
            <w:left w:val="none" w:sz="0" w:space="0" w:color="auto"/>
            <w:bottom w:val="none" w:sz="0" w:space="0" w:color="auto"/>
            <w:right w:val="none" w:sz="0" w:space="0" w:color="auto"/>
          </w:divBdr>
          <w:divsChild>
            <w:div w:id="2056154846">
              <w:marLeft w:val="0"/>
              <w:marRight w:val="0"/>
              <w:marTop w:val="0"/>
              <w:marBottom w:val="0"/>
              <w:divBdr>
                <w:top w:val="none" w:sz="0" w:space="0" w:color="auto"/>
                <w:left w:val="none" w:sz="0" w:space="0" w:color="auto"/>
                <w:bottom w:val="none" w:sz="0" w:space="0" w:color="auto"/>
                <w:right w:val="none" w:sz="0" w:space="0" w:color="auto"/>
              </w:divBdr>
            </w:div>
          </w:divsChild>
        </w:div>
        <w:div w:id="1954434257">
          <w:marLeft w:val="0"/>
          <w:marRight w:val="0"/>
          <w:marTop w:val="0"/>
          <w:marBottom w:val="0"/>
          <w:divBdr>
            <w:top w:val="none" w:sz="0" w:space="0" w:color="auto"/>
            <w:left w:val="none" w:sz="0" w:space="0" w:color="auto"/>
            <w:bottom w:val="none" w:sz="0" w:space="0" w:color="auto"/>
            <w:right w:val="none" w:sz="0" w:space="0" w:color="auto"/>
          </w:divBdr>
          <w:divsChild>
            <w:div w:id="983116939">
              <w:marLeft w:val="0"/>
              <w:marRight w:val="0"/>
              <w:marTop w:val="0"/>
              <w:marBottom w:val="0"/>
              <w:divBdr>
                <w:top w:val="none" w:sz="0" w:space="0" w:color="auto"/>
                <w:left w:val="none" w:sz="0" w:space="0" w:color="auto"/>
                <w:bottom w:val="none" w:sz="0" w:space="0" w:color="auto"/>
                <w:right w:val="none" w:sz="0" w:space="0" w:color="auto"/>
              </w:divBdr>
            </w:div>
          </w:divsChild>
        </w:div>
        <w:div w:id="1961450347">
          <w:marLeft w:val="0"/>
          <w:marRight w:val="0"/>
          <w:marTop w:val="0"/>
          <w:marBottom w:val="0"/>
          <w:divBdr>
            <w:top w:val="none" w:sz="0" w:space="0" w:color="auto"/>
            <w:left w:val="none" w:sz="0" w:space="0" w:color="auto"/>
            <w:bottom w:val="none" w:sz="0" w:space="0" w:color="auto"/>
            <w:right w:val="none" w:sz="0" w:space="0" w:color="auto"/>
          </w:divBdr>
          <w:divsChild>
            <w:div w:id="1390955692">
              <w:marLeft w:val="0"/>
              <w:marRight w:val="0"/>
              <w:marTop w:val="0"/>
              <w:marBottom w:val="0"/>
              <w:divBdr>
                <w:top w:val="none" w:sz="0" w:space="0" w:color="auto"/>
                <w:left w:val="none" w:sz="0" w:space="0" w:color="auto"/>
                <w:bottom w:val="none" w:sz="0" w:space="0" w:color="auto"/>
                <w:right w:val="none" w:sz="0" w:space="0" w:color="auto"/>
              </w:divBdr>
            </w:div>
          </w:divsChild>
        </w:div>
        <w:div w:id="1966618521">
          <w:marLeft w:val="0"/>
          <w:marRight w:val="0"/>
          <w:marTop w:val="0"/>
          <w:marBottom w:val="0"/>
          <w:divBdr>
            <w:top w:val="none" w:sz="0" w:space="0" w:color="auto"/>
            <w:left w:val="none" w:sz="0" w:space="0" w:color="auto"/>
            <w:bottom w:val="none" w:sz="0" w:space="0" w:color="auto"/>
            <w:right w:val="none" w:sz="0" w:space="0" w:color="auto"/>
          </w:divBdr>
          <w:divsChild>
            <w:div w:id="1701273336">
              <w:marLeft w:val="0"/>
              <w:marRight w:val="0"/>
              <w:marTop w:val="0"/>
              <w:marBottom w:val="0"/>
              <w:divBdr>
                <w:top w:val="none" w:sz="0" w:space="0" w:color="auto"/>
                <w:left w:val="none" w:sz="0" w:space="0" w:color="auto"/>
                <w:bottom w:val="none" w:sz="0" w:space="0" w:color="auto"/>
                <w:right w:val="none" w:sz="0" w:space="0" w:color="auto"/>
              </w:divBdr>
            </w:div>
          </w:divsChild>
        </w:div>
        <w:div w:id="1972784087">
          <w:marLeft w:val="0"/>
          <w:marRight w:val="0"/>
          <w:marTop w:val="0"/>
          <w:marBottom w:val="0"/>
          <w:divBdr>
            <w:top w:val="none" w:sz="0" w:space="0" w:color="auto"/>
            <w:left w:val="none" w:sz="0" w:space="0" w:color="auto"/>
            <w:bottom w:val="none" w:sz="0" w:space="0" w:color="auto"/>
            <w:right w:val="none" w:sz="0" w:space="0" w:color="auto"/>
          </w:divBdr>
          <w:divsChild>
            <w:div w:id="1451319062">
              <w:marLeft w:val="0"/>
              <w:marRight w:val="0"/>
              <w:marTop w:val="0"/>
              <w:marBottom w:val="0"/>
              <w:divBdr>
                <w:top w:val="none" w:sz="0" w:space="0" w:color="auto"/>
                <w:left w:val="none" w:sz="0" w:space="0" w:color="auto"/>
                <w:bottom w:val="none" w:sz="0" w:space="0" w:color="auto"/>
                <w:right w:val="none" w:sz="0" w:space="0" w:color="auto"/>
              </w:divBdr>
            </w:div>
          </w:divsChild>
        </w:div>
        <w:div w:id="1994604812">
          <w:marLeft w:val="0"/>
          <w:marRight w:val="0"/>
          <w:marTop w:val="0"/>
          <w:marBottom w:val="0"/>
          <w:divBdr>
            <w:top w:val="none" w:sz="0" w:space="0" w:color="auto"/>
            <w:left w:val="none" w:sz="0" w:space="0" w:color="auto"/>
            <w:bottom w:val="none" w:sz="0" w:space="0" w:color="auto"/>
            <w:right w:val="none" w:sz="0" w:space="0" w:color="auto"/>
          </w:divBdr>
          <w:divsChild>
            <w:div w:id="1840844921">
              <w:marLeft w:val="0"/>
              <w:marRight w:val="0"/>
              <w:marTop w:val="0"/>
              <w:marBottom w:val="0"/>
              <w:divBdr>
                <w:top w:val="none" w:sz="0" w:space="0" w:color="auto"/>
                <w:left w:val="none" w:sz="0" w:space="0" w:color="auto"/>
                <w:bottom w:val="none" w:sz="0" w:space="0" w:color="auto"/>
                <w:right w:val="none" w:sz="0" w:space="0" w:color="auto"/>
              </w:divBdr>
            </w:div>
          </w:divsChild>
        </w:div>
        <w:div w:id="2030401394">
          <w:marLeft w:val="0"/>
          <w:marRight w:val="0"/>
          <w:marTop w:val="0"/>
          <w:marBottom w:val="0"/>
          <w:divBdr>
            <w:top w:val="none" w:sz="0" w:space="0" w:color="auto"/>
            <w:left w:val="none" w:sz="0" w:space="0" w:color="auto"/>
            <w:bottom w:val="none" w:sz="0" w:space="0" w:color="auto"/>
            <w:right w:val="none" w:sz="0" w:space="0" w:color="auto"/>
          </w:divBdr>
          <w:divsChild>
            <w:div w:id="459034486">
              <w:marLeft w:val="0"/>
              <w:marRight w:val="0"/>
              <w:marTop w:val="0"/>
              <w:marBottom w:val="0"/>
              <w:divBdr>
                <w:top w:val="none" w:sz="0" w:space="0" w:color="auto"/>
                <w:left w:val="none" w:sz="0" w:space="0" w:color="auto"/>
                <w:bottom w:val="none" w:sz="0" w:space="0" w:color="auto"/>
                <w:right w:val="none" w:sz="0" w:space="0" w:color="auto"/>
              </w:divBdr>
            </w:div>
          </w:divsChild>
        </w:div>
        <w:div w:id="2031446727">
          <w:marLeft w:val="0"/>
          <w:marRight w:val="0"/>
          <w:marTop w:val="0"/>
          <w:marBottom w:val="0"/>
          <w:divBdr>
            <w:top w:val="none" w:sz="0" w:space="0" w:color="auto"/>
            <w:left w:val="none" w:sz="0" w:space="0" w:color="auto"/>
            <w:bottom w:val="none" w:sz="0" w:space="0" w:color="auto"/>
            <w:right w:val="none" w:sz="0" w:space="0" w:color="auto"/>
          </w:divBdr>
          <w:divsChild>
            <w:div w:id="1803232578">
              <w:marLeft w:val="0"/>
              <w:marRight w:val="0"/>
              <w:marTop w:val="0"/>
              <w:marBottom w:val="0"/>
              <w:divBdr>
                <w:top w:val="none" w:sz="0" w:space="0" w:color="auto"/>
                <w:left w:val="none" w:sz="0" w:space="0" w:color="auto"/>
                <w:bottom w:val="none" w:sz="0" w:space="0" w:color="auto"/>
                <w:right w:val="none" w:sz="0" w:space="0" w:color="auto"/>
              </w:divBdr>
            </w:div>
          </w:divsChild>
        </w:div>
        <w:div w:id="2070955422">
          <w:marLeft w:val="0"/>
          <w:marRight w:val="0"/>
          <w:marTop w:val="0"/>
          <w:marBottom w:val="0"/>
          <w:divBdr>
            <w:top w:val="none" w:sz="0" w:space="0" w:color="auto"/>
            <w:left w:val="none" w:sz="0" w:space="0" w:color="auto"/>
            <w:bottom w:val="none" w:sz="0" w:space="0" w:color="auto"/>
            <w:right w:val="none" w:sz="0" w:space="0" w:color="auto"/>
          </w:divBdr>
          <w:divsChild>
            <w:div w:id="2078162157">
              <w:marLeft w:val="0"/>
              <w:marRight w:val="0"/>
              <w:marTop w:val="0"/>
              <w:marBottom w:val="0"/>
              <w:divBdr>
                <w:top w:val="none" w:sz="0" w:space="0" w:color="auto"/>
                <w:left w:val="none" w:sz="0" w:space="0" w:color="auto"/>
                <w:bottom w:val="none" w:sz="0" w:space="0" w:color="auto"/>
                <w:right w:val="none" w:sz="0" w:space="0" w:color="auto"/>
              </w:divBdr>
            </w:div>
          </w:divsChild>
        </w:div>
        <w:div w:id="2083259770">
          <w:marLeft w:val="0"/>
          <w:marRight w:val="0"/>
          <w:marTop w:val="0"/>
          <w:marBottom w:val="0"/>
          <w:divBdr>
            <w:top w:val="none" w:sz="0" w:space="0" w:color="auto"/>
            <w:left w:val="none" w:sz="0" w:space="0" w:color="auto"/>
            <w:bottom w:val="none" w:sz="0" w:space="0" w:color="auto"/>
            <w:right w:val="none" w:sz="0" w:space="0" w:color="auto"/>
          </w:divBdr>
          <w:divsChild>
            <w:div w:id="1619215311">
              <w:marLeft w:val="0"/>
              <w:marRight w:val="0"/>
              <w:marTop w:val="0"/>
              <w:marBottom w:val="0"/>
              <w:divBdr>
                <w:top w:val="none" w:sz="0" w:space="0" w:color="auto"/>
                <w:left w:val="none" w:sz="0" w:space="0" w:color="auto"/>
                <w:bottom w:val="none" w:sz="0" w:space="0" w:color="auto"/>
                <w:right w:val="none" w:sz="0" w:space="0" w:color="auto"/>
              </w:divBdr>
            </w:div>
          </w:divsChild>
        </w:div>
        <w:div w:id="2107922918">
          <w:marLeft w:val="0"/>
          <w:marRight w:val="0"/>
          <w:marTop w:val="0"/>
          <w:marBottom w:val="0"/>
          <w:divBdr>
            <w:top w:val="none" w:sz="0" w:space="0" w:color="auto"/>
            <w:left w:val="none" w:sz="0" w:space="0" w:color="auto"/>
            <w:bottom w:val="none" w:sz="0" w:space="0" w:color="auto"/>
            <w:right w:val="none" w:sz="0" w:space="0" w:color="auto"/>
          </w:divBdr>
          <w:divsChild>
            <w:div w:id="1380855915">
              <w:marLeft w:val="0"/>
              <w:marRight w:val="0"/>
              <w:marTop w:val="0"/>
              <w:marBottom w:val="0"/>
              <w:divBdr>
                <w:top w:val="none" w:sz="0" w:space="0" w:color="auto"/>
                <w:left w:val="none" w:sz="0" w:space="0" w:color="auto"/>
                <w:bottom w:val="none" w:sz="0" w:space="0" w:color="auto"/>
                <w:right w:val="none" w:sz="0" w:space="0" w:color="auto"/>
              </w:divBdr>
            </w:div>
          </w:divsChild>
        </w:div>
        <w:div w:id="2111007625">
          <w:marLeft w:val="0"/>
          <w:marRight w:val="0"/>
          <w:marTop w:val="0"/>
          <w:marBottom w:val="0"/>
          <w:divBdr>
            <w:top w:val="none" w:sz="0" w:space="0" w:color="auto"/>
            <w:left w:val="none" w:sz="0" w:space="0" w:color="auto"/>
            <w:bottom w:val="none" w:sz="0" w:space="0" w:color="auto"/>
            <w:right w:val="none" w:sz="0" w:space="0" w:color="auto"/>
          </w:divBdr>
          <w:divsChild>
            <w:div w:id="1396974518">
              <w:marLeft w:val="0"/>
              <w:marRight w:val="0"/>
              <w:marTop w:val="0"/>
              <w:marBottom w:val="0"/>
              <w:divBdr>
                <w:top w:val="none" w:sz="0" w:space="0" w:color="auto"/>
                <w:left w:val="none" w:sz="0" w:space="0" w:color="auto"/>
                <w:bottom w:val="none" w:sz="0" w:space="0" w:color="auto"/>
                <w:right w:val="none" w:sz="0" w:space="0" w:color="auto"/>
              </w:divBdr>
            </w:div>
          </w:divsChild>
        </w:div>
        <w:div w:id="2142724651">
          <w:marLeft w:val="0"/>
          <w:marRight w:val="0"/>
          <w:marTop w:val="0"/>
          <w:marBottom w:val="0"/>
          <w:divBdr>
            <w:top w:val="none" w:sz="0" w:space="0" w:color="auto"/>
            <w:left w:val="none" w:sz="0" w:space="0" w:color="auto"/>
            <w:bottom w:val="none" w:sz="0" w:space="0" w:color="auto"/>
            <w:right w:val="none" w:sz="0" w:space="0" w:color="auto"/>
          </w:divBdr>
          <w:divsChild>
            <w:div w:id="77866160">
              <w:marLeft w:val="0"/>
              <w:marRight w:val="0"/>
              <w:marTop w:val="0"/>
              <w:marBottom w:val="0"/>
              <w:divBdr>
                <w:top w:val="none" w:sz="0" w:space="0" w:color="auto"/>
                <w:left w:val="none" w:sz="0" w:space="0" w:color="auto"/>
                <w:bottom w:val="none" w:sz="0" w:space="0" w:color="auto"/>
                <w:right w:val="none" w:sz="0" w:space="0" w:color="auto"/>
              </w:divBdr>
            </w:div>
          </w:divsChild>
        </w:div>
        <w:div w:id="2142725828">
          <w:marLeft w:val="0"/>
          <w:marRight w:val="0"/>
          <w:marTop w:val="0"/>
          <w:marBottom w:val="0"/>
          <w:divBdr>
            <w:top w:val="none" w:sz="0" w:space="0" w:color="auto"/>
            <w:left w:val="none" w:sz="0" w:space="0" w:color="auto"/>
            <w:bottom w:val="none" w:sz="0" w:space="0" w:color="auto"/>
            <w:right w:val="none" w:sz="0" w:space="0" w:color="auto"/>
          </w:divBdr>
          <w:divsChild>
            <w:div w:id="49441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028450">
      <w:bodyDiv w:val="1"/>
      <w:marLeft w:val="0"/>
      <w:marRight w:val="0"/>
      <w:marTop w:val="0"/>
      <w:marBottom w:val="0"/>
      <w:divBdr>
        <w:top w:val="none" w:sz="0" w:space="0" w:color="auto"/>
        <w:left w:val="none" w:sz="0" w:space="0" w:color="auto"/>
        <w:bottom w:val="none" w:sz="0" w:space="0" w:color="auto"/>
        <w:right w:val="none" w:sz="0" w:space="0" w:color="auto"/>
      </w:divBdr>
    </w:div>
    <w:div w:id="332222240">
      <w:bodyDiv w:val="1"/>
      <w:marLeft w:val="0"/>
      <w:marRight w:val="0"/>
      <w:marTop w:val="0"/>
      <w:marBottom w:val="0"/>
      <w:divBdr>
        <w:top w:val="none" w:sz="0" w:space="0" w:color="auto"/>
        <w:left w:val="none" w:sz="0" w:space="0" w:color="auto"/>
        <w:bottom w:val="none" w:sz="0" w:space="0" w:color="auto"/>
        <w:right w:val="none" w:sz="0" w:space="0" w:color="auto"/>
      </w:divBdr>
    </w:div>
    <w:div w:id="340204910">
      <w:bodyDiv w:val="1"/>
      <w:marLeft w:val="0"/>
      <w:marRight w:val="0"/>
      <w:marTop w:val="0"/>
      <w:marBottom w:val="0"/>
      <w:divBdr>
        <w:top w:val="none" w:sz="0" w:space="0" w:color="auto"/>
        <w:left w:val="none" w:sz="0" w:space="0" w:color="auto"/>
        <w:bottom w:val="none" w:sz="0" w:space="0" w:color="auto"/>
        <w:right w:val="none" w:sz="0" w:space="0" w:color="auto"/>
      </w:divBdr>
    </w:div>
    <w:div w:id="344137563">
      <w:bodyDiv w:val="1"/>
      <w:marLeft w:val="0"/>
      <w:marRight w:val="0"/>
      <w:marTop w:val="0"/>
      <w:marBottom w:val="0"/>
      <w:divBdr>
        <w:top w:val="none" w:sz="0" w:space="0" w:color="auto"/>
        <w:left w:val="none" w:sz="0" w:space="0" w:color="auto"/>
        <w:bottom w:val="none" w:sz="0" w:space="0" w:color="auto"/>
        <w:right w:val="none" w:sz="0" w:space="0" w:color="auto"/>
      </w:divBdr>
    </w:div>
    <w:div w:id="345794305">
      <w:bodyDiv w:val="1"/>
      <w:marLeft w:val="0"/>
      <w:marRight w:val="0"/>
      <w:marTop w:val="0"/>
      <w:marBottom w:val="0"/>
      <w:divBdr>
        <w:top w:val="none" w:sz="0" w:space="0" w:color="auto"/>
        <w:left w:val="none" w:sz="0" w:space="0" w:color="auto"/>
        <w:bottom w:val="none" w:sz="0" w:space="0" w:color="auto"/>
        <w:right w:val="none" w:sz="0" w:space="0" w:color="auto"/>
      </w:divBdr>
      <w:divsChild>
        <w:div w:id="12000385">
          <w:marLeft w:val="0"/>
          <w:marRight w:val="0"/>
          <w:marTop w:val="0"/>
          <w:marBottom w:val="0"/>
          <w:divBdr>
            <w:top w:val="none" w:sz="0" w:space="0" w:color="auto"/>
            <w:left w:val="none" w:sz="0" w:space="0" w:color="auto"/>
            <w:bottom w:val="none" w:sz="0" w:space="0" w:color="auto"/>
            <w:right w:val="none" w:sz="0" w:space="0" w:color="auto"/>
          </w:divBdr>
          <w:divsChild>
            <w:div w:id="764109437">
              <w:marLeft w:val="0"/>
              <w:marRight w:val="0"/>
              <w:marTop w:val="0"/>
              <w:marBottom w:val="0"/>
              <w:divBdr>
                <w:top w:val="none" w:sz="0" w:space="0" w:color="auto"/>
                <w:left w:val="none" w:sz="0" w:space="0" w:color="auto"/>
                <w:bottom w:val="none" w:sz="0" w:space="0" w:color="auto"/>
                <w:right w:val="none" w:sz="0" w:space="0" w:color="auto"/>
              </w:divBdr>
            </w:div>
          </w:divsChild>
        </w:div>
        <w:div w:id="35980397">
          <w:marLeft w:val="0"/>
          <w:marRight w:val="0"/>
          <w:marTop w:val="0"/>
          <w:marBottom w:val="0"/>
          <w:divBdr>
            <w:top w:val="none" w:sz="0" w:space="0" w:color="auto"/>
            <w:left w:val="none" w:sz="0" w:space="0" w:color="auto"/>
            <w:bottom w:val="none" w:sz="0" w:space="0" w:color="auto"/>
            <w:right w:val="none" w:sz="0" w:space="0" w:color="auto"/>
          </w:divBdr>
          <w:divsChild>
            <w:div w:id="100074049">
              <w:marLeft w:val="0"/>
              <w:marRight w:val="0"/>
              <w:marTop w:val="0"/>
              <w:marBottom w:val="0"/>
              <w:divBdr>
                <w:top w:val="none" w:sz="0" w:space="0" w:color="auto"/>
                <w:left w:val="none" w:sz="0" w:space="0" w:color="auto"/>
                <w:bottom w:val="none" w:sz="0" w:space="0" w:color="auto"/>
                <w:right w:val="none" w:sz="0" w:space="0" w:color="auto"/>
              </w:divBdr>
            </w:div>
          </w:divsChild>
        </w:div>
        <w:div w:id="105124929">
          <w:marLeft w:val="0"/>
          <w:marRight w:val="0"/>
          <w:marTop w:val="0"/>
          <w:marBottom w:val="0"/>
          <w:divBdr>
            <w:top w:val="none" w:sz="0" w:space="0" w:color="auto"/>
            <w:left w:val="none" w:sz="0" w:space="0" w:color="auto"/>
            <w:bottom w:val="none" w:sz="0" w:space="0" w:color="auto"/>
            <w:right w:val="none" w:sz="0" w:space="0" w:color="auto"/>
          </w:divBdr>
          <w:divsChild>
            <w:div w:id="241376640">
              <w:marLeft w:val="0"/>
              <w:marRight w:val="0"/>
              <w:marTop w:val="0"/>
              <w:marBottom w:val="0"/>
              <w:divBdr>
                <w:top w:val="none" w:sz="0" w:space="0" w:color="auto"/>
                <w:left w:val="none" w:sz="0" w:space="0" w:color="auto"/>
                <w:bottom w:val="none" w:sz="0" w:space="0" w:color="auto"/>
                <w:right w:val="none" w:sz="0" w:space="0" w:color="auto"/>
              </w:divBdr>
            </w:div>
            <w:div w:id="1260601045">
              <w:marLeft w:val="0"/>
              <w:marRight w:val="0"/>
              <w:marTop w:val="0"/>
              <w:marBottom w:val="0"/>
              <w:divBdr>
                <w:top w:val="none" w:sz="0" w:space="0" w:color="auto"/>
                <w:left w:val="none" w:sz="0" w:space="0" w:color="auto"/>
                <w:bottom w:val="none" w:sz="0" w:space="0" w:color="auto"/>
                <w:right w:val="none" w:sz="0" w:space="0" w:color="auto"/>
              </w:divBdr>
            </w:div>
          </w:divsChild>
        </w:div>
        <w:div w:id="220483267">
          <w:marLeft w:val="0"/>
          <w:marRight w:val="0"/>
          <w:marTop w:val="0"/>
          <w:marBottom w:val="0"/>
          <w:divBdr>
            <w:top w:val="none" w:sz="0" w:space="0" w:color="auto"/>
            <w:left w:val="none" w:sz="0" w:space="0" w:color="auto"/>
            <w:bottom w:val="none" w:sz="0" w:space="0" w:color="auto"/>
            <w:right w:val="none" w:sz="0" w:space="0" w:color="auto"/>
          </w:divBdr>
          <w:divsChild>
            <w:div w:id="1250235317">
              <w:marLeft w:val="0"/>
              <w:marRight w:val="0"/>
              <w:marTop w:val="0"/>
              <w:marBottom w:val="0"/>
              <w:divBdr>
                <w:top w:val="none" w:sz="0" w:space="0" w:color="auto"/>
                <w:left w:val="none" w:sz="0" w:space="0" w:color="auto"/>
                <w:bottom w:val="none" w:sz="0" w:space="0" w:color="auto"/>
                <w:right w:val="none" w:sz="0" w:space="0" w:color="auto"/>
              </w:divBdr>
            </w:div>
          </w:divsChild>
        </w:div>
        <w:div w:id="256523123">
          <w:marLeft w:val="0"/>
          <w:marRight w:val="0"/>
          <w:marTop w:val="0"/>
          <w:marBottom w:val="0"/>
          <w:divBdr>
            <w:top w:val="none" w:sz="0" w:space="0" w:color="auto"/>
            <w:left w:val="none" w:sz="0" w:space="0" w:color="auto"/>
            <w:bottom w:val="none" w:sz="0" w:space="0" w:color="auto"/>
            <w:right w:val="none" w:sz="0" w:space="0" w:color="auto"/>
          </w:divBdr>
          <w:divsChild>
            <w:div w:id="1610552198">
              <w:marLeft w:val="0"/>
              <w:marRight w:val="0"/>
              <w:marTop w:val="0"/>
              <w:marBottom w:val="0"/>
              <w:divBdr>
                <w:top w:val="none" w:sz="0" w:space="0" w:color="auto"/>
                <w:left w:val="none" w:sz="0" w:space="0" w:color="auto"/>
                <w:bottom w:val="none" w:sz="0" w:space="0" w:color="auto"/>
                <w:right w:val="none" w:sz="0" w:space="0" w:color="auto"/>
              </w:divBdr>
            </w:div>
          </w:divsChild>
        </w:div>
        <w:div w:id="276372974">
          <w:marLeft w:val="0"/>
          <w:marRight w:val="0"/>
          <w:marTop w:val="0"/>
          <w:marBottom w:val="0"/>
          <w:divBdr>
            <w:top w:val="none" w:sz="0" w:space="0" w:color="auto"/>
            <w:left w:val="none" w:sz="0" w:space="0" w:color="auto"/>
            <w:bottom w:val="none" w:sz="0" w:space="0" w:color="auto"/>
            <w:right w:val="none" w:sz="0" w:space="0" w:color="auto"/>
          </w:divBdr>
          <w:divsChild>
            <w:div w:id="2043360263">
              <w:marLeft w:val="0"/>
              <w:marRight w:val="0"/>
              <w:marTop w:val="0"/>
              <w:marBottom w:val="0"/>
              <w:divBdr>
                <w:top w:val="none" w:sz="0" w:space="0" w:color="auto"/>
                <w:left w:val="none" w:sz="0" w:space="0" w:color="auto"/>
                <w:bottom w:val="none" w:sz="0" w:space="0" w:color="auto"/>
                <w:right w:val="none" w:sz="0" w:space="0" w:color="auto"/>
              </w:divBdr>
            </w:div>
          </w:divsChild>
        </w:div>
        <w:div w:id="312877549">
          <w:marLeft w:val="0"/>
          <w:marRight w:val="0"/>
          <w:marTop w:val="0"/>
          <w:marBottom w:val="0"/>
          <w:divBdr>
            <w:top w:val="none" w:sz="0" w:space="0" w:color="auto"/>
            <w:left w:val="none" w:sz="0" w:space="0" w:color="auto"/>
            <w:bottom w:val="none" w:sz="0" w:space="0" w:color="auto"/>
            <w:right w:val="none" w:sz="0" w:space="0" w:color="auto"/>
          </w:divBdr>
          <w:divsChild>
            <w:div w:id="1313949655">
              <w:marLeft w:val="0"/>
              <w:marRight w:val="0"/>
              <w:marTop w:val="0"/>
              <w:marBottom w:val="0"/>
              <w:divBdr>
                <w:top w:val="none" w:sz="0" w:space="0" w:color="auto"/>
                <w:left w:val="none" w:sz="0" w:space="0" w:color="auto"/>
                <w:bottom w:val="none" w:sz="0" w:space="0" w:color="auto"/>
                <w:right w:val="none" w:sz="0" w:space="0" w:color="auto"/>
              </w:divBdr>
            </w:div>
          </w:divsChild>
        </w:div>
        <w:div w:id="316298856">
          <w:marLeft w:val="0"/>
          <w:marRight w:val="0"/>
          <w:marTop w:val="0"/>
          <w:marBottom w:val="0"/>
          <w:divBdr>
            <w:top w:val="none" w:sz="0" w:space="0" w:color="auto"/>
            <w:left w:val="none" w:sz="0" w:space="0" w:color="auto"/>
            <w:bottom w:val="none" w:sz="0" w:space="0" w:color="auto"/>
            <w:right w:val="none" w:sz="0" w:space="0" w:color="auto"/>
          </w:divBdr>
          <w:divsChild>
            <w:div w:id="1011183527">
              <w:marLeft w:val="0"/>
              <w:marRight w:val="0"/>
              <w:marTop w:val="0"/>
              <w:marBottom w:val="0"/>
              <w:divBdr>
                <w:top w:val="none" w:sz="0" w:space="0" w:color="auto"/>
                <w:left w:val="none" w:sz="0" w:space="0" w:color="auto"/>
                <w:bottom w:val="none" w:sz="0" w:space="0" w:color="auto"/>
                <w:right w:val="none" w:sz="0" w:space="0" w:color="auto"/>
              </w:divBdr>
            </w:div>
          </w:divsChild>
        </w:div>
        <w:div w:id="342514844">
          <w:marLeft w:val="0"/>
          <w:marRight w:val="0"/>
          <w:marTop w:val="0"/>
          <w:marBottom w:val="0"/>
          <w:divBdr>
            <w:top w:val="none" w:sz="0" w:space="0" w:color="auto"/>
            <w:left w:val="none" w:sz="0" w:space="0" w:color="auto"/>
            <w:bottom w:val="none" w:sz="0" w:space="0" w:color="auto"/>
            <w:right w:val="none" w:sz="0" w:space="0" w:color="auto"/>
          </w:divBdr>
          <w:divsChild>
            <w:div w:id="530459528">
              <w:marLeft w:val="0"/>
              <w:marRight w:val="0"/>
              <w:marTop w:val="0"/>
              <w:marBottom w:val="0"/>
              <w:divBdr>
                <w:top w:val="none" w:sz="0" w:space="0" w:color="auto"/>
                <w:left w:val="none" w:sz="0" w:space="0" w:color="auto"/>
                <w:bottom w:val="none" w:sz="0" w:space="0" w:color="auto"/>
                <w:right w:val="none" w:sz="0" w:space="0" w:color="auto"/>
              </w:divBdr>
            </w:div>
          </w:divsChild>
        </w:div>
        <w:div w:id="441537706">
          <w:marLeft w:val="0"/>
          <w:marRight w:val="0"/>
          <w:marTop w:val="0"/>
          <w:marBottom w:val="0"/>
          <w:divBdr>
            <w:top w:val="none" w:sz="0" w:space="0" w:color="auto"/>
            <w:left w:val="none" w:sz="0" w:space="0" w:color="auto"/>
            <w:bottom w:val="none" w:sz="0" w:space="0" w:color="auto"/>
            <w:right w:val="none" w:sz="0" w:space="0" w:color="auto"/>
          </w:divBdr>
          <w:divsChild>
            <w:div w:id="212158563">
              <w:marLeft w:val="0"/>
              <w:marRight w:val="0"/>
              <w:marTop w:val="0"/>
              <w:marBottom w:val="0"/>
              <w:divBdr>
                <w:top w:val="none" w:sz="0" w:space="0" w:color="auto"/>
                <w:left w:val="none" w:sz="0" w:space="0" w:color="auto"/>
                <w:bottom w:val="none" w:sz="0" w:space="0" w:color="auto"/>
                <w:right w:val="none" w:sz="0" w:space="0" w:color="auto"/>
              </w:divBdr>
            </w:div>
          </w:divsChild>
        </w:div>
        <w:div w:id="541132181">
          <w:marLeft w:val="0"/>
          <w:marRight w:val="0"/>
          <w:marTop w:val="0"/>
          <w:marBottom w:val="0"/>
          <w:divBdr>
            <w:top w:val="none" w:sz="0" w:space="0" w:color="auto"/>
            <w:left w:val="none" w:sz="0" w:space="0" w:color="auto"/>
            <w:bottom w:val="none" w:sz="0" w:space="0" w:color="auto"/>
            <w:right w:val="none" w:sz="0" w:space="0" w:color="auto"/>
          </w:divBdr>
          <w:divsChild>
            <w:div w:id="346559385">
              <w:marLeft w:val="0"/>
              <w:marRight w:val="0"/>
              <w:marTop w:val="0"/>
              <w:marBottom w:val="0"/>
              <w:divBdr>
                <w:top w:val="none" w:sz="0" w:space="0" w:color="auto"/>
                <w:left w:val="none" w:sz="0" w:space="0" w:color="auto"/>
                <w:bottom w:val="none" w:sz="0" w:space="0" w:color="auto"/>
                <w:right w:val="none" w:sz="0" w:space="0" w:color="auto"/>
              </w:divBdr>
            </w:div>
            <w:div w:id="1914705442">
              <w:marLeft w:val="0"/>
              <w:marRight w:val="0"/>
              <w:marTop w:val="0"/>
              <w:marBottom w:val="0"/>
              <w:divBdr>
                <w:top w:val="none" w:sz="0" w:space="0" w:color="auto"/>
                <w:left w:val="none" w:sz="0" w:space="0" w:color="auto"/>
                <w:bottom w:val="none" w:sz="0" w:space="0" w:color="auto"/>
                <w:right w:val="none" w:sz="0" w:space="0" w:color="auto"/>
              </w:divBdr>
            </w:div>
          </w:divsChild>
        </w:div>
        <w:div w:id="557664764">
          <w:marLeft w:val="0"/>
          <w:marRight w:val="0"/>
          <w:marTop w:val="0"/>
          <w:marBottom w:val="0"/>
          <w:divBdr>
            <w:top w:val="none" w:sz="0" w:space="0" w:color="auto"/>
            <w:left w:val="none" w:sz="0" w:space="0" w:color="auto"/>
            <w:bottom w:val="none" w:sz="0" w:space="0" w:color="auto"/>
            <w:right w:val="none" w:sz="0" w:space="0" w:color="auto"/>
          </w:divBdr>
          <w:divsChild>
            <w:div w:id="15933229">
              <w:marLeft w:val="0"/>
              <w:marRight w:val="0"/>
              <w:marTop w:val="0"/>
              <w:marBottom w:val="0"/>
              <w:divBdr>
                <w:top w:val="none" w:sz="0" w:space="0" w:color="auto"/>
                <w:left w:val="none" w:sz="0" w:space="0" w:color="auto"/>
                <w:bottom w:val="none" w:sz="0" w:space="0" w:color="auto"/>
                <w:right w:val="none" w:sz="0" w:space="0" w:color="auto"/>
              </w:divBdr>
            </w:div>
          </w:divsChild>
        </w:div>
        <w:div w:id="651523848">
          <w:marLeft w:val="0"/>
          <w:marRight w:val="0"/>
          <w:marTop w:val="0"/>
          <w:marBottom w:val="0"/>
          <w:divBdr>
            <w:top w:val="none" w:sz="0" w:space="0" w:color="auto"/>
            <w:left w:val="none" w:sz="0" w:space="0" w:color="auto"/>
            <w:bottom w:val="none" w:sz="0" w:space="0" w:color="auto"/>
            <w:right w:val="none" w:sz="0" w:space="0" w:color="auto"/>
          </w:divBdr>
          <w:divsChild>
            <w:div w:id="1631740302">
              <w:marLeft w:val="0"/>
              <w:marRight w:val="0"/>
              <w:marTop w:val="0"/>
              <w:marBottom w:val="0"/>
              <w:divBdr>
                <w:top w:val="none" w:sz="0" w:space="0" w:color="auto"/>
                <w:left w:val="none" w:sz="0" w:space="0" w:color="auto"/>
                <w:bottom w:val="none" w:sz="0" w:space="0" w:color="auto"/>
                <w:right w:val="none" w:sz="0" w:space="0" w:color="auto"/>
              </w:divBdr>
            </w:div>
          </w:divsChild>
        </w:div>
        <w:div w:id="703600509">
          <w:marLeft w:val="0"/>
          <w:marRight w:val="0"/>
          <w:marTop w:val="0"/>
          <w:marBottom w:val="0"/>
          <w:divBdr>
            <w:top w:val="none" w:sz="0" w:space="0" w:color="auto"/>
            <w:left w:val="none" w:sz="0" w:space="0" w:color="auto"/>
            <w:bottom w:val="none" w:sz="0" w:space="0" w:color="auto"/>
            <w:right w:val="none" w:sz="0" w:space="0" w:color="auto"/>
          </w:divBdr>
          <w:divsChild>
            <w:div w:id="1329751028">
              <w:marLeft w:val="0"/>
              <w:marRight w:val="0"/>
              <w:marTop w:val="0"/>
              <w:marBottom w:val="0"/>
              <w:divBdr>
                <w:top w:val="none" w:sz="0" w:space="0" w:color="auto"/>
                <w:left w:val="none" w:sz="0" w:space="0" w:color="auto"/>
                <w:bottom w:val="none" w:sz="0" w:space="0" w:color="auto"/>
                <w:right w:val="none" w:sz="0" w:space="0" w:color="auto"/>
              </w:divBdr>
            </w:div>
          </w:divsChild>
        </w:div>
        <w:div w:id="806170742">
          <w:marLeft w:val="0"/>
          <w:marRight w:val="0"/>
          <w:marTop w:val="0"/>
          <w:marBottom w:val="0"/>
          <w:divBdr>
            <w:top w:val="none" w:sz="0" w:space="0" w:color="auto"/>
            <w:left w:val="none" w:sz="0" w:space="0" w:color="auto"/>
            <w:bottom w:val="none" w:sz="0" w:space="0" w:color="auto"/>
            <w:right w:val="none" w:sz="0" w:space="0" w:color="auto"/>
          </w:divBdr>
          <w:divsChild>
            <w:div w:id="286476324">
              <w:marLeft w:val="0"/>
              <w:marRight w:val="0"/>
              <w:marTop w:val="0"/>
              <w:marBottom w:val="0"/>
              <w:divBdr>
                <w:top w:val="none" w:sz="0" w:space="0" w:color="auto"/>
                <w:left w:val="none" w:sz="0" w:space="0" w:color="auto"/>
                <w:bottom w:val="none" w:sz="0" w:space="0" w:color="auto"/>
                <w:right w:val="none" w:sz="0" w:space="0" w:color="auto"/>
              </w:divBdr>
            </w:div>
          </w:divsChild>
        </w:div>
        <w:div w:id="839589083">
          <w:marLeft w:val="0"/>
          <w:marRight w:val="0"/>
          <w:marTop w:val="0"/>
          <w:marBottom w:val="0"/>
          <w:divBdr>
            <w:top w:val="none" w:sz="0" w:space="0" w:color="auto"/>
            <w:left w:val="none" w:sz="0" w:space="0" w:color="auto"/>
            <w:bottom w:val="none" w:sz="0" w:space="0" w:color="auto"/>
            <w:right w:val="none" w:sz="0" w:space="0" w:color="auto"/>
          </w:divBdr>
          <w:divsChild>
            <w:div w:id="667371259">
              <w:marLeft w:val="0"/>
              <w:marRight w:val="0"/>
              <w:marTop w:val="0"/>
              <w:marBottom w:val="0"/>
              <w:divBdr>
                <w:top w:val="none" w:sz="0" w:space="0" w:color="auto"/>
                <w:left w:val="none" w:sz="0" w:space="0" w:color="auto"/>
                <w:bottom w:val="none" w:sz="0" w:space="0" w:color="auto"/>
                <w:right w:val="none" w:sz="0" w:space="0" w:color="auto"/>
              </w:divBdr>
            </w:div>
          </w:divsChild>
        </w:div>
        <w:div w:id="956567711">
          <w:marLeft w:val="0"/>
          <w:marRight w:val="0"/>
          <w:marTop w:val="0"/>
          <w:marBottom w:val="0"/>
          <w:divBdr>
            <w:top w:val="none" w:sz="0" w:space="0" w:color="auto"/>
            <w:left w:val="none" w:sz="0" w:space="0" w:color="auto"/>
            <w:bottom w:val="none" w:sz="0" w:space="0" w:color="auto"/>
            <w:right w:val="none" w:sz="0" w:space="0" w:color="auto"/>
          </w:divBdr>
          <w:divsChild>
            <w:div w:id="458959549">
              <w:marLeft w:val="0"/>
              <w:marRight w:val="0"/>
              <w:marTop w:val="0"/>
              <w:marBottom w:val="0"/>
              <w:divBdr>
                <w:top w:val="none" w:sz="0" w:space="0" w:color="auto"/>
                <w:left w:val="none" w:sz="0" w:space="0" w:color="auto"/>
                <w:bottom w:val="none" w:sz="0" w:space="0" w:color="auto"/>
                <w:right w:val="none" w:sz="0" w:space="0" w:color="auto"/>
              </w:divBdr>
            </w:div>
          </w:divsChild>
        </w:div>
        <w:div w:id="998998012">
          <w:marLeft w:val="0"/>
          <w:marRight w:val="0"/>
          <w:marTop w:val="0"/>
          <w:marBottom w:val="0"/>
          <w:divBdr>
            <w:top w:val="none" w:sz="0" w:space="0" w:color="auto"/>
            <w:left w:val="none" w:sz="0" w:space="0" w:color="auto"/>
            <w:bottom w:val="none" w:sz="0" w:space="0" w:color="auto"/>
            <w:right w:val="none" w:sz="0" w:space="0" w:color="auto"/>
          </w:divBdr>
          <w:divsChild>
            <w:div w:id="1972200556">
              <w:marLeft w:val="0"/>
              <w:marRight w:val="0"/>
              <w:marTop w:val="0"/>
              <w:marBottom w:val="0"/>
              <w:divBdr>
                <w:top w:val="none" w:sz="0" w:space="0" w:color="auto"/>
                <w:left w:val="none" w:sz="0" w:space="0" w:color="auto"/>
                <w:bottom w:val="none" w:sz="0" w:space="0" w:color="auto"/>
                <w:right w:val="none" w:sz="0" w:space="0" w:color="auto"/>
              </w:divBdr>
            </w:div>
          </w:divsChild>
        </w:div>
        <w:div w:id="1027218723">
          <w:marLeft w:val="0"/>
          <w:marRight w:val="0"/>
          <w:marTop w:val="0"/>
          <w:marBottom w:val="0"/>
          <w:divBdr>
            <w:top w:val="none" w:sz="0" w:space="0" w:color="auto"/>
            <w:left w:val="none" w:sz="0" w:space="0" w:color="auto"/>
            <w:bottom w:val="none" w:sz="0" w:space="0" w:color="auto"/>
            <w:right w:val="none" w:sz="0" w:space="0" w:color="auto"/>
          </w:divBdr>
          <w:divsChild>
            <w:div w:id="208614549">
              <w:marLeft w:val="0"/>
              <w:marRight w:val="0"/>
              <w:marTop w:val="0"/>
              <w:marBottom w:val="0"/>
              <w:divBdr>
                <w:top w:val="none" w:sz="0" w:space="0" w:color="auto"/>
                <w:left w:val="none" w:sz="0" w:space="0" w:color="auto"/>
                <w:bottom w:val="none" w:sz="0" w:space="0" w:color="auto"/>
                <w:right w:val="none" w:sz="0" w:space="0" w:color="auto"/>
              </w:divBdr>
            </w:div>
          </w:divsChild>
        </w:div>
        <w:div w:id="1044141168">
          <w:marLeft w:val="0"/>
          <w:marRight w:val="0"/>
          <w:marTop w:val="0"/>
          <w:marBottom w:val="0"/>
          <w:divBdr>
            <w:top w:val="none" w:sz="0" w:space="0" w:color="auto"/>
            <w:left w:val="none" w:sz="0" w:space="0" w:color="auto"/>
            <w:bottom w:val="none" w:sz="0" w:space="0" w:color="auto"/>
            <w:right w:val="none" w:sz="0" w:space="0" w:color="auto"/>
          </w:divBdr>
          <w:divsChild>
            <w:div w:id="888222883">
              <w:marLeft w:val="0"/>
              <w:marRight w:val="0"/>
              <w:marTop w:val="0"/>
              <w:marBottom w:val="0"/>
              <w:divBdr>
                <w:top w:val="none" w:sz="0" w:space="0" w:color="auto"/>
                <w:left w:val="none" w:sz="0" w:space="0" w:color="auto"/>
                <w:bottom w:val="none" w:sz="0" w:space="0" w:color="auto"/>
                <w:right w:val="none" w:sz="0" w:space="0" w:color="auto"/>
              </w:divBdr>
            </w:div>
            <w:div w:id="1749960657">
              <w:marLeft w:val="0"/>
              <w:marRight w:val="0"/>
              <w:marTop w:val="0"/>
              <w:marBottom w:val="0"/>
              <w:divBdr>
                <w:top w:val="none" w:sz="0" w:space="0" w:color="auto"/>
                <w:left w:val="none" w:sz="0" w:space="0" w:color="auto"/>
                <w:bottom w:val="none" w:sz="0" w:space="0" w:color="auto"/>
                <w:right w:val="none" w:sz="0" w:space="0" w:color="auto"/>
              </w:divBdr>
            </w:div>
          </w:divsChild>
        </w:div>
        <w:div w:id="1164394116">
          <w:marLeft w:val="0"/>
          <w:marRight w:val="0"/>
          <w:marTop w:val="0"/>
          <w:marBottom w:val="0"/>
          <w:divBdr>
            <w:top w:val="none" w:sz="0" w:space="0" w:color="auto"/>
            <w:left w:val="none" w:sz="0" w:space="0" w:color="auto"/>
            <w:bottom w:val="none" w:sz="0" w:space="0" w:color="auto"/>
            <w:right w:val="none" w:sz="0" w:space="0" w:color="auto"/>
          </w:divBdr>
          <w:divsChild>
            <w:div w:id="1355304187">
              <w:marLeft w:val="0"/>
              <w:marRight w:val="0"/>
              <w:marTop w:val="0"/>
              <w:marBottom w:val="0"/>
              <w:divBdr>
                <w:top w:val="none" w:sz="0" w:space="0" w:color="auto"/>
                <w:left w:val="none" w:sz="0" w:space="0" w:color="auto"/>
                <w:bottom w:val="none" w:sz="0" w:space="0" w:color="auto"/>
                <w:right w:val="none" w:sz="0" w:space="0" w:color="auto"/>
              </w:divBdr>
            </w:div>
          </w:divsChild>
        </w:div>
        <w:div w:id="1232960515">
          <w:marLeft w:val="0"/>
          <w:marRight w:val="0"/>
          <w:marTop w:val="0"/>
          <w:marBottom w:val="0"/>
          <w:divBdr>
            <w:top w:val="none" w:sz="0" w:space="0" w:color="auto"/>
            <w:left w:val="none" w:sz="0" w:space="0" w:color="auto"/>
            <w:bottom w:val="none" w:sz="0" w:space="0" w:color="auto"/>
            <w:right w:val="none" w:sz="0" w:space="0" w:color="auto"/>
          </w:divBdr>
          <w:divsChild>
            <w:div w:id="567109795">
              <w:marLeft w:val="0"/>
              <w:marRight w:val="0"/>
              <w:marTop w:val="0"/>
              <w:marBottom w:val="0"/>
              <w:divBdr>
                <w:top w:val="none" w:sz="0" w:space="0" w:color="auto"/>
                <w:left w:val="none" w:sz="0" w:space="0" w:color="auto"/>
                <w:bottom w:val="none" w:sz="0" w:space="0" w:color="auto"/>
                <w:right w:val="none" w:sz="0" w:space="0" w:color="auto"/>
              </w:divBdr>
            </w:div>
          </w:divsChild>
        </w:div>
        <w:div w:id="1247615624">
          <w:marLeft w:val="0"/>
          <w:marRight w:val="0"/>
          <w:marTop w:val="0"/>
          <w:marBottom w:val="0"/>
          <w:divBdr>
            <w:top w:val="none" w:sz="0" w:space="0" w:color="auto"/>
            <w:left w:val="none" w:sz="0" w:space="0" w:color="auto"/>
            <w:bottom w:val="none" w:sz="0" w:space="0" w:color="auto"/>
            <w:right w:val="none" w:sz="0" w:space="0" w:color="auto"/>
          </w:divBdr>
          <w:divsChild>
            <w:div w:id="867762728">
              <w:marLeft w:val="0"/>
              <w:marRight w:val="0"/>
              <w:marTop w:val="0"/>
              <w:marBottom w:val="0"/>
              <w:divBdr>
                <w:top w:val="none" w:sz="0" w:space="0" w:color="auto"/>
                <w:left w:val="none" w:sz="0" w:space="0" w:color="auto"/>
                <w:bottom w:val="none" w:sz="0" w:space="0" w:color="auto"/>
                <w:right w:val="none" w:sz="0" w:space="0" w:color="auto"/>
              </w:divBdr>
            </w:div>
          </w:divsChild>
        </w:div>
        <w:div w:id="1276715015">
          <w:marLeft w:val="0"/>
          <w:marRight w:val="0"/>
          <w:marTop w:val="0"/>
          <w:marBottom w:val="0"/>
          <w:divBdr>
            <w:top w:val="none" w:sz="0" w:space="0" w:color="auto"/>
            <w:left w:val="none" w:sz="0" w:space="0" w:color="auto"/>
            <w:bottom w:val="none" w:sz="0" w:space="0" w:color="auto"/>
            <w:right w:val="none" w:sz="0" w:space="0" w:color="auto"/>
          </w:divBdr>
          <w:divsChild>
            <w:div w:id="833112164">
              <w:marLeft w:val="0"/>
              <w:marRight w:val="0"/>
              <w:marTop w:val="0"/>
              <w:marBottom w:val="0"/>
              <w:divBdr>
                <w:top w:val="none" w:sz="0" w:space="0" w:color="auto"/>
                <w:left w:val="none" w:sz="0" w:space="0" w:color="auto"/>
                <w:bottom w:val="none" w:sz="0" w:space="0" w:color="auto"/>
                <w:right w:val="none" w:sz="0" w:space="0" w:color="auto"/>
              </w:divBdr>
            </w:div>
          </w:divsChild>
        </w:div>
        <w:div w:id="1383599948">
          <w:marLeft w:val="0"/>
          <w:marRight w:val="0"/>
          <w:marTop w:val="0"/>
          <w:marBottom w:val="0"/>
          <w:divBdr>
            <w:top w:val="none" w:sz="0" w:space="0" w:color="auto"/>
            <w:left w:val="none" w:sz="0" w:space="0" w:color="auto"/>
            <w:bottom w:val="none" w:sz="0" w:space="0" w:color="auto"/>
            <w:right w:val="none" w:sz="0" w:space="0" w:color="auto"/>
          </w:divBdr>
          <w:divsChild>
            <w:div w:id="480658676">
              <w:marLeft w:val="0"/>
              <w:marRight w:val="0"/>
              <w:marTop w:val="0"/>
              <w:marBottom w:val="0"/>
              <w:divBdr>
                <w:top w:val="none" w:sz="0" w:space="0" w:color="auto"/>
                <w:left w:val="none" w:sz="0" w:space="0" w:color="auto"/>
                <w:bottom w:val="none" w:sz="0" w:space="0" w:color="auto"/>
                <w:right w:val="none" w:sz="0" w:space="0" w:color="auto"/>
              </w:divBdr>
            </w:div>
          </w:divsChild>
        </w:div>
        <w:div w:id="1444223408">
          <w:marLeft w:val="0"/>
          <w:marRight w:val="0"/>
          <w:marTop w:val="0"/>
          <w:marBottom w:val="0"/>
          <w:divBdr>
            <w:top w:val="none" w:sz="0" w:space="0" w:color="auto"/>
            <w:left w:val="none" w:sz="0" w:space="0" w:color="auto"/>
            <w:bottom w:val="none" w:sz="0" w:space="0" w:color="auto"/>
            <w:right w:val="none" w:sz="0" w:space="0" w:color="auto"/>
          </w:divBdr>
          <w:divsChild>
            <w:div w:id="140653934">
              <w:marLeft w:val="0"/>
              <w:marRight w:val="0"/>
              <w:marTop w:val="0"/>
              <w:marBottom w:val="0"/>
              <w:divBdr>
                <w:top w:val="none" w:sz="0" w:space="0" w:color="auto"/>
                <w:left w:val="none" w:sz="0" w:space="0" w:color="auto"/>
                <w:bottom w:val="none" w:sz="0" w:space="0" w:color="auto"/>
                <w:right w:val="none" w:sz="0" w:space="0" w:color="auto"/>
              </w:divBdr>
            </w:div>
            <w:div w:id="1572544656">
              <w:marLeft w:val="0"/>
              <w:marRight w:val="0"/>
              <w:marTop w:val="0"/>
              <w:marBottom w:val="0"/>
              <w:divBdr>
                <w:top w:val="none" w:sz="0" w:space="0" w:color="auto"/>
                <w:left w:val="none" w:sz="0" w:space="0" w:color="auto"/>
                <w:bottom w:val="none" w:sz="0" w:space="0" w:color="auto"/>
                <w:right w:val="none" w:sz="0" w:space="0" w:color="auto"/>
              </w:divBdr>
            </w:div>
          </w:divsChild>
        </w:div>
        <w:div w:id="1512911452">
          <w:marLeft w:val="0"/>
          <w:marRight w:val="0"/>
          <w:marTop w:val="0"/>
          <w:marBottom w:val="0"/>
          <w:divBdr>
            <w:top w:val="none" w:sz="0" w:space="0" w:color="auto"/>
            <w:left w:val="none" w:sz="0" w:space="0" w:color="auto"/>
            <w:bottom w:val="none" w:sz="0" w:space="0" w:color="auto"/>
            <w:right w:val="none" w:sz="0" w:space="0" w:color="auto"/>
          </w:divBdr>
          <w:divsChild>
            <w:div w:id="887259100">
              <w:marLeft w:val="0"/>
              <w:marRight w:val="0"/>
              <w:marTop w:val="0"/>
              <w:marBottom w:val="0"/>
              <w:divBdr>
                <w:top w:val="none" w:sz="0" w:space="0" w:color="auto"/>
                <w:left w:val="none" w:sz="0" w:space="0" w:color="auto"/>
                <w:bottom w:val="none" w:sz="0" w:space="0" w:color="auto"/>
                <w:right w:val="none" w:sz="0" w:space="0" w:color="auto"/>
              </w:divBdr>
            </w:div>
          </w:divsChild>
        </w:div>
        <w:div w:id="1590501219">
          <w:marLeft w:val="0"/>
          <w:marRight w:val="0"/>
          <w:marTop w:val="0"/>
          <w:marBottom w:val="0"/>
          <w:divBdr>
            <w:top w:val="none" w:sz="0" w:space="0" w:color="auto"/>
            <w:left w:val="none" w:sz="0" w:space="0" w:color="auto"/>
            <w:bottom w:val="none" w:sz="0" w:space="0" w:color="auto"/>
            <w:right w:val="none" w:sz="0" w:space="0" w:color="auto"/>
          </w:divBdr>
          <w:divsChild>
            <w:div w:id="2011910546">
              <w:marLeft w:val="0"/>
              <w:marRight w:val="0"/>
              <w:marTop w:val="0"/>
              <w:marBottom w:val="0"/>
              <w:divBdr>
                <w:top w:val="none" w:sz="0" w:space="0" w:color="auto"/>
                <w:left w:val="none" w:sz="0" w:space="0" w:color="auto"/>
                <w:bottom w:val="none" w:sz="0" w:space="0" w:color="auto"/>
                <w:right w:val="none" w:sz="0" w:space="0" w:color="auto"/>
              </w:divBdr>
            </w:div>
          </w:divsChild>
        </w:div>
        <w:div w:id="1646427495">
          <w:marLeft w:val="0"/>
          <w:marRight w:val="0"/>
          <w:marTop w:val="0"/>
          <w:marBottom w:val="0"/>
          <w:divBdr>
            <w:top w:val="none" w:sz="0" w:space="0" w:color="auto"/>
            <w:left w:val="none" w:sz="0" w:space="0" w:color="auto"/>
            <w:bottom w:val="none" w:sz="0" w:space="0" w:color="auto"/>
            <w:right w:val="none" w:sz="0" w:space="0" w:color="auto"/>
          </w:divBdr>
          <w:divsChild>
            <w:div w:id="230585388">
              <w:marLeft w:val="0"/>
              <w:marRight w:val="0"/>
              <w:marTop w:val="0"/>
              <w:marBottom w:val="0"/>
              <w:divBdr>
                <w:top w:val="none" w:sz="0" w:space="0" w:color="auto"/>
                <w:left w:val="none" w:sz="0" w:space="0" w:color="auto"/>
                <w:bottom w:val="none" w:sz="0" w:space="0" w:color="auto"/>
                <w:right w:val="none" w:sz="0" w:space="0" w:color="auto"/>
              </w:divBdr>
            </w:div>
          </w:divsChild>
        </w:div>
        <w:div w:id="1651252010">
          <w:marLeft w:val="0"/>
          <w:marRight w:val="0"/>
          <w:marTop w:val="0"/>
          <w:marBottom w:val="0"/>
          <w:divBdr>
            <w:top w:val="none" w:sz="0" w:space="0" w:color="auto"/>
            <w:left w:val="none" w:sz="0" w:space="0" w:color="auto"/>
            <w:bottom w:val="none" w:sz="0" w:space="0" w:color="auto"/>
            <w:right w:val="none" w:sz="0" w:space="0" w:color="auto"/>
          </w:divBdr>
          <w:divsChild>
            <w:div w:id="900142127">
              <w:marLeft w:val="0"/>
              <w:marRight w:val="0"/>
              <w:marTop w:val="0"/>
              <w:marBottom w:val="0"/>
              <w:divBdr>
                <w:top w:val="none" w:sz="0" w:space="0" w:color="auto"/>
                <w:left w:val="none" w:sz="0" w:space="0" w:color="auto"/>
                <w:bottom w:val="none" w:sz="0" w:space="0" w:color="auto"/>
                <w:right w:val="none" w:sz="0" w:space="0" w:color="auto"/>
              </w:divBdr>
            </w:div>
          </w:divsChild>
        </w:div>
        <w:div w:id="1710639787">
          <w:marLeft w:val="0"/>
          <w:marRight w:val="0"/>
          <w:marTop w:val="0"/>
          <w:marBottom w:val="0"/>
          <w:divBdr>
            <w:top w:val="none" w:sz="0" w:space="0" w:color="auto"/>
            <w:left w:val="none" w:sz="0" w:space="0" w:color="auto"/>
            <w:bottom w:val="none" w:sz="0" w:space="0" w:color="auto"/>
            <w:right w:val="none" w:sz="0" w:space="0" w:color="auto"/>
          </w:divBdr>
          <w:divsChild>
            <w:div w:id="1001810040">
              <w:marLeft w:val="0"/>
              <w:marRight w:val="0"/>
              <w:marTop w:val="0"/>
              <w:marBottom w:val="0"/>
              <w:divBdr>
                <w:top w:val="none" w:sz="0" w:space="0" w:color="auto"/>
                <w:left w:val="none" w:sz="0" w:space="0" w:color="auto"/>
                <w:bottom w:val="none" w:sz="0" w:space="0" w:color="auto"/>
                <w:right w:val="none" w:sz="0" w:space="0" w:color="auto"/>
              </w:divBdr>
            </w:div>
          </w:divsChild>
        </w:div>
        <w:div w:id="1761296774">
          <w:marLeft w:val="0"/>
          <w:marRight w:val="0"/>
          <w:marTop w:val="0"/>
          <w:marBottom w:val="0"/>
          <w:divBdr>
            <w:top w:val="none" w:sz="0" w:space="0" w:color="auto"/>
            <w:left w:val="none" w:sz="0" w:space="0" w:color="auto"/>
            <w:bottom w:val="none" w:sz="0" w:space="0" w:color="auto"/>
            <w:right w:val="none" w:sz="0" w:space="0" w:color="auto"/>
          </w:divBdr>
          <w:divsChild>
            <w:div w:id="1653486685">
              <w:marLeft w:val="0"/>
              <w:marRight w:val="0"/>
              <w:marTop w:val="0"/>
              <w:marBottom w:val="0"/>
              <w:divBdr>
                <w:top w:val="none" w:sz="0" w:space="0" w:color="auto"/>
                <w:left w:val="none" w:sz="0" w:space="0" w:color="auto"/>
                <w:bottom w:val="none" w:sz="0" w:space="0" w:color="auto"/>
                <w:right w:val="none" w:sz="0" w:space="0" w:color="auto"/>
              </w:divBdr>
            </w:div>
          </w:divsChild>
        </w:div>
        <w:div w:id="1812792544">
          <w:marLeft w:val="0"/>
          <w:marRight w:val="0"/>
          <w:marTop w:val="0"/>
          <w:marBottom w:val="0"/>
          <w:divBdr>
            <w:top w:val="none" w:sz="0" w:space="0" w:color="auto"/>
            <w:left w:val="none" w:sz="0" w:space="0" w:color="auto"/>
            <w:bottom w:val="none" w:sz="0" w:space="0" w:color="auto"/>
            <w:right w:val="none" w:sz="0" w:space="0" w:color="auto"/>
          </w:divBdr>
          <w:divsChild>
            <w:div w:id="1603369265">
              <w:marLeft w:val="0"/>
              <w:marRight w:val="0"/>
              <w:marTop w:val="0"/>
              <w:marBottom w:val="0"/>
              <w:divBdr>
                <w:top w:val="none" w:sz="0" w:space="0" w:color="auto"/>
                <w:left w:val="none" w:sz="0" w:space="0" w:color="auto"/>
                <w:bottom w:val="none" w:sz="0" w:space="0" w:color="auto"/>
                <w:right w:val="none" w:sz="0" w:space="0" w:color="auto"/>
              </w:divBdr>
            </w:div>
            <w:div w:id="1834955622">
              <w:marLeft w:val="0"/>
              <w:marRight w:val="0"/>
              <w:marTop w:val="0"/>
              <w:marBottom w:val="0"/>
              <w:divBdr>
                <w:top w:val="none" w:sz="0" w:space="0" w:color="auto"/>
                <w:left w:val="none" w:sz="0" w:space="0" w:color="auto"/>
                <w:bottom w:val="none" w:sz="0" w:space="0" w:color="auto"/>
                <w:right w:val="none" w:sz="0" w:space="0" w:color="auto"/>
              </w:divBdr>
            </w:div>
          </w:divsChild>
        </w:div>
        <w:div w:id="1884830048">
          <w:marLeft w:val="0"/>
          <w:marRight w:val="0"/>
          <w:marTop w:val="0"/>
          <w:marBottom w:val="0"/>
          <w:divBdr>
            <w:top w:val="none" w:sz="0" w:space="0" w:color="auto"/>
            <w:left w:val="none" w:sz="0" w:space="0" w:color="auto"/>
            <w:bottom w:val="none" w:sz="0" w:space="0" w:color="auto"/>
            <w:right w:val="none" w:sz="0" w:space="0" w:color="auto"/>
          </w:divBdr>
          <w:divsChild>
            <w:div w:id="1784030106">
              <w:marLeft w:val="0"/>
              <w:marRight w:val="0"/>
              <w:marTop w:val="0"/>
              <w:marBottom w:val="0"/>
              <w:divBdr>
                <w:top w:val="none" w:sz="0" w:space="0" w:color="auto"/>
                <w:left w:val="none" w:sz="0" w:space="0" w:color="auto"/>
                <w:bottom w:val="none" w:sz="0" w:space="0" w:color="auto"/>
                <w:right w:val="none" w:sz="0" w:space="0" w:color="auto"/>
              </w:divBdr>
            </w:div>
          </w:divsChild>
        </w:div>
        <w:div w:id="2078942691">
          <w:marLeft w:val="0"/>
          <w:marRight w:val="0"/>
          <w:marTop w:val="0"/>
          <w:marBottom w:val="0"/>
          <w:divBdr>
            <w:top w:val="none" w:sz="0" w:space="0" w:color="auto"/>
            <w:left w:val="none" w:sz="0" w:space="0" w:color="auto"/>
            <w:bottom w:val="none" w:sz="0" w:space="0" w:color="auto"/>
            <w:right w:val="none" w:sz="0" w:space="0" w:color="auto"/>
          </w:divBdr>
          <w:divsChild>
            <w:div w:id="550267818">
              <w:marLeft w:val="0"/>
              <w:marRight w:val="0"/>
              <w:marTop w:val="0"/>
              <w:marBottom w:val="0"/>
              <w:divBdr>
                <w:top w:val="none" w:sz="0" w:space="0" w:color="auto"/>
                <w:left w:val="none" w:sz="0" w:space="0" w:color="auto"/>
                <w:bottom w:val="none" w:sz="0" w:space="0" w:color="auto"/>
                <w:right w:val="none" w:sz="0" w:space="0" w:color="auto"/>
              </w:divBdr>
            </w:div>
          </w:divsChild>
        </w:div>
        <w:div w:id="2092309772">
          <w:marLeft w:val="0"/>
          <w:marRight w:val="0"/>
          <w:marTop w:val="0"/>
          <w:marBottom w:val="0"/>
          <w:divBdr>
            <w:top w:val="none" w:sz="0" w:space="0" w:color="auto"/>
            <w:left w:val="none" w:sz="0" w:space="0" w:color="auto"/>
            <w:bottom w:val="none" w:sz="0" w:space="0" w:color="auto"/>
            <w:right w:val="none" w:sz="0" w:space="0" w:color="auto"/>
          </w:divBdr>
          <w:divsChild>
            <w:div w:id="191204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719471">
      <w:bodyDiv w:val="1"/>
      <w:marLeft w:val="0"/>
      <w:marRight w:val="0"/>
      <w:marTop w:val="0"/>
      <w:marBottom w:val="0"/>
      <w:divBdr>
        <w:top w:val="none" w:sz="0" w:space="0" w:color="auto"/>
        <w:left w:val="none" w:sz="0" w:space="0" w:color="auto"/>
        <w:bottom w:val="none" w:sz="0" w:space="0" w:color="auto"/>
        <w:right w:val="none" w:sz="0" w:space="0" w:color="auto"/>
      </w:divBdr>
      <w:divsChild>
        <w:div w:id="14161940">
          <w:marLeft w:val="0"/>
          <w:marRight w:val="0"/>
          <w:marTop w:val="0"/>
          <w:marBottom w:val="0"/>
          <w:divBdr>
            <w:top w:val="none" w:sz="0" w:space="0" w:color="auto"/>
            <w:left w:val="none" w:sz="0" w:space="0" w:color="auto"/>
            <w:bottom w:val="none" w:sz="0" w:space="0" w:color="auto"/>
            <w:right w:val="none" w:sz="0" w:space="0" w:color="auto"/>
          </w:divBdr>
          <w:divsChild>
            <w:div w:id="490676616">
              <w:marLeft w:val="0"/>
              <w:marRight w:val="0"/>
              <w:marTop w:val="0"/>
              <w:marBottom w:val="0"/>
              <w:divBdr>
                <w:top w:val="none" w:sz="0" w:space="0" w:color="auto"/>
                <w:left w:val="none" w:sz="0" w:space="0" w:color="auto"/>
                <w:bottom w:val="none" w:sz="0" w:space="0" w:color="auto"/>
                <w:right w:val="none" w:sz="0" w:space="0" w:color="auto"/>
              </w:divBdr>
            </w:div>
          </w:divsChild>
        </w:div>
        <w:div w:id="32854616">
          <w:marLeft w:val="0"/>
          <w:marRight w:val="0"/>
          <w:marTop w:val="0"/>
          <w:marBottom w:val="0"/>
          <w:divBdr>
            <w:top w:val="none" w:sz="0" w:space="0" w:color="auto"/>
            <w:left w:val="none" w:sz="0" w:space="0" w:color="auto"/>
            <w:bottom w:val="none" w:sz="0" w:space="0" w:color="auto"/>
            <w:right w:val="none" w:sz="0" w:space="0" w:color="auto"/>
          </w:divBdr>
          <w:divsChild>
            <w:div w:id="362290515">
              <w:marLeft w:val="0"/>
              <w:marRight w:val="0"/>
              <w:marTop w:val="0"/>
              <w:marBottom w:val="0"/>
              <w:divBdr>
                <w:top w:val="none" w:sz="0" w:space="0" w:color="auto"/>
                <w:left w:val="none" w:sz="0" w:space="0" w:color="auto"/>
                <w:bottom w:val="none" w:sz="0" w:space="0" w:color="auto"/>
                <w:right w:val="none" w:sz="0" w:space="0" w:color="auto"/>
              </w:divBdr>
            </w:div>
            <w:div w:id="1153595033">
              <w:marLeft w:val="0"/>
              <w:marRight w:val="0"/>
              <w:marTop w:val="0"/>
              <w:marBottom w:val="0"/>
              <w:divBdr>
                <w:top w:val="none" w:sz="0" w:space="0" w:color="auto"/>
                <w:left w:val="none" w:sz="0" w:space="0" w:color="auto"/>
                <w:bottom w:val="none" w:sz="0" w:space="0" w:color="auto"/>
                <w:right w:val="none" w:sz="0" w:space="0" w:color="auto"/>
              </w:divBdr>
            </w:div>
            <w:div w:id="1358966535">
              <w:marLeft w:val="0"/>
              <w:marRight w:val="0"/>
              <w:marTop w:val="0"/>
              <w:marBottom w:val="0"/>
              <w:divBdr>
                <w:top w:val="none" w:sz="0" w:space="0" w:color="auto"/>
                <w:left w:val="none" w:sz="0" w:space="0" w:color="auto"/>
                <w:bottom w:val="none" w:sz="0" w:space="0" w:color="auto"/>
                <w:right w:val="none" w:sz="0" w:space="0" w:color="auto"/>
              </w:divBdr>
            </w:div>
            <w:div w:id="1802307922">
              <w:marLeft w:val="0"/>
              <w:marRight w:val="0"/>
              <w:marTop w:val="0"/>
              <w:marBottom w:val="0"/>
              <w:divBdr>
                <w:top w:val="none" w:sz="0" w:space="0" w:color="auto"/>
                <w:left w:val="none" w:sz="0" w:space="0" w:color="auto"/>
                <w:bottom w:val="none" w:sz="0" w:space="0" w:color="auto"/>
                <w:right w:val="none" w:sz="0" w:space="0" w:color="auto"/>
              </w:divBdr>
            </w:div>
          </w:divsChild>
        </w:div>
        <w:div w:id="52316312">
          <w:marLeft w:val="0"/>
          <w:marRight w:val="0"/>
          <w:marTop w:val="0"/>
          <w:marBottom w:val="0"/>
          <w:divBdr>
            <w:top w:val="none" w:sz="0" w:space="0" w:color="auto"/>
            <w:left w:val="none" w:sz="0" w:space="0" w:color="auto"/>
            <w:bottom w:val="none" w:sz="0" w:space="0" w:color="auto"/>
            <w:right w:val="none" w:sz="0" w:space="0" w:color="auto"/>
          </w:divBdr>
          <w:divsChild>
            <w:div w:id="223418074">
              <w:marLeft w:val="0"/>
              <w:marRight w:val="0"/>
              <w:marTop w:val="0"/>
              <w:marBottom w:val="0"/>
              <w:divBdr>
                <w:top w:val="none" w:sz="0" w:space="0" w:color="auto"/>
                <w:left w:val="none" w:sz="0" w:space="0" w:color="auto"/>
                <w:bottom w:val="none" w:sz="0" w:space="0" w:color="auto"/>
                <w:right w:val="none" w:sz="0" w:space="0" w:color="auto"/>
              </w:divBdr>
            </w:div>
            <w:div w:id="1006051977">
              <w:marLeft w:val="0"/>
              <w:marRight w:val="0"/>
              <w:marTop w:val="0"/>
              <w:marBottom w:val="0"/>
              <w:divBdr>
                <w:top w:val="none" w:sz="0" w:space="0" w:color="auto"/>
                <w:left w:val="none" w:sz="0" w:space="0" w:color="auto"/>
                <w:bottom w:val="none" w:sz="0" w:space="0" w:color="auto"/>
                <w:right w:val="none" w:sz="0" w:space="0" w:color="auto"/>
              </w:divBdr>
            </w:div>
          </w:divsChild>
        </w:div>
        <w:div w:id="93477570">
          <w:marLeft w:val="0"/>
          <w:marRight w:val="0"/>
          <w:marTop w:val="0"/>
          <w:marBottom w:val="0"/>
          <w:divBdr>
            <w:top w:val="none" w:sz="0" w:space="0" w:color="auto"/>
            <w:left w:val="none" w:sz="0" w:space="0" w:color="auto"/>
            <w:bottom w:val="none" w:sz="0" w:space="0" w:color="auto"/>
            <w:right w:val="none" w:sz="0" w:space="0" w:color="auto"/>
          </w:divBdr>
          <w:divsChild>
            <w:div w:id="37290269">
              <w:marLeft w:val="0"/>
              <w:marRight w:val="0"/>
              <w:marTop w:val="0"/>
              <w:marBottom w:val="0"/>
              <w:divBdr>
                <w:top w:val="none" w:sz="0" w:space="0" w:color="auto"/>
                <w:left w:val="none" w:sz="0" w:space="0" w:color="auto"/>
                <w:bottom w:val="none" w:sz="0" w:space="0" w:color="auto"/>
                <w:right w:val="none" w:sz="0" w:space="0" w:color="auto"/>
              </w:divBdr>
            </w:div>
            <w:div w:id="777675029">
              <w:marLeft w:val="0"/>
              <w:marRight w:val="0"/>
              <w:marTop w:val="0"/>
              <w:marBottom w:val="0"/>
              <w:divBdr>
                <w:top w:val="none" w:sz="0" w:space="0" w:color="auto"/>
                <w:left w:val="none" w:sz="0" w:space="0" w:color="auto"/>
                <w:bottom w:val="none" w:sz="0" w:space="0" w:color="auto"/>
                <w:right w:val="none" w:sz="0" w:space="0" w:color="auto"/>
              </w:divBdr>
            </w:div>
          </w:divsChild>
        </w:div>
        <w:div w:id="104734724">
          <w:marLeft w:val="0"/>
          <w:marRight w:val="0"/>
          <w:marTop w:val="0"/>
          <w:marBottom w:val="0"/>
          <w:divBdr>
            <w:top w:val="none" w:sz="0" w:space="0" w:color="auto"/>
            <w:left w:val="none" w:sz="0" w:space="0" w:color="auto"/>
            <w:bottom w:val="none" w:sz="0" w:space="0" w:color="auto"/>
            <w:right w:val="none" w:sz="0" w:space="0" w:color="auto"/>
          </w:divBdr>
          <w:divsChild>
            <w:div w:id="1630277206">
              <w:marLeft w:val="0"/>
              <w:marRight w:val="0"/>
              <w:marTop w:val="0"/>
              <w:marBottom w:val="0"/>
              <w:divBdr>
                <w:top w:val="none" w:sz="0" w:space="0" w:color="auto"/>
                <w:left w:val="none" w:sz="0" w:space="0" w:color="auto"/>
                <w:bottom w:val="none" w:sz="0" w:space="0" w:color="auto"/>
                <w:right w:val="none" w:sz="0" w:space="0" w:color="auto"/>
              </w:divBdr>
            </w:div>
            <w:div w:id="2017222135">
              <w:marLeft w:val="0"/>
              <w:marRight w:val="0"/>
              <w:marTop w:val="0"/>
              <w:marBottom w:val="0"/>
              <w:divBdr>
                <w:top w:val="none" w:sz="0" w:space="0" w:color="auto"/>
                <w:left w:val="none" w:sz="0" w:space="0" w:color="auto"/>
                <w:bottom w:val="none" w:sz="0" w:space="0" w:color="auto"/>
                <w:right w:val="none" w:sz="0" w:space="0" w:color="auto"/>
              </w:divBdr>
            </w:div>
          </w:divsChild>
        </w:div>
        <w:div w:id="115763451">
          <w:marLeft w:val="0"/>
          <w:marRight w:val="0"/>
          <w:marTop w:val="0"/>
          <w:marBottom w:val="0"/>
          <w:divBdr>
            <w:top w:val="none" w:sz="0" w:space="0" w:color="auto"/>
            <w:left w:val="none" w:sz="0" w:space="0" w:color="auto"/>
            <w:bottom w:val="none" w:sz="0" w:space="0" w:color="auto"/>
            <w:right w:val="none" w:sz="0" w:space="0" w:color="auto"/>
          </w:divBdr>
          <w:divsChild>
            <w:div w:id="7365716">
              <w:marLeft w:val="0"/>
              <w:marRight w:val="0"/>
              <w:marTop w:val="0"/>
              <w:marBottom w:val="0"/>
              <w:divBdr>
                <w:top w:val="none" w:sz="0" w:space="0" w:color="auto"/>
                <w:left w:val="none" w:sz="0" w:space="0" w:color="auto"/>
                <w:bottom w:val="none" w:sz="0" w:space="0" w:color="auto"/>
                <w:right w:val="none" w:sz="0" w:space="0" w:color="auto"/>
              </w:divBdr>
            </w:div>
          </w:divsChild>
        </w:div>
        <w:div w:id="118768551">
          <w:marLeft w:val="0"/>
          <w:marRight w:val="0"/>
          <w:marTop w:val="0"/>
          <w:marBottom w:val="0"/>
          <w:divBdr>
            <w:top w:val="none" w:sz="0" w:space="0" w:color="auto"/>
            <w:left w:val="none" w:sz="0" w:space="0" w:color="auto"/>
            <w:bottom w:val="none" w:sz="0" w:space="0" w:color="auto"/>
            <w:right w:val="none" w:sz="0" w:space="0" w:color="auto"/>
          </w:divBdr>
          <w:divsChild>
            <w:div w:id="1797410898">
              <w:marLeft w:val="0"/>
              <w:marRight w:val="0"/>
              <w:marTop w:val="0"/>
              <w:marBottom w:val="0"/>
              <w:divBdr>
                <w:top w:val="none" w:sz="0" w:space="0" w:color="auto"/>
                <w:left w:val="none" w:sz="0" w:space="0" w:color="auto"/>
                <w:bottom w:val="none" w:sz="0" w:space="0" w:color="auto"/>
                <w:right w:val="none" w:sz="0" w:space="0" w:color="auto"/>
              </w:divBdr>
            </w:div>
          </w:divsChild>
        </w:div>
        <w:div w:id="146240486">
          <w:marLeft w:val="0"/>
          <w:marRight w:val="0"/>
          <w:marTop w:val="0"/>
          <w:marBottom w:val="0"/>
          <w:divBdr>
            <w:top w:val="none" w:sz="0" w:space="0" w:color="auto"/>
            <w:left w:val="none" w:sz="0" w:space="0" w:color="auto"/>
            <w:bottom w:val="none" w:sz="0" w:space="0" w:color="auto"/>
            <w:right w:val="none" w:sz="0" w:space="0" w:color="auto"/>
          </w:divBdr>
          <w:divsChild>
            <w:div w:id="885070293">
              <w:marLeft w:val="0"/>
              <w:marRight w:val="0"/>
              <w:marTop w:val="0"/>
              <w:marBottom w:val="0"/>
              <w:divBdr>
                <w:top w:val="none" w:sz="0" w:space="0" w:color="auto"/>
                <w:left w:val="none" w:sz="0" w:space="0" w:color="auto"/>
                <w:bottom w:val="none" w:sz="0" w:space="0" w:color="auto"/>
                <w:right w:val="none" w:sz="0" w:space="0" w:color="auto"/>
              </w:divBdr>
            </w:div>
          </w:divsChild>
        </w:div>
        <w:div w:id="159853955">
          <w:marLeft w:val="0"/>
          <w:marRight w:val="0"/>
          <w:marTop w:val="0"/>
          <w:marBottom w:val="0"/>
          <w:divBdr>
            <w:top w:val="none" w:sz="0" w:space="0" w:color="auto"/>
            <w:left w:val="none" w:sz="0" w:space="0" w:color="auto"/>
            <w:bottom w:val="none" w:sz="0" w:space="0" w:color="auto"/>
            <w:right w:val="none" w:sz="0" w:space="0" w:color="auto"/>
          </w:divBdr>
          <w:divsChild>
            <w:div w:id="1677615952">
              <w:marLeft w:val="0"/>
              <w:marRight w:val="0"/>
              <w:marTop w:val="0"/>
              <w:marBottom w:val="0"/>
              <w:divBdr>
                <w:top w:val="none" w:sz="0" w:space="0" w:color="auto"/>
                <w:left w:val="none" w:sz="0" w:space="0" w:color="auto"/>
                <w:bottom w:val="none" w:sz="0" w:space="0" w:color="auto"/>
                <w:right w:val="none" w:sz="0" w:space="0" w:color="auto"/>
              </w:divBdr>
            </w:div>
          </w:divsChild>
        </w:div>
        <w:div w:id="178009105">
          <w:marLeft w:val="0"/>
          <w:marRight w:val="0"/>
          <w:marTop w:val="0"/>
          <w:marBottom w:val="0"/>
          <w:divBdr>
            <w:top w:val="none" w:sz="0" w:space="0" w:color="auto"/>
            <w:left w:val="none" w:sz="0" w:space="0" w:color="auto"/>
            <w:bottom w:val="none" w:sz="0" w:space="0" w:color="auto"/>
            <w:right w:val="none" w:sz="0" w:space="0" w:color="auto"/>
          </w:divBdr>
          <w:divsChild>
            <w:div w:id="348023018">
              <w:marLeft w:val="0"/>
              <w:marRight w:val="0"/>
              <w:marTop w:val="0"/>
              <w:marBottom w:val="0"/>
              <w:divBdr>
                <w:top w:val="none" w:sz="0" w:space="0" w:color="auto"/>
                <w:left w:val="none" w:sz="0" w:space="0" w:color="auto"/>
                <w:bottom w:val="none" w:sz="0" w:space="0" w:color="auto"/>
                <w:right w:val="none" w:sz="0" w:space="0" w:color="auto"/>
              </w:divBdr>
            </w:div>
            <w:div w:id="448739693">
              <w:marLeft w:val="0"/>
              <w:marRight w:val="0"/>
              <w:marTop w:val="0"/>
              <w:marBottom w:val="0"/>
              <w:divBdr>
                <w:top w:val="none" w:sz="0" w:space="0" w:color="auto"/>
                <w:left w:val="none" w:sz="0" w:space="0" w:color="auto"/>
                <w:bottom w:val="none" w:sz="0" w:space="0" w:color="auto"/>
                <w:right w:val="none" w:sz="0" w:space="0" w:color="auto"/>
              </w:divBdr>
            </w:div>
          </w:divsChild>
        </w:div>
        <w:div w:id="189026839">
          <w:marLeft w:val="0"/>
          <w:marRight w:val="0"/>
          <w:marTop w:val="0"/>
          <w:marBottom w:val="0"/>
          <w:divBdr>
            <w:top w:val="none" w:sz="0" w:space="0" w:color="auto"/>
            <w:left w:val="none" w:sz="0" w:space="0" w:color="auto"/>
            <w:bottom w:val="none" w:sz="0" w:space="0" w:color="auto"/>
            <w:right w:val="none" w:sz="0" w:space="0" w:color="auto"/>
          </w:divBdr>
          <w:divsChild>
            <w:div w:id="1989018928">
              <w:marLeft w:val="0"/>
              <w:marRight w:val="0"/>
              <w:marTop w:val="0"/>
              <w:marBottom w:val="0"/>
              <w:divBdr>
                <w:top w:val="none" w:sz="0" w:space="0" w:color="auto"/>
                <w:left w:val="none" w:sz="0" w:space="0" w:color="auto"/>
                <w:bottom w:val="none" w:sz="0" w:space="0" w:color="auto"/>
                <w:right w:val="none" w:sz="0" w:space="0" w:color="auto"/>
              </w:divBdr>
            </w:div>
          </w:divsChild>
        </w:div>
        <w:div w:id="190458941">
          <w:marLeft w:val="0"/>
          <w:marRight w:val="0"/>
          <w:marTop w:val="0"/>
          <w:marBottom w:val="0"/>
          <w:divBdr>
            <w:top w:val="none" w:sz="0" w:space="0" w:color="auto"/>
            <w:left w:val="none" w:sz="0" w:space="0" w:color="auto"/>
            <w:bottom w:val="none" w:sz="0" w:space="0" w:color="auto"/>
            <w:right w:val="none" w:sz="0" w:space="0" w:color="auto"/>
          </w:divBdr>
          <w:divsChild>
            <w:div w:id="584457996">
              <w:marLeft w:val="0"/>
              <w:marRight w:val="0"/>
              <w:marTop w:val="0"/>
              <w:marBottom w:val="0"/>
              <w:divBdr>
                <w:top w:val="none" w:sz="0" w:space="0" w:color="auto"/>
                <w:left w:val="none" w:sz="0" w:space="0" w:color="auto"/>
                <w:bottom w:val="none" w:sz="0" w:space="0" w:color="auto"/>
                <w:right w:val="none" w:sz="0" w:space="0" w:color="auto"/>
              </w:divBdr>
            </w:div>
            <w:div w:id="732970856">
              <w:marLeft w:val="0"/>
              <w:marRight w:val="0"/>
              <w:marTop w:val="0"/>
              <w:marBottom w:val="0"/>
              <w:divBdr>
                <w:top w:val="none" w:sz="0" w:space="0" w:color="auto"/>
                <w:left w:val="none" w:sz="0" w:space="0" w:color="auto"/>
                <w:bottom w:val="none" w:sz="0" w:space="0" w:color="auto"/>
                <w:right w:val="none" w:sz="0" w:space="0" w:color="auto"/>
              </w:divBdr>
            </w:div>
          </w:divsChild>
        </w:div>
        <w:div w:id="192230947">
          <w:marLeft w:val="0"/>
          <w:marRight w:val="0"/>
          <w:marTop w:val="0"/>
          <w:marBottom w:val="0"/>
          <w:divBdr>
            <w:top w:val="none" w:sz="0" w:space="0" w:color="auto"/>
            <w:left w:val="none" w:sz="0" w:space="0" w:color="auto"/>
            <w:bottom w:val="none" w:sz="0" w:space="0" w:color="auto"/>
            <w:right w:val="none" w:sz="0" w:space="0" w:color="auto"/>
          </w:divBdr>
          <w:divsChild>
            <w:div w:id="647825335">
              <w:marLeft w:val="0"/>
              <w:marRight w:val="0"/>
              <w:marTop w:val="0"/>
              <w:marBottom w:val="0"/>
              <w:divBdr>
                <w:top w:val="none" w:sz="0" w:space="0" w:color="auto"/>
                <w:left w:val="none" w:sz="0" w:space="0" w:color="auto"/>
                <w:bottom w:val="none" w:sz="0" w:space="0" w:color="auto"/>
                <w:right w:val="none" w:sz="0" w:space="0" w:color="auto"/>
              </w:divBdr>
            </w:div>
            <w:div w:id="1282610178">
              <w:marLeft w:val="0"/>
              <w:marRight w:val="0"/>
              <w:marTop w:val="0"/>
              <w:marBottom w:val="0"/>
              <w:divBdr>
                <w:top w:val="none" w:sz="0" w:space="0" w:color="auto"/>
                <w:left w:val="none" w:sz="0" w:space="0" w:color="auto"/>
                <w:bottom w:val="none" w:sz="0" w:space="0" w:color="auto"/>
                <w:right w:val="none" w:sz="0" w:space="0" w:color="auto"/>
              </w:divBdr>
            </w:div>
          </w:divsChild>
        </w:div>
        <w:div w:id="250311086">
          <w:marLeft w:val="0"/>
          <w:marRight w:val="0"/>
          <w:marTop w:val="0"/>
          <w:marBottom w:val="0"/>
          <w:divBdr>
            <w:top w:val="none" w:sz="0" w:space="0" w:color="auto"/>
            <w:left w:val="none" w:sz="0" w:space="0" w:color="auto"/>
            <w:bottom w:val="none" w:sz="0" w:space="0" w:color="auto"/>
            <w:right w:val="none" w:sz="0" w:space="0" w:color="auto"/>
          </w:divBdr>
          <w:divsChild>
            <w:div w:id="895433152">
              <w:marLeft w:val="0"/>
              <w:marRight w:val="0"/>
              <w:marTop w:val="0"/>
              <w:marBottom w:val="0"/>
              <w:divBdr>
                <w:top w:val="none" w:sz="0" w:space="0" w:color="auto"/>
                <w:left w:val="none" w:sz="0" w:space="0" w:color="auto"/>
                <w:bottom w:val="none" w:sz="0" w:space="0" w:color="auto"/>
                <w:right w:val="none" w:sz="0" w:space="0" w:color="auto"/>
              </w:divBdr>
            </w:div>
          </w:divsChild>
        </w:div>
        <w:div w:id="253169329">
          <w:marLeft w:val="0"/>
          <w:marRight w:val="0"/>
          <w:marTop w:val="0"/>
          <w:marBottom w:val="0"/>
          <w:divBdr>
            <w:top w:val="none" w:sz="0" w:space="0" w:color="auto"/>
            <w:left w:val="none" w:sz="0" w:space="0" w:color="auto"/>
            <w:bottom w:val="none" w:sz="0" w:space="0" w:color="auto"/>
            <w:right w:val="none" w:sz="0" w:space="0" w:color="auto"/>
          </w:divBdr>
          <w:divsChild>
            <w:div w:id="318777190">
              <w:marLeft w:val="0"/>
              <w:marRight w:val="0"/>
              <w:marTop w:val="0"/>
              <w:marBottom w:val="0"/>
              <w:divBdr>
                <w:top w:val="none" w:sz="0" w:space="0" w:color="auto"/>
                <w:left w:val="none" w:sz="0" w:space="0" w:color="auto"/>
                <w:bottom w:val="none" w:sz="0" w:space="0" w:color="auto"/>
                <w:right w:val="none" w:sz="0" w:space="0" w:color="auto"/>
              </w:divBdr>
            </w:div>
          </w:divsChild>
        </w:div>
        <w:div w:id="267467579">
          <w:marLeft w:val="0"/>
          <w:marRight w:val="0"/>
          <w:marTop w:val="0"/>
          <w:marBottom w:val="0"/>
          <w:divBdr>
            <w:top w:val="none" w:sz="0" w:space="0" w:color="auto"/>
            <w:left w:val="none" w:sz="0" w:space="0" w:color="auto"/>
            <w:bottom w:val="none" w:sz="0" w:space="0" w:color="auto"/>
            <w:right w:val="none" w:sz="0" w:space="0" w:color="auto"/>
          </w:divBdr>
          <w:divsChild>
            <w:div w:id="1728727145">
              <w:marLeft w:val="0"/>
              <w:marRight w:val="0"/>
              <w:marTop w:val="0"/>
              <w:marBottom w:val="0"/>
              <w:divBdr>
                <w:top w:val="none" w:sz="0" w:space="0" w:color="auto"/>
                <w:left w:val="none" w:sz="0" w:space="0" w:color="auto"/>
                <w:bottom w:val="none" w:sz="0" w:space="0" w:color="auto"/>
                <w:right w:val="none" w:sz="0" w:space="0" w:color="auto"/>
              </w:divBdr>
            </w:div>
          </w:divsChild>
        </w:div>
        <w:div w:id="274287958">
          <w:marLeft w:val="0"/>
          <w:marRight w:val="0"/>
          <w:marTop w:val="0"/>
          <w:marBottom w:val="0"/>
          <w:divBdr>
            <w:top w:val="none" w:sz="0" w:space="0" w:color="auto"/>
            <w:left w:val="none" w:sz="0" w:space="0" w:color="auto"/>
            <w:bottom w:val="none" w:sz="0" w:space="0" w:color="auto"/>
            <w:right w:val="none" w:sz="0" w:space="0" w:color="auto"/>
          </w:divBdr>
          <w:divsChild>
            <w:div w:id="444932979">
              <w:marLeft w:val="0"/>
              <w:marRight w:val="0"/>
              <w:marTop w:val="0"/>
              <w:marBottom w:val="0"/>
              <w:divBdr>
                <w:top w:val="none" w:sz="0" w:space="0" w:color="auto"/>
                <w:left w:val="none" w:sz="0" w:space="0" w:color="auto"/>
                <w:bottom w:val="none" w:sz="0" w:space="0" w:color="auto"/>
                <w:right w:val="none" w:sz="0" w:space="0" w:color="auto"/>
              </w:divBdr>
            </w:div>
            <w:div w:id="546794768">
              <w:marLeft w:val="0"/>
              <w:marRight w:val="0"/>
              <w:marTop w:val="0"/>
              <w:marBottom w:val="0"/>
              <w:divBdr>
                <w:top w:val="none" w:sz="0" w:space="0" w:color="auto"/>
                <w:left w:val="none" w:sz="0" w:space="0" w:color="auto"/>
                <w:bottom w:val="none" w:sz="0" w:space="0" w:color="auto"/>
                <w:right w:val="none" w:sz="0" w:space="0" w:color="auto"/>
              </w:divBdr>
            </w:div>
            <w:div w:id="915745261">
              <w:marLeft w:val="0"/>
              <w:marRight w:val="0"/>
              <w:marTop w:val="0"/>
              <w:marBottom w:val="0"/>
              <w:divBdr>
                <w:top w:val="none" w:sz="0" w:space="0" w:color="auto"/>
                <w:left w:val="none" w:sz="0" w:space="0" w:color="auto"/>
                <w:bottom w:val="none" w:sz="0" w:space="0" w:color="auto"/>
                <w:right w:val="none" w:sz="0" w:space="0" w:color="auto"/>
              </w:divBdr>
            </w:div>
            <w:div w:id="1848671251">
              <w:marLeft w:val="0"/>
              <w:marRight w:val="0"/>
              <w:marTop w:val="0"/>
              <w:marBottom w:val="0"/>
              <w:divBdr>
                <w:top w:val="none" w:sz="0" w:space="0" w:color="auto"/>
                <w:left w:val="none" w:sz="0" w:space="0" w:color="auto"/>
                <w:bottom w:val="none" w:sz="0" w:space="0" w:color="auto"/>
                <w:right w:val="none" w:sz="0" w:space="0" w:color="auto"/>
              </w:divBdr>
            </w:div>
          </w:divsChild>
        </w:div>
        <w:div w:id="290982845">
          <w:marLeft w:val="0"/>
          <w:marRight w:val="0"/>
          <w:marTop w:val="0"/>
          <w:marBottom w:val="0"/>
          <w:divBdr>
            <w:top w:val="none" w:sz="0" w:space="0" w:color="auto"/>
            <w:left w:val="none" w:sz="0" w:space="0" w:color="auto"/>
            <w:bottom w:val="none" w:sz="0" w:space="0" w:color="auto"/>
            <w:right w:val="none" w:sz="0" w:space="0" w:color="auto"/>
          </w:divBdr>
          <w:divsChild>
            <w:div w:id="732390964">
              <w:marLeft w:val="0"/>
              <w:marRight w:val="0"/>
              <w:marTop w:val="0"/>
              <w:marBottom w:val="0"/>
              <w:divBdr>
                <w:top w:val="none" w:sz="0" w:space="0" w:color="auto"/>
                <w:left w:val="none" w:sz="0" w:space="0" w:color="auto"/>
                <w:bottom w:val="none" w:sz="0" w:space="0" w:color="auto"/>
                <w:right w:val="none" w:sz="0" w:space="0" w:color="auto"/>
              </w:divBdr>
            </w:div>
            <w:div w:id="762074606">
              <w:marLeft w:val="0"/>
              <w:marRight w:val="0"/>
              <w:marTop w:val="0"/>
              <w:marBottom w:val="0"/>
              <w:divBdr>
                <w:top w:val="none" w:sz="0" w:space="0" w:color="auto"/>
                <w:left w:val="none" w:sz="0" w:space="0" w:color="auto"/>
                <w:bottom w:val="none" w:sz="0" w:space="0" w:color="auto"/>
                <w:right w:val="none" w:sz="0" w:space="0" w:color="auto"/>
              </w:divBdr>
            </w:div>
          </w:divsChild>
        </w:div>
        <w:div w:id="301423547">
          <w:marLeft w:val="0"/>
          <w:marRight w:val="0"/>
          <w:marTop w:val="0"/>
          <w:marBottom w:val="0"/>
          <w:divBdr>
            <w:top w:val="none" w:sz="0" w:space="0" w:color="auto"/>
            <w:left w:val="none" w:sz="0" w:space="0" w:color="auto"/>
            <w:bottom w:val="none" w:sz="0" w:space="0" w:color="auto"/>
            <w:right w:val="none" w:sz="0" w:space="0" w:color="auto"/>
          </w:divBdr>
          <w:divsChild>
            <w:div w:id="161707387">
              <w:marLeft w:val="0"/>
              <w:marRight w:val="0"/>
              <w:marTop w:val="0"/>
              <w:marBottom w:val="0"/>
              <w:divBdr>
                <w:top w:val="none" w:sz="0" w:space="0" w:color="auto"/>
                <w:left w:val="none" w:sz="0" w:space="0" w:color="auto"/>
                <w:bottom w:val="none" w:sz="0" w:space="0" w:color="auto"/>
                <w:right w:val="none" w:sz="0" w:space="0" w:color="auto"/>
              </w:divBdr>
            </w:div>
            <w:div w:id="308292099">
              <w:marLeft w:val="0"/>
              <w:marRight w:val="0"/>
              <w:marTop w:val="0"/>
              <w:marBottom w:val="0"/>
              <w:divBdr>
                <w:top w:val="none" w:sz="0" w:space="0" w:color="auto"/>
                <w:left w:val="none" w:sz="0" w:space="0" w:color="auto"/>
                <w:bottom w:val="none" w:sz="0" w:space="0" w:color="auto"/>
                <w:right w:val="none" w:sz="0" w:space="0" w:color="auto"/>
              </w:divBdr>
            </w:div>
            <w:div w:id="801845558">
              <w:marLeft w:val="0"/>
              <w:marRight w:val="0"/>
              <w:marTop w:val="0"/>
              <w:marBottom w:val="0"/>
              <w:divBdr>
                <w:top w:val="none" w:sz="0" w:space="0" w:color="auto"/>
                <w:left w:val="none" w:sz="0" w:space="0" w:color="auto"/>
                <w:bottom w:val="none" w:sz="0" w:space="0" w:color="auto"/>
                <w:right w:val="none" w:sz="0" w:space="0" w:color="auto"/>
              </w:divBdr>
            </w:div>
            <w:div w:id="852886625">
              <w:marLeft w:val="0"/>
              <w:marRight w:val="0"/>
              <w:marTop w:val="0"/>
              <w:marBottom w:val="0"/>
              <w:divBdr>
                <w:top w:val="none" w:sz="0" w:space="0" w:color="auto"/>
                <w:left w:val="none" w:sz="0" w:space="0" w:color="auto"/>
                <w:bottom w:val="none" w:sz="0" w:space="0" w:color="auto"/>
                <w:right w:val="none" w:sz="0" w:space="0" w:color="auto"/>
              </w:divBdr>
            </w:div>
            <w:div w:id="1174762826">
              <w:marLeft w:val="0"/>
              <w:marRight w:val="0"/>
              <w:marTop w:val="0"/>
              <w:marBottom w:val="0"/>
              <w:divBdr>
                <w:top w:val="none" w:sz="0" w:space="0" w:color="auto"/>
                <w:left w:val="none" w:sz="0" w:space="0" w:color="auto"/>
                <w:bottom w:val="none" w:sz="0" w:space="0" w:color="auto"/>
                <w:right w:val="none" w:sz="0" w:space="0" w:color="auto"/>
              </w:divBdr>
            </w:div>
          </w:divsChild>
        </w:div>
        <w:div w:id="383143357">
          <w:marLeft w:val="0"/>
          <w:marRight w:val="0"/>
          <w:marTop w:val="0"/>
          <w:marBottom w:val="0"/>
          <w:divBdr>
            <w:top w:val="none" w:sz="0" w:space="0" w:color="auto"/>
            <w:left w:val="none" w:sz="0" w:space="0" w:color="auto"/>
            <w:bottom w:val="none" w:sz="0" w:space="0" w:color="auto"/>
            <w:right w:val="none" w:sz="0" w:space="0" w:color="auto"/>
          </w:divBdr>
          <w:divsChild>
            <w:div w:id="67120031">
              <w:marLeft w:val="0"/>
              <w:marRight w:val="0"/>
              <w:marTop w:val="0"/>
              <w:marBottom w:val="0"/>
              <w:divBdr>
                <w:top w:val="none" w:sz="0" w:space="0" w:color="auto"/>
                <w:left w:val="none" w:sz="0" w:space="0" w:color="auto"/>
                <w:bottom w:val="none" w:sz="0" w:space="0" w:color="auto"/>
                <w:right w:val="none" w:sz="0" w:space="0" w:color="auto"/>
              </w:divBdr>
            </w:div>
            <w:div w:id="946693071">
              <w:marLeft w:val="0"/>
              <w:marRight w:val="0"/>
              <w:marTop w:val="0"/>
              <w:marBottom w:val="0"/>
              <w:divBdr>
                <w:top w:val="none" w:sz="0" w:space="0" w:color="auto"/>
                <w:left w:val="none" w:sz="0" w:space="0" w:color="auto"/>
                <w:bottom w:val="none" w:sz="0" w:space="0" w:color="auto"/>
                <w:right w:val="none" w:sz="0" w:space="0" w:color="auto"/>
              </w:divBdr>
            </w:div>
            <w:div w:id="2085568448">
              <w:marLeft w:val="0"/>
              <w:marRight w:val="0"/>
              <w:marTop w:val="0"/>
              <w:marBottom w:val="0"/>
              <w:divBdr>
                <w:top w:val="none" w:sz="0" w:space="0" w:color="auto"/>
                <w:left w:val="none" w:sz="0" w:space="0" w:color="auto"/>
                <w:bottom w:val="none" w:sz="0" w:space="0" w:color="auto"/>
                <w:right w:val="none" w:sz="0" w:space="0" w:color="auto"/>
              </w:divBdr>
            </w:div>
          </w:divsChild>
        </w:div>
        <w:div w:id="386074262">
          <w:marLeft w:val="0"/>
          <w:marRight w:val="0"/>
          <w:marTop w:val="0"/>
          <w:marBottom w:val="0"/>
          <w:divBdr>
            <w:top w:val="none" w:sz="0" w:space="0" w:color="auto"/>
            <w:left w:val="none" w:sz="0" w:space="0" w:color="auto"/>
            <w:bottom w:val="none" w:sz="0" w:space="0" w:color="auto"/>
            <w:right w:val="none" w:sz="0" w:space="0" w:color="auto"/>
          </w:divBdr>
          <w:divsChild>
            <w:div w:id="1445343353">
              <w:marLeft w:val="0"/>
              <w:marRight w:val="0"/>
              <w:marTop w:val="0"/>
              <w:marBottom w:val="0"/>
              <w:divBdr>
                <w:top w:val="none" w:sz="0" w:space="0" w:color="auto"/>
                <w:left w:val="none" w:sz="0" w:space="0" w:color="auto"/>
                <w:bottom w:val="none" w:sz="0" w:space="0" w:color="auto"/>
                <w:right w:val="none" w:sz="0" w:space="0" w:color="auto"/>
              </w:divBdr>
            </w:div>
          </w:divsChild>
        </w:div>
        <w:div w:id="457844322">
          <w:marLeft w:val="0"/>
          <w:marRight w:val="0"/>
          <w:marTop w:val="0"/>
          <w:marBottom w:val="0"/>
          <w:divBdr>
            <w:top w:val="none" w:sz="0" w:space="0" w:color="auto"/>
            <w:left w:val="none" w:sz="0" w:space="0" w:color="auto"/>
            <w:bottom w:val="none" w:sz="0" w:space="0" w:color="auto"/>
            <w:right w:val="none" w:sz="0" w:space="0" w:color="auto"/>
          </w:divBdr>
          <w:divsChild>
            <w:div w:id="1099957064">
              <w:marLeft w:val="0"/>
              <w:marRight w:val="0"/>
              <w:marTop w:val="0"/>
              <w:marBottom w:val="0"/>
              <w:divBdr>
                <w:top w:val="none" w:sz="0" w:space="0" w:color="auto"/>
                <w:left w:val="none" w:sz="0" w:space="0" w:color="auto"/>
                <w:bottom w:val="none" w:sz="0" w:space="0" w:color="auto"/>
                <w:right w:val="none" w:sz="0" w:space="0" w:color="auto"/>
              </w:divBdr>
            </w:div>
            <w:div w:id="1823502892">
              <w:marLeft w:val="0"/>
              <w:marRight w:val="0"/>
              <w:marTop w:val="0"/>
              <w:marBottom w:val="0"/>
              <w:divBdr>
                <w:top w:val="none" w:sz="0" w:space="0" w:color="auto"/>
                <w:left w:val="none" w:sz="0" w:space="0" w:color="auto"/>
                <w:bottom w:val="none" w:sz="0" w:space="0" w:color="auto"/>
                <w:right w:val="none" w:sz="0" w:space="0" w:color="auto"/>
              </w:divBdr>
            </w:div>
          </w:divsChild>
        </w:div>
        <w:div w:id="493300241">
          <w:marLeft w:val="0"/>
          <w:marRight w:val="0"/>
          <w:marTop w:val="0"/>
          <w:marBottom w:val="0"/>
          <w:divBdr>
            <w:top w:val="none" w:sz="0" w:space="0" w:color="auto"/>
            <w:left w:val="none" w:sz="0" w:space="0" w:color="auto"/>
            <w:bottom w:val="none" w:sz="0" w:space="0" w:color="auto"/>
            <w:right w:val="none" w:sz="0" w:space="0" w:color="auto"/>
          </w:divBdr>
          <w:divsChild>
            <w:div w:id="550653660">
              <w:marLeft w:val="0"/>
              <w:marRight w:val="0"/>
              <w:marTop w:val="0"/>
              <w:marBottom w:val="0"/>
              <w:divBdr>
                <w:top w:val="none" w:sz="0" w:space="0" w:color="auto"/>
                <w:left w:val="none" w:sz="0" w:space="0" w:color="auto"/>
                <w:bottom w:val="none" w:sz="0" w:space="0" w:color="auto"/>
                <w:right w:val="none" w:sz="0" w:space="0" w:color="auto"/>
              </w:divBdr>
            </w:div>
            <w:div w:id="1962877732">
              <w:marLeft w:val="0"/>
              <w:marRight w:val="0"/>
              <w:marTop w:val="0"/>
              <w:marBottom w:val="0"/>
              <w:divBdr>
                <w:top w:val="none" w:sz="0" w:space="0" w:color="auto"/>
                <w:left w:val="none" w:sz="0" w:space="0" w:color="auto"/>
                <w:bottom w:val="none" w:sz="0" w:space="0" w:color="auto"/>
                <w:right w:val="none" w:sz="0" w:space="0" w:color="auto"/>
              </w:divBdr>
            </w:div>
          </w:divsChild>
        </w:div>
        <w:div w:id="513228799">
          <w:marLeft w:val="0"/>
          <w:marRight w:val="0"/>
          <w:marTop w:val="0"/>
          <w:marBottom w:val="0"/>
          <w:divBdr>
            <w:top w:val="none" w:sz="0" w:space="0" w:color="auto"/>
            <w:left w:val="none" w:sz="0" w:space="0" w:color="auto"/>
            <w:bottom w:val="none" w:sz="0" w:space="0" w:color="auto"/>
            <w:right w:val="none" w:sz="0" w:space="0" w:color="auto"/>
          </w:divBdr>
          <w:divsChild>
            <w:div w:id="595478312">
              <w:marLeft w:val="0"/>
              <w:marRight w:val="0"/>
              <w:marTop w:val="0"/>
              <w:marBottom w:val="0"/>
              <w:divBdr>
                <w:top w:val="none" w:sz="0" w:space="0" w:color="auto"/>
                <w:left w:val="none" w:sz="0" w:space="0" w:color="auto"/>
                <w:bottom w:val="none" w:sz="0" w:space="0" w:color="auto"/>
                <w:right w:val="none" w:sz="0" w:space="0" w:color="auto"/>
              </w:divBdr>
            </w:div>
            <w:div w:id="638195931">
              <w:marLeft w:val="0"/>
              <w:marRight w:val="0"/>
              <w:marTop w:val="0"/>
              <w:marBottom w:val="0"/>
              <w:divBdr>
                <w:top w:val="none" w:sz="0" w:space="0" w:color="auto"/>
                <w:left w:val="none" w:sz="0" w:space="0" w:color="auto"/>
                <w:bottom w:val="none" w:sz="0" w:space="0" w:color="auto"/>
                <w:right w:val="none" w:sz="0" w:space="0" w:color="auto"/>
              </w:divBdr>
            </w:div>
            <w:div w:id="702677930">
              <w:marLeft w:val="0"/>
              <w:marRight w:val="0"/>
              <w:marTop w:val="0"/>
              <w:marBottom w:val="0"/>
              <w:divBdr>
                <w:top w:val="none" w:sz="0" w:space="0" w:color="auto"/>
                <w:left w:val="none" w:sz="0" w:space="0" w:color="auto"/>
                <w:bottom w:val="none" w:sz="0" w:space="0" w:color="auto"/>
                <w:right w:val="none" w:sz="0" w:space="0" w:color="auto"/>
              </w:divBdr>
            </w:div>
            <w:div w:id="1856112208">
              <w:marLeft w:val="0"/>
              <w:marRight w:val="0"/>
              <w:marTop w:val="0"/>
              <w:marBottom w:val="0"/>
              <w:divBdr>
                <w:top w:val="none" w:sz="0" w:space="0" w:color="auto"/>
                <w:left w:val="none" w:sz="0" w:space="0" w:color="auto"/>
                <w:bottom w:val="none" w:sz="0" w:space="0" w:color="auto"/>
                <w:right w:val="none" w:sz="0" w:space="0" w:color="auto"/>
              </w:divBdr>
            </w:div>
          </w:divsChild>
        </w:div>
        <w:div w:id="518547024">
          <w:marLeft w:val="0"/>
          <w:marRight w:val="0"/>
          <w:marTop w:val="0"/>
          <w:marBottom w:val="0"/>
          <w:divBdr>
            <w:top w:val="none" w:sz="0" w:space="0" w:color="auto"/>
            <w:left w:val="none" w:sz="0" w:space="0" w:color="auto"/>
            <w:bottom w:val="none" w:sz="0" w:space="0" w:color="auto"/>
            <w:right w:val="none" w:sz="0" w:space="0" w:color="auto"/>
          </w:divBdr>
          <w:divsChild>
            <w:div w:id="48119409">
              <w:marLeft w:val="0"/>
              <w:marRight w:val="0"/>
              <w:marTop w:val="0"/>
              <w:marBottom w:val="0"/>
              <w:divBdr>
                <w:top w:val="none" w:sz="0" w:space="0" w:color="auto"/>
                <w:left w:val="none" w:sz="0" w:space="0" w:color="auto"/>
                <w:bottom w:val="none" w:sz="0" w:space="0" w:color="auto"/>
                <w:right w:val="none" w:sz="0" w:space="0" w:color="auto"/>
              </w:divBdr>
            </w:div>
          </w:divsChild>
        </w:div>
        <w:div w:id="521163522">
          <w:marLeft w:val="0"/>
          <w:marRight w:val="0"/>
          <w:marTop w:val="0"/>
          <w:marBottom w:val="0"/>
          <w:divBdr>
            <w:top w:val="none" w:sz="0" w:space="0" w:color="auto"/>
            <w:left w:val="none" w:sz="0" w:space="0" w:color="auto"/>
            <w:bottom w:val="none" w:sz="0" w:space="0" w:color="auto"/>
            <w:right w:val="none" w:sz="0" w:space="0" w:color="auto"/>
          </w:divBdr>
          <w:divsChild>
            <w:div w:id="806706729">
              <w:marLeft w:val="0"/>
              <w:marRight w:val="0"/>
              <w:marTop w:val="0"/>
              <w:marBottom w:val="0"/>
              <w:divBdr>
                <w:top w:val="none" w:sz="0" w:space="0" w:color="auto"/>
                <w:left w:val="none" w:sz="0" w:space="0" w:color="auto"/>
                <w:bottom w:val="none" w:sz="0" w:space="0" w:color="auto"/>
                <w:right w:val="none" w:sz="0" w:space="0" w:color="auto"/>
              </w:divBdr>
            </w:div>
            <w:div w:id="1935743756">
              <w:marLeft w:val="0"/>
              <w:marRight w:val="0"/>
              <w:marTop w:val="0"/>
              <w:marBottom w:val="0"/>
              <w:divBdr>
                <w:top w:val="none" w:sz="0" w:space="0" w:color="auto"/>
                <w:left w:val="none" w:sz="0" w:space="0" w:color="auto"/>
                <w:bottom w:val="none" w:sz="0" w:space="0" w:color="auto"/>
                <w:right w:val="none" w:sz="0" w:space="0" w:color="auto"/>
              </w:divBdr>
            </w:div>
          </w:divsChild>
        </w:div>
        <w:div w:id="559247812">
          <w:marLeft w:val="0"/>
          <w:marRight w:val="0"/>
          <w:marTop w:val="0"/>
          <w:marBottom w:val="0"/>
          <w:divBdr>
            <w:top w:val="none" w:sz="0" w:space="0" w:color="auto"/>
            <w:left w:val="none" w:sz="0" w:space="0" w:color="auto"/>
            <w:bottom w:val="none" w:sz="0" w:space="0" w:color="auto"/>
            <w:right w:val="none" w:sz="0" w:space="0" w:color="auto"/>
          </w:divBdr>
          <w:divsChild>
            <w:div w:id="1781533163">
              <w:marLeft w:val="0"/>
              <w:marRight w:val="0"/>
              <w:marTop w:val="0"/>
              <w:marBottom w:val="0"/>
              <w:divBdr>
                <w:top w:val="none" w:sz="0" w:space="0" w:color="auto"/>
                <w:left w:val="none" w:sz="0" w:space="0" w:color="auto"/>
                <w:bottom w:val="none" w:sz="0" w:space="0" w:color="auto"/>
                <w:right w:val="none" w:sz="0" w:space="0" w:color="auto"/>
              </w:divBdr>
            </w:div>
            <w:div w:id="1811822533">
              <w:marLeft w:val="0"/>
              <w:marRight w:val="0"/>
              <w:marTop w:val="0"/>
              <w:marBottom w:val="0"/>
              <w:divBdr>
                <w:top w:val="none" w:sz="0" w:space="0" w:color="auto"/>
                <w:left w:val="none" w:sz="0" w:space="0" w:color="auto"/>
                <w:bottom w:val="none" w:sz="0" w:space="0" w:color="auto"/>
                <w:right w:val="none" w:sz="0" w:space="0" w:color="auto"/>
              </w:divBdr>
            </w:div>
            <w:div w:id="1957518378">
              <w:marLeft w:val="0"/>
              <w:marRight w:val="0"/>
              <w:marTop w:val="0"/>
              <w:marBottom w:val="0"/>
              <w:divBdr>
                <w:top w:val="none" w:sz="0" w:space="0" w:color="auto"/>
                <w:left w:val="none" w:sz="0" w:space="0" w:color="auto"/>
                <w:bottom w:val="none" w:sz="0" w:space="0" w:color="auto"/>
                <w:right w:val="none" w:sz="0" w:space="0" w:color="auto"/>
              </w:divBdr>
            </w:div>
          </w:divsChild>
        </w:div>
        <w:div w:id="599067200">
          <w:marLeft w:val="0"/>
          <w:marRight w:val="0"/>
          <w:marTop w:val="0"/>
          <w:marBottom w:val="0"/>
          <w:divBdr>
            <w:top w:val="none" w:sz="0" w:space="0" w:color="auto"/>
            <w:left w:val="none" w:sz="0" w:space="0" w:color="auto"/>
            <w:bottom w:val="none" w:sz="0" w:space="0" w:color="auto"/>
            <w:right w:val="none" w:sz="0" w:space="0" w:color="auto"/>
          </w:divBdr>
          <w:divsChild>
            <w:div w:id="131945245">
              <w:marLeft w:val="0"/>
              <w:marRight w:val="0"/>
              <w:marTop w:val="0"/>
              <w:marBottom w:val="0"/>
              <w:divBdr>
                <w:top w:val="none" w:sz="0" w:space="0" w:color="auto"/>
                <w:left w:val="none" w:sz="0" w:space="0" w:color="auto"/>
                <w:bottom w:val="none" w:sz="0" w:space="0" w:color="auto"/>
                <w:right w:val="none" w:sz="0" w:space="0" w:color="auto"/>
              </w:divBdr>
            </w:div>
            <w:div w:id="2065567198">
              <w:marLeft w:val="0"/>
              <w:marRight w:val="0"/>
              <w:marTop w:val="0"/>
              <w:marBottom w:val="0"/>
              <w:divBdr>
                <w:top w:val="none" w:sz="0" w:space="0" w:color="auto"/>
                <w:left w:val="none" w:sz="0" w:space="0" w:color="auto"/>
                <w:bottom w:val="none" w:sz="0" w:space="0" w:color="auto"/>
                <w:right w:val="none" w:sz="0" w:space="0" w:color="auto"/>
              </w:divBdr>
            </w:div>
          </w:divsChild>
        </w:div>
        <w:div w:id="615409118">
          <w:marLeft w:val="0"/>
          <w:marRight w:val="0"/>
          <w:marTop w:val="0"/>
          <w:marBottom w:val="0"/>
          <w:divBdr>
            <w:top w:val="none" w:sz="0" w:space="0" w:color="auto"/>
            <w:left w:val="none" w:sz="0" w:space="0" w:color="auto"/>
            <w:bottom w:val="none" w:sz="0" w:space="0" w:color="auto"/>
            <w:right w:val="none" w:sz="0" w:space="0" w:color="auto"/>
          </w:divBdr>
          <w:divsChild>
            <w:div w:id="1158424930">
              <w:marLeft w:val="0"/>
              <w:marRight w:val="0"/>
              <w:marTop w:val="0"/>
              <w:marBottom w:val="0"/>
              <w:divBdr>
                <w:top w:val="none" w:sz="0" w:space="0" w:color="auto"/>
                <w:left w:val="none" w:sz="0" w:space="0" w:color="auto"/>
                <w:bottom w:val="none" w:sz="0" w:space="0" w:color="auto"/>
                <w:right w:val="none" w:sz="0" w:space="0" w:color="auto"/>
              </w:divBdr>
            </w:div>
          </w:divsChild>
        </w:div>
        <w:div w:id="624895419">
          <w:marLeft w:val="0"/>
          <w:marRight w:val="0"/>
          <w:marTop w:val="0"/>
          <w:marBottom w:val="0"/>
          <w:divBdr>
            <w:top w:val="none" w:sz="0" w:space="0" w:color="auto"/>
            <w:left w:val="none" w:sz="0" w:space="0" w:color="auto"/>
            <w:bottom w:val="none" w:sz="0" w:space="0" w:color="auto"/>
            <w:right w:val="none" w:sz="0" w:space="0" w:color="auto"/>
          </w:divBdr>
          <w:divsChild>
            <w:div w:id="127209368">
              <w:marLeft w:val="0"/>
              <w:marRight w:val="0"/>
              <w:marTop w:val="0"/>
              <w:marBottom w:val="0"/>
              <w:divBdr>
                <w:top w:val="none" w:sz="0" w:space="0" w:color="auto"/>
                <w:left w:val="none" w:sz="0" w:space="0" w:color="auto"/>
                <w:bottom w:val="none" w:sz="0" w:space="0" w:color="auto"/>
                <w:right w:val="none" w:sz="0" w:space="0" w:color="auto"/>
              </w:divBdr>
            </w:div>
            <w:div w:id="282734313">
              <w:marLeft w:val="0"/>
              <w:marRight w:val="0"/>
              <w:marTop w:val="0"/>
              <w:marBottom w:val="0"/>
              <w:divBdr>
                <w:top w:val="none" w:sz="0" w:space="0" w:color="auto"/>
                <w:left w:val="none" w:sz="0" w:space="0" w:color="auto"/>
                <w:bottom w:val="none" w:sz="0" w:space="0" w:color="auto"/>
                <w:right w:val="none" w:sz="0" w:space="0" w:color="auto"/>
              </w:divBdr>
            </w:div>
            <w:div w:id="1409503481">
              <w:marLeft w:val="0"/>
              <w:marRight w:val="0"/>
              <w:marTop w:val="0"/>
              <w:marBottom w:val="0"/>
              <w:divBdr>
                <w:top w:val="none" w:sz="0" w:space="0" w:color="auto"/>
                <w:left w:val="none" w:sz="0" w:space="0" w:color="auto"/>
                <w:bottom w:val="none" w:sz="0" w:space="0" w:color="auto"/>
                <w:right w:val="none" w:sz="0" w:space="0" w:color="auto"/>
              </w:divBdr>
            </w:div>
          </w:divsChild>
        </w:div>
        <w:div w:id="640383798">
          <w:marLeft w:val="0"/>
          <w:marRight w:val="0"/>
          <w:marTop w:val="0"/>
          <w:marBottom w:val="0"/>
          <w:divBdr>
            <w:top w:val="none" w:sz="0" w:space="0" w:color="auto"/>
            <w:left w:val="none" w:sz="0" w:space="0" w:color="auto"/>
            <w:bottom w:val="none" w:sz="0" w:space="0" w:color="auto"/>
            <w:right w:val="none" w:sz="0" w:space="0" w:color="auto"/>
          </w:divBdr>
          <w:divsChild>
            <w:div w:id="475681302">
              <w:marLeft w:val="0"/>
              <w:marRight w:val="0"/>
              <w:marTop w:val="0"/>
              <w:marBottom w:val="0"/>
              <w:divBdr>
                <w:top w:val="none" w:sz="0" w:space="0" w:color="auto"/>
                <w:left w:val="none" w:sz="0" w:space="0" w:color="auto"/>
                <w:bottom w:val="none" w:sz="0" w:space="0" w:color="auto"/>
                <w:right w:val="none" w:sz="0" w:space="0" w:color="auto"/>
              </w:divBdr>
            </w:div>
            <w:div w:id="1298293424">
              <w:marLeft w:val="0"/>
              <w:marRight w:val="0"/>
              <w:marTop w:val="0"/>
              <w:marBottom w:val="0"/>
              <w:divBdr>
                <w:top w:val="none" w:sz="0" w:space="0" w:color="auto"/>
                <w:left w:val="none" w:sz="0" w:space="0" w:color="auto"/>
                <w:bottom w:val="none" w:sz="0" w:space="0" w:color="auto"/>
                <w:right w:val="none" w:sz="0" w:space="0" w:color="auto"/>
              </w:divBdr>
            </w:div>
          </w:divsChild>
        </w:div>
        <w:div w:id="662005420">
          <w:marLeft w:val="0"/>
          <w:marRight w:val="0"/>
          <w:marTop w:val="0"/>
          <w:marBottom w:val="0"/>
          <w:divBdr>
            <w:top w:val="none" w:sz="0" w:space="0" w:color="auto"/>
            <w:left w:val="none" w:sz="0" w:space="0" w:color="auto"/>
            <w:bottom w:val="none" w:sz="0" w:space="0" w:color="auto"/>
            <w:right w:val="none" w:sz="0" w:space="0" w:color="auto"/>
          </w:divBdr>
          <w:divsChild>
            <w:div w:id="815800019">
              <w:marLeft w:val="0"/>
              <w:marRight w:val="0"/>
              <w:marTop w:val="0"/>
              <w:marBottom w:val="0"/>
              <w:divBdr>
                <w:top w:val="none" w:sz="0" w:space="0" w:color="auto"/>
                <w:left w:val="none" w:sz="0" w:space="0" w:color="auto"/>
                <w:bottom w:val="none" w:sz="0" w:space="0" w:color="auto"/>
                <w:right w:val="none" w:sz="0" w:space="0" w:color="auto"/>
              </w:divBdr>
            </w:div>
          </w:divsChild>
        </w:div>
        <w:div w:id="662657750">
          <w:marLeft w:val="0"/>
          <w:marRight w:val="0"/>
          <w:marTop w:val="0"/>
          <w:marBottom w:val="0"/>
          <w:divBdr>
            <w:top w:val="none" w:sz="0" w:space="0" w:color="auto"/>
            <w:left w:val="none" w:sz="0" w:space="0" w:color="auto"/>
            <w:bottom w:val="none" w:sz="0" w:space="0" w:color="auto"/>
            <w:right w:val="none" w:sz="0" w:space="0" w:color="auto"/>
          </w:divBdr>
          <w:divsChild>
            <w:div w:id="1658261860">
              <w:marLeft w:val="0"/>
              <w:marRight w:val="0"/>
              <w:marTop w:val="0"/>
              <w:marBottom w:val="0"/>
              <w:divBdr>
                <w:top w:val="none" w:sz="0" w:space="0" w:color="auto"/>
                <w:left w:val="none" w:sz="0" w:space="0" w:color="auto"/>
                <w:bottom w:val="none" w:sz="0" w:space="0" w:color="auto"/>
                <w:right w:val="none" w:sz="0" w:space="0" w:color="auto"/>
              </w:divBdr>
            </w:div>
          </w:divsChild>
        </w:div>
        <w:div w:id="700014898">
          <w:marLeft w:val="0"/>
          <w:marRight w:val="0"/>
          <w:marTop w:val="0"/>
          <w:marBottom w:val="0"/>
          <w:divBdr>
            <w:top w:val="none" w:sz="0" w:space="0" w:color="auto"/>
            <w:left w:val="none" w:sz="0" w:space="0" w:color="auto"/>
            <w:bottom w:val="none" w:sz="0" w:space="0" w:color="auto"/>
            <w:right w:val="none" w:sz="0" w:space="0" w:color="auto"/>
          </w:divBdr>
          <w:divsChild>
            <w:div w:id="930047520">
              <w:marLeft w:val="0"/>
              <w:marRight w:val="0"/>
              <w:marTop w:val="0"/>
              <w:marBottom w:val="0"/>
              <w:divBdr>
                <w:top w:val="none" w:sz="0" w:space="0" w:color="auto"/>
                <w:left w:val="none" w:sz="0" w:space="0" w:color="auto"/>
                <w:bottom w:val="none" w:sz="0" w:space="0" w:color="auto"/>
                <w:right w:val="none" w:sz="0" w:space="0" w:color="auto"/>
              </w:divBdr>
            </w:div>
            <w:div w:id="2104959139">
              <w:marLeft w:val="0"/>
              <w:marRight w:val="0"/>
              <w:marTop w:val="0"/>
              <w:marBottom w:val="0"/>
              <w:divBdr>
                <w:top w:val="none" w:sz="0" w:space="0" w:color="auto"/>
                <w:left w:val="none" w:sz="0" w:space="0" w:color="auto"/>
                <w:bottom w:val="none" w:sz="0" w:space="0" w:color="auto"/>
                <w:right w:val="none" w:sz="0" w:space="0" w:color="auto"/>
              </w:divBdr>
            </w:div>
          </w:divsChild>
        </w:div>
        <w:div w:id="707679547">
          <w:marLeft w:val="0"/>
          <w:marRight w:val="0"/>
          <w:marTop w:val="0"/>
          <w:marBottom w:val="0"/>
          <w:divBdr>
            <w:top w:val="none" w:sz="0" w:space="0" w:color="auto"/>
            <w:left w:val="none" w:sz="0" w:space="0" w:color="auto"/>
            <w:bottom w:val="none" w:sz="0" w:space="0" w:color="auto"/>
            <w:right w:val="none" w:sz="0" w:space="0" w:color="auto"/>
          </w:divBdr>
          <w:divsChild>
            <w:div w:id="926814477">
              <w:marLeft w:val="0"/>
              <w:marRight w:val="0"/>
              <w:marTop w:val="0"/>
              <w:marBottom w:val="0"/>
              <w:divBdr>
                <w:top w:val="none" w:sz="0" w:space="0" w:color="auto"/>
                <w:left w:val="none" w:sz="0" w:space="0" w:color="auto"/>
                <w:bottom w:val="none" w:sz="0" w:space="0" w:color="auto"/>
                <w:right w:val="none" w:sz="0" w:space="0" w:color="auto"/>
              </w:divBdr>
            </w:div>
          </w:divsChild>
        </w:div>
        <w:div w:id="712584790">
          <w:marLeft w:val="0"/>
          <w:marRight w:val="0"/>
          <w:marTop w:val="0"/>
          <w:marBottom w:val="0"/>
          <w:divBdr>
            <w:top w:val="none" w:sz="0" w:space="0" w:color="auto"/>
            <w:left w:val="none" w:sz="0" w:space="0" w:color="auto"/>
            <w:bottom w:val="none" w:sz="0" w:space="0" w:color="auto"/>
            <w:right w:val="none" w:sz="0" w:space="0" w:color="auto"/>
          </w:divBdr>
          <w:divsChild>
            <w:div w:id="83259803">
              <w:marLeft w:val="0"/>
              <w:marRight w:val="0"/>
              <w:marTop w:val="0"/>
              <w:marBottom w:val="0"/>
              <w:divBdr>
                <w:top w:val="none" w:sz="0" w:space="0" w:color="auto"/>
                <w:left w:val="none" w:sz="0" w:space="0" w:color="auto"/>
                <w:bottom w:val="none" w:sz="0" w:space="0" w:color="auto"/>
                <w:right w:val="none" w:sz="0" w:space="0" w:color="auto"/>
              </w:divBdr>
            </w:div>
            <w:div w:id="2005664335">
              <w:marLeft w:val="0"/>
              <w:marRight w:val="0"/>
              <w:marTop w:val="0"/>
              <w:marBottom w:val="0"/>
              <w:divBdr>
                <w:top w:val="none" w:sz="0" w:space="0" w:color="auto"/>
                <w:left w:val="none" w:sz="0" w:space="0" w:color="auto"/>
                <w:bottom w:val="none" w:sz="0" w:space="0" w:color="auto"/>
                <w:right w:val="none" w:sz="0" w:space="0" w:color="auto"/>
              </w:divBdr>
            </w:div>
          </w:divsChild>
        </w:div>
        <w:div w:id="741218726">
          <w:marLeft w:val="0"/>
          <w:marRight w:val="0"/>
          <w:marTop w:val="0"/>
          <w:marBottom w:val="0"/>
          <w:divBdr>
            <w:top w:val="none" w:sz="0" w:space="0" w:color="auto"/>
            <w:left w:val="none" w:sz="0" w:space="0" w:color="auto"/>
            <w:bottom w:val="none" w:sz="0" w:space="0" w:color="auto"/>
            <w:right w:val="none" w:sz="0" w:space="0" w:color="auto"/>
          </w:divBdr>
          <w:divsChild>
            <w:div w:id="2021277338">
              <w:marLeft w:val="0"/>
              <w:marRight w:val="0"/>
              <w:marTop w:val="0"/>
              <w:marBottom w:val="0"/>
              <w:divBdr>
                <w:top w:val="none" w:sz="0" w:space="0" w:color="auto"/>
                <w:left w:val="none" w:sz="0" w:space="0" w:color="auto"/>
                <w:bottom w:val="none" w:sz="0" w:space="0" w:color="auto"/>
                <w:right w:val="none" w:sz="0" w:space="0" w:color="auto"/>
              </w:divBdr>
            </w:div>
          </w:divsChild>
        </w:div>
        <w:div w:id="742334275">
          <w:marLeft w:val="0"/>
          <w:marRight w:val="0"/>
          <w:marTop w:val="0"/>
          <w:marBottom w:val="0"/>
          <w:divBdr>
            <w:top w:val="none" w:sz="0" w:space="0" w:color="auto"/>
            <w:left w:val="none" w:sz="0" w:space="0" w:color="auto"/>
            <w:bottom w:val="none" w:sz="0" w:space="0" w:color="auto"/>
            <w:right w:val="none" w:sz="0" w:space="0" w:color="auto"/>
          </w:divBdr>
          <w:divsChild>
            <w:div w:id="151918274">
              <w:marLeft w:val="0"/>
              <w:marRight w:val="0"/>
              <w:marTop w:val="0"/>
              <w:marBottom w:val="0"/>
              <w:divBdr>
                <w:top w:val="none" w:sz="0" w:space="0" w:color="auto"/>
                <w:left w:val="none" w:sz="0" w:space="0" w:color="auto"/>
                <w:bottom w:val="none" w:sz="0" w:space="0" w:color="auto"/>
                <w:right w:val="none" w:sz="0" w:space="0" w:color="auto"/>
              </w:divBdr>
            </w:div>
            <w:div w:id="1759520557">
              <w:marLeft w:val="0"/>
              <w:marRight w:val="0"/>
              <w:marTop w:val="0"/>
              <w:marBottom w:val="0"/>
              <w:divBdr>
                <w:top w:val="none" w:sz="0" w:space="0" w:color="auto"/>
                <w:left w:val="none" w:sz="0" w:space="0" w:color="auto"/>
                <w:bottom w:val="none" w:sz="0" w:space="0" w:color="auto"/>
                <w:right w:val="none" w:sz="0" w:space="0" w:color="auto"/>
              </w:divBdr>
            </w:div>
          </w:divsChild>
        </w:div>
        <w:div w:id="762724941">
          <w:marLeft w:val="0"/>
          <w:marRight w:val="0"/>
          <w:marTop w:val="0"/>
          <w:marBottom w:val="0"/>
          <w:divBdr>
            <w:top w:val="none" w:sz="0" w:space="0" w:color="auto"/>
            <w:left w:val="none" w:sz="0" w:space="0" w:color="auto"/>
            <w:bottom w:val="none" w:sz="0" w:space="0" w:color="auto"/>
            <w:right w:val="none" w:sz="0" w:space="0" w:color="auto"/>
          </w:divBdr>
          <w:divsChild>
            <w:div w:id="692003457">
              <w:marLeft w:val="0"/>
              <w:marRight w:val="0"/>
              <w:marTop w:val="0"/>
              <w:marBottom w:val="0"/>
              <w:divBdr>
                <w:top w:val="none" w:sz="0" w:space="0" w:color="auto"/>
                <w:left w:val="none" w:sz="0" w:space="0" w:color="auto"/>
                <w:bottom w:val="none" w:sz="0" w:space="0" w:color="auto"/>
                <w:right w:val="none" w:sz="0" w:space="0" w:color="auto"/>
              </w:divBdr>
            </w:div>
            <w:div w:id="1361859849">
              <w:marLeft w:val="0"/>
              <w:marRight w:val="0"/>
              <w:marTop w:val="0"/>
              <w:marBottom w:val="0"/>
              <w:divBdr>
                <w:top w:val="none" w:sz="0" w:space="0" w:color="auto"/>
                <w:left w:val="none" w:sz="0" w:space="0" w:color="auto"/>
                <w:bottom w:val="none" w:sz="0" w:space="0" w:color="auto"/>
                <w:right w:val="none" w:sz="0" w:space="0" w:color="auto"/>
              </w:divBdr>
            </w:div>
            <w:div w:id="1562711086">
              <w:marLeft w:val="0"/>
              <w:marRight w:val="0"/>
              <w:marTop w:val="0"/>
              <w:marBottom w:val="0"/>
              <w:divBdr>
                <w:top w:val="none" w:sz="0" w:space="0" w:color="auto"/>
                <w:left w:val="none" w:sz="0" w:space="0" w:color="auto"/>
                <w:bottom w:val="none" w:sz="0" w:space="0" w:color="auto"/>
                <w:right w:val="none" w:sz="0" w:space="0" w:color="auto"/>
              </w:divBdr>
            </w:div>
          </w:divsChild>
        </w:div>
        <w:div w:id="766732119">
          <w:marLeft w:val="0"/>
          <w:marRight w:val="0"/>
          <w:marTop w:val="0"/>
          <w:marBottom w:val="0"/>
          <w:divBdr>
            <w:top w:val="none" w:sz="0" w:space="0" w:color="auto"/>
            <w:left w:val="none" w:sz="0" w:space="0" w:color="auto"/>
            <w:bottom w:val="none" w:sz="0" w:space="0" w:color="auto"/>
            <w:right w:val="none" w:sz="0" w:space="0" w:color="auto"/>
          </w:divBdr>
          <w:divsChild>
            <w:div w:id="335957055">
              <w:marLeft w:val="0"/>
              <w:marRight w:val="0"/>
              <w:marTop w:val="0"/>
              <w:marBottom w:val="0"/>
              <w:divBdr>
                <w:top w:val="none" w:sz="0" w:space="0" w:color="auto"/>
                <w:left w:val="none" w:sz="0" w:space="0" w:color="auto"/>
                <w:bottom w:val="none" w:sz="0" w:space="0" w:color="auto"/>
                <w:right w:val="none" w:sz="0" w:space="0" w:color="auto"/>
              </w:divBdr>
            </w:div>
            <w:div w:id="1844392140">
              <w:marLeft w:val="0"/>
              <w:marRight w:val="0"/>
              <w:marTop w:val="0"/>
              <w:marBottom w:val="0"/>
              <w:divBdr>
                <w:top w:val="none" w:sz="0" w:space="0" w:color="auto"/>
                <w:left w:val="none" w:sz="0" w:space="0" w:color="auto"/>
                <w:bottom w:val="none" w:sz="0" w:space="0" w:color="auto"/>
                <w:right w:val="none" w:sz="0" w:space="0" w:color="auto"/>
              </w:divBdr>
            </w:div>
          </w:divsChild>
        </w:div>
        <w:div w:id="786698639">
          <w:marLeft w:val="0"/>
          <w:marRight w:val="0"/>
          <w:marTop w:val="0"/>
          <w:marBottom w:val="0"/>
          <w:divBdr>
            <w:top w:val="none" w:sz="0" w:space="0" w:color="auto"/>
            <w:left w:val="none" w:sz="0" w:space="0" w:color="auto"/>
            <w:bottom w:val="none" w:sz="0" w:space="0" w:color="auto"/>
            <w:right w:val="none" w:sz="0" w:space="0" w:color="auto"/>
          </w:divBdr>
          <w:divsChild>
            <w:div w:id="145712420">
              <w:marLeft w:val="0"/>
              <w:marRight w:val="0"/>
              <w:marTop w:val="0"/>
              <w:marBottom w:val="0"/>
              <w:divBdr>
                <w:top w:val="none" w:sz="0" w:space="0" w:color="auto"/>
                <w:left w:val="none" w:sz="0" w:space="0" w:color="auto"/>
                <w:bottom w:val="none" w:sz="0" w:space="0" w:color="auto"/>
                <w:right w:val="none" w:sz="0" w:space="0" w:color="auto"/>
              </w:divBdr>
            </w:div>
          </w:divsChild>
        </w:div>
        <w:div w:id="795487300">
          <w:marLeft w:val="0"/>
          <w:marRight w:val="0"/>
          <w:marTop w:val="0"/>
          <w:marBottom w:val="0"/>
          <w:divBdr>
            <w:top w:val="none" w:sz="0" w:space="0" w:color="auto"/>
            <w:left w:val="none" w:sz="0" w:space="0" w:color="auto"/>
            <w:bottom w:val="none" w:sz="0" w:space="0" w:color="auto"/>
            <w:right w:val="none" w:sz="0" w:space="0" w:color="auto"/>
          </w:divBdr>
          <w:divsChild>
            <w:div w:id="979336717">
              <w:marLeft w:val="0"/>
              <w:marRight w:val="0"/>
              <w:marTop w:val="0"/>
              <w:marBottom w:val="0"/>
              <w:divBdr>
                <w:top w:val="none" w:sz="0" w:space="0" w:color="auto"/>
                <w:left w:val="none" w:sz="0" w:space="0" w:color="auto"/>
                <w:bottom w:val="none" w:sz="0" w:space="0" w:color="auto"/>
                <w:right w:val="none" w:sz="0" w:space="0" w:color="auto"/>
              </w:divBdr>
            </w:div>
            <w:div w:id="1062174296">
              <w:marLeft w:val="0"/>
              <w:marRight w:val="0"/>
              <w:marTop w:val="0"/>
              <w:marBottom w:val="0"/>
              <w:divBdr>
                <w:top w:val="none" w:sz="0" w:space="0" w:color="auto"/>
                <w:left w:val="none" w:sz="0" w:space="0" w:color="auto"/>
                <w:bottom w:val="none" w:sz="0" w:space="0" w:color="auto"/>
                <w:right w:val="none" w:sz="0" w:space="0" w:color="auto"/>
              </w:divBdr>
            </w:div>
            <w:div w:id="1088698394">
              <w:marLeft w:val="0"/>
              <w:marRight w:val="0"/>
              <w:marTop w:val="0"/>
              <w:marBottom w:val="0"/>
              <w:divBdr>
                <w:top w:val="none" w:sz="0" w:space="0" w:color="auto"/>
                <w:left w:val="none" w:sz="0" w:space="0" w:color="auto"/>
                <w:bottom w:val="none" w:sz="0" w:space="0" w:color="auto"/>
                <w:right w:val="none" w:sz="0" w:space="0" w:color="auto"/>
              </w:divBdr>
            </w:div>
            <w:div w:id="1504658882">
              <w:marLeft w:val="0"/>
              <w:marRight w:val="0"/>
              <w:marTop w:val="0"/>
              <w:marBottom w:val="0"/>
              <w:divBdr>
                <w:top w:val="none" w:sz="0" w:space="0" w:color="auto"/>
                <w:left w:val="none" w:sz="0" w:space="0" w:color="auto"/>
                <w:bottom w:val="none" w:sz="0" w:space="0" w:color="auto"/>
                <w:right w:val="none" w:sz="0" w:space="0" w:color="auto"/>
              </w:divBdr>
            </w:div>
            <w:div w:id="1745180991">
              <w:marLeft w:val="0"/>
              <w:marRight w:val="0"/>
              <w:marTop w:val="0"/>
              <w:marBottom w:val="0"/>
              <w:divBdr>
                <w:top w:val="none" w:sz="0" w:space="0" w:color="auto"/>
                <w:left w:val="none" w:sz="0" w:space="0" w:color="auto"/>
                <w:bottom w:val="none" w:sz="0" w:space="0" w:color="auto"/>
                <w:right w:val="none" w:sz="0" w:space="0" w:color="auto"/>
              </w:divBdr>
            </w:div>
            <w:div w:id="1895000150">
              <w:marLeft w:val="0"/>
              <w:marRight w:val="0"/>
              <w:marTop w:val="0"/>
              <w:marBottom w:val="0"/>
              <w:divBdr>
                <w:top w:val="none" w:sz="0" w:space="0" w:color="auto"/>
                <w:left w:val="none" w:sz="0" w:space="0" w:color="auto"/>
                <w:bottom w:val="none" w:sz="0" w:space="0" w:color="auto"/>
                <w:right w:val="none" w:sz="0" w:space="0" w:color="auto"/>
              </w:divBdr>
            </w:div>
          </w:divsChild>
        </w:div>
        <w:div w:id="813596537">
          <w:marLeft w:val="0"/>
          <w:marRight w:val="0"/>
          <w:marTop w:val="0"/>
          <w:marBottom w:val="0"/>
          <w:divBdr>
            <w:top w:val="none" w:sz="0" w:space="0" w:color="auto"/>
            <w:left w:val="none" w:sz="0" w:space="0" w:color="auto"/>
            <w:bottom w:val="none" w:sz="0" w:space="0" w:color="auto"/>
            <w:right w:val="none" w:sz="0" w:space="0" w:color="auto"/>
          </w:divBdr>
          <w:divsChild>
            <w:div w:id="1505514009">
              <w:marLeft w:val="0"/>
              <w:marRight w:val="0"/>
              <w:marTop w:val="0"/>
              <w:marBottom w:val="0"/>
              <w:divBdr>
                <w:top w:val="none" w:sz="0" w:space="0" w:color="auto"/>
                <w:left w:val="none" w:sz="0" w:space="0" w:color="auto"/>
                <w:bottom w:val="none" w:sz="0" w:space="0" w:color="auto"/>
                <w:right w:val="none" w:sz="0" w:space="0" w:color="auto"/>
              </w:divBdr>
            </w:div>
            <w:div w:id="1854417808">
              <w:marLeft w:val="0"/>
              <w:marRight w:val="0"/>
              <w:marTop w:val="0"/>
              <w:marBottom w:val="0"/>
              <w:divBdr>
                <w:top w:val="none" w:sz="0" w:space="0" w:color="auto"/>
                <w:left w:val="none" w:sz="0" w:space="0" w:color="auto"/>
                <w:bottom w:val="none" w:sz="0" w:space="0" w:color="auto"/>
                <w:right w:val="none" w:sz="0" w:space="0" w:color="auto"/>
              </w:divBdr>
            </w:div>
          </w:divsChild>
        </w:div>
        <w:div w:id="819808221">
          <w:marLeft w:val="0"/>
          <w:marRight w:val="0"/>
          <w:marTop w:val="0"/>
          <w:marBottom w:val="0"/>
          <w:divBdr>
            <w:top w:val="none" w:sz="0" w:space="0" w:color="auto"/>
            <w:left w:val="none" w:sz="0" w:space="0" w:color="auto"/>
            <w:bottom w:val="none" w:sz="0" w:space="0" w:color="auto"/>
            <w:right w:val="none" w:sz="0" w:space="0" w:color="auto"/>
          </w:divBdr>
          <w:divsChild>
            <w:div w:id="90442514">
              <w:marLeft w:val="0"/>
              <w:marRight w:val="0"/>
              <w:marTop w:val="0"/>
              <w:marBottom w:val="0"/>
              <w:divBdr>
                <w:top w:val="none" w:sz="0" w:space="0" w:color="auto"/>
                <w:left w:val="none" w:sz="0" w:space="0" w:color="auto"/>
                <w:bottom w:val="none" w:sz="0" w:space="0" w:color="auto"/>
                <w:right w:val="none" w:sz="0" w:space="0" w:color="auto"/>
              </w:divBdr>
            </w:div>
          </w:divsChild>
        </w:div>
        <w:div w:id="830874784">
          <w:marLeft w:val="0"/>
          <w:marRight w:val="0"/>
          <w:marTop w:val="0"/>
          <w:marBottom w:val="0"/>
          <w:divBdr>
            <w:top w:val="none" w:sz="0" w:space="0" w:color="auto"/>
            <w:left w:val="none" w:sz="0" w:space="0" w:color="auto"/>
            <w:bottom w:val="none" w:sz="0" w:space="0" w:color="auto"/>
            <w:right w:val="none" w:sz="0" w:space="0" w:color="auto"/>
          </w:divBdr>
          <w:divsChild>
            <w:div w:id="171191143">
              <w:marLeft w:val="0"/>
              <w:marRight w:val="0"/>
              <w:marTop w:val="0"/>
              <w:marBottom w:val="0"/>
              <w:divBdr>
                <w:top w:val="none" w:sz="0" w:space="0" w:color="auto"/>
                <w:left w:val="none" w:sz="0" w:space="0" w:color="auto"/>
                <w:bottom w:val="none" w:sz="0" w:space="0" w:color="auto"/>
                <w:right w:val="none" w:sz="0" w:space="0" w:color="auto"/>
              </w:divBdr>
            </w:div>
          </w:divsChild>
        </w:div>
        <w:div w:id="836194006">
          <w:marLeft w:val="0"/>
          <w:marRight w:val="0"/>
          <w:marTop w:val="0"/>
          <w:marBottom w:val="0"/>
          <w:divBdr>
            <w:top w:val="none" w:sz="0" w:space="0" w:color="auto"/>
            <w:left w:val="none" w:sz="0" w:space="0" w:color="auto"/>
            <w:bottom w:val="none" w:sz="0" w:space="0" w:color="auto"/>
            <w:right w:val="none" w:sz="0" w:space="0" w:color="auto"/>
          </w:divBdr>
          <w:divsChild>
            <w:div w:id="1251699023">
              <w:marLeft w:val="0"/>
              <w:marRight w:val="0"/>
              <w:marTop w:val="0"/>
              <w:marBottom w:val="0"/>
              <w:divBdr>
                <w:top w:val="none" w:sz="0" w:space="0" w:color="auto"/>
                <w:left w:val="none" w:sz="0" w:space="0" w:color="auto"/>
                <w:bottom w:val="none" w:sz="0" w:space="0" w:color="auto"/>
                <w:right w:val="none" w:sz="0" w:space="0" w:color="auto"/>
              </w:divBdr>
            </w:div>
          </w:divsChild>
        </w:div>
        <w:div w:id="859319472">
          <w:marLeft w:val="0"/>
          <w:marRight w:val="0"/>
          <w:marTop w:val="0"/>
          <w:marBottom w:val="0"/>
          <w:divBdr>
            <w:top w:val="none" w:sz="0" w:space="0" w:color="auto"/>
            <w:left w:val="none" w:sz="0" w:space="0" w:color="auto"/>
            <w:bottom w:val="none" w:sz="0" w:space="0" w:color="auto"/>
            <w:right w:val="none" w:sz="0" w:space="0" w:color="auto"/>
          </w:divBdr>
          <w:divsChild>
            <w:div w:id="562067165">
              <w:marLeft w:val="0"/>
              <w:marRight w:val="0"/>
              <w:marTop w:val="0"/>
              <w:marBottom w:val="0"/>
              <w:divBdr>
                <w:top w:val="none" w:sz="0" w:space="0" w:color="auto"/>
                <w:left w:val="none" w:sz="0" w:space="0" w:color="auto"/>
                <w:bottom w:val="none" w:sz="0" w:space="0" w:color="auto"/>
                <w:right w:val="none" w:sz="0" w:space="0" w:color="auto"/>
              </w:divBdr>
            </w:div>
          </w:divsChild>
        </w:div>
        <w:div w:id="909969291">
          <w:marLeft w:val="0"/>
          <w:marRight w:val="0"/>
          <w:marTop w:val="0"/>
          <w:marBottom w:val="0"/>
          <w:divBdr>
            <w:top w:val="none" w:sz="0" w:space="0" w:color="auto"/>
            <w:left w:val="none" w:sz="0" w:space="0" w:color="auto"/>
            <w:bottom w:val="none" w:sz="0" w:space="0" w:color="auto"/>
            <w:right w:val="none" w:sz="0" w:space="0" w:color="auto"/>
          </w:divBdr>
          <w:divsChild>
            <w:div w:id="484663955">
              <w:marLeft w:val="0"/>
              <w:marRight w:val="0"/>
              <w:marTop w:val="0"/>
              <w:marBottom w:val="0"/>
              <w:divBdr>
                <w:top w:val="none" w:sz="0" w:space="0" w:color="auto"/>
                <w:left w:val="none" w:sz="0" w:space="0" w:color="auto"/>
                <w:bottom w:val="none" w:sz="0" w:space="0" w:color="auto"/>
                <w:right w:val="none" w:sz="0" w:space="0" w:color="auto"/>
              </w:divBdr>
            </w:div>
            <w:div w:id="1451168190">
              <w:marLeft w:val="0"/>
              <w:marRight w:val="0"/>
              <w:marTop w:val="0"/>
              <w:marBottom w:val="0"/>
              <w:divBdr>
                <w:top w:val="none" w:sz="0" w:space="0" w:color="auto"/>
                <w:left w:val="none" w:sz="0" w:space="0" w:color="auto"/>
                <w:bottom w:val="none" w:sz="0" w:space="0" w:color="auto"/>
                <w:right w:val="none" w:sz="0" w:space="0" w:color="auto"/>
              </w:divBdr>
            </w:div>
          </w:divsChild>
        </w:div>
        <w:div w:id="973675804">
          <w:marLeft w:val="0"/>
          <w:marRight w:val="0"/>
          <w:marTop w:val="0"/>
          <w:marBottom w:val="0"/>
          <w:divBdr>
            <w:top w:val="none" w:sz="0" w:space="0" w:color="auto"/>
            <w:left w:val="none" w:sz="0" w:space="0" w:color="auto"/>
            <w:bottom w:val="none" w:sz="0" w:space="0" w:color="auto"/>
            <w:right w:val="none" w:sz="0" w:space="0" w:color="auto"/>
          </w:divBdr>
          <w:divsChild>
            <w:div w:id="715860833">
              <w:marLeft w:val="0"/>
              <w:marRight w:val="0"/>
              <w:marTop w:val="0"/>
              <w:marBottom w:val="0"/>
              <w:divBdr>
                <w:top w:val="none" w:sz="0" w:space="0" w:color="auto"/>
                <w:left w:val="none" w:sz="0" w:space="0" w:color="auto"/>
                <w:bottom w:val="none" w:sz="0" w:space="0" w:color="auto"/>
                <w:right w:val="none" w:sz="0" w:space="0" w:color="auto"/>
              </w:divBdr>
            </w:div>
            <w:div w:id="941456923">
              <w:marLeft w:val="0"/>
              <w:marRight w:val="0"/>
              <w:marTop w:val="0"/>
              <w:marBottom w:val="0"/>
              <w:divBdr>
                <w:top w:val="none" w:sz="0" w:space="0" w:color="auto"/>
                <w:left w:val="none" w:sz="0" w:space="0" w:color="auto"/>
                <w:bottom w:val="none" w:sz="0" w:space="0" w:color="auto"/>
                <w:right w:val="none" w:sz="0" w:space="0" w:color="auto"/>
              </w:divBdr>
            </w:div>
            <w:div w:id="1338728380">
              <w:marLeft w:val="0"/>
              <w:marRight w:val="0"/>
              <w:marTop w:val="0"/>
              <w:marBottom w:val="0"/>
              <w:divBdr>
                <w:top w:val="none" w:sz="0" w:space="0" w:color="auto"/>
                <w:left w:val="none" w:sz="0" w:space="0" w:color="auto"/>
                <w:bottom w:val="none" w:sz="0" w:space="0" w:color="auto"/>
                <w:right w:val="none" w:sz="0" w:space="0" w:color="auto"/>
              </w:divBdr>
            </w:div>
            <w:div w:id="1381437612">
              <w:marLeft w:val="0"/>
              <w:marRight w:val="0"/>
              <w:marTop w:val="0"/>
              <w:marBottom w:val="0"/>
              <w:divBdr>
                <w:top w:val="none" w:sz="0" w:space="0" w:color="auto"/>
                <w:left w:val="none" w:sz="0" w:space="0" w:color="auto"/>
                <w:bottom w:val="none" w:sz="0" w:space="0" w:color="auto"/>
                <w:right w:val="none" w:sz="0" w:space="0" w:color="auto"/>
              </w:divBdr>
            </w:div>
            <w:div w:id="1850481420">
              <w:marLeft w:val="0"/>
              <w:marRight w:val="0"/>
              <w:marTop w:val="0"/>
              <w:marBottom w:val="0"/>
              <w:divBdr>
                <w:top w:val="none" w:sz="0" w:space="0" w:color="auto"/>
                <w:left w:val="none" w:sz="0" w:space="0" w:color="auto"/>
                <w:bottom w:val="none" w:sz="0" w:space="0" w:color="auto"/>
                <w:right w:val="none" w:sz="0" w:space="0" w:color="auto"/>
              </w:divBdr>
            </w:div>
          </w:divsChild>
        </w:div>
        <w:div w:id="1034770052">
          <w:marLeft w:val="0"/>
          <w:marRight w:val="0"/>
          <w:marTop w:val="0"/>
          <w:marBottom w:val="0"/>
          <w:divBdr>
            <w:top w:val="none" w:sz="0" w:space="0" w:color="auto"/>
            <w:left w:val="none" w:sz="0" w:space="0" w:color="auto"/>
            <w:bottom w:val="none" w:sz="0" w:space="0" w:color="auto"/>
            <w:right w:val="none" w:sz="0" w:space="0" w:color="auto"/>
          </w:divBdr>
          <w:divsChild>
            <w:div w:id="597179975">
              <w:marLeft w:val="0"/>
              <w:marRight w:val="0"/>
              <w:marTop w:val="0"/>
              <w:marBottom w:val="0"/>
              <w:divBdr>
                <w:top w:val="none" w:sz="0" w:space="0" w:color="auto"/>
                <w:left w:val="none" w:sz="0" w:space="0" w:color="auto"/>
                <w:bottom w:val="none" w:sz="0" w:space="0" w:color="auto"/>
                <w:right w:val="none" w:sz="0" w:space="0" w:color="auto"/>
              </w:divBdr>
            </w:div>
            <w:div w:id="972832626">
              <w:marLeft w:val="0"/>
              <w:marRight w:val="0"/>
              <w:marTop w:val="0"/>
              <w:marBottom w:val="0"/>
              <w:divBdr>
                <w:top w:val="none" w:sz="0" w:space="0" w:color="auto"/>
                <w:left w:val="none" w:sz="0" w:space="0" w:color="auto"/>
                <w:bottom w:val="none" w:sz="0" w:space="0" w:color="auto"/>
                <w:right w:val="none" w:sz="0" w:space="0" w:color="auto"/>
              </w:divBdr>
            </w:div>
          </w:divsChild>
        </w:div>
        <w:div w:id="1056703354">
          <w:marLeft w:val="0"/>
          <w:marRight w:val="0"/>
          <w:marTop w:val="0"/>
          <w:marBottom w:val="0"/>
          <w:divBdr>
            <w:top w:val="none" w:sz="0" w:space="0" w:color="auto"/>
            <w:left w:val="none" w:sz="0" w:space="0" w:color="auto"/>
            <w:bottom w:val="none" w:sz="0" w:space="0" w:color="auto"/>
            <w:right w:val="none" w:sz="0" w:space="0" w:color="auto"/>
          </w:divBdr>
          <w:divsChild>
            <w:div w:id="94375201">
              <w:marLeft w:val="0"/>
              <w:marRight w:val="0"/>
              <w:marTop w:val="0"/>
              <w:marBottom w:val="0"/>
              <w:divBdr>
                <w:top w:val="none" w:sz="0" w:space="0" w:color="auto"/>
                <w:left w:val="none" w:sz="0" w:space="0" w:color="auto"/>
                <w:bottom w:val="none" w:sz="0" w:space="0" w:color="auto"/>
                <w:right w:val="none" w:sz="0" w:space="0" w:color="auto"/>
              </w:divBdr>
            </w:div>
          </w:divsChild>
        </w:div>
        <w:div w:id="1096559035">
          <w:marLeft w:val="0"/>
          <w:marRight w:val="0"/>
          <w:marTop w:val="0"/>
          <w:marBottom w:val="0"/>
          <w:divBdr>
            <w:top w:val="none" w:sz="0" w:space="0" w:color="auto"/>
            <w:left w:val="none" w:sz="0" w:space="0" w:color="auto"/>
            <w:bottom w:val="none" w:sz="0" w:space="0" w:color="auto"/>
            <w:right w:val="none" w:sz="0" w:space="0" w:color="auto"/>
          </w:divBdr>
          <w:divsChild>
            <w:div w:id="536282485">
              <w:marLeft w:val="0"/>
              <w:marRight w:val="0"/>
              <w:marTop w:val="0"/>
              <w:marBottom w:val="0"/>
              <w:divBdr>
                <w:top w:val="none" w:sz="0" w:space="0" w:color="auto"/>
                <w:left w:val="none" w:sz="0" w:space="0" w:color="auto"/>
                <w:bottom w:val="none" w:sz="0" w:space="0" w:color="auto"/>
                <w:right w:val="none" w:sz="0" w:space="0" w:color="auto"/>
              </w:divBdr>
            </w:div>
            <w:div w:id="1043406935">
              <w:marLeft w:val="0"/>
              <w:marRight w:val="0"/>
              <w:marTop w:val="0"/>
              <w:marBottom w:val="0"/>
              <w:divBdr>
                <w:top w:val="none" w:sz="0" w:space="0" w:color="auto"/>
                <w:left w:val="none" w:sz="0" w:space="0" w:color="auto"/>
                <w:bottom w:val="none" w:sz="0" w:space="0" w:color="auto"/>
                <w:right w:val="none" w:sz="0" w:space="0" w:color="auto"/>
              </w:divBdr>
            </w:div>
            <w:div w:id="1403915506">
              <w:marLeft w:val="0"/>
              <w:marRight w:val="0"/>
              <w:marTop w:val="0"/>
              <w:marBottom w:val="0"/>
              <w:divBdr>
                <w:top w:val="none" w:sz="0" w:space="0" w:color="auto"/>
                <w:left w:val="none" w:sz="0" w:space="0" w:color="auto"/>
                <w:bottom w:val="none" w:sz="0" w:space="0" w:color="auto"/>
                <w:right w:val="none" w:sz="0" w:space="0" w:color="auto"/>
              </w:divBdr>
            </w:div>
          </w:divsChild>
        </w:div>
        <w:div w:id="1120609210">
          <w:marLeft w:val="0"/>
          <w:marRight w:val="0"/>
          <w:marTop w:val="0"/>
          <w:marBottom w:val="0"/>
          <w:divBdr>
            <w:top w:val="none" w:sz="0" w:space="0" w:color="auto"/>
            <w:left w:val="none" w:sz="0" w:space="0" w:color="auto"/>
            <w:bottom w:val="none" w:sz="0" w:space="0" w:color="auto"/>
            <w:right w:val="none" w:sz="0" w:space="0" w:color="auto"/>
          </w:divBdr>
          <w:divsChild>
            <w:div w:id="1676034164">
              <w:marLeft w:val="0"/>
              <w:marRight w:val="0"/>
              <w:marTop w:val="0"/>
              <w:marBottom w:val="0"/>
              <w:divBdr>
                <w:top w:val="none" w:sz="0" w:space="0" w:color="auto"/>
                <w:left w:val="none" w:sz="0" w:space="0" w:color="auto"/>
                <w:bottom w:val="none" w:sz="0" w:space="0" w:color="auto"/>
                <w:right w:val="none" w:sz="0" w:space="0" w:color="auto"/>
              </w:divBdr>
            </w:div>
          </w:divsChild>
        </w:div>
        <w:div w:id="1123882336">
          <w:marLeft w:val="0"/>
          <w:marRight w:val="0"/>
          <w:marTop w:val="0"/>
          <w:marBottom w:val="0"/>
          <w:divBdr>
            <w:top w:val="none" w:sz="0" w:space="0" w:color="auto"/>
            <w:left w:val="none" w:sz="0" w:space="0" w:color="auto"/>
            <w:bottom w:val="none" w:sz="0" w:space="0" w:color="auto"/>
            <w:right w:val="none" w:sz="0" w:space="0" w:color="auto"/>
          </w:divBdr>
          <w:divsChild>
            <w:div w:id="1913200607">
              <w:marLeft w:val="0"/>
              <w:marRight w:val="0"/>
              <w:marTop w:val="0"/>
              <w:marBottom w:val="0"/>
              <w:divBdr>
                <w:top w:val="none" w:sz="0" w:space="0" w:color="auto"/>
                <w:left w:val="none" w:sz="0" w:space="0" w:color="auto"/>
                <w:bottom w:val="none" w:sz="0" w:space="0" w:color="auto"/>
                <w:right w:val="none" w:sz="0" w:space="0" w:color="auto"/>
              </w:divBdr>
            </w:div>
          </w:divsChild>
        </w:div>
        <w:div w:id="1126772184">
          <w:marLeft w:val="0"/>
          <w:marRight w:val="0"/>
          <w:marTop w:val="0"/>
          <w:marBottom w:val="0"/>
          <w:divBdr>
            <w:top w:val="none" w:sz="0" w:space="0" w:color="auto"/>
            <w:left w:val="none" w:sz="0" w:space="0" w:color="auto"/>
            <w:bottom w:val="none" w:sz="0" w:space="0" w:color="auto"/>
            <w:right w:val="none" w:sz="0" w:space="0" w:color="auto"/>
          </w:divBdr>
          <w:divsChild>
            <w:div w:id="663556733">
              <w:marLeft w:val="0"/>
              <w:marRight w:val="0"/>
              <w:marTop w:val="0"/>
              <w:marBottom w:val="0"/>
              <w:divBdr>
                <w:top w:val="none" w:sz="0" w:space="0" w:color="auto"/>
                <w:left w:val="none" w:sz="0" w:space="0" w:color="auto"/>
                <w:bottom w:val="none" w:sz="0" w:space="0" w:color="auto"/>
                <w:right w:val="none" w:sz="0" w:space="0" w:color="auto"/>
              </w:divBdr>
            </w:div>
            <w:div w:id="929580719">
              <w:marLeft w:val="0"/>
              <w:marRight w:val="0"/>
              <w:marTop w:val="0"/>
              <w:marBottom w:val="0"/>
              <w:divBdr>
                <w:top w:val="none" w:sz="0" w:space="0" w:color="auto"/>
                <w:left w:val="none" w:sz="0" w:space="0" w:color="auto"/>
                <w:bottom w:val="none" w:sz="0" w:space="0" w:color="auto"/>
                <w:right w:val="none" w:sz="0" w:space="0" w:color="auto"/>
              </w:divBdr>
            </w:div>
            <w:div w:id="1585798529">
              <w:marLeft w:val="0"/>
              <w:marRight w:val="0"/>
              <w:marTop w:val="0"/>
              <w:marBottom w:val="0"/>
              <w:divBdr>
                <w:top w:val="none" w:sz="0" w:space="0" w:color="auto"/>
                <w:left w:val="none" w:sz="0" w:space="0" w:color="auto"/>
                <w:bottom w:val="none" w:sz="0" w:space="0" w:color="auto"/>
                <w:right w:val="none" w:sz="0" w:space="0" w:color="auto"/>
              </w:divBdr>
            </w:div>
            <w:div w:id="1604532691">
              <w:marLeft w:val="0"/>
              <w:marRight w:val="0"/>
              <w:marTop w:val="0"/>
              <w:marBottom w:val="0"/>
              <w:divBdr>
                <w:top w:val="none" w:sz="0" w:space="0" w:color="auto"/>
                <w:left w:val="none" w:sz="0" w:space="0" w:color="auto"/>
                <w:bottom w:val="none" w:sz="0" w:space="0" w:color="auto"/>
                <w:right w:val="none" w:sz="0" w:space="0" w:color="auto"/>
              </w:divBdr>
            </w:div>
          </w:divsChild>
        </w:div>
        <w:div w:id="1152915699">
          <w:marLeft w:val="0"/>
          <w:marRight w:val="0"/>
          <w:marTop w:val="0"/>
          <w:marBottom w:val="0"/>
          <w:divBdr>
            <w:top w:val="none" w:sz="0" w:space="0" w:color="auto"/>
            <w:left w:val="none" w:sz="0" w:space="0" w:color="auto"/>
            <w:bottom w:val="none" w:sz="0" w:space="0" w:color="auto"/>
            <w:right w:val="none" w:sz="0" w:space="0" w:color="auto"/>
          </w:divBdr>
          <w:divsChild>
            <w:div w:id="466900516">
              <w:marLeft w:val="0"/>
              <w:marRight w:val="0"/>
              <w:marTop w:val="0"/>
              <w:marBottom w:val="0"/>
              <w:divBdr>
                <w:top w:val="none" w:sz="0" w:space="0" w:color="auto"/>
                <w:left w:val="none" w:sz="0" w:space="0" w:color="auto"/>
                <w:bottom w:val="none" w:sz="0" w:space="0" w:color="auto"/>
                <w:right w:val="none" w:sz="0" w:space="0" w:color="auto"/>
              </w:divBdr>
            </w:div>
            <w:div w:id="551964705">
              <w:marLeft w:val="0"/>
              <w:marRight w:val="0"/>
              <w:marTop w:val="0"/>
              <w:marBottom w:val="0"/>
              <w:divBdr>
                <w:top w:val="none" w:sz="0" w:space="0" w:color="auto"/>
                <w:left w:val="none" w:sz="0" w:space="0" w:color="auto"/>
                <w:bottom w:val="none" w:sz="0" w:space="0" w:color="auto"/>
                <w:right w:val="none" w:sz="0" w:space="0" w:color="auto"/>
              </w:divBdr>
            </w:div>
            <w:div w:id="612830890">
              <w:marLeft w:val="0"/>
              <w:marRight w:val="0"/>
              <w:marTop w:val="0"/>
              <w:marBottom w:val="0"/>
              <w:divBdr>
                <w:top w:val="none" w:sz="0" w:space="0" w:color="auto"/>
                <w:left w:val="none" w:sz="0" w:space="0" w:color="auto"/>
                <w:bottom w:val="none" w:sz="0" w:space="0" w:color="auto"/>
                <w:right w:val="none" w:sz="0" w:space="0" w:color="auto"/>
              </w:divBdr>
            </w:div>
          </w:divsChild>
        </w:div>
        <w:div w:id="1180269548">
          <w:marLeft w:val="0"/>
          <w:marRight w:val="0"/>
          <w:marTop w:val="0"/>
          <w:marBottom w:val="0"/>
          <w:divBdr>
            <w:top w:val="none" w:sz="0" w:space="0" w:color="auto"/>
            <w:left w:val="none" w:sz="0" w:space="0" w:color="auto"/>
            <w:bottom w:val="none" w:sz="0" w:space="0" w:color="auto"/>
            <w:right w:val="none" w:sz="0" w:space="0" w:color="auto"/>
          </w:divBdr>
          <w:divsChild>
            <w:div w:id="500781261">
              <w:marLeft w:val="0"/>
              <w:marRight w:val="0"/>
              <w:marTop w:val="0"/>
              <w:marBottom w:val="0"/>
              <w:divBdr>
                <w:top w:val="none" w:sz="0" w:space="0" w:color="auto"/>
                <w:left w:val="none" w:sz="0" w:space="0" w:color="auto"/>
                <w:bottom w:val="none" w:sz="0" w:space="0" w:color="auto"/>
                <w:right w:val="none" w:sz="0" w:space="0" w:color="auto"/>
              </w:divBdr>
            </w:div>
            <w:div w:id="802626218">
              <w:marLeft w:val="0"/>
              <w:marRight w:val="0"/>
              <w:marTop w:val="0"/>
              <w:marBottom w:val="0"/>
              <w:divBdr>
                <w:top w:val="none" w:sz="0" w:space="0" w:color="auto"/>
                <w:left w:val="none" w:sz="0" w:space="0" w:color="auto"/>
                <w:bottom w:val="none" w:sz="0" w:space="0" w:color="auto"/>
                <w:right w:val="none" w:sz="0" w:space="0" w:color="auto"/>
              </w:divBdr>
            </w:div>
            <w:div w:id="1785540228">
              <w:marLeft w:val="0"/>
              <w:marRight w:val="0"/>
              <w:marTop w:val="0"/>
              <w:marBottom w:val="0"/>
              <w:divBdr>
                <w:top w:val="none" w:sz="0" w:space="0" w:color="auto"/>
                <w:left w:val="none" w:sz="0" w:space="0" w:color="auto"/>
                <w:bottom w:val="none" w:sz="0" w:space="0" w:color="auto"/>
                <w:right w:val="none" w:sz="0" w:space="0" w:color="auto"/>
              </w:divBdr>
            </w:div>
            <w:div w:id="1964195060">
              <w:marLeft w:val="0"/>
              <w:marRight w:val="0"/>
              <w:marTop w:val="0"/>
              <w:marBottom w:val="0"/>
              <w:divBdr>
                <w:top w:val="none" w:sz="0" w:space="0" w:color="auto"/>
                <w:left w:val="none" w:sz="0" w:space="0" w:color="auto"/>
                <w:bottom w:val="none" w:sz="0" w:space="0" w:color="auto"/>
                <w:right w:val="none" w:sz="0" w:space="0" w:color="auto"/>
              </w:divBdr>
            </w:div>
            <w:div w:id="2073386286">
              <w:marLeft w:val="0"/>
              <w:marRight w:val="0"/>
              <w:marTop w:val="0"/>
              <w:marBottom w:val="0"/>
              <w:divBdr>
                <w:top w:val="none" w:sz="0" w:space="0" w:color="auto"/>
                <w:left w:val="none" w:sz="0" w:space="0" w:color="auto"/>
                <w:bottom w:val="none" w:sz="0" w:space="0" w:color="auto"/>
                <w:right w:val="none" w:sz="0" w:space="0" w:color="auto"/>
              </w:divBdr>
            </w:div>
          </w:divsChild>
        </w:div>
        <w:div w:id="1225871314">
          <w:marLeft w:val="0"/>
          <w:marRight w:val="0"/>
          <w:marTop w:val="0"/>
          <w:marBottom w:val="0"/>
          <w:divBdr>
            <w:top w:val="none" w:sz="0" w:space="0" w:color="auto"/>
            <w:left w:val="none" w:sz="0" w:space="0" w:color="auto"/>
            <w:bottom w:val="none" w:sz="0" w:space="0" w:color="auto"/>
            <w:right w:val="none" w:sz="0" w:space="0" w:color="auto"/>
          </w:divBdr>
          <w:divsChild>
            <w:div w:id="815949643">
              <w:marLeft w:val="0"/>
              <w:marRight w:val="0"/>
              <w:marTop w:val="0"/>
              <w:marBottom w:val="0"/>
              <w:divBdr>
                <w:top w:val="none" w:sz="0" w:space="0" w:color="auto"/>
                <w:left w:val="none" w:sz="0" w:space="0" w:color="auto"/>
                <w:bottom w:val="none" w:sz="0" w:space="0" w:color="auto"/>
                <w:right w:val="none" w:sz="0" w:space="0" w:color="auto"/>
              </w:divBdr>
            </w:div>
            <w:div w:id="1140149802">
              <w:marLeft w:val="0"/>
              <w:marRight w:val="0"/>
              <w:marTop w:val="0"/>
              <w:marBottom w:val="0"/>
              <w:divBdr>
                <w:top w:val="none" w:sz="0" w:space="0" w:color="auto"/>
                <w:left w:val="none" w:sz="0" w:space="0" w:color="auto"/>
                <w:bottom w:val="none" w:sz="0" w:space="0" w:color="auto"/>
                <w:right w:val="none" w:sz="0" w:space="0" w:color="auto"/>
              </w:divBdr>
            </w:div>
            <w:div w:id="1717314347">
              <w:marLeft w:val="0"/>
              <w:marRight w:val="0"/>
              <w:marTop w:val="0"/>
              <w:marBottom w:val="0"/>
              <w:divBdr>
                <w:top w:val="none" w:sz="0" w:space="0" w:color="auto"/>
                <w:left w:val="none" w:sz="0" w:space="0" w:color="auto"/>
                <w:bottom w:val="none" w:sz="0" w:space="0" w:color="auto"/>
                <w:right w:val="none" w:sz="0" w:space="0" w:color="auto"/>
              </w:divBdr>
            </w:div>
            <w:div w:id="1833643868">
              <w:marLeft w:val="0"/>
              <w:marRight w:val="0"/>
              <w:marTop w:val="0"/>
              <w:marBottom w:val="0"/>
              <w:divBdr>
                <w:top w:val="none" w:sz="0" w:space="0" w:color="auto"/>
                <w:left w:val="none" w:sz="0" w:space="0" w:color="auto"/>
                <w:bottom w:val="none" w:sz="0" w:space="0" w:color="auto"/>
                <w:right w:val="none" w:sz="0" w:space="0" w:color="auto"/>
              </w:divBdr>
            </w:div>
          </w:divsChild>
        </w:div>
        <w:div w:id="1231426732">
          <w:marLeft w:val="0"/>
          <w:marRight w:val="0"/>
          <w:marTop w:val="0"/>
          <w:marBottom w:val="0"/>
          <w:divBdr>
            <w:top w:val="none" w:sz="0" w:space="0" w:color="auto"/>
            <w:left w:val="none" w:sz="0" w:space="0" w:color="auto"/>
            <w:bottom w:val="none" w:sz="0" w:space="0" w:color="auto"/>
            <w:right w:val="none" w:sz="0" w:space="0" w:color="auto"/>
          </w:divBdr>
          <w:divsChild>
            <w:div w:id="488248873">
              <w:marLeft w:val="0"/>
              <w:marRight w:val="0"/>
              <w:marTop w:val="0"/>
              <w:marBottom w:val="0"/>
              <w:divBdr>
                <w:top w:val="none" w:sz="0" w:space="0" w:color="auto"/>
                <w:left w:val="none" w:sz="0" w:space="0" w:color="auto"/>
                <w:bottom w:val="none" w:sz="0" w:space="0" w:color="auto"/>
                <w:right w:val="none" w:sz="0" w:space="0" w:color="auto"/>
              </w:divBdr>
            </w:div>
            <w:div w:id="749737757">
              <w:marLeft w:val="0"/>
              <w:marRight w:val="0"/>
              <w:marTop w:val="0"/>
              <w:marBottom w:val="0"/>
              <w:divBdr>
                <w:top w:val="none" w:sz="0" w:space="0" w:color="auto"/>
                <w:left w:val="none" w:sz="0" w:space="0" w:color="auto"/>
                <w:bottom w:val="none" w:sz="0" w:space="0" w:color="auto"/>
                <w:right w:val="none" w:sz="0" w:space="0" w:color="auto"/>
              </w:divBdr>
            </w:div>
            <w:div w:id="1251352915">
              <w:marLeft w:val="0"/>
              <w:marRight w:val="0"/>
              <w:marTop w:val="0"/>
              <w:marBottom w:val="0"/>
              <w:divBdr>
                <w:top w:val="none" w:sz="0" w:space="0" w:color="auto"/>
                <w:left w:val="none" w:sz="0" w:space="0" w:color="auto"/>
                <w:bottom w:val="none" w:sz="0" w:space="0" w:color="auto"/>
                <w:right w:val="none" w:sz="0" w:space="0" w:color="auto"/>
              </w:divBdr>
            </w:div>
            <w:div w:id="1981227605">
              <w:marLeft w:val="0"/>
              <w:marRight w:val="0"/>
              <w:marTop w:val="0"/>
              <w:marBottom w:val="0"/>
              <w:divBdr>
                <w:top w:val="none" w:sz="0" w:space="0" w:color="auto"/>
                <w:left w:val="none" w:sz="0" w:space="0" w:color="auto"/>
                <w:bottom w:val="none" w:sz="0" w:space="0" w:color="auto"/>
                <w:right w:val="none" w:sz="0" w:space="0" w:color="auto"/>
              </w:divBdr>
            </w:div>
          </w:divsChild>
        </w:div>
        <w:div w:id="1235310779">
          <w:marLeft w:val="0"/>
          <w:marRight w:val="0"/>
          <w:marTop w:val="0"/>
          <w:marBottom w:val="0"/>
          <w:divBdr>
            <w:top w:val="none" w:sz="0" w:space="0" w:color="auto"/>
            <w:left w:val="none" w:sz="0" w:space="0" w:color="auto"/>
            <w:bottom w:val="none" w:sz="0" w:space="0" w:color="auto"/>
            <w:right w:val="none" w:sz="0" w:space="0" w:color="auto"/>
          </w:divBdr>
          <w:divsChild>
            <w:div w:id="606281265">
              <w:marLeft w:val="0"/>
              <w:marRight w:val="0"/>
              <w:marTop w:val="0"/>
              <w:marBottom w:val="0"/>
              <w:divBdr>
                <w:top w:val="none" w:sz="0" w:space="0" w:color="auto"/>
                <w:left w:val="none" w:sz="0" w:space="0" w:color="auto"/>
                <w:bottom w:val="none" w:sz="0" w:space="0" w:color="auto"/>
                <w:right w:val="none" w:sz="0" w:space="0" w:color="auto"/>
              </w:divBdr>
            </w:div>
            <w:div w:id="1422291998">
              <w:marLeft w:val="0"/>
              <w:marRight w:val="0"/>
              <w:marTop w:val="0"/>
              <w:marBottom w:val="0"/>
              <w:divBdr>
                <w:top w:val="none" w:sz="0" w:space="0" w:color="auto"/>
                <w:left w:val="none" w:sz="0" w:space="0" w:color="auto"/>
                <w:bottom w:val="none" w:sz="0" w:space="0" w:color="auto"/>
                <w:right w:val="none" w:sz="0" w:space="0" w:color="auto"/>
              </w:divBdr>
            </w:div>
            <w:div w:id="1477838020">
              <w:marLeft w:val="0"/>
              <w:marRight w:val="0"/>
              <w:marTop w:val="0"/>
              <w:marBottom w:val="0"/>
              <w:divBdr>
                <w:top w:val="none" w:sz="0" w:space="0" w:color="auto"/>
                <w:left w:val="none" w:sz="0" w:space="0" w:color="auto"/>
                <w:bottom w:val="none" w:sz="0" w:space="0" w:color="auto"/>
                <w:right w:val="none" w:sz="0" w:space="0" w:color="auto"/>
              </w:divBdr>
            </w:div>
          </w:divsChild>
        </w:div>
        <w:div w:id="1235625190">
          <w:marLeft w:val="0"/>
          <w:marRight w:val="0"/>
          <w:marTop w:val="0"/>
          <w:marBottom w:val="0"/>
          <w:divBdr>
            <w:top w:val="none" w:sz="0" w:space="0" w:color="auto"/>
            <w:left w:val="none" w:sz="0" w:space="0" w:color="auto"/>
            <w:bottom w:val="none" w:sz="0" w:space="0" w:color="auto"/>
            <w:right w:val="none" w:sz="0" w:space="0" w:color="auto"/>
          </w:divBdr>
          <w:divsChild>
            <w:div w:id="95757730">
              <w:marLeft w:val="0"/>
              <w:marRight w:val="0"/>
              <w:marTop w:val="0"/>
              <w:marBottom w:val="0"/>
              <w:divBdr>
                <w:top w:val="none" w:sz="0" w:space="0" w:color="auto"/>
                <w:left w:val="none" w:sz="0" w:space="0" w:color="auto"/>
                <w:bottom w:val="none" w:sz="0" w:space="0" w:color="auto"/>
                <w:right w:val="none" w:sz="0" w:space="0" w:color="auto"/>
              </w:divBdr>
            </w:div>
            <w:div w:id="1153373102">
              <w:marLeft w:val="0"/>
              <w:marRight w:val="0"/>
              <w:marTop w:val="0"/>
              <w:marBottom w:val="0"/>
              <w:divBdr>
                <w:top w:val="none" w:sz="0" w:space="0" w:color="auto"/>
                <w:left w:val="none" w:sz="0" w:space="0" w:color="auto"/>
                <w:bottom w:val="none" w:sz="0" w:space="0" w:color="auto"/>
                <w:right w:val="none" w:sz="0" w:space="0" w:color="auto"/>
              </w:divBdr>
            </w:div>
            <w:div w:id="1383867473">
              <w:marLeft w:val="0"/>
              <w:marRight w:val="0"/>
              <w:marTop w:val="0"/>
              <w:marBottom w:val="0"/>
              <w:divBdr>
                <w:top w:val="none" w:sz="0" w:space="0" w:color="auto"/>
                <w:left w:val="none" w:sz="0" w:space="0" w:color="auto"/>
                <w:bottom w:val="none" w:sz="0" w:space="0" w:color="auto"/>
                <w:right w:val="none" w:sz="0" w:space="0" w:color="auto"/>
              </w:divBdr>
            </w:div>
          </w:divsChild>
        </w:div>
        <w:div w:id="1240094596">
          <w:marLeft w:val="0"/>
          <w:marRight w:val="0"/>
          <w:marTop w:val="0"/>
          <w:marBottom w:val="0"/>
          <w:divBdr>
            <w:top w:val="none" w:sz="0" w:space="0" w:color="auto"/>
            <w:left w:val="none" w:sz="0" w:space="0" w:color="auto"/>
            <w:bottom w:val="none" w:sz="0" w:space="0" w:color="auto"/>
            <w:right w:val="none" w:sz="0" w:space="0" w:color="auto"/>
          </w:divBdr>
          <w:divsChild>
            <w:div w:id="250429890">
              <w:marLeft w:val="0"/>
              <w:marRight w:val="0"/>
              <w:marTop w:val="0"/>
              <w:marBottom w:val="0"/>
              <w:divBdr>
                <w:top w:val="none" w:sz="0" w:space="0" w:color="auto"/>
                <w:left w:val="none" w:sz="0" w:space="0" w:color="auto"/>
                <w:bottom w:val="none" w:sz="0" w:space="0" w:color="auto"/>
                <w:right w:val="none" w:sz="0" w:space="0" w:color="auto"/>
              </w:divBdr>
            </w:div>
          </w:divsChild>
        </w:div>
        <w:div w:id="1250773507">
          <w:marLeft w:val="0"/>
          <w:marRight w:val="0"/>
          <w:marTop w:val="0"/>
          <w:marBottom w:val="0"/>
          <w:divBdr>
            <w:top w:val="none" w:sz="0" w:space="0" w:color="auto"/>
            <w:left w:val="none" w:sz="0" w:space="0" w:color="auto"/>
            <w:bottom w:val="none" w:sz="0" w:space="0" w:color="auto"/>
            <w:right w:val="none" w:sz="0" w:space="0" w:color="auto"/>
          </w:divBdr>
          <w:divsChild>
            <w:div w:id="1974869306">
              <w:marLeft w:val="0"/>
              <w:marRight w:val="0"/>
              <w:marTop w:val="0"/>
              <w:marBottom w:val="0"/>
              <w:divBdr>
                <w:top w:val="none" w:sz="0" w:space="0" w:color="auto"/>
                <w:left w:val="none" w:sz="0" w:space="0" w:color="auto"/>
                <w:bottom w:val="none" w:sz="0" w:space="0" w:color="auto"/>
                <w:right w:val="none" w:sz="0" w:space="0" w:color="auto"/>
              </w:divBdr>
            </w:div>
          </w:divsChild>
        </w:div>
        <w:div w:id="1332104260">
          <w:marLeft w:val="0"/>
          <w:marRight w:val="0"/>
          <w:marTop w:val="0"/>
          <w:marBottom w:val="0"/>
          <w:divBdr>
            <w:top w:val="none" w:sz="0" w:space="0" w:color="auto"/>
            <w:left w:val="none" w:sz="0" w:space="0" w:color="auto"/>
            <w:bottom w:val="none" w:sz="0" w:space="0" w:color="auto"/>
            <w:right w:val="none" w:sz="0" w:space="0" w:color="auto"/>
          </w:divBdr>
          <w:divsChild>
            <w:div w:id="1794857549">
              <w:marLeft w:val="0"/>
              <w:marRight w:val="0"/>
              <w:marTop w:val="0"/>
              <w:marBottom w:val="0"/>
              <w:divBdr>
                <w:top w:val="none" w:sz="0" w:space="0" w:color="auto"/>
                <w:left w:val="none" w:sz="0" w:space="0" w:color="auto"/>
                <w:bottom w:val="none" w:sz="0" w:space="0" w:color="auto"/>
                <w:right w:val="none" w:sz="0" w:space="0" w:color="auto"/>
              </w:divBdr>
            </w:div>
          </w:divsChild>
        </w:div>
        <w:div w:id="1350722751">
          <w:marLeft w:val="0"/>
          <w:marRight w:val="0"/>
          <w:marTop w:val="0"/>
          <w:marBottom w:val="0"/>
          <w:divBdr>
            <w:top w:val="none" w:sz="0" w:space="0" w:color="auto"/>
            <w:left w:val="none" w:sz="0" w:space="0" w:color="auto"/>
            <w:bottom w:val="none" w:sz="0" w:space="0" w:color="auto"/>
            <w:right w:val="none" w:sz="0" w:space="0" w:color="auto"/>
          </w:divBdr>
          <w:divsChild>
            <w:div w:id="410125878">
              <w:marLeft w:val="0"/>
              <w:marRight w:val="0"/>
              <w:marTop w:val="0"/>
              <w:marBottom w:val="0"/>
              <w:divBdr>
                <w:top w:val="none" w:sz="0" w:space="0" w:color="auto"/>
                <w:left w:val="none" w:sz="0" w:space="0" w:color="auto"/>
                <w:bottom w:val="none" w:sz="0" w:space="0" w:color="auto"/>
                <w:right w:val="none" w:sz="0" w:space="0" w:color="auto"/>
              </w:divBdr>
            </w:div>
            <w:div w:id="829098964">
              <w:marLeft w:val="0"/>
              <w:marRight w:val="0"/>
              <w:marTop w:val="0"/>
              <w:marBottom w:val="0"/>
              <w:divBdr>
                <w:top w:val="none" w:sz="0" w:space="0" w:color="auto"/>
                <w:left w:val="none" w:sz="0" w:space="0" w:color="auto"/>
                <w:bottom w:val="none" w:sz="0" w:space="0" w:color="auto"/>
                <w:right w:val="none" w:sz="0" w:space="0" w:color="auto"/>
              </w:divBdr>
            </w:div>
            <w:div w:id="1134564632">
              <w:marLeft w:val="0"/>
              <w:marRight w:val="0"/>
              <w:marTop w:val="0"/>
              <w:marBottom w:val="0"/>
              <w:divBdr>
                <w:top w:val="none" w:sz="0" w:space="0" w:color="auto"/>
                <w:left w:val="none" w:sz="0" w:space="0" w:color="auto"/>
                <w:bottom w:val="none" w:sz="0" w:space="0" w:color="auto"/>
                <w:right w:val="none" w:sz="0" w:space="0" w:color="auto"/>
              </w:divBdr>
            </w:div>
            <w:div w:id="1365910256">
              <w:marLeft w:val="0"/>
              <w:marRight w:val="0"/>
              <w:marTop w:val="0"/>
              <w:marBottom w:val="0"/>
              <w:divBdr>
                <w:top w:val="none" w:sz="0" w:space="0" w:color="auto"/>
                <w:left w:val="none" w:sz="0" w:space="0" w:color="auto"/>
                <w:bottom w:val="none" w:sz="0" w:space="0" w:color="auto"/>
                <w:right w:val="none" w:sz="0" w:space="0" w:color="auto"/>
              </w:divBdr>
            </w:div>
            <w:div w:id="1711682742">
              <w:marLeft w:val="0"/>
              <w:marRight w:val="0"/>
              <w:marTop w:val="0"/>
              <w:marBottom w:val="0"/>
              <w:divBdr>
                <w:top w:val="none" w:sz="0" w:space="0" w:color="auto"/>
                <w:left w:val="none" w:sz="0" w:space="0" w:color="auto"/>
                <w:bottom w:val="none" w:sz="0" w:space="0" w:color="auto"/>
                <w:right w:val="none" w:sz="0" w:space="0" w:color="auto"/>
              </w:divBdr>
            </w:div>
          </w:divsChild>
        </w:div>
        <w:div w:id="1359890447">
          <w:marLeft w:val="0"/>
          <w:marRight w:val="0"/>
          <w:marTop w:val="0"/>
          <w:marBottom w:val="0"/>
          <w:divBdr>
            <w:top w:val="none" w:sz="0" w:space="0" w:color="auto"/>
            <w:left w:val="none" w:sz="0" w:space="0" w:color="auto"/>
            <w:bottom w:val="none" w:sz="0" w:space="0" w:color="auto"/>
            <w:right w:val="none" w:sz="0" w:space="0" w:color="auto"/>
          </w:divBdr>
          <w:divsChild>
            <w:div w:id="381097013">
              <w:marLeft w:val="0"/>
              <w:marRight w:val="0"/>
              <w:marTop w:val="0"/>
              <w:marBottom w:val="0"/>
              <w:divBdr>
                <w:top w:val="none" w:sz="0" w:space="0" w:color="auto"/>
                <w:left w:val="none" w:sz="0" w:space="0" w:color="auto"/>
                <w:bottom w:val="none" w:sz="0" w:space="0" w:color="auto"/>
                <w:right w:val="none" w:sz="0" w:space="0" w:color="auto"/>
              </w:divBdr>
            </w:div>
          </w:divsChild>
        </w:div>
        <w:div w:id="1360161936">
          <w:marLeft w:val="0"/>
          <w:marRight w:val="0"/>
          <w:marTop w:val="0"/>
          <w:marBottom w:val="0"/>
          <w:divBdr>
            <w:top w:val="none" w:sz="0" w:space="0" w:color="auto"/>
            <w:left w:val="none" w:sz="0" w:space="0" w:color="auto"/>
            <w:bottom w:val="none" w:sz="0" w:space="0" w:color="auto"/>
            <w:right w:val="none" w:sz="0" w:space="0" w:color="auto"/>
          </w:divBdr>
          <w:divsChild>
            <w:div w:id="171843838">
              <w:marLeft w:val="0"/>
              <w:marRight w:val="0"/>
              <w:marTop w:val="0"/>
              <w:marBottom w:val="0"/>
              <w:divBdr>
                <w:top w:val="none" w:sz="0" w:space="0" w:color="auto"/>
                <w:left w:val="none" w:sz="0" w:space="0" w:color="auto"/>
                <w:bottom w:val="none" w:sz="0" w:space="0" w:color="auto"/>
                <w:right w:val="none" w:sz="0" w:space="0" w:color="auto"/>
              </w:divBdr>
            </w:div>
          </w:divsChild>
        </w:div>
        <w:div w:id="1362390931">
          <w:marLeft w:val="0"/>
          <w:marRight w:val="0"/>
          <w:marTop w:val="0"/>
          <w:marBottom w:val="0"/>
          <w:divBdr>
            <w:top w:val="none" w:sz="0" w:space="0" w:color="auto"/>
            <w:left w:val="none" w:sz="0" w:space="0" w:color="auto"/>
            <w:bottom w:val="none" w:sz="0" w:space="0" w:color="auto"/>
            <w:right w:val="none" w:sz="0" w:space="0" w:color="auto"/>
          </w:divBdr>
          <w:divsChild>
            <w:div w:id="1142188598">
              <w:marLeft w:val="0"/>
              <w:marRight w:val="0"/>
              <w:marTop w:val="0"/>
              <w:marBottom w:val="0"/>
              <w:divBdr>
                <w:top w:val="none" w:sz="0" w:space="0" w:color="auto"/>
                <w:left w:val="none" w:sz="0" w:space="0" w:color="auto"/>
                <w:bottom w:val="none" w:sz="0" w:space="0" w:color="auto"/>
                <w:right w:val="none" w:sz="0" w:space="0" w:color="auto"/>
              </w:divBdr>
            </w:div>
          </w:divsChild>
        </w:div>
        <w:div w:id="1375156563">
          <w:marLeft w:val="0"/>
          <w:marRight w:val="0"/>
          <w:marTop w:val="0"/>
          <w:marBottom w:val="0"/>
          <w:divBdr>
            <w:top w:val="none" w:sz="0" w:space="0" w:color="auto"/>
            <w:left w:val="none" w:sz="0" w:space="0" w:color="auto"/>
            <w:bottom w:val="none" w:sz="0" w:space="0" w:color="auto"/>
            <w:right w:val="none" w:sz="0" w:space="0" w:color="auto"/>
          </w:divBdr>
          <w:divsChild>
            <w:div w:id="418065597">
              <w:marLeft w:val="0"/>
              <w:marRight w:val="0"/>
              <w:marTop w:val="0"/>
              <w:marBottom w:val="0"/>
              <w:divBdr>
                <w:top w:val="none" w:sz="0" w:space="0" w:color="auto"/>
                <w:left w:val="none" w:sz="0" w:space="0" w:color="auto"/>
                <w:bottom w:val="none" w:sz="0" w:space="0" w:color="auto"/>
                <w:right w:val="none" w:sz="0" w:space="0" w:color="auto"/>
              </w:divBdr>
            </w:div>
          </w:divsChild>
        </w:div>
        <w:div w:id="1375737028">
          <w:marLeft w:val="0"/>
          <w:marRight w:val="0"/>
          <w:marTop w:val="0"/>
          <w:marBottom w:val="0"/>
          <w:divBdr>
            <w:top w:val="none" w:sz="0" w:space="0" w:color="auto"/>
            <w:left w:val="none" w:sz="0" w:space="0" w:color="auto"/>
            <w:bottom w:val="none" w:sz="0" w:space="0" w:color="auto"/>
            <w:right w:val="none" w:sz="0" w:space="0" w:color="auto"/>
          </w:divBdr>
          <w:divsChild>
            <w:div w:id="332800798">
              <w:marLeft w:val="0"/>
              <w:marRight w:val="0"/>
              <w:marTop w:val="0"/>
              <w:marBottom w:val="0"/>
              <w:divBdr>
                <w:top w:val="none" w:sz="0" w:space="0" w:color="auto"/>
                <w:left w:val="none" w:sz="0" w:space="0" w:color="auto"/>
                <w:bottom w:val="none" w:sz="0" w:space="0" w:color="auto"/>
                <w:right w:val="none" w:sz="0" w:space="0" w:color="auto"/>
              </w:divBdr>
            </w:div>
            <w:div w:id="1003624882">
              <w:marLeft w:val="0"/>
              <w:marRight w:val="0"/>
              <w:marTop w:val="0"/>
              <w:marBottom w:val="0"/>
              <w:divBdr>
                <w:top w:val="none" w:sz="0" w:space="0" w:color="auto"/>
                <w:left w:val="none" w:sz="0" w:space="0" w:color="auto"/>
                <w:bottom w:val="none" w:sz="0" w:space="0" w:color="auto"/>
                <w:right w:val="none" w:sz="0" w:space="0" w:color="auto"/>
              </w:divBdr>
            </w:div>
          </w:divsChild>
        </w:div>
        <w:div w:id="1398280209">
          <w:marLeft w:val="0"/>
          <w:marRight w:val="0"/>
          <w:marTop w:val="0"/>
          <w:marBottom w:val="0"/>
          <w:divBdr>
            <w:top w:val="none" w:sz="0" w:space="0" w:color="auto"/>
            <w:left w:val="none" w:sz="0" w:space="0" w:color="auto"/>
            <w:bottom w:val="none" w:sz="0" w:space="0" w:color="auto"/>
            <w:right w:val="none" w:sz="0" w:space="0" w:color="auto"/>
          </w:divBdr>
          <w:divsChild>
            <w:div w:id="325868693">
              <w:marLeft w:val="0"/>
              <w:marRight w:val="0"/>
              <w:marTop w:val="0"/>
              <w:marBottom w:val="0"/>
              <w:divBdr>
                <w:top w:val="none" w:sz="0" w:space="0" w:color="auto"/>
                <w:left w:val="none" w:sz="0" w:space="0" w:color="auto"/>
                <w:bottom w:val="none" w:sz="0" w:space="0" w:color="auto"/>
                <w:right w:val="none" w:sz="0" w:space="0" w:color="auto"/>
              </w:divBdr>
            </w:div>
          </w:divsChild>
        </w:div>
        <w:div w:id="1417247488">
          <w:marLeft w:val="0"/>
          <w:marRight w:val="0"/>
          <w:marTop w:val="0"/>
          <w:marBottom w:val="0"/>
          <w:divBdr>
            <w:top w:val="none" w:sz="0" w:space="0" w:color="auto"/>
            <w:left w:val="none" w:sz="0" w:space="0" w:color="auto"/>
            <w:bottom w:val="none" w:sz="0" w:space="0" w:color="auto"/>
            <w:right w:val="none" w:sz="0" w:space="0" w:color="auto"/>
          </w:divBdr>
          <w:divsChild>
            <w:div w:id="803742915">
              <w:marLeft w:val="0"/>
              <w:marRight w:val="0"/>
              <w:marTop w:val="0"/>
              <w:marBottom w:val="0"/>
              <w:divBdr>
                <w:top w:val="none" w:sz="0" w:space="0" w:color="auto"/>
                <w:left w:val="none" w:sz="0" w:space="0" w:color="auto"/>
                <w:bottom w:val="none" w:sz="0" w:space="0" w:color="auto"/>
                <w:right w:val="none" w:sz="0" w:space="0" w:color="auto"/>
              </w:divBdr>
            </w:div>
          </w:divsChild>
        </w:div>
        <w:div w:id="1444961110">
          <w:marLeft w:val="0"/>
          <w:marRight w:val="0"/>
          <w:marTop w:val="0"/>
          <w:marBottom w:val="0"/>
          <w:divBdr>
            <w:top w:val="none" w:sz="0" w:space="0" w:color="auto"/>
            <w:left w:val="none" w:sz="0" w:space="0" w:color="auto"/>
            <w:bottom w:val="none" w:sz="0" w:space="0" w:color="auto"/>
            <w:right w:val="none" w:sz="0" w:space="0" w:color="auto"/>
          </w:divBdr>
          <w:divsChild>
            <w:div w:id="1076971063">
              <w:marLeft w:val="0"/>
              <w:marRight w:val="0"/>
              <w:marTop w:val="0"/>
              <w:marBottom w:val="0"/>
              <w:divBdr>
                <w:top w:val="none" w:sz="0" w:space="0" w:color="auto"/>
                <w:left w:val="none" w:sz="0" w:space="0" w:color="auto"/>
                <w:bottom w:val="none" w:sz="0" w:space="0" w:color="auto"/>
                <w:right w:val="none" w:sz="0" w:space="0" w:color="auto"/>
              </w:divBdr>
            </w:div>
          </w:divsChild>
        </w:div>
        <w:div w:id="1456559494">
          <w:marLeft w:val="0"/>
          <w:marRight w:val="0"/>
          <w:marTop w:val="0"/>
          <w:marBottom w:val="0"/>
          <w:divBdr>
            <w:top w:val="none" w:sz="0" w:space="0" w:color="auto"/>
            <w:left w:val="none" w:sz="0" w:space="0" w:color="auto"/>
            <w:bottom w:val="none" w:sz="0" w:space="0" w:color="auto"/>
            <w:right w:val="none" w:sz="0" w:space="0" w:color="auto"/>
          </w:divBdr>
          <w:divsChild>
            <w:div w:id="541020925">
              <w:marLeft w:val="0"/>
              <w:marRight w:val="0"/>
              <w:marTop w:val="0"/>
              <w:marBottom w:val="0"/>
              <w:divBdr>
                <w:top w:val="none" w:sz="0" w:space="0" w:color="auto"/>
                <w:left w:val="none" w:sz="0" w:space="0" w:color="auto"/>
                <w:bottom w:val="none" w:sz="0" w:space="0" w:color="auto"/>
                <w:right w:val="none" w:sz="0" w:space="0" w:color="auto"/>
              </w:divBdr>
            </w:div>
          </w:divsChild>
        </w:div>
        <w:div w:id="1484932589">
          <w:marLeft w:val="0"/>
          <w:marRight w:val="0"/>
          <w:marTop w:val="0"/>
          <w:marBottom w:val="0"/>
          <w:divBdr>
            <w:top w:val="none" w:sz="0" w:space="0" w:color="auto"/>
            <w:left w:val="none" w:sz="0" w:space="0" w:color="auto"/>
            <w:bottom w:val="none" w:sz="0" w:space="0" w:color="auto"/>
            <w:right w:val="none" w:sz="0" w:space="0" w:color="auto"/>
          </w:divBdr>
          <w:divsChild>
            <w:div w:id="435826345">
              <w:marLeft w:val="0"/>
              <w:marRight w:val="0"/>
              <w:marTop w:val="0"/>
              <w:marBottom w:val="0"/>
              <w:divBdr>
                <w:top w:val="none" w:sz="0" w:space="0" w:color="auto"/>
                <w:left w:val="none" w:sz="0" w:space="0" w:color="auto"/>
                <w:bottom w:val="none" w:sz="0" w:space="0" w:color="auto"/>
                <w:right w:val="none" w:sz="0" w:space="0" w:color="auto"/>
              </w:divBdr>
            </w:div>
            <w:div w:id="444427260">
              <w:marLeft w:val="0"/>
              <w:marRight w:val="0"/>
              <w:marTop w:val="0"/>
              <w:marBottom w:val="0"/>
              <w:divBdr>
                <w:top w:val="none" w:sz="0" w:space="0" w:color="auto"/>
                <w:left w:val="none" w:sz="0" w:space="0" w:color="auto"/>
                <w:bottom w:val="none" w:sz="0" w:space="0" w:color="auto"/>
                <w:right w:val="none" w:sz="0" w:space="0" w:color="auto"/>
              </w:divBdr>
            </w:div>
            <w:div w:id="929897875">
              <w:marLeft w:val="0"/>
              <w:marRight w:val="0"/>
              <w:marTop w:val="0"/>
              <w:marBottom w:val="0"/>
              <w:divBdr>
                <w:top w:val="none" w:sz="0" w:space="0" w:color="auto"/>
                <w:left w:val="none" w:sz="0" w:space="0" w:color="auto"/>
                <w:bottom w:val="none" w:sz="0" w:space="0" w:color="auto"/>
                <w:right w:val="none" w:sz="0" w:space="0" w:color="auto"/>
              </w:divBdr>
            </w:div>
          </w:divsChild>
        </w:div>
        <w:div w:id="1504009967">
          <w:marLeft w:val="0"/>
          <w:marRight w:val="0"/>
          <w:marTop w:val="0"/>
          <w:marBottom w:val="0"/>
          <w:divBdr>
            <w:top w:val="none" w:sz="0" w:space="0" w:color="auto"/>
            <w:left w:val="none" w:sz="0" w:space="0" w:color="auto"/>
            <w:bottom w:val="none" w:sz="0" w:space="0" w:color="auto"/>
            <w:right w:val="none" w:sz="0" w:space="0" w:color="auto"/>
          </w:divBdr>
          <w:divsChild>
            <w:div w:id="58485623">
              <w:marLeft w:val="0"/>
              <w:marRight w:val="0"/>
              <w:marTop w:val="0"/>
              <w:marBottom w:val="0"/>
              <w:divBdr>
                <w:top w:val="none" w:sz="0" w:space="0" w:color="auto"/>
                <w:left w:val="none" w:sz="0" w:space="0" w:color="auto"/>
                <w:bottom w:val="none" w:sz="0" w:space="0" w:color="auto"/>
                <w:right w:val="none" w:sz="0" w:space="0" w:color="auto"/>
              </w:divBdr>
            </w:div>
          </w:divsChild>
        </w:div>
        <w:div w:id="1526096915">
          <w:marLeft w:val="0"/>
          <w:marRight w:val="0"/>
          <w:marTop w:val="0"/>
          <w:marBottom w:val="0"/>
          <w:divBdr>
            <w:top w:val="none" w:sz="0" w:space="0" w:color="auto"/>
            <w:left w:val="none" w:sz="0" w:space="0" w:color="auto"/>
            <w:bottom w:val="none" w:sz="0" w:space="0" w:color="auto"/>
            <w:right w:val="none" w:sz="0" w:space="0" w:color="auto"/>
          </w:divBdr>
          <w:divsChild>
            <w:div w:id="857079984">
              <w:marLeft w:val="0"/>
              <w:marRight w:val="0"/>
              <w:marTop w:val="0"/>
              <w:marBottom w:val="0"/>
              <w:divBdr>
                <w:top w:val="none" w:sz="0" w:space="0" w:color="auto"/>
                <w:left w:val="none" w:sz="0" w:space="0" w:color="auto"/>
                <w:bottom w:val="none" w:sz="0" w:space="0" w:color="auto"/>
                <w:right w:val="none" w:sz="0" w:space="0" w:color="auto"/>
              </w:divBdr>
            </w:div>
            <w:div w:id="1327703834">
              <w:marLeft w:val="0"/>
              <w:marRight w:val="0"/>
              <w:marTop w:val="0"/>
              <w:marBottom w:val="0"/>
              <w:divBdr>
                <w:top w:val="none" w:sz="0" w:space="0" w:color="auto"/>
                <w:left w:val="none" w:sz="0" w:space="0" w:color="auto"/>
                <w:bottom w:val="none" w:sz="0" w:space="0" w:color="auto"/>
                <w:right w:val="none" w:sz="0" w:space="0" w:color="auto"/>
              </w:divBdr>
            </w:div>
          </w:divsChild>
        </w:div>
        <w:div w:id="1537041928">
          <w:marLeft w:val="0"/>
          <w:marRight w:val="0"/>
          <w:marTop w:val="0"/>
          <w:marBottom w:val="0"/>
          <w:divBdr>
            <w:top w:val="none" w:sz="0" w:space="0" w:color="auto"/>
            <w:left w:val="none" w:sz="0" w:space="0" w:color="auto"/>
            <w:bottom w:val="none" w:sz="0" w:space="0" w:color="auto"/>
            <w:right w:val="none" w:sz="0" w:space="0" w:color="auto"/>
          </w:divBdr>
          <w:divsChild>
            <w:div w:id="669675003">
              <w:marLeft w:val="0"/>
              <w:marRight w:val="0"/>
              <w:marTop w:val="0"/>
              <w:marBottom w:val="0"/>
              <w:divBdr>
                <w:top w:val="none" w:sz="0" w:space="0" w:color="auto"/>
                <w:left w:val="none" w:sz="0" w:space="0" w:color="auto"/>
                <w:bottom w:val="none" w:sz="0" w:space="0" w:color="auto"/>
                <w:right w:val="none" w:sz="0" w:space="0" w:color="auto"/>
              </w:divBdr>
            </w:div>
          </w:divsChild>
        </w:div>
        <w:div w:id="1544832021">
          <w:marLeft w:val="0"/>
          <w:marRight w:val="0"/>
          <w:marTop w:val="0"/>
          <w:marBottom w:val="0"/>
          <w:divBdr>
            <w:top w:val="none" w:sz="0" w:space="0" w:color="auto"/>
            <w:left w:val="none" w:sz="0" w:space="0" w:color="auto"/>
            <w:bottom w:val="none" w:sz="0" w:space="0" w:color="auto"/>
            <w:right w:val="none" w:sz="0" w:space="0" w:color="auto"/>
          </w:divBdr>
          <w:divsChild>
            <w:div w:id="26688428">
              <w:marLeft w:val="0"/>
              <w:marRight w:val="0"/>
              <w:marTop w:val="0"/>
              <w:marBottom w:val="0"/>
              <w:divBdr>
                <w:top w:val="none" w:sz="0" w:space="0" w:color="auto"/>
                <w:left w:val="none" w:sz="0" w:space="0" w:color="auto"/>
                <w:bottom w:val="none" w:sz="0" w:space="0" w:color="auto"/>
                <w:right w:val="none" w:sz="0" w:space="0" w:color="auto"/>
              </w:divBdr>
            </w:div>
          </w:divsChild>
        </w:div>
        <w:div w:id="1550800534">
          <w:marLeft w:val="0"/>
          <w:marRight w:val="0"/>
          <w:marTop w:val="0"/>
          <w:marBottom w:val="0"/>
          <w:divBdr>
            <w:top w:val="none" w:sz="0" w:space="0" w:color="auto"/>
            <w:left w:val="none" w:sz="0" w:space="0" w:color="auto"/>
            <w:bottom w:val="none" w:sz="0" w:space="0" w:color="auto"/>
            <w:right w:val="none" w:sz="0" w:space="0" w:color="auto"/>
          </w:divBdr>
          <w:divsChild>
            <w:div w:id="706217684">
              <w:marLeft w:val="0"/>
              <w:marRight w:val="0"/>
              <w:marTop w:val="0"/>
              <w:marBottom w:val="0"/>
              <w:divBdr>
                <w:top w:val="none" w:sz="0" w:space="0" w:color="auto"/>
                <w:left w:val="none" w:sz="0" w:space="0" w:color="auto"/>
                <w:bottom w:val="none" w:sz="0" w:space="0" w:color="auto"/>
                <w:right w:val="none" w:sz="0" w:space="0" w:color="auto"/>
              </w:divBdr>
            </w:div>
            <w:div w:id="1888299864">
              <w:marLeft w:val="0"/>
              <w:marRight w:val="0"/>
              <w:marTop w:val="0"/>
              <w:marBottom w:val="0"/>
              <w:divBdr>
                <w:top w:val="none" w:sz="0" w:space="0" w:color="auto"/>
                <w:left w:val="none" w:sz="0" w:space="0" w:color="auto"/>
                <w:bottom w:val="none" w:sz="0" w:space="0" w:color="auto"/>
                <w:right w:val="none" w:sz="0" w:space="0" w:color="auto"/>
              </w:divBdr>
            </w:div>
            <w:div w:id="1956594677">
              <w:marLeft w:val="0"/>
              <w:marRight w:val="0"/>
              <w:marTop w:val="0"/>
              <w:marBottom w:val="0"/>
              <w:divBdr>
                <w:top w:val="none" w:sz="0" w:space="0" w:color="auto"/>
                <w:left w:val="none" w:sz="0" w:space="0" w:color="auto"/>
                <w:bottom w:val="none" w:sz="0" w:space="0" w:color="auto"/>
                <w:right w:val="none" w:sz="0" w:space="0" w:color="auto"/>
              </w:divBdr>
            </w:div>
          </w:divsChild>
        </w:div>
        <w:div w:id="1580865980">
          <w:marLeft w:val="0"/>
          <w:marRight w:val="0"/>
          <w:marTop w:val="0"/>
          <w:marBottom w:val="0"/>
          <w:divBdr>
            <w:top w:val="none" w:sz="0" w:space="0" w:color="auto"/>
            <w:left w:val="none" w:sz="0" w:space="0" w:color="auto"/>
            <w:bottom w:val="none" w:sz="0" w:space="0" w:color="auto"/>
            <w:right w:val="none" w:sz="0" w:space="0" w:color="auto"/>
          </w:divBdr>
          <w:divsChild>
            <w:div w:id="283729515">
              <w:marLeft w:val="0"/>
              <w:marRight w:val="0"/>
              <w:marTop w:val="0"/>
              <w:marBottom w:val="0"/>
              <w:divBdr>
                <w:top w:val="none" w:sz="0" w:space="0" w:color="auto"/>
                <w:left w:val="none" w:sz="0" w:space="0" w:color="auto"/>
                <w:bottom w:val="none" w:sz="0" w:space="0" w:color="auto"/>
                <w:right w:val="none" w:sz="0" w:space="0" w:color="auto"/>
              </w:divBdr>
            </w:div>
            <w:div w:id="586692894">
              <w:marLeft w:val="0"/>
              <w:marRight w:val="0"/>
              <w:marTop w:val="0"/>
              <w:marBottom w:val="0"/>
              <w:divBdr>
                <w:top w:val="none" w:sz="0" w:space="0" w:color="auto"/>
                <w:left w:val="none" w:sz="0" w:space="0" w:color="auto"/>
                <w:bottom w:val="none" w:sz="0" w:space="0" w:color="auto"/>
                <w:right w:val="none" w:sz="0" w:space="0" w:color="auto"/>
              </w:divBdr>
            </w:div>
            <w:div w:id="799608880">
              <w:marLeft w:val="0"/>
              <w:marRight w:val="0"/>
              <w:marTop w:val="0"/>
              <w:marBottom w:val="0"/>
              <w:divBdr>
                <w:top w:val="none" w:sz="0" w:space="0" w:color="auto"/>
                <w:left w:val="none" w:sz="0" w:space="0" w:color="auto"/>
                <w:bottom w:val="none" w:sz="0" w:space="0" w:color="auto"/>
                <w:right w:val="none" w:sz="0" w:space="0" w:color="auto"/>
              </w:divBdr>
            </w:div>
            <w:div w:id="1687749523">
              <w:marLeft w:val="0"/>
              <w:marRight w:val="0"/>
              <w:marTop w:val="0"/>
              <w:marBottom w:val="0"/>
              <w:divBdr>
                <w:top w:val="none" w:sz="0" w:space="0" w:color="auto"/>
                <w:left w:val="none" w:sz="0" w:space="0" w:color="auto"/>
                <w:bottom w:val="none" w:sz="0" w:space="0" w:color="auto"/>
                <w:right w:val="none" w:sz="0" w:space="0" w:color="auto"/>
              </w:divBdr>
            </w:div>
          </w:divsChild>
        </w:div>
        <w:div w:id="1585340326">
          <w:marLeft w:val="0"/>
          <w:marRight w:val="0"/>
          <w:marTop w:val="0"/>
          <w:marBottom w:val="0"/>
          <w:divBdr>
            <w:top w:val="none" w:sz="0" w:space="0" w:color="auto"/>
            <w:left w:val="none" w:sz="0" w:space="0" w:color="auto"/>
            <w:bottom w:val="none" w:sz="0" w:space="0" w:color="auto"/>
            <w:right w:val="none" w:sz="0" w:space="0" w:color="auto"/>
          </w:divBdr>
          <w:divsChild>
            <w:div w:id="274215015">
              <w:marLeft w:val="0"/>
              <w:marRight w:val="0"/>
              <w:marTop w:val="0"/>
              <w:marBottom w:val="0"/>
              <w:divBdr>
                <w:top w:val="none" w:sz="0" w:space="0" w:color="auto"/>
                <w:left w:val="none" w:sz="0" w:space="0" w:color="auto"/>
                <w:bottom w:val="none" w:sz="0" w:space="0" w:color="auto"/>
                <w:right w:val="none" w:sz="0" w:space="0" w:color="auto"/>
              </w:divBdr>
            </w:div>
            <w:div w:id="774784825">
              <w:marLeft w:val="0"/>
              <w:marRight w:val="0"/>
              <w:marTop w:val="0"/>
              <w:marBottom w:val="0"/>
              <w:divBdr>
                <w:top w:val="none" w:sz="0" w:space="0" w:color="auto"/>
                <w:left w:val="none" w:sz="0" w:space="0" w:color="auto"/>
                <w:bottom w:val="none" w:sz="0" w:space="0" w:color="auto"/>
                <w:right w:val="none" w:sz="0" w:space="0" w:color="auto"/>
              </w:divBdr>
            </w:div>
            <w:div w:id="1802962191">
              <w:marLeft w:val="0"/>
              <w:marRight w:val="0"/>
              <w:marTop w:val="0"/>
              <w:marBottom w:val="0"/>
              <w:divBdr>
                <w:top w:val="none" w:sz="0" w:space="0" w:color="auto"/>
                <w:left w:val="none" w:sz="0" w:space="0" w:color="auto"/>
                <w:bottom w:val="none" w:sz="0" w:space="0" w:color="auto"/>
                <w:right w:val="none" w:sz="0" w:space="0" w:color="auto"/>
              </w:divBdr>
            </w:div>
            <w:div w:id="1906796964">
              <w:marLeft w:val="0"/>
              <w:marRight w:val="0"/>
              <w:marTop w:val="0"/>
              <w:marBottom w:val="0"/>
              <w:divBdr>
                <w:top w:val="none" w:sz="0" w:space="0" w:color="auto"/>
                <w:left w:val="none" w:sz="0" w:space="0" w:color="auto"/>
                <w:bottom w:val="none" w:sz="0" w:space="0" w:color="auto"/>
                <w:right w:val="none" w:sz="0" w:space="0" w:color="auto"/>
              </w:divBdr>
            </w:div>
          </w:divsChild>
        </w:div>
        <w:div w:id="1644192134">
          <w:marLeft w:val="0"/>
          <w:marRight w:val="0"/>
          <w:marTop w:val="0"/>
          <w:marBottom w:val="0"/>
          <w:divBdr>
            <w:top w:val="none" w:sz="0" w:space="0" w:color="auto"/>
            <w:left w:val="none" w:sz="0" w:space="0" w:color="auto"/>
            <w:bottom w:val="none" w:sz="0" w:space="0" w:color="auto"/>
            <w:right w:val="none" w:sz="0" w:space="0" w:color="auto"/>
          </w:divBdr>
          <w:divsChild>
            <w:div w:id="1865827096">
              <w:marLeft w:val="0"/>
              <w:marRight w:val="0"/>
              <w:marTop w:val="0"/>
              <w:marBottom w:val="0"/>
              <w:divBdr>
                <w:top w:val="none" w:sz="0" w:space="0" w:color="auto"/>
                <w:left w:val="none" w:sz="0" w:space="0" w:color="auto"/>
                <w:bottom w:val="none" w:sz="0" w:space="0" w:color="auto"/>
                <w:right w:val="none" w:sz="0" w:space="0" w:color="auto"/>
              </w:divBdr>
            </w:div>
            <w:div w:id="2080976962">
              <w:marLeft w:val="0"/>
              <w:marRight w:val="0"/>
              <w:marTop w:val="0"/>
              <w:marBottom w:val="0"/>
              <w:divBdr>
                <w:top w:val="none" w:sz="0" w:space="0" w:color="auto"/>
                <w:left w:val="none" w:sz="0" w:space="0" w:color="auto"/>
                <w:bottom w:val="none" w:sz="0" w:space="0" w:color="auto"/>
                <w:right w:val="none" w:sz="0" w:space="0" w:color="auto"/>
              </w:divBdr>
            </w:div>
          </w:divsChild>
        </w:div>
        <w:div w:id="1661423950">
          <w:marLeft w:val="0"/>
          <w:marRight w:val="0"/>
          <w:marTop w:val="0"/>
          <w:marBottom w:val="0"/>
          <w:divBdr>
            <w:top w:val="none" w:sz="0" w:space="0" w:color="auto"/>
            <w:left w:val="none" w:sz="0" w:space="0" w:color="auto"/>
            <w:bottom w:val="none" w:sz="0" w:space="0" w:color="auto"/>
            <w:right w:val="none" w:sz="0" w:space="0" w:color="auto"/>
          </w:divBdr>
          <w:divsChild>
            <w:div w:id="576743139">
              <w:marLeft w:val="0"/>
              <w:marRight w:val="0"/>
              <w:marTop w:val="0"/>
              <w:marBottom w:val="0"/>
              <w:divBdr>
                <w:top w:val="none" w:sz="0" w:space="0" w:color="auto"/>
                <w:left w:val="none" w:sz="0" w:space="0" w:color="auto"/>
                <w:bottom w:val="none" w:sz="0" w:space="0" w:color="auto"/>
                <w:right w:val="none" w:sz="0" w:space="0" w:color="auto"/>
              </w:divBdr>
            </w:div>
            <w:div w:id="680552503">
              <w:marLeft w:val="0"/>
              <w:marRight w:val="0"/>
              <w:marTop w:val="0"/>
              <w:marBottom w:val="0"/>
              <w:divBdr>
                <w:top w:val="none" w:sz="0" w:space="0" w:color="auto"/>
                <w:left w:val="none" w:sz="0" w:space="0" w:color="auto"/>
                <w:bottom w:val="none" w:sz="0" w:space="0" w:color="auto"/>
                <w:right w:val="none" w:sz="0" w:space="0" w:color="auto"/>
              </w:divBdr>
            </w:div>
            <w:div w:id="941572017">
              <w:marLeft w:val="0"/>
              <w:marRight w:val="0"/>
              <w:marTop w:val="0"/>
              <w:marBottom w:val="0"/>
              <w:divBdr>
                <w:top w:val="none" w:sz="0" w:space="0" w:color="auto"/>
                <w:left w:val="none" w:sz="0" w:space="0" w:color="auto"/>
                <w:bottom w:val="none" w:sz="0" w:space="0" w:color="auto"/>
                <w:right w:val="none" w:sz="0" w:space="0" w:color="auto"/>
              </w:divBdr>
            </w:div>
            <w:div w:id="1490712625">
              <w:marLeft w:val="0"/>
              <w:marRight w:val="0"/>
              <w:marTop w:val="0"/>
              <w:marBottom w:val="0"/>
              <w:divBdr>
                <w:top w:val="none" w:sz="0" w:space="0" w:color="auto"/>
                <w:left w:val="none" w:sz="0" w:space="0" w:color="auto"/>
                <w:bottom w:val="none" w:sz="0" w:space="0" w:color="auto"/>
                <w:right w:val="none" w:sz="0" w:space="0" w:color="auto"/>
              </w:divBdr>
            </w:div>
            <w:div w:id="2128965529">
              <w:marLeft w:val="0"/>
              <w:marRight w:val="0"/>
              <w:marTop w:val="0"/>
              <w:marBottom w:val="0"/>
              <w:divBdr>
                <w:top w:val="none" w:sz="0" w:space="0" w:color="auto"/>
                <w:left w:val="none" w:sz="0" w:space="0" w:color="auto"/>
                <w:bottom w:val="none" w:sz="0" w:space="0" w:color="auto"/>
                <w:right w:val="none" w:sz="0" w:space="0" w:color="auto"/>
              </w:divBdr>
            </w:div>
          </w:divsChild>
        </w:div>
        <w:div w:id="1671562859">
          <w:marLeft w:val="0"/>
          <w:marRight w:val="0"/>
          <w:marTop w:val="0"/>
          <w:marBottom w:val="0"/>
          <w:divBdr>
            <w:top w:val="none" w:sz="0" w:space="0" w:color="auto"/>
            <w:left w:val="none" w:sz="0" w:space="0" w:color="auto"/>
            <w:bottom w:val="none" w:sz="0" w:space="0" w:color="auto"/>
            <w:right w:val="none" w:sz="0" w:space="0" w:color="auto"/>
          </w:divBdr>
          <w:divsChild>
            <w:div w:id="18623453">
              <w:marLeft w:val="0"/>
              <w:marRight w:val="0"/>
              <w:marTop w:val="0"/>
              <w:marBottom w:val="0"/>
              <w:divBdr>
                <w:top w:val="none" w:sz="0" w:space="0" w:color="auto"/>
                <w:left w:val="none" w:sz="0" w:space="0" w:color="auto"/>
                <w:bottom w:val="none" w:sz="0" w:space="0" w:color="auto"/>
                <w:right w:val="none" w:sz="0" w:space="0" w:color="auto"/>
              </w:divBdr>
            </w:div>
          </w:divsChild>
        </w:div>
        <w:div w:id="1674717382">
          <w:marLeft w:val="0"/>
          <w:marRight w:val="0"/>
          <w:marTop w:val="0"/>
          <w:marBottom w:val="0"/>
          <w:divBdr>
            <w:top w:val="none" w:sz="0" w:space="0" w:color="auto"/>
            <w:left w:val="none" w:sz="0" w:space="0" w:color="auto"/>
            <w:bottom w:val="none" w:sz="0" w:space="0" w:color="auto"/>
            <w:right w:val="none" w:sz="0" w:space="0" w:color="auto"/>
          </w:divBdr>
          <w:divsChild>
            <w:div w:id="1542866648">
              <w:marLeft w:val="0"/>
              <w:marRight w:val="0"/>
              <w:marTop w:val="0"/>
              <w:marBottom w:val="0"/>
              <w:divBdr>
                <w:top w:val="none" w:sz="0" w:space="0" w:color="auto"/>
                <w:left w:val="none" w:sz="0" w:space="0" w:color="auto"/>
                <w:bottom w:val="none" w:sz="0" w:space="0" w:color="auto"/>
                <w:right w:val="none" w:sz="0" w:space="0" w:color="auto"/>
              </w:divBdr>
            </w:div>
          </w:divsChild>
        </w:div>
        <w:div w:id="1738043108">
          <w:marLeft w:val="0"/>
          <w:marRight w:val="0"/>
          <w:marTop w:val="0"/>
          <w:marBottom w:val="0"/>
          <w:divBdr>
            <w:top w:val="none" w:sz="0" w:space="0" w:color="auto"/>
            <w:left w:val="none" w:sz="0" w:space="0" w:color="auto"/>
            <w:bottom w:val="none" w:sz="0" w:space="0" w:color="auto"/>
            <w:right w:val="none" w:sz="0" w:space="0" w:color="auto"/>
          </w:divBdr>
          <w:divsChild>
            <w:div w:id="2026394609">
              <w:marLeft w:val="0"/>
              <w:marRight w:val="0"/>
              <w:marTop w:val="0"/>
              <w:marBottom w:val="0"/>
              <w:divBdr>
                <w:top w:val="none" w:sz="0" w:space="0" w:color="auto"/>
                <w:left w:val="none" w:sz="0" w:space="0" w:color="auto"/>
                <w:bottom w:val="none" w:sz="0" w:space="0" w:color="auto"/>
                <w:right w:val="none" w:sz="0" w:space="0" w:color="auto"/>
              </w:divBdr>
            </w:div>
          </w:divsChild>
        </w:div>
        <w:div w:id="1744641520">
          <w:marLeft w:val="0"/>
          <w:marRight w:val="0"/>
          <w:marTop w:val="0"/>
          <w:marBottom w:val="0"/>
          <w:divBdr>
            <w:top w:val="none" w:sz="0" w:space="0" w:color="auto"/>
            <w:left w:val="none" w:sz="0" w:space="0" w:color="auto"/>
            <w:bottom w:val="none" w:sz="0" w:space="0" w:color="auto"/>
            <w:right w:val="none" w:sz="0" w:space="0" w:color="auto"/>
          </w:divBdr>
          <w:divsChild>
            <w:div w:id="2067364542">
              <w:marLeft w:val="0"/>
              <w:marRight w:val="0"/>
              <w:marTop w:val="0"/>
              <w:marBottom w:val="0"/>
              <w:divBdr>
                <w:top w:val="none" w:sz="0" w:space="0" w:color="auto"/>
                <w:left w:val="none" w:sz="0" w:space="0" w:color="auto"/>
                <w:bottom w:val="none" w:sz="0" w:space="0" w:color="auto"/>
                <w:right w:val="none" w:sz="0" w:space="0" w:color="auto"/>
              </w:divBdr>
            </w:div>
          </w:divsChild>
        </w:div>
        <w:div w:id="1753509189">
          <w:marLeft w:val="0"/>
          <w:marRight w:val="0"/>
          <w:marTop w:val="0"/>
          <w:marBottom w:val="0"/>
          <w:divBdr>
            <w:top w:val="none" w:sz="0" w:space="0" w:color="auto"/>
            <w:left w:val="none" w:sz="0" w:space="0" w:color="auto"/>
            <w:bottom w:val="none" w:sz="0" w:space="0" w:color="auto"/>
            <w:right w:val="none" w:sz="0" w:space="0" w:color="auto"/>
          </w:divBdr>
          <w:divsChild>
            <w:div w:id="728921953">
              <w:marLeft w:val="0"/>
              <w:marRight w:val="0"/>
              <w:marTop w:val="0"/>
              <w:marBottom w:val="0"/>
              <w:divBdr>
                <w:top w:val="none" w:sz="0" w:space="0" w:color="auto"/>
                <w:left w:val="none" w:sz="0" w:space="0" w:color="auto"/>
                <w:bottom w:val="none" w:sz="0" w:space="0" w:color="auto"/>
                <w:right w:val="none" w:sz="0" w:space="0" w:color="auto"/>
              </w:divBdr>
            </w:div>
          </w:divsChild>
        </w:div>
        <w:div w:id="1754819664">
          <w:marLeft w:val="0"/>
          <w:marRight w:val="0"/>
          <w:marTop w:val="0"/>
          <w:marBottom w:val="0"/>
          <w:divBdr>
            <w:top w:val="none" w:sz="0" w:space="0" w:color="auto"/>
            <w:left w:val="none" w:sz="0" w:space="0" w:color="auto"/>
            <w:bottom w:val="none" w:sz="0" w:space="0" w:color="auto"/>
            <w:right w:val="none" w:sz="0" w:space="0" w:color="auto"/>
          </w:divBdr>
          <w:divsChild>
            <w:div w:id="103500101">
              <w:marLeft w:val="0"/>
              <w:marRight w:val="0"/>
              <w:marTop w:val="0"/>
              <w:marBottom w:val="0"/>
              <w:divBdr>
                <w:top w:val="none" w:sz="0" w:space="0" w:color="auto"/>
                <w:left w:val="none" w:sz="0" w:space="0" w:color="auto"/>
                <w:bottom w:val="none" w:sz="0" w:space="0" w:color="auto"/>
                <w:right w:val="none" w:sz="0" w:space="0" w:color="auto"/>
              </w:divBdr>
            </w:div>
          </w:divsChild>
        </w:div>
        <w:div w:id="1757245650">
          <w:marLeft w:val="0"/>
          <w:marRight w:val="0"/>
          <w:marTop w:val="0"/>
          <w:marBottom w:val="0"/>
          <w:divBdr>
            <w:top w:val="none" w:sz="0" w:space="0" w:color="auto"/>
            <w:left w:val="none" w:sz="0" w:space="0" w:color="auto"/>
            <w:bottom w:val="none" w:sz="0" w:space="0" w:color="auto"/>
            <w:right w:val="none" w:sz="0" w:space="0" w:color="auto"/>
          </w:divBdr>
          <w:divsChild>
            <w:div w:id="1143498505">
              <w:marLeft w:val="0"/>
              <w:marRight w:val="0"/>
              <w:marTop w:val="0"/>
              <w:marBottom w:val="0"/>
              <w:divBdr>
                <w:top w:val="none" w:sz="0" w:space="0" w:color="auto"/>
                <w:left w:val="none" w:sz="0" w:space="0" w:color="auto"/>
                <w:bottom w:val="none" w:sz="0" w:space="0" w:color="auto"/>
                <w:right w:val="none" w:sz="0" w:space="0" w:color="auto"/>
              </w:divBdr>
            </w:div>
          </w:divsChild>
        </w:div>
        <w:div w:id="1761633025">
          <w:marLeft w:val="0"/>
          <w:marRight w:val="0"/>
          <w:marTop w:val="0"/>
          <w:marBottom w:val="0"/>
          <w:divBdr>
            <w:top w:val="none" w:sz="0" w:space="0" w:color="auto"/>
            <w:left w:val="none" w:sz="0" w:space="0" w:color="auto"/>
            <w:bottom w:val="none" w:sz="0" w:space="0" w:color="auto"/>
            <w:right w:val="none" w:sz="0" w:space="0" w:color="auto"/>
          </w:divBdr>
          <w:divsChild>
            <w:div w:id="454176305">
              <w:marLeft w:val="0"/>
              <w:marRight w:val="0"/>
              <w:marTop w:val="0"/>
              <w:marBottom w:val="0"/>
              <w:divBdr>
                <w:top w:val="none" w:sz="0" w:space="0" w:color="auto"/>
                <w:left w:val="none" w:sz="0" w:space="0" w:color="auto"/>
                <w:bottom w:val="none" w:sz="0" w:space="0" w:color="auto"/>
                <w:right w:val="none" w:sz="0" w:space="0" w:color="auto"/>
              </w:divBdr>
            </w:div>
            <w:div w:id="759067035">
              <w:marLeft w:val="0"/>
              <w:marRight w:val="0"/>
              <w:marTop w:val="0"/>
              <w:marBottom w:val="0"/>
              <w:divBdr>
                <w:top w:val="none" w:sz="0" w:space="0" w:color="auto"/>
                <w:left w:val="none" w:sz="0" w:space="0" w:color="auto"/>
                <w:bottom w:val="none" w:sz="0" w:space="0" w:color="auto"/>
                <w:right w:val="none" w:sz="0" w:space="0" w:color="auto"/>
              </w:divBdr>
            </w:div>
            <w:div w:id="1074931262">
              <w:marLeft w:val="0"/>
              <w:marRight w:val="0"/>
              <w:marTop w:val="0"/>
              <w:marBottom w:val="0"/>
              <w:divBdr>
                <w:top w:val="none" w:sz="0" w:space="0" w:color="auto"/>
                <w:left w:val="none" w:sz="0" w:space="0" w:color="auto"/>
                <w:bottom w:val="none" w:sz="0" w:space="0" w:color="auto"/>
                <w:right w:val="none" w:sz="0" w:space="0" w:color="auto"/>
              </w:divBdr>
            </w:div>
            <w:div w:id="1338341019">
              <w:marLeft w:val="0"/>
              <w:marRight w:val="0"/>
              <w:marTop w:val="0"/>
              <w:marBottom w:val="0"/>
              <w:divBdr>
                <w:top w:val="none" w:sz="0" w:space="0" w:color="auto"/>
                <w:left w:val="none" w:sz="0" w:space="0" w:color="auto"/>
                <w:bottom w:val="none" w:sz="0" w:space="0" w:color="auto"/>
                <w:right w:val="none" w:sz="0" w:space="0" w:color="auto"/>
              </w:divBdr>
            </w:div>
            <w:div w:id="1414744398">
              <w:marLeft w:val="0"/>
              <w:marRight w:val="0"/>
              <w:marTop w:val="0"/>
              <w:marBottom w:val="0"/>
              <w:divBdr>
                <w:top w:val="none" w:sz="0" w:space="0" w:color="auto"/>
                <w:left w:val="none" w:sz="0" w:space="0" w:color="auto"/>
                <w:bottom w:val="none" w:sz="0" w:space="0" w:color="auto"/>
                <w:right w:val="none" w:sz="0" w:space="0" w:color="auto"/>
              </w:divBdr>
            </w:div>
          </w:divsChild>
        </w:div>
        <w:div w:id="1776515175">
          <w:marLeft w:val="0"/>
          <w:marRight w:val="0"/>
          <w:marTop w:val="0"/>
          <w:marBottom w:val="0"/>
          <w:divBdr>
            <w:top w:val="none" w:sz="0" w:space="0" w:color="auto"/>
            <w:left w:val="none" w:sz="0" w:space="0" w:color="auto"/>
            <w:bottom w:val="none" w:sz="0" w:space="0" w:color="auto"/>
            <w:right w:val="none" w:sz="0" w:space="0" w:color="auto"/>
          </w:divBdr>
          <w:divsChild>
            <w:div w:id="1680813115">
              <w:marLeft w:val="0"/>
              <w:marRight w:val="0"/>
              <w:marTop w:val="0"/>
              <w:marBottom w:val="0"/>
              <w:divBdr>
                <w:top w:val="none" w:sz="0" w:space="0" w:color="auto"/>
                <w:left w:val="none" w:sz="0" w:space="0" w:color="auto"/>
                <w:bottom w:val="none" w:sz="0" w:space="0" w:color="auto"/>
                <w:right w:val="none" w:sz="0" w:space="0" w:color="auto"/>
              </w:divBdr>
            </w:div>
          </w:divsChild>
        </w:div>
        <w:div w:id="1804081184">
          <w:marLeft w:val="0"/>
          <w:marRight w:val="0"/>
          <w:marTop w:val="0"/>
          <w:marBottom w:val="0"/>
          <w:divBdr>
            <w:top w:val="none" w:sz="0" w:space="0" w:color="auto"/>
            <w:left w:val="none" w:sz="0" w:space="0" w:color="auto"/>
            <w:bottom w:val="none" w:sz="0" w:space="0" w:color="auto"/>
            <w:right w:val="none" w:sz="0" w:space="0" w:color="auto"/>
          </w:divBdr>
          <w:divsChild>
            <w:div w:id="342897053">
              <w:marLeft w:val="0"/>
              <w:marRight w:val="0"/>
              <w:marTop w:val="0"/>
              <w:marBottom w:val="0"/>
              <w:divBdr>
                <w:top w:val="none" w:sz="0" w:space="0" w:color="auto"/>
                <w:left w:val="none" w:sz="0" w:space="0" w:color="auto"/>
                <w:bottom w:val="none" w:sz="0" w:space="0" w:color="auto"/>
                <w:right w:val="none" w:sz="0" w:space="0" w:color="auto"/>
              </w:divBdr>
            </w:div>
            <w:div w:id="1971857341">
              <w:marLeft w:val="0"/>
              <w:marRight w:val="0"/>
              <w:marTop w:val="0"/>
              <w:marBottom w:val="0"/>
              <w:divBdr>
                <w:top w:val="none" w:sz="0" w:space="0" w:color="auto"/>
                <w:left w:val="none" w:sz="0" w:space="0" w:color="auto"/>
                <w:bottom w:val="none" w:sz="0" w:space="0" w:color="auto"/>
                <w:right w:val="none" w:sz="0" w:space="0" w:color="auto"/>
              </w:divBdr>
            </w:div>
          </w:divsChild>
        </w:div>
        <w:div w:id="1809741773">
          <w:marLeft w:val="0"/>
          <w:marRight w:val="0"/>
          <w:marTop w:val="0"/>
          <w:marBottom w:val="0"/>
          <w:divBdr>
            <w:top w:val="none" w:sz="0" w:space="0" w:color="auto"/>
            <w:left w:val="none" w:sz="0" w:space="0" w:color="auto"/>
            <w:bottom w:val="none" w:sz="0" w:space="0" w:color="auto"/>
            <w:right w:val="none" w:sz="0" w:space="0" w:color="auto"/>
          </w:divBdr>
          <w:divsChild>
            <w:div w:id="1422144802">
              <w:marLeft w:val="0"/>
              <w:marRight w:val="0"/>
              <w:marTop w:val="0"/>
              <w:marBottom w:val="0"/>
              <w:divBdr>
                <w:top w:val="none" w:sz="0" w:space="0" w:color="auto"/>
                <w:left w:val="none" w:sz="0" w:space="0" w:color="auto"/>
                <w:bottom w:val="none" w:sz="0" w:space="0" w:color="auto"/>
                <w:right w:val="none" w:sz="0" w:space="0" w:color="auto"/>
              </w:divBdr>
            </w:div>
          </w:divsChild>
        </w:div>
        <w:div w:id="1809786532">
          <w:marLeft w:val="0"/>
          <w:marRight w:val="0"/>
          <w:marTop w:val="0"/>
          <w:marBottom w:val="0"/>
          <w:divBdr>
            <w:top w:val="none" w:sz="0" w:space="0" w:color="auto"/>
            <w:left w:val="none" w:sz="0" w:space="0" w:color="auto"/>
            <w:bottom w:val="none" w:sz="0" w:space="0" w:color="auto"/>
            <w:right w:val="none" w:sz="0" w:space="0" w:color="auto"/>
          </w:divBdr>
          <w:divsChild>
            <w:div w:id="603146304">
              <w:marLeft w:val="0"/>
              <w:marRight w:val="0"/>
              <w:marTop w:val="0"/>
              <w:marBottom w:val="0"/>
              <w:divBdr>
                <w:top w:val="none" w:sz="0" w:space="0" w:color="auto"/>
                <w:left w:val="none" w:sz="0" w:space="0" w:color="auto"/>
                <w:bottom w:val="none" w:sz="0" w:space="0" w:color="auto"/>
                <w:right w:val="none" w:sz="0" w:space="0" w:color="auto"/>
              </w:divBdr>
            </w:div>
            <w:div w:id="1123235443">
              <w:marLeft w:val="0"/>
              <w:marRight w:val="0"/>
              <w:marTop w:val="0"/>
              <w:marBottom w:val="0"/>
              <w:divBdr>
                <w:top w:val="none" w:sz="0" w:space="0" w:color="auto"/>
                <w:left w:val="none" w:sz="0" w:space="0" w:color="auto"/>
                <w:bottom w:val="none" w:sz="0" w:space="0" w:color="auto"/>
                <w:right w:val="none" w:sz="0" w:space="0" w:color="auto"/>
              </w:divBdr>
            </w:div>
            <w:div w:id="2075468960">
              <w:marLeft w:val="0"/>
              <w:marRight w:val="0"/>
              <w:marTop w:val="0"/>
              <w:marBottom w:val="0"/>
              <w:divBdr>
                <w:top w:val="none" w:sz="0" w:space="0" w:color="auto"/>
                <w:left w:val="none" w:sz="0" w:space="0" w:color="auto"/>
                <w:bottom w:val="none" w:sz="0" w:space="0" w:color="auto"/>
                <w:right w:val="none" w:sz="0" w:space="0" w:color="auto"/>
              </w:divBdr>
            </w:div>
          </w:divsChild>
        </w:div>
        <w:div w:id="1825197880">
          <w:marLeft w:val="0"/>
          <w:marRight w:val="0"/>
          <w:marTop w:val="0"/>
          <w:marBottom w:val="0"/>
          <w:divBdr>
            <w:top w:val="none" w:sz="0" w:space="0" w:color="auto"/>
            <w:left w:val="none" w:sz="0" w:space="0" w:color="auto"/>
            <w:bottom w:val="none" w:sz="0" w:space="0" w:color="auto"/>
            <w:right w:val="none" w:sz="0" w:space="0" w:color="auto"/>
          </w:divBdr>
          <w:divsChild>
            <w:div w:id="1138033674">
              <w:marLeft w:val="0"/>
              <w:marRight w:val="0"/>
              <w:marTop w:val="0"/>
              <w:marBottom w:val="0"/>
              <w:divBdr>
                <w:top w:val="none" w:sz="0" w:space="0" w:color="auto"/>
                <w:left w:val="none" w:sz="0" w:space="0" w:color="auto"/>
                <w:bottom w:val="none" w:sz="0" w:space="0" w:color="auto"/>
                <w:right w:val="none" w:sz="0" w:space="0" w:color="auto"/>
              </w:divBdr>
            </w:div>
            <w:div w:id="2090998642">
              <w:marLeft w:val="0"/>
              <w:marRight w:val="0"/>
              <w:marTop w:val="0"/>
              <w:marBottom w:val="0"/>
              <w:divBdr>
                <w:top w:val="none" w:sz="0" w:space="0" w:color="auto"/>
                <w:left w:val="none" w:sz="0" w:space="0" w:color="auto"/>
                <w:bottom w:val="none" w:sz="0" w:space="0" w:color="auto"/>
                <w:right w:val="none" w:sz="0" w:space="0" w:color="auto"/>
              </w:divBdr>
            </w:div>
          </w:divsChild>
        </w:div>
        <w:div w:id="1851678261">
          <w:marLeft w:val="0"/>
          <w:marRight w:val="0"/>
          <w:marTop w:val="0"/>
          <w:marBottom w:val="0"/>
          <w:divBdr>
            <w:top w:val="none" w:sz="0" w:space="0" w:color="auto"/>
            <w:left w:val="none" w:sz="0" w:space="0" w:color="auto"/>
            <w:bottom w:val="none" w:sz="0" w:space="0" w:color="auto"/>
            <w:right w:val="none" w:sz="0" w:space="0" w:color="auto"/>
          </w:divBdr>
          <w:divsChild>
            <w:div w:id="199251091">
              <w:marLeft w:val="0"/>
              <w:marRight w:val="0"/>
              <w:marTop w:val="0"/>
              <w:marBottom w:val="0"/>
              <w:divBdr>
                <w:top w:val="none" w:sz="0" w:space="0" w:color="auto"/>
                <w:left w:val="none" w:sz="0" w:space="0" w:color="auto"/>
                <w:bottom w:val="none" w:sz="0" w:space="0" w:color="auto"/>
                <w:right w:val="none" w:sz="0" w:space="0" w:color="auto"/>
              </w:divBdr>
            </w:div>
            <w:div w:id="776490659">
              <w:marLeft w:val="0"/>
              <w:marRight w:val="0"/>
              <w:marTop w:val="0"/>
              <w:marBottom w:val="0"/>
              <w:divBdr>
                <w:top w:val="none" w:sz="0" w:space="0" w:color="auto"/>
                <w:left w:val="none" w:sz="0" w:space="0" w:color="auto"/>
                <w:bottom w:val="none" w:sz="0" w:space="0" w:color="auto"/>
                <w:right w:val="none" w:sz="0" w:space="0" w:color="auto"/>
              </w:divBdr>
            </w:div>
            <w:div w:id="805044925">
              <w:marLeft w:val="0"/>
              <w:marRight w:val="0"/>
              <w:marTop w:val="0"/>
              <w:marBottom w:val="0"/>
              <w:divBdr>
                <w:top w:val="none" w:sz="0" w:space="0" w:color="auto"/>
                <w:left w:val="none" w:sz="0" w:space="0" w:color="auto"/>
                <w:bottom w:val="none" w:sz="0" w:space="0" w:color="auto"/>
                <w:right w:val="none" w:sz="0" w:space="0" w:color="auto"/>
              </w:divBdr>
            </w:div>
            <w:div w:id="961545182">
              <w:marLeft w:val="0"/>
              <w:marRight w:val="0"/>
              <w:marTop w:val="0"/>
              <w:marBottom w:val="0"/>
              <w:divBdr>
                <w:top w:val="none" w:sz="0" w:space="0" w:color="auto"/>
                <w:left w:val="none" w:sz="0" w:space="0" w:color="auto"/>
                <w:bottom w:val="none" w:sz="0" w:space="0" w:color="auto"/>
                <w:right w:val="none" w:sz="0" w:space="0" w:color="auto"/>
              </w:divBdr>
            </w:div>
            <w:div w:id="1530334310">
              <w:marLeft w:val="0"/>
              <w:marRight w:val="0"/>
              <w:marTop w:val="0"/>
              <w:marBottom w:val="0"/>
              <w:divBdr>
                <w:top w:val="none" w:sz="0" w:space="0" w:color="auto"/>
                <w:left w:val="none" w:sz="0" w:space="0" w:color="auto"/>
                <w:bottom w:val="none" w:sz="0" w:space="0" w:color="auto"/>
                <w:right w:val="none" w:sz="0" w:space="0" w:color="auto"/>
              </w:divBdr>
            </w:div>
          </w:divsChild>
        </w:div>
        <w:div w:id="1890649088">
          <w:marLeft w:val="0"/>
          <w:marRight w:val="0"/>
          <w:marTop w:val="0"/>
          <w:marBottom w:val="0"/>
          <w:divBdr>
            <w:top w:val="none" w:sz="0" w:space="0" w:color="auto"/>
            <w:left w:val="none" w:sz="0" w:space="0" w:color="auto"/>
            <w:bottom w:val="none" w:sz="0" w:space="0" w:color="auto"/>
            <w:right w:val="none" w:sz="0" w:space="0" w:color="auto"/>
          </w:divBdr>
          <w:divsChild>
            <w:div w:id="1766224223">
              <w:marLeft w:val="0"/>
              <w:marRight w:val="0"/>
              <w:marTop w:val="0"/>
              <w:marBottom w:val="0"/>
              <w:divBdr>
                <w:top w:val="none" w:sz="0" w:space="0" w:color="auto"/>
                <w:left w:val="none" w:sz="0" w:space="0" w:color="auto"/>
                <w:bottom w:val="none" w:sz="0" w:space="0" w:color="auto"/>
                <w:right w:val="none" w:sz="0" w:space="0" w:color="auto"/>
              </w:divBdr>
            </w:div>
          </w:divsChild>
        </w:div>
        <w:div w:id="1891846864">
          <w:marLeft w:val="0"/>
          <w:marRight w:val="0"/>
          <w:marTop w:val="0"/>
          <w:marBottom w:val="0"/>
          <w:divBdr>
            <w:top w:val="none" w:sz="0" w:space="0" w:color="auto"/>
            <w:left w:val="none" w:sz="0" w:space="0" w:color="auto"/>
            <w:bottom w:val="none" w:sz="0" w:space="0" w:color="auto"/>
            <w:right w:val="none" w:sz="0" w:space="0" w:color="auto"/>
          </w:divBdr>
          <w:divsChild>
            <w:div w:id="1531258725">
              <w:marLeft w:val="0"/>
              <w:marRight w:val="0"/>
              <w:marTop w:val="0"/>
              <w:marBottom w:val="0"/>
              <w:divBdr>
                <w:top w:val="none" w:sz="0" w:space="0" w:color="auto"/>
                <w:left w:val="none" w:sz="0" w:space="0" w:color="auto"/>
                <w:bottom w:val="none" w:sz="0" w:space="0" w:color="auto"/>
                <w:right w:val="none" w:sz="0" w:space="0" w:color="auto"/>
              </w:divBdr>
            </w:div>
            <w:div w:id="1845045653">
              <w:marLeft w:val="0"/>
              <w:marRight w:val="0"/>
              <w:marTop w:val="0"/>
              <w:marBottom w:val="0"/>
              <w:divBdr>
                <w:top w:val="none" w:sz="0" w:space="0" w:color="auto"/>
                <w:left w:val="none" w:sz="0" w:space="0" w:color="auto"/>
                <w:bottom w:val="none" w:sz="0" w:space="0" w:color="auto"/>
                <w:right w:val="none" w:sz="0" w:space="0" w:color="auto"/>
              </w:divBdr>
            </w:div>
            <w:div w:id="1881550610">
              <w:marLeft w:val="0"/>
              <w:marRight w:val="0"/>
              <w:marTop w:val="0"/>
              <w:marBottom w:val="0"/>
              <w:divBdr>
                <w:top w:val="none" w:sz="0" w:space="0" w:color="auto"/>
                <w:left w:val="none" w:sz="0" w:space="0" w:color="auto"/>
                <w:bottom w:val="none" w:sz="0" w:space="0" w:color="auto"/>
                <w:right w:val="none" w:sz="0" w:space="0" w:color="auto"/>
              </w:divBdr>
            </w:div>
          </w:divsChild>
        </w:div>
        <w:div w:id="1902978337">
          <w:marLeft w:val="0"/>
          <w:marRight w:val="0"/>
          <w:marTop w:val="0"/>
          <w:marBottom w:val="0"/>
          <w:divBdr>
            <w:top w:val="none" w:sz="0" w:space="0" w:color="auto"/>
            <w:left w:val="none" w:sz="0" w:space="0" w:color="auto"/>
            <w:bottom w:val="none" w:sz="0" w:space="0" w:color="auto"/>
            <w:right w:val="none" w:sz="0" w:space="0" w:color="auto"/>
          </w:divBdr>
          <w:divsChild>
            <w:div w:id="534541536">
              <w:marLeft w:val="0"/>
              <w:marRight w:val="0"/>
              <w:marTop w:val="0"/>
              <w:marBottom w:val="0"/>
              <w:divBdr>
                <w:top w:val="none" w:sz="0" w:space="0" w:color="auto"/>
                <w:left w:val="none" w:sz="0" w:space="0" w:color="auto"/>
                <w:bottom w:val="none" w:sz="0" w:space="0" w:color="auto"/>
                <w:right w:val="none" w:sz="0" w:space="0" w:color="auto"/>
              </w:divBdr>
            </w:div>
            <w:div w:id="793014878">
              <w:marLeft w:val="0"/>
              <w:marRight w:val="0"/>
              <w:marTop w:val="0"/>
              <w:marBottom w:val="0"/>
              <w:divBdr>
                <w:top w:val="none" w:sz="0" w:space="0" w:color="auto"/>
                <w:left w:val="none" w:sz="0" w:space="0" w:color="auto"/>
                <w:bottom w:val="none" w:sz="0" w:space="0" w:color="auto"/>
                <w:right w:val="none" w:sz="0" w:space="0" w:color="auto"/>
              </w:divBdr>
            </w:div>
          </w:divsChild>
        </w:div>
        <w:div w:id="1905070112">
          <w:marLeft w:val="0"/>
          <w:marRight w:val="0"/>
          <w:marTop w:val="0"/>
          <w:marBottom w:val="0"/>
          <w:divBdr>
            <w:top w:val="none" w:sz="0" w:space="0" w:color="auto"/>
            <w:left w:val="none" w:sz="0" w:space="0" w:color="auto"/>
            <w:bottom w:val="none" w:sz="0" w:space="0" w:color="auto"/>
            <w:right w:val="none" w:sz="0" w:space="0" w:color="auto"/>
          </w:divBdr>
          <w:divsChild>
            <w:div w:id="245313369">
              <w:marLeft w:val="0"/>
              <w:marRight w:val="0"/>
              <w:marTop w:val="0"/>
              <w:marBottom w:val="0"/>
              <w:divBdr>
                <w:top w:val="none" w:sz="0" w:space="0" w:color="auto"/>
                <w:left w:val="none" w:sz="0" w:space="0" w:color="auto"/>
                <w:bottom w:val="none" w:sz="0" w:space="0" w:color="auto"/>
                <w:right w:val="none" w:sz="0" w:space="0" w:color="auto"/>
              </w:divBdr>
            </w:div>
          </w:divsChild>
        </w:div>
        <w:div w:id="2002389000">
          <w:marLeft w:val="0"/>
          <w:marRight w:val="0"/>
          <w:marTop w:val="0"/>
          <w:marBottom w:val="0"/>
          <w:divBdr>
            <w:top w:val="none" w:sz="0" w:space="0" w:color="auto"/>
            <w:left w:val="none" w:sz="0" w:space="0" w:color="auto"/>
            <w:bottom w:val="none" w:sz="0" w:space="0" w:color="auto"/>
            <w:right w:val="none" w:sz="0" w:space="0" w:color="auto"/>
          </w:divBdr>
          <w:divsChild>
            <w:div w:id="219097764">
              <w:marLeft w:val="0"/>
              <w:marRight w:val="0"/>
              <w:marTop w:val="0"/>
              <w:marBottom w:val="0"/>
              <w:divBdr>
                <w:top w:val="none" w:sz="0" w:space="0" w:color="auto"/>
                <w:left w:val="none" w:sz="0" w:space="0" w:color="auto"/>
                <w:bottom w:val="none" w:sz="0" w:space="0" w:color="auto"/>
                <w:right w:val="none" w:sz="0" w:space="0" w:color="auto"/>
              </w:divBdr>
            </w:div>
          </w:divsChild>
        </w:div>
        <w:div w:id="2007122175">
          <w:marLeft w:val="0"/>
          <w:marRight w:val="0"/>
          <w:marTop w:val="0"/>
          <w:marBottom w:val="0"/>
          <w:divBdr>
            <w:top w:val="none" w:sz="0" w:space="0" w:color="auto"/>
            <w:left w:val="none" w:sz="0" w:space="0" w:color="auto"/>
            <w:bottom w:val="none" w:sz="0" w:space="0" w:color="auto"/>
            <w:right w:val="none" w:sz="0" w:space="0" w:color="auto"/>
          </w:divBdr>
          <w:divsChild>
            <w:div w:id="2032797629">
              <w:marLeft w:val="0"/>
              <w:marRight w:val="0"/>
              <w:marTop w:val="0"/>
              <w:marBottom w:val="0"/>
              <w:divBdr>
                <w:top w:val="none" w:sz="0" w:space="0" w:color="auto"/>
                <w:left w:val="none" w:sz="0" w:space="0" w:color="auto"/>
                <w:bottom w:val="none" w:sz="0" w:space="0" w:color="auto"/>
                <w:right w:val="none" w:sz="0" w:space="0" w:color="auto"/>
              </w:divBdr>
            </w:div>
          </w:divsChild>
        </w:div>
        <w:div w:id="2028630426">
          <w:marLeft w:val="0"/>
          <w:marRight w:val="0"/>
          <w:marTop w:val="0"/>
          <w:marBottom w:val="0"/>
          <w:divBdr>
            <w:top w:val="none" w:sz="0" w:space="0" w:color="auto"/>
            <w:left w:val="none" w:sz="0" w:space="0" w:color="auto"/>
            <w:bottom w:val="none" w:sz="0" w:space="0" w:color="auto"/>
            <w:right w:val="none" w:sz="0" w:space="0" w:color="auto"/>
          </w:divBdr>
          <w:divsChild>
            <w:div w:id="378938266">
              <w:marLeft w:val="0"/>
              <w:marRight w:val="0"/>
              <w:marTop w:val="0"/>
              <w:marBottom w:val="0"/>
              <w:divBdr>
                <w:top w:val="none" w:sz="0" w:space="0" w:color="auto"/>
                <w:left w:val="none" w:sz="0" w:space="0" w:color="auto"/>
                <w:bottom w:val="none" w:sz="0" w:space="0" w:color="auto"/>
                <w:right w:val="none" w:sz="0" w:space="0" w:color="auto"/>
              </w:divBdr>
            </w:div>
            <w:div w:id="1342270144">
              <w:marLeft w:val="0"/>
              <w:marRight w:val="0"/>
              <w:marTop w:val="0"/>
              <w:marBottom w:val="0"/>
              <w:divBdr>
                <w:top w:val="none" w:sz="0" w:space="0" w:color="auto"/>
                <w:left w:val="none" w:sz="0" w:space="0" w:color="auto"/>
                <w:bottom w:val="none" w:sz="0" w:space="0" w:color="auto"/>
                <w:right w:val="none" w:sz="0" w:space="0" w:color="auto"/>
              </w:divBdr>
            </w:div>
          </w:divsChild>
        </w:div>
        <w:div w:id="2032683748">
          <w:marLeft w:val="0"/>
          <w:marRight w:val="0"/>
          <w:marTop w:val="0"/>
          <w:marBottom w:val="0"/>
          <w:divBdr>
            <w:top w:val="none" w:sz="0" w:space="0" w:color="auto"/>
            <w:left w:val="none" w:sz="0" w:space="0" w:color="auto"/>
            <w:bottom w:val="none" w:sz="0" w:space="0" w:color="auto"/>
            <w:right w:val="none" w:sz="0" w:space="0" w:color="auto"/>
          </w:divBdr>
          <w:divsChild>
            <w:div w:id="342900086">
              <w:marLeft w:val="0"/>
              <w:marRight w:val="0"/>
              <w:marTop w:val="0"/>
              <w:marBottom w:val="0"/>
              <w:divBdr>
                <w:top w:val="none" w:sz="0" w:space="0" w:color="auto"/>
                <w:left w:val="none" w:sz="0" w:space="0" w:color="auto"/>
                <w:bottom w:val="none" w:sz="0" w:space="0" w:color="auto"/>
                <w:right w:val="none" w:sz="0" w:space="0" w:color="auto"/>
              </w:divBdr>
            </w:div>
          </w:divsChild>
        </w:div>
        <w:div w:id="2099785136">
          <w:marLeft w:val="0"/>
          <w:marRight w:val="0"/>
          <w:marTop w:val="0"/>
          <w:marBottom w:val="0"/>
          <w:divBdr>
            <w:top w:val="none" w:sz="0" w:space="0" w:color="auto"/>
            <w:left w:val="none" w:sz="0" w:space="0" w:color="auto"/>
            <w:bottom w:val="none" w:sz="0" w:space="0" w:color="auto"/>
            <w:right w:val="none" w:sz="0" w:space="0" w:color="auto"/>
          </w:divBdr>
          <w:divsChild>
            <w:div w:id="564069656">
              <w:marLeft w:val="0"/>
              <w:marRight w:val="0"/>
              <w:marTop w:val="0"/>
              <w:marBottom w:val="0"/>
              <w:divBdr>
                <w:top w:val="none" w:sz="0" w:space="0" w:color="auto"/>
                <w:left w:val="none" w:sz="0" w:space="0" w:color="auto"/>
                <w:bottom w:val="none" w:sz="0" w:space="0" w:color="auto"/>
                <w:right w:val="none" w:sz="0" w:space="0" w:color="auto"/>
              </w:divBdr>
            </w:div>
            <w:div w:id="636838457">
              <w:marLeft w:val="0"/>
              <w:marRight w:val="0"/>
              <w:marTop w:val="0"/>
              <w:marBottom w:val="0"/>
              <w:divBdr>
                <w:top w:val="none" w:sz="0" w:space="0" w:color="auto"/>
                <w:left w:val="none" w:sz="0" w:space="0" w:color="auto"/>
                <w:bottom w:val="none" w:sz="0" w:space="0" w:color="auto"/>
                <w:right w:val="none" w:sz="0" w:space="0" w:color="auto"/>
              </w:divBdr>
            </w:div>
            <w:div w:id="1386757887">
              <w:marLeft w:val="0"/>
              <w:marRight w:val="0"/>
              <w:marTop w:val="0"/>
              <w:marBottom w:val="0"/>
              <w:divBdr>
                <w:top w:val="none" w:sz="0" w:space="0" w:color="auto"/>
                <w:left w:val="none" w:sz="0" w:space="0" w:color="auto"/>
                <w:bottom w:val="none" w:sz="0" w:space="0" w:color="auto"/>
                <w:right w:val="none" w:sz="0" w:space="0" w:color="auto"/>
              </w:divBdr>
            </w:div>
            <w:div w:id="1777941869">
              <w:marLeft w:val="0"/>
              <w:marRight w:val="0"/>
              <w:marTop w:val="0"/>
              <w:marBottom w:val="0"/>
              <w:divBdr>
                <w:top w:val="none" w:sz="0" w:space="0" w:color="auto"/>
                <w:left w:val="none" w:sz="0" w:space="0" w:color="auto"/>
                <w:bottom w:val="none" w:sz="0" w:space="0" w:color="auto"/>
                <w:right w:val="none" w:sz="0" w:space="0" w:color="auto"/>
              </w:divBdr>
            </w:div>
            <w:div w:id="188575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206180">
      <w:bodyDiv w:val="1"/>
      <w:marLeft w:val="0"/>
      <w:marRight w:val="0"/>
      <w:marTop w:val="0"/>
      <w:marBottom w:val="0"/>
      <w:divBdr>
        <w:top w:val="none" w:sz="0" w:space="0" w:color="auto"/>
        <w:left w:val="none" w:sz="0" w:space="0" w:color="auto"/>
        <w:bottom w:val="none" w:sz="0" w:space="0" w:color="auto"/>
        <w:right w:val="none" w:sz="0" w:space="0" w:color="auto"/>
      </w:divBdr>
    </w:div>
    <w:div w:id="400176490">
      <w:bodyDiv w:val="1"/>
      <w:marLeft w:val="0"/>
      <w:marRight w:val="0"/>
      <w:marTop w:val="0"/>
      <w:marBottom w:val="0"/>
      <w:divBdr>
        <w:top w:val="none" w:sz="0" w:space="0" w:color="auto"/>
        <w:left w:val="none" w:sz="0" w:space="0" w:color="auto"/>
        <w:bottom w:val="none" w:sz="0" w:space="0" w:color="auto"/>
        <w:right w:val="none" w:sz="0" w:space="0" w:color="auto"/>
      </w:divBdr>
    </w:div>
    <w:div w:id="425922496">
      <w:bodyDiv w:val="1"/>
      <w:marLeft w:val="0"/>
      <w:marRight w:val="0"/>
      <w:marTop w:val="0"/>
      <w:marBottom w:val="0"/>
      <w:divBdr>
        <w:top w:val="none" w:sz="0" w:space="0" w:color="auto"/>
        <w:left w:val="none" w:sz="0" w:space="0" w:color="auto"/>
        <w:bottom w:val="none" w:sz="0" w:space="0" w:color="auto"/>
        <w:right w:val="none" w:sz="0" w:space="0" w:color="auto"/>
      </w:divBdr>
    </w:div>
    <w:div w:id="450442946">
      <w:bodyDiv w:val="1"/>
      <w:marLeft w:val="0"/>
      <w:marRight w:val="0"/>
      <w:marTop w:val="0"/>
      <w:marBottom w:val="0"/>
      <w:divBdr>
        <w:top w:val="none" w:sz="0" w:space="0" w:color="auto"/>
        <w:left w:val="none" w:sz="0" w:space="0" w:color="auto"/>
        <w:bottom w:val="none" w:sz="0" w:space="0" w:color="auto"/>
        <w:right w:val="none" w:sz="0" w:space="0" w:color="auto"/>
      </w:divBdr>
    </w:div>
    <w:div w:id="458649045">
      <w:bodyDiv w:val="1"/>
      <w:marLeft w:val="0"/>
      <w:marRight w:val="0"/>
      <w:marTop w:val="0"/>
      <w:marBottom w:val="0"/>
      <w:divBdr>
        <w:top w:val="none" w:sz="0" w:space="0" w:color="auto"/>
        <w:left w:val="none" w:sz="0" w:space="0" w:color="auto"/>
        <w:bottom w:val="none" w:sz="0" w:space="0" w:color="auto"/>
        <w:right w:val="none" w:sz="0" w:space="0" w:color="auto"/>
      </w:divBdr>
    </w:div>
    <w:div w:id="465047432">
      <w:bodyDiv w:val="1"/>
      <w:marLeft w:val="0"/>
      <w:marRight w:val="0"/>
      <w:marTop w:val="0"/>
      <w:marBottom w:val="0"/>
      <w:divBdr>
        <w:top w:val="none" w:sz="0" w:space="0" w:color="auto"/>
        <w:left w:val="none" w:sz="0" w:space="0" w:color="auto"/>
        <w:bottom w:val="none" w:sz="0" w:space="0" w:color="auto"/>
        <w:right w:val="none" w:sz="0" w:space="0" w:color="auto"/>
      </w:divBdr>
    </w:div>
    <w:div w:id="510797039">
      <w:bodyDiv w:val="1"/>
      <w:marLeft w:val="0"/>
      <w:marRight w:val="0"/>
      <w:marTop w:val="0"/>
      <w:marBottom w:val="0"/>
      <w:divBdr>
        <w:top w:val="none" w:sz="0" w:space="0" w:color="auto"/>
        <w:left w:val="none" w:sz="0" w:space="0" w:color="auto"/>
        <w:bottom w:val="none" w:sz="0" w:space="0" w:color="auto"/>
        <w:right w:val="none" w:sz="0" w:space="0" w:color="auto"/>
      </w:divBdr>
      <w:divsChild>
        <w:div w:id="747074819">
          <w:marLeft w:val="0"/>
          <w:marRight w:val="0"/>
          <w:marTop w:val="0"/>
          <w:marBottom w:val="0"/>
          <w:divBdr>
            <w:top w:val="none" w:sz="0" w:space="0" w:color="auto"/>
            <w:left w:val="none" w:sz="0" w:space="0" w:color="auto"/>
            <w:bottom w:val="none" w:sz="0" w:space="0" w:color="auto"/>
            <w:right w:val="none" w:sz="0" w:space="0" w:color="auto"/>
          </w:divBdr>
        </w:div>
        <w:div w:id="1012219579">
          <w:marLeft w:val="0"/>
          <w:marRight w:val="0"/>
          <w:marTop w:val="0"/>
          <w:marBottom w:val="0"/>
          <w:divBdr>
            <w:top w:val="none" w:sz="0" w:space="0" w:color="auto"/>
            <w:left w:val="none" w:sz="0" w:space="0" w:color="auto"/>
            <w:bottom w:val="none" w:sz="0" w:space="0" w:color="auto"/>
            <w:right w:val="none" w:sz="0" w:space="0" w:color="auto"/>
          </w:divBdr>
        </w:div>
      </w:divsChild>
    </w:div>
    <w:div w:id="534737322">
      <w:bodyDiv w:val="1"/>
      <w:marLeft w:val="0"/>
      <w:marRight w:val="0"/>
      <w:marTop w:val="0"/>
      <w:marBottom w:val="0"/>
      <w:divBdr>
        <w:top w:val="none" w:sz="0" w:space="0" w:color="auto"/>
        <w:left w:val="none" w:sz="0" w:space="0" w:color="auto"/>
        <w:bottom w:val="none" w:sz="0" w:space="0" w:color="auto"/>
        <w:right w:val="none" w:sz="0" w:space="0" w:color="auto"/>
      </w:divBdr>
    </w:div>
    <w:div w:id="559946523">
      <w:bodyDiv w:val="1"/>
      <w:marLeft w:val="0"/>
      <w:marRight w:val="0"/>
      <w:marTop w:val="0"/>
      <w:marBottom w:val="0"/>
      <w:divBdr>
        <w:top w:val="none" w:sz="0" w:space="0" w:color="auto"/>
        <w:left w:val="none" w:sz="0" w:space="0" w:color="auto"/>
        <w:bottom w:val="none" w:sz="0" w:space="0" w:color="auto"/>
        <w:right w:val="none" w:sz="0" w:space="0" w:color="auto"/>
      </w:divBdr>
    </w:div>
    <w:div w:id="567770819">
      <w:bodyDiv w:val="1"/>
      <w:marLeft w:val="0"/>
      <w:marRight w:val="0"/>
      <w:marTop w:val="0"/>
      <w:marBottom w:val="0"/>
      <w:divBdr>
        <w:top w:val="none" w:sz="0" w:space="0" w:color="auto"/>
        <w:left w:val="none" w:sz="0" w:space="0" w:color="auto"/>
        <w:bottom w:val="none" w:sz="0" w:space="0" w:color="auto"/>
        <w:right w:val="none" w:sz="0" w:space="0" w:color="auto"/>
      </w:divBdr>
    </w:div>
    <w:div w:id="575823271">
      <w:bodyDiv w:val="1"/>
      <w:marLeft w:val="0"/>
      <w:marRight w:val="0"/>
      <w:marTop w:val="0"/>
      <w:marBottom w:val="0"/>
      <w:divBdr>
        <w:top w:val="none" w:sz="0" w:space="0" w:color="auto"/>
        <w:left w:val="none" w:sz="0" w:space="0" w:color="auto"/>
        <w:bottom w:val="none" w:sz="0" w:space="0" w:color="auto"/>
        <w:right w:val="none" w:sz="0" w:space="0" w:color="auto"/>
      </w:divBdr>
    </w:div>
    <w:div w:id="589461141">
      <w:bodyDiv w:val="1"/>
      <w:marLeft w:val="0"/>
      <w:marRight w:val="0"/>
      <w:marTop w:val="0"/>
      <w:marBottom w:val="0"/>
      <w:divBdr>
        <w:top w:val="none" w:sz="0" w:space="0" w:color="auto"/>
        <w:left w:val="none" w:sz="0" w:space="0" w:color="auto"/>
        <w:bottom w:val="none" w:sz="0" w:space="0" w:color="auto"/>
        <w:right w:val="none" w:sz="0" w:space="0" w:color="auto"/>
      </w:divBdr>
    </w:div>
    <w:div w:id="618953329">
      <w:bodyDiv w:val="1"/>
      <w:marLeft w:val="0"/>
      <w:marRight w:val="0"/>
      <w:marTop w:val="0"/>
      <w:marBottom w:val="0"/>
      <w:divBdr>
        <w:top w:val="none" w:sz="0" w:space="0" w:color="auto"/>
        <w:left w:val="none" w:sz="0" w:space="0" w:color="auto"/>
        <w:bottom w:val="none" w:sz="0" w:space="0" w:color="auto"/>
        <w:right w:val="none" w:sz="0" w:space="0" w:color="auto"/>
      </w:divBdr>
    </w:div>
    <w:div w:id="631716650">
      <w:bodyDiv w:val="1"/>
      <w:marLeft w:val="0"/>
      <w:marRight w:val="0"/>
      <w:marTop w:val="0"/>
      <w:marBottom w:val="0"/>
      <w:divBdr>
        <w:top w:val="none" w:sz="0" w:space="0" w:color="auto"/>
        <w:left w:val="none" w:sz="0" w:space="0" w:color="auto"/>
        <w:bottom w:val="none" w:sz="0" w:space="0" w:color="auto"/>
        <w:right w:val="none" w:sz="0" w:space="0" w:color="auto"/>
      </w:divBdr>
    </w:div>
    <w:div w:id="704066876">
      <w:bodyDiv w:val="1"/>
      <w:marLeft w:val="0"/>
      <w:marRight w:val="0"/>
      <w:marTop w:val="0"/>
      <w:marBottom w:val="0"/>
      <w:divBdr>
        <w:top w:val="none" w:sz="0" w:space="0" w:color="auto"/>
        <w:left w:val="none" w:sz="0" w:space="0" w:color="auto"/>
        <w:bottom w:val="none" w:sz="0" w:space="0" w:color="auto"/>
        <w:right w:val="none" w:sz="0" w:space="0" w:color="auto"/>
      </w:divBdr>
    </w:div>
    <w:div w:id="713314564">
      <w:bodyDiv w:val="1"/>
      <w:marLeft w:val="0"/>
      <w:marRight w:val="0"/>
      <w:marTop w:val="0"/>
      <w:marBottom w:val="0"/>
      <w:divBdr>
        <w:top w:val="none" w:sz="0" w:space="0" w:color="auto"/>
        <w:left w:val="none" w:sz="0" w:space="0" w:color="auto"/>
        <w:bottom w:val="none" w:sz="0" w:space="0" w:color="auto"/>
        <w:right w:val="none" w:sz="0" w:space="0" w:color="auto"/>
      </w:divBdr>
    </w:div>
    <w:div w:id="731923904">
      <w:bodyDiv w:val="1"/>
      <w:marLeft w:val="0"/>
      <w:marRight w:val="0"/>
      <w:marTop w:val="0"/>
      <w:marBottom w:val="0"/>
      <w:divBdr>
        <w:top w:val="none" w:sz="0" w:space="0" w:color="auto"/>
        <w:left w:val="none" w:sz="0" w:space="0" w:color="auto"/>
        <w:bottom w:val="none" w:sz="0" w:space="0" w:color="auto"/>
        <w:right w:val="none" w:sz="0" w:space="0" w:color="auto"/>
      </w:divBdr>
    </w:div>
    <w:div w:id="734861295">
      <w:bodyDiv w:val="1"/>
      <w:marLeft w:val="0"/>
      <w:marRight w:val="0"/>
      <w:marTop w:val="0"/>
      <w:marBottom w:val="0"/>
      <w:divBdr>
        <w:top w:val="none" w:sz="0" w:space="0" w:color="auto"/>
        <w:left w:val="none" w:sz="0" w:space="0" w:color="auto"/>
        <w:bottom w:val="none" w:sz="0" w:space="0" w:color="auto"/>
        <w:right w:val="none" w:sz="0" w:space="0" w:color="auto"/>
      </w:divBdr>
    </w:div>
    <w:div w:id="808324281">
      <w:bodyDiv w:val="1"/>
      <w:marLeft w:val="0"/>
      <w:marRight w:val="0"/>
      <w:marTop w:val="0"/>
      <w:marBottom w:val="0"/>
      <w:divBdr>
        <w:top w:val="none" w:sz="0" w:space="0" w:color="auto"/>
        <w:left w:val="none" w:sz="0" w:space="0" w:color="auto"/>
        <w:bottom w:val="none" w:sz="0" w:space="0" w:color="auto"/>
        <w:right w:val="none" w:sz="0" w:space="0" w:color="auto"/>
      </w:divBdr>
    </w:div>
    <w:div w:id="871185859">
      <w:bodyDiv w:val="1"/>
      <w:marLeft w:val="0"/>
      <w:marRight w:val="0"/>
      <w:marTop w:val="0"/>
      <w:marBottom w:val="0"/>
      <w:divBdr>
        <w:top w:val="none" w:sz="0" w:space="0" w:color="auto"/>
        <w:left w:val="none" w:sz="0" w:space="0" w:color="auto"/>
        <w:bottom w:val="none" w:sz="0" w:space="0" w:color="auto"/>
        <w:right w:val="none" w:sz="0" w:space="0" w:color="auto"/>
      </w:divBdr>
    </w:div>
    <w:div w:id="903569938">
      <w:bodyDiv w:val="1"/>
      <w:marLeft w:val="0"/>
      <w:marRight w:val="0"/>
      <w:marTop w:val="0"/>
      <w:marBottom w:val="0"/>
      <w:divBdr>
        <w:top w:val="none" w:sz="0" w:space="0" w:color="auto"/>
        <w:left w:val="none" w:sz="0" w:space="0" w:color="auto"/>
        <w:bottom w:val="none" w:sz="0" w:space="0" w:color="auto"/>
        <w:right w:val="none" w:sz="0" w:space="0" w:color="auto"/>
      </w:divBdr>
    </w:div>
    <w:div w:id="942155193">
      <w:bodyDiv w:val="1"/>
      <w:marLeft w:val="0"/>
      <w:marRight w:val="0"/>
      <w:marTop w:val="0"/>
      <w:marBottom w:val="0"/>
      <w:divBdr>
        <w:top w:val="none" w:sz="0" w:space="0" w:color="auto"/>
        <w:left w:val="none" w:sz="0" w:space="0" w:color="auto"/>
        <w:bottom w:val="none" w:sz="0" w:space="0" w:color="auto"/>
        <w:right w:val="none" w:sz="0" w:space="0" w:color="auto"/>
      </w:divBdr>
    </w:div>
    <w:div w:id="945846309">
      <w:bodyDiv w:val="1"/>
      <w:marLeft w:val="0"/>
      <w:marRight w:val="0"/>
      <w:marTop w:val="0"/>
      <w:marBottom w:val="0"/>
      <w:divBdr>
        <w:top w:val="none" w:sz="0" w:space="0" w:color="auto"/>
        <w:left w:val="none" w:sz="0" w:space="0" w:color="auto"/>
        <w:bottom w:val="none" w:sz="0" w:space="0" w:color="auto"/>
        <w:right w:val="none" w:sz="0" w:space="0" w:color="auto"/>
      </w:divBdr>
      <w:divsChild>
        <w:div w:id="1207911316">
          <w:marLeft w:val="0"/>
          <w:marRight w:val="0"/>
          <w:marTop w:val="0"/>
          <w:marBottom w:val="0"/>
          <w:divBdr>
            <w:top w:val="none" w:sz="0" w:space="0" w:color="auto"/>
            <w:left w:val="none" w:sz="0" w:space="0" w:color="auto"/>
            <w:bottom w:val="none" w:sz="0" w:space="0" w:color="auto"/>
            <w:right w:val="none" w:sz="0" w:space="0" w:color="auto"/>
          </w:divBdr>
          <w:divsChild>
            <w:div w:id="756486107">
              <w:marLeft w:val="0"/>
              <w:marRight w:val="0"/>
              <w:marTop w:val="0"/>
              <w:marBottom w:val="0"/>
              <w:divBdr>
                <w:top w:val="none" w:sz="0" w:space="0" w:color="auto"/>
                <w:left w:val="none" w:sz="0" w:space="0" w:color="auto"/>
                <w:bottom w:val="none" w:sz="0" w:space="0" w:color="auto"/>
                <w:right w:val="none" w:sz="0" w:space="0" w:color="auto"/>
              </w:divBdr>
            </w:div>
          </w:divsChild>
        </w:div>
        <w:div w:id="1512572115">
          <w:marLeft w:val="0"/>
          <w:marRight w:val="0"/>
          <w:marTop w:val="0"/>
          <w:marBottom w:val="0"/>
          <w:divBdr>
            <w:top w:val="none" w:sz="0" w:space="0" w:color="auto"/>
            <w:left w:val="none" w:sz="0" w:space="0" w:color="auto"/>
            <w:bottom w:val="none" w:sz="0" w:space="0" w:color="auto"/>
            <w:right w:val="none" w:sz="0" w:space="0" w:color="auto"/>
          </w:divBdr>
          <w:divsChild>
            <w:div w:id="85859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585496">
      <w:bodyDiv w:val="1"/>
      <w:marLeft w:val="0"/>
      <w:marRight w:val="0"/>
      <w:marTop w:val="0"/>
      <w:marBottom w:val="0"/>
      <w:divBdr>
        <w:top w:val="none" w:sz="0" w:space="0" w:color="auto"/>
        <w:left w:val="none" w:sz="0" w:space="0" w:color="auto"/>
        <w:bottom w:val="none" w:sz="0" w:space="0" w:color="auto"/>
        <w:right w:val="none" w:sz="0" w:space="0" w:color="auto"/>
      </w:divBdr>
    </w:div>
    <w:div w:id="961879952">
      <w:bodyDiv w:val="1"/>
      <w:marLeft w:val="0"/>
      <w:marRight w:val="0"/>
      <w:marTop w:val="0"/>
      <w:marBottom w:val="0"/>
      <w:divBdr>
        <w:top w:val="none" w:sz="0" w:space="0" w:color="auto"/>
        <w:left w:val="none" w:sz="0" w:space="0" w:color="auto"/>
        <w:bottom w:val="none" w:sz="0" w:space="0" w:color="auto"/>
        <w:right w:val="none" w:sz="0" w:space="0" w:color="auto"/>
      </w:divBdr>
    </w:div>
    <w:div w:id="963996603">
      <w:bodyDiv w:val="1"/>
      <w:marLeft w:val="0"/>
      <w:marRight w:val="0"/>
      <w:marTop w:val="0"/>
      <w:marBottom w:val="0"/>
      <w:divBdr>
        <w:top w:val="none" w:sz="0" w:space="0" w:color="auto"/>
        <w:left w:val="none" w:sz="0" w:space="0" w:color="auto"/>
        <w:bottom w:val="none" w:sz="0" w:space="0" w:color="auto"/>
        <w:right w:val="none" w:sz="0" w:space="0" w:color="auto"/>
      </w:divBdr>
    </w:div>
    <w:div w:id="981152333">
      <w:bodyDiv w:val="1"/>
      <w:marLeft w:val="0"/>
      <w:marRight w:val="0"/>
      <w:marTop w:val="0"/>
      <w:marBottom w:val="0"/>
      <w:divBdr>
        <w:top w:val="none" w:sz="0" w:space="0" w:color="auto"/>
        <w:left w:val="none" w:sz="0" w:space="0" w:color="auto"/>
        <w:bottom w:val="none" w:sz="0" w:space="0" w:color="auto"/>
        <w:right w:val="none" w:sz="0" w:space="0" w:color="auto"/>
      </w:divBdr>
    </w:div>
    <w:div w:id="983047063">
      <w:bodyDiv w:val="1"/>
      <w:marLeft w:val="0"/>
      <w:marRight w:val="0"/>
      <w:marTop w:val="0"/>
      <w:marBottom w:val="0"/>
      <w:divBdr>
        <w:top w:val="none" w:sz="0" w:space="0" w:color="auto"/>
        <w:left w:val="none" w:sz="0" w:space="0" w:color="auto"/>
        <w:bottom w:val="none" w:sz="0" w:space="0" w:color="auto"/>
        <w:right w:val="none" w:sz="0" w:space="0" w:color="auto"/>
      </w:divBdr>
    </w:div>
    <w:div w:id="991257877">
      <w:bodyDiv w:val="1"/>
      <w:marLeft w:val="0"/>
      <w:marRight w:val="0"/>
      <w:marTop w:val="0"/>
      <w:marBottom w:val="0"/>
      <w:divBdr>
        <w:top w:val="none" w:sz="0" w:space="0" w:color="auto"/>
        <w:left w:val="none" w:sz="0" w:space="0" w:color="auto"/>
        <w:bottom w:val="none" w:sz="0" w:space="0" w:color="auto"/>
        <w:right w:val="none" w:sz="0" w:space="0" w:color="auto"/>
      </w:divBdr>
      <w:divsChild>
        <w:div w:id="560749919">
          <w:marLeft w:val="0"/>
          <w:marRight w:val="0"/>
          <w:marTop w:val="0"/>
          <w:marBottom w:val="0"/>
          <w:divBdr>
            <w:top w:val="none" w:sz="0" w:space="0" w:color="auto"/>
            <w:left w:val="none" w:sz="0" w:space="0" w:color="auto"/>
            <w:bottom w:val="none" w:sz="0" w:space="0" w:color="auto"/>
            <w:right w:val="none" w:sz="0" w:space="0" w:color="auto"/>
          </w:divBdr>
        </w:div>
        <w:div w:id="2146506372">
          <w:marLeft w:val="0"/>
          <w:marRight w:val="0"/>
          <w:marTop w:val="0"/>
          <w:marBottom w:val="0"/>
          <w:divBdr>
            <w:top w:val="none" w:sz="0" w:space="0" w:color="auto"/>
            <w:left w:val="none" w:sz="0" w:space="0" w:color="auto"/>
            <w:bottom w:val="none" w:sz="0" w:space="0" w:color="auto"/>
            <w:right w:val="none" w:sz="0" w:space="0" w:color="auto"/>
          </w:divBdr>
        </w:div>
      </w:divsChild>
    </w:div>
    <w:div w:id="998078639">
      <w:bodyDiv w:val="1"/>
      <w:marLeft w:val="0"/>
      <w:marRight w:val="0"/>
      <w:marTop w:val="0"/>
      <w:marBottom w:val="0"/>
      <w:divBdr>
        <w:top w:val="none" w:sz="0" w:space="0" w:color="auto"/>
        <w:left w:val="none" w:sz="0" w:space="0" w:color="auto"/>
        <w:bottom w:val="none" w:sz="0" w:space="0" w:color="auto"/>
        <w:right w:val="none" w:sz="0" w:space="0" w:color="auto"/>
      </w:divBdr>
    </w:div>
    <w:div w:id="1060443330">
      <w:bodyDiv w:val="1"/>
      <w:marLeft w:val="0"/>
      <w:marRight w:val="0"/>
      <w:marTop w:val="0"/>
      <w:marBottom w:val="0"/>
      <w:divBdr>
        <w:top w:val="none" w:sz="0" w:space="0" w:color="auto"/>
        <w:left w:val="none" w:sz="0" w:space="0" w:color="auto"/>
        <w:bottom w:val="none" w:sz="0" w:space="0" w:color="auto"/>
        <w:right w:val="none" w:sz="0" w:space="0" w:color="auto"/>
      </w:divBdr>
    </w:div>
    <w:div w:id="1075321625">
      <w:bodyDiv w:val="1"/>
      <w:marLeft w:val="0"/>
      <w:marRight w:val="0"/>
      <w:marTop w:val="0"/>
      <w:marBottom w:val="0"/>
      <w:divBdr>
        <w:top w:val="none" w:sz="0" w:space="0" w:color="auto"/>
        <w:left w:val="none" w:sz="0" w:space="0" w:color="auto"/>
        <w:bottom w:val="none" w:sz="0" w:space="0" w:color="auto"/>
        <w:right w:val="none" w:sz="0" w:space="0" w:color="auto"/>
      </w:divBdr>
      <w:divsChild>
        <w:div w:id="35546491">
          <w:marLeft w:val="0"/>
          <w:marRight w:val="0"/>
          <w:marTop w:val="0"/>
          <w:marBottom w:val="0"/>
          <w:divBdr>
            <w:top w:val="none" w:sz="0" w:space="0" w:color="auto"/>
            <w:left w:val="none" w:sz="0" w:space="0" w:color="auto"/>
            <w:bottom w:val="none" w:sz="0" w:space="0" w:color="auto"/>
            <w:right w:val="none" w:sz="0" w:space="0" w:color="auto"/>
          </w:divBdr>
          <w:divsChild>
            <w:div w:id="331182365">
              <w:marLeft w:val="0"/>
              <w:marRight w:val="0"/>
              <w:marTop w:val="0"/>
              <w:marBottom w:val="0"/>
              <w:divBdr>
                <w:top w:val="none" w:sz="0" w:space="0" w:color="auto"/>
                <w:left w:val="none" w:sz="0" w:space="0" w:color="auto"/>
                <w:bottom w:val="none" w:sz="0" w:space="0" w:color="auto"/>
                <w:right w:val="none" w:sz="0" w:space="0" w:color="auto"/>
              </w:divBdr>
            </w:div>
          </w:divsChild>
        </w:div>
        <w:div w:id="36048619">
          <w:marLeft w:val="0"/>
          <w:marRight w:val="0"/>
          <w:marTop w:val="0"/>
          <w:marBottom w:val="0"/>
          <w:divBdr>
            <w:top w:val="none" w:sz="0" w:space="0" w:color="auto"/>
            <w:left w:val="none" w:sz="0" w:space="0" w:color="auto"/>
            <w:bottom w:val="none" w:sz="0" w:space="0" w:color="auto"/>
            <w:right w:val="none" w:sz="0" w:space="0" w:color="auto"/>
          </w:divBdr>
          <w:divsChild>
            <w:div w:id="812984423">
              <w:marLeft w:val="0"/>
              <w:marRight w:val="0"/>
              <w:marTop w:val="0"/>
              <w:marBottom w:val="0"/>
              <w:divBdr>
                <w:top w:val="none" w:sz="0" w:space="0" w:color="auto"/>
                <w:left w:val="none" w:sz="0" w:space="0" w:color="auto"/>
                <w:bottom w:val="none" w:sz="0" w:space="0" w:color="auto"/>
                <w:right w:val="none" w:sz="0" w:space="0" w:color="auto"/>
              </w:divBdr>
            </w:div>
          </w:divsChild>
        </w:div>
        <w:div w:id="60905133">
          <w:marLeft w:val="0"/>
          <w:marRight w:val="0"/>
          <w:marTop w:val="0"/>
          <w:marBottom w:val="0"/>
          <w:divBdr>
            <w:top w:val="none" w:sz="0" w:space="0" w:color="auto"/>
            <w:left w:val="none" w:sz="0" w:space="0" w:color="auto"/>
            <w:bottom w:val="none" w:sz="0" w:space="0" w:color="auto"/>
            <w:right w:val="none" w:sz="0" w:space="0" w:color="auto"/>
          </w:divBdr>
          <w:divsChild>
            <w:div w:id="1304430926">
              <w:marLeft w:val="0"/>
              <w:marRight w:val="0"/>
              <w:marTop w:val="0"/>
              <w:marBottom w:val="0"/>
              <w:divBdr>
                <w:top w:val="none" w:sz="0" w:space="0" w:color="auto"/>
                <w:left w:val="none" w:sz="0" w:space="0" w:color="auto"/>
                <w:bottom w:val="none" w:sz="0" w:space="0" w:color="auto"/>
                <w:right w:val="none" w:sz="0" w:space="0" w:color="auto"/>
              </w:divBdr>
            </w:div>
          </w:divsChild>
        </w:div>
        <w:div w:id="69734908">
          <w:marLeft w:val="0"/>
          <w:marRight w:val="0"/>
          <w:marTop w:val="0"/>
          <w:marBottom w:val="0"/>
          <w:divBdr>
            <w:top w:val="none" w:sz="0" w:space="0" w:color="auto"/>
            <w:left w:val="none" w:sz="0" w:space="0" w:color="auto"/>
            <w:bottom w:val="none" w:sz="0" w:space="0" w:color="auto"/>
            <w:right w:val="none" w:sz="0" w:space="0" w:color="auto"/>
          </w:divBdr>
          <w:divsChild>
            <w:div w:id="1241909449">
              <w:marLeft w:val="0"/>
              <w:marRight w:val="0"/>
              <w:marTop w:val="0"/>
              <w:marBottom w:val="0"/>
              <w:divBdr>
                <w:top w:val="none" w:sz="0" w:space="0" w:color="auto"/>
                <w:left w:val="none" w:sz="0" w:space="0" w:color="auto"/>
                <w:bottom w:val="none" w:sz="0" w:space="0" w:color="auto"/>
                <w:right w:val="none" w:sz="0" w:space="0" w:color="auto"/>
              </w:divBdr>
            </w:div>
          </w:divsChild>
        </w:div>
        <w:div w:id="73599215">
          <w:marLeft w:val="0"/>
          <w:marRight w:val="0"/>
          <w:marTop w:val="0"/>
          <w:marBottom w:val="0"/>
          <w:divBdr>
            <w:top w:val="none" w:sz="0" w:space="0" w:color="auto"/>
            <w:left w:val="none" w:sz="0" w:space="0" w:color="auto"/>
            <w:bottom w:val="none" w:sz="0" w:space="0" w:color="auto"/>
            <w:right w:val="none" w:sz="0" w:space="0" w:color="auto"/>
          </w:divBdr>
          <w:divsChild>
            <w:div w:id="28993558">
              <w:marLeft w:val="0"/>
              <w:marRight w:val="0"/>
              <w:marTop w:val="0"/>
              <w:marBottom w:val="0"/>
              <w:divBdr>
                <w:top w:val="none" w:sz="0" w:space="0" w:color="auto"/>
                <w:left w:val="none" w:sz="0" w:space="0" w:color="auto"/>
                <w:bottom w:val="none" w:sz="0" w:space="0" w:color="auto"/>
                <w:right w:val="none" w:sz="0" w:space="0" w:color="auto"/>
              </w:divBdr>
            </w:div>
            <w:div w:id="1214775349">
              <w:marLeft w:val="0"/>
              <w:marRight w:val="0"/>
              <w:marTop w:val="0"/>
              <w:marBottom w:val="0"/>
              <w:divBdr>
                <w:top w:val="none" w:sz="0" w:space="0" w:color="auto"/>
                <w:left w:val="none" w:sz="0" w:space="0" w:color="auto"/>
                <w:bottom w:val="none" w:sz="0" w:space="0" w:color="auto"/>
                <w:right w:val="none" w:sz="0" w:space="0" w:color="auto"/>
              </w:divBdr>
            </w:div>
          </w:divsChild>
        </w:div>
        <w:div w:id="99567587">
          <w:marLeft w:val="0"/>
          <w:marRight w:val="0"/>
          <w:marTop w:val="0"/>
          <w:marBottom w:val="0"/>
          <w:divBdr>
            <w:top w:val="none" w:sz="0" w:space="0" w:color="auto"/>
            <w:left w:val="none" w:sz="0" w:space="0" w:color="auto"/>
            <w:bottom w:val="none" w:sz="0" w:space="0" w:color="auto"/>
            <w:right w:val="none" w:sz="0" w:space="0" w:color="auto"/>
          </w:divBdr>
          <w:divsChild>
            <w:div w:id="449393804">
              <w:marLeft w:val="0"/>
              <w:marRight w:val="0"/>
              <w:marTop w:val="0"/>
              <w:marBottom w:val="0"/>
              <w:divBdr>
                <w:top w:val="none" w:sz="0" w:space="0" w:color="auto"/>
                <w:left w:val="none" w:sz="0" w:space="0" w:color="auto"/>
                <w:bottom w:val="none" w:sz="0" w:space="0" w:color="auto"/>
                <w:right w:val="none" w:sz="0" w:space="0" w:color="auto"/>
              </w:divBdr>
            </w:div>
          </w:divsChild>
        </w:div>
        <w:div w:id="110443919">
          <w:marLeft w:val="0"/>
          <w:marRight w:val="0"/>
          <w:marTop w:val="0"/>
          <w:marBottom w:val="0"/>
          <w:divBdr>
            <w:top w:val="none" w:sz="0" w:space="0" w:color="auto"/>
            <w:left w:val="none" w:sz="0" w:space="0" w:color="auto"/>
            <w:bottom w:val="none" w:sz="0" w:space="0" w:color="auto"/>
            <w:right w:val="none" w:sz="0" w:space="0" w:color="auto"/>
          </w:divBdr>
          <w:divsChild>
            <w:div w:id="758605047">
              <w:marLeft w:val="0"/>
              <w:marRight w:val="0"/>
              <w:marTop w:val="0"/>
              <w:marBottom w:val="0"/>
              <w:divBdr>
                <w:top w:val="none" w:sz="0" w:space="0" w:color="auto"/>
                <w:left w:val="none" w:sz="0" w:space="0" w:color="auto"/>
                <w:bottom w:val="none" w:sz="0" w:space="0" w:color="auto"/>
                <w:right w:val="none" w:sz="0" w:space="0" w:color="auto"/>
              </w:divBdr>
            </w:div>
          </w:divsChild>
        </w:div>
        <w:div w:id="129171664">
          <w:marLeft w:val="0"/>
          <w:marRight w:val="0"/>
          <w:marTop w:val="0"/>
          <w:marBottom w:val="0"/>
          <w:divBdr>
            <w:top w:val="none" w:sz="0" w:space="0" w:color="auto"/>
            <w:left w:val="none" w:sz="0" w:space="0" w:color="auto"/>
            <w:bottom w:val="none" w:sz="0" w:space="0" w:color="auto"/>
            <w:right w:val="none" w:sz="0" w:space="0" w:color="auto"/>
          </w:divBdr>
          <w:divsChild>
            <w:div w:id="1699625364">
              <w:marLeft w:val="0"/>
              <w:marRight w:val="0"/>
              <w:marTop w:val="0"/>
              <w:marBottom w:val="0"/>
              <w:divBdr>
                <w:top w:val="none" w:sz="0" w:space="0" w:color="auto"/>
                <w:left w:val="none" w:sz="0" w:space="0" w:color="auto"/>
                <w:bottom w:val="none" w:sz="0" w:space="0" w:color="auto"/>
                <w:right w:val="none" w:sz="0" w:space="0" w:color="auto"/>
              </w:divBdr>
            </w:div>
          </w:divsChild>
        </w:div>
        <w:div w:id="131753139">
          <w:marLeft w:val="0"/>
          <w:marRight w:val="0"/>
          <w:marTop w:val="0"/>
          <w:marBottom w:val="0"/>
          <w:divBdr>
            <w:top w:val="none" w:sz="0" w:space="0" w:color="auto"/>
            <w:left w:val="none" w:sz="0" w:space="0" w:color="auto"/>
            <w:bottom w:val="none" w:sz="0" w:space="0" w:color="auto"/>
            <w:right w:val="none" w:sz="0" w:space="0" w:color="auto"/>
          </w:divBdr>
          <w:divsChild>
            <w:div w:id="1518811397">
              <w:marLeft w:val="0"/>
              <w:marRight w:val="0"/>
              <w:marTop w:val="0"/>
              <w:marBottom w:val="0"/>
              <w:divBdr>
                <w:top w:val="none" w:sz="0" w:space="0" w:color="auto"/>
                <w:left w:val="none" w:sz="0" w:space="0" w:color="auto"/>
                <w:bottom w:val="none" w:sz="0" w:space="0" w:color="auto"/>
                <w:right w:val="none" w:sz="0" w:space="0" w:color="auto"/>
              </w:divBdr>
            </w:div>
          </w:divsChild>
        </w:div>
        <w:div w:id="132336575">
          <w:marLeft w:val="0"/>
          <w:marRight w:val="0"/>
          <w:marTop w:val="0"/>
          <w:marBottom w:val="0"/>
          <w:divBdr>
            <w:top w:val="none" w:sz="0" w:space="0" w:color="auto"/>
            <w:left w:val="none" w:sz="0" w:space="0" w:color="auto"/>
            <w:bottom w:val="none" w:sz="0" w:space="0" w:color="auto"/>
            <w:right w:val="none" w:sz="0" w:space="0" w:color="auto"/>
          </w:divBdr>
          <w:divsChild>
            <w:div w:id="1835679658">
              <w:marLeft w:val="0"/>
              <w:marRight w:val="0"/>
              <w:marTop w:val="0"/>
              <w:marBottom w:val="0"/>
              <w:divBdr>
                <w:top w:val="none" w:sz="0" w:space="0" w:color="auto"/>
                <w:left w:val="none" w:sz="0" w:space="0" w:color="auto"/>
                <w:bottom w:val="none" w:sz="0" w:space="0" w:color="auto"/>
                <w:right w:val="none" w:sz="0" w:space="0" w:color="auto"/>
              </w:divBdr>
            </w:div>
          </w:divsChild>
        </w:div>
        <w:div w:id="148642023">
          <w:marLeft w:val="0"/>
          <w:marRight w:val="0"/>
          <w:marTop w:val="0"/>
          <w:marBottom w:val="0"/>
          <w:divBdr>
            <w:top w:val="none" w:sz="0" w:space="0" w:color="auto"/>
            <w:left w:val="none" w:sz="0" w:space="0" w:color="auto"/>
            <w:bottom w:val="none" w:sz="0" w:space="0" w:color="auto"/>
            <w:right w:val="none" w:sz="0" w:space="0" w:color="auto"/>
          </w:divBdr>
          <w:divsChild>
            <w:div w:id="454956298">
              <w:marLeft w:val="0"/>
              <w:marRight w:val="0"/>
              <w:marTop w:val="0"/>
              <w:marBottom w:val="0"/>
              <w:divBdr>
                <w:top w:val="none" w:sz="0" w:space="0" w:color="auto"/>
                <w:left w:val="none" w:sz="0" w:space="0" w:color="auto"/>
                <w:bottom w:val="none" w:sz="0" w:space="0" w:color="auto"/>
                <w:right w:val="none" w:sz="0" w:space="0" w:color="auto"/>
              </w:divBdr>
            </w:div>
            <w:div w:id="800734282">
              <w:marLeft w:val="0"/>
              <w:marRight w:val="0"/>
              <w:marTop w:val="0"/>
              <w:marBottom w:val="0"/>
              <w:divBdr>
                <w:top w:val="none" w:sz="0" w:space="0" w:color="auto"/>
                <w:left w:val="none" w:sz="0" w:space="0" w:color="auto"/>
                <w:bottom w:val="none" w:sz="0" w:space="0" w:color="auto"/>
                <w:right w:val="none" w:sz="0" w:space="0" w:color="auto"/>
              </w:divBdr>
            </w:div>
          </w:divsChild>
        </w:div>
        <w:div w:id="151140781">
          <w:marLeft w:val="0"/>
          <w:marRight w:val="0"/>
          <w:marTop w:val="0"/>
          <w:marBottom w:val="0"/>
          <w:divBdr>
            <w:top w:val="none" w:sz="0" w:space="0" w:color="auto"/>
            <w:left w:val="none" w:sz="0" w:space="0" w:color="auto"/>
            <w:bottom w:val="none" w:sz="0" w:space="0" w:color="auto"/>
            <w:right w:val="none" w:sz="0" w:space="0" w:color="auto"/>
          </w:divBdr>
          <w:divsChild>
            <w:div w:id="1261374839">
              <w:marLeft w:val="0"/>
              <w:marRight w:val="0"/>
              <w:marTop w:val="0"/>
              <w:marBottom w:val="0"/>
              <w:divBdr>
                <w:top w:val="none" w:sz="0" w:space="0" w:color="auto"/>
                <w:left w:val="none" w:sz="0" w:space="0" w:color="auto"/>
                <w:bottom w:val="none" w:sz="0" w:space="0" w:color="auto"/>
                <w:right w:val="none" w:sz="0" w:space="0" w:color="auto"/>
              </w:divBdr>
            </w:div>
          </w:divsChild>
        </w:div>
        <w:div w:id="152910900">
          <w:marLeft w:val="0"/>
          <w:marRight w:val="0"/>
          <w:marTop w:val="0"/>
          <w:marBottom w:val="0"/>
          <w:divBdr>
            <w:top w:val="none" w:sz="0" w:space="0" w:color="auto"/>
            <w:left w:val="none" w:sz="0" w:space="0" w:color="auto"/>
            <w:bottom w:val="none" w:sz="0" w:space="0" w:color="auto"/>
            <w:right w:val="none" w:sz="0" w:space="0" w:color="auto"/>
          </w:divBdr>
          <w:divsChild>
            <w:div w:id="2063209337">
              <w:marLeft w:val="0"/>
              <w:marRight w:val="0"/>
              <w:marTop w:val="0"/>
              <w:marBottom w:val="0"/>
              <w:divBdr>
                <w:top w:val="none" w:sz="0" w:space="0" w:color="auto"/>
                <w:left w:val="none" w:sz="0" w:space="0" w:color="auto"/>
                <w:bottom w:val="none" w:sz="0" w:space="0" w:color="auto"/>
                <w:right w:val="none" w:sz="0" w:space="0" w:color="auto"/>
              </w:divBdr>
            </w:div>
          </w:divsChild>
        </w:div>
        <w:div w:id="207378139">
          <w:marLeft w:val="0"/>
          <w:marRight w:val="0"/>
          <w:marTop w:val="0"/>
          <w:marBottom w:val="0"/>
          <w:divBdr>
            <w:top w:val="none" w:sz="0" w:space="0" w:color="auto"/>
            <w:left w:val="none" w:sz="0" w:space="0" w:color="auto"/>
            <w:bottom w:val="none" w:sz="0" w:space="0" w:color="auto"/>
            <w:right w:val="none" w:sz="0" w:space="0" w:color="auto"/>
          </w:divBdr>
          <w:divsChild>
            <w:div w:id="536234666">
              <w:marLeft w:val="0"/>
              <w:marRight w:val="0"/>
              <w:marTop w:val="0"/>
              <w:marBottom w:val="0"/>
              <w:divBdr>
                <w:top w:val="none" w:sz="0" w:space="0" w:color="auto"/>
                <w:left w:val="none" w:sz="0" w:space="0" w:color="auto"/>
                <w:bottom w:val="none" w:sz="0" w:space="0" w:color="auto"/>
                <w:right w:val="none" w:sz="0" w:space="0" w:color="auto"/>
              </w:divBdr>
            </w:div>
          </w:divsChild>
        </w:div>
        <w:div w:id="228853752">
          <w:marLeft w:val="0"/>
          <w:marRight w:val="0"/>
          <w:marTop w:val="0"/>
          <w:marBottom w:val="0"/>
          <w:divBdr>
            <w:top w:val="none" w:sz="0" w:space="0" w:color="auto"/>
            <w:left w:val="none" w:sz="0" w:space="0" w:color="auto"/>
            <w:bottom w:val="none" w:sz="0" w:space="0" w:color="auto"/>
            <w:right w:val="none" w:sz="0" w:space="0" w:color="auto"/>
          </w:divBdr>
          <w:divsChild>
            <w:div w:id="1962370816">
              <w:marLeft w:val="0"/>
              <w:marRight w:val="0"/>
              <w:marTop w:val="0"/>
              <w:marBottom w:val="0"/>
              <w:divBdr>
                <w:top w:val="none" w:sz="0" w:space="0" w:color="auto"/>
                <w:left w:val="none" w:sz="0" w:space="0" w:color="auto"/>
                <w:bottom w:val="none" w:sz="0" w:space="0" w:color="auto"/>
                <w:right w:val="none" w:sz="0" w:space="0" w:color="auto"/>
              </w:divBdr>
            </w:div>
          </w:divsChild>
        </w:div>
        <w:div w:id="232542758">
          <w:marLeft w:val="0"/>
          <w:marRight w:val="0"/>
          <w:marTop w:val="0"/>
          <w:marBottom w:val="0"/>
          <w:divBdr>
            <w:top w:val="none" w:sz="0" w:space="0" w:color="auto"/>
            <w:left w:val="none" w:sz="0" w:space="0" w:color="auto"/>
            <w:bottom w:val="none" w:sz="0" w:space="0" w:color="auto"/>
            <w:right w:val="none" w:sz="0" w:space="0" w:color="auto"/>
          </w:divBdr>
          <w:divsChild>
            <w:div w:id="969016727">
              <w:marLeft w:val="0"/>
              <w:marRight w:val="0"/>
              <w:marTop w:val="0"/>
              <w:marBottom w:val="0"/>
              <w:divBdr>
                <w:top w:val="none" w:sz="0" w:space="0" w:color="auto"/>
                <w:left w:val="none" w:sz="0" w:space="0" w:color="auto"/>
                <w:bottom w:val="none" w:sz="0" w:space="0" w:color="auto"/>
                <w:right w:val="none" w:sz="0" w:space="0" w:color="auto"/>
              </w:divBdr>
            </w:div>
          </w:divsChild>
        </w:div>
        <w:div w:id="238293383">
          <w:marLeft w:val="0"/>
          <w:marRight w:val="0"/>
          <w:marTop w:val="0"/>
          <w:marBottom w:val="0"/>
          <w:divBdr>
            <w:top w:val="none" w:sz="0" w:space="0" w:color="auto"/>
            <w:left w:val="none" w:sz="0" w:space="0" w:color="auto"/>
            <w:bottom w:val="none" w:sz="0" w:space="0" w:color="auto"/>
            <w:right w:val="none" w:sz="0" w:space="0" w:color="auto"/>
          </w:divBdr>
          <w:divsChild>
            <w:div w:id="326982239">
              <w:marLeft w:val="0"/>
              <w:marRight w:val="0"/>
              <w:marTop w:val="0"/>
              <w:marBottom w:val="0"/>
              <w:divBdr>
                <w:top w:val="none" w:sz="0" w:space="0" w:color="auto"/>
                <w:left w:val="none" w:sz="0" w:space="0" w:color="auto"/>
                <w:bottom w:val="none" w:sz="0" w:space="0" w:color="auto"/>
                <w:right w:val="none" w:sz="0" w:space="0" w:color="auto"/>
              </w:divBdr>
            </w:div>
          </w:divsChild>
        </w:div>
        <w:div w:id="242685574">
          <w:marLeft w:val="0"/>
          <w:marRight w:val="0"/>
          <w:marTop w:val="0"/>
          <w:marBottom w:val="0"/>
          <w:divBdr>
            <w:top w:val="none" w:sz="0" w:space="0" w:color="auto"/>
            <w:left w:val="none" w:sz="0" w:space="0" w:color="auto"/>
            <w:bottom w:val="none" w:sz="0" w:space="0" w:color="auto"/>
            <w:right w:val="none" w:sz="0" w:space="0" w:color="auto"/>
          </w:divBdr>
          <w:divsChild>
            <w:div w:id="832456589">
              <w:marLeft w:val="0"/>
              <w:marRight w:val="0"/>
              <w:marTop w:val="0"/>
              <w:marBottom w:val="0"/>
              <w:divBdr>
                <w:top w:val="none" w:sz="0" w:space="0" w:color="auto"/>
                <w:left w:val="none" w:sz="0" w:space="0" w:color="auto"/>
                <w:bottom w:val="none" w:sz="0" w:space="0" w:color="auto"/>
                <w:right w:val="none" w:sz="0" w:space="0" w:color="auto"/>
              </w:divBdr>
            </w:div>
          </w:divsChild>
        </w:div>
        <w:div w:id="272132299">
          <w:marLeft w:val="0"/>
          <w:marRight w:val="0"/>
          <w:marTop w:val="0"/>
          <w:marBottom w:val="0"/>
          <w:divBdr>
            <w:top w:val="none" w:sz="0" w:space="0" w:color="auto"/>
            <w:left w:val="none" w:sz="0" w:space="0" w:color="auto"/>
            <w:bottom w:val="none" w:sz="0" w:space="0" w:color="auto"/>
            <w:right w:val="none" w:sz="0" w:space="0" w:color="auto"/>
          </w:divBdr>
          <w:divsChild>
            <w:div w:id="347147859">
              <w:marLeft w:val="0"/>
              <w:marRight w:val="0"/>
              <w:marTop w:val="0"/>
              <w:marBottom w:val="0"/>
              <w:divBdr>
                <w:top w:val="none" w:sz="0" w:space="0" w:color="auto"/>
                <w:left w:val="none" w:sz="0" w:space="0" w:color="auto"/>
                <w:bottom w:val="none" w:sz="0" w:space="0" w:color="auto"/>
                <w:right w:val="none" w:sz="0" w:space="0" w:color="auto"/>
              </w:divBdr>
            </w:div>
          </w:divsChild>
        </w:div>
        <w:div w:id="277375238">
          <w:marLeft w:val="0"/>
          <w:marRight w:val="0"/>
          <w:marTop w:val="0"/>
          <w:marBottom w:val="0"/>
          <w:divBdr>
            <w:top w:val="none" w:sz="0" w:space="0" w:color="auto"/>
            <w:left w:val="none" w:sz="0" w:space="0" w:color="auto"/>
            <w:bottom w:val="none" w:sz="0" w:space="0" w:color="auto"/>
            <w:right w:val="none" w:sz="0" w:space="0" w:color="auto"/>
          </w:divBdr>
          <w:divsChild>
            <w:div w:id="11416023">
              <w:marLeft w:val="0"/>
              <w:marRight w:val="0"/>
              <w:marTop w:val="0"/>
              <w:marBottom w:val="0"/>
              <w:divBdr>
                <w:top w:val="none" w:sz="0" w:space="0" w:color="auto"/>
                <w:left w:val="none" w:sz="0" w:space="0" w:color="auto"/>
                <w:bottom w:val="none" w:sz="0" w:space="0" w:color="auto"/>
                <w:right w:val="none" w:sz="0" w:space="0" w:color="auto"/>
              </w:divBdr>
            </w:div>
            <w:div w:id="408885066">
              <w:marLeft w:val="0"/>
              <w:marRight w:val="0"/>
              <w:marTop w:val="0"/>
              <w:marBottom w:val="0"/>
              <w:divBdr>
                <w:top w:val="none" w:sz="0" w:space="0" w:color="auto"/>
                <w:left w:val="none" w:sz="0" w:space="0" w:color="auto"/>
                <w:bottom w:val="none" w:sz="0" w:space="0" w:color="auto"/>
                <w:right w:val="none" w:sz="0" w:space="0" w:color="auto"/>
              </w:divBdr>
            </w:div>
          </w:divsChild>
        </w:div>
        <w:div w:id="280722141">
          <w:marLeft w:val="0"/>
          <w:marRight w:val="0"/>
          <w:marTop w:val="0"/>
          <w:marBottom w:val="0"/>
          <w:divBdr>
            <w:top w:val="none" w:sz="0" w:space="0" w:color="auto"/>
            <w:left w:val="none" w:sz="0" w:space="0" w:color="auto"/>
            <w:bottom w:val="none" w:sz="0" w:space="0" w:color="auto"/>
            <w:right w:val="none" w:sz="0" w:space="0" w:color="auto"/>
          </w:divBdr>
          <w:divsChild>
            <w:div w:id="1758096799">
              <w:marLeft w:val="0"/>
              <w:marRight w:val="0"/>
              <w:marTop w:val="0"/>
              <w:marBottom w:val="0"/>
              <w:divBdr>
                <w:top w:val="none" w:sz="0" w:space="0" w:color="auto"/>
                <w:left w:val="none" w:sz="0" w:space="0" w:color="auto"/>
                <w:bottom w:val="none" w:sz="0" w:space="0" w:color="auto"/>
                <w:right w:val="none" w:sz="0" w:space="0" w:color="auto"/>
              </w:divBdr>
            </w:div>
          </w:divsChild>
        </w:div>
        <w:div w:id="300501390">
          <w:marLeft w:val="0"/>
          <w:marRight w:val="0"/>
          <w:marTop w:val="0"/>
          <w:marBottom w:val="0"/>
          <w:divBdr>
            <w:top w:val="none" w:sz="0" w:space="0" w:color="auto"/>
            <w:left w:val="none" w:sz="0" w:space="0" w:color="auto"/>
            <w:bottom w:val="none" w:sz="0" w:space="0" w:color="auto"/>
            <w:right w:val="none" w:sz="0" w:space="0" w:color="auto"/>
          </w:divBdr>
          <w:divsChild>
            <w:div w:id="275137938">
              <w:marLeft w:val="0"/>
              <w:marRight w:val="0"/>
              <w:marTop w:val="0"/>
              <w:marBottom w:val="0"/>
              <w:divBdr>
                <w:top w:val="none" w:sz="0" w:space="0" w:color="auto"/>
                <w:left w:val="none" w:sz="0" w:space="0" w:color="auto"/>
                <w:bottom w:val="none" w:sz="0" w:space="0" w:color="auto"/>
                <w:right w:val="none" w:sz="0" w:space="0" w:color="auto"/>
              </w:divBdr>
            </w:div>
          </w:divsChild>
        </w:div>
        <w:div w:id="318969053">
          <w:marLeft w:val="0"/>
          <w:marRight w:val="0"/>
          <w:marTop w:val="0"/>
          <w:marBottom w:val="0"/>
          <w:divBdr>
            <w:top w:val="none" w:sz="0" w:space="0" w:color="auto"/>
            <w:left w:val="none" w:sz="0" w:space="0" w:color="auto"/>
            <w:bottom w:val="none" w:sz="0" w:space="0" w:color="auto"/>
            <w:right w:val="none" w:sz="0" w:space="0" w:color="auto"/>
          </w:divBdr>
          <w:divsChild>
            <w:div w:id="1343972236">
              <w:marLeft w:val="0"/>
              <w:marRight w:val="0"/>
              <w:marTop w:val="0"/>
              <w:marBottom w:val="0"/>
              <w:divBdr>
                <w:top w:val="none" w:sz="0" w:space="0" w:color="auto"/>
                <w:left w:val="none" w:sz="0" w:space="0" w:color="auto"/>
                <w:bottom w:val="none" w:sz="0" w:space="0" w:color="auto"/>
                <w:right w:val="none" w:sz="0" w:space="0" w:color="auto"/>
              </w:divBdr>
            </w:div>
          </w:divsChild>
        </w:div>
        <w:div w:id="321394963">
          <w:marLeft w:val="0"/>
          <w:marRight w:val="0"/>
          <w:marTop w:val="0"/>
          <w:marBottom w:val="0"/>
          <w:divBdr>
            <w:top w:val="none" w:sz="0" w:space="0" w:color="auto"/>
            <w:left w:val="none" w:sz="0" w:space="0" w:color="auto"/>
            <w:bottom w:val="none" w:sz="0" w:space="0" w:color="auto"/>
            <w:right w:val="none" w:sz="0" w:space="0" w:color="auto"/>
          </w:divBdr>
          <w:divsChild>
            <w:div w:id="654380056">
              <w:marLeft w:val="0"/>
              <w:marRight w:val="0"/>
              <w:marTop w:val="0"/>
              <w:marBottom w:val="0"/>
              <w:divBdr>
                <w:top w:val="none" w:sz="0" w:space="0" w:color="auto"/>
                <w:left w:val="none" w:sz="0" w:space="0" w:color="auto"/>
                <w:bottom w:val="none" w:sz="0" w:space="0" w:color="auto"/>
                <w:right w:val="none" w:sz="0" w:space="0" w:color="auto"/>
              </w:divBdr>
            </w:div>
          </w:divsChild>
        </w:div>
        <w:div w:id="332682635">
          <w:marLeft w:val="0"/>
          <w:marRight w:val="0"/>
          <w:marTop w:val="0"/>
          <w:marBottom w:val="0"/>
          <w:divBdr>
            <w:top w:val="none" w:sz="0" w:space="0" w:color="auto"/>
            <w:left w:val="none" w:sz="0" w:space="0" w:color="auto"/>
            <w:bottom w:val="none" w:sz="0" w:space="0" w:color="auto"/>
            <w:right w:val="none" w:sz="0" w:space="0" w:color="auto"/>
          </w:divBdr>
          <w:divsChild>
            <w:div w:id="1185172309">
              <w:marLeft w:val="0"/>
              <w:marRight w:val="0"/>
              <w:marTop w:val="0"/>
              <w:marBottom w:val="0"/>
              <w:divBdr>
                <w:top w:val="none" w:sz="0" w:space="0" w:color="auto"/>
                <w:left w:val="none" w:sz="0" w:space="0" w:color="auto"/>
                <w:bottom w:val="none" w:sz="0" w:space="0" w:color="auto"/>
                <w:right w:val="none" w:sz="0" w:space="0" w:color="auto"/>
              </w:divBdr>
            </w:div>
          </w:divsChild>
        </w:div>
        <w:div w:id="345056558">
          <w:marLeft w:val="0"/>
          <w:marRight w:val="0"/>
          <w:marTop w:val="0"/>
          <w:marBottom w:val="0"/>
          <w:divBdr>
            <w:top w:val="none" w:sz="0" w:space="0" w:color="auto"/>
            <w:left w:val="none" w:sz="0" w:space="0" w:color="auto"/>
            <w:bottom w:val="none" w:sz="0" w:space="0" w:color="auto"/>
            <w:right w:val="none" w:sz="0" w:space="0" w:color="auto"/>
          </w:divBdr>
          <w:divsChild>
            <w:div w:id="2092578533">
              <w:marLeft w:val="0"/>
              <w:marRight w:val="0"/>
              <w:marTop w:val="0"/>
              <w:marBottom w:val="0"/>
              <w:divBdr>
                <w:top w:val="none" w:sz="0" w:space="0" w:color="auto"/>
                <w:left w:val="none" w:sz="0" w:space="0" w:color="auto"/>
                <w:bottom w:val="none" w:sz="0" w:space="0" w:color="auto"/>
                <w:right w:val="none" w:sz="0" w:space="0" w:color="auto"/>
              </w:divBdr>
            </w:div>
          </w:divsChild>
        </w:div>
        <w:div w:id="369652077">
          <w:marLeft w:val="0"/>
          <w:marRight w:val="0"/>
          <w:marTop w:val="0"/>
          <w:marBottom w:val="0"/>
          <w:divBdr>
            <w:top w:val="none" w:sz="0" w:space="0" w:color="auto"/>
            <w:left w:val="none" w:sz="0" w:space="0" w:color="auto"/>
            <w:bottom w:val="none" w:sz="0" w:space="0" w:color="auto"/>
            <w:right w:val="none" w:sz="0" w:space="0" w:color="auto"/>
          </w:divBdr>
          <w:divsChild>
            <w:div w:id="993293487">
              <w:marLeft w:val="0"/>
              <w:marRight w:val="0"/>
              <w:marTop w:val="0"/>
              <w:marBottom w:val="0"/>
              <w:divBdr>
                <w:top w:val="none" w:sz="0" w:space="0" w:color="auto"/>
                <w:left w:val="none" w:sz="0" w:space="0" w:color="auto"/>
                <w:bottom w:val="none" w:sz="0" w:space="0" w:color="auto"/>
                <w:right w:val="none" w:sz="0" w:space="0" w:color="auto"/>
              </w:divBdr>
            </w:div>
          </w:divsChild>
        </w:div>
        <w:div w:id="399981216">
          <w:marLeft w:val="0"/>
          <w:marRight w:val="0"/>
          <w:marTop w:val="0"/>
          <w:marBottom w:val="0"/>
          <w:divBdr>
            <w:top w:val="none" w:sz="0" w:space="0" w:color="auto"/>
            <w:left w:val="none" w:sz="0" w:space="0" w:color="auto"/>
            <w:bottom w:val="none" w:sz="0" w:space="0" w:color="auto"/>
            <w:right w:val="none" w:sz="0" w:space="0" w:color="auto"/>
          </w:divBdr>
          <w:divsChild>
            <w:div w:id="1673022370">
              <w:marLeft w:val="0"/>
              <w:marRight w:val="0"/>
              <w:marTop w:val="0"/>
              <w:marBottom w:val="0"/>
              <w:divBdr>
                <w:top w:val="none" w:sz="0" w:space="0" w:color="auto"/>
                <w:left w:val="none" w:sz="0" w:space="0" w:color="auto"/>
                <w:bottom w:val="none" w:sz="0" w:space="0" w:color="auto"/>
                <w:right w:val="none" w:sz="0" w:space="0" w:color="auto"/>
              </w:divBdr>
            </w:div>
          </w:divsChild>
        </w:div>
        <w:div w:id="412973687">
          <w:marLeft w:val="0"/>
          <w:marRight w:val="0"/>
          <w:marTop w:val="0"/>
          <w:marBottom w:val="0"/>
          <w:divBdr>
            <w:top w:val="none" w:sz="0" w:space="0" w:color="auto"/>
            <w:left w:val="none" w:sz="0" w:space="0" w:color="auto"/>
            <w:bottom w:val="none" w:sz="0" w:space="0" w:color="auto"/>
            <w:right w:val="none" w:sz="0" w:space="0" w:color="auto"/>
          </w:divBdr>
          <w:divsChild>
            <w:div w:id="1272393135">
              <w:marLeft w:val="0"/>
              <w:marRight w:val="0"/>
              <w:marTop w:val="0"/>
              <w:marBottom w:val="0"/>
              <w:divBdr>
                <w:top w:val="none" w:sz="0" w:space="0" w:color="auto"/>
                <w:left w:val="none" w:sz="0" w:space="0" w:color="auto"/>
                <w:bottom w:val="none" w:sz="0" w:space="0" w:color="auto"/>
                <w:right w:val="none" w:sz="0" w:space="0" w:color="auto"/>
              </w:divBdr>
            </w:div>
          </w:divsChild>
        </w:div>
        <w:div w:id="423497248">
          <w:marLeft w:val="0"/>
          <w:marRight w:val="0"/>
          <w:marTop w:val="0"/>
          <w:marBottom w:val="0"/>
          <w:divBdr>
            <w:top w:val="none" w:sz="0" w:space="0" w:color="auto"/>
            <w:left w:val="none" w:sz="0" w:space="0" w:color="auto"/>
            <w:bottom w:val="none" w:sz="0" w:space="0" w:color="auto"/>
            <w:right w:val="none" w:sz="0" w:space="0" w:color="auto"/>
          </w:divBdr>
          <w:divsChild>
            <w:div w:id="72435711">
              <w:marLeft w:val="0"/>
              <w:marRight w:val="0"/>
              <w:marTop w:val="0"/>
              <w:marBottom w:val="0"/>
              <w:divBdr>
                <w:top w:val="none" w:sz="0" w:space="0" w:color="auto"/>
                <w:left w:val="none" w:sz="0" w:space="0" w:color="auto"/>
                <w:bottom w:val="none" w:sz="0" w:space="0" w:color="auto"/>
                <w:right w:val="none" w:sz="0" w:space="0" w:color="auto"/>
              </w:divBdr>
            </w:div>
          </w:divsChild>
        </w:div>
        <w:div w:id="424769776">
          <w:marLeft w:val="0"/>
          <w:marRight w:val="0"/>
          <w:marTop w:val="0"/>
          <w:marBottom w:val="0"/>
          <w:divBdr>
            <w:top w:val="none" w:sz="0" w:space="0" w:color="auto"/>
            <w:left w:val="none" w:sz="0" w:space="0" w:color="auto"/>
            <w:bottom w:val="none" w:sz="0" w:space="0" w:color="auto"/>
            <w:right w:val="none" w:sz="0" w:space="0" w:color="auto"/>
          </w:divBdr>
          <w:divsChild>
            <w:div w:id="206570114">
              <w:marLeft w:val="0"/>
              <w:marRight w:val="0"/>
              <w:marTop w:val="0"/>
              <w:marBottom w:val="0"/>
              <w:divBdr>
                <w:top w:val="none" w:sz="0" w:space="0" w:color="auto"/>
                <w:left w:val="none" w:sz="0" w:space="0" w:color="auto"/>
                <w:bottom w:val="none" w:sz="0" w:space="0" w:color="auto"/>
                <w:right w:val="none" w:sz="0" w:space="0" w:color="auto"/>
              </w:divBdr>
            </w:div>
            <w:div w:id="834615814">
              <w:marLeft w:val="0"/>
              <w:marRight w:val="0"/>
              <w:marTop w:val="0"/>
              <w:marBottom w:val="0"/>
              <w:divBdr>
                <w:top w:val="none" w:sz="0" w:space="0" w:color="auto"/>
                <w:left w:val="none" w:sz="0" w:space="0" w:color="auto"/>
                <w:bottom w:val="none" w:sz="0" w:space="0" w:color="auto"/>
                <w:right w:val="none" w:sz="0" w:space="0" w:color="auto"/>
              </w:divBdr>
            </w:div>
            <w:div w:id="2126653357">
              <w:marLeft w:val="0"/>
              <w:marRight w:val="0"/>
              <w:marTop w:val="0"/>
              <w:marBottom w:val="0"/>
              <w:divBdr>
                <w:top w:val="none" w:sz="0" w:space="0" w:color="auto"/>
                <w:left w:val="none" w:sz="0" w:space="0" w:color="auto"/>
                <w:bottom w:val="none" w:sz="0" w:space="0" w:color="auto"/>
                <w:right w:val="none" w:sz="0" w:space="0" w:color="auto"/>
              </w:divBdr>
            </w:div>
          </w:divsChild>
        </w:div>
        <w:div w:id="444471899">
          <w:marLeft w:val="0"/>
          <w:marRight w:val="0"/>
          <w:marTop w:val="0"/>
          <w:marBottom w:val="0"/>
          <w:divBdr>
            <w:top w:val="none" w:sz="0" w:space="0" w:color="auto"/>
            <w:left w:val="none" w:sz="0" w:space="0" w:color="auto"/>
            <w:bottom w:val="none" w:sz="0" w:space="0" w:color="auto"/>
            <w:right w:val="none" w:sz="0" w:space="0" w:color="auto"/>
          </w:divBdr>
          <w:divsChild>
            <w:div w:id="767114008">
              <w:marLeft w:val="0"/>
              <w:marRight w:val="0"/>
              <w:marTop w:val="0"/>
              <w:marBottom w:val="0"/>
              <w:divBdr>
                <w:top w:val="none" w:sz="0" w:space="0" w:color="auto"/>
                <w:left w:val="none" w:sz="0" w:space="0" w:color="auto"/>
                <w:bottom w:val="none" w:sz="0" w:space="0" w:color="auto"/>
                <w:right w:val="none" w:sz="0" w:space="0" w:color="auto"/>
              </w:divBdr>
            </w:div>
          </w:divsChild>
        </w:div>
        <w:div w:id="482426678">
          <w:marLeft w:val="0"/>
          <w:marRight w:val="0"/>
          <w:marTop w:val="0"/>
          <w:marBottom w:val="0"/>
          <w:divBdr>
            <w:top w:val="none" w:sz="0" w:space="0" w:color="auto"/>
            <w:left w:val="none" w:sz="0" w:space="0" w:color="auto"/>
            <w:bottom w:val="none" w:sz="0" w:space="0" w:color="auto"/>
            <w:right w:val="none" w:sz="0" w:space="0" w:color="auto"/>
          </w:divBdr>
          <w:divsChild>
            <w:div w:id="1196885777">
              <w:marLeft w:val="0"/>
              <w:marRight w:val="0"/>
              <w:marTop w:val="0"/>
              <w:marBottom w:val="0"/>
              <w:divBdr>
                <w:top w:val="none" w:sz="0" w:space="0" w:color="auto"/>
                <w:left w:val="none" w:sz="0" w:space="0" w:color="auto"/>
                <w:bottom w:val="none" w:sz="0" w:space="0" w:color="auto"/>
                <w:right w:val="none" w:sz="0" w:space="0" w:color="auto"/>
              </w:divBdr>
            </w:div>
            <w:div w:id="1393385668">
              <w:marLeft w:val="0"/>
              <w:marRight w:val="0"/>
              <w:marTop w:val="0"/>
              <w:marBottom w:val="0"/>
              <w:divBdr>
                <w:top w:val="none" w:sz="0" w:space="0" w:color="auto"/>
                <w:left w:val="none" w:sz="0" w:space="0" w:color="auto"/>
                <w:bottom w:val="none" w:sz="0" w:space="0" w:color="auto"/>
                <w:right w:val="none" w:sz="0" w:space="0" w:color="auto"/>
              </w:divBdr>
            </w:div>
            <w:div w:id="1409500745">
              <w:marLeft w:val="0"/>
              <w:marRight w:val="0"/>
              <w:marTop w:val="0"/>
              <w:marBottom w:val="0"/>
              <w:divBdr>
                <w:top w:val="none" w:sz="0" w:space="0" w:color="auto"/>
                <w:left w:val="none" w:sz="0" w:space="0" w:color="auto"/>
                <w:bottom w:val="none" w:sz="0" w:space="0" w:color="auto"/>
                <w:right w:val="none" w:sz="0" w:space="0" w:color="auto"/>
              </w:divBdr>
            </w:div>
            <w:div w:id="2140800996">
              <w:marLeft w:val="0"/>
              <w:marRight w:val="0"/>
              <w:marTop w:val="0"/>
              <w:marBottom w:val="0"/>
              <w:divBdr>
                <w:top w:val="none" w:sz="0" w:space="0" w:color="auto"/>
                <w:left w:val="none" w:sz="0" w:space="0" w:color="auto"/>
                <w:bottom w:val="none" w:sz="0" w:space="0" w:color="auto"/>
                <w:right w:val="none" w:sz="0" w:space="0" w:color="auto"/>
              </w:divBdr>
            </w:div>
          </w:divsChild>
        </w:div>
        <w:div w:id="496113258">
          <w:marLeft w:val="0"/>
          <w:marRight w:val="0"/>
          <w:marTop w:val="0"/>
          <w:marBottom w:val="0"/>
          <w:divBdr>
            <w:top w:val="none" w:sz="0" w:space="0" w:color="auto"/>
            <w:left w:val="none" w:sz="0" w:space="0" w:color="auto"/>
            <w:bottom w:val="none" w:sz="0" w:space="0" w:color="auto"/>
            <w:right w:val="none" w:sz="0" w:space="0" w:color="auto"/>
          </w:divBdr>
          <w:divsChild>
            <w:div w:id="2074770912">
              <w:marLeft w:val="0"/>
              <w:marRight w:val="0"/>
              <w:marTop w:val="0"/>
              <w:marBottom w:val="0"/>
              <w:divBdr>
                <w:top w:val="none" w:sz="0" w:space="0" w:color="auto"/>
                <w:left w:val="none" w:sz="0" w:space="0" w:color="auto"/>
                <w:bottom w:val="none" w:sz="0" w:space="0" w:color="auto"/>
                <w:right w:val="none" w:sz="0" w:space="0" w:color="auto"/>
              </w:divBdr>
            </w:div>
          </w:divsChild>
        </w:div>
        <w:div w:id="498083426">
          <w:marLeft w:val="0"/>
          <w:marRight w:val="0"/>
          <w:marTop w:val="0"/>
          <w:marBottom w:val="0"/>
          <w:divBdr>
            <w:top w:val="none" w:sz="0" w:space="0" w:color="auto"/>
            <w:left w:val="none" w:sz="0" w:space="0" w:color="auto"/>
            <w:bottom w:val="none" w:sz="0" w:space="0" w:color="auto"/>
            <w:right w:val="none" w:sz="0" w:space="0" w:color="auto"/>
          </w:divBdr>
          <w:divsChild>
            <w:div w:id="759720175">
              <w:marLeft w:val="0"/>
              <w:marRight w:val="0"/>
              <w:marTop w:val="0"/>
              <w:marBottom w:val="0"/>
              <w:divBdr>
                <w:top w:val="none" w:sz="0" w:space="0" w:color="auto"/>
                <w:left w:val="none" w:sz="0" w:space="0" w:color="auto"/>
                <w:bottom w:val="none" w:sz="0" w:space="0" w:color="auto"/>
                <w:right w:val="none" w:sz="0" w:space="0" w:color="auto"/>
              </w:divBdr>
            </w:div>
            <w:div w:id="891962320">
              <w:marLeft w:val="0"/>
              <w:marRight w:val="0"/>
              <w:marTop w:val="0"/>
              <w:marBottom w:val="0"/>
              <w:divBdr>
                <w:top w:val="none" w:sz="0" w:space="0" w:color="auto"/>
                <w:left w:val="none" w:sz="0" w:space="0" w:color="auto"/>
                <w:bottom w:val="none" w:sz="0" w:space="0" w:color="auto"/>
                <w:right w:val="none" w:sz="0" w:space="0" w:color="auto"/>
              </w:divBdr>
            </w:div>
          </w:divsChild>
        </w:div>
        <w:div w:id="508452906">
          <w:marLeft w:val="0"/>
          <w:marRight w:val="0"/>
          <w:marTop w:val="0"/>
          <w:marBottom w:val="0"/>
          <w:divBdr>
            <w:top w:val="none" w:sz="0" w:space="0" w:color="auto"/>
            <w:left w:val="none" w:sz="0" w:space="0" w:color="auto"/>
            <w:bottom w:val="none" w:sz="0" w:space="0" w:color="auto"/>
            <w:right w:val="none" w:sz="0" w:space="0" w:color="auto"/>
          </w:divBdr>
          <w:divsChild>
            <w:div w:id="1904412580">
              <w:marLeft w:val="0"/>
              <w:marRight w:val="0"/>
              <w:marTop w:val="0"/>
              <w:marBottom w:val="0"/>
              <w:divBdr>
                <w:top w:val="none" w:sz="0" w:space="0" w:color="auto"/>
                <w:left w:val="none" w:sz="0" w:space="0" w:color="auto"/>
                <w:bottom w:val="none" w:sz="0" w:space="0" w:color="auto"/>
                <w:right w:val="none" w:sz="0" w:space="0" w:color="auto"/>
              </w:divBdr>
            </w:div>
          </w:divsChild>
        </w:div>
        <w:div w:id="513806590">
          <w:marLeft w:val="0"/>
          <w:marRight w:val="0"/>
          <w:marTop w:val="0"/>
          <w:marBottom w:val="0"/>
          <w:divBdr>
            <w:top w:val="none" w:sz="0" w:space="0" w:color="auto"/>
            <w:left w:val="none" w:sz="0" w:space="0" w:color="auto"/>
            <w:bottom w:val="none" w:sz="0" w:space="0" w:color="auto"/>
            <w:right w:val="none" w:sz="0" w:space="0" w:color="auto"/>
          </w:divBdr>
          <w:divsChild>
            <w:div w:id="141626526">
              <w:marLeft w:val="0"/>
              <w:marRight w:val="0"/>
              <w:marTop w:val="0"/>
              <w:marBottom w:val="0"/>
              <w:divBdr>
                <w:top w:val="none" w:sz="0" w:space="0" w:color="auto"/>
                <w:left w:val="none" w:sz="0" w:space="0" w:color="auto"/>
                <w:bottom w:val="none" w:sz="0" w:space="0" w:color="auto"/>
                <w:right w:val="none" w:sz="0" w:space="0" w:color="auto"/>
              </w:divBdr>
            </w:div>
          </w:divsChild>
        </w:div>
        <w:div w:id="519315893">
          <w:marLeft w:val="0"/>
          <w:marRight w:val="0"/>
          <w:marTop w:val="0"/>
          <w:marBottom w:val="0"/>
          <w:divBdr>
            <w:top w:val="none" w:sz="0" w:space="0" w:color="auto"/>
            <w:left w:val="none" w:sz="0" w:space="0" w:color="auto"/>
            <w:bottom w:val="none" w:sz="0" w:space="0" w:color="auto"/>
            <w:right w:val="none" w:sz="0" w:space="0" w:color="auto"/>
          </w:divBdr>
          <w:divsChild>
            <w:div w:id="2050564759">
              <w:marLeft w:val="0"/>
              <w:marRight w:val="0"/>
              <w:marTop w:val="0"/>
              <w:marBottom w:val="0"/>
              <w:divBdr>
                <w:top w:val="none" w:sz="0" w:space="0" w:color="auto"/>
                <w:left w:val="none" w:sz="0" w:space="0" w:color="auto"/>
                <w:bottom w:val="none" w:sz="0" w:space="0" w:color="auto"/>
                <w:right w:val="none" w:sz="0" w:space="0" w:color="auto"/>
              </w:divBdr>
            </w:div>
          </w:divsChild>
        </w:div>
        <w:div w:id="520051976">
          <w:marLeft w:val="0"/>
          <w:marRight w:val="0"/>
          <w:marTop w:val="0"/>
          <w:marBottom w:val="0"/>
          <w:divBdr>
            <w:top w:val="none" w:sz="0" w:space="0" w:color="auto"/>
            <w:left w:val="none" w:sz="0" w:space="0" w:color="auto"/>
            <w:bottom w:val="none" w:sz="0" w:space="0" w:color="auto"/>
            <w:right w:val="none" w:sz="0" w:space="0" w:color="auto"/>
          </w:divBdr>
          <w:divsChild>
            <w:div w:id="279268231">
              <w:marLeft w:val="0"/>
              <w:marRight w:val="0"/>
              <w:marTop w:val="0"/>
              <w:marBottom w:val="0"/>
              <w:divBdr>
                <w:top w:val="none" w:sz="0" w:space="0" w:color="auto"/>
                <w:left w:val="none" w:sz="0" w:space="0" w:color="auto"/>
                <w:bottom w:val="none" w:sz="0" w:space="0" w:color="auto"/>
                <w:right w:val="none" w:sz="0" w:space="0" w:color="auto"/>
              </w:divBdr>
            </w:div>
          </w:divsChild>
        </w:div>
        <w:div w:id="522744905">
          <w:marLeft w:val="0"/>
          <w:marRight w:val="0"/>
          <w:marTop w:val="0"/>
          <w:marBottom w:val="0"/>
          <w:divBdr>
            <w:top w:val="none" w:sz="0" w:space="0" w:color="auto"/>
            <w:left w:val="none" w:sz="0" w:space="0" w:color="auto"/>
            <w:bottom w:val="none" w:sz="0" w:space="0" w:color="auto"/>
            <w:right w:val="none" w:sz="0" w:space="0" w:color="auto"/>
          </w:divBdr>
          <w:divsChild>
            <w:div w:id="48502049">
              <w:marLeft w:val="0"/>
              <w:marRight w:val="0"/>
              <w:marTop w:val="0"/>
              <w:marBottom w:val="0"/>
              <w:divBdr>
                <w:top w:val="none" w:sz="0" w:space="0" w:color="auto"/>
                <w:left w:val="none" w:sz="0" w:space="0" w:color="auto"/>
                <w:bottom w:val="none" w:sz="0" w:space="0" w:color="auto"/>
                <w:right w:val="none" w:sz="0" w:space="0" w:color="auto"/>
              </w:divBdr>
            </w:div>
          </w:divsChild>
        </w:div>
        <w:div w:id="538857538">
          <w:marLeft w:val="0"/>
          <w:marRight w:val="0"/>
          <w:marTop w:val="0"/>
          <w:marBottom w:val="0"/>
          <w:divBdr>
            <w:top w:val="none" w:sz="0" w:space="0" w:color="auto"/>
            <w:left w:val="none" w:sz="0" w:space="0" w:color="auto"/>
            <w:bottom w:val="none" w:sz="0" w:space="0" w:color="auto"/>
            <w:right w:val="none" w:sz="0" w:space="0" w:color="auto"/>
          </w:divBdr>
          <w:divsChild>
            <w:div w:id="73940947">
              <w:marLeft w:val="0"/>
              <w:marRight w:val="0"/>
              <w:marTop w:val="0"/>
              <w:marBottom w:val="0"/>
              <w:divBdr>
                <w:top w:val="none" w:sz="0" w:space="0" w:color="auto"/>
                <w:left w:val="none" w:sz="0" w:space="0" w:color="auto"/>
                <w:bottom w:val="none" w:sz="0" w:space="0" w:color="auto"/>
                <w:right w:val="none" w:sz="0" w:space="0" w:color="auto"/>
              </w:divBdr>
            </w:div>
          </w:divsChild>
        </w:div>
        <w:div w:id="539561523">
          <w:marLeft w:val="0"/>
          <w:marRight w:val="0"/>
          <w:marTop w:val="0"/>
          <w:marBottom w:val="0"/>
          <w:divBdr>
            <w:top w:val="none" w:sz="0" w:space="0" w:color="auto"/>
            <w:left w:val="none" w:sz="0" w:space="0" w:color="auto"/>
            <w:bottom w:val="none" w:sz="0" w:space="0" w:color="auto"/>
            <w:right w:val="none" w:sz="0" w:space="0" w:color="auto"/>
          </w:divBdr>
          <w:divsChild>
            <w:div w:id="155458896">
              <w:marLeft w:val="0"/>
              <w:marRight w:val="0"/>
              <w:marTop w:val="0"/>
              <w:marBottom w:val="0"/>
              <w:divBdr>
                <w:top w:val="none" w:sz="0" w:space="0" w:color="auto"/>
                <w:left w:val="none" w:sz="0" w:space="0" w:color="auto"/>
                <w:bottom w:val="none" w:sz="0" w:space="0" w:color="auto"/>
                <w:right w:val="none" w:sz="0" w:space="0" w:color="auto"/>
              </w:divBdr>
            </w:div>
          </w:divsChild>
        </w:div>
        <w:div w:id="544634441">
          <w:marLeft w:val="0"/>
          <w:marRight w:val="0"/>
          <w:marTop w:val="0"/>
          <w:marBottom w:val="0"/>
          <w:divBdr>
            <w:top w:val="none" w:sz="0" w:space="0" w:color="auto"/>
            <w:left w:val="none" w:sz="0" w:space="0" w:color="auto"/>
            <w:bottom w:val="none" w:sz="0" w:space="0" w:color="auto"/>
            <w:right w:val="none" w:sz="0" w:space="0" w:color="auto"/>
          </w:divBdr>
          <w:divsChild>
            <w:div w:id="1909803868">
              <w:marLeft w:val="0"/>
              <w:marRight w:val="0"/>
              <w:marTop w:val="0"/>
              <w:marBottom w:val="0"/>
              <w:divBdr>
                <w:top w:val="none" w:sz="0" w:space="0" w:color="auto"/>
                <w:left w:val="none" w:sz="0" w:space="0" w:color="auto"/>
                <w:bottom w:val="none" w:sz="0" w:space="0" w:color="auto"/>
                <w:right w:val="none" w:sz="0" w:space="0" w:color="auto"/>
              </w:divBdr>
            </w:div>
          </w:divsChild>
        </w:div>
        <w:div w:id="552666479">
          <w:marLeft w:val="0"/>
          <w:marRight w:val="0"/>
          <w:marTop w:val="0"/>
          <w:marBottom w:val="0"/>
          <w:divBdr>
            <w:top w:val="none" w:sz="0" w:space="0" w:color="auto"/>
            <w:left w:val="none" w:sz="0" w:space="0" w:color="auto"/>
            <w:bottom w:val="none" w:sz="0" w:space="0" w:color="auto"/>
            <w:right w:val="none" w:sz="0" w:space="0" w:color="auto"/>
          </w:divBdr>
          <w:divsChild>
            <w:div w:id="1906182616">
              <w:marLeft w:val="0"/>
              <w:marRight w:val="0"/>
              <w:marTop w:val="0"/>
              <w:marBottom w:val="0"/>
              <w:divBdr>
                <w:top w:val="none" w:sz="0" w:space="0" w:color="auto"/>
                <w:left w:val="none" w:sz="0" w:space="0" w:color="auto"/>
                <w:bottom w:val="none" w:sz="0" w:space="0" w:color="auto"/>
                <w:right w:val="none" w:sz="0" w:space="0" w:color="auto"/>
              </w:divBdr>
            </w:div>
          </w:divsChild>
        </w:div>
        <w:div w:id="568616554">
          <w:marLeft w:val="0"/>
          <w:marRight w:val="0"/>
          <w:marTop w:val="0"/>
          <w:marBottom w:val="0"/>
          <w:divBdr>
            <w:top w:val="none" w:sz="0" w:space="0" w:color="auto"/>
            <w:left w:val="none" w:sz="0" w:space="0" w:color="auto"/>
            <w:bottom w:val="none" w:sz="0" w:space="0" w:color="auto"/>
            <w:right w:val="none" w:sz="0" w:space="0" w:color="auto"/>
          </w:divBdr>
          <w:divsChild>
            <w:div w:id="2096394973">
              <w:marLeft w:val="0"/>
              <w:marRight w:val="0"/>
              <w:marTop w:val="0"/>
              <w:marBottom w:val="0"/>
              <w:divBdr>
                <w:top w:val="none" w:sz="0" w:space="0" w:color="auto"/>
                <w:left w:val="none" w:sz="0" w:space="0" w:color="auto"/>
                <w:bottom w:val="none" w:sz="0" w:space="0" w:color="auto"/>
                <w:right w:val="none" w:sz="0" w:space="0" w:color="auto"/>
              </w:divBdr>
            </w:div>
          </w:divsChild>
        </w:div>
        <w:div w:id="611784448">
          <w:marLeft w:val="0"/>
          <w:marRight w:val="0"/>
          <w:marTop w:val="0"/>
          <w:marBottom w:val="0"/>
          <w:divBdr>
            <w:top w:val="none" w:sz="0" w:space="0" w:color="auto"/>
            <w:left w:val="none" w:sz="0" w:space="0" w:color="auto"/>
            <w:bottom w:val="none" w:sz="0" w:space="0" w:color="auto"/>
            <w:right w:val="none" w:sz="0" w:space="0" w:color="auto"/>
          </w:divBdr>
          <w:divsChild>
            <w:div w:id="1793017585">
              <w:marLeft w:val="0"/>
              <w:marRight w:val="0"/>
              <w:marTop w:val="0"/>
              <w:marBottom w:val="0"/>
              <w:divBdr>
                <w:top w:val="none" w:sz="0" w:space="0" w:color="auto"/>
                <w:left w:val="none" w:sz="0" w:space="0" w:color="auto"/>
                <w:bottom w:val="none" w:sz="0" w:space="0" w:color="auto"/>
                <w:right w:val="none" w:sz="0" w:space="0" w:color="auto"/>
              </w:divBdr>
            </w:div>
          </w:divsChild>
        </w:div>
        <w:div w:id="648172010">
          <w:marLeft w:val="0"/>
          <w:marRight w:val="0"/>
          <w:marTop w:val="0"/>
          <w:marBottom w:val="0"/>
          <w:divBdr>
            <w:top w:val="none" w:sz="0" w:space="0" w:color="auto"/>
            <w:left w:val="none" w:sz="0" w:space="0" w:color="auto"/>
            <w:bottom w:val="none" w:sz="0" w:space="0" w:color="auto"/>
            <w:right w:val="none" w:sz="0" w:space="0" w:color="auto"/>
          </w:divBdr>
          <w:divsChild>
            <w:div w:id="1757900305">
              <w:marLeft w:val="0"/>
              <w:marRight w:val="0"/>
              <w:marTop w:val="0"/>
              <w:marBottom w:val="0"/>
              <w:divBdr>
                <w:top w:val="none" w:sz="0" w:space="0" w:color="auto"/>
                <w:left w:val="none" w:sz="0" w:space="0" w:color="auto"/>
                <w:bottom w:val="none" w:sz="0" w:space="0" w:color="auto"/>
                <w:right w:val="none" w:sz="0" w:space="0" w:color="auto"/>
              </w:divBdr>
            </w:div>
          </w:divsChild>
        </w:div>
        <w:div w:id="652756716">
          <w:marLeft w:val="0"/>
          <w:marRight w:val="0"/>
          <w:marTop w:val="0"/>
          <w:marBottom w:val="0"/>
          <w:divBdr>
            <w:top w:val="none" w:sz="0" w:space="0" w:color="auto"/>
            <w:left w:val="none" w:sz="0" w:space="0" w:color="auto"/>
            <w:bottom w:val="none" w:sz="0" w:space="0" w:color="auto"/>
            <w:right w:val="none" w:sz="0" w:space="0" w:color="auto"/>
          </w:divBdr>
          <w:divsChild>
            <w:div w:id="425659387">
              <w:marLeft w:val="0"/>
              <w:marRight w:val="0"/>
              <w:marTop w:val="0"/>
              <w:marBottom w:val="0"/>
              <w:divBdr>
                <w:top w:val="none" w:sz="0" w:space="0" w:color="auto"/>
                <w:left w:val="none" w:sz="0" w:space="0" w:color="auto"/>
                <w:bottom w:val="none" w:sz="0" w:space="0" w:color="auto"/>
                <w:right w:val="none" w:sz="0" w:space="0" w:color="auto"/>
              </w:divBdr>
            </w:div>
          </w:divsChild>
        </w:div>
        <w:div w:id="653799910">
          <w:marLeft w:val="0"/>
          <w:marRight w:val="0"/>
          <w:marTop w:val="0"/>
          <w:marBottom w:val="0"/>
          <w:divBdr>
            <w:top w:val="none" w:sz="0" w:space="0" w:color="auto"/>
            <w:left w:val="none" w:sz="0" w:space="0" w:color="auto"/>
            <w:bottom w:val="none" w:sz="0" w:space="0" w:color="auto"/>
            <w:right w:val="none" w:sz="0" w:space="0" w:color="auto"/>
          </w:divBdr>
          <w:divsChild>
            <w:div w:id="1231843884">
              <w:marLeft w:val="0"/>
              <w:marRight w:val="0"/>
              <w:marTop w:val="0"/>
              <w:marBottom w:val="0"/>
              <w:divBdr>
                <w:top w:val="none" w:sz="0" w:space="0" w:color="auto"/>
                <w:left w:val="none" w:sz="0" w:space="0" w:color="auto"/>
                <w:bottom w:val="none" w:sz="0" w:space="0" w:color="auto"/>
                <w:right w:val="none" w:sz="0" w:space="0" w:color="auto"/>
              </w:divBdr>
            </w:div>
          </w:divsChild>
        </w:div>
        <w:div w:id="656421459">
          <w:marLeft w:val="0"/>
          <w:marRight w:val="0"/>
          <w:marTop w:val="0"/>
          <w:marBottom w:val="0"/>
          <w:divBdr>
            <w:top w:val="none" w:sz="0" w:space="0" w:color="auto"/>
            <w:left w:val="none" w:sz="0" w:space="0" w:color="auto"/>
            <w:bottom w:val="none" w:sz="0" w:space="0" w:color="auto"/>
            <w:right w:val="none" w:sz="0" w:space="0" w:color="auto"/>
          </w:divBdr>
          <w:divsChild>
            <w:div w:id="1659915277">
              <w:marLeft w:val="0"/>
              <w:marRight w:val="0"/>
              <w:marTop w:val="0"/>
              <w:marBottom w:val="0"/>
              <w:divBdr>
                <w:top w:val="none" w:sz="0" w:space="0" w:color="auto"/>
                <w:left w:val="none" w:sz="0" w:space="0" w:color="auto"/>
                <w:bottom w:val="none" w:sz="0" w:space="0" w:color="auto"/>
                <w:right w:val="none" w:sz="0" w:space="0" w:color="auto"/>
              </w:divBdr>
            </w:div>
            <w:div w:id="1929728101">
              <w:marLeft w:val="0"/>
              <w:marRight w:val="0"/>
              <w:marTop w:val="0"/>
              <w:marBottom w:val="0"/>
              <w:divBdr>
                <w:top w:val="none" w:sz="0" w:space="0" w:color="auto"/>
                <w:left w:val="none" w:sz="0" w:space="0" w:color="auto"/>
                <w:bottom w:val="none" w:sz="0" w:space="0" w:color="auto"/>
                <w:right w:val="none" w:sz="0" w:space="0" w:color="auto"/>
              </w:divBdr>
            </w:div>
          </w:divsChild>
        </w:div>
        <w:div w:id="671298912">
          <w:marLeft w:val="0"/>
          <w:marRight w:val="0"/>
          <w:marTop w:val="0"/>
          <w:marBottom w:val="0"/>
          <w:divBdr>
            <w:top w:val="none" w:sz="0" w:space="0" w:color="auto"/>
            <w:left w:val="none" w:sz="0" w:space="0" w:color="auto"/>
            <w:bottom w:val="none" w:sz="0" w:space="0" w:color="auto"/>
            <w:right w:val="none" w:sz="0" w:space="0" w:color="auto"/>
          </w:divBdr>
          <w:divsChild>
            <w:div w:id="1436556338">
              <w:marLeft w:val="0"/>
              <w:marRight w:val="0"/>
              <w:marTop w:val="0"/>
              <w:marBottom w:val="0"/>
              <w:divBdr>
                <w:top w:val="none" w:sz="0" w:space="0" w:color="auto"/>
                <w:left w:val="none" w:sz="0" w:space="0" w:color="auto"/>
                <w:bottom w:val="none" w:sz="0" w:space="0" w:color="auto"/>
                <w:right w:val="none" w:sz="0" w:space="0" w:color="auto"/>
              </w:divBdr>
            </w:div>
          </w:divsChild>
        </w:div>
        <w:div w:id="684403495">
          <w:marLeft w:val="0"/>
          <w:marRight w:val="0"/>
          <w:marTop w:val="0"/>
          <w:marBottom w:val="0"/>
          <w:divBdr>
            <w:top w:val="none" w:sz="0" w:space="0" w:color="auto"/>
            <w:left w:val="none" w:sz="0" w:space="0" w:color="auto"/>
            <w:bottom w:val="none" w:sz="0" w:space="0" w:color="auto"/>
            <w:right w:val="none" w:sz="0" w:space="0" w:color="auto"/>
          </w:divBdr>
          <w:divsChild>
            <w:div w:id="1617061976">
              <w:marLeft w:val="0"/>
              <w:marRight w:val="0"/>
              <w:marTop w:val="0"/>
              <w:marBottom w:val="0"/>
              <w:divBdr>
                <w:top w:val="none" w:sz="0" w:space="0" w:color="auto"/>
                <w:left w:val="none" w:sz="0" w:space="0" w:color="auto"/>
                <w:bottom w:val="none" w:sz="0" w:space="0" w:color="auto"/>
                <w:right w:val="none" w:sz="0" w:space="0" w:color="auto"/>
              </w:divBdr>
            </w:div>
          </w:divsChild>
        </w:div>
        <w:div w:id="685594448">
          <w:marLeft w:val="0"/>
          <w:marRight w:val="0"/>
          <w:marTop w:val="0"/>
          <w:marBottom w:val="0"/>
          <w:divBdr>
            <w:top w:val="none" w:sz="0" w:space="0" w:color="auto"/>
            <w:left w:val="none" w:sz="0" w:space="0" w:color="auto"/>
            <w:bottom w:val="none" w:sz="0" w:space="0" w:color="auto"/>
            <w:right w:val="none" w:sz="0" w:space="0" w:color="auto"/>
          </w:divBdr>
          <w:divsChild>
            <w:div w:id="670988124">
              <w:marLeft w:val="0"/>
              <w:marRight w:val="0"/>
              <w:marTop w:val="0"/>
              <w:marBottom w:val="0"/>
              <w:divBdr>
                <w:top w:val="none" w:sz="0" w:space="0" w:color="auto"/>
                <w:left w:val="none" w:sz="0" w:space="0" w:color="auto"/>
                <w:bottom w:val="none" w:sz="0" w:space="0" w:color="auto"/>
                <w:right w:val="none" w:sz="0" w:space="0" w:color="auto"/>
              </w:divBdr>
            </w:div>
          </w:divsChild>
        </w:div>
        <w:div w:id="698973516">
          <w:marLeft w:val="0"/>
          <w:marRight w:val="0"/>
          <w:marTop w:val="0"/>
          <w:marBottom w:val="0"/>
          <w:divBdr>
            <w:top w:val="none" w:sz="0" w:space="0" w:color="auto"/>
            <w:left w:val="none" w:sz="0" w:space="0" w:color="auto"/>
            <w:bottom w:val="none" w:sz="0" w:space="0" w:color="auto"/>
            <w:right w:val="none" w:sz="0" w:space="0" w:color="auto"/>
          </w:divBdr>
          <w:divsChild>
            <w:div w:id="937832262">
              <w:marLeft w:val="0"/>
              <w:marRight w:val="0"/>
              <w:marTop w:val="0"/>
              <w:marBottom w:val="0"/>
              <w:divBdr>
                <w:top w:val="none" w:sz="0" w:space="0" w:color="auto"/>
                <w:left w:val="none" w:sz="0" w:space="0" w:color="auto"/>
                <w:bottom w:val="none" w:sz="0" w:space="0" w:color="auto"/>
                <w:right w:val="none" w:sz="0" w:space="0" w:color="auto"/>
              </w:divBdr>
            </w:div>
          </w:divsChild>
        </w:div>
        <w:div w:id="705443483">
          <w:marLeft w:val="0"/>
          <w:marRight w:val="0"/>
          <w:marTop w:val="0"/>
          <w:marBottom w:val="0"/>
          <w:divBdr>
            <w:top w:val="none" w:sz="0" w:space="0" w:color="auto"/>
            <w:left w:val="none" w:sz="0" w:space="0" w:color="auto"/>
            <w:bottom w:val="none" w:sz="0" w:space="0" w:color="auto"/>
            <w:right w:val="none" w:sz="0" w:space="0" w:color="auto"/>
          </w:divBdr>
          <w:divsChild>
            <w:div w:id="497619306">
              <w:marLeft w:val="0"/>
              <w:marRight w:val="0"/>
              <w:marTop w:val="0"/>
              <w:marBottom w:val="0"/>
              <w:divBdr>
                <w:top w:val="none" w:sz="0" w:space="0" w:color="auto"/>
                <w:left w:val="none" w:sz="0" w:space="0" w:color="auto"/>
                <w:bottom w:val="none" w:sz="0" w:space="0" w:color="auto"/>
                <w:right w:val="none" w:sz="0" w:space="0" w:color="auto"/>
              </w:divBdr>
            </w:div>
          </w:divsChild>
        </w:div>
        <w:div w:id="745538382">
          <w:marLeft w:val="0"/>
          <w:marRight w:val="0"/>
          <w:marTop w:val="0"/>
          <w:marBottom w:val="0"/>
          <w:divBdr>
            <w:top w:val="none" w:sz="0" w:space="0" w:color="auto"/>
            <w:left w:val="none" w:sz="0" w:space="0" w:color="auto"/>
            <w:bottom w:val="none" w:sz="0" w:space="0" w:color="auto"/>
            <w:right w:val="none" w:sz="0" w:space="0" w:color="auto"/>
          </w:divBdr>
          <w:divsChild>
            <w:div w:id="573976787">
              <w:marLeft w:val="0"/>
              <w:marRight w:val="0"/>
              <w:marTop w:val="0"/>
              <w:marBottom w:val="0"/>
              <w:divBdr>
                <w:top w:val="none" w:sz="0" w:space="0" w:color="auto"/>
                <w:left w:val="none" w:sz="0" w:space="0" w:color="auto"/>
                <w:bottom w:val="none" w:sz="0" w:space="0" w:color="auto"/>
                <w:right w:val="none" w:sz="0" w:space="0" w:color="auto"/>
              </w:divBdr>
            </w:div>
          </w:divsChild>
        </w:div>
        <w:div w:id="820384642">
          <w:marLeft w:val="0"/>
          <w:marRight w:val="0"/>
          <w:marTop w:val="0"/>
          <w:marBottom w:val="0"/>
          <w:divBdr>
            <w:top w:val="none" w:sz="0" w:space="0" w:color="auto"/>
            <w:left w:val="none" w:sz="0" w:space="0" w:color="auto"/>
            <w:bottom w:val="none" w:sz="0" w:space="0" w:color="auto"/>
            <w:right w:val="none" w:sz="0" w:space="0" w:color="auto"/>
          </w:divBdr>
          <w:divsChild>
            <w:div w:id="1458570992">
              <w:marLeft w:val="0"/>
              <w:marRight w:val="0"/>
              <w:marTop w:val="0"/>
              <w:marBottom w:val="0"/>
              <w:divBdr>
                <w:top w:val="none" w:sz="0" w:space="0" w:color="auto"/>
                <w:left w:val="none" w:sz="0" w:space="0" w:color="auto"/>
                <w:bottom w:val="none" w:sz="0" w:space="0" w:color="auto"/>
                <w:right w:val="none" w:sz="0" w:space="0" w:color="auto"/>
              </w:divBdr>
            </w:div>
          </w:divsChild>
        </w:div>
        <w:div w:id="820390618">
          <w:marLeft w:val="0"/>
          <w:marRight w:val="0"/>
          <w:marTop w:val="0"/>
          <w:marBottom w:val="0"/>
          <w:divBdr>
            <w:top w:val="none" w:sz="0" w:space="0" w:color="auto"/>
            <w:left w:val="none" w:sz="0" w:space="0" w:color="auto"/>
            <w:bottom w:val="none" w:sz="0" w:space="0" w:color="auto"/>
            <w:right w:val="none" w:sz="0" w:space="0" w:color="auto"/>
          </w:divBdr>
          <w:divsChild>
            <w:div w:id="570117163">
              <w:marLeft w:val="0"/>
              <w:marRight w:val="0"/>
              <w:marTop w:val="0"/>
              <w:marBottom w:val="0"/>
              <w:divBdr>
                <w:top w:val="none" w:sz="0" w:space="0" w:color="auto"/>
                <w:left w:val="none" w:sz="0" w:space="0" w:color="auto"/>
                <w:bottom w:val="none" w:sz="0" w:space="0" w:color="auto"/>
                <w:right w:val="none" w:sz="0" w:space="0" w:color="auto"/>
              </w:divBdr>
            </w:div>
            <w:div w:id="2112626344">
              <w:marLeft w:val="0"/>
              <w:marRight w:val="0"/>
              <w:marTop w:val="0"/>
              <w:marBottom w:val="0"/>
              <w:divBdr>
                <w:top w:val="none" w:sz="0" w:space="0" w:color="auto"/>
                <w:left w:val="none" w:sz="0" w:space="0" w:color="auto"/>
                <w:bottom w:val="none" w:sz="0" w:space="0" w:color="auto"/>
                <w:right w:val="none" w:sz="0" w:space="0" w:color="auto"/>
              </w:divBdr>
            </w:div>
          </w:divsChild>
        </w:div>
        <w:div w:id="849948619">
          <w:marLeft w:val="0"/>
          <w:marRight w:val="0"/>
          <w:marTop w:val="0"/>
          <w:marBottom w:val="0"/>
          <w:divBdr>
            <w:top w:val="none" w:sz="0" w:space="0" w:color="auto"/>
            <w:left w:val="none" w:sz="0" w:space="0" w:color="auto"/>
            <w:bottom w:val="none" w:sz="0" w:space="0" w:color="auto"/>
            <w:right w:val="none" w:sz="0" w:space="0" w:color="auto"/>
          </w:divBdr>
          <w:divsChild>
            <w:div w:id="1958950623">
              <w:marLeft w:val="0"/>
              <w:marRight w:val="0"/>
              <w:marTop w:val="0"/>
              <w:marBottom w:val="0"/>
              <w:divBdr>
                <w:top w:val="none" w:sz="0" w:space="0" w:color="auto"/>
                <w:left w:val="none" w:sz="0" w:space="0" w:color="auto"/>
                <w:bottom w:val="none" w:sz="0" w:space="0" w:color="auto"/>
                <w:right w:val="none" w:sz="0" w:space="0" w:color="auto"/>
              </w:divBdr>
            </w:div>
          </w:divsChild>
        </w:div>
        <w:div w:id="880363152">
          <w:marLeft w:val="0"/>
          <w:marRight w:val="0"/>
          <w:marTop w:val="0"/>
          <w:marBottom w:val="0"/>
          <w:divBdr>
            <w:top w:val="none" w:sz="0" w:space="0" w:color="auto"/>
            <w:left w:val="none" w:sz="0" w:space="0" w:color="auto"/>
            <w:bottom w:val="none" w:sz="0" w:space="0" w:color="auto"/>
            <w:right w:val="none" w:sz="0" w:space="0" w:color="auto"/>
          </w:divBdr>
          <w:divsChild>
            <w:div w:id="611132199">
              <w:marLeft w:val="0"/>
              <w:marRight w:val="0"/>
              <w:marTop w:val="0"/>
              <w:marBottom w:val="0"/>
              <w:divBdr>
                <w:top w:val="none" w:sz="0" w:space="0" w:color="auto"/>
                <w:left w:val="none" w:sz="0" w:space="0" w:color="auto"/>
                <w:bottom w:val="none" w:sz="0" w:space="0" w:color="auto"/>
                <w:right w:val="none" w:sz="0" w:space="0" w:color="auto"/>
              </w:divBdr>
            </w:div>
          </w:divsChild>
        </w:div>
        <w:div w:id="880675801">
          <w:marLeft w:val="0"/>
          <w:marRight w:val="0"/>
          <w:marTop w:val="0"/>
          <w:marBottom w:val="0"/>
          <w:divBdr>
            <w:top w:val="none" w:sz="0" w:space="0" w:color="auto"/>
            <w:left w:val="none" w:sz="0" w:space="0" w:color="auto"/>
            <w:bottom w:val="none" w:sz="0" w:space="0" w:color="auto"/>
            <w:right w:val="none" w:sz="0" w:space="0" w:color="auto"/>
          </w:divBdr>
          <w:divsChild>
            <w:div w:id="1256595486">
              <w:marLeft w:val="0"/>
              <w:marRight w:val="0"/>
              <w:marTop w:val="0"/>
              <w:marBottom w:val="0"/>
              <w:divBdr>
                <w:top w:val="none" w:sz="0" w:space="0" w:color="auto"/>
                <w:left w:val="none" w:sz="0" w:space="0" w:color="auto"/>
                <w:bottom w:val="none" w:sz="0" w:space="0" w:color="auto"/>
                <w:right w:val="none" w:sz="0" w:space="0" w:color="auto"/>
              </w:divBdr>
            </w:div>
          </w:divsChild>
        </w:div>
        <w:div w:id="909461349">
          <w:marLeft w:val="0"/>
          <w:marRight w:val="0"/>
          <w:marTop w:val="0"/>
          <w:marBottom w:val="0"/>
          <w:divBdr>
            <w:top w:val="none" w:sz="0" w:space="0" w:color="auto"/>
            <w:left w:val="none" w:sz="0" w:space="0" w:color="auto"/>
            <w:bottom w:val="none" w:sz="0" w:space="0" w:color="auto"/>
            <w:right w:val="none" w:sz="0" w:space="0" w:color="auto"/>
          </w:divBdr>
          <w:divsChild>
            <w:div w:id="1998872397">
              <w:marLeft w:val="0"/>
              <w:marRight w:val="0"/>
              <w:marTop w:val="0"/>
              <w:marBottom w:val="0"/>
              <w:divBdr>
                <w:top w:val="none" w:sz="0" w:space="0" w:color="auto"/>
                <w:left w:val="none" w:sz="0" w:space="0" w:color="auto"/>
                <w:bottom w:val="none" w:sz="0" w:space="0" w:color="auto"/>
                <w:right w:val="none" w:sz="0" w:space="0" w:color="auto"/>
              </w:divBdr>
            </w:div>
          </w:divsChild>
        </w:div>
        <w:div w:id="932199995">
          <w:marLeft w:val="0"/>
          <w:marRight w:val="0"/>
          <w:marTop w:val="0"/>
          <w:marBottom w:val="0"/>
          <w:divBdr>
            <w:top w:val="none" w:sz="0" w:space="0" w:color="auto"/>
            <w:left w:val="none" w:sz="0" w:space="0" w:color="auto"/>
            <w:bottom w:val="none" w:sz="0" w:space="0" w:color="auto"/>
            <w:right w:val="none" w:sz="0" w:space="0" w:color="auto"/>
          </w:divBdr>
          <w:divsChild>
            <w:div w:id="314771364">
              <w:marLeft w:val="0"/>
              <w:marRight w:val="0"/>
              <w:marTop w:val="0"/>
              <w:marBottom w:val="0"/>
              <w:divBdr>
                <w:top w:val="none" w:sz="0" w:space="0" w:color="auto"/>
                <w:left w:val="none" w:sz="0" w:space="0" w:color="auto"/>
                <w:bottom w:val="none" w:sz="0" w:space="0" w:color="auto"/>
                <w:right w:val="none" w:sz="0" w:space="0" w:color="auto"/>
              </w:divBdr>
            </w:div>
          </w:divsChild>
        </w:div>
        <w:div w:id="934482743">
          <w:marLeft w:val="0"/>
          <w:marRight w:val="0"/>
          <w:marTop w:val="0"/>
          <w:marBottom w:val="0"/>
          <w:divBdr>
            <w:top w:val="none" w:sz="0" w:space="0" w:color="auto"/>
            <w:left w:val="none" w:sz="0" w:space="0" w:color="auto"/>
            <w:bottom w:val="none" w:sz="0" w:space="0" w:color="auto"/>
            <w:right w:val="none" w:sz="0" w:space="0" w:color="auto"/>
          </w:divBdr>
          <w:divsChild>
            <w:div w:id="657660581">
              <w:marLeft w:val="0"/>
              <w:marRight w:val="0"/>
              <w:marTop w:val="0"/>
              <w:marBottom w:val="0"/>
              <w:divBdr>
                <w:top w:val="none" w:sz="0" w:space="0" w:color="auto"/>
                <w:left w:val="none" w:sz="0" w:space="0" w:color="auto"/>
                <w:bottom w:val="none" w:sz="0" w:space="0" w:color="auto"/>
                <w:right w:val="none" w:sz="0" w:space="0" w:color="auto"/>
              </w:divBdr>
            </w:div>
          </w:divsChild>
        </w:div>
        <w:div w:id="946230658">
          <w:marLeft w:val="0"/>
          <w:marRight w:val="0"/>
          <w:marTop w:val="0"/>
          <w:marBottom w:val="0"/>
          <w:divBdr>
            <w:top w:val="none" w:sz="0" w:space="0" w:color="auto"/>
            <w:left w:val="none" w:sz="0" w:space="0" w:color="auto"/>
            <w:bottom w:val="none" w:sz="0" w:space="0" w:color="auto"/>
            <w:right w:val="none" w:sz="0" w:space="0" w:color="auto"/>
          </w:divBdr>
          <w:divsChild>
            <w:div w:id="1356031545">
              <w:marLeft w:val="0"/>
              <w:marRight w:val="0"/>
              <w:marTop w:val="0"/>
              <w:marBottom w:val="0"/>
              <w:divBdr>
                <w:top w:val="none" w:sz="0" w:space="0" w:color="auto"/>
                <w:left w:val="none" w:sz="0" w:space="0" w:color="auto"/>
                <w:bottom w:val="none" w:sz="0" w:space="0" w:color="auto"/>
                <w:right w:val="none" w:sz="0" w:space="0" w:color="auto"/>
              </w:divBdr>
            </w:div>
          </w:divsChild>
        </w:div>
        <w:div w:id="958418999">
          <w:marLeft w:val="0"/>
          <w:marRight w:val="0"/>
          <w:marTop w:val="0"/>
          <w:marBottom w:val="0"/>
          <w:divBdr>
            <w:top w:val="none" w:sz="0" w:space="0" w:color="auto"/>
            <w:left w:val="none" w:sz="0" w:space="0" w:color="auto"/>
            <w:bottom w:val="none" w:sz="0" w:space="0" w:color="auto"/>
            <w:right w:val="none" w:sz="0" w:space="0" w:color="auto"/>
          </w:divBdr>
          <w:divsChild>
            <w:div w:id="1963420317">
              <w:marLeft w:val="0"/>
              <w:marRight w:val="0"/>
              <w:marTop w:val="0"/>
              <w:marBottom w:val="0"/>
              <w:divBdr>
                <w:top w:val="none" w:sz="0" w:space="0" w:color="auto"/>
                <w:left w:val="none" w:sz="0" w:space="0" w:color="auto"/>
                <w:bottom w:val="none" w:sz="0" w:space="0" w:color="auto"/>
                <w:right w:val="none" w:sz="0" w:space="0" w:color="auto"/>
              </w:divBdr>
            </w:div>
          </w:divsChild>
        </w:div>
        <w:div w:id="962004357">
          <w:marLeft w:val="0"/>
          <w:marRight w:val="0"/>
          <w:marTop w:val="0"/>
          <w:marBottom w:val="0"/>
          <w:divBdr>
            <w:top w:val="none" w:sz="0" w:space="0" w:color="auto"/>
            <w:left w:val="none" w:sz="0" w:space="0" w:color="auto"/>
            <w:bottom w:val="none" w:sz="0" w:space="0" w:color="auto"/>
            <w:right w:val="none" w:sz="0" w:space="0" w:color="auto"/>
          </w:divBdr>
          <w:divsChild>
            <w:div w:id="1575697350">
              <w:marLeft w:val="0"/>
              <w:marRight w:val="0"/>
              <w:marTop w:val="0"/>
              <w:marBottom w:val="0"/>
              <w:divBdr>
                <w:top w:val="none" w:sz="0" w:space="0" w:color="auto"/>
                <w:left w:val="none" w:sz="0" w:space="0" w:color="auto"/>
                <w:bottom w:val="none" w:sz="0" w:space="0" w:color="auto"/>
                <w:right w:val="none" w:sz="0" w:space="0" w:color="auto"/>
              </w:divBdr>
            </w:div>
          </w:divsChild>
        </w:div>
        <w:div w:id="965115598">
          <w:marLeft w:val="0"/>
          <w:marRight w:val="0"/>
          <w:marTop w:val="0"/>
          <w:marBottom w:val="0"/>
          <w:divBdr>
            <w:top w:val="none" w:sz="0" w:space="0" w:color="auto"/>
            <w:left w:val="none" w:sz="0" w:space="0" w:color="auto"/>
            <w:bottom w:val="none" w:sz="0" w:space="0" w:color="auto"/>
            <w:right w:val="none" w:sz="0" w:space="0" w:color="auto"/>
          </w:divBdr>
          <w:divsChild>
            <w:div w:id="772867137">
              <w:marLeft w:val="0"/>
              <w:marRight w:val="0"/>
              <w:marTop w:val="0"/>
              <w:marBottom w:val="0"/>
              <w:divBdr>
                <w:top w:val="none" w:sz="0" w:space="0" w:color="auto"/>
                <w:left w:val="none" w:sz="0" w:space="0" w:color="auto"/>
                <w:bottom w:val="none" w:sz="0" w:space="0" w:color="auto"/>
                <w:right w:val="none" w:sz="0" w:space="0" w:color="auto"/>
              </w:divBdr>
            </w:div>
          </w:divsChild>
        </w:div>
        <w:div w:id="970943865">
          <w:marLeft w:val="0"/>
          <w:marRight w:val="0"/>
          <w:marTop w:val="0"/>
          <w:marBottom w:val="0"/>
          <w:divBdr>
            <w:top w:val="none" w:sz="0" w:space="0" w:color="auto"/>
            <w:left w:val="none" w:sz="0" w:space="0" w:color="auto"/>
            <w:bottom w:val="none" w:sz="0" w:space="0" w:color="auto"/>
            <w:right w:val="none" w:sz="0" w:space="0" w:color="auto"/>
          </w:divBdr>
          <w:divsChild>
            <w:div w:id="1753236062">
              <w:marLeft w:val="0"/>
              <w:marRight w:val="0"/>
              <w:marTop w:val="0"/>
              <w:marBottom w:val="0"/>
              <w:divBdr>
                <w:top w:val="none" w:sz="0" w:space="0" w:color="auto"/>
                <w:left w:val="none" w:sz="0" w:space="0" w:color="auto"/>
                <w:bottom w:val="none" w:sz="0" w:space="0" w:color="auto"/>
                <w:right w:val="none" w:sz="0" w:space="0" w:color="auto"/>
              </w:divBdr>
            </w:div>
          </w:divsChild>
        </w:div>
        <w:div w:id="973870868">
          <w:marLeft w:val="0"/>
          <w:marRight w:val="0"/>
          <w:marTop w:val="0"/>
          <w:marBottom w:val="0"/>
          <w:divBdr>
            <w:top w:val="none" w:sz="0" w:space="0" w:color="auto"/>
            <w:left w:val="none" w:sz="0" w:space="0" w:color="auto"/>
            <w:bottom w:val="none" w:sz="0" w:space="0" w:color="auto"/>
            <w:right w:val="none" w:sz="0" w:space="0" w:color="auto"/>
          </w:divBdr>
          <w:divsChild>
            <w:div w:id="462575020">
              <w:marLeft w:val="0"/>
              <w:marRight w:val="0"/>
              <w:marTop w:val="0"/>
              <w:marBottom w:val="0"/>
              <w:divBdr>
                <w:top w:val="none" w:sz="0" w:space="0" w:color="auto"/>
                <w:left w:val="none" w:sz="0" w:space="0" w:color="auto"/>
                <w:bottom w:val="none" w:sz="0" w:space="0" w:color="auto"/>
                <w:right w:val="none" w:sz="0" w:space="0" w:color="auto"/>
              </w:divBdr>
            </w:div>
            <w:div w:id="850686147">
              <w:marLeft w:val="0"/>
              <w:marRight w:val="0"/>
              <w:marTop w:val="0"/>
              <w:marBottom w:val="0"/>
              <w:divBdr>
                <w:top w:val="none" w:sz="0" w:space="0" w:color="auto"/>
                <w:left w:val="none" w:sz="0" w:space="0" w:color="auto"/>
                <w:bottom w:val="none" w:sz="0" w:space="0" w:color="auto"/>
                <w:right w:val="none" w:sz="0" w:space="0" w:color="auto"/>
              </w:divBdr>
            </w:div>
          </w:divsChild>
        </w:div>
        <w:div w:id="992443077">
          <w:marLeft w:val="0"/>
          <w:marRight w:val="0"/>
          <w:marTop w:val="0"/>
          <w:marBottom w:val="0"/>
          <w:divBdr>
            <w:top w:val="none" w:sz="0" w:space="0" w:color="auto"/>
            <w:left w:val="none" w:sz="0" w:space="0" w:color="auto"/>
            <w:bottom w:val="none" w:sz="0" w:space="0" w:color="auto"/>
            <w:right w:val="none" w:sz="0" w:space="0" w:color="auto"/>
          </w:divBdr>
          <w:divsChild>
            <w:div w:id="172765356">
              <w:marLeft w:val="0"/>
              <w:marRight w:val="0"/>
              <w:marTop w:val="0"/>
              <w:marBottom w:val="0"/>
              <w:divBdr>
                <w:top w:val="none" w:sz="0" w:space="0" w:color="auto"/>
                <w:left w:val="none" w:sz="0" w:space="0" w:color="auto"/>
                <w:bottom w:val="none" w:sz="0" w:space="0" w:color="auto"/>
                <w:right w:val="none" w:sz="0" w:space="0" w:color="auto"/>
              </w:divBdr>
            </w:div>
          </w:divsChild>
        </w:div>
        <w:div w:id="1010792350">
          <w:marLeft w:val="0"/>
          <w:marRight w:val="0"/>
          <w:marTop w:val="0"/>
          <w:marBottom w:val="0"/>
          <w:divBdr>
            <w:top w:val="none" w:sz="0" w:space="0" w:color="auto"/>
            <w:left w:val="none" w:sz="0" w:space="0" w:color="auto"/>
            <w:bottom w:val="none" w:sz="0" w:space="0" w:color="auto"/>
            <w:right w:val="none" w:sz="0" w:space="0" w:color="auto"/>
          </w:divBdr>
          <w:divsChild>
            <w:div w:id="1883324405">
              <w:marLeft w:val="0"/>
              <w:marRight w:val="0"/>
              <w:marTop w:val="0"/>
              <w:marBottom w:val="0"/>
              <w:divBdr>
                <w:top w:val="none" w:sz="0" w:space="0" w:color="auto"/>
                <w:left w:val="none" w:sz="0" w:space="0" w:color="auto"/>
                <w:bottom w:val="none" w:sz="0" w:space="0" w:color="auto"/>
                <w:right w:val="none" w:sz="0" w:space="0" w:color="auto"/>
              </w:divBdr>
            </w:div>
          </w:divsChild>
        </w:div>
        <w:div w:id="1014723428">
          <w:marLeft w:val="0"/>
          <w:marRight w:val="0"/>
          <w:marTop w:val="0"/>
          <w:marBottom w:val="0"/>
          <w:divBdr>
            <w:top w:val="none" w:sz="0" w:space="0" w:color="auto"/>
            <w:left w:val="none" w:sz="0" w:space="0" w:color="auto"/>
            <w:bottom w:val="none" w:sz="0" w:space="0" w:color="auto"/>
            <w:right w:val="none" w:sz="0" w:space="0" w:color="auto"/>
          </w:divBdr>
          <w:divsChild>
            <w:div w:id="1386299521">
              <w:marLeft w:val="0"/>
              <w:marRight w:val="0"/>
              <w:marTop w:val="0"/>
              <w:marBottom w:val="0"/>
              <w:divBdr>
                <w:top w:val="none" w:sz="0" w:space="0" w:color="auto"/>
                <w:left w:val="none" w:sz="0" w:space="0" w:color="auto"/>
                <w:bottom w:val="none" w:sz="0" w:space="0" w:color="auto"/>
                <w:right w:val="none" w:sz="0" w:space="0" w:color="auto"/>
              </w:divBdr>
            </w:div>
          </w:divsChild>
        </w:div>
        <w:div w:id="1069765726">
          <w:marLeft w:val="0"/>
          <w:marRight w:val="0"/>
          <w:marTop w:val="0"/>
          <w:marBottom w:val="0"/>
          <w:divBdr>
            <w:top w:val="none" w:sz="0" w:space="0" w:color="auto"/>
            <w:left w:val="none" w:sz="0" w:space="0" w:color="auto"/>
            <w:bottom w:val="none" w:sz="0" w:space="0" w:color="auto"/>
            <w:right w:val="none" w:sz="0" w:space="0" w:color="auto"/>
          </w:divBdr>
          <w:divsChild>
            <w:div w:id="1065497005">
              <w:marLeft w:val="0"/>
              <w:marRight w:val="0"/>
              <w:marTop w:val="0"/>
              <w:marBottom w:val="0"/>
              <w:divBdr>
                <w:top w:val="none" w:sz="0" w:space="0" w:color="auto"/>
                <w:left w:val="none" w:sz="0" w:space="0" w:color="auto"/>
                <w:bottom w:val="none" w:sz="0" w:space="0" w:color="auto"/>
                <w:right w:val="none" w:sz="0" w:space="0" w:color="auto"/>
              </w:divBdr>
            </w:div>
          </w:divsChild>
        </w:div>
        <w:div w:id="1088311748">
          <w:marLeft w:val="0"/>
          <w:marRight w:val="0"/>
          <w:marTop w:val="0"/>
          <w:marBottom w:val="0"/>
          <w:divBdr>
            <w:top w:val="none" w:sz="0" w:space="0" w:color="auto"/>
            <w:left w:val="none" w:sz="0" w:space="0" w:color="auto"/>
            <w:bottom w:val="none" w:sz="0" w:space="0" w:color="auto"/>
            <w:right w:val="none" w:sz="0" w:space="0" w:color="auto"/>
          </w:divBdr>
          <w:divsChild>
            <w:div w:id="4594068">
              <w:marLeft w:val="0"/>
              <w:marRight w:val="0"/>
              <w:marTop w:val="0"/>
              <w:marBottom w:val="0"/>
              <w:divBdr>
                <w:top w:val="none" w:sz="0" w:space="0" w:color="auto"/>
                <w:left w:val="none" w:sz="0" w:space="0" w:color="auto"/>
                <w:bottom w:val="none" w:sz="0" w:space="0" w:color="auto"/>
                <w:right w:val="none" w:sz="0" w:space="0" w:color="auto"/>
              </w:divBdr>
            </w:div>
            <w:div w:id="1296988213">
              <w:marLeft w:val="0"/>
              <w:marRight w:val="0"/>
              <w:marTop w:val="0"/>
              <w:marBottom w:val="0"/>
              <w:divBdr>
                <w:top w:val="none" w:sz="0" w:space="0" w:color="auto"/>
                <w:left w:val="none" w:sz="0" w:space="0" w:color="auto"/>
                <w:bottom w:val="none" w:sz="0" w:space="0" w:color="auto"/>
                <w:right w:val="none" w:sz="0" w:space="0" w:color="auto"/>
              </w:divBdr>
            </w:div>
          </w:divsChild>
        </w:div>
        <w:div w:id="1098066909">
          <w:marLeft w:val="0"/>
          <w:marRight w:val="0"/>
          <w:marTop w:val="0"/>
          <w:marBottom w:val="0"/>
          <w:divBdr>
            <w:top w:val="none" w:sz="0" w:space="0" w:color="auto"/>
            <w:left w:val="none" w:sz="0" w:space="0" w:color="auto"/>
            <w:bottom w:val="none" w:sz="0" w:space="0" w:color="auto"/>
            <w:right w:val="none" w:sz="0" w:space="0" w:color="auto"/>
          </w:divBdr>
          <w:divsChild>
            <w:div w:id="2014646688">
              <w:marLeft w:val="0"/>
              <w:marRight w:val="0"/>
              <w:marTop w:val="0"/>
              <w:marBottom w:val="0"/>
              <w:divBdr>
                <w:top w:val="none" w:sz="0" w:space="0" w:color="auto"/>
                <w:left w:val="none" w:sz="0" w:space="0" w:color="auto"/>
                <w:bottom w:val="none" w:sz="0" w:space="0" w:color="auto"/>
                <w:right w:val="none" w:sz="0" w:space="0" w:color="auto"/>
              </w:divBdr>
            </w:div>
          </w:divsChild>
        </w:div>
        <w:div w:id="1100301256">
          <w:marLeft w:val="0"/>
          <w:marRight w:val="0"/>
          <w:marTop w:val="0"/>
          <w:marBottom w:val="0"/>
          <w:divBdr>
            <w:top w:val="none" w:sz="0" w:space="0" w:color="auto"/>
            <w:left w:val="none" w:sz="0" w:space="0" w:color="auto"/>
            <w:bottom w:val="none" w:sz="0" w:space="0" w:color="auto"/>
            <w:right w:val="none" w:sz="0" w:space="0" w:color="auto"/>
          </w:divBdr>
          <w:divsChild>
            <w:div w:id="554198148">
              <w:marLeft w:val="0"/>
              <w:marRight w:val="0"/>
              <w:marTop w:val="0"/>
              <w:marBottom w:val="0"/>
              <w:divBdr>
                <w:top w:val="none" w:sz="0" w:space="0" w:color="auto"/>
                <w:left w:val="none" w:sz="0" w:space="0" w:color="auto"/>
                <w:bottom w:val="none" w:sz="0" w:space="0" w:color="auto"/>
                <w:right w:val="none" w:sz="0" w:space="0" w:color="auto"/>
              </w:divBdr>
            </w:div>
            <w:div w:id="1137719497">
              <w:marLeft w:val="0"/>
              <w:marRight w:val="0"/>
              <w:marTop w:val="0"/>
              <w:marBottom w:val="0"/>
              <w:divBdr>
                <w:top w:val="none" w:sz="0" w:space="0" w:color="auto"/>
                <w:left w:val="none" w:sz="0" w:space="0" w:color="auto"/>
                <w:bottom w:val="none" w:sz="0" w:space="0" w:color="auto"/>
                <w:right w:val="none" w:sz="0" w:space="0" w:color="auto"/>
              </w:divBdr>
            </w:div>
          </w:divsChild>
        </w:div>
        <w:div w:id="1103063891">
          <w:marLeft w:val="0"/>
          <w:marRight w:val="0"/>
          <w:marTop w:val="0"/>
          <w:marBottom w:val="0"/>
          <w:divBdr>
            <w:top w:val="none" w:sz="0" w:space="0" w:color="auto"/>
            <w:left w:val="none" w:sz="0" w:space="0" w:color="auto"/>
            <w:bottom w:val="none" w:sz="0" w:space="0" w:color="auto"/>
            <w:right w:val="none" w:sz="0" w:space="0" w:color="auto"/>
          </w:divBdr>
          <w:divsChild>
            <w:div w:id="1189638684">
              <w:marLeft w:val="0"/>
              <w:marRight w:val="0"/>
              <w:marTop w:val="0"/>
              <w:marBottom w:val="0"/>
              <w:divBdr>
                <w:top w:val="none" w:sz="0" w:space="0" w:color="auto"/>
                <w:left w:val="none" w:sz="0" w:space="0" w:color="auto"/>
                <w:bottom w:val="none" w:sz="0" w:space="0" w:color="auto"/>
                <w:right w:val="none" w:sz="0" w:space="0" w:color="auto"/>
              </w:divBdr>
            </w:div>
          </w:divsChild>
        </w:div>
        <w:div w:id="1128282828">
          <w:marLeft w:val="0"/>
          <w:marRight w:val="0"/>
          <w:marTop w:val="0"/>
          <w:marBottom w:val="0"/>
          <w:divBdr>
            <w:top w:val="none" w:sz="0" w:space="0" w:color="auto"/>
            <w:left w:val="none" w:sz="0" w:space="0" w:color="auto"/>
            <w:bottom w:val="none" w:sz="0" w:space="0" w:color="auto"/>
            <w:right w:val="none" w:sz="0" w:space="0" w:color="auto"/>
          </w:divBdr>
          <w:divsChild>
            <w:div w:id="1296132856">
              <w:marLeft w:val="0"/>
              <w:marRight w:val="0"/>
              <w:marTop w:val="0"/>
              <w:marBottom w:val="0"/>
              <w:divBdr>
                <w:top w:val="none" w:sz="0" w:space="0" w:color="auto"/>
                <w:left w:val="none" w:sz="0" w:space="0" w:color="auto"/>
                <w:bottom w:val="none" w:sz="0" w:space="0" w:color="auto"/>
                <w:right w:val="none" w:sz="0" w:space="0" w:color="auto"/>
              </w:divBdr>
            </w:div>
          </w:divsChild>
        </w:div>
        <w:div w:id="1139036544">
          <w:marLeft w:val="0"/>
          <w:marRight w:val="0"/>
          <w:marTop w:val="0"/>
          <w:marBottom w:val="0"/>
          <w:divBdr>
            <w:top w:val="none" w:sz="0" w:space="0" w:color="auto"/>
            <w:left w:val="none" w:sz="0" w:space="0" w:color="auto"/>
            <w:bottom w:val="none" w:sz="0" w:space="0" w:color="auto"/>
            <w:right w:val="none" w:sz="0" w:space="0" w:color="auto"/>
          </w:divBdr>
          <w:divsChild>
            <w:div w:id="706445022">
              <w:marLeft w:val="0"/>
              <w:marRight w:val="0"/>
              <w:marTop w:val="0"/>
              <w:marBottom w:val="0"/>
              <w:divBdr>
                <w:top w:val="none" w:sz="0" w:space="0" w:color="auto"/>
                <w:left w:val="none" w:sz="0" w:space="0" w:color="auto"/>
                <w:bottom w:val="none" w:sz="0" w:space="0" w:color="auto"/>
                <w:right w:val="none" w:sz="0" w:space="0" w:color="auto"/>
              </w:divBdr>
            </w:div>
          </w:divsChild>
        </w:div>
        <w:div w:id="1147359432">
          <w:marLeft w:val="0"/>
          <w:marRight w:val="0"/>
          <w:marTop w:val="0"/>
          <w:marBottom w:val="0"/>
          <w:divBdr>
            <w:top w:val="none" w:sz="0" w:space="0" w:color="auto"/>
            <w:left w:val="none" w:sz="0" w:space="0" w:color="auto"/>
            <w:bottom w:val="none" w:sz="0" w:space="0" w:color="auto"/>
            <w:right w:val="none" w:sz="0" w:space="0" w:color="auto"/>
          </w:divBdr>
          <w:divsChild>
            <w:div w:id="1570650101">
              <w:marLeft w:val="0"/>
              <w:marRight w:val="0"/>
              <w:marTop w:val="0"/>
              <w:marBottom w:val="0"/>
              <w:divBdr>
                <w:top w:val="none" w:sz="0" w:space="0" w:color="auto"/>
                <w:left w:val="none" w:sz="0" w:space="0" w:color="auto"/>
                <w:bottom w:val="none" w:sz="0" w:space="0" w:color="auto"/>
                <w:right w:val="none" w:sz="0" w:space="0" w:color="auto"/>
              </w:divBdr>
            </w:div>
          </w:divsChild>
        </w:div>
        <w:div w:id="1152481268">
          <w:marLeft w:val="0"/>
          <w:marRight w:val="0"/>
          <w:marTop w:val="0"/>
          <w:marBottom w:val="0"/>
          <w:divBdr>
            <w:top w:val="none" w:sz="0" w:space="0" w:color="auto"/>
            <w:left w:val="none" w:sz="0" w:space="0" w:color="auto"/>
            <w:bottom w:val="none" w:sz="0" w:space="0" w:color="auto"/>
            <w:right w:val="none" w:sz="0" w:space="0" w:color="auto"/>
          </w:divBdr>
          <w:divsChild>
            <w:div w:id="973363955">
              <w:marLeft w:val="0"/>
              <w:marRight w:val="0"/>
              <w:marTop w:val="0"/>
              <w:marBottom w:val="0"/>
              <w:divBdr>
                <w:top w:val="none" w:sz="0" w:space="0" w:color="auto"/>
                <w:left w:val="none" w:sz="0" w:space="0" w:color="auto"/>
                <w:bottom w:val="none" w:sz="0" w:space="0" w:color="auto"/>
                <w:right w:val="none" w:sz="0" w:space="0" w:color="auto"/>
              </w:divBdr>
            </w:div>
          </w:divsChild>
        </w:div>
        <w:div w:id="1154831178">
          <w:marLeft w:val="0"/>
          <w:marRight w:val="0"/>
          <w:marTop w:val="0"/>
          <w:marBottom w:val="0"/>
          <w:divBdr>
            <w:top w:val="none" w:sz="0" w:space="0" w:color="auto"/>
            <w:left w:val="none" w:sz="0" w:space="0" w:color="auto"/>
            <w:bottom w:val="none" w:sz="0" w:space="0" w:color="auto"/>
            <w:right w:val="none" w:sz="0" w:space="0" w:color="auto"/>
          </w:divBdr>
          <w:divsChild>
            <w:div w:id="1109861614">
              <w:marLeft w:val="0"/>
              <w:marRight w:val="0"/>
              <w:marTop w:val="0"/>
              <w:marBottom w:val="0"/>
              <w:divBdr>
                <w:top w:val="none" w:sz="0" w:space="0" w:color="auto"/>
                <w:left w:val="none" w:sz="0" w:space="0" w:color="auto"/>
                <w:bottom w:val="none" w:sz="0" w:space="0" w:color="auto"/>
                <w:right w:val="none" w:sz="0" w:space="0" w:color="auto"/>
              </w:divBdr>
            </w:div>
          </w:divsChild>
        </w:div>
        <w:div w:id="1154832748">
          <w:marLeft w:val="0"/>
          <w:marRight w:val="0"/>
          <w:marTop w:val="0"/>
          <w:marBottom w:val="0"/>
          <w:divBdr>
            <w:top w:val="none" w:sz="0" w:space="0" w:color="auto"/>
            <w:left w:val="none" w:sz="0" w:space="0" w:color="auto"/>
            <w:bottom w:val="none" w:sz="0" w:space="0" w:color="auto"/>
            <w:right w:val="none" w:sz="0" w:space="0" w:color="auto"/>
          </w:divBdr>
          <w:divsChild>
            <w:div w:id="1741171743">
              <w:marLeft w:val="0"/>
              <w:marRight w:val="0"/>
              <w:marTop w:val="0"/>
              <w:marBottom w:val="0"/>
              <w:divBdr>
                <w:top w:val="none" w:sz="0" w:space="0" w:color="auto"/>
                <w:left w:val="none" w:sz="0" w:space="0" w:color="auto"/>
                <w:bottom w:val="none" w:sz="0" w:space="0" w:color="auto"/>
                <w:right w:val="none" w:sz="0" w:space="0" w:color="auto"/>
              </w:divBdr>
            </w:div>
          </w:divsChild>
        </w:div>
        <w:div w:id="1171794742">
          <w:marLeft w:val="0"/>
          <w:marRight w:val="0"/>
          <w:marTop w:val="0"/>
          <w:marBottom w:val="0"/>
          <w:divBdr>
            <w:top w:val="none" w:sz="0" w:space="0" w:color="auto"/>
            <w:left w:val="none" w:sz="0" w:space="0" w:color="auto"/>
            <w:bottom w:val="none" w:sz="0" w:space="0" w:color="auto"/>
            <w:right w:val="none" w:sz="0" w:space="0" w:color="auto"/>
          </w:divBdr>
          <w:divsChild>
            <w:div w:id="250510770">
              <w:marLeft w:val="0"/>
              <w:marRight w:val="0"/>
              <w:marTop w:val="0"/>
              <w:marBottom w:val="0"/>
              <w:divBdr>
                <w:top w:val="none" w:sz="0" w:space="0" w:color="auto"/>
                <w:left w:val="none" w:sz="0" w:space="0" w:color="auto"/>
                <w:bottom w:val="none" w:sz="0" w:space="0" w:color="auto"/>
                <w:right w:val="none" w:sz="0" w:space="0" w:color="auto"/>
              </w:divBdr>
            </w:div>
          </w:divsChild>
        </w:div>
        <w:div w:id="1199198828">
          <w:marLeft w:val="0"/>
          <w:marRight w:val="0"/>
          <w:marTop w:val="0"/>
          <w:marBottom w:val="0"/>
          <w:divBdr>
            <w:top w:val="none" w:sz="0" w:space="0" w:color="auto"/>
            <w:left w:val="none" w:sz="0" w:space="0" w:color="auto"/>
            <w:bottom w:val="none" w:sz="0" w:space="0" w:color="auto"/>
            <w:right w:val="none" w:sz="0" w:space="0" w:color="auto"/>
          </w:divBdr>
          <w:divsChild>
            <w:div w:id="1817793977">
              <w:marLeft w:val="0"/>
              <w:marRight w:val="0"/>
              <w:marTop w:val="0"/>
              <w:marBottom w:val="0"/>
              <w:divBdr>
                <w:top w:val="none" w:sz="0" w:space="0" w:color="auto"/>
                <w:left w:val="none" w:sz="0" w:space="0" w:color="auto"/>
                <w:bottom w:val="none" w:sz="0" w:space="0" w:color="auto"/>
                <w:right w:val="none" w:sz="0" w:space="0" w:color="auto"/>
              </w:divBdr>
            </w:div>
          </w:divsChild>
        </w:div>
        <w:div w:id="1229457947">
          <w:marLeft w:val="0"/>
          <w:marRight w:val="0"/>
          <w:marTop w:val="0"/>
          <w:marBottom w:val="0"/>
          <w:divBdr>
            <w:top w:val="none" w:sz="0" w:space="0" w:color="auto"/>
            <w:left w:val="none" w:sz="0" w:space="0" w:color="auto"/>
            <w:bottom w:val="none" w:sz="0" w:space="0" w:color="auto"/>
            <w:right w:val="none" w:sz="0" w:space="0" w:color="auto"/>
          </w:divBdr>
          <w:divsChild>
            <w:div w:id="351689589">
              <w:marLeft w:val="0"/>
              <w:marRight w:val="0"/>
              <w:marTop w:val="0"/>
              <w:marBottom w:val="0"/>
              <w:divBdr>
                <w:top w:val="none" w:sz="0" w:space="0" w:color="auto"/>
                <w:left w:val="none" w:sz="0" w:space="0" w:color="auto"/>
                <w:bottom w:val="none" w:sz="0" w:space="0" w:color="auto"/>
                <w:right w:val="none" w:sz="0" w:space="0" w:color="auto"/>
              </w:divBdr>
            </w:div>
          </w:divsChild>
        </w:div>
        <w:div w:id="1231428734">
          <w:marLeft w:val="0"/>
          <w:marRight w:val="0"/>
          <w:marTop w:val="0"/>
          <w:marBottom w:val="0"/>
          <w:divBdr>
            <w:top w:val="none" w:sz="0" w:space="0" w:color="auto"/>
            <w:left w:val="none" w:sz="0" w:space="0" w:color="auto"/>
            <w:bottom w:val="none" w:sz="0" w:space="0" w:color="auto"/>
            <w:right w:val="none" w:sz="0" w:space="0" w:color="auto"/>
          </w:divBdr>
          <w:divsChild>
            <w:div w:id="1611430876">
              <w:marLeft w:val="0"/>
              <w:marRight w:val="0"/>
              <w:marTop w:val="0"/>
              <w:marBottom w:val="0"/>
              <w:divBdr>
                <w:top w:val="none" w:sz="0" w:space="0" w:color="auto"/>
                <w:left w:val="none" w:sz="0" w:space="0" w:color="auto"/>
                <w:bottom w:val="none" w:sz="0" w:space="0" w:color="auto"/>
                <w:right w:val="none" w:sz="0" w:space="0" w:color="auto"/>
              </w:divBdr>
            </w:div>
          </w:divsChild>
        </w:div>
        <w:div w:id="1233395817">
          <w:marLeft w:val="0"/>
          <w:marRight w:val="0"/>
          <w:marTop w:val="0"/>
          <w:marBottom w:val="0"/>
          <w:divBdr>
            <w:top w:val="none" w:sz="0" w:space="0" w:color="auto"/>
            <w:left w:val="none" w:sz="0" w:space="0" w:color="auto"/>
            <w:bottom w:val="none" w:sz="0" w:space="0" w:color="auto"/>
            <w:right w:val="none" w:sz="0" w:space="0" w:color="auto"/>
          </w:divBdr>
          <w:divsChild>
            <w:div w:id="54546646">
              <w:marLeft w:val="0"/>
              <w:marRight w:val="0"/>
              <w:marTop w:val="0"/>
              <w:marBottom w:val="0"/>
              <w:divBdr>
                <w:top w:val="none" w:sz="0" w:space="0" w:color="auto"/>
                <w:left w:val="none" w:sz="0" w:space="0" w:color="auto"/>
                <w:bottom w:val="none" w:sz="0" w:space="0" w:color="auto"/>
                <w:right w:val="none" w:sz="0" w:space="0" w:color="auto"/>
              </w:divBdr>
            </w:div>
            <w:div w:id="831604154">
              <w:marLeft w:val="0"/>
              <w:marRight w:val="0"/>
              <w:marTop w:val="0"/>
              <w:marBottom w:val="0"/>
              <w:divBdr>
                <w:top w:val="none" w:sz="0" w:space="0" w:color="auto"/>
                <w:left w:val="none" w:sz="0" w:space="0" w:color="auto"/>
                <w:bottom w:val="none" w:sz="0" w:space="0" w:color="auto"/>
                <w:right w:val="none" w:sz="0" w:space="0" w:color="auto"/>
              </w:divBdr>
            </w:div>
          </w:divsChild>
        </w:div>
        <w:div w:id="1244290784">
          <w:marLeft w:val="0"/>
          <w:marRight w:val="0"/>
          <w:marTop w:val="0"/>
          <w:marBottom w:val="0"/>
          <w:divBdr>
            <w:top w:val="none" w:sz="0" w:space="0" w:color="auto"/>
            <w:left w:val="none" w:sz="0" w:space="0" w:color="auto"/>
            <w:bottom w:val="none" w:sz="0" w:space="0" w:color="auto"/>
            <w:right w:val="none" w:sz="0" w:space="0" w:color="auto"/>
          </w:divBdr>
          <w:divsChild>
            <w:div w:id="1551261534">
              <w:marLeft w:val="0"/>
              <w:marRight w:val="0"/>
              <w:marTop w:val="0"/>
              <w:marBottom w:val="0"/>
              <w:divBdr>
                <w:top w:val="none" w:sz="0" w:space="0" w:color="auto"/>
                <w:left w:val="none" w:sz="0" w:space="0" w:color="auto"/>
                <w:bottom w:val="none" w:sz="0" w:space="0" w:color="auto"/>
                <w:right w:val="none" w:sz="0" w:space="0" w:color="auto"/>
              </w:divBdr>
            </w:div>
          </w:divsChild>
        </w:div>
        <w:div w:id="1246381303">
          <w:marLeft w:val="0"/>
          <w:marRight w:val="0"/>
          <w:marTop w:val="0"/>
          <w:marBottom w:val="0"/>
          <w:divBdr>
            <w:top w:val="none" w:sz="0" w:space="0" w:color="auto"/>
            <w:left w:val="none" w:sz="0" w:space="0" w:color="auto"/>
            <w:bottom w:val="none" w:sz="0" w:space="0" w:color="auto"/>
            <w:right w:val="none" w:sz="0" w:space="0" w:color="auto"/>
          </w:divBdr>
          <w:divsChild>
            <w:div w:id="2113821564">
              <w:marLeft w:val="0"/>
              <w:marRight w:val="0"/>
              <w:marTop w:val="0"/>
              <w:marBottom w:val="0"/>
              <w:divBdr>
                <w:top w:val="none" w:sz="0" w:space="0" w:color="auto"/>
                <w:left w:val="none" w:sz="0" w:space="0" w:color="auto"/>
                <w:bottom w:val="none" w:sz="0" w:space="0" w:color="auto"/>
                <w:right w:val="none" w:sz="0" w:space="0" w:color="auto"/>
              </w:divBdr>
            </w:div>
          </w:divsChild>
        </w:div>
        <w:div w:id="1247416429">
          <w:marLeft w:val="0"/>
          <w:marRight w:val="0"/>
          <w:marTop w:val="0"/>
          <w:marBottom w:val="0"/>
          <w:divBdr>
            <w:top w:val="none" w:sz="0" w:space="0" w:color="auto"/>
            <w:left w:val="none" w:sz="0" w:space="0" w:color="auto"/>
            <w:bottom w:val="none" w:sz="0" w:space="0" w:color="auto"/>
            <w:right w:val="none" w:sz="0" w:space="0" w:color="auto"/>
          </w:divBdr>
          <w:divsChild>
            <w:div w:id="122582249">
              <w:marLeft w:val="0"/>
              <w:marRight w:val="0"/>
              <w:marTop w:val="0"/>
              <w:marBottom w:val="0"/>
              <w:divBdr>
                <w:top w:val="none" w:sz="0" w:space="0" w:color="auto"/>
                <w:left w:val="none" w:sz="0" w:space="0" w:color="auto"/>
                <w:bottom w:val="none" w:sz="0" w:space="0" w:color="auto"/>
                <w:right w:val="none" w:sz="0" w:space="0" w:color="auto"/>
              </w:divBdr>
            </w:div>
          </w:divsChild>
        </w:div>
        <w:div w:id="1265920198">
          <w:marLeft w:val="0"/>
          <w:marRight w:val="0"/>
          <w:marTop w:val="0"/>
          <w:marBottom w:val="0"/>
          <w:divBdr>
            <w:top w:val="none" w:sz="0" w:space="0" w:color="auto"/>
            <w:left w:val="none" w:sz="0" w:space="0" w:color="auto"/>
            <w:bottom w:val="none" w:sz="0" w:space="0" w:color="auto"/>
            <w:right w:val="none" w:sz="0" w:space="0" w:color="auto"/>
          </w:divBdr>
          <w:divsChild>
            <w:div w:id="495611633">
              <w:marLeft w:val="0"/>
              <w:marRight w:val="0"/>
              <w:marTop w:val="0"/>
              <w:marBottom w:val="0"/>
              <w:divBdr>
                <w:top w:val="none" w:sz="0" w:space="0" w:color="auto"/>
                <w:left w:val="none" w:sz="0" w:space="0" w:color="auto"/>
                <w:bottom w:val="none" w:sz="0" w:space="0" w:color="auto"/>
                <w:right w:val="none" w:sz="0" w:space="0" w:color="auto"/>
              </w:divBdr>
            </w:div>
          </w:divsChild>
        </w:div>
        <w:div w:id="1287851547">
          <w:marLeft w:val="0"/>
          <w:marRight w:val="0"/>
          <w:marTop w:val="0"/>
          <w:marBottom w:val="0"/>
          <w:divBdr>
            <w:top w:val="none" w:sz="0" w:space="0" w:color="auto"/>
            <w:left w:val="none" w:sz="0" w:space="0" w:color="auto"/>
            <w:bottom w:val="none" w:sz="0" w:space="0" w:color="auto"/>
            <w:right w:val="none" w:sz="0" w:space="0" w:color="auto"/>
          </w:divBdr>
          <w:divsChild>
            <w:div w:id="1449008319">
              <w:marLeft w:val="0"/>
              <w:marRight w:val="0"/>
              <w:marTop w:val="0"/>
              <w:marBottom w:val="0"/>
              <w:divBdr>
                <w:top w:val="none" w:sz="0" w:space="0" w:color="auto"/>
                <w:left w:val="none" w:sz="0" w:space="0" w:color="auto"/>
                <w:bottom w:val="none" w:sz="0" w:space="0" w:color="auto"/>
                <w:right w:val="none" w:sz="0" w:space="0" w:color="auto"/>
              </w:divBdr>
            </w:div>
          </w:divsChild>
        </w:div>
        <w:div w:id="1303778261">
          <w:marLeft w:val="0"/>
          <w:marRight w:val="0"/>
          <w:marTop w:val="0"/>
          <w:marBottom w:val="0"/>
          <w:divBdr>
            <w:top w:val="none" w:sz="0" w:space="0" w:color="auto"/>
            <w:left w:val="none" w:sz="0" w:space="0" w:color="auto"/>
            <w:bottom w:val="none" w:sz="0" w:space="0" w:color="auto"/>
            <w:right w:val="none" w:sz="0" w:space="0" w:color="auto"/>
          </w:divBdr>
          <w:divsChild>
            <w:div w:id="285084131">
              <w:marLeft w:val="0"/>
              <w:marRight w:val="0"/>
              <w:marTop w:val="0"/>
              <w:marBottom w:val="0"/>
              <w:divBdr>
                <w:top w:val="none" w:sz="0" w:space="0" w:color="auto"/>
                <w:left w:val="none" w:sz="0" w:space="0" w:color="auto"/>
                <w:bottom w:val="none" w:sz="0" w:space="0" w:color="auto"/>
                <w:right w:val="none" w:sz="0" w:space="0" w:color="auto"/>
              </w:divBdr>
            </w:div>
          </w:divsChild>
        </w:div>
        <w:div w:id="1307927769">
          <w:marLeft w:val="0"/>
          <w:marRight w:val="0"/>
          <w:marTop w:val="0"/>
          <w:marBottom w:val="0"/>
          <w:divBdr>
            <w:top w:val="none" w:sz="0" w:space="0" w:color="auto"/>
            <w:left w:val="none" w:sz="0" w:space="0" w:color="auto"/>
            <w:bottom w:val="none" w:sz="0" w:space="0" w:color="auto"/>
            <w:right w:val="none" w:sz="0" w:space="0" w:color="auto"/>
          </w:divBdr>
          <w:divsChild>
            <w:div w:id="529806745">
              <w:marLeft w:val="0"/>
              <w:marRight w:val="0"/>
              <w:marTop w:val="0"/>
              <w:marBottom w:val="0"/>
              <w:divBdr>
                <w:top w:val="none" w:sz="0" w:space="0" w:color="auto"/>
                <w:left w:val="none" w:sz="0" w:space="0" w:color="auto"/>
                <w:bottom w:val="none" w:sz="0" w:space="0" w:color="auto"/>
                <w:right w:val="none" w:sz="0" w:space="0" w:color="auto"/>
              </w:divBdr>
            </w:div>
          </w:divsChild>
        </w:div>
        <w:div w:id="1309287238">
          <w:marLeft w:val="0"/>
          <w:marRight w:val="0"/>
          <w:marTop w:val="0"/>
          <w:marBottom w:val="0"/>
          <w:divBdr>
            <w:top w:val="none" w:sz="0" w:space="0" w:color="auto"/>
            <w:left w:val="none" w:sz="0" w:space="0" w:color="auto"/>
            <w:bottom w:val="none" w:sz="0" w:space="0" w:color="auto"/>
            <w:right w:val="none" w:sz="0" w:space="0" w:color="auto"/>
          </w:divBdr>
          <w:divsChild>
            <w:div w:id="160858039">
              <w:marLeft w:val="0"/>
              <w:marRight w:val="0"/>
              <w:marTop w:val="0"/>
              <w:marBottom w:val="0"/>
              <w:divBdr>
                <w:top w:val="none" w:sz="0" w:space="0" w:color="auto"/>
                <w:left w:val="none" w:sz="0" w:space="0" w:color="auto"/>
                <w:bottom w:val="none" w:sz="0" w:space="0" w:color="auto"/>
                <w:right w:val="none" w:sz="0" w:space="0" w:color="auto"/>
              </w:divBdr>
            </w:div>
          </w:divsChild>
        </w:div>
        <w:div w:id="1353847359">
          <w:marLeft w:val="0"/>
          <w:marRight w:val="0"/>
          <w:marTop w:val="0"/>
          <w:marBottom w:val="0"/>
          <w:divBdr>
            <w:top w:val="none" w:sz="0" w:space="0" w:color="auto"/>
            <w:left w:val="none" w:sz="0" w:space="0" w:color="auto"/>
            <w:bottom w:val="none" w:sz="0" w:space="0" w:color="auto"/>
            <w:right w:val="none" w:sz="0" w:space="0" w:color="auto"/>
          </w:divBdr>
          <w:divsChild>
            <w:div w:id="696975769">
              <w:marLeft w:val="0"/>
              <w:marRight w:val="0"/>
              <w:marTop w:val="0"/>
              <w:marBottom w:val="0"/>
              <w:divBdr>
                <w:top w:val="none" w:sz="0" w:space="0" w:color="auto"/>
                <w:left w:val="none" w:sz="0" w:space="0" w:color="auto"/>
                <w:bottom w:val="none" w:sz="0" w:space="0" w:color="auto"/>
                <w:right w:val="none" w:sz="0" w:space="0" w:color="auto"/>
              </w:divBdr>
            </w:div>
          </w:divsChild>
        </w:div>
        <w:div w:id="1447851366">
          <w:marLeft w:val="0"/>
          <w:marRight w:val="0"/>
          <w:marTop w:val="0"/>
          <w:marBottom w:val="0"/>
          <w:divBdr>
            <w:top w:val="none" w:sz="0" w:space="0" w:color="auto"/>
            <w:left w:val="none" w:sz="0" w:space="0" w:color="auto"/>
            <w:bottom w:val="none" w:sz="0" w:space="0" w:color="auto"/>
            <w:right w:val="none" w:sz="0" w:space="0" w:color="auto"/>
          </w:divBdr>
          <w:divsChild>
            <w:div w:id="861632382">
              <w:marLeft w:val="0"/>
              <w:marRight w:val="0"/>
              <w:marTop w:val="0"/>
              <w:marBottom w:val="0"/>
              <w:divBdr>
                <w:top w:val="none" w:sz="0" w:space="0" w:color="auto"/>
                <w:left w:val="none" w:sz="0" w:space="0" w:color="auto"/>
                <w:bottom w:val="none" w:sz="0" w:space="0" w:color="auto"/>
                <w:right w:val="none" w:sz="0" w:space="0" w:color="auto"/>
              </w:divBdr>
            </w:div>
          </w:divsChild>
        </w:div>
        <w:div w:id="1452430422">
          <w:marLeft w:val="0"/>
          <w:marRight w:val="0"/>
          <w:marTop w:val="0"/>
          <w:marBottom w:val="0"/>
          <w:divBdr>
            <w:top w:val="none" w:sz="0" w:space="0" w:color="auto"/>
            <w:left w:val="none" w:sz="0" w:space="0" w:color="auto"/>
            <w:bottom w:val="none" w:sz="0" w:space="0" w:color="auto"/>
            <w:right w:val="none" w:sz="0" w:space="0" w:color="auto"/>
          </w:divBdr>
          <w:divsChild>
            <w:div w:id="1612470043">
              <w:marLeft w:val="0"/>
              <w:marRight w:val="0"/>
              <w:marTop w:val="0"/>
              <w:marBottom w:val="0"/>
              <w:divBdr>
                <w:top w:val="none" w:sz="0" w:space="0" w:color="auto"/>
                <w:left w:val="none" w:sz="0" w:space="0" w:color="auto"/>
                <w:bottom w:val="none" w:sz="0" w:space="0" w:color="auto"/>
                <w:right w:val="none" w:sz="0" w:space="0" w:color="auto"/>
              </w:divBdr>
            </w:div>
          </w:divsChild>
        </w:div>
        <w:div w:id="1473249534">
          <w:marLeft w:val="0"/>
          <w:marRight w:val="0"/>
          <w:marTop w:val="0"/>
          <w:marBottom w:val="0"/>
          <w:divBdr>
            <w:top w:val="none" w:sz="0" w:space="0" w:color="auto"/>
            <w:left w:val="none" w:sz="0" w:space="0" w:color="auto"/>
            <w:bottom w:val="none" w:sz="0" w:space="0" w:color="auto"/>
            <w:right w:val="none" w:sz="0" w:space="0" w:color="auto"/>
          </w:divBdr>
          <w:divsChild>
            <w:div w:id="975255281">
              <w:marLeft w:val="0"/>
              <w:marRight w:val="0"/>
              <w:marTop w:val="0"/>
              <w:marBottom w:val="0"/>
              <w:divBdr>
                <w:top w:val="none" w:sz="0" w:space="0" w:color="auto"/>
                <w:left w:val="none" w:sz="0" w:space="0" w:color="auto"/>
                <w:bottom w:val="none" w:sz="0" w:space="0" w:color="auto"/>
                <w:right w:val="none" w:sz="0" w:space="0" w:color="auto"/>
              </w:divBdr>
            </w:div>
          </w:divsChild>
        </w:div>
        <w:div w:id="1500996362">
          <w:marLeft w:val="0"/>
          <w:marRight w:val="0"/>
          <w:marTop w:val="0"/>
          <w:marBottom w:val="0"/>
          <w:divBdr>
            <w:top w:val="none" w:sz="0" w:space="0" w:color="auto"/>
            <w:left w:val="none" w:sz="0" w:space="0" w:color="auto"/>
            <w:bottom w:val="none" w:sz="0" w:space="0" w:color="auto"/>
            <w:right w:val="none" w:sz="0" w:space="0" w:color="auto"/>
          </w:divBdr>
          <w:divsChild>
            <w:div w:id="667948326">
              <w:marLeft w:val="0"/>
              <w:marRight w:val="0"/>
              <w:marTop w:val="0"/>
              <w:marBottom w:val="0"/>
              <w:divBdr>
                <w:top w:val="none" w:sz="0" w:space="0" w:color="auto"/>
                <w:left w:val="none" w:sz="0" w:space="0" w:color="auto"/>
                <w:bottom w:val="none" w:sz="0" w:space="0" w:color="auto"/>
                <w:right w:val="none" w:sz="0" w:space="0" w:color="auto"/>
              </w:divBdr>
            </w:div>
          </w:divsChild>
        </w:div>
        <w:div w:id="1509979405">
          <w:marLeft w:val="0"/>
          <w:marRight w:val="0"/>
          <w:marTop w:val="0"/>
          <w:marBottom w:val="0"/>
          <w:divBdr>
            <w:top w:val="none" w:sz="0" w:space="0" w:color="auto"/>
            <w:left w:val="none" w:sz="0" w:space="0" w:color="auto"/>
            <w:bottom w:val="none" w:sz="0" w:space="0" w:color="auto"/>
            <w:right w:val="none" w:sz="0" w:space="0" w:color="auto"/>
          </w:divBdr>
          <w:divsChild>
            <w:div w:id="827398935">
              <w:marLeft w:val="0"/>
              <w:marRight w:val="0"/>
              <w:marTop w:val="0"/>
              <w:marBottom w:val="0"/>
              <w:divBdr>
                <w:top w:val="none" w:sz="0" w:space="0" w:color="auto"/>
                <w:left w:val="none" w:sz="0" w:space="0" w:color="auto"/>
                <w:bottom w:val="none" w:sz="0" w:space="0" w:color="auto"/>
                <w:right w:val="none" w:sz="0" w:space="0" w:color="auto"/>
              </w:divBdr>
            </w:div>
          </w:divsChild>
        </w:div>
        <w:div w:id="1526211462">
          <w:marLeft w:val="0"/>
          <w:marRight w:val="0"/>
          <w:marTop w:val="0"/>
          <w:marBottom w:val="0"/>
          <w:divBdr>
            <w:top w:val="none" w:sz="0" w:space="0" w:color="auto"/>
            <w:left w:val="none" w:sz="0" w:space="0" w:color="auto"/>
            <w:bottom w:val="none" w:sz="0" w:space="0" w:color="auto"/>
            <w:right w:val="none" w:sz="0" w:space="0" w:color="auto"/>
          </w:divBdr>
          <w:divsChild>
            <w:div w:id="643386652">
              <w:marLeft w:val="0"/>
              <w:marRight w:val="0"/>
              <w:marTop w:val="0"/>
              <w:marBottom w:val="0"/>
              <w:divBdr>
                <w:top w:val="none" w:sz="0" w:space="0" w:color="auto"/>
                <w:left w:val="none" w:sz="0" w:space="0" w:color="auto"/>
                <w:bottom w:val="none" w:sz="0" w:space="0" w:color="auto"/>
                <w:right w:val="none" w:sz="0" w:space="0" w:color="auto"/>
              </w:divBdr>
            </w:div>
          </w:divsChild>
        </w:div>
        <w:div w:id="1528762566">
          <w:marLeft w:val="0"/>
          <w:marRight w:val="0"/>
          <w:marTop w:val="0"/>
          <w:marBottom w:val="0"/>
          <w:divBdr>
            <w:top w:val="none" w:sz="0" w:space="0" w:color="auto"/>
            <w:left w:val="none" w:sz="0" w:space="0" w:color="auto"/>
            <w:bottom w:val="none" w:sz="0" w:space="0" w:color="auto"/>
            <w:right w:val="none" w:sz="0" w:space="0" w:color="auto"/>
          </w:divBdr>
          <w:divsChild>
            <w:div w:id="1376733034">
              <w:marLeft w:val="0"/>
              <w:marRight w:val="0"/>
              <w:marTop w:val="0"/>
              <w:marBottom w:val="0"/>
              <w:divBdr>
                <w:top w:val="none" w:sz="0" w:space="0" w:color="auto"/>
                <w:left w:val="none" w:sz="0" w:space="0" w:color="auto"/>
                <w:bottom w:val="none" w:sz="0" w:space="0" w:color="auto"/>
                <w:right w:val="none" w:sz="0" w:space="0" w:color="auto"/>
              </w:divBdr>
            </w:div>
          </w:divsChild>
        </w:div>
        <w:div w:id="1538201641">
          <w:marLeft w:val="0"/>
          <w:marRight w:val="0"/>
          <w:marTop w:val="0"/>
          <w:marBottom w:val="0"/>
          <w:divBdr>
            <w:top w:val="none" w:sz="0" w:space="0" w:color="auto"/>
            <w:left w:val="none" w:sz="0" w:space="0" w:color="auto"/>
            <w:bottom w:val="none" w:sz="0" w:space="0" w:color="auto"/>
            <w:right w:val="none" w:sz="0" w:space="0" w:color="auto"/>
          </w:divBdr>
          <w:divsChild>
            <w:div w:id="1669478289">
              <w:marLeft w:val="0"/>
              <w:marRight w:val="0"/>
              <w:marTop w:val="0"/>
              <w:marBottom w:val="0"/>
              <w:divBdr>
                <w:top w:val="none" w:sz="0" w:space="0" w:color="auto"/>
                <w:left w:val="none" w:sz="0" w:space="0" w:color="auto"/>
                <w:bottom w:val="none" w:sz="0" w:space="0" w:color="auto"/>
                <w:right w:val="none" w:sz="0" w:space="0" w:color="auto"/>
              </w:divBdr>
            </w:div>
          </w:divsChild>
        </w:div>
        <w:div w:id="1557932776">
          <w:marLeft w:val="0"/>
          <w:marRight w:val="0"/>
          <w:marTop w:val="0"/>
          <w:marBottom w:val="0"/>
          <w:divBdr>
            <w:top w:val="none" w:sz="0" w:space="0" w:color="auto"/>
            <w:left w:val="none" w:sz="0" w:space="0" w:color="auto"/>
            <w:bottom w:val="none" w:sz="0" w:space="0" w:color="auto"/>
            <w:right w:val="none" w:sz="0" w:space="0" w:color="auto"/>
          </w:divBdr>
          <w:divsChild>
            <w:div w:id="77100907">
              <w:marLeft w:val="0"/>
              <w:marRight w:val="0"/>
              <w:marTop w:val="0"/>
              <w:marBottom w:val="0"/>
              <w:divBdr>
                <w:top w:val="none" w:sz="0" w:space="0" w:color="auto"/>
                <w:left w:val="none" w:sz="0" w:space="0" w:color="auto"/>
                <w:bottom w:val="none" w:sz="0" w:space="0" w:color="auto"/>
                <w:right w:val="none" w:sz="0" w:space="0" w:color="auto"/>
              </w:divBdr>
            </w:div>
            <w:div w:id="1752265773">
              <w:marLeft w:val="0"/>
              <w:marRight w:val="0"/>
              <w:marTop w:val="0"/>
              <w:marBottom w:val="0"/>
              <w:divBdr>
                <w:top w:val="none" w:sz="0" w:space="0" w:color="auto"/>
                <w:left w:val="none" w:sz="0" w:space="0" w:color="auto"/>
                <w:bottom w:val="none" w:sz="0" w:space="0" w:color="auto"/>
                <w:right w:val="none" w:sz="0" w:space="0" w:color="auto"/>
              </w:divBdr>
            </w:div>
            <w:div w:id="2074698698">
              <w:marLeft w:val="0"/>
              <w:marRight w:val="0"/>
              <w:marTop w:val="0"/>
              <w:marBottom w:val="0"/>
              <w:divBdr>
                <w:top w:val="none" w:sz="0" w:space="0" w:color="auto"/>
                <w:left w:val="none" w:sz="0" w:space="0" w:color="auto"/>
                <w:bottom w:val="none" w:sz="0" w:space="0" w:color="auto"/>
                <w:right w:val="none" w:sz="0" w:space="0" w:color="auto"/>
              </w:divBdr>
            </w:div>
          </w:divsChild>
        </w:div>
        <w:div w:id="1593660108">
          <w:marLeft w:val="0"/>
          <w:marRight w:val="0"/>
          <w:marTop w:val="0"/>
          <w:marBottom w:val="0"/>
          <w:divBdr>
            <w:top w:val="none" w:sz="0" w:space="0" w:color="auto"/>
            <w:left w:val="none" w:sz="0" w:space="0" w:color="auto"/>
            <w:bottom w:val="none" w:sz="0" w:space="0" w:color="auto"/>
            <w:right w:val="none" w:sz="0" w:space="0" w:color="auto"/>
          </w:divBdr>
          <w:divsChild>
            <w:div w:id="981695602">
              <w:marLeft w:val="0"/>
              <w:marRight w:val="0"/>
              <w:marTop w:val="0"/>
              <w:marBottom w:val="0"/>
              <w:divBdr>
                <w:top w:val="none" w:sz="0" w:space="0" w:color="auto"/>
                <w:left w:val="none" w:sz="0" w:space="0" w:color="auto"/>
                <w:bottom w:val="none" w:sz="0" w:space="0" w:color="auto"/>
                <w:right w:val="none" w:sz="0" w:space="0" w:color="auto"/>
              </w:divBdr>
            </w:div>
          </w:divsChild>
        </w:div>
        <w:div w:id="1605263497">
          <w:marLeft w:val="0"/>
          <w:marRight w:val="0"/>
          <w:marTop w:val="0"/>
          <w:marBottom w:val="0"/>
          <w:divBdr>
            <w:top w:val="none" w:sz="0" w:space="0" w:color="auto"/>
            <w:left w:val="none" w:sz="0" w:space="0" w:color="auto"/>
            <w:bottom w:val="none" w:sz="0" w:space="0" w:color="auto"/>
            <w:right w:val="none" w:sz="0" w:space="0" w:color="auto"/>
          </w:divBdr>
          <w:divsChild>
            <w:div w:id="394472961">
              <w:marLeft w:val="0"/>
              <w:marRight w:val="0"/>
              <w:marTop w:val="0"/>
              <w:marBottom w:val="0"/>
              <w:divBdr>
                <w:top w:val="none" w:sz="0" w:space="0" w:color="auto"/>
                <w:left w:val="none" w:sz="0" w:space="0" w:color="auto"/>
                <w:bottom w:val="none" w:sz="0" w:space="0" w:color="auto"/>
                <w:right w:val="none" w:sz="0" w:space="0" w:color="auto"/>
              </w:divBdr>
            </w:div>
          </w:divsChild>
        </w:div>
        <w:div w:id="1607350047">
          <w:marLeft w:val="0"/>
          <w:marRight w:val="0"/>
          <w:marTop w:val="0"/>
          <w:marBottom w:val="0"/>
          <w:divBdr>
            <w:top w:val="none" w:sz="0" w:space="0" w:color="auto"/>
            <w:left w:val="none" w:sz="0" w:space="0" w:color="auto"/>
            <w:bottom w:val="none" w:sz="0" w:space="0" w:color="auto"/>
            <w:right w:val="none" w:sz="0" w:space="0" w:color="auto"/>
          </w:divBdr>
          <w:divsChild>
            <w:div w:id="1271278274">
              <w:marLeft w:val="0"/>
              <w:marRight w:val="0"/>
              <w:marTop w:val="0"/>
              <w:marBottom w:val="0"/>
              <w:divBdr>
                <w:top w:val="none" w:sz="0" w:space="0" w:color="auto"/>
                <w:left w:val="none" w:sz="0" w:space="0" w:color="auto"/>
                <w:bottom w:val="none" w:sz="0" w:space="0" w:color="auto"/>
                <w:right w:val="none" w:sz="0" w:space="0" w:color="auto"/>
              </w:divBdr>
            </w:div>
            <w:div w:id="1449159633">
              <w:marLeft w:val="0"/>
              <w:marRight w:val="0"/>
              <w:marTop w:val="0"/>
              <w:marBottom w:val="0"/>
              <w:divBdr>
                <w:top w:val="none" w:sz="0" w:space="0" w:color="auto"/>
                <w:left w:val="none" w:sz="0" w:space="0" w:color="auto"/>
                <w:bottom w:val="none" w:sz="0" w:space="0" w:color="auto"/>
                <w:right w:val="none" w:sz="0" w:space="0" w:color="auto"/>
              </w:divBdr>
            </w:div>
          </w:divsChild>
        </w:div>
        <w:div w:id="1610626698">
          <w:marLeft w:val="0"/>
          <w:marRight w:val="0"/>
          <w:marTop w:val="0"/>
          <w:marBottom w:val="0"/>
          <w:divBdr>
            <w:top w:val="none" w:sz="0" w:space="0" w:color="auto"/>
            <w:left w:val="none" w:sz="0" w:space="0" w:color="auto"/>
            <w:bottom w:val="none" w:sz="0" w:space="0" w:color="auto"/>
            <w:right w:val="none" w:sz="0" w:space="0" w:color="auto"/>
          </w:divBdr>
          <w:divsChild>
            <w:div w:id="1483887541">
              <w:marLeft w:val="0"/>
              <w:marRight w:val="0"/>
              <w:marTop w:val="0"/>
              <w:marBottom w:val="0"/>
              <w:divBdr>
                <w:top w:val="none" w:sz="0" w:space="0" w:color="auto"/>
                <w:left w:val="none" w:sz="0" w:space="0" w:color="auto"/>
                <w:bottom w:val="none" w:sz="0" w:space="0" w:color="auto"/>
                <w:right w:val="none" w:sz="0" w:space="0" w:color="auto"/>
              </w:divBdr>
            </w:div>
          </w:divsChild>
        </w:div>
        <w:div w:id="1617130722">
          <w:marLeft w:val="0"/>
          <w:marRight w:val="0"/>
          <w:marTop w:val="0"/>
          <w:marBottom w:val="0"/>
          <w:divBdr>
            <w:top w:val="none" w:sz="0" w:space="0" w:color="auto"/>
            <w:left w:val="none" w:sz="0" w:space="0" w:color="auto"/>
            <w:bottom w:val="none" w:sz="0" w:space="0" w:color="auto"/>
            <w:right w:val="none" w:sz="0" w:space="0" w:color="auto"/>
          </w:divBdr>
          <w:divsChild>
            <w:div w:id="1358963226">
              <w:marLeft w:val="0"/>
              <w:marRight w:val="0"/>
              <w:marTop w:val="0"/>
              <w:marBottom w:val="0"/>
              <w:divBdr>
                <w:top w:val="none" w:sz="0" w:space="0" w:color="auto"/>
                <w:left w:val="none" w:sz="0" w:space="0" w:color="auto"/>
                <w:bottom w:val="none" w:sz="0" w:space="0" w:color="auto"/>
                <w:right w:val="none" w:sz="0" w:space="0" w:color="auto"/>
              </w:divBdr>
            </w:div>
          </w:divsChild>
        </w:div>
        <w:div w:id="1622151510">
          <w:marLeft w:val="0"/>
          <w:marRight w:val="0"/>
          <w:marTop w:val="0"/>
          <w:marBottom w:val="0"/>
          <w:divBdr>
            <w:top w:val="none" w:sz="0" w:space="0" w:color="auto"/>
            <w:left w:val="none" w:sz="0" w:space="0" w:color="auto"/>
            <w:bottom w:val="none" w:sz="0" w:space="0" w:color="auto"/>
            <w:right w:val="none" w:sz="0" w:space="0" w:color="auto"/>
          </w:divBdr>
          <w:divsChild>
            <w:div w:id="44260848">
              <w:marLeft w:val="0"/>
              <w:marRight w:val="0"/>
              <w:marTop w:val="0"/>
              <w:marBottom w:val="0"/>
              <w:divBdr>
                <w:top w:val="none" w:sz="0" w:space="0" w:color="auto"/>
                <w:left w:val="none" w:sz="0" w:space="0" w:color="auto"/>
                <w:bottom w:val="none" w:sz="0" w:space="0" w:color="auto"/>
                <w:right w:val="none" w:sz="0" w:space="0" w:color="auto"/>
              </w:divBdr>
            </w:div>
          </w:divsChild>
        </w:div>
        <w:div w:id="1633319172">
          <w:marLeft w:val="0"/>
          <w:marRight w:val="0"/>
          <w:marTop w:val="0"/>
          <w:marBottom w:val="0"/>
          <w:divBdr>
            <w:top w:val="none" w:sz="0" w:space="0" w:color="auto"/>
            <w:left w:val="none" w:sz="0" w:space="0" w:color="auto"/>
            <w:bottom w:val="none" w:sz="0" w:space="0" w:color="auto"/>
            <w:right w:val="none" w:sz="0" w:space="0" w:color="auto"/>
          </w:divBdr>
          <w:divsChild>
            <w:div w:id="648248578">
              <w:marLeft w:val="0"/>
              <w:marRight w:val="0"/>
              <w:marTop w:val="0"/>
              <w:marBottom w:val="0"/>
              <w:divBdr>
                <w:top w:val="none" w:sz="0" w:space="0" w:color="auto"/>
                <w:left w:val="none" w:sz="0" w:space="0" w:color="auto"/>
                <w:bottom w:val="none" w:sz="0" w:space="0" w:color="auto"/>
                <w:right w:val="none" w:sz="0" w:space="0" w:color="auto"/>
              </w:divBdr>
            </w:div>
          </w:divsChild>
        </w:div>
        <w:div w:id="1651712321">
          <w:marLeft w:val="0"/>
          <w:marRight w:val="0"/>
          <w:marTop w:val="0"/>
          <w:marBottom w:val="0"/>
          <w:divBdr>
            <w:top w:val="none" w:sz="0" w:space="0" w:color="auto"/>
            <w:left w:val="none" w:sz="0" w:space="0" w:color="auto"/>
            <w:bottom w:val="none" w:sz="0" w:space="0" w:color="auto"/>
            <w:right w:val="none" w:sz="0" w:space="0" w:color="auto"/>
          </w:divBdr>
          <w:divsChild>
            <w:div w:id="116535522">
              <w:marLeft w:val="0"/>
              <w:marRight w:val="0"/>
              <w:marTop w:val="0"/>
              <w:marBottom w:val="0"/>
              <w:divBdr>
                <w:top w:val="none" w:sz="0" w:space="0" w:color="auto"/>
                <w:left w:val="none" w:sz="0" w:space="0" w:color="auto"/>
                <w:bottom w:val="none" w:sz="0" w:space="0" w:color="auto"/>
                <w:right w:val="none" w:sz="0" w:space="0" w:color="auto"/>
              </w:divBdr>
            </w:div>
            <w:div w:id="630526203">
              <w:marLeft w:val="0"/>
              <w:marRight w:val="0"/>
              <w:marTop w:val="0"/>
              <w:marBottom w:val="0"/>
              <w:divBdr>
                <w:top w:val="none" w:sz="0" w:space="0" w:color="auto"/>
                <w:left w:val="none" w:sz="0" w:space="0" w:color="auto"/>
                <w:bottom w:val="none" w:sz="0" w:space="0" w:color="auto"/>
                <w:right w:val="none" w:sz="0" w:space="0" w:color="auto"/>
              </w:divBdr>
            </w:div>
          </w:divsChild>
        </w:div>
        <w:div w:id="1652950567">
          <w:marLeft w:val="0"/>
          <w:marRight w:val="0"/>
          <w:marTop w:val="0"/>
          <w:marBottom w:val="0"/>
          <w:divBdr>
            <w:top w:val="none" w:sz="0" w:space="0" w:color="auto"/>
            <w:left w:val="none" w:sz="0" w:space="0" w:color="auto"/>
            <w:bottom w:val="none" w:sz="0" w:space="0" w:color="auto"/>
            <w:right w:val="none" w:sz="0" w:space="0" w:color="auto"/>
          </w:divBdr>
          <w:divsChild>
            <w:div w:id="2008551985">
              <w:marLeft w:val="0"/>
              <w:marRight w:val="0"/>
              <w:marTop w:val="0"/>
              <w:marBottom w:val="0"/>
              <w:divBdr>
                <w:top w:val="none" w:sz="0" w:space="0" w:color="auto"/>
                <w:left w:val="none" w:sz="0" w:space="0" w:color="auto"/>
                <w:bottom w:val="none" w:sz="0" w:space="0" w:color="auto"/>
                <w:right w:val="none" w:sz="0" w:space="0" w:color="auto"/>
              </w:divBdr>
            </w:div>
          </w:divsChild>
        </w:div>
        <w:div w:id="1658916341">
          <w:marLeft w:val="0"/>
          <w:marRight w:val="0"/>
          <w:marTop w:val="0"/>
          <w:marBottom w:val="0"/>
          <w:divBdr>
            <w:top w:val="none" w:sz="0" w:space="0" w:color="auto"/>
            <w:left w:val="none" w:sz="0" w:space="0" w:color="auto"/>
            <w:bottom w:val="none" w:sz="0" w:space="0" w:color="auto"/>
            <w:right w:val="none" w:sz="0" w:space="0" w:color="auto"/>
          </w:divBdr>
          <w:divsChild>
            <w:div w:id="562257659">
              <w:marLeft w:val="0"/>
              <w:marRight w:val="0"/>
              <w:marTop w:val="0"/>
              <w:marBottom w:val="0"/>
              <w:divBdr>
                <w:top w:val="none" w:sz="0" w:space="0" w:color="auto"/>
                <w:left w:val="none" w:sz="0" w:space="0" w:color="auto"/>
                <w:bottom w:val="none" w:sz="0" w:space="0" w:color="auto"/>
                <w:right w:val="none" w:sz="0" w:space="0" w:color="auto"/>
              </w:divBdr>
            </w:div>
          </w:divsChild>
        </w:div>
        <w:div w:id="1670519230">
          <w:marLeft w:val="0"/>
          <w:marRight w:val="0"/>
          <w:marTop w:val="0"/>
          <w:marBottom w:val="0"/>
          <w:divBdr>
            <w:top w:val="none" w:sz="0" w:space="0" w:color="auto"/>
            <w:left w:val="none" w:sz="0" w:space="0" w:color="auto"/>
            <w:bottom w:val="none" w:sz="0" w:space="0" w:color="auto"/>
            <w:right w:val="none" w:sz="0" w:space="0" w:color="auto"/>
          </w:divBdr>
          <w:divsChild>
            <w:div w:id="1401906099">
              <w:marLeft w:val="0"/>
              <w:marRight w:val="0"/>
              <w:marTop w:val="0"/>
              <w:marBottom w:val="0"/>
              <w:divBdr>
                <w:top w:val="none" w:sz="0" w:space="0" w:color="auto"/>
                <w:left w:val="none" w:sz="0" w:space="0" w:color="auto"/>
                <w:bottom w:val="none" w:sz="0" w:space="0" w:color="auto"/>
                <w:right w:val="none" w:sz="0" w:space="0" w:color="auto"/>
              </w:divBdr>
            </w:div>
          </w:divsChild>
        </w:div>
        <w:div w:id="1687898414">
          <w:marLeft w:val="0"/>
          <w:marRight w:val="0"/>
          <w:marTop w:val="0"/>
          <w:marBottom w:val="0"/>
          <w:divBdr>
            <w:top w:val="none" w:sz="0" w:space="0" w:color="auto"/>
            <w:left w:val="none" w:sz="0" w:space="0" w:color="auto"/>
            <w:bottom w:val="none" w:sz="0" w:space="0" w:color="auto"/>
            <w:right w:val="none" w:sz="0" w:space="0" w:color="auto"/>
          </w:divBdr>
          <w:divsChild>
            <w:div w:id="753670625">
              <w:marLeft w:val="0"/>
              <w:marRight w:val="0"/>
              <w:marTop w:val="0"/>
              <w:marBottom w:val="0"/>
              <w:divBdr>
                <w:top w:val="none" w:sz="0" w:space="0" w:color="auto"/>
                <w:left w:val="none" w:sz="0" w:space="0" w:color="auto"/>
                <w:bottom w:val="none" w:sz="0" w:space="0" w:color="auto"/>
                <w:right w:val="none" w:sz="0" w:space="0" w:color="auto"/>
              </w:divBdr>
            </w:div>
            <w:div w:id="1253246330">
              <w:marLeft w:val="0"/>
              <w:marRight w:val="0"/>
              <w:marTop w:val="0"/>
              <w:marBottom w:val="0"/>
              <w:divBdr>
                <w:top w:val="none" w:sz="0" w:space="0" w:color="auto"/>
                <w:left w:val="none" w:sz="0" w:space="0" w:color="auto"/>
                <w:bottom w:val="none" w:sz="0" w:space="0" w:color="auto"/>
                <w:right w:val="none" w:sz="0" w:space="0" w:color="auto"/>
              </w:divBdr>
            </w:div>
          </w:divsChild>
        </w:div>
        <w:div w:id="1698114967">
          <w:marLeft w:val="0"/>
          <w:marRight w:val="0"/>
          <w:marTop w:val="0"/>
          <w:marBottom w:val="0"/>
          <w:divBdr>
            <w:top w:val="none" w:sz="0" w:space="0" w:color="auto"/>
            <w:left w:val="none" w:sz="0" w:space="0" w:color="auto"/>
            <w:bottom w:val="none" w:sz="0" w:space="0" w:color="auto"/>
            <w:right w:val="none" w:sz="0" w:space="0" w:color="auto"/>
          </w:divBdr>
          <w:divsChild>
            <w:div w:id="1097209076">
              <w:marLeft w:val="0"/>
              <w:marRight w:val="0"/>
              <w:marTop w:val="0"/>
              <w:marBottom w:val="0"/>
              <w:divBdr>
                <w:top w:val="none" w:sz="0" w:space="0" w:color="auto"/>
                <w:left w:val="none" w:sz="0" w:space="0" w:color="auto"/>
                <w:bottom w:val="none" w:sz="0" w:space="0" w:color="auto"/>
                <w:right w:val="none" w:sz="0" w:space="0" w:color="auto"/>
              </w:divBdr>
            </w:div>
            <w:div w:id="1451777853">
              <w:marLeft w:val="0"/>
              <w:marRight w:val="0"/>
              <w:marTop w:val="0"/>
              <w:marBottom w:val="0"/>
              <w:divBdr>
                <w:top w:val="none" w:sz="0" w:space="0" w:color="auto"/>
                <w:left w:val="none" w:sz="0" w:space="0" w:color="auto"/>
                <w:bottom w:val="none" w:sz="0" w:space="0" w:color="auto"/>
                <w:right w:val="none" w:sz="0" w:space="0" w:color="auto"/>
              </w:divBdr>
            </w:div>
          </w:divsChild>
        </w:div>
        <w:div w:id="1708482336">
          <w:marLeft w:val="0"/>
          <w:marRight w:val="0"/>
          <w:marTop w:val="0"/>
          <w:marBottom w:val="0"/>
          <w:divBdr>
            <w:top w:val="none" w:sz="0" w:space="0" w:color="auto"/>
            <w:left w:val="none" w:sz="0" w:space="0" w:color="auto"/>
            <w:bottom w:val="none" w:sz="0" w:space="0" w:color="auto"/>
            <w:right w:val="none" w:sz="0" w:space="0" w:color="auto"/>
          </w:divBdr>
          <w:divsChild>
            <w:div w:id="1152218713">
              <w:marLeft w:val="0"/>
              <w:marRight w:val="0"/>
              <w:marTop w:val="0"/>
              <w:marBottom w:val="0"/>
              <w:divBdr>
                <w:top w:val="none" w:sz="0" w:space="0" w:color="auto"/>
                <w:left w:val="none" w:sz="0" w:space="0" w:color="auto"/>
                <w:bottom w:val="none" w:sz="0" w:space="0" w:color="auto"/>
                <w:right w:val="none" w:sz="0" w:space="0" w:color="auto"/>
              </w:divBdr>
            </w:div>
          </w:divsChild>
        </w:div>
        <w:div w:id="1715037837">
          <w:marLeft w:val="0"/>
          <w:marRight w:val="0"/>
          <w:marTop w:val="0"/>
          <w:marBottom w:val="0"/>
          <w:divBdr>
            <w:top w:val="none" w:sz="0" w:space="0" w:color="auto"/>
            <w:left w:val="none" w:sz="0" w:space="0" w:color="auto"/>
            <w:bottom w:val="none" w:sz="0" w:space="0" w:color="auto"/>
            <w:right w:val="none" w:sz="0" w:space="0" w:color="auto"/>
          </w:divBdr>
          <w:divsChild>
            <w:div w:id="1198739594">
              <w:marLeft w:val="0"/>
              <w:marRight w:val="0"/>
              <w:marTop w:val="0"/>
              <w:marBottom w:val="0"/>
              <w:divBdr>
                <w:top w:val="none" w:sz="0" w:space="0" w:color="auto"/>
                <w:left w:val="none" w:sz="0" w:space="0" w:color="auto"/>
                <w:bottom w:val="none" w:sz="0" w:space="0" w:color="auto"/>
                <w:right w:val="none" w:sz="0" w:space="0" w:color="auto"/>
              </w:divBdr>
            </w:div>
          </w:divsChild>
        </w:div>
        <w:div w:id="1718508850">
          <w:marLeft w:val="0"/>
          <w:marRight w:val="0"/>
          <w:marTop w:val="0"/>
          <w:marBottom w:val="0"/>
          <w:divBdr>
            <w:top w:val="none" w:sz="0" w:space="0" w:color="auto"/>
            <w:left w:val="none" w:sz="0" w:space="0" w:color="auto"/>
            <w:bottom w:val="none" w:sz="0" w:space="0" w:color="auto"/>
            <w:right w:val="none" w:sz="0" w:space="0" w:color="auto"/>
          </w:divBdr>
          <w:divsChild>
            <w:div w:id="1102143354">
              <w:marLeft w:val="0"/>
              <w:marRight w:val="0"/>
              <w:marTop w:val="0"/>
              <w:marBottom w:val="0"/>
              <w:divBdr>
                <w:top w:val="none" w:sz="0" w:space="0" w:color="auto"/>
                <w:left w:val="none" w:sz="0" w:space="0" w:color="auto"/>
                <w:bottom w:val="none" w:sz="0" w:space="0" w:color="auto"/>
                <w:right w:val="none" w:sz="0" w:space="0" w:color="auto"/>
              </w:divBdr>
            </w:div>
          </w:divsChild>
        </w:div>
        <w:div w:id="1731464245">
          <w:marLeft w:val="0"/>
          <w:marRight w:val="0"/>
          <w:marTop w:val="0"/>
          <w:marBottom w:val="0"/>
          <w:divBdr>
            <w:top w:val="none" w:sz="0" w:space="0" w:color="auto"/>
            <w:left w:val="none" w:sz="0" w:space="0" w:color="auto"/>
            <w:bottom w:val="none" w:sz="0" w:space="0" w:color="auto"/>
            <w:right w:val="none" w:sz="0" w:space="0" w:color="auto"/>
          </w:divBdr>
          <w:divsChild>
            <w:div w:id="301737859">
              <w:marLeft w:val="0"/>
              <w:marRight w:val="0"/>
              <w:marTop w:val="0"/>
              <w:marBottom w:val="0"/>
              <w:divBdr>
                <w:top w:val="none" w:sz="0" w:space="0" w:color="auto"/>
                <w:left w:val="none" w:sz="0" w:space="0" w:color="auto"/>
                <w:bottom w:val="none" w:sz="0" w:space="0" w:color="auto"/>
                <w:right w:val="none" w:sz="0" w:space="0" w:color="auto"/>
              </w:divBdr>
            </w:div>
          </w:divsChild>
        </w:div>
        <w:div w:id="1762217993">
          <w:marLeft w:val="0"/>
          <w:marRight w:val="0"/>
          <w:marTop w:val="0"/>
          <w:marBottom w:val="0"/>
          <w:divBdr>
            <w:top w:val="none" w:sz="0" w:space="0" w:color="auto"/>
            <w:left w:val="none" w:sz="0" w:space="0" w:color="auto"/>
            <w:bottom w:val="none" w:sz="0" w:space="0" w:color="auto"/>
            <w:right w:val="none" w:sz="0" w:space="0" w:color="auto"/>
          </w:divBdr>
          <w:divsChild>
            <w:div w:id="826441232">
              <w:marLeft w:val="0"/>
              <w:marRight w:val="0"/>
              <w:marTop w:val="0"/>
              <w:marBottom w:val="0"/>
              <w:divBdr>
                <w:top w:val="none" w:sz="0" w:space="0" w:color="auto"/>
                <w:left w:val="none" w:sz="0" w:space="0" w:color="auto"/>
                <w:bottom w:val="none" w:sz="0" w:space="0" w:color="auto"/>
                <w:right w:val="none" w:sz="0" w:space="0" w:color="auto"/>
              </w:divBdr>
            </w:div>
          </w:divsChild>
        </w:div>
        <w:div w:id="1763795280">
          <w:marLeft w:val="0"/>
          <w:marRight w:val="0"/>
          <w:marTop w:val="0"/>
          <w:marBottom w:val="0"/>
          <w:divBdr>
            <w:top w:val="none" w:sz="0" w:space="0" w:color="auto"/>
            <w:left w:val="none" w:sz="0" w:space="0" w:color="auto"/>
            <w:bottom w:val="none" w:sz="0" w:space="0" w:color="auto"/>
            <w:right w:val="none" w:sz="0" w:space="0" w:color="auto"/>
          </w:divBdr>
          <w:divsChild>
            <w:div w:id="680397410">
              <w:marLeft w:val="0"/>
              <w:marRight w:val="0"/>
              <w:marTop w:val="0"/>
              <w:marBottom w:val="0"/>
              <w:divBdr>
                <w:top w:val="none" w:sz="0" w:space="0" w:color="auto"/>
                <w:left w:val="none" w:sz="0" w:space="0" w:color="auto"/>
                <w:bottom w:val="none" w:sz="0" w:space="0" w:color="auto"/>
                <w:right w:val="none" w:sz="0" w:space="0" w:color="auto"/>
              </w:divBdr>
            </w:div>
          </w:divsChild>
        </w:div>
        <w:div w:id="1764454098">
          <w:marLeft w:val="0"/>
          <w:marRight w:val="0"/>
          <w:marTop w:val="0"/>
          <w:marBottom w:val="0"/>
          <w:divBdr>
            <w:top w:val="none" w:sz="0" w:space="0" w:color="auto"/>
            <w:left w:val="none" w:sz="0" w:space="0" w:color="auto"/>
            <w:bottom w:val="none" w:sz="0" w:space="0" w:color="auto"/>
            <w:right w:val="none" w:sz="0" w:space="0" w:color="auto"/>
          </w:divBdr>
          <w:divsChild>
            <w:div w:id="216404893">
              <w:marLeft w:val="0"/>
              <w:marRight w:val="0"/>
              <w:marTop w:val="0"/>
              <w:marBottom w:val="0"/>
              <w:divBdr>
                <w:top w:val="none" w:sz="0" w:space="0" w:color="auto"/>
                <w:left w:val="none" w:sz="0" w:space="0" w:color="auto"/>
                <w:bottom w:val="none" w:sz="0" w:space="0" w:color="auto"/>
                <w:right w:val="none" w:sz="0" w:space="0" w:color="auto"/>
              </w:divBdr>
            </w:div>
          </w:divsChild>
        </w:div>
        <w:div w:id="1783501207">
          <w:marLeft w:val="0"/>
          <w:marRight w:val="0"/>
          <w:marTop w:val="0"/>
          <w:marBottom w:val="0"/>
          <w:divBdr>
            <w:top w:val="none" w:sz="0" w:space="0" w:color="auto"/>
            <w:left w:val="none" w:sz="0" w:space="0" w:color="auto"/>
            <w:bottom w:val="none" w:sz="0" w:space="0" w:color="auto"/>
            <w:right w:val="none" w:sz="0" w:space="0" w:color="auto"/>
          </w:divBdr>
          <w:divsChild>
            <w:div w:id="881677104">
              <w:marLeft w:val="0"/>
              <w:marRight w:val="0"/>
              <w:marTop w:val="0"/>
              <w:marBottom w:val="0"/>
              <w:divBdr>
                <w:top w:val="none" w:sz="0" w:space="0" w:color="auto"/>
                <w:left w:val="none" w:sz="0" w:space="0" w:color="auto"/>
                <w:bottom w:val="none" w:sz="0" w:space="0" w:color="auto"/>
                <w:right w:val="none" w:sz="0" w:space="0" w:color="auto"/>
              </w:divBdr>
            </w:div>
          </w:divsChild>
        </w:div>
        <w:div w:id="1791707851">
          <w:marLeft w:val="0"/>
          <w:marRight w:val="0"/>
          <w:marTop w:val="0"/>
          <w:marBottom w:val="0"/>
          <w:divBdr>
            <w:top w:val="none" w:sz="0" w:space="0" w:color="auto"/>
            <w:left w:val="none" w:sz="0" w:space="0" w:color="auto"/>
            <w:bottom w:val="none" w:sz="0" w:space="0" w:color="auto"/>
            <w:right w:val="none" w:sz="0" w:space="0" w:color="auto"/>
          </w:divBdr>
          <w:divsChild>
            <w:div w:id="1197888404">
              <w:marLeft w:val="0"/>
              <w:marRight w:val="0"/>
              <w:marTop w:val="0"/>
              <w:marBottom w:val="0"/>
              <w:divBdr>
                <w:top w:val="none" w:sz="0" w:space="0" w:color="auto"/>
                <w:left w:val="none" w:sz="0" w:space="0" w:color="auto"/>
                <w:bottom w:val="none" w:sz="0" w:space="0" w:color="auto"/>
                <w:right w:val="none" w:sz="0" w:space="0" w:color="auto"/>
              </w:divBdr>
            </w:div>
          </w:divsChild>
        </w:div>
        <w:div w:id="1806316128">
          <w:marLeft w:val="0"/>
          <w:marRight w:val="0"/>
          <w:marTop w:val="0"/>
          <w:marBottom w:val="0"/>
          <w:divBdr>
            <w:top w:val="none" w:sz="0" w:space="0" w:color="auto"/>
            <w:left w:val="none" w:sz="0" w:space="0" w:color="auto"/>
            <w:bottom w:val="none" w:sz="0" w:space="0" w:color="auto"/>
            <w:right w:val="none" w:sz="0" w:space="0" w:color="auto"/>
          </w:divBdr>
          <w:divsChild>
            <w:div w:id="550851236">
              <w:marLeft w:val="0"/>
              <w:marRight w:val="0"/>
              <w:marTop w:val="0"/>
              <w:marBottom w:val="0"/>
              <w:divBdr>
                <w:top w:val="none" w:sz="0" w:space="0" w:color="auto"/>
                <w:left w:val="none" w:sz="0" w:space="0" w:color="auto"/>
                <w:bottom w:val="none" w:sz="0" w:space="0" w:color="auto"/>
                <w:right w:val="none" w:sz="0" w:space="0" w:color="auto"/>
              </w:divBdr>
            </w:div>
          </w:divsChild>
        </w:div>
        <w:div w:id="1809977472">
          <w:marLeft w:val="0"/>
          <w:marRight w:val="0"/>
          <w:marTop w:val="0"/>
          <w:marBottom w:val="0"/>
          <w:divBdr>
            <w:top w:val="none" w:sz="0" w:space="0" w:color="auto"/>
            <w:left w:val="none" w:sz="0" w:space="0" w:color="auto"/>
            <w:bottom w:val="none" w:sz="0" w:space="0" w:color="auto"/>
            <w:right w:val="none" w:sz="0" w:space="0" w:color="auto"/>
          </w:divBdr>
          <w:divsChild>
            <w:div w:id="1592935552">
              <w:marLeft w:val="0"/>
              <w:marRight w:val="0"/>
              <w:marTop w:val="0"/>
              <w:marBottom w:val="0"/>
              <w:divBdr>
                <w:top w:val="none" w:sz="0" w:space="0" w:color="auto"/>
                <w:left w:val="none" w:sz="0" w:space="0" w:color="auto"/>
                <w:bottom w:val="none" w:sz="0" w:space="0" w:color="auto"/>
                <w:right w:val="none" w:sz="0" w:space="0" w:color="auto"/>
              </w:divBdr>
            </w:div>
          </w:divsChild>
        </w:div>
        <w:div w:id="1812018040">
          <w:marLeft w:val="0"/>
          <w:marRight w:val="0"/>
          <w:marTop w:val="0"/>
          <w:marBottom w:val="0"/>
          <w:divBdr>
            <w:top w:val="none" w:sz="0" w:space="0" w:color="auto"/>
            <w:left w:val="none" w:sz="0" w:space="0" w:color="auto"/>
            <w:bottom w:val="none" w:sz="0" w:space="0" w:color="auto"/>
            <w:right w:val="none" w:sz="0" w:space="0" w:color="auto"/>
          </w:divBdr>
          <w:divsChild>
            <w:div w:id="1164050548">
              <w:marLeft w:val="0"/>
              <w:marRight w:val="0"/>
              <w:marTop w:val="0"/>
              <w:marBottom w:val="0"/>
              <w:divBdr>
                <w:top w:val="none" w:sz="0" w:space="0" w:color="auto"/>
                <w:left w:val="none" w:sz="0" w:space="0" w:color="auto"/>
                <w:bottom w:val="none" w:sz="0" w:space="0" w:color="auto"/>
                <w:right w:val="none" w:sz="0" w:space="0" w:color="auto"/>
              </w:divBdr>
            </w:div>
          </w:divsChild>
        </w:div>
        <w:div w:id="1818036820">
          <w:marLeft w:val="0"/>
          <w:marRight w:val="0"/>
          <w:marTop w:val="0"/>
          <w:marBottom w:val="0"/>
          <w:divBdr>
            <w:top w:val="none" w:sz="0" w:space="0" w:color="auto"/>
            <w:left w:val="none" w:sz="0" w:space="0" w:color="auto"/>
            <w:bottom w:val="none" w:sz="0" w:space="0" w:color="auto"/>
            <w:right w:val="none" w:sz="0" w:space="0" w:color="auto"/>
          </w:divBdr>
          <w:divsChild>
            <w:div w:id="761490332">
              <w:marLeft w:val="0"/>
              <w:marRight w:val="0"/>
              <w:marTop w:val="0"/>
              <w:marBottom w:val="0"/>
              <w:divBdr>
                <w:top w:val="none" w:sz="0" w:space="0" w:color="auto"/>
                <w:left w:val="none" w:sz="0" w:space="0" w:color="auto"/>
                <w:bottom w:val="none" w:sz="0" w:space="0" w:color="auto"/>
                <w:right w:val="none" w:sz="0" w:space="0" w:color="auto"/>
              </w:divBdr>
            </w:div>
          </w:divsChild>
        </w:div>
        <w:div w:id="1850556905">
          <w:marLeft w:val="0"/>
          <w:marRight w:val="0"/>
          <w:marTop w:val="0"/>
          <w:marBottom w:val="0"/>
          <w:divBdr>
            <w:top w:val="none" w:sz="0" w:space="0" w:color="auto"/>
            <w:left w:val="none" w:sz="0" w:space="0" w:color="auto"/>
            <w:bottom w:val="none" w:sz="0" w:space="0" w:color="auto"/>
            <w:right w:val="none" w:sz="0" w:space="0" w:color="auto"/>
          </w:divBdr>
          <w:divsChild>
            <w:div w:id="90904080">
              <w:marLeft w:val="0"/>
              <w:marRight w:val="0"/>
              <w:marTop w:val="0"/>
              <w:marBottom w:val="0"/>
              <w:divBdr>
                <w:top w:val="none" w:sz="0" w:space="0" w:color="auto"/>
                <w:left w:val="none" w:sz="0" w:space="0" w:color="auto"/>
                <w:bottom w:val="none" w:sz="0" w:space="0" w:color="auto"/>
                <w:right w:val="none" w:sz="0" w:space="0" w:color="auto"/>
              </w:divBdr>
            </w:div>
          </w:divsChild>
        </w:div>
        <w:div w:id="1858347010">
          <w:marLeft w:val="0"/>
          <w:marRight w:val="0"/>
          <w:marTop w:val="0"/>
          <w:marBottom w:val="0"/>
          <w:divBdr>
            <w:top w:val="none" w:sz="0" w:space="0" w:color="auto"/>
            <w:left w:val="none" w:sz="0" w:space="0" w:color="auto"/>
            <w:bottom w:val="none" w:sz="0" w:space="0" w:color="auto"/>
            <w:right w:val="none" w:sz="0" w:space="0" w:color="auto"/>
          </w:divBdr>
          <w:divsChild>
            <w:div w:id="1464231826">
              <w:marLeft w:val="0"/>
              <w:marRight w:val="0"/>
              <w:marTop w:val="0"/>
              <w:marBottom w:val="0"/>
              <w:divBdr>
                <w:top w:val="none" w:sz="0" w:space="0" w:color="auto"/>
                <w:left w:val="none" w:sz="0" w:space="0" w:color="auto"/>
                <w:bottom w:val="none" w:sz="0" w:space="0" w:color="auto"/>
                <w:right w:val="none" w:sz="0" w:space="0" w:color="auto"/>
              </w:divBdr>
            </w:div>
          </w:divsChild>
        </w:div>
        <w:div w:id="1864129310">
          <w:marLeft w:val="0"/>
          <w:marRight w:val="0"/>
          <w:marTop w:val="0"/>
          <w:marBottom w:val="0"/>
          <w:divBdr>
            <w:top w:val="none" w:sz="0" w:space="0" w:color="auto"/>
            <w:left w:val="none" w:sz="0" w:space="0" w:color="auto"/>
            <w:bottom w:val="none" w:sz="0" w:space="0" w:color="auto"/>
            <w:right w:val="none" w:sz="0" w:space="0" w:color="auto"/>
          </w:divBdr>
          <w:divsChild>
            <w:div w:id="822283888">
              <w:marLeft w:val="0"/>
              <w:marRight w:val="0"/>
              <w:marTop w:val="0"/>
              <w:marBottom w:val="0"/>
              <w:divBdr>
                <w:top w:val="none" w:sz="0" w:space="0" w:color="auto"/>
                <w:left w:val="none" w:sz="0" w:space="0" w:color="auto"/>
                <w:bottom w:val="none" w:sz="0" w:space="0" w:color="auto"/>
                <w:right w:val="none" w:sz="0" w:space="0" w:color="auto"/>
              </w:divBdr>
            </w:div>
          </w:divsChild>
        </w:div>
        <w:div w:id="1866211025">
          <w:marLeft w:val="0"/>
          <w:marRight w:val="0"/>
          <w:marTop w:val="0"/>
          <w:marBottom w:val="0"/>
          <w:divBdr>
            <w:top w:val="none" w:sz="0" w:space="0" w:color="auto"/>
            <w:left w:val="none" w:sz="0" w:space="0" w:color="auto"/>
            <w:bottom w:val="none" w:sz="0" w:space="0" w:color="auto"/>
            <w:right w:val="none" w:sz="0" w:space="0" w:color="auto"/>
          </w:divBdr>
          <w:divsChild>
            <w:div w:id="1793212590">
              <w:marLeft w:val="0"/>
              <w:marRight w:val="0"/>
              <w:marTop w:val="0"/>
              <w:marBottom w:val="0"/>
              <w:divBdr>
                <w:top w:val="none" w:sz="0" w:space="0" w:color="auto"/>
                <w:left w:val="none" w:sz="0" w:space="0" w:color="auto"/>
                <w:bottom w:val="none" w:sz="0" w:space="0" w:color="auto"/>
                <w:right w:val="none" w:sz="0" w:space="0" w:color="auto"/>
              </w:divBdr>
            </w:div>
          </w:divsChild>
        </w:div>
        <w:div w:id="1871331533">
          <w:marLeft w:val="0"/>
          <w:marRight w:val="0"/>
          <w:marTop w:val="0"/>
          <w:marBottom w:val="0"/>
          <w:divBdr>
            <w:top w:val="none" w:sz="0" w:space="0" w:color="auto"/>
            <w:left w:val="none" w:sz="0" w:space="0" w:color="auto"/>
            <w:bottom w:val="none" w:sz="0" w:space="0" w:color="auto"/>
            <w:right w:val="none" w:sz="0" w:space="0" w:color="auto"/>
          </w:divBdr>
          <w:divsChild>
            <w:div w:id="1724909688">
              <w:marLeft w:val="0"/>
              <w:marRight w:val="0"/>
              <w:marTop w:val="0"/>
              <w:marBottom w:val="0"/>
              <w:divBdr>
                <w:top w:val="none" w:sz="0" w:space="0" w:color="auto"/>
                <w:left w:val="none" w:sz="0" w:space="0" w:color="auto"/>
                <w:bottom w:val="none" w:sz="0" w:space="0" w:color="auto"/>
                <w:right w:val="none" w:sz="0" w:space="0" w:color="auto"/>
              </w:divBdr>
            </w:div>
          </w:divsChild>
        </w:div>
        <w:div w:id="1892955774">
          <w:marLeft w:val="0"/>
          <w:marRight w:val="0"/>
          <w:marTop w:val="0"/>
          <w:marBottom w:val="0"/>
          <w:divBdr>
            <w:top w:val="none" w:sz="0" w:space="0" w:color="auto"/>
            <w:left w:val="none" w:sz="0" w:space="0" w:color="auto"/>
            <w:bottom w:val="none" w:sz="0" w:space="0" w:color="auto"/>
            <w:right w:val="none" w:sz="0" w:space="0" w:color="auto"/>
          </w:divBdr>
          <w:divsChild>
            <w:div w:id="155726207">
              <w:marLeft w:val="0"/>
              <w:marRight w:val="0"/>
              <w:marTop w:val="0"/>
              <w:marBottom w:val="0"/>
              <w:divBdr>
                <w:top w:val="none" w:sz="0" w:space="0" w:color="auto"/>
                <w:left w:val="none" w:sz="0" w:space="0" w:color="auto"/>
                <w:bottom w:val="none" w:sz="0" w:space="0" w:color="auto"/>
                <w:right w:val="none" w:sz="0" w:space="0" w:color="auto"/>
              </w:divBdr>
            </w:div>
          </w:divsChild>
        </w:div>
        <w:div w:id="1927617447">
          <w:marLeft w:val="0"/>
          <w:marRight w:val="0"/>
          <w:marTop w:val="0"/>
          <w:marBottom w:val="0"/>
          <w:divBdr>
            <w:top w:val="none" w:sz="0" w:space="0" w:color="auto"/>
            <w:left w:val="none" w:sz="0" w:space="0" w:color="auto"/>
            <w:bottom w:val="none" w:sz="0" w:space="0" w:color="auto"/>
            <w:right w:val="none" w:sz="0" w:space="0" w:color="auto"/>
          </w:divBdr>
          <w:divsChild>
            <w:div w:id="1469325978">
              <w:marLeft w:val="0"/>
              <w:marRight w:val="0"/>
              <w:marTop w:val="0"/>
              <w:marBottom w:val="0"/>
              <w:divBdr>
                <w:top w:val="none" w:sz="0" w:space="0" w:color="auto"/>
                <w:left w:val="none" w:sz="0" w:space="0" w:color="auto"/>
                <w:bottom w:val="none" w:sz="0" w:space="0" w:color="auto"/>
                <w:right w:val="none" w:sz="0" w:space="0" w:color="auto"/>
              </w:divBdr>
            </w:div>
          </w:divsChild>
        </w:div>
        <w:div w:id="1929919080">
          <w:marLeft w:val="0"/>
          <w:marRight w:val="0"/>
          <w:marTop w:val="0"/>
          <w:marBottom w:val="0"/>
          <w:divBdr>
            <w:top w:val="none" w:sz="0" w:space="0" w:color="auto"/>
            <w:left w:val="none" w:sz="0" w:space="0" w:color="auto"/>
            <w:bottom w:val="none" w:sz="0" w:space="0" w:color="auto"/>
            <w:right w:val="none" w:sz="0" w:space="0" w:color="auto"/>
          </w:divBdr>
          <w:divsChild>
            <w:div w:id="785467864">
              <w:marLeft w:val="0"/>
              <w:marRight w:val="0"/>
              <w:marTop w:val="0"/>
              <w:marBottom w:val="0"/>
              <w:divBdr>
                <w:top w:val="none" w:sz="0" w:space="0" w:color="auto"/>
                <w:left w:val="none" w:sz="0" w:space="0" w:color="auto"/>
                <w:bottom w:val="none" w:sz="0" w:space="0" w:color="auto"/>
                <w:right w:val="none" w:sz="0" w:space="0" w:color="auto"/>
              </w:divBdr>
            </w:div>
          </w:divsChild>
        </w:div>
        <w:div w:id="1933319683">
          <w:marLeft w:val="0"/>
          <w:marRight w:val="0"/>
          <w:marTop w:val="0"/>
          <w:marBottom w:val="0"/>
          <w:divBdr>
            <w:top w:val="none" w:sz="0" w:space="0" w:color="auto"/>
            <w:left w:val="none" w:sz="0" w:space="0" w:color="auto"/>
            <w:bottom w:val="none" w:sz="0" w:space="0" w:color="auto"/>
            <w:right w:val="none" w:sz="0" w:space="0" w:color="auto"/>
          </w:divBdr>
          <w:divsChild>
            <w:div w:id="572352402">
              <w:marLeft w:val="0"/>
              <w:marRight w:val="0"/>
              <w:marTop w:val="0"/>
              <w:marBottom w:val="0"/>
              <w:divBdr>
                <w:top w:val="none" w:sz="0" w:space="0" w:color="auto"/>
                <w:left w:val="none" w:sz="0" w:space="0" w:color="auto"/>
                <w:bottom w:val="none" w:sz="0" w:space="0" w:color="auto"/>
                <w:right w:val="none" w:sz="0" w:space="0" w:color="auto"/>
              </w:divBdr>
            </w:div>
          </w:divsChild>
        </w:div>
        <w:div w:id="1934436070">
          <w:marLeft w:val="0"/>
          <w:marRight w:val="0"/>
          <w:marTop w:val="0"/>
          <w:marBottom w:val="0"/>
          <w:divBdr>
            <w:top w:val="none" w:sz="0" w:space="0" w:color="auto"/>
            <w:left w:val="none" w:sz="0" w:space="0" w:color="auto"/>
            <w:bottom w:val="none" w:sz="0" w:space="0" w:color="auto"/>
            <w:right w:val="none" w:sz="0" w:space="0" w:color="auto"/>
          </w:divBdr>
          <w:divsChild>
            <w:div w:id="1947614966">
              <w:marLeft w:val="0"/>
              <w:marRight w:val="0"/>
              <w:marTop w:val="0"/>
              <w:marBottom w:val="0"/>
              <w:divBdr>
                <w:top w:val="none" w:sz="0" w:space="0" w:color="auto"/>
                <w:left w:val="none" w:sz="0" w:space="0" w:color="auto"/>
                <w:bottom w:val="none" w:sz="0" w:space="0" w:color="auto"/>
                <w:right w:val="none" w:sz="0" w:space="0" w:color="auto"/>
              </w:divBdr>
            </w:div>
          </w:divsChild>
        </w:div>
        <w:div w:id="1953438220">
          <w:marLeft w:val="0"/>
          <w:marRight w:val="0"/>
          <w:marTop w:val="0"/>
          <w:marBottom w:val="0"/>
          <w:divBdr>
            <w:top w:val="none" w:sz="0" w:space="0" w:color="auto"/>
            <w:left w:val="none" w:sz="0" w:space="0" w:color="auto"/>
            <w:bottom w:val="none" w:sz="0" w:space="0" w:color="auto"/>
            <w:right w:val="none" w:sz="0" w:space="0" w:color="auto"/>
          </w:divBdr>
          <w:divsChild>
            <w:div w:id="307327813">
              <w:marLeft w:val="0"/>
              <w:marRight w:val="0"/>
              <w:marTop w:val="0"/>
              <w:marBottom w:val="0"/>
              <w:divBdr>
                <w:top w:val="none" w:sz="0" w:space="0" w:color="auto"/>
                <w:left w:val="none" w:sz="0" w:space="0" w:color="auto"/>
                <w:bottom w:val="none" w:sz="0" w:space="0" w:color="auto"/>
                <w:right w:val="none" w:sz="0" w:space="0" w:color="auto"/>
              </w:divBdr>
            </w:div>
            <w:div w:id="1176534985">
              <w:marLeft w:val="0"/>
              <w:marRight w:val="0"/>
              <w:marTop w:val="0"/>
              <w:marBottom w:val="0"/>
              <w:divBdr>
                <w:top w:val="none" w:sz="0" w:space="0" w:color="auto"/>
                <w:left w:val="none" w:sz="0" w:space="0" w:color="auto"/>
                <w:bottom w:val="none" w:sz="0" w:space="0" w:color="auto"/>
                <w:right w:val="none" w:sz="0" w:space="0" w:color="auto"/>
              </w:divBdr>
            </w:div>
          </w:divsChild>
        </w:div>
        <w:div w:id="1973822930">
          <w:marLeft w:val="0"/>
          <w:marRight w:val="0"/>
          <w:marTop w:val="0"/>
          <w:marBottom w:val="0"/>
          <w:divBdr>
            <w:top w:val="none" w:sz="0" w:space="0" w:color="auto"/>
            <w:left w:val="none" w:sz="0" w:space="0" w:color="auto"/>
            <w:bottom w:val="none" w:sz="0" w:space="0" w:color="auto"/>
            <w:right w:val="none" w:sz="0" w:space="0" w:color="auto"/>
          </w:divBdr>
          <w:divsChild>
            <w:div w:id="216937262">
              <w:marLeft w:val="0"/>
              <w:marRight w:val="0"/>
              <w:marTop w:val="0"/>
              <w:marBottom w:val="0"/>
              <w:divBdr>
                <w:top w:val="none" w:sz="0" w:space="0" w:color="auto"/>
                <w:left w:val="none" w:sz="0" w:space="0" w:color="auto"/>
                <w:bottom w:val="none" w:sz="0" w:space="0" w:color="auto"/>
                <w:right w:val="none" w:sz="0" w:space="0" w:color="auto"/>
              </w:divBdr>
            </w:div>
          </w:divsChild>
        </w:div>
        <w:div w:id="1979415333">
          <w:marLeft w:val="0"/>
          <w:marRight w:val="0"/>
          <w:marTop w:val="0"/>
          <w:marBottom w:val="0"/>
          <w:divBdr>
            <w:top w:val="none" w:sz="0" w:space="0" w:color="auto"/>
            <w:left w:val="none" w:sz="0" w:space="0" w:color="auto"/>
            <w:bottom w:val="none" w:sz="0" w:space="0" w:color="auto"/>
            <w:right w:val="none" w:sz="0" w:space="0" w:color="auto"/>
          </w:divBdr>
          <w:divsChild>
            <w:div w:id="1950382969">
              <w:marLeft w:val="0"/>
              <w:marRight w:val="0"/>
              <w:marTop w:val="0"/>
              <w:marBottom w:val="0"/>
              <w:divBdr>
                <w:top w:val="none" w:sz="0" w:space="0" w:color="auto"/>
                <w:left w:val="none" w:sz="0" w:space="0" w:color="auto"/>
                <w:bottom w:val="none" w:sz="0" w:space="0" w:color="auto"/>
                <w:right w:val="none" w:sz="0" w:space="0" w:color="auto"/>
              </w:divBdr>
            </w:div>
          </w:divsChild>
        </w:div>
        <w:div w:id="1983578834">
          <w:marLeft w:val="0"/>
          <w:marRight w:val="0"/>
          <w:marTop w:val="0"/>
          <w:marBottom w:val="0"/>
          <w:divBdr>
            <w:top w:val="none" w:sz="0" w:space="0" w:color="auto"/>
            <w:left w:val="none" w:sz="0" w:space="0" w:color="auto"/>
            <w:bottom w:val="none" w:sz="0" w:space="0" w:color="auto"/>
            <w:right w:val="none" w:sz="0" w:space="0" w:color="auto"/>
          </w:divBdr>
          <w:divsChild>
            <w:div w:id="1376080007">
              <w:marLeft w:val="0"/>
              <w:marRight w:val="0"/>
              <w:marTop w:val="0"/>
              <w:marBottom w:val="0"/>
              <w:divBdr>
                <w:top w:val="none" w:sz="0" w:space="0" w:color="auto"/>
                <w:left w:val="none" w:sz="0" w:space="0" w:color="auto"/>
                <w:bottom w:val="none" w:sz="0" w:space="0" w:color="auto"/>
                <w:right w:val="none" w:sz="0" w:space="0" w:color="auto"/>
              </w:divBdr>
            </w:div>
          </w:divsChild>
        </w:div>
        <w:div w:id="2014605799">
          <w:marLeft w:val="0"/>
          <w:marRight w:val="0"/>
          <w:marTop w:val="0"/>
          <w:marBottom w:val="0"/>
          <w:divBdr>
            <w:top w:val="none" w:sz="0" w:space="0" w:color="auto"/>
            <w:left w:val="none" w:sz="0" w:space="0" w:color="auto"/>
            <w:bottom w:val="none" w:sz="0" w:space="0" w:color="auto"/>
            <w:right w:val="none" w:sz="0" w:space="0" w:color="auto"/>
          </w:divBdr>
          <w:divsChild>
            <w:div w:id="619652822">
              <w:marLeft w:val="0"/>
              <w:marRight w:val="0"/>
              <w:marTop w:val="0"/>
              <w:marBottom w:val="0"/>
              <w:divBdr>
                <w:top w:val="none" w:sz="0" w:space="0" w:color="auto"/>
                <w:left w:val="none" w:sz="0" w:space="0" w:color="auto"/>
                <w:bottom w:val="none" w:sz="0" w:space="0" w:color="auto"/>
                <w:right w:val="none" w:sz="0" w:space="0" w:color="auto"/>
              </w:divBdr>
            </w:div>
          </w:divsChild>
        </w:div>
        <w:div w:id="2020620403">
          <w:marLeft w:val="0"/>
          <w:marRight w:val="0"/>
          <w:marTop w:val="0"/>
          <w:marBottom w:val="0"/>
          <w:divBdr>
            <w:top w:val="none" w:sz="0" w:space="0" w:color="auto"/>
            <w:left w:val="none" w:sz="0" w:space="0" w:color="auto"/>
            <w:bottom w:val="none" w:sz="0" w:space="0" w:color="auto"/>
            <w:right w:val="none" w:sz="0" w:space="0" w:color="auto"/>
          </w:divBdr>
          <w:divsChild>
            <w:div w:id="1945265275">
              <w:marLeft w:val="0"/>
              <w:marRight w:val="0"/>
              <w:marTop w:val="0"/>
              <w:marBottom w:val="0"/>
              <w:divBdr>
                <w:top w:val="none" w:sz="0" w:space="0" w:color="auto"/>
                <w:left w:val="none" w:sz="0" w:space="0" w:color="auto"/>
                <w:bottom w:val="none" w:sz="0" w:space="0" w:color="auto"/>
                <w:right w:val="none" w:sz="0" w:space="0" w:color="auto"/>
              </w:divBdr>
            </w:div>
          </w:divsChild>
        </w:div>
        <w:div w:id="2035616414">
          <w:marLeft w:val="0"/>
          <w:marRight w:val="0"/>
          <w:marTop w:val="0"/>
          <w:marBottom w:val="0"/>
          <w:divBdr>
            <w:top w:val="none" w:sz="0" w:space="0" w:color="auto"/>
            <w:left w:val="none" w:sz="0" w:space="0" w:color="auto"/>
            <w:bottom w:val="none" w:sz="0" w:space="0" w:color="auto"/>
            <w:right w:val="none" w:sz="0" w:space="0" w:color="auto"/>
          </w:divBdr>
          <w:divsChild>
            <w:div w:id="1880164509">
              <w:marLeft w:val="0"/>
              <w:marRight w:val="0"/>
              <w:marTop w:val="0"/>
              <w:marBottom w:val="0"/>
              <w:divBdr>
                <w:top w:val="none" w:sz="0" w:space="0" w:color="auto"/>
                <w:left w:val="none" w:sz="0" w:space="0" w:color="auto"/>
                <w:bottom w:val="none" w:sz="0" w:space="0" w:color="auto"/>
                <w:right w:val="none" w:sz="0" w:space="0" w:color="auto"/>
              </w:divBdr>
            </w:div>
          </w:divsChild>
        </w:div>
        <w:div w:id="2043170773">
          <w:marLeft w:val="0"/>
          <w:marRight w:val="0"/>
          <w:marTop w:val="0"/>
          <w:marBottom w:val="0"/>
          <w:divBdr>
            <w:top w:val="none" w:sz="0" w:space="0" w:color="auto"/>
            <w:left w:val="none" w:sz="0" w:space="0" w:color="auto"/>
            <w:bottom w:val="none" w:sz="0" w:space="0" w:color="auto"/>
            <w:right w:val="none" w:sz="0" w:space="0" w:color="auto"/>
          </w:divBdr>
          <w:divsChild>
            <w:div w:id="1481843644">
              <w:marLeft w:val="0"/>
              <w:marRight w:val="0"/>
              <w:marTop w:val="0"/>
              <w:marBottom w:val="0"/>
              <w:divBdr>
                <w:top w:val="none" w:sz="0" w:space="0" w:color="auto"/>
                <w:left w:val="none" w:sz="0" w:space="0" w:color="auto"/>
                <w:bottom w:val="none" w:sz="0" w:space="0" w:color="auto"/>
                <w:right w:val="none" w:sz="0" w:space="0" w:color="auto"/>
              </w:divBdr>
            </w:div>
          </w:divsChild>
        </w:div>
        <w:div w:id="2048027064">
          <w:marLeft w:val="0"/>
          <w:marRight w:val="0"/>
          <w:marTop w:val="0"/>
          <w:marBottom w:val="0"/>
          <w:divBdr>
            <w:top w:val="none" w:sz="0" w:space="0" w:color="auto"/>
            <w:left w:val="none" w:sz="0" w:space="0" w:color="auto"/>
            <w:bottom w:val="none" w:sz="0" w:space="0" w:color="auto"/>
            <w:right w:val="none" w:sz="0" w:space="0" w:color="auto"/>
          </w:divBdr>
          <w:divsChild>
            <w:div w:id="48505585">
              <w:marLeft w:val="0"/>
              <w:marRight w:val="0"/>
              <w:marTop w:val="0"/>
              <w:marBottom w:val="0"/>
              <w:divBdr>
                <w:top w:val="none" w:sz="0" w:space="0" w:color="auto"/>
                <w:left w:val="none" w:sz="0" w:space="0" w:color="auto"/>
                <w:bottom w:val="none" w:sz="0" w:space="0" w:color="auto"/>
                <w:right w:val="none" w:sz="0" w:space="0" w:color="auto"/>
              </w:divBdr>
            </w:div>
          </w:divsChild>
        </w:div>
        <w:div w:id="2055538387">
          <w:marLeft w:val="0"/>
          <w:marRight w:val="0"/>
          <w:marTop w:val="0"/>
          <w:marBottom w:val="0"/>
          <w:divBdr>
            <w:top w:val="none" w:sz="0" w:space="0" w:color="auto"/>
            <w:left w:val="none" w:sz="0" w:space="0" w:color="auto"/>
            <w:bottom w:val="none" w:sz="0" w:space="0" w:color="auto"/>
            <w:right w:val="none" w:sz="0" w:space="0" w:color="auto"/>
          </w:divBdr>
          <w:divsChild>
            <w:div w:id="1164734518">
              <w:marLeft w:val="0"/>
              <w:marRight w:val="0"/>
              <w:marTop w:val="0"/>
              <w:marBottom w:val="0"/>
              <w:divBdr>
                <w:top w:val="none" w:sz="0" w:space="0" w:color="auto"/>
                <w:left w:val="none" w:sz="0" w:space="0" w:color="auto"/>
                <w:bottom w:val="none" w:sz="0" w:space="0" w:color="auto"/>
                <w:right w:val="none" w:sz="0" w:space="0" w:color="auto"/>
              </w:divBdr>
            </w:div>
            <w:div w:id="1915779289">
              <w:marLeft w:val="0"/>
              <w:marRight w:val="0"/>
              <w:marTop w:val="0"/>
              <w:marBottom w:val="0"/>
              <w:divBdr>
                <w:top w:val="none" w:sz="0" w:space="0" w:color="auto"/>
                <w:left w:val="none" w:sz="0" w:space="0" w:color="auto"/>
                <w:bottom w:val="none" w:sz="0" w:space="0" w:color="auto"/>
                <w:right w:val="none" w:sz="0" w:space="0" w:color="auto"/>
              </w:divBdr>
            </w:div>
          </w:divsChild>
        </w:div>
        <w:div w:id="2057926937">
          <w:marLeft w:val="0"/>
          <w:marRight w:val="0"/>
          <w:marTop w:val="0"/>
          <w:marBottom w:val="0"/>
          <w:divBdr>
            <w:top w:val="none" w:sz="0" w:space="0" w:color="auto"/>
            <w:left w:val="none" w:sz="0" w:space="0" w:color="auto"/>
            <w:bottom w:val="none" w:sz="0" w:space="0" w:color="auto"/>
            <w:right w:val="none" w:sz="0" w:space="0" w:color="auto"/>
          </w:divBdr>
          <w:divsChild>
            <w:div w:id="687559816">
              <w:marLeft w:val="0"/>
              <w:marRight w:val="0"/>
              <w:marTop w:val="0"/>
              <w:marBottom w:val="0"/>
              <w:divBdr>
                <w:top w:val="none" w:sz="0" w:space="0" w:color="auto"/>
                <w:left w:val="none" w:sz="0" w:space="0" w:color="auto"/>
                <w:bottom w:val="none" w:sz="0" w:space="0" w:color="auto"/>
                <w:right w:val="none" w:sz="0" w:space="0" w:color="auto"/>
              </w:divBdr>
            </w:div>
            <w:div w:id="2074305397">
              <w:marLeft w:val="0"/>
              <w:marRight w:val="0"/>
              <w:marTop w:val="0"/>
              <w:marBottom w:val="0"/>
              <w:divBdr>
                <w:top w:val="none" w:sz="0" w:space="0" w:color="auto"/>
                <w:left w:val="none" w:sz="0" w:space="0" w:color="auto"/>
                <w:bottom w:val="none" w:sz="0" w:space="0" w:color="auto"/>
                <w:right w:val="none" w:sz="0" w:space="0" w:color="auto"/>
              </w:divBdr>
            </w:div>
          </w:divsChild>
        </w:div>
        <w:div w:id="2060811913">
          <w:marLeft w:val="0"/>
          <w:marRight w:val="0"/>
          <w:marTop w:val="0"/>
          <w:marBottom w:val="0"/>
          <w:divBdr>
            <w:top w:val="none" w:sz="0" w:space="0" w:color="auto"/>
            <w:left w:val="none" w:sz="0" w:space="0" w:color="auto"/>
            <w:bottom w:val="none" w:sz="0" w:space="0" w:color="auto"/>
            <w:right w:val="none" w:sz="0" w:space="0" w:color="auto"/>
          </w:divBdr>
          <w:divsChild>
            <w:div w:id="117112905">
              <w:marLeft w:val="0"/>
              <w:marRight w:val="0"/>
              <w:marTop w:val="0"/>
              <w:marBottom w:val="0"/>
              <w:divBdr>
                <w:top w:val="none" w:sz="0" w:space="0" w:color="auto"/>
                <w:left w:val="none" w:sz="0" w:space="0" w:color="auto"/>
                <w:bottom w:val="none" w:sz="0" w:space="0" w:color="auto"/>
                <w:right w:val="none" w:sz="0" w:space="0" w:color="auto"/>
              </w:divBdr>
            </w:div>
            <w:div w:id="2137677510">
              <w:marLeft w:val="0"/>
              <w:marRight w:val="0"/>
              <w:marTop w:val="0"/>
              <w:marBottom w:val="0"/>
              <w:divBdr>
                <w:top w:val="none" w:sz="0" w:space="0" w:color="auto"/>
                <w:left w:val="none" w:sz="0" w:space="0" w:color="auto"/>
                <w:bottom w:val="none" w:sz="0" w:space="0" w:color="auto"/>
                <w:right w:val="none" w:sz="0" w:space="0" w:color="auto"/>
              </w:divBdr>
            </w:div>
          </w:divsChild>
        </w:div>
        <w:div w:id="2083721881">
          <w:marLeft w:val="0"/>
          <w:marRight w:val="0"/>
          <w:marTop w:val="0"/>
          <w:marBottom w:val="0"/>
          <w:divBdr>
            <w:top w:val="none" w:sz="0" w:space="0" w:color="auto"/>
            <w:left w:val="none" w:sz="0" w:space="0" w:color="auto"/>
            <w:bottom w:val="none" w:sz="0" w:space="0" w:color="auto"/>
            <w:right w:val="none" w:sz="0" w:space="0" w:color="auto"/>
          </w:divBdr>
          <w:divsChild>
            <w:div w:id="901602964">
              <w:marLeft w:val="0"/>
              <w:marRight w:val="0"/>
              <w:marTop w:val="0"/>
              <w:marBottom w:val="0"/>
              <w:divBdr>
                <w:top w:val="none" w:sz="0" w:space="0" w:color="auto"/>
                <w:left w:val="none" w:sz="0" w:space="0" w:color="auto"/>
                <w:bottom w:val="none" w:sz="0" w:space="0" w:color="auto"/>
                <w:right w:val="none" w:sz="0" w:space="0" w:color="auto"/>
              </w:divBdr>
            </w:div>
          </w:divsChild>
        </w:div>
        <w:div w:id="2105031881">
          <w:marLeft w:val="0"/>
          <w:marRight w:val="0"/>
          <w:marTop w:val="0"/>
          <w:marBottom w:val="0"/>
          <w:divBdr>
            <w:top w:val="none" w:sz="0" w:space="0" w:color="auto"/>
            <w:left w:val="none" w:sz="0" w:space="0" w:color="auto"/>
            <w:bottom w:val="none" w:sz="0" w:space="0" w:color="auto"/>
            <w:right w:val="none" w:sz="0" w:space="0" w:color="auto"/>
          </w:divBdr>
          <w:divsChild>
            <w:div w:id="588344531">
              <w:marLeft w:val="0"/>
              <w:marRight w:val="0"/>
              <w:marTop w:val="0"/>
              <w:marBottom w:val="0"/>
              <w:divBdr>
                <w:top w:val="none" w:sz="0" w:space="0" w:color="auto"/>
                <w:left w:val="none" w:sz="0" w:space="0" w:color="auto"/>
                <w:bottom w:val="none" w:sz="0" w:space="0" w:color="auto"/>
                <w:right w:val="none" w:sz="0" w:space="0" w:color="auto"/>
              </w:divBdr>
            </w:div>
          </w:divsChild>
        </w:div>
        <w:div w:id="2111854923">
          <w:marLeft w:val="0"/>
          <w:marRight w:val="0"/>
          <w:marTop w:val="0"/>
          <w:marBottom w:val="0"/>
          <w:divBdr>
            <w:top w:val="none" w:sz="0" w:space="0" w:color="auto"/>
            <w:left w:val="none" w:sz="0" w:space="0" w:color="auto"/>
            <w:bottom w:val="none" w:sz="0" w:space="0" w:color="auto"/>
            <w:right w:val="none" w:sz="0" w:space="0" w:color="auto"/>
          </w:divBdr>
          <w:divsChild>
            <w:div w:id="802966707">
              <w:marLeft w:val="0"/>
              <w:marRight w:val="0"/>
              <w:marTop w:val="0"/>
              <w:marBottom w:val="0"/>
              <w:divBdr>
                <w:top w:val="none" w:sz="0" w:space="0" w:color="auto"/>
                <w:left w:val="none" w:sz="0" w:space="0" w:color="auto"/>
                <w:bottom w:val="none" w:sz="0" w:space="0" w:color="auto"/>
                <w:right w:val="none" w:sz="0" w:space="0" w:color="auto"/>
              </w:divBdr>
            </w:div>
          </w:divsChild>
        </w:div>
        <w:div w:id="2121560365">
          <w:marLeft w:val="0"/>
          <w:marRight w:val="0"/>
          <w:marTop w:val="0"/>
          <w:marBottom w:val="0"/>
          <w:divBdr>
            <w:top w:val="none" w:sz="0" w:space="0" w:color="auto"/>
            <w:left w:val="none" w:sz="0" w:space="0" w:color="auto"/>
            <w:bottom w:val="none" w:sz="0" w:space="0" w:color="auto"/>
            <w:right w:val="none" w:sz="0" w:space="0" w:color="auto"/>
          </w:divBdr>
          <w:divsChild>
            <w:div w:id="1254895252">
              <w:marLeft w:val="0"/>
              <w:marRight w:val="0"/>
              <w:marTop w:val="0"/>
              <w:marBottom w:val="0"/>
              <w:divBdr>
                <w:top w:val="none" w:sz="0" w:space="0" w:color="auto"/>
                <w:left w:val="none" w:sz="0" w:space="0" w:color="auto"/>
                <w:bottom w:val="none" w:sz="0" w:space="0" w:color="auto"/>
                <w:right w:val="none" w:sz="0" w:space="0" w:color="auto"/>
              </w:divBdr>
            </w:div>
          </w:divsChild>
        </w:div>
        <w:div w:id="2123186269">
          <w:marLeft w:val="0"/>
          <w:marRight w:val="0"/>
          <w:marTop w:val="0"/>
          <w:marBottom w:val="0"/>
          <w:divBdr>
            <w:top w:val="none" w:sz="0" w:space="0" w:color="auto"/>
            <w:left w:val="none" w:sz="0" w:space="0" w:color="auto"/>
            <w:bottom w:val="none" w:sz="0" w:space="0" w:color="auto"/>
            <w:right w:val="none" w:sz="0" w:space="0" w:color="auto"/>
          </w:divBdr>
          <w:divsChild>
            <w:div w:id="86967336">
              <w:marLeft w:val="0"/>
              <w:marRight w:val="0"/>
              <w:marTop w:val="0"/>
              <w:marBottom w:val="0"/>
              <w:divBdr>
                <w:top w:val="none" w:sz="0" w:space="0" w:color="auto"/>
                <w:left w:val="none" w:sz="0" w:space="0" w:color="auto"/>
                <w:bottom w:val="none" w:sz="0" w:space="0" w:color="auto"/>
                <w:right w:val="none" w:sz="0" w:space="0" w:color="auto"/>
              </w:divBdr>
            </w:div>
          </w:divsChild>
        </w:div>
        <w:div w:id="2135902684">
          <w:marLeft w:val="0"/>
          <w:marRight w:val="0"/>
          <w:marTop w:val="0"/>
          <w:marBottom w:val="0"/>
          <w:divBdr>
            <w:top w:val="none" w:sz="0" w:space="0" w:color="auto"/>
            <w:left w:val="none" w:sz="0" w:space="0" w:color="auto"/>
            <w:bottom w:val="none" w:sz="0" w:space="0" w:color="auto"/>
            <w:right w:val="none" w:sz="0" w:space="0" w:color="auto"/>
          </w:divBdr>
          <w:divsChild>
            <w:div w:id="1710490764">
              <w:marLeft w:val="0"/>
              <w:marRight w:val="0"/>
              <w:marTop w:val="0"/>
              <w:marBottom w:val="0"/>
              <w:divBdr>
                <w:top w:val="none" w:sz="0" w:space="0" w:color="auto"/>
                <w:left w:val="none" w:sz="0" w:space="0" w:color="auto"/>
                <w:bottom w:val="none" w:sz="0" w:space="0" w:color="auto"/>
                <w:right w:val="none" w:sz="0" w:space="0" w:color="auto"/>
              </w:divBdr>
            </w:div>
          </w:divsChild>
        </w:div>
        <w:div w:id="2136367404">
          <w:marLeft w:val="0"/>
          <w:marRight w:val="0"/>
          <w:marTop w:val="0"/>
          <w:marBottom w:val="0"/>
          <w:divBdr>
            <w:top w:val="none" w:sz="0" w:space="0" w:color="auto"/>
            <w:left w:val="none" w:sz="0" w:space="0" w:color="auto"/>
            <w:bottom w:val="none" w:sz="0" w:space="0" w:color="auto"/>
            <w:right w:val="none" w:sz="0" w:space="0" w:color="auto"/>
          </w:divBdr>
          <w:divsChild>
            <w:div w:id="210326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632310">
      <w:bodyDiv w:val="1"/>
      <w:marLeft w:val="0"/>
      <w:marRight w:val="0"/>
      <w:marTop w:val="0"/>
      <w:marBottom w:val="0"/>
      <w:divBdr>
        <w:top w:val="none" w:sz="0" w:space="0" w:color="auto"/>
        <w:left w:val="none" w:sz="0" w:space="0" w:color="auto"/>
        <w:bottom w:val="none" w:sz="0" w:space="0" w:color="auto"/>
        <w:right w:val="none" w:sz="0" w:space="0" w:color="auto"/>
      </w:divBdr>
    </w:div>
    <w:div w:id="1152254525">
      <w:bodyDiv w:val="1"/>
      <w:marLeft w:val="0"/>
      <w:marRight w:val="0"/>
      <w:marTop w:val="0"/>
      <w:marBottom w:val="0"/>
      <w:divBdr>
        <w:top w:val="none" w:sz="0" w:space="0" w:color="auto"/>
        <w:left w:val="none" w:sz="0" w:space="0" w:color="auto"/>
        <w:bottom w:val="none" w:sz="0" w:space="0" w:color="auto"/>
        <w:right w:val="none" w:sz="0" w:space="0" w:color="auto"/>
      </w:divBdr>
      <w:divsChild>
        <w:div w:id="6833975">
          <w:marLeft w:val="0"/>
          <w:marRight w:val="0"/>
          <w:marTop w:val="0"/>
          <w:marBottom w:val="0"/>
          <w:divBdr>
            <w:top w:val="none" w:sz="0" w:space="0" w:color="auto"/>
            <w:left w:val="none" w:sz="0" w:space="0" w:color="auto"/>
            <w:bottom w:val="none" w:sz="0" w:space="0" w:color="auto"/>
            <w:right w:val="none" w:sz="0" w:space="0" w:color="auto"/>
          </w:divBdr>
          <w:divsChild>
            <w:div w:id="614210759">
              <w:marLeft w:val="0"/>
              <w:marRight w:val="0"/>
              <w:marTop w:val="0"/>
              <w:marBottom w:val="0"/>
              <w:divBdr>
                <w:top w:val="none" w:sz="0" w:space="0" w:color="auto"/>
                <w:left w:val="none" w:sz="0" w:space="0" w:color="auto"/>
                <w:bottom w:val="none" w:sz="0" w:space="0" w:color="auto"/>
                <w:right w:val="none" w:sz="0" w:space="0" w:color="auto"/>
              </w:divBdr>
            </w:div>
          </w:divsChild>
        </w:div>
        <w:div w:id="22289720">
          <w:marLeft w:val="0"/>
          <w:marRight w:val="0"/>
          <w:marTop w:val="0"/>
          <w:marBottom w:val="0"/>
          <w:divBdr>
            <w:top w:val="none" w:sz="0" w:space="0" w:color="auto"/>
            <w:left w:val="none" w:sz="0" w:space="0" w:color="auto"/>
            <w:bottom w:val="none" w:sz="0" w:space="0" w:color="auto"/>
            <w:right w:val="none" w:sz="0" w:space="0" w:color="auto"/>
          </w:divBdr>
          <w:divsChild>
            <w:div w:id="223681685">
              <w:marLeft w:val="0"/>
              <w:marRight w:val="0"/>
              <w:marTop w:val="0"/>
              <w:marBottom w:val="0"/>
              <w:divBdr>
                <w:top w:val="none" w:sz="0" w:space="0" w:color="auto"/>
                <w:left w:val="none" w:sz="0" w:space="0" w:color="auto"/>
                <w:bottom w:val="none" w:sz="0" w:space="0" w:color="auto"/>
                <w:right w:val="none" w:sz="0" w:space="0" w:color="auto"/>
              </w:divBdr>
            </w:div>
          </w:divsChild>
        </w:div>
        <w:div w:id="25060814">
          <w:marLeft w:val="0"/>
          <w:marRight w:val="0"/>
          <w:marTop w:val="0"/>
          <w:marBottom w:val="0"/>
          <w:divBdr>
            <w:top w:val="none" w:sz="0" w:space="0" w:color="auto"/>
            <w:left w:val="none" w:sz="0" w:space="0" w:color="auto"/>
            <w:bottom w:val="none" w:sz="0" w:space="0" w:color="auto"/>
            <w:right w:val="none" w:sz="0" w:space="0" w:color="auto"/>
          </w:divBdr>
          <w:divsChild>
            <w:div w:id="340668613">
              <w:marLeft w:val="0"/>
              <w:marRight w:val="0"/>
              <w:marTop w:val="0"/>
              <w:marBottom w:val="0"/>
              <w:divBdr>
                <w:top w:val="none" w:sz="0" w:space="0" w:color="auto"/>
                <w:left w:val="none" w:sz="0" w:space="0" w:color="auto"/>
                <w:bottom w:val="none" w:sz="0" w:space="0" w:color="auto"/>
                <w:right w:val="none" w:sz="0" w:space="0" w:color="auto"/>
              </w:divBdr>
            </w:div>
          </w:divsChild>
        </w:div>
        <w:div w:id="48654344">
          <w:marLeft w:val="0"/>
          <w:marRight w:val="0"/>
          <w:marTop w:val="0"/>
          <w:marBottom w:val="0"/>
          <w:divBdr>
            <w:top w:val="none" w:sz="0" w:space="0" w:color="auto"/>
            <w:left w:val="none" w:sz="0" w:space="0" w:color="auto"/>
            <w:bottom w:val="none" w:sz="0" w:space="0" w:color="auto"/>
            <w:right w:val="none" w:sz="0" w:space="0" w:color="auto"/>
          </w:divBdr>
          <w:divsChild>
            <w:div w:id="267545994">
              <w:marLeft w:val="0"/>
              <w:marRight w:val="0"/>
              <w:marTop w:val="0"/>
              <w:marBottom w:val="0"/>
              <w:divBdr>
                <w:top w:val="none" w:sz="0" w:space="0" w:color="auto"/>
                <w:left w:val="none" w:sz="0" w:space="0" w:color="auto"/>
                <w:bottom w:val="none" w:sz="0" w:space="0" w:color="auto"/>
                <w:right w:val="none" w:sz="0" w:space="0" w:color="auto"/>
              </w:divBdr>
            </w:div>
          </w:divsChild>
        </w:div>
        <w:div w:id="80572232">
          <w:marLeft w:val="0"/>
          <w:marRight w:val="0"/>
          <w:marTop w:val="0"/>
          <w:marBottom w:val="0"/>
          <w:divBdr>
            <w:top w:val="none" w:sz="0" w:space="0" w:color="auto"/>
            <w:left w:val="none" w:sz="0" w:space="0" w:color="auto"/>
            <w:bottom w:val="none" w:sz="0" w:space="0" w:color="auto"/>
            <w:right w:val="none" w:sz="0" w:space="0" w:color="auto"/>
          </w:divBdr>
          <w:divsChild>
            <w:div w:id="889224598">
              <w:marLeft w:val="0"/>
              <w:marRight w:val="0"/>
              <w:marTop w:val="0"/>
              <w:marBottom w:val="0"/>
              <w:divBdr>
                <w:top w:val="none" w:sz="0" w:space="0" w:color="auto"/>
                <w:left w:val="none" w:sz="0" w:space="0" w:color="auto"/>
                <w:bottom w:val="none" w:sz="0" w:space="0" w:color="auto"/>
                <w:right w:val="none" w:sz="0" w:space="0" w:color="auto"/>
              </w:divBdr>
            </w:div>
          </w:divsChild>
        </w:div>
        <w:div w:id="104153947">
          <w:marLeft w:val="0"/>
          <w:marRight w:val="0"/>
          <w:marTop w:val="0"/>
          <w:marBottom w:val="0"/>
          <w:divBdr>
            <w:top w:val="none" w:sz="0" w:space="0" w:color="auto"/>
            <w:left w:val="none" w:sz="0" w:space="0" w:color="auto"/>
            <w:bottom w:val="none" w:sz="0" w:space="0" w:color="auto"/>
            <w:right w:val="none" w:sz="0" w:space="0" w:color="auto"/>
          </w:divBdr>
          <w:divsChild>
            <w:div w:id="302196172">
              <w:marLeft w:val="0"/>
              <w:marRight w:val="0"/>
              <w:marTop w:val="0"/>
              <w:marBottom w:val="0"/>
              <w:divBdr>
                <w:top w:val="none" w:sz="0" w:space="0" w:color="auto"/>
                <w:left w:val="none" w:sz="0" w:space="0" w:color="auto"/>
                <w:bottom w:val="none" w:sz="0" w:space="0" w:color="auto"/>
                <w:right w:val="none" w:sz="0" w:space="0" w:color="auto"/>
              </w:divBdr>
            </w:div>
          </w:divsChild>
        </w:div>
        <w:div w:id="108358868">
          <w:marLeft w:val="0"/>
          <w:marRight w:val="0"/>
          <w:marTop w:val="0"/>
          <w:marBottom w:val="0"/>
          <w:divBdr>
            <w:top w:val="none" w:sz="0" w:space="0" w:color="auto"/>
            <w:left w:val="none" w:sz="0" w:space="0" w:color="auto"/>
            <w:bottom w:val="none" w:sz="0" w:space="0" w:color="auto"/>
            <w:right w:val="none" w:sz="0" w:space="0" w:color="auto"/>
          </w:divBdr>
          <w:divsChild>
            <w:div w:id="1350107773">
              <w:marLeft w:val="0"/>
              <w:marRight w:val="0"/>
              <w:marTop w:val="0"/>
              <w:marBottom w:val="0"/>
              <w:divBdr>
                <w:top w:val="none" w:sz="0" w:space="0" w:color="auto"/>
                <w:left w:val="none" w:sz="0" w:space="0" w:color="auto"/>
                <w:bottom w:val="none" w:sz="0" w:space="0" w:color="auto"/>
                <w:right w:val="none" w:sz="0" w:space="0" w:color="auto"/>
              </w:divBdr>
            </w:div>
          </w:divsChild>
        </w:div>
        <w:div w:id="121000640">
          <w:marLeft w:val="0"/>
          <w:marRight w:val="0"/>
          <w:marTop w:val="0"/>
          <w:marBottom w:val="0"/>
          <w:divBdr>
            <w:top w:val="none" w:sz="0" w:space="0" w:color="auto"/>
            <w:left w:val="none" w:sz="0" w:space="0" w:color="auto"/>
            <w:bottom w:val="none" w:sz="0" w:space="0" w:color="auto"/>
            <w:right w:val="none" w:sz="0" w:space="0" w:color="auto"/>
          </w:divBdr>
          <w:divsChild>
            <w:div w:id="642003064">
              <w:marLeft w:val="0"/>
              <w:marRight w:val="0"/>
              <w:marTop w:val="0"/>
              <w:marBottom w:val="0"/>
              <w:divBdr>
                <w:top w:val="none" w:sz="0" w:space="0" w:color="auto"/>
                <w:left w:val="none" w:sz="0" w:space="0" w:color="auto"/>
                <w:bottom w:val="none" w:sz="0" w:space="0" w:color="auto"/>
                <w:right w:val="none" w:sz="0" w:space="0" w:color="auto"/>
              </w:divBdr>
            </w:div>
          </w:divsChild>
        </w:div>
        <w:div w:id="123935132">
          <w:marLeft w:val="0"/>
          <w:marRight w:val="0"/>
          <w:marTop w:val="0"/>
          <w:marBottom w:val="0"/>
          <w:divBdr>
            <w:top w:val="none" w:sz="0" w:space="0" w:color="auto"/>
            <w:left w:val="none" w:sz="0" w:space="0" w:color="auto"/>
            <w:bottom w:val="none" w:sz="0" w:space="0" w:color="auto"/>
            <w:right w:val="none" w:sz="0" w:space="0" w:color="auto"/>
          </w:divBdr>
          <w:divsChild>
            <w:div w:id="2062170203">
              <w:marLeft w:val="0"/>
              <w:marRight w:val="0"/>
              <w:marTop w:val="0"/>
              <w:marBottom w:val="0"/>
              <w:divBdr>
                <w:top w:val="none" w:sz="0" w:space="0" w:color="auto"/>
                <w:left w:val="none" w:sz="0" w:space="0" w:color="auto"/>
                <w:bottom w:val="none" w:sz="0" w:space="0" w:color="auto"/>
                <w:right w:val="none" w:sz="0" w:space="0" w:color="auto"/>
              </w:divBdr>
            </w:div>
          </w:divsChild>
        </w:div>
        <w:div w:id="142088591">
          <w:marLeft w:val="0"/>
          <w:marRight w:val="0"/>
          <w:marTop w:val="0"/>
          <w:marBottom w:val="0"/>
          <w:divBdr>
            <w:top w:val="none" w:sz="0" w:space="0" w:color="auto"/>
            <w:left w:val="none" w:sz="0" w:space="0" w:color="auto"/>
            <w:bottom w:val="none" w:sz="0" w:space="0" w:color="auto"/>
            <w:right w:val="none" w:sz="0" w:space="0" w:color="auto"/>
          </w:divBdr>
          <w:divsChild>
            <w:div w:id="353531535">
              <w:marLeft w:val="0"/>
              <w:marRight w:val="0"/>
              <w:marTop w:val="0"/>
              <w:marBottom w:val="0"/>
              <w:divBdr>
                <w:top w:val="none" w:sz="0" w:space="0" w:color="auto"/>
                <w:left w:val="none" w:sz="0" w:space="0" w:color="auto"/>
                <w:bottom w:val="none" w:sz="0" w:space="0" w:color="auto"/>
                <w:right w:val="none" w:sz="0" w:space="0" w:color="auto"/>
              </w:divBdr>
            </w:div>
          </w:divsChild>
        </w:div>
        <w:div w:id="156699850">
          <w:marLeft w:val="0"/>
          <w:marRight w:val="0"/>
          <w:marTop w:val="0"/>
          <w:marBottom w:val="0"/>
          <w:divBdr>
            <w:top w:val="none" w:sz="0" w:space="0" w:color="auto"/>
            <w:left w:val="none" w:sz="0" w:space="0" w:color="auto"/>
            <w:bottom w:val="none" w:sz="0" w:space="0" w:color="auto"/>
            <w:right w:val="none" w:sz="0" w:space="0" w:color="auto"/>
          </w:divBdr>
          <w:divsChild>
            <w:div w:id="2129857790">
              <w:marLeft w:val="0"/>
              <w:marRight w:val="0"/>
              <w:marTop w:val="0"/>
              <w:marBottom w:val="0"/>
              <w:divBdr>
                <w:top w:val="none" w:sz="0" w:space="0" w:color="auto"/>
                <w:left w:val="none" w:sz="0" w:space="0" w:color="auto"/>
                <w:bottom w:val="none" w:sz="0" w:space="0" w:color="auto"/>
                <w:right w:val="none" w:sz="0" w:space="0" w:color="auto"/>
              </w:divBdr>
            </w:div>
          </w:divsChild>
        </w:div>
        <w:div w:id="170881089">
          <w:marLeft w:val="0"/>
          <w:marRight w:val="0"/>
          <w:marTop w:val="0"/>
          <w:marBottom w:val="0"/>
          <w:divBdr>
            <w:top w:val="none" w:sz="0" w:space="0" w:color="auto"/>
            <w:left w:val="none" w:sz="0" w:space="0" w:color="auto"/>
            <w:bottom w:val="none" w:sz="0" w:space="0" w:color="auto"/>
            <w:right w:val="none" w:sz="0" w:space="0" w:color="auto"/>
          </w:divBdr>
          <w:divsChild>
            <w:div w:id="1616713046">
              <w:marLeft w:val="0"/>
              <w:marRight w:val="0"/>
              <w:marTop w:val="0"/>
              <w:marBottom w:val="0"/>
              <w:divBdr>
                <w:top w:val="none" w:sz="0" w:space="0" w:color="auto"/>
                <w:left w:val="none" w:sz="0" w:space="0" w:color="auto"/>
                <w:bottom w:val="none" w:sz="0" w:space="0" w:color="auto"/>
                <w:right w:val="none" w:sz="0" w:space="0" w:color="auto"/>
              </w:divBdr>
            </w:div>
          </w:divsChild>
        </w:div>
        <w:div w:id="198202612">
          <w:marLeft w:val="0"/>
          <w:marRight w:val="0"/>
          <w:marTop w:val="0"/>
          <w:marBottom w:val="0"/>
          <w:divBdr>
            <w:top w:val="none" w:sz="0" w:space="0" w:color="auto"/>
            <w:left w:val="none" w:sz="0" w:space="0" w:color="auto"/>
            <w:bottom w:val="none" w:sz="0" w:space="0" w:color="auto"/>
            <w:right w:val="none" w:sz="0" w:space="0" w:color="auto"/>
          </w:divBdr>
          <w:divsChild>
            <w:div w:id="236326293">
              <w:marLeft w:val="0"/>
              <w:marRight w:val="0"/>
              <w:marTop w:val="0"/>
              <w:marBottom w:val="0"/>
              <w:divBdr>
                <w:top w:val="none" w:sz="0" w:space="0" w:color="auto"/>
                <w:left w:val="none" w:sz="0" w:space="0" w:color="auto"/>
                <w:bottom w:val="none" w:sz="0" w:space="0" w:color="auto"/>
                <w:right w:val="none" w:sz="0" w:space="0" w:color="auto"/>
              </w:divBdr>
            </w:div>
          </w:divsChild>
        </w:div>
        <w:div w:id="200169948">
          <w:marLeft w:val="0"/>
          <w:marRight w:val="0"/>
          <w:marTop w:val="0"/>
          <w:marBottom w:val="0"/>
          <w:divBdr>
            <w:top w:val="none" w:sz="0" w:space="0" w:color="auto"/>
            <w:left w:val="none" w:sz="0" w:space="0" w:color="auto"/>
            <w:bottom w:val="none" w:sz="0" w:space="0" w:color="auto"/>
            <w:right w:val="none" w:sz="0" w:space="0" w:color="auto"/>
          </w:divBdr>
          <w:divsChild>
            <w:div w:id="815028888">
              <w:marLeft w:val="0"/>
              <w:marRight w:val="0"/>
              <w:marTop w:val="0"/>
              <w:marBottom w:val="0"/>
              <w:divBdr>
                <w:top w:val="none" w:sz="0" w:space="0" w:color="auto"/>
                <w:left w:val="none" w:sz="0" w:space="0" w:color="auto"/>
                <w:bottom w:val="none" w:sz="0" w:space="0" w:color="auto"/>
                <w:right w:val="none" w:sz="0" w:space="0" w:color="auto"/>
              </w:divBdr>
            </w:div>
          </w:divsChild>
        </w:div>
        <w:div w:id="210191955">
          <w:marLeft w:val="0"/>
          <w:marRight w:val="0"/>
          <w:marTop w:val="0"/>
          <w:marBottom w:val="0"/>
          <w:divBdr>
            <w:top w:val="none" w:sz="0" w:space="0" w:color="auto"/>
            <w:left w:val="none" w:sz="0" w:space="0" w:color="auto"/>
            <w:bottom w:val="none" w:sz="0" w:space="0" w:color="auto"/>
            <w:right w:val="none" w:sz="0" w:space="0" w:color="auto"/>
          </w:divBdr>
          <w:divsChild>
            <w:div w:id="21637313">
              <w:marLeft w:val="0"/>
              <w:marRight w:val="0"/>
              <w:marTop w:val="0"/>
              <w:marBottom w:val="0"/>
              <w:divBdr>
                <w:top w:val="none" w:sz="0" w:space="0" w:color="auto"/>
                <w:left w:val="none" w:sz="0" w:space="0" w:color="auto"/>
                <w:bottom w:val="none" w:sz="0" w:space="0" w:color="auto"/>
                <w:right w:val="none" w:sz="0" w:space="0" w:color="auto"/>
              </w:divBdr>
            </w:div>
          </w:divsChild>
        </w:div>
        <w:div w:id="215430982">
          <w:marLeft w:val="0"/>
          <w:marRight w:val="0"/>
          <w:marTop w:val="0"/>
          <w:marBottom w:val="0"/>
          <w:divBdr>
            <w:top w:val="none" w:sz="0" w:space="0" w:color="auto"/>
            <w:left w:val="none" w:sz="0" w:space="0" w:color="auto"/>
            <w:bottom w:val="none" w:sz="0" w:space="0" w:color="auto"/>
            <w:right w:val="none" w:sz="0" w:space="0" w:color="auto"/>
          </w:divBdr>
          <w:divsChild>
            <w:div w:id="276641659">
              <w:marLeft w:val="0"/>
              <w:marRight w:val="0"/>
              <w:marTop w:val="0"/>
              <w:marBottom w:val="0"/>
              <w:divBdr>
                <w:top w:val="none" w:sz="0" w:space="0" w:color="auto"/>
                <w:left w:val="none" w:sz="0" w:space="0" w:color="auto"/>
                <w:bottom w:val="none" w:sz="0" w:space="0" w:color="auto"/>
                <w:right w:val="none" w:sz="0" w:space="0" w:color="auto"/>
              </w:divBdr>
            </w:div>
          </w:divsChild>
        </w:div>
        <w:div w:id="226262449">
          <w:marLeft w:val="0"/>
          <w:marRight w:val="0"/>
          <w:marTop w:val="0"/>
          <w:marBottom w:val="0"/>
          <w:divBdr>
            <w:top w:val="none" w:sz="0" w:space="0" w:color="auto"/>
            <w:left w:val="none" w:sz="0" w:space="0" w:color="auto"/>
            <w:bottom w:val="none" w:sz="0" w:space="0" w:color="auto"/>
            <w:right w:val="none" w:sz="0" w:space="0" w:color="auto"/>
          </w:divBdr>
          <w:divsChild>
            <w:div w:id="1312521045">
              <w:marLeft w:val="0"/>
              <w:marRight w:val="0"/>
              <w:marTop w:val="0"/>
              <w:marBottom w:val="0"/>
              <w:divBdr>
                <w:top w:val="none" w:sz="0" w:space="0" w:color="auto"/>
                <w:left w:val="none" w:sz="0" w:space="0" w:color="auto"/>
                <w:bottom w:val="none" w:sz="0" w:space="0" w:color="auto"/>
                <w:right w:val="none" w:sz="0" w:space="0" w:color="auto"/>
              </w:divBdr>
            </w:div>
          </w:divsChild>
        </w:div>
        <w:div w:id="229923751">
          <w:marLeft w:val="0"/>
          <w:marRight w:val="0"/>
          <w:marTop w:val="0"/>
          <w:marBottom w:val="0"/>
          <w:divBdr>
            <w:top w:val="none" w:sz="0" w:space="0" w:color="auto"/>
            <w:left w:val="none" w:sz="0" w:space="0" w:color="auto"/>
            <w:bottom w:val="none" w:sz="0" w:space="0" w:color="auto"/>
            <w:right w:val="none" w:sz="0" w:space="0" w:color="auto"/>
          </w:divBdr>
          <w:divsChild>
            <w:div w:id="1838879539">
              <w:marLeft w:val="0"/>
              <w:marRight w:val="0"/>
              <w:marTop w:val="0"/>
              <w:marBottom w:val="0"/>
              <w:divBdr>
                <w:top w:val="none" w:sz="0" w:space="0" w:color="auto"/>
                <w:left w:val="none" w:sz="0" w:space="0" w:color="auto"/>
                <w:bottom w:val="none" w:sz="0" w:space="0" w:color="auto"/>
                <w:right w:val="none" w:sz="0" w:space="0" w:color="auto"/>
              </w:divBdr>
            </w:div>
          </w:divsChild>
        </w:div>
        <w:div w:id="230817954">
          <w:marLeft w:val="0"/>
          <w:marRight w:val="0"/>
          <w:marTop w:val="0"/>
          <w:marBottom w:val="0"/>
          <w:divBdr>
            <w:top w:val="none" w:sz="0" w:space="0" w:color="auto"/>
            <w:left w:val="none" w:sz="0" w:space="0" w:color="auto"/>
            <w:bottom w:val="none" w:sz="0" w:space="0" w:color="auto"/>
            <w:right w:val="none" w:sz="0" w:space="0" w:color="auto"/>
          </w:divBdr>
          <w:divsChild>
            <w:div w:id="63914280">
              <w:marLeft w:val="0"/>
              <w:marRight w:val="0"/>
              <w:marTop w:val="0"/>
              <w:marBottom w:val="0"/>
              <w:divBdr>
                <w:top w:val="none" w:sz="0" w:space="0" w:color="auto"/>
                <w:left w:val="none" w:sz="0" w:space="0" w:color="auto"/>
                <w:bottom w:val="none" w:sz="0" w:space="0" w:color="auto"/>
                <w:right w:val="none" w:sz="0" w:space="0" w:color="auto"/>
              </w:divBdr>
            </w:div>
            <w:div w:id="749229256">
              <w:marLeft w:val="0"/>
              <w:marRight w:val="0"/>
              <w:marTop w:val="0"/>
              <w:marBottom w:val="0"/>
              <w:divBdr>
                <w:top w:val="none" w:sz="0" w:space="0" w:color="auto"/>
                <w:left w:val="none" w:sz="0" w:space="0" w:color="auto"/>
                <w:bottom w:val="none" w:sz="0" w:space="0" w:color="auto"/>
                <w:right w:val="none" w:sz="0" w:space="0" w:color="auto"/>
              </w:divBdr>
            </w:div>
          </w:divsChild>
        </w:div>
        <w:div w:id="234895395">
          <w:marLeft w:val="0"/>
          <w:marRight w:val="0"/>
          <w:marTop w:val="0"/>
          <w:marBottom w:val="0"/>
          <w:divBdr>
            <w:top w:val="none" w:sz="0" w:space="0" w:color="auto"/>
            <w:left w:val="none" w:sz="0" w:space="0" w:color="auto"/>
            <w:bottom w:val="none" w:sz="0" w:space="0" w:color="auto"/>
            <w:right w:val="none" w:sz="0" w:space="0" w:color="auto"/>
          </w:divBdr>
          <w:divsChild>
            <w:div w:id="804737660">
              <w:marLeft w:val="0"/>
              <w:marRight w:val="0"/>
              <w:marTop w:val="0"/>
              <w:marBottom w:val="0"/>
              <w:divBdr>
                <w:top w:val="none" w:sz="0" w:space="0" w:color="auto"/>
                <w:left w:val="none" w:sz="0" w:space="0" w:color="auto"/>
                <w:bottom w:val="none" w:sz="0" w:space="0" w:color="auto"/>
                <w:right w:val="none" w:sz="0" w:space="0" w:color="auto"/>
              </w:divBdr>
            </w:div>
          </w:divsChild>
        </w:div>
        <w:div w:id="255597566">
          <w:marLeft w:val="0"/>
          <w:marRight w:val="0"/>
          <w:marTop w:val="0"/>
          <w:marBottom w:val="0"/>
          <w:divBdr>
            <w:top w:val="none" w:sz="0" w:space="0" w:color="auto"/>
            <w:left w:val="none" w:sz="0" w:space="0" w:color="auto"/>
            <w:bottom w:val="none" w:sz="0" w:space="0" w:color="auto"/>
            <w:right w:val="none" w:sz="0" w:space="0" w:color="auto"/>
          </w:divBdr>
          <w:divsChild>
            <w:div w:id="321585429">
              <w:marLeft w:val="0"/>
              <w:marRight w:val="0"/>
              <w:marTop w:val="0"/>
              <w:marBottom w:val="0"/>
              <w:divBdr>
                <w:top w:val="none" w:sz="0" w:space="0" w:color="auto"/>
                <w:left w:val="none" w:sz="0" w:space="0" w:color="auto"/>
                <w:bottom w:val="none" w:sz="0" w:space="0" w:color="auto"/>
                <w:right w:val="none" w:sz="0" w:space="0" w:color="auto"/>
              </w:divBdr>
            </w:div>
          </w:divsChild>
        </w:div>
        <w:div w:id="274797257">
          <w:marLeft w:val="0"/>
          <w:marRight w:val="0"/>
          <w:marTop w:val="0"/>
          <w:marBottom w:val="0"/>
          <w:divBdr>
            <w:top w:val="none" w:sz="0" w:space="0" w:color="auto"/>
            <w:left w:val="none" w:sz="0" w:space="0" w:color="auto"/>
            <w:bottom w:val="none" w:sz="0" w:space="0" w:color="auto"/>
            <w:right w:val="none" w:sz="0" w:space="0" w:color="auto"/>
          </w:divBdr>
          <w:divsChild>
            <w:div w:id="861289149">
              <w:marLeft w:val="0"/>
              <w:marRight w:val="0"/>
              <w:marTop w:val="0"/>
              <w:marBottom w:val="0"/>
              <w:divBdr>
                <w:top w:val="none" w:sz="0" w:space="0" w:color="auto"/>
                <w:left w:val="none" w:sz="0" w:space="0" w:color="auto"/>
                <w:bottom w:val="none" w:sz="0" w:space="0" w:color="auto"/>
                <w:right w:val="none" w:sz="0" w:space="0" w:color="auto"/>
              </w:divBdr>
            </w:div>
          </w:divsChild>
        </w:div>
        <w:div w:id="287007275">
          <w:marLeft w:val="0"/>
          <w:marRight w:val="0"/>
          <w:marTop w:val="0"/>
          <w:marBottom w:val="0"/>
          <w:divBdr>
            <w:top w:val="none" w:sz="0" w:space="0" w:color="auto"/>
            <w:left w:val="none" w:sz="0" w:space="0" w:color="auto"/>
            <w:bottom w:val="none" w:sz="0" w:space="0" w:color="auto"/>
            <w:right w:val="none" w:sz="0" w:space="0" w:color="auto"/>
          </w:divBdr>
          <w:divsChild>
            <w:div w:id="1528175018">
              <w:marLeft w:val="0"/>
              <w:marRight w:val="0"/>
              <w:marTop w:val="0"/>
              <w:marBottom w:val="0"/>
              <w:divBdr>
                <w:top w:val="none" w:sz="0" w:space="0" w:color="auto"/>
                <w:left w:val="none" w:sz="0" w:space="0" w:color="auto"/>
                <w:bottom w:val="none" w:sz="0" w:space="0" w:color="auto"/>
                <w:right w:val="none" w:sz="0" w:space="0" w:color="auto"/>
              </w:divBdr>
            </w:div>
          </w:divsChild>
        </w:div>
        <w:div w:id="304359934">
          <w:marLeft w:val="0"/>
          <w:marRight w:val="0"/>
          <w:marTop w:val="0"/>
          <w:marBottom w:val="0"/>
          <w:divBdr>
            <w:top w:val="none" w:sz="0" w:space="0" w:color="auto"/>
            <w:left w:val="none" w:sz="0" w:space="0" w:color="auto"/>
            <w:bottom w:val="none" w:sz="0" w:space="0" w:color="auto"/>
            <w:right w:val="none" w:sz="0" w:space="0" w:color="auto"/>
          </w:divBdr>
          <w:divsChild>
            <w:div w:id="1511263200">
              <w:marLeft w:val="0"/>
              <w:marRight w:val="0"/>
              <w:marTop w:val="0"/>
              <w:marBottom w:val="0"/>
              <w:divBdr>
                <w:top w:val="none" w:sz="0" w:space="0" w:color="auto"/>
                <w:left w:val="none" w:sz="0" w:space="0" w:color="auto"/>
                <w:bottom w:val="none" w:sz="0" w:space="0" w:color="auto"/>
                <w:right w:val="none" w:sz="0" w:space="0" w:color="auto"/>
              </w:divBdr>
            </w:div>
          </w:divsChild>
        </w:div>
        <w:div w:id="322777111">
          <w:marLeft w:val="0"/>
          <w:marRight w:val="0"/>
          <w:marTop w:val="0"/>
          <w:marBottom w:val="0"/>
          <w:divBdr>
            <w:top w:val="none" w:sz="0" w:space="0" w:color="auto"/>
            <w:left w:val="none" w:sz="0" w:space="0" w:color="auto"/>
            <w:bottom w:val="none" w:sz="0" w:space="0" w:color="auto"/>
            <w:right w:val="none" w:sz="0" w:space="0" w:color="auto"/>
          </w:divBdr>
          <w:divsChild>
            <w:div w:id="1292397629">
              <w:marLeft w:val="0"/>
              <w:marRight w:val="0"/>
              <w:marTop w:val="0"/>
              <w:marBottom w:val="0"/>
              <w:divBdr>
                <w:top w:val="none" w:sz="0" w:space="0" w:color="auto"/>
                <w:left w:val="none" w:sz="0" w:space="0" w:color="auto"/>
                <w:bottom w:val="none" w:sz="0" w:space="0" w:color="auto"/>
                <w:right w:val="none" w:sz="0" w:space="0" w:color="auto"/>
              </w:divBdr>
            </w:div>
          </w:divsChild>
        </w:div>
        <w:div w:id="349532178">
          <w:marLeft w:val="0"/>
          <w:marRight w:val="0"/>
          <w:marTop w:val="0"/>
          <w:marBottom w:val="0"/>
          <w:divBdr>
            <w:top w:val="none" w:sz="0" w:space="0" w:color="auto"/>
            <w:left w:val="none" w:sz="0" w:space="0" w:color="auto"/>
            <w:bottom w:val="none" w:sz="0" w:space="0" w:color="auto"/>
            <w:right w:val="none" w:sz="0" w:space="0" w:color="auto"/>
          </w:divBdr>
          <w:divsChild>
            <w:div w:id="281227588">
              <w:marLeft w:val="0"/>
              <w:marRight w:val="0"/>
              <w:marTop w:val="0"/>
              <w:marBottom w:val="0"/>
              <w:divBdr>
                <w:top w:val="none" w:sz="0" w:space="0" w:color="auto"/>
                <w:left w:val="none" w:sz="0" w:space="0" w:color="auto"/>
                <w:bottom w:val="none" w:sz="0" w:space="0" w:color="auto"/>
                <w:right w:val="none" w:sz="0" w:space="0" w:color="auto"/>
              </w:divBdr>
            </w:div>
          </w:divsChild>
        </w:div>
        <w:div w:id="363673439">
          <w:marLeft w:val="0"/>
          <w:marRight w:val="0"/>
          <w:marTop w:val="0"/>
          <w:marBottom w:val="0"/>
          <w:divBdr>
            <w:top w:val="none" w:sz="0" w:space="0" w:color="auto"/>
            <w:left w:val="none" w:sz="0" w:space="0" w:color="auto"/>
            <w:bottom w:val="none" w:sz="0" w:space="0" w:color="auto"/>
            <w:right w:val="none" w:sz="0" w:space="0" w:color="auto"/>
          </w:divBdr>
          <w:divsChild>
            <w:div w:id="396711642">
              <w:marLeft w:val="0"/>
              <w:marRight w:val="0"/>
              <w:marTop w:val="0"/>
              <w:marBottom w:val="0"/>
              <w:divBdr>
                <w:top w:val="none" w:sz="0" w:space="0" w:color="auto"/>
                <w:left w:val="none" w:sz="0" w:space="0" w:color="auto"/>
                <w:bottom w:val="none" w:sz="0" w:space="0" w:color="auto"/>
                <w:right w:val="none" w:sz="0" w:space="0" w:color="auto"/>
              </w:divBdr>
            </w:div>
          </w:divsChild>
        </w:div>
        <w:div w:id="370571334">
          <w:marLeft w:val="0"/>
          <w:marRight w:val="0"/>
          <w:marTop w:val="0"/>
          <w:marBottom w:val="0"/>
          <w:divBdr>
            <w:top w:val="none" w:sz="0" w:space="0" w:color="auto"/>
            <w:left w:val="none" w:sz="0" w:space="0" w:color="auto"/>
            <w:bottom w:val="none" w:sz="0" w:space="0" w:color="auto"/>
            <w:right w:val="none" w:sz="0" w:space="0" w:color="auto"/>
          </w:divBdr>
          <w:divsChild>
            <w:div w:id="1263076433">
              <w:marLeft w:val="0"/>
              <w:marRight w:val="0"/>
              <w:marTop w:val="0"/>
              <w:marBottom w:val="0"/>
              <w:divBdr>
                <w:top w:val="none" w:sz="0" w:space="0" w:color="auto"/>
                <w:left w:val="none" w:sz="0" w:space="0" w:color="auto"/>
                <w:bottom w:val="none" w:sz="0" w:space="0" w:color="auto"/>
                <w:right w:val="none" w:sz="0" w:space="0" w:color="auto"/>
              </w:divBdr>
            </w:div>
          </w:divsChild>
        </w:div>
        <w:div w:id="374352731">
          <w:marLeft w:val="0"/>
          <w:marRight w:val="0"/>
          <w:marTop w:val="0"/>
          <w:marBottom w:val="0"/>
          <w:divBdr>
            <w:top w:val="none" w:sz="0" w:space="0" w:color="auto"/>
            <w:left w:val="none" w:sz="0" w:space="0" w:color="auto"/>
            <w:bottom w:val="none" w:sz="0" w:space="0" w:color="auto"/>
            <w:right w:val="none" w:sz="0" w:space="0" w:color="auto"/>
          </w:divBdr>
          <w:divsChild>
            <w:div w:id="1028220806">
              <w:marLeft w:val="0"/>
              <w:marRight w:val="0"/>
              <w:marTop w:val="0"/>
              <w:marBottom w:val="0"/>
              <w:divBdr>
                <w:top w:val="none" w:sz="0" w:space="0" w:color="auto"/>
                <w:left w:val="none" w:sz="0" w:space="0" w:color="auto"/>
                <w:bottom w:val="none" w:sz="0" w:space="0" w:color="auto"/>
                <w:right w:val="none" w:sz="0" w:space="0" w:color="auto"/>
              </w:divBdr>
            </w:div>
          </w:divsChild>
        </w:div>
        <w:div w:id="394664730">
          <w:marLeft w:val="0"/>
          <w:marRight w:val="0"/>
          <w:marTop w:val="0"/>
          <w:marBottom w:val="0"/>
          <w:divBdr>
            <w:top w:val="none" w:sz="0" w:space="0" w:color="auto"/>
            <w:left w:val="none" w:sz="0" w:space="0" w:color="auto"/>
            <w:bottom w:val="none" w:sz="0" w:space="0" w:color="auto"/>
            <w:right w:val="none" w:sz="0" w:space="0" w:color="auto"/>
          </w:divBdr>
          <w:divsChild>
            <w:div w:id="1303463855">
              <w:marLeft w:val="0"/>
              <w:marRight w:val="0"/>
              <w:marTop w:val="0"/>
              <w:marBottom w:val="0"/>
              <w:divBdr>
                <w:top w:val="none" w:sz="0" w:space="0" w:color="auto"/>
                <w:left w:val="none" w:sz="0" w:space="0" w:color="auto"/>
                <w:bottom w:val="none" w:sz="0" w:space="0" w:color="auto"/>
                <w:right w:val="none" w:sz="0" w:space="0" w:color="auto"/>
              </w:divBdr>
            </w:div>
          </w:divsChild>
        </w:div>
        <w:div w:id="398674761">
          <w:marLeft w:val="0"/>
          <w:marRight w:val="0"/>
          <w:marTop w:val="0"/>
          <w:marBottom w:val="0"/>
          <w:divBdr>
            <w:top w:val="none" w:sz="0" w:space="0" w:color="auto"/>
            <w:left w:val="none" w:sz="0" w:space="0" w:color="auto"/>
            <w:bottom w:val="none" w:sz="0" w:space="0" w:color="auto"/>
            <w:right w:val="none" w:sz="0" w:space="0" w:color="auto"/>
          </w:divBdr>
          <w:divsChild>
            <w:div w:id="1184706294">
              <w:marLeft w:val="0"/>
              <w:marRight w:val="0"/>
              <w:marTop w:val="0"/>
              <w:marBottom w:val="0"/>
              <w:divBdr>
                <w:top w:val="none" w:sz="0" w:space="0" w:color="auto"/>
                <w:left w:val="none" w:sz="0" w:space="0" w:color="auto"/>
                <w:bottom w:val="none" w:sz="0" w:space="0" w:color="auto"/>
                <w:right w:val="none" w:sz="0" w:space="0" w:color="auto"/>
              </w:divBdr>
            </w:div>
          </w:divsChild>
        </w:div>
        <w:div w:id="402215755">
          <w:marLeft w:val="0"/>
          <w:marRight w:val="0"/>
          <w:marTop w:val="0"/>
          <w:marBottom w:val="0"/>
          <w:divBdr>
            <w:top w:val="none" w:sz="0" w:space="0" w:color="auto"/>
            <w:left w:val="none" w:sz="0" w:space="0" w:color="auto"/>
            <w:bottom w:val="none" w:sz="0" w:space="0" w:color="auto"/>
            <w:right w:val="none" w:sz="0" w:space="0" w:color="auto"/>
          </w:divBdr>
          <w:divsChild>
            <w:div w:id="627245076">
              <w:marLeft w:val="0"/>
              <w:marRight w:val="0"/>
              <w:marTop w:val="0"/>
              <w:marBottom w:val="0"/>
              <w:divBdr>
                <w:top w:val="none" w:sz="0" w:space="0" w:color="auto"/>
                <w:left w:val="none" w:sz="0" w:space="0" w:color="auto"/>
                <w:bottom w:val="none" w:sz="0" w:space="0" w:color="auto"/>
                <w:right w:val="none" w:sz="0" w:space="0" w:color="auto"/>
              </w:divBdr>
            </w:div>
          </w:divsChild>
        </w:div>
        <w:div w:id="424111491">
          <w:marLeft w:val="0"/>
          <w:marRight w:val="0"/>
          <w:marTop w:val="0"/>
          <w:marBottom w:val="0"/>
          <w:divBdr>
            <w:top w:val="none" w:sz="0" w:space="0" w:color="auto"/>
            <w:left w:val="none" w:sz="0" w:space="0" w:color="auto"/>
            <w:bottom w:val="none" w:sz="0" w:space="0" w:color="auto"/>
            <w:right w:val="none" w:sz="0" w:space="0" w:color="auto"/>
          </w:divBdr>
          <w:divsChild>
            <w:div w:id="1006135124">
              <w:marLeft w:val="0"/>
              <w:marRight w:val="0"/>
              <w:marTop w:val="0"/>
              <w:marBottom w:val="0"/>
              <w:divBdr>
                <w:top w:val="none" w:sz="0" w:space="0" w:color="auto"/>
                <w:left w:val="none" w:sz="0" w:space="0" w:color="auto"/>
                <w:bottom w:val="none" w:sz="0" w:space="0" w:color="auto"/>
                <w:right w:val="none" w:sz="0" w:space="0" w:color="auto"/>
              </w:divBdr>
            </w:div>
            <w:div w:id="2127040147">
              <w:marLeft w:val="0"/>
              <w:marRight w:val="0"/>
              <w:marTop w:val="0"/>
              <w:marBottom w:val="0"/>
              <w:divBdr>
                <w:top w:val="none" w:sz="0" w:space="0" w:color="auto"/>
                <w:left w:val="none" w:sz="0" w:space="0" w:color="auto"/>
                <w:bottom w:val="none" w:sz="0" w:space="0" w:color="auto"/>
                <w:right w:val="none" w:sz="0" w:space="0" w:color="auto"/>
              </w:divBdr>
            </w:div>
          </w:divsChild>
        </w:div>
        <w:div w:id="424427798">
          <w:marLeft w:val="0"/>
          <w:marRight w:val="0"/>
          <w:marTop w:val="0"/>
          <w:marBottom w:val="0"/>
          <w:divBdr>
            <w:top w:val="none" w:sz="0" w:space="0" w:color="auto"/>
            <w:left w:val="none" w:sz="0" w:space="0" w:color="auto"/>
            <w:bottom w:val="none" w:sz="0" w:space="0" w:color="auto"/>
            <w:right w:val="none" w:sz="0" w:space="0" w:color="auto"/>
          </w:divBdr>
          <w:divsChild>
            <w:div w:id="1142307584">
              <w:marLeft w:val="0"/>
              <w:marRight w:val="0"/>
              <w:marTop w:val="0"/>
              <w:marBottom w:val="0"/>
              <w:divBdr>
                <w:top w:val="none" w:sz="0" w:space="0" w:color="auto"/>
                <w:left w:val="none" w:sz="0" w:space="0" w:color="auto"/>
                <w:bottom w:val="none" w:sz="0" w:space="0" w:color="auto"/>
                <w:right w:val="none" w:sz="0" w:space="0" w:color="auto"/>
              </w:divBdr>
            </w:div>
          </w:divsChild>
        </w:div>
        <w:div w:id="430207244">
          <w:marLeft w:val="0"/>
          <w:marRight w:val="0"/>
          <w:marTop w:val="0"/>
          <w:marBottom w:val="0"/>
          <w:divBdr>
            <w:top w:val="none" w:sz="0" w:space="0" w:color="auto"/>
            <w:left w:val="none" w:sz="0" w:space="0" w:color="auto"/>
            <w:bottom w:val="none" w:sz="0" w:space="0" w:color="auto"/>
            <w:right w:val="none" w:sz="0" w:space="0" w:color="auto"/>
          </w:divBdr>
          <w:divsChild>
            <w:div w:id="1186671236">
              <w:marLeft w:val="0"/>
              <w:marRight w:val="0"/>
              <w:marTop w:val="0"/>
              <w:marBottom w:val="0"/>
              <w:divBdr>
                <w:top w:val="none" w:sz="0" w:space="0" w:color="auto"/>
                <w:left w:val="none" w:sz="0" w:space="0" w:color="auto"/>
                <w:bottom w:val="none" w:sz="0" w:space="0" w:color="auto"/>
                <w:right w:val="none" w:sz="0" w:space="0" w:color="auto"/>
              </w:divBdr>
            </w:div>
          </w:divsChild>
        </w:div>
        <w:div w:id="480080397">
          <w:marLeft w:val="0"/>
          <w:marRight w:val="0"/>
          <w:marTop w:val="0"/>
          <w:marBottom w:val="0"/>
          <w:divBdr>
            <w:top w:val="none" w:sz="0" w:space="0" w:color="auto"/>
            <w:left w:val="none" w:sz="0" w:space="0" w:color="auto"/>
            <w:bottom w:val="none" w:sz="0" w:space="0" w:color="auto"/>
            <w:right w:val="none" w:sz="0" w:space="0" w:color="auto"/>
          </w:divBdr>
          <w:divsChild>
            <w:div w:id="1170145985">
              <w:marLeft w:val="0"/>
              <w:marRight w:val="0"/>
              <w:marTop w:val="0"/>
              <w:marBottom w:val="0"/>
              <w:divBdr>
                <w:top w:val="none" w:sz="0" w:space="0" w:color="auto"/>
                <w:left w:val="none" w:sz="0" w:space="0" w:color="auto"/>
                <w:bottom w:val="none" w:sz="0" w:space="0" w:color="auto"/>
                <w:right w:val="none" w:sz="0" w:space="0" w:color="auto"/>
              </w:divBdr>
            </w:div>
          </w:divsChild>
        </w:div>
        <w:div w:id="481582093">
          <w:marLeft w:val="0"/>
          <w:marRight w:val="0"/>
          <w:marTop w:val="0"/>
          <w:marBottom w:val="0"/>
          <w:divBdr>
            <w:top w:val="none" w:sz="0" w:space="0" w:color="auto"/>
            <w:left w:val="none" w:sz="0" w:space="0" w:color="auto"/>
            <w:bottom w:val="none" w:sz="0" w:space="0" w:color="auto"/>
            <w:right w:val="none" w:sz="0" w:space="0" w:color="auto"/>
          </w:divBdr>
          <w:divsChild>
            <w:div w:id="229000114">
              <w:marLeft w:val="0"/>
              <w:marRight w:val="0"/>
              <w:marTop w:val="0"/>
              <w:marBottom w:val="0"/>
              <w:divBdr>
                <w:top w:val="none" w:sz="0" w:space="0" w:color="auto"/>
                <w:left w:val="none" w:sz="0" w:space="0" w:color="auto"/>
                <w:bottom w:val="none" w:sz="0" w:space="0" w:color="auto"/>
                <w:right w:val="none" w:sz="0" w:space="0" w:color="auto"/>
              </w:divBdr>
            </w:div>
          </w:divsChild>
        </w:div>
        <w:div w:id="486896882">
          <w:marLeft w:val="0"/>
          <w:marRight w:val="0"/>
          <w:marTop w:val="0"/>
          <w:marBottom w:val="0"/>
          <w:divBdr>
            <w:top w:val="none" w:sz="0" w:space="0" w:color="auto"/>
            <w:left w:val="none" w:sz="0" w:space="0" w:color="auto"/>
            <w:bottom w:val="none" w:sz="0" w:space="0" w:color="auto"/>
            <w:right w:val="none" w:sz="0" w:space="0" w:color="auto"/>
          </w:divBdr>
          <w:divsChild>
            <w:div w:id="700858643">
              <w:marLeft w:val="0"/>
              <w:marRight w:val="0"/>
              <w:marTop w:val="0"/>
              <w:marBottom w:val="0"/>
              <w:divBdr>
                <w:top w:val="none" w:sz="0" w:space="0" w:color="auto"/>
                <w:left w:val="none" w:sz="0" w:space="0" w:color="auto"/>
                <w:bottom w:val="none" w:sz="0" w:space="0" w:color="auto"/>
                <w:right w:val="none" w:sz="0" w:space="0" w:color="auto"/>
              </w:divBdr>
            </w:div>
          </w:divsChild>
        </w:div>
        <w:div w:id="488444529">
          <w:marLeft w:val="0"/>
          <w:marRight w:val="0"/>
          <w:marTop w:val="0"/>
          <w:marBottom w:val="0"/>
          <w:divBdr>
            <w:top w:val="none" w:sz="0" w:space="0" w:color="auto"/>
            <w:left w:val="none" w:sz="0" w:space="0" w:color="auto"/>
            <w:bottom w:val="none" w:sz="0" w:space="0" w:color="auto"/>
            <w:right w:val="none" w:sz="0" w:space="0" w:color="auto"/>
          </w:divBdr>
          <w:divsChild>
            <w:div w:id="669523701">
              <w:marLeft w:val="0"/>
              <w:marRight w:val="0"/>
              <w:marTop w:val="0"/>
              <w:marBottom w:val="0"/>
              <w:divBdr>
                <w:top w:val="none" w:sz="0" w:space="0" w:color="auto"/>
                <w:left w:val="none" w:sz="0" w:space="0" w:color="auto"/>
                <w:bottom w:val="none" w:sz="0" w:space="0" w:color="auto"/>
                <w:right w:val="none" w:sz="0" w:space="0" w:color="auto"/>
              </w:divBdr>
            </w:div>
          </w:divsChild>
        </w:div>
        <w:div w:id="496924311">
          <w:marLeft w:val="0"/>
          <w:marRight w:val="0"/>
          <w:marTop w:val="0"/>
          <w:marBottom w:val="0"/>
          <w:divBdr>
            <w:top w:val="none" w:sz="0" w:space="0" w:color="auto"/>
            <w:left w:val="none" w:sz="0" w:space="0" w:color="auto"/>
            <w:bottom w:val="none" w:sz="0" w:space="0" w:color="auto"/>
            <w:right w:val="none" w:sz="0" w:space="0" w:color="auto"/>
          </w:divBdr>
          <w:divsChild>
            <w:div w:id="1670594525">
              <w:marLeft w:val="0"/>
              <w:marRight w:val="0"/>
              <w:marTop w:val="0"/>
              <w:marBottom w:val="0"/>
              <w:divBdr>
                <w:top w:val="none" w:sz="0" w:space="0" w:color="auto"/>
                <w:left w:val="none" w:sz="0" w:space="0" w:color="auto"/>
                <w:bottom w:val="none" w:sz="0" w:space="0" w:color="auto"/>
                <w:right w:val="none" w:sz="0" w:space="0" w:color="auto"/>
              </w:divBdr>
            </w:div>
          </w:divsChild>
        </w:div>
        <w:div w:id="529220697">
          <w:marLeft w:val="0"/>
          <w:marRight w:val="0"/>
          <w:marTop w:val="0"/>
          <w:marBottom w:val="0"/>
          <w:divBdr>
            <w:top w:val="none" w:sz="0" w:space="0" w:color="auto"/>
            <w:left w:val="none" w:sz="0" w:space="0" w:color="auto"/>
            <w:bottom w:val="none" w:sz="0" w:space="0" w:color="auto"/>
            <w:right w:val="none" w:sz="0" w:space="0" w:color="auto"/>
          </w:divBdr>
          <w:divsChild>
            <w:div w:id="1088160415">
              <w:marLeft w:val="0"/>
              <w:marRight w:val="0"/>
              <w:marTop w:val="0"/>
              <w:marBottom w:val="0"/>
              <w:divBdr>
                <w:top w:val="none" w:sz="0" w:space="0" w:color="auto"/>
                <w:left w:val="none" w:sz="0" w:space="0" w:color="auto"/>
                <w:bottom w:val="none" w:sz="0" w:space="0" w:color="auto"/>
                <w:right w:val="none" w:sz="0" w:space="0" w:color="auto"/>
              </w:divBdr>
            </w:div>
          </w:divsChild>
        </w:div>
        <w:div w:id="537933909">
          <w:marLeft w:val="0"/>
          <w:marRight w:val="0"/>
          <w:marTop w:val="0"/>
          <w:marBottom w:val="0"/>
          <w:divBdr>
            <w:top w:val="none" w:sz="0" w:space="0" w:color="auto"/>
            <w:left w:val="none" w:sz="0" w:space="0" w:color="auto"/>
            <w:bottom w:val="none" w:sz="0" w:space="0" w:color="auto"/>
            <w:right w:val="none" w:sz="0" w:space="0" w:color="auto"/>
          </w:divBdr>
          <w:divsChild>
            <w:div w:id="1622374673">
              <w:marLeft w:val="0"/>
              <w:marRight w:val="0"/>
              <w:marTop w:val="0"/>
              <w:marBottom w:val="0"/>
              <w:divBdr>
                <w:top w:val="none" w:sz="0" w:space="0" w:color="auto"/>
                <w:left w:val="none" w:sz="0" w:space="0" w:color="auto"/>
                <w:bottom w:val="none" w:sz="0" w:space="0" w:color="auto"/>
                <w:right w:val="none" w:sz="0" w:space="0" w:color="auto"/>
              </w:divBdr>
            </w:div>
          </w:divsChild>
        </w:div>
        <w:div w:id="555438220">
          <w:marLeft w:val="0"/>
          <w:marRight w:val="0"/>
          <w:marTop w:val="0"/>
          <w:marBottom w:val="0"/>
          <w:divBdr>
            <w:top w:val="none" w:sz="0" w:space="0" w:color="auto"/>
            <w:left w:val="none" w:sz="0" w:space="0" w:color="auto"/>
            <w:bottom w:val="none" w:sz="0" w:space="0" w:color="auto"/>
            <w:right w:val="none" w:sz="0" w:space="0" w:color="auto"/>
          </w:divBdr>
          <w:divsChild>
            <w:div w:id="99225191">
              <w:marLeft w:val="0"/>
              <w:marRight w:val="0"/>
              <w:marTop w:val="0"/>
              <w:marBottom w:val="0"/>
              <w:divBdr>
                <w:top w:val="none" w:sz="0" w:space="0" w:color="auto"/>
                <w:left w:val="none" w:sz="0" w:space="0" w:color="auto"/>
                <w:bottom w:val="none" w:sz="0" w:space="0" w:color="auto"/>
                <w:right w:val="none" w:sz="0" w:space="0" w:color="auto"/>
              </w:divBdr>
            </w:div>
          </w:divsChild>
        </w:div>
        <w:div w:id="555777411">
          <w:marLeft w:val="0"/>
          <w:marRight w:val="0"/>
          <w:marTop w:val="0"/>
          <w:marBottom w:val="0"/>
          <w:divBdr>
            <w:top w:val="none" w:sz="0" w:space="0" w:color="auto"/>
            <w:left w:val="none" w:sz="0" w:space="0" w:color="auto"/>
            <w:bottom w:val="none" w:sz="0" w:space="0" w:color="auto"/>
            <w:right w:val="none" w:sz="0" w:space="0" w:color="auto"/>
          </w:divBdr>
          <w:divsChild>
            <w:div w:id="1673219335">
              <w:marLeft w:val="0"/>
              <w:marRight w:val="0"/>
              <w:marTop w:val="0"/>
              <w:marBottom w:val="0"/>
              <w:divBdr>
                <w:top w:val="none" w:sz="0" w:space="0" w:color="auto"/>
                <w:left w:val="none" w:sz="0" w:space="0" w:color="auto"/>
                <w:bottom w:val="none" w:sz="0" w:space="0" w:color="auto"/>
                <w:right w:val="none" w:sz="0" w:space="0" w:color="auto"/>
              </w:divBdr>
            </w:div>
          </w:divsChild>
        </w:div>
        <w:div w:id="556748943">
          <w:marLeft w:val="0"/>
          <w:marRight w:val="0"/>
          <w:marTop w:val="0"/>
          <w:marBottom w:val="0"/>
          <w:divBdr>
            <w:top w:val="none" w:sz="0" w:space="0" w:color="auto"/>
            <w:left w:val="none" w:sz="0" w:space="0" w:color="auto"/>
            <w:bottom w:val="none" w:sz="0" w:space="0" w:color="auto"/>
            <w:right w:val="none" w:sz="0" w:space="0" w:color="auto"/>
          </w:divBdr>
          <w:divsChild>
            <w:div w:id="1755978451">
              <w:marLeft w:val="0"/>
              <w:marRight w:val="0"/>
              <w:marTop w:val="0"/>
              <w:marBottom w:val="0"/>
              <w:divBdr>
                <w:top w:val="none" w:sz="0" w:space="0" w:color="auto"/>
                <w:left w:val="none" w:sz="0" w:space="0" w:color="auto"/>
                <w:bottom w:val="none" w:sz="0" w:space="0" w:color="auto"/>
                <w:right w:val="none" w:sz="0" w:space="0" w:color="auto"/>
              </w:divBdr>
            </w:div>
          </w:divsChild>
        </w:div>
        <w:div w:id="580068534">
          <w:marLeft w:val="0"/>
          <w:marRight w:val="0"/>
          <w:marTop w:val="0"/>
          <w:marBottom w:val="0"/>
          <w:divBdr>
            <w:top w:val="none" w:sz="0" w:space="0" w:color="auto"/>
            <w:left w:val="none" w:sz="0" w:space="0" w:color="auto"/>
            <w:bottom w:val="none" w:sz="0" w:space="0" w:color="auto"/>
            <w:right w:val="none" w:sz="0" w:space="0" w:color="auto"/>
          </w:divBdr>
          <w:divsChild>
            <w:div w:id="245042721">
              <w:marLeft w:val="0"/>
              <w:marRight w:val="0"/>
              <w:marTop w:val="0"/>
              <w:marBottom w:val="0"/>
              <w:divBdr>
                <w:top w:val="none" w:sz="0" w:space="0" w:color="auto"/>
                <w:left w:val="none" w:sz="0" w:space="0" w:color="auto"/>
                <w:bottom w:val="none" w:sz="0" w:space="0" w:color="auto"/>
                <w:right w:val="none" w:sz="0" w:space="0" w:color="auto"/>
              </w:divBdr>
            </w:div>
          </w:divsChild>
        </w:div>
        <w:div w:id="580605437">
          <w:marLeft w:val="0"/>
          <w:marRight w:val="0"/>
          <w:marTop w:val="0"/>
          <w:marBottom w:val="0"/>
          <w:divBdr>
            <w:top w:val="none" w:sz="0" w:space="0" w:color="auto"/>
            <w:left w:val="none" w:sz="0" w:space="0" w:color="auto"/>
            <w:bottom w:val="none" w:sz="0" w:space="0" w:color="auto"/>
            <w:right w:val="none" w:sz="0" w:space="0" w:color="auto"/>
          </w:divBdr>
          <w:divsChild>
            <w:div w:id="1886260379">
              <w:marLeft w:val="0"/>
              <w:marRight w:val="0"/>
              <w:marTop w:val="0"/>
              <w:marBottom w:val="0"/>
              <w:divBdr>
                <w:top w:val="none" w:sz="0" w:space="0" w:color="auto"/>
                <w:left w:val="none" w:sz="0" w:space="0" w:color="auto"/>
                <w:bottom w:val="none" w:sz="0" w:space="0" w:color="auto"/>
                <w:right w:val="none" w:sz="0" w:space="0" w:color="auto"/>
              </w:divBdr>
            </w:div>
          </w:divsChild>
        </w:div>
        <w:div w:id="605502547">
          <w:marLeft w:val="0"/>
          <w:marRight w:val="0"/>
          <w:marTop w:val="0"/>
          <w:marBottom w:val="0"/>
          <w:divBdr>
            <w:top w:val="none" w:sz="0" w:space="0" w:color="auto"/>
            <w:left w:val="none" w:sz="0" w:space="0" w:color="auto"/>
            <w:bottom w:val="none" w:sz="0" w:space="0" w:color="auto"/>
            <w:right w:val="none" w:sz="0" w:space="0" w:color="auto"/>
          </w:divBdr>
          <w:divsChild>
            <w:div w:id="439299199">
              <w:marLeft w:val="0"/>
              <w:marRight w:val="0"/>
              <w:marTop w:val="0"/>
              <w:marBottom w:val="0"/>
              <w:divBdr>
                <w:top w:val="none" w:sz="0" w:space="0" w:color="auto"/>
                <w:left w:val="none" w:sz="0" w:space="0" w:color="auto"/>
                <w:bottom w:val="none" w:sz="0" w:space="0" w:color="auto"/>
                <w:right w:val="none" w:sz="0" w:space="0" w:color="auto"/>
              </w:divBdr>
            </w:div>
          </w:divsChild>
        </w:div>
        <w:div w:id="608271187">
          <w:marLeft w:val="0"/>
          <w:marRight w:val="0"/>
          <w:marTop w:val="0"/>
          <w:marBottom w:val="0"/>
          <w:divBdr>
            <w:top w:val="none" w:sz="0" w:space="0" w:color="auto"/>
            <w:left w:val="none" w:sz="0" w:space="0" w:color="auto"/>
            <w:bottom w:val="none" w:sz="0" w:space="0" w:color="auto"/>
            <w:right w:val="none" w:sz="0" w:space="0" w:color="auto"/>
          </w:divBdr>
          <w:divsChild>
            <w:div w:id="1009330820">
              <w:marLeft w:val="0"/>
              <w:marRight w:val="0"/>
              <w:marTop w:val="0"/>
              <w:marBottom w:val="0"/>
              <w:divBdr>
                <w:top w:val="none" w:sz="0" w:space="0" w:color="auto"/>
                <w:left w:val="none" w:sz="0" w:space="0" w:color="auto"/>
                <w:bottom w:val="none" w:sz="0" w:space="0" w:color="auto"/>
                <w:right w:val="none" w:sz="0" w:space="0" w:color="auto"/>
              </w:divBdr>
            </w:div>
          </w:divsChild>
        </w:div>
        <w:div w:id="614361330">
          <w:marLeft w:val="0"/>
          <w:marRight w:val="0"/>
          <w:marTop w:val="0"/>
          <w:marBottom w:val="0"/>
          <w:divBdr>
            <w:top w:val="none" w:sz="0" w:space="0" w:color="auto"/>
            <w:left w:val="none" w:sz="0" w:space="0" w:color="auto"/>
            <w:bottom w:val="none" w:sz="0" w:space="0" w:color="auto"/>
            <w:right w:val="none" w:sz="0" w:space="0" w:color="auto"/>
          </w:divBdr>
          <w:divsChild>
            <w:div w:id="1346831616">
              <w:marLeft w:val="0"/>
              <w:marRight w:val="0"/>
              <w:marTop w:val="0"/>
              <w:marBottom w:val="0"/>
              <w:divBdr>
                <w:top w:val="none" w:sz="0" w:space="0" w:color="auto"/>
                <w:left w:val="none" w:sz="0" w:space="0" w:color="auto"/>
                <w:bottom w:val="none" w:sz="0" w:space="0" w:color="auto"/>
                <w:right w:val="none" w:sz="0" w:space="0" w:color="auto"/>
              </w:divBdr>
            </w:div>
            <w:div w:id="1525486017">
              <w:marLeft w:val="0"/>
              <w:marRight w:val="0"/>
              <w:marTop w:val="0"/>
              <w:marBottom w:val="0"/>
              <w:divBdr>
                <w:top w:val="none" w:sz="0" w:space="0" w:color="auto"/>
                <w:left w:val="none" w:sz="0" w:space="0" w:color="auto"/>
                <w:bottom w:val="none" w:sz="0" w:space="0" w:color="auto"/>
                <w:right w:val="none" w:sz="0" w:space="0" w:color="auto"/>
              </w:divBdr>
            </w:div>
          </w:divsChild>
        </w:div>
        <w:div w:id="637416674">
          <w:marLeft w:val="0"/>
          <w:marRight w:val="0"/>
          <w:marTop w:val="0"/>
          <w:marBottom w:val="0"/>
          <w:divBdr>
            <w:top w:val="none" w:sz="0" w:space="0" w:color="auto"/>
            <w:left w:val="none" w:sz="0" w:space="0" w:color="auto"/>
            <w:bottom w:val="none" w:sz="0" w:space="0" w:color="auto"/>
            <w:right w:val="none" w:sz="0" w:space="0" w:color="auto"/>
          </w:divBdr>
          <w:divsChild>
            <w:div w:id="588000694">
              <w:marLeft w:val="0"/>
              <w:marRight w:val="0"/>
              <w:marTop w:val="0"/>
              <w:marBottom w:val="0"/>
              <w:divBdr>
                <w:top w:val="none" w:sz="0" w:space="0" w:color="auto"/>
                <w:left w:val="none" w:sz="0" w:space="0" w:color="auto"/>
                <w:bottom w:val="none" w:sz="0" w:space="0" w:color="auto"/>
                <w:right w:val="none" w:sz="0" w:space="0" w:color="auto"/>
              </w:divBdr>
            </w:div>
            <w:div w:id="757140345">
              <w:marLeft w:val="0"/>
              <w:marRight w:val="0"/>
              <w:marTop w:val="0"/>
              <w:marBottom w:val="0"/>
              <w:divBdr>
                <w:top w:val="none" w:sz="0" w:space="0" w:color="auto"/>
                <w:left w:val="none" w:sz="0" w:space="0" w:color="auto"/>
                <w:bottom w:val="none" w:sz="0" w:space="0" w:color="auto"/>
                <w:right w:val="none" w:sz="0" w:space="0" w:color="auto"/>
              </w:divBdr>
            </w:div>
          </w:divsChild>
        </w:div>
        <w:div w:id="643851278">
          <w:marLeft w:val="0"/>
          <w:marRight w:val="0"/>
          <w:marTop w:val="0"/>
          <w:marBottom w:val="0"/>
          <w:divBdr>
            <w:top w:val="none" w:sz="0" w:space="0" w:color="auto"/>
            <w:left w:val="none" w:sz="0" w:space="0" w:color="auto"/>
            <w:bottom w:val="none" w:sz="0" w:space="0" w:color="auto"/>
            <w:right w:val="none" w:sz="0" w:space="0" w:color="auto"/>
          </w:divBdr>
          <w:divsChild>
            <w:div w:id="529951455">
              <w:marLeft w:val="0"/>
              <w:marRight w:val="0"/>
              <w:marTop w:val="0"/>
              <w:marBottom w:val="0"/>
              <w:divBdr>
                <w:top w:val="none" w:sz="0" w:space="0" w:color="auto"/>
                <w:left w:val="none" w:sz="0" w:space="0" w:color="auto"/>
                <w:bottom w:val="none" w:sz="0" w:space="0" w:color="auto"/>
                <w:right w:val="none" w:sz="0" w:space="0" w:color="auto"/>
              </w:divBdr>
            </w:div>
          </w:divsChild>
        </w:div>
        <w:div w:id="666859661">
          <w:marLeft w:val="0"/>
          <w:marRight w:val="0"/>
          <w:marTop w:val="0"/>
          <w:marBottom w:val="0"/>
          <w:divBdr>
            <w:top w:val="none" w:sz="0" w:space="0" w:color="auto"/>
            <w:left w:val="none" w:sz="0" w:space="0" w:color="auto"/>
            <w:bottom w:val="none" w:sz="0" w:space="0" w:color="auto"/>
            <w:right w:val="none" w:sz="0" w:space="0" w:color="auto"/>
          </w:divBdr>
          <w:divsChild>
            <w:div w:id="851920128">
              <w:marLeft w:val="0"/>
              <w:marRight w:val="0"/>
              <w:marTop w:val="0"/>
              <w:marBottom w:val="0"/>
              <w:divBdr>
                <w:top w:val="none" w:sz="0" w:space="0" w:color="auto"/>
                <w:left w:val="none" w:sz="0" w:space="0" w:color="auto"/>
                <w:bottom w:val="none" w:sz="0" w:space="0" w:color="auto"/>
                <w:right w:val="none" w:sz="0" w:space="0" w:color="auto"/>
              </w:divBdr>
            </w:div>
          </w:divsChild>
        </w:div>
        <w:div w:id="669482643">
          <w:marLeft w:val="0"/>
          <w:marRight w:val="0"/>
          <w:marTop w:val="0"/>
          <w:marBottom w:val="0"/>
          <w:divBdr>
            <w:top w:val="none" w:sz="0" w:space="0" w:color="auto"/>
            <w:left w:val="none" w:sz="0" w:space="0" w:color="auto"/>
            <w:bottom w:val="none" w:sz="0" w:space="0" w:color="auto"/>
            <w:right w:val="none" w:sz="0" w:space="0" w:color="auto"/>
          </w:divBdr>
          <w:divsChild>
            <w:div w:id="1163815524">
              <w:marLeft w:val="0"/>
              <w:marRight w:val="0"/>
              <w:marTop w:val="0"/>
              <w:marBottom w:val="0"/>
              <w:divBdr>
                <w:top w:val="none" w:sz="0" w:space="0" w:color="auto"/>
                <w:left w:val="none" w:sz="0" w:space="0" w:color="auto"/>
                <w:bottom w:val="none" w:sz="0" w:space="0" w:color="auto"/>
                <w:right w:val="none" w:sz="0" w:space="0" w:color="auto"/>
              </w:divBdr>
            </w:div>
          </w:divsChild>
        </w:div>
        <w:div w:id="670526817">
          <w:marLeft w:val="0"/>
          <w:marRight w:val="0"/>
          <w:marTop w:val="0"/>
          <w:marBottom w:val="0"/>
          <w:divBdr>
            <w:top w:val="none" w:sz="0" w:space="0" w:color="auto"/>
            <w:left w:val="none" w:sz="0" w:space="0" w:color="auto"/>
            <w:bottom w:val="none" w:sz="0" w:space="0" w:color="auto"/>
            <w:right w:val="none" w:sz="0" w:space="0" w:color="auto"/>
          </w:divBdr>
          <w:divsChild>
            <w:div w:id="565267222">
              <w:marLeft w:val="0"/>
              <w:marRight w:val="0"/>
              <w:marTop w:val="0"/>
              <w:marBottom w:val="0"/>
              <w:divBdr>
                <w:top w:val="none" w:sz="0" w:space="0" w:color="auto"/>
                <w:left w:val="none" w:sz="0" w:space="0" w:color="auto"/>
                <w:bottom w:val="none" w:sz="0" w:space="0" w:color="auto"/>
                <w:right w:val="none" w:sz="0" w:space="0" w:color="auto"/>
              </w:divBdr>
            </w:div>
          </w:divsChild>
        </w:div>
        <w:div w:id="681974496">
          <w:marLeft w:val="0"/>
          <w:marRight w:val="0"/>
          <w:marTop w:val="0"/>
          <w:marBottom w:val="0"/>
          <w:divBdr>
            <w:top w:val="none" w:sz="0" w:space="0" w:color="auto"/>
            <w:left w:val="none" w:sz="0" w:space="0" w:color="auto"/>
            <w:bottom w:val="none" w:sz="0" w:space="0" w:color="auto"/>
            <w:right w:val="none" w:sz="0" w:space="0" w:color="auto"/>
          </w:divBdr>
          <w:divsChild>
            <w:div w:id="1422144006">
              <w:marLeft w:val="0"/>
              <w:marRight w:val="0"/>
              <w:marTop w:val="0"/>
              <w:marBottom w:val="0"/>
              <w:divBdr>
                <w:top w:val="none" w:sz="0" w:space="0" w:color="auto"/>
                <w:left w:val="none" w:sz="0" w:space="0" w:color="auto"/>
                <w:bottom w:val="none" w:sz="0" w:space="0" w:color="auto"/>
                <w:right w:val="none" w:sz="0" w:space="0" w:color="auto"/>
              </w:divBdr>
            </w:div>
            <w:div w:id="1519781300">
              <w:marLeft w:val="0"/>
              <w:marRight w:val="0"/>
              <w:marTop w:val="0"/>
              <w:marBottom w:val="0"/>
              <w:divBdr>
                <w:top w:val="none" w:sz="0" w:space="0" w:color="auto"/>
                <w:left w:val="none" w:sz="0" w:space="0" w:color="auto"/>
                <w:bottom w:val="none" w:sz="0" w:space="0" w:color="auto"/>
                <w:right w:val="none" w:sz="0" w:space="0" w:color="auto"/>
              </w:divBdr>
            </w:div>
          </w:divsChild>
        </w:div>
        <w:div w:id="717246656">
          <w:marLeft w:val="0"/>
          <w:marRight w:val="0"/>
          <w:marTop w:val="0"/>
          <w:marBottom w:val="0"/>
          <w:divBdr>
            <w:top w:val="none" w:sz="0" w:space="0" w:color="auto"/>
            <w:left w:val="none" w:sz="0" w:space="0" w:color="auto"/>
            <w:bottom w:val="none" w:sz="0" w:space="0" w:color="auto"/>
            <w:right w:val="none" w:sz="0" w:space="0" w:color="auto"/>
          </w:divBdr>
          <w:divsChild>
            <w:div w:id="1511263346">
              <w:marLeft w:val="0"/>
              <w:marRight w:val="0"/>
              <w:marTop w:val="0"/>
              <w:marBottom w:val="0"/>
              <w:divBdr>
                <w:top w:val="none" w:sz="0" w:space="0" w:color="auto"/>
                <w:left w:val="none" w:sz="0" w:space="0" w:color="auto"/>
                <w:bottom w:val="none" w:sz="0" w:space="0" w:color="auto"/>
                <w:right w:val="none" w:sz="0" w:space="0" w:color="auto"/>
              </w:divBdr>
            </w:div>
            <w:div w:id="1854420810">
              <w:marLeft w:val="0"/>
              <w:marRight w:val="0"/>
              <w:marTop w:val="0"/>
              <w:marBottom w:val="0"/>
              <w:divBdr>
                <w:top w:val="none" w:sz="0" w:space="0" w:color="auto"/>
                <w:left w:val="none" w:sz="0" w:space="0" w:color="auto"/>
                <w:bottom w:val="none" w:sz="0" w:space="0" w:color="auto"/>
                <w:right w:val="none" w:sz="0" w:space="0" w:color="auto"/>
              </w:divBdr>
            </w:div>
          </w:divsChild>
        </w:div>
        <w:div w:id="765539465">
          <w:marLeft w:val="0"/>
          <w:marRight w:val="0"/>
          <w:marTop w:val="0"/>
          <w:marBottom w:val="0"/>
          <w:divBdr>
            <w:top w:val="none" w:sz="0" w:space="0" w:color="auto"/>
            <w:left w:val="none" w:sz="0" w:space="0" w:color="auto"/>
            <w:bottom w:val="none" w:sz="0" w:space="0" w:color="auto"/>
            <w:right w:val="none" w:sz="0" w:space="0" w:color="auto"/>
          </w:divBdr>
          <w:divsChild>
            <w:div w:id="554438736">
              <w:marLeft w:val="0"/>
              <w:marRight w:val="0"/>
              <w:marTop w:val="0"/>
              <w:marBottom w:val="0"/>
              <w:divBdr>
                <w:top w:val="none" w:sz="0" w:space="0" w:color="auto"/>
                <w:left w:val="none" w:sz="0" w:space="0" w:color="auto"/>
                <w:bottom w:val="none" w:sz="0" w:space="0" w:color="auto"/>
                <w:right w:val="none" w:sz="0" w:space="0" w:color="auto"/>
              </w:divBdr>
            </w:div>
            <w:div w:id="1251502552">
              <w:marLeft w:val="0"/>
              <w:marRight w:val="0"/>
              <w:marTop w:val="0"/>
              <w:marBottom w:val="0"/>
              <w:divBdr>
                <w:top w:val="none" w:sz="0" w:space="0" w:color="auto"/>
                <w:left w:val="none" w:sz="0" w:space="0" w:color="auto"/>
                <w:bottom w:val="none" w:sz="0" w:space="0" w:color="auto"/>
                <w:right w:val="none" w:sz="0" w:space="0" w:color="auto"/>
              </w:divBdr>
            </w:div>
          </w:divsChild>
        </w:div>
        <w:div w:id="792292357">
          <w:marLeft w:val="0"/>
          <w:marRight w:val="0"/>
          <w:marTop w:val="0"/>
          <w:marBottom w:val="0"/>
          <w:divBdr>
            <w:top w:val="none" w:sz="0" w:space="0" w:color="auto"/>
            <w:left w:val="none" w:sz="0" w:space="0" w:color="auto"/>
            <w:bottom w:val="none" w:sz="0" w:space="0" w:color="auto"/>
            <w:right w:val="none" w:sz="0" w:space="0" w:color="auto"/>
          </w:divBdr>
          <w:divsChild>
            <w:div w:id="814831069">
              <w:marLeft w:val="0"/>
              <w:marRight w:val="0"/>
              <w:marTop w:val="0"/>
              <w:marBottom w:val="0"/>
              <w:divBdr>
                <w:top w:val="none" w:sz="0" w:space="0" w:color="auto"/>
                <w:left w:val="none" w:sz="0" w:space="0" w:color="auto"/>
                <w:bottom w:val="none" w:sz="0" w:space="0" w:color="auto"/>
                <w:right w:val="none" w:sz="0" w:space="0" w:color="auto"/>
              </w:divBdr>
            </w:div>
          </w:divsChild>
        </w:div>
        <w:div w:id="816341522">
          <w:marLeft w:val="0"/>
          <w:marRight w:val="0"/>
          <w:marTop w:val="0"/>
          <w:marBottom w:val="0"/>
          <w:divBdr>
            <w:top w:val="none" w:sz="0" w:space="0" w:color="auto"/>
            <w:left w:val="none" w:sz="0" w:space="0" w:color="auto"/>
            <w:bottom w:val="none" w:sz="0" w:space="0" w:color="auto"/>
            <w:right w:val="none" w:sz="0" w:space="0" w:color="auto"/>
          </w:divBdr>
          <w:divsChild>
            <w:div w:id="837647170">
              <w:marLeft w:val="0"/>
              <w:marRight w:val="0"/>
              <w:marTop w:val="0"/>
              <w:marBottom w:val="0"/>
              <w:divBdr>
                <w:top w:val="none" w:sz="0" w:space="0" w:color="auto"/>
                <w:left w:val="none" w:sz="0" w:space="0" w:color="auto"/>
                <w:bottom w:val="none" w:sz="0" w:space="0" w:color="auto"/>
                <w:right w:val="none" w:sz="0" w:space="0" w:color="auto"/>
              </w:divBdr>
            </w:div>
          </w:divsChild>
        </w:div>
        <w:div w:id="827944182">
          <w:marLeft w:val="0"/>
          <w:marRight w:val="0"/>
          <w:marTop w:val="0"/>
          <w:marBottom w:val="0"/>
          <w:divBdr>
            <w:top w:val="none" w:sz="0" w:space="0" w:color="auto"/>
            <w:left w:val="none" w:sz="0" w:space="0" w:color="auto"/>
            <w:bottom w:val="none" w:sz="0" w:space="0" w:color="auto"/>
            <w:right w:val="none" w:sz="0" w:space="0" w:color="auto"/>
          </w:divBdr>
          <w:divsChild>
            <w:div w:id="342589340">
              <w:marLeft w:val="0"/>
              <w:marRight w:val="0"/>
              <w:marTop w:val="0"/>
              <w:marBottom w:val="0"/>
              <w:divBdr>
                <w:top w:val="none" w:sz="0" w:space="0" w:color="auto"/>
                <w:left w:val="none" w:sz="0" w:space="0" w:color="auto"/>
                <w:bottom w:val="none" w:sz="0" w:space="0" w:color="auto"/>
                <w:right w:val="none" w:sz="0" w:space="0" w:color="auto"/>
              </w:divBdr>
            </w:div>
          </w:divsChild>
        </w:div>
        <w:div w:id="833959938">
          <w:marLeft w:val="0"/>
          <w:marRight w:val="0"/>
          <w:marTop w:val="0"/>
          <w:marBottom w:val="0"/>
          <w:divBdr>
            <w:top w:val="none" w:sz="0" w:space="0" w:color="auto"/>
            <w:left w:val="none" w:sz="0" w:space="0" w:color="auto"/>
            <w:bottom w:val="none" w:sz="0" w:space="0" w:color="auto"/>
            <w:right w:val="none" w:sz="0" w:space="0" w:color="auto"/>
          </w:divBdr>
          <w:divsChild>
            <w:div w:id="448670748">
              <w:marLeft w:val="0"/>
              <w:marRight w:val="0"/>
              <w:marTop w:val="0"/>
              <w:marBottom w:val="0"/>
              <w:divBdr>
                <w:top w:val="none" w:sz="0" w:space="0" w:color="auto"/>
                <w:left w:val="none" w:sz="0" w:space="0" w:color="auto"/>
                <w:bottom w:val="none" w:sz="0" w:space="0" w:color="auto"/>
                <w:right w:val="none" w:sz="0" w:space="0" w:color="auto"/>
              </w:divBdr>
            </w:div>
            <w:div w:id="1160074601">
              <w:marLeft w:val="0"/>
              <w:marRight w:val="0"/>
              <w:marTop w:val="0"/>
              <w:marBottom w:val="0"/>
              <w:divBdr>
                <w:top w:val="none" w:sz="0" w:space="0" w:color="auto"/>
                <w:left w:val="none" w:sz="0" w:space="0" w:color="auto"/>
                <w:bottom w:val="none" w:sz="0" w:space="0" w:color="auto"/>
                <w:right w:val="none" w:sz="0" w:space="0" w:color="auto"/>
              </w:divBdr>
            </w:div>
          </w:divsChild>
        </w:div>
        <w:div w:id="834883765">
          <w:marLeft w:val="0"/>
          <w:marRight w:val="0"/>
          <w:marTop w:val="0"/>
          <w:marBottom w:val="0"/>
          <w:divBdr>
            <w:top w:val="none" w:sz="0" w:space="0" w:color="auto"/>
            <w:left w:val="none" w:sz="0" w:space="0" w:color="auto"/>
            <w:bottom w:val="none" w:sz="0" w:space="0" w:color="auto"/>
            <w:right w:val="none" w:sz="0" w:space="0" w:color="auto"/>
          </w:divBdr>
          <w:divsChild>
            <w:div w:id="495730240">
              <w:marLeft w:val="0"/>
              <w:marRight w:val="0"/>
              <w:marTop w:val="0"/>
              <w:marBottom w:val="0"/>
              <w:divBdr>
                <w:top w:val="none" w:sz="0" w:space="0" w:color="auto"/>
                <w:left w:val="none" w:sz="0" w:space="0" w:color="auto"/>
                <w:bottom w:val="none" w:sz="0" w:space="0" w:color="auto"/>
                <w:right w:val="none" w:sz="0" w:space="0" w:color="auto"/>
              </w:divBdr>
            </w:div>
          </w:divsChild>
        </w:div>
        <w:div w:id="836964678">
          <w:marLeft w:val="0"/>
          <w:marRight w:val="0"/>
          <w:marTop w:val="0"/>
          <w:marBottom w:val="0"/>
          <w:divBdr>
            <w:top w:val="none" w:sz="0" w:space="0" w:color="auto"/>
            <w:left w:val="none" w:sz="0" w:space="0" w:color="auto"/>
            <w:bottom w:val="none" w:sz="0" w:space="0" w:color="auto"/>
            <w:right w:val="none" w:sz="0" w:space="0" w:color="auto"/>
          </w:divBdr>
          <w:divsChild>
            <w:div w:id="1123112710">
              <w:marLeft w:val="0"/>
              <w:marRight w:val="0"/>
              <w:marTop w:val="0"/>
              <w:marBottom w:val="0"/>
              <w:divBdr>
                <w:top w:val="none" w:sz="0" w:space="0" w:color="auto"/>
                <w:left w:val="none" w:sz="0" w:space="0" w:color="auto"/>
                <w:bottom w:val="none" w:sz="0" w:space="0" w:color="auto"/>
                <w:right w:val="none" w:sz="0" w:space="0" w:color="auto"/>
              </w:divBdr>
            </w:div>
          </w:divsChild>
        </w:div>
        <w:div w:id="856650073">
          <w:marLeft w:val="0"/>
          <w:marRight w:val="0"/>
          <w:marTop w:val="0"/>
          <w:marBottom w:val="0"/>
          <w:divBdr>
            <w:top w:val="none" w:sz="0" w:space="0" w:color="auto"/>
            <w:left w:val="none" w:sz="0" w:space="0" w:color="auto"/>
            <w:bottom w:val="none" w:sz="0" w:space="0" w:color="auto"/>
            <w:right w:val="none" w:sz="0" w:space="0" w:color="auto"/>
          </w:divBdr>
          <w:divsChild>
            <w:div w:id="769931056">
              <w:marLeft w:val="0"/>
              <w:marRight w:val="0"/>
              <w:marTop w:val="0"/>
              <w:marBottom w:val="0"/>
              <w:divBdr>
                <w:top w:val="none" w:sz="0" w:space="0" w:color="auto"/>
                <w:left w:val="none" w:sz="0" w:space="0" w:color="auto"/>
                <w:bottom w:val="none" w:sz="0" w:space="0" w:color="auto"/>
                <w:right w:val="none" w:sz="0" w:space="0" w:color="auto"/>
              </w:divBdr>
            </w:div>
          </w:divsChild>
        </w:div>
        <w:div w:id="872814848">
          <w:marLeft w:val="0"/>
          <w:marRight w:val="0"/>
          <w:marTop w:val="0"/>
          <w:marBottom w:val="0"/>
          <w:divBdr>
            <w:top w:val="none" w:sz="0" w:space="0" w:color="auto"/>
            <w:left w:val="none" w:sz="0" w:space="0" w:color="auto"/>
            <w:bottom w:val="none" w:sz="0" w:space="0" w:color="auto"/>
            <w:right w:val="none" w:sz="0" w:space="0" w:color="auto"/>
          </w:divBdr>
          <w:divsChild>
            <w:div w:id="961501111">
              <w:marLeft w:val="0"/>
              <w:marRight w:val="0"/>
              <w:marTop w:val="0"/>
              <w:marBottom w:val="0"/>
              <w:divBdr>
                <w:top w:val="none" w:sz="0" w:space="0" w:color="auto"/>
                <w:left w:val="none" w:sz="0" w:space="0" w:color="auto"/>
                <w:bottom w:val="none" w:sz="0" w:space="0" w:color="auto"/>
                <w:right w:val="none" w:sz="0" w:space="0" w:color="auto"/>
              </w:divBdr>
            </w:div>
          </w:divsChild>
        </w:div>
        <w:div w:id="873006673">
          <w:marLeft w:val="0"/>
          <w:marRight w:val="0"/>
          <w:marTop w:val="0"/>
          <w:marBottom w:val="0"/>
          <w:divBdr>
            <w:top w:val="none" w:sz="0" w:space="0" w:color="auto"/>
            <w:left w:val="none" w:sz="0" w:space="0" w:color="auto"/>
            <w:bottom w:val="none" w:sz="0" w:space="0" w:color="auto"/>
            <w:right w:val="none" w:sz="0" w:space="0" w:color="auto"/>
          </w:divBdr>
          <w:divsChild>
            <w:div w:id="617415017">
              <w:marLeft w:val="0"/>
              <w:marRight w:val="0"/>
              <w:marTop w:val="0"/>
              <w:marBottom w:val="0"/>
              <w:divBdr>
                <w:top w:val="none" w:sz="0" w:space="0" w:color="auto"/>
                <w:left w:val="none" w:sz="0" w:space="0" w:color="auto"/>
                <w:bottom w:val="none" w:sz="0" w:space="0" w:color="auto"/>
                <w:right w:val="none" w:sz="0" w:space="0" w:color="auto"/>
              </w:divBdr>
            </w:div>
          </w:divsChild>
        </w:div>
        <w:div w:id="874855697">
          <w:marLeft w:val="0"/>
          <w:marRight w:val="0"/>
          <w:marTop w:val="0"/>
          <w:marBottom w:val="0"/>
          <w:divBdr>
            <w:top w:val="none" w:sz="0" w:space="0" w:color="auto"/>
            <w:left w:val="none" w:sz="0" w:space="0" w:color="auto"/>
            <w:bottom w:val="none" w:sz="0" w:space="0" w:color="auto"/>
            <w:right w:val="none" w:sz="0" w:space="0" w:color="auto"/>
          </w:divBdr>
          <w:divsChild>
            <w:div w:id="676614047">
              <w:marLeft w:val="0"/>
              <w:marRight w:val="0"/>
              <w:marTop w:val="0"/>
              <w:marBottom w:val="0"/>
              <w:divBdr>
                <w:top w:val="none" w:sz="0" w:space="0" w:color="auto"/>
                <w:left w:val="none" w:sz="0" w:space="0" w:color="auto"/>
                <w:bottom w:val="none" w:sz="0" w:space="0" w:color="auto"/>
                <w:right w:val="none" w:sz="0" w:space="0" w:color="auto"/>
              </w:divBdr>
            </w:div>
          </w:divsChild>
        </w:div>
        <w:div w:id="891581044">
          <w:marLeft w:val="0"/>
          <w:marRight w:val="0"/>
          <w:marTop w:val="0"/>
          <w:marBottom w:val="0"/>
          <w:divBdr>
            <w:top w:val="none" w:sz="0" w:space="0" w:color="auto"/>
            <w:left w:val="none" w:sz="0" w:space="0" w:color="auto"/>
            <w:bottom w:val="none" w:sz="0" w:space="0" w:color="auto"/>
            <w:right w:val="none" w:sz="0" w:space="0" w:color="auto"/>
          </w:divBdr>
          <w:divsChild>
            <w:div w:id="120804346">
              <w:marLeft w:val="0"/>
              <w:marRight w:val="0"/>
              <w:marTop w:val="0"/>
              <w:marBottom w:val="0"/>
              <w:divBdr>
                <w:top w:val="none" w:sz="0" w:space="0" w:color="auto"/>
                <w:left w:val="none" w:sz="0" w:space="0" w:color="auto"/>
                <w:bottom w:val="none" w:sz="0" w:space="0" w:color="auto"/>
                <w:right w:val="none" w:sz="0" w:space="0" w:color="auto"/>
              </w:divBdr>
            </w:div>
          </w:divsChild>
        </w:div>
        <w:div w:id="895626082">
          <w:marLeft w:val="0"/>
          <w:marRight w:val="0"/>
          <w:marTop w:val="0"/>
          <w:marBottom w:val="0"/>
          <w:divBdr>
            <w:top w:val="none" w:sz="0" w:space="0" w:color="auto"/>
            <w:left w:val="none" w:sz="0" w:space="0" w:color="auto"/>
            <w:bottom w:val="none" w:sz="0" w:space="0" w:color="auto"/>
            <w:right w:val="none" w:sz="0" w:space="0" w:color="auto"/>
          </w:divBdr>
          <w:divsChild>
            <w:div w:id="568812212">
              <w:marLeft w:val="0"/>
              <w:marRight w:val="0"/>
              <w:marTop w:val="0"/>
              <w:marBottom w:val="0"/>
              <w:divBdr>
                <w:top w:val="none" w:sz="0" w:space="0" w:color="auto"/>
                <w:left w:val="none" w:sz="0" w:space="0" w:color="auto"/>
                <w:bottom w:val="none" w:sz="0" w:space="0" w:color="auto"/>
                <w:right w:val="none" w:sz="0" w:space="0" w:color="auto"/>
              </w:divBdr>
            </w:div>
            <w:div w:id="1967851638">
              <w:marLeft w:val="0"/>
              <w:marRight w:val="0"/>
              <w:marTop w:val="0"/>
              <w:marBottom w:val="0"/>
              <w:divBdr>
                <w:top w:val="none" w:sz="0" w:space="0" w:color="auto"/>
                <w:left w:val="none" w:sz="0" w:space="0" w:color="auto"/>
                <w:bottom w:val="none" w:sz="0" w:space="0" w:color="auto"/>
                <w:right w:val="none" w:sz="0" w:space="0" w:color="auto"/>
              </w:divBdr>
            </w:div>
          </w:divsChild>
        </w:div>
        <w:div w:id="898832284">
          <w:marLeft w:val="0"/>
          <w:marRight w:val="0"/>
          <w:marTop w:val="0"/>
          <w:marBottom w:val="0"/>
          <w:divBdr>
            <w:top w:val="none" w:sz="0" w:space="0" w:color="auto"/>
            <w:left w:val="none" w:sz="0" w:space="0" w:color="auto"/>
            <w:bottom w:val="none" w:sz="0" w:space="0" w:color="auto"/>
            <w:right w:val="none" w:sz="0" w:space="0" w:color="auto"/>
          </w:divBdr>
          <w:divsChild>
            <w:div w:id="669257644">
              <w:marLeft w:val="0"/>
              <w:marRight w:val="0"/>
              <w:marTop w:val="0"/>
              <w:marBottom w:val="0"/>
              <w:divBdr>
                <w:top w:val="none" w:sz="0" w:space="0" w:color="auto"/>
                <w:left w:val="none" w:sz="0" w:space="0" w:color="auto"/>
                <w:bottom w:val="none" w:sz="0" w:space="0" w:color="auto"/>
                <w:right w:val="none" w:sz="0" w:space="0" w:color="auto"/>
              </w:divBdr>
            </w:div>
          </w:divsChild>
        </w:div>
        <w:div w:id="915240438">
          <w:marLeft w:val="0"/>
          <w:marRight w:val="0"/>
          <w:marTop w:val="0"/>
          <w:marBottom w:val="0"/>
          <w:divBdr>
            <w:top w:val="none" w:sz="0" w:space="0" w:color="auto"/>
            <w:left w:val="none" w:sz="0" w:space="0" w:color="auto"/>
            <w:bottom w:val="none" w:sz="0" w:space="0" w:color="auto"/>
            <w:right w:val="none" w:sz="0" w:space="0" w:color="auto"/>
          </w:divBdr>
          <w:divsChild>
            <w:div w:id="2034726465">
              <w:marLeft w:val="0"/>
              <w:marRight w:val="0"/>
              <w:marTop w:val="0"/>
              <w:marBottom w:val="0"/>
              <w:divBdr>
                <w:top w:val="none" w:sz="0" w:space="0" w:color="auto"/>
                <w:left w:val="none" w:sz="0" w:space="0" w:color="auto"/>
                <w:bottom w:val="none" w:sz="0" w:space="0" w:color="auto"/>
                <w:right w:val="none" w:sz="0" w:space="0" w:color="auto"/>
              </w:divBdr>
            </w:div>
          </w:divsChild>
        </w:div>
        <w:div w:id="938948634">
          <w:marLeft w:val="0"/>
          <w:marRight w:val="0"/>
          <w:marTop w:val="0"/>
          <w:marBottom w:val="0"/>
          <w:divBdr>
            <w:top w:val="none" w:sz="0" w:space="0" w:color="auto"/>
            <w:left w:val="none" w:sz="0" w:space="0" w:color="auto"/>
            <w:bottom w:val="none" w:sz="0" w:space="0" w:color="auto"/>
            <w:right w:val="none" w:sz="0" w:space="0" w:color="auto"/>
          </w:divBdr>
          <w:divsChild>
            <w:div w:id="595480326">
              <w:marLeft w:val="0"/>
              <w:marRight w:val="0"/>
              <w:marTop w:val="0"/>
              <w:marBottom w:val="0"/>
              <w:divBdr>
                <w:top w:val="none" w:sz="0" w:space="0" w:color="auto"/>
                <w:left w:val="none" w:sz="0" w:space="0" w:color="auto"/>
                <w:bottom w:val="none" w:sz="0" w:space="0" w:color="auto"/>
                <w:right w:val="none" w:sz="0" w:space="0" w:color="auto"/>
              </w:divBdr>
            </w:div>
            <w:div w:id="998994887">
              <w:marLeft w:val="0"/>
              <w:marRight w:val="0"/>
              <w:marTop w:val="0"/>
              <w:marBottom w:val="0"/>
              <w:divBdr>
                <w:top w:val="none" w:sz="0" w:space="0" w:color="auto"/>
                <w:left w:val="none" w:sz="0" w:space="0" w:color="auto"/>
                <w:bottom w:val="none" w:sz="0" w:space="0" w:color="auto"/>
                <w:right w:val="none" w:sz="0" w:space="0" w:color="auto"/>
              </w:divBdr>
            </w:div>
          </w:divsChild>
        </w:div>
        <w:div w:id="946275989">
          <w:marLeft w:val="0"/>
          <w:marRight w:val="0"/>
          <w:marTop w:val="0"/>
          <w:marBottom w:val="0"/>
          <w:divBdr>
            <w:top w:val="none" w:sz="0" w:space="0" w:color="auto"/>
            <w:left w:val="none" w:sz="0" w:space="0" w:color="auto"/>
            <w:bottom w:val="none" w:sz="0" w:space="0" w:color="auto"/>
            <w:right w:val="none" w:sz="0" w:space="0" w:color="auto"/>
          </w:divBdr>
          <w:divsChild>
            <w:div w:id="1458257912">
              <w:marLeft w:val="0"/>
              <w:marRight w:val="0"/>
              <w:marTop w:val="0"/>
              <w:marBottom w:val="0"/>
              <w:divBdr>
                <w:top w:val="none" w:sz="0" w:space="0" w:color="auto"/>
                <w:left w:val="none" w:sz="0" w:space="0" w:color="auto"/>
                <w:bottom w:val="none" w:sz="0" w:space="0" w:color="auto"/>
                <w:right w:val="none" w:sz="0" w:space="0" w:color="auto"/>
              </w:divBdr>
            </w:div>
          </w:divsChild>
        </w:div>
        <w:div w:id="966473132">
          <w:marLeft w:val="0"/>
          <w:marRight w:val="0"/>
          <w:marTop w:val="0"/>
          <w:marBottom w:val="0"/>
          <w:divBdr>
            <w:top w:val="none" w:sz="0" w:space="0" w:color="auto"/>
            <w:left w:val="none" w:sz="0" w:space="0" w:color="auto"/>
            <w:bottom w:val="none" w:sz="0" w:space="0" w:color="auto"/>
            <w:right w:val="none" w:sz="0" w:space="0" w:color="auto"/>
          </w:divBdr>
          <w:divsChild>
            <w:div w:id="1782530381">
              <w:marLeft w:val="0"/>
              <w:marRight w:val="0"/>
              <w:marTop w:val="0"/>
              <w:marBottom w:val="0"/>
              <w:divBdr>
                <w:top w:val="none" w:sz="0" w:space="0" w:color="auto"/>
                <w:left w:val="none" w:sz="0" w:space="0" w:color="auto"/>
                <w:bottom w:val="none" w:sz="0" w:space="0" w:color="auto"/>
                <w:right w:val="none" w:sz="0" w:space="0" w:color="auto"/>
              </w:divBdr>
            </w:div>
          </w:divsChild>
        </w:div>
        <w:div w:id="980812831">
          <w:marLeft w:val="0"/>
          <w:marRight w:val="0"/>
          <w:marTop w:val="0"/>
          <w:marBottom w:val="0"/>
          <w:divBdr>
            <w:top w:val="none" w:sz="0" w:space="0" w:color="auto"/>
            <w:left w:val="none" w:sz="0" w:space="0" w:color="auto"/>
            <w:bottom w:val="none" w:sz="0" w:space="0" w:color="auto"/>
            <w:right w:val="none" w:sz="0" w:space="0" w:color="auto"/>
          </w:divBdr>
          <w:divsChild>
            <w:div w:id="386682600">
              <w:marLeft w:val="0"/>
              <w:marRight w:val="0"/>
              <w:marTop w:val="0"/>
              <w:marBottom w:val="0"/>
              <w:divBdr>
                <w:top w:val="none" w:sz="0" w:space="0" w:color="auto"/>
                <w:left w:val="none" w:sz="0" w:space="0" w:color="auto"/>
                <w:bottom w:val="none" w:sz="0" w:space="0" w:color="auto"/>
                <w:right w:val="none" w:sz="0" w:space="0" w:color="auto"/>
              </w:divBdr>
            </w:div>
          </w:divsChild>
        </w:div>
        <w:div w:id="1033844301">
          <w:marLeft w:val="0"/>
          <w:marRight w:val="0"/>
          <w:marTop w:val="0"/>
          <w:marBottom w:val="0"/>
          <w:divBdr>
            <w:top w:val="none" w:sz="0" w:space="0" w:color="auto"/>
            <w:left w:val="none" w:sz="0" w:space="0" w:color="auto"/>
            <w:bottom w:val="none" w:sz="0" w:space="0" w:color="auto"/>
            <w:right w:val="none" w:sz="0" w:space="0" w:color="auto"/>
          </w:divBdr>
          <w:divsChild>
            <w:div w:id="75904562">
              <w:marLeft w:val="0"/>
              <w:marRight w:val="0"/>
              <w:marTop w:val="0"/>
              <w:marBottom w:val="0"/>
              <w:divBdr>
                <w:top w:val="none" w:sz="0" w:space="0" w:color="auto"/>
                <w:left w:val="none" w:sz="0" w:space="0" w:color="auto"/>
                <w:bottom w:val="none" w:sz="0" w:space="0" w:color="auto"/>
                <w:right w:val="none" w:sz="0" w:space="0" w:color="auto"/>
              </w:divBdr>
            </w:div>
          </w:divsChild>
        </w:div>
        <w:div w:id="1051467280">
          <w:marLeft w:val="0"/>
          <w:marRight w:val="0"/>
          <w:marTop w:val="0"/>
          <w:marBottom w:val="0"/>
          <w:divBdr>
            <w:top w:val="none" w:sz="0" w:space="0" w:color="auto"/>
            <w:left w:val="none" w:sz="0" w:space="0" w:color="auto"/>
            <w:bottom w:val="none" w:sz="0" w:space="0" w:color="auto"/>
            <w:right w:val="none" w:sz="0" w:space="0" w:color="auto"/>
          </w:divBdr>
          <w:divsChild>
            <w:div w:id="1179656469">
              <w:marLeft w:val="0"/>
              <w:marRight w:val="0"/>
              <w:marTop w:val="0"/>
              <w:marBottom w:val="0"/>
              <w:divBdr>
                <w:top w:val="none" w:sz="0" w:space="0" w:color="auto"/>
                <w:left w:val="none" w:sz="0" w:space="0" w:color="auto"/>
                <w:bottom w:val="none" w:sz="0" w:space="0" w:color="auto"/>
                <w:right w:val="none" w:sz="0" w:space="0" w:color="auto"/>
              </w:divBdr>
            </w:div>
          </w:divsChild>
        </w:div>
        <w:div w:id="1056123277">
          <w:marLeft w:val="0"/>
          <w:marRight w:val="0"/>
          <w:marTop w:val="0"/>
          <w:marBottom w:val="0"/>
          <w:divBdr>
            <w:top w:val="none" w:sz="0" w:space="0" w:color="auto"/>
            <w:left w:val="none" w:sz="0" w:space="0" w:color="auto"/>
            <w:bottom w:val="none" w:sz="0" w:space="0" w:color="auto"/>
            <w:right w:val="none" w:sz="0" w:space="0" w:color="auto"/>
          </w:divBdr>
          <w:divsChild>
            <w:div w:id="199049932">
              <w:marLeft w:val="0"/>
              <w:marRight w:val="0"/>
              <w:marTop w:val="0"/>
              <w:marBottom w:val="0"/>
              <w:divBdr>
                <w:top w:val="none" w:sz="0" w:space="0" w:color="auto"/>
                <w:left w:val="none" w:sz="0" w:space="0" w:color="auto"/>
                <w:bottom w:val="none" w:sz="0" w:space="0" w:color="auto"/>
                <w:right w:val="none" w:sz="0" w:space="0" w:color="auto"/>
              </w:divBdr>
            </w:div>
            <w:div w:id="704058107">
              <w:marLeft w:val="0"/>
              <w:marRight w:val="0"/>
              <w:marTop w:val="0"/>
              <w:marBottom w:val="0"/>
              <w:divBdr>
                <w:top w:val="none" w:sz="0" w:space="0" w:color="auto"/>
                <w:left w:val="none" w:sz="0" w:space="0" w:color="auto"/>
                <w:bottom w:val="none" w:sz="0" w:space="0" w:color="auto"/>
                <w:right w:val="none" w:sz="0" w:space="0" w:color="auto"/>
              </w:divBdr>
            </w:div>
          </w:divsChild>
        </w:div>
        <w:div w:id="1058213283">
          <w:marLeft w:val="0"/>
          <w:marRight w:val="0"/>
          <w:marTop w:val="0"/>
          <w:marBottom w:val="0"/>
          <w:divBdr>
            <w:top w:val="none" w:sz="0" w:space="0" w:color="auto"/>
            <w:left w:val="none" w:sz="0" w:space="0" w:color="auto"/>
            <w:bottom w:val="none" w:sz="0" w:space="0" w:color="auto"/>
            <w:right w:val="none" w:sz="0" w:space="0" w:color="auto"/>
          </w:divBdr>
          <w:divsChild>
            <w:div w:id="100611100">
              <w:marLeft w:val="0"/>
              <w:marRight w:val="0"/>
              <w:marTop w:val="0"/>
              <w:marBottom w:val="0"/>
              <w:divBdr>
                <w:top w:val="none" w:sz="0" w:space="0" w:color="auto"/>
                <w:left w:val="none" w:sz="0" w:space="0" w:color="auto"/>
                <w:bottom w:val="none" w:sz="0" w:space="0" w:color="auto"/>
                <w:right w:val="none" w:sz="0" w:space="0" w:color="auto"/>
              </w:divBdr>
            </w:div>
          </w:divsChild>
        </w:div>
        <w:div w:id="1062673995">
          <w:marLeft w:val="0"/>
          <w:marRight w:val="0"/>
          <w:marTop w:val="0"/>
          <w:marBottom w:val="0"/>
          <w:divBdr>
            <w:top w:val="none" w:sz="0" w:space="0" w:color="auto"/>
            <w:left w:val="none" w:sz="0" w:space="0" w:color="auto"/>
            <w:bottom w:val="none" w:sz="0" w:space="0" w:color="auto"/>
            <w:right w:val="none" w:sz="0" w:space="0" w:color="auto"/>
          </w:divBdr>
          <w:divsChild>
            <w:div w:id="1974099496">
              <w:marLeft w:val="0"/>
              <w:marRight w:val="0"/>
              <w:marTop w:val="0"/>
              <w:marBottom w:val="0"/>
              <w:divBdr>
                <w:top w:val="none" w:sz="0" w:space="0" w:color="auto"/>
                <w:left w:val="none" w:sz="0" w:space="0" w:color="auto"/>
                <w:bottom w:val="none" w:sz="0" w:space="0" w:color="auto"/>
                <w:right w:val="none" w:sz="0" w:space="0" w:color="auto"/>
              </w:divBdr>
            </w:div>
          </w:divsChild>
        </w:div>
        <w:div w:id="1089275719">
          <w:marLeft w:val="0"/>
          <w:marRight w:val="0"/>
          <w:marTop w:val="0"/>
          <w:marBottom w:val="0"/>
          <w:divBdr>
            <w:top w:val="none" w:sz="0" w:space="0" w:color="auto"/>
            <w:left w:val="none" w:sz="0" w:space="0" w:color="auto"/>
            <w:bottom w:val="none" w:sz="0" w:space="0" w:color="auto"/>
            <w:right w:val="none" w:sz="0" w:space="0" w:color="auto"/>
          </w:divBdr>
          <w:divsChild>
            <w:div w:id="999576691">
              <w:marLeft w:val="0"/>
              <w:marRight w:val="0"/>
              <w:marTop w:val="0"/>
              <w:marBottom w:val="0"/>
              <w:divBdr>
                <w:top w:val="none" w:sz="0" w:space="0" w:color="auto"/>
                <w:left w:val="none" w:sz="0" w:space="0" w:color="auto"/>
                <w:bottom w:val="none" w:sz="0" w:space="0" w:color="auto"/>
                <w:right w:val="none" w:sz="0" w:space="0" w:color="auto"/>
              </w:divBdr>
            </w:div>
            <w:div w:id="1863979771">
              <w:marLeft w:val="0"/>
              <w:marRight w:val="0"/>
              <w:marTop w:val="0"/>
              <w:marBottom w:val="0"/>
              <w:divBdr>
                <w:top w:val="none" w:sz="0" w:space="0" w:color="auto"/>
                <w:left w:val="none" w:sz="0" w:space="0" w:color="auto"/>
                <w:bottom w:val="none" w:sz="0" w:space="0" w:color="auto"/>
                <w:right w:val="none" w:sz="0" w:space="0" w:color="auto"/>
              </w:divBdr>
            </w:div>
            <w:div w:id="2056155839">
              <w:marLeft w:val="0"/>
              <w:marRight w:val="0"/>
              <w:marTop w:val="0"/>
              <w:marBottom w:val="0"/>
              <w:divBdr>
                <w:top w:val="none" w:sz="0" w:space="0" w:color="auto"/>
                <w:left w:val="none" w:sz="0" w:space="0" w:color="auto"/>
                <w:bottom w:val="none" w:sz="0" w:space="0" w:color="auto"/>
                <w:right w:val="none" w:sz="0" w:space="0" w:color="auto"/>
              </w:divBdr>
            </w:div>
          </w:divsChild>
        </w:div>
        <w:div w:id="1098213662">
          <w:marLeft w:val="0"/>
          <w:marRight w:val="0"/>
          <w:marTop w:val="0"/>
          <w:marBottom w:val="0"/>
          <w:divBdr>
            <w:top w:val="none" w:sz="0" w:space="0" w:color="auto"/>
            <w:left w:val="none" w:sz="0" w:space="0" w:color="auto"/>
            <w:bottom w:val="none" w:sz="0" w:space="0" w:color="auto"/>
            <w:right w:val="none" w:sz="0" w:space="0" w:color="auto"/>
          </w:divBdr>
          <w:divsChild>
            <w:div w:id="875237732">
              <w:marLeft w:val="0"/>
              <w:marRight w:val="0"/>
              <w:marTop w:val="0"/>
              <w:marBottom w:val="0"/>
              <w:divBdr>
                <w:top w:val="none" w:sz="0" w:space="0" w:color="auto"/>
                <w:left w:val="none" w:sz="0" w:space="0" w:color="auto"/>
                <w:bottom w:val="none" w:sz="0" w:space="0" w:color="auto"/>
                <w:right w:val="none" w:sz="0" w:space="0" w:color="auto"/>
              </w:divBdr>
            </w:div>
          </w:divsChild>
        </w:div>
        <w:div w:id="1107895109">
          <w:marLeft w:val="0"/>
          <w:marRight w:val="0"/>
          <w:marTop w:val="0"/>
          <w:marBottom w:val="0"/>
          <w:divBdr>
            <w:top w:val="none" w:sz="0" w:space="0" w:color="auto"/>
            <w:left w:val="none" w:sz="0" w:space="0" w:color="auto"/>
            <w:bottom w:val="none" w:sz="0" w:space="0" w:color="auto"/>
            <w:right w:val="none" w:sz="0" w:space="0" w:color="auto"/>
          </w:divBdr>
          <w:divsChild>
            <w:div w:id="1944413730">
              <w:marLeft w:val="0"/>
              <w:marRight w:val="0"/>
              <w:marTop w:val="0"/>
              <w:marBottom w:val="0"/>
              <w:divBdr>
                <w:top w:val="none" w:sz="0" w:space="0" w:color="auto"/>
                <w:left w:val="none" w:sz="0" w:space="0" w:color="auto"/>
                <w:bottom w:val="none" w:sz="0" w:space="0" w:color="auto"/>
                <w:right w:val="none" w:sz="0" w:space="0" w:color="auto"/>
              </w:divBdr>
            </w:div>
          </w:divsChild>
        </w:div>
        <w:div w:id="1140926116">
          <w:marLeft w:val="0"/>
          <w:marRight w:val="0"/>
          <w:marTop w:val="0"/>
          <w:marBottom w:val="0"/>
          <w:divBdr>
            <w:top w:val="none" w:sz="0" w:space="0" w:color="auto"/>
            <w:left w:val="none" w:sz="0" w:space="0" w:color="auto"/>
            <w:bottom w:val="none" w:sz="0" w:space="0" w:color="auto"/>
            <w:right w:val="none" w:sz="0" w:space="0" w:color="auto"/>
          </w:divBdr>
          <w:divsChild>
            <w:div w:id="763262582">
              <w:marLeft w:val="0"/>
              <w:marRight w:val="0"/>
              <w:marTop w:val="0"/>
              <w:marBottom w:val="0"/>
              <w:divBdr>
                <w:top w:val="none" w:sz="0" w:space="0" w:color="auto"/>
                <w:left w:val="none" w:sz="0" w:space="0" w:color="auto"/>
                <w:bottom w:val="none" w:sz="0" w:space="0" w:color="auto"/>
                <w:right w:val="none" w:sz="0" w:space="0" w:color="auto"/>
              </w:divBdr>
            </w:div>
          </w:divsChild>
        </w:div>
        <w:div w:id="1172404716">
          <w:marLeft w:val="0"/>
          <w:marRight w:val="0"/>
          <w:marTop w:val="0"/>
          <w:marBottom w:val="0"/>
          <w:divBdr>
            <w:top w:val="none" w:sz="0" w:space="0" w:color="auto"/>
            <w:left w:val="none" w:sz="0" w:space="0" w:color="auto"/>
            <w:bottom w:val="none" w:sz="0" w:space="0" w:color="auto"/>
            <w:right w:val="none" w:sz="0" w:space="0" w:color="auto"/>
          </w:divBdr>
          <w:divsChild>
            <w:div w:id="49110862">
              <w:marLeft w:val="0"/>
              <w:marRight w:val="0"/>
              <w:marTop w:val="0"/>
              <w:marBottom w:val="0"/>
              <w:divBdr>
                <w:top w:val="none" w:sz="0" w:space="0" w:color="auto"/>
                <w:left w:val="none" w:sz="0" w:space="0" w:color="auto"/>
                <w:bottom w:val="none" w:sz="0" w:space="0" w:color="auto"/>
                <w:right w:val="none" w:sz="0" w:space="0" w:color="auto"/>
              </w:divBdr>
            </w:div>
          </w:divsChild>
        </w:div>
        <w:div w:id="1196231148">
          <w:marLeft w:val="0"/>
          <w:marRight w:val="0"/>
          <w:marTop w:val="0"/>
          <w:marBottom w:val="0"/>
          <w:divBdr>
            <w:top w:val="none" w:sz="0" w:space="0" w:color="auto"/>
            <w:left w:val="none" w:sz="0" w:space="0" w:color="auto"/>
            <w:bottom w:val="none" w:sz="0" w:space="0" w:color="auto"/>
            <w:right w:val="none" w:sz="0" w:space="0" w:color="auto"/>
          </w:divBdr>
          <w:divsChild>
            <w:div w:id="533344711">
              <w:marLeft w:val="0"/>
              <w:marRight w:val="0"/>
              <w:marTop w:val="0"/>
              <w:marBottom w:val="0"/>
              <w:divBdr>
                <w:top w:val="none" w:sz="0" w:space="0" w:color="auto"/>
                <w:left w:val="none" w:sz="0" w:space="0" w:color="auto"/>
                <w:bottom w:val="none" w:sz="0" w:space="0" w:color="auto"/>
                <w:right w:val="none" w:sz="0" w:space="0" w:color="auto"/>
              </w:divBdr>
            </w:div>
          </w:divsChild>
        </w:div>
        <w:div w:id="1211989884">
          <w:marLeft w:val="0"/>
          <w:marRight w:val="0"/>
          <w:marTop w:val="0"/>
          <w:marBottom w:val="0"/>
          <w:divBdr>
            <w:top w:val="none" w:sz="0" w:space="0" w:color="auto"/>
            <w:left w:val="none" w:sz="0" w:space="0" w:color="auto"/>
            <w:bottom w:val="none" w:sz="0" w:space="0" w:color="auto"/>
            <w:right w:val="none" w:sz="0" w:space="0" w:color="auto"/>
          </w:divBdr>
          <w:divsChild>
            <w:div w:id="92287228">
              <w:marLeft w:val="0"/>
              <w:marRight w:val="0"/>
              <w:marTop w:val="0"/>
              <w:marBottom w:val="0"/>
              <w:divBdr>
                <w:top w:val="none" w:sz="0" w:space="0" w:color="auto"/>
                <w:left w:val="none" w:sz="0" w:space="0" w:color="auto"/>
                <w:bottom w:val="none" w:sz="0" w:space="0" w:color="auto"/>
                <w:right w:val="none" w:sz="0" w:space="0" w:color="auto"/>
              </w:divBdr>
            </w:div>
          </w:divsChild>
        </w:div>
        <w:div w:id="1213423092">
          <w:marLeft w:val="0"/>
          <w:marRight w:val="0"/>
          <w:marTop w:val="0"/>
          <w:marBottom w:val="0"/>
          <w:divBdr>
            <w:top w:val="none" w:sz="0" w:space="0" w:color="auto"/>
            <w:left w:val="none" w:sz="0" w:space="0" w:color="auto"/>
            <w:bottom w:val="none" w:sz="0" w:space="0" w:color="auto"/>
            <w:right w:val="none" w:sz="0" w:space="0" w:color="auto"/>
          </w:divBdr>
          <w:divsChild>
            <w:div w:id="213659883">
              <w:marLeft w:val="0"/>
              <w:marRight w:val="0"/>
              <w:marTop w:val="0"/>
              <w:marBottom w:val="0"/>
              <w:divBdr>
                <w:top w:val="none" w:sz="0" w:space="0" w:color="auto"/>
                <w:left w:val="none" w:sz="0" w:space="0" w:color="auto"/>
                <w:bottom w:val="none" w:sz="0" w:space="0" w:color="auto"/>
                <w:right w:val="none" w:sz="0" w:space="0" w:color="auto"/>
              </w:divBdr>
            </w:div>
          </w:divsChild>
        </w:div>
        <w:div w:id="1222181717">
          <w:marLeft w:val="0"/>
          <w:marRight w:val="0"/>
          <w:marTop w:val="0"/>
          <w:marBottom w:val="0"/>
          <w:divBdr>
            <w:top w:val="none" w:sz="0" w:space="0" w:color="auto"/>
            <w:left w:val="none" w:sz="0" w:space="0" w:color="auto"/>
            <w:bottom w:val="none" w:sz="0" w:space="0" w:color="auto"/>
            <w:right w:val="none" w:sz="0" w:space="0" w:color="auto"/>
          </w:divBdr>
          <w:divsChild>
            <w:div w:id="1130636446">
              <w:marLeft w:val="0"/>
              <w:marRight w:val="0"/>
              <w:marTop w:val="0"/>
              <w:marBottom w:val="0"/>
              <w:divBdr>
                <w:top w:val="none" w:sz="0" w:space="0" w:color="auto"/>
                <w:left w:val="none" w:sz="0" w:space="0" w:color="auto"/>
                <w:bottom w:val="none" w:sz="0" w:space="0" w:color="auto"/>
                <w:right w:val="none" w:sz="0" w:space="0" w:color="auto"/>
              </w:divBdr>
            </w:div>
          </w:divsChild>
        </w:div>
        <w:div w:id="1229731389">
          <w:marLeft w:val="0"/>
          <w:marRight w:val="0"/>
          <w:marTop w:val="0"/>
          <w:marBottom w:val="0"/>
          <w:divBdr>
            <w:top w:val="none" w:sz="0" w:space="0" w:color="auto"/>
            <w:left w:val="none" w:sz="0" w:space="0" w:color="auto"/>
            <w:bottom w:val="none" w:sz="0" w:space="0" w:color="auto"/>
            <w:right w:val="none" w:sz="0" w:space="0" w:color="auto"/>
          </w:divBdr>
          <w:divsChild>
            <w:div w:id="189143945">
              <w:marLeft w:val="0"/>
              <w:marRight w:val="0"/>
              <w:marTop w:val="0"/>
              <w:marBottom w:val="0"/>
              <w:divBdr>
                <w:top w:val="none" w:sz="0" w:space="0" w:color="auto"/>
                <w:left w:val="none" w:sz="0" w:space="0" w:color="auto"/>
                <w:bottom w:val="none" w:sz="0" w:space="0" w:color="auto"/>
                <w:right w:val="none" w:sz="0" w:space="0" w:color="auto"/>
              </w:divBdr>
            </w:div>
            <w:div w:id="1623683248">
              <w:marLeft w:val="0"/>
              <w:marRight w:val="0"/>
              <w:marTop w:val="0"/>
              <w:marBottom w:val="0"/>
              <w:divBdr>
                <w:top w:val="none" w:sz="0" w:space="0" w:color="auto"/>
                <w:left w:val="none" w:sz="0" w:space="0" w:color="auto"/>
                <w:bottom w:val="none" w:sz="0" w:space="0" w:color="auto"/>
                <w:right w:val="none" w:sz="0" w:space="0" w:color="auto"/>
              </w:divBdr>
            </w:div>
          </w:divsChild>
        </w:div>
        <w:div w:id="1234780442">
          <w:marLeft w:val="0"/>
          <w:marRight w:val="0"/>
          <w:marTop w:val="0"/>
          <w:marBottom w:val="0"/>
          <w:divBdr>
            <w:top w:val="none" w:sz="0" w:space="0" w:color="auto"/>
            <w:left w:val="none" w:sz="0" w:space="0" w:color="auto"/>
            <w:bottom w:val="none" w:sz="0" w:space="0" w:color="auto"/>
            <w:right w:val="none" w:sz="0" w:space="0" w:color="auto"/>
          </w:divBdr>
          <w:divsChild>
            <w:div w:id="2083747647">
              <w:marLeft w:val="0"/>
              <w:marRight w:val="0"/>
              <w:marTop w:val="0"/>
              <w:marBottom w:val="0"/>
              <w:divBdr>
                <w:top w:val="none" w:sz="0" w:space="0" w:color="auto"/>
                <w:left w:val="none" w:sz="0" w:space="0" w:color="auto"/>
                <w:bottom w:val="none" w:sz="0" w:space="0" w:color="auto"/>
                <w:right w:val="none" w:sz="0" w:space="0" w:color="auto"/>
              </w:divBdr>
            </w:div>
          </w:divsChild>
        </w:div>
        <w:div w:id="1235630001">
          <w:marLeft w:val="0"/>
          <w:marRight w:val="0"/>
          <w:marTop w:val="0"/>
          <w:marBottom w:val="0"/>
          <w:divBdr>
            <w:top w:val="none" w:sz="0" w:space="0" w:color="auto"/>
            <w:left w:val="none" w:sz="0" w:space="0" w:color="auto"/>
            <w:bottom w:val="none" w:sz="0" w:space="0" w:color="auto"/>
            <w:right w:val="none" w:sz="0" w:space="0" w:color="auto"/>
          </w:divBdr>
          <w:divsChild>
            <w:div w:id="284040589">
              <w:marLeft w:val="0"/>
              <w:marRight w:val="0"/>
              <w:marTop w:val="0"/>
              <w:marBottom w:val="0"/>
              <w:divBdr>
                <w:top w:val="none" w:sz="0" w:space="0" w:color="auto"/>
                <w:left w:val="none" w:sz="0" w:space="0" w:color="auto"/>
                <w:bottom w:val="none" w:sz="0" w:space="0" w:color="auto"/>
                <w:right w:val="none" w:sz="0" w:space="0" w:color="auto"/>
              </w:divBdr>
            </w:div>
          </w:divsChild>
        </w:div>
        <w:div w:id="1238781727">
          <w:marLeft w:val="0"/>
          <w:marRight w:val="0"/>
          <w:marTop w:val="0"/>
          <w:marBottom w:val="0"/>
          <w:divBdr>
            <w:top w:val="none" w:sz="0" w:space="0" w:color="auto"/>
            <w:left w:val="none" w:sz="0" w:space="0" w:color="auto"/>
            <w:bottom w:val="none" w:sz="0" w:space="0" w:color="auto"/>
            <w:right w:val="none" w:sz="0" w:space="0" w:color="auto"/>
          </w:divBdr>
          <w:divsChild>
            <w:div w:id="1396775786">
              <w:marLeft w:val="0"/>
              <w:marRight w:val="0"/>
              <w:marTop w:val="0"/>
              <w:marBottom w:val="0"/>
              <w:divBdr>
                <w:top w:val="none" w:sz="0" w:space="0" w:color="auto"/>
                <w:left w:val="none" w:sz="0" w:space="0" w:color="auto"/>
                <w:bottom w:val="none" w:sz="0" w:space="0" w:color="auto"/>
                <w:right w:val="none" w:sz="0" w:space="0" w:color="auto"/>
              </w:divBdr>
            </w:div>
          </w:divsChild>
        </w:div>
        <w:div w:id="1253121153">
          <w:marLeft w:val="0"/>
          <w:marRight w:val="0"/>
          <w:marTop w:val="0"/>
          <w:marBottom w:val="0"/>
          <w:divBdr>
            <w:top w:val="none" w:sz="0" w:space="0" w:color="auto"/>
            <w:left w:val="none" w:sz="0" w:space="0" w:color="auto"/>
            <w:bottom w:val="none" w:sz="0" w:space="0" w:color="auto"/>
            <w:right w:val="none" w:sz="0" w:space="0" w:color="auto"/>
          </w:divBdr>
          <w:divsChild>
            <w:div w:id="888565876">
              <w:marLeft w:val="0"/>
              <w:marRight w:val="0"/>
              <w:marTop w:val="0"/>
              <w:marBottom w:val="0"/>
              <w:divBdr>
                <w:top w:val="none" w:sz="0" w:space="0" w:color="auto"/>
                <w:left w:val="none" w:sz="0" w:space="0" w:color="auto"/>
                <w:bottom w:val="none" w:sz="0" w:space="0" w:color="auto"/>
                <w:right w:val="none" w:sz="0" w:space="0" w:color="auto"/>
              </w:divBdr>
            </w:div>
          </w:divsChild>
        </w:div>
        <w:div w:id="1262180894">
          <w:marLeft w:val="0"/>
          <w:marRight w:val="0"/>
          <w:marTop w:val="0"/>
          <w:marBottom w:val="0"/>
          <w:divBdr>
            <w:top w:val="none" w:sz="0" w:space="0" w:color="auto"/>
            <w:left w:val="none" w:sz="0" w:space="0" w:color="auto"/>
            <w:bottom w:val="none" w:sz="0" w:space="0" w:color="auto"/>
            <w:right w:val="none" w:sz="0" w:space="0" w:color="auto"/>
          </w:divBdr>
          <w:divsChild>
            <w:div w:id="1849368050">
              <w:marLeft w:val="0"/>
              <w:marRight w:val="0"/>
              <w:marTop w:val="0"/>
              <w:marBottom w:val="0"/>
              <w:divBdr>
                <w:top w:val="none" w:sz="0" w:space="0" w:color="auto"/>
                <w:left w:val="none" w:sz="0" w:space="0" w:color="auto"/>
                <w:bottom w:val="none" w:sz="0" w:space="0" w:color="auto"/>
                <w:right w:val="none" w:sz="0" w:space="0" w:color="auto"/>
              </w:divBdr>
            </w:div>
          </w:divsChild>
        </w:div>
        <w:div w:id="1267542298">
          <w:marLeft w:val="0"/>
          <w:marRight w:val="0"/>
          <w:marTop w:val="0"/>
          <w:marBottom w:val="0"/>
          <w:divBdr>
            <w:top w:val="none" w:sz="0" w:space="0" w:color="auto"/>
            <w:left w:val="none" w:sz="0" w:space="0" w:color="auto"/>
            <w:bottom w:val="none" w:sz="0" w:space="0" w:color="auto"/>
            <w:right w:val="none" w:sz="0" w:space="0" w:color="auto"/>
          </w:divBdr>
          <w:divsChild>
            <w:div w:id="1775898083">
              <w:marLeft w:val="0"/>
              <w:marRight w:val="0"/>
              <w:marTop w:val="0"/>
              <w:marBottom w:val="0"/>
              <w:divBdr>
                <w:top w:val="none" w:sz="0" w:space="0" w:color="auto"/>
                <w:left w:val="none" w:sz="0" w:space="0" w:color="auto"/>
                <w:bottom w:val="none" w:sz="0" w:space="0" w:color="auto"/>
                <w:right w:val="none" w:sz="0" w:space="0" w:color="auto"/>
              </w:divBdr>
            </w:div>
          </w:divsChild>
        </w:div>
        <w:div w:id="1305042669">
          <w:marLeft w:val="0"/>
          <w:marRight w:val="0"/>
          <w:marTop w:val="0"/>
          <w:marBottom w:val="0"/>
          <w:divBdr>
            <w:top w:val="none" w:sz="0" w:space="0" w:color="auto"/>
            <w:left w:val="none" w:sz="0" w:space="0" w:color="auto"/>
            <w:bottom w:val="none" w:sz="0" w:space="0" w:color="auto"/>
            <w:right w:val="none" w:sz="0" w:space="0" w:color="auto"/>
          </w:divBdr>
          <w:divsChild>
            <w:div w:id="993874695">
              <w:marLeft w:val="0"/>
              <w:marRight w:val="0"/>
              <w:marTop w:val="0"/>
              <w:marBottom w:val="0"/>
              <w:divBdr>
                <w:top w:val="none" w:sz="0" w:space="0" w:color="auto"/>
                <w:left w:val="none" w:sz="0" w:space="0" w:color="auto"/>
                <w:bottom w:val="none" w:sz="0" w:space="0" w:color="auto"/>
                <w:right w:val="none" w:sz="0" w:space="0" w:color="auto"/>
              </w:divBdr>
            </w:div>
          </w:divsChild>
        </w:div>
        <w:div w:id="1311330745">
          <w:marLeft w:val="0"/>
          <w:marRight w:val="0"/>
          <w:marTop w:val="0"/>
          <w:marBottom w:val="0"/>
          <w:divBdr>
            <w:top w:val="none" w:sz="0" w:space="0" w:color="auto"/>
            <w:left w:val="none" w:sz="0" w:space="0" w:color="auto"/>
            <w:bottom w:val="none" w:sz="0" w:space="0" w:color="auto"/>
            <w:right w:val="none" w:sz="0" w:space="0" w:color="auto"/>
          </w:divBdr>
          <w:divsChild>
            <w:div w:id="949707515">
              <w:marLeft w:val="0"/>
              <w:marRight w:val="0"/>
              <w:marTop w:val="0"/>
              <w:marBottom w:val="0"/>
              <w:divBdr>
                <w:top w:val="none" w:sz="0" w:space="0" w:color="auto"/>
                <w:left w:val="none" w:sz="0" w:space="0" w:color="auto"/>
                <w:bottom w:val="none" w:sz="0" w:space="0" w:color="auto"/>
                <w:right w:val="none" w:sz="0" w:space="0" w:color="auto"/>
              </w:divBdr>
            </w:div>
            <w:div w:id="2071688789">
              <w:marLeft w:val="0"/>
              <w:marRight w:val="0"/>
              <w:marTop w:val="0"/>
              <w:marBottom w:val="0"/>
              <w:divBdr>
                <w:top w:val="none" w:sz="0" w:space="0" w:color="auto"/>
                <w:left w:val="none" w:sz="0" w:space="0" w:color="auto"/>
                <w:bottom w:val="none" w:sz="0" w:space="0" w:color="auto"/>
                <w:right w:val="none" w:sz="0" w:space="0" w:color="auto"/>
              </w:divBdr>
            </w:div>
          </w:divsChild>
        </w:div>
        <w:div w:id="1311593444">
          <w:marLeft w:val="0"/>
          <w:marRight w:val="0"/>
          <w:marTop w:val="0"/>
          <w:marBottom w:val="0"/>
          <w:divBdr>
            <w:top w:val="none" w:sz="0" w:space="0" w:color="auto"/>
            <w:left w:val="none" w:sz="0" w:space="0" w:color="auto"/>
            <w:bottom w:val="none" w:sz="0" w:space="0" w:color="auto"/>
            <w:right w:val="none" w:sz="0" w:space="0" w:color="auto"/>
          </w:divBdr>
          <w:divsChild>
            <w:div w:id="56981498">
              <w:marLeft w:val="0"/>
              <w:marRight w:val="0"/>
              <w:marTop w:val="0"/>
              <w:marBottom w:val="0"/>
              <w:divBdr>
                <w:top w:val="none" w:sz="0" w:space="0" w:color="auto"/>
                <w:left w:val="none" w:sz="0" w:space="0" w:color="auto"/>
                <w:bottom w:val="none" w:sz="0" w:space="0" w:color="auto"/>
                <w:right w:val="none" w:sz="0" w:space="0" w:color="auto"/>
              </w:divBdr>
            </w:div>
            <w:div w:id="1851681412">
              <w:marLeft w:val="0"/>
              <w:marRight w:val="0"/>
              <w:marTop w:val="0"/>
              <w:marBottom w:val="0"/>
              <w:divBdr>
                <w:top w:val="none" w:sz="0" w:space="0" w:color="auto"/>
                <w:left w:val="none" w:sz="0" w:space="0" w:color="auto"/>
                <w:bottom w:val="none" w:sz="0" w:space="0" w:color="auto"/>
                <w:right w:val="none" w:sz="0" w:space="0" w:color="auto"/>
              </w:divBdr>
            </w:div>
          </w:divsChild>
        </w:div>
        <w:div w:id="1330715867">
          <w:marLeft w:val="0"/>
          <w:marRight w:val="0"/>
          <w:marTop w:val="0"/>
          <w:marBottom w:val="0"/>
          <w:divBdr>
            <w:top w:val="none" w:sz="0" w:space="0" w:color="auto"/>
            <w:left w:val="none" w:sz="0" w:space="0" w:color="auto"/>
            <w:bottom w:val="none" w:sz="0" w:space="0" w:color="auto"/>
            <w:right w:val="none" w:sz="0" w:space="0" w:color="auto"/>
          </w:divBdr>
          <w:divsChild>
            <w:div w:id="2042244378">
              <w:marLeft w:val="0"/>
              <w:marRight w:val="0"/>
              <w:marTop w:val="0"/>
              <w:marBottom w:val="0"/>
              <w:divBdr>
                <w:top w:val="none" w:sz="0" w:space="0" w:color="auto"/>
                <w:left w:val="none" w:sz="0" w:space="0" w:color="auto"/>
                <w:bottom w:val="none" w:sz="0" w:space="0" w:color="auto"/>
                <w:right w:val="none" w:sz="0" w:space="0" w:color="auto"/>
              </w:divBdr>
            </w:div>
          </w:divsChild>
        </w:div>
        <w:div w:id="1349410165">
          <w:marLeft w:val="0"/>
          <w:marRight w:val="0"/>
          <w:marTop w:val="0"/>
          <w:marBottom w:val="0"/>
          <w:divBdr>
            <w:top w:val="none" w:sz="0" w:space="0" w:color="auto"/>
            <w:left w:val="none" w:sz="0" w:space="0" w:color="auto"/>
            <w:bottom w:val="none" w:sz="0" w:space="0" w:color="auto"/>
            <w:right w:val="none" w:sz="0" w:space="0" w:color="auto"/>
          </w:divBdr>
          <w:divsChild>
            <w:div w:id="251471790">
              <w:marLeft w:val="0"/>
              <w:marRight w:val="0"/>
              <w:marTop w:val="0"/>
              <w:marBottom w:val="0"/>
              <w:divBdr>
                <w:top w:val="none" w:sz="0" w:space="0" w:color="auto"/>
                <w:left w:val="none" w:sz="0" w:space="0" w:color="auto"/>
                <w:bottom w:val="none" w:sz="0" w:space="0" w:color="auto"/>
                <w:right w:val="none" w:sz="0" w:space="0" w:color="auto"/>
              </w:divBdr>
            </w:div>
          </w:divsChild>
        </w:div>
        <w:div w:id="1355961318">
          <w:marLeft w:val="0"/>
          <w:marRight w:val="0"/>
          <w:marTop w:val="0"/>
          <w:marBottom w:val="0"/>
          <w:divBdr>
            <w:top w:val="none" w:sz="0" w:space="0" w:color="auto"/>
            <w:left w:val="none" w:sz="0" w:space="0" w:color="auto"/>
            <w:bottom w:val="none" w:sz="0" w:space="0" w:color="auto"/>
            <w:right w:val="none" w:sz="0" w:space="0" w:color="auto"/>
          </w:divBdr>
          <w:divsChild>
            <w:div w:id="1982534309">
              <w:marLeft w:val="0"/>
              <w:marRight w:val="0"/>
              <w:marTop w:val="0"/>
              <w:marBottom w:val="0"/>
              <w:divBdr>
                <w:top w:val="none" w:sz="0" w:space="0" w:color="auto"/>
                <w:left w:val="none" w:sz="0" w:space="0" w:color="auto"/>
                <w:bottom w:val="none" w:sz="0" w:space="0" w:color="auto"/>
                <w:right w:val="none" w:sz="0" w:space="0" w:color="auto"/>
              </w:divBdr>
            </w:div>
          </w:divsChild>
        </w:div>
        <w:div w:id="1359964533">
          <w:marLeft w:val="0"/>
          <w:marRight w:val="0"/>
          <w:marTop w:val="0"/>
          <w:marBottom w:val="0"/>
          <w:divBdr>
            <w:top w:val="none" w:sz="0" w:space="0" w:color="auto"/>
            <w:left w:val="none" w:sz="0" w:space="0" w:color="auto"/>
            <w:bottom w:val="none" w:sz="0" w:space="0" w:color="auto"/>
            <w:right w:val="none" w:sz="0" w:space="0" w:color="auto"/>
          </w:divBdr>
          <w:divsChild>
            <w:div w:id="792290136">
              <w:marLeft w:val="0"/>
              <w:marRight w:val="0"/>
              <w:marTop w:val="0"/>
              <w:marBottom w:val="0"/>
              <w:divBdr>
                <w:top w:val="none" w:sz="0" w:space="0" w:color="auto"/>
                <w:left w:val="none" w:sz="0" w:space="0" w:color="auto"/>
                <w:bottom w:val="none" w:sz="0" w:space="0" w:color="auto"/>
                <w:right w:val="none" w:sz="0" w:space="0" w:color="auto"/>
              </w:divBdr>
            </w:div>
          </w:divsChild>
        </w:div>
        <w:div w:id="1361930800">
          <w:marLeft w:val="0"/>
          <w:marRight w:val="0"/>
          <w:marTop w:val="0"/>
          <w:marBottom w:val="0"/>
          <w:divBdr>
            <w:top w:val="none" w:sz="0" w:space="0" w:color="auto"/>
            <w:left w:val="none" w:sz="0" w:space="0" w:color="auto"/>
            <w:bottom w:val="none" w:sz="0" w:space="0" w:color="auto"/>
            <w:right w:val="none" w:sz="0" w:space="0" w:color="auto"/>
          </w:divBdr>
          <w:divsChild>
            <w:div w:id="1514144110">
              <w:marLeft w:val="0"/>
              <w:marRight w:val="0"/>
              <w:marTop w:val="0"/>
              <w:marBottom w:val="0"/>
              <w:divBdr>
                <w:top w:val="none" w:sz="0" w:space="0" w:color="auto"/>
                <w:left w:val="none" w:sz="0" w:space="0" w:color="auto"/>
                <w:bottom w:val="none" w:sz="0" w:space="0" w:color="auto"/>
                <w:right w:val="none" w:sz="0" w:space="0" w:color="auto"/>
              </w:divBdr>
            </w:div>
          </w:divsChild>
        </w:div>
        <w:div w:id="1400009983">
          <w:marLeft w:val="0"/>
          <w:marRight w:val="0"/>
          <w:marTop w:val="0"/>
          <w:marBottom w:val="0"/>
          <w:divBdr>
            <w:top w:val="none" w:sz="0" w:space="0" w:color="auto"/>
            <w:left w:val="none" w:sz="0" w:space="0" w:color="auto"/>
            <w:bottom w:val="none" w:sz="0" w:space="0" w:color="auto"/>
            <w:right w:val="none" w:sz="0" w:space="0" w:color="auto"/>
          </w:divBdr>
          <w:divsChild>
            <w:div w:id="323359541">
              <w:marLeft w:val="0"/>
              <w:marRight w:val="0"/>
              <w:marTop w:val="0"/>
              <w:marBottom w:val="0"/>
              <w:divBdr>
                <w:top w:val="none" w:sz="0" w:space="0" w:color="auto"/>
                <w:left w:val="none" w:sz="0" w:space="0" w:color="auto"/>
                <w:bottom w:val="none" w:sz="0" w:space="0" w:color="auto"/>
                <w:right w:val="none" w:sz="0" w:space="0" w:color="auto"/>
              </w:divBdr>
            </w:div>
          </w:divsChild>
        </w:div>
        <w:div w:id="1410083317">
          <w:marLeft w:val="0"/>
          <w:marRight w:val="0"/>
          <w:marTop w:val="0"/>
          <w:marBottom w:val="0"/>
          <w:divBdr>
            <w:top w:val="none" w:sz="0" w:space="0" w:color="auto"/>
            <w:left w:val="none" w:sz="0" w:space="0" w:color="auto"/>
            <w:bottom w:val="none" w:sz="0" w:space="0" w:color="auto"/>
            <w:right w:val="none" w:sz="0" w:space="0" w:color="auto"/>
          </w:divBdr>
          <w:divsChild>
            <w:div w:id="1286816475">
              <w:marLeft w:val="0"/>
              <w:marRight w:val="0"/>
              <w:marTop w:val="0"/>
              <w:marBottom w:val="0"/>
              <w:divBdr>
                <w:top w:val="none" w:sz="0" w:space="0" w:color="auto"/>
                <w:left w:val="none" w:sz="0" w:space="0" w:color="auto"/>
                <w:bottom w:val="none" w:sz="0" w:space="0" w:color="auto"/>
                <w:right w:val="none" w:sz="0" w:space="0" w:color="auto"/>
              </w:divBdr>
            </w:div>
            <w:div w:id="1612282257">
              <w:marLeft w:val="0"/>
              <w:marRight w:val="0"/>
              <w:marTop w:val="0"/>
              <w:marBottom w:val="0"/>
              <w:divBdr>
                <w:top w:val="none" w:sz="0" w:space="0" w:color="auto"/>
                <w:left w:val="none" w:sz="0" w:space="0" w:color="auto"/>
                <w:bottom w:val="none" w:sz="0" w:space="0" w:color="auto"/>
                <w:right w:val="none" w:sz="0" w:space="0" w:color="auto"/>
              </w:divBdr>
            </w:div>
          </w:divsChild>
        </w:div>
        <w:div w:id="1410345123">
          <w:marLeft w:val="0"/>
          <w:marRight w:val="0"/>
          <w:marTop w:val="0"/>
          <w:marBottom w:val="0"/>
          <w:divBdr>
            <w:top w:val="none" w:sz="0" w:space="0" w:color="auto"/>
            <w:left w:val="none" w:sz="0" w:space="0" w:color="auto"/>
            <w:bottom w:val="none" w:sz="0" w:space="0" w:color="auto"/>
            <w:right w:val="none" w:sz="0" w:space="0" w:color="auto"/>
          </w:divBdr>
          <w:divsChild>
            <w:div w:id="163396841">
              <w:marLeft w:val="0"/>
              <w:marRight w:val="0"/>
              <w:marTop w:val="0"/>
              <w:marBottom w:val="0"/>
              <w:divBdr>
                <w:top w:val="none" w:sz="0" w:space="0" w:color="auto"/>
                <w:left w:val="none" w:sz="0" w:space="0" w:color="auto"/>
                <w:bottom w:val="none" w:sz="0" w:space="0" w:color="auto"/>
                <w:right w:val="none" w:sz="0" w:space="0" w:color="auto"/>
              </w:divBdr>
            </w:div>
          </w:divsChild>
        </w:div>
        <w:div w:id="1413771063">
          <w:marLeft w:val="0"/>
          <w:marRight w:val="0"/>
          <w:marTop w:val="0"/>
          <w:marBottom w:val="0"/>
          <w:divBdr>
            <w:top w:val="none" w:sz="0" w:space="0" w:color="auto"/>
            <w:left w:val="none" w:sz="0" w:space="0" w:color="auto"/>
            <w:bottom w:val="none" w:sz="0" w:space="0" w:color="auto"/>
            <w:right w:val="none" w:sz="0" w:space="0" w:color="auto"/>
          </w:divBdr>
          <w:divsChild>
            <w:div w:id="1661077066">
              <w:marLeft w:val="0"/>
              <w:marRight w:val="0"/>
              <w:marTop w:val="0"/>
              <w:marBottom w:val="0"/>
              <w:divBdr>
                <w:top w:val="none" w:sz="0" w:space="0" w:color="auto"/>
                <w:left w:val="none" w:sz="0" w:space="0" w:color="auto"/>
                <w:bottom w:val="none" w:sz="0" w:space="0" w:color="auto"/>
                <w:right w:val="none" w:sz="0" w:space="0" w:color="auto"/>
              </w:divBdr>
            </w:div>
          </w:divsChild>
        </w:div>
        <w:div w:id="1465075272">
          <w:marLeft w:val="0"/>
          <w:marRight w:val="0"/>
          <w:marTop w:val="0"/>
          <w:marBottom w:val="0"/>
          <w:divBdr>
            <w:top w:val="none" w:sz="0" w:space="0" w:color="auto"/>
            <w:left w:val="none" w:sz="0" w:space="0" w:color="auto"/>
            <w:bottom w:val="none" w:sz="0" w:space="0" w:color="auto"/>
            <w:right w:val="none" w:sz="0" w:space="0" w:color="auto"/>
          </w:divBdr>
          <w:divsChild>
            <w:div w:id="811405206">
              <w:marLeft w:val="0"/>
              <w:marRight w:val="0"/>
              <w:marTop w:val="0"/>
              <w:marBottom w:val="0"/>
              <w:divBdr>
                <w:top w:val="none" w:sz="0" w:space="0" w:color="auto"/>
                <w:left w:val="none" w:sz="0" w:space="0" w:color="auto"/>
                <w:bottom w:val="none" w:sz="0" w:space="0" w:color="auto"/>
                <w:right w:val="none" w:sz="0" w:space="0" w:color="auto"/>
              </w:divBdr>
            </w:div>
            <w:div w:id="1880165142">
              <w:marLeft w:val="0"/>
              <w:marRight w:val="0"/>
              <w:marTop w:val="0"/>
              <w:marBottom w:val="0"/>
              <w:divBdr>
                <w:top w:val="none" w:sz="0" w:space="0" w:color="auto"/>
                <w:left w:val="none" w:sz="0" w:space="0" w:color="auto"/>
                <w:bottom w:val="none" w:sz="0" w:space="0" w:color="auto"/>
                <w:right w:val="none" w:sz="0" w:space="0" w:color="auto"/>
              </w:divBdr>
            </w:div>
          </w:divsChild>
        </w:div>
        <w:div w:id="1482233937">
          <w:marLeft w:val="0"/>
          <w:marRight w:val="0"/>
          <w:marTop w:val="0"/>
          <w:marBottom w:val="0"/>
          <w:divBdr>
            <w:top w:val="none" w:sz="0" w:space="0" w:color="auto"/>
            <w:left w:val="none" w:sz="0" w:space="0" w:color="auto"/>
            <w:bottom w:val="none" w:sz="0" w:space="0" w:color="auto"/>
            <w:right w:val="none" w:sz="0" w:space="0" w:color="auto"/>
          </w:divBdr>
          <w:divsChild>
            <w:div w:id="27992699">
              <w:marLeft w:val="0"/>
              <w:marRight w:val="0"/>
              <w:marTop w:val="0"/>
              <w:marBottom w:val="0"/>
              <w:divBdr>
                <w:top w:val="none" w:sz="0" w:space="0" w:color="auto"/>
                <w:left w:val="none" w:sz="0" w:space="0" w:color="auto"/>
                <w:bottom w:val="none" w:sz="0" w:space="0" w:color="auto"/>
                <w:right w:val="none" w:sz="0" w:space="0" w:color="auto"/>
              </w:divBdr>
            </w:div>
          </w:divsChild>
        </w:div>
        <w:div w:id="1494103559">
          <w:marLeft w:val="0"/>
          <w:marRight w:val="0"/>
          <w:marTop w:val="0"/>
          <w:marBottom w:val="0"/>
          <w:divBdr>
            <w:top w:val="none" w:sz="0" w:space="0" w:color="auto"/>
            <w:left w:val="none" w:sz="0" w:space="0" w:color="auto"/>
            <w:bottom w:val="none" w:sz="0" w:space="0" w:color="auto"/>
            <w:right w:val="none" w:sz="0" w:space="0" w:color="auto"/>
          </w:divBdr>
          <w:divsChild>
            <w:div w:id="649679026">
              <w:marLeft w:val="0"/>
              <w:marRight w:val="0"/>
              <w:marTop w:val="0"/>
              <w:marBottom w:val="0"/>
              <w:divBdr>
                <w:top w:val="none" w:sz="0" w:space="0" w:color="auto"/>
                <w:left w:val="none" w:sz="0" w:space="0" w:color="auto"/>
                <w:bottom w:val="none" w:sz="0" w:space="0" w:color="auto"/>
                <w:right w:val="none" w:sz="0" w:space="0" w:color="auto"/>
              </w:divBdr>
            </w:div>
          </w:divsChild>
        </w:div>
        <w:div w:id="1509253965">
          <w:marLeft w:val="0"/>
          <w:marRight w:val="0"/>
          <w:marTop w:val="0"/>
          <w:marBottom w:val="0"/>
          <w:divBdr>
            <w:top w:val="none" w:sz="0" w:space="0" w:color="auto"/>
            <w:left w:val="none" w:sz="0" w:space="0" w:color="auto"/>
            <w:bottom w:val="none" w:sz="0" w:space="0" w:color="auto"/>
            <w:right w:val="none" w:sz="0" w:space="0" w:color="auto"/>
          </w:divBdr>
          <w:divsChild>
            <w:div w:id="909383253">
              <w:marLeft w:val="0"/>
              <w:marRight w:val="0"/>
              <w:marTop w:val="0"/>
              <w:marBottom w:val="0"/>
              <w:divBdr>
                <w:top w:val="none" w:sz="0" w:space="0" w:color="auto"/>
                <w:left w:val="none" w:sz="0" w:space="0" w:color="auto"/>
                <w:bottom w:val="none" w:sz="0" w:space="0" w:color="auto"/>
                <w:right w:val="none" w:sz="0" w:space="0" w:color="auto"/>
              </w:divBdr>
            </w:div>
          </w:divsChild>
        </w:div>
        <w:div w:id="1510174912">
          <w:marLeft w:val="0"/>
          <w:marRight w:val="0"/>
          <w:marTop w:val="0"/>
          <w:marBottom w:val="0"/>
          <w:divBdr>
            <w:top w:val="none" w:sz="0" w:space="0" w:color="auto"/>
            <w:left w:val="none" w:sz="0" w:space="0" w:color="auto"/>
            <w:bottom w:val="none" w:sz="0" w:space="0" w:color="auto"/>
            <w:right w:val="none" w:sz="0" w:space="0" w:color="auto"/>
          </w:divBdr>
          <w:divsChild>
            <w:div w:id="1587614877">
              <w:marLeft w:val="0"/>
              <w:marRight w:val="0"/>
              <w:marTop w:val="0"/>
              <w:marBottom w:val="0"/>
              <w:divBdr>
                <w:top w:val="none" w:sz="0" w:space="0" w:color="auto"/>
                <w:left w:val="none" w:sz="0" w:space="0" w:color="auto"/>
                <w:bottom w:val="none" w:sz="0" w:space="0" w:color="auto"/>
                <w:right w:val="none" w:sz="0" w:space="0" w:color="auto"/>
              </w:divBdr>
            </w:div>
          </w:divsChild>
        </w:div>
        <w:div w:id="1527593071">
          <w:marLeft w:val="0"/>
          <w:marRight w:val="0"/>
          <w:marTop w:val="0"/>
          <w:marBottom w:val="0"/>
          <w:divBdr>
            <w:top w:val="none" w:sz="0" w:space="0" w:color="auto"/>
            <w:left w:val="none" w:sz="0" w:space="0" w:color="auto"/>
            <w:bottom w:val="none" w:sz="0" w:space="0" w:color="auto"/>
            <w:right w:val="none" w:sz="0" w:space="0" w:color="auto"/>
          </w:divBdr>
          <w:divsChild>
            <w:div w:id="1803303649">
              <w:marLeft w:val="0"/>
              <w:marRight w:val="0"/>
              <w:marTop w:val="0"/>
              <w:marBottom w:val="0"/>
              <w:divBdr>
                <w:top w:val="none" w:sz="0" w:space="0" w:color="auto"/>
                <w:left w:val="none" w:sz="0" w:space="0" w:color="auto"/>
                <w:bottom w:val="none" w:sz="0" w:space="0" w:color="auto"/>
                <w:right w:val="none" w:sz="0" w:space="0" w:color="auto"/>
              </w:divBdr>
            </w:div>
          </w:divsChild>
        </w:div>
        <w:div w:id="1537694008">
          <w:marLeft w:val="0"/>
          <w:marRight w:val="0"/>
          <w:marTop w:val="0"/>
          <w:marBottom w:val="0"/>
          <w:divBdr>
            <w:top w:val="none" w:sz="0" w:space="0" w:color="auto"/>
            <w:left w:val="none" w:sz="0" w:space="0" w:color="auto"/>
            <w:bottom w:val="none" w:sz="0" w:space="0" w:color="auto"/>
            <w:right w:val="none" w:sz="0" w:space="0" w:color="auto"/>
          </w:divBdr>
          <w:divsChild>
            <w:div w:id="386733423">
              <w:marLeft w:val="0"/>
              <w:marRight w:val="0"/>
              <w:marTop w:val="0"/>
              <w:marBottom w:val="0"/>
              <w:divBdr>
                <w:top w:val="none" w:sz="0" w:space="0" w:color="auto"/>
                <w:left w:val="none" w:sz="0" w:space="0" w:color="auto"/>
                <w:bottom w:val="none" w:sz="0" w:space="0" w:color="auto"/>
                <w:right w:val="none" w:sz="0" w:space="0" w:color="auto"/>
              </w:divBdr>
            </w:div>
            <w:div w:id="1903561619">
              <w:marLeft w:val="0"/>
              <w:marRight w:val="0"/>
              <w:marTop w:val="0"/>
              <w:marBottom w:val="0"/>
              <w:divBdr>
                <w:top w:val="none" w:sz="0" w:space="0" w:color="auto"/>
                <w:left w:val="none" w:sz="0" w:space="0" w:color="auto"/>
                <w:bottom w:val="none" w:sz="0" w:space="0" w:color="auto"/>
                <w:right w:val="none" w:sz="0" w:space="0" w:color="auto"/>
              </w:divBdr>
            </w:div>
          </w:divsChild>
        </w:div>
        <w:div w:id="1565603398">
          <w:marLeft w:val="0"/>
          <w:marRight w:val="0"/>
          <w:marTop w:val="0"/>
          <w:marBottom w:val="0"/>
          <w:divBdr>
            <w:top w:val="none" w:sz="0" w:space="0" w:color="auto"/>
            <w:left w:val="none" w:sz="0" w:space="0" w:color="auto"/>
            <w:bottom w:val="none" w:sz="0" w:space="0" w:color="auto"/>
            <w:right w:val="none" w:sz="0" w:space="0" w:color="auto"/>
          </w:divBdr>
          <w:divsChild>
            <w:div w:id="1207529282">
              <w:marLeft w:val="0"/>
              <w:marRight w:val="0"/>
              <w:marTop w:val="0"/>
              <w:marBottom w:val="0"/>
              <w:divBdr>
                <w:top w:val="none" w:sz="0" w:space="0" w:color="auto"/>
                <w:left w:val="none" w:sz="0" w:space="0" w:color="auto"/>
                <w:bottom w:val="none" w:sz="0" w:space="0" w:color="auto"/>
                <w:right w:val="none" w:sz="0" w:space="0" w:color="auto"/>
              </w:divBdr>
            </w:div>
          </w:divsChild>
        </w:div>
        <w:div w:id="1570799557">
          <w:marLeft w:val="0"/>
          <w:marRight w:val="0"/>
          <w:marTop w:val="0"/>
          <w:marBottom w:val="0"/>
          <w:divBdr>
            <w:top w:val="none" w:sz="0" w:space="0" w:color="auto"/>
            <w:left w:val="none" w:sz="0" w:space="0" w:color="auto"/>
            <w:bottom w:val="none" w:sz="0" w:space="0" w:color="auto"/>
            <w:right w:val="none" w:sz="0" w:space="0" w:color="auto"/>
          </w:divBdr>
          <w:divsChild>
            <w:div w:id="700983194">
              <w:marLeft w:val="0"/>
              <w:marRight w:val="0"/>
              <w:marTop w:val="0"/>
              <w:marBottom w:val="0"/>
              <w:divBdr>
                <w:top w:val="none" w:sz="0" w:space="0" w:color="auto"/>
                <w:left w:val="none" w:sz="0" w:space="0" w:color="auto"/>
                <w:bottom w:val="none" w:sz="0" w:space="0" w:color="auto"/>
                <w:right w:val="none" w:sz="0" w:space="0" w:color="auto"/>
              </w:divBdr>
            </w:div>
          </w:divsChild>
        </w:div>
        <w:div w:id="1575045838">
          <w:marLeft w:val="0"/>
          <w:marRight w:val="0"/>
          <w:marTop w:val="0"/>
          <w:marBottom w:val="0"/>
          <w:divBdr>
            <w:top w:val="none" w:sz="0" w:space="0" w:color="auto"/>
            <w:left w:val="none" w:sz="0" w:space="0" w:color="auto"/>
            <w:bottom w:val="none" w:sz="0" w:space="0" w:color="auto"/>
            <w:right w:val="none" w:sz="0" w:space="0" w:color="auto"/>
          </w:divBdr>
          <w:divsChild>
            <w:div w:id="1050373957">
              <w:marLeft w:val="0"/>
              <w:marRight w:val="0"/>
              <w:marTop w:val="0"/>
              <w:marBottom w:val="0"/>
              <w:divBdr>
                <w:top w:val="none" w:sz="0" w:space="0" w:color="auto"/>
                <w:left w:val="none" w:sz="0" w:space="0" w:color="auto"/>
                <w:bottom w:val="none" w:sz="0" w:space="0" w:color="auto"/>
                <w:right w:val="none" w:sz="0" w:space="0" w:color="auto"/>
              </w:divBdr>
            </w:div>
          </w:divsChild>
        </w:div>
        <w:div w:id="1576545412">
          <w:marLeft w:val="0"/>
          <w:marRight w:val="0"/>
          <w:marTop w:val="0"/>
          <w:marBottom w:val="0"/>
          <w:divBdr>
            <w:top w:val="none" w:sz="0" w:space="0" w:color="auto"/>
            <w:left w:val="none" w:sz="0" w:space="0" w:color="auto"/>
            <w:bottom w:val="none" w:sz="0" w:space="0" w:color="auto"/>
            <w:right w:val="none" w:sz="0" w:space="0" w:color="auto"/>
          </w:divBdr>
          <w:divsChild>
            <w:div w:id="121116649">
              <w:marLeft w:val="0"/>
              <w:marRight w:val="0"/>
              <w:marTop w:val="0"/>
              <w:marBottom w:val="0"/>
              <w:divBdr>
                <w:top w:val="none" w:sz="0" w:space="0" w:color="auto"/>
                <w:left w:val="none" w:sz="0" w:space="0" w:color="auto"/>
                <w:bottom w:val="none" w:sz="0" w:space="0" w:color="auto"/>
                <w:right w:val="none" w:sz="0" w:space="0" w:color="auto"/>
              </w:divBdr>
            </w:div>
          </w:divsChild>
        </w:div>
        <w:div w:id="1588609615">
          <w:marLeft w:val="0"/>
          <w:marRight w:val="0"/>
          <w:marTop w:val="0"/>
          <w:marBottom w:val="0"/>
          <w:divBdr>
            <w:top w:val="none" w:sz="0" w:space="0" w:color="auto"/>
            <w:left w:val="none" w:sz="0" w:space="0" w:color="auto"/>
            <w:bottom w:val="none" w:sz="0" w:space="0" w:color="auto"/>
            <w:right w:val="none" w:sz="0" w:space="0" w:color="auto"/>
          </w:divBdr>
          <w:divsChild>
            <w:div w:id="613098521">
              <w:marLeft w:val="0"/>
              <w:marRight w:val="0"/>
              <w:marTop w:val="0"/>
              <w:marBottom w:val="0"/>
              <w:divBdr>
                <w:top w:val="none" w:sz="0" w:space="0" w:color="auto"/>
                <w:left w:val="none" w:sz="0" w:space="0" w:color="auto"/>
                <w:bottom w:val="none" w:sz="0" w:space="0" w:color="auto"/>
                <w:right w:val="none" w:sz="0" w:space="0" w:color="auto"/>
              </w:divBdr>
            </w:div>
            <w:div w:id="902788068">
              <w:marLeft w:val="0"/>
              <w:marRight w:val="0"/>
              <w:marTop w:val="0"/>
              <w:marBottom w:val="0"/>
              <w:divBdr>
                <w:top w:val="none" w:sz="0" w:space="0" w:color="auto"/>
                <w:left w:val="none" w:sz="0" w:space="0" w:color="auto"/>
                <w:bottom w:val="none" w:sz="0" w:space="0" w:color="auto"/>
                <w:right w:val="none" w:sz="0" w:space="0" w:color="auto"/>
              </w:divBdr>
            </w:div>
            <w:div w:id="1489711804">
              <w:marLeft w:val="0"/>
              <w:marRight w:val="0"/>
              <w:marTop w:val="0"/>
              <w:marBottom w:val="0"/>
              <w:divBdr>
                <w:top w:val="none" w:sz="0" w:space="0" w:color="auto"/>
                <w:left w:val="none" w:sz="0" w:space="0" w:color="auto"/>
                <w:bottom w:val="none" w:sz="0" w:space="0" w:color="auto"/>
                <w:right w:val="none" w:sz="0" w:space="0" w:color="auto"/>
              </w:divBdr>
            </w:div>
          </w:divsChild>
        </w:div>
        <w:div w:id="1599025496">
          <w:marLeft w:val="0"/>
          <w:marRight w:val="0"/>
          <w:marTop w:val="0"/>
          <w:marBottom w:val="0"/>
          <w:divBdr>
            <w:top w:val="none" w:sz="0" w:space="0" w:color="auto"/>
            <w:left w:val="none" w:sz="0" w:space="0" w:color="auto"/>
            <w:bottom w:val="none" w:sz="0" w:space="0" w:color="auto"/>
            <w:right w:val="none" w:sz="0" w:space="0" w:color="auto"/>
          </w:divBdr>
          <w:divsChild>
            <w:div w:id="1245410825">
              <w:marLeft w:val="0"/>
              <w:marRight w:val="0"/>
              <w:marTop w:val="0"/>
              <w:marBottom w:val="0"/>
              <w:divBdr>
                <w:top w:val="none" w:sz="0" w:space="0" w:color="auto"/>
                <w:left w:val="none" w:sz="0" w:space="0" w:color="auto"/>
                <w:bottom w:val="none" w:sz="0" w:space="0" w:color="auto"/>
                <w:right w:val="none" w:sz="0" w:space="0" w:color="auto"/>
              </w:divBdr>
            </w:div>
          </w:divsChild>
        </w:div>
        <w:div w:id="1599484568">
          <w:marLeft w:val="0"/>
          <w:marRight w:val="0"/>
          <w:marTop w:val="0"/>
          <w:marBottom w:val="0"/>
          <w:divBdr>
            <w:top w:val="none" w:sz="0" w:space="0" w:color="auto"/>
            <w:left w:val="none" w:sz="0" w:space="0" w:color="auto"/>
            <w:bottom w:val="none" w:sz="0" w:space="0" w:color="auto"/>
            <w:right w:val="none" w:sz="0" w:space="0" w:color="auto"/>
          </w:divBdr>
          <w:divsChild>
            <w:div w:id="735713344">
              <w:marLeft w:val="0"/>
              <w:marRight w:val="0"/>
              <w:marTop w:val="0"/>
              <w:marBottom w:val="0"/>
              <w:divBdr>
                <w:top w:val="none" w:sz="0" w:space="0" w:color="auto"/>
                <w:left w:val="none" w:sz="0" w:space="0" w:color="auto"/>
                <w:bottom w:val="none" w:sz="0" w:space="0" w:color="auto"/>
                <w:right w:val="none" w:sz="0" w:space="0" w:color="auto"/>
              </w:divBdr>
            </w:div>
          </w:divsChild>
        </w:div>
        <w:div w:id="1636525370">
          <w:marLeft w:val="0"/>
          <w:marRight w:val="0"/>
          <w:marTop w:val="0"/>
          <w:marBottom w:val="0"/>
          <w:divBdr>
            <w:top w:val="none" w:sz="0" w:space="0" w:color="auto"/>
            <w:left w:val="none" w:sz="0" w:space="0" w:color="auto"/>
            <w:bottom w:val="none" w:sz="0" w:space="0" w:color="auto"/>
            <w:right w:val="none" w:sz="0" w:space="0" w:color="auto"/>
          </w:divBdr>
          <w:divsChild>
            <w:div w:id="1271469834">
              <w:marLeft w:val="0"/>
              <w:marRight w:val="0"/>
              <w:marTop w:val="0"/>
              <w:marBottom w:val="0"/>
              <w:divBdr>
                <w:top w:val="none" w:sz="0" w:space="0" w:color="auto"/>
                <w:left w:val="none" w:sz="0" w:space="0" w:color="auto"/>
                <w:bottom w:val="none" w:sz="0" w:space="0" w:color="auto"/>
                <w:right w:val="none" w:sz="0" w:space="0" w:color="auto"/>
              </w:divBdr>
            </w:div>
          </w:divsChild>
        </w:div>
        <w:div w:id="1651596275">
          <w:marLeft w:val="0"/>
          <w:marRight w:val="0"/>
          <w:marTop w:val="0"/>
          <w:marBottom w:val="0"/>
          <w:divBdr>
            <w:top w:val="none" w:sz="0" w:space="0" w:color="auto"/>
            <w:left w:val="none" w:sz="0" w:space="0" w:color="auto"/>
            <w:bottom w:val="none" w:sz="0" w:space="0" w:color="auto"/>
            <w:right w:val="none" w:sz="0" w:space="0" w:color="auto"/>
          </w:divBdr>
          <w:divsChild>
            <w:div w:id="1319921904">
              <w:marLeft w:val="0"/>
              <w:marRight w:val="0"/>
              <w:marTop w:val="0"/>
              <w:marBottom w:val="0"/>
              <w:divBdr>
                <w:top w:val="none" w:sz="0" w:space="0" w:color="auto"/>
                <w:left w:val="none" w:sz="0" w:space="0" w:color="auto"/>
                <w:bottom w:val="none" w:sz="0" w:space="0" w:color="auto"/>
                <w:right w:val="none" w:sz="0" w:space="0" w:color="auto"/>
              </w:divBdr>
            </w:div>
          </w:divsChild>
        </w:div>
        <w:div w:id="1669022215">
          <w:marLeft w:val="0"/>
          <w:marRight w:val="0"/>
          <w:marTop w:val="0"/>
          <w:marBottom w:val="0"/>
          <w:divBdr>
            <w:top w:val="none" w:sz="0" w:space="0" w:color="auto"/>
            <w:left w:val="none" w:sz="0" w:space="0" w:color="auto"/>
            <w:bottom w:val="none" w:sz="0" w:space="0" w:color="auto"/>
            <w:right w:val="none" w:sz="0" w:space="0" w:color="auto"/>
          </w:divBdr>
          <w:divsChild>
            <w:div w:id="476725508">
              <w:marLeft w:val="0"/>
              <w:marRight w:val="0"/>
              <w:marTop w:val="0"/>
              <w:marBottom w:val="0"/>
              <w:divBdr>
                <w:top w:val="none" w:sz="0" w:space="0" w:color="auto"/>
                <w:left w:val="none" w:sz="0" w:space="0" w:color="auto"/>
                <w:bottom w:val="none" w:sz="0" w:space="0" w:color="auto"/>
                <w:right w:val="none" w:sz="0" w:space="0" w:color="auto"/>
              </w:divBdr>
            </w:div>
          </w:divsChild>
        </w:div>
        <w:div w:id="1683437913">
          <w:marLeft w:val="0"/>
          <w:marRight w:val="0"/>
          <w:marTop w:val="0"/>
          <w:marBottom w:val="0"/>
          <w:divBdr>
            <w:top w:val="none" w:sz="0" w:space="0" w:color="auto"/>
            <w:left w:val="none" w:sz="0" w:space="0" w:color="auto"/>
            <w:bottom w:val="none" w:sz="0" w:space="0" w:color="auto"/>
            <w:right w:val="none" w:sz="0" w:space="0" w:color="auto"/>
          </w:divBdr>
          <w:divsChild>
            <w:div w:id="363752658">
              <w:marLeft w:val="0"/>
              <w:marRight w:val="0"/>
              <w:marTop w:val="0"/>
              <w:marBottom w:val="0"/>
              <w:divBdr>
                <w:top w:val="none" w:sz="0" w:space="0" w:color="auto"/>
                <w:left w:val="none" w:sz="0" w:space="0" w:color="auto"/>
                <w:bottom w:val="none" w:sz="0" w:space="0" w:color="auto"/>
                <w:right w:val="none" w:sz="0" w:space="0" w:color="auto"/>
              </w:divBdr>
            </w:div>
          </w:divsChild>
        </w:div>
        <w:div w:id="1684622955">
          <w:marLeft w:val="0"/>
          <w:marRight w:val="0"/>
          <w:marTop w:val="0"/>
          <w:marBottom w:val="0"/>
          <w:divBdr>
            <w:top w:val="none" w:sz="0" w:space="0" w:color="auto"/>
            <w:left w:val="none" w:sz="0" w:space="0" w:color="auto"/>
            <w:bottom w:val="none" w:sz="0" w:space="0" w:color="auto"/>
            <w:right w:val="none" w:sz="0" w:space="0" w:color="auto"/>
          </w:divBdr>
          <w:divsChild>
            <w:div w:id="998925428">
              <w:marLeft w:val="0"/>
              <w:marRight w:val="0"/>
              <w:marTop w:val="0"/>
              <w:marBottom w:val="0"/>
              <w:divBdr>
                <w:top w:val="none" w:sz="0" w:space="0" w:color="auto"/>
                <w:left w:val="none" w:sz="0" w:space="0" w:color="auto"/>
                <w:bottom w:val="none" w:sz="0" w:space="0" w:color="auto"/>
                <w:right w:val="none" w:sz="0" w:space="0" w:color="auto"/>
              </w:divBdr>
            </w:div>
          </w:divsChild>
        </w:div>
        <w:div w:id="1707559206">
          <w:marLeft w:val="0"/>
          <w:marRight w:val="0"/>
          <w:marTop w:val="0"/>
          <w:marBottom w:val="0"/>
          <w:divBdr>
            <w:top w:val="none" w:sz="0" w:space="0" w:color="auto"/>
            <w:left w:val="none" w:sz="0" w:space="0" w:color="auto"/>
            <w:bottom w:val="none" w:sz="0" w:space="0" w:color="auto"/>
            <w:right w:val="none" w:sz="0" w:space="0" w:color="auto"/>
          </w:divBdr>
          <w:divsChild>
            <w:div w:id="68426546">
              <w:marLeft w:val="0"/>
              <w:marRight w:val="0"/>
              <w:marTop w:val="0"/>
              <w:marBottom w:val="0"/>
              <w:divBdr>
                <w:top w:val="none" w:sz="0" w:space="0" w:color="auto"/>
                <w:left w:val="none" w:sz="0" w:space="0" w:color="auto"/>
                <w:bottom w:val="none" w:sz="0" w:space="0" w:color="auto"/>
                <w:right w:val="none" w:sz="0" w:space="0" w:color="auto"/>
              </w:divBdr>
            </w:div>
          </w:divsChild>
        </w:div>
        <w:div w:id="1720469535">
          <w:marLeft w:val="0"/>
          <w:marRight w:val="0"/>
          <w:marTop w:val="0"/>
          <w:marBottom w:val="0"/>
          <w:divBdr>
            <w:top w:val="none" w:sz="0" w:space="0" w:color="auto"/>
            <w:left w:val="none" w:sz="0" w:space="0" w:color="auto"/>
            <w:bottom w:val="none" w:sz="0" w:space="0" w:color="auto"/>
            <w:right w:val="none" w:sz="0" w:space="0" w:color="auto"/>
          </w:divBdr>
          <w:divsChild>
            <w:div w:id="680200592">
              <w:marLeft w:val="0"/>
              <w:marRight w:val="0"/>
              <w:marTop w:val="0"/>
              <w:marBottom w:val="0"/>
              <w:divBdr>
                <w:top w:val="none" w:sz="0" w:space="0" w:color="auto"/>
                <w:left w:val="none" w:sz="0" w:space="0" w:color="auto"/>
                <w:bottom w:val="none" w:sz="0" w:space="0" w:color="auto"/>
                <w:right w:val="none" w:sz="0" w:space="0" w:color="auto"/>
              </w:divBdr>
            </w:div>
          </w:divsChild>
        </w:div>
        <w:div w:id="1723478381">
          <w:marLeft w:val="0"/>
          <w:marRight w:val="0"/>
          <w:marTop w:val="0"/>
          <w:marBottom w:val="0"/>
          <w:divBdr>
            <w:top w:val="none" w:sz="0" w:space="0" w:color="auto"/>
            <w:left w:val="none" w:sz="0" w:space="0" w:color="auto"/>
            <w:bottom w:val="none" w:sz="0" w:space="0" w:color="auto"/>
            <w:right w:val="none" w:sz="0" w:space="0" w:color="auto"/>
          </w:divBdr>
          <w:divsChild>
            <w:div w:id="390277372">
              <w:marLeft w:val="0"/>
              <w:marRight w:val="0"/>
              <w:marTop w:val="0"/>
              <w:marBottom w:val="0"/>
              <w:divBdr>
                <w:top w:val="none" w:sz="0" w:space="0" w:color="auto"/>
                <w:left w:val="none" w:sz="0" w:space="0" w:color="auto"/>
                <w:bottom w:val="none" w:sz="0" w:space="0" w:color="auto"/>
                <w:right w:val="none" w:sz="0" w:space="0" w:color="auto"/>
              </w:divBdr>
            </w:div>
          </w:divsChild>
        </w:div>
        <w:div w:id="1736051053">
          <w:marLeft w:val="0"/>
          <w:marRight w:val="0"/>
          <w:marTop w:val="0"/>
          <w:marBottom w:val="0"/>
          <w:divBdr>
            <w:top w:val="none" w:sz="0" w:space="0" w:color="auto"/>
            <w:left w:val="none" w:sz="0" w:space="0" w:color="auto"/>
            <w:bottom w:val="none" w:sz="0" w:space="0" w:color="auto"/>
            <w:right w:val="none" w:sz="0" w:space="0" w:color="auto"/>
          </w:divBdr>
          <w:divsChild>
            <w:div w:id="1939174364">
              <w:marLeft w:val="0"/>
              <w:marRight w:val="0"/>
              <w:marTop w:val="0"/>
              <w:marBottom w:val="0"/>
              <w:divBdr>
                <w:top w:val="none" w:sz="0" w:space="0" w:color="auto"/>
                <w:left w:val="none" w:sz="0" w:space="0" w:color="auto"/>
                <w:bottom w:val="none" w:sz="0" w:space="0" w:color="auto"/>
                <w:right w:val="none" w:sz="0" w:space="0" w:color="auto"/>
              </w:divBdr>
            </w:div>
          </w:divsChild>
        </w:div>
        <w:div w:id="1752196157">
          <w:marLeft w:val="0"/>
          <w:marRight w:val="0"/>
          <w:marTop w:val="0"/>
          <w:marBottom w:val="0"/>
          <w:divBdr>
            <w:top w:val="none" w:sz="0" w:space="0" w:color="auto"/>
            <w:left w:val="none" w:sz="0" w:space="0" w:color="auto"/>
            <w:bottom w:val="none" w:sz="0" w:space="0" w:color="auto"/>
            <w:right w:val="none" w:sz="0" w:space="0" w:color="auto"/>
          </w:divBdr>
          <w:divsChild>
            <w:div w:id="2060400496">
              <w:marLeft w:val="0"/>
              <w:marRight w:val="0"/>
              <w:marTop w:val="0"/>
              <w:marBottom w:val="0"/>
              <w:divBdr>
                <w:top w:val="none" w:sz="0" w:space="0" w:color="auto"/>
                <w:left w:val="none" w:sz="0" w:space="0" w:color="auto"/>
                <w:bottom w:val="none" w:sz="0" w:space="0" w:color="auto"/>
                <w:right w:val="none" w:sz="0" w:space="0" w:color="auto"/>
              </w:divBdr>
            </w:div>
          </w:divsChild>
        </w:div>
        <w:div w:id="1760446006">
          <w:marLeft w:val="0"/>
          <w:marRight w:val="0"/>
          <w:marTop w:val="0"/>
          <w:marBottom w:val="0"/>
          <w:divBdr>
            <w:top w:val="none" w:sz="0" w:space="0" w:color="auto"/>
            <w:left w:val="none" w:sz="0" w:space="0" w:color="auto"/>
            <w:bottom w:val="none" w:sz="0" w:space="0" w:color="auto"/>
            <w:right w:val="none" w:sz="0" w:space="0" w:color="auto"/>
          </w:divBdr>
          <w:divsChild>
            <w:div w:id="455948274">
              <w:marLeft w:val="0"/>
              <w:marRight w:val="0"/>
              <w:marTop w:val="0"/>
              <w:marBottom w:val="0"/>
              <w:divBdr>
                <w:top w:val="none" w:sz="0" w:space="0" w:color="auto"/>
                <w:left w:val="none" w:sz="0" w:space="0" w:color="auto"/>
                <w:bottom w:val="none" w:sz="0" w:space="0" w:color="auto"/>
                <w:right w:val="none" w:sz="0" w:space="0" w:color="auto"/>
              </w:divBdr>
            </w:div>
          </w:divsChild>
        </w:div>
        <w:div w:id="1783258851">
          <w:marLeft w:val="0"/>
          <w:marRight w:val="0"/>
          <w:marTop w:val="0"/>
          <w:marBottom w:val="0"/>
          <w:divBdr>
            <w:top w:val="none" w:sz="0" w:space="0" w:color="auto"/>
            <w:left w:val="none" w:sz="0" w:space="0" w:color="auto"/>
            <w:bottom w:val="none" w:sz="0" w:space="0" w:color="auto"/>
            <w:right w:val="none" w:sz="0" w:space="0" w:color="auto"/>
          </w:divBdr>
          <w:divsChild>
            <w:div w:id="1581787318">
              <w:marLeft w:val="0"/>
              <w:marRight w:val="0"/>
              <w:marTop w:val="0"/>
              <w:marBottom w:val="0"/>
              <w:divBdr>
                <w:top w:val="none" w:sz="0" w:space="0" w:color="auto"/>
                <w:left w:val="none" w:sz="0" w:space="0" w:color="auto"/>
                <w:bottom w:val="none" w:sz="0" w:space="0" w:color="auto"/>
                <w:right w:val="none" w:sz="0" w:space="0" w:color="auto"/>
              </w:divBdr>
            </w:div>
          </w:divsChild>
        </w:div>
        <w:div w:id="1829444340">
          <w:marLeft w:val="0"/>
          <w:marRight w:val="0"/>
          <w:marTop w:val="0"/>
          <w:marBottom w:val="0"/>
          <w:divBdr>
            <w:top w:val="none" w:sz="0" w:space="0" w:color="auto"/>
            <w:left w:val="none" w:sz="0" w:space="0" w:color="auto"/>
            <w:bottom w:val="none" w:sz="0" w:space="0" w:color="auto"/>
            <w:right w:val="none" w:sz="0" w:space="0" w:color="auto"/>
          </w:divBdr>
          <w:divsChild>
            <w:div w:id="2141259189">
              <w:marLeft w:val="0"/>
              <w:marRight w:val="0"/>
              <w:marTop w:val="0"/>
              <w:marBottom w:val="0"/>
              <w:divBdr>
                <w:top w:val="none" w:sz="0" w:space="0" w:color="auto"/>
                <w:left w:val="none" w:sz="0" w:space="0" w:color="auto"/>
                <w:bottom w:val="none" w:sz="0" w:space="0" w:color="auto"/>
                <w:right w:val="none" w:sz="0" w:space="0" w:color="auto"/>
              </w:divBdr>
            </w:div>
          </w:divsChild>
        </w:div>
        <w:div w:id="1833712726">
          <w:marLeft w:val="0"/>
          <w:marRight w:val="0"/>
          <w:marTop w:val="0"/>
          <w:marBottom w:val="0"/>
          <w:divBdr>
            <w:top w:val="none" w:sz="0" w:space="0" w:color="auto"/>
            <w:left w:val="none" w:sz="0" w:space="0" w:color="auto"/>
            <w:bottom w:val="none" w:sz="0" w:space="0" w:color="auto"/>
            <w:right w:val="none" w:sz="0" w:space="0" w:color="auto"/>
          </w:divBdr>
          <w:divsChild>
            <w:div w:id="1201357755">
              <w:marLeft w:val="0"/>
              <w:marRight w:val="0"/>
              <w:marTop w:val="0"/>
              <w:marBottom w:val="0"/>
              <w:divBdr>
                <w:top w:val="none" w:sz="0" w:space="0" w:color="auto"/>
                <w:left w:val="none" w:sz="0" w:space="0" w:color="auto"/>
                <w:bottom w:val="none" w:sz="0" w:space="0" w:color="auto"/>
                <w:right w:val="none" w:sz="0" w:space="0" w:color="auto"/>
              </w:divBdr>
            </w:div>
          </w:divsChild>
        </w:div>
        <w:div w:id="1839609182">
          <w:marLeft w:val="0"/>
          <w:marRight w:val="0"/>
          <w:marTop w:val="0"/>
          <w:marBottom w:val="0"/>
          <w:divBdr>
            <w:top w:val="none" w:sz="0" w:space="0" w:color="auto"/>
            <w:left w:val="none" w:sz="0" w:space="0" w:color="auto"/>
            <w:bottom w:val="none" w:sz="0" w:space="0" w:color="auto"/>
            <w:right w:val="none" w:sz="0" w:space="0" w:color="auto"/>
          </w:divBdr>
          <w:divsChild>
            <w:div w:id="1215772875">
              <w:marLeft w:val="0"/>
              <w:marRight w:val="0"/>
              <w:marTop w:val="0"/>
              <w:marBottom w:val="0"/>
              <w:divBdr>
                <w:top w:val="none" w:sz="0" w:space="0" w:color="auto"/>
                <w:left w:val="none" w:sz="0" w:space="0" w:color="auto"/>
                <w:bottom w:val="none" w:sz="0" w:space="0" w:color="auto"/>
                <w:right w:val="none" w:sz="0" w:space="0" w:color="auto"/>
              </w:divBdr>
            </w:div>
          </w:divsChild>
        </w:div>
        <w:div w:id="1860579093">
          <w:marLeft w:val="0"/>
          <w:marRight w:val="0"/>
          <w:marTop w:val="0"/>
          <w:marBottom w:val="0"/>
          <w:divBdr>
            <w:top w:val="none" w:sz="0" w:space="0" w:color="auto"/>
            <w:left w:val="none" w:sz="0" w:space="0" w:color="auto"/>
            <w:bottom w:val="none" w:sz="0" w:space="0" w:color="auto"/>
            <w:right w:val="none" w:sz="0" w:space="0" w:color="auto"/>
          </w:divBdr>
          <w:divsChild>
            <w:div w:id="512720541">
              <w:marLeft w:val="0"/>
              <w:marRight w:val="0"/>
              <w:marTop w:val="0"/>
              <w:marBottom w:val="0"/>
              <w:divBdr>
                <w:top w:val="none" w:sz="0" w:space="0" w:color="auto"/>
                <w:left w:val="none" w:sz="0" w:space="0" w:color="auto"/>
                <w:bottom w:val="none" w:sz="0" w:space="0" w:color="auto"/>
                <w:right w:val="none" w:sz="0" w:space="0" w:color="auto"/>
              </w:divBdr>
            </w:div>
          </w:divsChild>
        </w:div>
        <w:div w:id="1888107088">
          <w:marLeft w:val="0"/>
          <w:marRight w:val="0"/>
          <w:marTop w:val="0"/>
          <w:marBottom w:val="0"/>
          <w:divBdr>
            <w:top w:val="none" w:sz="0" w:space="0" w:color="auto"/>
            <w:left w:val="none" w:sz="0" w:space="0" w:color="auto"/>
            <w:bottom w:val="none" w:sz="0" w:space="0" w:color="auto"/>
            <w:right w:val="none" w:sz="0" w:space="0" w:color="auto"/>
          </w:divBdr>
          <w:divsChild>
            <w:div w:id="1730108792">
              <w:marLeft w:val="0"/>
              <w:marRight w:val="0"/>
              <w:marTop w:val="0"/>
              <w:marBottom w:val="0"/>
              <w:divBdr>
                <w:top w:val="none" w:sz="0" w:space="0" w:color="auto"/>
                <w:left w:val="none" w:sz="0" w:space="0" w:color="auto"/>
                <w:bottom w:val="none" w:sz="0" w:space="0" w:color="auto"/>
                <w:right w:val="none" w:sz="0" w:space="0" w:color="auto"/>
              </w:divBdr>
            </w:div>
          </w:divsChild>
        </w:div>
        <w:div w:id="1907180020">
          <w:marLeft w:val="0"/>
          <w:marRight w:val="0"/>
          <w:marTop w:val="0"/>
          <w:marBottom w:val="0"/>
          <w:divBdr>
            <w:top w:val="none" w:sz="0" w:space="0" w:color="auto"/>
            <w:left w:val="none" w:sz="0" w:space="0" w:color="auto"/>
            <w:bottom w:val="none" w:sz="0" w:space="0" w:color="auto"/>
            <w:right w:val="none" w:sz="0" w:space="0" w:color="auto"/>
          </w:divBdr>
          <w:divsChild>
            <w:div w:id="1325084511">
              <w:marLeft w:val="0"/>
              <w:marRight w:val="0"/>
              <w:marTop w:val="0"/>
              <w:marBottom w:val="0"/>
              <w:divBdr>
                <w:top w:val="none" w:sz="0" w:space="0" w:color="auto"/>
                <w:left w:val="none" w:sz="0" w:space="0" w:color="auto"/>
                <w:bottom w:val="none" w:sz="0" w:space="0" w:color="auto"/>
                <w:right w:val="none" w:sz="0" w:space="0" w:color="auto"/>
              </w:divBdr>
            </w:div>
          </w:divsChild>
        </w:div>
        <w:div w:id="1914243525">
          <w:marLeft w:val="0"/>
          <w:marRight w:val="0"/>
          <w:marTop w:val="0"/>
          <w:marBottom w:val="0"/>
          <w:divBdr>
            <w:top w:val="none" w:sz="0" w:space="0" w:color="auto"/>
            <w:left w:val="none" w:sz="0" w:space="0" w:color="auto"/>
            <w:bottom w:val="none" w:sz="0" w:space="0" w:color="auto"/>
            <w:right w:val="none" w:sz="0" w:space="0" w:color="auto"/>
          </w:divBdr>
          <w:divsChild>
            <w:div w:id="1484465381">
              <w:marLeft w:val="0"/>
              <w:marRight w:val="0"/>
              <w:marTop w:val="0"/>
              <w:marBottom w:val="0"/>
              <w:divBdr>
                <w:top w:val="none" w:sz="0" w:space="0" w:color="auto"/>
                <w:left w:val="none" w:sz="0" w:space="0" w:color="auto"/>
                <w:bottom w:val="none" w:sz="0" w:space="0" w:color="auto"/>
                <w:right w:val="none" w:sz="0" w:space="0" w:color="auto"/>
              </w:divBdr>
            </w:div>
          </w:divsChild>
        </w:div>
        <w:div w:id="1923875822">
          <w:marLeft w:val="0"/>
          <w:marRight w:val="0"/>
          <w:marTop w:val="0"/>
          <w:marBottom w:val="0"/>
          <w:divBdr>
            <w:top w:val="none" w:sz="0" w:space="0" w:color="auto"/>
            <w:left w:val="none" w:sz="0" w:space="0" w:color="auto"/>
            <w:bottom w:val="none" w:sz="0" w:space="0" w:color="auto"/>
            <w:right w:val="none" w:sz="0" w:space="0" w:color="auto"/>
          </w:divBdr>
          <w:divsChild>
            <w:div w:id="1816408134">
              <w:marLeft w:val="0"/>
              <w:marRight w:val="0"/>
              <w:marTop w:val="0"/>
              <w:marBottom w:val="0"/>
              <w:divBdr>
                <w:top w:val="none" w:sz="0" w:space="0" w:color="auto"/>
                <w:left w:val="none" w:sz="0" w:space="0" w:color="auto"/>
                <w:bottom w:val="none" w:sz="0" w:space="0" w:color="auto"/>
                <w:right w:val="none" w:sz="0" w:space="0" w:color="auto"/>
              </w:divBdr>
            </w:div>
          </w:divsChild>
        </w:div>
        <w:div w:id="1928414769">
          <w:marLeft w:val="0"/>
          <w:marRight w:val="0"/>
          <w:marTop w:val="0"/>
          <w:marBottom w:val="0"/>
          <w:divBdr>
            <w:top w:val="none" w:sz="0" w:space="0" w:color="auto"/>
            <w:left w:val="none" w:sz="0" w:space="0" w:color="auto"/>
            <w:bottom w:val="none" w:sz="0" w:space="0" w:color="auto"/>
            <w:right w:val="none" w:sz="0" w:space="0" w:color="auto"/>
          </w:divBdr>
          <w:divsChild>
            <w:div w:id="4333019">
              <w:marLeft w:val="0"/>
              <w:marRight w:val="0"/>
              <w:marTop w:val="0"/>
              <w:marBottom w:val="0"/>
              <w:divBdr>
                <w:top w:val="none" w:sz="0" w:space="0" w:color="auto"/>
                <w:left w:val="none" w:sz="0" w:space="0" w:color="auto"/>
                <w:bottom w:val="none" w:sz="0" w:space="0" w:color="auto"/>
                <w:right w:val="none" w:sz="0" w:space="0" w:color="auto"/>
              </w:divBdr>
            </w:div>
          </w:divsChild>
        </w:div>
        <w:div w:id="1938100923">
          <w:marLeft w:val="0"/>
          <w:marRight w:val="0"/>
          <w:marTop w:val="0"/>
          <w:marBottom w:val="0"/>
          <w:divBdr>
            <w:top w:val="none" w:sz="0" w:space="0" w:color="auto"/>
            <w:left w:val="none" w:sz="0" w:space="0" w:color="auto"/>
            <w:bottom w:val="none" w:sz="0" w:space="0" w:color="auto"/>
            <w:right w:val="none" w:sz="0" w:space="0" w:color="auto"/>
          </w:divBdr>
          <w:divsChild>
            <w:div w:id="889153800">
              <w:marLeft w:val="0"/>
              <w:marRight w:val="0"/>
              <w:marTop w:val="0"/>
              <w:marBottom w:val="0"/>
              <w:divBdr>
                <w:top w:val="none" w:sz="0" w:space="0" w:color="auto"/>
                <w:left w:val="none" w:sz="0" w:space="0" w:color="auto"/>
                <w:bottom w:val="none" w:sz="0" w:space="0" w:color="auto"/>
                <w:right w:val="none" w:sz="0" w:space="0" w:color="auto"/>
              </w:divBdr>
            </w:div>
          </w:divsChild>
        </w:div>
        <w:div w:id="1953658741">
          <w:marLeft w:val="0"/>
          <w:marRight w:val="0"/>
          <w:marTop w:val="0"/>
          <w:marBottom w:val="0"/>
          <w:divBdr>
            <w:top w:val="none" w:sz="0" w:space="0" w:color="auto"/>
            <w:left w:val="none" w:sz="0" w:space="0" w:color="auto"/>
            <w:bottom w:val="none" w:sz="0" w:space="0" w:color="auto"/>
            <w:right w:val="none" w:sz="0" w:space="0" w:color="auto"/>
          </w:divBdr>
          <w:divsChild>
            <w:div w:id="158663937">
              <w:marLeft w:val="0"/>
              <w:marRight w:val="0"/>
              <w:marTop w:val="0"/>
              <w:marBottom w:val="0"/>
              <w:divBdr>
                <w:top w:val="none" w:sz="0" w:space="0" w:color="auto"/>
                <w:left w:val="none" w:sz="0" w:space="0" w:color="auto"/>
                <w:bottom w:val="none" w:sz="0" w:space="0" w:color="auto"/>
                <w:right w:val="none" w:sz="0" w:space="0" w:color="auto"/>
              </w:divBdr>
            </w:div>
          </w:divsChild>
        </w:div>
        <w:div w:id="1961109836">
          <w:marLeft w:val="0"/>
          <w:marRight w:val="0"/>
          <w:marTop w:val="0"/>
          <w:marBottom w:val="0"/>
          <w:divBdr>
            <w:top w:val="none" w:sz="0" w:space="0" w:color="auto"/>
            <w:left w:val="none" w:sz="0" w:space="0" w:color="auto"/>
            <w:bottom w:val="none" w:sz="0" w:space="0" w:color="auto"/>
            <w:right w:val="none" w:sz="0" w:space="0" w:color="auto"/>
          </w:divBdr>
          <w:divsChild>
            <w:div w:id="1523472109">
              <w:marLeft w:val="0"/>
              <w:marRight w:val="0"/>
              <w:marTop w:val="0"/>
              <w:marBottom w:val="0"/>
              <w:divBdr>
                <w:top w:val="none" w:sz="0" w:space="0" w:color="auto"/>
                <w:left w:val="none" w:sz="0" w:space="0" w:color="auto"/>
                <w:bottom w:val="none" w:sz="0" w:space="0" w:color="auto"/>
                <w:right w:val="none" w:sz="0" w:space="0" w:color="auto"/>
              </w:divBdr>
            </w:div>
          </w:divsChild>
        </w:div>
        <w:div w:id="1981837359">
          <w:marLeft w:val="0"/>
          <w:marRight w:val="0"/>
          <w:marTop w:val="0"/>
          <w:marBottom w:val="0"/>
          <w:divBdr>
            <w:top w:val="none" w:sz="0" w:space="0" w:color="auto"/>
            <w:left w:val="none" w:sz="0" w:space="0" w:color="auto"/>
            <w:bottom w:val="none" w:sz="0" w:space="0" w:color="auto"/>
            <w:right w:val="none" w:sz="0" w:space="0" w:color="auto"/>
          </w:divBdr>
          <w:divsChild>
            <w:div w:id="761410547">
              <w:marLeft w:val="0"/>
              <w:marRight w:val="0"/>
              <w:marTop w:val="0"/>
              <w:marBottom w:val="0"/>
              <w:divBdr>
                <w:top w:val="none" w:sz="0" w:space="0" w:color="auto"/>
                <w:left w:val="none" w:sz="0" w:space="0" w:color="auto"/>
                <w:bottom w:val="none" w:sz="0" w:space="0" w:color="auto"/>
                <w:right w:val="none" w:sz="0" w:space="0" w:color="auto"/>
              </w:divBdr>
            </w:div>
            <w:div w:id="1101414679">
              <w:marLeft w:val="0"/>
              <w:marRight w:val="0"/>
              <w:marTop w:val="0"/>
              <w:marBottom w:val="0"/>
              <w:divBdr>
                <w:top w:val="none" w:sz="0" w:space="0" w:color="auto"/>
                <w:left w:val="none" w:sz="0" w:space="0" w:color="auto"/>
                <w:bottom w:val="none" w:sz="0" w:space="0" w:color="auto"/>
                <w:right w:val="none" w:sz="0" w:space="0" w:color="auto"/>
              </w:divBdr>
            </w:div>
            <w:div w:id="1321227459">
              <w:marLeft w:val="0"/>
              <w:marRight w:val="0"/>
              <w:marTop w:val="0"/>
              <w:marBottom w:val="0"/>
              <w:divBdr>
                <w:top w:val="none" w:sz="0" w:space="0" w:color="auto"/>
                <w:left w:val="none" w:sz="0" w:space="0" w:color="auto"/>
                <w:bottom w:val="none" w:sz="0" w:space="0" w:color="auto"/>
                <w:right w:val="none" w:sz="0" w:space="0" w:color="auto"/>
              </w:divBdr>
            </w:div>
            <w:div w:id="1455831766">
              <w:marLeft w:val="0"/>
              <w:marRight w:val="0"/>
              <w:marTop w:val="0"/>
              <w:marBottom w:val="0"/>
              <w:divBdr>
                <w:top w:val="none" w:sz="0" w:space="0" w:color="auto"/>
                <w:left w:val="none" w:sz="0" w:space="0" w:color="auto"/>
                <w:bottom w:val="none" w:sz="0" w:space="0" w:color="auto"/>
                <w:right w:val="none" w:sz="0" w:space="0" w:color="auto"/>
              </w:divBdr>
            </w:div>
          </w:divsChild>
        </w:div>
        <w:div w:id="1983388582">
          <w:marLeft w:val="0"/>
          <w:marRight w:val="0"/>
          <w:marTop w:val="0"/>
          <w:marBottom w:val="0"/>
          <w:divBdr>
            <w:top w:val="none" w:sz="0" w:space="0" w:color="auto"/>
            <w:left w:val="none" w:sz="0" w:space="0" w:color="auto"/>
            <w:bottom w:val="none" w:sz="0" w:space="0" w:color="auto"/>
            <w:right w:val="none" w:sz="0" w:space="0" w:color="auto"/>
          </w:divBdr>
          <w:divsChild>
            <w:div w:id="1406952281">
              <w:marLeft w:val="0"/>
              <w:marRight w:val="0"/>
              <w:marTop w:val="0"/>
              <w:marBottom w:val="0"/>
              <w:divBdr>
                <w:top w:val="none" w:sz="0" w:space="0" w:color="auto"/>
                <w:left w:val="none" w:sz="0" w:space="0" w:color="auto"/>
                <w:bottom w:val="none" w:sz="0" w:space="0" w:color="auto"/>
                <w:right w:val="none" w:sz="0" w:space="0" w:color="auto"/>
              </w:divBdr>
            </w:div>
          </w:divsChild>
        </w:div>
        <w:div w:id="1987321214">
          <w:marLeft w:val="0"/>
          <w:marRight w:val="0"/>
          <w:marTop w:val="0"/>
          <w:marBottom w:val="0"/>
          <w:divBdr>
            <w:top w:val="none" w:sz="0" w:space="0" w:color="auto"/>
            <w:left w:val="none" w:sz="0" w:space="0" w:color="auto"/>
            <w:bottom w:val="none" w:sz="0" w:space="0" w:color="auto"/>
            <w:right w:val="none" w:sz="0" w:space="0" w:color="auto"/>
          </w:divBdr>
          <w:divsChild>
            <w:div w:id="1050112591">
              <w:marLeft w:val="0"/>
              <w:marRight w:val="0"/>
              <w:marTop w:val="0"/>
              <w:marBottom w:val="0"/>
              <w:divBdr>
                <w:top w:val="none" w:sz="0" w:space="0" w:color="auto"/>
                <w:left w:val="none" w:sz="0" w:space="0" w:color="auto"/>
                <w:bottom w:val="none" w:sz="0" w:space="0" w:color="auto"/>
                <w:right w:val="none" w:sz="0" w:space="0" w:color="auto"/>
              </w:divBdr>
            </w:div>
          </w:divsChild>
        </w:div>
        <w:div w:id="2002587395">
          <w:marLeft w:val="0"/>
          <w:marRight w:val="0"/>
          <w:marTop w:val="0"/>
          <w:marBottom w:val="0"/>
          <w:divBdr>
            <w:top w:val="none" w:sz="0" w:space="0" w:color="auto"/>
            <w:left w:val="none" w:sz="0" w:space="0" w:color="auto"/>
            <w:bottom w:val="none" w:sz="0" w:space="0" w:color="auto"/>
            <w:right w:val="none" w:sz="0" w:space="0" w:color="auto"/>
          </w:divBdr>
          <w:divsChild>
            <w:div w:id="611938178">
              <w:marLeft w:val="0"/>
              <w:marRight w:val="0"/>
              <w:marTop w:val="0"/>
              <w:marBottom w:val="0"/>
              <w:divBdr>
                <w:top w:val="none" w:sz="0" w:space="0" w:color="auto"/>
                <w:left w:val="none" w:sz="0" w:space="0" w:color="auto"/>
                <w:bottom w:val="none" w:sz="0" w:space="0" w:color="auto"/>
                <w:right w:val="none" w:sz="0" w:space="0" w:color="auto"/>
              </w:divBdr>
            </w:div>
          </w:divsChild>
        </w:div>
        <w:div w:id="2019116809">
          <w:marLeft w:val="0"/>
          <w:marRight w:val="0"/>
          <w:marTop w:val="0"/>
          <w:marBottom w:val="0"/>
          <w:divBdr>
            <w:top w:val="none" w:sz="0" w:space="0" w:color="auto"/>
            <w:left w:val="none" w:sz="0" w:space="0" w:color="auto"/>
            <w:bottom w:val="none" w:sz="0" w:space="0" w:color="auto"/>
            <w:right w:val="none" w:sz="0" w:space="0" w:color="auto"/>
          </w:divBdr>
          <w:divsChild>
            <w:div w:id="1460536370">
              <w:marLeft w:val="0"/>
              <w:marRight w:val="0"/>
              <w:marTop w:val="0"/>
              <w:marBottom w:val="0"/>
              <w:divBdr>
                <w:top w:val="none" w:sz="0" w:space="0" w:color="auto"/>
                <w:left w:val="none" w:sz="0" w:space="0" w:color="auto"/>
                <w:bottom w:val="none" w:sz="0" w:space="0" w:color="auto"/>
                <w:right w:val="none" w:sz="0" w:space="0" w:color="auto"/>
              </w:divBdr>
            </w:div>
          </w:divsChild>
        </w:div>
        <w:div w:id="2055501908">
          <w:marLeft w:val="0"/>
          <w:marRight w:val="0"/>
          <w:marTop w:val="0"/>
          <w:marBottom w:val="0"/>
          <w:divBdr>
            <w:top w:val="none" w:sz="0" w:space="0" w:color="auto"/>
            <w:left w:val="none" w:sz="0" w:space="0" w:color="auto"/>
            <w:bottom w:val="none" w:sz="0" w:space="0" w:color="auto"/>
            <w:right w:val="none" w:sz="0" w:space="0" w:color="auto"/>
          </w:divBdr>
          <w:divsChild>
            <w:div w:id="629016613">
              <w:marLeft w:val="0"/>
              <w:marRight w:val="0"/>
              <w:marTop w:val="0"/>
              <w:marBottom w:val="0"/>
              <w:divBdr>
                <w:top w:val="none" w:sz="0" w:space="0" w:color="auto"/>
                <w:left w:val="none" w:sz="0" w:space="0" w:color="auto"/>
                <w:bottom w:val="none" w:sz="0" w:space="0" w:color="auto"/>
                <w:right w:val="none" w:sz="0" w:space="0" w:color="auto"/>
              </w:divBdr>
            </w:div>
          </w:divsChild>
        </w:div>
        <w:div w:id="2055886372">
          <w:marLeft w:val="0"/>
          <w:marRight w:val="0"/>
          <w:marTop w:val="0"/>
          <w:marBottom w:val="0"/>
          <w:divBdr>
            <w:top w:val="none" w:sz="0" w:space="0" w:color="auto"/>
            <w:left w:val="none" w:sz="0" w:space="0" w:color="auto"/>
            <w:bottom w:val="none" w:sz="0" w:space="0" w:color="auto"/>
            <w:right w:val="none" w:sz="0" w:space="0" w:color="auto"/>
          </w:divBdr>
          <w:divsChild>
            <w:div w:id="1434664651">
              <w:marLeft w:val="0"/>
              <w:marRight w:val="0"/>
              <w:marTop w:val="0"/>
              <w:marBottom w:val="0"/>
              <w:divBdr>
                <w:top w:val="none" w:sz="0" w:space="0" w:color="auto"/>
                <w:left w:val="none" w:sz="0" w:space="0" w:color="auto"/>
                <w:bottom w:val="none" w:sz="0" w:space="0" w:color="auto"/>
                <w:right w:val="none" w:sz="0" w:space="0" w:color="auto"/>
              </w:divBdr>
            </w:div>
            <w:div w:id="1827359948">
              <w:marLeft w:val="0"/>
              <w:marRight w:val="0"/>
              <w:marTop w:val="0"/>
              <w:marBottom w:val="0"/>
              <w:divBdr>
                <w:top w:val="none" w:sz="0" w:space="0" w:color="auto"/>
                <w:left w:val="none" w:sz="0" w:space="0" w:color="auto"/>
                <w:bottom w:val="none" w:sz="0" w:space="0" w:color="auto"/>
                <w:right w:val="none" w:sz="0" w:space="0" w:color="auto"/>
              </w:divBdr>
            </w:div>
          </w:divsChild>
        </w:div>
        <w:div w:id="2068602509">
          <w:marLeft w:val="0"/>
          <w:marRight w:val="0"/>
          <w:marTop w:val="0"/>
          <w:marBottom w:val="0"/>
          <w:divBdr>
            <w:top w:val="none" w:sz="0" w:space="0" w:color="auto"/>
            <w:left w:val="none" w:sz="0" w:space="0" w:color="auto"/>
            <w:bottom w:val="none" w:sz="0" w:space="0" w:color="auto"/>
            <w:right w:val="none" w:sz="0" w:space="0" w:color="auto"/>
          </w:divBdr>
          <w:divsChild>
            <w:div w:id="1123424721">
              <w:marLeft w:val="0"/>
              <w:marRight w:val="0"/>
              <w:marTop w:val="0"/>
              <w:marBottom w:val="0"/>
              <w:divBdr>
                <w:top w:val="none" w:sz="0" w:space="0" w:color="auto"/>
                <w:left w:val="none" w:sz="0" w:space="0" w:color="auto"/>
                <w:bottom w:val="none" w:sz="0" w:space="0" w:color="auto"/>
                <w:right w:val="none" w:sz="0" w:space="0" w:color="auto"/>
              </w:divBdr>
            </w:div>
          </w:divsChild>
        </w:div>
        <w:div w:id="2069719405">
          <w:marLeft w:val="0"/>
          <w:marRight w:val="0"/>
          <w:marTop w:val="0"/>
          <w:marBottom w:val="0"/>
          <w:divBdr>
            <w:top w:val="none" w:sz="0" w:space="0" w:color="auto"/>
            <w:left w:val="none" w:sz="0" w:space="0" w:color="auto"/>
            <w:bottom w:val="none" w:sz="0" w:space="0" w:color="auto"/>
            <w:right w:val="none" w:sz="0" w:space="0" w:color="auto"/>
          </w:divBdr>
          <w:divsChild>
            <w:div w:id="415513544">
              <w:marLeft w:val="0"/>
              <w:marRight w:val="0"/>
              <w:marTop w:val="0"/>
              <w:marBottom w:val="0"/>
              <w:divBdr>
                <w:top w:val="none" w:sz="0" w:space="0" w:color="auto"/>
                <w:left w:val="none" w:sz="0" w:space="0" w:color="auto"/>
                <w:bottom w:val="none" w:sz="0" w:space="0" w:color="auto"/>
                <w:right w:val="none" w:sz="0" w:space="0" w:color="auto"/>
              </w:divBdr>
            </w:div>
          </w:divsChild>
        </w:div>
        <w:div w:id="2074769751">
          <w:marLeft w:val="0"/>
          <w:marRight w:val="0"/>
          <w:marTop w:val="0"/>
          <w:marBottom w:val="0"/>
          <w:divBdr>
            <w:top w:val="none" w:sz="0" w:space="0" w:color="auto"/>
            <w:left w:val="none" w:sz="0" w:space="0" w:color="auto"/>
            <w:bottom w:val="none" w:sz="0" w:space="0" w:color="auto"/>
            <w:right w:val="none" w:sz="0" w:space="0" w:color="auto"/>
          </w:divBdr>
          <w:divsChild>
            <w:div w:id="1428187467">
              <w:marLeft w:val="0"/>
              <w:marRight w:val="0"/>
              <w:marTop w:val="0"/>
              <w:marBottom w:val="0"/>
              <w:divBdr>
                <w:top w:val="none" w:sz="0" w:space="0" w:color="auto"/>
                <w:left w:val="none" w:sz="0" w:space="0" w:color="auto"/>
                <w:bottom w:val="none" w:sz="0" w:space="0" w:color="auto"/>
                <w:right w:val="none" w:sz="0" w:space="0" w:color="auto"/>
              </w:divBdr>
            </w:div>
          </w:divsChild>
        </w:div>
        <w:div w:id="2080593903">
          <w:marLeft w:val="0"/>
          <w:marRight w:val="0"/>
          <w:marTop w:val="0"/>
          <w:marBottom w:val="0"/>
          <w:divBdr>
            <w:top w:val="none" w:sz="0" w:space="0" w:color="auto"/>
            <w:left w:val="none" w:sz="0" w:space="0" w:color="auto"/>
            <w:bottom w:val="none" w:sz="0" w:space="0" w:color="auto"/>
            <w:right w:val="none" w:sz="0" w:space="0" w:color="auto"/>
          </w:divBdr>
          <w:divsChild>
            <w:div w:id="807019349">
              <w:marLeft w:val="0"/>
              <w:marRight w:val="0"/>
              <w:marTop w:val="0"/>
              <w:marBottom w:val="0"/>
              <w:divBdr>
                <w:top w:val="none" w:sz="0" w:space="0" w:color="auto"/>
                <w:left w:val="none" w:sz="0" w:space="0" w:color="auto"/>
                <w:bottom w:val="none" w:sz="0" w:space="0" w:color="auto"/>
                <w:right w:val="none" w:sz="0" w:space="0" w:color="auto"/>
              </w:divBdr>
            </w:div>
          </w:divsChild>
        </w:div>
        <w:div w:id="2081052935">
          <w:marLeft w:val="0"/>
          <w:marRight w:val="0"/>
          <w:marTop w:val="0"/>
          <w:marBottom w:val="0"/>
          <w:divBdr>
            <w:top w:val="none" w:sz="0" w:space="0" w:color="auto"/>
            <w:left w:val="none" w:sz="0" w:space="0" w:color="auto"/>
            <w:bottom w:val="none" w:sz="0" w:space="0" w:color="auto"/>
            <w:right w:val="none" w:sz="0" w:space="0" w:color="auto"/>
          </w:divBdr>
          <w:divsChild>
            <w:div w:id="791706933">
              <w:marLeft w:val="0"/>
              <w:marRight w:val="0"/>
              <w:marTop w:val="0"/>
              <w:marBottom w:val="0"/>
              <w:divBdr>
                <w:top w:val="none" w:sz="0" w:space="0" w:color="auto"/>
                <w:left w:val="none" w:sz="0" w:space="0" w:color="auto"/>
                <w:bottom w:val="none" w:sz="0" w:space="0" w:color="auto"/>
                <w:right w:val="none" w:sz="0" w:space="0" w:color="auto"/>
              </w:divBdr>
            </w:div>
          </w:divsChild>
        </w:div>
        <w:div w:id="2098936794">
          <w:marLeft w:val="0"/>
          <w:marRight w:val="0"/>
          <w:marTop w:val="0"/>
          <w:marBottom w:val="0"/>
          <w:divBdr>
            <w:top w:val="none" w:sz="0" w:space="0" w:color="auto"/>
            <w:left w:val="none" w:sz="0" w:space="0" w:color="auto"/>
            <w:bottom w:val="none" w:sz="0" w:space="0" w:color="auto"/>
            <w:right w:val="none" w:sz="0" w:space="0" w:color="auto"/>
          </w:divBdr>
          <w:divsChild>
            <w:div w:id="82453336">
              <w:marLeft w:val="0"/>
              <w:marRight w:val="0"/>
              <w:marTop w:val="0"/>
              <w:marBottom w:val="0"/>
              <w:divBdr>
                <w:top w:val="none" w:sz="0" w:space="0" w:color="auto"/>
                <w:left w:val="none" w:sz="0" w:space="0" w:color="auto"/>
                <w:bottom w:val="none" w:sz="0" w:space="0" w:color="auto"/>
                <w:right w:val="none" w:sz="0" w:space="0" w:color="auto"/>
              </w:divBdr>
            </w:div>
          </w:divsChild>
        </w:div>
        <w:div w:id="2109738951">
          <w:marLeft w:val="0"/>
          <w:marRight w:val="0"/>
          <w:marTop w:val="0"/>
          <w:marBottom w:val="0"/>
          <w:divBdr>
            <w:top w:val="none" w:sz="0" w:space="0" w:color="auto"/>
            <w:left w:val="none" w:sz="0" w:space="0" w:color="auto"/>
            <w:bottom w:val="none" w:sz="0" w:space="0" w:color="auto"/>
            <w:right w:val="none" w:sz="0" w:space="0" w:color="auto"/>
          </w:divBdr>
          <w:divsChild>
            <w:div w:id="1445881913">
              <w:marLeft w:val="0"/>
              <w:marRight w:val="0"/>
              <w:marTop w:val="0"/>
              <w:marBottom w:val="0"/>
              <w:divBdr>
                <w:top w:val="none" w:sz="0" w:space="0" w:color="auto"/>
                <w:left w:val="none" w:sz="0" w:space="0" w:color="auto"/>
                <w:bottom w:val="none" w:sz="0" w:space="0" w:color="auto"/>
                <w:right w:val="none" w:sz="0" w:space="0" w:color="auto"/>
              </w:divBdr>
            </w:div>
          </w:divsChild>
        </w:div>
        <w:div w:id="2121027433">
          <w:marLeft w:val="0"/>
          <w:marRight w:val="0"/>
          <w:marTop w:val="0"/>
          <w:marBottom w:val="0"/>
          <w:divBdr>
            <w:top w:val="none" w:sz="0" w:space="0" w:color="auto"/>
            <w:left w:val="none" w:sz="0" w:space="0" w:color="auto"/>
            <w:bottom w:val="none" w:sz="0" w:space="0" w:color="auto"/>
            <w:right w:val="none" w:sz="0" w:space="0" w:color="auto"/>
          </w:divBdr>
          <w:divsChild>
            <w:div w:id="211362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350468">
      <w:bodyDiv w:val="1"/>
      <w:marLeft w:val="0"/>
      <w:marRight w:val="0"/>
      <w:marTop w:val="0"/>
      <w:marBottom w:val="0"/>
      <w:divBdr>
        <w:top w:val="none" w:sz="0" w:space="0" w:color="auto"/>
        <w:left w:val="none" w:sz="0" w:space="0" w:color="auto"/>
        <w:bottom w:val="none" w:sz="0" w:space="0" w:color="auto"/>
        <w:right w:val="none" w:sz="0" w:space="0" w:color="auto"/>
      </w:divBdr>
      <w:divsChild>
        <w:div w:id="73094315">
          <w:marLeft w:val="0"/>
          <w:marRight w:val="0"/>
          <w:marTop w:val="0"/>
          <w:marBottom w:val="0"/>
          <w:divBdr>
            <w:top w:val="none" w:sz="0" w:space="0" w:color="auto"/>
            <w:left w:val="none" w:sz="0" w:space="0" w:color="auto"/>
            <w:bottom w:val="none" w:sz="0" w:space="0" w:color="auto"/>
            <w:right w:val="none" w:sz="0" w:space="0" w:color="auto"/>
          </w:divBdr>
          <w:divsChild>
            <w:div w:id="54668333">
              <w:marLeft w:val="0"/>
              <w:marRight w:val="0"/>
              <w:marTop w:val="0"/>
              <w:marBottom w:val="0"/>
              <w:divBdr>
                <w:top w:val="none" w:sz="0" w:space="0" w:color="auto"/>
                <w:left w:val="none" w:sz="0" w:space="0" w:color="auto"/>
                <w:bottom w:val="none" w:sz="0" w:space="0" w:color="auto"/>
                <w:right w:val="none" w:sz="0" w:space="0" w:color="auto"/>
              </w:divBdr>
            </w:div>
            <w:div w:id="90979304">
              <w:marLeft w:val="0"/>
              <w:marRight w:val="0"/>
              <w:marTop w:val="0"/>
              <w:marBottom w:val="0"/>
              <w:divBdr>
                <w:top w:val="none" w:sz="0" w:space="0" w:color="auto"/>
                <w:left w:val="none" w:sz="0" w:space="0" w:color="auto"/>
                <w:bottom w:val="none" w:sz="0" w:space="0" w:color="auto"/>
                <w:right w:val="none" w:sz="0" w:space="0" w:color="auto"/>
              </w:divBdr>
            </w:div>
            <w:div w:id="497574670">
              <w:marLeft w:val="0"/>
              <w:marRight w:val="0"/>
              <w:marTop w:val="0"/>
              <w:marBottom w:val="0"/>
              <w:divBdr>
                <w:top w:val="none" w:sz="0" w:space="0" w:color="auto"/>
                <w:left w:val="none" w:sz="0" w:space="0" w:color="auto"/>
                <w:bottom w:val="none" w:sz="0" w:space="0" w:color="auto"/>
                <w:right w:val="none" w:sz="0" w:space="0" w:color="auto"/>
              </w:divBdr>
            </w:div>
            <w:div w:id="522746960">
              <w:marLeft w:val="0"/>
              <w:marRight w:val="0"/>
              <w:marTop w:val="0"/>
              <w:marBottom w:val="0"/>
              <w:divBdr>
                <w:top w:val="none" w:sz="0" w:space="0" w:color="auto"/>
                <w:left w:val="none" w:sz="0" w:space="0" w:color="auto"/>
                <w:bottom w:val="none" w:sz="0" w:space="0" w:color="auto"/>
                <w:right w:val="none" w:sz="0" w:space="0" w:color="auto"/>
              </w:divBdr>
            </w:div>
            <w:div w:id="532040395">
              <w:marLeft w:val="0"/>
              <w:marRight w:val="0"/>
              <w:marTop w:val="0"/>
              <w:marBottom w:val="0"/>
              <w:divBdr>
                <w:top w:val="none" w:sz="0" w:space="0" w:color="auto"/>
                <w:left w:val="none" w:sz="0" w:space="0" w:color="auto"/>
                <w:bottom w:val="none" w:sz="0" w:space="0" w:color="auto"/>
                <w:right w:val="none" w:sz="0" w:space="0" w:color="auto"/>
              </w:divBdr>
            </w:div>
            <w:div w:id="670640220">
              <w:marLeft w:val="0"/>
              <w:marRight w:val="0"/>
              <w:marTop w:val="0"/>
              <w:marBottom w:val="0"/>
              <w:divBdr>
                <w:top w:val="none" w:sz="0" w:space="0" w:color="auto"/>
                <w:left w:val="none" w:sz="0" w:space="0" w:color="auto"/>
                <w:bottom w:val="none" w:sz="0" w:space="0" w:color="auto"/>
                <w:right w:val="none" w:sz="0" w:space="0" w:color="auto"/>
              </w:divBdr>
            </w:div>
            <w:div w:id="1066804916">
              <w:marLeft w:val="0"/>
              <w:marRight w:val="0"/>
              <w:marTop w:val="0"/>
              <w:marBottom w:val="0"/>
              <w:divBdr>
                <w:top w:val="none" w:sz="0" w:space="0" w:color="auto"/>
                <w:left w:val="none" w:sz="0" w:space="0" w:color="auto"/>
                <w:bottom w:val="none" w:sz="0" w:space="0" w:color="auto"/>
                <w:right w:val="none" w:sz="0" w:space="0" w:color="auto"/>
              </w:divBdr>
            </w:div>
            <w:div w:id="1305624843">
              <w:marLeft w:val="0"/>
              <w:marRight w:val="0"/>
              <w:marTop w:val="0"/>
              <w:marBottom w:val="0"/>
              <w:divBdr>
                <w:top w:val="none" w:sz="0" w:space="0" w:color="auto"/>
                <w:left w:val="none" w:sz="0" w:space="0" w:color="auto"/>
                <w:bottom w:val="none" w:sz="0" w:space="0" w:color="auto"/>
                <w:right w:val="none" w:sz="0" w:space="0" w:color="auto"/>
              </w:divBdr>
            </w:div>
            <w:div w:id="1322468897">
              <w:marLeft w:val="0"/>
              <w:marRight w:val="0"/>
              <w:marTop w:val="0"/>
              <w:marBottom w:val="0"/>
              <w:divBdr>
                <w:top w:val="none" w:sz="0" w:space="0" w:color="auto"/>
                <w:left w:val="none" w:sz="0" w:space="0" w:color="auto"/>
                <w:bottom w:val="none" w:sz="0" w:space="0" w:color="auto"/>
                <w:right w:val="none" w:sz="0" w:space="0" w:color="auto"/>
              </w:divBdr>
            </w:div>
            <w:div w:id="1328678787">
              <w:marLeft w:val="0"/>
              <w:marRight w:val="0"/>
              <w:marTop w:val="0"/>
              <w:marBottom w:val="0"/>
              <w:divBdr>
                <w:top w:val="none" w:sz="0" w:space="0" w:color="auto"/>
                <w:left w:val="none" w:sz="0" w:space="0" w:color="auto"/>
                <w:bottom w:val="none" w:sz="0" w:space="0" w:color="auto"/>
                <w:right w:val="none" w:sz="0" w:space="0" w:color="auto"/>
              </w:divBdr>
            </w:div>
            <w:div w:id="1381051223">
              <w:marLeft w:val="0"/>
              <w:marRight w:val="0"/>
              <w:marTop w:val="0"/>
              <w:marBottom w:val="0"/>
              <w:divBdr>
                <w:top w:val="none" w:sz="0" w:space="0" w:color="auto"/>
                <w:left w:val="none" w:sz="0" w:space="0" w:color="auto"/>
                <w:bottom w:val="none" w:sz="0" w:space="0" w:color="auto"/>
                <w:right w:val="none" w:sz="0" w:space="0" w:color="auto"/>
              </w:divBdr>
            </w:div>
            <w:div w:id="1425566126">
              <w:marLeft w:val="0"/>
              <w:marRight w:val="0"/>
              <w:marTop w:val="0"/>
              <w:marBottom w:val="0"/>
              <w:divBdr>
                <w:top w:val="none" w:sz="0" w:space="0" w:color="auto"/>
                <w:left w:val="none" w:sz="0" w:space="0" w:color="auto"/>
                <w:bottom w:val="none" w:sz="0" w:space="0" w:color="auto"/>
                <w:right w:val="none" w:sz="0" w:space="0" w:color="auto"/>
              </w:divBdr>
            </w:div>
            <w:div w:id="1561593878">
              <w:marLeft w:val="0"/>
              <w:marRight w:val="0"/>
              <w:marTop w:val="0"/>
              <w:marBottom w:val="0"/>
              <w:divBdr>
                <w:top w:val="none" w:sz="0" w:space="0" w:color="auto"/>
                <w:left w:val="none" w:sz="0" w:space="0" w:color="auto"/>
                <w:bottom w:val="none" w:sz="0" w:space="0" w:color="auto"/>
                <w:right w:val="none" w:sz="0" w:space="0" w:color="auto"/>
              </w:divBdr>
            </w:div>
            <w:div w:id="1614703630">
              <w:marLeft w:val="0"/>
              <w:marRight w:val="0"/>
              <w:marTop w:val="0"/>
              <w:marBottom w:val="0"/>
              <w:divBdr>
                <w:top w:val="none" w:sz="0" w:space="0" w:color="auto"/>
                <w:left w:val="none" w:sz="0" w:space="0" w:color="auto"/>
                <w:bottom w:val="none" w:sz="0" w:space="0" w:color="auto"/>
                <w:right w:val="none" w:sz="0" w:space="0" w:color="auto"/>
              </w:divBdr>
            </w:div>
            <w:div w:id="1862356013">
              <w:marLeft w:val="0"/>
              <w:marRight w:val="0"/>
              <w:marTop w:val="0"/>
              <w:marBottom w:val="0"/>
              <w:divBdr>
                <w:top w:val="none" w:sz="0" w:space="0" w:color="auto"/>
                <w:left w:val="none" w:sz="0" w:space="0" w:color="auto"/>
                <w:bottom w:val="none" w:sz="0" w:space="0" w:color="auto"/>
                <w:right w:val="none" w:sz="0" w:space="0" w:color="auto"/>
              </w:divBdr>
            </w:div>
            <w:div w:id="1993484683">
              <w:marLeft w:val="0"/>
              <w:marRight w:val="0"/>
              <w:marTop w:val="0"/>
              <w:marBottom w:val="0"/>
              <w:divBdr>
                <w:top w:val="none" w:sz="0" w:space="0" w:color="auto"/>
                <w:left w:val="none" w:sz="0" w:space="0" w:color="auto"/>
                <w:bottom w:val="none" w:sz="0" w:space="0" w:color="auto"/>
                <w:right w:val="none" w:sz="0" w:space="0" w:color="auto"/>
              </w:divBdr>
            </w:div>
            <w:div w:id="2066104268">
              <w:marLeft w:val="0"/>
              <w:marRight w:val="0"/>
              <w:marTop w:val="0"/>
              <w:marBottom w:val="0"/>
              <w:divBdr>
                <w:top w:val="none" w:sz="0" w:space="0" w:color="auto"/>
                <w:left w:val="none" w:sz="0" w:space="0" w:color="auto"/>
                <w:bottom w:val="none" w:sz="0" w:space="0" w:color="auto"/>
                <w:right w:val="none" w:sz="0" w:space="0" w:color="auto"/>
              </w:divBdr>
            </w:div>
            <w:div w:id="2132086099">
              <w:marLeft w:val="0"/>
              <w:marRight w:val="0"/>
              <w:marTop w:val="0"/>
              <w:marBottom w:val="0"/>
              <w:divBdr>
                <w:top w:val="none" w:sz="0" w:space="0" w:color="auto"/>
                <w:left w:val="none" w:sz="0" w:space="0" w:color="auto"/>
                <w:bottom w:val="none" w:sz="0" w:space="0" w:color="auto"/>
                <w:right w:val="none" w:sz="0" w:space="0" w:color="auto"/>
              </w:divBdr>
            </w:div>
          </w:divsChild>
        </w:div>
        <w:div w:id="1382437915">
          <w:marLeft w:val="0"/>
          <w:marRight w:val="0"/>
          <w:marTop w:val="0"/>
          <w:marBottom w:val="0"/>
          <w:divBdr>
            <w:top w:val="none" w:sz="0" w:space="0" w:color="auto"/>
            <w:left w:val="none" w:sz="0" w:space="0" w:color="auto"/>
            <w:bottom w:val="none" w:sz="0" w:space="0" w:color="auto"/>
            <w:right w:val="none" w:sz="0" w:space="0" w:color="auto"/>
          </w:divBdr>
          <w:divsChild>
            <w:div w:id="55082748">
              <w:marLeft w:val="0"/>
              <w:marRight w:val="0"/>
              <w:marTop w:val="0"/>
              <w:marBottom w:val="0"/>
              <w:divBdr>
                <w:top w:val="none" w:sz="0" w:space="0" w:color="auto"/>
                <w:left w:val="none" w:sz="0" w:space="0" w:color="auto"/>
                <w:bottom w:val="none" w:sz="0" w:space="0" w:color="auto"/>
                <w:right w:val="none" w:sz="0" w:space="0" w:color="auto"/>
              </w:divBdr>
            </w:div>
            <w:div w:id="161437991">
              <w:marLeft w:val="0"/>
              <w:marRight w:val="0"/>
              <w:marTop w:val="0"/>
              <w:marBottom w:val="0"/>
              <w:divBdr>
                <w:top w:val="none" w:sz="0" w:space="0" w:color="auto"/>
                <w:left w:val="none" w:sz="0" w:space="0" w:color="auto"/>
                <w:bottom w:val="none" w:sz="0" w:space="0" w:color="auto"/>
                <w:right w:val="none" w:sz="0" w:space="0" w:color="auto"/>
              </w:divBdr>
            </w:div>
            <w:div w:id="175508240">
              <w:marLeft w:val="0"/>
              <w:marRight w:val="0"/>
              <w:marTop w:val="0"/>
              <w:marBottom w:val="0"/>
              <w:divBdr>
                <w:top w:val="none" w:sz="0" w:space="0" w:color="auto"/>
                <w:left w:val="none" w:sz="0" w:space="0" w:color="auto"/>
                <w:bottom w:val="none" w:sz="0" w:space="0" w:color="auto"/>
                <w:right w:val="none" w:sz="0" w:space="0" w:color="auto"/>
              </w:divBdr>
            </w:div>
            <w:div w:id="417756993">
              <w:marLeft w:val="0"/>
              <w:marRight w:val="0"/>
              <w:marTop w:val="0"/>
              <w:marBottom w:val="0"/>
              <w:divBdr>
                <w:top w:val="none" w:sz="0" w:space="0" w:color="auto"/>
                <w:left w:val="none" w:sz="0" w:space="0" w:color="auto"/>
                <w:bottom w:val="none" w:sz="0" w:space="0" w:color="auto"/>
                <w:right w:val="none" w:sz="0" w:space="0" w:color="auto"/>
              </w:divBdr>
            </w:div>
            <w:div w:id="836772250">
              <w:marLeft w:val="0"/>
              <w:marRight w:val="0"/>
              <w:marTop w:val="0"/>
              <w:marBottom w:val="0"/>
              <w:divBdr>
                <w:top w:val="none" w:sz="0" w:space="0" w:color="auto"/>
                <w:left w:val="none" w:sz="0" w:space="0" w:color="auto"/>
                <w:bottom w:val="none" w:sz="0" w:space="0" w:color="auto"/>
                <w:right w:val="none" w:sz="0" w:space="0" w:color="auto"/>
              </w:divBdr>
            </w:div>
            <w:div w:id="844393842">
              <w:marLeft w:val="0"/>
              <w:marRight w:val="0"/>
              <w:marTop w:val="0"/>
              <w:marBottom w:val="0"/>
              <w:divBdr>
                <w:top w:val="none" w:sz="0" w:space="0" w:color="auto"/>
                <w:left w:val="none" w:sz="0" w:space="0" w:color="auto"/>
                <w:bottom w:val="none" w:sz="0" w:space="0" w:color="auto"/>
                <w:right w:val="none" w:sz="0" w:space="0" w:color="auto"/>
              </w:divBdr>
            </w:div>
            <w:div w:id="1212958151">
              <w:marLeft w:val="0"/>
              <w:marRight w:val="0"/>
              <w:marTop w:val="0"/>
              <w:marBottom w:val="0"/>
              <w:divBdr>
                <w:top w:val="none" w:sz="0" w:space="0" w:color="auto"/>
                <w:left w:val="none" w:sz="0" w:space="0" w:color="auto"/>
                <w:bottom w:val="none" w:sz="0" w:space="0" w:color="auto"/>
                <w:right w:val="none" w:sz="0" w:space="0" w:color="auto"/>
              </w:divBdr>
            </w:div>
            <w:div w:id="1559439583">
              <w:marLeft w:val="0"/>
              <w:marRight w:val="0"/>
              <w:marTop w:val="0"/>
              <w:marBottom w:val="0"/>
              <w:divBdr>
                <w:top w:val="none" w:sz="0" w:space="0" w:color="auto"/>
                <w:left w:val="none" w:sz="0" w:space="0" w:color="auto"/>
                <w:bottom w:val="none" w:sz="0" w:space="0" w:color="auto"/>
                <w:right w:val="none" w:sz="0" w:space="0" w:color="auto"/>
              </w:divBdr>
            </w:div>
            <w:div w:id="1906528849">
              <w:marLeft w:val="0"/>
              <w:marRight w:val="0"/>
              <w:marTop w:val="0"/>
              <w:marBottom w:val="0"/>
              <w:divBdr>
                <w:top w:val="none" w:sz="0" w:space="0" w:color="auto"/>
                <w:left w:val="none" w:sz="0" w:space="0" w:color="auto"/>
                <w:bottom w:val="none" w:sz="0" w:space="0" w:color="auto"/>
                <w:right w:val="none" w:sz="0" w:space="0" w:color="auto"/>
              </w:divBdr>
            </w:div>
            <w:div w:id="2116710196">
              <w:marLeft w:val="0"/>
              <w:marRight w:val="0"/>
              <w:marTop w:val="0"/>
              <w:marBottom w:val="0"/>
              <w:divBdr>
                <w:top w:val="none" w:sz="0" w:space="0" w:color="auto"/>
                <w:left w:val="none" w:sz="0" w:space="0" w:color="auto"/>
                <w:bottom w:val="none" w:sz="0" w:space="0" w:color="auto"/>
                <w:right w:val="none" w:sz="0" w:space="0" w:color="auto"/>
              </w:divBdr>
            </w:div>
            <w:div w:id="211767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086">
      <w:bodyDiv w:val="1"/>
      <w:marLeft w:val="0"/>
      <w:marRight w:val="0"/>
      <w:marTop w:val="0"/>
      <w:marBottom w:val="0"/>
      <w:divBdr>
        <w:top w:val="none" w:sz="0" w:space="0" w:color="auto"/>
        <w:left w:val="none" w:sz="0" w:space="0" w:color="auto"/>
        <w:bottom w:val="none" w:sz="0" w:space="0" w:color="auto"/>
        <w:right w:val="none" w:sz="0" w:space="0" w:color="auto"/>
      </w:divBdr>
    </w:div>
    <w:div w:id="1204752586">
      <w:bodyDiv w:val="1"/>
      <w:marLeft w:val="0"/>
      <w:marRight w:val="0"/>
      <w:marTop w:val="0"/>
      <w:marBottom w:val="0"/>
      <w:divBdr>
        <w:top w:val="none" w:sz="0" w:space="0" w:color="auto"/>
        <w:left w:val="none" w:sz="0" w:space="0" w:color="auto"/>
        <w:bottom w:val="none" w:sz="0" w:space="0" w:color="auto"/>
        <w:right w:val="none" w:sz="0" w:space="0" w:color="auto"/>
      </w:divBdr>
    </w:div>
    <w:div w:id="1219244243">
      <w:bodyDiv w:val="1"/>
      <w:marLeft w:val="0"/>
      <w:marRight w:val="0"/>
      <w:marTop w:val="0"/>
      <w:marBottom w:val="0"/>
      <w:divBdr>
        <w:top w:val="none" w:sz="0" w:space="0" w:color="auto"/>
        <w:left w:val="none" w:sz="0" w:space="0" w:color="auto"/>
        <w:bottom w:val="none" w:sz="0" w:space="0" w:color="auto"/>
        <w:right w:val="none" w:sz="0" w:space="0" w:color="auto"/>
      </w:divBdr>
    </w:div>
    <w:div w:id="1248613565">
      <w:bodyDiv w:val="1"/>
      <w:marLeft w:val="0"/>
      <w:marRight w:val="0"/>
      <w:marTop w:val="0"/>
      <w:marBottom w:val="0"/>
      <w:divBdr>
        <w:top w:val="none" w:sz="0" w:space="0" w:color="auto"/>
        <w:left w:val="none" w:sz="0" w:space="0" w:color="auto"/>
        <w:bottom w:val="none" w:sz="0" w:space="0" w:color="auto"/>
        <w:right w:val="none" w:sz="0" w:space="0" w:color="auto"/>
      </w:divBdr>
    </w:div>
    <w:div w:id="1257328758">
      <w:bodyDiv w:val="1"/>
      <w:marLeft w:val="0"/>
      <w:marRight w:val="0"/>
      <w:marTop w:val="0"/>
      <w:marBottom w:val="0"/>
      <w:divBdr>
        <w:top w:val="none" w:sz="0" w:space="0" w:color="auto"/>
        <w:left w:val="none" w:sz="0" w:space="0" w:color="auto"/>
        <w:bottom w:val="none" w:sz="0" w:space="0" w:color="auto"/>
        <w:right w:val="none" w:sz="0" w:space="0" w:color="auto"/>
      </w:divBdr>
    </w:div>
    <w:div w:id="1264142872">
      <w:bodyDiv w:val="1"/>
      <w:marLeft w:val="0"/>
      <w:marRight w:val="0"/>
      <w:marTop w:val="0"/>
      <w:marBottom w:val="0"/>
      <w:divBdr>
        <w:top w:val="none" w:sz="0" w:space="0" w:color="auto"/>
        <w:left w:val="none" w:sz="0" w:space="0" w:color="auto"/>
        <w:bottom w:val="none" w:sz="0" w:space="0" w:color="auto"/>
        <w:right w:val="none" w:sz="0" w:space="0" w:color="auto"/>
      </w:divBdr>
    </w:div>
    <w:div w:id="1298606678">
      <w:bodyDiv w:val="1"/>
      <w:marLeft w:val="0"/>
      <w:marRight w:val="0"/>
      <w:marTop w:val="0"/>
      <w:marBottom w:val="0"/>
      <w:divBdr>
        <w:top w:val="none" w:sz="0" w:space="0" w:color="auto"/>
        <w:left w:val="none" w:sz="0" w:space="0" w:color="auto"/>
        <w:bottom w:val="none" w:sz="0" w:space="0" w:color="auto"/>
        <w:right w:val="none" w:sz="0" w:space="0" w:color="auto"/>
      </w:divBdr>
    </w:div>
    <w:div w:id="1299728949">
      <w:bodyDiv w:val="1"/>
      <w:marLeft w:val="0"/>
      <w:marRight w:val="0"/>
      <w:marTop w:val="0"/>
      <w:marBottom w:val="0"/>
      <w:divBdr>
        <w:top w:val="none" w:sz="0" w:space="0" w:color="auto"/>
        <w:left w:val="none" w:sz="0" w:space="0" w:color="auto"/>
        <w:bottom w:val="none" w:sz="0" w:space="0" w:color="auto"/>
        <w:right w:val="none" w:sz="0" w:space="0" w:color="auto"/>
      </w:divBdr>
    </w:div>
    <w:div w:id="1330913640">
      <w:bodyDiv w:val="1"/>
      <w:marLeft w:val="0"/>
      <w:marRight w:val="0"/>
      <w:marTop w:val="0"/>
      <w:marBottom w:val="0"/>
      <w:divBdr>
        <w:top w:val="none" w:sz="0" w:space="0" w:color="auto"/>
        <w:left w:val="none" w:sz="0" w:space="0" w:color="auto"/>
        <w:bottom w:val="none" w:sz="0" w:space="0" w:color="auto"/>
        <w:right w:val="none" w:sz="0" w:space="0" w:color="auto"/>
      </w:divBdr>
      <w:divsChild>
        <w:div w:id="711153605">
          <w:marLeft w:val="0"/>
          <w:marRight w:val="0"/>
          <w:marTop w:val="0"/>
          <w:marBottom w:val="0"/>
          <w:divBdr>
            <w:top w:val="none" w:sz="0" w:space="0" w:color="auto"/>
            <w:left w:val="none" w:sz="0" w:space="0" w:color="auto"/>
            <w:bottom w:val="none" w:sz="0" w:space="0" w:color="auto"/>
            <w:right w:val="none" w:sz="0" w:space="0" w:color="auto"/>
          </w:divBdr>
          <w:divsChild>
            <w:div w:id="2781252">
              <w:marLeft w:val="0"/>
              <w:marRight w:val="0"/>
              <w:marTop w:val="0"/>
              <w:marBottom w:val="0"/>
              <w:divBdr>
                <w:top w:val="none" w:sz="0" w:space="0" w:color="auto"/>
                <w:left w:val="none" w:sz="0" w:space="0" w:color="auto"/>
                <w:bottom w:val="none" w:sz="0" w:space="0" w:color="auto"/>
                <w:right w:val="none" w:sz="0" w:space="0" w:color="auto"/>
              </w:divBdr>
            </w:div>
            <w:div w:id="55125257">
              <w:marLeft w:val="0"/>
              <w:marRight w:val="0"/>
              <w:marTop w:val="0"/>
              <w:marBottom w:val="0"/>
              <w:divBdr>
                <w:top w:val="none" w:sz="0" w:space="0" w:color="auto"/>
                <w:left w:val="none" w:sz="0" w:space="0" w:color="auto"/>
                <w:bottom w:val="none" w:sz="0" w:space="0" w:color="auto"/>
                <w:right w:val="none" w:sz="0" w:space="0" w:color="auto"/>
              </w:divBdr>
            </w:div>
            <w:div w:id="153956495">
              <w:marLeft w:val="0"/>
              <w:marRight w:val="0"/>
              <w:marTop w:val="0"/>
              <w:marBottom w:val="0"/>
              <w:divBdr>
                <w:top w:val="none" w:sz="0" w:space="0" w:color="auto"/>
                <w:left w:val="none" w:sz="0" w:space="0" w:color="auto"/>
                <w:bottom w:val="none" w:sz="0" w:space="0" w:color="auto"/>
                <w:right w:val="none" w:sz="0" w:space="0" w:color="auto"/>
              </w:divBdr>
            </w:div>
            <w:div w:id="194973456">
              <w:marLeft w:val="0"/>
              <w:marRight w:val="0"/>
              <w:marTop w:val="0"/>
              <w:marBottom w:val="0"/>
              <w:divBdr>
                <w:top w:val="none" w:sz="0" w:space="0" w:color="auto"/>
                <w:left w:val="none" w:sz="0" w:space="0" w:color="auto"/>
                <w:bottom w:val="none" w:sz="0" w:space="0" w:color="auto"/>
                <w:right w:val="none" w:sz="0" w:space="0" w:color="auto"/>
              </w:divBdr>
            </w:div>
            <w:div w:id="624501853">
              <w:marLeft w:val="0"/>
              <w:marRight w:val="0"/>
              <w:marTop w:val="0"/>
              <w:marBottom w:val="0"/>
              <w:divBdr>
                <w:top w:val="none" w:sz="0" w:space="0" w:color="auto"/>
                <w:left w:val="none" w:sz="0" w:space="0" w:color="auto"/>
                <w:bottom w:val="none" w:sz="0" w:space="0" w:color="auto"/>
                <w:right w:val="none" w:sz="0" w:space="0" w:color="auto"/>
              </w:divBdr>
            </w:div>
            <w:div w:id="629677428">
              <w:marLeft w:val="0"/>
              <w:marRight w:val="0"/>
              <w:marTop w:val="0"/>
              <w:marBottom w:val="0"/>
              <w:divBdr>
                <w:top w:val="none" w:sz="0" w:space="0" w:color="auto"/>
                <w:left w:val="none" w:sz="0" w:space="0" w:color="auto"/>
                <w:bottom w:val="none" w:sz="0" w:space="0" w:color="auto"/>
                <w:right w:val="none" w:sz="0" w:space="0" w:color="auto"/>
              </w:divBdr>
            </w:div>
            <w:div w:id="724063628">
              <w:marLeft w:val="0"/>
              <w:marRight w:val="0"/>
              <w:marTop w:val="0"/>
              <w:marBottom w:val="0"/>
              <w:divBdr>
                <w:top w:val="none" w:sz="0" w:space="0" w:color="auto"/>
                <w:left w:val="none" w:sz="0" w:space="0" w:color="auto"/>
                <w:bottom w:val="none" w:sz="0" w:space="0" w:color="auto"/>
                <w:right w:val="none" w:sz="0" w:space="0" w:color="auto"/>
              </w:divBdr>
            </w:div>
            <w:div w:id="830758671">
              <w:marLeft w:val="0"/>
              <w:marRight w:val="0"/>
              <w:marTop w:val="0"/>
              <w:marBottom w:val="0"/>
              <w:divBdr>
                <w:top w:val="none" w:sz="0" w:space="0" w:color="auto"/>
                <w:left w:val="none" w:sz="0" w:space="0" w:color="auto"/>
                <w:bottom w:val="none" w:sz="0" w:space="0" w:color="auto"/>
                <w:right w:val="none" w:sz="0" w:space="0" w:color="auto"/>
              </w:divBdr>
            </w:div>
            <w:div w:id="860163376">
              <w:marLeft w:val="0"/>
              <w:marRight w:val="0"/>
              <w:marTop w:val="0"/>
              <w:marBottom w:val="0"/>
              <w:divBdr>
                <w:top w:val="none" w:sz="0" w:space="0" w:color="auto"/>
                <w:left w:val="none" w:sz="0" w:space="0" w:color="auto"/>
                <w:bottom w:val="none" w:sz="0" w:space="0" w:color="auto"/>
                <w:right w:val="none" w:sz="0" w:space="0" w:color="auto"/>
              </w:divBdr>
            </w:div>
            <w:div w:id="1189026197">
              <w:marLeft w:val="0"/>
              <w:marRight w:val="0"/>
              <w:marTop w:val="0"/>
              <w:marBottom w:val="0"/>
              <w:divBdr>
                <w:top w:val="none" w:sz="0" w:space="0" w:color="auto"/>
                <w:left w:val="none" w:sz="0" w:space="0" w:color="auto"/>
                <w:bottom w:val="none" w:sz="0" w:space="0" w:color="auto"/>
                <w:right w:val="none" w:sz="0" w:space="0" w:color="auto"/>
              </w:divBdr>
            </w:div>
            <w:div w:id="1308896846">
              <w:marLeft w:val="0"/>
              <w:marRight w:val="0"/>
              <w:marTop w:val="0"/>
              <w:marBottom w:val="0"/>
              <w:divBdr>
                <w:top w:val="none" w:sz="0" w:space="0" w:color="auto"/>
                <w:left w:val="none" w:sz="0" w:space="0" w:color="auto"/>
                <w:bottom w:val="none" w:sz="0" w:space="0" w:color="auto"/>
                <w:right w:val="none" w:sz="0" w:space="0" w:color="auto"/>
              </w:divBdr>
            </w:div>
            <w:div w:id="1404595915">
              <w:marLeft w:val="0"/>
              <w:marRight w:val="0"/>
              <w:marTop w:val="0"/>
              <w:marBottom w:val="0"/>
              <w:divBdr>
                <w:top w:val="none" w:sz="0" w:space="0" w:color="auto"/>
                <w:left w:val="none" w:sz="0" w:space="0" w:color="auto"/>
                <w:bottom w:val="none" w:sz="0" w:space="0" w:color="auto"/>
                <w:right w:val="none" w:sz="0" w:space="0" w:color="auto"/>
              </w:divBdr>
            </w:div>
            <w:div w:id="1439527590">
              <w:marLeft w:val="0"/>
              <w:marRight w:val="0"/>
              <w:marTop w:val="0"/>
              <w:marBottom w:val="0"/>
              <w:divBdr>
                <w:top w:val="none" w:sz="0" w:space="0" w:color="auto"/>
                <w:left w:val="none" w:sz="0" w:space="0" w:color="auto"/>
                <w:bottom w:val="none" w:sz="0" w:space="0" w:color="auto"/>
                <w:right w:val="none" w:sz="0" w:space="0" w:color="auto"/>
              </w:divBdr>
            </w:div>
            <w:div w:id="1701664808">
              <w:marLeft w:val="0"/>
              <w:marRight w:val="0"/>
              <w:marTop w:val="0"/>
              <w:marBottom w:val="0"/>
              <w:divBdr>
                <w:top w:val="none" w:sz="0" w:space="0" w:color="auto"/>
                <w:left w:val="none" w:sz="0" w:space="0" w:color="auto"/>
                <w:bottom w:val="none" w:sz="0" w:space="0" w:color="auto"/>
                <w:right w:val="none" w:sz="0" w:space="0" w:color="auto"/>
              </w:divBdr>
            </w:div>
            <w:div w:id="1807119874">
              <w:marLeft w:val="0"/>
              <w:marRight w:val="0"/>
              <w:marTop w:val="0"/>
              <w:marBottom w:val="0"/>
              <w:divBdr>
                <w:top w:val="none" w:sz="0" w:space="0" w:color="auto"/>
                <w:left w:val="none" w:sz="0" w:space="0" w:color="auto"/>
                <w:bottom w:val="none" w:sz="0" w:space="0" w:color="auto"/>
                <w:right w:val="none" w:sz="0" w:space="0" w:color="auto"/>
              </w:divBdr>
            </w:div>
            <w:div w:id="1882089149">
              <w:marLeft w:val="0"/>
              <w:marRight w:val="0"/>
              <w:marTop w:val="0"/>
              <w:marBottom w:val="0"/>
              <w:divBdr>
                <w:top w:val="none" w:sz="0" w:space="0" w:color="auto"/>
                <w:left w:val="none" w:sz="0" w:space="0" w:color="auto"/>
                <w:bottom w:val="none" w:sz="0" w:space="0" w:color="auto"/>
                <w:right w:val="none" w:sz="0" w:space="0" w:color="auto"/>
              </w:divBdr>
            </w:div>
            <w:div w:id="1944651113">
              <w:marLeft w:val="0"/>
              <w:marRight w:val="0"/>
              <w:marTop w:val="0"/>
              <w:marBottom w:val="0"/>
              <w:divBdr>
                <w:top w:val="none" w:sz="0" w:space="0" w:color="auto"/>
                <w:left w:val="none" w:sz="0" w:space="0" w:color="auto"/>
                <w:bottom w:val="none" w:sz="0" w:space="0" w:color="auto"/>
                <w:right w:val="none" w:sz="0" w:space="0" w:color="auto"/>
              </w:divBdr>
            </w:div>
            <w:div w:id="2061973069">
              <w:marLeft w:val="0"/>
              <w:marRight w:val="0"/>
              <w:marTop w:val="0"/>
              <w:marBottom w:val="0"/>
              <w:divBdr>
                <w:top w:val="none" w:sz="0" w:space="0" w:color="auto"/>
                <w:left w:val="none" w:sz="0" w:space="0" w:color="auto"/>
                <w:bottom w:val="none" w:sz="0" w:space="0" w:color="auto"/>
                <w:right w:val="none" w:sz="0" w:space="0" w:color="auto"/>
              </w:divBdr>
            </w:div>
          </w:divsChild>
        </w:div>
        <w:div w:id="1306202101">
          <w:marLeft w:val="0"/>
          <w:marRight w:val="0"/>
          <w:marTop w:val="0"/>
          <w:marBottom w:val="0"/>
          <w:divBdr>
            <w:top w:val="none" w:sz="0" w:space="0" w:color="auto"/>
            <w:left w:val="none" w:sz="0" w:space="0" w:color="auto"/>
            <w:bottom w:val="none" w:sz="0" w:space="0" w:color="auto"/>
            <w:right w:val="none" w:sz="0" w:space="0" w:color="auto"/>
          </w:divBdr>
          <w:divsChild>
            <w:div w:id="303582205">
              <w:marLeft w:val="0"/>
              <w:marRight w:val="0"/>
              <w:marTop w:val="0"/>
              <w:marBottom w:val="0"/>
              <w:divBdr>
                <w:top w:val="none" w:sz="0" w:space="0" w:color="auto"/>
                <w:left w:val="none" w:sz="0" w:space="0" w:color="auto"/>
                <w:bottom w:val="none" w:sz="0" w:space="0" w:color="auto"/>
                <w:right w:val="none" w:sz="0" w:space="0" w:color="auto"/>
              </w:divBdr>
            </w:div>
            <w:div w:id="473134677">
              <w:marLeft w:val="0"/>
              <w:marRight w:val="0"/>
              <w:marTop w:val="0"/>
              <w:marBottom w:val="0"/>
              <w:divBdr>
                <w:top w:val="none" w:sz="0" w:space="0" w:color="auto"/>
                <w:left w:val="none" w:sz="0" w:space="0" w:color="auto"/>
                <w:bottom w:val="none" w:sz="0" w:space="0" w:color="auto"/>
                <w:right w:val="none" w:sz="0" w:space="0" w:color="auto"/>
              </w:divBdr>
            </w:div>
            <w:div w:id="529294526">
              <w:marLeft w:val="0"/>
              <w:marRight w:val="0"/>
              <w:marTop w:val="0"/>
              <w:marBottom w:val="0"/>
              <w:divBdr>
                <w:top w:val="none" w:sz="0" w:space="0" w:color="auto"/>
                <w:left w:val="none" w:sz="0" w:space="0" w:color="auto"/>
                <w:bottom w:val="none" w:sz="0" w:space="0" w:color="auto"/>
                <w:right w:val="none" w:sz="0" w:space="0" w:color="auto"/>
              </w:divBdr>
            </w:div>
            <w:div w:id="1020544105">
              <w:marLeft w:val="0"/>
              <w:marRight w:val="0"/>
              <w:marTop w:val="0"/>
              <w:marBottom w:val="0"/>
              <w:divBdr>
                <w:top w:val="none" w:sz="0" w:space="0" w:color="auto"/>
                <w:left w:val="none" w:sz="0" w:space="0" w:color="auto"/>
                <w:bottom w:val="none" w:sz="0" w:space="0" w:color="auto"/>
                <w:right w:val="none" w:sz="0" w:space="0" w:color="auto"/>
              </w:divBdr>
            </w:div>
            <w:div w:id="1134526206">
              <w:marLeft w:val="0"/>
              <w:marRight w:val="0"/>
              <w:marTop w:val="0"/>
              <w:marBottom w:val="0"/>
              <w:divBdr>
                <w:top w:val="none" w:sz="0" w:space="0" w:color="auto"/>
                <w:left w:val="none" w:sz="0" w:space="0" w:color="auto"/>
                <w:bottom w:val="none" w:sz="0" w:space="0" w:color="auto"/>
                <w:right w:val="none" w:sz="0" w:space="0" w:color="auto"/>
              </w:divBdr>
            </w:div>
            <w:div w:id="1260486312">
              <w:marLeft w:val="0"/>
              <w:marRight w:val="0"/>
              <w:marTop w:val="0"/>
              <w:marBottom w:val="0"/>
              <w:divBdr>
                <w:top w:val="none" w:sz="0" w:space="0" w:color="auto"/>
                <w:left w:val="none" w:sz="0" w:space="0" w:color="auto"/>
                <w:bottom w:val="none" w:sz="0" w:space="0" w:color="auto"/>
                <w:right w:val="none" w:sz="0" w:space="0" w:color="auto"/>
              </w:divBdr>
            </w:div>
            <w:div w:id="1398700259">
              <w:marLeft w:val="0"/>
              <w:marRight w:val="0"/>
              <w:marTop w:val="0"/>
              <w:marBottom w:val="0"/>
              <w:divBdr>
                <w:top w:val="none" w:sz="0" w:space="0" w:color="auto"/>
                <w:left w:val="none" w:sz="0" w:space="0" w:color="auto"/>
                <w:bottom w:val="none" w:sz="0" w:space="0" w:color="auto"/>
                <w:right w:val="none" w:sz="0" w:space="0" w:color="auto"/>
              </w:divBdr>
            </w:div>
            <w:div w:id="1491871845">
              <w:marLeft w:val="0"/>
              <w:marRight w:val="0"/>
              <w:marTop w:val="0"/>
              <w:marBottom w:val="0"/>
              <w:divBdr>
                <w:top w:val="none" w:sz="0" w:space="0" w:color="auto"/>
                <w:left w:val="none" w:sz="0" w:space="0" w:color="auto"/>
                <w:bottom w:val="none" w:sz="0" w:space="0" w:color="auto"/>
                <w:right w:val="none" w:sz="0" w:space="0" w:color="auto"/>
              </w:divBdr>
            </w:div>
            <w:div w:id="1778988050">
              <w:marLeft w:val="0"/>
              <w:marRight w:val="0"/>
              <w:marTop w:val="0"/>
              <w:marBottom w:val="0"/>
              <w:divBdr>
                <w:top w:val="none" w:sz="0" w:space="0" w:color="auto"/>
                <w:left w:val="none" w:sz="0" w:space="0" w:color="auto"/>
                <w:bottom w:val="none" w:sz="0" w:space="0" w:color="auto"/>
                <w:right w:val="none" w:sz="0" w:space="0" w:color="auto"/>
              </w:divBdr>
            </w:div>
            <w:div w:id="1922061059">
              <w:marLeft w:val="0"/>
              <w:marRight w:val="0"/>
              <w:marTop w:val="0"/>
              <w:marBottom w:val="0"/>
              <w:divBdr>
                <w:top w:val="none" w:sz="0" w:space="0" w:color="auto"/>
                <w:left w:val="none" w:sz="0" w:space="0" w:color="auto"/>
                <w:bottom w:val="none" w:sz="0" w:space="0" w:color="auto"/>
                <w:right w:val="none" w:sz="0" w:space="0" w:color="auto"/>
              </w:divBdr>
            </w:div>
            <w:div w:id="195397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141181">
      <w:bodyDiv w:val="1"/>
      <w:marLeft w:val="0"/>
      <w:marRight w:val="0"/>
      <w:marTop w:val="0"/>
      <w:marBottom w:val="0"/>
      <w:divBdr>
        <w:top w:val="none" w:sz="0" w:space="0" w:color="auto"/>
        <w:left w:val="none" w:sz="0" w:space="0" w:color="auto"/>
        <w:bottom w:val="none" w:sz="0" w:space="0" w:color="auto"/>
        <w:right w:val="none" w:sz="0" w:space="0" w:color="auto"/>
      </w:divBdr>
    </w:div>
    <w:div w:id="1342470130">
      <w:bodyDiv w:val="1"/>
      <w:marLeft w:val="0"/>
      <w:marRight w:val="0"/>
      <w:marTop w:val="0"/>
      <w:marBottom w:val="0"/>
      <w:divBdr>
        <w:top w:val="none" w:sz="0" w:space="0" w:color="auto"/>
        <w:left w:val="none" w:sz="0" w:space="0" w:color="auto"/>
        <w:bottom w:val="none" w:sz="0" w:space="0" w:color="auto"/>
        <w:right w:val="none" w:sz="0" w:space="0" w:color="auto"/>
      </w:divBdr>
      <w:divsChild>
        <w:div w:id="2517990">
          <w:marLeft w:val="0"/>
          <w:marRight w:val="0"/>
          <w:marTop w:val="0"/>
          <w:marBottom w:val="0"/>
          <w:divBdr>
            <w:top w:val="none" w:sz="0" w:space="0" w:color="auto"/>
            <w:left w:val="none" w:sz="0" w:space="0" w:color="auto"/>
            <w:bottom w:val="none" w:sz="0" w:space="0" w:color="auto"/>
            <w:right w:val="none" w:sz="0" w:space="0" w:color="auto"/>
          </w:divBdr>
          <w:divsChild>
            <w:div w:id="609747581">
              <w:marLeft w:val="0"/>
              <w:marRight w:val="0"/>
              <w:marTop w:val="0"/>
              <w:marBottom w:val="0"/>
              <w:divBdr>
                <w:top w:val="none" w:sz="0" w:space="0" w:color="auto"/>
                <w:left w:val="none" w:sz="0" w:space="0" w:color="auto"/>
                <w:bottom w:val="none" w:sz="0" w:space="0" w:color="auto"/>
                <w:right w:val="none" w:sz="0" w:space="0" w:color="auto"/>
              </w:divBdr>
            </w:div>
          </w:divsChild>
        </w:div>
        <w:div w:id="36441317">
          <w:marLeft w:val="0"/>
          <w:marRight w:val="0"/>
          <w:marTop w:val="0"/>
          <w:marBottom w:val="0"/>
          <w:divBdr>
            <w:top w:val="none" w:sz="0" w:space="0" w:color="auto"/>
            <w:left w:val="none" w:sz="0" w:space="0" w:color="auto"/>
            <w:bottom w:val="none" w:sz="0" w:space="0" w:color="auto"/>
            <w:right w:val="none" w:sz="0" w:space="0" w:color="auto"/>
          </w:divBdr>
          <w:divsChild>
            <w:div w:id="1836611155">
              <w:marLeft w:val="0"/>
              <w:marRight w:val="0"/>
              <w:marTop w:val="0"/>
              <w:marBottom w:val="0"/>
              <w:divBdr>
                <w:top w:val="none" w:sz="0" w:space="0" w:color="auto"/>
                <w:left w:val="none" w:sz="0" w:space="0" w:color="auto"/>
                <w:bottom w:val="none" w:sz="0" w:space="0" w:color="auto"/>
                <w:right w:val="none" w:sz="0" w:space="0" w:color="auto"/>
              </w:divBdr>
            </w:div>
          </w:divsChild>
        </w:div>
        <w:div w:id="51850387">
          <w:marLeft w:val="0"/>
          <w:marRight w:val="0"/>
          <w:marTop w:val="0"/>
          <w:marBottom w:val="0"/>
          <w:divBdr>
            <w:top w:val="none" w:sz="0" w:space="0" w:color="auto"/>
            <w:left w:val="none" w:sz="0" w:space="0" w:color="auto"/>
            <w:bottom w:val="none" w:sz="0" w:space="0" w:color="auto"/>
            <w:right w:val="none" w:sz="0" w:space="0" w:color="auto"/>
          </w:divBdr>
          <w:divsChild>
            <w:div w:id="316111987">
              <w:marLeft w:val="0"/>
              <w:marRight w:val="0"/>
              <w:marTop w:val="0"/>
              <w:marBottom w:val="0"/>
              <w:divBdr>
                <w:top w:val="none" w:sz="0" w:space="0" w:color="auto"/>
                <w:left w:val="none" w:sz="0" w:space="0" w:color="auto"/>
                <w:bottom w:val="none" w:sz="0" w:space="0" w:color="auto"/>
                <w:right w:val="none" w:sz="0" w:space="0" w:color="auto"/>
              </w:divBdr>
            </w:div>
          </w:divsChild>
        </w:div>
        <w:div w:id="60182171">
          <w:marLeft w:val="0"/>
          <w:marRight w:val="0"/>
          <w:marTop w:val="0"/>
          <w:marBottom w:val="0"/>
          <w:divBdr>
            <w:top w:val="none" w:sz="0" w:space="0" w:color="auto"/>
            <w:left w:val="none" w:sz="0" w:space="0" w:color="auto"/>
            <w:bottom w:val="none" w:sz="0" w:space="0" w:color="auto"/>
            <w:right w:val="none" w:sz="0" w:space="0" w:color="auto"/>
          </w:divBdr>
          <w:divsChild>
            <w:div w:id="508564228">
              <w:marLeft w:val="0"/>
              <w:marRight w:val="0"/>
              <w:marTop w:val="0"/>
              <w:marBottom w:val="0"/>
              <w:divBdr>
                <w:top w:val="none" w:sz="0" w:space="0" w:color="auto"/>
                <w:left w:val="none" w:sz="0" w:space="0" w:color="auto"/>
                <w:bottom w:val="none" w:sz="0" w:space="0" w:color="auto"/>
                <w:right w:val="none" w:sz="0" w:space="0" w:color="auto"/>
              </w:divBdr>
            </w:div>
          </w:divsChild>
        </w:div>
        <w:div w:id="69544581">
          <w:marLeft w:val="0"/>
          <w:marRight w:val="0"/>
          <w:marTop w:val="0"/>
          <w:marBottom w:val="0"/>
          <w:divBdr>
            <w:top w:val="none" w:sz="0" w:space="0" w:color="auto"/>
            <w:left w:val="none" w:sz="0" w:space="0" w:color="auto"/>
            <w:bottom w:val="none" w:sz="0" w:space="0" w:color="auto"/>
            <w:right w:val="none" w:sz="0" w:space="0" w:color="auto"/>
          </w:divBdr>
          <w:divsChild>
            <w:div w:id="434861425">
              <w:marLeft w:val="0"/>
              <w:marRight w:val="0"/>
              <w:marTop w:val="0"/>
              <w:marBottom w:val="0"/>
              <w:divBdr>
                <w:top w:val="none" w:sz="0" w:space="0" w:color="auto"/>
                <w:left w:val="none" w:sz="0" w:space="0" w:color="auto"/>
                <w:bottom w:val="none" w:sz="0" w:space="0" w:color="auto"/>
                <w:right w:val="none" w:sz="0" w:space="0" w:color="auto"/>
              </w:divBdr>
            </w:div>
            <w:div w:id="699936811">
              <w:marLeft w:val="0"/>
              <w:marRight w:val="0"/>
              <w:marTop w:val="0"/>
              <w:marBottom w:val="0"/>
              <w:divBdr>
                <w:top w:val="none" w:sz="0" w:space="0" w:color="auto"/>
                <w:left w:val="none" w:sz="0" w:space="0" w:color="auto"/>
                <w:bottom w:val="none" w:sz="0" w:space="0" w:color="auto"/>
                <w:right w:val="none" w:sz="0" w:space="0" w:color="auto"/>
              </w:divBdr>
            </w:div>
          </w:divsChild>
        </w:div>
        <w:div w:id="88427814">
          <w:marLeft w:val="0"/>
          <w:marRight w:val="0"/>
          <w:marTop w:val="0"/>
          <w:marBottom w:val="0"/>
          <w:divBdr>
            <w:top w:val="none" w:sz="0" w:space="0" w:color="auto"/>
            <w:left w:val="none" w:sz="0" w:space="0" w:color="auto"/>
            <w:bottom w:val="none" w:sz="0" w:space="0" w:color="auto"/>
            <w:right w:val="none" w:sz="0" w:space="0" w:color="auto"/>
          </w:divBdr>
          <w:divsChild>
            <w:div w:id="1485780999">
              <w:marLeft w:val="0"/>
              <w:marRight w:val="0"/>
              <w:marTop w:val="0"/>
              <w:marBottom w:val="0"/>
              <w:divBdr>
                <w:top w:val="none" w:sz="0" w:space="0" w:color="auto"/>
                <w:left w:val="none" w:sz="0" w:space="0" w:color="auto"/>
                <w:bottom w:val="none" w:sz="0" w:space="0" w:color="auto"/>
                <w:right w:val="none" w:sz="0" w:space="0" w:color="auto"/>
              </w:divBdr>
            </w:div>
          </w:divsChild>
        </w:div>
        <w:div w:id="89131690">
          <w:marLeft w:val="0"/>
          <w:marRight w:val="0"/>
          <w:marTop w:val="0"/>
          <w:marBottom w:val="0"/>
          <w:divBdr>
            <w:top w:val="none" w:sz="0" w:space="0" w:color="auto"/>
            <w:left w:val="none" w:sz="0" w:space="0" w:color="auto"/>
            <w:bottom w:val="none" w:sz="0" w:space="0" w:color="auto"/>
            <w:right w:val="none" w:sz="0" w:space="0" w:color="auto"/>
          </w:divBdr>
          <w:divsChild>
            <w:div w:id="1427530389">
              <w:marLeft w:val="0"/>
              <w:marRight w:val="0"/>
              <w:marTop w:val="0"/>
              <w:marBottom w:val="0"/>
              <w:divBdr>
                <w:top w:val="none" w:sz="0" w:space="0" w:color="auto"/>
                <w:left w:val="none" w:sz="0" w:space="0" w:color="auto"/>
                <w:bottom w:val="none" w:sz="0" w:space="0" w:color="auto"/>
                <w:right w:val="none" w:sz="0" w:space="0" w:color="auto"/>
              </w:divBdr>
            </w:div>
          </w:divsChild>
        </w:div>
        <w:div w:id="90785029">
          <w:marLeft w:val="0"/>
          <w:marRight w:val="0"/>
          <w:marTop w:val="0"/>
          <w:marBottom w:val="0"/>
          <w:divBdr>
            <w:top w:val="none" w:sz="0" w:space="0" w:color="auto"/>
            <w:left w:val="none" w:sz="0" w:space="0" w:color="auto"/>
            <w:bottom w:val="none" w:sz="0" w:space="0" w:color="auto"/>
            <w:right w:val="none" w:sz="0" w:space="0" w:color="auto"/>
          </w:divBdr>
          <w:divsChild>
            <w:div w:id="2068525526">
              <w:marLeft w:val="0"/>
              <w:marRight w:val="0"/>
              <w:marTop w:val="0"/>
              <w:marBottom w:val="0"/>
              <w:divBdr>
                <w:top w:val="none" w:sz="0" w:space="0" w:color="auto"/>
                <w:left w:val="none" w:sz="0" w:space="0" w:color="auto"/>
                <w:bottom w:val="none" w:sz="0" w:space="0" w:color="auto"/>
                <w:right w:val="none" w:sz="0" w:space="0" w:color="auto"/>
              </w:divBdr>
            </w:div>
          </w:divsChild>
        </w:div>
        <w:div w:id="106506958">
          <w:marLeft w:val="0"/>
          <w:marRight w:val="0"/>
          <w:marTop w:val="0"/>
          <w:marBottom w:val="0"/>
          <w:divBdr>
            <w:top w:val="none" w:sz="0" w:space="0" w:color="auto"/>
            <w:left w:val="none" w:sz="0" w:space="0" w:color="auto"/>
            <w:bottom w:val="none" w:sz="0" w:space="0" w:color="auto"/>
            <w:right w:val="none" w:sz="0" w:space="0" w:color="auto"/>
          </w:divBdr>
          <w:divsChild>
            <w:div w:id="1270045295">
              <w:marLeft w:val="0"/>
              <w:marRight w:val="0"/>
              <w:marTop w:val="0"/>
              <w:marBottom w:val="0"/>
              <w:divBdr>
                <w:top w:val="none" w:sz="0" w:space="0" w:color="auto"/>
                <w:left w:val="none" w:sz="0" w:space="0" w:color="auto"/>
                <w:bottom w:val="none" w:sz="0" w:space="0" w:color="auto"/>
                <w:right w:val="none" w:sz="0" w:space="0" w:color="auto"/>
              </w:divBdr>
            </w:div>
          </w:divsChild>
        </w:div>
        <w:div w:id="114714380">
          <w:marLeft w:val="0"/>
          <w:marRight w:val="0"/>
          <w:marTop w:val="0"/>
          <w:marBottom w:val="0"/>
          <w:divBdr>
            <w:top w:val="none" w:sz="0" w:space="0" w:color="auto"/>
            <w:left w:val="none" w:sz="0" w:space="0" w:color="auto"/>
            <w:bottom w:val="none" w:sz="0" w:space="0" w:color="auto"/>
            <w:right w:val="none" w:sz="0" w:space="0" w:color="auto"/>
          </w:divBdr>
          <w:divsChild>
            <w:div w:id="1437024884">
              <w:marLeft w:val="0"/>
              <w:marRight w:val="0"/>
              <w:marTop w:val="0"/>
              <w:marBottom w:val="0"/>
              <w:divBdr>
                <w:top w:val="none" w:sz="0" w:space="0" w:color="auto"/>
                <w:left w:val="none" w:sz="0" w:space="0" w:color="auto"/>
                <w:bottom w:val="none" w:sz="0" w:space="0" w:color="auto"/>
                <w:right w:val="none" w:sz="0" w:space="0" w:color="auto"/>
              </w:divBdr>
            </w:div>
          </w:divsChild>
        </w:div>
        <w:div w:id="114831968">
          <w:marLeft w:val="0"/>
          <w:marRight w:val="0"/>
          <w:marTop w:val="0"/>
          <w:marBottom w:val="0"/>
          <w:divBdr>
            <w:top w:val="none" w:sz="0" w:space="0" w:color="auto"/>
            <w:left w:val="none" w:sz="0" w:space="0" w:color="auto"/>
            <w:bottom w:val="none" w:sz="0" w:space="0" w:color="auto"/>
            <w:right w:val="none" w:sz="0" w:space="0" w:color="auto"/>
          </w:divBdr>
          <w:divsChild>
            <w:div w:id="258106855">
              <w:marLeft w:val="0"/>
              <w:marRight w:val="0"/>
              <w:marTop w:val="0"/>
              <w:marBottom w:val="0"/>
              <w:divBdr>
                <w:top w:val="none" w:sz="0" w:space="0" w:color="auto"/>
                <w:left w:val="none" w:sz="0" w:space="0" w:color="auto"/>
                <w:bottom w:val="none" w:sz="0" w:space="0" w:color="auto"/>
                <w:right w:val="none" w:sz="0" w:space="0" w:color="auto"/>
              </w:divBdr>
            </w:div>
          </w:divsChild>
        </w:div>
        <w:div w:id="134684988">
          <w:marLeft w:val="0"/>
          <w:marRight w:val="0"/>
          <w:marTop w:val="0"/>
          <w:marBottom w:val="0"/>
          <w:divBdr>
            <w:top w:val="none" w:sz="0" w:space="0" w:color="auto"/>
            <w:left w:val="none" w:sz="0" w:space="0" w:color="auto"/>
            <w:bottom w:val="none" w:sz="0" w:space="0" w:color="auto"/>
            <w:right w:val="none" w:sz="0" w:space="0" w:color="auto"/>
          </w:divBdr>
          <w:divsChild>
            <w:div w:id="27683574">
              <w:marLeft w:val="0"/>
              <w:marRight w:val="0"/>
              <w:marTop w:val="0"/>
              <w:marBottom w:val="0"/>
              <w:divBdr>
                <w:top w:val="none" w:sz="0" w:space="0" w:color="auto"/>
                <w:left w:val="none" w:sz="0" w:space="0" w:color="auto"/>
                <w:bottom w:val="none" w:sz="0" w:space="0" w:color="auto"/>
                <w:right w:val="none" w:sz="0" w:space="0" w:color="auto"/>
              </w:divBdr>
            </w:div>
          </w:divsChild>
        </w:div>
        <w:div w:id="141042212">
          <w:marLeft w:val="0"/>
          <w:marRight w:val="0"/>
          <w:marTop w:val="0"/>
          <w:marBottom w:val="0"/>
          <w:divBdr>
            <w:top w:val="none" w:sz="0" w:space="0" w:color="auto"/>
            <w:left w:val="none" w:sz="0" w:space="0" w:color="auto"/>
            <w:bottom w:val="none" w:sz="0" w:space="0" w:color="auto"/>
            <w:right w:val="none" w:sz="0" w:space="0" w:color="auto"/>
          </w:divBdr>
          <w:divsChild>
            <w:div w:id="905143086">
              <w:marLeft w:val="0"/>
              <w:marRight w:val="0"/>
              <w:marTop w:val="0"/>
              <w:marBottom w:val="0"/>
              <w:divBdr>
                <w:top w:val="none" w:sz="0" w:space="0" w:color="auto"/>
                <w:left w:val="none" w:sz="0" w:space="0" w:color="auto"/>
                <w:bottom w:val="none" w:sz="0" w:space="0" w:color="auto"/>
                <w:right w:val="none" w:sz="0" w:space="0" w:color="auto"/>
              </w:divBdr>
            </w:div>
          </w:divsChild>
        </w:div>
        <w:div w:id="144321630">
          <w:marLeft w:val="0"/>
          <w:marRight w:val="0"/>
          <w:marTop w:val="0"/>
          <w:marBottom w:val="0"/>
          <w:divBdr>
            <w:top w:val="none" w:sz="0" w:space="0" w:color="auto"/>
            <w:left w:val="none" w:sz="0" w:space="0" w:color="auto"/>
            <w:bottom w:val="none" w:sz="0" w:space="0" w:color="auto"/>
            <w:right w:val="none" w:sz="0" w:space="0" w:color="auto"/>
          </w:divBdr>
          <w:divsChild>
            <w:div w:id="1246112631">
              <w:marLeft w:val="0"/>
              <w:marRight w:val="0"/>
              <w:marTop w:val="0"/>
              <w:marBottom w:val="0"/>
              <w:divBdr>
                <w:top w:val="none" w:sz="0" w:space="0" w:color="auto"/>
                <w:left w:val="none" w:sz="0" w:space="0" w:color="auto"/>
                <w:bottom w:val="none" w:sz="0" w:space="0" w:color="auto"/>
                <w:right w:val="none" w:sz="0" w:space="0" w:color="auto"/>
              </w:divBdr>
            </w:div>
          </w:divsChild>
        </w:div>
        <w:div w:id="157157338">
          <w:marLeft w:val="0"/>
          <w:marRight w:val="0"/>
          <w:marTop w:val="0"/>
          <w:marBottom w:val="0"/>
          <w:divBdr>
            <w:top w:val="none" w:sz="0" w:space="0" w:color="auto"/>
            <w:left w:val="none" w:sz="0" w:space="0" w:color="auto"/>
            <w:bottom w:val="none" w:sz="0" w:space="0" w:color="auto"/>
            <w:right w:val="none" w:sz="0" w:space="0" w:color="auto"/>
          </w:divBdr>
          <w:divsChild>
            <w:div w:id="789202268">
              <w:marLeft w:val="0"/>
              <w:marRight w:val="0"/>
              <w:marTop w:val="0"/>
              <w:marBottom w:val="0"/>
              <w:divBdr>
                <w:top w:val="none" w:sz="0" w:space="0" w:color="auto"/>
                <w:left w:val="none" w:sz="0" w:space="0" w:color="auto"/>
                <w:bottom w:val="none" w:sz="0" w:space="0" w:color="auto"/>
                <w:right w:val="none" w:sz="0" w:space="0" w:color="auto"/>
              </w:divBdr>
            </w:div>
          </w:divsChild>
        </w:div>
        <w:div w:id="167647493">
          <w:marLeft w:val="0"/>
          <w:marRight w:val="0"/>
          <w:marTop w:val="0"/>
          <w:marBottom w:val="0"/>
          <w:divBdr>
            <w:top w:val="none" w:sz="0" w:space="0" w:color="auto"/>
            <w:left w:val="none" w:sz="0" w:space="0" w:color="auto"/>
            <w:bottom w:val="none" w:sz="0" w:space="0" w:color="auto"/>
            <w:right w:val="none" w:sz="0" w:space="0" w:color="auto"/>
          </w:divBdr>
          <w:divsChild>
            <w:div w:id="289870429">
              <w:marLeft w:val="0"/>
              <w:marRight w:val="0"/>
              <w:marTop w:val="0"/>
              <w:marBottom w:val="0"/>
              <w:divBdr>
                <w:top w:val="none" w:sz="0" w:space="0" w:color="auto"/>
                <w:left w:val="none" w:sz="0" w:space="0" w:color="auto"/>
                <w:bottom w:val="none" w:sz="0" w:space="0" w:color="auto"/>
                <w:right w:val="none" w:sz="0" w:space="0" w:color="auto"/>
              </w:divBdr>
            </w:div>
          </w:divsChild>
        </w:div>
        <w:div w:id="173032815">
          <w:marLeft w:val="0"/>
          <w:marRight w:val="0"/>
          <w:marTop w:val="0"/>
          <w:marBottom w:val="0"/>
          <w:divBdr>
            <w:top w:val="none" w:sz="0" w:space="0" w:color="auto"/>
            <w:left w:val="none" w:sz="0" w:space="0" w:color="auto"/>
            <w:bottom w:val="none" w:sz="0" w:space="0" w:color="auto"/>
            <w:right w:val="none" w:sz="0" w:space="0" w:color="auto"/>
          </w:divBdr>
          <w:divsChild>
            <w:div w:id="1487673552">
              <w:marLeft w:val="0"/>
              <w:marRight w:val="0"/>
              <w:marTop w:val="0"/>
              <w:marBottom w:val="0"/>
              <w:divBdr>
                <w:top w:val="none" w:sz="0" w:space="0" w:color="auto"/>
                <w:left w:val="none" w:sz="0" w:space="0" w:color="auto"/>
                <w:bottom w:val="none" w:sz="0" w:space="0" w:color="auto"/>
                <w:right w:val="none" w:sz="0" w:space="0" w:color="auto"/>
              </w:divBdr>
            </w:div>
            <w:div w:id="2017072166">
              <w:marLeft w:val="0"/>
              <w:marRight w:val="0"/>
              <w:marTop w:val="0"/>
              <w:marBottom w:val="0"/>
              <w:divBdr>
                <w:top w:val="none" w:sz="0" w:space="0" w:color="auto"/>
                <w:left w:val="none" w:sz="0" w:space="0" w:color="auto"/>
                <w:bottom w:val="none" w:sz="0" w:space="0" w:color="auto"/>
                <w:right w:val="none" w:sz="0" w:space="0" w:color="auto"/>
              </w:divBdr>
            </w:div>
          </w:divsChild>
        </w:div>
        <w:div w:id="200945391">
          <w:marLeft w:val="0"/>
          <w:marRight w:val="0"/>
          <w:marTop w:val="0"/>
          <w:marBottom w:val="0"/>
          <w:divBdr>
            <w:top w:val="none" w:sz="0" w:space="0" w:color="auto"/>
            <w:left w:val="none" w:sz="0" w:space="0" w:color="auto"/>
            <w:bottom w:val="none" w:sz="0" w:space="0" w:color="auto"/>
            <w:right w:val="none" w:sz="0" w:space="0" w:color="auto"/>
          </w:divBdr>
          <w:divsChild>
            <w:div w:id="917441801">
              <w:marLeft w:val="0"/>
              <w:marRight w:val="0"/>
              <w:marTop w:val="0"/>
              <w:marBottom w:val="0"/>
              <w:divBdr>
                <w:top w:val="none" w:sz="0" w:space="0" w:color="auto"/>
                <w:left w:val="none" w:sz="0" w:space="0" w:color="auto"/>
                <w:bottom w:val="none" w:sz="0" w:space="0" w:color="auto"/>
                <w:right w:val="none" w:sz="0" w:space="0" w:color="auto"/>
              </w:divBdr>
            </w:div>
          </w:divsChild>
        </w:div>
        <w:div w:id="207768064">
          <w:marLeft w:val="0"/>
          <w:marRight w:val="0"/>
          <w:marTop w:val="0"/>
          <w:marBottom w:val="0"/>
          <w:divBdr>
            <w:top w:val="none" w:sz="0" w:space="0" w:color="auto"/>
            <w:left w:val="none" w:sz="0" w:space="0" w:color="auto"/>
            <w:bottom w:val="none" w:sz="0" w:space="0" w:color="auto"/>
            <w:right w:val="none" w:sz="0" w:space="0" w:color="auto"/>
          </w:divBdr>
          <w:divsChild>
            <w:div w:id="1968776251">
              <w:marLeft w:val="0"/>
              <w:marRight w:val="0"/>
              <w:marTop w:val="0"/>
              <w:marBottom w:val="0"/>
              <w:divBdr>
                <w:top w:val="none" w:sz="0" w:space="0" w:color="auto"/>
                <w:left w:val="none" w:sz="0" w:space="0" w:color="auto"/>
                <w:bottom w:val="none" w:sz="0" w:space="0" w:color="auto"/>
                <w:right w:val="none" w:sz="0" w:space="0" w:color="auto"/>
              </w:divBdr>
            </w:div>
          </w:divsChild>
        </w:div>
        <w:div w:id="219680295">
          <w:marLeft w:val="0"/>
          <w:marRight w:val="0"/>
          <w:marTop w:val="0"/>
          <w:marBottom w:val="0"/>
          <w:divBdr>
            <w:top w:val="none" w:sz="0" w:space="0" w:color="auto"/>
            <w:left w:val="none" w:sz="0" w:space="0" w:color="auto"/>
            <w:bottom w:val="none" w:sz="0" w:space="0" w:color="auto"/>
            <w:right w:val="none" w:sz="0" w:space="0" w:color="auto"/>
          </w:divBdr>
          <w:divsChild>
            <w:div w:id="1040130181">
              <w:marLeft w:val="0"/>
              <w:marRight w:val="0"/>
              <w:marTop w:val="0"/>
              <w:marBottom w:val="0"/>
              <w:divBdr>
                <w:top w:val="none" w:sz="0" w:space="0" w:color="auto"/>
                <w:left w:val="none" w:sz="0" w:space="0" w:color="auto"/>
                <w:bottom w:val="none" w:sz="0" w:space="0" w:color="auto"/>
                <w:right w:val="none" w:sz="0" w:space="0" w:color="auto"/>
              </w:divBdr>
            </w:div>
          </w:divsChild>
        </w:div>
        <w:div w:id="251668614">
          <w:marLeft w:val="0"/>
          <w:marRight w:val="0"/>
          <w:marTop w:val="0"/>
          <w:marBottom w:val="0"/>
          <w:divBdr>
            <w:top w:val="none" w:sz="0" w:space="0" w:color="auto"/>
            <w:left w:val="none" w:sz="0" w:space="0" w:color="auto"/>
            <w:bottom w:val="none" w:sz="0" w:space="0" w:color="auto"/>
            <w:right w:val="none" w:sz="0" w:space="0" w:color="auto"/>
          </w:divBdr>
          <w:divsChild>
            <w:div w:id="1112700987">
              <w:marLeft w:val="0"/>
              <w:marRight w:val="0"/>
              <w:marTop w:val="0"/>
              <w:marBottom w:val="0"/>
              <w:divBdr>
                <w:top w:val="none" w:sz="0" w:space="0" w:color="auto"/>
                <w:left w:val="none" w:sz="0" w:space="0" w:color="auto"/>
                <w:bottom w:val="none" w:sz="0" w:space="0" w:color="auto"/>
                <w:right w:val="none" w:sz="0" w:space="0" w:color="auto"/>
              </w:divBdr>
            </w:div>
          </w:divsChild>
        </w:div>
        <w:div w:id="256599512">
          <w:marLeft w:val="0"/>
          <w:marRight w:val="0"/>
          <w:marTop w:val="0"/>
          <w:marBottom w:val="0"/>
          <w:divBdr>
            <w:top w:val="none" w:sz="0" w:space="0" w:color="auto"/>
            <w:left w:val="none" w:sz="0" w:space="0" w:color="auto"/>
            <w:bottom w:val="none" w:sz="0" w:space="0" w:color="auto"/>
            <w:right w:val="none" w:sz="0" w:space="0" w:color="auto"/>
          </w:divBdr>
          <w:divsChild>
            <w:div w:id="2101829245">
              <w:marLeft w:val="0"/>
              <w:marRight w:val="0"/>
              <w:marTop w:val="0"/>
              <w:marBottom w:val="0"/>
              <w:divBdr>
                <w:top w:val="none" w:sz="0" w:space="0" w:color="auto"/>
                <w:left w:val="none" w:sz="0" w:space="0" w:color="auto"/>
                <w:bottom w:val="none" w:sz="0" w:space="0" w:color="auto"/>
                <w:right w:val="none" w:sz="0" w:space="0" w:color="auto"/>
              </w:divBdr>
            </w:div>
          </w:divsChild>
        </w:div>
        <w:div w:id="259342124">
          <w:marLeft w:val="0"/>
          <w:marRight w:val="0"/>
          <w:marTop w:val="0"/>
          <w:marBottom w:val="0"/>
          <w:divBdr>
            <w:top w:val="none" w:sz="0" w:space="0" w:color="auto"/>
            <w:left w:val="none" w:sz="0" w:space="0" w:color="auto"/>
            <w:bottom w:val="none" w:sz="0" w:space="0" w:color="auto"/>
            <w:right w:val="none" w:sz="0" w:space="0" w:color="auto"/>
          </w:divBdr>
          <w:divsChild>
            <w:div w:id="1669014457">
              <w:marLeft w:val="0"/>
              <w:marRight w:val="0"/>
              <w:marTop w:val="0"/>
              <w:marBottom w:val="0"/>
              <w:divBdr>
                <w:top w:val="none" w:sz="0" w:space="0" w:color="auto"/>
                <w:left w:val="none" w:sz="0" w:space="0" w:color="auto"/>
                <w:bottom w:val="none" w:sz="0" w:space="0" w:color="auto"/>
                <w:right w:val="none" w:sz="0" w:space="0" w:color="auto"/>
              </w:divBdr>
            </w:div>
          </w:divsChild>
        </w:div>
        <w:div w:id="263464760">
          <w:marLeft w:val="0"/>
          <w:marRight w:val="0"/>
          <w:marTop w:val="0"/>
          <w:marBottom w:val="0"/>
          <w:divBdr>
            <w:top w:val="none" w:sz="0" w:space="0" w:color="auto"/>
            <w:left w:val="none" w:sz="0" w:space="0" w:color="auto"/>
            <w:bottom w:val="none" w:sz="0" w:space="0" w:color="auto"/>
            <w:right w:val="none" w:sz="0" w:space="0" w:color="auto"/>
          </w:divBdr>
          <w:divsChild>
            <w:div w:id="2134788608">
              <w:marLeft w:val="0"/>
              <w:marRight w:val="0"/>
              <w:marTop w:val="0"/>
              <w:marBottom w:val="0"/>
              <w:divBdr>
                <w:top w:val="none" w:sz="0" w:space="0" w:color="auto"/>
                <w:left w:val="none" w:sz="0" w:space="0" w:color="auto"/>
                <w:bottom w:val="none" w:sz="0" w:space="0" w:color="auto"/>
                <w:right w:val="none" w:sz="0" w:space="0" w:color="auto"/>
              </w:divBdr>
            </w:div>
          </w:divsChild>
        </w:div>
        <w:div w:id="268316329">
          <w:marLeft w:val="0"/>
          <w:marRight w:val="0"/>
          <w:marTop w:val="0"/>
          <w:marBottom w:val="0"/>
          <w:divBdr>
            <w:top w:val="none" w:sz="0" w:space="0" w:color="auto"/>
            <w:left w:val="none" w:sz="0" w:space="0" w:color="auto"/>
            <w:bottom w:val="none" w:sz="0" w:space="0" w:color="auto"/>
            <w:right w:val="none" w:sz="0" w:space="0" w:color="auto"/>
          </w:divBdr>
          <w:divsChild>
            <w:div w:id="663169971">
              <w:marLeft w:val="0"/>
              <w:marRight w:val="0"/>
              <w:marTop w:val="0"/>
              <w:marBottom w:val="0"/>
              <w:divBdr>
                <w:top w:val="none" w:sz="0" w:space="0" w:color="auto"/>
                <w:left w:val="none" w:sz="0" w:space="0" w:color="auto"/>
                <w:bottom w:val="none" w:sz="0" w:space="0" w:color="auto"/>
                <w:right w:val="none" w:sz="0" w:space="0" w:color="auto"/>
              </w:divBdr>
            </w:div>
          </w:divsChild>
        </w:div>
        <w:div w:id="272174701">
          <w:marLeft w:val="0"/>
          <w:marRight w:val="0"/>
          <w:marTop w:val="0"/>
          <w:marBottom w:val="0"/>
          <w:divBdr>
            <w:top w:val="none" w:sz="0" w:space="0" w:color="auto"/>
            <w:left w:val="none" w:sz="0" w:space="0" w:color="auto"/>
            <w:bottom w:val="none" w:sz="0" w:space="0" w:color="auto"/>
            <w:right w:val="none" w:sz="0" w:space="0" w:color="auto"/>
          </w:divBdr>
          <w:divsChild>
            <w:div w:id="873885070">
              <w:marLeft w:val="0"/>
              <w:marRight w:val="0"/>
              <w:marTop w:val="0"/>
              <w:marBottom w:val="0"/>
              <w:divBdr>
                <w:top w:val="none" w:sz="0" w:space="0" w:color="auto"/>
                <w:left w:val="none" w:sz="0" w:space="0" w:color="auto"/>
                <w:bottom w:val="none" w:sz="0" w:space="0" w:color="auto"/>
                <w:right w:val="none" w:sz="0" w:space="0" w:color="auto"/>
              </w:divBdr>
            </w:div>
          </w:divsChild>
        </w:div>
        <w:div w:id="291060990">
          <w:marLeft w:val="0"/>
          <w:marRight w:val="0"/>
          <w:marTop w:val="0"/>
          <w:marBottom w:val="0"/>
          <w:divBdr>
            <w:top w:val="none" w:sz="0" w:space="0" w:color="auto"/>
            <w:left w:val="none" w:sz="0" w:space="0" w:color="auto"/>
            <w:bottom w:val="none" w:sz="0" w:space="0" w:color="auto"/>
            <w:right w:val="none" w:sz="0" w:space="0" w:color="auto"/>
          </w:divBdr>
          <w:divsChild>
            <w:div w:id="1676375472">
              <w:marLeft w:val="0"/>
              <w:marRight w:val="0"/>
              <w:marTop w:val="0"/>
              <w:marBottom w:val="0"/>
              <w:divBdr>
                <w:top w:val="none" w:sz="0" w:space="0" w:color="auto"/>
                <w:left w:val="none" w:sz="0" w:space="0" w:color="auto"/>
                <w:bottom w:val="none" w:sz="0" w:space="0" w:color="auto"/>
                <w:right w:val="none" w:sz="0" w:space="0" w:color="auto"/>
              </w:divBdr>
            </w:div>
          </w:divsChild>
        </w:div>
        <w:div w:id="308948973">
          <w:marLeft w:val="0"/>
          <w:marRight w:val="0"/>
          <w:marTop w:val="0"/>
          <w:marBottom w:val="0"/>
          <w:divBdr>
            <w:top w:val="none" w:sz="0" w:space="0" w:color="auto"/>
            <w:left w:val="none" w:sz="0" w:space="0" w:color="auto"/>
            <w:bottom w:val="none" w:sz="0" w:space="0" w:color="auto"/>
            <w:right w:val="none" w:sz="0" w:space="0" w:color="auto"/>
          </w:divBdr>
          <w:divsChild>
            <w:div w:id="1179930927">
              <w:marLeft w:val="0"/>
              <w:marRight w:val="0"/>
              <w:marTop w:val="0"/>
              <w:marBottom w:val="0"/>
              <w:divBdr>
                <w:top w:val="none" w:sz="0" w:space="0" w:color="auto"/>
                <w:left w:val="none" w:sz="0" w:space="0" w:color="auto"/>
                <w:bottom w:val="none" w:sz="0" w:space="0" w:color="auto"/>
                <w:right w:val="none" w:sz="0" w:space="0" w:color="auto"/>
              </w:divBdr>
            </w:div>
          </w:divsChild>
        </w:div>
        <w:div w:id="313291916">
          <w:marLeft w:val="0"/>
          <w:marRight w:val="0"/>
          <w:marTop w:val="0"/>
          <w:marBottom w:val="0"/>
          <w:divBdr>
            <w:top w:val="none" w:sz="0" w:space="0" w:color="auto"/>
            <w:left w:val="none" w:sz="0" w:space="0" w:color="auto"/>
            <w:bottom w:val="none" w:sz="0" w:space="0" w:color="auto"/>
            <w:right w:val="none" w:sz="0" w:space="0" w:color="auto"/>
          </w:divBdr>
          <w:divsChild>
            <w:div w:id="1469323339">
              <w:marLeft w:val="0"/>
              <w:marRight w:val="0"/>
              <w:marTop w:val="0"/>
              <w:marBottom w:val="0"/>
              <w:divBdr>
                <w:top w:val="none" w:sz="0" w:space="0" w:color="auto"/>
                <w:left w:val="none" w:sz="0" w:space="0" w:color="auto"/>
                <w:bottom w:val="none" w:sz="0" w:space="0" w:color="auto"/>
                <w:right w:val="none" w:sz="0" w:space="0" w:color="auto"/>
              </w:divBdr>
            </w:div>
          </w:divsChild>
        </w:div>
        <w:div w:id="318264946">
          <w:marLeft w:val="0"/>
          <w:marRight w:val="0"/>
          <w:marTop w:val="0"/>
          <w:marBottom w:val="0"/>
          <w:divBdr>
            <w:top w:val="none" w:sz="0" w:space="0" w:color="auto"/>
            <w:left w:val="none" w:sz="0" w:space="0" w:color="auto"/>
            <w:bottom w:val="none" w:sz="0" w:space="0" w:color="auto"/>
            <w:right w:val="none" w:sz="0" w:space="0" w:color="auto"/>
          </w:divBdr>
          <w:divsChild>
            <w:div w:id="1118724567">
              <w:marLeft w:val="0"/>
              <w:marRight w:val="0"/>
              <w:marTop w:val="0"/>
              <w:marBottom w:val="0"/>
              <w:divBdr>
                <w:top w:val="none" w:sz="0" w:space="0" w:color="auto"/>
                <w:left w:val="none" w:sz="0" w:space="0" w:color="auto"/>
                <w:bottom w:val="none" w:sz="0" w:space="0" w:color="auto"/>
                <w:right w:val="none" w:sz="0" w:space="0" w:color="auto"/>
              </w:divBdr>
            </w:div>
          </w:divsChild>
        </w:div>
        <w:div w:id="376048785">
          <w:marLeft w:val="0"/>
          <w:marRight w:val="0"/>
          <w:marTop w:val="0"/>
          <w:marBottom w:val="0"/>
          <w:divBdr>
            <w:top w:val="none" w:sz="0" w:space="0" w:color="auto"/>
            <w:left w:val="none" w:sz="0" w:space="0" w:color="auto"/>
            <w:bottom w:val="none" w:sz="0" w:space="0" w:color="auto"/>
            <w:right w:val="none" w:sz="0" w:space="0" w:color="auto"/>
          </w:divBdr>
          <w:divsChild>
            <w:div w:id="1928608562">
              <w:marLeft w:val="0"/>
              <w:marRight w:val="0"/>
              <w:marTop w:val="0"/>
              <w:marBottom w:val="0"/>
              <w:divBdr>
                <w:top w:val="none" w:sz="0" w:space="0" w:color="auto"/>
                <w:left w:val="none" w:sz="0" w:space="0" w:color="auto"/>
                <w:bottom w:val="none" w:sz="0" w:space="0" w:color="auto"/>
                <w:right w:val="none" w:sz="0" w:space="0" w:color="auto"/>
              </w:divBdr>
            </w:div>
          </w:divsChild>
        </w:div>
        <w:div w:id="389960884">
          <w:marLeft w:val="0"/>
          <w:marRight w:val="0"/>
          <w:marTop w:val="0"/>
          <w:marBottom w:val="0"/>
          <w:divBdr>
            <w:top w:val="none" w:sz="0" w:space="0" w:color="auto"/>
            <w:left w:val="none" w:sz="0" w:space="0" w:color="auto"/>
            <w:bottom w:val="none" w:sz="0" w:space="0" w:color="auto"/>
            <w:right w:val="none" w:sz="0" w:space="0" w:color="auto"/>
          </w:divBdr>
          <w:divsChild>
            <w:div w:id="553585792">
              <w:marLeft w:val="0"/>
              <w:marRight w:val="0"/>
              <w:marTop w:val="0"/>
              <w:marBottom w:val="0"/>
              <w:divBdr>
                <w:top w:val="none" w:sz="0" w:space="0" w:color="auto"/>
                <w:left w:val="none" w:sz="0" w:space="0" w:color="auto"/>
                <w:bottom w:val="none" w:sz="0" w:space="0" w:color="auto"/>
                <w:right w:val="none" w:sz="0" w:space="0" w:color="auto"/>
              </w:divBdr>
            </w:div>
          </w:divsChild>
        </w:div>
        <w:div w:id="400717329">
          <w:marLeft w:val="0"/>
          <w:marRight w:val="0"/>
          <w:marTop w:val="0"/>
          <w:marBottom w:val="0"/>
          <w:divBdr>
            <w:top w:val="none" w:sz="0" w:space="0" w:color="auto"/>
            <w:left w:val="none" w:sz="0" w:space="0" w:color="auto"/>
            <w:bottom w:val="none" w:sz="0" w:space="0" w:color="auto"/>
            <w:right w:val="none" w:sz="0" w:space="0" w:color="auto"/>
          </w:divBdr>
          <w:divsChild>
            <w:div w:id="661542064">
              <w:marLeft w:val="0"/>
              <w:marRight w:val="0"/>
              <w:marTop w:val="0"/>
              <w:marBottom w:val="0"/>
              <w:divBdr>
                <w:top w:val="none" w:sz="0" w:space="0" w:color="auto"/>
                <w:left w:val="none" w:sz="0" w:space="0" w:color="auto"/>
                <w:bottom w:val="none" w:sz="0" w:space="0" w:color="auto"/>
                <w:right w:val="none" w:sz="0" w:space="0" w:color="auto"/>
              </w:divBdr>
            </w:div>
          </w:divsChild>
        </w:div>
        <w:div w:id="405224438">
          <w:marLeft w:val="0"/>
          <w:marRight w:val="0"/>
          <w:marTop w:val="0"/>
          <w:marBottom w:val="0"/>
          <w:divBdr>
            <w:top w:val="none" w:sz="0" w:space="0" w:color="auto"/>
            <w:left w:val="none" w:sz="0" w:space="0" w:color="auto"/>
            <w:bottom w:val="none" w:sz="0" w:space="0" w:color="auto"/>
            <w:right w:val="none" w:sz="0" w:space="0" w:color="auto"/>
          </w:divBdr>
          <w:divsChild>
            <w:div w:id="1247034583">
              <w:marLeft w:val="0"/>
              <w:marRight w:val="0"/>
              <w:marTop w:val="0"/>
              <w:marBottom w:val="0"/>
              <w:divBdr>
                <w:top w:val="none" w:sz="0" w:space="0" w:color="auto"/>
                <w:left w:val="none" w:sz="0" w:space="0" w:color="auto"/>
                <w:bottom w:val="none" w:sz="0" w:space="0" w:color="auto"/>
                <w:right w:val="none" w:sz="0" w:space="0" w:color="auto"/>
              </w:divBdr>
            </w:div>
          </w:divsChild>
        </w:div>
        <w:div w:id="411657321">
          <w:marLeft w:val="0"/>
          <w:marRight w:val="0"/>
          <w:marTop w:val="0"/>
          <w:marBottom w:val="0"/>
          <w:divBdr>
            <w:top w:val="none" w:sz="0" w:space="0" w:color="auto"/>
            <w:left w:val="none" w:sz="0" w:space="0" w:color="auto"/>
            <w:bottom w:val="none" w:sz="0" w:space="0" w:color="auto"/>
            <w:right w:val="none" w:sz="0" w:space="0" w:color="auto"/>
          </w:divBdr>
          <w:divsChild>
            <w:div w:id="1343782147">
              <w:marLeft w:val="0"/>
              <w:marRight w:val="0"/>
              <w:marTop w:val="0"/>
              <w:marBottom w:val="0"/>
              <w:divBdr>
                <w:top w:val="none" w:sz="0" w:space="0" w:color="auto"/>
                <w:left w:val="none" w:sz="0" w:space="0" w:color="auto"/>
                <w:bottom w:val="none" w:sz="0" w:space="0" w:color="auto"/>
                <w:right w:val="none" w:sz="0" w:space="0" w:color="auto"/>
              </w:divBdr>
            </w:div>
          </w:divsChild>
        </w:div>
        <w:div w:id="429745116">
          <w:marLeft w:val="0"/>
          <w:marRight w:val="0"/>
          <w:marTop w:val="0"/>
          <w:marBottom w:val="0"/>
          <w:divBdr>
            <w:top w:val="none" w:sz="0" w:space="0" w:color="auto"/>
            <w:left w:val="none" w:sz="0" w:space="0" w:color="auto"/>
            <w:bottom w:val="none" w:sz="0" w:space="0" w:color="auto"/>
            <w:right w:val="none" w:sz="0" w:space="0" w:color="auto"/>
          </w:divBdr>
          <w:divsChild>
            <w:div w:id="1841457744">
              <w:marLeft w:val="0"/>
              <w:marRight w:val="0"/>
              <w:marTop w:val="0"/>
              <w:marBottom w:val="0"/>
              <w:divBdr>
                <w:top w:val="none" w:sz="0" w:space="0" w:color="auto"/>
                <w:left w:val="none" w:sz="0" w:space="0" w:color="auto"/>
                <w:bottom w:val="none" w:sz="0" w:space="0" w:color="auto"/>
                <w:right w:val="none" w:sz="0" w:space="0" w:color="auto"/>
              </w:divBdr>
            </w:div>
          </w:divsChild>
        </w:div>
        <w:div w:id="440296193">
          <w:marLeft w:val="0"/>
          <w:marRight w:val="0"/>
          <w:marTop w:val="0"/>
          <w:marBottom w:val="0"/>
          <w:divBdr>
            <w:top w:val="none" w:sz="0" w:space="0" w:color="auto"/>
            <w:left w:val="none" w:sz="0" w:space="0" w:color="auto"/>
            <w:bottom w:val="none" w:sz="0" w:space="0" w:color="auto"/>
            <w:right w:val="none" w:sz="0" w:space="0" w:color="auto"/>
          </w:divBdr>
          <w:divsChild>
            <w:div w:id="1270161127">
              <w:marLeft w:val="0"/>
              <w:marRight w:val="0"/>
              <w:marTop w:val="0"/>
              <w:marBottom w:val="0"/>
              <w:divBdr>
                <w:top w:val="none" w:sz="0" w:space="0" w:color="auto"/>
                <w:left w:val="none" w:sz="0" w:space="0" w:color="auto"/>
                <w:bottom w:val="none" w:sz="0" w:space="0" w:color="auto"/>
                <w:right w:val="none" w:sz="0" w:space="0" w:color="auto"/>
              </w:divBdr>
            </w:div>
          </w:divsChild>
        </w:div>
        <w:div w:id="442579660">
          <w:marLeft w:val="0"/>
          <w:marRight w:val="0"/>
          <w:marTop w:val="0"/>
          <w:marBottom w:val="0"/>
          <w:divBdr>
            <w:top w:val="none" w:sz="0" w:space="0" w:color="auto"/>
            <w:left w:val="none" w:sz="0" w:space="0" w:color="auto"/>
            <w:bottom w:val="none" w:sz="0" w:space="0" w:color="auto"/>
            <w:right w:val="none" w:sz="0" w:space="0" w:color="auto"/>
          </w:divBdr>
          <w:divsChild>
            <w:div w:id="2031301249">
              <w:marLeft w:val="0"/>
              <w:marRight w:val="0"/>
              <w:marTop w:val="0"/>
              <w:marBottom w:val="0"/>
              <w:divBdr>
                <w:top w:val="none" w:sz="0" w:space="0" w:color="auto"/>
                <w:left w:val="none" w:sz="0" w:space="0" w:color="auto"/>
                <w:bottom w:val="none" w:sz="0" w:space="0" w:color="auto"/>
                <w:right w:val="none" w:sz="0" w:space="0" w:color="auto"/>
              </w:divBdr>
            </w:div>
          </w:divsChild>
        </w:div>
        <w:div w:id="475924662">
          <w:marLeft w:val="0"/>
          <w:marRight w:val="0"/>
          <w:marTop w:val="0"/>
          <w:marBottom w:val="0"/>
          <w:divBdr>
            <w:top w:val="none" w:sz="0" w:space="0" w:color="auto"/>
            <w:left w:val="none" w:sz="0" w:space="0" w:color="auto"/>
            <w:bottom w:val="none" w:sz="0" w:space="0" w:color="auto"/>
            <w:right w:val="none" w:sz="0" w:space="0" w:color="auto"/>
          </w:divBdr>
          <w:divsChild>
            <w:div w:id="1269587348">
              <w:marLeft w:val="0"/>
              <w:marRight w:val="0"/>
              <w:marTop w:val="0"/>
              <w:marBottom w:val="0"/>
              <w:divBdr>
                <w:top w:val="none" w:sz="0" w:space="0" w:color="auto"/>
                <w:left w:val="none" w:sz="0" w:space="0" w:color="auto"/>
                <w:bottom w:val="none" w:sz="0" w:space="0" w:color="auto"/>
                <w:right w:val="none" w:sz="0" w:space="0" w:color="auto"/>
              </w:divBdr>
            </w:div>
          </w:divsChild>
        </w:div>
        <w:div w:id="482040975">
          <w:marLeft w:val="0"/>
          <w:marRight w:val="0"/>
          <w:marTop w:val="0"/>
          <w:marBottom w:val="0"/>
          <w:divBdr>
            <w:top w:val="none" w:sz="0" w:space="0" w:color="auto"/>
            <w:left w:val="none" w:sz="0" w:space="0" w:color="auto"/>
            <w:bottom w:val="none" w:sz="0" w:space="0" w:color="auto"/>
            <w:right w:val="none" w:sz="0" w:space="0" w:color="auto"/>
          </w:divBdr>
          <w:divsChild>
            <w:div w:id="487140232">
              <w:marLeft w:val="0"/>
              <w:marRight w:val="0"/>
              <w:marTop w:val="0"/>
              <w:marBottom w:val="0"/>
              <w:divBdr>
                <w:top w:val="none" w:sz="0" w:space="0" w:color="auto"/>
                <w:left w:val="none" w:sz="0" w:space="0" w:color="auto"/>
                <w:bottom w:val="none" w:sz="0" w:space="0" w:color="auto"/>
                <w:right w:val="none" w:sz="0" w:space="0" w:color="auto"/>
              </w:divBdr>
            </w:div>
          </w:divsChild>
        </w:div>
        <w:div w:id="537282610">
          <w:marLeft w:val="0"/>
          <w:marRight w:val="0"/>
          <w:marTop w:val="0"/>
          <w:marBottom w:val="0"/>
          <w:divBdr>
            <w:top w:val="none" w:sz="0" w:space="0" w:color="auto"/>
            <w:left w:val="none" w:sz="0" w:space="0" w:color="auto"/>
            <w:bottom w:val="none" w:sz="0" w:space="0" w:color="auto"/>
            <w:right w:val="none" w:sz="0" w:space="0" w:color="auto"/>
          </w:divBdr>
          <w:divsChild>
            <w:div w:id="1136920707">
              <w:marLeft w:val="0"/>
              <w:marRight w:val="0"/>
              <w:marTop w:val="0"/>
              <w:marBottom w:val="0"/>
              <w:divBdr>
                <w:top w:val="none" w:sz="0" w:space="0" w:color="auto"/>
                <w:left w:val="none" w:sz="0" w:space="0" w:color="auto"/>
                <w:bottom w:val="none" w:sz="0" w:space="0" w:color="auto"/>
                <w:right w:val="none" w:sz="0" w:space="0" w:color="auto"/>
              </w:divBdr>
            </w:div>
          </w:divsChild>
        </w:div>
        <w:div w:id="542256758">
          <w:marLeft w:val="0"/>
          <w:marRight w:val="0"/>
          <w:marTop w:val="0"/>
          <w:marBottom w:val="0"/>
          <w:divBdr>
            <w:top w:val="none" w:sz="0" w:space="0" w:color="auto"/>
            <w:left w:val="none" w:sz="0" w:space="0" w:color="auto"/>
            <w:bottom w:val="none" w:sz="0" w:space="0" w:color="auto"/>
            <w:right w:val="none" w:sz="0" w:space="0" w:color="auto"/>
          </w:divBdr>
          <w:divsChild>
            <w:div w:id="1408649158">
              <w:marLeft w:val="0"/>
              <w:marRight w:val="0"/>
              <w:marTop w:val="0"/>
              <w:marBottom w:val="0"/>
              <w:divBdr>
                <w:top w:val="none" w:sz="0" w:space="0" w:color="auto"/>
                <w:left w:val="none" w:sz="0" w:space="0" w:color="auto"/>
                <w:bottom w:val="none" w:sz="0" w:space="0" w:color="auto"/>
                <w:right w:val="none" w:sz="0" w:space="0" w:color="auto"/>
              </w:divBdr>
            </w:div>
          </w:divsChild>
        </w:div>
        <w:div w:id="542718753">
          <w:marLeft w:val="0"/>
          <w:marRight w:val="0"/>
          <w:marTop w:val="0"/>
          <w:marBottom w:val="0"/>
          <w:divBdr>
            <w:top w:val="none" w:sz="0" w:space="0" w:color="auto"/>
            <w:left w:val="none" w:sz="0" w:space="0" w:color="auto"/>
            <w:bottom w:val="none" w:sz="0" w:space="0" w:color="auto"/>
            <w:right w:val="none" w:sz="0" w:space="0" w:color="auto"/>
          </w:divBdr>
          <w:divsChild>
            <w:div w:id="1250770866">
              <w:marLeft w:val="0"/>
              <w:marRight w:val="0"/>
              <w:marTop w:val="0"/>
              <w:marBottom w:val="0"/>
              <w:divBdr>
                <w:top w:val="none" w:sz="0" w:space="0" w:color="auto"/>
                <w:left w:val="none" w:sz="0" w:space="0" w:color="auto"/>
                <w:bottom w:val="none" w:sz="0" w:space="0" w:color="auto"/>
                <w:right w:val="none" w:sz="0" w:space="0" w:color="auto"/>
              </w:divBdr>
            </w:div>
          </w:divsChild>
        </w:div>
        <w:div w:id="547690088">
          <w:marLeft w:val="0"/>
          <w:marRight w:val="0"/>
          <w:marTop w:val="0"/>
          <w:marBottom w:val="0"/>
          <w:divBdr>
            <w:top w:val="none" w:sz="0" w:space="0" w:color="auto"/>
            <w:left w:val="none" w:sz="0" w:space="0" w:color="auto"/>
            <w:bottom w:val="none" w:sz="0" w:space="0" w:color="auto"/>
            <w:right w:val="none" w:sz="0" w:space="0" w:color="auto"/>
          </w:divBdr>
          <w:divsChild>
            <w:div w:id="1065180147">
              <w:marLeft w:val="0"/>
              <w:marRight w:val="0"/>
              <w:marTop w:val="0"/>
              <w:marBottom w:val="0"/>
              <w:divBdr>
                <w:top w:val="none" w:sz="0" w:space="0" w:color="auto"/>
                <w:left w:val="none" w:sz="0" w:space="0" w:color="auto"/>
                <w:bottom w:val="none" w:sz="0" w:space="0" w:color="auto"/>
                <w:right w:val="none" w:sz="0" w:space="0" w:color="auto"/>
              </w:divBdr>
            </w:div>
          </w:divsChild>
        </w:div>
        <w:div w:id="624852048">
          <w:marLeft w:val="0"/>
          <w:marRight w:val="0"/>
          <w:marTop w:val="0"/>
          <w:marBottom w:val="0"/>
          <w:divBdr>
            <w:top w:val="none" w:sz="0" w:space="0" w:color="auto"/>
            <w:left w:val="none" w:sz="0" w:space="0" w:color="auto"/>
            <w:bottom w:val="none" w:sz="0" w:space="0" w:color="auto"/>
            <w:right w:val="none" w:sz="0" w:space="0" w:color="auto"/>
          </w:divBdr>
          <w:divsChild>
            <w:div w:id="1232347860">
              <w:marLeft w:val="0"/>
              <w:marRight w:val="0"/>
              <w:marTop w:val="0"/>
              <w:marBottom w:val="0"/>
              <w:divBdr>
                <w:top w:val="none" w:sz="0" w:space="0" w:color="auto"/>
                <w:left w:val="none" w:sz="0" w:space="0" w:color="auto"/>
                <w:bottom w:val="none" w:sz="0" w:space="0" w:color="auto"/>
                <w:right w:val="none" w:sz="0" w:space="0" w:color="auto"/>
              </w:divBdr>
            </w:div>
          </w:divsChild>
        </w:div>
        <w:div w:id="661784912">
          <w:marLeft w:val="0"/>
          <w:marRight w:val="0"/>
          <w:marTop w:val="0"/>
          <w:marBottom w:val="0"/>
          <w:divBdr>
            <w:top w:val="none" w:sz="0" w:space="0" w:color="auto"/>
            <w:left w:val="none" w:sz="0" w:space="0" w:color="auto"/>
            <w:bottom w:val="none" w:sz="0" w:space="0" w:color="auto"/>
            <w:right w:val="none" w:sz="0" w:space="0" w:color="auto"/>
          </w:divBdr>
          <w:divsChild>
            <w:div w:id="102504200">
              <w:marLeft w:val="0"/>
              <w:marRight w:val="0"/>
              <w:marTop w:val="0"/>
              <w:marBottom w:val="0"/>
              <w:divBdr>
                <w:top w:val="none" w:sz="0" w:space="0" w:color="auto"/>
                <w:left w:val="none" w:sz="0" w:space="0" w:color="auto"/>
                <w:bottom w:val="none" w:sz="0" w:space="0" w:color="auto"/>
                <w:right w:val="none" w:sz="0" w:space="0" w:color="auto"/>
              </w:divBdr>
            </w:div>
          </w:divsChild>
        </w:div>
        <w:div w:id="731002704">
          <w:marLeft w:val="0"/>
          <w:marRight w:val="0"/>
          <w:marTop w:val="0"/>
          <w:marBottom w:val="0"/>
          <w:divBdr>
            <w:top w:val="none" w:sz="0" w:space="0" w:color="auto"/>
            <w:left w:val="none" w:sz="0" w:space="0" w:color="auto"/>
            <w:bottom w:val="none" w:sz="0" w:space="0" w:color="auto"/>
            <w:right w:val="none" w:sz="0" w:space="0" w:color="auto"/>
          </w:divBdr>
          <w:divsChild>
            <w:div w:id="1602370201">
              <w:marLeft w:val="0"/>
              <w:marRight w:val="0"/>
              <w:marTop w:val="0"/>
              <w:marBottom w:val="0"/>
              <w:divBdr>
                <w:top w:val="none" w:sz="0" w:space="0" w:color="auto"/>
                <w:left w:val="none" w:sz="0" w:space="0" w:color="auto"/>
                <w:bottom w:val="none" w:sz="0" w:space="0" w:color="auto"/>
                <w:right w:val="none" w:sz="0" w:space="0" w:color="auto"/>
              </w:divBdr>
            </w:div>
          </w:divsChild>
        </w:div>
        <w:div w:id="748650445">
          <w:marLeft w:val="0"/>
          <w:marRight w:val="0"/>
          <w:marTop w:val="0"/>
          <w:marBottom w:val="0"/>
          <w:divBdr>
            <w:top w:val="none" w:sz="0" w:space="0" w:color="auto"/>
            <w:left w:val="none" w:sz="0" w:space="0" w:color="auto"/>
            <w:bottom w:val="none" w:sz="0" w:space="0" w:color="auto"/>
            <w:right w:val="none" w:sz="0" w:space="0" w:color="auto"/>
          </w:divBdr>
          <w:divsChild>
            <w:div w:id="1853908029">
              <w:marLeft w:val="0"/>
              <w:marRight w:val="0"/>
              <w:marTop w:val="0"/>
              <w:marBottom w:val="0"/>
              <w:divBdr>
                <w:top w:val="none" w:sz="0" w:space="0" w:color="auto"/>
                <w:left w:val="none" w:sz="0" w:space="0" w:color="auto"/>
                <w:bottom w:val="none" w:sz="0" w:space="0" w:color="auto"/>
                <w:right w:val="none" w:sz="0" w:space="0" w:color="auto"/>
              </w:divBdr>
            </w:div>
          </w:divsChild>
        </w:div>
        <w:div w:id="780685248">
          <w:marLeft w:val="0"/>
          <w:marRight w:val="0"/>
          <w:marTop w:val="0"/>
          <w:marBottom w:val="0"/>
          <w:divBdr>
            <w:top w:val="none" w:sz="0" w:space="0" w:color="auto"/>
            <w:left w:val="none" w:sz="0" w:space="0" w:color="auto"/>
            <w:bottom w:val="none" w:sz="0" w:space="0" w:color="auto"/>
            <w:right w:val="none" w:sz="0" w:space="0" w:color="auto"/>
          </w:divBdr>
          <w:divsChild>
            <w:div w:id="205988397">
              <w:marLeft w:val="0"/>
              <w:marRight w:val="0"/>
              <w:marTop w:val="0"/>
              <w:marBottom w:val="0"/>
              <w:divBdr>
                <w:top w:val="none" w:sz="0" w:space="0" w:color="auto"/>
                <w:left w:val="none" w:sz="0" w:space="0" w:color="auto"/>
                <w:bottom w:val="none" w:sz="0" w:space="0" w:color="auto"/>
                <w:right w:val="none" w:sz="0" w:space="0" w:color="auto"/>
              </w:divBdr>
            </w:div>
          </w:divsChild>
        </w:div>
        <w:div w:id="796803926">
          <w:marLeft w:val="0"/>
          <w:marRight w:val="0"/>
          <w:marTop w:val="0"/>
          <w:marBottom w:val="0"/>
          <w:divBdr>
            <w:top w:val="none" w:sz="0" w:space="0" w:color="auto"/>
            <w:left w:val="none" w:sz="0" w:space="0" w:color="auto"/>
            <w:bottom w:val="none" w:sz="0" w:space="0" w:color="auto"/>
            <w:right w:val="none" w:sz="0" w:space="0" w:color="auto"/>
          </w:divBdr>
          <w:divsChild>
            <w:div w:id="1222323498">
              <w:marLeft w:val="0"/>
              <w:marRight w:val="0"/>
              <w:marTop w:val="0"/>
              <w:marBottom w:val="0"/>
              <w:divBdr>
                <w:top w:val="none" w:sz="0" w:space="0" w:color="auto"/>
                <w:left w:val="none" w:sz="0" w:space="0" w:color="auto"/>
                <w:bottom w:val="none" w:sz="0" w:space="0" w:color="auto"/>
                <w:right w:val="none" w:sz="0" w:space="0" w:color="auto"/>
              </w:divBdr>
            </w:div>
          </w:divsChild>
        </w:div>
        <w:div w:id="805511269">
          <w:marLeft w:val="0"/>
          <w:marRight w:val="0"/>
          <w:marTop w:val="0"/>
          <w:marBottom w:val="0"/>
          <w:divBdr>
            <w:top w:val="none" w:sz="0" w:space="0" w:color="auto"/>
            <w:left w:val="none" w:sz="0" w:space="0" w:color="auto"/>
            <w:bottom w:val="none" w:sz="0" w:space="0" w:color="auto"/>
            <w:right w:val="none" w:sz="0" w:space="0" w:color="auto"/>
          </w:divBdr>
          <w:divsChild>
            <w:div w:id="183979425">
              <w:marLeft w:val="0"/>
              <w:marRight w:val="0"/>
              <w:marTop w:val="0"/>
              <w:marBottom w:val="0"/>
              <w:divBdr>
                <w:top w:val="none" w:sz="0" w:space="0" w:color="auto"/>
                <w:left w:val="none" w:sz="0" w:space="0" w:color="auto"/>
                <w:bottom w:val="none" w:sz="0" w:space="0" w:color="auto"/>
                <w:right w:val="none" w:sz="0" w:space="0" w:color="auto"/>
              </w:divBdr>
            </w:div>
          </w:divsChild>
        </w:div>
        <w:div w:id="828903582">
          <w:marLeft w:val="0"/>
          <w:marRight w:val="0"/>
          <w:marTop w:val="0"/>
          <w:marBottom w:val="0"/>
          <w:divBdr>
            <w:top w:val="none" w:sz="0" w:space="0" w:color="auto"/>
            <w:left w:val="none" w:sz="0" w:space="0" w:color="auto"/>
            <w:bottom w:val="none" w:sz="0" w:space="0" w:color="auto"/>
            <w:right w:val="none" w:sz="0" w:space="0" w:color="auto"/>
          </w:divBdr>
          <w:divsChild>
            <w:div w:id="1661226247">
              <w:marLeft w:val="0"/>
              <w:marRight w:val="0"/>
              <w:marTop w:val="0"/>
              <w:marBottom w:val="0"/>
              <w:divBdr>
                <w:top w:val="none" w:sz="0" w:space="0" w:color="auto"/>
                <w:left w:val="none" w:sz="0" w:space="0" w:color="auto"/>
                <w:bottom w:val="none" w:sz="0" w:space="0" w:color="auto"/>
                <w:right w:val="none" w:sz="0" w:space="0" w:color="auto"/>
              </w:divBdr>
            </w:div>
          </w:divsChild>
        </w:div>
        <w:div w:id="842210480">
          <w:marLeft w:val="0"/>
          <w:marRight w:val="0"/>
          <w:marTop w:val="0"/>
          <w:marBottom w:val="0"/>
          <w:divBdr>
            <w:top w:val="none" w:sz="0" w:space="0" w:color="auto"/>
            <w:left w:val="none" w:sz="0" w:space="0" w:color="auto"/>
            <w:bottom w:val="none" w:sz="0" w:space="0" w:color="auto"/>
            <w:right w:val="none" w:sz="0" w:space="0" w:color="auto"/>
          </w:divBdr>
          <w:divsChild>
            <w:div w:id="1450926758">
              <w:marLeft w:val="0"/>
              <w:marRight w:val="0"/>
              <w:marTop w:val="0"/>
              <w:marBottom w:val="0"/>
              <w:divBdr>
                <w:top w:val="none" w:sz="0" w:space="0" w:color="auto"/>
                <w:left w:val="none" w:sz="0" w:space="0" w:color="auto"/>
                <w:bottom w:val="none" w:sz="0" w:space="0" w:color="auto"/>
                <w:right w:val="none" w:sz="0" w:space="0" w:color="auto"/>
              </w:divBdr>
            </w:div>
          </w:divsChild>
        </w:div>
        <w:div w:id="846404979">
          <w:marLeft w:val="0"/>
          <w:marRight w:val="0"/>
          <w:marTop w:val="0"/>
          <w:marBottom w:val="0"/>
          <w:divBdr>
            <w:top w:val="none" w:sz="0" w:space="0" w:color="auto"/>
            <w:left w:val="none" w:sz="0" w:space="0" w:color="auto"/>
            <w:bottom w:val="none" w:sz="0" w:space="0" w:color="auto"/>
            <w:right w:val="none" w:sz="0" w:space="0" w:color="auto"/>
          </w:divBdr>
          <w:divsChild>
            <w:div w:id="108277154">
              <w:marLeft w:val="0"/>
              <w:marRight w:val="0"/>
              <w:marTop w:val="0"/>
              <w:marBottom w:val="0"/>
              <w:divBdr>
                <w:top w:val="none" w:sz="0" w:space="0" w:color="auto"/>
                <w:left w:val="none" w:sz="0" w:space="0" w:color="auto"/>
                <w:bottom w:val="none" w:sz="0" w:space="0" w:color="auto"/>
                <w:right w:val="none" w:sz="0" w:space="0" w:color="auto"/>
              </w:divBdr>
            </w:div>
          </w:divsChild>
        </w:div>
        <w:div w:id="852839169">
          <w:marLeft w:val="0"/>
          <w:marRight w:val="0"/>
          <w:marTop w:val="0"/>
          <w:marBottom w:val="0"/>
          <w:divBdr>
            <w:top w:val="none" w:sz="0" w:space="0" w:color="auto"/>
            <w:left w:val="none" w:sz="0" w:space="0" w:color="auto"/>
            <w:bottom w:val="none" w:sz="0" w:space="0" w:color="auto"/>
            <w:right w:val="none" w:sz="0" w:space="0" w:color="auto"/>
          </w:divBdr>
          <w:divsChild>
            <w:div w:id="1003894933">
              <w:marLeft w:val="0"/>
              <w:marRight w:val="0"/>
              <w:marTop w:val="0"/>
              <w:marBottom w:val="0"/>
              <w:divBdr>
                <w:top w:val="none" w:sz="0" w:space="0" w:color="auto"/>
                <w:left w:val="none" w:sz="0" w:space="0" w:color="auto"/>
                <w:bottom w:val="none" w:sz="0" w:space="0" w:color="auto"/>
                <w:right w:val="none" w:sz="0" w:space="0" w:color="auto"/>
              </w:divBdr>
            </w:div>
          </w:divsChild>
        </w:div>
        <w:div w:id="864908139">
          <w:marLeft w:val="0"/>
          <w:marRight w:val="0"/>
          <w:marTop w:val="0"/>
          <w:marBottom w:val="0"/>
          <w:divBdr>
            <w:top w:val="none" w:sz="0" w:space="0" w:color="auto"/>
            <w:left w:val="none" w:sz="0" w:space="0" w:color="auto"/>
            <w:bottom w:val="none" w:sz="0" w:space="0" w:color="auto"/>
            <w:right w:val="none" w:sz="0" w:space="0" w:color="auto"/>
          </w:divBdr>
          <w:divsChild>
            <w:div w:id="1002397220">
              <w:marLeft w:val="0"/>
              <w:marRight w:val="0"/>
              <w:marTop w:val="0"/>
              <w:marBottom w:val="0"/>
              <w:divBdr>
                <w:top w:val="none" w:sz="0" w:space="0" w:color="auto"/>
                <w:left w:val="none" w:sz="0" w:space="0" w:color="auto"/>
                <w:bottom w:val="none" w:sz="0" w:space="0" w:color="auto"/>
                <w:right w:val="none" w:sz="0" w:space="0" w:color="auto"/>
              </w:divBdr>
            </w:div>
          </w:divsChild>
        </w:div>
        <w:div w:id="868102217">
          <w:marLeft w:val="0"/>
          <w:marRight w:val="0"/>
          <w:marTop w:val="0"/>
          <w:marBottom w:val="0"/>
          <w:divBdr>
            <w:top w:val="none" w:sz="0" w:space="0" w:color="auto"/>
            <w:left w:val="none" w:sz="0" w:space="0" w:color="auto"/>
            <w:bottom w:val="none" w:sz="0" w:space="0" w:color="auto"/>
            <w:right w:val="none" w:sz="0" w:space="0" w:color="auto"/>
          </w:divBdr>
          <w:divsChild>
            <w:div w:id="650256014">
              <w:marLeft w:val="0"/>
              <w:marRight w:val="0"/>
              <w:marTop w:val="0"/>
              <w:marBottom w:val="0"/>
              <w:divBdr>
                <w:top w:val="none" w:sz="0" w:space="0" w:color="auto"/>
                <w:left w:val="none" w:sz="0" w:space="0" w:color="auto"/>
                <w:bottom w:val="none" w:sz="0" w:space="0" w:color="auto"/>
                <w:right w:val="none" w:sz="0" w:space="0" w:color="auto"/>
              </w:divBdr>
            </w:div>
          </w:divsChild>
        </w:div>
        <w:div w:id="879515085">
          <w:marLeft w:val="0"/>
          <w:marRight w:val="0"/>
          <w:marTop w:val="0"/>
          <w:marBottom w:val="0"/>
          <w:divBdr>
            <w:top w:val="none" w:sz="0" w:space="0" w:color="auto"/>
            <w:left w:val="none" w:sz="0" w:space="0" w:color="auto"/>
            <w:bottom w:val="none" w:sz="0" w:space="0" w:color="auto"/>
            <w:right w:val="none" w:sz="0" w:space="0" w:color="auto"/>
          </w:divBdr>
          <w:divsChild>
            <w:div w:id="592081803">
              <w:marLeft w:val="0"/>
              <w:marRight w:val="0"/>
              <w:marTop w:val="0"/>
              <w:marBottom w:val="0"/>
              <w:divBdr>
                <w:top w:val="none" w:sz="0" w:space="0" w:color="auto"/>
                <w:left w:val="none" w:sz="0" w:space="0" w:color="auto"/>
                <w:bottom w:val="none" w:sz="0" w:space="0" w:color="auto"/>
                <w:right w:val="none" w:sz="0" w:space="0" w:color="auto"/>
              </w:divBdr>
            </w:div>
          </w:divsChild>
        </w:div>
        <w:div w:id="897983296">
          <w:marLeft w:val="0"/>
          <w:marRight w:val="0"/>
          <w:marTop w:val="0"/>
          <w:marBottom w:val="0"/>
          <w:divBdr>
            <w:top w:val="none" w:sz="0" w:space="0" w:color="auto"/>
            <w:left w:val="none" w:sz="0" w:space="0" w:color="auto"/>
            <w:bottom w:val="none" w:sz="0" w:space="0" w:color="auto"/>
            <w:right w:val="none" w:sz="0" w:space="0" w:color="auto"/>
          </w:divBdr>
          <w:divsChild>
            <w:div w:id="663968192">
              <w:marLeft w:val="0"/>
              <w:marRight w:val="0"/>
              <w:marTop w:val="0"/>
              <w:marBottom w:val="0"/>
              <w:divBdr>
                <w:top w:val="none" w:sz="0" w:space="0" w:color="auto"/>
                <w:left w:val="none" w:sz="0" w:space="0" w:color="auto"/>
                <w:bottom w:val="none" w:sz="0" w:space="0" w:color="auto"/>
                <w:right w:val="none" w:sz="0" w:space="0" w:color="auto"/>
              </w:divBdr>
            </w:div>
          </w:divsChild>
        </w:div>
        <w:div w:id="928738503">
          <w:marLeft w:val="0"/>
          <w:marRight w:val="0"/>
          <w:marTop w:val="0"/>
          <w:marBottom w:val="0"/>
          <w:divBdr>
            <w:top w:val="none" w:sz="0" w:space="0" w:color="auto"/>
            <w:left w:val="none" w:sz="0" w:space="0" w:color="auto"/>
            <w:bottom w:val="none" w:sz="0" w:space="0" w:color="auto"/>
            <w:right w:val="none" w:sz="0" w:space="0" w:color="auto"/>
          </w:divBdr>
          <w:divsChild>
            <w:div w:id="2141681931">
              <w:marLeft w:val="0"/>
              <w:marRight w:val="0"/>
              <w:marTop w:val="0"/>
              <w:marBottom w:val="0"/>
              <w:divBdr>
                <w:top w:val="none" w:sz="0" w:space="0" w:color="auto"/>
                <w:left w:val="none" w:sz="0" w:space="0" w:color="auto"/>
                <w:bottom w:val="none" w:sz="0" w:space="0" w:color="auto"/>
                <w:right w:val="none" w:sz="0" w:space="0" w:color="auto"/>
              </w:divBdr>
            </w:div>
          </w:divsChild>
        </w:div>
        <w:div w:id="938022238">
          <w:marLeft w:val="0"/>
          <w:marRight w:val="0"/>
          <w:marTop w:val="0"/>
          <w:marBottom w:val="0"/>
          <w:divBdr>
            <w:top w:val="none" w:sz="0" w:space="0" w:color="auto"/>
            <w:left w:val="none" w:sz="0" w:space="0" w:color="auto"/>
            <w:bottom w:val="none" w:sz="0" w:space="0" w:color="auto"/>
            <w:right w:val="none" w:sz="0" w:space="0" w:color="auto"/>
          </w:divBdr>
          <w:divsChild>
            <w:div w:id="1904214628">
              <w:marLeft w:val="0"/>
              <w:marRight w:val="0"/>
              <w:marTop w:val="0"/>
              <w:marBottom w:val="0"/>
              <w:divBdr>
                <w:top w:val="none" w:sz="0" w:space="0" w:color="auto"/>
                <w:left w:val="none" w:sz="0" w:space="0" w:color="auto"/>
                <w:bottom w:val="none" w:sz="0" w:space="0" w:color="auto"/>
                <w:right w:val="none" w:sz="0" w:space="0" w:color="auto"/>
              </w:divBdr>
            </w:div>
          </w:divsChild>
        </w:div>
        <w:div w:id="938215915">
          <w:marLeft w:val="0"/>
          <w:marRight w:val="0"/>
          <w:marTop w:val="0"/>
          <w:marBottom w:val="0"/>
          <w:divBdr>
            <w:top w:val="none" w:sz="0" w:space="0" w:color="auto"/>
            <w:left w:val="none" w:sz="0" w:space="0" w:color="auto"/>
            <w:bottom w:val="none" w:sz="0" w:space="0" w:color="auto"/>
            <w:right w:val="none" w:sz="0" w:space="0" w:color="auto"/>
          </w:divBdr>
          <w:divsChild>
            <w:div w:id="1979531510">
              <w:marLeft w:val="0"/>
              <w:marRight w:val="0"/>
              <w:marTop w:val="0"/>
              <w:marBottom w:val="0"/>
              <w:divBdr>
                <w:top w:val="none" w:sz="0" w:space="0" w:color="auto"/>
                <w:left w:val="none" w:sz="0" w:space="0" w:color="auto"/>
                <w:bottom w:val="none" w:sz="0" w:space="0" w:color="auto"/>
                <w:right w:val="none" w:sz="0" w:space="0" w:color="auto"/>
              </w:divBdr>
            </w:div>
          </w:divsChild>
        </w:div>
        <w:div w:id="952321650">
          <w:marLeft w:val="0"/>
          <w:marRight w:val="0"/>
          <w:marTop w:val="0"/>
          <w:marBottom w:val="0"/>
          <w:divBdr>
            <w:top w:val="none" w:sz="0" w:space="0" w:color="auto"/>
            <w:left w:val="none" w:sz="0" w:space="0" w:color="auto"/>
            <w:bottom w:val="none" w:sz="0" w:space="0" w:color="auto"/>
            <w:right w:val="none" w:sz="0" w:space="0" w:color="auto"/>
          </w:divBdr>
          <w:divsChild>
            <w:div w:id="1003435800">
              <w:marLeft w:val="0"/>
              <w:marRight w:val="0"/>
              <w:marTop w:val="0"/>
              <w:marBottom w:val="0"/>
              <w:divBdr>
                <w:top w:val="none" w:sz="0" w:space="0" w:color="auto"/>
                <w:left w:val="none" w:sz="0" w:space="0" w:color="auto"/>
                <w:bottom w:val="none" w:sz="0" w:space="0" w:color="auto"/>
                <w:right w:val="none" w:sz="0" w:space="0" w:color="auto"/>
              </w:divBdr>
            </w:div>
          </w:divsChild>
        </w:div>
        <w:div w:id="953365836">
          <w:marLeft w:val="0"/>
          <w:marRight w:val="0"/>
          <w:marTop w:val="0"/>
          <w:marBottom w:val="0"/>
          <w:divBdr>
            <w:top w:val="none" w:sz="0" w:space="0" w:color="auto"/>
            <w:left w:val="none" w:sz="0" w:space="0" w:color="auto"/>
            <w:bottom w:val="none" w:sz="0" w:space="0" w:color="auto"/>
            <w:right w:val="none" w:sz="0" w:space="0" w:color="auto"/>
          </w:divBdr>
          <w:divsChild>
            <w:div w:id="1728723229">
              <w:marLeft w:val="0"/>
              <w:marRight w:val="0"/>
              <w:marTop w:val="0"/>
              <w:marBottom w:val="0"/>
              <w:divBdr>
                <w:top w:val="none" w:sz="0" w:space="0" w:color="auto"/>
                <w:left w:val="none" w:sz="0" w:space="0" w:color="auto"/>
                <w:bottom w:val="none" w:sz="0" w:space="0" w:color="auto"/>
                <w:right w:val="none" w:sz="0" w:space="0" w:color="auto"/>
              </w:divBdr>
            </w:div>
          </w:divsChild>
        </w:div>
        <w:div w:id="958026937">
          <w:marLeft w:val="0"/>
          <w:marRight w:val="0"/>
          <w:marTop w:val="0"/>
          <w:marBottom w:val="0"/>
          <w:divBdr>
            <w:top w:val="none" w:sz="0" w:space="0" w:color="auto"/>
            <w:left w:val="none" w:sz="0" w:space="0" w:color="auto"/>
            <w:bottom w:val="none" w:sz="0" w:space="0" w:color="auto"/>
            <w:right w:val="none" w:sz="0" w:space="0" w:color="auto"/>
          </w:divBdr>
          <w:divsChild>
            <w:div w:id="268978122">
              <w:marLeft w:val="0"/>
              <w:marRight w:val="0"/>
              <w:marTop w:val="0"/>
              <w:marBottom w:val="0"/>
              <w:divBdr>
                <w:top w:val="none" w:sz="0" w:space="0" w:color="auto"/>
                <w:left w:val="none" w:sz="0" w:space="0" w:color="auto"/>
                <w:bottom w:val="none" w:sz="0" w:space="0" w:color="auto"/>
                <w:right w:val="none" w:sz="0" w:space="0" w:color="auto"/>
              </w:divBdr>
            </w:div>
          </w:divsChild>
        </w:div>
        <w:div w:id="960111561">
          <w:marLeft w:val="0"/>
          <w:marRight w:val="0"/>
          <w:marTop w:val="0"/>
          <w:marBottom w:val="0"/>
          <w:divBdr>
            <w:top w:val="none" w:sz="0" w:space="0" w:color="auto"/>
            <w:left w:val="none" w:sz="0" w:space="0" w:color="auto"/>
            <w:bottom w:val="none" w:sz="0" w:space="0" w:color="auto"/>
            <w:right w:val="none" w:sz="0" w:space="0" w:color="auto"/>
          </w:divBdr>
          <w:divsChild>
            <w:div w:id="1005210053">
              <w:marLeft w:val="0"/>
              <w:marRight w:val="0"/>
              <w:marTop w:val="0"/>
              <w:marBottom w:val="0"/>
              <w:divBdr>
                <w:top w:val="none" w:sz="0" w:space="0" w:color="auto"/>
                <w:left w:val="none" w:sz="0" w:space="0" w:color="auto"/>
                <w:bottom w:val="none" w:sz="0" w:space="0" w:color="auto"/>
                <w:right w:val="none" w:sz="0" w:space="0" w:color="auto"/>
              </w:divBdr>
            </w:div>
          </w:divsChild>
        </w:div>
        <w:div w:id="974289598">
          <w:marLeft w:val="0"/>
          <w:marRight w:val="0"/>
          <w:marTop w:val="0"/>
          <w:marBottom w:val="0"/>
          <w:divBdr>
            <w:top w:val="none" w:sz="0" w:space="0" w:color="auto"/>
            <w:left w:val="none" w:sz="0" w:space="0" w:color="auto"/>
            <w:bottom w:val="none" w:sz="0" w:space="0" w:color="auto"/>
            <w:right w:val="none" w:sz="0" w:space="0" w:color="auto"/>
          </w:divBdr>
          <w:divsChild>
            <w:div w:id="1173761769">
              <w:marLeft w:val="0"/>
              <w:marRight w:val="0"/>
              <w:marTop w:val="0"/>
              <w:marBottom w:val="0"/>
              <w:divBdr>
                <w:top w:val="none" w:sz="0" w:space="0" w:color="auto"/>
                <w:left w:val="none" w:sz="0" w:space="0" w:color="auto"/>
                <w:bottom w:val="none" w:sz="0" w:space="0" w:color="auto"/>
                <w:right w:val="none" w:sz="0" w:space="0" w:color="auto"/>
              </w:divBdr>
            </w:div>
          </w:divsChild>
        </w:div>
        <w:div w:id="977344263">
          <w:marLeft w:val="0"/>
          <w:marRight w:val="0"/>
          <w:marTop w:val="0"/>
          <w:marBottom w:val="0"/>
          <w:divBdr>
            <w:top w:val="none" w:sz="0" w:space="0" w:color="auto"/>
            <w:left w:val="none" w:sz="0" w:space="0" w:color="auto"/>
            <w:bottom w:val="none" w:sz="0" w:space="0" w:color="auto"/>
            <w:right w:val="none" w:sz="0" w:space="0" w:color="auto"/>
          </w:divBdr>
          <w:divsChild>
            <w:div w:id="1864709742">
              <w:marLeft w:val="0"/>
              <w:marRight w:val="0"/>
              <w:marTop w:val="0"/>
              <w:marBottom w:val="0"/>
              <w:divBdr>
                <w:top w:val="none" w:sz="0" w:space="0" w:color="auto"/>
                <w:left w:val="none" w:sz="0" w:space="0" w:color="auto"/>
                <w:bottom w:val="none" w:sz="0" w:space="0" w:color="auto"/>
                <w:right w:val="none" w:sz="0" w:space="0" w:color="auto"/>
              </w:divBdr>
            </w:div>
          </w:divsChild>
        </w:div>
        <w:div w:id="977955623">
          <w:marLeft w:val="0"/>
          <w:marRight w:val="0"/>
          <w:marTop w:val="0"/>
          <w:marBottom w:val="0"/>
          <w:divBdr>
            <w:top w:val="none" w:sz="0" w:space="0" w:color="auto"/>
            <w:left w:val="none" w:sz="0" w:space="0" w:color="auto"/>
            <w:bottom w:val="none" w:sz="0" w:space="0" w:color="auto"/>
            <w:right w:val="none" w:sz="0" w:space="0" w:color="auto"/>
          </w:divBdr>
          <w:divsChild>
            <w:div w:id="1452747150">
              <w:marLeft w:val="0"/>
              <w:marRight w:val="0"/>
              <w:marTop w:val="0"/>
              <w:marBottom w:val="0"/>
              <w:divBdr>
                <w:top w:val="none" w:sz="0" w:space="0" w:color="auto"/>
                <w:left w:val="none" w:sz="0" w:space="0" w:color="auto"/>
                <w:bottom w:val="none" w:sz="0" w:space="0" w:color="auto"/>
                <w:right w:val="none" w:sz="0" w:space="0" w:color="auto"/>
              </w:divBdr>
            </w:div>
          </w:divsChild>
        </w:div>
        <w:div w:id="1003321955">
          <w:marLeft w:val="0"/>
          <w:marRight w:val="0"/>
          <w:marTop w:val="0"/>
          <w:marBottom w:val="0"/>
          <w:divBdr>
            <w:top w:val="none" w:sz="0" w:space="0" w:color="auto"/>
            <w:left w:val="none" w:sz="0" w:space="0" w:color="auto"/>
            <w:bottom w:val="none" w:sz="0" w:space="0" w:color="auto"/>
            <w:right w:val="none" w:sz="0" w:space="0" w:color="auto"/>
          </w:divBdr>
          <w:divsChild>
            <w:div w:id="711151339">
              <w:marLeft w:val="0"/>
              <w:marRight w:val="0"/>
              <w:marTop w:val="0"/>
              <w:marBottom w:val="0"/>
              <w:divBdr>
                <w:top w:val="none" w:sz="0" w:space="0" w:color="auto"/>
                <w:left w:val="none" w:sz="0" w:space="0" w:color="auto"/>
                <w:bottom w:val="none" w:sz="0" w:space="0" w:color="auto"/>
                <w:right w:val="none" w:sz="0" w:space="0" w:color="auto"/>
              </w:divBdr>
            </w:div>
          </w:divsChild>
        </w:div>
        <w:div w:id="1022970724">
          <w:marLeft w:val="0"/>
          <w:marRight w:val="0"/>
          <w:marTop w:val="0"/>
          <w:marBottom w:val="0"/>
          <w:divBdr>
            <w:top w:val="none" w:sz="0" w:space="0" w:color="auto"/>
            <w:left w:val="none" w:sz="0" w:space="0" w:color="auto"/>
            <w:bottom w:val="none" w:sz="0" w:space="0" w:color="auto"/>
            <w:right w:val="none" w:sz="0" w:space="0" w:color="auto"/>
          </w:divBdr>
          <w:divsChild>
            <w:div w:id="757561180">
              <w:marLeft w:val="0"/>
              <w:marRight w:val="0"/>
              <w:marTop w:val="0"/>
              <w:marBottom w:val="0"/>
              <w:divBdr>
                <w:top w:val="none" w:sz="0" w:space="0" w:color="auto"/>
                <w:left w:val="none" w:sz="0" w:space="0" w:color="auto"/>
                <w:bottom w:val="none" w:sz="0" w:space="0" w:color="auto"/>
                <w:right w:val="none" w:sz="0" w:space="0" w:color="auto"/>
              </w:divBdr>
            </w:div>
          </w:divsChild>
        </w:div>
        <w:div w:id="1025713473">
          <w:marLeft w:val="0"/>
          <w:marRight w:val="0"/>
          <w:marTop w:val="0"/>
          <w:marBottom w:val="0"/>
          <w:divBdr>
            <w:top w:val="none" w:sz="0" w:space="0" w:color="auto"/>
            <w:left w:val="none" w:sz="0" w:space="0" w:color="auto"/>
            <w:bottom w:val="none" w:sz="0" w:space="0" w:color="auto"/>
            <w:right w:val="none" w:sz="0" w:space="0" w:color="auto"/>
          </w:divBdr>
          <w:divsChild>
            <w:div w:id="554194414">
              <w:marLeft w:val="0"/>
              <w:marRight w:val="0"/>
              <w:marTop w:val="0"/>
              <w:marBottom w:val="0"/>
              <w:divBdr>
                <w:top w:val="none" w:sz="0" w:space="0" w:color="auto"/>
                <w:left w:val="none" w:sz="0" w:space="0" w:color="auto"/>
                <w:bottom w:val="none" w:sz="0" w:space="0" w:color="auto"/>
                <w:right w:val="none" w:sz="0" w:space="0" w:color="auto"/>
              </w:divBdr>
            </w:div>
          </w:divsChild>
        </w:div>
        <w:div w:id="1041437535">
          <w:marLeft w:val="0"/>
          <w:marRight w:val="0"/>
          <w:marTop w:val="0"/>
          <w:marBottom w:val="0"/>
          <w:divBdr>
            <w:top w:val="none" w:sz="0" w:space="0" w:color="auto"/>
            <w:left w:val="none" w:sz="0" w:space="0" w:color="auto"/>
            <w:bottom w:val="none" w:sz="0" w:space="0" w:color="auto"/>
            <w:right w:val="none" w:sz="0" w:space="0" w:color="auto"/>
          </w:divBdr>
          <w:divsChild>
            <w:div w:id="1934044935">
              <w:marLeft w:val="0"/>
              <w:marRight w:val="0"/>
              <w:marTop w:val="0"/>
              <w:marBottom w:val="0"/>
              <w:divBdr>
                <w:top w:val="none" w:sz="0" w:space="0" w:color="auto"/>
                <w:left w:val="none" w:sz="0" w:space="0" w:color="auto"/>
                <w:bottom w:val="none" w:sz="0" w:space="0" w:color="auto"/>
                <w:right w:val="none" w:sz="0" w:space="0" w:color="auto"/>
              </w:divBdr>
            </w:div>
          </w:divsChild>
        </w:div>
        <w:div w:id="1057240327">
          <w:marLeft w:val="0"/>
          <w:marRight w:val="0"/>
          <w:marTop w:val="0"/>
          <w:marBottom w:val="0"/>
          <w:divBdr>
            <w:top w:val="none" w:sz="0" w:space="0" w:color="auto"/>
            <w:left w:val="none" w:sz="0" w:space="0" w:color="auto"/>
            <w:bottom w:val="none" w:sz="0" w:space="0" w:color="auto"/>
            <w:right w:val="none" w:sz="0" w:space="0" w:color="auto"/>
          </w:divBdr>
          <w:divsChild>
            <w:div w:id="70389689">
              <w:marLeft w:val="0"/>
              <w:marRight w:val="0"/>
              <w:marTop w:val="0"/>
              <w:marBottom w:val="0"/>
              <w:divBdr>
                <w:top w:val="none" w:sz="0" w:space="0" w:color="auto"/>
                <w:left w:val="none" w:sz="0" w:space="0" w:color="auto"/>
                <w:bottom w:val="none" w:sz="0" w:space="0" w:color="auto"/>
                <w:right w:val="none" w:sz="0" w:space="0" w:color="auto"/>
              </w:divBdr>
            </w:div>
          </w:divsChild>
        </w:div>
        <w:div w:id="1059130463">
          <w:marLeft w:val="0"/>
          <w:marRight w:val="0"/>
          <w:marTop w:val="0"/>
          <w:marBottom w:val="0"/>
          <w:divBdr>
            <w:top w:val="none" w:sz="0" w:space="0" w:color="auto"/>
            <w:left w:val="none" w:sz="0" w:space="0" w:color="auto"/>
            <w:bottom w:val="none" w:sz="0" w:space="0" w:color="auto"/>
            <w:right w:val="none" w:sz="0" w:space="0" w:color="auto"/>
          </w:divBdr>
          <w:divsChild>
            <w:div w:id="143007464">
              <w:marLeft w:val="0"/>
              <w:marRight w:val="0"/>
              <w:marTop w:val="0"/>
              <w:marBottom w:val="0"/>
              <w:divBdr>
                <w:top w:val="none" w:sz="0" w:space="0" w:color="auto"/>
                <w:left w:val="none" w:sz="0" w:space="0" w:color="auto"/>
                <w:bottom w:val="none" w:sz="0" w:space="0" w:color="auto"/>
                <w:right w:val="none" w:sz="0" w:space="0" w:color="auto"/>
              </w:divBdr>
            </w:div>
          </w:divsChild>
        </w:div>
        <w:div w:id="1059784658">
          <w:marLeft w:val="0"/>
          <w:marRight w:val="0"/>
          <w:marTop w:val="0"/>
          <w:marBottom w:val="0"/>
          <w:divBdr>
            <w:top w:val="none" w:sz="0" w:space="0" w:color="auto"/>
            <w:left w:val="none" w:sz="0" w:space="0" w:color="auto"/>
            <w:bottom w:val="none" w:sz="0" w:space="0" w:color="auto"/>
            <w:right w:val="none" w:sz="0" w:space="0" w:color="auto"/>
          </w:divBdr>
          <w:divsChild>
            <w:div w:id="2080058986">
              <w:marLeft w:val="0"/>
              <w:marRight w:val="0"/>
              <w:marTop w:val="0"/>
              <w:marBottom w:val="0"/>
              <w:divBdr>
                <w:top w:val="none" w:sz="0" w:space="0" w:color="auto"/>
                <w:left w:val="none" w:sz="0" w:space="0" w:color="auto"/>
                <w:bottom w:val="none" w:sz="0" w:space="0" w:color="auto"/>
                <w:right w:val="none" w:sz="0" w:space="0" w:color="auto"/>
              </w:divBdr>
            </w:div>
          </w:divsChild>
        </w:div>
        <w:div w:id="1085690258">
          <w:marLeft w:val="0"/>
          <w:marRight w:val="0"/>
          <w:marTop w:val="0"/>
          <w:marBottom w:val="0"/>
          <w:divBdr>
            <w:top w:val="none" w:sz="0" w:space="0" w:color="auto"/>
            <w:left w:val="none" w:sz="0" w:space="0" w:color="auto"/>
            <w:bottom w:val="none" w:sz="0" w:space="0" w:color="auto"/>
            <w:right w:val="none" w:sz="0" w:space="0" w:color="auto"/>
          </w:divBdr>
          <w:divsChild>
            <w:div w:id="983390633">
              <w:marLeft w:val="0"/>
              <w:marRight w:val="0"/>
              <w:marTop w:val="0"/>
              <w:marBottom w:val="0"/>
              <w:divBdr>
                <w:top w:val="none" w:sz="0" w:space="0" w:color="auto"/>
                <w:left w:val="none" w:sz="0" w:space="0" w:color="auto"/>
                <w:bottom w:val="none" w:sz="0" w:space="0" w:color="auto"/>
                <w:right w:val="none" w:sz="0" w:space="0" w:color="auto"/>
              </w:divBdr>
            </w:div>
          </w:divsChild>
        </w:div>
        <w:div w:id="1111893701">
          <w:marLeft w:val="0"/>
          <w:marRight w:val="0"/>
          <w:marTop w:val="0"/>
          <w:marBottom w:val="0"/>
          <w:divBdr>
            <w:top w:val="none" w:sz="0" w:space="0" w:color="auto"/>
            <w:left w:val="none" w:sz="0" w:space="0" w:color="auto"/>
            <w:bottom w:val="none" w:sz="0" w:space="0" w:color="auto"/>
            <w:right w:val="none" w:sz="0" w:space="0" w:color="auto"/>
          </w:divBdr>
          <w:divsChild>
            <w:div w:id="50732916">
              <w:marLeft w:val="0"/>
              <w:marRight w:val="0"/>
              <w:marTop w:val="0"/>
              <w:marBottom w:val="0"/>
              <w:divBdr>
                <w:top w:val="none" w:sz="0" w:space="0" w:color="auto"/>
                <w:left w:val="none" w:sz="0" w:space="0" w:color="auto"/>
                <w:bottom w:val="none" w:sz="0" w:space="0" w:color="auto"/>
                <w:right w:val="none" w:sz="0" w:space="0" w:color="auto"/>
              </w:divBdr>
            </w:div>
          </w:divsChild>
        </w:div>
        <w:div w:id="1130394893">
          <w:marLeft w:val="0"/>
          <w:marRight w:val="0"/>
          <w:marTop w:val="0"/>
          <w:marBottom w:val="0"/>
          <w:divBdr>
            <w:top w:val="none" w:sz="0" w:space="0" w:color="auto"/>
            <w:left w:val="none" w:sz="0" w:space="0" w:color="auto"/>
            <w:bottom w:val="none" w:sz="0" w:space="0" w:color="auto"/>
            <w:right w:val="none" w:sz="0" w:space="0" w:color="auto"/>
          </w:divBdr>
          <w:divsChild>
            <w:div w:id="329910104">
              <w:marLeft w:val="0"/>
              <w:marRight w:val="0"/>
              <w:marTop w:val="0"/>
              <w:marBottom w:val="0"/>
              <w:divBdr>
                <w:top w:val="none" w:sz="0" w:space="0" w:color="auto"/>
                <w:left w:val="none" w:sz="0" w:space="0" w:color="auto"/>
                <w:bottom w:val="none" w:sz="0" w:space="0" w:color="auto"/>
                <w:right w:val="none" w:sz="0" w:space="0" w:color="auto"/>
              </w:divBdr>
            </w:div>
          </w:divsChild>
        </w:div>
        <w:div w:id="1136684217">
          <w:marLeft w:val="0"/>
          <w:marRight w:val="0"/>
          <w:marTop w:val="0"/>
          <w:marBottom w:val="0"/>
          <w:divBdr>
            <w:top w:val="none" w:sz="0" w:space="0" w:color="auto"/>
            <w:left w:val="none" w:sz="0" w:space="0" w:color="auto"/>
            <w:bottom w:val="none" w:sz="0" w:space="0" w:color="auto"/>
            <w:right w:val="none" w:sz="0" w:space="0" w:color="auto"/>
          </w:divBdr>
          <w:divsChild>
            <w:div w:id="1561792011">
              <w:marLeft w:val="0"/>
              <w:marRight w:val="0"/>
              <w:marTop w:val="0"/>
              <w:marBottom w:val="0"/>
              <w:divBdr>
                <w:top w:val="none" w:sz="0" w:space="0" w:color="auto"/>
                <w:left w:val="none" w:sz="0" w:space="0" w:color="auto"/>
                <w:bottom w:val="none" w:sz="0" w:space="0" w:color="auto"/>
                <w:right w:val="none" w:sz="0" w:space="0" w:color="auto"/>
              </w:divBdr>
            </w:div>
          </w:divsChild>
        </w:div>
        <w:div w:id="1142767039">
          <w:marLeft w:val="0"/>
          <w:marRight w:val="0"/>
          <w:marTop w:val="0"/>
          <w:marBottom w:val="0"/>
          <w:divBdr>
            <w:top w:val="none" w:sz="0" w:space="0" w:color="auto"/>
            <w:left w:val="none" w:sz="0" w:space="0" w:color="auto"/>
            <w:bottom w:val="none" w:sz="0" w:space="0" w:color="auto"/>
            <w:right w:val="none" w:sz="0" w:space="0" w:color="auto"/>
          </w:divBdr>
          <w:divsChild>
            <w:div w:id="966854261">
              <w:marLeft w:val="0"/>
              <w:marRight w:val="0"/>
              <w:marTop w:val="0"/>
              <w:marBottom w:val="0"/>
              <w:divBdr>
                <w:top w:val="none" w:sz="0" w:space="0" w:color="auto"/>
                <w:left w:val="none" w:sz="0" w:space="0" w:color="auto"/>
                <w:bottom w:val="none" w:sz="0" w:space="0" w:color="auto"/>
                <w:right w:val="none" w:sz="0" w:space="0" w:color="auto"/>
              </w:divBdr>
            </w:div>
          </w:divsChild>
        </w:div>
        <w:div w:id="1164664769">
          <w:marLeft w:val="0"/>
          <w:marRight w:val="0"/>
          <w:marTop w:val="0"/>
          <w:marBottom w:val="0"/>
          <w:divBdr>
            <w:top w:val="none" w:sz="0" w:space="0" w:color="auto"/>
            <w:left w:val="none" w:sz="0" w:space="0" w:color="auto"/>
            <w:bottom w:val="none" w:sz="0" w:space="0" w:color="auto"/>
            <w:right w:val="none" w:sz="0" w:space="0" w:color="auto"/>
          </w:divBdr>
          <w:divsChild>
            <w:div w:id="1083796386">
              <w:marLeft w:val="0"/>
              <w:marRight w:val="0"/>
              <w:marTop w:val="0"/>
              <w:marBottom w:val="0"/>
              <w:divBdr>
                <w:top w:val="none" w:sz="0" w:space="0" w:color="auto"/>
                <w:left w:val="none" w:sz="0" w:space="0" w:color="auto"/>
                <w:bottom w:val="none" w:sz="0" w:space="0" w:color="auto"/>
                <w:right w:val="none" w:sz="0" w:space="0" w:color="auto"/>
              </w:divBdr>
            </w:div>
          </w:divsChild>
        </w:div>
        <w:div w:id="1164785235">
          <w:marLeft w:val="0"/>
          <w:marRight w:val="0"/>
          <w:marTop w:val="0"/>
          <w:marBottom w:val="0"/>
          <w:divBdr>
            <w:top w:val="none" w:sz="0" w:space="0" w:color="auto"/>
            <w:left w:val="none" w:sz="0" w:space="0" w:color="auto"/>
            <w:bottom w:val="none" w:sz="0" w:space="0" w:color="auto"/>
            <w:right w:val="none" w:sz="0" w:space="0" w:color="auto"/>
          </w:divBdr>
          <w:divsChild>
            <w:div w:id="865484933">
              <w:marLeft w:val="0"/>
              <w:marRight w:val="0"/>
              <w:marTop w:val="0"/>
              <w:marBottom w:val="0"/>
              <w:divBdr>
                <w:top w:val="none" w:sz="0" w:space="0" w:color="auto"/>
                <w:left w:val="none" w:sz="0" w:space="0" w:color="auto"/>
                <w:bottom w:val="none" w:sz="0" w:space="0" w:color="auto"/>
                <w:right w:val="none" w:sz="0" w:space="0" w:color="auto"/>
              </w:divBdr>
            </w:div>
          </w:divsChild>
        </w:div>
        <w:div w:id="1192305475">
          <w:marLeft w:val="0"/>
          <w:marRight w:val="0"/>
          <w:marTop w:val="0"/>
          <w:marBottom w:val="0"/>
          <w:divBdr>
            <w:top w:val="none" w:sz="0" w:space="0" w:color="auto"/>
            <w:left w:val="none" w:sz="0" w:space="0" w:color="auto"/>
            <w:bottom w:val="none" w:sz="0" w:space="0" w:color="auto"/>
            <w:right w:val="none" w:sz="0" w:space="0" w:color="auto"/>
          </w:divBdr>
          <w:divsChild>
            <w:div w:id="97409386">
              <w:marLeft w:val="0"/>
              <w:marRight w:val="0"/>
              <w:marTop w:val="0"/>
              <w:marBottom w:val="0"/>
              <w:divBdr>
                <w:top w:val="none" w:sz="0" w:space="0" w:color="auto"/>
                <w:left w:val="none" w:sz="0" w:space="0" w:color="auto"/>
                <w:bottom w:val="none" w:sz="0" w:space="0" w:color="auto"/>
                <w:right w:val="none" w:sz="0" w:space="0" w:color="auto"/>
              </w:divBdr>
            </w:div>
          </w:divsChild>
        </w:div>
        <w:div w:id="1201478265">
          <w:marLeft w:val="0"/>
          <w:marRight w:val="0"/>
          <w:marTop w:val="0"/>
          <w:marBottom w:val="0"/>
          <w:divBdr>
            <w:top w:val="none" w:sz="0" w:space="0" w:color="auto"/>
            <w:left w:val="none" w:sz="0" w:space="0" w:color="auto"/>
            <w:bottom w:val="none" w:sz="0" w:space="0" w:color="auto"/>
            <w:right w:val="none" w:sz="0" w:space="0" w:color="auto"/>
          </w:divBdr>
          <w:divsChild>
            <w:div w:id="1221861260">
              <w:marLeft w:val="0"/>
              <w:marRight w:val="0"/>
              <w:marTop w:val="0"/>
              <w:marBottom w:val="0"/>
              <w:divBdr>
                <w:top w:val="none" w:sz="0" w:space="0" w:color="auto"/>
                <w:left w:val="none" w:sz="0" w:space="0" w:color="auto"/>
                <w:bottom w:val="none" w:sz="0" w:space="0" w:color="auto"/>
                <w:right w:val="none" w:sz="0" w:space="0" w:color="auto"/>
              </w:divBdr>
            </w:div>
          </w:divsChild>
        </w:div>
        <w:div w:id="1252198709">
          <w:marLeft w:val="0"/>
          <w:marRight w:val="0"/>
          <w:marTop w:val="0"/>
          <w:marBottom w:val="0"/>
          <w:divBdr>
            <w:top w:val="none" w:sz="0" w:space="0" w:color="auto"/>
            <w:left w:val="none" w:sz="0" w:space="0" w:color="auto"/>
            <w:bottom w:val="none" w:sz="0" w:space="0" w:color="auto"/>
            <w:right w:val="none" w:sz="0" w:space="0" w:color="auto"/>
          </w:divBdr>
          <w:divsChild>
            <w:div w:id="776095104">
              <w:marLeft w:val="0"/>
              <w:marRight w:val="0"/>
              <w:marTop w:val="0"/>
              <w:marBottom w:val="0"/>
              <w:divBdr>
                <w:top w:val="none" w:sz="0" w:space="0" w:color="auto"/>
                <w:left w:val="none" w:sz="0" w:space="0" w:color="auto"/>
                <w:bottom w:val="none" w:sz="0" w:space="0" w:color="auto"/>
                <w:right w:val="none" w:sz="0" w:space="0" w:color="auto"/>
              </w:divBdr>
            </w:div>
          </w:divsChild>
        </w:div>
        <w:div w:id="1257833890">
          <w:marLeft w:val="0"/>
          <w:marRight w:val="0"/>
          <w:marTop w:val="0"/>
          <w:marBottom w:val="0"/>
          <w:divBdr>
            <w:top w:val="none" w:sz="0" w:space="0" w:color="auto"/>
            <w:left w:val="none" w:sz="0" w:space="0" w:color="auto"/>
            <w:bottom w:val="none" w:sz="0" w:space="0" w:color="auto"/>
            <w:right w:val="none" w:sz="0" w:space="0" w:color="auto"/>
          </w:divBdr>
          <w:divsChild>
            <w:div w:id="966005530">
              <w:marLeft w:val="0"/>
              <w:marRight w:val="0"/>
              <w:marTop w:val="0"/>
              <w:marBottom w:val="0"/>
              <w:divBdr>
                <w:top w:val="none" w:sz="0" w:space="0" w:color="auto"/>
                <w:left w:val="none" w:sz="0" w:space="0" w:color="auto"/>
                <w:bottom w:val="none" w:sz="0" w:space="0" w:color="auto"/>
                <w:right w:val="none" w:sz="0" w:space="0" w:color="auto"/>
              </w:divBdr>
            </w:div>
          </w:divsChild>
        </w:div>
        <w:div w:id="1272932248">
          <w:marLeft w:val="0"/>
          <w:marRight w:val="0"/>
          <w:marTop w:val="0"/>
          <w:marBottom w:val="0"/>
          <w:divBdr>
            <w:top w:val="none" w:sz="0" w:space="0" w:color="auto"/>
            <w:left w:val="none" w:sz="0" w:space="0" w:color="auto"/>
            <w:bottom w:val="none" w:sz="0" w:space="0" w:color="auto"/>
            <w:right w:val="none" w:sz="0" w:space="0" w:color="auto"/>
          </w:divBdr>
          <w:divsChild>
            <w:div w:id="71198688">
              <w:marLeft w:val="0"/>
              <w:marRight w:val="0"/>
              <w:marTop w:val="0"/>
              <w:marBottom w:val="0"/>
              <w:divBdr>
                <w:top w:val="none" w:sz="0" w:space="0" w:color="auto"/>
                <w:left w:val="none" w:sz="0" w:space="0" w:color="auto"/>
                <w:bottom w:val="none" w:sz="0" w:space="0" w:color="auto"/>
                <w:right w:val="none" w:sz="0" w:space="0" w:color="auto"/>
              </w:divBdr>
            </w:div>
            <w:div w:id="583222592">
              <w:marLeft w:val="0"/>
              <w:marRight w:val="0"/>
              <w:marTop w:val="0"/>
              <w:marBottom w:val="0"/>
              <w:divBdr>
                <w:top w:val="none" w:sz="0" w:space="0" w:color="auto"/>
                <w:left w:val="none" w:sz="0" w:space="0" w:color="auto"/>
                <w:bottom w:val="none" w:sz="0" w:space="0" w:color="auto"/>
                <w:right w:val="none" w:sz="0" w:space="0" w:color="auto"/>
              </w:divBdr>
            </w:div>
          </w:divsChild>
        </w:div>
        <w:div w:id="1281491823">
          <w:marLeft w:val="0"/>
          <w:marRight w:val="0"/>
          <w:marTop w:val="0"/>
          <w:marBottom w:val="0"/>
          <w:divBdr>
            <w:top w:val="none" w:sz="0" w:space="0" w:color="auto"/>
            <w:left w:val="none" w:sz="0" w:space="0" w:color="auto"/>
            <w:bottom w:val="none" w:sz="0" w:space="0" w:color="auto"/>
            <w:right w:val="none" w:sz="0" w:space="0" w:color="auto"/>
          </w:divBdr>
          <w:divsChild>
            <w:div w:id="1779594764">
              <w:marLeft w:val="0"/>
              <w:marRight w:val="0"/>
              <w:marTop w:val="0"/>
              <w:marBottom w:val="0"/>
              <w:divBdr>
                <w:top w:val="none" w:sz="0" w:space="0" w:color="auto"/>
                <w:left w:val="none" w:sz="0" w:space="0" w:color="auto"/>
                <w:bottom w:val="none" w:sz="0" w:space="0" w:color="auto"/>
                <w:right w:val="none" w:sz="0" w:space="0" w:color="auto"/>
              </w:divBdr>
            </w:div>
          </w:divsChild>
        </w:div>
        <w:div w:id="1288511562">
          <w:marLeft w:val="0"/>
          <w:marRight w:val="0"/>
          <w:marTop w:val="0"/>
          <w:marBottom w:val="0"/>
          <w:divBdr>
            <w:top w:val="none" w:sz="0" w:space="0" w:color="auto"/>
            <w:left w:val="none" w:sz="0" w:space="0" w:color="auto"/>
            <w:bottom w:val="none" w:sz="0" w:space="0" w:color="auto"/>
            <w:right w:val="none" w:sz="0" w:space="0" w:color="auto"/>
          </w:divBdr>
          <w:divsChild>
            <w:div w:id="892887566">
              <w:marLeft w:val="0"/>
              <w:marRight w:val="0"/>
              <w:marTop w:val="0"/>
              <w:marBottom w:val="0"/>
              <w:divBdr>
                <w:top w:val="none" w:sz="0" w:space="0" w:color="auto"/>
                <w:left w:val="none" w:sz="0" w:space="0" w:color="auto"/>
                <w:bottom w:val="none" w:sz="0" w:space="0" w:color="auto"/>
                <w:right w:val="none" w:sz="0" w:space="0" w:color="auto"/>
              </w:divBdr>
            </w:div>
          </w:divsChild>
        </w:div>
        <w:div w:id="1299993284">
          <w:marLeft w:val="0"/>
          <w:marRight w:val="0"/>
          <w:marTop w:val="0"/>
          <w:marBottom w:val="0"/>
          <w:divBdr>
            <w:top w:val="none" w:sz="0" w:space="0" w:color="auto"/>
            <w:left w:val="none" w:sz="0" w:space="0" w:color="auto"/>
            <w:bottom w:val="none" w:sz="0" w:space="0" w:color="auto"/>
            <w:right w:val="none" w:sz="0" w:space="0" w:color="auto"/>
          </w:divBdr>
          <w:divsChild>
            <w:div w:id="1251157237">
              <w:marLeft w:val="0"/>
              <w:marRight w:val="0"/>
              <w:marTop w:val="0"/>
              <w:marBottom w:val="0"/>
              <w:divBdr>
                <w:top w:val="none" w:sz="0" w:space="0" w:color="auto"/>
                <w:left w:val="none" w:sz="0" w:space="0" w:color="auto"/>
                <w:bottom w:val="none" w:sz="0" w:space="0" w:color="auto"/>
                <w:right w:val="none" w:sz="0" w:space="0" w:color="auto"/>
              </w:divBdr>
            </w:div>
          </w:divsChild>
        </w:div>
        <w:div w:id="1309551594">
          <w:marLeft w:val="0"/>
          <w:marRight w:val="0"/>
          <w:marTop w:val="0"/>
          <w:marBottom w:val="0"/>
          <w:divBdr>
            <w:top w:val="none" w:sz="0" w:space="0" w:color="auto"/>
            <w:left w:val="none" w:sz="0" w:space="0" w:color="auto"/>
            <w:bottom w:val="none" w:sz="0" w:space="0" w:color="auto"/>
            <w:right w:val="none" w:sz="0" w:space="0" w:color="auto"/>
          </w:divBdr>
          <w:divsChild>
            <w:div w:id="902570232">
              <w:marLeft w:val="0"/>
              <w:marRight w:val="0"/>
              <w:marTop w:val="0"/>
              <w:marBottom w:val="0"/>
              <w:divBdr>
                <w:top w:val="none" w:sz="0" w:space="0" w:color="auto"/>
                <w:left w:val="none" w:sz="0" w:space="0" w:color="auto"/>
                <w:bottom w:val="none" w:sz="0" w:space="0" w:color="auto"/>
                <w:right w:val="none" w:sz="0" w:space="0" w:color="auto"/>
              </w:divBdr>
            </w:div>
          </w:divsChild>
        </w:div>
        <w:div w:id="1309554460">
          <w:marLeft w:val="0"/>
          <w:marRight w:val="0"/>
          <w:marTop w:val="0"/>
          <w:marBottom w:val="0"/>
          <w:divBdr>
            <w:top w:val="none" w:sz="0" w:space="0" w:color="auto"/>
            <w:left w:val="none" w:sz="0" w:space="0" w:color="auto"/>
            <w:bottom w:val="none" w:sz="0" w:space="0" w:color="auto"/>
            <w:right w:val="none" w:sz="0" w:space="0" w:color="auto"/>
          </w:divBdr>
          <w:divsChild>
            <w:div w:id="896168553">
              <w:marLeft w:val="0"/>
              <w:marRight w:val="0"/>
              <w:marTop w:val="0"/>
              <w:marBottom w:val="0"/>
              <w:divBdr>
                <w:top w:val="none" w:sz="0" w:space="0" w:color="auto"/>
                <w:left w:val="none" w:sz="0" w:space="0" w:color="auto"/>
                <w:bottom w:val="none" w:sz="0" w:space="0" w:color="auto"/>
                <w:right w:val="none" w:sz="0" w:space="0" w:color="auto"/>
              </w:divBdr>
            </w:div>
          </w:divsChild>
        </w:div>
        <w:div w:id="1311860343">
          <w:marLeft w:val="0"/>
          <w:marRight w:val="0"/>
          <w:marTop w:val="0"/>
          <w:marBottom w:val="0"/>
          <w:divBdr>
            <w:top w:val="none" w:sz="0" w:space="0" w:color="auto"/>
            <w:left w:val="none" w:sz="0" w:space="0" w:color="auto"/>
            <w:bottom w:val="none" w:sz="0" w:space="0" w:color="auto"/>
            <w:right w:val="none" w:sz="0" w:space="0" w:color="auto"/>
          </w:divBdr>
          <w:divsChild>
            <w:div w:id="1829401467">
              <w:marLeft w:val="0"/>
              <w:marRight w:val="0"/>
              <w:marTop w:val="0"/>
              <w:marBottom w:val="0"/>
              <w:divBdr>
                <w:top w:val="none" w:sz="0" w:space="0" w:color="auto"/>
                <w:left w:val="none" w:sz="0" w:space="0" w:color="auto"/>
                <w:bottom w:val="none" w:sz="0" w:space="0" w:color="auto"/>
                <w:right w:val="none" w:sz="0" w:space="0" w:color="auto"/>
              </w:divBdr>
            </w:div>
          </w:divsChild>
        </w:div>
        <w:div w:id="1331373002">
          <w:marLeft w:val="0"/>
          <w:marRight w:val="0"/>
          <w:marTop w:val="0"/>
          <w:marBottom w:val="0"/>
          <w:divBdr>
            <w:top w:val="none" w:sz="0" w:space="0" w:color="auto"/>
            <w:left w:val="none" w:sz="0" w:space="0" w:color="auto"/>
            <w:bottom w:val="none" w:sz="0" w:space="0" w:color="auto"/>
            <w:right w:val="none" w:sz="0" w:space="0" w:color="auto"/>
          </w:divBdr>
          <w:divsChild>
            <w:div w:id="1529176243">
              <w:marLeft w:val="0"/>
              <w:marRight w:val="0"/>
              <w:marTop w:val="0"/>
              <w:marBottom w:val="0"/>
              <w:divBdr>
                <w:top w:val="none" w:sz="0" w:space="0" w:color="auto"/>
                <w:left w:val="none" w:sz="0" w:space="0" w:color="auto"/>
                <w:bottom w:val="none" w:sz="0" w:space="0" w:color="auto"/>
                <w:right w:val="none" w:sz="0" w:space="0" w:color="auto"/>
              </w:divBdr>
            </w:div>
          </w:divsChild>
        </w:div>
        <w:div w:id="1347823486">
          <w:marLeft w:val="0"/>
          <w:marRight w:val="0"/>
          <w:marTop w:val="0"/>
          <w:marBottom w:val="0"/>
          <w:divBdr>
            <w:top w:val="none" w:sz="0" w:space="0" w:color="auto"/>
            <w:left w:val="none" w:sz="0" w:space="0" w:color="auto"/>
            <w:bottom w:val="none" w:sz="0" w:space="0" w:color="auto"/>
            <w:right w:val="none" w:sz="0" w:space="0" w:color="auto"/>
          </w:divBdr>
          <w:divsChild>
            <w:div w:id="1709257377">
              <w:marLeft w:val="0"/>
              <w:marRight w:val="0"/>
              <w:marTop w:val="0"/>
              <w:marBottom w:val="0"/>
              <w:divBdr>
                <w:top w:val="none" w:sz="0" w:space="0" w:color="auto"/>
                <w:left w:val="none" w:sz="0" w:space="0" w:color="auto"/>
                <w:bottom w:val="none" w:sz="0" w:space="0" w:color="auto"/>
                <w:right w:val="none" w:sz="0" w:space="0" w:color="auto"/>
              </w:divBdr>
            </w:div>
          </w:divsChild>
        </w:div>
        <w:div w:id="1360356805">
          <w:marLeft w:val="0"/>
          <w:marRight w:val="0"/>
          <w:marTop w:val="0"/>
          <w:marBottom w:val="0"/>
          <w:divBdr>
            <w:top w:val="none" w:sz="0" w:space="0" w:color="auto"/>
            <w:left w:val="none" w:sz="0" w:space="0" w:color="auto"/>
            <w:bottom w:val="none" w:sz="0" w:space="0" w:color="auto"/>
            <w:right w:val="none" w:sz="0" w:space="0" w:color="auto"/>
          </w:divBdr>
          <w:divsChild>
            <w:div w:id="1216741778">
              <w:marLeft w:val="0"/>
              <w:marRight w:val="0"/>
              <w:marTop w:val="0"/>
              <w:marBottom w:val="0"/>
              <w:divBdr>
                <w:top w:val="none" w:sz="0" w:space="0" w:color="auto"/>
                <w:left w:val="none" w:sz="0" w:space="0" w:color="auto"/>
                <w:bottom w:val="none" w:sz="0" w:space="0" w:color="auto"/>
                <w:right w:val="none" w:sz="0" w:space="0" w:color="auto"/>
              </w:divBdr>
            </w:div>
          </w:divsChild>
        </w:div>
        <w:div w:id="1384212456">
          <w:marLeft w:val="0"/>
          <w:marRight w:val="0"/>
          <w:marTop w:val="0"/>
          <w:marBottom w:val="0"/>
          <w:divBdr>
            <w:top w:val="none" w:sz="0" w:space="0" w:color="auto"/>
            <w:left w:val="none" w:sz="0" w:space="0" w:color="auto"/>
            <w:bottom w:val="none" w:sz="0" w:space="0" w:color="auto"/>
            <w:right w:val="none" w:sz="0" w:space="0" w:color="auto"/>
          </w:divBdr>
          <w:divsChild>
            <w:div w:id="231038771">
              <w:marLeft w:val="0"/>
              <w:marRight w:val="0"/>
              <w:marTop w:val="0"/>
              <w:marBottom w:val="0"/>
              <w:divBdr>
                <w:top w:val="none" w:sz="0" w:space="0" w:color="auto"/>
                <w:left w:val="none" w:sz="0" w:space="0" w:color="auto"/>
                <w:bottom w:val="none" w:sz="0" w:space="0" w:color="auto"/>
                <w:right w:val="none" w:sz="0" w:space="0" w:color="auto"/>
              </w:divBdr>
            </w:div>
          </w:divsChild>
        </w:div>
        <w:div w:id="1384523680">
          <w:marLeft w:val="0"/>
          <w:marRight w:val="0"/>
          <w:marTop w:val="0"/>
          <w:marBottom w:val="0"/>
          <w:divBdr>
            <w:top w:val="none" w:sz="0" w:space="0" w:color="auto"/>
            <w:left w:val="none" w:sz="0" w:space="0" w:color="auto"/>
            <w:bottom w:val="none" w:sz="0" w:space="0" w:color="auto"/>
            <w:right w:val="none" w:sz="0" w:space="0" w:color="auto"/>
          </w:divBdr>
          <w:divsChild>
            <w:div w:id="1106920628">
              <w:marLeft w:val="0"/>
              <w:marRight w:val="0"/>
              <w:marTop w:val="0"/>
              <w:marBottom w:val="0"/>
              <w:divBdr>
                <w:top w:val="none" w:sz="0" w:space="0" w:color="auto"/>
                <w:left w:val="none" w:sz="0" w:space="0" w:color="auto"/>
                <w:bottom w:val="none" w:sz="0" w:space="0" w:color="auto"/>
                <w:right w:val="none" w:sz="0" w:space="0" w:color="auto"/>
              </w:divBdr>
            </w:div>
          </w:divsChild>
        </w:div>
        <w:div w:id="1391267667">
          <w:marLeft w:val="0"/>
          <w:marRight w:val="0"/>
          <w:marTop w:val="0"/>
          <w:marBottom w:val="0"/>
          <w:divBdr>
            <w:top w:val="none" w:sz="0" w:space="0" w:color="auto"/>
            <w:left w:val="none" w:sz="0" w:space="0" w:color="auto"/>
            <w:bottom w:val="none" w:sz="0" w:space="0" w:color="auto"/>
            <w:right w:val="none" w:sz="0" w:space="0" w:color="auto"/>
          </w:divBdr>
          <w:divsChild>
            <w:div w:id="964769451">
              <w:marLeft w:val="0"/>
              <w:marRight w:val="0"/>
              <w:marTop w:val="0"/>
              <w:marBottom w:val="0"/>
              <w:divBdr>
                <w:top w:val="none" w:sz="0" w:space="0" w:color="auto"/>
                <w:left w:val="none" w:sz="0" w:space="0" w:color="auto"/>
                <w:bottom w:val="none" w:sz="0" w:space="0" w:color="auto"/>
                <w:right w:val="none" w:sz="0" w:space="0" w:color="auto"/>
              </w:divBdr>
            </w:div>
          </w:divsChild>
        </w:div>
        <w:div w:id="1395857057">
          <w:marLeft w:val="0"/>
          <w:marRight w:val="0"/>
          <w:marTop w:val="0"/>
          <w:marBottom w:val="0"/>
          <w:divBdr>
            <w:top w:val="none" w:sz="0" w:space="0" w:color="auto"/>
            <w:left w:val="none" w:sz="0" w:space="0" w:color="auto"/>
            <w:bottom w:val="none" w:sz="0" w:space="0" w:color="auto"/>
            <w:right w:val="none" w:sz="0" w:space="0" w:color="auto"/>
          </w:divBdr>
          <w:divsChild>
            <w:div w:id="691804657">
              <w:marLeft w:val="0"/>
              <w:marRight w:val="0"/>
              <w:marTop w:val="0"/>
              <w:marBottom w:val="0"/>
              <w:divBdr>
                <w:top w:val="none" w:sz="0" w:space="0" w:color="auto"/>
                <w:left w:val="none" w:sz="0" w:space="0" w:color="auto"/>
                <w:bottom w:val="none" w:sz="0" w:space="0" w:color="auto"/>
                <w:right w:val="none" w:sz="0" w:space="0" w:color="auto"/>
              </w:divBdr>
            </w:div>
          </w:divsChild>
        </w:div>
        <w:div w:id="1401320006">
          <w:marLeft w:val="0"/>
          <w:marRight w:val="0"/>
          <w:marTop w:val="0"/>
          <w:marBottom w:val="0"/>
          <w:divBdr>
            <w:top w:val="none" w:sz="0" w:space="0" w:color="auto"/>
            <w:left w:val="none" w:sz="0" w:space="0" w:color="auto"/>
            <w:bottom w:val="none" w:sz="0" w:space="0" w:color="auto"/>
            <w:right w:val="none" w:sz="0" w:space="0" w:color="auto"/>
          </w:divBdr>
          <w:divsChild>
            <w:div w:id="1865246996">
              <w:marLeft w:val="0"/>
              <w:marRight w:val="0"/>
              <w:marTop w:val="0"/>
              <w:marBottom w:val="0"/>
              <w:divBdr>
                <w:top w:val="none" w:sz="0" w:space="0" w:color="auto"/>
                <w:left w:val="none" w:sz="0" w:space="0" w:color="auto"/>
                <w:bottom w:val="none" w:sz="0" w:space="0" w:color="auto"/>
                <w:right w:val="none" w:sz="0" w:space="0" w:color="auto"/>
              </w:divBdr>
            </w:div>
          </w:divsChild>
        </w:div>
        <w:div w:id="1406031449">
          <w:marLeft w:val="0"/>
          <w:marRight w:val="0"/>
          <w:marTop w:val="0"/>
          <w:marBottom w:val="0"/>
          <w:divBdr>
            <w:top w:val="none" w:sz="0" w:space="0" w:color="auto"/>
            <w:left w:val="none" w:sz="0" w:space="0" w:color="auto"/>
            <w:bottom w:val="none" w:sz="0" w:space="0" w:color="auto"/>
            <w:right w:val="none" w:sz="0" w:space="0" w:color="auto"/>
          </w:divBdr>
          <w:divsChild>
            <w:div w:id="325714082">
              <w:marLeft w:val="0"/>
              <w:marRight w:val="0"/>
              <w:marTop w:val="0"/>
              <w:marBottom w:val="0"/>
              <w:divBdr>
                <w:top w:val="none" w:sz="0" w:space="0" w:color="auto"/>
                <w:left w:val="none" w:sz="0" w:space="0" w:color="auto"/>
                <w:bottom w:val="none" w:sz="0" w:space="0" w:color="auto"/>
                <w:right w:val="none" w:sz="0" w:space="0" w:color="auto"/>
              </w:divBdr>
            </w:div>
          </w:divsChild>
        </w:div>
        <w:div w:id="1428236755">
          <w:marLeft w:val="0"/>
          <w:marRight w:val="0"/>
          <w:marTop w:val="0"/>
          <w:marBottom w:val="0"/>
          <w:divBdr>
            <w:top w:val="none" w:sz="0" w:space="0" w:color="auto"/>
            <w:left w:val="none" w:sz="0" w:space="0" w:color="auto"/>
            <w:bottom w:val="none" w:sz="0" w:space="0" w:color="auto"/>
            <w:right w:val="none" w:sz="0" w:space="0" w:color="auto"/>
          </w:divBdr>
          <w:divsChild>
            <w:div w:id="267012553">
              <w:marLeft w:val="0"/>
              <w:marRight w:val="0"/>
              <w:marTop w:val="0"/>
              <w:marBottom w:val="0"/>
              <w:divBdr>
                <w:top w:val="none" w:sz="0" w:space="0" w:color="auto"/>
                <w:left w:val="none" w:sz="0" w:space="0" w:color="auto"/>
                <w:bottom w:val="none" w:sz="0" w:space="0" w:color="auto"/>
                <w:right w:val="none" w:sz="0" w:space="0" w:color="auto"/>
              </w:divBdr>
            </w:div>
          </w:divsChild>
        </w:div>
        <w:div w:id="1444887511">
          <w:marLeft w:val="0"/>
          <w:marRight w:val="0"/>
          <w:marTop w:val="0"/>
          <w:marBottom w:val="0"/>
          <w:divBdr>
            <w:top w:val="none" w:sz="0" w:space="0" w:color="auto"/>
            <w:left w:val="none" w:sz="0" w:space="0" w:color="auto"/>
            <w:bottom w:val="none" w:sz="0" w:space="0" w:color="auto"/>
            <w:right w:val="none" w:sz="0" w:space="0" w:color="auto"/>
          </w:divBdr>
          <w:divsChild>
            <w:div w:id="2103254734">
              <w:marLeft w:val="0"/>
              <w:marRight w:val="0"/>
              <w:marTop w:val="0"/>
              <w:marBottom w:val="0"/>
              <w:divBdr>
                <w:top w:val="none" w:sz="0" w:space="0" w:color="auto"/>
                <w:left w:val="none" w:sz="0" w:space="0" w:color="auto"/>
                <w:bottom w:val="none" w:sz="0" w:space="0" w:color="auto"/>
                <w:right w:val="none" w:sz="0" w:space="0" w:color="auto"/>
              </w:divBdr>
            </w:div>
          </w:divsChild>
        </w:div>
        <w:div w:id="1466312373">
          <w:marLeft w:val="0"/>
          <w:marRight w:val="0"/>
          <w:marTop w:val="0"/>
          <w:marBottom w:val="0"/>
          <w:divBdr>
            <w:top w:val="none" w:sz="0" w:space="0" w:color="auto"/>
            <w:left w:val="none" w:sz="0" w:space="0" w:color="auto"/>
            <w:bottom w:val="none" w:sz="0" w:space="0" w:color="auto"/>
            <w:right w:val="none" w:sz="0" w:space="0" w:color="auto"/>
          </w:divBdr>
          <w:divsChild>
            <w:div w:id="1720935720">
              <w:marLeft w:val="0"/>
              <w:marRight w:val="0"/>
              <w:marTop w:val="0"/>
              <w:marBottom w:val="0"/>
              <w:divBdr>
                <w:top w:val="none" w:sz="0" w:space="0" w:color="auto"/>
                <w:left w:val="none" w:sz="0" w:space="0" w:color="auto"/>
                <w:bottom w:val="none" w:sz="0" w:space="0" w:color="auto"/>
                <w:right w:val="none" w:sz="0" w:space="0" w:color="auto"/>
              </w:divBdr>
            </w:div>
          </w:divsChild>
        </w:div>
        <w:div w:id="1474979409">
          <w:marLeft w:val="0"/>
          <w:marRight w:val="0"/>
          <w:marTop w:val="0"/>
          <w:marBottom w:val="0"/>
          <w:divBdr>
            <w:top w:val="none" w:sz="0" w:space="0" w:color="auto"/>
            <w:left w:val="none" w:sz="0" w:space="0" w:color="auto"/>
            <w:bottom w:val="none" w:sz="0" w:space="0" w:color="auto"/>
            <w:right w:val="none" w:sz="0" w:space="0" w:color="auto"/>
          </w:divBdr>
          <w:divsChild>
            <w:div w:id="1065647499">
              <w:marLeft w:val="0"/>
              <w:marRight w:val="0"/>
              <w:marTop w:val="0"/>
              <w:marBottom w:val="0"/>
              <w:divBdr>
                <w:top w:val="none" w:sz="0" w:space="0" w:color="auto"/>
                <w:left w:val="none" w:sz="0" w:space="0" w:color="auto"/>
                <w:bottom w:val="none" w:sz="0" w:space="0" w:color="auto"/>
                <w:right w:val="none" w:sz="0" w:space="0" w:color="auto"/>
              </w:divBdr>
            </w:div>
          </w:divsChild>
        </w:div>
        <w:div w:id="1490712702">
          <w:marLeft w:val="0"/>
          <w:marRight w:val="0"/>
          <w:marTop w:val="0"/>
          <w:marBottom w:val="0"/>
          <w:divBdr>
            <w:top w:val="none" w:sz="0" w:space="0" w:color="auto"/>
            <w:left w:val="none" w:sz="0" w:space="0" w:color="auto"/>
            <w:bottom w:val="none" w:sz="0" w:space="0" w:color="auto"/>
            <w:right w:val="none" w:sz="0" w:space="0" w:color="auto"/>
          </w:divBdr>
          <w:divsChild>
            <w:div w:id="949050190">
              <w:marLeft w:val="0"/>
              <w:marRight w:val="0"/>
              <w:marTop w:val="0"/>
              <w:marBottom w:val="0"/>
              <w:divBdr>
                <w:top w:val="none" w:sz="0" w:space="0" w:color="auto"/>
                <w:left w:val="none" w:sz="0" w:space="0" w:color="auto"/>
                <w:bottom w:val="none" w:sz="0" w:space="0" w:color="auto"/>
                <w:right w:val="none" w:sz="0" w:space="0" w:color="auto"/>
              </w:divBdr>
            </w:div>
          </w:divsChild>
        </w:div>
        <w:div w:id="1501040524">
          <w:marLeft w:val="0"/>
          <w:marRight w:val="0"/>
          <w:marTop w:val="0"/>
          <w:marBottom w:val="0"/>
          <w:divBdr>
            <w:top w:val="none" w:sz="0" w:space="0" w:color="auto"/>
            <w:left w:val="none" w:sz="0" w:space="0" w:color="auto"/>
            <w:bottom w:val="none" w:sz="0" w:space="0" w:color="auto"/>
            <w:right w:val="none" w:sz="0" w:space="0" w:color="auto"/>
          </w:divBdr>
          <w:divsChild>
            <w:div w:id="1141532835">
              <w:marLeft w:val="0"/>
              <w:marRight w:val="0"/>
              <w:marTop w:val="0"/>
              <w:marBottom w:val="0"/>
              <w:divBdr>
                <w:top w:val="none" w:sz="0" w:space="0" w:color="auto"/>
                <w:left w:val="none" w:sz="0" w:space="0" w:color="auto"/>
                <w:bottom w:val="none" w:sz="0" w:space="0" w:color="auto"/>
                <w:right w:val="none" w:sz="0" w:space="0" w:color="auto"/>
              </w:divBdr>
            </w:div>
          </w:divsChild>
        </w:div>
        <w:div w:id="1501123269">
          <w:marLeft w:val="0"/>
          <w:marRight w:val="0"/>
          <w:marTop w:val="0"/>
          <w:marBottom w:val="0"/>
          <w:divBdr>
            <w:top w:val="none" w:sz="0" w:space="0" w:color="auto"/>
            <w:left w:val="none" w:sz="0" w:space="0" w:color="auto"/>
            <w:bottom w:val="none" w:sz="0" w:space="0" w:color="auto"/>
            <w:right w:val="none" w:sz="0" w:space="0" w:color="auto"/>
          </w:divBdr>
          <w:divsChild>
            <w:div w:id="745154795">
              <w:marLeft w:val="0"/>
              <w:marRight w:val="0"/>
              <w:marTop w:val="0"/>
              <w:marBottom w:val="0"/>
              <w:divBdr>
                <w:top w:val="none" w:sz="0" w:space="0" w:color="auto"/>
                <w:left w:val="none" w:sz="0" w:space="0" w:color="auto"/>
                <w:bottom w:val="none" w:sz="0" w:space="0" w:color="auto"/>
                <w:right w:val="none" w:sz="0" w:space="0" w:color="auto"/>
              </w:divBdr>
            </w:div>
          </w:divsChild>
        </w:div>
        <w:div w:id="1501658868">
          <w:marLeft w:val="0"/>
          <w:marRight w:val="0"/>
          <w:marTop w:val="0"/>
          <w:marBottom w:val="0"/>
          <w:divBdr>
            <w:top w:val="none" w:sz="0" w:space="0" w:color="auto"/>
            <w:left w:val="none" w:sz="0" w:space="0" w:color="auto"/>
            <w:bottom w:val="none" w:sz="0" w:space="0" w:color="auto"/>
            <w:right w:val="none" w:sz="0" w:space="0" w:color="auto"/>
          </w:divBdr>
          <w:divsChild>
            <w:div w:id="2103065963">
              <w:marLeft w:val="0"/>
              <w:marRight w:val="0"/>
              <w:marTop w:val="0"/>
              <w:marBottom w:val="0"/>
              <w:divBdr>
                <w:top w:val="none" w:sz="0" w:space="0" w:color="auto"/>
                <w:left w:val="none" w:sz="0" w:space="0" w:color="auto"/>
                <w:bottom w:val="none" w:sz="0" w:space="0" w:color="auto"/>
                <w:right w:val="none" w:sz="0" w:space="0" w:color="auto"/>
              </w:divBdr>
            </w:div>
          </w:divsChild>
        </w:div>
        <w:div w:id="1510170875">
          <w:marLeft w:val="0"/>
          <w:marRight w:val="0"/>
          <w:marTop w:val="0"/>
          <w:marBottom w:val="0"/>
          <w:divBdr>
            <w:top w:val="none" w:sz="0" w:space="0" w:color="auto"/>
            <w:left w:val="none" w:sz="0" w:space="0" w:color="auto"/>
            <w:bottom w:val="none" w:sz="0" w:space="0" w:color="auto"/>
            <w:right w:val="none" w:sz="0" w:space="0" w:color="auto"/>
          </w:divBdr>
          <w:divsChild>
            <w:div w:id="946885613">
              <w:marLeft w:val="0"/>
              <w:marRight w:val="0"/>
              <w:marTop w:val="0"/>
              <w:marBottom w:val="0"/>
              <w:divBdr>
                <w:top w:val="none" w:sz="0" w:space="0" w:color="auto"/>
                <w:left w:val="none" w:sz="0" w:space="0" w:color="auto"/>
                <w:bottom w:val="none" w:sz="0" w:space="0" w:color="auto"/>
                <w:right w:val="none" w:sz="0" w:space="0" w:color="auto"/>
              </w:divBdr>
            </w:div>
          </w:divsChild>
        </w:div>
        <w:div w:id="1517304059">
          <w:marLeft w:val="0"/>
          <w:marRight w:val="0"/>
          <w:marTop w:val="0"/>
          <w:marBottom w:val="0"/>
          <w:divBdr>
            <w:top w:val="none" w:sz="0" w:space="0" w:color="auto"/>
            <w:left w:val="none" w:sz="0" w:space="0" w:color="auto"/>
            <w:bottom w:val="none" w:sz="0" w:space="0" w:color="auto"/>
            <w:right w:val="none" w:sz="0" w:space="0" w:color="auto"/>
          </w:divBdr>
          <w:divsChild>
            <w:div w:id="1611282565">
              <w:marLeft w:val="0"/>
              <w:marRight w:val="0"/>
              <w:marTop w:val="0"/>
              <w:marBottom w:val="0"/>
              <w:divBdr>
                <w:top w:val="none" w:sz="0" w:space="0" w:color="auto"/>
                <w:left w:val="none" w:sz="0" w:space="0" w:color="auto"/>
                <w:bottom w:val="none" w:sz="0" w:space="0" w:color="auto"/>
                <w:right w:val="none" w:sz="0" w:space="0" w:color="auto"/>
              </w:divBdr>
            </w:div>
          </w:divsChild>
        </w:div>
        <w:div w:id="1560049746">
          <w:marLeft w:val="0"/>
          <w:marRight w:val="0"/>
          <w:marTop w:val="0"/>
          <w:marBottom w:val="0"/>
          <w:divBdr>
            <w:top w:val="none" w:sz="0" w:space="0" w:color="auto"/>
            <w:left w:val="none" w:sz="0" w:space="0" w:color="auto"/>
            <w:bottom w:val="none" w:sz="0" w:space="0" w:color="auto"/>
            <w:right w:val="none" w:sz="0" w:space="0" w:color="auto"/>
          </w:divBdr>
          <w:divsChild>
            <w:div w:id="654576793">
              <w:marLeft w:val="0"/>
              <w:marRight w:val="0"/>
              <w:marTop w:val="0"/>
              <w:marBottom w:val="0"/>
              <w:divBdr>
                <w:top w:val="none" w:sz="0" w:space="0" w:color="auto"/>
                <w:left w:val="none" w:sz="0" w:space="0" w:color="auto"/>
                <w:bottom w:val="none" w:sz="0" w:space="0" w:color="auto"/>
                <w:right w:val="none" w:sz="0" w:space="0" w:color="auto"/>
              </w:divBdr>
            </w:div>
          </w:divsChild>
        </w:div>
        <w:div w:id="1571186956">
          <w:marLeft w:val="0"/>
          <w:marRight w:val="0"/>
          <w:marTop w:val="0"/>
          <w:marBottom w:val="0"/>
          <w:divBdr>
            <w:top w:val="none" w:sz="0" w:space="0" w:color="auto"/>
            <w:left w:val="none" w:sz="0" w:space="0" w:color="auto"/>
            <w:bottom w:val="none" w:sz="0" w:space="0" w:color="auto"/>
            <w:right w:val="none" w:sz="0" w:space="0" w:color="auto"/>
          </w:divBdr>
          <w:divsChild>
            <w:div w:id="557515899">
              <w:marLeft w:val="0"/>
              <w:marRight w:val="0"/>
              <w:marTop w:val="0"/>
              <w:marBottom w:val="0"/>
              <w:divBdr>
                <w:top w:val="none" w:sz="0" w:space="0" w:color="auto"/>
                <w:left w:val="none" w:sz="0" w:space="0" w:color="auto"/>
                <w:bottom w:val="none" w:sz="0" w:space="0" w:color="auto"/>
                <w:right w:val="none" w:sz="0" w:space="0" w:color="auto"/>
              </w:divBdr>
            </w:div>
          </w:divsChild>
        </w:div>
        <w:div w:id="1574505011">
          <w:marLeft w:val="0"/>
          <w:marRight w:val="0"/>
          <w:marTop w:val="0"/>
          <w:marBottom w:val="0"/>
          <w:divBdr>
            <w:top w:val="none" w:sz="0" w:space="0" w:color="auto"/>
            <w:left w:val="none" w:sz="0" w:space="0" w:color="auto"/>
            <w:bottom w:val="none" w:sz="0" w:space="0" w:color="auto"/>
            <w:right w:val="none" w:sz="0" w:space="0" w:color="auto"/>
          </w:divBdr>
          <w:divsChild>
            <w:div w:id="898368244">
              <w:marLeft w:val="0"/>
              <w:marRight w:val="0"/>
              <w:marTop w:val="0"/>
              <w:marBottom w:val="0"/>
              <w:divBdr>
                <w:top w:val="none" w:sz="0" w:space="0" w:color="auto"/>
                <w:left w:val="none" w:sz="0" w:space="0" w:color="auto"/>
                <w:bottom w:val="none" w:sz="0" w:space="0" w:color="auto"/>
                <w:right w:val="none" w:sz="0" w:space="0" w:color="auto"/>
              </w:divBdr>
            </w:div>
          </w:divsChild>
        </w:div>
        <w:div w:id="1593784422">
          <w:marLeft w:val="0"/>
          <w:marRight w:val="0"/>
          <w:marTop w:val="0"/>
          <w:marBottom w:val="0"/>
          <w:divBdr>
            <w:top w:val="none" w:sz="0" w:space="0" w:color="auto"/>
            <w:left w:val="none" w:sz="0" w:space="0" w:color="auto"/>
            <w:bottom w:val="none" w:sz="0" w:space="0" w:color="auto"/>
            <w:right w:val="none" w:sz="0" w:space="0" w:color="auto"/>
          </w:divBdr>
          <w:divsChild>
            <w:div w:id="111292048">
              <w:marLeft w:val="0"/>
              <w:marRight w:val="0"/>
              <w:marTop w:val="0"/>
              <w:marBottom w:val="0"/>
              <w:divBdr>
                <w:top w:val="none" w:sz="0" w:space="0" w:color="auto"/>
                <w:left w:val="none" w:sz="0" w:space="0" w:color="auto"/>
                <w:bottom w:val="none" w:sz="0" w:space="0" w:color="auto"/>
                <w:right w:val="none" w:sz="0" w:space="0" w:color="auto"/>
              </w:divBdr>
            </w:div>
          </w:divsChild>
        </w:div>
        <w:div w:id="1599361506">
          <w:marLeft w:val="0"/>
          <w:marRight w:val="0"/>
          <w:marTop w:val="0"/>
          <w:marBottom w:val="0"/>
          <w:divBdr>
            <w:top w:val="none" w:sz="0" w:space="0" w:color="auto"/>
            <w:left w:val="none" w:sz="0" w:space="0" w:color="auto"/>
            <w:bottom w:val="none" w:sz="0" w:space="0" w:color="auto"/>
            <w:right w:val="none" w:sz="0" w:space="0" w:color="auto"/>
          </w:divBdr>
          <w:divsChild>
            <w:div w:id="67119703">
              <w:marLeft w:val="0"/>
              <w:marRight w:val="0"/>
              <w:marTop w:val="0"/>
              <w:marBottom w:val="0"/>
              <w:divBdr>
                <w:top w:val="none" w:sz="0" w:space="0" w:color="auto"/>
                <w:left w:val="none" w:sz="0" w:space="0" w:color="auto"/>
                <w:bottom w:val="none" w:sz="0" w:space="0" w:color="auto"/>
                <w:right w:val="none" w:sz="0" w:space="0" w:color="auto"/>
              </w:divBdr>
            </w:div>
          </w:divsChild>
        </w:div>
        <w:div w:id="1629508807">
          <w:marLeft w:val="0"/>
          <w:marRight w:val="0"/>
          <w:marTop w:val="0"/>
          <w:marBottom w:val="0"/>
          <w:divBdr>
            <w:top w:val="none" w:sz="0" w:space="0" w:color="auto"/>
            <w:left w:val="none" w:sz="0" w:space="0" w:color="auto"/>
            <w:bottom w:val="none" w:sz="0" w:space="0" w:color="auto"/>
            <w:right w:val="none" w:sz="0" w:space="0" w:color="auto"/>
          </w:divBdr>
          <w:divsChild>
            <w:div w:id="1288512347">
              <w:marLeft w:val="0"/>
              <w:marRight w:val="0"/>
              <w:marTop w:val="0"/>
              <w:marBottom w:val="0"/>
              <w:divBdr>
                <w:top w:val="none" w:sz="0" w:space="0" w:color="auto"/>
                <w:left w:val="none" w:sz="0" w:space="0" w:color="auto"/>
                <w:bottom w:val="none" w:sz="0" w:space="0" w:color="auto"/>
                <w:right w:val="none" w:sz="0" w:space="0" w:color="auto"/>
              </w:divBdr>
            </w:div>
          </w:divsChild>
        </w:div>
        <w:div w:id="1659189912">
          <w:marLeft w:val="0"/>
          <w:marRight w:val="0"/>
          <w:marTop w:val="0"/>
          <w:marBottom w:val="0"/>
          <w:divBdr>
            <w:top w:val="none" w:sz="0" w:space="0" w:color="auto"/>
            <w:left w:val="none" w:sz="0" w:space="0" w:color="auto"/>
            <w:bottom w:val="none" w:sz="0" w:space="0" w:color="auto"/>
            <w:right w:val="none" w:sz="0" w:space="0" w:color="auto"/>
          </w:divBdr>
          <w:divsChild>
            <w:div w:id="979847386">
              <w:marLeft w:val="0"/>
              <w:marRight w:val="0"/>
              <w:marTop w:val="0"/>
              <w:marBottom w:val="0"/>
              <w:divBdr>
                <w:top w:val="none" w:sz="0" w:space="0" w:color="auto"/>
                <w:left w:val="none" w:sz="0" w:space="0" w:color="auto"/>
                <w:bottom w:val="none" w:sz="0" w:space="0" w:color="auto"/>
                <w:right w:val="none" w:sz="0" w:space="0" w:color="auto"/>
              </w:divBdr>
            </w:div>
          </w:divsChild>
        </w:div>
        <w:div w:id="1671445897">
          <w:marLeft w:val="0"/>
          <w:marRight w:val="0"/>
          <w:marTop w:val="0"/>
          <w:marBottom w:val="0"/>
          <w:divBdr>
            <w:top w:val="none" w:sz="0" w:space="0" w:color="auto"/>
            <w:left w:val="none" w:sz="0" w:space="0" w:color="auto"/>
            <w:bottom w:val="none" w:sz="0" w:space="0" w:color="auto"/>
            <w:right w:val="none" w:sz="0" w:space="0" w:color="auto"/>
          </w:divBdr>
          <w:divsChild>
            <w:div w:id="22289302">
              <w:marLeft w:val="0"/>
              <w:marRight w:val="0"/>
              <w:marTop w:val="0"/>
              <w:marBottom w:val="0"/>
              <w:divBdr>
                <w:top w:val="none" w:sz="0" w:space="0" w:color="auto"/>
                <w:left w:val="none" w:sz="0" w:space="0" w:color="auto"/>
                <w:bottom w:val="none" w:sz="0" w:space="0" w:color="auto"/>
                <w:right w:val="none" w:sz="0" w:space="0" w:color="auto"/>
              </w:divBdr>
            </w:div>
          </w:divsChild>
        </w:div>
        <w:div w:id="1700543829">
          <w:marLeft w:val="0"/>
          <w:marRight w:val="0"/>
          <w:marTop w:val="0"/>
          <w:marBottom w:val="0"/>
          <w:divBdr>
            <w:top w:val="none" w:sz="0" w:space="0" w:color="auto"/>
            <w:left w:val="none" w:sz="0" w:space="0" w:color="auto"/>
            <w:bottom w:val="none" w:sz="0" w:space="0" w:color="auto"/>
            <w:right w:val="none" w:sz="0" w:space="0" w:color="auto"/>
          </w:divBdr>
          <w:divsChild>
            <w:div w:id="1168137442">
              <w:marLeft w:val="0"/>
              <w:marRight w:val="0"/>
              <w:marTop w:val="0"/>
              <w:marBottom w:val="0"/>
              <w:divBdr>
                <w:top w:val="none" w:sz="0" w:space="0" w:color="auto"/>
                <w:left w:val="none" w:sz="0" w:space="0" w:color="auto"/>
                <w:bottom w:val="none" w:sz="0" w:space="0" w:color="auto"/>
                <w:right w:val="none" w:sz="0" w:space="0" w:color="auto"/>
              </w:divBdr>
            </w:div>
          </w:divsChild>
        </w:div>
        <w:div w:id="1713185272">
          <w:marLeft w:val="0"/>
          <w:marRight w:val="0"/>
          <w:marTop w:val="0"/>
          <w:marBottom w:val="0"/>
          <w:divBdr>
            <w:top w:val="none" w:sz="0" w:space="0" w:color="auto"/>
            <w:left w:val="none" w:sz="0" w:space="0" w:color="auto"/>
            <w:bottom w:val="none" w:sz="0" w:space="0" w:color="auto"/>
            <w:right w:val="none" w:sz="0" w:space="0" w:color="auto"/>
          </w:divBdr>
          <w:divsChild>
            <w:div w:id="614606136">
              <w:marLeft w:val="0"/>
              <w:marRight w:val="0"/>
              <w:marTop w:val="0"/>
              <w:marBottom w:val="0"/>
              <w:divBdr>
                <w:top w:val="none" w:sz="0" w:space="0" w:color="auto"/>
                <w:left w:val="none" w:sz="0" w:space="0" w:color="auto"/>
                <w:bottom w:val="none" w:sz="0" w:space="0" w:color="auto"/>
                <w:right w:val="none" w:sz="0" w:space="0" w:color="auto"/>
              </w:divBdr>
            </w:div>
          </w:divsChild>
        </w:div>
        <w:div w:id="1731617082">
          <w:marLeft w:val="0"/>
          <w:marRight w:val="0"/>
          <w:marTop w:val="0"/>
          <w:marBottom w:val="0"/>
          <w:divBdr>
            <w:top w:val="none" w:sz="0" w:space="0" w:color="auto"/>
            <w:left w:val="none" w:sz="0" w:space="0" w:color="auto"/>
            <w:bottom w:val="none" w:sz="0" w:space="0" w:color="auto"/>
            <w:right w:val="none" w:sz="0" w:space="0" w:color="auto"/>
          </w:divBdr>
          <w:divsChild>
            <w:div w:id="2043626517">
              <w:marLeft w:val="0"/>
              <w:marRight w:val="0"/>
              <w:marTop w:val="0"/>
              <w:marBottom w:val="0"/>
              <w:divBdr>
                <w:top w:val="none" w:sz="0" w:space="0" w:color="auto"/>
                <w:left w:val="none" w:sz="0" w:space="0" w:color="auto"/>
                <w:bottom w:val="none" w:sz="0" w:space="0" w:color="auto"/>
                <w:right w:val="none" w:sz="0" w:space="0" w:color="auto"/>
              </w:divBdr>
            </w:div>
          </w:divsChild>
        </w:div>
        <w:div w:id="1736507448">
          <w:marLeft w:val="0"/>
          <w:marRight w:val="0"/>
          <w:marTop w:val="0"/>
          <w:marBottom w:val="0"/>
          <w:divBdr>
            <w:top w:val="none" w:sz="0" w:space="0" w:color="auto"/>
            <w:left w:val="none" w:sz="0" w:space="0" w:color="auto"/>
            <w:bottom w:val="none" w:sz="0" w:space="0" w:color="auto"/>
            <w:right w:val="none" w:sz="0" w:space="0" w:color="auto"/>
          </w:divBdr>
          <w:divsChild>
            <w:div w:id="1853060821">
              <w:marLeft w:val="0"/>
              <w:marRight w:val="0"/>
              <w:marTop w:val="0"/>
              <w:marBottom w:val="0"/>
              <w:divBdr>
                <w:top w:val="none" w:sz="0" w:space="0" w:color="auto"/>
                <w:left w:val="none" w:sz="0" w:space="0" w:color="auto"/>
                <w:bottom w:val="none" w:sz="0" w:space="0" w:color="auto"/>
                <w:right w:val="none" w:sz="0" w:space="0" w:color="auto"/>
              </w:divBdr>
            </w:div>
          </w:divsChild>
        </w:div>
        <w:div w:id="1745562909">
          <w:marLeft w:val="0"/>
          <w:marRight w:val="0"/>
          <w:marTop w:val="0"/>
          <w:marBottom w:val="0"/>
          <w:divBdr>
            <w:top w:val="none" w:sz="0" w:space="0" w:color="auto"/>
            <w:left w:val="none" w:sz="0" w:space="0" w:color="auto"/>
            <w:bottom w:val="none" w:sz="0" w:space="0" w:color="auto"/>
            <w:right w:val="none" w:sz="0" w:space="0" w:color="auto"/>
          </w:divBdr>
          <w:divsChild>
            <w:div w:id="1952861259">
              <w:marLeft w:val="0"/>
              <w:marRight w:val="0"/>
              <w:marTop w:val="0"/>
              <w:marBottom w:val="0"/>
              <w:divBdr>
                <w:top w:val="none" w:sz="0" w:space="0" w:color="auto"/>
                <w:left w:val="none" w:sz="0" w:space="0" w:color="auto"/>
                <w:bottom w:val="none" w:sz="0" w:space="0" w:color="auto"/>
                <w:right w:val="none" w:sz="0" w:space="0" w:color="auto"/>
              </w:divBdr>
            </w:div>
          </w:divsChild>
        </w:div>
        <w:div w:id="1745569541">
          <w:marLeft w:val="0"/>
          <w:marRight w:val="0"/>
          <w:marTop w:val="0"/>
          <w:marBottom w:val="0"/>
          <w:divBdr>
            <w:top w:val="none" w:sz="0" w:space="0" w:color="auto"/>
            <w:left w:val="none" w:sz="0" w:space="0" w:color="auto"/>
            <w:bottom w:val="none" w:sz="0" w:space="0" w:color="auto"/>
            <w:right w:val="none" w:sz="0" w:space="0" w:color="auto"/>
          </w:divBdr>
          <w:divsChild>
            <w:div w:id="763495460">
              <w:marLeft w:val="0"/>
              <w:marRight w:val="0"/>
              <w:marTop w:val="0"/>
              <w:marBottom w:val="0"/>
              <w:divBdr>
                <w:top w:val="none" w:sz="0" w:space="0" w:color="auto"/>
                <w:left w:val="none" w:sz="0" w:space="0" w:color="auto"/>
                <w:bottom w:val="none" w:sz="0" w:space="0" w:color="auto"/>
                <w:right w:val="none" w:sz="0" w:space="0" w:color="auto"/>
              </w:divBdr>
            </w:div>
            <w:div w:id="1365135547">
              <w:marLeft w:val="0"/>
              <w:marRight w:val="0"/>
              <w:marTop w:val="0"/>
              <w:marBottom w:val="0"/>
              <w:divBdr>
                <w:top w:val="none" w:sz="0" w:space="0" w:color="auto"/>
                <w:left w:val="none" w:sz="0" w:space="0" w:color="auto"/>
                <w:bottom w:val="none" w:sz="0" w:space="0" w:color="auto"/>
                <w:right w:val="none" w:sz="0" w:space="0" w:color="auto"/>
              </w:divBdr>
            </w:div>
          </w:divsChild>
        </w:div>
        <w:div w:id="1748308459">
          <w:marLeft w:val="0"/>
          <w:marRight w:val="0"/>
          <w:marTop w:val="0"/>
          <w:marBottom w:val="0"/>
          <w:divBdr>
            <w:top w:val="none" w:sz="0" w:space="0" w:color="auto"/>
            <w:left w:val="none" w:sz="0" w:space="0" w:color="auto"/>
            <w:bottom w:val="none" w:sz="0" w:space="0" w:color="auto"/>
            <w:right w:val="none" w:sz="0" w:space="0" w:color="auto"/>
          </w:divBdr>
          <w:divsChild>
            <w:div w:id="1945307716">
              <w:marLeft w:val="0"/>
              <w:marRight w:val="0"/>
              <w:marTop w:val="0"/>
              <w:marBottom w:val="0"/>
              <w:divBdr>
                <w:top w:val="none" w:sz="0" w:space="0" w:color="auto"/>
                <w:left w:val="none" w:sz="0" w:space="0" w:color="auto"/>
                <w:bottom w:val="none" w:sz="0" w:space="0" w:color="auto"/>
                <w:right w:val="none" w:sz="0" w:space="0" w:color="auto"/>
              </w:divBdr>
            </w:div>
          </w:divsChild>
        </w:div>
        <w:div w:id="1753233815">
          <w:marLeft w:val="0"/>
          <w:marRight w:val="0"/>
          <w:marTop w:val="0"/>
          <w:marBottom w:val="0"/>
          <w:divBdr>
            <w:top w:val="none" w:sz="0" w:space="0" w:color="auto"/>
            <w:left w:val="none" w:sz="0" w:space="0" w:color="auto"/>
            <w:bottom w:val="none" w:sz="0" w:space="0" w:color="auto"/>
            <w:right w:val="none" w:sz="0" w:space="0" w:color="auto"/>
          </w:divBdr>
          <w:divsChild>
            <w:div w:id="473302239">
              <w:marLeft w:val="0"/>
              <w:marRight w:val="0"/>
              <w:marTop w:val="0"/>
              <w:marBottom w:val="0"/>
              <w:divBdr>
                <w:top w:val="none" w:sz="0" w:space="0" w:color="auto"/>
                <w:left w:val="none" w:sz="0" w:space="0" w:color="auto"/>
                <w:bottom w:val="none" w:sz="0" w:space="0" w:color="auto"/>
                <w:right w:val="none" w:sz="0" w:space="0" w:color="auto"/>
              </w:divBdr>
            </w:div>
          </w:divsChild>
        </w:div>
        <w:div w:id="1754400992">
          <w:marLeft w:val="0"/>
          <w:marRight w:val="0"/>
          <w:marTop w:val="0"/>
          <w:marBottom w:val="0"/>
          <w:divBdr>
            <w:top w:val="none" w:sz="0" w:space="0" w:color="auto"/>
            <w:left w:val="none" w:sz="0" w:space="0" w:color="auto"/>
            <w:bottom w:val="none" w:sz="0" w:space="0" w:color="auto"/>
            <w:right w:val="none" w:sz="0" w:space="0" w:color="auto"/>
          </w:divBdr>
          <w:divsChild>
            <w:div w:id="967586068">
              <w:marLeft w:val="0"/>
              <w:marRight w:val="0"/>
              <w:marTop w:val="0"/>
              <w:marBottom w:val="0"/>
              <w:divBdr>
                <w:top w:val="none" w:sz="0" w:space="0" w:color="auto"/>
                <w:left w:val="none" w:sz="0" w:space="0" w:color="auto"/>
                <w:bottom w:val="none" w:sz="0" w:space="0" w:color="auto"/>
                <w:right w:val="none" w:sz="0" w:space="0" w:color="auto"/>
              </w:divBdr>
            </w:div>
          </w:divsChild>
        </w:div>
        <w:div w:id="1757899147">
          <w:marLeft w:val="0"/>
          <w:marRight w:val="0"/>
          <w:marTop w:val="0"/>
          <w:marBottom w:val="0"/>
          <w:divBdr>
            <w:top w:val="none" w:sz="0" w:space="0" w:color="auto"/>
            <w:left w:val="none" w:sz="0" w:space="0" w:color="auto"/>
            <w:bottom w:val="none" w:sz="0" w:space="0" w:color="auto"/>
            <w:right w:val="none" w:sz="0" w:space="0" w:color="auto"/>
          </w:divBdr>
          <w:divsChild>
            <w:div w:id="787315400">
              <w:marLeft w:val="0"/>
              <w:marRight w:val="0"/>
              <w:marTop w:val="0"/>
              <w:marBottom w:val="0"/>
              <w:divBdr>
                <w:top w:val="none" w:sz="0" w:space="0" w:color="auto"/>
                <w:left w:val="none" w:sz="0" w:space="0" w:color="auto"/>
                <w:bottom w:val="none" w:sz="0" w:space="0" w:color="auto"/>
                <w:right w:val="none" w:sz="0" w:space="0" w:color="auto"/>
              </w:divBdr>
            </w:div>
          </w:divsChild>
        </w:div>
        <w:div w:id="1782996693">
          <w:marLeft w:val="0"/>
          <w:marRight w:val="0"/>
          <w:marTop w:val="0"/>
          <w:marBottom w:val="0"/>
          <w:divBdr>
            <w:top w:val="none" w:sz="0" w:space="0" w:color="auto"/>
            <w:left w:val="none" w:sz="0" w:space="0" w:color="auto"/>
            <w:bottom w:val="none" w:sz="0" w:space="0" w:color="auto"/>
            <w:right w:val="none" w:sz="0" w:space="0" w:color="auto"/>
          </w:divBdr>
          <w:divsChild>
            <w:div w:id="430928903">
              <w:marLeft w:val="0"/>
              <w:marRight w:val="0"/>
              <w:marTop w:val="0"/>
              <w:marBottom w:val="0"/>
              <w:divBdr>
                <w:top w:val="none" w:sz="0" w:space="0" w:color="auto"/>
                <w:left w:val="none" w:sz="0" w:space="0" w:color="auto"/>
                <w:bottom w:val="none" w:sz="0" w:space="0" w:color="auto"/>
                <w:right w:val="none" w:sz="0" w:space="0" w:color="auto"/>
              </w:divBdr>
            </w:div>
          </w:divsChild>
        </w:div>
        <w:div w:id="1810247647">
          <w:marLeft w:val="0"/>
          <w:marRight w:val="0"/>
          <w:marTop w:val="0"/>
          <w:marBottom w:val="0"/>
          <w:divBdr>
            <w:top w:val="none" w:sz="0" w:space="0" w:color="auto"/>
            <w:left w:val="none" w:sz="0" w:space="0" w:color="auto"/>
            <w:bottom w:val="none" w:sz="0" w:space="0" w:color="auto"/>
            <w:right w:val="none" w:sz="0" w:space="0" w:color="auto"/>
          </w:divBdr>
          <w:divsChild>
            <w:div w:id="1117485975">
              <w:marLeft w:val="0"/>
              <w:marRight w:val="0"/>
              <w:marTop w:val="0"/>
              <w:marBottom w:val="0"/>
              <w:divBdr>
                <w:top w:val="none" w:sz="0" w:space="0" w:color="auto"/>
                <w:left w:val="none" w:sz="0" w:space="0" w:color="auto"/>
                <w:bottom w:val="none" w:sz="0" w:space="0" w:color="auto"/>
                <w:right w:val="none" w:sz="0" w:space="0" w:color="auto"/>
              </w:divBdr>
            </w:div>
          </w:divsChild>
        </w:div>
        <w:div w:id="1825661831">
          <w:marLeft w:val="0"/>
          <w:marRight w:val="0"/>
          <w:marTop w:val="0"/>
          <w:marBottom w:val="0"/>
          <w:divBdr>
            <w:top w:val="none" w:sz="0" w:space="0" w:color="auto"/>
            <w:left w:val="none" w:sz="0" w:space="0" w:color="auto"/>
            <w:bottom w:val="none" w:sz="0" w:space="0" w:color="auto"/>
            <w:right w:val="none" w:sz="0" w:space="0" w:color="auto"/>
          </w:divBdr>
          <w:divsChild>
            <w:div w:id="428819557">
              <w:marLeft w:val="0"/>
              <w:marRight w:val="0"/>
              <w:marTop w:val="0"/>
              <w:marBottom w:val="0"/>
              <w:divBdr>
                <w:top w:val="none" w:sz="0" w:space="0" w:color="auto"/>
                <w:left w:val="none" w:sz="0" w:space="0" w:color="auto"/>
                <w:bottom w:val="none" w:sz="0" w:space="0" w:color="auto"/>
                <w:right w:val="none" w:sz="0" w:space="0" w:color="auto"/>
              </w:divBdr>
            </w:div>
          </w:divsChild>
        </w:div>
        <w:div w:id="1829200711">
          <w:marLeft w:val="0"/>
          <w:marRight w:val="0"/>
          <w:marTop w:val="0"/>
          <w:marBottom w:val="0"/>
          <w:divBdr>
            <w:top w:val="none" w:sz="0" w:space="0" w:color="auto"/>
            <w:left w:val="none" w:sz="0" w:space="0" w:color="auto"/>
            <w:bottom w:val="none" w:sz="0" w:space="0" w:color="auto"/>
            <w:right w:val="none" w:sz="0" w:space="0" w:color="auto"/>
          </w:divBdr>
          <w:divsChild>
            <w:div w:id="364525898">
              <w:marLeft w:val="0"/>
              <w:marRight w:val="0"/>
              <w:marTop w:val="0"/>
              <w:marBottom w:val="0"/>
              <w:divBdr>
                <w:top w:val="none" w:sz="0" w:space="0" w:color="auto"/>
                <w:left w:val="none" w:sz="0" w:space="0" w:color="auto"/>
                <w:bottom w:val="none" w:sz="0" w:space="0" w:color="auto"/>
                <w:right w:val="none" w:sz="0" w:space="0" w:color="auto"/>
              </w:divBdr>
            </w:div>
          </w:divsChild>
        </w:div>
        <w:div w:id="1851410028">
          <w:marLeft w:val="0"/>
          <w:marRight w:val="0"/>
          <w:marTop w:val="0"/>
          <w:marBottom w:val="0"/>
          <w:divBdr>
            <w:top w:val="none" w:sz="0" w:space="0" w:color="auto"/>
            <w:left w:val="none" w:sz="0" w:space="0" w:color="auto"/>
            <w:bottom w:val="none" w:sz="0" w:space="0" w:color="auto"/>
            <w:right w:val="none" w:sz="0" w:space="0" w:color="auto"/>
          </w:divBdr>
          <w:divsChild>
            <w:div w:id="615719558">
              <w:marLeft w:val="0"/>
              <w:marRight w:val="0"/>
              <w:marTop w:val="0"/>
              <w:marBottom w:val="0"/>
              <w:divBdr>
                <w:top w:val="none" w:sz="0" w:space="0" w:color="auto"/>
                <w:left w:val="none" w:sz="0" w:space="0" w:color="auto"/>
                <w:bottom w:val="none" w:sz="0" w:space="0" w:color="auto"/>
                <w:right w:val="none" w:sz="0" w:space="0" w:color="auto"/>
              </w:divBdr>
            </w:div>
          </w:divsChild>
        </w:div>
        <w:div w:id="1851869519">
          <w:marLeft w:val="0"/>
          <w:marRight w:val="0"/>
          <w:marTop w:val="0"/>
          <w:marBottom w:val="0"/>
          <w:divBdr>
            <w:top w:val="none" w:sz="0" w:space="0" w:color="auto"/>
            <w:left w:val="none" w:sz="0" w:space="0" w:color="auto"/>
            <w:bottom w:val="none" w:sz="0" w:space="0" w:color="auto"/>
            <w:right w:val="none" w:sz="0" w:space="0" w:color="auto"/>
          </w:divBdr>
          <w:divsChild>
            <w:div w:id="234627154">
              <w:marLeft w:val="0"/>
              <w:marRight w:val="0"/>
              <w:marTop w:val="0"/>
              <w:marBottom w:val="0"/>
              <w:divBdr>
                <w:top w:val="none" w:sz="0" w:space="0" w:color="auto"/>
                <w:left w:val="none" w:sz="0" w:space="0" w:color="auto"/>
                <w:bottom w:val="none" w:sz="0" w:space="0" w:color="auto"/>
                <w:right w:val="none" w:sz="0" w:space="0" w:color="auto"/>
              </w:divBdr>
            </w:div>
          </w:divsChild>
        </w:div>
        <w:div w:id="1872256920">
          <w:marLeft w:val="0"/>
          <w:marRight w:val="0"/>
          <w:marTop w:val="0"/>
          <w:marBottom w:val="0"/>
          <w:divBdr>
            <w:top w:val="none" w:sz="0" w:space="0" w:color="auto"/>
            <w:left w:val="none" w:sz="0" w:space="0" w:color="auto"/>
            <w:bottom w:val="none" w:sz="0" w:space="0" w:color="auto"/>
            <w:right w:val="none" w:sz="0" w:space="0" w:color="auto"/>
          </w:divBdr>
          <w:divsChild>
            <w:div w:id="1074930149">
              <w:marLeft w:val="0"/>
              <w:marRight w:val="0"/>
              <w:marTop w:val="0"/>
              <w:marBottom w:val="0"/>
              <w:divBdr>
                <w:top w:val="none" w:sz="0" w:space="0" w:color="auto"/>
                <w:left w:val="none" w:sz="0" w:space="0" w:color="auto"/>
                <w:bottom w:val="none" w:sz="0" w:space="0" w:color="auto"/>
                <w:right w:val="none" w:sz="0" w:space="0" w:color="auto"/>
              </w:divBdr>
            </w:div>
          </w:divsChild>
        </w:div>
        <w:div w:id="1887452861">
          <w:marLeft w:val="0"/>
          <w:marRight w:val="0"/>
          <w:marTop w:val="0"/>
          <w:marBottom w:val="0"/>
          <w:divBdr>
            <w:top w:val="none" w:sz="0" w:space="0" w:color="auto"/>
            <w:left w:val="none" w:sz="0" w:space="0" w:color="auto"/>
            <w:bottom w:val="none" w:sz="0" w:space="0" w:color="auto"/>
            <w:right w:val="none" w:sz="0" w:space="0" w:color="auto"/>
          </w:divBdr>
          <w:divsChild>
            <w:div w:id="534391614">
              <w:marLeft w:val="0"/>
              <w:marRight w:val="0"/>
              <w:marTop w:val="0"/>
              <w:marBottom w:val="0"/>
              <w:divBdr>
                <w:top w:val="none" w:sz="0" w:space="0" w:color="auto"/>
                <w:left w:val="none" w:sz="0" w:space="0" w:color="auto"/>
                <w:bottom w:val="none" w:sz="0" w:space="0" w:color="auto"/>
                <w:right w:val="none" w:sz="0" w:space="0" w:color="auto"/>
              </w:divBdr>
            </w:div>
          </w:divsChild>
        </w:div>
        <w:div w:id="1914241332">
          <w:marLeft w:val="0"/>
          <w:marRight w:val="0"/>
          <w:marTop w:val="0"/>
          <w:marBottom w:val="0"/>
          <w:divBdr>
            <w:top w:val="none" w:sz="0" w:space="0" w:color="auto"/>
            <w:left w:val="none" w:sz="0" w:space="0" w:color="auto"/>
            <w:bottom w:val="none" w:sz="0" w:space="0" w:color="auto"/>
            <w:right w:val="none" w:sz="0" w:space="0" w:color="auto"/>
          </w:divBdr>
          <w:divsChild>
            <w:div w:id="442767068">
              <w:marLeft w:val="0"/>
              <w:marRight w:val="0"/>
              <w:marTop w:val="0"/>
              <w:marBottom w:val="0"/>
              <w:divBdr>
                <w:top w:val="none" w:sz="0" w:space="0" w:color="auto"/>
                <w:left w:val="none" w:sz="0" w:space="0" w:color="auto"/>
                <w:bottom w:val="none" w:sz="0" w:space="0" w:color="auto"/>
                <w:right w:val="none" w:sz="0" w:space="0" w:color="auto"/>
              </w:divBdr>
            </w:div>
          </w:divsChild>
        </w:div>
        <w:div w:id="1914850146">
          <w:marLeft w:val="0"/>
          <w:marRight w:val="0"/>
          <w:marTop w:val="0"/>
          <w:marBottom w:val="0"/>
          <w:divBdr>
            <w:top w:val="none" w:sz="0" w:space="0" w:color="auto"/>
            <w:left w:val="none" w:sz="0" w:space="0" w:color="auto"/>
            <w:bottom w:val="none" w:sz="0" w:space="0" w:color="auto"/>
            <w:right w:val="none" w:sz="0" w:space="0" w:color="auto"/>
          </w:divBdr>
          <w:divsChild>
            <w:div w:id="2134135877">
              <w:marLeft w:val="0"/>
              <w:marRight w:val="0"/>
              <w:marTop w:val="0"/>
              <w:marBottom w:val="0"/>
              <w:divBdr>
                <w:top w:val="none" w:sz="0" w:space="0" w:color="auto"/>
                <w:left w:val="none" w:sz="0" w:space="0" w:color="auto"/>
                <w:bottom w:val="none" w:sz="0" w:space="0" w:color="auto"/>
                <w:right w:val="none" w:sz="0" w:space="0" w:color="auto"/>
              </w:divBdr>
            </w:div>
          </w:divsChild>
        </w:div>
        <w:div w:id="1939289673">
          <w:marLeft w:val="0"/>
          <w:marRight w:val="0"/>
          <w:marTop w:val="0"/>
          <w:marBottom w:val="0"/>
          <w:divBdr>
            <w:top w:val="none" w:sz="0" w:space="0" w:color="auto"/>
            <w:left w:val="none" w:sz="0" w:space="0" w:color="auto"/>
            <w:bottom w:val="none" w:sz="0" w:space="0" w:color="auto"/>
            <w:right w:val="none" w:sz="0" w:space="0" w:color="auto"/>
          </w:divBdr>
          <w:divsChild>
            <w:div w:id="728845931">
              <w:marLeft w:val="0"/>
              <w:marRight w:val="0"/>
              <w:marTop w:val="0"/>
              <w:marBottom w:val="0"/>
              <w:divBdr>
                <w:top w:val="none" w:sz="0" w:space="0" w:color="auto"/>
                <w:left w:val="none" w:sz="0" w:space="0" w:color="auto"/>
                <w:bottom w:val="none" w:sz="0" w:space="0" w:color="auto"/>
                <w:right w:val="none" w:sz="0" w:space="0" w:color="auto"/>
              </w:divBdr>
            </w:div>
          </w:divsChild>
        </w:div>
        <w:div w:id="1970622181">
          <w:marLeft w:val="0"/>
          <w:marRight w:val="0"/>
          <w:marTop w:val="0"/>
          <w:marBottom w:val="0"/>
          <w:divBdr>
            <w:top w:val="none" w:sz="0" w:space="0" w:color="auto"/>
            <w:left w:val="none" w:sz="0" w:space="0" w:color="auto"/>
            <w:bottom w:val="none" w:sz="0" w:space="0" w:color="auto"/>
            <w:right w:val="none" w:sz="0" w:space="0" w:color="auto"/>
          </w:divBdr>
          <w:divsChild>
            <w:div w:id="1836913208">
              <w:marLeft w:val="0"/>
              <w:marRight w:val="0"/>
              <w:marTop w:val="0"/>
              <w:marBottom w:val="0"/>
              <w:divBdr>
                <w:top w:val="none" w:sz="0" w:space="0" w:color="auto"/>
                <w:left w:val="none" w:sz="0" w:space="0" w:color="auto"/>
                <w:bottom w:val="none" w:sz="0" w:space="0" w:color="auto"/>
                <w:right w:val="none" w:sz="0" w:space="0" w:color="auto"/>
              </w:divBdr>
            </w:div>
          </w:divsChild>
        </w:div>
        <w:div w:id="1973823062">
          <w:marLeft w:val="0"/>
          <w:marRight w:val="0"/>
          <w:marTop w:val="0"/>
          <w:marBottom w:val="0"/>
          <w:divBdr>
            <w:top w:val="none" w:sz="0" w:space="0" w:color="auto"/>
            <w:left w:val="none" w:sz="0" w:space="0" w:color="auto"/>
            <w:bottom w:val="none" w:sz="0" w:space="0" w:color="auto"/>
            <w:right w:val="none" w:sz="0" w:space="0" w:color="auto"/>
          </w:divBdr>
          <w:divsChild>
            <w:div w:id="586114698">
              <w:marLeft w:val="0"/>
              <w:marRight w:val="0"/>
              <w:marTop w:val="0"/>
              <w:marBottom w:val="0"/>
              <w:divBdr>
                <w:top w:val="none" w:sz="0" w:space="0" w:color="auto"/>
                <w:left w:val="none" w:sz="0" w:space="0" w:color="auto"/>
                <w:bottom w:val="none" w:sz="0" w:space="0" w:color="auto"/>
                <w:right w:val="none" w:sz="0" w:space="0" w:color="auto"/>
              </w:divBdr>
            </w:div>
          </w:divsChild>
        </w:div>
        <w:div w:id="1979651021">
          <w:marLeft w:val="0"/>
          <w:marRight w:val="0"/>
          <w:marTop w:val="0"/>
          <w:marBottom w:val="0"/>
          <w:divBdr>
            <w:top w:val="none" w:sz="0" w:space="0" w:color="auto"/>
            <w:left w:val="none" w:sz="0" w:space="0" w:color="auto"/>
            <w:bottom w:val="none" w:sz="0" w:space="0" w:color="auto"/>
            <w:right w:val="none" w:sz="0" w:space="0" w:color="auto"/>
          </w:divBdr>
          <w:divsChild>
            <w:div w:id="2128962843">
              <w:marLeft w:val="0"/>
              <w:marRight w:val="0"/>
              <w:marTop w:val="0"/>
              <w:marBottom w:val="0"/>
              <w:divBdr>
                <w:top w:val="none" w:sz="0" w:space="0" w:color="auto"/>
                <w:left w:val="none" w:sz="0" w:space="0" w:color="auto"/>
                <w:bottom w:val="none" w:sz="0" w:space="0" w:color="auto"/>
                <w:right w:val="none" w:sz="0" w:space="0" w:color="auto"/>
              </w:divBdr>
            </w:div>
          </w:divsChild>
        </w:div>
        <w:div w:id="1984315262">
          <w:marLeft w:val="0"/>
          <w:marRight w:val="0"/>
          <w:marTop w:val="0"/>
          <w:marBottom w:val="0"/>
          <w:divBdr>
            <w:top w:val="none" w:sz="0" w:space="0" w:color="auto"/>
            <w:left w:val="none" w:sz="0" w:space="0" w:color="auto"/>
            <w:bottom w:val="none" w:sz="0" w:space="0" w:color="auto"/>
            <w:right w:val="none" w:sz="0" w:space="0" w:color="auto"/>
          </w:divBdr>
          <w:divsChild>
            <w:div w:id="1085611700">
              <w:marLeft w:val="0"/>
              <w:marRight w:val="0"/>
              <w:marTop w:val="0"/>
              <w:marBottom w:val="0"/>
              <w:divBdr>
                <w:top w:val="none" w:sz="0" w:space="0" w:color="auto"/>
                <w:left w:val="none" w:sz="0" w:space="0" w:color="auto"/>
                <w:bottom w:val="none" w:sz="0" w:space="0" w:color="auto"/>
                <w:right w:val="none" w:sz="0" w:space="0" w:color="auto"/>
              </w:divBdr>
            </w:div>
          </w:divsChild>
        </w:div>
        <w:div w:id="1988515266">
          <w:marLeft w:val="0"/>
          <w:marRight w:val="0"/>
          <w:marTop w:val="0"/>
          <w:marBottom w:val="0"/>
          <w:divBdr>
            <w:top w:val="none" w:sz="0" w:space="0" w:color="auto"/>
            <w:left w:val="none" w:sz="0" w:space="0" w:color="auto"/>
            <w:bottom w:val="none" w:sz="0" w:space="0" w:color="auto"/>
            <w:right w:val="none" w:sz="0" w:space="0" w:color="auto"/>
          </w:divBdr>
          <w:divsChild>
            <w:div w:id="1622034710">
              <w:marLeft w:val="0"/>
              <w:marRight w:val="0"/>
              <w:marTop w:val="0"/>
              <w:marBottom w:val="0"/>
              <w:divBdr>
                <w:top w:val="none" w:sz="0" w:space="0" w:color="auto"/>
                <w:left w:val="none" w:sz="0" w:space="0" w:color="auto"/>
                <w:bottom w:val="none" w:sz="0" w:space="0" w:color="auto"/>
                <w:right w:val="none" w:sz="0" w:space="0" w:color="auto"/>
              </w:divBdr>
            </w:div>
          </w:divsChild>
        </w:div>
        <w:div w:id="1999648496">
          <w:marLeft w:val="0"/>
          <w:marRight w:val="0"/>
          <w:marTop w:val="0"/>
          <w:marBottom w:val="0"/>
          <w:divBdr>
            <w:top w:val="none" w:sz="0" w:space="0" w:color="auto"/>
            <w:left w:val="none" w:sz="0" w:space="0" w:color="auto"/>
            <w:bottom w:val="none" w:sz="0" w:space="0" w:color="auto"/>
            <w:right w:val="none" w:sz="0" w:space="0" w:color="auto"/>
          </w:divBdr>
          <w:divsChild>
            <w:div w:id="1267925258">
              <w:marLeft w:val="0"/>
              <w:marRight w:val="0"/>
              <w:marTop w:val="0"/>
              <w:marBottom w:val="0"/>
              <w:divBdr>
                <w:top w:val="none" w:sz="0" w:space="0" w:color="auto"/>
                <w:left w:val="none" w:sz="0" w:space="0" w:color="auto"/>
                <w:bottom w:val="none" w:sz="0" w:space="0" w:color="auto"/>
                <w:right w:val="none" w:sz="0" w:space="0" w:color="auto"/>
              </w:divBdr>
            </w:div>
          </w:divsChild>
        </w:div>
        <w:div w:id="2001225950">
          <w:marLeft w:val="0"/>
          <w:marRight w:val="0"/>
          <w:marTop w:val="0"/>
          <w:marBottom w:val="0"/>
          <w:divBdr>
            <w:top w:val="none" w:sz="0" w:space="0" w:color="auto"/>
            <w:left w:val="none" w:sz="0" w:space="0" w:color="auto"/>
            <w:bottom w:val="none" w:sz="0" w:space="0" w:color="auto"/>
            <w:right w:val="none" w:sz="0" w:space="0" w:color="auto"/>
          </w:divBdr>
          <w:divsChild>
            <w:div w:id="314995656">
              <w:marLeft w:val="0"/>
              <w:marRight w:val="0"/>
              <w:marTop w:val="0"/>
              <w:marBottom w:val="0"/>
              <w:divBdr>
                <w:top w:val="none" w:sz="0" w:space="0" w:color="auto"/>
                <w:left w:val="none" w:sz="0" w:space="0" w:color="auto"/>
                <w:bottom w:val="none" w:sz="0" w:space="0" w:color="auto"/>
                <w:right w:val="none" w:sz="0" w:space="0" w:color="auto"/>
              </w:divBdr>
            </w:div>
          </w:divsChild>
        </w:div>
        <w:div w:id="2005089564">
          <w:marLeft w:val="0"/>
          <w:marRight w:val="0"/>
          <w:marTop w:val="0"/>
          <w:marBottom w:val="0"/>
          <w:divBdr>
            <w:top w:val="none" w:sz="0" w:space="0" w:color="auto"/>
            <w:left w:val="none" w:sz="0" w:space="0" w:color="auto"/>
            <w:bottom w:val="none" w:sz="0" w:space="0" w:color="auto"/>
            <w:right w:val="none" w:sz="0" w:space="0" w:color="auto"/>
          </w:divBdr>
          <w:divsChild>
            <w:div w:id="565452725">
              <w:marLeft w:val="0"/>
              <w:marRight w:val="0"/>
              <w:marTop w:val="0"/>
              <w:marBottom w:val="0"/>
              <w:divBdr>
                <w:top w:val="none" w:sz="0" w:space="0" w:color="auto"/>
                <w:left w:val="none" w:sz="0" w:space="0" w:color="auto"/>
                <w:bottom w:val="none" w:sz="0" w:space="0" w:color="auto"/>
                <w:right w:val="none" w:sz="0" w:space="0" w:color="auto"/>
              </w:divBdr>
            </w:div>
          </w:divsChild>
        </w:div>
        <w:div w:id="2064674471">
          <w:marLeft w:val="0"/>
          <w:marRight w:val="0"/>
          <w:marTop w:val="0"/>
          <w:marBottom w:val="0"/>
          <w:divBdr>
            <w:top w:val="none" w:sz="0" w:space="0" w:color="auto"/>
            <w:left w:val="none" w:sz="0" w:space="0" w:color="auto"/>
            <w:bottom w:val="none" w:sz="0" w:space="0" w:color="auto"/>
            <w:right w:val="none" w:sz="0" w:space="0" w:color="auto"/>
          </w:divBdr>
          <w:divsChild>
            <w:div w:id="124010190">
              <w:marLeft w:val="0"/>
              <w:marRight w:val="0"/>
              <w:marTop w:val="0"/>
              <w:marBottom w:val="0"/>
              <w:divBdr>
                <w:top w:val="none" w:sz="0" w:space="0" w:color="auto"/>
                <w:left w:val="none" w:sz="0" w:space="0" w:color="auto"/>
                <w:bottom w:val="none" w:sz="0" w:space="0" w:color="auto"/>
                <w:right w:val="none" w:sz="0" w:space="0" w:color="auto"/>
              </w:divBdr>
            </w:div>
          </w:divsChild>
        </w:div>
        <w:div w:id="2068643925">
          <w:marLeft w:val="0"/>
          <w:marRight w:val="0"/>
          <w:marTop w:val="0"/>
          <w:marBottom w:val="0"/>
          <w:divBdr>
            <w:top w:val="none" w:sz="0" w:space="0" w:color="auto"/>
            <w:left w:val="none" w:sz="0" w:space="0" w:color="auto"/>
            <w:bottom w:val="none" w:sz="0" w:space="0" w:color="auto"/>
            <w:right w:val="none" w:sz="0" w:space="0" w:color="auto"/>
          </w:divBdr>
          <w:divsChild>
            <w:div w:id="1305349297">
              <w:marLeft w:val="0"/>
              <w:marRight w:val="0"/>
              <w:marTop w:val="0"/>
              <w:marBottom w:val="0"/>
              <w:divBdr>
                <w:top w:val="none" w:sz="0" w:space="0" w:color="auto"/>
                <w:left w:val="none" w:sz="0" w:space="0" w:color="auto"/>
                <w:bottom w:val="none" w:sz="0" w:space="0" w:color="auto"/>
                <w:right w:val="none" w:sz="0" w:space="0" w:color="auto"/>
              </w:divBdr>
            </w:div>
          </w:divsChild>
        </w:div>
        <w:div w:id="2079400732">
          <w:marLeft w:val="0"/>
          <w:marRight w:val="0"/>
          <w:marTop w:val="0"/>
          <w:marBottom w:val="0"/>
          <w:divBdr>
            <w:top w:val="none" w:sz="0" w:space="0" w:color="auto"/>
            <w:left w:val="none" w:sz="0" w:space="0" w:color="auto"/>
            <w:bottom w:val="none" w:sz="0" w:space="0" w:color="auto"/>
            <w:right w:val="none" w:sz="0" w:space="0" w:color="auto"/>
          </w:divBdr>
          <w:divsChild>
            <w:div w:id="207188760">
              <w:marLeft w:val="0"/>
              <w:marRight w:val="0"/>
              <w:marTop w:val="0"/>
              <w:marBottom w:val="0"/>
              <w:divBdr>
                <w:top w:val="none" w:sz="0" w:space="0" w:color="auto"/>
                <w:left w:val="none" w:sz="0" w:space="0" w:color="auto"/>
                <w:bottom w:val="none" w:sz="0" w:space="0" w:color="auto"/>
                <w:right w:val="none" w:sz="0" w:space="0" w:color="auto"/>
              </w:divBdr>
            </w:div>
          </w:divsChild>
        </w:div>
        <w:div w:id="2093158040">
          <w:marLeft w:val="0"/>
          <w:marRight w:val="0"/>
          <w:marTop w:val="0"/>
          <w:marBottom w:val="0"/>
          <w:divBdr>
            <w:top w:val="none" w:sz="0" w:space="0" w:color="auto"/>
            <w:left w:val="none" w:sz="0" w:space="0" w:color="auto"/>
            <w:bottom w:val="none" w:sz="0" w:space="0" w:color="auto"/>
            <w:right w:val="none" w:sz="0" w:space="0" w:color="auto"/>
          </w:divBdr>
          <w:divsChild>
            <w:div w:id="1794059537">
              <w:marLeft w:val="0"/>
              <w:marRight w:val="0"/>
              <w:marTop w:val="0"/>
              <w:marBottom w:val="0"/>
              <w:divBdr>
                <w:top w:val="none" w:sz="0" w:space="0" w:color="auto"/>
                <w:left w:val="none" w:sz="0" w:space="0" w:color="auto"/>
                <w:bottom w:val="none" w:sz="0" w:space="0" w:color="auto"/>
                <w:right w:val="none" w:sz="0" w:space="0" w:color="auto"/>
              </w:divBdr>
            </w:div>
          </w:divsChild>
        </w:div>
        <w:div w:id="2101753594">
          <w:marLeft w:val="0"/>
          <w:marRight w:val="0"/>
          <w:marTop w:val="0"/>
          <w:marBottom w:val="0"/>
          <w:divBdr>
            <w:top w:val="none" w:sz="0" w:space="0" w:color="auto"/>
            <w:left w:val="none" w:sz="0" w:space="0" w:color="auto"/>
            <w:bottom w:val="none" w:sz="0" w:space="0" w:color="auto"/>
            <w:right w:val="none" w:sz="0" w:space="0" w:color="auto"/>
          </w:divBdr>
          <w:divsChild>
            <w:div w:id="1330593466">
              <w:marLeft w:val="0"/>
              <w:marRight w:val="0"/>
              <w:marTop w:val="0"/>
              <w:marBottom w:val="0"/>
              <w:divBdr>
                <w:top w:val="none" w:sz="0" w:space="0" w:color="auto"/>
                <w:left w:val="none" w:sz="0" w:space="0" w:color="auto"/>
                <w:bottom w:val="none" w:sz="0" w:space="0" w:color="auto"/>
                <w:right w:val="none" w:sz="0" w:space="0" w:color="auto"/>
              </w:divBdr>
            </w:div>
          </w:divsChild>
        </w:div>
        <w:div w:id="2109539874">
          <w:marLeft w:val="0"/>
          <w:marRight w:val="0"/>
          <w:marTop w:val="0"/>
          <w:marBottom w:val="0"/>
          <w:divBdr>
            <w:top w:val="none" w:sz="0" w:space="0" w:color="auto"/>
            <w:left w:val="none" w:sz="0" w:space="0" w:color="auto"/>
            <w:bottom w:val="none" w:sz="0" w:space="0" w:color="auto"/>
            <w:right w:val="none" w:sz="0" w:space="0" w:color="auto"/>
          </w:divBdr>
          <w:divsChild>
            <w:div w:id="787356367">
              <w:marLeft w:val="0"/>
              <w:marRight w:val="0"/>
              <w:marTop w:val="0"/>
              <w:marBottom w:val="0"/>
              <w:divBdr>
                <w:top w:val="none" w:sz="0" w:space="0" w:color="auto"/>
                <w:left w:val="none" w:sz="0" w:space="0" w:color="auto"/>
                <w:bottom w:val="none" w:sz="0" w:space="0" w:color="auto"/>
                <w:right w:val="none" w:sz="0" w:space="0" w:color="auto"/>
              </w:divBdr>
            </w:div>
          </w:divsChild>
        </w:div>
        <w:div w:id="2124881098">
          <w:marLeft w:val="0"/>
          <w:marRight w:val="0"/>
          <w:marTop w:val="0"/>
          <w:marBottom w:val="0"/>
          <w:divBdr>
            <w:top w:val="none" w:sz="0" w:space="0" w:color="auto"/>
            <w:left w:val="none" w:sz="0" w:space="0" w:color="auto"/>
            <w:bottom w:val="none" w:sz="0" w:space="0" w:color="auto"/>
            <w:right w:val="none" w:sz="0" w:space="0" w:color="auto"/>
          </w:divBdr>
          <w:divsChild>
            <w:div w:id="120736910">
              <w:marLeft w:val="0"/>
              <w:marRight w:val="0"/>
              <w:marTop w:val="0"/>
              <w:marBottom w:val="0"/>
              <w:divBdr>
                <w:top w:val="none" w:sz="0" w:space="0" w:color="auto"/>
                <w:left w:val="none" w:sz="0" w:space="0" w:color="auto"/>
                <w:bottom w:val="none" w:sz="0" w:space="0" w:color="auto"/>
                <w:right w:val="none" w:sz="0" w:space="0" w:color="auto"/>
              </w:divBdr>
            </w:div>
          </w:divsChild>
        </w:div>
        <w:div w:id="2133550668">
          <w:marLeft w:val="0"/>
          <w:marRight w:val="0"/>
          <w:marTop w:val="0"/>
          <w:marBottom w:val="0"/>
          <w:divBdr>
            <w:top w:val="none" w:sz="0" w:space="0" w:color="auto"/>
            <w:left w:val="none" w:sz="0" w:space="0" w:color="auto"/>
            <w:bottom w:val="none" w:sz="0" w:space="0" w:color="auto"/>
            <w:right w:val="none" w:sz="0" w:space="0" w:color="auto"/>
          </w:divBdr>
          <w:divsChild>
            <w:div w:id="1821144979">
              <w:marLeft w:val="0"/>
              <w:marRight w:val="0"/>
              <w:marTop w:val="0"/>
              <w:marBottom w:val="0"/>
              <w:divBdr>
                <w:top w:val="none" w:sz="0" w:space="0" w:color="auto"/>
                <w:left w:val="none" w:sz="0" w:space="0" w:color="auto"/>
                <w:bottom w:val="none" w:sz="0" w:space="0" w:color="auto"/>
                <w:right w:val="none" w:sz="0" w:space="0" w:color="auto"/>
              </w:divBdr>
            </w:div>
          </w:divsChild>
        </w:div>
        <w:div w:id="2137141674">
          <w:marLeft w:val="0"/>
          <w:marRight w:val="0"/>
          <w:marTop w:val="0"/>
          <w:marBottom w:val="0"/>
          <w:divBdr>
            <w:top w:val="none" w:sz="0" w:space="0" w:color="auto"/>
            <w:left w:val="none" w:sz="0" w:space="0" w:color="auto"/>
            <w:bottom w:val="none" w:sz="0" w:space="0" w:color="auto"/>
            <w:right w:val="none" w:sz="0" w:space="0" w:color="auto"/>
          </w:divBdr>
          <w:divsChild>
            <w:div w:id="95758178">
              <w:marLeft w:val="0"/>
              <w:marRight w:val="0"/>
              <w:marTop w:val="0"/>
              <w:marBottom w:val="0"/>
              <w:divBdr>
                <w:top w:val="none" w:sz="0" w:space="0" w:color="auto"/>
                <w:left w:val="none" w:sz="0" w:space="0" w:color="auto"/>
                <w:bottom w:val="none" w:sz="0" w:space="0" w:color="auto"/>
                <w:right w:val="none" w:sz="0" w:space="0" w:color="auto"/>
              </w:divBdr>
            </w:div>
          </w:divsChild>
        </w:div>
        <w:div w:id="2137407592">
          <w:marLeft w:val="0"/>
          <w:marRight w:val="0"/>
          <w:marTop w:val="0"/>
          <w:marBottom w:val="0"/>
          <w:divBdr>
            <w:top w:val="none" w:sz="0" w:space="0" w:color="auto"/>
            <w:left w:val="none" w:sz="0" w:space="0" w:color="auto"/>
            <w:bottom w:val="none" w:sz="0" w:space="0" w:color="auto"/>
            <w:right w:val="none" w:sz="0" w:space="0" w:color="auto"/>
          </w:divBdr>
          <w:divsChild>
            <w:div w:id="38826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247777">
      <w:bodyDiv w:val="1"/>
      <w:marLeft w:val="0"/>
      <w:marRight w:val="0"/>
      <w:marTop w:val="0"/>
      <w:marBottom w:val="0"/>
      <w:divBdr>
        <w:top w:val="none" w:sz="0" w:space="0" w:color="auto"/>
        <w:left w:val="none" w:sz="0" w:space="0" w:color="auto"/>
        <w:bottom w:val="none" w:sz="0" w:space="0" w:color="auto"/>
        <w:right w:val="none" w:sz="0" w:space="0" w:color="auto"/>
      </w:divBdr>
    </w:div>
    <w:div w:id="1349523954">
      <w:bodyDiv w:val="1"/>
      <w:marLeft w:val="0"/>
      <w:marRight w:val="0"/>
      <w:marTop w:val="0"/>
      <w:marBottom w:val="0"/>
      <w:divBdr>
        <w:top w:val="none" w:sz="0" w:space="0" w:color="auto"/>
        <w:left w:val="none" w:sz="0" w:space="0" w:color="auto"/>
        <w:bottom w:val="none" w:sz="0" w:space="0" w:color="auto"/>
        <w:right w:val="none" w:sz="0" w:space="0" w:color="auto"/>
      </w:divBdr>
      <w:divsChild>
        <w:div w:id="60059083">
          <w:marLeft w:val="0"/>
          <w:marRight w:val="0"/>
          <w:marTop w:val="0"/>
          <w:marBottom w:val="0"/>
          <w:divBdr>
            <w:top w:val="none" w:sz="0" w:space="0" w:color="auto"/>
            <w:left w:val="none" w:sz="0" w:space="0" w:color="auto"/>
            <w:bottom w:val="none" w:sz="0" w:space="0" w:color="auto"/>
            <w:right w:val="none" w:sz="0" w:space="0" w:color="auto"/>
          </w:divBdr>
          <w:divsChild>
            <w:div w:id="291907623">
              <w:marLeft w:val="0"/>
              <w:marRight w:val="0"/>
              <w:marTop w:val="0"/>
              <w:marBottom w:val="0"/>
              <w:divBdr>
                <w:top w:val="none" w:sz="0" w:space="0" w:color="auto"/>
                <w:left w:val="none" w:sz="0" w:space="0" w:color="auto"/>
                <w:bottom w:val="none" w:sz="0" w:space="0" w:color="auto"/>
                <w:right w:val="none" w:sz="0" w:space="0" w:color="auto"/>
              </w:divBdr>
            </w:div>
          </w:divsChild>
        </w:div>
        <w:div w:id="66803663">
          <w:marLeft w:val="0"/>
          <w:marRight w:val="0"/>
          <w:marTop w:val="0"/>
          <w:marBottom w:val="0"/>
          <w:divBdr>
            <w:top w:val="none" w:sz="0" w:space="0" w:color="auto"/>
            <w:left w:val="none" w:sz="0" w:space="0" w:color="auto"/>
            <w:bottom w:val="none" w:sz="0" w:space="0" w:color="auto"/>
            <w:right w:val="none" w:sz="0" w:space="0" w:color="auto"/>
          </w:divBdr>
          <w:divsChild>
            <w:div w:id="1724908578">
              <w:marLeft w:val="0"/>
              <w:marRight w:val="0"/>
              <w:marTop w:val="0"/>
              <w:marBottom w:val="0"/>
              <w:divBdr>
                <w:top w:val="none" w:sz="0" w:space="0" w:color="auto"/>
                <w:left w:val="none" w:sz="0" w:space="0" w:color="auto"/>
                <w:bottom w:val="none" w:sz="0" w:space="0" w:color="auto"/>
                <w:right w:val="none" w:sz="0" w:space="0" w:color="auto"/>
              </w:divBdr>
            </w:div>
          </w:divsChild>
        </w:div>
        <w:div w:id="180050428">
          <w:marLeft w:val="0"/>
          <w:marRight w:val="0"/>
          <w:marTop w:val="0"/>
          <w:marBottom w:val="0"/>
          <w:divBdr>
            <w:top w:val="none" w:sz="0" w:space="0" w:color="auto"/>
            <w:left w:val="none" w:sz="0" w:space="0" w:color="auto"/>
            <w:bottom w:val="none" w:sz="0" w:space="0" w:color="auto"/>
            <w:right w:val="none" w:sz="0" w:space="0" w:color="auto"/>
          </w:divBdr>
          <w:divsChild>
            <w:div w:id="841772373">
              <w:marLeft w:val="0"/>
              <w:marRight w:val="0"/>
              <w:marTop w:val="0"/>
              <w:marBottom w:val="0"/>
              <w:divBdr>
                <w:top w:val="none" w:sz="0" w:space="0" w:color="auto"/>
                <w:left w:val="none" w:sz="0" w:space="0" w:color="auto"/>
                <w:bottom w:val="none" w:sz="0" w:space="0" w:color="auto"/>
                <w:right w:val="none" w:sz="0" w:space="0" w:color="auto"/>
              </w:divBdr>
            </w:div>
          </w:divsChild>
        </w:div>
        <w:div w:id="275255842">
          <w:marLeft w:val="0"/>
          <w:marRight w:val="0"/>
          <w:marTop w:val="0"/>
          <w:marBottom w:val="0"/>
          <w:divBdr>
            <w:top w:val="none" w:sz="0" w:space="0" w:color="auto"/>
            <w:left w:val="none" w:sz="0" w:space="0" w:color="auto"/>
            <w:bottom w:val="none" w:sz="0" w:space="0" w:color="auto"/>
            <w:right w:val="none" w:sz="0" w:space="0" w:color="auto"/>
          </w:divBdr>
          <w:divsChild>
            <w:div w:id="1582524931">
              <w:marLeft w:val="0"/>
              <w:marRight w:val="0"/>
              <w:marTop w:val="0"/>
              <w:marBottom w:val="0"/>
              <w:divBdr>
                <w:top w:val="none" w:sz="0" w:space="0" w:color="auto"/>
                <w:left w:val="none" w:sz="0" w:space="0" w:color="auto"/>
                <w:bottom w:val="none" w:sz="0" w:space="0" w:color="auto"/>
                <w:right w:val="none" w:sz="0" w:space="0" w:color="auto"/>
              </w:divBdr>
            </w:div>
          </w:divsChild>
        </w:div>
        <w:div w:id="280577639">
          <w:marLeft w:val="0"/>
          <w:marRight w:val="0"/>
          <w:marTop w:val="0"/>
          <w:marBottom w:val="0"/>
          <w:divBdr>
            <w:top w:val="none" w:sz="0" w:space="0" w:color="auto"/>
            <w:left w:val="none" w:sz="0" w:space="0" w:color="auto"/>
            <w:bottom w:val="none" w:sz="0" w:space="0" w:color="auto"/>
            <w:right w:val="none" w:sz="0" w:space="0" w:color="auto"/>
          </w:divBdr>
          <w:divsChild>
            <w:div w:id="2107842633">
              <w:marLeft w:val="0"/>
              <w:marRight w:val="0"/>
              <w:marTop w:val="0"/>
              <w:marBottom w:val="0"/>
              <w:divBdr>
                <w:top w:val="none" w:sz="0" w:space="0" w:color="auto"/>
                <w:left w:val="none" w:sz="0" w:space="0" w:color="auto"/>
                <w:bottom w:val="none" w:sz="0" w:space="0" w:color="auto"/>
                <w:right w:val="none" w:sz="0" w:space="0" w:color="auto"/>
              </w:divBdr>
            </w:div>
          </w:divsChild>
        </w:div>
        <w:div w:id="282618040">
          <w:marLeft w:val="0"/>
          <w:marRight w:val="0"/>
          <w:marTop w:val="0"/>
          <w:marBottom w:val="0"/>
          <w:divBdr>
            <w:top w:val="none" w:sz="0" w:space="0" w:color="auto"/>
            <w:left w:val="none" w:sz="0" w:space="0" w:color="auto"/>
            <w:bottom w:val="none" w:sz="0" w:space="0" w:color="auto"/>
            <w:right w:val="none" w:sz="0" w:space="0" w:color="auto"/>
          </w:divBdr>
          <w:divsChild>
            <w:div w:id="283003783">
              <w:marLeft w:val="0"/>
              <w:marRight w:val="0"/>
              <w:marTop w:val="0"/>
              <w:marBottom w:val="0"/>
              <w:divBdr>
                <w:top w:val="none" w:sz="0" w:space="0" w:color="auto"/>
                <w:left w:val="none" w:sz="0" w:space="0" w:color="auto"/>
                <w:bottom w:val="none" w:sz="0" w:space="0" w:color="auto"/>
                <w:right w:val="none" w:sz="0" w:space="0" w:color="auto"/>
              </w:divBdr>
            </w:div>
            <w:div w:id="1764378946">
              <w:marLeft w:val="0"/>
              <w:marRight w:val="0"/>
              <w:marTop w:val="0"/>
              <w:marBottom w:val="0"/>
              <w:divBdr>
                <w:top w:val="none" w:sz="0" w:space="0" w:color="auto"/>
                <w:left w:val="none" w:sz="0" w:space="0" w:color="auto"/>
                <w:bottom w:val="none" w:sz="0" w:space="0" w:color="auto"/>
                <w:right w:val="none" w:sz="0" w:space="0" w:color="auto"/>
              </w:divBdr>
            </w:div>
          </w:divsChild>
        </w:div>
        <w:div w:id="317610167">
          <w:marLeft w:val="0"/>
          <w:marRight w:val="0"/>
          <w:marTop w:val="0"/>
          <w:marBottom w:val="0"/>
          <w:divBdr>
            <w:top w:val="none" w:sz="0" w:space="0" w:color="auto"/>
            <w:left w:val="none" w:sz="0" w:space="0" w:color="auto"/>
            <w:bottom w:val="none" w:sz="0" w:space="0" w:color="auto"/>
            <w:right w:val="none" w:sz="0" w:space="0" w:color="auto"/>
          </w:divBdr>
          <w:divsChild>
            <w:div w:id="1919709459">
              <w:marLeft w:val="0"/>
              <w:marRight w:val="0"/>
              <w:marTop w:val="0"/>
              <w:marBottom w:val="0"/>
              <w:divBdr>
                <w:top w:val="none" w:sz="0" w:space="0" w:color="auto"/>
                <w:left w:val="none" w:sz="0" w:space="0" w:color="auto"/>
                <w:bottom w:val="none" w:sz="0" w:space="0" w:color="auto"/>
                <w:right w:val="none" w:sz="0" w:space="0" w:color="auto"/>
              </w:divBdr>
            </w:div>
          </w:divsChild>
        </w:div>
        <w:div w:id="349531320">
          <w:marLeft w:val="0"/>
          <w:marRight w:val="0"/>
          <w:marTop w:val="0"/>
          <w:marBottom w:val="0"/>
          <w:divBdr>
            <w:top w:val="none" w:sz="0" w:space="0" w:color="auto"/>
            <w:left w:val="none" w:sz="0" w:space="0" w:color="auto"/>
            <w:bottom w:val="none" w:sz="0" w:space="0" w:color="auto"/>
            <w:right w:val="none" w:sz="0" w:space="0" w:color="auto"/>
          </w:divBdr>
          <w:divsChild>
            <w:div w:id="2115517501">
              <w:marLeft w:val="0"/>
              <w:marRight w:val="0"/>
              <w:marTop w:val="0"/>
              <w:marBottom w:val="0"/>
              <w:divBdr>
                <w:top w:val="none" w:sz="0" w:space="0" w:color="auto"/>
                <w:left w:val="none" w:sz="0" w:space="0" w:color="auto"/>
                <w:bottom w:val="none" w:sz="0" w:space="0" w:color="auto"/>
                <w:right w:val="none" w:sz="0" w:space="0" w:color="auto"/>
              </w:divBdr>
            </w:div>
          </w:divsChild>
        </w:div>
        <w:div w:id="488599947">
          <w:marLeft w:val="0"/>
          <w:marRight w:val="0"/>
          <w:marTop w:val="0"/>
          <w:marBottom w:val="0"/>
          <w:divBdr>
            <w:top w:val="none" w:sz="0" w:space="0" w:color="auto"/>
            <w:left w:val="none" w:sz="0" w:space="0" w:color="auto"/>
            <w:bottom w:val="none" w:sz="0" w:space="0" w:color="auto"/>
            <w:right w:val="none" w:sz="0" w:space="0" w:color="auto"/>
          </w:divBdr>
          <w:divsChild>
            <w:div w:id="2117020272">
              <w:marLeft w:val="0"/>
              <w:marRight w:val="0"/>
              <w:marTop w:val="0"/>
              <w:marBottom w:val="0"/>
              <w:divBdr>
                <w:top w:val="none" w:sz="0" w:space="0" w:color="auto"/>
                <w:left w:val="none" w:sz="0" w:space="0" w:color="auto"/>
                <w:bottom w:val="none" w:sz="0" w:space="0" w:color="auto"/>
                <w:right w:val="none" w:sz="0" w:space="0" w:color="auto"/>
              </w:divBdr>
            </w:div>
          </w:divsChild>
        </w:div>
        <w:div w:id="559898506">
          <w:marLeft w:val="0"/>
          <w:marRight w:val="0"/>
          <w:marTop w:val="0"/>
          <w:marBottom w:val="0"/>
          <w:divBdr>
            <w:top w:val="none" w:sz="0" w:space="0" w:color="auto"/>
            <w:left w:val="none" w:sz="0" w:space="0" w:color="auto"/>
            <w:bottom w:val="none" w:sz="0" w:space="0" w:color="auto"/>
            <w:right w:val="none" w:sz="0" w:space="0" w:color="auto"/>
          </w:divBdr>
          <w:divsChild>
            <w:div w:id="1909994457">
              <w:marLeft w:val="0"/>
              <w:marRight w:val="0"/>
              <w:marTop w:val="0"/>
              <w:marBottom w:val="0"/>
              <w:divBdr>
                <w:top w:val="none" w:sz="0" w:space="0" w:color="auto"/>
                <w:left w:val="none" w:sz="0" w:space="0" w:color="auto"/>
                <w:bottom w:val="none" w:sz="0" w:space="0" w:color="auto"/>
                <w:right w:val="none" w:sz="0" w:space="0" w:color="auto"/>
              </w:divBdr>
            </w:div>
          </w:divsChild>
        </w:div>
        <w:div w:id="727732203">
          <w:marLeft w:val="0"/>
          <w:marRight w:val="0"/>
          <w:marTop w:val="0"/>
          <w:marBottom w:val="0"/>
          <w:divBdr>
            <w:top w:val="none" w:sz="0" w:space="0" w:color="auto"/>
            <w:left w:val="none" w:sz="0" w:space="0" w:color="auto"/>
            <w:bottom w:val="none" w:sz="0" w:space="0" w:color="auto"/>
            <w:right w:val="none" w:sz="0" w:space="0" w:color="auto"/>
          </w:divBdr>
          <w:divsChild>
            <w:div w:id="166332540">
              <w:marLeft w:val="0"/>
              <w:marRight w:val="0"/>
              <w:marTop w:val="0"/>
              <w:marBottom w:val="0"/>
              <w:divBdr>
                <w:top w:val="none" w:sz="0" w:space="0" w:color="auto"/>
                <w:left w:val="none" w:sz="0" w:space="0" w:color="auto"/>
                <w:bottom w:val="none" w:sz="0" w:space="0" w:color="auto"/>
                <w:right w:val="none" w:sz="0" w:space="0" w:color="auto"/>
              </w:divBdr>
            </w:div>
            <w:div w:id="374165280">
              <w:marLeft w:val="0"/>
              <w:marRight w:val="0"/>
              <w:marTop w:val="0"/>
              <w:marBottom w:val="0"/>
              <w:divBdr>
                <w:top w:val="none" w:sz="0" w:space="0" w:color="auto"/>
                <w:left w:val="none" w:sz="0" w:space="0" w:color="auto"/>
                <w:bottom w:val="none" w:sz="0" w:space="0" w:color="auto"/>
                <w:right w:val="none" w:sz="0" w:space="0" w:color="auto"/>
              </w:divBdr>
            </w:div>
          </w:divsChild>
        </w:div>
        <w:div w:id="742534713">
          <w:marLeft w:val="0"/>
          <w:marRight w:val="0"/>
          <w:marTop w:val="0"/>
          <w:marBottom w:val="0"/>
          <w:divBdr>
            <w:top w:val="none" w:sz="0" w:space="0" w:color="auto"/>
            <w:left w:val="none" w:sz="0" w:space="0" w:color="auto"/>
            <w:bottom w:val="none" w:sz="0" w:space="0" w:color="auto"/>
            <w:right w:val="none" w:sz="0" w:space="0" w:color="auto"/>
          </w:divBdr>
          <w:divsChild>
            <w:div w:id="422384973">
              <w:marLeft w:val="0"/>
              <w:marRight w:val="0"/>
              <w:marTop w:val="0"/>
              <w:marBottom w:val="0"/>
              <w:divBdr>
                <w:top w:val="none" w:sz="0" w:space="0" w:color="auto"/>
                <w:left w:val="none" w:sz="0" w:space="0" w:color="auto"/>
                <w:bottom w:val="none" w:sz="0" w:space="0" w:color="auto"/>
                <w:right w:val="none" w:sz="0" w:space="0" w:color="auto"/>
              </w:divBdr>
            </w:div>
          </w:divsChild>
        </w:div>
        <w:div w:id="753279570">
          <w:marLeft w:val="0"/>
          <w:marRight w:val="0"/>
          <w:marTop w:val="0"/>
          <w:marBottom w:val="0"/>
          <w:divBdr>
            <w:top w:val="none" w:sz="0" w:space="0" w:color="auto"/>
            <w:left w:val="none" w:sz="0" w:space="0" w:color="auto"/>
            <w:bottom w:val="none" w:sz="0" w:space="0" w:color="auto"/>
            <w:right w:val="none" w:sz="0" w:space="0" w:color="auto"/>
          </w:divBdr>
          <w:divsChild>
            <w:div w:id="195046314">
              <w:marLeft w:val="0"/>
              <w:marRight w:val="0"/>
              <w:marTop w:val="0"/>
              <w:marBottom w:val="0"/>
              <w:divBdr>
                <w:top w:val="none" w:sz="0" w:space="0" w:color="auto"/>
                <w:left w:val="none" w:sz="0" w:space="0" w:color="auto"/>
                <w:bottom w:val="none" w:sz="0" w:space="0" w:color="auto"/>
                <w:right w:val="none" w:sz="0" w:space="0" w:color="auto"/>
              </w:divBdr>
            </w:div>
            <w:div w:id="1435635009">
              <w:marLeft w:val="0"/>
              <w:marRight w:val="0"/>
              <w:marTop w:val="0"/>
              <w:marBottom w:val="0"/>
              <w:divBdr>
                <w:top w:val="none" w:sz="0" w:space="0" w:color="auto"/>
                <w:left w:val="none" w:sz="0" w:space="0" w:color="auto"/>
                <w:bottom w:val="none" w:sz="0" w:space="0" w:color="auto"/>
                <w:right w:val="none" w:sz="0" w:space="0" w:color="auto"/>
              </w:divBdr>
            </w:div>
          </w:divsChild>
        </w:div>
        <w:div w:id="826557487">
          <w:marLeft w:val="0"/>
          <w:marRight w:val="0"/>
          <w:marTop w:val="0"/>
          <w:marBottom w:val="0"/>
          <w:divBdr>
            <w:top w:val="none" w:sz="0" w:space="0" w:color="auto"/>
            <w:left w:val="none" w:sz="0" w:space="0" w:color="auto"/>
            <w:bottom w:val="none" w:sz="0" w:space="0" w:color="auto"/>
            <w:right w:val="none" w:sz="0" w:space="0" w:color="auto"/>
          </w:divBdr>
          <w:divsChild>
            <w:div w:id="134835496">
              <w:marLeft w:val="0"/>
              <w:marRight w:val="0"/>
              <w:marTop w:val="0"/>
              <w:marBottom w:val="0"/>
              <w:divBdr>
                <w:top w:val="none" w:sz="0" w:space="0" w:color="auto"/>
                <w:left w:val="none" w:sz="0" w:space="0" w:color="auto"/>
                <w:bottom w:val="none" w:sz="0" w:space="0" w:color="auto"/>
                <w:right w:val="none" w:sz="0" w:space="0" w:color="auto"/>
              </w:divBdr>
            </w:div>
          </w:divsChild>
        </w:div>
        <w:div w:id="963198857">
          <w:marLeft w:val="0"/>
          <w:marRight w:val="0"/>
          <w:marTop w:val="0"/>
          <w:marBottom w:val="0"/>
          <w:divBdr>
            <w:top w:val="none" w:sz="0" w:space="0" w:color="auto"/>
            <w:left w:val="none" w:sz="0" w:space="0" w:color="auto"/>
            <w:bottom w:val="none" w:sz="0" w:space="0" w:color="auto"/>
            <w:right w:val="none" w:sz="0" w:space="0" w:color="auto"/>
          </w:divBdr>
          <w:divsChild>
            <w:div w:id="1421102744">
              <w:marLeft w:val="0"/>
              <w:marRight w:val="0"/>
              <w:marTop w:val="0"/>
              <w:marBottom w:val="0"/>
              <w:divBdr>
                <w:top w:val="none" w:sz="0" w:space="0" w:color="auto"/>
                <w:left w:val="none" w:sz="0" w:space="0" w:color="auto"/>
                <w:bottom w:val="none" w:sz="0" w:space="0" w:color="auto"/>
                <w:right w:val="none" w:sz="0" w:space="0" w:color="auto"/>
              </w:divBdr>
            </w:div>
          </w:divsChild>
        </w:div>
        <w:div w:id="1058673324">
          <w:marLeft w:val="0"/>
          <w:marRight w:val="0"/>
          <w:marTop w:val="0"/>
          <w:marBottom w:val="0"/>
          <w:divBdr>
            <w:top w:val="none" w:sz="0" w:space="0" w:color="auto"/>
            <w:left w:val="none" w:sz="0" w:space="0" w:color="auto"/>
            <w:bottom w:val="none" w:sz="0" w:space="0" w:color="auto"/>
            <w:right w:val="none" w:sz="0" w:space="0" w:color="auto"/>
          </w:divBdr>
          <w:divsChild>
            <w:div w:id="1466847900">
              <w:marLeft w:val="0"/>
              <w:marRight w:val="0"/>
              <w:marTop w:val="0"/>
              <w:marBottom w:val="0"/>
              <w:divBdr>
                <w:top w:val="none" w:sz="0" w:space="0" w:color="auto"/>
                <w:left w:val="none" w:sz="0" w:space="0" w:color="auto"/>
                <w:bottom w:val="none" w:sz="0" w:space="0" w:color="auto"/>
                <w:right w:val="none" w:sz="0" w:space="0" w:color="auto"/>
              </w:divBdr>
            </w:div>
          </w:divsChild>
        </w:div>
        <w:div w:id="1087195287">
          <w:marLeft w:val="0"/>
          <w:marRight w:val="0"/>
          <w:marTop w:val="0"/>
          <w:marBottom w:val="0"/>
          <w:divBdr>
            <w:top w:val="none" w:sz="0" w:space="0" w:color="auto"/>
            <w:left w:val="none" w:sz="0" w:space="0" w:color="auto"/>
            <w:bottom w:val="none" w:sz="0" w:space="0" w:color="auto"/>
            <w:right w:val="none" w:sz="0" w:space="0" w:color="auto"/>
          </w:divBdr>
          <w:divsChild>
            <w:div w:id="1562322401">
              <w:marLeft w:val="0"/>
              <w:marRight w:val="0"/>
              <w:marTop w:val="0"/>
              <w:marBottom w:val="0"/>
              <w:divBdr>
                <w:top w:val="none" w:sz="0" w:space="0" w:color="auto"/>
                <w:left w:val="none" w:sz="0" w:space="0" w:color="auto"/>
                <w:bottom w:val="none" w:sz="0" w:space="0" w:color="auto"/>
                <w:right w:val="none" w:sz="0" w:space="0" w:color="auto"/>
              </w:divBdr>
            </w:div>
          </w:divsChild>
        </w:div>
        <w:div w:id="1107890494">
          <w:marLeft w:val="0"/>
          <w:marRight w:val="0"/>
          <w:marTop w:val="0"/>
          <w:marBottom w:val="0"/>
          <w:divBdr>
            <w:top w:val="none" w:sz="0" w:space="0" w:color="auto"/>
            <w:left w:val="none" w:sz="0" w:space="0" w:color="auto"/>
            <w:bottom w:val="none" w:sz="0" w:space="0" w:color="auto"/>
            <w:right w:val="none" w:sz="0" w:space="0" w:color="auto"/>
          </w:divBdr>
          <w:divsChild>
            <w:div w:id="666635160">
              <w:marLeft w:val="0"/>
              <w:marRight w:val="0"/>
              <w:marTop w:val="0"/>
              <w:marBottom w:val="0"/>
              <w:divBdr>
                <w:top w:val="none" w:sz="0" w:space="0" w:color="auto"/>
                <w:left w:val="none" w:sz="0" w:space="0" w:color="auto"/>
                <w:bottom w:val="none" w:sz="0" w:space="0" w:color="auto"/>
                <w:right w:val="none" w:sz="0" w:space="0" w:color="auto"/>
              </w:divBdr>
            </w:div>
          </w:divsChild>
        </w:div>
        <w:div w:id="1183319079">
          <w:marLeft w:val="0"/>
          <w:marRight w:val="0"/>
          <w:marTop w:val="0"/>
          <w:marBottom w:val="0"/>
          <w:divBdr>
            <w:top w:val="none" w:sz="0" w:space="0" w:color="auto"/>
            <w:left w:val="none" w:sz="0" w:space="0" w:color="auto"/>
            <w:bottom w:val="none" w:sz="0" w:space="0" w:color="auto"/>
            <w:right w:val="none" w:sz="0" w:space="0" w:color="auto"/>
          </w:divBdr>
          <w:divsChild>
            <w:div w:id="75523087">
              <w:marLeft w:val="0"/>
              <w:marRight w:val="0"/>
              <w:marTop w:val="0"/>
              <w:marBottom w:val="0"/>
              <w:divBdr>
                <w:top w:val="none" w:sz="0" w:space="0" w:color="auto"/>
                <w:left w:val="none" w:sz="0" w:space="0" w:color="auto"/>
                <w:bottom w:val="none" w:sz="0" w:space="0" w:color="auto"/>
                <w:right w:val="none" w:sz="0" w:space="0" w:color="auto"/>
              </w:divBdr>
            </w:div>
          </w:divsChild>
        </w:div>
        <w:div w:id="1263146777">
          <w:marLeft w:val="0"/>
          <w:marRight w:val="0"/>
          <w:marTop w:val="0"/>
          <w:marBottom w:val="0"/>
          <w:divBdr>
            <w:top w:val="none" w:sz="0" w:space="0" w:color="auto"/>
            <w:left w:val="none" w:sz="0" w:space="0" w:color="auto"/>
            <w:bottom w:val="none" w:sz="0" w:space="0" w:color="auto"/>
            <w:right w:val="none" w:sz="0" w:space="0" w:color="auto"/>
          </w:divBdr>
          <w:divsChild>
            <w:div w:id="820389072">
              <w:marLeft w:val="0"/>
              <w:marRight w:val="0"/>
              <w:marTop w:val="0"/>
              <w:marBottom w:val="0"/>
              <w:divBdr>
                <w:top w:val="none" w:sz="0" w:space="0" w:color="auto"/>
                <w:left w:val="none" w:sz="0" w:space="0" w:color="auto"/>
                <w:bottom w:val="none" w:sz="0" w:space="0" w:color="auto"/>
                <w:right w:val="none" w:sz="0" w:space="0" w:color="auto"/>
              </w:divBdr>
            </w:div>
            <w:div w:id="1215240879">
              <w:marLeft w:val="0"/>
              <w:marRight w:val="0"/>
              <w:marTop w:val="0"/>
              <w:marBottom w:val="0"/>
              <w:divBdr>
                <w:top w:val="none" w:sz="0" w:space="0" w:color="auto"/>
                <w:left w:val="none" w:sz="0" w:space="0" w:color="auto"/>
                <w:bottom w:val="none" w:sz="0" w:space="0" w:color="auto"/>
                <w:right w:val="none" w:sz="0" w:space="0" w:color="auto"/>
              </w:divBdr>
            </w:div>
          </w:divsChild>
        </w:div>
        <w:div w:id="1325813108">
          <w:marLeft w:val="0"/>
          <w:marRight w:val="0"/>
          <w:marTop w:val="0"/>
          <w:marBottom w:val="0"/>
          <w:divBdr>
            <w:top w:val="none" w:sz="0" w:space="0" w:color="auto"/>
            <w:left w:val="none" w:sz="0" w:space="0" w:color="auto"/>
            <w:bottom w:val="none" w:sz="0" w:space="0" w:color="auto"/>
            <w:right w:val="none" w:sz="0" w:space="0" w:color="auto"/>
          </w:divBdr>
          <w:divsChild>
            <w:div w:id="1426268041">
              <w:marLeft w:val="0"/>
              <w:marRight w:val="0"/>
              <w:marTop w:val="0"/>
              <w:marBottom w:val="0"/>
              <w:divBdr>
                <w:top w:val="none" w:sz="0" w:space="0" w:color="auto"/>
                <w:left w:val="none" w:sz="0" w:space="0" w:color="auto"/>
                <w:bottom w:val="none" w:sz="0" w:space="0" w:color="auto"/>
                <w:right w:val="none" w:sz="0" w:space="0" w:color="auto"/>
              </w:divBdr>
            </w:div>
          </w:divsChild>
        </w:div>
        <w:div w:id="1407649729">
          <w:marLeft w:val="0"/>
          <w:marRight w:val="0"/>
          <w:marTop w:val="0"/>
          <w:marBottom w:val="0"/>
          <w:divBdr>
            <w:top w:val="none" w:sz="0" w:space="0" w:color="auto"/>
            <w:left w:val="none" w:sz="0" w:space="0" w:color="auto"/>
            <w:bottom w:val="none" w:sz="0" w:space="0" w:color="auto"/>
            <w:right w:val="none" w:sz="0" w:space="0" w:color="auto"/>
          </w:divBdr>
          <w:divsChild>
            <w:div w:id="226307014">
              <w:marLeft w:val="0"/>
              <w:marRight w:val="0"/>
              <w:marTop w:val="0"/>
              <w:marBottom w:val="0"/>
              <w:divBdr>
                <w:top w:val="none" w:sz="0" w:space="0" w:color="auto"/>
                <w:left w:val="none" w:sz="0" w:space="0" w:color="auto"/>
                <w:bottom w:val="none" w:sz="0" w:space="0" w:color="auto"/>
                <w:right w:val="none" w:sz="0" w:space="0" w:color="auto"/>
              </w:divBdr>
            </w:div>
          </w:divsChild>
        </w:div>
        <w:div w:id="1517037934">
          <w:marLeft w:val="0"/>
          <w:marRight w:val="0"/>
          <w:marTop w:val="0"/>
          <w:marBottom w:val="0"/>
          <w:divBdr>
            <w:top w:val="none" w:sz="0" w:space="0" w:color="auto"/>
            <w:left w:val="none" w:sz="0" w:space="0" w:color="auto"/>
            <w:bottom w:val="none" w:sz="0" w:space="0" w:color="auto"/>
            <w:right w:val="none" w:sz="0" w:space="0" w:color="auto"/>
          </w:divBdr>
          <w:divsChild>
            <w:div w:id="386296999">
              <w:marLeft w:val="0"/>
              <w:marRight w:val="0"/>
              <w:marTop w:val="0"/>
              <w:marBottom w:val="0"/>
              <w:divBdr>
                <w:top w:val="none" w:sz="0" w:space="0" w:color="auto"/>
                <w:left w:val="none" w:sz="0" w:space="0" w:color="auto"/>
                <w:bottom w:val="none" w:sz="0" w:space="0" w:color="auto"/>
                <w:right w:val="none" w:sz="0" w:space="0" w:color="auto"/>
              </w:divBdr>
            </w:div>
          </w:divsChild>
        </w:div>
        <w:div w:id="1539783784">
          <w:marLeft w:val="0"/>
          <w:marRight w:val="0"/>
          <w:marTop w:val="0"/>
          <w:marBottom w:val="0"/>
          <w:divBdr>
            <w:top w:val="none" w:sz="0" w:space="0" w:color="auto"/>
            <w:left w:val="none" w:sz="0" w:space="0" w:color="auto"/>
            <w:bottom w:val="none" w:sz="0" w:space="0" w:color="auto"/>
            <w:right w:val="none" w:sz="0" w:space="0" w:color="auto"/>
          </w:divBdr>
          <w:divsChild>
            <w:div w:id="1558972836">
              <w:marLeft w:val="0"/>
              <w:marRight w:val="0"/>
              <w:marTop w:val="0"/>
              <w:marBottom w:val="0"/>
              <w:divBdr>
                <w:top w:val="none" w:sz="0" w:space="0" w:color="auto"/>
                <w:left w:val="none" w:sz="0" w:space="0" w:color="auto"/>
                <w:bottom w:val="none" w:sz="0" w:space="0" w:color="auto"/>
                <w:right w:val="none" w:sz="0" w:space="0" w:color="auto"/>
              </w:divBdr>
            </w:div>
          </w:divsChild>
        </w:div>
        <w:div w:id="1549761524">
          <w:marLeft w:val="0"/>
          <w:marRight w:val="0"/>
          <w:marTop w:val="0"/>
          <w:marBottom w:val="0"/>
          <w:divBdr>
            <w:top w:val="none" w:sz="0" w:space="0" w:color="auto"/>
            <w:left w:val="none" w:sz="0" w:space="0" w:color="auto"/>
            <w:bottom w:val="none" w:sz="0" w:space="0" w:color="auto"/>
            <w:right w:val="none" w:sz="0" w:space="0" w:color="auto"/>
          </w:divBdr>
          <w:divsChild>
            <w:div w:id="826894245">
              <w:marLeft w:val="0"/>
              <w:marRight w:val="0"/>
              <w:marTop w:val="0"/>
              <w:marBottom w:val="0"/>
              <w:divBdr>
                <w:top w:val="none" w:sz="0" w:space="0" w:color="auto"/>
                <w:left w:val="none" w:sz="0" w:space="0" w:color="auto"/>
                <w:bottom w:val="none" w:sz="0" w:space="0" w:color="auto"/>
                <w:right w:val="none" w:sz="0" w:space="0" w:color="auto"/>
              </w:divBdr>
            </w:div>
          </w:divsChild>
        </w:div>
        <w:div w:id="1551844325">
          <w:marLeft w:val="0"/>
          <w:marRight w:val="0"/>
          <w:marTop w:val="0"/>
          <w:marBottom w:val="0"/>
          <w:divBdr>
            <w:top w:val="none" w:sz="0" w:space="0" w:color="auto"/>
            <w:left w:val="none" w:sz="0" w:space="0" w:color="auto"/>
            <w:bottom w:val="none" w:sz="0" w:space="0" w:color="auto"/>
            <w:right w:val="none" w:sz="0" w:space="0" w:color="auto"/>
          </w:divBdr>
          <w:divsChild>
            <w:div w:id="868638472">
              <w:marLeft w:val="0"/>
              <w:marRight w:val="0"/>
              <w:marTop w:val="0"/>
              <w:marBottom w:val="0"/>
              <w:divBdr>
                <w:top w:val="none" w:sz="0" w:space="0" w:color="auto"/>
                <w:left w:val="none" w:sz="0" w:space="0" w:color="auto"/>
                <w:bottom w:val="none" w:sz="0" w:space="0" w:color="auto"/>
                <w:right w:val="none" w:sz="0" w:space="0" w:color="auto"/>
              </w:divBdr>
            </w:div>
          </w:divsChild>
        </w:div>
        <w:div w:id="1601135603">
          <w:marLeft w:val="0"/>
          <w:marRight w:val="0"/>
          <w:marTop w:val="0"/>
          <w:marBottom w:val="0"/>
          <w:divBdr>
            <w:top w:val="none" w:sz="0" w:space="0" w:color="auto"/>
            <w:left w:val="none" w:sz="0" w:space="0" w:color="auto"/>
            <w:bottom w:val="none" w:sz="0" w:space="0" w:color="auto"/>
            <w:right w:val="none" w:sz="0" w:space="0" w:color="auto"/>
          </w:divBdr>
          <w:divsChild>
            <w:div w:id="1798331044">
              <w:marLeft w:val="0"/>
              <w:marRight w:val="0"/>
              <w:marTop w:val="0"/>
              <w:marBottom w:val="0"/>
              <w:divBdr>
                <w:top w:val="none" w:sz="0" w:space="0" w:color="auto"/>
                <w:left w:val="none" w:sz="0" w:space="0" w:color="auto"/>
                <w:bottom w:val="none" w:sz="0" w:space="0" w:color="auto"/>
                <w:right w:val="none" w:sz="0" w:space="0" w:color="auto"/>
              </w:divBdr>
            </w:div>
          </w:divsChild>
        </w:div>
        <w:div w:id="1612013614">
          <w:marLeft w:val="0"/>
          <w:marRight w:val="0"/>
          <w:marTop w:val="0"/>
          <w:marBottom w:val="0"/>
          <w:divBdr>
            <w:top w:val="none" w:sz="0" w:space="0" w:color="auto"/>
            <w:left w:val="none" w:sz="0" w:space="0" w:color="auto"/>
            <w:bottom w:val="none" w:sz="0" w:space="0" w:color="auto"/>
            <w:right w:val="none" w:sz="0" w:space="0" w:color="auto"/>
          </w:divBdr>
          <w:divsChild>
            <w:div w:id="62528083">
              <w:marLeft w:val="0"/>
              <w:marRight w:val="0"/>
              <w:marTop w:val="0"/>
              <w:marBottom w:val="0"/>
              <w:divBdr>
                <w:top w:val="none" w:sz="0" w:space="0" w:color="auto"/>
                <w:left w:val="none" w:sz="0" w:space="0" w:color="auto"/>
                <w:bottom w:val="none" w:sz="0" w:space="0" w:color="auto"/>
                <w:right w:val="none" w:sz="0" w:space="0" w:color="auto"/>
              </w:divBdr>
            </w:div>
            <w:div w:id="1089230430">
              <w:marLeft w:val="0"/>
              <w:marRight w:val="0"/>
              <w:marTop w:val="0"/>
              <w:marBottom w:val="0"/>
              <w:divBdr>
                <w:top w:val="none" w:sz="0" w:space="0" w:color="auto"/>
                <w:left w:val="none" w:sz="0" w:space="0" w:color="auto"/>
                <w:bottom w:val="none" w:sz="0" w:space="0" w:color="auto"/>
                <w:right w:val="none" w:sz="0" w:space="0" w:color="auto"/>
              </w:divBdr>
            </w:div>
          </w:divsChild>
        </w:div>
        <w:div w:id="1672021223">
          <w:marLeft w:val="0"/>
          <w:marRight w:val="0"/>
          <w:marTop w:val="0"/>
          <w:marBottom w:val="0"/>
          <w:divBdr>
            <w:top w:val="none" w:sz="0" w:space="0" w:color="auto"/>
            <w:left w:val="none" w:sz="0" w:space="0" w:color="auto"/>
            <w:bottom w:val="none" w:sz="0" w:space="0" w:color="auto"/>
            <w:right w:val="none" w:sz="0" w:space="0" w:color="auto"/>
          </w:divBdr>
          <w:divsChild>
            <w:div w:id="1576355944">
              <w:marLeft w:val="0"/>
              <w:marRight w:val="0"/>
              <w:marTop w:val="0"/>
              <w:marBottom w:val="0"/>
              <w:divBdr>
                <w:top w:val="none" w:sz="0" w:space="0" w:color="auto"/>
                <w:left w:val="none" w:sz="0" w:space="0" w:color="auto"/>
                <w:bottom w:val="none" w:sz="0" w:space="0" w:color="auto"/>
                <w:right w:val="none" w:sz="0" w:space="0" w:color="auto"/>
              </w:divBdr>
            </w:div>
          </w:divsChild>
        </w:div>
        <w:div w:id="1682506177">
          <w:marLeft w:val="0"/>
          <w:marRight w:val="0"/>
          <w:marTop w:val="0"/>
          <w:marBottom w:val="0"/>
          <w:divBdr>
            <w:top w:val="none" w:sz="0" w:space="0" w:color="auto"/>
            <w:left w:val="none" w:sz="0" w:space="0" w:color="auto"/>
            <w:bottom w:val="none" w:sz="0" w:space="0" w:color="auto"/>
            <w:right w:val="none" w:sz="0" w:space="0" w:color="auto"/>
          </w:divBdr>
          <w:divsChild>
            <w:div w:id="947465989">
              <w:marLeft w:val="0"/>
              <w:marRight w:val="0"/>
              <w:marTop w:val="0"/>
              <w:marBottom w:val="0"/>
              <w:divBdr>
                <w:top w:val="none" w:sz="0" w:space="0" w:color="auto"/>
                <w:left w:val="none" w:sz="0" w:space="0" w:color="auto"/>
                <w:bottom w:val="none" w:sz="0" w:space="0" w:color="auto"/>
                <w:right w:val="none" w:sz="0" w:space="0" w:color="auto"/>
              </w:divBdr>
            </w:div>
          </w:divsChild>
        </w:div>
        <w:div w:id="1709791052">
          <w:marLeft w:val="0"/>
          <w:marRight w:val="0"/>
          <w:marTop w:val="0"/>
          <w:marBottom w:val="0"/>
          <w:divBdr>
            <w:top w:val="none" w:sz="0" w:space="0" w:color="auto"/>
            <w:left w:val="none" w:sz="0" w:space="0" w:color="auto"/>
            <w:bottom w:val="none" w:sz="0" w:space="0" w:color="auto"/>
            <w:right w:val="none" w:sz="0" w:space="0" w:color="auto"/>
          </w:divBdr>
          <w:divsChild>
            <w:div w:id="407465591">
              <w:marLeft w:val="0"/>
              <w:marRight w:val="0"/>
              <w:marTop w:val="0"/>
              <w:marBottom w:val="0"/>
              <w:divBdr>
                <w:top w:val="none" w:sz="0" w:space="0" w:color="auto"/>
                <w:left w:val="none" w:sz="0" w:space="0" w:color="auto"/>
                <w:bottom w:val="none" w:sz="0" w:space="0" w:color="auto"/>
                <w:right w:val="none" w:sz="0" w:space="0" w:color="auto"/>
              </w:divBdr>
            </w:div>
          </w:divsChild>
        </w:div>
        <w:div w:id="1736389232">
          <w:marLeft w:val="0"/>
          <w:marRight w:val="0"/>
          <w:marTop w:val="0"/>
          <w:marBottom w:val="0"/>
          <w:divBdr>
            <w:top w:val="none" w:sz="0" w:space="0" w:color="auto"/>
            <w:left w:val="none" w:sz="0" w:space="0" w:color="auto"/>
            <w:bottom w:val="none" w:sz="0" w:space="0" w:color="auto"/>
            <w:right w:val="none" w:sz="0" w:space="0" w:color="auto"/>
          </w:divBdr>
          <w:divsChild>
            <w:div w:id="1856386198">
              <w:marLeft w:val="0"/>
              <w:marRight w:val="0"/>
              <w:marTop w:val="0"/>
              <w:marBottom w:val="0"/>
              <w:divBdr>
                <w:top w:val="none" w:sz="0" w:space="0" w:color="auto"/>
                <w:left w:val="none" w:sz="0" w:space="0" w:color="auto"/>
                <w:bottom w:val="none" w:sz="0" w:space="0" w:color="auto"/>
                <w:right w:val="none" w:sz="0" w:space="0" w:color="auto"/>
              </w:divBdr>
            </w:div>
          </w:divsChild>
        </w:div>
        <w:div w:id="1768235666">
          <w:marLeft w:val="0"/>
          <w:marRight w:val="0"/>
          <w:marTop w:val="0"/>
          <w:marBottom w:val="0"/>
          <w:divBdr>
            <w:top w:val="none" w:sz="0" w:space="0" w:color="auto"/>
            <w:left w:val="none" w:sz="0" w:space="0" w:color="auto"/>
            <w:bottom w:val="none" w:sz="0" w:space="0" w:color="auto"/>
            <w:right w:val="none" w:sz="0" w:space="0" w:color="auto"/>
          </w:divBdr>
          <w:divsChild>
            <w:div w:id="847908904">
              <w:marLeft w:val="0"/>
              <w:marRight w:val="0"/>
              <w:marTop w:val="0"/>
              <w:marBottom w:val="0"/>
              <w:divBdr>
                <w:top w:val="none" w:sz="0" w:space="0" w:color="auto"/>
                <w:left w:val="none" w:sz="0" w:space="0" w:color="auto"/>
                <w:bottom w:val="none" w:sz="0" w:space="0" w:color="auto"/>
                <w:right w:val="none" w:sz="0" w:space="0" w:color="auto"/>
              </w:divBdr>
            </w:div>
          </w:divsChild>
        </w:div>
        <w:div w:id="2009476303">
          <w:marLeft w:val="0"/>
          <w:marRight w:val="0"/>
          <w:marTop w:val="0"/>
          <w:marBottom w:val="0"/>
          <w:divBdr>
            <w:top w:val="none" w:sz="0" w:space="0" w:color="auto"/>
            <w:left w:val="none" w:sz="0" w:space="0" w:color="auto"/>
            <w:bottom w:val="none" w:sz="0" w:space="0" w:color="auto"/>
            <w:right w:val="none" w:sz="0" w:space="0" w:color="auto"/>
          </w:divBdr>
          <w:divsChild>
            <w:div w:id="206718410">
              <w:marLeft w:val="0"/>
              <w:marRight w:val="0"/>
              <w:marTop w:val="0"/>
              <w:marBottom w:val="0"/>
              <w:divBdr>
                <w:top w:val="none" w:sz="0" w:space="0" w:color="auto"/>
                <w:left w:val="none" w:sz="0" w:space="0" w:color="auto"/>
                <w:bottom w:val="none" w:sz="0" w:space="0" w:color="auto"/>
                <w:right w:val="none" w:sz="0" w:space="0" w:color="auto"/>
              </w:divBdr>
            </w:div>
          </w:divsChild>
        </w:div>
        <w:div w:id="2037078206">
          <w:marLeft w:val="0"/>
          <w:marRight w:val="0"/>
          <w:marTop w:val="0"/>
          <w:marBottom w:val="0"/>
          <w:divBdr>
            <w:top w:val="none" w:sz="0" w:space="0" w:color="auto"/>
            <w:left w:val="none" w:sz="0" w:space="0" w:color="auto"/>
            <w:bottom w:val="none" w:sz="0" w:space="0" w:color="auto"/>
            <w:right w:val="none" w:sz="0" w:space="0" w:color="auto"/>
          </w:divBdr>
          <w:divsChild>
            <w:div w:id="218248506">
              <w:marLeft w:val="0"/>
              <w:marRight w:val="0"/>
              <w:marTop w:val="0"/>
              <w:marBottom w:val="0"/>
              <w:divBdr>
                <w:top w:val="none" w:sz="0" w:space="0" w:color="auto"/>
                <w:left w:val="none" w:sz="0" w:space="0" w:color="auto"/>
                <w:bottom w:val="none" w:sz="0" w:space="0" w:color="auto"/>
                <w:right w:val="none" w:sz="0" w:space="0" w:color="auto"/>
              </w:divBdr>
            </w:div>
          </w:divsChild>
        </w:div>
        <w:div w:id="2099449079">
          <w:marLeft w:val="0"/>
          <w:marRight w:val="0"/>
          <w:marTop w:val="0"/>
          <w:marBottom w:val="0"/>
          <w:divBdr>
            <w:top w:val="none" w:sz="0" w:space="0" w:color="auto"/>
            <w:left w:val="none" w:sz="0" w:space="0" w:color="auto"/>
            <w:bottom w:val="none" w:sz="0" w:space="0" w:color="auto"/>
            <w:right w:val="none" w:sz="0" w:space="0" w:color="auto"/>
          </w:divBdr>
          <w:divsChild>
            <w:div w:id="56761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342677">
      <w:bodyDiv w:val="1"/>
      <w:marLeft w:val="0"/>
      <w:marRight w:val="0"/>
      <w:marTop w:val="0"/>
      <w:marBottom w:val="0"/>
      <w:divBdr>
        <w:top w:val="none" w:sz="0" w:space="0" w:color="auto"/>
        <w:left w:val="none" w:sz="0" w:space="0" w:color="auto"/>
        <w:bottom w:val="none" w:sz="0" w:space="0" w:color="auto"/>
        <w:right w:val="none" w:sz="0" w:space="0" w:color="auto"/>
      </w:divBdr>
    </w:div>
    <w:div w:id="1371878816">
      <w:bodyDiv w:val="1"/>
      <w:marLeft w:val="0"/>
      <w:marRight w:val="0"/>
      <w:marTop w:val="0"/>
      <w:marBottom w:val="0"/>
      <w:divBdr>
        <w:top w:val="none" w:sz="0" w:space="0" w:color="auto"/>
        <w:left w:val="none" w:sz="0" w:space="0" w:color="auto"/>
        <w:bottom w:val="none" w:sz="0" w:space="0" w:color="auto"/>
        <w:right w:val="none" w:sz="0" w:space="0" w:color="auto"/>
      </w:divBdr>
    </w:div>
    <w:div w:id="1386874224">
      <w:bodyDiv w:val="1"/>
      <w:marLeft w:val="0"/>
      <w:marRight w:val="0"/>
      <w:marTop w:val="0"/>
      <w:marBottom w:val="0"/>
      <w:divBdr>
        <w:top w:val="none" w:sz="0" w:space="0" w:color="auto"/>
        <w:left w:val="none" w:sz="0" w:space="0" w:color="auto"/>
        <w:bottom w:val="none" w:sz="0" w:space="0" w:color="auto"/>
        <w:right w:val="none" w:sz="0" w:space="0" w:color="auto"/>
      </w:divBdr>
    </w:div>
    <w:div w:id="1421371364">
      <w:bodyDiv w:val="1"/>
      <w:marLeft w:val="0"/>
      <w:marRight w:val="0"/>
      <w:marTop w:val="0"/>
      <w:marBottom w:val="0"/>
      <w:divBdr>
        <w:top w:val="none" w:sz="0" w:space="0" w:color="auto"/>
        <w:left w:val="none" w:sz="0" w:space="0" w:color="auto"/>
        <w:bottom w:val="none" w:sz="0" w:space="0" w:color="auto"/>
        <w:right w:val="none" w:sz="0" w:space="0" w:color="auto"/>
      </w:divBdr>
    </w:div>
    <w:div w:id="1451778402">
      <w:bodyDiv w:val="1"/>
      <w:marLeft w:val="0"/>
      <w:marRight w:val="0"/>
      <w:marTop w:val="0"/>
      <w:marBottom w:val="0"/>
      <w:divBdr>
        <w:top w:val="none" w:sz="0" w:space="0" w:color="auto"/>
        <w:left w:val="none" w:sz="0" w:space="0" w:color="auto"/>
        <w:bottom w:val="none" w:sz="0" w:space="0" w:color="auto"/>
        <w:right w:val="none" w:sz="0" w:space="0" w:color="auto"/>
      </w:divBdr>
    </w:div>
    <w:div w:id="1455489451">
      <w:bodyDiv w:val="1"/>
      <w:marLeft w:val="0"/>
      <w:marRight w:val="0"/>
      <w:marTop w:val="0"/>
      <w:marBottom w:val="0"/>
      <w:divBdr>
        <w:top w:val="none" w:sz="0" w:space="0" w:color="auto"/>
        <w:left w:val="none" w:sz="0" w:space="0" w:color="auto"/>
        <w:bottom w:val="none" w:sz="0" w:space="0" w:color="auto"/>
        <w:right w:val="none" w:sz="0" w:space="0" w:color="auto"/>
      </w:divBdr>
    </w:div>
    <w:div w:id="1488937267">
      <w:bodyDiv w:val="1"/>
      <w:marLeft w:val="0"/>
      <w:marRight w:val="0"/>
      <w:marTop w:val="0"/>
      <w:marBottom w:val="0"/>
      <w:divBdr>
        <w:top w:val="none" w:sz="0" w:space="0" w:color="auto"/>
        <w:left w:val="none" w:sz="0" w:space="0" w:color="auto"/>
        <w:bottom w:val="none" w:sz="0" w:space="0" w:color="auto"/>
        <w:right w:val="none" w:sz="0" w:space="0" w:color="auto"/>
      </w:divBdr>
    </w:div>
    <w:div w:id="1533879594">
      <w:bodyDiv w:val="1"/>
      <w:marLeft w:val="0"/>
      <w:marRight w:val="0"/>
      <w:marTop w:val="0"/>
      <w:marBottom w:val="0"/>
      <w:divBdr>
        <w:top w:val="none" w:sz="0" w:space="0" w:color="auto"/>
        <w:left w:val="none" w:sz="0" w:space="0" w:color="auto"/>
        <w:bottom w:val="none" w:sz="0" w:space="0" w:color="auto"/>
        <w:right w:val="none" w:sz="0" w:space="0" w:color="auto"/>
      </w:divBdr>
    </w:div>
    <w:div w:id="1544635375">
      <w:bodyDiv w:val="1"/>
      <w:marLeft w:val="0"/>
      <w:marRight w:val="0"/>
      <w:marTop w:val="0"/>
      <w:marBottom w:val="0"/>
      <w:divBdr>
        <w:top w:val="none" w:sz="0" w:space="0" w:color="auto"/>
        <w:left w:val="none" w:sz="0" w:space="0" w:color="auto"/>
        <w:bottom w:val="none" w:sz="0" w:space="0" w:color="auto"/>
        <w:right w:val="none" w:sz="0" w:space="0" w:color="auto"/>
      </w:divBdr>
    </w:div>
    <w:div w:id="1558663344">
      <w:bodyDiv w:val="1"/>
      <w:marLeft w:val="0"/>
      <w:marRight w:val="0"/>
      <w:marTop w:val="0"/>
      <w:marBottom w:val="0"/>
      <w:divBdr>
        <w:top w:val="none" w:sz="0" w:space="0" w:color="auto"/>
        <w:left w:val="none" w:sz="0" w:space="0" w:color="auto"/>
        <w:bottom w:val="none" w:sz="0" w:space="0" w:color="auto"/>
        <w:right w:val="none" w:sz="0" w:space="0" w:color="auto"/>
      </w:divBdr>
    </w:div>
    <w:div w:id="1594818716">
      <w:bodyDiv w:val="1"/>
      <w:marLeft w:val="0"/>
      <w:marRight w:val="0"/>
      <w:marTop w:val="0"/>
      <w:marBottom w:val="0"/>
      <w:divBdr>
        <w:top w:val="none" w:sz="0" w:space="0" w:color="auto"/>
        <w:left w:val="none" w:sz="0" w:space="0" w:color="auto"/>
        <w:bottom w:val="none" w:sz="0" w:space="0" w:color="auto"/>
        <w:right w:val="none" w:sz="0" w:space="0" w:color="auto"/>
      </w:divBdr>
      <w:divsChild>
        <w:div w:id="1397629264">
          <w:marLeft w:val="0"/>
          <w:marRight w:val="0"/>
          <w:marTop w:val="0"/>
          <w:marBottom w:val="0"/>
          <w:divBdr>
            <w:top w:val="none" w:sz="0" w:space="0" w:color="auto"/>
            <w:left w:val="none" w:sz="0" w:space="0" w:color="auto"/>
            <w:bottom w:val="none" w:sz="0" w:space="0" w:color="auto"/>
            <w:right w:val="none" w:sz="0" w:space="0" w:color="auto"/>
          </w:divBdr>
        </w:div>
      </w:divsChild>
    </w:div>
    <w:div w:id="1605460934">
      <w:bodyDiv w:val="1"/>
      <w:marLeft w:val="0"/>
      <w:marRight w:val="0"/>
      <w:marTop w:val="0"/>
      <w:marBottom w:val="0"/>
      <w:divBdr>
        <w:top w:val="none" w:sz="0" w:space="0" w:color="auto"/>
        <w:left w:val="none" w:sz="0" w:space="0" w:color="auto"/>
        <w:bottom w:val="none" w:sz="0" w:space="0" w:color="auto"/>
        <w:right w:val="none" w:sz="0" w:space="0" w:color="auto"/>
      </w:divBdr>
    </w:div>
    <w:div w:id="1665011260">
      <w:bodyDiv w:val="1"/>
      <w:marLeft w:val="0"/>
      <w:marRight w:val="0"/>
      <w:marTop w:val="0"/>
      <w:marBottom w:val="0"/>
      <w:divBdr>
        <w:top w:val="none" w:sz="0" w:space="0" w:color="auto"/>
        <w:left w:val="none" w:sz="0" w:space="0" w:color="auto"/>
        <w:bottom w:val="none" w:sz="0" w:space="0" w:color="auto"/>
        <w:right w:val="none" w:sz="0" w:space="0" w:color="auto"/>
      </w:divBdr>
    </w:div>
    <w:div w:id="1749494532">
      <w:bodyDiv w:val="1"/>
      <w:marLeft w:val="0"/>
      <w:marRight w:val="0"/>
      <w:marTop w:val="0"/>
      <w:marBottom w:val="0"/>
      <w:divBdr>
        <w:top w:val="none" w:sz="0" w:space="0" w:color="auto"/>
        <w:left w:val="none" w:sz="0" w:space="0" w:color="auto"/>
        <w:bottom w:val="none" w:sz="0" w:space="0" w:color="auto"/>
        <w:right w:val="none" w:sz="0" w:space="0" w:color="auto"/>
      </w:divBdr>
      <w:divsChild>
        <w:div w:id="1653943422">
          <w:marLeft w:val="0"/>
          <w:marRight w:val="0"/>
          <w:marTop w:val="0"/>
          <w:marBottom w:val="0"/>
          <w:divBdr>
            <w:top w:val="none" w:sz="0" w:space="0" w:color="auto"/>
            <w:left w:val="none" w:sz="0" w:space="0" w:color="auto"/>
            <w:bottom w:val="none" w:sz="0" w:space="0" w:color="auto"/>
            <w:right w:val="none" w:sz="0" w:space="0" w:color="auto"/>
          </w:divBdr>
        </w:div>
      </w:divsChild>
    </w:div>
    <w:div w:id="1752658725">
      <w:bodyDiv w:val="1"/>
      <w:marLeft w:val="0"/>
      <w:marRight w:val="0"/>
      <w:marTop w:val="0"/>
      <w:marBottom w:val="0"/>
      <w:divBdr>
        <w:top w:val="none" w:sz="0" w:space="0" w:color="auto"/>
        <w:left w:val="none" w:sz="0" w:space="0" w:color="auto"/>
        <w:bottom w:val="none" w:sz="0" w:space="0" w:color="auto"/>
        <w:right w:val="none" w:sz="0" w:space="0" w:color="auto"/>
      </w:divBdr>
    </w:div>
    <w:div w:id="1794445514">
      <w:bodyDiv w:val="1"/>
      <w:marLeft w:val="0"/>
      <w:marRight w:val="0"/>
      <w:marTop w:val="0"/>
      <w:marBottom w:val="0"/>
      <w:divBdr>
        <w:top w:val="none" w:sz="0" w:space="0" w:color="auto"/>
        <w:left w:val="none" w:sz="0" w:space="0" w:color="auto"/>
        <w:bottom w:val="none" w:sz="0" w:space="0" w:color="auto"/>
        <w:right w:val="none" w:sz="0" w:space="0" w:color="auto"/>
      </w:divBdr>
    </w:div>
    <w:div w:id="1835292282">
      <w:bodyDiv w:val="1"/>
      <w:marLeft w:val="0"/>
      <w:marRight w:val="0"/>
      <w:marTop w:val="0"/>
      <w:marBottom w:val="0"/>
      <w:divBdr>
        <w:top w:val="none" w:sz="0" w:space="0" w:color="auto"/>
        <w:left w:val="none" w:sz="0" w:space="0" w:color="auto"/>
        <w:bottom w:val="none" w:sz="0" w:space="0" w:color="auto"/>
        <w:right w:val="none" w:sz="0" w:space="0" w:color="auto"/>
      </w:divBdr>
    </w:div>
    <w:div w:id="1842693287">
      <w:bodyDiv w:val="1"/>
      <w:marLeft w:val="0"/>
      <w:marRight w:val="0"/>
      <w:marTop w:val="0"/>
      <w:marBottom w:val="0"/>
      <w:divBdr>
        <w:top w:val="none" w:sz="0" w:space="0" w:color="auto"/>
        <w:left w:val="none" w:sz="0" w:space="0" w:color="auto"/>
        <w:bottom w:val="none" w:sz="0" w:space="0" w:color="auto"/>
        <w:right w:val="none" w:sz="0" w:space="0" w:color="auto"/>
      </w:divBdr>
    </w:div>
    <w:div w:id="1865433344">
      <w:bodyDiv w:val="1"/>
      <w:marLeft w:val="0"/>
      <w:marRight w:val="0"/>
      <w:marTop w:val="0"/>
      <w:marBottom w:val="0"/>
      <w:divBdr>
        <w:top w:val="none" w:sz="0" w:space="0" w:color="auto"/>
        <w:left w:val="none" w:sz="0" w:space="0" w:color="auto"/>
        <w:bottom w:val="none" w:sz="0" w:space="0" w:color="auto"/>
        <w:right w:val="none" w:sz="0" w:space="0" w:color="auto"/>
      </w:divBdr>
      <w:divsChild>
        <w:div w:id="922690137">
          <w:marLeft w:val="0"/>
          <w:marRight w:val="0"/>
          <w:marTop w:val="0"/>
          <w:marBottom w:val="0"/>
          <w:divBdr>
            <w:top w:val="none" w:sz="0" w:space="0" w:color="auto"/>
            <w:left w:val="none" w:sz="0" w:space="0" w:color="auto"/>
            <w:bottom w:val="none" w:sz="0" w:space="0" w:color="auto"/>
            <w:right w:val="none" w:sz="0" w:space="0" w:color="auto"/>
          </w:divBdr>
        </w:div>
        <w:div w:id="1151212902">
          <w:marLeft w:val="0"/>
          <w:marRight w:val="0"/>
          <w:marTop w:val="0"/>
          <w:marBottom w:val="0"/>
          <w:divBdr>
            <w:top w:val="none" w:sz="0" w:space="0" w:color="auto"/>
            <w:left w:val="none" w:sz="0" w:space="0" w:color="auto"/>
            <w:bottom w:val="none" w:sz="0" w:space="0" w:color="auto"/>
            <w:right w:val="none" w:sz="0" w:space="0" w:color="auto"/>
          </w:divBdr>
        </w:div>
      </w:divsChild>
    </w:div>
    <w:div w:id="1880118042">
      <w:bodyDiv w:val="1"/>
      <w:marLeft w:val="0"/>
      <w:marRight w:val="0"/>
      <w:marTop w:val="0"/>
      <w:marBottom w:val="0"/>
      <w:divBdr>
        <w:top w:val="none" w:sz="0" w:space="0" w:color="auto"/>
        <w:left w:val="none" w:sz="0" w:space="0" w:color="auto"/>
        <w:bottom w:val="none" w:sz="0" w:space="0" w:color="auto"/>
        <w:right w:val="none" w:sz="0" w:space="0" w:color="auto"/>
      </w:divBdr>
    </w:div>
    <w:div w:id="1901359722">
      <w:bodyDiv w:val="1"/>
      <w:marLeft w:val="0"/>
      <w:marRight w:val="0"/>
      <w:marTop w:val="0"/>
      <w:marBottom w:val="0"/>
      <w:divBdr>
        <w:top w:val="none" w:sz="0" w:space="0" w:color="auto"/>
        <w:left w:val="none" w:sz="0" w:space="0" w:color="auto"/>
        <w:bottom w:val="none" w:sz="0" w:space="0" w:color="auto"/>
        <w:right w:val="none" w:sz="0" w:space="0" w:color="auto"/>
      </w:divBdr>
    </w:div>
    <w:div w:id="1911111578">
      <w:bodyDiv w:val="1"/>
      <w:marLeft w:val="0"/>
      <w:marRight w:val="0"/>
      <w:marTop w:val="0"/>
      <w:marBottom w:val="0"/>
      <w:divBdr>
        <w:top w:val="none" w:sz="0" w:space="0" w:color="auto"/>
        <w:left w:val="none" w:sz="0" w:space="0" w:color="auto"/>
        <w:bottom w:val="none" w:sz="0" w:space="0" w:color="auto"/>
        <w:right w:val="none" w:sz="0" w:space="0" w:color="auto"/>
      </w:divBdr>
    </w:div>
    <w:div w:id="1913201197">
      <w:bodyDiv w:val="1"/>
      <w:marLeft w:val="0"/>
      <w:marRight w:val="0"/>
      <w:marTop w:val="0"/>
      <w:marBottom w:val="0"/>
      <w:divBdr>
        <w:top w:val="none" w:sz="0" w:space="0" w:color="auto"/>
        <w:left w:val="none" w:sz="0" w:space="0" w:color="auto"/>
        <w:bottom w:val="none" w:sz="0" w:space="0" w:color="auto"/>
        <w:right w:val="none" w:sz="0" w:space="0" w:color="auto"/>
      </w:divBdr>
    </w:div>
    <w:div w:id="1950625270">
      <w:bodyDiv w:val="1"/>
      <w:marLeft w:val="0"/>
      <w:marRight w:val="0"/>
      <w:marTop w:val="0"/>
      <w:marBottom w:val="0"/>
      <w:divBdr>
        <w:top w:val="none" w:sz="0" w:space="0" w:color="auto"/>
        <w:left w:val="none" w:sz="0" w:space="0" w:color="auto"/>
        <w:bottom w:val="none" w:sz="0" w:space="0" w:color="auto"/>
        <w:right w:val="none" w:sz="0" w:space="0" w:color="auto"/>
      </w:divBdr>
    </w:div>
    <w:div w:id="1957834395">
      <w:bodyDiv w:val="1"/>
      <w:marLeft w:val="0"/>
      <w:marRight w:val="0"/>
      <w:marTop w:val="0"/>
      <w:marBottom w:val="0"/>
      <w:divBdr>
        <w:top w:val="none" w:sz="0" w:space="0" w:color="auto"/>
        <w:left w:val="none" w:sz="0" w:space="0" w:color="auto"/>
        <w:bottom w:val="none" w:sz="0" w:space="0" w:color="auto"/>
        <w:right w:val="none" w:sz="0" w:space="0" w:color="auto"/>
      </w:divBdr>
    </w:div>
    <w:div w:id="1958174069">
      <w:bodyDiv w:val="1"/>
      <w:marLeft w:val="0"/>
      <w:marRight w:val="0"/>
      <w:marTop w:val="0"/>
      <w:marBottom w:val="0"/>
      <w:divBdr>
        <w:top w:val="none" w:sz="0" w:space="0" w:color="auto"/>
        <w:left w:val="none" w:sz="0" w:space="0" w:color="auto"/>
        <w:bottom w:val="none" w:sz="0" w:space="0" w:color="auto"/>
        <w:right w:val="none" w:sz="0" w:space="0" w:color="auto"/>
      </w:divBdr>
    </w:div>
    <w:div w:id="1992441566">
      <w:bodyDiv w:val="1"/>
      <w:marLeft w:val="0"/>
      <w:marRight w:val="0"/>
      <w:marTop w:val="0"/>
      <w:marBottom w:val="0"/>
      <w:divBdr>
        <w:top w:val="none" w:sz="0" w:space="0" w:color="auto"/>
        <w:left w:val="none" w:sz="0" w:space="0" w:color="auto"/>
        <w:bottom w:val="none" w:sz="0" w:space="0" w:color="auto"/>
        <w:right w:val="none" w:sz="0" w:space="0" w:color="auto"/>
      </w:divBdr>
      <w:divsChild>
        <w:div w:id="224026607">
          <w:marLeft w:val="0"/>
          <w:marRight w:val="0"/>
          <w:marTop w:val="0"/>
          <w:marBottom w:val="0"/>
          <w:divBdr>
            <w:top w:val="none" w:sz="0" w:space="0" w:color="auto"/>
            <w:left w:val="none" w:sz="0" w:space="0" w:color="auto"/>
            <w:bottom w:val="none" w:sz="0" w:space="0" w:color="auto"/>
            <w:right w:val="none" w:sz="0" w:space="0" w:color="auto"/>
          </w:divBdr>
        </w:div>
        <w:div w:id="311957062">
          <w:marLeft w:val="0"/>
          <w:marRight w:val="0"/>
          <w:marTop w:val="0"/>
          <w:marBottom w:val="0"/>
          <w:divBdr>
            <w:top w:val="none" w:sz="0" w:space="0" w:color="auto"/>
            <w:left w:val="none" w:sz="0" w:space="0" w:color="auto"/>
            <w:bottom w:val="none" w:sz="0" w:space="0" w:color="auto"/>
            <w:right w:val="none" w:sz="0" w:space="0" w:color="auto"/>
          </w:divBdr>
        </w:div>
      </w:divsChild>
    </w:div>
    <w:div w:id="1996301195">
      <w:bodyDiv w:val="1"/>
      <w:marLeft w:val="0"/>
      <w:marRight w:val="0"/>
      <w:marTop w:val="0"/>
      <w:marBottom w:val="0"/>
      <w:divBdr>
        <w:top w:val="none" w:sz="0" w:space="0" w:color="auto"/>
        <w:left w:val="none" w:sz="0" w:space="0" w:color="auto"/>
        <w:bottom w:val="none" w:sz="0" w:space="0" w:color="auto"/>
        <w:right w:val="none" w:sz="0" w:space="0" w:color="auto"/>
      </w:divBdr>
      <w:divsChild>
        <w:div w:id="12418845">
          <w:marLeft w:val="0"/>
          <w:marRight w:val="0"/>
          <w:marTop w:val="0"/>
          <w:marBottom w:val="0"/>
          <w:divBdr>
            <w:top w:val="none" w:sz="0" w:space="0" w:color="auto"/>
            <w:left w:val="none" w:sz="0" w:space="0" w:color="auto"/>
            <w:bottom w:val="none" w:sz="0" w:space="0" w:color="auto"/>
            <w:right w:val="none" w:sz="0" w:space="0" w:color="auto"/>
          </w:divBdr>
          <w:divsChild>
            <w:div w:id="55016167">
              <w:marLeft w:val="0"/>
              <w:marRight w:val="0"/>
              <w:marTop w:val="0"/>
              <w:marBottom w:val="0"/>
              <w:divBdr>
                <w:top w:val="none" w:sz="0" w:space="0" w:color="auto"/>
                <w:left w:val="none" w:sz="0" w:space="0" w:color="auto"/>
                <w:bottom w:val="none" w:sz="0" w:space="0" w:color="auto"/>
                <w:right w:val="none" w:sz="0" w:space="0" w:color="auto"/>
              </w:divBdr>
            </w:div>
            <w:div w:id="369650479">
              <w:marLeft w:val="0"/>
              <w:marRight w:val="0"/>
              <w:marTop w:val="0"/>
              <w:marBottom w:val="0"/>
              <w:divBdr>
                <w:top w:val="none" w:sz="0" w:space="0" w:color="auto"/>
                <w:left w:val="none" w:sz="0" w:space="0" w:color="auto"/>
                <w:bottom w:val="none" w:sz="0" w:space="0" w:color="auto"/>
                <w:right w:val="none" w:sz="0" w:space="0" w:color="auto"/>
              </w:divBdr>
            </w:div>
            <w:div w:id="680012647">
              <w:marLeft w:val="0"/>
              <w:marRight w:val="0"/>
              <w:marTop w:val="0"/>
              <w:marBottom w:val="0"/>
              <w:divBdr>
                <w:top w:val="none" w:sz="0" w:space="0" w:color="auto"/>
                <w:left w:val="none" w:sz="0" w:space="0" w:color="auto"/>
                <w:bottom w:val="none" w:sz="0" w:space="0" w:color="auto"/>
                <w:right w:val="none" w:sz="0" w:space="0" w:color="auto"/>
              </w:divBdr>
            </w:div>
            <w:div w:id="1612127901">
              <w:marLeft w:val="0"/>
              <w:marRight w:val="0"/>
              <w:marTop w:val="0"/>
              <w:marBottom w:val="0"/>
              <w:divBdr>
                <w:top w:val="none" w:sz="0" w:space="0" w:color="auto"/>
                <w:left w:val="none" w:sz="0" w:space="0" w:color="auto"/>
                <w:bottom w:val="none" w:sz="0" w:space="0" w:color="auto"/>
                <w:right w:val="none" w:sz="0" w:space="0" w:color="auto"/>
              </w:divBdr>
            </w:div>
          </w:divsChild>
        </w:div>
        <w:div w:id="53239681">
          <w:marLeft w:val="0"/>
          <w:marRight w:val="0"/>
          <w:marTop w:val="0"/>
          <w:marBottom w:val="0"/>
          <w:divBdr>
            <w:top w:val="none" w:sz="0" w:space="0" w:color="auto"/>
            <w:left w:val="none" w:sz="0" w:space="0" w:color="auto"/>
            <w:bottom w:val="none" w:sz="0" w:space="0" w:color="auto"/>
            <w:right w:val="none" w:sz="0" w:space="0" w:color="auto"/>
          </w:divBdr>
          <w:divsChild>
            <w:div w:id="916939495">
              <w:marLeft w:val="0"/>
              <w:marRight w:val="0"/>
              <w:marTop w:val="0"/>
              <w:marBottom w:val="0"/>
              <w:divBdr>
                <w:top w:val="none" w:sz="0" w:space="0" w:color="auto"/>
                <w:left w:val="none" w:sz="0" w:space="0" w:color="auto"/>
                <w:bottom w:val="none" w:sz="0" w:space="0" w:color="auto"/>
                <w:right w:val="none" w:sz="0" w:space="0" w:color="auto"/>
              </w:divBdr>
            </w:div>
            <w:div w:id="1718433325">
              <w:marLeft w:val="0"/>
              <w:marRight w:val="0"/>
              <w:marTop w:val="0"/>
              <w:marBottom w:val="0"/>
              <w:divBdr>
                <w:top w:val="none" w:sz="0" w:space="0" w:color="auto"/>
                <w:left w:val="none" w:sz="0" w:space="0" w:color="auto"/>
                <w:bottom w:val="none" w:sz="0" w:space="0" w:color="auto"/>
                <w:right w:val="none" w:sz="0" w:space="0" w:color="auto"/>
              </w:divBdr>
            </w:div>
          </w:divsChild>
        </w:div>
        <w:div w:id="64496605">
          <w:marLeft w:val="0"/>
          <w:marRight w:val="0"/>
          <w:marTop w:val="0"/>
          <w:marBottom w:val="0"/>
          <w:divBdr>
            <w:top w:val="none" w:sz="0" w:space="0" w:color="auto"/>
            <w:left w:val="none" w:sz="0" w:space="0" w:color="auto"/>
            <w:bottom w:val="none" w:sz="0" w:space="0" w:color="auto"/>
            <w:right w:val="none" w:sz="0" w:space="0" w:color="auto"/>
          </w:divBdr>
          <w:divsChild>
            <w:div w:id="1657807694">
              <w:marLeft w:val="0"/>
              <w:marRight w:val="0"/>
              <w:marTop w:val="0"/>
              <w:marBottom w:val="0"/>
              <w:divBdr>
                <w:top w:val="none" w:sz="0" w:space="0" w:color="auto"/>
                <w:left w:val="none" w:sz="0" w:space="0" w:color="auto"/>
                <w:bottom w:val="none" w:sz="0" w:space="0" w:color="auto"/>
                <w:right w:val="none" w:sz="0" w:space="0" w:color="auto"/>
              </w:divBdr>
            </w:div>
          </w:divsChild>
        </w:div>
        <w:div w:id="64912664">
          <w:marLeft w:val="0"/>
          <w:marRight w:val="0"/>
          <w:marTop w:val="0"/>
          <w:marBottom w:val="0"/>
          <w:divBdr>
            <w:top w:val="none" w:sz="0" w:space="0" w:color="auto"/>
            <w:left w:val="none" w:sz="0" w:space="0" w:color="auto"/>
            <w:bottom w:val="none" w:sz="0" w:space="0" w:color="auto"/>
            <w:right w:val="none" w:sz="0" w:space="0" w:color="auto"/>
          </w:divBdr>
          <w:divsChild>
            <w:div w:id="614794304">
              <w:marLeft w:val="0"/>
              <w:marRight w:val="0"/>
              <w:marTop w:val="0"/>
              <w:marBottom w:val="0"/>
              <w:divBdr>
                <w:top w:val="none" w:sz="0" w:space="0" w:color="auto"/>
                <w:left w:val="none" w:sz="0" w:space="0" w:color="auto"/>
                <w:bottom w:val="none" w:sz="0" w:space="0" w:color="auto"/>
                <w:right w:val="none" w:sz="0" w:space="0" w:color="auto"/>
              </w:divBdr>
            </w:div>
          </w:divsChild>
        </w:div>
        <w:div w:id="102724794">
          <w:marLeft w:val="0"/>
          <w:marRight w:val="0"/>
          <w:marTop w:val="0"/>
          <w:marBottom w:val="0"/>
          <w:divBdr>
            <w:top w:val="none" w:sz="0" w:space="0" w:color="auto"/>
            <w:left w:val="none" w:sz="0" w:space="0" w:color="auto"/>
            <w:bottom w:val="none" w:sz="0" w:space="0" w:color="auto"/>
            <w:right w:val="none" w:sz="0" w:space="0" w:color="auto"/>
          </w:divBdr>
          <w:divsChild>
            <w:div w:id="118189550">
              <w:marLeft w:val="0"/>
              <w:marRight w:val="0"/>
              <w:marTop w:val="0"/>
              <w:marBottom w:val="0"/>
              <w:divBdr>
                <w:top w:val="none" w:sz="0" w:space="0" w:color="auto"/>
                <w:left w:val="none" w:sz="0" w:space="0" w:color="auto"/>
                <w:bottom w:val="none" w:sz="0" w:space="0" w:color="auto"/>
                <w:right w:val="none" w:sz="0" w:space="0" w:color="auto"/>
              </w:divBdr>
            </w:div>
            <w:div w:id="496118854">
              <w:marLeft w:val="0"/>
              <w:marRight w:val="0"/>
              <w:marTop w:val="0"/>
              <w:marBottom w:val="0"/>
              <w:divBdr>
                <w:top w:val="none" w:sz="0" w:space="0" w:color="auto"/>
                <w:left w:val="none" w:sz="0" w:space="0" w:color="auto"/>
                <w:bottom w:val="none" w:sz="0" w:space="0" w:color="auto"/>
                <w:right w:val="none" w:sz="0" w:space="0" w:color="auto"/>
              </w:divBdr>
            </w:div>
            <w:div w:id="2076127719">
              <w:marLeft w:val="0"/>
              <w:marRight w:val="0"/>
              <w:marTop w:val="0"/>
              <w:marBottom w:val="0"/>
              <w:divBdr>
                <w:top w:val="none" w:sz="0" w:space="0" w:color="auto"/>
                <w:left w:val="none" w:sz="0" w:space="0" w:color="auto"/>
                <w:bottom w:val="none" w:sz="0" w:space="0" w:color="auto"/>
                <w:right w:val="none" w:sz="0" w:space="0" w:color="auto"/>
              </w:divBdr>
            </w:div>
          </w:divsChild>
        </w:div>
        <w:div w:id="107168219">
          <w:marLeft w:val="0"/>
          <w:marRight w:val="0"/>
          <w:marTop w:val="0"/>
          <w:marBottom w:val="0"/>
          <w:divBdr>
            <w:top w:val="none" w:sz="0" w:space="0" w:color="auto"/>
            <w:left w:val="none" w:sz="0" w:space="0" w:color="auto"/>
            <w:bottom w:val="none" w:sz="0" w:space="0" w:color="auto"/>
            <w:right w:val="none" w:sz="0" w:space="0" w:color="auto"/>
          </w:divBdr>
          <w:divsChild>
            <w:div w:id="300968088">
              <w:marLeft w:val="0"/>
              <w:marRight w:val="0"/>
              <w:marTop w:val="0"/>
              <w:marBottom w:val="0"/>
              <w:divBdr>
                <w:top w:val="none" w:sz="0" w:space="0" w:color="auto"/>
                <w:left w:val="none" w:sz="0" w:space="0" w:color="auto"/>
                <w:bottom w:val="none" w:sz="0" w:space="0" w:color="auto"/>
                <w:right w:val="none" w:sz="0" w:space="0" w:color="auto"/>
              </w:divBdr>
            </w:div>
            <w:div w:id="862596693">
              <w:marLeft w:val="0"/>
              <w:marRight w:val="0"/>
              <w:marTop w:val="0"/>
              <w:marBottom w:val="0"/>
              <w:divBdr>
                <w:top w:val="none" w:sz="0" w:space="0" w:color="auto"/>
                <w:left w:val="none" w:sz="0" w:space="0" w:color="auto"/>
                <w:bottom w:val="none" w:sz="0" w:space="0" w:color="auto"/>
                <w:right w:val="none" w:sz="0" w:space="0" w:color="auto"/>
              </w:divBdr>
            </w:div>
          </w:divsChild>
        </w:div>
        <w:div w:id="113984213">
          <w:marLeft w:val="0"/>
          <w:marRight w:val="0"/>
          <w:marTop w:val="0"/>
          <w:marBottom w:val="0"/>
          <w:divBdr>
            <w:top w:val="none" w:sz="0" w:space="0" w:color="auto"/>
            <w:left w:val="none" w:sz="0" w:space="0" w:color="auto"/>
            <w:bottom w:val="none" w:sz="0" w:space="0" w:color="auto"/>
            <w:right w:val="none" w:sz="0" w:space="0" w:color="auto"/>
          </w:divBdr>
          <w:divsChild>
            <w:div w:id="694426890">
              <w:marLeft w:val="0"/>
              <w:marRight w:val="0"/>
              <w:marTop w:val="0"/>
              <w:marBottom w:val="0"/>
              <w:divBdr>
                <w:top w:val="none" w:sz="0" w:space="0" w:color="auto"/>
                <w:left w:val="none" w:sz="0" w:space="0" w:color="auto"/>
                <w:bottom w:val="none" w:sz="0" w:space="0" w:color="auto"/>
                <w:right w:val="none" w:sz="0" w:space="0" w:color="auto"/>
              </w:divBdr>
            </w:div>
            <w:div w:id="1486514011">
              <w:marLeft w:val="0"/>
              <w:marRight w:val="0"/>
              <w:marTop w:val="0"/>
              <w:marBottom w:val="0"/>
              <w:divBdr>
                <w:top w:val="none" w:sz="0" w:space="0" w:color="auto"/>
                <w:left w:val="none" w:sz="0" w:space="0" w:color="auto"/>
                <w:bottom w:val="none" w:sz="0" w:space="0" w:color="auto"/>
                <w:right w:val="none" w:sz="0" w:space="0" w:color="auto"/>
              </w:divBdr>
            </w:div>
          </w:divsChild>
        </w:div>
        <w:div w:id="141771778">
          <w:marLeft w:val="0"/>
          <w:marRight w:val="0"/>
          <w:marTop w:val="0"/>
          <w:marBottom w:val="0"/>
          <w:divBdr>
            <w:top w:val="none" w:sz="0" w:space="0" w:color="auto"/>
            <w:left w:val="none" w:sz="0" w:space="0" w:color="auto"/>
            <w:bottom w:val="none" w:sz="0" w:space="0" w:color="auto"/>
            <w:right w:val="none" w:sz="0" w:space="0" w:color="auto"/>
          </w:divBdr>
          <w:divsChild>
            <w:div w:id="52778918">
              <w:marLeft w:val="0"/>
              <w:marRight w:val="0"/>
              <w:marTop w:val="0"/>
              <w:marBottom w:val="0"/>
              <w:divBdr>
                <w:top w:val="none" w:sz="0" w:space="0" w:color="auto"/>
                <w:left w:val="none" w:sz="0" w:space="0" w:color="auto"/>
                <w:bottom w:val="none" w:sz="0" w:space="0" w:color="auto"/>
                <w:right w:val="none" w:sz="0" w:space="0" w:color="auto"/>
              </w:divBdr>
            </w:div>
            <w:div w:id="373308887">
              <w:marLeft w:val="0"/>
              <w:marRight w:val="0"/>
              <w:marTop w:val="0"/>
              <w:marBottom w:val="0"/>
              <w:divBdr>
                <w:top w:val="none" w:sz="0" w:space="0" w:color="auto"/>
                <w:left w:val="none" w:sz="0" w:space="0" w:color="auto"/>
                <w:bottom w:val="none" w:sz="0" w:space="0" w:color="auto"/>
                <w:right w:val="none" w:sz="0" w:space="0" w:color="auto"/>
              </w:divBdr>
            </w:div>
            <w:div w:id="520440173">
              <w:marLeft w:val="0"/>
              <w:marRight w:val="0"/>
              <w:marTop w:val="0"/>
              <w:marBottom w:val="0"/>
              <w:divBdr>
                <w:top w:val="none" w:sz="0" w:space="0" w:color="auto"/>
                <w:left w:val="none" w:sz="0" w:space="0" w:color="auto"/>
                <w:bottom w:val="none" w:sz="0" w:space="0" w:color="auto"/>
                <w:right w:val="none" w:sz="0" w:space="0" w:color="auto"/>
              </w:divBdr>
            </w:div>
          </w:divsChild>
        </w:div>
        <w:div w:id="157356484">
          <w:marLeft w:val="0"/>
          <w:marRight w:val="0"/>
          <w:marTop w:val="0"/>
          <w:marBottom w:val="0"/>
          <w:divBdr>
            <w:top w:val="none" w:sz="0" w:space="0" w:color="auto"/>
            <w:left w:val="none" w:sz="0" w:space="0" w:color="auto"/>
            <w:bottom w:val="none" w:sz="0" w:space="0" w:color="auto"/>
            <w:right w:val="none" w:sz="0" w:space="0" w:color="auto"/>
          </w:divBdr>
          <w:divsChild>
            <w:div w:id="1128352149">
              <w:marLeft w:val="0"/>
              <w:marRight w:val="0"/>
              <w:marTop w:val="0"/>
              <w:marBottom w:val="0"/>
              <w:divBdr>
                <w:top w:val="none" w:sz="0" w:space="0" w:color="auto"/>
                <w:left w:val="none" w:sz="0" w:space="0" w:color="auto"/>
                <w:bottom w:val="none" w:sz="0" w:space="0" w:color="auto"/>
                <w:right w:val="none" w:sz="0" w:space="0" w:color="auto"/>
              </w:divBdr>
            </w:div>
          </w:divsChild>
        </w:div>
        <w:div w:id="157548684">
          <w:marLeft w:val="0"/>
          <w:marRight w:val="0"/>
          <w:marTop w:val="0"/>
          <w:marBottom w:val="0"/>
          <w:divBdr>
            <w:top w:val="none" w:sz="0" w:space="0" w:color="auto"/>
            <w:left w:val="none" w:sz="0" w:space="0" w:color="auto"/>
            <w:bottom w:val="none" w:sz="0" w:space="0" w:color="auto"/>
            <w:right w:val="none" w:sz="0" w:space="0" w:color="auto"/>
          </w:divBdr>
          <w:divsChild>
            <w:div w:id="2135978879">
              <w:marLeft w:val="0"/>
              <w:marRight w:val="0"/>
              <w:marTop w:val="0"/>
              <w:marBottom w:val="0"/>
              <w:divBdr>
                <w:top w:val="none" w:sz="0" w:space="0" w:color="auto"/>
                <w:left w:val="none" w:sz="0" w:space="0" w:color="auto"/>
                <w:bottom w:val="none" w:sz="0" w:space="0" w:color="auto"/>
                <w:right w:val="none" w:sz="0" w:space="0" w:color="auto"/>
              </w:divBdr>
            </w:div>
          </w:divsChild>
        </w:div>
        <w:div w:id="182205500">
          <w:marLeft w:val="0"/>
          <w:marRight w:val="0"/>
          <w:marTop w:val="0"/>
          <w:marBottom w:val="0"/>
          <w:divBdr>
            <w:top w:val="none" w:sz="0" w:space="0" w:color="auto"/>
            <w:left w:val="none" w:sz="0" w:space="0" w:color="auto"/>
            <w:bottom w:val="none" w:sz="0" w:space="0" w:color="auto"/>
            <w:right w:val="none" w:sz="0" w:space="0" w:color="auto"/>
          </w:divBdr>
          <w:divsChild>
            <w:div w:id="1631014808">
              <w:marLeft w:val="0"/>
              <w:marRight w:val="0"/>
              <w:marTop w:val="0"/>
              <w:marBottom w:val="0"/>
              <w:divBdr>
                <w:top w:val="none" w:sz="0" w:space="0" w:color="auto"/>
                <w:left w:val="none" w:sz="0" w:space="0" w:color="auto"/>
                <w:bottom w:val="none" w:sz="0" w:space="0" w:color="auto"/>
                <w:right w:val="none" w:sz="0" w:space="0" w:color="auto"/>
              </w:divBdr>
            </w:div>
          </w:divsChild>
        </w:div>
        <w:div w:id="229584500">
          <w:marLeft w:val="0"/>
          <w:marRight w:val="0"/>
          <w:marTop w:val="0"/>
          <w:marBottom w:val="0"/>
          <w:divBdr>
            <w:top w:val="none" w:sz="0" w:space="0" w:color="auto"/>
            <w:left w:val="none" w:sz="0" w:space="0" w:color="auto"/>
            <w:bottom w:val="none" w:sz="0" w:space="0" w:color="auto"/>
            <w:right w:val="none" w:sz="0" w:space="0" w:color="auto"/>
          </w:divBdr>
          <w:divsChild>
            <w:div w:id="577058123">
              <w:marLeft w:val="0"/>
              <w:marRight w:val="0"/>
              <w:marTop w:val="0"/>
              <w:marBottom w:val="0"/>
              <w:divBdr>
                <w:top w:val="none" w:sz="0" w:space="0" w:color="auto"/>
                <w:left w:val="none" w:sz="0" w:space="0" w:color="auto"/>
                <w:bottom w:val="none" w:sz="0" w:space="0" w:color="auto"/>
                <w:right w:val="none" w:sz="0" w:space="0" w:color="auto"/>
              </w:divBdr>
            </w:div>
          </w:divsChild>
        </w:div>
        <w:div w:id="255209083">
          <w:marLeft w:val="0"/>
          <w:marRight w:val="0"/>
          <w:marTop w:val="0"/>
          <w:marBottom w:val="0"/>
          <w:divBdr>
            <w:top w:val="none" w:sz="0" w:space="0" w:color="auto"/>
            <w:left w:val="none" w:sz="0" w:space="0" w:color="auto"/>
            <w:bottom w:val="none" w:sz="0" w:space="0" w:color="auto"/>
            <w:right w:val="none" w:sz="0" w:space="0" w:color="auto"/>
          </w:divBdr>
          <w:divsChild>
            <w:div w:id="102843607">
              <w:marLeft w:val="0"/>
              <w:marRight w:val="0"/>
              <w:marTop w:val="0"/>
              <w:marBottom w:val="0"/>
              <w:divBdr>
                <w:top w:val="none" w:sz="0" w:space="0" w:color="auto"/>
                <w:left w:val="none" w:sz="0" w:space="0" w:color="auto"/>
                <w:bottom w:val="none" w:sz="0" w:space="0" w:color="auto"/>
                <w:right w:val="none" w:sz="0" w:space="0" w:color="auto"/>
              </w:divBdr>
            </w:div>
            <w:div w:id="159279008">
              <w:marLeft w:val="0"/>
              <w:marRight w:val="0"/>
              <w:marTop w:val="0"/>
              <w:marBottom w:val="0"/>
              <w:divBdr>
                <w:top w:val="none" w:sz="0" w:space="0" w:color="auto"/>
                <w:left w:val="none" w:sz="0" w:space="0" w:color="auto"/>
                <w:bottom w:val="none" w:sz="0" w:space="0" w:color="auto"/>
                <w:right w:val="none" w:sz="0" w:space="0" w:color="auto"/>
              </w:divBdr>
            </w:div>
          </w:divsChild>
        </w:div>
        <w:div w:id="259147782">
          <w:marLeft w:val="0"/>
          <w:marRight w:val="0"/>
          <w:marTop w:val="0"/>
          <w:marBottom w:val="0"/>
          <w:divBdr>
            <w:top w:val="none" w:sz="0" w:space="0" w:color="auto"/>
            <w:left w:val="none" w:sz="0" w:space="0" w:color="auto"/>
            <w:bottom w:val="none" w:sz="0" w:space="0" w:color="auto"/>
            <w:right w:val="none" w:sz="0" w:space="0" w:color="auto"/>
          </w:divBdr>
          <w:divsChild>
            <w:div w:id="1895115025">
              <w:marLeft w:val="0"/>
              <w:marRight w:val="0"/>
              <w:marTop w:val="0"/>
              <w:marBottom w:val="0"/>
              <w:divBdr>
                <w:top w:val="none" w:sz="0" w:space="0" w:color="auto"/>
                <w:left w:val="none" w:sz="0" w:space="0" w:color="auto"/>
                <w:bottom w:val="none" w:sz="0" w:space="0" w:color="auto"/>
                <w:right w:val="none" w:sz="0" w:space="0" w:color="auto"/>
              </w:divBdr>
            </w:div>
          </w:divsChild>
        </w:div>
        <w:div w:id="265425530">
          <w:marLeft w:val="0"/>
          <w:marRight w:val="0"/>
          <w:marTop w:val="0"/>
          <w:marBottom w:val="0"/>
          <w:divBdr>
            <w:top w:val="none" w:sz="0" w:space="0" w:color="auto"/>
            <w:left w:val="none" w:sz="0" w:space="0" w:color="auto"/>
            <w:bottom w:val="none" w:sz="0" w:space="0" w:color="auto"/>
            <w:right w:val="none" w:sz="0" w:space="0" w:color="auto"/>
          </w:divBdr>
          <w:divsChild>
            <w:div w:id="188687361">
              <w:marLeft w:val="0"/>
              <w:marRight w:val="0"/>
              <w:marTop w:val="0"/>
              <w:marBottom w:val="0"/>
              <w:divBdr>
                <w:top w:val="none" w:sz="0" w:space="0" w:color="auto"/>
                <w:left w:val="none" w:sz="0" w:space="0" w:color="auto"/>
                <w:bottom w:val="none" w:sz="0" w:space="0" w:color="auto"/>
                <w:right w:val="none" w:sz="0" w:space="0" w:color="auto"/>
              </w:divBdr>
            </w:div>
            <w:div w:id="1440494216">
              <w:marLeft w:val="0"/>
              <w:marRight w:val="0"/>
              <w:marTop w:val="0"/>
              <w:marBottom w:val="0"/>
              <w:divBdr>
                <w:top w:val="none" w:sz="0" w:space="0" w:color="auto"/>
                <w:left w:val="none" w:sz="0" w:space="0" w:color="auto"/>
                <w:bottom w:val="none" w:sz="0" w:space="0" w:color="auto"/>
                <w:right w:val="none" w:sz="0" w:space="0" w:color="auto"/>
              </w:divBdr>
            </w:div>
          </w:divsChild>
        </w:div>
        <w:div w:id="320669004">
          <w:marLeft w:val="0"/>
          <w:marRight w:val="0"/>
          <w:marTop w:val="0"/>
          <w:marBottom w:val="0"/>
          <w:divBdr>
            <w:top w:val="none" w:sz="0" w:space="0" w:color="auto"/>
            <w:left w:val="none" w:sz="0" w:space="0" w:color="auto"/>
            <w:bottom w:val="none" w:sz="0" w:space="0" w:color="auto"/>
            <w:right w:val="none" w:sz="0" w:space="0" w:color="auto"/>
          </w:divBdr>
          <w:divsChild>
            <w:div w:id="868030024">
              <w:marLeft w:val="0"/>
              <w:marRight w:val="0"/>
              <w:marTop w:val="0"/>
              <w:marBottom w:val="0"/>
              <w:divBdr>
                <w:top w:val="none" w:sz="0" w:space="0" w:color="auto"/>
                <w:left w:val="none" w:sz="0" w:space="0" w:color="auto"/>
                <w:bottom w:val="none" w:sz="0" w:space="0" w:color="auto"/>
                <w:right w:val="none" w:sz="0" w:space="0" w:color="auto"/>
              </w:divBdr>
            </w:div>
            <w:div w:id="1032919068">
              <w:marLeft w:val="0"/>
              <w:marRight w:val="0"/>
              <w:marTop w:val="0"/>
              <w:marBottom w:val="0"/>
              <w:divBdr>
                <w:top w:val="none" w:sz="0" w:space="0" w:color="auto"/>
                <w:left w:val="none" w:sz="0" w:space="0" w:color="auto"/>
                <w:bottom w:val="none" w:sz="0" w:space="0" w:color="auto"/>
                <w:right w:val="none" w:sz="0" w:space="0" w:color="auto"/>
              </w:divBdr>
            </w:div>
            <w:div w:id="1423069962">
              <w:marLeft w:val="0"/>
              <w:marRight w:val="0"/>
              <w:marTop w:val="0"/>
              <w:marBottom w:val="0"/>
              <w:divBdr>
                <w:top w:val="none" w:sz="0" w:space="0" w:color="auto"/>
                <w:left w:val="none" w:sz="0" w:space="0" w:color="auto"/>
                <w:bottom w:val="none" w:sz="0" w:space="0" w:color="auto"/>
                <w:right w:val="none" w:sz="0" w:space="0" w:color="auto"/>
              </w:divBdr>
            </w:div>
            <w:div w:id="1923448157">
              <w:marLeft w:val="0"/>
              <w:marRight w:val="0"/>
              <w:marTop w:val="0"/>
              <w:marBottom w:val="0"/>
              <w:divBdr>
                <w:top w:val="none" w:sz="0" w:space="0" w:color="auto"/>
                <w:left w:val="none" w:sz="0" w:space="0" w:color="auto"/>
                <w:bottom w:val="none" w:sz="0" w:space="0" w:color="auto"/>
                <w:right w:val="none" w:sz="0" w:space="0" w:color="auto"/>
              </w:divBdr>
            </w:div>
            <w:div w:id="1942184713">
              <w:marLeft w:val="0"/>
              <w:marRight w:val="0"/>
              <w:marTop w:val="0"/>
              <w:marBottom w:val="0"/>
              <w:divBdr>
                <w:top w:val="none" w:sz="0" w:space="0" w:color="auto"/>
                <w:left w:val="none" w:sz="0" w:space="0" w:color="auto"/>
                <w:bottom w:val="none" w:sz="0" w:space="0" w:color="auto"/>
                <w:right w:val="none" w:sz="0" w:space="0" w:color="auto"/>
              </w:divBdr>
            </w:div>
          </w:divsChild>
        </w:div>
        <w:div w:id="370811088">
          <w:marLeft w:val="0"/>
          <w:marRight w:val="0"/>
          <w:marTop w:val="0"/>
          <w:marBottom w:val="0"/>
          <w:divBdr>
            <w:top w:val="none" w:sz="0" w:space="0" w:color="auto"/>
            <w:left w:val="none" w:sz="0" w:space="0" w:color="auto"/>
            <w:bottom w:val="none" w:sz="0" w:space="0" w:color="auto"/>
            <w:right w:val="none" w:sz="0" w:space="0" w:color="auto"/>
          </w:divBdr>
          <w:divsChild>
            <w:div w:id="1649359583">
              <w:marLeft w:val="0"/>
              <w:marRight w:val="0"/>
              <w:marTop w:val="0"/>
              <w:marBottom w:val="0"/>
              <w:divBdr>
                <w:top w:val="none" w:sz="0" w:space="0" w:color="auto"/>
                <w:left w:val="none" w:sz="0" w:space="0" w:color="auto"/>
                <w:bottom w:val="none" w:sz="0" w:space="0" w:color="auto"/>
                <w:right w:val="none" w:sz="0" w:space="0" w:color="auto"/>
              </w:divBdr>
            </w:div>
          </w:divsChild>
        </w:div>
        <w:div w:id="386418534">
          <w:marLeft w:val="0"/>
          <w:marRight w:val="0"/>
          <w:marTop w:val="0"/>
          <w:marBottom w:val="0"/>
          <w:divBdr>
            <w:top w:val="none" w:sz="0" w:space="0" w:color="auto"/>
            <w:left w:val="none" w:sz="0" w:space="0" w:color="auto"/>
            <w:bottom w:val="none" w:sz="0" w:space="0" w:color="auto"/>
            <w:right w:val="none" w:sz="0" w:space="0" w:color="auto"/>
          </w:divBdr>
          <w:divsChild>
            <w:div w:id="1677608562">
              <w:marLeft w:val="0"/>
              <w:marRight w:val="0"/>
              <w:marTop w:val="0"/>
              <w:marBottom w:val="0"/>
              <w:divBdr>
                <w:top w:val="none" w:sz="0" w:space="0" w:color="auto"/>
                <w:left w:val="none" w:sz="0" w:space="0" w:color="auto"/>
                <w:bottom w:val="none" w:sz="0" w:space="0" w:color="auto"/>
                <w:right w:val="none" w:sz="0" w:space="0" w:color="auto"/>
              </w:divBdr>
            </w:div>
          </w:divsChild>
        </w:div>
        <w:div w:id="400174692">
          <w:marLeft w:val="0"/>
          <w:marRight w:val="0"/>
          <w:marTop w:val="0"/>
          <w:marBottom w:val="0"/>
          <w:divBdr>
            <w:top w:val="none" w:sz="0" w:space="0" w:color="auto"/>
            <w:left w:val="none" w:sz="0" w:space="0" w:color="auto"/>
            <w:bottom w:val="none" w:sz="0" w:space="0" w:color="auto"/>
            <w:right w:val="none" w:sz="0" w:space="0" w:color="auto"/>
          </w:divBdr>
          <w:divsChild>
            <w:div w:id="451048335">
              <w:marLeft w:val="0"/>
              <w:marRight w:val="0"/>
              <w:marTop w:val="0"/>
              <w:marBottom w:val="0"/>
              <w:divBdr>
                <w:top w:val="none" w:sz="0" w:space="0" w:color="auto"/>
                <w:left w:val="none" w:sz="0" w:space="0" w:color="auto"/>
                <w:bottom w:val="none" w:sz="0" w:space="0" w:color="auto"/>
                <w:right w:val="none" w:sz="0" w:space="0" w:color="auto"/>
              </w:divBdr>
            </w:div>
            <w:div w:id="1220746478">
              <w:marLeft w:val="0"/>
              <w:marRight w:val="0"/>
              <w:marTop w:val="0"/>
              <w:marBottom w:val="0"/>
              <w:divBdr>
                <w:top w:val="none" w:sz="0" w:space="0" w:color="auto"/>
                <w:left w:val="none" w:sz="0" w:space="0" w:color="auto"/>
                <w:bottom w:val="none" w:sz="0" w:space="0" w:color="auto"/>
                <w:right w:val="none" w:sz="0" w:space="0" w:color="auto"/>
              </w:divBdr>
            </w:div>
            <w:div w:id="1283270195">
              <w:marLeft w:val="0"/>
              <w:marRight w:val="0"/>
              <w:marTop w:val="0"/>
              <w:marBottom w:val="0"/>
              <w:divBdr>
                <w:top w:val="none" w:sz="0" w:space="0" w:color="auto"/>
                <w:left w:val="none" w:sz="0" w:space="0" w:color="auto"/>
                <w:bottom w:val="none" w:sz="0" w:space="0" w:color="auto"/>
                <w:right w:val="none" w:sz="0" w:space="0" w:color="auto"/>
              </w:divBdr>
            </w:div>
            <w:div w:id="1567301307">
              <w:marLeft w:val="0"/>
              <w:marRight w:val="0"/>
              <w:marTop w:val="0"/>
              <w:marBottom w:val="0"/>
              <w:divBdr>
                <w:top w:val="none" w:sz="0" w:space="0" w:color="auto"/>
                <w:left w:val="none" w:sz="0" w:space="0" w:color="auto"/>
                <w:bottom w:val="none" w:sz="0" w:space="0" w:color="auto"/>
                <w:right w:val="none" w:sz="0" w:space="0" w:color="auto"/>
              </w:divBdr>
            </w:div>
            <w:div w:id="2114519361">
              <w:marLeft w:val="0"/>
              <w:marRight w:val="0"/>
              <w:marTop w:val="0"/>
              <w:marBottom w:val="0"/>
              <w:divBdr>
                <w:top w:val="none" w:sz="0" w:space="0" w:color="auto"/>
                <w:left w:val="none" w:sz="0" w:space="0" w:color="auto"/>
                <w:bottom w:val="none" w:sz="0" w:space="0" w:color="auto"/>
                <w:right w:val="none" w:sz="0" w:space="0" w:color="auto"/>
              </w:divBdr>
            </w:div>
          </w:divsChild>
        </w:div>
        <w:div w:id="408235043">
          <w:marLeft w:val="0"/>
          <w:marRight w:val="0"/>
          <w:marTop w:val="0"/>
          <w:marBottom w:val="0"/>
          <w:divBdr>
            <w:top w:val="none" w:sz="0" w:space="0" w:color="auto"/>
            <w:left w:val="none" w:sz="0" w:space="0" w:color="auto"/>
            <w:bottom w:val="none" w:sz="0" w:space="0" w:color="auto"/>
            <w:right w:val="none" w:sz="0" w:space="0" w:color="auto"/>
          </w:divBdr>
          <w:divsChild>
            <w:div w:id="293560928">
              <w:marLeft w:val="0"/>
              <w:marRight w:val="0"/>
              <w:marTop w:val="0"/>
              <w:marBottom w:val="0"/>
              <w:divBdr>
                <w:top w:val="none" w:sz="0" w:space="0" w:color="auto"/>
                <w:left w:val="none" w:sz="0" w:space="0" w:color="auto"/>
                <w:bottom w:val="none" w:sz="0" w:space="0" w:color="auto"/>
                <w:right w:val="none" w:sz="0" w:space="0" w:color="auto"/>
              </w:divBdr>
            </w:div>
            <w:div w:id="1396853495">
              <w:marLeft w:val="0"/>
              <w:marRight w:val="0"/>
              <w:marTop w:val="0"/>
              <w:marBottom w:val="0"/>
              <w:divBdr>
                <w:top w:val="none" w:sz="0" w:space="0" w:color="auto"/>
                <w:left w:val="none" w:sz="0" w:space="0" w:color="auto"/>
                <w:bottom w:val="none" w:sz="0" w:space="0" w:color="auto"/>
                <w:right w:val="none" w:sz="0" w:space="0" w:color="auto"/>
              </w:divBdr>
            </w:div>
          </w:divsChild>
        </w:div>
        <w:div w:id="489101527">
          <w:marLeft w:val="0"/>
          <w:marRight w:val="0"/>
          <w:marTop w:val="0"/>
          <w:marBottom w:val="0"/>
          <w:divBdr>
            <w:top w:val="none" w:sz="0" w:space="0" w:color="auto"/>
            <w:left w:val="none" w:sz="0" w:space="0" w:color="auto"/>
            <w:bottom w:val="none" w:sz="0" w:space="0" w:color="auto"/>
            <w:right w:val="none" w:sz="0" w:space="0" w:color="auto"/>
          </w:divBdr>
          <w:divsChild>
            <w:div w:id="588587098">
              <w:marLeft w:val="0"/>
              <w:marRight w:val="0"/>
              <w:marTop w:val="0"/>
              <w:marBottom w:val="0"/>
              <w:divBdr>
                <w:top w:val="none" w:sz="0" w:space="0" w:color="auto"/>
                <w:left w:val="none" w:sz="0" w:space="0" w:color="auto"/>
                <w:bottom w:val="none" w:sz="0" w:space="0" w:color="auto"/>
                <w:right w:val="none" w:sz="0" w:space="0" w:color="auto"/>
              </w:divBdr>
            </w:div>
            <w:div w:id="1710639263">
              <w:marLeft w:val="0"/>
              <w:marRight w:val="0"/>
              <w:marTop w:val="0"/>
              <w:marBottom w:val="0"/>
              <w:divBdr>
                <w:top w:val="none" w:sz="0" w:space="0" w:color="auto"/>
                <w:left w:val="none" w:sz="0" w:space="0" w:color="auto"/>
                <w:bottom w:val="none" w:sz="0" w:space="0" w:color="auto"/>
                <w:right w:val="none" w:sz="0" w:space="0" w:color="auto"/>
              </w:divBdr>
            </w:div>
            <w:div w:id="2039773585">
              <w:marLeft w:val="0"/>
              <w:marRight w:val="0"/>
              <w:marTop w:val="0"/>
              <w:marBottom w:val="0"/>
              <w:divBdr>
                <w:top w:val="none" w:sz="0" w:space="0" w:color="auto"/>
                <w:left w:val="none" w:sz="0" w:space="0" w:color="auto"/>
                <w:bottom w:val="none" w:sz="0" w:space="0" w:color="auto"/>
                <w:right w:val="none" w:sz="0" w:space="0" w:color="auto"/>
              </w:divBdr>
            </w:div>
          </w:divsChild>
        </w:div>
        <w:div w:id="506093011">
          <w:marLeft w:val="0"/>
          <w:marRight w:val="0"/>
          <w:marTop w:val="0"/>
          <w:marBottom w:val="0"/>
          <w:divBdr>
            <w:top w:val="none" w:sz="0" w:space="0" w:color="auto"/>
            <w:left w:val="none" w:sz="0" w:space="0" w:color="auto"/>
            <w:bottom w:val="none" w:sz="0" w:space="0" w:color="auto"/>
            <w:right w:val="none" w:sz="0" w:space="0" w:color="auto"/>
          </w:divBdr>
          <w:divsChild>
            <w:div w:id="825586520">
              <w:marLeft w:val="0"/>
              <w:marRight w:val="0"/>
              <w:marTop w:val="0"/>
              <w:marBottom w:val="0"/>
              <w:divBdr>
                <w:top w:val="none" w:sz="0" w:space="0" w:color="auto"/>
                <w:left w:val="none" w:sz="0" w:space="0" w:color="auto"/>
                <w:bottom w:val="none" w:sz="0" w:space="0" w:color="auto"/>
                <w:right w:val="none" w:sz="0" w:space="0" w:color="auto"/>
              </w:divBdr>
            </w:div>
            <w:div w:id="833883128">
              <w:marLeft w:val="0"/>
              <w:marRight w:val="0"/>
              <w:marTop w:val="0"/>
              <w:marBottom w:val="0"/>
              <w:divBdr>
                <w:top w:val="none" w:sz="0" w:space="0" w:color="auto"/>
                <w:left w:val="none" w:sz="0" w:space="0" w:color="auto"/>
                <w:bottom w:val="none" w:sz="0" w:space="0" w:color="auto"/>
                <w:right w:val="none" w:sz="0" w:space="0" w:color="auto"/>
              </w:divBdr>
            </w:div>
          </w:divsChild>
        </w:div>
        <w:div w:id="508105221">
          <w:marLeft w:val="0"/>
          <w:marRight w:val="0"/>
          <w:marTop w:val="0"/>
          <w:marBottom w:val="0"/>
          <w:divBdr>
            <w:top w:val="none" w:sz="0" w:space="0" w:color="auto"/>
            <w:left w:val="none" w:sz="0" w:space="0" w:color="auto"/>
            <w:bottom w:val="none" w:sz="0" w:space="0" w:color="auto"/>
            <w:right w:val="none" w:sz="0" w:space="0" w:color="auto"/>
          </w:divBdr>
          <w:divsChild>
            <w:div w:id="188447267">
              <w:marLeft w:val="0"/>
              <w:marRight w:val="0"/>
              <w:marTop w:val="0"/>
              <w:marBottom w:val="0"/>
              <w:divBdr>
                <w:top w:val="none" w:sz="0" w:space="0" w:color="auto"/>
                <w:left w:val="none" w:sz="0" w:space="0" w:color="auto"/>
                <w:bottom w:val="none" w:sz="0" w:space="0" w:color="auto"/>
                <w:right w:val="none" w:sz="0" w:space="0" w:color="auto"/>
              </w:divBdr>
            </w:div>
            <w:div w:id="1049184265">
              <w:marLeft w:val="0"/>
              <w:marRight w:val="0"/>
              <w:marTop w:val="0"/>
              <w:marBottom w:val="0"/>
              <w:divBdr>
                <w:top w:val="none" w:sz="0" w:space="0" w:color="auto"/>
                <w:left w:val="none" w:sz="0" w:space="0" w:color="auto"/>
                <w:bottom w:val="none" w:sz="0" w:space="0" w:color="auto"/>
                <w:right w:val="none" w:sz="0" w:space="0" w:color="auto"/>
              </w:divBdr>
            </w:div>
          </w:divsChild>
        </w:div>
        <w:div w:id="522282940">
          <w:marLeft w:val="0"/>
          <w:marRight w:val="0"/>
          <w:marTop w:val="0"/>
          <w:marBottom w:val="0"/>
          <w:divBdr>
            <w:top w:val="none" w:sz="0" w:space="0" w:color="auto"/>
            <w:left w:val="none" w:sz="0" w:space="0" w:color="auto"/>
            <w:bottom w:val="none" w:sz="0" w:space="0" w:color="auto"/>
            <w:right w:val="none" w:sz="0" w:space="0" w:color="auto"/>
          </w:divBdr>
          <w:divsChild>
            <w:div w:id="36125485">
              <w:marLeft w:val="0"/>
              <w:marRight w:val="0"/>
              <w:marTop w:val="0"/>
              <w:marBottom w:val="0"/>
              <w:divBdr>
                <w:top w:val="none" w:sz="0" w:space="0" w:color="auto"/>
                <w:left w:val="none" w:sz="0" w:space="0" w:color="auto"/>
                <w:bottom w:val="none" w:sz="0" w:space="0" w:color="auto"/>
                <w:right w:val="none" w:sz="0" w:space="0" w:color="auto"/>
              </w:divBdr>
            </w:div>
            <w:div w:id="991644114">
              <w:marLeft w:val="0"/>
              <w:marRight w:val="0"/>
              <w:marTop w:val="0"/>
              <w:marBottom w:val="0"/>
              <w:divBdr>
                <w:top w:val="none" w:sz="0" w:space="0" w:color="auto"/>
                <w:left w:val="none" w:sz="0" w:space="0" w:color="auto"/>
                <w:bottom w:val="none" w:sz="0" w:space="0" w:color="auto"/>
                <w:right w:val="none" w:sz="0" w:space="0" w:color="auto"/>
              </w:divBdr>
            </w:div>
            <w:div w:id="1876499808">
              <w:marLeft w:val="0"/>
              <w:marRight w:val="0"/>
              <w:marTop w:val="0"/>
              <w:marBottom w:val="0"/>
              <w:divBdr>
                <w:top w:val="none" w:sz="0" w:space="0" w:color="auto"/>
                <w:left w:val="none" w:sz="0" w:space="0" w:color="auto"/>
                <w:bottom w:val="none" w:sz="0" w:space="0" w:color="auto"/>
                <w:right w:val="none" w:sz="0" w:space="0" w:color="auto"/>
              </w:divBdr>
            </w:div>
            <w:div w:id="1894386458">
              <w:marLeft w:val="0"/>
              <w:marRight w:val="0"/>
              <w:marTop w:val="0"/>
              <w:marBottom w:val="0"/>
              <w:divBdr>
                <w:top w:val="none" w:sz="0" w:space="0" w:color="auto"/>
                <w:left w:val="none" w:sz="0" w:space="0" w:color="auto"/>
                <w:bottom w:val="none" w:sz="0" w:space="0" w:color="auto"/>
                <w:right w:val="none" w:sz="0" w:space="0" w:color="auto"/>
              </w:divBdr>
            </w:div>
            <w:div w:id="2126075923">
              <w:marLeft w:val="0"/>
              <w:marRight w:val="0"/>
              <w:marTop w:val="0"/>
              <w:marBottom w:val="0"/>
              <w:divBdr>
                <w:top w:val="none" w:sz="0" w:space="0" w:color="auto"/>
                <w:left w:val="none" w:sz="0" w:space="0" w:color="auto"/>
                <w:bottom w:val="none" w:sz="0" w:space="0" w:color="auto"/>
                <w:right w:val="none" w:sz="0" w:space="0" w:color="auto"/>
              </w:divBdr>
            </w:div>
          </w:divsChild>
        </w:div>
        <w:div w:id="525675037">
          <w:marLeft w:val="0"/>
          <w:marRight w:val="0"/>
          <w:marTop w:val="0"/>
          <w:marBottom w:val="0"/>
          <w:divBdr>
            <w:top w:val="none" w:sz="0" w:space="0" w:color="auto"/>
            <w:left w:val="none" w:sz="0" w:space="0" w:color="auto"/>
            <w:bottom w:val="none" w:sz="0" w:space="0" w:color="auto"/>
            <w:right w:val="none" w:sz="0" w:space="0" w:color="auto"/>
          </w:divBdr>
          <w:divsChild>
            <w:div w:id="1976131641">
              <w:marLeft w:val="0"/>
              <w:marRight w:val="0"/>
              <w:marTop w:val="0"/>
              <w:marBottom w:val="0"/>
              <w:divBdr>
                <w:top w:val="none" w:sz="0" w:space="0" w:color="auto"/>
                <w:left w:val="none" w:sz="0" w:space="0" w:color="auto"/>
                <w:bottom w:val="none" w:sz="0" w:space="0" w:color="auto"/>
                <w:right w:val="none" w:sz="0" w:space="0" w:color="auto"/>
              </w:divBdr>
            </w:div>
          </w:divsChild>
        </w:div>
        <w:div w:id="537671361">
          <w:marLeft w:val="0"/>
          <w:marRight w:val="0"/>
          <w:marTop w:val="0"/>
          <w:marBottom w:val="0"/>
          <w:divBdr>
            <w:top w:val="none" w:sz="0" w:space="0" w:color="auto"/>
            <w:left w:val="none" w:sz="0" w:space="0" w:color="auto"/>
            <w:bottom w:val="none" w:sz="0" w:space="0" w:color="auto"/>
            <w:right w:val="none" w:sz="0" w:space="0" w:color="auto"/>
          </w:divBdr>
          <w:divsChild>
            <w:div w:id="1857159779">
              <w:marLeft w:val="0"/>
              <w:marRight w:val="0"/>
              <w:marTop w:val="0"/>
              <w:marBottom w:val="0"/>
              <w:divBdr>
                <w:top w:val="none" w:sz="0" w:space="0" w:color="auto"/>
                <w:left w:val="none" w:sz="0" w:space="0" w:color="auto"/>
                <w:bottom w:val="none" w:sz="0" w:space="0" w:color="auto"/>
                <w:right w:val="none" w:sz="0" w:space="0" w:color="auto"/>
              </w:divBdr>
            </w:div>
          </w:divsChild>
        </w:div>
        <w:div w:id="556165309">
          <w:marLeft w:val="0"/>
          <w:marRight w:val="0"/>
          <w:marTop w:val="0"/>
          <w:marBottom w:val="0"/>
          <w:divBdr>
            <w:top w:val="none" w:sz="0" w:space="0" w:color="auto"/>
            <w:left w:val="none" w:sz="0" w:space="0" w:color="auto"/>
            <w:bottom w:val="none" w:sz="0" w:space="0" w:color="auto"/>
            <w:right w:val="none" w:sz="0" w:space="0" w:color="auto"/>
          </w:divBdr>
          <w:divsChild>
            <w:div w:id="32853622">
              <w:marLeft w:val="0"/>
              <w:marRight w:val="0"/>
              <w:marTop w:val="0"/>
              <w:marBottom w:val="0"/>
              <w:divBdr>
                <w:top w:val="none" w:sz="0" w:space="0" w:color="auto"/>
                <w:left w:val="none" w:sz="0" w:space="0" w:color="auto"/>
                <w:bottom w:val="none" w:sz="0" w:space="0" w:color="auto"/>
                <w:right w:val="none" w:sz="0" w:space="0" w:color="auto"/>
              </w:divBdr>
            </w:div>
            <w:div w:id="662705337">
              <w:marLeft w:val="0"/>
              <w:marRight w:val="0"/>
              <w:marTop w:val="0"/>
              <w:marBottom w:val="0"/>
              <w:divBdr>
                <w:top w:val="none" w:sz="0" w:space="0" w:color="auto"/>
                <w:left w:val="none" w:sz="0" w:space="0" w:color="auto"/>
                <w:bottom w:val="none" w:sz="0" w:space="0" w:color="auto"/>
                <w:right w:val="none" w:sz="0" w:space="0" w:color="auto"/>
              </w:divBdr>
            </w:div>
          </w:divsChild>
        </w:div>
        <w:div w:id="568344420">
          <w:marLeft w:val="0"/>
          <w:marRight w:val="0"/>
          <w:marTop w:val="0"/>
          <w:marBottom w:val="0"/>
          <w:divBdr>
            <w:top w:val="none" w:sz="0" w:space="0" w:color="auto"/>
            <w:left w:val="none" w:sz="0" w:space="0" w:color="auto"/>
            <w:bottom w:val="none" w:sz="0" w:space="0" w:color="auto"/>
            <w:right w:val="none" w:sz="0" w:space="0" w:color="auto"/>
          </w:divBdr>
          <w:divsChild>
            <w:div w:id="226577824">
              <w:marLeft w:val="0"/>
              <w:marRight w:val="0"/>
              <w:marTop w:val="0"/>
              <w:marBottom w:val="0"/>
              <w:divBdr>
                <w:top w:val="none" w:sz="0" w:space="0" w:color="auto"/>
                <w:left w:val="none" w:sz="0" w:space="0" w:color="auto"/>
                <w:bottom w:val="none" w:sz="0" w:space="0" w:color="auto"/>
                <w:right w:val="none" w:sz="0" w:space="0" w:color="auto"/>
              </w:divBdr>
            </w:div>
            <w:div w:id="514661654">
              <w:marLeft w:val="0"/>
              <w:marRight w:val="0"/>
              <w:marTop w:val="0"/>
              <w:marBottom w:val="0"/>
              <w:divBdr>
                <w:top w:val="none" w:sz="0" w:space="0" w:color="auto"/>
                <w:left w:val="none" w:sz="0" w:space="0" w:color="auto"/>
                <w:bottom w:val="none" w:sz="0" w:space="0" w:color="auto"/>
                <w:right w:val="none" w:sz="0" w:space="0" w:color="auto"/>
              </w:divBdr>
            </w:div>
            <w:div w:id="917010744">
              <w:marLeft w:val="0"/>
              <w:marRight w:val="0"/>
              <w:marTop w:val="0"/>
              <w:marBottom w:val="0"/>
              <w:divBdr>
                <w:top w:val="none" w:sz="0" w:space="0" w:color="auto"/>
                <w:left w:val="none" w:sz="0" w:space="0" w:color="auto"/>
                <w:bottom w:val="none" w:sz="0" w:space="0" w:color="auto"/>
                <w:right w:val="none" w:sz="0" w:space="0" w:color="auto"/>
              </w:divBdr>
            </w:div>
            <w:div w:id="1649431049">
              <w:marLeft w:val="0"/>
              <w:marRight w:val="0"/>
              <w:marTop w:val="0"/>
              <w:marBottom w:val="0"/>
              <w:divBdr>
                <w:top w:val="none" w:sz="0" w:space="0" w:color="auto"/>
                <w:left w:val="none" w:sz="0" w:space="0" w:color="auto"/>
                <w:bottom w:val="none" w:sz="0" w:space="0" w:color="auto"/>
                <w:right w:val="none" w:sz="0" w:space="0" w:color="auto"/>
              </w:divBdr>
            </w:div>
          </w:divsChild>
        </w:div>
        <w:div w:id="585918846">
          <w:marLeft w:val="0"/>
          <w:marRight w:val="0"/>
          <w:marTop w:val="0"/>
          <w:marBottom w:val="0"/>
          <w:divBdr>
            <w:top w:val="none" w:sz="0" w:space="0" w:color="auto"/>
            <w:left w:val="none" w:sz="0" w:space="0" w:color="auto"/>
            <w:bottom w:val="none" w:sz="0" w:space="0" w:color="auto"/>
            <w:right w:val="none" w:sz="0" w:space="0" w:color="auto"/>
          </w:divBdr>
          <w:divsChild>
            <w:div w:id="499465735">
              <w:marLeft w:val="0"/>
              <w:marRight w:val="0"/>
              <w:marTop w:val="0"/>
              <w:marBottom w:val="0"/>
              <w:divBdr>
                <w:top w:val="none" w:sz="0" w:space="0" w:color="auto"/>
                <w:left w:val="none" w:sz="0" w:space="0" w:color="auto"/>
                <w:bottom w:val="none" w:sz="0" w:space="0" w:color="auto"/>
                <w:right w:val="none" w:sz="0" w:space="0" w:color="auto"/>
              </w:divBdr>
            </w:div>
            <w:div w:id="615912709">
              <w:marLeft w:val="0"/>
              <w:marRight w:val="0"/>
              <w:marTop w:val="0"/>
              <w:marBottom w:val="0"/>
              <w:divBdr>
                <w:top w:val="none" w:sz="0" w:space="0" w:color="auto"/>
                <w:left w:val="none" w:sz="0" w:space="0" w:color="auto"/>
                <w:bottom w:val="none" w:sz="0" w:space="0" w:color="auto"/>
                <w:right w:val="none" w:sz="0" w:space="0" w:color="auto"/>
              </w:divBdr>
            </w:div>
            <w:div w:id="622880446">
              <w:marLeft w:val="0"/>
              <w:marRight w:val="0"/>
              <w:marTop w:val="0"/>
              <w:marBottom w:val="0"/>
              <w:divBdr>
                <w:top w:val="none" w:sz="0" w:space="0" w:color="auto"/>
                <w:left w:val="none" w:sz="0" w:space="0" w:color="auto"/>
                <w:bottom w:val="none" w:sz="0" w:space="0" w:color="auto"/>
                <w:right w:val="none" w:sz="0" w:space="0" w:color="auto"/>
              </w:divBdr>
            </w:div>
            <w:div w:id="1021083544">
              <w:marLeft w:val="0"/>
              <w:marRight w:val="0"/>
              <w:marTop w:val="0"/>
              <w:marBottom w:val="0"/>
              <w:divBdr>
                <w:top w:val="none" w:sz="0" w:space="0" w:color="auto"/>
                <w:left w:val="none" w:sz="0" w:space="0" w:color="auto"/>
                <w:bottom w:val="none" w:sz="0" w:space="0" w:color="auto"/>
                <w:right w:val="none" w:sz="0" w:space="0" w:color="auto"/>
              </w:divBdr>
            </w:div>
            <w:div w:id="1600602704">
              <w:marLeft w:val="0"/>
              <w:marRight w:val="0"/>
              <w:marTop w:val="0"/>
              <w:marBottom w:val="0"/>
              <w:divBdr>
                <w:top w:val="none" w:sz="0" w:space="0" w:color="auto"/>
                <w:left w:val="none" w:sz="0" w:space="0" w:color="auto"/>
                <w:bottom w:val="none" w:sz="0" w:space="0" w:color="auto"/>
                <w:right w:val="none" w:sz="0" w:space="0" w:color="auto"/>
              </w:divBdr>
            </w:div>
          </w:divsChild>
        </w:div>
        <w:div w:id="597325233">
          <w:marLeft w:val="0"/>
          <w:marRight w:val="0"/>
          <w:marTop w:val="0"/>
          <w:marBottom w:val="0"/>
          <w:divBdr>
            <w:top w:val="none" w:sz="0" w:space="0" w:color="auto"/>
            <w:left w:val="none" w:sz="0" w:space="0" w:color="auto"/>
            <w:bottom w:val="none" w:sz="0" w:space="0" w:color="auto"/>
            <w:right w:val="none" w:sz="0" w:space="0" w:color="auto"/>
          </w:divBdr>
          <w:divsChild>
            <w:div w:id="673461119">
              <w:marLeft w:val="0"/>
              <w:marRight w:val="0"/>
              <w:marTop w:val="0"/>
              <w:marBottom w:val="0"/>
              <w:divBdr>
                <w:top w:val="none" w:sz="0" w:space="0" w:color="auto"/>
                <w:left w:val="none" w:sz="0" w:space="0" w:color="auto"/>
                <w:bottom w:val="none" w:sz="0" w:space="0" w:color="auto"/>
                <w:right w:val="none" w:sz="0" w:space="0" w:color="auto"/>
              </w:divBdr>
            </w:div>
          </w:divsChild>
        </w:div>
        <w:div w:id="606816883">
          <w:marLeft w:val="0"/>
          <w:marRight w:val="0"/>
          <w:marTop w:val="0"/>
          <w:marBottom w:val="0"/>
          <w:divBdr>
            <w:top w:val="none" w:sz="0" w:space="0" w:color="auto"/>
            <w:left w:val="none" w:sz="0" w:space="0" w:color="auto"/>
            <w:bottom w:val="none" w:sz="0" w:space="0" w:color="auto"/>
            <w:right w:val="none" w:sz="0" w:space="0" w:color="auto"/>
          </w:divBdr>
          <w:divsChild>
            <w:div w:id="1124929808">
              <w:marLeft w:val="0"/>
              <w:marRight w:val="0"/>
              <w:marTop w:val="0"/>
              <w:marBottom w:val="0"/>
              <w:divBdr>
                <w:top w:val="none" w:sz="0" w:space="0" w:color="auto"/>
                <w:left w:val="none" w:sz="0" w:space="0" w:color="auto"/>
                <w:bottom w:val="none" w:sz="0" w:space="0" w:color="auto"/>
                <w:right w:val="none" w:sz="0" w:space="0" w:color="auto"/>
              </w:divBdr>
            </w:div>
            <w:div w:id="1868062602">
              <w:marLeft w:val="0"/>
              <w:marRight w:val="0"/>
              <w:marTop w:val="0"/>
              <w:marBottom w:val="0"/>
              <w:divBdr>
                <w:top w:val="none" w:sz="0" w:space="0" w:color="auto"/>
                <w:left w:val="none" w:sz="0" w:space="0" w:color="auto"/>
                <w:bottom w:val="none" w:sz="0" w:space="0" w:color="auto"/>
                <w:right w:val="none" w:sz="0" w:space="0" w:color="auto"/>
              </w:divBdr>
            </w:div>
            <w:div w:id="1927837310">
              <w:marLeft w:val="0"/>
              <w:marRight w:val="0"/>
              <w:marTop w:val="0"/>
              <w:marBottom w:val="0"/>
              <w:divBdr>
                <w:top w:val="none" w:sz="0" w:space="0" w:color="auto"/>
                <w:left w:val="none" w:sz="0" w:space="0" w:color="auto"/>
                <w:bottom w:val="none" w:sz="0" w:space="0" w:color="auto"/>
                <w:right w:val="none" w:sz="0" w:space="0" w:color="auto"/>
              </w:divBdr>
            </w:div>
          </w:divsChild>
        </w:div>
        <w:div w:id="657997021">
          <w:marLeft w:val="0"/>
          <w:marRight w:val="0"/>
          <w:marTop w:val="0"/>
          <w:marBottom w:val="0"/>
          <w:divBdr>
            <w:top w:val="none" w:sz="0" w:space="0" w:color="auto"/>
            <w:left w:val="none" w:sz="0" w:space="0" w:color="auto"/>
            <w:bottom w:val="none" w:sz="0" w:space="0" w:color="auto"/>
            <w:right w:val="none" w:sz="0" w:space="0" w:color="auto"/>
          </w:divBdr>
          <w:divsChild>
            <w:div w:id="851260244">
              <w:marLeft w:val="0"/>
              <w:marRight w:val="0"/>
              <w:marTop w:val="0"/>
              <w:marBottom w:val="0"/>
              <w:divBdr>
                <w:top w:val="none" w:sz="0" w:space="0" w:color="auto"/>
                <w:left w:val="none" w:sz="0" w:space="0" w:color="auto"/>
                <w:bottom w:val="none" w:sz="0" w:space="0" w:color="auto"/>
                <w:right w:val="none" w:sz="0" w:space="0" w:color="auto"/>
              </w:divBdr>
            </w:div>
          </w:divsChild>
        </w:div>
        <w:div w:id="676883331">
          <w:marLeft w:val="0"/>
          <w:marRight w:val="0"/>
          <w:marTop w:val="0"/>
          <w:marBottom w:val="0"/>
          <w:divBdr>
            <w:top w:val="none" w:sz="0" w:space="0" w:color="auto"/>
            <w:left w:val="none" w:sz="0" w:space="0" w:color="auto"/>
            <w:bottom w:val="none" w:sz="0" w:space="0" w:color="auto"/>
            <w:right w:val="none" w:sz="0" w:space="0" w:color="auto"/>
          </w:divBdr>
          <w:divsChild>
            <w:div w:id="189995248">
              <w:marLeft w:val="0"/>
              <w:marRight w:val="0"/>
              <w:marTop w:val="0"/>
              <w:marBottom w:val="0"/>
              <w:divBdr>
                <w:top w:val="none" w:sz="0" w:space="0" w:color="auto"/>
                <w:left w:val="none" w:sz="0" w:space="0" w:color="auto"/>
                <w:bottom w:val="none" w:sz="0" w:space="0" w:color="auto"/>
                <w:right w:val="none" w:sz="0" w:space="0" w:color="auto"/>
              </w:divBdr>
            </w:div>
            <w:div w:id="1044868595">
              <w:marLeft w:val="0"/>
              <w:marRight w:val="0"/>
              <w:marTop w:val="0"/>
              <w:marBottom w:val="0"/>
              <w:divBdr>
                <w:top w:val="none" w:sz="0" w:space="0" w:color="auto"/>
                <w:left w:val="none" w:sz="0" w:space="0" w:color="auto"/>
                <w:bottom w:val="none" w:sz="0" w:space="0" w:color="auto"/>
                <w:right w:val="none" w:sz="0" w:space="0" w:color="auto"/>
              </w:divBdr>
            </w:div>
          </w:divsChild>
        </w:div>
        <w:div w:id="686447634">
          <w:marLeft w:val="0"/>
          <w:marRight w:val="0"/>
          <w:marTop w:val="0"/>
          <w:marBottom w:val="0"/>
          <w:divBdr>
            <w:top w:val="none" w:sz="0" w:space="0" w:color="auto"/>
            <w:left w:val="none" w:sz="0" w:space="0" w:color="auto"/>
            <w:bottom w:val="none" w:sz="0" w:space="0" w:color="auto"/>
            <w:right w:val="none" w:sz="0" w:space="0" w:color="auto"/>
          </w:divBdr>
          <w:divsChild>
            <w:div w:id="955215592">
              <w:marLeft w:val="0"/>
              <w:marRight w:val="0"/>
              <w:marTop w:val="0"/>
              <w:marBottom w:val="0"/>
              <w:divBdr>
                <w:top w:val="none" w:sz="0" w:space="0" w:color="auto"/>
                <w:left w:val="none" w:sz="0" w:space="0" w:color="auto"/>
                <w:bottom w:val="none" w:sz="0" w:space="0" w:color="auto"/>
                <w:right w:val="none" w:sz="0" w:space="0" w:color="auto"/>
              </w:divBdr>
            </w:div>
            <w:div w:id="1855874606">
              <w:marLeft w:val="0"/>
              <w:marRight w:val="0"/>
              <w:marTop w:val="0"/>
              <w:marBottom w:val="0"/>
              <w:divBdr>
                <w:top w:val="none" w:sz="0" w:space="0" w:color="auto"/>
                <w:left w:val="none" w:sz="0" w:space="0" w:color="auto"/>
                <w:bottom w:val="none" w:sz="0" w:space="0" w:color="auto"/>
                <w:right w:val="none" w:sz="0" w:space="0" w:color="auto"/>
              </w:divBdr>
            </w:div>
          </w:divsChild>
        </w:div>
        <w:div w:id="690255033">
          <w:marLeft w:val="0"/>
          <w:marRight w:val="0"/>
          <w:marTop w:val="0"/>
          <w:marBottom w:val="0"/>
          <w:divBdr>
            <w:top w:val="none" w:sz="0" w:space="0" w:color="auto"/>
            <w:left w:val="none" w:sz="0" w:space="0" w:color="auto"/>
            <w:bottom w:val="none" w:sz="0" w:space="0" w:color="auto"/>
            <w:right w:val="none" w:sz="0" w:space="0" w:color="auto"/>
          </w:divBdr>
          <w:divsChild>
            <w:div w:id="189490898">
              <w:marLeft w:val="0"/>
              <w:marRight w:val="0"/>
              <w:marTop w:val="0"/>
              <w:marBottom w:val="0"/>
              <w:divBdr>
                <w:top w:val="none" w:sz="0" w:space="0" w:color="auto"/>
                <w:left w:val="none" w:sz="0" w:space="0" w:color="auto"/>
                <w:bottom w:val="none" w:sz="0" w:space="0" w:color="auto"/>
                <w:right w:val="none" w:sz="0" w:space="0" w:color="auto"/>
              </w:divBdr>
            </w:div>
            <w:div w:id="963536950">
              <w:marLeft w:val="0"/>
              <w:marRight w:val="0"/>
              <w:marTop w:val="0"/>
              <w:marBottom w:val="0"/>
              <w:divBdr>
                <w:top w:val="none" w:sz="0" w:space="0" w:color="auto"/>
                <w:left w:val="none" w:sz="0" w:space="0" w:color="auto"/>
                <w:bottom w:val="none" w:sz="0" w:space="0" w:color="auto"/>
                <w:right w:val="none" w:sz="0" w:space="0" w:color="auto"/>
              </w:divBdr>
            </w:div>
            <w:div w:id="1677687194">
              <w:marLeft w:val="0"/>
              <w:marRight w:val="0"/>
              <w:marTop w:val="0"/>
              <w:marBottom w:val="0"/>
              <w:divBdr>
                <w:top w:val="none" w:sz="0" w:space="0" w:color="auto"/>
                <w:left w:val="none" w:sz="0" w:space="0" w:color="auto"/>
                <w:bottom w:val="none" w:sz="0" w:space="0" w:color="auto"/>
                <w:right w:val="none" w:sz="0" w:space="0" w:color="auto"/>
              </w:divBdr>
            </w:div>
          </w:divsChild>
        </w:div>
        <w:div w:id="743643338">
          <w:marLeft w:val="0"/>
          <w:marRight w:val="0"/>
          <w:marTop w:val="0"/>
          <w:marBottom w:val="0"/>
          <w:divBdr>
            <w:top w:val="none" w:sz="0" w:space="0" w:color="auto"/>
            <w:left w:val="none" w:sz="0" w:space="0" w:color="auto"/>
            <w:bottom w:val="none" w:sz="0" w:space="0" w:color="auto"/>
            <w:right w:val="none" w:sz="0" w:space="0" w:color="auto"/>
          </w:divBdr>
          <w:divsChild>
            <w:div w:id="1058432061">
              <w:marLeft w:val="0"/>
              <w:marRight w:val="0"/>
              <w:marTop w:val="0"/>
              <w:marBottom w:val="0"/>
              <w:divBdr>
                <w:top w:val="none" w:sz="0" w:space="0" w:color="auto"/>
                <w:left w:val="none" w:sz="0" w:space="0" w:color="auto"/>
                <w:bottom w:val="none" w:sz="0" w:space="0" w:color="auto"/>
                <w:right w:val="none" w:sz="0" w:space="0" w:color="auto"/>
              </w:divBdr>
            </w:div>
          </w:divsChild>
        </w:div>
        <w:div w:id="744642605">
          <w:marLeft w:val="0"/>
          <w:marRight w:val="0"/>
          <w:marTop w:val="0"/>
          <w:marBottom w:val="0"/>
          <w:divBdr>
            <w:top w:val="none" w:sz="0" w:space="0" w:color="auto"/>
            <w:left w:val="none" w:sz="0" w:space="0" w:color="auto"/>
            <w:bottom w:val="none" w:sz="0" w:space="0" w:color="auto"/>
            <w:right w:val="none" w:sz="0" w:space="0" w:color="auto"/>
          </w:divBdr>
          <w:divsChild>
            <w:div w:id="1850096789">
              <w:marLeft w:val="0"/>
              <w:marRight w:val="0"/>
              <w:marTop w:val="0"/>
              <w:marBottom w:val="0"/>
              <w:divBdr>
                <w:top w:val="none" w:sz="0" w:space="0" w:color="auto"/>
                <w:left w:val="none" w:sz="0" w:space="0" w:color="auto"/>
                <w:bottom w:val="none" w:sz="0" w:space="0" w:color="auto"/>
                <w:right w:val="none" w:sz="0" w:space="0" w:color="auto"/>
              </w:divBdr>
            </w:div>
          </w:divsChild>
        </w:div>
        <w:div w:id="825896055">
          <w:marLeft w:val="0"/>
          <w:marRight w:val="0"/>
          <w:marTop w:val="0"/>
          <w:marBottom w:val="0"/>
          <w:divBdr>
            <w:top w:val="none" w:sz="0" w:space="0" w:color="auto"/>
            <w:left w:val="none" w:sz="0" w:space="0" w:color="auto"/>
            <w:bottom w:val="none" w:sz="0" w:space="0" w:color="auto"/>
            <w:right w:val="none" w:sz="0" w:space="0" w:color="auto"/>
          </w:divBdr>
          <w:divsChild>
            <w:div w:id="1373535165">
              <w:marLeft w:val="0"/>
              <w:marRight w:val="0"/>
              <w:marTop w:val="0"/>
              <w:marBottom w:val="0"/>
              <w:divBdr>
                <w:top w:val="none" w:sz="0" w:space="0" w:color="auto"/>
                <w:left w:val="none" w:sz="0" w:space="0" w:color="auto"/>
                <w:bottom w:val="none" w:sz="0" w:space="0" w:color="auto"/>
                <w:right w:val="none" w:sz="0" w:space="0" w:color="auto"/>
              </w:divBdr>
            </w:div>
          </w:divsChild>
        </w:div>
        <w:div w:id="833838869">
          <w:marLeft w:val="0"/>
          <w:marRight w:val="0"/>
          <w:marTop w:val="0"/>
          <w:marBottom w:val="0"/>
          <w:divBdr>
            <w:top w:val="none" w:sz="0" w:space="0" w:color="auto"/>
            <w:left w:val="none" w:sz="0" w:space="0" w:color="auto"/>
            <w:bottom w:val="none" w:sz="0" w:space="0" w:color="auto"/>
            <w:right w:val="none" w:sz="0" w:space="0" w:color="auto"/>
          </w:divBdr>
          <w:divsChild>
            <w:div w:id="302390862">
              <w:marLeft w:val="0"/>
              <w:marRight w:val="0"/>
              <w:marTop w:val="0"/>
              <w:marBottom w:val="0"/>
              <w:divBdr>
                <w:top w:val="none" w:sz="0" w:space="0" w:color="auto"/>
                <w:left w:val="none" w:sz="0" w:space="0" w:color="auto"/>
                <w:bottom w:val="none" w:sz="0" w:space="0" w:color="auto"/>
                <w:right w:val="none" w:sz="0" w:space="0" w:color="auto"/>
              </w:divBdr>
            </w:div>
            <w:div w:id="1690060078">
              <w:marLeft w:val="0"/>
              <w:marRight w:val="0"/>
              <w:marTop w:val="0"/>
              <w:marBottom w:val="0"/>
              <w:divBdr>
                <w:top w:val="none" w:sz="0" w:space="0" w:color="auto"/>
                <w:left w:val="none" w:sz="0" w:space="0" w:color="auto"/>
                <w:bottom w:val="none" w:sz="0" w:space="0" w:color="auto"/>
                <w:right w:val="none" w:sz="0" w:space="0" w:color="auto"/>
              </w:divBdr>
            </w:div>
            <w:div w:id="2029721030">
              <w:marLeft w:val="0"/>
              <w:marRight w:val="0"/>
              <w:marTop w:val="0"/>
              <w:marBottom w:val="0"/>
              <w:divBdr>
                <w:top w:val="none" w:sz="0" w:space="0" w:color="auto"/>
                <w:left w:val="none" w:sz="0" w:space="0" w:color="auto"/>
                <w:bottom w:val="none" w:sz="0" w:space="0" w:color="auto"/>
                <w:right w:val="none" w:sz="0" w:space="0" w:color="auto"/>
              </w:divBdr>
            </w:div>
          </w:divsChild>
        </w:div>
        <w:div w:id="867450370">
          <w:marLeft w:val="0"/>
          <w:marRight w:val="0"/>
          <w:marTop w:val="0"/>
          <w:marBottom w:val="0"/>
          <w:divBdr>
            <w:top w:val="none" w:sz="0" w:space="0" w:color="auto"/>
            <w:left w:val="none" w:sz="0" w:space="0" w:color="auto"/>
            <w:bottom w:val="none" w:sz="0" w:space="0" w:color="auto"/>
            <w:right w:val="none" w:sz="0" w:space="0" w:color="auto"/>
          </w:divBdr>
          <w:divsChild>
            <w:div w:id="367724632">
              <w:marLeft w:val="0"/>
              <w:marRight w:val="0"/>
              <w:marTop w:val="0"/>
              <w:marBottom w:val="0"/>
              <w:divBdr>
                <w:top w:val="none" w:sz="0" w:space="0" w:color="auto"/>
                <w:left w:val="none" w:sz="0" w:space="0" w:color="auto"/>
                <w:bottom w:val="none" w:sz="0" w:space="0" w:color="auto"/>
                <w:right w:val="none" w:sz="0" w:space="0" w:color="auto"/>
              </w:divBdr>
            </w:div>
          </w:divsChild>
        </w:div>
        <w:div w:id="887497621">
          <w:marLeft w:val="0"/>
          <w:marRight w:val="0"/>
          <w:marTop w:val="0"/>
          <w:marBottom w:val="0"/>
          <w:divBdr>
            <w:top w:val="none" w:sz="0" w:space="0" w:color="auto"/>
            <w:left w:val="none" w:sz="0" w:space="0" w:color="auto"/>
            <w:bottom w:val="none" w:sz="0" w:space="0" w:color="auto"/>
            <w:right w:val="none" w:sz="0" w:space="0" w:color="auto"/>
          </w:divBdr>
          <w:divsChild>
            <w:div w:id="689648532">
              <w:marLeft w:val="0"/>
              <w:marRight w:val="0"/>
              <w:marTop w:val="0"/>
              <w:marBottom w:val="0"/>
              <w:divBdr>
                <w:top w:val="none" w:sz="0" w:space="0" w:color="auto"/>
                <w:left w:val="none" w:sz="0" w:space="0" w:color="auto"/>
                <w:bottom w:val="none" w:sz="0" w:space="0" w:color="auto"/>
                <w:right w:val="none" w:sz="0" w:space="0" w:color="auto"/>
              </w:divBdr>
            </w:div>
            <w:div w:id="1335180237">
              <w:marLeft w:val="0"/>
              <w:marRight w:val="0"/>
              <w:marTop w:val="0"/>
              <w:marBottom w:val="0"/>
              <w:divBdr>
                <w:top w:val="none" w:sz="0" w:space="0" w:color="auto"/>
                <w:left w:val="none" w:sz="0" w:space="0" w:color="auto"/>
                <w:bottom w:val="none" w:sz="0" w:space="0" w:color="auto"/>
                <w:right w:val="none" w:sz="0" w:space="0" w:color="auto"/>
              </w:divBdr>
            </w:div>
          </w:divsChild>
        </w:div>
        <w:div w:id="900092404">
          <w:marLeft w:val="0"/>
          <w:marRight w:val="0"/>
          <w:marTop w:val="0"/>
          <w:marBottom w:val="0"/>
          <w:divBdr>
            <w:top w:val="none" w:sz="0" w:space="0" w:color="auto"/>
            <w:left w:val="none" w:sz="0" w:space="0" w:color="auto"/>
            <w:bottom w:val="none" w:sz="0" w:space="0" w:color="auto"/>
            <w:right w:val="none" w:sz="0" w:space="0" w:color="auto"/>
          </w:divBdr>
          <w:divsChild>
            <w:div w:id="285628615">
              <w:marLeft w:val="0"/>
              <w:marRight w:val="0"/>
              <w:marTop w:val="0"/>
              <w:marBottom w:val="0"/>
              <w:divBdr>
                <w:top w:val="none" w:sz="0" w:space="0" w:color="auto"/>
                <w:left w:val="none" w:sz="0" w:space="0" w:color="auto"/>
                <w:bottom w:val="none" w:sz="0" w:space="0" w:color="auto"/>
                <w:right w:val="none" w:sz="0" w:space="0" w:color="auto"/>
              </w:divBdr>
            </w:div>
            <w:div w:id="1287733213">
              <w:marLeft w:val="0"/>
              <w:marRight w:val="0"/>
              <w:marTop w:val="0"/>
              <w:marBottom w:val="0"/>
              <w:divBdr>
                <w:top w:val="none" w:sz="0" w:space="0" w:color="auto"/>
                <w:left w:val="none" w:sz="0" w:space="0" w:color="auto"/>
                <w:bottom w:val="none" w:sz="0" w:space="0" w:color="auto"/>
                <w:right w:val="none" w:sz="0" w:space="0" w:color="auto"/>
              </w:divBdr>
            </w:div>
            <w:div w:id="1816755373">
              <w:marLeft w:val="0"/>
              <w:marRight w:val="0"/>
              <w:marTop w:val="0"/>
              <w:marBottom w:val="0"/>
              <w:divBdr>
                <w:top w:val="none" w:sz="0" w:space="0" w:color="auto"/>
                <w:left w:val="none" w:sz="0" w:space="0" w:color="auto"/>
                <w:bottom w:val="none" w:sz="0" w:space="0" w:color="auto"/>
                <w:right w:val="none" w:sz="0" w:space="0" w:color="auto"/>
              </w:divBdr>
            </w:div>
          </w:divsChild>
        </w:div>
        <w:div w:id="900794300">
          <w:marLeft w:val="0"/>
          <w:marRight w:val="0"/>
          <w:marTop w:val="0"/>
          <w:marBottom w:val="0"/>
          <w:divBdr>
            <w:top w:val="none" w:sz="0" w:space="0" w:color="auto"/>
            <w:left w:val="none" w:sz="0" w:space="0" w:color="auto"/>
            <w:bottom w:val="none" w:sz="0" w:space="0" w:color="auto"/>
            <w:right w:val="none" w:sz="0" w:space="0" w:color="auto"/>
          </w:divBdr>
          <w:divsChild>
            <w:div w:id="733741424">
              <w:marLeft w:val="0"/>
              <w:marRight w:val="0"/>
              <w:marTop w:val="0"/>
              <w:marBottom w:val="0"/>
              <w:divBdr>
                <w:top w:val="none" w:sz="0" w:space="0" w:color="auto"/>
                <w:left w:val="none" w:sz="0" w:space="0" w:color="auto"/>
                <w:bottom w:val="none" w:sz="0" w:space="0" w:color="auto"/>
                <w:right w:val="none" w:sz="0" w:space="0" w:color="auto"/>
              </w:divBdr>
            </w:div>
            <w:div w:id="1033926340">
              <w:marLeft w:val="0"/>
              <w:marRight w:val="0"/>
              <w:marTop w:val="0"/>
              <w:marBottom w:val="0"/>
              <w:divBdr>
                <w:top w:val="none" w:sz="0" w:space="0" w:color="auto"/>
                <w:left w:val="none" w:sz="0" w:space="0" w:color="auto"/>
                <w:bottom w:val="none" w:sz="0" w:space="0" w:color="auto"/>
                <w:right w:val="none" w:sz="0" w:space="0" w:color="auto"/>
              </w:divBdr>
            </w:div>
            <w:div w:id="1520316814">
              <w:marLeft w:val="0"/>
              <w:marRight w:val="0"/>
              <w:marTop w:val="0"/>
              <w:marBottom w:val="0"/>
              <w:divBdr>
                <w:top w:val="none" w:sz="0" w:space="0" w:color="auto"/>
                <w:left w:val="none" w:sz="0" w:space="0" w:color="auto"/>
                <w:bottom w:val="none" w:sz="0" w:space="0" w:color="auto"/>
                <w:right w:val="none" w:sz="0" w:space="0" w:color="auto"/>
              </w:divBdr>
            </w:div>
            <w:div w:id="2001956137">
              <w:marLeft w:val="0"/>
              <w:marRight w:val="0"/>
              <w:marTop w:val="0"/>
              <w:marBottom w:val="0"/>
              <w:divBdr>
                <w:top w:val="none" w:sz="0" w:space="0" w:color="auto"/>
                <w:left w:val="none" w:sz="0" w:space="0" w:color="auto"/>
                <w:bottom w:val="none" w:sz="0" w:space="0" w:color="auto"/>
                <w:right w:val="none" w:sz="0" w:space="0" w:color="auto"/>
              </w:divBdr>
            </w:div>
          </w:divsChild>
        </w:div>
        <w:div w:id="912004061">
          <w:marLeft w:val="0"/>
          <w:marRight w:val="0"/>
          <w:marTop w:val="0"/>
          <w:marBottom w:val="0"/>
          <w:divBdr>
            <w:top w:val="none" w:sz="0" w:space="0" w:color="auto"/>
            <w:left w:val="none" w:sz="0" w:space="0" w:color="auto"/>
            <w:bottom w:val="none" w:sz="0" w:space="0" w:color="auto"/>
            <w:right w:val="none" w:sz="0" w:space="0" w:color="auto"/>
          </w:divBdr>
          <w:divsChild>
            <w:div w:id="1149133565">
              <w:marLeft w:val="0"/>
              <w:marRight w:val="0"/>
              <w:marTop w:val="0"/>
              <w:marBottom w:val="0"/>
              <w:divBdr>
                <w:top w:val="none" w:sz="0" w:space="0" w:color="auto"/>
                <w:left w:val="none" w:sz="0" w:space="0" w:color="auto"/>
                <w:bottom w:val="none" w:sz="0" w:space="0" w:color="auto"/>
                <w:right w:val="none" w:sz="0" w:space="0" w:color="auto"/>
              </w:divBdr>
            </w:div>
          </w:divsChild>
        </w:div>
        <w:div w:id="920138358">
          <w:marLeft w:val="0"/>
          <w:marRight w:val="0"/>
          <w:marTop w:val="0"/>
          <w:marBottom w:val="0"/>
          <w:divBdr>
            <w:top w:val="none" w:sz="0" w:space="0" w:color="auto"/>
            <w:left w:val="none" w:sz="0" w:space="0" w:color="auto"/>
            <w:bottom w:val="none" w:sz="0" w:space="0" w:color="auto"/>
            <w:right w:val="none" w:sz="0" w:space="0" w:color="auto"/>
          </w:divBdr>
          <w:divsChild>
            <w:div w:id="1822382785">
              <w:marLeft w:val="0"/>
              <w:marRight w:val="0"/>
              <w:marTop w:val="0"/>
              <w:marBottom w:val="0"/>
              <w:divBdr>
                <w:top w:val="none" w:sz="0" w:space="0" w:color="auto"/>
                <w:left w:val="none" w:sz="0" w:space="0" w:color="auto"/>
                <w:bottom w:val="none" w:sz="0" w:space="0" w:color="auto"/>
                <w:right w:val="none" w:sz="0" w:space="0" w:color="auto"/>
              </w:divBdr>
            </w:div>
          </w:divsChild>
        </w:div>
        <w:div w:id="921765957">
          <w:marLeft w:val="0"/>
          <w:marRight w:val="0"/>
          <w:marTop w:val="0"/>
          <w:marBottom w:val="0"/>
          <w:divBdr>
            <w:top w:val="none" w:sz="0" w:space="0" w:color="auto"/>
            <w:left w:val="none" w:sz="0" w:space="0" w:color="auto"/>
            <w:bottom w:val="none" w:sz="0" w:space="0" w:color="auto"/>
            <w:right w:val="none" w:sz="0" w:space="0" w:color="auto"/>
          </w:divBdr>
          <w:divsChild>
            <w:div w:id="965308438">
              <w:marLeft w:val="0"/>
              <w:marRight w:val="0"/>
              <w:marTop w:val="0"/>
              <w:marBottom w:val="0"/>
              <w:divBdr>
                <w:top w:val="none" w:sz="0" w:space="0" w:color="auto"/>
                <w:left w:val="none" w:sz="0" w:space="0" w:color="auto"/>
                <w:bottom w:val="none" w:sz="0" w:space="0" w:color="auto"/>
                <w:right w:val="none" w:sz="0" w:space="0" w:color="auto"/>
              </w:divBdr>
            </w:div>
            <w:div w:id="967778405">
              <w:marLeft w:val="0"/>
              <w:marRight w:val="0"/>
              <w:marTop w:val="0"/>
              <w:marBottom w:val="0"/>
              <w:divBdr>
                <w:top w:val="none" w:sz="0" w:space="0" w:color="auto"/>
                <w:left w:val="none" w:sz="0" w:space="0" w:color="auto"/>
                <w:bottom w:val="none" w:sz="0" w:space="0" w:color="auto"/>
                <w:right w:val="none" w:sz="0" w:space="0" w:color="auto"/>
              </w:divBdr>
            </w:div>
            <w:div w:id="1675761380">
              <w:marLeft w:val="0"/>
              <w:marRight w:val="0"/>
              <w:marTop w:val="0"/>
              <w:marBottom w:val="0"/>
              <w:divBdr>
                <w:top w:val="none" w:sz="0" w:space="0" w:color="auto"/>
                <w:left w:val="none" w:sz="0" w:space="0" w:color="auto"/>
                <w:bottom w:val="none" w:sz="0" w:space="0" w:color="auto"/>
                <w:right w:val="none" w:sz="0" w:space="0" w:color="auto"/>
              </w:divBdr>
            </w:div>
          </w:divsChild>
        </w:div>
        <w:div w:id="924609575">
          <w:marLeft w:val="0"/>
          <w:marRight w:val="0"/>
          <w:marTop w:val="0"/>
          <w:marBottom w:val="0"/>
          <w:divBdr>
            <w:top w:val="none" w:sz="0" w:space="0" w:color="auto"/>
            <w:left w:val="none" w:sz="0" w:space="0" w:color="auto"/>
            <w:bottom w:val="none" w:sz="0" w:space="0" w:color="auto"/>
            <w:right w:val="none" w:sz="0" w:space="0" w:color="auto"/>
          </w:divBdr>
          <w:divsChild>
            <w:div w:id="1411150445">
              <w:marLeft w:val="0"/>
              <w:marRight w:val="0"/>
              <w:marTop w:val="0"/>
              <w:marBottom w:val="0"/>
              <w:divBdr>
                <w:top w:val="none" w:sz="0" w:space="0" w:color="auto"/>
                <w:left w:val="none" w:sz="0" w:space="0" w:color="auto"/>
                <w:bottom w:val="none" w:sz="0" w:space="0" w:color="auto"/>
                <w:right w:val="none" w:sz="0" w:space="0" w:color="auto"/>
              </w:divBdr>
            </w:div>
            <w:div w:id="1687438919">
              <w:marLeft w:val="0"/>
              <w:marRight w:val="0"/>
              <w:marTop w:val="0"/>
              <w:marBottom w:val="0"/>
              <w:divBdr>
                <w:top w:val="none" w:sz="0" w:space="0" w:color="auto"/>
                <w:left w:val="none" w:sz="0" w:space="0" w:color="auto"/>
                <w:bottom w:val="none" w:sz="0" w:space="0" w:color="auto"/>
                <w:right w:val="none" w:sz="0" w:space="0" w:color="auto"/>
              </w:divBdr>
            </w:div>
          </w:divsChild>
        </w:div>
        <w:div w:id="938872566">
          <w:marLeft w:val="0"/>
          <w:marRight w:val="0"/>
          <w:marTop w:val="0"/>
          <w:marBottom w:val="0"/>
          <w:divBdr>
            <w:top w:val="none" w:sz="0" w:space="0" w:color="auto"/>
            <w:left w:val="none" w:sz="0" w:space="0" w:color="auto"/>
            <w:bottom w:val="none" w:sz="0" w:space="0" w:color="auto"/>
            <w:right w:val="none" w:sz="0" w:space="0" w:color="auto"/>
          </w:divBdr>
          <w:divsChild>
            <w:div w:id="707754622">
              <w:marLeft w:val="0"/>
              <w:marRight w:val="0"/>
              <w:marTop w:val="0"/>
              <w:marBottom w:val="0"/>
              <w:divBdr>
                <w:top w:val="none" w:sz="0" w:space="0" w:color="auto"/>
                <w:left w:val="none" w:sz="0" w:space="0" w:color="auto"/>
                <w:bottom w:val="none" w:sz="0" w:space="0" w:color="auto"/>
                <w:right w:val="none" w:sz="0" w:space="0" w:color="auto"/>
              </w:divBdr>
            </w:div>
            <w:div w:id="1109349568">
              <w:marLeft w:val="0"/>
              <w:marRight w:val="0"/>
              <w:marTop w:val="0"/>
              <w:marBottom w:val="0"/>
              <w:divBdr>
                <w:top w:val="none" w:sz="0" w:space="0" w:color="auto"/>
                <w:left w:val="none" w:sz="0" w:space="0" w:color="auto"/>
                <w:bottom w:val="none" w:sz="0" w:space="0" w:color="auto"/>
                <w:right w:val="none" w:sz="0" w:space="0" w:color="auto"/>
              </w:divBdr>
            </w:div>
            <w:div w:id="1593396851">
              <w:marLeft w:val="0"/>
              <w:marRight w:val="0"/>
              <w:marTop w:val="0"/>
              <w:marBottom w:val="0"/>
              <w:divBdr>
                <w:top w:val="none" w:sz="0" w:space="0" w:color="auto"/>
                <w:left w:val="none" w:sz="0" w:space="0" w:color="auto"/>
                <w:bottom w:val="none" w:sz="0" w:space="0" w:color="auto"/>
                <w:right w:val="none" w:sz="0" w:space="0" w:color="auto"/>
              </w:divBdr>
            </w:div>
            <w:div w:id="1908221769">
              <w:marLeft w:val="0"/>
              <w:marRight w:val="0"/>
              <w:marTop w:val="0"/>
              <w:marBottom w:val="0"/>
              <w:divBdr>
                <w:top w:val="none" w:sz="0" w:space="0" w:color="auto"/>
                <w:left w:val="none" w:sz="0" w:space="0" w:color="auto"/>
                <w:bottom w:val="none" w:sz="0" w:space="0" w:color="auto"/>
                <w:right w:val="none" w:sz="0" w:space="0" w:color="auto"/>
              </w:divBdr>
            </w:div>
          </w:divsChild>
        </w:div>
        <w:div w:id="940718682">
          <w:marLeft w:val="0"/>
          <w:marRight w:val="0"/>
          <w:marTop w:val="0"/>
          <w:marBottom w:val="0"/>
          <w:divBdr>
            <w:top w:val="none" w:sz="0" w:space="0" w:color="auto"/>
            <w:left w:val="none" w:sz="0" w:space="0" w:color="auto"/>
            <w:bottom w:val="none" w:sz="0" w:space="0" w:color="auto"/>
            <w:right w:val="none" w:sz="0" w:space="0" w:color="auto"/>
          </w:divBdr>
          <w:divsChild>
            <w:div w:id="258569275">
              <w:marLeft w:val="0"/>
              <w:marRight w:val="0"/>
              <w:marTop w:val="0"/>
              <w:marBottom w:val="0"/>
              <w:divBdr>
                <w:top w:val="none" w:sz="0" w:space="0" w:color="auto"/>
                <w:left w:val="none" w:sz="0" w:space="0" w:color="auto"/>
                <w:bottom w:val="none" w:sz="0" w:space="0" w:color="auto"/>
                <w:right w:val="none" w:sz="0" w:space="0" w:color="auto"/>
              </w:divBdr>
            </w:div>
          </w:divsChild>
        </w:div>
        <w:div w:id="942416336">
          <w:marLeft w:val="0"/>
          <w:marRight w:val="0"/>
          <w:marTop w:val="0"/>
          <w:marBottom w:val="0"/>
          <w:divBdr>
            <w:top w:val="none" w:sz="0" w:space="0" w:color="auto"/>
            <w:left w:val="none" w:sz="0" w:space="0" w:color="auto"/>
            <w:bottom w:val="none" w:sz="0" w:space="0" w:color="auto"/>
            <w:right w:val="none" w:sz="0" w:space="0" w:color="auto"/>
          </w:divBdr>
          <w:divsChild>
            <w:div w:id="379213358">
              <w:marLeft w:val="0"/>
              <w:marRight w:val="0"/>
              <w:marTop w:val="0"/>
              <w:marBottom w:val="0"/>
              <w:divBdr>
                <w:top w:val="none" w:sz="0" w:space="0" w:color="auto"/>
                <w:left w:val="none" w:sz="0" w:space="0" w:color="auto"/>
                <w:bottom w:val="none" w:sz="0" w:space="0" w:color="auto"/>
                <w:right w:val="none" w:sz="0" w:space="0" w:color="auto"/>
              </w:divBdr>
            </w:div>
            <w:div w:id="762991946">
              <w:marLeft w:val="0"/>
              <w:marRight w:val="0"/>
              <w:marTop w:val="0"/>
              <w:marBottom w:val="0"/>
              <w:divBdr>
                <w:top w:val="none" w:sz="0" w:space="0" w:color="auto"/>
                <w:left w:val="none" w:sz="0" w:space="0" w:color="auto"/>
                <w:bottom w:val="none" w:sz="0" w:space="0" w:color="auto"/>
                <w:right w:val="none" w:sz="0" w:space="0" w:color="auto"/>
              </w:divBdr>
            </w:div>
            <w:div w:id="1309898848">
              <w:marLeft w:val="0"/>
              <w:marRight w:val="0"/>
              <w:marTop w:val="0"/>
              <w:marBottom w:val="0"/>
              <w:divBdr>
                <w:top w:val="none" w:sz="0" w:space="0" w:color="auto"/>
                <w:left w:val="none" w:sz="0" w:space="0" w:color="auto"/>
                <w:bottom w:val="none" w:sz="0" w:space="0" w:color="auto"/>
                <w:right w:val="none" w:sz="0" w:space="0" w:color="auto"/>
              </w:divBdr>
            </w:div>
          </w:divsChild>
        </w:div>
        <w:div w:id="965087926">
          <w:marLeft w:val="0"/>
          <w:marRight w:val="0"/>
          <w:marTop w:val="0"/>
          <w:marBottom w:val="0"/>
          <w:divBdr>
            <w:top w:val="none" w:sz="0" w:space="0" w:color="auto"/>
            <w:left w:val="none" w:sz="0" w:space="0" w:color="auto"/>
            <w:bottom w:val="none" w:sz="0" w:space="0" w:color="auto"/>
            <w:right w:val="none" w:sz="0" w:space="0" w:color="auto"/>
          </w:divBdr>
          <w:divsChild>
            <w:div w:id="136146102">
              <w:marLeft w:val="0"/>
              <w:marRight w:val="0"/>
              <w:marTop w:val="0"/>
              <w:marBottom w:val="0"/>
              <w:divBdr>
                <w:top w:val="none" w:sz="0" w:space="0" w:color="auto"/>
                <w:left w:val="none" w:sz="0" w:space="0" w:color="auto"/>
                <w:bottom w:val="none" w:sz="0" w:space="0" w:color="auto"/>
                <w:right w:val="none" w:sz="0" w:space="0" w:color="auto"/>
              </w:divBdr>
            </w:div>
          </w:divsChild>
        </w:div>
        <w:div w:id="971519304">
          <w:marLeft w:val="0"/>
          <w:marRight w:val="0"/>
          <w:marTop w:val="0"/>
          <w:marBottom w:val="0"/>
          <w:divBdr>
            <w:top w:val="none" w:sz="0" w:space="0" w:color="auto"/>
            <w:left w:val="none" w:sz="0" w:space="0" w:color="auto"/>
            <w:bottom w:val="none" w:sz="0" w:space="0" w:color="auto"/>
            <w:right w:val="none" w:sz="0" w:space="0" w:color="auto"/>
          </w:divBdr>
          <w:divsChild>
            <w:div w:id="1619604085">
              <w:marLeft w:val="0"/>
              <w:marRight w:val="0"/>
              <w:marTop w:val="0"/>
              <w:marBottom w:val="0"/>
              <w:divBdr>
                <w:top w:val="none" w:sz="0" w:space="0" w:color="auto"/>
                <w:left w:val="none" w:sz="0" w:space="0" w:color="auto"/>
                <w:bottom w:val="none" w:sz="0" w:space="0" w:color="auto"/>
                <w:right w:val="none" w:sz="0" w:space="0" w:color="auto"/>
              </w:divBdr>
            </w:div>
          </w:divsChild>
        </w:div>
        <w:div w:id="981033727">
          <w:marLeft w:val="0"/>
          <w:marRight w:val="0"/>
          <w:marTop w:val="0"/>
          <w:marBottom w:val="0"/>
          <w:divBdr>
            <w:top w:val="none" w:sz="0" w:space="0" w:color="auto"/>
            <w:left w:val="none" w:sz="0" w:space="0" w:color="auto"/>
            <w:bottom w:val="none" w:sz="0" w:space="0" w:color="auto"/>
            <w:right w:val="none" w:sz="0" w:space="0" w:color="auto"/>
          </w:divBdr>
          <w:divsChild>
            <w:div w:id="539438141">
              <w:marLeft w:val="0"/>
              <w:marRight w:val="0"/>
              <w:marTop w:val="0"/>
              <w:marBottom w:val="0"/>
              <w:divBdr>
                <w:top w:val="none" w:sz="0" w:space="0" w:color="auto"/>
                <w:left w:val="none" w:sz="0" w:space="0" w:color="auto"/>
                <w:bottom w:val="none" w:sz="0" w:space="0" w:color="auto"/>
                <w:right w:val="none" w:sz="0" w:space="0" w:color="auto"/>
              </w:divBdr>
            </w:div>
            <w:div w:id="1700087991">
              <w:marLeft w:val="0"/>
              <w:marRight w:val="0"/>
              <w:marTop w:val="0"/>
              <w:marBottom w:val="0"/>
              <w:divBdr>
                <w:top w:val="none" w:sz="0" w:space="0" w:color="auto"/>
                <w:left w:val="none" w:sz="0" w:space="0" w:color="auto"/>
                <w:bottom w:val="none" w:sz="0" w:space="0" w:color="auto"/>
                <w:right w:val="none" w:sz="0" w:space="0" w:color="auto"/>
              </w:divBdr>
            </w:div>
          </w:divsChild>
        </w:div>
        <w:div w:id="1008144140">
          <w:marLeft w:val="0"/>
          <w:marRight w:val="0"/>
          <w:marTop w:val="0"/>
          <w:marBottom w:val="0"/>
          <w:divBdr>
            <w:top w:val="none" w:sz="0" w:space="0" w:color="auto"/>
            <w:left w:val="none" w:sz="0" w:space="0" w:color="auto"/>
            <w:bottom w:val="none" w:sz="0" w:space="0" w:color="auto"/>
            <w:right w:val="none" w:sz="0" w:space="0" w:color="auto"/>
          </w:divBdr>
          <w:divsChild>
            <w:div w:id="549923864">
              <w:marLeft w:val="0"/>
              <w:marRight w:val="0"/>
              <w:marTop w:val="0"/>
              <w:marBottom w:val="0"/>
              <w:divBdr>
                <w:top w:val="none" w:sz="0" w:space="0" w:color="auto"/>
                <w:left w:val="none" w:sz="0" w:space="0" w:color="auto"/>
                <w:bottom w:val="none" w:sz="0" w:space="0" w:color="auto"/>
                <w:right w:val="none" w:sz="0" w:space="0" w:color="auto"/>
              </w:divBdr>
            </w:div>
          </w:divsChild>
        </w:div>
        <w:div w:id="1025132393">
          <w:marLeft w:val="0"/>
          <w:marRight w:val="0"/>
          <w:marTop w:val="0"/>
          <w:marBottom w:val="0"/>
          <w:divBdr>
            <w:top w:val="none" w:sz="0" w:space="0" w:color="auto"/>
            <w:left w:val="none" w:sz="0" w:space="0" w:color="auto"/>
            <w:bottom w:val="none" w:sz="0" w:space="0" w:color="auto"/>
            <w:right w:val="none" w:sz="0" w:space="0" w:color="auto"/>
          </w:divBdr>
          <w:divsChild>
            <w:div w:id="2088527617">
              <w:marLeft w:val="0"/>
              <w:marRight w:val="0"/>
              <w:marTop w:val="0"/>
              <w:marBottom w:val="0"/>
              <w:divBdr>
                <w:top w:val="none" w:sz="0" w:space="0" w:color="auto"/>
                <w:left w:val="none" w:sz="0" w:space="0" w:color="auto"/>
                <w:bottom w:val="none" w:sz="0" w:space="0" w:color="auto"/>
                <w:right w:val="none" w:sz="0" w:space="0" w:color="auto"/>
              </w:divBdr>
            </w:div>
          </w:divsChild>
        </w:div>
        <w:div w:id="1027411160">
          <w:marLeft w:val="0"/>
          <w:marRight w:val="0"/>
          <w:marTop w:val="0"/>
          <w:marBottom w:val="0"/>
          <w:divBdr>
            <w:top w:val="none" w:sz="0" w:space="0" w:color="auto"/>
            <w:left w:val="none" w:sz="0" w:space="0" w:color="auto"/>
            <w:bottom w:val="none" w:sz="0" w:space="0" w:color="auto"/>
            <w:right w:val="none" w:sz="0" w:space="0" w:color="auto"/>
          </w:divBdr>
          <w:divsChild>
            <w:div w:id="2046977019">
              <w:marLeft w:val="0"/>
              <w:marRight w:val="0"/>
              <w:marTop w:val="0"/>
              <w:marBottom w:val="0"/>
              <w:divBdr>
                <w:top w:val="none" w:sz="0" w:space="0" w:color="auto"/>
                <w:left w:val="none" w:sz="0" w:space="0" w:color="auto"/>
                <w:bottom w:val="none" w:sz="0" w:space="0" w:color="auto"/>
                <w:right w:val="none" w:sz="0" w:space="0" w:color="auto"/>
              </w:divBdr>
            </w:div>
          </w:divsChild>
        </w:div>
        <w:div w:id="1041855749">
          <w:marLeft w:val="0"/>
          <w:marRight w:val="0"/>
          <w:marTop w:val="0"/>
          <w:marBottom w:val="0"/>
          <w:divBdr>
            <w:top w:val="none" w:sz="0" w:space="0" w:color="auto"/>
            <w:left w:val="none" w:sz="0" w:space="0" w:color="auto"/>
            <w:bottom w:val="none" w:sz="0" w:space="0" w:color="auto"/>
            <w:right w:val="none" w:sz="0" w:space="0" w:color="auto"/>
          </w:divBdr>
          <w:divsChild>
            <w:div w:id="1206943685">
              <w:marLeft w:val="0"/>
              <w:marRight w:val="0"/>
              <w:marTop w:val="0"/>
              <w:marBottom w:val="0"/>
              <w:divBdr>
                <w:top w:val="none" w:sz="0" w:space="0" w:color="auto"/>
                <w:left w:val="none" w:sz="0" w:space="0" w:color="auto"/>
                <w:bottom w:val="none" w:sz="0" w:space="0" w:color="auto"/>
                <w:right w:val="none" w:sz="0" w:space="0" w:color="auto"/>
              </w:divBdr>
            </w:div>
            <w:div w:id="1299720390">
              <w:marLeft w:val="0"/>
              <w:marRight w:val="0"/>
              <w:marTop w:val="0"/>
              <w:marBottom w:val="0"/>
              <w:divBdr>
                <w:top w:val="none" w:sz="0" w:space="0" w:color="auto"/>
                <w:left w:val="none" w:sz="0" w:space="0" w:color="auto"/>
                <w:bottom w:val="none" w:sz="0" w:space="0" w:color="auto"/>
                <w:right w:val="none" w:sz="0" w:space="0" w:color="auto"/>
              </w:divBdr>
            </w:div>
            <w:div w:id="1734113968">
              <w:marLeft w:val="0"/>
              <w:marRight w:val="0"/>
              <w:marTop w:val="0"/>
              <w:marBottom w:val="0"/>
              <w:divBdr>
                <w:top w:val="none" w:sz="0" w:space="0" w:color="auto"/>
                <w:left w:val="none" w:sz="0" w:space="0" w:color="auto"/>
                <w:bottom w:val="none" w:sz="0" w:space="0" w:color="auto"/>
                <w:right w:val="none" w:sz="0" w:space="0" w:color="auto"/>
              </w:divBdr>
            </w:div>
            <w:div w:id="1756320306">
              <w:marLeft w:val="0"/>
              <w:marRight w:val="0"/>
              <w:marTop w:val="0"/>
              <w:marBottom w:val="0"/>
              <w:divBdr>
                <w:top w:val="none" w:sz="0" w:space="0" w:color="auto"/>
                <w:left w:val="none" w:sz="0" w:space="0" w:color="auto"/>
                <w:bottom w:val="none" w:sz="0" w:space="0" w:color="auto"/>
                <w:right w:val="none" w:sz="0" w:space="0" w:color="auto"/>
              </w:divBdr>
            </w:div>
          </w:divsChild>
        </w:div>
        <w:div w:id="1048070966">
          <w:marLeft w:val="0"/>
          <w:marRight w:val="0"/>
          <w:marTop w:val="0"/>
          <w:marBottom w:val="0"/>
          <w:divBdr>
            <w:top w:val="none" w:sz="0" w:space="0" w:color="auto"/>
            <w:left w:val="none" w:sz="0" w:space="0" w:color="auto"/>
            <w:bottom w:val="none" w:sz="0" w:space="0" w:color="auto"/>
            <w:right w:val="none" w:sz="0" w:space="0" w:color="auto"/>
          </w:divBdr>
          <w:divsChild>
            <w:div w:id="234094687">
              <w:marLeft w:val="0"/>
              <w:marRight w:val="0"/>
              <w:marTop w:val="0"/>
              <w:marBottom w:val="0"/>
              <w:divBdr>
                <w:top w:val="none" w:sz="0" w:space="0" w:color="auto"/>
                <w:left w:val="none" w:sz="0" w:space="0" w:color="auto"/>
                <w:bottom w:val="none" w:sz="0" w:space="0" w:color="auto"/>
                <w:right w:val="none" w:sz="0" w:space="0" w:color="auto"/>
              </w:divBdr>
            </w:div>
          </w:divsChild>
        </w:div>
        <w:div w:id="1058432833">
          <w:marLeft w:val="0"/>
          <w:marRight w:val="0"/>
          <w:marTop w:val="0"/>
          <w:marBottom w:val="0"/>
          <w:divBdr>
            <w:top w:val="none" w:sz="0" w:space="0" w:color="auto"/>
            <w:left w:val="none" w:sz="0" w:space="0" w:color="auto"/>
            <w:bottom w:val="none" w:sz="0" w:space="0" w:color="auto"/>
            <w:right w:val="none" w:sz="0" w:space="0" w:color="auto"/>
          </w:divBdr>
          <w:divsChild>
            <w:div w:id="1275407385">
              <w:marLeft w:val="0"/>
              <w:marRight w:val="0"/>
              <w:marTop w:val="0"/>
              <w:marBottom w:val="0"/>
              <w:divBdr>
                <w:top w:val="none" w:sz="0" w:space="0" w:color="auto"/>
                <w:left w:val="none" w:sz="0" w:space="0" w:color="auto"/>
                <w:bottom w:val="none" w:sz="0" w:space="0" w:color="auto"/>
                <w:right w:val="none" w:sz="0" w:space="0" w:color="auto"/>
              </w:divBdr>
            </w:div>
          </w:divsChild>
        </w:div>
        <w:div w:id="1061367126">
          <w:marLeft w:val="0"/>
          <w:marRight w:val="0"/>
          <w:marTop w:val="0"/>
          <w:marBottom w:val="0"/>
          <w:divBdr>
            <w:top w:val="none" w:sz="0" w:space="0" w:color="auto"/>
            <w:left w:val="none" w:sz="0" w:space="0" w:color="auto"/>
            <w:bottom w:val="none" w:sz="0" w:space="0" w:color="auto"/>
            <w:right w:val="none" w:sz="0" w:space="0" w:color="auto"/>
          </w:divBdr>
          <w:divsChild>
            <w:div w:id="1237980486">
              <w:marLeft w:val="0"/>
              <w:marRight w:val="0"/>
              <w:marTop w:val="0"/>
              <w:marBottom w:val="0"/>
              <w:divBdr>
                <w:top w:val="none" w:sz="0" w:space="0" w:color="auto"/>
                <w:left w:val="none" w:sz="0" w:space="0" w:color="auto"/>
                <w:bottom w:val="none" w:sz="0" w:space="0" w:color="auto"/>
                <w:right w:val="none" w:sz="0" w:space="0" w:color="auto"/>
              </w:divBdr>
            </w:div>
            <w:div w:id="1309286308">
              <w:marLeft w:val="0"/>
              <w:marRight w:val="0"/>
              <w:marTop w:val="0"/>
              <w:marBottom w:val="0"/>
              <w:divBdr>
                <w:top w:val="none" w:sz="0" w:space="0" w:color="auto"/>
                <w:left w:val="none" w:sz="0" w:space="0" w:color="auto"/>
                <w:bottom w:val="none" w:sz="0" w:space="0" w:color="auto"/>
                <w:right w:val="none" w:sz="0" w:space="0" w:color="auto"/>
              </w:divBdr>
            </w:div>
            <w:div w:id="1517111230">
              <w:marLeft w:val="0"/>
              <w:marRight w:val="0"/>
              <w:marTop w:val="0"/>
              <w:marBottom w:val="0"/>
              <w:divBdr>
                <w:top w:val="none" w:sz="0" w:space="0" w:color="auto"/>
                <w:left w:val="none" w:sz="0" w:space="0" w:color="auto"/>
                <w:bottom w:val="none" w:sz="0" w:space="0" w:color="auto"/>
                <w:right w:val="none" w:sz="0" w:space="0" w:color="auto"/>
              </w:divBdr>
            </w:div>
            <w:div w:id="1778671221">
              <w:marLeft w:val="0"/>
              <w:marRight w:val="0"/>
              <w:marTop w:val="0"/>
              <w:marBottom w:val="0"/>
              <w:divBdr>
                <w:top w:val="none" w:sz="0" w:space="0" w:color="auto"/>
                <w:left w:val="none" w:sz="0" w:space="0" w:color="auto"/>
                <w:bottom w:val="none" w:sz="0" w:space="0" w:color="auto"/>
                <w:right w:val="none" w:sz="0" w:space="0" w:color="auto"/>
              </w:divBdr>
            </w:div>
            <w:div w:id="1904675003">
              <w:marLeft w:val="0"/>
              <w:marRight w:val="0"/>
              <w:marTop w:val="0"/>
              <w:marBottom w:val="0"/>
              <w:divBdr>
                <w:top w:val="none" w:sz="0" w:space="0" w:color="auto"/>
                <w:left w:val="none" w:sz="0" w:space="0" w:color="auto"/>
                <w:bottom w:val="none" w:sz="0" w:space="0" w:color="auto"/>
                <w:right w:val="none" w:sz="0" w:space="0" w:color="auto"/>
              </w:divBdr>
            </w:div>
          </w:divsChild>
        </w:div>
        <w:div w:id="1132671920">
          <w:marLeft w:val="0"/>
          <w:marRight w:val="0"/>
          <w:marTop w:val="0"/>
          <w:marBottom w:val="0"/>
          <w:divBdr>
            <w:top w:val="none" w:sz="0" w:space="0" w:color="auto"/>
            <w:left w:val="none" w:sz="0" w:space="0" w:color="auto"/>
            <w:bottom w:val="none" w:sz="0" w:space="0" w:color="auto"/>
            <w:right w:val="none" w:sz="0" w:space="0" w:color="auto"/>
          </w:divBdr>
          <w:divsChild>
            <w:div w:id="1436749903">
              <w:marLeft w:val="0"/>
              <w:marRight w:val="0"/>
              <w:marTop w:val="0"/>
              <w:marBottom w:val="0"/>
              <w:divBdr>
                <w:top w:val="none" w:sz="0" w:space="0" w:color="auto"/>
                <w:left w:val="none" w:sz="0" w:space="0" w:color="auto"/>
                <w:bottom w:val="none" w:sz="0" w:space="0" w:color="auto"/>
                <w:right w:val="none" w:sz="0" w:space="0" w:color="auto"/>
              </w:divBdr>
            </w:div>
            <w:div w:id="1459033929">
              <w:marLeft w:val="0"/>
              <w:marRight w:val="0"/>
              <w:marTop w:val="0"/>
              <w:marBottom w:val="0"/>
              <w:divBdr>
                <w:top w:val="none" w:sz="0" w:space="0" w:color="auto"/>
                <w:left w:val="none" w:sz="0" w:space="0" w:color="auto"/>
                <w:bottom w:val="none" w:sz="0" w:space="0" w:color="auto"/>
                <w:right w:val="none" w:sz="0" w:space="0" w:color="auto"/>
              </w:divBdr>
            </w:div>
          </w:divsChild>
        </w:div>
        <w:div w:id="1133133413">
          <w:marLeft w:val="0"/>
          <w:marRight w:val="0"/>
          <w:marTop w:val="0"/>
          <w:marBottom w:val="0"/>
          <w:divBdr>
            <w:top w:val="none" w:sz="0" w:space="0" w:color="auto"/>
            <w:left w:val="none" w:sz="0" w:space="0" w:color="auto"/>
            <w:bottom w:val="none" w:sz="0" w:space="0" w:color="auto"/>
            <w:right w:val="none" w:sz="0" w:space="0" w:color="auto"/>
          </w:divBdr>
          <w:divsChild>
            <w:div w:id="42607639">
              <w:marLeft w:val="0"/>
              <w:marRight w:val="0"/>
              <w:marTop w:val="0"/>
              <w:marBottom w:val="0"/>
              <w:divBdr>
                <w:top w:val="none" w:sz="0" w:space="0" w:color="auto"/>
                <w:left w:val="none" w:sz="0" w:space="0" w:color="auto"/>
                <w:bottom w:val="none" w:sz="0" w:space="0" w:color="auto"/>
                <w:right w:val="none" w:sz="0" w:space="0" w:color="auto"/>
              </w:divBdr>
            </w:div>
            <w:div w:id="364214219">
              <w:marLeft w:val="0"/>
              <w:marRight w:val="0"/>
              <w:marTop w:val="0"/>
              <w:marBottom w:val="0"/>
              <w:divBdr>
                <w:top w:val="none" w:sz="0" w:space="0" w:color="auto"/>
                <w:left w:val="none" w:sz="0" w:space="0" w:color="auto"/>
                <w:bottom w:val="none" w:sz="0" w:space="0" w:color="auto"/>
                <w:right w:val="none" w:sz="0" w:space="0" w:color="auto"/>
              </w:divBdr>
            </w:div>
            <w:div w:id="1296566274">
              <w:marLeft w:val="0"/>
              <w:marRight w:val="0"/>
              <w:marTop w:val="0"/>
              <w:marBottom w:val="0"/>
              <w:divBdr>
                <w:top w:val="none" w:sz="0" w:space="0" w:color="auto"/>
                <w:left w:val="none" w:sz="0" w:space="0" w:color="auto"/>
                <w:bottom w:val="none" w:sz="0" w:space="0" w:color="auto"/>
                <w:right w:val="none" w:sz="0" w:space="0" w:color="auto"/>
              </w:divBdr>
            </w:div>
          </w:divsChild>
        </w:div>
        <w:div w:id="1155756492">
          <w:marLeft w:val="0"/>
          <w:marRight w:val="0"/>
          <w:marTop w:val="0"/>
          <w:marBottom w:val="0"/>
          <w:divBdr>
            <w:top w:val="none" w:sz="0" w:space="0" w:color="auto"/>
            <w:left w:val="none" w:sz="0" w:space="0" w:color="auto"/>
            <w:bottom w:val="none" w:sz="0" w:space="0" w:color="auto"/>
            <w:right w:val="none" w:sz="0" w:space="0" w:color="auto"/>
          </w:divBdr>
          <w:divsChild>
            <w:div w:id="1191532652">
              <w:marLeft w:val="0"/>
              <w:marRight w:val="0"/>
              <w:marTop w:val="0"/>
              <w:marBottom w:val="0"/>
              <w:divBdr>
                <w:top w:val="none" w:sz="0" w:space="0" w:color="auto"/>
                <w:left w:val="none" w:sz="0" w:space="0" w:color="auto"/>
                <w:bottom w:val="none" w:sz="0" w:space="0" w:color="auto"/>
                <w:right w:val="none" w:sz="0" w:space="0" w:color="auto"/>
              </w:divBdr>
            </w:div>
          </w:divsChild>
        </w:div>
        <w:div w:id="1156652294">
          <w:marLeft w:val="0"/>
          <w:marRight w:val="0"/>
          <w:marTop w:val="0"/>
          <w:marBottom w:val="0"/>
          <w:divBdr>
            <w:top w:val="none" w:sz="0" w:space="0" w:color="auto"/>
            <w:left w:val="none" w:sz="0" w:space="0" w:color="auto"/>
            <w:bottom w:val="none" w:sz="0" w:space="0" w:color="auto"/>
            <w:right w:val="none" w:sz="0" w:space="0" w:color="auto"/>
          </w:divBdr>
          <w:divsChild>
            <w:div w:id="1210722866">
              <w:marLeft w:val="0"/>
              <w:marRight w:val="0"/>
              <w:marTop w:val="0"/>
              <w:marBottom w:val="0"/>
              <w:divBdr>
                <w:top w:val="none" w:sz="0" w:space="0" w:color="auto"/>
                <w:left w:val="none" w:sz="0" w:space="0" w:color="auto"/>
                <w:bottom w:val="none" w:sz="0" w:space="0" w:color="auto"/>
                <w:right w:val="none" w:sz="0" w:space="0" w:color="auto"/>
              </w:divBdr>
            </w:div>
            <w:div w:id="1564681143">
              <w:marLeft w:val="0"/>
              <w:marRight w:val="0"/>
              <w:marTop w:val="0"/>
              <w:marBottom w:val="0"/>
              <w:divBdr>
                <w:top w:val="none" w:sz="0" w:space="0" w:color="auto"/>
                <w:left w:val="none" w:sz="0" w:space="0" w:color="auto"/>
                <w:bottom w:val="none" w:sz="0" w:space="0" w:color="auto"/>
                <w:right w:val="none" w:sz="0" w:space="0" w:color="auto"/>
              </w:divBdr>
            </w:div>
          </w:divsChild>
        </w:div>
        <w:div w:id="1209342927">
          <w:marLeft w:val="0"/>
          <w:marRight w:val="0"/>
          <w:marTop w:val="0"/>
          <w:marBottom w:val="0"/>
          <w:divBdr>
            <w:top w:val="none" w:sz="0" w:space="0" w:color="auto"/>
            <w:left w:val="none" w:sz="0" w:space="0" w:color="auto"/>
            <w:bottom w:val="none" w:sz="0" w:space="0" w:color="auto"/>
            <w:right w:val="none" w:sz="0" w:space="0" w:color="auto"/>
          </w:divBdr>
          <w:divsChild>
            <w:div w:id="180749457">
              <w:marLeft w:val="0"/>
              <w:marRight w:val="0"/>
              <w:marTop w:val="0"/>
              <w:marBottom w:val="0"/>
              <w:divBdr>
                <w:top w:val="none" w:sz="0" w:space="0" w:color="auto"/>
                <w:left w:val="none" w:sz="0" w:space="0" w:color="auto"/>
                <w:bottom w:val="none" w:sz="0" w:space="0" w:color="auto"/>
                <w:right w:val="none" w:sz="0" w:space="0" w:color="auto"/>
              </w:divBdr>
            </w:div>
          </w:divsChild>
        </w:div>
        <w:div w:id="1225528914">
          <w:marLeft w:val="0"/>
          <w:marRight w:val="0"/>
          <w:marTop w:val="0"/>
          <w:marBottom w:val="0"/>
          <w:divBdr>
            <w:top w:val="none" w:sz="0" w:space="0" w:color="auto"/>
            <w:left w:val="none" w:sz="0" w:space="0" w:color="auto"/>
            <w:bottom w:val="none" w:sz="0" w:space="0" w:color="auto"/>
            <w:right w:val="none" w:sz="0" w:space="0" w:color="auto"/>
          </w:divBdr>
          <w:divsChild>
            <w:div w:id="394426545">
              <w:marLeft w:val="0"/>
              <w:marRight w:val="0"/>
              <w:marTop w:val="0"/>
              <w:marBottom w:val="0"/>
              <w:divBdr>
                <w:top w:val="none" w:sz="0" w:space="0" w:color="auto"/>
                <w:left w:val="none" w:sz="0" w:space="0" w:color="auto"/>
                <w:bottom w:val="none" w:sz="0" w:space="0" w:color="auto"/>
                <w:right w:val="none" w:sz="0" w:space="0" w:color="auto"/>
              </w:divBdr>
            </w:div>
            <w:div w:id="1003750710">
              <w:marLeft w:val="0"/>
              <w:marRight w:val="0"/>
              <w:marTop w:val="0"/>
              <w:marBottom w:val="0"/>
              <w:divBdr>
                <w:top w:val="none" w:sz="0" w:space="0" w:color="auto"/>
                <w:left w:val="none" w:sz="0" w:space="0" w:color="auto"/>
                <w:bottom w:val="none" w:sz="0" w:space="0" w:color="auto"/>
                <w:right w:val="none" w:sz="0" w:space="0" w:color="auto"/>
              </w:divBdr>
            </w:div>
            <w:div w:id="1406761580">
              <w:marLeft w:val="0"/>
              <w:marRight w:val="0"/>
              <w:marTop w:val="0"/>
              <w:marBottom w:val="0"/>
              <w:divBdr>
                <w:top w:val="none" w:sz="0" w:space="0" w:color="auto"/>
                <w:left w:val="none" w:sz="0" w:space="0" w:color="auto"/>
                <w:bottom w:val="none" w:sz="0" w:space="0" w:color="auto"/>
                <w:right w:val="none" w:sz="0" w:space="0" w:color="auto"/>
              </w:divBdr>
            </w:div>
            <w:div w:id="1816602299">
              <w:marLeft w:val="0"/>
              <w:marRight w:val="0"/>
              <w:marTop w:val="0"/>
              <w:marBottom w:val="0"/>
              <w:divBdr>
                <w:top w:val="none" w:sz="0" w:space="0" w:color="auto"/>
                <w:left w:val="none" w:sz="0" w:space="0" w:color="auto"/>
                <w:bottom w:val="none" w:sz="0" w:space="0" w:color="auto"/>
                <w:right w:val="none" w:sz="0" w:space="0" w:color="auto"/>
              </w:divBdr>
            </w:div>
            <w:div w:id="1876963322">
              <w:marLeft w:val="0"/>
              <w:marRight w:val="0"/>
              <w:marTop w:val="0"/>
              <w:marBottom w:val="0"/>
              <w:divBdr>
                <w:top w:val="none" w:sz="0" w:space="0" w:color="auto"/>
                <w:left w:val="none" w:sz="0" w:space="0" w:color="auto"/>
                <w:bottom w:val="none" w:sz="0" w:space="0" w:color="auto"/>
                <w:right w:val="none" w:sz="0" w:space="0" w:color="auto"/>
              </w:divBdr>
            </w:div>
          </w:divsChild>
        </w:div>
        <w:div w:id="1253050889">
          <w:marLeft w:val="0"/>
          <w:marRight w:val="0"/>
          <w:marTop w:val="0"/>
          <w:marBottom w:val="0"/>
          <w:divBdr>
            <w:top w:val="none" w:sz="0" w:space="0" w:color="auto"/>
            <w:left w:val="none" w:sz="0" w:space="0" w:color="auto"/>
            <w:bottom w:val="none" w:sz="0" w:space="0" w:color="auto"/>
            <w:right w:val="none" w:sz="0" w:space="0" w:color="auto"/>
          </w:divBdr>
          <w:divsChild>
            <w:div w:id="521093817">
              <w:marLeft w:val="0"/>
              <w:marRight w:val="0"/>
              <w:marTop w:val="0"/>
              <w:marBottom w:val="0"/>
              <w:divBdr>
                <w:top w:val="none" w:sz="0" w:space="0" w:color="auto"/>
                <w:left w:val="none" w:sz="0" w:space="0" w:color="auto"/>
                <w:bottom w:val="none" w:sz="0" w:space="0" w:color="auto"/>
                <w:right w:val="none" w:sz="0" w:space="0" w:color="auto"/>
              </w:divBdr>
            </w:div>
            <w:div w:id="1231043563">
              <w:marLeft w:val="0"/>
              <w:marRight w:val="0"/>
              <w:marTop w:val="0"/>
              <w:marBottom w:val="0"/>
              <w:divBdr>
                <w:top w:val="none" w:sz="0" w:space="0" w:color="auto"/>
                <w:left w:val="none" w:sz="0" w:space="0" w:color="auto"/>
                <w:bottom w:val="none" w:sz="0" w:space="0" w:color="auto"/>
                <w:right w:val="none" w:sz="0" w:space="0" w:color="auto"/>
              </w:divBdr>
            </w:div>
            <w:div w:id="1360467623">
              <w:marLeft w:val="0"/>
              <w:marRight w:val="0"/>
              <w:marTop w:val="0"/>
              <w:marBottom w:val="0"/>
              <w:divBdr>
                <w:top w:val="none" w:sz="0" w:space="0" w:color="auto"/>
                <w:left w:val="none" w:sz="0" w:space="0" w:color="auto"/>
                <w:bottom w:val="none" w:sz="0" w:space="0" w:color="auto"/>
                <w:right w:val="none" w:sz="0" w:space="0" w:color="auto"/>
              </w:divBdr>
            </w:div>
            <w:div w:id="1477601383">
              <w:marLeft w:val="0"/>
              <w:marRight w:val="0"/>
              <w:marTop w:val="0"/>
              <w:marBottom w:val="0"/>
              <w:divBdr>
                <w:top w:val="none" w:sz="0" w:space="0" w:color="auto"/>
                <w:left w:val="none" w:sz="0" w:space="0" w:color="auto"/>
                <w:bottom w:val="none" w:sz="0" w:space="0" w:color="auto"/>
                <w:right w:val="none" w:sz="0" w:space="0" w:color="auto"/>
              </w:divBdr>
            </w:div>
            <w:div w:id="1477912667">
              <w:marLeft w:val="0"/>
              <w:marRight w:val="0"/>
              <w:marTop w:val="0"/>
              <w:marBottom w:val="0"/>
              <w:divBdr>
                <w:top w:val="none" w:sz="0" w:space="0" w:color="auto"/>
                <w:left w:val="none" w:sz="0" w:space="0" w:color="auto"/>
                <w:bottom w:val="none" w:sz="0" w:space="0" w:color="auto"/>
                <w:right w:val="none" w:sz="0" w:space="0" w:color="auto"/>
              </w:divBdr>
            </w:div>
            <w:div w:id="1623225985">
              <w:marLeft w:val="0"/>
              <w:marRight w:val="0"/>
              <w:marTop w:val="0"/>
              <w:marBottom w:val="0"/>
              <w:divBdr>
                <w:top w:val="none" w:sz="0" w:space="0" w:color="auto"/>
                <w:left w:val="none" w:sz="0" w:space="0" w:color="auto"/>
                <w:bottom w:val="none" w:sz="0" w:space="0" w:color="auto"/>
                <w:right w:val="none" w:sz="0" w:space="0" w:color="auto"/>
              </w:divBdr>
            </w:div>
          </w:divsChild>
        </w:div>
        <w:div w:id="1280646542">
          <w:marLeft w:val="0"/>
          <w:marRight w:val="0"/>
          <w:marTop w:val="0"/>
          <w:marBottom w:val="0"/>
          <w:divBdr>
            <w:top w:val="none" w:sz="0" w:space="0" w:color="auto"/>
            <w:left w:val="none" w:sz="0" w:space="0" w:color="auto"/>
            <w:bottom w:val="none" w:sz="0" w:space="0" w:color="auto"/>
            <w:right w:val="none" w:sz="0" w:space="0" w:color="auto"/>
          </w:divBdr>
          <w:divsChild>
            <w:div w:id="958532354">
              <w:marLeft w:val="0"/>
              <w:marRight w:val="0"/>
              <w:marTop w:val="0"/>
              <w:marBottom w:val="0"/>
              <w:divBdr>
                <w:top w:val="none" w:sz="0" w:space="0" w:color="auto"/>
                <w:left w:val="none" w:sz="0" w:space="0" w:color="auto"/>
                <w:bottom w:val="none" w:sz="0" w:space="0" w:color="auto"/>
                <w:right w:val="none" w:sz="0" w:space="0" w:color="auto"/>
              </w:divBdr>
            </w:div>
          </w:divsChild>
        </w:div>
        <w:div w:id="1284920511">
          <w:marLeft w:val="0"/>
          <w:marRight w:val="0"/>
          <w:marTop w:val="0"/>
          <w:marBottom w:val="0"/>
          <w:divBdr>
            <w:top w:val="none" w:sz="0" w:space="0" w:color="auto"/>
            <w:left w:val="none" w:sz="0" w:space="0" w:color="auto"/>
            <w:bottom w:val="none" w:sz="0" w:space="0" w:color="auto"/>
            <w:right w:val="none" w:sz="0" w:space="0" w:color="auto"/>
          </w:divBdr>
          <w:divsChild>
            <w:div w:id="1106537999">
              <w:marLeft w:val="0"/>
              <w:marRight w:val="0"/>
              <w:marTop w:val="0"/>
              <w:marBottom w:val="0"/>
              <w:divBdr>
                <w:top w:val="none" w:sz="0" w:space="0" w:color="auto"/>
                <w:left w:val="none" w:sz="0" w:space="0" w:color="auto"/>
                <w:bottom w:val="none" w:sz="0" w:space="0" w:color="auto"/>
                <w:right w:val="none" w:sz="0" w:space="0" w:color="auto"/>
              </w:divBdr>
            </w:div>
          </w:divsChild>
        </w:div>
        <w:div w:id="1360161805">
          <w:marLeft w:val="0"/>
          <w:marRight w:val="0"/>
          <w:marTop w:val="0"/>
          <w:marBottom w:val="0"/>
          <w:divBdr>
            <w:top w:val="none" w:sz="0" w:space="0" w:color="auto"/>
            <w:left w:val="none" w:sz="0" w:space="0" w:color="auto"/>
            <w:bottom w:val="none" w:sz="0" w:space="0" w:color="auto"/>
            <w:right w:val="none" w:sz="0" w:space="0" w:color="auto"/>
          </w:divBdr>
          <w:divsChild>
            <w:div w:id="830409471">
              <w:marLeft w:val="0"/>
              <w:marRight w:val="0"/>
              <w:marTop w:val="0"/>
              <w:marBottom w:val="0"/>
              <w:divBdr>
                <w:top w:val="none" w:sz="0" w:space="0" w:color="auto"/>
                <w:left w:val="none" w:sz="0" w:space="0" w:color="auto"/>
                <w:bottom w:val="none" w:sz="0" w:space="0" w:color="auto"/>
                <w:right w:val="none" w:sz="0" w:space="0" w:color="auto"/>
              </w:divBdr>
            </w:div>
          </w:divsChild>
        </w:div>
        <w:div w:id="1361053338">
          <w:marLeft w:val="0"/>
          <w:marRight w:val="0"/>
          <w:marTop w:val="0"/>
          <w:marBottom w:val="0"/>
          <w:divBdr>
            <w:top w:val="none" w:sz="0" w:space="0" w:color="auto"/>
            <w:left w:val="none" w:sz="0" w:space="0" w:color="auto"/>
            <w:bottom w:val="none" w:sz="0" w:space="0" w:color="auto"/>
            <w:right w:val="none" w:sz="0" w:space="0" w:color="auto"/>
          </w:divBdr>
          <w:divsChild>
            <w:div w:id="1086269068">
              <w:marLeft w:val="0"/>
              <w:marRight w:val="0"/>
              <w:marTop w:val="0"/>
              <w:marBottom w:val="0"/>
              <w:divBdr>
                <w:top w:val="none" w:sz="0" w:space="0" w:color="auto"/>
                <w:left w:val="none" w:sz="0" w:space="0" w:color="auto"/>
                <w:bottom w:val="none" w:sz="0" w:space="0" w:color="auto"/>
                <w:right w:val="none" w:sz="0" w:space="0" w:color="auto"/>
              </w:divBdr>
            </w:div>
            <w:div w:id="1252618113">
              <w:marLeft w:val="0"/>
              <w:marRight w:val="0"/>
              <w:marTop w:val="0"/>
              <w:marBottom w:val="0"/>
              <w:divBdr>
                <w:top w:val="none" w:sz="0" w:space="0" w:color="auto"/>
                <w:left w:val="none" w:sz="0" w:space="0" w:color="auto"/>
                <w:bottom w:val="none" w:sz="0" w:space="0" w:color="auto"/>
                <w:right w:val="none" w:sz="0" w:space="0" w:color="auto"/>
              </w:divBdr>
            </w:div>
            <w:div w:id="1556501011">
              <w:marLeft w:val="0"/>
              <w:marRight w:val="0"/>
              <w:marTop w:val="0"/>
              <w:marBottom w:val="0"/>
              <w:divBdr>
                <w:top w:val="none" w:sz="0" w:space="0" w:color="auto"/>
                <w:left w:val="none" w:sz="0" w:space="0" w:color="auto"/>
                <w:bottom w:val="none" w:sz="0" w:space="0" w:color="auto"/>
                <w:right w:val="none" w:sz="0" w:space="0" w:color="auto"/>
              </w:divBdr>
            </w:div>
          </w:divsChild>
        </w:div>
        <w:div w:id="1373119643">
          <w:marLeft w:val="0"/>
          <w:marRight w:val="0"/>
          <w:marTop w:val="0"/>
          <w:marBottom w:val="0"/>
          <w:divBdr>
            <w:top w:val="none" w:sz="0" w:space="0" w:color="auto"/>
            <w:left w:val="none" w:sz="0" w:space="0" w:color="auto"/>
            <w:bottom w:val="none" w:sz="0" w:space="0" w:color="auto"/>
            <w:right w:val="none" w:sz="0" w:space="0" w:color="auto"/>
          </w:divBdr>
          <w:divsChild>
            <w:div w:id="1113093537">
              <w:marLeft w:val="0"/>
              <w:marRight w:val="0"/>
              <w:marTop w:val="0"/>
              <w:marBottom w:val="0"/>
              <w:divBdr>
                <w:top w:val="none" w:sz="0" w:space="0" w:color="auto"/>
                <w:left w:val="none" w:sz="0" w:space="0" w:color="auto"/>
                <w:bottom w:val="none" w:sz="0" w:space="0" w:color="auto"/>
                <w:right w:val="none" w:sz="0" w:space="0" w:color="auto"/>
              </w:divBdr>
            </w:div>
          </w:divsChild>
        </w:div>
        <w:div w:id="1396857955">
          <w:marLeft w:val="0"/>
          <w:marRight w:val="0"/>
          <w:marTop w:val="0"/>
          <w:marBottom w:val="0"/>
          <w:divBdr>
            <w:top w:val="none" w:sz="0" w:space="0" w:color="auto"/>
            <w:left w:val="none" w:sz="0" w:space="0" w:color="auto"/>
            <w:bottom w:val="none" w:sz="0" w:space="0" w:color="auto"/>
            <w:right w:val="none" w:sz="0" w:space="0" w:color="auto"/>
          </w:divBdr>
          <w:divsChild>
            <w:div w:id="1424492280">
              <w:marLeft w:val="0"/>
              <w:marRight w:val="0"/>
              <w:marTop w:val="0"/>
              <w:marBottom w:val="0"/>
              <w:divBdr>
                <w:top w:val="none" w:sz="0" w:space="0" w:color="auto"/>
                <w:left w:val="none" w:sz="0" w:space="0" w:color="auto"/>
                <w:bottom w:val="none" w:sz="0" w:space="0" w:color="auto"/>
                <w:right w:val="none" w:sz="0" w:space="0" w:color="auto"/>
              </w:divBdr>
            </w:div>
          </w:divsChild>
        </w:div>
        <w:div w:id="1408303829">
          <w:marLeft w:val="0"/>
          <w:marRight w:val="0"/>
          <w:marTop w:val="0"/>
          <w:marBottom w:val="0"/>
          <w:divBdr>
            <w:top w:val="none" w:sz="0" w:space="0" w:color="auto"/>
            <w:left w:val="none" w:sz="0" w:space="0" w:color="auto"/>
            <w:bottom w:val="none" w:sz="0" w:space="0" w:color="auto"/>
            <w:right w:val="none" w:sz="0" w:space="0" w:color="auto"/>
          </w:divBdr>
          <w:divsChild>
            <w:div w:id="1041975143">
              <w:marLeft w:val="0"/>
              <w:marRight w:val="0"/>
              <w:marTop w:val="0"/>
              <w:marBottom w:val="0"/>
              <w:divBdr>
                <w:top w:val="none" w:sz="0" w:space="0" w:color="auto"/>
                <w:left w:val="none" w:sz="0" w:space="0" w:color="auto"/>
                <w:bottom w:val="none" w:sz="0" w:space="0" w:color="auto"/>
                <w:right w:val="none" w:sz="0" w:space="0" w:color="auto"/>
              </w:divBdr>
            </w:div>
            <w:div w:id="1531995762">
              <w:marLeft w:val="0"/>
              <w:marRight w:val="0"/>
              <w:marTop w:val="0"/>
              <w:marBottom w:val="0"/>
              <w:divBdr>
                <w:top w:val="none" w:sz="0" w:space="0" w:color="auto"/>
                <w:left w:val="none" w:sz="0" w:space="0" w:color="auto"/>
                <w:bottom w:val="none" w:sz="0" w:space="0" w:color="auto"/>
                <w:right w:val="none" w:sz="0" w:space="0" w:color="auto"/>
              </w:divBdr>
            </w:div>
          </w:divsChild>
        </w:div>
        <w:div w:id="1418092329">
          <w:marLeft w:val="0"/>
          <w:marRight w:val="0"/>
          <w:marTop w:val="0"/>
          <w:marBottom w:val="0"/>
          <w:divBdr>
            <w:top w:val="none" w:sz="0" w:space="0" w:color="auto"/>
            <w:left w:val="none" w:sz="0" w:space="0" w:color="auto"/>
            <w:bottom w:val="none" w:sz="0" w:space="0" w:color="auto"/>
            <w:right w:val="none" w:sz="0" w:space="0" w:color="auto"/>
          </w:divBdr>
          <w:divsChild>
            <w:div w:id="951976398">
              <w:marLeft w:val="0"/>
              <w:marRight w:val="0"/>
              <w:marTop w:val="0"/>
              <w:marBottom w:val="0"/>
              <w:divBdr>
                <w:top w:val="none" w:sz="0" w:space="0" w:color="auto"/>
                <w:left w:val="none" w:sz="0" w:space="0" w:color="auto"/>
                <w:bottom w:val="none" w:sz="0" w:space="0" w:color="auto"/>
                <w:right w:val="none" w:sz="0" w:space="0" w:color="auto"/>
              </w:divBdr>
            </w:div>
          </w:divsChild>
        </w:div>
        <w:div w:id="1419332353">
          <w:marLeft w:val="0"/>
          <w:marRight w:val="0"/>
          <w:marTop w:val="0"/>
          <w:marBottom w:val="0"/>
          <w:divBdr>
            <w:top w:val="none" w:sz="0" w:space="0" w:color="auto"/>
            <w:left w:val="none" w:sz="0" w:space="0" w:color="auto"/>
            <w:bottom w:val="none" w:sz="0" w:space="0" w:color="auto"/>
            <w:right w:val="none" w:sz="0" w:space="0" w:color="auto"/>
          </w:divBdr>
          <w:divsChild>
            <w:div w:id="795023871">
              <w:marLeft w:val="0"/>
              <w:marRight w:val="0"/>
              <w:marTop w:val="0"/>
              <w:marBottom w:val="0"/>
              <w:divBdr>
                <w:top w:val="none" w:sz="0" w:space="0" w:color="auto"/>
                <w:left w:val="none" w:sz="0" w:space="0" w:color="auto"/>
                <w:bottom w:val="none" w:sz="0" w:space="0" w:color="auto"/>
                <w:right w:val="none" w:sz="0" w:space="0" w:color="auto"/>
              </w:divBdr>
            </w:div>
          </w:divsChild>
        </w:div>
        <w:div w:id="1447263687">
          <w:marLeft w:val="0"/>
          <w:marRight w:val="0"/>
          <w:marTop w:val="0"/>
          <w:marBottom w:val="0"/>
          <w:divBdr>
            <w:top w:val="none" w:sz="0" w:space="0" w:color="auto"/>
            <w:left w:val="none" w:sz="0" w:space="0" w:color="auto"/>
            <w:bottom w:val="none" w:sz="0" w:space="0" w:color="auto"/>
            <w:right w:val="none" w:sz="0" w:space="0" w:color="auto"/>
          </w:divBdr>
          <w:divsChild>
            <w:div w:id="217933555">
              <w:marLeft w:val="0"/>
              <w:marRight w:val="0"/>
              <w:marTop w:val="0"/>
              <w:marBottom w:val="0"/>
              <w:divBdr>
                <w:top w:val="none" w:sz="0" w:space="0" w:color="auto"/>
                <w:left w:val="none" w:sz="0" w:space="0" w:color="auto"/>
                <w:bottom w:val="none" w:sz="0" w:space="0" w:color="auto"/>
                <w:right w:val="none" w:sz="0" w:space="0" w:color="auto"/>
              </w:divBdr>
            </w:div>
            <w:div w:id="443958326">
              <w:marLeft w:val="0"/>
              <w:marRight w:val="0"/>
              <w:marTop w:val="0"/>
              <w:marBottom w:val="0"/>
              <w:divBdr>
                <w:top w:val="none" w:sz="0" w:space="0" w:color="auto"/>
                <w:left w:val="none" w:sz="0" w:space="0" w:color="auto"/>
                <w:bottom w:val="none" w:sz="0" w:space="0" w:color="auto"/>
                <w:right w:val="none" w:sz="0" w:space="0" w:color="auto"/>
              </w:divBdr>
            </w:div>
          </w:divsChild>
        </w:div>
        <w:div w:id="1450736521">
          <w:marLeft w:val="0"/>
          <w:marRight w:val="0"/>
          <w:marTop w:val="0"/>
          <w:marBottom w:val="0"/>
          <w:divBdr>
            <w:top w:val="none" w:sz="0" w:space="0" w:color="auto"/>
            <w:left w:val="none" w:sz="0" w:space="0" w:color="auto"/>
            <w:bottom w:val="none" w:sz="0" w:space="0" w:color="auto"/>
            <w:right w:val="none" w:sz="0" w:space="0" w:color="auto"/>
          </w:divBdr>
          <w:divsChild>
            <w:div w:id="862592221">
              <w:marLeft w:val="0"/>
              <w:marRight w:val="0"/>
              <w:marTop w:val="0"/>
              <w:marBottom w:val="0"/>
              <w:divBdr>
                <w:top w:val="none" w:sz="0" w:space="0" w:color="auto"/>
                <w:left w:val="none" w:sz="0" w:space="0" w:color="auto"/>
                <w:bottom w:val="none" w:sz="0" w:space="0" w:color="auto"/>
                <w:right w:val="none" w:sz="0" w:space="0" w:color="auto"/>
              </w:divBdr>
            </w:div>
          </w:divsChild>
        </w:div>
        <w:div w:id="1460566877">
          <w:marLeft w:val="0"/>
          <w:marRight w:val="0"/>
          <w:marTop w:val="0"/>
          <w:marBottom w:val="0"/>
          <w:divBdr>
            <w:top w:val="none" w:sz="0" w:space="0" w:color="auto"/>
            <w:left w:val="none" w:sz="0" w:space="0" w:color="auto"/>
            <w:bottom w:val="none" w:sz="0" w:space="0" w:color="auto"/>
            <w:right w:val="none" w:sz="0" w:space="0" w:color="auto"/>
          </w:divBdr>
          <w:divsChild>
            <w:div w:id="947540867">
              <w:marLeft w:val="0"/>
              <w:marRight w:val="0"/>
              <w:marTop w:val="0"/>
              <w:marBottom w:val="0"/>
              <w:divBdr>
                <w:top w:val="none" w:sz="0" w:space="0" w:color="auto"/>
                <w:left w:val="none" w:sz="0" w:space="0" w:color="auto"/>
                <w:bottom w:val="none" w:sz="0" w:space="0" w:color="auto"/>
                <w:right w:val="none" w:sz="0" w:space="0" w:color="auto"/>
              </w:divBdr>
            </w:div>
            <w:div w:id="1052268658">
              <w:marLeft w:val="0"/>
              <w:marRight w:val="0"/>
              <w:marTop w:val="0"/>
              <w:marBottom w:val="0"/>
              <w:divBdr>
                <w:top w:val="none" w:sz="0" w:space="0" w:color="auto"/>
                <w:left w:val="none" w:sz="0" w:space="0" w:color="auto"/>
                <w:bottom w:val="none" w:sz="0" w:space="0" w:color="auto"/>
                <w:right w:val="none" w:sz="0" w:space="0" w:color="auto"/>
              </w:divBdr>
            </w:div>
          </w:divsChild>
        </w:div>
        <w:div w:id="1479760431">
          <w:marLeft w:val="0"/>
          <w:marRight w:val="0"/>
          <w:marTop w:val="0"/>
          <w:marBottom w:val="0"/>
          <w:divBdr>
            <w:top w:val="none" w:sz="0" w:space="0" w:color="auto"/>
            <w:left w:val="none" w:sz="0" w:space="0" w:color="auto"/>
            <w:bottom w:val="none" w:sz="0" w:space="0" w:color="auto"/>
            <w:right w:val="none" w:sz="0" w:space="0" w:color="auto"/>
          </w:divBdr>
          <w:divsChild>
            <w:div w:id="95440550">
              <w:marLeft w:val="0"/>
              <w:marRight w:val="0"/>
              <w:marTop w:val="0"/>
              <w:marBottom w:val="0"/>
              <w:divBdr>
                <w:top w:val="none" w:sz="0" w:space="0" w:color="auto"/>
                <w:left w:val="none" w:sz="0" w:space="0" w:color="auto"/>
                <w:bottom w:val="none" w:sz="0" w:space="0" w:color="auto"/>
                <w:right w:val="none" w:sz="0" w:space="0" w:color="auto"/>
              </w:divBdr>
            </w:div>
            <w:div w:id="924532906">
              <w:marLeft w:val="0"/>
              <w:marRight w:val="0"/>
              <w:marTop w:val="0"/>
              <w:marBottom w:val="0"/>
              <w:divBdr>
                <w:top w:val="none" w:sz="0" w:space="0" w:color="auto"/>
                <w:left w:val="none" w:sz="0" w:space="0" w:color="auto"/>
                <w:bottom w:val="none" w:sz="0" w:space="0" w:color="auto"/>
                <w:right w:val="none" w:sz="0" w:space="0" w:color="auto"/>
              </w:divBdr>
            </w:div>
            <w:div w:id="1627076982">
              <w:marLeft w:val="0"/>
              <w:marRight w:val="0"/>
              <w:marTop w:val="0"/>
              <w:marBottom w:val="0"/>
              <w:divBdr>
                <w:top w:val="none" w:sz="0" w:space="0" w:color="auto"/>
                <w:left w:val="none" w:sz="0" w:space="0" w:color="auto"/>
                <w:bottom w:val="none" w:sz="0" w:space="0" w:color="auto"/>
                <w:right w:val="none" w:sz="0" w:space="0" w:color="auto"/>
              </w:divBdr>
            </w:div>
            <w:div w:id="1834225938">
              <w:marLeft w:val="0"/>
              <w:marRight w:val="0"/>
              <w:marTop w:val="0"/>
              <w:marBottom w:val="0"/>
              <w:divBdr>
                <w:top w:val="none" w:sz="0" w:space="0" w:color="auto"/>
                <w:left w:val="none" w:sz="0" w:space="0" w:color="auto"/>
                <w:bottom w:val="none" w:sz="0" w:space="0" w:color="auto"/>
                <w:right w:val="none" w:sz="0" w:space="0" w:color="auto"/>
              </w:divBdr>
            </w:div>
            <w:div w:id="2039119431">
              <w:marLeft w:val="0"/>
              <w:marRight w:val="0"/>
              <w:marTop w:val="0"/>
              <w:marBottom w:val="0"/>
              <w:divBdr>
                <w:top w:val="none" w:sz="0" w:space="0" w:color="auto"/>
                <w:left w:val="none" w:sz="0" w:space="0" w:color="auto"/>
                <w:bottom w:val="none" w:sz="0" w:space="0" w:color="auto"/>
                <w:right w:val="none" w:sz="0" w:space="0" w:color="auto"/>
              </w:divBdr>
            </w:div>
          </w:divsChild>
        </w:div>
        <w:div w:id="1493788848">
          <w:marLeft w:val="0"/>
          <w:marRight w:val="0"/>
          <w:marTop w:val="0"/>
          <w:marBottom w:val="0"/>
          <w:divBdr>
            <w:top w:val="none" w:sz="0" w:space="0" w:color="auto"/>
            <w:left w:val="none" w:sz="0" w:space="0" w:color="auto"/>
            <w:bottom w:val="none" w:sz="0" w:space="0" w:color="auto"/>
            <w:right w:val="none" w:sz="0" w:space="0" w:color="auto"/>
          </w:divBdr>
          <w:divsChild>
            <w:div w:id="1098791772">
              <w:marLeft w:val="0"/>
              <w:marRight w:val="0"/>
              <w:marTop w:val="0"/>
              <w:marBottom w:val="0"/>
              <w:divBdr>
                <w:top w:val="none" w:sz="0" w:space="0" w:color="auto"/>
                <w:left w:val="none" w:sz="0" w:space="0" w:color="auto"/>
                <w:bottom w:val="none" w:sz="0" w:space="0" w:color="auto"/>
                <w:right w:val="none" w:sz="0" w:space="0" w:color="auto"/>
              </w:divBdr>
            </w:div>
            <w:div w:id="1859195413">
              <w:marLeft w:val="0"/>
              <w:marRight w:val="0"/>
              <w:marTop w:val="0"/>
              <w:marBottom w:val="0"/>
              <w:divBdr>
                <w:top w:val="none" w:sz="0" w:space="0" w:color="auto"/>
                <w:left w:val="none" w:sz="0" w:space="0" w:color="auto"/>
                <w:bottom w:val="none" w:sz="0" w:space="0" w:color="auto"/>
                <w:right w:val="none" w:sz="0" w:space="0" w:color="auto"/>
              </w:divBdr>
            </w:div>
          </w:divsChild>
        </w:div>
        <w:div w:id="1538740031">
          <w:marLeft w:val="0"/>
          <w:marRight w:val="0"/>
          <w:marTop w:val="0"/>
          <w:marBottom w:val="0"/>
          <w:divBdr>
            <w:top w:val="none" w:sz="0" w:space="0" w:color="auto"/>
            <w:left w:val="none" w:sz="0" w:space="0" w:color="auto"/>
            <w:bottom w:val="none" w:sz="0" w:space="0" w:color="auto"/>
            <w:right w:val="none" w:sz="0" w:space="0" w:color="auto"/>
          </w:divBdr>
          <w:divsChild>
            <w:div w:id="428045639">
              <w:marLeft w:val="0"/>
              <w:marRight w:val="0"/>
              <w:marTop w:val="0"/>
              <w:marBottom w:val="0"/>
              <w:divBdr>
                <w:top w:val="none" w:sz="0" w:space="0" w:color="auto"/>
                <w:left w:val="none" w:sz="0" w:space="0" w:color="auto"/>
                <w:bottom w:val="none" w:sz="0" w:space="0" w:color="auto"/>
                <w:right w:val="none" w:sz="0" w:space="0" w:color="auto"/>
              </w:divBdr>
            </w:div>
            <w:div w:id="932929840">
              <w:marLeft w:val="0"/>
              <w:marRight w:val="0"/>
              <w:marTop w:val="0"/>
              <w:marBottom w:val="0"/>
              <w:divBdr>
                <w:top w:val="none" w:sz="0" w:space="0" w:color="auto"/>
                <w:left w:val="none" w:sz="0" w:space="0" w:color="auto"/>
                <w:bottom w:val="none" w:sz="0" w:space="0" w:color="auto"/>
                <w:right w:val="none" w:sz="0" w:space="0" w:color="auto"/>
              </w:divBdr>
            </w:div>
          </w:divsChild>
        </w:div>
        <w:div w:id="1544438957">
          <w:marLeft w:val="0"/>
          <w:marRight w:val="0"/>
          <w:marTop w:val="0"/>
          <w:marBottom w:val="0"/>
          <w:divBdr>
            <w:top w:val="none" w:sz="0" w:space="0" w:color="auto"/>
            <w:left w:val="none" w:sz="0" w:space="0" w:color="auto"/>
            <w:bottom w:val="none" w:sz="0" w:space="0" w:color="auto"/>
            <w:right w:val="none" w:sz="0" w:space="0" w:color="auto"/>
          </w:divBdr>
          <w:divsChild>
            <w:div w:id="2107573387">
              <w:marLeft w:val="0"/>
              <w:marRight w:val="0"/>
              <w:marTop w:val="0"/>
              <w:marBottom w:val="0"/>
              <w:divBdr>
                <w:top w:val="none" w:sz="0" w:space="0" w:color="auto"/>
                <w:left w:val="none" w:sz="0" w:space="0" w:color="auto"/>
                <w:bottom w:val="none" w:sz="0" w:space="0" w:color="auto"/>
                <w:right w:val="none" w:sz="0" w:space="0" w:color="auto"/>
              </w:divBdr>
            </w:div>
          </w:divsChild>
        </w:div>
        <w:div w:id="1593003434">
          <w:marLeft w:val="0"/>
          <w:marRight w:val="0"/>
          <w:marTop w:val="0"/>
          <w:marBottom w:val="0"/>
          <w:divBdr>
            <w:top w:val="none" w:sz="0" w:space="0" w:color="auto"/>
            <w:left w:val="none" w:sz="0" w:space="0" w:color="auto"/>
            <w:bottom w:val="none" w:sz="0" w:space="0" w:color="auto"/>
            <w:right w:val="none" w:sz="0" w:space="0" w:color="auto"/>
          </w:divBdr>
          <w:divsChild>
            <w:div w:id="141311657">
              <w:marLeft w:val="0"/>
              <w:marRight w:val="0"/>
              <w:marTop w:val="0"/>
              <w:marBottom w:val="0"/>
              <w:divBdr>
                <w:top w:val="none" w:sz="0" w:space="0" w:color="auto"/>
                <w:left w:val="none" w:sz="0" w:space="0" w:color="auto"/>
                <w:bottom w:val="none" w:sz="0" w:space="0" w:color="auto"/>
                <w:right w:val="none" w:sz="0" w:space="0" w:color="auto"/>
              </w:divBdr>
            </w:div>
            <w:div w:id="668797922">
              <w:marLeft w:val="0"/>
              <w:marRight w:val="0"/>
              <w:marTop w:val="0"/>
              <w:marBottom w:val="0"/>
              <w:divBdr>
                <w:top w:val="none" w:sz="0" w:space="0" w:color="auto"/>
                <w:left w:val="none" w:sz="0" w:space="0" w:color="auto"/>
                <w:bottom w:val="none" w:sz="0" w:space="0" w:color="auto"/>
                <w:right w:val="none" w:sz="0" w:space="0" w:color="auto"/>
              </w:divBdr>
            </w:div>
            <w:div w:id="1411733637">
              <w:marLeft w:val="0"/>
              <w:marRight w:val="0"/>
              <w:marTop w:val="0"/>
              <w:marBottom w:val="0"/>
              <w:divBdr>
                <w:top w:val="none" w:sz="0" w:space="0" w:color="auto"/>
                <w:left w:val="none" w:sz="0" w:space="0" w:color="auto"/>
                <w:bottom w:val="none" w:sz="0" w:space="0" w:color="auto"/>
                <w:right w:val="none" w:sz="0" w:space="0" w:color="auto"/>
              </w:divBdr>
            </w:div>
            <w:div w:id="1759063341">
              <w:marLeft w:val="0"/>
              <w:marRight w:val="0"/>
              <w:marTop w:val="0"/>
              <w:marBottom w:val="0"/>
              <w:divBdr>
                <w:top w:val="none" w:sz="0" w:space="0" w:color="auto"/>
                <w:left w:val="none" w:sz="0" w:space="0" w:color="auto"/>
                <w:bottom w:val="none" w:sz="0" w:space="0" w:color="auto"/>
                <w:right w:val="none" w:sz="0" w:space="0" w:color="auto"/>
              </w:divBdr>
            </w:div>
            <w:div w:id="2040281833">
              <w:marLeft w:val="0"/>
              <w:marRight w:val="0"/>
              <w:marTop w:val="0"/>
              <w:marBottom w:val="0"/>
              <w:divBdr>
                <w:top w:val="none" w:sz="0" w:space="0" w:color="auto"/>
                <w:left w:val="none" w:sz="0" w:space="0" w:color="auto"/>
                <w:bottom w:val="none" w:sz="0" w:space="0" w:color="auto"/>
                <w:right w:val="none" w:sz="0" w:space="0" w:color="auto"/>
              </w:divBdr>
            </w:div>
          </w:divsChild>
        </w:div>
        <w:div w:id="1593077559">
          <w:marLeft w:val="0"/>
          <w:marRight w:val="0"/>
          <w:marTop w:val="0"/>
          <w:marBottom w:val="0"/>
          <w:divBdr>
            <w:top w:val="none" w:sz="0" w:space="0" w:color="auto"/>
            <w:left w:val="none" w:sz="0" w:space="0" w:color="auto"/>
            <w:bottom w:val="none" w:sz="0" w:space="0" w:color="auto"/>
            <w:right w:val="none" w:sz="0" w:space="0" w:color="auto"/>
          </w:divBdr>
          <w:divsChild>
            <w:div w:id="82146238">
              <w:marLeft w:val="0"/>
              <w:marRight w:val="0"/>
              <w:marTop w:val="0"/>
              <w:marBottom w:val="0"/>
              <w:divBdr>
                <w:top w:val="none" w:sz="0" w:space="0" w:color="auto"/>
                <w:left w:val="none" w:sz="0" w:space="0" w:color="auto"/>
                <w:bottom w:val="none" w:sz="0" w:space="0" w:color="auto"/>
                <w:right w:val="none" w:sz="0" w:space="0" w:color="auto"/>
              </w:divBdr>
            </w:div>
            <w:div w:id="424503188">
              <w:marLeft w:val="0"/>
              <w:marRight w:val="0"/>
              <w:marTop w:val="0"/>
              <w:marBottom w:val="0"/>
              <w:divBdr>
                <w:top w:val="none" w:sz="0" w:space="0" w:color="auto"/>
                <w:left w:val="none" w:sz="0" w:space="0" w:color="auto"/>
                <w:bottom w:val="none" w:sz="0" w:space="0" w:color="auto"/>
                <w:right w:val="none" w:sz="0" w:space="0" w:color="auto"/>
              </w:divBdr>
            </w:div>
            <w:div w:id="489948527">
              <w:marLeft w:val="0"/>
              <w:marRight w:val="0"/>
              <w:marTop w:val="0"/>
              <w:marBottom w:val="0"/>
              <w:divBdr>
                <w:top w:val="none" w:sz="0" w:space="0" w:color="auto"/>
                <w:left w:val="none" w:sz="0" w:space="0" w:color="auto"/>
                <w:bottom w:val="none" w:sz="0" w:space="0" w:color="auto"/>
                <w:right w:val="none" w:sz="0" w:space="0" w:color="auto"/>
              </w:divBdr>
            </w:div>
            <w:div w:id="952056833">
              <w:marLeft w:val="0"/>
              <w:marRight w:val="0"/>
              <w:marTop w:val="0"/>
              <w:marBottom w:val="0"/>
              <w:divBdr>
                <w:top w:val="none" w:sz="0" w:space="0" w:color="auto"/>
                <w:left w:val="none" w:sz="0" w:space="0" w:color="auto"/>
                <w:bottom w:val="none" w:sz="0" w:space="0" w:color="auto"/>
                <w:right w:val="none" w:sz="0" w:space="0" w:color="auto"/>
              </w:divBdr>
            </w:div>
          </w:divsChild>
        </w:div>
        <w:div w:id="1622959086">
          <w:marLeft w:val="0"/>
          <w:marRight w:val="0"/>
          <w:marTop w:val="0"/>
          <w:marBottom w:val="0"/>
          <w:divBdr>
            <w:top w:val="none" w:sz="0" w:space="0" w:color="auto"/>
            <w:left w:val="none" w:sz="0" w:space="0" w:color="auto"/>
            <w:bottom w:val="none" w:sz="0" w:space="0" w:color="auto"/>
            <w:right w:val="none" w:sz="0" w:space="0" w:color="auto"/>
          </w:divBdr>
          <w:divsChild>
            <w:div w:id="293760047">
              <w:marLeft w:val="0"/>
              <w:marRight w:val="0"/>
              <w:marTop w:val="0"/>
              <w:marBottom w:val="0"/>
              <w:divBdr>
                <w:top w:val="none" w:sz="0" w:space="0" w:color="auto"/>
                <w:left w:val="none" w:sz="0" w:space="0" w:color="auto"/>
                <w:bottom w:val="none" w:sz="0" w:space="0" w:color="auto"/>
                <w:right w:val="none" w:sz="0" w:space="0" w:color="auto"/>
              </w:divBdr>
            </w:div>
            <w:div w:id="2112360415">
              <w:marLeft w:val="0"/>
              <w:marRight w:val="0"/>
              <w:marTop w:val="0"/>
              <w:marBottom w:val="0"/>
              <w:divBdr>
                <w:top w:val="none" w:sz="0" w:space="0" w:color="auto"/>
                <w:left w:val="none" w:sz="0" w:space="0" w:color="auto"/>
                <w:bottom w:val="none" w:sz="0" w:space="0" w:color="auto"/>
                <w:right w:val="none" w:sz="0" w:space="0" w:color="auto"/>
              </w:divBdr>
            </w:div>
          </w:divsChild>
        </w:div>
        <w:div w:id="1636641831">
          <w:marLeft w:val="0"/>
          <w:marRight w:val="0"/>
          <w:marTop w:val="0"/>
          <w:marBottom w:val="0"/>
          <w:divBdr>
            <w:top w:val="none" w:sz="0" w:space="0" w:color="auto"/>
            <w:left w:val="none" w:sz="0" w:space="0" w:color="auto"/>
            <w:bottom w:val="none" w:sz="0" w:space="0" w:color="auto"/>
            <w:right w:val="none" w:sz="0" w:space="0" w:color="auto"/>
          </w:divBdr>
          <w:divsChild>
            <w:div w:id="1617249491">
              <w:marLeft w:val="0"/>
              <w:marRight w:val="0"/>
              <w:marTop w:val="0"/>
              <w:marBottom w:val="0"/>
              <w:divBdr>
                <w:top w:val="none" w:sz="0" w:space="0" w:color="auto"/>
                <w:left w:val="none" w:sz="0" w:space="0" w:color="auto"/>
                <w:bottom w:val="none" w:sz="0" w:space="0" w:color="auto"/>
                <w:right w:val="none" w:sz="0" w:space="0" w:color="auto"/>
              </w:divBdr>
            </w:div>
          </w:divsChild>
        </w:div>
        <w:div w:id="1686201847">
          <w:marLeft w:val="0"/>
          <w:marRight w:val="0"/>
          <w:marTop w:val="0"/>
          <w:marBottom w:val="0"/>
          <w:divBdr>
            <w:top w:val="none" w:sz="0" w:space="0" w:color="auto"/>
            <w:left w:val="none" w:sz="0" w:space="0" w:color="auto"/>
            <w:bottom w:val="none" w:sz="0" w:space="0" w:color="auto"/>
            <w:right w:val="none" w:sz="0" w:space="0" w:color="auto"/>
          </w:divBdr>
          <w:divsChild>
            <w:div w:id="1432312377">
              <w:marLeft w:val="0"/>
              <w:marRight w:val="0"/>
              <w:marTop w:val="0"/>
              <w:marBottom w:val="0"/>
              <w:divBdr>
                <w:top w:val="none" w:sz="0" w:space="0" w:color="auto"/>
                <w:left w:val="none" w:sz="0" w:space="0" w:color="auto"/>
                <w:bottom w:val="none" w:sz="0" w:space="0" w:color="auto"/>
                <w:right w:val="none" w:sz="0" w:space="0" w:color="auto"/>
              </w:divBdr>
            </w:div>
          </w:divsChild>
        </w:div>
        <w:div w:id="1688555472">
          <w:marLeft w:val="0"/>
          <w:marRight w:val="0"/>
          <w:marTop w:val="0"/>
          <w:marBottom w:val="0"/>
          <w:divBdr>
            <w:top w:val="none" w:sz="0" w:space="0" w:color="auto"/>
            <w:left w:val="none" w:sz="0" w:space="0" w:color="auto"/>
            <w:bottom w:val="none" w:sz="0" w:space="0" w:color="auto"/>
            <w:right w:val="none" w:sz="0" w:space="0" w:color="auto"/>
          </w:divBdr>
          <w:divsChild>
            <w:div w:id="284505821">
              <w:marLeft w:val="0"/>
              <w:marRight w:val="0"/>
              <w:marTop w:val="0"/>
              <w:marBottom w:val="0"/>
              <w:divBdr>
                <w:top w:val="none" w:sz="0" w:space="0" w:color="auto"/>
                <w:left w:val="none" w:sz="0" w:space="0" w:color="auto"/>
                <w:bottom w:val="none" w:sz="0" w:space="0" w:color="auto"/>
                <w:right w:val="none" w:sz="0" w:space="0" w:color="auto"/>
              </w:divBdr>
            </w:div>
            <w:div w:id="1429352902">
              <w:marLeft w:val="0"/>
              <w:marRight w:val="0"/>
              <w:marTop w:val="0"/>
              <w:marBottom w:val="0"/>
              <w:divBdr>
                <w:top w:val="none" w:sz="0" w:space="0" w:color="auto"/>
                <w:left w:val="none" w:sz="0" w:space="0" w:color="auto"/>
                <w:bottom w:val="none" w:sz="0" w:space="0" w:color="auto"/>
                <w:right w:val="none" w:sz="0" w:space="0" w:color="auto"/>
              </w:divBdr>
            </w:div>
            <w:div w:id="2000574859">
              <w:marLeft w:val="0"/>
              <w:marRight w:val="0"/>
              <w:marTop w:val="0"/>
              <w:marBottom w:val="0"/>
              <w:divBdr>
                <w:top w:val="none" w:sz="0" w:space="0" w:color="auto"/>
                <w:left w:val="none" w:sz="0" w:space="0" w:color="auto"/>
                <w:bottom w:val="none" w:sz="0" w:space="0" w:color="auto"/>
                <w:right w:val="none" w:sz="0" w:space="0" w:color="auto"/>
              </w:divBdr>
            </w:div>
          </w:divsChild>
        </w:div>
        <w:div w:id="1688945304">
          <w:marLeft w:val="0"/>
          <w:marRight w:val="0"/>
          <w:marTop w:val="0"/>
          <w:marBottom w:val="0"/>
          <w:divBdr>
            <w:top w:val="none" w:sz="0" w:space="0" w:color="auto"/>
            <w:left w:val="none" w:sz="0" w:space="0" w:color="auto"/>
            <w:bottom w:val="none" w:sz="0" w:space="0" w:color="auto"/>
            <w:right w:val="none" w:sz="0" w:space="0" w:color="auto"/>
          </w:divBdr>
          <w:divsChild>
            <w:div w:id="1372069446">
              <w:marLeft w:val="0"/>
              <w:marRight w:val="0"/>
              <w:marTop w:val="0"/>
              <w:marBottom w:val="0"/>
              <w:divBdr>
                <w:top w:val="none" w:sz="0" w:space="0" w:color="auto"/>
                <w:left w:val="none" w:sz="0" w:space="0" w:color="auto"/>
                <w:bottom w:val="none" w:sz="0" w:space="0" w:color="auto"/>
                <w:right w:val="none" w:sz="0" w:space="0" w:color="auto"/>
              </w:divBdr>
            </w:div>
          </w:divsChild>
        </w:div>
        <w:div w:id="1817912611">
          <w:marLeft w:val="0"/>
          <w:marRight w:val="0"/>
          <w:marTop w:val="0"/>
          <w:marBottom w:val="0"/>
          <w:divBdr>
            <w:top w:val="none" w:sz="0" w:space="0" w:color="auto"/>
            <w:left w:val="none" w:sz="0" w:space="0" w:color="auto"/>
            <w:bottom w:val="none" w:sz="0" w:space="0" w:color="auto"/>
            <w:right w:val="none" w:sz="0" w:space="0" w:color="auto"/>
          </w:divBdr>
          <w:divsChild>
            <w:div w:id="810101909">
              <w:marLeft w:val="0"/>
              <w:marRight w:val="0"/>
              <w:marTop w:val="0"/>
              <w:marBottom w:val="0"/>
              <w:divBdr>
                <w:top w:val="none" w:sz="0" w:space="0" w:color="auto"/>
                <w:left w:val="none" w:sz="0" w:space="0" w:color="auto"/>
                <w:bottom w:val="none" w:sz="0" w:space="0" w:color="auto"/>
                <w:right w:val="none" w:sz="0" w:space="0" w:color="auto"/>
              </w:divBdr>
            </w:div>
          </w:divsChild>
        </w:div>
        <w:div w:id="1824349093">
          <w:marLeft w:val="0"/>
          <w:marRight w:val="0"/>
          <w:marTop w:val="0"/>
          <w:marBottom w:val="0"/>
          <w:divBdr>
            <w:top w:val="none" w:sz="0" w:space="0" w:color="auto"/>
            <w:left w:val="none" w:sz="0" w:space="0" w:color="auto"/>
            <w:bottom w:val="none" w:sz="0" w:space="0" w:color="auto"/>
            <w:right w:val="none" w:sz="0" w:space="0" w:color="auto"/>
          </w:divBdr>
          <w:divsChild>
            <w:div w:id="1068303590">
              <w:marLeft w:val="0"/>
              <w:marRight w:val="0"/>
              <w:marTop w:val="0"/>
              <w:marBottom w:val="0"/>
              <w:divBdr>
                <w:top w:val="none" w:sz="0" w:space="0" w:color="auto"/>
                <w:left w:val="none" w:sz="0" w:space="0" w:color="auto"/>
                <w:bottom w:val="none" w:sz="0" w:space="0" w:color="auto"/>
                <w:right w:val="none" w:sz="0" w:space="0" w:color="auto"/>
              </w:divBdr>
            </w:div>
          </w:divsChild>
        </w:div>
        <w:div w:id="1877691080">
          <w:marLeft w:val="0"/>
          <w:marRight w:val="0"/>
          <w:marTop w:val="0"/>
          <w:marBottom w:val="0"/>
          <w:divBdr>
            <w:top w:val="none" w:sz="0" w:space="0" w:color="auto"/>
            <w:left w:val="none" w:sz="0" w:space="0" w:color="auto"/>
            <w:bottom w:val="none" w:sz="0" w:space="0" w:color="auto"/>
            <w:right w:val="none" w:sz="0" w:space="0" w:color="auto"/>
          </w:divBdr>
          <w:divsChild>
            <w:div w:id="1681547524">
              <w:marLeft w:val="0"/>
              <w:marRight w:val="0"/>
              <w:marTop w:val="0"/>
              <w:marBottom w:val="0"/>
              <w:divBdr>
                <w:top w:val="none" w:sz="0" w:space="0" w:color="auto"/>
                <w:left w:val="none" w:sz="0" w:space="0" w:color="auto"/>
                <w:bottom w:val="none" w:sz="0" w:space="0" w:color="auto"/>
                <w:right w:val="none" w:sz="0" w:space="0" w:color="auto"/>
              </w:divBdr>
            </w:div>
          </w:divsChild>
        </w:div>
        <w:div w:id="1883709440">
          <w:marLeft w:val="0"/>
          <w:marRight w:val="0"/>
          <w:marTop w:val="0"/>
          <w:marBottom w:val="0"/>
          <w:divBdr>
            <w:top w:val="none" w:sz="0" w:space="0" w:color="auto"/>
            <w:left w:val="none" w:sz="0" w:space="0" w:color="auto"/>
            <w:bottom w:val="none" w:sz="0" w:space="0" w:color="auto"/>
            <w:right w:val="none" w:sz="0" w:space="0" w:color="auto"/>
          </w:divBdr>
          <w:divsChild>
            <w:div w:id="568227357">
              <w:marLeft w:val="0"/>
              <w:marRight w:val="0"/>
              <w:marTop w:val="0"/>
              <w:marBottom w:val="0"/>
              <w:divBdr>
                <w:top w:val="none" w:sz="0" w:space="0" w:color="auto"/>
                <w:left w:val="none" w:sz="0" w:space="0" w:color="auto"/>
                <w:bottom w:val="none" w:sz="0" w:space="0" w:color="auto"/>
                <w:right w:val="none" w:sz="0" w:space="0" w:color="auto"/>
              </w:divBdr>
            </w:div>
          </w:divsChild>
        </w:div>
        <w:div w:id="1885019973">
          <w:marLeft w:val="0"/>
          <w:marRight w:val="0"/>
          <w:marTop w:val="0"/>
          <w:marBottom w:val="0"/>
          <w:divBdr>
            <w:top w:val="none" w:sz="0" w:space="0" w:color="auto"/>
            <w:left w:val="none" w:sz="0" w:space="0" w:color="auto"/>
            <w:bottom w:val="none" w:sz="0" w:space="0" w:color="auto"/>
            <w:right w:val="none" w:sz="0" w:space="0" w:color="auto"/>
          </w:divBdr>
          <w:divsChild>
            <w:div w:id="377433343">
              <w:marLeft w:val="0"/>
              <w:marRight w:val="0"/>
              <w:marTop w:val="0"/>
              <w:marBottom w:val="0"/>
              <w:divBdr>
                <w:top w:val="none" w:sz="0" w:space="0" w:color="auto"/>
                <w:left w:val="none" w:sz="0" w:space="0" w:color="auto"/>
                <w:bottom w:val="none" w:sz="0" w:space="0" w:color="auto"/>
                <w:right w:val="none" w:sz="0" w:space="0" w:color="auto"/>
              </w:divBdr>
            </w:div>
            <w:div w:id="949094654">
              <w:marLeft w:val="0"/>
              <w:marRight w:val="0"/>
              <w:marTop w:val="0"/>
              <w:marBottom w:val="0"/>
              <w:divBdr>
                <w:top w:val="none" w:sz="0" w:space="0" w:color="auto"/>
                <w:left w:val="none" w:sz="0" w:space="0" w:color="auto"/>
                <w:bottom w:val="none" w:sz="0" w:space="0" w:color="auto"/>
                <w:right w:val="none" w:sz="0" w:space="0" w:color="auto"/>
              </w:divBdr>
            </w:div>
          </w:divsChild>
        </w:div>
        <w:div w:id="1894612187">
          <w:marLeft w:val="0"/>
          <w:marRight w:val="0"/>
          <w:marTop w:val="0"/>
          <w:marBottom w:val="0"/>
          <w:divBdr>
            <w:top w:val="none" w:sz="0" w:space="0" w:color="auto"/>
            <w:left w:val="none" w:sz="0" w:space="0" w:color="auto"/>
            <w:bottom w:val="none" w:sz="0" w:space="0" w:color="auto"/>
            <w:right w:val="none" w:sz="0" w:space="0" w:color="auto"/>
          </w:divBdr>
          <w:divsChild>
            <w:div w:id="1178538168">
              <w:marLeft w:val="0"/>
              <w:marRight w:val="0"/>
              <w:marTop w:val="0"/>
              <w:marBottom w:val="0"/>
              <w:divBdr>
                <w:top w:val="none" w:sz="0" w:space="0" w:color="auto"/>
                <w:left w:val="none" w:sz="0" w:space="0" w:color="auto"/>
                <w:bottom w:val="none" w:sz="0" w:space="0" w:color="auto"/>
                <w:right w:val="none" w:sz="0" w:space="0" w:color="auto"/>
              </w:divBdr>
            </w:div>
          </w:divsChild>
        </w:div>
        <w:div w:id="1925454492">
          <w:marLeft w:val="0"/>
          <w:marRight w:val="0"/>
          <w:marTop w:val="0"/>
          <w:marBottom w:val="0"/>
          <w:divBdr>
            <w:top w:val="none" w:sz="0" w:space="0" w:color="auto"/>
            <w:left w:val="none" w:sz="0" w:space="0" w:color="auto"/>
            <w:bottom w:val="none" w:sz="0" w:space="0" w:color="auto"/>
            <w:right w:val="none" w:sz="0" w:space="0" w:color="auto"/>
          </w:divBdr>
          <w:divsChild>
            <w:div w:id="1759446413">
              <w:marLeft w:val="0"/>
              <w:marRight w:val="0"/>
              <w:marTop w:val="0"/>
              <w:marBottom w:val="0"/>
              <w:divBdr>
                <w:top w:val="none" w:sz="0" w:space="0" w:color="auto"/>
                <w:left w:val="none" w:sz="0" w:space="0" w:color="auto"/>
                <w:bottom w:val="none" w:sz="0" w:space="0" w:color="auto"/>
                <w:right w:val="none" w:sz="0" w:space="0" w:color="auto"/>
              </w:divBdr>
            </w:div>
          </w:divsChild>
        </w:div>
        <w:div w:id="1925602909">
          <w:marLeft w:val="0"/>
          <w:marRight w:val="0"/>
          <w:marTop w:val="0"/>
          <w:marBottom w:val="0"/>
          <w:divBdr>
            <w:top w:val="none" w:sz="0" w:space="0" w:color="auto"/>
            <w:left w:val="none" w:sz="0" w:space="0" w:color="auto"/>
            <w:bottom w:val="none" w:sz="0" w:space="0" w:color="auto"/>
            <w:right w:val="none" w:sz="0" w:space="0" w:color="auto"/>
          </w:divBdr>
          <w:divsChild>
            <w:div w:id="1085035722">
              <w:marLeft w:val="0"/>
              <w:marRight w:val="0"/>
              <w:marTop w:val="0"/>
              <w:marBottom w:val="0"/>
              <w:divBdr>
                <w:top w:val="none" w:sz="0" w:space="0" w:color="auto"/>
                <w:left w:val="none" w:sz="0" w:space="0" w:color="auto"/>
                <w:bottom w:val="none" w:sz="0" w:space="0" w:color="auto"/>
                <w:right w:val="none" w:sz="0" w:space="0" w:color="auto"/>
              </w:divBdr>
            </w:div>
          </w:divsChild>
        </w:div>
        <w:div w:id="1942296399">
          <w:marLeft w:val="0"/>
          <w:marRight w:val="0"/>
          <w:marTop w:val="0"/>
          <w:marBottom w:val="0"/>
          <w:divBdr>
            <w:top w:val="none" w:sz="0" w:space="0" w:color="auto"/>
            <w:left w:val="none" w:sz="0" w:space="0" w:color="auto"/>
            <w:bottom w:val="none" w:sz="0" w:space="0" w:color="auto"/>
            <w:right w:val="none" w:sz="0" w:space="0" w:color="auto"/>
          </w:divBdr>
          <w:divsChild>
            <w:div w:id="792403029">
              <w:marLeft w:val="0"/>
              <w:marRight w:val="0"/>
              <w:marTop w:val="0"/>
              <w:marBottom w:val="0"/>
              <w:divBdr>
                <w:top w:val="none" w:sz="0" w:space="0" w:color="auto"/>
                <w:left w:val="none" w:sz="0" w:space="0" w:color="auto"/>
                <w:bottom w:val="none" w:sz="0" w:space="0" w:color="auto"/>
                <w:right w:val="none" w:sz="0" w:space="0" w:color="auto"/>
              </w:divBdr>
            </w:div>
          </w:divsChild>
        </w:div>
        <w:div w:id="1944803482">
          <w:marLeft w:val="0"/>
          <w:marRight w:val="0"/>
          <w:marTop w:val="0"/>
          <w:marBottom w:val="0"/>
          <w:divBdr>
            <w:top w:val="none" w:sz="0" w:space="0" w:color="auto"/>
            <w:left w:val="none" w:sz="0" w:space="0" w:color="auto"/>
            <w:bottom w:val="none" w:sz="0" w:space="0" w:color="auto"/>
            <w:right w:val="none" w:sz="0" w:space="0" w:color="auto"/>
          </w:divBdr>
          <w:divsChild>
            <w:div w:id="323438559">
              <w:marLeft w:val="0"/>
              <w:marRight w:val="0"/>
              <w:marTop w:val="0"/>
              <w:marBottom w:val="0"/>
              <w:divBdr>
                <w:top w:val="none" w:sz="0" w:space="0" w:color="auto"/>
                <w:left w:val="none" w:sz="0" w:space="0" w:color="auto"/>
                <w:bottom w:val="none" w:sz="0" w:space="0" w:color="auto"/>
                <w:right w:val="none" w:sz="0" w:space="0" w:color="auto"/>
              </w:divBdr>
            </w:div>
            <w:div w:id="544148717">
              <w:marLeft w:val="0"/>
              <w:marRight w:val="0"/>
              <w:marTop w:val="0"/>
              <w:marBottom w:val="0"/>
              <w:divBdr>
                <w:top w:val="none" w:sz="0" w:space="0" w:color="auto"/>
                <w:left w:val="none" w:sz="0" w:space="0" w:color="auto"/>
                <w:bottom w:val="none" w:sz="0" w:space="0" w:color="auto"/>
                <w:right w:val="none" w:sz="0" w:space="0" w:color="auto"/>
              </w:divBdr>
            </w:div>
            <w:div w:id="775103014">
              <w:marLeft w:val="0"/>
              <w:marRight w:val="0"/>
              <w:marTop w:val="0"/>
              <w:marBottom w:val="0"/>
              <w:divBdr>
                <w:top w:val="none" w:sz="0" w:space="0" w:color="auto"/>
                <w:left w:val="none" w:sz="0" w:space="0" w:color="auto"/>
                <w:bottom w:val="none" w:sz="0" w:space="0" w:color="auto"/>
                <w:right w:val="none" w:sz="0" w:space="0" w:color="auto"/>
              </w:divBdr>
            </w:div>
            <w:div w:id="1614440196">
              <w:marLeft w:val="0"/>
              <w:marRight w:val="0"/>
              <w:marTop w:val="0"/>
              <w:marBottom w:val="0"/>
              <w:divBdr>
                <w:top w:val="none" w:sz="0" w:space="0" w:color="auto"/>
                <w:left w:val="none" w:sz="0" w:space="0" w:color="auto"/>
                <w:bottom w:val="none" w:sz="0" w:space="0" w:color="auto"/>
                <w:right w:val="none" w:sz="0" w:space="0" w:color="auto"/>
              </w:divBdr>
            </w:div>
          </w:divsChild>
        </w:div>
        <w:div w:id="1967465589">
          <w:marLeft w:val="0"/>
          <w:marRight w:val="0"/>
          <w:marTop w:val="0"/>
          <w:marBottom w:val="0"/>
          <w:divBdr>
            <w:top w:val="none" w:sz="0" w:space="0" w:color="auto"/>
            <w:left w:val="none" w:sz="0" w:space="0" w:color="auto"/>
            <w:bottom w:val="none" w:sz="0" w:space="0" w:color="auto"/>
            <w:right w:val="none" w:sz="0" w:space="0" w:color="auto"/>
          </w:divBdr>
          <w:divsChild>
            <w:div w:id="1222710265">
              <w:marLeft w:val="0"/>
              <w:marRight w:val="0"/>
              <w:marTop w:val="0"/>
              <w:marBottom w:val="0"/>
              <w:divBdr>
                <w:top w:val="none" w:sz="0" w:space="0" w:color="auto"/>
                <w:left w:val="none" w:sz="0" w:space="0" w:color="auto"/>
                <w:bottom w:val="none" w:sz="0" w:space="0" w:color="auto"/>
                <w:right w:val="none" w:sz="0" w:space="0" w:color="auto"/>
              </w:divBdr>
            </w:div>
            <w:div w:id="1236741820">
              <w:marLeft w:val="0"/>
              <w:marRight w:val="0"/>
              <w:marTop w:val="0"/>
              <w:marBottom w:val="0"/>
              <w:divBdr>
                <w:top w:val="none" w:sz="0" w:space="0" w:color="auto"/>
                <w:left w:val="none" w:sz="0" w:space="0" w:color="auto"/>
                <w:bottom w:val="none" w:sz="0" w:space="0" w:color="auto"/>
                <w:right w:val="none" w:sz="0" w:space="0" w:color="auto"/>
              </w:divBdr>
            </w:div>
          </w:divsChild>
        </w:div>
        <w:div w:id="2015380397">
          <w:marLeft w:val="0"/>
          <w:marRight w:val="0"/>
          <w:marTop w:val="0"/>
          <w:marBottom w:val="0"/>
          <w:divBdr>
            <w:top w:val="none" w:sz="0" w:space="0" w:color="auto"/>
            <w:left w:val="none" w:sz="0" w:space="0" w:color="auto"/>
            <w:bottom w:val="none" w:sz="0" w:space="0" w:color="auto"/>
            <w:right w:val="none" w:sz="0" w:space="0" w:color="auto"/>
          </w:divBdr>
          <w:divsChild>
            <w:div w:id="1343899085">
              <w:marLeft w:val="0"/>
              <w:marRight w:val="0"/>
              <w:marTop w:val="0"/>
              <w:marBottom w:val="0"/>
              <w:divBdr>
                <w:top w:val="none" w:sz="0" w:space="0" w:color="auto"/>
                <w:left w:val="none" w:sz="0" w:space="0" w:color="auto"/>
                <w:bottom w:val="none" w:sz="0" w:space="0" w:color="auto"/>
                <w:right w:val="none" w:sz="0" w:space="0" w:color="auto"/>
              </w:divBdr>
            </w:div>
          </w:divsChild>
        </w:div>
        <w:div w:id="2017149443">
          <w:marLeft w:val="0"/>
          <w:marRight w:val="0"/>
          <w:marTop w:val="0"/>
          <w:marBottom w:val="0"/>
          <w:divBdr>
            <w:top w:val="none" w:sz="0" w:space="0" w:color="auto"/>
            <w:left w:val="none" w:sz="0" w:space="0" w:color="auto"/>
            <w:bottom w:val="none" w:sz="0" w:space="0" w:color="auto"/>
            <w:right w:val="none" w:sz="0" w:space="0" w:color="auto"/>
          </w:divBdr>
          <w:divsChild>
            <w:div w:id="76169939">
              <w:marLeft w:val="0"/>
              <w:marRight w:val="0"/>
              <w:marTop w:val="0"/>
              <w:marBottom w:val="0"/>
              <w:divBdr>
                <w:top w:val="none" w:sz="0" w:space="0" w:color="auto"/>
                <w:left w:val="none" w:sz="0" w:space="0" w:color="auto"/>
                <w:bottom w:val="none" w:sz="0" w:space="0" w:color="auto"/>
                <w:right w:val="none" w:sz="0" w:space="0" w:color="auto"/>
              </w:divBdr>
            </w:div>
            <w:div w:id="754860170">
              <w:marLeft w:val="0"/>
              <w:marRight w:val="0"/>
              <w:marTop w:val="0"/>
              <w:marBottom w:val="0"/>
              <w:divBdr>
                <w:top w:val="none" w:sz="0" w:space="0" w:color="auto"/>
                <w:left w:val="none" w:sz="0" w:space="0" w:color="auto"/>
                <w:bottom w:val="none" w:sz="0" w:space="0" w:color="auto"/>
                <w:right w:val="none" w:sz="0" w:space="0" w:color="auto"/>
              </w:divBdr>
            </w:div>
            <w:div w:id="1071734807">
              <w:marLeft w:val="0"/>
              <w:marRight w:val="0"/>
              <w:marTop w:val="0"/>
              <w:marBottom w:val="0"/>
              <w:divBdr>
                <w:top w:val="none" w:sz="0" w:space="0" w:color="auto"/>
                <w:left w:val="none" w:sz="0" w:space="0" w:color="auto"/>
                <w:bottom w:val="none" w:sz="0" w:space="0" w:color="auto"/>
                <w:right w:val="none" w:sz="0" w:space="0" w:color="auto"/>
              </w:divBdr>
            </w:div>
            <w:div w:id="1401445884">
              <w:marLeft w:val="0"/>
              <w:marRight w:val="0"/>
              <w:marTop w:val="0"/>
              <w:marBottom w:val="0"/>
              <w:divBdr>
                <w:top w:val="none" w:sz="0" w:space="0" w:color="auto"/>
                <w:left w:val="none" w:sz="0" w:space="0" w:color="auto"/>
                <w:bottom w:val="none" w:sz="0" w:space="0" w:color="auto"/>
                <w:right w:val="none" w:sz="0" w:space="0" w:color="auto"/>
              </w:divBdr>
            </w:div>
          </w:divsChild>
        </w:div>
        <w:div w:id="2042050809">
          <w:marLeft w:val="0"/>
          <w:marRight w:val="0"/>
          <w:marTop w:val="0"/>
          <w:marBottom w:val="0"/>
          <w:divBdr>
            <w:top w:val="none" w:sz="0" w:space="0" w:color="auto"/>
            <w:left w:val="none" w:sz="0" w:space="0" w:color="auto"/>
            <w:bottom w:val="none" w:sz="0" w:space="0" w:color="auto"/>
            <w:right w:val="none" w:sz="0" w:space="0" w:color="auto"/>
          </w:divBdr>
          <w:divsChild>
            <w:div w:id="1714310573">
              <w:marLeft w:val="0"/>
              <w:marRight w:val="0"/>
              <w:marTop w:val="0"/>
              <w:marBottom w:val="0"/>
              <w:divBdr>
                <w:top w:val="none" w:sz="0" w:space="0" w:color="auto"/>
                <w:left w:val="none" w:sz="0" w:space="0" w:color="auto"/>
                <w:bottom w:val="none" w:sz="0" w:space="0" w:color="auto"/>
                <w:right w:val="none" w:sz="0" w:space="0" w:color="auto"/>
              </w:divBdr>
            </w:div>
          </w:divsChild>
        </w:div>
        <w:div w:id="2068914609">
          <w:marLeft w:val="0"/>
          <w:marRight w:val="0"/>
          <w:marTop w:val="0"/>
          <w:marBottom w:val="0"/>
          <w:divBdr>
            <w:top w:val="none" w:sz="0" w:space="0" w:color="auto"/>
            <w:left w:val="none" w:sz="0" w:space="0" w:color="auto"/>
            <w:bottom w:val="none" w:sz="0" w:space="0" w:color="auto"/>
            <w:right w:val="none" w:sz="0" w:space="0" w:color="auto"/>
          </w:divBdr>
          <w:divsChild>
            <w:div w:id="365446285">
              <w:marLeft w:val="0"/>
              <w:marRight w:val="0"/>
              <w:marTop w:val="0"/>
              <w:marBottom w:val="0"/>
              <w:divBdr>
                <w:top w:val="none" w:sz="0" w:space="0" w:color="auto"/>
                <w:left w:val="none" w:sz="0" w:space="0" w:color="auto"/>
                <w:bottom w:val="none" w:sz="0" w:space="0" w:color="auto"/>
                <w:right w:val="none" w:sz="0" w:space="0" w:color="auto"/>
              </w:divBdr>
            </w:div>
            <w:div w:id="1770082206">
              <w:marLeft w:val="0"/>
              <w:marRight w:val="0"/>
              <w:marTop w:val="0"/>
              <w:marBottom w:val="0"/>
              <w:divBdr>
                <w:top w:val="none" w:sz="0" w:space="0" w:color="auto"/>
                <w:left w:val="none" w:sz="0" w:space="0" w:color="auto"/>
                <w:bottom w:val="none" w:sz="0" w:space="0" w:color="auto"/>
                <w:right w:val="none" w:sz="0" w:space="0" w:color="auto"/>
              </w:divBdr>
            </w:div>
          </w:divsChild>
        </w:div>
        <w:div w:id="2099062668">
          <w:marLeft w:val="0"/>
          <w:marRight w:val="0"/>
          <w:marTop w:val="0"/>
          <w:marBottom w:val="0"/>
          <w:divBdr>
            <w:top w:val="none" w:sz="0" w:space="0" w:color="auto"/>
            <w:left w:val="none" w:sz="0" w:space="0" w:color="auto"/>
            <w:bottom w:val="none" w:sz="0" w:space="0" w:color="auto"/>
            <w:right w:val="none" w:sz="0" w:space="0" w:color="auto"/>
          </w:divBdr>
          <w:divsChild>
            <w:div w:id="358162850">
              <w:marLeft w:val="0"/>
              <w:marRight w:val="0"/>
              <w:marTop w:val="0"/>
              <w:marBottom w:val="0"/>
              <w:divBdr>
                <w:top w:val="none" w:sz="0" w:space="0" w:color="auto"/>
                <w:left w:val="none" w:sz="0" w:space="0" w:color="auto"/>
                <w:bottom w:val="none" w:sz="0" w:space="0" w:color="auto"/>
                <w:right w:val="none" w:sz="0" w:space="0" w:color="auto"/>
              </w:divBdr>
            </w:div>
            <w:div w:id="1492481476">
              <w:marLeft w:val="0"/>
              <w:marRight w:val="0"/>
              <w:marTop w:val="0"/>
              <w:marBottom w:val="0"/>
              <w:divBdr>
                <w:top w:val="none" w:sz="0" w:space="0" w:color="auto"/>
                <w:left w:val="none" w:sz="0" w:space="0" w:color="auto"/>
                <w:bottom w:val="none" w:sz="0" w:space="0" w:color="auto"/>
                <w:right w:val="none" w:sz="0" w:space="0" w:color="auto"/>
              </w:divBdr>
            </w:div>
          </w:divsChild>
        </w:div>
        <w:div w:id="2133552023">
          <w:marLeft w:val="0"/>
          <w:marRight w:val="0"/>
          <w:marTop w:val="0"/>
          <w:marBottom w:val="0"/>
          <w:divBdr>
            <w:top w:val="none" w:sz="0" w:space="0" w:color="auto"/>
            <w:left w:val="none" w:sz="0" w:space="0" w:color="auto"/>
            <w:bottom w:val="none" w:sz="0" w:space="0" w:color="auto"/>
            <w:right w:val="none" w:sz="0" w:space="0" w:color="auto"/>
          </w:divBdr>
          <w:divsChild>
            <w:div w:id="184231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664339">
      <w:bodyDiv w:val="1"/>
      <w:marLeft w:val="0"/>
      <w:marRight w:val="0"/>
      <w:marTop w:val="0"/>
      <w:marBottom w:val="0"/>
      <w:divBdr>
        <w:top w:val="none" w:sz="0" w:space="0" w:color="auto"/>
        <w:left w:val="none" w:sz="0" w:space="0" w:color="auto"/>
        <w:bottom w:val="none" w:sz="0" w:space="0" w:color="auto"/>
        <w:right w:val="none" w:sz="0" w:space="0" w:color="auto"/>
      </w:divBdr>
    </w:div>
    <w:div w:id="2028213735">
      <w:bodyDiv w:val="1"/>
      <w:marLeft w:val="0"/>
      <w:marRight w:val="0"/>
      <w:marTop w:val="0"/>
      <w:marBottom w:val="0"/>
      <w:divBdr>
        <w:top w:val="none" w:sz="0" w:space="0" w:color="auto"/>
        <w:left w:val="none" w:sz="0" w:space="0" w:color="auto"/>
        <w:bottom w:val="none" w:sz="0" w:space="0" w:color="auto"/>
        <w:right w:val="none" w:sz="0" w:space="0" w:color="auto"/>
      </w:divBdr>
      <w:divsChild>
        <w:div w:id="65610116">
          <w:marLeft w:val="0"/>
          <w:marRight w:val="0"/>
          <w:marTop w:val="0"/>
          <w:marBottom w:val="0"/>
          <w:divBdr>
            <w:top w:val="none" w:sz="0" w:space="0" w:color="auto"/>
            <w:left w:val="none" w:sz="0" w:space="0" w:color="auto"/>
            <w:bottom w:val="none" w:sz="0" w:space="0" w:color="auto"/>
            <w:right w:val="none" w:sz="0" w:space="0" w:color="auto"/>
          </w:divBdr>
          <w:divsChild>
            <w:div w:id="286353322">
              <w:marLeft w:val="0"/>
              <w:marRight w:val="0"/>
              <w:marTop w:val="0"/>
              <w:marBottom w:val="0"/>
              <w:divBdr>
                <w:top w:val="none" w:sz="0" w:space="0" w:color="auto"/>
                <w:left w:val="none" w:sz="0" w:space="0" w:color="auto"/>
                <w:bottom w:val="none" w:sz="0" w:space="0" w:color="auto"/>
                <w:right w:val="none" w:sz="0" w:space="0" w:color="auto"/>
              </w:divBdr>
            </w:div>
          </w:divsChild>
        </w:div>
        <w:div w:id="142355791">
          <w:marLeft w:val="0"/>
          <w:marRight w:val="0"/>
          <w:marTop w:val="0"/>
          <w:marBottom w:val="0"/>
          <w:divBdr>
            <w:top w:val="none" w:sz="0" w:space="0" w:color="auto"/>
            <w:left w:val="none" w:sz="0" w:space="0" w:color="auto"/>
            <w:bottom w:val="none" w:sz="0" w:space="0" w:color="auto"/>
            <w:right w:val="none" w:sz="0" w:space="0" w:color="auto"/>
          </w:divBdr>
          <w:divsChild>
            <w:div w:id="216552888">
              <w:marLeft w:val="0"/>
              <w:marRight w:val="0"/>
              <w:marTop w:val="0"/>
              <w:marBottom w:val="0"/>
              <w:divBdr>
                <w:top w:val="none" w:sz="0" w:space="0" w:color="auto"/>
                <w:left w:val="none" w:sz="0" w:space="0" w:color="auto"/>
                <w:bottom w:val="none" w:sz="0" w:space="0" w:color="auto"/>
                <w:right w:val="none" w:sz="0" w:space="0" w:color="auto"/>
              </w:divBdr>
            </w:div>
          </w:divsChild>
        </w:div>
        <w:div w:id="205602900">
          <w:marLeft w:val="0"/>
          <w:marRight w:val="0"/>
          <w:marTop w:val="0"/>
          <w:marBottom w:val="0"/>
          <w:divBdr>
            <w:top w:val="none" w:sz="0" w:space="0" w:color="auto"/>
            <w:left w:val="none" w:sz="0" w:space="0" w:color="auto"/>
            <w:bottom w:val="none" w:sz="0" w:space="0" w:color="auto"/>
            <w:right w:val="none" w:sz="0" w:space="0" w:color="auto"/>
          </w:divBdr>
          <w:divsChild>
            <w:div w:id="862746609">
              <w:marLeft w:val="0"/>
              <w:marRight w:val="0"/>
              <w:marTop w:val="0"/>
              <w:marBottom w:val="0"/>
              <w:divBdr>
                <w:top w:val="none" w:sz="0" w:space="0" w:color="auto"/>
                <w:left w:val="none" w:sz="0" w:space="0" w:color="auto"/>
                <w:bottom w:val="none" w:sz="0" w:space="0" w:color="auto"/>
                <w:right w:val="none" w:sz="0" w:space="0" w:color="auto"/>
              </w:divBdr>
            </w:div>
          </w:divsChild>
        </w:div>
        <w:div w:id="321662152">
          <w:marLeft w:val="0"/>
          <w:marRight w:val="0"/>
          <w:marTop w:val="0"/>
          <w:marBottom w:val="0"/>
          <w:divBdr>
            <w:top w:val="none" w:sz="0" w:space="0" w:color="auto"/>
            <w:left w:val="none" w:sz="0" w:space="0" w:color="auto"/>
            <w:bottom w:val="none" w:sz="0" w:space="0" w:color="auto"/>
            <w:right w:val="none" w:sz="0" w:space="0" w:color="auto"/>
          </w:divBdr>
          <w:divsChild>
            <w:div w:id="1279407031">
              <w:marLeft w:val="0"/>
              <w:marRight w:val="0"/>
              <w:marTop w:val="0"/>
              <w:marBottom w:val="0"/>
              <w:divBdr>
                <w:top w:val="none" w:sz="0" w:space="0" w:color="auto"/>
                <w:left w:val="none" w:sz="0" w:space="0" w:color="auto"/>
                <w:bottom w:val="none" w:sz="0" w:space="0" w:color="auto"/>
                <w:right w:val="none" w:sz="0" w:space="0" w:color="auto"/>
              </w:divBdr>
            </w:div>
            <w:div w:id="1928731965">
              <w:marLeft w:val="0"/>
              <w:marRight w:val="0"/>
              <w:marTop w:val="0"/>
              <w:marBottom w:val="0"/>
              <w:divBdr>
                <w:top w:val="none" w:sz="0" w:space="0" w:color="auto"/>
                <w:left w:val="none" w:sz="0" w:space="0" w:color="auto"/>
                <w:bottom w:val="none" w:sz="0" w:space="0" w:color="auto"/>
                <w:right w:val="none" w:sz="0" w:space="0" w:color="auto"/>
              </w:divBdr>
            </w:div>
          </w:divsChild>
        </w:div>
        <w:div w:id="556942118">
          <w:marLeft w:val="0"/>
          <w:marRight w:val="0"/>
          <w:marTop w:val="0"/>
          <w:marBottom w:val="0"/>
          <w:divBdr>
            <w:top w:val="none" w:sz="0" w:space="0" w:color="auto"/>
            <w:left w:val="none" w:sz="0" w:space="0" w:color="auto"/>
            <w:bottom w:val="none" w:sz="0" w:space="0" w:color="auto"/>
            <w:right w:val="none" w:sz="0" w:space="0" w:color="auto"/>
          </w:divBdr>
          <w:divsChild>
            <w:div w:id="1595161368">
              <w:marLeft w:val="0"/>
              <w:marRight w:val="0"/>
              <w:marTop w:val="0"/>
              <w:marBottom w:val="0"/>
              <w:divBdr>
                <w:top w:val="none" w:sz="0" w:space="0" w:color="auto"/>
                <w:left w:val="none" w:sz="0" w:space="0" w:color="auto"/>
                <w:bottom w:val="none" w:sz="0" w:space="0" w:color="auto"/>
                <w:right w:val="none" w:sz="0" w:space="0" w:color="auto"/>
              </w:divBdr>
            </w:div>
          </w:divsChild>
        </w:div>
        <w:div w:id="575483776">
          <w:marLeft w:val="0"/>
          <w:marRight w:val="0"/>
          <w:marTop w:val="0"/>
          <w:marBottom w:val="0"/>
          <w:divBdr>
            <w:top w:val="none" w:sz="0" w:space="0" w:color="auto"/>
            <w:left w:val="none" w:sz="0" w:space="0" w:color="auto"/>
            <w:bottom w:val="none" w:sz="0" w:space="0" w:color="auto"/>
            <w:right w:val="none" w:sz="0" w:space="0" w:color="auto"/>
          </w:divBdr>
          <w:divsChild>
            <w:div w:id="716861066">
              <w:marLeft w:val="0"/>
              <w:marRight w:val="0"/>
              <w:marTop w:val="0"/>
              <w:marBottom w:val="0"/>
              <w:divBdr>
                <w:top w:val="none" w:sz="0" w:space="0" w:color="auto"/>
                <w:left w:val="none" w:sz="0" w:space="0" w:color="auto"/>
                <w:bottom w:val="none" w:sz="0" w:space="0" w:color="auto"/>
                <w:right w:val="none" w:sz="0" w:space="0" w:color="auto"/>
              </w:divBdr>
            </w:div>
            <w:div w:id="1614168810">
              <w:marLeft w:val="0"/>
              <w:marRight w:val="0"/>
              <w:marTop w:val="0"/>
              <w:marBottom w:val="0"/>
              <w:divBdr>
                <w:top w:val="none" w:sz="0" w:space="0" w:color="auto"/>
                <w:left w:val="none" w:sz="0" w:space="0" w:color="auto"/>
                <w:bottom w:val="none" w:sz="0" w:space="0" w:color="auto"/>
                <w:right w:val="none" w:sz="0" w:space="0" w:color="auto"/>
              </w:divBdr>
            </w:div>
          </w:divsChild>
        </w:div>
        <w:div w:id="664935606">
          <w:marLeft w:val="0"/>
          <w:marRight w:val="0"/>
          <w:marTop w:val="0"/>
          <w:marBottom w:val="0"/>
          <w:divBdr>
            <w:top w:val="none" w:sz="0" w:space="0" w:color="auto"/>
            <w:left w:val="none" w:sz="0" w:space="0" w:color="auto"/>
            <w:bottom w:val="none" w:sz="0" w:space="0" w:color="auto"/>
            <w:right w:val="none" w:sz="0" w:space="0" w:color="auto"/>
          </w:divBdr>
          <w:divsChild>
            <w:div w:id="1974554954">
              <w:marLeft w:val="0"/>
              <w:marRight w:val="0"/>
              <w:marTop w:val="0"/>
              <w:marBottom w:val="0"/>
              <w:divBdr>
                <w:top w:val="none" w:sz="0" w:space="0" w:color="auto"/>
                <w:left w:val="none" w:sz="0" w:space="0" w:color="auto"/>
                <w:bottom w:val="none" w:sz="0" w:space="0" w:color="auto"/>
                <w:right w:val="none" w:sz="0" w:space="0" w:color="auto"/>
              </w:divBdr>
            </w:div>
          </w:divsChild>
        </w:div>
        <w:div w:id="667292689">
          <w:marLeft w:val="0"/>
          <w:marRight w:val="0"/>
          <w:marTop w:val="0"/>
          <w:marBottom w:val="0"/>
          <w:divBdr>
            <w:top w:val="none" w:sz="0" w:space="0" w:color="auto"/>
            <w:left w:val="none" w:sz="0" w:space="0" w:color="auto"/>
            <w:bottom w:val="none" w:sz="0" w:space="0" w:color="auto"/>
            <w:right w:val="none" w:sz="0" w:space="0" w:color="auto"/>
          </w:divBdr>
          <w:divsChild>
            <w:div w:id="566695458">
              <w:marLeft w:val="0"/>
              <w:marRight w:val="0"/>
              <w:marTop w:val="0"/>
              <w:marBottom w:val="0"/>
              <w:divBdr>
                <w:top w:val="none" w:sz="0" w:space="0" w:color="auto"/>
                <w:left w:val="none" w:sz="0" w:space="0" w:color="auto"/>
                <w:bottom w:val="none" w:sz="0" w:space="0" w:color="auto"/>
                <w:right w:val="none" w:sz="0" w:space="0" w:color="auto"/>
              </w:divBdr>
            </w:div>
          </w:divsChild>
        </w:div>
        <w:div w:id="783035132">
          <w:marLeft w:val="0"/>
          <w:marRight w:val="0"/>
          <w:marTop w:val="0"/>
          <w:marBottom w:val="0"/>
          <w:divBdr>
            <w:top w:val="none" w:sz="0" w:space="0" w:color="auto"/>
            <w:left w:val="none" w:sz="0" w:space="0" w:color="auto"/>
            <w:bottom w:val="none" w:sz="0" w:space="0" w:color="auto"/>
            <w:right w:val="none" w:sz="0" w:space="0" w:color="auto"/>
          </w:divBdr>
          <w:divsChild>
            <w:div w:id="714156081">
              <w:marLeft w:val="0"/>
              <w:marRight w:val="0"/>
              <w:marTop w:val="0"/>
              <w:marBottom w:val="0"/>
              <w:divBdr>
                <w:top w:val="none" w:sz="0" w:space="0" w:color="auto"/>
                <w:left w:val="none" w:sz="0" w:space="0" w:color="auto"/>
                <w:bottom w:val="none" w:sz="0" w:space="0" w:color="auto"/>
                <w:right w:val="none" w:sz="0" w:space="0" w:color="auto"/>
              </w:divBdr>
            </w:div>
            <w:div w:id="1753047385">
              <w:marLeft w:val="0"/>
              <w:marRight w:val="0"/>
              <w:marTop w:val="0"/>
              <w:marBottom w:val="0"/>
              <w:divBdr>
                <w:top w:val="none" w:sz="0" w:space="0" w:color="auto"/>
                <w:left w:val="none" w:sz="0" w:space="0" w:color="auto"/>
                <w:bottom w:val="none" w:sz="0" w:space="0" w:color="auto"/>
                <w:right w:val="none" w:sz="0" w:space="0" w:color="auto"/>
              </w:divBdr>
            </w:div>
          </w:divsChild>
        </w:div>
        <w:div w:id="828442472">
          <w:marLeft w:val="0"/>
          <w:marRight w:val="0"/>
          <w:marTop w:val="0"/>
          <w:marBottom w:val="0"/>
          <w:divBdr>
            <w:top w:val="none" w:sz="0" w:space="0" w:color="auto"/>
            <w:left w:val="none" w:sz="0" w:space="0" w:color="auto"/>
            <w:bottom w:val="none" w:sz="0" w:space="0" w:color="auto"/>
            <w:right w:val="none" w:sz="0" w:space="0" w:color="auto"/>
          </w:divBdr>
          <w:divsChild>
            <w:div w:id="186408301">
              <w:marLeft w:val="0"/>
              <w:marRight w:val="0"/>
              <w:marTop w:val="0"/>
              <w:marBottom w:val="0"/>
              <w:divBdr>
                <w:top w:val="none" w:sz="0" w:space="0" w:color="auto"/>
                <w:left w:val="none" w:sz="0" w:space="0" w:color="auto"/>
                <w:bottom w:val="none" w:sz="0" w:space="0" w:color="auto"/>
                <w:right w:val="none" w:sz="0" w:space="0" w:color="auto"/>
              </w:divBdr>
            </w:div>
          </w:divsChild>
        </w:div>
        <w:div w:id="889801616">
          <w:marLeft w:val="0"/>
          <w:marRight w:val="0"/>
          <w:marTop w:val="0"/>
          <w:marBottom w:val="0"/>
          <w:divBdr>
            <w:top w:val="none" w:sz="0" w:space="0" w:color="auto"/>
            <w:left w:val="none" w:sz="0" w:space="0" w:color="auto"/>
            <w:bottom w:val="none" w:sz="0" w:space="0" w:color="auto"/>
            <w:right w:val="none" w:sz="0" w:space="0" w:color="auto"/>
          </w:divBdr>
          <w:divsChild>
            <w:div w:id="772627397">
              <w:marLeft w:val="0"/>
              <w:marRight w:val="0"/>
              <w:marTop w:val="0"/>
              <w:marBottom w:val="0"/>
              <w:divBdr>
                <w:top w:val="none" w:sz="0" w:space="0" w:color="auto"/>
                <w:left w:val="none" w:sz="0" w:space="0" w:color="auto"/>
                <w:bottom w:val="none" w:sz="0" w:space="0" w:color="auto"/>
                <w:right w:val="none" w:sz="0" w:space="0" w:color="auto"/>
              </w:divBdr>
            </w:div>
          </w:divsChild>
        </w:div>
        <w:div w:id="889807877">
          <w:marLeft w:val="0"/>
          <w:marRight w:val="0"/>
          <w:marTop w:val="0"/>
          <w:marBottom w:val="0"/>
          <w:divBdr>
            <w:top w:val="none" w:sz="0" w:space="0" w:color="auto"/>
            <w:left w:val="none" w:sz="0" w:space="0" w:color="auto"/>
            <w:bottom w:val="none" w:sz="0" w:space="0" w:color="auto"/>
            <w:right w:val="none" w:sz="0" w:space="0" w:color="auto"/>
          </w:divBdr>
          <w:divsChild>
            <w:div w:id="796752165">
              <w:marLeft w:val="0"/>
              <w:marRight w:val="0"/>
              <w:marTop w:val="0"/>
              <w:marBottom w:val="0"/>
              <w:divBdr>
                <w:top w:val="none" w:sz="0" w:space="0" w:color="auto"/>
                <w:left w:val="none" w:sz="0" w:space="0" w:color="auto"/>
                <w:bottom w:val="none" w:sz="0" w:space="0" w:color="auto"/>
                <w:right w:val="none" w:sz="0" w:space="0" w:color="auto"/>
              </w:divBdr>
            </w:div>
          </w:divsChild>
        </w:div>
        <w:div w:id="902914653">
          <w:marLeft w:val="0"/>
          <w:marRight w:val="0"/>
          <w:marTop w:val="0"/>
          <w:marBottom w:val="0"/>
          <w:divBdr>
            <w:top w:val="none" w:sz="0" w:space="0" w:color="auto"/>
            <w:left w:val="none" w:sz="0" w:space="0" w:color="auto"/>
            <w:bottom w:val="none" w:sz="0" w:space="0" w:color="auto"/>
            <w:right w:val="none" w:sz="0" w:space="0" w:color="auto"/>
          </w:divBdr>
          <w:divsChild>
            <w:div w:id="756680709">
              <w:marLeft w:val="0"/>
              <w:marRight w:val="0"/>
              <w:marTop w:val="0"/>
              <w:marBottom w:val="0"/>
              <w:divBdr>
                <w:top w:val="none" w:sz="0" w:space="0" w:color="auto"/>
                <w:left w:val="none" w:sz="0" w:space="0" w:color="auto"/>
                <w:bottom w:val="none" w:sz="0" w:space="0" w:color="auto"/>
                <w:right w:val="none" w:sz="0" w:space="0" w:color="auto"/>
              </w:divBdr>
            </w:div>
            <w:div w:id="1018852124">
              <w:marLeft w:val="0"/>
              <w:marRight w:val="0"/>
              <w:marTop w:val="0"/>
              <w:marBottom w:val="0"/>
              <w:divBdr>
                <w:top w:val="none" w:sz="0" w:space="0" w:color="auto"/>
                <w:left w:val="none" w:sz="0" w:space="0" w:color="auto"/>
                <w:bottom w:val="none" w:sz="0" w:space="0" w:color="auto"/>
                <w:right w:val="none" w:sz="0" w:space="0" w:color="auto"/>
              </w:divBdr>
            </w:div>
          </w:divsChild>
        </w:div>
        <w:div w:id="920524839">
          <w:marLeft w:val="0"/>
          <w:marRight w:val="0"/>
          <w:marTop w:val="0"/>
          <w:marBottom w:val="0"/>
          <w:divBdr>
            <w:top w:val="none" w:sz="0" w:space="0" w:color="auto"/>
            <w:left w:val="none" w:sz="0" w:space="0" w:color="auto"/>
            <w:bottom w:val="none" w:sz="0" w:space="0" w:color="auto"/>
            <w:right w:val="none" w:sz="0" w:space="0" w:color="auto"/>
          </w:divBdr>
          <w:divsChild>
            <w:div w:id="1956521364">
              <w:marLeft w:val="0"/>
              <w:marRight w:val="0"/>
              <w:marTop w:val="0"/>
              <w:marBottom w:val="0"/>
              <w:divBdr>
                <w:top w:val="none" w:sz="0" w:space="0" w:color="auto"/>
                <w:left w:val="none" w:sz="0" w:space="0" w:color="auto"/>
                <w:bottom w:val="none" w:sz="0" w:space="0" w:color="auto"/>
                <w:right w:val="none" w:sz="0" w:space="0" w:color="auto"/>
              </w:divBdr>
            </w:div>
          </w:divsChild>
        </w:div>
        <w:div w:id="935212212">
          <w:marLeft w:val="0"/>
          <w:marRight w:val="0"/>
          <w:marTop w:val="0"/>
          <w:marBottom w:val="0"/>
          <w:divBdr>
            <w:top w:val="none" w:sz="0" w:space="0" w:color="auto"/>
            <w:left w:val="none" w:sz="0" w:space="0" w:color="auto"/>
            <w:bottom w:val="none" w:sz="0" w:space="0" w:color="auto"/>
            <w:right w:val="none" w:sz="0" w:space="0" w:color="auto"/>
          </w:divBdr>
          <w:divsChild>
            <w:div w:id="1928031861">
              <w:marLeft w:val="0"/>
              <w:marRight w:val="0"/>
              <w:marTop w:val="0"/>
              <w:marBottom w:val="0"/>
              <w:divBdr>
                <w:top w:val="none" w:sz="0" w:space="0" w:color="auto"/>
                <w:left w:val="none" w:sz="0" w:space="0" w:color="auto"/>
                <w:bottom w:val="none" w:sz="0" w:space="0" w:color="auto"/>
                <w:right w:val="none" w:sz="0" w:space="0" w:color="auto"/>
              </w:divBdr>
            </w:div>
          </w:divsChild>
        </w:div>
        <w:div w:id="936795528">
          <w:marLeft w:val="0"/>
          <w:marRight w:val="0"/>
          <w:marTop w:val="0"/>
          <w:marBottom w:val="0"/>
          <w:divBdr>
            <w:top w:val="none" w:sz="0" w:space="0" w:color="auto"/>
            <w:left w:val="none" w:sz="0" w:space="0" w:color="auto"/>
            <w:bottom w:val="none" w:sz="0" w:space="0" w:color="auto"/>
            <w:right w:val="none" w:sz="0" w:space="0" w:color="auto"/>
          </w:divBdr>
          <w:divsChild>
            <w:div w:id="2039157886">
              <w:marLeft w:val="0"/>
              <w:marRight w:val="0"/>
              <w:marTop w:val="0"/>
              <w:marBottom w:val="0"/>
              <w:divBdr>
                <w:top w:val="none" w:sz="0" w:space="0" w:color="auto"/>
                <w:left w:val="none" w:sz="0" w:space="0" w:color="auto"/>
                <w:bottom w:val="none" w:sz="0" w:space="0" w:color="auto"/>
                <w:right w:val="none" w:sz="0" w:space="0" w:color="auto"/>
              </w:divBdr>
            </w:div>
          </w:divsChild>
        </w:div>
        <w:div w:id="978723782">
          <w:marLeft w:val="0"/>
          <w:marRight w:val="0"/>
          <w:marTop w:val="0"/>
          <w:marBottom w:val="0"/>
          <w:divBdr>
            <w:top w:val="none" w:sz="0" w:space="0" w:color="auto"/>
            <w:left w:val="none" w:sz="0" w:space="0" w:color="auto"/>
            <w:bottom w:val="none" w:sz="0" w:space="0" w:color="auto"/>
            <w:right w:val="none" w:sz="0" w:space="0" w:color="auto"/>
          </w:divBdr>
          <w:divsChild>
            <w:div w:id="2032796660">
              <w:marLeft w:val="0"/>
              <w:marRight w:val="0"/>
              <w:marTop w:val="0"/>
              <w:marBottom w:val="0"/>
              <w:divBdr>
                <w:top w:val="none" w:sz="0" w:space="0" w:color="auto"/>
                <w:left w:val="none" w:sz="0" w:space="0" w:color="auto"/>
                <w:bottom w:val="none" w:sz="0" w:space="0" w:color="auto"/>
                <w:right w:val="none" w:sz="0" w:space="0" w:color="auto"/>
              </w:divBdr>
            </w:div>
          </w:divsChild>
        </w:div>
        <w:div w:id="1009597536">
          <w:marLeft w:val="0"/>
          <w:marRight w:val="0"/>
          <w:marTop w:val="0"/>
          <w:marBottom w:val="0"/>
          <w:divBdr>
            <w:top w:val="none" w:sz="0" w:space="0" w:color="auto"/>
            <w:left w:val="none" w:sz="0" w:space="0" w:color="auto"/>
            <w:bottom w:val="none" w:sz="0" w:space="0" w:color="auto"/>
            <w:right w:val="none" w:sz="0" w:space="0" w:color="auto"/>
          </w:divBdr>
          <w:divsChild>
            <w:div w:id="307055843">
              <w:marLeft w:val="0"/>
              <w:marRight w:val="0"/>
              <w:marTop w:val="0"/>
              <w:marBottom w:val="0"/>
              <w:divBdr>
                <w:top w:val="none" w:sz="0" w:space="0" w:color="auto"/>
                <w:left w:val="none" w:sz="0" w:space="0" w:color="auto"/>
                <w:bottom w:val="none" w:sz="0" w:space="0" w:color="auto"/>
                <w:right w:val="none" w:sz="0" w:space="0" w:color="auto"/>
              </w:divBdr>
            </w:div>
          </w:divsChild>
        </w:div>
        <w:div w:id="1038313979">
          <w:marLeft w:val="0"/>
          <w:marRight w:val="0"/>
          <w:marTop w:val="0"/>
          <w:marBottom w:val="0"/>
          <w:divBdr>
            <w:top w:val="none" w:sz="0" w:space="0" w:color="auto"/>
            <w:left w:val="none" w:sz="0" w:space="0" w:color="auto"/>
            <w:bottom w:val="none" w:sz="0" w:space="0" w:color="auto"/>
            <w:right w:val="none" w:sz="0" w:space="0" w:color="auto"/>
          </w:divBdr>
          <w:divsChild>
            <w:div w:id="1498230559">
              <w:marLeft w:val="0"/>
              <w:marRight w:val="0"/>
              <w:marTop w:val="0"/>
              <w:marBottom w:val="0"/>
              <w:divBdr>
                <w:top w:val="none" w:sz="0" w:space="0" w:color="auto"/>
                <w:left w:val="none" w:sz="0" w:space="0" w:color="auto"/>
                <w:bottom w:val="none" w:sz="0" w:space="0" w:color="auto"/>
                <w:right w:val="none" w:sz="0" w:space="0" w:color="auto"/>
              </w:divBdr>
            </w:div>
          </w:divsChild>
        </w:div>
        <w:div w:id="1086265467">
          <w:marLeft w:val="0"/>
          <w:marRight w:val="0"/>
          <w:marTop w:val="0"/>
          <w:marBottom w:val="0"/>
          <w:divBdr>
            <w:top w:val="none" w:sz="0" w:space="0" w:color="auto"/>
            <w:left w:val="none" w:sz="0" w:space="0" w:color="auto"/>
            <w:bottom w:val="none" w:sz="0" w:space="0" w:color="auto"/>
            <w:right w:val="none" w:sz="0" w:space="0" w:color="auto"/>
          </w:divBdr>
          <w:divsChild>
            <w:div w:id="1368875674">
              <w:marLeft w:val="0"/>
              <w:marRight w:val="0"/>
              <w:marTop w:val="0"/>
              <w:marBottom w:val="0"/>
              <w:divBdr>
                <w:top w:val="none" w:sz="0" w:space="0" w:color="auto"/>
                <w:left w:val="none" w:sz="0" w:space="0" w:color="auto"/>
                <w:bottom w:val="none" w:sz="0" w:space="0" w:color="auto"/>
                <w:right w:val="none" w:sz="0" w:space="0" w:color="auto"/>
              </w:divBdr>
            </w:div>
          </w:divsChild>
        </w:div>
        <w:div w:id="1110779601">
          <w:marLeft w:val="0"/>
          <w:marRight w:val="0"/>
          <w:marTop w:val="0"/>
          <w:marBottom w:val="0"/>
          <w:divBdr>
            <w:top w:val="none" w:sz="0" w:space="0" w:color="auto"/>
            <w:left w:val="none" w:sz="0" w:space="0" w:color="auto"/>
            <w:bottom w:val="none" w:sz="0" w:space="0" w:color="auto"/>
            <w:right w:val="none" w:sz="0" w:space="0" w:color="auto"/>
          </w:divBdr>
          <w:divsChild>
            <w:div w:id="1959751733">
              <w:marLeft w:val="0"/>
              <w:marRight w:val="0"/>
              <w:marTop w:val="0"/>
              <w:marBottom w:val="0"/>
              <w:divBdr>
                <w:top w:val="none" w:sz="0" w:space="0" w:color="auto"/>
                <w:left w:val="none" w:sz="0" w:space="0" w:color="auto"/>
                <w:bottom w:val="none" w:sz="0" w:space="0" w:color="auto"/>
                <w:right w:val="none" w:sz="0" w:space="0" w:color="auto"/>
              </w:divBdr>
            </w:div>
          </w:divsChild>
        </w:div>
        <w:div w:id="1117211890">
          <w:marLeft w:val="0"/>
          <w:marRight w:val="0"/>
          <w:marTop w:val="0"/>
          <w:marBottom w:val="0"/>
          <w:divBdr>
            <w:top w:val="none" w:sz="0" w:space="0" w:color="auto"/>
            <w:left w:val="none" w:sz="0" w:space="0" w:color="auto"/>
            <w:bottom w:val="none" w:sz="0" w:space="0" w:color="auto"/>
            <w:right w:val="none" w:sz="0" w:space="0" w:color="auto"/>
          </w:divBdr>
          <w:divsChild>
            <w:div w:id="1403521226">
              <w:marLeft w:val="0"/>
              <w:marRight w:val="0"/>
              <w:marTop w:val="0"/>
              <w:marBottom w:val="0"/>
              <w:divBdr>
                <w:top w:val="none" w:sz="0" w:space="0" w:color="auto"/>
                <w:left w:val="none" w:sz="0" w:space="0" w:color="auto"/>
                <w:bottom w:val="none" w:sz="0" w:space="0" w:color="auto"/>
                <w:right w:val="none" w:sz="0" w:space="0" w:color="auto"/>
              </w:divBdr>
            </w:div>
          </w:divsChild>
        </w:div>
        <w:div w:id="1166438357">
          <w:marLeft w:val="0"/>
          <w:marRight w:val="0"/>
          <w:marTop w:val="0"/>
          <w:marBottom w:val="0"/>
          <w:divBdr>
            <w:top w:val="none" w:sz="0" w:space="0" w:color="auto"/>
            <w:left w:val="none" w:sz="0" w:space="0" w:color="auto"/>
            <w:bottom w:val="none" w:sz="0" w:space="0" w:color="auto"/>
            <w:right w:val="none" w:sz="0" w:space="0" w:color="auto"/>
          </w:divBdr>
          <w:divsChild>
            <w:div w:id="1086415570">
              <w:marLeft w:val="0"/>
              <w:marRight w:val="0"/>
              <w:marTop w:val="0"/>
              <w:marBottom w:val="0"/>
              <w:divBdr>
                <w:top w:val="none" w:sz="0" w:space="0" w:color="auto"/>
                <w:left w:val="none" w:sz="0" w:space="0" w:color="auto"/>
                <w:bottom w:val="none" w:sz="0" w:space="0" w:color="auto"/>
                <w:right w:val="none" w:sz="0" w:space="0" w:color="auto"/>
              </w:divBdr>
            </w:div>
          </w:divsChild>
        </w:div>
        <w:div w:id="1174539969">
          <w:marLeft w:val="0"/>
          <w:marRight w:val="0"/>
          <w:marTop w:val="0"/>
          <w:marBottom w:val="0"/>
          <w:divBdr>
            <w:top w:val="none" w:sz="0" w:space="0" w:color="auto"/>
            <w:left w:val="none" w:sz="0" w:space="0" w:color="auto"/>
            <w:bottom w:val="none" w:sz="0" w:space="0" w:color="auto"/>
            <w:right w:val="none" w:sz="0" w:space="0" w:color="auto"/>
          </w:divBdr>
          <w:divsChild>
            <w:div w:id="905336556">
              <w:marLeft w:val="0"/>
              <w:marRight w:val="0"/>
              <w:marTop w:val="0"/>
              <w:marBottom w:val="0"/>
              <w:divBdr>
                <w:top w:val="none" w:sz="0" w:space="0" w:color="auto"/>
                <w:left w:val="none" w:sz="0" w:space="0" w:color="auto"/>
                <w:bottom w:val="none" w:sz="0" w:space="0" w:color="auto"/>
                <w:right w:val="none" w:sz="0" w:space="0" w:color="auto"/>
              </w:divBdr>
            </w:div>
          </w:divsChild>
        </w:div>
        <w:div w:id="1199078371">
          <w:marLeft w:val="0"/>
          <w:marRight w:val="0"/>
          <w:marTop w:val="0"/>
          <w:marBottom w:val="0"/>
          <w:divBdr>
            <w:top w:val="none" w:sz="0" w:space="0" w:color="auto"/>
            <w:left w:val="none" w:sz="0" w:space="0" w:color="auto"/>
            <w:bottom w:val="none" w:sz="0" w:space="0" w:color="auto"/>
            <w:right w:val="none" w:sz="0" w:space="0" w:color="auto"/>
          </w:divBdr>
          <w:divsChild>
            <w:div w:id="86116244">
              <w:marLeft w:val="0"/>
              <w:marRight w:val="0"/>
              <w:marTop w:val="0"/>
              <w:marBottom w:val="0"/>
              <w:divBdr>
                <w:top w:val="none" w:sz="0" w:space="0" w:color="auto"/>
                <w:left w:val="none" w:sz="0" w:space="0" w:color="auto"/>
                <w:bottom w:val="none" w:sz="0" w:space="0" w:color="auto"/>
                <w:right w:val="none" w:sz="0" w:space="0" w:color="auto"/>
              </w:divBdr>
            </w:div>
          </w:divsChild>
        </w:div>
        <w:div w:id="1267075930">
          <w:marLeft w:val="0"/>
          <w:marRight w:val="0"/>
          <w:marTop w:val="0"/>
          <w:marBottom w:val="0"/>
          <w:divBdr>
            <w:top w:val="none" w:sz="0" w:space="0" w:color="auto"/>
            <w:left w:val="none" w:sz="0" w:space="0" w:color="auto"/>
            <w:bottom w:val="none" w:sz="0" w:space="0" w:color="auto"/>
            <w:right w:val="none" w:sz="0" w:space="0" w:color="auto"/>
          </w:divBdr>
          <w:divsChild>
            <w:div w:id="1384673236">
              <w:marLeft w:val="0"/>
              <w:marRight w:val="0"/>
              <w:marTop w:val="0"/>
              <w:marBottom w:val="0"/>
              <w:divBdr>
                <w:top w:val="none" w:sz="0" w:space="0" w:color="auto"/>
                <w:left w:val="none" w:sz="0" w:space="0" w:color="auto"/>
                <w:bottom w:val="none" w:sz="0" w:space="0" w:color="auto"/>
                <w:right w:val="none" w:sz="0" w:space="0" w:color="auto"/>
              </w:divBdr>
            </w:div>
          </w:divsChild>
        </w:div>
        <w:div w:id="1369188070">
          <w:marLeft w:val="0"/>
          <w:marRight w:val="0"/>
          <w:marTop w:val="0"/>
          <w:marBottom w:val="0"/>
          <w:divBdr>
            <w:top w:val="none" w:sz="0" w:space="0" w:color="auto"/>
            <w:left w:val="none" w:sz="0" w:space="0" w:color="auto"/>
            <w:bottom w:val="none" w:sz="0" w:space="0" w:color="auto"/>
            <w:right w:val="none" w:sz="0" w:space="0" w:color="auto"/>
          </w:divBdr>
          <w:divsChild>
            <w:div w:id="1649439194">
              <w:marLeft w:val="0"/>
              <w:marRight w:val="0"/>
              <w:marTop w:val="0"/>
              <w:marBottom w:val="0"/>
              <w:divBdr>
                <w:top w:val="none" w:sz="0" w:space="0" w:color="auto"/>
                <w:left w:val="none" w:sz="0" w:space="0" w:color="auto"/>
                <w:bottom w:val="none" w:sz="0" w:space="0" w:color="auto"/>
                <w:right w:val="none" w:sz="0" w:space="0" w:color="auto"/>
              </w:divBdr>
            </w:div>
          </w:divsChild>
        </w:div>
        <w:div w:id="1422097522">
          <w:marLeft w:val="0"/>
          <w:marRight w:val="0"/>
          <w:marTop w:val="0"/>
          <w:marBottom w:val="0"/>
          <w:divBdr>
            <w:top w:val="none" w:sz="0" w:space="0" w:color="auto"/>
            <w:left w:val="none" w:sz="0" w:space="0" w:color="auto"/>
            <w:bottom w:val="none" w:sz="0" w:space="0" w:color="auto"/>
            <w:right w:val="none" w:sz="0" w:space="0" w:color="auto"/>
          </w:divBdr>
          <w:divsChild>
            <w:div w:id="2038235772">
              <w:marLeft w:val="0"/>
              <w:marRight w:val="0"/>
              <w:marTop w:val="0"/>
              <w:marBottom w:val="0"/>
              <w:divBdr>
                <w:top w:val="none" w:sz="0" w:space="0" w:color="auto"/>
                <w:left w:val="none" w:sz="0" w:space="0" w:color="auto"/>
                <w:bottom w:val="none" w:sz="0" w:space="0" w:color="auto"/>
                <w:right w:val="none" w:sz="0" w:space="0" w:color="auto"/>
              </w:divBdr>
            </w:div>
          </w:divsChild>
        </w:div>
        <w:div w:id="1438407861">
          <w:marLeft w:val="0"/>
          <w:marRight w:val="0"/>
          <w:marTop w:val="0"/>
          <w:marBottom w:val="0"/>
          <w:divBdr>
            <w:top w:val="none" w:sz="0" w:space="0" w:color="auto"/>
            <w:left w:val="none" w:sz="0" w:space="0" w:color="auto"/>
            <w:bottom w:val="none" w:sz="0" w:space="0" w:color="auto"/>
            <w:right w:val="none" w:sz="0" w:space="0" w:color="auto"/>
          </w:divBdr>
          <w:divsChild>
            <w:div w:id="1063135951">
              <w:marLeft w:val="0"/>
              <w:marRight w:val="0"/>
              <w:marTop w:val="0"/>
              <w:marBottom w:val="0"/>
              <w:divBdr>
                <w:top w:val="none" w:sz="0" w:space="0" w:color="auto"/>
                <w:left w:val="none" w:sz="0" w:space="0" w:color="auto"/>
                <w:bottom w:val="none" w:sz="0" w:space="0" w:color="auto"/>
                <w:right w:val="none" w:sz="0" w:space="0" w:color="auto"/>
              </w:divBdr>
            </w:div>
          </w:divsChild>
        </w:div>
        <w:div w:id="1439569346">
          <w:marLeft w:val="0"/>
          <w:marRight w:val="0"/>
          <w:marTop w:val="0"/>
          <w:marBottom w:val="0"/>
          <w:divBdr>
            <w:top w:val="none" w:sz="0" w:space="0" w:color="auto"/>
            <w:left w:val="none" w:sz="0" w:space="0" w:color="auto"/>
            <w:bottom w:val="none" w:sz="0" w:space="0" w:color="auto"/>
            <w:right w:val="none" w:sz="0" w:space="0" w:color="auto"/>
          </w:divBdr>
          <w:divsChild>
            <w:div w:id="1461463172">
              <w:marLeft w:val="0"/>
              <w:marRight w:val="0"/>
              <w:marTop w:val="0"/>
              <w:marBottom w:val="0"/>
              <w:divBdr>
                <w:top w:val="none" w:sz="0" w:space="0" w:color="auto"/>
                <w:left w:val="none" w:sz="0" w:space="0" w:color="auto"/>
                <w:bottom w:val="none" w:sz="0" w:space="0" w:color="auto"/>
                <w:right w:val="none" w:sz="0" w:space="0" w:color="auto"/>
              </w:divBdr>
            </w:div>
          </w:divsChild>
        </w:div>
        <w:div w:id="1488277653">
          <w:marLeft w:val="0"/>
          <w:marRight w:val="0"/>
          <w:marTop w:val="0"/>
          <w:marBottom w:val="0"/>
          <w:divBdr>
            <w:top w:val="none" w:sz="0" w:space="0" w:color="auto"/>
            <w:left w:val="none" w:sz="0" w:space="0" w:color="auto"/>
            <w:bottom w:val="none" w:sz="0" w:space="0" w:color="auto"/>
            <w:right w:val="none" w:sz="0" w:space="0" w:color="auto"/>
          </w:divBdr>
          <w:divsChild>
            <w:div w:id="1099763038">
              <w:marLeft w:val="0"/>
              <w:marRight w:val="0"/>
              <w:marTop w:val="0"/>
              <w:marBottom w:val="0"/>
              <w:divBdr>
                <w:top w:val="none" w:sz="0" w:space="0" w:color="auto"/>
                <w:left w:val="none" w:sz="0" w:space="0" w:color="auto"/>
                <w:bottom w:val="none" w:sz="0" w:space="0" w:color="auto"/>
                <w:right w:val="none" w:sz="0" w:space="0" w:color="auto"/>
              </w:divBdr>
            </w:div>
          </w:divsChild>
        </w:div>
        <w:div w:id="1493108080">
          <w:marLeft w:val="0"/>
          <w:marRight w:val="0"/>
          <w:marTop w:val="0"/>
          <w:marBottom w:val="0"/>
          <w:divBdr>
            <w:top w:val="none" w:sz="0" w:space="0" w:color="auto"/>
            <w:left w:val="none" w:sz="0" w:space="0" w:color="auto"/>
            <w:bottom w:val="none" w:sz="0" w:space="0" w:color="auto"/>
            <w:right w:val="none" w:sz="0" w:space="0" w:color="auto"/>
          </w:divBdr>
          <w:divsChild>
            <w:div w:id="793330828">
              <w:marLeft w:val="0"/>
              <w:marRight w:val="0"/>
              <w:marTop w:val="0"/>
              <w:marBottom w:val="0"/>
              <w:divBdr>
                <w:top w:val="none" w:sz="0" w:space="0" w:color="auto"/>
                <w:left w:val="none" w:sz="0" w:space="0" w:color="auto"/>
                <w:bottom w:val="none" w:sz="0" w:space="0" w:color="auto"/>
                <w:right w:val="none" w:sz="0" w:space="0" w:color="auto"/>
              </w:divBdr>
            </w:div>
          </w:divsChild>
        </w:div>
        <w:div w:id="1533611199">
          <w:marLeft w:val="0"/>
          <w:marRight w:val="0"/>
          <w:marTop w:val="0"/>
          <w:marBottom w:val="0"/>
          <w:divBdr>
            <w:top w:val="none" w:sz="0" w:space="0" w:color="auto"/>
            <w:left w:val="none" w:sz="0" w:space="0" w:color="auto"/>
            <w:bottom w:val="none" w:sz="0" w:space="0" w:color="auto"/>
            <w:right w:val="none" w:sz="0" w:space="0" w:color="auto"/>
          </w:divBdr>
          <w:divsChild>
            <w:div w:id="168721949">
              <w:marLeft w:val="0"/>
              <w:marRight w:val="0"/>
              <w:marTop w:val="0"/>
              <w:marBottom w:val="0"/>
              <w:divBdr>
                <w:top w:val="none" w:sz="0" w:space="0" w:color="auto"/>
                <w:left w:val="none" w:sz="0" w:space="0" w:color="auto"/>
                <w:bottom w:val="none" w:sz="0" w:space="0" w:color="auto"/>
                <w:right w:val="none" w:sz="0" w:space="0" w:color="auto"/>
              </w:divBdr>
            </w:div>
            <w:div w:id="1753744868">
              <w:marLeft w:val="0"/>
              <w:marRight w:val="0"/>
              <w:marTop w:val="0"/>
              <w:marBottom w:val="0"/>
              <w:divBdr>
                <w:top w:val="none" w:sz="0" w:space="0" w:color="auto"/>
                <w:left w:val="none" w:sz="0" w:space="0" w:color="auto"/>
                <w:bottom w:val="none" w:sz="0" w:space="0" w:color="auto"/>
                <w:right w:val="none" w:sz="0" w:space="0" w:color="auto"/>
              </w:divBdr>
            </w:div>
          </w:divsChild>
        </w:div>
        <w:div w:id="1562444670">
          <w:marLeft w:val="0"/>
          <w:marRight w:val="0"/>
          <w:marTop w:val="0"/>
          <w:marBottom w:val="0"/>
          <w:divBdr>
            <w:top w:val="none" w:sz="0" w:space="0" w:color="auto"/>
            <w:left w:val="none" w:sz="0" w:space="0" w:color="auto"/>
            <w:bottom w:val="none" w:sz="0" w:space="0" w:color="auto"/>
            <w:right w:val="none" w:sz="0" w:space="0" w:color="auto"/>
          </w:divBdr>
          <w:divsChild>
            <w:div w:id="101345947">
              <w:marLeft w:val="0"/>
              <w:marRight w:val="0"/>
              <w:marTop w:val="0"/>
              <w:marBottom w:val="0"/>
              <w:divBdr>
                <w:top w:val="none" w:sz="0" w:space="0" w:color="auto"/>
                <w:left w:val="none" w:sz="0" w:space="0" w:color="auto"/>
                <w:bottom w:val="none" w:sz="0" w:space="0" w:color="auto"/>
                <w:right w:val="none" w:sz="0" w:space="0" w:color="auto"/>
              </w:divBdr>
            </w:div>
          </w:divsChild>
        </w:div>
        <w:div w:id="1772125386">
          <w:marLeft w:val="0"/>
          <w:marRight w:val="0"/>
          <w:marTop w:val="0"/>
          <w:marBottom w:val="0"/>
          <w:divBdr>
            <w:top w:val="none" w:sz="0" w:space="0" w:color="auto"/>
            <w:left w:val="none" w:sz="0" w:space="0" w:color="auto"/>
            <w:bottom w:val="none" w:sz="0" w:space="0" w:color="auto"/>
            <w:right w:val="none" w:sz="0" w:space="0" w:color="auto"/>
          </w:divBdr>
          <w:divsChild>
            <w:div w:id="126441024">
              <w:marLeft w:val="0"/>
              <w:marRight w:val="0"/>
              <w:marTop w:val="0"/>
              <w:marBottom w:val="0"/>
              <w:divBdr>
                <w:top w:val="none" w:sz="0" w:space="0" w:color="auto"/>
                <w:left w:val="none" w:sz="0" w:space="0" w:color="auto"/>
                <w:bottom w:val="none" w:sz="0" w:space="0" w:color="auto"/>
                <w:right w:val="none" w:sz="0" w:space="0" w:color="auto"/>
              </w:divBdr>
            </w:div>
          </w:divsChild>
        </w:div>
        <w:div w:id="1854882921">
          <w:marLeft w:val="0"/>
          <w:marRight w:val="0"/>
          <w:marTop w:val="0"/>
          <w:marBottom w:val="0"/>
          <w:divBdr>
            <w:top w:val="none" w:sz="0" w:space="0" w:color="auto"/>
            <w:left w:val="none" w:sz="0" w:space="0" w:color="auto"/>
            <w:bottom w:val="none" w:sz="0" w:space="0" w:color="auto"/>
            <w:right w:val="none" w:sz="0" w:space="0" w:color="auto"/>
          </w:divBdr>
          <w:divsChild>
            <w:div w:id="14864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02773">
      <w:bodyDiv w:val="1"/>
      <w:marLeft w:val="0"/>
      <w:marRight w:val="0"/>
      <w:marTop w:val="0"/>
      <w:marBottom w:val="0"/>
      <w:divBdr>
        <w:top w:val="none" w:sz="0" w:space="0" w:color="auto"/>
        <w:left w:val="none" w:sz="0" w:space="0" w:color="auto"/>
        <w:bottom w:val="none" w:sz="0" w:space="0" w:color="auto"/>
        <w:right w:val="none" w:sz="0" w:space="0" w:color="auto"/>
      </w:divBdr>
    </w:div>
    <w:div w:id="2103336713">
      <w:bodyDiv w:val="1"/>
      <w:marLeft w:val="0"/>
      <w:marRight w:val="0"/>
      <w:marTop w:val="0"/>
      <w:marBottom w:val="0"/>
      <w:divBdr>
        <w:top w:val="none" w:sz="0" w:space="0" w:color="auto"/>
        <w:left w:val="none" w:sz="0" w:space="0" w:color="auto"/>
        <w:bottom w:val="none" w:sz="0" w:space="0" w:color="auto"/>
        <w:right w:val="none" w:sz="0" w:space="0" w:color="auto"/>
      </w:divBdr>
    </w:div>
    <w:div w:id="21461920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fao.org/faolex/results/details/fr/c/LEX-FAOC180434/" TargetMode="External"/><Relationship Id="rId26" Type="http://schemas.openxmlformats.org/officeDocument/2006/relationships/image" Target="media/image6.jpeg"/><Relationship Id="rId39" Type="http://schemas.openxmlformats.org/officeDocument/2006/relationships/image" Target="media/image11.png"/><Relationship Id="rId21" Type="http://schemas.openxmlformats.org/officeDocument/2006/relationships/image" Target="media/image4.jpg"/><Relationship Id="rId34" Type="http://schemas.openxmlformats.org/officeDocument/2006/relationships/header" Target="header4.xml"/><Relationship Id="rId42" Type="http://schemas.openxmlformats.org/officeDocument/2006/relationships/header" Target="header7.xml"/><Relationship Id="rId47" Type="http://schemas.openxmlformats.org/officeDocument/2006/relationships/header" Target="header12.xml"/><Relationship Id="rId50" Type="http://schemas.openxmlformats.org/officeDocument/2006/relationships/header" Target="header14.xml"/><Relationship Id="rId55" Type="http://schemas.openxmlformats.org/officeDocument/2006/relationships/header" Target="header17.xml"/><Relationship Id="rId63" Type="http://schemas.microsoft.com/office/2011/relationships/people" Target="peop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7.png"/><Relationship Id="rId11" Type="http://schemas.openxmlformats.org/officeDocument/2006/relationships/image" Target="media/image3.png"/><Relationship Id="rId32" Type="http://schemas.openxmlformats.org/officeDocument/2006/relationships/hyperlink" Target="https://www.lse.ac.uk/GranthamInstitute/wp-content/uploads/laws/8121.pdf" TargetMode="External"/><Relationship Id="rId37" Type="http://schemas.openxmlformats.org/officeDocument/2006/relationships/image" Target="media/image10.png"/><Relationship Id="rId40" Type="http://schemas.openxmlformats.org/officeDocument/2006/relationships/header" Target="header6.xml"/><Relationship Id="rId45" Type="http://schemas.openxmlformats.org/officeDocument/2006/relationships/header" Target="header10.xml"/><Relationship Id="rId53" Type="http://schemas.openxmlformats.org/officeDocument/2006/relationships/image" Target="media/image13.jpeg"/><Relationship Id="rId58" Type="http://schemas.openxmlformats.org/officeDocument/2006/relationships/header" Target="header20.xml"/><Relationship Id="rId66" Type="http://schemas.openxmlformats.org/officeDocument/2006/relationships/customXml" Target="../customXml/item4.xml"/><Relationship Id="rId5" Type="http://schemas.openxmlformats.org/officeDocument/2006/relationships/settings" Target="settings.xml"/><Relationship Id="rId61" Type="http://schemas.openxmlformats.org/officeDocument/2006/relationships/header" Target="header22.xml"/><Relationship Id="rId19" Type="http://schemas.openxmlformats.org/officeDocument/2006/relationships/hyperlink" Target="https://faolex.fao.org/docs/pdf/mli67609.pdf" TargetMode="External"/><Relationship Id="rId14" Type="http://schemas.openxmlformats.org/officeDocument/2006/relationships/footer" Target="footer2.xml"/><Relationship Id="rId22" Type="http://schemas.openxmlformats.org/officeDocument/2006/relationships/image" Target="media/image5.jpg"/><Relationship Id="rId27" Type="http://schemas.openxmlformats.org/officeDocument/2006/relationships/image" Target="media/image7.jpeg"/><Relationship Id="rId30" Type="http://schemas.openxmlformats.org/officeDocument/2006/relationships/header" Target="header3.xml"/><Relationship Id="rId35" Type="http://schemas.openxmlformats.org/officeDocument/2006/relationships/image" Target="media/image8.png"/><Relationship Id="rId43" Type="http://schemas.openxmlformats.org/officeDocument/2006/relationships/header" Target="header8.xml"/><Relationship Id="rId48" Type="http://schemas.openxmlformats.org/officeDocument/2006/relationships/image" Target="media/image12.png"/><Relationship Id="rId56" Type="http://schemas.openxmlformats.org/officeDocument/2006/relationships/header" Target="header18.xm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eader" Target="header15.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hyperlink" Target="https://www.fao.org/faolex/results/details/fr/c/LEX-FAOC180434/" TargetMode="External"/><Relationship Id="rId33" Type="http://schemas.openxmlformats.org/officeDocument/2006/relationships/hyperlink" Target="https://chm.cbd.int/api/v2013/documents/CD0AFDBC-00EF-1DEC-70EC-ACBE687E8285/attachments/206972/LOA_Mali.pdf" TargetMode="External"/><Relationship Id="rId38" Type="http://schemas.openxmlformats.org/officeDocument/2006/relationships/header" Target="header5.xml"/><Relationship Id="rId46" Type="http://schemas.openxmlformats.org/officeDocument/2006/relationships/header" Target="header11.xml"/><Relationship Id="rId59" Type="http://schemas.openxmlformats.org/officeDocument/2006/relationships/header" Target="header21.xml"/><Relationship Id="rId67" Type="http://schemas.openxmlformats.org/officeDocument/2006/relationships/customXml" Target="../customXml/item5.xml"/><Relationship Id="rId20" Type="http://schemas.openxmlformats.org/officeDocument/2006/relationships/hyperlink" Target="https://faolex.fao.org/docs/pdf/mli67609.pdf" TargetMode="External"/><Relationship Id="rId41" Type="http://schemas.openxmlformats.org/officeDocument/2006/relationships/hyperlink" Target="https://prubamali.org/presentation/" TargetMode="External"/><Relationship Id="rId54" Type="http://schemas.openxmlformats.org/officeDocument/2006/relationships/image" Target="media/image14.jpe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chm.cbd.int/api/v2013/documents/CD0AFDBC-00EF-1DEC-70EC-ACBE687E8285/attachments/206972/LOA_Mali.pdf" TargetMode="External"/><Relationship Id="rId28" Type="http://schemas.openxmlformats.org/officeDocument/2006/relationships/image" Target="media/image6.png"/><Relationship Id="rId36" Type="http://schemas.openxmlformats.org/officeDocument/2006/relationships/image" Target="media/image9.png"/><Relationship Id="rId49" Type="http://schemas.openxmlformats.org/officeDocument/2006/relationships/header" Target="header13.xml"/><Relationship Id="rId57" Type="http://schemas.openxmlformats.org/officeDocument/2006/relationships/header" Target="header19.xml"/><Relationship Id="rId10" Type="http://schemas.openxmlformats.org/officeDocument/2006/relationships/image" Target="media/image2.jpg"/><Relationship Id="rId31" Type="http://schemas.openxmlformats.org/officeDocument/2006/relationships/hyperlink" Target="https://ml.chm-cbd.net/sites/ml/files/2022-05/pnpe_j6secu.pdf" TargetMode="External"/><Relationship Id="rId44" Type="http://schemas.openxmlformats.org/officeDocument/2006/relationships/header" Target="header9.xml"/><Relationship Id="rId52" Type="http://schemas.openxmlformats.org/officeDocument/2006/relationships/header" Target="header16.xml"/><Relationship Id="rId60" Type="http://schemas.openxmlformats.org/officeDocument/2006/relationships/footer" Target="footer3.xml"/><Relationship Id="rId65"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notes.xml.rels><?xml version="1.0" encoding="UTF-8" standalone="yes"?>
<Relationships xmlns="http://schemas.openxmlformats.org/package/2006/relationships"><Relationship Id="rId8" Type="http://schemas.openxmlformats.org/officeDocument/2006/relationships/hyperlink" Target="https://www.thegef.org/gef/policies_guidelines" TargetMode="External"/><Relationship Id="rId3" Type="http://schemas.openxmlformats.org/officeDocument/2006/relationships/hyperlink" Target="http://www.odhd-mali.org/uploads/38f9d225d0816a393146028f03b29c66a1e80b63.pdf" TargetMode="External"/><Relationship Id="rId7" Type="http://schemas.openxmlformats.org/officeDocument/2006/relationships/hyperlink" Target="http://www.undp.org/content/undp/en/home/operations/transparency/information_disclosurepolicy/" TargetMode="External"/><Relationship Id="rId2" Type="http://schemas.openxmlformats.org/officeDocument/2006/relationships/hyperlink" Target="https://db.dnds.ml/media/reports/DTM_SEPTEMBRE_2024.pdf" TargetMode="External"/><Relationship Id="rId1" Type="http://schemas.openxmlformats.org/officeDocument/2006/relationships/hyperlink" Target="https://www.instat-mali.org/laravel-filemanager/files/shares/rgph/rapport-situation-jeunes-rgph5_rgph.pdf" TargetMode="External"/><Relationship Id="rId6" Type="http://schemas.openxmlformats.org/officeDocument/2006/relationships/hyperlink" Target="http://www.undp.org/content/undp/en/home/operations/transparency/information_disclosurepolicy/" TargetMode="External"/><Relationship Id="rId11" Type="http://schemas.openxmlformats.org/officeDocument/2006/relationships/hyperlink" Target="https://popp.undp.org/_layouts/15/WopiFrame.aspx?sourcedoc=/UNDP_POPP_DOCUMENT_LIBRARY/Public/PPM_Project%20Management_Closing.docx&amp;action=default" TargetMode="External"/><Relationship Id="rId5" Type="http://schemas.openxmlformats.org/officeDocument/2006/relationships/hyperlink" Target="https://prtd-mali.org/" TargetMode="External"/><Relationship Id="rId10" Type="http://schemas.openxmlformats.org/officeDocument/2006/relationships/hyperlink" Target="https://www.thegef.org/gef/policies_guidelines" TargetMode="External"/><Relationship Id="rId4" Type="http://schemas.openxmlformats.org/officeDocument/2006/relationships/hyperlink" Target="https://instat-mali.org/laravel-filemanager/files/shares/eq/ranuel23_eq.pdf?utm_source=chatgpt.com" TargetMode="External"/><Relationship Id="rId9" Type="http://schemas.openxmlformats.org/officeDocument/2006/relationships/hyperlink" Target="https://www.thegef.org/gef/policies_guidelin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x4ELOW71dKdD4B90263bxTlEfQ==">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</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fficeCountry xmlns="d9cf0e28-81d2-4dc7-8b10-820d80ed680d">B0352 - Mali - Bamako</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Draft Prodoc Ville Durable</FileNameDescription>
    <ProjectNumber xmlns="d9cf0e28-81d2-4dc7-8b10-820d80ed680d">01002280</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UNDP-MLI</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2024-09-01T04:00:00+00:00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CD396D08-F965-2240-A673-D28DC5629B6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FCC08B44-C35F-4E93-9D83-100583C9AEA3}"/>
</file>

<file path=customXml/itemProps4.xml><?xml version="1.0" encoding="utf-8"?>
<ds:datastoreItem xmlns:ds="http://schemas.openxmlformats.org/officeDocument/2006/customXml" ds:itemID="{006AE448-D000-4DCA-9B21-D3C78D67BFC0}"/>
</file>

<file path=customXml/itemProps5.xml><?xml version="1.0" encoding="utf-8"?>
<ds:datastoreItem xmlns:ds="http://schemas.openxmlformats.org/officeDocument/2006/customXml" ds:itemID="{70D7AFF9-E906-4234-9860-D352FDEF1E55}"/>
</file>

<file path=docProps/app.xml><?xml version="1.0" encoding="utf-8"?>
<Properties xmlns="http://schemas.openxmlformats.org/officeDocument/2006/extended-properties" xmlns:vt="http://schemas.openxmlformats.org/officeDocument/2006/docPropsVTypes">
  <Template>Normal</Template>
  <TotalTime>7</TotalTime>
  <Pages>242</Pages>
  <Words>94716</Words>
  <Characters>520938</Characters>
  <Application>Microsoft Office Word</Application>
  <DocSecurity>0</DocSecurity>
  <Lines>4341</Lines>
  <Paragraphs>1228</Paragraphs>
  <ScaleCrop>false</ScaleCrop>
  <Company/>
  <LinksUpToDate>false</LinksUpToDate>
  <CharactersWithSpaces>614426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Prodoc Ville Durable</dc:title>
  <dc:subject/>
  <dc:creator>Jihene Touil</dc:creator>
  <cp:keywords/>
  <cp:lastModifiedBy>Ali Sambou</cp:lastModifiedBy>
  <cp:revision>2</cp:revision>
  <dcterms:created xsi:type="dcterms:W3CDTF">2026-01-06T13:29:00Z</dcterms:created>
  <dcterms:modified xsi:type="dcterms:W3CDTF">2026-01-06T13:29:00Z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